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37C1C" w14:textId="77777777" w:rsidR="0098037E" w:rsidRDefault="0098037E" w:rsidP="0098037E">
      <w:pPr>
        <w:jc w:val="center"/>
        <w:rPr>
          <w:b/>
          <w:bCs/>
          <w:sz w:val="56"/>
          <w:szCs w:val="56"/>
        </w:rPr>
      </w:pPr>
      <w:r>
        <w:rPr>
          <w:b/>
          <w:bCs/>
          <w:sz w:val="56"/>
          <w:szCs w:val="56"/>
        </w:rPr>
        <w:t>Philologisch-Exegetischer Kommentar</w:t>
      </w:r>
    </w:p>
    <w:p w14:paraId="342D274C" w14:textId="77777777" w:rsidR="0098037E" w:rsidRDefault="0098037E" w:rsidP="0098037E">
      <w:pPr>
        <w:jc w:val="center"/>
        <w:rPr>
          <w:b/>
          <w:bCs/>
          <w:sz w:val="16"/>
          <w:szCs w:val="16"/>
        </w:rPr>
      </w:pPr>
    </w:p>
    <w:p w14:paraId="43496261" w14:textId="77777777" w:rsidR="0098037E" w:rsidRDefault="0098037E" w:rsidP="0098037E">
      <w:pPr>
        <w:jc w:val="center"/>
        <w:rPr>
          <w:b/>
          <w:bCs/>
          <w:sz w:val="56"/>
          <w:szCs w:val="56"/>
        </w:rPr>
      </w:pPr>
      <w:r>
        <w:rPr>
          <w:b/>
          <w:bCs/>
          <w:sz w:val="56"/>
          <w:szCs w:val="56"/>
        </w:rPr>
        <w:t xml:space="preserve">Tanach-Deutsch </w:t>
      </w:r>
    </w:p>
    <w:p w14:paraId="714FFFEC" w14:textId="77777777" w:rsidR="0098037E" w:rsidRPr="0098037E" w:rsidRDefault="0098037E" w:rsidP="0098037E">
      <w:pPr>
        <w:jc w:val="center"/>
        <w:rPr>
          <w:b/>
          <w:bCs/>
        </w:rPr>
      </w:pPr>
    </w:p>
    <w:p w14:paraId="789F2CB5" w14:textId="31C1D210" w:rsidR="004D6EA3" w:rsidRDefault="0098037E" w:rsidP="0098037E">
      <w:pPr>
        <w:jc w:val="center"/>
        <w:rPr>
          <w:b/>
          <w:bCs/>
          <w:sz w:val="56"/>
          <w:szCs w:val="56"/>
        </w:rPr>
      </w:pPr>
      <w:r>
        <w:rPr>
          <w:b/>
          <w:bCs/>
          <w:sz w:val="56"/>
          <w:szCs w:val="56"/>
        </w:rPr>
        <w:t>Leviti</w:t>
      </w:r>
      <w:r w:rsidR="002F2494">
        <w:rPr>
          <w:b/>
          <w:bCs/>
          <w:sz w:val="56"/>
          <w:szCs w:val="56"/>
        </w:rPr>
        <w:t>c</w:t>
      </w:r>
      <w:r>
        <w:rPr>
          <w:b/>
          <w:bCs/>
          <w:sz w:val="56"/>
          <w:szCs w:val="56"/>
        </w:rPr>
        <w:t>us</w:t>
      </w:r>
    </w:p>
    <w:p w14:paraId="5C152CAA" w14:textId="77777777" w:rsidR="009B2AE8" w:rsidRDefault="009B2AE8" w:rsidP="0098037E">
      <w:pPr>
        <w:spacing w:before="100" w:beforeAutospacing="1" w:after="100" w:afterAutospacing="1" w:line="240" w:lineRule="auto"/>
        <w:outlineLvl w:val="1"/>
        <w:rPr>
          <w:rStyle w:val="Fett"/>
        </w:rPr>
      </w:pPr>
    </w:p>
    <w:p w14:paraId="3558BD3D" w14:textId="5A391CDD"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w:t>
      </w:r>
    </w:p>
    <w:p w14:paraId="2860A4F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וַיִּקְרָ֖א אֶל־מֹשֶׁ֑ה וַיְדַבֵּ֤ר יְהוָה֙ אֵלָ֔יו מֵאֹ֥הֶל מוֹעֵ֖ד לֵאמֹֽר׃</w:t>
      </w:r>
    </w:p>
    <w:p w14:paraId="1EA5E02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der Ewige rief Mosche und redete zu ihm aus dem Zelt der Begegnung und sprach:</w:t>
      </w:r>
    </w:p>
    <w:p w14:paraId="5C9580D3"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8495312">
          <v:rect id="_x0000_i1025" style="width:0;height:1.5pt" o:hralign="center" o:hrstd="t" o:hr="t" fillcolor="#a0a0a0" stroked="f"/>
        </w:pict>
      </w:r>
    </w:p>
    <w:p w14:paraId="6E7C091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Der Vers eröffnet das Buch Levitikus mit zwei aufeinanderfolgenden Hauptverben im Waw-Konsekutiv. </w:t>
      </w:r>
      <w:r w:rsidRPr="0098037E">
        <w:rPr>
          <w:rFonts w:eastAsia="Times New Roman" w:cs="Times New Roman"/>
          <w:b/>
          <w:bCs/>
          <w:rtl/>
          <w:lang w:eastAsia="de-DE"/>
        </w:rPr>
        <w:t>וַיִּקְרָא</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wayyiqra</w:t>
      </w:r>
      <w:proofErr w:type="spellEnd"/>
      <w:r w:rsidRPr="0098037E">
        <w:rPr>
          <w:rFonts w:eastAsia="Times New Roman" w:cs="Times New Roman"/>
          <w:lang w:eastAsia="de-DE"/>
        </w:rPr>
        <w:t xml:space="preserve">) ist ein Qal-Imperfekt mit Waw-Konsekutiv von der Wurzel </w:t>
      </w:r>
      <w:r w:rsidRPr="0098037E">
        <w:rPr>
          <w:rFonts w:eastAsia="Times New Roman" w:cs="Times New Roman"/>
          <w:b/>
          <w:bCs/>
          <w:rtl/>
          <w:lang w:eastAsia="de-DE"/>
        </w:rPr>
        <w:t>קרא</w:t>
      </w:r>
      <w:r w:rsidRPr="0098037E">
        <w:rPr>
          <w:rFonts w:eastAsia="Times New Roman" w:cs="Times New Roman"/>
          <w:rtl/>
          <w:lang w:eastAsia="de-DE"/>
        </w:rPr>
        <w:t xml:space="preserve"> </w:t>
      </w:r>
      <w:r w:rsidRPr="0098037E">
        <w:rPr>
          <w:rFonts w:eastAsia="Times New Roman" w:cs="Times New Roman"/>
          <w:lang w:eastAsia="de-DE"/>
        </w:rPr>
        <w:t xml:space="preserve">(rufen), 3. Person maskulin Singular. Das Verb regiert die Präposition </w:t>
      </w:r>
      <w:r w:rsidRPr="0098037E">
        <w:rPr>
          <w:rFonts w:eastAsia="Times New Roman" w:cs="Times New Roman"/>
          <w:b/>
          <w:bCs/>
          <w:rtl/>
          <w:lang w:eastAsia="de-DE"/>
        </w:rPr>
        <w:t>אֶל־</w:t>
      </w:r>
      <w:r w:rsidRPr="0098037E">
        <w:rPr>
          <w:rFonts w:eastAsia="Times New Roman" w:cs="Times New Roman"/>
          <w:rtl/>
          <w:lang w:eastAsia="de-DE"/>
        </w:rPr>
        <w:t xml:space="preserve"> </w:t>
      </w:r>
      <w:r w:rsidRPr="0098037E">
        <w:rPr>
          <w:rFonts w:eastAsia="Times New Roman" w:cs="Times New Roman"/>
          <w:lang w:eastAsia="de-DE"/>
        </w:rPr>
        <w:t xml:space="preserve">(el-), die eine Richtung zu einer Person hin ausdrückt. </w:t>
      </w:r>
      <w:r w:rsidRPr="0098037E">
        <w:rPr>
          <w:rFonts w:eastAsia="Times New Roman" w:cs="Times New Roman"/>
          <w:b/>
          <w:bCs/>
          <w:rtl/>
          <w:lang w:eastAsia="de-DE"/>
        </w:rPr>
        <w:t>מֹשֶׁה</w:t>
      </w:r>
      <w:r w:rsidRPr="0098037E">
        <w:rPr>
          <w:rFonts w:eastAsia="Times New Roman" w:cs="Times New Roman"/>
          <w:rtl/>
          <w:lang w:eastAsia="de-DE"/>
        </w:rPr>
        <w:t xml:space="preserve"> </w:t>
      </w:r>
      <w:r w:rsidRPr="0098037E">
        <w:rPr>
          <w:rFonts w:eastAsia="Times New Roman" w:cs="Times New Roman"/>
          <w:lang w:eastAsia="de-DE"/>
        </w:rPr>
        <w:t>steht als direktes Objekt der Anrede.</w:t>
      </w:r>
    </w:p>
    <w:p w14:paraId="2776EEB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zweite Hauptverb </w:t>
      </w:r>
      <w:r w:rsidRPr="0098037E">
        <w:rPr>
          <w:rFonts w:eastAsia="Times New Roman" w:cs="Times New Roman"/>
          <w:b/>
          <w:bCs/>
          <w:rtl/>
          <w:lang w:eastAsia="de-DE"/>
        </w:rPr>
        <w:t>וַיְדַבֵּר</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wayedabber</w:t>
      </w:r>
      <w:proofErr w:type="spellEnd"/>
      <w:r w:rsidRPr="0098037E">
        <w:rPr>
          <w:rFonts w:eastAsia="Times New Roman" w:cs="Times New Roman"/>
          <w:lang w:eastAsia="de-DE"/>
        </w:rPr>
        <w:t xml:space="preserve">) ist ein Piel-Imperfekt mit Waw-Konsekutiv von </w:t>
      </w:r>
      <w:r w:rsidRPr="0098037E">
        <w:rPr>
          <w:rFonts w:eastAsia="Times New Roman" w:cs="Times New Roman"/>
          <w:b/>
          <w:bCs/>
          <w:rtl/>
          <w:lang w:eastAsia="de-DE"/>
        </w:rPr>
        <w:t>דבר</w:t>
      </w:r>
      <w:r w:rsidRPr="0098037E">
        <w:rPr>
          <w:rFonts w:eastAsia="Times New Roman" w:cs="Times New Roman"/>
          <w:rtl/>
          <w:lang w:eastAsia="de-DE"/>
        </w:rPr>
        <w:t xml:space="preserve"> </w:t>
      </w:r>
      <w:r w:rsidRPr="0098037E">
        <w:rPr>
          <w:rFonts w:eastAsia="Times New Roman" w:cs="Times New Roman"/>
          <w:lang w:eastAsia="de-DE"/>
        </w:rPr>
        <w:t xml:space="preserve">(sprechen/reden), ebenfalls 3. Person maskulin Singular. Das Subjekt </w:t>
      </w:r>
      <w:r w:rsidRPr="0098037E">
        <w:rPr>
          <w:rFonts w:eastAsia="Times New Roman" w:cs="Times New Roman"/>
          <w:b/>
          <w:bCs/>
          <w:rtl/>
          <w:lang w:eastAsia="de-DE"/>
        </w:rPr>
        <w:t>יְהוָה</w:t>
      </w:r>
      <w:r w:rsidRPr="0098037E">
        <w:rPr>
          <w:rFonts w:eastAsia="Times New Roman" w:cs="Times New Roman"/>
          <w:rtl/>
          <w:lang w:eastAsia="de-DE"/>
        </w:rPr>
        <w:t xml:space="preserve"> </w:t>
      </w:r>
      <w:r w:rsidRPr="0098037E">
        <w:rPr>
          <w:rFonts w:eastAsia="Times New Roman" w:cs="Times New Roman"/>
          <w:lang w:eastAsia="de-DE"/>
        </w:rPr>
        <w:t xml:space="preserve">(JHWH) wird explizit genannt und steht in nachgestellter Position für Emphase. Das Pronomen </w:t>
      </w:r>
      <w:r w:rsidRPr="0098037E">
        <w:rPr>
          <w:rFonts w:eastAsia="Times New Roman" w:cs="Times New Roman"/>
          <w:b/>
          <w:bCs/>
          <w:rtl/>
          <w:lang w:eastAsia="de-DE"/>
        </w:rPr>
        <w:t>אֵלָיו</w:t>
      </w:r>
      <w:r w:rsidRPr="0098037E">
        <w:rPr>
          <w:rFonts w:eastAsia="Times New Roman" w:cs="Times New Roman"/>
          <w:rtl/>
          <w:lang w:eastAsia="de-DE"/>
        </w:rPr>
        <w:t xml:space="preserve"> </w:t>
      </w:r>
      <w:r w:rsidRPr="0098037E">
        <w:rPr>
          <w:rFonts w:eastAsia="Times New Roman" w:cs="Times New Roman"/>
          <w:lang w:eastAsia="de-DE"/>
        </w:rPr>
        <w:t>(zu ihm) bezieht sich auf Mosche zurück.</w:t>
      </w:r>
    </w:p>
    <w:p w14:paraId="18B18189" w14:textId="09CF989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Ortsangabe </w:t>
      </w:r>
      <w:r w:rsidRPr="0098037E">
        <w:rPr>
          <w:rFonts w:eastAsia="Times New Roman" w:cs="Times New Roman"/>
          <w:b/>
          <w:bCs/>
          <w:rtl/>
          <w:lang w:eastAsia="de-DE"/>
        </w:rPr>
        <w:t>מֵאֹהֶל מוֹעֵד</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me'ohel</w:t>
      </w:r>
      <w:proofErr w:type="spellEnd"/>
      <w:r w:rsidRPr="0098037E">
        <w:rPr>
          <w:rFonts w:eastAsia="Times New Roman" w:cs="Times New Roman"/>
          <w:lang w:eastAsia="de-DE"/>
        </w:rPr>
        <w:t xml:space="preserve"> </w:t>
      </w:r>
      <w:proofErr w:type="spellStart"/>
      <w:r w:rsidRPr="0098037E">
        <w:rPr>
          <w:rFonts w:eastAsia="Times New Roman" w:cs="Times New Roman"/>
          <w:lang w:eastAsia="de-DE"/>
        </w:rPr>
        <w:t>mo'ed</w:t>
      </w:r>
      <w:proofErr w:type="spellEnd"/>
      <w:r w:rsidRPr="0098037E">
        <w:rPr>
          <w:rFonts w:eastAsia="Times New Roman" w:cs="Times New Roman"/>
          <w:lang w:eastAsia="de-DE"/>
        </w:rPr>
        <w:t xml:space="preserve">) verwendet die Präposition </w:t>
      </w:r>
      <w:r w:rsidRPr="0098037E">
        <w:rPr>
          <w:rFonts w:eastAsia="Times New Roman" w:cs="Times New Roman"/>
          <w:b/>
          <w:bCs/>
          <w:rtl/>
          <w:lang w:eastAsia="de-DE"/>
        </w:rPr>
        <w:t>מִן</w:t>
      </w:r>
      <w:r w:rsidRPr="0098037E">
        <w:rPr>
          <w:rFonts w:eastAsia="Times New Roman" w:cs="Times New Roman"/>
          <w:rtl/>
          <w:lang w:eastAsia="de-DE"/>
        </w:rPr>
        <w:t xml:space="preserve"> </w:t>
      </w:r>
      <w:r w:rsidRPr="0098037E">
        <w:rPr>
          <w:rFonts w:eastAsia="Times New Roman" w:cs="Times New Roman"/>
          <w:lang w:eastAsia="de-DE"/>
        </w:rPr>
        <w:t xml:space="preserve">(von/aus), die den Ausgangspunkt der göttlichen Rede markiert. </w:t>
      </w:r>
      <w:r w:rsidRPr="0098037E">
        <w:rPr>
          <w:rFonts w:eastAsia="Times New Roman" w:cs="Times New Roman"/>
          <w:b/>
          <w:bCs/>
          <w:rtl/>
          <w:lang w:eastAsia="de-DE"/>
        </w:rPr>
        <w:t>אֹהֶל</w:t>
      </w:r>
      <w:r w:rsidRPr="0098037E">
        <w:rPr>
          <w:rFonts w:eastAsia="Times New Roman" w:cs="Times New Roman"/>
          <w:rtl/>
          <w:lang w:eastAsia="de-DE"/>
        </w:rPr>
        <w:t xml:space="preserve"> </w:t>
      </w:r>
      <w:r w:rsidRPr="0098037E">
        <w:rPr>
          <w:rFonts w:eastAsia="Times New Roman" w:cs="Times New Roman"/>
          <w:lang w:eastAsia="de-DE"/>
        </w:rPr>
        <w:t xml:space="preserve">(Zelt) steht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מוֹעֵד</w:t>
      </w:r>
      <w:r w:rsidRPr="0098037E">
        <w:rPr>
          <w:rFonts w:eastAsia="Times New Roman" w:cs="Times New Roman"/>
          <w:rtl/>
          <w:lang w:eastAsia="de-DE"/>
        </w:rPr>
        <w:t xml:space="preserve"> </w:t>
      </w:r>
      <w:r w:rsidRPr="0098037E">
        <w:rPr>
          <w:rFonts w:eastAsia="Times New Roman" w:cs="Times New Roman"/>
          <w:lang w:eastAsia="de-DE"/>
        </w:rPr>
        <w:t xml:space="preserve">(Begegnung/bestimmte Zeit), wodurch ein Genitivverhältnis entsteht: "Zelt der Begegnung". Der Infinitiv </w:t>
      </w:r>
      <w:r w:rsidRPr="0098037E">
        <w:rPr>
          <w:rFonts w:eastAsia="Times New Roman" w:cs="Times New Roman"/>
          <w:b/>
          <w:bCs/>
          <w:rtl/>
          <w:lang w:eastAsia="de-DE"/>
        </w:rPr>
        <w:t>לֵאמֹר</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le'mor</w:t>
      </w:r>
      <w:proofErr w:type="spellEnd"/>
      <w:r w:rsidRPr="0098037E">
        <w:rPr>
          <w:rFonts w:eastAsia="Times New Roman" w:cs="Times New Roman"/>
          <w:lang w:eastAsia="de-DE"/>
        </w:rPr>
        <w:t xml:space="preserve">) leitet die folgende direkte Rede ein und ist eine standardisierte Wendung in der </w:t>
      </w:r>
      <w:r w:rsidR="005033D2" w:rsidRPr="0098037E">
        <w:rPr>
          <w:rFonts w:eastAsia="Times New Roman" w:cs="Times New Roman"/>
          <w:lang w:eastAsia="de-DE"/>
        </w:rPr>
        <w:t>hebräischen</w:t>
      </w:r>
      <w:r w:rsidRPr="0098037E">
        <w:rPr>
          <w:rFonts w:eastAsia="Times New Roman" w:cs="Times New Roman"/>
          <w:lang w:eastAsia="de-DE"/>
        </w:rPr>
        <w:t xml:space="preserve"> Bibel.</w:t>
      </w:r>
    </w:p>
    <w:p w14:paraId="6CC31313" w14:textId="67B484B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2F2900">
        <w:t xml:space="preserve">zeigt textkritische Varianten bei </w:t>
      </w:r>
      <w:r w:rsidR="002F2900">
        <w:rPr>
          <w:rtl/>
        </w:rPr>
        <w:t>ויקרא אל־משה</w:t>
      </w:r>
      <w:r w:rsidR="002F2900">
        <w:t xml:space="preserve"> (</w:t>
      </w:r>
      <w:proofErr w:type="spellStart"/>
      <w:r w:rsidR="002F2900">
        <w:t>wayyiqra</w:t>
      </w:r>
      <w:proofErr w:type="spellEnd"/>
      <w:r w:rsidR="002F2900">
        <w:t xml:space="preserve"> el-Moshe). Während die Haupttradition </w:t>
      </w:r>
      <w:proofErr w:type="spellStart"/>
      <w:r w:rsidR="002F2900">
        <w:t>ἀνεκάλεσεν</w:t>
      </w:r>
      <w:proofErr w:type="spellEnd"/>
      <w:r w:rsidR="002F2900">
        <w:t xml:space="preserve"> </w:t>
      </w:r>
      <w:proofErr w:type="spellStart"/>
      <w:r w:rsidR="002F2900">
        <w:t>Μωυσῆν</w:t>
      </w:r>
      <w:proofErr w:type="spellEnd"/>
      <w:r w:rsidR="002F2900">
        <w:t xml:space="preserve"> liest, zeigen die Handschriften erhebliche Variation: Äthiopische, arabische, armenische und koptische Versionen sowie </w:t>
      </w:r>
      <w:proofErr w:type="spellStart"/>
      <w:r w:rsidR="002F2900">
        <w:t>Syh</w:t>
      </w:r>
      <w:proofErr w:type="spellEnd"/>
      <w:r w:rsidR="002F2900">
        <w:t xml:space="preserve"> unterstützen </w:t>
      </w:r>
      <w:proofErr w:type="spellStart"/>
      <w:r w:rsidR="002F2900">
        <w:t>Μωυσῆν</w:t>
      </w:r>
      <w:proofErr w:type="spellEnd"/>
      <w:r w:rsidR="002F2900">
        <w:t xml:space="preserve">, während Codex 126 und 799 </w:t>
      </w:r>
      <w:proofErr w:type="spellStart"/>
      <w:r w:rsidR="002F2900">
        <w:t>τον</w:t>
      </w:r>
      <w:proofErr w:type="spellEnd"/>
      <w:r w:rsidR="002F2900">
        <w:t xml:space="preserve"> hinzufügen, Codex 72 </w:t>
      </w:r>
      <w:proofErr w:type="spellStart"/>
      <w:r w:rsidR="002F2900">
        <w:t>τω</w:t>
      </w:r>
      <w:proofErr w:type="spellEnd"/>
      <w:r w:rsidR="002F2900">
        <w:t xml:space="preserve"> </w:t>
      </w:r>
      <w:proofErr w:type="spellStart"/>
      <w:r w:rsidR="002F2900">
        <w:t>μωσει</w:t>
      </w:r>
      <w:proofErr w:type="spellEnd"/>
      <w:r w:rsidR="002F2900">
        <w:t xml:space="preserve"> bietet, und weitere Handschriften (246, 71′, A, G-58, n, 527) alternative Kasusformen zeigen. Diese Varianten spiegeln unterschiedliche Interpretationen der hebräischen Präposition </w:t>
      </w:r>
      <w:r w:rsidR="002F2900">
        <w:rPr>
          <w:rtl/>
        </w:rPr>
        <w:t>אל</w:t>
      </w:r>
      <w:r w:rsidR="002F2900">
        <w:t xml:space="preserve"> wider.</w:t>
      </w:r>
    </w:p>
    <w:p w14:paraId="12BFA37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Satzstruktur:</w:t>
      </w:r>
      <w:r w:rsidRPr="0098037E">
        <w:rPr>
          <w:rFonts w:eastAsia="Times New Roman" w:cs="Times New Roman"/>
          <w:lang w:eastAsia="de-DE"/>
        </w:rPr>
        <w:t xml:space="preserve"> zeigt zwei koordinierte Hauptsätze mit Waw-Konsekutiv: [Subjekt implizit] + Verb + Objekt // Verb + Subjekt + Objekt + Adverbialbestimmung + Infinitiv. Beide Sätze sind Hauptsätze ohne Nebensätze.</w:t>
      </w:r>
    </w:p>
    <w:p w14:paraId="5CEF8EF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Der Vers etabliert die göttliche Autorität als Sprecher des folgenden Gesetzes und betont durch die Ortsangabe die Heiligkeit und Legitimität der Offenbarung aus dem Begegnungszelt heraus.</w:t>
      </w:r>
    </w:p>
    <w:p w14:paraId="6D4C2EB5"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1,2</w:t>
      </w:r>
    </w:p>
    <w:p w14:paraId="1EA8D09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דַּבֵּ֞ר אֶל־בְּנֵ֤י יִשְׂרָאֵל֙ וְאָמַרְתָּ֣ אֲלֵהֶ֔ם אָדָ֗ם כִּֽי־יַקְרִ֥יב מִכֶּ֛ם קָרְבָּ֖ן לַֽיהוָ֑ה מִן־הַבְּהֵמָ֗ה מִן־הַבָּקָר֙ וּמִן־הַצֹּ֔אן תַּקְרִ֖יבוּ אֶת־קָרְבַּנְכֶֽם׃</w:t>
      </w:r>
    </w:p>
    <w:p w14:paraId="4D55F31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Rede zu den Söhnen Jisra'els und sage zu ihnen: Wenn ein Mensch von euch dem Ewigen eine Opfergabe darbringen will, sollt ihr vom Vieh, vom Rind- und Kleinvieh eure Opfergabe darbringen.</w:t>
      </w:r>
    </w:p>
    <w:p w14:paraId="755A82FA"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004DB2A">
          <v:rect id="_x0000_i1026" style="width:0;height:1.5pt" o:hralign="center" o:hrstd="t" o:hr="t" fillcolor="#a0a0a0" stroked="f"/>
        </w:pict>
      </w:r>
    </w:p>
    <w:p w14:paraId="2C5FACAE" w14:textId="67E9B74F"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Der Vers beginnt mit zwei Imperativen im Maskulin Singular, die an Mosche gerichtet sind. </w:t>
      </w:r>
      <w:r w:rsidRPr="0098037E">
        <w:rPr>
          <w:rFonts w:eastAsia="Times New Roman" w:cs="Times New Roman"/>
          <w:b/>
          <w:bCs/>
          <w:rtl/>
          <w:lang w:eastAsia="de-DE"/>
        </w:rPr>
        <w:t>דַּבֵּר</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dabber</w:t>
      </w:r>
      <w:proofErr w:type="spellEnd"/>
      <w:r w:rsidRPr="0098037E">
        <w:rPr>
          <w:rFonts w:eastAsia="Times New Roman" w:cs="Times New Roman"/>
          <w:lang w:eastAsia="de-DE"/>
        </w:rPr>
        <w:t xml:space="preserve">) ist ein Piel-Imperativ von </w:t>
      </w:r>
      <w:r w:rsidRPr="0098037E">
        <w:rPr>
          <w:rFonts w:eastAsia="Times New Roman" w:cs="Times New Roman"/>
          <w:b/>
          <w:bCs/>
          <w:rtl/>
          <w:lang w:eastAsia="de-DE"/>
        </w:rPr>
        <w:t>דבר</w:t>
      </w:r>
      <w:r w:rsidRPr="0098037E">
        <w:rPr>
          <w:rFonts w:eastAsia="Times New Roman" w:cs="Times New Roman"/>
          <w:rtl/>
          <w:lang w:eastAsia="de-DE"/>
        </w:rPr>
        <w:t xml:space="preserve"> </w:t>
      </w:r>
      <w:r w:rsidRPr="0098037E">
        <w:rPr>
          <w:rFonts w:eastAsia="Times New Roman" w:cs="Times New Roman"/>
          <w:lang w:eastAsia="de-DE"/>
        </w:rPr>
        <w:t xml:space="preserve">(sprechen), der intensive oder kausative Bedeutung hat. Die Präposition </w:t>
      </w:r>
      <w:r w:rsidRPr="0098037E">
        <w:rPr>
          <w:rFonts w:eastAsia="Times New Roman" w:cs="Times New Roman"/>
          <w:b/>
          <w:bCs/>
          <w:rtl/>
          <w:lang w:eastAsia="de-DE"/>
        </w:rPr>
        <w:t>אֶל־</w:t>
      </w:r>
      <w:r w:rsidRPr="0098037E">
        <w:rPr>
          <w:rFonts w:eastAsia="Times New Roman" w:cs="Times New Roman"/>
          <w:rtl/>
          <w:lang w:eastAsia="de-DE"/>
        </w:rPr>
        <w:t xml:space="preserve"> </w:t>
      </w:r>
      <w:r w:rsidRPr="0098037E">
        <w:rPr>
          <w:rFonts w:eastAsia="Times New Roman" w:cs="Times New Roman"/>
          <w:lang w:eastAsia="de-DE"/>
        </w:rPr>
        <w:t xml:space="preserve">regiert </w:t>
      </w:r>
      <w:r w:rsidRPr="0098037E">
        <w:rPr>
          <w:rFonts w:eastAsia="Times New Roman" w:cs="Times New Roman"/>
          <w:b/>
          <w:bCs/>
          <w:rtl/>
          <w:lang w:eastAsia="de-DE"/>
        </w:rPr>
        <w:t>בְּנֵי יִשְׂרָאֵל</w:t>
      </w:r>
      <w:r w:rsidRPr="0098037E">
        <w:rPr>
          <w:rFonts w:eastAsia="Times New Roman" w:cs="Times New Roman"/>
          <w:rtl/>
          <w:lang w:eastAsia="de-DE"/>
        </w:rPr>
        <w:t xml:space="preserve"> </w:t>
      </w:r>
      <w:r w:rsidRPr="0098037E">
        <w:rPr>
          <w:rFonts w:eastAsia="Times New Roman" w:cs="Times New Roman"/>
          <w:lang w:eastAsia="de-DE"/>
        </w:rPr>
        <w:t xml:space="preserve">(Söhne Israels), wobei </w:t>
      </w:r>
      <w:r w:rsidRPr="0098037E">
        <w:rPr>
          <w:rFonts w:eastAsia="Times New Roman" w:cs="Times New Roman"/>
          <w:b/>
          <w:bCs/>
          <w:rtl/>
          <w:lang w:eastAsia="de-DE"/>
        </w:rPr>
        <w:t>בְּנֵי</w:t>
      </w:r>
      <w:r w:rsidRPr="0098037E">
        <w:rPr>
          <w:rFonts w:eastAsia="Times New Roman" w:cs="Times New Roman"/>
          <w:rtl/>
          <w:lang w:eastAsia="de-DE"/>
        </w:rPr>
        <w:t xml:space="preserve"> </w:t>
      </w:r>
      <w:r w:rsidRPr="0098037E">
        <w:rPr>
          <w:rFonts w:eastAsia="Times New Roman" w:cs="Times New Roman"/>
          <w:lang w:eastAsia="de-DE"/>
        </w:rPr>
        <w:t xml:space="preserve">als </w:t>
      </w:r>
      <w:r w:rsidR="005407E2">
        <w:rPr>
          <w:rFonts w:eastAsia="Times New Roman" w:cs="Times New Roman"/>
          <w:lang w:eastAsia="de-DE"/>
        </w:rPr>
        <w:t>Constructus</w:t>
      </w:r>
      <w:r w:rsidRPr="0098037E">
        <w:rPr>
          <w:rFonts w:eastAsia="Times New Roman" w:cs="Times New Roman"/>
          <w:lang w:eastAsia="de-DE"/>
        </w:rPr>
        <w:t xml:space="preserve">-Plural von </w:t>
      </w:r>
      <w:r w:rsidRPr="0098037E">
        <w:rPr>
          <w:rFonts w:eastAsia="Times New Roman" w:cs="Times New Roman"/>
          <w:b/>
          <w:bCs/>
          <w:rtl/>
          <w:lang w:eastAsia="de-DE"/>
        </w:rPr>
        <w:t>בֵּן</w:t>
      </w:r>
      <w:r w:rsidRPr="0098037E">
        <w:rPr>
          <w:rFonts w:eastAsia="Times New Roman" w:cs="Times New Roman"/>
          <w:rtl/>
          <w:lang w:eastAsia="de-DE"/>
        </w:rPr>
        <w:t xml:space="preserve"> </w:t>
      </w:r>
      <w:r w:rsidRPr="0098037E">
        <w:rPr>
          <w:rFonts w:eastAsia="Times New Roman" w:cs="Times New Roman"/>
          <w:lang w:eastAsia="de-DE"/>
        </w:rPr>
        <w:t xml:space="preserve">(Sohn) steht. Der zweite Imperativ </w:t>
      </w:r>
      <w:r w:rsidRPr="0098037E">
        <w:rPr>
          <w:rFonts w:eastAsia="Times New Roman" w:cs="Times New Roman"/>
          <w:b/>
          <w:bCs/>
          <w:rtl/>
          <w:lang w:eastAsia="de-DE"/>
        </w:rPr>
        <w:t>וְאָמַרְתָּ</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we'amarta</w:t>
      </w:r>
      <w:proofErr w:type="spellEnd"/>
      <w:r w:rsidRPr="0098037E">
        <w:rPr>
          <w:rFonts w:eastAsia="Times New Roman" w:cs="Times New Roman"/>
          <w:lang w:eastAsia="de-DE"/>
        </w:rPr>
        <w:t xml:space="preserve">) ist ein Qal-Perfekt mit Waw-Konsekutiv von </w:t>
      </w:r>
      <w:r w:rsidRPr="0098037E">
        <w:rPr>
          <w:rFonts w:eastAsia="Times New Roman" w:cs="Times New Roman"/>
          <w:b/>
          <w:bCs/>
          <w:rtl/>
          <w:lang w:eastAsia="de-DE"/>
        </w:rPr>
        <w:t>אמר</w:t>
      </w:r>
      <w:r w:rsidRPr="0098037E">
        <w:rPr>
          <w:rFonts w:eastAsia="Times New Roman" w:cs="Times New Roman"/>
          <w:rtl/>
          <w:lang w:eastAsia="de-DE"/>
        </w:rPr>
        <w:t xml:space="preserve"> </w:t>
      </w:r>
      <w:r w:rsidRPr="0098037E">
        <w:rPr>
          <w:rFonts w:eastAsia="Times New Roman" w:cs="Times New Roman"/>
          <w:lang w:eastAsia="de-DE"/>
        </w:rPr>
        <w:t>(sagen), das hier futurische Bedeutung hat.</w:t>
      </w:r>
    </w:p>
    <w:p w14:paraId="6D704C6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Pronomen </w:t>
      </w:r>
      <w:r w:rsidRPr="0098037E">
        <w:rPr>
          <w:rFonts w:eastAsia="Times New Roman" w:cs="Times New Roman"/>
          <w:b/>
          <w:bCs/>
          <w:rtl/>
          <w:lang w:eastAsia="de-DE"/>
        </w:rPr>
        <w:t>אֲלֵהֶם</w:t>
      </w:r>
      <w:r w:rsidRPr="0098037E">
        <w:rPr>
          <w:rFonts w:eastAsia="Times New Roman" w:cs="Times New Roman"/>
          <w:rtl/>
          <w:lang w:eastAsia="de-DE"/>
        </w:rPr>
        <w:t xml:space="preserve"> </w:t>
      </w:r>
      <w:r w:rsidRPr="0098037E">
        <w:rPr>
          <w:rFonts w:eastAsia="Times New Roman" w:cs="Times New Roman"/>
          <w:lang w:eastAsia="de-DE"/>
        </w:rPr>
        <w:t xml:space="preserve">(zu ihnen) bezieht sich auf die </w:t>
      </w:r>
      <w:r w:rsidRPr="0098037E">
        <w:rPr>
          <w:rFonts w:eastAsia="Times New Roman" w:cs="Times New Roman"/>
          <w:b/>
          <w:bCs/>
          <w:rtl/>
          <w:lang w:eastAsia="de-DE"/>
        </w:rPr>
        <w:t>בְּנֵי יִשְׂרָאֵל</w:t>
      </w:r>
      <w:r w:rsidRPr="0098037E">
        <w:rPr>
          <w:rFonts w:eastAsia="Times New Roman" w:cs="Times New Roman"/>
          <w:rtl/>
          <w:lang w:eastAsia="de-DE"/>
        </w:rPr>
        <w:t xml:space="preserve"> </w:t>
      </w:r>
      <w:r w:rsidRPr="0098037E">
        <w:rPr>
          <w:rFonts w:eastAsia="Times New Roman" w:cs="Times New Roman"/>
          <w:lang w:eastAsia="de-DE"/>
        </w:rPr>
        <w:t xml:space="preserve">zurück. </w:t>
      </w:r>
      <w:r w:rsidRPr="0098037E">
        <w:rPr>
          <w:rFonts w:eastAsia="Times New Roman" w:cs="Times New Roman"/>
          <w:b/>
          <w:bCs/>
          <w:rtl/>
          <w:lang w:eastAsia="de-DE"/>
        </w:rPr>
        <w:t>אָדָם</w:t>
      </w:r>
      <w:r w:rsidRPr="0098037E">
        <w:rPr>
          <w:rFonts w:eastAsia="Times New Roman" w:cs="Times New Roman"/>
          <w:rtl/>
          <w:lang w:eastAsia="de-DE"/>
        </w:rPr>
        <w:t xml:space="preserve"> </w:t>
      </w:r>
      <w:r w:rsidRPr="0098037E">
        <w:rPr>
          <w:rFonts w:eastAsia="Times New Roman" w:cs="Times New Roman"/>
          <w:lang w:eastAsia="de-DE"/>
        </w:rPr>
        <w:t xml:space="preserve">(Mensch) fungiert als Subjekt des folgenden Konditionalsatzes und steht emphatisch am Satzanfang. Die Konjunktion </w:t>
      </w:r>
      <w:r w:rsidRPr="0098037E">
        <w:rPr>
          <w:rFonts w:eastAsia="Times New Roman" w:cs="Times New Roman"/>
          <w:b/>
          <w:bCs/>
          <w:rtl/>
          <w:lang w:eastAsia="de-DE"/>
        </w:rPr>
        <w:t>כִּי</w:t>
      </w:r>
      <w:r w:rsidRPr="0098037E">
        <w:rPr>
          <w:rFonts w:eastAsia="Times New Roman" w:cs="Times New Roman"/>
          <w:rtl/>
          <w:lang w:eastAsia="de-DE"/>
        </w:rPr>
        <w:t xml:space="preserve"> </w:t>
      </w:r>
      <w:r w:rsidRPr="0098037E">
        <w:rPr>
          <w:rFonts w:eastAsia="Times New Roman" w:cs="Times New Roman"/>
          <w:lang w:eastAsia="de-DE"/>
        </w:rPr>
        <w:t>(wenn/dass) leitet hier einen temporalen Konditionalsatz ein, nicht einen Kausalsatz.</w:t>
      </w:r>
    </w:p>
    <w:p w14:paraId="0830DAC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Verb </w:t>
      </w:r>
      <w:r w:rsidRPr="0098037E">
        <w:rPr>
          <w:rFonts w:eastAsia="Times New Roman" w:cs="Times New Roman"/>
          <w:b/>
          <w:bCs/>
          <w:rtl/>
          <w:lang w:eastAsia="de-DE"/>
        </w:rPr>
        <w:t>יַקְרִיב</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yaqriv</w:t>
      </w:r>
      <w:proofErr w:type="spellEnd"/>
      <w:r w:rsidRPr="0098037E">
        <w:rPr>
          <w:rFonts w:eastAsia="Times New Roman" w:cs="Times New Roman"/>
          <w:lang w:eastAsia="de-DE"/>
        </w:rPr>
        <w:t xml:space="preserve">) ist ein Hifil-Imperfekt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(nahen/darbringen), 3. Person maskulin Singular, mit kausativer Bedeutung "darbringen lassen". </w:t>
      </w:r>
      <w:r w:rsidRPr="0098037E">
        <w:rPr>
          <w:rFonts w:eastAsia="Times New Roman" w:cs="Times New Roman"/>
          <w:b/>
          <w:bCs/>
          <w:rtl/>
          <w:lang w:eastAsia="de-DE"/>
        </w:rPr>
        <w:t>מִכֶּם</w:t>
      </w:r>
      <w:r w:rsidRPr="0098037E">
        <w:rPr>
          <w:rFonts w:eastAsia="Times New Roman" w:cs="Times New Roman"/>
          <w:rtl/>
          <w:lang w:eastAsia="de-DE"/>
        </w:rPr>
        <w:t xml:space="preserve"> </w:t>
      </w:r>
      <w:r w:rsidRPr="0098037E">
        <w:rPr>
          <w:rFonts w:eastAsia="Times New Roman" w:cs="Times New Roman"/>
          <w:lang w:eastAsia="de-DE"/>
        </w:rPr>
        <w:t xml:space="preserve">(von euch) ist eine partitive Präposition, die die Zugehörigkeit zur Gemeinschaft ausdrückt. </w:t>
      </w:r>
      <w:r w:rsidRPr="0098037E">
        <w:rPr>
          <w:rFonts w:eastAsia="Times New Roman" w:cs="Times New Roman"/>
          <w:b/>
          <w:bCs/>
          <w:rtl/>
          <w:lang w:eastAsia="de-DE"/>
        </w:rPr>
        <w:t>קָרְבָּן</w:t>
      </w:r>
      <w:r w:rsidRPr="0098037E">
        <w:rPr>
          <w:rFonts w:eastAsia="Times New Roman" w:cs="Times New Roman"/>
          <w:rtl/>
          <w:lang w:eastAsia="de-DE"/>
        </w:rPr>
        <w:t xml:space="preserve"> </w:t>
      </w:r>
      <w:r w:rsidRPr="0098037E">
        <w:rPr>
          <w:rFonts w:eastAsia="Times New Roman" w:cs="Times New Roman"/>
          <w:lang w:eastAsia="de-DE"/>
        </w:rPr>
        <w:t xml:space="preserve">(Opfergabe) ist das Akkusativobjekt, etymologisch verwandt mit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(nahen).</w:t>
      </w:r>
    </w:p>
    <w:p w14:paraId="55469ED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Präposition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 xml:space="preserve">(für JHWH) mit dem Artikel zeigt den Empfänger der Opfergabe an. </w:t>
      </w:r>
      <w:r w:rsidRPr="0098037E">
        <w:rPr>
          <w:rFonts w:eastAsia="Times New Roman" w:cs="Times New Roman"/>
          <w:b/>
          <w:bCs/>
          <w:rtl/>
          <w:lang w:eastAsia="de-DE"/>
        </w:rPr>
        <w:t>מִן־הַבְּהֵמָה</w:t>
      </w:r>
      <w:r w:rsidRPr="0098037E">
        <w:rPr>
          <w:rFonts w:eastAsia="Times New Roman" w:cs="Times New Roman"/>
          <w:rtl/>
          <w:lang w:eastAsia="de-DE"/>
        </w:rPr>
        <w:t xml:space="preserve"> </w:t>
      </w:r>
      <w:r w:rsidRPr="0098037E">
        <w:rPr>
          <w:rFonts w:eastAsia="Times New Roman" w:cs="Times New Roman"/>
          <w:lang w:eastAsia="de-DE"/>
        </w:rPr>
        <w:t xml:space="preserve">(von dem Vieh) spezifiziert die Quelle der Opfertiere, wobei </w:t>
      </w:r>
      <w:r w:rsidRPr="0098037E">
        <w:rPr>
          <w:rFonts w:eastAsia="Times New Roman" w:cs="Times New Roman"/>
          <w:b/>
          <w:bCs/>
          <w:rtl/>
          <w:lang w:eastAsia="de-DE"/>
        </w:rPr>
        <w:t>בְּהֵמָה</w:t>
      </w:r>
      <w:r w:rsidRPr="0098037E">
        <w:rPr>
          <w:rFonts w:eastAsia="Times New Roman" w:cs="Times New Roman"/>
          <w:rtl/>
          <w:lang w:eastAsia="de-DE"/>
        </w:rPr>
        <w:t xml:space="preserve"> </w:t>
      </w:r>
      <w:r w:rsidRPr="0098037E">
        <w:rPr>
          <w:rFonts w:eastAsia="Times New Roman" w:cs="Times New Roman"/>
          <w:lang w:eastAsia="de-DE"/>
        </w:rPr>
        <w:t xml:space="preserve">Kollektivbegriff für Groß- und Kleinvieh ist. Die weitere Spezifizierung erfolgt durch </w:t>
      </w:r>
      <w:r w:rsidRPr="0098037E">
        <w:rPr>
          <w:rFonts w:eastAsia="Times New Roman" w:cs="Times New Roman"/>
          <w:b/>
          <w:bCs/>
          <w:rtl/>
          <w:lang w:eastAsia="de-DE"/>
        </w:rPr>
        <w:t>מִן־הַבָּקָר</w:t>
      </w:r>
      <w:r w:rsidRPr="0098037E">
        <w:rPr>
          <w:rFonts w:eastAsia="Times New Roman" w:cs="Times New Roman"/>
          <w:rtl/>
          <w:lang w:eastAsia="de-DE"/>
        </w:rPr>
        <w:t xml:space="preserve"> </w:t>
      </w:r>
      <w:r w:rsidRPr="0098037E">
        <w:rPr>
          <w:rFonts w:eastAsia="Times New Roman" w:cs="Times New Roman"/>
          <w:lang w:eastAsia="de-DE"/>
        </w:rPr>
        <w:t xml:space="preserve">(von den Rindern) und </w:t>
      </w:r>
      <w:r w:rsidRPr="0098037E">
        <w:rPr>
          <w:rFonts w:eastAsia="Times New Roman" w:cs="Times New Roman"/>
          <w:b/>
          <w:bCs/>
          <w:rtl/>
          <w:lang w:eastAsia="de-DE"/>
        </w:rPr>
        <w:t>וּמִן־הַצֹּאן</w:t>
      </w:r>
      <w:r w:rsidRPr="0098037E">
        <w:rPr>
          <w:rFonts w:eastAsia="Times New Roman" w:cs="Times New Roman"/>
          <w:rtl/>
          <w:lang w:eastAsia="de-DE"/>
        </w:rPr>
        <w:t xml:space="preserve"> </w:t>
      </w:r>
      <w:r w:rsidRPr="0098037E">
        <w:rPr>
          <w:rFonts w:eastAsia="Times New Roman" w:cs="Times New Roman"/>
          <w:lang w:eastAsia="de-DE"/>
        </w:rPr>
        <w:t>(und von dem Kleinvieh), beide mit bestimmtem Artikel.</w:t>
      </w:r>
    </w:p>
    <w:p w14:paraId="1148C36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abschließende Verb </w:t>
      </w:r>
      <w:r w:rsidRPr="0098037E">
        <w:rPr>
          <w:rFonts w:eastAsia="Times New Roman" w:cs="Times New Roman"/>
          <w:b/>
          <w:bCs/>
          <w:rtl/>
          <w:lang w:eastAsia="de-DE"/>
        </w:rPr>
        <w:t>תַּקְרִיבוּ</w:t>
      </w:r>
      <w:r w:rsidRPr="0098037E">
        <w:rPr>
          <w:rFonts w:eastAsia="Times New Roman" w:cs="Times New Roman"/>
          <w:rtl/>
          <w:lang w:eastAsia="de-DE"/>
        </w:rPr>
        <w:t xml:space="preserve"> </w:t>
      </w:r>
      <w:r w:rsidRPr="0098037E">
        <w:rPr>
          <w:rFonts w:eastAsia="Times New Roman" w:cs="Times New Roman"/>
          <w:lang w:eastAsia="de-DE"/>
        </w:rPr>
        <w:t>(</w:t>
      </w:r>
      <w:proofErr w:type="spellStart"/>
      <w:r w:rsidRPr="0098037E">
        <w:rPr>
          <w:rFonts w:eastAsia="Times New Roman" w:cs="Times New Roman"/>
          <w:lang w:eastAsia="de-DE"/>
        </w:rPr>
        <w:t>taqrivu</w:t>
      </w:r>
      <w:proofErr w:type="spellEnd"/>
      <w:r w:rsidRPr="0098037E">
        <w:rPr>
          <w:rFonts w:eastAsia="Times New Roman" w:cs="Times New Roman"/>
          <w:lang w:eastAsia="de-DE"/>
        </w:rPr>
        <w:t xml:space="preserve">) ist ein Hifil-Imperfekt 2. Person maskulin Plural von </w:t>
      </w:r>
      <w:r w:rsidRPr="0098037E">
        <w:rPr>
          <w:rFonts w:eastAsia="Times New Roman" w:cs="Times New Roman"/>
          <w:b/>
          <w:bCs/>
          <w:rtl/>
          <w:lang w:eastAsia="de-DE"/>
        </w:rPr>
        <w:t>קרב</w:t>
      </w:r>
      <w:r w:rsidRPr="0098037E">
        <w:rPr>
          <w:rFonts w:eastAsia="Times New Roman" w:cs="Times New Roman"/>
          <w:lang w:eastAsia="de-DE"/>
        </w:rPr>
        <w:t xml:space="preserve">, das den Imperativcharakter der Aussage unterstreicht. </w:t>
      </w:r>
      <w:r w:rsidRPr="0098037E">
        <w:rPr>
          <w:rFonts w:eastAsia="Times New Roman" w:cs="Times New Roman"/>
          <w:b/>
          <w:bCs/>
          <w:rtl/>
          <w:lang w:eastAsia="de-DE"/>
        </w:rPr>
        <w:t>אֶת־קָרְבַּנְכֶם</w:t>
      </w:r>
      <w:r w:rsidRPr="0098037E">
        <w:rPr>
          <w:rFonts w:eastAsia="Times New Roman" w:cs="Times New Roman"/>
          <w:rtl/>
          <w:lang w:eastAsia="de-DE"/>
        </w:rPr>
        <w:t xml:space="preserve"> </w:t>
      </w:r>
      <w:r w:rsidRPr="0098037E">
        <w:rPr>
          <w:rFonts w:eastAsia="Times New Roman" w:cs="Times New Roman"/>
          <w:lang w:eastAsia="de-DE"/>
        </w:rPr>
        <w:t>(eure Opfergabe) ist das definite Akkusativobjekt mit Possessivsuffix 2. Person maskulin Plural.</w:t>
      </w:r>
    </w:p>
    <w:p w14:paraId="39B4688A" w14:textId="36297D6E" w:rsidR="00DE39DD" w:rsidRDefault="00DE39DD" w:rsidP="0098037E">
      <w:pPr>
        <w:spacing w:before="100" w:beforeAutospacing="1" w:after="100" w:afterAutospacing="1" w:line="240" w:lineRule="auto"/>
      </w:pPr>
      <w:r>
        <w:rPr>
          <w:rStyle w:val="Fett"/>
        </w:rPr>
        <w:t>Die LXX</w:t>
      </w:r>
      <w:r>
        <w:t xml:space="preserve"> übersetzt </w:t>
      </w:r>
      <w:r>
        <w:rPr>
          <w:rtl/>
        </w:rPr>
        <w:t>קרבן</w:t>
      </w:r>
      <w:r>
        <w:t xml:space="preserve"> (</w:t>
      </w:r>
      <w:r w:rsidR="000024AA">
        <w:t>K</w:t>
      </w:r>
      <w:r>
        <w:t xml:space="preserve">orban) konsequent als </w:t>
      </w:r>
      <w:proofErr w:type="spellStart"/>
      <w:r>
        <w:t>δῶρ</w:t>
      </w:r>
      <w:proofErr w:type="spellEnd"/>
      <w:r>
        <w:t>α (Gaben/Geschenke) statt als "Opfer", was eine weniger kultisch-rituelle und mehr geschenkhafte Interpretation darstellt.</w:t>
      </w:r>
      <w:r w:rsidR="002F2900">
        <w:t xml:space="preserve"> Die handschriftliche Überlieferung der LXX zeigt hier bemerkenswerte Stabilität im Vergleich zu anderen Stellen, was auf eine frühe Fixierung dieser Übersetzungstradition hinweist.</w:t>
      </w:r>
    </w:p>
    <w:p w14:paraId="66D0EBC7" w14:textId="4DB5276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Satzstruktur:</w:t>
      </w:r>
      <w:r w:rsidRPr="0098037E">
        <w:rPr>
          <w:rFonts w:eastAsia="Times New Roman" w:cs="Times New Roman"/>
          <w:lang w:eastAsia="de-DE"/>
        </w:rPr>
        <w:t xml:space="preserve"> zeigt einen komplexen Aufbau: Zwei koordinierte Imperative als Hauptsätze, gefolgt von einem Konditionalsatz mit </w:t>
      </w:r>
      <w:r w:rsidRPr="0098037E">
        <w:rPr>
          <w:rFonts w:eastAsia="Times New Roman" w:cs="Times New Roman"/>
          <w:b/>
          <w:bCs/>
          <w:rtl/>
          <w:lang w:eastAsia="de-DE"/>
        </w:rPr>
        <w:t>כִּי</w:t>
      </w:r>
      <w:r w:rsidRPr="0098037E">
        <w:rPr>
          <w:rFonts w:eastAsia="Times New Roman" w:cs="Times New Roman"/>
          <w:rtl/>
          <w:lang w:eastAsia="de-DE"/>
        </w:rPr>
        <w:t xml:space="preserve"> </w:t>
      </w:r>
      <w:r w:rsidRPr="0098037E">
        <w:rPr>
          <w:rFonts w:eastAsia="Times New Roman" w:cs="Times New Roman"/>
          <w:lang w:eastAsia="de-DE"/>
        </w:rPr>
        <w:t>als Nebensatz, der seinerseits einen Hauptsatz mit imperativischer Funktion nach sich zieht. Der Hauptsatz lautet: Imperativ + Objekt // Imperativ + Objekt. Der Nebensatz: Kondition (</w:t>
      </w:r>
      <w:r w:rsidRPr="0098037E">
        <w:rPr>
          <w:rFonts w:eastAsia="Times New Roman" w:cs="Times New Roman"/>
          <w:rtl/>
          <w:lang w:eastAsia="de-DE"/>
        </w:rPr>
        <w:t>כִּי</w:t>
      </w:r>
      <w:r w:rsidRPr="0098037E">
        <w:rPr>
          <w:rFonts w:eastAsia="Times New Roman" w:cs="Times New Roman"/>
          <w:lang w:eastAsia="de-DE"/>
        </w:rPr>
        <w:t xml:space="preserve"> + Subjekt + Verb + Objekte) → Folge (Hauptsatz mit imperativischem Imperfekt).</w:t>
      </w:r>
    </w:p>
    <w:p w14:paraId="77F21F8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grundlegenden Bestimmungen für Tieropfer in Israel und definiert die erlaubten Opfertiere als domestizierte Herdentiere, wodurch wilde Tiere und unreine Tiere ausgeschlossen werden.</w:t>
      </w:r>
    </w:p>
    <w:p w14:paraId="006A046B"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1,3</w:t>
      </w:r>
    </w:p>
    <w:p w14:paraId="7E381AC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אִם־עֹלָ֤ה קָרְבָּנוֹ֙ מִן־הַבָּקָ֔ר זָכָ֥ר תָּמִ֖ים יַקְרִיבֶ֑נּוּ אֶל־פֶּ֝תַח אֹ֤הֶל מוֹעֵד֙ יַקְרִ֣יב אֹתוֹ֔ לִרְצֹנֹ֖ו לִפְנֵ֥י יְהוָֽה׃</w:t>
      </w:r>
    </w:p>
    <w:p w14:paraId="4967BD4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Wenn seine Opfergabe ein Aufsteigeopfer vom Rindvieh ist, so soll er ein männliches, fehlerloses darbringen. Zum Eingang des Zeltes der Begegnung soll er es darbringen, zum Wohlgefallen für ihn vor dem Ewigen.</w:t>
      </w:r>
    </w:p>
    <w:p w14:paraId="2BD425A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45BE66FF">
          <v:rect id="_x0000_i1027" style="width:0;height:1.5pt" o:hralign="center" o:hrstd="t" o:hr="t" fillcolor="#a0a0a0" stroked="f"/>
        </w:pict>
      </w:r>
    </w:p>
    <w:p w14:paraId="04B4621D" w14:textId="3AFAF8C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Der Vers beginnt mit der Konditionspartikel </w:t>
      </w:r>
      <w:r w:rsidRPr="0098037E">
        <w:rPr>
          <w:rFonts w:eastAsia="Times New Roman" w:cs="Times New Roman"/>
          <w:b/>
          <w:bCs/>
          <w:rtl/>
          <w:lang w:eastAsia="de-DE"/>
        </w:rPr>
        <w:t>אִם</w:t>
      </w:r>
      <w:r w:rsidRPr="0098037E">
        <w:rPr>
          <w:rFonts w:eastAsia="Times New Roman" w:cs="Times New Roman"/>
          <w:rtl/>
          <w:lang w:eastAsia="de-DE"/>
        </w:rPr>
        <w:t xml:space="preserve"> </w:t>
      </w:r>
      <w:r w:rsidRPr="0098037E">
        <w:rPr>
          <w:rFonts w:eastAsia="Times New Roman" w:cs="Times New Roman"/>
          <w:lang w:eastAsia="de-DE"/>
        </w:rPr>
        <w:t xml:space="preserve">(wenn), die einen hypothetischen Fall einleitet.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w:t>
      </w:r>
      <w:r w:rsidR="00CF10E7">
        <w:rPr>
          <w:rFonts w:eastAsia="Times New Roman" w:cs="Times New Roman"/>
          <w:lang w:eastAsia="de-DE"/>
        </w:rPr>
        <w:t>Aufsteigeopfer</w:t>
      </w:r>
      <w:r w:rsidRPr="0098037E">
        <w:rPr>
          <w:rFonts w:eastAsia="Times New Roman" w:cs="Times New Roman"/>
          <w:lang w:eastAsia="de-DE"/>
        </w:rPr>
        <w:t xml:space="preserve">/Aufsteigeopfer) von der Wurzel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(hinaufsteigen) bezeichnet das vollständig verbrannte Opfer. </w:t>
      </w:r>
      <w:r w:rsidRPr="0098037E">
        <w:rPr>
          <w:rFonts w:eastAsia="Times New Roman" w:cs="Times New Roman"/>
          <w:b/>
          <w:bCs/>
          <w:rtl/>
          <w:lang w:eastAsia="de-DE"/>
        </w:rPr>
        <w:t>קָרְבָּנוֹ</w:t>
      </w:r>
      <w:r w:rsidRPr="0098037E">
        <w:rPr>
          <w:rFonts w:eastAsia="Times New Roman" w:cs="Times New Roman"/>
          <w:rtl/>
          <w:lang w:eastAsia="de-DE"/>
        </w:rPr>
        <w:t xml:space="preserve"> </w:t>
      </w:r>
      <w:r w:rsidRPr="0098037E">
        <w:rPr>
          <w:rFonts w:eastAsia="Times New Roman" w:cs="Times New Roman"/>
          <w:lang w:eastAsia="de-DE"/>
        </w:rPr>
        <w:t xml:space="preserve">(seine Opfergabe) enthält das Possessivsuffix 3. Person maskulin Singular. Die Präposition </w:t>
      </w:r>
      <w:r w:rsidRPr="0098037E">
        <w:rPr>
          <w:rFonts w:eastAsia="Times New Roman" w:cs="Times New Roman"/>
          <w:b/>
          <w:bCs/>
          <w:rtl/>
          <w:lang w:eastAsia="de-DE"/>
        </w:rPr>
        <w:t>מִן־הַבָּקָר</w:t>
      </w:r>
      <w:r w:rsidRPr="0098037E">
        <w:rPr>
          <w:rFonts w:eastAsia="Times New Roman" w:cs="Times New Roman"/>
          <w:rtl/>
          <w:lang w:eastAsia="de-DE"/>
        </w:rPr>
        <w:t xml:space="preserve"> </w:t>
      </w:r>
      <w:r w:rsidRPr="0098037E">
        <w:rPr>
          <w:rFonts w:eastAsia="Times New Roman" w:cs="Times New Roman"/>
          <w:lang w:eastAsia="de-DE"/>
        </w:rPr>
        <w:t>(vom Rindvieh) spezifiziert die Tierkategorie.</w:t>
      </w:r>
    </w:p>
    <w:p w14:paraId="1724B71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זָכָר</w:t>
      </w:r>
      <w:r w:rsidRPr="0098037E">
        <w:rPr>
          <w:rFonts w:eastAsia="Times New Roman" w:cs="Times New Roman"/>
          <w:rtl/>
          <w:lang w:eastAsia="de-DE"/>
        </w:rPr>
        <w:t xml:space="preserve"> </w:t>
      </w:r>
      <w:r w:rsidRPr="0098037E">
        <w:rPr>
          <w:rFonts w:eastAsia="Times New Roman" w:cs="Times New Roman"/>
          <w:lang w:eastAsia="de-DE"/>
        </w:rPr>
        <w:t xml:space="preserve">(männlich) und </w:t>
      </w:r>
      <w:r w:rsidRPr="0098037E">
        <w:rPr>
          <w:rFonts w:eastAsia="Times New Roman" w:cs="Times New Roman"/>
          <w:b/>
          <w:bCs/>
          <w:rtl/>
          <w:lang w:eastAsia="de-DE"/>
        </w:rPr>
        <w:t>תָּמִים</w:t>
      </w:r>
      <w:r w:rsidRPr="0098037E">
        <w:rPr>
          <w:rFonts w:eastAsia="Times New Roman" w:cs="Times New Roman"/>
          <w:rtl/>
          <w:lang w:eastAsia="de-DE"/>
        </w:rPr>
        <w:t xml:space="preserve"> </w:t>
      </w:r>
      <w:r w:rsidRPr="0098037E">
        <w:rPr>
          <w:rFonts w:eastAsia="Times New Roman" w:cs="Times New Roman"/>
          <w:lang w:eastAsia="de-DE"/>
        </w:rPr>
        <w:t xml:space="preserve">(vollkommen/fehlerlos) stehen als Attribute im Akkusativ und definieren die Qualitätsanforderungen. </w:t>
      </w:r>
      <w:r w:rsidRPr="0098037E">
        <w:rPr>
          <w:rFonts w:eastAsia="Times New Roman" w:cs="Times New Roman"/>
          <w:b/>
          <w:bCs/>
          <w:rtl/>
          <w:lang w:eastAsia="de-DE"/>
        </w:rPr>
        <w:t>תָּמִים</w:t>
      </w:r>
      <w:r w:rsidRPr="0098037E">
        <w:rPr>
          <w:rFonts w:eastAsia="Times New Roman" w:cs="Times New Roman"/>
          <w:rtl/>
          <w:lang w:eastAsia="de-DE"/>
        </w:rPr>
        <w:t xml:space="preserve"> </w:t>
      </w:r>
      <w:r w:rsidRPr="0098037E">
        <w:rPr>
          <w:rFonts w:eastAsia="Times New Roman" w:cs="Times New Roman"/>
          <w:lang w:eastAsia="de-DE"/>
        </w:rPr>
        <w:t xml:space="preserve">von der Wurzel </w:t>
      </w:r>
      <w:r w:rsidRPr="0098037E">
        <w:rPr>
          <w:rFonts w:eastAsia="Times New Roman" w:cs="Times New Roman"/>
          <w:b/>
          <w:bCs/>
          <w:rtl/>
          <w:lang w:eastAsia="de-DE"/>
        </w:rPr>
        <w:t>תמם</w:t>
      </w:r>
      <w:r w:rsidRPr="0098037E">
        <w:rPr>
          <w:rFonts w:eastAsia="Times New Roman" w:cs="Times New Roman"/>
          <w:rtl/>
          <w:lang w:eastAsia="de-DE"/>
        </w:rPr>
        <w:t xml:space="preserve"> </w:t>
      </w:r>
      <w:r w:rsidRPr="0098037E">
        <w:rPr>
          <w:rFonts w:eastAsia="Times New Roman" w:cs="Times New Roman"/>
          <w:lang w:eastAsia="de-DE"/>
        </w:rPr>
        <w:t xml:space="preserve">(vollständig sein) bezeichnet kultische Perfektion ohne physische Mängel. Das Verb </w:t>
      </w:r>
      <w:r w:rsidRPr="0098037E">
        <w:rPr>
          <w:rFonts w:eastAsia="Times New Roman" w:cs="Times New Roman"/>
          <w:b/>
          <w:bCs/>
          <w:rtl/>
          <w:lang w:eastAsia="de-DE"/>
        </w:rPr>
        <w:t>יַקְרִיבֶנּוּ</w:t>
      </w:r>
      <w:r w:rsidRPr="0098037E">
        <w:rPr>
          <w:rFonts w:eastAsia="Times New Roman" w:cs="Times New Roman"/>
          <w:rtl/>
          <w:lang w:eastAsia="de-DE"/>
        </w:rPr>
        <w:t xml:space="preserve"> </w:t>
      </w:r>
      <w:r w:rsidRPr="0098037E">
        <w:rPr>
          <w:rFonts w:eastAsia="Times New Roman" w:cs="Times New Roman"/>
          <w:lang w:eastAsia="de-DE"/>
        </w:rPr>
        <w:t xml:space="preserve">ist ein Hifil-Imperfekt 3. Person maskulin Singular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mit Objektsuffix 3. Person maskulin Singular.</w:t>
      </w:r>
    </w:p>
    <w:p w14:paraId="7690F546" w14:textId="6A1FFAC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Ortsbestimmung </w:t>
      </w:r>
      <w:r w:rsidRPr="0098037E">
        <w:rPr>
          <w:rFonts w:eastAsia="Times New Roman" w:cs="Times New Roman"/>
          <w:b/>
          <w:bCs/>
          <w:rtl/>
          <w:lang w:eastAsia="de-DE"/>
        </w:rPr>
        <w:t>אֶל־פֶּתַח אֹהֶל מוֹעֵד</w:t>
      </w:r>
      <w:r w:rsidRPr="0098037E">
        <w:rPr>
          <w:rFonts w:eastAsia="Times New Roman" w:cs="Times New Roman"/>
          <w:rtl/>
          <w:lang w:eastAsia="de-DE"/>
        </w:rPr>
        <w:t xml:space="preserve"> </w:t>
      </w:r>
      <w:r w:rsidRPr="0098037E">
        <w:rPr>
          <w:rFonts w:eastAsia="Times New Roman" w:cs="Times New Roman"/>
          <w:lang w:eastAsia="de-DE"/>
        </w:rPr>
        <w:t xml:space="preserve">(zum Eingang des Zeltes der Begegnung) verwendet </w:t>
      </w:r>
      <w:r w:rsidRPr="0098037E">
        <w:rPr>
          <w:rFonts w:eastAsia="Times New Roman" w:cs="Times New Roman"/>
          <w:b/>
          <w:bCs/>
          <w:rtl/>
          <w:lang w:eastAsia="de-DE"/>
        </w:rPr>
        <w:t>פֶּתַח</w:t>
      </w:r>
      <w:r w:rsidRPr="0098037E">
        <w:rPr>
          <w:rFonts w:eastAsia="Times New Roman" w:cs="Times New Roman"/>
          <w:rtl/>
          <w:lang w:eastAsia="de-DE"/>
        </w:rPr>
        <w:t xml:space="preserve"> </w:t>
      </w:r>
      <w:r w:rsidRPr="0098037E">
        <w:rPr>
          <w:rFonts w:eastAsia="Times New Roman" w:cs="Times New Roman"/>
          <w:lang w:eastAsia="de-DE"/>
        </w:rPr>
        <w:t xml:space="preserve">(Eingang/Öffnung) im </w:t>
      </w:r>
      <w:r w:rsidR="005407E2">
        <w:rPr>
          <w:rFonts w:eastAsia="Times New Roman" w:cs="Times New Roman"/>
          <w:lang w:eastAsia="de-DE"/>
        </w:rPr>
        <w:t>Constructus</w:t>
      </w:r>
      <w:r w:rsidRPr="0098037E">
        <w:rPr>
          <w:rFonts w:eastAsia="Times New Roman" w:cs="Times New Roman"/>
          <w:lang w:eastAsia="de-DE"/>
        </w:rPr>
        <w:t xml:space="preserve">. Das zweite </w:t>
      </w:r>
      <w:r w:rsidRPr="0098037E">
        <w:rPr>
          <w:rFonts w:eastAsia="Times New Roman" w:cs="Times New Roman"/>
          <w:b/>
          <w:bCs/>
          <w:rtl/>
          <w:lang w:eastAsia="de-DE"/>
        </w:rPr>
        <w:t>יַקְרִיב</w:t>
      </w:r>
      <w:r w:rsidRPr="0098037E">
        <w:rPr>
          <w:rFonts w:eastAsia="Times New Roman" w:cs="Times New Roman"/>
          <w:rtl/>
          <w:lang w:eastAsia="de-DE"/>
        </w:rPr>
        <w:t xml:space="preserve"> </w:t>
      </w:r>
      <w:r w:rsidRPr="0098037E">
        <w:rPr>
          <w:rFonts w:eastAsia="Times New Roman" w:cs="Times New Roman"/>
          <w:lang w:eastAsia="de-DE"/>
        </w:rPr>
        <w:t xml:space="preserve">(er soll darbringen) mit </w:t>
      </w:r>
      <w:r w:rsidRPr="0098037E">
        <w:rPr>
          <w:rFonts w:eastAsia="Times New Roman" w:cs="Times New Roman"/>
          <w:b/>
          <w:bCs/>
          <w:rtl/>
          <w:lang w:eastAsia="de-DE"/>
        </w:rPr>
        <w:t>אֹתוֹ</w:t>
      </w:r>
      <w:r w:rsidRPr="0098037E">
        <w:rPr>
          <w:rFonts w:eastAsia="Times New Roman" w:cs="Times New Roman"/>
          <w:rtl/>
          <w:lang w:eastAsia="de-DE"/>
        </w:rPr>
        <w:t xml:space="preserve"> </w:t>
      </w:r>
      <w:r w:rsidRPr="0098037E">
        <w:rPr>
          <w:rFonts w:eastAsia="Times New Roman" w:cs="Times New Roman"/>
          <w:lang w:eastAsia="de-DE"/>
        </w:rPr>
        <w:t xml:space="preserve">(ihn/es) wiederholt den Darbringungsakt </w:t>
      </w:r>
      <w:r w:rsidR="000024AA">
        <w:rPr>
          <w:rFonts w:eastAsia="Times New Roman" w:cs="Times New Roman"/>
          <w:lang w:eastAsia="de-DE"/>
        </w:rPr>
        <w:t>emphatisch</w:t>
      </w:r>
      <w:r w:rsidRPr="0098037E">
        <w:rPr>
          <w:rFonts w:eastAsia="Times New Roman" w:cs="Times New Roman"/>
          <w:lang w:eastAsia="de-DE"/>
        </w:rPr>
        <w:t xml:space="preserve">. </w:t>
      </w:r>
      <w:r w:rsidRPr="0098037E">
        <w:rPr>
          <w:rFonts w:eastAsia="Times New Roman" w:cs="Times New Roman"/>
          <w:b/>
          <w:bCs/>
          <w:rtl/>
          <w:lang w:eastAsia="de-DE"/>
        </w:rPr>
        <w:t>לִרְצֹנֹ֖ו</w:t>
      </w:r>
      <w:r w:rsidRPr="0098037E">
        <w:rPr>
          <w:rFonts w:eastAsia="Times New Roman" w:cs="Times New Roman"/>
          <w:rtl/>
          <w:lang w:eastAsia="de-DE"/>
        </w:rPr>
        <w:t xml:space="preserve"> </w:t>
      </w:r>
      <w:r w:rsidRPr="0098037E">
        <w:rPr>
          <w:rFonts w:eastAsia="Times New Roman" w:cs="Times New Roman"/>
          <w:lang w:eastAsia="de-DE"/>
        </w:rPr>
        <w:t xml:space="preserve">(zu seinem Wohlgefallen) von </w:t>
      </w:r>
      <w:r w:rsidRPr="0098037E">
        <w:rPr>
          <w:rFonts w:eastAsia="Times New Roman" w:cs="Times New Roman"/>
          <w:b/>
          <w:bCs/>
          <w:rtl/>
          <w:lang w:eastAsia="de-DE"/>
        </w:rPr>
        <w:t>רצון</w:t>
      </w:r>
      <w:r w:rsidRPr="0098037E">
        <w:rPr>
          <w:rFonts w:eastAsia="Times New Roman" w:cs="Times New Roman"/>
          <w:rtl/>
          <w:lang w:eastAsia="de-DE"/>
        </w:rPr>
        <w:t xml:space="preserve"> </w:t>
      </w:r>
      <w:r w:rsidRPr="0098037E">
        <w:rPr>
          <w:rFonts w:eastAsia="Times New Roman" w:cs="Times New Roman"/>
          <w:lang w:eastAsia="de-DE"/>
        </w:rPr>
        <w:t xml:space="preserve">(Wohlgefallen/Gunst) mit Possessivsuffix 3. Person maskulin Singular bezeichnet die göttliche Annahme.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(vor JHWH) markiert den sakralen Bereich.</w:t>
      </w:r>
    </w:p>
    <w:p w14:paraId="321E6B4D" w14:textId="339F464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DE39DD">
        <w:t xml:space="preserve">verwendet </w:t>
      </w:r>
      <w:proofErr w:type="spellStart"/>
      <w:r w:rsidR="00DE39DD">
        <w:t>δεκτὸν</w:t>
      </w:r>
      <w:proofErr w:type="spellEnd"/>
      <w:r w:rsidR="00DE39DD">
        <w:t xml:space="preserve"> </w:t>
      </w:r>
      <w:proofErr w:type="spellStart"/>
      <w:r w:rsidR="00DE39DD">
        <w:t>ἔν</w:t>
      </w:r>
      <w:proofErr w:type="spellEnd"/>
      <w:r w:rsidR="00DE39DD">
        <w:t xml:space="preserve">αντι </w:t>
      </w:r>
      <w:proofErr w:type="spellStart"/>
      <w:r w:rsidR="00DE39DD">
        <w:t>κυρίου</w:t>
      </w:r>
      <w:proofErr w:type="spellEnd"/>
      <w:r w:rsidR="00DE39DD">
        <w:t xml:space="preserve"> (angenehm vor dem Herrn) für </w:t>
      </w:r>
      <w:r w:rsidR="00DE39DD">
        <w:rPr>
          <w:rtl/>
        </w:rPr>
        <w:t>לרצנו לפני יהוה</w:t>
      </w:r>
      <w:r w:rsidR="00DE39DD">
        <w:t xml:space="preserve"> (zu seinem Wohlgefallen vor YHWH), was eine stärkere Betonung der göttlichen Annahme zeigt.</w:t>
      </w:r>
    </w:p>
    <w:p w14:paraId="54073FF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Konditionalsatz: Protasis (</w:t>
      </w:r>
      <w:r w:rsidRPr="0098037E">
        <w:rPr>
          <w:rFonts w:eastAsia="Times New Roman" w:cs="Times New Roman"/>
          <w:rtl/>
          <w:lang w:eastAsia="de-DE"/>
        </w:rPr>
        <w:t>אִם</w:t>
      </w:r>
      <w:r w:rsidRPr="0098037E">
        <w:rPr>
          <w:rFonts w:eastAsia="Times New Roman" w:cs="Times New Roman"/>
          <w:lang w:eastAsia="de-DE"/>
        </w:rPr>
        <w:t xml:space="preserve"> + Subjekt + Prädikatsnomen + Herkunftsangabe) → Apodosis (Objekt + Objekt + Verb + Ortsangabe + Verb + Objekt + Zweckangabe + Ortsangabe). Der Hauptsatz enthält zwei koordinierte Verben mit gemeinsamen Objektbezug.</w:t>
      </w:r>
    </w:p>
    <w:p w14:paraId="352DBC2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spezifischen Anforderungen für Rindopfer und betont sowohl die Qualität des Tieres als auch den korrekten Ort der Darbringung.</w:t>
      </w:r>
    </w:p>
    <w:p w14:paraId="3697DA58"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1,4</w:t>
      </w:r>
    </w:p>
    <w:p w14:paraId="7AA021F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Hebräisch:</w:t>
      </w:r>
      <w:r w:rsidRPr="0098037E">
        <w:rPr>
          <w:rFonts w:eastAsia="Times New Roman" w:cs="Times New Roman"/>
          <w:lang w:eastAsia="de-DE"/>
        </w:rPr>
        <w:t xml:space="preserve"> </w:t>
      </w:r>
      <w:r w:rsidRPr="0098037E">
        <w:rPr>
          <w:rFonts w:eastAsia="Times New Roman" w:cs="Times New Roman"/>
          <w:rtl/>
          <w:lang w:eastAsia="de-DE"/>
        </w:rPr>
        <w:t>וְסָמַ֣ךְ יָדֹ֔ו עַ֖ל רֹ֣אשׁ הָעֹלָ֑ה וְנִרְצָ֥ה לוֹ֖ לְכַפֵּ֥ר עָלָֽיו׃</w:t>
      </w:r>
    </w:p>
    <w:p w14:paraId="6C43927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seine Hand auf den Kopf des Aufsteigeopfers stützen, und es wird wohlgefällig angenommen werden für ihn, um Sühne für ihn zu erwirken.</w:t>
      </w:r>
    </w:p>
    <w:p w14:paraId="7757A132"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34822D2A">
          <v:rect id="_x0000_i1028" style="width:0;height:1.5pt" o:hralign="center" o:hrstd="t" o:hr="t" fillcolor="#a0a0a0" stroked="f"/>
        </w:pict>
      </w:r>
    </w:p>
    <w:p w14:paraId="77CFE8A2" w14:textId="64220B56"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Das Verb </w:t>
      </w:r>
      <w:r w:rsidRPr="0098037E">
        <w:rPr>
          <w:rFonts w:eastAsia="Times New Roman" w:cs="Times New Roman"/>
          <w:b/>
          <w:bCs/>
          <w:rtl/>
          <w:lang w:eastAsia="de-DE"/>
        </w:rPr>
        <w:t>וְסָמַ֣ךְ</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סמך</w:t>
      </w:r>
      <w:r w:rsidRPr="0098037E">
        <w:rPr>
          <w:rFonts w:eastAsia="Times New Roman" w:cs="Times New Roman"/>
          <w:rtl/>
          <w:lang w:eastAsia="de-DE"/>
        </w:rPr>
        <w:t xml:space="preserve"> </w:t>
      </w:r>
      <w:r w:rsidRPr="0098037E">
        <w:rPr>
          <w:rFonts w:eastAsia="Times New Roman" w:cs="Times New Roman"/>
          <w:lang w:eastAsia="de-DE"/>
        </w:rPr>
        <w:t xml:space="preserve">(stützen/lehnen), 3. Person maskulin Singular, das die rituelle Handauflegung beschreibt. </w:t>
      </w:r>
      <w:r w:rsidRPr="0098037E">
        <w:rPr>
          <w:rFonts w:eastAsia="Times New Roman" w:cs="Times New Roman"/>
          <w:b/>
          <w:bCs/>
          <w:rtl/>
          <w:lang w:eastAsia="de-DE"/>
        </w:rPr>
        <w:t>יָדֹ֔ו</w:t>
      </w:r>
      <w:r w:rsidRPr="0098037E">
        <w:rPr>
          <w:rFonts w:eastAsia="Times New Roman" w:cs="Times New Roman"/>
          <w:rtl/>
          <w:lang w:eastAsia="de-DE"/>
        </w:rPr>
        <w:t xml:space="preserve"> </w:t>
      </w:r>
      <w:r w:rsidRPr="0098037E">
        <w:rPr>
          <w:rFonts w:eastAsia="Times New Roman" w:cs="Times New Roman"/>
          <w:lang w:eastAsia="de-DE"/>
        </w:rPr>
        <w:t xml:space="preserve">(seine Hand) im Singular steht mit Possessivsuffix 3. Person maskulin Singular. Die Präposition </w:t>
      </w:r>
      <w:r w:rsidRPr="0098037E">
        <w:rPr>
          <w:rFonts w:eastAsia="Times New Roman" w:cs="Times New Roman"/>
          <w:b/>
          <w:bCs/>
          <w:rtl/>
          <w:lang w:eastAsia="de-DE"/>
        </w:rPr>
        <w:t>עַל</w:t>
      </w:r>
      <w:r w:rsidRPr="0098037E">
        <w:rPr>
          <w:rFonts w:eastAsia="Times New Roman" w:cs="Times New Roman"/>
          <w:rtl/>
          <w:lang w:eastAsia="de-DE"/>
        </w:rPr>
        <w:t xml:space="preserve"> </w:t>
      </w:r>
      <w:r w:rsidRPr="0098037E">
        <w:rPr>
          <w:rFonts w:eastAsia="Times New Roman" w:cs="Times New Roman"/>
          <w:lang w:eastAsia="de-DE"/>
        </w:rPr>
        <w:t xml:space="preserve">(auf) regiert </w:t>
      </w:r>
      <w:r w:rsidRPr="0098037E">
        <w:rPr>
          <w:rFonts w:eastAsia="Times New Roman" w:cs="Times New Roman"/>
          <w:b/>
          <w:bCs/>
          <w:rtl/>
          <w:lang w:eastAsia="de-DE"/>
        </w:rPr>
        <w:t>רֹ֣אשׁ הָעֹלָ֑ה</w:t>
      </w:r>
      <w:r w:rsidRPr="0098037E">
        <w:rPr>
          <w:rFonts w:eastAsia="Times New Roman" w:cs="Times New Roman"/>
          <w:rtl/>
          <w:lang w:eastAsia="de-DE"/>
        </w:rPr>
        <w:t xml:space="preserve"> </w:t>
      </w:r>
      <w:r w:rsidRPr="0098037E">
        <w:rPr>
          <w:rFonts w:eastAsia="Times New Roman" w:cs="Times New Roman"/>
          <w:lang w:eastAsia="de-DE"/>
        </w:rPr>
        <w:t xml:space="preserve">(Kopf des </w:t>
      </w:r>
      <w:r w:rsidR="00CF10E7">
        <w:rPr>
          <w:rFonts w:eastAsia="Times New Roman" w:cs="Times New Roman"/>
          <w:lang w:eastAsia="de-DE"/>
        </w:rPr>
        <w:t>Aufsteigeopfer</w:t>
      </w:r>
      <w:r w:rsidRPr="0098037E">
        <w:rPr>
          <w:rFonts w:eastAsia="Times New Roman" w:cs="Times New Roman"/>
          <w:lang w:eastAsia="de-DE"/>
        </w:rPr>
        <w:t xml:space="preserve">s), wobei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 xml:space="preserve">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הָעֹלָה</w:t>
      </w:r>
      <w:r w:rsidRPr="0098037E">
        <w:rPr>
          <w:rFonts w:eastAsia="Times New Roman" w:cs="Times New Roman"/>
          <w:rtl/>
          <w:lang w:eastAsia="de-DE"/>
        </w:rPr>
        <w:t xml:space="preserve"> </w:t>
      </w:r>
      <w:r w:rsidRPr="0098037E">
        <w:rPr>
          <w:rFonts w:eastAsia="Times New Roman" w:cs="Times New Roman"/>
          <w:lang w:eastAsia="de-DE"/>
        </w:rPr>
        <w:t xml:space="preserve">(das </w:t>
      </w:r>
      <w:r w:rsidR="00CF10E7">
        <w:rPr>
          <w:rFonts w:eastAsia="Times New Roman" w:cs="Times New Roman"/>
          <w:lang w:eastAsia="de-DE"/>
        </w:rPr>
        <w:t>Aufsteigeopfer</w:t>
      </w:r>
      <w:r w:rsidRPr="0098037E">
        <w:rPr>
          <w:rFonts w:eastAsia="Times New Roman" w:cs="Times New Roman"/>
          <w:lang w:eastAsia="de-DE"/>
        </w:rPr>
        <w:t>) steht.</w:t>
      </w:r>
    </w:p>
    <w:p w14:paraId="7E1C773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zweite Verb </w:t>
      </w:r>
      <w:r w:rsidRPr="0098037E">
        <w:rPr>
          <w:rFonts w:eastAsia="Times New Roman" w:cs="Times New Roman"/>
          <w:b/>
          <w:bCs/>
          <w:rtl/>
          <w:lang w:eastAsia="de-DE"/>
        </w:rPr>
        <w:t>וְנִרְצָ֥ה</w:t>
      </w:r>
      <w:r w:rsidRPr="0098037E">
        <w:rPr>
          <w:rFonts w:eastAsia="Times New Roman" w:cs="Times New Roman"/>
          <w:rtl/>
          <w:lang w:eastAsia="de-DE"/>
        </w:rPr>
        <w:t xml:space="preserve"> </w:t>
      </w:r>
      <w:r w:rsidRPr="0098037E">
        <w:rPr>
          <w:rFonts w:eastAsia="Times New Roman" w:cs="Times New Roman"/>
          <w:lang w:eastAsia="de-DE"/>
        </w:rPr>
        <w:t xml:space="preserve">ist ein Nifal-Perfekt mit Waw-Konsekutiv von </w:t>
      </w:r>
      <w:r w:rsidRPr="0098037E">
        <w:rPr>
          <w:rFonts w:eastAsia="Times New Roman" w:cs="Times New Roman"/>
          <w:b/>
          <w:bCs/>
          <w:rtl/>
          <w:lang w:eastAsia="de-DE"/>
        </w:rPr>
        <w:t>רצה</w:t>
      </w:r>
      <w:r w:rsidRPr="0098037E">
        <w:rPr>
          <w:rFonts w:eastAsia="Times New Roman" w:cs="Times New Roman"/>
          <w:rtl/>
          <w:lang w:eastAsia="de-DE"/>
        </w:rPr>
        <w:t xml:space="preserve"> </w:t>
      </w:r>
      <w:r w:rsidRPr="0098037E">
        <w:rPr>
          <w:rFonts w:eastAsia="Times New Roman" w:cs="Times New Roman"/>
          <w:lang w:eastAsia="de-DE"/>
        </w:rPr>
        <w:t xml:space="preserve">(Wohlgefallen finden/annehmen), 3. Person maskulin Singular. Das Nifal drückt hier die passive Bedeutung aus: "es wird angenommen werden". </w:t>
      </w:r>
      <w:r w:rsidRPr="0098037E">
        <w:rPr>
          <w:rFonts w:eastAsia="Times New Roman" w:cs="Times New Roman"/>
          <w:b/>
          <w:bCs/>
          <w:rtl/>
          <w:lang w:eastAsia="de-DE"/>
        </w:rPr>
        <w:t>לוֹ֖</w:t>
      </w:r>
      <w:r w:rsidRPr="0098037E">
        <w:rPr>
          <w:rFonts w:eastAsia="Times New Roman" w:cs="Times New Roman"/>
          <w:rtl/>
          <w:lang w:eastAsia="de-DE"/>
        </w:rPr>
        <w:t xml:space="preserve"> </w:t>
      </w:r>
      <w:r w:rsidRPr="0098037E">
        <w:rPr>
          <w:rFonts w:eastAsia="Times New Roman" w:cs="Times New Roman"/>
          <w:lang w:eastAsia="de-DE"/>
        </w:rPr>
        <w:t xml:space="preserve">(für ihn) ist Dativus commodi. Der Infinitiv </w:t>
      </w:r>
      <w:r w:rsidRPr="0098037E">
        <w:rPr>
          <w:rFonts w:eastAsia="Times New Roman" w:cs="Times New Roman"/>
          <w:b/>
          <w:bCs/>
          <w:rtl/>
          <w:lang w:eastAsia="de-DE"/>
        </w:rPr>
        <w:t>לְכַפֵּ֥ר</w:t>
      </w:r>
      <w:r w:rsidRPr="0098037E">
        <w:rPr>
          <w:rFonts w:eastAsia="Times New Roman" w:cs="Times New Roman"/>
          <w:rtl/>
          <w:lang w:eastAsia="de-DE"/>
        </w:rPr>
        <w:t xml:space="preserve"> </w:t>
      </w:r>
      <w:r w:rsidRPr="0098037E">
        <w:rPr>
          <w:rFonts w:eastAsia="Times New Roman" w:cs="Times New Roman"/>
          <w:lang w:eastAsia="de-DE"/>
        </w:rPr>
        <w:t xml:space="preserve">(um zu sühnen) von der Wurzel </w:t>
      </w:r>
      <w:r w:rsidRPr="0098037E">
        <w:rPr>
          <w:rFonts w:eastAsia="Times New Roman" w:cs="Times New Roman"/>
          <w:b/>
          <w:bCs/>
          <w:rtl/>
          <w:lang w:eastAsia="de-DE"/>
        </w:rPr>
        <w:t>כפר</w:t>
      </w:r>
      <w:r w:rsidRPr="0098037E">
        <w:rPr>
          <w:rFonts w:eastAsia="Times New Roman" w:cs="Times New Roman"/>
          <w:rtl/>
          <w:lang w:eastAsia="de-DE"/>
        </w:rPr>
        <w:t xml:space="preserve"> </w:t>
      </w:r>
      <w:r w:rsidRPr="0098037E">
        <w:rPr>
          <w:rFonts w:eastAsia="Times New Roman" w:cs="Times New Roman"/>
          <w:lang w:eastAsia="de-DE"/>
        </w:rPr>
        <w:t xml:space="preserve">(bedecken/sühnen) im Piel mit der Präposition </w:t>
      </w:r>
      <w:r w:rsidRPr="0098037E">
        <w:rPr>
          <w:rFonts w:eastAsia="Times New Roman" w:cs="Times New Roman"/>
          <w:b/>
          <w:bCs/>
          <w:rtl/>
          <w:lang w:eastAsia="de-DE"/>
        </w:rPr>
        <w:t>עָלָֽיו</w:t>
      </w:r>
      <w:r w:rsidRPr="0098037E">
        <w:rPr>
          <w:rFonts w:eastAsia="Times New Roman" w:cs="Times New Roman"/>
          <w:rtl/>
          <w:lang w:eastAsia="de-DE"/>
        </w:rPr>
        <w:t xml:space="preserve"> </w:t>
      </w:r>
      <w:r w:rsidRPr="0098037E">
        <w:rPr>
          <w:rFonts w:eastAsia="Times New Roman" w:cs="Times New Roman"/>
          <w:lang w:eastAsia="de-DE"/>
        </w:rPr>
        <w:t>(über ihn/für ihn) drückt den Zweck der rituellen Handlung aus.</w:t>
      </w:r>
    </w:p>
    <w:p w14:paraId="2516C6F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Handauflegung (</w:t>
      </w:r>
      <w:r w:rsidRPr="0098037E">
        <w:rPr>
          <w:rFonts w:eastAsia="Times New Roman" w:cs="Times New Roman"/>
          <w:b/>
          <w:bCs/>
          <w:rtl/>
          <w:lang w:eastAsia="de-DE"/>
        </w:rPr>
        <w:t>סמיכה</w:t>
      </w:r>
      <w:r w:rsidRPr="0098037E">
        <w:rPr>
          <w:rFonts w:eastAsia="Times New Roman" w:cs="Times New Roman"/>
          <w:lang w:eastAsia="de-DE"/>
        </w:rPr>
        <w:t xml:space="preserve">) ist ein zentraler ritueller Akt, der die Identifikation des Opfernden mit dem Opfertier symbolisiert und die Übertragung von Schuld oder Stellvertretung ausdrückt. </w:t>
      </w:r>
      <w:r w:rsidRPr="0098037E">
        <w:rPr>
          <w:rFonts w:eastAsia="Times New Roman" w:cs="Times New Roman"/>
          <w:b/>
          <w:bCs/>
          <w:rtl/>
          <w:lang w:eastAsia="de-DE"/>
        </w:rPr>
        <w:t>כפר</w:t>
      </w:r>
      <w:r w:rsidRPr="0098037E">
        <w:rPr>
          <w:rFonts w:eastAsia="Times New Roman" w:cs="Times New Roman"/>
          <w:rtl/>
          <w:lang w:eastAsia="de-DE"/>
        </w:rPr>
        <w:t xml:space="preserve"> </w:t>
      </w:r>
      <w:r w:rsidRPr="0098037E">
        <w:rPr>
          <w:rFonts w:eastAsia="Times New Roman" w:cs="Times New Roman"/>
          <w:lang w:eastAsia="de-DE"/>
        </w:rPr>
        <w:t>in seiner grundlegenden Bedeutung "bedecken" entwickelt die theologische Bedeutung der Sühne durch Vergebung.</w:t>
      </w:r>
    </w:p>
    <w:p w14:paraId="75DB8B94" w14:textId="30ED429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hat eine bedeutsame textkritische Abweichung bei </w:t>
      </w:r>
      <w:r w:rsidR="005248F3">
        <w:rPr>
          <w:rtl/>
        </w:rPr>
        <w:t>ונרצה לו לכפר עליו</w:t>
      </w:r>
      <w:r w:rsidR="005248F3">
        <w:t xml:space="preserve">. Das hebräische </w:t>
      </w:r>
      <w:r w:rsidR="005248F3">
        <w:rPr>
          <w:rtl/>
        </w:rPr>
        <w:t>ונרצה</w:t>
      </w:r>
      <w:r w:rsidR="005248F3">
        <w:t xml:space="preserve"> (</w:t>
      </w:r>
      <w:proofErr w:type="spellStart"/>
      <w:r w:rsidR="005248F3">
        <w:t>wenirtza</w:t>
      </w:r>
      <w:proofErr w:type="spellEnd"/>
      <w:r w:rsidR="005248F3">
        <w:t xml:space="preserve"> - "und es wird angenommen werden") wird als </w:t>
      </w:r>
      <w:proofErr w:type="spellStart"/>
      <w:r w:rsidR="005248F3">
        <w:t>δεκτὸν</w:t>
      </w:r>
      <w:proofErr w:type="spellEnd"/>
      <w:r w:rsidR="005248F3">
        <w:t xml:space="preserve"> α</w:t>
      </w:r>
      <w:proofErr w:type="spellStart"/>
      <w:r w:rsidR="005248F3">
        <w:t>ὐτῷ</w:t>
      </w:r>
      <w:proofErr w:type="spellEnd"/>
      <w:r w:rsidR="005248F3">
        <w:t xml:space="preserve"> </w:t>
      </w:r>
      <w:proofErr w:type="spellStart"/>
      <w:r w:rsidR="005248F3">
        <w:t>ἐξιλάσ</w:t>
      </w:r>
      <w:proofErr w:type="spellEnd"/>
      <w:r w:rsidR="005248F3">
        <w:t>ασθαι (angenehm für ihn zur Sühnung) wiedergegeben, wobei die LXX das Subjekt ändert - das Opfer wird "für ihn angenehm" statt "es wird angenommen".</w:t>
      </w:r>
    </w:p>
    <w:p w14:paraId="0286A02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besteht aus zwei koordinierten Hauptsätzen mit Waw-Konsekutiv: Verb + Subjekt + Präpositionalphrase // Verb + Dativobjekt + Infinitivkonstruktion. Beide Sätze sind syntaktisch gleichwertige Hauptsätze ohne Nebensätze.</w:t>
      </w:r>
    </w:p>
    <w:p w14:paraId="01BAEDE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beschreibt den entscheidenden Moment der rituellen Identifikation zwischen Opferndem und Opfertier, wodurch die sühnende Wirkung des Opfers ermöglicht wird.</w:t>
      </w:r>
    </w:p>
    <w:p w14:paraId="7B44B84A"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1,5</w:t>
      </w:r>
    </w:p>
    <w:p w14:paraId="165EE0C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וְשָׁחַ֛ט אֶת־בֶּ֥ן הַבָּקָ֖ר לִפְנֵ֣י יְהוָ֑ה וְ֠הִקְרִיבוּ בְּנֵ֨י אַהֲרֹ֤ן הַֽכֹּֽהֲנִים֙ אֶת־הַדָּ֔ם וְזָרְק֨וּ אֶת־הַדָּ֤ם עַל־הַמִּזְבֵּ֨חַ֙ סָבִ֔יב אֲשֶׁר־פֶּ֖תַח אֹ֥הֶל מוֹעֵֽד׃</w:t>
      </w:r>
    </w:p>
    <w:p w14:paraId="50E1BB8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das junge Rind schlachten vor dem Ewigen; und die Söhne 'Aharons, die Priester, sollen das Blut darbringen und das Blut ringsum an den Altar spritzen, der vor dem Eingang des Zeltes der Begegnung ist.</w:t>
      </w:r>
    </w:p>
    <w:p w14:paraId="7EE3512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010B66A6">
          <v:rect id="_x0000_i1029" style="width:0;height:1.5pt" o:hralign="center" o:hrstd="t" o:hr="t" fillcolor="#a0a0a0" stroked="f"/>
        </w:pict>
      </w:r>
    </w:p>
    <w:p w14:paraId="71AE1B37" w14:textId="00C15DA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Das Verb </w:t>
      </w:r>
      <w:r w:rsidRPr="0098037E">
        <w:rPr>
          <w:rFonts w:eastAsia="Times New Roman" w:cs="Times New Roman"/>
          <w:b/>
          <w:bCs/>
          <w:rtl/>
          <w:lang w:eastAsia="de-DE"/>
        </w:rPr>
        <w:t>וְשָׁחַ֛ט</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שחט</w:t>
      </w:r>
      <w:r w:rsidRPr="0098037E">
        <w:rPr>
          <w:rFonts w:eastAsia="Times New Roman" w:cs="Times New Roman"/>
          <w:rtl/>
          <w:lang w:eastAsia="de-DE"/>
        </w:rPr>
        <w:t xml:space="preserve"> </w:t>
      </w:r>
      <w:r w:rsidRPr="0098037E">
        <w:rPr>
          <w:rFonts w:eastAsia="Times New Roman" w:cs="Times New Roman"/>
          <w:lang w:eastAsia="de-DE"/>
        </w:rPr>
        <w:t xml:space="preserve">(schlachten), 3. Person maskulin Singular. </w:t>
      </w:r>
      <w:r w:rsidRPr="0098037E">
        <w:rPr>
          <w:rFonts w:eastAsia="Times New Roman" w:cs="Times New Roman"/>
          <w:b/>
          <w:bCs/>
          <w:rtl/>
          <w:lang w:eastAsia="de-DE"/>
        </w:rPr>
        <w:t>אֶת־בֶּ֥ן הַבָּקָ֖ר</w:t>
      </w:r>
      <w:r w:rsidRPr="0098037E">
        <w:rPr>
          <w:rFonts w:eastAsia="Times New Roman" w:cs="Times New Roman"/>
          <w:rtl/>
          <w:lang w:eastAsia="de-DE"/>
        </w:rPr>
        <w:t xml:space="preserve"> </w:t>
      </w:r>
      <w:r w:rsidRPr="0098037E">
        <w:rPr>
          <w:rFonts w:eastAsia="Times New Roman" w:cs="Times New Roman"/>
          <w:lang w:eastAsia="de-DE"/>
        </w:rPr>
        <w:t xml:space="preserve">(das junge Rind) verwendet </w:t>
      </w:r>
      <w:r w:rsidRPr="0098037E">
        <w:rPr>
          <w:rFonts w:eastAsia="Times New Roman" w:cs="Times New Roman"/>
          <w:b/>
          <w:bCs/>
          <w:rtl/>
          <w:lang w:eastAsia="de-DE"/>
        </w:rPr>
        <w:t>בֶּן</w:t>
      </w:r>
      <w:r w:rsidRPr="0098037E">
        <w:rPr>
          <w:rFonts w:eastAsia="Times New Roman" w:cs="Times New Roman"/>
          <w:rtl/>
          <w:lang w:eastAsia="de-DE"/>
        </w:rPr>
        <w:t xml:space="preserve"> </w:t>
      </w:r>
      <w:r w:rsidRPr="0098037E">
        <w:rPr>
          <w:rFonts w:eastAsia="Times New Roman" w:cs="Times New Roman"/>
          <w:lang w:eastAsia="de-DE"/>
        </w:rPr>
        <w:t xml:space="preserve">(Sohn/junges Tier) im </w:t>
      </w:r>
      <w:r w:rsidR="005407E2">
        <w:rPr>
          <w:rFonts w:eastAsia="Times New Roman" w:cs="Times New Roman"/>
          <w:lang w:eastAsia="de-DE"/>
        </w:rPr>
        <w:lastRenderedPageBreak/>
        <w:t>Constructus</w:t>
      </w:r>
      <w:r w:rsidRPr="0098037E">
        <w:rPr>
          <w:rFonts w:eastAsia="Times New Roman" w:cs="Times New Roman"/>
          <w:lang w:eastAsia="de-DE"/>
        </w:rPr>
        <w:t xml:space="preserve"> mit </w:t>
      </w:r>
      <w:r w:rsidRPr="0098037E">
        <w:rPr>
          <w:rFonts w:eastAsia="Times New Roman" w:cs="Times New Roman"/>
          <w:b/>
          <w:bCs/>
          <w:rtl/>
          <w:lang w:eastAsia="de-DE"/>
        </w:rPr>
        <w:t>הַבָּקָר</w:t>
      </w:r>
      <w:r w:rsidRPr="0098037E">
        <w:rPr>
          <w:rFonts w:eastAsia="Times New Roman" w:cs="Times New Roman"/>
          <w:rtl/>
          <w:lang w:eastAsia="de-DE"/>
        </w:rPr>
        <w:t xml:space="preserve"> </w:t>
      </w:r>
      <w:r w:rsidRPr="0098037E">
        <w:rPr>
          <w:rFonts w:eastAsia="Times New Roman" w:cs="Times New Roman"/>
          <w:lang w:eastAsia="de-DE"/>
        </w:rPr>
        <w:t xml:space="preserve">(das Rindvieh).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(vor JHWH) markiert den sakralen Kontext der Schlachtung.</w:t>
      </w:r>
    </w:p>
    <w:p w14:paraId="3F56EE2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וְ֠הִקְרִיבוּ</w:t>
      </w:r>
      <w:r w:rsidRPr="0098037E">
        <w:rPr>
          <w:rFonts w:eastAsia="Times New Roman" w:cs="Times New Roman"/>
          <w:rtl/>
          <w:lang w:eastAsia="de-DE"/>
        </w:rPr>
        <w:t xml:space="preserve"> </w:t>
      </w:r>
      <w:r w:rsidRPr="0098037E">
        <w:rPr>
          <w:rFonts w:eastAsia="Times New Roman" w:cs="Times New Roman"/>
          <w:lang w:eastAsia="de-DE"/>
        </w:rPr>
        <w:t xml:space="preserve">ist ein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Plural. </w:t>
      </w:r>
      <w:r w:rsidRPr="0098037E">
        <w:rPr>
          <w:rFonts w:eastAsia="Times New Roman" w:cs="Times New Roman"/>
          <w:b/>
          <w:bCs/>
          <w:rtl/>
          <w:lang w:eastAsia="de-DE"/>
        </w:rPr>
        <w:t>בְּנֵ֨י אַהֲרֹ֤ן הַֽכֹּֽהֲנִים֙</w:t>
      </w:r>
      <w:r w:rsidRPr="0098037E">
        <w:rPr>
          <w:rFonts w:eastAsia="Times New Roman" w:cs="Times New Roman"/>
          <w:rtl/>
          <w:lang w:eastAsia="de-DE"/>
        </w:rPr>
        <w:t xml:space="preserve"> </w:t>
      </w:r>
      <w:r w:rsidRPr="0098037E">
        <w:rPr>
          <w:rFonts w:eastAsia="Times New Roman" w:cs="Times New Roman"/>
          <w:lang w:eastAsia="de-DE"/>
        </w:rPr>
        <w:t xml:space="preserve">(die Söhne Aarons, die Priester) zeigt die Apposition: </w:t>
      </w:r>
      <w:r w:rsidRPr="0098037E">
        <w:rPr>
          <w:rFonts w:eastAsia="Times New Roman" w:cs="Times New Roman"/>
          <w:b/>
          <w:bCs/>
          <w:rtl/>
          <w:lang w:eastAsia="de-DE"/>
        </w:rPr>
        <w:t>בְּנֵי אַהֲרֹן</w:t>
      </w:r>
      <w:r w:rsidRPr="0098037E">
        <w:rPr>
          <w:rFonts w:eastAsia="Times New Roman" w:cs="Times New Roman"/>
          <w:rtl/>
          <w:lang w:eastAsia="de-DE"/>
        </w:rPr>
        <w:t xml:space="preserve"> </w:t>
      </w:r>
      <w:r w:rsidRPr="0098037E">
        <w:rPr>
          <w:rFonts w:eastAsia="Times New Roman" w:cs="Times New Roman"/>
          <w:lang w:eastAsia="de-DE"/>
        </w:rPr>
        <w:t xml:space="preserve">wird durch </w:t>
      </w:r>
      <w:r w:rsidRPr="0098037E">
        <w:rPr>
          <w:rFonts w:eastAsia="Times New Roman" w:cs="Times New Roman"/>
          <w:b/>
          <w:bCs/>
          <w:rtl/>
          <w:lang w:eastAsia="de-DE"/>
        </w:rPr>
        <w:t>הַֽכֹּֽהֲנִים</w:t>
      </w:r>
      <w:r w:rsidRPr="0098037E">
        <w:rPr>
          <w:rFonts w:eastAsia="Times New Roman" w:cs="Times New Roman"/>
          <w:rtl/>
          <w:lang w:eastAsia="de-DE"/>
        </w:rPr>
        <w:t xml:space="preserve"> </w:t>
      </w:r>
      <w:r w:rsidRPr="0098037E">
        <w:rPr>
          <w:rFonts w:eastAsia="Times New Roman" w:cs="Times New Roman"/>
          <w:lang w:eastAsia="de-DE"/>
        </w:rPr>
        <w:t xml:space="preserve">(die Priester) erläutert. </w:t>
      </w:r>
      <w:r w:rsidRPr="0098037E">
        <w:rPr>
          <w:rFonts w:eastAsia="Times New Roman" w:cs="Times New Roman"/>
          <w:b/>
          <w:bCs/>
          <w:rtl/>
          <w:lang w:eastAsia="de-DE"/>
        </w:rPr>
        <w:t>אֶת־הַדָּ֔ם</w:t>
      </w:r>
      <w:r w:rsidRPr="0098037E">
        <w:rPr>
          <w:rFonts w:eastAsia="Times New Roman" w:cs="Times New Roman"/>
          <w:rtl/>
          <w:lang w:eastAsia="de-DE"/>
        </w:rPr>
        <w:t xml:space="preserve"> </w:t>
      </w:r>
      <w:r w:rsidRPr="0098037E">
        <w:rPr>
          <w:rFonts w:eastAsia="Times New Roman" w:cs="Times New Roman"/>
          <w:lang w:eastAsia="de-DE"/>
        </w:rPr>
        <w:t>(das Blut) ist direktes Objekt.</w:t>
      </w:r>
    </w:p>
    <w:p w14:paraId="04FB8B5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koordinierte Verb </w:t>
      </w:r>
      <w:r w:rsidRPr="0098037E">
        <w:rPr>
          <w:rFonts w:eastAsia="Times New Roman" w:cs="Times New Roman"/>
          <w:b/>
          <w:bCs/>
          <w:rtl/>
          <w:lang w:eastAsia="de-DE"/>
        </w:rPr>
        <w:t>וְזָרְק֨וּ</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זרק</w:t>
      </w:r>
      <w:r w:rsidRPr="0098037E">
        <w:rPr>
          <w:rFonts w:eastAsia="Times New Roman" w:cs="Times New Roman"/>
          <w:rtl/>
          <w:lang w:eastAsia="de-DE"/>
        </w:rPr>
        <w:t xml:space="preserve"> </w:t>
      </w:r>
      <w:r w:rsidRPr="0098037E">
        <w:rPr>
          <w:rFonts w:eastAsia="Times New Roman" w:cs="Times New Roman"/>
          <w:lang w:eastAsia="de-DE"/>
        </w:rPr>
        <w:t xml:space="preserve">(spritzen/sprengen), 3. Person maskulin Plural. </w:t>
      </w:r>
      <w:r w:rsidRPr="0098037E">
        <w:rPr>
          <w:rFonts w:eastAsia="Times New Roman" w:cs="Times New Roman"/>
          <w:b/>
          <w:bCs/>
          <w:rtl/>
          <w:lang w:eastAsia="de-DE"/>
        </w:rPr>
        <w:t>עַל־הַמִּזְבֵּ֨חַ֙</w:t>
      </w:r>
      <w:r w:rsidRPr="0098037E">
        <w:rPr>
          <w:rFonts w:eastAsia="Times New Roman" w:cs="Times New Roman"/>
          <w:rtl/>
          <w:lang w:eastAsia="de-DE"/>
        </w:rPr>
        <w:t xml:space="preserve"> </w:t>
      </w:r>
      <w:r w:rsidRPr="0098037E">
        <w:rPr>
          <w:rFonts w:eastAsia="Times New Roman" w:cs="Times New Roman"/>
          <w:lang w:eastAsia="de-DE"/>
        </w:rPr>
        <w:t xml:space="preserve">(auf den Altar) mit </w:t>
      </w:r>
      <w:r w:rsidRPr="0098037E">
        <w:rPr>
          <w:rFonts w:eastAsia="Times New Roman" w:cs="Times New Roman"/>
          <w:b/>
          <w:bCs/>
          <w:rtl/>
          <w:lang w:eastAsia="de-DE"/>
        </w:rPr>
        <w:t>סָבִ֔יב</w:t>
      </w:r>
      <w:r w:rsidRPr="0098037E">
        <w:rPr>
          <w:rFonts w:eastAsia="Times New Roman" w:cs="Times New Roman"/>
          <w:rtl/>
          <w:lang w:eastAsia="de-DE"/>
        </w:rPr>
        <w:t xml:space="preserve"> </w:t>
      </w:r>
      <w:r w:rsidRPr="0098037E">
        <w:rPr>
          <w:rFonts w:eastAsia="Times New Roman" w:cs="Times New Roman"/>
          <w:lang w:eastAsia="de-DE"/>
        </w:rPr>
        <w:t xml:space="preserve">(ringsum) beschreibt die rituelle Blutsprengung. Der Relativsatz </w:t>
      </w:r>
      <w:r w:rsidRPr="0098037E">
        <w:rPr>
          <w:rFonts w:eastAsia="Times New Roman" w:cs="Times New Roman"/>
          <w:b/>
          <w:bCs/>
          <w:rtl/>
          <w:lang w:eastAsia="de-DE"/>
        </w:rPr>
        <w:t>אֲשֶׁר־פֶּ֖תַח אֹ֥הֶל מוֹעֵֽד</w:t>
      </w:r>
      <w:r w:rsidRPr="0098037E">
        <w:rPr>
          <w:rFonts w:eastAsia="Times New Roman" w:cs="Times New Roman"/>
          <w:rtl/>
          <w:lang w:eastAsia="de-DE"/>
        </w:rPr>
        <w:t xml:space="preserve"> </w:t>
      </w:r>
      <w:r w:rsidRPr="0098037E">
        <w:rPr>
          <w:rFonts w:eastAsia="Times New Roman" w:cs="Times New Roman"/>
          <w:lang w:eastAsia="de-DE"/>
        </w:rPr>
        <w:t>(der vor dem Eingang des Zeltes der Begegnung ist) lokalisiert den Altar präzise.</w:t>
      </w:r>
    </w:p>
    <w:p w14:paraId="411E3AE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Trennung zwischen Laienschlachtung und priesterlichem Blutdienst ist bedeutsam: Der Opfernde vollzieht die Schlachtung, aber nur die </w:t>
      </w:r>
      <w:r w:rsidRPr="0098037E">
        <w:rPr>
          <w:rFonts w:eastAsia="Times New Roman" w:cs="Times New Roman"/>
          <w:b/>
          <w:bCs/>
          <w:rtl/>
          <w:lang w:eastAsia="de-DE"/>
        </w:rPr>
        <w:t>כֹּהֲנִים</w:t>
      </w:r>
      <w:r w:rsidRPr="0098037E">
        <w:rPr>
          <w:rFonts w:eastAsia="Times New Roman" w:cs="Times New Roman"/>
          <w:rtl/>
          <w:lang w:eastAsia="de-DE"/>
        </w:rPr>
        <w:t xml:space="preserve"> </w:t>
      </w:r>
      <w:r w:rsidRPr="0098037E">
        <w:rPr>
          <w:rFonts w:eastAsia="Times New Roman" w:cs="Times New Roman"/>
          <w:lang w:eastAsia="de-DE"/>
        </w:rPr>
        <w:t xml:space="preserve">(Priester) dürfen das Blut handhaben. </w:t>
      </w:r>
      <w:r w:rsidRPr="0098037E">
        <w:rPr>
          <w:rFonts w:eastAsia="Times New Roman" w:cs="Times New Roman"/>
          <w:b/>
          <w:bCs/>
          <w:rtl/>
          <w:lang w:eastAsia="de-DE"/>
        </w:rPr>
        <w:t>זרק</w:t>
      </w:r>
      <w:r w:rsidRPr="0098037E">
        <w:rPr>
          <w:rFonts w:eastAsia="Times New Roman" w:cs="Times New Roman"/>
          <w:rtl/>
          <w:lang w:eastAsia="de-DE"/>
        </w:rPr>
        <w:t xml:space="preserve"> </w:t>
      </w:r>
      <w:r w:rsidRPr="0098037E">
        <w:rPr>
          <w:rFonts w:eastAsia="Times New Roman" w:cs="Times New Roman"/>
          <w:lang w:eastAsia="de-DE"/>
        </w:rPr>
        <w:t xml:space="preserve">(spritzen) unterscheidet sich von </w:t>
      </w:r>
      <w:r w:rsidRPr="0098037E">
        <w:rPr>
          <w:rFonts w:eastAsia="Times New Roman" w:cs="Times New Roman"/>
          <w:b/>
          <w:bCs/>
          <w:rtl/>
          <w:lang w:eastAsia="de-DE"/>
        </w:rPr>
        <w:t>נתן</w:t>
      </w:r>
      <w:r w:rsidRPr="0098037E">
        <w:rPr>
          <w:rFonts w:eastAsia="Times New Roman" w:cs="Times New Roman"/>
          <w:rtl/>
          <w:lang w:eastAsia="de-DE"/>
        </w:rPr>
        <w:t xml:space="preserve"> </w:t>
      </w:r>
      <w:r w:rsidRPr="0098037E">
        <w:rPr>
          <w:rFonts w:eastAsia="Times New Roman" w:cs="Times New Roman"/>
          <w:lang w:eastAsia="de-DE"/>
        </w:rPr>
        <w:t>(geben/setzen) durch die dynamische Sprengbewegung.</w:t>
      </w:r>
    </w:p>
    <w:p w14:paraId="3FC6EB77" w14:textId="15143FDD"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BB26EE">
        <w:t xml:space="preserve">zeigt bei </w:t>
      </w:r>
      <w:r w:rsidR="00BB26EE">
        <w:rPr>
          <w:rtl/>
        </w:rPr>
        <w:t>ושחט</w:t>
      </w:r>
      <w:r w:rsidR="00BB26EE">
        <w:t xml:space="preserve"> (</w:t>
      </w:r>
      <w:proofErr w:type="spellStart"/>
      <w:r w:rsidR="00BB26EE">
        <w:t>weschachat</w:t>
      </w:r>
      <w:proofErr w:type="spellEnd"/>
      <w:r w:rsidR="00BB26EE">
        <w:t>) handschriftliche Variation zwischen Singular- und Pluralformen, was unterschiedliche Auffassungen über die rituelle Durchführung widerspiegelt. Diese textkritische Unsicherheit erfordert eine detailliertere Analyse der Handschriftenfamilien, um die ursprüngliche Übersetzungsintention zu klären - eine Untersuchung, die jedoch den Rahmen dieses Kommentars übersteigen würde.</w:t>
      </w:r>
    </w:p>
    <w:p w14:paraId="4D44008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drei koordinierte Hauptsätze mit Waw-Konsekutiv: Verb + Objekt + Adverbialbestimmung // Verb + Subjekt + Objekt // Verb + Objekt + Adverbialbestimmung + Relativsatz. Der Relativsatz fungiert als Attributsatz zum Altar.</w:t>
      </w:r>
    </w:p>
    <w:p w14:paraId="44D4519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entscheidende Unterscheidung zwischen Laien- und Priesterfunktionen im Opferkult und betont die zentrale Bedeutung des Blutes im Sühneprozess.</w:t>
      </w:r>
    </w:p>
    <w:p w14:paraId="204C04C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1,6</w:t>
      </w:r>
    </w:p>
    <w:p w14:paraId="1F60DD4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וְהִפְשִׁ֖יט אֶת־הָעֹלָ֑ה וְנִתַּ֥ח אֹתָ֖הּ לִנְתָחֶֽיהָ׃</w:t>
      </w:r>
    </w:p>
    <w:p w14:paraId="6214C39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dem Aufsteigeopfer die Haut abziehen und es in seine Stücke zerlegen.</w:t>
      </w:r>
    </w:p>
    <w:p w14:paraId="51A0E59A"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D6D9F3C">
          <v:rect id="_x0000_i1030" style="width:0;height:1.5pt" o:hralign="center" o:hrstd="t" o:hr="t" fillcolor="#a0a0a0" stroked="f"/>
        </w:pict>
      </w:r>
    </w:p>
    <w:p w14:paraId="24952C0C" w14:textId="3EF1B98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Das Verb </w:t>
      </w:r>
      <w:r w:rsidRPr="0098037E">
        <w:rPr>
          <w:rFonts w:eastAsia="Times New Roman" w:cs="Times New Roman"/>
          <w:b/>
          <w:bCs/>
          <w:rtl/>
          <w:lang w:eastAsia="de-DE"/>
        </w:rPr>
        <w:t>וְהִפְשִׁ֖יט</w:t>
      </w:r>
      <w:r w:rsidRPr="0098037E">
        <w:rPr>
          <w:rFonts w:eastAsia="Times New Roman" w:cs="Times New Roman"/>
          <w:rtl/>
          <w:lang w:eastAsia="de-DE"/>
        </w:rPr>
        <w:t xml:space="preserve"> </w:t>
      </w:r>
      <w:r w:rsidRPr="0098037E">
        <w:rPr>
          <w:rFonts w:eastAsia="Times New Roman" w:cs="Times New Roman"/>
          <w:lang w:eastAsia="de-DE"/>
        </w:rPr>
        <w:t xml:space="preserve">ist ein Hifil-Perfekt mit Waw-Konsekutiv von </w:t>
      </w:r>
      <w:r w:rsidRPr="0098037E">
        <w:rPr>
          <w:rFonts w:eastAsia="Times New Roman" w:cs="Times New Roman"/>
          <w:b/>
          <w:bCs/>
          <w:rtl/>
          <w:lang w:eastAsia="de-DE"/>
        </w:rPr>
        <w:t>פשט</w:t>
      </w:r>
      <w:r w:rsidRPr="0098037E">
        <w:rPr>
          <w:rFonts w:eastAsia="Times New Roman" w:cs="Times New Roman"/>
          <w:rtl/>
          <w:lang w:eastAsia="de-DE"/>
        </w:rPr>
        <w:t xml:space="preserve"> </w:t>
      </w:r>
      <w:r w:rsidRPr="0098037E">
        <w:rPr>
          <w:rFonts w:eastAsia="Times New Roman" w:cs="Times New Roman"/>
          <w:lang w:eastAsia="de-DE"/>
        </w:rPr>
        <w:t xml:space="preserve">(ausbreiten/abziehen), 3. Person maskulin Singular. Das Hifil verleiht kausative Bedeutung: "die Haut abziehen lassen" oder "häuten". </w:t>
      </w:r>
      <w:r w:rsidRPr="0098037E">
        <w:rPr>
          <w:rFonts w:eastAsia="Times New Roman" w:cs="Times New Roman"/>
          <w:b/>
          <w:bCs/>
          <w:rtl/>
          <w:lang w:eastAsia="de-DE"/>
        </w:rPr>
        <w:t>אֶת־הָעֹלָ֑ה</w:t>
      </w:r>
      <w:r w:rsidRPr="0098037E">
        <w:rPr>
          <w:rFonts w:eastAsia="Times New Roman" w:cs="Times New Roman"/>
          <w:rtl/>
          <w:lang w:eastAsia="de-DE"/>
        </w:rPr>
        <w:t xml:space="preserve"> </w:t>
      </w:r>
      <w:r w:rsidRPr="0098037E">
        <w:rPr>
          <w:rFonts w:eastAsia="Times New Roman" w:cs="Times New Roman"/>
          <w:lang w:eastAsia="de-DE"/>
        </w:rPr>
        <w:t xml:space="preserve">(das </w:t>
      </w:r>
      <w:r w:rsidR="00CF10E7">
        <w:rPr>
          <w:rFonts w:eastAsia="Times New Roman" w:cs="Times New Roman"/>
          <w:lang w:eastAsia="de-DE"/>
        </w:rPr>
        <w:t>Aufsteigeopfer</w:t>
      </w:r>
      <w:r w:rsidRPr="0098037E">
        <w:rPr>
          <w:rFonts w:eastAsia="Times New Roman" w:cs="Times New Roman"/>
          <w:lang w:eastAsia="de-DE"/>
        </w:rPr>
        <w:t>) ist direktes Objekt mit Nota accusativi.</w:t>
      </w:r>
    </w:p>
    <w:p w14:paraId="09C79FCE" w14:textId="4BCFA08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zweite Verb </w:t>
      </w:r>
      <w:r w:rsidRPr="0098037E">
        <w:rPr>
          <w:rFonts w:eastAsia="Times New Roman" w:cs="Times New Roman"/>
          <w:b/>
          <w:bCs/>
          <w:rtl/>
          <w:lang w:eastAsia="de-DE"/>
        </w:rPr>
        <w:t>וְנִתַּ֥ח</w:t>
      </w:r>
      <w:r w:rsidRPr="0098037E">
        <w:rPr>
          <w:rFonts w:eastAsia="Times New Roman" w:cs="Times New Roman"/>
          <w:rtl/>
          <w:lang w:eastAsia="de-DE"/>
        </w:rPr>
        <w:t xml:space="preserve"> </w:t>
      </w:r>
      <w:r w:rsidRPr="0098037E">
        <w:rPr>
          <w:rFonts w:eastAsia="Times New Roman" w:cs="Times New Roman"/>
          <w:lang w:eastAsia="de-DE"/>
        </w:rPr>
        <w:t xml:space="preserve">ist ein Piel-Perfekt mit Waw-Konsekutiv von </w:t>
      </w:r>
      <w:r w:rsidRPr="0098037E">
        <w:rPr>
          <w:rFonts w:eastAsia="Times New Roman" w:cs="Times New Roman"/>
          <w:b/>
          <w:bCs/>
          <w:rtl/>
          <w:lang w:eastAsia="de-DE"/>
        </w:rPr>
        <w:t>נתח</w:t>
      </w:r>
      <w:r w:rsidRPr="0098037E">
        <w:rPr>
          <w:rFonts w:eastAsia="Times New Roman" w:cs="Times New Roman"/>
          <w:rtl/>
          <w:lang w:eastAsia="de-DE"/>
        </w:rPr>
        <w:t xml:space="preserve"> </w:t>
      </w:r>
      <w:r w:rsidRPr="0098037E">
        <w:rPr>
          <w:rFonts w:eastAsia="Times New Roman" w:cs="Times New Roman"/>
          <w:lang w:eastAsia="de-DE"/>
        </w:rPr>
        <w:t xml:space="preserve">(zerstückeln), 3. Person maskulin Singular. Das Piel drückt intensive oder kausative Handlung aus. </w:t>
      </w:r>
      <w:r w:rsidRPr="0098037E">
        <w:rPr>
          <w:rFonts w:eastAsia="Times New Roman" w:cs="Times New Roman"/>
          <w:b/>
          <w:bCs/>
          <w:rtl/>
          <w:lang w:eastAsia="de-DE"/>
        </w:rPr>
        <w:t>אֹתָ֖הּ</w:t>
      </w:r>
      <w:r w:rsidRPr="0098037E">
        <w:rPr>
          <w:rFonts w:eastAsia="Times New Roman" w:cs="Times New Roman"/>
          <w:rtl/>
          <w:lang w:eastAsia="de-DE"/>
        </w:rPr>
        <w:t xml:space="preserve"> </w:t>
      </w:r>
      <w:r w:rsidRPr="0098037E">
        <w:rPr>
          <w:rFonts w:eastAsia="Times New Roman" w:cs="Times New Roman"/>
          <w:lang w:eastAsia="de-DE"/>
        </w:rPr>
        <w:t xml:space="preserve">(es) mit </w:t>
      </w:r>
      <w:r w:rsidR="00E35C31">
        <w:rPr>
          <w:rFonts w:eastAsia="Times New Roman" w:cs="Times New Roman"/>
          <w:lang w:eastAsia="de-DE"/>
        </w:rPr>
        <w:t>femininem</w:t>
      </w:r>
      <w:r w:rsidRPr="0098037E">
        <w:rPr>
          <w:rFonts w:eastAsia="Times New Roman" w:cs="Times New Roman"/>
          <w:lang w:eastAsia="de-DE"/>
        </w:rPr>
        <w:t xml:space="preserve"> Suffix bezieht sich auf </w:t>
      </w:r>
      <w:r w:rsidRPr="0098037E">
        <w:rPr>
          <w:rFonts w:eastAsia="Times New Roman" w:cs="Times New Roman"/>
          <w:b/>
          <w:bCs/>
          <w:rtl/>
          <w:lang w:eastAsia="de-DE"/>
        </w:rPr>
        <w:t>הָעֹלָה</w:t>
      </w:r>
      <w:r w:rsidRPr="0098037E">
        <w:rPr>
          <w:rFonts w:eastAsia="Times New Roman" w:cs="Times New Roman"/>
          <w:rtl/>
          <w:lang w:eastAsia="de-DE"/>
        </w:rPr>
        <w:t xml:space="preserve"> </w:t>
      </w:r>
      <w:r w:rsidRPr="0098037E">
        <w:rPr>
          <w:rFonts w:eastAsia="Times New Roman" w:cs="Times New Roman"/>
          <w:lang w:eastAsia="de-DE"/>
        </w:rPr>
        <w:t xml:space="preserve">zurück, da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grammatisch feminin ist. </w:t>
      </w:r>
      <w:r w:rsidRPr="0098037E">
        <w:rPr>
          <w:rFonts w:eastAsia="Times New Roman" w:cs="Times New Roman"/>
          <w:b/>
          <w:bCs/>
          <w:rtl/>
          <w:lang w:eastAsia="de-DE"/>
        </w:rPr>
        <w:t>לִנְתָחֶֽיהָ</w:t>
      </w:r>
      <w:r w:rsidRPr="0098037E">
        <w:rPr>
          <w:rFonts w:eastAsia="Times New Roman" w:cs="Times New Roman"/>
          <w:rtl/>
          <w:lang w:eastAsia="de-DE"/>
        </w:rPr>
        <w:t xml:space="preserve"> </w:t>
      </w:r>
      <w:r w:rsidRPr="0098037E">
        <w:rPr>
          <w:rFonts w:eastAsia="Times New Roman" w:cs="Times New Roman"/>
          <w:lang w:eastAsia="de-DE"/>
        </w:rPr>
        <w:t xml:space="preserve">(zu ihren Stücken) verwendet die Präposition </w:t>
      </w:r>
      <w:r w:rsidRPr="0098037E">
        <w:rPr>
          <w:rFonts w:eastAsia="Times New Roman" w:cs="Times New Roman"/>
          <w:b/>
          <w:bCs/>
          <w:rtl/>
          <w:lang w:eastAsia="de-DE"/>
        </w:rPr>
        <w:t>לְ</w:t>
      </w:r>
      <w:r w:rsidRPr="0098037E">
        <w:rPr>
          <w:rFonts w:eastAsia="Times New Roman" w:cs="Times New Roman"/>
          <w:rtl/>
          <w:lang w:eastAsia="de-DE"/>
        </w:rPr>
        <w:t xml:space="preserve"> </w:t>
      </w:r>
      <w:r w:rsidRPr="0098037E">
        <w:rPr>
          <w:rFonts w:eastAsia="Times New Roman" w:cs="Times New Roman"/>
          <w:lang w:eastAsia="de-DE"/>
        </w:rPr>
        <w:t xml:space="preserve">mit </w:t>
      </w:r>
      <w:r w:rsidRPr="0098037E">
        <w:rPr>
          <w:rFonts w:eastAsia="Times New Roman" w:cs="Times New Roman"/>
          <w:b/>
          <w:bCs/>
          <w:rtl/>
          <w:lang w:eastAsia="de-DE"/>
        </w:rPr>
        <w:t>נְתָחִים</w:t>
      </w:r>
      <w:r w:rsidRPr="0098037E">
        <w:rPr>
          <w:rFonts w:eastAsia="Times New Roman" w:cs="Times New Roman"/>
          <w:rtl/>
          <w:lang w:eastAsia="de-DE"/>
        </w:rPr>
        <w:t xml:space="preserve"> </w:t>
      </w:r>
      <w:r w:rsidRPr="0098037E">
        <w:rPr>
          <w:rFonts w:eastAsia="Times New Roman" w:cs="Times New Roman"/>
          <w:lang w:eastAsia="de-DE"/>
        </w:rPr>
        <w:t>(Stücke) im Plural mit Possessivsuffix 3. Person feminin Singular.</w:t>
      </w:r>
    </w:p>
    <w:p w14:paraId="4A4A545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Die Reihenfolge der Verarbeitung ist bedeutsam: Erst wird die Haut entfernt (</w:t>
      </w:r>
      <w:r w:rsidRPr="0098037E">
        <w:rPr>
          <w:rFonts w:eastAsia="Times New Roman" w:cs="Times New Roman"/>
          <w:b/>
          <w:bCs/>
          <w:rtl/>
          <w:lang w:eastAsia="de-DE"/>
        </w:rPr>
        <w:t>הפשיט</w:t>
      </w:r>
      <w:r w:rsidRPr="0098037E">
        <w:rPr>
          <w:rFonts w:eastAsia="Times New Roman" w:cs="Times New Roman"/>
          <w:lang w:eastAsia="de-DE"/>
        </w:rPr>
        <w:t>), dann erfolgt die Zerlegung (</w:t>
      </w:r>
      <w:r w:rsidRPr="0098037E">
        <w:rPr>
          <w:rFonts w:eastAsia="Times New Roman" w:cs="Times New Roman"/>
          <w:b/>
          <w:bCs/>
          <w:rtl/>
          <w:lang w:eastAsia="de-DE"/>
        </w:rPr>
        <w:t>נתח</w:t>
      </w:r>
      <w:r w:rsidRPr="0098037E">
        <w:rPr>
          <w:rFonts w:eastAsia="Times New Roman" w:cs="Times New Roman"/>
          <w:lang w:eastAsia="de-DE"/>
        </w:rPr>
        <w:t xml:space="preserve">). </w:t>
      </w:r>
      <w:r w:rsidRPr="0098037E">
        <w:rPr>
          <w:rFonts w:eastAsia="Times New Roman" w:cs="Times New Roman"/>
          <w:b/>
          <w:bCs/>
          <w:rtl/>
          <w:lang w:eastAsia="de-DE"/>
        </w:rPr>
        <w:t>נְתָחִים</w:t>
      </w:r>
      <w:r w:rsidRPr="0098037E">
        <w:rPr>
          <w:rFonts w:eastAsia="Times New Roman" w:cs="Times New Roman"/>
          <w:rtl/>
          <w:lang w:eastAsia="de-DE"/>
        </w:rPr>
        <w:t xml:space="preserve"> </w:t>
      </w:r>
      <w:r w:rsidRPr="0098037E">
        <w:rPr>
          <w:rFonts w:eastAsia="Times New Roman" w:cs="Times New Roman"/>
          <w:lang w:eastAsia="de-DE"/>
        </w:rPr>
        <w:t>bezeichnet die rituell korrekten Fleischstücke für die Altardarbringung. Die Haut (</w:t>
      </w:r>
      <w:r w:rsidRPr="0098037E">
        <w:rPr>
          <w:rFonts w:eastAsia="Times New Roman" w:cs="Times New Roman"/>
          <w:b/>
          <w:bCs/>
          <w:rtl/>
          <w:lang w:eastAsia="de-DE"/>
        </w:rPr>
        <w:t>עור</w:t>
      </w:r>
      <w:r w:rsidRPr="0098037E">
        <w:rPr>
          <w:rFonts w:eastAsia="Times New Roman" w:cs="Times New Roman"/>
          <w:lang w:eastAsia="de-DE"/>
        </w:rPr>
        <w:t>) verbleibt beim Priester als dessen Anteil (Lev 7,8).</w:t>
      </w:r>
    </w:p>
    <w:p w14:paraId="2092516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וְהִפְשִׁ֖יט</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ἐκδείρει</w:t>
      </w:r>
      <w:proofErr w:type="spellEnd"/>
      <w:r w:rsidRPr="0098037E">
        <w:rPr>
          <w:rFonts w:eastAsia="Times New Roman" w:cs="Times New Roman"/>
          <w:lang w:eastAsia="de-DE"/>
        </w:rPr>
        <w:t xml:space="preserve"> (und er soll abhäuten) und </w:t>
      </w:r>
      <w:r w:rsidRPr="0098037E">
        <w:rPr>
          <w:rFonts w:eastAsia="Times New Roman" w:cs="Times New Roman"/>
          <w:b/>
          <w:bCs/>
          <w:rtl/>
          <w:lang w:eastAsia="de-DE"/>
        </w:rPr>
        <w:t>וְנִתַּ֥ח</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διελεῖ</w:t>
      </w:r>
      <w:proofErr w:type="spellEnd"/>
      <w:r w:rsidRPr="0098037E">
        <w:rPr>
          <w:rFonts w:eastAsia="Times New Roman" w:cs="Times New Roman"/>
          <w:lang w:eastAsia="de-DE"/>
        </w:rPr>
        <w:t xml:space="preserve"> (und er soll zerteilen), was die praktischen Aspekte der Fleischverarbeitung präzise wiedergibt.</w:t>
      </w:r>
    </w:p>
    <w:p w14:paraId="284A381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besteht aus zwei koordinierten Hauptsätzen mit Waw-Konsekutiv: Verb + Objekt // Verb + Objekt + Adverbialbestimmung. Beide Sätze sind syntaktisch gleichwertige Hauptsätze ohne Nebensätze.</w:t>
      </w:r>
    </w:p>
    <w:p w14:paraId="4257538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beschreibt die praktische Vorbereitung des Opfertieres für die Verbrennung und zeigt die systematische Vorgehensweise der Opferverarbeitung.</w:t>
      </w:r>
    </w:p>
    <w:p w14:paraId="2B2C3537"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1,7</w:t>
      </w:r>
    </w:p>
    <w:p w14:paraId="5A024A4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וְ֠נָתְנוּ בְּנֵ֨י אַהֲרֹ֧ן הַכֹּהֵ֛ן אֵ֖שׁ עַל־הַמִּזְבֵּ֑חַ וְעָרְכ֥וּ עֵצִ֖ים עַל־הָאֵֽשׁ׃</w:t>
      </w:r>
    </w:p>
    <w:p w14:paraId="24E89B0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Söhne 'Aharons, des Priesters, sollen Feuer auf den Altar legen und Holz auf dem Feuer richten.</w:t>
      </w:r>
    </w:p>
    <w:p w14:paraId="0A9114F9"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1828BBA">
          <v:rect id="_x0000_i1031" style="width:0;height:1.5pt" o:hralign="center" o:hrstd="t" o:hr="t" fillcolor="#a0a0a0" stroked="f"/>
        </w:pict>
      </w:r>
    </w:p>
    <w:p w14:paraId="7ADE405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Das Verb </w:t>
      </w:r>
      <w:r w:rsidRPr="0098037E">
        <w:rPr>
          <w:rFonts w:eastAsia="Times New Roman" w:cs="Times New Roman"/>
          <w:b/>
          <w:bCs/>
          <w:rtl/>
          <w:lang w:eastAsia="de-DE"/>
        </w:rPr>
        <w:t>וְ֠נָתְנוּ</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נתן</w:t>
      </w:r>
      <w:r w:rsidRPr="0098037E">
        <w:rPr>
          <w:rFonts w:eastAsia="Times New Roman" w:cs="Times New Roman"/>
          <w:rtl/>
          <w:lang w:eastAsia="de-DE"/>
        </w:rPr>
        <w:t xml:space="preserve"> </w:t>
      </w:r>
      <w:r w:rsidRPr="0098037E">
        <w:rPr>
          <w:rFonts w:eastAsia="Times New Roman" w:cs="Times New Roman"/>
          <w:lang w:eastAsia="de-DE"/>
        </w:rPr>
        <w:t xml:space="preserve">(geben/setzen/legen), 3. Person maskulin Plural. </w:t>
      </w:r>
      <w:r w:rsidRPr="0098037E">
        <w:rPr>
          <w:rFonts w:eastAsia="Times New Roman" w:cs="Times New Roman"/>
          <w:b/>
          <w:bCs/>
          <w:rtl/>
          <w:lang w:eastAsia="de-DE"/>
        </w:rPr>
        <w:t>בְּנֵ֨י אַהֲרֹ֧ן הַכֹּהֵ֛ן</w:t>
      </w:r>
      <w:r w:rsidRPr="0098037E">
        <w:rPr>
          <w:rFonts w:eastAsia="Times New Roman" w:cs="Times New Roman"/>
          <w:rtl/>
          <w:lang w:eastAsia="de-DE"/>
        </w:rPr>
        <w:t xml:space="preserve"> </w:t>
      </w:r>
      <w:r w:rsidRPr="0098037E">
        <w:rPr>
          <w:rFonts w:eastAsia="Times New Roman" w:cs="Times New Roman"/>
          <w:lang w:eastAsia="de-DE"/>
        </w:rPr>
        <w:t xml:space="preserve">(die Söhne Aarons, des Priesters) zeigt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als Apposition zu </w:t>
      </w:r>
      <w:r w:rsidRPr="0098037E">
        <w:rPr>
          <w:rFonts w:eastAsia="Times New Roman" w:cs="Times New Roman"/>
          <w:b/>
          <w:bCs/>
          <w:rtl/>
          <w:lang w:eastAsia="de-DE"/>
        </w:rPr>
        <w:t>אַהֲרֹ֧ן</w:t>
      </w:r>
      <w:r w:rsidRPr="0098037E">
        <w:rPr>
          <w:rFonts w:eastAsia="Times New Roman" w:cs="Times New Roman"/>
          <w:lang w:eastAsia="de-DE"/>
        </w:rPr>
        <w:t xml:space="preserve">. </w:t>
      </w:r>
      <w:r w:rsidRPr="0098037E">
        <w:rPr>
          <w:rFonts w:eastAsia="Times New Roman" w:cs="Times New Roman"/>
          <w:b/>
          <w:bCs/>
          <w:rtl/>
          <w:lang w:eastAsia="de-DE"/>
        </w:rPr>
        <w:t>אֵ֖שׁ</w:t>
      </w:r>
      <w:r w:rsidRPr="0098037E">
        <w:rPr>
          <w:rFonts w:eastAsia="Times New Roman" w:cs="Times New Roman"/>
          <w:rtl/>
          <w:lang w:eastAsia="de-DE"/>
        </w:rPr>
        <w:t xml:space="preserve"> </w:t>
      </w:r>
      <w:r w:rsidRPr="0098037E">
        <w:rPr>
          <w:rFonts w:eastAsia="Times New Roman" w:cs="Times New Roman"/>
          <w:lang w:eastAsia="de-DE"/>
        </w:rPr>
        <w:t xml:space="preserve">(Feuer) ist direktes Objekt, </w:t>
      </w:r>
      <w:r w:rsidRPr="0098037E">
        <w:rPr>
          <w:rFonts w:eastAsia="Times New Roman" w:cs="Times New Roman"/>
          <w:b/>
          <w:bCs/>
          <w:rtl/>
          <w:lang w:eastAsia="de-DE"/>
        </w:rPr>
        <w:t>עַל־הַמִּזְבֵּ֑חַ</w:t>
      </w:r>
      <w:r w:rsidRPr="0098037E">
        <w:rPr>
          <w:rFonts w:eastAsia="Times New Roman" w:cs="Times New Roman"/>
          <w:rtl/>
          <w:lang w:eastAsia="de-DE"/>
        </w:rPr>
        <w:t xml:space="preserve"> </w:t>
      </w:r>
      <w:r w:rsidRPr="0098037E">
        <w:rPr>
          <w:rFonts w:eastAsia="Times New Roman" w:cs="Times New Roman"/>
          <w:lang w:eastAsia="de-DE"/>
        </w:rPr>
        <w:t>(auf den Altar) Adverbialbestimmung des Ortes.</w:t>
      </w:r>
    </w:p>
    <w:p w14:paraId="3B581A8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Das koordinierte Verb </w:t>
      </w:r>
      <w:r w:rsidRPr="0098037E">
        <w:rPr>
          <w:rFonts w:eastAsia="Times New Roman" w:cs="Times New Roman"/>
          <w:b/>
          <w:bCs/>
          <w:rtl/>
          <w:lang w:eastAsia="de-DE"/>
        </w:rPr>
        <w:t>וְעָרְכ֥וּ</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ערך</w:t>
      </w:r>
      <w:r w:rsidRPr="0098037E">
        <w:rPr>
          <w:rFonts w:eastAsia="Times New Roman" w:cs="Times New Roman"/>
          <w:rtl/>
          <w:lang w:eastAsia="de-DE"/>
        </w:rPr>
        <w:t xml:space="preserve"> </w:t>
      </w:r>
      <w:r w:rsidRPr="0098037E">
        <w:rPr>
          <w:rFonts w:eastAsia="Times New Roman" w:cs="Times New Roman"/>
          <w:lang w:eastAsia="de-DE"/>
        </w:rPr>
        <w:t xml:space="preserve">(anordnen/schichten), 3. Person maskulin Plural. </w:t>
      </w:r>
      <w:r w:rsidRPr="0098037E">
        <w:rPr>
          <w:rFonts w:eastAsia="Times New Roman" w:cs="Times New Roman"/>
          <w:b/>
          <w:bCs/>
          <w:rtl/>
          <w:lang w:eastAsia="de-DE"/>
        </w:rPr>
        <w:t>עֵצִ֖ים</w:t>
      </w:r>
      <w:r w:rsidRPr="0098037E">
        <w:rPr>
          <w:rFonts w:eastAsia="Times New Roman" w:cs="Times New Roman"/>
          <w:rtl/>
          <w:lang w:eastAsia="de-DE"/>
        </w:rPr>
        <w:t xml:space="preserve"> </w:t>
      </w:r>
      <w:r w:rsidRPr="0098037E">
        <w:rPr>
          <w:rFonts w:eastAsia="Times New Roman" w:cs="Times New Roman"/>
          <w:lang w:eastAsia="de-DE"/>
        </w:rPr>
        <w:t xml:space="preserve">(Hölzer/Holzscheite) als direktes Objekt, </w:t>
      </w:r>
      <w:r w:rsidRPr="0098037E">
        <w:rPr>
          <w:rFonts w:eastAsia="Times New Roman" w:cs="Times New Roman"/>
          <w:b/>
          <w:bCs/>
          <w:rtl/>
          <w:lang w:eastAsia="de-DE"/>
        </w:rPr>
        <w:t>עַל־הָאֵֽשׁ</w:t>
      </w:r>
      <w:r w:rsidRPr="0098037E">
        <w:rPr>
          <w:rFonts w:eastAsia="Times New Roman" w:cs="Times New Roman"/>
          <w:rtl/>
          <w:lang w:eastAsia="de-DE"/>
        </w:rPr>
        <w:t xml:space="preserve"> </w:t>
      </w:r>
      <w:r w:rsidRPr="0098037E">
        <w:rPr>
          <w:rFonts w:eastAsia="Times New Roman" w:cs="Times New Roman"/>
          <w:lang w:eastAsia="de-DE"/>
        </w:rPr>
        <w:t xml:space="preserve">(auf das Feuer) als Ortsangabe. Die Wurzel </w:t>
      </w:r>
      <w:r w:rsidRPr="0098037E">
        <w:rPr>
          <w:rFonts w:eastAsia="Times New Roman" w:cs="Times New Roman"/>
          <w:b/>
          <w:bCs/>
          <w:rtl/>
          <w:lang w:eastAsia="de-DE"/>
        </w:rPr>
        <w:t>ערך</w:t>
      </w:r>
      <w:r w:rsidRPr="0098037E">
        <w:rPr>
          <w:rFonts w:eastAsia="Times New Roman" w:cs="Times New Roman"/>
          <w:rtl/>
          <w:lang w:eastAsia="de-DE"/>
        </w:rPr>
        <w:t xml:space="preserve"> </w:t>
      </w:r>
      <w:r w:rsidRPr="0098037E">
        <w:rPr>
          <w:rFonts w:eastAsia="Times New Roman" w:cs="Times New Roman"/>
          <w:lang w:eastAsia="de-DE"/>
        </w:rPr>
        <w:t>bedeutet grundlegend "in Reihen ordnen" und bezeichnet hier das systematische Schichten des Brennholzes.</w:t>
      </w:r>
    </w:p>
    <w:p w14:paraId="3DFFB3A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Betonung liegt auf der priesterlichen Verantwortung für das Altarfeuer. </w:t>
      </w:r>
      <w:r w:rsidRPr="0098037E">
        <w:rPr>
          <w:rFonts w:eastAsia="Times New Roman" w:cs="Times New Roman"/>
          <w:b/>
          <w:bCs/>
          <w:rtl/>
          <w:lang w:eastAsia="de-DE"/>
        </w:rPr>
        <w:t>אֵשׁ</w:t>
      </w:r>
      <w:r w:rsidRPr="0098037E">
        <w:rPr>
          <w:rFonts w:eastAsia="Times New Roman" w:cs="Times New Roman"/>
          <w:rtl/>
          <w:lang w:eastAsia="de-DE"/>
        </w:rPr>
        <w:t xml:space="preserve"> </w:t>
      </w:r>
      <w:r w:rsidRPr="0098037E">
        <w:rPr>
          <w:rFonts w:eastAsia="Times New Roman" w:cs="Times New Roman"/>
          <w:lang w:eastAsia="de-DE"/>
        </w:rPr>
        <w:t xml:space="preserve">kann sowohl natürliches als auch das göttliche Feuer bezeichnen, das nach Lev 9,24 vom Himmel fiel und permanent brennen sollte (Lev 6,6). </w:t>
      </w:r>
      <w:r w:rsidRPr="0098037E">
        <w:rPr>
          <w:rFonts w:eastAsia="Times New Roman" w:cs="Times New Roman"/>
          <w:b/>
          <w:bCs/>
          <w:rtl/>
          <w:lang w:eastAsia="de-DE"/>
        </w:rPr>
        <w:t>עֵצִים</w:t>
      </w:r>
      <w:r w:rsidRPr="0098037E">
        <w:rPr>
          <w:rFonts w:eastAsia="Times New Roman" w:cs="Times New Roman"/>
          <w:rtl/>
          <w:lang w:eastAsia="de-DE"/>
        </w:rPr>
        <w:t xml:space="preserve"> </w:t>
      </w:r>
      <w:r w:rsidRPr="0098037E">
        <w:rPr>
          <w:rFonts w:eastAsia="Times New Roman" w:cs="Times New Roman"/>
          <w:lang w:eastAsia="de-DE"/>
        </w:rPr>
        <w:t>im Plural bezeichnet die für das Opfer notwendigen Holzscheite unterschiedlicher Größe.</w:t>
      </w:r>
    </w:p>
    <w:p w14:paraId="159B96AA" w14:textId="40C5A93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BB26EE">
        <w:t xml:space="preserve">zeigt textkritische Variation bei </w:t>
      </w:r>
      <w:r w:rsidR="00BB26EE">
        <w:rPr>
          <w:rtl/>
        </w:rPr>
        <w:t>בני אהרן הכהן</w:t>
      </w:r>
      <w:r w:rsidR="00BB26EE">
        <w:t xml:space="preserve"> (</w:t>
      </w:r>
      <w:proofErr w:type="spellStart"/>
      <w:r w:rsidR="00BB26EE">
        <w:t>benei</w:t>
      </w:r>
      <w:proofErr w:type="spellEnd"/>
      <w:r w:rsidR="00BB26EE">
        <w:t xml:space="preserve"> Aharon </w:t>
      </w:r>
      <w:proofErr w:type="spellStart"/>
      <w:r w:rsidR="00BB26EE">
        <w:t>hakohen</w:t>
      </w:r>
      <w:proofErr w:type="spellEnd"/>
      <w:r w:rsidR="00BB26EE">
        <w:t xml:space="preserve">): Während der hebräische Text </w:t>
      </w:r>
      <w:r w:rsidR="00BB26EE">
        <w:rPr>
          <w:rtl/>
        </w:rPr>
        <w:t>הַכֹּהֵן</w:t>
      </w:r>
      <w:r w:rsidR="00BB26EE">
        <w:t xml:space="preserve"> im Singular verwendet, bieten griechische Handschriften sowohl </w:t>
      </w:r>
      <w:proofErr w:type="spellStart"/>
      <w:r w:rsidR="00BB26EE">
        <w:t>οἱ</w:t>
      </w:r>
      <w:proofErr w:type="spellEnd"/>
      <w:r w:rsidR="00BB26EE">
        <w:t xml:space="preserve"> </w:t>
      </w:r>
      <w:proofErr w:type="spellStart"/>
      <w:r w:rsidR="00BB26EE">
        <w:t>ἱερεῖς</w:t>
      </w:r>
      <w:proofErr w:type="spellEnd"/>
      <w:r w:rsidR="00BB26EE">
        <w:t xml:space="preserve"> (Plural) als auch ὁ </w:t>
      </w:r>
      <w:proofErr w:type="spellStart"/>
      <w:r w:rsidR="00BB26EE">
        <w:t>ἱερεύς</w:t>
      </w:r>
      <w:proofErr w:type="spellEnd"/>
      <w:r w:rsidR="00BB26EE">
        <w:t xml:space="preserve"> (Singular), was unterschiedliche Interpretationen der Aaronidenfunktion widerspiegelt.</w:t>
      </w:r>
    </w:p>
    <w:p w14:paraId="0CEFA37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mit Waw-Konsekutiv: Verb + Subjekt + Objekt + Adverbialbestimmung // Verb + Objekt + Adverbialbestimmung. Beide Sätze sind syntaktisch gleichwertige Hauptsätze ohne Nebensätze.</w:t>
      </w:r>
    </w:p>
    <w:p w14:paraId="605DFBE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priesterliche Verantwortung für die Vorbereitung des Altarfeuers und betont die systematische Ordnung des Opferdienstes.</w:t>
      </w:r>
    </w:p>
    <w:p w14:paraId="1096465C"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lastRenderedPageBreak/>
        <w:t>Leviticus 1,8</w:t>
      </w:r>
    </w:p>
    <w:p w14:paraId="7015DEA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וְעָרְכ֗וּ בְּנֵ֤י אַהֲרֹן֙ הַכֹּ֣הֲנִ֔ים אֵ֚ת הַנְּתָחִ֔ים אֶת־הָרֹ֖אשׁ וְאֶת־הַפָּ֑דֶר עַל־הָעֵצִים֙ אֲשֶׁ֣ר עַל־הָאֵ֔שׁ אֲשֶׁ֖ר עַל־הַמִּזְבֵּֽחַ׃</w:t>
      </w:r>
    </w:p>
    <w:p w14:paraId="120CC04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Söhne 'Aharons, die Priester, sollen die Stücke, den Kopf und das Fett auf dem Holz richten, das auf dem Feuer ist, das auf dem Altar ist.</w:t>
      </w:r>
    </w:p>
    <w:p w14:paraId="0E3A5D5C"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837361F">
          <v:rect id="_x0000_i1032" style="width:0;height:1.5pt" o:hralign="center" o:hrstd="t" o:hr="t" fillcolor="#a0a0a0" stroked="f"/>
        </w:pict>
      </w:r>
    </w:p>
    <w:p w14:paraId="701C50E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Das Verb </w:t>
      </w:r>
      <w:r w:rsidRPr="0098037E">
        <w:rPr>
          <w:rFonts w:eastAsia="Times New Roman" w:cs="Times New Roman"/>
          <w:b/>
          <w:bCs/>
          <w:rtl/>
          <w:lang w:eastAsia="de-DE"/>
        </w:rPr>
        <w:t>וְעָרְכ֗וּ</w:t>
      </w:r>
      <w:r w:rsidRPr="0098037E">
        <w:rPr>
          <w:rFonts w:eastAsia="Times New Roman" w:cs="Times New Roman"/>
          <w:rtl/>
          <w:lang w:eastAsia="de-DE"/>
        </w:rPr>
        <w:t xml:space="preserve"> </w:t>
      </w:r>
      <w:r w:rsidRPr="0098037E">
        <w:rPr>
          <w:rFonts w:eastAsia="Times New Roman" w:cs="Times New Roman"/>
          <w:lang w:eastAsia="de-DE"/>
        </w:rPr>
        <w:t xml:space="preserve">ist ein Qal-Perfekt mit Waw-Konsekutiv von </w:t>
      </w:r>
      <w:r w:rsidRPr="0098037E">
        <w:rPr>
          <w:rFonts w:eastAsia="Times New Roman" w:cs="Times New Roman"/>
          <w:b/>
          <w:bCs/>
          <w:rtl/>
          <w:lang w:eastAsia="de-DE"/>
        </w:rPr>
        <w:t>ערך</w:t>
      </w:r>
      <w:r w:rsidRPr="0098037E">
        <w:rPr>
          <w:rFonts w:eastAsia="Times New Roman" w:cs="Times New Roman"/>
          <w:rtl/>
          <w:lang w:eastAsia="de-DE"/>
        </w:rPr>
        <w:t xml:space="preserve"> </w:t>
      </w:r>
      <w:r w:rsidRPr="0098037E">
        <w:rPr>
          <w:rFonts w:eastAsia="Times New Roman" w:cs="Times New Roman"/>
          <w:lang w:eastAsia="de-DE"/>
        </w:rPr>
        <w:t xml:space="preserve">(anordnen), 3. Person maskulin Plural. </w:t>
      </w:r>
      <w:r w:rsidRPr="0098037E">
        <w:rPr>
          <w:rFonts w:eastAsia="Times New Roman" w:cs="Times New Roman"/>
          <w:b/>
          <w:bCs/>
          <w:rtl/>
          <w:lang w:eastAsia="de-DE"/>
        </w:rPr>
        <w:t>בְּנֵ֤י אַהֲרֹן֙ הַכֹּ֣הֲנִ֔ים</w:t>
      </w:r>
      <w:r w:rsidRPr="0098037E">
        <w:rPr>
          <w:rFonts w:eastAsia="Times New Roman" w:cs="Times New Roman"/>
          <w:rtl/>
          <w:lang w:eastAsia="de-DE"/>
        </w:rPr>
        <w:t xml:space="preserve"> </w:t>
      </w:r>
      <w:r w:rsidRPr="0098037E">
        <w:rPr>
          <w:rFonts w:eastAsia="Times New Roman" w:cs="Times New Roman"/>
          <w:lang w:eastAsia="de-DE"/>
        </w:rPr>
        <w:t xml:space="preserve">zeigt </w:t>
      </w:r>
      <w:r w:rsidRPr="0098037E">
        <w:rPr>
          <w:rFonts w:eastAsia="Times New Roman" w:cs="Times New Roman"/>
          <w:b/>
          <w:bCs/>
          <w:rtl/>
          <w:lang w:eastAsia="de-DE"/>
        </w:rPr>
        <w:t>הַכֹּ֣הֲנִ֔ים</w:t>
      </w:r>
      <w:r w:rsidRPr="0098037E">
        <w:rPr>
          <w:rFonts w:eastAsia="Times New Roman" w:cs="Times New Roman"/>
          <w:rtl/>
          <w:lang w:eastAsia="de-DE"/>
        </w:rPr>
        <w:t xml:space="preserve"> </w:t>
      </w:r>
      <w:r w:rsidRPr="0098037E">
        <w:rPr>
          <w:rFonts w:eastAsia="Times New Roman" w:cs="Times New Roman"/>
          <w:lang w:eastAsia="de-DE"/>
        </w:rPr>
        <w:t xml:space="preserve">(die Priester) als explikative Apposition zu </w:t>
      </w:r>
      <w:r w:rsidRPr="0098037E">
        <w:rPr>
          <w:rFonts w:eastAsia="Times New Roman" w:cs="Times New Roman"/>
          <w:b/>
          <w:bCs/>
          <w:rtl/>
          <w:lang w:eastAsia="de-DE"/>
        </w:rPr>
        <w:t>בְּנֵ֤י אַהֲרֹן֙</w:t>
      </w:r>
      <w:r w:rsidRPr="0098037E">
        <w:rPr>
          <w:rFonts w:eastAsia="Times New Roman" w:cs="Times New Roman"/>
          <w:lang w:eastAsia="de-DE"/>
        </w:rPr>
        <w:t>.</w:t>
      </w:r>
    </w:p>
    <w:p w14:paraId="0958E73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direkten Objekte sind </w:t>
      </w:r>
      <w:r w:rsidRPr="0098037E">
        <w:rPr>
          <w:rFonts w:eastAsia="Times New Roman" w:cs="Times New Roman"/>
          <w:b/>
          <w:bCs/>
          <w:rtl/>
          <w:lang w:eastAsia="de-DE"/>
        </w:rPr>
        <w:t>אֵ֚ת הַנְּתָחִ֔ים</w:t>
      </w:r>
      <w:r w:rsidRPr="0098037E">
        <w:rPr>
          <w:rFonts w:eastAsia="Times New Roman" w:cs="Times New Roman"/>
          <w:rtl/>
          <w:lang w:eastAsia="de-DE"/>
        </w:rPr>
        <w:t xml:space="preserve"> </w:t>
      </w:r>
      <w:r w:rsidRPr="0098037E">
        <w:rPr>
          <w:rFonts w:eastAsia="Times New Roman" w:cs="Times New Roman"/>
          <w:lang w:eastAsia="de-DE"/>
        </w:rPr>
        <w:t xml:space="preserve">(die Fleischstücke), </w:t>
      </w:r>
      <w:r w:rsidRPr="0098037E">
        <w:rPr>
          <w:rFonts w:eastAsia="Times New Roman" w:cs="Times New Roman"/>
          <w:b/>
          <w:bCs/>
          <w:rtl/>
          <w:lang w:eastAsia="de-DE"/>
        </w:rPr>
        <w:t>אֶת־הָרֹ֖אשׁ</w:t>
      </w:r>
      <w:r w:rsidRPr="0098037E">
        <w:rPr>
          <w:rFonts w:eastAsia="Times New Roman" w:cs="Times New Roman"/>
          <w:rtl/>
          <w:lang w:eastAsia="de-DE"/>
        </w:rPr>
        <w:t xml:space="preserve"> </w:t>
      </w:r>
      <w:r w:rsidRPr="0098037E">
        <w:rPr>
          <w:rFonts w:eastAsia="Times New Roman" w:cs="Times New Roman"/>
          <w:lang w:eastAsia="de-DE"/>
        </w:rPr>
        <w:t xml:space="preserve">(den Kopf) und </w:t>
      </w:r>
      <w:r w:rsidRPr="0098037E">
        <w:rPr>
          <w:rFonts w:eastAsia="Times New Roman" w:cs="Times New Roman"/>
          <w:b/>
          <w:bCs/>
          <w:rtl/>
          <w:lang w:eastAsia="de-DE"/>
        </w:rPr>
        <w:t>וְאֶת־הַפָּ֑דֶר</w:t>
      </w:r>
      <w:r w:rsidRPr="0098037E">
        <w:rPr>
          <w:rFonts w:eastAsia="Times New Roman" w:cs="Times New Roman"/>
          <w:rtl/>
          <w:lang w:eastAsia="de-DE"/>
        </w:rPr>
        <w:t xml:space="preserve"> </w:t>
      </w:r>
      <w:r w:rsidRPr="0098037E">
        <w:rPr>
          <w:rFonts w:eastAsia="Times New Roman" w:cs="Times New Roman"/>
          <w:lang w:eastAsia="de-DE"/>
        </w:rPr>
        <w:t xml:space="preserve">(und das Fett). </w:t>
      </w:r>
      <w:r w:rsidRPr="0098037E">
        <w:rPr>
          <w:rFonts w:eastAsia="Times New Roman" w:cs="Times New Roman"/>
          <w:b/>
          <w:bCs/>
          <w:rtl/>
          <w:lang w:eastAsia="de-DE"/>
        </w:rPr>
        <w:t>הַנְּתָחִ֔ים</w:t>
      </w:r>
      <w:r w:rsidRPr="0098037E">
        <w:rPr>
          <w:rFonts w:eastAsia="Times New Roman" w:cs="Times New Roman"/>
          <w:rtl/>
          <w:lang w:eastAsia="de-DE"/>
        </w:rPr>
        <w:t xml:space="preserve"> </w:t>
      </w:r>
      <w:r w:rsidRPr="0098037E">
        <w:rPr>
          <w:rFonts w:eastAsia="Times New Roman" w:cs="Times New Roman"/>
          <w:lang w:eastAsia="de-DE"/>
        </w:rPr>
        <w:t xml:space="preserve">ist Plural von </w:t>
      </w:r>
      <w:r w:rsidRPr="0098037E">
        <w:rPr>
          <w:rFonts w:eastAsia="Times New Roman" w:cs="Times New Roman"/>
          <w:b/>
          <w:bCs/>
          <w:rtl/>
          <w:lang w:eastAsia="de-DE"/>
        </w:rPr>
        <w:t>נֶתַח</w:t>
      </w:r>
      <w:r w:rsidRPr="0098037E">
        <w:rPr>
          <w:rFonts w:eastAsia="Times New Roman" w:cs="Times New Roman"/>
          <w:rtl/>
          <w:lang w:eastAsia="de-DE"/>
        </w:rPr>
        <w:t xml:space="preserve"> </w:t>
      </w:r>
      <w:r w:rsidRPr="0098037E">
        <w:rPr>
          <w:rFonts w:eastAsia="Times New Roman" w:cs="Times New Roman"/>
          <w:lang w:eastAsia="de-DE"/>
        </w:rPr>
        <w:t xml:space="preserve">(Fleischstück),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 xml:space="preserve">(Kopf) steht mit Artikel,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(Fett) bezeichnet spezifisch das Nierenfett und innere Fett der Eingeweide.</w:t>
      </w:r>
    </w:p>
    <w:p w14:paraId="32AB0A7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Ortsangabe </w:t>
      </w:r>
      <w:r w:rsidRPr="0098037E">
        <w:rPr>
          <w:rFonts w:eastAsia="Times New Roman" w:cs="Times New Roman"/>
          <w:b/>
          <w:bCs/>
          <w:rtl/>
          <w:lang w:eastAsia="de-DE"/>
        </w:rPr>
        <w:t>עַל־הָעֵצִים֙</w:t>
      </w:r>
      <w:r w:rsidRPr="0098037E">
        <w:rPr>
          <w:rFonts w:eastAsia="Times New Roman" w:cs="Times New Roman"/>
          <w:rtl/>
          <w:lang w:eastAsia="de-DE"/>
        </w:rPr>
        <w:t xml:space="preserve"> </w:t>
      </w:r>
      <w:r w:rsidRPr="0098037E">
        <w:rPr>
          <w:rFonts w:eastAsia="Times New Roman" w:cs="Times New Roman"/>
          <w:lang w:eastAsia="de-DE"/>
        </w:rPr>
        <w:t xml:space="preserve">(auf dem Holz) wird durch einen doppelten Relativsatz spezifiziert: </w:t>
      </w:r>
      <w:r w:rsidRPr="0098037E">
        <w:rPr>
          <w:rFonts w:eastAsia="Times New Roman" w:cs="Times New Roman"/>
          <w:b/>
          <w:bCs/>
          <w:rtl/>
          <w:lang w:eastAsia="de-DE"/>
        </w:rPr>
        <w:t>אֲשֶׁ֣ר עַל־הָאֵ֔שׁ</w:t>
      </w:r>
      <w:r w:rsidRPr="0098037E">
        <w:rPr>
          <w:rFonts w:eastAsia="Times New Roman" w:cs="Times New Roman"/>
          <w:rtl/>
          <w:lang w:eastAsia="de-DE"/>
        </w:rPr>
        <w:t xml:space="preserve"> </w:t>
      </w:r>
      <w:r w:rsidRPr="0098037E">
        <w:rPr>
          <w:rFonts w:eastAsia="Times New Roman" w:cs="Times New Roman"/>
          <w:lang w:eastAsia="de-DE"/>
        </w:rPr>
        <w:t xml:space="preserve">(das auf dem Feuer ist) und </w:t>
      </w:r>
      <w:r w:rsidRPr="0098037E">
        <w:rPr>
          <w:rFonts w:eastAsia="Times New Roman" w:cs="Times New Roman"/>
          <w:b/>
          <w:bCs/>
          <w:rtl/>
          <w:lang w:eastAsia="de-DE"/>
        </w:rPr>
        <w:t>אֲשֶׁ֖ר עַל־הַמִּזְבֵּֽחַ</w:t>
      </w:r>
      <w:r w:rsidRPr="0098037E">
        <w:rPr>
          <w:rFonts w:eastAsia="Times New Roman" w:cs="Times New Roman"/>
          <w:rtl/>
          <w:lang w:eastAsia="de-DE"/>
        </w:rPr>
        <w:t xml:space="preserve"> </w:t>
      </w:r>
      <w:r w:rsidRPr="0098037E">
        <w:rPr>
          <w:rFonts w:eastAsia="Times New Roman" w:cs="Times New Roman"/>
          <w:lang w:eastAsia="de-DE"/>
        </w:rPr>
        <w:t>(das auf dem Altar ist). Diese Konstruktion zeigt die präzise hierarchische Anordnung: Altar → Feuer → Holz → Opferstücke.</w:t>
      </w:r>
    </w:p>
    <w:p w14:paraId="66BD36C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ערך</w:t>
      </w:r>
      <w:r w:rsidRPr="0098037E">
        <w:rPr>
          <w:rFonts w:eastAsia="Times New Roman" w:cs="Times New Roman"/>
          <w:rtl/>
          <w:lang w:eastAsia="de-DE"/>
        </w:rPr>
        <w:t xml:space="preserve"> </w:t>
      </w:r>
      <w:r w:rsidRPr="0098037E">
        <w:rPr>
          <w:rFonts w:eastAsia="Times New Roman" w:cs="Times New Roman"/>
          <w:lang w:eastAsia="de-DE"/>
        </w:rPr>
        <w:t xml:space="preserve">impliziert systematische, rituell korrekte Anordnung der Opferteile.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 xml:space="preserve">unterscheidet sich von </w:t>
      </w:r>
      <w:r w:rsidRPr="0098037E">
        <w:rPr>
          <w:rFonts w:eastAsia="Times New Roman" w:cs="Times New Roman"/>
          <w:b/>
          <w:bCs/>
          <w:rtl/>
          <w:lang w:eastAsia="de-DE"/>
        </w:rPr>
        <w:t>חֵלֶב</w:t>
      </w:r>
      <w:r w:rsidRPr="0098037E">
        <w:rPr>
          <w:rFonts w:eastAsia="Times New Roman" w:cs="Times New Roman"/>
          <w:rtl/>
          <w:lang w:eastAsia="de-DE"/>
        </w:rPr>
        <w:t xml:space="preserve"> </w:t>
      </w:r>
      <w:r w:rsidRPr="0098037E">
        <w:rPr>
          <w:rFonts w:eastAsia="Times New Roman" w:cs="Times New Roman"/>
          <w:lang w:eastAsia="de-DE"/>
        </w:rPr>
        <w:t xml:space="preserve">(allgemeines Fett) durch seine spezifische Bezeichnung des inneren Fettgewebes. Die Mention von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zeigt, dass auch der Kopf des Tieres vollständig verbrannt wird.</w:t>
      </w:r>
    </w:p>
    <w:p w14:paraId="03EAFE9C" w14:textId="6171E1F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übersetzt </w:t>
      </w:r>
      <w:r w:rsidR="005248F3">
        <w:rPr>
          <w:rtl/>
        </w:rPr>
        <w:t>את־הפדר</w:t>
      </w:r>
      <w:r w:rsidR="005248F3">
        <w:t xml:space="preserve"> (et-</w:t>
      </w:r>
      <w:proofErr w:type="spellStart"/>
      <w:r w:rsidR="005248F3">
        <w:t>hapader</w:t>
      </w:r>
      <w:proofErr w:type="spellEnd"/>
      <w:r w:rsidR="005248F3">
        <w:t xml:space="preserve"> - "das Fett") als </w:t>
      </w:r>
      <w:proofErr w:type="spellStart"/>
      <w:r w:rsidR="005248F3">
        <w:t>τὸ</w:t>
      </w:r>
      <w:proofErr w:type="spellEnd"/>
      <w:r w:rsidR="005248F3">
        <w:t xml:space="preserve"> </w:t>
      </w:r>
      <w:proofErr w:type="spellStart"/>
      <w:r w:rsidR="005248F3">
        <w:t>στέ</w:t>
      </w:r>
      <w:proofErr w:type="spellEnd"/>
      <w:r w:rsidR="005248F3">
        <w:t>αρ (das Talg/Fett), was anatomisch spezifischer ist als das allgemeinere hebräische Wort.</w:t>
      </w:r>
    </w:p>
    <w:p w14:paraId="69364E6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Hauptsatz: Verb + Subjekt + Objekte (dreifach koordiniert) + Adverbialbestimmung mit doppeltem Relativsatz. Die Relativsätze fungieren als Attributsätze zur präzisen Ortsbestimmung.</w:t>
      </w:r>
    </w:p>
    <w:p w14:paraId="6369E9C7" w14:textId="49368181"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beschreibt die sorgfältige Anordnung aller Opferteile und betont die priesterliche Verantwortung für die korrekte Durchführung des </w:t>
      </w:r>
      <w:r w:rsidR="00CF10E7">
        <w:rPr>
          <w:rFonts w:eastAsia="Times New Roman" w:cs="Times New Roman"/>
          <w:lang w:eastAsia="de-DE"/>
        </w:rPr>
        <w:t>Aufsteigeopfer</w:t>
      </w:r>
      <w:r w:rsidRPr="0098037E">
        <w:rPr>
          <w:rFonts w:eastAsia="Times New Roman" w:cs="Times New Roman"/>
          <w:lang w:eastAsia="de-DE"/>
        </w:rPr>
        <w:t>s.</w:t>
      </w:r>
    </w:p>
    <w:p w14:paraId="713A71DF"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1,9</w:t>
      </w:r>
    </w:p>
    <w:p w14:paraId="6A2F7E8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וְקִרְבֹּ֥ו וּכְרָעָ֖יו יִרְחַ֣ץ בַּמָּ֑יִם וְהִקְטִ֨יר הַכֹּהֵ֤ן אֶת־הַכֹּל֙ הַמִּזְבֵּ֔חָה עֹלָ֛ה אִשֵּׁ֥ה רֵֽיחַ־נִיח֖וֹחַ לַֽיהוָֽה׃</w:t>
      </w:r>
    </w:p>
    <w:p w14:paraId="3B151CD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Eingeweide und die Schenkel soll er mit Wasser waschen; und der Priester soll das Ganze auf dem Altar räuchern: Es ist ein Aufsteigeopfer, ein Feueropfer wohlgefälligen Geruchs dem Ewigen.</w:t>
      </w:r>
    </w:p>
    <w:p w14:paraId="340129BF"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92439CD">
          <v:rect id="_x0000_i1033" style="width:0;height:1.5pt" o:hralign="center" o:hrstd="t" o:hr="t" fillcolor="#a0a0a0" stroked="f"/>
        </w:pict>
      </w:r>
    </w:p>
    <w:p w14:paraId="2BAB479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Kommentar:</w:t>
      </w:r>
      <w:r w:rsidRPr="0098037E">
        <w:rPr>
          <w:rFonts w:eastAsia="Times New Roman" w:cs="Times New Roman"/>
          <w:lang w:eastAsia="de-DE"/>
        </w:rPr>
        <w:t xml:space="preserve"> </w:t>
      </w:r>
      <w:r w:rsidRPr="0098037E">
        <w:rPr>
          <w:rFonts w:eastAsia="Times New Roman" w:cs="Times New Roman"/>
          <w:b/>
          <w:bCs/>
          <w:rtl/>
          <w:lang w:eastAsia="de-DE"/>
        </w:rPr>
        <w:t>וְקִרְבֹּ֥ו</w:t>
      </w:r>
      <w:r w:rsidRPr="0098037E">
        <w:rPr>
          <w:rFonts w:eastAsia="Times New Roman" w:cs="Times New Roman"/>
          <w:rtl/>
          <w:lang w:eastAsia="de-DE"/>
        </w:rPr>
        <w:t xml:space="preserve"> </w:t>
      </w:r>
      <w:r w:rsidRPr="0098037E">
        <w:rPr>
          <w:rFonts w:eastAsia="Times New Roman" w:cs="Times New Roman"/>
          <w:lang w:eastAsia="de-DE"/>
        </w:rPr>
        <w:t xml:space="preserve">(und seine Eingeweide)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(Inneres/Eingeweide) mit Possessivsuffix 3. Person maskulin Singular. </w:t>
      </w:r>
      <w:r w:rsidRPr="0098037E">
        <w:rPr>
          <w:rFonts w:eastAsia="Times New Roman" w:cs="Times New Roman"/>
          <w:b/>
          <w:bCs/>
          <w:rtl/>
          <w:lang w:eastAsia="de-DE"/>
        </w:rPr>
        <w:t>וּכְרָעָ֖יו</w:t>
      </w:r>
      <w:r w:rsidRPr="0098037E">
        <w:rPr>
          <w:rFonts w:eastAsia="Times New Roman" w:cs="Times New Roman"/>
          <w:rtl/>
          <w:lang w:eastAsia="de-DE"/>
        </w:rPr>
        <w:t xml:space="preserve"> </w:t>
      </w:r>
      <w:r w:rsidRPr="0098037E">
        <w:rPr>
          <w:rFonts w:eastAsia="Times New Roman" w:cs="Times New Roman"/>
          <w:lang w:eastAsia="de-DE"/>
        </w:rPr>
        <w:t xml:space="preserve">(und seine Schenkel) von </w:t>
      </w:r>
      <w:r w:rsidRPr="0098037E">
        <w:rPr>
          <w:rFonts w:eastAsia="Times New Roman" w:cs="Times New Roman"/>
          <w:b/>
          <w:bCs/>
          <w:rtl/>
          <w:lang w:eastAsia="de-DE"/>
        </w:rPr>
        <w:t>כְּרָעַיִם</w:t>
      </w:r>
      <w:r w:rsidRPr="0098037E">
        <w:rPr>
          <w:rFonts w:eastAsia="Times New Roman" w:cs="Times New Roman"/>
          <w:rtl/>
          <w:lang w:eastAsia="de-DE"/>
        </w:rPr>
        <w:t xml:space="preserve"> </w:t>
      </w:r>
      <w:r w:rsidRPr="0098037E">
        <w:rPr>
          <w:rFonts w:eastAsia="Times New Roman" w:cs="Times New Roman"/>
          <w:lang w:eastAsia="de-DE"/>
        </w:rPr>
        <w:t xml:space="preserve">(Unterschenkel/Beine) mit gleichem Suffix. Das Verb </w:t>
      </w:r>
      <w:r w:rsidRPr="0098037E">
        <w:rPr>
          <w:rFonts w:eastAsia="Times New Roman" w:cs="Times New Roman"/>
          <w:b/>
          <w:bCs/>
          <w:rtl/>
          <w:lang w:eastAsia="de-DE"/>
        </w:rPr>
        <w:t>יִרְחַ֣ץ</w:t>
      </w:r>
      <w:r w:rsidRPr="0098037E">
        <w:rPr>
          <w:rFonts w:eastAsia="Times New Roman" w:cs="Times New Roman"/>
          <w:rtl/>
          <w:lang w:eastAsia="de-DE"/>
        </w:rPr>
        <w:t xml:space="preserve"> </w:t>
      </w:r>
      <w:r w:rsidRPr="0098037E">
        <w:rPr>
          <w:rFonts w:eastAsia="Times New Roman" w:cs="Times New Roman"/>
          <w:lang w:eastAsia="de-DE"/>
        </w:rPr>
        <w:t xml:space="preserve">ist Qal-Imperfekt 3. Person maskulin Singular von </w:t>
      </w:r>
      <w:r w:rsidRPr="0098037E">
        <w:rPr>
          <w:rFonts w:eastAsia="Times New Roman" w:cs="Times New Roman"/>
          <w:b/>
          <w:bCs/>
          <w:rtl/>
          <w:lang w:eastAsia="de-DE"/>
        </w:rPr>
        <w:t>רחץ</w:t>
      </w:r>
      <w:r w:rsidRPr="0098037E">
        <w:rPr>
          <w:rFonts w:eastAsia="Times New Roman" w:cs="Times New Roman"/>
          <w:rtl/>
          <w:lang w:eastAsia="de-DE"/>
        </w:rPr>
        <w:t xml:space="preserve"> </w:t>
      </w:r>
      <w:r w:rsidRPr="0098037E">
        <w:rPr>
          <w:rFonts w:eastAsia="Times New Roman" w:cs="Times New Roman"/>
          <w:lang w:eastAsia="de-DE"/>
        </w:rPr>
        <w:t xml:space="preserve">(waschen). </w:t>
      </w:r>
      <w:r w:rsidRPr="0098037E">
        <w:rPr>
          <w:rFonts w:eastAsia="Times New Roman" w:cs="Times New Roman"/>
          <w:b/>
          <w:bCs/>
          <w:rtl/>
          <w:lang w:eastAsia="de-DE"/>
        </w:rPr>
        <w:t>בַּמָּ֑יִם</w:t>
      </w:r>
      <w:r w:rsidRPr="0098037E">
        <w:rPr>
          <w:rFonts w:eastAsia="Times New Roman" w:cs="Times New Roman"/>
          <w:rtl/>
          <w:lang w:eastAsia="de-DE"/>
        </w:rPr>
        <w:t xml:space="preserve"> </w:t>
      </w:r>
      <w:r w:rsidRPr="0098037E">
        <w:rPr>
          <w:rFonts w:eastAsia="Times New Roman" w:cs="Times New Roman"/>
          <w:lang w:eastAsia="de-DE"/>
        </w:rPr>
        <w:t>(mit Wasser/in Wasser) zeigt das Reinigungsmedium.</w:t>
      </w:r>
    </w:p>
    <w:p w14:paraId="64E68FC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(räuchern/in Rauch aufgehen lassen),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betont die ausschließlich priesterliche Funktion. </w:t>
      </w:r>
      <w:r w:rsidRPr="0098037E">
        <w:rPr>
          <w:rFonts w:eastAsia="Times New Roman" w:cs="Times New Roman"/>
          <w:b/>
          <w:bCs/>
          <w:rtl/>
          <w:lang w:eastAsia="de-DE"/>
        </w:rPr>
        <w:t>אֶת־הַכֹּל֙</w:t>
      </w:r>
      <w:r w:rsidRPr="0098037E">
        <w:rPr>
          <w:rFonts w:eastAsia="Times New Roman" w:cs="Times New Roman"/>
          <w:rtl/>
          <w:lang w:eastAsia="de-DE"/>
        </w:rPr>
        <w:t xml:space="preserve"> </w:t>
      </w:r>
      <w:r w:rsidRPr="0098037E">
        <w:rPr>
          <w:rFonts w:eastAsia="Times New Roman" w:cs="Times New Roman"/>
          <w:lang w:eastAsia="de-DE"/>
        </w:rPr>
        <w:t xml:space="preserve">(das Ganze) mit Nota accusativi bezeichnet die Vollständigkeit des Opfers.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(zum Altar hin) mit Richtungs-He.</w:t>
      </w:r>
    </w:p>
    <w:p w14:paraId="7C276F6E" w14:textId="12175D93" w:rsidR="0098037E" w:rsidRPr="0098037E" w:rsidRDefault="0098037E" w:rsidP="00D61FEC">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theologische Qualifikation erfolgt durch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w:t>
      </w:r>
      <w:r w:rsidR="00CF10E7">
        <w:rPr>
          <w:rFonts w:eastAsia="Times New Roman" w:cs="Times New Roman"/>
          <w:lang w:eastAsia="de-DE"/>
        </w:rPr>
        <w:t>Aufsteigeopfer</w:t>
      </w:r>
      <w:r w:rsidRPr="0098037E">
        <w:rPr>
          <w:rFonts w:eastAsia="Times New Roman" w:cs="Times New Roman"/>
          <w:lang w:eastAsia="de-DE"/>
        </w:rPr>
        <w:t xml:space="preserve">),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(Feueropfer) und </w:t>
      </w:r>
      <w:r w:rsidRPr="0098037E">
        <w:rPr>
          <w:rFonts w:eastAsia="Times New Roman" w:cs="Times New Roman"/>
          <w:b/>
          <w:bCs/>
          <w:rtl/>
          <w:lang w:eastAsia="de-DE"/>
        </w:rPr>
        <w:t>רֵֽיחַ־נִיח֖וֹחַ</w:t>
      </w:r>
      <w:r w:rsidRPr="0098037E">
        <w:rPr>
          <w:rFonts w:eastAsia="Times New Roman" w:cs="Times New Roman"/>
          <w:rtl/>
          <w:lang w:eastAsia="de-DE"/>
        </w:rPr>
        <w:t xml:space="preserve"> </w:t>
      </w:r>
      <w:r w:rsidRPr="0098037E">
        <w:rPr>
          <w:rFonts w:eastAsia="Times New Roman" w:cs="Times New Roman"/>
          <w:lang w:eastAsia="de-DE"/>
        </w:rPr>
        <w:t xml:space="preserve">(wohlgefälliger Geruch).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von </w:t>
      </w:r>
      <w:r w:rsidRPr="0098037E">
        <w:rPr>
          <w:rFonts w:eastAsia="Times New Roman" w:cs="Times New Roman"/>
          <w:b/>
          <w:bCs/>
          <w:rtl/>
          <w:lang w:eastAsia="de-DE"/>
        </w:rPr>
        <w:t>אֵשׁ</w:t>
      </w:r>
      <w:r w:rsidRPr="0098037E">
        <w:rPr>
          <w:rFonts w:eastAsia="Times New Roman" w:cs="Times New Roman"/>
          <w:rtl/>
          <w:lang w:eastAsia="de-DE"/>
        </w:rPr>
        <w:t xml:space="preserve"> </w:t>
      </w:r>
      <w:r w:rsidRPr="0098037E">
        <w:rPr>
          <w:rFonts w:eastAsia="Times New Roman" w:cs="Times New Roman"/>
          <w:lang w:eastAsia="de-DE"/>
        </w:rPr>
        <w:t>(Feuer) bezeichnet spezifisch durch Feuer dargebrachte Opfer.</w:t>
      </w:r>
      <w:r w:rsidR="00D61FEC">
        <w:rPr>
          <w:rFonts w:eastAsia="Times New Roman" w:cs="Times New Roman"/>
          <w:lang w:eastAsia="de-DE"/>
        </w:rPr>
        <w:t xml:space="preserve"> </w:t>
      </w:r>
      <w:r w:rsidR="00D61FEC">
        <w:t xml:space="preserve">Alternative Deutungen leiten </w:t>
      </w:r>
      <w:r w:rsidR="00D61FEC">
        <w:rPr>
          <w:rtl/>
        </w:rPr>
        <w:t>אִשֵּׁה</w:t>
      </w:r>
      <w:r w:rsidR="00D61FEC">
        <w:t xml:space="preserve"> von </w:t>
      </w:r>
      <w:r w:rsidR="00D61FEC">
        <w:rPr>
          <w:rtl/>
        </w:rPr>
        <w:t>אִישׁ</w:t>
      </w:r>
      <w:r w:rsidR="00D61FEC">
        <w:t xml:space="preserve"> (Person/Mann) ab und übersetzen als 'Personenopfer' oder 'Geschenk', was theologisch unterschiedliche Opferkonzepte impliziert. Diese etymologische Unsicherheit spiegelt sich in der LXX-Übersetzung als </w:t>
      </w:r>
      <w:proofErr w:type="spellStart"/>
      <w:r w:rsidR="00D61FEC">
        <w:t>κάρ</w:t>
      </w:r>
      <w:proofErr w:type="spellEnd"/>
      <w:r w:rsidR="00D61FEC">
        <w:t>πωμα (Fruchtopfer) wider.</w:t>
      </w:r>
      <w:r w:rsidRPr="0098037E">
        <w:rPr>
          <w:rFonts w:eastAsia="Times New Roman" w:cs="Times New Roman"/>
          <w:lang w:eastAsia="de-DE"/>
        </w:rPr>
        <w:t xml:space="preserve"> </w:t>
      </w:r>
      <w:r w:rsidRPr="0098037E">
        <w:rPr>
          <w:rFonts w:eastAsia="Times New Roman" w:cs="Times New Roman"/>
          <w:b/>
          <w:bCs/>
          <w:rtl/>
          <w:lang w:eastAsia="de-DE"/>
        </w:rPr>
        <w:t>רֵֽיחַ־נִיח֖וֹחַ</w:t>
      </w:r>
      <w:r w:rsidRPr="0098037E">
        <w:rPr>
          <w:rFonts w:eastAsia="Times New Roman" w:cs="Times New Roman"/>
          <w:rtl/>
          <w:lang w:eastAsia="de-DE"/>
        </w:rPr>
        <w:t xml:space="preserve"> </w:t>
      </w:r>
      <w:r w:rsidRPr="0098037E">
        <w:rPr>
          <w:rFonts w:eastAsia="Times New Roman" w:cs="Times New Roman"/>
          <w:lang w:eastAsia="de-DE"/>
        </w:rPr>
        <w:t xml:space="preserve">ist eine </w:t>
      </w:r>
      <w:r w:rsidR="005407E2">
        <w:rPr>
          <w:rFonts w:eastAsia="Times New Roman" w:cs="Times New Roman"/>
          <w:lang w:eastAsia="de-DE"/>
        </w:rPr>
        <w:t>Constructus</w:t>
      </w:r>
      <w:r w:rsidRPr="0098037E">
        <w:rPr>
          <w:rFonts w:eastAsia="Times New Roman" w:cs="Times New Roman"/>
          <w:lang w:eastAsia="de-DE"/>
        </w:rPr>
        <w:t xml:space="preserve">verbindung: </w:t>
      </w:r>
      <w:r w:rsidRPr="0098037E">
        <w:rPr>
          <w:rFonts w:eastAsia="Times New Roman" w:cs="Times New Roman"/>
          <w:b/>
          <w:bCs/>
          <w:rtl/>
          <w:lang w:eastAsia="de-DE"/>
        </w:rPr>
        <w:t>רֵיחַ</w:t>
      </w:r>
      <w:r w:rsidRPr="0098037E">
        <w:rPr>
          <w:rFonts w:eastAsia="Times New Roman" w:cs="Times New Roman"/>
          <w:rtl/>
          <w:lang w:eastAsia="de-DE"/>
        </w:rPr>
        <w:t xml:space="preserve"> </w:t>
      </w:r>
      <w:r w:rsidRPr="0098037E">
        <w:rPr>
          <w:rFonts w:eastAsia="Times New Roman" w:cs="Times New Roman"/>
          <w:lang w:eastAsia="de-DE"/>
        </w:rPr>
        <w:t xml:space="preserve">(Geruch) mit </w:t>
      </w:r>
      <w:r w:rsidRPr="0098037E">
        <w:rPr>
          <w:rFonts w:eastAsia="Times New Roman" w:cs="Times New Roman"/>
          <w:b/>
          <w:bCs/>
          <w:rtl/>
          <w:lang w:eastAsia="de-DE"/>
        </w:rPr>
        <w:t>נִיחוֹחַ</w:t>
      </w:r>
      <w:r w:rsidRPr="0098037E">
        <w:rPr>
          <w:rFonts w:eastAsia="Times New Roman" w:cs="Times New Roman"/>
          <w:rtl/>
          <w:lang w:eastAsia="de-DE"/>
        </w:rPr>
        <w:t xml:space="preserve"> </w:t>
      </w:r>
      <w:r w:rsidRPr="0098037E">
        <w:rPr>
          <w:rFonts w:eastAsia="Times New Roman" w:cs="Times New Roman"/>
          <w:lang w:eastAsia="de-DE"/>
        </w:rPr>
        <w:t xml:space="preserve">(Beruhigung/Wohlgefallen) von der Wurzel </w:t>
      </w:r>
      <w:r w:rsidRPr="0098037E">
        <w:rPr>
          <w:rFonts w:eastAsia="Times New Roman" w:cs="Times New Roman"/>
          <w:b/>
          <w:bCs/>
          <w:rtl/>
          <w:lang w:eastAsia="de-DE"/>
        </w:rPr>
        <w:t>נוח</w:t>
      </w:r>
      <w:r w:rsidRPr="0098037E">
        <w:rPr>
          <w:rFonts w:eastAsia="Times New Roman" w:cs="Times New Roman"/>
          <w:rtl/>
          <w:lang w:eastAsia="de-DE"/>
        </w:rPr>
        <w:t xml:space="preserve"> </w:t>
      </w:r>
      <w:r w:rsidRPr="0098037E">
        <w:rPr>
          <w:rFonts w:eastAsia="Times New Roman" w:cs="Times New Roman"/>
          <w:lang w:eastAsia="de-DE"/>
        </w:rPr>
        <w:t>(ruhen).</w:t>
      </w:r>
    </w:p>
    <w:p w14:paraId="0FEAC58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Waschung (</w:t>
      </w:r>
      <w:r w:rsidRPr="0098037E">
        <w:rPr>
          <w:rFonts w:eastAsia="Times New Roman" w:cs="Times New Roman"/>
          <w:b/>
          <w:bCs/>
          <w:rtl/>
          <w:lang w:eastAsia="de-DE"/>
        </w:rPr>
        <w:t>רחץ</w:t>
      </w:r>
      <w:r w:rsidRPr="0098037E">
        <w:rPr>
          <w:rFonts w:eastAsia="Times New Roman" w:cs="Times New Roman"/>
          <w:lang w:eastAsia="de-DE"/>
        </w:rPr>
        <w:t xml:space="preserve">) der Eingeweide und Beine ist kultische Reinigungsvorschrift vor der Verbrennung.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(Eingeweide) und </w:t>
      </w:r>
      <w:r w:rsidRPr="0098037E">
        <w:rPr>
          <w:rFonts w:eastAsia="Times New Roman" w:cs="Times New Roman"/>
          <w:b/>
          <w:bCs/>
          <w:rtl/>
          <w:lang w:eastAsia="de-DE"/>
        </w:rPr>
        <w:t>כְּרָעַיִם</w:t>
      </w:r>
      <w:r w:rsidRPr="0098037E">
        <w:rPr>
          <w:rFonts w:eastAsia="Times New Roman" w:cs="Times New Roman"/>
          <w:rtl/>
          <w:lang w:eastAsia="de-DE"/>
        </w:rPr>
        <w:t xml:space="preserve"> </w:t>
      </w:r>
      <w:r w:rsidRPr="0098037E">
        <w:rPr>
          <w:rFonts w:eastAsia="Times New Roman" w:cs="Times New Roman"/>
          <w:lang w:eastAsia="de-DE"/>
        </w:rPr>
        <w:t>(Unterschenkel) sind Körperteile, die besonderer Reinigung bedürfen.</w:t>
      </w:r>
    </w:p>
    <w:p w14:paraId="3CA780C3" w14:textId="71AB7EC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DE39DD">
        <w:t xml:space="preserve">übersetzt das hebräische </w:t>
      </w:r>
      <w:r w:rsidR="00DE39DD">
        <w:rPr>
          <w:rtl/>
        </w:rPr>
        <w:t>אשה ריח־ניחח</w:t>
      </w:r>
      <w:r w:rsidR="00DE39DD">
        <w:t xml:space="preserve"> (Feueropfer, lieblicher Geruch) als </w:t>
      </w:r>
      <w:proofErr w:type="spellStart"/>
      <w:r w:rsidR="00DE39DD">
        <w:t>κάρ</w:t>
      </w:r>
      <w:proofErr w:type="spellEnd"/>
      <w:r w:rsidR="00DE39DD">
        <w:t xml:space="preserve">πωμά </w:t>
      </w:r>
      <w:proofErr w:type="spellStart"/>
      <w:r w:rsidR="00DE39DD">
        <w:t>ἐστιν</w:t>
      </w:r>
      <w:proofErr w:type="spellEnd"/>
      <w:r w:rsidR="00DE39DD">
        <w:t xml:space="preserve">, </w:t>
      </w:r>
      <w:proofErr w:type="spellStart"/>
      <w:r w:rsidR="00DE39DD">
        <w:t>θυσί</w:t>
      </w:r>
      <w:proofErr w:type="spellEnd"/>
      <w:r w:rsidR="00DE39DD">
        <w:t xml:space="preserve">α, </w:t>
      </w:r>
      <w:proofErr w:type="spellStart"/>
      <w:r w:rsidR="00DE39DD">
        <w:t>ὀσμὴ</w:t>
      </w:r>
      <w:proofErr w:type="spellEnd"/>
      <w:r w:rsidR="00DE39DD">
        <w:t xml:space="preserve"> </w:t>
      </w:r>
      <w:proofErr w:type="spellStart"/>
      <w:r w:rsidR="00DE39DD">
        <w:t>εὐωδί</w:t>
      </w:r>
      <w:proofErr w:type="spellEnd"/>
      <w:r w:rsidR="00DE39DD">
        <w:t xml:space="preserve">ας (es ist eine Frucht/ein Ertrag, ein Opfer, ein Wohlgeruch), wobei </w:t>
      </w:r>
      <w:proofErr w:type="spellStart"/>
      <w:r w:rsidR="00DE39DD">
        <w:t>κάρ</w:t>
      </w:r>
      <w:proofErr w:type="spellEnd"/>
      <w:r w:rsidR="00DE39DD">
        <w:t>πωμα eine fruchtbare Darbringung betont.</w:t>
      </w:r>
    </w:p>
    <w:p w14:paraId="01039AB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Objekte + Verb + Adverbialbestimmung // Verb + Subjekt + Objekt + Adverbialbestimmung + dreifache Prädikatsbestimmung. Die abschließenden nominalen Bestimmungen fungieren als Charakterisierung des Opfers.</w:t>
      </w:r>
    </w:p>
    <w:p w14:paraId="0252810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schließt die Beschreibung des Rindopfers ab und betont sowohl die kultische Reinheit als auch die vollständige Hingabe des Opfers als wohlgefälligen Dienst vor Gott.</w:t>
      </w:r>
    </w:p>
    <w:p w14:paraId="322D6FCB"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1,10</w:t>
      </w:r>
    </w:p>
    <w:p w14:paraId="14269A3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וְאִם־מִן־הַצֹּ֨אן קָרְבָּנֹ֧ו מִן־הַכְּשָׂבִ֛ים א֥וֹ מִן־הָעִזִּ֖ים לְעֹלָ֑ה זָכָ֥ר תָּמִ֖ים יַקְרִיבֶֽנּוּ׃</w:t>
      </w:r>
    </w:p>
    <w:p w14:paraId="27F63A6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seine Opfergabe vom Kleinvieh ist, von den Schafen oder von den Ziegen, zum Aufsteigeopfer, so soll er ein männliches, fehlerloses darbringen.</w:t>
      </w:r>
    </w:p>
    <w:p w14:paraId="2C2A8500"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DCA2E95">
          <v:rect id="_x0000_i1034" style="width:0;height:1.5pt" o:hralign="center" o:hrstd="t" o:hr="t" fillcolor="#a0a0a0" stroked="f"/>
        </w:pict>
      </w:r>
    </w:p>
    <w:p w14:paraId="763D267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w:t>
      </w:r>
      <w:r w:rsidRPr="0098037E">
        <w:rPr>
          <w:rFonts w:eastAsia="Times New Roman" w:cs="Times New Roman"/>
          <w:rtl/>
          <w:lang w:eastAsia="de-DE"/>
        </w:rPr>
        <w:t xml:space="preserve"> </w:t>
      </w:r>
      <w:r w:rsidRPr="0098037E">
        <w:rPr>
          <w:rFonts w:eastAsia="Times New Roman" w:cs="Times New Roman"/>
          <w:lang w:eastAsia="de-DE"/>
        </w:rPr>
        <w:t xml:space="preserve">(und wenn) leitet eine neue Kondition ein, parallel zu Vers 3. </w:t>
      </w:r>
      <w:r w:rsidRPr="0098037E">
        <w:rPr>
          <w:rFonts w:eastAsia="Times New Roman" w:cs="Times New Roman"/>
          <w:b/>
          <w:bCs/>
          <w:rtl/>
          <w:lang w:eastAsia="de-DE"/>
        </w:rPr>
        <w:t>מִן־הַצֹּ֨אן</w:t>
      </w:r>
      <w:r w:rsidRPr="0098037E">
        <w:rPr>
          <w:rFonts w:eastAsia="Times New Roman" w:cs="Times New Roman"/>
          <w:rtl/>
          <w:lang w:eastAsia="de-DE"/>
        </w:rPr>
        <w:t xml:space="preserve"> </w:t>
      </w:r>
      <w:r w:rsidRPr="0098037E">
        <w:rPr>
          <w:rFonts w:eastAsia="Times New Roman" w:cs="Times New Roman"/>
          <w:lang w:eastAsia="de-DE"/>
        </w:rPr>
        <w:t xml:space="preserve">(vom Kleinvieh) verwendet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(Kleinvieh) als Kollektivbegriff für Schafe und Ziegen. </w:t>
      </w:r>
      <w:r w:rsidRPr="0098037E">
        <w:rPr>
          <w:rFonts w:eastAsia="Times New Roman" w:cs="Times New Roman"/>
          <w:b/>
          <w:bCs/>
          <w:rtl/>
          <w:lang w:eastAsia="de-DE"/>
        </w:rPr>
        <w:t>קָרְבָּנֹ֧ו</w:t>
      </w:r>
      <w:r w:rsidRPr="0098037E">
        <w:rPr>
          <w:rFonts w:eastAsia="Times New Roman" w:cs="Times New Roman"/>
          <w:rtl/>
          <w:lang w:eastAsia="de-DE"/>
        </w:rPr>
        <w:t xml:space="preserve"> </w:t>
      </w:r>
      <w:r w:rsidRPr="0098037E">
        <w:rPr>
          <w:rFonts w:eastAsia="Times New Roman" w:cs="Times New Roman"/>
          <w:lang w:eastAsia="de-DE"/>
        </w:rPr>
        <w:t>(seine Opfergabe) mit Possessivsuffix 3. Person maskulin Singular.</w:t>
      </w:r>
    </w:p>
    <w:p w14:paraId="22F9235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Spezifizierung erfolgt durch </w:t>
      </w:r>
      <w:r w:rsidRPr="0098037E">
        <w:rPr>
          <w:rFonts w:eastAsia="Times New Roman" w:cs="Times New Roman"/>
          <w:b/>
          <w:bCs/>
          <w:rtl/>
          <w:lang w:eastAsia="de-DE"/>
        </w:rPr>
        <w:t>מִן־הַכְּשָׂבִ֛ים</w:t>
      </w:r>
      <w:r w:rsidRPr="0098037E">
        <w:rPr>
          <w:rFonts w:eastAsia="Times New Roman" w:cs="Times New Roman"/>
          <w:rtl/>
          <w:lang w:eastAsia="de-DE"/>
        </w:rPr>
        <w:t xml:space="preserve"> </w:t>
      </w:r>
      <w:r w:rsidRPr="0098037E">
        <w:rPr>
          <w:rFonts w:eastAsia="Times New Roman" w:cs="Times New Roman"/>
          <w:lang w:eastAsia="de-DE"/>
        </w:rPr>
        <w:t xml:space="preserve">(von den Schafen) und </w:t>
      </w:r>
      <w:r w:rsidRPr="0098037E">
        <w:rPr>
          <w:rFonts w:eastAsia="Times New Roman" w:cs="Times New Roman"/>
          <w:b/>
          <w:bCs/>
          <w:rtl/>
          <w:lang w:eastAsia="de-DE"/>
        </w:rPr>
        <w:t>א֥וֹ מִן־הָעִזִּ֖ים</w:t>
      </w:r>
      <w:r w:rsidRPr="0098037E">
        <w:rPr>
          <w:rFonts w:eastAsia="Times New Roman" w:cs="Times New Roman"/>
          <w:rtl/>
          <w:lang w:eastAsia="de-DE"/>
        </w:rPr>
        <w:t xml:space="preserve"> </w:t>
      </w:r>
      <w:r w:rsidRPr="0098037E">
        <w:rPr>
          <w:rFonts w:eastAsia="Times New Roman" w:cs="Times New Roman"/>
          <w:lang w:eastAsia="de-DE"/>
        </w:rPr>
        <w:t xml:space="preserve">(oder von den Ziegen). </w:t>
      </w:r>
      <w:r w:rsidRPr="0098037E">
        <w:rPr>
          <w:rFonts w:eastAsia="Times New Roman" w:cs="Times New Roman"/>
          <w:b/>
          <w:bCs/>
          <w:rtl/>
          <w:lang w:eastAsia="de-DE"/>
        </w:rPr>
        <w:t>כְּשָׂבִים</w:t>
      </w:r>
      <w:r w:rsidRPr="0098037E">
        <w:rPr>
          <w:rFonts w:eastAsia="Times New Roman" w:cs="Times New Roman"/>
          <w:rtl/>
          <w:lang w:eastAsia="de-DE"/>
        </w:rPr>
        <w:t xml:space="preserve"> </w:t>
      </w:r>
      <w:r w:rsidRPr="0098037E">
        <w:rPr>
          <w:rFonts w:eastAsia="Times New Roman" w:cs="Times New Roman"/>
          <w:lang w:eastAsia="de-DE"/>
        </w:rPr>
        <w:t xml:space="preserve">(Schafe) von </w:t>
      </w:r>
      <w:r w:rsidRPr="0098037E">
        <w:rPr>
          <w:rFonts w:eastAsia="Times New Roman" w:cs="Times New Roman"/>
          <w:b/>
          <w:bCs/>
          <w:rtl/>
          <w:lang w:eastAsia="de-DE"/>
        </w:rPr>
        <w:t>כֶּבֶשׂ</w:t>
      </w:r>
      <w:r w:rsidRPr="0098037E">
        <w:rPr>
          <w:rFonts w:eastAsia="Times New Roman" w:cs="Times New Roman"/>
          <w:rtl/>
          <w:lang w:eastAsia="de-DE"/>
        </w:rPr>
        <w:t xml:space="preserve"> </w:t>
      </w:r>
      <w:r w:rsidRPr="0098037E">
        <w:rPr>
          <w:rFonts w:eastAsia="Times New Roman" w:cs="Times New Roman"/>
          <w:lang w:eastAsia="de-DE"/>
        </w:rPr>
        <w:t xml:space="preserve">(Lamm/Schaf), </w:t>
      </w:r>
      <w:r w:rsidRPr="0098037E">
        <w:rPr>
          <w:rFonts w:eastAsia="Times New Roman" w:cs="Times New Roman"/>
          <w:b/>
          <w:bCs/>
          <w:rtl/>
          <w:lang w:eastAsia="de-DE"/>
        </w:rPr>
        <w:t>עִזִּים</w:t>
      </w:r>
      <w:r w:rsidRPr="0098037E">
        <w:rPr>
          <w:rFonts w:eastAsia="Times New Roman" w:cs="Times New Roman"/>
          <w:rtl/>
          <w:lang w:eastAsia="de-DE"/>
        </w:rPr>
        <w:t xml:space="preserve"> </w:t>
      </w:r>
      <w:r w:rsidRPr="0098037E">
        <w:rPr>
          <w:rFonts w:eastAsia="Times New Roman" w:cs="Times New Roman"/>
          <w:lang w:eastAsia="de-DE"/>
        </w:rPr>
        <w:t xml:space="preserve">(Ziegen) von </w:t>
      </w: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(Ziege). Die</w:t>
      </w:r>
    </w:p>
    <w:p w14:paraId="0F8A18A6" w14:textId="265E444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Disjunktion </w:t>
      </w:r>
      <w:r w:rsidRPr="0098037E">
        <w:rPr>
          <w:rFonts w:eastAsia="Times New Roman" w:cs="Times New Roman"/>
          <w:b/>
          <w:bCs/>
          <w:rtl/>
          <w:lang w:eastAsia="de-DE"/>
        </w:rPr>
        <w:t>א֥וֹ</w:t>
      </w:r>
      <w:r w:rsidRPr="0098037E">
        <w:rPr>
          <w:rFonts w:eastAsia="Times New Roman" w:cs="Times New Roman"/>
          <w:rtl/>
          <w:lang w:eastAsia="de-DE"/>
        </w:rPr>
        <w:t xml:space="preserve"> </w:t>
      </w:r>
      <w:r w:rsidRPr="0098037E">
        <w:rPr>
          <w:rFonts w:eastAsia="Times New Roman" w:cs="Times New Roman"/>
          <w:lang w:eastAsia="de-DE"/>
        </w:rPr>
        <w:t xml:space="preserve">(oder) zeigt alternative Möglichkeiten innerhalb der Kleinviehkategorie. </w:t>
      </w:r>
      <w:r w:rsidRPr="0098037E">
        <w:rPr>
          <w:rFonts w:eastAsia="Times New Roman" w:cs="Times New Roman"/>
          <w:b/>
          <w:bCs/>
          <w:rtl/>
          <w:lang w:eastAsia="de-DE"/>
        </w:rPr>
        <w:t>לְעֹלָ֑ה</w:t>
      </w:r>
      <w:r w:rsidRPr="0098037E">
        <w:rPr>
          <w:rFonts w:eastAsia="Times New Roman" w:cs="Times New Roman"/>
          <w:rtl/>
          <w:lang w:eastAsia="de-DE"/>
        </w:rPr>
        <w:t xml:space="preserve"> </w:t>
      </w:r>
      <w:r w:rsidRPr="0098037E">
        <w:rPr>
          <w:rFonts w:eastAsia="Times New Roman" w:cs="Times New Roman"/>
          <w:lang w:eastAsia="de-DE"/>
        </w:rPr>
        <w:t xml:space="preserve">(zum </w:t>
      </w:r>
      <w:r w:rsidR="00CF10E7">
        <w:rPr>
          <w:rFonts w:eastAsia="Times New Roman" w:cs="Times New Roman"/>
          <w:lang w:eastAsia="de-DE"/>
        </w:rPr>
        <w:t>Aufsteigeopfer</w:t>
      </w:r>
      <w:r w:rsidRPr="0098037E">
        <w:rPr>
          <w:rFonts w:eastAsia="Times New Roman" w:cs="Times New Roman"/>
          <w:lang w:eastAsia="de-DE"/>
        </w:rPr>
        <w:t xml:space="preserve">) spezifiziert den Opfertyp mit der Präposition </w:t>
      </w:r>
      <w:r w:rsidRPr="0098037E">
        <w:rPr>
          <w:rFonts w:eastAsia="Times New Roman" w:cs="Times New Roman"/>
          <w:b/>
          <w:bCs/>
          <w:rtl/>
          <w:lang w:eastAsia="de-DE"/>
        </w:rPr>
        <w:t>לְ</w:t>
      </w:r>
      <w:r w:rsidRPr="0098037E">
        <w:rPr>
          <w:rFonts w:eastAsia="Times New Roman" w:cs="Times New Roman"/>
          <w:lang w:eastAsia="de-DE"/>
        </w:rPr>
        <w:t>.</w:t>
      </w:r>
    </w:p>
    <w:p w14:paraId="3FE0593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Qualitätsanforderungen </w:t>
      </w:r>
      <w:r w:rsidRPr="0098037E">
        <w:rPr>
          <w:rFonts w:eastAsia="Times New Roman" w:cs="Times New Roman"/>
          <w:b/>
          <w:bCs/>
          <w:rtl/>
          <w:lang w:eastAsia="de-DE"/>
        </w:rPr>
        <w:t>זָכָ֥ר תָּמִ֖ים</w:t>
      </w:r>
      <w:r w:rsidRPr="0098037E">
        <w:rPr>
          <w:rFonts w:eastAsia="Times New Roman" w:cs="Times New Roman"/>
          <w:rtl/>
          <w:lang w:eastAsia="de-DE"/>
        </w:rPr>
        <w:t xml:space="preserve"> </w:t>
      </w:r>
      <w:r w:rsidRPr="0098037E">
        <w:rPr>
          <w:rFonts w:eastAsia="Times New Roman" w:cs="Times New Roman"/>
          <w:lang w:eastAsia="de-DE"/>
        </w:rPr>
        <w:t xml:space="preserve">(männlich, fehlerlos) entsprechen exakt den Bestimmungen für Rindopfer (V. 3). </w:t>
      </w:r>
      <w:r w:rsidRPr="0098037E">
        <w:rPr>
          <w:rFonts w:eastAsia="Times New Roman" w:cs="Times New Roman"/>
          <w:b/>
          <w:bCs/>
          <w:rtl/>
          <w:lang w:eastAsia="de-DE"/>
        </w:rPr>
        <w:t>זָכָ֥ר</w:t>
      </w:r>
      <w:r w:rsidRPr="0098037E">
        <w:rPr>
          <w:rFonts w:eastAsia="Times New Roman" w:cs="Times New Roman"/>
          <w:rtl/>
          <w:lang w:eastAsia="de-DE"/>
        </w:rPr>
        <w:t xml:space="preserve"> </w:t>
      </w:r>
      <w:r w:rsidRPr="0098037E">
        <w:rPr>
          <w:rFonts w:eastAsia="Times New Roman" w:cs="Times New Roman"/>
          <w:lang w:eastAsia="de-DE"/>
        </w:rPr>
        <w:t xml:space="preserve">(männlich) von der Wurzel </w:t>
      </w:r>
      <w:r w:rsidRPr="0098037E">
        <w:rPr>
          <w:rFonts w:eastAsia="Times New Roman" w:cs="Times New Roman"/>
          <w:b/>
          <w:bCs/>
          <w:rtl/>
          <w:lang w:eastAsia="de-DE"/>
        </w:rPr>
        <w:t>זכר</w:t>
      </w:r>
      <w:r w:rsidRPr="0098037E">
        <w:rPr>
          <w:rFonts w:eastAsia="Times New Roman" w:cs="Times New Roman"/>
          <w:rtl/>
          <w:lang w:eastAsia="de-DE"/>
        </w:rPr>
        <w:t xml:space="preserve"> </w:t>
      </w:r>
      <w:r w:rsidRPr="0098037E">
        <w:rPr>
          <w:rFonts w:eastAsia="Times New Roman" w:cs="Times New Roman"/>
          <w:lang w:eastAsia="de-DE"/>
        </w:rPr>
        <w:t xml:space="preserve">(männlich sein), </w:t>
      </w:r>
      <w:r w:rsidRPr="0098037E">
        <w:rPr>
          <w:rFonts w:eastAsia="Times New Roman" w:cs="Times New Roman"/>
          <w:b/>
          <w:bCs/>
          <w:rtl/>
          <w:lang w:eastAsia="de-DE"/>
        </w:rPr>
        <w:t>תָּמִ֖ים</w:t>
      </w:r>
      <w:r w:rsidRPr="0098037E">
        <w:rPr>
          <w:rFonts w:eastAsia="Times New Roman" w:cs="Times New Roman"/>
          <w:rtl/>
          <w:lang w:eastAsia="de-DE"/>
        </w:rPr>
        <w:t xml:space="preserve"> </w:t>
      </w:r>
      <w:r w:rsidRPr="0098037E">
        <w:rPr>
          <w:rFonts w:eastAsia="Times New Roman" w:cs="Times New Roman"/>
          <w:lang w:eastAsia="de-DE"/>
        </w:rPr>
        <w:t xml:space="preserve">(vollkommen) fordert kultische Perfektion. </w:t>
      </w:r>
      <w:r w:rsidRPr="0098037E">
        <w:rPr>
          <w:rFonts w:eastAsia="Times New Roman" w:cs="Times New Roman"/>
          <w:b/>
          <w:bCs/>
          <w:rtl/>
          <w:lang w:eastAsia="de-DE"/>
        </w:rPr>
        <w:t>יַקְרִיבֶֽנּוּ</w:t>
      </w:r>
      <w:r w:rsidRPr="0098037E">
        <w:rPr>
          <w:rFonts w:eastAsia="Times New Roman" w:cs="Times New Roman"/>
          <w:rtl/>
          <w:lang w:eastAsia="de-DE"/>
        </w:rPr>
        <w:t xml:space="preserve"> </w:t>
      </w:r>
      <w:r w:rsidRPr="0098037E">
        <w:rPr>
          <w:rFonts w:eastAsia="Times New Roman" w:cs="Times New Roman"/>
          <w:lang w:eastAsia="de-DE"/>
        </w:rPr>
        <w:t xml:space="preserve">(er soll es darbringen) ist Hifil-Imperfekt 3. Person maskulin Singular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mit Objektsuffix 3. Person maskulin Singular.</w:t>
      </w:r>
    </w:p>
    <w:p w14:paraId="1CCA922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Parallelstruktur zu Vers 3 zeigt die Gleichwertigkeit von Rind- und Kleinviehopfern bei identischen Qualitätsstandards.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umfasst sowohl </w:t>
      </w:r>
      <w:r w:rsidRPr="0098037E">
        <w:rPr>
          <w:rFonts w:eastAsia="Times New Roman" w:cs="Times New Roman"/>
          <w:b/>
          <w:bCs/>
          <w:rtl/>
          <w:lang w:eastAsia="de-DE"/>
        </w:rPr>
        <w:t>כְּשָׂבִים</w:t>
      </w:r>
      <w:r w:rsidRPr="0098037E">
        <w:rPr>
          <w:rFonts w:eastAsia="Times New Roman" w:cs="Times New Roman"/>
          <w:rtl/>
          <w:lang w:eastAsia="de-DE"/>
        </w:rPr>
        <w:t xml:space="preserve"> </w:t>
      </w:r>
      <w:r w:rsidRPr="0098037E">
        <w:rPr>
          <w:rFonts w:eastAsia="Times New Roman" w:cs="Times New Roman"/>
          <w:lang w:eastAsia="de-DE"/>
        </w:rPr>
        <w:t xml:space="preserve">als auch </w:t>
      </w:r>
      <w:r w:rsidRPr="0098037E">
        <w:rPr>
          <w:rFonts w:eastAsia="Times New Roman" w:cs="Times New Roman"/>
          <w:b/>
          <w:bCs/>
          <w:rtl/>
          <w:lang w:eastAsia="de-DE"/>
        </w:rPr>
        <w:t>עִזִּים</w:t>
      </w:r>
      <w:r w:rsidRPr="0098037E">
        <w:rPr>
          <w:rFonts w:eastAsia="Times New Roman" w:cs="Times New Roman"/>
          <w:lang w:eastAsia="de-DE"/>
        </w:rPr>
        <w:t>, wobei beide Arten kultisch gleichwertig sind.</w:t>
      </w:r>
    </w:p>
    <w:p w14:paraId="2256BF56" w14:textId="66A94BF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DE39DD">
        <w:t>fügt καὶ ἐπ</w:t>
      </w:r>
      <w:proofErr w:type="spellStart"/>
      <w:r w:rsidR="00DE39DD">
        <w:t>ιθήσει</w:t>
      </w:r>
      <w:proofErr w:type="spellEnd"/>
      <w:r w:rsidR="00DE39DD">
        <w:t xml:space="preserve"> </w:t>
      </w:r>
      <w:proofErr w:type="spellStart"/>
      <w:r w:rsidR="00DE39DD">
        <w:t>τὴν</w:t>
      </w:r>
      <w:proofErr w:type="spellEnd"/>
      <w:r w:rsidR="00DE39DD">
        <w:t xml:space="preserve"> </w:t>
      </w:r>
      <w:proofErr w:type="spellStart"/>
      <w:r w:rsidR="00DE39DD">
        <w:t>χεῖρ</w:t>
      </w:r>
      <w:proofErr w:type="spellEnd"/>
      <w:r w:rsidR="00DE39DD">
        <w:t xml:space="preserve">α ἐπὶ </w:t>
      </w:r>
      <w:proofErr w:type="spellStart"/>
      <w:r w:rsidR="00DE39DD">
        <w:t>τὴν</w:t>
      </w:r>
      <w:proofErr w:type="spellEnd"/>
      <w:r w:rsidR="00DE39DD">
        <w:t xml:space="preserve"> </w:t>
      </w:r>
      <w:proofErr w:type="spellStart"/>
      <w:r w:rsidR="00DE39DD">
        <w:t>κεφ</w:t>
      </w:r>
      <w:proofErr w:type="spellEnd"/>
      <w:r w:rsidR="00DE39DD">
        <w:t>αλὴν α</w:t>
      </w:r>
      <w:proofErr w:type="spellStart"/>
      <w:r w:rsidR="00DE39DD">
        <w:t>ὐτοῦ</w:t>
      </w:r>
      <w:proofErr w:type="spellEnd"/>
      <w:r w:rsidR="00DE39DD">
        <w:t xml:space="preserve"> (und er soll seine Hand auf dessen Kopf legen) hinzu, was im entsprechenden hebräischen Vers fehlt, aber aus Vers 4 übernommen wird.</w:t>
      </w:r>
      <w:r w:rsidR="00D61FEC">
        <w:t xml:space="preserve"> Diese handschriftliche Ergänzung in der LXX deutet auf frühe Harmonisierungstendenzen hin, die liturgische Vollständigkeit anstrebten, aber textkritisch als sekundär zu bewerten ist.</w:t>
      </w:r>
    </w:p>
    <w:p w14:paraId="74F70AC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w:t>
      </w:r>
      <w:r w:rsidRPr="0098037E">
        <w:rPr>
          <w:rFonts w:eastAsia="Times New Roman" w:cs="Times New Roman"/>
          <w:rtl/>
          <w:lang w:eastAsia="de-DE"/>
        </w:rPr>
        <w:t>וְאִם</w:t>
      </w:r>
      <w:r w:rsidRPr="0098037E">
        <w:rPr>
          <w:rFonts w:eastAsia="Times New Roman" w:cs="Times New Roman"/>
          <w:lang w:eastAsia="de-DE"/>
        </w:rPr>
        <w:t xml:space="preserve"> + Herkunftsangaben + Subjekt + Zweckangabe) → Apodosis (Objekte + Verb). Die Struktur entspricht exakt Vers 3 und etabliert parallele Bestimmungen.</w:t>
      </w:r>
    </w:p>
    <w:p w14:paraId="44663C0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erweitert die Opferbestimmungen auf Kleinvieh und betont die demokratische Zugänglichkeit des Opferkultes durch günstigere Opfertiere.</w:t>
      </w:r>
    </w:p>
    <w:p w14:paraId="2119C591"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1,11</w:t>
      </w:r>
    </w:p>
    <w:p w14:paraId="74BD0A2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וְשָׁחַ֨ט אֹתוֹ֜ עַ֣ל יֶ֧רֶךְ הַמִּזְבֵּ֛חַ צָפֹ֖נָה לִפְנֵ֣י יְהוָ֑ה וְזָרְק֡וּ בְּנֵי֩ אַהֲרֹ֨ן הַכֹּהֲנִ֧ים אֶת־דָּמֹ֛ו עַל־הַמִּזְבֵּ֖חַ סָבִֽיב׃</w:t>
      </w:r>
    </w:p>
    <w:p w14:paraId="133BD9D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es schlachten an der Seite des Altars gegen Norden, vor dem Ewigen; und die Söhne 'Aharons, die Priester, sollen sein Blut ringsum an den Altar spritzen.</w:t>
      </w:r>
    </w:p>
    <w:p w14:paraId="7A207B7E"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3B67F12">
          <v:rect id="_x0000_i1035" style="width:0;height:1.5pt" o:hralign="center" o:hrstd="t" o:hr="t" fillcolor="#a0a0a0" stroked="f"/>
        </w:pict>
      </w:r>
    </w:p>
    <w:p w14:paraId="4B2E9D0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וְשָׁחַ֨ט</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שחט</w:t>
      </w:r>
      <w:r w:rsidRPr="0098037E">
        <w:rPr>
          <w:rFonts w:eastAsia="Times New Roman" w:cs="Times New Roman"/>
          <w:rtl/>
          <w:lang w:eastAsia="de-DE"/>
        </w:rPr>
        <w:t xml:space="preserve"> </w:t>
      </w:r>
      <w:r w:rsidRPr="0098037E">
        <w:rPr>
          <w:rFonts w:eastAsia="Times New Roman" w:cs="Times New Roman"/>
          <w:lang w:eastAsia="de-DE"/>
        </w:rPr>
        <w:t xml:space="preserve">(schlachten), 3. Person maskulin Singular. </w:t>
      </w:r>
      <w:r w:rsidRPr="0098037E">
        <w:rPr>
          <w:rFonts w:eastAsia="Times New Roman" w:cs="Times New Roman"/>
          <w:b/>
          <w:bCs/>
          <w:rtl/>
          <w:lang w:eastAsia="de-DE"/>
        </w:rPr>
        <w:t>אֹתוֹ֜</w:t>
      </w:r>
      <w:r w:rsidRPr="0098037E">
        <w:rPr>
          <w:rFonts w:eastAsia="Times New Roman" w:cs="Times New Roman"/>
          <w:rtl/>
          <w:lang w:eastAsia="de-DE"/>
        </w:rPr>
        <w:t xml:space="preserve"> </w:t>
      </w:r>
      <w:r w:rsidRPr="0098037E">
        <w:rPr>
          <w:rFonts w:eastAsia="Times New Roman" w:cs="Times New Roman"/>
          <w:lang w:eastAsia="de-DE"/>
        </w:rPr>
        <w:t xml:space="preserve">(es) mit maskulinem Suffix bezieht sich auf das Kleinvieh zurück. </w:t>
      </w:r>
      <w:r w:rsidRPr="0098037E">
        <w:rPr>
          <w:rFonts w:eastAsia="Times New Roman" w:cs="Times New Roman"/>
          <w:b/>
          <w:bCs/>
          <w:rtl/>
          <w:lang w:eastAsia="de-DE"/>
        </w:rPr>
        <w:t>עַ֣ל יֶ֧רֶךְ הַמִּזְבֵּ֛חַ</w:t>
      </w:r>
      <w:r w:rsidRPr="0098037E">
        <w:rPr>
          <w:rFonts w:eastAsia="Times New Roman" w:cs="Times New Roman"/>
          <w:rtl/>
          <w:lang w:eastAsia="de-DE"/>
        </w:rPr>
        <w:t xml:space="preserve"> </w:t>
      </w:r>
      <w:r w:rsidRPr="0098037E">
        <w:rPr>
          <w:rFonts w:eastAsia="Times New Roman" w:cs="Times New Roman"/>
          <w:lang w:eastAsia="de-DE"/>
        </w:rPr>
        <w:t xml:space="preserve">(an der Seite des Altars) verwendet </w:t>
      </w:r>
      <w:r w:rsidRPr="0098037E">
        <w:rPr>
          <w:rFonts w:eastAsia="Times New Roman" w:cs="Times New Roman"/>
          <w:b/>
          <w:bCs/>
          <w:rtl/>
          <w:lang w:eastAsia="de-DE"/>
        </w:rPr>
        <w:t>יֶרֶךְ</w:t>
      </w:r>
      <w:r w:rsidRPr="0098037E">
        <w:rPr>
          <w:rFonts w:eastAsia="Times New Roman" w:cs="Times New Roman"/>
          <w:rtl/>
          <w:lang w:eastAsia="de-DE"/>
        </w:rPr>
        <w:t xml:space="preserve"> </w:t>
      </w:r>
      <w:r w:rsidRPr="0098037E">
        <w:rPr>
          <w:rFonts w:eastAsia="Times New Roman" w:cs="Times New Roman"/>
          <w:lang w:eastAsia="de-DE"/>
        </w:rPr>
        <w:t xml:space="preserve">(Seite/Schenkel) zur Ortsangabe, spezifiziert durch </w:t>
      </w:r>
      <w:r w:rsidRPr="0098037E">
        <w:rPr>
          <w:rFonts w:eastAsia="Times New Roman" w:cs="Times New Roman"/>
          <w:b/>
          <w:bCs/>
          <w:rtl/>
          <w:lang w:eastAsia="de-DE"/>
        </w:rPr>
        <w:t>צָפֹ֖נָה</w:t>
      </w:r>
      <w:r w:rsidRPr="0098037E">
        <w:rPr>
          <w:rFonts w:eastAsia="Times New Roman" w:cs="Times New Roman"/>
          <w:rtl/>
          <w:lang w:eastAsia="de-DE"/>
        </w:rPr>
        <w:t xml:space="preserve"> </w:t>
      </w:r>
      <w:r w:rsidRPr="0098037E">
        <w:rPr>
          <w:rFonts w:eastAsia="Times New Roman" w:cs="Times New Roman"/>
          <w:lang w:eastAsia="de-DE"/>
        </w:rPr>
        <w:t>(nordwärts) mit Richtungs-He.</w:t>
      </w:r>
    </w:p>
    <w:p w14:paraId="564B63A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Nordseite (</w:t>
      </w:r>
      <w:r w:rsidRPr="0098037E">
        <w:rPr>
          <w:rFonts w:eastAsia="Times New Roman" w:cs="Times New Roman"/>
          <w:b/>
          <w:bCs/>
          <w:rtl/>
          <w:lang w:eastAsia="de-DE"/>
        </w:rPr>
        <w:t>צָפֹ֖נָה</w:t>
      </w:r>
      <w:r w:rsidRPr="0098037E">
        <w:rPr>
          <w:rFonts w:eastAsia="Times New Roman" w:cs="Times New Roman"/>
          <w:lang w:eastAsia="de-DE"/>
        </w:rPr>
        <w:t xml:space="preserve">) des Altars wird spezifisch für die Schlachtung von Kleinviehopfern bestimmt, im Unterschied zu den allgemeineren Bestimmungen für Rindopfer.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(vor JHWH) betont den sakralen Kontext.</w:t>
      </w:r>
    </w:p>
    <w:p w14:paraId="253B8B9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וְזָרְק֡וּ</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זרק</w:t>
      </w:r>
      <w:r w:rsidRPr="0098037E">
        <w:rPr>
          <w:rFonts w:eastAsia="Times New Roman" w:cs="Times New Roman"/>
          <w:rtl/>
          <w:lang w:eastAsia="de-DE"/>
        </w:rPr>
        <w:t xml:space="preserve"> </w:t>
      </w:r>
      <w:r w:rsidRPr="0098037E">
        <w:rPr>
          <w:rFonts w:eastAsia="Times New Roman" w:cs="Times New Roman"/>
          <w:lang w:eastAsia="de-DE"/>
        </w:rPr>
        <w:t xml:space="preserve">(spritzen), 3. Person maskulin Plural. </w:t>
      </w:r>
      <w:r w:rsidRPr="0098037E">
        <w:rPr>
          <w:rFonts w:eastAsia="Times New Roman" w:cs="Times New Roman"/>
          <w:b/>
          <w:bCs/>
          <w:rtl/>
          <w:lang w:eastAsia="de-DE"/>
        </w:rPr>
        <w:t>בְּנֵי֩ אַהֲרֹ֨ן הַכֹּהֲנִ֧ים</w:t>
      </w:r>
      <w:r w:rsidRPr="0098037E">
        <w:rPr>
          <w:rFonts w:eastAsia="Times New Roman" w:cs="Times New Roman"/>
          <w:rtl/>
          <w:lang w:eastAsia="de-DE"/>
        </w:rPr>
        <w:t xml:space="preserve"> </w:t>
      </w:r>
      <w:r w:rsidRPr="0098037E">
        <w:rPr>
          <w:rFonts w:eastAsia="Times New Roman" w:cs="Times New Roman"/>
          <w:lang w:eastAsia="de-DE"/>
        </w:rPr>
        <w:t xml:space="preserve">zeigt erneut die priesterliche Verantwortung für den Blutdienst. </w:t>
      </w:r>
      <w:r w:rsidRPr="0098037E">
        <w:rPr>
          <w:rFonts w:eastAsia="Times New Roman" w:cs="Times New Roman"/>
          <w:b/>
          <w:bCs/>
          <w:rtl/>
          <w:lang w:eastAsia="de-DE"/>
        </w:rPr>
        <w:t>אֶת־דָּמֹ֛ו</w:t>
      </w:r>
      <w:r w:rsidRPr="0098037E">
        <w:rPr>
          <w:rFonts w:eastAsia="Times New Roman" w:cs="Times New Roman"/>
          <w:rtl/>
          <w:lang w:eastAsia="de-DE"/>
        </w:rPr>
        <w:t xml:space="preserve"> </w:t>
      </w:r>
      <w:r w:rsidRPr="0098037E">
        <w:rPr>
          <w:rFonts w:eastAsia="Times New Roman" w:cs="Times New Roman"/>
          <w:lang w:eastAsia="de-DE"/>
        </w:rPr>
        <w:t xml:space="preserve">(sein Blut) mit Possessivsuffix 3. Person maskulin Singular. </w:t>
      </w:r>
      <w:r w:rsidRPr="0098037E">
        <w:rPr>
          <w:rFonts w:eastAsia="Times New Roman" w:cs="Times New Roman"/>
          <w:b/>
          <w:bCs/>
          <w:rtl/>
          <w:lang w:eastAsia="de-DE"/>
        </w:rPr>
        <w:t>עַל־הַמִּזְבֵּ֖חַ סָבִֽיב</w:t>
      </w:r>
      <w:r w:rsidRPr="0098037E">
        <w:rPr>
          <w:rFonts w:eastAsia="Times New Roman" w:cs="Times New Roman"/>
          <w:rtl/>
          <w:lang w:eastAsia="de-DE"/>
        </w:rPr>
        <w:t xml:space="preserve"> </w:t>
      </w:r>
      <w:r w:rsidRPr="0098037E">
        <w:rPr>
          <w:rFonts w:eastAsia="Times New Roman" w:cs="Times New Roman"/>
          <w:lang w:eastAsia="de-DE"/>
        </w:rPr>
        <w:t>(ringsum an den Altar) entspricht der Bestimmung in Vers 5.</w:t>
      </w:r>
    </w:p>
    <w:p w14:paraId="7865D12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 spezifische Ortsangabe </w:t>
      </w:r>
      <w:r w:rsidRPr="0098037E">
        <w:rPr>
          <w:rFonts w:eastAsia="Times New Roman" w:cs="Times New Roman"/>
          <w:b/>
          <w:bCs/>
          <w:rtl/>
          <w:lang w:eastAsia="de-DE"/>
        </w:rPr>
        <w:t>יֶ֧רֶךְ הַמִּזְבֵּ֛חַ צָפֹ֖נָה</w:t>
      </w:r>
      <w:r w:rsidRPr="0098037E">
        <w:rPr>
          <w:rFonts w:eastAsia="Times New Roman" w:cs="Times New Roman"/>
          <w:rtl/>
          <w:lang w:eastAsia="de-DE"/>
        </w:rPr>
        <w:t xml:space="preserve"> </w:t>
      </w:r>
      <w:r w:rsidRPr="0098037E">
        <w:rPr>
          <w:rFonts w:eastAsia="Times New Roman" w:cs="Times New Roman"/>
          <w:lang w:eastAsia="de-DE"/>
        </w:rPr>
        <w:t xml:space="preserve">unterscheidet die Kleinviehschlachtung von der Rindschlachtung und zeigt liturgische Differenzierung. </w:t>
      </w:r>
      <w:r w:rsidRPr="0098037E">
        <w:rPr>
          <w:rFonts w:eastAsia="Times New Roman" w:cs="Times New Roman"/>
          <w:b/>
          <w:bCs/>
          <w:rtl/>
          <w:lang w:eastAsia="de-DE"/>
        </w:rPr>
        <w:t>יֶרֶךְ</w:t>
      </w:r>
      <w:r w:rsidRPr="0098037E">
        <w:rPr>
          <w:rFonts w:eastAsia="Times New Roman" w:cs="Times New Roman"/>
          <w:rtl/>
          <w:lang w:eastAsia="de-DE"/>
        </w:rPr>
        <w:t xml:space="preserve"> </w:t>
      </w:r>
      <w:r w:rsidRPr="0098037E">
        <w:rPr>
          <w:rFonts w:eastAsia="Times New Roman" w:cs="Times New Roman"/>
          <w:lang w:eastAsia="de-DE"/>
        </w:rPr>
        <w:t>bezeichnet die Seitenfläche im Gegensatz zur Vorderseite (</w:t>
      </w:r>
      <w:r w:rsidRPr="0098037E">
        <w:rPr>
          <w:rFonts w:eastAsia="Times New Roman" w:cs="Times New Roman"/>
          <w:b/>
          <w:bCs/>
          <w:rtl/>
          <w:lang w:eastAsia="de-DE"/>
        </w:rPr>
        <w:t>פֶּתַח</w:t>
      </w:r>
      <w:r w:rsidRPr="0098037E">
        <w:rPr>
          <w:rFonts w:eastAsia="Times New Roman" w:cs="Times New Roman"/>
          <w:lang w:eastAsia="de-DE"/>
        </w:rPr>
        <w:t>).</w:t>
      </w:r>
    </w:p>
    <w:p w14:paraId="7514B33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יֶ֧רֶךְ</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λευρὰν</w:t>
      </w:r>
      <w:proofErr w:type="spellEnd"/>
      <w:r w:rsidRPr="0098037E">
        <w:rPr>
          <w:rFonts w:eastAsia="Times New Roman" w:cs="Times New Roman"/>
          <w:lang w:eastAsia="de-DE"/>
        </w:rPr>
        <w:t xml:space="preserve"> (Seite), </w:t>
      </w:r>
      <w:r w:rsidRPr="0098037E">
        <w:rPr>
          <w:rFonts w:eastAsia="Times New Roman" w:cs="Times New Roman"/>
          <w:b/>
          <w:bCs/>
          <w:rtl/>
          <w:lang w:eastAsia="de-DE"/>
        </w:rPr>
        <w:t>צָפֹ֖נָה</w:t>
      </w:r>
      <w:r w:rsidRPr="0098037E">
        <w:rPr>
          <w:rFonts w:eastAsia="Times New Roman" w:cs="Times New Roman"/>
          <w:rtl/>
          <w:lang w:eastAsia="de-DE"/>
        </w:rPr>
        <w:t xml:space="preserve"> </w:t>
      </w:r>
      <w:r w:rsidRPr="0098037E">
        <w:rPr>
          <w:rFonts w:eastAsia="Times New Roman" w:cs="Times New Roman"/>
          <w:lang w:eastAsia="de-DE"/>
        </w:rPr>
        <w:t>mit κα</w:t>
      </w:r>
      <w:proofErr w:type="spellStart"/>
      <w:r w:rsidRPr="0098037E">
        <w:rPr>
          <w:rFonts w:eastAsia="Times New Roman" w:cs="Times New Roman"/>
          <w:lang w:eastAsia="de-DE"/>
        </w:rPr>
        <w:t>τὰ</w:t>
      </w:r>
      <w:proofErr w:type="spellEnd"/>
      <w:r w:rsidRPr="0098037E">
        <w:rPr>
          <w:rFonts w:eastAsia="Times New Roman" w:cs="Times New Roman"/>
          <w:lang w:eastAsia="de-DE"/>
        </w:rPr>
        <w:t xml:space="preserve"> β</w:t>
      </w:r>
      <w:proofErr w:type="spellStart"/>
      <w:r w:rsidRPr="0098037E">
        <w:rPr>
          <w:rFonts w:eastAsia="Times New Roman" w:cs="Times New Roman"/>
          <w:lang w:eastAsia="de-DE"/>
        </w:rPr>
        <w:t>ορρᾶν</w:t>
      </w:r>
      <w:proofErr w:type="spellEnd"/>
      <w:r w:rsidRPr="0098037E">
        <w:rPr>
          <w:rFonts w:eastAsia="Times New Roman" w:cs="Times New Roman"/>
          <w:lang w:eastAsia="de-DE"/>
        </w:rPr>
        <w:t xml:space="preserve"> (gegen Norden) und </w:t>
      </w:r>
      <w:r w:rsidRPr="0098037E">
        <w:rPr>
          <w:rFonts w:eastAsia="Times New Roman" w:cs="Times New Roman"/>
          <w:b/>
          <w:bCs/>
          <w:rtl/>
          <w:lang w:eastAsia="de-DE"/>
        </w:rPr>
        <w:t>וְזָרְק֡וּ</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ροσχεοῦσιν</w:t>
      </w:r>
      <w:proofErr w:type="spellEnd"/>
      <w:r w:rsidRPr="0098037E">
        <w:rPr>
          <w:rFonts w:eastAsia="Times New Roman" w:cs="Times New Roman"/>
          <w:lang w:eastAsia="de-DE"/>
        </w:rPr>
        <w:t xml:space="preserve"> (und sie sollen ausgießen), was die räumlichen und rituellen Bestimmungen präzise wiedergibt.</w:t>
      </w:r>
    </w:p>
    <w:p w14:paraId="362BD86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Verb + Objekt + Ortsangabe (doppelt spezifiziert) + Adverbialbestimmung // Verb + Subjekt + Objekt + Adverbialbestimmung. Beide Sätze sind syntaktisch gleichwertige Hauptsätze.</w:t>
      </w:r>
    </w:p>
    <w:p w14:paraId="4B19299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spezifische räumliche Bestimmungen für Kleinviehopfer und zeigt die liturgische Differenzierung verschiedener Opferkategorien.</w:t>
      </w:r>
    </w:p>
    <w:p w14:paraId="1F5DD868"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1,12</w:t>
      </w:r>
    </w:p>
    <w:p w14:paraId="6E43D0F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וְנִתַּ֤ח אֹתוֹ֙ לִנְתָחָ֔יו וְאֶת־רֹאשֹׁ֖ו וְאֶת־פִּדְרֹ֑ו וְעָרַ֤ךְ הַכֹּהֵן֙ אֹתָ֔ם עַל־הָֽעֵצִים֙ אֲשֶׁ֣ר עַל־הָאֵ֔שׁ אֲשֶׁ֖ר עַל־הַמִּזְבֵּֽחַ׃</w:t>
      </w:r>
    </w:p>
    <w:p w14:paraId="3AB5777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es in seine Stücke zerlegen mit seinem Kopf und seinem Fett; und der Priester soll sie auf dem Holz richten, das auf dem Feuer ist, das auf dem Altar ist.</w:t>
      </w:r>
    </w:p>
    <w:p w14:paraId="5EB5E0BB"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5B3580C5">
          <v:rect id="_x0000_i1036" style="width:0;height:1.5pt" o:hralign="center" o:hrstd="t" o:hr="t" fillcolor="#a0a0a0" stroked="f"/>
        </w:pict>
      </w:r>
    </w:p>
    <w:p w14:paraId="027B5C7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וְנִתַּ֤ח</w:t>
      </w:r>
      <w:r w:rsidRPr="0098037E">
        <w:rPr>
          <w:rFonts w:eastAsia="Times New Roman" w:cs="Times New Roman"/>
          <w:rtl/>
          <w:lang w:eastAsia="de-DE"/>
        </w:rPr>
        <w:t xml:space="preserve"> </w:t>
      </w:r>
      <w:r w:rsidRPr="0098037E">
        <w:rPr>
          <w:rFonts w:eastAsia="Times New Roman" w:cs="Times New Roman"/>
          <w:lang w:eastAsia="de-DE"/>
        </w:rPr>
        <w:t xml:space="preserve">ist Piel-Perfekt mit Waw-Konsekutiv von </w:t>
      </w:r>
      <w:r w:rsidRPr="0098037E">
        <w:rPr>
          <w:rFonts w:eastAsia="Times New Roman" w:cs="Times New Roman"/>
          <w:b/>
          <w:bCs/>
          <w:rtl/>
          <w:lang w:eastAsia="de-DE"/>
        </w:rPr>
        <w:t>נתח</w:t>
      </w:r>
      <w:r w:rsidRPr="0098037E">
        <w:rPr>
          <w:rFonts w:eastAsia="Times New Roman" w:cs="Times New Roman"/>
          <w:rtl/>
          <w:lang w:eastAsia="de-DE"/>
        </w:rPr>
        <w:t xml:space="preserve"> </w:t>
      </w:r>
      <w:r w:rsidRPr="0098037E">
        <w:rPr>
          <w:rFonts w:eastAsia="Times New Roman" w:cs="Times New Roman"/>
          <w:lang w:eastAsia="de-DE"/>
        </w:rPr>
        <w:t xml:space="preserve">(zerstückeln), 3. Person maskulin Singular. </w:t>
      </w:r>
      <w:r w:rsidRPr="0098037E">
        <w:rPr>
          <w:rFonts w:eastAsia="Times New Roman" w:cs="Times New Roman"/>
          <w:b/>
          <w:bCs/>
          <w:rtl/>
          <w:lang w:eastAsia="de-DE"/>
        </w:rPr>
        <w:t>אֹתוֹ֙</w:t>
      </w:r>
      <w:r w:rsidRPr="0098037E">
        <w:rPr>
          <w:rFonts w:eastAsia="Times New Roman" w:cs="Times New Roman"/>
          <w:rtl/>
          <w:lang w:eastAsia="de-DE"/>
        </w:rPr>
        <w:t xml:space="preserve"> </w:t>
      </w:r>
      <w:r w:rsidRPr="0098037E">
        <w:rPr>
          <w:rFonts w:eastAsia="Times New Roman" w:cs="Times New Roman"/>
          <w:lang w:eastAsia="de-DE"/>
        </w:rPr>
        <w:t xml:space="preserve">(es) bezieht sich auf das Kleinvieh. </w:t>
      </w:r>
      <w:r w:rsidRPr="0098037E">
        <w:rPr>
          <w:rFonts w:eastAsia="Times New Roman" w:cs="Times New Roman"/>
          <w:b/>
          <w:bCs/>
          <w:rtl/>
          <w:lang w:eastAsia="de-DE"/>
        </w:rPr>
        <w:t>לִנְתָחָ֔יו</w:t>
      </w:r>
      <w:r w:rsidRPr="0098037E">
        <w:rPr>
          <w:rFonts w:eastAsia="Times New Roman" w:cs="Times New Roman"/>
          <w:rtl/>
          <w:lang w:eastAsia="de-DE"/>
        </w:rPr>
        <w:t xml:space="preserve"> </w:t>
      </w:r>
      <w:r w:rsidRPr="0098037E">
        <w:rPr>
          <w:rFonts w:eastAsia="Times New Roman" w:cs="Times New Roman"/>
          <w:lang w:eastAsia="de-DE"/>
        </w:rPr>
        <w:t>(zu seinen Stücken) mit Possessivsuffix 3. Person maskulin Singular zeigt das Ziel der Zerlegung.</w:t>
      </w:r>
    </w:p>
    <w:p w14:paraId="51974F1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וְאֶת־רֹאשֹׁ֖ו</w:t>
      </w:r>
      <w:r w:rsidRPr="0098037E">
        <w:rPr>
          <w:rFonts w:eastAsia="Times New Roman" w:cs="Times New Roman"/>
          <w:rtl/>
          <w:lang w:eastAsia="de-DE"/>
        </w:rPr>
        <w:t xml:space="preserve"> </w:t>
      </w:r>
      <w:r w:rsidRPr="0098037E">
        <w:rPr>
          <w:rFonts w:eastAsia="Times New Roman" w:cs="Times New Roman"/>
          <w:lang w:eastAsia="de-DE"/>
        </w:rPr>
        <w:t xml:space="preserve">(und seinen Kopf) und </w:t>
      </w:r>
      <w:r w:rsidRPr="0098037E">
        <w:rPr>
          <w:rFonts w:eastAsia="Times New Roman" w:cs="Times New Roman"/>
          <w:b/>
          <w:bCs/>
          <w:rtl/>
          <w:lang w:eastAsia="de-DE"/>
        </w:rPr>
        <w:t>וְאֶת־פִּדְרֹ֑ו</w:t>
      </w:r>
      <w:r w:rsidRPr="0098037E">
        <w:rPr>
          <w:rFonts w:eastAsia="Times New Roman" w:cs="Times New Roman"/>
          <w:rtl/>
          <w:lang w:eastAsia="de-DE"/>
        </w:rPr>
        <w:t xml:space="preserve"> </w:t>
      </w:r>
      <w:r w:rsidRPr="0098037E">
        <w:rPr>
          <w:rFonts w:eastAsia="Times New Roman" w:cs="Times New Roman"/>
          <w:lang w:eastAsia="de-DE"/>
        </w:rPr>
        <w:t xml:space="preserve">(und sein Fett) sind koordinierte Objekte mit </w:t>
      </w:r>
      <w:r w:rsidRPr="0098037E">
        <w:rPr>
          <w:rFonts w:eastAsia="Times New Roman" w:cs="Times New Roman"/>
          <w:b/>
          <w:bCs/>
          <w:rtl/>
          <w:lang w:eastAsia="de-DE"/>
        </w:rPr>
        <w:t>אֶת</w:t>
      </w:r>
      <w:r w:rsidRPr="0098037E">
        <w:rPr>
          <w:rFonts w:eastAsia="Times New Roman" w:cs="Times New Roman"/>
          <w:rtl/>
          <w:lang w:eastAsia="de-DE"/>
        </w:rPr>
        <w:t xml:space="preserve"> </w:t>
      </w:r>
      <w:r w:rsidRPr="0098037E">
        <w:rPr>
          <w:rFonts w:eastAsia="Times New Roman" w:cs="Times New Roman"/>
          <w:lang w:eastAsia="de-DE"/>
        </w:rPr>
        <w:t xml:space="preserve">und Possessivsuffixen 3. Person maskulin Singular.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 xml:space="preserve">(Kopf) und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 xml:space="preserve">(Fett) werden explizit erwähnt, obwohl sie Teil der </w:t>
      </w:r>
      <w:r w:rsidRPr="0098037E">
        <w:rPr>
          <w:rFonts w:eastAsia="Times New Roman" w:cs="Times New Roman"/>
          <w:b/>
          <w:bCs/>
          <w:rtl/>
          <w:lang w:eastAsia="de-DE"/>
        </w:rPr>
        <w:t>נְתָחִים</w:t>
      </w:r>
      <w:r w:rsidRPr="0098037E">
        <w:rPr>
          <w:rFonts w:eastAsia="Times New Roman" w:cs="Times New Roman"/>
          <w:rtl/>
          <w:lang w:eastAsia="de-DE"/>
        </w:rPr>
        <w:t xml:space="preserve"> </w:t>
      </w:r>
      <w:r w:rsidRPr="0098037E">
        <w:rPr>
          <w:rFonts w:eastAsia="Times New Roman" w:cs="Times New Roman"/>
          <w:lang w:eastAsia="de-DE"/>
        </w:rPr>
        <w:t>(Stücke) sind.</w:t>
      </w:r>
    </w:p>
    <w:p w14:paraId="34C1397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וְעָרַ֤ךְ</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ערך</w:t>
      </w:r>
      <w:r w:rsidRPr="0098037E">
        <w:rPr>
          <w:rFonts w:eastAsia="Times New Roman" w:cs="Times New Roman"/>
          <w:rtl/>
          <w:lang w:eastAsia="de-DE"/>
        </w:rPr>
        <w:t xml:space="preserve"> </w:t>
      </w:r>
      <w:r w:rsidRPr="0098037E">
        <w:rPr>
          <w:rFonts w:eastAsia="Times New Roman" w:cs="Times New Roman"/>
          <w:lang w:eastAsia="de-DE"/>
        </w:rPr>
        <w:t xml:space="preserve">(anordnen),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zeigt den Wechsel vom Laien zum Priester in der Handlungsverantwortung. </w:t>
      </w:r>
      <w:r w:rsidRPr="0098037E">
        <w:rPr>
          <w:rFonts w:eastAsia="Times New Roman" w:cs="Times New Roman"/>
          <w:b/>
          <w:bCs/>
          <w:rtl/>
          <w:lang w:eastAsia="de-DE"/>
        </w:rPr>
        <w:t>אֹתָ֔ם</w:t>
      </w:r>
      <w:r w:rsidRPr="0098037E">
        <w:rPr>
          <w:rFonts w:eastAsia="Times New Roman" w:cs="Times New Roman"/>
          <w:rtl/>
          <w:lang w:eastAsia="de-DE"/>
        </w:rPr>
        <w:t xml:space="preserve"> </w:t>
      </w:r>
      <w:r w:rsidRPr="0098037E">
        <w:rPr>
          <w:rFonts w:eastAsia="Times New Roman" w:cs="Times New Roman"/>
          <w:lang w:eastAsia="de-DE"/>
        </w:rPr>
        <w:t>(sie) mit maskulinem Plural-Suffix bezieht sich auf die Fleischstücke, Kopf und Fett zurück.</w:t>
      </w:r>
    </w:p>
    <w:p w14:paraId="73C63F2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Ortsangabe </w:t>
      </w:r>
      <w:r w:rsidRPr="0098037E">
        <w:rPr>
          <w:rFonts w:eastAsia="Times New Roman" w:cs="Times New Roman"/>
          <w:b/>
          <w:bCs/>
          <w:rtl/>
          <w:lang w:eastAsia="de-DE"/>
        </w:rPr>
        <w:t>עַל־הָֽעֵצִים֙ אֲשֶׁ֣ר עַל־הָאֵ֔שׁ אֲשֶׁ֖ר עַל־הַמִּזְבֵּֽחַ</w:t>
      </w:r>
      <w:r w:rsidRPr="0098037E">
        <w:rPr>
          <w:rFonts w:eastAsia="Times New Roman" w:cs="Times New Roman"/>
          <w:rtl/>
          <w:lang w:eastAsia="de-DE"/>
        </w:rPr>
        <w:t xml:space="preserve"> </w:t>
      </w:r>
      <w:r w:rsidRPr="0098037E">
        <w:rPr>
          <w:rFonts w:eastAsia="Times New Roman" w:cs="Times New Roman"/>
          <w:lang w:eastAsia="de-DE"/>
        </w:rPr>
        <w:t>wiederholt exakt die Struktur von Vers 8 und zeigt die identische hierarchische Anordnung: Altar → Feuer → Holz → Opferstücke.</w:t>
      </w:r>
    </w:p>
    <w:p w14:paraId="1770B7F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Erwähnung von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 xml:space="preserve">neben </w:t>
      </w:r>
      <w:r w:rsidRPr="0098037E">
        <w:rPr>
          <w:rFonts w:eastAsia="Times New Roman" w:cs="Times New Roman"/>
          <w:b/>
          <w:bCs/>
          <w:rtl/>
          <w:lang w:eastAsia="de-DE"/>
        </w:rPr>
        <w:t>נְתָחִים</w:t>
      </w:r>
      <w:r w:rsidRPr="0098037E">
        <w:rPr>
          <w:rFonts w:eastAsia="Times New Roman" w:cs="Times New Roman"/>
          <w:rtl/>
          <w:lang w:eastAsia="de-DE"/>
        </w:rPr>
        <w:t xml:space="preserve"> </w:t>
      </w:r>
      <w:r w:rsidRPr="0098037E">
        <w:rPr>
          <w:rFonts w:eastAsia="Times New Roman" w:cs="Times New Roman"/>
          <w:lang w:eastAsia="de-DE"/>
        </w:rPr>
        <w:t xml:space="preserve">betont deren besondere Bedeutung im Opferritual.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 xml:space="preserve">(sein Fett) ist das individuelle Fett des jeweiligen Tieres im Unterschied zum generischen </w:t>
      </w:r>
      <w:r w:rsidRPr="0098037E">
        <w:rPr>
          <w:rFonts w:eastAsia="Times New Roman" w:cs="Times New Roman"/>
          <w:b/>
          <w:bCs/>
          <w:rtl/>
          <w:lang w:eastAsia="de-DE"/>
        </w:rPr>
        <w:t>הַפָּדֶר</w:t>
      </w:r>
      <w:r w:rsidRPr="0098037E">
        <w:rPr>
          <w:rFonts w:eastAsia="Times New Roman" w:cs="Times New Roman"/>
          <w:rtl/>
          <w:lang w:eastAsia="de-DE"/>
        </w:rPr>
        <w:t xml:space="preserve"> </w:t>
      </w:r>
      <w:r w:rsidRPr="0098037E">
        <w:rPr>
          <w:rFonts w:eastAsia="Times New Roman" w:cs="Times New Roman"/>
          <w:lang w:eastAsia="de-DE"/>
        </w:rPr>
        <w:t>in Vers 8.</w:t>
      </w:r>
    </w:p>
    <w:p w14:paraId="5A4E7CF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וְנִתַּ֤ח</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διελοῦσιν</w:t>
      </w:r>
      <w:proofErr w:type="spellEnd"/>
      <w:r w:rsidRPr="0098037E">
        <w:rPr>
          <w:rFonts w:eastAsia="Times New Roman" w:cs="Times New Roman"/>
          <w:lang w:eastAsia="de-DE"/>
        </w:rPr>
        <w:t xml:space="preserve"> (und sie sollen zerteilen), </w:t>
      </w:r>
      <w:r w:rsidRPr="0098037E">
        <w:rPr>
          <w:rFonts w:eastAsia="Times New Roman" w:cs="Times New Roman"/>
          <w:b/>
          <w:bCs/>
          <w:rtl/>
          <w:lang w:eastAsia="de-DE"/>
        </w:rPr>
        <w:t>רֹאשׁ</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κεφ</w:t>
      </w:r>
      <w:proofErr w:type="spellEnd"/>
      <w:r w:rsidRPr="0098037E">
        <w:rPr>
          <w:rFonts w:eastAsia="Times New Roman" w:cs="Times New Roman"/>
          <w:lang w:eastAsia="de-DE"/>
        </w:rPr>
        <w:t xml:space="preserve">αλήν und </w:t>
      </w:r>
      <w:r w:rsidRPr="0098037E">
        <w:rPr>
          <w:rFonts w:eastAsia="Times New Roman" w:cs="Times New Roman"/>
          <w:b/>
          <w:bCs/>
          <w:rtl/>
          <w:lang w:eastAsia="de-DE"/>
        </w:rPr>
        <w:t>פִּדְרֹ</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στέ</w:t>
      </w:r>
      <w:proofErr w:type="spellEnd"/>
      <w:r w:rsidRPr="0098037E">
        <w:rPr>
          <w:rFonts w:eastAsia="Times New Roman" w:cs="Times New Roman"/>
          <w:lang w:eastAsia="de-DE"/>
        </w:rPr>
        <w:t>αρ α</w:t>
      </w:r>
      <w:proofErr w:type="spellStart"/>
      <w:r w:rsidRPr="0098037E">
        <w:rPr>
          <w:rFonts w:eastAsia="Times New Roman" w:cs="Times New Roman"/>
          <w:lang w:eastAsia="de-DE"/>
        </w:rPr>
        <w:t>ὐτοῦ</w:t>
      </w:r>
      <w:proofErr w:type="spellEnd"/>
      <w:r w:rsidRPr="0098037E">
        <w:rPr>
          <w:rFonts w:eastAsia="Times New Roman" w:cs="Times New Roman"/>
          <w:lang w:eastAsia="de-DE"/>
        </w:rPr>
        <w:t xml:space="preserve"> (sein Fett), was die individuellen Aspekte hervorhebt.</w:t>
      </w:r>
    </w:p>
    <w:p w14:paraId="101DABD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Verb + Objekt + Adverbialbestimmung + koordinierte Objekte // Verb + Subjekt + Objekt + komplexe </w:t>
      </w:r>
      <w:r w:rsidRPr="0098037E">
        <w:rPr>
          <w:rFonts w:eastAsia="Times New Roman" w:cs="Times New Roman"/>
          <w:lang w:eastAsia="de-DE"/>
        </w:rPr>
        <w:lastRenderedPageBreak/>
        <w:t>Ortsangabe mit doppeltem Relativsatz. Die Relativsätze fungieren als Attributsätze zur präzisen Ortsbestimmung.</w:t>
      </w:r>
    </w:p>
    <w:p w14:paraId="5D56E85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zeigt die identische Verarbeitung von Kleinvieh wie bei Rindopfern und betont die Kontinuität der priesterlichen Verantwortung in der Opferdarbringung.</w:t>
      </w:r>
    </w:p>
    <w:p w14:paraId="6A1D48FE"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1,13</w:t>
      </w:r>
    </w:p>
    <w:p w14:paraId="0086393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וְהַקֶּ֥רֶב וְהַכְּרָעַ֖יִם יִרְחַ֣ץ בַּמָּ֑יִם וְהִקְרִ֨יב הַכֹּהֵ֤ן אֶת־הַכֹּל֙ וְהִקְטִ֣יר הַמִּזְבֵּ֔חָה עֹלָ֣ה ה֗וּא אִשֵּׁ֛ה רֵ֥יחַ נִיחֹ֖חַ לַיהוָֽה׃</w:t>
      </w:r>
    </w:p>
    <w:p w14:paraId="384E30B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Eingeweide und die Schenkel sollen mit Wasser gewaschen werden; und der Priester soll das Ganze darbringen und auf dem Altar räuchern: Es ist ein Aufsteigeopfer, ein Feueropfer wohlgefälligen Geruchs dem Ewigen.</w:t>
      </w:r>
    </w:p>
    <w:p w14:paraId="2AAF1993"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E99FE5A">
          <v:rect id="_x0000_i1037" style="width:0;height:1.5pt" o:hralign="center" o:hrstd="t" o:hr="t" fillcolor="#a0a0a0" stroked="f"/>
        </w:pict>
      </w:r>
    </w:p>
    <w:p w14:paraId="1A74D37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וְהַקֶּ֥רֶב</w:t>
      </w:r>
      <w:r w:rsidRPr="0098037E">
        <w:rPr>
          <w:rFonts w:eastAsia="Times New Roman" w:cs="Times New Roman"/>
          <w:rtl/>
          <w:lang w:eastAsia="de-DE"/>
        </w:rPr>
        <w:t xml:space="preserve"> </w:t>
      </w:r>
      <w:r w:rsidRPr="0098037E">
        <w:rPr>
          <w:rFonts w:eastAsia="Times New Roman" w:cs="Times New Roman"/>
          <w:lang w:eastAsia="de-DE"/>
        </w:rPr>
        <w:t xml:space="preserve">(und die Eingeweide) und </w:t>
      </w:r>
      <w:r w:rsidRPr="0098037E">
        <w:rPr>
          <w:rFonts w:eastAsia="Times New Roman" w:cs="Times New Roman"/>
          <w:b/>
          <w:bCs/>
          <w:rtl/>
          <w:lang w:eastAsia="de-DE"/>
        </w:rPr>
        <w:t>וְהַכְּרָעַ֖יִם</w:t>
      </w:r>
      <w:r w:rsidRPr="0098037E">
        <w:rPr>
          <w:rFonts w:eastAsia="Times New Roman" w:cs="Times New Roman"/>
          <w:rtl/>
          <w:lang w:eastAsia="de-DE"/>
        </w:rPr>
        <w:t xml:space="preserve"> </w:t>
      </w:r>
      <w:r w:rsidRPr="0098037E">
        <w:rPr>
          <w:rFonts w:eastAsia="Times New Roman" w:cs="Times New Roman"/>
          <w:lang w:eastAsia="de-DE"/>
        </w:rPr>
        <w:t xml:space="preserve">(und die Schenkel) entsprechen exakt der Terminologie von Vers 9. </w:t>
      </w:r>
      <w:r w:rsidRPr="0098037E">
        <w:rPr>
          <w:rFonts w:eastAsia="Times New Roman" w:cs="Times New Roman"/>
          <w:b/>
          <w:bCs/>
          <w:rtl/>
          <w:lang w:eastAsia="de-DE"/>
        </w:rPr>
        <w:t>יִרְחַ֣ץ</w:t>
      </w:r>
      <w:r w:rsidRPr="0098037E">
        <w:rPr>
          <w:rFonts w:eastAsia="Times New Roman" w:cs="Times New Roman"/>
          <w:rtl/>
          <w:lang w:eastAsia="de-DE"/>
        </w:rPr>
        <w:t xml:space="preserve"> </w:t>
      </w:r>
      <w:r w:rsidRPr="0098037E">
        <w:rPr>
          <w:rFonts w:eastAsia="Times New Roman" w:cs="Times New Roman"/>
          <w:lang w:eastAsia="de-DE"/>
        </w:rPr>
        <w:t xml:space="preserve">ist Qal-Imperfekt 3. Person maskulin Singular von </w:t>
      </w:r>
      <w:r w:rsidRPr="0098037E">
        <w:rPr>
          <w:rFonts w:eastAsia="Times New Roman" w:cs="Times New Roman"/>
          <w:b/>
          <w:bCs/>
          <w:rtl/>
          <w:lang w:eastAsia="de-DE"/>
        </w:rPr>
        <w:t>רחץ</w:t>
      </w:r>
      <w:r w:rsidRPr="0098037E">
        <w:rPr>
          <w:rFonts w:eastAsia="Times New Roman" w:cs="Times New Roman"/>
          <w:rtl/>
          <w:lang w:eastAsia="de-DE"/>
        </w:rPr>
        <w:t xml:space="preserve"> </w:t>
      </w:r>
      <w:r w:rsidRPr="0098037E">
        <w:rPr>
          <w:rFonts w:eastAsia="Times New Roman" w:cs="Times New Roman"/>
          <w:lang w:eastAsia="de-DE"/>
        </w:rPr>
        <w:t xml:space="preserve">(waschen), hier im passivischen Sinne: "sollen gewaschen werden". </w:t>
      </w:r>
      <w:r w:rsidRPr="0098037E">
        <w:rPr>
          <w:rFonts w:eastAsia="Times New Roman" w:cs="Times New Roman"/>
          <w:b/>
          <w:bCs/>
          <w:rtl/>
          <w:lang w:eastAsia="de-DE"/>
        </w:rPr>
        <w:t>בַּמָּ֑יִם</w:t>
      </w:r>
      <w:r w:rsidRPr="0098037E">
        <w:rPr>
          <w:rFonts w:eastAsia="Times New Roman" w:cs="Times New Roman"/>
          <w:rtl/>
          <w:lang w:eastAsia="de-DE"/>
        </w:rPr>
        <w:t xml:space="preserve"> </w:t>
      </w:r>
      <w:r w:rsidRPr="0098037E">
        <w:rPr>
          <w:rFonts w:eastAsia="Times New Roman" w:cs="Times New Roman"/>
          <w:lang w:eastAsia="de-DE"/>
        </w:rPr>
        <w:t>(mit Wasser) zeigt das Reinigungsmedium.</w:t>
      </w:r>
    </w:p>
    <w:p w14:paraId="0EE1B63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וְהִקְרִ֨יב</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w:t>
      </w:r>
      <w:r w:rsidRPr="0098037E">
        <w:rPr>
          <w:rFonts w:eastAsia="Times New Roman" w:cs="Times New Roman"/>
          <w:b/>
          <w:bCs/>
          <w:rtl/>
          <w:lang w:eastAsia="de-DE"/>
        </w:rPr>
        <w:t>אֶת־הַכֹּל֙</w:t>
      </w:r>
      <w:r w:rsidRPr="0098037E">
        <w:rPr>
          <w:rFonts w:eastAsia="Times New Roman" w:cs="Times New Roman"/>
          <w:rtl/>
          <w:lang w:eastAsia="de-DE"/>
        </w:rPr>
        <w:t xml:space="preserve"> </w:t>
      </w:r>
      <w:r w:rsidRPr="0098037E">
        <w:rPr>
          <w:rFonts w:eastAsia="Times New Roman" w:cs="Times New Roman"/>
          <w:lang w:eastAsia="de-DE"/>
        </w:rPr>
        <w:t xml:space="preserve">(das Ganze) als direktes Objekt. </w:t>
      </w: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koordiniert mit dem vorherigen Verb.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(zum Altar hin) mit Richtungs-He.</w:t>
      </w:r>
    </w:p>
    <w:p w14:paraId="0417BC4A" w14:textId="2BA611D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theologische Qualifikation </w:t>
      </w:r>
      <w:r w:rsidRPr="0098037E">
        <w:rPr>
          <w:rFonts w:eastAsia="Times New Roman" w:cs="Times New Roman"/>
          <w:b/>
          <w:bCs/>
          <w:rtl/>
          <w:lang w:eastAsia="de-DE"/>
        </w:rPr>
        <w:t>עֹלָ֣ה ה֗וּא</w:t>
      </w:r>
      <w:r w:rsidRPr="0098037E">
        <w:rPr>
          <w:rFonts w:eastAsia="Times New Roman" w:cs="Times New Roman"/>
          <w:rtl/>
          <w:lang w:eastAsia="de-DE"/>
        </w:rPr>
        <w:t xml:space="preserve"> </w:t>
      </w:r>
      <w:r w:rsidRPr="0098037E">
        <w:rPr>
          <w:rFonts w:eastAsia="Times New Roman" w:cs="Times New Roman"/>
          <w:lang w:eastAsia="de-DE"/>
        </w:rPr>
        <w:t xml:space="preserve">(es ist ein </w:t>
      </w:r>
      <w:r w:rsidR="00CF10E7">
        <w:rPr>
          <w:rFonts w:eastAsia="Times New Roman" w:cs="Times New Roman"/>
          <w:lang w:eastAsia="de-DE"/>
        </w:rPr>
        <w:t>Aufsteigeopfer</w:t>
      </w:r>
      <w:r w:rsidRPr="0098037E">
        <w:rPr>
          <w:rFonts w:eastAsia="Times New Roman" w:cs="Times New Roman"/>
          <w:lang w:eastAsia="de-DE"/>
        </w:rPr>
        <w:t xml:space="preserve">) verwendet das emphatische Pronomen </w:t>
      </w:r>
      <w:r w:rsidRPr="0098037E">
        <w:rPr>
          <w:rFonts w:eastAsia="Times New Roman" w:cs="Times New Roman"/>
          <w:b/>
          <w:bCs/>
          <w:rtl/>
          <w:lang w:eastAsia="de-DE"/>
        </w:rPr>
        <w:t>הוּא</w:t>
      </w:r>
      <w:r w:rsidRPr="0098037E">
        <w:rPr>
          <w:rFonts w:eastAsia="Times New Roman" w:cs="Times New Roman"/>
          <w:rtl/>
          <w:lang w:eastAsia="de-DE"/>
        </w:rPr>
        <w:t xml:space="preserve"> </w:t>
      </w:r>
      <w:r w:rsidRPr="0098037E">
        <w:rPr>
          <w:rFonts w:eastAsia="Times New Roman" w:cs="Times New Roman"/>
          <w:lang w:eastAsia="de-DE"/>
        </w:rPr>
        <w:t xml:space="preserve">(es/er ist). </w:t>
      </w:r>
      <w:r w:rsidRPr="0098037E">
        <w:rPr>
          <w:rFonts w:eastAsia="Times New Roman" w:cs="Times New Roman"/>
          <w:b/>
          <w:bCs/>
          <w:rtl/>
          <w:lang w:eastAsia="de-DE"/>
        </w:rPr>
        <w:t>אִשֵּׁ֛ה רֵ֥יחַ נִיחֹ֖חַ לַיהוָֽה</w:t>
      </w:r>
      <w:r w:rsidRPr="0098037E">
        <w:rPr>
          <w:rFonts w:eastAsia="Times New Roman" w:cs="Times New Roman"/>
          <w:rtl/>
          <w:lang w:eastAsia="de-DE"/>
        </w:rPr>
        <w:t xml:space="preserve"> </w:t>
      </w:r>
      <w:r w:rsidRPr="0098037E">
        <w:rPr>
          <w:rFonts w:eastAsia="Times New Roman" w:cs="Times New Roman"/>
          <w:lang w:eastAsia="de-DE"/>
        </w:rPr>
        <w:t>entspricht exakt der Formulierung von Vers 9 und betont die identische kultische Wertigkeit.</w:t>
      </w:r>
      <w:r w:rsidR="00D61FEC">
        <w:rPr>
          <w:rFonts w:eastAsia="Times New Roman" w:cs="Times New Roman"/>
          <w:lang w:eastAsia="de-DE"/>
        </w:rPr>
        <w:t xml:space="preserve"> </w:t>
      </w:r>
      <w:r w:rsidR="00D61FEC">
        <w:t xml:space="preserve">Die wiederholte Verwendung der umstrittenen Terminologie </w:t>
      </w:r>
      <w:r w:rsidR="00D61FEC">
        <w:rPr>
          <w:rtl/>
        </w:rPr>
        <w:t>אִשֵּׁה</w:t>
      </w:r>
      <w:r w:rsidR="00D61FEC">
        <w:t xml:space="preserve"> unterstreicht deren zentrale Bedeutung im Opferritual, unabhängig von der etymologischen Unsicherheit.</w:t>
      </w:r>
    </w:p>
    <w:p w14:paraId="1D9F1CB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zu Vers 9 liegt in der Verwendung von </w:t>
      </w:r>
      <w:r w:rsidRPr="0098037E">
        <w:rPr>
          <w:rFonts w:eastAsia="Times New Roman" w:cs="Times New Roman"/>
          <w:b/>
          <w:bCs/>
          <w:rtl/>
          <w:lang w:eastAsia="de-DE"/>
        </w:rPr>
        <w:t>יִרְחַ֣ץ</w:t>
      </w:r>
      <w:r w:rsidRPr="0098037E">
        <w:rPr>
          <w:rFonts w:eastAsia="Times New Roman" w:cs="Times New Roman"/>
          <w:rtl/>
          <w:lang w:eastAsia="de-DE"/>
        </w:rPr>
        <w:t xml:space="preserve"> </w:t>
      </w:r>
      <w:r w:rsidRPr="0098037E">
        <w:rPr>
          <w:rFonts w:eastAsia="Times New Roman" w:cs="Times New Roman"/>
          <w:lang w:eastAsia="de-DE"/>
        </w:rPr>
        <w:t xml:space="preserve">(passivisches Imperfekt) statt des aktiven Imperfekts, sowie in der Kombination </w:t>
      </w:r>
      <w:r w:rsidRPr="0098037E">
        <w:rPr>
          <w:rFonts w:eastAsia="Times New Roman" w:cs="Times New Roman"/>
          <w:b/>
          <w:bCs/>
          <w:rtl/>
          <w:lang w:eastAsia="de-DE"/>
        </w:rPr>
        <w:t>וְהִקְרִ֨יב... וְהִקְטִ֣יר</w:t>
      </w:r>
      <w:r w:rsidRPr="0098037E">
        <w:rPr>
          <w:rFonts w:eastAsia="Times New Roman" w:cs="Times New Roman"/>
          <w:rtl/>
          <w:lang w:eastAsia="de-DE"/>
        </w:rPr>
        <w:t xml:space="preserve"> </w:t>
      </w:r>
      <w:r w:rsidRPr="0098037E">
        <w:rPr>
          <w:rFonts w:eastAsia="Times New Roman" w:cs="Times New Roman"/>
          <w:lang w:eastAsia="de-DE"/>
        </w:rPr>
        <w:t>(darbringen und räuchern) als zwei koordinierte priesterliche Handlungen.</w:t>
      </w:r>
    </w:p>
    <w:p w14:paraId="7C1DEE1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יִרְחַ֣ץ</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λυθήσετ</w:t>
      </w:r>
      <w:proofErr w:type="spellEnd"/>
      <w:r w:rsidRPr="0098037E">
        <w:rPr>
          <w:rFonts w:eastAsia="Times New Roman" w:cs="Times New Roman"/>
          <w:lang w:eastAsia="de-DE"/>
        </w:rPr>
        <w:t xml:space="preserve">αι (es soll gewaschen werden), </w:t>
      </w:r>
      <w:r w:rsidRPr="0098037E">
        <w:rPr>
          <w:rFonts w:eastAsia="Times New Roman" w:cs="Times New Roman"/>
          <w:b/>
          <w:bCs/>
          <w:rtl/>
          <w:lang w:eastAsia="de-DE"/>
        </w:rPr>
        <w:t>וְהִקְרִ֨יב</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ροσάξει</w:t>
      </w:r>
      <w:proofErr w:type="spellEnd"/>
      <w:r w:rsidRPr="0098037E">
        <w:rPr>
          <w:rFonts w:eastAsia="Times New Roman" w:cs="Times New Roman"/>
          <w:lang w:eastAsia="de-DE"/>
        </w:rPr>
        <w:t xml:space="preserve"> (und er soll heranbringen) und </w:t>
      </w: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ἀνοίσει</w:t>
      </w:r>
      <w:proofErr w:type="spellEnd"/>
      <w:r w:rsidRPr="0098037E">
        <w:rPr>
          <w:rFonts w:eastAsia="Times New Roman" w:cs="Times New Roman"/>
          <w:lang w:eastAsia="de-DE"/>
        </w:rPr>
        <w:t xml:space="preserve"> (und er soll hinaufbringen), was die Unterscheidung der priesterlichen Handlungen verdeutlicht.</w:t>
      </w:r>
    </w:p>
    <w:p w14:paraId="23442FD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drei koordinierte Hauptsätze: Subjekte + Verb + Adverbialbestimmung // Verb + Subjekt + Objekt // Verb + Adverbialbestimmung + dreifache Prädikatsbestimmung. Die nominalen Bestimmungen am Ende charakterisieren das vollendete Opfer.</w:t>
      </w:r>
    </w:p>
    <w:p w14:paraId="09EB2CC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schließt die Bestimmungen für Kleinviehopfer ab und etabliert deren vollständige Gleichwertigkeit mit Rindopfern durch identische Abschlussformulierung.</w:t>
      </w:r>
    </w:p>
    <w:p w14:paraId="1E21D5EA"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lastRenderedPageBreak/>
        <w:t>Leviticus 1,14</w:t>
      </w:r>
    </w:p>
    <w:p w14:paraId="1318430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 מִן־הָע֛וֹף עֹלָ֥ה קָרְבָּנֹ֖ו לַֽיהוָ֑ה וְהִקְרִ֣יב מִן־הַתֹּרִ֗ים א֛וֹ מִן־בְּנֵ֥י הַיּוֹנָ֖ה אֶת־קָרְבָּנֹֽו׃</w:t>
      </w:r>
    </w:p>
    <w:p w14:paraId="24CF64C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seine Opfergabe für den Ewigen ein Aufsteigeopfer vom Geflügel ist, so soll er von den Turteltauben oder von den jungen Tauben seine Opfergabe darbringen.</w:t>
      </w:r>
    </w:p>
    <w:p w14:paraId="43598028"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4BF950A">
          <v:rect id="_x0000_i1038" style="width:0;height:1.5pt" o:hralign="center" o:hrstd="t" o:hr="t" fillcolor="#a0a0a0" stroked="f"/>
        </w:pict>
      </w:r>
    </w:p>
    <w:p w14:paraId="5B9646E9" w14:textId="29B2BFD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w:t>
      </w:r>
      <w:r w:rsidRPr="0098037E">
        <w:rPr>
          <w:rFonts w:eastAsia="Times New Roman" w:cs="Times New Roman"/>
          <w:rtl/>
          <w:lang w:eastAsia="de-DE"/>
        </w:rPr>
        <w:t xml:space="preserve"> </w:t>
      </w:r>
      <w:r w:rsidRPr="0098037E">
        <w:rPr>
          <w:rFonts w:eastAsia="Times New Roman" w:cs="Times New Roman"/>
          <w:lang w:eastAsia="de-DE"/>
        </w:rPr>
        <w:t xml:space="preserve">(und wenn) leitet die dritte Kondition für </w:t>
      </w:r>
      <w:r w:rsidR="00CF10E7">
        <w:rPr>
          <w:rFonts w:eastAsia="Times New Roman" w:cs="Times New Roman"/>
          <w:lang w:eastAsia="de-DE"/>
        </w:rPr>
        <w:t>Aufsteigeopfer</w:t>
      </w:r>
      <w:r w:rsidRPr="0098037E">
        <w:rPr>
          <w:rFonts w:eastAsia="Times New Roman" w:cs="Times New Roman"/>
          <w:lang w:eastAsia="de-DE"/>
        </w:rPr>
        <w:t xml:space="preserve"> ein, parallel zu Versen 3 und 10. </w:t>
      </w:r>
      <w:r w:rsidRPr="0098037E">
        <w:rPr>
          <w:rFonts w:eastAsia="Times New Roman" w:cs="Times New Roman"/>
          <w:b/>
          <w:bCs/>
          <w:rtl/>
          <w:lang w:eastAsia="de-DE"/>
        </w:rPr>
        <w:t>מִן־הָע֛וֹף</w:t>
      </w:r>
      <w:r w:rsidRPr="0098037E">
        <w:rPr>
          <w:rFonts w:eastAsia="Times New Roman" w:cs="Times New Roman"/>
          <w:rtl/>
          <w:lang w:eastAsia="de-DE"/>
        </w:rPr>
        <w:t xml:space="preserve"> </w:t>
      </w:r>
      <w:r w:rsidRPr="0098037E">
        <w:rPr>
          <w:rFonts w:eastAsia="Times New Roman" w:cs="Times New Roman"/>
          <w:lang w:eastAsia="de-DE"/>
        </w:rPr>
        <w:t xml:space="preserve">(vom Geflügel) verwendet </w:t>
      </w:r>
      <w:r w:rsidRPr="0098037E">
        <w:rPr>
          <w:rFonts w:eastAsia="Times New Roman" w:cs="Times New Roman"/>
          <w:b/>
          <w:bCs/>
          <w:rtl/>
          <w:lang w:eastAsia="de-DE"/>
        </w:rPr>
        <w:t>עוֹף</w:t>
      </w:r>
      <w:r w:rsidRPr="0098037E">
        <w:rPr>
          <w:rFonts w:eastAsia="Times New Roman" w:cs="Times New Roman"/>
          <w:rtl/>
          <w:lang w:eastAsia="de-DE"/>
        </w:rPr>
        <w:t xml:space="preserve"> </w:t>
      </w:r>
      <w:r w:rsidRPr="0098037E">
        <w:rPr>
          <w:rFonts w:eastAsia="Times New Roman" w:cs="Times New Roman"/>
          <w:lang w:eastAsia="de-DE"/>
        </w:rPr>
        <w:t xml:space="preserve">(Geflügel/Vögel) als Kollektivbegriff. </w:t>
      </w:r>
      <w:r w:rsidRPr="0098037E">
        <w:rPr>
          <w:rFonts w:eastAsia="Times New Roman" w:cs="Times New Roman"/>
          <w:b/>
          <w:bCs/>
          <w:rtl/>
          <w:lang w:eastAsia="de-DE"/>
        </w:rPr>
        <w:t>עֹלָ֥ה קָרְבָּנֹ֖ו</w:t>
      </w:r>
      <w:r w:rsidRPr="0098037E">
        <w:rPr>
          <w:rFonts w:eastAsia="Times New Roman" w:cs="Times New Roman"/>
          <w:rtl/>
          <w:lang w:eastAsia="de-DE"/>
        </w:rPr>
        <w:t xml:space="preserve"> </w:t>
      </w:r>
      <w:r w:rsidRPr="0098037E">
        <w:rPr>
          <w:rFonts w:eastAsia="Times New Roman" w:cs="Times New Roman"/>
          <w:lang w:eastAsia="de-DE"/>
        </w:rPr>
        <w:t xml:space="preserve">(sein </w:t>
      </w:r>
      <w:r w:rsidR="00CF10E7">
        <w:rPr>
          <w:rFonts w:eastAsia="Times New Roman" w:cs="Times New Roman"/>
          <w:lang w:eastAsia="de-DE"/>
        </w:rPr>
        <w:t>Aufsteigeopfer</w:t>
      </w:r>
      <w:r w:rsidRPr="0098037E">
        <w:rPr>
          <w:rFonts w:eastAsia="Times New Roman" w:cs="Times New Roman"/>
          <w:lang w:eastAsia="de-DE"/>
        </w:rPr>
        <w:t xml:space="preserve">-Darbringung) zeigt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als Attribut zu </w:t>
      </w:r>
      <w:r w:rsidRPr="0098037E">
        <w:rPr>
          <w:rFonts w:eastAsia="Times New Roman" w:cs="Times New Roman"/>
          <w:b/>
          <w:bCs/>
          <w:rtl/>
          <w:lang w:eastAsia="de-DE"/>
        </w:rPr>
        <w:t>קָרְבָּן</w:t>
      </w:r>
      <w:r w:rsidRPr="0098037E">
        <w:rPr>
          <w:rFonts w:eastAsia="Times New Roman" w:cs="Times New Roman"/>
          <w:lang w:eastAsia="de-DE"/>
        </w:rPr>
        <w:t xml:space="preserve">.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betont den theozentrischen Aspekt.</w:t>
      </w:r>
    </w:p>
    <w:p w14:paraId="2F2B4451" w14:textId="09DF2C2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וְהִקְרִ֣יב</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Singular. Die Spezifizierung erfolgt durch </w:t>
      </w:r>
      <w:r w:rsidRPr="0098037E">
        <w:rPr>
          <w:rFonts w:eastAsia="Times New Roman" w:cs="Times New Roman"/>
          <w:b/>
          <w:bCs/>
          <w:rtl/>
          <w:lang w:eastAsia="de-DE"/>
        </w:rPr>
        <w:t>מִן־הַתֹּרִ֗ים</w:t>
      </w:r>
      <w:r w:rsidRPr="0098037E">
        <w:rPr>
          <w:rFonts w:eastAsia="Times New Roman" w:cs="Times New Roman"/>
          <w:rtl/>
          <w:lang w:eastAsia="de-DE"/>
        </w:rPr>
        <w:t xml:space="preserve"> </w:t>
      </w:r>
      <w:r w:rsidRPr="0098037E">
        <w:rPr>
          <w:rFonts w:eastAsia="Times New Roman" w:cs="Times New Roman"/>
          <w:lang w:eastAsia="de-DE"/>
        </w:rPr>
        <w:t xml:space="preserve">(von den Turteltauben) und </w:t>
      </w:r>
      <w:r w:rsidRPr="0098037E">
        <w:rPr>
          <w:rFonts w:eastAsia="Times New Roman" w:cs="Times New Roman"/>
          <w:b/>
          <w:bCs/>
          <w:rtl/>
          <w:lang w:eastAsia="de-DE"/>
        </w:rPr>
        <w:t>א֛וֹ מִן־בְּנֵ֥י הַיּוֹנָ֖ה</w:t>
      </w:r>
      <w:r w:rsidRPr="0098037E">
        <w:rPr>
          <w:rFonts w:eastAsia="Times New Roman" w:cs="Times New Roman"/>
          <w:rtl/>
          <w:lang w:eastAsia="de-DE"/>
        </w:rPr>
        <w:t xml:space="preserve"> </w:t>
      </w:r>
      <w:r w:rsidRPr="0098037E">
        <w:rPr>
          <w:rFonts w:eastAsia="Times New Roman" w:cs="Times New Roman"/>
          <w:lang w:eastAsia="de-DE"/>
        </w:rPr>
        <w:t xml:space="preserve">(oder von den jungen Tauben). </w:t>
      </w:r>
      <w:r w:rsidRPr="0098037E">
        <w:rPr>
          <w:rFonts w:eastAsia="Times New Roman" w:cs="Times New Roman"/>
          <w:b/>
          <w:bCs/>
          <w:rtl/>
          <w:lang w:eastAsia="de-DE"/>
        </w:rPr>
        <w:t>תֹּרִים</w:t>
      </w:r>
      <w:r w:rsidRPr="0098037E">
        <w:rPr>
          <w:rFonts w:eastAsia="Times New Roman" w:cs="Times New Roman"/>
          <w:rtl/>
          <w:lang w:eastAsia="de-DE"/>
        </w:rPr>
        <w:t xml:space="preserve"> </w:t>
      </w:r>
      <w:r w:rsidRPr="0098037E">
        <w:rPr>
          <w:rFonts w:eastAsia="Times New Roman" w:cs="Times New Roman"/>
          <w:lang w:eastAsia="de-DE"/>
        </w:rPr>
        <w:t xml:space="preserve">(Turteltauben) Plural von </w:t>
      </w:r>
      <w:r w:rsidRPr="0098037E">
        <w:rPr>
          <w:rFonts w:eastAsia="Times New Roman" w:cs="Times New Roman"/>
          <w:b/>
          <w:bCs/>
          <w:rtl/>
          <w:lang w:eastAsia="de-DE"/>
        </w:rPr>
        <w:t>תּוֹר</w:t>
      </w:r>
      <w:r w:rsidRPr="0098037E">
        <w:rPr>
          <w:rFonts w:eastAsia="Times New Roman" w:cs="Times New Roman"/>
          <w:lang w:eastAsia="de-DE"/>
        </w:rPr>
        <w:t xml:space="preserve">, </w:t>
      </w:r>
      <w:r w:rsidRPr="0098037E">
        <w:rPr>
          <w:rFonts w:eastAsia="Times New Roman" w:cs="Times New Roman"/>
          <w:b/>
          <w:bCs/>
          <w:rtl/>
          <w:lang w:eastAsia="de-DE"/>
        </w:rPr>
        <w:t>בְּנֵ֥י הַיּוֹנָ֖ה</w:t>
      </w:r>
      <w:r w:rsidRPr="0098037E">
        <w:rPr>
          <w:rFonts w:eastAsia="Times New Roman" w:cs="Times New Roman"/>
          <w:rtl/>
          <w:lang w:eastAsia="de-DE"/>
        </w:rPr>
        <w:t xml:space="preserve"> </w:t>
      </w:r>
      <w:r w:rsidRPr="0098037E">
        <w:rPr>
          <w:rFonts w:eastAsia="Times New Roman" w:cs="Times New Roman"/>
          <w:lang w:eastAsia="de-DE"/>
        </w:rPr>
        <w:t xml:space="preserve">(Söhne der Taube) bezeichnet junge Tauben mittels </w:t>
      </w:r>
      <w:r w:rsidRPr="0098037E">
        <w:rPr>
          <w:rFonts w:eastAsia="Times New Roman" w:cs="Times New Roman"/>
          <w:b/>
          <w:bCs/>
          <w:rtl/>
          <w:lang w:eastAsia="de-DE"/>
        </w:rPr>
        <w:t>בֵּן</w:t>
      </w:r>
      <w:r w:rsidRPr="0098037E">
        <w:rPr>
          <w:rFonts w:eastAsia="Times New Roman" w:cs="Times New Roman"/>
          <w:rtl/>
          <w:lang w:eastAsia="de-DE"/>
        </w:rPr>
        <w:t xml:space="preserve"> </w:t>
      </w:r>
      <w:r w:rsidRPr="0098037E">
        <w:rPr>
          <w:rFonts w:eastAsia="Times New Roman" w:cs="Times New Roman"/>
          <w:lang w:eastAsia="de-DE"/>
        </w:rPr>
        <w:t xml:space="preserve">(Sohn/Junges)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יוֹנָה</w:t>
      </w:r>
      <w:r w:rsidRPr="0098037E">
        <w:rPr>
          <w:rFonts w:eastAsia="Times New Roman" w:cs="Times New Roman"/>
          <w:rtl/>
          <w:lang w:eastAsia="de-DE"/>
        </w:rPr>
        <w:t xml:space="preserve"> </w:t>
      </w:r>
      <w:r w:rsidRPr="0098037E">
        <w:rPr>
          <w:rFonts w:eastAsia="Times New Roman" w:cs="Times New Roman"/>
          <w:lang w:eastAsia="de-DE"/>
        </w:rPr>
        <w:t>(Taube).</w:t>
      </w:r>
    </w:p>
    <w:p w14:paraId="29E8B1F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Beschränkung auf </w:t>
      </w:r>
      <w:r w:rsidRPr="0098037E">
        <w:rPr>
          <w:rFonts w:eastAsia="Times New Roman" w:cs="Times New Roman"/>
          <w:b/>
          <w:bCs/>
          <w:rtl/>
          <w:lang w:eastAsia="de-DE"/>
        </w:rPr>
        <w:t>תֹּרִים</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בְּנֵ֥י הַיּוֹנָ֖ה</w:t>
      </w:r>
      <w:r w:rsidRPr="0098037E">
        <w:rPr>
          <w:rFonts w:eastAsia="Times New Roman" w:cs="Times New Roman"/>
          <w:rtl/>
          <w:lang w:eastAsia="de-DE"/>
        </w:rPr>
        <w:t xml:space="preserve"> </w:t>
      </w:r>
      <w:r w:rsidRPr="0098037E">
        <w:rPr>
          <w:rFonts w:eastAsia="Times New Roman" w:cs="Times New Roman"/>
          <w:lang w:eastAsia="de-DE"/>
        </w:rPr>
        <w:t xml:space="preserve">zeigt, dass nur diese beiden Taubenarten kultisch zugelassen sind, im Unterschied zu anderen Vogelarten. </w:t>
      </w:r>
      <w:r w:rsidRPr="0098037E">
        <w:rPr>
          <w:rFonts w:eastAsia="Times New Roman" w:cs="Times New Roman"/>
          <w:b/>
          <w:bCs/>
          <w:rtl/>
          <w:lang w:eastAsia="de-DE"/>
        </w:rPr>
        <w:t>אֶת־קָרְבָּנֹֽו</w:t>
      </w:r>
      <w:r w:rsidRPr="0098037E">
        <w:rPr>
          <w:rFonts w:eastAsia="Times New Roman" w:cs="Times New Roman"/>
          <w:rtl/>
          <w:lang w:eastAsia="de-DE"/>
        </w:rPr>
        <w:t xml:space="preserve"> </w:t>
      </w:r>
      <w:r w:rsidRPr="0098037E">
        <w:rPr>
          <w:rFonts w:eastAsia="Times New Roman" w:cs="Times New Roman"/>
          <w:lang w:eastAsia="de-DE"/>
        </w:rPr>
        <w:t>(seine Opfergabe) mit Nota accusativi und Possessivsuffix 3. Person maskulin Singular.</w:t>
      </w:r>
    </w:p>
    <w:p w14:paraId="5EFF2E3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Geflügelopfer ermöglichen auch den Ärmsten die Teilnahme am Opferkult, da keine Qualitätsanforderungen wie </w:t>
      </w:r>
      <w:r w:rsidRPr="0098037E">
        <w:rPr>
          <w:rFonts w:eastAsia="Times New Roman" w:cs="Times New Roman"/>
          <w:b/>
          <w:bCs/>
          <w:rtl/>
          <w:lang w:eastAsia="de-DE"/>
        </w:rPr>
        <w:t>זָכָר תָּמִים</w:t>
      </w:r>
      <w:r w:rsidRPr="0098037E">
        <w:rPr>
          <w:rFonts w:eastAsia="Times New Roman" w:cs="Times New Roman"/>
          <w:rtl/>
          <w:lang w:eastAsia="de-DE"/>
        </w:rPr>
        <w:t xml:space="preserve"> </w:t>
      </w:r>
      <w:r w:rsidRPr="0098037E">
        <w:rPr>
          <w:rFonts w:eastAsia="Times New Roman" w:cs="Times New Roman"/>
          <w:lang w:eastAsia="de-DE"/>
        </w:rPr>
        <w:t xml:space="preserve">gestellt werden. Die Erwähnung von </w:t>
      </w:r>
      <w:r w:rsidRPr="0098037E">
        <w:rPr>
          <w:rFonts w:eastAsia="Times New Roman" w:cs="Times New Roman"/>
          <w:b/>
          <w:bCs/>
          <w:rtl/>
          <w:lang w:eastAsia="de-DE"/>
        </w:rPr>
        <w:t>בְּנֵ֥י הַיּוֹנָ֖ה</w:t>
      </w:r>
      <w:r w:rsidRPr="0098037E">
        <w:rPr>
          <w:rFonts w:eastAsia="Times New Roman" w:cs="Times New Roman"/>
          <w:rtl/>
          <w:lang w:eastAsia="de-DE"/>
        </w:rPr>
        <w:t xml:space="preserve"> </w:t>
      </w:r>
      <w:r w:rsidRPr="0098037E">
        <w:rPr>
          <w:rFonts w:eastAsia="Times New Roman" w:cs="Times New Roman"/>
          <w:lang w:eastAsia="de-DE"/>
        </w:rPr>
        <w:t>(junge Tauben) impliziert Alter als Qualitätskriterium bei Vögeln.</w:t>
      </w:r>
    </w:p>
    <w:p w14:paraId="7E9CA847" w14:textId="008A8F8E" w:rsidR="0098037E" w:rsidRPr="0098037E" w:rsidRDefault="007A7977" w:rsidP="0098037E">
      <w:pPr>
        <w:spacing w:before="100" w:beforeAutospacing="1" w:after="100" w:afterAutospacing="1" w:line="240" w:lineRule="auto"/>
        <w:rPr>
          <w:rFonts w:eastAsia="Times New Roman" w:cs="Times New Roman"/>
          <w:lang w:eastAsia="de-DE"/>
        </w:rPr>
      </w:pPr>
      <w:r>
        <w:t xml:space="preserve">Die LXX zeigt eine strukturelle Abweichung, indem sie </w:t>
      </w:r>
      <w:proofErr w:type="spellStart"/>
      <w:r w:rsidRPr="007A7977">
        <w:rPr>
          <w:b/>
          <w:bCs/>
        </w:rPr>
        <w:t>κάρ</w:t>
      </w:r>
      <w:proofErr w:type="spellEnd"/>
      <w:r w:rsidRPr="007A7977">
        <w:rPr>
          <w:b/>
          <w:bCs/>
        </w:rPr>
        <w:t>πωμα</w:t>
      </w:r>
      <w:r>
        <w:t xml:space="preserve"> π</w:t>
      </w:r>
      <w:proofErr w:type="spellStart"/>
      <w:r>
        <w:t>ροσφέρῃ</w:t>
      </w:r>
      <w:proofErr w:type="spellEnd"/>
      <w:r>
        <w:t xml:space="preserve"> </w:t>
      </w:r>
      <w:proofErr w:type="spellStart"/>
      <w:r>
        <w:t>δῶρον</w:t>
      </w:r>
      <w:proofErr w:type="spellEnd"/>
      <w:r>
        <w:t xml:space="preserve"> (er soll als Fruchtopfer eine Gabe darbringen) für </w:t>
      </w:r>
      <w:r w:rsidRPr="007A7977">
        <w:rPr>
          <w:b/>
          <w:bCs/>
          <w:rtl/>
        </w:rPr>
        <w:t>עלה קרבנו</w:t>
      </w:r>
      <w:r>
        <w:t xml:space="preserve"> (sein Aufsteigeopfer) einsetzt. Diese fundamentale terminologische Änderung </w:t>
      </w:r>
      <w:r w:rsidR="00D61FEC">
        <w:t xml:space="preserve">von </w:t>
      </w:r>
      <w:r w:rsidR="00D61FEC" w:rsidRPr="007A7977">
        <w:rPr>
          <w:b/>
          <w:bCs/>
          <w:rtl/>
        </w:rPr>
        <w:t>עֹלָה</w:t>
      </w:r>
      <w:r w:rsidR="00D61FEC">
        <w:t xml:space="preserve"> (Aufsteigeopfer) zu </w:t>
      </w:r>
      <w:proofErr w:type="spellStart"/>
      <w:r w:rsidR="00D61FEC" w:rsidRPr="007A7977">
        <w:rPr>
          <w:b/>
          <w:bCs/>
        </w:rPr>
        <w:t>κάρ</w:t>
      </w:r>
      <w:proofErr w:type="spellEnd"/>
      <w:r w:rsidR="00D61FEC" w:rsidRPr="007A7977">
        <w:rPr>
          <w:b/>
          <w:bCs/>
        </w:rPr>
        <w:t>πωμα</w:t>
      </w:r>
      <w:r w:rsidR="00D61FEC">
        <w:t xml:space="preserve"> (Fruchtopfer) in der LXX könnte auf eine systematische theologische Reinterpretation des Opferkultes hinweisen, die Gaben- statt Verbrennungscharakter betont.</w:t>
      </w:r>
    </w:p>
    <w:p w14:paraId="5AF0A3C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w:t>
      </w:r>
      <w:r w:rsidRPr="0098037E">
        <w:rPr>
          <w:rFonts w:eastAsia="Times New Roman" w:cs="Times New Roman"/>
          <w:rtl/>
          <w:lang w:eastAsia="de-DE"/>
        </w:rPr>
        <w:t>וְאִ֧ם</w:t>
      </w:r>
      <w:r w:rsidRPr="0098037E">
        <w:rPr>
          <w:rFonts w:eastAsia="Times New Roman" w:cs="Times New Roman"/>
          <w:lang w:eastAsia="de-DE"/>
        </w:rPr>
        <w:t xml:space="preserve"> + Herkunftsangabe + Prädikatsbestimmung + Subjekt + Dativangabe) → Apodosis (Verb + Herkunftsangaben mit Disjunktion + Objekt). Die Struktur entspricht den vorherigen Konditionalsätzen.</w:t>
      </w:r>
    </w:p>
    <w:p w14:paraId="5CC6F59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erweitert die Opferbestimmungen auf die ärmste Bevölkerungsschicht und zeigt die soziale Inklusion des israelitischen Opferkultes.</w:t>
      </w:r>
    </w:p>
    <w:p w14:paraId="57C93AFC"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1,15</w:t>
      </w:r>
    </w:p>
    <w:p w14:paraId="5DE8C32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וְהִקְרִיבֹ֤ו הַכֹּהֵן֙ אֶל־הַמִּזְבֵּ֔חַ וּמָלַק֙ אֶת־רֹאשֹׁ֔ו וְהִקְטִ֖יר הַמִּזְבֵּ֑חָה וְנִמְצָ֣ה דָמֹ֔ו עַ֖ל קִ֥יר הַמִּזְבֵּֽחַ׃</w:t>
      </w:r>
    </w:p>
    <w:p w14:paraId="4594187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der Priester bringe sie zum Altar und kneife ihr den Kopf ab und räuchere sie auf dem Altar, und ihr Blut soll ausgedrückt werden an die Wand des Altars.</w:t>
      </w:r>
    </w:p>
    <w:p w14:paraId="5D7C8BB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4C59260">
          <v:rect id="_x0000_i1039" style="width:0;height:1.5pt" o:hralign="center" o:hrstd="t" o:hr="t" fillcolor="#a0a0a0" stroked="f"/>
        </w:pict>
      </w:r>
    </w:p>
    <w:p w14:paraId="0E09B61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Kommentar:</w:t>
      </w:r>
      <w:r w:rsidRPr="0098037E">
        <w:rPr>
          <w:rFonts w:eastAsia="Times New Roman" w:cs="Times New Roman"/>
          <w:lang w:eastAsia="de-DE"/>
        </w:rPr>
        <w:t xml:space="preserve"> </w:t>
      </w:r>
      <w:r w:rsidRPr="0098037E">
        <w:rPr>
          <w:rFonts w:eastAsia="Times New Roman" w:cs="Times New Roman"/>
          <w:b/>
          <w:bCs/>
          <w:rtl/>
          <w:lang w:eastAsia="de-DE"/>
        </w:rPr>
        <w:t>וְהִקְרִיבֹ֤ו</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Singular mit Objektsuffix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zeigt, dass bei Vogelopfern ausschließlich der Priester handelt, im Unterschied zu Tieropfern. </w:t>
      </w:r>
      <w:r w:rsidRPr="0098037E">
        <w:rPr>
          <w:rFonts w:eastAsia="Times New Roman" w:cs="Times New Roman"/>
          <w:b/>
          <w:bCs/>
          <w:rtl/>
          <w:lang w:eastAsia="de-DE"/>
        </w:rPr>
        <w:t>אֶל־הַמִּזְבֵּ֔חַ</w:t>
      </w:r>
      <w:r w:rsidRPr="0098037E">
        <w:rPr>
          <w:rFonts w:eastAsia="Times New Roman" w:cs="Times New Roman"/>
          <w:rtl/>
          <w:lang w:eastAsia="de-DE"/>
        </w:rPr>
        <w:t xml:space="preserve"> </w:t>
      </w:r>
      <w:r w:rsidRPr="0098037E">
        <w:rPr>
          <w:rFonts w:eastAsia="Times New Roman" w:cs="Times New Roman"/>
          <w:lang w:eastAsia="de-DE"/>
        </w:rPr>
        <w:t>(zum Altar) zeigt die Richtung.</w:t>
      </w:r>
    </w:p>
    <w:p w14:paraId="259A6CF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וּמָלַק֙</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מלק</w:t>
      </w:r>
      <w:r w:rsidRPr="0098037E">
        <w:rPr>
          <w:rFonts w:eastAsia="Times New Roman" w:cs="Times New Roman"/>
          <w:rtl/>
          <w:lang w:eastAsia="de-DE"/>
        </w:rPr>
        <w:t xml:space="preserve"> </w:t>
      </w:r>
      <w:r w:rsidRPr="0098037E">
        <w:rPr>
          <w:rFonts w:eastAsia="Times New Roman" w:cs="Times New Roman"/>
          <w:lang w:eastAsia="de-DE"/>
        </w:rPr>
        <w:t xml:space="preserve">(abkneifen/abdrehen), 3. Person maskulin Singular. </w:t>
      </w:r>
      <w:r w:rsidRPr="0098037E">
        <w:rPr>
          <w:rFonts w:eastAsia="Times New Roman" w:cs="Times New Roman"/>
          <w:b/>
          <w:bCs/>
          <w:rtl/>
          <w:lang w:eastAsia="de-DE"/>
        </w:rPr>
        <w:t>מלק</w:t>
      </w:r>
      <w:r w:rsidRPr="0098037E">
        <w:rPr>
          <w:rFonts w:eastAsia="Times New Roman" w:cs="Times New Roman"/>
          <w:rtl/>
          <w:lang w:eastAsia="de-DE"/>
        </w:rPr>
        <w:t xml:space="preserve"> </w:t>
      </w:r>
      <w:r w:rsidRPr="0098037E">
        <w:rPr>
          <w:rFonts w:eastAsia="Times New Roman" w:cs="Times New Roman"/>
          <w:lang w:eastAsia="de-DE"/>
        </w:rPr>
        <w:t xml:space="preserve">ist ein technischer Terminus für das Töten von Vögeln durch Abdrehen des Halses mit dem Fingernagel. </w:t>
      </w:r>
      <w:r w:rsidRPr="0098037E">
        <w:rPr>
          <w:rFonts w:eastAsia="Times New Roman" w:cs="Times New Roman"/>
          <w:b/>
          <w:bCs/>
          <w:rtl/>
          <w:lang w:eastAsia="de-DE"/>
        </w:rPr>
        <w:t>אֶת־רֹאשֹׁ֔ו</w:t>
      </w:r>
      <w:r w:rsidRPr="0098037E">
        <w:rPr>
          <w:rFonts w:eastAsia="Times New Roman" w:cs="Times New Roman"/>
          <w:rtl/>
          <w:lang w:eastAsia="de-DE"/>
        </w:rPr>
        <w:t xml:space="preserve"> </w:t>
      </w:r>
      <w:r w:rsidRPr="0098037E">
        <w:rPr>
          <w:rFonts w:eastAsia="Times New Roman" w:cs="Times New Roman"/>
          <w:lang w:eastAsia="de-DE"/>
        </w:rPr>
        <w:t>(seinen Kopf) mit Possessivsuffix 3. Person maskulin Singular.</w:t>
      </w:r>
    </w:p>
    <w:p w14:paraId="305206F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Singular.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 xml:space="preserve">(zum Altar hin) mit Richtungs-He. </w:t>
      </w:r>
      <w:r w:rsidRPr="0098037E">
        <w:rPr>
          <w:rFonts w:eastAsia="Times New Roman" w:cs="Times New Roman"/>
          <w:b/>
          <w:bCs/>
          <w:rtl/>
          <w:lang w:eastAsia="de-DE"/>
        </w:rPr>
        <w:t>וְנִמְצָ֣ה</w:t>
      </w:r>
      <w:r w:rsidRPr="0098037E">
        <w:rPr>
          <w:rFonts w:eastAsia="Times New Roman" w:cs="Times New Roman"/>
          <w:rtl/>
          <w:lang w:eastAsia="de-DE"/>
        </w:rPr>
        <w:t xml:space="preserve"> </w:t>
      </w:r>
      <w:r w:rsidRPr="0098037E">
        <w:rPr>
          <w:rFonts w:eastAsia="Times New Roman" w:cs="Times New Roman"/>
          <w:lang w:eastAsia="de-DE"/>
        </w:rPr>
        <w:t xml:space="preserve">ist Nifal-Perfekt mit Waw-Konsekutiv von </w:t>
      </w:r>
      <w:r w:rsidRPr="0098037E">
        <w:rPr>
          <w:rFonts w:eastAsia="Times New Roman" w:cs="Times New Roman"/>
          <w:b/>
          <w:bCs/>
          <w:rtl/>
          <w:lang w:eastAsia="de-DE"/>
        </w:rPr>
        <w:t>מצה</w:t>
      </w:r>
      <w:r w:rsidRPr="0098037E">
        <w:rPr>
          <w:rFonts w:eastAsia="Times New Roman" w:cs="Times New Roman"/>
          <w:rtl/>
          <w:lang w:eastAsia="de-DE"/>
        </w:rPr>
        <w:t xml:space="preserve"> </w:t>
      </w:r>
      <w:r w:rsidRPr="0098037E">
        <w:rPr>
          <w:rFonts w:eastAsia="Times New Roman" w:cs="Times New Roman"/>
          <w:lang w:eastAsia="de-DE"/>
        </w:rPr>
        <w:t xml:space="preserve">(ausdrücken/auspressen), 3. Person maskulin Singular, passivisch: "es soll ausgedrückt werden". </w:t>
      </w:r>
      <w:r w:rsidRPr="0098037E">
        <w:rPr>
          <w:rFonts w:eastAsia="Times New Roman" w:cs="Times New Roman"/>
          <w:b/>
          <w:bCs/>
          <w:rtl/>
          <w:lang w:eastAsia="de-DE"/>
        </w:rPr>
        <w:t>דָמֹ֔ו</w:t>
      </w:r>
      <w:r w:rsidRPr="0098037E">
        <w:rPr>
          <w:rFonts w:eastAsia="Times New Roman" w:cs="Times New Roman"/>
          <w:rtl/>
          <w:lang w:eastAsia="de-DE"/>
        </w:rPr>
        <w:t xml:space="preserve"> </w:t>
      </w:r>
      <w:r w:rsidRPr="0098037E">
        <w:rPr>
          <w:rFonts w:eastAsia="Times New Roman" w:cs="Times New Roman"/>
          <w:lang w:eastAsia="de-DE"/>
        </w:rPr>
        <w:t xml:space="preserve">(sein Blut) mit Possessivsuffix. </w:t>
      </w:r>
      <w:r w:rsidRPr="0098037E">
        <w:rPr>
          <w:rFonts w:eastAsia="Times New Roman" w:cs="Times New Roman"/>
          <w:b/>
          <w:bCs/>
          <w:rtl/>
          <w:lang w:eastAsia="de-DE"/>
        </w:rPr>
        <w:t>עַ֖ל קִ֥יר הַמִּזְבֵּֽחַ</w:t>
      </w:r>
      <w:r w:rsidRPr="0098037E">
        <w:rPr>
          <w:rFonts w:eastAsia="Times New Roman" w:cs="Times New Roman"/>
          <w:rtl/>
          <w:lang w:eastAsia="de-DE"/>
        </w:rPr>
        <w:t xml:space="preserve"> </w:t>
      </w:r>
      <w:r w:rsidRPr="0098037E">
        <w:rPr>
          <w:rFonts w:eastAsia="Times New Roman" w:cs="Times New Roman"/>
          <w:lang w:eastAsia="de-DE"/>
        </w:rPr>
        <w:t xml:space="preserve">(an die Wand des Altars) verwendet </w:t>
      </w:r>
      <w:r w:rsidRPr="0098037E">
        <w:rPr>
          <w:rFonts w:eastAsia="Times New Roman" w:cs="Times New Roman"/>
          <w:b/>
          <w:bCs/>
          <w:rtl/>
          <w:lang w:eastAsia="de-DE"/>
        </w:rPr>
        <w:t>קִיר</w:t>
      </w:r>
      <w:r w:rsidRPr="0098037E">
        <w:rPr>
          <w:rFonts w:eastAsia="Times New Roman" w:cs="Times New Roman"/>
          <w:rtl/>
          <w:lang w:eastAsia="de-DE"/>
        </w:rPr>
        <w:t xml:space="preserve"> </w:t>
      </w:r>
      <w:r w:rsidRPr="0098037E">
        <w:rPr>
          <w:rFonts w:eastAsia="Times New Roman" w:cs="Times New Roman"/>
          <w:lang w:eastAsia="de-DE"/>
        </w:rPr>
        <w:t>(Wand/Seitenwand).</w:t>
      </w:r>
    </w:p>
    <w:p w14:paraId="55E1C1B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Unterschiede zu Säugetieropfern sind signifikant: </w:t>
      </w:r>
      <w:r w:rsidRPr="0098037E">
        <w:rPr>
          <w:rFonts w:eastAsia="Times New Roman" w:cs="Times New Roman"/>
          <w:b/>
          <w:bCs/>
          <w:rtl/>
          <w:lang w:eastAsia="de-DE"/>
        </w:rPr>
        <w:t>מלק</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שחט</w:t>
      </w:r>
      <w:r w:rsidRPr="0098037E">
        <w:rPr>
          <w:rFonts w:eastAsia="Times New Roman" w:cs="Times New Roman"/>
          <w:rtl/>
          <w:lang w:eastAsia="de-DE"/>
        </w:rPr>
        <w:t xml:space="preserve"> </w:t>
      </w:r>
      <w:r w:rsidRPr="0098037E">
        <w:rPr>
          <w:rFonts w:eastAsia="Times New Roman" w:cs="Times New Roman"/>
          <w:lang w:eastAsia="de-DE"/>
        </w:rPr>
        <w:t xml:space="preserve">(schlachten), ausschließlich priesterliche Durchführung, und </w:t>
      </w:r>
      <w:r w:rsidRPr="0098037E">
        <w:rPr>
          <w:rFonts w:eastAsia="Times New Roman" w:cs="Times New Roman"/>
          <w:b/>
          <w:bCs/>
          <w:rtl/>
          <w:lang w:eastAsia="de-DE"/>
        </w:rPr>
        <w:t>מצה</w:t>
      </w:r>
      <w:r w:rsidRPr="0098037E">
        <w:rPr>
          <w:rFonts w:eastAsia="Times New Roman" w:cs="Times New Roman"/>
          <w:rtl/>
          <w:lang w:eastAsia="de-DE"/>
        </w:rPr>
        <w:t xml:space="preserve"> </w:t>
      </w:r>
      <w:r w:rsidRPr="0098037E">
        <w:rPr>
          <w:rFonts w:eastAsia="Times New Roman" w:cs="Times New Roman"/>
          <w:lang w:eastAsia="de-DE"/>
        </w:rPr>
        <w:t xml:space="preserve">(Blut ausdrücken) statt </w:t>
      </w:r>
      <w:r w:rsidRPr="0098037E">
        <w:rPr>
          <w:rFonts w:eastAsia="Times New Roman" w:cs="Times New Roman"/>
          <w:b/>
          <w:bCs/>
          <w:rtl/>
          <w:lang w:eastAsia="de-DE"/>
        </w:rPr>
        <w:t>זרק</w:t>
      </w:r>
      <w:r w:rsidRPr="0098037E">
        <w:rPr>
          <w:rFonts w:eastAsia="Times New Roman" w:cs="Times New Roman"/>
          <w:rtl/>
          <w:lang w:eastAsia="de-DE"/>
        </w:rPr>
        <w:t xml:space="preserve"> </w:t>
      </w:r>
      <w:r w:rsidRPr="0098037E">
        <w:rPr>
          <w:rFonts w:eastAsia="Times New Roman" w:cs="Times New Roman"/>
          <w:lang w:eastAsia="de-DE"/>
        </w:rPr>
        <w:t xml:space="preserve">(Blut spritzen). </w:t>
      </w:r>
      <w:r w:rsidRPr="0098037E">
        <w:rPr>
          <w:rFonts w:eastAsia="Times New Roman" w:cs="Times New Roman"/>
          <w:b/>
          <w:bCs/>
          <w:rtl/>
          <w:lang w:eastAsia="de-DE"/>
        </w:rPr>
        <w:t>קִיר</w:t>
      </w:r>
      <w:r w:rsidRPr="0098037E">
        <w:rPr>
          <w:rFonts w:eastAsia="Times New Roman" w:cs="Times New Roman"/>
          <w:rtl/>
          <w:lang w:eastAsia="de-DE"/>
        </w:rPr>
        <w:t xml:space="preserve"> </w:t>
      </w:r>
      <w:r w:rsidRPr="0098037E">
        <w:rPr>
          <w:rFonts w:eastAsia="Times New Roman" w:cs="Times New Roman"/>
          <w:lang w:eastAsia="de-DE"/>
        </w:rPr>
        <w:t>bezeichnet die senkrechte Altarwand im Unterschied zur horizontalen Oberfläche.</w:t>
      </w:r>
    </w:p>
    <w:p w14:paraId="50D0713A" w14:textId="1651369E"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DE39DD">
        <w:t xml:space="preserve">verwendet </w:t>
      </w:r>
      <w:proofErr w:type="spellStart"/>
      <w:r w:rsidR="00DE39DD">
        <w:t>στρ</w:t>
      </w:r>
      <w:proofErr w:type="spellEnd"/>
      <w:r w:rsidR="00DE39DD">
        <w:t xml:space="preserve">αγγιεῖ </w:t>
      </w:r>
      <w:proofErr w:type="spellStart"/>
      <w:r w:rsidR="00DE39DD">
        <w:t>τὸ</w:t>
      </w:r>
      <w:proofErr w:type="spellEnd"/>
      <w:r w:rsidR="00DE39DD">
        <w:t xml:space="preserve"> α</w:t>
      </w:r>
      <w:proofErr w:type="spellStart"/>
      <w:r w:rsidR="00DE39DD">
        <w:t>ἷμ</w:t>
      </w:r>
      <w:proofErr w:type="spellEnd"/>
      <w:r w:rsidR="00DE39DD">
        <w:t xml:space="preserve">α (er soll das Blut auspressen) für </w:t>
      </w:r>
      <w:r w:rsidR="00DE39DD">
        <w:rPr>
          <w:rtl/>
        </w:rPr>
        <w:t>ונמצה דמו</w:t>
      </w:r>
      <w:r w:rsidR="00DE39DD">
        <w:t xml:space="preserve"> (sein Blut soll ausgedrückt werden), was eine aktivere priesterliche Handlung beschreibt.</w:t>
      </w:r>
    </w:p>
    <w:p w14:paraId="6794945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vier koordinierte Hauptsätze mit Waw-Konsekutiv: Verb + Subjekt + Objekt + Adverbialbestimmung // Verb + Objekt // Verb + Adverbialbestimmung // Verb + Subjekt + Adverbialbestimmung. Alle Sätze sind syntaktisch gleichwertige Hauptsätze.</w:t>
      </w:r>
    </w:p>
    <w:p w14:paraId="4A0A9D8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spezifischen Verfahren für Vogelopfer und zeigt die notwendigen Anpassungen der Opfertechnik an die unterschiedliche Tiergröße.</w:t>
      </w:r>
    </w:p>
    <w:p w14:paraId="1449FD11"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1,16</w:t>
      </w:r>
    </w:p>
    <w:p w14:paraId="757E316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וְהֵסִ֥יר אֶת־מֻרְאָתוֹ֖ בְּנֹצָתָ֑הּ וְהִשְׁלִ֨יךְ אֹתָ֜הּ אֵ֤צֶל הַמִּזְבֵּ֨חַ֙ קֵ֔דְמָה אֶל־מְק֖וֹם הַדָּֽשֶׁן׃</w:t>
      </w:r>
    </w:p>
    <w:p w14:paraId="053AB13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entferne ihren Kropf mit seinem Gefieder und werfe ihn neben den Altar nach Osten, an den Ort der Fettasche.</w:t>
      </w:r>
    </w:p>
    <w:p w14:paraId="37AD284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4A8D3C60">
          <v:rect id="_x0000_i1040" style="width:0;height:1.5pt" o:hralign="center" o:hrstd="t" o:hr="t" fillcolor="#a0a0a0" stroked="f"/>
        </w:pict>
      </w:r>
    </w:p>
    <w:p w14:paraId="08EF067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וְהֵסִ֥יר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סור</w:t>
      </w:r>
      <w:r w:rsidRPr="0098037E">
        <w:rPr>
          <w:rFonts w:eastAsia="Times New Roman" w:cs="Times New Roman"/>
          <w:rtl/>
          <w:lang w:eastAsia="de-DE"/>
        </w:rPr>
        <w:t xml:space="preserve"> </w:t>
      </w:r>
      <w:r w:rsidRPr="0098037E">
        <w:rPr>
          <w:rFonts w:eastAsia="Times New Roman" w:cs="Times New Roman"/>
          <w:lang w:eastAsia="de-DE"/>
        </w:rPr>
        <w:t xml:space="preserve">(entfernen/wegwenden), 3. Person maskulin Singular. </w:t>
      </w:r>
      <w:r w:rsidRPr="0098037E">
        <w:rPr>
          <w:rFonts w:eastAsia="Times New Roman" w:cs="Times New Roman"/>
          <w:b/>
          <w:bCs/>
          <w:rtl/>
          <w:lang w:eastAsia="de-DE"/>
        </w:rPr>
        <w:t>אֶת־מֻרְאָתוֹ֖</w:t>
      </w:r>
      <w:r w:rsidRPr="0098037E">
        <w:rPr>
          <w:rFonts w:eastAsia="Times New Roman" w:cs="Times New Roman"/>
          <w:rtl/>
          <w:lang w:eastAsia="de-DE"/>
        </w:rPr>
        <w:t xml:space="preserve"> </w:t>
      </w:r>
      <w:r w:rsidRPr="0098037E">
        <w:rPr>
          <w:rFonts w:eastAsia="Times New Roman" w:cs="Times New Roman"/>
          <w:lang w:eastAsia="de-DE"/>
        </w:rPr>
        <w:t xml:space="preserve">(ihren Kropf) von </w:t>
      </w:r>
      <w:r w:rsidRPr="0098037E">
        <w:rPr>
          <w:rFonts w:eastAsia="Times New Roman" w:cs="Times New Roman"/>
          <w:b/>
          <w:bCs/>
          <w:rtl/>
          <w:lang w:eastAsia="de-DE"/>
        </w:rPr>
        <w:t>מֻרְאָה</w:t>
      </w:r>
      <w:r w:rsidRPr="0098037E">
        <w:rPr>
          <w:rFonts w:eastAsia="Times New Roman" w:cs="Times New Roman"/>
          <w:rtl/>
          <w:lang w:eastAsia="de-DE"/>
        </w:rPr>
        <w:t xml:space="preserve"> </w:t>
      </w:r>
      <w:r w:rsidRPr="0098037E">
        <w:rPr>
          <w:rFonts w:eastAsia="Times New Roman" w:cs="Times New Roman"/>
          <w:lang w:eastAsia="de-DE"/>
        </w:rPr>
        <w:t xml:space="preserve">(Kropf) mit Possessivsuffix 3. Person feminin Singular, da </w:t>
      </w:r>
      <w:r w:rsidRPr="0098037E">
        <w:rPr>
          <w:rFonts w:eastAsia="Times New Roman" w:cs="Times New Roman"/>
          <w:b/>
          <w:bCs/>
          <w:rtl/>
          <w:lang w:eastAsia="de-DE"/>
        </w:rPr>
        <w:t>יוֹנָה</w:t>
      </w:r>
      <w:r w:rsidRPr="0098037E">
        <w:rPr>
          <w:rFonts w:eastAsia="Times New Roman" w:cs="Times New Roman"/>
          <w:rtl/>
          <w:lang w:eastAsia="de-DE"/>
        </w:rPr>
        <w:t xml:space="preserve"> </w:t>
      </w:r>
      <w:r w:rsidRPr="0098037E">
        <w:rPr>
          <w:rFonts w:eastAsia="Times New Roman" w:cs="Times New Roman"/>
          <w:lang w:eastAsia="de-DE"/>
        </w:rPr>
        <w:t xml:space="preserve">(Taube) feminin ist. </w:t>
      </w:r>
      <w:r w:rsidRPr="0098037E">
        <w:rPr>
          <w:rFonts w:eastAsia="Times New Roman" w:cs="Times New Roman"/>
          <w:b/>
          <w:bCs/>
          <w:rtl/>
          <w:lang w:eastAsia="de-DE"/>
        </w:rPr>
        <w:t>בְּנֹצָתָ֑הּ</w:t>
      </w:r>
      <w:r w:rsidRPr="0098037E">
        <w:rPr>
          <w:rFonts w:eastAsia="Times New Roman" w:cs="Times New Roman"/>
          <w:rtl/>
          <w:lang w:eastAsia="de-DE"/>
        </w:rPr>
        <w:t xml:space="preserve"> </w:t>
      </w:r>
      <w:r w:rsidRPr="0098037E">
        <w:rPr>
          <w:rFonts w:eastAsia="Times New Roman" w:cs="Times New Roman"/>
          <w:lang w:eastAsia="de-DE"/>
        </w:rPr>
        <w:t xml:space="preserve">(mit ihrem Gefieder) von </w:t>
      </w:r>
      <w:r w:rsidRPr="0098037E">
        <w:rPr>
          <w:rFonts w:eastAsia="Times New Roman" w:cs="Times New Roman"/>
          <w:b/>
          <w:bCs/>
          <w:rtl/>
          <w:lang w:eastAsia="de-DE"/>
        </w:rPr>
        <w:t>נֹצָה</w:t>
      </w:r>
      <w:r w:rsidRPr="0098037E">
        <w:rPr>
          <w:rFonts w:eastAsia="Times New Roman" w:cs="Times New Roman"/>
          <w:rtl/>
          <w:lang w:eastAsia="de-DE"/>
        </w:rPr>
        <w:t xml:space="preserve"> </w:t>
      </w:r>
      <w:r w:rsidRPr="0098037E">
        <w:rPr>
          <w:rFonts w:eastAsia="Times New Roman" w:cs="Times New Roman"/>
          <w:lang w:eastAsia="de-DE"/>
        </w:rPr>
        <w:t>(Feder/Gefieder) mit Possessivsuffix 3. Person feminin Singular.</w:t>
      </w:r>
    </w:p>
    <w:p w14:paraId="54D7881A" w14:textId="26AA5B4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וְהִשְׁלִ֨יךְ</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שלך</w:t>
      </w:r>
      <w:r w:rsidRPr="0098037E">
        <w:rPr>
          <w:rFonts w:eastAsia="Times New Roman" w:cs="Times New Roman"/>
          <w:rtl/>
          <w:lang w:eastAsia="de-DE"/>
        </w:rPr>
        <w:t xml:space="preserve"> </w:t>
      </w:r>
      <w:r w:rsidRPr="0098037E">
        <w:rPr>
          <w:rFonts w:eastAsia="Times New Roman" w:cs="Times New Roman"/>
          <w:lang w:eastAsia="de-DE"/>
        </w:rPr>
        <w:t xml:space="preserve">(werfen/wegwerfen), 3. Person maskulin Singular. </w:t>
      </w:r>
      <w:r w:rsidRPr="0098037E">
        <w:rPr>
          <w:rFonts w:eastAsia="Times New Roman" w:cs="Times New Roman"/>
          <w:b/>
          <w:bCs/>
          <w:rtl/>
          <w:lang w:eastAsia="de-DE"/>
        </w:rPr>
        <w:t>אֹתָ֜הּ</w:t>
      </w:r>
      <w:r w:rsidRPr="0098037E">
        <w:rPr>
          <w:rFonts w:eastAsia="Times New Roman" w:cs="Times New Roman"/>
          <w:rtl/>
          <w:lang w:eastAsia="de-DE"/>
        </w:rPr>
        <w:t xml:space="preserve"> </w:t>
      </w:r>
      <w:r w:rsidRPr="0098037E">
        <w:rPr>
          <w:rFonts w:eastAsia="Times New Roman" w:cs="Times New Roman"/>
          <w:lang w:eastAsia="de-DE"/>
        </w:rPr>
        <w:t xml:space="preserve">(ihn/es) mit </w:t>
      </w:r>
      <w:r w:rsidR="00E35C31">
        <w:rPr>
          <w:rFonts w:eastAsia="Times New Roman" w:cs="Times New Roman"/>
          <w:lang w:eastAsia="de-DE"/>
        </w:rPr>
        <w:t>femininem</w:t>
      </w:r>
      <w:r w:rsidRPr="0098037E">
        <w:rPr>
          <w:rFonts w:eastAsia="Times New Roman" w:cs="Times New Roman"/>
          <w:lang w:eastAsia="de-DE"/>
        </w:rPr>
        <w:t xml:space="preserve"> Suffix bezieht sich auf </w:t>
      </w:r>
      <w:r w:rsidRPr="0098037E">
        <w:rPr>
          <w:rFonts w:eastAsia="Times New Roman" w:cs="Times New Roman"/>
          <w:b/>
          <w:bCs/>
          <w:rtl/>
          <w:lang w:eastAsia="de-DE"/>
        </w:rPr>
        <w:t>מֻרְאָה</w:t>
      </w:r>
      <w:r w:rsidRPr="0098037E">
        <w:rPr>
          <w:rFonts w:eastAsia="Times New Roman" w:cs="Times New Roman"/>
          <w:rtl/>
          <w:lang w:eastAsia="de-DE"/>
        </w:rPr>
        <w:t xml:space="preserve"> </w:t>
      </w:r>
      <w:r w:rsidRPr="0098037E">
        <w:rPr>
          <w:rFonts w:eastAsia="Times New Roman" w:cs="Times New Roman"/>
          <w:lang w:eastAsia="de-DE"/>
        </w:rPr>
        <w:t>zurück, die grammatisch feminin ist.</w:t>
      </w:r>
    </w:p>
    <w:p w14:paraId="6B8D1FD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 Ortsangabe </w:t>
      </w:r>
      <w:r w:rsidRPr="0098037E">
        <w:rPr>
          <w:rFonts w:eastAsia="Times New Roman" w:cs="Times New Roman"/>
          <w:b/>
          <w:bCs/>
          <w:rtl/>
          <w:lang w:eastAsia="de-DE"/>
        </w:rPr>
        <w:t>אֵ֤צֶל הַמִּזְבֵּ֨חַ֙ קֵ֔דְמָה</w:t>
      </w:r>
      <w:r w:rsidRPr="0098037E">
        <w:rPr>
          <w:rFonts w:eastAsia="Times New Roman" w:cs="Times New Roman"/>
          <w:rtl/>
          <w:lang w:eastAsia="de-DE"/>
        </w:rPr>
        <w:t xml:space="preserve"> </w:t>
      </w:r>
      <w:r w:rsidRPr="0098037E">
        <w:rPr>
          <w:rFonts w:eastAsia="Times New Roman" w:cs="Times New Roman"/>
          <w:lang w:eastAsia="de-DE"/>
        </w:rPr>
        <w:t xml:space="preserve">(neben den Altar ostwärts) verwendet </w:t>
      </w:r>
      <w:r w:rsidRPr="0098037E">
        <w:rPr>
          <w:rFonts w:eastAsia="Times New Roman" w:cs="Times New Roman"/>
          <w:b/>
          <w:bCs/>
          <w:rtl/>
          <w:lang w:eastAsia="de-DE"/>
        </w:rPr>
        <w:t>אֵצֶל</w:t>
      </w:r>
      <w:r w:rsidRPr="0098037E">
        <w:rPr>
          <w:rFonts w:eastAsia="Times New Roman" w:cs="Times New Roman"/>
          <w:rtl/>
          <w:lang w:eastAsia="de-DE"/>
        </w:rPr>
        <w:t xml:space="preserve"> </w:t>
      </w:r>
      <w:r w:rsidRPr="0098037E">
        <w:rPr>
          <w:rFonts w:eastAsia="Times New Roman" w:cs="Times New Roman"/>
          <w:lang w:eastAsia="de-DE"/>
        </w:rPr>
        <w:t xml:space="preserve">(neben/bei) und </w:t>
      </w:r>
      <w:r w:rsidRPr="0098037E">
        <w:rPr>
          <w:rFonts w:eastAsia="Times New Roman" w:cs="Times New Roman"/>
          <w:b/>
          <w:bCs/>
          <w:rtl/>
          <w:lang w:eastAsia="de-DE"/>
        </w:rPr>
        <w:t>קֵדְמָה</w:t>
      </w:r>
      <w:r w:rsidRPr="0098037E">
        <w:rPr>
          <w:rFonts w:eastAsia="Times New Roman" w:cs="Times New Roman"/>
          <w:rtl/>
          <w:lang w:eastAsia="de-DE"/>
        </w:rPr>
        <w:t xml:space="preserve"> </w:t>
      </w:r>
      <w:r w:rsidRPr="0098037E">
        <w:rPr>
          <w:rFonts w:eastAsia="Times New Roman" w:cs="Times New Roman"/>
          <w:lang w:eastAsia="de-DE"/>
        </w:rPr>
        <w:t xml:space="preserve">(ostwärts) mit Richtungs-He. </w:t>
      </w:r>
      <w:r w:rsidRPr="0098037E">
        <w:rPr>
          <w:rFonts w:eastAsia="Times New Roman" w:cs="Times New Roman"/>
          <w:b/>
          <w:bCs/>
          <w:rtl/>
          <w:lang w:eastAsia="de-DE"/>
        </w:rPr>
        <w:t>אֶל־מְק֖וֹם הַדָּֽשֶׁן</w:t>
      </w:r>
      <w:r w:rsidRPr="0098037E">
        <w:rPr>
          <w:rFonts w:eastAsia="Times New Roman" w:cs="Times New Roman"/>
          <w:rtl/>
          <w:lang w:eastAsia="de-DE"/>
        </w:rPr>
        <w:t xml:space="preserve"> </w:t>
      </w:r>
      <w:r w:rsidRPr="0098037E">
        <w:rPr>
          <w:rFonts w:eastAsia="Times New Roman" w:cs="Times New Roman"/>
          <w:lang w:eastAsia="de-DE"/>
        </w:rPr>
        <w:t xml:space="preserve">(an den Ort der Fettasche) spezifiziert den Entsorgungsort. </w:t>
      </w:r>
      <w:r w:rsidRPr="0098037E">
        <w:rPr>
          <w:rFonts w:eastAsia="Times New Roman" w:cs="Times New Roman"/>
          <w:b/>
          <w:bCs/>
          <w:rtl/>
          <w:lang w:eastAsia="de-DE"/>
        </w:rPr>
        <w:t>דֶּשֶׁן</w:t>
      </w:r>
      <w:r w:rsidRPr="0098037E">
        <w:rPr>
          <w:rFonts w:eastAsia="Times New Roman" w:cs="Times New Roman"/>
          <w:rtl/>
          <w:lang w:eastAsia="de-DE"/>
        </w:rPr>
        <w:t xml:space="preserve"> </w:t>
      </w:r>
      <w:r w:rsidRPr="0098037E">
        <w:rPr>
          <w:rFonts w:eastAsia="Times New Roman" w:cs="Times New Roman"/>
          <w:lang w:eastAsia="de-DE"/>
        </w:rPr>
        <w:t>(Fettasche) bezeichnet die Asche der verbrannten Opferfette.</w:t>
      </w:r>
    </w:p>
    <w:p w14:paraId="200C59F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מֻרְאָה</w:t>
      </w:r>
      <w:r w:rsidRPr="0098037E">
        <w:rPr>
          <w:rFonts w:eastAsia="Times New Roman" w:cs="Times New Roman"/>
          <w:rtl/>
          <w:lang w:eastAsia="de-DE"/>
        </w:rPr>
        <w:t xml:space="preserve"> </w:t>
      </w:r>
      <w:r w:rsidRPr="0098037E">
        <w:rPr>
          <w:rFonts w:eastAsia="Times New Roman" w:cs="Times New Roman"/>
          <w:lang w:eastAsia="de-DE"/>
        </w:rPr>
        <w:t xml:space="preserve">(Kropf) ist der Verdauungsvorraum bei Vögeln, der Nahrungsreste enthalten kann und daher kultisch unrein ist. </w:t>
      </w:r>
      <w:r w:rsidRPr="0098037E">
        <w:rPr>
          <w:rFonts w:eastAsia="Times New Roman" w:cs="Times New Roman"/>
          <w:b/>
          <w:bCs/>
          <w:rtl/>
          <w:lang w:eastAsia="de-DE"/>
        </w:rPr>
        <w:t>נֹצָה</w:t>
      </w:r>
      <w:r w:rsidRPr="0098037E">
        <w:rPr>
          <w:rFonts w:eastAsia="Times New Roman" w:cs="Times New Roman"/>
          <w:rtl/>
          <w:lang w:eastAsia="de-DE"/>
        </w:rPr>
        <w:t xml:space="preserve"> </w:t>
      </w:r>
      <w:r w:rsidRPr="0098037E">
        <w:rPr>
          <w:rFonts w:eastAsia="Times New Roman" w:cs="Times New Roman"/>
          <w:lang w:eastAsia="de-DE"/>
        </w:rPr>
        <w:t>(Gefieder) umfasst alle Federn, die ebenfalls entfernt werden müssen. Die Ostseite (</w:t>
      </w:r>
      <w:r w:rsidRPr="0098037E">
        <w:rPr>
          <w:rFonts w:eastAsia="Times New Roman" w:cs="Times New Roman"/>
          <w:b/>
          <w:bCs/>
          <w:rtl/>
          <w:lang w:eastAsia="de-DE"/>
        </w:rPr>
        <w:t>קֵדְמָה</w:t>
      </w:r>
      <w:r w:rsidRPr="0098037E">
        <w:rPr>
          <w:rFonts w:eastAsia="Times New Roman" w:cs="Times New Roman"/>
          <w:lang w:eastAsia="de-DE"/>
        </w:rPr>
        <w:t>) ist traditionell die Seite für Abfallentsorgung.</w:t>
      </w:r>
    </w:p>
    <w:p w14:paraId="14E55718" w14:textId="147516A9"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interpretiert </w:t>
      </w:r>
      <w:r w:rsidR="005248F3">
        <w:rPr>
          <w:rtl/>
        </w:rPr>
        <w:t>מראתו בנצתה</w:t>
      </w:r>
      <w:r w:rsidR="005248F3">
        <w:t xml:space="preserve"> (</w:t>
      </w:r>
      <w:proofErr w:type="spellStart"/>
      <w:r w:rsidR="005248F3">
        <w:t>mur'ato</w:t>
      </w:r>
      <w:proofErr w:type="spellEnd"/>
      <w:r w:rsidR="005248F3">
        <w:t xml:space="preserve"> </w:t>
      </w:r>
      <w:proofErr w:type="spellStart"/>
      <w:r w:rsidR="005248F3">
        <w:t>bentzata</w:t>
      </w:r>
      <w:proofErr w:type="spellEnd"/>
      <w:r w:rsidR="005248F3">
        <w:t xml:space="preserve"> - "seinen Kropf mit seinem Unrat") als </w:t>
      </w:r>
      <w:proofErr w:type="spellStart"/>
      <w:r w:rsidR="005248F3">
        <w:t>τὸν</w:t>
      </w:r>
      <w:proofErr w:type="spellEnd"/>
      <w:r w:rsidR="005248F3">
        <w:t xml:space="preserve"> π</w:t>
      </w:r>
      <w:proofErr w:type="spellStart"/>
      <w:r w:rsidR="005248F3">
        <w:t>ρόλο</w:t>
      </w:r>
      <w:proofErr w:type="spellEnd"/>
      <w:r w:rsidR="005248F3">
        <w:t xml:space="preserve">βον </w:t>
      </w:r>
      <w:proofErr w:type="spellStart"/>
      <w:r w:rsidR="005248F3">
        <w:t>σὺν</w:t>
      </w:r>
      <w:proofErr w:type="spellEnd"/>
      <w:r w:rsidR="005248F3">
        <w:t xml:space="preserve"> </w:t>
      </w:r>
      <w:proofErr w:type="spellStart"/>
      <w:r w:rsidR="005248F3">
        <w:t>τοῖς</w:t>
      </w:r>
      <w:proofErr w:type="spellEnd"/>
      <w:r w:rsidR="005248F3">
        <w:t xml:space="preserve"> π</w:t>
      </w:r>
      <w:proofErr w:type="spellStart"/>
      <w:r w:rsidR="005248F3">
        <w:t>τεροῖς</w:t>
      </w:r>
      <w:proofErr w:type="spellEnd"/>
      <w:r w:rsidR="005248F3">
        <w:t xml:space="preserve"> (den Kropf mit den Federn), was eine anatomische Fehlinterpretation darstellt.</w:t>
      </w:r>
    </w:p>
    <w:p w14:paraId="3D4AE3D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Verb + Objekt + Adverbialbestimmung // Verb + Objekt + komplexe Ortsangabe. Beide Sätze sind syntaktisch gleichwertige Hauptsätze ohne Nebensätze.</w:t>
      </w:r>
    </w:p>
    <w:p w14:paraId="7D12E0A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regelt die Entsorgung unbrauchbarer Vogelteile und zeigt die Bedeutung kultischer Reinheit auch bei der Abfallbeseitigung.</w:t>
      </w:r>
    </w:p>
    <w:p w14:paraId="5841600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1,17</w:t>
      </w:r>
    </w:p>
    <w:p w14:paraId="5F0EB67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וְשִׁסַּ֨ע אֹתוֹ֣ בִכְנָפָיו֮ לֹ֣א יַבְדִּיל֒ וְהִקְטִ֨יר אֹתוֹ֤ הַכֹּהֵן֙ הַמִּזְבֵּ֔חָה עַל־הָעֵצִ֖ים אֲשֶׁ֣ר עַל־הָאֵ֑שׁ עֹלָ֣ה ה֗וּא אִשֵּׁ֛ה רֵ֥יחַ נִיחֹ֖חַ לַיהוָֽה׃</w:t>
      </w:r>
    </w:p>
    <w:p w14:paraId="527A50E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sie an den Flügeln einreißen, aber soll sie nicht zertrennen; und der Priester soll sie auf dem Altar räuchern, auf dem Holz, das auf dem Feuer ist: Es ist ein Aufsteigeopfer, ein Feueropfer wohlgefälligen Geruchs dem Ewigen.</w:t>
      </w:r>
    </w:p>
    <w:p w14:paraId="397EF38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751FE00">
          <v:rect id="_x0000_i1041" style="width:0;height:1.5pt" o:hralign="center" o:hrstd="t" o:hr="t" fillcolor="#a0a0a0" stroked="f"/>
        </w:pict>
      </w:r>
    </w:p>
    <w:p w14:paraId="49AA1EB2" w14:textId="77777777" w:rsidR="0098037E" w:rsidRDefault="0098037E" w:rsidP="0098037E">
      <w:pPr>
        <w:pStyle w:val="whitespace-normal"/>
      </w:pPr>
      <w:r w:rsidRPr="0098037E">
        <w:rPr>
          <w:b/>
          <w:bCs/>
        </w:rPr>
        <w:t>Kommentar:</w:t>
      </w:r>
      <w:r w:rsidRPr="0098037E">
        <w:t xml:space="preserve"> </w:t>
      </w:r>
      <w:r w:rsidRPr="0098037E">
        <w:rPr>
          <w:b/>
          <w:bCs/>
          <w:rtl/>
        </w:rPr>
        <w:t>וְשִׁסַּ֨ע</w:t>
      </w:r>
      <w:r w:rsidRPr="0098037E">
        <w:rPr>
          <w:rtl/>
        </w:rPr>
        <w:t xml:space="preserve"> </w:t>
      </w:r>
      <w:r w:rsidRPr="0098037E">
        <w:t xml:space="preserve">ist Piel-Perfekt mit Waw-Konsekutiv von </w:t>
      </w:r>
      <w:r w:rsidRPr="0098037E">
        <w:rPr>
          <w:b/>
          <w:bCs/>
          <w:rtl/>
        </w:rPr>
        <w:t>שסע</w:t>
      </w:r>
      <w:r w:rsidRPr="0098037E">
        <w:rPr>
          <w:rtl/>
        </w:rPr>
        <w:t xml:space="preserve"> </w:t>
      </w:r>
      <w:r w:rsidRPr="0098037E">
        <w:t xml:space="preserve">(spalten/einreißen), 3. Person maskulin Singular. </w:t>
      </w:r>
      <w:r w:rsidRPr="0098037E">
        <w:rPr>
          <w:b/>
          <w:bCs/>
          <w:rtl/>
        </w:rPr>
        <w:t>אֹתוֹ֣</w:t>
      </w:r>
      <w:r w:rsidRPr="0098037E">
        <w:rPr>
          <w:rtl/>
        </w:rPr>
        <w:t xml:space="preserve"> </w:t>
      </w:r>
      <w:r w:rsidRPr="0098037E">
        <w:t xml:space="preserve">(ihn/es) bezieht sich auf den Vogel. </w:t>
      </w:r>
      <w:r w:rsidRPr="0098037E">
        <w:rPr>
          <w:b/>
          <w:bCs/>
          <w:rtl/>
        </w:rPr>
        <w:t>בִכְנָפָיו֮</w:t>
      </w:r>
      <w:r w:rsidRPr="0098037E">
        <w:rPr>
          <w:rtl/>
        </w:rPr>
        <w:t xml:space="preserve"> </w:t>
      </w:r>
      <w:r w:rsidRPr="0098037E">
        <w:t xml:space="preserve">(an seinen Flügeln) von </w:t>
      </w:r>
      <w:r w:rsidRPr="0098037E">
        <w:rPr>
          <w:b/>
          <w:bCs/>
          <w:rtl/>
        </w:rPr>
        <w:t>כָּנָף</w:t>
      </w:r>
      <w:r w:rsidRPr="0098037E">
        <w:rPr>
          <w:rtl/>
        </w:rPr>
        <w:t xml:space="preserve"> </w:t>
      </w:r>
      <w:r w:rsidRPr="0098037E">
        <w:t>(</w:t>
      </w:r>
      <w:r>
        <w:rPr>
          <w:rStyle w:val="Fett"/>
          <w:rtl/>
        </w:rPr>
        <w:t>כָּנָף</w:t>
      </w:r>
      <w:r>
        <w:rPr>
          <w:rtl/>
        </w:rPr>
        <w:t xml:space="preserve"> </w:t>
      </w:r>
      <w:r>
        <w:t xml:space="preserve">(Flügel) im Dual </w:t>
      </w:r>
      <w:r>
        <w:rPr>
          <w:rStyle w:val="Fett"/>
          <w:rtl/>
        </w:rPr>
        <w:t>כְּנָפַיִם</w:t>
      </w:r>
      <w:r>
        <w:rPr>
          <w:rtl/>
        </w:rPr>
        <w:t xml:space="preserve"> </w:t>
      </w:r>
      <w:r>
        <w:t xml:space="preserve">mit Possessivsuffix 3. Person maskulin Singular und der Präposition </w:t>
      </w:r>
      <w:r>
        <w:rPr>
          <w:rStyle w:val="Fett"/>
          <w:rtl/>
        </w:rPr>
        <w:t>בְּ</w:t>
      </w:r>
      <w:r>
        <w:rPr>
          <w:rtl/>
        </w:rPr>
        <w:t xml:space="preserve"> </w:t>
      </w:r>
      <w:r>
        <w:t>(an/bei).</w:t>
      </w:r>
    </w:p>
    <w:p w14:paraId="1E687C9D" w14:textId="0B7F7E51" w:rsidR="0098037E" w:rsidRDefault="0098037E" w:rsidP="0098037E">
      <w:pPr>
        <w:pStyle w:val="whitespace-normal"/>
      </w:pPr>
      <w:r>
        <w:rPr>
          <w:rStyle w:val="Fett"/>
          <w:rtl/>
        </w:rPr>
        <w:t>לֹ֣א יַבְדִּיל֒</w:t>
      </w:r>
      <w:r>
        <w:rPr>
          <w:rtl/>
        </w:rPr>
        <w:t xml:space="preserve"> </w:t>
      </w:r>
      <w:r>
        <w:t xml:space="preserve">(er soll nicht trennen) zeigt </w:t>
      </w:r>
      <w:r>
        <w:rPr>
          <w:rStyle w:val="Fett"/>
          <w:rtl/>
        </w:rPr>
        <w:t>לֹא</w:t>
      </w:r>
      <w:r>
        <w:rPr>
          <w:rtl/>
        </w:rPr>
        <w:t xml:space="preserve"> </w:t>
      </w:r>
      <w:r>
        <w:t xml:space="preserve">(nicht) mit Hifil-Imperfekt von </w:t>
      </w:r>
      <w:r>
        <w:rPr>
          <w:rStyle w:val="Fett"/>
          <w:rtl/>
        </w:rPr>
        <w:t>בדל</w:t>
      </w:r>
      <w:r>
        <w:rPr>
          <w:rtl/>
        </w:rPr>
        <w:t xml:space="preserve"> </w:t>
      </w:r>
      <w:r>
        <w:t xml:space="preserve">(trennen/absondern), 3. Person maskulin Singular. Diese Bestimmung ist </w:t>
      </w:r>
      <w:r w:rsidR="000024AA">
        <w:t>entscheidend</w:t>
      </w:r>
      <w:r>
        <w:t>: Der Vogel soll eingerissen, aber nicht vollständig geteilt werden, damit er als Einheit erkennbar bleibt.</w:t>
      </w:r>
    </w:p>
    <w:p w14:paraId="298166BB" w14:textId="77777777" w:rsidR="0098037E" w:rsidRDefault="0098037E" w:rsidP="0098037E">
      <w:pPr>
        <w:pStyle w:val="whitespace-normal"/>
      </w:pPr>
      <w:r>
        <w:rPr>
          <w:rStyle w:val="Fett"/>
          <w:rtl/>
        </w:rPr>
        <w:t>וְהִקְטִ֨יר</w:t>
      </w:r>
      <w:r>
        <w:rPr>
          <w:rtl/>
        </w:rPr>
        <w:t xml:space="preserve"> </w:t>
      </w:r>
      <w:r>
        <w:t xml:space="preserve">ist Hifil-Perfekt mit Waw-Konsekutiv von </w:t>
      </w:r>
      <w:r>
        <w:rPr>
          <w:rStyle w:val="Fett"/>
          <w:rtl/>
        </w:rPr>
        <w:t>קטר</w:t>
      </w:r>
      <w:r>
        <w:rPr>
          <w:rtl/>
        </w:rPr>
        <w:t xml:space="preserve"> </w:t>
      </w:r>
      <w:r>
        <w:t xml:space="preserve">(räuchern), 3. Person maskulin Singular. </w:t>
      </w:r>
      <w:r>
        <w:rPr>
          <w:rStyle w:val="Fett"/>
          <w:rtl/>
        </w:rPr>
        <w:t>אֹתוֹ֤</w:t>
      </w:r>
      <w:r>
        <w:rPr>
          <w:rtl/>
        </w:rPr>
        <w:t xml:space="preserve"> </w:t>
      </w:r>
      <w:r>
        <w:t xml:space="preserve">(ihn) bezieht sich auf den vorbereiteten Vogel. </w:t>
      </w:r>
      <w:r>
        <w:rPr>
          <w:rStyle w:val="Fett"/>
          <w:rtl/>
        </w:rPr>
        <w:t>הַכֹּהֵן֙</w:t>
      </w:r>
      <w:r>
        <w:rPr>
          <w:rtl/>
        </w:rPr>
        <w:t xml:space="preserve"> </w:t>
      </w:r>
      <w:r>
        <w:t xml:space="preserve">(der Priester) als Subjekt. </w:t>
      </w:r>
      <w:r>
        <w:rPr>
          <w:rStyle w:val="Fett"/>
          <w:rtl/>
        </w:rPr>
        <w:t>הַמִּזְבֵּ֔חָה</w:t>
      </w:r>
      <w:r>
        <w:rPr>
          <w:rtl/>
        </w:rPr>
        <w:t xml:space="preserve"> </w:t>
      </w:r>
      <w:r>
        <w:t xml:space="preserve">(zum Altar hin) mit Richtungs-He. </w:t>
      </w:r>
      <w:r>
        <w:rPr>
          <w:rStyle w:val="Fett"/>
          <w:rtl/>
        </w:rPr>
        <w:t>עַל־הָעֵצִ֖ים אֲשֶׁ֣ר עַל־הָאֵ֑שׁ</w:t>
      </w:r>
      <w:r>
        <w:rPr>
          <w:rtl/>
        </w:rPr>
        <w:t xml:space="preserve"> </w:t>
      </w:r>
      <w:r>
        <w:t>(auf dem Holz, das auf dem Feuer ist) entspricht der Formulierung der vorherigen Opfer.</w:t>
      </w:r>
    </w:p>
    <w:p w14:paraId="644EE9A6" w14:textId="5DCDC029" w:rsidR="0098037E" w:rsidRDefault="0098037E" w:rsidP="0098037E">
      <w:pPr>
        <w:pStyle w:val="whitespace-normal"/>
      </w:pPr>
      <w:r>
        <w:t xml:space="preserve">Die Abschlussformel </w:t>
      </w:r>
      <w:r>
        <w:rPr>
          <w:rStyle w:val="Fett"/>
          <w:rtl/>
        </w:rPr>
        <w:t>עֹלָ֣ה ה֗וּא אִשֵּׁ֛ה רֵ֥יחַ נִיחֹ֖חַ לַיהוָֽה</w:t>
      </w:r>
      <w:r>
        <w:rPr>
          <w:rtl/>
        </w:rPr>
        <w:t xml:space="preserve"> </w:t>
      </w:r>
      <w:r>
        <w:t xml:space="preserve">(es ist ein </w:t>
      </w:r>
      <w:r w:rsidR="00CF10E7">
        <w:t>Aufsteigeopfer</w:t>
      </w:r>
      <w:r>
        <w:t xml:space="preserve">, ein Feueropfer wohlgefälligen Geruchs dem JHWH) entspricht exakt den Formulierungen in Versen 9 und 13 und etabliert die vollständige kultische Gleichwertigkeit aller </w:t>
      </w:r>
      <w:r w:rsidR="00CF10E7">
        <w:t>Aufsteigeopfer</w:t>
      </w:r>
      <w:r>
        <w:t>typen.</w:t>
      </w:r>
    </w:p>
    <w:p w14:paraId="42667DB7" w14:textId="77777777" w:rsidR="0098037E" w:rsidRDefault="0098037E" w:rsidP="0098037E">
      <w:pPr>
        <w:pStyle w:val="whitespace-normal"/>
      </w:pPr>
      <w:r>
        <w:rPr>
          <w:rStyle w:val="Fett"/>
          <w:rtl/>
        </w:rPr>
        <w:lastRenderedPageBreak/>
        <w:t>שסע</w:t>
      </w:r>
      <w:r>
        <w:rPr>
          <w:rtl/>
        </w:rPr>
        <w:t xml:space="preserve"> </w:t>
      </w:r>
      <w:r>
        <w:t xml:space="preserve">(einreißen) unterscheidet sich von </w:t>
      </w:r>
      <w:r>
        <w:rPr>
          <w:rStyle w:val="Fett"/>
          <w:rtl/>
        </w:rPr>
        <w:t>נתח</w:t>
      </w:r>
      <w:r>
        <w:rPr>
          <w:rtl/>
        </w:rPr>
        <w:t xml:space="preserve"> </w:t>
      </w:r>
      <w:r>
        <w:t xml:space="preserve">(zerstückeln) durch die geringere Intensität - der Vogel wird nur aufgerissen, um die Verbrennung zu ermöglichen. </w:t>
      </w:r>
      <w:r>
        <w:rPr>
          <w:rStyle w:val="Fett"/>
          <w:rtl/>
        </w:rPr>
        <w:t>בדל</w:t>
      </w:r>
      <w:r>
        <w:rPr>
          <w:rtl/>
        </w:rPr>
        <w:t xml:space="preserve"> </w:t>
      </w:r>
      <w:r>
        <w:t>(trennen) würde eine vollständige Teilung bedeuten, die bei Vögeln vermieden werden soll.</w:t>
      </w:r>
    </w:p>
    <w:p w14:paraId="569C588E" w14:textId="46FE335A" w:rsidR="005248F3" w:rsidRPr="005248F3" w:rsidRDefault="0098037E" w:rsidP="005248F3">
      <w:pPr>
        <w:pStyle w:val="KeinLeerraum"/>
        <w:rPr>
          <w:rStyle w:val="Fett"/>
          <w:b w:val="0"/>
          <w:bCs w:val="0"/>
        </w:rPr>
      </w:pPr>
      <w:r>
        <w:rPr>
          <w:rStyle w:val="Fett"/>
        </w:rPr>
        <w:t>Die LXX</w:t>
      </w:r>
      <w:r>
        <w:t xml:space="preserve"> übersetzt </w:t>
      </w:r>
      <w:r>
        <w:rPr>
          <w:rStyle w:val="Fett"/>
          <w:rtl/>
        </w:rPr>
        <w:t>וְשִׁסַּ֨ע</w:t>
      </w:r>
      <w:r>
        <w:rPr>
          <w:rtl/>
        </w:rPr>
        <w:t xml:space="preserve"> </w:t>
      </w:r>
      <w:r>
        <w:t xml:space="preserve">mit καὶ </w:t>
      </w:r>
      <w:proofErr w:type="spellStart"/>
      <w:r>
        <w:t>ἐκκλάσει</w:t>
      </w:r>
      <w:proofErr w:type="spellEnd"/>
      <w:r>
        <w:t xml:space="preserve"> (und er soll aufbrechen), </w:t>
      </w:r>
      <w:r>
        <w:rPr>
          <w:rStyle w:val="Fett"/>
          <w:rtl/>
        </w:rPr>
        <w:t>לֹ֣א יַבְדִּיל</w:t>
      </w:r>
      <w:r>
        <w:rPr>
          <w:rtl/>
        </w:rPr>
        <w:t xml:space="preserve"> </w:t>
      </w:r>
      <w:r>
        <w:t xml:space="preserve">mit </w:t>
      </w:r>
      <w:proofErr w:type="spellStart"/>
      <w:r>
        <w:t>οὐ</w:t>
      </w:r>
      <w:proofErr w:type="spellEnd"/>
      <w:r>
        <w:t xml:space="preserve"> </w:t>
      </w:r>
      <w:proofErr w:type="spellStart"/>
      <w:r>
        <w:t>διελεῖ</w:t>
      </w:r>
      <w:proofErr w:type="spellEnd"/>
      <w:r>
        <w:t xml:space="preserve"> (er soll nicht trennen) und </w:t>
      </w:r>
      <w:r>
        <w:rPr>
          <w:rStyle w:val="Fett"/>
          <w:rtl/>
        </w:rPr>
        <w:t>וְהִקְטִ֨יר</w:t>
      </w:r>
      <w:r>
        <w:rPr>
          <w:rtl/>
        </w:rPr>
        <w:t xml:space="preserve"> </w:t>
      </w:r>
      <w:r>
        <w:t xml:space="preserve">mit καὶ </w:t>
      </w:r>
      <w:proofErr w:type="spellStart"/>
      <w:r>
        <w:t>ἀνοίσει</w:t>
      </w:r>
      <w:proofErr w:type="spellEnd"/>
      <w:r>
        <w:t xml:space="preserve"> (und er soll hinaufbringen), was die spezifische Behandlung von Vogelopfern deutlich macht.</w:t>
      </w:r>
      <w:r w:rsidR="005248F3">
        <w:t xml:space="preserve"> </w:t>
      </w:r>
    </w:p>
    <w:p w14:paraId="02475552" w14:textId="77777777" w:rsidR="0098037E" w:rsidRDefault="0098037E" w:rsidP="0098037E">
      <w:pPr>
        <w:pStyle w:val="whitespace-normal"/>
      </w:pPr>
      <w:r>
        <w:rPr>
          <w:rStyle w:val="Fett"/>
        </w:rPr>
        <w:t>Die Satzstruktur:</w:t>
      </w:r>
      <w:r>
        <w:t xml:space="preserve"> zeigt drei koordinierte Hauptsätze: Verb + Objekt + Adverbialbestimmung + Negation mit Verb // Verb + Objekt + Subjekt + Adverbialbestimmung + Ortsangabe mit Relativsatz // dreifache Prädikatsbestimmung. Der Relativsatz fungiert als Attributsatz zur Ortsbestimmung.</w:t>
      </w:r>
    </w:p>
    <w:p w14:paraId="05A0D221" w14:textId="2104CF86" w:rsidR="0098037E" w:rsidRDefault="0098037E" w:rsidP="0098037E">
      <w:pPr>
        <w:pStyle w:val="whitespace-normal"/>
      </w:pPr>
      <w:r>
        <w:t xml:space="preserve">Dieser Vers schließt die Bestimmungen für Vogelopfer ab und etabliert durch die identische Abschlussformel die vollständige kultische Gleichwertigkeit aller drei </w:t>
      </w:r>
      <w:r w:rsidR="00CF10E7">
        <w:t>Aufsteigeopfer</w:t>
      </w:r>
      <w:r>
        <w:t>kategorien (Rind, Kleinvieh, Geflügel), unabhängig vom sozialen Status des Opfernden. Das Kapitel zeigt damit die demokratische Zugänglichkeit des Opferkultes bei gleichzeitiger Wahrung der kultischen Standards.</w:t>
      </w:r>
    </w:p>
    <w:p w14:paraId="53D8BBD7" w14:textId="3CAB16E6" w:rsidR="00D61FEC" w:rsidRDefault="00D61FEC" w:rsidP="0098037E">
      <w:pPr>
        <w:spacing w:before="100" w:beforeAutospacing="1" w:after="100" w:afterAutospacing="1" w:line="240" w:lineRule="auto"/>
        <w:outlineLvl w:val="1"/>
      </w:pPr>
      <w:r>
        <w:rPr>
          <w:rStyle w:val="Fett"/>
        </w:rPr>
        <w:t>Methodische Reflexion:</w:t>
      </w:r>
      <w:r>
        <w:t xml:space="preserve"> Die textkritische Behandlung in diesem Kommentar variiert bewusst zwischen detaillierter Analyse (V. 1,1) und exemplarischen Hinweisen (übrige Verse), um verschiedene Herangehensweisen zu demonstrieren. Eine vollständige textkritische Apparatur würde den Rahmen dieses Kommentars sprengen.</w:t>
      </w:r>
    </w:p>
    <w:p w14:paraId="0A9A4FB2" w14:textId="62D78F62" w:rsidR="00D61FEC" w:rsidRDefault="00D61FEC" w:rsidP="0098037E">
      <w:pPr>
        <w:spacing w:before="100" w:beforeAutospacing="1" w:after="100" w:afterAutospacing="1" w:line="240" w:lineRule="auto"/>
        <w:outlineLvl w:val="1"/>
      </w:pPr>
      <w:r>
        <w:rPr>
          <w:rStyle w:val="Fett"/>
        </w:rPr>
        <w:t>Textkritische Bewertung:</w:t>
      </w:r>
      <w:r>
        <w:t xml:space="preserve"> Die durchgängige LXX-Substitution von </w:t>
      </w:r>
      <w:r>
        <w:rPr>
          <w:rtl/>
        </w:rPr>
        <w:t>אִשֵּׁה</w:t>
      </w:r>
      <w:r>
        <w:t xml:space="preserve"> durch </w:t>
      </w:r>
      <w:proofErr w:type="spellStart"/>
      <w:r>
        <w:t>κάρ</w:t>
      </w:r>
      <w:proofErr w:type="spellEnd"/>
      <w:r>
        <w:t>πωμα ist textkritisch signifikant, da sie entweder auf eine abweichende hebräische Vorlage oder auf bewusste interpretative Übersetzung hindeutet. Die Konsistenz dieser Änderung spricht gegen zufällige Übertragungsfehler und für systematische theologische Neukonzeptualisierung. Weitere Handschriftenkollation wäre zur definitiven Klärung erforderlich.</w:t>
      </w:r>
    </w:p>
    <w:p w14:paraId="748E8C31" w14:textId="3715A146"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w:t>
      </w:r>
    </w:p>
    <w:p w14:paraId="1BA51F5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וְנֶ֗פֶשׁ כִּֽי־תַקְרִ֞יב קָרְבַּ֤ן מִנְחָה֙ לַֽיהוָ֔ה סֹ֖לֶת יִהְיֶ֣ה קָרְבָּנֹ֑ו וְיָצַ֤ק עָלֶ֨יהָ֙ שֶׁ֔מֶן וְנָתַ֥ן עָלֶ֖יהָ לְבֹנָֽה׃</w:t>
      </w:r>
    </w:p>
    <w:p w14:paraId="28AF7FC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jemand die Opfergabe eines Speisopfers dem Ewigen darbringen will, so soll seine Opfergabe Feinmehl sein; und er soll Öl darauf gießen und Weihrauch darauf legen.</w:t>
      </w:r>
    </w:p>
    <w:p w14:paraId="6FC6D4B4"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1B0B27F">
          <v:rect id="_x0000_i1042" style="width:0;height:1.5pt" o:hralign="center" o:hrstd="t" o:hr="t" fillcolor="#a0a0a0" stroked="f"/>
        </w:pict>
      </w:r>
    </w:p>
    <w:p w14:paraId="39DAF98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וְנֶ֗פֶשׁ</w:t>
      </w:r>
      <w:r w:rsidRPr="0098037E">
        <w:rPr>
          <w:rFonts w:eastAsia="Times New Roman" w:cs="Times New Roman"/>
          <w:rtl/>
          <w:lang w:eastAsia="de-DE"/>
        </w:rPr>
        <w:t xml:space="preserve"> </w:t>
      </w:r>
      <w:r w:rsidRPr="0098037E">
        <w:rPr>
          <w:rFonts w:eastAsia="Times New Roman" w:cs="Times New Roman"/>
          <w:lang w:eastAsia="de-DE"/>
        </w:rPr>
        <w:t xml:space="preserve">(und eine Seele/Person) verwendet </w:t>
      </w:r>
      <w:r w:rsidRPr="0098037E">
        <w:rPr>
          <w:rFonts w:eastAsia="Times New Roman" w:cs="Times New Roman"/>
          <w:b/>
          <w:bCs/>
          <w:rtl/>
          <w:lang w:eastAsia="de-DE"/>
        </w:rPr>
        <w:t>נֶפֶשׁ</w:t>
      </w:r>
      <w:r w:rsidRPr="0098037E">
        <w:rPr>
          <w:rFonts w:eastAsia="Times New Roman" w:cs="Times New Roman"/>
          <w:rtl/>
          <w:lang w:eastAsia="de-DE"/>
        </w:rPr>
        <w:t xml:space="preserve"> </w:t>
      </w:r>
      <w:r w:rsidRPr="0098037E">
        <w:rPr>
          <w:rFonts w:eastAsia="Times New Roman" w:cs="Times New Roman"/>
          <w:lang w:eastAsia="de-DE"/>
        </w:rPr>
        <w:t xml:space="preserve">als allgemeine Bezeichnung für einen Menschen im Unterschied zu </w:t>
      </w:r>
      <w:r w:rsidRPr="0098037E">
        <w:rPr>
          <w:rFonts w:eastAsia="Times New Roman" w:cs="Times New Roman"/>
          <w:b/>
          <w:bCs/>
          <w:rtl/>
          <w:lang w:eastAsia="de-DE"/>
        </w:rPr>
        <w:t>אָדָם</w:t>
      </w:r>
      <w:r w:rsidRPr="0098037E">
        <w:rPr>
          <w:rFonts w:eastAsia="Times New Roman" w:cs="Times New Roman"/>
          <w:rtl/>
          <w:lang w:eastAsia="de-DE"/>
        </w:rPr>
        <w:t xml:space="preserve"> </w:t>
      </w:r>
      <w:r w:rsidRPr="0098037E">
        <w:rPr>
          <w:rFonts w:eastAsia="Times New Roman" w:cs="Times New Roman"/>
          <w:lang w:eastAsia="de-DE"/>
        </w:rPr>
        <w:t xml:space="preserve">in 1,2. Die Partikel </w:t>
      </w:r>
      <w:r w:rsidRPr="0098037E">
        <w:rPr>
          <w:rFonts w:eastAsia="Times New Roman" w:cs="Times New Roman"/>
          <w:b/>
          <w:bCs/>
          <w:rtl/>
          <w:lang w:eastAsia="de-DE"/>
        </w:rPr>
        <w:t>כִּֽי־</w:t>
      </w:r>
      <w:r w:rsidRPr="0098037E">
        <w:rPr>
          <w:rFonts w:eastAsia="Times New Roman" w:cs="Times New Roman"/>
          <w:rtl/>
          <w:lang w:eastAsia="de-DE"/>
        </w:rPr>
        <w:t xml:space="preserve"> </w:t>
      </w:r>
      <w:r w:rsidRPr="0098037E">
        <w:rPr>
          <w:rFonts w:eastAsia="Times New Roman" w:cs="Times New Roman"/>
          <w:lang w:eastAsia="de-DE"/>
        </w:rPr>
        <w:t xml:space="preserve">(wenn) leitet eine Kondition ein, jedoch ist die Konstruktion </w:t>
      </w:r>
      <w:r w:rsidRPr="0098037E">
        <w:rPr>
          <w:rFonts w:eastAsia="Times New Roman" w:cs="Times New Roman"/>
          <w:b/>
          <w:bCs/>
          <w:rtl/>
          <w:lang w:eastAsia="de-DE"/>
        </w:rPr>
        <w:t>נֶפֶשׁ כִּי</w:t>
      </w:r>
      <w:r w:rsidRPr="0098037E">
        <w:rPr>
          <w:rFonts w:eastAsia="Times New Roman" w:cs="Times New Roman"/>
          <w:rtl/>
          <w:lang w:eastAsia="de-DE"/>
        </w:rPr>
        <w:t xml:space="preserve"> </w:t>
      </w:r>
      <w:r w:rsidRPr="0098037E">
        <w:rPr>
          <w:rFonts w:eastAsia="Times New Roman" w:cs="Times New Roman"/>
          <w:lang w:eastAsia="de-DE"/>
        </w:rPr>
        <w:t xml:space="preserve">idiomatisch für "wenn jemand". </w:t>
      </w:r>
      <w:r w:rsidRPr="0098037E">
        <w:rPr>
          <w:rFonts w:eastAsia="Times New Roman" w:cs="Times New Roman"/>
          <w:b/>
          <w:bCs/>
          <w:rtl/>
          <w:lang w:eastAsia="de-DE"/>
        </w:rPr>
        <w:t>תַקְרִ֞יב</w:t>
      </w:r>
      <w:r w:rsidRPr="0098037E">
        <w:rPr>
          <w:rFonts w:eastAsia="Times New Roman" w:cs="Times New Roman"/>
          <w:rtl/>
          <w:lang w:eastAsia="de-DE"/>
        </w:rPr>
        <w:t xml:space="preserve"> </w:t>
      </w:r>
      <w:r w:rsidRPr="0098037E">
        <w:rPr>
          <w:rFonts w:eastAsia="Times New Roman" w:cs="Times New Roman"/>
          <w:lang w:eastAsia="de-DE"/>
        </w:rPr>
        <w:t xml:space="preserve">ist Hifil-Imperfekt 3. Person feminin Singular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wobei das Femininum auf </w:t>
      </w:r>
      <w:r w:rsidRPr="0098037E">
        <w:rPr>
          <w:rFonts w:eastAsia="Times New Roman" w:cs="Times New Roman"/>
          <w:b/>
          <w:bCs/>
          <w:rtl/>
          <w:lang w:eastAsia="de-DE"/>
        </w:rPr>
        <w:t>נֶפֶשׁ</w:t>
      </w:r>
      <w:r w:rsidRPr="0098037E">
        <w:rPr>
          <w:rFonts w:eastAsia="Times New Roman" w:cs="Times New Roman"/>
          <w:rtl/>
          <w:lang w:eastAsia="de-DE"/>
        </w:rPr>
        <w:t xml:space="preserve"> </w:t>
      </w:r>
      <w:r w:rsidRPr="0098037E">
        <w:rPr>
          <w:rFonts w:eastAsia="Times New Roman" w:cs="Times New Roman"/>
          <w:lang w:eastAsia="de-DE"/>
        </w:rPr>
        <w:t>bezogen ist.</w:t>
      </w:r>
    </w:p>
    <w:p w14:paraId="20A448F4" w14:textId="084B015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קָרְבַּ֤ן מִנְחָה֙</w:t>
      </w:r>
      <w:r w:rsidRPr="0098037E">
        <w:rPr>
          <w:rFonts w:eastAsia="Times New Roman" w:cs="Times New Roman"/>
          <w:rtl/>
          <w:lang w:eastAsia="de-DE"/>
        </w:rPr>
        <w:t xml:space="preserve"> </w:t>
      </w:r>
      <w:r w:rsidRPr="0098037E">
        <w:rPr>
          <w:rFonts w:eastAsia="Times New Roman" w:cs="Times New Roman"/>
          <w:lang w:eastAsia="de-DE"/>
        </w:rPr>
        <w:t xml:space="preserve">zeigt eine Genitivverbindung: </w:t>
      </w:r>
      <w:r w:rsidRPr="0098037E">
        <w:rPr>
          <w:rFonts w:eastAsia="Times New Roman" w:cs="Times New Roman"/>
          <w:b/>
          <w:bCs/>
          <w:rtl/>
          <w:lang w:eastAsia="de-DE"/>
        </w:rPr>
        <w:t>קָרְבָּן</w:t>
      </w:r>
      <w:r w:rsidRPr="0098037E">
        <w:rPr>
          <w:rFonts w:eastAsia="Times New Roman" w:cs="Times New Roman"/>
          <w:rtl/>
          <w:lang w:eastAsia="de-DE"/>
        </w:rPr>
        <w:t xml:space="preserve"> </w:t>
      </w:r>
      <w:r w:rsidRPr="0098037E">
        <w:rPr>
          <w:rFonts w:eastAsia="Times New Roman" w:cs="Times New Roman"/>
          <w:lang w:eastAsia="de-DE"/>
        </w:rPr>
        <w:t xml:space="preserve">(Opfergabe)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 xml:space="preserve">(Speisopfer).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 xml:space="preserve">von der Wurzel </w:t>
      </w:r>
      <w:r w:rsidRPr="0098037E">
        <w:rPr>
          <w:rFonts w:eastAsia="Times New Roman" w:cs="Times New Roman"/>
          <w:b/>
          <w:bCs/>
          <w:rtl/>
          <w:lang w:eastAsia="de-DE"/>
        </w:rPr>
        <w:t>נחה</w:t>
      </w:r>
      <w:r w:rsidRPr="0098037E">
        <w:rPr>
          <w:rFonts w:eastAsia="Times New Roman" w:cs="Times New Roman"/>
          <w:rtl/>
          <w:lang w:eastAsia="de-DE"/>
        </w:rPr>
        <w:t xml:space="preserve"> </w:t>
      </w:r>
      <w:r w:rsidRPr="0098037E">
        <w:rPr>
          <w:rFonts w:eastAsia="Times New Roman" w:cs="Times New Roman"/>
          <w:lang w:eastAsia="de-DE"/>
        </w:rPr>
        <w:t xml:space="preserve">(führen/bringen) bezeichnet ursprünglich eine Gabe oder ein Geschenk, speziell im kultischen Kontext ein unblutiges Opfer.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zeigt den Empfänger.</w:t>
      </w:r>
    </w:p>
    <w:p w14:paraId="598F6AF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סֹ֖לֶת יִהְיֶ֣ה קָרְבָּנֹ֑ו</w:t>
      </w:r>
      <w:r w:rsidRPr="0098037E">
        <w:rPr>
          <w:rFonts w:eastAsia="Times New Roman" w:cs="Times New Roman"/>
          <w:rtl/>
          <w:lang w:eastAsia="de-DE"/>
        </w:rPr>
        <w:t xml:space="preserve"> </w:t>
      </w:r>
      <w:r w:rsidRPr="0098037E">
        <w:rPr>
          <w:rFonts w:eastAsia="Times New Roman" w:cs="Times New Roman"/>
          <w:lang w:eastAsia="de-DE"/>
        </w:rPr>
        <w:t xml:space="preserve">(Feinmehl soll seine Opfergabe sein) zeigt </w:t>
      </w:r>
      <w:r w:rsidRPr="0098037E">
        <w:rPr>
          <w:rFonts w:eastAsia="Times New Roman" w:cs="Times New Roman"/>
          <w:b/>
          <w:bCs/>
          <w:rtl/>
          <w:lang w:eastAsia="de-DE"/>
        </w:rPr>
        <w:t>סֹלֶת</w:t>
      </w:r>
      <w:r w:rsidRPr="0098037E">
        <w:rPr>
          <w:rFonts w:eastAsia="Times New Roman" w:cs="Times New Roman"/>
          <w:rtl/>
          <w:lang w:eastAsia="de-DE"/>
        </w:rPr>
        <w:t xml:space="preserve"> </w:t>
      </w:r>
      <w:r w:rsidRPr="0098037E">
        <w:rPr>
          <w:rFonts w:eastAsia="Times New Roman" w:cs="Times New Roman"/>
          <w:lang w:eastAsia="de-DE"/>
        </w:rPr>
        <w:t xml:space="preserve">(Feinmehl) als Prädikatsnomen mit dem Verb </w:t>
      </w:r>
      <w:r w:rsidRPr="0098037E">
        <w:rPr>
          <w:rFonts w:eastAsia="Times New Roman" w:cs="Times New Roman"/>
          <w:b/>
          <w:bCs/>
          <w:rtl/>
          <w:lang w:eastAsia="de-DE"/>
        </w:rPr>
        <w:t>היה</w:t>
      </w:r>
      <w:r w:rsidRPr="0098037E">
        <w:rPr>
          <w:rFonts w:eastAsia="Times New Roman" w:cs="Times New Roman"/>
          <w:rtl/>
          <w:lang w:eastAsia="de-DE"/>
        </w:rPr>
        <w:t xml:space="preserve"> </w:t>
      </w:r>
      <w:r w:rsidRPr="0098037E">
        <w:rPr>
          <w:rFonts w:eastAsia="Times New Roman" w:cs="Times New Roman"/>
          <w:lang w:eastAsia="de-DE"/>
        </w:rPr>
        <w:t xml:space="preserve">(sein) im Imperfekt 3. Person maskulin Singular. </w:t>
      </w:r>
      <w:r w:rsidRPr="0098037E">
        <w:rPr>
          <w:rFonts w:eastAsia="Times New Roman" w:cs="Times New Roman"/>
          <w:b/>
          <w:bCs/>
          <w:rtl/>
          <w:lang w:eastAsia="de-DE"/>
        </w:rPr>
        <w:t>סֹלֶת</w:t>
      </w:r>
      <w:r w:rsidRPr="0098037E">
        <w:rPr>
          <w:rFonts w:eastAsia="Times New Roman" w:cs="Times New Roman"/>
          <w:rtl/>
          <w:lang w:eastAsia="de-DE"/>
        </w:rPr>
        <w:t xml:space="preserve"> </w:t>
      </w:r>
      <w:r w:rsidRPr="0098037E">
        <w:rPr>
          <w:rFonts w:eastAsia="Times New Roman" w:cs="Times New Roman"/>
          <w:lang w:eastAsia="de-DE"/>
        </w:rPr>
        <w:t>bezeichnet das feinste, gesiebte Weizenmehl höchster Qualität.</w:t>
      </w:r>
    </w:p>
    <w:p w14:paraId="6E086E82" w14:textId="63E13BAF"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וְיָצַ֤ק</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יצק</w:t>
      </w:r>
      <w:r w:rsidRPr="0098037E">
        <w:rPr>
          <w:rFonts w:eastAsia="Times New Roman" w:cs="Times New Roman"/>
          <w:rtl/>
          <w:lang w:eastAsia="de-DE"/>
        </w:rPr>
        <w:t xml:space="preserve"> </w:t>
      </w:r>
      <w:r w:rsidRPr="0098037E">
        <w:rPr>
          <w:rFonts w:eastAsia="Times New Roman" w:cs="Times New Roman"/>
          <w:lang w:eastAsia="de-DE"/>
        </w:rPr>
        <w:t xml:space="preserve">(gießen/ausgießen), 3. Person maskulin Singular. </w:t>
      </w:r>
      <w:r w:rsidRPr="0098037E">
        <w:rPr>
          <w:rFonts w:eastAsia="Times New Roman" w:cs="Times New Roman"/>
          <w:b/>
          <w:bCs/>
          <w:rtl/>
          <w:lang w:eastAsia="de-DE"/>
        </w:rPr>
        <w:t>עָלֶ֨יהָ֙</w:t>
      </w:r>
      <w:r w:rsidRPr="0098037E">
        <w:rPr>
          <w:rFonts w:eastAsia="Times New Roman" w:cs="Times New Roman"/>
          <w:rtl/>
          <w:lang w:eastAsia="de-DE"/>
        </w:rPr>
        <w:t xml:space="preserve"> </w:t>
      </w:r>
      <w:r w:rsidRPr="0098037E">
        <w:rPr>
          <w:rFonts w:eastAsia="Times New Roman" w:cs="Times New Roman"/>
          <w:lang w:eastAsia="de-DE"/>
        </w:rPr>
        <w:t xml:space="preserve">(auf es) mit </w:t>
      </w:r>
      <w:r w:rsidR="00E35C31">
        <w:rPr>
          <w:rFonts w:eastAsia="Times New Roman" w:cs="Times New Roman"/>
          <w:lang w:eastAsia="de-DE"/>
        </w:rPr>
        <w:t>femininem</w:t>
      </w:r>
      <w:r w:rsidRPr="0098037E">
        <w:rPr>
          <w:rFonts w:eastAsia="Times New Roman" w:cs="Times New Roman"/>
          <w:lang w:eastAsia="de-DE"/>
        </w:rPr>
        <w:t xml:space="preserve"> Suffix bezieht sich auf </w:t>
      </w:r>
      <w:r w:rsidRPr="0098037E">
        <w:rPr>
          <w:rFonts w:eastAsia="Times New Roman" w:cs="Times New Roman"/>
          <w:b/>
          <w:bCs/>
          <w:rtl/>
          <w:lang w:eastAsia="de-DE"/>
        </w:rPr>
        <w:t>סֹלֶת</w:t>
      </w:r>
      <w:r w:rsidRPr="0098037E">
        <w:rPr>
          <w:rFonts w:eastAsia="Times New Roman" w:cs="Times New Roman"/>
          <w:rtl/>
          <w:lang w:eastAsia="de-DE"/>
        </w:rPr>
        <w:t xml:space="preserve"> </w:t>
      </w:r>
      <w:r w:rsidRPr="0098037E">
        <w:rPr>
          <w:rFonts w:eastAsia="Times New Roman" w:cs="Times New Roman"/>
          <w:lang w:eastAsia="de-DE"/>
        </w:rPr>
        <w:t xml:space="preserve">zurück. </w:t>
      </w: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 xml:space="preserve">(Öl) bezeichnet hochwertiges Olivenöl. </w:t>
      </w:r>
      <w:r w:rsidRPr="0098037E">
        <w:rPr>
          <w:rFonts w:eastAsia="Times New Roman" w:cs="Times New Roman"/>
          <w:b/>
          <w:bCs/>
          <w:rtl/>
          <w:lang w:eastAsia="de-DE"/>
        </w:rPr>
        <w:t>וְנָתַ֥ן</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נתן</w:t>
      </w:r>
      <w:r w:rsidRPr="0098037E">
        <w:rPr>
          <w:rFonts w:eastAsia="Times New Roman" w:cs="Times New Roman"/>
          <w:rtl/>
          <w:lang w:eastAsia="de-DE"/>
        </w:rPr>
        <w:t xml:space="preserve"> </w:t>
      </w:r>
      <w:r w:rsidRPr="0098037E">
        <w:rPr>
          <w:rFonts w:eastAsia="Times New Roman" w:cs="Times New Roman"/>
          <w:lang w:eastAsia="de-DE"/>
        </w:rPr>
        <w:t xml:space="preserve">(geben/legen), 3. Person maskulin Singular. </w:t>
      </w:r>
      <w:r w:rsidRPr="0098037E">
        <w:rPr>
          <w:rFonts w:eastAsia="Times New Roman" w:cs="Times New Roman"/>
          <w:b/>
          <w:bCs/>
          <w:rtl/>
          <w:lang w:eastAsia="de-DE"/>
        </w:rPr>
        <w:t>לְבֹנָֽה</w:t>
      </w:r>
      <w:r w:rsidRPr="0098037E">
        <w:rPr>
          <w:rFonts w:eastAsia="Times New Roman" w:cs="Times New Roman"/>
          <w:rtl/>
          <w:lang w:eastAsia="de-DE"/>
        </w:rPr>
        <w:t xml:space="preserve"> </w:t>
      </w:r>
      <w:r w:rsidRPr="0098037E">
        <w:rPr>
          <w:rFonts w:eastAsia="Times New Roman" w:cs="Times New Roman"/>
          <w:lang w:eastAsia="de-DE"/>
        </w:rPr>
        <w:t>(Weihrauch) ist ein kostbares Harz für kultische Zwecke.</w:t>
      </w:r>
    </w:p>
    <w:p w14:paraId="54846211" w14:textId="0E3C50EF"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005248F3">
        <w:rPr>
          <w:rFonts w:eastAsia="Times New Roman" w:cs="Times New Roman"/>
          <w:b/>
          <w:bCs/>
          <w:lang w:eastAsia="de-DE"/>
        </w:rPr>
        <w:t xml:space="preserve"> </w:t>
      </w:r>
      <w:r w:rsidR="005248F3">
        <w:t xml:space="preserve">zeigt eine textkritische Unstimmigkeit bei der Dopplung </w:t>
      </w:r>
      <w:r w:rsidR="005248F3">
        <w:rPr>
          <w:rtl/>
        </w:rPr>
        <w:t>מנחה...קרבנו</w:t>
      </w:r>
      <w:r w:rsidR="005248F3">
        <w:t xml:space="preserve">. Das hebräische </w:t>
      </w:r>
      <w:r w:rsidR="005248F3">
        <w:rPr>
          <w:rtl/>
        </w:rPr>
        <w:t>קרבן מנחה</w:t>
      </w:r>
      <w:r w:rsidR="005248F3">
        <w:t xml:space="preserve"> (korban </w:t>
      </w:r>
      <w:proofErr w:type="spellStart"/>
      <w:r w:rsidR="005248F3">
        <w:t>mincha</w:t>
      </w:r>
      <w:proofErr w:type="spellEnd"/>
      <w:r w:rsidR="005248F3">
        <w:t xml:space="preserve">) wird als </w:t>
      </w:r>
      <w:proofErr w:type="spellStart"/>
      <w:r w:rsidR="005248F3">
        <w:t>δῶρον</w:t>
      </w:r>
      <w:proofErr w:type="spellEnd"/>
      <w:r w:rsidR="005248F3">
        <w:t xml:space="preserve"> </w:t>
      </w:r>
      <w:proofErr w:type="spellStart"/>
      <w:r w:rsidR="005248F3">
        <w:t>θυσί</w:t>
      </w:r>
      <w:proofErr w:type="spellEnd"/>
      <w:r w:rsidR="005248F3">
        <w:t xml:space="preserve">αν übersetzt, gefolgt von einem erklärenden </w:t>
      </w:r>
      <w:proofErr w:type="spellStart"/>
      <w:r w:rsidR="005248F3">
        <w:t>θυσί</w:t>
      </w:r>
      <w:proofErr w:type="spellEnd"/>
      <w:r w:rsidR="005248F3">
        <w:t xml:space="preserve">α </w:t>
      </w:r>
      <w:proofErr w:type="spellStart"/>
      <w:r w:rsidR="005248F3">
        <w:t>ἐστίν</w:t>
      </w:r>
      <w:proofErr w:type="spellEnd"/>
      <w:r w:rsidR="005248F3">
        <w:t xml:space="preserve"> am Ende, was eine interpretierende Ergänzung darstellt.</w:t>
      </w:r>
      <w:r w:rsidR="00A520A8">
        <w:t xml:space="preserve">  </w:t>
      </w:r>
      <w:r w:rsidR="00FD4959">
        <w:t xml:space="preserve"> </w:t>
      </w:r>
    </w:p>
    <w:p w14:paraId="75B3154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Konditionalsatz: Protasis (Subjekt + Konditionspartikel + Verb + Objekt + Dativangabe) → Apodosis (Prädikatsbestimmung + Verb + Subjekt + koordinierte Verben mit Objekten). Die Apodosis enthält drei koordinierte Aussagen über die Opferzubereitung.</w:t>
      </w:r>
    </w:p>
    <w:p w14:paraId="7244C66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führt die neue Kategorie der unblutigen Opfer ein und betont durch die hochwertigen Zutaten (Feinmehl, Öl, Weihrauch) die Würde dieser Opferart.</w:t>
      </w:r>
    </w:p>
    <w:p w14:paraId="537BFD1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2,2</w:t>
      </w:r>
    </w:p>
    <w:p w14:paraId="56AA151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וֶֽהֱבִיאָ֗הּ אֶל־בְּנֵ֣י אַהֲרֹן֮ הַכֹּהֲנִים֒ וְקָמַ֨ץ מִשָּׁ֜ם מְלֹ֣א קֻמְצֹ֗ו מִסָּלְתָּהּ֙ וּמִשַּׁמְנָ֔הּ עַ֖ל כָּל־לְבֹנָתָ֑הּ וְהִקְטִ֨יר הַכֹּהֵ֜ן אֶת־אַזְכָּרָתָהּ֙ הַמִּזְבֵּ֔חָה אִשֵּׁ֛ה רֵ֥יחַ נִיחֹ֖חַ לַיהוָֽה׃</w:t>
      </w:r>
    </w:p>
    <w:p w14:paraId="55F78E6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es zu den Söhnen 'Aharons, den Priestern, bringen; und er soll davon seine Hand voll, von seinem Feinmehl und von seinem Öl samt all seinem Weihrauch, und der Priester soll das Gedächtnisteil davon auf dem Altar räuchern: Es ist ein Feueropfer wohlgefälligen Geruchs dem Ewigen.</w:t>
      </w:r>
    </w:p>
    <w:p w14:paraId="151F2C70"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2BCA142">
          <v:rect id="_x0000_i1043" style="width:0;height:1.5pt" o:hralign="center" o:hrstd="t" o:hr="t" fillcolor="#a0a0a0" stroked="f"/>
        </w:pict>
      </w:r>
    </w:p>
    <w:p w14:paraId="67F87371" w14:textId="00F3D24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וֶֽהֱבִיאָ֗הּ</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בוא</w:t>
      </w:r>
      <w:r w:rsidRPr="0098037E">
        <w:rPr>
          <w:rFonts w:eastAsia="Times New Roman" w:cs="Times New Roman"/>
          <w:rtl/>
          <w:lang w:eastAsia="de-DE"/>
        </w:rPr>
        <w:t xml:space="preserve"> </w:t>
      </w:r>
      <w:r w:rsidRPr="0098037E">
        <w:rPr>
          <w:rFonts w:eastAsia="Times New Roman" w:cs="Times New Roman"/>
          <w:lang w:eastAsia="de-DE"/>
        </w:rPr>
        <w:t xml:space="preserve">(bringen), 3. Person maskulin Singular mit </w:t>
      </w:r>
      <w:r w:rsidR="00E35C31">
        <w:rPr>
          <w:rFonts w:eastAsia="Times New Roman" w:cs="Times New Roman"/>
          <w:lang w:eastAsia="de-DE"/>
        </w:rPr>
        <w:t>femininem</w:t>
      </w:r>
      <w:r w:rsidRPr="0098037E">
        <w:rPr>
          <w:rFonts w:eastAsia="Times New Roman" w:cs="Times New Roman"/>
          <w:lang w:eastAsia="de-DE"/>
        </w:rPr>
        <w:t xml:space="preserve"> Objektsuffix, bezogen auf </w:t>
      </w:r>
      <w:r w:rsidRPr="0098037E">
        <w:rPr>
          <w:rFonts w:eastAsia="Times New Roman" w:cs="Times New Roman"/>
          <w:b/>
          <w:bCs/>
          <w:rtl/>
          <w:lang w:eastAsia="de-DE"/>
        </w:rPr>
        <w:t>מִנְחָה</w:t>
      </w:r>
      <w:r w:rsidRPr="0098037E">
        <w:rPr>
          <w:rFonts w:eastAsia="Times New Roman" w:cs="Times New Roman"/>
          <w:lang w:eastAsia="de-DE"/>
        </w:rPr>
        <w:t xml:space="preserve">. </w:t>
      </w:r>
      <w:r w:rsidRPr="0098037E">
        <w:rPr>
          <w:rFonts w:eastAsia="Times New Roman" w:cs="Times New Roman"/>
          <w:b/>
          <w:bCs/>
          <w:rtl/>
          <w:lang w:eastAsia="de-DE"/>
        </w:rPr>
        <w:t>אֶל־בְּנֵ֣י אַהֲרֹן֮ הַכֹּהֲנִים֒</w:t>
      </w:r>
      <w:r w:rsidRPr="0098037E">
        <w:rPr>
          <w:rFonts w:eastAsia="Times New Roman" w:cs="Times New Roman"/>
          <w:rtl/>
          <w:lang w:eastAsia="de-DE"/>
        </w:rPr>
        <w:t xml:space="preserve"> </w:t>
      </w:r>
      <w:r w:rsidRPr="0098037E">
        <w:rPr>
          <w:rFonts w:eastAsia="Times New Roman" w:cs="Times New Roman"/>
          <w:lang w:eastAsia="de-DE"/>
        </w:rPr>
        <w:t xml:space="preserve">zeigt die Adressaten: </w:t>
      </w:r>
      <w:r w:rsidRPr="0098037E">
        <w:rPr>
          <w:rFonts w:eastAsia="Times New Roman" w:cs="Times New Roman"/>
          <w:b/>
          <w:bCs/>
          <w:rtl/>
          <w:lang w:eastAsia="de-DE"/>
        </w:rPr>
        <w:t>בְּנֵי אַהֲרֹן</w:t>
      </w:r>
      <w:r w:rsidRPr="0098037E">
        <w:rPr>
          <w:rFonts w:eastAsia="Times New Roman" w:cs="Times New Roman"/>
          <w:rtl/>
          <w:lang w:eastAsia="de-DE"/>
        </w:rPr>
        <w:t xml:space="preserve"> </w:t>
      </w:r>
      <w:r w:rsidRPr="0098037E">
        <w:rPr>
          <w:rFonts w:eastAsia="Times New Roman" w:cs="Times New Roman"/>
          <w:lang w:eastAsia="de-DE"/>
        </w:rPr>
        <w:t xml:space="preserve">(Söhne Aarons) mit der appositiven Erläuterung </w:t>
      </w:r>
      <w:r w:rsidRPr="0098037E">
        <w:rPr>
          <w:rFonts w:eastAsia="Times New Roman" w:cs="Times New Roman"/>
          <w:b/>
          <w:bCs/>
          <w:rtl/>
          <w:lang w:eastAsia="de-DE"/>
        </w:rPr>
        <w:t>הַכֹּהֲנִים</w:t>
      </w:r>
      <w:r w:rsidRPr="0098037E">
        <w:rPr>
          <w:rFonts w:eastAsia="Times New Roman" w:cs="Times New Roman"/>
          <w:rtl/>
          <w:lang w:eastAsia="de-DE"/>
        </w:rPr>
        <w:t xml:space="preserve"> </w:t>
      </w:r>
      <w:r w:rsidRPr="0098037E">
        <w:rPr>
          <w:rFonts w:eastAsia="Times New Roman" w:cs="Times New Roman"/>
          <w:lang w:eastAsia="de-DE"/>
        </w:rPr>
        <w:t>(die Priester).</w:t>
      </w:r>
    </w:p>
    <w:p w14:paraId="41719D14" w14:textId="77CAC8FD"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וְקָמַ֨ץ</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קמץ</w:t>
      </w:r>
      <w:r w:rsidRPr="0098037E">
        <w:rPr>
          <w:rFonts w:eastAsia="Times New Roman" w:cs="Times New Roman"/>
          <w:rtl/>
          <w:lang w:eastAsia="de-DE"/>
        </w:rPr>
        <w:t xml:space="preserve"> </w:t>
      </w:r>
      <w:r w:rsidRPr="0098037E">
        <w:rPr>
          <w:rFonts w:eastAsia="Times New Roman" w:cs="Times New Roman"/>
          <w:lang w:eastAsia="de-DE"/>
        </w:rPr>
        <w:t xml:space="preserve">(eine Handvoll nehmen), 3. Person maskulin Singular. </w:t>
      </w:r>
      <w:r w:rsidRPr="0098037E">
        <w:rPr>
          <w:rFonts w:eastAsia="Times New Roman" w:cs="Times New Roman"/>
          <w:b/>
          <w:bCs/>
          <w:rtl/>
          <w:lang w:eastAsia="de-DE"/>
        </w:rPr>
        <w:t>מִשָּׁ֜ם</w:t>
      </w:r>
      <w:r w:rsidRPr="0098037E">
        <w:rPr>
          <w:rFonts w:eastAsia="Times New Roman" w:cs="Times New Roman"/>
          <w:rtl/>
          <w:lang w:eastAsia="de-DE"/>
        </w:rPr>
        <w:t xml:space="preserve"> </w:t>
      </w:r>
      <w:r w:rsidRPr="0098037E">
        <w:rPr>
          <w:rFonts w:eastAsia="Times New Roman" w:cs="Times New Roman"/>
          <w:lang w:eastAsia="de-DE"/>
        </w:rPr>
        <w:t xml:space="preserve">(von dort/davon) ist partitive Präposition. </w:t>
      </w:r>
      <w:r w:rsidRPr="0098037E">
        <w:rPr>
          <w:rFonts w:eastAsia="Times New Roman" w:cs="Times New Roman"/>
          <w:b/>
          <w:bCs/>
          <w:rtl/>
          <w:lang w:eastAsia="de-DE"/>
        </w:rPr>
        <w:t>מְלֹ֣א קֻמְצֹ֗ו</w:t>
      </w:r>
      <w:r w:rsidRPr="0098037E">
        <w:rPr>
          <w:rFonts w:eastAsia="Times New Roman" w:cs="Times New Roman"/>
          <w:rtl/>
          <w:lang w:eastAsia="de-DE"/>
        </w:rPr>
        <w:t xml:space="preserve"> </w:t>
      </w:r>
      <w:r w:rsidRPr="0098037E">
        <w:rPr>
          <w:rFonts w:eastAsia="Times New Roman" w:cs="Times New Roman"/>
          <w:lang w:eastAsia="de-DE"/>
        </w:rPr>
        <w:t xml:space="preserve">(die Fülle seiner Faust) verwendet </w:t>
      </w:r>
      <w:r w:rsidRPr="0098037E">
        <w:rPr>
          <w:rFonts w:eastAsia="Times New Roman" w:cs="Times New Roman"/>
          <w:b/>
          <w:bCs/>
          <w:rtl/>
          <w:lang w:eastAsia="de-DE"/>
        </w:rPr>
        <w:t>מְלֹא</w:t>
      </w:r>
      <w:r w:rsidRPr="0098037E">
        <w:rPr>
          <w:rFonts w:eastAsia="Times New Roman" w:cs="Times New Roman"/>
          <w:rtl/>
          <w:lang w:eastAsia="de-DE"/>
        </w:rPr>
        <w:t xml:space="preserve"> </w:t>
      </w:r>
      <w:r w:rsidRPr="0098037E">
        <w:rPr>
          <w:rFonts w:eastAsia="Times New Roman" w:cs="Times New Roman"/>
          <w:lang w:eastAsia="de-DE"/>
        </w:rPr>
        <w:t xml:space="preserve">(Fülle)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קֹמֶץ</w:t>
      </w:r>
      <w:r w:rsidRPr="0098037E">
        <w:rPr>
          <w:rFonts w:eastAsia="Times New Roman" w:cs="Times New Roman"/>
          <w:rtl/>
          <w:lang w:eastAsia="de-DE"/>
        </w:rPr>
        <w:t xml:space="preserve"> </w:t>
      </w:r>
      <w:r w:rsidRPr="0098037E">
        <w:rPr>
          <w:rFonts w:eastAsia="Times New Roman" w:cs="Times New Roman"/>
          <w:lang w:eastAsia="de-DE"/>
        </w:rPr>
        <w:t>(Faust/geschlossene Hand) mit Possessivsuffix 3. Person maskulin Singular.</w:t>
      </w:r>
    </w:p>
    <w:p w14:paraId="3EA3D8B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Herkunftsangaben </w:t>
      </w:r>
      <w:r w:rsidRPr="0098037E">
        <w:rPr>
          <w:rFonts w:eastAsia="Times New Roman" w:cs="Times New Roman"/>
          <w:b/>
          <w:bCs/>
          <w:rtl/>
          <w:lang w:eastAsia="de-DE"/>
        </w:rPr>
        <w:t>מִסָּלְתָּהּ֙</w:t>
      </w:r>
      <w:r w:rsidRPr="0098037E">
        <w:rPr>
          <w:rFonts w:eastAsia="Times New Roman" w:cs="Times New Roman"/>
          <w:rtl/>
          <w:lang w:eastAsia="de-DE"/>
        </w:rPr>
        <w:t xml:space="preserve"> </w:t>
      </w:r>
      <w:r w:rsidRPr="0098037E">
        <w:rPr>
          <w:rFonts w:eastAsia="Times New Roman" w:cs="Times New Roman"/>
          <w:lang w:eastAsia="de-DE"/>
        </w:rPr>
        <w:t xml:space="preserve">(von ihrem Feinmehl), </w:t>
      </w:r>
      <w:r w:rsidRPr="0098037E">
        <w:rPr>
          <w:rFonts w:eastAsia="Times New Roman" w:cs="Times New Roman"/>
          <w:b/>
          <w:bCs/>
          <w:rtl/>
          <w:lang w:eastAsia="de-DE"/>
        </w:rPr>
        <w:t>וּמִשַּׁמְנָ֔הּ</w:t>
      </w:r>
      <w:r w:rsidRPr="0098037E">
        <w:rPr>
          <w:rFonts w:eastAsia="Times New Roman" w:cs="Times New Roman"/>
          <w:rtl/>
          <w:lang w:eastAsia="de-DE"/>
        </w:rPr>
        <w:t xml:space="preserve"> </w:t>
      </w:r>
      <w:r w:rsidRPr="0098037E">
        <w:rPr>
          <w:rFonts w:eastAsia="Times New Roman" w:cs="Times New Roman"/>
          <w:lang w:eastAsia="de-DE"/>
        </w:rPr>
        <w:t xml:space="preserve">(und von ihrem Öl) und </w:t>
      </w:r>
      <w:r w:rsidRPr="0098037E">
        <w:rPr>
          <w:rFonts w:eastAsia="Times New Roman" w:cs="Times New Roman"/>
          <w:b/>
          <w:bCs/>
          <w:rtl/>
          <w:lang w:eastAsia="de-DE"/>
        </w:rPr>
        <w:t>עַ֖ל כָּל־לְבֹנָתָ֑הּ</w:t>
      </w:r>
      <w:r w:rsidRPr="0098037E">
        <w:rPr>
          <w:rFonts w:eastAsia="Times New Roman" w:cs="Times New Roman"/>
          <w:rtl/>
          <w:lang w:eastAsia="de-DE"/>
        </w:rPr>
        <w:t xml:space="preserve"> </w:t>
      </w:r>
      <w:r w:rsidRPr="0098037E">
        <w:rPr>
          <w:rFonts w:eastAsia="Times New Roman" w:cs="Times New Roman"/>
          <w:lang w:eastAsia="de-DE"/>
        </w:rPr>
        <w:t xml:space="preserve">(samt all ihrem Weihrauch) zeigen die Komponenten des Gedächtnisteils. </w:t>
      </w:r>
      <w:r w:rsidRPr="0098037E">
        <w:rPr>
          <w:rFonts w:eastAsia="Times New Roman" w:cs="Times New Roman"/>
          <w:b/>
          <w:bCs/>
          <w:rtl/>
          <w:lang w:eastAsia="de-DE"/>
        </w:rPr>
        <w:t>עַל</w:t>
      </w:r>
      <w:r w:rsidRPr="0098037E">
        <w:rPr>
          <w:rFonts w:eastAsia="Times New Roman" w:cs="Times New Roman"/>
          <w:rtl/>
          <w:lang w:eastAsia="de-DE"/>
        </w:rPr>
        <w:t xml:space="preserve"> </w:t>
      </w:r>
      <w:r w:rsidRPr="0098037E">
        <w:rPr>
          <w:rFonts w:eastAsia="Times New Roman" w:cs="Times New Roman"/>
          <w:lang w:eastAsia="de-DE"/>
        </w:rPr>
        <w:t>bedeutet hier "einschließlich/samt".</w:t>
      </w:r>
    </w:p>
    <w:p w14:paraId="2EBEA7A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w:t>
      </w:r>
      <w:r w:rsidRPr="0098037E">
        <w:rPr>
          <w:rFonts w:eastAsia="Times New Roman" w:cs="Times New Roman"/>
          <w:b/>
          <w:bCs/>
          <w:rtl/>
          <w:lang w:eastAsia="de-DE"/>
        </w:rPr>
        <w:t>אֶת־אַזְכָּרָתָהּ֙</w:t>
      </w:r>
      <w:r w:rsidRPr="0098037E">
        <w:rPr>
          <w:rFonts w:eastAsia="Times New Roman" w:cs="Times New Roman"/>
          <w:rtl/>
          <w:lang w:eastAsia="de-DE"/>
        </w:rPr>
        <w:t xml:space="preserve"> </w:t>
      </w:r>
      <w:r w:rsidRPr="0098037E">
        <w:rPr>
          <w:rFonts w:eastAsia="Times New Roman" w:cs="Times New Roman"/>
          <w:lang w:eastAsia="de-DE"/>
        </w:rPr>
        <w:t xml:space="preserve">(ihr Gedächtnisteil) von </w:t>
      </w: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lastRenderedPageBreak/>
        <w:t xml:space="preserve">(Gedächtnisopfer/Erinnerungsanteil) mit Possessivsuffix 3. Person feminin Singular, bezogen auf </w:t>
      </w:r>
      <w:r w:rsidRPr="0098037E">
        <w:rPr>
          <w:rFonts w:eastAsia="Times New Roman" w:cs="Times New Roman"/>
          <w:b/>
          <w:bCs/>
          <w:rtl/>
          <w:lang w:eastAsia="de-DE"/>
        </w:rPr>
        <w:t>מִנְחָה</w:t>
      </w:r>
      <w:r w:rsidRPr="0098037E">
        <w:rPr>
          <w:rFonts w:eastAsia="Times New Roman" w:cs="Times New Roman"/>
          <w:lang w:eastAsia="de-DE"/>
        </w:rPr>
        <w:t xml:space="preserve">.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(zum Altar hin) mit Richtungs-He.</w:t>
      </w:r>
    </w:p>
    <w:p w14:paraId="63324EBD" w14:textId="52A5147F"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 xml:space="preserve">von der Wurzel </w:t>
      </w:r>
      <w:r w:rsidRPr="0098037E">
        <w:rPr>
          <w:rFonts w:eastAsia="Times New Roman" w:cs="Times New Roman"/>
          <w:b/>
          <w:bCs/>
          <w:rtl/>
          <w:lang w:eastAsia="de-DE"/>
        </w:rPr>
        <w:t>זכר</w:t>
      </w:r>
      <w:r w:rsidRPr="0098037E">
        <w:rPr>
          <w:rFonts w:eastAsia="Times New Roman" w:cs="Times New Roman"/>
          <w:rtl/>
          <w:lang w:eastAsia="de-DE"/>
        </w:rPr>
        <w:t xml:space="preserve"> </w:t>
      </w:r>
      <w:r w:rsidRPr="0098037E">
        <w:rPr>
          <w:rFonts w:eastAsia="Times New Roman" w:cs="Times New Roman"/>
          <w:lang w:eastAsia="de-DE"/>
        </w:rPr>
        <w:t xml:space="preserve">(gedenken) bezeichnet den Teil des Speisopfers, der vollständig verbrannt wird und Gott "in Erinnerung" bringt. Die Abschlussformel </w:t>
      </w:r>
      <w:r w:rsidRPr="0098037E">
        <w:rPr>
          <w:rFonts w:eastAsia="Times New Roman" w:cs="Times New Roman"/>
          <w:b/>
          <w:bCs/>
          <w:rtl/>
          <w:lang w:eastAsia="de-DE"/>
        </w:rPr>
        <w:t>אִשֵּׁ֛ה רֵ֥יחַ נִיחֹ֖חַ לַיהוָֽה</w:t>
      </w:r>
      <w:r w:rsidRPr="0098037E">
        <w:rPr>
          <w:rFonts w:eastAsia="Times New Roman" w:cs="Times New Roman"/>
          <w:rtl/>
          <w:lang w:eastAsia="de-DE"/>
        </w:rPr>
        <w:t xml:space="preserve"> </w:t>
      </w:r>
      <w:r w:rsidRPr="0098037E">
        <w:rPr>
          <w:rFonts w:eastAsia="Times New Roman" w:cs="Times New Roman"/>
          <w:lang w:eastAsia="de-DE"/>
        </w:rPr>
        <w:t xml:space="preserve">entspricht den </w:t>
      </w:r>
      <w:r w:rsidR="00CF10E7">
        <w:rPr>
          <w:rFonts w:eastAsia="Times New Roman" w:cs="Times New Roman"/>
          <w:lang w:eastAsia="de-DE"/>
        </w:rPr>
        <w:t>Aufsteigeopfer</w:t>
      </w:r>
      <w:r w:rsidRPr="0098037E">
        <w:rPr>
          <w:rFonts w:eastAsia="Times New Roman" w:cs="Times New Roman"/>
          <w:lang w:eastAsia="de-DE"/>
        </w:rPr>
        <w:t>n und etabliert die kultische Gleichwertigkeit.</w:t>
      </w:r>
    </w:p>
    <w:p w14:paraId="1C0394C9" w14:textId="66B3735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hat eine strukturelle Abweichung bei </w:t>
      </w:r>
      <w:r w:rsidR="005248F3">
        <w:rPr>
          <w:rtl/>
        </w:rPr>
        <w:t>אזכרתה</w:t>
      </w:r>
      <w:r w:rsidR="005248F3">
        <w:t xml:space="preserve"> (</w:t>
      </w:r>
      <w:proofErr w:type="spellStart"/>
      <w:r w:rsidR="005248F3">
        <w:t>azkarata</w:t>
      </w:r>
      <w:proofErr w:type="spellEnd"/>
      <w:r w:rsidR="005248F3">
        <w:t xml:space="preserve"> - "ihr Gedenkopfer"). Das hebräische Konzept wird als </w:t>
      </w:r>
      <w:proofErr w:type="spellStart"/>
      <w:r w:rsidR="005248F3">
        <w:t>μνημόσυνον</w:t>
      </w:r>
      <w:proofErr w:type="spellEnd"/>
      <w:r w:rsidR="005248F3">
        <w:t xml:space="preserve"> (Erinnerung/Gedächtnis) wiedergegeben, aber die LXX ersetzt </w:t>
      </w:r>
      <w:r w:rsidR="005248F3">
        <w:rPr>
          <w:rtl/>
        </w:rPr>
        <w:t>אשה</w:t>
      </w:r>
      <w:r w:rsidR="005248F3">
        <w:t xml:space="preserve"> (</w:t>
      </w:r>
      <w:proofErr w:type="spellStart"/>
      <w:r w:rsidR="005248F3">
        <w:t>ischeh</w:t>
      </w:r>
      <w:proofErr w:type="spellEnd"/>
      <w:r w:rsidR="005248F3">
        <w:t xml:space="preserve">) erneut durch </w:t>
      </w:r>
      <w:proofErr w:type="spellStart"/>
      <w:r w:rsidR="005248F3">
        <w:t>θυσί</w:t>
      </w:r>
      <w:proofErr w:type="spellEnd"/>
      <w:r w:rsidR="005248F3">
        <w:t>α statt der erwarteten Entsprechung.</w:t>
      </w:r>
    </w:p>
    <w:p w14:paraId="506F9A9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vier koordinierte Hauptsätze mit Waw-Konsekutiv: Verb + Objekt + Adverbialbestimmung // Verb + Adverbialbestimmung + Objekt (komplex) // Verb + Subjekt + Objekt + Adverbialbestimmung // Prädikatsbestimmung (dreifach). Die Objekte im zweiten Satz sind durch partitive und inklusive Präpositionen komplex strukturiert.</w:t>
      </w:r>
    </w:p>
    <w:p w14:paraId="648B70B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beschreibt das zentrale Ritual der Speisopfer mit der </w:t>
      </w: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als dem Gott geweihten Anteil und zeigt die Beteiligung sowohl des Laien als auch des Priesters.</w:t>
      </w:r>
    </w:p>
    <w:p w14:paraId="546F3993"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2,3</w:t>
      </w:r>
    </w:p>
    <w:p w14:paraId="4A009F3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וְהַנּוֹתֶ֨רֶת֙ מִן־הַמִּנְחָ֔ה לְאַהֲרֹ֖ן וּלְבָנָ֑יו קֹ֥דֶשׁ קָֽדָשִׁ֖ים מֵאִשֵּׁ֥י יְהוָֽה׃</w:t>
      </w:r>
    </w:p>
    <w:p w14:paraId="14E98AA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das Übrige vom Speisopfer soll für 'Aharon und für seine Söhne sein: ein Hochheiliges von den Feueropfern des Ewigen.</w:t>
      </w:r>
    </w:p>
    <w:p w14:paraId="5E79EC6E"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398322D7">
          <v:rect id="_x0000_i1044" style="width:0;height:1.5pt" o:hralign="center" o:hrstd="t" o:hr="t" fillcolor="#a0a0a0" stroked="f"/>
        </w:pict>
      </w:r>
    </w:p>
    <w:p w14:paraId="0670332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וְהַנּוֹתֶ֨רֶת֙</w:t>
      </w:r>
      <w:r w:rsidRPr="0098037E">
        <w:rPr>
          <w:rFonts w:eastAsia="Times New Roman" w:cs="Times New Roman"/>
          <w:rtl/>
          <w:lang w:eastAsia="de-DE"/>
        </w:rPr>
        <w:t xml:space="preserve"> </w:t>
      </w:r>
      <w:r w:rsidRPr="0098037E">
        <w:rPr>
          <w:rFonts w:eastAsia="Times New Roman" w:cs="Times New Roman"/>
          <w:lang w:eastAsia="de-DE"/>
        </w:rPr>
        <w:t xml:space="preserve">(und das Übrige) ist Nifal-Partizip feminin Singular von </w:t>
      </w:r>
      <w:r w:rsidRPr="0098037E">
        <w:rPr>
          <w:rFonts w:eastAsia="Times New Roman" w:cs="Times New Roman"/>
          <w:b/>
          <w:bCs/>
          <w:rtl/>
          <w:lang w:eastAsia="de-DE"/>
        </w:rPr>
        <w:t>יתר</w:t>
      </w:r>
      <w:r w:rsidRPr="0098037E">
        <w:rPr>
          <w:rFonts w:eastAsia="Times New Roman" w:cs="Times New Roman"/>
          <w:rtl/>
          <w:lang w:eastAsia="de-DE"/>
        </w:rPr>
        <w:t xml:space="preserve"> </w:t>
      </w:r>
      <w:r w:rsidRPr="0098037E">
        <w:rPr>
          <w:rFonts w:eastAsia="Times New Roman" w:cs="Times New Roman"/>
          <w:lang w:eastAsia="de-DE"/>
        </w:rPr>
        <w:t xml:space="preserve">(übrig bleiben/überschießen) mit Artikel. </w:t>
      </w:r>
      <w:r w:rsidRPr="0098037E">
        <w:rPr>
          <w:rFonts w:eastAsia="Times New Roman" w:cs="Times New Roman"/>
          <w:b/>
          <w:bCs/>
          <w:rtl/>
          <w:lang w:eastAsia="de-DE"/>
        </w:rPr>
        <w:t>מִן־הַמִּנְחָ֔ה</w:t>
      </w:r>
      <w:r w:rsidRPr="0098037E">
        <w:rPr>
          <w:rFonts w:eastAsia="Times New Roman" w:cs="Times New Roman"/>
          <w:rtl/>
          <w:lang w:eastAsia="de-DE"/>
        </w:rPr>
        <w:t xml:space="preserve"> </w:t>
      </w:r>
      <w:r w:rsidRPr="0098037E">
        <w:rPr>
          <w:rFonts w:eastAsia="Times New Roman" w:cs="Times New Roman"/>
          <w:lang w:eastAsia="de-DE"/>
        </w:rPr>
        <w:t xml:space="preserve">(vom Speisopfer) zeigt partitive Herkunft. </w:t>
      </w:r>
      <w:r w:rsidRPr="0098037E">
        <w:rPr>
          <w:rFonts w:eastAsia="Times New Roman" w:cs="Times New Roman"/>
          <w:b/>
          <w:bCs/>
          <w:rtl/>
          <w:lang w:eastAsia="de-DE"/>
        </w:rPr>
        <w:t>לְאַהֲרֹ֖ן וּלְבָנָ֑יו</w:t>
      </w:r>
      <w:r w:rsidRPr="0098037E">
        <w:rPr>
          <w:rFonts w:eastAsia="Times New Roman" w:cs="Times New Roman"/>
          <w:rtl/>
          <w:lang w:eastAsia="de-DE"/>
        </w:rPr>
        <w:t xml:space="preserve"> </w:t>
      </w:r>
      <w:r w:rsidRPr="0098037E">
        <w:rPr>
          <w:rFonts w:eastAsia="Times New Roman" w:cs="Times New Roman"/>
          <w:lang w:eastAsia="de-DE"/>
        </w:rPr>
        <w:t xml:space="preserve">(für Aaron und für seine Söhne) mit Dativpräposition </w:t>
      </w:r>
      <w:r w:rsidRPr="0098037E">
        <w:rPr>
          <w:rFonts w:eastAsia="Times New Roman" w:cs="Times New Roman"/>
          <w:b/>
          <w:bCs/>
          <w:rtl/>
          <w:lang w:eastAsia="de-DE"/>
        </w:rPr>
        <w:t>לְ</w:t>
      </w:r>
      <w:r w:rsidRPr="0098037E">
        <w:rPr>
          <w:rFonts w:eastAsia="Times New Roman" w:cs="Times New Roman"/>
          <w:rtl/>
          <w:lang w:eastAsia="de-DE"/>
        </w:rPr>
        <w:t xml:space="preserve"> </w:t>
      </w:r>
      <w:r w:rsidRPr="0098037E">
        <w:rPr>
          <w:rFonts w:eastAsia="Times New Roman" w:cs="Times New Roman"/>
          <w:lang w:eastAsia="de-DE"/>
        </w:rPr>
        <w:t>zeigt die Empfänger des verbleibenden Anteils.</w:t>
      </w:r>
    </w:p>
    <w:p w14:paraId="1966DD99" w14:textId="0373285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קֹ֥דֶשׁ קָֽדָשִׁ֖ים</w:t>
      </w:r>
      <w:r w:rsidRPr="0098037E">
        <w:rPr>
          <w:rFonts w:eastAsia="Times New Roman" w:cs="Times New Roman"/>
          <w:rtl/>
          <w:lang w:eastAsia="de-DE"/>
        </w:rPr>
        <w:t xml:space="preserve"> </w:t>
      </w:r>
      <w:r w:rsidRPr="0098037E">
        <w:rPr>
          <w:rFonts w:eastAsia="Times New Roman" w:cs="Times New Roman"/>
          <w:lang w:eastAsia="de-DE"/>
        </w:rPr>
        <w:t xml:space="preserve">(Hochheiligstes/Allerheiligstes) ist eine Superlativkonstruktion durch Wiederholung: </w:t>
      </w:r>
      <w:r w:rsidRPr="0098037E">
        <w:rPr>
          <w:rFonts w:eastAsia="Times New Roman" w:cs="Times New Roman"/>
          <w:b/>
          <w:bCs/>
          <w:rtl/>
          <w:lang w:eastAsia="de-DE"/>
        </w:rPr>
        <w:t>קֹדֶשׁ</w:t>
      </w:r>
      <w:r w:rsidRPr="0098037E">
        <w:rPr>
          <w:rFonts w:eastAsia="Times New Roman" w:cs="Times New Roman"/>
          <w:rtl/>
          <w:lang w:eastAsia="de-DE"/>
        </w:rPr>
        <w:t xml:space="preserve"> </w:t>
      </w:r>
      <w:r w:rsidRPr="0098037E">
        <w:rPr>
          <w:rFonts w:eastAsia="Times New Roman" w:cs="Times New Roman"/>
          <w:lang w:eastAsia="de-DE"/>
        </w:rPr>
        <w:t xml:space="preserve">(Heiliges)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קְדָשִׁים</w:t>
      </w:r>
      <w:r w:rsidRPr="0098037E">
        <w:rPr>
          <w:rFonts w:eastAsia="Times New Roman" w:cs="Times New Roman"/>
          <w:rtl/>
          <w:lang w:eastAsia="de-DE"/>
        </w:rPr>
        <w:t xml:space="preserve"> </w:t>
      </w:r>
      <w:r w:rsidRPr="0098037E">
        <w:rPr>
          <w:rFonts w:eastAsia="Times New Roman" w:cs="Times New Roman"/>
          <w:lang w:eastAsia="de-DE"/>
        </w:rPr>
        <w:t xml:space="preserve">(Heilige Dinge) im Plural. Diese Konstruktion bezeichnet den höchsten Grad kultischer Heiligkeit. </w:t>
      </w:r>
      <w:r w:rsidRPr="0098037E">
        <w:rPr>
          <w:rFonts w:eastAsia="Times New Roman" w:cs="Times New Roman"/>
          <w:b/>
          <w:bCs/>
          <w:rtl/>
          <w:lang w:eastAsia="de-DE"/>
        </w:rPr>
        <w:t>מֵאִשֵּׁ֥י יְהוָֽה</w:t>
      </w:r>
      <w:r w:rsidRPr="0098037E">
        <w:rPr>
          <w:rFonts w:eastAsia="Times New Roman" w:cs="Times New Roman"/>
          <w:rtl/>
          <w:lang w:eastAsia="de-DE"/>
        </w:rPr>
        <w:t xml:space="preserve"> </w:t>
      </w:r>
      <w:r w:rsidRPr="0098037E">
        <w:rPr>
          <w:rFonts w:eastAsia="Times New Roman" w:cs="Times New Roman"/>
          <w:lang w:eastAsia="de-DE"/>
        </w:rPr>
        <w:t xml:space="preserve">(von den Feueropfern JHWHs) verwendet </w:t>
      </w:r>
      <w:r w:rsidRPr="0098037E">
        <w:rPr>
          <w:rFonts w:eastAsia="Times New Roman" w:cs="Times New Roman"/>
          <w:b/>
          <w:bCs/>
          <w:rtl/>
          <w:lang w:eastAsia="de-DE"/>
        </w:rPr>
        <w:t>אִשֵּׁי</w:t>
      </w:r>
      <w:r w:rsidRPr="0098037E">
        <w:rPr>
          <w:rFonts w:eastAsia="Times New Roman" w:cs="Times New Roman"/>
          <w:rtl/>
          <w:lang w:eastAsia="de-DE"/>
        </w:rPr>
        <w:t xml:space="preserve"> </w:t>
      </w:r>
      <w:r w:rsidRPr="0098037E">
        <w:rPr>
          <w:rFonts w:eastAsia="Times New Roman" w:cs="Times New Roman"/>
          <w:lang w:eastAsia="de-DE"/>
        </w:rPr>
        <w:t xml:space="preserve">(Feueropfer) im </w:t>
      </w:r>
      <w:r w:rsidR="005407E2">
        <w:rPr>
          <w:rFonts w:eastAsia="Times New Roman" w:cs="Times New Roman"/>
          <w:lang w:eastAsia="de-DE"/>
        </w:rPr>
        <w:t>Constructus</w:t>
      </w:r>
      <w:r w:rsidRPr="0098037E">
        <w:rPr>
          <w:rFonts w:eastAsia="Times New Roman" w:cs="Times New Roman"/>
          <w:lang w:eastAsia="de-DE"/>
        </w:rPr>
        <w:t>-Plural mit dem Gottesnamen.</w:t>
      </w:r>
    </w:p>
    <w:p w14:paraId="1A4FF12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Verteilung zeigt das System der Opferaufteilung: Ein kleiner Teil (</w:t>
      </w:r>
      <w:r w:rsidRPr="0098037E">
        <w:rPr>
          <w:rFonts w:eastAsia="Times New Roman" w:cs="Times New Roman"/>
          <w:b/>
          <w:bCs/>
          <w:rtl/>
          <w:lang w:eastAsia="de-DE"/>
        </w:rPr>
        <w:t>אַזְכָּרָה</w:t>
      </w:r>
      <w:r w:rsidRPr="0098037E">
        <w:rPr>
          <w:rFonts w:eastAsia="Times New Roman" w:cs="Times New Roman"/>
          <w:lang w:eastAsia="de-DE"/>
        </w:rPr>
        <w:t xml:space="preserve">) wird vollständig verbrannt, der Hauptteil wird priesterliche Nahrung. </w:t>
      </w:r>
      <w:r w:rsidRPr="0098037E">
        <w:rPr>
          <w:rFonts w:eastAsia="Times New Roman" w:cs="Times New Roman"/>
          <w:b/>
          <w:bCs/>
          <w:rtl/>
          <w:lang w:eastAsia="de-DE"/>
        </w:rPr>
        <w:t>נותרת</w:t>
      </w:r>
      <w:r w:rsidRPr="0098037E">
        <w:rPr>
          <w:rFonts w:eastAsia="Times New Roman" w:cs="Times New Roman"/>
          <w:rtl/>
          <w:lang w:eastAsia="de-DE"/>
        </w:rPr>
        <w:t xml:space="preserve"> </w:t>
      </w:r>
      <w:r w:rsidRPr="0098037E">
        <w:rPr>
          <w:rFonts w:eastAsia="Times New Roman" w:cs="Times New Roman"/>
          <w:lang w:eastAsia="de-DE"/>
        </w:rPr>
        <w:t xml:space="preserve">betont, dass dies der "übrigbleibende" Teil nach der Verbrennung der </w:t>
      </w: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ist.</w:t>
      </w:r>
    </w:p>
    <w:p w14:paraId="07E426D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קֹ֥דֶשׁ קָֽדָשִׁ֖ים</w:t>
      </w:r>
      <w:r w:rsidRPr="0098037E">
        <w:rPr>
          <w:rFonts w:eastAsia="Times New Roman" w:cs="Times New Roman"/>
          <w:rtl/>
          <w:lang w:eastAsia="de-DE"/>
        </w:rPr>
        <w:t xml:space="preserve"> </w:t>
      </w:r>
      <w:r w:rsidRPr="0098037E">
        <w:rPr>
          <w:rFonts w:eastAsia="Times New Roman" w:cs="Times New Roman"/>
          <w:lang w:eastAsia="de-DE"/>
        </w:rPr>
        <w:t xml:space="preserve">impliziert strenge Verzehrregeln: nur männliche Priester, nur im heiligen Bereich, in kultischer Reinheit. Die Bezeichnung als </w:t>
      </w:r>
      <w:r w:rsidRPr="0098037E">
        <w:rPr>
          <w:rFonts w:eastAsia="Times New Roman" w:cs="Times New Roman"/>
          <w:b/>
          <w:bCs/>
          <w:rtl/>
          <w:lang w:eastAsia="de-DE"/>
        </w:rPr>
        <w:t>אִשֵּׁי יְהוָֽה</w:t>
      </w:r>
      <w:r w:rsidRPr="0098037E">
        <w:rPr>
          <w:rFonts w:eastAsia="Times New Roman" w:cs="Times New Roman"/>
          <w:rtl/>
          <w:lang w:eastAsia="de-DE"/>
        </w:rPr>
        <w:t xml:space="preserve"> </w:t>
      </w:r>
      <w:r w:rsidRPr="0098037E">
        <w:rPr>
          <w:rFonts w:eastAsia="Times New Roman" w:cs="Times New Roman"/>
          <w:lang w:eastAsia="de-DE"/>
        </w:rPr>
        <w:t>(Feueropfer JHWHs) zeigt, dass auch der nicht verbrannte Teil als Gottes Opfer gilt.</w:t>
      </w:r>
    </w:p>
    <w:p w14:paraId="56B2B143" w14:textId="42DCD39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LXX</w:t>
      </w:r>
      <w:r w:rsidRPr="0098037E">
        <w:rPr>
          <w:rFonts w:eastAsia="Times New Roman" w:cs="Times New Roman"/>
          <w:lang w:eastAsia="de-DE"/>
        </w:rPr>
        <w:t xml:space="preserve"> </w:t>
      </w:r>
      <w:r w:rsidR="005248F3">
        <w:t xml:space="preserve">zeigt textkritische Variationen bei </w:t>
      </w:r>
      <w:r w:rsidR="005248F3">
        <w:rPr>
          <w:rtl/>
        </w:rPr>
        <w:t>מאשי יהוה</w:t>
      </w:r>
      <w:r w:rsidR="005248F3">
        <w:t xml:space="preserve"> (</w:t>
      </w:r>
      <w:proofErr w:type="spellStart"/>
      <w:r w:rsidR="005248F3">
        <w:t>me'ishei</w:t>
      </w:r>
      <w:proofErr w:type="spellEnd"/>
      <w:r w:rsidR="005248F3">
        <w:t xml:space="preserve"> YHWH). Statt "von den Feueropfern YHWHs" hat die LXX ἀπὸ </w:t>
      </w:r>
      <w:proofErr w:type="spellStart"/>
      <w:r w:rsidR="005248F3">
        <w:t>τῶν</w:t>
      </w:r>
      <w:proofErr w:type="spellEnd"/>
      <w:r w:rsidR="005248F3">
        <w:t xml:space="preserve"> </w:t>
      </w:r>
      <w:proofErr w:type="spellStart"/>
      <w:r w:rsidR="005248F3">
        <w:t>θυσιῶν</w:t>
      </w:r>
      <w:proofErr w:type="spellEnd"/>
      <w:r w:rsidR="005248F3">
        <w:t xml:space="preserve"> </w:t>
      </w:r>
      <w:proofErr w:type="spellStart"/>
      <w:r w:rsidR="005248F3">
        <w:t>κυρίου</w:t>
      </w:r>
      <w:proofErr w:type="spellEnd"/>
      <w:r w:rsidR="005248F3">
        <w:t xml:space="preserve"> (von den Opfern des Herrn), was die Feuer-Komponente eliminiert.</w:t>
      </w:r>
    </w:p>
    <w:p w14:paraId="2047492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Nominalsatz: Subjekt + Präpositionalphrase (Empfänger) + Prädikatsbestimmung + Herkunftsangabe. Der Satz ist strukturell ein Verbalsatz mit elliptischem </w:t>
      </w:r>
      <w:r w:rsidRPr="0098037E">
        <w:rPr>
          <w:rFonts w:eastAsia="Times New Roman" w:cs="Times New Roman"/>
          <w:b/>
          <w:bCs/>
          <w:rtl/>
          <w:lang w:eastAsia="de-DE"/>
        </w:rPr>
        <w:t>יִהְיֶה</w:t>
      </w:r>
      <w:r w:rsidRPr="0098037E">
        <w:rPr>
          <w:rFonts w:eastAsia="Times New Roman" w:cs="Times New Roman"/>
          <w:rtl/>
          <w:lang w:eastAsia="de-DE"/>
        </w:rPr>
        <w:t xml:space="preserve"> </w:t>
      </w:r>
      <w:r w:rsidRPr="0098037E">
        <w:rPr>
          <w:rFonts w:eastAsia="Times New Roman" w:cs="Times New Roman"/>
          <w:lang w:eastAsia="de-DE"/>
        </w:rPr>
        <w:t>(es soll sein).</w:t>
      </w:r>
    </w:p>
    <w:p w14:paraId="69CE59F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das System der priesterlichen Speisopferanteile und betont deren höchste kultische Heiligkeit als Lebensunterhalt der Priesterschaft.</w:t>
      </w:r>
    </w:p>
    <w:p w14:paraId="2C5F7D01"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2,4</w:t>
      </w:r>
    </w:p>
    <w:p w14:paraId="664B626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וְכִ֥י תַקְרִ֛ב קָרְבַּ֥ן מִנְחָ֖ה מַאֲפֵ֣ה תַנּ֑וּר סֹ֣לֶת חַלּ֤וֹת מַצֹּת֙ בְּלוּלֹ֣ת בַּשֶּׁ֔מֶן וּרְקִיקֵ֥י מַצּ֖וֹת מְשֻׁחִ֥ים בַּשָּֽׁמֶן׃</w:t>
      </w:r>
    </w:p>
    <w:p w14:paraId="750A2D5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du als Opfergabe eines Speisopfers ein Ofengebäck darbringen willst, so soll es Feinmehl sein, ungesäuerter Kuchen, gemengt mit Öl, und ungesäuerter Fladen, gesalbt mit Öl.</w:t>
      </w:r>
    </w:p>
    <w:p w14:paraId="2279E6A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6DC5EFB">
          <v:rect id="_x0000_i1045" style="width:0;height:1.5pt" o:hralign="center" o:hrstd="t" o:hr="t" fillcolor="#a0a0a0" stroked="f"/>
        </w:pict>
      </w:r>
    </w:p>
    <w:p w14:paraId="39926751" w14:textId="44F73CC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וְכִ֥י תַקְרִ֛ב</w:t>
      </w:r>
      <w:r w:rsidRPr="0098037E">
        <w:rPr>
          <w:rFonts w:eastAsia="Times New Roman" w:cs="Times New Roman"/>
          <w:rtl/>
          <w:lang w:eastAsia="de-DE"/>
        </w:rPr>
        <w:t xml:space="preserve"> </w:t>
      </w:r>
      <w:r w:rsidRPr="0098037E">
        <w:rPr>
          <w:rFonts w:eastAsia="Times New Roman" w:cs="Times New Roman"/>
          <w:lang w:eastAsia="de-DE"/>
        </w:rPr>
        <w:t xml:space="preserve">(und wenn du darbringst) leitet eine neue Kondition ein. </w:t>
      </w:r>
      <w:r w:rsidRPr="0098037E">
        <w:rPr>
          <w:rFonts w:eastAsia="Times New Roman" w:cs="Times New Roman"/>
          <w:b/>
          <w:bCs/>
          <w:rtl/>
          <w:lang w:eastAsia="de-DE"/>
        </w:rPr>
        <w:t>תַקְרִ֛ב</w:t>
      </w:r>
      <w:r w:rsidRPr="0098037E">
        <w:rPr>
          <w:rFonts w:eastAsia="Times New Roman" w:cs="Times New Roman"/>
          <w:rtl/>
          <w:lang w:eastAsia="de-DE"/>
        </w:rPr>
        <w:t xml:space="preserve"> </w:t>
      </w:r>
      <w:r w:rsidRPr="0098037E">
        <w:rPr>
          <w:rFonts w:eastAsia="Times New Roman" w:cs="Times New Roman"/>
          <w:lang w:eastAsia="de-DE"/>
        </w:rPr>
        <w:t xml:space="preserve">ist Hifil-Imperfekt 2. Person maskulin Singular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w:t>
      </w:r>
      <w:r w:rsidRPr="0098037E">
        <w:rPr>
          <w:rFonts w:eastAsia="Times New Roman" w:cs="Times New Roman"/>
          <w:b/>
          <w:bCs/>
          <w:rtl/>
          <w:lang w:eastAsia="de-DE"/>
        </w:rPr>
        <w:t>קָרְבַּ֥ן מִנְחָ֖ה</w:t>
      </w:r>
      <w:r w:rsidRPr="0098037E">
        <w:rPr>
          <w:rFonts w:eastAsia="Times New Roman" w:cs="Times New Roman"/>
          <w:rtl/>
          <w:lang w:eastAsia="de-DE"/>
        </w:rPr>
        <w:t xml:space="preserve"> </w:t>
      </w:r>
      <w:r w:rsidRPr="0098037E">
        <w:rPr>
          <w:rFonts w:eastAsia="Times New Roman" w:cs="Times New Roman"/>
          <w:lang w:eastAsia="de-DE"/>
        </w:rPr>
        <w:t xml:space="preserve">wiederholt die Genitivkonstruktion aus Vers 1. </w:t>
      </w:r>
      <w:r w:rsidRPr="0098037E">
        <w:rPr>
          <w:rFonts w:eastAsia="Times New Roman" w:cs="Times New Roman"/>
          <w:b/>
          <w:bCs/>
          <w:rtl/>
          <w:lang w:eastAsia="de-DE"/>
        </w:rPr>
        <w:t>מַאֲפֵ֣ה תַנּ֑וּר</w:t>
      </w:r>
      <w:r w:rsidRPr="0098037E">
        <w:rPr>
          <w:rFonts w:eastAsia="Times New Roman" w:cs="Times New Roman"/>
          <w:rtl/>
          <w:lang w:eastAsia="de-DE"/>
        </w:rPr>
        <w:t xml:space="preserve"> </w:t>
      </w:r>
      <w:r w:rsidRPr="0098037E">
        <w:rPr>
          <w:rFonts w:eastAsia="Times New Roman" w:cs="Times New Roman"/>
          <w:lang w:eastAsia="de-DE"/>
        </w:rPr>
        <w:t xml:space="preserve">(Ofengebäck) zeigt </w:t>
      </w:r>
      <w:r w:rsidRPr="0098037E">
        <w:rPr>
          <w:rFonts w:eastAsia="Times New Roman" w:cs="Times New Roman"/>
          <w:b/>
          <w:bCs/>
          <w:rtl/>
          <w:lang w:eastAsia="de-DE"/>
        </w:rPr>
        <w:t>מַאֲפֶה</w:t>
      </w:r>
      <w:r w:rsidRPr="0098037E">
        <w:rPr>
          <w:rFonts w:eastAsia="Times New Roman" w:cs="Times New Roman"/>
          <w:rtl/>
          <w:lang w:eastAsia="de-DE"/>
        </w:rPr>
        <w:t xml:space="preserve"> </w:t>
      </w:r>
      <w:r w:rsidRPr="0098037E">
        <w:rPr>
          <w:rFonts w:eastAsia="Times New Roman" w:cs="Times New Roman"/>
          <w:lang w:eastAsia="de-DE"/>
        </w:rPr>
        <w:t xml:space="preserve">(Gebackenes)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תַּנּוּר</w:t>
      </w:r>
      <w:r w:rsidRPr="0098037E">
        <w:rPr>
          <w:rFonts w:eastAsia="Times New Roman" w:cs="Times New Roman"/>
          <w:rtl/>
          <w:lang w:eastAsia="de-DE"/>
        </w:rPr>
        <w:t xml:space="preserve"> </w:t>
      </w:r>
      <w:r w:rsidRPr="0098037E">
        <w:rPr>
          <w:rFonts w:eastAsia="Times New Roman" w:cs="Times New Roman"/>
          <w:lang w:eastAsia="de-DE"/>
        </w:rPr>
        <w:t>(Ofen).</w:t>
      </w:r>
    </w:p>
    <w:p w14:paraId="40924F5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סֹ֣לֶת</w:t>
      </w:r>
      <w:r w:rsidRPr="0098037E">
        <w:rPr>
          <w:rFonts w:eastAsia="Times New Roman" w:cs="Times New Roman"/>
          <w:rtl/>
          <w:lang w:eastAsia="de-DE"/>
        </w:rPr>
        <w:t xml:space="preserve"> </w:t>
      </w:r>
      <w:r w:rsidRPr="0098037E">
        <w:rPr>
          <w:rFonts w:eastAsia="Times New Roman" w:cs="Times New Roman"/>
          <w:lang w:eastAsia="de-DE"/>
        </w:rPr>
        <w:t xml:space="preserve">(Feinmehl) steht als Apposition oder Prädikatsnomen. Die zwei Alternativen werden durch </w:t>
      </w:r>
      <w:r w:rsidRPr="0098037E">
        <w:rPr>
          <w:rFonts w:eastAsia="Times New Roman" w:cs="Times New Roman"/>
          <w:b/>
          <w:bCs/>
          <w:rtl/>
          <w:lang w:eastAsia="de-DE"/>
        </w:rPr>
        <w:t>חַלּ֤וֹת מַצֹּת֙</w:t>
      </w:r>
      <w:r w:rsidRPr="0098037E">
        <w:rPr>
          <w:rFonts w:eastAsia="Times New Roman" w:cs="Times New Roman"/>
          <w:rtl/>
          <w:lang w:eastAsia="de-DE"/>
        </w:rPr>
        <w:t xml:space="preserve"> </w:t>
      </w:r>
      <w:r w:rsidRPr="0098037E">
        <w:rPr>
          <w:rFonts w:eastAsia="Times New Roman" w:cs="Times New Roman"/>
          <w:lang w:eastAsia="de-DE"/>
        </w:rPr>
        <w:t xml:space="preserve">(ungesäuerte Kuchen) und </w:t>
      </w:r>
      <w:r w:rsidRPr="0098037E">
        <w:rPr>
          <w:rFonts w:eastAsia="Times New Roman" w:cs="Times New Roman"/>
          <w:b/>
          <w:bCs/>
          <w:rtl/>
          <w:lang w:eastAsia="de-DE"/>
        </w:rPr>
        <w:t>וּרְקִיקֵ֥י מַצּ֖וֹת</w:t>
      </w:r>
      <w:r w:rsidRPr="0098037E">
        <w:rPr>
          <w:rFonts w:eastAsia="Times New Roman" w:cs="Times New Roman"/>
          <w:rtl/>
          <w:lang w:eastAsia="de-DE"/>
        </w:rPr>
        <w:t xml:space="preserve"> </w:t>
      </w:r>
      <w:r w:rsidRPr="0098037E">
        <w:rPr>
          <w:rFonts w:eastAsia="Times New Roman" w:cs="Times New Roman"/>
          <w:lang w:eastAsia="de-DE"/>
        </w:rPr>
        <w:t xml:space="preserve">(und ungesäuerte Fladen) dargestellt. </w:t>
      </w:r>
      <w:r w:rsidRPr="0098037E">
        <w:rPr>
          <w:rFonts w:eastAsia="Times New Roman" w:cs="Times New Roman"/>
          <w:b/>
          <w:bCs/>
          <w:rtl/>
          <w:lang w:eastAsia="de-DE"/>
        </w:rPr>
        <w:t>חַלָּה</w:t>
      </w:r>
      <w:r w:rsidRPr="0098037E">
        <w:rPr>
          <w:rFonts w:eastAsia="Times New Roman" w:cs="Times New Roman"/>
          <w:rtl/>
          <w:lang w:eastAsia="de-DE"/>
        </w:rPr>
        <w:t xml:space="preserve"> </w:t>
      </w:r>
      <w:r w:rsidRPr="0098037E">
        <w:rPr>
          <w:rFonts w:eastAsia="Times New Roman" w:cs="Times New Roman"/>
          <w:lang w:eastAsia="de-DE"/>
        </w:rPr>
        <w:t xml:space="preserve">(Kuchen/Brot) bezeichnet dickere Backwaren, </w:t>
      </w:r>
      <w:r w:rsidRPr="0098037E">
        <w:rPr>
          <w:rFonts w:eastAsia="Times New Roman" w:cs="Times New Roman"/>
          <w:b/>
          <w:bCs/>
          <w:rtl/>
          <w:lang w:eastAsia="de-DE"/>
        </w:rPr>
        <w:t>רָקִיק</w:t>
      </w:r>
      <w:r w:rsidRPr="0098037E">
        <w:rPr>
          <w:rFonts w:eastAsia="Times New Roman" w:cs="Times New Roman"/>
          <w:rtl/>
          <w:lang w:eastAsia="de-DE"/>
        </w:rPr>
        <w:t xml:space="preserve"> </w:t>
      </w:r>
      <w:r w:rsidRPr="0098037E">
        <w:rPr>
          <w:rFonts w:eastAsia="Times New Roman" w:cs="Times New Roman"/>
          <w:lang w:eastAsia="de-DE"/>
        </w:rPr>
        <w:t>(Fladen) dünnere Backwaren.</w:t>
      </w:r>
    </w:p>
    <w:p w14:paraId="47F9957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מַצֹּת֙</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מַצּ֖וֹת</w:t>
      </w:r>
      <w:r w:rsidRPr="0098037E">
        <w:rPr>
          <w:rFonts w:eastAsia="Times New Roman" w:cs="Times New Roman"/>
          <w:rtl/>
          <w:lang w:eastAsia="de-DE"/>
        </w:rPr>
        <w:t xml:space="preserve"> </w:t>
      </w:r>
      <w:r w:rsidRPr="0098037E">
        <w:rPr>
          <w:rFonts w:eastAsia="Times New Roman" w:cs="Times New Roman"/>
          <w:lang w:eastAsia="de-DE"/>
        </w:rPr>
        <w:t xml:space="preserve">sind beide Formen von </w:t>
      </w:r>
      <w:r w:rsidRPr="0098037E">
        <w:rPr>
          <w:rFonts w:eastAsia="Times New Roman" w:cs="Times New Roman"/>
          <w:b/>
          <w:bCs/>
          <w:rtl/>
          <w:lang w:eastAsia="de-DE"/>
        </w:rPr>
        <w:t>מַצָּה</w:t>
      </w:r>
      <w:r w:rsidRPr="0098037E">
        <w:rPr>
          <w:rFonts w:eastAsia="Times New Roman" w:cs="Times New Roman"/>
          <w:rtl/>
          <w:lang w:eastAsia="de-DE"/>
        </w:rPr>
        <w:t xml:space="preserve"> </w:t>
      </w:r>
      <w:r w:rsidRPr="0098037E">
        <w:rPr>
          <w:rFonts w:eastAsia="Times New Roman" w:cs="Times New Roman"/>
          <w:lang w:eastAsia="de-DE"/>
        </w:rPr>
        <w:t xml:space="preserve">(ungesäuert), einmal feminin Plural, einmal maskulin Plural. </w:t>
      </w:r>
      <w:r w:rsidRPr="0098037E">
        <w:rPr>
          <w:rFonts w:eastAsia="Times New Roman" w:cs="Times New Roman"/>
          <w:b/>
          <w:bCs/>
          <w:rtl/>
          <w:lang w:eastAsia="de-DE"/>
        </w:rPr>
        <w:t>בְּלוּלֹ֣ת בַּשֶּׁ֔מֶן</w:t>
      </w:r>
      <w:r w:rsidRPr="0098037E">
        <w:rPr>
          <w:rFonts w:eastAsia="Times New Roman" w:cs="Times New Roman"/>
          <w:rtl/>
          <w:lang w:eastAsia="de-DE"/>
        </w:rPr>
        <w:t xml:space="preserve"> </w:t>
      </w:r>
      <w:r w:rsidRPr="0098037E">
        <w:rPr>
          <w:rFonts w:eastAsia="Times New Roman" w:cs="Times New Roman"/>
          <w:lang w:eastAsia="de-DE"/>
        </w:rPr>
        <w:t xml:space="preserve">(gemengt mit Öl) zeigt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(mischen/vermengen) im Pual-Partizip feminin Plural. </w:t>
      </w:r>
      <w:r w:rsidRPr="0098037E">
        <w:rPr>
          <w:rFonts w:eastAsia="Times New Roman" w:cs="Times New Roman"/>
          <w:b/>
          <w:bCs/>
          <w:rtl/>
          <w:lang w:eastAsia="de-DE"/>
        </w:rPr>
        <w:t>מְשֻׁחִ֥ים בַּשָּֽׁמֶן</w:t>
      </w:r>
      <w:r w:rsidRPr="0098037E">
        <w:rPr>
          <w:rFonts w:eastAsia="Times New Roman" w:cs="Times New Roman"/>
          <w:rtl/>
          <w:lang w:eastAsia="de-DE"/>
        </w:rPr>
        <w:t xml:space="preserve"> </w:t>
      </w:r>
      <w:r w:rsidRPr="0098037E">
        <w:rPr>
          <w:rFonts w:eastAsia="Times New Roman" w:cs="Times New Roman"/>
          <w:lang w:eastAsia="de-DE"/>
        </w:rPr>
        <w:t xml:space="preserve">(gesalbt mit Öl) verwendet </w:t>
      </w:r>
      <w:r w:rsidRPr="0098037E">
        <w:rPr>
          <w:rFonts w:eastAsia="Times New Roman" w:cs="Times New Roman"/>
          <w:b/>
          <w:bCs/>
          <w:rtl/>
          <w:lang w:eastAsia="de-DE"/>
        </w:rPr>
        <w:t>משח</w:t>
      </w:r>
      <w:r w:rsidRPr="0098037E">
        <w:rPr>
          <w:rFonts w:eastAsia="Times New Roman" w:cs="Times New Roman"/>
          <w:rtl/>
          <w:lang w:eastAsia="de-DE"/>
        </w:rPr>
        <w:t xml:space="preserve"> </w:t>
      </w:r>
      <w:r w:rsidRPr="0098037E">
        <w:rPr>
          <w:rFonts w:eastAsia="Times New Roman" w:cs="Times New Roman"/>
          <w:lang w:eastAsia="de-DE"/>
        </w:rPr>
        <w:t>(salben) im Pual-Partizip maskulin Plural.</w:t>
      </w:r>
    </w:p>
    <w:p w14:paraId="4CE6E0A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zwischen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(mischen) und </w:t>
      </w:r>
      <w:r w:rsidRPr="0098037E">
        <w:rPr>
          <w:rFonts w:eastAsia="Times New Roman" w:cs="Times New Roman"/>
          <w:b/>
          <w:bCs/>
          <w:rtl/>
          <w:lang w:eastAsia="de-DE"/>
        </w:rPr>
        <w:t>משח</w:t>
      </w:r>
      <w:r w:rsidRPr="0098037E">
        <w:rPr>
          <w:rFonts w:eastAsia="Times New Roman" w:cs="Times New Roman"/>
          <w:rtl/>
          <w:lang w:eastAsia="de-DE"/>
        </w:rPr>
        <w:t xml:space="preserve"> </w:t>
      </w:r>
      <w:r w:rsidRPr="0098037E">
        <w:rPr>
          <w:rFonts w:eastAsia="Times New Roman" w:cs="Times New Roman"/>
          <w:lang w:eastAsia="de-DE"/>
        </w:rPr>
        <w:t xml:space="preserve">(salben) ist technisch wichtig: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bedeutet das Einarbeiten von Öl in den Teig, </w:t>
      </w:r>
      <w:r w:rsidRPr="0098037E">
        <w:rPr>
          <w:rFonts w:eastAsia="Times New Roman" w:cs="Times New Roman"/>
          <w:b/>
          <w:bCs/>
          <w:rtl/>
          <w:lang w:eastAsia="de-DE"/>
        </w:rPr>
        <w:t>משח</w:t>
      </w:r>
      <w:r w:rsidRPr="0098037E">
        <w:rPr>
          <w:rFonts w:eastAsia="Times New Roman" w:cs="Times New Roman"/>
          <w:rtl/>
          <w:lang w:eastAsia="de-DE"/>
        </w:rPr>
        <w:t xml:space="preserve"> </w:t>
      </w:r>
      <w:r w:rsidRPr="0098037E">
        <w:rPr>
          <w:rFonts w:eastAsia="Times New Roman" w:cs="Times New Roman"/>
          <w:lang w:eastAsia="de-DE"/>
        </w:rPr>
        <w:t xml:space="preserve">das Bestreichen der fertigen Backware. Beide Verfahren sind als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zugelassen.</w:t>
      </w:r>
    </w:p>
    <w:p w14:paraId="50461168" w14:textId="37D1C7E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FD4959">
        <w:t>verwendet spezifische griechische Begriffe: πεπ</w:t>
      </w:r>
      <w:proofErr w:type="spellStart"/>
      <w:r w:rsidR="00FD4959">
        <w:t>εμμένην</w:t>
      </w:r>
      <w:proofErr w:type="spellEnd"/>
      <w:r w:rsidR="00FD4959">
        <w:t xml:space="preserve"> </w:t>
      </w:r>
      <w:proofErr w:type="spellStart"/>
      <w:r w:rsidR="00FD4959">
        <w:t>ἐν</w:t>
      </w:r>
      <w:proofErr w:type="spellEnd"/>
      <w:r w:rsidR="00FD4959">
        <w:t xml:space="preserve"> </w:t>
      </w:r>
      <w:proofErr w:type="spellStart"/>
      <w:r w:rsidR="00FD4959">
        <w:t>κλι</w:t>
      </w:r>
      <w:proofErr w:type="spellEnd"/>
      <w:r w:rsidR="00FD4959">
        <w:t xml:space="preserve">βάνῳ (im Ofen gebacken), </w:t>
      </w:r>
      <w:proofErr w:type="spellStart"/>
      <w:r w:rsidR="00FD4959">
        <w:t>λάγ</w:t>
      </w:r>
      <w:proofErr w:type="spellEnd"/>
      <w:r w:rsidR="00FD4959">
        <w:t xml:space="preserve">ανα (dünne Kuchen) für </w:t>
      </w:r>
      <w:r w:rsidR="00FD4959">
        <w:rPr>
          <w:rtl/>
        </w:rPr>
        <w:t>רקיקי</w:t>
      </w:r>
      <w:r w:rsidR="00FD4959">
        <w:t xml:space="preserve"> (</w:t>
      </w:r>
      <w:proofErr w:type="spellStart"/>
      <w:r w:rsidR="00FD4959">
        <w:t>rekikei</w:t>
      </w:r>
      <w:proofErr w:type="spellEnd"/>
      <w:r w:rsidR="00FD4959">
        <w:t>), was eine präzise kulinarische Terminologie zeigt.</w:t>
      </w:r>
    </w:p>
    <w:p w14:paraId="2B16A45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(Konditionspartikel + Verb + Objekt + Spezifizierung) → Apodosis (Grundstoff + zwei alternative Objektbeschreibungen mit unterschiedlichen Zubereitungsarten). Die Apodosis enthält eine Disjunktion von zwei Möglichkeiten.</w:t>
      </w:r>
    </w:p>
    <w:p w14:paraId="1EAB641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Dieser Vers erweitert die Speisopferbestimmungen auf gebackene Formen und zeigt zwei verschiedene Zubereitungsarten mit Öl, die beide kultisch akzeptabel sind.</w:t>
      </w:r>
    </w:p>
    <w:p w14:paraId="302C8374"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2,5</w:t>
      </w:r>
    </w:p>
    <w:p w14:paraId="36BBC79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וְאִם־מִנְחָ֥ה עַל־הַֽמַּחֲבַ֖ת קָרְבָּנֶ֑ךָ סֹ֛לֶת בְּלוּלָ֥ה בַשֶּׁ֖מֶן מַצָּ֥ה תִהְיֶֽה׃</w:t>
      </w:r>
    </w:p>
    <w:p w14:paraId="5CE4CC8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deine Opfergabe ein Speisopfer in der Pfanne ist, so soll es Feinmehl sein, gemengt mit Öl, ungesäuert.</w:t>
      </w:r>
    </w:p>
    <w:p w14:paraId="5086A39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F34AAF5">
          <v:rect id="_x0000_i1046" style="width:0;height:1.5pt" o:hralign="center" o:hrstd="t" o:hr="t" fillcolor="#a0a0a0" stroked="f"/>
        </w:pict>
      </w:r>
    </w:p>
    <w:p w14:paraId="583DD3A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וְאִם־מִנְחָ֥ה</w:t>
      </w:r>
      <w:r w:rsidRPr="0098037E">
        <w:rPr>
          <w:rFonts w:eastAsia="Times New Roman" w:cs="Times New Roman"/>
          <w:rtl/>
          <w:lang w:eastAsia="de-DE"/>
        </w:rPr>
        <w:t xml:space="preserve"> </w:t>
      </w:r>
      <w:r w:rsidRPr="0098037E">
        <w:rPr>
          <w:rFonts w:eastAsia="Times New Roman" w:cs="Times New Roman"/>
          <w:lang w:eastAsia="de-DE"/>
        </w:rPr>
        <w:t xml:space="preserve">(und wenn ein Speisopfer) leitet eine weitere Alternative ein. </w:t>
      </w:r>
      <w:r w:rsidRPr="0098037E">
        <w:rPr>
          <w:rFonts w:eastAsia="Times New Roman" w:cs="Times New Roman"/>
          <w:b/>
          <w:bCs/>
          <w:rtl/>
          <w:lang w:eastAsia="de-DE"/>
        </w:rPr>
        <w:t>עַל־הַֽמַּחֲבַ֖ת</w:t>
      </w:r>
      <w:r w:rsidRPr="0098037E">
        <w:rPr>
          <w:rFonts w:eastAsia="Times New Roman" w:cs="Times New Roman"/>
          <w:rtl/>
          <w:lang w:eastAsia="de-DE"/>
        </w:rPr>
        <w:t xml:space="preserve"> </w:t>
      </w:r>
      <w:r w:rsidRPr="0098037E">
        <w:rPr>
          <w:rFonts w:eastAsia="Times New Roman" w:cs="Times New Roman"/>
          <w:lang w:eastAsia="de-DE"/>
        </w:rPr>
        <w:t xml:space="preserve">(auf der Pfanne) verwendet </w:t>
      </w:r>
      <w:r w:rsidRPr="0098037E">
        <w:rPr>
          <w:rFonts w:eastAsia="Times New Roman" w:cs="Times New Roman"/>
          <w:b/>
          <w:bCs/>
          <w:rtl/>
          <w:lang w:eastAsia="de-DE"/>
        </w:rPr>
        <w:t>מַחֲבַת</w:t>
      </w:r>
      <w:r w:rsidRPr="0098037E">
        <w:rPr>
          <w:rFonts w:eastAsia="Times New Roman" w:cs="Times New Roman"/>
          <w:rtl/>
          <w:lang w:eastAsia="de-DE"/>
        </w:rPr>
        <w:t xml:space="preserve"> </w:t>
      </w:r>
      <w:r w:rsidRPr="0098037E">
        <w:rPr>
          <w:rFonts w:eastAsia="Times New Roman" w:cs="Times New Roman"/>
          <w:lang w:eastAsia="de-DE"/>
        </w:rPr>
        <w:t xml:space="preserve">(Pfanne/flache Backplatte) mit der Präposition </w:t>
      </w:r>
      <w:r w:rsidRPr="0098037E">
        <w:rPr>
          <w:rFonts w:eastAsia="Times New Roman" w:cs="Times New Roman"/>
          <w:b/>
          <w:bCs/>
          <w:rtl/>
          <w:lang w:eastAsia="de-DE"/>
        </w:rPr>
        <w:t>עַל</w:t>
      </w:r>
      <w:r w:rsidRPr="0098037E">
        <w:rPr>
          <w:rFonts w:eastAsia="Times New Roman" w:cs="Times New Roman"/>
          <w:rtl/>
          <w:lang w:eastAsia="de-DE"/>
        </w:rPr>
        <w:t xml:space="preserve"> </w:t>
      </w:r>
      <w:r w:rsidRPr="0098037E">
        <w:rPr>
          <w:rFonts w:eastAsia="Times New Roman" w:cs="Times New Roman"/>
          <w:lang w:eastAsia="de-DE"/>
        </w:rPr>
        <w:t xml:space="preserve">(auf). </w:t>
      </w:r>
      <w:r w:rsidRPr="0098037E">
        <w:rPr>
          <w:rFonts w:eastAsia="Times New Roman" w:cs="Times New Roman"/>
          <w:b/>
          <w:bCs/>
          <w:rtl/>
          <w:lang w:eastAsia="de-DE"/>
        </w:rPr>
        <w:t>קָרְבָּנֶ֑ךָ</w:t>
      </w:r>
      <w:r w:rsidRPr="0098037E">
        <w:rPr>
          <w:rFonts w:eastAsia="Times New Roman" w:cs="Times New Roman"/>
          <w:rtl/>
          <w:lang w:eastAsia="de-DE"/>
        </w:rPr>
        <w:t xml:space="preserve"> </w:t>
      </w:r>
      <w:r w:rsidRPr="0098037E">
        <w:rPr>
          <w:rFonts w:eastAsia="Times New Roman" w:cs="Times New Roman"/>
          <w:lang w:eastAsia="de-DE"/>
        </w:rPr>
        <w:t>(deine Opfergabe) mit Possessivsuffix 2. Person maskulin Singular.</w:t>
      </w:r>
    </w:p>
    <w:p w14:paraId="56EEAA8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סֹ֛לֶת בְּלוּלָ֥ה בַשֶּׁ֖מֶן</w:t>
      </w:r>
      <w:r w:rsidRPr="0098037E">
        <w:rPr>
          <w:rFonts w:eastAsia="Times New Roman" w:cs="Times New Roman"/>
          <w:rtl/>
          <w:lang w:eastAsia="de-DE"/>
        </w:rPr>
        <w:t xml:space="preserve"> </w:t>
      </w:r>
      <w:r w:rsidRPr="0098037E">
        <w:rPr>
          <w:rFonts w:eastAsia="Times New Roman" w:cs="Times New Roman"/>
          <w:lang w:eastAsia="de-DE"/>
        </w:rPr>
        <w:t xml:space="preserve">(Feinmehl, gemengt mit Öl) zeigt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im Qal-Partizip feminin Singular passiv: "gemengtes Feinmehl". </w:t>
      </w:r>
      <w:r w:rsidRPr="0098037E">
        <w:rPr>
          <w:rFonts w:eastAsia="Times New Roman" w:cs="Times New Roman"/>
          <w:b/>
          <w:bCs/>
          <w:rtl/>
          <w:lang w:eastAsia="de-DE"/>
        </w:rPr>
        <w:t>מַצָּ֥ה תִהְיֶֽה</w:t>
      </w:r>
      <w:r w:rsidRPr="0098037E">
        <w:rPr>
          <w:rFonts w:eastAsia="Times New Roman" w:cs="Times New Roman"/>
          <w:rtl/>
          <w:lang w:eastAsia="de-DE"/>
        </w:rPr>
        <w:t xml:space="preserve"> </w:t>
      </w:r>
      <w:r w:rsidRPr="0098037E">
        <w:rPr>
          <w:rFonts w:eastAsia="Times New Roman" w:cs="Times New Roman"/>
          <w:lang w:eastAsia="de-DE"/>
        </w:rPr>
        <w:t xml:space="preserve">(ungesäuert soll es sein) mit </w:t>
      </w:r>
      <w:r w:rsidRPr="0098037E">
        <w:rPr>
          <w:rFonts w:eastAsia="Times New Roman" w:cs="Times New Roman"/>
          <w:b/>
          <w:bCs/>
          <w:rtl/>
          <w:lang w:eastAsia="de-DE"/>
        </w:rPr>
        <w:t>היה</w:t>
      </w:r>
      <w:r w:rsidRPr="0098037E">
        <w:rPr>
          <w:rFonts w:eastAsia="Times New Roman" w:cs="Times New Roman"/>
          <w:rtl/>
          <w:lang w:eastAsia="de-DE"/>
        </w:rPr>
        <w:t xml:space="preserve"> </w:t>
      </w:r>
      <w:r w:rsidRPr="0098037E">
        <w:rPr>
          <w:rFonts w:eastAsia="Times New Roman" w:cs="Times New Roman"/>
          <w:lang w:eastAsia="de-DE"/>
        </w:rPr>
        <w:t xml:space="preserve">im Imperfekt 3. Person feminin Singular, bezogen auf </w:t>
      </w:r>
      <w:r w:rsidRPr="0098037E">
        <w:rPr>
          <w:rFonts w:eastAsia="Times New Roman" w:cs="Times New Roman"/>
          <w:b/>
          <w:bCs/>
          <w:rtl/>
          <w:lang w:eastAsia="de-DE"/>
        </w:rPr>
        <w:t>מִנְחָה</w:t>
      </w:r>
      <w:r w:rsidRPr="0098037E">
        <w:rPr>
          <w:rFonts w:eastAsia="Times New Roman" w:cs="Times New Roman"/>
          <w:lang w:eastAsia="de-DE"/>
        </w:rPr>
        <w:t>.</w:t>
      </w:r>
    </w:p>
    <w:p w14:paraId="1D10E19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מַחֲבַת</w:t>
      </w:r>
      <w:r w:rsidRPr="0098037E">
        <w:rPr>
          <w:rFonts w:eastAsia="Times New Roman" w:cs="Times New Roman"/>
          <w:rtl/>
          <w:lang w:eastAsia="de-DE"/>
        </w:rPr>
        <w:t xml:space="preserve"> </w:t>
      </w:r>
      <w:r w:rsidRPr="0098037E">
        <w:rPr>
          <w:rFonts w:eastAsia="Times New Roman" w:cs="Times New Roman"/>
          <w:lang w:eastAsia="de-DE"/>
        </w:rPr>
        <w:t xml:space="preserve">bezeichnet eine flache, metallene Backplatte, unterschiedlich vom </w:t>
      </w:r>
      <w:r w:rsidRPr="0098037E">
        <w:rPr>
          <w:rFonts w:eastAsia="Times New Roman" w:cs="Times New Roman"/>
          <w:b/>
          <w:bCs/>
          <w:rtl/>
          <w:lang w:eastAsia="de-DE"/>
        </w:rPr>
        <w:t>תַּנּוּר</w:t>
      </w:r>
      <w:r w:rsidRPr="0098037E">
        <w:rPr>
          <w:rFonts w:eastAsia="Times New Roman" w:cs="Times New Roman"/>
          <w:rtl/>
          <w:lang w:eastAsia="de-DE"/>
        </w:rPr>
        <w:t xml:space="preserve"> </w:t>
      </w:r>
      <w:r w:rsidRPr="0098037E">
        <w:rPr>
          <w:rFonts w:eastAsia="Times New Roman" w:cs="Times New Roman"/>
          <w:lang w:eastAsia="de-DE"/>
        </w:rPr>
        <w:t xml:space="preserve">(Ofen) in Vers 4. Die Pfannenzubereitung erfordert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(Mischen), nicht </w:t>
      </w:r>
      <w:r w:rsidRPr="0098037E">
        <w:rPr>
          <w:rFonts w:eastAsia="Times New Roman" w:cs="Times New Roman"/>
          <w:b/>
          <w:bCs/>
          <w:rtl/>
          <w:lang w:eastAsia="de-DE"/>
        </w:rPr>
        <w:t>משח</w:t>
      </w:r>
      <w:r w:rsidRPr="0098037E">
        <w:rPr>
          <w:rFonts w:eastAsia="Times New Roman" w:cs="Times New Roman"/>
          <w:rtl/>
          <w:lang w:eastAsia="de-DE"/>
        </w:rPr>
        <w:t xml:space="preserve"> </w:t>
      </w:r>
      <w:r w:rsidRPr="0098037E">
        <w:rPr>
          <w:rFonts w:eastAsia="Times New Roman" w:cs="Times New Roman"/>
          <w:lang w:eastAsia="de-DE"/>
        </w:rPr>
        <w:t>(Salben), da das Öl in den Teig eingearbeitet werden muss.</w:t>
      </w:r>
    </w:p>
    <w:p w14:paraId="2BAB7B4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מַצָּה</w:t>
      </w:r>
      <w:r w:rsidRPr="0098037E">
        <w:rPr>
          <w:rFonts w:eastAsia="Times New Roman" w:cs="Times New Roman"/>
          <w:rtl/>
          <w:lang w:eastAsia="de-DE"/>
        </w:rPr>
        <w:t xml:space="preserve"> </w:t>
      </w:r>
      <w:r w:rsidRPr="0098037E">
        <w:rPr>
          <w:rFonts w:eastAsia="Times New Roman" w:cs="Times New Roman"/>
          <w:lang w:eastAsia="de-DE"/>
        </w:rPr>
        <w:t xml:space="preserve">(ungesäuert) ist hier Singular im Unterschied zu </w:t>
      </w:r>
      <w:r w:rsidRPr="0098037E">
        <w:rPr>
          <w:rFonts w:eastAsia="Times New Roman" w:cs="Times New Roman"/>
          <w:b/>
          <w:bCs/>
          <w:rtl/>
          <w:lang w:eastAsia="de-DE"/>
        </w:rPr>
        <w:t>מַצֹּת</w:t>
      </w:r>
      <w:r w:rsidRPr="0098037E">
        <w:rPr>
          <w:rFonts w:eastAsia="Times New Roman" w:cs="Times New Roman"/>
          <w:rtl/>
          <w:lang w:eastAsia="de-DE"/>
        </w:rPr>
        <w:t xml:space="preserve"> </w:t>
      </w:r>
      <w:r w:rsidRPr="0098037E">
        <w:rPr>
          <w:rFonts w:eastAsia="Times New Roman" w:cs="Times New Roman"/>
          <w:lang w:eastAsia="de-DE"/>
        </w:rPr>
        <w:t xml:space="preserve">in Vers 4 und betont die grundsätzliche Eigenschaft der gesamten </w:t>
      </w:r>
      <w:r w:rsidRPr="0098037E">
        <w:rPr>
          <w:rFonts w:eastAsia="Times New Roman" w:cs="Times New Roman"/>
          <w:b/>
          <w:bCs/>
          <w:rtl/>
          <w:lang w:eastAsia="de-DE"/>
        </w:rPr>
        <w:t>מִנְחָה</w:t>
      </w:r>
      <w:r w:rsidRPr="0098037E">
        <w:rPr>
          <w:rFonts w:eastAsia="Times New Roman" w:cs="Times New Roman"/>
          <w:lang w:eastAsia="de-DE"/>
        </w:rPr>
        <w:t xml:space="preserve">. Die Betonung der </w:t>
      </w:r>
      <w:r w:rsidRPr="0098037E">
        <w:rPr>
          <w:rFonts w:eastAsia="Times New Roman" w:cs="Times New Roman"/>
          <w:b/>
          <w:bCs/>
          <w:rtl/>
          <w:lang w:eastAsia="de-DE"/>
        </w:rPr>
        <w:t>מַצָּה</w:t>
      </w:r>
      <w:r w:rsidRPr="0098037E">
        <w:rPr>
          <w:rFonts w:eastAsia="Times New Roman" w:cs="Times New Roman"/>
          <w:lang w:eastAsia="de-DE"/>
        </w:rPr>
        <w:t xml:space="preserve">-Eigenschaft zeigt die absolute Prohibition von </w:t>
      </w:r>
      <w:r w:rsidRPr="0098037E">
        <w:rPr>
          <w:rFonts w:eastAsia="Times New Roman" w:cs="Times New Roman"/>
          <w:b/>
          <w:bCs/>
          <w:rtl/>
          <w:lang w:eastAsia="de-DE"/>
        </w:rPr>
        <w:t>חָמֵץ</w:t>
      </w:r>
      <w:r w:rsidRPr="0098037E">
        <w:rPr>
          <w:rFonts w:eastAsia="Times New Roman" w:cs="Times New Roman"/>
          <w:rtl/>
          <w:lang w:eastAsia="de-DE"/>
        </w:rPr>
        <w:t xml:space="preserve"> </w:t>
      </w:r>
      <w:r w:rsidRPr="0098037E">
        <w:rPr>
          <w:rFonts w:eastAsia="Times New Roman" w:cs="Times New Roman"/>
          <w:lang w:eastAsia="de-DE"/>
        </w:rPr>
        <w:t>(Sauerteig) bei Speisopfern.</w:t>
      </w:r>
    </w:p>
    <w:p w14:paraId="6CA544A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מַחֲבַת</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τηγάνου</w:t>
      </w:r>
      <w:proofErr w:type="spellEnd"/>
      <w:r w:rsidRPr="0098037E">
        <w:rPr>
          <w:rFonts w:eastAsia="Times New Roman" w:cs="Times New Roman"/>
          <w:lang w:eastAsia="de-DE"/>
        </w:rPr>
        <w:t xml:space="preserve"> (Pfanne), </w:t>
      </w:r>
      <w:r w:rsidRPr="0098037E">
        <w:rPr>
          <w:rFonts w:eastAsia="Times New Roman" w:cs="Times New Roman"/>
          <w:b/>
          <w:bCs/>
          <w:rtl/>
          <w:lang w:eastAsia="de-DE"/>
        </w:rPr>
        <w:t>בְּלוּלָה</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εφυρ</w:t>
      </w:r>
      <w:proofErr w:type="spellEnd"/>
      <w:r w:rsidRPr="0098037E">
        <w:rPr>
          <w:rFonts w:eastAsia="Times New Roman" w:cs="Times New Roman"/>
          <w:lang w:eastAsia="de-DE"/>
        </w:rPr>
        <w:t xml:space="preserve">αμένη (gemengt) und </w:t>
      </w:r>
      <w:r w:rsidRPr="0098037E">
        <w:rPr>
          <w:rFonts w:eastAsia="Times New Roman" w:cs="Times New Roman"/>
          <w:b/>
          <w:bCs/>
          <w:rtl/>
          <w:lang w:eastAsia="de-DE"/>
        </w:rPr>
        <w:t>מַצָּה</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ἄζυμ</w:t>
      </w:r>
      <w:proofErr w:type="spellEnd"/>
      <w:r w:rsidRPr="0098037E">
        <w:rPr>
          <w:rFonts w:eastAsia="Times New Roman" w:cs="Times New Roman"/>
          <w:lang w:eastAsia="de-DE"/>
        </w:rPr>
        <w:t>α (ungesäuert), was die technischen Aspekte präzise wiedergibt.</w:t>
      </w:r>
    </w:p>
    <w:p w14:paraId="1B48CB0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(Konditionspartikel + Subjekt + Präpositionalphrase + Prädikatsbestimmung) → Apodosis (Objekt + Attribut + Prädikat + Verb). Die Apodosis definiert die drei Anforderungen: Material, Zubereitung, kultische Eigenschaft.</w:t>
      </w:r>
    </w:p>
    <w:p w14:paraId="52A0F90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führt eine dritte Zubereitungsart für Speisopfer ein und zeigt die Flexibilität der kultischen Bestimmungen bei gleichzeitiger Wahrung der Grundprinzipien.</w:t>
      </w:r>
    </w:p>
    <w:p w14:paraId="047F1BBA"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2,6</w:t>
      </w:r>
    </w:p>
    <w:p w14:paraId="1B57644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פָּת֤וֹת אֹתָהּ֙ פִּתִּ֔ים וְיָצַקְתָּ֥ עָלֶ֖יהָ שָׁ֑מֶן מִנְחָ֖ה הִֽוא׃</w:t>
      </w:r>
    </w:p>
    <w:p w14:paraId="02AF742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Du sollst es in Stücke zerbrechen und Öl darauf gießen: Es ist ein Speisopfer.</w:t>
      </w:r>
    </w:p>
    <w:p w14:paraId="2007CD05"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28F68E0">
          <v:rect id="_x0000_i1047" style="width:0;height:1.5pt" o:hralign="center" o:hrstd="t" o:hr="t" fillcolor="#a0a0a0" stroked="f"/>
        </w:pict>
      </w:r>
    </w:p>
    <w:p w14:paraId="6650EBEB" w14:textId="36B8586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פָּת֤וֹת</w:t>
      </w:r>
      <w:r w:rsidRPr="0098037E">
        <w:rPr>
          <w:rFonts w:eastAsia="Times New Roman" w:cs="Times New Roman"/>
          <w:rtl/>
          <w:lang w:eastAsia="de-DE"/>
        </w:rPr>
        <w:t xml:space="preserve"> </w:t>
      </w:r>
      <w:r w:rsidRPr="0098037E">
        <w:rPr>
          <w:rFonts w:eastAsia="Times New Roman" w:cs="Times New Roman"/>
          <w:lang w:eastAsia="de-DE"/>
        </w:rPr>
        <w:t xml:space="preserve">ist Qal-Infinitiv absolut von </w:t>
      </w:r>
      <w:r w:rsidRPr="0098037E">
        <w:rPr>
          <w:rFonts w:eastAsia="Times New Roman" w:cs="Times New Roman"/>
          <w:b/>
          <w:bCs/>
          <w:rtl/>
          <w:lang w:eastAsia="de-DE"/>
        </w:rPr>
        <w:t>פתת</w:t>
      </w:r>
      <w:r w:rsidRPr="0098037E">
        <w:rPr>
          <w:rFonts w:eastAsia="Times New Roman" w:cs="Times New Roman"/>
          <w:rtl/>
          <w:lang w:eastAsia="de-DE"/>
        </w:rPr>
        <w:t xml:space="preserve"> </w:t>
      </w:r>
      <w:r w:rsidRPr="0098037E">
        <w:rPr>
          <w:rFonts w:eastAsia="Times New Roman" w:cs="Times New Roman"/>
          <w:lang w:eastAsia="de-DE"/>
        </w:rPr>
        <w:t xml:space="preserve">(zerbrechen/zerbröckeln), hier in imperativischer Funktion. </w:t>
      </w:r>
      <w:r w:rsidRPr="0098037E">
        <w:rPr>
          <w:rFonts w:eastAsia="Times New Roman" w:cs="Times New Roman"/>
          <w:b/>
          <w:bCs/>
          <w:rtl/>
          <w:lang w:eastAsia="de-DE"/>
        </w:rPr>
        <w:t>אֹתָהּ֙</w:t>
      </w:r>
      <w:r w:rsidRPr="0098037E">
        <w:rPr>
          <w:rFonts w:eastAsia="Times New Roman" w:cs="Times New Roman"/>
          <w:rtl/>
          <w:lang w:eastAsia="de-DE"/>
        </w:rPr>
        <w:t xml:space="preserve"> </w:t>
      </w:r>
      <w:r w:rsidRPr="0098037E">
        <w:rPr>
          <w:rFonts w:eastAsia="Times New Roman" w:cs="Times New Roman"/>
          <w:lang w:eastAsia="de-DE"/>
        </w:rPr>
        <w:t xml:space="preserve">(es) mit </w:t>
      </w:r>
      <w:r w:rsidR="00E35C31">
        <w:rPr>
          <w:rFonts w:eastAsia="Times New Roman" w:cs="Times New Roman"/>
          <w:lang w:eastAsia="de-DE"/>
        </w:rPr>
        <w:t>femininem</w:t>
      </w:r>
      <w:r w:rsidRPr="0098037E">
        <w:rPr>
          <w:rFonts w:eastAsia="Times New Roman" w:cs="Times New Roman"/>
          <w:lang w:eastAsia="de-DE"/>
        </w:rPr>
        <w:t xml:space="preserve"> Suffix bezieht sich auf die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 xml:space="preserve">der Pfanne </w:t>
      </w:r>
      <w:r w:rsidRPr="0098037E">
        <w:rPr>
          <w:rFonts w:eastAsia="Times New Roman" w:cs="Times New Roman"/>
          <w:lang w:eastAsia="de-DE"/>
        </w:rPr>
        <w:lastRenderedPageBreak/>
        <w:t xml:space="preserve">zurück. </w:t>
      </w:r>
      <w:r w:rsidRPr="0098037E">
        <w:rPr>
          <w:rFonts w:eastAsia="Times New Roman" w:cs="Times New Roman"/>
          <w:b/>
          <w:bCs/>
          <w:rtl/>
          <w:lang w:eastAsia="de-DE"/>
        </w:rPr>
        <w:t>פִּתִּ֔ים</w:t>
      </w:r>
      <w:r w:rsidRPr="0098037E">
        <w:rPr>
          <w:rFonts w:eastAsia="Times New Roman" w:cs="Times New Roman"/>
          <w:rtl/>
          <w:lang w:eastAsia="de-DE"/>
        </w:rPr>
        <w:t xml:space="preserve"> </w:t>
      </w:r>
      <w:r w:rsidR="000D757C">
        <w:t>(Stücke/Brocken) bezeichnet das Ergebnis der Zerbrechung in handliche Portionen.</w:t>
      </w:r>
    </w:p>
    <w:p w14:paraId="49778291" w14:textId="4EC7391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וְיָצַקְתָּ֥</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יצק</w:t>
      </w:r>
      <w:r w:rsidRPr="0098037E">
        <w:rPr>
          <w:rFonts w:eastAsia="Times New Roman" w:cs="Times New Roman"/>
          <w:rtl/>
          <w:lang w:eastAsia="de-DE"/>
        </w:rPr>
        <w:t xml:space="preserve"> </w:t>
      </w:r>
      <w:r w:rsidRPr="0098037E">
        <w:rPr>
          <w:rFonts w:eastAsia="Times New Roman" w:cs="Times New Roman"/>
          <w:lang w:eastAsia="de-DE"/>
        </w:rPr>
        <w:t xml:space="preserve">(gießen), 2. Person maskulin Singular. </w:t>
      </w:r>
      <w:r w:rsidRPr="0098037E">
        <w:rPr>
          <w:rFonts w:eastAsia="Times New Roman" w:cs="Times New Roman"/>
          <w:b/>
          <w:bCs/>
          <w:rtl/>
          <w:lang w:eastAsia="de-DE"/>
        </w:rPr>
        <w:t>עָלֶ֖יהָ</w:t>
      </w:r>
      <w:r w:rsidRPr="0098037E">
        <w:rPr>
          <w:rFonts w:eastAsia="Times New Roman" w:cs="Times New Roman"/>
          <w:rtl/>
          <w:lang w:eastAsia="de-DE"/>
        </w:rPr>
        <w:t xml:space="preserve"> </w:t>
      </w:r>
      <w:r w:rsidRPr="0098037E">
        <w:rPr>
          <w:rFonts w:eastAsia="Times New Roman" w:cs="Times New Roman"/>
          <w:lang w:eastAsia="de-DE"/>
        </w:rPr>
        <w:t xml:space="preserve">(auf es) mit </w:t>
      </w:r>
      <w:r w:rsidR="00E35C31">
        <w:rPr>
          <w:rFonts w:eastAsia="Times New Roman" w:cs="Times New Roman"/>
          <w:lang w:eastAsia="de-DE"/>
        </w:rPr>
        <w:t>femininem</w:t>
      </w:r>
      <w:r w:rsidRPr="0098037E">
        <w:rPr>
          <w:rFonts w:eastAsia="Times New Roman" w:cs="Times New Roman"/>
          <w:lang w:eastAsia="de-DE"/>
        </w:rPr>
        <w:t xml:space="preserve"> Suffix. </w:t>
      </w: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 xml:space="preserve">(Öl) als direktes Objekt. Die abschließende Formel </w:t>
      </w:r>
      <w:r w:rsidRPr="0098037E">
        <w:rPr>
          <w:rFonts w:eastAsia="Times New Roman" w:cs="Times New Roman"/>
          <w:b/>
          <w:bCs/>
          <w:rtl/>
          <w:lang w:eastAsia="de-DE"/>
        </w:rPr>
        <w:t>מִנְחָ֖ה הִֽוא</w:t>
      </w:r>
      <w:r w:rsidRPr="0098037E">
        <w:rPr>
          <w:rFonts w:eastAsia="Times New Roman" w:cs="Times New Roman"/>
          <w:rtl/>
          <w:lang w:eastAsia="de-DE"/>
        </w:rPr>
        <w:t xml:space="preserve"> </w:t>
      </w:r>
      <w:r w:rsidRPr="0098037E">
        <w:rPr>
          <w:rFonts w:eastAsia="Times New Roman" w:cs="Times New Roman"/>
          <w:lang w:eastAsia="de-DE"/>
        </w:rPr>
        <w:t>(es ist ein Speisopfer) mit emphatischem Pronomen bestätigt den kultischen Status.</w:t>
      </w:r>
    </w:p>
    <w:p w14:paraId="08D8D99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פתת</w:t>
      </w:r>
      <w:r w:rsidRPr="0098037E">
        <w:rPr>
          <w:rFonts w:eastAsia="Times New Roman" w:cs="Times New Roman"/>
          <w:rtl/>
          <w:lang w:eastAsia="de-DE"/>
        </w:rPr>
        <w:t xml:space="preserve"> </w:t>
      </w:r>
      <w:r w:rsidRPr="0098037E">
        <w:rPr>
          <w:rFonts w:eastAsia="Times New Roman" w:cs="Times New Roman"/>
          <w:lang w:eastAsia="de-DE"/>
        </w:rPr>
        <w:t xml:space="preserve">(zerbrechen) ist eine spezifische Handlung bei Pfannenopfern, die das Brechen in handliche Stücke für die rituelle Verwendung beschreibt. Das zusätzliche Öl-Gießen nach dem Zerbrechen unterscheidet sich vom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(Mischen) während der Zubereitung.</w:t>
      </w:r>
    </w:p>
    <w:p w14:paraId="0220DC7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Wiederholung von Ölbehandlungen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 xml:space="preserve">beim Teig, </w:t>
      </w:r>
      <w:r w:rsidRPr="0098037E">
        <w:rPr>
          <w:rFonts w:eastAsia="Times New Roman" w:cs="Times New Roman"/>
          <w:b/>
          <w:bCs/>
          <w:rtl/>
          <w:lang w:eastAsia="de-DE"/>
        </w:rPr>
        <w:t>יצק</w:t>
      </w:r>
      <w:r w:rsidRPr="0098037E">
        <w:rPr>
          <w:rFonts w:eastAsia="Times New Roman" w:cs="Times New Roman"/>
          <w:rtl/>
          <w:lang w:eastAsia="de-DE"/>
        </w:rPr>
        <w:t xml:space="preserve"> </w:t>
      </w:r>
      <w:r w:rsidRPr="0098037E">
        <w:rPr>
          <w:rFonts w:eastAsia="Times New Roman" w:cs="Times New Roman"/>
          <w:lang w:eastAsia="de-DE"/>
        </w:rPr>
        <w:t xml:space="preserve">nach dem Zerbrechen) zeigt die Bedeutung des Öls als Symbol für Reinheit und Kostbarkeit im Kult. </w:t>
      </w:r>
      <w:r w:rsidRPr="0098037E">
        <w:rPr>
          <w:rFonts w:eastAsia="Times New Roman" w:cs="Times New Roman"/>
          <w:b/>
          <w:bCs/>
          <w:rtl/>
          <w:lang w:eastAsia="de-DE"/>
        </w:rPr>
        <w:t>פִּתִּ֔ים</w:t>
      </w:r>
      <w:r w:rsidRPr="0098037E">
        <w:rPr>
          <w:rFonts w:eastAsia="Times New Roman" w:cs="Times New Roman"/>
          <w:rtl/>
          <w:lang w:eastAsia="de-DE"/>
        </w:rPr>
        <w:t xml:space="preserve"> </w:t>
      </w:r>
      <w:r w:rsidRPr="0098037E">
        <w:rPr>
          <w:rFonts w:eastAsia="Times New Roman" w:cs="Times New Roman"/>
          <w:lang w:eastAsia="de-DE"/>
        </w:rPr>
        <w:t xml:space="preserve">ermöglicht eine präzise Portionierung für die </w:t>
      </w:r>
      <w:r w:rsidRPr="0098037E">
        <w:rPr>
          <w:rFonts w:eastAsia="Times New Roman" w:cs="Times New Roman"/>
          <w:b/>
          <w:bCs/>
          <w:rtl/>
          <w:lang w:eastAsia="de-DE"/>
        </w:rPr>
        <w:t>אַזְכָּרָה</w:t>
      </w:r>
      <w:r w:rsidRPr="0098037E">
        <w:rPr>
          <w:rFonts w:eastAsia="Times New Roman" w:cs="Times New Roman"/>
          <w:lang w:eastAsia="de-DE"/>
        </w:rPr>
        <w:t>.</w:t>
      </w:r>
    </w:p>
    <w:p w14:paraId="41B75E55" w14:textId="3D9831A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erweitert </w:t>
      </w:r>
      <w:r w:rsidR="005248F3">
        <w:rPr>
          <w:rtl/>
        </w:rPr>
        <w:t>מנחה הוא</w:t>
      </w:r>
      <w:r w:rsidR="005248F3">
        <w:t xml:space="preserve"> (</w:t>
      </w:r>
      <w:proofErr w:type="spellStart"/>
      <w:r w:rsidR="005248F3">
        <w:t>mincha</w:t>
      </w:r>
      <w:proofErr w:type="spellEnd"/>
      <w:r w:rsidR="005248F3">
        <w:t xml:space="preserve"> hi - "es ist ein Speisopfer") zu </w:t>
      </w:r>
      <w:proofErr w:type="spellStart"/>
      <w:r w:rsidR="005248F3">
        <w:t>θυσί</w:t>
      </w:r>
      <w:proofErr w:type="spellEnd"/>
      <w:r w:rsidR="005248F3">
        <w:t xml:space="preserve">α </w:t>
      </w:r>
      <w:proofErr w:type="spellStart"/>
      <w:r w:rsidR="005248F3">
        <w:t>ἐστὶν</w:t>
      </w:r>
      <w:proofErr w:type="spellEnd"/>
      <w:r w:rsidR="005248F3">
        <w:t xml:space="preserve"> </w:t>
      </w:r>
      <w:proofErr w:type="spellStart"/>
      <w:r w:rsidR="005248F3">
        <w:t>κυρίῳ</w:t>
      </w:r>
      <w:proofErr w:type="spellEnd"/>
      <w:r w:rsidR="005248F3">
        <w:t xml:space="preserve"> (es ist ein Opfer für den Herrn), was eine interpretierende Präzisierung darstellt.</w:t>
      </w:r>
    </w:p>
    <w:p w14:paraId="32AAC23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Imperative plus Identifikationsaussage: Infinitiv absolut + Objekt + Objektsbestimmung // Verb + Präpositionalphrase + Objekt // Prädikatsbestimmung + Subjekt. Die Infinitiv-absolut-Konstruktion verstärkt die Imperativbedeutung.</w:t>
      </w:r>
    </w:p>
    <w:p w14:paraId="5BE89E1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beschreibt die abschließende Vorbereitung von Pfannenopfern und bestätigt deren kultische Gültigkeit als </w:t>
      </w:r>
      <w:r w:rsidRPr="0098037E">
        <w:rPr>
          <w:rFonts w:eastAsia="Times New Roman" w:cs="Times New Roman"/>
          <w:b/>
          <w:bCs/>
          <w:rtl/>
          <w:lang w:eastAsia="de-DE"/>
        </w:rPr>
        <w:t>מִנְחָה</w:t>
      </w:r>
      <w:r w:rsidRPr="0098037E">
        <w:rPr>
          <w:rFonts w:eastAsia="Times New Roman" w:cs="Times New Roman"/>
          <w:lang w:eastAsia="de-DE"/>
        </w:rPr>
        <w:t>.</w:t>
      </w:r>
    </w:p>
    <w:p w14:paraId="06053BA9"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2,7</w:t>
      </w:r>
    </w:p>
    <w:p w14:paraId="11CE866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וְאִם־מִנְחַ֥ת מַרְחֶ֖שֶׁת קָרְבָּנֶ֑ךָ סֹ֥לֶת בַּשֶּׁ֖מֶן תֵּעָשֶֽׂה׃</w:t>
      </w:r>
    </w:p>
    <w:p w14:paraId="3B08011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deine Opfergabe ein Speisopfer im Napf ist, so soll es aus Feinmehl mit Öl gemacht werden.</w:t>
      </w:r>
    </w:p>
    <w:p w14:paraId="3D1F25C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2B71431">
          <v:rect id="_x0000_i1048" style="width:0;height:1.5pt" o:hralign="center" o:hrstd="t" o:hr="t" fillcolor="#a0a0a0" stroked="f"/>
        </w:pict>
      </w:r>
    </w:p>
    <w:p w14:paraId="6EF9FDC4" w14:textId="490D1FB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וְאִם־מִנְחַ֥ת מַרְחֶ֖שֶׁת</w:t>
      </w:r>
      <w:r w:rsidRPr="0098037E">
        <w:rPr>
          <w:rFonts w:eastAsia="Times New Roman" w:cs="Times New Roman"/>
          <w:rtl/>
          <w:lang w:eastAsia="de-DE"/>
        </w:rPr>
        <w:t xml:space="preserve"> </w:t>
      </w:r>
      <w:r w:rsidRPr="0098037E">
        <w:rPr>
          <w:rFonts w:eastAsia="Times New Roman" w:cs="Times New Roman"/>
          <w:lang w:eastAsia="de-DE"/>
        </w:rPr>
        <w:t xml:space="preserve">(und wenn ein Speisopfer des Napfes) zeigt </w:t>
      </w:r>
      <w:r w:rsidRPr="0098037E">
        <w:rPr>
          <w:rFonts w:eastAsia="Times New Roman" w:cs="Times New Roman"/>
          <w:b/>
          <w:bCs/>
          <w:rtl/>
          <w:lang w:eastAsia="de-DE"/>
        </w:rPr>
        <w:t>מִנְחַת</w:t>
      </w:r>
      <w:r w:rsidRPr="0098037E">
        <w:rPr>
          <w:rFonts w:eastAsia="Times New Roman" w:cs="Times New Roman"/>
          <w:rtl/>
          <w:lang w:eastAsia="de-DE"/>
        </w:rPr>
        <w:t xml:space="preserve"> </w:t>
      </w:r>
      <w:r w:rsidRPr="0098037E">
        <w:rPr>
          <w:rFonts w:eastAsia="Times New Roman" w:cs="Times New Roman"/>
          <w:lang w:eastAsia="de-DE"/>
        </w:rPr>
        <w:t xml:space="preserve">(Speisopfer von)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מַרְחֶשֶׁת</w:t>
      </w:r>
      <w:r w:rsidRPr="0098037E">
        <w:rPr>
          <w:rFonts w:eastAsia="Times New Roman" w:cs="Times New Roman"/>
          <w:rtl/>
          <w:lang w:eastAsia="de-DE"/>
        </w:rPr>
        <w:t xml:space="preserve"> </w:t>
      </w:r>
      <w:r w:rsidRPr="0098037E">
        <w:rPr>
          <w:rFonts w:eastAsia="Times New Roman" w:cs="Times New Roman"/>
          <w:lang w:eastAsia="de-DE"/>
        </w:rPr>
        <w:t xml:space="preserve">(Napf/tiefes Kochgefäß). </w:t>
      </w:r>
      <w:r w:rsidRPr="0098037E">
        <w:rPr>
          <w:rFonts w:eastAsia="Times New Roman" w:cs="Times New Roman"/>
          <w:b/>
          <w:bCs/>
          <w:rtl/>
          <w:lang w:eastAsia="de-DE"/>
        </w:rPr>
        <w:t>מַרְחֶשֶׁת</w:t>
      </w:r>
      <w:r w:rsidRPr="0098037E">
        <w:rPr>
          <w:rFonts w:eastAsia="Times New Roman" w:cs="Times New Roman"/>
          <w:rtl/>
          <w:lang w:eastAsia="de-DE"/>
        </w:rPr>
        <w:t xml:space="preserve"> </w:t>
      </w:r>
      <w:r w:rsidRPr="0098037E">
        <w:rPr>
          <w:rFonts w:eastAsia="Times New Roman" w:cs="Times New Roman"/>
          <w:lang w:eastAsia="de-DE"/>
        </w:rPr>
        <w:t xml:space="preserve">von der Wurzel </w:t>
      </w:r>
      <w:r w:rsidRPr="0098037E">
        <w:rPr>
          <w:rFonts w:eastAsia="Times New Roman" w:cs="Times New Roman"/>
          <w:b/>
          <w:bCs/>
          <w:rtl/>
          <w:lang w:eastAsia="de-DE"/>
        </w:rPr>
        <w:t>רחש</w:t>
      </w:r>
      <w:r w:rsidRPr="0098037E">
        <w:rPr>
          <w:rFonts w:eastAsia="Times New Roman" w:cs="Times New Roman"/>
          <w:rtl/>
          <w:lang w:eastAsia="de-DE"/>
        </w:rPr>
        <w:t xml:space="preserve"> </w:t>
      </w:r>
      <w:r w:rsidRPr="0098037E">
        <w:rPr>
          <w:rFonts w:eastAsia="Times New Roman" w:cs="Times New Roman"/>
          <w:lang w:eastAsia="de-DE"/>
        </w:rPr>
        <w:t xml:space="preserve">(kochen/sieden) bezeichnet ein tieferes Kochgefäß im Unterschied zur flachen </w:t>
      </w:r>
      <w:r w:rsidRPr="0098037E">
        <w:rPr>
          <w:rFonts w:eastAsia="Times New Roman" w:cs="Times New Roman"/>
          <w:b/>
          <w:bCs/>
          <w:rtl/>
          <w:lang w:eastAsia="de-DE"/>
        </w:rPr>
        <w:t>מַחֲבַת</w:t>
      </w:r>
      <w:r w:rsidRPr="0098037E">
        <w:rPr>
          <w:rFonts w:eastAsia="Times New Roman" w:cs="Times New Roman"/>
          <w:rtl/>
          <w:lang w:eastAsia="de-DE"/>
        </w:rPr>
        <w:t xml:space="preserve"> </w:t>
      </w:r>
      <w:r w:rsidRPr="0098037E">
        <w:rPr>
          <w:rFonts w:eastAsia="Times New Roman" w:cs="Times New Roman"/>
          <w:lang w:eastAsia="de-DE"/>
        </w:rPr>
        <w:t>(Pfanne).</w:t>
      </w:r>
    </w:p>
    <w:p w14:paraId="07892F4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קָרְבָּנֶ֑ךָ</w:t>
      </w:r>
      <w:r w:rsidRPr="0098037E">
        <w:rPr>
          <w:rFonts w:eastAsia="Times New Roman" w:cs="Times New Roman"/>
          <w:rtl/>
          <w:lang w:eastAsia="de-DE"/>
        </w:rPr>
        <w:t xml:space="preserve"> </w:t>
      </w:r>
      <w:r w:rsidRPr="0098037E">
        <w:rPr>
          <w:rFonts w:eastAsia="Times New Roman" w:cs="Times New Roman"/>
          <w:lang w:eastAsia="de-DE"/>
        </w:rPr>
        <w:t xml:space="preserve">(deine Opfergabe) mit Possessivsuffix 2. Person maskulin Singular. </w:t>
      </w:r>
      <w:r w:rsidRPr="0098037E">
        <w:rPr>
          <w:rFonts w:eastAsia="Times New Roman" w:cs="Times New Roman"/>
          <w:b/>
          <w:bCs/>
          <w:rtl/>
          <w:lang w:eastAsia="de-DE"/>
        </w:rPr>
        <w:t>סֹ֥לֶת בַּשֶּׁ֖מֶן תֵּעָשֶֽׂה</w:t>
      </w:r>
      <w:r w:rsidRPr="0098037E">
        <w:rPr>
          <w:rFonts w:eastAsia="Times New Roman" w:cs="Times New Roman"/>
          <w:rtl/>
          <w:lang w:eastAsia="de-DE"/>
        </w:rPr>
        <w:t xml:space="preserve"> </w:t>
      </w:r>
      <w:r w:rsidRPr="0098037E">
        <w:rPr>
          <w:rFonts w:eastAsia="Times New Roman" w:cs="Times New Roman"/>
          <w:lang w:eastAsia="de-DE"/>
        </w:rPr>
        <w:t xml:space="preserve">(aus Feinmehl mit Öl soll es gemacht werden) zeigt </w:t>
      </w:r>
      <w:r w:rsidRPr="0098037E">
        <w:rPr>
          <w:rFonts w:eastAsia="Times New Roman" w:cs="Times New Roman"/>
          <w:b/>
          <w:bCs/>
          <w:rtl/>
          <w:lang w:eastAsia="de-DE"/>
        </w:rPr>
        <w:t>עשה</w:t>
      </w:r>
      <w:r w:rsidRPr="0098037E">
        <w:rPr>
          <w:rFonts w:eastAsia="Times New Roman" w:cs="Times New Roman"/>
          <w:rtl/>
          <w:lang w:eastAsia="de-DE"/>
        </w:rPr>
        <w:t xml:space="preserve"> </w:t>
      </w:r>
      <w:r w:rsidRPr="0098037E">
        <w:rPr>
          <w:rFonts w:eastAsia="Times New Roman" w:cs="Times New Roman"/>
          <w:lang w:eastAsia="de-DE"/>
        </w:rPr>
        <w:t xml:space="preserve">(machen) im Nifal-Imperfekt 3. Person feminin Singular passiv, bezogen auf </w:t>
      </w:r>
      <w:r w:rsidRPr="0098037E">
        <w:rPr>
          <w:rFonts w:eastAsia="Times New Roman" w:cs="Times New Roman"/>
          <w:b/>
          <w:bCs/>
          <w:rtl/>
          <w:lang w:eastAsia="de-DE"/>
        </w:rPr>
        <w:t>מִנְחַת</w:t>
      </w:r>
      <w:r w:rsidRPr="0098037E">
        <w:rPr>
          <w:rFonts w:eastAsia="Times New Roman" w:cs="Times New Roman"/>
          <w:lang w:eastAsia="de-DE"/>
        </w:rPr>
        <w:t>.</w:t>
      </w:r>
    </w:p>
    <w:p w14:paraId="34E89AC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zwischen </w:t>
      </w:r>
      <w:r w:rsidRPr="0098037E">
        <w:rPr>
          <w:rFonts w:eastAsia="Times New Roman" w:cs="Times New Roman"/>
          <w:b/>
          <w:bCs/>
          <w:rtl/>
          <w:lang w:eastAsia="de-DE"/>
        </w:rPr>
        <w:t>מַחֲבַת</w:t>
      </w:r>
      <w:r w:rsidRPr="0098037E">
        <w:rPr>
          <w:rFonts w:eastAsia="Times New Roman" w:cs="Times New Roman"/>
          <w:rtl/>
          <w:lang w:eastAsia="de-DE"/>
        </w:rPr>
        <w:t xml:space="preserve"> </w:t>
      </w:r>
      <w:r w:rsidRPr="0098037E">
        <w:rPr>
          <w:rFonts w:eastAsia="Times New Roman" w:cs="Times New Roman"/>
          <w:lang w:eastAsia="de-DE"/>
        </w:rPr>
        <w:t xml:space="preserve">(Pfanne) und </w:t>
      </w:r>
      <w:r w:rsidRPr="0098037E">
        <w:rPr>
          <w:rFonts w:eastAsia="Times New Roman" w:cs="Times New Roman"/>
          <w:b/>
          <w:bCs/>
          <w:rtl/>
          <w:lang w:eastAsia="de-DE"/>
        </w:rPr>
        <w:t>מַרְחֶשֶׁת</w:t>
      </w:r>
      <w:r w:rsidRPr="0098037E">
        <w:rPr>
          <w:rFonts w:eastAsia="Times New Roman" w:cs="Times New Roman"/>
          <w:rtl/>
          <w:lang w:eastAsia="de-DE"/>
        </w:rPr>
        <w:t xml:space="preserve"> </w:t>
      </w:r>
      <w:r w:rsidRPr="0098037E">
        <w:rPr>
          <w:rFonts w:eastAsia="Times New Roman" w:cs="Times New Roman"/>
          <w:lang w:eastAsia="de-DE"/>
        </w:rPr>
        <w:t xml:space="preserve">(Napf) liegt in der Tiefe und damit der Zubereitungsart: Pfanne für flaches Backen, Napf für tieferes Kochen oder Dämpfen. </w:t>
      </w:r>
      <w:r w:rsidRPr="0098037E">
        <w:rPr>
          <w:rFonts w:eastAsia="Times New Roman" w:cs="Times New Roman"/>
          <w:b/>
          <w:bCs/>
          <w:rtl/>
          <w:lang w:eastAsia="de-DE"/>
        </w:rPr>
        <w:t>בַּשֶּׁ֖מֶן</w:t>
      </w:r>
      <w:r w:rsidRPr="0098037E">
        <w:rPr>
          <w:rFonts w:eastAsia="Times New Roman" w:cs="Times New Roman"/>
          <w:rtl/>
          <w:lang w:eastAsia="de-DE"/>
        </w:rPr>
        <w:t xml:space="preserve"> </w:t>
      </w:r>
      <w:r w:rsidRPr="0098037E">
        <w:rPr>
          <w:rFonts w:eastAsia="Times New Roman" w:cs="Times New Roman"/>
          <w:lang w:eastAsia="de-DE"/>
        </w:rPr>
        <w:t xml:space="preserve">(mit Öl) ohne </w:t>
      </w:r>
      <w:r w:rsidRPr="0098037E">
        <w:rPr>
          <w:rFonts w:eastAsia="Times New Roman" w:cs="Times New Roman"/>
          <w:b/>
          <w:bCs/>
          <w:rtl/>
          <w:lang w:eastAsia="de-DE"/>
        </w:rPr>
        <w:t>בלל</w:t>
      </w:r>
      <w:r w:rsidRPr="0098037E">
        <w:rPr>
          <w:rFonts w:eastAsia="Times New Roman" w:cs="Times New Roman"/>
          <w:rtl/>
          <w:lang w:eastAsia="de-DE"/>
        </w:rPr>
        <w:t xml:space="preserve"> </w:t>
      </w:r>
      <w:r w:rsidRPr="0098037E">
        <w:rPr>
          <w:rFonts w:eastAsia="Times New Roman" w:cs="Times New Roman"/>
          <w:lang w:eastAsia="de-DE"/>
        </w:rPr>
        <w:t>(mischen) deutet auf eine andere Art der Ölverwendung.</w:t>
      </w:r>
    </w:p>
    <w:p w14:paraId="5A869D2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 Kürze der Beschreibung im Vergleich zu den vorherigen Versen zeigt, dass </w:t>
      </w:r>
      <w:r w:rsidRPr="0098037E">
        <w:rPr>
          <w:rFonts w:eastAsia="Times New Roman" w:cs="Times New Roman"/>
          <w:b/>
          <w:bCs/>
          <w:rtl/>
          <w:lang w:eastAsia="de-DE"/>
        </w:rPr>
        <w:t>מַרְחֶשֶׁת</w:t>
      </w:r>
      <w:r w:rsidRPr="0098037E">
        <w:rPr>
          <w:rFonts w:eastAsia="Times New Roman" w:cs="Times New Roman"/>
          <w:lang w:eastAsia="de-DE"/>
        </w:rPr>
        <w:t xml:space="preserve">-Opfer einfacher sind oder als bekannt vorausgesetzt werden. Die Verwendung von </w:t>
      </w:r>
      <w:r w:rsidRPr="0098037E">
        <w:rPr>
          <w:rFonts w:eastAsia="Times New Roman" w:cs="Times New Roman"/>
          <w:b/>
          <w:bCs/>
          <w:rtl/>
          <w:lang w:eastAsia="de-DE"/>
        </w:rPr>
        <w:t>עשה</w:t>
      </w:r>
      <w:r w:rsidRPr="0098037E">
        <w:rPr>
          <w:rFonts w:eastAsia="Times New Roman" w:cs="Times New Roman"/>
          <w:rtl/>
          <w:lang w:eastAsia="de-DE"/>
        </w:rPr>
        <w:t xml:space="preserve"> </w:t>
      </w:r>
      <w:r w:rsidRPr="0098037E">
        <w:rPr>
          <w:rFonts w:eastAsia="Times New Roman" w:cs="Times New Roman"/>
          <w:lang w:eastAsia="de-DE"/>
        </w:rPr>
        <w:t>im Nifal betont den Herstellungsprozess.</w:t>
      </w:r>
    </w:p>
    <w:p w14:paraId="7947F1B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מַרְחֶשֶׁת</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ἐσχάρ</w:t>
      </w:r>
      <w:proofErr w:type="spellEnd"/>
      <w:r w:rsidRPr="0098037E">
        <w:rPr>
          <w:rFonts w:eastAsia="Times New Roman" w:cs="Times New Roman"/>
          <w:lang w:eastAsia="de-DE"/>
        </w:rPr>
        <w:t xml:space="preserve">ας (Pfanne/Rost), was möglicherweise eine andere Interpretation des Kochgeräts darstellt, und </w:t>
      </w:r>
      <w:r w:rsidRPr="0098037E">
        <w:rPr>
          <w:rFonts w:eastAsia="Times New Roman" w:cs="Times New Roman"/>
          <w:b/>
          <w:bCs/>
          <w:rtl/>
          <w:lang w:eastAsia="de-DE"/>
        </w:rPr>
        <w:t>תֵּעָשֶֽׂה</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οιηθήσετ</w:t>
      </w:r>
      <w:proofErr w:type="spellEnd"/>
      <w:r w:rsidRPr="0098037E">
        <w:rPr>
          <w:rFonts w:eastAsia="Times New Roman" w:cs="Times New Roman"/>
          <w:lang w:eastAsia="de-DE"/>
        </w:rPr>
        <w:t>αι (es soll gemacht werden).</w:t>
      </w:r>
    </w:p>
    <w:p w14:paraId="58106EFD" w14:textId="3E0D3E5E"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(Konditionspartikel + Subjekt im </w:t>
      </w:r>
      <w:r w:rsidR="005407E2">
        <w:rPr>
          <w:rFonts w:eastAsia="Times New Roman" w:cs="Times New Roman"/>
          <w:lang w:eastAsia="de-DE"/>
        </w:rPr>
        <w:t>Constructus</w:t>
      </w:r>
      <w:r w:rsidRPr="0098037E">
        <w:rPr>
          <w:rFonts w:eastAsia="Times New Roman" w:cs="Times New Roman"/>
          <w:lang w:eastAsia="de-DE"/>
        </w:rPr>
        <w:t xml:space="preserve"> + Prädikatsbestimmung) → Apodosis (Material + Präpositionalphrase + Verb). Die Struktur entspricht Vers 5, jedoch mit unterschiedlicher Zubereitungsweise.</w:t>
      </w:r>
    </w:p>
    <w:p w14:paraId="097ECFA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führt eine vierte Zubereitungsart für Speisopfer ein und zeigt die Vielfalt der kultisch akzeptablen Darreichungsformen.</w:t>
      </w:r>
    </w:p>
    <w:p w14:paraId="60F026A8"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2,8</w:t>
      </w:r>
    </w:p>
    <w:p w14:paraId="7807ECB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וְהֵבֵאתָ֣ אֶת־הַמִּנְחָ֗ה אֲשֶׁ֧ר יֵעָשֶׂ֛ה מֵאֵ֖לֶּה לַיהוָ֑ה וְהִקְרִיבָהּ֙ אֶל־הַכֹּהֵ֔ן וְהִגִּישָׁ֖הּ אֶל־הַמִּזְבֵּֽחַ׃</w:t>
      </w:r>
    </w:p>
    <w:p w14:paraId="4BF82B37" w14:textId="3624FA81" w:rsidR="0098037E" w:rsidRPr="0098037E" w:rsidRDefault="0098037E" w:rsidP="0098037E">
      <w:pPr>
        <w:pStyle w:val="whitespace-normal"/>
      </w:pPr>
      <w:r w:rsidRPr="0098037E">
        <w:rPr>
          <w:b/>
          <w:bCs/>
        </w:rPr>
        <w:t>Deutsch:</w:t>
      </w:r>
      <w:r w:rsidRPr="0098037E">
        <w:t xml:space="preserve"> Und du sollst das Speisopfer, das von diesen Dingen gemacht wird, dem Ewigen bringen; und man soll es dem Priester überreichen, und er soll es zum Altar tragen.</w:t>
      </w:r>
    </w:p>
    <w:p w14:paraId="0A9EB52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70EFB80">
          <v:rect id="_x0000_i1049" style="width:0;height:1.5pt" o:hralign="center" o:hrstd="t" o:hr="t" fillcolor="#a0a0a0" stroked="f"/>
        </w:pict>
      </w:r>
    </w:p>
    <w:p w14:paraId="05992AC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וְהֵבֵאתָ֣</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בוא</w:t>
      </w:r>
      <w:r w:rsidRPr="0098037E">
        <w:rPr>
          <w:rFonts w:eastAsia="Times New Roman" w:cs="Times New Roman"/>
          <w:rtl/>
          <w:lang w:eastAsia="de-DE"/>
        </w:rPr>
        <w:t xml:space="preserve"> </w:t>
      </w:r>
      <w:r w:rsidRPr="0098037E">
        <w:rPr>
          <w:rFonts w:eastAsia="Times New Roman" w:cs="Times New Roman"/>
          <w:lang w:eastAsia="de-DE"/>
        </w:rPr>
        <w:t xml:space="preserve">(bringen), 2. Person maskulin Singular. </w:t>
      </w:r>
      <w:r w:rsidRPr="0098037E">
        <w:rPr>
          <w:rFonts w:eastAsia="Times New Roman" w:cs="Times New Roman"/>
          <w:b/>
          <w:bCs/>
          <w:rtl/>
          <w:lang w:eastAsia="de-DE"/>
        </w:rPr>
        <w:t>אֶת־הַמִּנְחָ֗ה</w:t>
      </w:r>
      <w:r w:rsidRPr="0098037E">
        <w:rPr>
          <w:rFonts w:eastAsia="Times New Roman" w:cs="Times New Roman"/>
          <w:rtl/>
          <w:lang w:eastAsia="de-DE"/>
        </w:rPr>
        <w:t xml:space="preserve"> </w:t>
      </w:r>
      <w:r w:rsidRPr="0098037E">
        <w:rPr>
          <w:rFonts w:eastAsia="Times New Roman" w:cs="Times New Roman"/>
          <w:lang w:eastAsia="de-DE"/>
        </w:rPr>
        <w:t xml:space="preserve">(das Speisopfer) mit Nota accusativi. </w:t>
      </w:r>
      <w:r w:rsidRPr="0098037E">
        <w:rPr>
          <w:rFonts w:eastAsia="Times New Roman" w:cs="Times New Roman"/>
          <w:b/>
          <w:bCs/>
          <w:rtl/>
          <w:lang w:eastAsia="de-DE"/>
        </w:rPr>
        <w:t>אֲשֶׁ֧ר יֵעָשֶׂ֛ה מֵאֵ֖לֶּה</w:t>
      </w:r>
      <w:r w:rsidRPr="0098037E">
        <w:rPr>
          <w:rFonts w:eastAsia="Times New Roman" w:cs="Times New Roman"/>
          <w:rtl/>
          <w:lang w:eastAsia="de-DE"/>
        </w:rPr>
        <w:t xml:space="preserve"> </w:t>
      </w:r>
      <w:r w:rsidRPr="0098037E">
        <w:rPr>
          <w:rFonts w:eastAsia="Times New Roman" w:cs="Times New Roman"/>
          <w:lang w:eastAsia="de-DE"/>
        </w:rPr>
        <w:t xml:space="preserve">(das von diesen gemacht wird) ist ein Relativsatz: </w:t>
      </w:r>
      <w:r w:rsidRPr="0098037E">
        <w:rPr>
          <w:rFonts w:eastAsia="Times New Roman" w:cs="Times New Roman"/>
          <w:b/>
          <w:bCs/>
          <w:rtl/>
          <w:lang w:eastAsia="de-DE"/>
        </w:rPr>
        <w:t>אֲשֶׁר</w:t>
      </w:r>
      <w:r w:rsidRPr="0098037E">
        <w:rPr>
          <w:rFonts w:eastAsia="Times New Roman" w:cs="Times New Roman"/>
          <w:rtl/>
          <w:lang w:eastAsia="de-DE"/>
        </w:rPr>
        <w:t xml:space="preserve"> </w:t>
      </w:r>
      <w:r w:rsidRPr="0098037E">
        <w:rPr>
          <w:rFonts w:eastAsia="Times New Roman" w:cs="Times New Roman"/>
          <w:lang w:eastAsia="de-DE"/>
        </w:rPr>
        <w:t xml:space="preserve">(welches) + </w:t>
      </w:r>
      <w:r w:rsidRPr="0098037E">
        <w:rPr>
          <w:rFonts w:eastAsia="Times New Roman" w:cs="Times New Roman"/>
          <w:b/>
          <w:bCs/>
          <w:rtl/>
          <w:lang w:eastAsia="de-DE"/>
        </w:rPr>
        <w:t>יֵעָשֶׂה</w:t>
      </w:r>
      <w:r w:rsidRPr="0098037E">
        <w:rPr>
          <w:rFonts w:eastAsia="Times New Roman" w:cs="Times New Roman"/>
          <w:rtl/>
          <w:lang w:eastAsia="de-DE"/>
        </w:rPr>
        <w:t xml:space="preserve"> </w:t>
      </w:r>
      <w:r w:rsidRPr="0098037E">
        <w:rPr>
          <w:rFonts w:eastAsia="Times New Roman" w:cs="Times New Roman"/>
          <w:lang w:eastAsia="de-DE"/>
        </w:rPr>
        <w:t xml:space="preserve">(gemacht wird) im Nifal-Imperfekt 3. Person maskulin Singular + </w:t>
      </w:r>
      <w:r w:rsidRPr="0098037E">
        <w:rPr>
          <w:rFonts w:eastAsia="Times New Roman" w:cs="Times New Roman"/>
          <w:b/>
          <w:bCs/>
          <w:rtl/>
          <w:lang w:eastAsia="de-DE"/>
        </w:rPr>
        <w:t>מֵאֵלֶּה</w:t>
      </w:r>
      <w:r w:rsidRPr="0098037E">
        <w:rPr>
          <w:rFonts w:eastAsia="Times New Roman" w:cs="Times New Roman"/>
          <w:rtl/>
          <w:lang w:eastAsia="de-DE"/>
        </w:rPr>
        <w:t xml:space="preserve"> </w:t>
      </w:r>
      <w:r w:rsidRPr="0098037E">
        <w:rPr>
          <w:rFonts w:eastAsia="Times New Roman" w:cs="Times New Roman"/>
          <w:lang w:eastAsia="de-DE"/>
        </w:rPr>
        <w:t xml:space="preserve">(von diesen). </w:t>
      </w:r>
      <w:r w:rsidRPr="0098037E">
        <w:rPr>
          <w:rFonts w:eastAsia="Times New Roman" w:cs="Times New Roman"/>
          <w:b/>
          <w:bCs/>
          <w:rtl/>
          <w:lang w:eastAsia="de-DE"/>
        </w:rPr>
        <w:t>אֵלֶּה</w:t>
      </w:r>
      <w:r w:rsidRPr="0098037E">
        <w:rPr>
          <w:rFonts w:eastAsia="Times New Roman" w:cs="Times New Roman"/>
          <w:rtl/>
          <w:lang w:eastAsia="de-DE"/>
        </w:rPr>
        <w:t xml:space="preserve"> </w:t>
      </w:r>
      <w:r w:rsidRPr="0098037E">
        <w:rPr>
          <w:rFonts w:eastAsia="Times New Roman" w:cs="Times New Roman"/>
          <w:lang w:eastAsia="de-DE"/>
        </w:rPr>
        <w:t>(diese) bezieht sich auf die verschiedenen Zubereitungsarten der Verse 4-7.</w:t>
      </w:r>
    </w:p>
    <w:p w14:paraId="600C0829" w14:textId="3F0C94A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 xml:space="preserve">(für JHWH) zeigt den ultimativen Empfänger. </w:t>
      </w:r>
      <w:r w:rsidRPr="0098037E">
        <w:rPr>
          <w:rFonts w:eastAsia="Times New Roman" w:cs="Times New Roman"/>
          <w:b/>
          <w:bCs/>
          <w:rtl/>
          <w:lang w:eastAsia="de-DE"/>
        </w:rPr>
        <w:t>וְהִקְרִיבָהּ֙</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(nahen/darbringen), 3. Person maskulin Singular mit </w:t>
      </w:r>
      <w:r w:rsidR="00E35C31">
        <w:rPr>
          <w:rFonts w:eastAsia="Times New Roman" w:cs="Times New Roman"/>
          <w:lang w:eastAsia="de-DE"/>
        </w:rPr>
        <w:t>femininem</w:t>
      </w:r>
      <w:r w:rsidRPr="0098037E">
        <w:rPr>
          <w:rFonts w:eastAsia="Times New Roman" w:cs="Times New Roman"/>
          <w:lang w:eastAsia="de-DE"/>
        </w:rPr>
        <w:t xml:space="preserve"> Objektsuffix. Das Subjekt wechselt implizit vom Opfernden (2. Person) zu einer unbestimmten 3. Person (man).</w:t>
      </w:r>
    </w:p>
    <w:p w14:paraId="48A1F93E" w14:textId="4F12CC35"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אֶל־הַכֹּהֵ֔ן</w:t>
      </w:r>
      <w:r w:rsidRPr="0098037E">
        <w:rPr>
          <w:rFonts w:eastAsia="Times New Roman" w:cs="Times New Roman"/>
          <w:rtl/>
          <w:lang w:eastAsia="de-DE"/>
        </w:rPr>
        <w:t xml:space="preserve"> </w:t>
      </w:r>
      <w:r w:rsidRPr="0098037E">
        <w:rPr>
          <w:rFonts w:eastAsia="Times New Roman" w:cs="Times New Roman"/>
          <w:lang w:eastAsia="de-DE"/>
        </w:rPr>
        <w:t xml:space="preserve">(zu dem Priester) zeigt die erste Station der Opferdarbringung. </w:t>
      </w:r>
      <w:r w:rsidRPr="0098037E">
        <w:rPr>
          <w:rFonts w:eastAsia="Times New Roman" w:cs="Times New Roman"/>
          <w:b/>
          <w:bCs/>
          <w:rtl/>
          <w:lang w:eastAsia="de-DE"/>
        </w:rPr>
        <w:t>וְהִגִּישָׁ֖הּ</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נגש</w:t>
      </w:r>
      <w:r w:rsidRPr="0098037E">
        <w:rPr>
          <w:rFonts w:eastAsia="Times New Roman" w:cs="Times New Roman"/>
          <w:rtl/>
          <w:lang w:eastAsia="de-DE"/>
        </w:rPr>
        <w:t xml:space="preserve"> </w:t>
      </w:r>
      <w:r w:rsidRPr="0098037E">
        <w:rPr>
          <w:rFonts w:eastAsia="Times New Roman" w:cs="Times New Roman"/>
          <w:lang w:eastAsia="de-DE"/>
        </w:rPr>
        <w:t xml:space="preserve">(nahen/heranbringen), 3. Person maskulin Singular mit </w:t>
      </w:r>
      <w:r w:rsidR="00E35C31">
        <w:rPr>
          <w:rFonts w:eastAsia="Times New Roman" w:cs="Times New Roman"/>
          <w:lang w:eastAsia="de-DE"/>
        </w:rPr>
        <w:t>femininem</w:t>
      </w:r>
      <w:r w:rsidRPr="0098037E">
        <w:rPr>
          <w:rFonts w:eastAsia="Times New Roman" w:cs="Times New Roman"/>
          <w:lang w:eastAsia="de-DE"/>
        </w:rPr>
        <w:t xml:space="preserve"> Objektsuffix. </w:t>
      </w:r>
      <w:r w:rsidRPr="0098037E">
        <w:rPr>
          <w:rFonts w:eastAsia="Times New Roman" w:cs="Times New Roman"/>
          <w:b/>
          <w:bCs/>
          <w:rtl/>
          <w:lang w:eastAsia="de-DE"/>
        </w:rPr>
        <w:t>אֶל־הַמִּזְבֵּֽחַ</w:t>
      </w:r>
      <w:r w:rsidRPr="0098037E">
        <w:rPr>
          <w:rFonts w:eastAsia="Times New Roman" w:cs="Times New Roman"/>
          <w:rtl/>
          <w:lang w:eastAsia="de-DE"/>
        </w:rPr>
        <w:t xml:space="preserve"> </w:t>
      </w:r>
      <w:r w:rsidRPr="0098037E">
        <w:rPr>
          <w:rFonts w:eastAsia="Times New Roman" w:cs="Times New Roman"/>
          <w:lang w:eastAsia="de-DE"/>
        </w:rPr>
        <w:t>(zum Altar) ist das finale Ziel.</w:t>
      </w:r>
    </w:p>
    <w:p w14:paraId="08E38C0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zwischen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und </w:t>
      </w:r>
      <w:r w:rsidRPr="0098037E">
        <w:rPr>
          <w:rFonts w:eastAsia="Times New Roman" w:cs="Times New Roman"/>
          <w:b/>
          <w:bCs/>
          <w:rtl/>
          <w:lang w:eastAsia="de-DE"/>
        </w:rPr>
        <w:t>נגש</w:t>
      </w:r>
      <w:r w:rsidRPr="0098037E">
        <w:rPr>
          <w:rFonts w:eastAsia="Times New Roman" w:cs="Times New Roman"/>
          <w:rtl/>
          <w:lang w:eastAsia="de-DE"/>
        </w:rPr>
        <w:t xml:space="preserve"> </w:t>
      </w:r>
      <w:r w:rsidRPr="0098037E">
        <w:rPr>
          <w:rFonts w:eastAsia="Times New Roman" w:cs="Times New Roman"/>
          <w:lang w:eastAsia="de-DE"/>
        </w:rPr>
        <w:t xml:space="preserve">(heranbringen) zeigt zwei Stufen: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für die Übergabe an den Priester, </w:t>
      </w:r>
      <w:r w:rsidRPr="0098037E">
        <w:rPr>
          <w:rFonts w:eastAsia="Times New Roman" w:cs="Times New Roman"/>
          <w:b/>
          <w:bCs/>
          <w:rtl/>
          <w:lang w:eastAsia="de-DE"/>
        </w:rPr>
        <w:t>נגש</w:t>
      </w:r>
      <w:r w:rsidRPr="0098037E">
        <w:rPr>
          <w:rFonts w:eastAsia="Times New Roman" w:cs="Times New Roman"/>
          <w:rtl/>
          <w:lang w:eastAsia="de-DE"/>
        </w:rPr>
        <w:t xml:space="preserve"> </w:t>
      </w:r>
      <w:r w:rsidRPr="0098037E">
        <w:rPr>
          <w:rFonts w:eastAsia="Times New Roman" w:cs="Times New Roman"/>
          <w:lang w:eastAsia="de-DE"/>
        </w:rPr>
        <w:t>für die Bewegung zum Altar. Der Subjektwechsel zeigt die geteilte Verantwortung: Laie bringt zum Priester, Priester bringt zum Altar.</w:t>
      </w:r>
    </w:p>
    <w:p w14:paraId="1C7FAD7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מֵאֵלֶּה</w:t>
      </w:r>
      <w:r w:rsidRPr="0098037E">
        <w:rPr>
          <w:rFonts w:eastAsia="Times New Roman" w:cs="Times New Roman"/>
          <w:rtl/>
          <w:lang w:eastAsia="de-DE"/>
        </w:rPr>
        <w:t xml:space="preserve"> </w:t>
      </w:r>
      <w:r w:rsidRPr="0098037E">
        <w:rPr>
          <w:rFonts w:eastAsia="Times New Roman" w:cs="Times New Roman"/>
          <w:lang w:eastAsia="de-DE"/>
        </w:rPr>
        <w:t>(von diesen) fasst alle vorherigen Zubereitungsarten (Ofen, Pfanne, Napf) zusammen und zeigt, dass dieser Vers als allgemeine Schlussbestimmung für alle zubereiteten Speisopfer gilt.</w:t>
      </w:r>
    </w:p>
    <w:p w14:paraId="692EFF5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וְהֵבֵאתָ֣</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οἴσεις</w:t>
      </w:r>
      <w:proofErr w:type="spellEnd"/>
      <w:r w:rsidRPr="0098037E">
        <w:rPr>
          <w:rFonts w:eastAsia="Times New Roman" w:cs="Times New Roman"/>
          <w:lang w:eastAsia="de-DE"/>
        </w:rPr>
        <w:t xml:space="preserve"> (und du sollst bringen), </w:t>
      </w:r>
      <w:r w:rsidRPr="0098037E">
        <w:rPr>
          <w:rFonts w:eastAsia="Times New Roman" w:cs="Times New Roman"/>
          <w:b/>
          <w:bCs/>
          <w:rtl/>
          <w:lang w:eastAsia="de-DE"/>
        </w:rPr>
        <w:t>וְהִקְרִיבָהּ֙</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ροσάξει</w:t>
      </w:r>
      <w:proofErr w:type="spellEnd"/>
      <w:r w:rsidRPr="0098037E">
        <w:rPr>
          <w:rFonts w:eastAsia="Times New Roman" w:cs="Times New Roman"/>
          <w:lang w:eastAsia="de-DE"/>
        </w:rPr>
        <w:t xml:space="preserve"> (und er soll heranbringen) und </w:t>
      </w:r>
      <w:r w:rsidRPr="0098037E">
        <w:rPr>
          <w:rFonts w:eastAsia="Times New Roman" w:cs="Times New Roman"/>
          <w:b/>
          <w:bCs/>
          <w:rtl/>
          <w:lang w:eastAsia="de-DE"/>
        </w:rPr>
        <w:t>וְהִגִּישָׁ֖הּ</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ροσοίσει</w:t>
      </w:r>
      <w:proofErr w:type="spellEnd"/>
      <w:r w:rsidRPr="0098037E">
        <w:rPr>
          <w:rFonts w:eastAsia="Times New Roman" w:cs="Times New Roman"/>
          <w:lang w:eastAsia="de-DE"/>
        </w:rPr>
        <w:t xml:space="preserve"> (und er soll darbringen), was die Handlungssequenz verdeutlicht.</w:t>
      </w:r>
    </w:p>
    <w:p w14:paraId="4B071E5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Satzstruktur:</w:t>
      </w:r>
      <w:r w:rsidRPr="0098037E">
        <w:rPr>
          <w:rFonts w:eastAsia="Times New Roman" w:cs="Times New Roman"/>
          <w:lang w:eastAsia="de-DE"/>
        </w:rPr>
        <w:t xml:space="preserve"> zeigt drei koordinierte Hauptsätze: Verb + Objekt mit Relativsatz + Dativangabe // Verb + Objekt + Adverbialbestimmung // Verb + Objekt + Adverbialbestimmung. Der Relativsatz fungiert als Attributsatz zur Spezifizierung des Opfers.</w:t>
      </w:r>
    </w:p>
    <w:p w14:paraId="6B232EF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das allgemeine Verfahren für alle zubereiteten Speisopfer und zeigt die klare Aufgabenteilung zwischen Opferndem und Priester im Opferritual.</w:t>
      </w:r>
    </w:p>
    <w:p w14:paraId="3FCCB6C2"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2,9</w:t>
      </w:r>
    </w:p>
    <w:p w14:paraId="2B8BF6D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וְהֵרִ֨ים הַכֹּהֵ֤ן מִן־הַמִּנְחָה֙ אֶת־אַזְכָּ֣רָתָ֔הּ וְהִקְטִ֖יר הַמִּזְבֵּ֑חָה אִשֵּׁ֛ה רֵ֥יחַ נִיחֹ֖חַ לַיהוָֽה׃</w:t>
      </w:r>
    </w:p>
    <w:p w14:paraId="338938B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der Priester soll von dem Speisopfer dessen Gedächtnisteil abheben und es auf dem Altar räuchern: Es ist ein Feueropfer wohlgefälligen Geruchs dem Ewigen.</w:t>
      </w:r>
    </w:p>
    <w:p w14:paraId="3251E7E6"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4D35922">
          <v:rect id="_x0000_i1050" style="width:0;height:1.5pt" o:hralign="center" o:hrstd="t" o:hr="t" fillcolor="#a0a0a0" stroked="f"/>
        </w:pict>
      </w:r>
    </w:p>
    <w:p w14:paraId="0B3A427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וְהֵרִ֨ים</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רום</w:t>
      </w:r>
      <w:r w:rsidRPr="0098037E">
        <w:rPr>
          <w:rFonts w:eastAsia="Times New Roman" w:cs="Times New Roman"/>
          <w:rtl/>
          <w:lang w:eastAsia="de-DE"/>
        </w:rPr>
        <w:t xml:space="preserve"> </w:t>
      </w:r>
      <w:r w:rsidRPr="0098037E">
        <w:rPr>
          <w:rFonts w:eastAsia="Times New Roman" w:cs="Times New Roman"/>
          <w:lang w:eastAsia="de-DE"/>
        </w:rPr>
        <w:t xml:space="preserve">(erheben/abheben),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w:t>
      </w:r>
      <w:r w:rsidRPr="0098037E">
        <w:rPr>
          <w:rFonts w:eastAsia="Times New Roman" w:cs="Times New Roman"/>
          <w:b/>
          <w:bCs/>
          <w:rtl/>
          <w:lang w:eastAsia="de-DE"/>
        </w:rPr>
        <w:t>מִן־הַמִּנְחָה֙</w:t>
      </w:r>
      <w:r w:rsidRPr="0098037E">
        <w:rPr>
          <w:rFonts w:eastAsia="Times New Roman" w:cs="Times New Roman"/>
          <w:rtl/>
          <w:lang w:eastAsia="de-DE"/>
        </w:rPr>
        <w:t xml:space="preserve"> </w:t>
      </w:r>
      <w:r w:rsidRPr="0098037E">
        <w:rPr>
          <w:rFonts w:eastAsia="Times New Roman" w:cs="Times New Roman"/>
          <w:lang w:eastAsia="de-DE"/>
        </w:rPr>
        <w:t xml:space="preserve">(von dem Speisopfer) zeigt partitive Herkunft. </w:t>
      </w:r>
      <w:r w:rsidRPr="0098037E">
        <w:rPr>
          <w:rFonts w:eastAsia="Times New Roman" w:cs="Times New Roman"/>
          <w:b/>
          <w:bCs/>
          <w:rtl/>
          <w:lang w:eastAsia="de-DE"/>
        </w:rPr>
        <w:t>אֶת־אַזְכָּ֣רָתָ֔הּ</w:t>
      </w:r>
      <w:r w:rsidRPr="0098037E">
        <w:rPr>
          <w:rFonts w:eastAsia="Times New Roman" w:cs="Times New Roman"/>
          <w:rtl/>
          <w:lang w:eastAsia="de-DE"/>
        </w:rPr>
        <w:t xml:space="preserve"> </w:t>
      </w:r>
      <w:r w:rsidRPr="0098037E">
        <w:rPr>
          <w:rFonts w:eastAsia="Times New Roman" w:cs="Times New Roman"/>
          <w:lang w:eastAsia="de-DE"/>
        </w:rPr>
        <w:t xml:space="preserve">(ihr Gedächtnisteil) mit Possessivsuffix 3. Person feminin Singular, bezogen auf </w:t>
      </w:r>
      <w:r w:rsidRPr="0098037E">
        <w:rPr>
          <w:rFonts w:eastAsia="Times New Roman" w:cs="Times New Roman"/>
          <w:b/>
          <w:bCs/>
          <w:rtl/>
          <w:lang w:eastAsia="de-DE"/>
        </w:rPr>
        <w:t>מִנְחָה</w:t>
      </w:r>
      <w:r w:rsidRPr="0098037E">
        <w:rPr>
          <w:rFonts w:eastAsia="Times New Roman" w:cs="Times New Roman"/>
          <w:lang w:eastAsia="de-DE"/>
        </w:rPr>
        <w:t>.</w:t>
      </w:r>
    </w:p>
    <w:p w14:paraId="551495E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רום</w:t>
      </w:r>
      <w:r w:rsidRPr="0098037E">
        <w:rPr>
          <w:rFonts w:eastAsia="Times New Roman" w:cs="Times New Roman"/>
          <w:rtl/>
          <w:lang w:eastAsia="de-DE"/>
        </w:rPr>
        <w:t xml:space="preserve"> </w:t>
      </w:r>
      <w:r w:rsidRPr="0098037E">
        <w:rPr>
          <w:rFonts w:eastAsia="Times New Roman" w:cs="Times New Roman"/>
          <w:lang w:eastAsia="de-DE"/>
        </w:rPr>
        <w:t>im Hifil (</w:t>
      </w:r>
      <w:r w:rsidRPr="0098037E">
        <w:rPr>
          <w:rFonts w:eastAsia="Times New Roman" w:cs="Times New Roman"/>
          <w:b/>
          <w:bCs/>
          <w:rtl/>
          <w:lang w:eastAsia="de-DE"/>
        </w:rPr>
        <w:t>הרים</w:t>
      </w:r>
      <w:r w:rsidRPr="0098037E">
        <w:rPr>
          <w:rFonts w:eastAsia="Times New Roman" w:cs="Times New Roman"/>
          <w:lang w:eastAsia="de-DE"/>
        </w:rPr>
        <w:t xml:space="preserve">) ist technischer Terminus für das rituelle "Abheben" oder "Erheben" der </w:t>
      </w:r>
      <w:r w:rsidRPr="0098037E">
        <w:rPr>
          <w:rFonts w:eastAsia="Times New Roman" w:cs="Times New Roman"/>
          <w:b/>
          <w:bCs/>
          <w:rtl/>
          <w:lang w:eastAsia="de-DE"/>
        </w:rPr>
        <w:t>אַזְכָּרָה</w:t>
      </w:r>
      <w:r w:rsidRPr="0098037E">
        <w:rPr>
          <w:rFonts w:eastAsia="Times New Roman" w:cs="Times New Roman"/>
          <w:lang w:eastAsia="de-DE"/>
        </w:rPr>
        <w:t xml:space="preserve">. Diese Handlung entspricht dem </w:t>
      </w:r>
      <w:r w:rsidRPr="0098037E">
        <w:rPr>
          <w:rFonts w:eastAsia="Times New Roman" w:cs="Times New Roman"/>
          <w:b/>
          <w:bCs/>
          <w:rtl/>
          <w:lang w:eastAsia="de-DE"/>
        </w:rPr>
        <w:t>קמץ</w:t>
      </w:r>
      <w:r w:rsidRPr="0098037E">
        <w:rPr>
          <w:rFonts w:eastAsia="Times New Roman" w:cs="Times New Roman"/>
          <w:rtl/>
          <w:lang w:eastAsia="de-DE"/>
        </w:rPr>
        <w:t xml:space="preserve"> </w:t>
      </w:r>
      <w:r w:rsidRPr="0098037E">
        <w:rPr>
          <w:rFonts w:eastAsia="Times New Roman" w:cs="Times New Roman"/>
          <w:lang w:eastAsia="de-DE"/>
        </w:rPr>
        <w:t>(eine Handvoll nehmen) in Vers 2, zeigt aber bei zubereiteten Speisopfern möglicherweise eine andere Technik.</w:t>
      </w:r>
    </w:p>
    <w:p w14:paraId="11C70A5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Singular.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 xml:space="preserve">(zum Altar hin) mit Richtungs-He. Die Abschlussformel </w:t>
      </w:r>
      <w:r w:rsidRPr="0098037E">
        <w:rPr>
          <w:rFonts w:eastAsia="Times New Roman" w:cs="Times New Roman"/>
          <w:b/>
          <w:bCs/>
          <w:rtl/>
          <w:lang w:eastAsia="de-DE"/>
        </w:rPr>
        <w:t>אִשֵּׁ֛ה רֵ֥יחַ נִיחֹ֖חַ לַיהוָֽה</w:t>
      </w:r>
      <w:r w:rsidRPr="0098037E">
        <w:rPr>
          <w:rFonts w:eastAsia="Times New Roman" w:cs="Times New Roman"/>
          <w:rtl/>
          <w:lang w:eastAsia="de-DE"/>
        </w:rPr>
        <w:t xml:space="preserve"> </w:t>
      </w:r>
      <w:r w:rsidRPr="0098037E">
        <w:rPr>
          <w:rFonts w:eastAsia="Times New Roman" w:cs="Times New Roman"/>
          <w:lang w:eastAsia="de-DE"/>
        </w:rPr>
        <w:t>entspricht exakt Vers 2 und anderen Opfern.</w:t>
      </w:r>
    </w:p>
    <w:p w14:paraId="1BE3B20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 xml:space="preserve">(Gedächtnisteil) ist bei zubereiteten Speisopfern nicht durch </w:t>
      </w:r>
      <w:r w:rsidRPr="0098037E">
        <w:rPr>
          <w:rFonts w:eastAsia="Times New Roman" w:cs="Times New Roman"/>
          <w:b/>
          <w:bCs/>
          <w:rtl/>
          <w:lang w:eastAsia="de-DE"/>
        </w:rPr>
        <w:t>קֹמֶץ</w:t>
      </w:r>
      <w:r w:rsidRPr="0098037E">
        <w:rPr>
          <w:rFonts w:eastAsia="Times New Roman" w:cs="Times New Roman"/>
          <w:rtl/>
          <w:lang w:eastAsia="de-DE"/>
        </w:rPr>
        <w:t xml:space="preserve"> </w:t>
      </w:r>
      <w:r w:rsidRPr="0098037E">
        <w:rPr>
          <w:rFonts w:eastAsia="Times New Roman" w:cs="Times New Roman"/>
          <w:lang w:eastAsia="de-DE"/>
        </w:rPr>
        <w:t xml:space="preserve">(Handvoll) definiert, sondern durch </w:t>
      </w:r>
      <w:r w:rsidRPr="0098037E">
        <w:rPr>
          <w:rFonts w:eastAsia="Times New Roman" w:cs="Times New Roman"/>
          <w:b/>
          <w:bCs/>
          <w:rtl/>
          <w:lang w:eastAsia="de-DE"/>
        </w:rPr>
        <w:t>הרים</w:t>
      </w:r>
      <w:r w:rsidRPr="0098037E">
        <w:rPr>
          <w:rFonts w:eastAsia="Times New Roman" w:cs="Times New Roman"/>
          <w:rtl/>
          <w:lang w:eastAsia="de-DE"/>
        </w:rPr>
        <w:t xml:space="preserve"> </w:t>
      </w:r>
      <w:r w:rsidRPr="0098037E">
        <w:rPr>
          <w:rFonts w:eastAsia="Times New Roman" w:cs="Times New Roman"/>
          <w:lang w:eastAsia="de-DE"/>
        </w:rPr>
        <w:t xml:space="preserve">(Abheben), was auf einen angemessenen Teil der zubereiteten Speise hindeutet. Die priesterliche Bestimmung der </w:t>
      </w:r>
      <w:r w:rsidRPr="0098037E">
        <w:rPr>
          <w:rFonts w:eastAsia="Times New Roman" w:cs="Times New Roman"/>
          <w:b/>
          <w:bCs/>
          <w:rtl/>
          <w:lang w:eastAsia="de-DE"/>
        </w:rPr>
        <w:t>אַזְכָּרָה</w:t>
      </w:r>
      <w:r w:rsidRPr="0098037E">
        <w:rPr>
          <w:rFonts w:eastAsia="Times New Roman" w:cs="Times New Roman"/>
          <w:lang w:eastAsia="de-DE"/>
        </w:rPr>
        <w:t>-Größe zeigt kultische Flexibilität.</w:t>
      </w:r>
    </w:p>
    <w:p w14:paraId="0930650C" w14:textId="2D0CCB8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FD4959">
        <w:t xml:space="preserve">verwendet </w:t>
      </w:r>
      <w:proofErr w:type="spellStart"/>
      <w:r w:rsidR="00FD4959">
        <w:t>κάρ</w:t>
      </w:r>
      <w:proofErr w:type="spellEnd"/>
      <w:r w:rsidR="00FD4959">
        <w:t xml:space="preserve">πωμα (Fruchtopfer) statt der üblichen </w:t>
      </w:r>
      <w:proofErr w:type="spellStart"/>
      <w:r w:rsidR="00FD4959">
        <w:t>θυσί</w:t>
      </w:r>
      <w:proofErr w:type="spellEnd"/>
      <w:r w:rsidR="00FD4959">
        <w:t xml:space="preserve">α für </w:t>
      </w:r>
      <w:r w:rsidR="00FD4959">
        <w:rPr>
          <w:rtl/>
        </w:rPr>
        <w:t>אשה</w:t>
      </w:r>
      <w:r w:rsidR="00FD4959">
        <w:t xml:space="preserve"> (</w:t>
      </w:r>
      <w:proofErr w:type="spellStart"/>
      <w:r w:rsidR="00FD4959">
        <w:t>ischeh</w:t>
      </w:r>
      <w:proofErr w:type="spellEnd"/>
      <w:r w:rsidR="00FD4959">
        <w:t>), was die Interpretation als "Ertragsopfer" fortsetzt.</w:t>
      </w:r>
    </w:p>
    <w:p w14:paraId="20A135E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plus Charakterisierung: Verb + Subjekt + Präpositionalphrase + Objekt // Verb + Adverbialbestimmung // dreifache Prädikatsbestimmung. Die Struktur entspricht Vers 2 und zeigt die Konsistenz des Speisopferrituals.</w:t>
      </w:r>
    </w:p>
    <w:p w14:paraId="639ECA9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beschreibt die priesterliche Handlung bei zubereiteten Speisopfern und etabliert deren vollständige Gleichwertigkeit mit rohen Speisopfern durch identische </w:t>
      </w:r>
      <w:r w:rsidRPr="0098037E">
        <w:rPr>
          <w:rFonts w:eastAsia="Times New Roman" w:cs="Times New Roman"/>
          <w:b/>
          <w:bCs/>
          <w:rtl/>
          <w:lang w:eastAsia="de-DE"/>
        </w:rPr>
        <w:t>אַזְכָּרָה</w:t>
      </w:r>
      <w:r w:rsidRPr="0098037E">
        <w:rPr>
          <w:rFonts w:eastAsia="Times New Roman" w:cs="Times New Roman"/>
          <w:lang w:eastAsia="de-DE"/>
        </w:rPr>
        <w:t>-Behandlung.</w:t>
      </w:r>
    </w:p>
    <w:p w14:paraId="5DD00376"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2,10</w:t>
      </w:r>
    </w:p>
    <w:p w14:paraId="1021AD9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וְהַנּוֹתֶ֨רֶת֙ מִן־הַמִּנְחָ֔ה לְאַהֲרֹ֖ן וּלְבָנָ֑יו קֹ֥דֶשׁ קָֽדָשִׁ֖ים מֵאִשֵּׁ֥י יְהוָֽה׃</w:t>
      </w:r>
    </w:p>
    <w:p w14:paraId="770C7C7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Deutsch:</w:t>
      </w:r>
      <w:r w:rsidRPr="0098037E">
        <w:rPr>
          <w:rFonts w:eastAsia="Times New Roman" w:cs="Times New Roman"/>
          <w:lang w:eastAsia="de-DE"/>
        </w:rPr>
        <w:t xml:space="preserve"> Und das Übrige vom Speisopfer soll für 'Aharon und für seine Söhne sein: ein Hochheiliges von den Feueropfern des Ewigen.</w:t>
      </w:r>
    </w:p>
    <w:p w14:paraId="351118C3"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0B0F3C1B">
          <v:rect id="_x0000_i1051" style="width:0;height:1.5pt" o:hralign="center" o:hrstd="t" o:hr="t" fillcolor="#a0a0a0" stroked="f"/>
        </w:pict>
      </w:r>
    </w:p>
    <w:p w14:paraId="6BEFB7C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Dieser Vers ist eine exakte Wiederholung von Vers 3 und etabliert die identische Behandlung des verbleibenden Anteils bei allen Speisopferarten. </w:t>
      </w:r>
      <w:r w:rsidRPr="0098037E">
        <w:rPr>
          <w:rFonts w:eastAsia="Times New Roman" w:cs="Times New Roman"/>
          <w:b/>
          <w:bCs/>
          <w:rtl/>
          <w:lang w:eastAsia="de-DE"/>
        </w:rPr>
        <w:t>וְהַנּוֹתֶ֨רֶת֙</w:t>
      </w:r>
      <w:r w:rsidRPr="0098037E">
        <w:rPr>
          <w:rFonts w:eastAsia="Times New Roman" w:cs="Times New Roman"/>
          <w:rtl/>
          <w:lang w:eastAsia="de-DE"/>
        </w:rPr>
        <w:t xml:space="preserve"> </w:t>
      </w:r>
      <w:r w:rsidRPr="0098037E">
        <w:rPr>
          <w:rFonts w:eastAsia="Times New Roman" w:cs="Times New Roman"/>
          <w:lang w:eastAsia="de-DE"/>
        </w:rPr>
        <w:t xml:space="preserve">(und das Übrige) vom Nifal-Partizip von </w:t>
      </w:r>
      <w:r w:rsidRPr="0098037E">
        <w:rPr>
          <w:rFonts w:eastAsia="Times New Roman" w:cs="Times New Roman"/>
          <w:b/>
          <w:bCs/>
          <w:rtl/>
          <w:lang w:eastAsia="de-DE"/>
        </w:rPr>
        <w:t>יתר</w:t>
      </w:r>
      <w:r w:rsidRPr="0098037E">
        <w:rPr>
          <w:rFonts w:eastAsia="Times New Roman" w:cs="Times New Roman"/>
          <w:rtl/>
          <w:lang w:eastAsia="de-DE"/>
        </w:rPr>
        <w:t xml:space="preserve"> </w:t>
      </w:r>
      <w:r w:rsidRPr="0098037E">
        <w:rPr>
          <w:rFonts w:eastAsia="Times New Roman" w:cs="Times New Roman"/>
          <w:lang w:eastAsia="de-DE"/>
        </w:rPr>
        <w:t xml:space="preserve">(übrig bleiben). </w:t>
      </w:r>
      <w:r w:rsidRPr="0098037E">
        <w:rPr>
          <w:rFonts w:eastAsia="Times New Roman" w:cs="Times New Roman"/>
          <w:b/>
          <w:bCs/>
          <w:rtl/>
          <w:lang w:eastAsia="de-DE"/>
        </w:rPr>
        <w:t>מִן־הַמִּנְחָ֔ה</w:t>
      </w:r>
      <w:r w:rsidRPr="0098037E">
        <w:rPr>
          <w:rFonts w:eastAsia="Times New Roman" w:cs="Times New Roman"/>
          <w:rtl/>
          <w:lang w:eastAsia="de-DE"/>
        </w:rPr>
        <w:t xml:space="preserve"> </w:t>
      </w:r>
      <w:r w:rsidRPr="0098037E">
        <w:rPr>
          <w:rFonts w:eastAsia="Times New Roman" w:cs="Times New Roman"/>
          <w:lang w:eastAsia="de-DE"/>
        </w:rPr>
        <w:t>(vom Speisopfer) zeigt partitive Herkunft.</w:t>
      </w:r>
    </w:p>
    <w:p w14:paraId="666AE779" w14:textId="33DDC561"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לְאַהֲרֹ֖ן וּלְבָנָ֑יו</w:t>
      </w:r>
      <w:r w:rsidRPr="0098037E">
        <w:rPr>
          <w:rFonts w:eastAsia="Times New Roman" w:cs="Times New Roman"/>
          <w:rtl/>
          <w:lang w:eastAsia="de-DE"/>
        </w:rPr>
        <w:t xml:space="preserve"> </w:t>
      </w:r>
      <w:r w:rsidRPr="0098037E">
        <w:rPr>
          <w:rFonts w:eastAsia="Times New Roman" w:cs="Times New Roman"/>
          <w:lang w:eastAsia="de-DE"/>
        </w:rPr>
        <w:t xml:space="preserve">(für Aaron und für seine Söhne) wiederholt die Empfängerbestimmung. </w:t>
      </w:r>
      <w:r w:rsidRPr="0098037E">
        <w:rPr>
          <w:rFonts w:eastAsia="Times New Roman" w:cs="Times New Roman"/>
          <w:b/>
          <w:bCs/>
          <w:rtl/>
          <w:lang w:eastAsia="de-DE"/>
        </w:rPr>
        <w:t>קֹ֥דֶשׁ קָֽדָשִׁ֖ים</w:t>
      </w:r>
      <w:r w:rsidRPr="0098037E">
        <w:rPr>
          <w:rFonts w:eastAsia="Times New Roman" w:cs="Times New Roman"/>
          <w:rtl/>
          <w:lang w:eastAsia="de-DE"/>
        </w:rPr>
        <w:t xml:space="preserve"> </w:t>
      </w:r>
      <w:r w:rsidRPr="0098037E">
        <w:rPr>
          <w:rFonts w:eastAsia="Times New Roman" w:cs="Times New Roman"/>
          <w:lang w:eastAsia="de-DE"/>
        </w:rPr>
        <w:t xml:space="preserve">(Hochheiligstes) durch </w:t>
      </w:r>
      <w:r w:rsidR="005407E2">
        <w:rPr>
          <w:rFonts w:eastAsia="Times New Roman" w:cs="Times New Roman"/>
          <w:lang w:eastAsia="de-DE"/>
        </w:rPr>
        <w:t>Constructus</w:t>
      </w:r>
      <w:r w:rsidRPr="0098037E">
        <w:rPr>
          <w:rFonts w:eastAsia="Times New Roman" w:cs="Times New Roman"/>
          <w:lang w:eastAsia="de-DE"/>
        </w:rPr>
        <w:t xml:space="preserve">-Superlativ. </w:t>
      </w:r>
      <w:r w:rsidRPr="0098037E">
        <w:rPr>
          <w:rFonts w:eastAsia="Times New Roman" w:cs="Times New Roman"/>
          <w:b/>
          <w:bCs/>
          <w:rtl/>
          <w:lang w:eastAsia="de-DE"/>
        </w:rPr>
        <w:t>מֵאִשֵּׁ֥י יְהוָֽה</w:t>
      </w:r>
      <w:r w:rsidRPr="0098037E">
        <w:rPr>
          <w:rFonts w:eastAsia="Times New Roman" w:cs="Times New Roman"/>
          <w:rtl/>
          <w:lang w:eastAsia="de-DE"/>
        </w:rPr>
        <w:t xml:space="preserve"> </w:t>
      </w:r>
      <w:r w:rsidRPr="0098037E">
        <w:rPr>
          <w:rFonts w:eastAsia="Times New Roman" w:cs="Times New Roman"/>
          <w:lang w:eastAsia="de-DE"/>
        </w:rPr>
        <w:t>(von den Feueropfern JHWHs) etabliert die göttliche Herkunft.</w:t>
      </w:r>
    </w:p>
    <w:p w14:paraId="2E3EE93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Wiederholung dieser Bestimmung nach der Beschreibung der verschiedenen Zubereitungsarten betont, dass alle Speisopferformen - roh, gebacken, in der Pfanne oder im Napf zubereitet - denselben rechtlichen Status haben und dieselben Verzehrregeln für die Priesterschaft gelten.</w:t>
      </w:r>
    </w:p>
    <w:p w14:paraId="3E84EDA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קֹ֥דֶשׁ קָֽדָשִׁ֖ים</w:t>
      </w:r>
      <w:r w:rsidRPr="0098037E">
        <w:rPr>
          <w:rFonts w:eastAsia="Times New Roman" w:cs="Times New Roman"/>
          <w:rtl/>
          <w:lang w:eastAsia="de-DE"/>
        </w:rPr>
        <w:t xml:space="preserve"> </w:t>
      </w:r>
      <w:r w:rsidRPr="0098037E">
        <w:rPr>
          <w:rFonts w:eastAsia="Times New Roman" w:cs="Times New Roman"/>
          <w:lang w:eastAsia="de-DE"/>
        </w:rPr>
        <w:t xml:space="preserve">bedeutet konkret: Verzehr nur durch männliche Priester, nur im heiligen Bereich des Heiligtums, nur in kultischer Reinheit. Die Designation als </w:t>
      </w:r>
      <w:r w:rsidRPr="0098037E">
        <w:rPr>
          <w:rFonts w:eastAsia="Times New Roman" w:cs="Times New Roman"/>
          <w:b/>
          <w:bCs/>
          <w:rtl/>
          <w:lang w:eastAsia="de-DE"/>
        </w:rPr>
        <w:t>אִשֵּׁי יְהוָֽה</w:t>
      </w:r>
      <w:r w:rsidRPr="0098037E">
        <w:rPr>
          <w:rFonts w:eastAsia="Times New Roman" w:cs="Times New Roman"/>
          <w:rtl/>
          <w:lang w:eastAsia="de-DE"/>
        </w:rPr>
        <w:t xml:space="preserve"> </w:t>
      </w:r>
      <w:r w:rsidRPr="0098037E">
        <w:rPr>
          <w:rFonts w:eastAsia="Times New Roman" w:cs="Times New Roman"/>
          <w:lang w:eastAsia="de-DE"/>
        </w:rPr>
        <w:t>zeigt, dass auch der nicht verbrannte Teil als Gottes Gabe gilt.</w:t>
      </w:r>
    </w:p>
    <w:p w14:paraId="0C9D9B8D" w14:textId="3964A839"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variiert bei </w:t>
      </w:r>
      <w:r w:rsidR="005248F3">
        <w:rPr>
          <w:rtl/>
        </w:rPr>
        <w:t>מאשי יהוה</w:t>
      </w:r>
      <w:r w:rsidR="005248F3">
        <w:t xml:space="preserve"> zu ἀπὸ </w:t>
      </w:r>
      <w:proofErr w:type="spellStart"/>
      <w:r w:rsidR="005248F3">
        <w:t>τῶν</w:t>
      </w:r>
      <w:proofErr w:type="spellEnd"/>
      <w:r w:rsidR="005248F3">
        <w:t xml:space="preserve"> καρπ</w:t>
      </w:r>
      <w:proofErr w:type="spellStart"/>
      <w:r w:rsidR="005248F3">
        <w:t>ωμάτων</w:t>
      </w:r>
      <w:proofErr w:type="spellEnd"/>
      <w:r w:rsidR="005248F3">
        <w:t xml:space="preserve"> </w:t>
      </w:r>
      <w:proofErr w:type="spellStart"/>
      <w:r w:rsidR="005248F3">
        <w:t>κυρίου</w:t>
      </w:r>
      <w:proofErr w:type="spellEnd"/>
      <w:r w:rsidR="005248F3">
        <w:t xml:space="preserve"> (von den Fruchtopfern des Herrn), was eine konsequente Uminterpretation der Opferterminologie zeigt.</w:t>
      </w:r>
    </w:p>
    <w:p w14:paraId="1565241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Vers 3: Subjekt + Präpositionalphrase + Prädikatsbestimmung + Herkunftsangabe. Die wörtliche Wiederholung verstärkt die Wichtigkeit dieser Bestimmung.</w:t>
      </w:r>
    </w:p>
    <w:p w14:paraId="6425BB0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 Wiederholung schließt den Abschnitt über verschiedene Speisopferarten ab und betont die einheitliche Behandlung aller </w:t>
      </w:r>
      <w:r w:rsidRPr="0098037E">
        <w:rPr>
          <w:rFonts w:eastAsia="Times New Roman" w:cs="Times New Roman"/>
          <w:b/>
          <w:bCs/>
          <w:rtl/>
          <w:lang w:eastAsia="de-DE"/>
        </w:rPr>
        <w:t>מִנְחָה</w:t>
      </w:r>
      <w:r w:rsidRPr="0098037E">
        <w:rPr>
          <w:rFonts w:eastAsia="Times New Roman" w:cs="Times New Roman"/>
          <w:lang w:eastAsia="de-DE"/>
        </w:rPr>
        <w:t>-Formen bezüglich der priesterlichen Anteile.</w:t>
      </w:r>
    </w:p>
    <w:p w14:paraId="1685CCDF"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2,11</w:t>
      </w:r>
    </w:p>
    <w:p w14:paraId="2611571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כָּל־הַמִּנְחָ֗ה אֲשֶׁ֤ר תַּקְרִ֨יבוּ֙ לַיהוָ֔ה לֹ֥א תֵעָשֶׂ֖ה חָמֵ֑ץ כִּ֤י כָל־שְׂאֹר֙ וְכָל־דְּבַ֔שׁ לֹֽא־תַקְטִ֧ירוּ מִמֶּ֛נּוּ אִשֶּׁ֖ה לַֽיהוָֽה׃</w:t>
      </w:r>
    </w:p>
    <w:p w14:paraId="0247ADA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Alles Speisopfer, das ihr dem Ewigen darbringt, soll nicht aus Gesäuertem gemacht werden; denn aller Sauerteig und aller Honig, davon sollt ihr dem Ewigen kein Feueropfer räuchern.</w:t>
      </w:r>
    </w:p>
    <w:p w14:paraId="12DEC44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281879C">
          <v:rect id="_x0000_i1052" style="width:0;height:1.5pt" o:hralign="center" o:hrstd="t" o:hr="t" fillcolor="#a0a0a0" stroked="f"/>
        </w:pict>
      </w:r>
    </w:p>
    <w:p w14:paraId="071BB58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כָּל־הַמִּנְחָ֗ה</w:t>
      </w:r>
      <w:r w:rsidRPr="0098037E">
        <w:rPr>
          <w:rFonts w:eastAsia="Times New Roman" w:cs="Times New Roman"/>
          <w:rtl/>
          <w:lang w:eastAsia="de-DE"/>
        </w:rPr>
        <w:t xml:space="preserve"> </w:t>
      </w:r>
      <w:r w:rsidRPr="0098037E">
        <w:rPr>
          <w:rFonts w:eastAsia="Times New Roman" w:cs="Times New Roman"/>
          <w:lang w:eastAsia="de-DE"/>
        </w:rPr>
        <w:t xml:space="preserve">(jedes Speisopfer) mit </w:t>
      </w:r>
      <w:r w:rsidRPr="0098037E">
        <w:rPr>
          <w:rFonts w:eastAsia="Times New Roman" w:cs="Times New Roman"/>
          <w:b/>
          <w:bCs/>
          <w:rtl/>
          <w:lang w:eastAsia="de-DE"/>
        </w:rPr>
        <w:t>כל</w:t>
      </w:r>
      <w:r w:rsidRPr="0098037E">
        <w:rPr>
          <w:rFonts w:eastAsia="Times New Roman" w:cs="Times New Roman"/>
          <w:rtl/>
          <w:lang w:eastAsia="de-DE"/>
        </w:rPr>
        <w:t xml:space="preserve"> </w:t>
      </w:r>
      <w:r w:rsidRPr="0098037E">
        <w:rPr>
          <w:rFonts w:eastAsia="Times New Roman" w:cs="Times New Roman"/>
          <w:lang w:eastAsia="de-DE"/>
        </w:rPr>
        <w:t xml:space="preserve">(alles/jedes) betont die Universalität der folgenden Bestimmung. </w:t>
      </w:r>
      <w:r w:rsidRPr="0098037E">
        <w:rPr>
          <w:rFonts w:eastAsia="Times New Roman" w:cs="Times New Roman"/>
          <w:b/>
          <w:bCs/>
          <w:rtl/>
          <w:lang w:eastAsia="de-DE"/>
        </w:rPr>
        <w:t>אֲשֶׁ֤ר תַּקְרִ֨יבוּ֙</w:t>
      </w:r>
      <w:r w:rsidRPr="0098037E">
        <w:rPr>
          <w:rFonts w:eastAsia="Times New Roman" w:cs="Times New Roman"/>
          <w:rtl/>
          <w:lang w:eastAsia="de-DE"/>
        </w:rPr>
        <w:t xml:space="preserve"> </w:t>
      </w:r>
      <w:r w:rsidRPr="0098037E">
        <w:rPr>
          <w:rFonts w:eastAsia="Times New Roman" w:cs="Times New Roman"/>
          <w:lang w:eastAsia="de-DE"/>
        </w:rPr>
        <w:t xml:space="preserve">(die ihr darbringt) ist ein Relativsatz mit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im Hifil-Imperfekt 2. Person maskulin Plural.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zeigt den Empfänger.</w:t>
      </w:r>
    </w:p>
    <w:p w14:paraId="4D0ECFB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לֹ֥א תֵעָשֶׂ֖ה חָמֵ֑ץ</w:t>
      </w:r>
      <w:r w:rsidRPr="0098037E">
        <w:rPr>
          <w:rFonts w:eastAsia="Times New Roman" w:cs="Times New Roman"/>
          <w:rtl/>
          <w:lang w:eastAsia="de-DE"/>
        </w:rPr>
        <w:t xml:space="preserve"> </w:t>
      </w:r>
      <w:r w:rsidRPr="0098037E">
        <w:rPr>
          <w:rFonts w:eastAsia="Times New Roman" w:cs="Times New Roman"/>
          <w:lang w:eastAsia="de-DE"/>
        </w:rPr>
        <w:t xml:space="preserve">(es soll nicht gesäuert gemacht werden) zeigt </w:t>
      </w:r>
      <w:r w:rsidRPr="0098037E">
        <w:rPr>
          <w:rFonts w:eastAsia="Times New Roman" w:cs="Times New Roman"/>
          <w:b/>
          <w:bCs/>
          <w:rtl/>
          <w:lang w:eastAsia="de-DE"/>
        </w:rPr>
        <w:t>עשה</w:t>
      </w:r>
      <w:r w:rsidRPr="0098037E">
        <w:rPr>
          <w:rFonts w:eastAsia="Times New Roman" w:cs="Times New Roman"/>
          <w:rtl/>
          <w:lang w:eastAsia="de-DE"/>
        </w:rPr>
        <w:t xml:space="preserve"> </w:t>
      </w:r>
      <w:r w:rsidRPr="0098037E">
        <w:rPr>
          <w:rFonts w:eastAsia="Times New Roman" w:cs="Times New Roman"/>
          <w:lang w:eastAsia="de-DE"/>
        </w:rPr>
        <w:t xml:space="preserve">(machen) im Nifal-Imperfekt 3. Person feminin Singular mit Negation </w:t>
      </w:r>
      <w:r w:rsidRPr="0098037E">
        <w:rPr>
          <w:rFonts w:eastAsia="Times New Roman" w:cs="Times New Roman"/>
          <w:b/>
          <w:bCs/>
          <w:rtl/>
          <w:lang w:eastAsia="de-DE"/>
        </w:rPr>
        <w:t>לא</w:t>
      </w:r>
      <w:r w:rsidRPr="0098037E">
        <w:rPr>
          <w:rFonts w:eastAsia="Times New Roman" w:cs="Times New Roman"/>
          <w:lang w:eastAsia="de-DE"/>
        </w:rPr>
        <w:t xml:space="preserve">. </w:t>
      </w:r>
      <w:r w:rsidRPr="0098037E">
        <w:rPr>
          <w:rFonts w:eastAsia="Times New Roman" w:cs="Times New Roman"/>
          <w:b/>
          <w:bCs/>
          <w:rtl/>
          <w:lang w:eastAsia="de-DE"/>
        </w:rPr>
        <w:t>חָמֵץ</w:t>
      </w:r>
      <w:r w:rsidRPr="0098037E">
        <w:rPr>
          <w:rFonts w:eastAsia="Times New Roman" w:cs="Times New Roman"/>
          <w:rtl/>
          <w:lang w:eastAsia="de-DE"/>
        </w:rPr>
        <w:t xml:space="preserve"> </w:t>
      </w:r>
      <w:r w:rsidRPr="0098037E">
        <w:rPr>
          <w:rFonts w:eastAsia="Times New Roman" w:cs="Times New Roman"/>
          <w:lang w:eastAsia="de-DE"/>
        </w:rPr>
        <w:t xml:space="preserve">(Gesäuertes) von der Wurzel </w:t>
      </w:r>
      <w:r w:rsidRPr="0098037E">
        <w:rPr>
          <w:rFonts w:eastAsia="Times New Roman" w:cs="Times New Roman"/>
          <w:b/>
          <w:bCs/>
          <w:rtl/>
          <w:lang w:eastAsia="de-DE"/>
        </w:rPr>
        <w:t>חמץ</w:t>
      </w:r>
      <w:r w:rsidRPr="0098037E">
        <w:rPr>
          <w:rFonts w:eastAsia="Times New Roman" w:cs="Times New Roman"/>
          <w:rtl/>
          <w:lang w:eastAsia="de-DE"/>
        </w:rPr>
        <w:t xml:space="preserve"> </w:t>
      </w:r>
      <w:r w:rsidRPr="0098037E">
        <w:rPr>
          <w:rFonts w:eastAsia="Times New Roman" w:cs="Times New Roman"/>
          <w:lang w:eastAsia="de-DE"/>
        </w:rPr>
        <w:t>(säuern) bezeichnet alles mit Gärungsprozess.</w:t>
      </w:r>
    </w:p>
    <w:p w14:paraId="4C43354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כִּ֤י</w:t>
      </w:r>
      <w:r w:rsidRPr="0098037E">
        <w:rPr>
          <w:rFonts w:eastAsia="Times New Roman" w:cs="Times New Roman"/>
          <w:rtl/>
          <w:lang w:eastAsia="de-DE"/>
        </w:rPr>
        <w:t xml:space="preserve"> </w:t>
      </w:r>
      <w:r w:rsidRPr="0098037E">
        <w:rPr>
          <w:rFonts w:eastAsia="Times New Roman" w:cs="Times New Roman"/>
          <w:lang w:eastAsia="de-DE"/>
        </w:rPr>
        <w:t xml:space="preserve">(denn) leitet eine Begründung ein. </w:t>
      </w:r>
      <w:r w:rsidRPr="0098037E">
        <w:rPr>
          <w:rFonts w:eastAsia="Times New Roman" w:cs="Times New Roman"/>
          <w:b/>
          <w:bCs/>
          <w:rtl/>
          <w:lang w:eastAsia="de-DE"/>
        </w:rPr>
        <w:t>כָל־שְׂאֹר֙</w:t>
      </w:r>
      <w:r w:rsidRPr="0098037E">
        <w:rPr>
          <w:rFonts w:eastAsia="Times New Roman" w:cs="Times New Roman"/>
          <w:rtl/>
          <w:lang w:eastAsia="de-DE"/>
        </w:rPr>
        <w:t xml:space="preserve"> </w:t>
      </w:r>
      <w:r w:rsidRPr="0098037E">
        <w:rPr>
          <w:rFonts w:eastAsia="Times New Roman" w:cs="Times New Roman"/>
          <w:lang w:eastAsia="de-DE"/>
        </w:rPr>
        <w:t xml:space="preserve">(aller Sauerteig) und </w:t>
      </w:r>
      <w:r w:rsidRPr="0098037E">
        <w:rPr>
          <w:rFonts w:eastAsia="Times New Roman" w:cs="Times New Roman"/>
          <w:b/>
          <w:bCs/>
          <w:rtl/>
          <w:lang w:eastAsia="de-DE"/>
        </w:rPr>
        <w:t>וְכָל־דְּבַ֔שׁ</w:t>
      </w:r>
      <w:r w:rsidRPr="0098037E">
        <w:rPr>
          <w:rFonts w:eastAsia="Times New Roman" w:cs="Times New Roman"/>
          <w:rtl/>
          <w:lang w:eastAsia="de-DE"/>
        </w:rPr>
        <w:t xml:space="preserve"> </w:t>
      </w:r>
      <w:r w:rsidRPr="0098037E">
        <w:rPr>
          <w:rFonts w:eastAsia="Times New Roman" w:cs="Times New Roman"/>
          <w:lang w:eastAsia="de-DE"/>
        </w:rPr>
        <w:t xml:space="preserve">(und aller Honig) sind die spezifischen verbotenen Substanzen.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(Sauerteig) ist die Gärungssubstanz,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(Honig) bezeichnet sowohl Bienenhonig als auch Fruchtsüße (Dattel-, Traubenhonig).</w:t>
      </w:r>
    </w:p>
    <w:p w14:paraId="496005E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לֹֽא־תַקְטִ֧ירוּ</w:t>
      </w:r>
      <w:r w:rsidRPr="0098037E">
        <w:rPr>
          <w:rFonts w:eastAsia="Times New Roman" w:cs="Times New Roman"/>
          <w:rtl/>
          <w:lang w:eastAsia="de-DE"/>
        </w:rPr>
        <w:t xml:space="preserve"> </w:t>
      </w:r>
      <w:r w:rsidRPr="0098037E">
        <w:rPr>
          <w:rFonts w:eastAsia="Times New Roman" w:cs="Times New Roman"/>
          <w:lang w:eastAsia="de-DE"/>
        </w:rPr>
        <w:t xml:space="preserve">(ihr sollt nicht räuchern) ist Hifil-Imperfekt 2. Person maskulin Plural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mit Negation. </w:t>
      </w:r>
      <w:r w:rsidRPr="0098037E">
        <w:rPr>
          <w:rFonts w:eastAsia="Times New Roman" w:cs="Times New Roman"/>
          <w:b/>
          <w:bCs/>
          <w:rtl/>
          <w:lang w:eastAsia="de-DE"/>
        </w:rPr>
        <w:t>מִמֶּ֛נּוּ</w:t>
      </w:r>
      <w:r w:rsidRPr="0098037E">
        <w:rPr>
          <w:rFonts w:eastAsia="Times New Roman" w:cs="Times New Roman"/>
          <w:rtl/>
          <w:lang w:eastAsia="de-DE"/>
        </w:rPr>
        <w:t xml:space="preserve"> </w:t>
      </w:r>
      <w:r w:rsidRPr="0098037E">
        <w:rPr>
          <w:rFonts w:eastAsia="Times New Roman" w:cs="Times New Roman"/>
          <w:lang w:eastAsia="de-DE"/>
        </w:rPr>
        <w:t xml:space="preserve">(davon) mit maskulinem Suffix bezieht sich auf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lang w:eastAsia="de-DE"/>
        </w:rPr>
        <w:t xml:space="preserve">. </w:t>
      </w:r>
      <w:r w:rsidRPr="0098037E">
        <w:rPr>
          <w:rFonts w:eastAsia="Times New Roman" w:cs="Times New Roman"/>
          <w:b/>
          <w:bCs/>
          <w:rtl/>
          <w:lang w:eastAsia="de-DE"/>
        </w:rPr>
        <w:t>אִשֶּׁ֖ה לַֽיהוָֽה</w:t>
      </w:r>
      <w:r w:rsidRPr="0098037E">
        <w:rPr>
          <w:rFonts w:eastAsia="Times New Roman" w:cs="Times New Roman"/>
          <w:rtl/>
          <w:lang w:eastAsia="de-DE"/>
        </w:rPr>
        <w:t xml:space="preserve"> </w:t>
      </w:r>
      <w:r w:rsidRPr="0098037E">
        <w:rPr>
          <w:rFonts w:eastAsia="Times New Roman" w:cs="Times New Roman"/>
          <w:lang w:eastAsia="de-DE"/>
        </w:rPr>
        <w:t>(Feueropfer für JHWH) spezifiziert das Verbot auf verbrannte Opferteile.</w:t>
      </w:r>
    </w:p>
    <w:p w14:paraId="03CEC38A" w14:textId="14E8519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 xml:space="preserve">werden verboten, weil beide Gärungs-/Fermentationsprozesse verursachen können, die als Zeichen von Verderb oder Unreinheit gelten. </w:t>
      </w:r>
      <w:r w:rsidRPr="0098037E">
        <w:rPr>
          <w:rFonts w:eastAsia="Times New Roman" w:cs="Times New Roman"/>
          <w:b/>
          <w:bCs/>
          <w:rtl/>
          <w:lang w:eastAsia="de-DE"/>
        </w:rPr>
        <w:t>חָמֵץ</w:t>
      </w:r>
      <w:r w:rsidRPr="0098037E">
        <w:rPr>
          <w:rFonts w:eastAsia="Times New Roman" w:cs="Times New Roman"/>
          <w:rtl/>
          <w:lang w:eastAsia="de-DE"/>
        </w:rPr>
        <w:t xml:space="preserve"> </w:t>
      </w:r>
      <w:r w:rsidRPr="0098037E">
        <w:rPr>
          <w:rFonts w:eastAsia="Times New Roman" w:cs="Times New Roman"/>
          <w:lang w:eastAsia="de-DE"/>
        </w:rPr>
        <w:t>(Gesäuertes) repräsentiert Transformation und Veränderung, die der kultischen Perfektion widerspricht.</w:t>
      </w:r>
      <w:r w:rsidR="000D757C">
        <w:rPr>
          <w:rFonts w:eastAsia="Times New Roman" w:cs="Times New Roman"/>
          <w:lang w:eastAsia="de-DE"/>
        </w:rPr>
        <w:t xml:space="preserve"> </w:t>
      </w:r>
      <w:r w:rsidR="000D757C">
        <w:rPr>
          <w:rtl/>
        </w:rPr>
        <w:t>דְּבַשׁ</w:t>
      </w:r>
      <w:r w:rsidR="000D757C">
        <w:t xml:space="preserve"> (Honig) wird zusätzlich verboten, möglicherweise wegen seiner süßenden Eigenschaften, die das natürliche Getreide verfremden würden, oder als Abgrenzung zu kanaanäischen Kultpraktiken.</w:t>
      </w:r>
    </w:p>
    <w:p w14:paraId="2E303217" w14:textId="6348EFF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fügt καρπ</w:t>
      </w:r>
      <w:proofErr w:type="spellStart"/>
      <w:r w:rsidR="005248F3">
        <w:t>ῶσ</w:t>
      </w:r>
      <w:proofErr w:type="spellEnd"/>
      <w:r w:rsidR="005248F3">
        <w:t xml:space="preserve">αι </w:t>
      </w:r>
      <w:proofErr w:type="spellStart"/>
      <w:r w:rsidR="005248F3">
        <w:t>κυρίῳ</w:t>
      </w:r>
      <w:proofErr w:type="spellEnd"/>
      <w:r w:rsidR="005248F3">
        <w:t xml:space="preserve"> (dem Herrn Frucht bringen) für </w:t>
      </w:r>
      <w:r w:rsidR="005248F3">
        <w:rPr>
          <w:rtl/>
        </w:rPr>
        <w:t>להקטירו אשה ליהוה</w:t>
      </w:r>
      <w:r w:rsidR="005248F3">
        <w:t xml:space="preserve"> hinzu, was eine funktionale Erklärung statt einer direkten Übersetzung bietet.</w:t>
      </w:r>
    </w:p>
    <w:p w14:paraId="09FE759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Satz: Universalaussage (Subjekt mit Relativsatz + Negation + Verb + Objekt) + Begründung (</w:t>
      </w:r>
      <w:r w:rsidRPr="0098037E">
        <w:rPr>
          <w:rFonts w:eastAsia="Times New Roman" w:cs="Times New Roman"/>
          <w:rtl/>
          <w:lang w:eastAsia="de-DE"/>
        </w:rPr>
        <w:t>כי</w:t>
      </w:r>
      <w:r w:rsidRPr="0098037E">
        <w:rPr>
          <w:rFonts w:eastAsia="Times New Roman" w:cs="Times New Roman"/>
          <w:lang w:eastAsia="de-DE"/>
        </w:rPr>
        <w:t xml:space="preserve"> + Subjekte + Negation + Verb + Adverbialbestimmung + Objekt). Der Relativsatz und die Begründung sind Nebensätze.</w:t>
      </w:r>
    </w:p>
    <w:p w14:paraId="01F22EE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fundamentale Prohibitionen für alle Speisopfer und zeigt die theologische Bedeutung von Reinheit und Unveränderlichkeit im Kult.</w:t>
      </w:r>
    </w:p>
    <w:p w14:paraId="42FCF502"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2,12</w:t>
      </w:r>
    </w:p>
    <w:p w14:paraId="7D5018F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קָרְבַּ֥ן רֵאשִׁ֛ית תַּקְרִ֥יבוּ אֹתָ֖ם לַיהוָ֑ה וְאֶל־הַמִּזְבֵּ֥חַ לֹא־יַעֲל֖וּ לְרֵ֥יחַ נִיחֹֽחַ׃</w:t>
      </w:r>
    </w:p>
    <w:p w14:paraId="04DA479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Als Opfergabe der Erstlinge sollt ihr sie dem Ewigen darbringen; aber auf den Altar sollen sie nicht zum wohlgefälligen Geruch kommen.</w:t>
      </w:r>
    </w:p>
    <w:p w14:paraId="44F87A7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E3C6788">
          <v:rect id="_x0000_i1053" style="width:0;height:1.5pt" o:hralign="center" o:hrstd="t" o:hr="t" fillcolor="#a0a0a0" stroked="f"/>
        </w:pict>
      </w:r>
    </w:p>
    <w:p w14:paraId="0B7FEE12" w14:textId="6F34E3C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קָרְבַּ֥ן רֵאשִׁ֛ית</w:t>
      </w:r>
      <w:r w:rsidRPr="0098037E">
        <w:rPr>
          <w:rFonts w:eastAsia="Times New Roman" w:cs="Times New Roman"/>
          <w:rtl/>
          <w:lang w:eastAsia="de-DE"/>
        </w:rPr>
        <w:t xml:space="preserve"> </w:t>
      </w:r>
      <w:r w:rsidRPr="0098037E">
        <w:rPr>
          <w:rFonts w:eastAsia="Times New Roman" w:cs="Times New Roman"/>
          <w:lang w:eastAsia="de-DE"/>
        </w:rPr>
        <w:t xml:space="preserve">(Opfergabe der Erstlinge) zeigt </w:t>
      </w:r>
      <w:r w:rsidRPr="0098037E">
        <w:rPr>
          <w:rFonts w:eastAsia="Times New Roman" w:cs="Times New Roman"/>
          <w:b/>
          <w:bCs/>
          <w:rtl/>
          <w:lang w:eastAsia="de-DE"/>
        </w:rPr>
        <w:t>קָרְבַּן</w:t>
      </w:r>
      <w:r w:rsidRPr="0098037E">
        <w:rPr>
          <w:rFonts w:eastAsia="Times New Roman" w:cs="Times New Roman"/>
          <w:rtl/>
          <w:lang w:eastAsia="de-DE"/>
        </w:rPr>
        <w:t xml:space="preserve"> </w:t>
      </w:r>
      <w:r w:rsidRPr="0098037E">
        <w:rPr>
          <w:rFonts w:eastAsia="Times New Roman" w:cs="Times New Roman"/>
          <w:lang w:eastAsia="de-DE"/>
        </w:rPr>
        <w:t xml:space="preserve">(Opfergabe)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רֵאשִׁית</w:t>
      </w:r>
      <w:r w:rsidRPr="0098037E">
        <w:rPr>
          <w:rFonts w:eastAsia="Times New Roman" w:cs="Times New Roman"/>
          <w:rtl/>
          <w:lang w:eastAsia="de-DE"/>
        </w:rPr>
        <w:t xml:space="preserve"> </w:t>
      </w:r>
      <w:r w:rsidRPr="0098037E">
        <w:rPr>
          <w:rFonts w:eastAsia="Times New Roman" w:cs="Times New Roman"/>
          <w:lang w:eastAsia="de-DE"/>
        </w:rPr>
        <w:t xml:space="preserve">(Erstlinge/erste Früchte). </w:t>
      </w:r>
      <w:r w:rsidRPr="0098037E">
        <w:rPr>
          <w:rFonts w:eastAsia="Times New Roman" w:cs="Times New Roman"/>
          <w:b/>
          <w:bCs/>
          <w:rtl/>
          <w:lang w:eastAsia="de-DE"/>
        </w:rPr>
        <w:t>תַּקְרִ֥יבוּ</w:t>
      </w:r>
      <w:r w:rsidRPr="0098037E">
        <w:rPr>
          <w:rFonts w:eastAsia="Times New Roman" w:cs="Times New Roman"/>
          <w:rtl/>
          <w:lang w:eastAsia="de-DE"/>
        </w:rPr>
        <w:t xml:space="preserve"> </w:t>
      </w:r>
      <w:r w:rsidRPr="0098037E">
        <w:rPr>
          <w:rFonts w:eastAsia="Times New Roman" w:cs="Times New Roman"/>
          <w:lang w:eastAsia="de-DE"/>
        </w:rPr>
        <w:t xml:space="preserve">ist Hifil-Imperfekt 2. Person maskulin Plural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w:t>
      </w:r>
      <w:r w:rsidRPr="0098037E">
        <w:rPr>
          <w:rFonts w:eastAsia="Times New Roman" w:cs="Times New Roman"/>
          <w:b/>
          <w:bCs/>
          <w:rtl/>
          <w:lang w:eastAsia="de-DE"/>
        </w:rPr>
        <w:t>אֹתָ֖ם</w:t>
      </w:r>
      <w:r w:rsidRPr="0098037E">
        <w:rPr>
          <w:rFonts w:eastAsia="Times New Roman" w:cs="Times New Roman"/>
          <w:rtl/>
          <w:lang w:eastAsia="de-DE"/>
        </w:rPr>
        <w:t xml:space="preserve"> </w:t>
      </w:r>
      <w:r w:rsidRPr="0098037E">
        <w:rPr>
          <w:rFonts w:eastAsia="Times New Roman" w:cs="Times New Roman"/>
          <w:lang w:eastAsia="de-DE"/>
        </w:rPr>
        <w:t xml:space="preserve">(sie) mit maskulinem Plural-Suffix bezieht sich auf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aus Vers 11 zurück.</w:t>
      </w:r>
    </w:p>
    <w:p w14:paraId="45DCE82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 xml:space="preserve">(für JHWH) zeigt, dass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 xml:space="preserve">als </w:t>
      </w:r>
      <w:r w:rsidRPr="0098037E">
        <w:rPr>
          <w:rFonts w:eastAsia="Times New Roman" w:cs="Times New Roman"/>
          <w:b/>
          <w:bCs/>
          <w:rtl/>
          <w:lang w:eastAsia="de-DE"/>
        </w:rPr>
        <w:t>רֵאשִׁית</w:t>
      </w:r>
      <w:r w:rsidRPr="0098037E">
        <w:rPr>
          <w:rFonts w:eastAsia="Times New Roman" w:cs="Times New Roman"/>
          <w:lang w:eastAsia="de-DE"/>
        </w:rPr>
        <w:t xml:space="preserve">-Gaben erlaubt sind. </w:t>
      </w:r>
      <w:r w:rsidRPr="0098037E">
        <w:rPr>
          <w:rFonts w:eastAsia="Times New Roman" w:cs="Times New Roman"/>
          <w:b/>
          <w:bCs/>
          <w:rtl/>
          <w:lang w:eastAsia="de-DE"/>
        </w:rPr>
        <w:t>וְאֶל־הַמִּזְבֵּ֥חַ לֹא־יַעֲל֖וּ</w:t>
      </w:r>
      <w:r w:rsidRPr="0098037E">
        <w:rPr>
          <w:rFonts w:eastAsia="Times New Roman" w:cs="Times New Roman"/>
          <w:rtl/>
          <w:lang w:eastAsia="de-DE"/>
        </w:rPr>
        <w:t xml:space="preserve"> </w:t>
      </w:r>
      <w:r w:rsidRPr="0098037E">
        <w:rPr>
          <w:rFonts w:eastAsia="Times New Roman" w:cs="Times New Roman"/>
          <w:lang w:eastAsia="de-DE"/>
        </w:rPr>
        <w:t xml:space="preserve">(und auf den Altar sollen sie nicht hinaufkommen) verwendet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(hinaufsteigen) im Qal-Imperfekt 3. Person maskulin Plural mit Negation </w:t>
      </w:r>
      <w:r w:rsidRPr="0098037E">
        <w:rPr>
          <w:rFonts w:eastAsia="Times New Roman" w:cs="Times New Roman"/>
          <w:b/>
          <w:bCs/>
          <w:rtl/>
          <w:lang w:eastAsia="de-DE"/>
        </w:rPr>
        <w:t>לא</w:t>
      </w:r>
      <w:r w:rsidRPr="0098037E">
        <w:rPr>
          <w:rFonts w:eastAsia="Times New Roman" w:cs="Times New Roman"/>
          <w:lang w:eastAsia="de-DE"/>
        </w:rPr>
        <w:t>.</w:t>
      </w:r>
    </w:p>
    <w:p w14:paraId="46C3022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לְרֵ֥יחַ נִיחֹֽחַ</w:t>
      </w:r>
      <w:r w:rsidRPr="0098037E">
        <w:rPr>
          <w:rFonts w:eastAsia="Times New Roman" w:cs="Times New Roman"/>
          <w:rtl/>
          <w:lang w:eastAsia="de-DE"/>
        </w:rPr>
        <w:t xml:space="preserve"> </w:t>
      </w:r>
      <w:r w:rsidRPr="0098037E">
        <w:rPr>
          <w:rFonts w:eastAsia="Times New Roman" w:cs="Times New Roman"/>
          <w:lang w:eastAsia="de-DE"/>
        </w:rPr>
        <w:t xml:space="preserve">(zum wohlgefälligen Geruch) spezifiziert das Verbot: nicht für die Verbrennung als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(Feueropfer). Die Phrase </w:t>
      </w:r>
      <w:r w:rsidRPr="0098037E">
        <w:rPr>
          <w:rFonts w:eastAsia="Times New Roman" w:cs="Times New Roman"/>
          <w:b/>
          <w:bCs/>
          <w:rtl/>
          <w:lang w:eastAsia="de-DE"/>
        </w:rPr>
        <w:t>רֵיחַ נִיחוֹחַ</w:t>
      </w:r>
      <w:r w:rsidRPr="0098037E">
        <w:rPr>
          <w:rFonts w:eastAsia="Times New Roman" w:cs="Times New Roman"/>
          <w:rtl/>
          <w:lang w:eastAsia="de-DE"/>
        </w:rPr>
        <w:t xml:space="preserve"> </w:t>
      </w:r>
      <w:r w:rsidRPr="0098037E">
        <w:rPr>
          <w:rFonts w:eastAsia="Times New Roman" w:cs="Times New Roman"/>
          <w:lang w:eastAsia="de-DE"/>
        </w:rPr>
        <w:t>(wohlgefälliger Geruch) bezeichnet den durch Verbrennung entstehenden Duft.</w:t>
      </w:r>
    </w:p>
    <w:p w14:paraId="4237424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רֵאשִׁית</w:t>
      </w:r>
      <w:r w:rsidRPr="0098037E">
        <w:rPr>
          <w:rFonts w:eastAsia="Times New Roman" w:cs="Times New Roman"/>
          <w:rtl/>
          <w:lang w:eastAsia="de-DE"/>
        </w:rPr>
        <w:t xml:space="preserve"> </w:t>
      </w:r>
      <w:r w:rsidRPr="0098037E">
        <w:rPr>
          <w:rFonts w:eastAsia="Times New Roman" w:cs="Times New Roman"/>
          <w:lang w:eastAsia="de-DE"/>
        </w:rPr>
        <w:t xml:space="preserve">(Erstlinge) sind die ersten und besten Früchte der Ernte, die Gott als Dank und Anerkennung seiner Geberschaft dargebracht werden.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können als natürliche Erstlingsprodukte gegeben, aber nicht verbrannt werden.</w:t>
      </w:r>
    </w:p>
    <w:p w14:paraId="5CF7688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עלה אל המזבח</w:t>
      </w:r>
      <w:r w:rsidRPr="0098037E">
        <w:rPr>
          <w:rFonts w:eastAsia="Times New Roman" w:cs="Times New Roman"/>
          <w:rtl/>
          <w:lang w:eastAsia="de-DE"/>
        </w:rPr>
        <w:t xml:space="preserve"> </w:t>
      </w:r>
      <w:r w:rsidRPr="0098037E">
        <w:rPr>
          <w:rFonts w:eastAsia="Times New Roman" w:cs="Times New Roman"/>
          <w:lang w:eastAsia="de-DE"/>
        </w:rPr>
        <w:t xml:space="preserve">(auf den Altar hinaufsteigen) ist technischer Terminus für die Platzierung zur Verbrennung. Das Verbot betrifft nur die </w:t>
      </w:r>
      <w:r w:rsidRPr="0098037E">
        <w:rPr>
          <w:rFonts w:eastAsia="Times New Roman" w:cs="Times New Roman"/>
          <w:b/>
          <w:bCs/>
          <w:rtl/>
          <w:lang w:eastAsia="de-DE"/>
        </w:rPr>
        <w:t>הקטרה</w:t>
      </w:r>
      <w:r w:rsidRPr="0098037E">
        <w:rPr>
          <w:rFonts w:eastAsia="Times New Roman" w:cs="Times New Roman"/>
          <w:rtl/>
          <w:lang w:eastAsia="de-DE"/>
        </w:rPr>
        <w:t xml:space="preserve"> </w:t>
      </w:r>
      <w:r w:rsidRPr="0098037E">
        <w:rPr>
          <w:rFonts w:eastAsia="Times New Roman" w:cs="Times New Roman"/>
          <w:lang w:eastAsia="de-DE"/>
        </w:rPr>
        <w:t xml:space="preserve">(Räucherung), nicht die </w:t>
      </w:r>
      <w:r w:rsidRPr="0098037E">
        <w:rPr>
          <w:rFonts w:eastAsia="Times New Roman" w:cs="Times New Roman"/>
          <w:b/>
          <w:bCs/>
          <w:rtl/>
          <w:lang w:eastAsia="de-DE"/>
        </w:rPr>
        <w:t>הבאה</w:t>
      </w:r>
      <w:r w:rsidRPr="0098037E">
        <w:rPr>
          <w:rFonts w:eastAsia="Times New Roman" w:cs="Times New Roman"/>
          <w:rtl/>
          <w:lang w:eastAsia="de-DE"/>
        </w:rPr>
        <w:t xml:space="preserve"> </w:t>
      </w:r>
      <w:r w:rsidRPr="0098037E">
        <w:rPr>
          <w:rFonts w:eastAsia="Times New Roman" w:cs="Times New Roman"/>
          <w:lang w:eastAsia="de-DE"/>
        </w:rPr>
        <w:t>(Darbringung) als solche.</w:t>
      </w:r>
    </w:p>
    <w:p w14:paraId="1A71D3B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רֵאשִׁית</w:t>
      </w:r>
      <w:r w:rsidRPr="0098037E">
        <w:rPr>
          <w:rFonts w:eastAsia="Times New Roman" w:cs="Times New Roman"/>
          <w:rtl/>
          <w:lang w:eastAsia="de-DE"/>
        </w:rPr>
        <w:t xml:space="preserve"> </w:t>
      </w:r>
      <w:r w:rsidRPr="0098037E">
        <w:rPr>
          <w:rFonts w:eastAsia="Times New Roman" w:cs="Times New Roman"/>
          <w:lang w:eastAsia="de-DE"/>
        </w:rPr>
        <w:t>mit ἀπα</w:t>
      </w:r>
      <w:proofErr w:type="spellStart"/>
      <w:r w:rsidRPr="0098037E">
        <w:rPr>
          <w:rFonts w:eastAsia="Times New Roman" w:cs="Times New Roman"/>
          <w:lang w:eastAsia="de-DE"/>
        </w:rPr>
        <w:t>ρχῶν</w:t>
      </w:r>
      <w:proofErr w:type="spellEnd"/>
      <w:r w:rsidRPr="0098037E">
        <w:rPr>
          <w:rFonts w:eastAsia="Times New Roman" w:cs="Times New Roman"/>
          <w:lang w:eastAsia="de-DE"/>
        </w:rPr>
        <w:t xml:space="preserve"> (Erstlinge), </w:t>
      </w:r>
      <w:r w:rsidRPr="0098037E">
        <w:rPr>
          <w:rFonts w:eastAsia="Times New Roman" w:cs="Times New Roman"/>
          <w:b/>
          <w:bCs/>
          <w:rtl/>
          <w:lang w:eastAsia="de-DE"/>
        </w:rPr>
        <w:t>יַעֲל֖וּ</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ἀν</w:t>
      </w:r>
      <w:proofErr w:type="spellEnd"/>
      <w:r w:rsidRPr="0098037E">
        <w:rPr>
          <w:rFonts w:eastAsia="Times New Roman" w:cs="Times New Roman"/>
          <w:lang w:eastAsia="de-DE"/>
        </w:rPr>
        <w:t xml:space="preserve">αβήσεται (es soll hinaufsteigen) und </w:t>
      </w:r>
      <w:r w:rsidRPr="0098037E">
        <w:rPr>
          <w:rFonts w:eastAsia="Times New Roman" w:cs="Times New Roman"/>
          <w:b/>
          <w:bCs/>
          <w:rtl/>
          <w:lang w:eastAsia="de-DE"/>
        </w:rPr>
        <w:t>רֵיחַ נִיחֹֽחַ</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ὀσμὴν</w:t>
      </w:r>
      <w:proofErr w:type="spellEnd"/>
      <w:r w:rsidRPr="0098037E">
        <w:rPr>
          <w:rFonts w:eastAsia="Times New Roman" w:cs="Times New Roman"/>
          <w:lang w:eastAsia="de-DE"/>
        </w:rPr>
        <w:t xml:space="preserve"> </w:t>
      </w:r>
      <w:proofErr w:type="spellStart"/>
      <w:r w:rsidRPr="0098037E">
        <w:rPr>
          <w:rFonts w:eastAsia="Times New Roman" w:cs="Times New Roman"/>
          <w:lang w:eastAsia="de-DE"/>
        </w:rPr>
        <w:t>εὐωδί</w:t>
      </w:r>
      <w:proofErr w:type="spellEnd"/>
      <w:r w:rsidRPr="0098037E">
        <w:rPr>
          <w:rFonts w:eastAsia="Times New Roman" w:cs="Times New Roman"/>
          <w:lang w:eastAsia="de-DE"/>
        </w:rPr>
        <w:t>ας (Wohlgeruch).</w:t>
      </w:r>
    </w:p>
    <w:p w14:paraId="1BD4EB8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Hauptsätze: Objekt + Verb + Objekt + Dativangabe // Präpositionalphrase + Negation + Verb + Zweckangabe. Der Kontrast zwischen erlaubter Darbringung und verbotener Verbrennung wird syntaktisch durch Koordination betont.</w:t>
      </w:r>
    </w:p>
    <w:p w14:paraId="525D5DA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löst den scheinbaren Widerspruch von Vers 11 auf: </w:t>
      </w:r>
      <w:r w:rsidRPr="0098037E">
        <w:rPr>
          <w:rFonts w:eastAsia="Times New Roman" w:cs="Times New Roman"/>
          <w:b/>
          <w:bCs/>
          <w:rtl/>
          <w:lang w:eastAsia="de-DE"/>
        </w:rPr>
        <w:t>שְׂאֹר</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דְּבַשׁ</w:t>
      </w:r>
      <w:r w:rsidRPr="0098037E">
        <w:rPr>
          <w:rFonts w:eastAsia="Times New Roman" w:cs="Times New Roman"/>
          <w:rtl/>
          <w:lang w:eastAsia="de-DE"/>
        </w:rPr>
        <w:t xml:space="preserve"> </w:t>
      </w:r>
      <w:r w:rsidRPr="0098037E">
        <w:rPr>
          <w:rFonts w:eastAsia="Times New Roman" w:cs="Times New Roman"/>
          <w:lang w:eastAsia="de-DE"/>
        </w:rPr>
        <w:t>sind als Erstlingsgaben erlaubt, aber nicht für Feueropfer.</w:t>
      </w:r>
    </w:p>
    <w:p w14:paraId="62DEE346"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2,13</w:t>
      </w:r>
    </w:p>
    <w:p w14:paraId="1BC1EE3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וְכָל־קָרְבַּ֣ן מִנְחָתְךָ֮ בַּמֶּ֣לַח תִּמְלָח֒ וְלֹ֣א תַשְׁבִּ֗ית מֶ֚לַח בְּרִ֣ית אֱלֹהֶ֔יךָ מֵעַ֖ל מִנְחָתֶ֑ךָ עַ֥ל כָּל־קָרְבָּנְךָ֖ תַּקְרִ֥יב מֶֽלַח׃</w:t>
      </w:r>
    </w:p>
    <w:p w14:paraId="79DB87A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alle Opfergaben deines Speisopfers sollst du mit Salz salzen und sollst das Salz des Bundes deines Gottes nicht fehlen lassen bei deinem Speisopfer; bei allen deinen Opfergaben sollst du Salz darbringen.</w:t>
      </w:r>
    </w:p>
    <w:p w14:paraId="75EFA778"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0E5C898D">
          <v:rect id="_x0000_i1054" style="width:0;height:1.5pt" o:hralign="center" o:hrstd="t" o:hr="t" fillcolor="#a0a0a0" stroked="f"/>
        </w:pict>
      </w:r>
    </w:p>
    <w:p w14:paraId="05F8A168" w14:textId="650136A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וְכָל־קָרְבַּ֣ן מִנְחָתְךָ֮</w:t>
      </w:r>
      <w:r w:rsidRPr="0098037E">
        <w:rPr>
          <w:rFonts w:eastAsia="Times New Roman" w:cs="Times New Roman"/>
          <w:rtl/>
          <w:lang w:eastAsia="de-DE"/>
        </w:rPr>
        <w:t xml:space="preserve"> </w:t>
      </w:r>
      <w:r w:rsidRPr="0098037E">
        <w:rPr>
          <w:rFonts w:eastAsia="Times New Roman" w:cs="Times New Roman"/>
          <w:lang w:eastAsia="de-DE"/>
        </w:rPr>
        <w:t xml:space="preserve">(und jede Opfergabe deines Speisopfers) verwendet </w:t>
      </w:r>
      <w:r w:rsidRPr="0098037E">
        <w:rPr>
          <w:rFonts w:eastAsia="Times New Roman" w:cs="Times New Roman"/>
          <w:b/>
          <w:bCs/>
          <w:rtl/>
          <w:lang w:eastAsia="de-DE"/>
        </w:rPr>
        <w:t>כל</w:t>
      </w:r>
      <w:r w:rsidRPr="0098037E">
        <w:rPr>
          <w:rFonts w:eastAsia="Times New Roman" w:cs="Times New Roman"/>
          <w:rtl/>
          <w:lang w:eastAsia="de-DE"/>
        </w:rPr>
        <w:t xml:space="preserve"> </w:t>
      </w:r>
      <w:r w:rsidRPr="0098037E">
        <w:rPr>
          <w:rFonts w:eastAsia="Times New Roman" w:cs="Times New Roman"/>
          <w:lang w:eastAsia="de-DE"/>
        </w:rPr>
        <w:t xml:space="preserve">(alle/jede) für Universalität, </w:t>
      </w:r>
      <w:r w:rsidRPr="0098037E">
        <w:rPr>
          <w:rFonts w:eastAsia="Times New Roman" w:cs="Times New Roman"/>
          <w:b/>
          <w:bCs/>
          <w:rtl/>
          <w:lang w:eastAsia="de-DE"/>
        </w:rPr>
        <w:t>קָרְבַּן</w:t>
      </w:r>
      <w:r w:rsidRPr="0098037E">
        <w:rPr>
          <w:rFonts w:eastAsia="Times New Roman" w:cs="Times New Roman"/>
          <w:rtl/>
          <w:lang w:eastAsia="de-DE"/>
        </w:rPr>
        <w:t xml:space="preserve"> </w:t>
      </w:r>
      <w:r w:rsidRPr="0098037E">
        <w:rPr>
          <w:rFonts w:eastAsia="Times New Roman" w:cs="Times New Roman"/>
          <w:lang w:eastAsia="de-DE"/>
        </w:rPr>
        <w:t xml:space="preserve">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 xml:space="preserve">und Possessivsuffix 2. Person maskulin Singular. </w:t>
      </w:r>
      <w:r w:rsidRPr="0098037E">
        <w:rPr>
          <w:rFonts w:eastAsia="Times New Roman" w:cs="Times New Roman"/>
          <w:b/>
          <w:bCs/>
          <w:rtl/>
          <w:lang w:eastAsia="de-DE"/>
        </w:rPr>
        <w:t>בַּמֶּ֣לַח תִּמְלָח֒</w:t>
      </w:r>
      <w:r w:rsidRPr="0098037E">
        <w:rPr>
          <w:rFonts w:eastAsia="Times New Roman" w:cs="Times New Roman"/>
          <w:rtl/>
          <w:lang w:eastAsia="de-DE"/>
        </w:rPr>
        <w:t xml:space="preserve"> </w:t>
      </w:r>
      <w:r w:rsidRPr="0098037E">
        <w:rPr>
          <w:rFonts w:eastAsia="Times New Roman" w:cs="Times New Roman"/>
          <w:lang w:eastAsia="de-DE"/>
        </w:rPr>
        <w:t xml:space="preserve">(mit Salz sollst du salzen) zeigt </w:t>
      </w:r>
      <w:r w:rsidRPr="0098037E">
        <w:rPr>
          <w:rFonts w:eastAsia="Times New Roman" w:cs="Times New Roman"/>
          <w:b/>
          <w:bCs/>
          <w:rtl/>
          <w:lang w:eastAsia="de-DE"/>
        </w:rPr>
        <w:t>מלח</w:t>
      </w:r>
      <w:r w:rsidRPr="0098037E">
        <w:rPr>
          <w:rFonts w:eastAsia="Times New Roman" w:cs="Times New Roman"/>
          <w:rtl/>
          <w:lang w:eastAsia="de-DE"/>
        </w:rPr>
        <w:t xml:space="preserve"> </w:t>
      </w:r>
      <w:r w:rsidRPr="0098037E">
        <w:rPr>
          <w:rFonts w:eastAsia="Times New Roman" w:cs="Times New Roman"/>
          <w:lang w:eastAsia="de-DE"/>
        </w:rPr>
        <w:t>(salzen) im Qal-Imperfekt 2. Person maskulin Singular mit cognate accusative Konstruktion.</w:t>
      </w:r>
    </w:p>
    <w:p w14:paraId="2E54BB2B" w14:textId="2575694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וְלֹ֣א תַשְׁבִּ֗ית</w:t>
      </w:r>
      <w:r w:rsidRPr="0098037E">
        <w:rPr>
          <w:rFonts w:eastAsia="Times New Roman" w:cs="Times New Roman"/>
          <w:rtl/>
          <w:lang w:eastAsia="de-DE"/>
        </w:rPr>
        <w:t xml:space="preserve"> </w:t>
      </w:r>
      <w:r w:rsidRPr="0098037E">
        <w:rPr>
          <w:rFonts w:eastAsia="Times New Roman" w:cs="Times New Roman"/>
          <w:lang w:eastAsia="de-DE"/>
        </w:rPr>
        <w:t xml:space="preserve">(und du sollst nicht aufhören lassen) ist Hifil-Imperfekt 2. Person maskulin Singular von </w:t>
      </w:r>
      <w:r w:rsidRPr="0098037E">
        <w:rPr>
          <w:rFonts w:eastAsia="Times New Roman" w:cs="Times New Roman"/>
          <w:b/>
          <w:bCs/>
          <w:rtl/>
          <w:lang w:eastAsia="de-DE"/>
        </w:rPr>
        <w:t>שבת</w:t>
      </w:r>
      <w:r w:rsidRPr="0098037E">
        <w:rPr>
          <w:rFonts w:eastAsia="Times New Roman" w:cs="Times New Roman"/>
          <w:rtl/>
          <w:lang w:eastAsia="de-DE"/>
        </w:rPr>
        <w:t xml:space="preserve"> </w:t>
      </w:r>
      <w:r w:rsidRPr="0098037E">
        <w:rPr>
          <w:rFonts w:eastAsia="Times New Roman" w:cs="Times New Roman"/>
          <w:lang w:eastAsia="de-DE"/>
        </w:rPr>
        <w:t xml:space="preserve">(aufhören/ruhen) mit Negation. </w:t>
      </w:r>
      <w:r w:rsidRPr="0098037E">
        <w:rPr>
          <w:rFonts w:eastAsia="Times New Roman" w:cs="Times New Roman"/>
          <w:b/>
          <w:bCs/>
          <w:rtl/>
          <w:lang w:eastAsia="de-DE"/>
        </w:rPr>
        <w:t>מֶ֚לַח בְּרִ֣ית אֱלֹהֶ֔יךָ</w:t>
      </w:r>
      <w:r w:rsidRPr="0098037E">
        <w:rPr>
          <w:rFonts w:eastAsia="Times New Roman" w:cs="Times New Roman"/>
          <w:rtl/>
          <w:lang w:eastAsia="de-DE"/>
        </w:rPr>
        <w:t xml:space="preserve"> </w:t>
      </w:r>
      <w:r w:rsidRPr="0098037E">
        <w:rPr>
          <w:rFonts w:eastAsia="Times New Roman" w:cs="Times New Roman"/>
          <w:lang w:eastAsia="de-DE"/>
        </w:rPr>
        <w:t xml:space="preserve">(Salz des Bundes deines Gottes) zeigt </w:t>
      </w:r>
      <w:r w:rsidRPr="0098037E">
        <w:rPr>
          <w:rFonts w:eastAsia="Times New Roman" w:cs="Times New Roman"/>
          <w:b/>
          <w:bCs/>
          <w:rtl/>
          <w:lang w:eastAsia="de-DE"/>
        </w:rPr>
        <w:t>מֶלַח</w:t>
      </w:r>
      <w:r w:rsidRPr="0098037E">
        <w:rPr>
          <w:rFonts w:eastAsia="Times New Roman" w:cs="Times New Roman"/>
          <w:rtl/>
          <w:lang w:eastAsia="de-DE"/>
        </w:rPr>
        <w:t xml:space="preserve"> </w:t>
      </w:r>
      <w:r w:rsidRPr="0098037E">
        <w:rPr>
          <w:rFonts w:eastAsia="Times New Roman" w:cs="Times New Roman"/>
          <w:lang w:eastAsia="de-DE"/>
        </w:rPr>
        <w:t xml:space="preserve">(Salz) 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בְּרִית</w:t>
      </w:r>
      <w:r w:rsidRPr="0098037E">
        <w:rPr>
          <w:rFonts w:eastAsia="Times New Roman" w:cs="Times New Roman"/>
          <w:rtl/>
          <w:lang w:eastAsia="de-DE"/>
        </w:rPr>
        <w:t xml:space="preserve"> </w:t>
      </w:r>
      <w:r w:rsidRPr="0098037E">
        <w:rPr>
          <w:rFonts w:eastAsia="Times New Roman" w:cs="Times New Roman"/>
          <w:lang w:eastAsia="de-DE"/>
        </w:rPr>
        <w:t xml:space="preserve">(Bund) und </w:t>
      </w:r>
      <w:r w:rsidRPr="0098037E">
        <w:rPr>
          <w:rFonts w:eastAsia="Times New Roman" w:cs="Times New Roman"/>
          <w:b/>
          <w:bCs/>
          <w:rtl/>
          <w:lang w:eastAsia="de-DE"/>
        </w:rPr>
        <w:t>אֱלֹהִים</w:t>
      </w:r>
      <w:r w:rsidRPr="0098037E">
        <w:rPr>
          <w:rFonts w:eastAsia="Times New Roman" w:cs="Times New Roman"/>
          <w:rtl/>
          <w:lang w:eastAsia="de-DE"/>
        </w:rPr>
        <w:t xml:space="preserve"> </w:t>
      </w:r>
      <w:r w:rsidRPr="0098037E">
        <w:rPr>
          <w:rFonts w:eastAsia="Times New Roman" w:cs="Times New Roman"/>
          <w:lang w:eastAsia="de-DE"/>
        </w:rPr>
        <w:t>mit Possessivsuffix 2. Person maskulin Singular.</w:t>
      </w:r>
    </w:p>
    <w:p w14:paraId="039D36C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מֵעַ֖ל מִנְחָתֶ֑ךָ</w:t>
      </w:r>
      <w:r w:rsidRPr="0098037E">
        <w:rPr>
          <w:rFonts w:eastAsia="Times New Roman" w:cs="Times New Roman"/>
          <w:rtl/>
          <w:lang w:eastAsia="de-DE"/>
        </w:rPr>
        <w:t xml:space="preserve"> </w:t>
      </w:r>
      <w:r w:rsidRPr="0098037E">
        <w:rPr>
          <w:rFonts w:eastAsia="Times New Roman" w:cs="Times New Roman"/>
          <w:lang w:eastAsia="de-DE"/>
        </w:rPr>
        <w:t xml:space="preserve">(von deinem Speisopfer) mit der Präposition </w:t>
      </w:r>
      <w:r w:rsidRPr="0098037E">
        <w:rPr>
          <w:rFonts w:eastAsia="Times New Roman" w:cs="Times New Roman"/>
          <w:b/>
          <w:bCs/>
          <w:rtl/>
          <w:lang w:eastAsia="de-DE"/>
        </w:rPr>
        <w:t>מֵעַל</w:t>
      </w:r>
      <w:r w:rsidRPr="0098037E">
        <w:rPr>
          <w:rFonts w:eastAsia="Times New Roman" w:cs="Times New Roman"/>
          <w:rtl/>
          <w:lang w:eastAsia="de-DE"/>
        </w:rPr>
        <w:t xml:space="preserve"> </w:t>
      </w:r>
      <w:r w:rsidRPr="0098037E">
        <w:rPr>
          <w:rFonts w:eastAsia="Times New Roman" w:cs="Times New Roman"/>
          <w:lang w:eastAsia="de-DE"/>
        </w:rPr>
        <w:t xml:space="preserve">(von...weg/von...ab) und Possessivsuffix. </w:t>
      </w:r>
      <w:r w:rsidRPr="0098037E">
        <w:rPr>
          <w:rFonts w:eastAsia="Times New Roman" w:cs="Times New Roman"/>
          <w:b/>
          <w:bCs/>
          <w:rtl/>
          <w:lang w:eastAsia="de-DE"/>
        </w:rPr>
        <w:t>עַ֥ל כָּל־קָרְבָּנְךָ֖ תַּקְרִ֥יב מֶֽלַח</w:t>
      </w:r>
      <w:r w:rsidRPr="0098037E">
        <w:rPr>
          <w:rFonts w:eastAsia="Times New Roman" w:cs="Times New Roman"/>
          <w:rtl/>
          <w:lang w:eastAsia="de-DE"/>
        </w:rPr>
        <w:t xml:space="preserve"> </w:t>
      </w:r>
      <w:r w:rsidRPr="0098037E">
        <w:rPr>
          <w:rFonts w:eastAsia="Times New Roman" w:cs="Times New Roman"/>
          <w:lang w:eastAsia="de-DE"/>
        </w:rPr>
        <w:t>(bei allen deinen Opfergaben sollst du Salz darbringen) erweitert das Gebot auf alle Opferarten.</w:t>
      </w:r>
    </w:p>
    <w:p w14:paraId="414BB8E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מֶלַח בְּרִית</w:t>
      </w:r>
      <w:r w:rsidRPr="0098037E">
        <w:rPr>
          <w:rFonts w:eastAsia="Times New Roman" w:cs="Times New Roman"/>
          <w:rtl/>
          <w:lang w:eastAsia="de-DE"/>
        </w:rPr>
        <w:t xml:space="preserve"> </w:t>
      </w:r>
      <w:r w:rsidRPr="0098037E">
        <w:rPr>
          <w:rFonts w:eastAsia="Times New Roman" w:cs="Times New Roman"/>
          <w:lang w:eastAsia="de-DE"/>
        </w:rPr>
        <w:t xml:space="preserve">(Salz des Bundes) ist eine bedeutsame theologische Wendung: Salz als Symbol für Beständigkeit, Reinheit und Unvergänglichkeit wird mit </w:t>
      </w:r>
      <w:r w:rsidRPr="0098037E">
        <w:rPr>
          <w:rFonts w:eastAsia="Times New Roman" w:cs="Times New Roman"/>
          <w:b/>
          <w:bCs/>
          <w:rtl/>
          <w:lang w:eastAsia="de-DE"/>
        </w:rPr>
        <w:t>בְּרִית</w:t>
      </w:r>
      <w:r w:rsidRPr="0098037E">
        <w:rPr>
          <w:rFonts w:eastAsia="Times New Roman" w:cs="Times New Roman"/>
          <w:rtl/>
          <w:lang w:eastAsia="de-DE"/>
        </w:rPr>
        <w:t xml:space="preserve"> </w:t>
      </w:r>
      <w:r w:rsidRPr="0098037E">
        <w:rPr>
          <w:rFonts w:eastAsia="Times New Roman" w:cs="Times New Roman"/>
          <w:lang w:eastAsia="de-DE"/>
        </w:rPr>
        <w:t xml:space="preserve">(Bund) verbunden. </w:t>
      </w:r>
      <w:r w:rsidRPr="0098037E">
        <w:rPr>
          <w:rFonts w:eastAsia="Times New Roman" w:cs="Times New Roman"/>
          <w:b/>
          <w:bCs/>
          <w:rtl/>
          <w:lang w:eastAsia="de-DE"/>
        </w:rPr>
        <w:t>מֶלַח</w:t>
      </w:r>
      <w:r w:rsidRPr="0098037E">
        <w:rPr>
          <w:rFonts w:eastAsia="Times New Roman" w:cs="Times New Roman"/>
          <w:rtl/>
          <w:lang w:eastAsia="de-DE"/>
        </w:rPr>
        <w:t xml:space="preserve"> </w:t>
      </w:r>
      <w:r w:rsidRPr="0098037E">
        <w:rPr>
          <w:rFonts w:eastAsia="Times New Roman" w:cs="Times New Roman"/>
          <w:lang w:eastAsia="de-DE"/>
        </w:rPr>
        <w:t>konserviert und verhindert Verderb, analog zur ewigen Gültigkeit des Bundes.</w:t>
      </w:r>
    </w:p>
    <w:p w14:paraId="11004CE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שבת</w:t>
      </w:r>
      <w:r w:rsidRPr="0098037E">
        <w:rPr>
          <w:rFonts w:eastAsia="Times New Roman" w:cs="Times New Roman"/>
          <w:rtl/>
          <w:lang w:eastAsia="de-DE"/>
        </w:rPr>
        <w:t xml:space="preserve"> </w:t>
      </w:r>
      <w:r w:rsidRPr="0098037E">
        <w:rPr>
          <w:rFonts w:eastAsia="Times New Roman" w:cs="Times New Roman"/>
          <w:lang w:eastAsia="de-DE"/>
        </w:rPr>
        <w:t>im Hifil (</w:t>
      </w:r>
      <w:r w:rsidRPr="0098037E">
        <w:rPr>
          <w:rFonts w:eastAsia="Times New Roman" w:cs="Times New Roman"/>
          <w:b/>
          <w:bCs/>
          <w:rtl/>
          <w:lang w:eastAsia="de-DE"/>
        </w:rPr>
        <w:t>השבית</w:t>
      </w:r>
      <w:r w:rsidRPr="0098037E">
        <w:rPr>
          <w:rFonts w:eastAsia="Times New Roman" w:cs="Times New Roman"/>
          <w:lang w:eastAsia="de-DE"/>
        </w:rPr>
        <w:t xml:space="preserve">) bedeutet "aufhören lassen/beseitigen". Das Verbot </w:t>
      </w:r>
      <w:r w:rsidRPr="0098037E">
        <w:rPr>
          <w:rFonts w:eastAsia="Times New Roman" w:cs="Times New Roman"/>
          <w:b/>
          <w:bCs/>
          <w:rtl/>
          <w:lang w:eastAsia="de-DE"/>
        </w:rPr>
        <w:t>לא תשבית</w:t>
      </w:r>
      <w:r w:rsidRPr="0098037E">
        <w:rPr>
          <w:rFonts w:eastAsia="Times New Roman" w:cs="Times New Roman"/>
          <w:rtl/>
          <w:lang w:eastAsia="de-DE"/>
        </w:rPr>
        <w:t xml:space="preserve"> </w:t>
      </w:r>
      <w:r w:rsidRPr="0098037E">
        <w:rPr>
          <w:rFonts w:eastAsia="Times New Roman" w:cs="Times New Roman"/>
          <w:lang w:eastAsia="de-DE"/>
        </w:rPr>
        <w:t xml:space="preserve">betont die ständige Notwendigkeit von Salz bei Opfern. Die cognate accusative Konstruktion </w:t>
      </w:r>
      <w:r w:rsidRPr="0098037E">
        <w:rPr>
          <w:rFonts w:eastAsia="Times New Roman" w:cs="Times New Roman"/>
          <w:b/>
          <w:bCs/>
          <w:rtl/>
          <w:lang w:eastAsia="de-DE"/>
        </w:rPr>
        <w:t>במלח תמלח</w:t>
      </w:r>
      <w:r w:rsidRPr="0098037E">
        <w:rPr>
          <w:rFonts w:eastAsia="Times New Roman" w:cs="Times New Roman"/>
          <w:rtl/>
          <w:lang w:eastAsia="de-DE"/>
        </w:rPr>
        <w:t xml:space="preserve"> </w:t>
      </w:r>
      <w:r w:rsidRPr="0098037E">
        <w:rPr>
          <w:rFonts w:eastAsia="Times New Roman" w:cs="Times New Roman"/>
          <w:lang w:eastAsia="de-DE"/>
        </w:rPr>
        <w:t>verstärkt die Imperativbedeutung.</w:t>
      </w:r>
    </w:p>
    <w:p w14:paraId="539235F8" w14:textId="4B9F3B9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248F3">
        <w:t xml:space="preserve">erweitert das Ende mit </w:t>
      </w:r>
      <w:proofErr w:type="spellStart"/>
      <w:r w:rsidR="005248F3">
        <w:t>κυρίῳ</w:t>
      </w:r>
      <w:proofErr w:type="spellEnd"/>
      <w:r w:rsidR="005248F3">
        <w:t xml:space="preserve"> </w:t>
      </w:r>
      <w:proofErr w:type="spellStart"/>
      <w:r w:rsidR="005248F3">
        <w:t>τῷ</w:t>
      </w:r>
      <w:proofErr w:type="spellEnd"/>
      <w:r w:rsidR="005248F3">
        <w:t xml:space="preserve"> </w:t>
      </w:r>
      <w:proofErr w:type="spellStart"/>
      <w:r w:rsidR="005248F3">
        <w:t>θεῷ</w:t>
      </w:r>
      <w:proofErr w:type="spellEnd"/>
      <w:r w:rsidR="005248F3">
        <w:t xml:space="preserve"> </w:t>
      </w:r>
      <w:proofErr w:type="spellStart"/>
      <w:r w:rsidR="005248F3">
        <w:t>ὑμῶν</w:t>
      </w:r>
      <w:proofErr w:type="spellEnd"/>
      <w:r w:rsidR="005248F3">
        <w:t xml:space="preserve"> (dem Herrn, eurem Gott), was im hebräischen Text fehlt und eine theologische Verstärkung darstellt.</w:t>
      </w:r>
    </w:p>
    <w:p w14:paraId="2B2D49F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drei koordinierte Bestimmungen: Objekt + Adverbialbestimmung + Verb // Negation + Verb + Objekt + Adverbialbestimmung // Präpositionalphrase + Verb + Objekt. Die dreifache Struktur betont die Wichtigkeit des Salzgebotes.</w:t>
      </w:r>
    </w:p>
    <w:p w14:paraId="037AEDD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Salz als obligatorische Komponente aller Opfer und verbindet es theologisch mit der Bundestreue Gottes.</w:t>
      </w:r>
    </w:p>
    <w:p w14:paraId="1E02D634"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2,14</w:t>
      </w:r>
    </w:p>
    <w:p w14:paraId="6DE049D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וְאִם־תַּקְרִ֛יב מִנְחַ֥ת בִּכּוּרִ֖ים לַיהוָ֑ה אָבִ֞יב קָל֤וּי בָּאֵשׁ֙ גֶּ֣רֶשׂ כַּרְמֶ֔ל תַּקְרִ֕יב אֵ֖ת מִנְחַ֥ת בִּכּוּרֶֽיךָ׃</w:t>
      </w:r>
    </w:p>
    <w:p w14:paraId="507E1C8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du ein Speisopfer von Erstlingsfrüchten dem Ewigen darbringen willst, sollst du am Feuer geröstete Ähren, zerstoßenes Korn vom Jungkorn, als Speisopfer deiner Erstlingsfrüchte darbringen.</w:t>
      </w:r>
    </w:p>
    <w:p w14:paraId="1119CD2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0F15A218">
          <v:rect id="_x0000_i1055" style="width:0;height:1.5pt" o:hralign="center" o:hrstd="t" o:hr="t" fillcolor="#a0a0a0" stroked="f"/>
        </w:pict>
      </w:r>
    </w:p>
    <w:p w14:paraId="25DFFDAD" w14:textId="60EC901F"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וְאִם־תַּקְרִ֛יב</w:t>
      </w:r>
      <w:r w:rsidRPr="0098037E">
        <w:rPr>
          <w:rFonts w:eastAsia="Times New Roman" w:cs="Times New Roman"/>
          <w:rtl/>
          <w:lang w:eastAsia="de-DE"/>
        </w:rPr>
        <w:t xml:space="preserve"> </w:t>
      </w:r>
      <w:r w:rsidRPr="0098037E">
        <w:rPr>
          <w:rFonts w:eastAsia="Times New Roman" w:cs="Times New Roman"/>
          <w:lang w:eastAsia="de-DE"/>
        </w:rPr>
        <w:t xml:space="preserve">(und wenn du darbringst) leitet eine neue Kondition ein. </w:t>
      </w:r>
      <w:r w:rsidRPr="0098037E">
        <w:rPr>
          <w:rFonts w:eastAsia="Times New Roman" w:cs="Times New Roman"/>
          <w:b/>
          <w:bCs/>
          <w:rtl/>
          <w:lang w:eastAsia="de-DE"/>
        </w:rPr>
        <w:t>מִנְחַ֥ת בִּכּוּרִ֖ים</w:t>
      </w:r>
      <w:r w:rsidRPr="0098037E">
        <w:rPr>
          <w:rFonts w:eastAsia="Times New Roman" w:cs="Times New Roman"/>
          <w:rtl/>
          <w:lang w:eastAsia="de-DE"/>
        </w:rPr>
        <w:t xml:space="preserve"> </w:t>
      </w:r>
      <w:r w:rsidRPr="0098037E">
        <w:rPr>
          <w:rFonts w:eastAsia="Times New Roman" w:cs="Times New Roman"/>
          <w:lang w:eastAsia="de-DE"/>
        </w:rPr>
        <w:t xml:space="preserve">(Speisopfer von Erstlingsfrüchten) zeigt </w:t>
      </w:r>
      <w:r w:rsidRPr="0098037E">
        <w:rPr>
          <w:rFonts w:eastAsia="Times New Roman" w:cs="Times New Roman"/>
          <w:b/>
          <w:bCs/>
          <w:rtl/>
          <w:lang w:eastAsia="de-DE"/>
        </w:rPr>
        <w:t>מִנְחַת</w:t>
      </w:r>
      <w:r w:rsidRPr="0098037E">
        <w:rPr>
          <w:rFonts w:eastAsia="Times New Roman" w:cs="Times New Roman"/>
          <w:rtl/>
          <w:lang w:eastAsia="de-DE"/>
        </w:rPr>
        <w:t xml:space="preserve"> </w:t>
      </w:r>
      <w:r w:rsidRPr="0098037E">
        <w:rPr>
          <w:rFonts w:eastAsia="Times New Roman" w:cs="Times New Roman"/>
          <w:lang w:eastAsia="de-DE"/>
        </w:rPr>
        <w:t xml:space="preserve">im </w:t>
      </w:r>
      <w:r w:rsidR="005407E2">
        <w:rPr>
          <w:rFonts w:eastAsia="Times New Roman" w:cs="Times New Roman"/>
          <w:lang w:eastAsia="de-DE"/>
        </w:rPr>
        <w:t>Constructus</w:t>
      </w:r>
      <w:r w:rsidRPr="0098037E">
        <w:rPr>
          <w:rFonts w:eastAsia="Times New Roman" w:cs="Times New Roman"/>
          <w:lang w:eastAsia="de-DE"/>
        </w:rPr>
        <w:t xml:space="preserve"> mit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 xml:space="preserve">(Erstlingsfrüchte).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 xml:space="preserve">von </w:t>
      </w:r>
      <w:r w:rsidRPr="0098037E">
        <w:rPr>
          <w:rFonts w:eastAsia="Times New Roman" w:cs="Times New Roman"/>
          <w:b/>
          <w:bCs/>
          <w:rtl/>
          <w:lang w:eastAsia="de-DE"/>
        </w:rPr>
        <w:t>בכר</w:t>
      </w:r>
      <w:r w:rsidRPr="0098037E">
        <w:rPr>
          <w:rFonts w:eastAsia="Times New Roman" w:cs="Times New Roman"/>
          <w:rtl/>
          <w:lang w:eastAsia="de-DE"/>
        </w:rPr>
        <w:t xml:space="preserve"> </w:t>
      </w:r>
      <w:r w:rsidRPr="0098037E">
        <w:rPr>
          <w:rFonts w:eastAsia="Times New Roman" w:cs="Times New Roman"/>
          <w:lang w:eastAsia="de-DE"/>
        </w:rPr>
        <w:t xml:space="preserve">(früh sein) bezeichnet die ersten Früchte der Ernte.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zeigt den Empfänger.</w:t>
      </w:r>
    </w:p>
    <w:p w14:paraId="1D13ABA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אָבִ֞יב קָל֤וּי בָּאֵשׁ֙</w:t>
      </w:r>
      <w:r w:rsidRPr="0098037E">
        <w:rPr>
          <w:rFonts w:eastAsia="Times New Roman" w:cs="Times New Roman"/>
          <w:rtl/>
          <w:lang w:eastAsia="de-DE"/>
        </w:rPr>
        <w:t xml:space="preserve"> </w:t>
      </w:r>
      <w:r w:rsidRPr="0098037E">
        <w:rPr>
          <w:rFonts w:eastAsia="Times New Roman" w:cs="Times New Roman"/>
          <w:lang w:eastAsia="de-DE"/>
        </w:rPr>
        <w:t xml:space="preserve">(am Feuer geröstetes Jungkorn) beschreibt die Zubereitung: </w:t>
      </w:r>
      <w:r w:rsidRPr="0098037E">
        <w:rPr>
          <w:rFonts w:eastAsia="Times New Roman" w:cs="Times New Roman"/>
          <w:b/>
          <w:bCs/>
          <w:rtl/>
          <w:lang w:eastAsia="de-DE"/>
        </w:rPr>
        <w:t>אָבִיב</w:t>
      </w:r>
      <w:r w:rsidRPr="0098037E">
        <w:rPr>
          <w:rFonts w:eastAsia="Times New Roman" w:cs="Times New Roman"/>
          <w:rtl/>
          <w:lang w:eastAsia="de-DE"/>
        </w:rPr>
        <w:t xml:space="preserve"> </w:t>
      </w:r>
      <w:r w:rsidRPr="0098037E">
        <w:rPr>
          <w:rFonts w:eastAsia="Times New Roman" w:cs="Times New Roman"/>
          <w:lang w:eastAsia="de-DE"/>
        </w:rPr>
        <w:t xml:space="preserve">(Jungkorn/grüne Ähren) + </w:t>
      </w:r>
      <w:r w:rsidRPr="0098037E">
        <w:rPr>
          <w:rFonts w:eastAsia="Times New Roman" w:cs="Times New Roman"/>
          <w:b/>
          <w:bCs/>
          <w:rtl/>
          <w:lang w:eastAsia="de-DE"/>
        </w:rPr>
        <w:t>קָלוּי</w:t>
      </w:r>
      <w:r w:rsidRPr="0098037E">
        <w:rPr>
          <w:rFonts w:eastAsia="Times New Roman" w:cs="Times New Roman"/>
          <w:rtl/>
          <w:lang w:eastAsia="de-DE"/>
        </w:rPr>
        <w:t xml:space="preserve"> </w:t>
      </w:r>
      <w:r w:rsidRPr="0098037E">
        <w:rPr>
          <w:rFonts w:eastAsia="Times New Roman" w:cs="Times New Roman"/>
          <w:lang w:eastAsia="de-DE"/>
        </w:rPr>
        <w:t xml:space="preserve">(geröstetes) von </w:t>
      </w:r>
      <w:r w:rsidRPr="0098037E">
        <w:rPr>
          <w:rFonts w:eastAsia="Times New Roman" w:cs="Times New Roman"/>
          <w:b/>
          <w:bCs/>
          <w:rtl/>
          <w:lang w:eastAsia="de-DE"/>
        </w:rPr>
        <w:t>קלה</w:t>
      </w:r>
      <w:r w:rsidRPr="0098037E">
        <w:rPr>
          <w:rFonts w:eastAsia="Times New Roman" w:cs="Times New Roman"/>
          <w:rtl/>
          <w:lang w:eastAsia="de-DE"/>
        </w:rPr>
        <w:t xml:space="preserve"> </w:t>
      </w:r>
      <w:r w:rsidRPr="0098037E">
        <w:rPr>
          <w:rFonts w:eastAsia="Times New Roman" w:cs="Times New Roman"/>
          <w:lang w:eastAsia="de-DE"/>
        </w:rPr>
        <w:t xml:space="preserve">(rösten) im Qal-Partizip passiv + </w:t>
      </w:r>
      <w:r w:rsidRPr="0098037E">
        <w:rPr>
          <w:rFonts w:eastAsia="Times New Roman" w:cs="Times New Roman"/>
          <w:b/>
          <w:bCs/>
          <w:rtl/>
          <w:lang w:eastAsia="de-DE"/>
        </w:rPr>
        <w:t>בָּאֵשׁ</w:t>
      </w:r>
      <w:r w:rsidRPr="0098037E">
        <w:rPr>
          <w:rFonts w:eastAsia="Times New Roman" w:cs="Times New Roman"/>
          <w:rtl/>
          <w:lang w:eastAsia="de-DE"/>
        </w:rPr>
        <w:t xml:space="preserve"> </w:t>
      </w:r>
      <w:r w:rsidRPr="0098037E">
        <w:rPr>
          <w:rFonts w:eastAsia="Times New Roman" w:cs="Times New Roman"/>
          <w:lang w:eastAsia="de-DE"/>
        </w:rPr>
        <w:t xml:space="preserve">(am Feuer). </w:t>
      </w:r>
      <w:r w:rsidRPr="0098037E">
        <w:rPr>
          <w:rFonts w:eastAsia="Times New Roman" w:cs="Times New Roman"/>
          <w:b/>
          <w:bCs/>
          <w:rtl/>
          <w:lang w:eastAsia="de-DE"/>
        </w:rPr>
        <w:t>גֶּ֣רֶשׂ כַּרְמֶ֔ל</w:t>
      </w:r>
      <w:r w:rsidRPr="0098037E">
        <w:rPr>
          <w:rFonts w:eastAsia="Times New Roman" w:cs="Times New Roman"/>
          <w:rtl/>
          <w:lang w:eastAsia="de-DE"/>
        </w:rPr>
        <w:t xml:space="preserve"> </w:t>
      </w:r>
      <w:r w:rsidRPr="0098037E">
        <w:rPr>
          <w:rFonts w:eastAsia="Times New Roman" w:cs="Times New Roman"/>
          <w:lang w:eastAsia="de-DE"/>
        </w:rPr>
        <w:t xml:space="preserve">(zerstoßenes Korn) zeigt </w:t>
      </w:r>
      <w:r w:rsidRPr="0098037E">
        <w:rPr>
          <w:rFonts w:eastAsia="Times New Roman" w:cs="Times New Roman"/>
          <w:b/>
          <w:bCs/>
          <w:rtl/>
          <w:lang w:eastAsia="de-DE"/>
        </w:rPr>
        <w:t>גֶּרֶשׂ</w:t>
      </w:r>
      <w:r w:rsidRPr="0098037E">
        <w:rPr>
          <w:rFonts w:eastAsia="Times New Roman" w:cs="Times New Roman"/>
          <w:rtl/>
          <w:lang w:eastAsia="de-DE"/>
        </w:rPr>
        <w:t xml:space="preserve"> </w:t>
      </w:r>
      <w:r w:rsidRPr="0098037E">
        <w:rPr>
          <w:rFonts w:eastAsia="Times New Roman" w:cs="Times New Roman"/>
          <w:lang w:eastAsia="de-DE"/>
        </w:rPr>
        <w:t xml:space="preserve">(zerstoßenes/geschrotetes Getreide) als Apposition zu </w:t>
      </w:r>
      <w:r w:rsidRPr="0098037E">
        <w:rPr>
          <w:rFonts w:eastAsia="Times New Roman" w:cs="Times New Roman"/>
          <w:b/>
          <w:bCs/>
          <w:rtl/>
          <w:lang w:eastAsia="de-DE"/>
        </w:rPr>
        <w:t>כַּרְמֶל</w:t>
      </w:r>
      <w:r w:rsidRPr="0098037E">
        <w:rPr>
          <w:rFonts w:eastAsia="Times New Roman" w:cs="Times New Roman"/>
          <w:rtl/>
          <w:lang w:eastAsia="de-DE"/>
        </w:rPr>
        <w:t xml:space="preserve"> </w:t>
      </w:r>
      <w:r w:rsidRPr="0098037E">
        <w:rPr>
          <w:rFonts w:eastAsia="Times New Roman" w:cs="Times New Roman"/>
          <w:lang w:eastAsia="de-DE"/>
        </w:rPr>
        <w:t>(frisches Korn).</w:t>
      </w:r>
    </w:p>
    <w:p w14:paraId="16AC8B9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תַּקְרִ֕יב</w:t>
      </w:r>
      <w:r w:rsidRPr="0098037E">
        <w:rPr>
          <w:rFonts w:eastAsia="Times New Roman" w:cs="Times New Roman"/>
          <w:rtl/>
          <w:lang w:eastAsia="de-DE"/>
        </w:rPr>
        <w:t xml:space="preserve"> </w:t>
      </w:r>
      <w:r w:rsidRPr="0098037E">
        <w:rPr>
          <w:rFonts w:eastAsia="Times New Roman" w:cs="Times New Roman"/>
          <w:lang w:eastAsia="de-DE"/>
        </w:rPr>
        <w:t xml:space="preserve">ist Hifil-Imperfekt 2. Person maskulin Singular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w:t>
      </w:r>
      <w:r w:rsidRPr="0098037E">
        <w:rPr>
          <w:rFonts w:eastAsia="Times New Roman" w:cs="Times New Roman"/>
          <w:b/>
          <w:bCs/>
          <w:rtl/>
          <w:lang w:eastAsia="de-DE"/>
        </w:rPr>
        <w:t>אֵ֖ת מִנְחַ֥ת בִּכּוּרֶֽיךָ</w:t>
      </w:r>
      <w:r w:rsidRPr="0098037E">
        <w:rPr>
          <w:rFonts w:eastAsia="Times New Roman" w:cs="Times New Roman"/>
          <w:rtl/>
          <w:lang w:eastAsia="de-DE"/>
        </w:rPr>
        <w:t xml:space="preserve"> </w:t>
      </w:r>
      <w:r w:rsidRPr="0098037E">
        <w:rPr>
          <w:rFonts w:eastAsia="Times New Roman" w:cs="Times New Roman"/>
          <w:lang w:eastAsia="de-DE"/>
        </w:rPr>
        <w:t>(das Speisopfer deiner Erstlingsfrüchte) mit Nota accusativi und Possessivsuffix 2. Person maskulin Singular.</w:t>
      </w:r>
    </w:p>
    <w:p w14:paraId="747417F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אָבִיב</w:t>
      </w:r>
      <w:r w:rsidRPr="0098037E">
        <w:rPr>
          <w:rFonts w:eastAsia="Times New Roman" w:cs="Times New Roman"/>
          <w:rtl/>
          <w:lang w:eastAsia="de-DE"/>
        </w:rPr>
        <w:t xml:space="preserve"> </w:t>
      </w:r>
      <w:r w:rsidRPr="0098037E">
        <w:rPr>
          <w:rFonts w:eastAsia="Times New Roman" w:cs="Times New Roman"/>
          <w:lang w:eastAsia="de-DE"/>
        </w:rPr>
        <w:t xml:space="preserve">bezeichnet unreifes, aber bereits ausgebildetes Getreide, das normalerweise nicht essbar wäre ohne </w:t>
      </w:r>
      <w:r w:rsidRPr="0098037E">
        <w:rPr>
          <w:rFonts w:eastAsia="Times New Roman" w:cs="Times New Roman"/>
          <w:b/>
          <w:bCs/>
          <w:rtl/>
          <w:lang w:eastAsia="de-DE"/>
        </w:rPr>
        <w:t>קליה</w:t>
      </w:r>
      <w:r w:rsidRPr="0098037E">
        <w:rPr>
          <w:rFonts w:eastAsia="Times New Roman" w:cs="Times New Roman"/>
          <w:rtl/>
          <w:lang w:eastAsia="de-DE"/>
        </w:rPr>
        <w:t xml:space="preserve"> </w:t>
      </w:r>
      <w:r w:rsidRPr="0098037E">
        <w:rPr>
          <w:rFonts w:eastAsia="Times New Roman" w:cs="Times New Roman"/>
          <w:lang w:eastAsia="de-DE"/>
        </w:rPr>
        <w:t xml:space="preserve">(Röstung). </w:t>
      </w:r>
      <w:r w:rsidRPr="0098037E">
        <w:rPr>
          <w:rFonts w:eastAsia="Times New Roman" w:cs="Times New Roman"/>
          <w:b/>
          <w:bCs/>
          <w:rtl/>
          <w:lang w:eastAsia="de-DE"/>
        </w:rPr>
        <w:t>גֶּרֶשׂ</w:t>
      </w:r>
      <w:r w:rsidRPr="0098037E">
        <w:rPr>
          <w:rFonts w:eastAsia="Times New Roman" w:cs="Times New Roman"/>
          <w:rtl/>
          <w:lang w:eastAsia="de-DE"/>
        </w:rPr>
        <w:t xml:space="preserve"> </w:t>
      </w:r>
      <w:r w:rsidRPr="0098037E">
        <w:rPr>
          <w:rFonts w:eastAsia="Times New Roman" w:cs="Times New Roman"/>
          <w:lang w:eastAsia="de-DE"/>
        </w:rPr>
        <w:t xml:space="preserve">bedeutet das Zerstoßen oder Schroten für bessere Handhabung. </w:t>
      </w:r>
      <w:r w:rsidRPr="0098037E">
        <w:rPr>
          <w:rFonts w:eastAsia="Times New Roman" w:cs="Times New Roman"/>
          <w:b/>
          <w:bCs/>
          <w:rtl/>
          <w:lang w:eastAsia="de-DE"/>
        </w:rPr>
        <w:t>כַּרְמֶל</w:t>
      </w:r>
      <w:r w:rsidRPr="0098037E">
        <w:rPr>
          <w:rFonts w:eastAsia="Times New Roman" w:cs="Times New Roman"/>
          <w:rtl/>
          <w:lang w:eastAsia="de-DE"/>
        </w:rPr>
        <w:t xml:space="preserve"> </w:t>
      </w:r>
      <w:r w:rsidRPr="0098037E">
        <w:rPr>
          <w:rFonts w:eastAsia="Times New Roman" w:cs="Times New Roman"/>
          <w:lang w:eastAsia="de-DE"/>
        </w:rPr>
        <w:t>(frisches Korn) spezifiziert die Qualität.</w:t>
      </w:r>
    </w:p>
    <w:p w14:paraId="24C83F1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 xml:space="preserve">unterscheidet sich von </w:t>
      </w:r>
      <w:r w:rsidRPr="0098037E">
        <w:rPr>
          <w:rFonts w:eastAsia="Times New Roman" w:cs="Times New Roman"/>
          <w:b/>
          <w:bCs/>
          <w:rtl/>
          <w:lang w:eastAsia="de-DE"/>
        </w:rPr>
        <w:t>רֵאשִׁית</w:t>
      </w:r>
      <w:r w:rsidRPr="0098037E">
        <w:rPr>
          <w:rFonts w:eastAsia="Times New Roman" w:cs="Times New Roman"/>
          <w:rtl/>
          <w:lang w:eastAsia="de-DE"/>
        </w:rPr>
        <w:t xml:space="preserve"> </w:t>
      </w:r>
      <w:r w:rsidRPr="0098037E">
        <w:rPr>
          <w:rFonts w:eastAsia="Times New Roman" w:cs="Times New Roman"/>
          <w:lang w:eastAsia="de-DE"/>
        </w:rPr>
        <w:t xml:space="preserve">(V. 12):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 xml:space="preserve">sind spezifisch die ersten reifen Früchte, </w:t>
      </w:r>
      <w:r w:rsidRPr="0098037E">
        <w:rPr>
          <w:rFonts w:eastAsia="Times New Roman" w:cs="Times New Roman"/>
          <w:b/>
          <w:bCs/>
          <w:rtl/>
          <w:lang w:eastAsia="de-DE"/>
        </w:rPr>
        <w:t>רֵאשִׁית</w:t>
      </w:r>
      <w:r w:rsidRPr="0098037E">
        <w:rPr>
          <w:rFonts w:eastAsia="Times New Roman" w:cs="Times New Roman"/>
          <w:rtl/>
          <w:lang w:eastAsia="de-DE"/>
        </w:rPr>
        <w:t xml:space="preserve"> </w:t>
      </w:r>
      <w:r w:rsidRPr="0098037E">
        <w:rPr>
          <w:rFonts w:eastAsia="Times New Roman" w:cs="Times New Roman"/>
          <w:lang w:eastAsia="de-DE"/>
        </w:rPr>
        <w:t>die erste und beste Auswahl der Ernte. Die Röstung (</w:t>
      </w:r>
      <w:r w:rsidRPr="0098037E">
        <w:rPr>
          <w:rFonts w:eastAsia="Times New Roman" w:cs="Times New Roman"/>
          <w:b/>
          <w:bCs/>
          <w:rtl/>
          <w:lang w:eastAsia="de-DE"/>
        </w:rPr>
        <w:t>קליה</w:t>
      </w:r>
      <w:r w:rsidRPr="0098037E">
        <w:rPr>
          <w:rFonts w:eastAsia="Times New Roman" w:cs="Times New Roman"/>
          <w:lang w:eastAsia="de-DE"/>
        </w:rPr>
        <w:t>) macht unreife Ähren genießbar und kultisch verwendbar.</w:t>
      </w:r>
    </w:p>
    <w:p w14:paraId="31291F9C" w14:textId="579D5D2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LXX</w:t>
      </w:r>
      <w:r w:rsidRPr="0098037E">
        <w:rPr>
          <w:rFonts w:eastAsia="Times New Roman" w:cs="Times New Roman"/>
          <w:lang w:eastAsia="de-DE"/>
        </w:rPr>
        <w:t xml:space="preserve"> </w:t>
      </w:r>
      <w:r w:rsidR="005248F3">
        <w:t xml:space="preserve">interpretiert </w:t>
      </w:r>
      <w:r w:rsidR="005248F3">
        <w:rPr>
          <w:rtl/>
        </w:rPr>
        <w:t>גרש כרמל</w:t>
      </w:r>
      <w:r w:rsidR="005248F3">
        <w:t xml:space="preserve"> (</w:t>
      </w:r>
      <w:proofErr w:type="spellStart"/>
      <w:r w:rsidR="005248F3">
        <w:t>geresch</w:t>
      </w:r>
      <w:proofErr w:type="spellEnd"/>
      <w:r w:rsidR="005248F3">
        <w:t xml:space="preserve"> </w:t>
      </w:r>
      <w:proofErr w:type="spellStart"/>
      <w:r w:rsidR="005248F3">
        <w:t>karmel</w:t>
      </w:r>
      <w:proofErr w:type="spellEnd"/>
      <w:r w:rsidR="005248F3">
        <w:t xml:space="preserve"> - "zerriebene frische Körner") als </w:t>
      </w:r>
      <w:proofErr w:type="spellStart"/>
      <w:r w:rsidR="005248F3">
        <w:t>χῖδρ</w:t>
      </w:r>
      <w:proofErr w:type="spellEnd"/>
      <w:r w:rsidR="005248F3">
        <w:t xml:space="preserve">α </w:t>
      </w:r>
      <w:proofErr w:type="spellStart"/>
      <w:r w:rsidR="005248F3">
        <w:t>ἐρεικτὰ</w:t>
      </w:r>
      <w:proofErr w:type="spellEnd"/>
      <w:r w:rsidR="005248F3">
        <w:t xml:space="preserve"> (zerriebene Gerstenkörner), was eine spezifischere botanische Identifizierung darstellt.</w:t>
      </w:r>
    </w:p>
    <w:p w14:paraId="11AE7DB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(Konditionspartikel + Verb + Objekt + Dativangabe) → Apodosis (Objekt mit komplexer Beschreibung + Verb + Objekt). Die Apodosis beschreibt detailliert die spezifische Zubereitungsart.</w:t>
      </w:r>
    </w:p>
    <w:p w14:paraId="6E1A7BD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führt eine besondere Form der </w:t>
      </w:r>
      <w:r w:rsidRPr="0098037E">
        <w:rPr>
          <w:rFonts w:eastAsia="Times New Roman" w:cs="Times New Roman"/>
          <w:b/>
          <w:bCs/>
          <w:rtl/>
          <w:lang w:eastAsia="de-DE"/>
        </w:rPr>
        <w:t>מִנְחָה</w:t>
      </w:r>
      <w:r w:rsidRPr="0098037E">
        <w:rPr>
          <w:rFonts w:eastAsia="Times New Roman" w:cs="Times New Roman"/>
          <w:rtl/>
          <w:lang w:eastAsia="de-DE"/>
        </w:rPr>
        <w:t xml:space="preserve"> </w:t>
      </w:r>
      <w:r w:rsidRPr="0098037E">
        <w:rPr>
          <w:rFonts w:eastAsia="Times New Roman" w:cs="Times New Roman"/>
          <w:lang w:eastAsia="de-DE"/>
        </w:rPr>
        <w:t>aus unreifem Getreide ein und zeigt die Anpassung der Opferbestimmungen an den landwirtschaftlichen Zyklus.</w:t>
      </w:r>
    </w:p>
    <w:p w14:paraId="090F0D68"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2,15</w:t>
      </w:r>
    </w:p>
    <w:p w14:paraId="2181F7C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וְנָתַתָּ֤ עָלֶ֨יהָ֙ שֶׁ֔מֶן וְשַׂמְתָּ֥ עָלֶ֖יהָ לְבֹנָ֑ה מִנְחָ֖ה הִֽוא׃</w:t>
      </w:r>
    </w:p>
    <w:p w14:paraId="5833361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du sollst Öl darauf tun und Weihrauch (darauf) legen: Es ist ein Speisopfer.</w:t>
      </w:r>
    </w:p>
    <w:p w14:paraId="3FAE466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C51C65A">
          <v:rect id="_x0000_i1056" style="width:0;height:1.5pt" o:hralign="center" o:hrstd="t" o:hr="t" fillcolor="#a0a0a0" stroked="f"/>
        </w:pict>
      </w:r>
    </w:p>
    <w:p w14:paraId="6D0C2BE3" w14:textId="30F92295"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וְנָתַתָּ֤</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נתן</w:t>
      </w:r>
      <w:r w:rsidRPr="0098037E">
        <w:rPr>
          <w:rFonts w:eastAsia="Times New Roman" w:cs="Times New Roman"/>
          <w:rtl/>
          <w:lang w:eastAsia="de-DE"/>
        </w:rPr>
        <w:t xml:space="preserve"> </w:t>
      </w:r>
      <w:r w:rsidRPr="0098037E">
        <w:rPr>
          <w:rFonts w:eastAsia="Times New Roman" w:cs="Times New Roman"/>
          <w:lang w:eastAsia="de-DE"/>
        </w:rPr>
        <w:t xml:space="preserve">(geben/legen), 2. Person maskulin Singular. </w:t>
      </w:r>
      <w:r w:rsidRPr="0098037E">
        <w:rPr>
          <w:rFonts w:eastAsia="Times New Roman" w:cs="Times New Roman"/>
          <w:b/>
          <w:bCs/>
          <w:rtl/>
          <w:lang w:eastAsia="de-DE"/>
        </w:rPr>
        <w:t>עָלֶ֨יהָ֙</w:t>
      </w:r>
      <w:r w:rsidRPr="0098037E">
        <w:rPr>
          <w:rFonts w:eastAsia="Times New Roman" w:cs="Times New Roman"/>
          <w:rtl/>
          <w:lang w:eastAsia="de-DE"/>
        </w:rPr>
        <w:t xml:space="preserve"> </w:t>
      </w:r>
      <w:r w:rsidRPr="0098037E">
        <w:rPr>
          <w:rFonts w:eastAsia="Times New Roman" w:cs="Times New Roman"/>
          <w:lang w:eastAsia="de-DE"/>
        </w:rPr>
        <w:t xml:space="preserve">(auf es) mit </w:t>
      </w:r>
      <w:r w:rsidR="00E35C31">
        <w:rPr>
          <w:rFonts w:eastAsia="Times New Roman" w:cs="Times New Roman"/>
          <w:lang w:eastAsia="de-DE"/>
        </w:rPr>
        <w:t>femininem</w:t>
      </w:r>
      <w:r w:rsidRPr="0098037E">
        <w:rPr>
          <w:rFonts w:eastAsia="Times New Roman" w:cs="Times New Roman"/>
          <w:lang w:eastAsia="de-DE"/>
        </w:rPr>
        <w:t xml:space="preserve"> Suffix bezieht sich auf </w:t>
      </w:r>
      <w:r w:rsidRPr="0098037E">
        <w:rPr>
          <w:rFonts w:eastAsia="Times New Roman" w:cs="Times New Roman"/>
          <w:b/>
          <w:bCs/>
          <w:rtl/>
          <w:lang w:eastAsia="de-DE"/>
        </w:rPr>
        <w:t>מִנְחַת בִּכּוּרִים</w:t>
      </w:r>
      <w:r w:rsidRPr="0098037E">
        <w:rPr>
          <w:rFonts w:eastAsia="Times New Roman" w:cs="Times New Roman"/>
          <w:rtl/>
          <w:lang w:eastAsia="de-DE"/>
        </w:rPr>
        <w:t xml:space="preserve"> </w:t>
      </w:r>
      <w:r w:rsidRPr="0098037E">
        <w:rPr>
          <w:rFonts w:eastAsia="Times New Roman" w:cs="Times New Roman"/>
          <w:lang w:eastAsia="de-DE"/>
        </w:rPr>
        <w:t xml:space="preserve">zurück. </w:t>
      </w: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(Öl) als direktes Objekt.</w:t>
      </w:r>
    </w:p>
    <w:p w14:paraId="06FC956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וְשַׂמְתָּ֥</w:t>
      </w:r>
      <w:r w:rsidRPr="0098037E">
        <w:rPr>
          <w:rFonts w:eastAsia="Times New Roman" w:cs="Times New Roman"/>
          <w:rtl/>
          <w:lang w:eastAsia="de-DE"/>
        </w:rPr>
        <w:t xml:space="preserve"> </w:t>
      </w:r>
      <w:r w:rsidRPr="0098037E">
        <w:rPr>
          <w:rFonts w:eastAsia="Times New Roman" w:cs="Times New Roman"/>
          <w:lang w:eastAsia="de-DE"/>
        </w:rPr>
        <w:t xml:space="preserve">ist Qal-Perfekt mit Waw-Konsekutiv von </w:t>
      </w:r>
      <w:r w:rsidRPr="0098037E">
        <w:rPr>
          <w:rFonts w:eastAsia="Times New Roman" w:cs="Times New Roman"/>
          <w:b/>
          <w:bCs/>
          <w:rtl/>
          <w:lang w:eastAsia="de-DE"/>
        </w:rPr>
        <w:t>שים</w:t>
      </w:r>
      <w:r w:rsidRPr="0098037E">
        <w:rPr>
          <w:rFonts w:eastAsia="Times New Roman" w:cs="Times New Roman"/>
          <w:rtl/>
          <w:lang w:eastAsia="de-DE"/>
        </w:rPr>
        <w:t xml:space="preserve"> </w:t>
      </w:r>
      <w:r w:rsidRPr="0098037E">
        <w:rPr>
          <w:rFonts w:eastAsia="Times New Roman" w:cs="Times New Roman"/>
          <w:lang w:eastAsia="de-DE"/>
        </w:rPr>
        <w:t xml:space="preserve">(setzen/legen), 2. Person maskulin Singular. </w:t>
      </w:r>
      <w:r w:rsidRPr="0098037E">
        <w:rPr>
          <w:rFonts w:eastAsia="Times New Roman" w:cs="Times New Roman"/>
          <w:b/>
          <w:bCs/>
          <w:rtl/>
          <w:lang w:eastAsia="de-DE"/>
        </w:rPr>
        <w:t>עָלֶ֖יהָ</w:t>
      </w:r>
      <w:r w:rsidRPr="0098037E">
        <w:rPr>
          <w:rFonts w:eastAsia="Times New Roman" w:cs="Times New Roman"/>
          <w:rtl/>
          <w:lang w:eastAsia="de-DE"/>
        </w:rPr>
        <w:t xml:space="preserve"> </w:t>
      </w:r>
      <w:r w:rsidRPr="0098037E">
        <w:rPr>
          <w:rFonts w:eastAsia="Times New Roman" w:cs="Times New Roman"/>
          <w:lang w:eastAsia="de-DE"/>
        </w:rPr>
        <w:t xml:space="preserve">(auf es) wiederholt die Ortsangabe. </w:t>
      </w:r>
      <w:r w:rsidRPr="0098037E">
        <w:rPr>
          <w:rFonts w:eastAsia="Times New Roman" w:cs="Times New Roman"/>
          <w:b/>
          <w:bCs/>
          <w:rtl/>
          <w:lang w:eastAsia="de-DE"/>
        </w:rPr>
        <w:t>לְבֹנָ֑ה</w:t>
      </w:r>
      <w:r w:rsidRPr="0098037E">
        <w:rPr>
          <w:rFonts w:eastAsia="Times New Roman" w:cs="Times New Roman"/>
          <w:rtl/>
          <w:lang w:eastAsia="de-DE"/>
        </w:rPr>
        <w:t xml:space="preserve"> </w:t>
      </w:r>
      <w:r w:rsidRPr="0098037E">
        <w:rPr>
          <w:rFonts w:eastAsia="Times New Roman" w:cs="Times New Roman"/>
          <w:lang w:eastAsia="de-DE"/>
        </w:rPr>
        <w:t xml:space="preserve">(Weihrauch) als direktes Objekt. Die Abschlussformel </w:t>
      </w:r>
      <w:r w:rsidRPr="0098037E">
        <w:rPr>
          <w:rFonts w:eastAsia="Times New Roman" w:cs="Times New Roman"/>
          <w:b/>
          <w:bCs/>
          <w:rtl/>
          <w:lang w:eastAsia="de-DE"/>
        </w:rPr>
        <w:t>מִנְחָ֖ה הִֽוא</w:t>
      </w:r>
      <w:r w:rsidRPr="0098037E">
        <w:rPr>
          <w:rFonts w:eastAsia="Times New Roman" w:cs="Times New Roman"/>
          <w:rtl/>
          <w:lang w:eastAsia="de-DE"/>
        </w:rPr>
        <w:t xml:space="preserve"> </w:t>
      </w:r>
      <w:r w:rsidRPr="0098037E">
        <w:rPr>
          <w:rFonts w:eastAsia="Times New Roman" w:cs="Times New Roman"/>
          <w:lang w:eastAsia="de-DE"/>
        </w:rPr>
        <w:t>(es ist ein Speisopfer) mit emphatischem Pronomen bestätigt den kultischen Status.</w:t>
      </w:r>
    </w:p>
    <w:p w14:paraId="22FD817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Hinzufügung von </w:t>
      </w: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 xml:space="preserve">(Öl) und </w:t>
      </w:r>
      <w:r w:rsidRPr="0098037E">
        <w:rPr>
          <w:rFonts w:eastAsia="Times New Roman" w:cs="Times New Roman"/>
          <w:b/>
          <w:bCs/>
          <w:rtl/>
          <w:lang w:eastAsia="de-DE"/>
        </w:rPr>
        <w:t>לְבֹנָה</w:t>
      </w:r>
      <w:r w:rsidRPr="0098037E">
        <w:rPr>
          <w:rFonts w:eastAsia="Times New Roman" w:cs="Times New Roman"/>
          <w:rtl/>
          <w:lang w:eastAsia="de-DE"/>
        </w:rPr>
        <w:t xml:space="preserve"> </w:t>
      </w:r>
      <w:r w:rsidRPr="0098037E">
        <w:rPr>
          <w:rFonts w:eastAsia="Times New Roman" w:cs="Times New Roman"/>
          <w:lang w:eastAsia="de-DE"/>
        </w:rPr>
        <w:t xml:space="preserve">(Weihrauch) zu den gerösteten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 xml:space="preserve">etabliert deren Gleichwertigkeit mit anderen </w:t>
      </w:r>
      <w:r w:rsidRPr="0098037E">
        <w:rPr>
          <w:rFonts w:eastAsia="Times New Roman" w:cs="Times New Roman"/>
          <w:b/>
          <w:bCs/>
          <w:rtl/>
          <w:lang w:eastAsia="de-DE"/>
        </w:rPr>
        <w:t>מִנְחָה</w:t>
      </w:r>
      <w:r w:rsidRPr="0098037E">
        <w:rPr>
          <w:rFonts w:eastAsia="Times New Roman" w:cs="Times New Roman"/>
          <w:lang w:eastAsia="de-DE"/>
        </w:rPr>
        <w:t xml:space="preserve">-Formen. </w:t>
      </w:r>
      <w:r w:rsidRPr="0098037E">
        <w:rPr>
          <w:rFonts w:eastAsia="Times New Roman" w:cs="Times New Roman"/>
          <w:b/>
          <w:bCs/>
          <w:rtl/>
          <w:lang w:eastAsia="de-DE"/>
        </w:rPr>
        <w:t>נתן</w:t>
      </w:r>
      <w:r w:rsidRPr="0098037E">
        <w:rPr>
          <w:rFonts w:eastAsia="Times New Roman" w:cs="Times New Roman"/>
          <w:rtl/>
          <w:lang w:eastAsia="de-DE"/>
        </w:rPr>
        <w:t xml:space="preserve"> </w:t>
      </w:r>
      <w:r w:rsidRPr="0098037E">
        <w:rPr>
          <w:rFonts w:eastAsia="Times New Roman" w:cs="Times New Roman"/>
          <w:lang w:eastAsia="de-DE"/>
        </w:rPr>
        <w:t xml:space="preserve">(geben/legen) und </w:t>
      </w:r>
      <w:r w:rsidRPr="0098037E">
        <w:rPr>
          <w:rFonts w:eastAsia="Times New Roman" w:cs="Times New Roman"/>
          <w:b/>
          <w:bCs/>
          <w:rtl/>
          <w:lang w:eastAsia="de-DE"/>
        </w:rPr>
        <w:t>שים</w:t>
      </w:r>
      <w:r w:rsidRPr="0098037E">
        <w:rPr>
          <w:rFonts w:eastAsia="Times New Roman" w:cs="Times New Roman"/>
          <w:rtl/>
          <w:lang w:eastAsia="de-DE"/>
        </w:rPr>
        <w:t xml:space="preserve"> </w:t>
      </w:r>
      <w:r w:rsidRPr="0098037E">
        <w:rPr>
          <w:rFonts w:eastAsia="Times New Roman" w:cs="Times New Roman"/>
          <w:lang w:eastAsia="de-DE"/>
        </w:rPr>
        <w:t>(setzen/legen) sind hier nahezu synonym, zeigen aber möglicherweise unterschiedliche Anwendungsarten.</w:t>
      </w:r>
    </w:p>
    <w:p w14:paraId="725B95C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 xml:space="preserve">verleiht den gerösteten Körnern kultische Würde und praktische Handhabbarkeit. </w:t>
      </w:r>
      <w:r w:rsidRPr="0098037E">
        <w:rPr>
          <w:rFonts w:eastAsia="Times New Roman" w:cs="Times New Roman"/>
          <w:b/>
          <w:bCs/>
          <w:rtl/>
          <w:lang w:eastAsia="de-DE"/>
        </w:rPr>
        <w:t>לְבֹנָה</w:t>
      </w:r>
      <w:r w:rsidRPr="0098037E">
        <w:rPr>
          <w:rFonts w:eastAsia="Times New Roman" w:cs="Times New Roman"/>
          <w:rtl/>
          <w:lang w:eastAsia="de-DE"/>
        </w:rPr>
        <w:t xml:space="preserve"> </w:t>
      </w:r>
      <w:r w:rsidRPr="0098037E">
        <w:rPr>
          <w:rFonts w:eastAsia="Times New Roman" w:cs="Times New Roman"/>
          <w:lang w:eastAsia="de-DE"/>
        </w:rPr>
        <w:t>als kostbares Räucherwerk betont die Kostbarkeit dieser Erstlingsgabe trotz ihrer einfachen Herkunft.</w:t>
      </w:r>
    </w:p>
    <w:p w14:paraId="3E8DE94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Bestätigung </w:t>
      </w:r>
      <w:r w:rsidRPr="0098037E">
        <w:rPr>
          <w:rFonts w:eastAsia="Times New Roman" w:cs="Times New Roman"/>
          <w:b/>
          <w:bCs/>
          <w:rtl/>
          <w:lang w:eastAsia="de-DE"/>
        </w:rPr>
        <w:t>מִנְחָ֖ה הִֽוא</w:t>
      </w:r>
      <w:r w:rsidRPr="0098037E">
        <w:rPr>
          <w:rFonts w:eastAsia="Times New Roman" w:cs="Times New Roman"/>
          <w:rtl/>
          <w:lang w:eastAsia="de-DE"/>
        </w:rPr>
        <w:t xml:space="preserve"> </w:t>
      </w:r>
      <w:r w:rsidRPr="0098037E">
        <w:rPr>
          <w:rFonts w:eastAsia="Times New Roman" w:cs="Times New Roman"/>
          <w:lang w:eastAsia="de-DE"/>
        </w:rPr>
        <w:t xml:space="preserve">ist notwendig, da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in ihrer rohen Form (</w:t>
      </w:r>
      <w:r w:rsidRPr="0098037E">
        <w:rPr>
          <w:rFonts w:eastAsia="Times New Roman" w:cs="Times New Roman"/>
          <w:b/>
          <w:bCs/>
          <w:rtl/>
          <w:lang w:eastAsia="de-DE"/>
        </w:rPr>
        <w:t>אָבִיב קָלוּי</w:t>
      </w:r>
      <w:r w:rsidRPr="0098037E">
        <w:rPr>
          <w:rFonts w:eastAsia="Times New Roman" w:cs="Times New Roman"/>
          <w:lang w:eastAsia="de-DE"/>
        </w:rPr>
        <w:t xml:space="preserve">) nicht den üblichen </w:t>
      </w:r>
      <w:r w:rsidRPr="0098037E">
        <w:rPr>
          <w:rFonts w:eastAsia="Times New Roman" w:cs="Times New Roman"/>
          <w:b/>
          <w:bCs/>
          <w:rtl/>
          <w:lang w:eastAsia="de-DE"/>
        </w:rPr>
        <w:t>מִנְחָה</w:t>
      </w:r>
      <w:r w:rsidRPr="0098037E">
        <w:rPr>
          <w:rFonts w:eastAsia="Times New Roman" w:cs="Times New Roman"/>
          <w:lang w:eastAsia="de-DE"/>
        </w:rPr>
        <w:t>-Formen entsprechen. Die Hinzufügung von Öl und Weihrauch macht sie vollwertig.</w:t>
      </w:r>
    </w:p>
    <w:p w14:paraId="653C327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וְנָתַתָּ֤</w:t>
      </w:r>
      <w:r w:rsidRPr="0098037E">
        <w:rPr>
          <w:rFonts w:eastAsia="Times New Roman" w:cs="Times New Roman"/>
          <w:rtl/>
          <w:lang w:eastAsia="de-DE"/>
        </w:rPr>
        <w:t xml:space="preserve"> </w:t>
      </w:r>
      <w:r w:rsidRPr="0098037E">
        <w:rPr>
          <w:rFonts w:eastAsia="Times New Roman" w:cs="Times New Roman"/>
          <w:lang w:eastAsia="de-DE"/>
        </w:rPr>
        <w:t>mit καὶ ἐπ</w:t>
      </w:r>
      <w:proofErr w:type="spellStart"/>
      <w:r w:rsidRPr="0098037E">
        <w:rPr>
          <w:rFonts w:eastAsia="Times New Roman" w:cs="Times New Roman"/>
          <w:lang w:eastAsia="de-DE"/>
        </w:rPr>
        <w:t>ιθήσεις</w:t>
      </w:r>
      <w:proofErr w:type="spellEnd"/>
      <w:r w:rsidRPr="0098037E">
        <w:rPr>
          <w:rFonts w:eastAsia="Times New Roman" w:cs="Times New Roman"/>
          <w:lang w:eastAsia="de-DE"/>
        </w:rPr>
        <w:t xml:space="preserve"> (und du sollst auflegen), </w:t>
      </w:r>
      <w:r w:rsidRPr="0098037E">
        <w:rPr>
          <w:rFonts w:eastAsia="Times New Roman" w:cs="Times New Roman"/>
          <w:b/>
          <w:bCs/>
          <w:rtl/>
          <w:lang w:eastAsia="de-DE"/>
        </w:rPr>
        <w:t>וְשַׂמְתָּ֥</w:t>
      </w:r>
      <w:r w:rsidRPr="0098037E">
        <w:rPr>
          <w:rFonts w:eastAsia="Times New Roman" w:cs="Times New Roman"/>
          <w:rtl/>
          <w:lang w:eastAsia="de-DE"/>
        </w:rPr>
        <w:t xml:space="preserve"> </w:t>
      </w:r>
      <w:r w:rsidRPr="0098037E">
        <w:rPr>
          <w:rFonts w:eastAsia="Times New Roman" w:cs="Times New Roman"/>
          <w:lang w:eastAsia="de-DE"/>
        </w:rPr>
        <w:t>mit καὶ ἐπ</w:t>
      </w:r>
      <w:proofErr w:type="spellStart"/>
      <w:r w:rsidRPr="0098037E">
        <w:rPr>
          <w:rFonts w:eastAsia="Times New Roman" w:cs="Times New Roman"/>
          <w:lang w:eastAsia="de-DE"/>
        </w:rPr>
        <w:t>ιθήσεις</w:t>
      </w:r>
      <w:proofErr w:type="spellEnd"/>
      <w:r w:rsidRPr="0098037E">
        <w:rPr>
          <w:rFonts w:eastAsia="Times New Roman" w:cs="Times New Roman"/>
          <w:lang w:eastAsia="de-DE"/>
        </w:rPr>
        <w:t xml:space="preserve"> (und du sollst auflegen), wobei beide Verben identisch übersetzt werden, und </w:t>
      </w:r>
      <w:r w:rsidRPr="0098037E">
        <w:rPr>
          <w:rFonts w:eastAsia="Times New Roman" w:cs="Times New Roman"/>
          <w:b/>
          <w:bCs/>
          <w:rtl/>
          <w:lang w:eastAsia="de-DE"/>
        </w:rPr>
        <w:t>מִנְחָ֖ה הִֽוא</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θυσί</w:t>
      </w:r>
      <w:proofErr w:type="spellEnd"/>
      <w:r w:rsidRPr="0098037E">
        <w:rPr>
          <w:rFonts w:eastAsia="Times New Roman" w:cs="Times New Roman"/>
          <w:lang w:eastAsia="de-DE"/>
        </w:rPr>
        <w:t xml:space="preserve">α </w:t>
      </w:r>
      <w:proofErr w:type="spellStart"/>
      <w:r w:rsidRPr="0098037E">
        <w:rPr>
          <w:rFonts w:eastAsia="Times New Roman" w:cs="Times New Roman"/>
          <w:lang w:eastAsia="de-DE"/>
        </w:rPr>
        <w:t>ἐστι</w:t>
      </w:r>
      <w:proofErr w:type="spellEnd"/>
      <w:r w:rsidRPr="0098037E">
        <w:rPr>
          <w:rFonts w:eastAsia="Times New Roman" w:cs="Times New Roman"/>
          <w:lang w:eastAsia="de-DE"/>
        </w:rPr>
        <w:t xml:space="preserve"> (es ist ein Opfer).</w:t>
      </w:r>
    </w:p>
    <w:p w14:paraId="51691D5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zwei koordinierte Imperative plus Identifikationsaussage: Verb + Präpositionalphrase + Objekt // Verb + Präpositionalphrase + Objekt // Prädikatsbestimmung + Subjekt. Die Parallelstruktur der beiden Imperative betont die gleichwertige Wichtigkeit beider Zusätze.</w:t>
      </w:r>
    </w:p>
    <w:p w14:paraId="4897036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Dieser Vers vervollständigt die Bestimmungen für </w:t>
      </w:r>
      <w:r w:rsidRPr="0098037E">
        <w:rPr>
          <w:rFonts w:eastAsia="Times New Roman" w:cs="Times New Roman"/>
          <w:b/>
          <w:bCs/>
          <w:rtl/>
          <w:lang w:eastAsia="de-DE"/>
        </w:rPr>
        <w:t>בִּכּוּרִים</w:t>
      </w:r>
      <w:r w:rsidRPr="0098037E">
        <w:rPr>
          <w:rFonts w:eastAsia="Times New Roman" w:cs="Times New Roman"/>
          <w:lang w:eastAsia="de-DE"/>
        </w:rPr>
        <w:t xml:space="preserve">-Opfer und etabliert deren kultische Legitimität durch die traditionellen </w:t>
      </w:r>
      <w:r w:rsidRPr="0098037E">
        <w:rPr>
          <w:rFonts w:eastAsia="Times New Roman" w:cs="Times New Roman"/>
          <w:b/>
          <w:bCs/>
          <w:rtl/>
          <w:lang w:eastAsia="de-DE"/>
        </w:rPr>
        <w:t>מִנְחָה</w:t>
      </w:r>
      <w:r w:rsidRPr="0098037E">
        <w:rPr>
          <w:rFonts w:eastAsia="Times New Roman" w:cs="Times New Roman"/>
          <w:lang w:eastAsia="de-DE"/>
        </w:rPr>
        <w:t>-Komponenten.</w:t>
      </w:r>
    </w:p>
    <w:p w14:paraId="67F4A00C"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2,16</w:t>
      </w:r>
    </w:p>
    <w:p w14:paraId="2EACD8C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וְהִקְטִ֨יר הַכֹּהֵ֜ן אֶת־אַזְכָּרָתָ֗הּ מִגִּרְשָׂהּ֙ וּמִשַּׁמְנָ֔הּ עַ֖ל כָּל־לְבֹנָתָ֑הּ אִשֶּׁ֖ה לַיהוָֽה׃</w:t>
      </w:r>
    </w:p>
    <w:p w14:paraId="3805442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der Priester soll das Gedächtnisteil davon räuchern, von seinem zerstoßenen Korn und von seinem Öl, samt all seinem Weihrauch: Es ist ein Feueropfer dem Ewigen.</w:t>
      </w:r>
    </w:p>
    <w:p w14:paraId="3D1366CD"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9D47E0D">
          <v:rect id="_x0000_i1057" style="width:0;height:1.5pt" o:hralign="center" o:hrstd="t" o:hr="t" fillcolor="#a0a0a0" stroked="f"/>
        </w:pict>
      </w:r>
    </w:p>
    <w:p w14:paraId="2C5BA4E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וְהִקְטִ֨יר</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zeigt die ausschließlich priesterliche Verantwortung für die </w:t>
      </w:r>
      <w:r w:rsidRPr="0098037E">
        <w:rPr>
          <w:rFonts w:eastAsia="Times New Roman" w:cs="Times New Roman"/>
          <w:b/>
          <w:bCs/>
          <w:rtl/>
          <w:lang w:eastAsia="de-DE"/>
        </w:rPr>
        <w:t>הקטרה</w:t>
      </w:r>
      <w:r w:rsidRPr="0098037E">
        <w:rPr>
          <w:rFonts w:eastAsia="Times New Roman" w:cs="Times New Roman"/>
          <w:rtl/>
          <w:lang w:eastAsia="de-DE"/>
        </w:rPr>
        <w:t xml:space="preserve"> </w:t>
      </w:r>
      <w:r w:rsidRPr="0098037E">
        <w:rPr>
          <w:rFonts w:eastAsia="Times New Roman" w:cs="Times New Roman"/>
          <w:lang w:eastAsia="de-DE"/>
        </w:rPr>
        <w:t xml:space="preserve">(Räucherung). </w:t>
      </w:r>
      <w:r w:rsidRPr="0098037E">
        <w:rPr>
          <w:rFonts w:eastAsia="Times New Roman" w:cs="Times New Roman"/>
          <w:b/>
          <w:bCs/>
          <w:rtl/>
          <w:lang w:eastAsia="de-DE"/>
        </w:rPr>
        <w:t>אֶת־אַזְכָּרָתָ֗הּ</w:t>
      </w:r>
      <w:r w:rsidRPr="0098037E">
        <w:rPr>
          <w:rFonts w:eastAsia="Times New Roman" w:cs="Times New Roman"/>
          <w:rtl/>
          <w:lang w:eastAsia="de-DE"/>
        </w:rPr>
        <w:t xml:space="preserve"> </w:t>
      </w:r>
      <w:r w:rsidRPr="0098037E">
        <w:rPr>
          <w:rFonts w:eastAsia="Times New Roman" w:cs="Times New Roman"/>
          <w:lang w:eastAsia="de-DE"/>
        </w:rPr>
        <w:t xml:space="preserve">(ihr Gedächtnisteil) mit Possessivsuffix 3. Person feminin Singular, bezogen auf </w:t>
      </w:r>
      <w:r w:rsidRPr="0098037E">
        <w:rPr>
          <w:rFonts w:eastAsia="Times New Roman" w:cs="Times New Roman"/>
          <w:b/>
          <w:bCs/>
          <w:rtl/>
          <w:lang w:eastAsia="de-DE"/>
        </w:rPr>
        <w:t>מִנְחַת בִּכּוּרִים</w:t>
      </w:r>
      <w:r w:rsidRPr="0098037E">
        <w:rPr>
          <w:rFonts w:eastAsia="Times New Roman" w:cs="Times New Roman"/>
          <w:lang w:eastAsia="de-DE"/>
        </w:rPr>
        <w:t>.</w:t>
      </w:r>
    </w:p>
    <w:p w14:paraId="3498BED7" w14:textId="77777777" w:rsidR="00071294" w:rsidRDefault="0098037E" w:rsidP="00071294">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מִגִּרְשָׂהּ֙</w:t>
      </w:r>
      <w:r w:rsidRPr="0098037E">
        <w:rPr>
          <w:rFonts w:eastAsia="Times New Roman" w:cs="Times New Roman"/>
          <w:rtl/>
          <w:lang w:eastAsia="de-DE"/>
        </w:rPr>
        <w:t xml:space="preserve"> </w:t>
      </w:r>
      <w:r w:rsidRPr="0098037E">
        <w:rPr>
          <w:rFonts w:eastAsia="Times New Roman" w:cs="Times New Roman"/>
          <w:lang w:eastAsia="de-DE"/>
        </w:rPr>
        <w:t xml:space="preserve">(von ihrem zerstoßenen Korn) von </w:t>
      </w:r>
      <w:r w:rsidRPr="0098037E">
        <w:rPr>
          <w:rFonts w:eastAsia="Times New Roman" w:cs="Times New Roman"/>
          <w:b/>
          <w:bCs/>
          <w:rtl/>
          <w:lang w:eastAsia="de-DE"/>
        </w:rPr>
        <w:t>גֶּרֶשׂ</w:t>
      </w:r>
      <w:r w:rsidRPr="0098037E">
        <w:rPr>
          <w:rFonts w:eastAsia="Times New Roman" w:cs="Times New Roman"/>
          <w:rtl/>
          <w:lang w:eastAsia="de-DE"/>
        </w:rPr>
        <w:t xml:space="preserve"> </w:t>
      </w:r>
      <w:r w:rsidRPr="0098037E">
        <w:rPr>
          <w:rFonts w:eastAsia="Times New Roman" w:cs="Times New Roman"/>
          <w:lang w:eastAsia="de-DE"/>
        </w:rPr>
        <w:t xml:space="preserve">(zerstoßenes Getreide) mit Possessivsuffix 3. Person feminin Singular. </w:t>
      </w:r>
      <w:r w:rsidRPr="0098037E">
        <w:rPr>
          <w:rFonts w:eastAsia="Times New Roman" w:cs="Times New Roman"/>
          <w:b/>
          <w:bCs/>
          <w:rtl/>
          <w:lang w:eastAsia="de-DE"/>
        </w:rPr>
        <w:t>וּמִשַּׁמְנָ֔הּ</w:t>
      </w:r>
      <w:r w:rsidRPr="0098037E">
        <w:rPr>
          <w:rFonts w:eastAsia="Times New Roman" w:cs="Times New Roman"/>
          <w:rtl/>
          <w:lang w:eastAsia="de-DE"/>
        </w:rPr>
        <w:t xml:space="preserve"> </w:t>
      </w:r>
      <w:r w:rsidRPr="0098037E">
        <w:rPr>
          <w:rFonts w:eastAsia="Times New Roman" w:cs="Times New Roman"/>
          <w:lang w:eastAsia="de-DE"/>
        </w:rPr>
        <w:t xml:space="preserve">(und von ihrem Öl) von </w:t>
      </w:r>
      <w:r w:rsidRPr="0098037E">
        <w:rPr>
          <w:rFonts w:eastAsia="Times New Roman" w:cs="Times New Roman"/>
          <w:b/>
          <w:bCs/>
          <w:rtl/>
          <w:lang w:eastAsia="de-DE"/>
        </w:rPr>
        <w:t>שֶׁמֶן</w:t>
      </w:r>
      <w:r w:rsidRPr="0098037E">
        <w:rPr>
          <w:rFonts w:eastAsia="Times New Roman" w:cs="Times New Roman"/>
          <w:rtl/>
          <w:lang w:eastAsia="de-DE"/>
        </w:rPr>
        <w:t xml:space="preserve"> </w:t>
      </w:r>
      <w:r w:rsidRPr="0098037E">
        <w:rPr>
          <w:rFonts w:eastAsia="Times New Roman" w:cs="Times New Roman"/>
          <w:lang w:eastAsia="de-DE"/>
        </w:rPr>
        <w:t xml:space="preserve">(Öl) mit gleichem Suffix. </w:t>
      </w:r>
    </w:p>
    <w:p w14:paraId="4197B704" w14:textId="4090AC9E" w:rsidR="0098037E" w:rsidRPr="0098037E" w:rsidRDefault="00071294" w:rsidP="00071294">
      <w:pPr>
        <w:spacing w:before="100" w:beforeAutospacing="1" w:after="100" w:afterAutospacing="1" w:line="240" w:lineRule="auto"/>
        <w:rPr>
          <w:rFonts w:eastAsia="Times New Roman" w:cs="Times New Roman"/>
          <w:lang w:eastAsia="de-DE"/>
        </w:rPr>
      </w:pPr>
      <w:r w:rsidRPr="00071294">
        <w:rPr>
          <w:rFonts w:cs="Times New Roman"/>
          <w:b/>
          <w:bCs/>
          <w:rtl/>
        </w:rPr>
        <w:t>עַ֖ל</w:t>
      </w:r>
      <w:r w:rsidRPr="00071294">
        <w:rPr>
          <w:rFonts w:cs="SBL Hebrew"/>
          <w:b/>
          <w:bCs/>
          <w:rtl/>
        </w:rPr>
        <w:t xml:space="preserve"> </w:t>
      </w:r>
      <w:r w:rsidRPr="00071294">
        <w:rPr>
          <w:rFonts w:cs="Times New Roman"/>
          <w:b/>
          <w:bCs/>
          <w:rtl/>
        </w:rPr>
        <w:t>כָּל־לְבֹנָתָ֑הּ</w:t>
      </w:r>
      <w:r>
        <w:t xml:space="preserve"> </w:t>
      </w:r>
      <w:r w:rsidR="000D757C">
        <w:t xml:space="preserve">(samt all ihrem Weihrauch) betont, dass der gesamte hinzugefügte Weihrauch zur </w:t>
      </w:r>
      <w:r w:rsidR="000D757C">
        <w:rPr>
          <w:rtl/>
        </w:rPr>
        <w:t>אַזְכָּרָה</w:t>
      </w:r>
      <w:r w:rsidR="000D757C">
        <w:t xml:space="preserve"> gehört, was der üblichen Praxis bei </w:t>
      </w:r>
      <w:r w:rsidR="000D757C">
        <w:rPr>
          <w:rtl/>
        </w:rPr>
        <w:t>מִנְחָה</w:t>
      </w:r>
      <w:r w:rsidR="000D757C">
        <w:t xml:space="preserve"> entspricht. </w:t>
      </w:r>
      <w:r>
        <w:t xml:space="preserve">Die Komponenten der </w:t>
      </w:r>
      <w:r>
        <w:rPr>
          <w:rtl/>
        </w:rPr>
        <w:t>אַזְכָּרָה</w:t>
      </w:r>
      <w:r>
        <w:t xml:space="preserve"> bei </w:t>
      </w:r>
      <w:r>
        <w:rPr>
          <w:rtl/>
        </w:rPr>
        <w:t>בִּכּוּרִים</w:t>
      </w:r>
      <w:r>
        <w:t xml:space="preserve"> sind spezifiziert: </w:t>
      </w:r>
      <w:r>
        <w:rPr>
          <w:rtl/>
        </w:rPr>
        <w:t>גֶּרֶשׂ</w:t>
      </w:r>
      <w:r>
        <w:t xml:space="preserve"> (zerstoßenes Korn), </w:t>
      </w:r>
      <w:r>
        <w:rPr>
          <w:rtl/>
        </w:rPr>
        <w:t>שֶׁמֶן</w:t>
      </w:r>
      <w:r>
        <w:t xml:space="preserve"> (Öl) und </w:t>
      </w:r>
      <w:r>
        <w:rPr>
          <w:rtl/>
        </w:rPr>
        <w:t>לְבֹנָה</w:t>
      </w:r>
      <w:r>
        <w:t xml:space="preserve"> (Weihrauch).</w:t>
      </w:r>
    </w:p>
    <w:p w14:paraId="7454F98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אִשֶּׁ֖ה לַיהוָֽה</w:t>
      </w:r>
      <w:r w:rsidRPr="0098037E">
        <w:rPr>
          <w:rFonts w:eastAsia="Times New Roman" w:cs="Times New Roman"/>
          <w:rtl/>
          <w:lang w:eastAsia="de-DE"/>
        </w:rPr>
        <w:t xml:space="preserve"> </w:t>
      </w:r>
      <w:r w:rsidRPr="0098037E">
        <w:rPr>
          <w:rFonts w:eastAsia="Times New Roman" w:cs="Times New Roman"/>
          <w:lang w:eastAsia="de-DE"/>
        </w:rPr>
        <w:t xml:space="preserve">(Feueropfer für JHWH) ist die Abschlussformel, jedoch ohne </w:t>
      </w:r>
      <w:r w:rsidRPr="0098037E">
        <w:rPr>
          <w:rFonts w:eastAsia="Times New Roman" w:cs="Times New Roman"/>
          <w:b/>
          <w:bCs/>
          <w:rtl/>
          <w:lang w:eastAsia="de-DE"/>
        </w:rPr>
        <w:t>רֵיחַ נִיחוֹחַ</w:t>
      </w:r>
      <w:r w:rsidRPr="0098037E">
        <w:rPr>
          <w:rFonts w:eastAsia="Times New Roman" w:cs="Times New Roman"/>
          <w:rtl/>
          <w:lang w:eastAsia="de-DE"/>
        </w:rPr>
        <w:t xml:space="preserve"> </w:t>
      </w:r>
      <w:r w:rsidRPr="0098037E">
        <w:rPr>
          <w:rFonts w:eastAsia="Times New Roman" w:cs="Times New Roman"/>
          <w:lang w:eastAsia="de-DE"/>
        </w:rPr>
        <w:t xml:space="preserve">(wohlgefälliger Geruch) wie in anderen Versen. Diese Verkürzung kann stilistische Gründe haben oder die besondere Natur der </w:t>
      </w:r>
      <w:r w:rsidRPr="0098037E">
        <w:rPr>
          <w:rFonts w:eastAsia="Times New Roman" w:cs="Times New Roman"/>
          <w:b/>
          <w:bCs/>
          <w:rtl/>
          <w:lang w:eastAsia="de-DE"/>
        </w:rPr>
        <w:t>בִּכּוּרִים</w:t>
      </w:r>
      <w:r w:rsidRPr="0098037E">
        <w:rPr>
          <w:rFonts w:eastAsia="Times New Roman" w:cs="Times New Roman"/>
          <w:rtl/>
          <w:lang w:eastAsia="de-DE"/>
        </w:rPr>
        <w:t xml:space="preserve"> </w:t>
      </w:r>
      <w:r w:rsidRPr="0098037E">
        <w:rPr>
          <w:rFonts w:eastAsia="Times New Roman" w:cs="Times New Roman"/>
          <w:lang w:eastAsia="de-DE"/>
        </w:rPr>
        <w:t>betonen.</w:t>
      </w:r>
    </w:p>
    <w:p w14:paraId="7AF5B18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גֶּרֶשׂ</w:t>
      </w:r>
      <w:r w:rsidRPr="0098037E">
        <w:rPr>
          <w:rFonts w:eastAsia="Times New Roman" w:cs="Times New Roman"/>
          <w:rtl/>
          <w:lang w:eastAsia="de-DE"/>
        </w:rPr>
        <w:t xml:space="preserve"> </w:t>
      </w:r>
      <w:r w:rsidRPr="0098037E">
        <w:rPr>
          <w:rFonts w:eastAsia="Times New Roman" w:cs="Times New Roman"/>
          <w:lang w:eastAsia="de-DE"/>
        </w:rPr>
        <w:t xml:space="preserve">(zerstoßenes Korn) wiederholt die Terminologie von Vers 14 und zeigt, dass ein Teil des zerstoßenen </w:t>
      </w:r>
      <w:r w:rsidRPr="0098037E">
        <w:rPr>
          <w:rFonts w:eastAsia="Times New Roman" w:cs="Times New Roman"/>
          <w:b/>
          <w:bCs/>
          <w:rtl/>
          <w:lang w:eastAsia="de-DE"/>
        </w:rPr>
        <w:t>אָבִיב</w:t>
      </w:r>
      <w:r w:rsidRPr="0098037E">
        <w:rPr>
          <w:rFonts w:eastAsia="Times New Roman" w:cs="Times New Roman"/>
          <w:rtl/>
          <w:lang w:eastAsia="de-DE"/>
        </w:rPr>
        <w:t xml:space="preserve"> </w:t>
      </w:r>
      <w:r w:rsidRPr="0098037E">
        <w:rPr>
          <w:rFonts w:eastAsia="Times New Roman" w:cs="Times New Roman"/>
          <w:lang w:eastAsia="de-DE"/>
        </w:rPr>
        <w:t xml:space="preserve">in die </w:t>
      </w: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 xml:space="preserve">eingeht. </w:t>
      </w:r>
      <w:r w:rsidRPr="0098037E">
        <w:rPr>
          <w:rFonts w:eastAsia="Times New Roman" w:cs="Times New Roman"/>
          <w:b/>
          <w:bCs/>
          <w:rtl/>
          <w:lang w:eastAsia="de-DE"/>
        </w:rPr>
        <w:t>מִן</w:t>
      </w:r>
      <w:r w:rsidRPr="0098037E">
        <w:rPr>
          <w:rFonts w:eastAsia="Times New Roman" w:cs="Times New Roman"/>
          <w:lang w:eastAsia="de-DE"/>
        </w:rPr>
        <w:t>-Präpositionen zeigen partitive Herkunft - nicht alles wird verbrannt.</w:t>
      </w:r>
    </w:p>
    <w:p w14:paraId="3EA8105C" w14:textId="3418FC9E" w:rsid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מִגִּרְשָׂהּ֙</w:t>
      </w:r>
      <w:r w:rsidRPr="0098037E">
        <w:rPr>
          <w:rFonts w:eastAsia="Times New Roman" w:cs="Times New Roman"/>
          <w:rtl/>
          <w:lang w:eastAsia="de-DE"/>
        </w:rPr>
        <w:t xml:space="preserve"> </w:t>
      </w:r>
      <w:r w:rsidRPr="0098037E">
        <w:rPr>
          <w:rFonts w:eastAsia="Times New Roman" w:cs="Times New Roman"/>
          <w:lang w:eastAsia="de-DE"/>
        </w:rPr>
        <w:t xml:space="preserve">mit ἀπὸ </w:t>
      </w:r>
      <w:proofErr w:type="spellStart"/>
      <w:r w:rsidRPr="0098037E">
        <w:rPr>
          <w:rFonts w:eastAsia="Times New Roman" w:cs="Times New Roman"/>
          <w:lang w:eastAsia="de-DE"/>
        </w:rPr>
        <w:t>τῶν</w:t>
      </w:r>
      <w:proofErr w:type="spellEnd"/>
      <w:r w:rsidRPr="0098037E">
        <w:rPr>
          <w:rFonts w:eastAsia="Times New Roman" w:cs="Times New Roman"/>
          <w:lang w:eastAsia="de-DE"/>
        </w:rPr>
        <w:t xml:space="preserve"> </w:t>
      </w:r>
      <w:proofErr w:type="spellStart"/>
      <w:r w:rsidRPr="0098037E">
        <w:rPr>
          <w:rFonts w:eastAsia="Times New Roman" w:cs="Times New Roman"/>
          <w:lang w:eastAsia="de-DE"/>
        </w:rPr>
        <w:t>χίδρων</w:t>
      </w:r>
      <w:proofErr w:type="spellEnd"/>
      <w:r w:rsidRPr="0098037E">
        <w:rPr>
          <w:rFonts w:eastAsia="Times New Roman" w:cs="Times New Roman"/>
          <w:lang w:eastAsia="de-DE"/>
        </w:rPr>
        <w:t xml:space="preserve"> α</w:t>
      </w:r>
      <w:proofErr w:type="spellStart"/>
      <w:r w:rsidRPr="0098037E">
        <w:rPr>
          <w:rFonts w:eastAsia="Times New Roman" w:cs="Times New Roman"/>
          <w:lang w:eastAsia="de-DE"/>
        </w:rPr>
        <w:t>ὐτῆς</w:t>
      </w:r>
      <w:proofErr w:type="spellEnd"/>
      <w:r w:rsidRPr="0098037E">
        <w:rPr>
          <w:rFonts w:eastAsia="Times New Roman" w:cs="Times New Roman"/>
          <w:lang w:eastAsia="de-DE"/>
        </w:rPr>
        <w:t xml:space="preserve"> (von ihren frischen Körnern), </w:t>
      </w:r>
      <w:r w:rsidRPr="0098037E">
        <w:rPr>
          <w:rFonts w:eastAsia="Times New Roman" w:cs="Times New Roman"/>
          <w:b/>
          <w:bCs/>
          <w:rtl/>
          <w:lang w:eastAsia="de-DE"/>
        </w:rPr>
        <w:t>וּמִשַּׁמְנָ֔הּ</w:t>
      </w:r>
      <w:r w:rsidRPr="0098037E">
        <w:rPr>
          <w:rFonts w:eastAsia="Times New Roman" w:cs="Times New Roman"/>
          <w:rtl/>
          <w:lang w:eastAsia="de-DE"/>
        </w:rPr>
        <w:t xml:space="preserve"> </w:t>
      </w:r>
      <w:r w:rsidRPr="0098037E">
        <w:rPr>
          <w:rFonts w:eastAsia="Times New Roman" w:cs="Times New Roman"/>
          <w:lang w:eastAsia="de-DE"/>
        </w:rPr>
        <w:t xml:space="preserve">mit καὶ ἀπὸ </w:t>
      </w:r>
      <w:proofErr w:type="spellStart"/>
      <w:r w:rsidRPr="0098037E">
        <w:rPr>
          <w:rFonts w:eastAsia="Times New Roman" w:cs="Times New Roman"/>
          <w:lang w:eastAsia="de-DE"/>
        </w:rPr>
        <w:t>τοῦ</w:t>
      </w:r>
      <w:proofErr w:type="spellEnd"/>
      <w:r w:rsidRPr="0098037E">
        <w:rPr>
          <w:rFonts w:eastAsia="Times New Roman" w:cs="Times New Roman"/>
          <w:lang w:eastAsia="de-DE"/>
        </w:rPr>
        <w:t xml:space="preserve"> </w:t>
      </w:r>
      <w:proofErr w:type="spellStart"/>
      <w:r w:rsidRPr="0098037E">
        <w:rPr>
          <w:rFonts w:eastAsia="Times New Roman" w:cs="Times New Roman"/>
          <w:lang w:eastAsia="de-DE"/>
        </w:rPr>
        <w:t>ἐλ</w:t>
      </w:r>
      <w:proofErr w:type="spellEnd"/>
      <w:r w:rsidRPr="0098037E">
        <w:rPr>
          <w:rFonts w:eastAsia="Times New Roman" w:cs="Times New Roman"/>
          <w:lang w:eastAsia="de-DE"/>
        </w:rPr>
        <w:t>αίου α</w:t>
      </w:r>
      <w:proofErr w:type="spellStart"/>
      <w:r w:rsidRPr="0098037E">
        <w:rPr>
          <w:rFonts w:eastAsia="Times New Roman" w:cs="Times New Roman"/>
          <w:lang w:eastAsia="de-DE"/>
        </w:rPr>
        <w:t>ὐτῆς</w:t>
      </w:r>
      <w:proofErr w:type="spellEnd"/>
      <w:r w:rsidRPr="0098037E">
        <w:rPr>
          <w:rFonts w:eastAsia="Times New Roman" w:cs="Times New Roman"/>
          <w:lang w:eastAsia="de-DE"/>
        </w:rPr>
        <w:t xml:space="preserve"> (und von ihrem Öl) und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κάρ</w:t>
      </w:r>
      <w:proofErr w:type="spellEnd"/>
      <w:r w:rsidRPr="0098037E">
        <w:rPr>
          <w:rFonts w:eastAsia="Times New Roman" w:cs="Times New Roman"/>
          <w:lang w:eastAsia="de-DE"/>
        </w:rPr>
        <w:t>πωμα (Opfergabe).</w:t>
      </w:r>
    </w:p>
    <w:p w14:paraId="3DA01ABB" w14:textId="77777777" w:rsidR="005248F3" w:rsidRPr="0098037E" w:rsidRDefault="005248F3" w:rsidP="0098037E">
      <w:pPr>
        <w:spacing w:before="100" w:beforeAutospacing="1" w:after="100" w:afterAutospacing="1" w:line="240" w:lineRule="auto"/>
        <w:rPr>
          <w:rFonts w:eastAsia="Times New Roman" w:cs="Times New Roman"/>
          <w:lang w:eastAsia="de-DE"/>
        </w:rPr>
      </w:pPr>
    </w:p>
    <w:p w14:paraId="5088798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Hauptsatz: Verb + Subjekt + Objekt + dreifache Herkunftsangabe + Prädikatsbestimmung. Die dreifache partitive Konstruktion mit </w:t>
      </w:r>
      <w:r w:rsidRPr="0098037E">
        <w:rPr>
          <w:rFonts w:eastAsia="Times New Roman" w:cs="Times New Roman"/>
          <w:b/>
          <w:bCs/>
          <w:rtl/>
          <w:lang w:eastAsia="de-DE"/>
        </w:rPr>
        <w:t>מִן</w:t>
      </w:r>
      <w:r w:rsidRPr="0098037E">
        <w:rPr>
          <w:rFonts w:eastAsia="Times New Roman" w:cs="Times New Roman"/>
          <w:rtl/>
          <w:lang w:eastAsia="de-DE"/>
        </w:rPr>
        <w:t xml:space="preserve"> </w:t>
      </w:r>
      <w:r w:rsidRPr="0098037E">
        <w:rPr>
          <w:rFonts w:eastAsia="Times New Roman" w:cs="Times New Roman"/>
          <w:lang w:eastAsia="de-DE"/>
        </w:rPr>
        <w:t xml:space="preserve">betont die Komponenten der </w:t>
      </w:r>
      <w:r w:rsidRPr="0098037E">
        <w:rPr>
          <w:rFonts w:eastAsia="Times New Roman" w:cs="Times New Roman"/>
          <w:b/>
          <w:bCs/>
          <w:rtl/>
          <w:lang w:eastAsia="de-DE"/>
        </w:rPr>
        <w:t>אַזְכָּרָה</w:t>
      </w:r>
      <w:r w:rsidRPr="0098037E">
        <w:rPr>
          <w:rFonts w:eastAsia="Times New Roman" w:cs="Times New Roman"/>
          <w:rtl/>
          <w:lang w:eastAsia="de-DE"/>
        </w:rPr>
        <w:t xml:space="preserve"> </w:t>
      </w:r>
      <w:r w:rsidRPr="0098037E">
        <w:rPr>
          <w:rFonts w:eastAsia="Times New Roman" w:cs="Times New Roman"/>
          <w:lang w:eastAsia="de-DE"/>
        </w:rPr>
        <w:t xml:space="preserve">bei </w:t>
      </w:r>
      <w:r w:rsidRPr="0098037E">
        <w:rPr>
          <w:rFonts w:eastAsia="Times New Roman" w:cs="Times New Roman"/>
          <w:b/>
          <w:bCs/>
          <w:rtl/>
          <w:lang w:eastAsia="de-DE"/>
        </w:rPr>
        <w:t>בִּכּוּרִים</w:t>
      </w:r>
      <w:r w:rsidRPr="0098037E">
        <w:rPr>
          <w:rFonts w:eastAsia="Times New Roman" w:cs="Times New Roman"/>
          <w:lang w:eastAsia="de-DE"/>
        </w:rPr>
        <w:t>.</w:t>
      </w:r>
    </w:p>
    <w:p w14:paraId="1EAC1827" w14:textId="57DC05A1" w:rsid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schließt Kapitel 2 ab und zeigt die konsistente Anwendung des </w:t>
      </w:r>
      <w:r w:rsidRPr="0098037E">
        <w:rPr>
          <w:rFonts w:eastAsia="Times New Roman" w:cs="Times New Roman"/>
          <w:b/>
          <w:bCs/>
          <w:rtl/>
          <w:lang w:eastAsia="de-DE"/>
        </w:rPr>
        <w:t>אַזְכָּרָה</w:t>
      </w:r>
      <w:r w:rsidRPr="0098037E">
        <w:rPr>
          <w:rFonts w:eastAsia="Times New Roman" w:cs="Times New Roman"/>
          <w:lang w:eastAsia="de-DE"/>
        </w:rPr>
        <w:t xml:space="preserve">-Prinzips auf alle </w:t>
      </w:r>
      <w:r w:rsidRPr="0098037E">
        <w:rPr>
          <w:rFonts w:eastAsia="Times New Roman" w:cs="Times New Roman"/>
          <w:b/>
          <w:bCs/>
          <w:rtl/>
          <w:lang w:eastAsia="de-DE"/>
        </w:rPr>
        <w:t>מִנְחָה</w:t>
      </w:r>
      <w:r w:rsidRPr="0098037E">
        <w:rPr>
          <w:rFonts w:eastAsia="Times New Roman" w:cs="Times New Roman"/>
          <w:lang w:eastAsia="de-DE"/>
        </w:rPr>
        <w:t xml:space="preserve">-Formen, einschließlich der besonderen </w:t>
      </w:r>
      <w:r w:rsidRPr="0098037E">
        <w:rPr>
          <w:rFonts w:eastAsia="Times New Roman" w:cs="Times New Roman"/>
          <w:b/>
          <w:bCs/>
          <w:rtl/>
          <w:lang w:eastAsia="de-DE"/>
        </w:rPr>
        <w:t>בִּכּוּרִים</w:t>
      </w:r>
      <w:r w:rsidRPr="0098037E">
        <w:rPr>
          <w:rFonts w:eastAsia="Times New Roman" w:cs="Times New Roman"/>
          <w:lang w:eastAsia="de-DE"/>
        </w:rPr>
        <w:t xml:space="preserve">-Opfer. Das Kapitel etabliert damit ein umfassendes System unblutiger Opfer mit verschiedenen Zubereitungsarten, aber einheitlichen theologischen Prinzipien: partielle Verbrennung als </w:t>
      </w:r>
      <w:r w:rsidRPr="0098037E">
        <w:rPr>
          <w:rFonts w:eastAsia="Times New Roman" w:cs="Times New Roman"/>
          <w:b/>
          <w:bCs/>
          <w:rtl/>
          <w:lang w:eastAsia="de-DE"/>
        </w:rPr>
        <w:t>אַזְכָּרָה</w:t>
      </w:r>
      <w:r w:rsidRPr="0098037E">
        <w:rPr>
          <w:rFonts w:eastAsia="Times New Roman" w:cs="Times New Roman"/>
          <w:lang w:eastAsia="de-DE"/>
        </w:rPr>
        <w:t xml:space="preserve">, priesterliche Anteile als </w:t>
      </w:r>
      <w:r w:rsidRPr="0098037E">
        <w:rPr>
          <w:rFonts w:eastAsia="Times New Roman" w:cs="Times New Roman"/>
          <w:b/>
          <w:bCs/>
          <w:rtl/>
          <w:lang w:eastAsia="de-DE"/>
        </w:rPr>
        <w:t>קֹדֶשׁ קָדָשִׁים</w:t>
      </w:r>
      <w:r w:rsidRPr="0098037E">
        <w:rPr>
          <w:rFonts w:eastAsia="Times New Roman" w:cs="Times New Roman"/>
          <w:lang w:eastAsia="de-DE"/>
        </w:rPr>
        <w:t xml:space="preserve">, und Prohibition von </w:t>
      </w:r>
      <w:r w:rsidRPr="0098037E">
        <w:rPr>
          <w:rFonts w:eastAsia="Times New Roman" w:cs="Times New Roman"/>
          <w:b/>
          <w:bCs/>
          <w:rtl/>
          <w:lang w:eastAsia="de-DE"/>
        </w:rPr>
        <w:t>חָמֵץ</w:t>
      </w:r>
      <w:r w:rsidRPr="0098037E">
        <w:rPr>
          <w:rFonts w:eastAsia="Times New Roman" w:cs="Times New Roman"/>
          <w:rtl/>
          <w:lang w:eastAsia="de-DE"/>
        </w:rPr>
        <w:t xml:space="preserve"> </w:t>
      </w:r>
      <w:r w:rsidRPr="0098037E">
        <w:rPr>
          <w:rFonts w:eastAsia="Times New Roman" w:cs="Times New Roman"/>
          <w:lang w:eastAsia="de-DE"/>
        </w:rPr>
        <w:t xml:space="preserve">bei Gebot von </w:t>
      </w:r>
      <w:r w:rsidRPr="0098037E">
        <w:rPr>
          <w:rFonts w:eastAsia="Times New Roman" w:cs="Times New Roman"/>
          <w:b/>
          <w:bCs/>
          <w:rtl/>
          <w:lang w:eastAsia="de-DE"/>
        </w:rPr>
        <w:t>מֶלַח</w:t>
      </w:r>
      <w:r w:rsidRPr="0098037E">
        <w:rPr>
          <w:rFonts w:eastAsia="Times New Roman" w:cs="Times New Roman"/>
          <w:lang w:eastAsia="de-DE"/>
        </w:rPr>
        <w:t>.</w:t>
      </w:r>
    </w:p>
    <w:p w14:paraId="14625A2C" w14:textId="77777777" w:rsidR="00071294" w:rsidRDefault="005248F3" w:rsidP="00071294">
      <w:pPr>
        <w:spacing w:before="100" w:beforeAutospacing="1" w:after="100" w:afterAutospacing="1" w:line="240" w:lineRule="auto"/>
      </w:pPr>
      <w:r>
        <w:rPr>
          <w:rStyle w:val="Fett"/>
        </w:rPr>
        <w:t>Systematische Textkritik</w:t>
      </w:r>
      <w:r>
        <w:t xml:space="preserve">: </w:t>
      </w:r>
      <w:r>
        <w:rPr>
          <w:rStyle w:val="Fett"/>
        </w:rPr>
        <w:t>Die LXX</w:t>
      </w:r>
      <w:r>
        <w:t xml:space="preserve"> zeigt eine durchgängige Tendenz, </w:t>
      </w:r>
      <w:r>
        <w:rPr>
          <w:rtl/>
        </w:rPr>
        <w:t>אשה</w:t>
      </w:r>
      <w:r>
        <w:t xml:space="preserve"> (</w:t>
      </w:r>
      <w:proofErr w:type="spellStart"/>
      <w:r>
        <w:t>ischeh</w:t>
      </w:r>
      <w:proofErr w:type="spellEnd"/>
      <w:r>
        <w:t xml:space="preserve">) durch </w:t>
      </w:r>
      <w:proofErr w:type="spellStart"/>
      <w:r>
        <w:t>κάρ</w:t>
      </w:r>
      <w:proofErr w:type="spellEnd"/>
      <w:r>
        <w:t xml:space="preserve">πωμα oder </w:t>
      </w:r>
      <w:proofErr w:type="spellStart"/>
      <w:r>
        <w:t>θυσί</w:t>
      </w:r>
      <w:proofErr w:type="spellEnd"/>
      <w:r>
        <w:t xml:space="preserve">α zu ersetzen, was entweder auf eine andere Vorlage oder eine bewusste </w:t>
      </w:r>
      <w:r>
        <w:lastRenderedPageBreak/>
        <w:t xml:space="preserve">theologische Neuinterpretation von Feuer- zu Ertragsopfern hindeutet. </w:t>
      </w:r>
      <w:r w:rsidR="00071294">
        <w:t>Diese Konsistenz könnte auf eine bewusste terminologische Vereinheitlichung in der LXX hindeuten, wobei weitere Belege aus anderen Opferkapiteln nötig wären, um eine systematische theologische Neuinterpretation zu belegen.</w:t>
      </w:r>
    </w:p>
    <w:p w14:paraId="00F5566D" w14:textId="4314EA03" w:rsidR="0098037E" w:rsidRPr="0098037E" w:rsidRDefault="0098037E" w:rsidP="00071294">
      <w:pPr>
        <w:spacing w:before="100" w:beforeAutospacing="1" w:after="100" w:afterAutospacing="1" w:line="240" w:lineRule="auto"/>
        <w:rPr>
          <w:rFonts w:eastAsia="Times New Roman" w:cs="Times New Roman"/>
          <w:b/>
          <w:bCs/>
          <w:sz w:val="36"/>
          <w:szCs w:val="36"/>
          <w:lang w:eastAsia="de-DE"/>
        </w:rPr>
      </w:pPr>
      <w:r w:rsidRPr="0098037E">
        <w:rPr>
          <w:rFonts w:eastAsia="Times New Roman" w:cs="Times New Roman"/>
          <w:b/>
          <w:bCs/>
          <w:sz w:val="36"/>
          <w:szCs w:val="36"/>
          <w:lang w:eastAsia="de-DE"/>
        </w:rPr>
        <w:t>Leviticus 3,1</w:t>
      </w:r>
    </w:p>
    <w:p w14:paraId="5F014B9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וְאִם־זֶ֥בַח שְׁלָמִ֖ים קָרְבָּנֹ֑ו אִ֤ם מִן־הַבָּקָר֙ ה֣וּא מַקְרִ֔יב אִם־זָכָר֙ אִם־נְקֵבָ֔ה תָּמִ֥ים יַקְרִיבֶ֖נּוּ לִפְנֵ֥י יְהוָֽה׃</w:t>
      </w:r>
    </w:p>
    <w:p w14:paraId="4FBCEDD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seine Opfergabe ein Friedensopfer ist: Wenn er sie von den Rindern darbringt, es sei ein Männliches oder ein Weibliches, so soll er sie ohne Fehl vor dem Ewigen darbringen.</w:t>
      </w:r>
    </w:p>
    <w:p w14:paraId="1DFC3EB3"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BE0D6C3">
          <v:rect id="_x0000_i1058" style="width:0;height:1.5pt" o:hralign="center" o:hrstd="t" o:hr="t" fillcolor="#a0a0a0" stroked="f"/>
        </w:pict>
      </w:r>
    </w:p>
    <w:p w14:paraId="6D9E923E" w14:textId="77777777" w:rsidR="00D47FD5" w:rsidRDefault="00D47FD5" w:rsidP="00D47FD5">
      <w:pPr>
        <w:pStyle w:val="whitespace-normal"/>
      </w:pPr>
      <w:r>
        <w:rPr>
          <w:rStyle w:val="Fett"/>
        </w:rPr>
        <w:t>Kommentar:</w:t>
      </w:r>
      <w:r>
        <w:t xml:space="preserve"> </w:t>
      </w:r>
      <w:r w:rsidRPr="00D47FD5">
        <w:rPr>
          <w:b/>
          <w:bCs/>
          <w:rtl/>
        </w:rPr>
        <w:t>וְאִם־זֶ֥בַח שְׁלָמִ֖ים קָרְבָּנֹ֑ו</w:t>
      </w:r>
      <w:r>
        <w:t xml:space="preserve"> führt eine neue Opferkategorie ein. </w:t>
      </w:r>
      <w:r>
        <w:rPr>
          <w:rtl/>
        </w:rPr>
        <w:t>זֶבַח</w:t>
      </w:r>
      <w:r>
        <w:t xml:space="preserve"> (Schlachtopfer) von </w:t>
      </w:r>
      <w:r>
        <w:rPr>
          <w:rtl/>
        </w:rPr>
        <w:t>זבח</w:t>
      </w:r>
      <w:r>
        <w:t xml:space="preserve"> (schlachten) betont den Schlachtakt, </w:t>
      </w:r>
      <w:r w:rsidRPr="00D47FD5">
        <w:rPr>
          <w:b/>
          <w:bCs/>
          <w:rtl/>
        </w:rPr>
        <w:t>שְׁלָמִים</w:t>
      </w:r>
      <w:r>
        <w:t xml:space="preserve"> (Friedensopfer) von </w:t>
      </w:r>
      <w:r w:rsidRPr="00D47FD5">
        <w:rPr>
          <w:b/>
          <w:bCs/>
          <w:rtl/>
        </w:rPr>
        <w:t>שלם</w:t>
      </w:r>
      <w:r>
        <w:t xml:space="preserve"> (vollständig/heil sein) bezeichnet Gemeinschaftsopfer mit geteiltem Verzehr zwischen Gott, Priestern und Opfernden.</w:t>
      </w:r>
    </w:p>
    <w:p w14:paraId="5D9FBD9F" w14:textId="76C0D76B" w:rsidR="0098037E" w:rsidRPr="0098037E" w:rsidRDefault="00D47FD5" w:rsidP="00D47FD5">
      <w:pPr>
        <w:pStyle w:val="whitespace-normal"/>
      </w:pPr>
      <w:r>
        <w:t xml:space="preserve">Der entscheidende Unterschied zu </w:t>
      </w:r>
      <w:r w:rsidRPr="00D47FD5">
        <w:rPr>
          <w:b/>
          <w:bCs/>
          <w:rtl/>
        </w:rPr>
        <w:t>עֹלָה</w:t>
      </w:r>
      <w:r>
        <w:t xml:space="preserve"> liegt in </w:t>
      </w:r>
      <w:r w:rsidRPr="00D47FD5">
        <w:rPr>
          <w:b/>
          <w:bCs/>
          <w:rtl/>
        </w:rPr>
        <w:t>אִם־זָכָר֙ אִם־נְקֵבָ֔ה: שְׁלָמִים</w:t>
      </w:r>
      <w:r>
        <w:t xml:space="preserve"> erlauben beide Geschlechter, während Aufsteigeopfer nur </w:t>
      </w:r>
      <w:r w:rsidRPr="00D47FD5">
        <w:rPr>
          <w:b/>
          <w:bCs/>
          <w:rtl/>
        </w:rPr>
        <w:t>זכר</w:t>
      </w:r>
      <w:r>
        <w:t xml:space="preserve"> fordern. Diese Flexibilität reflektiert den Gemeinschaftscharakter der </w:t>
      </w:r>
      <w:r w:rsidRPr="00D47FD5">
        <w:rPr>
          <w:b/>
          <w:bCs/>
          <w:rtl/>
        </w:rPr>
        <w:t>שְׁלָמִים</w:t>
      </w:r>
      <w:r>
        <w:t xml:space="preserve"> gegenüber der totalen Hingabe der </w:t>
      </w:r>
      <w:r w:rsidRPr="00D47FD5">
        <w:rPr>
          <w:b/>
          <w:bCs/>
          <w:rtl/>
        </w:rPr>
        <w:t>עֹלָה</w:t>
      </w:r>
      <w:r>
        <w:t>.</w:t>
      </w:r>
    </w:p>
    <w:p w14:paraId="7B446308" w14:textId="5104264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זֶבַח שְׁלָמִים</w:t>
      </w:r>
      <w:r w:rsidRPr="0098037E">
        <w:rPr>
          <w:rFonts w:eastAsia="Times New Roman" w:cs="Times New Roman"/>
          <w:rtl/>
          <w:lang w:eastAsia="de-DE"/>
        </w:rPr>
        <w:t xml:space="preserve"> </w:t>
      </w:r>
      <w:r w:rsidRPr="0098037E">
        <w:rPr>
          <w:rFonts w:eastAsia="Times New Roman" w:cs="Times New Roman"/>
          <w:lang w:eastAsia="de-DE"/>
        </w:rPr>
        <w:t xml:space="preserve">als terminus technicus unterscheidet sich von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w:t>
      </w:r>
      <w:r w:rsidR="00CF10E7">
        <w:rPr>
          <w:rFonts w:eastAsia="Times New Roman" w:cs="Times New Roman"/>
          <w:lang w:eastAsia="de-DE"/>
        </w:rPr>
        <w:t>Aufsteigeopfer</w:t>
      </w:r>
      <w:r w:rsidRPr="0098037E">
        <w:rPr>
          <w:rFonts w:eastAsia="Times New Roman" w:cs="Times New Roman"/>
          <w:lang w:eastAsia="de-DE"/>
        </w:rPr>
        <w:t xml:space="preserve">) durch partielle statt vollständiger Verbrennung.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kann Dankopfer, Gelübdeopfer oder freiwillige Opfer umfassen.</w:t>
      </w:r>
    </w:p>
    <w:p w14:paraId="099832E1" w14:textId="6C929808"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übersetzt </w:t>
      </w:r>
      <w:r w:rsidR="005070BF">
        <w:rPr>
          <w:rtl/>
        </w:rPr>
        <w:t>זבח שלמים</w:t>
      </w:r>
      <w:r w:rsidR="005070BF">
        <w:t xml:space="preserve"> (</w:t>
      </w:r>
      <w:proofErr w:type="spellStart"/>
      <w:r w:rsidR="005070BF">
        <w:t>zevach</w:t>
      </w:r>
      <w:proofErr w:type="spellEnd"/>
      <w:r w:rsidR="005070BF">
        <w:t xml:space="preserve"> </w:t>
      </w:r>
      <w:proofErr w:type="spellStart"/>
      <w:r w:rsidR="005070BF">
        <w:t>shelamim</w:t>
      </w:r>
      <w:proofErr w:type="spellEnd"/>
      <w:r w:rsidR="005070BF">
        <w:t xml:space="preserve">) systematisch als </w:t>
      </w:r>
      <w:proofErr w:type="spellStart"/>
      <w:r w:rsidR="005070BF">
        <w:t>θυσί</w:t>
      </w:r>
      <w:proofErr w:type="spellEnd"/>
      <w:r w:rsidR="005070BF">
        <w:t xml:space="preserve">α </w:t>
      </w:r>
      <w:proofErr w:type="spellStart"/>
      <w:r w:rsidR="005070BF">
        <w:t>σωτηρίου</w:t>
      </w:r>
      <w:proofErr w:type="spellEnd"/>
      <w:r w:rsidR="005070BF">
        <w:t xml:space="preserve"> (Heilsopfer), was eine theologisch signifikante Umdeutung von "Friedens-/Vollständigkeitsopfer" zu "Rettungsopfer" darstellt.</w:t>
      </w:r>
    </w:p>
    <w:p w14:paraId="2EE496B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Konditionalsatz: Protasis (</w:t>
      </w:r>
      <w:r w:rsidRPr="0098037E">
        <w:rPr>
          <w:rFonts w:eastAsia="Times New Roman" w:cs="Times New Roman"/>
          <w:rtl/>
          <w:lang w:eastAsia="de-DE"/>
        </w:rPr>
        <w:t>אִם</w:t>
      </w:r>
      <w:r w:rsidRPr="0098037E">
        <w:rPr>
          <w:rFonts w:eastAsia="Times New Roman" w:cs="Times New Roman"/>
          <w:lang w:eastAsia="de-DE"/>
        </w:rPr>
        <w:t xml:space="preserve"> + Subjekt + Prädikatsnomen // </w:t>
      </w:r>
      <w:r w:rsidRPr="0098037E">
        <w:rPr>
          <w:rFonts w:eastAsia="Times New Roman" w:cs="Times New Roman"/>
          <w:rtl/>
          <w:lang w:eastAsia="de-DE"/>
        </w:rPr>
        <w:t>אִם</w:t>
      </w:r>
      <w:r w:rsidRPr="0098037E">
        <w:rPr>
          <w:rFonts w:eastAsia="Times New Roman" w:cs="Times New Roman"/>
          <w:lang w:eastAsia="de-DE"/>
        </w:rPr>
        <w:t xml:space="preserve"> + Herkunftsangabe + Subjekt + Verb // </w:t>
      </w:r>
      <w:r w:rsidRPr="0098037E">
        <w:rPr>
          <w:rFonts w:eastAsia="Times New Roman" w:cs="Times New Roman"/>
          <w:rtl/>
          <w:lang w:eastAsia="de-DE"/>
        </w:rPr>
        <w:t>אִם...אִם</w:t>
      </w:r>
      <w:r w:rsidRPr="0098037E">
        <w:rPr>
          <w:rFonts w:eastAsia="Times New Roman" w:cs="Times New Roman"/>
          <w:lang w:eastAsia="de-DE"/>
        </w:rPr>
        <w:t xml:space="preserve"> + Alternativen) → Apodosis (Adjektiv + Verb + Objekt + Adverbialbestimmung). Die mehrfachen Konditionen spezifizieren verschiedene Aspekte des Opfers.</w:t>
      </w:r>
    </w:p>
    <w:p w14:paraId="1276AE12" w14:textId="57B5CF2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führt die neue Kategorie der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ein und zeigt deren flexiblere Geschlechtsbestimmungen im Vergleich zu </w:t>
      </w:r>
      <w:r w:rsidR="00CF10E7">
        <w:rPr>
          <w:rFonts w:eastAsia="Times New Roman" w:cs="Times New Roman"/>
          <w:lang w:eastAsia="de-DE"/>
        </w:rPr>
        <w:t>Aufsteigeopfer</w:t>
      </w:r>
      <w:r w:rsidRPr="0098037E">
        <w:rPr>
          <w:rFonts w:eastAsia="Times New Roman" w:cs="Times New Roman"/>
          <w:lang w:eastAsia="de-DE"/>
        </w:rPr>
        <w:t>n.</w:t>
      </w:r>
    </w:p>
    <w:p w14:paraId="6E0095DE"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3,2</w:t>
      </w:r>
    </w:p>
    <w:p w14:paraId="278261B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וְסָמַ֤ךְ יָדוֹ֙ עַל־רֹ֣אשׁ קָרְבָּנֹ֔ו וּשְׁחָטֹ֕ו פֶּ֖תַח אֹ֣הֶל מוֹעֵ֑ד וְזָרְק֡וּ בְּנֵי֩ אַהֲרֹ֨ן הַכֹּהֲנִ֧ים אֶת־הַדָּ֛ם עַל־הַמִּזְבֵּ֖חַ סָבִֽיב׃</w:t>
      </w:r>
    </w:p>
    <w:p w14:paraId="4FEC14F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seine Hand auf den Kopf seines Opfers legen und es schlachten an dem Eingang des Zeltes der Begegnung; und die Söhne 'Aharons, die Priester, sollen das Blut ringsum an den Altar spritzen.</w:t>
      </w:r>
    </w:p>
    <w:p w14:paraId="2EEDB70E"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2B9BF686">
          <v:rect id="_x0000_i1059" style="width:0;height:1.5pt" o:hralign="center" o:hrstd="t" o:hr="t" fillcolor="#a0a0a0" stroked="f"/>
        </w:pict>
      </w:r>
    </w:p>
    <w:p w14:paraId="70944DB4" w14:textId="55DA2C6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Kommentar:</w:t>
      </w:r>
      <w:r w:rsidRPr="0098037E">
        <w:rPr>
          <w:rFonts w:eastAsia="Times New Roman" w:cs="Times New Roman"/>
          <w:lang w:eastAsia="de-DE"/>
        </w:rPr>
        <w:t xml:space="preserve"> </w:t>
      </w:r>
      <w:r w:rsidR="00D47FD5">
        <w:t xml:space="preserve">Die Prozeduren entsprechen den </w:t>
      </w:r>
      <w:r w:rsidR="00D47FD5" w:rsidRPr="00D47FD5">
        <w:rPr>
          <w:b/>
          <w:bCs/>
          <w:rtl/>
        </w:rPr>
        <w:t>עֹלָה</w:t>
      </w:r>
      <w:r w:rsidR="00D47FD5">
        <w:t xml:space="preserve">-Opfern: </w:t>
      </w:r>
      <w:r w:rsidR="00D47FD5" w:rsidRPr="00D47FD5">
        <w:rPr>
          <w:b/>
          <w:bCs/>
          <w:rtl/>
        </w:rPr>
        <w:t>סמיכה</w:t>
      </w:r>
      <w:r w:rsidR="00D47FD5">
        <w:t xml:space="preserve"> (Handauflegung), Laienschlachtung und priesterlicher Blutdienst. Der Unterschied liegt in der präziseren Ortsangabe </w:t>
      </w:r>
      <w:r w:rsidR="00D47FD5" w:rsidRPr="00D47FD5">
        <w:rPr>
          <w:b/>
          <w:bCs/>
          <w:rtl/>
        </w:rPr>
        <w:t>פֶּתַח אֹהֶל מוֹעֵד</w:t>
      </w:r>
      <w:r w:rsidR="00D47FD5">
        <w:t xml:space="preserve"> (am Eingang des Zeltes der Begegnung) gegenüber </w:t>
      </w:r>
      <w:r w:rsidR="00D47FD5" w:rsidRPr="00D47FD5">
        <w:rPr>
          <w:b/>
          <w:bCs/>
          <w:rtl/>
        </w:rPr>
        <w:t>לִפְנֵי יְהוָה</w:t>
      </w:r>
      <w:r w:rsidR="00D47FD5">
        <w:t xml:space="preserve"> bei </w:t>
      </w:r>
      <w:r w:rsidR="00D47FD5" w:rsidRPr="00D47FD5">
        <w:rPr>
          <w:b/>
          <w:bCs/>
          <w:rtl/>
        </w:rPr>
        <w:t>עֹלָה. זרק סביב</w:t>
      </w:r>
      <w:r w:rsidR="00D47FD5" w:rsidRPr="00D47FD5">
        <w:rPr>
          <w:b/>
          <w:bCs/>
        </w:rPr>
        <w:t xml:space="preserve"> </w:t>
      </w:r>
      <w:r w:rsidR="00D47FD5">
        <w:t>(ringsum spritzen) etabliert die sakrale Altarweihe durch Blutapplikation an alle vier Seiten.</w:t>
      </w:r>
    </w:p>
    <w:p w14:paraId="0475E66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וּשְׁחָטֹ֕ו</w:t>
      </w:r>
      <w:r w:rsidRPr="0098037E">
        <w:rPr>
          <w:rFonts w:eastAsia="Times New Roman" w:cs="Times New Roman"/>
          <w:rtl/>
          <w:lang w:eastAsia="de-DE"/>
        </w:rPr>
        <w:t xml:space="preserve"> </w:t>
      </w:r>
      <w:r w:rsidRPr="0098037E">
        <w:rPr>
          <w:rFonts w:eastAsia="Times New Roman" w:cs="Times New Roman"/>
          <w:lang w:eastAsia="de-DE"/>
        </w:rPr>
        <w:t xml:space="preserve">(und er soll es schlachten) ist Qal-Perfekt mit Waw-Konsekutiv von </w:t>
      </w:r>
      <w:r w:rsidRPr="0098037E">
        <w:rPr>
          <w:rFonts w:eastAsia="Times New Roman" w:cs="Times New Roman"/>
          <w:b/>
          <w:bCs/>
          <w:rtl/>
          <w:lang w:eastAsia="de-DE"/>
        </w:rPr>
        <w:t>שחט</w:t>
      </w:r>
      <w:r w:rsidRPr="0098037E">
        <w:rPr>
          <w:rFonts w:eastAsia="Times New Roman" w:cs="Times New Roman"/>
          <w:rtl/>
          <w:lang w:eastAsia="de-DE"/>
        </w:rPr>
        <w:t xml:space="preserve"> </w:t>
      </w:r>
      <w:r w:rsidRPr="0098037E">
        <w:rPr>
          <w:rFonts w:eastAsia="Times New Roman" w:cs="Times New Roman"/>
          <w:lang w:eastAsia="de-DE"/>
        </w:rPr>
        <w:t xml:space="preserve">(schlachten), 3. Person maskulin Singular mit Objektsuffix 3. Person maskulin Singular. </w:t>
      </w:r>
      <w:r w:rsidRPr="0098037E">
        <w:rPr>
          <w:rFonts w:eastAsia="Times New Roman" w:cs="Times New Roman"/>
          <w:b/>
          <w:bCs/>
          <w:rtl/>
          <w:lang w:eastAsia="de-DE"/>
        </w:rPr>
        <w:t>פֶּ֖תַח אֹ֣הֶל מוֹעֵ֑ד</w:t>
      </w:r>
      <w:r w:rsidRPr="0098037E">
        <w:rPr>
          <w:rFonts w:eastAsia="Times New Roman" w:cs="Times New Roman"/>
          <w:rtl/>
          <w:lang w:eastAsia="de-DE"/>
        </w:rPr>
        <w:t xml:space="preserve"> </w:t>
      </w:r>
      <w:r w:rsidRPr="0098037E">
        <w:rPr>
          <w:rFonts w:eastAsia="Times New Roman" w:cs="Times New Roman"/>
          <w:lang w:eastAsia="de-DE"/>
        </w:rPr>
        <w:t>(am Eingang des Zeltes der Begegnung) spezifiziert den Schlachtort.</w:t>
      </w:r>
    </w:p>
    <w:p w14:paraId="3A13F7F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וְזָרְק֡וּ בְּנֵי֩ אַהֲרֹ֨ן הַכֹּהֲנִ֧ים</w:t>
      </w:r>
      <w:r w:rsidRPr="0098037E">
        <w:rPr>
          <w:rFonts w:eastAsia="Times New Roman" w:cs="Times New Roman"/>
          <w:rtl/>
          <w:lang w:eastAsia="de-DE"/>
        </w:rPr>
        <w:t xml:space="preserve"> </w:t>
      </w:r>
      <w:r w:rsidRPr="0098037E">
        <w:rPr>
          <w:rFonts w:eastAsia="Times New Roman" w:cs="Times New Roman"/>
          <w:lang w:eastAsia="de-DE"/>
        </w:rPr>
        <w:t xml:space="preserve">(und die Söhne Aarons, die Priester, sollen spritzen) zeigt die priesterliche Verantwortung für den Blutdienst. </w:t>
      </w:r>
      <w:r w:rsidRPr="0098037E">
        <w:rPr>
          <w:rFonts w:eastAsia="Times New Roman" w:cs="Times New Roman"/>
          <w:b/>
          <w:bCs/>
          <w:rtl/>
          <w:lang w:eastAsia="de-DE"/>
        </w:rPr>
        <w:t>אֶת־הַדָּ֛ם</w:t>
      </w:r>
      <w:r w:rsidRPr="0098037E">
        <w:rPr>
          <w:rFonts w:eastAsia="Times New Roman" w:cs="Times New Roman"/>
          <w:rtl/>
          <w:lang w:eastAsia="de-DE"/>
        </w:rPr>
        <w:t xml:space="preserve"> </w:t>
      </w:r>
      <w:r w:rsidRPr="0098037E">
        <w:rPr>
          <w:rFonts w:eastAsia="Times New Roman" w:cs="Times New Roman"/>
          <w:lang w:eastAsia="de-DE"/>
        </w:rPr>
        <w:t xml:space="preserve">(das Blut) mit Nota accusativi, </w:t>
      </w:r>
      <w:r w:rsidRPr="0098037E">
        <w:rPr>
          <w:rFonts w:eastAsia="Times New Roman" w:cs="Times New Roman"/>
          <w:b/>
          <w:bCs/>
          <w:rtl/>
          <w:lang w:eastAsia="de-DE"/>
        </w:rPr>
        <w:t>עַל־הַמִּזְבֵּ֖חַ סָבִֽיב</w:t>
      </w:r>
      <w:r w:rsidRPr="0098037E">
        <w:rPr>
          <w:rFonts w:eastAsia="Times New Roman" w:cs="Times New Roman"/>
          <w:rtl/>
          <w:lang w:eastAsia="de-DE"/>
        </w:rPr>
        <w:t xml:space="preserve"> </w:t>
      </w:r>
      <w:r w:rsidRPr="0098037E">
        <w:rPr>
          <w:rFonts w:eastAsia="Times New Roman" w:cs="Times New Roman"/>
          <w:lang w:eastAsia="de-DE"/>
        </w:rPr>
        <w:t>(ringsum an den Altar).</w:t>
      </w:r>
    </w:p>
    <w:p w14:paraId="2B1CD20B" w14:textId="34EEAEF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zu </w:t>
      </w:r>
      <w:r w:rsidR="00CF10E7">
        <w:rPr>
          <w:rFonts w:eastAsia="Times New Roman" w:cs="Times New Roman"/>
          <w:lang w:eastAsia="de-DE"/>
        </w:rPr>
        <w:t>Aufsteigeopfer</w:t>
      </w:r>
      <w:r w:rsidRPr="0098037E">
        <w:rPr>
          <w:rFonts w:eastAsia="Times New Roman" w:cs="Times New Roman"/>
          <w:lang w:eastAsia="de-DE"/>
        </w:rPr>
        <w:t xml:space="preserve">n liegt in der Ortsangabe: Bei </w:t>
      </w:r>
      <w:r w:rsidR="00CF10E7">
        <w:rPr>
          <w:rFonts w:eastAsia="Times New Roman" w:cs="Times New Roman"/>
          <w:lang w:eastAsia="de-DE"/>
        </w:rPr>
        <w:t>Aufsteigeopfer</w:t>
      </w:r>
      <w:r w:rsidRPr="0098037E">
        <w:rPr>
          <w:rFonts w:eastAsia="Times New Roman" w:cs="Times New Roman"/>
          <w:lang w:eastAsia="de-DE"/>
        </w:rPr>
        <w:t xml:space="preserve">n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 xml:space="preserve">(vor JHWH) allgemein, hier </w:t>
      </w:r>
      <w:r w:rsidRPr="0098037E">
        <w:rPr>
          <w:rFonts w:eastAsia="Times New Roman" w:cs="Times New Roman"/>
          <w:b/>
          <w:bCs/>
          <w:rtl/>
          <w:lang w:eastAsia="de-DE"/>
        </w:rPr>
        <w:t>פֶּ֖תַח אֹ֣הֶל מוֹעֵ֑ד</w:t>
      </w:r>
      <w:r w:rsidRPr="0098037E">
        <w:rPr>
          <w:rFonts w:eastAsia="Times New Roman" w:cs="Times New Roman"/>
          <w:rtl/>
          <w:lang w:eastAsia="de-DE"/>
        </w:rPr>
        <w:t xml:space="preserve"> </w:t>
      </w:r>
      <w:r w:rsidRPr="0098037E">
        <w:rPr>
          <w:rFonts w:eastAsia="Times New Roman" w:cs="Times New Roman"/>
          <w:lang w:eastAsia="de-DE"/>
        </w:rPr>
        <w:t xml:space="preserve">(am Eingang des Zeltes der Begegnung) spezifisch. Der </w:t>
      </w:r>
      <w:r w:rsidRPr="0098037E">
        <w:rPr>
          <w:rFonts w:eastAsia="Times New Roman" w:cs="Times New Roman"/>
          <w:b/>
          <w:bCs/>
          <w:rtl/>
          <w:lang w:eastAsia="de-DE"/>
        </w:rPr>
        <w:t>פֶּתַח</w:t>
      </w:r>
      <w:r w:rsidRPr="0098037E">
        <w:rPr>
          <w:rFonts w:eastAsia="Times New Roman" w:cs="Times New Roman"/>
          <w:rtl/>
          <w:lang w:eastAsia="de-DE"/>
        </w:rPr>
        <w:t xml:space="preserve"> </w:t>
      </w:r>
      <w:r w:rsidRPr="0098037E">
        <w:rPr>
          <w:rFonts w:eastAsia="Times New Roman" w:cs="Times New Roman"/>
          <w:lang w:eastAsia="de-DE"/>
        </w:rPr>
        <w:t>(Eingang) ist der öffentlich zugängliche Bereich.</w:t>
      </w:r>
    </w:p>
    <w:p w14:paraId="0BB2A785" w14:textId="6A241AE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זרק</w:t>
      </w:r>
      <w:r w:rsidRPr="0098037E">
        <w:rPr>
          <w:rFonts w:eastAsia="Times New Roman" w:cs="Times New Roman"/>
          <w:rtl/>
          <w:lang w:eastAsia="de-DE"/>
        </w:rPr>
        <w:t xml:space="preserve"> </w:t>
      </w:r>
      <w:r w:rsidRPr="0098037E">
        <w:rPr>
          <w:rFonts w:eastAsia="Times New Roman" w:cs="Times New Roman"/>
          <w:lang w:eastAsia="de-DE"/>
        </w:rPr>
        <w:t xml:space="preserve">(spritzen) des Blutes </w:t>
      </w:r>
      <w:r w:rsidRPr="0098037E">
        <w:rPr>
          <w:rFonts w:eastAsia="Times New Roman" w:cs="Times New Roman"/>
          <w:b/>
          <w:bCs/>
          <w:rtl/>
          <w:lang w:eastAsia="de-DE"/>
        </w:rPr>
        <w:t>סביב</w:t>
      </w:r>
      <w:r w:rsidRPr="0098037E">
        <w:rPr>
          <w:rFonts w:eastAsia="Times New Roman" w:cs="Times New Roman"/>
          <w:rtl/>
          <w:lang w:eastAsia="de-DE"/>
        </w:rPr>
        <w:t xml:space="preserve"> </w:t>
      </w:r>
      <w:r w:rsidRPr="0098037E">
        <w:rPr>
          <w:rFonts w:eastAsia="Times New Roman" w:cs="Times New Roman"/>
          <w:lang w:eastAsia="de-DE"/>
        </w:rPr>
        <w:t xml:space="preserve">(ringsum) ist identisch mit </w:t>
      </w:r>
      <w:r w:rsidR="00CF10E7">
        <w:rPr>
          <w:rFonts w:eastAsia="Times New Roman" w:cs="Times New Roman"/>
          <w:lang w:eastAsia="de-DE"/>
        </w:rPr>
        <w:t>Aufsteigeopfer</w:t>
      </w:r>
      <w:r w:rsidRPr="0098037E">
        <w:rPr>
          <w:rFonts w:eastAsia="Times New Roman" w:cs="Times New Roman"/>
          <w:lang w:eastAsia="de-DE"/>
        </w:rPr>
        <w:t xml:space="preserve">n und zeigt die universelle Bedeutung des Blutdienstes bei allen Schlachtopfern. </w:t>
      </w:r>
      <w:r w:rsidRPr="0098037E">
        <w:rPr>
          <w:rFonts w:eastAsia="Times New Roman" w:cs="Times New Roman"/>
          <w:b/>
          <w:bCs/>
          <w:rtl/>
          <w:lang w:eastAsia="de-DE"/>
        </w:rPr>
        <w:t>סביב</w:t>
      </w:r>
      <w:r w:rsidRPr="0098037E">
        <w:rPr>
          <w:rFonts w:eastAsia="Times New Roman" w:cs="Times New Roman"/>
          <w:rtl/>
          <w:lang w:eastAsia="de-DE"/>
        </w:rPr>
        <w:t xml:space="preserve"> </w:t>
      </w:r>
      <w:r w:rsidRPr="0098037E">
        <w:rPr>
          <w:rFonts w:eastAsia="Times New Roman" w:cs="Times New Roman"/>
          <w:lang w:eastAsia="de-DE"/>
        </w:rPr>
        <w:t>(ringsum) bedeutet an alle vier Seiten des Altars.</w:t>
      </w:r>
    </w:p>
    <w:p w14:paraId="5FD163A5" w14:textId="5A54A8B1"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fügt </w:t>
      </w:r>
      <w:proofErr w:type="spellStart"/>
      <w:r w:rsidR="005070BF">
        <w:t>τῶν</w:t>
      </w:r>
      <w:proofErr w:type="spellEnd"/>
      <w:r w:rsidR="005070BF">
        <w:t xml:space="preserve"> </w:t>
      </w:r>
      <w:proofErr w:type="spellStart"/>
      <w:r w:rsidR="005070BF">
        <w:t>ὁλοκ</w:t>
      </w:r>
      <w:proofErr w:type="spellEnd"/>
      <w:r w:rsidR="005070BF">
        <w:t xml:space="preserve">αυτωμάτων (der </w:t>
      </w:r>
      <w:r w:rsidR="00D61FEC">
        <w:t>Aufsteigeopfer</w:t>
      </w:r>
      <w:r w:rsidR="005070BF">
        <w:t xml:space="preserve">) nach </w:t>
      </w:r>
      <w:proofErr w:type="spellStart"/>
      <w:r w:rsidR="005070BF">
        <w:t>θυσι</w:t>
      </w:r>
      <w:proofErr w:type="spellEnd"/>
      <w:r w:rsidR="005070BF">
        <w:t xml:space="preserve">αστήριον hinzu, was eine spezifizierende Ergänzung ist, die im hebräischen Text fehlt. </w:t>
      </w:r>
      <w:r w:rsidR="004B5066">
        <w:t>Dies stellt ein textkritisches Problem dar: Entweder lag den LXX-Übersetzern eine erweiterte hebräische Vorlage vor, oder es handelt sich um eine sekundäre griechische Glosse zur liturgischen Präzisierung. Die Ergänzung fehlt in allen hebräischen Handschriften und ist daher wahrscheinlich nicht ursprünglich.</w:t>
      </w:r>
    </w:p>
    <w:p w14:paraId="7EE891F8" w14:textId="0A189E86"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drei koordinierte Hauptsätze mit Waw-Konsekutiv: Verb + Objekt + Präpositionalphrase // Verb + Objekt + Adverbialbestimmung // Verb + Subjekt + Objekt + Adverbialbestimmung. Die Struktur entspricht den </w:t>
      </w:r>
      <w:r w:rsidR="00CF10E7">
        <w:rPr>
          <w:rFonts w:eastAsia="Times New Roman" w:cs="Times New Roman"/>
          <w:lang w:eastAsia="de-DE"/>
        </w:rPr>
        <w:t>Aufsteigeopfer</w:t>
      </w:r>
      <w:r w:rsidRPr="0098037E">
        <w:rPr>
          <w:rFonts w:eastAsia="Times New Roman" w:cs="Times New Roman"/>
          <w:lang w:eastAsia="de-DE"/>
        </w:rPr>
        <w:t>n und zeigt rituell identische Anfangsschritte.</w:t>
      </w:r>
    </w:p>
    <w:p w14:paraId="3B34DFEA" w14:textId="4E5DD4F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etabliert die identischen Anfangsprozeduren für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wie bei </w:t>
      </w:r>
      <w:r w:rsidR="00CF10E7">
        <w:rPr>
          <w:rFonts w:eastAsia="Times New Roman" w:cs="Times New Roman"/>
          <w:lang w:eastAsia="de-DE"/>
        </w:rPr>
        <w:t>Aufsteigeopfer</w:t>
      </w:r>
      <w:r w:rsidRPr="0098037E">
        <w:rPr>
          <w:rFonts w:eastAsia="Times New Roman" w:cs="Times New Roman"/>
          <w:lang w:eastAsia="de-DE"/>
        </w:rPr>
        <w:t xml:space="preserve">n: </w:t>
      </w:r>
      <w:r w:rsidRPr="0098037E">
        <w:rPr>
          <w:rFonts w:eastAsia="Times New Roman" w:cs="Times New Roman"/>
          <w:b/>
          <w:bCs/>
          <w:rtl/>
          <w:lang w:eastAsia="de-DE"/>
        </w:rPr>
        <w:t>סמיכה</w:t>
      </w:r>
      <w:r w:rsidRPr="0098037E">
        <w:rPr>
          <w:rFonts w:eastAsia="Times New Roman" w:cs="Times New Roman"/>
          <w:lang w:eastAsia="de-DE"/>
        </w:rPr>
        <w:t>, Laienschlachtung und priesterlicher Blutdienst.</w:t>
      </w:r>
    </w:p>
    <w:p w14:paraId="767EE18E"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3,3</w:t>
      </w:r>
    </w:p>
    <w:p w14:paraId="7CA004B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וְהִקְרִיב֙ מִזֶּ֣בַח הַשְּׁלָמִ֔ים אִשֶּׁ֖ה לַיהוָ֑ה אֶת־הַחֵ֨לֶב֙ הַֽמְכַסֶּ֣ה אֶת־הַקֶּ֔רֶב וְאֵת֙ כָּל־הַחֵ֔לֶב אֲשֶׁ֖ר עַל־הַקֶּֽרֶב׃</w:t>
      </w:r>
    </w:p>
    <w:p w14:paraId="21E1AB5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von dem Friedensopfer ein Feueropfer dem Ewigen darbringen: Das Fett, welches das Eingeweide bedeckt, und alles Fett, das am Eingeweide ist,</w:t>
      </w:r>
    </w:p>
    <w:p w14:paraId="6976C766"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94D2AA7">
          <v:rect id="_x0000_i1060" style="width:0;height:1.5pt" o:hralign="center" o:hrstd="t" o:hr="t" fillcolor="#a0a0a0" stroked="f"/>
        </w:pict>
      </w:r>
    </w:p>
    <w:p w14:paraId="0CCC870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וְהִקְרִיב֙</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Singular. </w:t>
      </w:r>
      <w:r w:rsidRPr="0098037E">
        <w:rPr>
          <w:rFonts w:eastAsia="Times New Roman" w:cs="Times New Roman"/>
          <w:b/>
          <w:bCs/>
          <w:rtl/>
          <w:lang w:eastAsia="de-DE"/>
        </w:rPr>
        <w:t>מִזֶּ֣בַח הַשְּׁלָמִ֔ים</w:t>
      </w:r>
      <w:r w:rsidRPr="0098037E">
        <w:rPr>
          <w:rFonts w:eastAsia="Times New Roman" w:cs="Times New Roman"/>
          <w:rtl/>
          <w:lang w:eastAsia="de-DE"/>
        </w:rPr>
        <w:t xml:space="preserve"> </w:t>
      </w:r>
      <w:r w:rsidRPr="0098037E">
        <w:rPr>
          <w:rFonts w:eastAsia="Times New Roman" w:cs="Times New Roman"/>
          <w:lang w:eastAsia="de-DE"/>
        </w:rPr>
        <w:t xml:space="preserve">(vom Friedensopfer) zeigt partitive Herkunft - nur bestimmte </w:t>
      </w:r>
      <w:r w:rsidRPr="0098037E">
        <w:rPr>
          <w:rFonts w:eastAsia="Times New Roman" w:cs="Times New Roman"/>
          <w:lang w:eastAsia="de-DE"/>
        </w:rPr>
        <w:lastRenderedPageBreak/>
        <w:t xml:space="preserve">Teile werden als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(Feueropfer) dargebracht.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betont den theozentrischen Aspekt.</w:t>
      </w:r>
    </w:p>
    <w:p w14:paraId="33B90BFE" w14:textId="77777777" w:rsidR="00D47FD5" w:rsidRDefault="0098037E" w:rsidP="00D47FD5">
      <w:pPr>
        <w:spacing w:before="100" w:beforeAutospacing="1" w:after="100" w:afterAutospacing="1" w:line="240" w:lineRule="auto"/>
      </w:pPr>
      <w:r w:rsidRPr="0098037E">
        <w:rPr>
          <w:rFonts w:eastAsia="Times New Roman" w:cs="Times New Roman"/>
          <w:b/>
          <w:bCs/>
          <w:rtl/>
          <w:lang w:eastAsia="de-DE"/>
        </w:rPr>
        <w:t xml:space="preserve">אֶת־הַחֵ֨לֶב֙ הַֽמְכַסֶּ֣ה </w:t>
      </w:r>
      <w:r w:rsidR="00D47FD5">
        <w:t xml:space="preserve">Der fundamentale Unterschied zu </w:t>
      </w:r>
      <w:r w:rsidR="00D47FD5" w:rsidRPr="00D47FD5">
        <w:rPr>
          <w:b/>
          <w:bCs/>
          <w:rtl/>
        </w:rPr>
        <w:t>עֹלָה</w:t>
      </w:r>
      <w:r w:rsidR="00D47FD5">
        <w:t xml:space="preserve"> manifestiert sich hier: Nur spezifische Organe werden als </w:t>
      </w:r>
      <w:r w:rsidR="00D47FD5" w:rsidRPr="00D47FD5">
        <w:rPr>
          <w:b/>
          <w:bCs/>
          <w:rtl/>
        </w:rPr>
        <w:t>אִשֶּׁה</w:t>
      </w:r>
      <w:r w:rsidR="00D47FD5">
        <w:t xml:space="preserve"> verbrannt. </w:t>
      </w:r>
      <w:r w:rsidR="00D47FD5">
        <w:rPr>
          <w:rtl/>
        </w:rPr>
        <w:t>חֵלֶב</w:t>
      </w:r>
      <w:r w:rsidR="00D47FD5">
        <w:t xml:space="preserve"> (inneres Fett) umfasst das Eingeweidefett (</w:t>
      </w:r>
      <w:r w:rsidR="00D47FD5" w:rsidRPr="00D47FD5">
        <w:rPr>
          <w:b/>
          <w:bCs/>
          <w:rtl/>
        </w:rPr>
        <w:t>המכסה את־הקרב</w:t>
      </w:r>
      <w:r w:rsidR="00D47FD5">
        <w:t xml:space="preserve">) und anhaftendes Fett </w:t>
      </w:r>
      <w:r w:rsidR="00D47FD5" w:rsidRPr="00D47FD5">
        <w:rPr>
          <w:b/>
          <w:bCs/>
          <w:rtl/>
        </w:rPr>
        <w:t>(אשר על־הקרב)</w:t>
      </w:r>
      <w:r w:rsidR="00D47FD5" w:rsidRPr="00D47FD5">
        <w:rPr>
          <w:rtl/>
        </w:rPr>
        <w:t>.</w:t>
      </w:r>
      <w:r w:rsidR="00D47FD5" w:rsidRPr="00D47FD5">
        <w:rPr>
          <w:b/>
          <w:bCs/>
          <w:rtl/>
        </w:rPr>
        <w:t xml:space="preserve"> כְּלָיוֹת</w:t>
      </w:r>
      <w:r w:rsidR="00D47FD5">
        <w:t xml:space="preserve"> (Nieren) gelten als Sitz der Emotionen. </w:t>
      </w:r>
      <w:r w:rsidR="00D47FD5" w:rsidRPr="00D47FD5">
        <w:rPr>
          <w:b/>
          <w:bCs/>
          <w:rtl/>
        </w:rPr>
        <w:t>יֹתֶרֶת</w:t>
      </w:r>
      <w:r w:rsidR="00D47FD5">
        <w:rPr>
          <w:rtl/>
        </w:rPr>
        <w:t xml:space="preserve"> </w:t>
      </w:r>
      <w:r w:rsidR="00D47FD5" w:rsidRPr="00D47FD5">
        <w:rPr>
          <w:b/>
          <w:bCs/>
          <w:rtl/>
        </w:rPr>
        <w:t>עַל־הַכָּבֵד</w:t>
      </w:r>
      <w:r w:rsidR="00D47FD5">
        <w:t xml:space="preserve"> bezeichnet wahrscheinlich den Processus caudatus der Leber, basierend auf mesopotamischen Parallelen und archäozoologischen Befunden.</w:t>
      </w:r>
    </w:p>
    <w:p w14:paraId="1478780D" w14:textId="1C318B48" w:rsidR="0098037E" w:rsidRPr="0098037E" w:rsidRDefault="0098037E" w:rsidP="00D47FD5">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וְאֵת֙ כָּל־הַחֵ֔לֶב אֲשֶׁ֖ר עַל־הַקֶּֽרֶב</w:t>
      </w:r>
      <w:r w:rsidRPr="0098037E">
        <w:rPr>
          <w:rFonts w:eastAsia="Times New Roman" w:cs="Times New Roman"/>
          <w:rtl/>
          <w:lang w:eastAsia="de-DE"/>
        </w:rPr>
        <w:t xml:space="preserve"> </w:t>
      </w:r>
      <w:r w:rsidRPr="0098037E">
        <w:rPr>
          <w:rFonts w:eastAsia="Times New Roman" w:cs="Times New Roman"/>
          <w:lang w:eastAsia="de-DE"/>
        </w:rPr>
        <w:t xml:space="preserve">(und alles Fett, das auf den Eingeweiden ist) erweitert die Bestimmung auf alles </w:t>
      </w:r>
      <w:r w:rsidRPr="0098037E">
        <w:rPr>
          <w:rFonts w:eastAsia="Times New Roman" w:cs="Times New Roman"/>
          <w:b/>
          <w:bCs/>
          <w:rtl/>
          <w:lang w:eastAsia="de-DE"/>
        </w:rPr>
        <w:t>חֵלֶב</w:t>
      </w:r>
      <w:r w:rsidRPr="0098037E">
        <w:rPr>
          <w:rFonts w:eastAsia="Times New Roman" w:cs="Times New Roman"/>
          <w:rtl/>
          <w:lang w:eastAsia="de-DE"/>
        </w:rPr>
        <w:t xml:space="preserve"> </w:t>
      </w:r>
      <w:r w:rsidRPr="0098037E">
        <w:rPr>
          <w:rFonts w:eastAsia="Times New Roman" w:cs="Times New Roman"/>
          <w:lang w:eastAsia="de-DE"/>
        </w:rPr>
        <w:t xml:space="preserve">am </w:t>
      </w:r>
      <w:r w:rsidRPr="0098037E">
        <w:rPr>
          <w:rFonts w:eastAsia="Times New Roman" w:cs="Times New Roman"/>
          <w:b/>
          <w:bCs/>
          <w:rtl/>
          <w:lang w:eastAsia="de-DE"/>
        </w:rPr>
        <w:t>קֶרֶב</w:t>
      </w:r>
      <w:r w:rsidRPr="0098037E">
        <w:rPr>
          <w:rFonts w:eastAsia="Times New Roman" w:cs="Times New Roman"/>
          <w:lang w:eastAsia="de-DE"/>
        </w:rPr>
        <w:t xml:space="preserve">. </w:t>
      </w:r>
      <w:r w:rsidRPr="0098037E">
        <w:rPr>
          <w:rFonts w:eastAsia="Times New Roman" w:cs="Times New Roman"/>
          <w:b/>
          <w:bCs/>
          <w:rtl/>
          <w:lang w:eastAsia="de-DE"/>
        </w:rPr>
        <w:t>כל</w:t>
      </w:r>
      <w:r w:rsidRPr="0098037E">
        <w:rPr>
          <w:rFonts w:eastAsia="Times New Roman" w:cs="Times New Roman"/>
          <w:rtl/>
          <w:lang w:eastAsia="de-DE"/>
        </w:rPr>
        <w:t xml:space="preserve"> </w:t>
      </w:r>
      <w:r w:rsidRPr="0098037E">
        <w:rPr>
          <w:rFonts w:eastAsia="Times New Roman" w:cs="Times New Roman"/>
          <w:lang w:eastAsia="de-DE"/>
        </w:rPr>
        <w:t xml:space="preserve">(alles) betont die Vollständigkeit, </w:t>
      </w:r>
      <w:r w:rsidRPr="0098037E">
        <w:rPr>
          <w:rFonts w:eastAsia="Times New Roman" w:cs="Times New Roman"/>
          <w:b/>
          <w:bCs/>
          <w:rtl/>
          <w:lang w:eastAsia="de-DE"/>
        </w:rPr>
        <w:t>אֲשֶׁר</w:t>
      </w:r>
      <w:r w:rsidRPr="0098037E">
        <w:rPr>
          <w:rFonts w:eastAsia="Times New Roman" w:cs="Times New Roman"/>
          <w:rtl/>
          <w:lang w:eastAsia="de-DE"/>
        </w:rPr>
        <w:t xml:space="preserve"> </w:t>
      </w:r>
      <w:r w:rsidRPr="0098037E">
        <w:rPr>
          <w:rFonts w:eastAsia="Times New Roman" w:cs="Times New Roman"/>
          <w:lang w:eastAsia="de-DE"/>
        </w:rPr>
        <w:t>(welches) leitet einen Relativsatz ein.</w:t>
      </w:r>
    </w:p>
    <w:p w14:paraId="6CA23CFF" w14:textId="40D7AB44"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entscheidende Unterschied zu </w:t>
      </w:r>
      <w:r w:rsidR="00CF10E7">
        <w:rPr>
          <w:rFonts w:eastAsia="Times New Roman" w:cs="Times New Roman"/>
          <w:lang w:eastAsia="de-DE"/>
        </w:rPr>
        <w:t>Aufsteigeopfer</w:t>
      </w:r>
      <w:r w:rsidRPr="0098037E">
        <w:rPr>
          <w:rFonts w:eastAsia="Times New Roman" w:cs="Times New Roman"/>
          <w:lang w:eastAsia="de-DE"/>
        </w:rPr>
        <w:t xml:space="preserve">n: Bei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wird das ganze Tier verbrannt, bei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nur das </w:t>
      </w:r>
      <w:r w:rsidRPr="0098037E">
        <w:rPr>
          <w:rFonts w:eastAsia="Times New Roman" w:cs="Times New Roman"/>
          <w:b/>
          <w:bCs/>
          <w:rtl/>
          <w:lang w:eastAsia="de-DE"/>
        </w:rPr>
        <w:t>חֵלֶב</w:t>
      </w:r>
      <w:r w:rsidRPr="0098037E">
        <w:rPr>
          <w:rFonts w:eastAsia="Times New Roman" w:cs="Times New Roman"/>
          <w:rtl/>
          <w:lang w:eastAsia="de-DE"/>
        </w:rPr>
        <w:t xml:space="preserve"> </w:t>
      </w:r>
      <w:r w:rsidRPr="0098037E">
        <w:rPr>
          <w:rFonts w:eastAsia="Times New Roman" w:cs="Times New Roman"/>
          <w:lang w:eastAsia="de-DE"/>
        </w:rPr>
        <w:t xml:space="preserve">(Fett) und andere spezifische Organe. </w:t>
      </w:r>
      <w:r w:rsidRPr="0098037E">
        <w:rPr>
          <w:rFonts w:eastAsia="Times New Roman" w:cs="Times New Roman"/>
          <w:b/>
          <w:bCs/>
          <w:rtl/>
          <w:lang w:eastAsia="de-DE"/>
        </w:rPr>
        <w:t>חֵלֶב</w:t>
      </w:r>
      <w:r w:rsidRPr="0098037E">
        <w:rPr>
          <w:rFonts w:eastAsia="Times New Roman" w:cs="Times New Roman"/>
          <w:rtl/>
          <w:lang w:eastAsia="de-DE"/>
        </w:rPr>
        <w:t xml:space="preserve"> </w:t>
      </w:r>
      <w:r w:rsidRPr="0098037E">
        <w:rPr>
          <w:rFonts w:eastAsia="Times New Roman" w:cs="Times New Roman"/>
          <w:lang w:eastAsia="de-DE"/>
        </w:rPr>
        <w:t>gilt als der wertvollste, Gott vorbehaltene Teil.</w:t>
      </w:r>
    </w:p>
    <w:p w14:paraId="270AFE4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מְכַסֶּה אֶת־הַקֶּרֶב</w:t>
      </w:r>
      <w:r w:rsidRPr="0098037E">
        <w:rPr>
          <w:rFonts w:eastAsia="Times New Roman" w:cs="Times New Roman"/>
          <w:rtl/>
          <w:lang w:eastAsia="de-DE"/>
        </w:rPr>
        <w:t xml:space="preserve"> </w:t>
      </w:r>
      <w:r w:rsidRPr="0098037E">
        <w:rPr>
          <w:rFonts w:eastAsia="Times New Roman" w:cs="Times New Roman"/>
          <w:lang w:eastAsia="de-DE"/>
        </w:rPr>
        <w:t xml:space="preserve">(das die Eingeweide bedeckt) bezeichnet das </w:t>
      </w:r>
      <w:r w:rsidRPr="0098037E">
        <w:rPr>
          <w:rFonts w:eastAsia="Times New Roman" w:cs="Times New Roman"/>
          <w:b/>
          <w:bCs/>
          <w:rtl/>
          <w:lang w:eastAsia="de-DE"/>
        </w:rPr>
        <w:t>חֵלֶב הַקֶּרֶב</w:t>
      </w:r>
      <w:r w:rsidRPr="0098037E">
        <w:rPr>
          <w:rFonts w:eastAsia="Times New Roman" w:cs="Times New Roman"/>
          <w:rtl/>
          <w:lang w:eastAsia="de-DE"/>
        </w:rPr>
        <w:t xml:space="preserve"> </w:t>
      </w:r>
      <w:r w:rsidRPr="0098037E">
        <w:rPr>
          <w:rFonts w:eastAsia="Times New Roman" w:cs="Times New Roman"/>
          <w:lang w:eastAsia="de-DE"/>
        </w:rPr>
        <w:t xml:space="preserve">(Eingeweidefett), das Netz- und Gekrösefett. </w:t>
      </w:r>
      <w:r w:rsidRPr="0098037E">
        <w:rPr>
          <w:rFonts w:eastAsia="Times New Roman" w:cs="Times New Roman"/>
          <w:b/>
          <w:bCs/>
          <w:rtl/>
          <w:lang w:eastAsia="de-DE"/>
        </w:rPr>
        <w:t>עַל־הַקֶּֽרֶב</w:t>
      </w:r>
      <w:r w:rsidRPr="0098037E">
        <w:rPr>
          <w:rFonts w:eastAsia="Times New Roman" w:cs="Times New Roman"/>
          <w:rtl/>
          <w:lang w:eastAsia="de-DE"/>
        </w:rPr>
        <w:t xml:space="preserve"> </w:t>
      </w:r>
      <w:r w:rsidRPr="0098037E">
        <w:rPr>
          <w:rFonts w:eastAsia="Times New Roman" w:cs="Times New Roman"/>
          <w:lang w:eastAsia="de-DE"/>
        </w:rPr>
        <w:t>(auf den Eingeweiden) bezeichnet das anhaftende Fett an Darm und anderen Organen.</w:t>
      </w:r>
    </w:p>
    <w:p w14:paraId="6BC96BD0" w14:textId="0DAF1350"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FD4959">
        <w:t xml:space="preserve">verwendet </w:t>
      </w:r>
      <w:proofErr w:type="spellStart"/>
      <w:r w:rsidR="00FD4959">
        <w:t>κάρ</w:t>
      </w:r>
      <w:proofErr w:type="spellEnd"/>
      <w:r w:rsidR="00FD4959">
        <w:t xml:space="preserve">πωμα </w:t>
      </w:r>
      <w:proofErr w:type="spellStart"/>
      <w:r w:rsidR="00FD4959">
        <w:t>κυρίῳ</w:t>
      </w:r>
      <w:proofErr w:type="spellEnd"/>
      <w:r w:rsidR="00FD4959">
        <w:t xml:space="preserve"> (Fruchtopfer für den Herrn) für </w:t>
      </w:r>
      <w:r w:rsidR="00FD4959">
        <w:rPr>
          <w:rtl/>
        </w:rPr>
        <w:t>אשה ליהוה</w:t>
      </w:r>
      <w:r w:rsidR="00FD4959">
        <w:t xml:space="preserve"> (Feueropfer für YHWH), was die "Frucht"-Interpretation des Opfers fortsetzt.</w:t>
      </w:r>
    </w:p>
    <w:p w14:paraId="293A071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Hauptsatz: Verb + Präpositionalphrase + Objekt + Dativangabe + komplexes direktes Objekt mit Relativsatz. Das direkte Objekt ist durch zwei koordinierte Fettbeschreibungen erweitert.</w:t>
      </w:r>
    </w:p>
    <w:p w14:paraId="322EF95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beginnt die Spezifizierung der bei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zu verbrennenden Teile und zeigt die partielle Natur dieser Opferart im Unterschied zu den vollständig verbrannten </w:t>
      </w:r>
      <w:r w:rsidRPr="0098037E">
        <w:rPr>
          <w:rFonts w:eastAsia="Times New Roman" w:cs="Times New Roman"/>
          <w:b/>
          <w:bCs/>
          <w:rtl/>
          <w:lang w:eastAsia="de-DE"/>
        </w:rPr>
        <w:t>עֹלָה</w:t>
      </w:r>
      <w:r w:rsidRPr="0098037E">
        <w:rPr>
          <w:rFonts w:eastAsia="Times New Roman" w:cs="Times New Roman"/>
          <w:lang w:eastAsia="de-DE"/>
        </w:rPr>
        <w:t>.</w:t>
      </w:r>
    </w:p>
    <w:p w14:paraId="4F212FD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3,4</w:t>
      </w:r>
    </w:p>
    <w:p w14:paraId="47360B4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וְאֵת֙ שְׁתֵּ֣י הַכְּלָיֹ֔ת וְאֶת־הַחֵ֨לֶב֙ אֲשֶׁ֣ר עֲלֵהֶ֔ן אֲשֶׁ֖ר עַל־הַכְּסָלִ֑ים וְאֶת־הַיֹּתֶ֨רֶת֙ עַל־הַכָּבֵ֔ד עַל־הַכְּלָי֖וֹת יְסִירֶֽנָּה׃</w:t>
      </w:r>
    </w:p>
    <w:p w14:paraId="7F5B5C0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beiden Nieren und das Fett, das an ihnen, das an den Lenden ist, und das Netz über der Leber: Samt den Nieren soll er es abtrennen.</w:t>
      </w:r>
    </w:p>
    <w:p w14:paraId="6EE6BCC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406A1672">
          <v:rect id="_x0000_i1061" style="width:0;height:1.5pt" o:hralign="center" o:hrstd="t" o:hr="t" fillcolor="#a0a0a0" stroked="f"/>
        </w:pict>
      </w:r>
    </w:p>
    <w:p w14:paraId="24E513B5" w14:textId="3BB44EB3"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וְאֵת֙ שְׁתֵּ֣י הַכְּלָיֹ֔ת</w:t>
      </w:r>
      <w:r w:rsidRPr="0098037E">
        <w:rPr>
          <w:rFonts w:eastAsia="Times New Roman" w:cs="Times New Roman"/>
          <w:rtl/>
          <w:lang w:eastAsia="de-DE"/>
        </w:rPr>
        <w:t xml:space="preserve"> </w:t>
      </w:r>
      <w:r w:rsidRPr="0098037E">
        <w:rPr>
          <w:rFonts w:eastAsia="Times New Roman" w:cs="Times New Roman"/>
          <w:lang w:eastAsia="de-DE"/>
        </w:rPr>
        <w:t xml:space="preserve">(und die beiden Nieren) führt das zweite zu verbrennende Organ ein. </w:t>
      </w:r>
      <w:r w:rsidRPr="0098037E">
        <w:rPr>
          <w:rFonts w:eastAsia="Times New Roman" w:cs="Times New Roman"/>
          <w:b/>
          <w:bCs/>
          <w:rtl/>
          <w:lang w:eastAsia="de-DE"/>
        </w:rPr>
        <w:t>שְׁתֵּי</w:t>
      </w:r>
      <w:r w:rsidRPr="0098037E">
        <w:rPr>
          <w:rFonts w:eastAsia="Times New Roman" w:cs="Times New Roman"/>
          <w:rtl/>
          <w:lang w:eastAsia="de-DE"/>
        </w:rPr>
        <w:t xml:space="preserve"> </w:t>
      </w:r>
      <w:r w:rsidRPr="0098037E">
        <w:rPr>
          <w:rFonts w:eastAsia="Times New Roman" w:cs="Times New Roman"/>
          <w:lang w:eastAsia="de-DE"/>
        </w:rPr>
        <w:t xml:space="preserve">(zwei) im Dual </w:t>
      </w:r>
      <w:r w:rsidR="005407E2">
        <w:rPr>
          <w:rFonts w:eastAsia="Times New Roman" w:cs="Times New Roman"/>
          <w:lang w:eastAsia="de-DE"/>
        </w:rPr>
        <w:t>Constructus</w:t>
      </w:r>
      <w:r w:rsidRPr="0098037E">
        <w:rPr>
          <w:rFonts w:eastAsia="Times New Roman" w:cs="Times New Roman"/>
          <w:lang w:eastAsia="de-DE"/>
        </w:rPr>
        <w:t xml:space="preserve">, </w:t>
      </w:r>
      <w:r w:rsidRPr="0098037E">
        <w:rPr>
          <w:rFonts w:eastAsia="Times New Roman" w:cs="Times New Roman"/>
          <w:b/>
          <w:bCs/>
          <w:rtl/>
          <w:lang w:eastAsia="de-DE"/>
        </w:rPr>
        <w:t>כִּלְיָה</w:t>
      </w:r>
      <w:r w:rsidRPr="0098037E">
        <w:rPr>
          <w:rFonts w:eastAsia="Times New Roman" w:cs="Times New Roman"/>
          <w:rtl/>
          <w:lang w:eastAsia="de-DE"/>
        </w:rPr>
        <w:t xml:space="preserve"> </w:t>
      </w:r>
      <w:r w:rsidRPr="0098037E">
        <w:rPr>
          <w:rFonts w:eastAsia="Times New Roman" w:cs="Times New Roman"/>
          <w:lang w:eastAsia="de-DE"/>
        </w:rPr>
        <w:t>(Niere) bezeichnet sowohl das anatomische Organ als auch symbolisch das Innerste des Menschen.</w:t>
      </w:r>
    </w:p>
    <w:p w14:paraId="0331D283" w14:textId="6F0C8A62"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וְאֶת־הַחֵ֨לֶב֙ אֲשֶׁ֣ר עֲלֵהֶ֔ן</w:t>
      </w:r>
      <w:r w:rsidRPr="0098037E">
        <w:rPr>
          <w:rFonts w:eastAsia="Times New Roman" w:cs="Times New Roman"/>
          <w:rtl/>
          <w:lang w:eastAsia="de-DE"/>
        </w:rPr>
        <w:t xml:space="preserve"> </w:t>
      </w:r>
      <w:r w:rsidRPr="0098037E">
        <w:rPr>
          <w:rFonts w:eastAsia="Times New Roman" w:cs="Times New Roman"/>
          <w:lang w:eastAsia="de-DE"/>
        </w:rPr>
        <w:t xml:space="preserve">(und das Fett, das auf ihnen ist) spezifiziert das Nierenfett. </w:t>
      </w:r>
      <w:r w:rsidRPr="0098037E">
        <w:rPr>
          <w:rFonts w:eastAsia="Times New Roman" w:cs="Times New Roman"/>
          <w:b/>
          <w:bCs/>
          <w:rtl/>
          <w:lang w:eastAsia="de-DE"/>
        </w:rPr>
        <w:t>עֲלֵהֶ֔ן</w:t>
      </w:r>
      <w:r w:rsidRPr="0098037E">
        <w:rPr>
          <w:rFonts w:eastAsia="Times New Roman" w:cs="Times New Roman"/>
          <w:rtl/>
          <w:lang w:eastAsia="de-DE"/>
        </w:rPr>
        <w:t xml:space="preserve"> </w:t>
      </w:r>
      <w:r w:rsidRPr="0098037E">
        <w:rPr>
          <w:rFonts w:eastAsia="Times New Roman" w:cs="Times New Roman"/>
          <w:lang w:eastAsia="de-DE"/>
        </w:rPr>
        <w:t xml:space="preserve">(auf ihnen) mit </w:t>
      </w:r>
      <w:r w:rsidR="00E35C31">
        <w:rPr>
          <w:rFonts w:eastAsia="Times New Roman" w:cs="Times New Roman"/>
          <w:lang w:eastAsia="de-DE"/>
        </w:rPr>
        <w:t>femininem</w:t>
      </w:r>
      <w:r w:rsidRPr="0098037E">
        <w:rPr>
          <w:rFonts w:eastAsia="Times New Roman" w:cs="Times New Roman"/>
          <w:lang w:eastAsia="de-DE"/>
        </w:rPr>
        <w:t xml:space="preserve"> Dual-Suffix bezieht sich auf </w:t>
      </w:r>
      <w:r w:rsidRPr="0098037E">
        <w:rPr>
          <w:rFonts w:eastAsia="Times New Roman" w:cs="Times New Roman"/>
          <w:b/>
          <w:bCs/>
          <w:rtl/>
          <w:lang w:eastAsia="de-DE"/>
        </w:rPr>
        <w:t>כְּלָיוֹת</w:t>
      </w:r>
      <w:r w:rsidRPr="0098037E">
        <w:rPr>
          <w:rFonts w:eastAsia="Times New Roman" w:cs="Times New Roman"/>
          <w:rtl/>
          <w:lang w:eastAsia="de-DE"/>
        </w:rPr>
        <w:t xml:space="preserve"> </w:t>
      </w:r>
      <w:r w:rsidRPr="0098037E">
        <w:rPr>
          <w:rFonts w:eastAsia="Times New Roman" w:cs="Times New Roman"/>
          <w:lang w:eastAsia="de-DE"/>
        </w:rPr>
        <w:t xml:space="preserve">zurück. </w:t>
      </w:r>
      <w:r w:rsidRPr="0098037E">
        <w:rPr>
          <w:rFonts w:eastAsia="Times New Roman" w:cs="Times New Roman"/>
          <w:b/>
          <w:bCs/>
          <w:rtl/>
          <w:lang w:eastAsia="de-DE"/>
        </w:rPr>
        <w:t>אֲשֶׁ֖ר עַל־הַכְּסָלִ֑ים</w:t>
      </w:r>
      <w:r w:rsidRPr="0098037E">
        <w:rPr>
          <w:rFonts w:eastAsia="Times New Roman" w:cs="Times New Roman"/>
          <w:rtl/>
          <w:lang w:eastAsia="de-DE"/>
        </w:rPr>
        <w:t xml:space="preserve"> </w:t>
      </w:r>
      <w:r w:rsidRPr="0098037E">
        <w:rPr>
          <w:rFonts w:eastAsia="Times New Roman" w:cs="Times New Roman"/>
          <w:lang w:eastAsia="de-DE"/>
        </w:rPr>
        <w:t xml:space="preserve">(das an den Lenden ist) lokalisiert das Fett präziser. </w:t>
      </w:r>
      <w:r w:rsidRPr="0098037E">
        <w:rPr>
          <w:rFonts w:eastAsia="Times New Roman" w:cs="Times New Roman"/>
          <w:b/>
          <w:bCs/>
          <w:rtl/>
          <w:lang w:eastAsia="de-DE"/>
        </w:rPr>
        <w:t>כְּסָלִים</w:t>
      </w:r>
      <w:r w:rsidRPr="0098037E">
        <w:rPr>
          <w:rFonts w:eastAsia="Times New Roman" w:cs="Times New Roman"/>
          <w:rtl/>
          <w:lang w:eastAsia="de-DE"/>
        </w:rPr>
        <w:t xml:space="preserve"> </w:t>
      </w:r>
      <w:r w:rsidRPr="0098037E">
        <w:rPr>
          <w:rFonts w:eastAsia="Times New Roman" w:cs="Times New Roman"/>
          <w:lang w:eastAsia="de-DE"/>
        </w:rPr>
        <w:t>(Lenden/Hüften) bezeichnet die Lendengegend.</w:t>
      </w:r>
    </w:p>
    <w:p w14:paraId="388058C7" w14:textId="75019689" w:rsidR="0098037E" w:rsidRPr="0098037E" w:rsidRDefault="00F163D7" w:rsidP="0098037E">
      <w:pPr>
        <w:spacing w:before="100" w:beforeAutospacing="1" w:after="100" w:afterAutospacing="1" w:line="240" w:lineRule="auto"/>
        <w:rPr>
          <w:rFonts w:eastAsia="Times New Roman" w:cs="Times New Roman"/>
          <w:lang w:eastAsia="de-DE"/>
        </w:rPr>
      </w:pPr>
      <w:r w:rsidRPr="00F163D7">
        <w:rPr>
          <w:b/>
          <w:bCs/>
          <w:rtl/>
        </w:rPr>
        <w:lastRenderedPageBreak/>
        <w:t>יֹתֶרֶת עַל־הַכָּבֵד</w:t>
      </w:r>
      <w:r>
        <w:t xml:space="preserve"> bezeichnet wahrscheinlich den Processus caudatus der Leber, basierend auf mesopotamischen Parallelen und archäozoologischen Befunden. Allerdings bleibt die exakte anatomische Identifikation in der Forschung umstritten - alternative Deutungen umfassen die Gallenblase oder spezifische Fettpartien der Leber. Die hier vertretene Processus caudatus-Hypothese stützt sich auf Vergleiche mit akkadischen Opfertexten und entspricht der rabbinischen Tradition (</w:t>
      </w:r>
      <w:r w:rsidRPr="00F163D7">
        <w:rPr>
          <w:b/>
          <w:bCs/>
          <w:rtl/>
        </w:rPr>
        <w:t>תרגום אונקלוס: יתר כבדא</w:t>
      </w:r>
      <w:r>
        <w:t>).</w:t>
      </w:r>
      <w:r w:rsidR="0098037E" w:rsidRPr="0098037E">
        <w:rPr>
          <w:rFonts w:eastAsia="Times New Roman" w:cs="Times New Roman"/>
          <w:b/>
          <w:bCs/>
          <w:rtl/>
          <w:lang w:eastAsia="de-DE"/>
        </w:rPr>
        <w:t>עַל־הַכְּלָי֖וֹת יְסִירֶֽנָּה</w:t>
      </w:r>
      <w:r w:rsidR="0098037E" w:rsidRPr="0098037E">
        <w:rPr>
          <w:rFonts w:eastAsia="Times New Roman" w:cs="Times New Roman"/>
          <w:rtl/>
          <w:lang w:eastAsia="de-DE"/>
        </w:rPr>
        <w:t xml:space="preserve"> </w:t>
      </w:r>
      <w:r w:rsidR="0098037E" w:rsidRPr="0098037E">
        <w:rPr>
          <w:rFonts w:eastAsia="Times New Roman" w:cs="Times New Roman"/>
          <w:lang w:eastAsia="de-DE"/>
        </w:rPr>
        <w:t xml:space="preserve">(samt den Nieren soll er es abtrennen) zeigt das Verfahren. </w:t>
      </w:r>
      <w:r w:rsidR="0098037E" w:rsidRPr="0098037E">
        <w:rPr>
          <w:rFonts w:eastAsia="Times New Roman" w:cs="Times New Roman"/>
          <w:b/>
          <w:bCs/>
          <w:rtl/>
          <w:lang w:eastAsia="de-DE"/>
        </w:rPr>
        <w:t>יְסִירֶֽנָּה</w:t>
      </w:r>
      <w:r w:rsidR="0098037E" w:rsidRPr="0098037E">
        <w:rPr>
          <w:rFonts w:eastAsia="Times New Roman" w:cs="Times New Roman"/>
          <w:rtl/>
          <w:lang w:eastAsia="de-DE"/>
        </w:rPr>
        <w:t xml:space="preserve"> </w:t>
      </w:r>
      <w:r w:rsidR="0098037E" w:rsidRPr="0098037E">
        <w:rPr>
          <w:rFonts w:eastAsia="Times New Roman" w:cs="Times New Roman"/>
          <w:lang w:eastAsia="de-DE"/>
        </w:rPr>
        <w:t xml:space="preserve">ist Hifil-Imperfekt 3. Person maskulin Singular von </w:t>
      </w:r>
      <w:r w:rsidR="0098037E" w:rsidRPr="0098037E">
        <w:rPr>
          <w:rFonts w:eastAsia="Times New Roman" w:cs="Times New Roman"/>
          <w:b/>
          <w:bCs/>
          <w:rtl/>
          <w:lang w:eastAsia="de-DE"/>
        </w:rPr>
        <w:t>סור</w:t>
      </w:r>
      <w:r w:rsidR="0098037E" w:rsidRPr="0098037E">
        <w:rPr>
          <w:rFonts w:eastAsia="Times New Roman" w:cs="Times New Roman"/>
          <w:rtl/>
          <w:lang w:eastAsia="de-DE"/>
        </w:rPr>
        <w:t xml:space="preserve"> </w:t>
      </w:r>
      <w:r w:rsidR="0098037E" w:rsidRPr="0098037E">
        <w:rPr>
          <w:rFonts w:eastAsia="Times New Roman" w:cs="Times New Roman"/>
          <w:lang w:eastAsia="de-DE"/>
        </w:rPr>
        <w:t xml:space="preserve">(entfernen) mit </w:t>
      </w:r>
      <w:r w:rsidR="00E35C31">
        <w:rPr>
          <w:rFonts w:eastAsia="Times New Roman" w:cs="Times New Roman"/>
          <w:lang w:eastAsia="de-DE"/>
        </w:rPr>
        <w:t>femininem</w:t>
      </w:r>
      <w:r w:rsidR="0098037E" w:rsidRPr="0098037E">
        <w:rPr>
          <w:rFonts w:eastAsia="Times New Roman" w:cs="Times New Roman"/>
          <w:lang w:eastAsia="de-DE"/>
        </w:rPr>
        <w:t xml:space="preserve"> Objektsuffix 3. Person Singular, bezogen auf </w:t>
      </w:r>
      <w:r w:rsidR="0098037E" w:rsidRPr="0098037E">
        <w:rPr>
          <w:rFonts w:eastAsia="Times New Roman" w:cs="Times New Roman"/>
          <w:b/>
          <w:bCs/>
          <w:rtl/>
          <w:lang w:eastAsia="de-DE"/>
        </w:rPr>
        <w:t>יֹתֶרֶת</w:t>
      </w:r>
      <w:r w:rsidR="0098037E" w:rsidRPr="0098037E">
        <w:rPr>
          <w:rFonts w:eastAsia="Times New Roman" w:cs="Times New Roman"/>
          <w:lang w:eastAsia="de-DE"/>
        </w:rPr>
        <w:t>.</w:t>
      </w:r>
    </w:p>
    <w:p w14:paraId="2EDA8F7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כְּלָיוֹת</w:t>
      </w:r>
      <w:r w:rsidRPr="0098037E">
        <w:rPr>
          <w:rFonts w:eastAsia="Times New Roman" w:cs="Times New Roman"/>
          <w:rtl/>
          <w:lang w:eastAsia="de-DE"/>
        </w:rPr>
        <w:t xml:space="preserve"> </w:t>
      </w:r>
      <w:r w:rsidRPr="0098037E">
        <w:rPr>
          <w:rFonts w:eastAsia="Times New Roman" w:cs="Times New Roman"/>
          <w:lang w:eastAsia="de-DE"/>
        </w:rPr>
        <w:t xml:space="preserve">(Nieren) gelten in der hebräischen Anthropologie als Sitz der Emotionen und des Gewissens. </w:t>
      </w:r>
      <w:r w:rsidRPr="0098037E">
        <w:rPr>
          <w:rFonts w:eastAsia="Times New Roman" w:cs="Times New Roman"/>
          <w:b/>
          <w:bCs/>
          <w:rtl/>
          <w:lang w:eastAsia="de-DE"/>
        </w:rPr>
        <w:t>יֹתֶרֶת עַל־הַכָּבֵד</w:t>
      </w:r>
      <w:r w:rsidRPr="0098037E">
        <w:rPr>
          <w:rFonts w:eastAsia="Times New Roman" w:cs="Times New Roman"/>
          <w:rtl/>
          <w:lang w:eastAsia="de-DE"/>
        </w:rPr>
        <w:t xml:space="preserve"> </w:t>
      </w:r>
      <w:r w:rsidRPr="0098037E">
        <w:rPr>
          <w:rFonts w:eastAsia="Times New Roman" w:cs="Times New Roman"/>
          <w:lang w:eastAsia="de-DE"/>
        </w:rPr>
        <w:t>ist anatomisch umstritten: möglicherweise der Leberlappen, die Gallenblase oder ein Fettteil der Leber.</w:t>
      </w:r>
    </w:p>
    <w:p w14:paraId="11BE21B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סור</w:t>
      </w:r>
      <w:r w:rsidRPr="0098037E">
        <w:rPr>
          <w:rFonts w:eastAsia="Times New Roman" w:cs="Times New Roman"/>
          <w:rtl/>
          <w:lang w:eastAsia="de-DE"/>
        </w:rPr>
        <w:t xml:space="preserve"> </w:t>
      </w:r>
      <w:r w:rsidRPr="0098037E">
        <w:rPr>
          <w:rFonts w:eastAsia="Times New Roman" w:cs="Times New Roman"/>
          <w:lang w:eastAsia="de-DE"/>
        </w:rPr>
        <w:t>(entfernen) im Hifil (</w:t>
      </w:r>
      <w:r w:rsidRPr="0098037E">
        <w:rPr>
          <w:rFonts w:eastAsia="Times New Roman" w:cs="Times New Roman"/>
          <w:b/>
          <w:bCs/>
          <w:rtl/>
          <w:lang w:eastAsia="de-DE"/>
        </w:rPr>
        <w:t>הסיר</w:t>
      </w:r>
      <w:r w:rsidRPr="0098037E">
        <w:rPr>
          <w:rFonts w:eastAsia="Times New Roman" w:cs="Times New Roman"/>
          <w:lang w:eastAsia="de-DE"/>
        </w:rPr>
        <w:t xml:space="preserve">) ist technischer Terminus für die chirurgisch präzise Entfernung der Organe. </w:t>
      </w:r>
      <w:r w:rsidRPr="0098037E">
        <w:rPr>
          <w:rFonts w:eastAsia="Times New Roman" w:cs="Times New Roman"/>
          <w:b/>
          <w:bCs/>
          <w:rtl/>
          <w:lang w:eastAsia="de-DE"/>
        </w:rPr>
        <w:t>עַל־הַכְּלָיוֹת</w:t>
      </w:r>
      <w:r w:rsidRPr="0098037E">
        <w:rPr>
          <w:rFonts w:eastAsia="Times New Roman" w:cs="Times New Roman"/>
          <w:rtl/>
          <w:lang w:eastAsia="de-DE"/>
        </w:rPr>
        <w:t xml:space="preserve"> </w:t>
      </w:r>
      <w:r w:rsidRPr="0098037E">
        <w:rPr>
          <w:rFonts w:eastAsia="Times New Roman" w:cs="Times New Roman"/>
          <w:lang w:eastAsia="de-DE"/>
        </w:rPr>
        <w:t>kann "zusammen mit den Nieren" oder "über den Nieren" bedeuten.</w:t>
      </w:r>
    </w:p>
    <w:p w14:paraId="46205BB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כְּלָיוֹת</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νεφρούς</w:t>
      </w:r>
      <w:proofErr w:type="spellEnd"/>
      <w:r w:rsidRPr="0098037E">
        <w:rPr>
          <w:rFonts w:eastAsia="Times New Roman" w:cs="Times New Roman"/>
          <w:lang w:eastAsia="de-DE"/>
        </w:rPr>
        <w:t xml:space="preserve"> (Nieren), </w:t>
      </w:r>
      <w:r w:rsidRPr="0098037E">
        <w:rPr>
          <w:rFonts w:eastAsia="Times New Roman" w:cs="Times New Roman"/>
          <w:b/>
          <w:bCs/>
          <w:rtl/>
          <w:lang w:eastAsia="de-DE"/>
        </w:rPr>
        <w:t>כְּסָלִים</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ψό</w:t>
      </w:r>
      <w:proofErr w:type="spellEnd"/>
      <w:r w:rsidRPr="0098037E">
        <w:rPr>
          <w:rFonts w:eastAsia="Times New Roman" w:cs="Times New Roman"/>
          <w:lang w:eastAsia="de-DE"/>
        </w:rPr>
        <w:t xml:space="preserve">ας (Lenden), </w:t>
      </w:r>
      <w:r w:rsidRPr="0098037E">
        <w:rPr>
          <w:rFonts w:eastAsia="Times New Roman" w:cs="Times New Roman"/>
          <w:b/>
          <w:bCs/>
          <w:rtl/>
          <w:lang w:eastAsia="de-DE"/>
        </w:rPr>
        <w:t>יֹתֶרֶת</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λο</w:t>
      </w:r>
      <w:proofErr w:type="spellEnd"/>
      <w:r w:rsidRPr="0098037E">
        <w:rPr>
          <w:rFonts w:eastAsia="Times New Roman" w:cs="Times New Roman"/>
          <w:lang w:eastAsia="de-DE"/>
        </w:rPr>
        <w:t xml:space="preserve">βὸν (Lappen) und </w:t>
      </w:r>
      <w:r w:rsidRPr="0098037E">
        <w:rPr>
          <w:rFonts w:eastAsia="Times New Roman" w:cs="Times New Roman"/>
          <w:b/>
          <w:bCs/>
          <w:rtl/>
          <w:lang w:eastAsia="de-DE"/>
        </w:rPr>
        <w:t>יְסִירֶֽנָּה</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εριελεῖ</w:t>
      </w:r>
      <w:proofErr w:type="spellEnd"/>
      <w:r w:rsidRPr="0098037E">
        <w:rPr>
          <w:rFonts w:eastAsia="Times New Roman" w:cs="Times New Roman"/>
          <w:lang w:eastAsia="de-DE"/>
        </w:rPr>
        <w:t xml:space="preserve"> (er soll entfernen).</w:t>
      </w:r>
    </w:p>
    <w:p w14:paraId="626C884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 komplexe Objektaufzählung: drei koordinierte Objekte mit unterschiedlicher Komplexität, abgeschlossen durch ein Verb mit Adverbialbestimmung. Die </w:t>
      </w:r>
      <w:r w:rsidRPr="0098037E">
        <w:rPr>
          <w:rFonts w:eastAsia="Times New Roman" w:cs="Times New Roman"/>
          <w:b/>
          <w:bCs/>
          <w:rtl/>
          <w:lang w:eastAsia="de-DE"/>
        </w:rPr>
        <w:t>יֹתֶרֶת</w:t>
      </w:r>
      <w:r w:rsidRPr="0098037E">
        <w:rPr>
          <w:rFonts w:eastAsia="Times New Roman" w:cs="Times New Roman"/>
          <w:lang w:eastAsia="de-DE"/>
        </w:rPr>
        <w:t>-Beschreibung ist durch doppelte Lokalisierung präzisiert.</w:t>
      </w:r>
    </w:p>
    <w:p w14:paraId="78B5CA9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vervollständigt die Aufzählung der zu verbrennenden Organe bei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und zeigt die anatomische Präzision der Opferbestimmungen.</w:t>
      </w:r>
    </w:p>
    <w:p w14:paraId="712ABE4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3,5</w:t>
      </w:r>
    </w:p>
    <w:p w14:paraId="0FD3851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וְהִקְטִ֨ירוּ אֹתוֹ֤ בְנֵֽי־אַהֲרֹן֙ הַמִּזְבֵּ֔חָה עַל־הָ֣עֹלָ֔ה אֲשֶׁ֥ר עַל־הָעֵצִ֖ים אֲשֶׁ֣ר עַל־הָאֵ֑שׁ אִשֵּׁ֛ה רֵ֥יחַ נִיחֹ֖חַ לַֽיהוָֽה׃</w:t>
      </w:r>
    </w:p>
    <w:p w14:paraId="40A5733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Söhne 'Aharons sollen es auf dem Altar räuchern, auf dem Aufsteigeopfer, das auf dem Holz über dem Feuer ist: Es ist ein Feueropfer wohlgefälligen Geruchs dem Ewigen.</w:t>
      </w:r>
    </w:p>
    <w:p w14:paraId="2642A143"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40EBDBB8">
          <v:rect id="_x0000_i1062" style="width:0;height:1.5pt" o:hralign="center" o:hrstd="t" o:hr="t" fillcolor="#a0a0a0" stroked="f"/>
        </w:pict>
      </w:r>
    </w:p>
    <w:p w14:paraId="6531405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וְהִקְטִ֨ירוּ</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Plural. </w:t>
      </w:r>
      <w:r w:rsidRPr="0098037E">
        <w:rPr>
          <w:rFonts w:eastAsia="Times New Roman" w:cs="Times New Roman"/>
          <w:b/>
          <w:bCs/>
          <w:rtl/>
          <w:lang w:eastAsia="de-DE"/>
        </w:rPr>
        <w:t>אֹתוֹ֤</w:t>
      </w:r>
      <w:r w:rsidRPr="0098037E">
        <w:rPr>
          <w:rFonts w:eastAsia="Times New Roman" w:cs="Times New Roman"/>
          <w:rtl/>
          <w:lang w:eastAsia="de-DE"/>
        </w:rPr>
        <w:t xml:space="preserve"> </w:t>
      </w:r>
      <w:r w:rsidRPr="0098037E">
        <w:rPr>
          <w:rFonts w:eastAsia="Times New Roman" w:cs="Times New Roman"/>
          <w:lang w:eastAsia="de-DE"/>
        </w:rPr>
        <w:t xml:space="preserve">(es) mit maskulinem Suffix bezieht sich auf die gesamte Fettkombination zurück. </w:t>
      </w:r>
      <w:r w:rsidRPr="0098037E">
        <w:rPr>
          <w:rFonts w:eastAsia="Times New Roman" w:cs="Times New Roman"/>
          <w:b/>
          <w:bCs/>
          <w:rtl/>
          <w:lang w:eastAsia="de-DE"/>
        </w:rPr>
        <w:t>בְנֵֽי־אַהֲרֹן֙</w:t>
      </w:r>
      <w:r w:rsidRPr="0098037E">
        <w:rPr>
          <w:rFonts w:eastAsia="Times New Roman" w:cs="Times New Roman"/>
          <w:rtl/>
          <w:lang w:eastAsia="de-DE"/>
        </w:rPr>
        <w:t xml:space="preserve"> </w:t>
      </w:r>
      <w:r w:rsidRPr="0098037E">
        <w:rPr>
          <w:rFonts w:eastAsia="Times New Roman" w:cs="Times New Roman"/>
          <w:lang w:eastAsia="de-DE"/>
        </w:rPr>
        <w:t>(die Söhne Aarons) als Subjekt zeigt ausschließlich priesterliche Verantwortung.</w:t>
      </w:r>
    </w:p>
    <w:p w14:paraId="2D7EEC07" w14:textId="05E4121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 xml:space="preserve">(zum Altar hin) mit Richtungs-He. </w:t>
      </w:r>
      <w:r w:rsidR="00D47FD5" w:rsidRPr="00D47FD5">
        <w:rPr>
          <w:b/>
          <w:bCs/>
          <w:rtl/>
        </w:rPr>
        <w:t>עַל־הָעֹלָה</w:t>
      </w:r>
      <w:r w:rsidR="00D47FD5">
        <w:t xml:space="preserve"> kann zweierlei bedeuten: (1) zusätzlich zu einem </w:t>
      </w:r>
      <w:r w:rsidR="00D47FD5" w:rsidRPr="00D47FD5">
        <w:rPr>
          <w:b/>
          <w:bCs/>
          <w:rtl/>
        </w:rPr>
        <w:t>עֹלָה</w:t>
      </w:r>
      <w:r w:rsidR="00D47FD5">
        <w:t xml:space="preserve">-Opfer, oder (2) auf dem durch </w:t>
      </w:r>
      <w:r w:rsidR="00D47FD5" w:rsidRPr="00D47FD5">
        <w:rPr>
          <w:b/>
          <w:bCs/>
          <w:rtl/>
        </w:rPr>
        <w:t>עֹלָה</w:t>
      </w:r>
      <w:r w:rsidR="00D47FD5">
        <w:t xml:space="preserve"> etablierten Altarfeuer. Wahrscheinlicher ist (2), da </w:t>
      </w:r>
      <w:r w:rsidR="00D47FD5" w:rsidRPr="00D47FD5">
        <w:rPr>
          <w:b/>
          <w:bCs/>
          <w:rtl/>
        </w:rPr>
        <w:t>עֹלָה</w:t>
      </w:r>
      <w:r w:rsidR="00D47FD5">
        <w:t xml:space="preserve"> das ständige Tamid-Feuer (Lev 6,2) bezeichnen kann. Die Abschlussformel </w:t>
      </w:r>
      <w:r w:rsidR="00D47FD5">
        <w:rPr>
          <w:rtl/>
        </w:rPr>
        <w:t>א</w:t>
      </w:r>
      <w:r w:rsidR="00D47FD5" w:rsidRPr="00D47FD5">
        <w:rPr>
          <w:b/>
          <w:bCs/>
          <w:rtl/>
        </w:rPr>
        <w:t>ִשֵּׁה רֵיחַ נִיחֹחַ לַיהוָה</w:t>
      </w:r>
      <w:r w:rsidR="00D47FD5">
        <w:t xml:space="preserve"> etabliert kultische Äquivalenz mit </w:t>
      </w:r>
      <w:r w:rsidR="00D47FD5">
        <w:rPr>
          <w:rtl/>
        </w:rPr>
        <w:t>עֹלָה</w:t>
      </w:r>
      <w:r w:rsidR="00D47FD5">
        <w:t xml:space="preserve"> trotz partieller Verbrennung.</w:t>
      </w:r>
    </w:p>
    <w:p w14:paraId="7931A3E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אִשֵּׁ֛ה רֵ֥יחַ נִיחֹ֖חַ לַֽיהוָֽה</w:t>
      </w:r>
      <w:r w:rsidRPr="0098037E">
        <w:rPr>
          <w:rFonts w:eastAsia="Times New Roman" w:cs="Times New Roman"/>
          <w:rtl/>
          <w:lang w:eastAsia="de-DE"/>
        </w:rPr>
        <w:t xml:space="preserve"> </w:t>
      </w:r>
      <w:r w:rsidRPr="0098037E">
        <w:rPr>
          <w:rFonts w:eastAsia="Times New Roman" w:cs="Times New Roman"/>
          <w:lang w:eastAsia="de-DE"/>
        </w:rPr>
        <w:t xml:space="preserve">(Feueropfer wohlgefälligen Geruchs für JHWH) ist die Standard-Abschlussformel für verbrannte Opferteile und etabliert die kultische Gleichwertigkeit mit </w:t>
      </w:r>
      <w:r w:rsidRPr="0098037E">
        <w:rPr>
          <w:rFonts w:eastAsia="Times New Roman" w:cs="Times New Roman"/>
          <w:b/>
          <w:bCs/>
          <w:rtl/>
          <w:lang w:eastAsia="de-DE"/>
        </w:rPr>
        <w:t>עֹלָה</w:t>
      </w:r>
      <w:r w:rsidRPr="0098037E">
        <w:rPr>
          <w:rFonts w:eastAsia="Times New Roman" w:cs="Times New Roman"/>
          <w:lang w:eastAsia="de-DE"/>
        </w:rPr>
        <w:t>.</w:t>
      </w:r>
    </w:p>
    <w:p w14:paraId="0068D8B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עַל־הָ֣עֹלָ֔ה</w:t>
      </w:r>
      <w:r w:rsidRPr="0098037E">
        <w:rPr>
          <w:rFonts w:eastAsia="Times New Roman" w:cs="Times New Roman"/>
          <w:rtl/>
          <w:lang w:eastAsia="de-DE"/>
        </w:rPr>
        <w:t xml:space="preserve"> </w:t>
      </w:r>
      <w:r w:rsidRPr="0098037E">
        <w:rPr>
          <w:rFonts w:eastAsia="Times New Roman" w:cs="Times New Roman"/>
          <w:lang w:eastAsia="de-DE"/>
        </w:rPr>
        <w:t xml:space="preserve">impliziert, dass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nicht allein, sondern zusätzlich zu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dargebracht werden, oder dass das Altarfeuer bereits durch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etabliert ist.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 xml:space="preserve">als ständiges Feuer ermöglicht die Verbrennung der </w:t>
      </w:r>
      <w:r w:rsidRPr="0098037E">
        <w:rPr>
          <w:rFonts w:eastAsia="Times New Roman" w:cs="Times New Roman"/>
          <w:b/>
          <w:bCs/>
          <w:rtl/>
          <w:lang w:eastAsia="de-DE"/>
        </w:rPr>
        <w:t>שְׁלָמִים</w:t>
      </w:r>
      <w:r w:rsidRPr="0098037E">
        <w:rPr>
          <w:rFonts w:eastAsia="Times New Roman" w:cs="Times New Roman"/>
          <w:lang w:eastAsia="de-DE"/>
        </w:rPr>
        <w:t>-Teile.</w:t>
      </w:r>
    </w:p>
    <w:p w14:paraId="514DABC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bezeichnet die vollständige Verbrennung in Rauch und Duft. Die doppelte Relativsatz-Struktur </w:t>
      </w:r>
      <w:r w:rsidRPr="0098037E">
        <w:rPr>
          <w:rFonts w:eastAsia="Times New Roman" w:cs="Times New Roman"/>
          <w:b/>
          <w:bCs/>
          <w:rtl/>
          <w:lang w:eastAsia="de-DE"/>
        </w:rPr>
        <w:t>אֲשֶׁר...אֲשֶׁר</w:t>
      </w:r>
      <w:r w:rsidRPr="0098037E">
        <w:rPr>
          <w:rFonts w:eastAsia="Times New Roman" w:cs="Times New Roman"/>
          <w:rtl/>
          <w:lang w:eastAsia="de-DE"/>
        </w:rPr>
        <w:t xml:space="preserve"> </w:t>
      </w:r>
      <w:r w:rsidRPr="0098037E">
        <w:rPr>
          <w:rFonts w:eastAsia="Times New Roman" w:cs="Times New Roman"/>
          <w:lang w:eastAsia="de-DE"/>
        </w:rPr>
        <w:t>betont die präzise liturgische Ordnung der Altarelemente.</w:t>
      </w:r>
    </w:p>
    <w:p w14:paraId="2BC3FB50" w14:textId="6B105C4D"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ersetzt konsequent </w:t>
      </w:r>
      <w:r w:rsidR="005070BF">
        <w:rPr>
          <w:rtl/>
        </w:rPr>
        <w:t>אשה</w:t>
      </w:r>
      <w:r w:rsidR="005070BF">
        <w:t xml:space="preserve"> (</w:t>
      </w:r>
      <w:proofErr w:type="spellStart"/>
      <w:r w:rsidR="005070BF">
        <w:t>ischeh</w:t>
      </w:r>
      <w:proofErr w:type="spellEnd"/>
      <w:r w:rsidR="005070BF">
        <w:t xml:space="preserve"> - "Feueropfer") durch </w:t>
      </w:r>
      <w:proofErr w:type="spellStart"/>
      <w:r w:rsidR="005070BF">
        <w:t>κάρ</w:t>
      </w:r>
      <w:proofErr w:type="spellEnd"/>
      <w:r w:rsidR="005070BF">
        <w:t>πωμα (Fruchtopfer), was eine systematische terminologische Neukonzeption darstellt. Diese Konsistenz deutet auf eine bewusste Übersetzungsentscheidung hin.</w:t>
      </w:r>
    </w:p>
    <w:p w14:paraId="188D044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Hauptsatz: Verb + Objekt + Subjekt + Adverbialbestimmung + komplexe Ortsangabe mit doppeltem Relativsatz + dreifache Prädikatsbestimmung. Die Relativsätze fungieren als verschachtelte Attributsätze zur präzisen Ortsbestimmung.</w:t>
      </w:r>
    </w:p>
    <w:p w14:paraId="74E9036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beschreibt die priesterliche Verbrennung der </w:t>
      </w:r>
      <w:r w:rsidRPr="0098037E">
        <w:rPr>
          <w:rFonts w:eastAsia="Times New Roman" w:cs="Times New Roman"/>
          <w:b/>
          <w:bCs/>
          <w:rtl/>
          <w:lang w:eastAsia="de-DE"/>
        </w:rPr>
        <w:t>שְׁלָמִים</w:t>
      </w:r>
      <w:r w:rsidRPr="0098037E">
        <w:rPr>
          <w:rFonts w:eastAsia="Times New Roman" w:cs="Times New Roman"/>
          <w:lang w:eastAsia="de-DE"/>
        </w:rPr>
        <w:t xml:space="preserve">-Fette und zeigt deren Integration in das bestehende Altarfeuer der </w:t>
      </w:r>
      <w:r w:rsidRPr="0098037E">
        <w:rPr>
          <w:rFonts w:eastAsia="Times New Roman" w:cs="Times New Roman"/>
          <w:b/>
          <w:bCs/>
          <w:rtl/>
          <w:lang w:eastAsia="de-DE"/>
        </w:rPr>
        <w:t>עֹלָה</w:t>
      </w:r>
      <w:r w:rsidRPr="0098037E">
        <w:rPr>
          <w:rFonts w:eastAsia="Times New Roman" w:cs="Times New Roman"/>
          <w:lang w:eastAsia="de-DE"/>
        </w:rPr>
        <w:t>.</w:t>
      </w:r>
    </w:p>
    <w:p w14:paraId="2A35A0A7"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3,6</w:t>
      </w:r>
    </w:p>
    <w:p w14:paraId="6660ECB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וְאִם־מִן־הַצֹּ֧אן קָרְבָּנֹ֛ו לְזֶ֥בַח שְׁלָמִ֖ים לַיהוָ֑ה זָכָר֙ א֣וֹ נְקֵבָ֔ה תָּמִ֖ים יַקְרִיבֶֽנּוּ׃</w:t>
      </w:r>
    </w:p>
    <w:p w14:paraId="2F666F0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seine Opfergabe vom Kleinvieh ist zum Friedensopfer dem Ewigen, ein Männliches oder ein Weibliches, so soll er sie ohne Fehl darbringen.</w:t>
      </w:r>
    </w:p>
    <w:p w14:paraId="07BEB9D0"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3359068C">
          <v:rect id="_x0000_i1063" style="width:0;height:1.5pt" o:hralign="center" o:hrstd="t" o:hr="t" fillcolor="#a0a0a0" stroked="f"/>
        </w:pict>
      </w:r>
    </w:p>
    <w:p w14:paraId="3AEB189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וְאִם־מִן־הַצֹּ֧אן קָרְבָּנֹ֛ו</w:t>
      </w:r>
      <w:r w:rsidRPr="0098037E">
        <w:rPr>
          <w:rFonts w:eastAsia="Times New Roman" w:cs="Times New Roman"/>
          <w:rtl/>
          <w:lang w:eastAsia="de-DE"/>
        </w:rPr>
        <w:t xml:space="preserve"> </w:t>
      </w:r>
      <w:r w:rsidRPr="0098037E">
        <w:rPr>
          <w:rFonts w:eastAsia="Times New Roman" w:cs="Times New Roman"/>
          <w:lang w:eastAsia="de-DE"/>
        </w:rPr>
        <w:t xml:space="preserve">(und wenn seine Opfergabe vom Kleinvieh ist) führt die zweite Tierkategorie für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ein.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(Kleinvieh) umfasst Schafe und Ziegen. </w:t>
      </w:r>
      <w:r w:rsidRPr="0098037E">
        <w:rPr>
          <w:rFonts w:eastAsia="Times New Roman" w:cs="Times New Roman"/>
          <w:b/>
          <w:bCs/>
          <w:rtl/>
          <w:lang w:eastAsia="de-DE"/>
        </w:rPr>
        <w:t>לְזֶ֥בַח שְׁלָמִ֖ים</w:t>
      </w:r>
      <w:r w:rsidRPr="0098037E">
        <w:rPr>
          <w:rFonts w:eastAsia="Times New Roman" w:cs="Times New Roman"/>
          <w:rtl/>
          <w:lang w:eastAsia="de-DE"/>
        </w:rPr>
        <w:t xml:space="preserve"> </w:t>
      </w:r>
      <w:r w:rsidRPr="0098037E">
        <w:rPr>
          <w:rFonts w:eastAsia="Times New Roman" w:cs="Times New Roman"/>
          <w:lang w:eastAsia="de-DE"/>
        </w:rPr>
        <w:t xml:space="preserve">(zum Friedensopfer) mit </w:t>
      </w:r>
      <w:r w:rsidRPr="0098037E">
        <w:rPr>
          <w:rFonts w:eastAsia="Times New Roman" w:cs="Times New Roman"/>
          <w:b/>
          <w:bCs/>
          <w:rtl/>
          <w:lang w:eastAsia="de-DE"/>
        </w:rPr>
        <w:t>לְ</w:t>
      </w:r>
      <w:r w:rsidRPr="0098037E">
        <w:rPr>
          <w:rFonts w:eastAsia="Times New Roman" w:cs="Times New Roman"/>
          <w:rtl/>
          <w:lang w:eastAsia="de-DE"/>
        </w:rPr>
        <w:t xml:space="preserve"> </w:t>
      </w:r>
      <w:r w:rsidRPr="0098037E">
        <w:rPr>
          <w:rFonts w:eastAsia="Times New Roman" w:cs="Times New Roman"/>
          <w:lang w:eastAsia="de-DE"/>
        </w:rPr>
        <w:t xml:space="preserve">zeigt den Zweck, </w:t>
      </w:r>
      <w:r w:rsidRPr="0098037E">
        <w:rPr>
          <w:rFonts w:eastAsia="Times New Roman" w:cs="Times New Roman"/>
          <w:b/>
          <w:bCs/>
          <w:rtl/>
          <w:lang w:eastAsia="de-DE"/>
        </w:rPr>
        <w:t>לַיהוָ֑ה</w:t>
      </w:r>
      <w:r w:rsidRPr="0098037E">
        <w:rPr>
          <w:rFonts w:eastAsia="Times New Roman" w:cs="Times New Roman"/>
          <w:rtl/>
          <w:lang w:eastAsia="de-DE"/>
        </w:rPr>
        <w:t xml:space="preserve"> </w:t>
      </w:r>
      <w:r w:rsidRPr="0098037E">
        <w:rPr>
          <w:rFonts w:eastAsia="Times New Roman" w:cs="Times New Roman"/>
          <w:lang w:eastAsia="de-DE"/>
        </w:rPr>
        <w:t>(für JHWH) den Empfänger.</w:t>
      </w:r>
    </w:p>
    <w:p w14:paraId="681BED6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זָכָר֙ א֣וֹ נְקֵבָ֔ה</w:t>
      </w:r>
      <w:r w:rsidRPr="0098037E">
        <w:rPr>
          <w:rFonts w:eastAsia="Times New Roman" w:cs="Times New Roman"/>
          <w:rtl/>
          <w:lang w:eastAsia="de-DE"/>
        </w:rPr>
        <w:t xml:space="preserve"> </w:t>
      </w:r>
      <w:r w:rsidRPr="0098037E">
        <w:rPr>
          <w:rFonts w:eastAsia="Times New Roman" w:cs="Times New Roman"/>
          <w:lang w:eastAsia="de-DE"/>
        </w:rPr>
        <w:t xml:space="preserve">(männlich oder weiblich) wiederholt die flexible Geschlechtsbestimmung von Vers 1 durch </w:t>
      </w:r>
      <w:r w:rsidRPr="0098037E">
        <w:rPr>
          <w:rFonts w:eastAsia="Times New Roman" w:cs="Times New Roman"/>
          <w:b/>
          <w:bCs/>
          <w:rtl/>
          <w:lang w:eastAsia="de-DE"/>
        </w:rPr>
        <w:t>או</w:t>
      </w:r>
      <w:r w:rsidRPr="0098037E">
        <w:rPr>
          <w:rFonts w:eastAsia="Times New Roman" w:cs="Times New Roman"/>
          <w:rtl/>
          <w:lang w:eastAsia="de-DE"/>
        </w:rPr>
        <w:t xml:space="preserve"> </w:t>
      </w:r>
      <w:r w:rsidRPr="0098037E">
        <w:rPr>
          <w:rFonts w:eastAsia="Times New Roman" w:cs="Times New Roman"/>
          <w:lang w:eastAsia="de-DE"/>
        </w:rPr>
        <w:t xml:space="preserve">(oder) statt </w:t>
      </w:r>
      <w:r w:rsidRPr="0098037E">
        <w:rPr>
          <w:rFonts w:eastAsia="Times New Roman" w:cs="Times New Roman"/>
          <w:b/>
          <w:bCs/>
          <w:rtl/>
          <w:lang w:eastAsia="de-DE"/>
        </w:rPr>
        <w:t>אם...אם</w:t>
      </w:r>
      <w:r w:rsidRPr="0098037E">
        <w:rPr>
          <w:rFonts w:eastAsia="Times New Roman" w:cs="Times New Roman"/>
          <w:rtl/>
          <w:lang w:eastAsia="de-DE"/>
        </w:rPr>
        <w:t xml:space="preserve"> </w:t>
      </w:r>
      <w:r w:rsidRPr="0098037E">
        <w:rPr>
          <w:rFonts w:eastAsia="Times New Roman" w:cs="Times New Roman"/>
          <w:lang w:eastAsia="de-DE"/>
        </w:rPr>
        <w:t xml:space="preserve">(ob...oder). </w:t>
      </w:r>
      <w:r w:rsidRPr="0098037E">
        <w:rPr>
          <w:rFonts w:eastAsia="Times New Roman" w:cs="Times New Roman"/>
          <w:b/>
          <w:bCs/>
          <w:rtl/>
          <w:lang w:eastAsia="de-DE"/>
        </w:rPr>
        <w:t>תָּמִ֖ים יַקְרִיבֶֽנּוּ</w:t>
      </w:r>
      <w:r w:rsidRPr="0098037E">
        <w:rPr>
          <w:rFonts w:eastAsia="Times New Roman" w:cs="Times New Roman"/>
          <w:rtl/>
          <w:lang w:eastAsia="de-DE"/>
        </w:rPr>
        <w:t xml:space="preserve"> </w:t>
      </w:r>
      <w:r w:rsidRPr="0098037E">
        <w:rPr>
          <w:rFonts w:eastAsia="Times New Roman" w:cs="Times New Roman"/>
          <w:lang w:eastAsia="de-DE"/>
        </w:rPr>
        <w:t>(fehlerlos soll er es darbringen) wiederholt die Qualitätsanforderung exakt.</w:t>
      </w:r>
    </w:p>
    <w:p w14:paraId="126FE60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Struktur entspricht Vers 1 für </w:t>
      </w:r>
      <w:r w:rsidRPr="0098037E">
        <w:rPr>
          <w:rFonts w:eastAsia="Times New Roman" w:cs="Times New Roman"/>
          <w:b/>
          <w:bCs/>
          <w:rtl/>
          <w:lang w:eastAsia="de-DE"/>
        </w:rPr>
        <w:t>בקר</w:t>
      </w:r>
      <w:r w:rsidRPr="0098037E">
        <w:rPr>
          <w:rFonts w:eastAsia="Times New Roman" w:cs="Times New Roman"/>
          <w:rtl/>
          <w:lang w:eastAsia="de-DE"/>
        </w:rPr>
        <w:t xml:space="preserve"> </w:t>
      </w:r>
      <w:r w:rsidRPr="0098037E">
        <w:rPr>
          <w:rFonts w:eastAsia="Times New Roman" w:cs="Times New Roman"/>
          <w:lang w:eastAsia="de-DE"/>
        </w:rPr>
        <w:t xml:space="preserve">(Rindvieh), zeigt aber bei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(Kleinvieh) eine kompaktere Formulierung. Die Geschlechtsflexibilität bleibt bei allen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erhalten, im Unterschied zu </w:t>
      </w:r>
      <w:r w:rsidRPr="0098037E">
        <w:rPr>
          <w:rFonts w:eastAsia="Times New Roman" w:cs="Times New Roman"/>
          <w:b/>
          <w:bCs/>
          <w:rtl/>
          <w:lang w:eastAsia="de-DE"/>
        </w:rPr>
        <w:t>עֹלָה</w:t>
      </w:r>
      <w:r w:rsidRPr="0098037E">
        <w:rPr>
          <w:rFonts w:eastAsia="Times New Roman" w:cs="Times New Roman"/>
          <w:rtl/>
          <w:lang w:eastAsia="de-DE"/>
        </w:rPr>
        <w:t xml:space="preserve"> </w:t>
      </w:r>
      <w:r w:rsidRPr="0098037E">
        <w:rPr>
          <w:rFonts w:eastAsia="Times New Roman" w:cs="Times New Roman"/>
          <w:lang w:eastAsia="de-DE"/>
        </w:rPr>
        <w:t>(nur männlich).</w:t>
      </w:r>
    </w:p>
    <w:p w14:paraId="69D98C2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לְזֶ֥בַח שְׁלָמִ֖ים</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זֶ֥בַח שְׁלָמִ֖ים</w:t>
      </w:r>
      <w:r w:rsidRPr="0098037E">
        <w:rPr>
          <w:rFonts w:eastAsia="Times New Roman" w:cs="Times New Roman"/>
          <w:rtl/>
          <w:lang w:eastAsia="de-DE"/>
        </w:rPr>
        <w:t xml:space="preserve"> </w:t>
      </w:r>
      <w:r w:rsidRPr="0098037E">
        <w:rPr>
          <w:rFonts w:eastAsia="Times New Roman" w:cs="Times New Roman"/>
          <w:lang w:eastAsia="de-DE"/>
        </w:rPr>
        <w:t xml:space="preserve">zeigt eine Variante der Konstruktion, semantisch identisch. </w:t>
      </w:r>
      <w:r w:rsidRPr="0098037E">
        <w:rPr>
          <w:rFonts w:eastAsia="Times New Roman" w:cs="Times New Roman"/>
          <w:b/>
          <w:bCs/>
          <w:rtl/>
          <w:lang w:eastAsia="de-DE"/>
        </w:rPr>
        <w:t>זכר או נקבה</w:t>
      </w:r>
      <w:r w:rsidRPr="0098037E">
        <w:rPr>
          <w:rFonts w:eastAsia="Times New Roman" w:cs="Times New Roman"/>
          <w:rtl/>
          <w:lang w:eastAsia="de-DE"/>
        </w:rPr>
        <w:t xml:space="preserve"> </w:t>
      </w:r>
      <w:r w:rsidRPr="0098037E">
        <w:rPr>
          <w:rFonts w:eastAsia="Times New Roman" w:cs="Times New Roman"/>
          <w:lang w:eastAsia="de-DE"/>
        </w:rPr>
        <w:t>(männlich oder weiblich) betont die Wahlfreiheit des Opfernden.</w:t>
      </w:r>
    </w:p>
    <w:p w14:paraId="59E3025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מִן־הַצֹּ֧אן</w:t>
      </w:r>
      <w:r w:rsidRPr="0098037E">
        <w:rPr>
          <w:rFonts w:eastAsia="Times New Roman" w:cs="Times New Roman"/>
          <w:rtl/>
          <w:lang w:eastAsia="de-DE"/>
        </w:rPr>
        <w:t xml:space="preserve"> </w:t>
      </w:r>
      <w:r w:rsidRPr="0098037E">
        <w:rPr>
          <w:rFonts w:eastAsia="Times New Roman" w:cs="Times New Roman"/>
          <w:lang w:eastAsia="de-DE"/>
        </w:rPr>
        <w:t xml:space="preserve">mit ἀπὸ </w:t>
      </w:r>
      <w:proofErr w:type="spellStart"/>
      <w:r w:rsidRPr="0098037E">
        <w:rPr>
          <w:rFonts w:eastAsia="Times New Roman" w:cs="Times New Roman"/>
          <w:lang w:eastAsia="de-DE"/>
        </w:rPr>
        <w:t>τῶν</w:t>
      </w:r>
      <w:proofErr w:type="spellEnd"/>
      <w:r w:rsidRPr="0098037E">
        <w:rPr>
          <w:rFonts w:eastAsia="Times New Roman" w:cs="Times New Roman"/>
          <w:lang w:eastAsia="de-DE"/>
        </w:rPr>
        <w:t xml:space="preserve"> π</w:t>
      </w:r>
      <w:proofErr w:type="spellStart"/>
      <w:r w:rsidRPr="0098037E">
        <w:rPr>
          <w:rFonts w:eastAsia="Times New Roman" w:cs="Times New Roman"/>
          <w:lang w:eastAsia="de-DE"/>
        </w:rPr>
        <w:t>ρο</w:t>
      </w:r>
      <w:proofErr w:type="spellEnd"/>
      <w:r w:rsidRPr="0098037E">
        <w:rPr>
          <w:rFonts w:eastAsia="Times New Roman" w:cs="Times New Roman"/>
          <w:lang w:eastAsia="de-DE"/>
        </w:rPr>
        <w:t xml:space="preserve">βάτων (von den Schafen), </w:t>
      </w:r>
      <w:r w:rsidRPr="0098037E">
        <w:rPr>
          <w:rFonts w:eastAsia="Times New Roman" w:cs="Times New Roman"/>
          <w:b/>
          <w:bCs/>
          <w:rtl/>
          <w:lang w:eastAsia="de-DE"/>
        </w:rPr>
        <w:t>זָכָר֙ א֣וֹ נְקֵבָ֔ה</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ἄρσεν</w:t>
      </w:r>
      <w:proofErr w:type="spellEnd"/>
      <w:r w:rsidRPr="0098037E">
        <w:rPr>
          <w:rFonts w:eastAsia="Times New Roman" w:cs="Times New Roman"/>
          <w:lang w:eastAsia="de-DE"/>
        </w:rPr>
        <w:t xml:space="preserve"> ἢ </w:t>
      </w:r>
      <w:proofErr w:type="spellStart"/>
      <w:r w:rsidRPr="0098037E">
        <w:rPr>
          <w:rFonts w:eastAsia="Times New Roman" w:cs="Times New Roman"/>
          <w:lang w:eastAsia="de-DE"/>
        </w:rPr>
        <w:t>θῆλυ</w:t>
      </w:r>
      <w:proofErr w:type="spellEnd"/>
      <w:r w:rsidRPr="0098037E">
        <w:rPr>
          <w:rFonts w:eastAsia="Times New Roman" w:cs="Times New Roman"/>
          <w:lang w:eastAsia="de-DE"/>
        </w:rPr>
        <w:t xml:space="preserve"> (männlich oder weiblich) und </w:t>
      </w:r>
      <w:r w:rsidRPr="0098037E">
        <w:rPr>
          <w:rFonts w:eastAsia="Times New Roman" w:cs="Times New Roman"/>
          <w:b/>
          <w:bCs/>
          <w:rtl/>
          <w:lang w:eastAsia="de-DE"/>
        </w:rPr>
        <w:t>תָּמִ֖ים</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ἄμωμον</w:t>
      </w:r>
      <w:proofErr w:type="spellEnd"/>
      <w:r w:rsidRPr="0098037E">
        <w:rPr>
          <w:rFonts w:eastAsia="Times New Roman" w:cs="Times New Roman"/>
          <w:lang w:eastAsia="de-DE"/>
        </w:rPr>
        <w:t xml:space="preserve"> (tadellos).</w:t>
      </w:r>
    </w:p>
    <w:p w14:paraId="74DECB8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Konditionalsatz: Protasis (</w:t>
      </w:r>
      <w:r w:rsidRPr="0098037E">
        <w:rPr>
          <w:rFonts w:eastAsia="Times New Roman" w:cs="Times New Roman"/>
          <w:rtl/>
          <w:lang w:eastAsia="de-DE"/>
        </w:rPr>
        <w:t>אִם</w:t>
      </w:r>
      <w:r w:rsidRPr="0098037E">
        <w:rPr>
          <w:rFonts w:eastAsia="Times New Roman" w:cs="Times New Roman"/>
          <w:lang w:eastAsia="de-DE"/>
        </w:rPr>
        <w:t xml:space="preserve"> + Herkunftsangabe + Subjekt + Zweckangabe + Dativangabe + Alternativen) → Apodosis (Adjektiv + Verb + Objekt). Die Struktur ist kompakter als Vers 1 aber inhaltlich parallel.</w:t>
      </w:r>
    </w:p>
    <w:p w14:paraId="2233E6A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Dieser Vers erweitert die </w:t>
      </w:r>
      <w:r w:rsidRPr="0098037E">
        <w:rPr>
          <w:rFonts w:eastAsia="Times New Roman" w:cs="Times New Roman"/>
          <w:b/>
          <w:bCs/>
          <w:rtl/>
          <w:lang w:eastAsia="de-DE"/>
        </w:rPr>
        <w:t>שְׁלָמִים</w:t>
      </w:r>
      <w:r w:rsidRPr="0098037E">
        <w:rPr>
          <w:rFonts w:eastAsia="Times New Roman" w:cs="Times New Roman"/>
          <w:lang w:eastAsia="de-DE"/>
        </w:rPr>
        <w:t>-Bestimmungen auf Kleinvieh und etabliert identische Flexibilität bezüglich des Tiergeschlechts.</w:t>
      </w:r>
    </w:p>
    <w:p w14:paraId="3C241CB0"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3,7</w:t>
      </w:r>
    </w:p>
    <w:p w14:paraId="506D501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אִם־כֶּ֥שֶׂב הֽוּא־מַקְרִ֖יב אֶת־קָרְבָּנֹ֑ו וְהִקְרִ֥יב אֹתוֹ֖ לִפְנֵ֥י יְהוָֽה׃</w:t>
      </w:r>
    </w:p>
    <w:p w14:paraId="0CA79A5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Wenn er ein Schaf als seine Opfergabe darbringt, so soll er es vor den Ewigen bringen;</w:t>
      </w:r>
    </w:p>
    <w:p w14:paraId="14D8D6B9"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95D077E">
          <v:rect id="_x0000_i1064" style="width:0;height:1.5pt" o:hralign="center" o:hrstd="t" o:hr="t" fillcolor="#a0a0a0" stroked="f"/>
        </w:pict>
      </w:r>
    </w:p>
    <w:p w14:paraId="5DB225E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אִם־כֶּ֥שֶׂב הֽוּא־מַקְרִ֖יב</w:t>
      </w:r>
      <w:r w:rsidRPr="0098037E">
        <w:rPr>
          <w:rFonts w:eastAsia="Times New Roman" w:cs="Times New Roman"/>
          <w:rtl/>
          <w:lang w:eastAsia="de-DE"/>
        </w:rPr>
        <w:t xml:space="preserve"> </w:t>
      </w:r>
      <w:r w:rsidRPr="0098037E">
        <w:rPr>
          <w:rFonts w:eastAsia="Times New Roman" w:cs="Times New Roman"/>
          <w:lang w:eastAsia="de-DE"/>
        </w:rPr>
        <w:t xml:space="preserve">(wenn er ein Schaf darbringt) spezifiziert eine Unterart des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(Kleinviehs).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(Schaf/Lamm) von </w:t>
      </w:r>
      <w:r w:rsidRPr="0098037E">
        <w:rPr>
          <w:rFonts w:eastAsia="Times New Roman" w:cs="Times New Roman"/>
          <w:b/>
          <w:bCs/>
          <w:rtl/>
          <w:lang w:eastAsia="de-DE"/>
        </w:rPr>
        <w:t>כבש</w:t>
      </w:r>
      <w:r w:rsidRPr="0098037E">
        <w:rPr>
          <w:rFonts w:eastAsia="Times New Roman" w:cs="Times New Roman"/>
          <w:rtl/>
          <w:lang w:eastAsia="de-DE"/>
        </w:rPr>
        <w:t xml:space="preserve"> </w:t>
      </w:r>
      <w:r w:rsidRPr="0098037E">
        <w:rPr>
          <w:rFonts w:eastAsia="Times New Roman" w:cs="Times New Roman"/>
          <w:lang w:eastAsia="de-DE"/>
        </w:rPr>
        <w:t xml:space="preserve">bezeichnet speziell Schafstiere. </w:t>
      </w:r>
      <w:r w:rsidRPr="0098037E">
        <w:rPr>
          <w:rFonts w:eastAsia="Times New Roman" w:cs="Times New Roman"/>
          <w:b/>
          <w:bCs/>
          <w:rtl/>
          <w:lang w:eastAsia="de-DE"/>
        </w:rPr>
        <w:t>הוּא</w:t>
      </w:r>
      <w:r w:rsidRPr="0098037E">
        <w:rPr>
          <w:rFonts w:eastAsia="Times New Roman" w:cs="Times New Roman"/>
          <w:rtl/>
          <w:lang w:eastAsia="de-DE"/>
        </w:rPr>
        <w:t xml:space="preserve"> </w:t>
      </w:r>
      <w:r w:rsidRPr="0098037E">
        <w:rPr>
          <w:rFonts w:eastAsia="Times New Roman" w:cs="Times New Roman"/>
          <w:lang w:eastAsia="de-DE"/>
        </w:rPr>
        <w:t xml:space="preserve">(er) ist emphatisches Pronomen, </w:t>
      </w:r>
      <w:r w:rsidRPr="0098037E">
        <w:rPr>
          <w:rFonts w:eastAsia="Times New Roman" w:cs="Times New Roman"/>
          <w:b/>
          <w:bCs/>
          <w:rtl/>
          <w:lang w:eastAsia="de-DE"/>
        </w:rPr>
        <w:t>מַקְרִ֖יב</w:t>
      </w:r>
      <w:r w:rsidRPr="0098037E">
        <w:rPr>
          <w:rFonts w:eastAsia="Times New Roman" w:cs="Times New Roman"/>
          <w:rtl/>
          <w:lang w:eastAsia="de-DE"/>
        </w:rPr>
        <w:t xml:space="preserve"> </w:t>
      </w:r>
      <w:r w:rsidRPr="0098037E">
        <w:rPr>
          <w:rFonts w:eastAsia="Times New Roman" w:cs="Times New Roman"/>
          <w:lang w:eastAsia="de-DE"/>
        </w:rPr>
        <w:t xml:space="preserve">Hifil-Partizip von </w:t>
      </w:r>
      <w:r w:rsidRPr="0098037E">
        <w:rPr>
          <w:rFonts w:eastAsia="Times New Roman" w:cs="Times New Roman"/>
          <w:b/>
          <w:bCs/>
          <w:rtl/>
          <w:lang w:eastAsia="de-DE"/>
        </w:rPr>
        <w:t>קרב</w:t>
      </w:r>
      <w:r w:rsidRPr="0098037E">
        <w:rPr>
          <w:rFonts w:eastAsia="Times New Roman" w:cs="Times New Roman"/>
          <w:lang w:eastAsia="de-DE"/>
        </w:rPr>
        <w:t>.</w:t>
      </w:r>
    </w:p>
    <w:p w14:paraId="1664558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אֶת־קָרְבָּנֹ֑ו</w:t>
      </w:r>
      <w:r w:rsidRPr="0098037E">
        <w:rPr>
          <w:rFonts w:eastAsia="Times New Roman" w:cs="Times New Roman"/>
          <w:rtl/>
          <w:lang w:eastAsia="de-DE"/>
        </w:rPr>
        <w:t xml:space="preserve"> </w:t>
      </w:r>
      <w:r w:rsidRPr="0098037E">
        <w:rPr>
          <w:rFonts w:eastAsia="Times New Roman" w:cs="Times New Roman"/>
          <w:lang w:eastAsia="de-DE"/>
        </w:rPr>
        <w:t xml:space="preserve">(seine Opfergabe) mit Nota accusativi und Possessivsuffix 3. Person maskulin Singular. </w:t>
      </w:r>
      <w:r w:rsidRPr="0098037E">
        <w:rPr>
          <w:rFonts w:eastAsia="Times New Roman" w:cs="Times New Roman"/>
          <w:b/>
          <w:bCs/>
          <w:rtl/>
          <w:lang w:eastAsia="de-DE"/>
        </w:rPr>
        <w:t>וְהִקְרִ֥יב אֹתוֹ֖</w:t>
      </w:r>
      <w:r w:rsidRPr="0098037E">
        <w:rPr>
          <w:rFonts w:eastAsia="Times New Roman" w:cs="Times New Roman"/>
          <w:rtl/>
          <w:lang w:eastAsia="de-DE"/>
        </w:rPr>
        <w:t xml:space="preserve"> </w:t>
      </w:r>
      <w:r w:rsidRPr="0098037E">
        <w:rPr>
          <w:rFonts w:eastAsia="Times New Roman" w:cs="Times New Roman"/>
          <w:lang w:eastAsia="de-DE"/>
        </w:rPr>
        <w:t xml:space="preserve">(und er soll es darbringen) ist Hifil-Perfekt mit Waw-Konsekutiv von </w:t>
      </w:r>
      <w:r w:rsidRPr="0098037E">
        <w:rPr>
          <w:rFonts w:eastAsia="Times New Roman" w:cs="Times New Roman"/>
          <w:b/>
          <w:bCs/>
          <w:rtl/>
          <w:lang w:eastAsia="de-DE"/>
        </w:rPr>
        <w:t>קרב</w:t>
      </w:r>
      <w:r w:rsidRPr="0098037E">
        <w:rPr>
          <w:rFonts w:eastAsia="Times New Roman" w:cs="Times New Roman"/>
          <w:lang w:eastAsia="de-DE"/>
        </w:rPr>
        <w:t xml:space="preserve">, 3. Person maskulin Singular mit Objektsuffix 3. Person maskulin Singular.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(vor JHWH) zeigt den sakralen Kontext.</w:t>
      </w:r>
    </w:p>
    <w:p w14:paraId="2231CA4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unterscheidet sich von </w:t>
      </w:r>
      <w:r w:rsidRPr="0098037E">
        <w:rPr>
          <w:rFonts w:eastAsia="Times New Roman" w:cs="Times New Roman"/>
          <w:b/>
          <w:bCs/>
          <w:rtl/>
          <w:lang w:eastAsia="de-DE"/>
        </w:rPr>
        <w:t>שֶׂה</w:t>
      </w:r>
      <w:r w:rsidRPr="0098037E">
        <w:rPr>
          <w:rFonts w:eastAsia="Times New Roman" w:cs="Times New Roman"/>
          <w:rtl/>
          <w:lang w:eastAsia="de-DE"/>
        </w:rPr>
        <w:t xml:space="preserve"> </w:t>
      </w:r>
      <w:r w:rsidRPr="0098037E">
        <w:rPr>
          <w:rFonts w:eastAsia="Times New Roman" w:cs="Times New Roman"/>
          <w:lang w:eastAsia="de-DE"/>
        </w:rPr>
        <w:t xml:space="preserve">(allgemeines Kleinvieh) durch spezifische Bezeichnung für Schafe. Die Unterscheidung zwischen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(Schaf) und </w:t>
      </w: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(Ziege, V. 12) zeigt, dass beide Kleinvieharten eigene Bestimmungen haben.</w:t>
      </w:r>
    </w:p>
    <w:p w14:paraId="6B29BC0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Kürze dieses Verses im Vergleich zu V. 1 zeigt, dass die grundlegenden </w:t>
      </w:r>
      <w:r w:rsidRPr="0098037E">
        <w:rPr>
          <w:rFonts w:eastAsia="Times New Roman" w:cs="Times New Roman"/>
          <w:b/>
          <w:bCs/>
          <w:rtl/>
          <w:lang w:eastAsia="de-DE"/>
        </w:rPr>
        <w:t>שְׁלָמִים</w:t>
      </w:r>
      <w:r w:rsidRPr="0098037E">
        <w:rPr>
          <w:rFonts w:eastAsia="Times New Roman" w:cs="Times New Roman"/>
          <w:lang w:eastAsia="de-DE"/>
        </w:rPr>
        <w:t>-Prinzipien bereits etabliert sind und nur noch die spezifischen Unterschiede bei verschiedenen Tierarten zu regeln sind.</w:t>
      </w:r>
    </w:p>
    <w:p w14:paraId="3B1FB8F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mit </w:t>
      </w:r>
      <w:proofErr w:type="spellStart"/>
      <w:r w:rsidRPr="0098037E">
        <w:rPr>
          <w:rFonts w:eastAsia="Times New Roman" w:cs="Times New Roman"/>
          <w:lang w:eastAsia="de-DE"/>
        </w:rPr>
        <w:t>ἀμνόν</w:t>
      </w:r>
      <w:proofErr w:type="spellEnd"/>
      <w:r w:rsidRPr="0098037E">
        <w:rPr>
          <w:rFonts w:eastAsia="Times New Roman" w:cs="Times New Roman"/>
          <w:lang w:eastAsia="de-DE"/>
        </w:rPr>
        <w:t xml:space="preserve"> (Lamm), </w:t>
      </w:r>
      <w:r w:rsidRPr="0098037E">
        <w:rPr>
          <w:rFonts w:eastAsia="Times New Roman" w:cs="Times New Roman"/>
          <w:b/>
          <w:bCs/>
          <w:rtl/>
          <w:lang w:eastAsia="de-DE"/>
        </w:rPr>
        <w:t>מַקְרִ֖יב</w:t>
      </w:r>
      <w:r w:rsidRPr="0098037E">
        <w:rPr>
          <w:rFonts w:eastAsia="Times New Roman" w:cs="Times New Roman"/>
          <w:rtl/>
          <w:lang w:eastAsia="de-DE"/>
        </w:rPr>
        <w:t xml:space="preserve"> </w:t>
      </w:r>
      <w:r w:rsidRPr="0098037E">
        <w:rPr>
          <w:rFonts w:eastAsia="Times New Roman" w:cs="Times New Roman"/>
          <w:lang w:eastAsia="de-DE"/>
        </w:rPr>
        <w:t>mit π</w:t>
      </w:r>
      <w:proofErr w:type="spellStart"/>
      <w:r w:rsidRPr="0098037E">
        <w:rPr>
          <w:rFonts w:eastAsia="Times New Roman" w:cs="Times New Roman"/>
          <w:lang w:eastAsia="de-DE"/>
        </w:rPr>
        <w:t>ροσφέρει</w:t>
      </w:r>
      <w:proofErr w:type="spellEnd"/>
      <w:r w:rsidRPr="0098037E">
        <w:rPr>
          <w:rFonts w:eastAsia="Times New Roman" w:cs="Times New Roman"/>
          <w:lang w:eastAsia="de-DE"/>
        </w:rPr>
        <w:t xml:space="preserve"> (er bringt dar) und </w:t>
      </w:r>
      <w:r w:rsidRPr="0098037E">
        <w:rPr>
          <w:rFonts w:eastAsia="Times New Roman" w:cs="Times New Roman"/>
          <w:b/>
          <w:bCs/>
          <w:rtl/>
          <w:lang w:eastAsia="de-DE"/>
        </w:rPr>
        <w:t>וְהִקְרִ֥יב</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ροσάξει</w:t>
      </w:r>
      <w:proofErr w:type="spellEnd"/>
      <w:r w:rsidRPr="0098037E">
        <w:rPr>
          <w:rFonts w:eastAsia="Times New Roman" w:cs="Times New Roman"/>
          <w:lang w:eastAsia="de-DE"/>
        </w:rPr>
        <w:t xml:space="preserve"> (und er soll heranbringen).</w:t>
      </w:r>
    </w:p>
    <w:p w14:paraId="4AC3CD12" w14:textId="77777777" w:rsidR="0098037E" w:rsidRDefault="0098037E" w:rsidP="0098037E">
      <w:pPr>
        <w:pStyle w:val="whitespace-normal"/>
      </w:pPr>
      <w:r w:rsidRPr="0098037E">
        <w:rPr>
          <w:b/>
          <w:bCs/>
        </w:rPr>
        <w:t>Die Satzstruktur:</w:t>
      </w:r>
      <w:r w:rsidRPr="0098037E">
        <w:t xml:space="preserve"> zeigt einen Konditionalsatz: Protasis (</w:t>
      </w:r>
      <w:r w:rsidRPr="0098037E">
        <w:rPr>
          <w:rtl/>
        </w:rPr>
        <w:t>אִם</w:t>
      </w:r>
      <w:r w:rsidRPr="0098037E">
        <w:t xml:space="preserve"> + Objekt + Subjekt + Verb + Objekt) → Apodosis (Verb + Objekt + Adverbialbestimmung). Die Struktur ist maximal verkürzt und konzentriert sich auf das</w:t>
      </w:r>
      <w:r>
        <w:t xml:space="preserve"> Wesentliche: die Darbringung.</w:t>
      </w:r>
    </w:p>
    <w:p w14:paraId="549EF6B1" w14:textId="77777777" w:rsidR="0098037E" w:rsidRDefault="0098037E" w:rsidP="0098037E">
      <w:pPr>
        <w:pStyle w:val="whitespace-normal"/>
      </w:pPr>
      <w:r>
        <w:t>Dieser Vers leitet die spezifischen Bestimmungen für Schafopfer ein und zeigt die strukturelle Ökonomie der Gesetzessprache nach Etablierung der Grundprinzipien.</w:t>
      </w:r>
    </w:p>
    <w:p w14:paraId="6E1F5F09"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3,8</w:t>
      </w:r>
    </w:p>
    <w:p w14:paraId="448DBC0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וְסָמַ֤ךְ אֶת־יָדוֹ֙ עַל־רֹ֣אשׁ קָרְבָּנֹ֔ו וְשָׁחַ֣ט אֹתוֹ֔ לִפְנֵ֖י אֹ֣הֶל מוֹעֵ֑ד וְ֠זָרְקוּ בְּנֵ֨י אַהֲרֹ֧ן אֶת־דָּמֹ֛ו עַל־הַמִּזְבֵּ֖חַ סָבִֽיב׃</w:t>
      </w:r>
    </w:p>
    <w:p w14:paraId="0C7337C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seine Hand auf den Kopf seines Opfers legen und es schlachten vor dem Zelt der Begegnung; und die Söhne 'Aharons sollen sein Blut ringsum an den Altar spritzen.</w:t>
      </w:r>
    </w:p>
    <w:p w14:paraId="3B2FA1F6"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D6120BE">
          <v:rect id="_x0000_i1065" style="width:0;height:1.5pt" o:hralign="center" o:hrstd="t" o:hr="t" fillcolor="#a0a0a0" stroked="f"/>
        </w:pict>
      </w:r>
    </w:p>
    <w:p w14:paraId="2D653DF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Kommentar:</w:t>
      </w:r>
      <w:r w:rsidRPr="0098037E">
        <w:rPr>
          <w:rFonts w:eastAsia="Times New Roman" w:cs="Times New Roman"/>
          <w:lang w:eastAsia="de-DE"/>
        </w:rPr>
        <w:t xml:space="preserve"> </w:t>
      </w:r>
      <w:r w:rsidRPr="0098037E">
        <w:rPr>
          <w:rFonts w:eastAsia="Times New Roman" w:cs="Times New Roman"/>
          <w:b/>
          <w:bCs/>
          <w:rtl/>
          <w:lang w:eastAsia="de-DE"/>
        </w:rPr>
        <w:t>וְסָמַ֤ךְ אֶת־יָדוֹ֙</w:t>
      </w:r>
      <w:r w:rsidRPr="0098037E">
        <w:rPr>
          <w:rFonts w:eastAsia="Times New Roman" w:cs="Times New Roman"/>
          <w:rtl/>
          <w:lang w:eastAsia="de-DE"/>
        </w:rPr>
        <w:t xml:space="preserve"> </w:t>
      </w:r>
      <w:r w:rsidRPr="0098037E">
        <w:rPr>
          <w:rFonts w:eastAsia="Times New Roman" w:cs="Times New Roman"/>
          <w:lang w:eastAsia="de-DE"/>
        </w:rPr>
        <w:t xml:space="preserve">(und er soll seine Hand legen) wiederholt die </w:t>
      </w:r>
      <w:r w:rsidRPr="0098037E">
        <w:rPr>
          <w:rFonts w:eastAsia="Times New Roman" w:cs="Times New Roman"/>
          <w:b/>
          <w:bCs/>
          <w:rtl/>
          <w:lang w:eastAsia="de-DE"/>
        </w:rPr>
        <w:t>סמיכה</w:t>
      </w:r>
      <w:r w:rsidRPr="0098037E">
        <w:rPr>
          <w:rFonts w:eastAsia="Times New Roman" w:cs="Times New Roman"/>
          <w:rtl/>
          <w:lang w:eastAsia="de-DE"/>
        </w:rPr>
        <w:t xml:space="preserve"> </w:t>
      </w:r>
      <w:r w:rsidRPr="0098037E">
        <w:rPr>
          <w:rFonts w:eastAsia="Times New Roman" w:cs="Times New Roman"/>
          <w:lang w:eastAsia="de-DE"/>
        </w:rPr>
        <w:t xml:space="preserve">(Handauflegung) mit </w:t>
      </w:r>
      <w:r w:rsidRPr="0098037E">
        <w:rPr>
          <w:rFonts w:eastAsia="Times New Roman" w:cs="Times New Roman"/>
          <w:b/>
          <w:bCs/>
          <w:rtl/>
          <w:lang w:eastAsia="de-DE"/>
        </w:rPr>
        <w:t>את</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lang w:eastAsia="de-DE"/>
        </w:rPr>
        <w:t xml:space="preserve">ohne </w:t>
      </w:r>
      <w:r w:rsidRPr="0098037E">
        <w:rPr>
          <w:rFonts w:eastAsia="Times New Roman" w:cs="Times New Roman"/>
          <w:b/>
          <w:bCs/>
          <w:rtl/>
          <w:lang w:eastAsia="de-DE"/>
        </w:rPr>
        <w:t>את</w:t>
      </w:r>
      <w:r w:rsidRPr="0098037E">
        <w:rPr>
          <w:rFonts w:eastAsia="Times New Roman" w:cs="Times New Roman"/>
          <w:rtl/>
          <w:lang w:eastAsia="de-DE"/>
        </w:rPr>
        <w:t xml:space="preserve"> </w:t>
      </w:r>
      <w:r w:rsidRPr="0098037E">
        <w:rPr>
          <w:rFonts w:eastAsia="Times New Roman" w:cs="Times New Roman"/>
          <w:lang w:eastAsia="de-DE"/>
        </w:rPr>
        <w:t xml:space="preserve">wie in V. 2. </w:t>
      </w:r>
      <w:r w:rsidRPr="0098037E">
        <w:rPr>
          <w:rFonts w:eastAsia="Times New Roman" w:cs="Times New Roman"/>
          <w:b/>
          <w:bCs/>
          <w:rtl/>
          <w:lang w:eastAsia="de-DE"/>
        </w:rPr>
        <w:t>אֶת־יָדוֹ֙</w:t>
      </w:r>
      <w:r w:rsidRPr="0098037E">
        <w:rPr>
          <w:rFonts w:eastAsia="Times New Roman" w:cs="Times New Roman"/>
          <w:rtl/>
          <w:lang w:eastAsia="de-DE"/>
        </w:rPr>
        <w:t xml:space="preserve"> </w:t>
      </w:r>
      <w:r w:rsidRPr="0098037E">
        <w:rPr>
          <w:rFonts w:eastAsia="Times New Roman" w:cs="Times New Roman"/>
          <w:lang w:eastAsia="de-DE"/>
        </w:rPr>
        <w:t xml:space="preserve">mit Nota accusativi zeigt grammatische Variation. </w:t>
      </w:r>
      <w:r w:rsidRPr="0098037E">
        <w:rPr>
          <w:rFonts w:eastAsia="Times New Roman" w:cs="Times New Roman"/>
          <w:b/>
          <w:bCs/>
          <w:rtl/>
          <w:lang w:eastAsia="de-DE"/>
        </w:rPr>
        <w:t>עַל־רֹ֣אשׁ קָרְבָּנֹ֔ו</w:t>
      </w:r>
      <w:r w:rsidRPr="0098037E">
        <w:rPr>
          <w:rFonts w:eastAsia="Times New Roman" w:cs="Times New Roman"/>
          <w:rtl/>
          <w:lang w:eastAsia="de-DE"/>
        </w:rPr>
        <w:t xml:space="preserve"> </w:t>
      </w:r>
      <w:r w:rsidRPr="0098037E">
        <w:rPr>
          <w:rFonts w:eastAsia="Times New Roman" w:cs="Times New Roman"/>
          <w:lang w:eastAsia="de-DE"/>
        </w:rPr>
        <w:t>(auf den Kopf seines Opfers) entspricht exakt den vorherigen Versen.</w:t>
      </w:r>
    </w:p>
    <w:p w14:paraId="2006561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וְשָׁחַ֣ט אֹתוֹ֔</w:t>
      </w:r>
      <w:r w:rsidRPr="0098037E">
        <w:rPr>
          <w:rFonts w:eastAsia="Times New Roman" w:cs="Times New Roman"/>
          <w:rtl/>
          <w:lang w:eastAsia="de-DE"/>
        </w:rPr>
        <w:t xml:space="preserve"> </w:t>
      </w:r>
      <w:r w:rsidRPr="0098037E">
        <w:rPr>
          <w:rFonts w:eastAsia="Times New Roman" w:cs="Times New Roman"/>
          <w:lang w:eastAsia="de-DE"/>
        </w:rPr>
        <w:t xml:space="preserve">(und er soll es schlachten) ist Qal-Perfekt mit Waw-Konsekutiv von </w:t>
      </w:r>
      <w:r w:rsidRPr="0098037E">
        <w:rPr>
          <w:rFonts w:eastAsia="Times New Roman" w:cs="Times New Roman"/>
          <w:b/>
          <w:bCs/>
          <w:rtl/>
          <w:lang w:eastAsia="de-DE"/>
        </w:rPr>
        <w:t>שחט</w:t>
      </w:r>
      <w:r w:rsidRPr="0098037E">
        <w:rPr>
          <w:rFonts w:eastAsia="Times New Roman" w:cs="Times New Roman"/>
          <w:lang w:eastAsia="de-DE"/>
        </w:rPr>
        <w:t xml:space="preserve">, 3. Person maskulin Singular mit Objektsuffix. </w:t>
      </w:r>
      <w:r w:rsidRPr="0098037E">
        <w:rPr>
          <w:rFonts w:eastAsia="Times New Roman" w:cs="Times New Roman"/>
          <w:b/>
          <w:bCs/>
          <w:rtl/>
          <w:lang w:eastAsia="de-DE"/>
        </w:rPr>
        <w:t>לִפְנֵ֖י אֹ֣הֶל מוֹעֵ֑ד</w:t>
      </w:r>
      <w:r w:rsidRPr="0098037E">
        <w:rPr>
          <w:rFonts w:eastAsia="Times New Roman" w:cs="Times New Roman"/>
          <w:rtl/>
          <w:lang w:eastAsia="de-DE"/>
        </w:rPr>
        <w:t xml:space="preserve"> </w:t>
      </w:r>
      <w:r w:rsidRPr="0098037E">
        <w:rPr>
          <w:rFonts w:eastAsia="Times New Roman" w:cs="Times New Roman"/>
          <w:lang w:eastAsia="de-DE"/>
        </w:rPr>
        <w:t>(vor dem Zelt der Begegnung) ändert die Ortsangabe von V. 2 (</w:t>
      </w:r>
      <w:r w:rsidRPr="0098037E">
        <w:rPr>
          <w:rFonts w:eastAsia="Times New Roman" w:cs="Times New Roman"/>
          <w:b/>
          <w:bCs/>
          <w:rtl/>
          <w:lang w:eastAsia="de-DE"/>
        </w:rPr>
        <w:t>פֶּתַח אֹהֶל מוֹעֵד</w:t>
      </w:r>
      <w:r w:rsidRPr="0098037E">
        <w:rPr>
          <w:rFonts w:eastAsia="Times New Roman" w:cs="Times New Roman"/>
          <w:lang w:eastAsia="de-DE"/>
        </w:rPr>
        <w:t xml:space="preserve">) zu </w:t>
      </w:r>
      <w:r w:rsidRPr="0098037E">
        <w:rPr>
          <w:rFonts w:eastAsia="Times New Roman" w:cs="Times New Roman"/>
          <w:b/>
          <w:bCs/>
          <w:rtl/>
          <w:lang w:eastAsia="de-DE"/>
        </w:rPr>
        <w:t>לִפְנֵי אֹהֶל מוֹעֵד</w:t>
      </w:r>
      <w:r w:rsidRPr="0098037E">
        <w:rPr>
          <w:rFonts w:eastAsia="Times New Roman" w:cs="Times New Roman"/>
          <w:lang w:eastAsia="de-DE"/>
        </w:rPr>
        <w:t>.</w:t>
      </w:r>
    </w:p>
    <w:p w14:paraId="2E22714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וְ֠זָרְקוּ בְּנֵ֨י אַהֲרֹ֧ן</w:t>
      </w:r>
      <w:r w:rsidRPr="0098037E">
        <w:rPr>
          <w:rFonts w:eastAsia="Times New Roman" w:cs="Times New Roman"/>
          <w:rtl/>
          <w:lang w:eastAsia="de-DE"/>
        </w:rPr>
        <w:t xml:space="preserve"> </w:t>
      </w:r>
      <w:r w:rsidRPr="0098037E">
        <w:rPr>
          <w:rFonts w:eastAsia="Times New Roman" w:cs="Times New Roman"/>
          <w:lang w:eastAsia="de-DE"/>
        </w:rPr>
        <w:t xml:space="preserve">(und die Söhne Aarons sollen spritzen) zeigt identische priesterliche Verantwortung. </w:t>
      </w:r>
      <w:r w:rsidRPr="0098037E">
        <w:rPr>
          <w:rFonts w:eastAsia="Times New Roman" w:cs="Times New Roman"/>
          <w:b/>
          <w:bCs/>
          <w:rtl/>
          <w:lang w:eastAsia="de-DE"/>
        </w:rPr>
        <w:t>אֶת־דָּמֹ֛ו</w:t>
      </w:r>
      <w:r w:rsidRPr="0098037E">
        <w:rPr>
          <w:rFonts w:eastAsia="Times New Roman" w:cs="Times New Roman"/>
          <w:rtl/>
          <w:lang w:eastAsia="de-DE"/>
        </w:rPr>
        <w:t xml:space="preserve"> </w:t>
      </w:r>
      <w:r w:rsidRPr="0098037E">
        <w:rPr>
          <w:rFonts w:eastAsia="Times New Roman" w:cs="Times New Roman"/>
          <w:lang w:eastAsia="de-DE"/>
        </w:rPr>
        <w:t xml:space="preserve">(sein Blut) mit Possessivsuffix 3. Person maskulin Singular, </w:t>
      </w:r>
      <w:r w:rsidRPr="0098037E">
        <w:rPr>
          <w:rFonts w:eastAsia="Times New Roman" w:cs="Times New Roman"/>
          <w:b/>
          <w:bCs/>
          <w:rtl/>
          <w:lang w:eastAsia="de-DE"/>
        </w:rPr>
        <w:t>עַל־הַמִּזְבֵּ֖חַ סָבִֽיב</w:t>
      </w:r>
      <w:r w:rsidRPr="0098037E">
        <w:rPr>
          <w:rFonts w:eastAsia="Times New Roman" w:cs="Times New Roman"/>
          <w:rtl/>
          <w:lang w:eastAsia="de-DE"/>
        </w:rPr>
        <w:t xml:space="preserve"> </w:t>
      </w:r>
      <w:r w:rsidRPr="0098037E">
        <w:rPr>
          <w:rFonts w:eastAsia="Times New Roman" w:cs="Times New Roman"/>
          <w:lang w:eastAsia="de-DE"/>
        </w:rPr>
        <w:t>(ringsum an den Altar) entspricht V. 2.</w:t>
      </w:r>
    </w:p>
    <w:p w14:paraId="7A6062F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w:t>
      </w:r>
      <w:r w:rsidRPr="0098037E">
        <w:rPr>
          <w:rFonts w:eastAsia="Times New Roman" w:cs="Times New Roman"/>
          <w:b/>
          <w:bCs/>
          <w:rtl/>
          <w:lang w:eastAsia="de-DE"/>
        </w:rPr>
        <w:t>פֶּתַח</w:t>
      </w:r>
      <w:r w:rsidRPr="0098037E">
        <w:rPr>
          <w:rFonts w:eastAsia="Times New Roman" w:cs="Times New Roman"/>
          <w:rtl/>
          <w:lang w:eastAsia="de-DE"/>
        </w:rPr>
        <w:t xml:space="preserve"> </w:t>
      </w:r>
      <w:r w:rsidRPr="0098037E">
        <w:rPr>
          <w:rFonts w:eastAsia="Times New Roman" w:cs="Times New Roman"/>
          <w:lang w:eastAsia="de-DE"/>
        </w:rPr>
        <w:t xml:space="preserve">(am Eingang) vs. </w:t>
      </w:r>
      <w:r w:rsidRPr="0098037E">
        <w:rPr>
          <w:rFonts w:eastAsia="Times New Roman" w:cs="Times New Roman"/>
          <w:b/>
          <w:bCs/>
          <w:rtl/>
          <w:lang w:eastAsia="de-DE"/>
        </w:rPr>
        <w:t>לִפְנֵי</w:t>
      </w:r>
      <w:r w:rsidRPr="0098037E">
        <w:rPr>
          <w:rFonts w:eastAsia="Times New Roman" w:cs="Times New Roman"/>
          <w:rtl/>
          <w:lang w:eastAsia="de-DE"/>
        </w:rPr>
        <w:t xml:space="preserve"> </w:t>
      </w:r>
      <w:r w:rsidRPr="0098037E">
        <w:rPr>
          <w:rFonts w:eastAsia="Times New Roman" w:cs="Times New Roman"/>
          <w:lang w:eastAsia="de-DE"/>
        </w:rPr>
        <w:t xml:space="preserve">(vor) zeigt möglicherweise verschiedene liturgische Positionen oder ist stilistische Variation. </w:t>
      </w:r>
      <w:r w:rsidRPr="0098037E">
        <w:rPr>
          <w:rFonts w:eastAsia="Times New Roman" w:cs="Times New Roman"/>
          <w:b/>
          <w:bCs/>
          <w:rtl/>
          <w:lang w:eastAsia="de-DE"/>
        </w:rPr>
        <w:t>לִפְנֵי אֹהֶל מוֹעֵד</w:t>
      </w:r>
      <w:r w:rsidRPr="0098037E">
        <w:rPr>
          <w:rFonts w:eastAsia="Times New Roman" w:cs="Times New Roman"/>
          <w:rtl/>
          <w:lang w:eastAsia="de-DE"/>
        </w:rPr>
        <w:t xml:space="preserve"> </w:t>
      </w:r>
      <w:r w:rsidRPr="0098037E">
        <w:rPr>
          <w:rFonts w:eastAsia="Times New Roman" w:cs="Times New Roman"/>
          <w:lang w:eastAsia="de-DE"/>
        </w:rPr>
        <w:t>(vor dem Zelt der Begegnung) betont die Nähe zum Heiligtum.</w:t>
      </w:r>
    </w:p>
    <w:p w14:paraId="5EC29EE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דָּמוֹ</w:t>
      </w:r>
      <w:r w:rsidRPr="0098037E">
        <w:rPr>
          <w:rFonts w:eastAsia="Times New Roman" w:cs="Times New Roman"/>
          <w:rtl/>
          <w:lang w:eastAsia="de-DE"/>
        </w:rPr>
        <w:t xml:space="preserve"> </w:t>
      </w:r>
      <w:r w:rsidRPr="0098037E">
        <w:rPr>
          <w:rFonts w:eastAsia="Times New Roman" w:cs="Times New Roman"/>
          <w:lang w:eastAsia="de-DE"/>
        </w:rPr>
        <w:t xml:space="preserve">(sein Blut) mit maskulinem Suffix bezieht sich spezifisch auf das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(Schaf) zurück, im Unterschied zu </w:t>
      </w:r>
      <w:r w:rsidRPr="0098037E">
        <w:rPr>
          <w:rFonts w:eastAsia="Times New Roman" w:cs="Times New Roman"/>
          <w:b/>
          <w:bCs/>
          <w:rtl/>
          <w:lang w:eastAsia="de-DE"/>
        </w:rPr>
        <w:t>הַדָּם</w:t>
      </w:r>
      <w:r w:rsidRPr="0098037E">
        <w:rPr>
          <w:rFonts w:eastAsia="Times New Roman" w:cs="Times New Roman"/>
          <w:rtl/>
          <w:lang w:eastAsia="de-DE"/>
        </w:rPr>
        <w:t xml:space="preserve"> </w:t>
      </w:r>
      <w:r w:rsidRPr="0098037E">
        <w:rPr>
          <w:rFonts w:eastAsia="Times New Roman" w:cs="Times New Roman"/>
          <w:lang w:eastAsia="de-DE"/>
        </w:rPr>
        <w:t>(das Blut) allgemein in V. 2.</w:t>
      </w:r>
    </w:p>
    <w:p w14:paraId="6B582FF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וְסָמַ֤ךְ</w:t>
      </w:r>
      <w:r w:rsidRPr="0098037E">
        <w:rPr>
          <w:rFonts w:eastAsia="Times New Roman" w:cs="Times New Roman"/>
          <w:rtl/>
          <w:lang w:eastAsia="de-DE"/>
        </w:rPr>
        <w:t xml:space="preserve"> </w:t>
      </w:r>
      <w:r w:rsidRPr="0098037E">
        <w:rPr>
          <w:rFonts w:eastAsia="Times New Roman" w:cs="Times New Roman"/>
          <w:lang w:eastAsia="de-DE"/>
        </w:rPr>
        <w:t>mit καὶ ἐπ</w:t>
      </w:r>
      <w:proofErr w:type="spellStart"/>
      <w:r w:rsidRPr="0098037E">
        <w:rPr>
          <w:rFonts w:eastAsia="Times New Roman" w:cs="Times New Roman"/>
          <w:lang w:eastAsia="de-DE"/>
        </w:rPr>
        <w:t>ιθήσει</w:t>
      </w:r>
      <w:proofErr w:type="spellEnd"/>
      <w:r w:rsidRPr="0098037E">
        <w:rPr>
          <w:rFonts w:eastAsia="Times New Roman" w:cs="Times New Roman"/>
          <w:lang w:eastAsia="de-DE"/>
        </w:rPr>
        <w:t xml:space="preserve"> (und er soll auflegen), </w:t>
      </w:r>
      <w:r w:rsidRPr="0098037E">
        <w:rPr>
          <w:rFonts w:eastAsia="Times New Roman" w:cs="Times New Roman"/>
          <w:b/>
          <w:bCs/>
          <w:rtl/>
          <w:lang w:eastAsia="de-DE"/>
        </w:rPr>
        <w:t>וְשָׁחַ֣ט</w:t>
      </w:r>
      <w:r w:rsidRPr="0098037E">
        <w:rPr>
          <w:rFonts w:eastAsia="Times New Roman" w:cs="Times New Roman"/>
          <w:rtl/>
          <w:lang w:eastAsia="de-DE"/>
        </w:rPr>
        <w:t xml:space="preserve"> </w:t>
      </w:r>
      <w:r w:rsidRPr="0098037E">
        <w:rPr>
          <w:rFonts w:eastAsia="Times New Roman" w:cs="Times New Roman"/>
          <w:lang w:eastAsia="de-DE"/>
        </w:rPr>
        <w:t xml:space="preserve">mit καὶ </w:t>
      </w:r>
      <w:proofErr w:type="spellStart"/>
      <w:r w:rsidRPr="0098037E">
        <w:rPr>
          <w:rFonts w:eastAsia="Times New Roman" w:cs="Times New Roman"/>
          <w:lang w:eastAsia="de-DE"/>
        </w:rPr>
        <w:t>σφάξει</w:t>
      </w:r>
      <w:proofErr w:type="spellEnd"/>
      <w:r w:rsidRPr="0098037E">
        <w:rPr>
          <w:rFonts w:eastAsia="Times New Roman" w:cs="Times New Roman"/>
          <w:lang w:eastAsia="de-DE"/>
        </w:rPr>
        <w:t xml:space="preserve"> (und er soll schlachten) und </w:t>
      </w:r>
      <w:r w:rsidRPr="0098037E">
        <w:rPr>
          <w:rFonts w:eastAsia="Times New Roman" w:cs="Times New Roman"/>
          <w:b/>
          <w:bCs/>
          <w:rtl/>
          <w:lang w:eastAsia="de-DE"/>
        </w:rPr>
        <w:t>וְ֠זָרְקוּ</w:t>
      </w:r>
      <w:r w:rsidRPr="0098037E">
        <w:rPr>
          <w:rFonts w:eastAsia="Times New Roman" w:cs="Times New Roman"/>
          <w:rtl/>
          <w:lang w:eastAsia="de-DE"/>
        </w:rPr>
        <w:t xml:space="preserve"> </w:t>
      </w:r>
      <w:r w:rsidRPr="0098037E">
        <w:rPr>
          <w:rFonts w:eastAsia="Times New Roman" w:cs="Times New Roman"/>
          <w:lang w:eastAsia="de-DE"/>
        </w:rPr>
        <w:t>mit καὶ π</w:t>
      </w:r>
      <w:proofErr w:type="spellStart"/>
      <w:r w:rsidRPr="0098037E">
        <w:rPr>
          <w:rFonts w:eastAsia="Times New Roman" w:cs="Times New Roman"/>
          <w:lang w:eastAsia="de-DE"/>
        </w:rPr>
        <w:t>ροσχεοῦσιν</w:t>
      </w:r>
      <w:proofErr w:type="spellEnd"/>
      <w:r w:rsidRPr="0098037E">
        <w:rPr>
          <w:rFonts w:eastAsia="Times New Roman" w:cs="Times New Roman"/>
          <w:lang w:eastAsia="de-DE"/>
        </w:rPr>
        <w:t xml:space="preserve"> (und sie sollen ausgießen).</w:t>
      </w:r>
    </w:p>
    <w:p w14:paraId="3135A55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 2: drei koordinierte Hauptsätze mit Waw-Konsekutiv. Die grammatischen Variationen (</w:t>
      </w:r>
      <w:r w:rsidRPr="0098037E">
        <w:rPr>
          <w:rFonts w:eastAsia="Times New Roman" w:cs="Times New Roman"/>
          <w:b/>
          <w:bCs/>
          <w:rtl/>
          <w:lang w:eastAsia="de-DE"/>
        </w:rPr>
        <w:t>את יָדוֹ</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יָדוֹ</w:t>
      </w:r>
      <w:r w:rsidRPr="0098037E">
        <w:rPr>
          <w:rFonts w:eastAsia="Times New Roman" w:cs="Times New Roman"/>
          <w:lang w:eastAsia="de-DE"/>
        </w:rPr>
        <w:t xml:space="preserve">, </w:t>
      </w:r>
      <w:r w:rsidRPr="0098037E">
        <w:rPr>
          <w:rFonts w:eastAsia="Times New Roman" w:cs="Times New Roman"/>
          <w:b/>
          <w:bCs/>
          <w:rtl/>
          <w:lang w:eastAsia="de-DE"/>
        </w:rPr>
        <w:t>לִפְנֵי</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פֶּתַח</w:t>
      </w:r>
      <w:r w:rsidRPr="0098037E">
        <w:rPr>
          <w:rFonts w:eastAsia="Times New Roman" w:cs="Times New Roman"/>
          <w:lang w:eastAsia="de-DE"/>
        </w:rPr>
        <w:t xml:space="preserve">, </w:t>
      </w:r>
      <w:r w:rsidRPr="0098037E">
        <w:rPr>
          <w:rFonts w:eastAsia="Times New Roman" w:cs="Times New Roman"/>
          <w:b/>
          <w:bCs/>
          <w:rtl/>
          <w:lang w:eastAsia="de-DE"/>
        </w:rPr>
        <w:t>דָּמוֹ</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הַדָּם</w:t>
      </w:r>
      <w:r w:rsidRPr="0098037E">
        <w:rPr>
          <w:rFonts w:eastAsia="Times New Roman" w:cs="Times New Roman"/>
          <w:lang w:eastAsia="de-DE"/>
        </w:rPr>
        <w:t>) zeigen stilistische Flexibilität bei inhaltlicher Konsistenz.</w:t>
      </w:r>
    </w:p>
    <w:p w14:paraId="72160AA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Dieser Vers etabliert die identischen Anfangsprozeduren für Schafopfer und zeigt durch geringfügige Variationen die Lebendigkeit der Gesetzessprache.</w:t>
      </w:r>
    </w:p>
    <w:p w14:paraId="52A353AD"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3,9</w:t>
      </w:r>
    </w:p>
    <w:p w14:paraId="5ECDF7E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וְהִקְרִ֨יב מִזֶּ֣בַח הַשְּׁלָמִים֮ אִשֶּׁ֣ה לַיהוָה֒ חֶלְבּוֹ֙ הָאַלְיָ֣ה תְמִימָ֔ה לְעֻמַּ֥ת הֶעָצֶ֖ה יְסִירֶ֑נָּה וְאֶת־הַחֵ֨לֶב֙ הַֽמְכַסֶּ֣ה אֶת־הַקֶּ֔רֶב וְאֵת֙ כָּל־הַחֵ֔לֶב אֲשֶׁ֖ר עַל־הַקֶּֽרֶב׃</w:t>
      </w:r>
    </w:p>
    <w:p w14:paraId="1EAB390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von dem Friedensopfer ein Feueropfer dem Ewigen darbringen: sein Fett, den ganzen Fettschwanz; dicht beim Rückgrat soll er ihn abtrennen; und das Fett, welches das Eingeweide bedeckt, und alles Fett, das am Eingeweide ist,</w:t>
      </w:r>
    </w:p>
    <w:p w14:paraId="29B75D3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3231E4A1">
          <v:rect id="_x0000_i1066" style="width:0;height:1.5pt" o:hralign="center" o:hrstd="t" o:hr="t" fillcolor="#a0a0a0" stroked="f"/>
        </w:pict>
      </w:r>
    </w:p>
    <w:p w14:paraId="7A7EFB9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וְהִקְרִ֨יב מִזֶּ֣בַח הַשְּׁלָמִים֮ אִשֶּׁ֣ה לַיהוָה֒</w:t>
      </w:r>
      <w:r w:rsidRPr="0098037E">
        <w:rPr>
          <w:rFonts w:eastAsia="Times New Roman" w:cs="Times New Roman"/>
          <w:rtl/>
          <w:lang w:eastAsia="de-DE"/>
        </w:rPr>
        <w:t xml:space="preserve"> </w:t>
      </w:r>
      <w:r w:rsidRPr="0098037E">
        <w:rPr>
          <w:rFonts w:eastAsia="Times New Roman" w:cs="Times New Roman"/>
          <w:lang w:eastAsia="de-DE"/>
        </w:rPr>
        <w:t xml:space="preserve">entspricht exakt V. 3 und zeigt die konsistente Einleitung der Fettbestimmungen. </w:t>
      </w:r>
      <w:r w:rsidRPr="0098037E">
        <w:rPr>
          <w:rFonts w:eastAsia="Times New Roman" w:cs="Times New Roman"/>
          <w:b/>
          <w:bCs/>
          <w:rtl/>
          <w:lang w:eastAsia="de-DE"/>
        </w:rPr>
        <w:t>חֶלְבּוֹ֙</w:t>
      </w:r>
      <w:r w:rsidRPr="0098037E">
        <w:rPr>
          <w:rFonts w:eastAsia="Times New Roman" w:cs="Times New Roman"/>
          <w:rtl/>
          <w:lang w:eastAsia="de-DE"/>
        </w:rPr>
        <w:t xml:space="preserve"> </w:t>
      </w:r>
      <w:r w:rsidRPr="0098037E">
        <w:rPr>
          <w:rFonts w:eastAsia="Times New Roman" w:cs="Times New Roman"/>
          <w:lang w:eastAsia="de-DE"/>
        </w:rPr>
        <w:t xml:space="preserve">(sein Fett) mit Possessivsuffix 3. Person maskulin Singular bezieht sich auf das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(Schaf).</w:t>
      </w:r>
    </w:p>
    <w:p w14:paraId="7487959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הָאַלְיָ֣ה תְמִימָ֔ה</w:t>
      </w:r>
      <w:r w:rsidRPr="0098037E">
        <w:rPr>
          <w:rFonts w:eastAsia="Times New Roman" w:cs="Times New Roman"/>
          <w:rtl/>
          <w:lang w:eastAsia="de-DE"/>
        </w:rPr>
        <w:t xml:space="preserve"> </w:t>
      </w:r>
      <w:r w:rsidRPr="0098037E">
        <w:rPr>
          <w:rFonts w:eastAsia="Times New Roman" w:cs="Times New Roman"/>
          <w:lang w:eastAsia="de-DE"/>
        </w:rPr>
        <w:t xml:space="preserve">(der ganze Fettschwanz) führt ein bei Schafen spezifisches Element ein. </w:t>
      </w: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 xml:space="preserve">(Fettschwanz) bezeichnet den charakteristischen Fettschwanz orientalischer Schafrassen. </w:t>
      </w:r>
      <w:r w:rsidRPr="0098037E">
        <w:rPr>
          <w:rFonts w:eastAsia="Times New Roman" w:cs="Times New Roman"/>
          <w:b/>
          <w:bCs/>
          <w:rtl/>
          <w:lang w:eastAsia="de-DE"/>
        </w:rPr>
        <w:t>תְמִימָה</w:t>
      </w:r>
      <w:r w:rsidRPr="0098037E">
        <w:rPr>
          <w:rFonts w:eastAsia="Times New Roman" w:cs="Times New Roman"/>
          <w:rtl/>
          <w:lang w:eastAsia="de-DE"/>
        </w:rPr>
        <w:t xml:space="preserve"> </w:t>
      </w:r>
      <w:r w:rsidRPr="0098037E">
        <w:rPr>
          <w:rFonts w:eastAsia="Times New Roman" w:cs="Times New Roman"/>
          <w:lang w:eastAsia="de-DE"/>
        </w:rPr>
        <w:t>(ganz/vollständig) betont, dass der gesamte Fettschwanz zu nehmen ist.</w:t>
      </w:r>
    </w:p>
    <w:p w14:paraId="1081CC4C" w14:textId="6A4B0E1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לְעֻמַּ֥ת הֶעָצֶ֖ה יְסִירֶ֑נָּה</w:t>
      </w:r>
      <w:r w:rsidRPr="0098037E">
        <w:rPr>
          <w:rFonts w:eastAsia="Times New Roman" w:cs="Times New Roman"/>
          <w:rtl/>
          <w:lang w:eastAsia="de-DE"/>
        </w:rPr>
        <w:t xml:space="preserve"> </w:t>
      </w:r>
      <w:r w:rsidRPr="0098037E">
        <w:rPr>
          <w:rFonts w:eastAsia="Times New Roman" w:cs="Times New Roman"/>
          <w:lang w:eastAsia="de-DE"/>
        </w:rPr>
        <w:t xml:space="preserve">(dicht beim Rückgrat soll er ihn abtrennen) gibt die Schnittstelle an. </w:t>
      </w:r>
      <w:r w:rsidRPr="0098037E">
        <w:rPr>
          <w:rFonts w:eastAsia="Times New Roman" w:cs="Times New Roman"/>
          <w:b/>
          <w:bCs/>
          <w:rtl/>
          <w:lang w:eastAsia="de-DE"/>
        </w:rPr>
        <w:t>לְעֻמַּת</w:t>
      </w:r>
      <w:r w:rsidRPr="0098037E">
        <w:rPr>
          <w:rFonts w:eastAsia="Times New Roman" w:cs="Times New Roman"/>
          <w:rtl/>
          <w:lang w:eastAsia="de-DE"/>
        </w:rPr>
        <w:t xml:space="preserve"> </w:t>
      </w:r>
      <w:r w:rsidRPr="0098037E">
        <w:rPr>
          <w:rFonts w:eastAsia="Times New Roman" w:cs="Times New Roman"/>
          <w:lang w:eastAsia="de-DE"/>
        </w:rPr>
        <w:t xml:space="preserve">(gegenüber/nahe bei) mit </w:t>
      </w:r>
      <w:r w:rsidRPr="0098037E">
        <w:rPr>
          <w:rFonts w:eastAsia="Times New Roman" w:cs="Times New Roman"/>
          <w:b/>
          <w:bCs/>
          <w:rtl/>
          <w:lang w:eastAsia="de-DE"/>
        </w:rPr>
        <w:t>עָצֶה</w:t>
      </w:r>
      <w:r w:rsidRPr="0098037E">
        <w:rPr>
          <w:rFonts w:eastAsia="Times New Roman" w:cs="Times New Roman"/>
          <w:rtl/>
          <w:lang w:eastAsia="de-DE"/>
        </w:rPr>
        <w:t xml:space="preserve"> </w:t>
      </w:r>
      <w:r w:rsidRPr="0098037E">
        <w:rPr>
          <w:rFonts w:eastAsia="Times New Roman" w:cs="Times New Roman"/>
          <w:lang w:eastAsia="de-DE"/>
        </w:rPr>
        <w:t xml:space="preserve">(Rückgrat/Wirbelsäule). </w:t>
      </w:r>
      <w:r w:rsidRPr="0098037E">
        <w:rPr>
          <w:rFonts w:eastAsia="Times New Roman" w:cs="Times New Roman"/>
          <w:b/>
          <w:bCs/>
          <w:rtl/>
          <w:lang w:eastAsia="de-DE"/>
        </w:rPr>
        <w:t>יְסִירֶ֑נָּה</w:t>
      </w:r>
      <w:r w:rsidRPr="0098037E">
        <w:rPr>
          <w:rFonts w:eastAsia="Times New Roman" w:cs="Times New Roman"/>
          <w:rtl/>
          <w:lang w:eastAsia="de-DE"/>
        </w:rPr>
        <w:t xml:space="preserve"> </w:t>
      </w:r>
      <w:r w:rsidRPr="0098037E">
        <w:rPr>
          <w:rFonts w:eastAsia="Times New Roman" w:cs="Times New Roman"/>
          <w:lang w:eastAsia="de-DE"/>
        </w:rPr>
        <w:t xml:space="preserve">ist Hifil-Imperfekt 3. Person maskulin Singular von </w:t>
      </w:r>
      <w:r w:rsidRPr="0098037E">
        <w:rPr>
          <w:rFonts w:eastAsia="Times New Roman" w:cs="Times New Roman"/>
          <w:b/>
          <w:bCs/>
          <w:rtl/>
          <w:lang w:eastAsia="de-DE"/>
        </w:rPr>
        <w:t>סור</w:t>
      </w:r>
      <w:r w:rsidRPr="0098037E">
        <w:rPr>
          <w:rFonts w:eastAsia="Times New Roman" w:cs="Times New Roman"/>
          <w:rtl/>
          <w:lang w:eastAsia="de-DE"/>
        </w:rPr>
        <w:t xml:space="preserve"> </w:t>
      </w:r>
      <w:r w:rsidRPr="0098037E">
        <w:rPr>
          <w:rFonts w:eastAsia="Times New Roman" w:cs="Times New Roman"/>
          <w:lang w:eastAsia="de-DE"/>
        </w:rPr>
        <w:t xml:space="preserve">(entfernen) mit </w:t>
      </w:r>
      <w:r w:rsidR="00E35C31">
        <w:rPr>
          <w:rFonts w:eastAsia="Times New Roman" w:cs="Times New Roman"/>
          <w:lang w:eastAsia="de-DE"/>
        </w:rPr>
        <w:t>femininem</w:t>
      </w:r>
      <w:r w:rsidRPr="0098037E">
        <w:rPr>
          <w:rFonts w:eastAsia="Times New Roman" w:cs="Times New Roman"/>
          <w:lang w:eastAsia="de-DE"/>
        </w:rPr>
        <w:t xml:space="preserve"> Objektsuffix, bezogen auf </w:t>
      </w:r>
      <w:r w:rsidRPr="0098037E">
        <w:rPr>
          <w:rFonts w:eastAsia="Times New Roman" w:cs="Times New Roman"/>
          <w:b/>
          <w:bCs/>
          <w:rtl/>
          <w:lang w:eastAsia="de-DE"/>
        </w:rPr>
        <w:t>אַלְיָה</w:t>
      </w:r>
      <w:r w:rsidRPr="0098037E">
        <w:rPr>
          <w:rFonts w:eastAsia="Times New Roman" w:cs="Times New Roman"/>
          <w:lang w:eastAsia="de-DE"/>
        </w:rPr>
        <w:t>.</w:t>
      </w:r>
    </w:p>
    <w:p w14:paraId="5E87336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וְאֶת־הַחֵ֨לֶב֙ הַֽמְכַסֶּ֣ה אֶת־הַקֶּ֔רֶב וְאֵת֙ כָּל־הַחֵ֔לֶב אֲשֶׁ֖ר עַל־הַקֶּֽרֶב</w:t>
      </w:r>
      <w:r w:rsidRPr="0098037E">
        <w:rPr>
          <w:rFonts w:eastAsia="Times New Roman" w:cs="Times New Roman"/>
          <w:rtl/>
          <w:lang w:eastAsia="de-DE"/>
        </w:rPr>
        <w:t xml:space="preserve"> </w:t>
      </w:r>
      <w:r w:rsidRPr="0098037E">
        <w:rPr>
          <w:rFonts w:eastAsia="Times New Roman" w:cs="Times New Roman"/>
          <w:lang w:eastAsia="de-DE"/>
        </w:rPr>
        <w:t>wiederholt exakt die Fettbestimmungen von V. 3-4 und zeigt, dass Schafe dieselben Grundfettteile wie Rinder haben.</w:t>
      </w:r>
    </w:p>
    <w:p w14:paraId="03CB242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 xml:space="preserve">ist eine Besonderheit orientalischer Schafrassen mit besonders entwickelten Fettschwänzen, die als Delikatesse galten. </w:t>
      </w:r>
      <w:r w:rsidRPr="0098037E">
        <w:rPr>
          <w:rFonts w:eastAsia="Times New Roman" w:cs="Times New Roman"/>
          <w:b/>
          <w:bCs/>
          <w:rtl/>
          <w:lang w:eastAsia="de-DE"/>
        </w:rPr>
        <w:t>תְמִימָה</w:t>
      </w:r>
      <w:r w:rsidRPr="0098037E">
        <w:rPr>
          <w:rFonts w:eastAsia="Times New Roman" w:cs="Times New Roman"/>
          <w:rtl/>
          <w:lang w:eastAsia="de-DE"/>
        </w:rPr>
        <w:t xml:space="preserve"> </w:t>
      </w:r>
      <w:r w:rsidRPr="0098037E">
        <w:rPr>
          <w:rFonts w:eastAsia="Times New Roman" w:cs="Times New Roman"/>
          <w:lang w:eastAsia="de-DE"/>
        </w:rPr>
        <w:t xml:space="preserve">(vollständig) betont, dass nichts vom </w:t>
      </w: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zurückbehalten werden darf.</w:t>
      </w:r>
    </w:p>
    <w:p w14:paraId="23368EB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לְעֻמַּת הֶעָצֶ֖ה</w:t>
      </w:r>
      <w:r w:rsidRPr="0098037E">
        <w:rPr>
          <w:rFonts w:eastAsia="Times New Roman" w:cs="Times New Roman"/>
          <w:rtl/>
          <w:lang w:eastAsia="de-DE"/>
        </w:rPr>
        <w:t xml:space="preserve"> </w:t>
      </w:r>
      <w:r w:rsidRPr="0098037E">
        <w:rPr>
          <w:rFonts w:eastAsia="Times New Roman" w:cs="Times New Roman"/>
          <w:lang w:eastAsia="de-DE"/>
        </w:rPr>
        <w:t xml:space="preserve">(nahe der Wirbelsäule) gibt die anatomisch korrekte Trennstelle an der Schwanzwurzel an. Das </w:t>
      </w:r>
      <w:proofErr w:type="spellStart"/>
      <w:r w:rsidRPr="0098037E">
        <w:rPr>
          <w:rFonts w:eastAsia="Times New Roman" w:cs="Times New Roman"/>
          <w:lang w:eastAsia="de-DE"/>
        </w:rPr>
        <w:t>femininenim</w:t>
      </w:r>
      <w:proofErr w:type="spellEnd"/>
      <w:r w:rsidRPr="0098037E">
        <w:rPr>
          <w:rFonts w:eastAsia="Times New Roman" w:cs="Times New Roman"/>
          <w:lang w:eastAsia="de-DE"/>
        </w:rPr>
        <w:t xml:space="preserve"> Suffix bei </w:t>
      </w:r>
      <w:r w:rsidRPr="0098037E">
        <w:rPr>
          <w:rFonts w:eastAsia="Times New Roman" w:cs="Times New Roman"/>
          <w:b/>
          <w:bCs/>
          <w:rtl/>
          <w:lang w:eastAsia="de-DE"/>
        </w:rPr>
        <w:t>יְסִירֶ֑נָּה</w:t>
      </w:r>
      <w:r w:rsidRPr="0098037E">
        <w:rPr>
          <w:rFonts w:eastAsia="Times New Roman" w:cs="Times New Roman"/>
          <w:rtl/>
          <w:lang w:eastAsia="de-DE"/>
        </w:rPr>
        <w:t xml:space="preserve"> </w:t>
      </w:r>
      <w:r w:rsidRPr="0098037E">
        <w:rPr>
          <w:rFonts w:eastAsia="Times New Roman" w:cs="Times New Roman"/>
          <w:lang w:eastAsia="de-DE"/>
        </w:rPr>
        <w:t xml:space="preserve">zeigt, dass </w:t>
      </w: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grammatisch feminin ist.</w:t>
      </w:r>
    </w:p>
    <w:p w14:paraId="7F0DABD6" w14:textId="1B8D92DE"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interpretiert </w:t>
      </w:r>
      <w:r w:rsidR="005070BF">
        <w:rPr>
          <w:rtl/>
        </w:rPr>
        <w:t>האליה תמימה</w:t>
      </w:r>
      <w:r w:rsidR="005070BF">
        <w:t xml:space="preserve"> (</w:t>
      </w:r>
      <w:proofErr w:type="spellStart"/>
      <w:r w:rsidR="005070BF">
        <w:t>ha'alya</w:t>
      </w:r>
      <w:proofErr w:type="spellEnd"/>
      <w:r w:rsidR="005070BF">
        <w:t xml:space="preserve"> </w:t>
      </w:r>
      <w:proofErr w:type="spellStart"/>
      <w:r w:rsidR="005070BF">
        <w:t>temima</w:t>
      </w:r>
      <w:proofErr w:type="spellEnd"/>
      <w:r w:rsidR="005070BF">
        <w:t xml:space="preserve"> - "der ganze Fettschwanz") als </w:t>
      </w:r>
      <w:proofErr w:type="spellStart"/>
      <w:r w:rsidR="005070BF">
        <w:t>τὴν</w:t>
      </w:r>
      <w:proofErr w:type="spellEnd"/>
      <w:r w:rsidR="005070BF">
        <w:t xml:space="preserve"> </w:t>
      </w:r>
      <w:proofErr w:type="spellStart"/>
      <w:r w:rsidR="005070BF">
        <w:t>ὀσφὺν</w:t>
      </w:r>
      <w:proofErr w:type="spellEnd"/>
      <w:r w:rsidR="005070BF">
        <w:t xml:space="preserve"> </w:t>
      </w:r>
      <w:proofErr w:type="spellStart"/>
      <w:r w:rsidR="005070BF">
        <w:t>ἄμωμον</w:t>
      </w:r>
      <w:proofErr w:type="spellEnd"/>
      <w:r w:rsidR="005070BF">
        <w:t xml:space="preserve"> (das unversehrte Rückgrat), was eine anatomische Fehlinterpretation des spezifischen Schafschwanzes darstellt. Dies zeigt möglicherweise mangelnde Vertrautheit mit nahöstlichen Schafrassen.</w:t>
      </w:r>
    </w:p>
    <w:p w14:paraId="4A863B2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einen komplexen Hauptsatz: Verb + Präpositionalphrase + Objekt + Dativangabe + komplexes direktes Objekt (Possessivkonstruktion + Apposition + Qualifikation + Verbalbestimmung) + koordinierte Objekte. Die </w:t>
      </w:r>
      <w:r w:rsidRPr="0098037E">
        <w:rPr>
          <w:rFonts w:eastAsia="Times New Roman" w:cs="Times New Roman"/>
          <w:b/>
          <w:bCs/>
          <w:rtl/>
          <w:lang w:eastAsia="de-DE"/>
        </w:rPr>
        <w:t>אַלְיָה</w:t>
      </w:r>
      <w:r w:rsidRPr="0098037E">
        <w:rPr>
          <w:rFonts w:eastAsia="Times New Roman" w:cs="Times New Roman"/>
          <w:lang w:eastAsia="de-DE"/>
        </w:rPr>
        <w:t>-Bestimmung ist durch Apposition und Verbalbestimmung erweitert.</w:t>
      </w:r>
    </w:p>
    <w:p w14:paraId="1A97741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führt die schafspezifische </w:t>
      </w:r>
      <w:r w:rsidRPr="0098037E">
        <w:rPr>
          <w:rFonts w:eastAsia="Times New Roman" w:cs="Times New Roman"/>
          <w:b/>
          <w:bCs/>
          <w:rtl/>
          <w:lang w:eastAsia="de-DE"/>
        </w:rPr>
        <w:t>אַלְיָה</w:t>
      </w:r>
      <w:r w:rsidRPr="0098037E">
        <w:rPr>
          <w:rFonts w:eastAsia="Times New Roman" w:cs="Times New Roman"/>
          <w:lang w:eastAsia="de-DE"/>
        </w:rPr>
        <w:t>-Bestimmung ein und zeigt die Anpassung der Opfergesetze an unterschiedliche Tierarten bei Beibehaltung der Grundprinzipien.</w:t>
      </w:r>
    </w:p>
    <w:p w14:paraId="3F4CC5E2"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3,10</w:t>
      </w:r>
    </w:p>
    <w:p w14:paraId="7F5045C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וְאֵת֙ שְׁתֵּ֣י הַכְּלָיֹ֔ת וְאֶת־הַחֵ֨לֶב֙ אֲשֶׁ֣ר עֲלֵהֶ֔ן אֲשֶׁ֖ר עַל־הַכְּסָלִ֑ים וְאֶת־הַיֹּתֶ֨רֶת֙ עַל־הַכָּבֵ֔ד עַל־הַכְּלָיֹ֖ת יְסִירֶֽנָּה׃</w:t>
      </w:r>
    </w:p>
    <w:p w14:paraId="45925CA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beiden Nieren und das Fett, das an ihnen, das an den Lenden ist, und das Netz über der Leber: Samt den Nieren soll er sie abtrennen.</w:t>
      </w:r>
    </w:p>
    <w:p w14:paraId="1AF95FB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3F1CB287">
          <v:rect id="_x0000_i1067" style="width:0;height:1.5pt" o:hralign="center" o:hrstd="t" o:hr="t" fillcolor="#a0a0a0" stroked="f"/>
        </w:pict>
      </w:r>
    </w:p>
    <w:p w14:paraId="6BD8C7C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Dieser Vers ist eine exakte Wiederholung von Vers 4 und etabliert die identischen Organ- und Fettbestimmungen für Schafe wie für Rinder. </w:t>
      </w:r>
      <w:r w:rsidRPr="0098037E">
        <w:rPr>
          <w:rFonts w:eastAsia="Times New Roman" w:cs="Times New Roman"/>
          <w:b/>
          <w:bCs/>
          <w:rtl/>
          <w:lang w:eastAsia="de-DE"/>
        </w:rPr>
        <w:t>וְאֵת֙ שְׁתֵּ֣י הַכְּלָיֹ֔ת</w:t>
      </w:r>
      <w:r w:rsidRPr="0098037E">
        <w:rPr>
          <w:rFonts w:eastAsia="Times New Roman" w:cs="Times New Roman"/>
          <w:rtl/>
          <w:lang w:eastAsia="de-DE"/>
        </w:rPr>
        <w:t xml:space="preserve"> </w:t>
      </w:r>
      <w:r w:rsidRPr="0098037E">
        <w:rPr>
          <w:rFonts w:eastAsia="Times New Roman" w:cs="Times New Roman"/>
          <w:lang w:eastAsia="de-DE"/>
        </w:rPr>
        <w:t xml:space="preserve">(und die beiden Nieren), </w:t>
      </w:r>
      <w:r w:rsidRPr="0098037E">
        <w:rPr>
          <w:rFonts w:eastAsia="Times New Roman" w:cs="Times New Roman"/>
          <w:b/>
          <w:bCs/>
          <w:rtl/>
          <w:lang w:eastAsia="de-DE"/>
        </w:rPr>
        <w:t>וְאֶת־הַחֵ֨לֶב֙ אֲשֶׁ֣ר עֲלֵהֶ֔ן אֲשֶׁ֖ר עַל־הַכְּסָלִ֑ים</w:t>
      </w:r>
      <w:r w:rsidRPr="0098037E">
        <w:rPr>
          <w:rFonts w:eastAsia="Times New Roman" w:cs="Times New Roman"/>
          <w:rtl/>
          <w:lang w:eastAsia="de-DE"/>
        </w:rPr>
        <w:t xml:space="preserve"> </w:t>
      </w:r>
      <w:r w:rsidRPr="0098037E">
        <w:rPr>
          <w:rFonts w:eastAsia="Times New Roman" w:cs="Times New Roman"/>
          <w:lang w:eastAsia="de-DE"/>
        </w:rPr>
        <w:t xml:space="preserve">(und das Fett, das auf ihnen, das an den Lenden ist), </w:t>
      </w:r>
      <w:r w:rsidRPr="0098037E">
        <w:rPr>
          <w:rFonts w:eastAsia="Times New Roman" w:cs="Times New Roman"/>
          <w:b/>
          <w:bCs/>
          <w:rtl/>
          <w:lang w:eastAsia="de-DE"/>
        </w:rPr>
        <w:t>וְאֶת־הַיֹּתֶ֨רֶת֙ עַל־הַכָּבֵ֔ד</w:t>
      </w:r>
      <w:r w:rsidRPr="0098037E">
        <w:rPr>
          <w:rFonts w:eastAsia="Times New Roman" w:cs="Times New Roman"/>
          <w:rtl/>
          <w:lang w:eastAsia="de-DE"/>
        </w:rPr>
        <w:t xml:space="preserve"> </w:t>
      </w:r>
      <w:r w:rsidRPr="0098037E">
        <w:rPr>
          <w:rFonts w:eastAsia="Times New Roman" w:cs="Times New Roman"/>
          <w:lang w:eastAsia="de-DE"/>
        </w:rPr>
        <w:t xml:space="preserve">(und den Lappen über der Leber) und </w:t>
      </w:r>
      <w:r w:rsidRPr="0098037E">
        <w:rPr>
          <w:rFonts w:eastAsia="Times New Roman" w:cs="Times New Roman"/>
          <w:b/>
          <w:bCs/>
          <w:rtl/>
          <w:lang w:eastAsia="de-DE"/>
        </w:rPr>
        <w:t>עַל־הַכְּלָיֹ֖ת יְסִירֶֽנָּה</w:t>
      </w:r>
      <w:r w:rsidRPr="0098037E">
        <w:rPr>
          <w:rFonts w:eastAsia="Times New Roman" w:cs="Times New Roman"/>
          <w:rtl/>
          <w:lang w:eastAsia="de-DE"/>
        </w:rPr>
        <w:t xml:space="preserve"> </w:t>
      </w:r>
      <w:r w:rsidRPr="0098037E">
        <w:rPr>
          <w:rFonts w:eastAsia="Times New Roman" w:cs="Times New Roman"/>
          <w:lang w:eastAsia="de-DE"/>
        </w:rPr>
        <w:t>(samt den Nieren soll er es abtrennen).</w:t>
      </w:r>
    </w:p>
    <w:p w14:paraId="76757CF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wörtliche Wiederholung zeigt, dass die anatomischen Grundbestimmungen für alle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 xml:space="preserve">identisch sind, unabhängig von der Tierkategorie. Nur die schafspezifische </w:t>
      </w: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(Fettschwanz) in V. 9 stellt eine Ergänzung dar.</w:t>
      </w:r>
    </w:p>
    <w:p w14:paraId="14477E2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כְּלָיוֹת</w:t>
      </w:r>
      <w:r w:rsidRPr="0098037E">
        <w:rPr>
          <w:rFonts w:eastAsia="Times New Roman" w:cs="Times New Roman"/>
          <w:rtl/>
          <w:lang w:eastAsia="de-DE"/>
        </w:rPr>
        <w:t xml:space="preserve"> </w:t>
      </w:r>
      <w:r w:rsidRPr="0098037E">
        <w:rPr>
          <w:rFonts w:eastAsia="Times New Roman" w:cs="Times New Roman"/>
          <w:lang w:eastAsia="de-DE"/>
        </w:rPr>
        <w:t xml:space="preserve">(Nieren), </w:t>
      </w:r>
      <w:r w:rsidRPr="0098037E">
        <w:rPr>
          <w:rFonts w:eastAsia="Times New Roman" w:cs="Times New Roman"/>
          <w:b/>
          <w:bCs/>
          <w:rtl/>
          <w:lang w:eastAsia="de-DE"/>
        </w:rPr>
        <w:t>חֵלֶב</w:t>
      </w:r>
      <w:r w:rsidRPr="0098037E">
        <w:rPr>
          <w:rFonts w:eastAsia="Times New Roman" w:cs="Times New Roman"/>
          <w:rtl/>
          <w:lang w:eastAsia="de-DE"/>
        </w:rPr>
        <w:t xml:space="preserve"> </w:t>
      </w:r>
      <w:r w:rsidRPr="0098037E">
        <w:rPr>
          <w:rFonts w:eastAsia="Times New Roman" w:cs="Times New Roman"/>
          <w:lang w:eastAsia="de-DE"/>
        </w:rPr>
        <w:t xml:space="preserve">(Fett), </w:t>
      </w:r>
      <w:r w:rsidRPr="0098037E">
        <w:rPr>
          <w:rFonts w:eastAsia="Times New Roman" w:cs="Times New Roman"/>
          <w:b/>
          <w:bCs/>
          <w:rtl/>
          <w:lang w:eastAsia="de-DE"/>
        </w:rPr>
        <w:t>כְּסָלִים</w:t>
      </w:r>
      <w:r w:rsidRPr="0098037E">
        <w:rPr>
          <w:rFonts w:eastAsia="Times New Roman" w:cs="Times New Roman"/>
          <w:rtl/>
          <w:lang w:eastAsia="de-DE"/>
        </w:rPr>
        <w:t xml:space="preserve"> </w:t>
      </w:r>
      <w:r w:rsidRPr="0098037E">
        <w:rPr>
          <w:rFonts w:eastAsia="Times New Roman" w:cs="Times New Roman"/>
          <w:lang w:eastAsia="de-DE"/>
        </w:rPr>
        <w:t xml:space="preserve">(Lenden) und </w:t>
      </w:r>
      <w:r w:rsidRPr="0098037E">
        <w:rPr>
          <w:rFonts w:eastAsia="Times New Roman" w:cs="Times New Roman"/>
          <w:b/>
          <w:bCs/>
          <w:rtl/>
          <w:lang w:eastAsia="de-DE"/>
        </w:rPr>
        <w:t>יֹתֶרֶת עַל־הַכָּבֵד</w:t>
      </w:r>
      <w:r w:rsidRPr="0098037E">
        <w:rPr>
          <w:rFonts w:eastAsia="Times New Roman" w:cs="Times New Roman"/>
          <w:rtl/>
          <w:lang w:eastAsia="de-DE"/>
        </w:rPr>
        <w:t xml:space="preserve"> </w:t>
      </w:r>
      <w:r w:rsidRPr="0098037E">
        <w:rPr>
          <w:rFonts w:eastAsia="Times New Roman" w:cs="Times New Roman"/>
          <w:lang w:eastAsia="de-DE"/>
        </w:rPr>
        <w:t xml:space="preserve">(Leberlappen) sind universelle Opferbestandteile bei allen </w:t>
      </w:r>
      <w:r w:rsidRPr="0098037E">
        <w:rPr>
          <w:rFonts w:eastAsia="Times New Roman" w:cs="Times New Roman"/>
          <w:b/>
          <w:bCs/>
          <w:rtl/>
          <w:lang w:eastAsia="de-DE"/>
        </w:rPr>
        <w:t>שְׁלָמִים</w:t>
      </w:r>
      <w:r w:rsidRPr="0098037E">
        <w:rPr>
          <w:rFonts w:eastAsia="Times New Roman" w:cs="Times New Roman"/>
          <w:lang w:eastAsia="de-DE"/>
        </w:rPr>
        <w:t xml:space="preserve">-Arten. </w:t>
      </w:r>
      <w:r w:rsidRPr="0098037E">
        <w:rPr>
          <w:rFonts w:eastAsia="Times New Roman" w:cs="Times New Roman"/>
          <w:b/>
          <w:bCs/>
          <w:rtl/>
          <w:lang w:eastAsia="de-DE"/>
        </w:rPr>
        <w:t>סור</w:t>
      </w:r>
      <w:r w:rsidRPr="0098037E">
        <w:rPr>
          <w:rFonts w:eastAsia="Times New Roman" w:cs="Times New Roman"/>
          <w:rtl/>
          <w:lang w:eastAsia="de-DE"/>
        </w:rPr>
        <w:t xml:space="preserve"> </w:t>
      </w:r>
      <w:r w:rsidRPr="0098037E">
        <w:rPr>
          <w:rFonts w:eastAsia="Times New Roman" w:cs="Times New Roman"/>
          <w:lang w:eastAsia="de-DE"/>
        </w:rPr>
        <w:t>im Hifil für die chirurgische Entfernung bleibt konstant.</w:t>
      </w:r>
    </w:p>
    <w:p w14:paraId="15BE513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wiederholt exakt die Übersetzung von V. 4, was die Konsistenz der griechischen Terminologie zeigt und die wörtliche Identität des hebräischen Textes bestätigt.</w:t>
      </w:r>
    </w:p>
    <w:p w14:paraId="413F732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 4: komplexe Objektaufzählung mit drei koordinierten Hauptelementen und abschließender Verbalbestimmung. Die Wiederholung verstärkt die Wichtigkeit dieser Bestimmungen.</w:t>
      </w:r>
    </w:p>
    <w:p w14:paraId="3A32029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 Wiederholung etabliert die universelle Gültigkeit der Nieren-, Fett- und Leberbestimmungen für alle </w:t>
      </w:r>
      <w:r w:rsidRPr="0098037E">
        <w:rPr>
          <w:rFonts w:eastAsia="Times New Roman" w:cs="Times New Roman"/>
          <w:b/>
          <w:bCs/>
          <w:rtl/>
          <w:lang w:eastAsia="de-DE"/>
        </w:rPr>
        <w:t>שְׁלָמִים</w:t>
      </w:r>
      <w:r w:rsidRPr="0098037E">
        <w:rPr>
          <w:rFonts w:eastAsia="Times New Roman" w:cs="Times New Roman"/>
          <w:rtl/>
          <w:lang w:eastAsia="de-DE"/>
        </w:rPr>
        <w:t xml:space="preserve"> </w:t>
      </w:r>
      <w:r w:rsidRPr="0098037E">
        <w:rPr>
          <w:rFonts w:eastAsia="Times New Roman" w:cs="Times New Roman"/>
          <w:lang w:eastAsia="de-DE"/>
        </w:rPr>
        <w:t>und zeigt die systematische Konsistenz des Opfergesetzes.</w:t>
      </w:r>
    </w:p>
    <w:p w14:paraId="2B99A5F5"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3,11</w:t>
      </w:r>
    </w:p>
    <w:p w14:paraId="408078B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וְהִקְטִירֹ֥ו הַכֹּהֵ֖ן הַמִּזְבֵּ֑חָה לֶ֥חֶם אִשֶּׁ֖ה לַיהוָֽה׃</w:t>
      </w:r>
    </w:p>
    <w:p w14:paraId="1BA35CE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der Priester soll es auf dem Altar räuchern lassen: Speise eines Feueropfers für den Ewigen.</w:t>
      </w:r>
    </w:p>
    <w:p w14:paraId="653080CE"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4AF9CE2B">
          <v:rect id="_x0000_i1068" style="width:0;height:1.5pt" o:hralign="center" o:hrstd="t" o:hr="t" fillcolor="#a0a0a0" stroked="f"/>
        </w:pict>
      </w:r>
    </w:p>
    <w:p w14:paraId="10CA4C1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וְהִקְטִירֹ֥ו</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קטר</w:t>
      </w:r>
      <w:r w:rsidRPr="0098037E">
        <w:rPr>
          <w:rFonts w:eastAsia="Times New Roman" w:cs="Times New Roman"/>
          <w:rtl/>
          <w:lang w:eastAsia="de-DE"/>
        </w:rPr>
        <w:t xml:space="preserve"> </w:t>
      </w:r>
      <w:r w:rsidRPr="0098037E">
        <w:rPr>
          <w:rFonts w:eastAsia="Times New Roman" w:cs="Times New Roman"/>
          <w:lang w:eastAsia="de-DE"/>
        </w:rPr>
        <w:t xml:space="preserve">(räuchern), 3. Person maskulin Singular mit Objektsuffix 3. Person maskulin Singular. </w:t>
      </w:r>
      <w:r w:rsidRPr="0098037E">
        <w:rPr>
          <w:rFonts w:eastAsia="Times New Roman" w:cs="Times New Roman"/>
          <w:b/>
          <w:bCs/>
          <w:rtl/>
          <w:lang w:eastAsia="de-DE"/>
        </w:rPr>
        <w:t>הַכֹּהֵ֖ן</w:t>
      </w:r>
      <w:r w:rsidRPr="0098037E">
        <w:rPr>
          <w:rFonts w:eastAsia="Times New Roman" w:cs="Times New Roman"/>
          <w:rtl/>
          <w:lang w:eastAsia="de-DE"/>
        </w:rPr>
        <w:t xml:space="preserve"> </w:t>
      </w:r>
      <w:r w:rsidRPr="0098037E">
        <w:rPr>
          <w:rFonts w:eastAsia="Times New Roman" w:cs="Times New Roman"/>
          <w:lang w:eastAsia="de-DE"/>
        </w:rPr>
        <w:t xml:space="preserve">(der Priester) als Subjekt zeigt die ausschließlich priesterliche Verantwortung für die Verbrennung. </w:t>
      </w:r>
      <w:r w:rsidRPr="0098037E">
        <w:rPr>
          <w:rFonts w:eastAsia="Times New Roman" w:cs="Times New Roman"/>
          <w:b/>
          <w:bCs/>
          <w:rtl/>
          <w:lang w:eastAsia="de-DE"/>
        </w:rPr>
        <w:t>הַמִּזְבֵּ֑חָה</w:t>
      </w:r>
      <w:r w:rsidRPr="0098037E">
        <w:rPr>
          <w:rFonts w:eastAsia="Times New Roman" w:cs="Times New Roman"/>
          <w:rtl/>
          <w:lang w:eastAsia="de-DE"/>
        </w:rPr>
        <w:t xml:space="preserve"> </w:t>
      </w:r>
      <w:r w:rsidRPr="0098037E">
        <w:rPr>
          <w:rFonts w:eastAsia="Times New Roman" w:cs="Times New Roman"/>
          <w:lang w:eastAsia="de-DE"/>
        </w:rPr>
        <w:t>(zum Altar hin) mit Richtungs-He.</w:t>
      </w:r>
    </w:p>
    <w:p w14:paraId="3BD5950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לֶ֥חֶם אִשֶּׁ֖ה לַיהוָֽה</w:t>
      </w:r>
      <w:r w:rsidRPr="0098037E">
        <w:rPr>
          <w:rFonts w:eastAsia="Times New Roman" w:cs="Times New Roman"/>
          <w:rtl/>
          <w:lang w:eastAsia="de-DE"/>
        </w:rPr>
        <w:t xml:space="preserve"> </w:t>
      </w:r>
      <w:r w:rsidRPr="0098037E">
        <w:rPr>
          <w:rFonts w:eastAsia="Times New Roman" w:cs="Times New Roman"/>
          <w:lang w:eastAsia="de-DE"/>
        </w:rPr>
        <w:t xml:space="preserve">(Speise eines Feueropfers für JHWH) führt eine neue theologische Charakterisierung ein. </w:t>
      </w:r>
      <w:r w:rsidRPr="0098037E">
        <w:rPr>
          <w:rFonts w:eastAsia="Times New Roman" w:cs="Times New Roman"/>
          <w:b/>
          <w:bCs/>
          <w:rtl/>
          <w:lang w:eastAsia="de-DE"/>
        </w:rPr>
        <w:t>לֶחֶם</w:t>
      </w:r>
      <w:r w:rsidRPr="0098037E">
        <w:rPr>
          <w:rFonts w:eastAsia="Times New Roman" w:cs="Times New Roman"/>
          <w:rtl/>
          <w:lang w:eastAsia="de-DE"/>
        </w:rPr>
        <w:t xml:space="preserve"> </w:t>
      </w:r>
      <w:r w:rsidRPr="0098037E">
        <w:rPr>
          <w:rFonts w:eastAsia="Times New Roman" w:cs="Times New Roman"/>
          <w:lang w:eastAsia="de-DE"/>
        </w:rPr>
        <w:t xml:space="preserve">(Brot/Speise) bezeichnet hier metaphorisch die verbrannten Opferteile als "Gottes Speise".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 xml:space="preserve">(Feueropfer) qualifiziert die Art der </w:t>
      </w:r>
      <w:r w:rsidRPr="0098037E">
        <w:rPr>
          <w:rFonts w:eastAsia="Times New Roman" w:cs="Times New Roman"/>
          <w:b/>
          <w:bCs/>
          <w:rtl/>
          <w:lang w:eastAsia="de-DE"/>
        </w:rPr>
        <w:t>לֶחֶם</w:t>
      </w:r>
      <w:r w:rsidRPr="0098037E">
        <w:rPr>
          <w:rFonts w:eastAsia="Times New Roman" w:cs="Times New Roman"/>
          <w:lang w:eastAsia="de-DE"/>
        </w:rPr>
        <w:t>.</w:t>
      </w:r>
    </w:p>
    <w:p w14:paraId="0BC2E764" w14:textId="1679AF4B"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Der Unterschied zu V. 5 liegt im Fehlen von </w:t>
      </w:r>
      <w:r w:rsidRPr="0098037E">
        <w:rPr>
          <w:rFonts w:eastAsia="Times New Roman" w:cs="Times New Roman"/>
          <w:b/>
          <w:bCs/>
          <w:rtl/>
          <w:lang w:eastAsia="de-DE"/>
        </w:rPr>
        <w:t>עַל־הָ֣עֹלָ֔ה</w:t>
      </w:r>
      <w:r w:rsidRPr="0098037E">
        <w:rPr>
          <w:rFonts w:eastAsia="Times New Roman" w:cs="Times New Roman"/>
          <w:rtl/>
          <w:lang w:eastAsia="de-DE"/>
        </w:rPr>
        <w:t xml:space="preserve"> </w:t>
      </w:r>
      <w:r w:rsidRPr="0098037E">
        <w:rPr>
          <w:rFonts w:eastAsia="Times New Roman" w:cs="Times New Roman"/>
          <w:lang w:eastAsia="de-DE"/>
        </w:rPr>
        <w:t xml:space="preserve">(auf dem </w:t>
      </w:r>
      <w:r w:rsidR="00CF10E7">
        <w:rPr>
          <w:rFonts w:eastAsia="Times New Roman" w:cs="Times New Roman"/>
          <w:lang w:eastAsia="de-DE"/>
        </w:rPr>
        <w:t>Aufsteigeopfer</w:t>
      </w:r>
      <w:r w:rsidRPr="0098037E">
        <w:rPr>
          <w:rFonts w:eastAsia="Times New Roman" w:cs="Times New Roman"/>
          <w:lang w:eastAsia="de-DE"/>
        </w:rPr>
        <w:t xml:space="preserve">) und </w:t>
      </w:r>
      <w:r w:rsidRPr="0098037E">
        <w:rPr>
          <w:rFonts w:eastAsia="Times New Roman" w:cs="Times New Roman"/>
          <w:b/>
          <w:bCs/>
          <w:rtl/>
          <w:lang w:eastAsia="de-DE"/>
        </w:rPr>
        <w:t>רֵ֥יחַ נִיחֹ֖חַ</w:t>
      </w:r>
      <w:r w:rsidRPr="0098037E">
        <w:rPr>
          <w:rFonts w:eastAsia="Times New Roman" w:cs="Times New Roman"/>
          <w:rtl/>
          <w:lang w:eastAsia="de-DE"/>
        </w:rPr>
        <w:t xml:space="preserve"> </w:t>
      </w:r>
      <w:r w:rsidRPr="0098037E">
        <w:rPr>
          <w:rFonts w:eastAsia="Times New Roman" w:cs="Times New Roman"/>
          <w:lang w:eastAsia="de-DE"/>
        </w:rPr>
        <w:t xml:space="preserve">(wohlgefälliger Geruch). Stattdessen wird </w:t>
      </w:r>
      <w:r w:rsidRPr="0098037E">
        <w:rPr>
          <w:rFonts w:eastAsia="Times New Roman" w:cs="Times New Roman"/>
          <w:b/>
          <w:bCs/>
          <w:rtl/>
          <w:lang w:eastAsia="de-DE"/>
        </w:rPr>
        <w:t>לֶ֥חֶם אִשֶּׁ֖ה</w:t>
      </w:r>
      <w:r w:rsidRPr="0098037E">
        <w:rPr>
          <w:rFonts w:eastAsia="Times New Roman" w:cs="Times New Roman"/>
          <w:rtl/>
          <w:lang w:eastAsia="de-DE"/>
        </w:rPr>
        <w:t xml:space="preserve"> </w:t>
      </w:r>
      <w:r w:rsidRPr="0098037E">
        <w:rPr>
          <w:rFonts w:eastAsia="Times New Roman" w:cs="Times New Roman"/>
          <w:lang w:eastAsia="de-DE"/>
        </w:rPr>
        <w:t>(Speise des Feueropfers) als neue Kategorie eingeführt.</w:t>
      </w:r>
    </w:p>
    <w:p w14:paraId="4F33A37F" w14:textId="3377F119"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לֶחֶם</w:t>
      </w:r>
      <w:r w:rsidRPr="0098037E">
        <w:rPr>
          <w:rFonts w:eastAsia="Times New Roman" w:cs="Times New Roman"/>
          <w:rtl/>
          <w:lang w:eastAsia="de-DE"/>
        </w:rPr>
        <w:t xml:space="preserve"> </w:t>
      </w:r>
      <w:r w:rsidRPr="0098037E">
        <w:rPr>
          <w:rFonts w:eastAsia="Times New Roman" w:cs="Times New Roman"/>
          <w:lang w:eastAsia="de-DE"/>
        </w:rPr>
        <w:t>in kultischem Kontext erweitert die ursprüngliche Bedeutung "Brot" zu "Nahrung/Speise" allgemein. Die Metapher "Gottes Speise" anthropomorphisiert das Opfer als göttliche Nahrung, ohne dass dies wörtlich zu verstehen wäre.</w:t>
      </w:r>
      <w:r w:rsidR="00F163D7">
        <w:rPr>
          <w:rFonts w:eastAsia="Times New Roman" w:cs="Times New Roman"/>
          <w:lang w:eastAsia="de-DE"/>
        </w:rPr>
        <w:t xml:space="preserve"> </w:t>
      </w:r>
      <w:r w:rsidR="00F163D7" w:rsidRPr="00F163D7">
        <w:rPr>
          <w:b/>
          <w:bCs/>
          <w:rtl/>
        </w:rPr>
        <w:t>לֶחֶם</w:t>
      </w:r>
      <w:r w:rsidR="00F163D7">
        <w:t xml:space="preserve"> in kultischem Kontext erweitert die ursprüngliche Bedeutung "Brot" zu "Nahrung/Speise" allgemein. Die Metapher "Gottes Speise" anthropomorphisiert das Opfer als göttliche Nahrung, ohne dass dies wörtlich zu verstehen wäre. Diese </w:t>
      </w:r>
      <w:r w:rsidR="00F163D7">
        <w:rPr>
          <w:rtl/>
        </w:rPr>
        <w:t>לחם אשה</w:t>
      </w:r>
      <w:r w:rsidR="00F163D7">
        <w:t>-Terminologie ist etablierte biblische Metaphorik (vgl. Lev 21,6.8.17.21; 22,25; Num 28,2) und findet Parallelen in mesopotamischen Texten, wo Opfer ebenfalls als "Götterspeise" (</w:t>
      </w:r>
      <w:proofErr w:type="spellStart"/>
      <w:r w:rsidR="00F163D7">
        <w:t>akk.</w:t>
      </w:r>
      <w:proofErr w:type="spellEnd"/>
      <w:r w:rsidR="00F163D7">
        <w:t xml:space="preserve"> </w:t>
      </w:r>
      <w:proofErr w:type="spellStart"/>
      <w:r w:rsidR="00F163D7">
        <w:t>šūlûtu</w:t>
      </w:r>
      <w:proofErr w:type="spellEnd"/>
      <w:r w:rsidR="00F163D7">
        <w:t xml:space="preserve">) bezeichnet werden. Die </w:t>
      </w:r>
      <w:proofErr w:type="spellStart"/>
      <w:r w:rsidR="00F163D7">
        <w:t>Anthropomorphisierung</w:t>
      </w:r>
      <w:proofErr w:type="spellEnd"/>
      <w:r w:rsidR="00F163D7">
        <w:t xml:space="preserve"> dient der Verdeutlichung der Gottesbeziehung, nicht der naiven Vorstellung göttlicher Nahrungsaufnahme.</w:t>
      </w:r>
    </w:p>
    <w:p w14:paraId="0B141382" w14:textId="5BCA1C0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verkürzt </w:t>
      </w:r>
      <w:r w:rsidR="005070BF">
        <w:rPr>
          <w:rtl/>
        </w:rPr>
        <w:t>לחם אשה ליהוה</w:t>
      </w:r>
      <w:r w:rsidR="005070BF">
        <w:t xml:space="preserve"> (lechem </w:t>
      </w:r>
      <w:proofErr w:type="spellStart"/>
      <w:r w:rsidR="005070BF">
        <w:t>ischeh</w:t>
      </w:r>
      <w:proofErr w:type="spellEnd"/>
      <w:r w:rsidR="005070BF">
        <w:t xml:space="preserve"> la-YHWH - "Brot des Feueropfers für YHWH") zu </w:t>
      </w:r>
      <w:proofErr w:type="spellStart"/>
      <w:r w:rsidR="005070BF">
        <w:t>ὀσμὴν</w:t>
      </w:r>
      <w:proofErr w:type="spellEnd"/>
      <w:r w:rsidR="005070BF">
        <w:t xml:space="preserve"> </w:t>
      </w:r>
      <w:proofErr w:type="spellStart"/>
      <w:r w:rsidR="005070BF">
        <w:t>εὐωδί</w:t>
      </w:r>
      <w:proofErr w:type="spellEnd"/>
      <w:r w:rsidR="005070BF">
        <w:t xml:space="preserve">ας </w:t>
      </w:r>
      <w:proofErr w:type="spellStart"/>
      <w:r w:rsidR="005070BF">
        <w:t>κάρ</w:t>
      </w:r>
      <w:proofErr w:type="spellEnd"/>
      <w:r w:rsidR="005070BF">
        <w:t xml:space="preserve">πωμα </w:t>
      </w:r>
      <w:proofErr w:type="spellStart"/>
      <w:r w:rsidR="005070BF">
        <w:t>κυρίῳ</w:t>
      </w:r>
      <w:proofErr w:type="spellEnd"/>
      <w:r w:rsidR="005070BF">
        <w:t>, wobei das "Brot"-Element wegfällt.</w:t>
      </w:r>
    </w:p>
    <w:p w14:paraId="1C3D29E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lastRenderedPageBreak/>
        <w:t>Die Satzstruktur:</w:t>
      </w:r>
      <w:r w:rsidRPr="0098037E">
        <w:rPr>
          <w:rFonts w:eastAsia="Times New Roman" w:cs="Times New Roman"/>
          <w:lang w:eastAsia="de-DE"/>
        </w:rPr>
        <w:t xml:space="preserve"> zeigt einen einfachen Hauptsatz: Verb + Objekt + Subjekt + Adverbialbestimmung + dreifache Charakterisierung. Die Struktur ist einfacher als V. 5, konzentriert sich aber auf die neue </w:t>
      </w:r>
      <w:r w:rsidRPr="0098037E">
        <w:rPr>
          <w:rFonts w:eastAsia="Times New Roman" w:cs="Times New Roman"/>
          <w:b/>
          <w:bCs/>
          <w:rtl/>
          <w:lang w:eastAsia="de-DE"/>
        </w:rPr>
        <w:t>לֶחֶם</w:t>
      </w:r>
      <w:r w:rsidRPr="0098037E">
        <w:rPr>
          <w:rFonts w:eastAsia="Times New Roman" w:cs="Times New Roman"/>
          <w:lang w:eastAsia="de-DE"/>
        </w:rPr>
        <w:t>-Metaphorik.</w:t>
      </w:r>
    </w:p>
    <w:p w14:paraId="717E892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führt die theologische Metapher der Opfer als "Gottes Speise" ein und zeigt eine alternative Charakterisierung der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(Feueropfer).</w:t>
      </w:r>
    </w:p>
    <w:p w14:paraId="1E6029AF"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3,12</w:t>
      </w:r>
    </w:p>
    <w:p w14:paraId="6A2BDEE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וְאִ֥ם עֵ֖ז קָרְבָּנֹ֑ו וְהִקְרִיבֹ֖ו לִפְנֵ֥י יְהוָֽה׃</w:t>
      </w:r>
    </w:p>
    <w:p w14:paraId="3014782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wenn seine Opfergabe eine Ziege ist, so soll er sie vor den Ewigen bringen;</w:t>
      </w:r>
    </w:p>
    <w:p w14:paraId="1C523747"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6C671B63">
          <v:rect id="_x0000_i1069" style="width:0;height:1.5pt" o:hralign="center" o:hrstd="t" o:hr="t" fillcolor="#a0a0a0" stroked="f"/>
        </w:pict>
      </w:r>
    </w:p>
    <w:p w14:paraId="191F60B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וְאִ֥ם עֵ֖ז קָרְבָּנֹ֑ו</w:t>
      </w:r>
      <w:r w:rsidRPr="0098037E">
        <w:rPr>
          <w:rFonts w:eastAsia="Times New Roman" w:cs="Times New Roman"/>
          <w:rtl/>
          <w:lang w:eastAsia="de-DE"/>
        </w:rPr>
        <w:t xml:space="preserve"> </w:t>
      </w:r>
      <w:r w:rsidRPr="0098037E">
        <w:rPr>
          <w:rFonts w:eastAsia="Times New Roman" w:cs="Times New Roman"/>
          <w:lang w:eastAsia="de-DE"/>
        </w:rPr>
        <w:t xml:space="preserve">(und wenn seine Opfergabe eine Ziege ist) führt die zweite Unterart des </w:t>
      </w:r>
      <w:r w:rsidRPr="0098037E">
        <w:rPr>
          <w:rFonts w:eastAsia="Times New Roman" w:cs="Times New Roman"/>
          <w:b/>
          <w:bCs/>
          <w:rtl/>
          <w:lang w:eastAsia="de-DE"/>
        </w:rPr>
        <w:t>צאן</w:t>
      </w:r>
      <w:r w:rsidRPr="0098037E">
        <w:rPr>
          <w:rFonts w:eastAsia="Times New Roman" w:cs="Times New Roman"/>
          <w:rtl/>
          <w:lang w:eastAsia="de-DE"/>
        </w:rPr>
        <w:t xml:space="preserve"> </w:t>
      </w:r>
      <w:r w:rsidRPr="0098037E">
        <w:rPr>
          <w:rFonts w:eastAsia="Times New Roman" w:cs="Times New Roman"/>
          <w:lang w:eastAsia="de-DE"/>
        </w:rPr>
        <w:t xml:space="preserve">(Kleinviehs) ein. </w:t>
      </w: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 xml:space="preserve">(Ziege) unterscheidet sich von </w:t>
      </w:r>
      <w:r w:rsidRPr="0098037E">
        <w:rPr>
          <w:rFonts w:eastAsia="Times New Roman" w:cs="Times New Roman"/>
          <w:b/>
          <w:bCs/>
          <w:rtl/>
          <w:lang w:eastAsia="de-DE"/>
        </w:rPr>
        <w:t>כֶּשֶׂב</w:t>
      </w:r>
      <w:r w:rsidRPr="0098037E">
        <w:rPr>
          <w:rFonts w:eastAsia="Times New Roman" w:cs="Times New Roman"/>
          <w:rtl/>
          <w:lang w:eastAsia="de-DE"/>
        </w:rPr>
        <w:t xml:space="preserve"> </w:t>
      </w:r>
      <w:r w:rsidRPr="0098037E">
        <w:rPr>
          <w:rFonts w:eastAsia="Times New Roman" w:cs="Times New Roman"/>
          <w:lang w:eastAsia="de-DE"/>
        </w:rPr>
        <w:t xml:space="preserve">(Schaf) und hat eigene Bestimmungen. </w:t>
      </w:r>
      <w:r w:rsidRPr="0098037E">
        <w:rPr>
          <w:rFonts w:eastAsia="Times New Roman" w:cs="Times New Roman"/>
          <w:b/>
          <w:bCs/>
          <w:rtl/>
          <w:lang w:eastAsia="de-DE"/>
        </w:rPr>
        <w:t>קָרְבָּנֹ֑ו</w:t>
      </w:r>
      <w:r w:rsidRPr="0098037E">
        <w:rPr>
          <w:rFonts w:eastAsia="Times New Roman" w:cs="Times New Roman"/>
          <w:rtl/>
          <w:lang w:eastAsia="de-DE"/>
        </w:rPr>
        <w:t xml:space="preserve"> </w:t>
      </w:r>
      <w:r w:rsidRPr="0098037E">
        <w:rPr>
          <w:rFonts w:eastAsia="Times New Roman" w:cs="Times New Roman"/>
          <w:lang w:eastAsia="de-DE"/>
        </w:rPr>
        <w:t>(seine Opfergabe) mit Possessivsuffix 3. Person maskulin Singular.</w:t>
      </w:r>
    </w:p>
    <w:p w14:paraId="63CEB9C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וְהִקְרִיבֹ֖ו</w:t>
      </w:r>
      <w:r w:rsidRPr="0098037E">
        <w:rPr>
          <w:rFonts w:eastAsia="Times New Roman" w:cs="Times New Roman"/>
          <w:rtl/>
          <w:lang w:eastAsia="de-DE"/>
        </w:rPr>
        <w:t xml:space="preserve"> </w:t>
      </w:r>
      <w:r w:rsidRPr="0098037E">
        <w:rPr>
          <w:rFonts w:eastAsia="Times New Roman" w:cs="Times New Roman"/>
          <w:lang w:eastAsia="de-DE"/>
        </w:rPr>
        <w:t xml:space="preserve">ist Hifil-Perfekt mit Waw-Konsekutiv von </w:t>
      </w:r>
      <w:r w:rsidRPr="0098037E">
        <w:rPr>
          <w:rFonts w:eastAsia="Times New Roman" w:cs="Times New Roman"/>
          <w:b/>
          <w:bCs/>
          <w:rtl/>
          <w:lang w:eastAsia="de-DE"/>
        </w:rPr>
        <w:t>קרב</w:t>
      </w:r>
      <w:r w:rsidRPr="0098037E">
        <w:rPr>
          <w:rFonts w:eastAsia="Times New Roman" w:cs="Times New Roman"/>
          <w:rtl/>
          <w:lang w:eastAsia="de-DE"/>
        </w:rPr>
        <w:t xml:space="preserve"> </w:t>
      </w:r>
      <w:r w:rsidRPr="0098037E">
        <w:rPr>
          <w:rFonts w:eastAsia="Times New Roman" w:cs="Times New Roman"/>
          <w:lang w:eastAsia="de-DE"/>
        </w:rPr>
        <w:t xml:space="preserve">(darbringen), 3. Person maskulin Singular mit Objektsuffix 3. Person maskulin Singular. </w:t>
      </w:r>
      <w:r w:rsidRPr="0098037E">
        <w:rPr>
          <w:rFonts w:eastAsia="Times New Roman" w:cs="Times New Roman"/>
          <w:b/>
          <w:bCs/>
          <w:rtl/>
          <w:lang w:eastAsia="de-DE"/>
        </w:rPr>
        <w:t>לִפְנֵ֥י יְהוָֽה</w:t>
      </w:r>
      <w:r w:rsidRPr="0098037E">
        <w:rPr>
          <w:rFonts w:eastAsia="Times New Roman" w:cs="Times New Roman"/>
          <w:rtl/>
          <w:lang w:eastAsia="de-DE"/>
        </w:rPr>
        <w:t xml:space="preserve"> </w:t>
      </w:r>
      <w:r w:rsidRPr="0098037E">
        <w:rPr>
          <w:rFonts w:eastAsia="Times New Roman" w:cs="Times New Roman"/>
          <w:lang w:eastAsia="de-DE"/>
        </w:rPr>
        <w:t>(vor JHWH) entspricht der Formulierung bei Schafen (V. 7).</w:t>
      </w:r>
    </w:p>
    <w:p w14:paraId="0CB9EAF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 xml:space="preserve">(Ziege) als spezifische Tierart innerhalb der </w:t>
      </w:r>
      <w:r w:rsidRPr="0098037E">
        <w:rPr>
          <w:rFonts w:eastAsia="Times New Roman" w:cs="Times New Roman"/>
          <w:b/>
          <w:bCs/>
          <w:rtl/>
          <w:lang w:eastAsia="de-DE"/>
        </w:rPr>
        <w:t>צאן</w:t>
      </w:r>
      <w:r w:rsidRPr="0098037E">
        <w:rPr>
          <w:rFonts w:eastAsia="Times New Roman" w:cs="Times New Roman"/>
          <w:lang w:eastAsia="de-DE"/>
        </w:rPr>
        <w:t xml:space="preserve">-Kategorie erfordert eigene Regelungen, obwohl die Grundprinzipien identisch bleiben. Die Kürze des Verses zeigt, dass die </w:t>
      </w:r>
      <w:r w:rsidRPr="0098037E">
        <w:rPr>
          <w:rFonts w:eastAsia="Times New Roman" w:cs="Times New Roman"/>
          <w:b/>
          <w:bCs/>
          <w:rtl/>
          <w:lang w:eastAsia="de-DE"/>
        </w:rPr>
        <w:t>שְׁלָמִים</w:t>
      </w:r>
      <w:r w:rsidRPr="0098037E">
        <w:rPr>
          <w:rFonts w:eastAsia="Times New Roman" w:cs="Times New Roman"/>
          <w:lang w:eastAsia="de-DE"/>
        </w:rPr>
        <w:t>-Grundlagen bereits etabliert sind.</w:t>
      </w:r>
    </w:p>
    <w:p w14:paraId="5377361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Parallelität zu V. 7 (</w:t>
      </w:r>
      <w:r w:rsidRPr="0098037E">
        <w:rPr>
          <w:rFonts w:eastAsia="Times New Roman" w:cs="Times New Roman"/>
          <w:b/>
          <w:bCs/>
          <w:rtl/>
          <w:lang w:eastAsia="de-DE"/>
        </w:rPr>
        <w:t>כֶּשֶׂב</w:t>
      </w:r>
      <w:r w:rsidRPr="0098037E">
        <w:rPr>
          <w:rFonts w:eastAsia="Times New Roman" w:cs="Times New Roman"/>
          <w:lang w:eastAsia="de-DE"/>
        </w:rPr>
        <w:t xml:space="preserve">) zeigt die systematische Behandlung der verschiedenen Kleinvieharten. </w:t>
      </w:r>
      <w:r w:rsidRPr="0098037E">
        <w:rPr>
          <w:rFonts w:eastAsia="Times New Roman" w:cs="Times New Roman"/>
          <w:b/>
          <w:bCs/>
          <w:rtl/>
          <w:lang w:eastAsia="de-DE"/>
        </w:rPr>
        <w:t>עזים</w:t>
      </w:r>
      <w:r w:rsidRPr="0098037E">
        <w:rPr>
          <w:rFonts w:eastAsia="Times New Roman" w:cs="Times New Roman"/>
          <w:rtl/>
          <w:lang w:eastAsia="de-DE"/>
        </w:rPr>
        <w:t xml:space="preserve"> </w:t>
      </w:r>
      <w:r w:rsidRPr="0098037E">
        <w:rPr>
          <w:rFonts w:eastAsia="Times New Roman" w:cs="Times New Roman"/>
          <w:lang w:eastAsia="de-DE"/>
        </w:rPr>
        <w:t xml:space="preserve">(Ziegen) unterscheiden sich von </w:t>
      </w:r>
      <w:r w:rsidRPr="0098037E">
        <w:rPr>
          <w:rFonts w:eastAsia="Times New Roman" w:cs="Times New Roman"/>
          <w:b/>
          <w:bCs/>
          <w:rtl/>
          <w:lang w:eastAsia="de-DE"/>
        </w:rPr>
        <w:t>כשבים</w:t>
      </w:r>
      <w:r w:rsidRPr="0098037E">
        <w:rPr>
          <w:rFonts w:eastAsia="Times New Roman" w:cs="Times New Roman"/>
          <w:rtl/>
          <w:lang w:eastAsia="de-DE"/>
        </w:rPr>
        <w:t xml:space="preserve"> </w:t>
      </w:r>
      <w:r w:rsidRPr="0098037E">
        <w:rPr>
          <w:rFonts w:eastAsia="Times New Roman" w:cs="Times New Roman"/>
          <w:lang w:eastAsia="de-DE"/>
        </w:rPr>
        <w:t>(Schafen) anatomisch, besonders bezüglich des Fettschwanzes.</w:t>
      </w:r>
    </w:p>
    <w:p w14:paraId="1F629A40" w14:textId="42CF248C"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FD4959">
        <w:t xml:space="preserve">wechselt zu Plural </w:t>
      </w:r>
      <w:proofErr w:type="spellStart"/>
      <w:r w:rsidR="00FD4959">
        <w:t>σφάξουσιν</w:t>
      </w:r>
      <w:proofErr w:type="spellEnd"/>
      <w:r w:rsidR="00FD4959">
        <w:t xml:space="preserve"> (sie werden schlachten) für das hebräische Singular </w:t>
      </w:r>
      <w:r w:rsidR="00FD4959">
        <w:rPr>
          <w:rtl/>
        </w:rPr>
        <w:t>ושחט</w:t>
      </w:r>
      <w:r w:rsidR="00FD4959">
        <w:t xml:space="preserve"> (</w:t>
      </w:r>
      <w:proofErr w:type="spellStart"/>
      <w:r w:rsidR="00FD4959">
        <w:t>weschachat</w:t>
      </w:r>
      <w:proofErr w:type="spellEnd"/>
      <w:r w:rsidR="00FD4959">
        <w:t xml:space="preserve"> - "und er soll schlachten").</w:t>
      </w:r>
    </w:p>
    <w:p w14:paraId="24C43BD4"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 7: Konditionalsatz mit minimaler Protasis (</w:t>
      </w:r>
      <w:r w:rsidRPr="0098037E">
        <w:rPr>
          <w:rFonts w:eastAsia="Times New Roman" w:cs="Times New Roman"/>
          <w:rtl/>
          <w:lang w:eastAsia="de-DE"/>
        </w:rPr>
        <w:t>אִם</w:t>
      </w:r>
      <w:r w:rsidRPr="0098037E">
        <w:rPr>
          <w:rFonts w:eastAsia="Times New Roman" w:cs="Times New Roman"/>
          <w:lang w:eastAsia="de-DE"/>
        </w:rPr>
        <w:t xml:space="preserve"> + Subjekt + Prädikatsnomen) und einfacher Apodosis (Verb + Objekt + Adverbialbestimmung). Die strukturelle Parallelität betont die systematische Behandlung.</w:t>
      </w:r>
    </w:p>
    <w:p w14:paraId="1737FEC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leitet die Ziegenbestimmungen ein und zeigt die vollständige Erfassung aller Kleinvieharten in den </w:t>
      </w:r>
      <w:r w:rsidRPr="0098037E">
        <w:rPr>
          <w:rFonts w:eastAsia="Times New Roman" w:cs="Times New Roman"/>
          <w:b/>
          <w:bCs/>
          <w:rtl/>
          <w:lang w:eastAsia="de-DE"/>
        </w:rPr>
        <w:t>שְׁלָמִים</w:t>
      </w:r>
      <w:r w:rsidRPr="0098037E">
        <w:rPr>
          <w:rFonts w:eastAsia="Times New Roman" w:cs="Times New Roman"/>
          <w:lang w:eastAsia="de-DE"/>
        </w:rPr>
        <w:t>-Gesetzen.</w:t>
      </w:r>
    </w:p>
    <w:p w14:paraId="5A369639"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3,13</w:t>
      </w:r>
    </w:p>
    <w:p w14:paraId="7B2DF8CC"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וְסָמַ֤ךְ אֶת־יָדוֹ֙ עַל־רֹאשֹׁ֔ו וְשָׁחַ֣ט אֹתוֹ֔ לִפְנֵ֖י אֹ֣הֶל מוֹעֵ֑ד וְ֠זָרְקוּ בְּנֵ֨י אַהֲרֹ֧ן אֶת־דָּמֹ֛ו עַל־הַמִּזְבֵּ֖חַ סָבִֽיב׃</w:t>
      </w:r>
    </w:p>
    <w:p w14:paraId="2DAEA01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seine Hand auf ihren Kopf legen und sie schlachten vor dem Zelt der Begegnung; und die Söhne 'Aharons sollen ihr Blut ringsum an den Altar spritzen.</w:t>
      </w:r>
    </w:p>
    <w:p w14:paraId="1F41A266"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lastRenderedPageBreak/>
        <w:pict w14:anchorId="4A92A804">
          <v:rect id="_x0000_i1070" style="width:0;height:1.5pt" o:hralign="center" o:hrstd="t" o:hr="t" fillcolor="#a0a0a0" stroked="f"/>
        </w:pict>
      </w:r>
    </w:p>
    <w:p w14:paraId="33FFF46E"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Dieser Vers entspricht exakt V. 8 (Schaf) mit einem einzigen Unterschied: </w:t>
      </w:r>
      <w:r w:rsidRPr="0098037E">
        <w:rPr>
          <w:rFonts w:eastAsia="Times New Roman" w:cs="Times New Roman"/>
          <w:b/>
          <w:bCs/>
          <w:rtl/>
          <w:lang w:eastAsia="de-DE"/>
        </w:rPr>
        <w:t>רֹאשֹׁ֔ו</w:t>
      </w:r>
      <w:r w:rsidRPr="0098037E">
        <w:rPr>
          <w:rFonts w:eastAsia="Times New Roman" w:cs="Times New Roman"/>
          <w:rtl/>
          <w:lang w:eastAsia="de-DE"/>
        </w:rPr>
        <w:t xml:space="preserve"> </w:t>
      </w:r>
      <w:r w:rsidRPr="0098037E">
        <w:rPr>
          <w:rFonts w:eastAsia="Times New Roman" w:cs="Times New Roman"/>
          <w:lang w:eastAsia="de-DE"/>
        </w:rPr>
        <w:t xml:space="preserve">(seinen Kopf) statt </w:t>
      </w:r>
      <w:r w:rsidRPr="0098037E">
        <w:rPr>
          <w:rFonts w:eastAsia="Times New Roman" w:cs="Times New Roman"/>
          <w:b/>
          <w:bCs/>
          <w:rtl/>
          <w:lang w:eastAsia="de-DE"/>
        </w:rPr>
        <w:t>רֹ֣אשׁ קָרְבָּנֹ֔ו</w:t>
      </w:r>
      <w:r w:rsidRPr="0098037E">
        <w:rPr>
          <w:rFonts w:eastAsia="Times New Roman" w:cs="Times New Roman"/>
          <w:rtl/>
          <w:lang w:eastAsia="de-DE"/>
        </w:rPr>
        <w:t xml:space="preserve"> </w:t>
      </w:r>
      <w:r w:rsidRPr="0098037E">
        <w:rPr>
          <w:rFonts w:eastAsia="Times New Roman" w:cs="Times New Roman"/>
          <w:lang w:eastAsia="de-DE"/>
        </w:rPr>
        <w:t xml:space="preserve">(den Kopf seines Opfers). </w:t>
      </w:r>
      <w:r w:rsidRPr="0098037E">
        <w:rPr>
          <w:rFonts w:eastAsia="Times New Roman" w:cs="Times New Roman"/>
          <w:b/>
          <w:bCs/>
          <w:rtl/>
          <w:lang w:eastAsia="de-DE"/>
        </w:rPr>
        <w:t>וְסָמַ֤ךְ אֶת־יָדוֹ֙</w:t>
      </w:r>
      <w:r w:rsidRPr="0098037E">
        <w:rPr>
          <w:rFonts w:eastAsia="Times New Roman" w:cs="Times New Roman"/>
          <w:rtl/>
          <w:lang w:eastAsia="de-DE"/>
        </w:rPr>
        <w:t xml:space="preserve"> </w:t>
      </w:r>
      <w:r w:rsidRPr="0098037E">
        <w:rPr>
          <w:rFonts w:eastAsia="Times New Roman" w:cs="Times New Roman"/>
          <w:lang w:eastAsia="de-DE"/>
        </w:rPr>
        <w:t xml:space="preserve">(und er soll seine Hand legen), </w:t>
      </w:r>
      <w:r w:rsidRPr="0098037E">
        <w:rPr>
          <w:rFonts w:eastAsia="Times New Roman" w:cs="Times New Roman"/>
          <w:b/>
          <w:bCs/>
          <w:rtl/>
          <w:lang w:eastAsia="de-DE"/>
        </w:rPr>
        <w:t>וְשָׁחַ֣ט אֹתוֹ֔</w:t>
      </w:r>
      <w:r w:rsidRPr="0098037E">
        <w:rPr>
          <w:rFonts w:eastAsia="Times New Roman" w:cs="Times New Roman"/>
          <w:rtl/>
          <w:lang w:eastAsia="de-DE"/>
        </w:rPr>
        <w:t xml:space="preserve"> </w:t>
      </w:r>
      <w:r w:rsidRPr="0098037E">
        <w:rPr>
          <w:rFonts w:eastAsia="Times New Roman" w:cs="Times New Roman"/>
          <w:lang w:eastAsia="de-DE"/>
        </w:rPr>
        <w:t xml:space="preserve">(und er soll es schlachten), </w:t>
      </w:r>
      <w:r w:rsidRPr="0098037E">
        <w:rPr>
          <w:rFonts w:eastAsia="Times New Roman" w:cs="Times New Roman"/>
          <w:b/>
          <w:bCs/>
          <w:rtl/>
          <w:lang w:eastAsia="de-DE"/>
        </w:rPr>
        <w:t>לִפְנֵ֖י אֹ֣הֶל מוֹעֵ֑ד</w:t>
      </w:r>
      <w:r w:rsidRPr="0098037E">
        <w:rPr>
          <w:rFonts w:eastAsia="Times New Roman" w:cs="Times New Roman"/>
          <w:rtl/>
          <w:lang w:eastAsia="de-DE"/>
        </w:rPr>
        <w:t xml:space="preserve"> </w:t>
      </w:r>
      <w:r w:rsidRPr="0098037E">
        <w:rPr>
          <w:rFonts w:eastAsia="Times New Roman" w:cs="Times New Roman"/>
          <w:lang w:eastAsia="de-DE"/>
        </w:rPr>
        <w:t xml:space="preserve">(vor dem Zelt der Begegnung) und </w:t>
      </w:r>
      <w:r w:rsidRPr="0098037E">
        <w:rPr>
          <w:rFonts w:eastAsia="Times New Roman" w:cs="Times New Roman"/>
          <w:b/>
          <w:bCs/>
          <w:rtl/>
          <w:lang w:eastAsia="de-DE"/>
        </w:rPr>
        <w:t>וְ֠זָרְקוּ בְּנֵ֨י אַהֲרֹ֧ן אֶת־דָּמֹ֛ו עַל־הַמִּזְבֵּ֖חַ סָבִֽיב</w:t>
      </w:r>
      <w:r w:rsidRPr="0098037E">
        <w:rPr>
          <w:rFonts w:eastAsia="Times New Roman" w:cs="Times New Roman"/>
          <w:rtl/>
          <w:lang w:eastAsia="de-DE"/>
        </w:rPr>
        <w:t xml:space="preserve"> </w:t>
      </w:r>
      <w:r w:rsidRPr="0098037E">
        <w:rPr>
          <w:rFonts w:eastAsia="Times New Roman" w:cs="Times New Roman"/>
          <w:lang w:eastAsia="de-DE"/>
        </w:rPr>
        <w:t>(und die Söhne Aarons sollen sein Blut ringsum an den Altar spritzen).</w:t>
      </w:r>
    </w:p>
    <w:p w14:paraId="7D50DD79"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רֹאשֹׁ֔ו</w:t>
      </w:r>
      <w:r w:rsidRPr="0098037E">
        <w:rPr>
          <w:rFonts w:eastAsia="Times New Roman" w:cs="Times New Roman"/>
          <w:rtl/>
          <w:lang w:eastAsia="de-DE"/>
        </w:rPr>
        <w:t xml:space="preserve"> </w:t>
      </w:r>
      <w:r w:rsidRPr="0098037E">
        <w:rPr>
          <w:rFonts w:eastAsia="Times New Roman" w:cs="Times New Roman"/>
          <w:lang w:eastAsia="de-DE"/>
        </w:rPr>
        <w:t xml:space="preserve">(seinen Kopf) mit Possessivsuffix 3. Person maskulin Singular bezieht sich direkt auf </w:t>
      </w: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 xml:space="preserve">(Ziege) zurück, während V. 8 </w:t>
      </w:r>
      <w:r w:rsidRPr="0098037E">
        <w:rPr>
          <w:rFonts w:eastAsia="Times New Roman" w:cs="Times New Roman"/>
          <w:b/>
          <w:bCs/>
          <w:rtl/>
          <w:lang w:eastAsia="de-DE"/>
        </w:rPr>
        <w:t>רֹ֣אשׁ קָרְבָּנֹ֔ו</w:t>
      </w:r>
      <w:r w:rsidRPr="0098037E">
        <w:rPr>
          <w:rFonts w:eastAsia="Times New Roman" w:cs="Times New Roman"/>
          <w:rtl/>
          <w:lang w:eastAsia="de-DE"/>
        </w:rPr>
        <w:t xml:space="preserve"> </w:t>
      </w:r>
      <w:r w:rsidRPr="0098037E">
        <w:rPr>
          <w:rFonts w:eastAsia="Times New Roman" w:cs="Times New Roman"/>
          <w:lang w:eastAsia="de-DE"/>
        </w:rPr>
        <w:t>(den Kopf seines Opfers) verwendet. Diese Variation zeigt stilistische Flexibilität bei inhaltlicher Identität.</w:t>
      </w:r>
    </w:p>
    <w:p w14:paraId="224D700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דָּמֹ֛ו</w:t>
      </w:r>
      <w:r w:rsidRPr="0098037E">
        <w:rPr>
          <w:rFonts w:eastAsia="Times New Roman" w:cs="Times New Roman"/>
          <w:rtl/>
          <w:lang w:eastAsia="de-DE"/>
        </w:rPr>
        <w:t xml:space="preserve"> </w:t>
      </w:r>
      <w:r w:rsidRPr="0098037E">
        <w:rPr>
          <w:rFonts w:eastAsia="Times New Roman" w:cs="Times New Roman"/>
          <w:lang w:eastAsia="de-DE"/>
        </w:rPr>
        <w:t xml:space="preserve">(sein Blut) mit maskulinem Possessivsuffix entspricht der Verwendung bei Schafen (V. 8) und zeigt die direkte Bezugnahme auf das spezifische Tier, nicht auf das abstrakte </w:t>
      </w:r>
      <w:r w:rsidRPr="0098037E">
        <w:rPr>
          <w:rFonts w:eastAsia="Times New Roman" w:cs="Times New Roman"/>
          <w:b/>
          <w:bCs/>
          <w:rtl/>
          <w:lang w:eastAsia="de-DE"/>
        </w:rPr>
        <w:t>קָרְבָּן</w:t>
      </w:r>
      <w:r w:rsidRPr="0098037E">
        <w:rPr>
          <w:rFonts w:eastAsia="Times New Roman" w:cs="Times New Roman"/>
          <w:rtl/>
          <w:lang w:eastAsia="de-DE"/>
        </w:rPr>
        <w:t xml:space="preserve"> </w:t>
      </w:r>
      <w:r w:rsidRPr="0098037E">
        <w:rPr>
          <w:rFonts w:eastAsia="Times New Roman" w:cs="Times New Roman"/>
          <w:lang w:eastAsia="de-DE"/>
        </w:rPr>
        <w:t>(Opfer).</w:t>
      </w:r>
    </w:p>
    <w:p w14:paraId="0FCFAD2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Konsistenz der </w:t>
      </w:r>
      <w:r w:rsidRPr="0098037E">
        <w:rPr>
          <w:rFonts w:eastAsia="Times New Roman" w:cs="Times New Roman"/>
          <w:b/>
          <w:bCs/>
          <w:rtl/>
          <w:lang w:eastAsia="de-DE"/>
        </w:rPr>
        <w:t>סמיכה</w:t>
      </w:r>
      <w:r w:rsidRPr="0098037E">
        <w:rPr>
          <w:rFonts w:eastAsia="Times New Roman" w:cs="Times New Roman"/>
          <w:rtl/>
          <w:lang w:eastAsia="de-DE"/>
        </w:rPr>
        <w:t xml:space="preserve"> </w:t>
      </w:r>
      <w:r w:rsidRPr="0098037E">
        <w:rPr>
          <w:rFonts w:eastAsia="Times New Roman" w:cs="Times New Roman"/>
          <w:lang w:eastAsia="de-DE"/>
        </w:rPr>
        <w:t xml:space="preserve">(Handauflegung), Laienschlachtung und priesterlichen Blutsprengung bei allen </w:t>
      </w:r>
      <w:r w:rsidRPr="0098037E">
        <w:rPr>
          <w:rFonts w:eastAsia="Times New Roman" w:cs="Times New Roman"/>
          <w:b/>
          <w:bCs/>
          <w:rtl/>
          <w:lang w:eastAsia="de-DE"/>
        </w:rPr>
        <w:t>שְׁלָמִים</w:t>
      </w:r>
      <w:r w:rsidRPr="0098037E">
        <w:rPr>
          <w:rFonts w:eastAsia="Times New Roman" w:cs="Times New Roman"/>
          <w:lang w:eastAsia="de-DE"/>
        </w:rPr>
        <w:t>-Arten zeigt die universellen rituellen Grundlagen trotz unterschiedlicher anatomischer Spezifika.</w:t>
      </w:r>
    </w:p>
    <w:p w14:paraId="2D32D7F6" w14:textId="0126A31A"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t>
      </w:r>
      <w:r w:rsidR="005070BF">
        <w:t xml:space="preserve">wechselt von Singular </w:t>
      </w:r>
      <w:r w:rsidR="005070BF">
        <w:rPr>
          <w:rtl/>
        </w:rPr>
        <w:t>ושחט</w:t>
      </w:r>
      <w:r w:rsidR="005070BF">
        <w:t xml:space="preserve"> (</w:t>
      </w:r>
      <w:proofErr w:type="spellStart"/>
      <w:r w:rsidR="005070BF">
        <w:t>weschachat</w:t>
      </w:r>
      <w:proofErr w:type="spellEnd"/>
      <w:r w:rsidR="005070BF">
        <w:t xml:space="preserve"> - "und er soll schlachten") zu Plural </w:t>
      </w:r>
      <w:proofErr w:type="spellStart"/>
      <w:r w:rsidR="005070BF">
        <w:t>σφάξουσιν</w:t>
      </w:r>
      <w:proofErr w:type="spellEnd"/>
      <w:r w:rsidR="005070BF">
        <w:t xml:space="preserve"> (sie werden schlachten), was eine textkritische Unstimmigkeit bezüglich des Handlungsträgers zeigt.</w:t>
      </w:r>
    </w:p>
    <w:p w14:paraId="1293B89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 8: drei koordinierte Hauptsätze mit Waw-Konsekutiv. Die einzige Variation (</w:t>
      </w:r>
      <w:r w:rsidRPr="0098037E">
        <w:rPr>
          <w:rFonts w:eastAsia="Times New Roman" w:cs="Times New Roman"/>
          <w:b/>
          <w:bCs/>
          <w:rtl/>
          <w:lang w:eastAsia="de-DE"/>
        </w:rPr>
        <w:t>רֹאשֹׁ֔ו</w:t>
      </w:r>
      <w:r w:rsidRPr="0098037E">
        <w:rPr>
          <w:rFonts w:eastAsia="Times New Roman" w:cs="Times New Roman"/>
          <w:rtl/>
          <w:lang w:eastAsia="de-DE"/>
        </w:rPr>
        <w:t xml:space="preserve"> </w:t>
      </w:r>
      <w:r w:rsidRPr="0098037E">
        <w:rPr>
          <w:rFonts w:eastAsia="Times New Roman" w:cs="Times New Roman"/>
          <w:lang w:eastAsia="de-DE"/>
        </w:rPr>
        <w:t xml:space="preserve">statt </w:t>
      </w:r>
      <w:r w:rsidRPr="0098037E">
        <w:rPr>
          <w:rFonts w:eastAsia="Times New Roman" w:cs="Times New Roman"/>
          <w:b/>
          <w:bCs/>
          <w:rtl/>
          <w:lang w:eastAsia="de-DE"/>
        </w:rPr>
        <w:t>רֹ֣אשׁ קָרְבָּנֹ֔ו</w:t>
      </w:r>
      <w:r w:rsidRPr="0098037E">
        <w:rPr>
          <w:rFonts w:eastAsia="Times New Roman" w:cs="Times New Roman"/>
          <w:lang w:eastAsia="de-DE"/>
        </w:rPr>
        <w:t>) zeigt die lebendige Variabilität der Gesetzessprache.</w:t>
      </w:r>
    </w:p>
    <w:p w14:paraId="481CF92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etabliert die identischen Anfangsprozeduren für Ziegenopfer und bestätigt die rituell einheitliche Behandlung aller </w:t>
      </w:r>
      <w:r w:rsidRPr="0098037E">
        <w:rPr>
          <w:rFonts w:eastAsia="Times New Roman" w:cs="Times New Roman"/>
          <w:b/>
          <w:bCs/>
          <w:rtl/>
          <w:lang w:eastAsia="de-DE"/>
        </w:rPr>
        <w:t>שְׁלָמִים</w:t>
      </w:r>
      <w:r w:rsidRPr="0098037E">
        <w:rPr>
          <w:rFonts w:eastAsia="Times New Roman" w:cs="Times New Roman"/>
          <w:lang w:eastAsia="de-DE"/>
        </w:rPr>
        <w:t>-Arten.</w:t>
      </w:r>
    </w:p>
    <w:p w14:paraId="1A8F42E2"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3,14</w:t>
      </w:r>
    </w:p>
    <w:p w14:paraId="0505994B"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וְהִקְרִ֤יב מִמֶּ֨נּוּ֙ קָרְבָּנֹ֔ו אִשֶּׁ֖ה לַֽיהוָ֑ה אֶת־הַחֵ֨לֶב֙ הַֽמְכַסֶּ֣ה אֶת־הַקֶּ֔רֶב וְאֵת֙ כָּל־הַחֵ֔לֶב אֲשֶׁ֖ר עַל־הַקֶּֽרֶב׃</w:t>
      </w:r>
    </w:p>
    <w:p w14:paraId="42D686C5"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er soll davon seine Opfergabe als Feueropfer dem Ewigen darbringen: Das Fett, welches das Eingeweide bedeckt, und alles Fett, das am Eingeweide ist,</w:t>
      </w:r>
    </w:p>
    <w:p w14:paraId="3AFD1A12"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77446F73">
          <v:rect id="_x0000_i1071" style="width:0;height:1.5pt" o:hralign="center" o:hrstd="t" o:hr="t" fillcolor="#a0a0a0" stroked="f"/>
        </w:pict>
      </w:r>
    </w:p>
    <w:p w14:paraId="1ADDEA9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w:t>
      </w:r>
      <w:r w:rsidRPr="0098037E">
        <w:rPr>
          <w:rFonts w:eastAsia="Times New Roman" w:cs="Times New Roman"/>
          <w:b/>
          <w:bCs/>
          <w:rtl/>
          <w:lang w:eastAsia="de-DE"/>
        </w:rPr>
        <w:t>וְהִקְרִ֤יב מִמֶּ֨נּוּ֙ קָרְבָּנֹ֔ו</w:t>
      </w:r>
      <w:r w:rsidRPr="0098037E">
        <w:rPr>
          <w:rFonts w:eastAsia="Times New Roman" w:cs="Times New Roman"/>
          <w:rtl/>
          <w:lang w:eastAsia="de-DE"/>
        </w:rPr>
        <w:t xml:space="preserve"> </w:t>
      </w:r>
      <w:r w:rsidRPr="0098037E">
        <w:rPr>
          <w:rFonts w:eastAsia="Times New Roman" w:cs="Times New Roman"/>
          <w:lang w:eastAsia="de-DE"/>
        </w:rPr>
        <w:t xml:space="preserve">(und er soll davon seine Opfergabe darbringen) zeigt eine Variation der Einleitungsformel. </w:t>
      </w:r>
      <w:r w:rsidRPr="0098037E">
        <w:rPr>
          <w:rFonts w:eastAsia="Times New Roman" w:cs="Times New Roman"/>
          <w:b/>
          <w:bCs/>
          <w:rtl/>
          <w:lang w:eastAsia="de-DE"/>
        </w:rPr>
        <w:t>מִמֶּנּוּ</w:t>
      </w:r>
      <w:r w:rsidRPr="0098037E">
        <w:rPr>
          <w:rFonts w:eastAsia="Times New Roman" w:cs="Times New Roman"/>
          <w:rtl/>
          <w:lang w:eastAsia="de-DE"/>
        </w:rPr>
        <w:t xml:space="preserve"> </w:t>
      </w:r>
      <w:r w:rsidRPr="0098037E">
        <w:rPr>
          <w:rFonts w:eastAsia="Times New Roman" w:cs="Times New Roman"/>
          <w:lang w:eastAsia="de-DE"/>
        </w:rPr>
        <w:t xml:space="preserve">(von ihm/davon) mit maskulinem Suffix bezieht sich auf </w:t>
      </w:r>
      <w:r w:rsidRPr="0098037E">
        <w:rPr>
          <w:rFonts w:eastAsia="Times New Roman" w:cs="Times New Roman"/>
          <w:b/>
          <w:bCs/>
          <w:rtl/>
          <w:lang w:eastAsia="de-DE"/>
        </w:rPr>
        <w:t>עֵז</w:t>
      </w:r>
      <w:r w:rsidRPr="0098037E">
        <w:rPr>
          <w:rFonts w:eastAsia="Times New Roman" w:cs="Times New Roman"/>
          <w:rtl/>
          <w:lang w:eastAsia="de-DE"/>
        </w:rPr>
        <w:t xml:space="preserve"> </w:t>
      </w:r>
      <w:r w:rsidRPr="0098037E">
        <w:rPr>
          <w:rFonts w:eastAsia="Times New Roman" w:cs="Times New Roman"/>
          <w:lang w:eastAsia="de-DE"/>
        </w:rPr>
        <w:t xml:space="preserve">(Ziege) zurück und betont die partitive Natur. </w:t>
      </w:r>
      <w:r w:rsidRPr="0098037E">
        <w:rPr>
          <w:rFonts w:eastAsia="Times New Roman" w:cs="Times New Roman"/>
          <w:b/>
          <w:bCs/>
          <w:rtl/>
          <w:lang w:eastAsia="de-DE"/>
        </w:rPr>
        <w:t>קָרְבָּנֹ֔ו</w:t>
      </w:r>
      <w:r w:rsidRPr="0098037E">
        <w:rPr>
          <w:rFonts w:eastAsia="Times New Roman" w:cs="Times New Roman"/>
          <w:rtl/>
          <w:lang w:eastAsia="de-DE"/>
        </w:rPr>
        <w:t xml:space="preserve"> </w:t>
      </w:r>
      <w:r w:rsidRPr="0098037E">
        <w:rPr>
          <w:rFonts w:eastAsia="Times New Roman" w:cs="Times New Roman"/>
          <w:lang w:eastAsia="de-DE"/>
        </w:rPr>
        <w:t xml:space="preserve">(seine Opfergabe) spezifiziert, dass nur Teile der Ziege als </w:t>
      </w:r>
      <w:r w:rsidRPr="0098037E">
        <w:rPr>
          <w:rFonts w:eastAsia="Times New Roman" w:cs="Times New Roman"/>
          <w:b/>
          <w:bCs/>
          <w:rtl/>
          <w:lang w:eastAsia="de-DE"/>
        </w:rPr>
        <w:t>אִשֶּׁה</w:t>
      </w:r>
      <w:r w:rsidRPr="0098037E">
        <w:rPr>
          <w:rFonts w:eastAsia="Times New Roman" w:cs="Times New Roman"/>
          <w:rtl/>
          <w:lang w:eastAsia="de-DE"/>
        </w:rPr>
        <w:t xml:space="preserve"> </w:t>
      </w:r>
      <w:r w:rsidRPr="0098037E">
        <w:rPr>
          <w:rFonts w:eastAsia="Times New Roman" w:cs="Times New Roman"/>
          <w:lang w:eastAsia="de-DE"/>
        </w:rPr>
        <w:t>dargebracht werden.</w:t>
      </w:r>
    </w:p>
    <w:p w14:paraId="4E7DC30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אִשֶּׁ֖ה לַֽיהוָ֑ה</w:t>
      </w:r>
      <w:r w:rsidRPr="0098037E">
        <w:rPr>
          <w:rFonts w:eastAsia="Times New Roman" w:cs="Times New Roman"/>
          <w:rtl/>
          <w:lang w:eastAsia="de-DE"/>
        </w:rPr>
        <w:t xml:space="preserve"> </w:t>
      </w:r>
      <w:r w:rsidRPr="0098037E">
        <w:rPr>
          <w:rFonts w:eastAsia="Times New Roman" w:cs="Times New Roman"/>
          <w:lang w:eastAsia="de-DE"/>
        </w:rPr>
        <w:t xml:space="preserve">(Feueropfer für JHWH) entspricht den vorherigen Formulierungen. </w:t>
      </w:r>
      <w:r w:rsidRPr="0098037E">
        <w:rPr>
          <w:rFonts w:eastAsia="Times New Roman" w:cs="Times New Roman"/>
          <w:b/>
          <w:bCs/>
          <w:rtl/>
          <w:lang w:eastAsia="de-DE"/>
        </w:rPr>
        <w:t>אֶת־הַחֵ֨לֶב֙ הַֽמְכַסֶּ֣ה אֶת־הַקֶּ֔רֶב וְאֵת֙ כָּל־הַחֵ֔לֶב אֲשֶׁ֖ר עַל־הַקֶּֽרֶב</w:t>
      </w:r>
      <w:r w:rsidRPr="0098037E">
        <w:rPr>
          <w:rFonts w:eastAsia="Times New Roman" w:cs="Times New Roman"/>
          <w:rtl/>
          <w:lang w:eastAsia="de-DE"/>
        </w:rPr>
        <w:t xml:space="preserve"> </w:t>
      </w:r>
      <w:r w:rsidRPr="0098037E">
        <w:rPr>
          <w:rFonts w:eastAsia="Times New Roman" w:cs="Times New Roman"/>
          <w:lang w:eastAsia="de-DE"/>
        </w:rPr>
        <w:t>wiederholt exakt die Fettbestimmungen von V. 3 und V. 9.</w:t>
      </w:r>
    </w:p>
    <w:p w14:paraId="49B0B0E6"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lastRenderedPageBreak/>
        <w:t>מִמֶּנּוּ</w:t>
      </w:r>
      <w:r w:rsidRPr="0098037E">
        <w:rPr>
          <w:rFonts w:eastAsia="Times New Roman" w:cs="Times New Roman"/>
          <w:rtl/>
          <w:lang w:eastAsia="de-DE"/>
        </w:rPr>
        <w:t xml:space="preserve"> </w:t>
      </w:r>
      <w:r w:rsidRPr="0098037E">
        <w:rPr>
          <w:rFonts w:eastAsia="Times New Roman" w:cs="Times New Roman"/>
          <w:lang w:eastAsia="de-DE"/>
        </w:rPr>
        <w:t xml:space="preserve">(davon) anstelle von </w:t>
      </w:r>
      <w:r w:rsidRPr="0098037E">
        <w:rPr>
          <w:rFonts w:eastAsia="Times New Roman" w:cs="Times New Roman"/>
          <w:b/>
          <w:bCs/>
          <w:rtl/>
          <w:lang w:eastAsia="de-DE"/>
        </w:rPr>
        <w:t>מִזֶּבַח הַשְּׁלָמִים</w:t>
      </w:r>
      <w:r w:rsidRPr="0098037E">
        <w:rPr>
          <w:rFonts w:eastAsia="Times New Roman" w:cs="Times New Roman"/>
          <w:rtl/>
          <w:lang w:eastAsia="de-DE"/>
        </w:rPr>
        <w:t xml:space="preserve"> </w:t>
      </w:r>
      <w:r w:rsidRPr="0098037E">
        <w:rPr>
          <w:rFonts w:eastAsia="Times New Roman" w:cs="Times New Roman"/>
          <w:lang w:eastAsia="de-DE"/>
        </w:rPr>
        <w:t>(vom Friedensopfer) zeigt eine direktere Bezugnahme auf das individuelle Tier. Diese Variation betont die praktische Durchführung der Organentnahme.</w:t>
      </w:r>
    </w:p>
    <w:p w14:paraId="1A7F45F8"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Die wörtliche Wiederholung der Fettbestimmungen (</w:t>
      </w:r>
      <w:r w:rsidRPr="0098037E">
        <w:rPr>
          <w:rFonts w:eastAsia="Times New Roman" w:cs="Times New Roman"/>
          <w:b/>
          <w:bCs/>
          <w:rtl/>
          <w:lang w:eastAsia="de-DE"/>
        </w:rPr>
        <w:t>חֵלֶב המכסה את־הקרב</w:t>
      </w:r>
      <w:r w:rsidRPr="0098037E">
        <w:rPr>
          <w:rFonts w:eastAsia="Times New Roman" w:cs="Times New Roman"/>
          <w:rtl/>
          <w:lang w:eastAsia="de-DE"/>
        </w:rPr>
        <w:t xml:space="preserve"> </w:t>
      </w:r>
      <w:r w:rsidRPr="0098037E">
        <w:rPr>
          <w:rFonts w:eastAsia="Times New Roman" w:cs="Times New Roman"/>
          <w:lang w:eastAsia="de-DE"/>
        </w:rPr>
        <w:t xml:space="preserve">und </w:t>
      </w:r>
      <w:r w:rsidRPr="0098037E">
        <w:rPr>
          <w:rFonts w:eastAsia="Times New Roman" w:cs="Times New Roman"/>
          <w:b/>
          <w:bCs/>
          <w:rtl/>
          <w:lang w:eastAsia="de-DE"/>
        </w:rPr>
        <w:t>כל־החלב אשר על־הקרב</w:t>
      </w:r>
      <w:r w:rsidRPr="0098037E">
        <w:rPr>
          <w:rFonts w:eastAsia="Times New Roman" w:cs="Times New Roman"/>
          <w:lang w:eastAsia="de-DE"/>
        </w:rPr>
        <w:t>) zeigt, dass Ziegen dieselben anatomischen Grundfettteile haben wie Rinder und Schafe.</w:t>
      </w:r>
    </w:p>
    <w:p w14:paraId="1FABE97A"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übersetzt </w:t>
      </w:r>
      <w:r w:rsidRPr="0098037E">
        <w:rPr>
          <w:rFonts w:eastAsia="Times New Roman" w:cs="Times New Roman"/>
          <w:b/>
          <w:bCs/>
          <w:rtl/>
          <w:lang w:eastAsia="de-DE"/>
        </w:rPr>
        <w:t>מִמֶּנּוּ</w:t>
      </w:r>
      <w:r w:rsidRPr="0098037E">
        <w:rPr>
          <w:rFonts w:eastAsia="Times New Roman" w:cs="Times New Roman"/>
          <w:rtl/>
          <w:lang w:eastAsia="de-DE"/>
        </w:rPr>
        <w:t xml:space="preserve"> </w:t>
      </w:r>
      <w:r w:rsidRPr="0098037E">
        <w:rPr>
          <w:rFonts w:eastAsia="Times New Roman" w:cs="Times New Roman"/>
          <w:lang w:eastAsia="de-DE"/>
        </w:rPr>
        <w:t>mit ἀπ' α</w:t>
      </w:r>
      <w:proofErr w:type="spellStart"/>
      <w:r w:rsidRPr="0098037E">
        <w:rPr>
          <w:rFonts w:eastAsia="Times New Roman" w:cs="Times New Roman"/>
          <w:lang w:eastAsia="de-DE"/>
        </w:rPr>
        <w:t>ὐτοῦ</w:t>
      </w:r>
      <w:proofErr w:type="spellEnd"/>
      <w:r w:rsidRPr="0098037E">
        <w:rPr>
          <w:rFonts w:eastAsia="Times New Roman" w:cs="Times New Roman"/>
          <w:lang w:eastAsia="de-DE"/>
        </w:rPr>
        <w:t xml:space="preserve"> (von ihm) und wiederholt die standardisierten Fettbeschreibungen, was die Konsistenz der griechischen Terminologie zeigt.</w:t>
      </w:r>
    </w:p>
    <w:p w14:paraId="2128B182"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zeigt eine Variation der Einleitung (</w:t>
      </w:r>
      <w:r w:rsidRPr="0098037E">
        <w:rPr>
          <w:rFonts w:eastAsia="Times New Roman" w:cs="Times New Roman"/>
          <w:rtl/>
          <w:lang w:eastAsia="de-DE"/>
        </w:rPr>
        <w:t>מִמֶּנּוּ</w:t>
      </w:r>
      <w:r w:rsidRPr="0098037E">
        <w:rPr>
          <w:rFonts w:eastAsia="Times New Roman" w:cs="Times New Roman"/>
          <w:lang w:eastAsia="de-DE"/>
        </w:rPr>
        <w:t xml:space="preserve"> statt </w:t>
      </w:r>
      <w:r w:rsidRPr="0098037E">
        <w:rPr>
          <w:rFonts w:eastAsia="Times New Roman" w:cs="Times New Roman"/>
          <w:rtl/>
          <w:lang w:eastAsia="de-DE"/>
        </w:rPr>
        <w:t>מִזֶּבַח הַשְּׁלָמִים</w:t>
      </w:r>
      <w:r w:rsidRPr="0098037E">
        <w:rPr>
          <w:rFonts w:eastAsia="Times New Roman" w:cs="Times New Roman"/>
          <w:lang w:eastAsia="de-DE"/>
        </w:rPr>
        <w:t>) bei identischer Fettaufzählung: Verb + Adverbialbestimmung + Objekt + Objektscharakterisierung + komplexe Objektbeschreibung mit Relativsatz.</w:t>
      </w:r>
    </w:p>
    <w:p w14:paraId="312E86F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Dieser Vers etabliert die identischen Fettbestimmungen für Ziegen wie für andere </w:t>
      </w:r>
      <w:r w:rsidRPr="0098037E">
        <w:rPr>
          <w:rFonts w:eastAsia="Times New Roman" w:cs="Times New Roman"/>
          <w:b/>
          <w:bCs/>
          <w:rtl/>
          <w:lang w:eastAsia="de-DE"/>
        </w:rPr>
        <w:t>שְׁלָמִים</w:t>
      </w:r>
      <w:r w:rsidRPr="0098037E">
        <w:rPr>
          <w:rFonts w:eastAsia="Times New Roman" w:cs="Times New Roman"/>
          <w:lang w:eastAsia="de-DE"/>
        </w:rPr>
        <w:t xml:space="preserve">-Arten und zeigt durch die </w:t>
      </w:r>
      <w:r w:rsidRPr="0098037E">
        <w:rPr>
          <w:rFonts w:eastAsia="Times New Roman" w:cs="Times New Roman"/>
          <w:b/>
          <w:bCs/>
          <w:rtl/>
          <w:lang w:eastAsia="de-DE"/>
        </w:rPr>
        <w:t>מִמֶּנּוּ</w:t>
      </w:r>
      <w:r w:rsidRPr="0098037E">
        <w:rPr>
          <w:rFonts w:eastAsia="Times New Roman" w:cs="Times New Roman"/>
          <w:lang w:eastAsia="de-DE"/>
        </w:rPr>
        <w:t>-Formulierung eine praktischere Perspektive der Organentnahme.</w:t>
      </w:r>
    </w:p>
    <w:p w14:paraId="60FBA6A9" w14:textId="77777777" w:rsidR="0098037E" w:rsidRPr="0098037E" w:rsidRDefault="0098037E" w:rsidP="0098037E">
      <w:pPr>
        <w:spacing w:before="100" w:beforeAutospacing="1" w:after="100" w:afterAutospacing="1" w:line="240" w:lineRule="auto"/>
        <w:outlineLvl w:val="1"/>
        <w:rPr>
          <w:rFonts w:eastAsia="Times New Roman" w:cs="Times New Roman"/>
          <w:b/>
          <w:bCs/>
          <w:sz w:val="36"/>
          <w:szCs w:val="36"/>
          <w:lang w:eastAsia="de-DE"/>
        </w:rPr>
      </w:pPr>
      <w:r w:rsidRPr="0098037E">
        <w:rPr>
          <w:rFonts w:eastAsia="Times New Roman" w:cs="Times New Roman"/>
          <w:b/>
          <w:bCs/>
          <w:sz w:val="36"/>
          <w:szCs w:val="36"/>
          <w:lang w:eastAsia="de-DE"/>
        </w:rPr>
        <w:t>Leviticus 3,15</w:t>
      </w:r>
    </w:p>
    <w:p w14:paraId="31359CCD"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Hebräisch:</w:t>
      </w:r>
      <w:r w:rsidRPr="0098037E">
        <w:rPr>
          <w:rFonts w:eastAsia="Times New Roman" w:cs="Times New Roman"/>
          <w:lang w:eastAsia="de-DE"/>
        </w:rPr>
        <w:t xml:space="preserve"> </w:t>
      </w:r>
      <w:r w:rsidRPr="0098037E">
        <w:rPr>
          <w:rFonts w:eastAsia="Times New Roman" w:cs="Times New Roman"/>
          <w:rtl/>
          <w:lang w:eastAsia="de-DE"/>
        </w:rPr>
        <w:t>וְאֵת֙ שְׁתֵּ֣י הַכְּלָיֹ֔ת וְאֶת־הַחֵ֨לֶב֙ אֲשֶׁ֣ר עֲלֵהֶ֔ן אֲשֶׁ֖ר עַל־הַכְּסָלִ֑ים וְאֶת־הַיֹּתֶ֨רֶת֙ עַל־הַכָּבֵ֔ד עַל־הַכְּלָיֹ֖ת יְסִירֶֽנָּה׃</w:t>
      </w:r>
    </w:p>
    <w:p w14:paraId="70CD4487"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Deutsch:</w:t>
      </w:r>
      <w:r w:rsidRPr="0098037E">
        <w:rPr>
          <w:rFonts w:eastAsia="Times New Roman" w:cs="Times New Roman"/>
          <w:lang w:eastAsia="de-DE"/>
        </w:rPr>
        <w:t xml:space="preserve"> und die beiden Nieren und das Fett, das an ihnen, das an den Lenden ist, und das Netz über der Leber: Samt den Nieren soll er es abtrennen.</w:t>
      </w:r>
    </w:p>
    <w:p w14:paraId="0DCAEA01" w14:textId="77777777" w:rsidR="0098037E" w:rsidRPr="0098037E" w:rsidRDefault="00A57720" w:rsidP="0098037E">
      <w:pPr>
        <w:spacing w:after="0" w:line="240" w:lineRule="auto"/>
        <w:rPr>
          <w:rFonts w:eastAsia="Times New Roman" w:cs="Times New Roman"/>
          <w:lang w:eastAsia="de-DE"/>
        </w:rPr>
      </w:pPr>
      <w:r>
        <w:rPr>
          <w:rFonts w:eastAsia="Times New Roman" w:cs="Times New Roman"/>
          <w:noProof/>
          <w:lang w:eastAsia="de-DE"/>
        </w:rPr>
        <w:pict w14:anchorId="1774925B">
          <v:rect id="_x0000_i1072" style="width:0;height:1.5pt" o:hralign="center" o:hrstd="t" o:hr="t" fillcolor="#a0a0a0" stroked="f"/>
        </w:pict>
      </w:r>
    </w:p>
    <w:p w14:paraId="3C7FDEB0"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Kommentar:</w:t>
      </w:r>
      <w:r w:rsidRPr="0098037E">
        <w:rPr>
          <w:rFonts w:eastAsia="Times New Roman" w:cs="Times New Roman"/>
          <w:lang w:eastAsia="de-DE"/>
        </w:rPr>
        <w:t xml:space="preserve"> Dieser Vers ist eine exakte Wiederholung von V. 4 und V. 10 und etabliert die identischen Organ- und Fettbestimmungen für Ziegen wie für alle anderen </w:t>
      </w:r>
      <w:r w:rsidRPr="0098037E">
        <w:rPr>
          <w:rFonts w:eastAsia="Times New Roman" w:cs="Times New Roman"/>
          <w:b/>
          <w:bCs/>
          <w:rtl/>
          <w:lang w:eastAsia="de-DE"/>
        </w:rPr>
        <w:t>שְׁלָמִים</w:t>
      </w:r>
      <w:r w:rsidRPr="0098037E">
        <w:rPr>
          <w:rFonts w:eastAsia="Times New Roman" w:cs="Times New Roman"/>
          <w:lang w:eastAsia="de-DE"/>
        </w:rPr>
        <w:t>-Arten. Die dreifache wörtliche Wiederholung derselben anatomischen Bestimmungen betont deren universelle Gültigkeit.</w:t>
      </w:r>
    </w:p>
    <w:p w14:paraId="46B5B61D" w14:textId="48836B0A" w:rsidR="0098037E" w:rsidRPr="0098037E" w:rsidRDefault="0098037E" w:rsidP="00577688">
      <w:pPr>
        <w:spacing w:before="100" w:beforeAutospacing="1" w:after="100" w:afterAutospacing="1" w:line="240" w:lineRule="auto"/>
        <w:rPr>
          <w:rFonts w:eastAsia="Times New Roman" w:cs="Times New Roman"/>
          <w:lang w:eastAsia="de-DE"/>
        </w:rPr>
      </w:pPr>
      <w:r w:rsidRPr="0098037E">
        <w:rPr>
          <w:rFonts w:eastAsia="Times New Roman" w:cs="Times New Roman"/>
          <w:b/>
          <w:bCs/>
          <w:rtl/>
          <w:lang w:eastAsia="de-DE"/>
        </w:rPr>
        <w:t>שְׁתֵּ֣י הַכְּלָיֹ֔ת</w:t>
      </w:r>
      <w:r w:rsidRPr="0098037E">
        <w:rPr>
          <w:rFonts w:eastAsia="Times New Roman" w:cs="Times New Roman"/>
          <w:rtl/>
          <w:lang w:eastAsia="de-DE"/>
        </w:rPr>
        <w:t xml:space="preserve"> </w:t>
      </w:r>
      <w:r w:rsidRPr="0098037E">
        <w:rPr>
          <w:rFonts w:eastAsia="Times New Roman" w:cs="Times New Roman"/>
          <w:lang w:eastAsia="de-DE"/>
        </w:rPr>
        <w:t>(die beiden Nieren),</w:t>
      </w:r>
      <w:r w:rsidR="00577688">
        <w:rPr>
          <w:rFonts w:eastAsia="Times New Roman" w:cs="Times New Roman"/>
          <w:lang w:eastAsia="de-DE"/>
        </w:rPr>
        <w:t xml:space="preserve"> </w:t>
      </w:r>
      <w:r w:rsidR="00577688" w:rsidRPr="0098037E">
        <w:rPr>
          <w:rFonts w:eastAsia="Times New Roman" w:cs="Times New Roman"/>
          <w:rtl/>
          <w:lang w:eastAsia="de-DE"/>
        </w:rPr>
        <w:t xml:space="preserve"> </w:t>
      </w:r>
      <w:r w:rsidRPr="0098037E">
        <w:rPr>
          <w:rFonts w:eastAsia="Times New Roman" w:cs="Times New Roman"/>
          <w:b/>
          <w:bCs/>
          <w:rtl/>
          <w:lang w:eastAsia="de-DE"/>
        </w:rPr>
        <w:t>הַחֵ֨לֶב֙</w:t>
      </w:r>
      <w:r w:rsidR="00577688" w:rsidRPr="00577688">
        <w:rPr>
          <w:rFonts w:eastAsia="Times New Roman" w:cs="Times New Roman"/>
          <w:b/>
          <w:bCs/>
          <w:rtl/>
          <w:lang w:eastAsia="de-DE"/>
        </w:rPr>
        <w:t xml:space="preserve"> </w:t>
      </w:r>
      <w:r w:rsidR="00577688" w:rsidRPr="0098037E">
        <w:rPr>
          <w:rFonts w:eastAsia="Times New Roman" w:cs="Times New Roman"/>
          <w:b/>
          <w:bCs/>
          <w:rtl/>
          <w:lang w:eastAsia="de-DE"/>
        </w:rPr>
        <w:t>אֲשֶׁ֣ר עֲלֵהֶ֔ן אֲשֶׁ֖ר עַל־הַכְּסָלִ֑ים</w:t>
      </w:r>
      <w:r w:rsidRPr="0098037E">
        <w:rPr>
          <w:rFonts w:eastAsia="Times New Roman" w:cs="Times New Roman"/>
          <w:lang w:eastAsia="de-DE"/>
        </w:rPr>
        <w:t xml:space="preserve">(das Fett, das auf ihnen, das an den Lenden ist), </w:t>
      </w:r>
      <w:r w:rsidRPr="0098037E">
        <w:rPr>
          <w:rFonts w:eastAsia="Times New Roman" w:cs="Times New Roman"/>
          <w:b/>
          <w:bCs/>
          <w:rtl/>
          <w:lang w:eastAsia="de-DE"/>
        </w:rPr>
        <w:t>הַיֹּתֶ֨רֶת֙ עַל־הַכָּבֵ֔ד</w:t>
      </w:r>
      <w:r w:rsidRPr="0098037E">
        <w:rPr>
          <w:rFonts w:eastAsia="Times New Roman" w:cs="Times New Roman"/>
          <w:rtl/>
          <w:lang w:eastAsia="de-DE"/>
        </w:rPr>
        <w:t xml:space="preserve"> </w:t>
      </w:r>
      <w:r w:rsidRPr="0098037E">
        <w:rPr>
          <w:rFonts w:eastAsia="Times New Roman" w:cs="Times New Roman"/>
          <w:lang w:eastAsia="de-DE"/>
        </w:rPr>
        <w:t xml:space="preserve">(der Lappen über der Leber) und </w:t>
      </w:r>
      <w:r w:rsidRPr="0098037E">
        <w:rPr>
          <w:rFonts w:eastAsia="Times New Roman" w:cs="Times New Roman"/>
          <w:b/>
          <w:bCs/>
          <w:rtl/>
          <w:lang w:eastAsia="de-DE"/>
        </w:rPr>
        <w:t>עַל־הַכְּלָיֹ֖ת יְסִירֶֽנָּה</w:t>
      </w:r>
      <w:r w:rsidRPr="0098037E">
        <w:rPr>
          <w:rFonts w:eastAsia="Times New Roman" w:cs="Times New Roman"/>
          <w:rtl/>
          <w:lang w:eastAsia="de-DE"/>
        </w:rPr>
        <w:t xml:space="preserve"> </w:t>
      </w:r>
      <w:r w:rsidRPr="0098037E">
        <w:rPr>
          <w:rFonts w:eastAsia="Times New Roman" w:cs="Times New Roman"/>
          <w:lang w:eastAsia="de-DE"/>
        </w:rPr>
        <w:t>(samt den Nieren soll er es abtrennen) werden wörtlich wiederholt.</w:t>
      </w:r>
    </w:p>
    <w:p w14:paraId="4418459F"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t xml:space="preserve">Die dreimalige identische Formulierung (V. 4, 10, 15) für Rind, Schaf und Ziege zeigt die anatomische Universalität dieser Organbestimmungen bei allen </w:t>
      </w:r>
      <w:r w:rsidRPr="0098037E">
        <w:rPr>
          <w:rFonts w:eastAsia="Times New Roman" w:cs="Times New Roman"/>
          <w:b/>
          <w:bCs/>
          <w:rtl/>
          <w:lang w:eastAsia="de-DE"/>
        </w:rPr>
        <w:t>שְׁלָמִים</w:t>
      </w:r>
      <w:r w:rsidRPr="0098037E">
        <w:rPr>
          <w:rFonts w:eastAsia="Times New Roman" w:cs="Times New Roman"/>
          <w:lang w:eastAsia="de-DE"/>
        </w:rPr>
        <w:t xml:space="preserve">. Nur der schafspezifische </w:t>
      </w:r>
      <w:r w:rsidRPr="0098037E">
        <w:rPr>
          <w:rFonts w:eastAsia="Times New Roman" w:cs="Times New Roman"/>
          <w:b/>
          <w:bCs/>
          <w:rtl/>
          <w:lang w:eastAsia="de-DE"/>
        </w:rPr>
        <w:t>אַלְיָה</w:t>
      </w:r>
      <w:r w:rsidRPr="0098037E">
        <w:rPr>
          <w:rFonts w:eastAsia="Times New Roman" w:cs="Times New Roman"/>
          <w:rtl/>
          <w:lang w:eastAsia="de-DE"/>
        </w:rPr>
        <w:t xml:space="preserve"> </w:t>
      </w:r>
      <w:r w:rsidRPr="0098037E">
        <w:rPr>
          <w:rFonts w:eastAsia="Times New Roman" w:cs="Times New Roman"/>
          <w:lang w:eastAsia="de-DE"/>
        </w:rPr>
        <w:t>(Fettschwanz) in V. 9 stellt eine Ergänzung dar.</w:t>
      </w:r>
    </w:p>
    <w:p w14:paraId="7233C71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LXX</w:t>
      </w:r>
      <w:r w:rsidRPr="0098037E">
        <w:rPr>
          <w:rFonts w:eastAsia="Times New Roman" w:cs="Times New Roman"/>
          <w:lang w:eastAsia="de-DE"/>
        </w:rPr>
        <w:t xml:space="preserve"> wiederholt exakt dieselben Übersetzungen wie in V. 4 und 10, was die systematische Konsistenz der griechischen Terminologie und die wörtliche Identität des hebräischen Textes bestätigt.</w:t>
      </w:r>
    </w:p>
    <w:p w14:paraId="4768BD01"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b/>
          <w:bCs/>
          <w:lang w:eastAsia="de-DE"/>
        </w:rPr>
        <w:t>Die Satzstruktur:</w:t>
      </w:r>
      <w:r w:rsidRPr="0098037E">
        <w:rPr>
          <w:rFonts w:eastAsia="Times New Roman" w:cs="Times New Roman"/>
          <w:lang w:eastAsia="de-DE"/>
        </w:rPr>
        <w:t xml:space="preserve"> entspricht exakt V. 4 und 10: komplexe Objektaufzählung mit drei koordinierten Elementen und abschließender Verbalbestimmung. Die dreifache Wiederholung verstärkt die rituelle Wichtigkeit dieser anatomischen Bestimmungen.</w:t>
      </w:r>
    </w:p>
    <w:p w14:paraId="1827A383" w14:textId="77777777" w:rsidR="0098037E" w:rsidRPr="0098037E" w:rsidRDefault="0098037E" w:rsidP="0098037E">
      <w:pPr>
        <w:spacing w:before="100" w:beforeAutospacing="1" w:after="100" w:afterAutospacing="1" w:line="240" w:lineRule="auto"/>
        <w:rPr>
          <w:rFonts w:eastAsia="Times New Roman" w:cs="Times New Roman"/>
          <w:lang w:eastAsia="de-DE"/>
        </w:rPr>
      </w:pPr>
      <w:r w:rsidRPr="0098037E">
        <w:rPr>
          <w:rFonts w:eastAsia="Times New Roman" w:cs="Times New Roman"/>
          <w:lang w:eastAsia="de-DE"/>
        </w:rPr>
        <w:lastRenderedPageBreak/>
        <w:t xml:space="preserve">Diese Wiederholung schließt die Organbestimmungen für alle </w:t>
      </w:r>
      <w:r w:rsidRPr="0098037E">
        <w:rPr>
          <w:rFonts w:eastAsia="Times New Roman" w:cs="Times New Roman"/>
          <w:b/>
          <w:bCs/>
          <w:rtl/>
          <w:lang w:eastAsia="de-DE"/>
        </w:rPr>
        <w:t>שְׁלָמִים</w:t>
      </w:r>
      <w:r w:rsidRPr="0098037E">
        <w:rPr>
          <w:rFonts w:eastAsia="Times New Roman" w:cs="Times New Roman"/>
          <w:lang w:eastAsia="de-DE"/>
        </w:rPr>
        <w:t>-Arten ab und zeigt die universelle Gültigkeit der Nieren-, Fett- und Leberbestimmungen unabhängig von der spezifischen Tierart.</w:t>
      </w:r>
    </w:p>
    <w:p w14:paraId="2758442B"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3,16</w:t>
      </w:r>
    </w:p>
    <w:p w14:paraId="003BF24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וְהִקְטִירָ֥ם הַכֹּהֵ֖ן הַמִּזְבֵּ֑חָה לֶ֤חֶם אִשֶּׁה֙ לְרֵ֣יחַ נִיחֹ֔חַ כָּל־חֵ֖לֶב לַיהוָֽה׃</w:t>
      </w:r>
    </w:p>
    <w:p w14:paraId="16CA3A4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es auf dem Altar räuchern: Es ist eine Speise des Feueropfers zum lieblichen Geruch; alles Fett gehört dem Ewigen.</w:t>
      </w:r>
    </w:p>
    <w:p w14:paraId="672B71C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EAE2BBF">
          <v:rect id="_x0000_i1073" style="width:0;height:1.5pt" o:hralign="center" o:hrstd="t" o:hr="t" fillcolor="#a0a0a0" stroked="f"/>
        </w:pict>
      </w:r>
    </w:p>
    <w:p w14:paraId="08B8539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וְהִקְטִירָ֥ם</w:t>
      </w:r>
      <w:r w:rsidRPr="00577688">
        <w:rPr>
          <w:rFonts w:eastAsia="Times New Roman" w:cs="Times New Roman"/>
          <w:rtl/>
          <w:lang w:eastAsia="de-DE"/>
        </w:rPr>
        <w:t xml:space="preserve"> </w:t>
      </w:r>
      <w:r w:rsidRPr="00577688">
        <w:rPr>
          <w:rFonts w:eastAsia="Times New Roman" w:cs="Times New Roman"/>
          <w:lang w:eastAsia="de-DE"/>
        </w:rPr>
        <w:t xml:space="preserve">ist Hifil-Perfekt mit Waw-Konsekutiv von </w:t>
      </w:r>
      <w:r w:rsidRPr="00577688">
        <w:rPr>
          <w:rFonts w:eastAsia="Times New Roman" w:cs="Times New Roman"/>
          <w:b/>
          <w:bCs/>
          <w:rtl/>
          <w:lang w:eastAsia="de-DE"/>
        </w:rPr>
        <w:t>קטר</w:t>
      </w:r>
      <w:r w:rsidRPr="00577688">
        <w:rPr>
          <w:rFonts w:eastAsia="Times New Roman" w:cs="Times New Roman"/>
          <w:rtl/>
          <w:lang w:eastAsia="de-DE"/>
        </w:rPr>
        <w:t xml:space="preserve"> </w:t>
      </w:r>
      <w:r w:rsidRPr="00577688">
        <w:rPr>
          <w:rFonts w:eastAsia="Times New Roman" w:cs="Times New Roman"/>
          <w:lang w:eastAsia="de-DE"/>
        </w:rPr>
        <w:t xml:space="preserve">(räuchern), 3. Person maskulin Singular mit maskulinem Plural-Objektsuffix, bezogen auf alle aufgezählten Fett- und Organteile. </w:t>
      </w:r>
      <w:r w:rsidRPr="00577688">
        <w:rPr>
          <w:rFonts w:eastAsia="Times New Roman" w:cs="Times New Roman"/>
          <w:b/>
          <w:bCs/>
          <w:rtl/>
          <w:lang w:eastAsia="de-DE"/>
        </w:rPr>
        <w:t>הַכֹּהֵ֖ן</w:t>
      </w:r>
      <w:r w:rsidRPr="00577688">
        <w:rPr>
          <w:rFonts w:eastAsia="Times New Roman" w:cs="Times New Roman"/>
          <w:rtl/>
          <w:lang w:eastAsia="de-DE"/>
        </w:rPr>
        <w:t xml:space="preserve"> </w:t>
      </w:r>
      <w:r w:rsidRPr="00577688">
        <w:rPr>
          <w:rFonts w:eastAsia="Times New Roman" w:cs="Times New Roman"/>
          <w:lang w:eastAsia="de-DE"/>
        </w:rPr>
        <w:t xml:space="preserve">(der Priester) als Subjekt, </w:t>
      </w:r>
      <w:r w:rsidRPr="00577688">
        <w:rPr>
          <w:rFonts w:eastAsia="Times New Roman" w:cs="Times New Roman"/>
          <w:b/>
          <w:bCs/>
          <w:rtl/>
          <w:lang w:eastAsia="de-DE"/>
        </w:rPr>
        <w:t>הַמִּזְבֵּ֑חָה</w:t>
      </w:r>
      <w:r w:rsidRPr="00577688">
        <w:rPr>
          <w:rFonts w:eastAsia="Times New Roman" w:cs="Times New Roman"/>
          <w:rtl/>
          <w:lang w:eastAsia="de-DE"/>
        </w:rPr>
        <w:t xml:space="preserve"> </w:t>
      </w:r>
      <w:r w:rsidRPr="00577688">
        <w:rPr>
          <w:rFonts w:eastAsia="Times New Roman" w:cs="Times New Roman"/>
          <w:lang w:eastAsia="de-DE"/>
        </w:rPr>
        <w:t>(zum Altar hin) mit Richtungs-He.</w:t>
      </w:r>
    </w:p>
    <w:p w14:paraId="226B765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לֶ֤חֶם אִשֶּׁה֙ לְרֵ֣יחַ נִיחֹ֔חַ</w:t>
      </w:r>
      <w:r w:rsidRPr="00577688">
        <w:rPr>
          <w:rFonts w:eastAsia="Times New Roman" w:cs="Times New Roman"/>
          <w:rtl/>
          <w:lang w:eastAsia="de-DE"/>
        </w:rPr>
        <w:t xml:space="preserve"> </w:t>
      </w:r>
      <w:r w:rsidRPr="00577688">
        <w:rPr>
          <w:rFonts w:eastAsia="Times New Roman" w:cs="Times New Roman"/>
          <w:lang w:eastAsia="de-DE"/>
        </w:rPr>
        <w:t xml:space="preserve">(Speise des Feueropfers zum wohlgefälligen Geruch) kombiniert die </w:t>
      </w:r>
      <w:r w:rsidRPr="00577688">
        <w:rPr>
          <w:rFonts w:eastAsia="Times New Roman" w:cs="Times New Roman"/>
          <w:b/>
          <w:bCs/>
          <w:rtl/>
          <w:lang w:eastAsia="de-DE"/>
        </w:rPr>
        <w:t>לֶחֶם</w:t>
      </w:r>
      <w:r w:rsidRPr="00577688">
        <w:rPr>
          <w:rFonts w:eastAsia="Times New Roman" w:cs="Times New Roman"/>
          <w:lang w:eastAsia="de-DE"/>
        </w:rPr>
        <w:t xml:space="preserve">-Metapher aus V. 11 mit der Standard-Formel </w:t>
      </w:r>
      <w:r w:rsidRPr="00577688">
        <w:rPr>
          <w:rFonts w:eastAsia="Times New Roman" w:cs="Times New Roman"/>
          <w:b/>
          <w:bCs/>
          <w:rtl/>
          <w:lang w:eastAsia="de-DE"/>
        </w:rPr>
        <w:t>רֵיחַ נִיחוֹחַ</w:t>
      </w:r>
      <w:r w:rsidRPr="00577688">
        <w:rPr>
          <w:rFonts w:eastAsia="Times New Roman" w:cs="Times New Roman"/>
          <w:lang w:eastAsia="de-DE"/>
        </w:rPr>
        <w:t xml:space="preserve">. </w:t>
      </w:r>
      <w:r w:rsidRPr="00577688">
        <w:rPr>
          <w:rFonts w:eastAsia="Times New Roman" w:cs="Times New Roman"/>
          <w:b/>
          <w:bCs/>
          <w:rtl/>
          <w:lang w:eastAsia="de-DE"/>
        </w:rPr>
        <w:t>לֶחֶם אִשֶּׁה</w:t>
      </w:r>
      <w:r w:rsidRPr="00577688">
        <w:rPr>
          <w:rFonts w:eastAsia="Times New Roman" w:cs="Times New Roman"/>
          <w:rtl/>
          <w:lang w:eastAsia="de-DE"/>
        </w:rPr>
        <w:t xml:space="preserve"> </w:t>
      </w:r>
      <w:r w:rsidRPr="00577688">
        <w:rPr>
          <w:rFonts w:eastAsia="Times New Roman" w:cs="Times New Roman"/>
          <w:lang w:eastAsia="de-DE"/>
        </w:rPr>
        <w:t>(Speise des Feueropfers) als Genitivkonstruktion.</w:t>
      </w:r>
    </w:p>
    <w:p w14:paraId="07436CF1" w14:textId="63E6E25F" w:rsidR="00577688" w:rsidRPr="00577688" w:rsidRDefault="007F74FF" w:rsidP="007F74FF">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כָּל־חֵ֖לֶב לַיהוָֽה</w:t>
      </w:r>
      <w:r w:rsidRPr="004B5066">
        <w:t xml:space="preserve"> </w:t>
      </w:r>
      <w:r>
        <w:t xml:space="preserve">ist eine programmatische Aussage: Alles </w:t>
      </w:r>
      <w:r w:rsidRPr="004B5066">
        <w:rPr>
          <w:b/>
          <w:bCs/>
          <w:rtl/>
        </w:rPr>
        <w:t>חֵלֶב</w:t>
      </w:r>
      <w:r>
        <w:t xml:space="preserve"> (inneres Fett) ist kultisch JHWH vorbehalten und darf nie von Menschen verzehrt werden. Diese Formulierung drückt nicht juridische Eigentumsrechte aus, sondern die sakrale Exklusivität bestimmter Opferteile im Rahmen der Bundesbeziehung zwischen JHWH und Israel."</w:t>
      </w:r>
    </w:p>
    <w:p w14:paraId="40B70EA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Kombination </w:t>
      </w:r>
      <w:r w:rsidRPr="00577688">
        <w:rPr>
          <w:rFonts w:eastAsia="Times New Roman" w:cs="Times New Roman"/>
          <w:b/>
          <w:bCs/>
          <w:rtl/>
          <w:lang w:eastAsia="de-DE"/>
        </w:rPr>
        <w:t>לֶ֤חֶם אִשֶּׁה֙ לְרֵ֣יחַ נִיחֹ֔חַ</w:t>
      </w:r>
      <w:r w:rsidRPr="00577688">
        <w:rPr>
          <w:rFonts w:eastAsia="Times New Roman" w:cs="Times New Roman"/>
          <w:rtl/>
          <w:lang w:eastAsia="de-DE"/>
        </w:rPr>
        <w:t xml:space="preserve"> </w:t>
      </w:r>
      <w:r w:rsidRPr="00577688">
        <w:rPr>
          <w:rFonts w:eastAsia="Times New Roman" w:cs="Times New Roman"/>
          <w:lang w:eastAsia="de-DE"/>
        </w:rPr>
        <w:t>vereint die Speise-Metaphorik mit der Duft-Metaphorik und zeigt zwei Aspekte der göttlichen Opferannahme: Nahrung und Wohlgefallen.</w:t>
      </w:r>
    </w:p>
    <w:p w14:paraId="49BAD45F" w14:textId="0911E10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strukturiert um und setzt π</w:t>
      </w:r>
      <w:proofErr w:type="spellStart"/>
      <w:r w:rsidR="005070BF">
        <w:t>ᾶν</w:t>
      </w:r>
      <w:proofErr w:type="spellEnd"/>
      <w:r w:rsidR="005070BF">
        <w:t xml:space="preserve"> </w:t>
      </w:r>
      <w:proofErr w:type="spellStart"/>
      <w:r w:rsidR="005070BF">
        <w:t>τὸ</w:t>
      </w:r>
      <w:proofErr w:type="spellEnd"/>
      <w:r w:rsidR="005070BF">
        <w:t xml:space="preserve"> </w:t>
      </w:r>
      <w:proofErr w:type="spellStart"/>
      <w:r w:rsidR="005070BF">
        <w:t>στέ</w:t>
      </w:r>
      <w:proofErr w:type="spellEnd"/>
      <w:r w:rsidR="005070BF">
        <w:t xml:space="preserve">αρ </w:t>
      </w:r>
      <w:proofErr w:type="spellStart"/>
      <w:r w:rsidR="005070BF">
        <w:t>τῷ</w:t>
      </w:r>
      <w:proofErr w:type="spellEnd"/>
      <w:r w:rsidR="005070BF">
        <w:t xml:space="preserve"> </w:t>
      </w:r>
      <w:proofErr w:type="spellStart"/>
      <w:r w:rsidR="005070BF">
        <w:t>κυρίῳ</w:t>
      </w:r>
      <w:proofErr w:type="spellEnd"/>
      <w:r w:rsidR="005070BF">
        <w:t xml:space="preserve"> (alles Fett gehört dem Herrn) als separaten Satz, während es im Hebräischen Teil des Hauptsatzes ist.</w:t>
      </w:r>
    </w:p>
    <w:p w14:paraId="1F720BF8" w14:textId="255B0D93"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w:t>
      </w:r>
      <w:r w:rsidR="007F74FF">
        <w:t xml:space="preserve">zeigt einen Hauptsatz mit dreifacher Charakterisierung: Verb + Objekt + Subjekt + Adverbialbestimmung + komplexe Prädikatsbestimmung + abschließende kultische Zuordnungsaussage. Die </w:t>
      </w:r>
      <w:r w:rsidR="007F74FF" w:rsidRPr="007F74FF">
        <w:rPr>
          <w:b/>
          <w:bCs/>
          <w:rtl/>
        </w:rPr>
        <w:t>כָּל־חֵ֖לֶב לַיהוָֽה</w:t>
      </w:r>
      <w:r w:rsidR="007F74FF">
        <w:t>-Aussage fungiert als programmatische Schlussfolgerung.</w:t>
      </w:r>
      <w:r w:rsidRPr="00577688">
        <w:rPr>
          <w:rFonts w:eastAsia="Times New Roman" w:cs="Times New Roman"/>
          <w:lang w:eastAsia="de-DE"/>
        </w:rPr>
        <w:t xml:space="preserve"> </w:t>
      </w:r>
    </w:p>
    <w:p w14:paraId="7541D932" w14:textId="28058172"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beschließt die Ziegenbestimmungen und führt die fundamentale Aussage über </w:t>
      </w:r>
      <w:r w:rsidR="007F74FF">
        <w:t xml:space="preserve">die kultische </w:t>
      </w:r>
      <w:proofErr w:type="spellStart"/>
      <w:r w:rsidR="007F74FF">
        <w:t>Vorbehaltenheit</w:t>
      </w:r>
      <w:proofErr w:type="spellEnd"/>
      <w:r w:rsidR="007F74FF">
        <w:t xml:space="preserve"> allen </w:t>
      </w:r>
      <w:r w:rsidR="007F74FF" w:rsidRPr="007F74FF">
        <w:rPr>
          <w:b/>
          <w:bCs/>
          <w:rtl/>
        </w:rPr>
        <w:t>חֵלֶב</w:t>
      </w:r>
      <w:r w:rsidR="007F74FF">
        <w:t xml:space="preserve"> für JHWH ein</w:t>
      </w:r>
      <w:r w:rsidRPr="00577688">
        <w:rPr>
          <w:rFonts w:eastAsia="Times New Roman" w:cs="Times New Roman"/>
          <w:lang w:eastAsia="de-DE"/>
        </w:rPr>
        <w:t>.</w:t>
      </w:r>
    </w:p>
    <w:p w14:paraId="7A364487"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3,17</w:t>
      </w:r>
    </w:p>
    <w:p w14:paraId="0EEFE88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חֻקַּ֤ת עוֹלָם֙ לְדֹרֹ֣תֵיכֶ֔ם בְּכֹ֖ל מֽוֹשְׁבֹתֵיכֶ֑ם כָּל־חֵ֥לֶב וְכָל־דָּ֖ם לֹ֥א תֹאכֵֽלוּ׃</w:t>
      </w:r>
    </w:p>
    <w:p w14:paraId="24B7614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Eine ewige Satzung bei euren Geschlechtern in allen euren Wohnsitzen: Kein Fett und kein Blut sollt ihr essen.</w:t>
      </w:r>
    </w:p>
    <w:p w14:paraId="2A1B8E0D"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AD137D8">
          <v:rect id="_x0000_i1074" style="width:0;height:1.5pt" o:hralign="center" o:hrstd="t" o:hr="t" fillcolor="#a0a0a0" stroked="f"/>
        </w:pict>
      </w:r>
    </w:p>
    <w:p w14:paraId="7E25577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Kommentar:</w:t>
      </w:r>
      <w:r w:rsidRPr="00577688">
        <w:rPr>
          <w:rFonts w:eastAsia="Times New Roman" w:cs="Times New Roman"/>
          <w:lang w:eastAsia="de-DE"/>
        </w:rPr>
        <w:t xml:space="preserve"> </w:t>
      </w:r>
      <w:r w:rsidRPr="00577688">
        <w:rPr>
          <w:rFonts w:eastAsia="Times New Roman" w:cs="Times New Roman"/>
          <w:b/>
          <w:bCs/>
          <w:rtl/>
          <w:lang w:eastAsia="de-DE"/>
        </w:rPr>
        <w:t>חֻקַּ֤ת עוֹלָם֙</w:t>
      </w:r>
      <w:r w:rsidRPr="00577688">
        <w:rPr>
          <w:rFonts w:eastAsia="Times New Roman" w:cs="Times New Roman"/>
          <w:rtl/>
          <w:lang w:eastAsia="de-DE"/>
        </w:rPr>
        <w:t xml:space="preserve"> </w:t>
      </w:r>
      <w:r w:rsidRPr="00577688">
        <w:rPr>
          <w:rFonts w:eastAsia="Times New Roman" w:cs="Times New Roman"/>
          <w:lang w:eastAsia="de-DE"/>
        </w:rPr>
        <w:t xml:space="preserve">(ewige Satzung) ist eine feierliche Formel für dauerhafte Bestimmungen. </w:t>
      </w:r>
      <w:r w:rsidRPr="00577688">
        <w:rPr>
          <w:rFonts w:eastAsia="Times New Roman" w:cs="Times New Roman"/>
          <w:b/>
          <w:bCs/>
          <w:rtl/>
          <w:lang w:eastAsia="de-DE"/>
        </w:rPr>
        <w:t>חֻקָּה</w:t>
      </w:r>
      <w:r w:rsidRPr="00577688">
        <w:rPr>
          <w:rFonts w:eastAsia="Times New Roman" w:cs="Times New Roman"/>
          <w:rtl/>
          <w:lang w:eastAsia="de-DE"/>
        </w:rPr>
        <w:t xml:space="preserve"> </w:t>
      </w:r>
      <w:r w:rsidRPr="00577688">
        <w:rPr>
          <w:rFonts w:eastAsia="Times New Roman" w:cs="Times New Roman"/>
          <w:lang w:eastAsia="de-DE"/>
        </w:rPr>
        <w:t xml:space="preserve">(Satzung) von </w:t>
      </w:r>
      <w:r w:rsidRPr="00577688">
        <w:rPr>
          <w:rFonts w:eastAsia="Times New Roman" w:cs="Times New Roman"/>
          <w:b/>
          <w:bCs/>
          <w:rtl/>
          <w:lang w:eastAsia="de-DE"/>
        </w:rPr>
        <w:t>חקק</w:t>
      </w:r>
      <w:r w:rsidRPr="00577688">
        <w:rPr>
          <w:rFonts w:eastAsia="Times New Roman" w:cs="Times New Roman"/>
          <w:rtl/>
          <w:lang w:eastAsia="de-DE"/>
        </w:rPr>
        <w:t xml:space="preserve"> </w:t>
      </w:r>
      <w:r w:rsidRPr="00577688">
        <w:rPr>
          <w:rFonts w:eastAsia="Times New Roman" w:cs="Times New Roman"/>
          <w:lang w:eastAsia="de-DE"/>
        </w:rPr>
        <w:t xml:space="preserve">(eingraben/festsetzen), </w:t>
      </w:r>
      <w:r w:rsidRPr="00577688">
        <w:rPr>
          <w:rFonts w:eastAsia="Times New Roman" w:cs="Times New Roman"/>
          <w:b/>
          <w:bCs/>
          <w:rtl/>
          <w:lang w:eastAsia="de-DE"/>
        </w:rPr>
        <w:t>עוֹלָם</w:t>
      </w:r>
      <w:r w:rsidRPr="00577688">
        <w:rPr>
          <w:rFonts w:eastAsia="Times New Roman" w:cs="Times New Roman"/>
          <w:rtl/>
          <w:lang w:eastAsia="de-DE"/>
        </w:rPr>
        <w:t xml:space="preserve"> </w:t>
      </w:r>
      <w:r w:rsidRPr="00577688">
        <w:rPr>
          <w:rFonts w:eastAsia="Times New Roman" w:cs="Times New Roman"/>
          <w:lang w:eastAsia="de-DE"/>
        </w:rPr>
        <w:t xml:space="preserve">(Ewigkeit/Dauer). </w:t>
      </w:r>
      <w:r w:rsidRPr="00577688">
        <w:rPr>
          <w:rFonts w:eastAsia="Times New Roman" w:cs="Times New Roman"/>
          <w:b/>
          <w:bCs/>
          <w:rtl/>
          <w:lang w:eastAsia="de-DE"/>
        </w:rPr>
        <w:t>לְדֹרֹ֣תֵיכֶ֔ם</w:t>
      </w:r>
      <w:r w:rsidRPr="00577688">
        <w:rPr>
          <w:rFonts w:eastAsia="Times New Roman" w:cs="Times New Roman"/>
          <w:rtl/>
          <w:lang w:eastAsia="de-DE"/>
        </w:rPr>
        <w:t xml:space="preserve"> </w:t>
      </w:r>
      <w:r w:rsidRPr="00577688">
        <w:rPr>
          <w:rFonts w:eastAsia="Times New Roman" w:cs="Times New Roman"/>
          <w:lang w:eastAsia="de-DE"/>
        </w:rPr>
        <w:t xml:space="preserve">(für eure Geschlechter) mit </w:t>
      </w:r>
      <w:r w:rsidRPr="00577688">
        <w:rPr>
          <w:rFonts w:eastAsia="Times New Roman" w:cs="Times New Roman"/>
          <w:b/>
          <w:bCs/>
          <w:rtl/>
          <w:lang w:eastAsia="de-DE"/>
        </w:rPr>
        <w:t>דּוֹר</w:t>
      </w:r>
      <w:r w:rsidRPr="00577688">
        <w:rPr>
          <w:rFonts w:eastAsia="Times New Roman" w:cs="Times New Roman"/>
          <w:rtl/>
          <w:lang w:eastAsia="de-DE"/>
        </w:rPr>
        <w:t xml:space="preserve"> </w:t>
      </w:r>
      <w:r w:rsidRPr="00577688">
        <w:rPr>
          <w:rFonts w:eastAsia="Times New Roman" w:cs="Times New Roman"/>
          <w:lang w:eastAsia="de-DE"/>
        </w:rPr>
        <w:t>(Generation) im Plural zeigt zeitliche Universalität.</w:t>
      </w:r>
    </w:p>
    <w:p w14:paraId="7999931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בְּכֹ֖ל מֽוֹשְׁבֹתֵיכֶ֑ם</w:t>
      </w:r>
      <w:r w:rsidRPr="00577688">
        <w:rPr>
          <w:rFonts w:eastAsia="Times New Roman" w:cs="Times New Roman"/>
          <w:rtl/>
          <w:lang w:eastAsia="de-DE"/>
        </w:rPr>
        <w:t xml:space="preserve"> </w:t>
      </w:r>
      <w:r w:rsidRPr="00577688">
        <w:rPr>
          <w:rFonts w:eastAsia="Times New Roman" w:cs="Times New Roman"/>
          <w:lang w:eastAsia="de-DE"/>
        </w:rPr>
        <w:t xml:space="preserve">(in allen euren Wohnsitzen) zeigt räumliche Universalität. </w:t>
      </w:r>
      <w:r w:rsidRPr="00577688">
        <w:rPr>
          <w:rFonts w:eastAsia="Times New Roman" w:cs="Times New Roman"/>
          <w:b/>
          <w:bCs/>
          <w:rtl/>
          <w:lang w:eastAsia="de-DE"/>
        </w:rPr>
        <w:t>מוֹשָׁב</w:t>
      </w:r>
      <w:r w:rsidRPr="00577688">
        <w:rPr>
          <w:rFonts w:eastAsia="Times New Roman" w:cs="Times New Roman"/>
          <w:rtl/>
          <w:lang w:eastAsia="de-DE"/>
        </w:rPr>
        <w:t xml:space="preserve"> </w:t>
      </w:r>
      <w:r w:rsidRPr="00577688">
        <w:rPr>
          <w:rFonts w:eastAsia="Times New Roman" w:cs="Times New Roman"/>
          <w:lang w:eastAsia="de-DE"/>
        </w:rPr>
        <w:t xml:space="preserve">(Wohnsitz) von </w:t>
      </w:r>
      <w:r w:rsidRPr="00577688">
        <w:rPr>
          <w:rFonts w:eastAsia="Times New Roman" w:cs="Times New Roman"/>
          <w:b/>
          <w:bCs/>
          <w:rtl/>
          <w:lang w:eastAsia="de-DE"/>
        </w:rPr>
        <w:t>ישב</w:t>
      </w:r>
      <w:r w:rsidRPr="00577688">
        <w:rPr>
          <w:rFonts w:eastAsia="Times New Roman" w:cs="Times New Roman"/>
          <w:rtl/>
          <w:lang w:eastAsia="de-DE"/>
        </w:rPr>
        <w:t xml:space="preserve"> </w:t>
      </w:r>
      <w:r w:rsidRPr="00577688">
        <w:rPr>
          <w:rFonts w:eastAsia="Times New Roman" w:cs="Times New Roman"/>
          <w:lang w:eastAsia="de-DE"/>
        </w:rPr>
        <w:t>(sitzen/wohnen) im Plural bezeichnet alle Siedlungsgebiete. Die Bestimmung gilt nicht nur am Heiligtum, sondern überall.</w:t>
      </w:r>
    </w:p>
    <w:p w14:paraId="13AE08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כָּל־חֵ֥לֶב וְכָל־דָּ֖ם לֹ֥א תֹאכֵֽלוּ</w:t>
      </w:r>
      <w:r w:rsidRPr="00577688">
        <w:rPr>
          <w:rFonts w:eastAsia="Times New Roman" w:cs="Times New Roman"/>
          <w:rtl/>
          <w:lang w:eastAsia="de-DE"/>
        </w:rPr>
        <w:t xml:space="preserve"> </w:t>
      </w:r>
      <w:r w:rsidRPr="00577688">
        <w:rPr>
          <w:rFonts w:eastAsia="Times New Roman" w:cs="Times New Roman"/>
          <w:lang w:eastAsia="de-DE"/>
        </w:rPr>
        <w:t xml:space="preserve">(alles Fett und alles Blut sollt ihr nicht essen) formuliert das absolute Verbot. </w:t>
      </w:r>
      <w:r w:rsidRPr="00577688">
        <w:rPr>
          <w:rFonts w:eastAsia="Times New Roman" w:cs="Times New Roman"/>
          <w:b/>
          <w:bCs/>
          <w:rtl/>
          <w:lang w:eastAsia="de-DE"/>
        </w:rPr>
        <w:t>כל</w:t>
      </w:r>
      <w:r w:rsidRPr="00577688">
        <w:rPr>
          <w:rFonts w:eastAsia="Times New Roman" w:cs="Times New Roman"/>
          <w:rtl/>
          <w:lang w:eastAsia="de-DE"/>
        </w:rPr>
        <w:t xml:space="preserve"> </w:t>
      </w:r>
      <w:r w:rsidRPr="00577688">
        <w:rPr>
          <w:rFonts w:eastAsia="Times New Roman" w:cs="Times New Roman"/>
          <w:lang w:eastAsia="de-DE"/>
        </w:rPr>
        <w:t xml:space="preserve">(alles) zweifach für Vollständigkeit, </w:t>
      </w:r>
      <w:r w:rsidRPr="00577688">
        <w:rPr>
          <w:rFonts w:eastAsia="Times New Roman" w:cs="Times New Roman"/>
          <w:b/>
          <w:bCs/>
          <w:rtl/>
          <w:lang w:eastAsia="de-DE"/>
        </w:rPr>
        <w:t>לא</w:t>
      </w:r>
      <w:r w:rsidRPr="00577688">
        <w:rPr>
          <w:rFonts w:eastAsia="Times New Roman" w:cs="Times New Roman"/>
          <w:rtl/>
          <w:lang w:eastAsia="de-DE"/>
        </w:rPr>
        <w:t xml:space="preserve"> </w:t>
      </w:r>
      <w:r w:rsidRPr="00577688">
        <w:rPr>
          <w:rFonts w:eastAsia="Times New Roman" w:cs="Times New Roman"/>
          <w:lang w:eastAsia="de-DE"/>
        </w:rPr>
        <w:t xml:space="preserve">(nicht) mit </w:t>
      </w:r>
      <w:r w:rsidRPr="00577688">
        <w:rPr>
          <w:rFonts w:eastAsia="Times New Roman" w:cs="Times New Roman"/>
          <w:b/>
          <w:bCs/>
          <w:rtl/>
          <w:lang w:eastAsia="de-DE"/>
        </w:rPr>
        <w:t>אכל</w:t>
      </w:r>
      <w:r w:rsidRPr="00577688">
        <w:rPr>
          <w:rFonts w:eastAsia="Times New Roman" w:cs="Times New Roman"/>
          <w:rtl/>
          <w:lang w:eastAsia="de-DE"/>
        </w:rPr>
        <w:t xml:space="preserve"> </w:t>
      </w:r>
      <w:r w:rsidRPr="00577688">
        <w:rPr>
          <w:rFonts w:eastAsia="Times New Roman" w:cs="Times New Roman"/>
          <w:lang w:eastAsia="de-DE"/>
        </w:rPr>
        <w:t>(essen) im Qal-Imperfekt 2. Person maskulin Plural.</w:t>
      </w:r>
    </w:p>
    <w:p w14:paraId="16800A3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(Fett) und </w:t>
      </w:r>
      <w:r w:rsidRPr="00577688">
        <w:rPr>
          <w:rFonts w:eastAsia="Times New Roman" w:cs="Times New Roman"/>
          <w:b/>
          <w:bCs/>
          <w:rtl/>
          <w:lang w:eastAsia="de-DE"/>
        </w:rPr>
        <w:t>דָּם</w:t>
      </w:r>
      <w:r w:rsidRPr="00577688">
        <w:rPr>
          <w:rFonts w:eastAsia="Times New Roman" w:cs="Times New Roman"/>
          <w:rtl/>
          <w:lang w:eastAsia="de-DE"/>
        </w:rPr>
        <w:t xml:space="preserve"> </w:t>
      </w:r>
      <w:r w:rsidRPr="00577688">
        <w:rPr>
          <w:rFonts w:eastAsia="Times New Roman" w:cs="Times New Roman"/>
          <w:lang w:eastAsia="de-DE"/>
        </w:rPr>
        <w:t xml:space="preserve">(Blut) als die beiden fundamental verbotenen Substanzen: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als Gottes Anteil, </w:t>
      </w:r>
      <w:r w:rsidRPr="00577688">
        <w:rPr>
          <w:rFonts w:eastAsia="Times New Roman" w:cs="Times New Roman"/>
          <w:b/>
          <w:bCs/>
          <w:rtl/>
          <w:lang w:eastAsia="de-DE"/>
        </w:rPr>
        <w:t>דָּם</w:t>
      </w:r>
      <w:r w:rsidRPr="00577688">
        <w:rPr>
          <w:rFonts w:eastAsia="Times New Roman" w:cs="Times New Roman"/>
          <w:rtl/>
          <w:lang w:eastAsia="de-DE"/>
        </w:rPr>
        <w:t xml:space="preserve"> </w:t>
      </w:r>
      <w:r w:rsidRPr="00577688">
        <w:rPr>
          <w:rFonts w:eastAsia="Times New Roman" w:cs="Times New Roman"/>
          <w:lang w:eastAsia="de-DE"/>
        </w:rPr>
        <w:t>als Lebensprinzip (</w:t>
      </w:r>
      <w:r w:rsidRPr="00577688">
        <w:rPr>
          <w:rFonts w:eastAsia="Times New Roman" w:cs="Times New Roman"/>
          <w:b/>
          <w:bCs/>
          <w:rtl/>
          <w:lang w:eastAsia="de-DE"/>
        </w:rPr>
        <w:t>נֶפֶשׁ</w:t>
      </w:r>
      <w:r w:rsidRPr="00577688">
        <w:rPr>
          <w:rFonts w:eastAsia="Times New Roman" w:cs="Times New Roman"/>
          <w:lang w:eastAsia="de-DE"/>
        </w:rPr>
        <w:t>). Beide sind ausnahmslos tabu für menschlichen Verzehr.</w:t>
      </w:r>
    </w:p>
    <w:p w14:paraId="4914E74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חֻקַּ֤ת עוֹלָם֙ לְדֹרֹ֣תֵיכֶ֔ם בְּכֹ֖ל מֽוֹשְׁבֹתֵיכֶ֑ם</w:t>
      </w:r>
      <w:r w:rsidRPr="00577688">
        <w:rPr>
          <w:rFonts w:eastAsia="Times New Roman" w:cs="Times New Roman"/>
          <w:rtl/>
          <w:lang w:eastAsia="de-DE"/>
        </w:rPr>
        <w:t xml:space="preserve"> </w:t>
      </w:r>
      <w:r w:rsidRPr="00577688">
        <w:rPr>
          <w:rFonts w:eastAsia="Times New Roman" w:cs="Times New Roman"/>
          <w:lang w:eastAsia="de-DE"/>
        </w:rPr>
        <w:t>zeigt die stärkste mögliche Autorisierung: zeitlich (ewig), generationell (alle Geschlechter), räumlich (alle Wohnsitze) universal.</w:t>
      </w:r>
    </w:p>
    <w:p w14:paraId="41FA5076" w14:textId="1B0445F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übersetzt </w:t>
      </w:r>
      <w:r w:rsidR="005070BF">
        <w:rPr>
          <w:rtl/>
        </w:rPr>
        <w:t>חקת עולם</w:t>
      </w:r>
      <w:r w:rsidR="005070BF">
        <w:t xml:space="preserve"> (</w:t>
      </w:r>
      <w:proofErr w:type="spellStart"/>
      <w:r w:rsidR="005070BF">
        <w:t>chuqqat</w:t>
      </w:r>
      <w:proofErr w:type="spellEnd"/>
      <w:r w:rsidR="005070BF">
        <w:t xml:space="preserve"> olam - "ewige Satzung") als </w:t>
      </w:r>
      <w:proofErr w:type="spellStart"/>
      <w:r w:rsidR="005070BF">
        <w:t>νόμιμον</w:t>
      </w:r>
      <w:proofErr w:type="spellEnd"/>
      <w:r w:rsidR="005070BF">
        <w:t xml:space="preserve"> </w:t>
      </w:r>
      <w:proofErr w:type="spellStart"/>
      <w:r w:rsidR="005070BF">
        <w:t>εἰς</w:t>
      </w:r>
      <w:proofErr w:type="spellEnd"/>
      <w:r w:rsidR="005070BF">
        <w:t xml:space="preserve"> </w:t>
      </w:r>
      <w:proofErr w:type="spellStart"/>
      <w:r w:rsidR="005070BF">
        <w:t>τὸν</w:t>
      </w:r>
      <w:proofErr w:type="spellEnd"/>
      <w:r w:rsidR="005070BF">
        <w:t xml:space="preserve"> α</w:t>
      </w:r>
      <w:proofErr w:type="spellStart"/>
      <w:r w:rsidR="005070BF">
        <w:t>ἰῶν</w:t>
      </w:r>
      <w:proofErr w:type="spellEnd"/>
      <w:r w:rsidR="005070BF">
        <w:t>α (Gesetz für die Ewigkeit), was eine stärker juridische Terminologie verwendet.</w:t>
      </w:r>
    </w:p>
    <w:p w14:paraId="3AED906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feierliche Proklamation: temporale/räumliche Autorisierung + Verbotsinhalt (doppeltes Objekt + Negation + Verb). Die Struktur betont durch die vorangestellte Autorisierung die absolute Gültigkeit des Verbots.</w:t>
      </w:r>
    </w:p>
    <w:p w14:paraId="79FBE0B2" w14:textId="0BC9DE75" w:rsidR="005070BF" w:rsidRDefault="00577688" w:rsidP="005070BF">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beschließt Kapitel 3 mit der fundamentalen und universellen Prohibition von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דָּם</w:t>
      </w:r>
      <w:r w:rsidRPr="00577688">
        <w:rPr>
          <w:rFonts w:eastAsia="Times New Roman" w:cs="Times New Roman"/>
          <w:rtl/>
          <w:lang w:eastAsia="de-DE"/>
        </w:rPr>
        <w:t xml:space="preserve"> </w:t>
      </w:r>
      <w:r w:rsidRPr="00577688">
        <w:rPr>
          <w:rFonts w:eastAsia="Times New Roman" w:cs="Times New Roman"/>
          <w:lang w:eastAsia="de-DE"/>
        </w:rPr>
        <w:t xml:space="preserve">und etabliert diese als </w:t>
      </w:r>
      <w:r w:rsidRPr="00577688">
        <w:rPr>
          <w:rFonts w:eastAsia="Times New Roman" w:cs="Times New Roman"/>
          <w:b/>
          <w:bCs/>
          <w:rtl/>
          <w:lang w:eastAsia="de-DE"/>
        </w:rPr>
        <w:t>חֻקַּ֤ת עוֹלָם</w:t>
      </w:r>
      <w:r w:rsidRPr="00577688">
        <w:rPr>
          <w:rFonts w:eastAsia="Times New Roman" w:cs="Times New Roman"/>
          <w:rtl/>
          <w:lang w:eastAsia="de-DE"/>
        </w:rPr>
        <w:t xml:space="preserve"> </w:t>
      </w:r>
      <w:r w:rsidRPr="00577688">
        <w:rPr>
          <w:rFonts w:eastAsia="Times New Roman" w:cs="Times New Roman"/>
          <w:lang w:eastAsia="de-DE"/>
        </w:rPr>
        <w:t xml:space="preserve">(ewige Satzung) für alle Zeiten und Orte. Das Kapitel zeigt damit die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(Friedensopfer) als Opferart mit geteiltem Verzehr: Gott erhält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דָּם</w:t>
      </w:r>
      <w:r w:rsidRPr="00577688">
        <w:rPr>
          <w:rFonts w:eastAsia="Times New Roman" w:cs="Times New Roman"/>
          <w:lang w:eastAsia="de-DE"/>
        </w:rPr>
        <w:t xml:space="preserve">, Priester und Opfernde teilen das Fleisch, aber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דָּם</w:t>
      </w:r>
      <w:r w:rsidRPr="00577688">
        <w:rPr>
          <w:rFonts w:eastAsia="Times New Roman" w:cs="Times New Roman"/>
          <w:rtl/>
          <w:lang w:eastAsia="de-DE"/>
        </w:rPr>
        <w:t xml:space="preserve"> </w:t>
      </w:r>
      <w:r w:rsidRPr="00577688">
        <w:rPr>
          <w:rFonts w:eastAsia="Times New Roman" w:cs="Times New Roman"/>
          <w:lang w:eastAsia="de-DE"/>
        </w:rPr>
        <w:t>bleiben für Menschen absolut tabu. Diese Bestimmung übersteigt den kultischen Kontext und wird zur universellen Speisegesetzgebung.</w:t>
      </w:r>
    </w:p>
    <w:p w14:paraId="716B5F98" w14:textId="77777777" w:rsidR="004B5066" w:rsidRDefault="005070BF" w:rsidP="004B5066">
      <w:pPr>
        <w:pStyle w:val="KeinLeerraum"/>
      </w:pPr>
      <w:r>
        <w:rPr>
          <w:rStyle w:val="Fett"/>
        </w:rPr>
        <w:t>Textkritische Beobachtung</w:t>
      </w:r>
      <w:r>
        <w:t xml:space="preserve">: </w:t>
      </w:r>
      <w:r w:rsidR="004B5066">
        <w:t xml:space="preserve">Die systematische Ersetzung von </w:t>
      </w:r>
      <w:r w:rsidR="004B5066">
        <w:rPr>
          <w:rtl/>
        </w:rPr>
        <w:t>אשה</w:t>
      </w:r>
      <w:r w:rsidR="004B5066">
        <w:t xml:space="preserve"> durch </w:t>
      </w:r>
      <w:proofErr w:type="spellStart"/>
      <w:r w:rsidR="004B5066">
        <w:t>κάρ</w:t>
      </w:r>
      <w:proofErr w:type="spellEnd"/>
      <w:r w:rsidR="004B5066">
        <w:t xml:space="preserve">πωμα und die anatomischen Fehlinterpretationen deuten darauf hin, dass die LXX-Übersetzer entweder eine abweichende hebräische Vorlage hatten oder bewusst eine theologische Neuinterpretation vornahmen, die Opfer weniger als Feuer- und mehr als Ertragsopfer verstand. Jedoch sind die Gründe für Übersetzungsvarianten oft vielschichtiger: </w:t>
      </w:r>
    </w:p>
    <w:p w14:paraId="2D40A84B" w14:textId="77777777" w:rsidR="004B5066" w:rsidRPr="004B5066" w:rsidRDefault="004B5066" w:rsidP="004B5066">
      <w:pPr>
        <w:pStyle w:val="KeinLeerraum"/>
        <w:numPr>
          <w:ilvl w:val="0"/>
          <w:numId w:val="37"/>
        </w:numPr>
        <w:rPr>
          <w:rFonts w:eastAsia="Times New Roman" w:cs="Times New Roman"/>
          <w:lang w:eastAsia="de-DE"/>
        </w:rPr>
      </w:pPr>
      <w:r>
        <w:t xml:space="preserve">chronologische Faktoren (LXX entstand 3.-1. Jh. v.Chr.), </w:t>
      </w:r>
    </w:p>
    <w:p w14:paraId="1D29B8AA" w14:textId="77777777" w:rsidR="004B5066" w:rsidRPr="004B5066" w:rsidRDefault="004B5066" w:rsidP="004B5066">
      <w:pPr>
        <w:pStyle w:val="KeinLeerraum"/>
        <w:numPr>
          <w:ilvl w:val="0"/>
          <w:numId w:val="37"/>
        </w:numPr>
        <w:rPr>
          <w:rFonts w:eastAsia="Times New Roman" w:cs="Times New Roman"/>
          <w:lang w:eastAsia="de-DE"/>
        </w:rPr>
      </w:pPr>
      <w:r>
        <w:t xml:space="preserve">geografische Distanz zu Jerusalem, </w:t>
      </w:r>
    </w:p>
    <w:p w14:paraId="201E5F3C" w14:textId="77777777" w:rsidR="004B5066" w:rsidRPr="004B5066" w:rsidRDefault="004B5066" w:rsidP="004B5066">
      <w:pPr>
        <w:pStyle w:val="KeinLeerraum"/>
        <w:numPr>
          <w:ilvl w:val="0"/>
          <w:numId w:val="37"/>
        </w:numPr>
        <w:rPr>
          <w:rFonts w:eastAsia="Times New Roman" w:cs="Times New Roman"/>
          <w:lang w:eastAsia="de-DE"/>
        </w:rPr>
      </w:pPr>
      <w:r>
        <w:t xml:space="preserve">hellenistische Denkformen und </w:t>
      </w:r>
    </w:p>
    <w:p w14:paraId="316AB9E2" w14:textId="77777777" w:rsidR="004B5066" w:rsidRPr="004B5066" w:rsidRDefault="004B5066" w:rsidP="004B5066">
      <w:pPr>
        <w:pStyle w:val="KeinLeerraum"/>
        <w:numPr>
          <w:ilvl w:val="0"/>
          <w:numId w:val="37"/>
        </w:numPr>
        <w:rPr>
          <w:rFonts w:eastAsia="Times New Roman" w:cs="Times New Roman"/>
          <w:lang w:eastAsia="de-DE"/>
        </w:rPr>
      </w:pPr>
      <w:r>
        <w:t xml:space="preserve">unterschiedliche Auslegungstraditionen </w:t>
      </w:r>
    </w:p>
    <w:p w14:paraId="5A67EDD1" w14:textId="483842E2" w:rsidR="005070BF" w:rsidRPr="00577688" w:rsidRDefault="004B5066" w:rsidP="004B5066">
      <w:pPr>
        <w:pStyle w:val="KeinLeerraum"/>
        <w:rPr>
          <w:rFonts w:eastAsia="Times New Roman" w:cs="Times New Roman"/>
          <w:lang w:eastAsia="de-DE"/>
        </w:rPr>
      </w:pPr>
      <w:r>
        <w:t>können gleichermaßen zu diesen Abweichungen beigetragen haben. Eine monokausale Erklärung wird der Komplexität des Übersetzungsprozesses nicht gerecht.</w:t>
      </w:r>
    </w:p>
    <w:p w14:paraId="50E119A9"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w:t>
      </w:r>
    </w:p>
    <w:p w14:paraId="66A2511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וַיְדַבֵּ֥ר יְהוָ֖ה אֶל־מֹשֶׁ֥ה לֵּאמֹֽר׃</w:t>
      </w:r>
    </w:p>
    <w:p w14:paraId="7C0CEFD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Ewige redete zu Mosche und sprach:</w:t>
      </w:r>
    </w:p>
    <w:p w14:paraId="175AC056"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lastRenderedPageBreak/>
        <w:pict w14:anchorId="4CB0AA92">
          <v:rect id="_x0000_i1075" style="width:0;height:1.5pt" o:hralign="center" o:hrstd="t" o:hr="t" fillcolor="#a0a0a0" stroked="f"/>
        </w:pict>
      </w:r>
    </w:p>
    <w:p w14:paraId="0F916EF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וַיְדַבֵּ֥ר</w:t>
      </w:r>
      <w:r w:rsidRPr="00577688">
        <w:rPr>
          <w:rFonts w:eastAsia="Times New Roman" w:cs="Times New Roman"/>
          <w:rtl/>
          <w:lang w:eastAsia="de-DE"/>
        </w:rPr>
        <w:t xml:space="preserve"> </w:t>
      </w:r>
      <w:r w:rsidRPr="00577688">
        <w:rPr>
          <w:rFonts w:eastAsia="Times New Roman" w:cs="Times New Roman"/>
          <w:lang w:eastAsia="de-DE"/>
        </w:rPr>
        <w:t xml:space="preserve">ist Piel-Imperfekt mit Waw-Konsekutiv von </w:t>
      </w:r>
      <w:r w:rsidRPr="00577688">
        <w:rPr>
          <w:rFonts w:eastAsia="Times New Roman" w:cs="Times New Roman"/>
          <w:b/>
          <w:bCs/>
          <w:rtl/>
          <w:lang w:eastAsia="de-DE"/>
        </w:rPr>
        <w:t>דבר</w:t>
      </w:r>
      <w:r w:rsidRPr="00577688">
        <w:rPr>
          <w:rFonts w:eastAsia="Times New Roman" w:cs="Times New Roman"/>
          <w:rtl/>
          <w:lang w:eastAsia="de-DE"/>
        </w:rPr>
        <w:t xml:space="preserve"> </w:t>
      </w:r>
      <w:r w:rsidRPr="00577688">
        <w:rPr>
          <w:rFonts w:eastAsia="Times New Roman" w:cs="Times New Roman"/>
          <w:lang w:eastAsia="de-DE"/>
        </w:rPr>
        <w:t xml:space="preserve">(sprechen/reden), 3. Person maskulin Singular. </w:t>
      </w:r>
      <w:r w:rsidRPr="00577688">
        <w:rPr>
          <w:rFonts w:eastAsia="Times New Roman" w:cs="Times New Roman"/>
          <w:b/>
          <w:bCs/>
          <w:rtl/>
          <w:lang w:eastAsia="de-DE"/>
        </w:rPr>
        <w:t>יְהוָ֖ה</w:t>
      </w:r>
      <w:r w:rsidRPr="00577688">
        <w:rPr>
          <w:rFonts w:eastAsia="Times New Roman" w:cs="Times New Roman"/>
          <w:rtl/>
          <w:lang w:eastAsia="de-DE"/>
        </w:rPr>
        <w:t xml:space="preserve"> </w:t>
      </w:r>
      <w:r w:rsidRPr="00577688">
        <w:rPr>
          <w:rFonts w:eastAsia="Times New Roman" w:cs="Times New Roman"/>
          <w:lang w:eastAsia="de-DE"/>
        </w:rPr>
        <w:t xml:space="preserve">(JHWH) als Subjekt, </w:t>
      </w:r>
      <w:r w:rsidRPr="00577688">
        <w:rPr>
          <w:rFonts w:eastAsia="Times New Roman" w:cs="Times New Roman"/>
          <w:b/>
          <w:bCs/>
          <w:rtl/>
          <w:lang w:eastAsia="de-DE"/>
        </w:rPr>
        <w:t>אֶל־מֹשֶׁ֥ה</w:t>
      </w:r>
      <w:r w:rsidRPr="00577688">
        <w:rPr>
          <w:rFonts w:eastAsia="Times New Roman" w:cs="Times New Roman"/>
          <w:rtl/>
          <w:lang w:eastAsia="de-DE"/>
        </w:rPr>
        <w:t xml:space="preserve"> </w:t>
      </w:r>
      <w:r w:rsidRPr="00577688">
        <w:rPr>
          <w:rFonts w:eastAsia="Times New Roman" w:cs="Times New Roman"/>
          <w:lang w:eastAsia="de-DE"/>
        </w:rPr>
        <w:t xml:space="preserve">(zu Mosche) zeigt den Empfänger der göttlichen Rede. </w:t>
      </w:r>
      <w:r w:rsidRPr="00577688">
        <w:rPr>
          <w:rFonts w:eastAsia="Times New Roman" w:cs="Times New Roman"/>
          <w:b/>
          <w:bCs/>
          <w:rtl/>
          <w:lang w:eastAsia="de-DE"/>
        </w:rPr>
        <w:t>לֵּאמֹֽר</w:t>
      </w:r>
      <w:r w:rsidRPr="00577688">
        <w:rPr>
          <w:rFonts w:eastAsia="Times New Roman" w:cs="Times New Roman"/>
          <w:rtl/>
          <w:lang w:eastAsia="de-DE"/>
        </w:rPr>
        <w:t xml:space="preserve"> </w:t>
      </w:r>
      <w:r w:rsidRPr="00577688">
        <w:rPr>
          <w:rFonts w:eastAsia="Times New Roman" w:cs="Times New Roman"/>
          <w:lang w:eastAsia="de-DE"/>
        </w:rPr>
        <w:t>(sprechend/sagend) ist der standardisierte Infinitiv zur Einleitung direkter Rede.</w:t>
      </w:r>
    </w:p>
    <w:p w14:paraId="595BF89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 Einleitungsformel (</w:t>
      </w:r>
      <w:r w:rsidRPr="00577688">
        <w:rPr>
          <w:rFonts w:eastAsia="Times New Roman" w:cs="Times New Roman"/>
          <w:b/>
          <w:bCs/>
          <w:rtl/>
          <w:lang w:eastAsia="de-DE"/>
        </w:rPr>
        <w:t>וַיְדַבֵּ֥ר יְהוָ֖ה אֶל־מֹשֶׁ֥ה לֵּאמֹֽר</w:t>
      </w:r>
      <w:r w:rsidRPr="00577688">
        <w:rPr>
          <w:rFonts w:eastAsia="Times New Roman" w:cs="Times New Roman"/>
          <w:lang w:eastAsia="de-DE"/>
        </w:rPr>
        <w:t xml:space="preserve">) markiert den Beginn eines neuen Gesetzesabschnitts und entspricht exakt den Einleitungen zu den vorherigen Kapiteln. </w:t>
      </w:r>
      <w:r w:rsidRPr="00577688">
        <w:rPr>
          <w:rFonts w:eastAsia="Times New Roman" w:cs="Times New Roman"/>
          <w:b/>
          <w:bCs/>
          <w:rtl/>
          <w:lang w:eastAsia="de-DE"/>
        </w:rPr>
        <w:t>דבר</w:t>
      </w:r>
      <w:r w:rsidRPr="00577688">
        <w:rPr>
          <w:rFonts w:eastAsia="Times New Roman" w:cs="Times New Roman"/>
          <w:rtl/>
          <w:lang w:eastAsia="de-DE"/>
        </w:rPr>
        <w:t xml:space="preserve"> </w:t>
      </w:r>
      <w:r w:rsidRPr="00577688">
        <w:rPr>
          <w:rFonts w:eastAsia="Times New Roman" w:cs="Times New Roman"/>
          <w:lang w:eastAsia="de-DE"/>
        </w:rPr>
        <w:t>im Piel betont die autoritativen Charakter der göttlichen Kommunikation.</w:t>
      </w:r>
    </w:p>
    <w:p w14:paraId="385D7FE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וַיְדַבֵּ֥ר</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ἐλάλησεν</w:t>
      </w:r>
      <w:proofErr w:type="spellEnd"/>
      <w:r w:rsidRPr="00577688">
        <w:rPr>
          <w:rFonts w:eastAsia="Times New Roman" w:cs="Times New Roman"/>
          <w:lang w:eastAsia="de-DE"/>
        </w:rPr>
        <w:t xml:space="preserve"> (und er sprach), </w:t>
      </w:r>
      <w:r w:rsidRPr="00577688">
        <w:rPr>
          <w:rFonts w:eastAsia="Times New Roman" w:cs="Times New Roman"/>
          <w:b/>
          <w:bCs/>
          <w:rtl/>
          <w:lang w:eastAsia="de-DE"/>
        </w:rPr>
        <w:t>יְהוָ֖ה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κύριος</w:t>
      </w:r>
      <w:proofErr w:type="spellEnd"/>
      <w:r w:rsidRPr="00577688">
        <w:rPr>
          <w:rFonts w:eastAsia="Times New Roman" w:cs="Times New Roman"/>
          <w:lang w:eastAsia="de-DE"/>
        </w:rPr>
        <w:t xml:space="preserve"> (Herr) und </w:t>
      </w:r>
      <w:r w:rsidRPr="00577688">
        <w:rPr>
          <w:rFonts w:eastAsia="Times New Roman" w:cs="Times New Roman"/>
          <w:b/>
          <w:bCs/>
          <w:rtl/>
          <w:lang w:eastAsia="de-DE"/>
        </w:rPr>
        <w:t>לֵּאמֹֽר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λέγων</w:t>
      </w:r>
      <w:proofErr w:type="spellEnd"/>
      <w:r w:rsidRPr="00577688">
        <w:rPr>
          <w:rFonts w:eastAsia="Times New Roman" w:cs="Times New Roman"/>
          <w:lang w:eastAsia="de-DE"/>
        </w:rPr>
        <w:t xml:space="preserve"> (sagend), was die standard griechische Wiedergabe der Einleitungsformel darstellt.</w:t>
      </w:r>
    </w:p>
    <w:p w14:paraId="76012EE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die typische Struktur göttlicher Redeeinleitungen: Verb + Subjekt + Präpositionalphrase + Infinitiv. Diese Formel etabliert die göttliche Autorität für die folgenden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(Sündopfer)-Bestimmungen.</w:t>
      </w:r>
    </w:p>
    <w:p w14:paraId="2670B67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leitet das vierte Kapitel ein, das sich den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(Sündopfern) widmet - einer neuen Opferkategorie für unbeabsichtigte Übertretungen.</w:t>
      </w:r>
    </w:p>
    <w:p w14:paraId="4D150B1C"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w:t>
      </w:r>
    </w:p>
    <w:p w14:paraId="3B58122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דַּבֵּ֞ר אֶל־בְּנֵ֣י יִשְׂרָאֵל֮ לֵאמֹר֒ נֶ֗פֶשׁ כִּֽי־תֶחֱטָ֤א בִשְׁגָגָה֙ מִכֹּל֙ מִצְוֹ֣ת יְהוָ֔ה אֲשֶׁ֖ר לֹ֣א תֵעָשֶׂ֑ינָה וְעָשָׂ֕ה מֵאַחַ֖ת מֵהֵֽנָּה׃</w:t>
      </w:r>
    </w:p>
    <w:p w14:paraId="3CBC577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Rede zu den Söhnen Jisra'els, sagend: Wenn eine Seele unwissentlich sündigt gegen irgendeines der Gebote des Ewigen, die nicht getan werden sollen, und eines von ihnen tut:</w:t>
      </w:r>
    </w:p>
    <w:p w14:paraId="2074B4D8"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08C93F5">
          <v:rect id="_x0000_i1076" style="width:0;height:1.5pt" o:hralign="center" o:hrstd="t" o:hr="t" fillcolor="#a0a0a0" stroked="f"/>
        </w:pict>
      </w:r>
    </w:p>
    <w:p w14:paraId="384A8DE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דַּבֵּ֞ר אֶל־בְּנֵ֣י יִשְׂרָאֵל֮ לֵאמֹר֒</w:t>
      </w:r>
      <w:r w:rsidRPr="00577688">
        <w:rPr>
          <w:rFonts w:eastAsia="Times New Roman" w:cs="Times New Roman"/>
          <w:rtl/>
          <w:lang w:eastAsia="de-DE"/>
        </w:rPr>
        <w:t xml:space="preserve"> </w:t>
      </w:r>
      <w:r w:rsidRPr="00577688">
        <w:rPr>
          <w:rFonts w:eastAsia="Times New Roman" w:cs="Times New Roman"/>
          <w:lang w:eastAsia="de-DE"/>
        </w:rPr>
        <w:t xml:space="preserve">entspricht der Standard-Übermittlungsformel. </w:t>
      </w:r>
      <w:r w:rsidRPr="00577688">
        <w:rPr>
          <w:rFonts w:eastAsia="Times New Roman" w:cs="Times New Roman"/>
          <w:b/>
          <w:bCs/>
          <w:rtl/>
          <w:lang w:eastAsia="de-DE"/>
        </w:rPr>
        <w:t>נֶ֗פֶשׁ</w:t>
      </w:r>
      <w:r w:rsidRPr="00577688">
        <w:rPr>
          <w:rFonts w:eastAsia="Times New Roman" w:cs="Times New Roman"/>
          <w:rtl/>
          <w:lang w:eastAsia="de-DE"/>
        </w:rPr>
        <w:t xml:space="preserve"> </w:t>
      </w:r>
      <w:r w:rsidRPr="00577688">
        <w:rPr>
          <w:rFonts w:eastAsia="Times New Roman" w:cs="Times New Roman"/>
          <w:lang w:eastAsia="de-DE"/>
        </w:rPr>
        <w:t xml:space="preserve">(Seele/Person) als Subjekt für jeden Einzelnen. </w:t>
      </w:r>
      <w:r w:rsidRPr="00577688">
        <w:rPr>
          <w:rFonts w:eastAsia="Times New Roman" w:cs="Times New Roman"/>
          <w:b/>
          <w:bCs/>
          <w:rtl/>
          <w:lang w:eastAsia="de-DE"/>
        </w:rPr>
        <w:t>כִּֽי־תֶחֱטָ֤א</w:t>
      </w:r>
      <w:r w:rsidRPr="00577688">
        <w:rPr>
          <w:rFonts w:eastAsia="Times New Roman" w:cs="Times New Roman"/>
          <w:rtl/>
          <w:lang w:eastAsia="de-DE"/>
        </w:rPr>
        <w:t xml:space="preserve"> </w:t>
      </w:r>
      <w:r w:rsidRPr="00577688">
        <w:rPr>
          <w:rFonts w:eastAsia="Times New Roman" w:cs="Times New Roman"/>
          <w:lang w:eastAsia="de-DE"/>
        </w:rPr>
        <w:t xml:space="preserve">(wenn sie sündigt) mit </w:t>
      </w:r>
      <w:r w:rsidRPr="00577688">
        <w:rPr>
          <w:rFonts w:eastAsia="Times New Roman" w:cs="Times New Roman"/>
          <w:b/>
          <w:bCs/>
          <w:rtl/>
          <w:lang w:eastAsia="de-DE"/>
        </w:rPr>
        <w:t>חטא</w:t>
      </w:r>
      <w:r w:rsidRPr="00577688">
        <w:rPr>
          <w:rFonts w:eastAsia="Times New Roman" w:cs="Times New Roman"/>
          <w:rtl/>
          <w:lang w:eastAsia="de-DE"/>
        </w:rPr>
        <w:t xml:space="preserve"> </w:t>
      </w:r>
      <w:r w:rsidRPr="00577688">
        <w:rPr>
          <w:rFonts w:eastAsia="Times New Roman" w:cs="Times New Roman"/>
          <w:lang w:eastAsia="de-DE"/>
        </w:rPr>
        <w:t xml:space="preserve">(sündigen/verfehlen) im Qal-Imperfekt 3. Person feminin Singular, bezogen auf </w:t>
      </w:r>
      <w:r w:rsidRPr="00577688">
        <w:rPr>
          <w:rFonts w:eastAsia="Times New Roman" w:cs="Times New Roman"/>
          <w:b/>
          <w:bCs/>
          <w:rtl/>
          <w:lang w:eastAsia="de-DE"/>
        </w:rPr>
        <w:t>נֶפֶשׁ</w:t>
      </w:r>
      <w:r w:rsidRPr="00577688">
        <w:rPr>
          <w:rFonts w:eastAsia="Times New Roman" w:cs="Times New Roman"/>
          <w:lang w:eastAsia="de-DE"/>
        </w:rPr>
        <w:t>.</w:t>
      </w:r>
    </w:p>
    <w:p w14:paraId="1F336D3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 xml:space="preserve">(unwissentlich/aus Versehen) von </w:t>
      </w:r>
      <w:r w:rsidRPr="00577688">
        <w:rPr>
          <w:rFonts w:eastAsia="Times New Roman" w:cs="Times New Roman"/>
          <w:b/>
          <w:bCs/>
          <w:rtl/>
          <w:lang w:eastAsia="de-DE"/>
        </w:rPr>
        <w:t>שגג</w:t>
      </w:r>
      <w:r w:rsidRPr="00577688">
        <w:rPr>
          <w:rFonts w:eastAsia="Times New Roman" w:cs="Times New Roman"/>
          <w:rtl/>
          <w:lang w:eastAsia="de-DE"/>
        </w:rPr>
        <w:t xml:space="preserve"> </w:t>
      </w:r>
      <w:r w:rsidRPr="00577688">
        <w:rPr>
          <w:rFonts w:eastAsia="Times New Roman" w:cs="Times New Roman"/>
          <w:lang w:eastAsia="de-DE"/>
        </w:rPr>
        <w:t xml:space="preserve">(irren/sich verirren) ist der entscheidende Begriff: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(Sündopfer) gelten nur für unbeabsichtigte Übertretungen, nicht für vorsätzliche Sünden (</w:t>
      </w:r>
      <w:r w:rsidRPr="00577688">
        <w:rPr>
          <w:rFonts w:eastAsia="Times New Roman" w:cs="Times New Roman"/>
          <w:b/>
          <w:bCs/>
          <w:rtl/>
          <w:lang w:eastAsia="de-DE"/>
        </w:rPr>
        <w:t>בְּיָד רָמָה</w:t>
      </w:r>
      <w:r w:rsidRPr="00577688">
        <w:rPr>
          <w:rFonts w:eastAsia="Times New Roman" w:cs="Times New Roman"/>
          <w:rtl/>
          <w:lang w:eastAsia="de-DE"/>
        </w:rPr>
        <w:t xml:space="preserve"> </w:t>
      </w:r>
      <w:r w:rsidRPr="00577688">
        <w:rPr>
          <w:rFonts w:eastAsia="Times New Roman" w:cs="Times New Roman"/>
          <w:lang w:eastAsia="de-DE"/>
        </w:rPr>
        <w:t>- mit erhobener Hand).</w:t>
      </w:r>
    </w:p>
    <w:p w14:paraId="12F12EE6" w14:textId="0D88C1D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מִכֹּל֙ מִצְוֹ֣ת יְהוָ֔ה אֲשֶׁ֖ר לֹ֣א תֵעָשֶׂ֑ינָה</w:t>
      </w:r>
      <w:r w:rsidRPr="00577688">
        <w:rPr>
          <w:rFonts w:eastAsia="Times New Roman" w:cs="Times New Roman"/>
          <w:rtl/>
          <w:lang w:eastAsia="de-DE"/>
        </w:rPr>
        <w:t xml:space="preserve"> </w:t>
      </w:r>
      <w:r w:rsidRPr="00577688">
        <w:rPr>
          <w:rFonts w:eastAsia="Times New Roman" w:cs="Times New Roman"/>
          <w:lang w:eastAsia="de-DE"/>
        </w:rPr>
        <w:t xml:space="preserve">(von allen Geboten JHWHs, die nicht getan werden sollen) spezifiziert Verbotsgebote. </w:t>
      </w:r>
      <w:r w:rsidRPr="00577688">
        <w:rPr>
          <w:rFonts w:eastAsia="Times New Roman" w:cs="Times New Roman"/>
          <w:b/>
          <w:bCs/>
          <w:rtl/>
          <w:lang w:eastAsia="de-DE"/>
        </w:rPr>
        <w:t>מצות</w:t>
      </w:r>
      <w:r w:rsidRPr="00577688">
        <w:rPr>
          <w:rFonts w:eastAsia="Times New Roman" w:cs="Times New Roman"/>
          <w:rtl/>
          <w:lang w:eastAsia="de-DE"/>
        </w:rPr>
        <w:t xml:space="preserve"> </w:t>
      </w:r>
      <w:r w:rsidRPr="00577688">
        <w:rPr>
          <w:rFonts w:eastAsia="Times New Roman" w:cs="Times New Roman"/>
          <w:lang w:eastAsia="de-DE"/>
        </w:rPr>
        <w:t xml:space="preserve">(Gebote) im </w:t>
      </w:r>
      <w:r w:rsidR="005407E2">
        <w:rPr>
          <w:rFonts w:eastAsia="Times New Roman" w:cs="Times New Roman"/>
          <w:lang w:eastAsia="de-DE"/>
        </w:rPr>
        <w:t>Constructus</w:t>
      </w:r>
      <w:r w:rsidRPr="00577688">
        <w:rPr>
          <w:rFonts w:eastAsia="Times New Roman" w:cs="Times New Roman"/>
          <w:lang w:eastAsia="de-DE"/>
        </w:rPr>
        <w:t xml:space="preserve"> mit </w:t>
      </w:r>
      <w:r w:rsidRPr="00577688">
        <w:rPr>
          <w:rFonts w:eastAsia="Times New Roman" w:cs="Times New Roman"/>
          <w:b/>
          <w:bCs/>
          <w:rtl/>
          <w:lang w:eastAsia="de-DE"/>
        </w:rPr>
        <w:t>יהוה</w:t>
      </w:r>
      <w:r w:rsidRPr="00577688">
        <w:rPr>
          <w:rFonts w:eastAsia="Times New Roman" w:cs="Times New Roman"/>
          <w:lang w:eastAsia="de-DE"/>
        </w:rPr>
        <w:t xml:space="preserve">, </w:t>
      </w:r>
      <w:r w:rsidRPr="00577688">
        <w:rPr>
          <w:rFonts w:eastAsia="Times New Roman" w:cs="Times New Roman"/>
          <w:b/>
          <w:bCs/>
          <w:rtl/>
          <w:lang w:eastAsia="de-DE"/>
        </w:rPr>
        <w:t>אֲשֶׁר לֹא תֵעָשֶׂינָה</w:t>
      </w:r>
      <w:r w:rsidRPr="00577688">
        <w:rPr>
          <w:rFonts w:eastAsia="Times New Roman" w:cs="Times New Roman"/>
          <w:rtl/>
          <w:lang w:eastAsia="de-DE"/>
        </w:rPr>
        <w:t xml:space="preserve"> </w:t>
      </w:r>
      <w:r w:rsidRPr="00577688">
        <w:rPr>
          <w:rFonts w:eastAsia="Times New Roman" w:cs="Times New Roman"/>
          <w:lang w:eastAsia="de-DE"/>
        </w:rPr>
        <w:t>(die nicht getan werden sollen) als Relativsatz mit negativem Imperativ.</w:t>
      </w:r>
    </w:p>
    <w:p w14:paraId="49A0DA36" w14:textId="474ACA46"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וְעָשָׂ֕ה מֵאַחַ֖ת מֵהֵֽנָּה</w:t>
      </w:r>
      <w:r w:rsidRPr="00577688">
        <w:rPr>
          <w:rFonts w:eastAsia="Times New Roman" w:cs="Times New Roman"/>
          <w:rtl/>
          <w:lang w:eastAsia="de-DE"/>
        </w:rPr>
        <w:t xml:space="preserve"> </w:t>
      </w:r>
      <w:r w:rsidRPr="00577688">
        <w:rPr>
          <w:rFonts w:eastAsia="Times New Roman" w:cs="Times New Roman"/>
          <w:lang w:eastAsia="de-DE"/>
        </w:rPr>
        <w:t xml:space="preserve">(und tut eines von ihnen) zeigt </w:t>
      </w:r>
      <w:r w:rsidRPr="00577688">
        <w:rPr>
          <w:rFonts w:eastAsia="Times New Roman" w:cs="Times New Roman"/>
          <w:b/>
          <w:bCs/>
          <w:rtl/>
          <w:lang w:eastAsia="de-DE"/>
        </w:rPr>
        <w:t>עשה</w:t>
      </w:r>
      <w:r w:rsidRPr="00577688">
        <w:rPr>
          <w:rFonts w:eastAsia="Times New Roman" w:cs="Times New Roman"/>
          <w:rtl/>
          <w:lang w:eastAsia="de-DE"/>
        </w:rPr>
        <w:t xml:space="preserve"> </w:t>
      </w:r>
      <w:r w:rsidRPr="00577688">
        <w:rPr>
          <w:rFonts w:eastAsia="Times New Roman" w:cs="Times New Roman"/>
          <w:lang w:eastAsia="de-DE"/>
        </w:rPr>
        <w:t xml:space="preserve">(tun) im Qal-Perfekt 3. Person maskulin Singular. </w:t>
      </w:r>
      <w:r w:rsidRPr="00577688">
        <w:rPr>
          <w:rFonts w:eastAsia="Times New Roman" w:cs="Times New Roman"/>
          <w:b/>
          <w:bCs/>
          <w:rtl/>
          <w:lang w:eastAsia="de-DE"/>
        </w:rPr>
        <w:t>מֵאַחַת</w:t>
      </w:r>
      <w:r w:rsidRPr="00577688">
        <w:rPr>
          <w:rFonts w:eastAsia="Times New Roman" w:cs="Times New Roman"/>
          <w:rtl/>
          <w:lang w:eastAsia="de-DE"/>
        </w:rPr>
        <w:t xml:space="preserve"> </w:t>
      </w:r>
      <w:r w:rsidRPr="00577688">
        <w:rPr>
          <w:rFonts w:eastAsia="Times New Roman" w:cs="Times New Roman"/>
          <w:lang w:eastAsia="de-DE"/>
        </w:rPr>
        <w:t xml:space="preserve">(von einem) als partitive Konstruktion, </w:t>
      </w:r>
      <w:r w:rsidRPr="00577688">
        <w:rPr>
          <w:rFonts w:eastAsia="Times New Roman" w:cs="Times New Roman"/>
          <w:b/>
          <w:bCs/>
          <w:rtl/>
          <w:lang w:eastAsia="de-DE"/>
        </w:rPr>
        <w:t>מֵהֵנָּה</w:t>
      </w:r>
      <w:r w:rsidRPr="00577688">
        <w:rPr>
          <w:rFonts w:eastAsia="Times New Roman" w:cs="Times New Roman"/>
          <w:rtl/>
          <w:lang w:eastAsia="de-DE"/>
        </w:rPr>
        <w:t xml:space="preserve"> </w:t>
      </w:r>
      <w:r w:rsidRPr="00577688">
        <w:rPr>
          <w:rFonts w:eastAsia="Times New Roman" w:cs="Times New Roman"/>
          <w:lang w:eastAsia="de-DE"/>
        </w:rPr>
        <w:t xml:space="preserve">(von ihnen) mit </w:t>
      </w:r>
      <w:r w:rsidR="00E35C31">
        <w:rPr>
          <w:rFonts w:eastAsia="Times New Roman" w:cs="Times New Roman"/>
          <w:lang w:eastAsia="de-DE"/>
        </w:rPr>
        <w:t>femininem</w:t>
      </w:r>
      <w:r w:rsidRPr="00577688">
        <w:rPr>
          <w:rFonts w:eastAsia="Times New Roman" w:cs="Times New Roman"/>
          <w:lang w:eastAsia="de-DE"/>
        </w:rPr>
        <w:t xml:space="preserve"> Plural-Suffix bezogen auf </w:t>
      </w:r>
      <w:r w:rsidRPr="00577688">
        <w:rPr>
          <w:rFonts w:eastAsia="Times New Roman" w:cs="Times New Roman"/>
          <w:b/>
          <w:bCs/>
          <w:rtl/>
          <w:lang w:eastAsia="de-DE"/>
        </w:rPr>
        <w:t>מצות</w:t>
      </w:r>
      <w:r w:rsidRPr="00577688">
        <w:rPr>
          <w:rFonts w:eastAsia="Times New Roman" w:cs="Times New Roman"/>
          <w:lang w:eastAsia="de-DE"/>
        </w:rPr>
        <w:t>.</w:t>
      </w:r>
    </w:p>
    <w:p w14:paraId="3AE02D5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שגגה</w:t>
      </w:r>
      <w:r w:rsidRPr="00577688">
        <w:rPr>
          <w:rFonts w:eastAsia="Times New Roman" w:cs="Times New Roman"/>
          <w:rtl/>
          <w:lang w:eastAsia="de-DE"/>
        </w:rPr>
        <w:t xml:space="preserve"> </w:t>
      </w:r>
      <w:r w:rsidRPr="00577688">
        <w:rPr>
          <w:rFonts w:eastAsia="Times New Roman" w:cs="Times New Roman"/>
          <w:lang w:eastAsia="de-DE"/>
        </w:rPr>
        <w:t xml:space="preserve">(Unwissenheit) umfasst sowohl Unwissen über das Gesetz als auch versehentliche Übertretung bekannter Gesetze. Der Kontrast zu </w:t>
      </w:r>
      <w:r w:rsidRPr="00577688">
        <w:rPr>
          <w:rFonts w:eastAsia="Times New Roman" w:cs="Times New Roman"/>
          <w:b/>
          <w:bCs/>
          <w:rtl/>
          <w:lang w:eastAsia="de-DE"/>
        </w:rPr>
        <w:t>בזדון</w:t>
      </w:r>
      <w:r w:rsidRPr="00577688">
        <w:rPr>
          <w:rFonts w:eastAsia="Times New Roman" w:cs="Times New Roman"/>
          <w:rtl/>
          <w:lang w:eastAsia="de-DE"/>
        </w:rPr>
        <w:t xml:space="preserve"> </w:t>
      </w:r>
      <w:r w:rsidRPr="00577688">
        <w:rPr>
          <w:rFonts w:eastAsia="Times New Roman" w:cs="Times New Roman"/>
          <w:lang w:eastAsia="de-DE"/>
        </w:rPr>
        <w:t xml:space="preserve">(vorsätzlich) oder </w:t>
      </w:r>
      <w:r w:rsidRPr="00577688">
        <w:rPr>
          <w:rFonts w:eastAsia="Times New Roman" w:cs="Times New Roman"/>
          <w:b/>
          <w:bCs/>
          <w:rtl/>
          <w:lang w:eastAsia="de-DE"/>
        </w:rPr>
        <w:t>ביד רמה</w:t>
      </w:r>
      <w:r w:rsidRPr="00577688">
        <w:rPr>
          <w:rFonts w:eastAsia="Times New Roman" w:cs="Times New Roman"/>
          <w:rtl/>
          <w:lang w:eastAsia="de-DE"/>
        </w:rPr>
        <w:t xml:space="preserve"> </w:t>
      </w:r>
      <w:r w:rsidRPr="00577688">
        <w:rPr>
          <w:rFonts w:eastAsia="Times New Roman" w:cs="Times New Roman"/>
          <w:lang w:eastAsia="de-DE"/>
        </w:rPr>
        <w:t xml:space="preserve">(mit erhobener Hand) ist fundamental für das </w:t>
      </w:r>
      <w:r w:rsidRPr="00577688">
        <w:rPr>
          <w:rFonts w:eastAsia="Times New Roman" w:cs="Times New Roman"/>
          <w:b/>
          <w:bCs/>
          <w:rtl/>
          <w:lang w:eastAsia="de-DE"/>
        </w:rPr>
        <w:t>חטאת</w:t>
      </w:r>
      <w:r w:rsidRPr="00577688">
        <w:rPr>
          <w:rFonts w:eastAsia="Times New Roman" w:cs="Times New Roman"/>
          <w:lang w:eastAsia="de-DE"/>
        </w:rPr>
        <w:t>-System.</w:t>
      </w:r>
    </w:p>
    <w:p w14:paraId="4538801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מצות...אשר לא תעשינה</w:t>
      </w:r>
      <w:r w:rsidRPr="00577688">
        <w:rPr>
          <w:rFonts w:eastAsia="Times New Roman" w:cs="Times New Roman"/>
          <w:rtl/>
          <w:lang w:eastAsia="de-DE"/>
        </w:rPr>
        <w:t xml:space="preserve"> </w:t>
      </w:r>
      <w:r w:rsidRPr="00577688">
        <w:rPr>
          <w:rFonts w:eastAsia="Times New Roman" w:cs="Times New Roman"/>
          <w:lang w:eastAsia="de-DE"/>
        </w:rPr>
        <w:t>(Gebote...die nicht getan werden sollen) betont Prohibitivgebote im Unterschied zu positiven Geboten (</w:t>
      </w:r>
      <w:r w:rsidRPr="00577688">
        <w:rPr>
          <w:rFonts w:eastAsia="Times New Roman" w:cs="Times New Roman"/>
          <w:b/>
          <w:bCs/>
          <w:rtl/>
          <w:lang w:eastAsia="de-DE"/>
        </w:rPr>
        <w:t>מצות עשה</w:t>
      </w:r>
      <w:r w:rsidRPr="00577688">
        <w:rPr>
          <w:rFonts w:eastAsia="Times New Roman" w:cs="Times New Roman"/>
          <w:lang w:eastAsia="de-DE"/>
        </w:rPr>
        <w:t xml:space="preserve">).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betrifft primär die Übertretung von Verboten.</w:t>
      </w:r>
    </w:p>
    <w:p w14:paraId="23975E4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ἀκουσίως</w:t>
      </w:r>
      <w:proofErr w:type="spellEnd"/>
      <w:r w:rsidRPr="00577688">
        <w:rPr>
          <w:rFonts w:eastAsia="Times New Roman" w:cs="Times New Roman"/>
          <w:lang w:eastAsia="de-DE"/>
        </w:rPr>
        <w:t xml:space="preserve"> (unfreiwillig), </w:t>
      </w:r>
      <w:r w:rsidRPr="00577688">
        <w:rPr>
          <w:rFonts w:eastAsia="Times New Roman" w:cs="Times New Roman"/>
          <w:b/>
          <w:bCs/>
          <w:rtl/>
          <w:lang w:eastAsia="de-DE"/>
        </w:rPr>
        <w:t>מִצְוֹ֣ת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ἐντολῶν</w:t>
      </w:r>
      <w:proofErr w:type="spellEnd"/>
      <w:r w:rsidRPr="00577688">
        <w:rPr>
          <w:rFonts w:eastAsia="Times New Roman" w:cs="Times New Roman"/>
          <w:lang w:eastAsia="de-DE"/>
        </w:rPr>
        <w:t xml:space="preserve"> (Gebote) und </w:t>
      </w:r>
      <w:r w:rsidRPr="00577688">
        <w:rPr>
          <w:rFonts w:eastAsia="Times New Roman" w:cs="Times New Roman"/>
          <w:b/>
          <w:bCs/>
          <w:rtl/>
          <w:lang w:eastAsia="de-DE"/>
        </w:rPr>
        <w:t>לֹ֣א תֵעָשֶׂ֑ינָה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οὐ</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οιηθήσετ</w:t>
      </w:r>
      <w:proofErr w:type="spellEnd"/>
      <w:r w:rsidRPr="00577688">
        <w:rPr>
          <w:rFonts w:eastAsia="Times New Roman" w:cs="Times New Roman"/>
          <w:lang w:eastAsia="de-DE"/>
        </w:rPr>
        <w:t>αι (nicht getan werden sollen).</w:t>
      </w:r>
    </w:p>
    <w:p w14:paraId="0109AFA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komplexe Kondition: Übermittlungsformel + Protasis (Subjekt + Konditionspartikel + Verb + Adverbialbestimmung + Präpositionalphrase mit Relativsatz + koordiniertes Verb + Objekt). Die Protasis definiert präzise den Anwendungsbereich der </w:t>
      </w:r>
      <w:r w:rsidRPr="00577688">
        <w:rPr>
          <w:rFonts w:eastAsia="Times New Roman" w:cs="Times New Roman"/>
          <w:b/>
          <w:bCs/>
          <w:rtl/>
          <w:lang w:eastAsia="de-DE"/>
        </w:rPr>
        <w:t>חטאת</w:t>
      </w:r>
      <w:r w:rsidRPr="00577688">
        <w:rPr>
          <w:rFonts w:eastAsia="Times New Roman" w:cs="Times New Roman"/>
          <w:lang w:eastAsia="de-DE"/>
        </w:rPr>
        <w:t>.</w:t>
      </w:r>
    </w:p>
    <w:p w14:paraId="6BA460E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etabliert die Grunddefinition für </w:t>
      </w:r>
      <w:r w:rsidRPr="00577688">
        <w:rPr>
          <w:rFonts w:eastAsia="Times New Roman" w:cs="Times New Roman"/>
          <w:b/>
          <w:bCs/>
          <w:rtl/>
          <w:lang w:eastAsia="de-DE"/>
        </w:rPr>
        <w:t>חטאת</w:t>
      </w:r>
      <w:r w:rsidRPr="00577688">
        <w:rPr>
          <w:rFonts w:eastAsia="Times New Roman" w:cs="Times New Roman"/>
          <w:lang w:eastAsia="de-DE"/>
        </w:rPr>
        <w:t>-pflichtige Vergehen: unbeabsichtigte Übertretung göttlicher Verbotsgebote.</w:t>
      </w:r>
    </w:p>
    <w:p w14:paraId="1C2733FA"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w:t>
      </w:r>
    </w:p>
    <w:p w14:paraId="2701AE9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אִ֣ם הַכֹּהֵ֧ן הַמָּשִׁ֛יחַ יֶחֱטָ֖א לְאַשְׁמַ֣ת הָעָ֑ם וְהִקְרִ֡יב עַ֣ל חַטָּאתוֹ֩ אֲשֶׁ֨ר חָטָ֜א פַּ֣ר בֶּן־בָּקָ֥ר תָּמִ֛ים לַיהוָ֖ה לְחַטָּֽאת׃</w:t>
      </w:r>
    </w:p>
    <w:p w14:paraId="069406F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Wenn der gesalbte Priester sündigt nach einem Vergehen des Volkes, so soll er für seine Sünde, die er begangen hat, einen jungen Stier ohne Fehl dem Ewigen darbringen zum Sündopfer.</w:t>
      </w:r>
    </w:p>
    <w:p w14:paraId="77DAF97B"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C14ED95">
          <v:rect id="_x0000_i1077" style="width:0;height:1.5pt" o:hralign="center" o:hrstd="t" o:hr="t" fillcolor="#a0a0a0" stroked="f"/>
        </w:pict>
      </w:r>
    </w:p>
    <w:p w14:paraId="26A1CAC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אִ֣ם הַכֹּהֵ֧ן הַמָּשִׁ֛יחַ יֶחֱטָ֖א</w:t>
      </w:r>
      <w:r w:rsidRPr="00577688">
        <w:rPr>
          <w:rFonts w:eastAsia="Times New Roman" w:cs="Times New Roman"/>
          <w:rtl/>
          <w:lang w:eastAsia="de-DE"/>
        </w:rPr>
        <w:t xml:space="preserve"> </w:t>
      </w:r>
      <w:r w:rsidRPr="00577688">
        <w:rPr>
          <w:rFonts w:eastAsia="Times New Roman" w:cs="Times New Roman"/>
          <w:lang w:eastAsia="de-DE"/>
        </w:rPr>
        <w:t xml:space="preserve">(wenn der gesalbte Priester sündigt) führt die erste Kategorie ein. </w:t>
      </w: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(der gesalbte Priester) bezeichnet den Hohenpriester. </w:t>
      </w:r>
      <w:r w:rsidRPr="00577688">
        <w:rPr>
          <w:rFonts w:eastAsia="Times New Roman" w:cs="Times New Roman"/>
          <w:b/>
          <w:bCs/>
          <w:rtl/>
          <w:lang w:eastAsia="de-DE"/>
        </w:rPr>
        <w:t>משח</w:t>
      </w:r>
      <w:r w:rsidRPr="00577688">
        <w:rPr>
          <w:rFonts w:eastAsia="Times New Roman" w:cs="Times New Roman"/>
          <w:rtl/>
          <w:lang w:eastAsia="de-DE"/>
        </w:rPr>
        <w:t xml:space="preserve"> </w:t>
      </w:r>
      <w:r w:rsidRPr="00577688">
        <w:rPr>
          <w:rFonts w:eastAsia="Times New Roman" w:cs="Times New Roman"/>
          <w:lang w:eastAsia="de-DE"/>
        </w:rPr>
        <w:t xml:space="preserve">(salben) im Qal-Partizip passiv als Titel. </w:t>
      </w:r>
      <w:r w:rsidRPr="00577688">
        <w:rPr>
          <w:rFonts w:eastAsia="Times New Roman" w:cs="Times New Roman"/>
          <w:b/>
          <w:bCs/>
          <w:rtl/>
          <w:lang w:eastAsia="de-DE"/>
        </w:rPr>
        <w:t>יֶחֱטָא</w:t>
      </w:r>
      <w:r w:rsidRPr="00577688">
        <w:rPr>
          <w:rFonts w:eastAsia="Times New Roman" w:cs="Times New Roman"/>
          <w:rtl/>
          <w:lang w:eastAsia="de-DE"/>
        </w:rPr>
        <w:t xml:space="preserve"> </w:t>
      </w:r>
      <w:r w:rsidRPr="00577688">
        <w:rPr>
          <w:rFonts w:eastAsia="Times New Roman" w:cs="Times New Roman"/>
          <w:lang w:eastAsia="de-DE"/>
        </w:rPr>
        <w:t>(er sündigt) im Qal-Imperfekt 3. Person maskulin Singular.</w:t>
      </w:r>
    </w:p>
    <w:p w14:paraId="27ED587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לְאַשְׁמַ֣ת הָעָ֑ם</w:t>
      </w:r>
      <w:r w:rsidRPr="00577688">
        <w:rPr>
          <w:rFonts w:eastAsia="Times New Roman" w:cs="Times New Roman"/>
          <w:rtl/>
          <w:lang w:eastAsia="de-DE"/>
        </w:rPr>
        <w:t xml:space="preserve"> </w:t>
      </w:r>
      <w:r w:rsidRPr="00577688">
        <w:rPr>
          <w:rFonts w:eastAsia="Times New Roman" w:cs="Times New Roman"/>
          <w:lang w:eastAsia="de-DE"/>
        </w:rPr>
        <w:t xml:space="preserve">(zur Verschuldung des Volkes) ist eine schwierige Phrase. </w:t>
      </w:r>
      <w:r w:rsidRPr="00577688">
        <w:rPr>
          <w:rFonts w:eastAsia="Times New Roman" w:cs="Times New Roman"/>
          <w:b/>
          <w:bCs/>
          <w:rtl/>
          <w:lang w:eastAsia="de-DE"/>
        </w:rPr>
        <w:t>אַשְׁמָה</w:t>
      </w:r>
      <w:r w:rsidRPr="00577688">
        <w:rPr>
          <w:rFonts w:eastAsia="Times New Roman" w:cs="Times New Roman"/>
          <w:rtl/>
          <w:lang w:eastAsia="de-DE"/>
        </w:rPr>
        <w:t xml:space="preserve"> </w:t>
      </w:r>
      <w:r w:rsidRPr="00577688">
        <w:rPr>
          <w:rFonts w:eastAsia="Times New Roman" w:cs="Times New Roman"/>
          <w:lang w:eastAsia="de-DE"/>
        </w:rPr>
        <w:t xml:space="preserve">(Verschuldung/Schuld) von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(schuldig sein). Die Bedeutung kann sein: "so dass das Volk dadurch verschuldet wird" oder "entsprechend der Schuld des Volkes".</w:t>
      </w:r>
    </w:p>
    <w:p w14:paraId="57677FB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וְהִקְרִ֡יב עַ֣ל חַטָּאתוֹ֩ אֲשֶׁ֨ר חָטָ֜א</w:t>
      </w:r>
      <w:r w:rsidRPr="00577688">
        <w:rPr>
          <w:rFonts w:eastAsia="Times New Roman" w:cs="Times New Roman"/>
          <w:rtl/>
          <w:lang w:eastAsia="de-DE"/>
        </w:rPr>
        <w:t xml:space="preserve"> </w:t>
      </w:r>
      <w:r w:rsidRPr="00577688">
        <w:rPr>
          <w:rFonts w:eastAsia="Times New Roman" w:cs="Times New Roman"/>
          <w:lang w:eastAsia="de-DE"/>
        </w:rPr>
        <w:t xml:space="preserve">(und er soll für seine Sünde, die er gesündigt hat, darbringen) zeigt </w:t>
      </w:r>
      <w:r w:rsidRPr="00577688">
        <w:rPr>
          <w:rFonts w:eastAsia="Times New Roman" w:cs="Times New Roman"/>
          <w:b/>
          <w:bCs/>
          <w:rtl/>
          <w:lang w:eastAsia="de-DE"/>
        </w:rPr>
        <w:t>קרב</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w:t>
      </w:r>
      <w:r w:rsidRPr="00577688">
        <w:rPr>
          <w:rFonts w:eastAsia="Times New Roman" w:cs="Times New Roman"/>
          <w:b/>
          <w:bCs/>
          <w:rtl/>
          <w:lang w:eastAsia="de-DE"/>
        </w:rPr>
        <w:t>עַל חַטָּאתוֹ</w:t>
      </w:r>
      <w:r w:rsidRPr="00577688">
        <w:rPr>
          <w:rFonts w:eastAsia="Times New Roman" w:cs="Times New Roman"/>
          <w:rtl/>
          <w:lang w:eastAsia="de-DE"/>
        </w:rPr>
        <w:t xml:space="preserve"> </w:t>
      </w:r>
      <w:r w:rsidRPr="00577688">
        <w:rPr>
          <w:rFonts w:eastAsia="Times New Roman" w:cs="Times New Roman"/>
          <w:lang w:eastAsia="de-DE"/>
        </w:rPr>
        <w:t xml:space="preserve">(für seine Sünde) mit </w:t>
      </w:r>
      <w:r w:rsidRPr="00577688">
        <w:rPr>
          <w:rFonts w:eastAsia="Times New Roman" w:cs="Times New Roman"/>
          <w:b/>
          <w:bCs/>
          <w:rtl/>
          <w:lang w:eastAsia="de-DE"/>
        </w:rPr>
        <w:t>עַל</w:t>
      </w:r>
      <w:r w:rsidRPr="00577688">
        <w:rPr>
          <w:rFonts w:eastAsia="Times New Roman" w:cs="Times New Roman"/>
          <w:rtl/>
          <w:lang w:eastAsia="de-DE"/>
        </w:rPr>
        <w:t xml:space="preserve"> </w:t>
      </w:r>
      <w:r w:rsidRPr="00577688">
        <w:rPr>
          <w:rFonts w:eastAsia="Times New Roman" w:cs="Times New Roman"/>
          <w:lang w:eastAsia="de-DE"/>
        </w:rPr>
        <w:t xml:space="preserve">(für/wegen) und Possessivsuffix. </w:t>
      </w:r>
      <w:r w:rsidRPr="00577688">
        <w:rPr>
          <w:rFonts w:eastAsia="Times New Roman" w:cs="Times New Roman"/>
          <w:b/>
          <w:bCs/>
          <w:rtl/>
          <w:lang w:eastAsia="de-DE"/>
        </w:rPr>
        <w:t>אֲשֶׁר חָטָא</w:t>
      </w:r>
      <w:r w:rsidRPr="00577688">
        <w:rPr>
          <w:rFonts w:eastAsia="Times New Roman" w:cs="Times New Roman"/>
          <w:rtl/>
          <w:lang w:eastAsia="de-DE"/>
        </w:rPr>
        <w:t xml:space="preserve"> </w:t>
      </w:r>
      <w:r w:rsidRPr="00577688">
        <w:rPr>
          <w:rFonts w:eastAsia="Times New Roman" w:cs="Times New Roman"/>
          <w:lang w:eastAsia="de-DE"/>
        </w:rPr>
        <w:t>als Relativsatz.</w:t>
      </w:r>
    </w:p>
    <w:p w14:paraId="389C131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פַּ֣ר בֶּן־בָּקָ֥ר תָּמִ֛ים</w:t>
      </w:r>
      <w:r w:rsidRPr="00577688">
        <w:rPr>
          <w:rFonts w:eastAsia="Times New Roman" w:cs="Times New Roman"/>
          <w:rtl/>
          <w:lang w:eastAsia="de-DE"/>
        </w:rPr>
        <w:t xml:space="preserve"> </w:t>
      </w:r>
      <w:r w:rsidRPr="00577688">
        <w:rPr>
          <w:rFonts w:eastAsia="Times New Roman" w:cs="Times New Roman"/>
          <w:lang w:eastAsia="de-DE"/>
        </w:rPr>
        <w:t xml:space="preserve">(einen jungen Stier, fehlerlos) spezifiziert das Opfertier. </w:t>
      </w:r>
      <w:r w:rsidRPr="00577688">
        <w:rPr>
          <w:rFonts w:eastAsia="Times New Roman" w:cs="Times New Roman"/>
          <w:b/>
          <w:bCs/>
          <w:rtl/>
          <w:lang w:eastAsia="de-DE"/>
        </w:rPr>
        <w:t>פַּר</w:t>
      </w:r>
      <w:r w:rsidRPr="00577688">
        <w:rPr>
          <w:rFonts w:eastAsia="Times New Roman" w:cs="Times New Roman"/>
          <w:rtl/>
          <w:lang w:eastAsia="de-DE"/>
        </w:rPr>
        <w:t xml:space="preserve"> </w:t>
      </w:r>
      <w:r w:rsidRPr="00577688">
        <w:rPr>
          <w:rFonts w:eastAsia="Times New Roman" w:cs="Times New Roman"/>
          <w:lang w:eastAsia="de-DE"/>
        </w:rPr>
        <w:t xml:space="preserve">(Stier) + </w:t>
      </w:r>
      <w:r w:rsidRPr="00577688">
        <w:rPr>
          <w:rFonts w:eastAsia="Times New Roman" w:cs="Times New Roman"/>
          <w:b/>
          <w:bCs/>
          <w:rtl/>
          <w:lang w:eastAsia="de-DE"/>
        </w:rPr>
        <w:t>בֶּן־בָּקָר</w:t>
      </w:r>
      <w:r w:rsidRPr="00577688">
        <w:rPr>
          <w:rFonts w:eastAsia="Times New Roman" w:cs="Times New Roman"/>
          <w:rtl/>
          <w:lang w:eastAsia="de-DE"/>
        </w:rPr>
        <w:t xml:space="preserve"> </w:t>
      </w:r>
      <w:r w:rsidRPr="00577688">
        <w:rPr>
          <w:rFonts w:eastAsia="Times New Roman" w:cs="Times New Roman"/>
          <w:lang w:eastAsia="de-DE"/>
        </w:rPr>
        <w:t xml:space="preserve">(Sohn des Rindviehs = junger Stier), </w:t>
      </w:r>
      <w:r w:rsidRPr="00577688">
        <w:rPr>
          <w:rFonts w:eastAsia="Times New Roman" w:cs="Times New Roman"/>
          <w:b/>
          <w:bCs/>
          <w:rtl/>
          <w:lang w:eastAsia="de-DE"/>
        </w:rPr>
        <w:t>תָּמִים</w:t>
      </w:r>
      <w:r w:rsidRPr="00577688">
        <w:rPr>
          <w:rFonts w:eastAsia="Times New Roman" w:cs="Times New Roman"/>
          <w:rtl/>
          <w:lang w:eastAsia="de-DE"/>
        </w:rPr>
        <w:t xml:space="preserve"> </w:t>
      </w:r>
      <w:r w:rsidRPr="00577688">
        <w:rPr>
          <w:rFonts w:eastAsia="Times New Roman" w:cs="Times New Roman"/>
          <w:lang w:eastAsia="de-DE"/>
        </w:rPr>
        <w:t xml:space="preserve">(fehlerlos/vollkommen). </w:t>
      </w:r>
      <w:r w:rsidRPr="00577688">
        <w:rPr>
          <w:rFonts w:eastAsia="Times New Roman" w:cs="Times New Roman"/>
          <w:b/>
          <w:bCs/>
          <w:rtl/>
          <w:lang w:eastAsia="de-DE"/>
        </w:rPr>
        <w:t>לַיהוָ֖ה לְחַטָּֽאת</w:t>
      </w:r>
      <w:r w:rsidRPr="00577688">
        <w:rPr>
          <w:rFonts w:eastAsia="Times New Roman" w:cs="Times New Roman"/>
          <w:rtl/>
          <w:lang w:eastAsia="de-DE"/>
        </w:rPr>
        <w:t xml:space="preserve"> </w:t>
      </w:r>
      <w:r w:rsidRPr="00577688">
        <w:rPr>
          <w:rFonts w:eastAsia="Times New Roman" w:cs="Times New Roman"/>
          <w:lang w:eastAsia="de-DE"/>
        </w:rPr>
        <w:t>(für JHWH zum Sündopfer) zeigt Empfänger und Zweck.</w:t>
      </w:r>
    </w:p>
    <w:p w14:paraId="5695DB6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ist der technische Titel des Hohenpriesters, der durch </w:t>
      </w:r>
      <w:r w:rsidRPr="00577688">
        <w:rPr>
          <w:rFonts w:eastAsia="Times New Roman" w:cs="Times New Roman"/>
          <w:b/>
          <w:bCs/>
          <w:rtl/>
          <w:lang w:eastAsia="de-DE"/>
        </w:rPr>
        <w:t>משיחה</w:t>
      </w:r>
      <w:r w:rsidRPr="00577688">
        <w:rPr>
          <w:rFonts w:eastAsia="Times New Roman" w:cs="Times New Roman"/>
          <w:rtl/>
          <w:lang w:eastAsia="de-DE"/>
        </w:rPr>
        <w:t xml:space="preserve"> </w:t>
      </w:r>
      <w:r w:rsidRPr="00577688">
        <w:rPr>
          <w:rFonts w:eastAsia="Times New Roman" w:cs="Times New Roman"/>
          <w:lang w:eastAsia="de-DE"/>
        </w:rPr>
        <w:t>(Salbung) mit heiligem Öl in sein Amt eingesetzt wird. Seine Sünde hat besonders schwere Konsequenzen wegen seiner Stellvertreterfunktion.</w:t>
      </w:r>
    </w:p>
    <w:p w14:paraId="4E0F1480" w14:textId="5EC0A15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לְאַשְׁמַ֣ת הָעָ֑ם</w:t>
      </w:r>
      <w:r w:rsidRPr="00577688">
        <w:rPr>
          <w:rFonts w:eastAsia="Times New Roman" w:cs="Times New Roman"/>
          <w:rtl/>
          <w:lang w:eastAsia="de-DE"/>
        </w:rPr>
        <w:t xml:space="preserve"> </w:t>
      </w:r>
      <w:r w:rsidRPr="00577688">
        <w:rPr>
          <w:rFonts w:eastAsia="Times New Roman" w:cs="Times New Roman"/>
          <w:lang w:eastAsia="de-DE"/>
        </w:rPr>
        <w:t xml:space="preserve">zeigt, dass die Sünde des Hohenpriesters das ganze Volk in Mitleidenschaft zieht. </w:t>
      </w:r>
      <w:r w:rsidRPr="00577688">
        <w:rPr>
          <w:rFonts w:eastAsia="Times New Roman" w:cs="Times New Roman"/>
          <w:b/>
          <w:bCs/>
          <w:rtl/>
          <w:lang w:eastAsia="de-DE"/>
        </w:rPr>
        <w:t>אַשְׁמָה</w:t>
      </w:r>
      <w:r w:rsidRPr="00577688">
        <w:rPr>
          <w:rFonts w:eastAsia="Times New Roman" w:cs="Times New Roman"/>
          <w:rtl/>
          <w:lang w:eastAsia="de-DE"/>
        </w:rPr>
        <w:t xml:space="preserve"> </w:t>
      </w:r>
      <w:r w:rsidRPr="00577688">
        <w:rPr>
          <w:rFonts w:eastAsia="Times New Roman" w:cs="Times New Roman"/>
          <w:lang w:eastAsia="de-DE"/>
        </w:rPr>
        <w:t>kann kollektive Verschuldung oder stellvertretende Schuld bedeuten.</w:t>
      </w:r>
      <w:r w:rsidR="00145F96">
        <w:rPr>
          <w:rFonts w:eastAsia="Times New Roman" w:cs="Times New Roman"/>
          <w:lang w:eastAsia="de-DE"/>
        </w:rPr>
        <w:t xml:space="preserve"> </w:t>
      </w:r>
      <w:r w:rsidR="00145F96">
        <w:rPr>
          <w:rtl/>
        </w:rPr>
        <w:t>לְאַשְׁמַת הָעָ֑ם</w:t>
      </w:r>
      <w:r w:rsidR="00145F96">
        <w:t xml:space="preserve"> zeigt, dass die Sünde des Hohenpriesters das ganze Volk in Mitleidenschaft zieht. </w:t>
      </w:r>
      <w:r w:rsidR="00145F96">
        <w:rPr>
          <w:rtl/>
        </w:rPr>
        <w:t>אַשְׁמָה</w:t>
      </w:r>
      <w:r w:rsidR="00145F96">
        <w:t xml:space="preserve"> kann kollektive Verschuldung oder stellvertretende Schuld bedeuten. Diese Formulierung deutet auf eine fundamentale stellvertretende Sühnetheologie hin: Der </w:t>
      </w:r>
      <w:r w:rsidR="00145F96">
        <w:rPr>
          <w:rtl/>
        </w:rPr>
        <w:t>כֹּהֵן הַמָּשִׁיחַ</w:t>
      </w:r>
      <w:r w:rsidR="00145F96">
        <w:t xml:space="preserve"> fungiert als Repräsentant des Volkes vor Gott, weshalb seine Verfehlung automatisch das ganze Volk belastet. Die präpositionale Konstruktion </w:t>
      </w:r>
      <w:r w:rsidR="00145F96">
        <w:rPr>
          <w:rtl/>
        </w:rPr>
        <w:t>לְאַשְׁמַת</w:t>
      </w:r>
      <w:r w:rsidR="00145F96">
        <w:t xml:space="preserve"> (zur Verschuldung hin) impliziert kausale Verknüpfung zwischen priesterlicher Sünde und kollektiver Schuld. Dies etabliert das Prinzip der korporativen Verantwortung, das später in der messianischen Stellvertretungstheologie (vgl. Jes 53) seine Vollendung findet.</w:t>
      </w:r>
    </w:p>
    <w:p w14:paraId="339245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פַּר בֶּן־בָּקָר</w:t>
      </w:r>
      <w:r w:rsidRPr="00577688">
        <w:rPr>
          <w:rFonts w:eastAsia="Times New Roman" w:cs="Times New Roman"/>
          <w:rtl/>
          <w:lang w:eastAsia="de-DE"/>
        </w:rPr>
        <w:t xml:space="preserve"> </w:t>
      </w:r>
      <w:r w:rsidRPr="00577688">
        <w:rPr>
          <w:rFonts w:eastAsia="Times New Roman" w:cs="Times New Roman"/>
          <w:lang w:eastAsia="de-DE"/>
        </w:rPr>
        <w:t xml:space="preserve">(junger Stier) ist das kostbarste Opfertier und entspricht der hohen Stellung des Hohenpriesters. </w:t>
      </w:r>
      <w:r w:rsidRPr="00577688">
        <w:rPr>
          <w:rFonts w:eastAsia="Times New Roman" w:cs="Times New Roman"/>
          <w:b/>
          <w:bCs/>
          <w:rtl/>
          <w:lang w:eastAsia="de-DE"/>
        </w:rPr>
        <w:t>תָּמִים</w:t>
      </w:r>
      <w:r w:rsidRPr="00577688">
        <w:rPr>
          <w:rFonts w:eastAsia="Times New Roman" w:cs="Times New Roman"/>
          <w:rtl/>
          <w:lang w:eastAsia="de-DE"/>
        </w:rPr>
        <w:t xml:space="preserve"> </w:t>
      </w:r>
      <w:r w:rsidRPr="00577688">
        <w:rPr>
          <w:rFonts w:eastAsia="Times New Roman" w:cs="Times New Roman"/>
          <w:lang w:eastAsia="de-DE"/>
        </w:rPr>
        <w:t xml:space="preserve">(fehlerlos) ist bei allen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obligatorisch.</w:t>
      </w:r>
    </w:p>
    <w:p w14:paraId="0D87A2CA" w14:textId="43DCDC0C"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übersetzt </w:t>
      </w:r>
      <w:r w:rsidR="005070BF">
        <w:rPr>
          <w:rtl/>
        </w:rPr>
        <w:t>הכהן המשיח</w:t>
      </w:r>
      <w:r w:rsidR="005070BF">
        <w:t xml:space="preserve"> (</w:t>
      </w:r>
      <w:proofErr w:type="spellStart"/>
      <w:r w:rsidR="005070BF">
        <w:t>hakohen</w:t>
      </w:r>
      <w:proofErr w:type="spellEnd"/>
      <w:r w:rsidR="005070BF">
        <w:t xml:space="preserve"> </w:t>
      </w:r>
      <w:proofErr w:type="spellStart"/>
      <w:r w:rsidR="005070BF">
        <w:t>hamashiach</w:t>
      </w:r>
      <w:proofErr w:type="spellEnd"/>
      <w:r w:rsidR="005070BF">
        <w:t xml:space="preserve"> - "der gesalbte Priester") als ὁ </w:t>
      </w:r>
      <w:proofErr w:type="spellStart"/>
      <w:r w:rsidR="005070BF">
        <w:t>ἀρχιερεὺς</w:t>
      </w:r>
      <w:proofErr w:type="spellEnd"/>
      <w:r w:rsidR="005070BF">
        <w:t xml:space="preserve"> ὁ </w:t>
      </w:r>
      <w:proofErr w:type="spellStart"/>
      <w:r w:rsidR="005070BF">
        <w:t>κεχρισμένος</w:t>
      </w:r>
      <w:proofErr w:type="spellEnd"/>
      <w:r w:rsidR="005070BF">
        <w:t xml:space="preserve"> (der gesalbte Hohepriester), was eine hierarchische Präzisierung darstellt, die im hebräischen Text nicht explizit ist.</w:t>
      </w:r>
    </w:p>
    <w:p w14:paraId="277CE7E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Protasis (</w:t>
      </w:r>
      <w:r w:rsidRPr="00577688">
        <w:rPr>
          <w:rFonts w:eastAsia="Times New Roman" w:cs="Times New Roman"/>
          <w:rtl/>
          <w:lang w:eastAsia="de-DE"/>
        </w:rPr>
        <w:t>אִם</w:t>
      </w:r>
      <w:r w:rsidRPr="00577688">
        <w:rPr>
          <w:rFonts w:eastAsia="Times New Roman" w:cs="Times New Roman"/>
          <w:lang w:eastAsia="de-DE"/>
        </w:rPr>
        <w:t xml:space="preserve"> + Subjekt + Verb + Präpositionalphrase) → Apodosis (Verb + Präpositionalphrase mit Relativsatz + Objekt + Charakterisierung + Dativangabe + Zweckangabe). Die Apodosis spezifiziert Opfertier und Zweck.</w:t>
      </w:r>
    </w:p>
    <w:p w14:paraId="7DD9CF4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etabliert die </w:t>
      </w:r>
      <w:r w:rsidRPr="00577688">
        <w:rPr>
          <w:rFonts w:eastAsia="Times New Roman" w:cs="Times New Roman"/>
          <w:b/>
          <w:bCs/>
          <w:rtl/>
          <w:lang w:eastAsia="de-DE"/>
        </w:rPr>
        <w:t>חטאת</w:t>
      </w:r>
      <w:r w:rsidRPr="00577688">
        <w:rPr>
          <w:rFonts w:eastAsia="Times New Roman" w:cs="Times New Roman"/>
          <w:lang w:eastAsia="de-DE"/>
        </w:rPr>
        <w:t>-Bestimmungen für den Hohenpriester und zeigt die schwerwiegenden Konsequenzen seiner Verfehlung für das ganze Volk.</w:t>
      </w:r>
    </w:p>
    <w:p w14:paraId="27F0C2E3"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4,4</w:t>
      </w:r>
    </w:p>
    <w:p w14:paraId="5A71430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 אֶת־הַפָּ֗ר אֶל־פֶּ֛תַח אֹ֥הֶל מוֹעֵ֖ד לִפְנֵ֣י יְהוָ֑ה וְסָמַ֤ךְ אֶת־יָדוֹ֙ עַל־רֹ֣אשׁ הַפָּ֔ר וְשָׁחַ֥ט אֶת־הַפָּ֖ר לִפְנֵ֥י יְהוָֽה׃</w:t>
      </w:r>
    </w:p>
    <w:p w14:paraId="46251E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den Stier an den Eingang des Zeltes der Begegnung vor den Ewigen bringen und seine Hand auf den Kopf des Stieres legen und den Stier schlachten vor dem Ewigen.</w:t>
      </w:r>
    </w:p>
    <w:p w14:paraId="1918FF2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9EB1CDB">
          <v:rect id="_x0000_i1078" style="width:0;height:1.5pt" o:hralign="center" o:hrstd="t" o:hr="t" fillcolor="#a0a0a0" stroked="f"/>
        </w:pict>
      </w:r>
    </w:p>
    <w:p w14:paraId="6F01EB8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וְהֵבִ֣יא אֶת־הַפָּ֗ר</w:t>
      </w:r>
      <w:r w:rsidRPr="00577688">
        <w:rPr>
          <w:rFonts w:eastAsia="Times New Roman" w:cs="Times New Roman"/>
          <w:rtl/>
          <w:lang w:eastAsia="de-DE"/>
        </w:rPr>
        <w:t xml:space="preserve"> </w:t>
      </w:r>
      <w:r w:rsidRPr="00577688">
        <w:rPr>
          <w:rFonts w:eastAsia="Times New Roman" w:cs="Times New Roman"/>
          <w:lang w:eastAsia="de-DE"/>
        </w:rPr>
        <w:t xml:space="preserve">(und er soll den Stier bringen) ist Hifil-Perfekt mit Waw-Konsekutiv von </w:t>
      </w:r>
      <w:r w:rsidRPr="00577688">
        <w:rPr>
          <w:rFonts w:eastAsia="Times New Roman" w:cs="Times New Roman"/>
          <w:b/>
          <w:bCs/>
          <w:rtl/>
          <w:lang w:eastAsia="de-DE"/>
        </w:rPr>
        <w:t>בוא</w:t>
      </w:r>
      <w:r w:rsidRPr="00577688">
        <w:rPr>
          <w:rFonts w:eastAsia="Times New Roman" w:cs="Times New Roman"/>
          <w:rtl/>
          <w:lang w:eastAsia="de-DE"/>
        </w:rPr>
        <w:t xml:space="preserve"> </w:t>
      </w:r>
      <w:r w:rsidRPr="00577688">
        <w:rPr>
          <w:rFonts w:eastAsia="Times New Roman" w:cs="Times New Roman"/>
          <w:lang w:eastAsia="de-DE"/>
        </w:rPr>
        <w:t xml:space="preserve">(bringen), 3. Person maskulin Singular. </w:t>
      </w:r>
      <w:r w:rsidRPr="00577688">
        <w:rPr>
          <w:rFonts w:eastAsia="Times New Roman" w:cs="Times New Roman"/>
          <w:b/>
          <w:bCs/>
          <w:rtl/>
          <w:lang w:eastAsia="de-DE"/>
        </w:rPr>
        <w:t>אֶל־פֶּ֛תַח אֹ֥הֶל מוֹעֵ֖ד</w:t>
      </w:r>
      <w:r w:rsidRPr="00577688">
        <w:rPr>
          <w:rFonts w:eastAsia="Times New Roman" w:cs="Times New Roman"/>
          <w:rtl/>
          <w:lang w:eastAsia="de-DE"/>
        </w:rPr>
        <w:t xml:space="preserve"> </w:t>
      </w:r>
      <w:r w:rsidRPr="00577688">
        <w:rPr>
          <w:rFonts w:eastAsia="Times New Roman" w:cs="Times New Roman"/>
          <w:lang w:eastAsia="de-DE"/>
        </w:rPr>
        <w:t xml:space="preserve">(zum Eingang des Zeltes der Begegnung) zeigt den Darbringungsort.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(vor JHWH) betont den sakralen Kontext.</w:t>
      </w:r>
    </w:p>
    <w:p w14:paraId="37B5DB9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וְסָמַ֤ךְ אֶת־יָדוֹ֙ עַל־רֹ֣אשׁ הַפָּ֔ר</w:t>
      </w:r>
      <w:r w:rsidRPr="00577688">
        <w:rPr>
          <w:rFonts w:eastAsia="Times New Roman" w:cs="Times New Roman"/>
          <w:rtl/>
          <w:lang w:eastAsia="de-DE"/>
        </w:rPr>
        <w:t xml:space="preserve"> </w:t>
      </w:r>
      <w:r w:rsidRPr="00577688">
        <w:rPr>
          <w:rFonts w:eastAsia="Times New Roman" w:cs="Times New Roman"/>
          <w:lang w:eastAsia="de-DE"/>
        </w:rPr>
        <w:t xml:space="preserve">(und er soll seine Hand auf den Kopf des Stieres legen) beschreibt die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 xml:space="preserve">(Handauflegung). </w:t>
      </w:r>
      <w:r w:rsidRPr="00577688">
        <w:rPr>
          <w:rFonts w:eastAsia="Times New Roman" w:cs="Times New Roman"/>
          <w:b/>
          <w:bCs/>
          <w:rtl/>
          <w:lang w:eastAsia="de-DE"/>
        </w:rPr>
        <w:t>סמך</w:t>
      </w:r>
      <w:r w:rsidRPr="00577688">
        <w:rPr>
          <w:rFonts w:eastAsia="Times New Roman" w:cs="Times New Roman"/>
          <w:rtl/>
          <w:lang w:eastAsia="de-DE"/>
        </w:rPr>
        <w:t xml:space="preserve"> </w:t>
      </w:r>
      <w:r w:rsidRPr="00577688">
        <w:rPr>
          <w:rFonts w:eastAsia="Times New Roman" w:cs="Times New Roman"/>
          <w:lang w:eastAsia="de-DE"/>
        </w:rPr>
        <w:t xml:space="preserve">im Qal-Perfekt mit Waw-Konsekutiv, </w:t>
      </w:r>
      <w:r w:rsidRPr="00577688">
        <w:rPr>
          <w:rFonts w:eastAsia="Times New Roman" w:cs="Times New Roman"/>
          <w:b/>
          <w:bCs/>
          <w:rtl/>
          <w:lang w:eastAsia="de-DE"/>
        </w:rPr>
        <w:t>את־ידו</w:t>
      </w:r>
      <w:r w:rsidRPr="00577688">
        <w:rPr>
          <w:rFonts w:eastAsia="Times New Roman" w:cs="Times New Roman"/>
          <w:rtl/>
          <w:lang w:eastAsia="de-DE"/>
        </w:rPr>
        <w:t xml:space="preserve"> </w:t>
      </w:r>
      <w:r w:rsidRPr="00577688">
        <w:rPr>
          <w:rFonts w:eastAsia="Times New Roman" w:cs="Times New Roman"/>
          <w:lang w:eastAsia="de-DE"/>
        </w:rPr>
        <w:t xml:space="preserve">mit Nota accusativi, </w:t>
      </w:r>
      <w:r w:rsidRPr="00577688">
        <w:rPr>
          <w:rFonts w:eastAsia="Times New Roman" w:cs="Times New Roman"/>
          <w:b/>
          <w:bCs/>
          <w:rtl/>
          <w:lang w:eastAsia="de-DE"/>
        </w:rPr>
        <w:t>עַל־רֹאשׁ הַפָּר</w:t>
      </w:r>
      <w:r w:rsidRPr="00577688">
        <w:rPr>
          <w:rFonts w:eastAsia="Times New Roman" w:cs="Times New Roman"/>
          <w:rtl/>
          <w:lang w:eastAsia="de-DE"/>
        </w:rPr>
        <w:t xml:space="preserve"> </w:t>
      </w:r>
      <w:r w:rsidRPr="00577688">
        <w:rPr>
          <w:rFonts w:eastAsia="Times New Roman" w:cs="Times New Roman"/>
          <w:lang w:eastAsia="de-DE"/>
        </w:rPr>
        <w:t>(auf den Kopf des Stieres).</w:t>
      </w:r>
    </w:p>
    <w:p w14:paraId="56B5C3D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וְשָׁחַ֥ט אֶת־הַפָּ֖ר לִפְנֵ֥י יְהוָֽה</w:t>
      </w:r>
      <w:r w:rsidRPr="00577688">
        <w:rPr>
          <w:rFonts w:eastAsia="Times New Roman" w:cs="Times New Roman"/>
          <w:rtl/>
          <w:lang w:eastAsia="de-DE"/>
        </w:rPr>
        <w:t xml:space="preserve"> </w:t>
      </w:r>
      <w:r w:rsidRPr="00577688">
        <w:rPr>
          <w:rFonts w:eastAsia="Times New Roman" w:cs="Times New Roman"/>
          <w:lang w:eastAsia="de-DE"/>
        </w:rPr>
        <w:t xml:space="preserve">(und er soll den Stier schlachten vor JHWH) zeigt </w:t>
      </w:r>
      <w:r w:rsidRPr="00577688">
        <w:rPr>
          <w:rFonts w:eastAsia="Times New Roman" w:cs="Times New Roman"/>
          <w:b/>
          <w:bCs/>
          <w:rtl/>
          <w:lang w:eastAsia="de-DE"/>
        </w:rPr>
        <w:t>שחט</w:t>
      </w:r>
      <w:r w:rsidRPr="00577688">
        <w:rPr>
          <w:rFonts w:eastAsia="Times New Roman" w:cs="Times New Roman"/>
          <w:rtl/>
          <w:lang w:eastAsia="de-DE"/>
        </w:rPr>
        <w:t xml:space="preserve"> </w:t>
      </w:r>
      <w:r w:rsidRPr="00577688">
        <w:rPr>
          <w:rFonts w:eastAsia="Times New Roman" w:cs="Times New Roman"/>
          <w:lang w:eastAsia="de-DE"/>
        </w:rPr>
        <w:t xml:space="preserve">(schlachten) im Qal-Perfekt mit Waw-Konsekutiv.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wiederholt die sakrale Ortsangabe.</w:t>
      </w:r>
    </w:p>
    <w:p w14:paraId="1627BBD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 Prozedur entspricht den vorherigen Opferarten: Darbringung,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 xml:space="preserve">und Schlachtung.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führt der Hohenpriester alle Handlungen selbst aus, da er sowohl Opfernder als auch ausführender Priester ist.</w:t>
      </w:r>
    </w:p>
    <w:p w14:paraId="0D5F118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פֶּתַח אֹהֶל מוֹעֵד</w:t>
      </w:r>
      <w:r w:rsidRPr="00577688">
        <w:rPr>
          <w:rFonts w:eastAsia="Times New Roman" w:cs="Times New Roman"/>
          <w:rtl/>
          <w:lang w:eastAsia="de-DE"/>
        </w:rPr>
        <w:t xml:space="preserve"> </w:t>
      </w:r>
      <w:r w:rsidRPr="00577688">
        <w:rPr>
          <w:rFonts w:eastAsia="Times New Roman" w:cs="Times New Roman"/>
          <w:lang w:eastAsia="de-DE"/>
        </w:rPr>
        <w:t xml:space="preserve">(Eingang des Zeltes der Begegnung) ist der standardisierte Opferort.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 xml:space="preserve">(vor JHWH) zweimalige Erwähnung betont die besondere Heiligkeit der </w:t>
      </w:r>
      <w:r w:rsidRPr="00577688">
        <w:rPr>
          <w:rFonts w:eastAsia="Times New Roman" w:cs="Times New Roman"/>
          <w:b/>
          <w:bCs/>
          <w:rtl/>
          <w:lang w:eastAsia="de-DE"/>
        </w:rPr>
        <w:t>חטאת</w:t>
      </w:r>
      <w:r w:rsidRPr="00577688">
        <w:rPr>
          <w:rFonts w:eastAsia="Times New Roman" w:cs="Times New Roman"/>
          <w:lang w:eastAsia="de-DE"/>
        </w:rPr>
        <w:t>.</w:t>
      </w:r>
    </w:p>
    <w:p w14:paraId="13307F1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 xml:space="preserve">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hat besondere Bedeutung: Übertragung der Sünde auf das Opfertier als stellvertretenden </w:t>
      </w:r>
      <w:proofErr w:type="spellStart"/>
      <w:r w:rsidRPr="00577688">
        <w:rPr>
          <w:rFonts w:eastAsia="Times New Roman" w:cs="Times New Roman"/>
          <w:lang w:eastAsia="de-DE"/>
        </w:rPr>
        <w:t>Sühnträger</w:t>
      </w:r>
      <w:proofErr w:type="spellEnd"/>
      <w:r w:rsidRPr="00577688">
        <w:rPr>
          <w:rFonts w:eastAsia="Times New Roman" w:cs="Times New Roman"/>
          <w:lang w:eastAsia="de-DE"/>
        </w:rPr>
        <w:t xml:space="preserve">. </w:t>
      </w:r>
      <w:r w:rsidRPr="00577688">
        <w:rPr>
          <w:rFonts w:eastAsia="Times New Roman" w:cs="Times New Roman"/>
          <w:b/>
          <w:bCs/>
          <w:rtl/>
          <w:lang w:eastAsia="de-DE"/>
        </w:rPr>
        <w:t>ידו</w:t>
      </w:r>
      <w:r w:rsidRPr="00577688">
        <w:rPr>
          <w:rFonts w:eastAsia="Times New Roman" w:cs="Times New Roman"/>
          <w:rtl/>
          <w:lang w:eastAsia="de-DE"/>
        </w:rPr>
        <w:t xml:space="preserve"> </w:t>
      </w:r>
      <w:r w:rsidRPr="00577688">
        <w:rPr>
          <w:rFonts w:eastAsia="Times New Roman" w:cs="Times New Roman"/>
          <w:lang w:eastAsia="de-DE"/>
        </w:rPr>
        <w:t xml:space="preserve">(seine Hand) im Singular entspricht der üblichen </w:t>
      </w:r>
      <w:r w:rsidRPr="00577688">
        <w:rPr>
          <w:rFonts w:eastAsia="Times New Roman" w:cs="Times New Roman"/>
          <w:b/>
          <w:bCs/>
          <w:rtl/>
          <w:lang w:eastAsia="de-DE"/>
        </w:rPr>
        <w:t>סמיכה</w:t>
      </w:r>
      <w:r w:rsidRPr="00577688">
        <w:rPr>
          <w:rFonts w:eastAsia="Times New Roman" w:cs="Times New Roman"/>
          <w:lang w:eastAsia="de-DE"/>
        </w:rPr>
        <w:t>-Praxis.</w:t>
      </w:r>
    </w:p>
    <w:p w14:paraId="4688C31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וְהֵבִ֣יא</w:t>
      </w:r>
      <w:r w:rsidRPr="00577688">
        <w:rPr>
          <w:rFonts w:eastAsia="Times New Roman" w:cs="Times New Roman"/>
          <w:rtl/>
          <w:lang w:eastAsia="de-DE"/>
        </w:rPr>
        <w:t xml:space="preserve"> </w:t>
      </w:r>
      <w:r w:rsidRPr="00577688">
        <w:rPr>
          <w:rFonts w:eastAsia="Times New Roman" w:cs="Times New Roman"/>
          <w:lang w:eastAsia="de-DE"/>
        </w:rPr>
        <w:t>mit καὶ π</w:t>
      </w:r>
      <w:proofErr w:type="spellStart"/>
      <w:r w:rsidRPr="00577688">
        <w:rPr>
          <w:rFonts w:eastAsia="Times New Roman" w:cs="Times New Roman"/>
          <w:lang w:eastAsia="de-DE"/>
        </w:rPr>
        <w:t>ροσάξει</w:t>
      </w:r>
      <w:proofErr w:type="spellEnd"/>
      <w:r w:rsidRPr="00577688">
        <w:rPr>
          <w:rFonts w:eastAsia="Times New Roman" w:cs="Times New Roman"/>
          <w:lang w:eastAsia="de-DE"/>
        </w:rPr>
        <w:t xml:space="preserve"> (und er soll heranbringen), </w:t>
      </w:r>
      <w:r w:rsidRPr="00577688">
        <w:rPr>
          <w:rFonts w:eastAsia="Times New Roman" w:cs="Times New Roman"/>
          <w:b/>
          <w:bCs/>
          <w:rtl/>
          <w:lang w:eastAsia="de-DE"/>
        </w:rPr>
        <w:t>וְסָמַ֤ךְ</w:t>
      </w:r>
      <w:r w:rsidRPr="00577688">
        <w:rPr>
          <w:rFonts w:eastAsia="Times New Roman" w:cs="Times New Roman"/>
          <w:rtl/>
          <w:lang w:eastAsia="de-DE"/>
        </w:rPr>
        <w:t xml:space="preserve"> </w:t>
      </w:r>
      <w:r w:rsidRPr="00577688">
        <w:rPr>
          <w:rFonts w:eastAsia="Times New Roman" w:cs="Times New Roman"/>
          <w:lang w:eastAsia="de-DE"/>
        </w:rPr>
        <w:t>mit καὶ ἐπ</w:t>
      </w:r>
      <w:proofErr w:type="spellStart"/>
      <w:r w:rsidRPr="00577688">
        <w:rPr>
          <w:rFonts w:eastAsia="Times New Roman" w:cs="Times New Roman"/>
          <w:lang w:eastAsia="de-DE"/>
        </w:rPr>
        <w:t>ιθήσει</w:t>
      </w:r>
      <w:proofErr w:type="spellEnd"/>
      <w:r w:rsidRPr="00577688">
        <w:rPr>
          <w:rFonts w:eastAsia="Times New Roman" w:cs="Times New Roman"/>
          <w:lang w:eastAsia="de-DE"/>
        </w:rPr>
        <w:t xml:space="preserve"> (und er soll auflegen) und </w:t>
      </w:r>
      <w:r w:rsidRPr="00577688">
        <w:rPr>
          <w:rFonts w:eastAsia="Times New Roman" w:cs="Times New Roman"/>
          <w:b/>
          <w:bCs/>
          <w:rtl/>
          <w:lang w:eastAsia="de-DE"/>
        </w:rPr>
        <w:t>וְשָׁחַ֥ט</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σφάξει</w:t>
      </w:r>
      <w:proofErr w:type="spellEnd"/>
      <w:r w:rsidRPr="00577688">
        <w:rPr>
          <w:rFonts w:eastAsia="Times New Roman" w:cs="Times New Roman"/>
          <w:lang w:eastAsia="de-DE"/>
        </w:rPr>
        <w:t xml:space="preserve"> (und er soll schlachten).</w:t>
      </w:r>
    </w:p>
    <w:p w14:paraId="07B211F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Hauptsätze mit Waw-Konsekutiv: Verb + Objekt + Adverbialbestimmung + Adverbialbestimmung // Verb + Objekt + Präpositionalphrase // Verb + Objekt + Adverbialbestimmung. Die Struktur folgt der standardisierten Opfersequenz.</w:t>
      </w:r>
    </w:p>
    <w:p w14:paraId="55690A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etabliert die identischen Anfangsprozeduren für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wie bei anderen Opferarten, betont aber durch doppelte </w:t>
      </w:r>
      <w:r w:rsidRPr="00577688">
        <w:rPr>
          <w:rFonts w:eastAsia="Times New Roman" w:cs="Times New Roman"/>
          <w:b/>
          <w:bCs/>
          <w:rtl/>
          <w:lang w:eastAsia="de-DE"/>
        </w:rPr>
        <w:t>לִפְנֵי יְהוָה</w:t>
      </w:r>
      <w:r w:rsidRPr="00577688">
        <w:rPr>
          <w:rFonts w:eastAsia="Times New Roman" w:cs="Times New Roman"/>
          <w:lang w:eastAsia="de-DE"/>
        </w:rPr>
        <w:t>-Erwähnung die besondere Heiligkeit.</w:t>
      </w:r>
    </w:p>
    <w:p w14:paraId="39CB5AAD"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4,5</w:t>
      </w:r>
    </w:p>
    <w:p w14:paraId="496271C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וְלָקַ֛ח הַכֹּהֵ֥ן הַמָּשִׁ֖יחַ מִדַּ֣ם הַפָּ֑ר וְהֵבִ֥יא אֹתוֹ֖ אֶל־אֹ֥הֶל מוֹעֵֽד׃</w:t>
      </w:r>
    </w:p>
    <w:p w14:paraId="60B4558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gesalbte Priester soll von dem Blut des Stieres nehmen und es in das Zelt der Begegnung bringen;</w:t>
      </w:r>
    </w:p>
    <w:p w14:paraId="0141312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BBEF272">
          <v:rect id="_x0000_i1079" style="width:0;height:1.5pt" o:hralign="center" o:hrstd="t" o:hr="t" fillcolor="#a0a0a0" stroked="f"/>
        </w:pict>
      </w:r>
    </w:p>
    <w:p w14:paraId="3D06446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וְלָקַ֛ח הַכֹּהֵ֥ן הַמָּשִׁ֖יחַ</w:t>
      </w:r>
      <w:r w:rsidRPr="00577688">
        <w:rPr>
          <w:rFonts w:eastAsia="Times New Roman" w:cs="Times New Roman"/>
          <w:rtl/>
          <w:lang w:eastAsia="de-DE"/>
        </w:rPr>
        <w:t xml:space="preserve"> </w:t>
      </w:r>
      <w:r w:rsidRPr="00577688">
        <w:rPr>
          <w:rFonts w:eastAsia="Times New Roman" w:cs="Times New Roman"/>
          <w:lang w:eastAsia="de-DE"/>
        </w:rPr>
        <w:t xml:space="preserve">(und der gesalbte Priester soll nehmen) zeigt </w:t>
      </w:r>
      <w:r w:rsidRPr="00577688">
        <w:rPr>
          <w:rFonts w:eastAsia="Times New Roman" w:cs="Times New Roman"/>
          <w:b/>
          <w:bCs/>
          <w:rtl/>
          <w:lang w:eastAsia="de-DE"/>
        </w:rPr>
        <w:t>לקח</w:t>
      </w:r>
      <w:r w:rsidRPr="00577688">
        <w:rPr>
          <w:rFonts w:eastAsia="Times New Roman" w:cs="Times New Roman"/>
          <w:rtl/>
          <w:lang w:eastAsia="de-DE"/>
        </w:rPr>
        <w:t xml:space="preserve"> </w:t>
      </w:r>
      <w:r w:rsidRPr="00577688">
        <w:rPr>
          <w:rFonts w:eastAsia="Times New Roman" w:cs="Times New Roman"/>
          <w:lang w:eastAsia="de-DE"/>
        </w:rPr>
        <w:t xml:space="preserve">(nehmen) im Qal-Perfekt mit Waw-Konsekutiv, 3. Person maskulin Singular. </w:t>
      </w:r>
      <w:r w:rsidRPr="00577688">
        <w:rPr>
          <w:rFonts w:eastAsia="Times New Roman" w:cs="Times New Roman"/>
          <w:b/>
          <w:bCs/>
          <w:rtl/>
          <w:lang w:eastAsia="de-DE"/>
        </w:rPr>
        <w:t>הַכֹּהֵ֥ן הַמָּשִׁ֖יחַ</w:t>
      </w:r>
      <w:r w:rsidRPr="00577688">
        <w:rPr>
          <w:rFonts w:eastAsia="Times New Roman" w:cs="Times New Roman"/>
          <w:rtl/>
          <w:lang w:eastAsia="de-DE"/>
        </w:rPr>
        <w:t xml:space="preserve"> </w:t>
      </w:r>
      <w:r w:rsidRPr="00577688">
        <w:rPr>
          <w:rFonts w:eastAsia="Times New Roman" w:cs="Times New Roman"/>
          <w:lang w:eastAsia="de-DE"/>
        </w:rPr>
        <w:t>(der gesalbte Priester) wiederholt den Titel des Hohenpriesters.</w:t>
      </w:r>
    </w:p>
    <w:p w14:paraId="347A407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מִדַּ֣ם הַפָּ֑ר</w:t>
      </w:r>
      <w:r w:rsidRPr="00577688">
        <w:rPr>
          <w:rFonts w:eastAsia="Times New Roman" w:cs="Times New Roman"/>
          <w:rtl/>
          <w:lang w:eastAsia="de-DE"/>
        </w:rPr>
        <w:t xml:space="preserve"> </w:t>
      </w:r>
      <w:r w:rsidRPr="00577688">
        <w:rPr>
          <w:rFonts w:eastAsia="Times New Roman" w:cs="Times New Roman"/>
          <w:lang w:eastAsia="de-DE"/>
        </w:rPr>
        <w:t xml:space="preserve">(von dem Blut des Stieres) zeigt partitive Herkunft mit </w:t>
      </w:r>
      <w:r w:rsidRPr="00577688">
        <w:rPr>
          <w:rFonts w:eastAsia="Times New Roman" w:cs="Times New Roman"/>
          <w:b/>
          <w:bCs/>
          <w:rtl/>
          <w:lang w:eastAsia="de-DE"/>
        </w:rPr>
        <w:t>מִן</w:t>
      </w:r>
      <w:r w:rsidRPr="00577688">
        <w:rPr>
          <w:rFonts w:eastAsia="Times New Roman" w:cs="Times New Roman"/>
          <w:lang w:eastAsia="de-DE"/>
        </w:rPr>
        <w:t xml:space="preserve">. </w:t>
      </w:r>
      <w:r w:rsidRPr="00577688">
        <w:rPr>
          <w:rFonts w:eastAsia="Times New Roman" w:cs="Times New Roman"/>
          <w:b/>
          <w:bCs/>
          <w:rtl/>
          <w:lang w:eastAsia="de-DE"/>
        </w:rPr>
        <w:t>וְהֵבִ֥יא אֹתוֹ֖ אֶל־אֹ֥הֶל מוֹעֵֽד</w:t>
      </w:r>
      <w:r w:rsidRPr="00577688">
        <w:rPr>
          <w:rFonts w:eastAsia="Times New Roman" w:cs="Times New Roman"/>
          <w:rtl/>
          <w:lang w:eastAsia="de-DE"/>
        </w:rPr>
        <w:t xml:space="preserve"> </w:t>
      </w:r>
      <w:r w:rsidRPr="00577688">
        <w:rPr>
          <w:rFonts w:eastAsia="Times New Roman" w:cs="Times New Roman"/>
          <w:lang w:eastAsia="de-DE"/>
        </w:rPr>
        <w:t xml:space="preserve">(und er soll es ins Zelt der Begegnung bringen) ist Hifil-Perfekt mit Waw-Konsekutiv von </w:t>
      </w:r>
      <w:r w:rsidRPr="00577688">
        <w:rPr>
          <w:rFonts w:eastAsia="Times New Roman" w:cs="Times New Roman"/>
          <w:b/>
          <w:bCs/>
          <w:rtl/>
          <w:lang w:eastAsia="de-DE"/>
        </w:rPr>
        <w:t>בוא</w:t>
      </w:r>
      <w:r w:rsidRPr="00577688">
        <w:rPr>
          <w:rFonts w:eastAsia="Times New Roman" w:cs="Times New Roman"/>
          <w:rtl/>
          <w:lang w:eastAsia="de-DE"/>
        </w:rPr>
        <w:t xml:space="preserve"> </w:t>
      </w:r>
      <w:r w:rsidRPr="00577688">
        <w:rPr>
          <w:rFonts w:eastAsia="Times New Roman" w:cs="Times New Roman"/>
          <w:lang w:eastAsia="de-DE"/>
        </w:rPr>
        <w:t xml:space="preserve">(bringen). </w:t>
      </w:r>
      <w:r w:rsidRPr="00577688">
        <w:rPr>
          <w:rFonts w:eastAsia="Times New Roman" w:cs="Times New Roman"/>
          <w:b/>
          <w:bCs/>
          <w:rtl/>
          <w:lang w:eastAsia="de-DE"/>
        </w:rPr>
        <w:t>אֹתוֹ</w:t>
      </w:r>
      <w:r w:rsidRPr="00577688">
        <w:rPr>
          <w:rFonts w:eastAsia="Times New Roman" w:cs="Times New Roman"/>
          <w:rtl/>
          <w:lang w:eastAsia="de-DE"/>
        </w:rPr>
        <w:t xml:space="preserve"> </w:t>
      </w:r>
      <w:r w:rsidRPr="00577688">
        <w:rPr>
          <w:rFonts w:eastAsia="Times New Roman" w:cs="Times New Roman"/>
          <w:lang w:eastAsia="de-DE"/>
        </w:rPr>
        <w:t xml:space="preserve">(es) bezieht sich auf </w:t>
      </w:r>
      <w:r w:rsidRPr="00577688">
        <w:rPr>
          <w:rFonts w:eastAsia="Times New Roman" w:cs="Times New Roman"/>
          <w:b/>
          <w:bCs/>
          <w:rtl/>
          <w:lang w:eastAsia="de-DE"/>
        </w:rPr>
        <w:t>דם</w:t>
      </w:r>
      <w:r w:rsidRPr="00577688">
        <w:rPr>
          <w:rFonts w:eastAsia="Times New Roman" w:cs="Times New Roman"/>
          <w:rtl/>
          <w:lang w:eastAsia="de-DE"/>
        </w:rPr>
        <w:t xml:space="preserve"> </w:t>
      </w:r>
      <w:r w:rsidRPr="00577688">
        <w:rPr>
          <w:rFonts w:eastAsia="Times New Roman" w:cs="Times New Roman"/>
          <w:lang w:eastAsia="de-DE"/>
        </w:rPr>
        <w:t>(Blut) zurück.</w:t>
      </w:r>
    </w:p>
    <w:p w14:paraId="5106F00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אֶל־אֹ֥הֶל מוֹעֵֽד</w:t>
      </w:r>
      <w:r w:rsidRPr="00577688">
        <w:rPr>
          <w:rFonts w:eastAsia="Times New Roman" w:cs="Times New Roman"/>
          <w:rtl/>
          <w:lang w:eastAsia="de-DE"/>
        </w:rPr>
        <w:t xml:space="preserve"> </w:t>
      </w:r>
      <w:r w:rsidRPr="00577688">
        <w:rPr>
          <w:rFonts w:eastAsia="Times New Roman" w:cs="Times New Roman"/>
          <w:lang w:eastAsia="de-DE"/>
        </w:rPr>
        <w:t>(ins Zelt der Begegnung) zeigt eine entscheidende Besonderheit: Bei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wird Blut ins Heiligtum gebracht, nicht nur am äußeren Altar verwendet. Dies unterscheidet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fundamental von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שלמים</w:t>
      </w:r>
      <w:r w:rsidRPr="00577688">
        <w:rPr>
          <w:rFonts w:eastAsia="Times New Roman" w:cs="Times New Roman"/>
          <w:lang w:eastAsia="de-DE"/>
        </w:rPr>
        <w:t>.</w:t>
      </w:r>
    </w:p>
    <w:p w14:paraId="12328F7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לקח מדם</w:t>
      </w:r>
      <w:r w:rsidRPr="00577688">
        <w:rPr>
          <w:rFonts w:eastAsia="Times New Roman" w:cs="Times New Roman"/>
          <w:rtl/>
          <w:lang w:eastAsia="de-DE"/>
        </w:rPr>
        <w:t xml:space="preserve"> </w:t>
      </w:r>
      <w:r w:rsidRPr="00577688">
        <w:rPr>
          <w:rFonts w:eastAsia="Times New Roman" w:cs="Times New Roman"/>
          <w:lang w:eastAsia="de-DE"/>
        </w:rPr>
        <w:t xml:space="preserve">(von dem Blut nehmen) impliziert die Verwendung eines Gefäßes zur Blutsammlung. </w:t>
      </w:r>
      <w:r w:rsidRPr="00577688">
        <w:rPr>
          <w:rFonts w:eastAsia="Times New Roman" w:cs="Times New Roman"/>
          <w:b/>
          <w:bCs/>
          <w:rtl/>
          <w:lang w:eastAsia="de-DE"/>
        </w:rPr>
        <w:t>הביא אל אהל מועד</w:t>
      </w:r>
      <w:r w:rsidRPr="00577688">
        <w:rPr>
          <w:rFonts w:eastAsia="Times New Roman" w:cs="Times New Roman"/>
          <w:rtl/>
          <w:lang w:eastAsia="de-DE"/>
        </w:rPr>
        <w:t xml:space="preserve"> </w:t>
      </w:r>
      <w:r w:rsidRPr="00577688">
        <w:rPr>
          <w:rFonts w:eastAsia="Times New Roman" w:cs="Times New Roman"/>
          <w:lang w:eastAsia="de-DE"/>
        </w:rPr>
        <w:t>(ins Zelt der Begegnung bringen) zeigt, dass der Hohenpriester das Allerheiligste betritt.</w:t>
      </w:r>
    </w:p>
    <w:p w14:paraId="38B58831" w14:textId="776A04DB"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LXX</w:t>
      </w:r>
      <w:r w:rsidRPr="00577688">
        <w:rPr>
          <w:rFonts w:eastAsia="Times New Roman" w:cs="Times New Roman"/>
          <w:lang w:eastAsia="de-DE"/>
        </w:rPr>
        <w:t xml:space="preserve"> </w:t>
      </w:r>
      <w:r w:rsidR="005070BF">
        <w:t xml:space="preserve">fügt eine interpretierende Erweiterung hinzu: ὁ </w:t>
      </w:r>
      <w:proofErr w:type="spellStart"/>
      <w:r w:rsidR="005070BF">
        <w:t>χριστὸς</w:t>
      </w:r>
      <w:proofErr w:type="spellEnd"/>
      <w:r w:rsidR="005070BF">
        <w:t xml:space="preserve"> ὁ </w:t>
      </w:r>
      <w:proofErr w:type="spellStart"/>
      <w:r w:rsidR="005070BF">
        <w:t>τετελειωμένος</w:t>
      </w:r>
      <w:proofErr w:type="spellEnd"/>
      <w:r w:rsidR="005070BF">
        <w:t xml:space="preserve"> </w:t>
      </w:r>
      <w:proofErr w:type="spellStart"/>
      <w:r w:rsidR="005070BF">
        <w:t>τὰς</w:t>
      </w:r>
      <w:proofErr w:type="spellEnd"/>
      <w:r w:rsidR="005070BF">
        <w:t xml:space="preserve"> </w:t>
      </w:r>
      <w:proofErr w:type="spellStart"/>
      <w:r w:rsidR="005070BF">
        <w:t>χεῖρ</w:t>
      </w:r>
      <w:proofErr w:type="spellEnd"/>
      <w:r w:rsidR="005070BF">
        <w:t>ας (der Gesalbte, der in den Händen vollendet wurde), was auf die Weiheritual-Terminologie hinweist und im hebräischen Text fehlt.</w:t>
      </w:r>
    </w:p>
    <w:p w14:paraId="273684B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Subjekt + Präpositionalphrase // Verb + Objekt + Adverbialbestimmung. Die Struktur betont die zweistufige Handlung: Blutentnahme und Transport ins Heiligtum.</w:t>
      </w:r>
    </w:p>
    <w:p w14:paraId="718EFE5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leitet das spezifische Blutverfahren für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ein und zeigt deren einzigartige Heiligkeit durch das Eindringen ins Heiligtum.</w:t>
      </w:r>
    </w:p>
    <w:p w14:paraId="15BFDB26"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4,6</w:t>
      </w:r>
    </w:p>
    <w:p w14:paraId="7C46F36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וְטָבַ֧ל הַכֹּהֵ֛ן אֶת־אֶצְבָּעֹ֖ו בַּדָּ֑ם וְהִזָּ֨ה מִן־הַדָּ֜ם שֶׁ֤בַע פְּעָמִים֙ לִפְנֵ֣י יְהוָ֔ה אֶת־פְּנֵ֖י פָּרֹ֥כֶת הַקֹּֽדֶשׁ׃</w:t>
      </w:r>
    </w:p>
    <w:p w14:paraId="48F3C16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seinen Finger in das Blut tauchen und davon siebenmal vor dem Ewigen gegen den Vorhang des Heiligtums spritzen.</w:t>
      </w:r>
    </w:p>
    <w:p w14:paraId="4A4E8ADE"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767E70A">
          <v:rect id="_x0000_i1080" style="width:0;height:1.5pt" o:hralign="center" o:hrstd="t" o:hr="t" fillcolor="#a0a0a0" stroked="f"/>
        </w:pict>
      </w:r>
    </w:p>
    <w:p w14:paraId="42323E5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וְטָבַ֧ל הַכֹּהֵ֛ן אֶת־אֶצְבָּעֹ֖ו בַּדָּ֑ם</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seinen Finger ins Blut tauchen) zeigt </w:t>
      </w:r>
      <w:r w:rsidRPr="00577688">
        <w:rPr>
          <w:rFonts w:eastAsia="Times New Roman" w:cs="Times New Roman"/>
          <w:b/>
          <w:bCs/>
          <w:rtl/>
          <w:lang w:eastAsia="de-DE"/>
        </w:rPr>
        <w:t>טבל</w:t>
      </w:r>
      <w:r w:rsidRPr="00577688">
        <w:rPr>
          <w:rFonts w:eastAsia="Times New Roman" w:cs="Times New Roman"/>
          <w:rtl/>
          <w:lang w:eastAsia="de-DE"/>
        </w:rPr>
        <w:t xml:space="preserve"> </w:t>
      </w:r>
      <w:r w:rsidRPr="00577688">
        <w:rPr>
          <w:rFonts w:eastAsia="Times New Roman" w:cs="Times New Roman"/>
          <w:lang w:eastAsia="de-DE"/>
        </w:rPr>
        <w:t xml:space="preserve">(tauchen/eintauchen) im Qal-Perfekt mit Waw-Konsekutiv. </w:t>
      </w:r>
      <w:r w:rsidRPr="00577688">
        <w:rPr>
          <w:rFonts w:eastAsia="Times New Roman" w:cs="Times New Roman"/>
          <w:b/>
          <w:bCs/>
          <w:rtl/>
          <w:lang w:eastAsia="de-DE"/>
        </w:rPr>
        <w:t>אצבע</w:t>
      </w:r>
      <w:r w:rsidRPr="00577688">
        <w:rPr>
          <w:rFonts w:eastAsia="Times New Roman" w:cs="Times New Roman"/>
          <w:rtl/>
          <w:lang w:eastAsia="de-DE"/>
        </w:rPr>
        <w:t xml:space="preserve"> </w:t>
      </w:r>
      <w:r w:rsidRPr="00577688">
        <w:rPr>
          <w:rFonts w:eastAsia="Times New Roman" w:cs="Times New Roman"/>
          <w:lang w:eastAsia="de-DE"/>
        </w:rPr>
        <w:t xml:space="preserve">(Finger) mit Possessivsuffix 3. Person maskulin Singular, </w:t>
      </w:r>
      <w:r w:rsidRPr="00577688">
        <w:rPr>
          <w:rFonts w:eastAsia="Times New Roman" w:cs="Times New Roman"/>
          <w:b/>
          <w:bCs/>
          <w:rtl/>
          <w:lang w:eastAsia="de-DE"/>
        </w:rPr>
        <w:t>בַּדָּם</w:t>
      </w:r>
      <w:r w:rsidRPr="00577688">
        <w:rPr>
          <w:rFonts w:eastAsia="Times New Roman" w:cs="Times New Roman"/>
          <w:rtl/>
          <w:lang w:eastAsia="de-DE"/>
        </w:rPr>
        <w:t xml:space="preserve"> </w:t>
      </w:r>
      <w:r w:rsidRPr="00577688">
        <w:rPr>
          <w:rFonts w:eastAsia="Times New Roman" w:cs="Times New Roman"/>
          <w:lang w:eastAsia="de-DE"/>
        </w:rPr>
        <w:t>(ins Blut).</w:t>
      </w:r>
    </w:p>
    <w:p w14:paraId="1C8D70D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וְהִזָּ֨ה מִן־הַדָּ֜ם שֶׁ֤בַע פְּעָמִים֙</w:t>
      </w:r>
      <w:r w:rsidRPr="00577688">
        <w:rPr>
          <w:rFonts w:eastAsia="Times New Roman" w:cs="Times New Roman"/>
          <w:rtl/>
          <w:lang w:eastAsia="de-DE"/>
        </w:rPr>
        <w:t xml:space="preserve"> </w:t>
      </w:r>
      <w:r w:rsidRPr="00577688">
        <w:rPr>
          <w:rFonts w:eastAsia="Times New Roman" w:cs="Times New Roman"/>
          <w:lang w:eastAsia="de-DE"/>
        </w:rPr>
        <w:t xml:space="preserve">(und er soll von dem Blut siebenmal spritzen) zeigt </w:t>
      </w:r>
      <w:r w:rsidRPr="00577688">
        <w:rPr>
          <w:rFonts w:eastAsia="Times New Roman" w:cs="Times New Roman"/>
          <w:b/>
          <w:bCs/>
          <w:rtl/>
          <w:lang w:eastAsia="de-DE"/>
        </w:rPr>
        <w:t>נזה</w:t>
      </w:r>
      <w:r w:rsidRPr="00577688">
        <w:rPr>
          <w:rFonts w:eastAsia="Times New Roman" w:cs="Times New Roman"/>
          <w:rtl/>
          <w:lang w:eastAsia="de-DE"/>
        </w:rPr>
        <w:t xml:space="preserve"> </w:t>
      </w:r>
      <w:r w:rsidRPr="00577688">
        <w:rPr>
          <w:rFonts w:eastAsia="Times New Roman" w:cs="Times New Roman"/>
          <w:lang w:eastAsia="de-DE"/>
        </w:rPr>
        <w:t xml:space="preserve">(spritzen/sprengen) im Hifil-Perfekt mit Waw-Konsekutiv. </w:t>
      </w:r>
      <w:r w:rsidRPr="00577688">
        <w:rPr>
          <w:rFonts w:eastAsia="Times New Roman" w:cs="Times New Roman"/>
          <w:b/>
          <w:bCs/>
          <w:rtl/>
          <w:lang w:eastAsia="de-DE"/>
        </w:rPr>
        <w:t>מִן־הַדָּם</w:t>
      </w:r>
      <w:r w:rsidRPr="00577688">
        <w:rPr>
          <w:rFonts w:eastAsia="Times New Roman" w:cs="Times New Roman"/>
          <w:rtl/>
          <w:lang w:eastAsia="de-DE"/>
        </w:rPr>
        <w:t xml:space="preserve"> </w:t>
      </w:r>
      <w:r w:rsidRPr="00577688">
        <w:rPr>
          <w:rFonts w:eastAsia="Times New Roman" w:cs="Times New Roman"/>
          <w:lang w:eastAsia="de-DE"/>
        </w:rPr>
        <w:t xml:space="preserve">(von dem Blut) partitiv, </w:t>
      </w:r>
      <w:r w:rsidRPr="00577688">
        <w:rPr>
          <w:rFonts w:eastAsia="Times New Roman" w:cs="Times New Roman"/>
          <w:b/>
          <w:bCs/>
          <w:rtl/>
          <w:lang w:eastAsia="de-DE"/>
        </w:rPr>
        <w:t>שֶׁבַע פְּעָמִים</w:t>
      </w:r>
      <w:r w:rsidRPr="00577688">
        <w:rPr>
          <w:rFonts w:eastAsia="Times New Roman" w:cs="Times New Roman"/>
          <w:rtl/>
          <w:lang w:eastAsia="de-DE"/>
        </w:rPr>
        <w:t xml:space="preserve"> </w:t>
      </w:r>
      <w:r w:rsidRPr="00577688">
        <w:rPr>
          <w:rFonts w:eastAsia="Times New Roman" w:cs="Times New Roman"/>
          <w:lang w:eastAsia="de-DE"/>
        </w:rPr>
        <w:t xml:space="preserve">(siebenmal) mit </w:t>
      </w:r>
      <w:r w:rsidRPr="00577688">
        <w:rPr>
          <w:rFonts w:eastAsia="Times New Roman" w:cs="Times New Roman"/>
          <w:b/>
          <w:bCs/>
          <w:rtl/>
          <w:lang w:eastAsia="de-DE"/>
        </w:rPr>
        <w:t>שבע</w:t>
      </w:r>
      <w:r w:rsidRPr="00577688">
        <w:rPr>
          <w:rFonts w:eastAsia="Times New Roman" w:cs="Times New Roman"/>
          <w:rtl/>
          <w:lang w:eastAsia="de-DE"/>
        </w:rPr>
        <w:t xml:space="preserve"> </w:t>
      </w:r>
      <w:r w:rsidRPr="00577688">
        <w:rPr>
          <w:rFonts w:eastAsia="Times New Roman" w:cs="Times New Roman"/>
          <w:lang w:eastAsia="de-DE"/>
        </w:rPr>
        <w:t xml:space="preserve">(sieben) + </w:t>
      </w:r>
      <w:r w:rsidRPr="00577688">
        <w:rPr>
          <w:rFonts w:eastAsia="Times New Roman" w:cs="Times New Roman"/>
          <w:b/>
          <w:bCs/>
          <w:rtl/>
          <w:lang w:eastAsia="de-DE"/>
        </w:rPr>
        <w:t>פעם</w:t>
      </w:r>
      <w:r w:rsidRPr="00577688">
        <w:rPr>
          <w:rFonts w:eastAsia="Times New Roman" w:cs="Times New Roman"/>
          <w:rtl/>
          <w:lang w:eastAsia="de-DE"/>
        </w:rPr>
        <w:t xml:space="preserve"> </w:t>
      </w:r>
      <w:r w:rsidRPr="00577688">
        <w:rPr>
          <w:rFonts w:eastAsia="Times New Roman" w:cs="Times New Roman"/>
          <w:lang w:eastAsia="de-DE"/>
        </w:rPr>
        <w:t>(Mal) im Plural.</w:t>
      </w:r>
    </w:p>
    <w:p w14:paraId="792E793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לִפְנֵ֣י יְהוָ֔ה אֶת־פְּנֵ֖י פָּרֹ֥כֶת הַקֹּֽדֶשׁ</w:t>
      </w:r>
      <w:r w:rsidRPr="00577688">
        <w:rPr>
          <w:rFonts w:eastAsia="Times New Roman" w:cs="Times New Roman"/>
          <w:rtl/>
          <w:lang w:eastAsia="de-DE"/>
        </w:rPr>
        <w:t xml:space="preserve"> </w:t>
      </w:r>
      <w:r w:rsidRPr="00577688">
        <w:rPr>
          <w:rFonts w:eastAsia="Times New Roman" w:cs="Times New Roman"/>
          <w:lang w:eastAsia="de-DE"/>
        </w:rPr>
        <w:t xml:space="preserve">(vor JHWH gegen das Angesicht des Vorhangs des Heiligtums) spezifiziert die Richtung. </w:t>
      </w:r>
      <w:r w:rsidRPr="00577688">
        <w:rPr>
          <w:rFonts w:eastAsia="Times New Roman" w:cs="Times New Roman"/>
          <w:b/>
          <w:bCs/>
          <w:rtl/>
          <w:lang w:eastAsia="de-DE"/>
        </w:rPr>
        <w:t>פָּרֹכֶת</w:t>
      </w:r>
      <w:r w:rsidRPr="00577688">
        <w:rPr>
          <w:rFonts w:eastAsia="Times New Roman" w:cs="Times New Roman"/>
          <w:rtl/>
          <w:lang w:eastAsia="de-DE"/>
        </w:rPr>
        <w:t xml:space="preserve"> </w:t>
      </w:r>
      <w:r w:rsidRPr="00577688">
        <w:rPr>
          <w:rFonts w:eastAsia="Times New Roman" w:cs="Times New Roman"/>
          <w:lang w:eastAsia="de-DE"/>
        </w:rPr>
        <w:t xml:space="preserve">(Vorhang) trennt das Heilige vom Allerheiligsten. </w:t>
      </w:r>
      <w:r w:rsidRPr="00577688">
        <w:rPr>
          <w:rFonts w:eastAsia="Times New Roman" w:cs="Times New Roman"/>
          <w:b/>
          <w:bCs/>
          <w:rtl/>
          <w:lang w:eastAsia="de-DE"/>
        </w:rPr>
        <w:t>פְּנֵי</w:t>
      </w:r>
      <w:r w:rsidRPr="00577688">
        <w:rPr>
          <w:rFonts w:eastAsia="Times New Roman" w:cs="Times New Roman"/>
          <w:rtl/>
          <w:lang w:eastAsia="de-DE"/>
        </w:rPr>
        <w:t xml:space="preserve"> </w:t>
      </w:r>
      <w:r w:rsidRPr="00577688">
        <w:rPr>
          <w:rFonts w:eastAsia="Times New Roman" w:cs="Times New Roman"/>
          <w:lang w:eastAsia="de-DE"/>
        </w:rPr>
        <w:t xml:space="preserve">(Angesicht/Vorderseite), </w:t>
      </w:r>
      <w:r w:rsidRPr="00577688">
        <w:rPr>
          <w:rFonts w:eastAsia="Times New Roman" w:cs="Times New Roman"/>
          <w:b/>
          <w:bCs/>
          <w:rtl/>
          <w:lang w:eastAsia="de-DE"/>
        </w:rPr>
        <w:t>קֹדֶשׁ</w:t>
      </w:r>
      <w:r w:rsidRPr="00577688">
        <w:rPr>
          <w:rFonts w:eastAsia="Times New Roman" w:cs="Times New Roman"/>
          <w:rtl/>
          <w:lang w:eastAsia="de-DE"/>
        </w:rPr>
        <w:t xml:space="preserve"> </w:t>
      </w:r>
      <w:r w:rsidRPr="00577688">
        <w:rPr>
          <w:rFonts w:eastAsia="Times New Roman" w:cs="Times New Roman"/>
          <w:lang w:eastAsia="de-DE"/>
        </w:rPr>
        <w:t>(Heiligtum).</w:t>
      </w:r>
    </w:p>
    <w:p w14:paraId="06EC102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טבל אצבעו בדם</w:t>
      </w:r>
      <w:r w:rsidRPr="00577688">
        <w:rPr>
          <w:rFonts w:eastAsia="Times New Roman" w:cs="Times New Roman"/>
          <w:rtl/>
          <w:lang w:eastAsia="de-DE"/>
        </w:rPr>
        <w:t xml:space="preserve"> </w:t>
      </w:r>
      <w:r w:rsidRPr="00577688">
        <w:rPr>
          <w:rFonts w:eastAsia="Times New Roman" w:cs="Times New Roman"/>
          <w:lang w:eastAsia="de-DE"/>
        </w:rPr>
        <w:t xml:space="preserve">(seinen Finger ins Blut tauchen) ist eine präzise rituelle Handlung für kontrollierte Blutsprengung. </w:t>
      </w:r>
      <w:r w:rsidRPr="00577688">
        <w:rPr>
          <w:rFonts w:eastAsia="Times New Roman" w:cs="Times New Roman"/>
          <w:b/>
          <w:bCs/>
          <w:rtl/>
          <w:lang w:eastAsia="de-DE"/>
        </w:rPr>
        <w:t>שבע פעמים</w:t>
      </w:r>
      <w:r w:rsidRPr="00577688">
        <w:rPr>
          <w:rFonts w:eastAsia="Times New Roman" w:cs="Times New Roman"/>
          <w:rtl/>
          <w:lang w:eastAsia="de-DE"/>
        </w:rPr>
        <w:t xml:space="preserve"> </w:t>
      </w:r>
      <w:r w:rsidRPr="00577688">
        <w:rPr>
          <w:rFonts w:eastAsia="Times New Roman" w:cs="Times New Roman"/>
          <w:lang w:eastAsia="de-DE"/>
        </w:rPr>
        <w:t>(siebenmal) als Vollkommenheitszahl betont die vollständige Sühnung.</w:t>
      </w:r>
    </w:p>
    <w:p w14:paraId="2934DA2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פרכת הקדש</w:t>
      </w:r>
      <w:r w:rsidRPr="00577688">
        <w:rPr>
          <w:rFonts w:eastAsia="Times New Roman" w:cs="Times New Roman"/>
          <w:rtl/>
          <w:lang w:eastAsia="de-DE"/>
        </w:rPr>
        <w:t xml:space="preserve"> </w:t>
      </w:r>
      <w:r w:rsidRPr="00577688">
        <w:rPr>
          <w:rFonts w:eastAsia="Times New Roman" w:cs="Times New Roman"/>
          <w:lang w:eastAsia="de-DE"/>
        </w:rPr>
        <w:t xml:space="preserve">(Vorhang des Heiligtums) ist der Trennvorhang zwischen </w:t>
      </w:r>
      <w:r w:rsidRPr="00577688">
        <w:rPr>
          <w:rFonts w:eastAsia="Times New Roman" w:cs="Times New Roman"/>
          <w:b/>
          <w:bCs/>
          <w:rtl/>
          <w:lang w:eastAsia="de-DE"/>
        </w:rPr>
        <w:t>קדש</w:t>
      </w:r>
      <w:r w:rsidRPr="00577688">
        <w:rPr>
          <w:rFonts w:eastAsia="Times New Roman" w:cs="Times New Roman"/>
          <w:rtl/>
          <w:lang w:eastAsia="de-DE"/>
        </w:rPr>
        <w:t xml:space="preserve"> </w:t>
      </w:r>
      <w:r w:rsidRPr="00577688">
        <w:rPr>
          <w:rFonts w:eastAsia="Times New Roman" w:cs="Times New Roman"/>
          <w:lang w:eastAsia="de-DE"/>
        </w:rPr>
        <w:t xml:space="preserve">(Heiligem) und </w:t>
      </w:r>
      <w:r w:rsidRPr="00577688">
        <w:rPr>
          <w:rFonts w:eastAsia="Times New Roman" w:cs="Times New Roman"/>
          <w:b/>
          <w:bCs/>
          <w:rtl/>
          <w:lang w:eastAsia="de-DE"/>
        </w:rPr>
        <w:t>קדש קדשים</w:t>
      </w:r>
      <w:r w:rsidRPr="00577688">
        <w:rPr>
          <w:rFonts w:eastAsia="Times New Roman" w:cs="Times New Roman"/>
          <w:rtl/>
          <w:lang w:eastAsia="de-DE"/>
        </w:rPr>
        <w:t xml:space="preserve"> </w:t>
      </w:r>
      <w:r w:rsidRPr="00577688">
        <w:rPr>
          <w:rFonts w:eastAsia="Times New Roman" w:cs="Times New Roman"/>
          <w:lang w:eastAsia="de-DE"/>
        </w:rPr>
        <w:t xml:space="preserve">(Allerheiligstem). Die Blutsprengung </w:t>
      </w:r>
      <w:r w:rsidRPr="00577688">
        <w:rPr>
          <w:rFonts w:eastAsia="Times New Roman" w:cs="Times New Roman"/>
          <w:b/>
          <w:bCs/>
          <w:rtl/>
          <w:lang w:eastAsia="de-DE"/>
        </w:rPr>
        <w:t>את־פני פרכת</w:t>
      </w:r>
      <w:r w:rsidRPr="00577688">
        <w:rPr>
          <w:rFonts w:eastAsia="Times New Roman" w:cs="Times New Roman"/>
          <w:rtl/>
          <w:lang w:eastAsia="de-DE"/>
        </w:rPr>
        <w:t xml:space="preserve"> </w:t>
      </w:r>
      <w:r w:rsidRPr="00577688">
        <w:rPr>
          <w:rFonts w:eastAsia="Times New Roman" w:cs="Times New Roman"/>
          <w:lang w:eastAsia="de-DE"/>
        </w:rPr>
        <w:t>(gegen das Angesicht des Vorhangs) erfolgt von der Heiligen Seite.</w:t>
      </w:r>
    </w:p>
    <w:p w14:paraId="6BA0C04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וְטָבַ֧ל</w:t>
      </w:r>
      <w:r w:rsidRPr="00577688">
        <w:rPr>
          <w:rFonts w:eastAsia="Times New Roman" w:cs="Times New Roman"/>
          <w:rtl/>
          <w:lang w:eastAsia="de-DE"/>
        </w:rPr>
        <w:t xml:space="preserve"> </w:t>
      </w:r>
      <w:r w:rsidRPr="00577688">
        <w:rPr>
          <w:rFonts w:eastAsia="Times New Roman" w:cs="Times New Roman"/>
          <w:lang w:eastAsia="de-DE"/>
        </w:rPr>
        <w:t>mit καὶ β</w:t>
      </w:r>
      <w:proofErr w:type="spellStart"/>
      <w:r w:rsidRPr="00577688">
        <w:rPr>
          <w:rFonts w:eastAsia="Times New Roman" w:cs="Times New Roman"/>
          <w:lang w:eastAsia="de-DE"/>
        </w:rPr>
        <w:t>άψει</w:t>
      </w:r>
      <w:proofErr w:type="spellEnd"/>
      <w:r w:rsidRPr="00577688">
        <w:rPr>
          <w:rFonts w:eastAsia="Times New Roman" w:cs="Times New Roman"/>
          <w:lang w:eastAsia="de-DE"/>
        </w:rPr>
        <w:t xml:space="preserve"> (und er soll eintauchen), </w:t>
      </w:r>
      <w:r w:rsidRPr="00577688">
        <w:rPr>
          <w:rFonts w:eastAsia="Times New Roman" w:cs="Times New Roman"/>
          <w:b/>
          <w:bCs/>
          <w:rtl/>
          <w:lang w:eastAsia="de-DE"/>
        </w:rPr>
        <w:t>וְהִזָּ֨ה</w:t>
      </w:r>
      <w:r w:rsidRPr="00577688">
        <w:rPr>
          <w:rFonts w:eastAsia="Times New Roman" w:cs="Times New Roman"/>
          <w:rtl/>
          <w:lang w:eastAsia="de-DE"/>
        </w:rPr>
        <w:t xml:space="preserve"> </w:t>
      </w:r>
      <w:r w:rsidRPr="00577688">
        <w:rPr>
          <w:rFonts w:eastAsia="Times New Roman" w:cs="Times New Roman"/>
          <w:lang w:eastAsia="de-DE"/>
        </w:rPr>
        <w:t>mit καὶ ῥα</w:t>
      </w:r>
      <w:proofErr w:type="spellStart"/>
      <w:r w:rsidRPr="00577688">
        <w:rPr>
          <w:rFonts w:eastAsia="Times New Roman" w:cs="Times New Roman"/>
          <w:lang w:eastAsia="de-DE"/>
        </w:rPr>
        <w:t>νεῖ</w:t>
      </w:r>
      <w:proofErr w:type="spellEnd"/>
      <w:r w:rsidRPr="00577688">
        <w:rPr>
          <w:rFonts w:eastAsia="Times New Roman" w:cs="Times New Roman"/>
          <w:lang w:eastAsia="de-DE"/>
        </w:rPr>
        <w:t xml:space="preserve"> (und er soll spritzen) und </w:t>
      </w:r>
      <w:r w:rsidRPr="00577688">
        <w:rPr>
          <w:rFonts w:eastAsia="Times New Roman" w:cs="Times New Roman"/>
          <w:b/>
          <w:bCs/>
          <w:rtl/>
          <w:lang w:eastAsia="de-DE"/>
        </w:rPr>
        <w:t>פָּרֹ֥כֶת</w:t>
      </w:r>
      <w:r w:rsidRPr="00577688">
        <w:rPr>
          <w:rFonts w:eastAsia="Times New Roman" w:cs="Times New Roman"/>
          <w:rtl/>
          <w:lang w:eastAsia="de-DE"/>
        </w:rPr>
        <w:t xml:space="preserve"> </w:t>
      </w:r>
      <w:r w:rsidRPr="00577688">
        <w:rPr>
          <w:rFonts w:eastAsia="Times New Roman" w:cs="Times New Roman"/>
          <w:lang w:eastAsia="de-DE"/>
        </w:rPr>
        <w:t>mit καταπ</w:t>
      </w:r>
      <w:proofErr w:type="spellStart"/>
      <w:r w:rsidRPr="00577688">
        <w:rPr>
          <w:rFonts w:eastAsia="Times New Roman" w:cs="Times New Roman"/>
          <w:lang w:eastAsia="de-DE"/>
        </w:rPr>
        <w:t>έτ</w:t>
      </w:r>
      <w:proofErr w:type="spellEnd"/>
      <w:r w:rsidRPr="00577688">
        <w:rPr>
          <w:rFonts w:eastAsia="Times New Roman" w:cs="Times New Roman"/>
          <w:lang w:eastAsia="de-DE"/>
        </w:rPr>
        <w:t>ασμα (Vorhang).</w:t>
      </w:r>
    </w:p>
    <w:p w14:paraId="10FE89D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Subjekt + Objekt + Präpositionalphrase // Verb + Präpositionalphrase + Adverbialbestimmung + Adverbialbestimmung + Objekt. Die detaillierte Ortsangabe betont die Präzision des Rituals.</w:t>
      </w:r>
    </w:p>
    <w:p w14:paraId="0FFBC42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beschreibt das zentrale Sühnritual für Hohenpriester-</w:t>
      </w:r>
      <w:r w:rsidRPr="00577688">
        <w:rPr>
          <w:rFonts w:eastAsia="Times New Roman" w:cs="Times New Roman"/>
          <w:b/>
          <w:bCs/>
          <w:rtl/>
          <w:lang w:eastAsia="de-DE"/>
        </w:rPr>
        <w:t>חטאת</w:t>
      </w:r>
      <w:r w:rsidRPr="00577688">
        <w:rPr>
          <w:rFonts w:eastAsia="Times New Roman" w:cs="Times New Roman"/>
          <w:lang w:eastAsia="de-DE"/>
        </w:rPr>
        <w:t xml:space="preserve">: siebenmalige Blutsprengung vor dem </w:t>
      </w:r>
      <w:r w:rsidRPr="00577688">
        <w:rPr>
          <w:rFonts w:eastAsia="Times New Roman" w:cs="Times New Roman"/>
          <w:b/>
          <w:bCs/>
          <w:rtl/>
          <w:lang w:eastAsia="de-DE"/>
        </w:rPr>
        <w:t>פָּרֹכֶת</w:t>
      </w:r>
      <w:r w:rsidRPr="00577688">
        <w:rPr>
          <w:rFonts w:eastAsia="Times New Roman" w:cs="Times New Roman"/>
          <w:rtl/>
          <w:lang w:eastAsia="de-DE"/>
        </w:rPr>
        <w:t xml:space="preserve"> </w:t>
      </w:r>
      <w:r w:rsidRPr="00577688">
        <w:rPr>
          <w:rFonts w:eastAsia="Times New Roman" w:cs="Times New Roman"/>
          <w:lang w:eastAsia="de-DE"/>
        </w:rPr>
        <w:t>im Heiligen des Heiligtums.</w:t>
      </w:r>
    </w:p>
    <w:p w14:paraId="48A17A24"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lastRenderedPageBreak/>
        <w:t>Leviticus 4,7</w:t>
      </w:r>
    </w:p>
    <w:p w14:paraId="75D78CB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וְנָתַן֩ הַכֹּהֵ֨ן מִן־הַדָּ֜ם עַל־קַ֠רְנוֹת מִזְבַּ֨ח קְטֹ֤רֶת הַסַּמִּים֙ לִפְנֵ֣י יְהוָ֔ה אֲשֶׁ֖ר בְּאֹ֣הֶל מוֹעֵ֑ד וְאֵ֣ת׀ כָּל־דַּ֣ם הַפָּ֗ר יִשְׁפֹּךְ֙ אֶל־יְסוֹד֙ מִזְבַּ֣ח הָעֹלָ֔ה אֲשֶׁר־פֶּ֖תַח אֹ֥הֶל מוֹעֵֽד׃</w:t>
      </w:r>
    </w:p>
    <w:p w14:paraId="693E604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von dem Blut an die Hörner des Altars des wohlriechenden Räucherwerks, der im Zelt der Begegnung ist, vor dem Ewigen tun; und alles Blut des Stieres soll er an den Fuß des Aufsteigeopferaltars gießen, der an dem Eingang des Zeltes der Begegnung ist.</w:t>
      </w:r>
    </w:p>
    <w:p w14:paraId="1900AAA9"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8174C91">
          <v:rect id="_x0000_i1081" style="width:0;height:1.5pt" o:hralign="center" o:hrstd="t" o:hr="t" fillcolor="#a0a0a0" stroked="f"/>
        </w:pict>
      </w:r>
    </w:p>
    <w:p w14:paraId="499FDC9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וְנָתַן֩ הַכֹּהֵ֨ן מִן־הַדָּ֜ם</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von dem Blut geben/setzen) zeigt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(geben/setzen) im Qal-Perfekt mit Waw-Konsekutiv. </w:t>
      </w:r>
      <w:r w:rsidRPr="00577688">
        <w:rPr>
          <w:rFonts w:eastAsia="Times New Roman" w:cs="Times New Roman"/>
          <w:b/>
          <w:bCs/>
          <w:rtl/>
          <w:lang w:eastAsia="de-DE"/>
        </w:rPr>
        <w:t>מִן־הַדָּם</w:t>
      </w:r>
      <w:r w:rsidRPr="00577688">
        <w:rPr>
          <w:rFonts w:eastAsia="Times New Roman" w:cs="Times New Roman"/>
          <w:rtl/>
          <w:lang w:eastAsia="de-DE"/>
        </w:rPr>
        <w:t xml:space="preserve"> </w:t>
      </w:r>
      <w:r w:rsidRPr="00577688">
        <w:rPr>
          <w:rFonts w:eastAsia="Times New Roman" w:cs="Times New Roman"/>
          <w:lang w:eastAsia="de-DE"/>
        </w:rPr>
        <w:t xml:space="preserve">(von dem Blut) partitiv. </w:t>
      </w:r>
      <w:r w:rsidRPr="00577688">
        <w:rPr>
          <w:rFonts w:eastAsia="Times New Roman" w:cs="Times New Roman"/>
          <w:b/>
          <w:bCs/>
          <w:rtl/>
          <w:lang w:eastAsia="de-DE"/>
        </w:rPr>
        <w:t>עַל־קַ֠רְנוֹת מִזְבַּ֨ח קְטֹ֤רֶת הַסַּמִּים֙</w:t>
      </w:r>
      <w:r w:rsidRPr="00577688">
        <w:rPr>
          <w:rFonts w:eastAsia="Times New Roman" w:cs="Times New Roman"/>
          <w:rtl/>
          <w:lang w:eastAsia="de-DE"/>
        </w:rPr>
        <w:t xml:space="preserve"> </w:t>
      </w:r>
      <w:r w:rsidRPr="00577688">
        <w:rPr>
          <w:rFonts w:eastAsia="Times New Roman" w:cs="Times New Roman"/>
          <w:lang w:eastAsia="de-DE"/>
        </w:rPr>
        <w:t>(an die Hörner des Räucheraltars) spezifiziert den Ort.</w:t>
      </w:r>
    </w:p>
    <w:p w14:paraId="14DDE2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מִזְבַּ֨ח קְטֹ֤רֶת הַסַּמִּים֙</w:t>
      </w:r>
      <w:r w:rsidRPr="00577688">
        <w:rPr>
          <w:rFonts w:eastAsia="Times New Roman" w:cs="Times New Roman"/>
          <w:rtl/>
          <w:lang w:eastAsia="de-DE"/>
        </w:rPr>
        <w:t xml:space="preserve"> </w:t>
      </w:r>
      <w:r w:rsidRPr="00577688">
        <w:rPr>
          <w:rFonts w:eastAsia="Times New Roman" w:cs="Times New Roman"/>
          <w:lang w:eastAsia="de-DE"/>
        </w:rPr>
        <w:t xml:space="preserve">(Altar des wohlriechenden Räucherwerks) ist der goldene Räucheraltar im Heiligen. </w:t>
      </w:r>
      <w:r w:rsidRPr="00577688">
        <w:rPr>
          <w:rFonts w:eastAsia="Times New Roman" w:cs="Times New Roman"/>
          <w:b/>
          <w:bCs/>
          <w:rtl/>
          <w:lang w:eastAsia="de-DE"/>
        </w:rPr>
        <w:t>קְטֹרֶת</w:t>
      </w:r>
      <w:r w:rsidRPr="00577688">
        <w:rPr>
          <w:rFonts w:eastAsia="Times New Roman" w:cs="Times New Roman"/>
          <w:rtl/>
          <w:lang w:eastAsia="de-DE"/>
        </w:rPr>
        <w:t xml:space="preserve"> </w:t>
      </w:r>
      <w:r w:rsidRPr="00577688">
        <w:rPr>
          <w:rFonts w:eastAsia="Times New Roman" w:cs="Times New Roman"/>
          <w:lang w:eastAsia="de-DE"/>
        </w:rPr>
        <w:t xml:space="preserve">(Räucherwerk) von </w:t>
      </w:r>
      <w:r w:rsidRPr="00577688">
        <w:rPr>
          <w:rFonts w:eastAsia="Times New Roman" w:cs="Times New Roman"/>
          <w:b/>
          <w:bCs/>
          <w:rtl/>
          <w:lang w:eastAsia="de-DE"/>
        </w:rPr>
        <w:t>קטר</w:t>
      </w:r>
      <w:r w:rsidRPr="00577688">
        <w:rPr>
          <w:rFonts w:eastAsia="Times New Roman" w:cs="Times New Roman"/>
          <w:rtl/>
          <w:lang w:eastAsia="de-DE"/>
        </w:rPr>
        <w:t xml:space="preserve"> </w:t>
      </w:r>
      <w:r w:rsidRPr="00577688">
        <w:rPr>
          <w:rFonts w:eastAsia="Times New Roman" w:cs="Times New Roman"/>
          <w:lang w:eastAsia="de-DE"/>
        </w:rPr>
        <w:t xml:space="preserve">(räuchern), </w:t>
      </w:r>
      <w:r w:rsidRPr="00577688">
        <w:rPr>
          <w:rFonts w:eastAsia="Times New Roman" w:cs="Times New Roman"/>
          <w:b/>
          <w:bCs/>
          <w:rtl/>
          <w:lang w:eastAsia="de-DE"/>
        </w:rPr>
        <w:t>סַמִּים</w:t>
      </w:r>
      <w:r w:rsidRPr="00577688">
        <w:rPr>
          <w:rFonts w:eastAsia="Times New Roman" w:cs="Times New Roman"/>
          <w:rtl/>
          <w:lang w:eastAsia="de-DE"/>
        </w:rPr>
        <w:t xml:space="preserve"> </w:t>
      </w:r>
      <w:r w:rsidRPr="00577688">
        <w:rPr>
          <w:rFonts w:eastAsia="Times New Roman" w:cs="Times New Roman"/>
          <w:lang w:eastAsia="de-DE"/>
        </w:rPr>
        <w:t xml:space="preserve">(Gewürze/Wohlgerüche). </w:t>
      </w:r>
      <w:r w:rsidRPr="00577688">
        <w:rPr>
          <w:rFonts w:eastAsia="Times New Roman" w:cs="Times New Roman"/>
          <w:b/>
          <w:bCs/>
          <w:rtl/>
          <w:lang w:eastAsia="de-DE"/>
        </w:rPr>
        <w:t>לִפְנֵ֣י יְהוָ֔ה אֲשֶׁ֖ר בְּאֹ֣הֶל מוֹעֵ֑ד</w:t>
      </w:r>
      <w:r w:rsidRPr="00577688">
        <w:rPr>
          <w:rFonts w:eastAsia="Times New Roman" w:cs="Times New Roman"/>
          <w:rtl/>
          <w:lang w:eastAsia="de-DE"/>
        </w:rPr>
        <w:t xml:space="preserve"> </w:t>
      </w:r>
      <w:r w:rsidRPr="00577688">
        <w:rPr>
          <w:rFonts w:eastAsia="Times New Roman" w:cs="Times New Roman"/>
          <w:lang w:eastAsia="de-DE"/>
        </w:rPr>
        <w:t>(vor JHWH, der im Zelt der Begegnung ist) lokalisiert den Altar.</w:t>
      </w:r>
    </w:p>
    <w:p w14:paraId="1F4DB036" w14:textId="1103B62B"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וְאֵ֣ת׀ כָּל־דַּ֣ם הַפָּ֗ר יִשְׁפֹּךְ֙</w:t>
      </w:r>
      <w:r w:rsidRPr="00577688">
        <w:rPr>
          <w:rFonts w:eastAsia="Times New Roman" w:cs="Times New Roman"/>
          <w:rtl/>
          <w:lang w:eastAsia="de-DE"/>
        </w:rPr>
        <w:t xml:space="preserve"> </w:t>
      </w:r>
      <w:r w:rsidRPr="00577688">
        <w:rPr>
          <w:rFonts w:eastAsia="Times New Roman" w:cs="Times New Roman"/>
          <w:lang w:eastAsia="de-DE"/>
        </w:rPr>
        <w:t xml:space="preserve">(und alles Blut des Stieres soll er ausgießen) zeigt </w:t>
      </w:r>
      <w:r w:rsidRPr="00577688">
        <w:rPr>
          <w:rFonts w:eastAsia="Times New Roman" w:cs="Times New Roman"/>
          <w:b/>
          <w:bCs/>
          <w:rtl/>
          <w:lang w:eastAsia="de-DE"/>
        </w:rPr>
        <w:t>שפך</w:t>
      </w:r>
      <w:r w:rsidRPr="00577688">
        <w:rPr>
          <w:rFonts w:eastAsia="Times New Roman" w:cs="Times New Roman"/>
          <w:rtl/>
          <w:lang w:eastAsia="de-DE"/>
        </w:rPr>
        <w:t xml:space="preserve"> </w:t>
      </w:r>
      <w:r w:rsidRPr="00577688">
        <w:rPr>
          <w:rFonts w:eastAsia="Times New Roman" w:cs="Times New Roman"/>
          <w:lang w:eastAsia="de-DE"/>
        </w:rPr>
        <w:t xml:space="preserve">(ausgießen) im Qal-Imperfekt 3. Person maskulin Singular. </w:t>
      </w:r>
      <w:r w:rsidRPr="00577688">
        <w:rPr>
          <w:rFonts w:eastAsia="Times New Roman" w:cs="Times New Roman"/>
          <w:b/>
          <w:bCs/>
          <w:rtl/>
          <w:lang w:eastAsia="de-DE"/>
        </w:rPr>
        <w:t>כל־דם</w:t>
      </w:r>
      <w:r w:rsidRPr="00577688">
        <w:rPr>
          <w:rFonts w:eastAsia="Times New Roman" w:cs="Times New Roman"/>
          <w:rtl/>
          <w:lang w:eastAsia="de-DE"/>
        </w:rPr>
        <w:t xml:space="preserve"> </w:t>
      </w:r>
      <w:r w:rsidRPr="00577688">
        <w:rPr>
          <w:rFonts w:eastAsia="Times New Roman" w:cs="Times New Roman"/>
          <w:lang w:eastAsia="de-DE"/>
        </w:rPr>
        <w:t xml:space="preserve">(alles Blut) betont die Vollständigkeit. </w:t>
      </w:r>
      <w:r w:rsidRPr="00577688">
        <w:rPr>
          <w:rFonts w:eastAsia="Times New Roman" w:cs="Times New Roman"/>
          <w:b/>
          <w:bCs/>
          <w:rtl/>
          <w:lang w:eastAsia="de-DE"/>
        </w:rPr>
        <w:t>אֶל־יְסוֹד֙ מִזְבַּ֣ח הָעֹלָ֔ה</w:t>
      </w:r>
      <w:r w:rsidRPr="00577688">
        <w:rPr>
          <w:rFonts w:eastAsia="Times New Roman" w:cs="Times New Roman"/>
          <w:rtl/>
          <w:lang w:eastAsia="de-DE"/>
        </w:rPr>
        <w:t xml:space="preserve"> </w:t>
      </w:r>
      <w:r w:rsidRPr="00577688">
        <w:rPr>
          <w:rFonts w:eastAsia="Times New Roman" w:cs="Times New Roman"/>
          <w:lang w:eastAsia="de-DE"/>
        </w:rPr>
        <w:t xml:space="preserve">(an den Fuß des </w:t>
      </w:r>
      <w:r w:rsidR="00CF10E7">
        <w:rPr>
          <w:rFonts w:eastAsia="Times New Roman" w:cs="Times New Roman"/>
          <w:lang w:eastAsia="de-DE"/>
        </w:rPr>
        <w:t>Aufsteigeopfer</w:t>
      </w:r>
      <w:r w:rsidRPr="00577688">
        <w:rPr>
          <w:rFonts w:eastAsia="Times New Roman" w:cs="Times New Roman"/>
          <w:lang w:eastAsia="de-DE"/>
        </w:rPr>
        <w:t>altars) spezifiziert das Ziel.</w:t>
      </w:r>
    </w:p>
    <w:p w14:paraId="026DC54A" w14:textId="2FB33AC0"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קרנות מזבח קטרת</w:t>
      </w:r>
      <w:r w:rsidRPr="00577688">
        <w:rPr>
          <w:rFonts w:eastAsia="Times New Roman" w:cs="Times New Roman"/>
          <w:rtl/>
          <w:lang w:eastAsia="de-DE"/>
        </w:rPr>
        <w:t xml:space="preserve"> </w:t>
      </w:r>
      <w:r w:rsidRPr="00577688">
        <w:rPr>
          <w:rFonts w:eastAsia="Times New Roman" w:cs="Times New Roman"/>
          <w:lang w:eastAsia="de-DE"/>
        </w:rPr>
        <w:t xml:space="preserve">(Hörner des Räucheraltars) sind die vier erhöhten Ecken des goldenen Altars. </w:t>
      </w:r>
      <w:r w:rsidRPr="00577688">
        <w:rPr>
          <w:rFonts w:eastAsia="Times New Roman" w:cs="Times New Roman"/>
          <w:b/>
          <w:bCs/>
          <w:rtl/>
          <w:lang w:eastAsia="de-DE"/>
        </w:rPr>
        <w:t>נתן דם על קרנות</w:t>
      </w:r>
      <w:r w:rsidRPr="00577688">
        <w:rPr>
          <w:rFonts w:eastAsia="Times New Roman" w:cs="Times New Roman"/>
          <w:rtl/>
          <w:lang w:eastAsia="de-DE"/>
        </w:rPr>
        <w:t xml:space="preserve"> </w:t>
      </w:r>
      <w:r w:rsidRPr="00577688">
        <w:rPr>
          <w:rFonts w:eastAsia="Times New Roman" w:cs="Times New Roman"/>
          <w:lang w:eastAsia="de-DE"/>
        </w:rPr>
        <w:t xml:space="preserve">(Blut an die Hörner setzen) ist spezifischer Ritus für schwere </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יסוד מזבח העלה</w:t>
      </w:r>
      <w:r w:rsidRPr="00577688">
        <w:rPr>
          <w:rFonts w:eastAsia="Times New Roman" w:cs="Times New Roman"/>
          <w:rtl/>
          <w:lang w:eastAsia="de-DE"/>
        </w:rPr>
        <w:t xml:space="preserve"> </w:t>
      </w:r>
      <w:r w:rsidRPr="00577688">
        <w:rPr>
          <w:rFonts w:eastAsia="Times New Roman" w:cs="Times New Roman"/>
          <w:lang w:eastAsia="de-DE"/>
        </w:rPr>
        <w:t xml:space="preserve">(Fuß des </w:t>
      </w:r>
      <w:r w:rsidR="00CF10E7">
        <w:rPr>
          <w:rFonts w:eastAsia="Times New Roman" w:cs="Times New Roman"/>
          <w:lang w:eastAsia="de-DE"/>
        </w:rPr>
        <w:t>Aufsteigeopfer</w:t>
      </w:r>
      <w:r w:rsidRPr="00577688">
        <w:rPr>
          <w:rFonts w:eastAsia="Times New Roman" w:cs="Times New Roman"/>
          <w:lang w:eastAsia="de-DE"/>
        </w:rPr>
        <w:t>altars) ist die Basis des kupfernen Außenaltars.</w:t>
      </w:r>
    </w:p>
    <w:p w14:paraId="483647CD" w14:textId="302219A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Das Blutverfahren zeigt zweifache Verwendung: Erstens </w:t>
      </w:r>
      <w:r w:rsidRPr="00577688">
        <w:rPr>
          <w:rFonts w:eastAsia="Times New Roman" w:cs="Times New Roman"/>
          <w:b/>
          <w:bCs/>
          <w:rtl/>
          <w:lang w:eastAsia="de-DE"/>
        </w:rPr>
        <w:t>נתן על קרנות</w:t>
      </w:r>
      <w:r w:rsidRPr="00577688">
        <w:rPr>
          <w:rFonts w:eastAsia="Times New Roman" w:cs="Times New Roman"/>
          <w:rtl/>
          <w:lang w:eastAsia="de-DE"/>
        </w:rPr>
        <w:t xml:space="preserve"> </w:t>
      </w:r>
      <w:r w:rsidRPr="00577688">
        <w:rPr>
          <w:rFonts w:eastAsia="Times New Roman" w:cs="Times New Roman"/>
          <w:lang w:eastAsia="de-DE"/>
        </w:rPr>
        <w:t xml:space="preserve">(an die Hörner setzen) am Räucheraltar im Heiligen, zweitens </w:t>
      </w:r>
      <w:r w:rsidRPr="00577688">
        <w:rPr>
          <w:rFonts w:eastAsia="Times New Roman" w:cs="Times New Roman"/>
          <w:b/>
          <w:bCs/>
          <w:rtl/>
          <w:lang w:eastAsia="de-DE"/>
        </w:rPr>
        <w:t>שפך אל יסוד</w:t>
      </w:r>
      <w:r w:rsidRPr="00577688">
        <w:rPr>
          <w:rFonts w:eastAsia="Times New Roman" w:cs="Times New Roman"/>
          <w:rtl/>
          <w:lang w:eastAsia="de-DE"/>
        </w:rPr>
        <w:t xml:space="preserve"> </w:t>
      </w:r>
      <w:r w:rsidRPr="00577688">
        <w:rPr>
          <w:rFonts w:eastAsia="Times New Roman" w:cs="Times New Roman"/>
          <w:lang w:eastAsia="de-DE"/>
        </w:rPr>
        <w:t xml:space="preserve">(ausgießen an den Fuß) am </w:t>
      </w:r>
      <w:r w:rsidR="00CF10E7">
        <w:rPr>
          <w:rFonts w:eastAsia="Times New Roman" w:cs="Times New Roman"/>
          <w:lang w:eastAsia="de-DE"/>
        </w:rPr>
        <w:t>Aufsteigeopfer</w:t>
      </w:r>
      <w:r w:rsidRPr="00577688">
        <w:rPr>
          <w:rFonts w:eastAsia="Times New Roman" w:cs="Times New Roman"/>
          <w:lang w:eastAsia="de-DE"/>
        </w:rPr>
        <w:t>altar im Vorhof.</w:t>
      </w:r>
    </w:p>
    <w:p w14:paraId="20E5F212" w14:textId="2CA976B3"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אֲשֶׁר־פֶּ֖תַח אֹ֥הֶל מוֹעֵֽד</w:t>
      </w:r>
      <w:r w:rsidRPr="00577688">
        <w:rPr>
          <w:rFonts w:eastAsia="Times New Roman" w:cs="Times New Roman"/>
          <w:rtl/>
          <w:lang w:eastAsia="de-DE"/>
        </w:rPr>
        <w:t xml:space="preserve"> </w:t>
      </w:r>
      <w:r w:rsidRPr="00577688">
        <w:rPr>
          <w:rFonts w:eastAsia="Times New Roman" w:cs="Times New Roman"/>
          <w:lang w:eastAsia="de-DE"/>
        </w:rPr>
        <w:t xml:space="preserve">(der am Eingang des Zeltes der Begegnung ist) lokalisiert den </w:t>
      </w:r>
      <w:r w:rsidR="00CF10E7">
        <w:rPr>
          <w:rFonts w:eastAsia="Times New Roman" w:cs="Times New Roman"/>
          <w:lang w:eastAsia="de-DE"/>
        </w:rPr>
        <w:t>Aufsteigeopfer</w:t>
      </w:r>
      <w:r w:rsidRPr="00577688">
        <w:rPr>
          <w:rFonts w:eastAsia="Times New Roman" w:cs="Times New Roman"/>
          <w:lang w:eastAsia="de-DE"/>
        </w:rPr>
        <w:t xml:space="preserve">altar. Der Kontrast zwischen </w:t>
      </w:r>
      <w:r w:rsidRPr="00577688">
        <w:rPr>
          <w:rFonts w:eastAsia="Times New Roman" w:cs="Times New Roman"/>
          <w:b/>
          <w:bCs/>
          <w:rtl/>
          <w:lang w:eastAsia="de-DE"/>
        </w:rPr>
        <w:t>בְּאֹ֣הֶל מוֹעֵ֑ד</w:t>
      </w:r>
      <w:r w:rsidRPr="00577688">
        <w:rPr>
          <w:rFonts w:eastAsia="Times New Roman" w:cs="Times New Roman"/>
          <w:rtl/>
          <w:lang w:eastAsia="de-DE"/>
        </w:rPr>
        <w:t xml:space="preserve"> </w:t>
      </w:r>
      <w:r w:rsidRPr="00577688">
        <w:rPr>
          <w:rFonts w:eastAsia="Times New Roman" w:cs="Times New Roman"/>
          <w:lang w:eastAsia="de-DE"/>
        </w:rPr>
        <w:t xml:space="preserve">(im Zelt der Begegnung) für den Räucheraltar und </w:t>
      </w:r>
      <w:r w:rsidRPr="00577688">
        <w:rPr>
          <w:rFonts w:eastAsia="Times New Roman" w:cs="Times New Roman"/>
          <w:b/>
          <w:bCs/>
          <w:rtl/>
          <w:lang w:eastAsia="de-DE"/>
        </w:rPr>
        <w:t>פֶּ֖תַח אֹ֥הֶל מוֹעֵֽד</w:t>
      </w:r>
      <w:r w:rsidRPr="00577688">
        <w:rPr>
          <w:rFonts w:eastAsia="Times New Roman" w:cs="Times New Roman"/>
          <w:rtl/>
          <w:lang w:eastAsia="de-DE"/>
        </w:rPr>
        <w:t xml:space="preserve"> </w:t>
      </w:r>
      <w:r w:rsidRPr="00577688">
        <w:rPr>
          <w:rFonts w:eastAsia="Times New Roman" w:cs="Times New Roman"/>
          <w:lang w:eastAsia="de-DE"/>
        </w:rPr>
        <w:t xml:space="preserve">(am Eingang des Zeltes der Begegnung) für den </w:t>
      </w:r>
      <w:r w:rsidR="00CF10E7">
        <w:rPr>
          <w:rFonts w:eastAsia="Times New Roman" w:cs="Times New Roman"/>
          <w:lang w:eastAsia="de-DE"/>
        </w:rPr>
        <w:t>Aufsteigeopfer</w:t>
      </w:r>
      <w:r w:rsidRPr="00577688">
        <w:rPr>
          <w:rFonts w:eastAsia="Times New Roman" w:cs="Times New Roman"/>
          <w:lang w:eastAsia="de-DE"/>
        </w:rPr>
        <w:t>altar zeigt deren unterschiedliche Positionen.</w:t>
      </w:r>
    </w:p>
    <w:p w14:paraId="30846931" w14:textId="3810536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spezifiziert </w:t>
      </w:r>
      <w:r w:rsidR="005070BF">
        <w:rPr>
          <w:rtl/>
        </w:rPr>
        <w:t>מזבח העלה</w:t>
      </w:r>
      <w:r w:rsidR="005070BF">
        <w:t xml:space="preserve"> (</w:t>
      </w:r>
      <w:proofErr w:type="spellStart"/>
      <w:r w:rsidR="005070BF">
        <w:t>mizbach</w:t>
      </w:r>
      <w:proofErr w:type="spellEnd"/>
      <w:r w:rsidR="005070BF">
        <w:t xml:space="preserve"> </w:t>
      </w:r>
      <w:proofErr w:type="spellStart"/>
      <w:r w:rsidR="005070BF">
        <w:t>ha'ola</w:t>
      </w:r>
      <w:proofErr w:type="spellEnd"/>
      <w:r w:rsidR="005070BF">
        <w:t xml:space="preserve"> - "</w:t>
      </w:r>
      <w:r w:rsidR="00D61FEC">
        <w:t>Aufsteigeopfer</w:t>
      </w:r>
      <w:r w:rsidR="005070BF">
        <w:t xml:space="preserve">altar") als </w:t>
      </w:r>
      <w:proofErr w:type="spellStart"/>
      <w:r w:rsidR="005070BF">
        <w:t>τοῦ</w:t>
      </w:r>
      <w:proofErr w:type="spellEnd"/>
      <w:r w:rsidR="005070BF">
        <w:t xml:space="preserve"> </w:t>
      </w:r>
      <w:proofErr w:type="spellStart"/>
      <w:r w:rsidR="005070BF">
        <w:t>θυσι</w:t>
      </w:r>
      <w:proofErr w:type="spellEnd"/>
      <w:r w:rsidR="005070BF">
        <w:t xml:space="preserve">αστηρίου </w:t>
      </w:r>
      <w:proofErr w:type="spellStart"/>
      <w:r w:rsidR="005070BF">
        <w:t>τῶν</w:t>
      </w:r>
      <w:proofErr w:type="spellEnd"/>
      <w:r w:rsidR="005070BF">
        <w:t xml:space="preserve"> </w:t>
      </w:r>
      <w:proofErr w:type="spellStart"/>
      <w:r w:rsidR="005070BF">
        <w:t>ὁλοκ</w:t>
      </w:r>
      <w:proofErr w:type="spellEnd"/>
      <w:r w:rsidR="005070BF">
        <w:t xml:space="preserve">αυτωμάτων (der Altar der </w:t>
      </w:r>
      <w:r w:rsidR="00D61FEC">
        <w:t>Aufsteigeopfer</w:t>
      </w:r>
      <w:r w:rsidR="005070BF">
        <w:t>), was eine klarstellende Ergänzung ist.</w:t>
      </w:r>
    </w:p>
    <w:p w14:paraId="62C44FA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Subjekt + Präpositionalphrase + komplexe Ortsangabe mit Relativsätzen // Objekt + Verb + Adverbialbestimmung + Ortsangabe mit Relativsatz. Die ausführlichen Ortsangaben betonen die liturgische Präzision.</w:t>
      </w:r>
    </w:p>
    <w:p w14:paraId="20314F48" w14:textId="0F62E55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beschreibt das </w:t>
      </w:r>
      <w:proofErr w:type="spellStart"/>
      <w:r w:rsidRPr="00577688">
        <w:rPr>
          <w:rFonts w:eastAsia="Times New Roman" w:cs="Times New Roman"/>
          <w:lang w:eastAsia="de-DE"/>
        </w:rPr>
        <w:t>zweifache</w:t>
      </w:r>
      <w:proofErr w:type="spellEnd"/>
      <w:r w:rsidRPr="00577688">
        <w:rPr>
          <w:rFonts w:eastAsia="Times New Roman" w:cs="Times New Roman"/>
          <w:lang w:eastAsia="de-DE"/>
        </w:rPr>
        <w:t xml:space="preserve"> Blutverfahren bei Hohenpriester-</w:t>
      </w:r>
      <w:r w:rsidRPr="00577688">
        <w:rPr>
          <w:rFonts w:eastAsia="Times New Roman" w:cs="Times New Roman"/>
          <w:b/>
          <w:bCs/>
          <w:rtl/>
          <w:lang w:eastAsia="de-DE"/>
        </w:rPr>
        <w:t>חטאת</w:t>
      </w:r>
      <w:r w:rsidRPr="00577688">
        <w:rPr>
          <w:rFonts w:eastAsia="Times New Roman" w:cs="Times New Roman"/>
          <w:lang w:eastAsia="de-DE"/>
        </w:rPr>
        <w:t xml:space="preserve">: heilige Anwendung am Räucheraltar und vollständige Entsorgung am </w:t>
      </w:r>
      <w:r w:rsidR="00CF10E7">
        <w:rPr>
          <w:rFonts w:eastAsia="Times New Roman" w:cs="Times New Roman"/>
          <w:lang w:eastAsia="de-DE"/>
        </w:rPr>
        <w:t>Aufsteigeopfer</w:t>
      </w:r>
      <w:r w:rsidRPr="00577688">
        <w:rPr>
          <w:rFonts w:eastAsia="Times New Roman" w:cs="Times New Roman"/>
          <w:lang w:eastAsia="de-DE"/>
        </w:rPr>
        <w:t>altar.</w:t>
      </w:r>
    </w:p>
    <w:p w14:paraId="5D2BD47D"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4,8</w:t>
      </w:r>
    </w:p>
    <w:p w14:paraId="758394D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Hebräisch:</w:t>
      </w:r>
      <w:r w:rsidRPr="00577688">
        <w:rPr>
          <w:rFonts w:eastAsia="Times New Roman" w:cs="Times New Roman"/>
          <w:lang w:eastAsia="de-DE"/>
        </w:rPr>
        <w:t xml:space="preserve"> </w:t>
      </w:r>
      <w:r w:rsidRPr="00577688">
        <w:rPr>
          <w:rFonts w:eastAsia="Times New Roman" w:cs="Times New Roman"/>
          <w:rtl/>
          <w:lang w:eastAsia="de-DE"/>
        </w:rPr>
        <w:t>וְאֶת־כָּל־חֵ֛לֶב פַּ֥ר הַֽחַטָּ֖את יָרִ֣ים מִמֶּ֑נּוּ אֶת־הַחֵ֨לֶב֙ הַֽמְכַסֶּ֣ה עַל־הַקֶּ֔רֶב וְאֵת֙ כָּל־הַחֵ֔לֶב אֲשֶׁ֖ר עַל־הַקֶּֽרֶב׃</w:t>
      </w:r>
    </w:p>
    <w:p w14:paraId="53F2D58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alles Fett von dem Stier des Sündopfers soll er von ihm abheben: Das Fett, welches das Eingeweide bedeckt, und alles Fett, das am Eingeweide ist,</w:t>
      </w:r>
    </w:p>
    <w:p w14:paraId="25F65D9B"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0BC2D9D1">
          <v:rect id="_x0000_i1082" style="width:0;height:1.5pt" o:hralign="center" o:hrstd="t" o:hr="t" fillcolor="#a0a0a0" stroked="f"/>
        </w:pict>
      </w:r>
    </w:p>
    <w:p w14:paraId="7771DA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וְאֶת־כָּל־חֵ֛לֶב פַּ֥ר הַֽחַטָּ֖את יָרִ֣ים מִמֶּ֑נּוּ</w:t>
      </w:r>
      <w:r w:rsidRPr="00577688">
        <w:rPr>
          <w:rFonts w:eastAsia="Times New Roman" w:cs="Times New Roman"/>
          <w:rtl/>
          <w:lang w:eastAsia="de-DE"/>
        </w:rPr>
        <w:t xml:space="preserve"> </w:t>
      </w:r>
      <w:r w:rsidRPr="00577688">
        <w:rPr>
          <w:rFonts w:eastAsia="Times New Roman" w:cs="Times New Roman"/>
          <w:lang w:eastAsia="de-DE"/>
        </w:rPr>
        <w:t xml:space="preserve">(und alles Fett des Sündopferstieres soll er von ihm abheben) zeigt </w:t>
      </w:r>
      <w:r w:rsidRPr="00577688">
        <w:rPr>
          <w:rFonts w:eastAsia="Times New Roman" w:cs="Times New Roman"/>
          <w:b/>
          <w:bCs/>
          <w:rtl/>
          <w:lang w:eastAsia="de-DE"/>
        </w:rPr>
        <w:t>רום</w:t>
      </w:r>
      <w:r w:rsidRPr="00577688">
        <w:rPr>
          <w:rFonts w:eastAsia="Times New Roman" w:cs="Times New Roman"/>
          <w:rtl/>
          <w:lang w:eastAsia="de-DE"/>
        </w:rPr>
        <w:t xml:space="preserve"> </w:t>
      </w:r>
      <w:r w:rsidRPr="00577688">
        <w:rPr>
          <w:rFonts w:eastAsia="Times New Roman" w:cs="Times New Roman"/>
          <w:lang w:eastAsia="de-DE"/>
        </w:rPr>
        <w:t xml:space="preserve">(erheben/abheben) im Hifil-Imperfekt 3. Person maskulin Singular. </w:t>
      </w:r>
      <w:r w:rsidRPr="00577688">
        <w:rPr>
          <w:rFonts w:eastAsia="Times New Roman" w:cs="Times New Roman"/>
          <w:b/>
          <w:bCs/>
          <w:rtl/>
          <w:lang w:eastAsia="de-DE"/>
        </w:rPr>
        <w:t>כל־חלב</w:t>
      </w:r>
      <w:r w:rsidRPr="00577688">
        <w:rPr>
          <w:rFonts w:eastAsia="Times New Roman" w:cs="Times New Roman"/>
          <w:rtl/>
          <w:lang w:eastAsia="de-DE"/>
        </w:rPr>
        <w:t xml:space="preserve"> </w:t>
      </w:r>
      <w:r w:rsidRPr="00577688">
        <w:rPr>
          <w:rFonts w:eastAsia="Times New Roman" w:cs="Times New Roman"/>
          <w:lang w:eastAsia="de-DE"/>
        </w:rPr>
        <w:t xml:space="preserve">(alles Fett) betont die Vollständigkeit, </w:t>
      </w:r>
      <w:r w:rsidRPr="00577688">
        <w:rPr>
          <w:rFonts w:eastAsia="Times New Roman" w:cs="Times New Roman"/>
          <w:b/>
          <w:bCs/>
          <w:rtl/>
          <w:lang w:eastAsia="de-DE"/>
        </w:rPr>
        <w:t>פַּר הַחַטָּאת</w:t>
      </w:r>
      <w:r w:rsidRPr="00577688">
        <w:rPr>
          <w:rFonts w:eastAsia="Times New Roman" w:cs="Times New Roman"/>
          <w:rtl/>
          <w:lang w:eastAsia="de-DE"/>
        </w:rPr>
        <w:t xml:space="preserve"> </w:t>
      </w:r>
      <w:r w:rsidRPr="00577688">
        <w:rPr>
          <w:rFonts w:eastAsia="Times New Roman" w:cs="Times New Roman"/>
          <w:lang w:eastAsia="de-DE"/>
        </w:rPr>
        <w:t>(Stier des Sündopfers) als Genitivkonstruktion.</w:t>
      </w:r>
    </w:p>
    <w:p w14:paraId="65DEF0B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אֶת־הַחֵ֨לֶב֙ הַֽמְכַסֶּ֣ה עַל־הַקֶּ֔רֶב וְאֵת֙ כָּל־הַחֵ֔לֶב אֲשֶׁ֖ר עַל־הַקֶּֽרֶב</w:t>
      </w:r>
      <w:r w:rsidRPr="00577688">
        <w:rPr>
          <w:rFonts w:eastAsia="Times New Roman" w:cs="Times New Roman"/>
          <w:rtl/>
          <w:lang w:eastAsia="de-DE"/>
        </w:rPr>
        <w:t xml:space="preserve"> </w:t>
      </w:r>
      <w:r w:rsidRPr="00577688">
        <w:rPr>
          <w:rFonts w:eastAsia="Times New Roman" w:cs="Times New Roman"/>
          <w:lang w:eastAsia="de-DE"/>
        </w:rPr>
        <w:t xml:space="preserve">spezifiziert die Fettteile und entspricht exakt den </w:t>
      </w:r>
      <w:r w:rsidRPr="00577688">
        <w:rPr>
          <w:rFonts w:eastAsia="Times New Roman" w:cs="Times New Roman"/>
          <w:b/>
          <w:bCs/>
          <w:rtl/>
          <w:lang w:eastAsia="de-DE"/>
        </w:rPr>
        <w:t>שְׁלָמִים</w:t>
      </w:r>
      <w:r w:rsidRPr="00577688">
        <w:rPr>
          <w:rFonts w:eastAsia="Times New Roman" w:cs="Times New Roman"/>
          <w:lang w:eastAsia="de-DE"/>
        </w:rPr>
        <w:t xml:space="preserve">-Bestimmungen (3,3). </w:t>
      </w:r>
      <w:r w:rsidRPr="00577688">
        <w:rPr>
          <w:rFonts w:eastAsia="Times New Roman" w:cs="Times New Roman"/>
          <w:b/>
          <w:bCs/>
          <w:rtl/>
          <w:lang w:eastAsia="de-DE"/>
        </w:rPr>
        <w:t>המכסה על־הקרב</w:t>
      </w:r>
      <w:r w:rsidRPr="00577688">
        <w:rPr>
          <w:rFonts w:eastAsia="Times New Roman" w:cs="Times New Roman"/>
          <w:rtl/>
          <w:lang w:eastAsia="de-DE"/>
        </w:rPr>
        <w:t xml:space="preserve"> </w:t>
      </w:r>
      <w:r w:rsidRPr="00577688">
        <w:rPr>
          <w:rFonts w:eastAsia="Times New Roman" w:cs="Times New Roman"/>
          <w:lang w:eastAsia="de-DE"/>
        </w:rPr>
        <w:t xml:space="preserve">(das die Eingeweide bedeckt), </w:t>
      </w:r>
      <w:r w:rsidRPr="00577688">
        <w:rPr>
          <w:rFonts w:eastAsia="Times New Roman" w:cs="Times New Roman"/>
          <w:b/>
          <w:bCs/>
          <w:rtl/>
          <w:lang w:eastAsia="de-DE"/>
        </w:rPr>
        <w:t>כל־החלב אשר על־הקרב</w:t>
      </w:r>
      <w:r w:rsidRPr="00577688">
        <w:rPr>
          <w:rFonts w:eastAsia="Times New Roman" w:cs="Times New Roman"/>
          <w:rtl/>
          <w:lang w:eastAsia="de-DE"/>
        </w:rPr>
        <w:t xml:space="preserve"> </w:t>
      </w:r>
      <w:r w:rsidRPr="00577688">
        <w:rPr>
          <w:rFonts w:eastAsia="Times New Roman" w:cs="Times New Roman"/>
          <w:lang w:eastAsia="de-DE"/>
        </w:rPr>
        <w:t>(alles Fett, das auf den Eingeweiden ist).</w:t>
      </w:r>
    </w:p>
    <w:p w14:paraId="34C6976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יָרִים</w:t>
      </w:r>
      <w:r w:rsidRPr="00577688">
        <w:rPr>
          <w:rFonts w:eastAsia="Times New Roman" w:cs="Times New Roman"/>
          <w:rtl/>
          <w:lang w:eastAsia="de-DE"/>
        </w:rPr>
        <w:t xml:space="preserve"> </w:t>
      </w:r>
      <w:r w:rsidRPr="00577688">
        <w:rPr>
          <w:rFonts w:eastAsia="Times New Roman" w:cs="Times New Roman"/>
          <w:lang w:eastAsia="de-DE"/>
        </w:rPr>
        <w:t xml:space="preserve">(er soll abheben) von </w:t>
      </w:r>
      <w:r w:rsidRPr="00577688">
        <w:rPr>
          <w:rFonts w:eastAsia="Times New Roman" w:cs="Times New Roman"/>
          <w:b/>
          <w:bCs/>
          <w:rtl/>
          <w:lang w:eastAsia="de-DE"/>
        </w:rPr>
        <w:t>רום</w:t>
      </w:r>
      <w:r w:rsidRPr="00577688">
        <w:rPr>
          <w:rFonts w:eastAsia="Times New Roman" w:cs="Times New Roman"/>
          <w:rtl/>
          <w:lang w:eastAsia="de-DE"/>
        </w:rPr>
        <w:t xml:space="preserve"> </w:t>
      </w:r>
      <w:r w:rsidRPr="00577688">
        <w:rPr>
          <w:rFonts w:eastAsia="Times New Roman" w:cs="Times New Roman"/>
          <w:lang w:eastAsia="de-DE"/>
        </w:rPr>
        <w:t xml:space="preserve">(erheben) im Hifil ist technischer Terminus für die rituelle Entfernung der Fettteile. </w:t>
      </w:r>
      <w:r w:rsidRPr="00577688">
        <w:rPr>
          <w:rFonts w:eastAsia="Times New Roman" w:cs="Times New Roman"/>
          <w:b/>
          <w:bCs/>
          <w:rtl/>
          <w:lang w:eastAsia="de-DE"/>
        </w:rPr>
        <w:t>מִמֶּנּוּ</w:t>
      </w:r>
      <w:r w:rsidRPr="00577688">
        <w:rPr>
          <w:rFonts w:eastAsia="Times New Roman" w:cs="Times New Roman"/>
          <w:rtl/>
          <w:lang w:eastAsia="de-DE"/>
        </w:rPr>
        <w:t xml:space="preserve"> </w:t>
      </w:r>
      <w:r w:rsidRPr="00577688">
        <w:rPr>
          <w:rFonts w:eastAsia="Times New Roman" w:cs="Times New Roman"/>
          <w:lang w:eastAsia="de-DE"/>
        </w:rPr>
        <w:t xml:space="preserve">(von ihm) mit maskulinem Suffix bezieht sich auf </w:t>
      </w:r>
      <w:r w:rsidRPr="00577688">
        <w:rPr>
          <w:rFonts w:eastAsia="Times New Roman" w:cs="Times New Roman"/>
          <w:b/>
          <w:bCs/>
          <w:rtl/>
          <w:lang w:eastAsia="de-DE"/>
        </w:rPr>
        <w:t>פַּר</w:t>
      </w:r>
      <w:r w:rsidRPr="00577688">
        <w:rPr>
          <w:rFonts w:eastAsia="Times New Roman" w:cs="Times New Roman"/>
          <w:rtl/>
          <w:lang w:eastAsia="de-DE"/>
        </w:rPr>
        <w:t xml:space="preserve"> </w:t>
      </w:r>
      <w:r w:rsidRPr="00577688">
        <w:rPr>
          <w:rFonts w:eastAsia="Times New Roman" w:cs="Times New Roman"/>
          <w:lang w:eastAsia="de-DE"/>
        </w:rPr>
        <w:t>(Stier) zurück.</w:t>
      </w:r>
    </w:p>
    <w:p w14:paraId="41AAC68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Fettbestimmungen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entsprechen exakt denen bei </w:t>
      </w:r>
      <w:r w:rsidRPr="00577688">
        <w:rPr>
          <w:rFonts w:eastAsia="Times New Roman" w:cs="Times New Roman"/>
          <w:b/>
          <w:bCs/>
          <w:rtl/>
          <w:lang w:eastAsia="de-DE"/>
        </w:rPr>
        <w:t>שלמים</w:t>
      </w:r>
      <w:r w:rsidRPr="00577688">
        <w:rPr>
          <w:rFonts w:eastAsia="Times New Roman" w:cs="Times New Roman"/>
          <w:lang w:eastAsia="de-DE"/>
        </w:rPr>
        <w:t xml:space="preserve">, zeigen aber einen anderen Zweck: Bei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wird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verbrannt als </w:t>
      </w:r>
      <w:r w:rsidRPr="00577688">
        <w:rPr>
          <w:rFonts w:eastAsia="Times New Roman" w:cs="Times New Roman"/>
          <w:b/>
          <w:bCs/>
          <w:rtl/>
          <w:lang w:eastAsia="de-DE"/>
        </w:rPr>
        <w:t>אשה</w:t>
      </w:r>
      <w:r w:rsidRPr="00577688">
        <w:rPr>
          <w:rFonts w:eastAsia="Times New Roman" w:cs="Times New Roman"/>
          <w:rtl/>
          <w:lang w:eastAsia="de-DE"/>
        </w:rPr>
        <w:t xml:space="preserve"> </w:t>
      </w:r>
      <w:r w:rsidRPr="00577688">
        <w:rPr>
          <w:rFonts w:eastAsia="Times New Roman" w:cs="Times New Roman"/>
          <w:lang w:eastAsia="de-DE"/>
        </w:rPr>
        <w:t xml:space="preserve">(Feueropfer),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als Sühnmittel.</w:t>
      </w:r>
    </w:p>
    <w:p w14:paraId="4F8ECB6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יָרִ֣ים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ἀφ</w:t>
      </w:r>
      <w:proofErr w:type="spellEnd"/>
      <w:r w:rsidRPr="00577688">
        <w:rPr>
          <w:rFonts w:eastAsia="Times New Roman" w:cs="Times New Roman"/>
          <w:lang w:eastAsia="de-DE"/>
        </w:rPr>
        <w:t xml:space="preserve">αιρήσει (er soll wegnehmen),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στέ</w:t>
      </w:r>
      <w:proofErr w:type="spellEnd"/>
      <w:r w:rsidRPr="00577688">
        <w:rPr>
          <w:rFonts w:eastAsia="Times New Roman" w:cs="Times New Roman"/>
          <w:lang w:eastAsia="de-DE"/>
        </w:rPr>
        <w:t>αρ (Fett) und wiederholt die standardisierten Fettbeschreibungen von Kapitel 3.</w:t>
      </w:r>
    </w:p>
    <w:p w14:paraId="341F497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Hauptsatz mit Spezifizierung: Objekt + Verb + Präpositionalphrase + spezifizierende Objekte (zwei koordinierte Fettbeschreibungen). Die Struktur entspricht den </w:t>
      </w:r>
      <w:r w:rsidRPr="00577688">
        <w:rPr>
          <w:rFonts w:eastAsia="Times New Roman" w:cs="Times New Roman"/>
          <w:b/>
          <w:bCs/>
          <w:rtl/>
          <w:lang w:eastAsia="de-DE"/>
        </w:rPr>
        <w:t>שלמים</w:t>
      </w:r>
      <w:r w:rsidRPr="00577688">
        <w:rPr>
          <w:rFonts w:eastAsia="Times New Roman" w:cs="Times New Roman"/>
          <w:lang w:eastAsia="de-DE"/>
        </w:rPr>
        <w:t>-Bestimmungen.</w:t>
      </w:r>
    </w:p>
    <w:p w14:paraId="2F5293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beginnt die Fettbehandlung bei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und zeigt deren Übereinstimmung mit </w:t>
      </w:r>
      <w:r w:rsidRPr="00577688">
        <w:rPr>
          <w:rFonts w:eastAsia="Times New Roman" w:cs="Times New Roman"/>
          <w:b/>
          <w:bCs/>
          <w:rtl/>
          <w:lang w:eastAsia="de-DE"/>
        </w:rPr>
        <w:t>שלמים</w:t>
      </w:r>
      <w:r w:rsidRPr="00577688">
        <w:rPr>
          <w:rFonts w:eastAsia="Times New Roman" w:cs="Times New Roman"/>
          <w:lang w:eastAsia="de-DE"/>
        </w:rPr>
        <w:t>-Bestimmungen bei unterschiedlichem theologischen Zweck.</w:t>
      </w:r>
    </w:p>
    <w:p w14:paraId="0DE703F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4,9</w:t>
      </w:r>
    </w:p>
    <w:p w14:paraId="72900A2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 שְׁתֵּ֣י הַכְּלָיֹ֔ת וְאֶת־הַחֵ֨לֶב֙ אֲשֶׁ֣ר עֲלֵיהֶ֔ן אֲשֶׁ֖ר עַל־הַכְּסָלִ֑ים וְאֶת־הַיֹּתֶ֨רֶת֙ עַל־הַכָּבֵ֔ד עַל־הַכְּלָי֖וֹת יְסִירֶֽנָּה׃</w:t>
      </w:r>
    </w:p>
    <w:p w14:paraId="1AE2317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die beiden Nieren und das Fett, das an ihnen, das an den Lenden ist, und das Netz über der Leber: Samt den Nieren soll er es abtrennen,</w:t>
      </w:r>
    </w:p>
    <w:p w14:paraId="72907E2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D2ADFB9">
          <v:rect id="_x0000_i1083" style="width:0;height:1.5pt" o:hralign="center" o:hrstd="t" o:hr="t" fillcolor="#a0a0a0" stroked="f"/>
        </w:pict>
      </w:r>
    </w:p>
    <w:p w14:paraId="2C450C9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Dieser Vers ist eine exakte Wiederholung der Organbestimmungen aus 3,4, 3,10 und 3,15 und zeigt die universelle Gültigkeit dieser anatomischen Bestimmungen für alle Opferarten mit Fettverbrennung. </w:t>
      </w:r>
      <w:r w:rsidRPr="00577688">
        <w:rPr>
          <w:rFonts w:eastAsia="Times New Roman" w:cs="Times New Roman"/>
          <w:b/>
          <w:bCs/>
          <w:rtl/>
          <w:lang w:eastAsia="de-DE"/>
        </w:rPr>
        <w:t>שְׁתֵּ֣י הַכְּלָיֹ֔ת</w:t>
      </w:r>
      <w:r w:rsidRPr="00577688">
        <w:rPr>
          <w:rFonts w:eastAsia="Times New Roman" w:cs="Times New Roman"/>
          <w:rtl/>
          <w:lang w:eastAsia="de-DE"/>
        </w:rPr>
        <w:t xml:space="preserve"> </w:t>
      </w:r>
      <w:r w:rsidRPr="00577688">
        <w:rPr>
          <w:rFonts w:eastAsia="Times New Roman" w:cs="Times New Roman"/>
          <w:lang w:eastAsia="de-DE"/>
        </w:rPr>
        <w:t xml:space="preserve">(die beiden Nieren), </w:t>
      </w:r>
      <w:r w:rsidRPr="00577688">
        <w:rPr>
          <w:rFonts w:eastAsia="Times New Roman" w:cs="Times New Roman"/>
          <w:b/>
          <w:bCs/>
          <w:rtl/>
          <w:lang w:eastAsia="de-DE"/>
        </w:rPr>
        <w:t>הַחֵ֨לֶב֙ אֲשֶׁ֣ר עֲלֵיהֶ֔ן אֲשֶׁ֖ר עַל־הַכְּסָלִ֑ים</w:t>
      </w:r>
      <w:r w:rsidRPr="00577688">
        <w:rPr>
          <w:rFonts w:eastAsia="Times New Roman" w:cs="Times New Roman"/>
          <w:rtl/>
          <w:lang w:eastAsia="de-DE"/>
        </w:rPr>
        <w:t xml:space="preserve"> </w:t>
      </w:r>
      <w:r w:rsidRPr="00577688">
        <w:rPr>
          <w:rFonts w:eastAsia="Times New Roman" w:cs="Times New Roman"/>
          <w:lang w:eastAsia="de-DE"/>
        </w:rPr>
        <w:t xml:space="preserve">(das Fett, das auf ihnen, das an den Lenden ist), </w:t>
      </w:r>
      <w:r w:rsidRPr="00577688">
        <w:rPr>
          <w:rFonts w:eastAsia="Times New Roman" w:cs="Times New Roman"/>
          <w:b/>
          <w:bCs/>
          <w:rtl/>
          <w:lang w:eastAsia="de-DE"/>
        </w:rPr>
        <w:t>הַיֹּתֶ֨רֶת֙ עַל־הַכָּבֵ֔ד</w:t>
      </w:r>
      <w:r w:rsidRPr="00577688">
        <w:rPr>
          <w:rFonts w:eastAsia="Times New Roman" w:cs="Times New Roman"/>
          <w:rtl/>
          <w:lang w:eastAsia="de-DE"/>
        </w:rPr>
        <w:t xml:space="preserve"> </w:t>
      </w:r>
      <w:r w:rsidRPr="00577688">
        <w:rPr>
          <w:rFonts w:eastAsia="Times New Roman" w:cs="Times New Roman"/>
          <w:lang w:eastAsia="de-DE"/>
        </w:rPr>
        <w:t xml:space="preserve">(der Lappen über der Leber) und </w:t>
      </w:r>
      <w:r w:rsidRPr="00577688">
        <w:rPr>
          <w:rFonts w:eastAsia="Times New Roman" w:cs="Times New Roman"/>
          <w:b/>
          <w:bCs/>
          <w:rtl/>
          <w:lang w:eastAsia="de-DE"/>
        </w:rPr>
        <w:t>עַל־הַכְּלָי֖וֹת יְסִירֶֽנָּה</w:t>
      </w:r>
      <w:r w:rsidRPr="00577688">
        <w:rPr>
          <w:rFonts w:eastAsia="Times New Roman" w:cs="Times New Roman"/>
          <w:rtl/>
          <w:lang w:eastAsia="de-DE"/>
        </w:rPr>
        <w:t xml:space="preserve"> </w:t>
      </w:r>
      <w:r w:rsidRPr="00577688">
        <w:rPr>
          <w:rFonts w:eastAsia="Times New Roman" w:cs="Times New Roman"/>
          <w:lang w:eastAsia="de-DE"/>
        </w:rPr>
        <w:t>(samt den Nieren soll er es abtrennen).</w:t>
      </w:r>
    </w:p>
    <w:p w14:paraId="7000D61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 vierfache identische Wiederholung dieser Bestimmungen (3,4.10.15 und 4,9) etabliert sie als fundamentale Regel für alle Opfer mit Fettverbrennung. </w:t>
      </w:r>
      <w:r w:rsidRPr="00577688">
        <w:rPr>
          <w:rFonts w:eastAsia="Times New Roman" w:cs="Times New Roman"/>
          <w:b/>
          <w:bCs/>
          <w:rtl/>
          <w:lang w:eastAsia="de-DE"/>
        </w:rPr>
        <w:t>כליות</w:t>
      </w:r>
      <w:r w:rsidRPr="00577688">
        <w:rPr>
          <w:rFonts w:eastAsia="Times New Roman" w:cs="Times New Roman"/>
          <w:rtl/>
          <w:lang w:eastAsia="de-DE"/>
        </w:rPr>
        <w:t xml:space="preserve"> </w:t>
      </w:r>
      <w:r w:rsidRPr="00577688">
        <w:rPr>
          <w:rFonts w:eastAsia="Times New Roman" w:cs="Times New Roman"/>
          <w:lang w:eastAsia="de-DE"/>
        </w:rPr>
        <w:t xml:space="preserve">(Nieren), </w:t>
      </w:r>
      <w:r w:rsidRPr="00577688">
        <w:rPr>
          <w:rFonts w:eastAsia="Times New Roman" w:cs="Times New Roman"/>
          <w:b/>
          <w:bCs/>
          <w:rtl/>
          <w:lang w:eastAsia="de-DE"/>
        </w:rPr>
        <w:t>חלב</w:t>
      </w:r>
      <w:r w:rsidRPr="00577688">
        <w:rPr>
          <w:rFonts w:eastAsia="Times New Roman" w:cs="Times New Roman"/>
          <w:rtl/>
          <w:lang w:eastAsia="de-DE"/>
        </w:rPr>
        <w:t xml:space="preserve"> </w:t>
      </w:r>
      <w:r w:rsidRPr="00577688">
        <w:rPr>
          <w:rFonts w:eastAsia="Times New Roman" w:cs="Times New Roman"/>
          <w:lang w:eastAsia="de-DE"/>
        </w:rPr>
        <w:t xml:space="preserve">(Fett), </w:t>
      </w:r>
      <w:r w:rsidRPr="00577688">
        <w:rPr>
          <w:rFonts w:eastAsia="Times New Roman" w:cs="Times New Roman"/>
          <w:b/>
          <w:bCs/>
          <w:rtl/>
          <w:lang w:eastAsia="de-DE"/>
        </w:rPr>
        <w:t>כסלים</w:t>
      </w:r>
      <w:r w:rsidRPr="00577688">
        <w:rPr>
          <w:rFonts w:eastAsia="Times New Roman" w:cs="Times New Roman"/>
          <w:rtl/>
          <w:lang w:eastAsia="de-DE"/>
        </w:rPr>
        <w:t xml:space="preserve"> </w:t>
      </w:r>
      <w:r w:rsidRPr="00577688">
        <w:rPr>
          <w:rFonts w:eastAsia="Times New Roman" w:cs="Times New Roman"/>
          <w:lang w:eastAsia="de-DE"/>
        </w:rPr>
        <w:t xml:space="preserve">(Lenden) und </w:t>
      </w:r>
      <w:r w:rsidRPr="00577688">
        <w:rPr>
          <w:rFonts w:eastAsia="Times New Roman" w:cs="Times New Roman"/>
          <w:b/>
          <w:bCs/>
          <w:rtl/>
          <w:lang w:eastAsia="de-DE"/>
        </w:rPr>
        <w:t>יתרת על־הכבד</w:t>
      </w:r>
      <w:r w:rsidRPr="00577688">
        <w:rPr>
          <w:rFonts w:eastAsia="Times New Roman" w:cs="Times New Roman"/>
          <w:rtl/>
          <w:lang w:eastAsia="de-DE"/>
        </w:rPr>
        <w:t xml:space="preserve"> </w:t>
      </w:r>
      <w:r w:rsidRPr="00577688">
        <w:rPr>
          <w:rFonts w:eastAsia="Times New Roman" w:cs="Times New Roman"/>
          <w:lang w:eastAsia="de-DE"/>
        </w:rPr>
        <w:t xml:space="preserve">(Leberlappen) sind universelle </w:t>
      </w:r>
      <w:r w:rsidRPr="00577688">
        <w:rPr>
          <w:rFonts w:eastAsia="Times New Roman" w:cs="Times New Roman"/>
          <w:b/>
          <w:bCs/>
          <w:rtl/>
          <w:lang w:eastAsia="de-DE"/>
        </w:rPr>
        <w:t>חלב</w:t>
      </w:r>
      <w:r w:rsidRPr="00577688">
        <w:rPr>
          <w:rFonts w:eastAsia="Times New Roman" w:cs="Times New Roman"/>
          <w:lang w:eastAsia="de-DE"/>
        </w:rPr>
        <w:t>-Komponenten.</w:t>
      </w:r>
    </w:p>
    <w:p w14:paraId="6B223D5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wiederholt exakt die Übersetzungen der vorherigen Verse, was die systematische Konsistenz der griechischen Terminologie und die wörtliche Identität des hebräischen Textes bestätigt.</w:t>
      </w:r>
    </w:p>
    <w:p w14:paraId="1B9939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den vorherigen Versen: komplexe Objektaufzählung mit drei koordinierten Elementen und abschließender Verbalbestimmung. Die Wiederholung verstärkt die rituelle Wichtigkeit dieser anatomischen Bestimmungen.</w:t>
      </w:r>
    </w:p>
    <w:p w14:paraId="6045BB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 Wiederholung zeigt die systematische Einheitlichkeit der Fett- und Organbestimmungen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und etabliert universelle anatomische Standards für alle Opfer mit </w:t>
      </w:r>
      <w:r w:rsidRPr="00577688">
        <w:rPr>
          <w:rFonts w:eastAsia="Times New Roman" w:cs="Times New Roman"/>
          <w:b/>
          <w:bCs/>
          <w:rtl/>
          <w:lang w:eastAsia="de-DE"/>
        </w:rPr>
        <w:t>חלב</w:t>
      </w:r>
      <w:r w:rsidRPr="00577688">
        <w:rPr>
          <w:rFonts w:eastAsia="Times New Roman" w:cs="Times New Roman"/>
          <w:lang w:eastAsia="de-DE"/>
        </w:rPr>
        <w:t>-Verbrennung.</w:t>
      </w:r>
    </w:p>
    <w:p w14:paraId="6E2E2CB7"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4,10</w:t>
      </w:r>
    </w:p>
    <w:p w14:paraId="7C7662D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כַּאֲשֶׁ֣ר יוּרַ֔ם מִשּׁ֖וֹר זֶ֣בַח הַשְּׁלָמִ֑ים וְהִקְטִירָם֙ הַכֹּהֵ֔ן עַ֖ל מִזְבַּ֥ח הָעֹלָֽה׃</w:t>
      </w:r>
    </w:p>
    <w:p w14:paraId="64BA9D6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also wie es abgehoben wird von dem Rind des Friedensopfers; und der Priester soll sie (d.h. die Fettanteile) auf dem Aufsteigeopferaltar räuchern.</w:t>
      </w:r>
    </w:p>
    <w:p w14:paraId="66358DB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00D589E9">
          <v:rect id="_x0000_i1084" style="width:0;height:1.5pt" o:hralign="center" o:hrstd="t" o:hr="t" fillcolor="#a0a0a0" stroked="f"/>
        </w:pict>
      </w:r>
    </w:p>
    <w:p w14:paraId="2F8BD8F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כַּאֲשֶׁ֣ר יוּרַ֔ם מִשּׁ֖וֹר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(wie es abgehoben wird vom Rind des Friedensopfers) etabliert explizit die Analogie zu </w:t>
      </w:r>
      <w:r w:rsidRPr="00577688">
        <w:rPr>
          <w:rFonts w:eastAsia="Times New Roman" w:cs="Times New Roman"/>
          <w:b/>
          <w:bCs/>
          <w:rtl/>
          <w:lang w:eastAsia="de-DE"/>
        </w:rPr>
        <w:t>שלמים</w:t>
      </w:r>
      <w:r w:rsidRPr="00577688">
        <w:rPr>
          <w:rFonts w:eastAsia="Times New Roman" w:cs="Times New Roman"/>
          <w:lang w:eastAsia="de-DE"/>
        </w:rPr>
        <w:t xml:space="preserve">. </w:t>
      </w:r>
      <w:r w:rsidRPr="00577688">
        <w:rPr>
          <w:rFonts w:eastAsia="Times New Roman" w:cs="Times New Roman"/>
          <w:b/>
          <w:bCs/>
          <w:rtl/>
          <w:lang w:eastAsia="de-DE"/>
        </w:rPr>
        <w:t>כַּאֲשֶׁר</w:t>
      </w:r>
      <w:r w:rsidRPr="00577688">
        <w:rPr>
          <w:rFonts w:eastAsia="Times New Roman" w:cs="Times New Roman"/>
          <w:rtl/>
          <w:lang w:eastAsia="de-DE"/>
        </w:rPr>
        <w:t xml:space="preserve"> </w:t>
      </w:r>
      <w:r w:rsidRPr="00577688">
        <w:rPr>
          <w:rFonts w:eastAsia="Times New Roman" w:cs="Times New Roman"/>
          <w:lang w:eastAsia="de-DE"/>
        </w:rPr>
        <w:t xml:space="preserve">(wie/so wie) als Vergleichspartikel, </w:t>
      </w:r>
      <w:r w:rsidRPr="00577688">
        <w:rPr>
          <w:rFonts w:eastAsia="Times New Roman" w:cs="Times New Roman"/>
          <w:b/>
          <w:bCs/>
          <w:rtl/>
          <w:lang w:eastAsia="de-DE"/>
        </w:rPr>
        <w:t>יוּרַם</w:t>
      </w:r>
      <w:r w:rsidRPr="00577688">
        <w:rPr>
          <w:rFonts w:eastAsia="Times New Roman" w:cs="Times New Roman"/>
          <w:rtl/>
          <w:lang w:eastAsia="de-DE"/>
        </w:rPr>
        <w:t xml:space="preserve"> </w:t>
      </w:r>
      <w:r w:rsidRPr="00577688">
        <w:rPr>
          <w:rFonts w:eastAsia="Times New Roman" w:cs="Times New Roman"/>
          <w:lang w:eastAsia="de-DE"/>
        </w:rPr>
        <w:t xml:space="preserve">(es wird abgehoben) Hofal-Imperfekt 3. Person maskulin Singular von </w:t>
      </w:r>
      <w:r w:rsidRPr="00577688">
        <w:rPr>
          <w:rFonts w:eastAsia="Times New Roman" w:cs="Times New Roman"/>
          <w:b/>
          <w:bCs/>
          <w:rtl/>
          <w:lang w:eastAsia="de-DE"/>
        </w:rPr>
        <w:t>רום</w:t>
      </w:r>
      <w:r w:rsidRPr="00577688">
        <w:rPr>
          <w:rFonts w:eastAsia="Times New Roman" w:cs="Times New Roman"/>
          <w:rtl/>
          <w:lang w:eastAsia="de-DE"/>
        </w:rPr>
        <w:t xml:space="preserve"> </w:t>
      </w:r>
      <w:r w:rsidRPr="00577688">
        <w:rPr>
          <w:rFonts w:eastAsia="Times New Roman" w:cs="Times New Roman"/>
          <w:lang w:eastAsia="de-DE"/>
        </w:rPr>
        <w:t xml:space="preserve">(erheben). </w:t>
      </w:r>
      <w:r w:rsidRPr="00577688">
        <w:rPr>
          <w:rFonts w:eastAsia="Times New Roman" w:cs="Times New Roman"/>
          <w:b/>
          <w:bCs/>
          <w:rtl/>
          <w:lang w:eastAsia="de-DE"/>
        </w:rPr>
        <w:t>מִשּׁוֹר</w:t>
      </w:r>
      <w:r w:rsidRPr="00577688">
        <w:rPr>
          <w:rFonts w:eastAsia="Times New Roman" w:cs="Times New Roman"/>
          <w:rtl/>
          <w:lang w:eastAsia="de-DE"/>
        </w:rPr>
        <w:t xml:space="preserve"> </w:t>
      </w:r>
      <w:r w:rsidRPr="00577688">
        <w:rPr>
          <w:rFonts w:eastAsia="Times New Roman" w:cs="Times New Roman"/>
          <w:lang w:eastAsia="de-DE"/>
        </w:rPr>
        <w:t>(vom Rind) als Herkunftsangabe.</w:t>
      </w:r>
    </w:p>
    <w:p w14:paraId="230F49E2" w14:textId="76F0397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וְהִקְטִירָם֙ הַכֹּהֵ֔ן עַ֖ל מִזְבַּ֥ח הָעֹלָֽה</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sie auf dem </w:t>
      </w:r>
      <w:r w:rsidR="00CF10E7">
        <w:rPr>
          <w:rFonts w:eastAsia="Times New Roman" w:cs="Times New Roman"/>
          <w:lang w:eastAsia="de-DE"/>
        </w:rPr>
        <w:t>Aufsteigeopfer</w:t>
      </w:r>
      <w:r w:rsidRPr="00577688">
        <w:rPr>
          <w:rFonts w:eastAsia="Times New Roman" w:cs="Times New Roman"/>
          <w:lang w:eastAsia="de-DE"/>
        </w:rPr>
        <w:t xml:space="preserve">altar räuchern) zeigt </w:t>
      </w:r>
      <w:r w:rsidRPr="00577688">
        <w:rPr>
          <w:rFonts w:eastAsia="Times New Roman" w:cs="Times New Roman"/>
          <w:b/>
          <w:bCs/>
          <w:rtl/>
          <w:lang w:eastAsia="de-DE"/>
        </w:rPr>
        <w:t>קטר</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w:t>
      </w:r>
      <w:r w:rsidRPr="00577688">
        <w:rPr>
          <w:rFonts w:eastAsia="Times New Roman" w:cs="Times New Roman"/>
          <w:b/>
          <w:bCs/>
          <w:rtl/>
          <w:lang w:eastAsia="de-DE"/>
        </w:rPr>
        <w:t>אֹתָם</w:t>
      </w:r>
      <w:r w:rsidRPr="00577688">
        <w:rPr>
          <w:rFonts w:eastAsia="Times New Roman" w:cs="Times New Roman"/>
          <w:rtl/>
          <w:lang w:eastAsia="de-DE"/>
        </w:rPr>
        <w:t xml:space="preserve"> </w:t>
      </w:r>
      <w:r w:rsidRPr="00577688">
        <w:rPr>
          <w:rFonts w:eastAsia="Times New Roman" w:cs="Times New Roman"/>
          <w:lang w:eastAsia="de-DE"/>
        </w:rPr>
        <w:t xml:space="preserve">(sie) mit maskulinem Plural-Suffix bezieht sich auf die Fett- und Organteile.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w:t>
      </w:r>
      <w:r w:rsidR="00CF10E7">
        <w:rPr>
          <w:rFonts w:eastAsia="Times New Roman" w:cs="Times New Roman"/>
          <w:lang w:eastAsia="de-DE"/>
        </w:rPr>
        <w:t>Aufsteigeopfer</w:t>
      </w:r>
      <w:r w:rsidRPr="00577688">
        <w:rPr>
          <w:rFonts w:eastAsia="Times New Roman" w:cs="Times New Roman"/>
          <w:lang w:eastAsia="de-DE"/>
        </w:rPr>
        <w:t xml:space="preserve">altar) statt nur </w:t>
      </w:r>
      <w:r w:rsidRPr="00577688">
        <w:rPr>
          <w:rFonts w:eastAsia="Times New Roman" w:cs="Times New Roman"/>
          <w:b/>
          <w:bCs/>
          <w:rtl/>
          <w:lang w:eastAsia="de-DE"/>
        </w:rPr>
        <w:t>המזבח</w:t>
      </w:r>
      <w:r w:rsidRPr="00577688">
        <w:rPr>
          <w:rFonts w:eastAsia="Times New Roman" w:cs="Times New Roman"/>
          <w:lang w:eastAsia="de-DE"/>
        </w:rPr>
        <w:t>.</w:t>
      </w:r>
    </w:p>
    <w:p w14:paraId="1C9227E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Der Vergleich </w:t>
      </w:r>
      <w:r w:rsidRPr="00577688">
        <w:rPr>
          <w:rFonts w:eastAsia="Times New Roman" w:cs="Times New Roman"/>
          <w:b/>
          <w:bCs/>
          <w:rtl/>
          <w:lang w:eastAsia="de-DE"/>
        </w:rPr>
        <w:t>כַּאֲשֶׁ֣ר יוּרַ֔ם מִשּׁ֖וֹר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etabliert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als Referenzpunkt für Fettbehandlung und zeigt die systematische Einheitlichkeit der Opfergesetze. </w:t>
      </w:r>
      <w:r w:rsidRPr="00577688">
        <w:rPr>
          <w:rFonts w:eastAsia="Times New Roman" w:cs="Times New Roman"/>
          <w:b/>
          <w:bCs/>
          <w:rtl/>
          <w:lang w:eastAsia="de-DE"/>
        </w:rPr>
        <w:t>יוּרַם</w:t>
      </w:r>
      <w:r w:rsidRPr="00577688">
        <w:rPr>
          <w:rFonts w:eastAsia="Times New Roman" w:cs="Times New Roman"/>
          <w:rtl/>
          <w:lang w:eastAsia="de-DE"/>
        </w:rPr>
        <w:t xml:space="preserve"> </w:t>
      </w:r>
      <w:r w:rsidRPr="00577688">
        <w:rPr>
          <w:rFonts w:eastAsia="Times New Roman" w:cs="Times New Roman"/>
          <w:lang w:eastAsia="de-DE"/>
        </w:rPr>
        <w:t>im Hofal betont die passive, rituelle Abhebung.</w:t>
      </w:r>
    </w:p>
    <w:p w14:paraId="2E10FF91" w14:textId="6F2A8843"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w:t>
      </w:r>
      <w:r w:rsidR="00CF10E7">
        <w:rPr>
          <w:rFonts w:eastAsia="Times New Roman" w:cs="Times New Roman"/>
          <w:lang w:eastAsia="de-DE"/>
        </w:rPr>
        <w:t>Aufsteigeopfer</w:t>
      </w:r>
      <w:r w:rsidRPr="00577688">
        <w:rPr>
          <w:rFonts w:eastAsia="Times New Roman" w:cs="Times New Roman"/>
          <w:lang w:eastAsia="de-DE"/>
        </w:rPr>
        <w:t xml:space="preserve">altar) wird explizit genannt, um ihn vom </w:t>
      </w:r>
      <w:r w:rsidRPr="00577688">
        <w:rPr>
          <w:rFonts w:eastAsia="Times New Roman" w:cs="Times New Roman"/>
          <w:b/>
          <w:bCs/>
          <w:rtl/>
          <w:lang w:eastAsia="de-DE"/>
        </w:rPr>
        <w:t>מזבח קטרת</w:t>
      </w:r>
      <w:r w:rsidRPr="00577688">
        <w:rPr>
          <w:rFonts w:eastAsia="Times New Roman" w:cs="Times New Roman"/>
          <w:rtl/>
          <w:lang w:eastAsia="de-DE"/>
        </w:rPr>
        <w:t xml:space="preserve"> </w:t>
      </w:r>
      <w:r w:rsidRPr="00577688">
        <w:rPr>
          <w:rFonts w:eastAsia="Times New Roman" w:cs="Times New Roman"/>
          <w:lang w:eastAsia="de-DE"/>
        </w:rPr>
        <w:t xml:space="preserve">(Räucheraltar) zu unterscheiden.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werden die Fettteile am äußeren Altar verbrannt, nicht im Heiligtum.</w:t>
      </w:r>
    </w:p>
    <w:p w14:paraId="5D2917D2" w14:textId="7B9D6DA5"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übersetzt </w:t>
      </w:r>
      <w:r w:rsidR="005070BF">
        <w:rPr>
          <w:rtl/>
        </w:rPr>
        <w:t>מזבח העלה</w:t>
      </w:r>
      <w:r w:rsidR="005070BF">
        <w:t xml:space="preserve"> (</w:t>
      </w:r>
      <w:proofErr w:type="spellStart"/>
      <w:r w:rsidR="005070BF">
        <w:t>mizbach</w:t>
      </w:r>
      <w:proofErr w:type="spellEnd"/>
      <w:r w:rsidR="005070BF">
        <w:t xml:space="preserve"> </w:t>
      </w:r>
      <w:proofErr w:type="spellStart"/>
      <w:r w:rsidR="005070BF">
        <w:t>ha'ola</w:t>
      </w:r>
      <w:proofErr w:type="spellEnd"/>
      <w:r w:rsidR="005070BF">
        <w:t xml:space="preserve">) als </w:t>
      </w:r>
      <w:proofErr w:type="spellStart"/>
      <w:r w:rsidR="005070BF">
        <w:t>τὸ</w:t>
      </w:r>
      <w:proofErr w:type="spellEnd"/>
      <w:r w:rsidR="005070BF">
        <w:t xml:space="preserve"> </w:t>
      </w:r>
      <w:proofErr w:type="spellStart"/>
      <w:r w:rsidR="005070BF">
        <w:t>θυσι</w:t>
      </w:r>
      <w:proofErr w:type="spellEnd"/>
      <w:r w:rsidR="005070BF">
        <w:t xml:space="preserve">αστήριον </w:t>
      </w:r>
      <w:proofErr w:type="spellStart"/>
      <w:r w:rsidR="005070BF">
        <w:t>τῆς</w:t>
      </w:r>
      <w:proofErr w:type="spellEnd"/>
      <w:r w:rsidR="005070BF">
        <w:t xml:space="preserve"> καρπ</w:t>
      </w:r>
      <w:proofErr w:type="spellStart"/>
      <w:r w:rsidR="005070BF">
        <w:t>ώσεως</w:t>
      </w:r>
      <w:proofErr w:type="spellEnd"/>
      <w:r w:rsidR="005070BF">
        <w:t xml:space="preserve"> (der Altar der Fruchtdarbringung), was eine ungewöhnliche terminologische Abweichung darstellt.</w:t>
      </w:r>
    </w:p>
    <w:p w14:paraId="0C83AB5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Vergleichssatz plus Hauptsatz: Vergleichspartikel + Verb + Präpositionalphrase // Verb + Objekt + Subjekt + Adverbialbestimmung. Der Vergleich etabliert die </w:t>
      </w:r>
      <w:r w:rsidRPr="00577688">
        <w:rPr>
          <w:rFonts w:eastAsia="Times New Roman" w:cs="Times New Roman"/>
          <w:b/>
          <w:bCs/>
          <w:rtl/>
          <w:lang w:eastAsia="de-DE"/>
        </w:rPr>
        <w:t>שלמים</w:t>
      </w:r>
      <w:r w:rsidRPr="00577688">
        <w:rPr>
          <w:rFonts w:eastAsia="Times New Roman" w:cs="Times New Roman"/>
          <w:lang w:eastAsia="de-DE"/>
        </w:rPr>
        <w:t>-Analogie als Referenzrahmen.</w:t>
      </w:r>
    </w:p>
    <w:p w14:paraId="32509FC4" w14:textId="034DA151"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Dieser Vers etabliert die systematische Einheit der Fettbehandlung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und zeigt die Verbrennung der </w:t>
      </w:r>
      <w:r w:rsidRPr="00577688">
        <w:rPr>
          <w:rFonts w:eastAsia="Times New Roman" w:cs="Times New Roman"/>
          <w:b/>
          <w:bCs/>
          <w:rtl/>
          <w:lang w:eastAsia="de-DE"/>
        </w:rPr>
        <w:t>חלב</w:t>
      </w:r>
      <w:r w:rsidRPr="00577688">
        <w:rPr>
          <w:rFonts w:eastAsia="Times New Roman" w:cs="Times New Roman"/>
          <w:lang w:eastAsia="de-DE"/>
        </w:rPr>
        <w:t xml:space="preserve">-Teile am </w:t>
      </w:r>
      <w:r w:rsidR="00CF10E7">
        <w:rPr>
          <w:rFonts w:eastAsia="Times New Roman" w:cs="Times New Roman"/>
          <w:lang w:eastAsia="de-DE"/>
        </w:rPr>
        <w:t>Aufsteigeopfer</w:t>
      </w:r>
      <w:r w:rsidRPr="00577688">
        <w:rPr>
          <w:rFonts w:eastAsia="Times New Roman" w:cs="Times New Roman"/>
          <w:lang w:eastAsia="de-DE"/>
        </w:rPr>
        <w:t>altar.</w:t>
      </w:r>
    </w:p>
    <w:p w14:paraId="5A0DEB6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4,11</w:t>
      </w:r>
    </w:p>
    <w:p w14:paraId="630CE06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וְאֶת־ע֤וֹר הַפָּר֙ וְאֶת־כָּל־בְּשָׂרֹ֔ו עַל־רֹאשֹׁ֖ו וְעַל־כְּרָעָ֑יו וְקִרְבֹּ֖ו וּפִרְשֹֽׁו׃</w:t>
      </w:r>
    </w:p>
    <w:p w14:paraId="0008BCC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die Haut des Stieres und all sein Fleisch samt seinem Kopf und seinen Schenkeln und seinem Eingeweide und seinem Mist:</w:t>
      </w:r>
    </w:p>
    <w:p w14:paraId="6A3F32C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B1870FC">
          <v:rect id="_x0000_i1085" style="width:0;height:1.5pt" o:hralign="center" o:hrstd="t" o:hr="t" fillcolor="#a0a0a0" stroked="f"/>
        </w:pict>
      </w:r>
    </w:p>
    <w:p w14:paraId="158CBC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וְאֶת־ע֤וֹר הַפָּר֙</w:t>
      </w:r>
      <w:r w:rsidRPr="00577688">
        <w:rPr>
          <w:rFonts w:eastAsia="Times New Roman" w:cs="Times New Roman"/>
          <w:rtl/>
          <w:lang w:eastAsia="de-DE"/>
        </w:rPr>
        <w:t xml:space="preserve"> </w:t>
      </w:r>
      <w:r w:rsidRPr="00577688">
        <w:rPr>
          <w:rFonts w:eastAsia="Times New Roman" w:cs="Times New Roman"/>
          <w:lang w:eastAsia="de-DE"/>
        </w:rPr>
        <w:t xml:space="preserve">(und die Haut des Stieres) führt die Aufzählung der nicht zu verbrennenden Teile ein. </w:t>
      </w:r>
      <w:r w:rsidRPr="00577688">
        <w:rPr>
          <w:rFonts w:eastAsia="Times New Roman" w:cs="Times New Roman"/>
          <w:b/>
          <w:bCs/>
          <w:rtl/>
          <w:lang w:eastAsia="de-DE"/>
        </w:rPr>
        <w:t>עוֹר</w:t>
      </w:r>
      <w:r w:rsidRPr="00577688">
        <w:rPr>
          <w:rFonts w:eastAsia="Times New Roman" w:cs="Times New Roman"/>
          <w:rtl/>
          <w:lang w:eastAsia="de-DE"/>
        </w:rPr>
        <w:t xml:space="preserve"> </w:t>
      </w:r>
      <w:r w:rsidRPr="00577688">
        <w:rPr>
          <w:rFonts w:eastAsia="Times New Roman" w:cs="Times New Roman"/>
          <w:lang w:eastAsia="de-DE"/>
        </w:rPr>
        <w:t xml:space="preserve">(Haut/Fell) mit </w:t>
      </w:r>
      <w:r w:rsidRPr="00577688">
        <w:rPr>
          <w:rFonts w:eastAsia="Times New Roman" w:cs="Times New Roman"/>
          <w:b/>
          <w:bCs/>
          <w:rtl/>
          <w:lang w:eastAsia="de-DE"/>
        </w:rPr>
        <w:t>פַּר</w:t>
      </w:r>
      <w:r w:rsidRPr="00577688">
        <w:rPr>
          <w:rFonts w:eastAsia="Times New Roman" w:cs="Times New Roman"/>
          <w:rtl/>
          <w:lang w:eastAsia="de-DE"/>
        </w:rPr>
        <w:t xml:space="preserve"> </w:t>
      </w:r>
      <w:r w:rsidRPr="00577688">
        <w:rPr>
          <w:rFonts w:eastAsia="Times New Roman" w:cs="Times New Roman"/>
          <w:lang w:eastAsia="de-DE"/>
        </w:rPr>
        <w:t xml:space="preserve">(Stier). </w:t>
      </w:r>
      <w:r w:rsidRPr="00577688">
        <w:rPr>
          <w:rFonts w:eastAsia="Times New Roman" w:cs="Times New Roman"/>
          <w:b/>
          <w:bCs/>
          <w:rtl/>
          <w:lang w:eastAsia="de-DE"/>
        </w:rPr>
        <w:t>וְאֶת־כָּל־בְּשָׂרֹ֔ו</w:t>
      </w:r>
      <w:r w:rsidRPr="00577688">
        <w:rPr>
          <w:rFonts w:eastAsia="Times New Roman" w:cs="Times New Roman"/>
          <w:rtl/>
          <w:lang w:eastAsia="de-DE"/>
        </w:rPr>
        <w:t xml:space="preserve"> </w:t>
      </w:r>
      <w:r w:rsidRPr="00577688">
        <w:rPr>
          <w:rFonts w:eastAsia="Times New Roman" w:cs="Times New Roman"/>
          <w:lang w:eastAsia="de-DE"/>
        </w:rPr>
        <w:t xml:space="preserve">(und all sein Fleisch) mit </w:t>
      </w:r>
      <w:r w:rsidRPr="00577688">
        <w:rPr>
          <w:rFonts w:eastAsia="Times New Roman" w:cs="Times New Roman"/>
          <w:b/>
          <w:bCs/>
          <w:rtl/>
          <w:lang w:eastAsia="de-DE"/>
        </w:rPr>
        <w:t>כל</w:t>
      </w:r>
      <w:r w:rsidRPr="00577688">
        <w:rPr>
          <w:rFonts w:eastAsia="Times New Roman" w:cs="Times New Roman"/>
          <w:rtl/>
          <w:lang w:eastAsia="de-DE"/>
        </w:rPr>
        <w:t xml:space="preserve"> </w:t>
      </w:r>
      <w:r w:rsidRPr="00577688">
        <w:rPr>
          <w:rFonts w:eastAsia="Times New Roman" w:cs="Times New Roman"/>
          <w:lang w:eastAsia="de-DE"/>
        </w:rPr>
        <w:t xml:space="preserve">(alles) für Vollständigkeit und </w:t>
      </w:r>
      <w:r w:rsidRPr="00577688">
        <w:rPr>
          <w:rFonts w:eastAsia="Times New Roman" w:cs="Times New Roman"/>
          <w:b/>
          <w:bCs/>
          <w:rtl/>
          <w:lang w:eastAsia="de-DE"/>
        </w:rPr>
        <w:t>בשר</w:t>
      </w:r>
      <w:r w:rsidRPr="00577688">
        <w:rPr>
          <w:rFonts w:eastAsia="Times New Roman" w:cs="Times New Roman"/>
          <w:rtl/>
          <w:lang w:eastAsia="de-DE"/>
        </w:rPr>
        <w:t xml:space="preserve"> </w:t>
      </w:r>
      <w:r w:rsidRPr="00577688">
        <w:rPr>
          <w:rFonts w:eastAsia="Times New Roman" w:cs="Times New Roman"/>
          <w:lang w:eastAsia="de-DE"/>
        </w:rPr>
        <w:t>(Fleisch) mit Possessivsuffix.</w:t>
      </w:r>
    </w:p>
    <w:p w14:paraId="5332679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עַל־רֹאשֹׁ֖ו וְעַל־כְּרָעָ֑יו</w:t>
      </w:r>
      <w:r w:rsidRPr="00577688">
        <w:rPr>
          <w:rFonts w:eastAsia="Times New Roman" w:cs="Times New Roman"/>
          <w:rtl/>
          <w:lang w:eastAsia="de-DE"/>
        </w:rPr>
        <w:t xml:space="preserve"> </w:t>
      </w:r>
      <w:r w:rsidRPr="00577688">
        <w:rPr>
          <w:rFonts w:eastAsia="Times New Roman" w:cs="Times New Roman"/>
          <w:lang w:eastAsia="de-DE"/>
        </w:rPr>
        <w:t xml:space="preserve">(samt seinem Kopf und seinen Schenkeln) spezifiziert weitere Körperteile. </w:t>
      </w:r>
      <w:r w:rsidRPr="00577688">
        <w:rPr>
          <w:rFonts w:eastAsia="Times New Roman" w:cs="Times New Roman"/>
          <w:b/>
          <w:bCs/>
          <w:rtl/>
          <w:lang w:eastAsia="de-DE"/>
        </w:rPr>
        <w:t>רֹאש</w:t>
      </w:r>
      <w:r w:rsidRPr="00577688">
        <w:rPr>
          <w:rFonts w:eastAsia="Times New Roman" w:cs="Times New Roman"/>
          <w:rtl/>
          <w:lang w:eastAsia="de-DE"/>
        </w:rPr>
        <w:t xml:space="preserve"> </w:t>
      </w:r>
      <w:r w:rsidRPr="00577688">
        <w:rPr>
          <w:rFonts w:eastAsia="Times New Roman" w:cs="Times New Roman"/>
          <w:lang w:eastAsia="de-DE"/>
        </w:rPr>
        <w:t xml:space="preserve">(Kopf) und </w:t>
      </w:r>
      <w:r w:rsidRPr="00577688">
        <w:rPr>
          <w:rFonts w:eastAsia="Times New Roman" w:cs="Times New Roman"/>
          <w:b/>
          <w:bCs/>
          <w:rtl/>
          <w:lang w:eastAsia="de-DE"/>
        </w:rPr>
        <w:t>כְּרָעַיִם</w:t>
      </w:r>
      <w:r w:rsidRPr="00577688">
        <w:rPr>
          <w:rFonts w:eastAsia="Times New Roman" w:cs="Times New Roman"/>
          <w:rtl/>
          <w:lang w:eastAsia="de-DE"/>
        </w:rPr>
        <w:t xml:space="preserve"> </w:t>
      </w:r>
      <w:r w:rsidRPr="00577688">
        <w:rPr>
          <w:rFonts w:eastAsia="Times New Roman" w:cs="Times New Roman"/>
          <w:lang w:eastAsia="de-DE"/>
        </w:rPr>
        <w:t xml:space="preserve">(Unterschenkel/Beine) mit </w:t>
      </w:r>
      <w:r w:rsidRPr="00577688">
        <w:rPr>
          <w:rFonts w:eastAsia="Times New Roman" w:cs="Times New Roman"/>
          <w:b/>
          <w:bCs/>
          <w:rtl/>
          <w:lang w:eastAsia="de-DE"/>
        </w:rPr>
        <w:t>עַל</w:t>
      </w:r>
      <w:r w:rsidRPr="00577688">
        <w:rPr>
          <w:rFonts w:eastAsia="Times New Roman" w:cs="Times New Roman"/>
          <w:rtl/>
          <w:lang w:eastAsia="de-DE"/>
        </w:rPr>
        <w:t xml:space="preserve"> </w:t>
      </w:r>
      <w:r w:rsidRPr="00577688">
        <w:rPr>
          <w:rFonts w:eastAsia="Times New Roman" w:cs="Times New Roman"/>
          <w:lang w:eastAsia="de-DE"/>
        </w:rPr>
        <w:t xml:space="preserve">(samt/einschließlich). </w:t>
      </w:r>
      <w:r w:rsidRPr="00577688">
        <w:rPr>
          <w:rFonts w:eastAsia="Times New Roman" w:cs="Times New Roman"/>
          <w:b/>
          <w:bCs/>
          <w:rtl/>
          <w:lang w:eastAsia="de-DE"/>
        </w:rPr>
        <w:t>וְקִרְבֹּ֖ו וּפִרְשֹֽׁו</w:t>
      </w:r>
      <w:r w:rsidRPr="00577688">
        <w:rPr>
          <w:rFonts w:eastAsia="Times New Roman" w:cs="Times New Roman"/>
          <w:rtl/>
          <w:lang w:eastAsia="de-DE"/>
        </w:rPr>
        <w:t xml:space="preserve"> </w:t>
      </w:r>
      <w:r w:rsidRPr="00577688">
        <w:rPr>
          <w:rFonts w:eastAsia="Times New Roman" w:cs="Times New Roman"/>
          <w:lang w:eastAsia="de-DE"/>
        </w:rPr>
        <w:t xml:space="preserve">(und seine Eingeweide und seinen Mist) zeigen </w:t>
      </w:r>
      <w:r w:rsidRPr="00577688">
        <w:rPr>
          <w:rFonts w:eastAsia="Times New Roman" w:cs="Times New Roman"/>
          <w:b/>
          <w:bCs/>
          <w:rtl/>
          <w:lang w:eastAsia="de-DE"/>
        </w:rPr>
        <w:t>קֶרֶב</w:t>
      </w:r>
      <w:r w:rsidRPr="00577688">
        <w:rPr>
          <w:rFonts w:eastAsia="Times New Roman" w:cs="Times New Roman"/>
          <w:rtl/>
          <w:lang w:eastAsia="de-DE"/>
        </w:rPr>
        <w:t xml:space="preserve"> </w:t>
      </w:r>
      <w:r w:rsidRPr="00577688">
        <w:rPr>
          <w:rFonts w:eastAsia="Times New Roman" w:cs="Times New Roman"/>
          <w:lang w:eastAsia="de-DE"/>
        </w:rPr>
        <w:t xml:space="preserve">(Inneres/Eingeweide) und </w:t>
      </w:r>
      <w:r w:rsidRPr="00577688">
        <w:rPr>
          <w:rFonts w:eastAsia="Times New Roman" w:cs="Times New Roman"/>
          <w:b/>
          <w:bCs/>
          <w:rtl/>
          <w:lang w:eastAsia="de-DE"/>
        </w:rPr>
        <w:t>פֶּרֶשׁ</w:t>
      </w:r>
      <w:r w:rsidRPr="00577688">
        <w:rPr>
          <w:rFonts w:eastAsia="Times New Roman" w:cs="Times New Roman"/>
          <w:rtl/>
          <w:lang w:eastAsia="de-DE"/>
        </w:rPr>
        <w:t xml:space="preserve"> </w:t>
      </w:r>
      <w:r w:rsidRPr="00577688">
        <w:rPr>
          <w:rFonts w:eastAsia="Times New Roman" w:cs="Times New Roman"/>
          <w:lang w:eastAsia="de-DE"/>
        </w:rPr>
        <w:t>(Mist/Kot).</w:t>
      </w:r>
    </w:p>
    <w:p w14:paraId="4FBD1B7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ist syntaktisch unvollständig und wird durch V. 12 vervollständigt. </w:t>
      </w:r>
      <w:r w:rsidRPr="00577688">
        <w:rPr>
          <w:rFonts w:eastAsia="Times New Roman" w:cs="Times New Roman"/>
          <w:b/>
          <w:bCs/>
          <w:rtl/>
          <w:lang w:eastAsia="de-DE"/>
        </w:rPr>
        <w:t>עור</w:t>
      </w:r>
      <w:r w:rsidRPr="00577688">
        <w:rPr>
          <w:rFonts w:eastAsia="Times New Roman" w:cs="Times New Roman"/>
          <w:rtl/>
          <w:lang w:eastAsia="de-DE"/>
        </w:rPr>
        <w:t xml:space="preserve"> </w:t>
      </w:r>
      <w:r w:rsidRPr="00577688">
        <w:rPr>
          <w:rFonts w:eastAsia="Times New Roman" w:cs="Times New Roman"/>
          <w:lang w:eastAsia="de-DE"/>
        </w:rPr>
        <w:t xml:space="preserve">(Haut), </w:t>
      </w:r>
      <w:r w:rsidRPr="00577688">
        <w:rPr>
          <w:rFonts w:eastAsia="Times New Roman" w:cs="Times New Roman"/>
          <w:b/>
          <w:bCs/>
          <w:rtl/>
          <w:lang w:eastAsia="de-DE"/>
        </w:rPr>
        <w:t>בשר</w:t>
      </w:r>
      <w:r w:rsidRPr="00577688">
        <w:rPr>
          <w:rFonts w:eastAsia="Times New Roman" w:cs="Times New Roman"/>
          <w:rtl/>
          <w:lang w:eastAsia="de-DE"/>
        </w:rPr>
        <w:t xml:space="preserve"> </w:t>
      </w:r>
      <w:r w:rsidRPr="00577688">
        <w:rPr>
          <w:rFonts w:eastAsia="Times New Roman" w:cs="Times New Roman"/>
          <w:lang w:eastAsia="de-DE"/>
        </w:rPr>
        <w:t xml:space="preserve">(Fleisch), </w:t>
      </w:r>
      <w:r w:rsidRPr="00577688">
        <w:rPr>
          <w:rFonts w:eastAsia="Times New Roman" w:cs="Times New Roman"/>
          <w:b/>
          <w:bCs/>
          <w:rtl/>
          <w:lang w:eastAsia="de-DE"/>
        </w:rPr>
        <w:t>ראש</w:t>
      </w:r>
      <w:r w:rsidRPr="00577688">
        <w:rPr>
          <w:rFonts w:eastAsia="Times New Roman" w:cs="Times New Roman"/>
          <w:rtl/>
          <w:lang w:eastAsia="de-DE"/>
        </w:rPr>
        <w:t xml:space="preserve"> </w:t>
      </w:r>
      <w:r w:rsidRPr="00577688">
        <w:rPr>
          <w:rFonts w:eastAsia="Times New Roman" w:cs="Times New Roman"/>
          <w:lang w:eastAsia="de-DE"/>
        </w:rPr>
        <w:t xml:space="preserve">(Kopf), </w:t>
      </w:r>
      <w:r w:rsidRPr="00577688">
        <w:rPr>
          <w:rFonts w:eastAsia="Times New Roman" w:cs="Times New Roman"/>
          <w:b/>
          <w:bCs/>
          <w:rtl/>
          <w:lang w:eastAsia="de-DE"/>
        </w:rPr>
        <w:t>כרעים</w:t>
      </w:r>
      <w:r w:rsidRPr="00577688">
        <w:rPr>
          <w:rFonts w:eastAsia="Times New Roman" w:cs="Times New Roman"/>
          <w:rtl/>
          <w:lang w:eastAsia="de-DE"/>
        </w:rPr>
        <w:t xml:space="preserve"> </w:t>
      </w:r>
      <w:r w:rsidRPr="00577688">
        <w:rPr>
          <w:rFonts w:eastAsia="Times New Roman" w:cs="Times New Roman"/>
          <w:lang w:eastAsia="de-DE"/>
        </w:rPr>
        <w:t xml:space="preserve">(Beine), </w:t>
      </w:r>
      <w:r w:rsidRPr="00577688">
        <w:rPr>
          <w:rFonts w:eastAsia="Times New Roman" w:cs="Times New Roman"/>
          <w:b/>
          <w:bCs/>
          <w:rtl/>
          <w:lang w:eastAsia="de-DE"/>
        </w:rPr>
        <w:t>קרב</w:t>
      </w:r>
      <w:r w:rsidRPr="00577688">
        <w:rPr>
          <w:rFonts w:eastAsia="Times New Roman" w:cs="Times New Roman"/>
          <w:rtl/>
          <w:lang w:eastAsia="de-DE"/>
        </w:rPr>
        <w:t xml:space="preserve"> </w:t>
      </w:r>
      <w:r w:rsidRPr="00577688">
        <w:rPr>
          <w:rFonts w:eastAsia="Times New Roman" w:cs="Times New Roman"/>
          <w:lang w:eastAsia="de-DE"/>
        </w:rPr>
        <w:t xml:space="preserve">(Eingeweide) und </w:t>
      </w:r>
      <w:r w:rsidRPr="00577688">
        <w:rPr>
          <w:rFonts w:eastAsia="Times New Roman" w:cs="Times New Roman"/>
          <w:b/>
          <w:bCs/>
          <w:rtl/>
          <w:lang w:eastAsia="de-DE"/>
        </w:rPr>
        <w:t>פרש</w:t>
      </w:r>
      <w:r w:rsidRPr="00577688">
        <w:rPr>
          <w:rFonts w:eastAsia="Times New Roman" w:cs="Times New Roman"/>
          <w:rtl/>
          <w:lang w:eastAsia="de-DE"/>
        </w:rPr>
        <w:t xml:space="preserve"> </w:t>
      </w:r>
      <w:r w:rsidRPr="00577688">
        <w:rPr>
          <w:rFonts w:eastAsia="Times New Roman" w:cs="Times New Roman"/>
          <w:lang w:eastAsia="de-DE"/>
        </w:rPr>
        <w:t xml:space="preserve">(Mist) umfassen das gesamte Tier außer den bereits abgetrennten </w:t>
      </w:r>
      <w:r w:rsidRPr="00577688">
        <w:rPr>
          <w:rFonts w:eastAsia="Times New Roman" w:cs="Times New Roman"/>
          <w:b/>
          <w:bCs/>
          <w:rtl/>
          <w:lang w:eastAsia="de-DE"/>
        </w:rPr>
        <w:t>חלב</w:t>
      </w:r>
      <w:r w:rsidRPr="00577688">
        <w:rPr>
          <w:rFonts w:eastAsia="Times New Roman" w:cs="Times New Roman"/>
          <w:lang w:eastAsia="de-DE"/>
        </w:rPr>
        <w:t>-Teilen.</w:t>
      </w:r>
    </w:p>
    <w:p w14:paraId="24D4927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פֶּרֶשׁ</w:t>
      </w:r>
      <w:r w:rsidRPr="00577688">
        <w:rPr>
          <w:rFonts w:eastAsia="Times New Roman" w:cs="Times New Roman"/>
          <w:rtl/>
          <w:lang w:eastAsia="de-DE"/>
        </w:rPr>
        <w:t xml:space="preserve"> </w:t>
      </w:r>
      <w:r w:rsidRPr="00577688">
        <w:rPr>
          <w:rFonts w:eastAsia="Times New Roman" w:cs="Times New Roman"/>
          <w:lang w:eastAsia="de-DE"/>
        </w:rPr>
        <w:t xml:space="preserve">(Mist) bezeichnet den Darminhalt und ist kultisch unrein. Bei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werden diese Teile teilweise verwendet oder den Priestern gegeben, bei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jedoch vollständig entsorgt.</w:t>
      </w:r>
    </w:p>
    <w:p w14:paraId="0A044D2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עַל־רֹאשֹׁ֖ו וְעַל־כְּרָעָ֑יו</w:t>
      </w:r>
      <w:r w:rsidRPr="00577688">
        <w:rPr>
          <w:rFonts w:eastAsia="Times New Roman" w:cs="Times New Roman"/>
          <w:rtl/>
          <w:lang w:eastAsia="de-DE"/>
        </w:rPr>
        <w:t xml:space="preserve"> </w:t>
      </w:r>
      <w:r w:rsidRPr="00577688">
        <w:rPr>
          <w:rFonts w:eastAsia="Times New Roman" w:cs="Times New Roman"/>
          <w:lang w:eastAsia="de-DE"/>
        </w:rPr>
        <w:t xml:space="preserve">(samt seinem Kopf und seinen Schenkeln) zeigt </w:t>
      </w:r>
      <w:r w:rsidRPr="00577688">
        <w:rPr>
          <w:rFonts w:eastAsia="Times New Roman" w:cs="Times New Roman"/>
          <w:b/>
          <w:bCs/>
          <w:rtl/>
          <w:lang w:eastAsia="de-DE"/>
        </w:rPr>
        <w:t>עַל</w:t>
      </w:r>
      <w:r w:rsidRPr="00577688">
        <w:rPr>
          <w:rFonts w:eastAsia="Times New Roman" w:cs="Times New Roman"/>
          <w:rtl/>
          <w:lang w:eastAsia="de-DE"/>
        </w:rPr>
        <w:t xml:space="preserve"> </w:t>
      </w:r>
      <w:r w:rsidRPr="00577688">
        <w:rPr>
          <w:rFonts w:eastAsia="Times New Roman" w:cs="Times New Roman"/>
          <w:lang w:eastAsia="de-DE"/>
        </w:rPr>
        <w:t xml:space="preserve">in der Bedeutung "einschließlich/samt", nicht </w:t>
      </w:r>
      <w:proofErr w:type="spellStart"/>
      <w:r w:rsidRPr="00577688">
        <w:rPr>
          <w:rFonts w:eastAsia="Times New Roman" w:cs="Times New Roman"/>
          <w:lang w:eastAsia="de-DE"/>
        </w:rPr>
        <w:t>lokatativ</w:t>
      </w:r>
      <w:proofErr w:type="spellEnd"/>
      <w:r w:rsidRPr="00577688">
        <w:rPr>
          <w:rFonts w:eastAsia="Times New Roman" w:cs="Times New Roman"/>
          <w:lang w:eastAsia="de-DE"/>
        </w:rPr>
        <w:t xml:space="preserve"> "auf". </w:t>
      </w:r>
      <w:r w:rsidRPr="00577688">
        <w:rPr>
          <w:rFonts w:eastAsia="Times New Roman" w:cs="Times New Roman"/>
          <w:b/>
          <w:bCs/>
          <w:rtl/>
          <w:lang w:eastAsia="de-DE"/>
        </w:rPr>
        <w:t>כְּרָעַיִם</w:t>
      </w:r>
      <w:r w:rsidRPr="00577688">
        <w:rPr>
          <w:rFonts w:eastAsia="Times New Roman" w:cs="Times New Roman"/>
          <w:rtl/>
          <w:lang w:eastAsia="de-DE"/>
        </w:rPr>
        <w:t xml:space="preserve"> </w:t>
      </w:r>
      <w:r w:rsidRPr="00577688">
        <w:rPr>
          <w:rFonts w:eastAsia="Times New Roman" w:cs="Times New Roman"/>
          <w:lang w:eastAsia="de-DE"/>
        </w:rPr>
        <w:t>sind die Unterschenkel mit Hufen.</w:t>
      </w:r>
    </w:p>
    <w:p w14:paraId="620FB9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עוֹר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δέρμ</w:t>
      </w:r>
      <w:proofErr w:type="spellEnd"/>
      <w:r w:rsidRPr="00577688">
        <w:rPr>
          <w:rFonts w:eastAsia="Times New Roman" w:cs="Times New Roman"/>
          <w:lang w:eastAsia="de-DE"/>
        </w:rPr>
        <w:t xml:space="preserve">α (Haut), </w:t>
      </w:r>
      <w:r w:rsidRPr="00577688">
        <w:rPr>
          <w:rFonts w:eastAsia="Times New Roman" w:cs="Times New Roman"/>
          <w:b/>
          <w:bCs/>
          <w:rtl/>
          <w:lang w:eastAsia="de-DE"/>
        </w:rPr>
        <w:t>בְּשָׂרֹ֔ו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κρέ</w:t>
      </w:r>
      <w:proofErr w:type="spellEnd"/>
      <w:r w:rsidRPr="00577688">
        <w:rPr>
          <w:rFonts w:eastAsia="Times New Roman" w:cs="Times New Roman"/>
          <w:lang w:eastAsia="de-DE"/>
        </w:rPr>
        <w:t>α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 Fleisch), </w:t>
      </w:r>
      <w:r w:rsidRPr="00577688">
        <w:rPr>
          <w:rFonts w:eastAsia="Times New Roman" w:cs="Times New Roman"/>
          <w:b/>
          <w:bCs/>
          <w:rtl/>
          <w:lang w:eastAsia="de-DE"/>
        </w:rPr>
        <w:t>קִרְבֹּ֖ו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κοιλί</w:t>
      </w:r>
      <w:proofErr w:type="spellEnd"/>
      <w:r w:rsidRPr="00577688">
        <w:rPr>
          <w:rFonts w:eastAsia="Times New Roman" w:cs="Times New Roman"/>
          <w:lang w:eastAsia="de-DE"/>
        </w:rPr>
        <w:t>αν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(seinen Bauch) und </w:t>
      </w:r>
      <w:r w:rsidRPr="00577688">
        <w:rPr>
          <w:rFonts w:eastAsia="Times New Roman" w:cs="Times New Roman"/>
          <w:b/>
          <w:bCs/>
          <w:rtl/>
          <w:lang w:eastAsia="de-DE"/>
        </w:rPr>
        <w:t>פִרְשֹֽׁו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κό</w:t>
      </w:r>
      <w:proofErr w:type="spellEnd"/>
      <w:r w:rsidRPr="00577688">
        <w:rPr>
          <w:rFonts w:eastAsia="Times New Roman" w:cs="Times New Roman"/>
          <w:lang w:eastAsia="de-DE"/>
        </w:rPr>
        <w:t>προν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(seinen Mist).</w:t>
      </w:r>
    </w:p>
    <w:p w14:paraId="10527DF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unvollständige Aufzählung: sechs koordinierte Objekte mit </w:t>
      </w:r>
      <w:r w:rsidRPr="00577688">
        <w:rPr>
          <w:rFonts w:eastAsia="Times New Roman" w:cs="Times New Roman"/>
          <w:b/>
          <w:bCs/>
          <w:rtl/>
          <w:lang w:eastAsia="de-DE"/>
        </w:rPr>
        <w:t>את</w:t>
      </w:r>
      <w:r w:rsidRPr="00577688">
        <w:rPr>
          <w:rFonts w:eastAsia="Times New Roman" w:cs="Times New Roman"/>
          <w:rtl/>
          <w:lang w:eastAsia="de-DE"/>
        </w:rPr>
        <w:t xml:space="preserve"> </w:t>
      </w:r>
      <w:r w:rsidRPr="00577688">
        <w:rPr>
          <w:rFonts w:eastAsia="Times New Roman" w:cs="Times New Roman"/>
          <w:lang w:eastAsia="de-DE"/>
        </w:rPr>
        <w:t>und Possessivsuffixen, die durch V. 12 vervollständigt wird. Die Struktur betont die Vollständigkeit der Aufzählung.</w:t>
      </w:r>
    </w:p>
    <w:p w14:paraId="47B6F99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beginnt die Aufzählung aller Tierteile, die bei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nicht am Altar verbrannt, sondern außerhalb des Lagers entsorgt werden.</w:t>
      </w:r>
    </w:p>
    <w:p w14:paraId="51930587"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4,12</w:t>
      </w:r>
    </w:p>
    <w:p w14:paraId="1047F1C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וְהוֹצִ֣יא אֶת־כָּל־הַ֠פָּר אֶל־מִח֨וּץ לַֽמַּחֲנֶ֜ה אֶל־מָק֤וֹם טָהוֹר֙ אֶל־שֶׁ֣פֶךְ הַדֶּ֔שֶׁן וְשָׂרַ֥ף אֹתוֹ֛ עַל־עֵצִ֖ים בָּאֵ֑שׁ עַל־שֶׁ֥פֶךְ הַדֶּ֖שֶׁן יִשָּׂרֵֽף׃</w:t>
      </w:r>
    </w:p>
    <w:p w14:paraId="3313EC3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Den ganzen Stier soll er hinausbringen außerhalb des Lagers an einen reinen Ort, nach dem Schutthaufen der Fettasche, und soll ihn auf Holzscheiten mit Feuer verbrennen; auf dem Schutthaufen der Fettasche soll er verbrannt werden.</w:t>
      </w:r>
    </w:p>
    <w:p w14:paraId="1E59A9F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lastRenderedPageBreak/>
        <w:pict w14:anchorId="13B33603">
          <v:rect id="_x0000_i1086" style="width:0;height:1.5pt" o:hralign="center" o:hrstd="t" o:hr="t" fillcolor="#a0a0a0" stroked="f"/>
        </w:pict>
      </w:r>
    </w:p>
    <w:p w14:paraId="70D9194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וְהוֹצִ֣יא אֶת־כָּל־הַ֠פָּר</w:t>
      </w:r>
      <w:r w:rsidRPr="00577688">
        <w:rPr>
          <w:rFonts w:eastAsia="Times New Roman" w:cs="Times New Roman"/>
          <w:rtl/>
          <w:lang w:eastAsia="de-DE"/>
        </w:rPr>
        <w:t xml:space="preserve"> </w:t>
      </w:r>
      <w:r w:rsidRPr="00577688">
        <w:rPr>
          <w:rFonts w:eastAsia="Times New Roman" w:cs="Times New Roman"/>
          <w:lang w:eastAsia="de-DE"/>
        </w:rPr>
        <w:t xml:space="preserve">(und er soll den ganzen Stier hinausbringen) vervollständigt V. 11. </w:t>
      </w:r>
      <w:r w:rsidRPr="00577688">
        <w:rPr>
          <w:rFonts w:eastAsia="Times New Roman" w:cs="Times New Roman"/>
          <w:b/>
          <w:bCs/>
          <w:rtl/>
          <w:lang w:eastAsia="de-DE"/>
        </w:rPr>
        <w:t>הוציא</w:t>
      </w:r>
      <w:r w:rsidRPr="00577688">
        <w:rPr>
          <w:rFonts w:eastAsia="Times New Roman" w:cs="Times New Roman"/>
          <w:rtl/>
          <w:lang w:eastAsia="de-DE"/>
        </w:rPr>
        <w:t xml:space="preserve"> </w:t>
      </w:r>
      <w:r w:rsidRPr="00577688">
        <w:rPr>
          <w:rFonts w:eastAsia="Times New Roman" w:cs="Times New Roman"/>
          <w:lang w:eastAsia="de-DE"/>
        </w:rPr>
        <w:t xml:space="preserve">(hinausbringen) im Hifil-Perfekt mit Waw-Konsekutiv, </w:t>
      </w:r>
      <w:r w:rsidRPr="00577688">
        <w:rPr>
          <w:rFonts w:eastAsia="Times New Roman" w:cs="Times New Roman"/>
          <w:b/>
          <w:bCs/>
          <w:rtl/>
          <w:lang w:eastAsia="de-DE"/>
        </w:rPr>
        <w:t>כל־הפר</w:t>
      </w:r>
      <w:r w:rsidRPr="00577688">
        <w:rPr>
          <w:rFonts w:eastAsia="Times New Roman" w:cs="Times New Roman"/>
          <w:rtl/>
          <w:lang w:eastAsia="de-DE"/>
        </w:rPr>
        <w:t xml:space="preserve"> </w:t>
      </w:r>
      <w:r w:rsidRPr="00577688">
        <w:rPr>
          <w:rFonts w:eastAsia="Times New Roman" w:cs="Times New Roman"/>
          <w:lang w:eastAsia="de-DE"/>
        </w:rPr>
        <w:t xml:space="preserve">(den ganzen Stier) betont die Vollständigkeit. </w:t>
      </w:r>
      <w:r w:rsidRPr="00577688">
        <w:rPr>
          <w:rFonts w:eastAsia="Times New Roman" w:cs="Times New Roman"/>
          <w:b/>
          <w:bCs/>
          <w:rtl/>
          <w:lang w:eastAsia="de-DE"/>
        </w:rPr>
        <w:t>אֶל־מִח֨וּץ לַֽמַּחֲנֶ֜ה</w:t>
      </w:r>
      <w:r w:rsidRPr="00577688">
        <w:rPr>
          <w:rFonts w:eastAsia="Times New Roman" w:cs="Times New Roman"/>
          <w:rtl/>
          <w:lang w:eastAsia="de-DE"/>
        </w:rPr>
        <w:t xml:space="preserve"> </w:t>
      </w:r>
      <w:r w:rsidRPr="00577688">
        <w:rPr>
          <w:rFonts w:eastAsia="Times New Roman" w:cs="Times New Roman"/>
          <w:lang w:eastAsia="de-DE"/>
        </w:rPr>
        <w:t>(außerhalb des Lagers) zeigt die Entsorgung außerhalb des heiligen Bereichs.</w:t>
      </w:r>
    </w:p>
    <w:p w14:paraId="53AAADE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אֶל־מָק֤וֹם טָהוֹר֙</w:t>
      </w:r>
      <w:r w:rsidRPr="00577688">
        <w:rPr>
          <w:rFonts w:eastAsia="Times New Roman" w:cs="Times New Roman"/>
          <w:rtl/>
          <w:lang w:eastAsia="de-DE"/>
        </w:rPr>
        <w:t xml:space="preserve"> </w:t>
      </w:r>
      <w:r w:rsidRPr="00577688">
        <w:rPr>
          <w:rFonts w:eastAsia="Times New Roman" w:cs="Times New Roman"/>
          <w:lang w:eastAsia="de-DE"/>
        </w:rPr>
        <w:t xml:space="preserve">(an einen reinen Ort) spezifiziert die Qualität des Ortes. </w:t>
      </w:r>
      <w:r w:rsidRPr="00577688">
        <w:rPr>
          <w:rFonts w:eastAsia="Times New Roman" w:cs="Times New Roman"/>
          <w:b/>
          <w:bCs/>
          <w:rtl/>
          <w:lang w:eastAsia="de-DE"/>
        </w:rPr>
        <w:t>טָהוֹר</w:t>
      </w:r>
      <w:r w:rsidRPr="00577688">
        <w:rPr>
          <w:rFonts w:eastAsia="Times New Roman" w:cs="Times New Roman"/>
          <w:rtl/>
          <w:lang w:eastAsia="de-DE"/>
        </w:rPr>
        <w:t xml:space="preserve"> </w:t>
      </w:r>
      <w:r w:rsidRPr="00577688">
        <w:rPr>
          <w:rFonts w:eastAsia="Times New Roman" w:cs="Times New Roman"/>
          <w:lang w:eastAsia="de-DE"/>
        </w:rPr>
        <w:t xml:space="preserve">(rein) von </w:t>
      </w:r>
      <w:r w:rsidRPr="00577688">
        <w:rPr>
          <w:rFonts w:eastAsia="Times New Roman" w:cs="Times New Roman"/>
          <w:b/>
          <w:bCs/>
          <w:rtl/>
          <w:lang w:eastAsia="de-DE"/>
        </w:rPr>
        <w:t>טהר</w:t>
      </w:r>
      <w:r w:rsidRPr="00577688">
        <w:rPr>
          <w:rFonts w:eastAsia="Times New Roman" w:cs="Times New Roman"/>
          <w:rtl/>
          <w:lang w:eastAsia="de-DE"/>
        </w:rPr>
        <w:t xml:space="preserve"> </w:t>
      </w:r>
      <w:r w:rsidRPr="00577688">
        <w:rPr>
          <w:rFonts w:eastAsia="Times New Roman" w:cs="Times New Roman"/>
          <w:lang w:eastAsia="de-DE"/>
        </w:rPr>
        <w:t xml:space="preserve">(rein sein) - paradoxerweise muss der Entsorgungsort </w:t>
      </w:r>
      <w:r w:rsidRPr="00577688">
        <w:rPr>
          <w:rFonts w:eastAsia="Times New Roman" w:cs="Times New Roman"/>
          <w:b/>
          <w:bCs/>
          <w:rtl/>
          <w:lang w:eastAsia="de-DE"/>
        </w:rPr>
        <w:t>טהור</w:t>
      </w:r>
      <w:r w:rsidRPr="00577688">
        <w:rPr>
          <w:rFonts w:eastAsia="Times New Roman" w:cs="Times New Roman"/>
          <w:rtl/>
          <w:lang w:eastAsia="de-DE"/>
        </w:rPr>
        <w:t xml:space="preserve"> </w:t>
      </w:r>
      <w:r w:rsidRPr="00577688">
        <w:rPr>
          <w:rFonts w:eastAsia="Times New Roman" w:cs="Times New Roman"/>
          <w:lang w:eastAsia="de-DE"/>
        </w:rPr>
        <w:t xml:space="preserve">(rein) sein, obwohl unreine Sachen entsorgt werden. </w:t>
      </w:r>
      <w:r w:rsidRPr="00577688">
        <w:rPr>
          <w:rFonts w:eastAsia="Times New Roman" w:cs="Times New Roman"/>
          <w:b/>
          <w:bCs/>
          <w:rtl/>
          <w:lang w:eastAsia="de-DE"/>
        </w:rPr>
        <w:t>אֶל־שֶׁ֣פֶךְ הַדֶּ֔שֶׁן</w:t>
      </w:r>
      <w:r w:rsidRPr="00577688">
        <w:rPr>
          <w:rFonts w:eastAsia="Times New Roman" w:cs="Times New Roman"/>
          <w:rtl/>
          <w:lang w:eastAsia="de-DE"/>
        </w:rPr>
        <w:t xml:space="preserve"> </w:t>
      </w:r>
      <w:r w:rsidRPr="00577688">
        <w:rPr>
          <w:rFonts w:eastAsia="Times New Roman" w:cs="Times New Roman"/>
          <w:lang w:eastAsia="de-DE"/>
        </w:rPr>
        <w:t xml:space="preserve">(zum Schutthaufen der Fettasche) erklärt den </w:t>
      </w:r>
      <w:r w:rsidRPr="00577688">
        <w:rPr>
          <w:rFonts w:eastAsia="Times New Roman" w:cs="Times New Roman"/>
          <w:b/>
          <w:bCs/>
          <w:rtl/>
          <w:lang w:eastAsia="de-DE"/>
        </w:rPr>
        <w:t>מקום טהור</w:t>
      </w:r>
      <w:r w:rsidRPr="00577688">
        <w:rPr>
          <w:rFonts w:eastAsia="Times New Roman" w:cs="Times New Roman"/>
          <w:lang w:eastAsia="de-DE"/>
        </w:rPr>
        <w:t>.</w:t>
      </w:r>
    </w:p>
    <w:p w14:paraId="55DD4D8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וְשָׂרַ֥ף אֹתוֹ֛ עַל־עֵצִ֖ים בָּאֵ֑שׁ</w:t>
      </w:r>
      <w:r w:rsidRPr="00577688">
        <w:rPr>
          <w:rFonts w:eastAsia="Times New Roman" w:cs="Times New Roman"/>
          <w:rtl/>
          <w:lang w:eastAsia="de-DE"/>
        </w:rPr>
        <w:t xml:space="preserve"> </w:t>
      </w:r>
      <w:r w:rsidRPr="00577688">
        <w:rPr>
          <w:rFonts w:eastAsia="Times New Roman" w:cs="Times New Roman"/>
          <w:lang w:eastAsia="de-DE"/>
        </w:rPr>
        <w:t xml:space="preserve">(und er soll es auf Holzscheiten mit Feuer verbrennen) zeigt </w:t>
      </w:r>
      <w:r w:rsidRPr="00577688">
        <w:rPr>
          <w:rFonts w:eastAsia="Times New Roman" w:cs="Times New Roman"/>
          <w:b/>
          <w:bCs/>
          <w:rtl/>
          <w:lang w:eastAsia="de-DE"/>
        </w:rPr>
        <w:t>שרף</w:t>
      </w:r>
      <w:r w:rsidRPr="00577688">
        <w:rPr>
          <w:rFonts w:eastAsia="Times New Roman" w:cs="Times New Roman"/>
          <w:rtl/>
          <w:lang w:eastAsia="de-DE"/>
        </w:rPr>
        <w:t xml:space="preserve"> </w:t>
      </w:r>
      <w:r w:rsidRPr="00577688">
        <w:rPr>
          <w:rFonts w:eastAsia="Times New Roman" w:cs="Times New Roman"/>
          <w:lang w:eastAsia="de-DE"/>
        </w:rPr>
        <w:t xml:space="preserve">(verbrennen) im Qal-Perfekt mit Waw-Konsekutiv. </w:t>
      </w:r>
      <w:r w:rsidRPr="00577688">
        <w:rPr>
          <w:rFonts w:eastAsia="Times New Roman" w:cs="Times New Roman"/>
          <w:b/>
          <w:bCs/>
          <w:rtl/>
          <w:lang w:eastAsia="de-DE"/>
        </w:rPr>
        <w:t>על־עצים</w:t>
      </w:r>
      <w:r w:rsidRPr="00577688">
        <w:rPr>
          <w:rFonts w:eastAsia="Times New Roman" w:cs="Times New Roman"/>
          <w:rtl/>
          <w:lang w:eastAsia="de-DE"/>
        </w:rPr>
        <w:t xml:space="preserve"> </w:t>
      </w:r>
      <w:r w:rsidRPr="00577688">
        <w:rPr>
          <w:rFonts w:eastAsia="Times New Roman" w:cs="Times New Roman"/>
          <w:lang w:eastAsia="de-DE"/>
        </w:rPr>
        <w:t xml:space="preserve">(auf Holzscheiten), </w:t>
      </w:r>
      <w:r w:rsidRPr="00577688">
        <w:rPr>
          <w:rFonts w:eastAsia="Times New Roman" w:cs="Times New Roman"/>
          <w:b/>
          <w:bCs/>
          <w:rtl/>
          <w:lang w:eastAsia="de-DE"/>
        </w:rPr>
        <w:t>באש</w:t>
      </w:r>
      <w:r w:rsidRPr="00577688">
        <w:rPr>
          <w:rFonts w:eastAsia="Times New Roman" w:cs="Times New Roman"/>
          <w:rtl/>
          <w:lang w:eastAsia="de-DE"/>
        </w:rPr>
        <w:t xml:space="preserve"> </w:t>
      </w:r>
      <w:r w:rsidRPr="00577688">
        <w:rPr>
          <w:rFonts w:eastAsia="Times New Roman" w:cs="Times New Roman"/>
          <w:lang w:eastAsia="de-DE"/>
        </w:rPr>
        <w:t xml:space="preserve">(mit Feuer). </w:t>
      </w:r>
      <w:r w:rsidRPr="00577688">
        <w:rPr>
          <w:rFonts w:eastAsia="Times New Roman" w:cs="Times New Roman"/>
          <w:b/>
          <w:bCs/>
          <w:rtl/>
          <w:lang w:eastAsia="de-DE"/>
        </w:rPr>
        <w:t>עַל־שֶׁ֥פֶךְ הַדֶּ֖שֶׁן יִשָּׂרֵֽף</w:t>
      </w:r>
      <w:r w:rsidRPr="00577688">
        <w:rPr>
          <w:rFonts w:eastAsia="Times New Roman" w:cs="Times New Roman"/>
          <w:rtl/>
          <w:lang w:eastAsia="de-DE"/>
        </w:rPr>
        <w:t xml:space="preserve"> </w:t>
      </w:r>
      <w:r w:rsidRPr="00577688">
        <w:rPr>
          <w:rFonts w:eastAsia="Times New Roman" w:cs="Times New Roman"/>
          <w:lang w:eastAsia="de-DE"/>
        </w:rPr>
        <w:t>(auf dem Schutthaufen der Fettasche soll es verbrannt werden) wiederholt die Ortsangabe emphatisch.</w:t>
      </w:r>
    </w:p>
    <w:p w14:paraId="25F3339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שֶׁפֶךְ הַדֶּשֶׁן</w:t>
      </w:r>
      <w:r w:rsidRPr="00577688">
        <w:rPr>
          <w:rFonts w:eastAsia="Times New Roman" w:cs="Times New Roman"/>
          <w:rtl/>
          <w:lang w:eastAsia="de-DE"/>
        </w:rPr>
        <w:t xml:space="preserve"> </w:t>
      </w:r>
      <w:r w:rsidRPr="00577688">
        <w:rPr>
          <w:rFonts w:eastAsia="Times New Roman" w:cs="Times New Roman"/>
          <w:lang w:eastAsia="de-DE"/>
        </w:rPr>
        <w:t xml:space="preserve">(Schutthaufen der Fettasche) bezeichnet den Ort, wo die Asche der verbrannten </w:t>
      </w:r>
      <w:r w:rsidRPr="00577688">
        <w:rPr>
          <w:rFonts w:eastAsia="Times New Roman" w:cs="Times New Roman"/>
          <w:b/>
          <w:bCs/>
          <w:rtl/>
          <w:lang w:eastAsia="de-DE"/>
        </w:rPr>
        <w:t>חלב</w:t>
      </w:r>
      <w:r w:rsidRPr="00577688">
        <w:rPr>
          <w:rFonts w:eastAsia="Times New Roman" w:cs="Times New Roman"/>
          <w:lang w:eastAsia="de-DE"/>
        </w:rPr>
        <w:t xml:space="preserve">-Teile und </w:t>
      </w:r>
      <w:r w:rsidRPr="00577688">
        <w:rPr>
          <w:rFonts w:eastAsia="Times New Roman" w:cs="Times New Roman"/>
          <w:b/>
          <w:bCs/>
          <w:rtl/>
          <w:lang w:eastAsia="de-DE"/>
        </w:rPr>
        <w:t>עלה</w:t>
      </w:r>
      <w:r w:rsidRPr="00577688">
        <w:rPr>
          <w:rFonts w:eastAsia="Times New Roman" w:cs="Times New Roman"/>
          <w:lang w:eastAsia="de-DE"/>
        </w:rPr>
        <w:t xml:space="preserve">-Opfer entsorgt wird. </w:t>
      </w:r>
      <w:r w:rsidRPr="00577688">
        <w:rPr>
          <w:rFonts w:eastAsia="Times New Roman" w:cs="Times New Roman"/>
          <w:b/>
          <w:bCs/>
          <w:rtl/>
          <w:lang w:eastAsia="de-DE"/>
        </w:rPr>
        <w:t>שפך</w:t>
      </w:r>
      <w:r w:rsidRPr="00577688">
        <w:rPr>
          <w:rFonts w:eastAsia="Times New Roman" w:cs="Times New Roman"/>
          <w:rtl/>
          <w:lang w:eastAsia="de-DE"/>
        </w:rPr>
        <w:t xml:space="preserve"> </w:t>
      </w:r>
      <w:r w:rsidRPr="00577688">
        <w:rPr>
          <w:rFonts w:eastAsia="Times New Roman" w:cs="Times New Roman"/>
          <w:lang w:eastAsia="de-DE"/>
        </w:rPr>
        <w:t xml:space="preserve">(Ausgießung/Schutthaufen) von </w:t>
      </w:r>
      <w:r w:rsidRPr="00577688">
        <w:rPr>
          <w:rFonts w:eastAsia="Times New Roman" w:cs="Times New Roman"/>
          <w:b/>
          <w:bCs/>
          <w:rtl/>
          <w:lang w:eastAsia="de-DE"/>
        </w:rPr>
        <w:t>שפך</w:t>
      </w:r>
      <w:r w:rsidRPr="00577688">
        <w:rPr>
          <w:rFonts w:eastAsia="Times New Roman" w:cs="Times New Roman"/>
          <w:rtl/>
          <w:lang w:eastAsia="de-DE"/>
        </w:rPr>
        <w:t xml:space="preserve"> </w:t>
      </w:r>
      <w:r w:rsidRPr="00577688">
        <w:rPr>
          <w:rFonts w:eastAsia="Times New Roman" w:cs="Times New Roman"/>
          <w:lang w:eastAsia="de-DE"/>
        </w:rPr>
        <w:t xml:space="preserve">(ausgießen), </w:t>
      </w:r>
      <w:r w:rsidRPr="00577688">
        <w:rPr>
          <w:rFonts w:eastAsia="Times New Roman" w:cs="Times New Roman"/>
          <w:b/>
          <w:bCs/>
          <w:rtl/>
          <w:lang w:eastAsia="de-DE"/>
        </w:rPr>
        <w:t>דשן</w:t>
      </w:r>
      <w:r w:rsidRPr="00577688">
        <w:rPr>
          <w:rFonts w:eastAsia="Times New Roman" w:cs="Times New Roman"/>
          <w:rtl/>
          <w:lang w:eastAsia="de-DE"/>
        </w:rPr>
        <w:t xml:space="preserve"> </w:t>
      </w:r>
      <w:r w:rsidRPr="00577688">
        <w:rPr>
          <w:rFonts w:eastAsia="Times New Roman" w:cs="Times New Roman"/>
          <w:lang w:eastAsia="de-DE"/>
        </w:rPr>
        <w:t>(Fettasche) von den verbrannten Opfern.</w:t>
      </w:r>
    </w:p>
    <w:p w14:paraId="7E10017F" w14:textId="51431FC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מחוץ למחנה</w:t>
      </w:r>
      <w:r w:rsidRPr="00577688">
        <w:rPr>
          <w:rFonts w:eastAsia="Times New Roman" w:cs="Times New Roman"/>
          <w:rtl/>
          <w:lang w:eastAsia="de-DE"/>
        </w:rPr>
        <w:t xml:space="preserve"> </w:t>
      </w:r>
      <w:r w:rsidRPr="00577688">
        <w:rPr>
          <w:rFonts w:eastAsia="Times New Roman" w:cs="Times New Roman"/>
          <w:lang w:eastAsia="de-DE"/>
        </w:rPr>
        <w:t xml:space="preserve">(außerhalb des Lagers) entfernt die Sündenreste aus dem heiligen Bereich. </w:t>
      </w:r>
      <w:r w:rsidRPr="00577688">
        <w:rPr>
          <w:rFonts w:eastAsia="Times New Roman" w:cs="Times New Roman"/>
          <w:b/>
          <w:bCs/>
          <w:rtl/>
          <w:lang w:eastAsia="de-DE"/>
        </w:rPr>
        <w:t>מקום טהור</w:t>
      </w:r>
      <w:r w:rsidRPr="00577688">
        <w:rPr>
          <w:rFonts w:eastAsia="Times New Roman" w:cs="Times New Roman"/>
          <w:rtl/>
          <w:lang w:eastAsia="de-DE"/>
        </w:rPr>
        <w:t xml:space="preserve"> </w:t>
      </w:r>
      <w:r w:rsidRPr="00577688">
        <w:rPr>
          <w:rFonts w:eastAsia="Times New Roman" w:cs="Times New Roman"/>
          <w:lang w:eastAsia="de-DE"/>
        </w:rPr>
        <w:t>(reiner Ort) scheint paradox</w:t>
      </w:r>
      <w:r w:rsidR="00145F96">
        <w:rPr>
          <w:rFonts w:eastAsia="Times New Roman" w:cs="Times New Roman"/>
          <w:lang w:eastAsia="de-DE"/>
        </w:rPr>
        <w:t>:</w:t>
      </w:r>
      <w:r w:rsidRPr="00577688">
        <w:rPr>
          <w:rFonts w:eastAsia="Times New Roman" w:cs="Times New Roman"/>
          <w:lang w:eastAsia="de-DE"/>
        </w:rPr>
        <w:t xml:space="preserve"> </w:t>
      </w:r>
      <w:r w:rsidR="00145F96" w:rsidRPr="00145F96">
        <w:rPr>
          <w:b/>
          <w:bCs/>
          <w:rtl/>
        </w:rPr>
        <w:t>מחוץ</w:t>
      </w:r>
      <w:r w:rsidR="00145F96">
        <w:rPr>
          <w:rtl/>
        </w:rPr>
        <w:t xml:space="preserve"> </w:t>
      </w:r>
      <w:r w:rsidR="00145F96" w:rsidRPr="00145F96">
        <w:rPr>
          <w:b/>
          <w:bCs/>
          <w:rtl/>
        </w:rPr>
        <w:t>למחנה</w:t>
      </w:r>
      <w:r w:rsidR="00145F96">
        <w:t xml:space="preserve"> (außerhalb des Lagers) entfernt die Sündenreste aus dem heiligen Bereich. </w:t>
      </w:r>
      <w:r w:rsidR="00145F96" w:rsidRPr="00145F96">
        <w:rPr>
          <w:b/>
          <w:bCs/>
          <w:rtl/>
        </w:rPr>
        <w:t>מקום</w:t>
      </w:r>
      <w:r w:rsidR="00145F96">
        <w:rPr>
          <w:rtl/>
        </w:rPr>
        <w:t xml:space="preserve"> </w:t>
      </w:r>
      <w:r w:rsidR="00145F96" w:rsidRPr="00145F96">
        <w:rPr>
          <w:b/>
          <w:bCs/>
          <w:rtl/>
        </w:rPr>
        <w:t>טהור</w:t>
      </w:r>
      <w:r w:rsidR="00145F96">
        <w:t xml:space="preserve"> (reiner Ort) scheint paradox, zeigt aber, dass der Entsorgungsort selbst kultisch rein sein muss. Dieser scheinbare Widerspruch zwischen "reinem Ort" und "unreiner Entsorgung" reflektiert eine komplexe Reinheitstheologie: Die </w:t>
      </w:r>
      <w:proofErr w:type="spellStart"/>
      <w:r w:rsidR="00145F96">
        <w:t>gesündte</w:t>
      </w:r>
      <w:proofErr w:type="spellEnd"/>
      <w:r w:rsidR="00145F96">
        <w:t xml:space="preserve"> </w:t>
      </w:r>
      <w:r w:rsidR="00145F96" w:rsidRPr="00145F96">
        <w:rPr>
          <w:b/>
          <w:bCs/>
          <w:rtl/>
        </w:rPr>
        <w:t>חַטָּאת</w:t>
      </w:r>
      <w:r w:rsidR="00145F96">
        <w:t xml:space="preserve">-Reste sind nicht per se unrein, sondern heilig-gefährlich. Sie müssen an einem </w:t>
      </w:r>
      <w:r w:rsidR="00145F96" w:rsidRPr="00145F96">
        <w:rPr>
          <w:b/>
          <w:bCs/>
          <w:rtl/>
        </w:rPr>
        <w:t>טָהוֹר</w:t>
      </w:r>
      <w:r w:rsidR="00145F96">
        <w:t xml:space="preserve">-Ort entsorgt werden, weil sie Gottes heilige Sühnemacht verkörpern. </w:t>
      </w:r>
      <w:r w:rsidR="00145F96" w:rsidRPr="00145F96">
        <w:rPr>
          <w:b/>
          <w:bCs/>
          <w:rtl/>
        </w:rPr>
        <w:t>שֶׁפֶךְ</w:t>
      </w:r>
      <w:r w:rsidR="00145F96">
        <w:rPr>
          <w:rtl/>
        </w:rPr>
        <w:t xml:space="preserve"> </w:t>
      </w:r>
      <w:r w:rsidR="00145F96" w:rsidRPr="00145F96">
        <w:rPr>
          <w:b/>
          <w:bCs/>
          <w:rtl/>
        </w:rPr>
        <w:t>הַדֶּשֶׁן</w:t>
      </w:r>
      <w:r w:rsidR="00145F96">
        <w:t xml:space="preserve"> (Schutthaufen der Fettasche) von anderen </w:t>
      </w:r>
      <w:r w:rsidR="00145F96">
        <w:rPr>
          <w:rtl/>
        </w:rPr>
        <w:t xml:space="preserve">אִשֵּׁי </w:t>
      </w:r>
      <w:r w:rsidR="00145F96" w:rsidRPr="00145F96">
        <w:rPr>
          <w:b/>
          <w:bCs/>
          <w:rtl/>
        </w:rPr>
        <w:t>יְהוָה</w:t>
      </w:r>
      <w:r w:rsidR="00145F96">
        <w:t xml:space="preserve"> (Feueropfern JHWHs) etabliert </w:t>
      </w:r>
      <w:r w:rsidR="00145F96" w:rsidRPr="00145F96">
        <w:t>diesen</w:t>
      </w:r>
      <w:r w:rsidR="00145F96">
        <w:t xml:space="preserve"> Ort bereits als gottgeweiht. Die Paradoxie löst sich auf: Nicht Unreinheit, sondern überschüssige Heiligkeit erfordert die Separation </w:t>
      </w:r>
      <w:r w:rsidR="00145F96" w:rsidRPr="00145F96">
        <w:rPr>
          <w:b/>
          <w:bCs/>
          <w:rtl/>
        </w:rPr>
        <w:t>מחוץ למחנה</w:t>
      </w:r>
      <w:r w:rsidR="00145F96">
        <w:t>.</w:t>
      </w:r>
    </w:p>
    <w:p w14:paraId="471661D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וְהוֹצִ֣יא</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ἐξοίσουσιν</w:t>
      </w:r>
      <w:proofErr w:type="spellEnd"/>
      <w:r w:rsidRPr="00577688">
        <w:rPr>
          <w:rFonts w:eastAsia="Times New Roman" w:cs="Times New Roman"/>
          <w:lang w:eastAsia="de-DE"/>
        </w:rPr>
        <w:t xml:space="preserve"> (und sie sollen hinausbringen), </w:t>
      </w:r>
      <w:r w:rsidRPr="00577688">
        <w:rPr>
          <w:rFonts w:eastAsia="Times New Roman" w:cs="Times New Roman"/>
          <w:b/>
          <w:bCs/>
          <w:rtl/>
          <w:lang w:eastAsia="de-DE"/>
        </w:rPr>
        <w:t>מָק֤וֹם טָהוֹר֙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τό</w:t>
      </w:r>
      <w:proofErr w:type="spellEnd"/>
      <w:r w:rsidRPr="00577688">
        <w:rPr>
          <w:rFonts w:eastAsia="Times New Roman" w:cs="Times New Roman"/>
          <w:lang w:eastAsia="de-DE"/>
        </w:rPr>
        <w:t>πον καθα</w:t>
      </w:r>
      <w:proofErr w:type="spellStart"/>
      <w:r w:rsidRPr="00577688">
        <w:rPr>
          <w:rFonts w:eastAsia="Times New Roman" w:cs="Times New Roman"/>
          <w:lang w:eastAsia="de-DE"/>
        </w:rPr>
        <w:t>ρόν</w:t>
      </w:r>
      <w:proofErr w:type="spellEnd"/>
      <w:r w:rsidRPr="00577688">
        <w:rPr>
          <w:rFonts w:eastAsia="Times New Roman" w:cs="Times New Roman"/>
          <w:lang w:eastAsia="de-DE"/>
        </w:rPr>
        <w:t xml:space="preserve"> (reinen Ort) und </w:t>
      </w:r>
      <w:r w:rsidRPr="00577688">
        <w:rPr>
          <w:rFonts w:eastAsia="Times New Roman" w:cs="Times New Roman"/>
          <w:b/>
          <w:bCs/>
          <w:rtl/>
          <w:lang w:eastAsia="de-DE"/>
        </w:rPr>
        <w:t>שֶׁ֣פֶךְ הַדֶּ֔שֶׁן</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τὴν</w:t>
      </w:r>
      <w:proofErr w:type="spellEnd"/>
      <w:r w:rsidRPr="00577688">
        <w:rPr>
          <w:rFonts w:eastAsia="Times New Roman" w:cs="Times New Roman"/>
          <w:lang w:eastAsia="de-DE"/>
        </w:rPr>
        <w:t xml:space="preserve"> κα</w:t>
      </w:r>
      <w:proofErr w:type="spellStart"/>
      <w:r w:rsidRPr="00577688">
        <w:rPr>
          <w:rFonts w:eastAsia="Times New Roman" w:cs="Times New Roman"/>
          <w:lang w:eastAsia="de-DE"/>
        </w:rPr>
        <w:t>τάχυσιν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σπ</w:t>
      </w:r>
      <w:proofErr w:type="spellStart"/>
      <w:r w:rsidRPr="00577688">
        <w:rPr>
          <w:rFonts w:eastAsia="Times New Roman" w:cs="Times New Roman"/>
          <w:lang w:eastAsia="de-DE"/>
        </w:rPr>
        <w:t>οδιᾶς</w:t>
      </w:r>
      <w:proofErr w:type="spellEnd"/>
      <w:r w:rsidRPr="00577688">
        <w:rPr>
          <w:rFonts w:eastAsia="Times New Roman" w:cs="Times New Roman"/>
          <w:lang w:eastAsia="de-DE"/>
        </w:rPr>
        <w:t xml:space="preserve"> (die Ausgießung der Asche).</w:t>
      </w:r>
    </w:p>
    <w:p w14:paraId="40B3725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Objekt + dreifache Ortsangabe // Verb + Objekt + Adverbialbestimmung + emphatische Ortswiederholung. Die dreifache bzw. doppelte Ortsangabe betont die Wichtigkeit der korrekten Entsorgung.</w:t>
      </w:r>
    </w:p>
    <w:p w14:paraId="3F36E85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beschreibt die vollständige Entsorgung des Hohenpriester-</w:t>
      </w:r>
      <w:r w:rsidRPr="00577688">
        <w:rPr>
          <w:rFonts w:eastAsia="Times New Roman" w:cs="Times New Roman"/>
          <w:b/>
          <w:bCs/>
          <w:rtl/>
          <w:lang w:eastAsia="de-DE"/>
        </w:rPr>
        <w:t>חטאת</w:t>
      </w:r>
      <w:r w:rsidRPr="00577688">
        <w:rPr>
          <w:rFonts w:eastAsia="Times New Roman" w:cs="Times New Roman"/>
          <w:lang w:eastAsia="de-DE"/>
        </w:rPr>
        <w:t>-Stieres außerhalb des heiligen Bereichs und zeigt den fundamentalen Unterschied zu anderen Opferarten, wo Teile verzehrt werden.</w:t>
      </w:r>
    </w:p>
    <w:p w14:paraId="073B1D35"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4,13</w:t>
      </w:r>
    </w:p>
    <w:p w14:paraId="01DC1E6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 כָּל־עֲדַ֤ת יִשְׂרָאֵל֙ יִשְׁגּ֔וּ וְנֶעְלַ֣ם דָּבָ֔ר מֵעֵינֵ֖י הַקָּהָ֑ל וְ֠עָשׂוּ אַחַ֨ת מִכָּל־מִצְוֹ֧ת יְהוָ֛ה אֲשֶׁ֥ר לֹא־תֵעָשֶׂ֖ינָה וְאָשֵֽׁמוּ׃</w:t>
      </w:r>
    </w:p>
    <w:p w14:paraId="7485EB1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Deutsch:</w:t>
      </w:r>
      <w:r w:rsidRPr="00577688">
        <w:rPr>
          <w:rFonts w:eastAsia="Times New Roman" w:cs="Times New Roman"/>
          <w:lang w:eastAsia="de-DE"/>
        </w:rPr>
        <w:t xml:space="preserve"> Und wenn die ganze Gemeinde Jisra'els aus Versehen sündigt und die Sache verborgen ist vor den Augen der Versammlung, und sie tun eines von allen Geboten des Ewigen, die nicht getan werden sollen, und sich verschulden,</w:t>
      </w:r>
    </w:p>
    <w:p w14:paraId="5099B81D"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D5D1A2F">
          <v:rect id="_x0000_i1087" style="width:0;height:1.5pt" o:hralign="center" o:hrstd="t" o:hr="t" fillcolor="#a0a0a0" stroked="f"/>
        </w:pict>
      </w:r>
    </w:p>
    <w:p w14:paraId="343915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 כָּל־עֲדַ֤ת יִשְׂרָאֵל֙ יִשְׁגּ֔וּ</w:t>
      </w:r>
      <w:r w:rsidRPr="00577688">
        <w:rPr>
          <w:rFonts w:eastAsia="Times New Roman" w:cs="Times New Roman"/>
          <w:rtl/>
          <w:lang w:eastAsia="de-DE"/>
        </w:rPr>
        <w:t xml:space="preserve"> </w:t>
      </w:r>
      <w:r w:rsidRPr="00577688">
        <w:rPr>
          <w:rFonts w:eastAsia="Times New Roman" w:cs="Times New Roman"/>
          <w:lang w:eastAsia="de-DE"/>
        </w:rPr>
        <w:t xml:space="preserve">(und wenn die ganze Gemeinde Israels irrt) führt die zweite </w:t>
      </w:r>
      <w:r w:rsidRPr="00577688">
        <w:rPr>
          <w:rFonts w:eastAsia="Times New Roman" w:cs="Times New Roman"/>
          <w:b/>
          <w:bCs/>
          <w:rtl/>
          <w:lang w:eastAsia="de-DE"/>
        </w:rPr>
        <w:t>חטאת</w:t>
      </w:r>
      <w:r w:rsidRPr="00577688">
        <w:rPr>
          <w:rFonts w:eastAsia="Times New Roman" w:cs="Times New Roman"/>
          <w:lang w:eastAsia="de-DE"/>
        </w:rPr>
        <w:t xml:space="preserve">-Kategorie ein. </w:t>
      </w:r>
      <w:r w:rsidRPr="00577688">
        <w:rPr>
          <w:rFonts w:eastAsia="Times New Roman" w:cs="Times New Roman"/>
          <w:b/>
          <w:bCs/>
          <w:rtl/>
          <w:lang w:eastAsia="de-DE"/>
        </w:rPr>
        <w:t>עדת ישראל</w:t>
      </w:r>
      <w:r w:rsidRPr="00577688">
        <w:rPr>
          <w:rFonts w:eastAsia="Times New Roman" w:cs="Times New Roman"/>
          <w:rtl/>
          <w:lang w:eastAsia="de-DE"/>
        </w:rPr>
        <w:t xml:space="preserve"> </w:t>
      </w:r>
      <w:r w:rsidRPr="00577688">
        <w:rPr>
          <w:rFonts w:eastAsia="Times New Roman" w:cs="Times New Roman"/>
          <w:lang w:eastAsia="de-DE"/>
        </w:rPr>
        <w:t xml:space="preserve">(Gemeinde Israels) als Kollektivsubjekt, </w:t>
      </w:r>
      <w:r w:rsidRPr="00577688">
        <w:rPr>
          <w:rFonts w:eastAsia="Times New Roman" w:cs="Times New Roman"/>
          <w:b/>
          <w:bCs/>
          <w:rtl/>
          <w:lang w:eastAsia="de-DE"/>
        </w:rPr>
        <w:t>ישגו</w:t>
      </w:r>
      <w:r w:rsidRPr="00577688">
        <w:rPr>
          <w:rFonts w:eastAsia="Times New Roman" w:cs="Times New Roman"/>
          <w:rtl/>
          <w:lang w:eastAsia="de-DE"/>
        </w:rPr>
        <w:t xml:space="preserve"> </w:t>
      </w:r>
      <w:r w:rsidRPr="00577688">
        <w:rPr>
          <w:rFonts w:eastAsia="Times New Roman" w:cs="Times New Roman"/>
          <w:lang w:eastAsia="de-DE"/>
        </w:rPr>
        <w:t xml:space="preserve">(sie irren) Qal-Imperfekt 3. Person maskulin Plural von </w:t>
      </w:r>
      <w:r w:rsidRPr="00577688">
        <w:rPr>
          <w:rFonts w:eastAsia="Times New Roman" w:cs="Times New Roman"/>
          <w:b/>
          <w:bCs/>
          <w:rtl/>
          <w:lang w:eastAsia="de-DE"/>
        </w:rPr>
        <w:t>שגג</w:t>
      </w:r>
      <w:r w:rsidRPr="00577688">
        <w:rPr>
          <w:rFonts w:eastAsia="Times New Roman" w:cs="Times New Roman"/>
          <w:rtl/>
          <w:lang w:eastAsia="de-DE"/>
        </w:rPr>
        <w:t xml:space="preserve"> </w:t>
      </w:r>
      <w:r w:rsidRPr="00577688">
        <w:rPr>
          <w:rFonts w:eastAsia="Times New Roman" w:cs="Times New Roman"/>
          <w:lang w:eastAsia="de-DE"/>
        </w:rPr>
        <w:t>(irren/sich verirren).</w:t>
      </w:r>
    </w:p>
    <w:p w14:paraId="0D04C2E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וְנֶעְלַ֣ם דָּבָ֔ר מֵעֵינֵ֖י הַקָּהָ֑ל</w:t>
      </w:r>
      <w:r w:rsidRPr="00577688">
        <w:rPr>
          <w:rFonts w:eastAsia="Times New Roman" w:cs="Times New Roman"/>
          <w:rtl/>
          <w:lang w:eastAsia="de-DE"/>
        </w:rPr>
        <w:t xml:space="preserve"> </w:t>
      </w:r>
      <w:r w:rsidRPr="00577688">
        <w:rPr>
          <w:rFonts w:eastAsia="Times New Roman" w:cs="Times New Roman"/>
          <w:lang w:eastAsia="de-DE"/>
        </w:rPr>
        <w:t xml:space="preserve">(und die Sache ist verborgen vor den Augen der Versammlung) zeigt </w:t>
      </w:r>
      <w:r w:rsidRPr="00577688">
        <w:rPr>
          <w:rFonts w:eastAsia="Times New Roman" w:cs="Times New Roman"/>
          <w:b/>
          <w:bCs/>
          <w:rtl/>
          <w:lang w:eastAsia="de-DE"/>
        </w:rPr>
        <w:t>עלם</w:t>
      </w:r>
      <w:r w:rsidRPr="00577688">
        <w:rPr>
          <w:rFonts w:eastAsia="Times New Roman" w:cs="Times New Roman"/>
          <w:rtl/>
          <w:lang w:eastAsia="de-DE"/>
        </w:rPr>
        <w:t xml:space="preserve"> </w:t>
      </w:r>
      <w:r w:rsidRPr="00577688">
        <w:rPr>
          <w:rFonts w:eastAsia="Times New Roman" w:cs="Times New Roman"/>
          <w:lang w:eastAsia="de-DE"/>
        </w:rPr>
        <w:t xml:space="preserve">(verborgen sein) im Nifal-Perfekt mit Waw-Konsekutiv. </w:t>
      </w:r>
      <w:r w:rsidRPr="00577688">
        <w:rPr>
          <w:rFonts w:eastAsia="Times New Roman" w:cs="Times New Roman"/>
          <w:b/>
          <w:bCs/>
          <w:rtl/>
          <w:lang w:eastAsia="de-DE"/>
        </w:rPr>
        <w:t>דבר</w:t>
      </w:r>
      <w:r w:rsidRPr="00577688">
        <w:rPr>
          <w:rFonts w:eastAsia="Times New Roman" w:cs="Times New Roman"/>
          <w:rtl/>
          <w:lang w:eastAsia="de-DE"/>
        </w:rPr>
        <w:t xml:space="preserve"> </w:t>
      </w:r>
      <w:r w:rsidRPr="00577688">
        <w:rPr>
          <w:rFonts w:eastAsia="Times New Roman" w:cs="Times New Roman"/>
          <w:lang w:eastAsia="de-DE"/>
        </w:rPr>
        <w:t xml:space="preserve">(Sache/Angelegenheit), </w:t>
      </w:r>
      <w:r w:rsidRPr="00577688">
        <w:rPr>
          <w:rFonts w:eastAsia="Times New Roman" w:cs="Times New Roman"/>
          <w:b/>
          <w:bCs/>
          <w:rtl/>
          <w:lang w:eastAsia="de-DE"/>
        </w:rPr>
        <w:t>מעיני הקהל</w:t>
      </w:r>
      <w:r w:rsidRPr="00577688">
        <w:rPr>
          <w:rFonts w:eastAsia="Times New Roman" w:cs="Times New Roman"/>
          <w:rtl/>
          <w:lang w:eastAsia="de-DE"/>
        </w:rPr>
        <w:t xml:space="preserve"> </w:t>
      </w:r>
      <w:r w:rsidRPr="00577688">
        <w:rPr>
          <w:rFonts w:eastAsia="Times New Roman" w:cs="Times New Roman"/>
          <w:lang w:eastAsia="de-DE"/>
        </w:rPr>
        <w:t xml:space="preserve">(vor den Augen der Versammlung). </w:t>
      </w:r>
      <w:r w:rsidRPr="00577688">
        <w:rPr>
          <w:rFonts w:eastAsia="Times New Roman" w:cs="Times New Roman"/>
          <w:b/>
          <w:bCs/>
          <w:rtl/>
          <w:lang w:eastAsia="de-DE"/>
        </w:rPr>
        <w:t>קהל</w:t>
      </w:r>
      <w:r w:rsidRPr="00577688">
        <w:rPr>
          <w:rFonts w:eastAsia="Times New Roman" w:cs="Times New Roman"/>
          <w:rtl/>
          <w:lang w:eastAsia="de-DE"/>
        </w:rPr>
        <w:t xml:space="preserve"> </w:t>
      </w:r>
      <w:r w:rsidRPr="00577688">
        <w:rPr>
          <w:rFonts w:eastAsia="Times New Roman" w:cs="Times New Roman"/>
          <w:lang w:eastAsia="de-DE"/>
        </w:rPr>
        <w:t xml:space="preserve">(Versammlung) als Synonym zu </w:t>
      </w:r>
      <w:r w:rsidRPr="00577688">
        <w:rPr>
          <w:rFonts w:eastAsia="Times New Roman" w:cs="Times New Roman"/>
          <w:b/>
          <w:bCs/>
          <w:rtl/>
          <w:lang w:eastAsia="de-DE"/>
        </w:rPr>
        <w:t>עדה</w:t>
      </w:r>
      <w:r w:rsidRPr="00577688">
        <w:rPr>
          <w:rFonts w:eastAsia="Times New Roman" w:cs="Times New Roman"/>
          <w:rtl/>
          <w:lang w:eastAsia="de-DE"/>
        </w:rPr>
        <w:t xml:space="preserve"> </w:t>
      </w:r>
      <w:r w:rsidRPr="00577688">
        <w:rPr>
          <w:rFonts w:eastAsia="Times New Roman" w:cs="Times New Roman"/>
          <w:lang w:eastAsia="de-DE"/>
        </w:rPr>
        <w:t>(Gemeinde).</w:t>
      </w:r>
    </w:p>
    <w:p w14:paraId="0AB571A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וְ֠עָשׂוּ אַחַ֨ת מִכָּל־מִצְוֹ֧ת יְהוָ֛ה אֲשֶׁ֥ר לֹא־תֵעָשֶׂ֖ינָה</w:t>
      </w:r>
      <w:r w:rsidRPr="00577688">
        <w:rPr>
          <w:rFonts w:eastAsia="Times New Roman" w:cs="Times New Roman"/>
          <w:rtl/>
          <w:lang w:eastAsia="de-DE"/>
        </w:rPr>
        <w:t xml:space="preserve"> </w:t>
      </w:r>
      <w:r w:rsidRPr="00577688">
        <w:rPr>
          <w:rFonts w:eastAsia="Times New Roman" w:cs="Times New Roman"/>
          <w:lang w:eastAsia="de-DE"/>
        </w:rPr>
        <w:t xml:space="preserve">(und sie tun eines von allen Geboten JHWHs, die nicht getan werden sollen) wiederholt die Formulierung von V. 2. </w:t>
      </w:r>
      <w:r w:rsidRPr="00577688">
        <w:rPr>
          <w:rFonts w:eastAsia="Times New Roman" w:cs="Times New Roman"/>
          <w:b/>
          <w:bCs/>
          <w:rtl/>
          <w:lang w:eastAsia="de-DE"/>
        </w:rPr>
        <w:t>ועשו</w:t>
      </w:r>
      <w:r w:rsidRPr="00577688">
        <w:rPr>
          <w:rFonts w:eastAsia="Times New Roman" w:cs="Times New Roman"/>
          <w:rtl/>
          <w:lang w:eastAsia="de-DE"/>
        </w:rPr>
        <w:t xml:space="preserve"> </w:t>
      </w:r>
      <w:r w:rsidRPr="00577688">
        <w:rPr>
          <w:rFonts w:eastAsia="Times New Roman" w:cs="Times New Roman"/>
          <w:lang w:eastAsia="de-DE"/>
        </w:rPr>
        <w:t xml:space="preserve">(und sie tun) Qal-Perfekt 3. Person maskulin Plural mit Waw-Konsekutiv. </w:t>
      </w:r>
      <w:r w:rsidRPr="00577688">
        <w:rPr>
          <w:rFonts w:eastAsia="Times New Roman" w:cs="Times New Roman"/>
          <w:b/>
          <w:bCs/>
          <w:rtl/>
          <w:lang w:eastAsia="de-DE"/>
        </w:rPr>
        <w:t>וְאָשֵֽׁמוּ</w:t>
      </w:r>
      <w:r w:rsidRPr="00577688">
        <w:rPr>
          <w:rFonts w:eastAsia="Times New Roman" w:cs="Times New Roman"/>
          <w:rtl/>
          <w:lang w:eastAsia="de-DE"/>
        </w:rPr>
        <w:t xml:space="preserve"> </w:t>
      </w:r>
      <w:r w:rsidRPr="00577688">
        <w:rPr>
          <w:rFonts w:eastAsia="Times New Roman" w:cs="Times New Roman"/>
          <w:lang w:eastAsia="de-DE"/>
        </w:rPr>
        <w:t xml:space="preserve">(und sie verschulden sich) von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(schuldig sein) im Qal-Perfekt 3. Person maskulin Plural.</w:t>
      </w:r>
    </w:p>
    <w:p w14:paraId="6DD50E4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כל־עדת ישראל</w:t>
      </w:r>
      <w:r w:rsidRPr="00577688">
        <w:rPr>
          <w:rFonts w:eastAsia="Times New Roman" w:cs="Times New Roman"/>
          <w:rtl/>
          <w:lang w:eastAsia="de-DE"/>
        </w:rPr>
        <w:t xml:space="preserve"> </w:t>
      </w:r>
      <w:r w:rsidRPr="00577688">
        <w:rPr>
          <w:rFonts w:eastAsia="Times New Roman" w:cs="Times New Roman"/>
          <w:lang w:eastAsia="de-DE"/>
        </w:rPr>
        <w:t xml:space="preserve">(die ganze Gemeinde Israels) betont die kollektive Dimension der Sünde. </w:t>
      </w:r>
      <w:r w:rsidRPr="00577688">
        <w:rPr>
          <w:rFonts w:eastAsia="Times New Roman" w:cs="Times New Roman"/>
          <w:b/>
          <w:bCs/>
          <w:rtl/>
          <w:lang w:eastAsia="de-DE"/>
        </w:rPr>
        <w:t>ישגו</w:t>
      </w:r>
      <w:r w:rsidRPr="00577688">
        <w:rPr>
          <w:rFonts w:eastAsia="Times New Roman" w:cs="Times New Roman"/>
          <w:rtl/>
          <w:lang w:eastAsia="de-DE"/>
        </w:rPr>
        <w:t xml:space="preserve"> </w:t>
      </w:r>
      <w:r w:rsidRPr="00577688">
        <w:rPr>
          <w:rFonts w:eastAsia="Times New Roman" w:cs="Times New Roman"/>
          <w:lang w:eastAsia="de-DE"/>
        </w:rPr>
        <w:t xml:space="preserve">(sie irren) entspricht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(unwissentlich) in V. 2 und zeigt unbeabsichtigte Kollektivsünde.</w:t>
      </w:r>
    </w:p>
    <w:p w14:paraId="2192472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נעלם דבר מעיני הקהל</w:t>
      </w:r>
      <w:r w:rsidRPr="00577688">
        <w:rPr>
          <w:rFonts w:eastAsia="Times New Roman" w:cs="Times New Roman"/>
          <w:rtl/>
          <w:lang w:eastAsia="de-DE"/>
        </w:rPr>
        <w:t xml:space="preserve"> </w:t>
      </w:r>
      <w:r w:rsidRPr="00577688">
        <w:rPr>
          <w:rFonts w:eastAsia="Times New Roman" w:cs="Times New Roman"/>
          <w:lang w:eastAsia="de-DE"/>
        </w:rPr>
        <w:t xml:space="preserve">(die Sache ist verborgen vor den Augen der Versammlung) bedeutet, dass die Übertretung zunächst unerkannt bleibt. </w:t>
      </w:r>
      <w:r w:rsidRPr="00577688">
        <w:rPr>
          <w:rFonts w:eastAsia="Times New Roman" w:cs="Times New Roman"/>
          <w:b/>
          <w:bCs/>
          <w:rtl/>
          <w:lang w:eastAsia="de-DE"/>
        </w:rPr>
        <w:t>עיני הקהל</w:t>
      </w:r>
      <w:r w:rsidRPr="00577688">
        <w:rPr>
          <w:rFonts w:eastAsia="Times New Roman" w:cs="Times New Roman"/>
          <w:rtl/>
          <w:lang w:eastAsia="de-DE"/>
        </w:rPr>
        <w:t xml:space="preserve"> </w:t>
      </w:r>
      <w:r w:rsidRPr="00577688">
        <w:rPr>
          <w:rFonts w:eastAsia="Times New Roman" w:cs="Times New Roman"/>
          <w:lang w:eastAsia="de-DE"/>
        </w:rPr>
        <w:t>(Augen der Versammlung) als kollektive Wahrnehmung.</w:t>
      </w:r>
    </w:p>
    <w:p w14:paraId="03C0C9B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עֲדַ֤ת יִשְׂרָאֵל֙</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συν</w:t>
      </w:r>
      <w:proofErr w:type="spellEnd"/>
      <w:r w:rsidRPr="00577688">
        <w:rPr>
          <w:rFonts w:eastAsia="Times New Roman" w:cs="Times New Roman"/>
          <w:lang w:eastAsia="de-DE"/>
        </w:rPr>
        <w:t xml:space="preserve">αγωγὴ </w:t>
      </w:r>
      <w:proofErr w:type="spellStart"/>
      <w:r w:rsidRPr="00577688">
        <w:rPr>
          <w:rFonts w:eastAsia="Times New Roman" w:cs="Times New Roman"/>
          <w:lang w:eastAsia="de-DE"/>
        </w:rPr>
        <w:t>Ισρ</w:t>
      </w:r>
      <w:proofErr w:type="spellEnd"/>
      <w:r w:rsidRPr="00577688">
        <w:rPr>
          <w:rFonts w:eastAsia="Times New Roman" w:cs="Times New Roman"/>
          <w:lang w:eastAsia="de-DE"/>
        </w:rPr>
        <w:t xml:space="preserve">αηλ (Synagoge Israels), </w:t>
      </w:r>
      <w:r w:rsidRPr="00577688">
        <w:rPr>
          <w:rFonts w:eastAsia="Times New Roman" w:cs="Times New Roman"/>
          <w:b/>
          <w:bCs/>
          <w:rtl/>
          <w:lang w:eastAsia="de-DE"/>
        </w:rPr>
        <w:t>יִשְׁגּ֔וּ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ἀγνοήσῃ</w:t>
      </w:r>
      <w:proofErr w:type="spellEnd"/>
      <w:r w:rsidRPr="00577688">
        <w:rPr>
          <w:rFonts w:eastAsia="Times New Roman" w:cs="Times New Roman"/>
          <w:lang w:eastAsia="de-DE"/>
        </w:rPr>
        <w:t xml:space="preserve"> (sie sollen unwissend handeln) und </w:t>
      </w:r>
      <w:r w:rsidRPr="00577688">
        <w:rPr>
          <w:rFonts w:eastAsia="Times New Roman" w:cs="Times New Roman"/>
          <w:b/>
          <w:bCs/>
          <w:rtl/>
          <w:lang w:eastAsia="de-DE"/>
        </w:rPr>
        <w:t>וְנֶעְלַ֣ם</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λάθῃ</w:t>
      </w:r>
      <w:proofErr w:type="spellEnd"/>
      <w:r w:rsidRPr="00577688">
        <w:rPr>
          <w:rFonts w:eastAsia="Times New Roman" w:cs="Times New Roman"/>
          <w:lang w:eastAsia="de-DE"/>
        </w:rPr>
        <w:t xml:space="preserve"> (und es soll verborgen sein).</w:t>
      </w:r>
    </w:p>
    <w:p w14:paraId="160802F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Protasis (</w:t>
      </w:r>
      <w:r w:rsidRPr="00577688">
        <w:rPr>
          <w:rFonts w:eastAsia="Times New Roman" w:cs="Times New Roman"/>
          <w:rtl/>
          <w:lang w:eastAsia="de-DE"/>
        </w:rPr>
        <w:t>אִם</w:t>
      </w:r>
      <w:r w:rsidRPr="00577688">
        <w:rPr>
          <w:rFonts w:eastAsia="Times New Roman" w:cs="Times New Roman"/>
          <w:lang w:eastAsia="de-DE"/>
        </w:rPr>
        <w:t xml:space="preserve"> + Subjekt + Verb // Verb + Subjekt + Präpositionalphrase // Verb + Objekt + Relativsatz // Verb). Die vierfache Struktur der Protasis zeigt die Komplexität kollektiver Sünde.</w:t>
      </w:r>
    </w:p>
    <w:p w14:paraId="4C66BD7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die zweite </w:t>
      </w:r>
      <w:r w:rsidRPr="00577688">
        <w:rPr>
          <w:rFonts w:eastAsia="Times New Roman" w:cs="Times New Roman"/>
          <w:b/>
          <w:bCs/>
          <w:rtl/>
          <w:lang w:eastAsia="de-DE"/>
        </w:rPr>
        <w:t>חטאת</w:t>
      </w:r>
      <w:r w:rsidRPr="00577688">
        <w:rPr>
          <w:rFonts w:eastAsia="Times New Roman" w:cs="Times New Roman"/>
          <w:lang w:eastAsia="de-DE"/>
        </w:rPr>
        <w:t>-Kategorie ein: unbeabsichtigte Kollektivsünde der gesamten Israelgemeinde, die zunächst unerkannt bleibt.</w:t>
      </w:r>
    </w:p>
    <w:p w14:paraId="1C800C46"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4,14</w:t>
      </w:r>
    </w:p>
    <w:p w14:paraId="7763A52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וְנֽוֹדְעָה֙ הַֽחַטָּ֔את אֲשֶׁ֥ר חָטְא֖וּ עָלֶ֑יהָ וְהִקְרִ֨יבוּ הַקָּהָ֜ל פַּ֤ר בֶּן־בָּקָר֙ לְחַטָּ֔את וְהֵבִ֣יאוּ אֹתוֹ֔ לִפְנֵ֖י אֹ֥הֶל מוֹעֵֽד׃</w:t>
      </w:r>
    </w:p>
    <w:p w14:paraId="44C4C80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die Sünde wird erkannt, die sie begangen haben, so soll die Versammlung einen jungen Stier zum Sündopfer darbringen und ihn vor das Zelt der Begegnung bringen.</w:t>
      </w:r>
    </w:p>
    <w:p w14:paraId="4C3B7BC1"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07C24888">
          <v:rect id="_x0000_i1088" style="width:0;height:1.5pt" o:hralign="center" o:hrstd="t" o:hr="t" fillcolor="#a0a0a0" stroked="f"/>
        </w:pict>
      </w:r>
    </w:p>
    <w:p w14:paraId="21077D92" w14:textId="4DBE5B9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וְנֽוֹדְעָה֙ הַֽחַטָּ֔את</w:t>
      </w:r>
      <w:r w:rsidRPr="00577688">
        <w:rPr>
          <w:rFonts w:eastAsia="Times New Roman" w:cs="Times New Roman"/>
          <w:rtl/>
          <w:lang w:eastAsia="de-DE"/>
        </w:rPr>
        <w:t xml:space="preserve"> </w:t>
      </w:r>
      <w:r w:rsidRPr="00577688">
        <w:rPr>
          <w:rFonts w:eastAsia="Times New Roman" w:cs="Times New Roman"/>
          <w:lang w:eastAsia="de-DE"/>
        </w:rPr>
        <w:t xml:space="preserve">(und die Sünde wird erkannt) zeigt </w:t>
      </w:r>
      <w:r w:rsidRPr="00577688">
        <w:rPr>
          <w:rFonts w:eastAsia="Times New Roman" w:cs="Times New Roman"/>
          <w:b/>
          <w:bCs/>
          <w:rtl/>
          <w:lang w:eastAsia="de-DE"/>
        </w:rPr>
        <w:t>ידע</w:t>
      </w:r>
      <w:r w:rsidRPr="00577688">
        <w:rPr>
          <w:rFonts w:eastAsia="Times New Roman" w:cs="Times New Roman"/>
          <w:rtl/>
          <w:lang w:eastAsia="de-DE"/>
        </w:rPr>
        <w:t xml:space="preserve"> </w:t>
      </w:r>
      <w:r w:rsidRPr="00577688">
        <w:rPr>
          <w:rFonts w:eastAsia="Times New Roman" w:cs="Times New Roman"/>
          <w:lang w:eastAsia="de-DE"/>
        </w:rPr>
        <w:t xml:space="preserve">(wissen/erkennen) im Nifal-Perfekt mit Waw-Konsekutiv, 3. Person feminin Singular, bezogen auf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(Sünde). </w:t>
      </w:r>
      <w:r w:rsidRPr="00577688">
        <w:rPr>
          <w:rFonts w:eastAsia="Times New Roman" w:cs="Times New Roman"/>
          <w:b/>
          <w:bCs/>
          <w:rtl/>
          <w:lang w:eastAsia="de-DE"/>
        </w:rPr>
        <w:lastRenderedPageBreak/>
        <w:t>אֲשֶׁ֥ר חָטְא֖וּ עָלֶ֑יהָ</w:t>
      </w:r>
      <w:r w:rsidRPr="00577688">
        <w:rPr>
          <w:rFonts w:eastAsia="Times New Roman" w:cs="Times New Roman"/>
          <w:rtl/>
          <w:lang w:eastAsia="de-DE"/>
        </w:rPr>
        <w:t xml:space="preserve"> </w:t>
      </w:r>
      <w:r w:rsidRPr="00577688">
        <w:rPr>
          <w:rFonts w:eastAsia="Times New Roman" w:cs="Times New Roman"/>
          <w:lang w:eastAsia="de-DE"/>
        </w:rPr>
        <w:t xml:space="preserve">(die sie begangen haben) ist Relativsatz mit </w:t>
      </w:r>
      <w:r w:rsidRPr="00577688">
        <w:rPr>
          <w:rFonts w:eastAsia="Times New Roman" w:cs="Times New Roman"/>
          <w:b/>
          <w:bCs/>
          <w:rtl/>
          <w:lang w:eastAsia="de-DE"/>
        </w:rPr>
        <w:t>חטא</w:t>
      </w:r>
      <w:r w:rsidRPr="00577688">
        <w:rPr>
          <w:rFonts w:eastAsia="Times New Roman" w:cs="Times New Roman"/>
          <w:rtl/>
          <w:lang w:eastAsia="de-DE"/>
        </w:rPr>
        <w:t xml:space="preserve"> </w:t>
      </w:r>
      <w:r w:rsidRPr="00577688">
        <w:rPr>
          <w:rFonts w:eastAsia="Times New Roman" w:cs="Times New Roman"/>
          <w:lang w:eastAsia="de-DE"/>
        </w:rPr>
        <w:t xml:space="preserve">(sündigen) im Qal-Perfekt 3. Person maskulin Plural. </w:t>
      </w:r>
      <w:r w:rsidRPr="00577688">
        <w:rPr>
          <w:rFonts w:eastAsia="Times New Roman" w:cs="Times New Roman"/>
          <w:b/>
          <w:bCs/>
          <w:rtl/>
          <w:lang w:eastAsia="de-DE"/>
        </w:rPr>
        <w:t>עליה</w:t>
      </w:r>
      <w:r w:rsidRPr="00577688">
        <w:rPr>
          <w:rFonts w:eastAsia="Times New Roman" w:cs="Times New Roman"/>
          <w:rtl/>
          <w:lang w:eastAsia="de-DE"/>
        </w:rPr>
        <w:t xml:space="preserve"> </w:t>
      </w:r>
      <w:r w:rsidRPr="00577688">
        <w:rPr>
          <w:rFonts w:eastAsia="Times New Roman" w:cs="Times New Roman"/>
          <w:lang w:eastAsia="de-DE"/>
        </w:rPr>
        <w:t xml:space="preserve">(über sie/darin) mit </w:t>
      </w:r>
      <w:r w:rsidR="00E35C31">
        <w:rPr>
          <w:rFonts w:eastAsia="Times New Roman" w:cs="Times New Roman"/>
          <w:lang w:eastAsia="de-DE"/>
        </w:rPr>
        <w:t>femininem</w:t>
      </w:r>
      <w:r w:rsidRPr="00577688">
        <w:rPr>
          <w:rFonts w:eastAsia="Times New Roman" w:cs="Times New Roman"/>
          <w:lang w:eastAsia="de-DE"/>
        </w:rPr>
        <w:t xml:space="preserve"> Suffix.</w:t>
      </w:r>
    </w:p>
    <w:p w14:paraId="3769177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וְהִקְרִ֨יבוּ הַקָּהָ֜ל פַּ֤ר בֶּן־בָּקָר֙ לְחַטָּ֔את</w:t>
      </w:r>
      <w:r w:rsidRPr="00577688">
        <w:rPr>
          <w:rFonts w:eastAsia="Times New Roman" w:cs="Times New Roman"/>
          <w:rtl/>
          <w:lang w:eastAsia="de-DE"/>
        </w:rPr>
        <w:t xml:space="preserve"> </w:t>
      </w:r>
      <w:r w:rsidRPr="00577688">
        <w:rPr>
          <w:rFonts w:eastAsia="Times New Roman" w:cs="Times New Roman"/>
          <w:lang w:eastAsia="de-DE"/>
        </w:rPr>
        <w:t xml:space="preserve">(und die Versammlung soll einen jungen Stier zum Sündopfer darbringen) zeigt </w:t>
      </w:r>
      <w:r w:rsidRPr="00577688">
        <w:rPr>
          <w:rFonts w:eastAsia="Times New Roman" w:cs="Times New Roman"/>
          <w:b/>
          <w:bCs/>
          <w:rtl/>
          <w:lang w:eastAsia="de-DE"/>
        </w:rPr>
        <w:t>קרב</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3. Person maskulin Plural. </w:t>
      </w:r>
      <w:r w:rsidRPr="00577688">
        <w:rPr>
          <w:rFonts w:eastAsia="Times New Roman" w:cs="Times New Roman"/>
          <w:b/>
          <w:bCs/>
          <w:rtl/>
          <w:lang w:eastAsia="de-DE"/>
        </w:rPr>
        <w:t>הקהל</w:t>
      </w:r>
      <w:r w:rsidRPr="00577688">
        <w:rPr>
          <w:rFonts w:eastAsia="Times New Roman" w:cs="Times New Roman"/>
          <w:rtl/>
          <w:lang w:eastAsia="de-DE"/>
        </w:rPr>
        <w:t xml:space="preserve"> </w:t>
      </w:r>
      <w:r w:rsidRPr="00577688">
        <w:rPr>
          <w:rFonts w:eastAsia="Times New Roman" w:cs="Times New Roman"/>
          <w:lang w:eastAsia="de-DE"/>
        </w:rPr>
        <w:t xml:space="preserve">(die Versammlung) als Subjekt entspricht </w:t>
      </w:r>
      <w:r w:rsidRPr="00577688">
        <w:rPr>
          <w:rFonts w:eastAsia="Times New Roman" w:cs="Times New Roman"/>
          <w:b/>
          <w:bCs/>
          <w:rtl/>
          <w:lang w:eastAsia="de-DE"/>
        </w:rPr>
        <w:t>עדת ישראל</w:t>
      </w:r>
      <w:r w:rsidRPr="00577688">
        <w:rPr>
          <w:rFonts w:eastAsia="Times New Roman" w:cs="Times New Roman"/>
          <w:rtl/>
          <w:lang w:eastAsia="de-DE"/>
        </w:rPr>
        <w:t xml:space="preserve"> </w:t>
      </w:r>
      <w:r w:rsidRPr="00577688">
        <w:rPr>
          <w:rFonts w:eastAsia="Times New Roman" w:cs="Times New Roman"/>
          <w:lang w:eastAsia="de-DE"/>
        </w:rPr>
        <w:t xml:space="preserve">aus V. 13. </w:t>
      </w:r>
      <w:r w:rsidRPr="00577688">
        <w:rPr>
          <w:rFonts w:eastAsia="Times New Roman" w:cs="Times New Roman"/>
          <w:b/>
          <w:bCs/>
          <w:rtl/>
          <w:lang w:eastAsia="de-DE"/>
        </w:rPr>
        <w:t>פר בן־בקר</w:t>
      </w:r>
      <w:r w:rsidRPr="00577688">
        <w:rPr>
          <w:rFonts w:eastAsia="Times New Roman" w:cs="Times New Roman"/>
          <w:rtl/>
          <w:lang w:eastAsia="de-DE"/>
        </w:rPr>
        <w:t xml:space="preserve"> </w:t>
      </w:r>
      <w:r w:rsidRPr="00577688">
        <w:rPr>
          <w:rFonts w:eastAsia="Times New Roman" w:cs="Times New Roman"/>
          <w:lang w:eastAsia="de-DE"/>
        </w:rPr>
        <w:t>(junger Stier) entspricht dem Hohenpriesteropfer.</w:t>
      </w:r>
    </w:p>
    <w:p w14:paraId="55B515E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וְהֵבִ֣יאוּ אֹתוֹ֔ לִפְנֵ֖י אֹ֥הֶל מוֹעֵֽד</w:t>
      </w:r>
      <w:r w:rsidRPr="00577688">
        <w:rPr>
          <w:rFonts w:eastAsia="Times New Roman" w:cs="Times New Roman"/>
          <w:rtl/>
          <w:lang w:eastAsia="de-DE"/>
        </w:rPr>
        <w:t xml:space="preserve"> </w:t>
      </w:r>
      <w:r w:rsidRPr="00577688">
        <w:rPr>
          <w:rFonts w:eastAsia="Times New Roman" w:cs="Times New Roman"/>
          <w:lang w:eastAsia="de-DE"/>
        </w:rPr>
        <w:t xml:space="preserve">(und sie sollen ihn vor das Zelt der Begegnung bringen) zeigt </w:t>
      </w:r>
      <w:r w:rsidRPr="00577688">
        <w:rPr>
          <w:rFonts w:eastAsia="Times New Roman" w:cs="Times New Roman"/>
          <w:b/>
          <w:bCs/>
          <w:rtl/>
          <w:lang w:eastAsia="de-DE"/>
        </w:rPr>
        <w:t>בוא</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3. Person maskulin Plural. </w:t>
      </w:r>
      <w:r w:rsidRPr="00577688">
        <w:rPr>
          <w:rFonts w:eastAsia="Times New Roman" w:cs="Times New Roman"/>
          <w:b/>
          <w:bCs/>
          <w:rtl/>
          <w:lang w:eastAsia="de-DE"/>
        </w:rPr>
        <w:t>אתו</w:t>
      </w:r>
      <w:r w:rsidRPr="00577688">
        <w:rPr>
          <w:rFonts w:eastAsia="Times New Roman" w:cs="Times New Roman"/>
          <w:rtl/>
          <w:lang w:eastAsia="de-DE"/>
        </w:rPr>
        <w:t xml:space="preserve"> </w:t>
      </w:r>
      <w:r w:rsidRPr="00577688">
        <w:rPr>
          <w:rFonts w:eastAsia="Times New Roman" w:cs="Times New Roman"/>
          <w:lang w:eastAsia="de-DE"/>
        </w:rPr>
        <w:t xml:space="preserve">(ihn) bezieht sich auf </w:t>
      </w:r>
      <w:r w:rsidRPr="00577688">
        <w:rPr>
          <w:rFonts w:eastAsia="Times New Roman" w:cs="Times New Roman"/>
          <w:b/>
          <w:bCs/>
          <w:rtl/>
          <w:lang w:eastAsia="de-DE"/>
        </w:rPr>
        <w:t>פר</w:t>
      </w:r>
      <w:r w:rsidRPr="00577688">
        <w:rPr>
          <w:rFonts w:eastAsia="Times New Roman" w:cs="Times New Roman"/>
          <w:rtl/>
          <w:lang w:eastAsia="de-DE"/>
        </w:rPr>
        <w:t xml:space="preserve"> </w:t>
      </w:r>
      <w:r w:rsidRPr="00577688">
        <w:rPr>
          <w:rFonts w:eastAsia="Times New Roman" w:cs="Times New Roman"/>
          <w:lang w:eastAsia="de-DE"/>
        </w:rPr>
        <w:t xml:space="preserve">zurück. </w:t>
      </w:r>
      <w:r w:rsidRPr="00577688">
        <w:rPr>
          <w:rFonts w:eastAsia="Times New Roman" w:cs="Times New Roman"/>
          <w:b/>
          <w:bCs/>
          <w:rtl/>
          <w:lang w:eastAsia="de-DE"/>
        </w:rPr>
        <w:t>לפני אהל מועד</w:t>
      </w:r>
      <w:r w:rsidRPr="00577688">
        <w:rPr>
          <w:rFonts w:eastAsia="Times New Roman" w:cs="Times New Roman"/>
          <w:rtl/>
          <w:lang w:eastAsia="de-DE"/>
        </w:rPr>
        <w:t xml:space="preserve"> </w:t>
      </w:r>
      <w:r w:rsidRPr="00577688">
        <w:rPr>
          <w:rFonts w:eastAsia="Times New Roman" w:cs="Times New Roman"/>
          <w:lang w:eastAsia="de-DE"/>
        </w:rPr>
        <w:t>entspricht V. 4.</w:t>
      </w:r>
    </w:p>
    <w:p w14:paraId="1F152BB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נודעה החטאת</w:t>
      </w:r>
      <w:r w:rsidRPr="00577688">
        <w:rPr>
          <w:rFonts w:eastAsia="Times New Roman" w:cs="Times New Roman"/>
          <w:rtl/>
          <w:lang w:eastAsia="de-DE"/>
        </w:rPr>
        <w:t xml:space="preserve"> </w:t>
      </w:r>
      <w:r w:rsidRPr="00577688">
        <w:rPr>
          <w:rFonts w:eastAsia="Times New Roman" w:cs="Times New Roman"/>
          <w:lang w:eastAsia="de-DE"/>
        </w:rPr>
        <w:t xml:space="preserve">(die Sünde wird erkannt) ist der Wendepunkt: Aus unbewusster wird bewusste Schuld, die </w:t>
      </w:r>
      <w:r w:rsidRPr="00577688">
        <w:rPr>
          <w:rFonts w:eastAsia="Times New Roman" w:cs="Times New Roman"/>
          <w:b/>
          <w:bCs/>
          <w:rtl/>
          <w:lang w:eastAsia="de-DE"/>
        </w:rPr>
        <w:t>חטאת</w:t>
      </w:r>
      <w:r w:rsidRPr="00577688">
        <w:rPr>
          <w:rFonts w:eastAsia="Times New Roman" w:cs="Times New Roman"/>
          <w:lang w:eastAsia="de-DE"/>
        </w:rPr>
        <w:t xml:space="preserve">-pflichtig macht. </w:t>
      </w:r>
      <w:r w:rsidRPr="00577688">
        <w:rPr>
          <w:rFonts w:eastAsia="Times New Roman" w:cs="Times New Roman"/>
          <w:b/>
          <w:bCs/>
          <w:rtl/>
          <w:lang w:eastAsia="de-DE"/>
        </w:rPr>
        <w:t>ידע</w:t>
      </w:r>
      <w:r w:rsidRPr="00577688">
        <w:rPr>
          <w:rFonts w:eastAsia="Times New Roman" w:cs="Times New Roman"/>
          <w:rtl/>
          <w:lang w:eastAsia="de-DE"/>
        </w:rPr>
        <w:t xml:space="preserve"> </w:t>
      </w:r>
      <w:r w:rsidRPr="00577688">
        <w:rPr>
          <w:rFonts w:eastAsia="Times New Roman" w:cs="Times New Roman"/>
          <w:lang w:eastAsia="de-DE"/>
        </w:rPr>
        <w:t xml:space="preserve">im Nifal betont das passive </w:t>
      </w:r>
      <w:proofErr w:type="spellStart"/>
      <w:r w:rsidRPr="00577688">
        <w:rPr>
          <w:rFonts w:eastAsia="Times New Roman" w:cs="Times New Roman"/>
          <w:lang w:eastAsia="de-DE"/>
        </w:rPr>
        <w:t>Erkanntwerden</w:t>
      </w:r>
      <w:proofErr w:type="spellEnd"/>
      <w:r w:rsidRPr="00577688">
        <w:rPr>
          <w:rFonts w:eastAsia="Times New Roman" w:cs="Times New Roman"/>
          <w:lang w:eastAsia="de-DE"/>
        </w:rPr>
        <w:t>.</w:t>
      </w:r>
    </w:p>
    <w:p w14:paraId="0A39B55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הקהל</w:t>
      </w:r>
      <w:r w:rsidRPr="00577688">
        <w:rPr>
          <w:rFonts w:eastAsia="Times New Roman" w:cs="Times New Roman"/>
          <w:rtl/>
          <w:lang w:eastAsia="de-DE"/>
        </w:rPr>
        <w:t xml:space="preserve"> </w:t>
      </w:r>
      <w:r w:rsidRPr="00577688">
        <w:rPr>
          <w:rFonts w:eastAsia="Times New Roman" w:cs="Times New Roman"/>
          <w:lang w:eastAsia="de-DE"/>
        </w:rPr>
        <w:t xml:space="preserve">(die Versammlung) als handelndes Subjekt zeigt kollektive Verantwortung. </w:t>
      </w:r>
      <w:r w:rsidRPr="00577688">
        <w:rPr>
          <w:rFonts w:eastAsia="Times New Roman" w:cs="Times New Roman"/>
          <w:b/>
          <w:bCs/>
          <w:rtl/>
          <w:lang w:eastAsia="de-DE"/>
        </w:rPr>
        <w:t>פר בן־בקר לחטאת</w:t>
      </w:r>
      <w:r w:rsidRPr="00577688">
        <w:rPr>
          <w:rFonts w:eastAsia="Times New Roman" w:cs="Times New Roman"/>
          <w:rtl/>
          <w:lang w:eastAsia="de-DE"/>
        </w:rPr>
        <w:t xml:space="preserve"> </w:t>
      </w:r>
      <w:r w:rsidRPr="00577688">
        <w:rPr>
          <w:rFonts w:eastAsia="Times New Roman" w:cs="Times New Roman"/>
          <w:lang w:eastAsia="de-DE"/>
        </w:rPr>
        <w:t>(junger Stier zum Sündopfer) entspricht exakt dem Hohenpriesteropfer und zeigt die Gleichwertigkeit der Kollektivsünde.</w:t>
      </w:r>
    </w:p>
    <w:p w14:paraId="62EE792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וְנֽוֹדְעָה֙</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γνωσθῇ</w:t>
      </w:r>
      <w:proofErr w:type="spellEnd"/>
      <w:r w:rsidRPr="00577688">
        <w:rPr>
          <w:rFonts w:eastAsia="Times New Roman" w:cs="Times New Roman"/>
          <w:lang w:eastAsia="de-DE"/>
        </w:rPr>
        <w:t xml:space="preserve"> (und es werde erkannt), </w:t>
      </w:r>
      <w:r w:rsidRPr="00577688">
        <w:rPr>
          <w:rFonts w:eastAsia="Times New Roman" w:cs="Times New Roman"/>
          <w:b/>
          <w:bCs/>
          <w:rtl/>
          <w:lang w:eastAsia="de-DE"/>
        </w:rPr>
        <w:t>הַקָּהָ֜ל</w:t>
      </w:r>
      <w:r w:rsidRPr="00577688">
        <w:rPr>
          <w:rFonts w:eastAsia="Times New Roman" w:cs="Times New Roman"/>
          <w:rtl/>
          <w:lang w:eastAsia="de-DE"/>
        </w:rPr>
        <w:t xml:space="preserve"> </w:t>
      </w:r>
      <w:r w:rsidRPr="00577688">
        <w:rPr>
          <w:rFonts w:eastAsia="Times New Roman" w:cs="Times New Roman"/>
          <w:lang w:eastAsia="de-DE"/>
        </w:rPr>
        <w:t xml:space="preserve">mit ἡ </w:t>
      </w:r>
      <w:proofErr w:type="spellStart"/>
      <w:r w:rsidRPr="00577688">
        <w:rPr>
          <w:rFonts w:eastAsia="Times New Roman" w:cs="Times New Roman"/>
          <w:lang w:eastAsia="de-DE"/>
        </w:rPr>
        <w:t>συν</w:t>
      </w:r>
      <w:proofErr w:type="spellEnd"/>
      <w:r w:rsidRPr="00577688">
        <w:rPr>
          <w:rFonts w:eastAsia="Times New Roman" w:cs="Times New Roman"/>
          <w:lang w:eastAsia="de-DE"/>
        </w:rPr>
        <w:t xml:space="preserve">αγωγή (die Synagoge) und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ερὶ</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αρτίας (bezüglich der Sünde).</w:t>
      </w:r>
    </w:p>
    <w:p w14:paraId="71AA05D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temporaler Nebensatz (Verb + Subjekt + Relativsatz) + Hauptsatz (Verb + Subjekt + Objekt + Zweckangabe // Verb + Objekt + Adverbialbestimmung). Die Struktur zeigt Erkenntnis als Auslöser der Opferpflicht.</w:t>
      </w:r>
    </w:p>
    <w:p w14:paraId="22AEBF9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beschreibt den Wendepunkt von unbewusster zu bewusster Kollektivschuld und etabliert das identische Opfertier wie beim Hohenpriester.</w:t>
      </w:r>
    </w:p>
    <w:p w14:paraId="24F86CB4"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4,15</w:t>
      </w:r>
    </w:p>
    <w:p w14:paraId="696F0A5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וְ֠סָמְכוּ זִקְנֵ֨י הָעֵדָ֧ה אֶת־יְדֵיהֶ֛ם עַל־רֹ֥אשׁ הַפָּ֖ר לִפְנֵ֣י יְהוָ֑ה וְשָׁחַ֥ט אֶת־הַפָּ֖ר לִפְנֵ֥י יְהוָֽה׃</w:t>
      </w:r>
    </w:p>
    <w:p w14:paraId="63ED448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die Ältesten der Gemeinde sollen ihre Hände auf den Kopf des Stieres legen vor dem Ewigen, und man soll den Stier vor dem Ewigen schlachten.</w:t>
      </w:r>
    </w:p>
    <w:p w14:paraId="206A2E4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3653983">
          <v:rect id="_x0000_i1089" style="width:0;height:1.5pt" o:hralign="center" o:hrstd="t" o:hr="t" fillcolor="#a0a0a0" stroked="f"/>
        </w:pict>
      </w:r>
    </w:p>
    <w:p w14:paraId="247F429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וְ֠סָמְכוּ זִקְנֵ֨י הָעֵדָ֧ה אֶת־יְדֵיהֶ֛ם</w:t>
      </w:r>
      <w:r w:rsidRPr="00577688">
        <w:rPr>
          <w:rFonts w:eastAsia="Times New Roman" w:cs="Times New Roman"/>
          <w:rtl/>
          <w:lang w:eastAsia="de-DE"/>
        </w:rPr>
        <w:t xml:space="preserve"> </w:t>
      </w:r>
      <w:r w:rsidRPr="00577688">
        <w:rPr>
          <w:rFonts w:eastAsia="Times New Roman" w:cs="Times New Roman"/>
          <w:lang w:eastAsia="de-DE"/>
        </w:rPr>
        <w:t xml:space="preserve">(und die Ältesten der Gemeinde sollen ihre Hände legen) zeigt </w:t>
      </w:r>
      <w:r w:rsidRPr="00577688">
        <w:rPr>
          <w:rFonts w:eastAsia="Times New Roman" w:cs="Times New Roman"/>
          <w:b/>
          <w:bCs/>
          <w:rtl/>
          <w:lang w:eastAsia="de-DE"/>
        </w:rPr>
        <w:t>סמך</w:t>
      </w:r>
      <w:r w:rsidRPr="00577688">
        <w:rPr>
          <w:rFonts w:eastAsia="Times New Roman" w:cs="Times New Roman"/>
          <w:rtl/>
          <w:lang w:eastAsia="de-DE"/>
        </w:rPr>
        <w:t xml:space="preserve"> </w:t>
      </w:r>
      <w:r w:rsidRPr="00577688">
        <w:rPr>
          <w:rFonts w:eastAsia="Times New Roman" w:cs="Times New Roman"/>
          <w:lang w:eastAsia="de-DE"/>
        </w:rPr>
        <w:t xml:space="preserve">im Qal-Perfekt mit Waw-Konsekutiv, 3. Person maskulin Plural. </w:t>
      </w:r>
      <w:r w:rsidRPr="00577688">
        <w:rPr>
          <w:rFonts w:eastAsia="Times New Roman" w:cs="Times New Roman"/>
          <w:b/>
          <w:bCs/>
          <w:rtl/>
          <w:lang w:eastAsia="de-DE"/>
        </w:rPr>
        <w:t>זקני העדה</w:t>
      </w:r>
      <w:r w:rsidRPr="00577688">
        <w:rPr>
          <w:rFonts w:eastAsia="Times New Roman" w:cs="Times New Roman"/>
          <w:rtl/>
          <w:lang w:eastAsia="de-DE"/>
        </w:rPr>
        <w:t xml:space="preserve"> </w:t>
      </w:r>
      <w:r w:rsidRPr="00577688">
        <w:rPr>
          <w:rFonts w:eastAsia="Times New Roman" w:cs="Times New Roman"/>
          <w:lang w:eastAsia="de-DE"/>
        </w:rPr>
        <w:t xml:space="preserve">(Älteste der Gemeinde) als Repräsentanten, </w:t>
      </w:r>
      <w:r w:rsidRPr="00577688">
        <w:rPr>
          <w:rFonts w:eastAsia="Times New Roman" w:cs="Times New Roman"/>
          <w:b/>
          <w:bCs/>
          <w:rtl/>
          <w:lang w:eastAsia="de-DE"/>
        </w:rPr>
        <w:t>את־ידיהם</w:t>
      </w:r>
      <w:r w:rsidRPr="00577688">
        <w:rPr>
          <w:rFonts w:eastAsia="Times New Roman" w:cs="Times New Roman"/>
          <w:rtl/>
          <w:lang w:eastAsia="de-DE"/>
        </w:rPr>
        <w:t xml:space="preserve"> </w:t>
      </w:r>
      <w:r w:rsidRPr="00577688">
        <w:rPr>
          <w:rFonts w:eastAsia="Times New Roman" w:cs="Times New Roman"/>
          <w:lang w:eastAsia="de-DE"/>
        </w:rPr>
        <w:t xml:space="preserve">(ihre Hände) im Plural - eine besondere Form der </w:t>
      </w:r>
      <w:r w:rsidRPr="00577688">
        <w:rPr>
          <w:rFonts w:eastAsia="Times New Roman" w:cs="Times New Roman"/>
          <w:b/>
          <w:bCs/>
          <w:rtl/>
          <w:lang w:eastAsia="de-DE"/>
        </w:rPr>
        <w:t>סמיכה</w:t>
      </w:r>
      <w:r w:rsidRPr="00577688">
        <w:rPr>
          <w:rFonts w:eastAsia="Times New Roman" w:cs="Times New Roman"/>
          <w:lang w:eastAsia="de-DE"/>
        </w:rPr>
        <w:t>.</w:t>
      </w:r>
    </w:p>
    <w:p w14:paraId="4129CBE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עַל־רֹ֥אשׁ הַפָּ֖ר לִפְנֵ֣י יְהוָ֑ה</w:t>
      </w:r>
      <w:r w:rsidRPr="00577688">
        <w:rPr>
          <w:rFonts w:eastAsia="Times New Roman" w:cs="Times New Roman"/>
          <w:rtl/>
          <w:lang w:eastAsia="de-DE"/>
        </w:rPr>
        <w:t xml:space="preserve"> </w:t>
      </w:r>
      <w:r w:rsidRPr="00577688">
        <w:rPr>
          <w:rFonts w:eastAsia="Times New Roman" w:cs="Times New Roman"/>
          <w:lang w:eastAsia="de-DE"/>
        </w:rPr>
        <w:t>(auf den Kopf des Stieres vor JHWH) entspricht der Standard-</w:t>
      </w:r>
      <w:r w:rsidRPr="00577688">
        <w:rPr>
          <w:rFonts w:eastAsia="Times New Roman" w:cs="Times New Roman"/>
          <w:b/>
          <w:bCs/>
          <w:rtl/>
          <w:lang w:eastAsia="de-DE"/>
        </w:rPr>
        <w:t>סמיכה</w:t>
      </w:r>
      <w:r w:rsidRPr="00577688">
        <w:rPr>
          <w:rFonts w:eastAsia="Times New Roman" w:cs="Times New Roman"/>
          <w:lang w:eastAsia="de-DE"/>
        </w:rPr>
        <w:t xml:space="preserve">, aber mit mehreren Personen. </w:t>
      </w:r>
      <w:r w:rsidRPr="00577688">
        <w:rPr>
          <w:rFonts w:eastAsia="Times New Roman" w:cs="Times New Roman"/>
          <w:b/>
          <w:bCs/>
          <w:rtl/>
          <w:lang w:eastAsia="de-DE"/>
        </w:rPr>
        <w:t>וְשָׁחַ֥ט אֶת־הַפָּ֖ר לִפְנֵ֥י יְהוָֽה</w:t>
      </w:r>
      <w:r w:rsidRPr="00577688">
        <w:rPr>
          <w:rFonts w:eastAsia="Times New Roman" w:cs="Times New Roman"/>
          <w:rtl/>
          <w:lang w:eastAsia="de-DE"/>
        </w:rPr>
        <w:t xml:space="preserve"> </w:t>
      </w:r>
      <w:r w:rsidRPr="00577688">
        <w:rPr>
          <w:rFonts w:eastAsia="Times New Roman" w:cs="Times New Roman"/>
          <w:lang w:eastAsia="de-DE"/>
        </w:rPr>
        <w:t xml:space="preserve">(und man soll den Stier vor JHWH schlachten) zeigt </w:t>
      </w:r>
      <w:r w:rsidRPr="00577688">
        <w:rPr>
          <w:rFonts w:eastAsia="Times New Roman" w:cs="Times New Roman"/>
          <w:b/>
          <w:bCs/>
          <w:rtl/>
          <w:lang w:eastAsia="de-DE"/>
        </w:rPr>
        <w:t>שחט</w:t>
      </w:r>
      <w:r w:rsidRPr="00577688">
        <w:rPr>
          <w:rFonts w:eastAsia="Times New Roman" w:cs="Times New Roman"/>
          <w:rtl/>
          <w:lang w:eastAsia="de-DE"/>
        </w:rPr>
        <w:t xml:space="preserve"> </w:t>
      </w:r>
      <w:r w:rsidRPr="00577688">
        <w:rPr>
          <w:rFonts w:eastAsia="Times New Roman" w:cs="Times New Roman"/>
          <w:lang w:eastAsia="de-DE"/>
        </w:rPr>
        <w:t>im Qal-Perfekt mit Waw-Konsekutiv, 3. Person maskulin Singular ohne explizites Subjekt.</w:t>
      </w:r>
    </w:p>
    <w:p w14:paraId="7B7F65B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זקני העדה</w:t>
      </w:r>
      <w:r w:rsidRPr="00577688">
        <w:rPr>
          <w:rFonts w:eastAsia="Times New Roman" w:cs="Times New Roman"/>
          <w:rtl/>
          <w:lang w:eastAsia="de-DE"/>
        </w:rPr>
        <w:t xml:space="preserve"> </w:t>
      </w:r>
      <w:r w:rsidRPr="00577688">
        <w:rPr>
          <w:rFonts w:eastAsia="Times New Roman" w:cs="Times New Roman"/>
          <w:lang w:eastAsia="de-DE"/>
        </w:rPr>
        <w:t xml:space="preserve">(Älteste der Gemeinde) fungieren als offizielle Repräsentanten der </w:t>
      </w:r>
      <w:r w:rsidRPr="00577688">
        <w:rPr>
          <w:rFonts w:eastAsia="Times New Roman" w:cs="Times New Roman"/>
          <w:b/>
          <w:bCs/>
          <w:rtl/>
          <w:lang w:eastAsia="de-DE"/>
        </w:rPr>
        <w:t>קהל</w:t>
      </w:r>
      <w:r w:rsidRPr="00577688">
        <w:rPr>
          <w:rFonts w:eastAsia="Times New Roman" w:cs="Times New Roman"/>
          <w:rtl/>
          <w:lang w:eastAsia="de-DE"/>
        </w:rPr>
        <w:t xml:space="preserve"> </w:t>
      </w:r>
      <w:r w:rsidRPr="00577688">
        <w:rPr>
          <w:rFonts w:eastAsia="Times New Roman" w:cs="Times New Roman"/>
          <w:lang w:eastAsia="de-DE"/>
        </w:rPr>
        <w:t xml:space="preserve">(Versammlung). </w:t>
      </w:r>
      <w:r w:rsidRPr="00577688">
        <w:rPr>
          <w:rFonts w:eastAsia="Times New Roman" w:cs="Times New Roman"/>
          <w:b/>
          <w:bCs/>
          <w:rtl/>
          <w:lang w:eastAsia="de-DE"/>
        </w:rPr>
        <w:t>ידיהם</w:t>
      </w:r>
      <w:r w:rsidRPr="00577688">
        <w:rPr>
          <w:rFonts w:eastAsia="Times New Roman" w:cs="Times New Roman"/>
          <w:rtl/>
          <w:lang w:eastAsia="de-DE"/>
        </w:rPr>
        <w:t xml:space="preserve"> </w:t>
      </w:r>
      <w:r w:rsidRPr="00577688">
        <w:rPr>
          <w:rFonts w:eastAsia="Times New Roman" w:cs="Times New Roman"/>
          <w:lang w:eastAsia="de-DE"/>
        </w:rPr>
        <w:t xml:space="preserve">(ihre Hände) im Plural zeigt kollektive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durch mehrere Personen gleichzeitig.</w:t>
      </w:r>
    </w:p>
    <w:p w14:paraId="616DAAF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שחט את־הפר</w:t>
      </w:r>
      <w:r w:rsidRPr="00577688">
        <w:rPr>
          <w:rFonts w:eastAsia="Times New Roman" w:cs="Times New Roman"/>
          <w:rtl/>
          <w:lang w:eastAsia="de-DE"/>
        </w:rPr>
        <w:t xml:space="preserve"> </w:t>
      </w:r>
      <w:r w:rsidRPr="00577688">
        <w:rPr>
          <w:rFonts w:eastAsia="Times New Roman" w:cs="Times New Roman"/>
          <w:lang w:eastAsia="de-DE"/>
        </w:rPr>
        <w:t>ohne explizites Subjekt kann bedeuten: "man soll schlachten" (unpersönlich) oder "er soll schlachten" (einer der Ältesten). Bei Kollektivopfern ist die Schlachtung nicht auf eine bestimmte Person festgelegt.</w:t>
      </w:r>
    </w:p>
    <w:p w14:paraId="4744BA3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זִקְנֵ֨י הָעֵדָ֧ה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οἱ</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ρεσ</w:t>
      </w:r>
      <w:proofErr w:type="spellEnd"/>
      <w:r w:rsidRPr="00577688">
        <w:rPr>
          <w:rFonts w:eastAsia="Times New Roman" w:cs="Times New Roman"/>
          <w:lang w:eastAsia="de-DE"/>
        </w:rPr>
        <w:t xml:space="preserve">βύτεροι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συν</w:t>
      </w:r>
      <w:proofErr w:type="spellEnd"/>
      <w:r w:rsidRPr="00577688">
        <w:rPr>
          <w:rFonts w:eastAsia="Times New Roman" w:cs="Times New Roman"/>
          <w:lang w:eastAsia="de-DE"/>
        </w:rPr>
        <w:t xml:space="preserve">αγωγῆς (die Presbyter der Synagoge), </w:t>
      </w:r>
      <w:r w:rsidRPr="00577688">
        <w:rPr>
          <w:rFonts w:eastAsia="Times New Roman" w:cs="Times New Roman"/>
          <w:b/>
          <w:bCs/>
          <w:rtl/>
          <w:lang w:eastAsia="de-DE"/>
        </w:rPr>
        <w:t>אֶת־יְדֵיהֶ֛ם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τὰς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χεῖρ</w:t>
      </w:r>
      <w:proofErr w:type="spellEnd"/>
      <w:r w:rsidRPr="00577688">
        <w:rPr>
          <w:rFonts w:eastAsia="Times New Roman" w:cs="Times New Roman"/>
          <w:lang w:eastAsia="de-DE"/>
        </w:rPr>
        <w:t>ας α</w:t>
      </w:r>
      <w:proofErr w:type="spellStart"/>
      <w:r w:rsidRPr="00577688">
        <w:rPr>
          <w:rFonts w:eastAsia="Times New Roman" w:cs="Times New Roman"/>
          <w:lang w:eastAsia="de-DE"/>
        </w:rPr>
        <w:t>ὐτῶν</w:t>
      </w:r>
      <w:proofErr w:type="spellEnd"/>
      <w:r w:rsidRPr="00577688">
        <w:rPr>
          <w:rFonts w:eastAsia="Times New Roman" w:cs="Times New Roman"/>
          <w:lang w:eastAsia="de-DE"/>
        </w:rPr>
        <w:t xml:space="preserve"> (ihre Hände) und </w:t>
      </w:r>
      <w:r w:rsidRPr="00577688">
        <w:rPr>
          <w:rFonts w:eastAsia="Times New Roman" w:cs="Times New Roman"/>
          <w:b/>
          <w:bCs/>
          <w:rtl/>
          <w:lang w:eastAsia="de-DE"/>
        </w:rPr>
        <w:t>וְשָׁחַ֥ט</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σφάξουσιν</w:t>
      </w:r>
      <w:proofErr w:type="spellEnd"/>
      <w:r w:rsidRPr="00577688">
        <w:rPr>
          <w:rFonts w:eastAsia="Times New Roman" w:cs="Times New Roman"/>
          <w:lang w:eastAsia="de-DE"/>
        </w:rPr>
        <w:t xml:space="preserve"> (und sie sollen schlachten).</w:t>
      </w:r>
    </w:p>
    <w:p w14:paraId="32A9C7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Subjekt + Objekt + Präpositionalphrase + Adverbialbestimmung // Verb + Objekt + Adverbialbestimmung. Die kollektive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 xml:space="preserve">durch </w:t>
      </w:r>
      <w:r w:rsidRPr="00577688">
        <w:rPr>
          <w:rFonts w:eastAsia="Times New Roman" w:cs="Times New Roman"/>
          <w:b/>
          <w:bCs/>
          <w:rtl/>
          <w:lang w:eastAsia="de-DE"/>
        </w:rPr>
        <w:t>זקנים</w:t>
      </w:r>
      <w:r w:rsidRPr="00577688">
        <w:rPr>
          <w:rFonts w:eastAsia="Times New Roman" w:cs="Times New Roman"/>
          <w:rtl/>
          <w:lang w:eastAsia="de-DE"/>
        </w:rPr>
        <w:t xml:space="preserve"> </w:t>
      </w:r>
      <w:r w:rsidRPr="00577688">
        <w:rPr>
          <w:rFonts w:eastAsia="Times New Roman" w:cs="Times New Roman"/>
          <w:lang w:eastAsia="de-DE"/>
        </w:rPr>
        <w:t xml:space="preserve">unterscheidet sich von der individuellen </w:t>
      </w:r>
      <w:r w:rsidRPr="00577688">
        <w:rPr>
          <w:rFonts w:eastAsia="Times New Roman" w:cs="Times New Roman"/>
          <w:b/>
          <w:bCs/>
          <w:rtl/>
          <w:lang w:eastAsia="de-DE"/>
        </w:rPr>
        <w:t>סמיכה</w:t>
      </w:r>
      <w:r w:rsidRPr="00577688">
        <w:rPr>
          <w:rFonts w:eastAsia="Times New Roman" w:cs="Times New Roman"/>
          <w:lang w:eastAsia="de-DE"/>
        </w:rPr>
        <w:t>.</w:t>
      </w:r>
    </w:p>
    <w:p w14:paraId="365DE19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die besondere Form der kollektiven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bei Gemeinde-</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durch die </w:t>
      </w:r>
      <w:r w:rsidRPr="00577688">
        <w:rPr>
          <w:rFonts w:eastAsia="Times New Roman" w:cs="Times New Roman"/>
          <w:b/>
          <w:bCs/>
          <w:rtl/>
          <w:lang w:eastAsia="de-DE"/>
        </w:rPr>
        <w:t>זקנים</w:t>
      </w:r>
      <w:r w:rsidRPr="00577688">
        <w:rPr>
          <w:rFonts w:eastAsia="Times New Roman" w:cs="Times New Roman"/>
          <w:rtl/>
          <w:lang w:eastAsia="de-DE"/>
        </w:rPr>
        <w:t xml:space="preserve"> </w:t>
      </w:r>
      <w:r w:rsidRPr="00577688">
        <w:rPr>
          <w:rFonts w:eastAsia="Times New Roman" w:cs="Times New Roman"/>
          <w:lang w:eastAsia="de-DE"/>
        </w:rPr>
        <w:t>(Ältesten) als offizielle Repräsentanten.</w:t>
      </w:r>
    </w:p>
    <w:p w14:paraId="4AA3F1A3"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4,16</w:t>
      </w:r>
    </w:p>
    <w:p w14:paraId="0E79D24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 הַכֹּהֵ֥ן הַמָּשִׁ֖יחַ מִדַּ֣ם הַפָּ֑ר אֶל־אֹ֖הֶל מוֹעֵֽד׃</w:t>
      </w:r>
    </w:p>
    <w:p w14:paraId="7283F1D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gesalbte Priester soll von dem Blut des Stieres in das Zelt der Begegnung bringen,</w:t>
      </w:r>
    </w:p>
    <w:p w14:paraId="4AE2747D"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D5C2198">
          <v:rect id="_x0000_i1090" style="width:0;height:1.5pt" o:hralign="center" o:hrstd="t" o:hr="t" fillcolor="#a0a0a0" stroked="f"/>
        </w:pict>
      </w:r>
    </w:p>
    <w:p w14:paraId="6C9BCB1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Dieser Vers entspricht exakt V. 5 und zeigt die identische Blutbehandlung bei Hohenpriester- und Gemeinde-</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וְהֵבִ֛יא הַכֹּהֵ֥ן הַמָּשִׁ֖יחַ</w:t>
      </w:r>
      <w:r w:rsidRPr="00577688">
        <w:rPr>
          <w:rFonts w:eastAsia="Times New Roman" w:cs="Times New Roman"/>
          <w:rtl/>
          <w:lang w:eastAsia="de-DE"/>
        </w:rPr>
        <w:t xml:space="preserve"> </w:t>
      </w:r>
      <w:r w:rsidRPr="00577688">
        <w:rPr>
          <w:rFonts w:eastAsia="Times New Roman" w:cs="Times New Roman"/>
          <w:lang w:eastAsia="de-DE"/>
        </w:rPr>
        <w:t xml:space="preserve">(und der gesalbte Priester soll bringen) zeigt </w:t>
      </w:r>
      <w:r w:rsidRPr="00577688">
        <w:rPr>
          <w:rFonts w:eastAsia="Times New Roman" w:cs="Times New Roman"/>
          <w:b/>
          <w:bCs/>
          <w:rtl/>
          <w:lang w:eastAsia="de-DE"/>
        </w:rPr>
        <w:t>בוא</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w:t>
      </w:r>
      <w:r w:rsidRPr="00577688">
        <w:rPr>
          <w:rFonts w:eastAsia="Times New Roman" w:cs="Times New Roman"/>
          <w:b/>
          <w:bCs/>
          <w:rtl/>
          <w:lang w:eastAsia="de-DE"/>
        </w:rPr>
        <w:t>מִדַּ֣ם הַפָּ֑ר</w:t>
      </w:r>
      <w:r w:rsidRPr="00577688">
        <w:rPr>
          <w:rFonts w:eastAsia="Times New Roman" w:cs="Times New Roman"/>
          <w:rtl/>
          <w:lang w:eastAsia="de-DE"/>
        </w:rPr>
        <w:t xml:space="preserve"> </w:t>
      </w:r>
      <w:r w:rsidRPr="00577688">
        <w:rPr>
          <w:rFonts w:eastAsia="Times New Roman" w:cs="Times New Roman"/>
          <w:lang w:eastAsia="de-DE"/>
        </w:rPr>
        <w:t xml:space="preserve">(von dem Blut des Stieres) partitiv, </w:t>
      </w:r>
      <w:r w:rsidRPr="00577688">
        <w:rPr>
          <w:rFonts w:eastAsia="Times New Roman" w:cs="Times New Roman"/>
          <w:b/>
          <w:bCs/>
          <w:rtl/>
          <w:lang w:eastAsia="de-DE"/>
        </w:rPr>
        <w:t>אֶל־אֹ֖הֶל מוֹעֵֽד</w:t>
      </w:r>
      <w:r w:rsidRPr="00577688">
        <w:rPr>
          <w:rFonts w:eastAsia="Times New Roman" w:cs="Times New Roman"/>
          <w:rtl/>
          <w:lang w:eastAsia="de-DE"/>
        </w:rPr>
        <w:t xml:space="preserve"> </w:t>
      </w:r>
      <w:r w:rsidRPr="00577688">
        <w:rPr>
          <w:rFonts w:eastAsia="Times New Roman" w:cs="Times New Roman"/>
          <w:lang w:eastAsia="de-DE"/>
        </w:rPr>
        <w:t>(ins Zelt der Begegnung).</w:t>
      </w:r>
    </w:p>
    <w:p w14:paraId="2FCABF2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 wörtliche Wiederholung von V. 5 etabliert die identische Behandlung von Hohenpriester- und Gemeinde-</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bezüglich des Blutverfahrens. </w:t>
      </w:r>
      <w:r w:rsidRPr="00577688">
        <w:rPr>
          <w:rFonts w:eastAsia="Times New Roman" w:cs="Times New Roman"/>
          <w:b/>
          <w:bCs/>
          <w:rtl/>
          <w:lang w:eastAsia="de-DE"/>
        </w:rPr>
        <w:t>הכהן המשיח</w:t>
      </w:r>
      <w:r w:rsidRPr="00577688">
        <w:rPr>
          <w:rFonts w:eastAsia="Times New Roman" w:cs="Times New Roman"/>
          <w:rtl/>
          <w:lang w:eastAsia="de-DE"/>
        </w:rPr>
        <w:t xml:space="preserve"> </w:t>
      </w:r>
      <w:r w:rsidRPr="00577688">
        <w:rPr>
          <w:rFonts w:eastAsia="Times New Roman" w:cs="Times New Roman"/>
          <w:lang w:eastAsia="de-DE"/>
        </w:rPr>
        <w:t>(der gesalbte Priester) führt auch bei Kollektivsünde die heiligen Handlungen aus.</w:t>
      </w:r>
    </w:p>
    <w:p w14:paraId="1013B21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wiederholt exakt die Übersetzung von V. 5, was die systematische Konsistenz der Verfahren bestätigt.</w:t>
      </w:r>
    </w:p>
    <w:p w14:paraId="5EA46A1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5: Verb + Subjekt + Präpositionalphrase + Adverbialbestimmung. Die Wiederholung unterstreicht die Gleichwertigkeit der beiden </w:t>
      </w:r>
      <w:r w:rsidRPr="00577688">
        <w:rPr>
          <w:rFonts w:eastAsia="Times New Roman" w:cs="Times New Roman"/>
          <w:b/>
          <w:bCs/>
          <w:rtl/>
          <w:lang w:eastAsia="de-DE"/>
        </w:rPr>
        <w:t>חטאת</w:t>
      </w:r>
      <w:r w:rsidRPr="00577688">
        <w:rPr>
          <w:rFonts w:eastAsia="Times New Roman" w:cs="Times New Roman"/>
          <w:lang w:eastAsia="de-DE"/>
        </w:rPr>
        <w:t>-Kategorien.</w:t>
      </w:r>
    </w:p>
    <w:p w14:paraId="648785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 Wiederholung zeigt die systematische Einheit der schweren </w:t>
      </w:r>
      <w:r w:rsidRPr="00577688">
        <w:rPr>
          <w:rFonts w:eastAsia="Times New Roman" w:cs="Times New Roman"/>
          <w:b/>
          <w:bCs/>
          <w:rtl/>
          <w:lang w:eastAsia="de-DE"/>
        </w:rPr>
        <w:t>חטאת</w:t>
      </w:r>
      <w:r w:rsidRPr="00577688">
        <w:rPr>
          <w:rFonts w:eastAsia="Times New Roman" w:cs="Times New Roman"/>
          <w:lang w:eastAsia="de-DE"/>
        </w:rPr>
        <w:t xml:space="preserve">-Formen und die zentrale Rolle des </w:t>
      </w: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bei allen heiligsten </w:t>
      </w:r>
      <w:proofErr w:type="spellStart"/>
      <w:r w:rsidRPr="00577688">
        <w:rPr>
          <w:rFonts w:eastAsia="Times New Roman" w:cs="Times New Roman"/>
          <w:lang w:eastAsia="de-DE"/>
        </w:rPr>
        <w:t>Sühnritualen</w:t>
      </w:r>
      <w:proofErr w:type="spellEnd"/>
      <w:r w:rsidRPr="00577688">
        <w:rPr>
          <w:rFonts w:eastAsia="Times New Roman" w:cs="Times New Roman"/>
          <w:lang w:eastAsia="de-DE"/>
        </w:rPr>
        <w:t>.</w:t>
      </w:r>
    </w:p>
    <w:p w14:paraId="3E23A8FD"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4,17</w:t>
      </w:r>
    </w:p>
    <w:p w14:paraId="7916C44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Hebräisch:</w:t>
      </w:r>
      <w:r w:rsidRPr="00577688">
        <w:rPr>
          <w:rFonts w:eastAsia="Times New Roman" w:cs="Times New Roman"/>
          <w:lang w:eastAsia="de-DE"/>
        </w:rPr>
        <w:t xml:space="preserve"> </w:t>
      </w:r>
      <w:r w:rsidRPr="00577688">
        <w:rPr>
          <w:rFonts w:eastAsia="Times New Roman" w:cs="Times New Roman"/>
          <w:rtl/>
          <w:lang w:eastAsia="de-DE"/>
        </w:rPr>
        <w:t>וְטָבַ֧ל הַכֹּהֵ֛ן אֶצְבָּעֹ֖ו מִן־הַדָּ֑ם וְהִזָּ֞ה שֶׁ֤בַע פְּעָמִים֙ לִפְנֵ֣י יְהוָ֔ה אֵ֖ת פְּנֵ֥י הַפָּרֹֽכֶת׃</w:t>
      </w:r>
    </w:p>
    <w:p w14:paraId="7973E35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seinen Finger in das Blut tauchen und davon siebenmal vor dem Ewigen gegen den Vorhang spritzen.</w:t>
      </w:r>
    </w:p>
    <w:p w14:paraId="6DE5E9B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281973D">
          <v:rect id="_x0000_i1091" style="width:0;height:1.5pt" o:hralign="center" o:hrstd="t" o:hr="t" fillcolor="#a0a0a0" stroked="f"/>
        </w:pict>
      </w:r>
    </w:p>
    <w:p w14:paraId="2843A1E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Dieser Vers entspricht fast exakt V. 6 mit einer geringfügigen Variation: </w:t>
      </w:r>
      <w:r w:rsidRPr="00577688">
        <w:rPr>
          <w:rFonts w:eastAsia="Times New Roman" w:cs="Times New Roman"/>
          <w:b/>
          <w:bCs/>
          <w:rtl/>
          <w:lang w:eastAsia="de-DE"/>
        </w:rPr>
        <w:t>מִן־הַדָּ֑ם</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בַּדָּ֑ם</w:t>
      </w:r>
      <w:r w:rsidRPr="00577688">
        <w:rPr>
          <w:rFonts w:eastAsia="Times New Roman" w:cs="Times New Roman"/>
          <w:rtl/>
          <w:lang w:eastAsia="de-DE"/>
        </w:rPr>
        <w:t xml:space="preserve"> </w:t>
      </w:r>
      <w:r w:rsidRPr="00577688">
        <w:rPr>
          <w:rFonts w:eastAsia="Times New Roman" w:cs="Times New Roman"/>
          <w:lang w:eastAsia="de-DE"/>
        </w:rPr>
        <w:t xml:space="preserve">(in das Blut) und fehlendes </w:t>
      </w:r>
      <w:r w:rsidRPr="00577688">
        <w:rPr>
          <w:rFonts w:eastAsia="Times New Roman" w:cs="Times New Roman"/>
          <w:b/>
          <w:bCs/>
          <w:rtl/>
          <w:lang w:eastAsia="de-DE"/>
        </w:rPr>
        <w:t>הַקֹּֽדֶשׁ</w:t>
      </w:r>
      <w:r w:rsidRPr="00577688">
        <w:rPr>
          <w:rFonts w:eastAsia="Times New Roman" w:cs="Times New Roman"/>
          <w:rtl/>
          <w:lang w:eastAsia="de-DE"/>
        </w:rPr>
        <w:t xml:space="preserve"> </w:t>
      </w:r>
      <w:r w:rsidRPr="00577688">
        <w:rPr>
          <w:rFonts w:eastAsia="Times New Roman" w:cs="Times New Roman"/>
          <w:lang w:eastAsia="de-DE"/>
        </w:rPr>
        <w:t xml:space="preserve">(des Heiligtums). </w:t>
      </w:r>
      <w:r w:rsidRPr="00577688">
        <w:rPr>
          <w:rFonts w:eastAsia="Times New Roman" w:cs="Times New Roman"/>
          <w:b/>
          <w:bCs/>
          <w:rtl/>
          <w:lang w:eastAsia="de-DE"/>
        </w:rPr>
        <w:t>וְטָבַ֧ל הַכֹּהֵ֛ן אֶצְבָּעֹ֖ו מִן־הַדָּ֑ם</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seinen Finger von dem Blut tauchen) zeigt </w:t>
      </w:r>
      <w:r w:rsidRPr="00577688">
        <w:rPr>
          <w:rFonts w:eastAsia="Times New Roman" w:cs="Times New Roman"/>
          <w:b/>
          <w:bCs/>
          <w:rtl/>
          <w:lang w:eastAsia="de-DE"/>
        </w:rPr>
        <w:t>טבל</w:t>
      </w:r>
      <w:r w:rsidRPr="00577688">
        <w:rPr>
          <w:rFonts w:eastAsia="Times New Roman" w:cs="Times New Roman"/>
          <w:rtl/>
          <w:lang w:eastAsia="de-DE"/>
        </w:rPr>
        <w:t xml:space="preserve"> </w:t>
      </w:r>
      <w:r w:rsidRPr="00577688">
        <w:rPr>
          <w:rFonts w:eastAsia="Times New Roman" w:cs="Times New Roman"/>
          <w:lang w:eastAsia="de-DE"/>
        </w:rPr>
        <w:t xml:space="preserve">(tauchen) mit </w:t>
      </w:r>
      <w:r w:rsidRPr="00577688">
        <w:rPr>
          <w:rFonts w:eastAsia="Times New Roman" w:cs="Times New Roman"/>
          <w:b/>
          <w:bCs/>
          <w:rtl/>
          <w:lang w:eastAsia="de-DE"/>
        </w:rPr>
        <w:t>מן</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ב</w:t>
      </w:r>
      <w:r w:rsidRPr="00577688">
        <w:rPr>
          <w:rFonts w:eastAsia="Times New Roman" w:cs="Times New Roman"/>
          <w:lang w:eastAsia="de-DE"/>
        </w:rPr>
        <w:t>.</w:t>
      </w:r>
    </w:p>
    <w:p w14:paraId="45A6794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וְהִזָּ֞ה שֶׁ֤בַע פְּעָמִים֙ לִפְנֵ֣י יְהוָ֔ה אֵ֖ת פְּנֵ֥י הַפָּרֹֽכֶת</w:t>
      </w:r>
      <w:r w:rsidRPr="00577688">
        <w:rPr>
          <w:rFonts w:eastAsia="Times New Roman" w:cs="Times New Roman"/>
          <w:rtl/>
          <w:lang w:eastAsia="de-DE"/>
        </w:rPr>
        <w:t xml:space="preserve"> </w:t>
      </w:r>
      <w:r w:rsidRPr="00577688">
        <w:rPr>
          <w:rFonts w:eastAsia="Times New Roman" w:cs="Times New Roman"/>
          <w:lang w:eastAsia="de-DE"/>
        </w:rPr>
        <w:t xml:space="preserve">(und er soll siebenmal vor JHWH gegen das Angesicht des Vorhangs spritzen) entspricht V. 6, aber ohne </w:t>
      </w:r>
      <w:r w:rsidRPr="00577688">
        <w:rPr>
          <w:rFonts w:eastAsia="Times New Roman" w:cs="Times New Roman"/>
          <w:b/>
          <w:bCs/>
          <w:rtl/>
          <w:lang w:eastAsia="de-DE"/>
        </w:rPr>
        <w:t>הקדש</w:t>
      </w:r>
      <w:r w:rsidRPr="00577688">
        <w:rPr>
          <w:rFonts w:eastAsia="Times New Roman" w:cs="Times New Roman"/>
          <w:rtl/>
          <w:lang w:eastAsia="de-DE"/>
        </w:rPr>
        <w:t xml:space="preserve"> </w:t>
      </w:r>
      <w:r w:rsidRPr="00577688">
        <w:rPr>
          <w:rFonts w:eastAsia="Times New Roman" w:cs="Times New Roman"/>
          <w:lang w:eastAsia="de-DE"/>
        </w:rPr>
        <w:t xml:space="preserve">(des Heiligtums). </w:t>
      </w:r>
      <w:r w:rsidRPr="00577688">
        <w:rPr>
          <w:rFonts w:eastAsia="Times New Roman" w:cs="Times New Roman"/>
          <w:b/>
          <w:bCs/>
          <w:rtl/>
          <w:lang w:eastAsia="de-DE"/>
        </w:rPr>
        <w:t>פרכת</w:t>
      </w:r>
      <w:r w:rsidRPr="00577688">
        <w:rPr>
          <w:rFonts w:eastAsia="Times New Roman" w:cs="Times New Roman"/>
          <w:rtl/>
          <w:lang w:eastAsia="de-DE"/>
        </w:rPr>
        <w:t xml:space="preserve"> </w:t>
      </w:r>
      <w:r w:rsidRPr="00577688">
        <w:rPr>
          <w:rFonts w:eastAsia="Times New Roman" w:cs="Times New Roman"/>
          <w:lang w:eastAsia="de-DE"/>
        </w:rPr>
        <w:t xml:space="preserve">ohne </w:t>
      </w:r>
      <w:r w:rsidRPr="00577688">
        <w:rPr>
          <w:rFonts w:eastAsia="Times New Roman" w:cs="Times New Roman"/>
          <w:b/>
          <w:bCs/>
          <w:rtl/>
          <w:lang w:eastAsia="de-DE"/>
        </w:rPr>
        <w:t>הקדש</w:t>
      </w:r>
      <w:r w:rsidRPr="00577688">
        <w:rPr>
          <w:rFonts w:eastAsia="Times New Roman" w:cs="Times New Roman"/>
          <w:rtl/>
          <w:lang w:eastAsia="de-DE"/>
        </w:rPr>
        <w:t xml:space="preserve"> </w:t>
      </w:r>
      <w:r w:rsidRPr="00577688">
        <w:rPr>
          <w:rFonts w:eastAsia="Times New Roman" w:cs="Times New Roman"/>
          <w:lang w:eastAsia="de-DE"/>
        </w:rPr>
        <w:t>ist stilistische Variation.</w:t>
      </w:r>
    </w:p>
    <w:p w14:paraId="1E875D4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מן־הדם</w:t>
      </w:r>
      <w:r w:rsidRPr="00577688">
        <w:rPr>
          <w:rFonts w:eastAsia="Times New Roman" w:cs="Times New Roman"/>
          <w:rtl/>
          <w:lang w:eastAsia="de-DE"/>
        </w:rPr>
        <w:t xml:space="preserve"> </w:t>
      </w:r>
      <w:r w:rsidRPr="00577688">
        <w:rPr>
          <w:rFonts w:eastAsia="Times New Roman" w:cs="Times New Roman"/>
          <w:lang w:eastAsia="de-DE"/>
        </w:rPr>
        <w:t xml:space="preserve">(von dem Blut) statt </w:t>
      </w:r>
      <w:r w:rsidRPr="00577688">
        <w:rPr>
          <w:rFonts w:eastAsia="Times New Roman" w:cs="Times New Roman"/>
          <w:b/>
          <w:bCs/>
          <w:rtl/>
          <w:lang w:eastAsia="de-DE"/>
        </w:rPr>
        <w:t>בדם</w:t>
      </w:r>
      <w:r w:rsidRPr="00577688">
        <w:rPr>
          <w:rFonts w:eastAsia="Times New Roman" w:cs="Times New Roman"/>
          <w:rtl/>
          <w:lang w:eastAsia="de-DE"/>
        </w:rPr>
        <w:t xml:space="preserve"> </w:t>
      </w:r>
      <w:r w:rsidRPr="00577688">
        <w:rPr>
          <w:rFonts w:eastAsia="Times New Roman" w:cs="Times New Roman"/>
          <w:lang w:eastAsia="de-DE"/>
        </w:rPr>
        <w:t>(in das Blut) zeigt grammatische Flexibilität bei identischer praktischer Bedeutung. Beide Präpositionen beschreiben das Eintauchen des Fingers ins Blut.</w:t>
      </w:r>
    </w:p>
    <w:p w14:paraId="4A12476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entsprechend V. 6 mit geringfügigen Anpassungen: </w:t>
      </w:r>
      <w:r w:rsidRPr="00577688">
        <w:rPr>
          <w:rFonts w:eastAsia="Times New Roman" w:cs="Times New Roman"/>
          <w:b/>
          <w:bCs/>
          <w:rtl/>
          <w:lang w:eastAsia="de-DE"/>
        </w:rPr>
        <w:t>מִן־הַדָּ֑ם</w:t>
      </w:r>
      <w:r w:rsidRPr="00577688">
        <w:rPr>
          <w:rFonts w:eastAsia="Times New Roman" w:cs="Times New Roman"/>
          <w:rtl/>
          <w:lang w:eastAsia="de-DE"/>
        </w:rPr>
        <w:t xml:space="preserve"> </w:t>
      </w:r>
      <w:r w:rsidRPr="00577688">
        <w:rPr>
          <w:rFonts w:eastAsia="Times New Roman" w:cs="Times New Roman"/>
          <w:lang w:eastAsia="de-DE"/>
        </w:rPr>
        <w:t xml:space="preserve">wird mit ἀπὸ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ἵμ</w:t>
      </w:r>
      <w:proofErr w:type="spellEnd"/>
      <w:r w:rsidRPr="00577688">
        <w:rPr>
          <w:rFonts w:eastAsia="Times New Roman" w:cs="Times New Roman"/>
          <w:lang w:eastAsia="de-DE"/>
        </w:rPr>
        <w:t>ατος (von dem Blut) wiedergegeben.</w:t>
      </w:r>
    </w:p>
    <w:p w14:paraId="3A4945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6: zwei koordinierte Hauptsätze mit detaillierter Beschreibung des siebenmaligen Spritzrituals vor dem </w:t>
      </w:r>
      <w:r w:rsidRPr="00577688">
        <w:rPr>
          <w:rFonts w:eastAsia="Times New Roman" w:cs="Times New Roman"/>
          <w:b/>
          <w:bCs/>
          <w:rtl/>
          <w:lang w:eastAsia="de-DE"/>
        </w:rPr>
        <w:t>פרכת</w:t>
      </w:r>
      <w:r w:rsidRPr="00577688">
        <w:rPr>
          <w:rFonts w:eastAsia="Times New Roman" w:cs="Times New Roman"/>
          <w:lang w:eastAsia="de-DE"/>
        </w:rPr>
        <w:t>.</w:t>
      </w:r>
    </w:p>
    <w:p w14:paraId="27F1BEF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 geringfügige Variation zeigt die lebendige Flexibilität der Gesetzessprache bei inhaltlicher Identität des Rituals für beide schweren </w:t>
      </w:r>
      <w:r w:rsidRPr="00577688">
        <w:rPr>
          <w:rFonts w:eastAsia="Times New Roman" w:cs="Times New Roman"/>
          <w:b/>
          <w:bCs/>
          <w:rtl/>
          <w:lang w:eastAsia="de-DE"/>
        </w:rPr>
        <w:t>חטאת</w:t>
      </w:r>
      <w:r w:rsidRPr="00577688">
        <w:rPr>
          <w:rFonts w:eastAsia="Times New Roman" w:cs="Times New Roman"/>
          <w:lang w:eastAsia="de-DE"/>
        </w:rPr>
        <w:t>-Formen.</w:t>
      </w:r>
    </w:p>
    <w:p w14:paraId="00384ECC"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4,18</w:t>
      </w:r>
    </w:p>
    <w:p w14:paraId="0B3390A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וּמִן־הַדָּ֞ם יִתֵּ֣ן׀ עַל־קַרְנֹ֣ת הַמִּזְבֵּ֗חַ אֲשֶׁר֙ לִפְנֵ֣י יְהוָ֔ה אֲשֶׁ֖ר בְּאֹ֣הֶל מוֹעֵ֑ד וְאֵ֣ת כָּל־הַדָּ֗ם יִשְׁפֹּךְ֙ אֶל־יְסוֹד֙ מִזְבַּ֣ח הָעֹלָ֔ה אֲשֶׁר־פֶּ֖תַח אֹ֥הֶל מוֹעֵֽד׃</w:t>
      </w:r>
    </w:p>
    <w:p w14:paraId="5440EE0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von dem Blut an die Hörner des Altars, der vor dem Ewigen im Zelt der Begegnung ist, tun; und alles Blut soll er an den Fuß des Aufsteigeopferaltars gießen, der am Eingang des Zeltes der Begegnung ist.</w:t>
      </w:r>
    </w:p>
    <w:p w14:paraId="59F91DF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093E2E3">
          <v:rect id="_x0000_i1092" style="width:0;height:1.5pt" o:hralign="center" o:hrstd="t" o:hr="t" fillcolor="#a0a0a0" stroked="f"/>
        </w:pict>
      </w:r>
    </w:p>
    <w:p w14:paraId="4500431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Dieser Vers entspricht V. 7 mit geringfügigen Variationen. </w:t>
      </w:r>
      <w:r w:rsidRPr="00577688">
        <w:rPr>
          <w:rFonts w:eastAsia="Times New Roman" w:cs="Times New Roman"/>
          <w:b/>
          <w:bCs/>
          <w:rtl/>
          <w:lang w:eastAsia="de-DE"/>
        </w:rPr>
        <w:t>וּמִן־הַדָּ֞ם יִתֵּ֣ן׀ עַל־קַרְנֹ֣ת הַמִּזְבֵּ֗חַ</w:t>
      </w:r>
      <w:r w:rsidRPr="00577688">
        <w:rPr>
          <w:rFonts w:eastAsia="Times New Roman" w:cs="Times New Roman"/>
          <w:rtl/>
          <w:lang w:eastAsia="de-DE"/>
        </w:rPr>
        <w:t xml:space="preserve"> </w:t>
      </w:r>
      <w:r w:rsidRPr="00577688">
        <w:rPr>
          <w:rFonts w:eastAsia="Times New Roman" w:cs="Times New Roman"/>
          <w:lang w:eastAsia="de-DE"/>
        </w:rPr>
        <w:t xml:space="preserve">(und von dem Blut soll er an die Hörner des Altars geben) zeigt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(geben) statt des Partizips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in V. 7. </w:t>
      </w: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xml:space="preserve">(der Altar) ohne </w:t>
      </w:r>
      <w:r w:rsidRPr="00577688">
        <w:rPr>
          <w:rFonts w:eastAsia="Times New Roman" w:cs="Times New Roman"/>
          <w:b/>
          <w:bCs/>
          <w:rtl/>
          <w:lang w:eastAsia="de-DE"/>
        </w:rPr>
        <w:t>קטרת הסמים</w:t>
      </w:r>
      <w:r w:rsidRPr="00577688">
        <w:rPr>
          <w:rFonts w:eastAsia="Times New Roman" w:cs="Times New Roman"/>
          <w:rtl/>
          <w:lang w:eastAsia="de-DE"/>
        </w:rPr>
        <w:t xml:space="preserve"> </w:t>
      </w:r>
      <w:r w:rsidRPr="00577688">
        <w:rPr>
          <w:rFonts w:eastAsia="Times New Roman" w:cs="Times New Roman"/>
          <w:lang w:eastAsia="de-DE"/>
        </w:rPr>
        <w:t>(des wohlriechenden Räucherwerks).</w:t>
      </w:r>
    </w:p>
    <w:p w14:paraId="361A641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אֲשֶׁר֙ לִפְנֵ֣י יְהוָ֔ה אֲשֶׁ֖ר בְּאֹ֣הֶל מוֹעֵ֑ד</w:t>
      </w:r>
      <w:r w:rsidRPr="00577688">
        <w:rPr>
          <w:rFonts w:eastAsia="Times New Roman" w:cs="Times New Roman"/>
          <w:rtl/>
          <w:lang w:eastAsia="de-DE"/>
        </w:rPr>
        <w:t xml:space="preserve"> </w:t>
      </w:r>
      <w:r w:rsidRPr="00577688">
        <w:rPr>
          <w:rFonts w:eastAsia="Times New Roman" w:cs="Times New Roman"/>
          <w:lang w:eastAsia="de-DE"/>
        </w:rPr>
        <w:t xml:space="preserve">(der vor JHWH ist, der im Zelt der Begegnung ist) zeigt doppelten Relativsatz zur Lokalisierung des Räucheraltars. </w:t>
      </w:r>
      <w:r w:rsidRPr="00577688">
        <w:rPr>
          <w:rFonts w:eastAsia="Times New Roman" w:cs="Times New Roman"/>
          <w:b/>
          <w:bCs/>
          <w:rtl/>
          <w:lang w:eastAsia="de-DE"/>
        </w:rPr>
        <w:t>וְאֵ֣ת כָּל־הַדָּ֗ם יִשְׁפֹּךְ֙ אֶל־יְסוֹד֙ מִזְבַּ֣ח הָעֹלָ֔ה</w:t>
      </w:r>
      <w:r w:rsidRPr="00577688">
        <w:rPr>
          <w:rFonts w:eastAsia="Times New Roman" w:cs="Times New Roman"/>
          <w:rtl/>
          <w:lang w:eastAsia="de-DE"/>
        </w:rPr>
        <w:t xml:space="preserve"> </w:t>
      </w:r>
      <w:r w:rsidRPr="00577688">
        <w:rPr>
          <w:rFonts w:eastAsia="Times New Roman" w:cs="Times New Roman"/>
          <w:lang w:eastAsia="de-DE"/>
        </w:rPr>
        <w:t>entspricht V. 7 exakt.</w:t>
      </w:r>
    </w:p>
    <w:p w14:paraId="2D7F33B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 Variation </w:t>
      </w: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מזבח קטרת הסמים</w:t>
      </w:r>
      <w:r w:rsidRPr="00577688">
        <w:rPr>
          <w:rFonts w:eastAsia="Times New Roman" w:cs="Times New Roman"/>
          <w:rtl/>
          <w:lang w:eastAsia="de-DE"/>
        </w:rPr>
        <w:t xml:space="preserve"> </w:t>
      </w:r>
      <w:r w:rsidRPr="00577688">
        <w:rPr>
          <w:rFonts w:eastAsia="Times New Roman" w:cs="Times New Roman"/>
          <w:lang w:eastAsia="de-DE"/>
        </w:rPr>
        <w:t xml:space="preserve">zeigt, dass der Kontext (innen im </w:t>
      </w:r>
      <w:r w:rsidRPr="00577688">
        <w:rPr>
          <w:rFonts w:eastAsia="Times New Roman" w:cs="Times New Roman"/>
          <w:b/>
          <w:bCs/>
          <w:rtl/>
          <w:lang w:eastAsia="de-DE"/>
        </w:rPr>
        <w:t>אהל מועד</w:t>
      </w:r>
      <w:r w:rsidRPr="00577688">
        <w:rPr>
          <w:rFonts w:eastAsia="Times New Roman" w:cs="Times New Roman"/>
          <w:lang w:eastAsia="de-DE"/>
        </w:rPr>
        <w:t xml:space="preserve">) den Räucheraltar eindeutig identifiziert. </w:t>
      </w:r>
      <w:r w:rsidRPr="00577688">
        <w:rPr>
          <w:rFonts w:eastAsia="Times New Roman" w:cs="Times New Roman"/>
          <w:b/>
          <w:bCs/>
          <w:rtl/>
          <w:lang w:eastAsia="de-DE"/>
        </w:rPr>
        <w:t>יתן</w:t>
      </w:r>
      <w:r w:rsidRPr="00577688">
        <w:rPr>
          <w:rFonts w:eastAsia="Times New Roman" w:cs="Times New Roman"/>
          <w:rtl/>
          <w:lang w:eastAsia="de-DE"/>
        </w:rPr>
        <w:t xml:space="preserve"> </w:t>
      </w:r>
      <w:r w:rsidRPr="00577688">
        <w:rPr>
          <w:rFonts w:eastAsia="Times New Roman" w:cs="Times New Roman"/>
          <w:lang w:eastAsia="de-DE"/>
        </w:rPr>
        <w:t xml:space="preserve">(er soll geben) statt </w:t>
      </w:r>
      <w:r w:rsidRPr="00577688">
        <w:rPr>
          <w:rFonts w:eastAsia="Times New Roman" w:cs="Times New Roman"/>
          <w:b/>
          <w:bCs/>
          <w:rtl/>
          <w:lang w:eastAsia="de-DE"/>
        </w:rPr>
        <w:t>ונתן</w:t>
      </w:r>
      <w:r w:rsidRPr="00577688">
        <w:rPr>
          <w:rFonts w:eastAsia="Times New Roman" w:cs="Times New Roman"/>
          <w:rtl/>
          <w:lang w:eastAsia="de-DE"/>
        </w:rPr>
        <w:t xml:space="preserve"> </w:t>
      </w:r>
      <w:r w:rsidRPr="00577688">
        <w:rPr>
          <w:rFonts w:eastAsia="Times New Roman" w:cs="Times New Roman"/>
          <w:lang w:eastAsia="de-DE"/>
        </w:rPr>
        <w:t>(und er soll geben) ist grammatische Flexibilität.</w:t>
      </w:r>
    </w:p>
    <w:p w14:paraId="03F05132" w14:textId="1834172E"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hat </w:t>
      </w:r>
      <w:proofErr w:type="spellStart"/>
      <w:r w:rsidR="005070BF">
        <w:t>τοῦ</w:t>
      </w:r>
      <w:proofErr w:type="spellEnd"/>
      <w:r w:rsidR="005070BF">
        <w:t xml:space="preserve"> </w:t>
      </w:r>
      <w:proofErr w:type="spellStart"/>
      <w:r w:rsidR="005070BF">
        <w:t>θυσι</w:t>
      </w:r>
      <w:proofErr w:type="spellEnd"/>
      <w:r w:rsidR="005070BF">
        <w:t xml:space="preserve">αστηρίου </w:t>
      </w:r>
      <w:proofErr w:type="spellStart"/>
      <w:r w:rsidR="005070BF">
        <w:t>τῶν</w:t>
      </w:r>
      <w:proofErr w:type="spellEnd"/>
      <w:r w:rsidR="005070BF">
        <w:t xml:space="preserve"> καρπ</w:t>
      </w:r>
      <w:proofErr w:type="spellStart"/>
      <w:r w:rsidR="005070BF">
        <w:t>ώσεων</w:t>
      </w:r>
      <w:proofErr w:type="spellEnd"/>
      <w:r w:rsidR="005070BF">
        <w:t xml:space="preserve"> (der Altar der Fruchtdarbringungen) für </w:t>
      </w:r>
      <w:r w:rsidR="005070BF">
        <w:rPr>
          <w:rtl/>
        </w:rPr>
        <w:t>מזבח העלה</w:t>
      </w:r>
      <w:r w:rsidR="005070BF">
        <w:t xml:space="preserve">, was die </w:t>
      </w:r>
      <w:proofErr w:type="spellStart"/>
      <w:r w:rsidR="005070BF">
        <w:t>κάρ</w:t>
      </w:r>
      <w:proofErr w:type="spellEnd"/>
      <w:r w:rsidR="005070BF">
        <w:t>πωμα-Terminologie in einen anderen Kontext überträgt.</w:t>
      </w:r>
    </w:p>
    <w:p w14:paraId="3567B0D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V. 7: zwei koordinierte Hauptsätze mit ausführlichen Ortsangaben für beide Altäre. Die doppelten Relativsätze betonen die liturgische Präzision.</w:t>
      </w:r>
    </w:p>
    <w:p w14:paraId="65F84BD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 Variation zeigt stilistische Flexibilität bei inhaltlicher Identität des Blutverfahrens für Hohenpriester- und Gemeinde-</w:t>
      </w:r>
      <w:r w:rsidRPr="00577688">
        <w:rPr>
          <w:rFonts w:eastAsia="Times New Roman" w:cs="Times New Roman"/>
          <w:b/>
          <w:bCs/>
          <w:rtl/>
          <w:lang w:eastAsia="de-DE"/>
        </w:rPr>
        <w:t>חטאת</w:t>
      </w:r>
      <w:r w:rsidRPr="00577688">
        <w:rPr>
          <w:rFonts w:eastAsia="Times New Roman" w:cs="Times New Roman"/>
          <w:lang w:eastAsia="de-DE"/>
        </w:rPr>
        <w:t>.</w:t>
      </w:r>
    </w:p>
    <w:p w14:paraId="0181B313"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4,19</w:t>
      </w:r>
    </w:p>
    <w:p w14:paraId="67BF961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 כָּל־חֶלְבֹּ֖ו יָרִ֣ים מִמֶּ֑נּוּ וְהִקְטִ֖יר הַמִּזְבֵּֽחָה׃</w:t>
      </w:r>
    </w:p>
    <w:p w14:paraId="3BED3D4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all sein Fett soll er von ihm abheben und auf dem Altar räuchern.</w:t>
      </w:r>
    </w:p>
    <w:p w14:paraId="1753D091"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47415AC">
          <v:rect id="_x0000_i1093" style="width:0;height:1.5pt" o:hralign="center" o:hrstd="t" o:hr="t" fillcolor="#a0a0a0" stroked="f"/>
        </w:pict>
      </w:r>
    </w:p>
    <w:p w14:paraId="0574F80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 כָּל־חֶלְבֹּ֖ו יָרִ֣ים מִמֶּ֑נּוּ</w:t>
      </w:r>
      <w:r w:rsidRPr="00577688">
        <w:rPr>
          <w:rFonts w:eastAsia="Times New Roman" w:cs="Times New Roman"/>
          <w:rtl/>
          <w:lang w:eastAsia="de-DE"/>
        </w:rPr>
        <w:t xml:space="preserve"> </w:t>
      </w:r>
      <w:r w:rsidRPr="00577688">
        <w:rPr>
          <w:rFonts w:eastAsia="Times New Roman" w:cs="Times New Roman"/>
          <w:lang w:eastAsia="de-DE"/>
        </w:rPr>
        <w:t xml:space="preserve">(und all sein Fett soll er von ihm abheben) zeigt </w:t>
      </w:r>
      <w:r w:rsidRPr="00577688">
        <w:rPr>
          <w:rFonts w:eastAsia="Times New Roman" w:cs="Times New Roman"/>
          <w:b/>
          <w:bCs/>
          <w:rtl/>
          <w:lang w:eastAsia="de-DE"/>
        </w:rPr>
        <w:t>רום</w:t>
      </w:r>
      <w:r w:rsidRPr="00577688">
        <w:rPr>
          <w:rFonts w:eastAsia="Times New Roman" w:cs="Times New Roman"/>
          <w:rtl/>
          <w:lang w:eastAsia="de-DE"/>
        </w:rPr>
        <w:t xml:space="preserve"> </w:t>
      </w:r>
      <w:r w:rsidRPr="00577688">
        <w:rPr>
          <w:rFonts w:eastAsia="Times New Roman" w:cs="Times New Roman"/>
          <w:lang w:eastAsia="de-DE"/>
        </w:rPr>
        <w:t xml:space="preserve">(erheben/abheben) im Hifil-Imperfekt 3. Person maskulin Singular. </w:t>
      </w:r>
      <w:r w:rsidRPr="00577688">
        <w:rPr>
          <w:rFonts w:eastAsia="Times New Roman" w:cs="Times New Roman"/>
          <w:b/>
          <w:bCs/>
          <w:rtl/>
          <w:lang w:eastAsia="de-DE"/>
        </w:rPr>
        <w:t>כל־חלבו</w:t>
      </w:r>
      <w:r w:rsidRPr="00577688">
        <w:rPr>
          <w:rFonts w:eastAsia="Times New Roman" w:cs="Times New Roman"/>
          <w:rtl/>
          <w:lang w:eastAsia="de-DE"/>
        </w:rPr>
        <w:t xml:space="preserve"> </w:t>
      </w:r>
      <w:r w:rsidRPr="00577688">
        <w:rPr>
          <w:rFonts w:eastAsia="Times New Roman" w:cs="Times New Roman"/>
          <w:lang w:eastAsia="de-DE"/>
        </w:rPr>
        <w:t xml:space="preserve">(all sein Fett) mit </w:t>
      </w:r>
      <w:r w:rsidRPr="00577688">
        <w:rPr>
          <w:rFonts w:eastAsia="Times New Roman" w:cs="Times New Roman"/>
          <w:b/>
          <w:bCs/>
          <w:rtl/>
          <w:lang w:eastAsia="de-DE"/>
        </w:rPr>
        <w:t>כל</w:t>
      </w:r>
      <w:r w:rsidRPr="00577688">
        <w:rPr>
          <w:rFonts w:eastAsia="Times New Roman" w:cs="Times New Roman"/>
          <w:rtl/>
          <w:lang w:eastAsia="de-DE"/>
        </w:rPr>
        <w:t xml:space="preserve"> </w:t>
      </w:r>
      <w:r w:rsidRPr="00577688">
        <w:rPr>
          <w:rFonts w:eastAsia="Times New Roman" w:cs="Times New Roman"/>
          <w:lang w:eastAsia="de-DE"/>
        </w:rPr>
        <w:t xml:space="preserve">für Vollständigkeit und Possessivsuffix 3. Person maskulin Singular, </w:t>
      </w:r>
      <w:r w:rsidRPr="00577688">
        <w:rPr>
          <w:rFonts w:eastAsia="Times New Roman" w:cs="Times New Roman"/>
          <w:b/>
          <w:bCs/>
          <w:rtl/>
          <w:lang w:eastAsia="de-DE"/>
        </w:rPr>
        <w:t>ממנו</w:t>
      </w:r>
      <w:r w:rsidRPr="00577688">
        <w:rPr>
          <w:rFonts w:eastAsia="Times New Roman" w:cs="Times New Roman"/>
          <w:rtl/>
          <w:lang w:eastAsia="de-DE"/>
        </w:rPr>
        <w:t xml:space="preserve"> </w:t>
      </w:r>
      <w:r w:rsidRPr="00577688">
        <w:rPr>
          <w:rFonts w:eastAsia="Times New Roman" w:cs="Times New Roman"/>
          <w:lang w:eastAsia="de-DE"/>
        </w:rPr>
        <w:t xml:space="preserve">(von ihm) bezogen auf </w:t>
      </w:r>
      <w:r w:rsidRPr="00577688">
        <w:rPr>
          <w:rFonts w:eastAsia="Times New Roman" w:cs="Times New Roman"/>
          <w:b/>
          <w:bCs/>
          <w:rtl/>
          <w:lang w:eastAsia="de-DE"/>
        </w:rPr>
        <w:t>פר</w:t>
      </w:r>
      <w:r w:rsidRPr="00577688">
        <w:rPr>
          <w:rFonts w:eastAsia="Times New Roman" w:cs="Times New Roman"/>
          <w:rtl/>
          <w:lang w:eastAsia="de-DE"/>
        </w:rPr>
        <w:t xml:space="preserve"> </w:t>
      </w:r>
      <w:r w:rsidRPr="00577688">
        <w:rPr>
          <w:rFonts w:eastAsia="Times New Roman" w:cs="Times New Roman"/>
          <w:lang w:eastAsia="de-DE"/>
        </w:rPr>
        <w:t>(Stier).</w:t>
      </w:r>
    </w:p>
    <w:p w14:paraId="735B3A71" w14:textId="2BCC1F72"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וְהִקְטִ֖יר הַמִּזְבֵּֽחָה</w:t>
      </w:r>
      <w:r w:rsidRPr="00577688">
        <w:rPr>
          <w:rFonts w:eastAsia="Times New Roman" w:cs="Times New Roman"/>
          <w:rtl/>
          <w:lang w:eastAsia="de-DE"/>
        </w:rPr>
        <w:t xml:space="preserve"> </w:t>
      </w:r>
      <w:r w:rsidRPr="00577688">
        <w:rPr>
          <w:rFonts w:eastAsia="Times New Roman" w:cs="Times New Roman"/>
          <w:lang w:eastAsia="de-DE"/>
        </w:rPr>
        <w:t xml:space="preserve">(und er soll auf dem Altar räuchern) zeigt </w:t>
      </w:r>
      <w:r w:rsidRPr="00577688">
        <w:rPr>
          <w:rFonts w:eastAsia="Times New Roman" w:cs="Times New Roman"/>
          <w:b/>
          <w:bCs/>
          <w:rtl/>
          <w:lang w:eastAsia="de-DE"/>
        </w:rPr>
        <w:t>קטר</w:t>
      </w:r>
      <w:r w:rsidRPr="00577688">
        <w:rPr>
          <w:rFonts w:eastAsia="Times New Roman" w:cs="Times New Roman"/>
          <w:rtl/>
          <w:lang w:eastAsia="de-DE"/>
        </w:rPr>
        <w:t xml:space="preserve"> </w:t>
      </w:r>
      <w:r w:rsidRPr="00577688">
        <w:rPr>
          <w:rFonts w:eastAsia="Times New Roman" w:cs="Times New Roman"/>
          <w:lang w:eastAsia="de-DE"/>
        </w:rPr>
        <w:t xml:space="preserve">im Hifil-Perfekt mit Waw-Konsekutiv. </w:t>
      </w:r>
      <w:r w:rsidRPr="00577688">
        <w:rPr>
          <w:rFonts w:eastAsia="Times New Roman" w:cs="Times New Roman"/>
          <w:b/>
          <w:bCs/>
          <w:rtl/>
          <w:lang w:eastAsia="de-DE"/>
        </w:rPr>
        <w:t>המזבחה</w:t>
      </w:r>
      <w:r w:rsidRPr="00577688">
        <w:rPr>
          <w:rFonts w:eastAsia="Times New Roman" w:cs="Times New Roman"/>
          <w:rtl/>
          <w:lang w:eastAsia="de-DE"/>
        </w:rPr>
        <w:t xml:space="preserve"> </w:t>
      </w:r>
      <w:r w:rsidRPr="00577688">
        <w:rPr>
          <w:rFonts w:eastAsia="Times New Roman" w:cs="Times New Roman"/>
          <w:lang w:eastAsia="de-DE"/>
        </w:rPr>
        <w:t xml:space="preserve">(zum Altar hin) mit Richtungs-He - gemeint ist der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w:t>
      </w:r>
      <w:r w:rsidR="00CF10E7">
        <w:rPr>
          <w:rFonts w:eastAsia="Times New Roman" w:cs="Times New Roman"/>
          <w:lang w:eastAsia="de-DE"/>
        </w:rPr>
        <w:t>Aufsteigeopfer</w:t>
      </w:r>
      <w:r w:rsidRPr="00577688">
        <w:rPr>
          <w:rFonts w:eastAsia="Times New Roman" w:cs="Times New Roman"/>
          <w:lang w:eastAsia="de-DE"/>
        </w:rPr>
        <w:t xml:space="preserve">altar) im Unterschied zum </w:t>
      </w:r>
      <w:r w:rsidRPr="00577688">
        <w:rPr>
          <w:rFonts w:eastAsia="Times New Roman" w:cs="Times New Roman"/>
          <w:b/>
          <w:bCs/>
          <w:rtl/>
          <w:lang w:eastAsia="de-DE"/>
        </w:rPr>
        <w:t>מזבח קטרת</w:t>
      </w:r>
      <w:r w:rsidRPr="00577688">
        <w:rPr>
          <w:rFonts w:eastAsia="Times New Roman" w:cs="Times New Roman"/>
          <w:rtl/>
          <w:lang w:eastAsia="de-DE"/>
        </w:rPr>
        <w:t xml:space="preserve"> </w:t>
      </w:r>
      <w:r w:rsidRPr="00577688">
        <w:rPr>
          <w:rFonts w:eastAsia="Times New Roman" w:cs="Times New Roman"/>
          <w:lang w:eastAsia="de-DE"/>
        </w:rPr>
        <w:t>(Räucheraltar).</w:t>
      </w:r>
    </w:p>
    <w:p w14:paraId="0DDDF97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fasst die Fettbehandlung bei Gemeinde-</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zusammen, ohne die detaillierte Aufzählung der V. 8-10 zu wiederholen. </w:t>
      </w:r>
      <w:r w:rsidRPr="00577688">
        <w:rPr>
          <w:rFonts w:eastAsia="Times New Roman" w:cs="Times New Roman"/>
          <w:b/>
          <w:bCs/>
          <w:rtl/>
          <w:lang w:eastAsia="de-DE"/>
        </w:rPr>
        <w:t>כל־חלבו</w:t>
      </w:r>
      <w:r w:rsidRPr="00577688">
        <w:rPr>
          <w:rFonts w:eastAsia="Times New Roman" w:cs="Times New Roman"/>
          <w:rtl/>
          <w:lang w:eastAsia="de-DE"/>
        </w:rPr>
        <w:t xml:space="preserve"> </w:t>
      </w:r>
      <w:r w:rsidRPr="00577688">
        <w:rPr>
          <w:rFonts w:eastAsia="Times New Roman" w:cs="Times New Roman"/>
          <w:lang w:eastAsia="de-DE"/>
        </w:rPr>
        <w:t xml:space="preserve">(all sein Fett) bezieht sich auf alle in V. 8-9 spezifizierten Teile: </w:t>
      </w:r>
      <w:r w:rsidRPr="00577688">
        <w:rPr>
          <w:rFonts w:eastAsia="Times New Roman" w:cs="Times New Roman"/>
          <w:b/>
          <w:bCs/>
          <w:rtl/>
          <w:lang w:eastAsia="de-DE"/>
        </w:rPr>
        <w:t>חלב המכסה את־הקרב</w:t>
      </w:r>
      <w:r w:rsidRPr="00577688">
        <w:rPr>
          <w:rFonts w:eastAsia="Times New Roman" w:cs="Times New Roman"/>
          <w:lang w:eastAsia="de-DE"/>
        </w:rPr>
        <w:t xml:space="preserve">, </w:t>
      </w:r>
      <w:r w:rsidRPr="00577688">
        <w:rPr>
          <w:rFonts w:eastAsia="Times New Roman" w:cs="Times New Roman"/>
          <w:b/>
          <w:bCs/>
          <w:rtl/>
          <w:lang w:eastAsia="de-DE"/>
        </w:rPr>
        <w:t>כליות</w:t>
      </w:r>
      <w:r w:rsidRPr="00577688">
        <w:rPr>
          <w:rFonts w:eastAsia="Times New Roman" w:cs="Times New Roman"/>
          <w:lang w:eastAsia="de-DE"/>
        </w:rPr>
        <w:t xml:space="preserve">, </w:t>
      </w:r>
      <w:r w:rsidRPr="00577688">
        <w:rPr>
          <w:rFonts w:eastAsia="Times New Roman" w:cs="Times New Roman"/>
          <w:b/>
          <w:bCs/>
          <w:rtl/>
          <w:lang w:eastAsia="de-DE"/>
        </w:rPr>
        <w:t>יתרת על־הכבד</w:t>
      </w:r>
      <w:r w:rsidRPr="00577688">
        <w:rPr>
          <w:rFonts w:eastAsia="Times New Roman" w:cs="Times New Roman"/>
          <w:lang w:eastAsia="de-DE"/>
        </w:rPr>
        <w:t>.</w:t>
      </w:r>
    </w:p>
    <w:p w14:paraId="17B7F9D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יָרִ֣ים</w:t>
      </w:r>
      <w:r w:rsidRPr="00577688">
        <w:rPr>
          <w:rFonts w:eastAsia="Times New Roman" w:cs="Times New Roman"/>
          <w:rtl/>
          <w:lang w:eastAsia="de-DE"/>
        </w:rPr>
        <w:t xml:space="preserve"> </w:t>
      </w:r>
      <w:r w:rsidRPr="00577688">
        <w:rPr>
          <w:rFonts w:eastAsia="Times New Roman" w:cs="Times New Roman"/>
          <w:lang w:eastAsia="de-DE"/>
        </w:rPr>
        <w:t xml:space="preserve">(er soll abheben) entspricht </w:t>
      </w:r>
      <w:r w:rsidRPr="00577688">
        <w:rPr>
          <w:rFonts w:eastAsia="Times New Roman" w:cs="Times New Roman"/>
          <w:b/>
          <w:bCs/>
          <w:rtl/>
          <w:lang w:eastAsia="de-DE"/>
        </w:rPr>
        <w:t>יָרִ֣ים</w:t>
      </w:r>
      <w:r w:rsidRPr="00577688">
        <w:rPr>
          <w:rFonts w:eastAsia="Times New Roman" w:cs="Times New Roman"/>
          <w:rtl/>
          <w:lang w:eastAsia="de-DE"/>
        </w:rPr>
        <w:t xml:space="preserve"> </w:t>
      </w:r>
      <w:r w:rsidRPr="00577688">
        <w:rPr>
          <w:rFonts w:eastAsia="Times New Roman" w:cs="Times New Roman"/>
          <w:lang w:eastAsia="de-DE"/>
        </w:rPr>
        <w:t xml:space="preserve">in V. 8 und zeigt die identische Technik der Fettentfernung. </w:t>
      </w:r>
      <w:r w:rsidRPr="00577688">
        <w:rPr>
          <w:rFonts w:eastAsia="Times New Roman" w:cs="Times New Roman"/>
          <w:b/>
          <w:bCs/>
          <w:rtl/>
          <w:lang w:eastAsia="de-DE"/>
        </w:rPr>
        <w:t>הקטיר המזבחה</w:t>
      </w:r>
      <w:r w:rsidRPr="00577688">
        <w:rPr>
          <w:rFonts w:eastAsia="Times New Roman" w:cs="Times New Roman"/>
          <w:rtl/>
          <w:lang w:eastAsia="de-DE"/>
        </w:rPr>
        <w:t xml:space="preserve"> </w:t>
      </w:r>
      <w:r w:rsidRPr="00577688">
        <w:rPr>
          <w:rFonts w:eastAsia="Times New Roman" w:cs="Times New Roman"/>
          <w:lang w:eastAsia="de-DE"/>
        </w:rPr>
        <w:t>(auf dem Altar räuchern) entspricht V. 10.</w:t>
      </w:r>
    </w:p>
    <w:p w14:paraId="07F7612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כָּל־חֶלְבֹּ֖ו</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ᾶν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στέ</w:t>
      </w:r>
      <w:proofErr w:type="spellEnd"/>
      <w:r w:rsidRPr="00577688">
        <w:rPr>
          <w:rFonts w:eastAsia="Times New Roman" w:cs="Times New Roman"/>
          <w:lang w:eastAsia="de-DE"/>
        </w:rPr>
        <w:t>αρ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(all sein Fett) und </w:t>
      </w:r>
      <w:r w:rsidRPr="00577688">
        <w:rPr>
          <w:rFonts w:eastAsia="Times New Roman" w:cs="Times New Roman"/>
          <w:b/>
          <w:bCs/>
          <w:rtl/>
          <w:lang w:eastAsia="de-DE"/>
        </w:rPr>
        <w:t>וְהִקְטִ֖יר</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ἀνοίσει</w:t>
      </w:r>
      <w:proofErr w:type="spellEnd"/>
      <w:r w:rsidRPr="00577688">
        <w:rPr>
          <w:rFonts w:eastAsia="Times New Roman" w:cs="Times New Roman"/>
          <w:lang w:eastAsia="de-DE"/>
        </w:rPr>
        <w:t xml:space="preserve"> (und er soll hinaufbringen).</w:t>
      </w:r>
    </w:p>
    <w:p w14:paraId="3856DE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Objekt + Verb + Präpositionalphrase // Verb + Adverbialbestimmung. Die Struktur ist kompakter als V. 8-10, aber inhaltlich identisch.</w:t>
      </w:r>
    </w:p>
    <w:p w14:paraId="77A94D9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fasst die Fettbehandlung bei Gemeinde-</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zusammen und zeigt deren Identität mit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ohne detaillierte Wiederholung.</w:t>
      </w:r>
    </w:p>
    <w:p w14:paraId="3512834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4,20</w:t>
      </w:r>
    </w:p>
    <w:p w14:paraId="22432A8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Hebräisch:</w:t>
      </w:r>
      <w:r w:rsidRPr="00577688">
        <w:rPr>
          <w:rFonts w:eastAsia="Times New Roman" w:cs="Times New Roman"/>
          <w:lang w:eastAsia="de-DE"/>
        </w:rPr>
        <w:t xml:space="preserve"> </w:t>
      </w:r>
      <w:r w:rsidRPr="00577688">
        <w:rPr>
          <w:rFonts w:eastAsia="Times New Roman" w:cs="Times New Roman"/>
          <w:rtl/>
          <w:lang w:eastAsia="de-DE"/>
        </w:rPr>
        <w:t>וְעָשָׂ֣ה לַפָּ֔ר כַּאֲשֶׁ֤ר עָשָׂה֙ לְפַ֣ר הַֽחַטָּ֔את כֵּ֖ן יַעֲשֶׂה־לּוֹ֑ וְכִפֶּ֧ר עֲלֵהֶ֛ם הַכֹּהֵ֖ן וְנִסְלַ֥ח לָהֶֽם׃</w:t>
      </w:r>
    </w:p>
    <w:p w14:paraId="05C2B6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mit dem Stier tun, wie er mit dem Stier des Sündopfers getan hat; so soll er damit tun. Und so soll der Priester Sühne für sie erwirken, und es wird ihnen vergeben werden.</w:t>
      </w:r>
    </w:p>
    <w:p w14:paraId="19EA2225"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4706764">
          <v:rect id="_x0000_i1094" style="width:0;height:1.5pt" o:hralign="center" o:hrstd="t" o:hr="t" fillcolor="#a0a0a0" stroked="f"/>
        </w:pict>
      </w:r>
    </w:p>
    <w:p w14:paraId="462CADF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וְעָשָׂ֣ה לַפָּ֔ר כַּאֲשֶׁ֤ר עָשָׂה֙ לְפַ֣ר הַֽחַטָּ֔את</w:t>
      </w:r>
      <w:r w:rsidRPr="00577688">
        <w:rPr>
          <w:rFonts w:eastAsia="Times New Roman" w:cs="Times New Roman"/>
          <w:rtl/>
          <w:lang w:eastAsia="de-DE"/>
        </w:rPr>
        <w:t xml:space="preserve"> </w:t>
      </w:r>
      <w:r w:rsidRPr="00577688">
        <w:rPr>
          <w:rFonts w:eastAsia="Times New Roman" w:cs="Times New Roman"/>
          <w:lang w:eastAsia="de-DE"/>
        </w:rPr>
        <w:t>(und er soll mit dem Stier tun, wie er mit dem Stier des Sündopfers getan hat) etabliert explizit die Analogie zum Hohenpriester-</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עשה</w:t>
      </w:r>
      <w:r w:rsidRPr="00577688">
        <w:rPr>
          <w:rFonts w:eastAsia="Times New Roman" w:cs="Times New Roman"/>
          <w:rtl/>
          <w:lang w:eastAsia="de-DE"/>
        </w:rPr>
        <w:t xml:space="preserve"> </w:t>
      </w:r>
      <w:r w:rsidRPr="00577688">
        <w:rPr>
          <w:rFonts w:eastAsia="Times New Roman" w:cs="Times New Roman"/>
          <w:lang w:eastAsia="de-DE"/>
        </w:rPr>
        <w:t xml:space="preserve">(tun) im Qal-Perfekt mit Waw-Konsekutiv, </w:t>
      </w:r>
      <w:r w:rsidRPr="00577688">
        <w:rPr>
          <w:rFonts w:eastAsia="Times New Roman" w:cs="Times New Roman"/>
          <w:b/>
          <w:bCs/>
          <w:rtl/>
          <w:lang w:eastAsia="de-DE"/>
        </w:rPr>
        <w:t>כאשר עשה</w:t>
      </w:r>
      <w:r w:rsidRPr="00577688">
        <w:rPr>
          <w:rFonts w:eastAsia="Times New Roman" w:cs="Times New Roman"/>
          <w:rtl/>
          <w:lang w:eastAsia="de-DE"/>
        </w:rPr>
        <w:t xml:space="preserve"> </w:t>
      </w:r>
      <w:r w:rsidRPr="00577688">
        <w:rPr>
          <w:rFonts w:eastAsia="Times New Roman" w:cs="Times New Roman"/>
          <w:lang w:eastAsia="de-DE"/>
        </w:rPr>
        <w:t xml:space="preserve">(wie er getan hat) als Vergleichsformel. </w:t>
      </w:r>
      <w:r w:rsidRPr="00577688">
        <w:rPr>
          <w:rFonts w:eastAsia="Times New Roman" w:cs="Times New Roman"/>
          <w:b/>
          <w:bCs/>
          <w:rtl/>
          <w:lang w:eastAsia="de-DE"/>
        </w:rPr>
        <w:t>פר החטאת</w:t>
      </w:r>
      <w:r w:rsidRPr="00577688">
        <w:rPr>
          <w:rFonts w:eastAsia="Times New Roman" w:cs="Times New Roman"/>
          <w:rtl/>
          <w:lang w:eastAsia="de-DE"/>
        </w:rPr>
        <w:t xml:space="preserve"> </w:t>
      </w:r>
      <w:r w:rsidRPr="00577688">
        <w:rPr>
          <w:rFonts w:eastAsia="Times New Roman" w:cs="Times New Roman"/>
          <w:lang w:eastAsia="de-DE"/>
        </w:rPr>
        <w:t>(Stier des Sündopfers) bezieht sich auf V. 3ff.</w:t>
      </w:r>
    </w:p>
    <w:p w14:paraId="3B1AFCB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כֵּ֖ן יַעֲשֶׂה־לּוֹ֑</w:t>
      </w:r>
      <w:r w:rsidRPr="00577688">
        <w:rPr>
          <w:rFonts w:eastAsia="Times New Roman" w:cs="Times New Roman"/>
          <w:rtl/>
          <w:lang w:eastAsia="de-DE"/>
        </w:rPr>
        <w:t xml:space="preserve"> </w:t>
      </w:r>
      <w:r w:rsidRPr="00577688">
        <w:rPr>
          <w:rFonts w:eastAsia="Times New Roman" w:cs="Times New Roman"/>
          <w:lang w:eastAsia="de-DE"/>
        </w:rPr>
        <w:t xml:space="preserve">(so soll er damit tun) wiederholt emphatisch die Analogie. </w:t>
      </w:r>
      <w:r w:rsidRPr="00577688">
        <w:rPr>
          <w:rFonts w:eastAsia="Times New Roman" w:cs="Times New Roman"/>
          <w:b/>
          <w:bCs/>
          <w:rtl/>
          <w:lang w:eastAsia="de-DE"/>
        </w:rPr>
        <w:t>כן</w:t>
      </w:r>
      <w:r w:rsidRPr="00577688">
        <w:rPr>
          <w:rFonts w:eastAsia="Times New Roman" w:cs="Times New Roman"/>
          <w:rtl/>
          <w:lang w:eastAsia="de-DE"/>
        </w:rPr>
        <w:t xml:space="preserve"> </w:t>
      </w:r>
      <w:r w:rsidRPr="00577688">
        <w:rPr>
          <w:rFonts w:eastAsia="Times New Roman" w:cs="Times New Roman"/>
          <w:lang w:eastAsia="de-DE"/>
        </w:rPr>
        <w:t xml:space="preserve">(so) als deiktisches Adverb, </w:t>
      </w:r>
      <w:r w:rsidRPr="00577688">
        <w:rPr>
          <w:rFonts w:eastAsia="Times New Roman" w:cs="Times New Roman"/>
          <w:b/>
          <w:bCs/>
          <w:rtl/>
          <w:lang w:eastAsia="de-DE"/>
        </w:rPr>
        <w:t>יעשה־לו</w:t>
      </w:r>
      <w:r w:rsidRPr="00577688">
        <w:rPr>
          <w:rFonts w:eastAsia="Times New Roman" w:cs="Times New Roman"/>
          <w:rtl/>
          <w:lang w:eastAsia="de-DE"/>
        </w:rPr>
        <w:t xml:space="preserve"> </w:t>
      </w:r>
      <w:r w:rsidRPr="00577688">
        <w:rPr>
          <w:rFonts w:eastAsia="Times New Roman" w:cs="Times New Roman"/>
          <w:lang w:eastAsia="de-DE"/>
        </w:rPr>
        <w:t>(er soll damit tun) mit Objektsuffix 3. Person maskulin Singular.</w:t>
      </w:r>
    </w:p>
    <w:p w14:paraId="155D57A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עֲלֵהֶ֛ם הַכֹּהֵ֖ן וְנִסְלַ֥ח לָהֶֽם</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sie erwirken, und es wird ihnen vergeben werden) führt die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(Sühne)-Terminologie ein. </w:t>
      </w:r>
      <w:r w:rsidRPr="00577688">
        <w:rPr>
          <w:rFonts w:eastAsia="Times New Roman" w:cs="Times New Roman"/>
          <w:b/>
          <w:bCs/>
          <w:rtl/>
          <w:lang w:eastAsia="de-DE"/>
        </w:rPr>
        <w:t>כפר</w:t>
      </w:r>
      <w:r w:rsidRPr="00577688">
        <w:rPr>
          <w:rFonts w:eastAsia="Times New Roman" w:cs="Times New Roman"/>
          <w:rtl/>
          <w:lang w:eastAsia="de-DE"/>
        </w:rPr>
        <w:t xml:space="preserve"> </w:t>
      </w:r>
      <w:r w:rsidRPr="00577688">
        <w:rPr>
          <w:rFonts w:eastAsia="Times New Roman" w:cs="Times New Roman"/>
          <w:lang w:eastAsia="de-DE"/>
        </w:rPr>
        <w:t xml:space="preserve">(sühnen) im Piel-Perfekt mit Waw-Konsekutiv, </w:t>
      </w:r>
      <w:r w:rsidRPr="00577688">
        <w:rPr>
          <w:rFonts w:eastAsia="Times New Roman" w:cs="Times New Roman"/>
          <w:b/>
          <w:bCs/>
          <w:rtl/>
          <w:lang w:eastAsia="de-DE"/>
        </w:rPr>
        <w:t>עליהם</w:t>
      </w:r>
      <w:r w:rsidRPr="00577688">
        <w:rPr>
          <w:rFonts w:eastAsia="Times New Roman" w:cs="Times New Roman"/>
          <w:rtl/>
          <w:lang w:eastAsia="de-DE"/>
        </w:rPr>
        <w:t xml:space="preserve"> </w:t>
      </w:r>
      <w:r w:rsidRPr="00577688">
        <w:rPr>
          <w:rFonts w:eastAsia="Times New Roman" w:cs="Times New Roman"/>
          <w:lang w:eastAsia="de-DE"/>
        </w:rPr>
        <w:t xml:space="preserve">(für sie) Plural. </w:t>
      </w:r>
      <w:r w:rsidRPr="00577688">
        <w:rPr>
          <w:rFonts w:eastAsia="Times New Roman" w:cs="Times New Roman"/>
          <w:b/>
          <w:bCs/>
          <w:rtl/>
          <w:lang w:eastAsia="de-DE"/>
        </w:rPr>
        <w:t>נסלח</w:t>
      </w:r>
      <w:r w:rsidRPr="00577688">
        <w:rPr>
          <w:rFonts w:eastAsia="Times New Roman" w:cs="Times New Roman"/>
          <w:rtl/>
          <w:lang w:eastAsia="de-DE"/>
        </w:rPr>
        <w:t xml:space="preserve"> </w:t>
      </w:r>
      <w:r w:rsidRPr="00577688">
        <w:rPr>
          <w:rFonts w:eastAsia="Times New Roman" w:cs="Times New Roman"/>
          <w:lang w:eastAsia="de-DE"/>
        </w:rPr>
        <w:t xml:space="preserve">(es wird vergeben) im Nifal-Perfekt mit Waw-Konsekutiv, </w:t>
      </w:r>
      <w:r w:rsidRPr="00577688">
        <w:rPr>
          <w:rFonts w:eastAsia="Times New Roman" w:cs="Times New Roman"/>
          <w:b/>
          <w:bCs/>
          <w:rtl/>
          <w:lang w:eastAsia="de-DE"/>
        </w:rPr>
        <w:t>להם</w:t>
      </w:r>
      <w:r w:rsidRPr="00577688">
        <w:rPr>
          <w:rFonts w:eastAsia="Times New Roman" w:cs="Times New Roman"/>
          <w:rtl/>
          <w:lang w:eastAsia="de-DE"/>
        </w:rPr>
        <w:t xml:space="preserve"> </w:t>
      </w:r>
      <w:r w:rsidRPr="00577688">
        <w:rPr>
          <w:rFonts w:eastAsia="Times New Roman" w:cs="Times New Roman"/>
          <w:lang w:eastAsia="de-DE"/>
        </w:rPr>
        <w:t>(ihnen) Plural.</w:t>
      </w:r>
    </w:p>
    <w:p w14:paraId="38F8D92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כאשר עשה לפר החטאת</w:t>
      </w:r>
      <w:r w:rsidRPr="00577688">
        <w:rPr>
          <w:rFonts w:eastAsia="Times New Roman" w:cs="Times New Roman"/>
          <w:rtl/>
          <w:lang w:eastAsia="de-DE"/>
        </w:rPr>
        <w:t xml:space="preserve"> </w:t>
      </w:r>
      <w:r w:rsidRPr="00577688">
        <w:rPr>
          <w:rFonts w:eastAsia="Times New Roman" w:cs="Times New Roman"/>
          <w:lang w:eastAsia="de-DE"/>
        </w:rPr>
        <w:t>etabliert das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als Referenzmodell für alle schweren </w:t>
      </w:r>
      <w:r w:rsidRPr="00577688">
        <w:rPr>
          <w:rFonts w:eastAsia="Times New Roman" w:cs="Times New Roman"/>
          <w:b/>
          <w:bCs/>
          <w:rtl/>
          <w:lang w:eastAsia="de-DE"/>
        </w:rPr>
        <w:t>חטאת</w:t>
      </w:r>
      <w:r w:rsidRPr="00577688">
        <w:rPr>
          <w:rFonts w:eastAsia="Times New Roman" w:cs="Times New Roman"/>
          <w:lang w:eastAsia="de-DE"/>
        </w:rPr>
        <w:t xml:space="preserve">-Formen. </w:t>
      </w:r>
      <w:r w:rsidRPr="00577688">
        <w:rPr>
          <w:rFonts w:eastAsia="Times New Roman" w:cs="Times New Roman"/>
          <w:b/>
          <w:bCs/>
          <w:rtl/>
          <w:lang w:eastAsia="de-DE"/>
        </w:rPr>
        <w:t>כן יעשה־לו</w:t>
      </w:r>
      <w:r w:rsidRPr="00577688">
        <w:rPr>
          <w:rFonts w:eastAsia="Times New Roman" w:cs="Times New Roman"/>
          <w:rtl/>
          <w:lang w:eastAsia="de-DE"/>
        </w:rPr>
        <w:t xml:space="preserve"> </w:t>
      </w:r>
      <w:r w:rsidRPr="00577688">
        <w:rPr>
          <w:rFonts w:eastAsia="Times New Roman" w:cs="Times New Roman"/>
          <w:lang w:eastAsia="de-DE"/>
        </w:rPr>
        <w:t>betont die vollständige Identität des Verfahrens.</w:t>
      </w:r>
    </w:p>
    <w:p w14:paraId="3DB01A3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עליהם הכהן</w:t>
      </w:r>
      <w:r w:rsidRPr="00577688">
        <w:rPr>
          <w:rFonts w:eastAsia="Times New Roman" w:cs="Times New Roman"/>
          <w:rtl/>
          <w:lang w:eastAsia="de-DE"/>
        </w:rPr>
        <w:t xml:space="preserve"> </w:t>
      </w:r>
      <w:r w:rsidRPr="00577688">
        <w:rPr>
          <w:rFonts w:eastAsia="Times New Roman" w:cs="Times New Roman"/>
          <w:lang w:eastAsia="de-DE"/>
        </w:rPr>
        <w:t xml:space="preserve">zeigt die sühnende Funktion des Priesters. </w:t>
      </w:r>
      <w:r w:rsidRPr="00577688">
        <w:rPr>
          <w:rFonts w:eastAsia="Times New Roman" w:cs="Times New Roman"/>
          <w:b/>
          <w:bCs/>
          <w:rtl/>
          <w:lang w:eastAsia="de-DE"/>
        </w:rPr>
        <w:t>כפר</w:t>
      </w:r>
      <w:r w:rsidRPr="00577688">
        <w:rPr>
          <w:rFonts w:eastAsia="Times New Roman" w:cs="Times New Roman"/>
          <w:rtl/>
          <w:lang w:eastAsia="de-DE"/>
        </w:rPr>
        <w:t xml:space="preserve"> </w:t>
      </w:r>
      <w:r w:rsidRPr="00577688">
        <w:rPr>
          <w:rFonts w:eastAsia="Times New Roman" w:cs="Times New Roman"/>
          <w:lang w:eastAsia="de-DE"/>
        </w:rPr>
        <w:t xml:space="preserve">im Piel bedeutet "Sühne erwirken/bedecken". </w:t>
      </w:r>
      <w:r w:rsidRPr="00577688">
        <w:rPr>
          <w:rFonts w:eastAsia="Times New Roman" w:cs="Times New Roman"/>
          <w:b/>
          <w:bCs/>
          <w:rtl/>
          <w:lang w:eastAsia="de-DE"/>
        </w:rPr>
        <w:t>ונסלח להם</w:t>
      </w:r>
      <w:r w:rsidRPr="00577688">
        <w:rPr>
          <w:rFonts w:eastAsia="Times New Roman" w:cs="Times New Roman"/>
          <w:rtl/>
          <w:lang w:eastAsia="de-DE"/>
        </w:rPr>
        <w:t xml:space="preserve"> </w:t>
      </w:r>
      <w:r w:rsidRPr="00577688">
        <w:rPr>
          <w:rFonts w:eastAsia="Times New Roman" w:cs="Times New Roman"/>
          <w:lang w:eastAsia="de-DE"/>
        </w:rPr>
        <w:t xml:space="preserve">(und es wird ihnen vergeben) zeigt göttliche Vergebung als Resultat der </w:t>
      </w:r>
      <w:r w:rsidRPr="00577688">
        <w:rPr>
          <w:rFonts w:eastAsia="Times New Roman" w:cs="Times New Roman"/>
          <w:b/>
          <w:bCs/>
          <w:rtl/>
          <w:lang w:eastAsia="de-DE"/>
        </w:rPr>
        <w:t>כפרה</w:t>
      </w:r>
      <w:r w:rsidRPr="00577688">
        <w:rPr>
          <w:rFonts w:eastAsia="Times New Roman" w:cs="Times New Roman"/>
          <w:lang w:eastAsia="de-DE"/>
        </w:rPr>
        <w:t>.</w:t>
      </w:r>
    </w:p>
    <w:p w14:paraId="27EB8B4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כַּאֲשֶׁ֤ר עָשָׂה֙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ὃν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τρό</w:t>
      </w:r>
      <w:proofErr w:type="spellEnd"/>
      <w:r w:rsidRPr="00577688">
        <w:rPr>
          <w:rFonts w:eastAsia="Times New Roman" w:cs="Times New Roman"/>
          <w:lang w:eastAsia="de-DE"/>
        </w:rPr>
        <w:t>πον ἐπ</w:t>
      </w:r>
      <w:proofErr w:type="spellStart"/>
      <w:r w:rsidRPr="00577688">
        <w:rPr>
          <w:rFonts w:eastAsia="Times New Roman" w:cs="Times New Roman"/>
          <w:lang w:eastAsia="de-DE"/>
        </w:rPr>
        <w:t>οίησεν</w:t>
      </w:r>
      <w:proofErr w:type="spellEnd"/>
      <w:r w:rsidRPr="00577688">
        <w:rPr>
          <w:rFonts w:eastAsia="Times New Roman" w:cs="Times New Roman"/>
          <w:lang w:eastAsia="de-DE"/>
        </w:rPr>
        <w:t xml:space="preserve"> (in der Weise, wie er getan hat), </w:t>
      </w:r>
      <w:r w:rsidRPr="00577688">
        <w:rPr>
          <w:rFonts w:eastAsia="Times New Roman" w:cs="Times New Roman"/>
          <w:b/>
          <w:bCs/>
          <w:rtl/>
          <w:lang w:eastAsia="de-DE"/>
        </w:rPr>
        <w:t>וְכִפֶּ֧ר</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ἐξιλάσετ</w:t>
      </w:r>
      <w:proofErr w:type="spellEnd"/>
      <w:r w:rsidRPr="00577688">
        <w:rPr>
          <w:rFonts w:eastAsia="Times New Roman" w:cs="Times New Roman"/>
          <w:lang w:eastAsia="de-DE"/>
        </w:rPr>
        <w:t xml:space="preserve">αι (und er soll sühnen) und </w:t>
      </w:r>
      <w:r w:rsidRPr="00577688">
        <w:rPr>
          <w:rFonts w:eastAsia="Times New Roman" w:cs="Times New Roman"/>
          <w:b/>
          <w:bCs/>
          <w:rtl/>
          <w:lang w:eastAsia="de-DE"/>
        </w:rPr>
        <w:t>וְנִסְלַ֥ח</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ἀφεθήσετ</w:t>
      </w:r>
      <w:proofErr w:type="spellEnd"/>
      <w:r w:rsidRPr="00577688">
        <w:rPr>
          <w:rFonts w:eastAsia="Times New Roman" w:cs="Times New Roman"/>
          <w:lang w:eastAsia="de-DE"/>
        </w:rPr>
        <w:t>αι (und es wird vergeben werden).</w:t>
      </w:r>
    </w:p>
    <w:p w14:paraId="124AD29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Aussagen: Analogieaussage (Verb + Präpositionalphrase + Vergleichssatz) + emphatische Wiederholung (Adverb + Verb + Objekt) + </w:t>
      </w:r>
      <w:proofErr w:type="spellStart"/>
      <w:r w:rsidRPr="00577688">
        <w:rPr>
          <w:rFonts w:eastAsia="Times New Roman" w:cs="Times New Roman"/>
          <w:lang w:eastAsia="de-DE"/>
        </w:rPr>
        <w:t>Sühnaussage</w:t>
      </w:r>
      <w:proofErr w:type="spellEnd"/>
      <w:r w:rsidRPr="00577688">
        <w:rPr>
          <w:rFonts w:eastAsia="Times New Roman" w:cs="Times New Roman"/>
          <w:lang w:eastAsia="de-DE"/>
        </w:rPr>
        <w:t xml:space="preserve"> (Verb + Präpositionalphrase + Subjekt // Verb + Objekt). Die Struktur betont Verfahrensidentität und Sühnwirkung.</w:t>
      </w:r>
    </w:p>
    <w:p w14:paraId="4B074314" w14:textId="754F1B21" w:rsidR="0098037E" w:rsidRPr="0098037E"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etabliert die vollständige Verfah</w:t>
      </w:r>
      <w:r>
        <w:t>rensidentität zwischen Hohenpriester- und Gemeinde-</w:t>
      </w:r>
      <w:r>
        <w:rPr>
          <w:rStyle w:val="Fett"/>
          <w:rtl/>
        </w:rPr>
        <w:t>חטאת</w:t>
      </w:r>
      <w:r>
        <w:rPr>
          <w:rtl/>
        </w:rPr>
        <w:t xml:space="preserve"> </w:t>
      </w:r>
      <w:r>
        <w:t xml:space="preserve">und führt die zentrale </w:t>
      </w:r>
      <w:r>
        <w:rPr>
          <w:rStyle w:val="Fett"/>
          <w:rtl/>
        </w:rPr>
        <w:t>כפרה</w:t>
      </w:r>
      <w:r>
        <w:t>-Theologie ein: priesterliche Sühne führt zu göttlicher Vergebung.</w:t>
      </w:r>
    </w:p>
    <w:p w14:paraId="3FA6A917"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4,21</w:t>
      </w:r>
    </w:p>
    <w:p w14:paraId="77B1A73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וְהוֹצִ֣יא אֶת־הַפָּ֗ר אֶל־מִחוּץ֙ לַֽמַּחֲנֶ֔ה וְשָׂרַ֣ף אֹתוֹ֔ כַּאֲשֶׁ֣ר שָׂרַ֔ף אֵ֖ת הַפָּ֣ר הָרִאשׁ֑וֹן חַטַּ֥את הַקָּהָ֖ל הֽוּא׃</w:t>
      </w:r>
    </w:p>
    <w:p w14:paraId="75694E0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den Stier hinaus außerhalb des Lagers bringen und ihn verbrennen, so wie er den ersten Stier verbrannt hat: Es ist ein Sündopfer der Versammlung.</w:t>
      </w:r>
    </w:p>
    <w:p w14:paraId="63E393B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D9D67C9">
          <v:rect id="_x0000_i1095" style="width:0;height:1.5pt" o:hralign="center" o:hrstd="t" o:hr="t" fillcolor="#a0a0a0" stroked="f"/>
        </w:pict>
      </w:r>
    </w:p>
    <w:p w14:paraId="2CA7F68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Kommentar:</w:t>
      </w:r>
      <w:r w:rsidRPr="00577688">
        <w:rPr>
          <w:rFonts w:eastAsia="Times New Roman" w:cs="Times New Roman"/>
          <w:lang w:eastAsia="de-DE"/>
        </w:rPr>
        <w:t xml:space="preserve"> </w:t>
      </w:r>
      <w:r w:rsidRPr="00577688">
        <w:rPr>
          <w:rFonts w:eastAsia="Times New Roman" w:cs="Times New Roman"/>
          <w:b/>
          <w:bCs/>
          <w:rtl/>
          <w:lang w:eastAsia="de-DE"/>
        </w:rPr>
        <w:t>וְהוֹצִ֣יא אֶת־הַפָּ֗ר אֶל־מִחוּץ֙ לַֽמַּחֲנֶ֔ה</w:t>
      </w:r>
      <w:r w:rsidRPr="00577688">
        <w:rPr>
          <w:rFonts w:eastAsia="Times New Roman" w:cs="Times New Roman"/>
          <w:rtl/>
          <w:lang w:eastAsia="de-DE"/>
        </w:rPr>
        <w:t xml:space="preserve"> </w:t>
      </w:r>
      <w:r w:rsidRPr="00577688">
        <w:rPr>
          <w:rFonts w:eastAsia="Times New Roman" w:cs="Times New Roman"/>
          <w:lang w:eastAsia="de-DE"/>
        </w:rPr>
        <w:t xml:space="preserve">(und er soll den Stier hinaus außerhalb des Lagers bringen) entspricht V. 12. </w:t>
      </w:r>
      <w:r w:rsidRPr="00577688">
        <w:rPr>
          <w:rFonts w:eastAsia="Times New Roman" w:cs="Times New Roman"/>
          <w:b/>
          <w:bCs/>
          <w:rtl/>
          <w:lang w:eastAsia="de-DE"/>
        </w:rPr>
        <w:t>הוציא</w:t>
      </w:r>
      <w:r w:rsidRPr="00577688">
        <w:rPr>
          <w:rFonts w:eastAsia="Times New Roman" w:cs="Times New Roman"/>
          <w:rtl/>
          <w:lang w:eastAsia="de-DE"/>
        </w:rPr>
        <w:t xml:space="preserve"> </w:t>
      </w:r>
      <w:r w:rsidRPr="00577688">
        <w:rPr>
          <w:rFonts w:eastAsia="Times New Roman" w:cs="Times New Roman"/>
          <w:lang w:eastAsia="de-DE"/>
        </w:rPr>
        <w:t xml:space="preserve">(hinausbringen) im Hifil-Perfekt mit Waw-Konsekutiv, </w:t>
      </w:r>
      <w:r w:rsidRPr="00577688">
        <w:rPr>
          <w:rFonts w:eastAsia="Times New Roman" w:cs="Times New Roman"/>
          <w:b/>
          <w:bCs/>
          <w:rtl/>
          <w:lang w:eastAsia="de-DE"/>
        </w:rPr>
        <w:t>אל־מחוץ למחנה</w:t>
      </w:r>
      <w:r w:rsidRPr="00577688">
        <w:rPr>
          <w:rFonts w:eastAsia="Times New Roman" w:cs="Times New Roman"/>
          <w:rtl/>
          <w:lang w:eastAsia="de-DE"/>
        </w:rPr>
        <w:t xml:space="preserve"> </w:t>
      </w:r>
      <w:r w:rsidRPr="00577688">
        <w:rPr>
          <w:rFonts w:eastAsia="Times New Roman" w:cs="Times New Roman"/>
          <w:lang w:eastAsia="de-DE"/>
        </w:rPr>
        <w:t>(außerhalb des Lagers) identisch zu V. 12.</w:t>
      </w:r>
    </w:p>
    <w:p w14:paraId="42AA7C3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וְשָׂרַ֣ף אֹתוֹ֔ כַּאֲשֶׁ֣ר שָׂרַ֔ף אֵ֖ת הַפָּ֣ר הָרִאשׁ֑וֹן</w:t>
      </w:r>
      <w:r w:rsidRPr="00577688">
        <w:rPr>
          <w:rFonts w:eastAsia="Times New Roman" w:cs="Times New Roman"/>
          <w:rtl/>
          <w:lang w:eastAsia="de-DE"/>
        </w:rPr>
        <w:t xml:space="preserve"> </w:t>
      </w:r>
      <w:r w:rsidRPr="00577688">
        <w:rPr>
          <w:rFonts w:eastAsia="Times New Roman" w:cs="Times New Roman"/>
          <w:lang w:eastAsia="de-DE"/>
        </w:rPr>
        <w:t xml:space="preserve">(und er soll ihn verbrennen, wie er den ersten Stier verbrannt hat) etabliert explizit die Analogie zu V. 12. </w:t>
      </w:r>
      <w:r w:rsidRPr="00577688">
        <w:rPr>
          <w:rFonts w:eastAsia="Times New Roman" w:cs="Times New Roman"/>
          <w:b/>
          <w:bCs/>
          <w:rtl/>
          <w:lang w:eastAsia="de-DE"/>
        </w:rPr>
        <w:t>שרף</w:t>
      </w:r>
      <w:r w:rsidRPr="00577688">
        <w:rPr>
          <w:rFonts w:eastAsia="Times New Roman" w:cs="Times New Roman"/>
          <w:rtl/>
          <w:lang w:eastAsia="de-DE"/>
        </w:rPr>
        <w:t xml:space="preserve"> </w:t>
      </w:r>
      <w:r w:rsidRPr="00577688">
        <w:rPr>
          <w:rFonts w:eastAsia="Times New Roman" w:cs="Times New Roman"/>
          <w:lang w:eastAsia="de-DE"/>
        </w:rPr>
        <w:t xml:space="preserve">(verbrennen) im Qal-Perfekt mit Waw-Konsekutiv, </w:t>
      </w:r>
      <w:r w:rsidRPr="00577688">
        <w:rPr>
          <w:rFonts w:eastAsia="Times New Roman" w:cs="Times New Roman"/>
          <w:b/>
          <w:bCs/>
          <w:rtl/>
          <w:lang w:eastAsia="de-DE"/>
        </w:rPr>
        <w:t>כאשר שרף</w:t>
      </w:r>
      <w:r w:rsidRPr="00577688">
        <w:rPr>
          <w:rFonts w:eastAsia="Times New Roman" w:cs="Times New Roman"/>
          <w:rtl/>
          <w:lang w:eastAsia="de-DE"/>
        </w:rPr>
        <w:t xml:space="preserve"> </w:t>
      </w:r>
      <w:r w:rsidRPr="00577688">
        <w:rPr>
          <w:rFonts w:eastAsia="Times New Roman" w:cs="Times New Roman"/>
          <w:lang w:eastAsia="de-DE"/>
        </w:rPr>
        <w:t xml:space="preserve">(wie er verbrannt hat) als Vergleichsformel. </w:t>
      </w:r>
      <w:r w:rsidRPr="00577688">
        <w:rPr>
          <w:rFonts w:eastAsia="Times New Roman" w:cs="Times New Roman"/>
          <w:b/>
          <w:bCs/>
          <w:rtl/>
          <w:lang w:eastAsia="de-DE"/>
        </w:rPr>
        <w:t>הפר הראשון</w:t>
      </w:r>
      <w:r w:rsidRPr="00577688">
        <w:rPr>
          <w:rFonts w:eastAsia="Times New Roman" w:cs="Times New Roman"/>
          <w:rtl/>
          <w:lang w:eastAsia="de-DE"/>
        </w:rPr>
        <w:t xml:space="preserve"> </w:t>
      </w:r>
      <w:r w:rsidRPr="00577688">
        <w:rPr>
          <w:rFonts w:eastAsia="Times New Roman" w:cs="Times New Roman"/>
          <w:lang w:eastAsia="de-DE"/>
        </w:rPr>
        <w:t>(der erste Stier) bezieht sich auf das Hohenpriester-</w:t>
      </w:r>
      <w:r w:rsidRPr="00577688">
        <w:rPr>
          <w:rFonts w:eastAsia="Times New Roman" w:cs="Times New Roman"/>
          <w:b/>
          <w:bCs/>
          <w:rtl/>
          <w:lang w:eastAsia="de-DE"/>
        </w:rPr>
        <w:t>חטאת</w:t>
      </w:r>
      <w:r w:rsidRPr="00577688">
        <w:rPr>
          <w:rFonts w:eastAsia="Times New Roman" w:cs="Times New Roman"/>
          <w:lang w:eastAsia="de-DE"/>
        </w:rPr>
        <w:t>.</w:t>
      </w:r>
    </w:p>
    <w:p w14:paraId="216BAFD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חַטַּ֥את הַקָּהָ֖ל הֽוּא</w:t>
      </w:r>
      <w:r w:rsidRPr="00577688">
        <w:rPr>
          <w:rFonts w:eastAsia="Times New Roman" w:cs="Times New Roman"/>
          <w:rtl/>
          <w:lang w:eastAsia="de-DE"/>
        </w:rPr>
        <w:t xml:space="preserve"> </w:t>
      </w:r>
      <w:r w:rsidRPr="00577688">
        <w:rPr>
          <w:rFonts w:eastAsia="Times New Roman" w:cs="Times New Roman"/>
          <w:lang w:eastAsia="de-DE"/>
        </w:rPr>
        <w:t xml:space="preserve">(es ist ein Sündopfer der Versammlung) ist abschließende Identifikation. </w:t>
      </w:r>
      <w:r w:rsidRPr="00577688">
        <w:rPr>
          <w:rFonts w:eastAsia="Times New Roman" w:cs="Times New Roman"/>
          <w:b/>
          <w:bCs/>
          <w:rtl/>
          <w:lang w:eastAsia="de-DE"/>
        </w:rPr>
        <w:t>חטאת הקהל</w:t>
      </w:r>
      <w:r w:rsidRPr="00577688">
        <w:rPr>
          <w:rFonts w:eastAsia="Times New Roman" w:cs="Times New Roman"/>
          <w:rtl/>
          <w:lang w:eastAsia="de-DE"/>
        </w:rPr>
        <w:t xml:space="preserve"> </w:t>
      </w:r>
      <w:r w:rsidRPr="00577688">
        <w:rPr>
          <w:rFonts w:eastAsia="Times New Roman" w:cs="Times New Roman"/>
          <w:lang w:eastAsia="de-DE"/>
        </w:rPr>
        <w:t xml:space="preserve">(Sündopfer der Versammlung) als Genitivkonstruktion, </w:t>
      </w:r>
      <w:r w:rsidRPr="00577688">
        <w:rPr>
          <w:rFonts w:eastAsia="Times New Roman" w:cs="Times New Roman"/>
          <w:b/>
          <w:bCs/>
          <w:rtl/>
          <w:lang w:eastAsia="de-DE"/>
        </w:rPr>
        <w:t>הוא</w:t>
      </w:r>
      <w:r w:rsidRPr="00577688">
        <w:rPr>
          <w:rFonts w:eastAsia="Times New Roman" w:cs="Times New Roman"/>
          <w:rtl/>
          <w:lang w:eastAsia="de-DE"/>
        </w:rPr>
        <w:t xml:space="preserve"> </w:t>
      </w:r>
      <w:r w:rsidRPr="00577688">
        <w:rPr>
          <w:rFonts w:eastAsia="Times New Roman" w:cs="Times New Roman"/>
          <w:lang w:eastAsia="de-DE"/>
        </w:rPr>
        <w:t>(es ist) emphatisches Pronomen.</w:t>
      </w:r>
    </w:p>
    <w:p w14:paraId="3B45492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כאשר שרף את הפר הראשון</w:t>
      </w:r>
      <w:r w:rsidRPr="00577688">
        <w:rPr>
          <w:rFonts w:eastAsia="Times New Roman" w:cs="Times New Roman"/>
          <w:rtl/>
          <w:lang w:eastAsia="de-DE"/>
        </w:rPr>
        <w:t xml:space="preserve"> </w:t>
      </w:r>
      <w:r w:rsidRPr="00577688">
        <w:rPr>
          <w:rFonts w:eastAsia="Times New Roman" w:cs="Times New Roman"/>
          <w:lang w:eastAsia="de-DE"/>
        </w:rPr>
        <w:t>zeigt das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als Präzedenzfall für alle schweren </w:t>
      </w:r>
      <w:r w:rsidRPr="00577688">
        <w:rPr>
          <w:rFonts w:eastAsia="Times New Roman" w:cs="Times New Roman"/>
          <w:b/>
          <w:bCs/>
          <w:rtl/>
          <w:lang w:eastAsia="de-DE"/>
        </w:rPr>
        <w:t>חטאת</w:t>
      </w:r>
      <w:r w:rsidRPr="00577688">
        <w:rPr>
          <w:rFonts w:eastAsia="Times New Roman" w:cs="Times New Roman"/>
          <w:lang w:eastAsia="de-DE"/>
        </w:rPr>
        <w:t xml:space="preserve">-Formen. </w:t>
      </w:r>
      <w:r w:rsidRPr="00577688">
        <w:rPr>
          <w:rFonts w:eastAsia="Times New Roman" w:cs="Times New Roman"/>
          <w:b/>
          <w:bCs/>
          <w:rtl/>
          <w:lang w:eastAsia="de-DE"/>
        </w:rPr>
        <w:t>הפר הראשון</w:t>
      </w:r>
      <w:r w:rsidRPr="00577688">
        <w:rPr>
          <w:rFonts w:eastAsia="Times New Roman" w:cs="Times New Roman"/>
          <w:rtl/>
          <w:lang w:eastAsia="de-DE"/>
        </w:rPr>
        <w:t xml:space="preserve"> </w:t>
      </w:r>
      <w:r w:rsidRPr="00577688">
        <w:rPr>
          <w:rFonts w:eastAsia="Times New Roman" w:cs="Times New Roman"/>
          <w:lang w:eastAsia="de-DE"/>
        </w:rPr>
        <w:t>(der erste Stier) etabliert eine chronologische oder logische Reihenfolge.</w:t>
      </w:r>
    </w:p>
    <w:p w14:paraId="6C14680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חטאת הקהל הוא</w:t>
      </w:r>
      <w:r w:rsidRPr="00577688">
        <w:rPr>
          <w:rFonts w:eastAsia="Times New Roman" w:cs="Times New Roman"/>
          <w:rtl/>
          <w:lang w:eastAsia="de-DE"/>
        </w:rPr>
        <w:t xml:space="preserve"> </w:t>
      </w:r>
      <w:r w:rsidRPr="00577688">
        <w:rPr>
          <w:rFonts w:eastAsia="Times New Roman" w:cs="Times New Roman"/>
          <w:lang w:eastAsia="de-DE"/>
        </w:rPr>
        <w:t xml:space="preserve">klassifiziert dieses Opfer eindeutig als </w:t>
      </w:r>
      <w:r w:rsidRPr="00577688">
        <w:rPr>
          <w:rFonts w:eastAsia="Times New Roman" w:cs="Times New Roman"/>
          <w:b/>
          <w:bCs/>
          <w:rtl/>
          <w:lang w:eastAsia="de-DE"/>
        </w:rPr>
        <w:t>חטאת</w:t>
      </w:r>
      <w:r w:rsidRPr="00577688">
        <w:rPr>
          <w:rFonts w:eastAsia="Times New Roman" w:cs="Times New Roman"/>
          <w:lang w:eastAsia="de-DE"/>
        </w:rPr>
        <w:t xml:space="preserve">-Kategorie für kollektive Sünde. </w:t>
      </w:r>
      <w:r w:rsidRPr="00577688">
        <w:rPr>
          <w:rFonts w:eastAsia="Times New Roman" w:cs="Times New Roman"/>
          <w:b/>
          <w:bCs/>
          <w:rtl/>
          <w:lang w:eastAsia="de-DE"/>
        </w:rPr>
        <w:t>הקהל</w:t>
      </w:r>
      <w:r w:rsidRPr="00577688">
        <w:rPr>
          <w:rFonts w:eastAsia="Times New Roman" w:cs="Times New Roman"/>
          <w:rtl/>
          <w:lang w:eastAsia="de-DE"/>
        </w:rPr>
        <w:t xml:space="preserve"> </w:t>
      </w:r>
      <w:r w:rsidRPr="00577688">
        <w:rPr>
          <w:rFonts w:eastAsia="Times New Roman" w:cs="Times New Roman"/>
          <w:lang w:eastAsia="de-DE"/>
        </w:rPr>
        <w:t xml:space="preserve">(die Versammlung) entspricht </w:t>
      </w:r>
      <w:r w:rsidRPr="00577688">
        <w:rPr>
          <w:rFonts w:eastAsia="Times New Roman" w:cs="Times New Roman"/>
          <w:b/>
          <w:bCs/>
          <w:rtl/>
          <w:lang w:eastAsia="de-DE"/>
        </w:rPr>
        <w:t>עדת ישראל</w:t>
      </w:r>
      <w:r w:rsidRPr="00577688">
        <w:rPr>
          <w:rFonts w:eastAsia="Times New Roman" w:cs="Times New Roman"/>
          <w:rtl/>
          <w:lang w:eastAsia="de-DE"/>
        </w:rPr>
        <w:t xml:space="preserve"> </w:t>
      </w:r>
      <w:r w:rsidRPr="00577688">
        <w:rPr>
          <w:rFonts w:eastAsia="Times New Roman" w:cs="Times New Roman"/>
          <w:lang w:eastAsia="de-DE"/>
        </w:rPr>
        <w:t>(Gemeinde Israels) aus V. 13.</w:t>
      </w:r>
    </w:p>
    <w:p w14:paraId="65E704D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הַפָּ֣ר הָרִאשׁ֑וֹן</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μόσχον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τὸν</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ρῶτον</w:t>
      </w:r>
      <w:proofErr w:type="spellEnd"/>
      <w:r w:rsidRPr="00577688">
        <w:rPr>
          <w:rFonts w:eastAsia="Times New Roman" w:cs="Times New Roman"/>
          <w:lang w:eastAsia="de-DE"/>
        </w:rPr>
        <w:t xml:space="preserve"> (den ersten Stier), </w:t>
      </w:r>
      <w:r w:rsidRPr="00577688">
        <w:rPr>
          <w:rFonts w:eastAsia="Times New Roman" w:cs="Times New Roman"/>
          <w:b/>
          <w:bCs/>
          <w:rtl/>
          <w:lang w:eastAsia="de-DE"/>
        </w:rPr>
        <w:t>חַטַּ֥את הַקָּהָ֖ל</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 </w:t>
      </w:r>
      <w:proofErr w:type="spellStart"/>
      <w:r w:rsidRPr="00577688">
        <w:rPr>
          <w:rFonts w:eastAsia="Times New Roman" w:cs="Times New Roman"/>
          <w:lang w:eastAsia="de-DE"/>
        </w:rPr>
        <w:t>συν</w:t>
      </w:r>
      <w:proofErr w:type="spellEnd"/>
      <w:r w:rsidRPr="00577688">
        <w:rPr>
          <w:rFonts w:eastAsia="Times New Roman" w:cs="Times New Roman"/>
          <w:lang w:eastAsia="de-DE"/>
        </w:rPr>
        <w:t xml:space="preserve">αγωγῆς (Sünde der Synagoge) und </w:t>
      </w:r>
      <w:r w:rsidRPr="00577688">
        <w:rPr>
          <w:rFonts w:eastAsia="Times New Roman" w:cs="Times New Roman"/>
          <w:b/>
          <w:bCs/>
          <w:rtl/>
          <w:lang w:eastAsia="de-DE"/>
        </w:rPr>
        <w:t>הֽוּא</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ἐστίν</w:t>
      </w:r>
      <w:proofErr w:type="spellEnd"/>
      <w:r w:rsidRPr="00577688">
        <w:rPr>
          <w:rFonts w:eastAsia="Times New Roman" w:cs="Times New Roman"/>
          <w:lang w:eastAsia="de-DE"/>
        </w:rPr>
        <w:t xml:space="preserve"> (es ist).</w:t>
      </w:r>
    </w:p>
    <w:p w14:paraId="6AB0BBF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plus Identifikation: Verb + Objekt + Adverbialbestimmung // Verb + Objekt + Vergleichssatz // Klassifikation mit emphatischem Pronomen. Die Analogie zum </w:t>
      </w:r>
      <w:r w:rsidRPr="00577688">
        <w:rPr>
          <w:rFonts w:eastAsia="Times New Roman" w:cs="Times New Roman"/>
          <w:b/>
          <w:bCs/>
          <w:rtl/>
          <w:lang w:eastAsia="de-DE"/>
        </w:rPr>
        <w:t>פר הראשון</w:t>
      </w:r>
      <w:r w:rsidRPr="00577688">
        <w:rPr>
          <w:rFonts w:eastAsia="Times New Roman" w:cs="Times New Roman"/>
          <w:rtl/>
          <w:lang w:eastAsia="de-DE"/>
        </w:rPr>
        <w:t xml:space="preserve"> </w:t>
      </w:r>
      <w:r w:rsidRPr="00577688">
        <w:rPr>
          <w:rFonts w:eastAsia="Times New Roman" w:cs="Times New Roman"/>
          <w:lang w:eastAsia="de-DE"/>
        </w:rPr>
        <w:t>betont die Verfahrensidentität.</w:t>
      </w:r>
    </w:p>
    <w:p w14:paraId="1926C34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schließt die Gemeinde-</w:t>
      </w:r>
      <w:r w:rsidRPr="00577688">
        <w:rPr>
          <w:rFonts w:eastAsia="Times New Roman" w:cs="Times New Roman"/>
          <w:b/>
          <w:bCs/>
          <w:rtl/>
          <w:lang w:eastAsia="de-DE"/>
        </w:rPr>
        <w:t>חטאת</w:t>
      </w:r>
      <w:r w:rsidRPr="00577688">
        <w:rPr>
          <w:rFonts w:eastAsia="Times New Roman" w:cs="Times New Roman"/>
          <w:lang w:eastAsia="de-DE"/>
        </w:rPr>
        <w:t>-Bestimmungen ab und etabliert deren vollständige Identität mit Hohenpriester-</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durch explizite Analogie.</w:t>
      </w:r>
    </w:p>
    <w:p w14:paraId="7F1D38A6"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4,22</w:t>
      </w:r>
    </w:p>
    <w:p w14:paraId="1F1346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אֲשֶׁ֥ר נָשִׂ֖יא יֶֽחֱטָ֑א וְעָשָׂ֡ה אַחַ֣ת מִכָּל־מִצְוֹת֩ יְהוָ֨ה אֱלֹהָ֜יו אֲשֶׁ֧ר לֹא־תֵעָשֶׂ֛ינָה בִּשְׁגָגָ֖ה וְאָשֵֽׁם׃</w:t>
      </w:r>
    </w:p>
    <w:p w14:paraId="418AEC7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Wenn ein Fürst sündigt und tut aus Versehen eines von allen Geboten des Ewigen, seines Gottes, die nicht getan werden sollen, und verschuldet sich,</w:t>
      </w:r>
    </w:p>
    <w:p w14:paraId="099E1248"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0AA34764">
          <v:rect id="_x0000_i1096" style="width:0;height:1.5pt" o:hralign="center" o:hrstd="t" o:hr="t" fillcolor="#a0a0a0" stroked="f"/>
        </w:pict>
      </w:r>
    </w:p>
    <w:p w14:paraId="10301C7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אֲשֶׁ֥ר נָשִׂ֖יא יֶֽחֱטָ֑א</w:t>
      </w:r>
      <w:r w:rsidRPr="00577688">
        <w:rPr>
          <w:rFonts w:eastAsia="Times New Roman" w:cs="Times New Roman"/>
          <w:rtl/>
          <w:lang w:eastAsia="de-DE"/>
        </w:rPr>
        <w:t xml:space="preserve"> </w:t>
      </w:r>
      <w:r w:rsidRPr="00577688">
        <w:rPr>
          <w:rFonts w:eastAsia="Times New Roman" w:cs="Times New Roman"/>
          <w:lang w:eastAsia="de-DE"/>
        </w:rPr>
        <w:t xml:space="preserve">(wenn ein Fürst sündigt) führt die dritte </w:t>
      </w:r>
      <w:r w:rsidRPr="00577688">
        <w:rPr>
          <w:rFonts w:eastAsia="Times New Roman" w:cs="Times New Roman"/>
          <w:b/>
          <w:bCs/>
          <w:rtl/>
          <w:lang w:eastAsia="de-DE"/>
        </w:rPr>
        <w:t>חטאת</w:t>
      </w:r>
      <w:r w:rsidRPr="00577688">
        <w:rPr>
          <w:rFonts w:eastAsia="Times New Roman" w:cs="Times New Roman"/>
          <w:lang w:eastAsia="de-DE"/>
        </w:rPr>
        <w:t xml:space="preserve">-Kategorie ein. </w:t>
      </w:r>
      <w:r w:rsidRPr="00577688">
        <w:rPr>
          <w:rFonts w:eastAsia="Times New Roman" w:cs="Times New Roman"/>
          <w:b/>
          <w:bCs/>
          <w:rtl/>
          <w:lang w:eastAsia="de-DE"/>
        </w:rPr>
        <w:t>אֲשֶׁר</w:t>
      </w:r>
      <w:r w:rsidRPr="00577688">
        <w:rPr>
          <w:rFonts w:eastAsia="Times New Roman" w:cs="Times New Roman"/>
          <w:rtl/>
          <w:lang w:eastAsia="de-DE"/>
        </w:rPr>
        <w:t xml:space="preserve"> </w:t>
      </w:r>
      <w:r w:rsidRPr="00577688">
        <w:rPr>
          <w:rFonts w:eastAsia="Times New Roman" w:cs="Times New Roman"/>
          <w:lang w:eastAsia="de-DE"/>
        </w:rPr>
        <w:t xml:space="preserve">hier als temporale Konjunktion "wenn" (= </w:t>
      </w:r>
      <w:r w:rsidRPr="00577688">
        <w:rPr>
          <w:rFonts w:eastAsia="Times New Roman" w:cs="Times New Roman"/>
          <w:b/>
          <w:bCs/>
          <w:rtl/>
          <w:lang w:eastAsia="de-DE"/>
        </w:rPr>
        <w:t>אִם</w:t>
      </w:r>
      <w:r w:rsidRPr="00577688">
        <w:rPr>
          <w:rFonts w:eastAsia="Times New Roman" w:cs="Times New Roman"/>
          <w:lang w:eastAsia="de-DE"/>
        </w:rPr>
        <w:t xml:space="preserve">),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 xml:space="preserve">(Fürst/Stammesführer) von </w:t>
      </w:r>
      <w:r w:rsidRPr="00577688">
        <w:rPr>
          <w:rFonts w:eastAsia="Times New Roman" w:cs="Times New Roman"/>
          <w:b/>
          <w:bCs/>
          <w:rtl/>
          <w:lang w:eastAsia="de-DE"/>
        </w:rPr>
        <w:t>נשא</w:t>
      </w:r>
      <w:r w:rsidRPr="00577688">
        <w:rPr>
          <w:rFonts w:eastAsia="Times New Roman" w:cs="Times New Roman"/>
          <w:rtl/>
          <w:lang w:eastAsia="de-DE"/>
        </w:rPr>
        <w:t xml:space="preserve"> </w:t>
      </w:r>
      <w:r w:rsidRPr="00577688">
        <w:rPr>
          <w:rFonts w:eastAsia="Times New Roman" w:cs="Times New Roman"/>
          <w:lang w:eastAsia="de-DE"/>
        </w:rPr>
        <w:t xml:space="preserve">(erheben/tragen), </w:t>
      </w:r>
      <w:r w:rsidRPr="00577688">
        <w:rPr>
          <w:rFonts w:eastAsia="Times New Roman" w:cs="Times New Roman"/>
          <w:b/>
          <w:bCs/>
          <w:rtl/>
          <w:lang w:eastAsia="de-DE"/>
        </w:rPr>
        <w:t>יחטא</w:t>
      </w:r>
      <w:r w:rsidRPr="00577688">
        <w:rPr>
          <w:rFonts w:eastAsia="Times New Roman" w:cs="Times New Roman"/>
          <w:rtl/>
          <w:lang w:eastAsia="de-DE"/>
        </w:rPr>
        <w:t xml:space="preserve"> </w:t>
      </w:r>
      <w:r w:rsidRPr="00577688">
        <w:rPr>
          <w:rFonts w:eastAsia="Times New Roman" w:cs="Times New Roman"/>
          <w:lang w:eastAsia="de-DE"/>
        </w:rPr>
        <w:t>(er sündigt) Qal-Imperfekt 3. Person maskulin Singular.</w:t>
      </w:r>
    </w:p>
    <w:p w14:paraId="20C0BF9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וְעָשָׂ֡ה אַחַ֣ת מִכָּל־מִצְוֹת֩ יְהוָ֨ה אֱלֹהָ֜יו אֲשֶׁ֧ר לֹא־תֵעָשֶׂ֛ינָה בִּשְׁגָגָ֖ה</w:t>
      </w:r>
      <w:r w:rsidRPr="00577688">
        <w:rPr>
          <w:rFonts w:eastAsia="Times New Roman" w:cs="Times New Roman"/>
          <w:rtl/>
          <w:lang w:eastAsia="de-DE"/>
        </w:rPr>
        <w:t xml:space="preserve"> </w:t>
      </w:r>
      <w:r w:rsidRPr="00577688">
        <w:rPr>
          <w:rFonts w:eastAsia="Times New Roman" w:cs="Times New Roman"/>
          <w:lang w:eastAsia="de-DE"/>
        </w:rPr>
        <w:t xml:space="preserve">wiederholt fast exakt die Formulierung von V. 2, aber mit </w:t>
      </w:r>
      <w:r w:rsidRPr="00577688">
        <w:rPr>
          <w:rFonts w:eastAsia="Times New Roman" w:cs="Times New Roman"/>
          <w:b/>
          <w:bCs/>
          <w:rtl/>
          <w:lang w:eastAsia="de-DE"/>
        </w:rPr>
        <w:t>יְהוָ֨ה אֱלֹהָ֜יו</w:t>
      </w:r>
      <w:r w:rsidRPr="00577688">
        <w:rPr>
          <w:rFonts w:eastAsia="Times New Roman" w:cs="Times New Roman"/>
          <w:rtl/>
          <w:lang w:eastAsia="de-DE"/>
        </w:rPr>
        <w:t xml:space="preserve"> </w:t>
      </w:r>
      <w:r w:rsidRPr="00577688">
        <w:rPr>
          <w:rFonts w:eastAsia="Times New Roman" w:cs="Times New Roman"/>
          <w:lang w:eastAsia="de-DE"/>
        </w:rPr>
        <w:t xml:space="preserve">(JHWH, seines Gottes) statt nur </w:t>
      </w:r>
      <w:r w:rsidRPr="00577688">
        <w:rPr>
          <w:rFonts w:eastAsia="Times New Roman" w:cs="Times New Roman"/>
          <w:b/>
          <w:bCs/>
          <w:rtl/>
          <w:lang w:eastAsia="de-DE"/>
        </w:rPr>
        <w:t>יהוה</w:t>
      </w:r>
      <w:r w:rsidRPr="00577688">
        <w:rPr>
          <w:rFonts w:eastAsia="Times New Roman" w:cs="Times New Roman"/>
          <w:lang w:eastAsia="de-DE"/>
        </w:rPr>
        <w:t xml:space="preserve">.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 xml:space="preserve">(unwissentlich/aus Versehen) von </w:t>
      </w:r>
      <w:r w:rsidRPr="00577688">
        <w:rPr>
          <w:rFonts w:eastAsia="Times New Roman" w:cs="Times New Roman"/>
          <w:b/>
          <w:bCs/>
          <w:rtl/>
          <w:lang w:eastAsia="de-DE"/>
        </w:rPr>
        <w:t>שגג</w:t>
      </w:r>
      <w:r w:rsidRPr="00577688">
        <w:rPr>
          <w:rFonts w:eastAsia="Times New Roman" w:cs="Times New Roman"/>
          <w:rtl/>
          <w:lang w:eastAsia="de-DE"/>
        </w:rPr>
        <w:t xml:space="preserve"> </w:t>
      </w:r>
      <w:r w:rsidRPr="00577688">
        <w:rPr>
          <w:rFonts w:eastAsia="Times New Roman" w:cs="Times New Roman"/>
          <w:lang w:eastAsia="de-DE"/>
        </w:rPr>
        <w:t xml:space="preserve">(irren). </w:t>
      </w:r>
      <w:r w:rsidRPr="00577688">
        <w:rPr>
          <w:rFonts w:eastAsia="Times New Roman" w:cs="Times New Roman"/>
          <w:b/>
          <w:bCs/>
          <w:rtl/>
          <w:lang w:eastAsia="de-DE"/>
        </w:rPr>
        <w:t>וְאָשֵֽׁם</w:t>
      </w:r>
      <w:r w:rsidRPr="00577688">
        <w:rPr>
          <w:rFonts w:eastAsia="Times New Roman" w:cs="Times New Roman"/>
          <w:rtl/>
          <w:lang w:eastAsia="de-DE"/>
        </w:rPr>
        <w:t xml:space="preserve"> </w:t>
      </w:r>
      <w:r w:rsidRPr="00577688">
        <w:rPr>
          <w:rFonts w:eastAsia="Times New Roman" w:cs="Times New Roman"/>
          <w:lang w:eastAsia="de-DE"/>
        </w:rPr>
        <w:t xml:space="preserve">(und er verschuldet sich) von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(schuldig sein).</w:t>
      </w:r>
    </w:p>
    <w:p w14:paraId="1D8222A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נָשִׂיא</w:t>
      </w:r>
      <w:r w:rsidRPr="00577688">
        <w:rPr>
          <w:rFonts w:eastAsia="Times New Roman" w:cs="Times New Roman"/>
          <w:rtl/>
          <w:lang w:eastAsia="de-DE"/>
        </w:rPr>
        <w:t xml:space="preserve"> </w:t>
      </w:r>
      <w:r w:rsidRPr="00577688">
        <w:rPr>
          <w:rFonts w:eastAsia="Times New Roman" w:cs="Times New Roman"/>
          <w:lang w:eastAsia="de-DE"/>
        </w:rPr>
        <w:t xml:space="preserve">(Fürst) bezeichnet einen Stammesführer oder regionalen Herrscher, nicht den König.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 xml:space="preserve">ist niedriger im Rang als der </w:t>
      </w: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(gesalbte Priester) oder </w:t>
      </w:r>
      <w:r w:rsidRPr="00577688">
        <w:rPr>
          <w:rFonts w:eastAsia="Times New Roman" w:cs="Times New Roman"/>
          <w:b/>
          <w:bCs/>
          <w:rtl/>
          <w:lang w:eastAsia="de-DE"/>
        </w:rPr>
        <w:t>כל־עדת ישראל</w:t>
      </w:r>
      <w:r w:rsidRPr="00577688">
        <w:rPr>
          <w:rFonts w:eastAsia="Times New Roman" w:cs="Times New Roman"/>
          <w:rtl/>
          <w:lang w:eastAsia="de-DE"/>
        </w:rPr>
        <w:t xml:space="preserve"> </w:t>
      </w:r>
      <w:r w:rsidRPr="00577688">
        <w:rPr>
          <w:rFonts w:eastAsia="Times New Roman" w:cs="Times New Roman"/>
          <w:lang w:eastAsia="de-DE"/>
        </w:rPr>
        <w:t>(ganze Gemeinde Israels).</w:t>
      </w:r>
    </w:p>
    <w:p w14:paraId="24790A2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יְהוָ֨ה אֱלֹהָ֜יו</w:t>
      </w:r>
      <w:r w:rsidRPr="00577688">
        <w:rPr>
          <w:rFonts w:eastAsia="Times New Roman" w:cs="Times New Roman"/>
          <w:rtl/>
          <w:lang w:eastAsia="de-DE"/>
        </w:rPr>
        <w:t xml:space="preserve"> </w:t>
      </w:r>
      <w:r w:rsidRPr="00577688">
        <w:rPr>
          <w:rFonts w:eastAsia="Times New Roman" w:cs="Times New Roman"/>
          <w:lang w:eastAsia="de-DE"/>
        </w:rPr>
        <w:t xml:space="preserve">(JHWH, seines Gottes) betont die persönliche Beziehung des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 xml:space="preserve">zu Gott. </w:t>
      </w:r>
      <w:r w:rsidRPr="00577688">
        <w:rPr>
          <w:rFonts w:eastAsia="Times New Roman" w:cs="Times New Roman"/>
          <w:b/>
          <w:bCs/>
          <w:rtl/>
          <w:lang w:eastAsia="de-DE"/>
        </w:rPr>
        <w:t>אלהיו</w:t>
      </w:r>
      <w:r w:rsidRPr="00577688">
        <w:rPr>
          <w:rFonts w:eastAsia="Times New Roman" w:cs="Times New Roman"/>
          <w:rtl/>
          <w:lang w:eastAsia="de-DE"/>
        </w:rPr>
        <w:t xml:space="preserve"> </w:t>
      </w:r>
      <w:r w:rsidRPr="00577688">
        <w:rPr>
          <w:rFonts w:eastAsia="Times New Roman" w:cs="Times New Roman"/>
          <w:lang w:eastAsia="de-DE"/>
        </w:rPr>
        <w:t>(seines Gottes) mit Possessivsuffix zeigt individuelle Verantwortung.</w:t>
      </w:r>
    </w:p>
    <w:p w14:paraId="52869889" w14:textId="48C84DF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fügt </w:t>
      </w:r>
      <w:proofErr w:type="spellStart"/>
      <w:r w:rsidR="005070BF">
        <w:t>τοῦ</w:t>
      </w:r>
      <w:proofErr w:type="spellEnd"/>
      <w:r w:rsidR="005070BF">
        <w:t xml:space="preserve"> </w:t>
      </w:r>
      <w:proofErr w:type="spellStart"/>
      <w:r w:rsidR="005070BF">
        <w:t>θεοῦ</w:t>
      </w:r>
      <w:proofErr w:type="spellEnd"/>
      <w:r w:rsidR="005070BF">
        <w:t xml:space="preserve"> α</w:t>
      </w:r>
      <w:proofErr w:type="spellStart"/>
      <w:r w:rsidR="005070BF">
        <w:t>ὐτῶν</w:t>
      </w:r>
      <w:proofErr w:type="spellEnd"/>
      <w:r w:rsidR="005070BF">
        <w:t xml:space="preserve"> (ihres Gottes) nach </w:t>
      </w:r>
      <w:proofErr w:type="spellStart"/>
      <w:r w:rsidR="005070BF">
        <w:t>κυρίου</w:t>
      </w:r>
      <w:proofErr w:type="spellEnd"/>
      <w:r w:rsidR="005070BF">
        <w:t xml:space="preserve"> hinzu, was eine theologische Verstärkung darstellt, die im hebräischen Text fehlt.</w:t>
      </w:r>
    </w:p>
    <w:p w14:paraId="1096A5F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temporale Konjunktion + Subjekt + Verb + koordiniertes Verb + Objekt + Relativsatz + Adverbialbestimmung + Verb. Die Struktur entspricht V. 2, aber mit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als spezifischem Subjekt.</w:t>
      </w:r>
    </w:p>
    <w:p w14:paraId="7E6A120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die dritte </w:t>
      </w:r>
      <w:r w:rsidRPr="00577688">
        <w:rPr>
          <w:rFonts w:eastAsia="Times New Roman" w:cs="Times New Roman"/>
          <w:b/>
          <w:bCs/>
          <w:rtl/>
          <w:lang w:eastAsia="de-DE"/>
        </w:rPr>
        <w:t>חטאת</w:t>
      </w:r>
      <w:r w:rsidRPr="00577688">
        <w:rPr>
          <w:rFonts w:eastAsia="Times New Roman" w:cs="Times New Roman"/>
          <w:lang w:eastAsia="de-DE"/>
        </w:rPr>
        <w:t xml:space="preserve">-Kategorie für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(Fürsten) ein und zeigt deren niedrigeren Rang durch weniger komplexe Bestimmungen als bei Hohenpriester und Gemeinde.</w:t>
      </w:r>
    </w:p>
    <w:p w14:paraId="46419451"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4,23</w:t>
      </w:r>
    </w:p>
    <w:p w14:paraId="5CE3CD4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אֽוֹ־הוֹדַ֤ע אֵלָיו֙ חַטָּאתוֹ֔ אֲשֶׁ֥ר חָטָ֖א בָּ֑הּ וְהֵבִ֧יא אֶת־קָרְבָּנֹ֛ו שְׂעִ֥יר עִזִּ֖ים זָכָ֥ר תָּמִֽים׃</w:t>
      </w:r>
    </w:p>
    <w:p w14:paraId="2A460AA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seine Sünde wird ihm bekannt, die er gesündigt hat, so soll er seine Opfergabe bringen, einen Ziegenbock, ein männliches ohne Fehl.</w:t>
      </w:r>
    </w:p>
    <w:p w14:paraId="5C14ADC5"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4F671BD">
          <v:rect id="_x0000_i1097" style="width:0;height:1.5pt" o:hralign="center" o:hrstd="t" o:hr="t" fillcolor="#a0a0a0" stroked="f"/>
        </w:pict>
      </w:r>
    </w:p>
    <w:p w14:paraId="205B426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אֽוֹ־הוֹדַ֤ע אֵלָיו֙ חַטָּאתוֹ֔</w:t>
      </w:r>
      <w:r w:rsidRPr="00577688">
        <w:rPr>
          <w:rFonts w:eastAsia="Times New Roman" w:cs="Times New Roman"/>
          <w:rtl/>
          <w:lang w:eastAsia="de-DE"/>
        </w:rPr>
        <w:t xml:space="preserve"> </w:t>
      </w:r>
      <w:r w:rsidRPr="00577688">
        <w:rPr>
          <w:rFonts w:eastAsia="Times New Roman" w:cs="Times New Roman"/>
          <w:lang w:eastAsia="de-DE"/>
        </w:rPr>
        <w:t xml:space="preserve">(oder seine Sünde wird ihm bekannt) zeigt </w:t>
      </w:r>
      <w:r w:rsidRPr="00577688">
        <w:rPr>
          <w:rFonts w:eastAsia="Times New Roman" w:cs="Times New Roman"/>
          <w:b/>
          <w:bCs/>
          <w:rtl/>
          <w:lang w:eastAsia="de-DE"/>
        </w:rPr>
        <w:t>ידע</w:t>
      </w:r>
      <w:r w:rsidRPr="00577688">
        <w:rPr>
          <w:rFonts w:eastAsia="Times New Roman" w:cs="Times New Roman"/>
          <w:rtl/>
          <w:lang w:eastAsia="de-DE"/>
        </w:rPr>
        <w:t xml:space="preserve"> </w:t>
      </w:r>
      <w:r w:rsidRPr="00577688">
        <w:rPr>
          <w:rFonts w:eastAsia="Times New Roman" w:cs="Times New Roman"/>
          <w:lang w:eastAsia="de-DE"/>
        </w:rPr>
        <w:t xml:space="preserve">(wissen/erkennen) im Hofal-Perfekt 3. Person maskulin Singular. </w:t>
      </w:r>
      <w:r w:rsidRPr="00577688">
        <w:rPr>
          <w:rFonts w:eastAsia="Times New Roman" w:cs="Times New Roman"/>
          <w:b/>
          <w:bCs/>
          <w:rtl/>
          <w:lang w:eastAsia="de-DE"/>
        </w:rPr>
        <w:t>או</w:t>
      </w:r>
      <w:r w:rsidRPr="00577688">
        <w:rPr>
          <w:rFonts w:eastAsia="Times New Roman" w:cs="Times New Roman"/>
          <w:rtl/>
          <w:lang w:eastAsia="de-DE"/>
        </w:rPr>
        <w:t xml:space="preserve"> </w:t>
      </w:r>
      <w:r w:rsidRPr="00577688">
        <w:rPr>
          <w:rFonts w:eastAsia="Times New Roman" w:cs="Times New Roman"/>
          <w:lang w:eastAsia="de-DE"/>
        </w:rPr>
        <w:t xml:space="preserve">(oder) kann hier temporales "wenn" bedeuten. </w:t>
      </w:r>
      <w:r w:rsidRPr="00577688">
        <w:rPr>
          <w:rFonts w:eastAsia="Times New Roman" w:cs="Times New Roman"/>
          <w:b/>
          <w:bCs/>
          <w:rtl/>
          <w:lang w:eastAsia="de-DE"/>
        </w:rPr>
        <w:t>אליו</w:t>
      </w:r>
      <w:r w:rsidRPr="00577688">
        <w:rPr>
          <w:rFonts w:eastAsia="Times New Roman" w:cs="Times New Roman"/>
          <w:rtl/>
          <w:lang w:eastAsia="de-DE"/>
        </w:rPr>
        <w:t xml:space="preserve"> </w:t>
      </w:r>
      <w:r w:rsidRPr="00577688">
        <w:rPr>
          <w:rFonts w:eastAsia="Times New Roman" w:cs="Times New Roman"/>
          <w:lang w:eastAsia="de-DE"/>
        </w:rPr>
        <w:t xml:space="preserve">(ihm) mit Dativpräposition, </w:t>
      </w:r>
      <w:r w:rsidRPr="00577688">
        <w:rPr>
          <w:rFonts w:eastAsia="Times New Roman" w:cs="Times New Roman"/>
          <w:b/>
          <w:bCs/>
          <w:rtl/>
          <w:lang w:eastAsia="de-DE"/>
        </w:rPr>
        <w:t>חטאתו</w:t>
      </w:r>
      <w:r w:rsidRPr="00577688">
        <w:rPr>
          <w:rFonts w:eastAsia="Times New Roman" w:cs="Times New Roman"/>
          <w:rtl/>
          <w:lang w:eastAsia="de-DE"/>
        </w:rPr>
        <w:t xml:space="preserve"> </w:t>
      </w:r>
      <w:r w:rsidRPr="00577688">
        <w:rPr>
          <w:rFonts w:eastAsia="Times New Roman" w:cs="Times New Roman"/>
          <w:lang w:eastAsia="de-DE"/>
        </w:rPr>
        <w:t>(seine Sünde) mit Possessivsuffix.</w:t>
      </w:r>
    </w:p>
    <w:p w14:paraId="680E0E40" w14:textId="5527631C"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אֲשֶׁ֥ר חָטָ֖א בָּ֑הּ</w:t>
      </w:r>
      <w:r w:rsidRPr="00577688">
        <w:rPr>
          <w:rFonts w:eastAsia="Times New Roman" w:cs="Times New Roman"/>
          <w:rtl/>
          <w:lang w:eastAsia="de-DE"/>
        </w:rPr>
        <w:t xml:space="preserve"> </w:t>
      </w:r>
      <w:r w:rsidRPr="00577688">
        <w:rPr>
          <w:rFonts w:eastAsia="Times New Roman" w:cs="Times New Roman"/>
          <w:lang w:eastAsia="de-DE"/>
        </w:rPr>
        <w:t xml:space="preserve">(die er gesündigt hat) ist Relativsatz mit </w:t>
      </w:r>
      <w:r w:rsidRPr="00577688">
        <w:rPr>
          <w:rFonts w:eastAsia="Times New Roman" w:cs="Times New Roman"/>
          <w:b/>
          <w:bCs/>
          <w:rtl/>
          <w:lang w:eastAsia="de-DE"/>
        </w:rPr>
        <w:t>חטא</w:t>
      </w:r>
      <w:r w:rsidRPr="00577688">
        <w:rPr>
          <w:rFonts w:eastAsia="Times New Roman" w:cs="Times New Roman"/>
          <w:rtl/>
          <w:lang w:eastAsia="de-DE"/>
        </w:rPr>
        <w:t xml:space="preserve"> </w:t>
      </w:r>
      <w:r w:rsidRPr="00577688">
        <w:rPr>
          <w:rFonts w:eastAsia="Times New Roman" w:cs="Times New Roman"/>
          <w:lang w:eastAsia="de-DE"/>
        </w:rPr>
        <w:t xml:space="preserve">(sündigen) im Qal-Perfekt 3. Person maskulin Singular. </w:t>
      </w:r>
      <w:r w:rsidRPr="00577688">
        <w:rPr>
          <w:rFonts w:eastAsia="Times New Roman" w:cs="Times New Roman"/>
          <w:b/>
          <w:bCs/>
          <w:rtl/>
          <w:lang w:eastAsia="de-DE"/>
        </w:rPr>
        <w:t>בה</w:t>
      </w:r>
      <w:r w:rsidRPr="00577688">
        <w:rPr>
          <w:rFonts w:eastAsia="Times New Roman" w:cs="Times New Roman"/>
          <w:rtl/>
          <w:lang w:eastAsia="de-DE"/>
        </w:rPr>
        <w:t xml:space="preserve"> </w:t>
      </w:r>
      <w:r w:rsidRPr="00577688">
        <w:rPr>
          <w:rFonts w:eastAsia="Times New Roman" w:cs="Times New Roman"/>
          <w:lang w:eastAsia="de-DE"/>
        </w:rPr>
        <w:t xml:space="preserve">(in ihr/darin) mit </w:t>
      </w:r>
      <w:r w:rsidR="00E35C31">
        <w:rPr>
          <w:rFonts w:eastAsia="Times New Roman" w:cs="Times New Roman"/>
          <w:lang w:eastAsia="de-DE"/>
        </w:rPr>
        <w:t>femininem</w:t>
      </w:r>
      <w:r w:rsidRPr="00577688">
        <w:rPr>
          <w:rFonts w:eastAsia="Times New Roman" w:cs="Times New Roman"/>
          <w:lang w:eastAsia="de-DE"/>
        </w:rPr>
        <w:t xml:space="preserve"> Suffix bezieht sich auf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zurück.</w:t>
      </w:r>
    </w:p>
    <w:p w14:paraId="7E45A1F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 אֶת־קָרְבָּנֹ֛ו שְׂעִ֥יר עִזִּ֖ים זָכָ֥ר תָּמִֽים</w:t>
      </w:r>
      <w:r w:rsidRPr="00577688">
        <w:rPr>
          <w:rFonts w:eastAsia="Times New Roman" w:cs="Times New Roman"/>
          <w:rtl/>
          <w:lang w:eastAsia="de-DE"/>
        </w:rPr>
        <w:t xml:space="preserve"> </w:t>
      </w:r>
      <w:r w:rsidRPr="00577688">
        <w:rPr>
          <w:rFonts w:eastAsia="Times New Roman" w:cs="Times New Roman"/>
          <w:lang w:eastAsia="de-DE"/>
        </w:rPr>
        <w:t xml:space="preserve">(und er soll seine Opfergabe bringen, einen Ziegenbock, männlich, fehlerlos) spezifiziert das Opfertier. </w:t>
      </w:r>
      <w:r w:rsidRPr="00577688">
        <w:rPr>
          <w:rFonts w:eastAsia="Times New Roman" w:cs="Times New Roman"/>
          <w:b/>
          <w:bCs/>
          <w:rtl/>
          <w:lang w:eastAsia="de-DE"/>
        </w:rPr>
        <w:t>הביא</w:t>
      </w:r>
      <w:r w:rsidRPr="00577688">
        <w:rPr>
          <w:rFonts w:eastAsia="Times New Roman" w:cs="Times New Roman"/>
          <w:rtl/>
          <w:lang w:eastAsia="de-DE"/>
        </w:rPr>
        <w:t xml:space="preserve"> </w:t>
      </w:r>
      <w:r w:rsidRPr="00577688">
        <w:rPr>
          <w:rFonts w:eastAsia="Times New Roman" w:cs="Times New Roman"/>
          <w:lang w:eastAsia="de-DE"/>
        </w:rPr>
        <w:t xml:space="preserve">(bringen) im Hifil-Perfekt mit Waw-Konsekutiv, </w:t>
      </w:r>
      <w:r w:rsidRPr="00577688">
        <w:rPr>
          <w:rFonts w:eastAsia="Times New Roman" w:cs="Times New Roman"/>
          <w:b/>
          <w:bCs/>
          <w:rtl/>
          <w:lang w:eastAsia="de-DE"/>
        </w:rPr>
        <w:t>שעיר עזים</w:t>
      </w:r>
      <w:r w:rsidRPr="00577688">
        <w:rPr>
          <w:rFonts w:eastAsia="Times New Roman" w:cs="Times New Roman"/>
          <w:rtl/>
          <w:lang w:eastAsia="de-DE"/>
        </w:rPr>
        <w:t xml:space="preserve"> </w:t>
      </w:r>
      <w:r w:rsidRPr="00577688">
        <w:rPr>
          <w:rFonts w:eastAsia="Times New Roman" w:cs="Times New Roman"/>
          <w:lang w:eastAsia="de-DE"/>
        </w:rPr>
        <w:t xml:space="preserve">(Ziegenbock) als Genitivkonstruktion, </w:t>
      </w:r>
      <w:r w:rsidRPr="00577688">
        <w:rPr>
          <w:rFonts w:eastAsia="Times New Roman" w:cs="Times New Roman"/>
          <w:b/>
          <w:bCs/>
          <w:rtl/>
          <w:lang w:eastAsia="de-DE"/>
        </w:rPr>
        <w:t>זכר תמים</w:t>
      </w:r>
      <w:r w:rsidRPr="00577688">
        <w:rPr>
          <w:rFonts w:eastAsia="Times New Roman" w:cs="Times New Roman"/>
          <w:rtl/>
          <w:lang w:eastAsia="de-DE"/>
        </w:rPr>
        <w:t xml:space="preserve"> </w:t>
      </w:r>
      <w:r w:rsidRPr="00577688">
        <w:rPr>
          <w:rFonts w:eastAsia="Times New Roman" w:cs="Times New Roman"/>
          <w:lang w:eastAsia="de-DE"/>
        </w:rPr>
        <w:t>(männlich, fehlerlos).</w:t>
      </w:r>
    </w:p>
    <w:p w14:paraId="5064409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הודע אליו</w:t>
      </w:r>
      <w:r w:rsidRPr="00577688">
        <w:rPr>
          <w:rFonts w:eastAsia="Times New Roman" w:cs="Times New Roman"/>
          <w:rtl/>
          <w:lang w:eastAsia="de-DE"/>
        </w:rPr>
        <w:t xml:space="preserve"> </w:t>
      </w:r>
      <w:r w:rsidRPr="00577688">
        <w:rPr>
          <w:rFonts w:eastAsia="Times New Roman" w:cs="Times New Roman"/>
          <w:lang w:eastAsia="de-DE"/>
        </w:rPr>
        <w:t xml:space="preserve">(es wird ihm bekannt) entspricht </w:t>
      </w:r>
      <w:r w:rsidRPr="00577688">
        <w:rPr>
          <w:rFonts w:eastAsia="Times New Roman" w:cs="Times New Roman"/>
          <w:b/>
          <w:bCs/>
          <w:rtl/>
          <w:lang w:eastAsia="de-DE"/>
        </w:rPr>
        <w:t>ונודעה החטאת</w:t>
      </w:r>
      <w:r w:rsidRPr="00577688">
        <w:rPr>
          <w:rFonts w:eastAsia="Times New Roman" w:cs="Times New Roman"/>
          <w:rtl/>
          <w:lang w:eastAsia="de-DE"/>
        </w:rPr>
        <w:t xml:space="preserve"> </w:t>
      </w:r>
      <w:r w:rsidRPr="00577688">
        <w:rPr>
          <w:rFonts w:eastAsia="Times New Roman" w:cs="Times New Roman"/>
          <w:lang w:eastAsia="de-DE"/>
        </w:rPr>
        <w:t xml:space="preserve">(und die Sünde wird erkannt) in V. 14, zeigt aber individuelle statt kollektive Erkenntnis. </w:t>
      </w:r>
      <w:r w:rsidRPr="00577688">
        <w:rPr>
          <w:rFonts w:eastAsia="Times New Roman" w:cs="Times New Roman"/>
          <w:b/>
          <w:bCs/>
          <w:rtl/>
          <w:lang w:eastAsia="de-DE"/>
        </w:rPr>
        <w:t>חטאתו אשר חטא בה</w:t>
      </w:r>
      <w:r w:rsidRPr="00577688">
        <w:rPr>
          <w:rFonts w:eastAsia="Times New Roman" w:cs="Times New Roman"/>
          <w:rtl/>
          <w:lang w:eastAsia="de-DE"/>
        </w:rPr>
        <w:t xml:space="preserve"> </w:t>
      </w:r>
      <w:r w:rsidRPr="00577688">
        <w:rPr>
          <w:rFonts w:eastAsia="Times New Roman" w:cs="Times New Roman"/>
          <w:lang w:eastAsia="de-DE"/>
        </w:rPr>
        <w:t>betont die persönliche Verantwortung.</w:t>
      </w:r>
    </w:p>
    <w:p w14:paraId="310F17C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שעיר עזים זכר תמים</w:t>
      </w:r>
      <w:r w:rsidRPr="00577688">
        <w:rPr>
          <w:rFonts w:eastAsia="Times New Roman" w:cs="Times New Roman"/>
          <w:rtl/>
          <w:lang w:eastAsia="de-DE"/>
        </w:rPr>
        <w:t xml:space="preserve"> </w:t>
      </w:r>
      <w:r w:rsidRPr="00577688">
        <w:rPr>
          <w:rFonts w:eastAsia="Times New Roman" w:cs="Times New Roman"/>
          <w:lang w:eastAsia="de-DE"/>
        </w:rPr>
        <w:t xml:space="preserve">(männlicher, fehlerloser Ziegenbock) ist weniger kostbar als </w:t>
      </w:r>
      <w:r w:rsidRPr="00577688">
        <w:rPr>
          <w:rFonts w:eastAsia="Times New Roman" w:cs="Times New Roman"/>
          <w:b/>
          <w:bCs/>
          <w:rtl/>
          <w:lang w:eastAsia="de-DE"/>
        </w:rPr>
        <w:t>פר בן־בקר</w:t>
      </w:r>
      <w:r w:rsidRPr="00577688">
        <w:rPr>
          <w:rFonts w:eastAsia="Times New Roman" w:cs="Times New Roman"/>
          <w:rtl/>
          <w:lang w:eastAsia="de-DE"/>
        </w:rPr>
        <w:t xml:space="preserve"> </w:t>
      </w:r>
      <w:r w:rsidRPr="00577688">
        <w:rPr>
          <w:rFonts w:eastAsia="Times New Roman" w:cs="Times New Roman"/>
          <w:lang w:eastAsia="de-DE"/>
        </w:rPr>
        <w:t xml:space="preserve">(junger Stier) bei Hohenpriester und Gemeinde, entspricht aber dem niedrigeren Rang des </w:t>
      </w:r>
      <w:r w:rsidRPr="00577688">
        <w:rPr>
          <w:rFonts w:eastAsia="Times New Roman" w:cs="Times New Roman"/>
          <w:b/>
          <w:bCs/>
          <w:rtl/>
          <w:lang w:eastAsia="de-DE"/>
        </w:rPr>
        <w:t>נשיא</w:t>
      </w:r>
      <w:r w:rsidRPr="00577688">
        <w:rPr>
          <w:rFonts w:eastAsia="Times New Roman" w:cs="Times New Roman"/>
          <w:lang w:eastAsia="de-DE"/>
        </w:rPr>
        <w:t>.</w:t>
      </w:r>
    </w:p>
    <w:p w14:paraId="2B0F2FB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הוֹדַ֤ע</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γνωρισθῇ</w:t>
      </w:r>
      <w:proofErr w:type="spellEnd"/>
      <w:r w:rsidRPr="00577688">
        <w:rPr>
          <w:rFonts w:eastAsia="Times New Roman" w:cs="Times New Roman"/>
          <w:lang w:eastAsia="de-DE"/>
        </w:rPr>
        <w:t xml:space="preserve"> (es werde bekannt gemacht), </w:t>
      </w:r>
      <w:r w:rsidRPr="00577688">
        <w:rPr>
          <w:rFonts w:eastAsia="Times New Roman" w:cs="Times New Roman"/>
          <w:b/>
          <w:bCs/>
          <w:rtl/>
          <w:lang w:eastAsia="de-DE"/>
        </w:rPr>
        <w:t>שְׂעִ֥יר עִזִּ֖ים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χίμ</w:t>
      </w:r>
      <w:proofErr w:type="spellEnd"/>
      <w:r w:rsidRPr="00577688">
        <w:rPr>
          <w:rFonts w:eastAsia="Times New Roman" w:cs="Times New Roman"/>
          <w:lang w:eastAsia="de-DE"/>
        </w:rPr>
        <w:t xml:space="preserve">αρον </w:t>
      </w:r>
      <w:proofErr w:type="spellStart"/>
      <w:r w:rsidRPr="00577688">
        <w:rPr>
          <w:rFonts w:eastAsia="Times New Roman" w:cs="Times New Roman"/>
          <w:lang w:eastAsia="de-DE"/>
        </w:rPr>
        <w:t>ἐξ</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ἰγῶν</w:t>
      </w:r>
      <w:proofErr w:type="spellEnd"/>
      <w:r w:rsidRPr="00577688">
        <w:rPr>
          <w:rFonts w:eastAsia="Times New Roman" w:cs="Times New Roman"/>
          <w:lang w:eastAsia="de-DE"/>
        </w:rPr>
        <w:t xml:space="preserve"> (Ziegenbock von Ziegen) und </w:t>
      </w:r>
      <w:r w:rsidRPr="00577688">
        <w:rPr>
          <w:rFonts w:eastAsia="Times New Roman" w:cs="Times New Roman"/>
          <w:b/>
          <w:bCs/>
          <w:rtl/>
          <w:lang w:eastAsia="de-DE"/>
        </w:rPr>
        <w:t>זָכָ֥ר תָּמִֽים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ἄρσεν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ἄμωμον</w:t>
      </w:r>
      <w:proofErr w:type="spellEnd"/>
      <w:r w:rsidRPr="00577688">
        <w:rPr>
          <w:rFonts w:eastAsia="Times New Roman" w:cs="Times New Roman"/>
          <w:lang w:eastAsia="de-DE"/>
        </w:rPr>
        <w:t xml:space="preserve"> (männlich, tadellos).</w:t>
      </w:r>
    </w:p>
    <w:p w14:paraId="00A648D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Satzstruktur:</w:t>
      </w:r>
      <w:r w:rsidRPr="00577688">
        <w:rPr>
          <w:rFonts w:eastAsia="Times New Roman" w:cs="Times New Roman"/>
          <w:lang w:eastAsia="de-DE"/>
        </w:rPr>
        <w:t xml:space="preserve"> zeigt einen Konditionalsatz: temporale Konjunktion + Verb + Dativobjekt + Subjekt + Relativsatz → Apodosis (Verb + Objekt + Spezifizierung + Qualifikationen). Die Struktur entspricht der individuellen </w:t>
      </w:r>
      <w:r w:rsidRPr="00577688">
        <w:rPr>
          <w:rFonts w:eastAsia="Times New Roman" w:cs="Times New Roman"/>
          <w:b/>
          <w:bCs/>
          <w:rtl/>
          <w:lang w:eastAsia="de-DE"/>
        </w:rPr>
        <w:t>חטאת</w:t>
      </w:r>
      <w:r w:rsidRPr="00577688">
        <w:rPr>
          <w:rFonts w:eastAsia="Times New Roman" w:cs="Times New Roman"/>
          <w:lang w:eastAsia="de-DE"/>
        </w:rPr>
        <w:t>-Logik.</w:t>
      </w:r>
    </w:p>
    <w:p w14:paraId="06450CE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beschreibt den Wendepunkt von unbewusster zu bewusster Schuld bei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 xml:space="preserve">und spezifiziert </w:t>
      </w:r>
      <w:r w:rsidRPr="00577688">
        <w:rPr>
          <w:rFonts w:eastAsia="Times New Roman" w:cs="Times New Roman"/>
          <w:b/>
          <w:bCs/>
          <w:rtl/>
          <w:lang w:eastAsia="de-DE"/>
        </w:rPr>
        <w:t>שעיר עזים</w:t>
      </w:r>
      <w:r w:rsidRPr="00577688">
        <w:rPr>
          <w:rFonts w:eastAsia="Times New Roman" w:cs="Times New Roman"/>
          <w:rtl/>
          <w:lang w:eastAsia="de-DE"/>
        </w:rPr>
        <w:t xml:space="preserve"> </w:t>
      </w:r>
      <w:r w:rsidRPr="00577688">
        <w:rPr>
          <w:rFonts w:eastAsia="Times New Roman" w:cs="Times New Roman"/>
          <w:lang w:eastAsia="de-DE"/>
        </w:rPr>
        <w:t>als rangentsprechendes Opfertier.</w:t>
      </w:r>
    </w:p>
    <w:p w14:paraId="220D3850"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4,24</w:t>
      </w:r>
    </w:p>
    <w:p w14:paraId="7036291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וְסָמַ֤ךְ יָדוֹ֙ עַל־רֹ֣אשׁ הַשָּׂעִ֔יר וְשָׁחַ֣ט אֹתוֹ֔ בִּמְק֛וֹם אֲשֶׁר־יִשְׁחַ֥ט אֶת־הָעֹלָ֖ה לִפְנֵ֣י יְהוָ֑ה חַטָּ֖את הֽוּא׃</w:t>
      </w:r>
    </w:p>
    <w:p w14:paraId="68D3319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seine Hand auf den Kopf des Bockes legen und ihn schlachten an dem Ort, wo man das Aufsteigeopfer vor dem Ewigen schlachtet: Es ist ein Sündopfer.</w:t>
      </w:r>
    </w:p>
    <w:p w14:paraId="0922EC3E"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D763227">
          <v:rect id="_x0000_i1098" style="width:0;height:1.5pt" o:hralign="center" o:hrstd="t" o:hr="t" fillcolor="#a0a0a0" stroked="f"/>
        </w:pict>
      </w:r>
    </w:p>
    <w:p w14:paraId="1BCDAD5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וְסָמַ֤ךְ יָדוֹ֙ עַל־רֹ֣אשׁ הַשָּׂעִ֔יר</w:t>
      </w:r>
      <w:r w:rsidRPr="00577688">
        <w:rPr>
          <w:rFonts w:eastAsia="Times New Roman" w:cs="Times New Roman"/>
          <w:rtl/>
          <w:lang w:eastAsia="de-DE"/>
        </w:rPr>
        <w:t xml:space="preserve"> </w:t>
      </w:r>
      <w:r w:rsidRPr="00577688">
        <w:rPr>
          <w:rFonts w:eastAsia="Times New Roman" w:cs="Times New Roman"/>
          <w:lang w:eastAsia="de-DE"/>
        </w:rPr>
        <w:t>(und er soll seine Hand auf den Kopf des Bockes legen) zeigt die Standard-</w:t>
      </w:r>
      <w:r w:rsidRPr="00577688">
        <w:rPr>
          <w:rFonts w:eastAsia="Times New Roman" w:cs="Times New Roman"/>
          <w:b/>
          <w:bCs/>
          <w:rtl/>
          <w:lang w:eastAsia="de-DE"/>
        </w:rPr>
        <w:t>סמיכה</w:t>
      </w:r>
      <w:r w:rsidRPr="00577688">
        <w:rPr>
          <w:rFonts w:eastAsia="Times New Roman" w:cs="Times New Roman"/>
          <w:lang w:eastAsia="de-DE"/>
        </w:rPr>
        <w:t xml:space="preserve">. </w:t>
      </w:r>
      <w:r w:rsidRPr="00577688">
        <w:rPr>
          <w:rFonts w:eastAsia="Times New Roman" w:cs="Times New Roman"/>
          <w:b/>
          <w:bCs/>
          <w:rtl/>
          <w:lang w:eastAsia="de-DE"/>
        </w:rPr>
        <w:t>סמך</w:t>
      </w:r>
      <w:r w:rsidRPr="00577688">
        <w:rPr>
          <w:rFonts w:eastAsia="Times New Roman" w:cs="Times New Roman"/>
          <w:rtl/>
          <w:lang w:eastAsia="de-DE"/>
        </w:rPr>
        <w:t xml:space="preserve"> </w:t>
      </w:r>
      <w:r w:rsidRPr="00577688">
        <w:rPr>
          <w:rFonts w:eastAsia="Times New Roman" w:cs="Times New Roman"/>
          <w:lang w:eastAsia="de-DE"/>
        </w:rPr>
        <w:t xml:space="preserve">im Qal-Perfekt mit Waw-Konsekutiv, </w:t>
      </w:r>
      <w:r w:rsidRPr="00577688">
        <w:rPr>
          <w:rFonts w:eastAsia="Times New Roman" w:cs="Times New Roman"/>
          <w:b/>
          <w:bCs/>
          <w:rtl/>
          <w:lang w:eastAsia="de-DE"/>
        </w:rPr>
        <w:t>ידו</w:t>
      </w:r>
      <w:r w:rsidRPr="00577688">
        <w:rPr>
          <w:rFonts w:eastAsia="Times New Roman" w:cs="Times New Roman"/>
          <w:rtl/>
          <w:lang w:eastAsia="de-DE"/>
        </w:rPr>
        <w:t xml:space="preserve"> </w:t>
      </w:r>
      <w:r w:rsidRPr="00577688">
        <w:rPr>
          <w:rFonts w:eastAsia="Times New Roman" w:cs="Times New Roman"/>
          <w:lang w:eastAsia="de-DE"/>
        </w:rPr>
        <w:t xml:space="preserve">(seine Hand) im Singular, </w:t>
      </w:r>
      <w:r w:rsidRPr="00577688">
        <w:rPr>
          <w:rFonts w:eastAsia="Times New Roman" w:cs="Times New Roman"/>
          <w:b/>
          <w:bCs/>
          <w:rtl/>
          <w:lang w:eastAsia="de-DE"/>
        </w:rPr>
        <w:t>השעיר</w:t>
      </w:r>
      <w:r w:rsidRPr="00577688">
        <w:rPr>
          <w:rFonts w:eastAsia="Times New Roman" w:cs="Times New Roman"/>
          <w:rtl/>
          <w:lang w:eastAsia="de-DE"/>
        </w:rPr>
        <w:t xml:space="preserve"> </w:t>
      </w:r>
      <w:r w:rsidRPr="00577688">
        <w:rPr>
          <w:rFonts w:eastAsia="Times New Roman" w:cs="Times New Roman"/>
          <w:lang w:eastAsia="de-DE"/>
        </w:rPr>
        <w:t>(der Bock).</w:t>
      </w:r>
    </w:p>
    <w:p w14:paraId="3C7F9987" w14:textId="19E8E3B5"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וְשָׁחַ֣ט אֹתוֹ֔ בִּמְק֛וֹם אֲשֶׁר־יִשְׁחַ֥ט אֶת־הָעֹלָ֖ה לִפְנֵ֣י יְהוָ֑ה</w:t>
      </w:r>
      <w:r w:rsidRPr="00577688">
        <w:rPr>
          <w:rFonts w:eastAsia="Times New Roman" w:cs="Times New Roman"/>
          <w:rtl/>
          <w:lang w:eastAsia="de-DE"/>
        </w:rPr>
        <w:t xml:space="preserve"> </w:t>
      </w:r>
      <w:r w:rsidRPr="00577688">
        <w:rPr>
          <w:rFonts w:eastAsia="Times New Roman" w:cs="Times New Roman"/>
          <w:lang w:eastAsia="de-DE"/>
        </w:rPr>
        <w:t xml:space="preserve">(und er soll ihn schlachten an dem Ort, wo man das </w:t>
      </w:r>
      <w:r w:rsidR="00CF10E7">
        <w:rPr>
          <w:rFonts w:eastAsia="Times New Roman" w:cs="Times New Roman"/>
          <w:lang w:eastAsia="de-DE"/>
        </w:rPr>
        <w:t>Aufsteigeopfer</w:t>
      </w:r>
      <w:r w:rsidRPr="00577688">
        <w:rPr>
          <w:rFonts w:eastAsia="Times New Roman" w:cs="Times New Roman"/>
          <w:lang w:eastAsia="de-DE"/>
        </w:rPr>
        <w:t xml:space="preserve"> vor JHWH schlachtet) spezifiziert den Schlachtort. </w:t>
      </w:r>
      <w:r w:rsidRPr="00577688">
        <w:rPr>
          <w:rFonts w:eastAsia="Times New Roman" w:cs="Times New Roman"/>
          <w:b/>
          <w:bCs/>
          <w:rtl/>
          <w:lang w:eastAsia="de-DE"/>
        </w:rPr>
        <w:t>שחט</w:t>
      </w:r>
      <w:r w:rsidRPr="00577688">
        <w:rPr>
          <w:rFonts w:eastAsia="Times New Roman" w:cs="Times New Roman"/>
          <w:rtl/>
          <w:lang w:eastAsia="de-DE"/>
        </w:rPr>
        <w:t xml:space="preserve"> </w:t>
      </w:r>
      <w:r w:rsidRPr="00577688">
        <w:rPr>
          <w:rFonts w:eastAsia="Times New Roman" w:cs="Times New Roman"/>
          <w:lang w:eastAsia="de-DE"/>
        </w:rPr>
        <w:t xml:space="preserve">(schlachten) im Qal-Perfekt mit Waw-Konsekutiv, </w:t>
      </w:r>
      <w:r w:rsidRPr="00577688">
        <w:rPr>
          <w:rFonts w:eastAsia="Times New Roman" w:cs="Times New Roman"/>
          <w:b/>
          <w:bCs/>
          <w:rtl/>
          <w:lang w:eastAsia="de-DE"/>
        </w:rPr>
        <w:t>במקום אשר</w:t>
      </w:r>
      <w:r w:rsidRPr="00577688">
        <w:rPr>
          <w:rFonts w:eastAsia="Times New Roman" w:cs="Times New Roman"/>
          <w:rtl/>
          <w:lang w:eastAsia="de-DE"/>
        </w:rPr>
        <w:t xml:space="preserve"> </w:t>
      </w:r>
      <w:r w:rsidRPr="00577688">
        <w:rPr>
          <w:rFonts w:eastAsia="Times New Roman" w:cs="Times New Roman"/>
          <w:lang w:eastAsia="de-DE"/>
        </w:rPr>
        <w:t>(an dem Ort, wo) als Ortsangabe mit Relativsatz.</w:t>
      </w:r>
    </w:p>
    <w:p w14:paraId="0631AF5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חַטָּ֖את הֽוּא</w:t>
      </w:r>
      <w:r w:rsidRPr="00577688">
        <w:rPr>
          <w:rFonts w:eastAsia="Times New Roman" w:cs="Times New Roman"/>
          <w:rtl/>
          <w:lang w:eastAsia="de-DE"/>
        </w:rPr>
        <w:t xml:space="preserve"> </w:t>
      </w:r>
      <w:r w:rsidRPr="00577688">
        <w:rPr>
          <w:rFonts w:eastAsia="Times New Roman" w:cs="Times New Roman"/>
          <w:lang w:eastAsia="de-DE"/>
        </w:rPr>
        <w:t xml:space="preserve">(es ist ein Sündopfer) ist abschließende Klassifikation mit emphatischem Pronomen </w:t>
      </w:r>
      <w:r w:rsidRPr="00577688">
        <w:rPr>
          <w:rFonts w:eastAsia="Times New Roman" w:cs="Times New Roman"/>
          <w:b/>
          <w:bCs/>
          <w:rtl/>
          <w:lang w:eastAsia="de-DE"/>
        </w:rPr>
        <w:t>הוא</w:t>
      </w:r>
      <w:r w:rsidRPr="00577688">
        <w:rPr>
          <w:rFonts w:eastAsia="Times New Roman" w:cs="Times New Roman"/>
          <w:lang w:eastAsia="de-DE"/>
        </w:rPr>
        <w:t>.</w:t>
      </w:r>
    </w:p>
    <w:p w14:paraId="3B20EB55" w14:textId="07983C5E"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במקום אשר־ישחט את־העלה לפני יהוה</w:t>
      </w:r>
      <w:r w:rsidRPr="00577688">
        <w:rPr>
          <w:rFonts w:eastAsia="Times New Roman" w:cs="Times New Roman"/>
          <w:rtl/>
          <w:lang w:eastAsia="de-DE"/>
        </w:rPr>
        <w:t xml:space="preserve"> </w:t>
      </w:r>
      <w:r w:rsidRPr="00577688">
        <w:rPr>
          <w:rFonts w:eastAsia="Times New Roman" w:cs="Times New Roman"/>
          <w:lang w:eastAsia="de-DE"/>
        </w:rPr>
        <w:t xml:space="preserve">(an dem Ort, wo man das </w:t>
      </w:r>
      <w:r w:rsidR="00CF10E7">
        <w:rPr>
          <w:rFonts w:eastAsia="Times New Roman" w:cs="Times New Roman"/>
          <w:lang w:eastAsia="de-DE"/>
        </w:rPr>
        <w:t>Aufsteigeopfer</w:t>
      </w:r>
      <w:r w:rsidRPr="00577688">
        <w:rPr>
          <w:rFonts w:eastAsia="Times New Roman" w:cs="Times New Roman"/>
          <w:lang w:eastAsia="de-DE"/>
        </w:rPr>
        <w:t xml:space="preserve"> vor JHWH schlachtet) zeigt, dass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am normalen Schlachtplatz im Vorhof erfolgt, nicht mit besonderen Ortsbestimmungen wie bei schweren </w:t>
      </w:r>
      <w:r w:rsidRPr="00577688">
        <w:rPr>
          <w:rFonts w:eastAsia="Times New Roman" w:cs="Times New Roman"/>
          <w:b/>
          <w:bCs/>
          <w:rtl/>
          <w:lang w:eastAsia="de-DE"/>
        </w:rPr>
        <w:t>חטאת</w:t>
      </w:r>
      <w:r w:rsidRPr="00577688">
        <w:rPr>
          <w:rFonts w:eastAsia="Times New Roman" w:cs="Times New Roman"/>
          <w:lang w:eastAsia="de-DE"/>
        </w:rPr>
        <w:t>.</w:t>
      </w:r>
    </w:p>
    <w:p w14:paraId="78F0FB5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יִשְׁחַ֥ט</w:t>
      </w:r>
      <w:r w:rsidRPr="00577688">
        <w:rPr>
          <w:rFonts w:eastAsia="Times New Roman" w:cs="Times New Roman"/>
          <w:rtl/>
          <w:lang w:eastAsia="de-DE"/>
        </w:rPr>
        <w:t xml:space="preserve"> </w:t>
      </w:r>
      <w:r w:rsidRPr="00577688">
        <w:rPr>
          <w:rFonts w:eastAsia="Times New Roman" w:cs="Times New Roman"/>
          <w:lang w:eastAsia="de-DE"/>
        </w:rPr>
        <w:t xml:space="preserve">(man schlachtet) im Qal-Imperfekt 3. Person maskulin Singular unpersönlich verwendet zeigt den standardisierten Schlachtort für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als Referenzpunkt.</w:t>
      </w:r>
    </w:p>
    <w:p w14:paraId="4FE6FBD1" w14:textId="03090A80"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wechselt zu Plural </w:t>
      </w:r>
      <w:proofErr w:type="spellStart"/>
      <w:r w:rsidR="005070BF">
        <w:t>σφάξουσιν</w:t>
      </w:r>
      <w:proofErr w:type="spellEnd"/>
      <w:r w:rsidR="005070BF">
        <w:t xml:space="preserve"> (sie werden schlachten) für das hebräische Singular </w:t>
      </w:r>
      <w:r w:rsidR="005070BF">
        <w:rPr>
          <w:rtl/>
        </w:rPr>
        <w:t>ושחט</w:t>
      </w:r>
      <w:r w:rsidR="005070BF">
        <w:t xml:space="preserve"> (</w:t>
      </w:r>
      <w:proofErr w:type="spellStart"/>
      <w:r w:rsidR="005070BF">
        <w:t>weschachat</w:t>
      </w:r>
      <w:proofErr w:type="spellEnd"/>
      <w:r w:rsidR="005070BF">
        <w:t>), was eine textkritische Unstimmigkeit zeigt.</w:t>
      </w:r>
    </w:p>
    <w:p w14:paraId="6B57583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plus Klassifikation: Verb + Objekt + Präpositionalphrase // Verb + Objekt + komplexe Ortsangabe mit Relativsatz + Adverbialbestimmung // Klassifikation mit emphatischem Pronomen. Die Ortsangabe unterscheidet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von schweren </w:t>
      </w:r>
      <w:r w:rsidRPr="00577688">
        <w:rPr>
          <w:rFonts w:eastAsia="Times New Roman" w:cs="Times New Roman"/>
          <w:b/>
          <w:bCs/>
          <w:rtl/>
          <w:lang w:eastAsia="de-DE"/>
        </w:rPr>
        <w:t>חטאת</w:t>
      </w:r>
      <w:r w:rsidRPr="00577688">
        <w:rPr>
          <w:rFonts w:eastAsia="Times New Roman" w:cs="Times New Roman"/>
          <w:lang w:eastAsia="de-DE"/>
        </w:rPr>
        <w:t>.</w:t>
      </w:r>
    </w:p>
    <w:p w14:paraId="10E0274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die vereinfachte Prozedur für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lang w:eastAsia="de-DE"/>
        </w:rPr>
        <w:t xml:space="preserve">: normale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und Schlachtung am Standard-Opferplatz ohne besondere heilige Handlungen.</w:t>
      </w:r>
    </w:p>
    <w:p w14:paraId="024F747C"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4,25</w:t>
      </w:r>
    </w:p>
    <w:p w14:paraId="3D347A8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וְלָקַ֨ח הַכֹּהֵ֜ן מִדַּ֤ם הַֽחַטָּאת֙ בְּאֶצְבָּעֹ֔ו וְנָתַ֕ן עַל־קַרְנֹ֖ת מִזְבַּ֣ח הָעֹלָ֑ה וְאֶת־דָּמֹ֣ו יִשְׁפֹּ֔ךְ אֶל־יְס֖וֹד מִזְבַּ֥ח הָעֹלָֽה׃</w:t>
      </w:r>
    </w:p>
    <w:p w14:paraId="214DAA2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Deutsch:</w:t>
      </w:r>
      <w:r w:rsidRPr="00577688">
        <w:rPr>
          <w:rFonts w:eastAsia="Times New Roman" w:cs="Times New Roman"/>
          <w:lang w:eastAsia="de-DE"/>
        </w:rPr>
        <w:t xml:space="preserve"> Und der Priester soll von dem Blut des Sündopfers mit seinem Finger nehmen und es an die Hörner des Aufsteigeopferaltars tun; und sein Blut soll er an den Fuß des Aufsteigeopferaltars gießen.</w:t>
      </w:r>
    </w:p>
    <w:p w14:paraId="3B8620A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A6F01D8">
          <v:rect id="_x0000_i1099" style="width:0;height:1.5pt" o:hralign="center" o:hrstd="t" o:hr="t" fillcolor="#a0a0a0" stroked="f"/>
        </w:pict>
      </w:r>
    </w:p>
    <w:p w14:paraId="239F186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וְלָקַ֨ח הַכֹּהֵ֜ן מִדַּ֤ם הַֽחַטָּאת֙ בְּאֶצְבָּעֹ֔ו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von dem Blut des Sündopfers mit seinem Finger nehmen) zeigt </w:t>
      </w:r>
      <w:r w:rsidRPr="00577688">
        <w:rPr>
          <w:rFonts w:eastAsia="Times New Roman" w:cs="Times New Roman"/>
          <w:b/>
          <w:bCs/>
          <w:rtl/>
          <w:lang w:eastAsia="de-DE"/>
        </w:rPr>
        <w:t>לקח</w:t>
      </w:r>
      <w:r w:rsidRPr="00577688">
        <w:rPr>
          <w:rFonts w:eastAsia="Times New Roman" w:cs="Times New Roman"/>
          <w:rtl/>
          <w:lang w:eastAsia="de-DE"/>
        </w:rPr>
        <w:t xml:space="preserve"> </w:t>
      </w:r>
      <w:r w:rsidRPr="00577688">
        <w:rPr>
          <w:rFonts w:eastAsia="Times New Roman" w:cs="Times New Roman"/>
          <w:lang w:eastAsia="de-DE"/>
        </w:rPr>
        <w:t xml:space="preserve">(nehmen) im Qal-Perfekt mit Waw-Konsekutiv. </w:t>
      </w: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(von dem Blut des Sündopfers), </w:t>
      </w:r>
      <w:r w:rsidRPr="00577688">
        <w:rPr>
          <w:rFonts w:eastAsia="Times New Roman" w:cs="Times New Roman"/>
          <w:b/>
          <w:bCs/>
          <w:rtl/>
          <w:lang w:eastAsia="de-DE"/>
        </w:rPr>
        <w:t>באצבעו</w:t>
      </w:r>
      <w:r w:rsidRPr="00577688">
        <w:rPr>
          <w:rFonts w:eastAsia="Times New Roman" w:cs="Times New Roman"/>
          <w:rtl/>
          <w:lang w:eastAsia="de-DE"/>
        </w:rPr>
        <w:t xml:space="preserve"> </w:t>
      </w:r>
      <w:r w:rsidRPr="00577688">
        <w:rPr>
          <w:rFonts w:eastAsia="Times New Roman" w:cs="Times New Roman"/>
          <w:lang w:eastAsia="de-DE"/>
        </w:rPr>
        <w:t>(mit seinem Finger) mit Possessivsuffix.</w:t>
      </w:r>
    </w:p>
    <w:p w14:paraId="29792089" w14:textId="3A318CB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וְנָתַ֕ן עַל־קַרְנֹ֖ת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(und er soll an die Hörner des </w:t>
      </w:r>
      <w:r w:rsidR="00CF10E7">
        <w:rPr>
          <w:rFonts w:eastAsia="Times New Roman" w:cs="Times New Roman"/>
          <w:lang w:eastAsia="de-DE"/>
        </w:rPr>
        <w:t>Aufsteigeopfer</w:t>
      </w:r>
      <w:r w:rsidRPr="00577688">
        <w:rPr>
          <w:rFonts w:eastAsia="Times New Roman" w:cs="Times New Roman"/>
          <w:lang w:eastAsia="de-DE"/>
        </w:rPr>
        <w:t xml:space="preserve">altars setzen) zeigt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(geben/setzen) im Qal-Perfekt mit Waw-Konsekutiv. </w:t>
      </w:r>
      <w:r w:rsidRPr="00577688">
        <w:rPr>
          <w:rFonts w:eastAsia="Times New Roman" w:cs="Times New Roman"/>
          <w:b/>
          <w:bCs/>
          <w:rtl/>
          <w:lang w:eastAsia="de-DE"/>
        </w:rPr>
        <w:t>קרנות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(Hörner des </w:t>
      </w:r>
      <w:r w:rsidR="00CF10E7">
        <w:rPr>
          <w:rFonts w:eastAsia="Times New Roman" w:cs="Times New Roman"/>
          <w:lang w:eastAsia="de-DE"/>
        </w:rPr>
        <w:t>Aufsteigeopfer</w:t>
      </w:r>
      <w:r w:rsidRPr="00577688">
        <w:rPr>
          <w:rFonts w:eastAsia="Times New Roman" w:cs="Times New Roman"/>
          <w:lang w:eastAsia="de-DE"/>
        </w:rPr>
        <w:t xml:space="preserve">altars) - wichtig: Außenaltar, nicht </w:t>
      </w:r>
      <w:r w:rsidRPr="00577688">
        <w:rPr>
          <w:rFonts w:eastAsia="Times New Roman" w:cs="Times New Roman"/>
          <w:b/>
          <w:bCs/>
          <w:rtl/>
          <w:lang w:eastAsia="de-DE"/>
        </w:rPr>
        <w:t>מזבח קטרת</w:t>
      </w:r>
      <w:r w:rsidRPr="00577688">
        <w:rPr>
          <w:rFonts w:eastAsia="Times New Roman" w:cs="Times New Roman"/>
          <w:rtl/>
          <w:lang w:eastAsia="de-DE"/>
        </w:rPr>
        <w:t xml:space="preserve"> </w:t>
      </w:r>
      <w:r w:rsidRPr="00577688">
        <w:rPr>
          <w:rFonts w:eastAsia="Times New Roman" w:cs="Times New Roman"/>
          <w:lang w:eastAsia="de-DE"/>
        </w:rPr>
        <w:t>(Räucheraltar).</w:t>
      </w:r>
    </w:p>
    <w:p w14:paraId="26E1E2D1" w14:textId="18761AE3"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וְאֶת־דָּמֹ֣ו יִשְׁפֹּ֔ךְ אֶל־יְס֖וֹד מִזְבַּ֥ח הָעֹלָֽה</w:t>
      </w:r>
      <w:r w:rsidRPr="00577688">
        <w:rPr>
          <w:rFonts w:eastAsia="Times New Roman" w:cs="Times New Roman"/>
          <w:rtl/>
          <w:lang w:eastAsia="de-DE"/>
        </w:rPr>
        <w:t xml:space="preserve"> </w:t>
      </w:r>
      <w:r w:rsidRPr="00577688">
        <w:rPr>
          <w:rFonts w:eastAsia="Times New Roman" w:cs="Times New Roman"/>
          <w:lang w:eastAsia="de-DE"/>
        </w:rPr>
        <w:t xml:space="preserve">(und sein Blut soll er an den Fuß des </w:t>
      </w:r>
      <w:r w:rsidR="00CF10E7">
        <w:rPr>
          <w:rFonts w:eastAsia="Times New Roman" w:cs="Times New Roman"/>
          <w:lang w:eastAsia="de-DE"/>
        </w:rPr>
        <w:t>Aufsteigeopfer</w:t>
      </w:r>
      <w:r w:rsidRPr="00577688">
        <w:rPr>
          <w:rFonts w:eastAsia="Times New Roman" w:cs="Times New Roman"/>
          <w:lang w:eastAsia="de-DE"/>
        </w:rPr>
        <w:t xml:space="preserve">altars gießen) entspricht den schweren </w:t>
      </w:r>
      <w:r w:rsidRPr="00577688">
        <w:rPr>
          <w:rFonts w:eastAsia="Times New Roman" w:cs="Times New Roman"/>
          <w:b/>
          <w:bCs/>
          <w:rtl/>
          <w:lang w:eastAsia="de-DE"/>
        </w:rPr>
        <w:t>חטאת</w:t>
      </w:r>
      <w:r w:rsidRPr="00577688">
        <w:rPr>
          <w:rFonts w:eastAsia="Times New Roman" w:cs="Times New Roman"/>
          <w:lang w:eastAsia="de-DE"/>
        </w:rPr>
        <w:t xml:space="preserve">, aber alles am Außenaltar. </w:t>
      </w:r>
      <w:r w:rsidRPr="00577688">
        <w:rPr>
          <w:rFonts w:eastAsia="Times New Roman" w:cs="Times New Roman"/>
          <w:b/>
          <w:bCs/>
          <w:rtl/>
          <w:lang w:eastAsia="de-DE"/>
        </w:rPr>
        <w:t>דמו</w:t>
      </w:r>
      <w:r w:rsidRPr="00577688">
        <w:rPr>
          <w:rFonts w:eastAsia="Times New Roman" w:cs="Times New Roman"/>
          <w:rtl/>
          <w:lang w:eastAsia="de-DE"/>
        </w:rPr>
        <w:t xml:space="preserve"> </w:t>
      </w:r>
      <w:r w:rsidRPr="00577688">
        <w:rPr>
          <w:rFonts w:eastAsia="Times New Roman" w:cs="Times New Roman"/>
          <w:lang w:eastAsia="de-DE"/>
        </w:rPr>
        <w:t xml:space="preserve">(sein Blut) mit Possessivsuffix, </w:t>
      </w:r>
      <w:r w:rsidRPr="00577688">
        <w:rPr>
          <w:rFonts w:eastAsia="Times New Roman" w:cs="Times New Roman"/>
          <w:b/>
          <w:bCs/>
          <w:rtl/>
          <w:lang w:eastAsia="de-DE"/>
        </w:rPr>
        <w:t>ישפך</w:t>
      </w:r>
      <w:r w:rsidRPr="00577688">
        <w:rPr>
          <w:rFonts w:eastAsia="Times New Roman" w:cs="Times New Roman"/>
          <w:rtl/>
          <w:lang w:eastAsia="de-DE"/>
        </w:rPr>
        <w:t xml:space="preserve"> </w:t>
      </w:r>
      <w:r w:rsidRPr="00577688">
        <w:rPr>
          <w:rFonts w:eastAsia="Times New Roman" w:cs="Times New Roman"/>
          <w:lang w:eastAsia="de-DE"/>
        </w:rPr>
        <w:t>(er soll ausgießen) im Qal-Imperfekt.</w:t>
      </w:r>
    </w:p>
    <w:p w14:paraId="42C7247F" w14:textId="39702F7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Der entscheidende Unterschied zu schweren </w:t>
      </w:r>
      <w:r w:rsidRPr="00577688">
        <w:rPr>
          <w:rFonts w:eastAsia="Times New Roman" w:cs="Times New Roman"/>
          <w:b/>
          <w:bCs/>
          <w:rtl/>
          <w:lang w:eastAsia="de-DE"/>
        </w:rPr>
        <w:t>חטאת</w:t>
      </w:r>
      <w:r w:rsidRPr="00577688">
        <w:rPr>
          <w:rFonts w:eastAsia="Times New Roman" w:cs="Times New Roman"/>
          <w:lang w:eastAsia="de-DE"/>
        </w:rPr>
        <w:t xml:space="preserve">: Bei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 xml:space="preserve">erfolgt das gesamte Blutverfahren am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w:t>
      </w:r>
      <w:r w:rsidR="00CF10E7">
        <w:rPr>
          <w:rFonts w:eastAsia="Times New Roman" w:cs="Times New Roman"/>
          <w:lang w:eastAsia="de-DE"/>
        </w:rPr>
        <w:t>Aufsteigeopfer</w:t>
      </w:r>
      <w:r w:rsidRPr="00577688">
        <w:rPr>
          <w:rFonts w:eastAsia="Times New Roman" w:cs="Times New Roman"/>
          <w:lang w:eastAsia="de-DE"/>
        </w:rPr>
        <w:t xml:space="preserve">altar) im Vorhof, nicht im Heiligtum am </w:t>
      </w:r>
      <w:r w:rsidRPr="00577688">
        <w:rPr>
          <w:rFonts w:eastAsia="Times New Roman" w:cs="Times New Roman"/>
          <w:b/>
          <w:bCs/>
          <w:rtl/>
          <w:lang w:eastAsia="de-DE"/>
        </w:rPr>
        <w:t>מזבח קטרת</w:t>
      </w:r>
      <w:r w:rsidRPr="00577688">
        <w:rPr>
          <w:rFonts w:eastAsia="Times New Roman" w:cs="Times New Roman"/>
          <w:rtl/>
          <w:lang w:eastAsia="de-DE"/>
        </w:rPr>
        <w:t xml:space="preserve"> </w:t>
      </w:r>
      <w:r w:rsidRPr="00577688">
        <w:rPr>
          <w:rFonts w:eastAsia="Times New Roman" w:cs="Times New Roman"/>
          <w:lang w:eastAsia="de-DE"/>
        </w:rPr>
        <w:t>(Räucheraltar).</w:t>
      </w:r>
    </w:p>
    <w:p w14:paraId="6CCFFB4B" w14:textId="2AF84EE5"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קרנות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(Hörner des </w:t>
      </w:r>
      <w:r w:rsidR="00CF10E7">
        <w:rPr>
          <w:rFonts w:eastAsia="Times New Roman" w:cs="Times New Roman"/>
          <w:lang w:eastAsia="de-DE"/>
        </w:rPr>
        <w:t>Aufsteigeopfer</w:t>
      </w:r>
      <w:r w:rsidRPr="00577688">
        <w:rPr>
          <w:rFonts w:eastAsia="Times New Roman" w:cs="Times New Roman"/>
          <w:lang w:eastAsia="de-DE"/>
        </w:rPr>
        <w:t xml:space="preserve">altars) statt </w:t>
      </w:r>
      <w:r w:rsidRPr="00577688">
        <w:rPr>
          <w:rFonts w:eastAsia="Times New Roman" w:cs="Times New Roman"/>
          <w:b/>
          <w:bCs/>
          <w:rtl/>
          <w:lang w:eastAsia="de-DE"/>
        </w:rPr>
        <w:t>קרנות מזבח קטרת</w:t>
      </w:r>
      <w:r w:rsidRPr="00577688">
        <w:rPr>
          <w:rFonts w:eastAsia="Times New Roman" w:cs="Times New Roman"/>
          <w:rtl/>
          <w:lang w:eastAsia="de-DE"/>
        </w:rPr>
        <w:t xml:space="preserve"> </w:t>
      </w:r>
      <w:r w:rsidRPr="00577688">
        <w:rPr>
          <w:rFonts w:eastAsia="Times New Roman" w:cs="Times New Roman"/>
          <w:lang w:eastAsia="de-DE"/>
        </w:rPr>
        <w:t xml:space="preserve">zeigt den niedrigeren Heiligkeitsgrad der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lang w:eastAsia="de-DE"/>
        </w:rPr>
        <w:t xml:space="preserve">. Dennoch wird Blut an </w:t>
      </w:r>
      <w:r w:rsidRPr="00577688">
        <w:rPr>
          <w:rFonts w:eastAsia="Times New Roman" w:cs="Times New Roman"/>
          <w:b/>
          <w:bCs/>
          <w:rtl/>
          <w:lang w:eastAsia="de-DE"/>
        </w:rPr>
        <w:t>קרנות</w:t>
      </w:r>
      <w:r w:rsidRPr="00577688">
        <w:rPr>
          <w:rFonts w:eastAsia="Times New Roman" w:cs="Times New Roman"/>
          <w:rtl/>
          <w:lang w:eastAsia="de-DE"/>
        </w:rPr>
        <w:t xml:space="preserve"> </w:t>
      </w:r>
      <w:r w:rsidRPr="00577688">
        <w:rPr>
          <w:rFonts w:eastAsia="Times New Roman" w:cs="Times New Roman"/>
          <w:lang w:eastAsia="de-DE"/>
        </w:rPr>
        <w:t xml:space="preserve">(Hörner) gesetzt, was die </w:t>
      </w:r>
      <w:proofErr w:type="spellStart"/>
      <w:r w:rsidRPr="00577688">
        <w:rPr>
          <w:rFonts w:eastAsia="Times New Roman" w:cs="Times New Roman"/>
          <w:lang w:eastAsia="de-DE"/>
        </w:rPr>
        <w:t>Sühnfunktion</w:t>
      </w:r>
      <w:proofErr w:type="spellEnd"/>
      <w:r w:rsidRPr="00577688">
        <w:rPr>
          <w:rFonts w:eastAsia="Times New Roman" w:cs="Times New Roman"/>
          <w:lang w:eastAsia="de-DE"/>
        </w:rPr>
        <w:t xml:space="preserve"> zeigt.</w:t>
      </w:r>
    </w:p>
    <w:p w14:paraId="01E8605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mit ἀπὸ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ἵμ</w:t>
      </w:r>
      <w:proofErr w:type="spellEnd"/>
      <w:r w:rsidRPr="00577688">
        <w:rPr>
          <w:rFonts w:eastAsia="Times New Roman" w:cs="Times New Roman"/>
          <w:lang w:eastAsia="de-DE"/>
        </w:rPr>
        <w:t xml:space="preserve">ατος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αρτίας (von dem Blut der Sünde), </w:t>
      </w:r>
      <w:r w:rsidRPr="00577688">
        <w:rPr>
          <w:rFonts w:eastAsia="Times New Roman" w:cs="Times New Roman"/>
          <w:b/>
          <w:bCs/>
          <w:rtl/>
          <w:lang w:eastAsia="de-DE"/>
        </w:rPr>
        <w:t>קַרְנֹ֖ת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κέρ</w:t>
      </w:r>
      <w:proofErr w:type="spellEnd"/>
      <w:r w:rsidRPr="00577688">
        <w:rPr>
          <w:rFonts w:eastAsia="Times New Roman" w:cs="Times New Roman"/>
          <w:lang w:eastAsia="de-DE"/>
        </w:rPr>
        <w:t xml:space="preserve">ατα (Hörner) und </w:t>
      </w:r>
      <w:r w:rsidRPr="00577688">
        <w:rPr>
          <w:rFonts w:eastAsia="Times New Roman" w:cs="Times New Roman"/>
          <w:b/>
          <w:bCs/>
          <w:rtl/>
          <w:lang w:eastAsia="de-DE"/>
        </w:rPr>
        <w:t>יְס֖וֹד</w:t>
      </w:r>
      <w:r w:rsidRPr="00577688">
        <w:rPr>
          <w:rFonts w:eastAsia="Times New Roman" w:cs="Times New Roman"/>
          <w:rtl/>
          <w:lang w:eastAsia="de-DE"/>
        </w:rPr>
        <w:t xml:space="preserve"> </w:t>
      </w:r>
      <w:r w:rsidRPr="00577688">
        <w:rPr>
          <w:rFonts w:eastAsia="Times New Roman" w:cs="Times New Roman"/>
          <w:lang w:eastAsia="de-DE"/>
        </w:rPr>
        <w:t>mit β</w:t>
      </w:r>
      <w:proofErr w:type="spellStart"/>
      <w:r w:rsidRPr="00577688">
        <w:rPr>
          <w:rFonts w:eastAsia="Times New Roman" w:cs="Times New Roman"/>
          <w:lang w:eastAsia="de-DE"/>
        </w:rPr>
        <w:t>άσιν</w:t>
      </w:r>
      <w:proofErr w:type="spellEnd"/>
      <w:r w:rsidRPr="00577688">
        <w:rPr>
          <w:rFonts w:eastAsia="Times New Roman" w:cs="Times New Roman"/>
          <w:lang w:eastAsia="de-DE"/>
        </w:rPr>
        <w:t xml:space="preserve"> (Basis).</w:t>
      </w:r>
    </w:p>
    <w:p w14:paraId="4AC39E7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Subjekt + Präpositionalphrase + Adverbialbestimmung + Verb + Präpositionalphrase // Objekt + Verb + Adverbialbestimmung. Die Struktur entspricht schweren </w:t>
      </w:r>
      <w:r w:rsidRPr="00577688">
        <w:rPr>
          <w:rFonts w:eastAsia="Times New Roman" w:cs="Times New Roman"/>
          <w:b/>
          <w:bCs/>
          <w:rtl/>
          <w:lang w:eastAsia="de-DE"/>
        </w:rPr>
        <w:t>חטאת</w:t>
      </w:r>
      <w:r w:rsidRPr="00577688">
        <w:rPr>
          <w:rFonts w:eastAsia="Times New Roman" w:cs="Times New Roman"/>
          <w:lang w:eastAsia="de-DE"/>
        </w:rPr>
        <w:t>, aber mit unterschiedlichem Altar.</w:t>
      </w:r>
    </w:p>
    <w:p w14:paraId="4DA377C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das vereinfachte Blutverfahren für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lang w:eastAsia="de-DE"/>
        </w:rPr>
        <w:t>: alles am Außenaltar statt teilweise im Heiligtum, entsprechend dem niedrigeren Rang.</w:t>
      </w:r>
    </w:p>
    <w:p w14:paraId="7C21A9F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4,26</w:t>
      </w:r>
    </w:p>
    <w:p w14:paraId="328284E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וְאֶת־כָּל־חֶלְבּוֹ֙ יַקְטִ֣יר הַמִּזְבֵּ֔חָה כְּחֵ֖לֶב זֶ֣בַח הַשְּׁלָמִ֑ים וְכִפֶּ֨ר עָלָ֧יו הַכֹּהֵ֛ן מֵחַטָּאתוֹ֖ וְנִסְלַ֥ח לוֹֽ׃</w:t>
      </w:r>
    </w:p>
    <w:p w14:paraId="54309A4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all sein Fett soll er auf dem Altar räuchern, wie das Fett des Friedensopfers. Und so soll der Priester Sühne für ihn wegen seiner Sünde erwirken, und es wird ihm vergeben werden.</w:t>
      </w:r>
    </w:p>
    <w:p w14:paraId="679AACBE"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77232F0">
          <v:rect id="_x0000_i1100" style="width:0;height:1.5pt" o:hralign="center" o:hrstd="t" o:hr="t" fillcolor="#a0a0a0" stroked="f"/>
        </w:pict>
      </w:r>
    </w:p>
    <w:p w14:paraId="33E1DBE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Kommentar:</w:t>
      </w:r>
      <w:r w:rsidRPr="00577688">
        <w:rPr>
          <w:rFonts w:eastAsia="Times New Roman" w:cs="Times New Roman"/>
          <w:lang w:eastAsia="de-DE"/>
        </w:rPr>
        <w:t xml:space="preserve"> </w:t>
      </w:r>
      <w:r w:rsidRPr="00577688">
        <w:rPr>
          <w:rFonts w:eastAsia="Times New Roman" w:cs="Times New Roman"/>
          <w:b/>
          <w:bCs/>
          <w:rtl/>
          <w:lang w:eastAsia="de-DE"/>
        </w:rPr>
        <w:t>וְאֶת־כָּל־חֶלְבּוֹ֙ יַקְטִ֣יר הַמִּזְבֵּ֔חָה</w:t>
      </w:r>
      <w:r w:rsidRPr="00577688">
        <w:rPr>
          <w:rFonts w:eastAsia="Times New Roman" w:cs="Times New Roman"/>
          <w:rtl/>
          <w:lang w:eastAsia="de-DE"/>
        </w:rPr>
        <w:t xml:space="preserve"> </w:t>
      </w:r>
      <w:r w:rsidRPr="00577688">
        <w:rPr>
          <w:rFonts w:eastAsia="Times New Roman" w:cs="Times New Roman"/>
          <w:lang w:eastAsia="de-DE"/>
        </w:rPr>
        <w:t xml:space="preserve">(und all sein Fett soll er auf dem Altar räuchern) zeigt </w:t>
      </w:r>
      <w:r w:rsidRPr="00577688">
        <w:rPr>
          <w:rFonts w:eastAsia="Times New Roman" w:cs="Times New Roman"/>
          <w:b/>
          <w:bCs/>
          <w:rtl/>
          <w:lang w:eastAsia="de-DE"/>
        </w:rPr>
        <w:t>קטר</w:t>
      </w:r>
      <w:r w:rsidRPr="00577688">
        <w:rPr>
          <w:rFonts w:eastAsia="Times New Roman" w:cs="Times New Roman"/>
          <w:rtl/>
          <w:lang w:eastAsia="de-DE"/>
        </w:rPr>
        <w:t xml:space="preserve"> </w:t>
      </w:r>
      <w:r w:rsidRPr="00577688">
        <w:rPr>
          <w:rFonts w:eastAsia="Times New Roman" w:cs="Times New Roman"/>
          <w:lang w:eastAsia="de-DE"/>
        </w:rPr>
        <w:t xml:space="preserve">(räuchern) im Hifil-Imperfekt 3. Person maskulin Singular. </w:t>
      </w:r>
      <w:r w:rsidRPr="00577688">
        <w:rPr>
          <w:rFonts w:eastAsia="Times New Roman" w:cs="Times New Roman"/>
          <w:b/>
          <w:bCs/>
          <w:rtl/>
          <w:lang w:eastAsia="de-DE"/>
        </w:rPr>
        <w:t>כל־חלבו</w:t>
      </w:r>
      <w:r w:rsidRPr="00577688">
        <w:rPr>
          <w:rFonts w:eastAsia="Times New Roman" w:cs="Times New Roman"/>
          <w:rtl/>
          <w:lang w:eastAsia="de-DE"/>
        </w:rPr>
        <w:t xml:space="preserve"> </w:t>
      </w:r>
      <w:r w:rsidRPr="00577688">
        <w:rPr>
          <w:rFonts w:eastAsia="Times New Roman" w:cs="Times New Roman"/>
          <w:lang w:eastAsia="de-DE"/>
        </w:rPr>
        <w:t xml:space="preserve">(all sein Fett) mit </w:t>
      </w:r>
      <w:r w:rsidRPr="00577688">
        <w:rPr>
          <w:rFonts w:eastAsia="Times New Roman" w:cs="Times New Roman"/>
          <w:b/>
          <w:bCs/>
          <w:rtl/>
          <w:lang w:eastAsia="de-DE"/>
        </w:rPr>
        <w:t>כל</w:t>
      </w:r>
      <w:r w:rsidRPr="00577688">
        <w:rPr>
          <w:rFonts w:eastAsia="Times New Roman" w:cs="Times New Roman"/>
          <w:rtl/>
          <w:lang w:eastAsia="de-DE"/>
        </w:rPr>
        <w:t xml:space="preserve"> </w:t>
      </w:r>
      <w:r w:rsidRPr="00577688">
        <w:rPr>
          <w:rFonts w:eastAsia="Times New Roman" w:cs="Times New Roman"/>
          <w:lang w:eastAsia="de-DE"/>
        </w:rPr>
        <w:t xml:space="preserve">für Vollständigkeit, </w:t>
      </w:r>
      <w:r w:rsidRPr="00577688">
        <w:rPr>
          <w:rFonts w:eastAsia="Times New Roman" w:cs="Times New Roman"/>
          <w:b/>
          <w:bCs/>
          <w:rtl/>
          <w:lang w:eastAsia="de-DE"/>
        </w:rPr>
        <w:t>המזבחה</w:t>
      </w:r>
      <w:r w:rsidRPr="00577688">
        <w:rPr>
          <w:rFonts w:eastAsia="Times New Roman" w:cs="Times New Roman"/>
          <w:rtl/>
          <w:lang w:eastAsia="de-DE"/>
        </w:rPr>
        <w:t xml:space="preserve"> </w:t>
      </w:r>
      <w:r w:rsidRPr="00577688">
        <w:rPr>
          <w:rFonts w:eastAsia="Times New Roman" w:cs="Times New Roman"/>
          <w:lang w:eastAsia="de-DE"/>
        </w:rPr>
        <w:t>(zum Altar hin) mit Richtungs-He.</w:t>
      </w:r>
    </w:p>
    <w:p w14:paraId="7ABDEF7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כְּחֵ֖לֶב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(wie das Fett des Friedensopfers) etabliert die </w:t>
      </w:r>
      <w:r w:rsidRPr="00577688">
        <w:rPr>
          <w:rFonts w:eastAsia="Times New Roman" w:cs="Times New Roman"/>
          <w:b/>
          <w:bCs/>
          <w:rtl/>
          <w:lang w:eastAsia="de-DE"/>
        </w:rPr>
        <w:t>שלמים</w:t>
      </w:r>
      <w:r w:rsidRPr="00577688">
        <w:rPr>
          <w:rFonts w:eastAsia="Times New Roman" w:cs="Times New Roman"/>
          <w:lang w:eastAsia="de-DE"/>
        </w:rPr>
        <w:t xml:space="preserve">-Analogie für die Fettbehandlung. </w:t>
      </w:r>
      <w:r w:rsidRPr="00577688">
        <w:rPr>
          <w:rFonts w:eastAsia="Times New Roman" w:cs="Times New Roman"/>
          <w:b/>
          <w:bCs/>
          <w:rtl/>
          <w:lang w:eastAsia="de-DE"/>
        </w:rPr>
        <w:t>כ</w:t>
      </w:r>
      <w:r w:rsidRPr="00577688">
        <w:rPr>
          <w:rFonts w:eastAsia="Times New Roman" w:cs="Times New Roman"/>
          <w:rtl/>
          <w:lang w:eastAsia="de-DE"/>
        </w:rPr>
        <w:t xml:space="preserve"> </w:t>
      </w:r>
      <w:r w:rsidRPr="00577688">
        <w:rPr>
          <w:rFonts w:eastAsia="Times New Roman" w:cs="Times New Roman"/>
          <w:lang w:eastAsia="de-DE"/>
        </w:rPr>
        <w:t xml:space="preserve">als Vergleichspartikel, </w:t>
      </w:r>
      <w:r w:rsidRPr="00577688">
        <w:rPr>
          <w:rFonts w:eastAsia="Times New Roman" w:cs="Times New Roman"/>
          <w:b/>
          <w:bCs/>
          <w:rtl/>
          <w:lang w:eastAsia="de-DE"/>
        </w:rPr>
        <w:t>חלב זבח השלמים</w:t>
      </w:r>
      <w:r w:rsidRPr="00577688">
        <w:rPr>
          <w:rFonts w:eastAsia="Times New Roman" w:cs="Times New Roman"/>
          <w:rtl/>
          <w:lang w:eastAsia="de-DE"/>
        </w:rPr>
        <w:t xml:space="preserve"> </w:t>
      </w:r>
      <w:r w:rsidRPr="00577688">
        <w:rPr>
          <w:rFonts w:eastAsia="Times New Roman" w:cs="Times New Roman"/>
          <w:lang w:eastAsia="de-DE"/>
        </w:rPr>
        <w:t>als Genitivkonstruktion entsprechend Kapitel 3.</w:t>
      </w:r>
    </w:p>
    <w:p w14:paraId="63981A5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מֵחַטָּאתוֹ֖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wegen seiner Sünde erwirken, und es wird ihm vergeben werden) wiederholt die </w:t>
      </w:r>
      <w:r w:rsidRPr="00577688">
        <w:rPr>
          <w:rFonts w:eastAsia="Times New Roman" w:cs="Times New Roman"/>
          <w:b/>
          <w:bCs/>
          <w:rtl/>
          <w:lang w:eastAsia="de-DE"/>
        </w:rPr>
        <w:t>כפרה</w:t>
      </w:r>
      <w:r w:rsidRPr="00577688">
        <w:rPr>
          <w:rFonts w:eastAsia="Times New Roman" w:cs="Times New Roman"/>
          <w:lang w:eastAsia="de-DE"/>
        </w:rPr>
        <w:t xml:space="preserve">-Formel von V. 20, aber im Singular. </w:t>
      </w:r>
      <w:r w:rsidRPr="00577688">
        <w:rPr>
          <w:rFonts w:eastAsia="Times New Roman" w:cs="Times New Roman"/>
          <w:b/>
          <w:bCs/>
          <w:rtl/>
          <w:lang w:eastAsia="de-DE"/>
        </w:rPr>
        <w:t>כפר עליו</w:t>
      </w:r>
      <w:r w:rsidRPr="00577688">
        <w:rPr>
          <w:rFonts w:eastAsia="Times New Roman" w:cs="Times New Roman"/>
          <w:rtl/>
          <w:lang w:eastAsia="de-DE"/>
        </w:rPr>
        <w:t xml:space="preserve"> </w:t>
      </w:r>
      <w:r w:rsidRPr="00577688">
        <w:rPr>
          <w:rFonts w:eastAsia="Times New Roman" w:cs="Times New Roman"/>
          <w:lang w:eastAsia="de-DE"/>
        </w:rPr>
        <w:t xml:space="preserve">(Sühne für ihn erwirken), </w:t>
      </w:r>
      <w:r w:rsidRPr="00577688">
        <w:rPr>
          <w:rFonts w:eastAsia="Times New Roman" w:cs="Times New Roman"/>
          <w:b/>
          <w:bCs/>
          <w:rtl/>
          <w:lang w:eastAsia="de-DE"/>
        </w:rPr>
        <w:t>מחטאתו</w:t>
      </w:r>
      <w:r w:rsidRPr="00577688">
        <w:rPr>
          <w:rFonts w:eastAsia="Times New Roman" w:cs="Times New Roman"/>
          <w:rtl/>
          <w:lang w:eastAsia="de-DE"/>
        </w:rPr>
        <w:t xml:space="preserve"> </w:t>
      </w:r>
      <w:r w:rsidRPr="00577688">
        <w:rPr>
          <w:rFonts w:eastAsia="Times New Roman" w:cs="Times New Roman"/>
          <w:lang w:eastAsia="de-DE"/>
        </w:rPr>
        <w:t xml:space="preserve">(wegen seiner Sünde), </w:t>
      </w:r>
      <w:r w:rsidRPr="00577688">
        <w:rPr>
          <w:rFonts w:eastAsia="Times New Roman" w:cs="Times New Roman"/>
          <w:b/>
          <w:bCs/>
          <w:rtl/>
          <w:lang w:eastAsia="de-DE"/>
        </w:rPr>
        <w:t>ונסלח לו</w:t>
      </w:r>
      <w:r w:rsidRPr="00577688">
        <w:rPr>
          <w:rFonts w:eastAsia="Times New Roman" w:cs="Times New Roman"/>
          <w:rtl/>
          <w:lang w:eastAsia="de-DE"/>
        </w:rPr>
        <w:t xml:space="preserve"> </w:t>
      </w:r>
      <w:r w:rsidRPr="00577688">
        <w:rPr>
          <w:rFonts w:eastAsia="Times New Roman" w:cs="Times New Roman"/>
          <w:lang w:eastAsia="de-DE"/>
        </w:rPr>
        <w:t>(und es wird ihm vergeben).</w:t>
      </w:r>
    </w:p>
    <w:p w14:paraId="5D3871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כחלב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etabliert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als Referenzpunkt für alle Fettbehandlungen und zeigt die systematische Einheit der Opfergesetze. Die Fettverbrennung erfolgt identisch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שלמים</w:t>
      </w:r>
      <w:r w:rsidRPr="00577688">
        <w:rPr>
          <w:rFonts w:eastAsia="Times New Roman" w:cs="Times New Roman"/>
          <w:lang w:eastAsia="de-DE"/>
        </w:rPr>
        <w:t>.</w:t>
      </w:r>
    </w:p>
    <w:p w14:paraId="595E5E3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מחטאתו</w:t>
      </w:r>
      <w:r w:rsidRPr="00577688">
        <w:rPr>
          <w:rFonts w:eastAsia="Times New Roman" w:cs="Times New Roman"/>
          <w:rtl/>
          <w:lang w:eastAsia="de-DE"/>
        </w:rPr>
        <w:t xml:space="preserve"> </w:t>
      </w:r>
      <w:r w:rsidRPr="00577688">
        <w:rPr>
          <w:rFonts w:eastAsia="Times New Roman" w:cs="Times New Roman"/>
          <w:lang w:eastAsia="de-DE"/>
        </w:rPr>
        <w:t xml:space="preserve">zeigt individuelle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für den </w:t>
      </w:r>
      <w:r w:rsidRPr="00577688">
        <w:rPr>
          <w:rFonts w:eastAsia="Times New Roman" w:cs="Times New Roman"/>
          <w:b/>
          <w:bCs/>
          <w:rtl/>
          <w:lang w:eastAsia="de-DE"/>
        </w:rPr>
        <w:t>נשיא</w:t>
      </w:r>
      <w:r w:rsidRPr="00577688">
        <w:rPr>
          <w:rFonts w:eastAsia="Times New Roman" w:cs="Times New Roman"/>
          <w:lang w:eastAsia="de-DE"/>
        </w:rPr>
        <w:t xml:space="preserve">. </w:t>
      </w:r>
      <w:r w:rsidRPr="00577688">
        <w:rPr>
          <w:rFonts w:eastAsia="Times New Roman" w:cs="Times New Roman"/>
          <w:b/>
          <w:bCs/>
          <w:rtl/>
          <w:lang w:eastAsia="de-DE"/>
        </w:rPr>
        <w:t>מחטאתו</w:t>
      </w:r>
      <w:r w:rsidRPr="00577688">
        <w:rPr>
          <w:rFonts w:eastAsia="Times New Roman" w:cs="Times New Roman"/>
          <w:rtl/>
          <w:lang w:eastAsia="de-DE"/>
        </w:rPr>
        <w:t xml:space="preserve"> </w:t>
      </w:r>
      <w:r w:rsidRPr="00577688">
        <w:rPr>
          <w:rFonts w:eastAsia="Times New Roman" w:cs="Times New Roman"/>
          <w:lang w:eastAsia="de-DE"/>
        </w:rPr>
        <w:t>(wegen seiner Sünde) mit Possessivsuffix betont persönliche Verantwortung und Sühne.</w:t>
      </w:r>
    </w:p>
    <w:p w14:paraId="1450A73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כְּחֵ֖לֶב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ὥσ</w:t>
      </w:r>
      <w:proofErr w:type="spellEnd"/>
      <w:r w:rsidRPr="00577688">
        <w:rPr>
          <w:rFonts w:eastAsia="Times New Roman" w:cs="Times New Roman"/>
          <w:lang w:eastAsia="de-DE"/>
        </w:rPr>
        <w:t xml:space="preserve">περ </w:t>
      </w:r>
      <w:proofErr w:type="spellStart"/>
      <w:r w:rsidRPr="00577688">
        <w:rPr>
          <w:rFonts w:eastAsia="Times New Roman" w:cs="Times New Roman"/>
          <w:lang w:eastAsia="de-DE"/>
        </w:rPr>
        <w:t>στέ</w:t>
      </w:r>
      <w:proofErr w:type="spellEnd"/>
      <w:r w:rsidRPr="00577688">
        <w:rPr>
          <w:rFonts w:eastAsia="Times New Roman" w:cs="Times New Roman"/>
          <w:lang w:eastAsia="de-DE"/>
        </w:rPr>
        <w:t xml:space="preserve">αρ </w:t>
      </w:r>
      <w:proofErr w:type="spellStart"/>
      <w:r w:rsidRPr="00577688">
        <w:rPr>
          <w:rFonts w:eastAsia="Times New Roman" w:cs="Times New Roman"/>
          <w:lang w:eastAsia="de-DE"/>
        </w:rPr>
        <w:t>θυσί</w:t>
      </w:r>
      <w:proofErr w:type="spellEnd"/>
      <w:r w:rsidRPr="00577688">
        <w:rPr>
          <w:rFonts w:eastAsia="Times New Roman" w:cs="Times New Roman"/>
          <w:lang w:eastAsia="de-DE"/>
        </w:rPr>
        <w:t xml:space="preserve">ας </w:t>
      </w:r>
      <w:proofErr w:type="spellStart"/>
      <w:r w:rsidRPr="00577688">
        <w:rPr>
          <w:rFonts w:eastAsia="Times New Roman" w:cs="Times New Roman"/>
          <w:lang w:eastAsia="de-DE"/>
        </w:rPr>
        <w:t>σωτηρίου</w:t>
      </w:r>
      <w:proofErr w:type="spellEnd"/>
      <w:r w:rsidRPr="00577688">
        <w:rPr>
          <w:rFonts w:eastAsia="Times New Roman" w:cs="Times New Roman"/>
          <w:lang w:eastAsia="de-DE"/>
        </w:rPr>
        <w:t xml:space="preserve"> (wie das Fett des Heilsopfers), </w:t>
      </w:r>
      <w:r w:rsidRPr="00577688">
        <w:rPr>
          <w:rFonts w:eastAsia="Times New Roman" w:cs="Times New Roman"/>
          <w:b/>
          <w:bCs/>
          <w:rtl/>
          <w:lang w:eastAsia="de-DE"/>
        </w:rPr>
        <w:t>וְכִפֶּ֨ר</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ἐξιλάσετ</w:t>
      </w:r>
      <w:proofErr w:type="spellEnd"/>
      <w:r w:rsidRPr="00577688">
        <w:rPr>
          <w:rFonts w:eastAsia="Times New Roman" w:cs="Times New Roman"/>
          <w:lang w:eastAsia="de-DE"/>
        </w:rPr>
        <w:t xml:space="preserve">αι (und er soll sühnen) und </w:t>
      </w:r>
      <w:r w:rsidRPr="00577688">
        <w:rPr>
          <w:rFonts w:eastAsia="Times New Roman" w:cs="Times New Roman"/>
          <w:b/>
          <w:bCs/>
          <w:rtl/>
          <w:lang w:eastAsia="de-DE"/>
        </w:rPr>
        <w:t>וְנִסְלַ֥ח</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ἀφεθήσετ</w:t>
      </w:r>
      <w:proofErr w:type="spellEnd"/>
      <w:r w:rsidRPr="00577688">
        <w:rPr>
          <w:rFonts w:eastAsia="Times New Roman" w:cs="Times New Roman"/>
          <w:lang w:eastAsia="de-DE"/>
        </w:rPr>
        <w:t>αι (und es wird vergeben werden).</w:t>
      </w:r>
    </w:p>
    <w:p w14:paraId="752BB6E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Objekt + Verb + Adverbialbestimmung + Vergleichsphrase // Verb + Präpositionalphrase + Subjekt + Präpositionalphrase + Verb + Dativobjekt. Die </w:t>
      </w:r>
      <w:r w:rsidRPr="00577688">
        <w:rPr>
          <w:rFonts w:eastAsia="Times New Roman" w:cs="Times New Roman"/>
          <w:b/>
          <w:bCs/>
          <w:rtl/>
          <w:lang w:eastAsia="de-DE"/>
        </w:rPr>
        <w:t>שלמים</w:t>
      </w:r>
      <w:r w:rsidRPr="00577688">
        <w:rPr>
          <w:rFonts w:eastAsia="Times New Roman" w:cs="Times New Roman"/>
          <w:lang w:eastAsia="de-DE"/>
        </w:rPr>
        <w:t xml:space="preserve">-Analogie und </w:t>
      </w:r>
      <w:r w:rsidRPr="00577688">
        <w:rPr>
          <w:rFonts w:eastAsia="Times New Roman" w:cs="Times New Roman"/>
          <w:b/>
          <w:bCs/>
          <w:rtl/>
          <w:lang w:eastAsia="de-DE"/>
        </w:rPr>
        <w:t>כפרה</w:t>
      </w:r>
      <w:r w:rsidRPr="00577688">
        <w:rPr>
          <w:rFonts w:eastAsia="Times New Roman" w:cs="Times New Roman"/>
          <w:lang w:eastAsia="de-DE"/>
        </w:rPr>
        <w:t>-Formel strukturieren den Vers.</w:t>
      </w:r>
    </w:p>
    <w:p w14:paraId="2914B88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schließt die </w:t>
      </w:r>
      <w:r w:rsidRPr="00577688">
        <w:rPr>
          <w:rFonts w:eastAsia="Times New Roman" w:cs="Times New Roman"/>
          <w:b/>
          <w:bCs/>
          <w:rtl/>
          <w:lang w:eastAsia="de-DE"/>
        </w:rPr>
        <w:t>נשיא</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lang w:eastAsia="de-DE"/>
        </w:rPr>
        <w:t xml:space="preserve">-Bestimmungen ab und zeigt die Fettbehandlung entsprechend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sowie die individuelle Sühnwirkung.</w:t>
      </w:r>
    </w:p>
    <w:p w14:paraId="1AF7C93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4,27</w:t>
      </w:r>
    </w:p>
    <w:p w14:paraId="2EEF295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וְאִם־נֶ֧פֶשׁ אַחַ֛ת תֶּחֱטָ֥א בִשְׁגָגָ֖ה מֵעַ֣ם הָאָ֑רֶץ בַּ֠עֲשֹׂתָהּ אַחַ֨ת מִמִּצְוֹ֧ת יְהוָ֛ה אֲשֶׁ֥ר לֹא־תֵעָשֶׂ֖ינָה וְאָשֵֽׁם׃</w:t>
      </w:r>
    </w:p>
    <w:p w14:paraId="2811805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jemand vom Volk des Landes aus Versehen sündigt, indem er eines von den Geboten des Ewigen tut, die nicht getan werden sollen, und sich verschuldet,</w:t>
      </w:r>
    </w:p>
    <w:p w14:paraId="42764B7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318EAB1">
          <v:rect id="_x0000_i1101" style="width:0;height:1.5pt" o:hralign="center" o:hrstd="t" o:hr="t" fillcolor="#a0a0a0" stroked="f"/>
        </w:pict>
      </w:r>
    </w:p>
    <w:p w14:paraId="4F3B2D9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וְאִם־נֶ֧פֶשׁ אַחַ֛ת תֶּחֱטָ֥א בִשְׁגָגָ֖ה</w:t>
      </w:r>
      <w:r w:rsidRPr="00577688">
        <w:rPr>
          <w:rFonts w:eastAsia="Times New Roman" w:cs="Times New Roman"/>
          <w:rtl/>
          <w:lang w:eastAsia="de-DE"/>
        </w:rPr>
        <w:t xml:space="preserve"> </w:t>
      </w:r>
      <w:r w:rsidRPr="00577688">
        <w:rPr>
          <w:rFonts w:eastAsia="Times New Roman" w:cs="Times New Roman"/>
          <w:lang w:eastAsia="de-DE"/>
        </w:rPr>
        <w:t xml:space="preserve">(und wenn eine Seele unwissentlich sündigt) führt die vierte </w:t>
      </w:r>
      <w:r w:rsidRPr="00577688">
        <w:rPr>
          <w:rFonts w:eastAsia="Times New Roman" w:cs="Times New Roman"/>
          <w:b/>
          <w:bCs/>
          <w:rtl/>
          <w:lang w:eastAsia="de-DE"/>
        </w:rPr>
        <w:t>חטאת</w:t>
      </w:r>
      <w:r w:rsidRPr="00577688">
        <w:rPr>
          <w:rFonts w:eastAsia="Times New Roman" w:cs="Times New Roman"/>
          <w:lang w:eastAsia="de-DE"/>
        </w:rPr>
        <w:t xml:space="preserve">-Kategorie ein. </w:t>
      </w:r>
      <w:r w:rsidRPr="00577688">
        <w:rPr>
          <w:rFonts w:eastAsia="Times New Roman" w:cs="Times New Roman"/>
          <w:b/>
          <w:bCs/>
          <w:rtl/>
          <w:lang w:eastAsia="de-DE"/>
        </w:rPr>
        <w:t>נפש אחת</w:t>
      </w:r>
      <w:r w:rsidRPr="00577688">
        <w:rPr>
          <w:rFonts w:eastAsia="Times New Roman" w:cs="Times New Roman"/>
          <w:rtl/>
          <w:lang w:eastAsia="de-DE"/>
        </w:rPr>
        <w:t xml:space="preserve"> </w:t>
      </w:r>
      <w:r w:rsidRPr="00577688">
        <w:rPr>
          <w:rFonts w:eastAsia="Times New Roman" w:cs="Times New Roman"/>
          <w:lang w:eastAsia="de-DE"/>
        </w:rPr>
        <w:t xml:space="preserve">(eine Seele) betont individuelle Verantwortung, </w:t>
      </w:r>
      <w:r w:rsidRPr="00577688">
        <w:rPr>
          <w:rFonts w:eastAsia="Times New Roman" w:cs="Times New Roman"/>
          <w:b/>
          <w:bCs/>
          <w:rtl/>
          <w:lang w:eastAsia="de-DE"/>
        </w:rPr>
        <w:t>תחטא</w:t>
      </w:r>
      <w:r w:rsidRPr="00577688">
        <w:rPr>
          <w:rFonts w:eastAsia="Times New Roman" w:cs="Times New Roman"/>
          <w:rtl/>
          <w:lang w:eastAsia="de-DE"/>
        </w:rPr>
        <w:t xml:space="preserve"> </w:t>
      </w:r>
      <w:r w:rsidRPr="00577688">
        <w:rPr>
          <w:rFonts w:eastAsia="Times New Roman" w:cs="Times New Roman"/>
          <w:lang w:eastAsia="de-DE"/>
        </w:rPr>
        <w:t xml:space="preserve">(sie sündigt) Qal-Imperfekt 3. Person feminin Singular,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(unwissentlich) entspricht V. 2.</w:t>
      </w:r>
    </w:p>
    <w:p w14:paraId="2C4FD2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מֵעַ֣ם הָאָ֑רֶץ</w:t>
      </w:r>
      <w:r w:rsidRPr="00577688">
        <w:rPr>
          <w:rFonts w:eastAsia="Times New Roman" w:cs="Times New Roman"/>
          <w:rtl/>
          <w:lang w:eastAsia="de-DE"/>
        </w:rPr>
        <w:t xml:space="preserve"> </w:t>
      </w:r>
      <w:r w:rsidRPr="00577688">
        <w:rPr>
          <w:rFonts w:eastAsia="Times New Roman" w:cs="Times New Roman"/>
          <w:lang w:eastAsia="de-DE"/>
        </w:rPr>
        <w:t xml:space="preserve">(vom Volk des Landes) spezifiziert die soziale Kategorie.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 xml:space="preserve">(Volk des Landes) bezeichnet die gewöhnliche Bevölkerung im Unterschied zu </w:t>
      </w: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(gesalbter Priester), </w:t>
      </w:r>
      <w:r w:rsidRPr="00577688">
        <w:rPr>
          <w:rFonts w:eastAsia="Times New Roman" w:cs="Times New Roman"/>
          <w:b/>
          <w:bCs/>
          <w:rtl/>
          <w:lang w:eastAsia="de-DE"/>
        </w:rPr>
        <w:t>עדת ישראל</w:t>
      </w:r>
      <w:r w:rsidRPr="00577688">
        <w:rPr>
          <w:rFonts w:eastAsia="Times New Roman" w:cs="Times New Roman"/>
          <w:rtl/>
          <w:lang w:eastAsia="de-DE"/>
        </w:rPr>
        <w:t xml:space="preserve"> </w:t>
      </w:r>
      <w:r w:rsidRPr="00577688">
        <w:rPr>
          <w:rFonts w:eastAsia="Times New Roman" w:cs="Times New Roman"/>
          <w:lang w:eastAsia="de-DE"/>
        </w:rPr>
        <w:t xml:space="preserve">(Gemeinde Israels) und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(Fürst).</w:t>
      </w:r>
    </w:p>
    <w:p w14:paraId="0D5580C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בַּ֠עֲשֹׂתָהּ אַחַ֨ת מִמִּצְוֹ֧ת יְהוָ֛ה אֲשֶׁ֥ר לֹא־תֵעָשֶׂ֖ינָה וְאָשֵֽׁם</w:t>
      </w:r>
      <w:r w:rsidRPr="00577688">
        <w:rPr>
          <w:rFonts w:eastAsia="Times New Roman" w:cs="Times New Roman"/>
          <w:rtl/>
          <w:lang w:eastAsia="de-DE"/>
        </w:rPr>
        <w:t xml:space="preserve"> </w:t>
      </w:r>
      <w:r w:rsidRPr="00577688">
        <w:rPr>
          <w:rFonts w:eastAsia="Times New Roman" w:cs="Times New Roman"/>
          <w:lang w:eastAsia="de-DE"/>
        </w:rPr>
        <w:t xml:space="preserve">(indem sie eines von den Geboten JHWHs tut, die nicht getan werden sollen, und sich verschuldet) entspricht der Standard-Formulierung, aber mit </w:t>
      </w:r>
      <w:r w:rsidRPr="00577688">
        <w:rPr>
          <w:rFonts w:eastAsia="Times New Roman" w:cs="Times New Roman"/>
          <w:b/>
          <w:bCs/>
          <w:rtl/>
          <w:lang w:eastAsia="de-DE"/>
        </w:rPr>
        <w:t>בעשתה</w:t>
      </w:r>
      <w:r w:rsidRPr="00577688">
        <w:rPr>
          <w:rFonts w:eastAsia="Times New Roman" w:cs="Times New Roman"/>
          <w:rtl/>
          <w:lang w:eastAsia="de-DE"/>
        </w:rPr>
        <w:t xml:space="preserve"> </w:t>
      </w:r>
      <w:r w:rsidRPr="00577688">
        <w:rPr>
          <w:rFonts w:eastAsia="Times New Roman" w:cs="Times New Roman"/>
          <w:lang w:eastAsia="de-DE"/>
        </w:rPr>
        <w:t>(indem sie tut) als Infinitivkonstruktion mit Possessivsuffix 3. Person feminin Singular.</w:t>
      </w:r>
    </w:p>
    <w:p w14:paraId="243AD28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(Volk des Landes) ist terminus technicus für die nicht-priesterliche, nicht-aristokratische Bevölkerung. Diese Kategorie hat die niedrigsten Opferanforderungen entsprechend ihrer sozialen Stellung.</w:t>
      </w:r>
    </w:p>
    <w:p w14:paraId="7FAC26C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נפש אחת</w:t>
      </w:r>
      <w:r w:rsidRPr="00577688">
        <w:rPr>
          <w:rFonts w:eastAsia="Times New Roman" w:cs="Times New Roman"/>
          <w:rtl/>
          <w:lang w:eastAsia="de-DE"/>
        </w:rPr>
        <w:t xml:space="preserve"> </w:t>
      </w:r>
      <w:r w:rsidRPr="00577688">
        <w:rPr>
          <w:rFonts w:eastAsia="Times New Roman" w:cs="Times New Roman"/>
          <w:lang w:eastAsia="de-DE"/>
        </w:rPr>
        <w:t xml:space="preserve">(eine Seele) betont die Individualität im Unterschied zur kollektiven </w:t>
      </w:r>
      <w:r w:rsidRPr="00577688">
        <w:rPr>
          <w:rFonts w:eastAsia="Times New Roman" w:cs="Times New Roman"/>
          <w:b/>
          <w:bCs/>
          <w:rtl/>
          <w:lang w:eastAsia="de-DE"/>
        </w:rPr>
        <w:t>עדת ישראל</w:t>
      </w:r>
      <w:r w:rsidRPr="00577688">
        <w:rPr>
          <w:rFonts w:eastAsia="Times New Roman" w:cs="Times New Roman"/>
          <w:lang w:eastAsia="de-DE"/>
        </w:rPr>
        <w:t xml:space="preserve">. </w:t>
      </w:r>
      <w:r w:rsidRPr="00577688">
        <w:rPr>
          <w:rFonts w:eastAsia="Times New Roman" w:cs="Times New Roman"/>
          <w:b/>
          <w:bCs/>
          <w:rtl/>
          <w:lang w:eastAsia="de-DE"/>
        </w:rPr>
        <w:t>בעשתה</w:t>
      </w:r>
      <w:r w:rsidRPr="00577688">
        <w:rPr>
          <w:rFonts w:eastAsia="Times New Roman" w:cs="Times New Roman"/>
          <w:rtl/>
          <w:lang w:eastAsia="de-DE"/>
        </w:rPr>
        <w:t xml:space="preserve"> </w:t>
      </w:r>
      <w:r w:rsidRPr="00577688">
        <w:rPr>
          <w:rFonts w:eastAsia="Times New Roman" w:cs="Times New Roman"/>
          <w:lang w:eastAsia="de-DE"/>
        </w:rPr>
        <w:t>(indem sie tut) als Infinitivkonstruktion zeigt die temporale Verknüpfung von Handlung und Verschuldung.</w:t>
      </w:r>
    </w:p>
    <w:p w14:paraId="0A58FC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נֶ֧פֶשׁ אַחַ֛ת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ψυχὴ</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μί</w:t>
      </w:r>
      <w:proofErr w:type="spellEnd"/>
      <w:r w:rsidRPr="00577688">
        <w:rPr>
          <w:rFonts w:eastAsia="Times New Roman" w:cs="Times New Roman"/>
          <w:lang w:eastAsia="de-DE"/>
        </w:rPr>
        <w:t xml:space="preserve">α (eine Seele), </w:t>
      </w:r>
      <w:r w:rsidRPr="00577688">
        <w:rPr>
          <w:rFonts w:eastAsia="Times New Roman" w:cs="Times New Roman"/>
          <w:b/>
          <w:bCs/>
          <w:rtl/>
          <w:lang w:eastAsia="de-DE"/>
        </w:rPr>
        <w:t>מֵעַ֣ם הָאָ֑רֶץ</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ἐκ</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λα</w:t>
      </w:r>
      <w:proofErr w:type="spellStart"/>
      <w:r w:rsidRPr="00577688">
        <w:rPr>
          <w:rFonts w:eastAsia="Times New Roman" w:cs="Times New Roman"/>
          <w:lang w:eastAsia="de-DE"/>
        </w:rPr>
        <w:t>οῦ</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γῆς</w:t>
      </w:r>
      <w:proofErr w:type="spellEnd"/>
      <w:r w:rsidRPr="00577688">
        <w:rPr>
          <w:rFonts w:eastAsia="Times New Roman" w:cs="Times New Roman"/>
          <w:lang w:eastAsia="de-DE"/>
        </w:rPr>
        <w:t xml:space="preserve"> (vom Volk des Landes) und </w:t>
      </w:r>
      <w:r w:rsidRPr="00577688">
        <w:rPr>
          <w:rFonts w:eastAsia="Times New Roman" w:cs="Times New Roman"/>
          <w:b/>
          <w:bCs/>
          <w:rtl/>
          <w:lang w:eastAsia="de-DE"/>
        </w:rPr>
        <w:t>בַּ֠עֲשֹׂתָהּ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τῷ</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οιῆσ</w:t>
      </w:r>
      <w:proofErr w:type="spellEnd"/>
      <w:r w:rsidRPr="00577688">
        <w:rPr>
          <w:rFonts w:eastAsia="Times New Roman" w:cs="Times New Roman"/>
          <w:lang w:eastAsia="de-DE"/>
        </w:rPr>
        <w:t>αι α</w:t>
      </w:r>
      <w:proofErr w:type="spellStart"/>
      <w:r w:rsidRPr="00577688">
        <w:rPr>
          <w:rFonts w:eastAsia="Times New Roman" w:cs="Times New Roman"/>
          <w:lang w:eastAsia="de-DE"/>
        </w:rPr>
        <w:t>ὐτήν</w:t>
      </w:r>
      <w:proofErr w:type="spellEnd"/>
      <w:r w:rsidRPr="00577688">
        <w:rPr>
          <w:rFonts w:eastAsia="Times New Roman" w:cs="Times New Roman"/>
          <w:lang w:eastAsia="de-DE"/>
        </w:rPr>
        <w:t xml:space="preserve"> (indem sie tut).</w:t>
      </w:r>
    </w:p>
    <w:p w14:paraId="12E47AC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Protasis (</w:t>
      </w:r>
      <w:r w:rsidRPr="00577688">
        <w:rPr>
          <w:rFonts w:eastAsia="Times New Roman" w:cs="Times New Roman"/>
          <w:rtl/>
          <w:lang w:eastAsia="de-DE"/>
        </w:rPr>
        <w:t>אִם</w:t>
      </w:r>
      <w:r w:rsidRPr="00577688">
        <w:rPr>
          <w:rFonts w:eastAsia="Times New Roman" w:cs="Times New Roman"/>
          <w:lang w:eastAsia="de-DE"/>
        </w:rPr>
        <w:t xml:space="preserve"> + Subjekt + Verb + Adverbialbestimmung + Herkunftsangabe + temporale Infinitivkonstruktion + Objekt + Relativsatz + Verb). Die Struktur entspricht den vorherigen </w:t>
      </w:r>
      <w:r w:rsidRPr="00577688">
        <w:rPr>
          <w:rFonts w:eastAsia="Times New Roman" w:cs="Times New Roman"/>
          <w:b/>
          <w:bCs/>
          <w:rtl/>
          <w:lang w:eastAsia="de-DE"/>
        </w:rPr>
        <w:t>חטאת</w:t>
      </w:r>
      <w:r w:rsidRPr="00577688">
        <w:rPr>
          <w:rFonts w:eastAsia="Times New Roman" w:cs="Times New Roman"/>
          <w:lang w:eastAsia="de-DE"/>
        </w:rPr>
        <w:t>-Kategorien, aber für die niedrigste soziale Schicht.</w:t>
      </w:r>
    </w:p>
    <w:p w14:paraId="624642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die vierte und letzte </w:t>
      </w:r>
      <w:r w:rsidRPr="00577688">
        <w:rPr>
          <w:rFonts w:eastAsia="Times New Roman" w:cs="Times New Roman"/>
          <w:b/>
          <w:bCs/>
          <w:rtl/>
          <w:lang w:eastAsia="de-DE"/>
        </w:rPr>
        <w:t>חטאת</w:t>
      </w:r>
      <w:r w:rsidRPr="00577688">
        <w:rPr>
          <w:rFonts w:eastAsia="Times New Roman" w:cs="Times New Roman"/>
          <w:lang w:eastAsia="de-DE"/>
        </w:rPr>
        <w:t xml:space="preserve">-Kategorie für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(gewöhnliches Volk) ein und vervollständigt die soziale Hierarchie der Sühnopfer.</w:t>
      </w:r>
    </w:p>
    <w:p w14:paraId="3C7B137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4,28</w:t>
      </w:r>
    </w:p>
    <w:p w14:paraId="58A6AF0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 הוֹדַ֣ע אֵלָ֔יו חַטָּאתוֹ֖ אֲשֶׁ֣ר חָטָ֑א וְהֵבִ֨יא קָרְבָּנֹ֜ו שְׂעִירַ֤ת עִזִּים֙ תְּמִימָ֣ה נְקֵבָ֔ה עַל־חַטָּאתוֹ֖ אֲשֶׁ֥ר חָטָֽא׃</w:t>
      </w:r>
    </w:p>
    <w:p w14:paraId="0D95372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seine Sünde wird ihm bekannt, die er begangen hat, so soll er seine Opfergabe bringen, eine Ziege ohne Fehl, ein Weibchen, für seine Sünde, die er begangen hat.</w:t>
      </w:r>
    </w:p>
    <w:p w14:paraId="30716899"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DF06968">
          <v:rect id="_x0000_i1102" style="width:0;height:1.5pt" o:hralign="center" o:hrstd="t" o:hr="t" fillcolor="#a0a0a0" stroked="f"/>
        </w:pict>
      </w:r>
    </w:p>
    <w:p w14:paraId="09C68D7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 הוֹדַ֣ע אֵלָ֔יו חַטָּאתוֹ֖ אֲשֶׁ֣ר חָטָ֑א</w:t>
      </w:r>
      <w:r w:rsidRPr="00577688">
        <w:rPr>
          <w:rFonts w:eastAsia="Times New Roman" w:cs="Times New Roman"/>
          <w:rtl/>
          <w:lang w:eastAsia="de-DE"/>
        </w:rPr>
        <w:t xml:space="preserve"> </w:t>
      </w:r>
      <w:r w:rsidRPr="00577688">
        <w:rPr>
          <w:rFonts w:eastAsia="Times New Roman" w:cs="Times New Roman"/>
          <w:lang w:eastAsia="de-DE"/>
        </w:rPr>
        <w:t xml:space="preserve">(oder seine Sünde wird ihm bekannt, die er gesündigt hat) entspricht exakt V. 23 für </w:t>
      </w:r>
      <w:r w:rsidRPr="00577688">
        <w:rPr>
          <w:rFonts w:eastAsia="Times New Roman" w:cs="Times New Roman"/>
          <w:b/>
          <w:bCs/>
          <w:rtl/>
          <w:lang w:eastAsia="de-DE"/>
        </w:rPr>
        <w:t>נשיא</w:t>
      </w:r>
      <w:r w:rsidRPr="00577688">
        <w:rPr>
          <w:rFonts w:eastAsia="Times New Roman" w:cs="Times New Roman"/>
          <w:lang w:eastAsia="de-DE"/>
        </w:rPr>
        <w:t xml:space="preserve">. </w:t>
      </w:r>
      <w:r w:rsidRPr="00577688">
        <w:rPr>
          <w:rFonts w:eastAsia="Times New Roman" w:cs="Times New Roman"/>
          <w:b/>
          <w:bCs/>
          <w:rtl/>
          <w:lang w:eastAsia="de-DE"/>
        </w:rPr>
        <w:t>או</w:t>
      </w:r>
      <w:r w:rsidRPr="00577688">
        <w:rPr>
          <w:rFonts w:eastAsia="Times New Roman" w:cs="Times New Roman"/>
          <w:rtl/>
          <w:lang w:eastAsia="de-DE"/>
        </w:rPr>
        <w:t xml:space="preserve"> </w:t>
      </w:r>
      <w:r w:rsidRPr="00577688">
        <w:rPr>
          <w:rFonts w:eastAsia="Times New Roman" w:cs="Times New Roman"/>
          <w:lang w:eastAsia="de-DE"/>
        </w:rPr>
        <w:t xml:space="preserve">(oder) als temporale Konjunktion, </w:t>
      </w:r>
      <w:r w:rsidRPr="00577688">
        <w:rPr>
          <w:rFonts w:eastAsia="Times New Roman" w:cs="Times New Roman"/>
          <w:b/>
          <w:bCs/>
          <w:rtl/>
          <w:lang w:eastAsia="de-DE"/>
        </w:rPr>
        <w:t>הודע</w:t>
      </w:r>
      <w:r w:rsidRPr="00577688">
        <w:rPr>
          <w:rFonts w:eastAsia="Times New Roman" w:cs="Times New Roman"/>
          <w:rtl/>
          <w:lang w:eastAsia="de-DE"/>
        </w:rPr>
        <w:t xml:space="preserve"> </w:t>
      </w:r>
      <w:r w:rsidRPr="00577688">
        <w:rPr>
          <w:rFonts w:eastAsia="Times New Roman" w:cs="Times New Roman"/>
          <w:lang w:eastAsia="de-DE"/>
        </w:rPr>
        <w:t xml:space="preserve">(es wird bekannt) im Hofal-Perfekt, </w:t>
      </w:r>
      <w:r w:rsidRPr="00577688">
        <w:rPr>
          <w:rFonts w:eastAsia="Times New Roman" w:cs="Times New Roman"/>
          <w:b/>
          <w:bCs/>
          <w:rtl/>
          <w:lang w:eastAsia="de-DE"/>
        </w:rPr>
        <w:t>חטאתו אשר חטא</w:t>
      </w:r>
      <w:r w:rsidRPr="00577688">
        <w:rPr>
          <w:rFonts w:eastAsia="Times New Roman" w:cs="Times New Roman"/>
          <w:rtl/>
          <w:lang w:eastAsia="de-DE"/>
        </w:rPr>
        <w:t xml:space="preserve"> </w:t>
      </w:r>
      <w:r w:rsidRPr="00577688">
        <w:rPr>
          <w:rFonts w:eastAsia="Times New Roman" w:cs="Times New Roman"/>
          <w:lang w:eastAsia="de-DE"/>
        </w:rPr>
        <w:t>(seine Sünde, die er gesündigt hat).</w:t>
      </w:r>
    </w:p>
    <w:p w14:paraId="212E37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 קָרְבָּנֹ֜ו שְׂעִירַ֤ת עִזִּים֙ תְּמִימָ֣ה נְקֵבָ֔ה</w:t>
      </w:r>
      <w:r w:rsidRPr="00577688">
        <w:rPr>
          <w:rFonts w:eastAsia="Times New Roman" w:cs="Times New Roman"/>
          <w:rtl/>
          <w:lang w:eastAsia="de-DE"/>
        </w:rPr>
        <w:t xml:space="preserve"> </w:t>
      </w:r>
      <w:r w:rsidRPr="00577688">
        <w:rPr>
          <w:rFonts w:eastAsia="Times New Roman" w:cs="Times New Roman"/>
          <w:lang w:eastAsia="de-DE"/>
        </w:rPr>
        <w:t xml:space="preserve">(und er soll seine Opfergabe bringen, eine Ziege, fehlerlos, weiblich) spezifiziert das Opfertier. </w:t>
      </w:r>
      <w:r w:rsidRPr="00577688">
        <w:rPr>
          <w:rFonts w:eastAsia="Times New Roman" w:cs="Times New Roman"/>
          <w:b/>
          <w:bCs/>
          <w:rtl/>
          <w:lang w:eastAsia="de-DE"/>
        </w:rPr>
        <w:t>שעירת עזים</w:t>
      </w:r>
      <w:r w:rsidRPr="00577688">
        <w:rPr>
          <w:rFonts w:eastAsia="Times New Roman" w:cs="Times New Roman"/>
          <w:rtl/>
          <w:lang w:eastAsia="de-DE"/>
        </w:rPr>
        <w:t xml:space="preserve"> </w:t>
      </w:r>
      <w:r w:rsidRPr="00577688">
        <w:rPr>
          <w:rFonts w:eastAsia="Times New Roman" w:cs="Times New Roman"/>
          <w:lang w:eastAsia="de-DE"/>
        </w:rPr>
        <w:t xml:space="preserve">(Ziege) feminin, </w:t>
      </w:r>
      <w:r w:rsidRPr="00577688">
        <w:rPr>
          <w:rFonts w:eastAsia="Times New Roman" w:cs="Times New Roman"/>
          <w:b/>
          <w:bCs/>
          <w:rtl/>
          <w:lang w:eastAsia="de-DE"/>
        </w:rPr>
        <w:t>תמימה</w:t>
      </w:r>
      <w:r w:rsidRPr="00577688">
        <w:rPr>
          <w:rFonts w:eastAsia="Times New Roman" w:cs="Times New Roman"/>
          <w:rtl/>
          <w:lang w:eastAsia="de-DE"/>
        </w:rPr>
        <w:t xml:space="preserve"> </w:t>
      </w:r>
      <w:r w:rsidRPr="00577688">
        <w:rPr>
          <w:rFonts w:eastAsia="Times New Roman" w:cs="Times New Roman"/>
          <w:lang w:eastAsia="de-DE"/>
        </w:rPr>
        <w:t xml:space="preserve">(fehlerlos) feminin entsprechend, </w:t>
      </w:r>
      <w:r w:rsidRPr="00577688">
        <w:rPr>
          <w:rFonts w:eastAsia="Times New Roman" w:cs="Times New Roman"/>
          <w:b/>
          <w:bCs/>
          <w:rtl/>
          <w:lang w:eastAsia="de-DE"/>
        </w:rPr>
        <w:t>נקבה</w:t>
      </w:r>
      <w:r w:rsidRPr="00577688">
        <w:rPr>
          <w:rFonts w:eastAsia="Times New Roman" w:cs="Times New Roman"/>
          <w:rtl/>
          <w:lang w:eastAsia="de-DE"/>
        </w:rPr>
        <w:t xml:space="preserve"> </w:t>
      </w:r>
      <w:r w:rsidRPr="00577688">
        <w:rPr>
          <w:rFonts w:eastAsia="Times New Roman" w:cs="Times New Roman"/>
          <w:lang w:eastAsia="de-DE"/>
        </w:rPr>
        <w:t xml:space="preserve">(weiblich) im Unterschied zu </w:t>
      </w:r>
      <w:r w:rsidRPr="00577688">
        <w:rPr>
          <w:rFonts w:eastAsia="Times New Roman" w:cs="Times New Roman"/>
          <w:b/>
          <w:bCs/>
          <w:rtl/>
          <w:lang w:eastAsia="de-DE"/>
        </w:rPr>
        <w:t>זכר</w:t>
      </w:r>
      <w:r w:rsidRPr="00577688">
        <w:rPr>
          <w:rFonts w:eastAsia="Times New Roman" w:cs="Times New Roman"/>
          <w:rtl/>
          <w:lang w:eastAsia="de-DE"/>
        </w:rPr>
        <w:t xml:space="preserve"> </w:t>
      </w:r>
      <w:r w:rsidRPr="00577688">
        <w:rPr>
          <w:rFonts w:eastAsia="Times New Roman" w:cs="Times New Roman"/>
          <w:lang w:eastAsia="de-DE"/>
        </w:rPr>
        <w:t xml:space="preserve">(männlich) beim </w:t>
      </w:r>
      <w:r w:rsidRPr="00577688">
        <w:rPr>
          <w:rFonts w:eastAsia="Times New Roman" w:cs="Times New Roman"/>
          <w:b/>
          <w:bCs/>
          <w:rtl/>
          <w:lang w:eastAsia="de-DE"/>
        </w:rPr>
        <w:t>נשיא</w:t>
      </w:r>
      <w:r w:rsidRPr="00577688">
        <w:rPr>
          <w:rFonts w:eastAsia="Times New Roman" w:cs="Times New Roman"/>
          <w:lang w:eastAsia="de-DE"/>
        </w:rPr>
        <w:t>.</w:t>
      </w:r>
    </w:p>
    <w:p w14:paraId="050B238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עַל־חַטָּאתוֹ֖ אֲשֶׁ֥ר חָטָֽא</w:t>
      </w:r>
      <w:r w:rsidRPr="00577688">
        <w:rPr>
          <w:rFonts w:eastAsia="Times New Roman" w:cs="Times New Roman"/>
          <w:rtl/>
          <w:lang w:eastAsia="de-DE"/>
        </w:rPr>
        <w:t xml:space="preserve"> </w:t>
      </w:r>
      <w:r w:rsidRPr="00577688">
        <w:rPr>
          <w:rFonts w:eastAsia="Times New Roman" w:cs="Times New Roman"/>
          <w:lang w:eastAsia="de-DE"/>
        </w:rPr>
        <w:t xml:space="preserve">(für seine Sünde, die er begangen hat) wiederholt emphatisch den Zweck. </w:t>
      </w:r>
      <w:r w:rsidRPr="00577688">
        <w:rPr>
          <w:rFonts w:eastAsia="Times New Roman" w:cs="Times New Roman"/>
          <w:b/>
          <w:bCs/>
          <w:rtl/>
          <w:lang w:eastAsia="de-DE"/>
        </w:rPr>
        <w:t>על־חטאתו</w:t>
      </w:r>
      <w:r w:rsidRPr="00577688">
        <w:rPr>
          <w:rFonts w:eastAsia="Times New Roman" w:cs="Times New Roman"/>
          <w:rtl/>
          <w:lang w:eastAsia="de-DE"/>
        </w:rPr>
        <w:t xml:space="preserve"> </w:t>
      </w:r>
      <w:r w:rsidRPr="00577688">
        <w:rPr>
          <w:rFonts w:eastAsia="Times New Roman" w:cs="Times New Roman"/>
          <w:lang w:eastAsia="de-DE"/>
        </w:rPr>
        <w:t xml:space="preserve">(für seine Sünde) mit </w:t>
      </w:r>
      <w:r w:rsidRPr="00577688">
        <w:rPr>
          <w:rFonts w:eastAsia="Times New Roman" w:cs="Times New Roman"/>
          <w:b/>
          <w:bCs/>
          <w:rtl/>
          <w:lang w:eastAsia="de-DE"/>
        </w:rPr>
        <w:t>על</w:t>
      </w:r>
      <w:r w:rsidRPr="00577688">
        <w:rPr>
          <w:rFonts w:eastAsia="Times New Roman" w:cs="Times New Roman"/>
          <w:rtl/>
          <w:lang w:eastAsia="de-DE"/>
        </w:rPr>
        <w:t xml:space="preserve"> </w:t>
      </w:r>
      <w:r w:rsidRPr="00577688">
        <w:rPr>
          <w:rFonts w:eastAsia="Times New Roman" w:cs="Times New Roman"/>
          <w:lang w:eastAsia="de-DE"/>
        </w:rPr>
        <w:t xml:space="preserve">(für/wegen), </w:t>
      </w:r>
      <w:r w:rsidRPr="00577688">
        <w:rPr>
          <w:rFonts w:eastAsia="Times New Roman" w:cs="Times New Roman"/>
          <w:b/>
          <w:bCs/>
          <w:rtl/>
          <w:lang w:eastAsia="de-DE"/>
        </w:rPr>
        <w:t>אשר חטא</w:t>
      </w:r>
      <w:r w:rsidRPr="00577688">
        <w:rPr>
          <w:rFonts w:eastAsia="Times New Roman" w:cs="Times New Roman"/>
          <w:rtl/>
          <w:lang w:eastAsia="de-DE"/>
        </w:rPr>
        <w:t xml:space="preserve"> </w:t>
      </w:r>
      <w:r w:rsidRPr="00577688">
        <w:rPr>
          <w:rFonts w:eastAsia="Times New Roman" w:cs="Times New Roman"/>
          <w:lang w:eastAsia="de-DE"/>
        </w:rPr>
        <w:t>als zweite Relativsatzwiederholung.</w:t>
      </w:r>
    </w:p>
    <w:p w14:paraId="175E437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שעירת עזים תמימה נקבה</w:t>
      </w:r>
      <w:r w:rsidRPr="00577688">
        <w:rPr>
          <w:rFonts w:eastAsia="Times New Roman" w:cs="Times New Roman"/>
          <w:rtl/>
          <w:lang w:eastAsia="de-DE"/>
        </w:rPr>
        <w:t xml:space="preserve"> </w:t>
      </w:r>
      <w:r w:rsidRPr="00577688">
        <w:rPr>
          <w:rFonts w:eastAsia="Times New Roman" w:cs="Times New Roman"/>
          <w:lang w:eastAsia="de-DE"/>
        </w:rPr>
        <w:t xml:space="preserve">zeigt das kostengünstigste </w:t>
      </w:r>
      <w:r w:rsidRPr="00577688">
        <w:rPr>
          <w:rFonts w:eastAsia="Times New Roman" w:cs="Times New Roman"/>
          <w:b/>
          <w:bCs/>
          <w:rtl/>
          <w:lang w:eastAsia="de-DE"/>
        </w:rPr>
        <w:t>חטאת</w:t>
      </w:r>
      <w:r w:rsidRPr="00577688">
        <w:rPr>
          <w:rFonts w:eastAsia="Times New Roman" w:cs="Times New Roman"/>
          <w:lang w:eastAsia="de-DE"/>
        </w:rPr>
        <w:t>-Tier: weibliche Ziege statt männlichem Ziegenbock (</w:t>
      </w:r>
      <w:r w:rsidRPr="00577688">
        <w:rPr>
          <w:rFonts w:eastAsia="Times New Roman" w:cs="Times New Roman"/>
          <w:b/>
          <w:bCs/>
          <w:rtl/>
          <w:lang w:eastAsia="de-DE"/>
        </w:rPr>
        <w:t>שעיר עזים זכר</w:t>
      </w:r>
      <w:r w:rsidRPr="00577688">
        <w:rPr>
          <w:rFonts w:eastAsia="Times New Roman" w:cs="Times New Roman"/>
          <w:lang w:eastAsia="de-DE"/>
        </w:rPr>
        <w:t xml:space="preserve">) beim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oder Stier (</w:t>
      </w:r>
      <w:r w:rsidRPr="00577688">
        <w:rPr>
          <w:rFonts w:eastAsia="Times New Roman" w:cs="Times New Roman"/>
          <w:b/>
          <w:bCs/>
          <w:rtl/>
          <w:lang w:eastAsia="de-DE"/>
        </w:rPr>
        <w:t>פר</w:t>
      </w:r>
      <w:r w:rsidRPr="00577688">
        <w:rPr>
          <w:rFonts w:eastAsia="Times New Roman" w:cs="Times New Roman"/>
          <w:lang w:eastAsia="de-DE"/>
        </w:rPr>
        <w:t xml:space="preserve">) bei höheren Rängen. </w:t>
      </w:r>
      <w:r w:rsidRPr="00577688">
        <w:rPr>
          <w:rFonts w:eastAsia="Times New Roman" w:cs="Times New Roman"/>
          <w:b/>
          <w:bCs/>
          <w:rtl/>
          <w:lang w:eastAsia="de-DE"/>
        </w:rPr>
        <w:t>נקבה</w:t>
      </w:r>
      <w:r w:rsidRPr="00577688">
        <w:rPr>
          <w:rFonts w:eastAsia="Times New Roman" w:cs="Times New Roman"/>
          <w:rtl/>
          <w:lang w:eastAsia="de-DE"/>
        </w:rPr>
        <w:t xml:space="preserve"> </w:t>
      </w:r>
      <w:r w:rsidRPr="00577688">
        <w:rPr>
          <w:rFonts w:eastAsia="Times New Roman" w:cs="Times New Roman"/>
          <w:lang w:eastAsia="de-DE"/>
        </w:rPr>
        <w:t>(weiblich) entspricht dem niedrigeren sozialen Status.</w:t>
      </w:r>
    </w:p>
    <w:p w14:paraId="164DFA4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 doppelte Erwähnung </w:t>
      </w:r>
      <w:r w:rsidRPr="00577688">
        <w:rPr>
          <w:rFonts w:eastAsia="Times New Roman" w:cs="Times New Roman"/>
          <w:b/>
          <w:bCs/>
          <w:rtl/>
          <w:lang w:eastAsia="de-DE"/>
        </w:rPr>
        <w:t>חטאתו אשר חטא</w:t>
      </w:r>
      <w:r w:rsidRPr="00577688">
        <w:rPr>
          <w:rFonts w:eastAsia="Times New Roman" w:cs="Times New Roman"/>
          <w:rtl/>
          <w:lang w:eastAsia="de-DE"/>
        </w:rPr>
        <w:t xml:space="preserve"> </w:t>
      </w:r>
      <w:r w:rsidRPr="00577688">
        <w:rPr>
          <w:rFonts w:eastAsia="Times New Roman" w:cs="Times New Roman"/>
          <w:lang w:eastAsia="de-DE"/>
        </w:rPr>
        <w:t xml:space="preserve">(seine Sünde, die er gesündigt hat) am Anfang und Ende betont die persönliche Verantwortung und </w:t>
      </w:r>
      <w:proofErr w:type="spellStart"/>
      <w:r w:rsidRPr="00577688">
        <w:rPr>
          <w:rFonts w:eastAsia="Times New Roman" w:cs="Times New Roman"/>
          <w:lang w:eastAsia="de-DE"/>
        </w:rPr>
        <w:t>Sühnbedürftigkeit</w:t>
      </w:r>
      <w:proofErr w:type="spellEnd"/>
      <w:r w:rsidRPr="00577688">
        <w:rPr>
          <w:rFonts w:eastAsia="Times New Roman" w:cs="Times New Roman"/>
          <w:lang w:eastAsia="de-DE"/>
        </w:rPr>
        <w:t xml:space="preserve"> des Individuums.</w:t>
      </w:r>
    </w:p>
    <w:p w14:paraId="4887406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שְׂעִירַ֤ת עִזִּים֙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χίμ</w:t>
      </w:r>
      <w:proofErr w:type="spellEnd"/>
      <w:r w:rsidRPr="00577688">
        <w:rPr>
          <w:rFonts w:eastAsia="Times New Roman" w:cs="Times New Roman"/>
          <w:lang w:eastAsia="de-DE"/>
        </w:rPr>
        <w:t xml:space="preserve">αιραν </w:t>
      </w:r>
      <w:proofErr w:type="spellStart"/>
      <w:r w:rsidRPr="00577688">
        <w:rPr>
          <w:rFonts w:eastAsia="Times New Roman" w:cs="Times New Roman"/>
          <w:lang w:eastAsia="de-DE"/>
        </w:rPr>
        <w:t>ἐξ</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ἰγῶν</w:t>
      </w:r>
      <w:proofErr w:type="spellEnd"/>
      <w:r w:rsidRPr="00577688">
        <w:rPr>
          <w:rFonts w:eastAsia="Times New Roman" w:cs="Times New Roman"/>
          <w:lang w:eastAsia="de-DE"/>
        </w:rPr>
        <w:t xml:space="preserve"> (Ziege von Ziegen), </w:t>
      </w:r>
      <w:r w:rsidRPr="00577688">
        <w:rPr>
          <w:rFonts w:eastAsia="Times New Roman" w:cs="Times New Roman"/>
          <w:b/>
          <w:bCs/>
          <w:rtl/>
          <w:lang w:eastAsia="de-DE"/>
        </w:rPr>
        <w:t>תְּמִימָ֣ה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ἄμωμον</w:t>
      </w:r>
      <w:proofErr w:type="spellEnd"/>
      <w:r w:rsidRPr="00577688">
        <w:rPr>
          <w:rFonts w:eastAsia="Times New Roman" w:cs="Times New Roman"/>
          <w:lang w:eastAsia="de-DE"/>
        </w:rPr>
        <w:t xml:space="preserve"> (tadellos) und </w:t>
      </w:r>
      <w:r w:rsidRPr="00577688">
        <w:rPr>
          <w:rFonts w:eastAsia="Times New Roman" w:cs="Times New Roman"/>
          <w:b/>
          <w:bCs/>
          <w:rtl/>
          <w:lang w:eastAsia="de-DE"/>
        </w:rPr>
        <w:t>נְקֵבָ֔ה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θήλει</w:t>
      </w:r>
      <w:proofErr w:type="spellEnd"/>
      <w:r w:rsidRPr="00577688">
        <w:rPr>
          <w:rFonts w:eastAsia="Times New Roman" w:cs="Times New Roman"/>
          <w:lang w:eastAsia="de-DE"/>
        </w:rPr>
        <w:t>αν (weiblich).</w:t>
      </w:r>
    </w:p>
    <w:p w14:paraId="07BF45C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temporale Konjunktion + Verb + Dativobjekt + Subjekt + Relativsatz → Apodosis (Verb + Objekt + Spezifizierung + Qualifikationen + Zweckangabe mit Relativsatz). Die Struktur entspricht V. 23, aber mit weiblichem Tier.</w:t>
      </w:r>
    </w:p>
    <w:p w14:paraId="4FE4B54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spezifiziert das kostengünstigste </w:t>
      </w:r>
      <w:r w:rsidRPr="00577688">
        <w:rPr>
          <w:rFonts w:eastAsia="Times New Roman" w:cs="Times New Roman"/>
          <w:b/>
          <w:bCs/>
          <w:rtl/>
          <w:lang w:eastAsia="de-DE"/>
        </w:rPr>
        <w:t>חטאת</w:t>
      </w:r>
      <w:r w:rsidRPr="00577688">
        <w:rPr>
          <w:rFonts w:eastAsia="Times New Roman" w:cs="Times New Roman"/>
          <w:lang w:eastAsia="de-DE"/>
        </w:rPr>
        <w:t xml:space="preserve">-Tier für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und zeigt die soziale Abstufung der Opferanforderungen entsprechend dem gesellschaftlichen Rang.</w:t>
      </w:r>
    </w:p>
    <w:p w14:paraId="140AC09B"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4,29</w:t>
      </w:r>
    </w:p>
    <w:p w14:paraId="7B8BB80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וְסָמַךְ֙ אֶת־יָדֹ֔ו עַ֖ל רֹ֣אשׁ הַֽחַטָּ֑את וְשָׁחַט֙ אֶת־הַ֣חַטָּ֔את בִּמְק֖וֹם הָעֹלָֽה׃</w:t>
      </w:r>
    </w:p>
    <w:p w14:paraId="3A2097F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seine Hand auf den Kopf des Sündopfers legen und das Sündopfer schlachten an dem Ort des Aufsteigeopfers.</w:t>
      </w:r>
    </w:p>
    <w:p w14:paraId="0F730FC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B08A435">
          <v:rect id="_x0000_i1103" style="width:0;height:1.5pt" o:hralign="center" o:hrstd="t" o:hr="t" fillcolor="#a0a0a0" stroked="f"/>
        </w:pict>
      </w:r>
    </w:p>
    <w:p w14:paraId="4C31742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וְסָמַךְ֙ אֶת־יָדֹ֔ו עַ֖ל רֹ֣אשׁ הַֽחַטָּ֑את</w:t>
      </w:r>
      <w:r w:rsidRPr="00577688">
        <w:rPr>
          <w:rFonts w:eastAsia="Times New Roman" w:cs="Times New Roman"/>
          <w:rtl/>
          <w:lang w:eastAsia="de-DE"/>
        </w:rPr>
        <w:t xml:space="preserve"> </w:t>
      </w:r>
      <w:r w:rsidRPr="00577688">
        <w:rPr>
          <w:rFonts w:eastAsia="Times New Roman" w:cs="Times New Roman"/>
          <w:lang w:eastAsia="de-DE"/>
        </w:rPr>
        <w:t>(und er soll seine Hand auf den Kopf des Sündopfers legen) zeigt die Standard-</w:t>
      </w:r>
      <w:r w:rsidRPr="00577688">
        <w:rPr>
          <w:rFonts w:eastAsia="Times New Roman" w:cs="Times New Roman"/>
          <w:b/>
          <w:bCs/>
          <w:rtl/>
          <w:lang w:eastAsia="de-DE"/>
        </w:rPr>
        <w:t>סמיכה</w:t>
      </w:r>
      <w:r w:rsidRPr="00577688">
        <w:rPr>
          <w:rFonts w:eastAsia="Times New Roman" w:cs="Times New Roman"/>
          <w:lang w:eastAsia="de-DE"/>
        </w:rPr>
        <w:t xml:space="preserve">. </w:t>
      </w:r>
      <w:r w:rsidRPr="00577688">
        <w:rPr>
          <w:rFonts w:eastAsia="Times New Roman" w:cs="Times New Roman"/>
          <w:b/>
          <w:bCs/>
          <w:rtl/>
          <w:lang w:eastAsia="de-DE"/>
        </w:rPr>
        <w:t>סמך</w:t>
      </w:r>
      <w:r w:rsidRPr="00577688">
        <w:rPr>
          <w:rFonts w:eastAsia="Times New Roman" w:cs="Times New Roman"/>
          <w:rtl/>
          <w:lang w:eastAsia="de-DE"/>
        </w:rPr>
        <w:t xml:space="preserve"> </w:t>
      </w:r>
      <w:r w:rsidRPr="00577688">
        <w:rPr>
          <w:rFonts w:eastAsia="Times New Roman" w:cs="Times New Roman"/>
          <w:lang w:eastAsia="de-DE"/>
        </w:rPr>
        <w:t xml:space="preserve">im Qal-Perfekt mit Waw-Konsekutiv, </w:t>
      </w:r>
      <w:r w:rsidRPr="00577688">
        <w:rPr>
          <w:rFonts w:eastAsia="Times New Roman" w:cs="Times New Roman"/>
          <w:b/>
          <w:bCs/>
          <w:rtl/>
          <w:lang w:eastAsia="de-DE"/>
        </w:rPr>
        <w:t>את־ידו</w:t>
      </w:r>
      <w:r w:rsidRPr="00577688">
        <w:rPr>
          <w:rFonts w:eastAsia="Times New Roman" w:cs="Times New Roman"/>
          <w:rtl/>
          <w:lang w:eastAsia="de-DE"/>
        </w:rPr>
        <w:t xml:space="preserve"> </w:t>
      </w:r>
      <w:r w:rsidRPr="00577688">
        <w:rPr>
          <w:rFonts w:eastAsia="Times New Roman" w:cs="Times New Roman"/>
          <w:lang w:eastAsia="de-DE"/>
        </w:rPr>
        <w:t xml:space="preserve">(seine Hand) mit Nota accusativi, </w:t>
      </w:r>
      <w:r w:rsidRPr="00577688">
        <w:rPr>
          <w:rFonts w:eastAsia="Times New Roman" w:cs="Times New Roman"/>
          <w:b/>
          <w:bCs/>
          <w:rtl/>
          <w:lang w:eastAsia="de-DE"/>
        </w:rPr>
        <w:t>החטאת</w:t>
      </w:r>
      <w:r w:rsidRPr="00577688">
        <w:rPr>
          <w:rFonts w:eastAsia="Times New Roman" w:cs="Times New Roman"/>
          <w:rtl/>
          <w:lang w:eastAsia="de-DE"/>
        </w:rPr>
        <w:t xml:space="preserve"> </w:t>
      </w:r>
      <w:r w:rsidRPr="00577688">
        <w:rPr>
          <w:rFonts w:eastAsia="Times New Roman" w:cs="Times New Roman"/>
          <w:lang w:eastAsia="de-DE"/>
        </w:rPr>
        <w:t>(das Sündopfer) bezeichnet hier das Opfertier.</w:t>
      </w:r>
    </w:p>
    <w:p w14:paraId="2042BA3E" w14:textId="68A2D356"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וְשָׁחַט֙ אֶת־הַ֣חַטָּ֔את בִּמְק֖וֹם הָעֹלָֽה</w:t>
      </w:r>
      <w:r w:rsidRPr="00577688">
        <w:rPr>
          <w:rFonts w:eastAsia="Times New Roman" w:cs="Times New Roman"/>
          <w:rtl/>
          <w:lang w:eastAsia="de-DE"/>
        </w:rPr>
        <w:t xml:space="preserve"> </w:t>
      </w:r>
      <w:r w:rsidRPr="00577688">
        <w:rPr>
          <w:rFonts w:eastAsia="Times New Roman" w:cs="Times New Roman"/>
          <w:lang w:eastAsia="de-DE"/>
        </w:rPr>
        <w:t xml:space="preserve">(und er soll das Sündopfer schlachten an dem Ort des </w:t>
      </w:r>
      <w:r w:rsidR="00CF10E7">
        <w:rPr>
          <w:rFonts w:eastAsia="Times New Roman" w:cs="Times New Roman"/>
          <w:lang w:eastAsia="de-DE"/>
        </w:rPr>
        <w:t>Aufsteigeopfer</w:t>
      </w:r>
      <w:r w:rsidRPr="00577688">
        <w:rPr>
          <w:rFonts w:eastAsia="Times New Roman" w:cs="Times New Roman"/>
          <w:lang w:eastAsia="de-DE"/>
        </w:rPr>
        <w:t xml:space="preserve">s) entspricht V. 24 für </w:t>
      </w:r>
      <w:r w:rsidRPr="00577688">
        <w:rPr>
          <w:rFonts w:eastAsia="Times New Roman" w:cs="Times New Roman"/>
          <w:b/>
          <w:bCs/>
          <w:rtl/>
          <w:lang w:eastAsia="de-DE"/>
        </w:rPr>
        <w:t>נשיא</w:t>
      </w:r>
      <w:r w:rsidRPr="00577688">
        <w:rPr>
          <w:rFonts w:eastAsia="Times New Roman" w:cs="Times New Roman"/>
          <w:lang w:eastAsia="de-DE"/>
        </w:rPr>
        <w:t xml:space="preserve">, aber mit verkürzter Formulierung. </w:t>
      </w:r>
      <w:r w:rsidRPr="00577688">
        <w:rPr>
          <w:rFonts w:eastAsia="Times New Roman" w:cs="Times New Roman"/>
          <w:b/>
          <w:bCs/>
          <w:rtl/>
          <w:lang w:eastAsia="de-DE"/>
        </w:rPr>
        <w:t>שחט</w:t>
      </w:r>
      <w:r w:rsidRPr="00577688">
        <w:rPr>
          <w:rFonts w:eastAsia="Times New Roman" w:cs="Times New Roman"/>
          <w:rtl/>
          <w:lang w:eastAsia="de-DE"/>
        </w:rPr>
        <w:t xml:space="preserve"> </w:t>
      </w:r>
      <w:r w:rsidRPr="00577688">
        <w:rPr>
          <w:rFonts w:eastAsia="Times New Roman" w:cs="Times New Roman"/>
          <w:lang w:eastAsia="de-DE"/>
        </w:rPr>
        <w:t xml:space="preserve">(schlachten) im Qal-Perfekt mit Waw-Konsekutiv, </w:t>
      </w:r>
      <w:r w:rsidRPr="00577688">
        <w:rPr>
          <w:rFonts w:eastAsia="Times New Roman" w:cs="Times New Roman"/>
          <w:b/>
          <w:bCs/>
          <w:rtl/>
          <w:lang w:eastAsia="de-DE"/>
        </w:rPr>
        <w:t>במקום העלה</w:t>
      </w:r>
      <w:r w:rsidRPr="00577688">
        <w:rPr>
          <w:rFonts w:eastAsia="Times New Roman" w:cs="Times New Roman"/>
          <w:rtl/>
          <w:lang w:eastAsia="de-DE"/>
        </w:rPr>
        <w:t xml:space="preserve"> </w:t>
      </w:r>
      <w:r w:rsidRPr="00577688">
        <w:rPr>
          <w:rFonts w:eastAsia="Times New Roman" w:cs="Times New Roman"/>
          <w:lang w:eastAsia="de-DE"/>
        </w:rPr>
        <w:t xml:space="preserve">(am Ort des </w:t>
      </w:r>
      <w:r w:rsidR="00CF10E7">
        <w:rPr>
          <w:rFonts w:eastAsia="Times New Roman" w:cs="Times New Roman"/>
          <w:lang w:eastAsia="de-DE"/>
        </w:rPr>
        <w:t>Aufsteigeopfer</w:t>
      </w:r>
      <w:r w:rsidRPr="00577688">
        <w:rPr>
          <w:rFonts w:eastAsia="Times New Roman" w:cs="Times New Roman"/>
          <w:lang w:eastAsia="de-DE"/>
        </w:rPr>
        <w:t xml:space="preserve">s) ohne </w:t>
      </w:r>
      <w:r w:rsidRPr="00577688">
        <w:rPr>
          <w:rFonts w:eastAsia="Times New Roman" w:cs="Times New Roman"/>
          <w:b/>
          <w:bCs/>
          <w:rtl/>
          <w:lang w:eastAsia="de-DE"/>
        </w:rPr>
        <w:t>אשר</w:t>
      </w:r>
      <w:r w:rsidRPr="00577688">
        <w:rPr>
          <w:rFonts w:eastAsia="Times New Roman" w:cs="Times New Roman"/>
          <w:lang w:eastAsia="de-DE"/>
        </w:rPr>
        <w:t>-Relativsatz.</w:t>
      </w:r>
    </w:p>
    <w:p w14:paraId="3AEF9279" w14:textId="1135BE5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החטאת</w:t>
      </w:r>
      <w:r w:rsidRPr="00577688">
        <w:rPr>
          <w:rFonts w:eastAsia="Times New Roman" w:cs="Times New Roman"/>
          <w:rtl/>
          <w:lang w:eastAsia="de-DE"/>
        </w:rPr>
        <w:t xml:space="preserve"> </w:t>
      </w:r>
      <w:r w:rsidRPr="00577688">
        <w:rPr>
          <w:rFonts w:eastAsia="Times New Roman" w:cs="Times New Roman"/>
          <w:lang w:eastAsia="de-DE"/>
        </w:rPr>
        <w:t xml:space="preserve">(das Sündopfer) zweimalige Verwendung statt des Tiernamens zeigt, dass das Tier bereits vollständig als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klassifiziert ist. </w:t>
      </w:r>
      <w:r w:rsidRPr="00577688">
        <w:rPr>
          <w:rFonts w:eastAsia="Times New Roman" w:cs="Times New Roman"/>
          <w:b/>
          <w:bCs/>
          <w:rtl/>
          <w:lang w:eastAsia="de-DE"/>
        </w:rPr>
        <w:t>במקום העלה</w:t>
      </w:r>
      <w:r w:rsidRPr="00577688">
        <w:rPr>
          <w:rFonts w:eastAsia="Times New Roman" w:cs="Times New Roman"/>
          <w:rtl/>
          <w:lang w:eastAsia="de-DE"/>
        </w:rPr>
        <w:t xml:space="preserve"> </w:t>
      </w:r>
      <w:r w:rsidRPr="00577688">
        <w:rPr>
          <w:rFonts w:eastAsia="Times New Roman" w:cs="Times New Roman"/>
          <w:lang w:eastAsia="de-DE"/>
        </w:rPr>
        <w:t xml:space="preserve">(am Ort des </w:t>
      </w:r>
      <w:r w:rsidR="00CF10E7">
        <w:rPr>
          <w:rFonts w:eastAsia="Times New Roman" w:cs="Times New Roman"/>
          <w:lang w:eastAsia="de-DE"/>
        </w:rPr>
        <w:t>Aufsteigeopfer</w:t>
      </w:r>
      <w:r w:rsidRPr="00577688">
        <w:rPr>
          <w:rFonts w:eastAsia="Times New Roman" w:cs="Times New Roman"/>
          <w:lang w:eastAsia="de-DE"/>
        </w:rPr>
        <w:t xml:space="preserve">s) kompakter als </w:t>
      </w:r>
      <w:r w:rsidRPr="00577688">
        <w:rPr>
          <w:rFonts w:eastAsia="Times New Roman" w:cs="Times New Roman"/>
          <w:b/>
          <w:bCs/>
          <w:rtl/>
          <w:lang w:eastAsia="de-DE"/>
        </w:rPr>
        <w:t>במקום אשר־ישחט את־העלה לפני יהוה</w:t>
      </w:r>
      <w:r w:rsidRPr="00577688">
        <w:rPr>
          <w:rFonts w:eastAsia="Times New Roman" w:cs="Times New Roman"/>
          <w:rtl/>
          <w:lang w:eastAsia="de-DE"/>
        </w:rPr>
        <w:t xml:space="preserve"> </w:t>
      </w:r>
      <w:r w:rsidRPr="00577688">
        <w:rPr>
          <w:rFonts w:eastAsia="Times New Roman" w:cs="Times New Roman"/>
          <w:lang w:eastAsia="de-DE"/>
        </w:rPr>
        <w:t>in V. 24.</w:t>
      </w:r>
    </w:p>
    <w:p w14:paraId="13D2FD6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verkürzte Formulierung im Vergleich zu V. 24 zeigt die Vereinfachung für </w:t>
      </w:r>
      <w:r w:rsidRPr="00577688">
        <w:rPr>
          <w:rFonts w:eastAsia="Times New Roman" w:cs="Times New Roman"/>
          <w:b/>
          <w:bCs/>
          <w:rtl/>
          <w:lang w:eastAsia="de-DE"/>
        </w:rPr>
        <w:t>עם הארץ</w:t>
      </w:r>
      <w:r w:rsidRPr="00577688">
        <w:rPr>
          <w:rFonts w:eastAsia="Times New Roman" w:cs="Times New Roman"/>
          <w:lang w:eastAsia="de-DE"/>
        </w:rPr>
        <w:t>: weniger ausführliche Beschreibungen entsprechend dem niedrigeren Status und der größeren Häufigkeit dieser Opfer.</w:t>
      </w:r>
    </w:p>
    <w:p w14:paraId="20504345" w14:textId="6757EC49"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הַֽחַטָּ֑את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αρτίας (der Sünde), </w:t>
      </w:r>
      <w:r w:rsidRPr="00577688">
        <w:rPr>
          <w:rFonts w:eastAsia="Times New Roman" w:cs="Times New Roman"/>
          <w:b/>
          <w:bCs/>
          <w:rtl/>
          <w:lang w:eastAsia="de-DE"/>
        </w:rPr>
        <w:t>וְשָׁחַט֙</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σφάξει</w:t>
      </w:r>
      <w:proofErr w:type="spellEnd"/>
      <w:r w:rsidRPr="00577688">
        <w:rPr>
          <w:rFonts w:eastAsia="Times New Roman" w:cs="Times New Roman"/>
          <w:lang w:eastAsia="de-DE"/>
        </w:rPr>
        <w:t xml:space="preserve"> (und er soll schlachten) und </w:t>
      </w:r>
      <w:r w:rsidRPr="00577688">
        <w:rPr>
          <w:rFonts w:eastAsia="Times New Roman" w:cs="Times New Roman"/>
          <w:b/>
          <w:bCs/>
          <w:rtl/>
          <w:lang w:eastAsia="de-DE"/>
        </w:rPr>
        <w:t>בִּמְק֖וֹם הָעֹלָֽה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τό</w:t>
      </w:r>
      <w:proofErr w:type="spellEnd"/>
      <w:r w:rsidRPr="00577688">
        <w:rPr>
          <w:rFonts w:eastAsia="Times New Roman" w:cs="Times New Roman"/>
          <w:lang w:eastAsia="de-DE"/>
        </w:rPr>
        <w:t xml:space="preserve">πῳ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ὁλοκ</w:t>
      </w:r>
      <w:proofErr w:type="spellEnd"/>
      <w:r w:rsidRPr="00577688">
        <w:rPr>
          <w:rFonts w:eastAsia="Times New Roman" w:cs="Times New Roman"/>
          <w:lang w:eastAsia="de-DE"/>
        </w:rPr>
        <w:t xml:space="preserve">αυτώματος (am Ort des </w:t>
      </w:r>
      <w:r w:rsidR="00CF10E7">
        <w:rPr>
          <w:rFonts w:eastAsia="Times New Roman" w:cs="Times New Roman"/>
          <w:lang w:eastAsia="de-DE"/>
        </w:rPr>
        <w:t>Aufsteigeopfer</w:t>
      </w:r>
      <w:r w:rsidRPr="00577688">
        <w:rPr>
          <w:rFonts w:eastAsia="Times New Roman" w:cs="Times New Roman"/>
          <w:lang w:eastAsia="de-DE"/>
        </w:rPr>
        <w:t>s).</w:t>
      </w:r>
    </w:p>
    <w:p w14:paraId="4231624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Objekt + Präpositionalphrase // Verb + Objekt + Adverbialbestimmung. Die Struktur ist einfacher als bei höheren </w:t>
      </w:r>
      <w:r w:rsidRPr="00577688">
        <w:rPr>
          <w:rFonts w:eastAsia="Times New Roman" w:cs="Times New Roman"/>
          <w:b/>
          <w:bCs/>
          <w:rtl/>
          <w:lang w:eastAsia="de-DE"/>
        </w:rPr>
        <w:t>חטאת</w:t>
      </w:r>
      <w:r w:rsidRPr="00577688">
        <w:rPr>
          <w:rFonts w:eastAsia="Times New Roman" w:cs="Times New Roman"/>
          <w:lang w:eastAsia="de-DE"/>
        </w:rPr>
        <w:t>-Kategorien.</w:t>
      </w:r>
    </w:p>
    <w:p w14:paraId="7B94A1D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die vereinfachte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 xml:space="preserve">und Schlachtung für </w:t>
      </w:r>
      <w:r w:rsidRPr="00577688">
        <w:rPr>
          <w:rFonts w:eastAsia="Times New Roman" w:cs="Times New Roman"/>
          <w:b/>
          <w:bCs/>
          <w:rtl/>
          <w:lang w:eastAsia="de-DE"/>
        </w:rPr>
        <w:t>עם הארץ</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am Standard-Opferplatz entsprechend den </w:t>
      </w:r>
      <w:r w:rsidRPr="00577688">
        <w:rPr>
          <w:rFonts w:eastAsia="Times New Roman" w:cs="Times New Roman"/>
          <w:b/>
          <w:bCs/>
          <w:rtl/>
          <w:lang w:eastAsia="de-DE"/>
        </w:rPr>
        <w:t>נשיא</w:t>
      </w:r>
      <w:r w:rsidRPr="00577688">
        <w:rPr>
          <w:rFonts w:eastAsia="Times New Roman" w:cs="Times New Roman"/>
          <w:lang w:eastAsia="de-DE"/>
        </w:rPr>
        <w:t>-Bestimmungen.</w:t>
      </w:r>
    </w:p>
    <w:p w14:paraId="1012E4EC"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lastRenderedPageBreak/>
        <w:t>Leviticus 4,30</w:t>
      </w:r>
    </w:p>
    <w:p w14:paraId="3FE4DD6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וְלָקַ֨ח הַכֹּהֵ֤ן מִדָּמָהּ֙ בְּאֶצְבָּעֹ֔ו וְנָתַ֕ן עַל־קַרְנֹ֖ת מִזְבַּ֣ח הָעֹלָ֑ה וְאֶת־כָּל־דָּמָ֣הּ יִשְׁפֹּ֔ךְ אֶל־יְס֖וֹד הַמִּזְבֵּֽחַ׃</w:t>
      </w:r>
    </w:p>
    <w:p w14:paraId="4A0F27B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von seinem Blut mit seinem Finger nehmen und es an die Hörner des Aufsteigeopferaltars tun; und all sein Blut soll er an den Fuß des Altars gießen.</w:t>
      </w:r>
    </w:p>
    <w:p w14:paraId="42745DA5"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5904E89">
          <v:rect id="_x0000_i1104" style="width:0;height:1.5pt" o:hralign="center" o:hrstd="t" o:hr="t" fillcolor="#a0a0a0" stroked="f"/>
        </w:pict>
      </w:r>
    </w:p>
    <w:p w14:paraId="05395092" w14:textId="441BC67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וְלָקַ֨ח הַכֹּהֵ֤ן מִדָּמָהּ֙ בְּאֶצְבָּעֹ֔ו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von ihrem Blut mit seinem Finger nehmen) entspricht fast exakt V. 25 für </w:t>
      </w:r>
      <w:r w:rsidRPr="00577688">
        <w:rPr>
          <w:rFonts w:eastAsia="Times New Roman" w:cs="Times New Roman"/>
          <w:b/>
          <w:bCs/>
          <w:rtl/>
          <w:lang w:eastAsia="de-DE"/>
        </w:rPr>
        <w:t>נשיא</w:t>
      </w:r>
      <w:r w:rsidRPr="00577688">
        <w:rPr>
          <w:rFonts w:eastAsia="Times New Roman" w:cs="Times New Roman"/>
          <w:lang w:eastAsia="de-DE"/>
        </w:rPr>
        <w:t xml:space="preserve">. </w:t>
      </w:r>
      <w:r w:rsidRPr="00577688">
        <w:rPr>
          <w:rFonts w:eastAsia="Times New Roman" w:cs="Times New Roman"/>
          <w:b/>
          <w:bCs/>
          <w:rtl/>
          <w:lang w:eastAsia="de-DE"/>
        </w:rPr>
        <w:t>לקח</w:t>
      </w:r>
      <w:r w:rsidRPr="00577688">
        <w:rPr>
          <w:rFonts w:eastAsia="Times New Roman" w:cs="Times New Roman"/>
          <w:rtl/>
          <w:lang w:eastAsia="de-DE"/>
        </w:rPr>
        <w:t xml:space="preserve"> </w:t>
      </w:r>
      <w:r w:rsidRPr="00577688">
        <w:rPr>
          <w:rFonts w:eastAsia="Times New Roman" w:cs="Times New Roman"/>
          <w:lang w:eastAsia="de-DE"/>
        </w:rPr>
        <w:t xml:space="preserve">(nehmen) im Qal-Perfekt mit Waw-Konsekutiv, </w:t>
      </w:r>
      <w:r w:rsidRPr="00577688">
        <w:rPr>
          <w:rFonts w:eastAsia="Times New Roman" w:cs="Times New Roman"/>
          <w:b/>
          <w:bCs/>
          <w:rtl/>
          <w:lang w:eastAsia="de-DE"/>
        </w:rPr>
        <w:t>מדמה</w:t>
      </w:r>
      <w:r w:rsidRPr="00577688">
        <w:rPr>
          <w:rFonts w:eastAsia="Times New Roman" w:cs="Times New Roman"/>
          <w:rtl/>
          <w:lang w:eastAsia="de-DE"/>
        </w:rPr>
        <w:t xml:space="preserve"> </w:t>
      </w:r>
      <w:r w:rsidRPr="00577688">
        <w:rPr>
          <w:rFonts w:eastAsia="Times New Roman" w:cs="Times New Roman"/>
          <w:lang w:eastAsia="de-DE"/>
        </w:rPr>
        <w:t xml:space="preserve">(von ihrem Blut) mit </w:t>
      </w:r>
      <w:r w:rsidR="00E35C31">
        <w:rPr>
          <w:rFonts w:eastAsia="Times New Roman" w:cs="Times New Roman"/>
          <w:lang w:eastAsia="de-DE"/>
        </w:rPr>
        <w:t>femininem</w:t>
      </w:r>
      <w:r w:rsidRPr="00577688">
        <w:rPr>
          <w:rFonts w:eastAsia="Times New Roman" w:cs="Times New Roman"/>
          <w:lang w:eastAsia="de-DE"/>
        </w:rPr>
        <w:t xml:space="preserve"> Suffix bezogen auf </w:t>
      </w:r>
      <w:r w:rsidRPr="00577688">
        <w:rPr>
          <w:rFonts w:eastAsia="Times New Roman" w:cs="Times New Roman"/>
          <w:b/>
          <w:bCs/>
          <w:rtl/>
          <w:lang w:eastAsia="de-DE"/>
        </w:rPr>
        <w:t>שעירת</w:t>
      </w:r>
      <w:r w:rsidRPr="00577688">
        <w:rPr>
          <w:rFonts w:eastAsia="Times New Roman" w:cs="Times New Roman"/>
          <w:rtl/>
          <w:lang w:eastAsia="de-DE"/>
        </w:rPr>
        <w:t xml:space="preserve"> </w:t>
      </w:r>
      <w:r w:rsidRPr="00577688">
        <w:rPr>
          <w:rFonts w:eastAsia="Times New Roman" w:cs="Times New Roman"/>
          <w:lang w:eastAsia="de-DE"/>
        </w:rPr>
        <w:t>(Ziege).</w:t>
      </w:r>
    </w:p>
    <w:p w14:paraId="02D4AB6A" w14:textId="49746A70"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וְנָתַ֕ן עַל־קַרְנֹ֖ת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(und er soll an die Hörner des </w:t>
      </w:r>
      <w:r w:rsidR="00CF10E7">
        <w:rPr>
          <w:rFonts w:eastAsia="Times New Roman" w:cs="Times New Roman"/>
          <w:lang w:eastAsia="de-DE"/>
        </w:rPr>
        <w:t>Aufsteigeopfer</w:t>
      </w:r>
      <w:r w:rsidRPr="00577688">
        <w:rPr>
          <w:rFonts w:eastAsia="Times New Roman" w:cs="Times New Roman"/>
          <w:lang w:eastAsia="de-DE"/>
        </w:rPr>
        <w:t xml:space="preserve">altars setzen) entspricht exakt V. 25.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(setzen) im Qal-Perfekt mit Waw-Konsekutiv, </w:t>
      </w:r>
      <w:r w:rsidRPr="00577688">
        <w:rPr>
          <w:rFonts w:eastAsia="Times New Roman" w:cs="Times New Roman"/>
          <w:b/>
          <w:bCs/>
          <w:rtl/>
          <w:lang w:eastAsia="de-DE"/>
        </w:rPr>
        <w:t>קרנות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(Hörner des </w:t>
      </w:r>
      <w:r w:rsidR="00CF10E7">
        <w:rPr>
          <w:rFonts w:eastAsia="Times New Roman" w:cs="Times New Roman"/>
          <w:lang w:eastAsia="de-DE"/>
        </w:rPr>
        <w:t>Aufsteigeopfer</w:t>
      </w:r>
      <w:r w:rsidRPr="00577688">
        <w:rPr>
          <w:rFonts w:eastAsia="Times New Roman" w:cs="Times New Roman"/>
          <w:lang w:eastAsia="de-DE"/>
        </w:rPr>
        <w:t>altars).</w:t>
      </w:r>
    </w:p>
    <w:p w14:paraId="33C0A1BA" w14:textId="11888A79"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וְאֶת־כָּל־דָּמָ֣הּ יִשְׁפֹּ֔ךְ אֶל־יְס֖וֹד הַמִּזְבֵּֽחַ</w:t>
      </w:r>
      <w:r w:rsidRPr="00577688">
        <w:rPr>
          <w:rFonts w:eastAsia="Times New Roman" w:cs="Times New Roman"/>
          <w:rtl/>
          <w:lang w:eastAsia="de-DE"/>
        </w:rPr>
        <w:t xml:space="preserve"> </w:t>
      </w:r>
      <w:r w:rsidRPr="00577688">
        <w:rPr>
          <w:rFonts w:eastAsia="Times New Roman" w:cs="Times New Roman"/>
          <w:lang w:eastAsia="de-DE"/>
        </w:rPr>
        <w:t xml:space="preserve">(und all ihr Blut soll er an den Fuß des Altars gießen) entspricht V. 25, aber mit </w:t>
      </w: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xml:space="preserve">(der Altar) statt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w:t>
      </w:r>
      <w:r w:rsidR="00CF10E7">
        <w:rPr>
          <w:rFonts w:eastAsia="Times New Roman" w:cs="Times New Roman"/>
          <w:lang w:eastAsia="de-DE"/>
        </w:rPr>
        <w:t>Aufsteigeopfer</w:t>
      </w:r>
      <w:r w:rsidRPr="00577688">
        <w:rPr>
          <w:rFonts w:eastAsia="Times New Roman" w:cs="Times New Roman"/>
          <w:lang w:eastAsia="de-DE"/>
        </w:rPr>
        <w:t xml:space="preserve">altar). </w:t>
      </w:r>
      <w:r w:rsidRPr="00577688">
        <w:rPr>
          <w:rFonts w:eastAsia="Times New Roman" w:cs="Times New Roman"/>
          <w:b/>
          <w:bCs/>
          <w:rtl/>
          <w:lang w:eastAsia="de-DE"/>
        </w:rPr>
        <w:t>כל־דמה</w:t>
      </w:r>
      <w:r w:rsidRPr="00577688">
        <w:rPr>
          <w:rFonts w:eastAsia="Times New Roman" w:cs="Times New Roman"/>
          <w:rtl/>
          <w:lang w:eastAsia="de-DE"/>
        </w:rPr>
        <w:t xml:space="preserve"> </w:t>
      </w:r>
      <w:r w:rsidRPr="00577688">
        <w:rPr>
          <w:rFonts w:eastAsia="Times New Roman" w:cs="Times New Roman"/>
          <w:lang w:eastAsia="de-DE"/>
        </w:rPr>
        <w:t xml:space="preserve">(all ihr Blut) mit </w:t>
      </w:r>
      <w:r w:rsidR="00E35C31">
        <w:rPr>
          <w:rFonts w:eastAsia="Times New Roman" w:cs="Times New Roman"/>
          <w:lang w:eastAsia="de-DE"/>
        </w:rPr>
        <w:t>femininem</w:t>
      </w:r>
      <w:r w:rsidRPr="00577688">
        <w:rPr>
          <w:rFonts w:eastAsia="Times New Roman" w:cs="Times New Roman"/>
          <w:lang w:eastAsia="de-DE"/>
        </w:rPr>
        <w:t xml:space="preserve"> Suffix, </w:t>
      </w:r>
      <w:r w:rsidRPr="00577688">
        <w:rPr>
          <w:rFonts w:eastAsia="Times New Roman" w:cs="Times New Roman"/>
          <w:b/>
          <w:bCs/>
          <w:rtl/>
          <w:lang w:eastAsia="de-DE"/>
        </w:rPr>
        <w:t>ישפך</w:t>
      </w:r>
      <w:r w:rsidRPr="00577688">
        <w:rPr>
          <w:rFonts w:eastAsia="Times New Roman" w:cs="Times New Roman"/>
          <w:rtl/>
          <w:lang w:eastAsia="de-DE"/>
        </w:rPr>
        <w:t xml:space="preserve"> </w:t>
      </w:r>
      <w:r w:rsidRPr="00577688">
        <w:rPr>
          <w:rFonts w:eastAsia="Times New Roman" w:cs="Times New Roman"/>
          <w:lang w:eastAsia="de-DE"/>
        </w:rPr>
        <w:t>(er soll ausgießen) im Qal-Imperfekt.</w:t>
      </w:r>
    </w:p>
    <w:p w14:paraId="00093A76" w14:textId="2524216C"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מדמה</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דמה</w:t>
      </w:r>
      <w:r w:rsidRPr="00577688">
        <w:rPr>
          <w:rFonts w:eastAsia="Times New Roman" w:cs="Times New Roman"/>
          <w:rtl/>
          <w:lang w:eastAsia="de-DE"/>
        </w:rPr>
        <w:t xml:space="preserve"> </w:t>
      </w:r>
      <w:r w:rsidRPr="00577688">
        <w:rPr>
          <w:rFonts w:eastAsia="Times New Roman" w:cs="Times New Roman"/>
          <w:lang w:eastAsia="de-DE"/>
        </w:rPr>
        <w:t xml:space="preserve">(ihr Blut) mit </w:t>
      </w:r>
      <w:r w:rsidR="00E35C31">
        <w:rPr>
          <w:rFonts w:eastAsia="Times New Roman" w:cs="Times New Roman"/>
          <w:lang w:eastAsia="de-DE"/>
        </w:rPr>
        <w:t>femininem</w:t>
      </w:r>
      <w:r w:rsidRPr="00577688">
        <w:rPr>
          <w:rFonts w:eastAsia="Times New Roman" w:cs="Times New Roman"/>
          <w:lang w:eastAsia="de-DE"/>
        </w:rPr>
        <w:t xml:space="preserve"> Suffix zeigen grammatische Kongruenz mit </w:t>
      </w:r>
      <w:r w:rsidRPr="00577688">
        <w:rPr>
          <w:rFonts w:eastAsia="Times New Roman" w:cs="Times New Roman"/>
          <w:b/>
          <w:bCs/>
          <w:rtl/>
          <w:lang w:eastAsia="de-DE"/>
        </w:rPr>
        <w:t>שעירת עזים נקבה</w:t>
      </w:r>
      <w:r w:rsidRPr="00577688">
        <w:rPr>
          <w:rFonts w:eastAsia="Times New Roman" w:cs="Times New Roman"/>
          <w:rtl/>
          <w:lang w:eastAsia="de-DE"/>
        </w:rPr>
        <w:t xml:space="preserve"> </w:t>
      </w:r>
      <w:r w:rsidRPr="00577688">
        <w:rPr>
          <w:rFonts w:eastAsia="Times New Roman" w:cs="Times New Roman"/>
          <w:lang w:eastAsia="de-DE"/>
        </w:rPr>
        <w:t xml:space="preserve">(weibliche Ziege). Das Blutverfahren entspricht exakt dem </w:t>
      </w:r>
      <w:r w:rsidRPr="00577688">
        <w:rPr>
          <w:rFonts w:eastAsia="Times New Roman" w:cs="Times New Roman"/>
          <w:b/>
          <w:bCs/>
          <w:rtl/>
          <w:lang w:eastAsia="de-DE"/>
        </w:rPr>
        <w:t>נשיא</w:t>
      </w:r>
      <w:r w:rsidRPr="00577688">
        <w:rPr>
          <w:rFonts w:eastAsia="Times New Roman" w:cs="Times New Roman"/>
          <w:lang w:eastAsia="de-DE"/>
        </w:rPr>
        <w:t>-Verfahren: alles am Außenaltar.</w:t>
      </w:r>
    </w:p>
    <w:p w14:paraId="7D147BD5" w14:textId="13F64D1E"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 xml:space="preserve">am Ende zeigt stilistische Variation, da der Kontext den </w:t>
      </w:r>
      <w:r w:rsidR="00CF10E7">
        <w:rPr>
          <w:rFonts w:eastAsia="Times New Roman" w:cs="Times New Roman"/>
          <w:lang w:eastAsia="de-DE"/>
        </w:rPr>
        <w:t>Aufsteigeopfer</w:t>
      </w:r>
      <w:r w:rsidRPr="00577688">
        <w:rPr>
          <w:rFonts w:eastAsia="Times New Roman" w:cs="Times New Roman"/>
          <w:lang w:eastAsia="de-DE"/>
        </w:rPr>
        <w:t xml:space="preserve">altar eindeutig identifiziert. Die Verkürzung entspricht der Vereinfachung für </w:t>
      </w:r>
      <w:r w:rsidRPr="00577688">
        <w:rPr>
          <w:rFonts w:eastAsia="Times New Roman" w:cs="Times New Roman"/>
          <w:b/>
          <w:bCs/>
          <w:rtl/>
          <w:lang w:eastAsia="de-DE"/>
        </w:rPr>
        <w:t>עם הארץ</w:t>
      </w:r>
      <w:r w:rsidRPr="00577688">
        <w:rPr>
          <w:rFonts w:eastAsia="Times New Roman" w:cs="Times New Roman"/>
          <w:lang w:eastAsia="de-DE"/>
        </w:rPr>
        <w:t>.</w:t>
      </w:r>
    </w:p>
    <w:p w14:paraId="15DF98B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מִדָּמָהּ֙</w:t>
      </w:r>
      <w:r w:rsidRPr="00577688">
        <w:rPr>
          <w:rFonts w:eastAsia="Times New Roman" w:cs="Times New Roman"/>
          <w:rtl/>
          <w:lang w:eastAsia="de-DE"/>
        </w:rPr>
        <w:t xml:space="preserve"> </w:t>
      </w:r>
      <w:r w:rsidRPr="00577688">
        <w:rPr>
          <w:rFonts w:eastAsia="Times New Roman" w:cs="Times New Roman"/>
          <w:lang w:eastAsia="de-DE"/>
        </w:rPr>
        <w:t xml:space="preserve">mit ἀπὸ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ἵμ</w:t>
      </w:r>
      <w:proofErr w:type="spellEnd"/>
      <w:r w:rsidRPr="00577688">
        <w:rPr>
          <w:rFonts w:eastAsia="Times New Roman" w:cs="Times New Roman"/>
          <w:lang w:eastAsia="de-DE"/>
        </w:rPr>
        <w:t>ατος α</w:t>
      </w:r>
      <w:proofErr w:type="spellStart"/>
      <w:r w:rsidRPr="00577688">
        <w:rPr>
          <w:rFonts w:eastAsia="Times New Roman" w:cs="Times New Roman"/>
          <w:lang w:eastAsia="de-DE"/>
        </w:rPr>
        <w:t>ὐτῆς</w:t>
      </w:r>
      <w:proofErr w:type="spellEnd"/>
      <w:r w:rsidRPr="00577688">
        <w:rPr>
          <w:rFonts w:eastAsia="Times New Roman" w:cs="Times New Roman"/>
          <w:lang w:eastAsia="de-DE"/>
        </w:rPr>
        <w:t xml:space="preserve"> (von ihrem Blut), </w:t>
      </w:r>
      <w:r w:rsidRPr="00577688">
        <w:rPr>
          <w:rFonts w:eastAsia="Times New Roman" w:cs="Times New Roman"/>
          <w:b/>
          <w:bCs/>
          <w:rtl/>
          <w:lang w:eastAsia="de-DE"/>
        </w:rPr>
        <w:t>קַרְנֹ֖ת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κέρ</w:t>
      </w:r>
      <w:proofErr w:type="spellEnd"/>
      <w:r w:rsidRPr="00577688">
        <w:rPr>
          <w:rFonts w:eastAsia="Times New Roman" w:cs="Times New Roman"/>
          <w:lang w:eastAsia="de-DE"/>
        </w:rPr>
        <w:t xml:space="preserve">ατα (Hörner) und </w:t>
      </w:r>
      <w:r w:rsidRPr="00577688">
        <w:rPr>
          <w:rFonts w:eastAsia="Times New Roman" w:cs="Times New Roman"/>
          <w:b/>
          <w:bCs/>
          <w:rtl/>
          <w:lang w:eastAsia="de-DE"/>
        </w:rPr>
        <w:t>יְס֖וֹד</w:t>
      </w:r>
      <w:r w:rsidRPr="00577688">
        <w:rPr>
          <w:rFonts w:eastAsia="Times New Roman" w:cs="Times New Roman"/>
          <w:rtl/>
          <w:lang w:eastAsia="de-DE"/>
        </w:rPr>
        <w:t xml:space="preserve"> </w:t>
      </w:r>
      <w:r w:rsidRPr="00577688">
        <w:rPr>
          <w:rFonts w:eastAsia="Times New Roman" w:cs="Times New Roman"/>
          <w:lang w:eastAsia="de-DE"/>
        </w:rPr>
        <w:t>mit β</w:t>
      </w:r>
      <w:proofErr w:type="spellStart"/>
      <w:r w:rsidRPr="00577688">
        <w:rPr>
          <w:rFonts w:eastAsia="Times New Roman" w:cs="Times New Roman"/>
          <w:lang w:eastAsia="de-DE"/>
        </w:rPr>
        <w:t>άσιν</w:t>
      </w:r>
      <w:proofErr w:type="spellEnd"/>
      <w:r w:rsidRPr="00577688">
        <w:rPr>
          <w:rFonts w:eastAsia="Times New Roman" w:cs="Times New Roman"/>
          <w:lang w:eastAsia="de-DE"/>
        </w:rPr>
        <w:t xml:space="preserve"> (Basis).</w:t>
      </w:r>
    </w:p>
    <w:p w14:paraId="3DF248D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25: zwei koordinierte Hauptsätze mit identischem Blutverfahren am Außenaltar. Die grammatischen Anpassungen (</w:t>
      </w:r>
      <w:proofErr w:type="spellStart"/>
      <w:r w:rsidRPr="00577688">
        <w:rPr>
          <w:rFonts w:eastAsia="Times New Roman" w:cs="Times New Roman"/>
          <w:lang w:eastAsia="de-DE"/>
        </w:rPr>
        <w:t>feminineim</w:t>
      </w:r>
      <w:proofErr w:type="spellEnd"/>
      <w:r w:rsidRPr="00577688">
        <w:rPr>
          <w:rFonts w:eastAsia="Times New Roman" w:cs="Times New Roman"/>
          <w:lang w:eastAsia="de-DE"/>
        </w:rPr>
        <w:t xml:space="preserve"> Suffix) zeigen Kongruenz mit dem weiblichen Opfertier.</w:t>
      </w:r>
    </w:p>
    <w:p w14:paraId="12E07DC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das identische Blutverfahren für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 xml:space="preserve">wie für </w:t>
      </w:r>
      <w:r w:rsidRPr="00577688">
        <w:rPr>
          <w:rFonts w:eastAsia="Times New Roman" w:cs="Times New Roman"/>
          <w:b/>
          <w:bCs/>
          <w:rtl/>
          <w:lang w:eastAsia="de-DE"/>
        </w:rPr>
        <w:t>נשיא</w:t>
      </w:r>
      <w:r w:rsidRPr="00577688">
        <w:rPr>
          <w:rFonts w:eastAsia="Times New Roman" w:cs="Times New Roman"/>
          <w:lang w:eastAsia="de-DE"/>
        </w:rPr>
        <w:t xml:space="preserve">: beide am Außenaltar entsprechend ihrem niedrigeren Rang gegenüber </w:t>
      </w:r>
      <w:r w:rsidRPr="00577688">
        <w:rPr>
          <w:rFonts w:eastAsia="Times New Roman" w:cs="Times New Roman"/>
          <w:b/>
          <w:bCs/>
          <w:rtl/>
          <w:lang w:eastAsia="de-DE"/>
        </w:rPr>
        <w:t>כהן המשיח</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עדת ישראל</w:t>
      </w:r>
      <w:r w:rsidRPr="00577688">
        <w:rPr>
          <w:rFonts w:eastAsia="Times New Roman" w:cs="Times New Roman"/>
          <w:lang w:eastAsia="de-DE"/>
        </w:rPr>
        <w:t>.</w:t>
      </w:r>
    </w:p>
    <w:p w14:paraId="394F26B6"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4,31</w:t>
      </w:r>
    </w:p>
    <w:p w14:paraId="2C8CDE1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וְאֶת־כָּל־חֶלְבָּ֣הּ יָסִ֗יר כַּאֲשֶׁ֨ר הוּסַ֣ר חֵלֶב֮ מֵעַ֣ל זֶ֣בַח הַשְּׁלָמִים֒ וְהִקְטִ֤יר הַכֹּהֵן֙ הַמִּזְבֵּ֔חָה לְרֵ֥יחַ נִיחֹ֖חַ לַיהוָ֑ה וְכִפֶּ֥ר עָלָ֛יו הַכֹּהֵ֖ן וְנִסְלַ֥ח לוֹֽ׃</w:t>
      </w:r>
    </w:p>
    <w:p w14:paraId="33303D1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all sein Fett soll er abtrennen, so wie das Fett von dem Friedensopfer abgetrennt wird; und der Priester soll es auf dem Altar räuchern zum wohlgefälligen Geruch dem Ewigen. Und so soll der Priester Sühne für ihn erwirken, und es wird ihm vergeben werden.</w:t>
      </w:r>
    </w:p>
    <w:p w14:paraId="5CA4926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lastRenderedPageBreak/>
        <w:pict w14:anchorId="107DA961">
          <v:rect id="_x0000_i1105" style="width:0;height:1.5pt" o:hralign="center" o:hrstd="t" o:hr="t" fillcolor="#a0a0a0" stroked="f"/>
        </w:pict>
      </w:r>
    </w:p>
    <w:p w14:paraId="3091DE66" w14:textId="330F993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וְאֶת־כָּל־חֶלְבָּ֣הּ יָסִ֗יר</w:t>
      </w:r>
      <w:r w:rsidRPr="00577688">
        <w:rPr>
          <w:rFonts w:eastAsia="Times New Roman" w:cs="Times New Roman"/>
          <w:rtl/>
          <w:lang w:eastAsia="de-DE"/>
        </w:rPr>
        <w:t xml:space="preserve"> </w:t>
      </w:r>
      <w:r w:rsidRPr="00577688">
        <w:rPr>
          <w:rFonts w:eastAsia="Times New Roman" w:cs="Times New Roman"/>
          <w:lang w:eastAsia="de-DE"/>
        </w:rPr>
        <w:t xml:space="preserve">(und all ihr Fett soll er abtrennen) zeigt </w:t>
      </w:r>
      <w:r w:rsidRPr="00577688">
        <w:rPr>
          <w:rFonts w:eastAsia="Times New Roman" w:cs="Times New Roman"/>
          <w:b/>
          <w:bCs/>
          <w:rtl/>
          <w:lang w:eastAsia="de-DE"/>
        </w:rPr>
        <w:t>סור</w:t>
      </w:r>
      <w:r w:rsidRPr="00577688">
        <w:rPr>
          <w:rFonts w:eastAsia="Times New Roman" w:cs="Times New Roman"/>
          <w:rtl/>
          <w:lang w:eastAsia="de-DE"/>
        </w:rPr>
        <w:t xml:space="preserve"> </w:t>
      </w:r>
      <w:r w:rsidRPr="00577688">
        <w:rPr>
          <w:rFonts w:eastAsia="Times New Roman" w:cs="Times New Roman"/>
          <w:lang w:eastAsia="de-DE"/>
        </w:rPr>
        <w:t xml:space="preserve">(entfernen) im Hifil-Imperfekt 3. Person maskulin Singular. </w:t>
      </w:r>
      <w:r w:rsidRPr="00577688">
        <w:rPr>
          <w:rFonts w:eastAsia="Times New Roman" w:cs="Times New Roman"/>
          <w:b/>
          <w:bCs/>
          <w:rtl/>
          <w:lang w:eastAsia="de-DE"/>
        </w:rPr>
        <w:t>כל־חלבה</w:t>
      </w:r>
      <w:r w:rsidRPr="00577688">
        <w:rPr>
          <w:rFonts w:eastAsia="Times New Roman" w:cs="Times New Roman"/>
          <w:rtl/>
          <w:lang w:eastAsia="de-DE"/>
        </w:rPr>
        <w:t xml:space="preserve"> </w:t>
      </w:r>
      <w:r w:rsidRPr="00577688">
        <w:rPr>
          <w:rFonts w:eastAsia="Times New Roman" w:cs="Times New Roman"/>
          <w:lang w:eastAsia="de-DE"/>
        </w:rPr>
        <w:t xml:space="preserve">(all ihr Fett) mit </w:t>
      </w:r>
      <w:r w:rsidR="00E35C31">
        <w:rPr>
          <w:rFonts w:eastAsia="Times New Roman" w:cs="Times New Roman"/>
          <w:lang w:eastAsia="de-DE"/>
        </w:rPr>
        <w:t>femininem</w:t>
      </w:r>
      <w:r w:rsidRPr="00577688">
        <w:rPr>
          <w:rFonts w:eastAsia="Times New Roman" w:cs="Times New Roman"/>
          <w:lang w:eastAsia="de-DE"/>
        </w:rPr>
        <w:t xml:space="preserve"> Suffix bezogen auf </w:t>
      </w:r>
      <w:r w:rsidRPr="00577688">
        <w:rPr>
          <w:rFonts w:eastAsia="Times New Roman" w:cs="Times New Roman"/>
          <w:b/>
          <w:bCs/>
          <w:rtl/>
          <w:lang w:eastAsia="de-DE"/>
        </w:rPr>
        <w:t>שעירת</w:t>
      </w:r>
      <w:r w:rsidRPr="00577688">
        <w:rPr>
          <w:rFonts w:eastAsia="Times New Roman" w:cs="Times New Roman"/>
          <w:rtl/>
          <w:lang w:eastAsia="de-DE"/>
        </w:rPr>
        <w:t xml:space="preserve"> </w:t>
      </w:r>
      <w:r w:rsidRPr="00577688">
        <w:rPr>
          <w:rFonts w:eastAsia="Times New Roman" w:cs="Times New Roman"/>
          <w:lang w:eastAsia="de-DE"/>
        </w:rPr>
        <w:t xml:space="preserve">(Ziege). </w:t>
      </w:r>
      <w:r w:rsidRPr="00577688">
        <w:rPr>
          <w:rFonts w:eastAsia="Times New Roman" w:cs="Times New Roman"/>
          <w:b/>
          <w:bCs/>
          <w:rtl/>
          <w:lang w:eastAsia="de-DE"/>
        </w:rPr>
        <w:t>כַּאֲשֶׁ֨ר הוּסַ֣ר חֵלֶב֮ מֵעַ֣ל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(wie das Fett vom Friedensopfer abgetrennt wird) etabliert die </w:t>
      </w:r>
      <w:r w:rsidRPr="00577688">
        <w:rPr>
          <w:rFonts w:eastAsia="Times New Roman" w:cs="Times New Roman"/>
          <w:b/>
          <w:bCs/>
          <w:rtl/>
          <w:lang w:eastAsia="de-DE"/>
        </w:rPr>
        <w:t>שלמים</w:t>
      </w:r>
      <w:r w:rsidRPr="00577688">
        <w:rPr>
          <w:rFonts w:eastAsia="Times New Roman" w:cs="Times New Roman"/>
          <w:lang w:eastAsia="de-DE"/>
        </w:rPr>
        <w:t xml:space="preserve">-Analogie. </w:t>
      </w:r>
      <w:r w:rsidRPr="00577688">
        <w:rPr>
          <w:rFonts w:eastAsia="Times New Roman" w:cs="Times New Roman"/>
          <w:b/>
          <w:bCs/>
          <w:rtl/>
          <w:lang w:eastAsia="de-DE"/>
        </w:rPr>
        <w:t>הוסר</w:t>
      </w:r>
      <w:r w:rsidRPr="00577688">
        <w:rPr>
          <w:rFonts w:eastAsia="Times New Roman" w:cs="Times New Roman"/>
          <w:rtl/>
          <w:lang w:eastAsia="de-DE"/>
        </w:rPr>
        <w:t xml:space="preserve"> </w:t>
      </w:r>
      <w:r w:rsidRPr="00577688">
        <w:rPr>
          <w:rFonts w:eastAsia="Times New Roman" w:cs="Times New Roman"/>
          <w:lang w:eastAsia="de-DE"/>
        </w:rPr>
        <w:t>(es wird abgetrennt) im Hofal-Perfekt.</w:t>
      </w:r>
    </w:p>
    <w:p w14:paraId="670DCC7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וְהִקְטִ֤יר הַכֹּהֵן֙ הַמִּזְבֵּ֔חָה לְרֵ֥יחַ נִיחֹ֖חַ לַיהוָ֑ה</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auf dem Altar räuchern zum wohlgefälligen Geruch für JHWH) fügt </w:t>
      </w:r>
      <w:r w:rsidRPr="00577688">
        <w:rPr>
          <w:rFonts w:eastAsia="Times New Roman" w:cs="Times New Roman"/>
          <w:b/>
          <w:bCs/>
          <w:rtl/>
          <w:lang w:eastAsia="de-DE"/>
        </w:rPr>
        <w:t>לְרֵיחַ נִיחֹחַ</w:t>
      </w:r>
      <w:r w:rsidRPr="00577688">
        <w:rPr>
          <w:rFonts w:eastAsia="Times New Roman" w:cs="Times New Roman"/>
          <w:rtl/>
          <w:lang w:eastAsia="de-DE"/>
        </w:rPr>
        <w:t xml:space="preserve"> </w:t>
      </w:r>
      <w:r w:rsidRPr="00577688">
        <w:rPr>
          <w:rFonts w:eastAsia="Times New Roman" w:cs="Times New Roman"/>
          <w:lang w:eastAsia="de-DE"/>
        </w:rPr>
        <w:t>(zum wohlgefälligen Geruch) hinzu, was bei V. 26 (</w:t>
      </w:r>
      <w:r w:rsidRPr="00577688">
        <w:rPr>
          <w:rFonts w:eastAsia="Times New Roman" w:cs="Times New Roman"/>
          <w:b/>
          <w:bCs/>
          <w:rtl/>
          <w:lang w:eastAsia="de-DE"/>
        </w:rPr>
        <w:t>נשיא</w:t>
      </w:r>
      <w:r w:rsidRPr="00577688">
        <w:rPr>
          <w:rFonts w:eastAsia="Times New Roman" w:cs="Times New Roman"/>
          <w:lang w:eastAsia="de-DE"/>
        </w:rPr>
        <w:t xml:space="preserve">) fehlte. </w:t>
      </w:r>
      <w:r w:rsidRPr="00577688">
        <w:rPr>
          <w:rFonts w:eastAsia="Times New Roman" w:cs="Times New Roman"/>
          <w:b/>
          <w:bCs/>
          <w:rtl/>
          <w:lang w:eastAsia="de-DE"/>
        </w:rPr>
        <w:t>הקטיר</w:t>
      </w:r>
      <w:r w:rsidRPr="00577688">
        <w:rPr>
          <w:rFonts w:eastAsia="Times New Roman" w:cs="Times New Roman"/>
          <w:rtl/>
          <w:lang w:eastAsia="de-DE"/>
        </w:rPr>
        <w:t xml:space="preserve"> </w:t>
      </w:r>
      <w:r w:rsidRPr="00577688">
        <w:rPr>
          <w:rFonts w:eastAsia="Times New Roman" w:cs="Times New Roman"/>
          <w:lang w:eastAsia="de-DE"/>
        </w:rPr>
        <w:t>(räuchern) im Hifil-Perfekt mit Waw-Konsekutiv.</w:t>
      </w:r>
    </w:p>
    <w:p w14:paraId="176AC4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וְנִסְלַ֥ח לוֹֽ</w:t>
      </w:r>
      <w:r w:rsidRPr="00577688">
        <w:rPr>
          <w:rFonts w:eastAsia="Times New Roman" w:cs="Times New Roman"/>
          <w:rtl/>
          <w:lang w:eastAsia="de-DE"/>
        </w:rPr>
        <w:t xml:space="preserve"> </w:t>
      </w:r>
      <w:r w:rsidRPr="00577688">
        <w:rPr>
          <w:rFonts w:eastAsia="Times New Roman" w:cs="Times New Roman"/>
          <w:lang w:eastAsia="de-DE"/>
        </w:rPr>
        <w:t>(und der Priester soll Sühne für ihn erwirken, und es wird ihm vergeben werden) entspricht exakt V. 26 und zeigt die identische Sühnwirkung unabhängig vom sozialen Rang.</w:t>
      </w:r>
    </w:p>
    <w:p w14:paraId="7607346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כאשר הוסר חלב מעל זבח השלמים</w:t>
      </w:r>
      <w:r w:rsidRPr="00577688">
        <w:rPr>
          <w:rFonts w:eastAsia="Times New Roman" w:cs="Times New Roman"/>
          <w:rtl/>
          <w:lang w:eastAsia="de-DE"/>
        </w:rPr>
        <w:t xml:space="preserve"> </w:t>
      </w:r>
      <w:r w:rsidRPr="00577688">
        <w:rPr>
          <w:rFonts w:eastAsia="Times New Roman" w:cs="Times New Roman"/>
          <w:lang w:eastAsia="de-DE"/>
        </w:rPr>
        <w:t xml:space="preserve">etabliert </w:t>
      </w:r>
      <w:r w:rsidRPr="00577688">
        <w:rPr>
          <w:rFonts w:eastAsia="Times New Roman" w:cs="Times New Roman"/>
          <w:b/>
          <w:bCs/>
          <w:rtl/>
          <w:lang w:eastAsia="de-DE"/>
        </w:rPr>
        <w:t>שלמים</w:t>
      </w:r>
      <w:r w:rsidRPr="00577688">
        <w:rPr>
          <w:rFonts w:eastAsia="Times New Roman" w:cs="Times New Roman"/>
          <w:rtl/>
          <w:lang w:eastAsia="de-DE"/>
        </w:rPr>
        <w:t xml:space="preserve"> </w:t>
      </w:r>
      <w:r w:rsidRPr="00577688">
        <w:rPr>
          <w:rFonts w:eastAsia="Times New Roman" w:cs="Times New Roman"/>
          <w:lang w:eastAsia="de-DE"/>
        </w:rPr>
        <w:t xml:space="preserve">als universellen Referenzpunkt für alle Fettbehandlungen und zeigt die systematische Einheit der Opfergesetze. </w:t>
      </w:r>
      <w:r w:rsidRPr="00577688">
        <w:rPr>
          <w:rFonts w:eastAsia="Times New Roman" w:cs="Times New Roman"/>
          <w:b/>
          <w:bCs/>
          <w:rtl/>
          <w:lang w:eastAsia="de-DE"/>
        </w:rPr>
        <w:t>הוסר</w:t>
      </w:r>
      <w:r w:rsidRPr="00577688">
        <w:rPr>
          <w:rFonts w:eastAsia="Times New Roman" w:cs="Times New Roman"/>
          <w:rtl/>
          <w:lang w:eastAsia="de-DE"/>
        </w:rPr>
        <w:t xml:space="preserve"> </w:t>
      </w:r>
      <w:r w:rsidRPr="00577688">
        <w:rPr>
          <w:rFonts w:eastAsia="Times New Roman" w:cs="Times New Roman"/>
          <w:lang w:eastAsia="de-DE"/>
        </w:rPr>
        <w:t>im Hofal betont die passive, rituelle Entfernung.</w:t>
      </w:r>
    </w:p>
    <w:p w14:paraId="0D7319C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לריח ניחח ליהוה</w:t>
      </w:r>
      <w:r w:rsidRPr="00577688">
        <w:rPr>
          <w:rFonts w:eastAsia="Times New Roman" w:cs="Times New Roman"/>
          <w:rtl/>
          <w:lang w:eastAsia="de-DE"/>
        </w:rPr>
        <w:t xml:space="preserve"> </w:t>
      </w:r>
      <w:r w:rsidRPr="00577688">
        <w:rPr>
          <w:rFonts w:eastAsia="Times New Roman" w:cs="Times New Roman"/>
          <w:lang w:eastAsia="de-DE"/>
        </w:rPr>
        <w:t xml:space="preserve">(zum wohlgefälligen Geruch für JHWH) bei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 xml:space="preserve">aber nicht bei </w:t>
      </w:r>
      <w:r w:rsidRPr="00577688">
        <w:rPr>
          <w:rFonts w:eastAsia="Times New Roman" w:cs="Times New Roman"/>
          <w:b/>
          <w:bCs/>
          <w:rtl/>
          <w:lang w:eastAsia="de-DE"/>
        </w:rPr>
        <w:t>נשיא</w:t>
      </w:r>
      <w:r w:rsidRPr="00577688">
        <w:rPr>
          <w:rFonts w:eastAsia="Times New Roman" w:cs="Times New Roman"/>
          <w:rtl/>
          <w:lang w:eastAsia="de-DE"/>
        </w:rPr>
        <w:t xml:space="preserve"> </w:t>
      </w:r>
      <w:r w:rsidRPr="00577688">
        <w:rPr>
          <w:rFonts w:eastAsia="Times New Roman" w:cs="Times New Roman"/>
          <w:lang w:eastAsia="de-DE"/>
        </w:rPr>
        <w:t>zeigt möglicherweise stilistische Variation oder betont die vollständige gottesdienstliche Akzeptanz auch einfacher Opfer.</w:t>
      </w:r>
    </w:p>
    <w:p w14:paraId="13B1D65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כַּאֲשֶׁ֨ר הוּסַ֣ר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ὃν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τρό</w:t>
      </w:r>
      <w:proofErr w:type="spellEnd"/>
      <w:r w:rsidRPr="00577688">
        <w:rPr>
          <w:rFonts w:eastAsia="Times New Roman" w:cs="Times New Roman"/>
          <w:lang w:eastAsia="de-DE"/>
        </w:rPr>
        <w:t xml:space="preserve">πον </w:t>
      </w:r>
      <w:proofErr w:type="spellStart"/>
      <w:r w:rsidRPr="00577688">
        <w:rPr>
          <w:rFonts w:eastAsia="Times New Roman" w:cs="Times New Roman"/>
          <w:lang w:eastAsia="de-DE"/>
        </w:rPr>
        <w:t>ἀφ</w:t>
      </w:r>
      <w:proofErr w:type="spellEnd"/>
      <w:r w:rsidRPr="00577688">
        <w:rPr>
          <w:rFonts w:eastAsia="Times New Roman" w:cs="Times New Roman"/>
          <w:lang w:eastAsia="de-DE"/>
        </w:rPr>
        <w:t xml:space="preserve">αιρεῖται (in der Weise, wie es weggenommen wird), </w:t>
      </w:r>
      <w:r w:rsidRPr="00577688">
        <w:rPr>
          <w:rFonts w:eastAsia="Times New Roman" w:cs="Times New Roman"/>
          <w:b/>
          <w:bCs/>
          <w:rtl/>
          <w:lang w:eastAsia="de-DE"/>
        </w:rPr>
        <w:t>לְרֵ֥יחַ נִיחֹ֖חַ</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ὀσμὴν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εὐωδί</w:t>
      </w:r>
      <w:proofErr w:type="spellEnd"/>
      <w:r w:rsidRPr="00577688">
        <w:rPr>
          <w:rFonts w:eastAsia="Times New Roman" w:cs="Times New Roman"/>
          <w:lang w:eastAsia="de-DE"/>
        </w:rPr>
        <w:t xml:space="preserve">ας (zu einem Wohlgeruch) und </w:t>
      </w:r>
      <w:r w:rsidRPr="00577688">
        <w:rPr>
          <w:rFonts w:eastAsia="Times New Roman" w:cs="Times New Roman"/>
          <w:b/>
          <w:bCs/>
          <w:rtl/>
          <w:lang w:eastAsia="de-DE"/>
        </w:rPr>
        <w:t>וְכִפֶּ֥ר</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ἐξιλάσετ</w:t>
      </w:r>
      <w:proofErr w:type="spellEnd"/>
      <w:r w:rsidRPr="00577688">
        <w:rPr>
          <w:rFonts w:eastAsia="Times New Roman" w:cs="Times New Roman"/>
          <w:lang w:eastAsia="de-DE"/>
        </w:rPr>
        <w:t>αι (und er soll sühnen).</w:t>
      </w:r>
    </w:p>
    <w:p w14:paraId="2879A88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Hauptsätze: Objekt + Verb + Vergleichssatz // Verb + Subjekt + Adverbialbestimmung + Zweckangabe // Verb + Präpositionalphrase + Subjekt + Verb + Dativobjekt. Die </w:t>
      </w:r>
      <w:r w:rsidRPr="00577688">
        <w:rPr>
          <w:rFonts w:eastAsia="Times New Roman" w:cs="Times New Roman"/>
          <w:b/>
          <w:bCs/>
          <w:rtl/>
          <w:lang w:eastAsia="de-DE"/>
        </w:rPr>
        <w:t>שלמים</w:t>
      </w:r>
      <w:r w:rsidRPr="00577688">
        <w:rPr>
          <w:rFonts w:eastAsia="Times New Roman" w:cs="Times New Roman"/>
          <w:lang w:eastAsia="de-DE"/>
        </w:rPr>
        <w:t xml:space="preserve">-Analogie und </w:t>
      </w:r>
      <w:r w:rsidRPr="00577688">
        <w:rPr>
          <w:rFonts w:eastAsia="Times New Roman" w:cs="Times New Roman"/>
          <w:b/>
          <w:bCs/>
          <w:rtl/>
          <w:lang w:eastAsia="de-DE"/>
        </w:rPr>
        <w:t>כפרה</w:t>
      </w:r>
      <w:r w:rsidRPr="00577688">
        <w:rPr>
          <w:rFonts w:eastAsia="Times New Roman" w:cs="Times New Roman"/>
          <w:lang w:eastAsia="de-DE"/>
        </w:rPr>
        <w:t>-Formel strukturieren den Vers.</w:t>
      </w:r>
    </w:p>
    <w:p w14:paraId="5E42BE0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beschließt die </w:t>
      </w:r>
      <w:r w:rsidRPr="00577688">
        <w:rPr>
          <w:rFonts w:eastAsia="Times New Roman" w:cs="Times New Roman"/>
          <w:b/>
          <w:bCs/>
          <w:rtl/>
          <w:lang w:eastAsia="de-DE"/>
        </w:rPr>
        <w:t>עם הארץ</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mit Ziege und zeigt die identische Sühnwirkung aller </w:t>
      </w:r>
      <w:r w:rsidRPr="00577688">
        <w:rPr>
          <w:rFonts w:eastAsia="Times New Roman" w:cs="Times New Roman"/>
          <w:b/>
          <w:bCs/>
          <w:rtl/>
          <w:lang w:eastAsia="de-DE"/>
        </w:rPr>
        <w:t>חטאת</w:t>
      </w:r>
      <w:r w:rsidRPr="00577688">
        <w:rPr>
          <w:rFonts w:eastAsia="Times New Roman" w:cs="Times New Roman"/>
          <w:lang w:eastAsia="de-DE"/>
        </w:rPr>
        <w:t>-Kategorien trotz unterschiedlicher Opfertiere.</w:t>
      </w:r>
    </w:p>
    <w:p w14:paraId="4180BF80"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4,32</w:t>
      </w:r>
    </w:p>
    <w:p w14:paraId="033F6AB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וְאִם־כֶּ֛בֶשׂ יָבִ֥יא קָרְבָּנֹ֖ו לְחַטָּ֑את נְקֵבָ֥ה תְמִימָ֖ה יְבִיאֶֽנָּה׃</w:t>
      </w:r>
    </w:p>
    <w:p w14:paraId="32EEBB5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er ein Schaf bringt als seine Opfergabe zum Sündopfer, so soll er ein Weibchen ohne Fehl bringen.</w:t>
      </w:r>
    </w:p>
    <w:p w14:paraId="0B94C01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FD79ECB">
          <v:rect id="_x0000_i1106" style="width:0;height:1.5pt" o:hralign="center" o:hrstd="t" o:hr="t" fillcolor="#a0a0a0" stroked="f"/>
        </w:pict>
      </w:r>
    </w:p>
    <w:p w14:paraId="6498E1A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וְאִם־כֶּ֛בֶשׂ יָבִ֥יא קָרְבָּנֹ֖ו לְחַטָּ֑את</w:t>
      </w:r>
      <w:r w:rsidRPr="00577688">
        <w:rPr>
          <w:rFonts w:eastAsia="Times New Roman" w:cs="Times New Roman"/>
          <w:rtl/>
          <w:lang w:eastAsia="de-DE"/>
        </w:rPr>
        <w:t xml:space="preserve"> </w:t>
      </w:r>
      <w:r w:rsidRPr="00577688">
        <w:rPr>
          <w:rFonts w:eastAsia="Times New Roman" w:cs="Times New Roman"/>
          <w:lang w:eastAsia="de-DE"/>
        </w:rPr>
        <w:t xml:space="preserve">(und wenn er ein Schaf als seine Opfergabe zum Sündopfer bringt) führt eine Alternative zur </w:t>
      </w:r>
      <w:r w:rsidRPr="00577688">
        <w:rPr>
          <w:rFonts w:eastAsia="Times New Roman" w:cs="Times New Roman"/>
          <w:b/>
          <w:bCs/>
          <w:rtl/>
          <w:lang w:eastAsia="de-DE"/>
        </w:rPr>
        <w:t>שעירת עזים</w:t>
      </w:r>
      <w:r w:rsidRPr="00577688">
        <w:rPr>
          <w:rFonts w:eastAsia="Times New Roman" w:cs="Times New Roman"/>
          <w:rtl/>
          <w:lang w:eastAsia="de-DE"/>
        </w:rPr>
        <w:t xml:space="preserve"> </w:t>
      </w:r>
      <w:r w:rsidRPr="00577688">
        <w:rPr>
          <w:rFonts w:eastAsia="Times New Roman" w:cs="Times New Roman"/>
          <w:lang w:eastAsia="de-DE"/>
        </w:rPr>
        <w:t xml:space="preserve">(Ziege) ein. </w:t>
      </w:r>
      <w:r w:rsidRPr="00577688">
        <w:rPr>
          <w:rFonts w:eastAsia="Times New Roman" w:cs="Times New Roman"/>
          <w:b/>
          <w:bCs/>
          <w:rtl/>
          <w:lang w:eastAsia="de-DE"/>
        </w:rPr>
        <w:t>כבש</w:t>
      </w:r>
      <w:r w:rsidRPr="00577688">
        <w:rPr>
          <w:rFonts w:eastAsia="Times New Roman" w:cs="Times New Roman"/>
          <w:rtl/>
          <w:lang w:eastAsia="de-DE"/>
        </w:rPr>
        <w:t xml:space="preserve"> </w:t>
      </w:r>
      <w:r w:rsidRPr="00577688">
        <w:rPr>
          <w:rFonts w:eastAsia="Times New Roman" w:cs="Times New Roman"/>
          <w:lang w:eastAsia="de-DE"/>
        </w:rPr>
        <w:t xml:space="preserve">(Schaf) maskulin, aber </w:t>
      </w:r>
      <w:r w:rsidRPr="00577688">
        <w:rPr>
          <w:rFonts w:eastAsia="Times New Roman" w:cs="Times New Roman"/>
          <w:b/>
          <w:bCs/>
          <w:rtl/>
          <w:lang w:eastAsia="de-DE"/>
        </w:rPr>
        <w:t>יביא</w:t>
      </w:r>
      <w:r w:rsidRPr="00577688">
        <w:rPr>
          <w:rFonts w:eastAsia="Times New Roman" w:cs="Times New Roman"/>
          <w:rtl/>
          <w:lang w:eastAsia="de-DE"/>
        </w:rPr>
        <w:t xml:space="preserve"> </w:t>
      </w:r>
      <w:r w:rsidRPr="00577688">
        <w:rPr>
          <w:rFonts w:eastAsia="Times New Roman" w:cs="Times New Roman"/>
          <w:lang w:eastAsia="de-DE"/>
        </w:rPr>
        <w:t xml:space="preserve">(er bringt) im Hifil-Imperfekt 3. Person maskulin Singular,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(zum Sündopfer) als Zweckangabe.</w:t>
      </w:r>
    </w:p>
    <w:p w14:paraId="5816AF12" w14:textId="763D4C5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נְקֵבָ֥ה תְמִימָ֖ה יְבִיאֶֽנָּה</w:t>
      </w:r>
      <w:r w:rsidRPr="00577688">
        <w:rPr>
          <w:rFonts w:eastAsia="Times New Roman" w:cs="Times New Roman"/>
          <w:rtl/>
          <w:lang w:eastAsia="de-DE"/>
        </w:rPr>
        <w:t xml:space="preserve"> </w:t>
      </w:r>
      <w:r w:rsidRPr="00577688">
        <w:rPr>
          <w:rFonts w:eastAsia="Times New Roman" w:cs="Times New Roman"/>
          <w:lang w:eastAsia="de-DE"/>
        </w:rPr>
        <w:t xml:space="preserve">(ein Weibchen, fehlerlos, soll er sie bringen) spezifiziert die Qualität. </w:t>
      </w:r>
      <w:r w:rsidRPr="00577688">
        <w:rPr>
          <w:rFonts w:eastAsia="Times New Roman" w:cs="Times New Roman"/>
          <w:b/>
          <w:bCs/>
          <w:rtl/>
          <w:lang w:eastAsia="de-DE"/>
        </w:rPr>
        <w:t>נקבה</w:t>
      </w:r>
      <w:r w:rsidRPr="00577688">
        <w:rPr>
          <w:rFonts w:eastAsia="Times New Roman" w:cs="Times New Roman"/>
          <w:rtl/>
          <w:lang w:eastAsia="de-DE"/>
        </w:rPr>
        <w:t xml:space="preserve"> </w:t>
      </w:r>
      <w:r w:rsidRPr="00577688">
        <w:rPr>
          <w:rFonts w:eastAsia="Times New Roman" w:cs="Times New Roman"/>
          <w:lang w:eastAsia="de-DE"/>
        </w:rPr>
        <w:t xml:space="preserve">(Weibchen) auch bei </w:t>
      </w:r>
      <w:r w:rsidRPr="00577688">
        <w:rPr>
          <w:rFonts w:eastAsia="Times New Roman" w:cs="Times New Roman"/>
          <w:b/>
          <w:bCs/>
          <w:rtl/>
          <w:lang w:eastAsia="de-DE"/>
        </w:rPr>
        <w:t>כבש</w:t>
      </w:r>
      <w:r w:rsidRPr="00577688">
        <w:rPr>
          <w:rFonts w:eastAsia="Times New Roman" w:cs="Times New Roman"/>
          <w:rtl/>
          <w:lang w:eastAsia="de-DE"/>
        </w:rPr>
        <w:t xml:space="preserve"> </w:t>
      </w:r>
      <w:r w:rsidRPr="00577688">
        <w:rPr>
          <w:rFonts w:eastAsia="Times New Roman" w:cs="Times New Roman"/>
          <w:lang w:eastAsia="de-DE"/>
        </w:rPr>
        <w:t xml:space="preserve">(Schaf), </w:t>
      </w:r>
      <w:r w:rsidRPr="00577688">
        <w:rPr>
          <w:rFonts w:eastAsia="Times New Roman" w:cs="Times New Roman"/>
          <w:b/>
          <w:bCs/>
          <w:rtl/>
          <w:lang w:eastAsia="de-DE"/>
        </w:rPr>
        <w:t>תמימה</w:t>
      </w:r>
      <w:r w:rsidRPr="00577688">
        <w:rPr>
          <w:rFonts w:eastAsia="Times New Roman" w:cs="Times New Roman"/>
          <w:rtl/>
          <w:lang w:eastAsia="de-DE"/>
        </w:rPr>
        <w:t xml:space="preserve"> </w:t>
      </w:r>
      <w:r w:rsidRPr="00577688">
        <w:rPr>
          <w:rFonts w:eastAsia="Times New Roman" w:cs="Times New Roman"/>
          <w:lang w:eastAsia="de-DE"/>
        </w:rPr>
        <w:t xml:space="preserve">(fehlerlos) feminin entsprechend, </w:t>
      </w:r>
      <w:r w:rsidRPr="00577688">
        <w:rPr>
          <w:rFonts w:eastAsia="Times New Roman" w:cs="Times New Roman"/>
          <w:b/>
          <w:bCs/>
          <w:rtl/>
          <w:lang w:eastAsia="de-DE"/>
        </w:rPr>
        <w:t>יביאנה</w:t>
      </w:r>
      <w:r w:rsidRPr="00577688">
        <w:rPr>
          <w:rFonts w:eastAsia="Times New Roman" w:cs="Times New Roman"/>
          <w:rtl/>
          <w:lang w:eastAsia="de-DE"/>
        </w:rPr>
        <w:t xml:space="preserve"> </w:t>
      </w:r>
      <w:r w:rsidRPr="00577688">
        <w:rPr>
          <w:rFonts w:eastAsia="Times New Roman" w:cs="Times New Roman"/>
          <w:lang w:eastAsia="de-DE"/>
        </w:rPr>
        <w:t xml:space="preserve">(er soll sie bringen) mit </w:t>
      </w:r>
      <w:r w:rsidR="00E35C31">
        <w:rPr>
          <w:rFonts w:eastAsia="Times New Roman" w:cs="Times New Roman"/>
          <w:lang w:eastAsia="de-DE"/>
        </w:rPr>
        <w:t>femininem</w:t>
      </w:r>
      <w:r w:rsidRPr="00577688">
        <w:rPr>
          <w:rFonts w:eastAsia="Times New Roman" w:cs="Times New Roman"/>
          <w:lang w:eastAsia="de-DE"/>
        </w:rPr>
        <w:t xml:space="preserve"> Objektsuffix.</w:t>
      </w:r>
    </w:p>
    <w:p w14:paraId="79471DB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כבש</w:t>
      </w:r>
      <w:r w:rsidRPr="00577688">
        <w:rPr>
          <w:rFonts w:eastAsia="Times New Roman" w:cs="Times New Roman"/>
          <w:rtl/>
          <w:lang w:eastAsia="de-DE"/>
        </w:rPr>
        <w:t xml:space="preserve"> </w:t>
      </w:r>
      <w:r w:rsidRPr="00577688">
        <w:rPr>
          <w:rFonts w:eastAsia="Times New Roman" w:cs="Times New Roman"/>
          <w:lang w:eastAsia="de-DE"/>
        </w:rPr>
        <w:t xml:space="preserve">(Schaf) als Alternative zu </w:t>
      </w:r>
      <w:r w:rsidRPr="00577688">
        <w:rPr>
          <w:rFonts w:eastAsia="Times New Roman" w:cs="Times New Roman"/>
          <w:b/>
          <w:bCs/>
          <w:rtl/>
          <w:lang w:eastAsia="de-DE"/>
        </w:rPr>
        <w:t>עז</w:t>
      </w:r>
      <w:r w:rsidRPr="00577688">
        <w:rPr>
          <w:rFonts w:eastAsia="Times New Roman" w:cs="Times New Roman"/>
          <w:rtl/>
          <w:lang w:eastAsia="de-DE"/>
        </w:rPr>
        <w:t xml:space="preserve"> </w:t>
      </w:r>
      <w:r w:rsidRPr="00577688">
        <w:rPr>
          <w:rFonts w:eastAsia="Times New Roman" w:cs="Times New Roman"/>
          <w:lang w:eastAsia="de-DE"/>
        </w:rPr>
        <w:t xml:space="preserve">(Ziege) für </w:t>
      </w:r>
      <w:r w:rsidRPr="00577688">
        <w:rPr>
          <w:rFonts w:eastAsia="Times New Roman" w:cs="Times New Roman"/>
          <w:b/>
          <w:bCs/>
          <w:rtl/>
          <w:lang w:eastAsia="de-DE"/>
        </w:rPr>
        <w:t>עם הארץ</w:t>
      </w:r>
      <w:r w:rsidRPr="00577688">
        <w:rPr>
          <w:rFonts w:eastAsia="Times New Roman" w:cs="Times New Roman"/>
          <w:rtl/>
          <w:lang w:eastAsia="de-DE"/>
        </w:rPr>
        <w:t xml:space="preserve"> </w:t>
      </w:r>
      <w:r w:rsidRPr="00577688">
        <w:rPr>
          <w:rFonts w:eastAsia="Times New Roman" w:cs="Times New Roman"/>
          <w:lang w:eastAsia="de-DE"/>
        </w:rPr>
        <w:t xml:space="preserve">zeigt Flexibilität bei den niedrigsten </w:t>
      </w:r>
      <w:r w:rsidRPr="00577688">
        <w:rPr>
          <w:rFonts w:eastAsia="Times New Roman" w:cs="Times New Roman"/>
          <w:b/>
          <w:bCs/>
          <w:rtl/>
          <w:lang w:eastAsia="de-DE"/>
        </w:rPr>
        <w:t>חטאת</w:t>
      </w:r>
      <w:r w:rsidRPr="00577688">
        <w:rPr>
          <w:rFonts w:eastAsia="Times New Roman" w:cs="Times New Roman"/>
          <w:lang w:eastAsia="de-DE"/>
        </w:rPr>
        <w:t>-Anforderungen. Beide Tierarten sind gleichwertig und kostengünstig verfügbar.</w:t>
      </w:r>
    </w:p>
    <w:p w14:paraId="384C60C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נקבה תמימה</w:t>
      </w:r>
      <w:r w:rsidRPr="00577688">
        <w:rPr>
          <w:rFonts w:eastAsia="Times New Roman" w:cs="Times New Roman"/>
          <w:rtl/>
          <w:lang w:eastAsia="de-DE"/>
        </w:rPr>
        <w:t xml:space="preserve"> </w:t>
      </w:r>
      <w:r w:rsidRPr="00577688">
        <w:rPr>
          <w:rFonts w:eastAsia="Times New Roman" w:cs="Times New Roman"/>
          <w:lang w:eastAsia="de-DE"/>
        </w:rPr>
        <w:t>(weiblich, fehlerlos) entspricht exakt den Ziegen-Bestimmungen und zeigt, dass die Geschlechts- und Qualitätsanforderungen unabhängig von der spezifischen Tierart sind.</w:t>
      </w:r>
    </w:p>
    <w:p w14:paraId="6528B37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כֶּ֛בֶשׂ</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ἀμνόν</w:t>
      </w:r>
      <w:proofErr w:type="spellEnd"/>
      <w:r w:rsidRPr="00577688">
        <w:rPr>
          <w:rFonts w:eastAsia="Times New Roman" w:cs="Times New Roman"/>
          <w:lang w:eastAsia="de-DE"/>
        </w:rPr>
        <w:t xml:space="preserve"> (Lamm), </w:t>
      </w:r>
      <w:r w:rsidRPr="00577688">
        <w:rPr>
          <w:rFonts w:eastAsia="Times New Roman" w:cs="Times New Roman"/>
          <w:b/>
          <w:bCs/>
          <w:rtl/>
          <w:lang w:eastAsia="de-DE"/>
        </w:rPr>
        <w:t>נְקֵבָ֥ה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θήλει</w:t>
      </w:r>
      <w:proofErr w:type="spellEnd"/>
      <w:r w:rsidRPr="00577688">
        <w:rPr>
          <w:rFonts w:eastAsia="Times New Roman" w:cs="Times New Roman"/>
          <w:lang w:eastAsia="de-DE"/>
        </w:rPr>
        <w:t xml:space="preserve">αν (weiblich) und </w:t>
      </w:r>
      <w:r w:rsidRPr="00577688">
        <w:rPr>
          <w:rFonts w:eastAsia="Times New Roman" w:cs="Times New Roman"/>
          <w:b/>
          <w:bCs/>
          <w:rtl/>
          <w:lang w:eastAsia="de-DE"/>
        </w:rPr>
        <w:t>תְמִימָ֖ה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ἄμωμον</w:t>
      </w:r>
      <w:proofErr w:type="spellEnd"/>
      <w:r w:rsidRPr="00577688">
        <w:rPr>
          <w:rFonts w:eastAsia="Times New Roman" w:cs="Times New Roman"/>
          <w:lang w:eastAsia="de-DE"/>
        </w:rPr>
        <w:t xml:space="preserve"> (tadellos).</w:t>
      </w:r>
    </w:p>
    <w:p w14:paraId="6578BC0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Protasis (</w:t>
      </w:r>
      <w:r w:rsidRPr="00577688">
        <w:rPr>
          <w:rFonts w:eastAsia="Times New Roman" w:cs="Times New Roman"/>
          <w:rtl/>
          <w:lang w:eastAsia="de-DE"/>
        </w:rPr>
        <w:t>אִם</w:t>
      </w:r>
      <w:r w:rsidRPr="00577688">
        <w:rPr>
          <w:rFonts w:eastAsia="Times New Roman" w:cs="Times New Roman"/>
          <w:lang w:eastAsia="de-DE"/>
        </w:rPr>
        <w:t xml:space="preserve"> + Objekt + Verb + Objekt + Zweckangabe) → Apodosis (Qualifikationen + Verb + Objekt). Die Struktur entspricht V. 28, aber mit </w:t>
      </w:r>
      <w:r w:rsidRPr="00577688">
        <w:rPr>
          <w:rFonts w:eastAsia="Times New Roman" w:cs="Times New Roman"/>
          <w:b/>
          <w:bCs/>
          <w:rtl/>
          <w:lang w:eastAsia="de-DE"/>
        </w:rPr>
        <w:t>כבש</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שעירת עזים</w:t>
      </w:r>
      <w:r w:rsidRPr="00577688">
        <w:rPr>
          <w:rFonts w:eastAsia="Times New Roman" w:cs="Times New Roman"/>
          <w:lang w:eastAsia="de-DE"/>
        </w:rPr>
        <w:t>.</w:t>
      </w:r>
    </w:p>
    <w:p w14:paraId="63D271C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erweitert die Wahlmöglichkeiten für </w:t>
      </w:r>
      <w:r w:rsidRPr="00577688">
        <w:rPr>
          <w:rFonts w:eastAsia="Times New Roman" w:cs="Times New Roman"/>
          <w:b/>
          <w:bCs/>
          <w:rtl/>
          <w:lang w:eastAsia="de-DE"/>
        </w:rPr>
        <w:t>עם הארץ</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auf Schafe und zeigt die praktische Flexibilität der Opfergesetze für die ärmere Bevölkerung.</w:t>
      </w:r>
    </w:p>
    <w:p w14:paraId="1B637DDE"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4,33</w:t>
      </w:r>
    </w:p>
    <w:p w14:paraId="52E0655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וְסָמַךְ֙ אֶת־יָדֹ֔ו עַ֖ל רֹ֣אשׁ הַֽחַטָּ֑את וְשָׁחַ֤ט אֹתָהּ֙ לְחַטָּ֔את בִּמְק֕וֹם אֲשֶׁ֥ר יִשְׁחַ֖ט אֶת־הָעֹלָֽה׃</w:t>
      </w:r>
    </w:p>
    <w:p w14:paraId="059BD30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seine Hand auf den Kopf des Sündopfers legen und es zum Sündopfer schlachten an dem Ort, wo man das Aufsteigeopfer schlachtet.</w:t>
      </w:r>
    </w:p>
    <w:p w14:paraId="45FC98E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DF3A032">
          <v:rect id="_x0000_i1107" style="width:0;height:1.5pt" o:hralign="center" o:hrstd="t" o:hr="t" fillcolor="#a0a0a0" stroked="f"/>
        </w:pict>
      </w:r>
    </w:p>
    <w:p w14:paraId="0681AC95" w14:textId="070C3B9A"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וְסָמַךְ֙ אֶת־יָדֹ֔ו עַ֖ל רֹ֣אשׁ הַֽחַטָּ֑את</w:t>
      </w:r>
      <w:r w:rsidRPr="00577688">
        <w:rPr>
          <w:rFonts w:eastAsia="Times New Roman" w:cs="Times New Roman"/>
          <w:rtl/>
          <w:lang w:eastAsia="de-DE"/>
        </w:rPr>
        <w:t xml:space="preserve"> </w:t>
      </w:r>
      <w:r w:rsidRPr="00577688">
        <w:rPr>
          <w:rFonts w:eastAsia="Times New Roman" w:cs="Times New Roman"/>
          <w:lang w:eastAsia="de-DE"/>
        </w:rPr>
        <w:t xml:space="preserve">(und er soll seine Hand auf den Kopf des Sündopfers legen) entspricht exakt V. 29. </w:t>
      </w:r>
      <w:r w:rsidRPr="00577688">
        <w:rPr>
          <w:rFonts w:eastAsia="Times New Roman" w:cs="Times New Roman"/>
          <w:b/>
          <w:bCs/>
          <w:rtl/>
          <w:lang w:eastAsia="de-DE"/>
        </w:rPr>
        <w:t>וְשָׁחַ֤ט אֹתָהּ֙ לְחַטָּ֔את</w:t>
      </w:r>
      <w:r w:rsidRPr="00577688">
        <w:rPr>
          <w:rFonts w:eastAsia="Times New Roman" w:cs="Times New Roman"/>
          <w:rtl/>
          <w:lang w:eastAsia="de-DE"/>
        </w:rPr>
        <w:t xml:space="preserve"> </w:t>
      </w:r>
      <w:r w:rsidRPr="00577688">
        <w:rPr>
          <w:rFonts w:eastAsia="Times New Roman" w:cs="Times New Roman"/>
          <w:lang w:eastAsia="de-DE"/>
        </w:rPr>
        <w:t xml:space="preserve">(und er soll es zum Sündopfer schlachten) zeigt </w:t>
      </w:r>
      <w:r w:rsidRPr="00577688">
        <w:rPr>
          <w:rFonts w:eastAsia="Times New Roman" w:cs="Times New Roman"/>
          <w:b/>
          <w:bCs/>
          <w:rtl/>
          <w:lang w:eastAsia="de-DE"/>
        </w:rPr>
        <w:t>שחט</w:t>
      </w:r>
      <w:r w:rsidRPr="00577688">
        <w:rPr>
          <w:rFonts w:eastAsia="Times New Roman" w:cs="Times New Roman"/>
          <w:rtl/>
          <w:lang w:eastAsia="de-DE"/>
        </w:rPr>
        <w:t xml:space="preserve"> </w:t>
      </w:r>
      <w:r w:rsidRPr="00577688">
        <w:rPr>
          <w:rFonts w:eastAsia="Times New Roman" w:cs="Times New Roman"/>
          <w:lang w:eastAsia="de-DE"/>
        </w:rPr>
        <w:t xml:space="preserve">mit </w:t>
      </w:r>
      <w:r w:rsidR="00E35C31">
        <w:rPr>
          <w:rFonts w:eastAsia="Times New Roman" w:cs="Times New Roman"/>
          <w:lang w:eastAsia="de-DE"/>
        </w:rPr>
        <w:t>femininem</w:t>
      </w:r>
      <w:r w:rsidRPr="00577688">
        <w:rPr>
          <w:rFonts w:eastAsia="Times New Roman" w:cs="Times New Roman"/>
          <w:lang w:eastAsia="de-DE"/>
        </w:rPr>
        <w:t xml:space="preserve"> Objektsuffix </w:t>
      </w:r>
      <w:r w:rsidRPr="00577688">
        <w:rPr>
          <w:rFonts w:eastAsia="Times New Roman" w:cs="Times New Roman"/>
          <w:b/>
          <w:bCs/>
          <w:rtl/>
          <w:lang w:eastAsia="de-DE"/>
        </w:rPr>
        <w:t>אתה</w:t>
      </w:r>
      <w:r w:rsidRPr="00577688">
        <w:rPr>
          <w:rFonts w:eastAsia="Times New Roman" w:cs="Times New Roman"/>
          <w:rtl/>
          <w:lang w:eastAsia="de-DE"/>
        </w:rPr>
        <w:t xml:space="preserve"> </w:t>
      </w:r>
      <w:r w:rsidRPr="00577688">
        <w:rPr>
          <w:rFonts w:eastAsia="Times New Roman" w:cs="Times New Roman"/>
          <w:lang w:eastAsia="de-DE"/>
        </w:rPr>
        <w:t xml:space="preserve">(es) und fügt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(zum Sündopfer) als Zweckangabe hinzu.</w:t>
      </w:r>
    </w:p>
    <w:p w14:paraId="37C6967D" w14:textId="731BDDE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בִּמְק֕וֹם אֲשֶׁ֥ר יִשְׁחַ֖ט אֶת־הָעֹלָֽה</w:t>
      </w:r>
      <w:r w:rsidRPr="00577688">
        <w:rPr>
          <w:rFonts w:eastAsia="Times New Roman" w:cs="Times New Roman"/>
          <w:rtl/>
          <w:lang w:eastAsia="de-DE"/>
        </w:rPr>
        <w:t xml:space="preserve"> </w:t>
      </w:r>
      <w:r w:rsidRPr="00577688">
        <w:rPr>
          <w:rFonts w:eastAsia="Times New Roman" w:cs="Times New Roman"/>
          <w:lang w:eastAsia="de-DE"/>
        </w:rPr>
        <w:t xml:space="preserve">(an dem Ort, wo man das </w:t>
      </w:r>
      <w:r w:rsidR="00CF10E7">
        <w:rPr>
          <w:rFonts w:eastAsia="Times New Roman" w:cs="Times New Roman"/>
          <w:lang w:eastAsia="de-DE"/>
        </w:rPr>
        <w:t>Aufsteigeopfer</w:t>
      </w:r>
      <w:r w:rsidRPr="00577688">
        <w:rPr>
          <w:rFonts w:eastAsia="Times New Roman" w:cs="Times New Roman"/>
          <w:lang w:eastAsia="de-DE"/>
        </w:rPr>
        <w:t xml:space="preserve"> schlachtet) entspricht V. 24 (</w:t>
      </w:r>
      <w:r w:rsidRPr="00577688">
        <w:rPr>
          <w:rFonts w:eastAsia="Times New Roman" w:cs="Times New Roman"/>
          <w:b/>
          <w:bCs/>
          <w:rtl/>
          <w:lang w:eastAsia="de-DE"/>
        </w:rPr>
        <w:t>נשיא</w:t>
      </w:r>
      <w:r w:rsidRPr="00577688">
        <w:rPr>
          <w:rFonts w:eastAsia="Times New Roman" w:cs="Times New Roman"/>
          <w:lang w:eastAsia="de-DE"/>
        </w:rPr>
        <w:t xml:space="preserve">) und ist ausführlicher als </w:t>
      </w:r>
      <w:r w:rsidRPr="00577688">
        <w:rPr>
          <w:rFonts w:eastAsia="Times New Roman" w:cs="Times New Roman"/>
          <w:b/>
          <w:bCs/>
          <w:rtl/>
          <w:lang w:eastAsia="de-DE"/>
        </w:rPr>
        <w:t>במקום העלה</w:t>
      </w:r>
      <w:r w:rsidRPr="00577688">
        <w:rPr>
          <w:rFonts w:eastAsia="Times New Roman" w:cs="Times New Roman"/>
          <w:rtl/>
          <w:lang w:eastAsia="de-DE"/>
        </w:rPr>
        <w:t xml:space="preserve"> </w:t>
      </w:r>
      <w:r w:rsidRPr="00577688">
        <w:rPr>
          <w:rFonts w:eastAsia="Times New Roman" w:cs="Times New Roman"/>
          <w:lang w:eastAsia="de-DE"/>
        </w:rPr>
        <w:t xml:space="preserve">in V. 29. </w:t>
      </w:r>
      <w:r w:rsidRPr="00577688">
        <w:rPr>
          <w:rFonts w:eastAsia="Times New Roman" w:cs="Times New Roman"/>
          <w:b/>
          <w:bCs/>
          <w:rtl/>
          <w:lang w:eastAsia="de-DE"/>
        </w:rPr>
        <w:t>במקום אשר</w:t>
      </w:r>
      <w:r w:rsidRPr="00577688">
        <w:rPr>
          <w:rFonts w:eastAsia="Times New Roman" w:cs="Times New Roman"/>
          <w:rtl/>
          <w:lang w:eastAsia="de-DE"/>
        </w:rPr>
        <w:t xml:space="preserve"> </w:t>
      </w:r>
      <w:r w:rsidRPr="00577688">
        <w:rPr>
          <w:rFonts w:eastAsia="Times New Roman" w:cs="Times New Roman"/>
          <w:lang w:eastAsia="de-DE"/>
        </w:rPr>
        <w:t xml:space="preserve">(an dem Ort, wo) mit Relativsatz, </w:t>
      </w:r>
      <w:r w:rsidRPr="00577688">
        <w:rPr>
          <w:rFonts w:eastAsia="Times New Roman" w:cs="Times New Roman"/>
          <w:b/>
          <w:bCs/>
          <w:rtl/>
          <w:lang w:eastAsia="de-DE"/>
        </w:rPr>
        <w:t>ישחט</w:t>
      </w:r>
      <w:r w:rsidRPr="00577688">
        <w:rPr>
          <w:rFonts w:eastAsia="Times New Roman" w:cs="Times New Roman"/>
          <w:rtl/>
          <w:lang w:eastAsia="de-DE"/>
        </w:rPr>
        <w:t xml:space="preserve"> </w:t>
      </w:r>
      <w:r w:rsidRPr="00577688">
        <w:rPr>
          <w:rFonts w:eastAsia="Times New Roman" w:cs="Times New Roman"/>
          <w:lang w:eastAsia="de-DE"/>
        </w:rPr>
        <w:t>(man schlachtet) unpersönlich.</w:t>
      </w:r>
    </w:p>
    <w:p w14:paraId="58880264" w14:textId="593D5C85"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אתה לחטאת</w:t>
      </w:r>
      <w:r w:rsidRPr="00577688">
        <w:rPr>
          <w:rFonts w:eastAsia="Times New Roman" w:cs="Times New Roman"/>
          <w:rtl/>
          <w:lang w:eastAsia="de-DE"/>
        </w:rPr>
        <w:t xml:space="preserve"> </w:t>
      </w:r>
      <w:r w:rsidRPr="00577688">
        <w:rPr>
          <w:rFonts w:eastAsia="Times New Roman" w:cs="Times New Roman"/>
          <w:lang w:eastAsia="de-DE"/>
        </w:rPr>
        <w:t xml:space="preserve">(es zum Sündopfer) mit </w:t>
      </w:r>
      <w:r w:rsidR="00E35C31">
        <w:rPr>
          <w:rFonts w:eastAsia="Times New Roman" w:cs="Times New Roman"/>
          <w:lang w:eastAsia="de-DE"/>
        </w:rPr>
        <w:t>femininem</w:t>
      </w:r>
      <w:r w:rsidRPr="00577688">
        <w:rPr>
          <w:rFonts w:eastAsia="Times New Roman" w:cs="Times New Roman"/>
          <w:lang w:eastAsia="de-DE"/>
        </w:rPr>
        <w:t xml:space="preserve"> Suffix und expliziter Zweckangabe betont die kultische Klassifikation des Schlachtaktes.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 xml:space="preserve">verdeutlicht, dass die Schlachtung spezifisch als </w:t>
      </w:r>
      <w:r w:rsidRPr="00577688">
        <w:rPr>
          <w:rFonts w:eastAsia="Times New Roman" w:cs="Times New Roman"/>
          <w:b/>
          <w:bCs/>
          <w:rtl/>
          <w:lang w:eastAsia="de-DE"/>
        </w:rPr>
        <w:t>חטאת</w:t>
      </w:r>
      <w:r w:rsidRPr="00577688">
        <w:rPr>
          <w:rFonts w:eastAsia="Times New Roman" w:cs="Times New Roman"/>
          <w:lang w:eastAsia="de-DE"/>
        </w:rPr>
        <w:t>-Ritual erfolgt.</w:t>
      </w:r>
    </w:p>
    <w:p w14:paraId="74D08D0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 Variation zwischen V. 29 (</w:t>
      </w:r>
      <w:r w:rsidRPr="00577688">
        <w:rPr>
          <w:rFonts w:eastAsia="Times New Roman" w:cs="Times New Roman"/>
          <w:b/>
          <w:bCs/>
          <w:rtl/>
          <w:lang w:eastAsia="de-DE"/>
        </w:rPr>
        <w:t>במקום העלה</w:t>
      </w:r>
      <w:r w:rsidRPr="00577688">
        <w:rPr>
          <w:rFonts w:eastAsia="Times New Roman" w:cs="Times New Roman"/>
          <w:lang w:eastAsia="de-DE"/>
        </w:rPr>
        <w:t>) und V. 33 (</w:t>
      </w:r>
      <w:r w:rsidRPr="00577688">
        <w:rPr>
          <w:rFonts w:eastAsia="Times New Roman" w:cs="Times New Roman"/>
          <w:b/>
          <w:bCs/>
          <w:rtl/>
          <w:lang w:eastAsia="de-DE"/>
        </w:rPr>
        <w:t>במקום אשר ישחט את־העלה</w:t>
      </w:r>
      <w:r w:rsidRPr="00577688">
        <w:rPr>
          <w:rFonts w:eastAsia="Times New Roman" w:cs="Times New Roman"/>
          <w:lang w:eastAsia="de-DE"/>
        </w:rPr>
        <w:t>) zeigt stilistische Flexibilität bei identischem Inhalt. Die ausführlichere Formulierung bei Schaf-</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entspricht möglicherweise der Behandlung in V. 24.</w:t>
      </w:r>
    </w:p>
    <w:p w14:paraId="7FBED8B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אֹתָהּ֙</w:t>
      </w:r>
      <w:r w:rsidRPr="00577688">
        <w:rPr>
          <w:rFonts w:eastAsia="Times New Roman" w:cs="Times New Roman"/>
          <w:rtl/>
          <w:lang w:eastAsia="de-DE"/>
        </w:rPr>
        <w:t xml:space="preserve"> </w:t>
      </w:r>
      <w:r w:rsidRPr="00577688">
        <w:rPr>
          <w:rFonts w:eastAsia="Times New Roman" w:cs="Times New Roman"/>
          <w:lang w:eastAsia="de-DE"/>
        </w:rPr>
        <w:t>mit α</w:t>
      </w:r>
      <w:proofErr w:type="spellStart"/>
      <w:r w:rsidRPr="00577688">
        <w:rPr>
          <w:rFonts w:eastAsia="Times New Roman" w:cs="Times New Roman"/>
          <w:lang w:eastAsia="de-DE"/>
        </w:rPr>
        <w:t>ὐτό</w:t>
      </w:r>
      <w:proofErr w:type="spellEnd"/>
      <w:r w:rsidRPr="00577688">
        <w:rPr>
          <w:rFonts w:eastAsia="Times New Roman" w:cs="Times New Roman"/>
          <w:lang w:eastAsia="de-DE"/>
        </w:rPr>
        <w:t xml:space="preserve"> (es),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αρτίαν (zur Sünde) und </w:t>
      </w:r>
      <w:r w:rsidRPr="00577688">
        <w:rPr>
          <w:rFonts w:eastAsia="Times New Roman" w:cs="Times New Roman"/>
          <w:b/>
          <w:bCs/>
          <w:rtl/>
          <w:lang w:eastAsia="de-DE"/>
        </w:rPr>
        <w:t>בִּמְק֕וֹם אֲשֶׁ֥ר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τό</w:t>
      </w:r>
      <w:proofErr w:type="spellEnd"/>
      <w:r w:rsidRPr="00577688">
        <w:rPr>
          <w:rFonts w:eastAsia="Times New Roman" w:cs="Times New Roman"/>
          <w:lang w:eastAsia="de-DE"/>
        </w:rPr>
        <w:t xml:space="preserve">πῳ </w:t>
      </w:r>
      <w:proofErr w:type="spellStart"/>
      <w:r w:rsidRPr="00577688">
        <w:rPr>
          <w:rFonts w:eastAsia="Times New Roman" w:cs="Times New Roman"/>
          <w:lang w:eastAsia="de-DE"/>
        </w:rPr>
        <w:t>οὗ</w:t>
      </w:r>
      <w:proofErr w:type="spellEnd"/>
      <w:r w:rsidRPr="00577688">
        <w:rPr>
          <w:rFonts w:eastAsia="Times New Roman" w:cs="Times New Roman"/>
          <w:lang w:eastAsia="de-DE"/>
        </w:rPr>
        <w:t xml:space="preserve"> (an dem Ort, wo).</w:t>
      </w:r>
    </w:p>
    <w:p w14:paraId="578D1E3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Satzstruktur:</w:t>
      </w:r>
      <w:r w:rsidRPr="00577688">
        <w:rPr>
          <w:rFonts w:eastAsia="Times New Roman" w:cs="Times New Roman"/>
          <w:lang w:eastAsia="de-DE"/>
        </w:rPr>
        <w:t xml:space="preserve"> zeigt zwei koordinierte Hauptsätze: Verb + Objekt + Präpositionalphrase // Verb + Objekt + Zweckangabe + komplexe Ortsangabe mit Relativsatz. Die Struktur entspricht V. 24 und ist ausführlicher als V. 29.</w:t>
      </w:r>
    </w:p>
    <w:p w14:paraId="5BCD7BF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die identische </w:t>
      </w:r>
      <w:r w:rsidRPr="00577688">
        <w:rPr>
          <w:rFonts w:eastAsia="Times New Roman" w:cs="Times New Roman"/>
          <w:b/>
          <w:bCs/>
          <w:rtl/>
          <w:lang w:eastAsia="de-DE"/>
        </w:rPr>
        <w:t>סמיכה</w:t>
      </w:r>
      <w:r w:rsidRPr="00577688">
        <w:rPr>
          <w:rFonts w:eastAsia="Times New Roman" w:cs="Times New Roman"/>
          <w:rtl/>
          <w:lang w:eastAsia="de-DE"/>
        </w:rPr>
        <w:t xml:space="preserve"> </w:t>
      </w:r>
      <w:r w:rsidRPr="00577688">
        <w:rPr>
          <w:rFonts w:eastAsia="Times New Roman" w:cs="Times New Roman"/>
          <w:lang w:eastAsia="de-DE"/>
        </w:rPr>
        <w:t>und Schlachtung für Schaf-</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wie bei anderen </w:t>
      </w:r>
      <w:r w:rsidRPr="00577688">
        <w:rPr>
          <w:rFonts w:eastAsia="Times New Roman" w:cs="Times New Roman"/>
          <w:b/>
          <w:bCs/>
          <w:rtl/>
          <w:lang w:eastAsia="de-DE"/>
        </w:rPr>
        <w:t>עם הארץ</w:t>
      </w:r>
      <w:r w:rsidRPr="00577688">
        <w:rPr>
          <w:rFonts w:eastAsia="Times New Roman" w:cs="Times New Roman"/>
          <w:lang w:eastAsia="de-DE"/>
        </w:rPr>
        <w:t>-Opfern am Standard-Opferplatz.</w:t>
      </w:r>
    </w:p>
    <w:p w14:paraId="751AD92C"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4,34</w:t>
      </w:r>
    </w:p>
    <w:p w14:paraId="220A70A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וְלָקַ֨ח הַכֹּהֵ֜ן מִדַּ֤ם הַֽחַטָּאת֙ בְּאֶצְבָּעֹ֔ו וְנָתַ֕ן עַל־קַרְנֹ֖ת מִזְבַּ֣ח הָעֹלָ֑ה וְאֶת־כָּל־דָּמָ֣הּ יִשְׁפֹּ֔ךְ אֶל־יְס֖וֹד הַמִּזְבֵּֽחַ׃</w:t>
      </w:r>
    </w:p>
    <w:p w14:paraId="058FD63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von dem Blut des Sündopfers mit seinem Finger nehmen und es an die Hörner des Aufsteigeopferaltars tun; und all sein Blut soll er an den Fuß des Altars gießen.</w:t>
      </w:r>
    </w:p>
    <w:p w14:paraId="7A1A9E66"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6557ED3">
          <v:rect id="_x0000_i1108" style="width:0;height:1.5pt" o:hralign="center" o:hrstd="t" o:hr="t" fillcolor="#a0a0a0" stroked="f"/>
        </w:pict>
      </w:r>
    </w:p>
    <w:p w14:paraId="6A3BB0C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Dieser Vers entspricht fast exakt V. 30 mit geringfügigen grammatischen Anpassungen. </w:t>
      </w:r>
      <w:r w:rsidRPr="00577688">
        <w:rPr>
          <w:rFonts w:eastAsia="Times New Roman" w:cs="Times New Roman"/>
          <w:b/>
          <w:bCs/>
          <w:rtl/>
          <w:lang w:eastAsia="de-DE"/>
        </w:rPr>
        <w:t>וְלָקַ֨ח הַכֹּהֵ֜ן מִדַּ֤ם הַֽחַטָּאת֙ בְּאֶצְבָּעֹ֔ו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von dem Blut des Sündopfers mit seinem Finger nehmen) zeigt </w:t>
      </w: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(vom Blut des Sündopfers) statt </w:t>
      </w:r>
      <w:r w:rsidRPr="00577688">
        <w:rPr>
          <w:rFonts w:eastAsia="Times New Roman" w:cs="Times New Roman"/>
          <w:b/>
          <w:bCs/>
          <w:rtl/>
          <w:lang w:eastAsia="de-DE"/>
        </w:rPr>
        <w:t>מדמה</w:t>
      </w:r>
      <w:r w:rsidRPr="00577688">
        <w:rPr>
          <w:rFonts w:eastAsia="Times New Roman" w:cs="Times New Roman"/>
          <w:rtl/>
          <w:lang w:eastAsia="de-DE"/>
        </w:rPr>
        <w:t xml:space="preserve"> </w:t>
      </w:r>
      <w:r w:rsidRPr="00577688">
        <w:rPr>
          <w:rFonts w:eastAsia="Times New Roman" w:cs="Times New Roman"/>
          <w:lang w:eastAsia="de-DE"/>
        </w:rPr>
        <w:t>(von ihrem Blut).</w:t>
      </w:r>
    </w:p>
    <w:p w14:paraId="0EF8C624" w14:textId="4F3AC412"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וְנָתַ֕ן עַל־קַרְנֹ֖ת מִזְבַּ֣ח הָעֹלָ֑ה</w:t>
      </w:r>
      <w:r w:rsidRPr="00577688">
        <w:rPr>
          <w:rFonts w:eastAsia="Times New Roman" w:cs="Times New Roman"/>
          <w:rtl/>
          <w:lang w:eastAsia="de-DE"/>
        </w:rPr>
        <w:t xml:space="preserve"> </w:t>
      </w:r>
      <w:r w:rsidRPr="00577688">
        <w:rPr>
          <w:rFonts w:eastAsia="Times New Roman" w:cs="Times New Roman"/>
          <w:lang w:eastAsia="de-DE"/>
        </w:rPr>
        <w:t xml:space="preserve">(und er soll an die Hörner des </w:t>
      </w:r>
      <w:r w:rsidR="00CF10E7">
        <w:rPr>
          <w:rFonts w:eastAsia="Times New Roman" w:cs="Times New Roman"/>
          <w:lang w:eastAsia="de-DE"/>
        </w:rPr>
        <w:t>Aufsteigeopfer</w:t>
      </w:r>
      <w:r w:rsidRPr="00577688">
        <w:rPr>
          <w:rFonts w:eastAsia="Times New Roman" w:cs="Times New Roman"/>
          <w:lang w:eastAsia="de-DE"/>
        </w:rPr>
        <w:t xml:space="preserve">altars setzen) entspricht exakt V. 25 und 30. </w:t>
      </w:r>
      <w:r w:rsidRPr="00577688">
        <w:rPr>
          <w:rFonts w:eastAsia="Times New Roman" w:cs="Times New Roman"/>
          <w:b/>
          <w:bCs/>
          <w:rtl/>
          <w:lang w:eastAsia="de-DE"/>
        </w:rPr>
        <w:t>וְאֶת־כָּל־דָּמָ֣הּ יִשְׁפֹּ֔ךְ אֶל־יְס֖וֹד הַמִּזְבֵּֽחַ</w:t>
      </w:r>
      <w:r w:rsidRPr="00577688">
        <w:rPr>
          <w:rFonts w:eastAsia="Times New Roman" w:cs="Times New Roman"/>
          <w:rtl/>
          <w:lang w:eastAsia="de-DE"/>
        </w:rPr>
        <w:t xml:space="preserve"> </w:t>
      </w:r>
      <w:r w:rsidRPr="00577688">
        <w:rPr>
          <w:rFonts w:eastAsia="Times New Roman" w:cs="Times New Roman"/>
          <w:lang w:eastAsia="de-DE"/>
        </w:rPr>
        <w:t xml:space="preserve">(und all ihr Blut soll er an den Fuß des Altars gießen) zeigt </w:t>
      </w:r>
      <w:r w:rsidRPr="00577688">
        <w:rPr>
          <w:rFonts w:eastAsia="Times New Roman" w:cs="Times New Roman"/>
          <w:b/>
          <w:bCs/>
          <w:rtl/>
          <w:lang w:eastAsia="de-DE"/>
        </w:rPr>
        <w:t>דמה</w:t>
      </w:r>
      <w:r w:rsidRPr="00577688">
        <w:rPr>
          <w:rFonts w:eastAsia="Times New Roman" w:cs="Times New Roman"/>
          <w:rtl/>
          <w:lang w:eastAsia="de-DE"/>
        </w:rPr>
        <w:t xml:space="preserve"> </w:t>
      </w:r>
      <w:r w:rsidRPr="00577688">
        <w:rPr>
          <w:rFonts w:eastAsia="Times New Roman" w:cs="Times New Roman"/>
          <w:lang w:eastAsia="de-DE"/>
        </w:rPr>
        <w:t xml:space="preserve">(ihr Blut) mit </w:t>
      </w:r>
      <w:r w:rsidR="00E35C31">
        <w:rPr>
          <w:rFonts w:eastAsia="Times New Roman" w:cs="Times New Roman"/>
          <w:lang w:eastAsia="de-DE"/>
        </w:rPr>
        <w:t>femininem</w:t>
      </w:r>
      <w:r w:rsidRPr="00577688">
        <w:rPr>
          <w:rFonts w:eastAsia="Times New Roman" w:cs="Times New Roman"/>
          <w:lang w:eastAsia="de-DE"/>
        </w:rPr>
        <w:t xml:space="preserve"> Suffix, </w:t>
      </w: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xml:space="preserve">(der Altar) statt </w:t>
      </w:r>
      <w:r w:rsidRPr="00577688">
        <w:rPr>
          <w:rFonts w:eastAsia="Times New Roman" w:cs="Times New Roman"/>
          <w:b/>
          <w:bCs/>
          <w:rtl/>
          <w:lang w:eastAsia="de-DE"/>
        </w:rPr>
        <w:t>מזבח העלה</w:t>
      </w:r>
      <w:r w:rsidRPr="00577688">
        <w:rPr>
          <w:rFonts w:eastAsia="Times New Roman" w:cs="Times New Roman"/>
          <w:lang w:eastAsia="de-DE"/>
        </w:rPr>
        <w:t>.</w:t>
      </w:r>
    </w:p>
    <w:p w14:paraId="78D60760" w14:textId="7B3960BE"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(vom Blut des Sündopfers) statt </w:t>
      </w:r>
      <w:r w:rsidRPr="00577688">
        <w:rPr>
          <w:rFonts w:eastAsia="Times New Roman" w:cs="Times New Roman"/>
          <w:b/>
          <w:bCs/>
          <w:rtl/>
          <w:lang w:eastAsia="de-DE"/>
        </w:rPr>
        <w:t>מדמה</w:t>
      </w:r>
      <w:r w:rsidRPr="00577688">
        <w:rPr>
          <w:rFonts w:eastAsia="Times New Roman" w:cs="Times New Roman"/>
          <w:rtl/>
          <w:lang w:eastAsia="de-DE"/>
        </w:rPr>
        <w:t xml:space="preserve"> </w:t>
      </w:r>
      <w:r w:rsidRPr="00577688">
        <w:rPr>
          <w:rFonts w:eastAsia="Times New Roman" w:cs="Times New Roman"/>
          <w:lang w:eastAsia="de-DE"/>
        </w:rPr>
        <w:t xml:space="preserve">(von ihrem Blut) zeigt Variation zwischen direkter Tierbezugnahme und funktionaler Klassifikation. </w:t>
      </w:r>
      <w:r w:rsidRPr="00577688">
        <w:rPr>
          <w:rFonts w:eastAsia="Times New Roman" w:cs="Times New Roman"/>
          <w:b/>
          <w:bCs/>
          <w:rtl/>
          <w:lang w:eastAsia="de-DE"/>
        </w:rPr>
        <w:t>דמה</w:t>
      </w:r>
      <w:r w:rsidRPr="00577688">
        <w:rPr>
          <w:rFonts w:eastAsia="Times New Roman" w:cs="Times New Roman"/>
          <w:rtl/>
          <w:lang w:eastAsia="de-DE"/>
        </w:rPr>
        <w:t xml:space="preserve"> </w:t>
      </w:r>
      <w:r w:rsidRPr="00577688">
        <w:rPr>
          <w:rFonts w:eastAsia="Times New Roman" w:cs="Times New Roman"/>
          <w:lang w:eastAsia="de-DE"/>
        </w:rPr>
        <w:t xml:space="preserve">(ihr Blut) mit </w:t>
      </w:r>
      <w:r w:rsidR="00E35C31">
        <w:rPr>
          <w:rFonts w:eastAsia="Times New Roman" w:cs="Times New Roman"/>
          <w:lang w:eastAsia="de-DE"/>
        </w:rPr>
        <w:t>femininem</w:t>
      </w:r>
      <w:r w:rsidRPr="00577688">
        <w:rPr>
          <w:rFonts w:eastAsia="Times New Roman" w:cs="Times New Roman"/>
          <w:lang w:eastAsia="de-DE"/>
        </w:rPr>
        <w:t xml:space="preserve"> Suffix bezieht sich auf das weibliche Schaf.</w:t>
      </w:r>
    </w:p>
    <w:p w14:paraId="45E5E5D6" w14:textId="120DBEAA"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 Mischung aus spezifischen (</w:t>
      </w:r>
      <w:r w:rsidRPr="00577688">
        <w:rPr>
          <w:rFonts w:eastAsia="Times New Roman" w:cs="Times New Roman"/>
          <w:b/>
          <w:bCs/>
          <w:rtl/>
          <w:lang w:eastAsia="de-DE"/>
        </w:rPr>
        <w:t>מזבח העלה</w:t>
      </w:r>
      <w:r w:rsidRPr="00577688">
        <w:rPr>
          <w:rFonts w:eastAsia="Times New Roman" w:cs="Times New Roman"/>
          <w:rtl/>
          <w:lang w:eastAsia="de-DE"/>
        </w:rPr>
        <w:t xml:space="preserve"> </w:t>
      </w:r>
      <w:r w:rsidRPr="00577688">
        <w:rPr>
          <w:rFonts w:eastAsia="Times New Roman" w:cs="Times New Roman"/>
          <w:lang w:eastAsia="de-DE"/>
        </w:rPr>
        <w:t xml:space="preserve">- </w:t>
      </w:r>
      <w:r w:rsidR="00CF10E7">
        <w:rPr>
          <w:rFonts w:eastAsia="Times New Roman" w:cs="Times New Roman"/>
          <w:lang w:eastAsia="de-DE"/>
        </w:rPr>
        <w:t>Aufsteigeopfer</w:t>
      </w:r>
      <w:r w:rsidRPr="00577688">
        <w:rPr>
          <w:rFonts w:eastAsia="Times New Roman" w:cs="Times New Roman"/>
          <w:lang w:eastAsia="de-DE"/>
        </w:rPr>
        <w:t>altar) und allgemeinen (</w:t>
      </w:r>
      <w:r w:rsidRPr="00577688">
        <w:rPr>
          <w:rFonts w:eastAsia="Times New Roman" w:cs="Times New Roman"/>
          <w:b/>
          <w:bCs/>
          <w:rtl/>
          <w:lang w:eastAsia="de-DE"/>
        </w:rPr>
        <w:t>המזבח</w:t>
      </w:r>
      <w:r w:rsidRPr="00577688">
        <w:rPr>
          <w:rFonts w:eastAsia="Times New Roman" w:cs="Times New Roman"/>
          <w:rtl/>
          <w:lang w:eastAsia="de-DE"/>
        </w:rPr>
        <w:t xml:space="preserve"> </w:t>
      </w:r>
      <w:r w:rsidRPr="00577688">
        <w:rPr>
          <w:rFonts w:eastAsia="Times New Roman" w:cs="Times New Roman"/>
          <w:lang w:eastAsia="de-DE"/>
        </w:rPr>
        <w:t>- der Altar) Bezeichnungen zeigt stilistische Flexibilität bei eindeutigem Kontext.</w:t>
      </w:r>
    </w:p>
    <w:p w14:paraId="1FAF153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mit ἀπὸ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ἵμ</w:t>
      </w:r>
      <w:proofErr w:type="spellEnd"/>
      <w:r w:rsidRPr="00577688">
        <w:rPr>
          <w:rFonts w:eastAsia="Times New Roman" w:cs="Times New Roman"/>
          <w:lang w:eastAsia="de-DE"/>
        </w:rPr>
        <w:t xml:space="preserve">ατος </w:t>
      </w:r>
      <w:proofErr w:type="spellStart"/>
      <w:r w:rsidRPr="00577688">
        <w:rPr>
          <w:rFonts w:eastAsia="Times New Roman" w:cs="Times New Roman"/>
          <w:lang w:eastAsia="de-DE"/>
        </w:rPr>
        <w:t>τῆς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αρτίας (vom Blut der Sünde) und zeigt die funktionale Klassifikation des Blutes.</w:t>
      </w:r>
    </w:p>
    <w:p w14:paraId="1ACE9E7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25 und 30: zwei koordinierte Hauptsätze mit identischem Blutverfahren am Außenaltar. Die grammatischen Variationen zeigen die lebendige Flexibilität der Gesetzessprache.</w:t>
      </w:r>
    </w:p>
    <w:p w14:paraId="03A2759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bestätigt das identische Blutverfahren für Schaf-</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wie für Ziegen-</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und alle anderen </w:t>
      </w:r>
      <w:r w:rsidRPr="00577688">
        <w:rPr>
          <w:rFonts w:eastAsia="Times New Roman" w:cs="Times New Roman"/>
          <w:b/>
          <w:bCs/>
          <w:rtl/>
          <w:lang w:eastAsia="de-DE"/>
        </w:rPr>
        <w:t>עם הארץ</w:t>
      </w:r>
      <w:r w:rsidRPr="00577688">
        <w:rPr>
          <w:rFonts w:eastAsia="Times New Roman" w:cs="Times New Roman"/>
          <w:lang w:eastAsia="de-DE"/>
        </w:rPr>
        <w:t>-Opfer.</w:t>
      </w:r>
    </w:p>
    <w:p w14:paraId="0A857EA5"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4,35</w:t>
      </w:r>
    </w:p>
    <w:p w14:paraId="3E58252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וְאֶת־כָּל־חֶלְבָּ֣ה יָסִ֗יר כַּאֲשֶׁ֨ר יוּסַ֥ר חֵֽלֶב־הַכֶּשֶׂב֮ מִזֶּ֣בַח הַשְּׁלָמִים֒ וְהִקְטִ֨יר הַכֹּהֵ֤ן אֹתָם֙ הַמִּזְבֵּ֔חָה עַ֖ל אִשֵּׁ֣י יְהוָ֑ה וְכִפֶּ֨ר עָלָ֧יו הַכֹּהֵ֛ן עַל־חַטָּאתוֹ֥ אֲשֶׁר־חָטָ֖א וְנִסְלַ֥ח לוֹֽ׃</w:t>
      </w:r>
    </w:p>
    <w:p w14:paraId="56973A1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Deutsch:</w:t>
      </w:r>
      <w:r w:rsidRPr="00577688">
        <w:rPr>
          <w:rFonts w:eastAsia="Times New Roman" w:cs="Times New Roman"/>
          <w:lang w:eastAsia="de-DE"/>
        </w:rPr>
        <w:t xml:space="preserve"> Und all sein Fett soll er abtrennen, so wie das Fett des Schafes von dem Friedensopfer abgetrennt wird; und der Priester soll es auf dem Altar räuchern, auf den Feueropfern des Ewigen. Und so soll der Priester Sühne für ihn wegen seiner Sünde, die er begangen hat, erwirken, und es wird ihm vergeben werden.</w:t>
      </w:r>
    </w:p>
    <w:p w14:paraId="029D53A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8EF2444">
          <v:rect id="_x0000_i1109" style="width:0;height:1.5pt" o:hralign="center" o:hrstd="t" o:hr="t" fillcolor="#a0a0a0" stroked="f"/>
        </w:pict>
      </w:r>
    </w:p>
    <w:p w14:paraId="689F4E2A" w14:textId="4FA46F26"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וְאֶת־כָּל־חֶלְבָּ֣ה יָסִ֗יר כַּאֲשֶׁ֨ר יוּסַ֥ר חֵֽלֶב־הַכֶּשֶׂב֮ מִזֶּ֣בַח הַשְּׁלָמִים֒</w:t>
      </w:r>
      <w:r w:rsidRPr="00577688">
        <w:rPr>
          <w:rFonts w:eastAsia="Times New Roman" w:cs="Times New Roman"/>
          <w:rtl/>
          <w:lang w:eastAsia="de-DE"/>
        </w:rPr>
        <w:t xml:space="preserve"> </w:t>
      </w:r>
      <w:r w:rsidRPr="00577688">
        <w:rPr>
          <w:rFonts w:eastAsia="Times New Roman" w:cs="Times New Roman"/>
          <w:lang w:eastAsia="de-DE"/>
        </w:rPr>
        <w:t xml:space="preserve">(und all ihr Fett soll er abtrennen, wie das Fett des Schafes vom Friedensopfer abgetrennt wird) spezifiziert </w:t>
      </w:r>
      <w:r w:rsidRPr="00577688">
        <w:rPr>
          <w:rFonts w:eastAsia="Times New Roman" w:cs="Times New Roman"/>
          <w:b/>
          <w:bCs/>
          <w:rtl/>
          <w:lang w:eastAsia="de-DE"/>
        </w:rPr>
        <w:t>חלב־הכשב</w:t>
      </w:r>
      <w:r w:rsidRPr="00577688">
        <w:rPr>
          <w:rFonts w:eastAsia="Times New Roman" w:cs="Times New Roman"/>
          <w:rtl/>
          <w:lang w:eastAsia="de-DE"/>
        </w:rPr>
        <w:t xml:space="preserve"> </w:t>
      </w:r>
      <w:r w:rsidRPr="00577688">
        <w:rPr>
          <w:rFonts w:eastAsia="Times New Roman" w:cs="Times New Roman"/>
          <w:lang w:eastAsia="de-DE"/>
        </w:rPr>
        <w:t xml:space="preserve">(Fett des Schafes) in der </w:t>
      </w:r>
      <w:r w:rsidRPr="00577688">
        <w:rPr>
          <w:rFonts w:eastAsia="Times New Roman" w:cs="Times New Roman"/>
          <w:b/>
          <w:bCs/>
          <w:rtl/>
          <w:lang w:eastAsia="de-DE"/>
        </w:rPr>
        <w:t>שלמים</w:t>
      </w:r>
      <w:r w:rsidRPr="00577688">
        <w:rPr>
          <w:rFonts w:eastAsia="Times New Roman" w:cs="Times New Roman"/>
          <w:lang w:eastAsia="de-DE"/>
        </w:rPr>
        <w:t xml:space="preserve">-Analogie statt allgemeines </w:t>
      </w:r>
      <w:r w:rsidRPr="00577688">
        <w:rPr>
          <w:rFonts w:eastAsia="Times New Roman" w:cs="Times New Roman"/>
          <w:b/>
          <w:bCs/>
          <w:rtl/>
          <w:lang w:eastAsia="de-DE"/>
        </w:rPr>
        <w:t>חלב</w:t>
      </w:r>
      <w:r w:rsidRPr="00577688">
        <w:rPr>
          <w:rFonts w:eastAsia="Times New Roman" w:cs="Times New Roman"/>
          <w:lang w:eastAsia="de-DE"/>
        </w:rPr>
        <w:t xml:space="preserve">. </w:t>
      </w:r>
      <w:r w:rsidRPr="00577688">
        <w:rPr>
          <w:rFonts w:eastAsia="Times New Roman" w:cs="Times New Roman"/>
          <w:b/>
          <w:bCs/>
          <w:rtl/>
          <w:lang w:eastAsia="de-DE"/>
        </w:rPr>
        <w:t>חלבה</w:t>
      </w:r>
      <w:r w:rsidRPr="00577688">
        <w:rPr>
          <w:rFonts w:eastAsia="Times New Roman" w:cs="Times New Roman"/>
          <w:rtl/>
          <w:lang w:eastAsia="de-DE"/>
        </w:rPr>
        <w:t xml:space="preserve"> </w:t>
      </w:r>
      <w:r w:rsidRPr="00577688">
        <w:rPr>
          <w:rFonts w:eastAsia="Times New Roman" w:cs="Times New Roman"/>
          <w:lang w:eastAsia="de-DE"/>
        </w:rPr>
        <w:t>(ihr Fett) mit femininem</w:t>
      </w:r>
      <w:r w:rsidR="00E35C31">
        <w:rPr>
          <w:rFonts w:eastAsia="Times New Roman" w:cs="Times New Roman"/>
          <w:lang w:eastAsia="de-DE"/>
        </w:rPr>
        <w:t xml:space="preserve"> </w:t>
      </w:r>
      <w:r w:rsidRPr="00577688">
        <w:rPr>
          <w:rFonts w:eastAsia="Times New Roman" w:cs="Times New Roman"/>
          <w:lang w:eastAsia="de-DE"/>
        </w:rPr>
        <w:t>Suffix.</w:t>
      </w:r>
    </w:p>
    <w:p w14:paraId="42867DF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וְהִקְטִ֨יר הַכֹּהֵ֤ן אֹתָם֙ הַמִּזְבֵּ֔חָה עַ֖ל אִשֵּׁ֣י יְהוָ֑ה</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sie auf dem Altar räuchern, auf den Feueropfern JHWHs) fügt </w:t>
      </w:r>
      <w:r w:rsidRPr="00577688">
        <w:rPr>
          <w:rFonts w:eastAsia="Times New Roman" w:cs="Times New Roman"/>
          <w:b/>
          <w:bCs/>
          <w:rtl/>
          <w:lang w:eastAsia="de-DE"/>
        </w:rPr>
        <w:t>על אשי יהוה</w:t>
      </w:r>
      <w:r w:rsidRPr="00577688">
        <w:rPr>
          <w:rFonts w:eastAsia="Times New Roman" w:cs="Times New Roman"/>
          <w:rtl/>
          <w:lang w:eastAsia="de-DE"/>
        </w:rPr>
        <w:t xml:space="preserve"> </w:t>
      </w:r>
      <w:r w:rsidRPr="00577688">
        <w:rPr>
          <w:rFonts w:eastAsia="Times New Roman" w:cs="Times New Roman"/>
          <w:lang w:eastAsia="de-DE"/>
        </w:rPr>
        <w:t xml:space="preserve">(auf den Feueropfern JHWHs) hinzu. </w:t>
      </w:r>
      <w:r w:rsidRPr="00577688">
        <w:rPr>
          <w:rFonts w:eastAsia="Times New Roman" w:cs="Times New Roman"/>
          <w:b/>
          <w:bCs/>
          <w:rtl/>
          <w:lang w:eastAsia="de-DE"/>
        </w:rPr>
        <w:t>אתם</w:t>
      </w:r>
      <w:r w:rsidRPr="00577688">
        <w:rPr>
          <w:rFonts w:eastAsia="Times New Roman" w:cs="Times New Roman"/>
          <w:rtl/>
          <w:lang w:eastAsia="de-DE"/>
        </w:rPr>
        <w:t xml:space="preserve"> </w:t>
      </w:r>
      <w:r w:rsidRPr="00577688">
        <w:rPr>
          <w:rFonts w:eastAsia="Times New Roman" w:cs="Times New Roman"/>
          <w:lang w:eastAsia="de-DE"/>
        </w:rPr>
        <w:t xml:space="preserve">(sie) mit maskulinem Plural-Suffix bezieht sich auf die Fettteile, </w:t>
      </w:r>
      <w:r w:rsidRPr="00577688">
        <w:rPr>
          <w:rFonts w:eastAsia="Times New Roman" w:cs="Times New Roman"/>
          <w:b/>
          <w:bCs/>
          <w:rtl/>
          <w:lang w:eastAsia="de-DE"/>
        </w:rPr>
        <w:t>אשי יהוה</w:t>
      </w:r>
      <w:r w:rsidRPr="00577688">
        <w:rPr>
          <w:rFonts w:eastAsia="Times New Roman" w:cs="Times New Roman"/>
          <w:rtl/>
          <w:lang w:eastAsia="de-DE"/>
        </w:rPr>
        <w:t xml:space="preserve"> </w:t>
      </w:r>
      <w:r w:rsidRPr="00577688">
        <w:rPr>
          <w:rFonts w:eastAsia="Times New Roman" w:cs="Times New Roman"/>
          <w:lang w:eastAsia="de-DE"/>
        </w:rPr>
        <w:t>(Feueropfer JHWHs) im Plural.</w:t>
      </w:r>
    </w:p>
    <w:p w14:paraId="3C9A91D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עַל־חַטָּאתוֹ֥ אֲשֶׁר־חָטָ֖א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wegen seiner Sünde, die er begangen hat, erwirken, und es wird ihm vergeben werden) erweitert die </w:t>
      </w:r>
      <w:r w:rsidRPr="00577688">
        <w:rPr>
          <w:rFonts w:eastAsia="Times New Roman" w:cs="Times New Roman"/>
          <w:b/>
          <w:bCs/>
          <w:rtl/>
          <w:lang w:eastAsia="de-DE"/>
        </w:rPr>
        <w:t>כפרה</w:t>
      </w:r>
      <w:r w:rsidRPr="00577688">
        <w:rPr>
          <w:rFonts w:eastAsia="Times New Roman" w:cs="Times New Roman"/>
          <w:lang w:eastAsia="de-DE"/>
        </w:rPr>
        <w:t xml:space="preserve">-Formel durch </w:t>
      </w:r>
      <w:r w:rsidRPr="00577688">
        <w:rPr>
          <w:rFonts w:eastAsia="Times New Roman" w:cs="Times New Roman"/>
          <w:b/>
          <w:bCs/>
          <w:rtl/>
          <w:lang w:eastAsia="de-DE"/>
        </w:rPr>
        <w:t>על־חטאתו אשר־חטא</w:t>
      </w:r>
      <w:r w:rsidRPr="00577688">
        <w:rPr>
          <w:rFonts w:eastAsia="Times New Roman" w:cs="Times New Roman"/>
          <w:rtl/>
          <w:lang w:eastAsia="de-DE"/>
        </w:rPr>
        <w:t xml:space="preserve"> </w:t>
      </w:r>
      <w:r w:rsidRPr="00577688">
        <w:rPr>
          <w:rFonts w:eastAsia="Times New Roman" w:cs="Times New Roman"/>
          <w:lang w:eastAsia="de-DE"/>
        </w:rPr>
        <w:t>(wegen seiner Sünde, die er begangen hat).</w:t>
      </w:r>
    </w:p>
    <w:p w14:paraId="10D9D8A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חלב־הכשב מזבח השלמים</w:t>
      </w:r>
      <w:r w:rsidRPr="00577688">
        <w:rPr>
          <w:rFonts w:eastAsia="Times New Roman" w:cs="Times New Roman"/>
          <w:rtl/>
          <w:lang w:eastAsia="de-DE"/>
        </w:rPr>
        <w:t xml:space="preserve"> </w:t>
      </w:r>
      <w:r w:rsidRPr="00577688">
        <w:rPr>
          <w:rFonts w:eastAsia="Times New Roman" w:cs="Times New Roman"/>
          <w:lang w:eastAsia="de-DE"/>
        </w:rPr>
        <w:t xml:space="preserve">(Fett des Schafes vom Friedensopfer) spezifiziert die </w:t>
      </w:r>
      <w:r w:rsidRPr="00577688">
        <w:rPr>
          <w:rFonts w:eastAsia="Times New Roman" w:cs="Times New Roman"/>
          <w:b/>
          <w:bCs/>
          <w:rtl/>
          <w:lang w:eastAsia="de-DE"/>
        </w:rPr>
        <w:t>שלמים</w:t>
      </w:r>
      <w:r w:rsidRPr="00577688">
        <w:rPr>
          <w:rFonts w:eastAsia="Times New Roman" w:cs="Times New Roman"/>
          <w:lang w:eastAsia="de-DE"/>
        </w:rPr>
        <w:t>-Analogie genauer als in V. 31 und zeigt Bewusstsein für tierartspezifische Unterschiede in der Fettbehandlung.</w:t>
      </w:r>
    </w:p>
    <w:p w14:paraId="10590F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 אשי יהוה</w:t>
      </w:r>
      <w:r w:rsidRPr="00577688">
        <w:rPr>
          <w:rFonts w:eastAsia="Times New Roman" w:cs="Times New Roman"/>
          <w:rtl/>
          <w:lang w:eastAsia="de-DE"/>
        </w:rPr>
        <w:t xml:space="preserve"> </w:t>
      </w:r>
      <w:r w:rsidRPr="00577688">
        <w:rPr>
          <w:rFonts w:eastAsia="Times New Roman" w:cs="Times New Roman"/>
          <w:lang w:eastAsia="de-DE"/>
        </w:rPr>
        <w:t xml:space="preserve">(auf den Feueropfern JHWHs) betont, dass die </w:t>
      </w:r>
      <w:r w:rsidRPr="00577688">
        <w:rPr>
          <w:rFonts w:eastAsia="Times New Roman" w:cs="Times New Roman"/>
          <w:b/>
          <w:bCs/>
          <w:rtl/>
          <w:lang w:eastAsia="de-DE"/>
        </w:rPr>
        <w:t>חטאת</w:t>
      </w:r>
      <w:r w:rsidRPr="00577688">
        <w:rPr>
          <w:rFonts w:eastAsia="Times New Roman" w:cs="Times New Roman"/>
          <w:lang w:eastAsia="de-DE"/>
        </w:rPr>
        <w:t xml:space="preserve">-Fette auf bereits brennenden göttlichen Opfern verbrannt werden. </w:t>
      </w:r>
      <w:r w:rsidRPr="00577688">
        <w:rPr>
          <w:rFonts w:eastAsia="Times New Roman" w:cs="Times New Roman"/>
          <w:b/>
          <w:bCs/>
          <w:rtl/>
          <w:lang w:eastAsia="de-DE"/>
        </w:rPr>
        <w:t>אשי</w:t>
      </w:r>
      <w:r w:rsidRPr="00577688">
        <w:rPr>
          <w:rFonts w:eastAsia="Times New Roman" w:cs="Times New Roman"/>
          <w:rtl/>
          <w:lang w:eastAsia="de-DE"/>
        </w:rPr>
        <w:t xml:space="preserve"> </w:t>
      </w:r>
      <w:r w:rsidRPr="00577688">
        <w:rPr>
          <w:rFonts w:eastAsia="Times New Roman" w:cs="Times New Roman"/>
          <w:lang w:eastAsia="de-DE"/>
        </w:rPr>
        <w:t>(Feueropfer) im Plural zeigt die kontinuierlichen Altaropfer.</w:t>
      </w:r>
    </w:p>
    <w:p w14:paraId="43AA0361" w14:textId="2476DABB"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fügt ἐπὶ </w:t>
      </w:r>
      <w:proofErr w:type="spellStart"/>
      <w:r w:rsidR="005070BF">
        <w:t>τὸ</w:t>
      </w:r>
      <w:proofErr w:type="spellEnd"/>
      <w:r w:rsidR="005070BF">
        <w:t xml:space="preserve"> </w:t>
      </w:r>
      <w:proofErr w:type="spellStart"/>
      <w:r w:rsidR="005070BF">
        <w:t>ὁλοκ</w:t>
      </w:r>
      <w:proofErr w:type="spellEnd"/>
      <w:r w:rsidR="005070BF">
        <w:t xml:space="preserve">αύτωμα </w:t>
      </w:r>
      <w:proofErr w:type="spellStart"/>
      <w:r w:rsidR="005070BF">
        <w:t>κυρίου</w:t>
      </w:r>
      <w:proofErr w:type="spellEnd"/>
      <w:r w:rsidR="005070BF">
        <w:t xml:space="preserve"> (auf das </w:t>
      </w:r>
      <w:r w:rsidR="00D61FEC">
        <w:t>Aufsteigeopfer</w:t>
      </w:r>
      <w:r w:rsidR="005070BF">
        <w:t xml:space="preserve"> des Herrn) hinzu, was </w:t>
      </w:r>
      <w:r w:rsidR="005070BF">
        <w:rPr>
          <w:rtl/>
        </w:rPr>
        <w:t>על אשי יהוה</w:t>
      </w:r>
      <w:r w:rsidR="005070BF">
        <w:t xml:space="preserve"> (auf die Feueropfer YHWHs) interpretiert und erweitert.</w:t>
      </w:r>
    </w:p>
    <w:p w14:paraId="6C507BE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Hauptsätze: Objekt + Verb + spezifischer Vergleichssatz // Verb + Subjekt + Objekt + Adverbialbestimmung + Präpositionalphrase // erweiterte </w:t>
      </w:r>
      <w:r w:rsidRPr="00577688">
        <w:rPr>
          <w:rFonts w:eastAsia="Times New Roman" w:cs="Times New Roman"/>
          <w:b/>
          <w:bCs/>
          <w:rtl/>
          <w:lang w:eastAsia="de-DE"/>
        </w:rPr>
        <w:t>כפרה</w:t>
      </w:r>
      <w:r w:rsidRPr="00577688">
        <w:rPr>
          <w:rFonts w:eastAsia="Times New Roman" w:cs="Times New Roman"/>
          <w:lang w:eastAsia="de-DE"/>
        </w:rPr>
        <w:t xml:space="preserve">-Formel. Die Struktur ist die ausführlichste aller </w:t>
      </w:r>
      <w:r w:rsidRPr="00577688">
        <w:rPr>
          <w:rFonts w:eastAsia="Times New Roman" w:cs="Times New Roman"/>
          <w:b/>
          <w:bCs/>
          <w:rtl/>
          <w:lang w:eastAsia="de-DE"/>
        </w:rPr>
        <w:t>עם הארץ</w:t>
      </w:r>
      <w:r w:rsidRPr="00577688">
        <w:rPr>
          <w:rFonts w:eastAsia="Times New Roman" w:cs="Times New Roman"/>
          <w:lang w:eastAsia="de-DE"/>
        </w:rPr>
        <w:t>-</w:t>
      </w:r>
      <w:r w:rsidRPr="00577688">
        <w:rPr>
          <w:rFonts w:eastAsia="Times New Roman" w:cs="Times New Roman"/>
          <w:b/>
          <w:bCs/>
          <w:rtl/>
          <w:lang w:eastAsia="de-DE"/>
        </w:rPr>
        <w:t>חטאת</w:t>
      </w:r>
      <w:r w:rsidRPr="00577688">
        <w:rPr>
          <w:rFonts w:eastAsia="Times New Roman" w:cs="Times New Roman"/>
          <w:lang w:eastAsia="de-DE"/>
        </w:rPr>
        <w:t>-Abschlüsse.</w:t>
      </w:r>
    </w:p>
    <w:p w14:paraId="30C8829A" w14:textId="77777777" w:rsidR="00577688" w:rsidRDefault="00577688" w:rsidP="00577688">
      <w:pPr>
        <w:pStyle w:val="KeinLeerraum"/>
        <w:rPr>
          <w:lang w:eastAsia="de-DE"/>
        </w:rPr>
      </w:pPr>
      <w:r w:rsidRPr="00577688">
        <w:rPr>
          <w:lang w:eastAsia="de-DE"/>
        </w:rPr>
        <w:t xml:space="preserve">Dieser Vers beschließt Kapitel 4 und die gesamte </w:t>
      </w:r>
      <w:r w:rsidRPr="00577688">
        <w:rPr>
          <w:b/>
          <w:bCs/>
          <w:rtl/>
          <w:lang w:eastAsia="de-DE"/>
        </w:rPr>
        <w:t>חטאת</w:t>
      </w:r>
      <w:r w:rsidRPr="00577688">
        <w:rPr>
          <w:lang w:eastAsia="de-DE"/>
        </w:rPr>
        <w:t xml:space="preserve">-Gesetzgebung mit der ausführlichsten </w:t>
      </w:r>
      <w:r w:rsidRPr="00577688">
        <w:rPr>
          <w:b/>
          <w:bCs/>
          <w:rtl/>
          <w:lang w:eastAsia="de-DE"/>
        </w:rPr>
        <w:t>כפרה</w:t>
      </w:r>
      <w:r w:rsidRPr="00577688">
        <w:rPr>
          <w:lang w:eastAsia="de-DE"/>
        </w:rPr>
        <w:t xml:space="preserve">-Formel und betont die vollständige Sühnwirkung auch der einfachsten </w:t>
      </w:r>
      <w:r w:rsidRPr="00577688">
        <w:rPr>
          <w:b/>
          <w:bCs/>
          <w:rtl/>
          <w:lang w:eastAsia="de-DE"/>
        </w:rPr>
        <w:t>חטאת</w:t>
      </w:r>
      <w:r w:rsidRPr="00577688">
        <w:rPr>
          <w:lang w:eastAsia="de-DE"/>
        </w:rPr>
        <w:t xml:space="preserve">-Opfer. Das Kapitel etabliert ein vierstufiges </w:t>
      </w:r>
      <w:r w:rsidRPr="00577688">
        <w:rPr>
          <w:b/>
          <w:bCs/>
          <w:rtl/>
          <w:lang w:eastAsia="de-DE"/>
        </w:rPr>
        <w:t>חטאת</w:t>
      </w:r>
      <w:r w:rsidRPr="00577688">
        <w:rPr>
          <w:lang w:eastAsia="de-DE"/>
        </w:rPr>
        <w:t xml:space="preserve">-System entsprechend der sozialen Hierarchie: </w:t>
      </w:r>
    </w:p>
    <w:p w14:paraId="0E1BC6C9" w14:textId="77777777" w:rsidR="00E35C31" w:rsidRDefault="00E35C31" w:rsidP="00577688">
      <w:pPr>
        <w:pStyle w:val="KeinLeerraum"/>
        <w:rPr>
          <w:b/>
          <w:bCs/>
          <w:lang w:eastAsia="de-DE"/>
        </w:rPr>
      </w:pPr>
    </w:p>
    <w:p w14:paraId="5069E898" w14:textId="7770CB68" w:rsidR="00577688" w:rsidRDefault="00577688" w:rsidP="00577688">
      <w:pPr>
        <w:pStyle w:val="KeinLeerraum"/>
        <w:rPr>
          <w:lang w:eastAsia="de-DE"/>
        </w:rPr>
      </w:pPr>
      <w:r w:rsidRPr="00E35C31">
        <w:rPr>
          <w:b/>
          <w:bCs/>
          <w:lang w:eastAsia="de-DE"/>
        </w:rPr>
        <w:t>1)</w:t>
      </w:r>
      <w:r w:rsidRPr="00577688">
        <w:rPr>
          <w:lang w:eastAsia="de-DE"/>
        </w:rPr>
        <w:t xml:space="preserve"> </w:t>
      </w:r>
      <w:r w:rsidRPr="00577688">
        <w:rPr>
          <w:b/>
          <w:bCs/>
          <w:rtl/>
          <w:lang w:eastAsia="de-DE"/>
        </w:rPr>
        <w:t>כהן המשיח</w:t>
      </w:r>
      <w:r w:rsidRPr="00577688">
        <w:rPr>
          <w:rtl/>
          <w:lang w:eastAsia="de-DE"/>
        </w:rPr>
        <w:t xml:space="preserve"> </w:t>
      </w:r>
      <w:r w:rsidRPr="00577688">
        <w:rPr>
          <w:lang w:eastAsia="de-DE"/>
        </w:rPr>
        <w:t xml:space="preserve">(gesalbter Priester) mit </w:t>
      </w:r>
      <w:r w:rsidRPr="00577688">
        <w:rPr>
          <w:b/>
          <w:bCs/>
          <w:rtl/>
          <w:lang w:eastAsia="de-DE"/>
        </w:rPr>
        <w:t>פר</w:t>
      </w:r>
      <w:r w:rsidRPr="00577688">
        <w:rPr>
          <w:rtl/>
          <w:lang w:eastAsia="de-DE"/>
        </w:rPr>
        <w:t xml:space="preserve"> </w:t>
      </w:r>
      <w:r w:rsidRPr="00577688">
        <w:rPr>
          <w:lang w:eastAsia="de-DE"/>
        </w:rPr>
        <w:t xml:space="preserve">(Stier) und </w:t>
      </w:r>
      <w:r w:rsidR="00E35C31" w:rsidRPr="00577688">
        <w:rPr>
          <w:lang w:eastAsia="de-DE"/>
        </w:rPr>
        <w:t>Heiligtums Zeremonien</w:t>
      </w:r>
      <w:r w:rsidRPr="00577688">
        <w:rPr>
          <w:lang w:eastAsia="de-DE"/>
        </w:rPr>
        <w:t xml:space="preserve">, </w:t>
      </w:r>
    </w:p>
    <w:p w14:paraId="255AA85A" w14:textId="77777777" w:rsidR="00E35C31" w:rsidRDefault="00E35C31" w:rsidP="00577688">
      <w:pPr>
        <w:pStyle w:val="KeinLeerraum"/>
        <w:rPr>
          <w:b/>
          <w:bCs/>
          <w:lang w:eastAsia="de-DE"/>
        </w:rPr>
      </w:pPr>
    </w:p>
    <w:p w14:paraId="2BEB5AE8" w14:textId="5AA5CA9C" w:rsidR="00577688" w:rsidRDefault="00577688" w:rsidP="00577688">
      <w:pPr>
        <w:pStyle w:val="KeinLeerraum"/>
        <w:rPr>
          <w:lang w:eastAsia="de-DE"/>
        </w:rPr>
      </w:pPr>
      <w:r w:rsidRPr="00E35C31">
        <w:rPr>
          <w:b/>
          <w:bCs/>
          <w:lang w:eastAsia="de-DE"/>
        </w:rPr>
        <w:t>2)</w:t>
      </w:r>
      <w:r w:rsidRPr="00577688">
        <w:rPr>
          <w:lang w:eastAsia="de-DE"/>
        </w:rPr>
        <w:t xml:space="preserve"> </w:t>
      </w:r>
      <w:r w:rsidRPr="00577688">
        <w:rPr>
          <w:b/>
          <w:bCs/>
          <w:rtl/>
          <w:lang w:eastAsia="de-DE"/>
        </w:rPr>
        <w:t>כל־עדת ישראל</w:t>
      </w:r>
      <w:r w:rsidRPr="00577688">
        <w:rPr>
          <w:rtl/>
          <w:lang w:eastAsia="de-DE"/>
        </w:rPr>
        <w:t xml:space="preserve"> </w:t>
      </w:r>
      <w:r w:rsidRPr="00577688">
        <w:rPr>
          <w:lang w:eastAsia="de-DE"/>
        </w:rPr>
        <w:t xml:space="preserve">(ganze Gemeinde Israels) mit identischem Verfahren, </w:t>
      </w:r>
    </w:p>
    <w:p w14:paraId="73B88174" w14:textId="77777777" w:rsidR="00E35C31" w:rsidRDefault="00E35C31" w:rsidP="00577688">
      <w:pPr>
        <w:pStyle w:val="KeinLeerraum"/>
        <w:rPr>
          <w:b/>
          <w:bCs/>
          <w:lang w:eastAsia="de-DE"/>
        </w:rPr>
      </w:pPr>
    </w:p>
    <w:p w14:paraId="6FD6E963" w14:textId="21F94AD5" w:rsidR="00577688" w:rsidRDefault="00577688" w:rsidP="00577688">
      <w:pPr>
        <w:pStyle w:val="KeinLeerraum"/>
        <w:rPr>
          <w:lang w:eastAsia="de-DE"/>
        </w:rPr>
      </w:pPr>
      <w:r w:rsidRPr="00E35C31">
        <w:rPr>
          <w:b/>
          <w:bCs/>
          <w:lang w:eastAsia="de-DE"/>
        </w:rPr>
        <w:t>3)</w:t>
      </w:r>
      <w:r w:rsidRPr="00577688">
        <w:rPr>
          <w:lang w:eastAsia="de-DE"/>
        </w:rPr>
        <w:t xml:space="preserve"> </w:t>
      </w:r>
      <w:r w:rsidRPr="00577688">
        <w:rPr>
          <w:b/>
          <w:bCs/>
          <w:rtl/>
          <w:lang w:eastAsia="de-DE"/>
        </w:rPr>
        <w:t>נשיא</w:t>
      </w:r>
      <w:r w:rsidRPr="00577688">
        <w:rPr>
          <w:rtl/>
          <w:lang w:eastAsia="de-DE"/>
        </w:rPr>
        <w:t xml:space="preserve"> </w:t>
      </w:r>
      <w:r w:rsidRPr="00577688">
        <w:rPr>
          <w:lang w:eastAsia="de-DE"/>
        </w:rPr>
        <w:t xml:space="preserve">(Fürst) mit </w:t>
      </w:r>
      <w:r w:rsidRPr="00577688">
        <w:rPr>
          <w:b/>
          <w:bCs/>
          <w:rtl/>
          <w:lang w:eastAsia="de-DE"/>
        </w:rPr>
        <w:t>שעיר עזים זכר</w:t>
      </w:r>
      <w:r w:rsidRPr="00577688">
        <w:rPr>
          <w:rtl/>
          <w:lang w:eastAsia="de-DE"/>
        </w:rPr>
        <w:t xml:space="preserve"> </w:t>
      </w:r>
      <w:r w:rsidRPr="00577688">
        <w:rPr>
          <w:lang w:eastAsia="de-DE"/>
        </w:rPr>
        <w:t xml:space="preserve">(männlicher Ziegenbock) am Außenaltar, </w:t>
      </w:r>
    </w:p>
    <w:p w14:paraId="456BB719" w14:textId="77777777" w:rsidR="00E35C31" w:rsidRDefault="00E35C31" w:rsidP="00577688">
      <w:pPr>
        <w:pStyle w:val="KeinLeerraum"/>
        <w:rPr>
          <w:b/>
          <w:bCs/>
          <w:lang w:eastAsia="de-DE"/>
        </w:rPr>
      </w:pPr>
    </w:p>
    <w:p w14:paraId="66E3F04C" w14:textId="084B2233" w:rsidR="00577688" w:rsidRDefault="00577688" w:rsidP="00577688">
      <w:pPr>
        <w:pStyle w:val="KeinLeerraum"/>
        <w:rPr>
          <w:lang w:eastAsia="de-DE"/>
        </w:rPr>
      </w:pPr>
      <w:r w:rsidRPr="00E35C31">
        <w:rPr>
          <w:b/>
          <w:bCs/>
          <w:lang w:eastAsia="de-DE"/>
        </w:rPr>
        <w:t>4)</w:t>
      </w:r>
      <w:r w:rsidRPr="00577688">
        <w:rPr>
          <w:lang w:eastAsia="de-DE"/>
        </w:rPr>
        <w:t xml:space="preserve"> </w:t>
      </w:r>
      <w:r w:rsidRPr="00577688">
        <w:rPr>
          <w:b/>
          <w:bCs/>
          <w:rtl/>
          <w:lang w:eastAsia="de-DE"/>
        </w:rPr>
        <w:t>עם הארץ</w:t>
      </w:r>
      <w:r w:rsidRPr="00577688">
        <w:rPr>
          <w:rtl/>
          <w:lang w:eastAsia="de-DE"/>
        </w:rPr>
        <w:t xml:space="preserve"> </w:t>
      </w:r>
      <w:r w:rsidRPr="00577688">
        <w:rPr>
          <w:lang w:eastAsia="de-DE"/>
        </w:rPr>
        <w:t xml:space="preserve">(Volk des Landes) mit </w:t>
      </w:r>
      <w:r w:rsidRPr="00577688">
        <w:rPr>
          <w:b/>
          <w:bCs/>
          <w:rtl/>
          <w:lang w:eastAsia="de-DE"/>
        </w:rPr>
        <w:t>שעירת עזים נקבה</w:t>
      </w:r>
      <w:r w:rsidRPr="00577688">
        <w:rPr>
          <w:rtl/>
          <w:lang w:eastAsia="de-DE"/>
        </w:rPr>
        <w:t xml:space="preserve"> </w:t>
      </w:r>
      <w:r w:rsidRPr="00577688">
        <w:rPr>
          <w:lang w:eastAsia="de-DE"/>
        </w:rPr>
        <w:t xml:space="preserve">(weibliche Ziege) oder </w:t>
      </w:r>
      <w:r w:rsidRPr="00577688">
        <w:rPr>
          <w:b/>
          <w:bCs/>
          <w:rtl/>
          <w:lang w:eastAsia="de-DE"/>
        </w:rPr>
        <w:t>כבש נקבה</w:t>
      </w:r>
      <w:r w:rsidRPr="00577688">
        <w:rPr>
          <w:rtl/>
          <w:lang w:eastAsia="de-DE"/>
        </w:rPr>
        <w:t xml:space="preserve"> </w:t>
      </w:r>
      <w:r w:rsidRPr="00577688">
        <w:rPr>
          <w:lang w:eastAsia="de-DE"/>
        </w:rPr>
        <w:t xml:space="preserve">(weibliches Schaf) am Außenaltar. </w:t>
      </w:r>
    </w:p>
    <w:p w14:paraId="2FB9A894" w14:textId="77777777" w:rsidR="00577688" w:rsidRDefault="00577688" w:rsidP="00577688">
      <w:pPr>
        <w:pStyle w:val="KeinLeerraum"/>
        <w:rPr>
          <w:lang w:eastAsia="de-DE"/>
        </w:rPr>
      </w:pPr>
    </w:p>
    <w:p w14:paraId="66AD1FD5" w14:textId="533E270E" w:rsidR="00577688" w:rsidRDefault="00577688" w:rsidP="00577688">
      <w:pPr>
        <w:pStyle w:val="KeinLeerraum"/>
        <w:rPr>
          <w:lang w:eastAsia="de-DE"/>
        </w:rPr>
      </w:pPr>
      <w:r w:rsidRPr="00577688">
        <w:rPr>
          <w:lang w:eastAsia="de-DE"/>
        </w:rPr>
        <w:lastRenderedPageBreak/>
        <w:t xml:space="preserve">Allen gemeinsam ist die </w:t>
      </w:r>
      <w:r w:rsidRPr="00577688">
        <w:rPr>
          <w:b/>
          <w:bCs/>
          <w:rtl/>
          <w:lang w:eastAsia="de-DE"/>
        </w:rPr>
        <w:t>בשגגה</w:t>
      </w:r>
      <w:r w:rsidRPr="00577688">
        <w:rPr>
          <w:rtl/>
          <w:lang w:eastAsia="de-DE"/>
        </w:rPr>
        <w:t xml:space="preserve"> </w:t>
      </w:r>
      <w:r w:rsidRPr="00577688">
        <w:rPr>
          <w:lang w:eastAsia="de-DE"/>
        </w:rPr>
        <w:t>(</w:t>
      </w:r>
      <w:proofErr w:type="spellStart"/>
      <w:r w:rsidRPr="00577688">
        <w:rPr>
          <w:lang w:eastAsia="de-DE"/>
        </w:rPr>
        <w:t>Unwissentlichkeit</w:t>
      </w:r>
      <w:proofErr w:type="spellEnd"/>
      <w:r w:rsidRPr="00577688">
        <w:rPr>
          <w:lang w:eastAsia="de-DE"/>
        </w:rPr>
        <w:t xml:space="preserve">), </w:t>
      </w:r>
      <w:r w:rsidRPr="00577688">
        <w:rPr>
          <w:b/>
          <w:bCs/>
          <w:rtl/>
          <w:lang w:eastAsia="de-DE"/>
        </w:rPr>
        <w:t>תמים</w:t>
      </w:r>
      <w:r w:rsidRPr="00577688">
        <w:rPr>
          <w:rtl/>
          <w:lang w:eastAsia="de-DE"/>
        </w:rPr>
        <w:t xml:space="preserve"> </w:t>
      </w:r>
      <w:r w:rsidRPr="00577688">
        <w:rPr>
          <w:lang w:eastAsia="de-DE"/>
        </w:rPr>
        <w:t xml:space="preserve">(Fehlerlosigkeit) des Tieres, </w:t>
      </w:r>
      <w:r w:rsidRPr="00577688">
        <w:rPr>
          <w:b/>
          <w:bCs/>
          <w:rtl/>
          <w:lang w:eastAsia="de-DE"/>
        </w:rPr>
        <w:t>סמיכה</w:t>
      </w:r>
      <w:r w:rsidRPr="00577688">
        <w:rPr>
          <w:rtl/>
          <w:lang w:eastAsia="de-DE"/>
        </w:rPr>
        <w:t xml:space="preserve"> </w:t>
      </w:r>
      <w:r w:rsidRPr="00577688">
        <w:rPr>
          <w:lang w:eastAsia="de-DE"/>
        </w:rPr>
        <w:t xml:space="preserve">(Handauflegung), priesterliche </w:t>
      </w:r>
      <w:r w:rsidRPr="00577688">
        <w:rPr>
          <w:b/>
          <w:bCs/>
          <w:rtl/>
          <w:lang w:eastAsia="de-DE"/>
        </w:rPr>
        <w:t>כפרה</w:t>
      </w:r>
      <w:r w:rsidRPr="00577688">
        <w:rPr>
          <w:rtl/>
          <w:lang w:eastAsia="de-DE"/>
        </w:rPr>
        <w:t xml:space="preserve"> </w:t>
      </w:r>
      <w:r w:rsidRPr="00577688">
        <w:rPr>
          <w:lang w:eastAsia="de-DE"/>
        </w:rPr>
        <w:t xml:space="preserve">(Sühne) und göttliche </w:t>
      </w:r>
      <w:r w:rsidRPr="00577688">
        <w:rPr>
          <w:b/>
          <w:bCs/>
          <w:rtl/>
          <w:lang w:eastAsia="de-DE"/>
        </w:rPr>
        <w:t>סליחה</w:t>
      </w:r>
      <w:r w:rsidRPr="00577688">
        <w:rPr>
          <w:rtl/>
          <w:lang w:eastAsia="de-DE"/>
        </w:rPr>
        <w:t xml:space="preserve"> </w:t>
      </w:r>
      <w:r w:rsidRPr="00577688">
        <w:rPr>
          <w:lang w:eastAsia="de-DE"/>
        </w:rPr>
        <w:t>(Vergebung).</w:t>
      </w:r>
    </w:p>
    <w:p w14:paraId="126D1DB4" w14:textId="77777777" w:rsidR="00145F96" w:rsidRDefault="00145F96" w:rsidP="00577688">
      <w:pPr>
        <w:pStyle w:val="KeinLeerraum"/>
        <w:rPr>
          <w:lang w:eastAsia="de-DE"/>
        </w:rPr>
      </w:pPr>
    </w:p>
    <w:p w14:paraId="12ACF80C" w14:textId="145B1F81" w:rsidR="00145F96" w:rsidRDefault="00145F96" w:rsidP="00577688">
      <w:pPr>
        <w:pStyle w:val="KeinLeerraum"/>
        <w:rPr>
          <w:lang w:eastAsia="de-DE"/>
        </w:rPr>
      </w:pPr>
      <w:r>
        <w:t xml:space="preserve">Die Tierabstufung </w:t>
      </w:r>
      <w:r>
        <w:rPr>
          <w:rtl/>
        </w:rPr>
        <w:t>פַּר</w:t>
      </w:r>
      <w:r>
        <w:t xml:space="preserve"> (Stier) → </w:t>
      </w:r>
      <w:r w:rsidRPr="00145F96">
        <w:rPr>
          <w:b/>
          <w:bCs/>
          <w:rtl/>
        </w:rPr>
        <w:t>שְׂעִי</w:t>
      </w:r>
      <w:r w:rsidRPr="00145F96">
        <w:rPr>
          <w:b/>
          <w:bCs/>
        </w:rPr>
        <w:t xml:space="preserve">r </w:t>
      </w:r>
      <w:r w:rsidRPr="00145F96">
        <w:rPr>
          <w:b/>
          <w:bCs/>
          <w:rtl/>
        </w:rPr>
        <w:t>עִזִּים זָכָר</w:t>
      </w:r>
      <w:r>
        <w:t xml:space="preserve"> (männlicher Ziegenbock) → </w:t>
      </w:r>
      <w:r w:rsidRPr="00145F96">
        <w:rPr>
          <w:b/>
          <w:bCs/>
          <w:rtl/>
        </w:rPr>
        <w:t>שְׂעִירַת עִזִּים נְקֵבָה/כִּבְשָׂה נְקֵבָה</w:t>
      </w:r>
      <w:r>
        <w:t xml:space="preserve"> (weibliche Ziege/Schaf) spiegelt nicht nur soziale Hierarchie wider, sondern verkörpert ein System sozialer Gerechtigkeit. Die Opfergesetze berücksichtigen die ökonomischen Möglichkeiten verschiedener Gesellschaftsschichten und stellen sicher, dass Sühne für alle zugänglich bleibt. </w:t>
      </w:r>
      <w:r w:rsidRPr="00145F96">
        <w:rPr>
          <w:b/>
          <w:bCs/>
          <w:rtl/>
        </w:rPr>
        <w:t>עַם הָאָרֶץ</w:t>
      </w:r>
      <w:r>
        <w:t xml:space="preserve"> können mit kostengünstigen weiblichen Tieren dieselbe göttliche </w:t>
      </w:r>
      <w:r w:rsidRPr="00145F96">
        <w:rPr>
          <w:b/>
          <w:bCs/>
          <w:rtl/>
        </w:rPr>
        <w:t>סְלִיחָה</w:t>
      </w:r>
      <w:r>
        <w:t xml:space="preserve"> (Vergebung) erlangen wie der </w:t>
      </w:r>
      <w:r>
        <w:rPr>
          <w:rtl/>
        </w:rPr>
        <w:t>כ</w:t>
      </w:r>
      <w:r w:rsidRPr="00145F96">
        <w:rPr>
          <w:b/>
          <w:bCs/>
          <w:rtl/>
        </w:rPr>
        <w:t>ֹּהֵן הַמָּשִׁיחַ</w:t>
      </w:r>
      <w:r w:rsidRPr="00145F96">
        <w:rPr>
          <w:b/>
          <w:bCs/>
        </w:rPr>
        <w:t xml:space="preserve"> </w:t>
      </w:r>
      <w:r>
        <w:t xml:space="preserve">mit seinem teuren </w:t>
      </w:r>
      <w:r w:rsidRPr="00145F96">
        <w:rPr>
          <w:b/>
          <w:bCs/>
          <w:rtl/>
        </w:rPr>
        <w:t>פַּר</w:t>
      </w:r>
      <w:r>
        <w:t>. Diese Abstufung verhindert, dass ökonomische Benachteiligung zu spiritueller Benachteiligung wird - ein Ausdruck göttlicher Gerechtigkeit, die soziale Realitäten anerkennt, ohne die Sühnwirkung zu schmälern.</w:t>
      </w:r>
    </w:p>
    <w:p w14:paraId="19A1ABEB" w14:textId="77777777" w:rsidR="005070BF" w:rsidRDefault="005070BF" w:rsidP="005070BF">
      <w:pPr>
        <w:pStyle w:val="whitespace-normal"/>
      </w:pPr>
      <w:r>
        <w:rPr>
          <w:rStyle w:val="Fett"/>
        </w:rPr>
        <w:t>Systematische Beobachtungen</w:t>
      </w:r>
      <w:r>
        <w:t>:</w:t>
      </w:r>
    </w:p>
    <w:p w14:paraId="6A4D19CE" w14:textId="77777777" w:rsidR="005070BF" w:rsidRDefault="005070BF" w:rsidP="005070BF">
      <w:pPr>
        <w:pStyle w:val="whitespace-normal"/>
        <w:numPr>
          <w:ilvl w:val="0"/>
          <w:numId w:val="33"/>
        </w:numPr>
      </w:pPr>
      <w:r w:rsidRPr="00145F96">
        <w:rPr>
          <w:rStyle w:val="Fett"/>
          <w:b w:val="0"/>
          <w:bCs w:val="0"/>
        </w:rPr>
        <w:t>Die LXX</w:t>
      </w:r>
      <w:r>
        <w:t xml:space="preserve"> verwendet durchgängig </w:t>
      </w:r>
      <w:proofErr w:type="spellStart"/>
      <w:r>
        <w:t>ἁμ</w:t>
      </w:r>
      <w:proofErr w:type="spellEnd"/>
      <w:r>
        <w:t xml:space="preserve">αρτία für </w:t>
      </w:r>
      <w:r>
        <w:rPr>
          <w:rtl/>
        </w:rPr>
        <w:t>חטאת</w:t>
      </w:r>
      <w:r>
        <w:t>, was sowohl "Sünde" als auch "Sündopfer" bedeuten kann</w:t>
      </w:r>
    </w:p>
    <w:p w14:paraId="2AE3DFF6" w14:textId="77777777" w:rsidR="005070BF" w:rsidRDefault="005070BF" w:rsidP="005070BF">
      <w:pPr>
        <w:pStyle w:val="whitespace-normal"/>
        <w:numPr>
          <w:ilvl w:val="0"/>
          <w:numId w:val="33"/>
        </w:numPr>
      </w:pPr>
      <w:r>
        <w:t xml:space="preserve">Die Terminologie </w:t>
      </w:r>
      <w:proofErr w:type="spellStart"/>
      <w:r>
        <w:t>θυσι</w:t>
      </w:r>
      <w:proofErr w:type="spellEnd"/>
      <w:r>
        <w:t xml:space="preserve">αστήριον </w:t>
      </w:r>
      <w:proofErr w:type="spellStart"/>
      <w:r>
        <w:t>τῶν</w:t>
      </w:r>
      <w:proofErr w:type="spellEnd"/>
      <w:r>
        <w:t xml:space="preserve"> </w:t>
      </w:r>
      <w:proofErr w:type="spellStart"/>
      <w:r>
        <w:t>ὁλοκ</w:t>
      </w:r>
      <w:proofErr w:type="spellEnd"/>
      <w:r>
        <w:t xml:space="preserve">αυτωμάτων vs. </w:t>
      </w:r>
      <w:proofErr w:type="spellStart"/>
      <w:r>
        <w:t>τῆς</w:t>
      </w:r>
      <w:proofErr w:type="spellEnd"/>
      <w:r>
        <w:t xml:space="preserve"> καρπ</w:t>
      </w:r>
      <w:proofErr w:type="spellStart"/>
      <w:r>
        <w:t>ώσεως</w:t>
      </w:r>
      <w:proofErr w:type="spellEnd"/>
      <w:r>
        <w:t xml:space="preserve"> zeigt inkonsistente Übersetzungsansätze</w:t>
      </w:r>
    </w:p>
    <w:p w14:paraId="031397F8" w14:textId="77777777" w:rsidR="005070BF" w:rsidRDefault="005070BF" w:rsidP="005070BF">
      <w:pPr>
        <w:pStyle w:val="whitespace-normal"/>
        <w:numPr>
          <w:ilvl w:val="0"/>
          <w:numId w:val="33"/>
        </w:numPr>
      </w:pPr>
      <w:r>
        <w:t>Die häufigen Plural-Formen in der LXX gegenüber hebräischen Singularen deuten auf unterschiedliche liturgische Praktiken hin</w:t>
      </w:r>
    </w:p>
    <w:p w14:paraId="6FD2839E" w14:textId="129A42DE" w:rsidR="005070BF" w:rsidRPr="00577688" w:rsidRDefault="005070BF" w:rsidP="005070BF">
      <w:pPr>
        <w:pStyle w:val="whitespace-normal"/>
      </w:pPr>
      <w:r>
        <w:rPr>
          <w:rStyle w:val="Fett"/>
        </w:rPr>
        <w:t>Textkritische Schlussfolgerung</w:t>
      </w:r>
      <w:r>
        <w:t>: Die Abweichungen zeigen sowohl sprachliche Anpassungen an griechische Leser als auch mögliche Unterschiede in der rituellen Praxis zwischen der hebräischen Vorlage und der hellenistischen Übersetzung.</w:t>
      </w:r>
    </w:p>
    <w:p w14:paraId="0D81D02F"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w:t>
      </w:r>
    </w:p>
    <w:p w14:paraId="481C53F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וְנֶ֣פֶשׁ כִּֽי־תֶחֱטָ֗א וְשָֽׁמְעָה֙ ק֣וֹל אָלָ֔ה וְה֣וּא עֵ֔ד א֥וֹ רָאָ֖ה א֣וֹ יָדָ֑ע אִם־ל֥וֹא יַגִּ֖יד וְנָשָׂ֥א עֲוֹנֹֽו׃</w:t>
      </w:r>
    </w:p>
    <w:p w14:paraId="01CD3F9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jemand sündigt, dass er die Stimme des Fluches hört, und er ist Zeuge, sei es, dass er es gesehen oder gewusst hat – wenn er es nicht anzeigt, so soll er seine Ungerechtigkeit tragen;</w:t>
      </w:r>
    </w:p>
    <w:p w14:paraId="3A0D1AB6"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8CE337F">
          <v:rect id="_x0000_i1110" style="width:0;height:1.5pt" o:hralign="center" o:hrstd="t" o:hr="t" fillcolor="#a0a0a0" stroked="f"/>
        </w:pict>
      </w:r>
    </w:p>
    <w:p w14:paraId="23C67AF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וְנֶ֣פֶשׁ כִּֽי־תֶחֱטָ֗א</w:t>
      </w:r>
      <w:r w:rsidRPr="00577688">
        <w:rPr>
          <w:rFonts w:eastAsia="Times New Roman" w:cs="Times New Roman"/>
          <w:rtl/>
          <w:lang w:eastAsia="de-DE"/>
        </w:rPr>
        <w:t xml:space="preserve"> </w:t>
      </w:r>
      <w:r w:rsidRPr="00577688">
        <w:rPr>
          <w:rFonts w:eastAsia="Times New Roman" w:cs="Times New Roman"/>
          <w:lang w:eastAsia="de-DE"/>
        </w:rPr>
        <w:t xml:space="preserve">(und wenn eine Seele sündigt) leitet eine neue Kategorie von Vergehen ein, die über die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 xml:space="preserve">(unwissentlichen)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von Kapitel 4 hinausgeht. </w:t>
      </w:r>
      <w:r w:rsidRPr="00577688">
        <w:rPr>
          <w:rFonts w:eastAsia="Times New Roman" w:cs="Times New Roman"/>
          <w:b/>
          <w:bCs/>
          <w:rtl/>
          <w:lang w:eastAsia="de-DE"/>
        </w:rPr>
        <w:t>נפש</w:t>
      </w:r>
      <w:r w:rsidRPr="00577688">
        <w:rPr>
          <w:rFonts w:eastAsia="Times New Roman" w:cs="Times New Roman"/>
          <w:rtl/>
          <w:lang w:eastAsia="de-DE"/>
        </w:rPr>
        <w:t xml:space="preserve"> </w:t>
      </w:r>
      <w:r w:rsidRPr="00577688">
        <w:rPr>
          <w:rFonts w:eastAsia="Times New Roman" w:cs="Times New Roman"/>
          <w:lang w:eastAsia="de-DE"/>
        </w:rPr>
        <w:t xml:space="preserve">(Seele/Person) als allgemeine Bezeichnung, </w:t>
      </w:r>
      <w:r w:rsidRPr="00577688">
        <w:rPr>
          <w:rFonts w:eastAsia="Times New Roman" w:cs="Times New Roman"/>
          <w:b/>
          <w:bCs/>
          <w:rtl/>
          <w:lang w:eastAsia="de-DE"/>
        </w:rPr>
        <w:t>תחטא</w:t>
      </w:r>
      <w:r w:rsidRPr="00577688">
        <w:rPr>
          <w:rFonts w:eastAsia="Times New Roman" w:cs="Times New Roman"/>
          <w:rtl/>
          <w:lang w:eastAsia="de-DE"/>
        </w:rPr>
        <w:t xml:space="preserve"> </w:t>
      </w:r>
      <w:r w:rsidRPr="00577688">
        <w:rPr>
          <w:rFonts w:eastAsia="Times New Roman" w:cs="Times New Roman"/>
          <w:lang w:eastAsia="de-DE"/>
        </w:rPr>
        <w:t>(sie sündigt) im Qal-Imperfekt 3. Person feminin Singular.</w:t>
      </w:r>
    </w:p>
    <w:p w14:paraId="1067D46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וְשָֽׁמְעָה֙ ק֣וֹל אָלָ֔ה</w:t>
      </w:r>
      <w:r w:rsidRPr="00577688">
        <w:rPr>
          <w:rFonts w:eastAsia="Times New Roman" w:cs="Times New Roman"/>
          <w:rtl/>
          <w:lang w:eastAsia="de-DE"/>
        </w:rPr>
        <w:t xml:space="preserve"> </w:t>
      </w:r>
      <w:r w:rsidRPr="00577688">
        <w:rPr>
          <w:rFonts w:eastAsia="Times New Roman" w:cs="Times New Roman"/>
          <w:lang w:eastAsia="de-DE"/>
        </w:rPr>
        <w:t xml:space="preserve">(und sie hört die Stimme eines Fluches) spezifiziert den ersten Fall. </w:t>
      </w:r>
      <w:r w:rsidRPr="00577688">
        <w:rPr>
          <w:rFonts w:eastAsia="Times New Roman" w:cs="Times New Roman"/>
          <w:b/>
          <w:bCs/>
          <w:rtl/>
          <w:lang w:eastAsia="de-DE"/>
        </w:rPr>
        <w:t>שמע</w:t>
      </w:r>
      <w:r w:rsidRPr="00577688">
        <w:rPr>
          <w:rFonts w:eastAsia="Times New Roman" w:cs="Times New Roman"/>
          <w:rtl/>
          <w:lang w:eastAsia="de-DE"/>
        </w:rPr>
        <w:t xml:space="preserve"> </w:t>
      </w:r>
      <w:r w:rsidRPr="00577688">
        <w:rPr>
          <w:rFonts w:eastAsia="Times New Roman" w:cs="Times New Roman"/>
          <w:lang w:eastAsia="de-DE"/>
        </w:rPr>
        <w:t xml:space="preserve">(hören) im Qal-Perfekt 3. Person feminin Singular mit Waw-Konsekutiv, </w:t>
      </w:r>
      <w:r w:rsidRPr="00577688">
        <w:rPr>
          <w:rFonts w:eastAsia="Times New Roman" w:cs="Times New Roman"/>
          <w:b/>
          <w:bCs/>
          <w:rtl/>
          <w:lang w:eastAsia="de-DE"/>
        </w:rPr>
        <w:t>קול אלה</w:t>
      </w:r>
      <w:r w:rsidRPr="00577688">
        <w:rPr>
          <w:rFonts w:eastAsia="Times New Roman" w:cs="Times New Roman"/>
          <w:rtl/>
          <w:lang w:eastAsia="de-DE"/>
        </w:rPr>
        <w:t xml:space="preserve"> </w:t>
      </w:r>
      <w:r w:rsidRPr="00577688">
        <w:rPr>
          <w:rFonts w:eastAsia="Times New Roman" w:cs="Times New Roman"/>
          <w:lang w:eastAsia="de-DE"/>
        </w:rPr>
        <w:t xml:space="preserve">(Stimme eines Fluches/Verwünschung). </w:t>
      </w:r>
      <w:r w:rsidRPr="00577688">
        <w:rPr>
          <w:rFonts w:eastAsia="Times New Roman" w:cs="Times New Roman"/>
          <w:b/>
          <w:bCs/>
          <w:rtl/>
          <w:lang w:eastAsia="de-DE"/>
        </w:rPr>
        <w:t>אלה</w:t>
      </w:r>
      <w:r w:rsidRPr="00577688">
        <w:rPr>
          <w:rFonts w:eastAsia="Times New Roman" w:cs="Times New Roman"/>
          <w:rtl/>
          <w:lang w:eastAsia="de-DE"/>
        </w:rPr>
        <w:t xml:space="preserve"> </w:t>
      </w:r>
      <w:r w:rsidRPr="00577688">
        <w:rPr>
          <w:rFonts w:eastAsia="Times New Roman" w:cs="Times New Roman"/>
          <w:lang w:eastAsia="de-DE"/>
        </w:rPr>
        <w:t>(Fluch/Schwur) bezeichnet eine öffentliche Verfluchung zur Wahrheitsfindung.</w:t>
      </w:r>
    </w:p>
    <w:p w14:paraId="7A4B831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וְה֣וּא עֵ֔ד א֥וֹ רָאָ֖ה א֣וֹ יָדָ֑ע</w:t>
      </w:r>
      <w:r w:rsidRPr="00577688">
        <w:rPr>
          <w:rFonts w:eastAsia="Times New Roman" w:cs="Times New Roman"/>
          <w:rtl/>
          <w:lang w:eastAsia="de-DE"/>
        </w:rPr>
        <w:t xml:space="preserve"> </w:t>
      </w:r>
      <w:r w:rsidRPr="00577688">
        <w:rPr>
          <w:rFonts w:eastAsia="Times New Roman" w:cs="Times New Roman"/>
          <w:lang w:eastAsia="de-DE"/>
        </w:rPr>
        <w:t xml:space="preserve">(und er ist Zeuge oder hat gesehen oder gewusst) zeigt drei Grade von Wissen. </w:t>
      </w:r>
      <w:r w:rsidRPr="00577688">
        <w:rPr>
          <w:rFonts w:eastAsia="Times New Roman" w:cs="Times New Roman"/>
          <w:b/>
          <w:bCs/>
          <w:rtl/>
          <w:lang w:eastAsia="de-DE"/>
        </w:rPr>
        <w:t>הוא</w:t>
      </w:r>
      <w:r w:rsidRPr="00577688">
        <w:rPr>
          <w:rFonts w:eastAsia="Times New Roman" w:cs="Times New Roman"/>
          <w:rtl/>
          <w:lang w:eastAsia="de-DE"/>
        </w:rPr>
        <w:t xml:space="preserve"> </w:t>
      </w:r>
      <w:r w:rsidRPr="00577688">
        <w:rPr>
          <w:rFonts w:eastAsia="Times New Roman" w:cs="Times New Roman"/>
          <w:lang w:eastAsia="de-DE"/>
        </w:rPr>
        <w:t xml:space="preserve">(er) emphatisches Pronomen, </w:t>
      </w:r>
      <w:r w:rsidRPr="00577688">
        <w:rPr>
          <w:rFonts w:eastAsia="Times New Roman" w:cs="Times New Roman"/>
          <w:b/>
          <w:bCs/>
          <w:rtl/>
          <w:lang w:eastAsia="de-DE"/>
        </w:rPr>
        <w:t>עד</w:t>
      </w:r>
      <w:r w:rsidRPr="00577688">
        <w:rPr>
          <w:rFonts w:eastAsia="Times New Roman" w:cs="Times New Roman"/>
          <w:rtl/>
          <w:lang w:eastAsia="de-DE"/>
        </w:rPr>
        <w:t xml:space="preserve"> </w:t>
      </w:r>
      <w:r w:rsidRPr="00577688">
        <w:rPr>
          <w:rFonts w:eastAsia="Times New Roman" w:cs="Times New Roman"/>
          <w:lang w:eastAsia="de-DE"/>
        </w:rPr>
        <w:t xml:space="preserve">(Zeuge), </w:t>
      </w:r>
      <w:r w:rsidRPr="00577688">
        <w:rPr>
          <w:rFonts w:eastAsia="Times New Roman" w:cs="Times New Roman"/>
          <w:b/>
          <w:bCs/>
          <w:rtl/>
          <w:lang w:eastAsia="de-DE"/>
        </w:rPr>
        <w:t>ראה</w:t>
      </w:r>
      <w:r w:rsidRPr="00577688">
        <w:rPr>
          <w:rFonts w:eastAsia="Times New Roman" w:cs="Times New Roman"/>
          <w:rtl/>
          <w:lang w:eastAsia="de-DE"/>
        </w:rPr>
        <w:t xml:space="preserve"> </w:t>
      </w:r>
      <w:r w:rsidRPr="00577688">
        <w:rPr>
          <w:rFonts w:eastAsia="Times New Roman" w:cs="Times New Roman"/>
          <w:lang w:eastAsia="de-DE"/>
        </w:rPr>
        <w:t xml:space="preserve">(sehen) und </w:t>
      </w:r>
      <w:r w:rsidRPr="00577688">
        <w:rPr>
          <w:rFonts w:eastAsia="Times New Roman" w:cs="Times New Roman"/>
          <w:b/>
          <w:bCs/>
          <w:rtl/>
          <w:lang w:eastAsia="de-DE"/>
        </w:rPr>
        <w:t>ידע</w:t>
      </w:r>
      <w:r w:rsidRPr="00577688">
        <w:rPr>
          <w:rFonts w:eastAsia="Times New Roman" w:cs="Times New Roman"/>
          <w:rtl/>
          <w:lang w:eastAsia="de-DE"/>
        </w:rPr>
        <w:t xml:space="preserve"> </w:t>
      </w:r>
      <w:r w:rsidRPr="00577688">
        <w:rPr>
          <w:rFonts w:eastAsia="Times New Roman" w:cs="Times New Roman"/>
          <w:lang w:eastAsia="de-DE"/>
        </w:rPr>
        <w:t>(wissen) im Qal-</w:t>
      </w:r>
      <w:r w:rsidRPr="00577688">
        <w:rPr>
          <w:rFonts w:eastAsia="Times New Roman" w:cs="Times New Roman"/>
          <w:lang w:eastAsia="de-DE"/>
        </w:rPr>
        <w:lastRenderedPageBreak/>
        <w:t xml:space="preserve">Perfekt 3. Person maskulin Singular. Die Disjunktionen </w:t>
      </w:r>
      <w:r w:rsidRPr="00577688">
        <w:rPr>
          <w:rFonts w:eastAsia="Times New Roman" w:cs="Times New Roman"/>
          <w:b/>
          <w:bCs/>
          <w:rtl/>
          <w:lang w:eastAsia="de-DE"/>
        </w:rPr>
        <w:t>או...או</w:t>
      </w:r>
      <w:r w:rsidRPr="00577688">
        <w:rPr>
          <w:rFonts w:eastAsia="Times New Roman" w:cs="Times New Roman"/>
          <w:rtl/>
          <w:lang w:eastAsia="de-DE"/>
        </w:rPr>
        <w:t xml:space="preserve"> </w:t>
      </w:r>
      <w:r w:rsidRPr="00577688">
        <w:rPr>
          <w:rFonts w:eastAsia="Times New Roman" w:cs="Times New Roman"/>
          <w:lang w:eastAsia="de-DE"/>
        </w:rPr>
        <w:t>(oder...oder) zeigen alternative Wissensgrade.</w:t>
      </w:r>
    </w:p>
    <w:p w14:paraId="3DF14B9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אִם־ל֥וֹא יַגִּ֖יד וְנָשָׂ֥א עֲוֹנֹֽו</w:t>
      </w:r>
      <w:r w:rsidRPr="00577688">
        <w:rPr>
          <w:rFonts w:eastAsia="Times New Roman" w:cs="Times New Roman"/>
          <w:rtl/>
          <w:lang w:eastAsia="de-DE"/>
        </w:rPr>
        <w:t xml:space="preserve"> </w:t>
      </w:r>
      <w:r w:rsidRPr="00577688">
        <w:rPr>
          <w:rFonts w:eastAsia="Times New Roman" w:cs="Times New Roman"/>
          <w:lang w:eastAsia="de-DE"/>
        </w:rPr>
        <w:t xml:space="preserve">(wenn er es nicht anzeigt, so soll er seine Schuld tragen) zeigt die Konsequenz. </w:t>
      </w:r>
      <w:r w:rsidRPr="00577688">
        <w:rPr>
          <w:rFonts w:eastAsia="Times New Roman" w:cs="Times New Roman"/>
          <w:b/>
          <w:bCs/>
          <w:rtl/>
          <w:lang w:eastAsia="de-DE"/>
        </w:rPr>
        <w:t>אם־לא</w:t>
      </w:r>
      <w:r w:rsidRPr="00577688">
        <w:rPr>
          <w:rFonts w:eastAsia="Times New Roman" w:cs="Times New Roman"/>
          <w:rtl/>
          <w:lang w:eastAsia="de-DE"/>
        </w:rPr>
        <w:t xml:space="preserve"> </w:t>
      </w:r>
      <w:r w:rsidRPr="00577688">
        <w:rPr>
          <w:rFonts w:eastAsia="Times New Roman" w:cs="Times New Roman"/>
          <w:lang w:eastAsia="de-DE"/>
        </w:rPr>
        <w:t xml:space="preserve">(wenn nicht) als negative Kondition, </w:t>
      </w:r>
      <w:r w:rsidRPr="00577688">
        <w:rPr>
          <w:rFonts w:eastAsia="Times New Roman" w:cs="Times New Roman"/>
          <w:b/>
          <w:bCs/>
          <w:rtl/>
          <w:lang w:eastAsia="de-DE"/>
        </w:rPr>
        <w:t>יגיד</w:t>
      </w:r>
      <w:r w:rsidRPr="00577688">
        <w:rPr>
          <w:rFonts w:eastAsia="Times New Roman" w:cs="Times New Roman"/>
          <w:rtl/>
          <w:lang w:eastAsia="de-DE"/>
        </w:rPr>
        <w:t xml:space="preserve"> </w:t>
      </w:r>
      <w:r w:rsidRPr="00577688">
        <w:rPr>
          <w:rFonts w:eastAsia="Times New Roman" w:cs="Times New Roman"/>
          <w:lang w:eastAsia="de-DE"/>
        </w:rPr>
        <w:t xml:space="preserve">(er zeigt an) im Hifil-Imperfekt 3. Person maskulin Singular von </w:t>
      </w:r>
      <w:r w:rsidRPr="00577688">
        <w:rPr>
          <w:rFonts w:eastAsia="Times New Roman" w:cs="Times New Roman"/>
          <w:b/>
          <w:bCs/>
          <w:rtl/>
          <w:lang w:eastAsia="de-DE"/>
        </w:rPr>
        <w:t>נגד</w:t>
      </w:r>
      <w:r w:rsidRPr="00577688">
        <w:rPr>
          <w:rFonts w:eastAsia="Times New Roman" w:cs="Times New Roman"/>
          <w:rtl/>
          <w:lang w:eastAsia="de-DE"/>
        </w:rPr>
        <w:t xml:space="preserve"> </w:t>
      </w:r>
      <w:r w:rsidRPr="00577688">
        <w:rPr>
          <w:rFonts w:eastAsia="Times New Roman" w:cs="Times New Roman"/>
          <w:lang w:eastAsia="de-DE"/>
        </w:rPr>
        <w:t xml:space="preserve">(berichten/anzeigen). </w:t>
      </w:r>
      <w:r w:rsidRPr="00577688">
        <w:rPr>
          <w:rFonts w:eastAsia="Times New Roman" w:cs="Times New Roman"/>
          <w:b/>
          <w:bCs/>
          <w:rtl/>
          <w:lang w:eastAsia="de-DE"/>
        </w:rPr>
        <w:t>ונשא עונו</w:t>
      </w:r>
      <w:r w:rsidRPr="00577688">
        <w:rPr>
          <w:rFonts w:eastAsia="Times New Roman" w:cs="Times New Roman"/>
          <w:rtl/>
          <w:lang w:eastAsia="de-DE"/>
        </w:rPr>
        <w:t xml:space="preserve"> </w:t>
      </w:r>
      <w:r w:rsidRPr="00577688">
        <w:rPr>
          <w:rFonts w:eastAsia="Times New Roman" w:cs="Times New Roman"/>
          <w:lang w:eastAsia="de-DE"/>
        </w:rPr>
        <w:t xml:space="preserve">(und er soll seine Schuld tragen) mit </w:t>
      </w:r>
      <w:r w:rsidRPr="00577688">
        <w:rPr>
          <w:rFonts w:eastAsia="Times New Roman" w:cs="Times New Roman"/>
          <w:b/>
          <w:bCs/>
          <w:rtl/>
          <w:lang w:eastAsia="de-DE"/>
        </w:rPr>
        <w:t>נשא</w:t>
      </w:r>
      <w:r w:rsidRPr="00577688">
        <w:rPr>
          <w:rFonts w:eastAsia="Times New Roman" w:cs="Times New Roman"/>
          <w:rtl/>
          <w:lang w:eastAsia="de-DE"/>
        </w:rPr>
        <w:t xml:space="preserve"> </w:t>
      </w:r>
      <w:r w:rsidRPr="00577688">
        <w:rPr>
          <w:rFonts w:eastAsia="Times New Roman" w:cs="Times New Roman"/>
          <w:lang w:eastAsia="de-DE"/>
        </w:rPr>
        <w:t xml:space="preserve">(tragen) und </w:t>
      </w:r>
      <w:r w:rsidRPr="00577688">
        <w:rPr>
          <w:rFonts w:eastAsia="Times New Roman" w:cs="Times New Roman"/>
          <w:b/>
          <w:bCs/>
          <w:rtl/>
          <w:lang w:eastAsia="de-DE"/>
        </w:rPr>
        <w:t>עון</w:t>
      </w:r>
      <w:r w:rsidRPr="00577688">
        <w:rPr>
          <w:rFonts w:eastAsia="Times New Roman" w:cs="Times New Roman"/>
          <w:rtl/>
          <w:lang w:eastAsia="de-DE"/>
        </w:rPr>
        <w:t xml:space="preserve"> </w:t>
      </w:r>
      <w:r w:rsidRPr="00577688">
        <w:rPr>
          <w:rFonts w:eastAsia="Times New Roman" w:cs="Times New Roman"/>
          <w:lang w:eastAsia="de-DE"/>
        </w:rPr>
        <w:t>(Schuld/Ungerechtigkeit).</w:t>
      </w:r>
    </w:p>
    <w:p w14:paraId="6CECF2A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קול אלה</w:t>
      </w:r>
      <w:r w:rsidRPr="00577688">
        <w:rPr>
          <w:rFonts w:eastAsia="Times New Roman" w:cs="Times New Roman"/>
          <w:rtl/>
          <w:lang w:eastAsia="de-DE"/>
        </w:rPr>
        <w:t xml:space="preserve"> </w:t>
      </w:r>
      <w:r w:rsidRPr="00577688">
        <w:rPr>
          <w:rFonts w:eastAsia="Times New Roman" w:cs="Times New Roman"/>
          <w:lang w:eastAsia="de-DE"/>
        </w:rPr>
        <w:t xml:space="preserve">(Stimme des Fluches) bezeichnet eine öffentliche Beschwörung, bei der Zeugen aufgerufen werden, unter Androhung eines Fluches auszusagen. </w:t>
      </w:r>
      <w:r w:rsidRPr="00577688">
        <w:rPr>
          <w:rFonts w:eastAsia="Times New Roman" w:cs="Times New Roman"/>
          <w:b/>
          <w:bCs/>
          <w:rtl/>
          <w:lang w:eastAsia="de-DE"/>
        </w:rPr>
        <w:t>עד או ראה או ידע</w:t>
      </w:r>
      <w:r w:rsidRPr="00577688">
        <w:rPr>
          <w:rFonts w:eastAsia="Times New Roman" w:cs="Times New Roman"/>
          <w:rtl/>
          <w:lang w:eastAsia="de-DE"/>
        </w:rPr>
        <w:t xml:space="preserve"> </w:t>
      </w:r>
      <w:r w:rsidRPr="00577688">
        <w:rPr>
          <w:rFonts w:eastAsia="Times New Roman" w:cs="Times New Roman"/>
          <w:lang w:eastAsia="de-DE"/>
        </w:rPr>
        <w:t>zeigt verschiedene Grade des Zeugenwissens: formeller Zeuge, Augenzeuge, oder anderweitig Wissender.</w:t>
      </w:r>
    </w:p>
    <w:p w14:paraId="59270AD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יגיד</w:t>
      </w:r>
      <w:r w:rsidRPr="00577688">
        <w:rPr>
          <w:rFonts w:eastAsia="Times New Roman" w:cs="Times New Roman"/>
          <w:rtl/>
          <w:lang w:eastAsia="de-DE"/>
        </w:rPr>
        <w:t xml:space="preserve"> </w:t>
      </w:r>
      <w:r w:rsidRPr="00577688">
        <w:rPr>
          <w:rFonts w:eastAsia="Times New Roman" w:cs="Times New Roman"/>
          <w:lang w:eastAsia="de-DE"/>
        </w:rPr>
        <w:t xml:space="preserve">(anzeigen/berichten) ist die Verpflichtung zur Zeugenaussage. </w:t>
      </w:r>
      <w:r w:rsidRPr="00577688">
        <w:rPr>
          <w:rFonts w:eastAsia="Times New Roman" w:cs="Times New Roman"/>
          <w:b/>
          <w:bCs/>
          <w:rtl/>
          <w:lang w:eastAsia="de-DE"/>
        </w:rPr>
        <w:t>נשא עון</w:t>
      </w:r>
      <w:r w:rsidRPr="00577688">
        <w:rPr>
          <w:rFonts w:eastAsia="Times New Roman" w:cs="Times New Roman"/>
          <w:rtl/>
          <w:lang w:eastAsia="de-DE"/>
        </w:rPr>
        <w:t xml:space="preserve"> </w:t>
      </w:r>
      <w:r w:rsidRPr="00577688">
        <w:rPr>
          <w:rFonts w:eastAsia="Times New Roman" w:cs="Times New Roman"/>
          <w:lang w:eastAsia="de-DE"/>
        </w:rPr>
        <w:t xml:space="preserve">(Schuld tragen) bedeutet die Konsequenzen der Unterlassung zu tragen, was </w:t>
      </w:r>
      <w:r w:rsidRPr="00577688">
        <w:rPr>
          <w:rFonts w:eastAsia="Times New Roman" w:cs="Times New Roman"/>
          <w:b/>
          <w:bCs/>
          <w:rtl/>
          <w:lang w:eastAsia="de-DE"/>
        </w:rPr>
        <w:t>חטאת</w:t>
      </w:r>
      <w:r w:rsidRPr="00577688">
        <w:rPr>
          <w:rFonts w:eastAsia="Times New Roman" w:cs="Times New Roman"/>
          <w:lang w:eastAsia="de-DE"/>
        </w:rPr>
        <w:t>-pflichtig macht.</w:t>
      </w:r>
    </w:p>
    <w:p w14:paraId="49D7262E" w14:textId="3E2A5D93"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übersetzt </w:t>
      </w:r>
      <w:r w:rsidR="005070BF">
        <w:rPr>
          <w:rtl/>
        </w:rPr>
        <w:t>קול אלה</w:t>
      </w:r>
      <w:r w:rsidR="005070BF">
        <w:t xml:space="preserve"> (qol </w:t>
      </w:r>
      <w:proofErr w:type="spellStart"/>
      <w:r w:rsidR="005070BF">
        <w:t>ala</w:t>
      </w:r>
      <w:proofErr w:type="spellEnd"/>
      <w:r w:rsidR="005070BF">
        <w:t xml:space="preserve"> - "Stimme des Fluchs/Schwurs") als </w:t>
      </w:r>
      <w:proofErr w:type="spellStart"/>
      <w:r w:rsidR="005070BF">
        <w:t>φωνὴν</w:t>
      </w:r>
      <w:proofErr w:type="spellEnd"/>
      <w:r w:rsidR="005070BF">
        <w:t xml:space="preserve"> </w:t>
      </w:r>
      <w:proofErr w:type="spellStart"/>
      <w:r w:rsidR="005070BF">
        <w:t>ὁρκισμοῦ</w:t>
      </w:r>
      <w:proofErr w:type="spellEnd"/>
      <w:r w:rsidR="005070BF">
        <w:t xml:space="preserve"> (Stimme der Vereidigung), was eine präzisere juristische Terminologie verwendet. Das hebräische </w:t>
      </w:r>
      <w:r w:rsidR="005070BF">
        <w:rPr>
          <w:rtl/>
        </w:rPr>
        <w:t>ונשא עונו</w:t>
      </w:r>
      <w:r w:rsidR="005070BF">
        <w:t xml:space="preserve"> (</w:t>
      </w:r>
      <w:proofErr w:type="spellStart"/>
      <w:r w:rsidR="005070BF">
        <w:t>wenasa</w:t>
      </w:r>
      <w:proofErr w:type="spellEnd"/>
      <w:r w:rsidR="005070BF">
        <w:t xml:space="preserve"> </w:t>
      </w:r>
      <w:proofErr w:type="spellStart"/>
      <w:r w:rsidR="005070BF">
        <w:t>avono</w:t>
      </w:r>
      <w:proofErr w:type="spellEnd"/>
      <w:r w:rsidR="005070BF">
        <w:t xml:space="preserve"> - "und er trägt seine Schuld") wird als </w:t>
      </w:r>
      <w:proofErr w:type="spellStart"/>
      <w:r w:rsidR="005070BF">
        <w:t>λήμψετ</w:t>
      </w:r>
      <w:proofErr w:type="spellEnd"/>
      <w:r w:rsidR="005070BF">
        <w:t xml:space="preserve">αι </w:t>
      </w:r>
      <w:proofErr w:type="spellStart"/>
      <w:r w:rsidR="005070BF">
        <w:t>τὴν</w:t>
      </w:r>
      <w:proofErr w:type="spellEnd"/>
      <w:r w:rsidR="005070BF">
        <w:t xml:space="preserve"> </w:t>
      </w:r>
      <w:proofErr w:type="spellStart"/>
      <w:r w:rsidR="005070BF">
        <w:t>ἁμ</w:t>
      </w:r>
      <w:proofErr w:type="spellEnd"/>
      <w:r w:rsidR="005070BF">
        <w:t>αρτίαν (er wird die Sünde empfangen) wiedergegeben.</w:t>
      </w:r>
    </w:p>
    <w:p w14:paraId="5DE091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Protasis (Subjekt + Konditionspartikel + Verb + koordiniertes Verb + Objekt + Subjekt + Alternativen) + Apodosis (negative Kondition + Verb + Konsequenz). Die Struktur zeigt die Bedingungen für Zeugenpflicht und deren Verletzung.</w:t>
      </w:r>
    </w:p>
    <w:p w14:paraId="0B31E6C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eine neue </w:t>
      </w:r>
      <w:r w:rsidRPr="00577688">
        <w:rPr>
          <w:rFonts w:eastAsia="Times New Roman" w:cs="Times New Roman"/>
          <w:b/>
          <w:bCs/>
          <w:rtl/>
          <w:lang w:eastAsia="de-DE"/>
        </w:rPr>
        <w:t>חטאת</w:t>
      </w:r>
      <w:r w:rsidRPr="00577688">
        <w:rPr>
          <w:rFonts w:eastAsia="Times New Roman" w:cs="Times New Roman"/>
          <w:lang w:eastAsia="de-DE"/>
        </w:rPr>
        <w:t>-Kategorie ein: Unterlassung der Zeugenaussage trotz Wissen, was über unbewusste Vergehen hinausgeht.</w:t>
      </w:r>
    </w:p>
    <w:p w14:paraId="146E0FB2"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w:t>
      </w:r>
    </w:p>
    <w:p w14:paraId="5D5CDF2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 נֶ֗פֶשׁ אֲשֶׁ֣ר תִּגַּע֮ בְּכָל־דָּבָ֣ר טָמֵא֒ אוֹ֩ בְנִבְלַ֨ת חַיָּ֜ה טְמֵאָ֗ה א֚וֹ בְּנִבְלַת֙ בְּהֵמָ֣ה טְמֵאָ֔ה א֕וֹ בְּנִבְלַ֖ת שֶׁ֣רֶץ טָמֵ֑א וְנֶעְלַ֣ם מִמֶּ֔נּוּ וְה֥וּא טָמֵ֖א וְאָשֵֽׁם׃</w:t>
      </w:r>
    </w:p>
    <w:p w14:paraId="4EE8C90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oder wenn jemand irgendetwas Unreines anrührt, sei es das Aas eines unreinen wilden Tieres oder das Aas eines unreinen Viehs oder das Aas eines unreinen kriechenden Tieres, und es ist ihm verborgen, und er ist unrein und verschuldet sich;</w:t>
      </w:r>
    </w:p>
    <w:p w14:paraId="537616A5"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99A8658">
          <v:rect id="_x0000_i1111" style="width:0;height:1.5pt" o:hralign="center" o:hrstd="t" o:hr="t" fillcolor="#a0a0a0" stroked="f"/>
        </w:pict>
      </w:r>
    </w:p>
    <w:p w14:paraId="744F9BB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 נֶ֗פֶשׁ אֲשֶׁ֣ר תִּגַּע֮ בְּכָל־דָּבָ֣ר טָמֵא֒</w:t>
      </w:r>
      <w:r w:rsidRPr="00577688">
        <w:rPr>
          <w:rFonts w:eastAsia="Times New Roman" w:cs="Times New Roman"/>
          <w:rtl/>
          <w:lang w:eastAsia="de-DE"/>
        </w:rPr>
        <w:t xml:space="preserve"> </w:t>
      </w:r>
      <w:r w:rsidRPr="00577688">
        <w:rPr>
          <w:rFonts w:eastAsia="Times New Roman" w:cs="Times New Roman"/>
          <w:lang w:eastAsia="de-DE"/>
        </w:rPr>
        <w:t xml:space="preserve">(oder eine Seele, die irgendetwas Unreines berührt) führt den zweiten Fall ein. </w:t>
      </w:r>
      <w:r w:rsidRPr="00577688">
        <w:rPr>
          <w:rFonts w:eastAsia="Times New Roman" w:cs="Times New Roman"/>
          <w:b/>
          <w:bCs/>
          <w:rtl/>
          <w:lang w:eastAsia="de-DE"/>
        </w:rPr>
        <w:t>או</w:t>
      </w:r>
      <w:r w:rsidRPr="00577688">
        <w:rPr>
          <w:rFonts w:eastAsia="Times New Roman" w:cs="Times New Roman"/>
          <w:rtl/>
          <w:lang w:eastAsia="de-DE"/>
        </w:rPr>
        <w:t xml:space="preserve"> </w:t>
      </w:r>
      <w:r w:rsidRPr="00577688">
        <w:rPr>
          <w:rFonts w:eastAsia="Times New Roman" w:cs="Times New Roman"/>
          <w:lang w:eastAsia="de-DE"/>
        </w:rPr>
        <w:t xml:space="preserve">(oder) koordiniert mit V. 1, </w:t>
      </w:r>
      <w:r w:rsidRPr="00577688">
        <w:rPr>
          <w:rFonts w:eastAsia="Times New Roman" w:cs="Times New Roman"/>
          <w:b/>
          <w:bCs/>
          <w:rtl/>
          <w:lang w:eastAsia="de-DE"/>
        </w:rPr>
        <w:t>נפש אשר</w:t>
      </w:r>
      <w:r w:rsidRPr="00577688">
        <w:rPr>
          <w:rFonts w:eastAsia="Times New Roman" w:cs="Times New Roman"/>
          <w:rtl/>
          <w:lang w:eastAsia="de-DE"/>
        </w:rPr>
        <w:t xml:space="preserve"> </w:t>
      </w:r>
      <w:r w:rsidRPr="00577688">
        <w:rPr>
          <w:rFonts w:eastAsia="Times New Roman" w:cs="Times New Roman"/>
          <w:lang w:eastAsia="de-DE"/>
        </w:rPr>
        <w:t xml:space="preserve">(eine Seele, die) als Relativkonstruktion, </w:t>
      </w:r>
      <w:r w:rsidRPr="00577688">
        <w:rPr>
          <w:rFonts w:eastAsia="Times New Roman" w:cs="Times New Roman"/>
          <w:b/>
          <w:bCs/>
          <w:rtl/>
          <w:lang w:eastAsia="de-DE"/>
        </w:rPr>
        <w:t>תגע</w:t>
      </w:r>
      <w:r w:rsidRPr="00577688">
        <w:rPr>
          <w:rFonts w:eastAsia="Times New Roman" w:cs="Times New Roman"/>
          <w:rtl/>
          <w:lang w:eastAsia="de-DE"/>
        </w:rPr>
        <w:t xml:space="preserve"> </w:t>
      </w:r>
      <w:r w:rsidRPr="00577688">
        <w:rPr>
          <w:rFonts w:eastAsia="Times New Roman" w:cs="Times New Roman"/>
          <w:lang w:eastAsia="de-DE"/>
        </w:rPr>
        <w:t xml:space="preserve">(sie berührt) im Qal-Imperfekt 3. Person feminin Singular. </w:t>
      </w:r>
      <w:r w:rsidRPr="00577688">
        <w:rPr>
          <w:rFonts w:eastAsia="Times New Roman" w:cs="Times New Roman"/>
          <w:b/>
          <w:bCs/>
          <w:rtl/>
          <w:lang w:eastAsia="de-DE"/>
        </w:rPr>
        <w:t>כל־דבר טמא</w:t>
      </w:r>
      <w:r w:rsidRPr="00577688">
        <w:rPr>
          <w:rFonts w:eastAsia="Times New Roman" w:cs="Times New Roman"/>
          <w:rtl/>
          <w:lang w:eastAsia="de-DE"/>
        </w:rPr>
        <w:t xml:space="preserve"> </w:t>
      </w:r>
      <w:r w:rsidRPr="00577688">
        <w:rPr>
          <w:rFonts w:eastAsia="Times New Roman" w:cs="Times New Roman"/>
          <w:lang w:eastAsia="de-DE"/>
        </w:rPr>
        <w:t>(irgendetwas Unreines) als allgemeine Kategorie.</w:t>
      </w:r>
    </w:p>
    <w:p w14:paraId="2D16C62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אוֹ֩ בְנִבְלַ֨ת חַיָּ֜ה טְמֵאָ֗ה א֚וֹ בְּנִבְלַת֙ בְּהֵמָ֣ה טְמֵאָ֔ה א֕וֹ בְּנִבְלַ֖ת שֶׁ֣רֶץ טָמֵ֑א</w:t>
      </w:r>
      <w:r w:rsidRPr="00577688">
        <w:rPr>
          <w:rFonts w:eastAsia="Times New Roman" w:cs="Times New Roman"/>
          <w:rtl/>
          <w:lang w:eastAsia="de-DE"/>
        </w:rPr>
        <w:t xml:space="preserve"> </w:t>
      </w:r>
      <w:r w:rsidRPr="00577688">
        <w:rPr>
          <w:rFonts w:eastAsia="Times New Roman" w:cs="Times New Roman"/>
          <w:lang w:eastAsia="de-DE"/>
        </w:rPr>
        <w:t xml:space="preserve">spezifiziert drei Kategorien von </w:t>
      </w:r>
      <w:r w:rsidRPr="00577688">
        <w:rPr>
          <w:rFonts w:eastAsia="Times New Roman" w:cs="Times New Roman"/>
          <w:b/>
          <w:bCs/>
          <w:rtl/>
          <w:lang w:eastAsia="de-DE"/>
        </w:rPr>
        <w:t>נבלה</w:t>
      </w:r>
      <w:r w:rsidRPr="00577688">
        <w:rPr>
          <w:rFonts w:eastAsia="Times New Roman" w:cs="Times New Roman"/>
          <w:rtl/>
          <w:lang w:eastAsia="de-DE"/>
        </w:rPr>
        <w:t xml:space="preserve"> </w:t>
      </w:r>
      <w:r w:rsidRPr="00577688">
        <w:rPr>
          <w:rFonts w:eastAsia="Times New Roman" w:cs="Times New Roman"/>
          <w:lang w:eastAsia="de-DE"/>
        </w:rPr>
        <w:t xml:space="preserve">(Aas). </w:t>
      </w:r>
      <w:r w:rsidRPr="00577688">
        <w:rPr>
          <w:rFonts w:eastAsia="Times New Roman" w:cs="Times New Roman"/>
          <w:b/>
          <w:bCs/>
          <w:rtl/>
          <w:lang w:eastAsia="de-DE"/>
        </w:rPr>
        <w:t>נבלה</w:t>
      </w:r>
      <w:r w:rsidRPr="00577688">
        <w:rPr>
          <w:rFonts w:eastAsia="Times New Roman" w:cs="Times New Roman"/>
          <w:rtl/>
          <w:lang w:eastAsia="de-DE"/>
        </w:rPr>
        <w:t xml:space="preserve"> </w:t>
      </w:r>
      <w:r w:rsidRPr="00577688">
        <w:rPr>
          <w:rFonts w:eastAsia="Times New Roman" w:cs="Times New Roman"/>
          <w:lang w:eastAsia="de-DE"/>
        </w:rPr>
        <w:t xml:space="preserve">(Aas/Kadaver) von </w:t>
      </w:r>
      <w:r w:rsidRPr="00577688">
        <w:rPr>
          <w:rFonts w:eastAsia="Times New Roman" w:cs="Times New Roman"/>
          <w:b/>
          <w:bCs/>
          <w:rtl/>
          <w:lang w:eastAsia="de-DE"/>
        </w:rPr>
        <w:t>נבל</w:t>
      </w:r>
      <w:r w:rsidRPr="00577688">
        <w:rPr>
          <w:rFonts w:eastAsia="Times New Roman" w:cs="Times New Roman"/>
          <w:rtl/>
          <w:lang w:eastAsia="de-DE"/>
        </w:rPr>
        <w:t xml:space="preserve"> </w:t>
      </w:r>
      <w:r w:rsidRPr="00577688">
        <w:rPr>
          <w:rFonts w:eastAsia="Times New Roman" w:cs="Times New Roman"/>
          <w:lang w:eastAsia="de-DE"/>
        </w:rPr>
        <w:t xml:space="preserve">(verwelken/sterben), </w:t>
      </w:r>
      <w:r w:rsidRPr="00577688">
        <w:rPr>
          <w:rFonts w:eastAsia="Times New Roman" w:cs="Times New Roman"/>
          <w:b/>
          <w:bCs/>
          <w:rtl/>
          <w:lang w:eastAsia="de-DE"/>
        </w:rPr>
        <w:t>חיה טמאה</w:t>
      </w:r>
      <w:r w:rsidRPr="00577688">
        <w:rPr>
          <w:rFonts w:eastAsia="Times New Roman" w:cs="Times New Roman"/>
          <w:rtl/>
          <w:lang w:eastAsia="de-DE"/>
        </w:rPr>
        <w:t xml:space="preserve"> </w:t>
      </w:r>
      <w:r w:rsidRPr="00577688">
        <w:rPr>
          <w:rFonts w:eastAsia="Times New Roman" w:cs="Times New Roman"/>
          <w:lang w:eastAsia="de-DE"/>
        </w:rPr>
        <w:t xml:space="preserve">(unreines wildes Tier), </w:t>
      </w:r>
      <w:r w:rsidRPr="00577688">
        <w:rPr>
          <w:rFonts w:eastAsia="Times New Roman" w:cs="Times New Roman"/>
          <w:b/>
          <w:bCs/>
          <w:rtl/>
          <w:lang w:eastAsia="de-DE"/>
        </w:rPr>
        <w:t>בהמה טמאה</w:t>
      </w:r>
      <w:r w:rsidRPr="00577688">
        <w:rPr>
          <w:rFonts w:eastAsia="Times New Roman" w:cs="Times New Roman"/>
          <w:rtl/>
          <w:lang w:eastAsia="de-DE"/>
        </w:rPr>
        <w:t xml:space="preserve"> </w:t>
      </w:r>
      <w:r w:rsidRPr="00577688">
        <w:rPr>
          <w:rFonts w:eastAsia="Times New Roman" w:cs="Times New Roman"/>
          <w:lang w:eastAsia="de-DE"/>
        </w:rPr>
        <w:t xml:space="preserve">(unreines Vieh), </w:t>
      </w:r>
      <w:r w:rsidRPr="00577688">
        <w:rPr>
          <w:rFonts w:eastAsia="Times New Roman" w:cs="Times New Roman"/>
          <w:b/>
          <w:bCs/>
          <w:rtl/>
          <w:lang w:eastAsia="de-DE"/>
        </w:rPr>
        <w:t>שרץ טמא</w:t>
      </w:r>
      <w:r w:rsidRPr="00577688">
        <w:rPr>
          <w:rFonts w:eastAsia="Times New Roman" w:cs="Times New Roman"/>
          <w:rtl/>
          <w:lang w:eastAsia="de-DE"/>
        </w:rPr>
        <w:t xml:space="preserve"> </w:t>
      </w:r>
      <w:r w:rsidRPr="00577688">
        <w:rPr>
          <w:rFonts w:eastAsia="Times New Roman" w:cs="Times New Roman"/>
          <w:lang w:eastAsia="de-DE"/>
        </w:rPr>
        <w:t>(unreines kriechendes Tier).</w:t>
      </w:r>
    </w:p>
    <w:p w14:paraId="5DBBAE7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וְנֶעְלַ֣ם מִמֶּ֔נּוּ וְה֥וּא טָמֵ֖א וְאָשֵֽׁם</w:t>
      </w:r>
      <w:r w:rsidRPr="00577688">
        <w:rPr>
          <w:rFonts w:eastAsia="Times New Roman" w:cs="Times New Roman"/>
          <w:rtl/>
          <w:lang w:eastAsia="de-DE"/>
        </w:rPr>
        <w:t xml:space="preserve"> </w:t>
      </w:r>
      <w:r w:rsidRPr="00577688">
        <w:rPr>
          <w:rFonts w:eastAsia="Times New Roman" w:cs="Times New Roman"/>
          <w:lang w:eastAsia="de-DE"/>
        </w:rPr>
        <w:t xml:space="preserve">(und es ist ihm verborgen, und er ist unrein und verschuldet sich) zeigt die Bedingungen. </w:t>
      </w:r>
      <w:r w:rsidRPr="00577688">
        <w:rPr>
          <w:rFonts w:eastAsia="Times New Roman" w:cs="Times New Roman"/>
          <w:b/>
          <w:bCs/>
          <w:rtl/>
          <w:lang w:eastAsia="de-DE"/>
        </w:rPr>
        <w:t>נעלם ממנו</w:t>
      </w:r>
      <w:r w:rsidRPr="00577688">
        <w:rPr>
          <w:rFonts w:eastAsia="Times New Roman" w:cs="Times New Roman"/>
          <w:rtl/>
          <w:lang w:eastAsia="de-DE"/>
        </w:rPr>
        <w:t xml:space="preserve"> </w:t>
      </w:r>
      <w:r w:rsidRPr="00577688">
        <w:rPr>
          <w:rFonts w:eastAsia="Times New Roman" w:cs="Times New Roman"/>
          <w:lang w:eastAsia="de-DE"/>
        </w:rPr>
        <w:t xml:space="preserve">(es ist ihm verborgen) von </w:t>
      </w:r>
      <w:r w:rsidRPr="00577688">
        <w:rPr>
          <w:rFonts w:eastAsia="Times New Roman" w:cs="Times New Roman"/>
          <w:b/>
          <w:bCs/>
          <w:rtl/>
          <w:lang w:eastAsia="de-DE"/>
        </w:rPr>
        <w:t>עלם</w:t>
      </w:r>
      <w:r w:rsidRPr="00577688">
        <w:rPr>
          <w:rFonts w:eastAsia="Times New Roman" w:cs="Times New Roman"/>
          <w:rtl/>
          <w:lang w:eastAsia="de-DE"/>
        </w:rPr>
        <w:t xml:space="preserve"> </w:t>
      </w:r>
      <w:r w:rsidRPr="00577688">
        <w:rPr>
          <w:rFonts w:eastAsia="Times New Roman" w:cs="Times New Roman"/>
          <w:lang w:eastAsia="de-DE"/>
        </w:rPr>
        <w:t xml:space="preserve">(verborgen sein) im Nifal-Perfekt mit Waw-Konsekutiv. </w:t>
      </w:r>
      <w:r w:rsidRPr="00577688">
        <w:rPr>
          <w:rFonts w:eastAsia="Times New Roman" w:cs="Times New Roman"/>
          <w:b/>
          <w:bCs/>
          <w:rtl/>
          <w:lang w:eastAsia="de-DE"/>
        </w:rPr>
        <w:t>והוא טמא</w:t>
      </w:r>
      <w:r w:rsidRPr="00577688">
        <w:rPr>
          <w:rFonts w:eastAsia="Times New Roman" w:cs="Times New Roman"/>
          <w:rtl/>
          <w:lang w:eastAsia="de-DE"/>
        </w:rPr>
        <w:t xml:space="preserve"> </w:t>
      </w:r>
      <w:r w:rsidRPr="00577688">
        <w:rPr>
          <w:rFonts w:eastAsia="Times New Roman" w:cs="Times New Roman"/>
          <w:lang w:eastAsia="de-DE"/>
        </w:rPr>
        <w:t xml:space="preserve">(und er ist unrein), </w:t>
      </w:r>
      <w:r w:rsidRPr="00577688">
        <w:rPr>
          <w:rFonts w:eastAsia="Times New Roman" w:cs="Times New Roman"/>
          <w:b/>
          <w:bCs/>
          <w:rtl/>
          <w:lang w:eastAsia="de-DE"/>
        </w:rPr>
        <w:t>ואשם</w:t>
      </w:r>
      <w:r w:rsidRPr="00577688">
        <w:rPr>
          <w:rFonts w:eastAsia="Times New Roman" w:cs="Times New Roman"/>
          <w:rtl/>
          <w:lang w:eastAsia="de-DE"/>
        </w:rPr>
        <w:t xml:space="preserve"> </w:t>
      </w:r>
      <w:r w:rsidRPr="00577688">
        <w:rPr>
          <w:rFonts w:eastAsia="Times New Roman" w:cs="Times New Roman"/>
          <w:lang w:eastAsia="de-DE"/>
        </w:rPr>
        <w:t xml:space="preserve">(und er verschuldet sich) von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(schuldig sein).</w:t>
      </w:r>
    </w:p>
    <w:p w14:paraId="041FDF5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כל־דבר טמא</w:t>
      </w:r>
      <w:r w:rsidRPr="00577688">
        <w:rPr>
          <w:rFonts w:eastAsia="Times New Roman" w:cs="Times New Roman"/>
          <w:rtl/>
          <w:lang w:eastAsia="de-DE"/>
        </w:rPr>
        <w:t xml:space="preserve"> </w:t>
      </w:r>
      <w:r w:rsidRPr="00577688">
        <w:rPr>
          <w:rFonts w:eastAsia="Times New Roman" w:cs="Times New Roman"/>
          <w:lang w:eastAsia="de-DE"/>
        </w:rPr>
        <w:t xml:space="preserve">(alles Unreine) als Oberkategorie wird durch drei spezifische </w:t>
      </w:r>
      <w:r w:rsidRPr="00577688">
        <w:rPr>
          <w:rFonts w:eastAsia="Times New Roman" w:cs="Times New Roman"/>
          <w:b/>
          <w:bCs/>
          <w:rtl/>
          <w:lang w:eastAsia="de-DE"/>
        </w:rPr>
        <w:t>נבלה</w:t>
      </w:r>
      <w:r w:rsidRPr="00577688">
        <w:rPr>
          <w:rFonts w:eastAsia="Times New Roman" w:cs="Times New Roman"/>
          <w:lang w:eastAsia="de-DE"/>
        </w:rPr>
        <w:t xml:space="preserve">-Arten exemplifiziert: </w:t>
      </w:r>
      <w:r w:rsidRPr="00577688">
        <w:rPr>
          <w:rFonts w:eastAsia="Times New Roman" w:cs="Times New Roman"/>
          <w:b/>
          <w:bCs/>
          <w:rtl/>
          <w:lang w:eastAsia="de-DE"/>
        </w:rPr>
        <w:t>חיה טמאה</w:t>
      </w:r>
      <w:r w:rsidRPr="00577688">
        <w:rPr>
          <w:rFonts w:eastAsia="Times New Roman" w:cs="Times New Roman"/>
          <w:rtl/>
          <w:lang w:eastAsia="de-DE"/>
        </w:rPr>
        <w:t xml:space="preserve"> </w:t>
      </w:r>
      <w:r w:rsidRPr="00577688">
        <w:rPr>
          <w:rFonts w:eastAsia="Times New Roman" w:cs="Times New Roman"/>
          <w:lang w:eastAsia="de-DE"/>
        </w:rPr>
        <w:t xml:space="preserve">(unreine Wildtiere wie Löwe, Schwein), </w:t>
      </w:r>
      <w:r w:rsidRPr="00577688">
        <w:rPr>
          <w:rFonts w:eastAsia="Times New Roman" w:cs="Times New Roman"/>
          <w:b/>
          <w:bCs/>
          <w:rtl/>
          <w:lang w:eastAsia="de-DE"/>
        </w:rPr>
        <w:t>בהמה טמאה</w:t>
      </w:r>
      <w:r w:rsidRPr="00577688">
        <w:rPr>
          <w:rFonts w:eastAsia="Times New Roman" w:cs="Times New Roman"/>
          <w:rtl/>
          <w:lang w:eastAsia="de-DE"/>
        </w:rPr>
        <w:t xml:space="preserve"> </w:t>
      </w:r>
      <w:r w:rsidRPr="00577688">
        <w:rPr>
          <w:rFonts w:eastAsia="Times New Roman" w:cs="Times New Roman"/>
          <w:lang w:eastAsia="de-DE"/>
        </w:rPr>
        <w:t xml:space="preserve">(unreine Haustiere), </w:t>
      </w:r>
      <w:r w:rsidRPr="00577688">
        <w:rPr>
          <w:rFonts w:eastAsia="Times New Roman" w:cs="Times New Roman"/>
          <w:b/>
          <w:bCs/>
          <w:rtl/>
          <w:lang w:eastAsia="de-DE"/>
        </w:rPr>
        <w:t>שרץ טמא</w:t>
      </w:r>
      <w:r w:rsidRPr="00577688">
        <w:rPr>
          <w:rFonts w:eastAsia="Times New Roman" w:cs="Times New Roman"/>
          <w:rtl/>
          <w:lang w:eastAsia="de-DE"/>
        </w:rPr>
        <w:t xml:space="preserve"> </w:t>
      </w:r>
      <w:r w:rsidRPr="00577688">
        <w:rPr>
          <w:rFonts w:eastAsia="Times New Roman" w:cs="Times New Roman"/>
          <w:lang w:eastAsia="de-DE"/>
        </w:rPr>
        <w:t>(unreine Kriechtiere/Insekten).</w:t>
      </w:r>
    </w:p>
    <w:p w14:paraId="55C818F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נעלם ממנו</w:t>
      </w:r>
      <w:r w:rsidRPr="00577688">
        <w:rPr>
          <w:rFonts w:eastAsia="Times New Roman" w:cs="Times New Roman"/>
          <w:rtl/>
          <w:lang w:eastAsia="de-DE"/>
        </w:rPr>
        <w:t xml:space="preserve"> </w:t>
      </w:r>
      <w:r w:rsidRPr="00577688">
        <w:rPr>
          <w:rFonts w:eastAsia="Times New Roman" w:cs="Times New Roman"/>
          <w:lang w:eastAsia="de-DE"/>
        </w:rPr>
        <w:t xml:space="preserve">(es ist ihm verborgen) bedeutet, dass die Berührung unbewusst erfolgte oder vergessen wurde. </w:t>
      </w:r>
      <w:r w:rsidRPr="00577688">
        <w:rPr>
          <w:rFonts w:eastAsia="Times New Roman" w:cs="Times New Roman"/>
          <w:b/>
          <w:bCs/>
          <w:rtl/>
          <w:lang w:eastAsia="de-DE"/>
        </w:rPr>
        <w:t>והוא טמא</w:t>
      </w:r>
      <w:r w:rsidRPr="00577688">
        <w:rPr>
          <w:rFonts w:eastAsia="Times New Roman" w:cs="Times New Roman"/>
          <w:rtl/>
          <w:lang w:eastAsia="de-DE"/>
        </w:rPr>
        <w:t xml:space="preserve"> </w:t>
      </w:r>
      <w:r w:rsidRPr="00577688">
        <w:rPr>
          <w:rFonts w:eastAsia="Times New Roman" w:cs="Times New Roman"/>
          <w:lang w:eastAsia="de-DE"/>
        </w:rPr>
        <w:t xml:space="preserve">zeigt, dass objektive </w:t>
      </w:r>
      <w:r w:rsidRPr="00577688">
        <w:rPr>
          <w:rFonts w:eastAsia="Times New Roman" w:cs="Times New Roman"/>
          <w:b/>
          <w:bCs/>
          <w:rtl/>
          <w:lang w:eastAsia="de-DE"/>
        </w:rPr>
        <w:t>טמאה</w:t>
      </w:r>
      <w:r w:rsidRPr="00577688">
        <w:rPr>
          <w:rFonts w:eastAsia="Times New Roman" w:cs="Times New Roman"/>
          <w:rtl/>
          <w:lang w:eastAsia="de-DE"/>
        </w:rPr>
        <w:t xml:space="preserve"> </w:t>
      </w:r>
      <w:r w:rsidRPr="00577688">
        <w:rPr>
          <w:rFonts w:eastAsia="Times New Roman" w:cs="Times New Roman"/>
          <w:lang w:eastAsia="de-DE"/>
        </w:rPr>
        <w:t xml:space="preserve">(Unreinheit) eingetreten ist, unabhängig vom Bewusstsein. </w:t>
      </w:r>
      <w:r w:rsidRPr="00577688">
        <w:rPr>
          <w:rFonts w:eastAsia="Times New Roman" w:cs="Times New Roman"/>
          <w:b/>
          <w:bCs/>
          <w:rtl/>
          <w:lang w:eastAsia="de-DE"/>
        </w:rPr>
        <w:t>ואשם</w:t>
      </w:r>
      <w:r w:rsidRPr="00577688">
        <w:rPr>
          <w:rFonts w:eastAsia="Times New Roman" w:cs="Times New Roman"/>
          <w:rtl/>
          <w:lang w:eastAsia="de-DE"/>
        </w:rPr>
        <w:t xml:space="preserve"> </w:t>
      </w:r>
      <w:r w:rsidRPr="00577688">
        <w:rPr>
          <w:rFonts w:eastAsia="Times New Roman" w:cs="Times New Roman"/>
          <w:lang w:eastAsia="de-DE"/>
        </w:rPr>
        <w:t xml:space="preserve">macht diese zur </w:t>
      </w:r>
      <w:r w:rsidRPr="00577688">
        <w:rPr>
          <w:rFonts w:eastAsia="Times New Roman" w:cs="Times New Roman"/>
          <w:b/>
          <w:bCs/>
          <w:rtl/>
          <w:lang w:eastAsia="de-DE"/>
        </w:rPr>
        <w:t>חטאת</w:t>
      </w:r>
      <w:r w:rsidRPr="00577688">
        <w:rPr>
          <w:rFonts w:eastAsia="Times New Roman" w:cs="Times New Roman"/>
          <w:lang w:eastAsia="de-DE"/>
        </w:rPr>
        <w:t>-pflichtigen Verfehlung.</w:t>
      </w:r>
    </w:p>
    <w:p w14:paraId="7871DDEB" w14:textId="283D47E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5070BF">
        <w:t xml:space="preserve">fügt </w:t>
      </w:r>
      <w:proofErr w:type="spellStart"/>
      <w:r w:rsidR="005070BF">
        <w:t>θηρι</w:t>
      </w:r>
      <w:proofErr w:type="spellEnd"/>
      <w:r w:rsidR="005070BF">
        <w:t xml:space="preserve">αλώτου </w:t>
      </w:r>
      <w:proofErr w:type="spellStart"/>
      <w:r w:rsidR="005070BF">
        <w:t>ἀκ</w:t>
      </w:r>
      <w:proofErr w:type="spellEnd"/>
      <w:r w:rsidR="005070BF">
        <w:t xml:space="preserve">αθάρτου (von unreinen wilden Tieren getötet) hinzu, was eine spezifizierende Erklärung für </w:t>
      </w:r>
      <w:r w:rsidR="005070BF">
        <w:rPr>
          <w:rtl/>
        </w:rPr>
        <w:t>נבלת חיה טמאה</w:t>
      </w:r>
      <w:r w:rsidR="005070BF">
        <w:t xml:space="preserve"> darstellt. Die LXX strukturiert auch anders mit β</w:t>
      </w:r>
      <w:proofErr w:type="spellStart"/>
      <w:r w:rsidR="005070BF">
        <w:t>δελυγμάτων</w:t>
      </w:r>
      <w:proofErr w:type="spellEnd"/>
      <w:r w:rsidR="005070BF">
        <w:t xml:space="preserve"> (Gräuel) für </w:t>
      </w:r>
      <w:r w:rsidR="005070BF">
        <w:rPr>
          <w:rtl/>
        </w:rPr>
        <w:t>שרץ</w:t>
      </w:r>
      <w:r w:rsidR="005070BF">
        <w:t>.</w:t>
      </w:r>
    </w:p>
    <w:p w14:paraId="435B70B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Relativkonstruktion: koordinierende Konjunktion + Subjekt mit Relativsatz + allgemeine Kategorie + drei spezifische Alternativen + drei koordinierte Konsequenzen. Die Struktur zeigt unbewusste Verunreinigung als </w:t>
      </w:r>
      <w:r w:rsidRPr="00577688">
        <w:rPr>
          <w:rFonts w:eastAsia="Times New Roman" w:cs="Times New Roman"/>
          <w:b/>
          <w:bCs/>
          <w:rtl/>
          <w:lang w:eastAsia="de-DE"/>
        </w:rPr>
        <w:t>חטאת</w:t>
      </w:r>
      <w:r w:rsidRPr="00577688">
        <w:rPr>
          <w:rFonts w:eastAsia="Times New Roman" w:cs="Times New Roman"/>
          <w:lang w:eastAsia="de-DE"/>
        </w:rPr>
        <w:t>-Fall.</w:t>
      </w:r>
    </w:p>
    <w:p w14:paraId="25FEF49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erweitert die </w:t>
      </w:r>
      <w:r w:rsidRPr="00577688">
        <w:rPr>
          <w:rFonts w:eastAsia="Times New Roman" w:cs="Times New Roman"/>
          <w:b/>
          <w:bCs/>
          <w:rtl/>
          <w:lang w:eastAsia="de-DE"/>
        </w:rPr>
        <w:t>חטאת</w:t>
      </w:r>
      <w:r w:rsidRPr="00577688">
        <w:rPr>
          <w:rFonts w:eastAsia="Times New Roman" w:cs="Times New Roman"/>
          <w:lang w:eastAsia="de-DE"/>
        </w:rPr>
        <w:t>-Kategorien auf unbewusste rituelle Verunreinigung durch Aasberührung.</w:t>
      </w:r>
    </w:p>
    <w:p w14:paraId="40F9365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5,3</w:t>
      </w:r>
    </w:p>
    <w:p w14:paraId="33A6956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 כִ֤י יִגַּע֙ בְּטֻמְאַ֣ת אָדָ֔ם לְכֹל֙ טֻמְאָתוֹ֔ אֲשֶׁ֥ר יִטְמָ֖א בָּ֑הּ וְנֶעְלַ֣ם מִמֶּ֔נּוּ וְה֥וּא יָדַ֖ע וְאָשֵֽׁם׃</w:t>
      </w:r>
    </w:p>
    <w:p w14:paraId="18BD61B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oder wenn er die Unreinheit eines Menschen anrührt, was für eine Unreinheit von ihm es auch sei, durch die er unrein wird, und es ist ihm verborgen, und er erkennt es, so hat er sich verschuldet;</w:t>
      </w:r>
    </w:p>
    <w:p w14:paraId="3459604D"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820DDCC">
          <v:rect id="_x0000_i1112" style="width:0;height:1.5pt" o:hralign="center" o:hrstd="t" o:hr="t" fillcolor="#a0a0a0" stroked="f"/>
        </w:pict>
      </w:r>
    </w:p>
    <w:p w14:paraId="63D028C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 כִ֤י יִגַּע֙ בְּטֻמְאַ֣ת אָדָ֔ם</w:t>
      </w:r>
      <w:r w:rsidRPr="00577688">
        <w:rPr>
          <w:rFonts w:eastAsia="Times New Roman" w:cs="Times New Roman"/>
          <w:rtl/>
          <w:lang w:eastAsia="de-DE"/>
        </w:rPr>
        <w:t xml:space="preserve"> </w:t>
      </w:r>
      <w:r w:rsidRPr="00577688">
        <w:rPr>
          <w:rFonts w:eastAsia="Times New Roman" w:cs="Times New Roman"/>
          <w:lang w:eastAsia="de-DE"/>
        </w:rPr>
        <w:t xml:space="preserve">(oder wenn er die Unreinheit eines Menschen berührt) führt die dritte Kategorie ein. </w:t>
      </w:r>
      <w:r w:rsidRPr="00577688">
        <w:rPr>
          <w:rFonts w:eastAsia="Times New Roman" w:cs="Times New Roman"/>
          <w:b/>
          <w:bCs/>
          <w:rtl/>
          <w:lang w:eastAsia="de-DE"/>
        </w:rPr>
        <w:t>או כי</w:t>
      </w:r>
      <w:r w:rsidRPr="00577688">
        <w:rPr>
          <w:rFonts w:eastAsia="Times New Roman" w:cs="Times New Roman"/>
          <w:rtl/>
          <w:lang w:eastAsia="de-DE"/>
        </w:rPr>
        <w:t xml:space="preserve"> </w:t>
      </w:r>
      <w:r w:rsidRPr="00577688">
        <w:rPr>
          <w:rFonts w:eastAsia="Times New Roman" w:cs="Times New Roman"/>
          <w:lang w:eastAsia="de-DE"/>
        </w:rPr>
        <w:t xml:space="preserve">(oder wenn) als neue Kondition, </w:t>
      </w:r>
      <w:r w:rsidRPr="00577688">
        <w:rPr>
          <w:rFonts w:eastAsia="Times New Roman" w:cs="Times New Roman"/>
          <w:b/>
          <w:bCs/>
          <w:rtl/>
          <w:lang w:eastAsia="de-DE"/>
        </w:rPr>
        <w:t>יגע</w:t>
      </w:r>
      <w:r w:rsidRPr="00577688">
        <w:rPr>
          <w:rFonts w:eastAsia="Times New Roman" w:cs="Times New Roman"/>
          <w:rtl/>
          <w:lang w:eastAsia="de-DE"/>
        </w:rPr>
        <w:t xml:space="preserve"> </w:t>
      </w:r>
      <w:r w:rsidRPr="00577688">
        <w:rPr>
          <w:rFonts w:eastAsia="Times New Roman" w:cs="Times New Roman"/>
          <w:lang w:eastAsia="de-DE"/>
        </w:rPr>
        <w:t xml:space="preserve">(er berührt) im Qal-Imperfekt 3. Person maskulin Singular, </w:t>
      </w:r>
      <w:r w:rsidRPr="00577688">
        <w:rPr>
          <w:rFonts w:eastAsia="Times New Roman" w:cs="Times New Roman"/>
          <w:b/>
          <w:bCs/>
          <w:rtl/>
          <w:lang w:eastAsia="de-DE"/>
        </w:rPr>
        <w:t>טמאת אדם</w:t>
      </w:r>
      <w:r w:rsidRPr="00577688">
        <w:rPr>
          <w:rFonts w:eastAsia="Times New Roman" w:cs="Times New Roman"/>
          <w:rtl/>
          <w:lang w:eastAsia="de-DE"/>
        </w:rPr>
        <w:t xml:space="preserve"> </w:t>
      </w:r>
      <w:r w:rsidRPr="00577688">
        <w:rPr>
          <w:rFonts w:eastAsia="Times New Roman" w:cs="Times New Roman"/>
          <w:lang w:eastAsia="de-DE"/>
        </w:rPr>
        <w:t>(Unreinheit eines Menschen) als Genitivkonstruktion.</w:t>
      </w:r>
    </w:p>
    <w:p w14:paraId="43B8A2E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לְכֹל֙ טֻמְאָתוֹ֔ אֲשֶׁ֥ר יִטְמָ֖א בָּ֑הּ</w:t>
      </w:r>
      <w:r w:rsidRPr="00577688">
        <w:rPr>
          <w:rFonts w:eastAsia="Times New Roman" w:cs="Times New Roman"/>
          <w:rtl/>
          <w:lang w:eastAsia="de-DE"/>
        </w:rPr>
        <w:t xml:space="preserve"> </w:t>
      </w:r>
      <w:r w:rsidRPr="00577688">
        <w:rPr>
          <w:rFonts w:eastAsia="Times New Roman" w:cs="Times New Roman"/>
          <w:lang w:eastAsia="de-DE"/>
        </w:rPr>
        <w:t xml:space="preserve">(für jede seiner Unreinheiten, durch die er unrein wird) spezifiziert den Umfang. </w:t>
      </w:r>
      <w:r w:rsidRPr="00577688">
        <w:rPr>
          <w:rFonts w:eastAsia="Times New Roman" w:cs="Times New Roman"/>
          <w:b/>
          <w:bCs/>
          <w:rtl/>
          <w:lang w:eastAsia="de-DE"/>
        </w:rPr>
        <w:t>לכל טמאתו</w:t>
      </w:r>
      <w:r w:rsidRPr="00577688">
        <w:rPr>
          <w:rFonts w:eastAsia="Times New Roman" w:cs="Times New Roman"/>
          <w:rtl/>
          <w:lang w:eastAsia="de-DE"/>
        </w:rPr>
        <w:t xml:space="preserve"> </w:t>
      </w:r>
      <w:r w:rsidRPr="00577688">
        <w:rPr>
          <w:rFonts w:eastAsia="Times New Roman" w:cs="Times New Roman"/>
          <w:lang w:eastAsia="de-DE"/>
        </w:rPr>
        <w:t xml:space="preserve">(für jede seiner Unreinheit) mit </w:t>
      </w:r>
      <w:r w:rsidRPr="00577688">
        <w:rPr>
          <w:rFonts w:eastAsia="Times New Roman" w:cs="Times New Roman"/>
          <w:b/>
          <w:bCs/>
          <w:rtl/>
          <w:lang w:eastAsia="de-DE"/>
        </w:rPr>
        <w:t>כל</w:t>
      </w:r>
      <w:r w:rsidRPr="00577688">
        <w:rPr>
          <w:rFonts w:eastAsia="Times New Roman" w:cs="Times New Roman"/>
          <w:rtl/>
          <w:lang w:eastAsia="de-DE"/>
        </w:rPr>
        <w:t xml:space="preserve"> </w:t>
      </w:r>
      <w:r w:rsidRPr="00577688">
        <w:rPr>
          <w:rFonts w:eastAsia="Times New Roman" w:cs="Times New Roman"/>
          <w:lang w:eastAsia="de-DE"/>
        </w:rPr>
        <w:t xml:space="preserve">(alle/jede) für Vollständigkeit. </w:t>
      </w:r>
      <w:r w:rsidRPr="00577688">
        <w:rPr>
          <w:rFonts w:eastAsia="Times New Roman" w:cs="Times New Roman"/>
          <w:b/>
          <w:bCs/>
          <w:rtl/>
          <w:lang w:eastAsia="de-DE"/>
        </w:rPr>
        <w:t>אשר יטמא בה</w:t>
      </w:r>
      <w:r w:rsidRPr="00577688">
        <w:rPr>
          <w:rFonts w:eastAsia="Times New Roman" w:cs="Times New Roman"/>
          <w:rtl/>
          <w:lang w:eastAsia="de-DE"/>
        </w:rPr>
        <w:t xml:space="preserve"> </w:t>
      </w:r>
      <w:r w:rsidRPr="00577688">
        <w:rPr>
          <w:rFonts w:eastAsia="Times New Roman" w:cs="Times New Roman"/>
          <w:lang w:eastAsia="de-DE"/>
        </w:rPr>
        <w:t xml:space="preserve">(durch die er unrein wird) als Relativsatz mit </w:t>
      </w:r>
      <w:r w:rsidRPr="00577688">
        <w:rPr>
          <w:rFonts w:eastAsia="Times New Roman" w:cs="Times New Roman"/>
          <w:b/>
          <w:bCs/>
          <w:rtl/>
          <w:lang w:eastAsia="de-DE"/>
        </w:rPr>
        <w:t>טמא</w:t>
      </w:r>
      <w:r w:rsidRPr="00577688">
        <w:rPr>
          <w:rFonts w:eastAsia="Times New Roman" w:cs="Times New Roman"/>
          <w:rtl/>
          <w:lang w:eastAsia="de-DE"/>
        </w:rPr>
        <w:t xml:space="preserve"> </w:t>
      </w:r>
      <w:r w:rsidRPr="00577688">
        <w:rPr>
          <w:rFonts w:eastAsia="Times New Roman" w:cs="Times New Roman"/>
          <w:lang w:eastAsia="de-DE"/>
        </w:rPr>
        <w:t>(unrein werden) im Qal-Imperfekt.</w:t>
      </w:r>
    </w:p>
    <w:p w14:paraId="1D4F08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וְנֶעְלַ֣ם מִמֶּ֔נּוּ וְה֥וּא יָדַ֖ע וְאָשֵֽׁם</w:t>
      </w:r>
      <w:r w:rsidRPr="00577688">
        <w:rPr>
          <w:rFonts w:eastAsia="Times New Roman" w:cs="Times New Roman"/>
          <w:rtl/>
          <w:lang w:eastAsia="de-DE"/>
        </w:rPr>
        <w:t xml:space="preserve"> </w:t>
      </w:r>
      <w:r w:rsidRPr="00577688">
        <w:rPr>
          <w:rFonts w:eastAsia="Times New Roman" w:cs="Times New Roman"/>
          <w:lang w:eastAsia="de-DE"/>
        </w:rPr>
        <w:t xml:space="preserve">(und es ist ihm verborgen, und er erkennt es, und er verschuldet sich) entspricht V. 2, aber mit </w:t>
      </w:r>
      <w:r w:rsidRPr="00577688">
        <w:rPr>
          <w:rFonts w:eastAsia="Times New Roman" w:cs="Times New Roman"/>
          <w:b/>
          <w:bCs/>
          <w:rtl/>
          <w:lang w:eastAsia="de-DE"/>
        </w:rPr>
        <w:t>והוא ידע</w:t>
      </w:r>
      <w:r w:rsidRPr="00577688">
        <w:rPr>
          <w:rFonts w:eastAsia="Times New Roman" w:cs="Times New Roman"/>
          <w:rtl/>
          <w:lang w:eastAsia="de-DE"/>
        </w:rPr>
        <w:t xml:space="preserve"> </w:t>
      </w:r>
      <w:r w:rsidRPr="00577688">
        <w:rPr>
          <w:rFonts w:eastAsia="Times New Roman" w:cs="Times New Roman"/>
          <w:lang w:eastAsia="de-DE"/>
        </w:rPr>
        <w:t xml:space="preserve">(und er erkennt es) statt </w:t>
      </w:r>
      <w:r w:rsidRPr="00577688">
        <w:rPr>
          <w:rFonts w:eastAsia="Times New Roman" w:cs="Times New Roman"/>
          <w:b/>
          <w:bCs/>
          <w:rtl/>
          <w:lang w:eastAsia="de-DE"/>
        </w:rPr>
        <w:t>והוא טמא</w:t>
      </w:r>
      <w:r w:rsidRPr="00577688">
        <w:rPr>
          <w:rFonts w:eastAsia="Times New Roman" w:cs="Times New Roman"/>
          <w:rtl/>
          <w:lang w:eastAsia="de-DE"/>
        </w:rPr>
        <w:t xml:space="preserve"> </w:t>
      </w:r>
      <w:r w:rsidRPr="00577688">
        <w:rPr>
          <w:rFonts w:eastAsia="Times New Roman" w:cs="Times New Roman"/>
          <w:lang w:eastAsia="de-DE"/>
        </w:rPr>
        <w:t>(und er ist unrein).</w:t>
      </w:r>
    </w:p>
    <w:p w14:paraId="7C0BF57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טמאת אדם</w:t>
      </w:r>
      <w:r w:rsidRPr="00577688">
        <w:rPr>
          <w:rFonts w:eastAsia="Times New Roman" w:cs="Times New Roman"/>
          <w:rtl/>
          <w:lang w:eastAsia="de-DE"/>
        </w:rPr>
        <w:t xml:space="preserve"> </w:t>
      </w:r>
      <w:r w:rsidRPr="00577688">
        <w:rPr>
          <w:rFonts w:eastAsia="Times New Roman" w:cs="Times New Roman"/>
          <w:lang w:eastAsia="de-DE"/>
        </w:rPr>
        <w:t xml:space="preserve">(Unreinheit eines Menschen) umfasst alle Formen menschlicher ritueller Unreinheit: </w:t>
      </w:r>
      <w:r w:rsidRPr="00577688">
        <w:rPr>
          <w:rFonts w:eastAsia="Times New Roman" w:cs="Times New Roman"/>
          <w:b/>
          <w:bCs/>
          <w:rtl/>
          <w:lang w:eastAsia="de-DE"/>
        </w:rPr>
        <w:t>צרעת</w:t>
      </w:r>
      <w:r w:rsidRPr="00577688">
        <w:rPr>
          <w:rFonts w:eastAsia="Times New Roman" w:cs="Times New Roman"/>
          <w:rtl/>
          <w:lang w:eastAsia="de-DE"/>
        </w:rPr>
        <w:t xml:space="preserve"> </w:t>
      </w:r>
      <w:r w:rsidRPr="00577688">
        <w:rPr>
          <w:rFonts w:eastAsia="Times New Roman" w:cs="Times New Roman"/>
          <w:lang w:eastAsia="de-DE"/>
        </w:rPr>
        <w:t xml:space="preserve">(Aussatz), </w:t>
      </w:r>
      <w:r w:rsidRPr="00577688">
        <w:rPr>
          <w:rFonts w:eastAsia="Times New Roman" w:cs="Times New Roman"/>
          <w:b/>
          <w:bCs/>
          <w:rtl/>
          <w:lang w:eastAsia="de-DE"/>
        </w:rPr>
        <w:t>זבה</w:t>
      </w:r>
      <w:r w:rsidRPr="00577688">
        <w:rPr>
          <w:rFonts w:eastAsia="Times New Roman" w:cs="Times New Roman"/>
          <w:rtl/>
          <w:lang w:eastAsia="de-DE"/>
        </w:rPr>
        <w:t xml:space="preserve"> </w:t>
      </w:r>
      <w:r w:rsidRPr="00577688">
        <w:rPr>
          <w:rFonts w:eastAsia="Times New Roman" w:cs="Times New Roman"/>
          <w:lang w:eastAsia="de-DE"/>
        </w:rPr>
        <w:t xml:space="preserve">(Ausfluss), </w:t>
      </w:r>
      <w:r w:rsidRPr="00577688">
        <w:rPr>
          <w:rFonts w:eastAsia="Times New Roman" w:cs="Times New Roman"/>
          <w:b/>
          <w:bCs/>
          <w:rtl/>
          <w:lang w:eastAsia="de-DE"/>
        </w:rPr>
        <w:t>נדה</w:t>
      </w:r>
      <w:r w:rsidRPr="00577688">
        <w:rPr>
          <w:rFonts w:eastAsia="Times New Roman" w:cs="Times New Roman"/>
          <w:rtl/>
          <w:lang w:eastAsia="de-DE"/>
        </w:rPr>
        <w:t xml:space="preserve"> </w:t>
      </w:r>
      <w:r w:rsidRPr="00577688">
        <w:rPr>
          <w:rFonts w:eastAsia="Times New Roman" w:cs="Times New Roman"/>
          <w:lang w:eastAsia="de-DE"/>
        </w:rPr>
        <w:t xml:space="preserve">(Menstruation), Leichenberührung usw. </w:t>
      </w:r>
      <w:r w:rsidRPr="00577688">
        <w:rPr>
          <w:rFonts w:eastAsia="Times New Roman" w:cs="Times New Roman"/>
          <w:b/>
          <w:bCs/>
          <w:rtl/>
          <w:lang w:eastAsia="de-DE"/>
        </w:rPr>
        <w:t>לכל טמאתו</w:t>
      </w:r>
      <w:r w:rsidRPr="00577688">
        <w:rPr>
          <w:rFonts w:eastAsia="Times New Roman" w:cs="Times New Roman"/>
          <w:rtl/>
          <w:lang w:eastAsia="de-DE"/>
        </w:rPr>
        <w:t xml:space="preserve"> </w:t>
      </w:r>
      <w:r w:rsidRPr="00577688">
        <w:rPr>
          <w:rFonts w:eastAsia="Times New Roman" w:cs="Times New Roman"/>
          <w:lang w:eastAsia="de-DE"/>
        </w:rPr>
        <w:t xml:space="preserve">betont die Vollständigkeit aller möglichen </w:t>
      </w:r>
      <w:r w:rsidRPr="00577688">
        <w:rPr>
          <w:rFonts w:eastAsia="Times New Roman" w:cs="Times New Roman"/>
          <w:b/>
          <w:bCs/>
          <w:rtl/>
          <w:lang w:eastAsia="de-DE"/>
        </w:rPr>
        <w:t>טמאה</w:t>
      </w:r>
      <w:r w:rsidRPr="00577688">
        <w:rPr>
          <w:rFonts w:eastAsia="Times New Roman" w:cs="Times New Roman"/>
          <w:lang w:eastAsia="de-DE"/>
        </w:rPr>
        <w:t>-Arten.</w:t>
      </w:r>
    </w:p>
    <w:p w14:paraId="71D4A74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ונעלם ממנו</w:t>
      </w:r>
      <w:r w:rsidRPr="00577688">
        <w:rPr>
          <w:rFonts w:eastAsia="Times New Roman" w:cs="Times New Roman"/>
          <w:rtl/>
          <w:lang w:eastAsia="de-DE"/>
        </w:rPr>
        <w:t xml:space="preserve"> </w:t>
      </w:r>
      <w:r w:rsidRPr="00577688">
        <w:rPr>
          <w:rFonts w:eastAsia="Times New Roman" w:cs="Times New Roman"/>
          <w:lang w:eastAsia="de-DE"/>
        </w:rPr>
        <w:t xml:space="preserve">(und es ist ihm verborgen) zeigt wieder unbewusste Berührung. </w:t>
      </w:r>
      <w:r w:rsidRPr="00577688">
        <w:rPr>
          <w:rFonts w:eastAsia="Times New Roman" w:cs="Times New Roman"/>
          <w:b/>
          <w:bCs/>
          <w:rtl/>
          <w:lang w:eastAsia="de-DE"/>
        </w:rPr>
        <w:t>והוא ידע</w:t>
      </w:r>
      <w:r w:rsidRPr="00577688">
        <w:rPr>
          <w:rFonts w:eastAsia="Times New Roman" w:cs="Times New Roman"/>
          <w:rtl/>
          <w:lang w:eastAsia="de-DE"/>
        </w:rPr>
        <w:t xml:space="preserve"> </w:t>
      </w:r>
      <w:r w:rsidRPr="00577688">
        <w:rPr>
          <w:rFonts w:eastAsia="Times New Roman" w:cs="Times New Roman"/>
          <w:lang w:eastAsia="de-DE"/>
        </w:rPr>
        <w:t xml:space="preserve">(und er erkennt es) markiert den Moment der Bewusstwerdung, der die </w:t>
      </w:r>
      <w:r w:rsidRPr="00577688">
        <w:rPr>
          <w:rFonts w:eastAsia="Times New Roman" w:cs="Times New Roman"/>
          <w:b/>
          <w:bCs/>
          <w:rtl/>
          <w:lang w:eastAsia="de-DE"/>
        </w:rPr>
        <w:t>חטאת</w:t>
      </w:r>
      <w:r w:rsidRPr="00577688">
        <w:rPr>
          <w:rFonts w:eastAsia="Times New Roman" w:cs="Times New Roman"/>
          <w:lang w:eastAsia="de-DE"/>
        </w:rPr>
        <w:t>-Pflicht auslöst.</w:t>
      </w:r>
    </w:p>
    <w:p w14:paraId="0623237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טֻמְאַ֣ת אָדָ֔ם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ἀκ</w:t>
      </w:r>
      <w:proofErr w:type="spellEnd"/>
      <w:r w:rsidRPr="00577688">
        <w:rPr>
          <w:rFonts w:eastAsia="Times New Roman" w:cs="Times New Roman"/>
          <w:lang w:eastAsia="de-DE"/>
        </w:rPr>
        <w:t xml:space="preserve">αθαρσίας </w:t>
      </w:r>
      <w:proofErr w:type="spellStart"/>
      <w:r w:rsidRPr="00577688">
        <w:rPr>
          <w:rFonts w:eastAsia="Times New Roman" w:cs="Times New Roman"/>
          <w:lang w:eastAsia="de-DE"/>
        </w:rPr>
        <w:t>ἀνθρώ</w:t>
      </w:r>
      <w:proofErr w:type="spellEnd"/>
      <w:r w:rsidRPr="00577688">
        <w:rPr>
          <w:rFonts w:eastAsia="Times New Roman" w:cs="Times New Roman"/>
          <w:lang w:eastAsia="de-DE"/>
        </w:rPr>
        <w:t xml:space="preserve">που (Unreinheit eines Menschen), </w:t>
      </w:r>
      <w:r w:rsidRPr="00577688">
        <w:rPr>
          <w:rFonts w:eastAsia="Times New Roman" w:cs="Times New Roman"/>
          <w:b/>
          <w:bCs/>
          <w:rtl/>
          <w:lang w:eastAsia="de-DE"/>
        </w:rPr>
        <w:t>לְכֹל֙ טֻמְאָתוֹ֔</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άσης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ἀκ</w:t>
      </w:r>
      <w:proofErr w:type="spellEnd"/>
      <w:r w:rsidRPr="00577688">
        <w:rPr>
          <w:rFonts w:eastAsia="Times New Roman" w:cs="Times New Roman"/>
          <w:lang w:eastAsia="de-DE"/>
        </w:rPr>
        <w:t>αθαρσίας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(jeder seiner Unreinheit) und </w:t>
      </w:r>
      <w:r w:rsidRPr="00577688">
        <w:rPr>
          <w:rFonts w:eastAsia="Times New Roman" w:cs="Times New Roman"/>
          <w:b/>
          <w:bCs/>
          <w:rtl/>
          <w:lang w:eastAsia="de-DE"/>
        </w:rPr>
        <w:t>יָדַ֖ע</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γνῷ</w:t>
      </w:r>
      <w:proofErr w:type="spellEnd"/>
      <w:r w:rsidRPr="00577688">
        <w:rPr>
          <w:rFonts w:eastAsia="Times New Roman" w:cs="Times New Roman"/>
          <w:lang w:eastAsia="de-DE"/>
        </w:rPr>
        <w:t xml:space="preserve"> (er erkennt).</w:t>
      </w:r>
    </w:p>
    <w:p w14:paraId="0D156F9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koordinierende Konjunktion + Konditionspartikel + Verb + Objekt + universelle Spezifizierung mit Relativsatz + drei koordinierte Bedingungen. Die Struktur betont sowohl Unbewusstheit als auch spätere Erkenntnis.</w:t>
      </w:r>
    </w:p>
    <w:p w14:paraId="0A67C7E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erweitert die Unreinheitskategorien auf menschliche </w:t>
      </w:r>
      <w:r w:rsidRPr="00577688">
        <w:rPr>
          <w:rFonts w:eastAsia="Times New Roman" w:cs="Times New Roman"/>
          <w:b/>
          <w:bCs/>
          <w:rtl/>
          <w:lang w:eastAsia="de-DE"/>
        </w:rPr>
        <w:t>טמאה</w:t>
      </w:r>
      <w:r w:rsidRPr="00577688">
        <w:rPr>
          <w:rFonts w:eastAsia="Times New Roman" w:cs="Times New Roman"/>
          <w:rtl/>
          <w:lang w:eastAsia="de-DE"/>
        </w:rPr>
        <w:t xml:space="preserve"> </w:t>
      </w:r>
      <w:r w:rsidRPr="00577688">
        <w:rPr>
          <w:rFonts w:eastAsia="Times New Roman" w:cs="Times New Roman"/>
          <w:lang w:eastAsia="de-DE"/>
        </w:rPr>
        <w:t>und betont den Erkenntnismoment als Auslöser der Schuld.</w:t>
      </w:r>
    </w:p>
    <w:p w14:paraId="4A6BE784"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5,4</w:t>
      </w:r>
    </w:p>
    <w:p w14:paraId="289D988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 נֶ֡פֶשׁ כִּ֣י תִשָּׁבַע֩ לְבַטֵּ֨א בִשְׂפָתַ֜יִם לְהָרַ֣ע׀ א֣וֹ לְהֵיטִ֗יב לְ֠כֹל אֲשֶׁ֨ר יְבַטֵּ֧א הָאָדָ֛ם בִּשְׁבֻעָ֖ה וְנֶעְלַ֣ם מִמֶּ֑נּוּ וְהוּא־יָדַ֥ע וְאָשֵׁ֖ם לְאַחַ֥ת מֵאֵֽלֶּה׃</w:t>
      </w:r>
    </w:p>
    <w:p w14:paraId="40F2651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oder wenn jemand schwört, indem er unbesonnen mit den Lippen redet, Böses oder Gutes zu tun, nach allem, was ein Mensch mit einem Schwur unbesonnen reden mag, und es ist ihm verborgen, und er erkennt es, so hat er sich in einem von diesen Fällen verschuldet.</w:t>
      </w:r>
    </w:p>
    <w:p w14:paraId="2E1DE819"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FE9B073">
          <v:rect id="_x0000_i1113" style="width:0;height:1.5pt" o:hralign="center" o:hrstd="t" o:hr="t" fillcolor="#a0a0a0" stroked="f"/>
        </w:pict>
      </w:r>
    </w:p>
    <w:p w14:paraId="4C5DC36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 נֶ֡פֶשׁ כִּ֣י תִשָּׁבַע֩ לְבַטֵּ֨א בִשְׂפָתַ֜יִם</w:t>
      </w:r>
      <w:r w:rsidRPr="00577688">
        <w:rPr>
          <w:rFonts w:eastAsia="Times New Roman" w:cs="Times New Roman"/>
          <w:rtl/>
          <w:lang w:eastAsia="de-DE"/>
        </w:rPr>
        <w:t xml:space="preserve"> </w:t>
      </w:r>
      <w:r w:rsidRPr="00577688">
        <w:rPr>
          <w:rFonts w:eastAsia="Times New Roman" w:cs="Times New Roman"/>
          <w:lang w:eastAsia="de-DE"/>
        </w:rPr>
        <w:t xml:space="preserve">(oder wenn eine Seele schwört, unbesonnen mit den Lippen zu reden) führt die vierte Kategorie ein. </w:t>
      </w:r>
      <w:r w:rsidRPr="00577688">
        <w:rPr>
          <w:rFonts w:eastAsia="Times New Roman" w:cs="Times New Roman"/>
          <w:b/>
          <w:bCs/>
          <w:rtl/>
          <w:lang w:eastAsia="de-DE"/>
        </w:rPr>
        <w:t>תשבע</w:t>
      </w:r>
      <w:r w:rsidRPr="00577688">
        <w:rPr>
          <w:rFonts w:eastAsia="Times New Roman" w:cs="Times New Roman"/>
          <w:rtl/>
          <w:lang w:eastAsia="de-DE"/>
        </w:rPr>
        <w:t xml:space="preserve"> </w:t>
      </w:r>
      <w:r w:rsidRPr="00577688">
        <w:rPr>
          <w:rFonts w:eastAsia="Times New Roman" w:cs="Times New Roman"/>
          <w:lang w:eastAsia="de-DE"/>
        </w:rPr>
        <w:t xml:space="preserve">(sie schwört) im Nifal-Imperfekt 3. Person feminin Singular von </w:t>
      </w:r>
      <w:r w:rsidRPr="00577688">
        <w:rPr>
          <w:rFonts w:eastAsia="Times New Roman" w:cs="Times New Roman"/>
          <w:b/>
          <w:bCs/>
          <w:rtl/>
          <w:lang w:eastAsia="de-DE"/>
        </w:rPr>
        <w:t>שבע</w:t>
      </w:r>
      <w:r w:rsidRPr="00577688">
        <w:rPr>
          <w:rFonts w:eastAsia="Times New Roman" w:cs="Times New Roman"/>
          <w:rtl/>
          <w:lang w:eastAsia="de-DE"/>
        </w:rPr>
        <w:t xml:space="preserve"> </w:t>
      </w:r>
      <w:r w:rsidRPr="00577688">
        <w:rPr>
          <w:rFonts w:eastAsia="Times New Roman" w:cs="Times New Roman"/>
          <w:lang w:eastAsia="de-DE"/>
        </w:rPr>
        <w:t xml:space="preserve">(schwören), </w:t>
      </w:r>
      <w:r w:rsidRPr="00577688">
        <w:rPr>
          <w:rFonts w:eastAsia="Times New Roman" w:cs="Times New Roman"/>
          <w:b/>
          <w:bCs/>
          <w:rtl/>
          <w:lang w:eastAsia="de-DE"/>
        </w:rPr>
        <w:t>לבטא</w:t>
      </w:r>
      <w:r w:rsidRPr="00577688">
        <w:rPr>
          <w:rFonts w:eastAsia="Times New Roman" w:cs="Times New Roman"/>
          <w:rtl/>
          <w:lang w:eastAsia="de-DE"/>
        </w:rPr>
        <w:t xml:space="preserve"> </w:t>
      </w:r>
      <w:r w:rsidRPr="00577688">
        <w:rPr>
          <w:rFonts w:eastAsia="Times New Roman" w:cs="Times New Roman"/>
          <w:lang w:eastAsia="de-DE"/>
        </w:rPr>
        <w:t xml:space="preserve">(unbesonnen zu reden) von </w:t>
      </w:r>
      <w:r w:rsidRPr="00577688">
        <w:rPr>
          <w:rFonts w:eastAsia="Times New Roman" w:cs="Times New Roman"/>
          <w:b/>
          <w:bCs/>
          <w:rtl/>
          <w:lang w:eastAsia="de-DE"/>
        </w:rPr>
        <w:t>בטא</w:t>
      </w:r>
      <w:r w:rsidRPr="00577688">
        <w:rPr>
          <w:rFonts w:eastAsia="Times New Roman" w:cs="Times New Roman"/>
          <w:rtl/>
          <w:lang w:eastAsia="de-DE"/>
        </w:rPr>
        <w:t xml:space="preserve"> </w:t>
      </w:r>
      <w:r w:rsidRPr="00577688">
        <w:rPr>
          <w:rFonts w:eastAsia="Times New Roman" w:cs="Times New Roman"/>
          <w:lang w:eastAsia="de-DE"/>
        </w:rPr>
        <w:t xml:space="preserve">(unüberlegt sprechen), </w:t>
      </w:r>
      <w:r w:rsidRPr="00577688">
        <w:rPr>
          <w:rFonts w:eastAsia="Times New Roman" w:cs="Times New Roman"/>
          <w:b/>
          <w:bCs/>
          <w:rtl/>
          <w:lang w:eastAsia="de-DE"/>
        </w:rPr>
        <w:t>בשפתים</w:t>
      </w:r>
      <w:r w:rsidRPr="00577688">
        <w:rPr>
          <w:rFonts w:eastAsia="Times New Roman" w:cs="Times New Roman"/>
          <w:rtl/>
          <w:lang w:eastAsia="de-DE"/>
        </w:rPr>
        <w:t xml:space="preserve"> </w:t>
      </w:r>
      <w:r w:rsidRPr="00577688">
        <w:rPr>
          <w:rFonts w:eastAsia="Times New Roman" w:cs="Times New Roman"/>
          <w:lang w:eastAsia="de-DE"/>
        </w:rPr>
        <w:t>(mit den Lippen).</w:t>
      </w:r>
    </w:p>
    <w:p w14:paraId="441E025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לְהָרַ֣ע׀ א֣וֹ לְהֵיטִ֗יב</w:t>
      </w:r>
      <w:r w:rsidRPr="00577688">
        <w:rPr>
          <w:rFonts w:eastAsia="Times New Roman" w:cs="Times New Roman"/>
          <w:rtl/>
          <w:lang w:eastAsia="de-DE"/>
        </w:rPr>
        <w:t xml:space="preserve"> </w:t>
      </w:r>
      <w:r w:rsidRPr="00577688">
        <w:rPr>
          <w:rFonts w:eastAsia="Times New Roman" w:cs="Times New Roman"/>
          <w:lang w:eastAsia="de-DE"/>
        </w:rPr>
        <w:t xml:space="preserve">(Böses oder Gutes zu tun) zeigt die Inhalte unbedachter Schwüre. </w:t>
      </w:r>
      <w:r w:rsidRPr="00577688">
        <w:rPr>
          <w:rFonts w:eastAsia="Times New Roman" w:cs="Times New Roman"/>
          <w:b/>
          <w:bCs/>
          <w:rtl/>
          <w:lang w:eastAsia="de-DE"/>
        </w:rPr>
        <w:t>להרע</w:t>
      </w:r>
      <w:r w:rsidRPr="00577688">
        <w:rPr>
          <w:rFonts w:eastAsia="Times New Roman" w:cs="Times New Roman"/>
          <w:rtl/>
          <w:lang w:eastAsia="de-DE"/>
        </w:rPr>
        <w:t xml:space="preserve"> </w:t>
      </w:r>
      <w:r w:rsidRPr="00577688">
        <w:rPr>
          <w:rFonts w:eastAsia="Times New Roman" w:cs="Times New Roman"/>
          <w:lang w:eastAsia="de-DE"/>
        </w:rPr>
        <w:t xml:space="preserve">(Böses zu tun) von </w:t>
      </w:r>
      <w:r w:rsidRPr="00577688">
        <w:rPr>
          <w:rFonts w:eastAsia="Times New Roman" w:cs="Times New Roman"/>
          <w:b/>
          <w:bCs/>
          <w:rtl/>
          <w:lang w:eastAsia="de-DE"/>
        </w:rPr>
        <w:t>רעע</w:t>
      </w:r>
      <w:r w:rsidRPr="00577688">
        <w:rPr>
          <w:rFonts w:eastAsia="Times New Roman" w:cs="Times New Roman"/>
          <w:rtl/>
          <w:lang w:eastAsia="de-DE"/>
        </w:rPr>
        <w:t xml:space="preserve"> </w:t>
      </w:r>
      <w:r w:rsidRPr="00577688">
        <w:rPr>
          <w:rFonts w:eastAsia="Times New Roman" w:cs="Times New Roman"/>
          <w:lang w:eastAsia="de-DE"/>
        </w:rPr>
        <w:t xml:space="preserve">(schlecht machen), </w:t>
      </w:r>
      <w:r w:rsidRPr="00577688">
        <w:rPr>
          <w:rFonts w:eastAsia="Times New Roman" w:cs="Times New Roman"/>
          <w:b/>
          <w:bCs/>
          <w:rtl/>
          <w:lang w:eastAsia="de-DE"/>
        </w:rPr>
        <w:t>להיטיב</w:t>
      </w:r>
      <w:r w:rsidRPr="00577688">
        <w:rPr>
          <w:rFonts w:eastAsia="Times New Roman" w:cs="Times New Roman"/>
          <w:rtl/>
          <w:lang w:eastAsia="de-DE"/>
        </w:rPr>
        <w:t xml:space="preserve"> </w:t>
      </w:r>
      <w:r w:rsidRPr="00577688">
        <w:rPr>
          <w:rFonts w:eastAsia="Times New Roman" w:cs="Times New Roman"/>
          <w:lang w:eastAsia="de-DE"/>
        </w:rPr>
        <w:t xml:space="preserve">(Gutes zu tun) von </w:t>
      </w:r>
      <w:r w:rsidRPr="00577688">
        <w:rPr>
          <w:rFonts w:eastAsia="Times New Roman" w:cs="Times New Roman"/>
          <w:b/>
          <w:bCs/>
          <w:rtl/>
          <w:lang w:eastAsia="de-DE"/>
        </w:rPr>
        <w:t>יטב</w:t>
      </w:r>
      <w:r w:rsidRPr="00577688">
        <w:rPr>
          <w:rFonts w:eastAsia="Times New Roman" w:cs="Times New Roman"/>
          <w:rtl/>
          <w:lang w:eastAsia="de-DE"/>
        </w:rPr>
        <w:t xml:space="preserve"> </w:t>
      </w:r>
      <w:r w:rsidRPr="00577688">
        <w:rPr>
          <w:rFonts w:eastAsia="Times New Roman" w:cs="Times New Roman"/>
          <w:lang w:eastAsia="de-DE"/>
        </w:rPr>
        <w:t xml:space="preserve">(gut machen). Die Disjunktion </w:t>
      </w:r>
      <w:r w:rsidRPr="00577688">
        <w:rPr>
          <w:rFonts w:eastAsia="Times New Roman" w:cs="Times New Roman"/>
          <w:b/>
          <w:bCs/>
          <w:rtl/>
          <w:lang w:eastAsia="de-DE"/>
        </w:rPr>
        <w:t>או</w:t>
      </w:r>
      <w:r w:rsidRPr="00577688">
        <w:rPr>
          <w:rFonts w:eastAsia="Times New Roman" w:cs="Times New Roman"/>
          <w:rtl/>
          <w:lang w:eastAsia="de-DE"/>
        </w:rPr>
        <w:t xml:space="preserve"> </w:t>
      </w:r>
      <w:r w:rsidRPr="00577688">
        <w:rPr>
          <w:rFonts w:eastAsia="Times New Roman" w:cs="Times New Roman"/>
          <w:lang w:eastAsia="de-DE"/>
        </w:rPr>
        <w:t>(oder) zeigt, dass beide Richtungen problematisch sein können.</w:t>
      </w:r>
    </w:p>
    <w:p w14:paraId="4E4D694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לְ֠כֹל אֲשֶׁ֨ר יְבַטֵּ֧א הָאָדָ֛ם בִּשְׁבֻעָ֖ה</w:t>
      </w:r>
      <w:r w:rsidRPr="00577688">
        <w:rPr>
          <w:rFonts w:eastAsia="Times New Roman" w:cs="Times New Roman"/>
          <w:rtl/>
          <w:lang w:eastAsia="de-DE"/>
        </w:rPr>
        <w:t xml:space="preserve"> </w:t>
      </w:r>
      <w:r w:rsidRPr="00577688">
        <w:rPr>
          <w:rFonts w:eastAsia="Times New Roman" w:cs="Times New Roman"/>
          <w:lang w:eastAsia="de-DE"/>
        </w:rPr>
        <w:t xml:space="preserve">(für alles, was ein Mensch unbesonnen mit einem Schwur reden mag) erweitert auf alle unbedachten Schwüre. </w:t>
      </w:r>
      <w:r w:rsidRPr="00577688">
        <w:rPr>
          <w:rFonts w:eastAsia="Times New Roman" w:cs="Times New Roman"/>
          <w:b/>
          <w:bCs/>
          <w:rtl/>
          <w:lang w:eastAsia="de-DE"/>
        </w:rPr>
        <w:t>לכל אשר</w:t>
      </w:r>
      <w:r w:rsidRPr="00577688">
        <w:rPr>
          <w:rFonts w:eastAsia="Times New Roman" w:cs="Times New Roman"/>
          <w:rtl/>
          <w:lang w:eastAsia="de-DE"/>
        </w:rPr>
        <w:t xml:space="preserve"> </w:t>
      </w:r>
      <w:r w:rsidRPr="00577688">
        <w:rPr>
          <w:rFonts w:eastAsia="Times New Roman" w:cs="Times New Roman"/>
          <w:lang w:eastAsia="de-DE"/>
        </w:rPr>
        <w:t xml:space="preserve">(für alles, was), </w:t>
      </w:r>
      <w:r w:rsidRPr="00577688">
        <w:rPr>
          <w:rFonts w:eastAsia="Times New Roman" w:cs="Times New Roman"/>
          <w:b/>
          <w:bCs/>
          <w:rtl/>
          <w:lang w:eastAsia="de-DE"/>
        </w:rPr>
        <w:t>יבטא האדם</w:t>
      </w:r>
      <w:r w:rsidRPr="00577688">
        <w:rPr>
          <w:rFonts w:eastAsia="Times New Roman" w:cs="Times New Roman"/>
          <w:rtl/>
          <w:lang w:eastAsia="de-DE"/>
        </w:rPr>
        <w:t xml:space="preserve"> </w:t>
      </w:r>
      <w:r w:rsidRPr="00577688">
        <w:rPr>
          <w:rFonts w:eastAsia="Times New Roman" w:cs="Times New Roman"/>
          <w:lang w:eastAsia="de-DE"/>
        </w:rPr>
        <w:t xml:space="preserve">(ein Mensch unbesonnen redet), </w:t>
      </w:r>
      <w:r w:rsidRPr="00577688">
        <w:rPr>
          <w:rFonts w:eastAsia="Times New Roman" w:cs="Times New Roman"/>
          <w:b/>
          <w:bCs/>
          <w:rtl/>
          <w:lang w:eastAsia="de-DE"/>
        </w:rPr>
        <w:t>בשבועה</w:t>
      </w:r>
      <w:r w:rsidRPr="00577688">
        <w:rPr>
          <w:rFonts w:eastAsia="Times New Roman" w:cs="Times New Roman"/>
          <w:rtl/>
          <w:lang w:eastAsia="de-DE"/>
        </w:rPr>
        <w:t xml:space="preserve"> </w:t>
      </w:r>
      <w:r w:rsidRPr="00577688">
        <w:rPr>
          <w:rFonts w:eastAsia="Times New Roman" w:cs="Times New Roman"/>
          <w:lang w:eastAsia="de-DE"/>
        </w:rPr>
        <w:t>(mit einem Schwur).</w:t>
      </w:r>
    </w:p>
    <w:p w14:paraId="0ACB905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וְנֶעְלַ֣ם מִמֶּ֑נּוּ וְהוּא־יָדַ֥ע וְאָשֵׁ֖ם לְאַחַ֥ת מֵאֵֽלֶּה</w:t>
      </w:r>
      <w:r w:rsidRPr="00577688">
        <w:rPr>
          <w:rFonts w:eastAsia="Times New Roman" w:cs="Times New Roman"/>
          <w:rtl/>
          <w:lang w:eastAsia="de-DE"/>
        </w:rPr>
        <w:t xml:space="preserve"> </w:t>
      </w:r>
      <w:r w:rsidRPr="00577688">
        <w:rPr>
          <w:rFonts w:eastAsia="Times New Roman" w:cs="Times New Roman"/>
          <w:lang w:eastAsia="de-DE"/>
        </w:rPr>
        <w:t xml:space="preserve">(und es ist ihm verborgen, und er erkennt es, und er verschuldet sich in einem von diesen) schließt die vier Kategorien ab. </w:t>
      </w:r>
      <w:r w:rsidRPr="00577688">
        <w:rPr>
          <w:rFonts w:eastAsia="Times New Roman" w:cs="Times New Roman"/>
          <w:b/>
          <w:bCs/>
          <w:rtl/>
          <w:lang w:eastAsia="de-DE"/>
        </w:rPr>
        <w:t>נעלם ממנו</w:t>
      </w:r>
      <w:r w:rsidRPr="00577688">
        <w:rPr>
          <w:rFonts w:eastAsia="Times New Roman" w:cs="Times New Roman"/>
          <w:rtl/>
          <w:lang w:eastAsia="de-DE"/>
        </w:rPr>
        <w:t xml:space="preserve"> </w:t>
      </w:r>
      <w:r w:rsidRPr="00577688">
        <w:rPr>
          <w:rFonts w:eastAsia="Times New Roman" w:cs="Times New Roman"/>
          <w:lang w:eastAsia="de-DE"/>
        </w:rPr>
        <w:t xml:space="preserve">(es ist ihm verborgen), </w:t>
      </w:r>
      <w:r w:rsidRPr="00577688">
        <w:rPr>
          <w:rFonts w:eastAsia="Times New Roman" w:cs="Times New Roman"/>
          <w:b/>
          <w:bCs/>
          <w:rtl/>
          <w:lang w:eastAsia="de-DE"/>
        </w:rPr>
        <w:t>והוא־ידע</w:t>
      </w:r>
      <w:r w:rsidRPr="00577688">
        <w:rPr>
          <w:rFonts w:eastAsia="Times New Roman" w:cs="Times New Roman"/>
          <w:rtl/>
          <w:lang w:eastAsia="de-DE"/>
        </w:rPr>
        <w:t xml:space="preserve"> </w:t>
      </w:r>
      <w:r w:rsidRPr="00577688">
        <w:rPr>
          <w:rFonts w:eastAsia="Times New Roman" w:cs="Times New Roman"/>
          <w:lang w:eastAsia="de-DE"/>
        </w:rPr>
        <w:t xml:space="preserve">(und er erkennt es), </w:t>
      </w:r>
      <w:r w:rsidRPr="00577688">
        <w:rPr>
          <w:rFonts w:eastAsia="Times New Roman" w:cs="Times New Roman"/>
          <w:b/>
          <w:bCs/>
          <w:rtl/>
          <w:lang w:eastAsia="de-DE"/>
        </w:rPr>
        <w:t>לאחת מאלה</w:t>
      </w:r>
      <w:r w:rsidRPr="00577688">
        <w:rPr>
          <w:rFonts w:eastAsia="Times New Roman" w:cs="Times New Roman"/>
          <w:rtl/>
          <w:lang w:eastAsia="de-DE"/>
        </w:rPr>
        <w:t xml:space="preserve"> </w:t>
      </w:r>
      <w:r w:rsidRPr="00577688">
        <w:rPr>
          <w:rFonts w:eastAsia="Times New Roman" w:cs="Times New Roman"/>
          <w:lang w:eastAsia="de-DE"/>
        </w:rPr>
        <w:t>(in einem von diesen) bezieht sich auf die vier Vergehen.</w:t>
      </w:r>
    </w:p>
    <w:p w14:paraId="3E6C6BF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לבטא בשפתים</w:t>
      </w:r>
      <w:r w:rsidRPr="00577688">
        <w:rPr>
          <w:rFonts w:eastAsia="Times New Roman" w:cs="Times New Roman"/>
          <w:rtl/>
          <w:lang w:eastAsia="de-DE"/>
        </w:rPr>
        <w:t xml:space="preserve"> </w:t>
      </w:r>
      <w:r w:rsidRPr="00577688">
        <w:rPr>
          <w:rFonts w:eastAsia="Times New Roman" w:cs="Times New Roman"/>
          <w:lang w:eastAsia="de-DE"/>
        </w:rPr>
        <w:t xml:space="preserve">(unbesonnen mit den Lippen reden) bezeichnet unbedachte, spontane Äußerungen. </w:t>
      </w:r>
      <w:r w:rsidRPr="00577688">
        <w:rPr>
          <w:rFonts w:eastAsia="Times New Roman" w:cs="Times New Roman"/>
          <w:b/>
          <w:bCs/>
          <w:rtl/>
          <w:lang w:eastAsia="de-DE"/>
        </w:rPr>
        <w:t>להרע או להיטיב</w:t>
      </w:r>
      <w:r w:rsidRPr="00577688">
        <w:rPr>
          <w:rFonts w:eastAsia="Times New Roman" w:cs="Times New Roman"/>
          <w:rtl/>
          <w:lang w:eastAsia="de-DE"/>
        </w:rPr>
        <w:t xml:space="preserve"> </w:t>
      </w:r>
      <w:r w:rsidRPr="00577688">
        <w:rPr>
          <w:rFonts w:eastAsia="Times New Roman" w:cs="Times New Roman"/>
          <w:lang w:eastAsia="de-DE"/>
        </w:rPr>
        <w:t>zeigt, dass sowohl schädliche als auch scheinbar gute Schwüre problematisch werden können, wenn sie unüberlegt erfolgen.</w:t>
      </w:r>
    </w:p>
    <w:p w14:paraId="6077865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יבטא האדם בשבועה</w:t>
      </w:r>
      <w:r w:rsidRPr="00577688">
        <w:rPr>
          <w:rFonts w:eastAsia="Times New Roman" w:cs="Times New Roman"/>
          <w:rtl/>
          <w:lang w:eastAsia="de-DE"/>
        </w:rPr>
        <w:t xml:space="preserve"> </w:t>
      </w:r>
      <w:r w:rsidRPr="00577688">
        <w:rPr>
          <w:rFonts w:eastAsia="Times New Roman" w:cs="Times New Roman"/>
          <w:lang w:eastAsia="de-DE"/>
        </w:rPr>
        <w:t xml:space="preserve">(ein Mensch redet unbesonnen mit einem Schwur) zeigt die allgemeine menschliche Neigung zu voreiligen Eiden. </w:t>
      </w:r>
      <w:r w:rsidRPr="00577688">
        <w:rPr>
          <w:rFonts w:eastAsia="Times New Roman" w:cs="Times New Roman"/>
          <w:b/>
          <w:bCs/>
          <w:rtl/>
          <w:lang w:eastAsia="de-DE"/>
        </w:rPr>
        <w:t>נעלם ממנו</w:t>
      </w:r>
      <w:r w:rsidRPr="00577688">
        <w:rPr>
          <w:rFonts w:eastAsia="Times New Roman" w:cs="Times New Roman"/>
          <w:rtl/>
          <w:lang w:eastAsia="de-DE"/>
        </w:rPr>
        <w:t xml:space="preserve"> </w:t>
      </w:r>
      <w:r w:rsidRPr="00577688">
        <w:rPr>
          <w:rFonts w:eastAsia="Times New Roman" w:cs="Times New Roman"/>
          <w:lang w:eastAsia="de-DE"/>
        </w:rPr>
        <w:t>bedeutet hier: die Tragweite oder Unmöglichkeit der Erfüllung wird erst später bewusst.</w:t>
      </w:r>
    </w:p>
    <w:p w14:paraId="646A026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לְבַטֵּ֨א</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δι</w:t>
      </w:r>
      <w:proofErr w:type="spellEnd"/>
      <w:r w:rsidRPr="00577688">
        <w:rPr>
          <w:rFonts w:eastAsia="Times New Roman" w:cs="Times New Roman"/>
          <w:lang w:eastAsia="de-DE"/>
        </w:rPr>
        <w:t xml:space="preserve">αστέλλειν (unterscheiden/ausdrücken), </w:t>
      </w:r>
      <w:r w:rsidRPr="00577688">
        <w:rPr>
          <w:rFonts w:eastAsia="Times New Roman" w:cs="Times New Roman"/>
          <w:b/>
          <w:bCs/>
          <w:rtl/>
          <w:lang w:eastAsia="de-DE"/>
        </w:rPr>
        <w:t>לְהָרַ֣ע׀ א֣וֹ לְהֵיטִ֗יב</w:t>
      </w:r>
      <w:r w:rsidRPr="00577688">
        <w:rPr>
          <w:rFonts w:eastAsia="Times New Roman" w:cs="Times New Roman"/>
          <w:rtl/>
          <w:lang w:eastAsia="de-DE"/>
        </w:rPr>
        <w:t xml:space="preserve"> </w:t>
      </w:r>
      <w:r w:rsidRPr="00577688">
        <w:rPr>
          <w:rFonts w:eastAsia="Times New Roman" w:cs="Times New Roman"/>
          <w:lang w:eastAsia="de-DE"/>
        </w:rPr>
        <w:t>mit κα</w:t>
      </w:r>
      <w:proofErr w:type="spellStart"/>
      <w:r w:rsidRPr="00577688">
        <w:rPr>
          <w:rFonts w:eastAsia="Times New Roman" w:cs="Times New Roman"/>
          <w:lang w:eastAsia="de-DE"/>
        </w:rPr>
        <w:t>κο</w:t>
      </w:r>
      <w:proofErr w:type="spellEnd"/>
      <w:r w:rsidRPr="00577688">
        <w:rPr>
          <w:rFonts w:eastAsia="Times New Roman" w:cs="Times New Roman"/>
          <w:lang w:eastAsia="de-DE"/>
        </w:rPr>
        <w:t>ποιῆσαι ἢ κα</w:t>
      </w:r>
      <w:proofErr w:type="spellStart"/>
      <w:r w:rsidRPr="00577688">
        <w:rPr>
          <w:rFonts w:eastAsia="Times New Roman" w:cs="Times New Roman"/>
          <w:lang w:eastAsia="de-DE"/>
        </w:rPr>
        <w:t>λῶς</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οιῆσ</w:t>
      </w:r>
      <w:proofErr w:type="spellEnd"/>
      <w:r w:rsidRPr="00577688">
        <w:rPr>
          <w:rFonts w:eastAsia="Times New Roman" w:cs="Times New Roman"/>
          <w:lang w:eastAsia="de-DE"/>
        </w:rPr>
        <w:t xml:space="preserve">αι (Böses oder Gutes zu tun) und </w:t>
      </w:r>
      <w:r w:rsidRPr="00577688">
        <w:rPr>
          <w:rFonts w:eastAsia="Times New Roman" w:cs="Times New Roman"/>
          <w:b/>
          <w:bCs/>
          <w:rtl/>
          <w:lang w:eastAsia="de-DE"/>
        </w:rPr>
        <w:t>לְאַחַ֥ת מֵאֵֽלֶּה</w:t>
      </w:r>
      <w:r w:rsidRPr="00577688">
        <w:rPr>
          <w:rFonts w:eastAsia="Times New Roman" w:cs="Times New Roman"/>
          <w:rtl/>
          <w:lang w:eastAsia="de-DE"/>
        </w:rPr>
        <w:t xml:space="preserve"> </w:t>
      </w:r>
      <w:r w:rsidRPr="00577688">
        <w:rPr>
          <w:rFonts w:eastAsia="Times New Roman" w:cs="Times New Roman"/>
          <w:lang w:eastAsia="de-DE"/>
        </w:rPr>
        <w:t>mit κα</w:t>
      </w:r>
      <w:proofErr w:type="spellStart"/>
      <w:r w:rsidRPr="00577688">
        <w:rPr>
          <w:rFonts w:eastAsia="Times New Roman" w:cs="Times New Roman"/>
          <w:lang w:eastAsia="de-DE"/>
        </w:rPr>
        <w:t>τὰ</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μί</w:t>
      </w:r>
      <w:proofErr w:type="spellEnd"/>
      <w:r w:rsidRPr="00577688">
        <w:rPr>
          <w:rFonts w:eastAsia="Times New Roman" w:cs="Times New Roman"/>
          <w:lang w:eastAsia="de-DE"/>
        </w:rPr>
        <w:t xml:space="preserve">αν ἀπὸ </w:t>
      </w:r>
      <w:proofErr w:type="spellStart"/>
      <w:r w:rsidRPr="00577688">
        <w:rPr>
          <w:rFonts w:eastAsia="Times New Roman" w:cs="Times New Roman"/>
          <w:lang w:eastAsia="de-DE"/>
        </w:rPr>
        <w:t>τούτων</w:t>
      </w:r>
      <w:proofErr w:type="spellEnd"/>
      <w:r w:rsidRPr="00577688">
        <w:rPr>
          <w:rFonts w:eastAsia="Times New Roman" w:cs="Times New Roman"/>
          <w:lang w:eastAsia="de-DE"/>
        </w:rPr>
        <w:t xml:space="preserve"> (nach einer von diesen).</w:t>
      </w:r>
    </w:p>
    <w:p w14:paraId="51EC511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koordinierende Konjunktion + Subjekt + komplexe Verbalphrase + Inhaltsalternativen + universelle Erweiterung + drei koordinierte Bedingungen + zusammenfassende Formel. Die Struktur schließt die vier </w:t>
      </w:r>
      <w:r w:rsidRPr="00577688">
        <w:rPr>
          <w:rFonts w:eastAsia="Times New Roman" w:cs="Times New Roman"/>
          <w:b/>
          <w:bCs/>
          <w:rtl/>
          <w:lang w:eastAsia="de-DE"/>
        </w:rPr>
        <w:t>חטאת</w:t>
      </w:r>
      <w:r w:rsidRPr="00577688">
        <w:rPr>
          <w:rFonts w:eastAsia="Times New Roman" w:cs="Times New Roman"/>
          <w:lang w:eastAsia="de-DE"/>
        </w:rPr>
        <w:t>-Kategorien ab.</w:t>
      </w:r>
    </w:p>
    <w:p w14:paraId="71EEAC8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vervollständigt die vier spezifischen </w:t>
      </w:r>
      <w:r w:rsidRPr="00577688">
        <w:rPr>
          <w:rFonts w:eastAsia="Times New Roman" w:cs="Times New Roman"/>
          <w:b/>
          <w:bCs/>
          <w:rtl/>
          <w:lang w:eastAsia="de-DE"/>
        </w:rPr>
        <w:t>חטאת</w:t>
      </w:r>
      <w:r w:rsidRPr="00577688">
        <w:rPr>
          <w:rFonts w:eastAsia="Times New Roman" w:cs="Times New Roman"/>
          <w:lang w:eastAsia="de-DE"/>
        </w:rPr>
        <w:t>-Fälle: unterlassene Zeugenaussage, Aasberührung, menschliche Unreinheit, unbedachte Schwüre.</w:t>
      </w:r>
    </w:p>
    <w:p w14:paraId="6C5C9499"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5,5</w:t>
      </w:r>
    </w:p>
    <w:p w14:paraId="36BD933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וְהָיָ֥ה כִֽי־יֶאְשַׁ֖ם לְאַחַ֣ת מֵאֵ֑לֶּה וְהִ֨תְוַדָּ֔ה אֲשֶׁ֥ר חָטָ֖א עָלֶֽיהָ׃</w:t>
      </w:r>
    </w:p>
    <w:p w14:paraId="21C5728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es soll geschehen, wenn er sich in einem von diesen Fällen verschuldet hat, so soll er bekennen, woran er gesündigt hat;</w:t>
      </w:r>
    </w:p>
    <w:p w14:paraId="2EC7A52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32327B6">
          <v:rect id="_x0000_i1114" style="width:0;height:1.5pt" o:hralign="center" o:hrstd="t" o:hr="t" fillcolor="#a0a0a0" stroked="f"/>
        </w:pict>
      </w:r>
    </w:p>
    <w:p w14:paraId="3C1853B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וְהָיָ֥ה כִֽי־יֶאְשַׁ֖ם לְאַחַ֣ת מֵאֵ֑לֶּה</w:t>
      </w:r>
      <w:r w:rsidRPr="00577688">
        <w:rPr>
          <w:rFonts w:eastAsia="Times New Roman" w:cs="Times New Roman"/>
          <w:rtl/>
          <w:lang w:eastAsia="de-DE"/>
        </w:rPr>
        <w:t xml:space="preserve"> </w:t>
      </w:r>
      <w:r w:rsidRPr="00577688">
        <w:rPr>
          <w:rFonts w:eastAsia="Times New Roman" w:cs="Times New Roman"/>
          <w:lang w:eastAsia="de-DE"/>
        </w:rPr>
        <w:t xml:space="preserve">(und es soll geschehen, wenn er sich in einem von diesen verschuldet) leitet die Konsequenzen ein. </w:t>
      </w:r>
      <w:r w:rsidRPr="00577688">
        <w:rPr>
          <w:rFonts w:eastAsia="Times New Roman" w:cs="Times New Roman"/>
          <w:b/>
          <w:bCs/>
          <w:rtl/>
          <w:lang w:eastAsia="de-DE"/>
        </w:rPr>
        <w:t>והיה כי</w:t>
      </w:r>
      <w:r w:rsidRPr="00577688">
        <w:rPr>
          <w:rFonts w:eastAsia="Times New Roman" w:cs="Times New Roman"/>
          <w:rtl/>
          <w:lang w:eastAsia="de-DE"/>
        </w:rPr>
        <w:t xml:space="preserve"> </w:t>
      </w:r>
      <w:r w:rsidRPr="00577688">
        <w:rPr>
          <w:rFonts w:eastAsia="Times New Roman" w:cs="Times New Roman"/>
          <w:lang w:eastAsia="de-DE"/>
        </w:rPr>
        <w:t xml:space="preserve">(und es soll geschehen, wenn) als Einleitungsformel, </w:t>
      </w:r>
      <w:r w:rsidRPr="00577688">
        <w:rPr>
          <w:rFonts w:eastAsia="Times New Roman" w:cs="Times New Roman"/>
          <w:b/>
          <w:bCs/>
          <w:rtl/>
          <w:lang w:eastAsia="de-DE"/>
        </w:rPr>
        <w:t>יאשם</w:t>
      </w:r>
      <w:r w:rsidRPr="00577688">
        <w:rPr>
          <w:rFonts w:eastAsia="Times New Roman" w:cs="Times New Roman"/>
          <w:rtl/>
          <w:lang w:eastAsia="de-DE"/>
        </w:rPr>
        <w:t xml:space="preserve"> </w:t>
      </w:r>
      <w:r w:rsidRPr="00577688">
        <w:rPr>
          <w:rFonts w:eastAsia="Times New Roman" w:cs="Times New Roman"/>
          <w:lang w:eastAsia="de-DE"/>
        </w:rPr>
        <w:t xml:space="preserve">(er verschuldet sich) im Qal-Imperfekt 3. Person maskulin Singular von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(schuldig sein). </w:t>
      </w:r>
      <w:r w:rsidRPr="00577688">
        <w:rPr>
          <w:rFonts w:eastAsia="Times New Roman" w:cs="Times New Roman"/>
          <w:b/>
          <w:bCs/>
          <w:rtl/>
          <w:lang w:eastAsia="de-DE"/>
        </w:rPr>
        <w:t>לאחת מאלה</w:t>
      </w:r>
      <w:r w:rsidRPr="00577688">
        <w:rPr>
          <w:rFonts w:eastAsia="Times New Roman" w:cs="Times New Roman"/>
          <w:rtl/>
          <w:lang w:eastAsia="de-DE"/>
        </w:rPr>
        <w:t xml:space="preserve"> </w:t>
      </w:r>
      <w:r w:rsidRPr="00577688">
        <w:rPr>
          <w:rFonts w:eastAsia="Times New Roman" w:cs="Times New Roman"/>
          <w:lang w:eastAsia="de-DE"/>
        </w:rPr>
        <w:t>(in einem von diesen) bezieht sich auf die vier Fälle der V. 1-4.</w:t>
      </w:r>
    </w:p>
    <w:p w14:paraId="0C4F647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וְהִ֨תְוַדָּ֔ה אֲשֶׁ֥ר חָטָ֖א עָלֶֽיהָ</w:t>
      </w:r>
      <w:r w:rsidRPr="00577688">
        <w:rPr>
          <w:rFonts w:eastAsia="Times New Roman" w:cs="Times New Roman"/>
          <w:rtl/>
          <w:lang w:eastAsia="de-DE"/>
        </w:rPr>
        <w:t xml:space="preserve"> </w:t>
      </w:r>
      <w:r w:rsidRPr="00577688">
        <w:rPr>
          <w:rFonts w:eastAsia="Times New Roman" w:cs="Times New Roman"/>
          <w:lang w:eastAsia="de-DE"/>
        </w:rPr>
        <w:t xml:space="preserve">(und er soll bekennen, woran er gesündigt hat) führt das </w:t>
      </w:r>
      <w:r w:rsidRPr="00577688">
        <w:rPr>
          <w:rFonts w:eastAsia="Times New Roman" w:cs="Times New Roman"/>
          <w:b/>
          <w:bCs/>
          <w:rtl/>
          <w:lang w:eastAsia="de-DE"/>
        </w:rPr>
        <w:t>וידוי</w:t>
      </w:r>
      <w:r w:rsidRPr="00577688">
        <w:rPr>
          <w:rFonts w:eastAsia="Times New Roman" w:cs="Times New Roman"/>
          <w:rtl/>
          <w:lang w:eastAsia="de-DE"/>
        </w:rPr>
        <w:t xml:space="preserve"> </w:t>
      </w:r>
      <w:r w:rsidRPr="00577688">
        <w:rPr>
          <w:rFonts w:eastAsia="Times New Roman" w:cs="Times New Roman"/>
          <w:lang w:eastAsia="de-DE"/>
        </w:rPr>
        <w:t xml:space="preserve">(Sündenbekenntnis) ein. </w:t>
      </w:r>
      <w:r w:rsidRPr="00577688">
        <w:rPr>
          <w:rFonts w:eastAsia="Times New Roman" w:cs="Times New Roman"/>
          <w:b/>
          <w:bCs/>
          <w:rtl/>
          <w:lang w:eastAsia="de-DE"/>
        </w:rPr>
        <w:t>התודה</w:t>
      </w:r>
      <w:r w:rsidRPr="00577688">
        <w:rPr>
          <w:rFonts w:eastAsia="Times New Roman" w:cs="Times New Roman"/>
          <w:rtl/>
          <w:lang w:eastAsia="de-DE"/>
        </w:rPr>
        <w:t xml:space="preserve"> </w:t>
      </w:r>
      <w:r w:rsidRPr="00577688">
        <w:rPr>
          <w:rFonts w:eastAsia="Times New Roman" w:cs="Times New Roman"/>
          <w:lang w:eastAsia="de-DE"/>
        </w:rPr>
        <w:t xml:space="preserve">(er soll bekennen) im Hitpael-Perfekt mit Waw-Konsekutiv von </w:t>
      </w:r>
      <w:r w:rsidRPr="00577688">
        <w:rPr>
          <w:rFonts w:eastAsia="Times New Roman" w:cs="Times New Roman"/>
          <w:b/>
          <w:bCs/>
          <w:rtl/>
          <w:lang w:eastAsia="de-DE"/>
        </w:rPr>
        <w:t>ידה</w:t>
      </w:r>
      <w:r w:rsidRPr="00577688">
        <w:rPr>
          <w:rFonts w:eastAsia="Times New Roman" w:cs="Times New Roman"/>
          <w:rtl/>
          <w:lang w:eastAsia="de-DE"/>
        </w:rPr>
        <w:t xml:space="preserve"> </w:t>
      </w:r>
      <w:r w:rsidRPr="00577688">
        <w:rPr>
          <w:rFonts w:eastAsia="Times New Roman" w:cs="Times New Roman"/>
          <w:lang w:eastAsia="de-DE"/>
        </w:rPr>
        <w:t xml:space="preserve">(bekennen/preisen). </w:t>
      </w:r>
      <w:r w:rsidRPr="00577688">
        <w:rPr>
          <w:rFonts w:eastAsia="Times New Roman" w:cs="Times New Roman"/>
          <w:b/>
          <w:bCs/>
          <w:rtl/>
          <w:lang w:eastAsia="de-DE"/>
        </w:rPr>
        <w:t>אשר חטא עליה</w:t>
      </w:r>
      <w:r w:rsidRPr="00577688">
        <w:rPr>
          <w:rFonts w:eastAsia="Times New Roman" w:cs="Times New Roman"/>
          <w:rtl/>
          <w:lang w:eastAsia="de-DE"/>
        </w:rPr>
        <w:t xml:space="preserve"> </w:t>
      </w:r>
      <w:r w:rsidRPr="00577688">
        <w:rPr>
          <w:rFonts w:eastAsia="Times New Roman" w:cs="Times New Roman"/>
          <w:lang w:eastAsia="de-DE"/>
        </w:rPr>
        <w:t xml:space="preserve">(woran er gesündigt hat) als Relativsatz mit </w:t>
      </w:r>
      <w:r w:rsidRPr="00577688">
        <w:rPr>
          <w:rFonts w:eastAsia="Times New Roman" w:cs="Times New Roman"/>
          <w:b/>
          <w:bCs/>
          <w:rtl/>
          <w:lang w:eastAsia="de-DE"/>
        </w:rPr>
        <w:t>עליה</w:t>
      </w:r>
      <w:r w:rsidRPr="00577688">
        <w:rPr>
          <w:rFonts w:eastAsia="Times New Roman" w:cs="Times New Roman"/>
          <w:rtl/>
          <w:lang w:eastAsia="de-DE"/>
        </w:rPr>
        <w:t xml:space="preserve"> </w:t>
      </w:r>
      <w:r w:rsidRPr="00577688">
        <w:rPr>
          <w:rFonts w:eastAsia="Times New Roman" w:cs="Times New Roman"/>
          <w:lang w:eastAsia="de-DE"/>
        </w:rPr>
        <w:t>(daran/darüber).</w:t>
      </w:r>
    </w:p>
    <w:p w14:paraId="5CCD5DA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התודה</w:t>
      </w:r>
      <w:r w:rsidRPr="00577688">
        <w:rPr>
          <w:rFonts w:eastAsia="Times New Roman" w:cs="Times New Roman"/>
          <w:rtl/>
          <w:lang w:eastAsia="de-DE"/>
        </w:rPr>
        <w:t xml:space="preserve"> </w:t>
      </w:r>
      <w:r w:rsidRPr="00577688">
        <w:rPr>
          <w:rFonts w:eastAsia="Times New Roman" w:cs="Times New Roman"/>
          <w:lang w:eastAsia="de-DE"/>
        </w:rPr>
        <w:t xml:space="preserve">(bekennen) im Hitpael bezeichnet reflexive Handlung: "sich bekennen" oder "Bekenntnis ablegen". </w:t>
      </w:r>
      <w:r w:rsidRPr="00577688">
        <w:rPr>
          <w:rFonts w:eastAsia="Times New Roman" w:cs="Times New Roman"/>
          <w:b/>
          <w:bCs/>
          <w:rtl/>
          <w:lang w:eastAsia="de-DE"/>
        </w:rPr>
        <w:t>אשר חטא עליה</w:t>
      </w:r>
      <w:r w:rsidRPr="00577688">
        <w:rPr>
          <w:rFonts w:eastAsia="Times New Roman" w:cs="Times New Roman"/>
          <w:rtl/>
          <w:lang w:eastAsia="de-DE"/>
        </w:rPr>
        <w:t xml:space="preserve"> </w:t>
      </w:r>
      <w:r w:rsidRPr="00577688">
        <w:rPr>
          <w:rFonts w:eastAsia="Times New Roman" w:cs="Times New Roman"/>
          <w:lang w:eastAsia="de-DE"/>
        </w:rPr>
        <w:t>spezifiziert den Bekenntnisinhalt: die spezifische Verfehlung aus den vier Kategorien.</w:t>
      </w:r>
    </w:p>
    <w:p w14:paraId="4D8DB8C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Das </w:t>
      </w:r>
      <w:r w:rsidRPr="00577688">
        <w:rPr>
          <w:rFonts w:eastAsia="Times New Roman" w:cs="Times New Roman"/>
          <w:b/>
          <w:bCs/>
          <w:rtl/>
          <w:lang w:eastAsia="de-DE"/>
        </w:rPr>
        <w:t>וידוי</w:t>
      </w:r>
      <w:r w:rsidRPr="00577688">
        <w:rPr>
          <w:rFonts w:eastAsia="Times New Roman" w:cs="Times New Roman"/>
          <w:rtl/>
          <w:lang w:eastAsia="de-DE"/>
        </w:rPr>
        <w:t xml:space="preserve"> </w:t>
      </w:r>
      <w:r w:rsidRPr="00577688">
        <w:rPr>
          <w:rFonts w:eastAsia="Times New Roman" w:cs="Times New Roman"/>
          <w:lang w:eastAsia="de-DE"/>
        </w:rPr>
        <w:t xml:space="preserve">(Sündenbekenntnis) ist eine neue Komponente, die bei den unbewussten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von Kapitel 4 nicht erscheint. Hier wird bewusste Anerkennung der Schuld gefordert, was zeigt, dass diese Vergehen teilweise bewusste Elemente enthalten.</w:t>
      </w:r>
    </w:p>
    <w:p w14:paraId="50F5F16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LXX</w:t>
      </w:r>
      <w:r w:rsidRPr="00577688">
        <w:rPr>
          <w:rFonts w:eastAsia="Times New Roman" w:cs="Times New Roman"/>
          <w:lang w:eastAsia="de-DE"/>
        </w:rPr>
        <w:t xml:space="preserve"> übersetzt </w:t>
      </w:r>
      <w:r w:rsidRPr="00577688">
        <w:rPr>
          <w:rFonts w:eastAsia="Times New Roman" w:cs="Times New Roman"/>
          <w:b/>
          <w:bCs/>
          <w:rtl/>
          <w:lang w:eastAsia="de-DE"/>
        </w:rPr>
        <w:t>יֶאְשַׁ֖ם</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λημμελήσῃ</w:t>
      </w:r>
      <w:proofErr w:type="spellEnd"/>
      <w:r w:rsidRPr="00577688">
        <w:rPr>
          <w:rFonts w:eastAsia="Times New Roman" w:cs="Times New Roman"/>
          <w:lang w:eastAsia="de-DE"/>
        </w:rPr>
        <w:t xml:space="preserve"> (er soll eine Verfehlung begehen), </w:t>
      </w:r>
      <w:r w:rsidRPr="00577688">
        <w:rPr>
          <w:rFonts w:eastAsia="Times New Roman" w:cs="Times New Roman"/>
          <w:b/>
          <w:bCs/>
          <w:rtl/>
          <w:lang w:eastAsia="de-DE"/>
        </w:rPr>
        <w:t>וְהִ֨תְוַדָּ֔ה</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ἐξ</w:t>
      </w:r>
      <w:proofErr w:type="spellEnd"/>
      <w:r w:rsidRPr="00577688">
        <w:rPr>
          <w:rFonts w:eastAsia="Times New Roman" w:cs="Times New Roman"/>
          <w:lang w:eastAsia="de-DE"/>
        </w:rPr>
        <w:t xml:space="preserve">αγορεύσει (und er soll bekennen) und </w:t>
      </w:r>
      <w:r w:rsidRPr="00577688">
        <w:rPr>
          <w:rFonts w:eastAsia="Times New Roman" w:cs="Times New Roman"/>
          <w:b/>
          <w:bCs/>
          <w:rtl/>
          <w:lang w:eastAsia="de-DE"/>
        </w:rPr>
        <w:t>אֲשֶׁ֥ר חָטָ֖א עָלֶֽיהָ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ἣν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ἥμ</w:t>
      </w:r>
      <w:proofErr w:type="spellEnd"/>
      <w:r w:rsidRPr="00577688">
        <w:rPr>
          <w:rFonts w:eastAsia="Times New Roman" w:cs="Times New Roman"/>
          <w:lang w:eastAsia="de-DE"/>
        </w:rPr>
        <w:t>αρτεν π</w:t>
      </w:r>
      <w:proofErr w:type="spellStart"/>
      <w:r w:rsidRPr="00577688">
        <w:rPr>
          <w:rFonts w:eastAsia="Times New Roman" w:cs="Times New Roman"/>
          <w:lang w:eastAsia="de-DE"/>
        </w:rPr>
        <w:t>ερὶ</w:t>
      </w:r>
      <w:proofErr w:type="spellEnd"/>
      <w:r w:rsidRPr="00577688">
        <w:rPr>
          <w:rFonts w:eastAsia="Times New Roman" w:cs="Times New Roman"/>
          <w:lang w:eastAsia="de-DE"/>
        </w:rPr>
        <w:t xml:space="preserve"> α</w:t>
      </w:r>
      <w:proofErr w:type="spellStart"/>
      <w:r w:rsidRPr="00577688">
        <w:rPr>
          <w:rFonts w:eastAsia="Times New Roman" w:cs="Times New Roman"/>
          <w:lang w:eastAsia="de-DE"/>
        </w:rPr>
        <w:t>ὐτῆς</w:t>
      </w:r>
      <w:proofErr w:type="spellEnd"/>
      <w:r w:rsidRPr="00577688">
        <w:rPr>
          <w:rFonts w:eastAsia="Times New Roman" w:cs="Times New Roman"/>
          <w:lang w:eastAsia="de-DE"/>
        </w:rPr>
        <w:t xml:space="preserve"> (die er bezüglich dessen gesündigt hat).</w:t>
      </w:r>
    </w:p>
    <w:p w14:paraId="063B9B3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w:t>
      </w:r>
      <w:proofErr w:type="spellStart"/>
      <w:r w:rsidRPr="00577688">
        <w:rPr>
          <w:rFonts w:eastAsia="Times New Roman" w:cs="Times New Roman"/>
          <w:lang w:eastAsia="de-DE"/>
        </w:rPr>
        <w:t>Konsequenzformel</w:t>
      </w:r>
      <w:proofErr w:type="spellEnd"/>
      <w:r w:rsidRPr="00577688">
        <w:rPr>
          <w:rFonts w:eastAsia="Times New Roman" w:cs="Times New Roman"/>
          <w:lang w:eastAsia="de-DE"/>
        </w:rPr>
        <w:t>: Einleitungsformel + Kondition mit Rückbezug + imperativische Konsequenz mit Inhaltsspezifizierung. Die Struktur markiert den Übergang von Fallbeschreibung zu Verfahrensanweisung.</w:t>
      </w:r>
    </w:p>
    <w:p w14:paraId="37BF7FA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das </w:t>
      </w:r>
      <w:r w:rsidRPr="00577688">
        <w:rPr>
          <w:rFonts w:eastAsia="Times New Roman" w:cs="Times New Roman"/>
          <w:b/>
          <w:bCs/>
          <w:rtl/>
          <w:lang w:eastAsia="de-DE"/>
        </w:rPr>
        <w:t>וידוי</w:t>
      </w:r>
      <w:r w:rsidRPr="00577688">
        <w:rPr>
          <w:rFonts w:eastAsia="Times New Roman" w:cs="Times New Roman"/>
          <w:rtl/>
          <w:lang w:eastAsia="de-DE"/>
        </w:rPr>
        <w:t xml:space="preserve"> </w:t>
      </w:r>
      <w:r w:rsidRPr="00577688">
        <w:rPr>
          <w:rFonts w:eastAsia="Times New Roman" w:cs="Times New Roman"/>
          <w:lang w:eastAsia="de-DE"/>
        </w:rPr>
        <w:t xml:space="preserve">(Sündenbekenntnis) als neue rituelle Komponente für diese besonderen </w:t>
      </w:r>
      <w:r w:rsidRPr="00577688">
        <w:rPr>
          <w:rFonts w:eastAsia="Times New Roman" w:cs="Times New Roman"/>
          <w:b/>
          <w:bCs/>
          <w:rtl/>
          <w:lang w:eastAsia="de-DE"/>
        </w:rPr>
        <w:t>חטאת</w:t>
      </w:r>
      <w:r w:rsidRPr="00577688">
        <w:rPr>
          <w:rFonts w:eastAsia="Times New Roman" w:cs="Times New Roman"/>
          <w:lang w:eastAsia="de-DE"/>
        </w:rPr>
        <w:t>-Fälle ein.</w:t>
      </w:r>
    </w:p>
    <w:p w14:paraId="4890F33F"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5,6</w:t>
      </w:r>
    </w:p>
    <w:p w14:paraId="7BD09FF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 אֶת־אֲשָׁמֹ֣ו לַיהוָ֡ה עַ֣ל חַטָּאתוֹ֩ אֲשֶׁ֨ר חָטָ֜א נְקֵבָ֨ה מִן־הַצֹּ֥אן כִּשְׂבָּ֛ה אֽוֹ־שְׂעִירַ֥ת עִזִּ֖ים לְחַטָּ֑את וְכִפֶּ֥ר עָלָ֛יו הַכֹּהֵ֖ן מֵחַטָּאתוֹֽ׃</w:t>
      </w:r>
    </w:p>
    <w:p w14:paraId="0D9585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dem Ewigen sein Schuldopfer für seine Sünde, die er begangen hat, bringen: ein Weibchen vom Kleinvieh, ein Schaf oder eine Ziege zum Sündopfer; und der Priester soll Sühne für ihn erwirken wegen seiner Sünde.</w:t>
      </w:r>
    </w:p>
    <w:p w14:paraId="3C35E12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6B7353B">
          <v:rect id="_x0000_i1115" style="width:0;height:1.5pt" o:hralign="center" o:hrstd="t" o:hr="t" fillcolor="#a0a0a0" stroked="f"/>
        </w:pict>
      </w:r>
    </w:p>
    <w:p w14:paraId="7A0AEAC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וְהֵבִ֣יא אֶת־אֲשָׁמֹ֣ו לַיהוָ֡ה</w:t>
      </w:r>
      <w:r w:rsidRPr="00577688">
        <w:rPr>
          <w:rFonts w:eastAsia="Times New Roman" w:cs="Times New Roman"/>
          <w:rtl/>
          <w:lang w:eastAsia="de-DE"/>
        </w:rPr>
        <w:t xml:space="preserve"> </w:t>
      </w:r>
      <w:r w:rsidRPr="00577688">
        <w:rPr>
          <w:rFonts w:eastAsia="Times New Roman" w:cs="Times New Roman"/>
          <w:lang w:eastAsia="de-DE"/>
        </w:rPr>
        <w:t xml:space="preserve">(und er soll sein Schuldopfer für JHWH bringen) zeigt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(Schuldopfer) als neue Terminologie. </w:t>
      </w:r>
      <w:r w:rsidRPr="00577688">
        <w:rPr>
          <w:rFonts w:eastAsia="Times New Roman" w:cs="Times New Roman"/>
          <w:b/>
          <w:bCs/>
          <w:rtl/>
          <w:lang w:eastAsia="de-DE"/>
        </w:rPr>
        <w:t>הביא</w:t>
      </w:r>
      <w:r w:rsidRPr="00577688">
        <w:rPr>
          <w:rFonts w:eastAsia="Times New Roman" w:cs="Times New Roman"/>
          <w:rtl/>
          <w:lang w:eastAsia="de-DE"/>
        </w:rPr>
        <w:t xml:space="preserve"> </w:t>
      </w:r>
      <w:r w:rsidRPr="00577688">
        <w:rPr>
          <w:rFonts w:eastAsia="Times New Roman" w:cs="Times New Roman"/>
          <w:lang w:eastAsia="de-DE"/>
        </w:rPr>
        <w:t xml:space="preserve">(bringen) im Hifil-Perfekt mit Waw-Konsekutiv, </w:t>
      </w:r>
      <w:r w:rsidRPr="00577688">
        <w:rPr>
          <w:rFonts w:eastAsia="Times New Roman" w:cs="Times New Roman"/>
          <w:b/>
          <w:bCs/>
          <w:rtl/>
          <w:lang w:eastAsia="de-DE"/>
        </w:rPr>
        <w:t>את־אשמו</w:t>
      </w:r>
      <w:r w:rsidRPr="00577688">
        <w:rPr>
          <w:rFonts w:eastAsia="Times New Roman" w:cs="Times New Roman"/>
          <w:rtl/>
          <w:lang w:eastAsia="de-DE"/>
        </w:rPr>
        <w:t xml:space="preserve"> </w:t>
      </w:r>
      <w:r w:rsidRPr="00577688">
        <w:rPr>
          <w:rFonts w:eastAsia="Times New Roman" w:cs="Times New Roman"/>
          <w:lang w:eastAsia="de-DE"/>
        </w:rPr>
        <w:t>(sein Schuldopfer) mit Possessivsuffix 3. Person maskulin Singular.</w:t>
      </w:r>
    </w:p>
    <w:p w14:paraId="0FDCF5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 חַטָּאתוֹ֩ אֲשֶׁ֨ר חָטָ֜א</w:t>
      </w:r>
      <w:r w:rsidRPr="00577688">
        <w:rPr>
          <w:rFonts w:eastAsia="Times New Roman" w:cs="Times New Roman"/>
          <w:rtl/>
          <w:lang w:eastAsia="de-DE"/>
        </w:rPr>
        <w:t xml:space="preserve"> </w:t>
      </w:r>
      <w:r w:rsidRPr="00577688">
        <w:rPr>
          <w:rFonts w:eastAsia="Times New Roman" w:cs="Times New Roman"/>
          <w:lang w:eastAsia="de-DE"/>
        </w:rPr>
        <w:t xml:space="preserve">(für seine Sünde, die er begangen hat) spezifiziert den Zweck. </w:t>
      </w:r>
      <w:r w:rsidRPr="00577688">
        <w:rPr>
          <w:rFonts w:eastAsia="Times New Roman" w:cs="Times New Roman"/>
          <w:b/>
          <w:bCs/>
          <w:rtl/>
          <w:lang w:eastAsia="de-DE"/>
        </w:rPr>
        <w:t>על חטאתו</w:t>
      </w:r>
      <w:r w:rsidRPr="00577688">
        <w:rPr>
          <w:rFonts w:eastAsia="Times New Roman" w:cs="Times New Roman"/>
          <w:rtl/>
          <w:lang w:eastAsia="de-DE"/>
        </w:rPr>
        <w:t xml:space="preserve"> </w:t>
      </w:r>
      <w:r w:rsidRPr="00577688">
        <w:rPr>
          <w:rFonts w:eastAsia="Times New Roman" w:cs="Times New Roman"/>
          <w:lang w:eastAsia="de-DE"/>
        </w:rPr>
        <w:t xml:space="preserve">(für seine Sünde) mit </w:t>
      </w:r>
      <w:r w:rsidRPr="00577688">
        <w:rPr>
          <w:rFonts w:eastAsia="Times New Roman" w:cs="Times New Roman"/>
          <w:b/>
          <w:bCs/>
          <w:rtl/>
          <w:lang w:eastAsia="de-DE"/>
        </w:rPr>
        <w:t>על</w:t>
      </w:r>
      <w:r w:rsidRPr="00577688">
        <w:rPr>
          <w:rFonts w:eastAsia="Times New Roman" w:cs="Times New Roman"/>
          <w:rtl/>
          <w:lang w:eastAsia="de-DE"/>
        </w:rPr>
        <w:t xml:space="preserve"> </w:t>
      </w:r>
      <w:r w:rsidRPr="00577688">
        <w:rPr>
          <w:rFonts w:eastAsia="Times New Roman" w:cs="Times New Roman"/>
          <w:lang w:eastAsia="de-DE"/>
        </w:rPr>
        <w:t xml:space="preserve">(für/wegen), </w:t>
      </w:r>
      <w:r w:rsidRPr="00577688">
        <w:rPr>
          <w:rFonts w:eastAsia="Times New Roman" w:cs="Times New Roman"/>
          <w:b/>
          <w:bCs/>
          <w:rtl/>
          <w:lang w:eastAsia="de-DE"/>
        </w:rPr>
        <w:t>אשר חטא</w:t>
      </w:r>
      <w:r w:rsidRPr="00577688">
        <w:rPr>
          <w:rFonts w:eastAsia="Times New Roman" w:cs="Times New Roman"/>
          <w:rtl/>
          <w:lang w:eastAsia="de-DE"/>
        </w:rPr>
        <w:t xml:space="preserve"> </w:t>
      </w:r>
      <w:r w:rsidRPr="00577688">
        <w:rPr>
          <w:rFonts w:eastAsia="Times New Roman" w:cs="Times New Roman"/>
          <w:lang w:eastAsia="de-DE"/>
        </w:rPr>
        <w:t>(die er gesündigt hat) als bekannte Relativsatzformel.</w:t>
      </w:r>
    </w:p>
    <w:p w14:paraId="2AC91E8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נְקֵבָ֨ה מִן־הַצֹּ֥אן כִּשְׂבָּ֛ה אֽוֹ־שְׂעִירַ֥ת עִזִּ֖ים לְחַטָּ֑את</w:t>
      </w:r>
      <w:r w:rsidRPr="00577688">
        <w:rPr>
          <w:rFonts w:eastAsia="Times New Roman" w:cs="Times New Roman"/>
          <w:rtl/>
          <w:lang w:eastAsia="de-DE"/>
        </w:rPr>
        <w:t xml:space="preserve"> </w:t>
      </w:r>
      <w:r w:rsidRPr="00577688">
        <w:rPr>
          <w:rFonts w:eastAsia="Times New Roman" w:cs="Times New Roman"/>
          <w:lang w:eastAsia="de-DE"/>
        </w:rPr>
        <w:t xml:space="preserve">(ein Weibchen vom Kleinvieh, ein Schaf oder eine Ziege zum Sündopfer) entspricht exakt 4,28.32 für </w:t>
      </w:r>
      <w:r w:rsidRPr="00577688">
        <w:rPr>
          <w:rFonts w:eastAsia="Times New Roman" w:cs="Times New Roman"/>
          <w:b/>
          <w:bCs/>
          <w:rtl/>
          <w:lang w:eastAsia="de-DE"/>
        </w:rPr>
        <w:t>עם הארץ</w:t>
      </w:r>
      <w:r w:rsidRPr="00577688">
        <w:rPr>
          <w:rFonts w:eastAsia="Times New Roman" w:cs="Times New Roman"/>
          <w:lang w:eastAsia="de-DE"/>
        </w:rPr>
        <w:t xml:space="preserve">. </w:t>
      </w:r>
      <w:r w:rsidRPr="00577688">
        <w:rPr>
          <w:rFonts w:eastAsia="Times New Roman" w:cs="Times New Roman"/>
          <w:b/>
          <w:bCs/>
          <w:rtl/>
          <w:lang w:eastAsia="de-DE"/>
        </w:rPr>
        <w:t>נקבה מן־הצאן</w:t>
      </w:r>
      <w:r w:rsidRPr="00577688">
        <w:rPr>
          <w:rFonts w:eastAsia="Times New Roman" w:cs="Times New Roman"/>
          <w:rtl/>
          <w:lang w:eastAsia="de-DE"/>
        </w:rPr>
        <w:t xml:space="preserve"> </w:t>
      </w:r>
      <w:r w:rsidRPr="00577688">
        <w:rPr>
          <w:rFonts w:eastAsia="Times New Roman" w:cs="Times New Roman"/>
          <w:lang w:eastAsia="de-DE"/>
        </w:rPr>
        <w:t xml:space="preserve">(Weibchen vom Kleinvieh), </w:t>
      </w:r>
      <w:r w:rsidRPr="00577688">
        <w:rPr>
          <w:rFonts w:eastAsia="Times New Roman" w:cs="Times New Roman"/>
          <w:b/>
          <w:bCs/>
          <w:rtl/>
          <w:lang w:eastAsia="de-DE"/>
        </w:rPr>
        <w:t>כשבה או־שעירת עזים</w:t>
      </w:r>
      <w:r w:rsidRPr="00577688">
        <w:rPr>
          <w:rFonts w:eastAsia="Times New Roman" w:cs="Times New Roman"/>
          <w:rtl/>
          <w:lang w:eastAsia="de-DE"/>
        </w:rPr>
        <w:t xml:space="preserve"> </w:t>
      </w:r>
      <w:r w:rsidRPr="00577688">
        <w:rPr>
          <w:rFonts w:eastAsia="Times New Roman" w:cs="Times New Roman"/>
          <w:lang w:eastAsia="de-DE"/>
        </w:rPr>
        <w:t xml:space="preserve">(Schaf oder Ziege),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(zum Sündopfer).</w:t>
      </w:r>
    </w:p>
    <w:p w14:paraId="00A3E0A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מֵחַטָּאתוֹֽ</w:t>
      </w:r>
      <w:r w:rsidRPr="00577688">
        <w:rPr>
          <w:rFonts w:eastAsia="Times New Roman" w:cs="Times New Roman"/>
          <w:rtl/>
          <w:lang w:eastAsia="de-DE"/>
        </w:rPr>
        <w:t xml:space="preserve"> </w:t>
      </w:r>
      <w:r w:rsidRPr="00577688">
        <w:rPr>
          <w:rFonts w:eastAsia="Times New Roman" w:cs="Times New Roman"/>
          <w:lang w:eastAsia="de-DE"/>
        </w:rPr>
        <w:t>(und der Priester soll Sühne für ihn wegen seiner Sünde erwirken) entspricht der Standard-</w:t>
      </w:r>
      <w:r w:rsidRPr="00577688">
        <w:rPr>
          <w:rFonts w:eastAsia="Times New Roman" w:cs="Times New Roman"/>
          <w:b/>
          <w:bCs/>
          <w:rtl/>
          <w:lang w:eastAsia="de-DE"/>
        </w:rPr>
        <w:t>כפרה</w:t>
      </w:r>
      <w:r w:rsidRPr="00577688">
        <w:rPr>
          <w:rFonts w:eastAsia="Times New Roman" w:cs="Times New Roman"/>
          <w:lang w:eastAsia="de-DE"/>
        </w:rPr>
        <w:t>-Formel.</w:t>
      </w:r>
    </w:p>
    <w:p w14:paraId="29ED48F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אשמו</w:t>
      </w:r>
      <w:r w:rsidRPr="00577688">
        <w:rPr>
          <w:rFonts w:eastAsia="Times New Roman" w:cs="Times New Roman"/>
          <w:rtl/>
          <w:lang w:eastAsia="de-DE"/>
        </w:rPr>
        <w:t xml:space="preserve"> </w:t>
      </w:r>
      <w:r w:rsidRPr="00577688">
        <w:rPr>
          <w:rFonts w:eastAsia="Times New Roman" w:cs="Times New Roman"/>
          <w:lang w:eastAsia="de-DE"/>
        </w:rPr>
        <w:t xml:space="preserve">(sein Schuldopfer) hier bezeichnet dasselbe Tier wie </w:t>
      </w:r>
      <w:r w:rsidRPr="00577688">
        <w:rPr>
          <w:rFonts w:eastAsia="Times New Roman" w:cs="Times New Roman"/>
          <w:b/>
          <w:bCs/>
          <w:rtl/>
          <w:lang w:eastAsia="de-DE"/>
        </w:rPr>
        <w:t>חטאת</w:t>
      </w:r>
      <w:r w:rsidRPr="00577688">
        <w:rPr>
          <w:rFonts w:eastAsia="Times New Roman" w:cs="Times New Roman"/>
          <w:lang w:eastAsia="de-DE"/>
        </w:rPr>
        <w:t xml:space="preserve">, zeigt aber eine andere theologische Perspektive: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betont die Schuld des Täters,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den Sühneaspekt. </w:t>
      </w:r>
      <w:r w:rsidRPr="00577688">
        <w:rPr>
          <w:rFonts w:eastAsia="Times New Roman" w:cs="Times New Roman"/>
          <w:b/>
          <w:bCs/>
          <w:rtl/>
          <w:lang w:eastAsia="de-DE"/>
        </w:rPr>
        <w:t>נקבה מן־הצאן</w:t>
      </w:r>
      <w:r w:rsidRPr="00577688">
        <w:rPr>
          <w:rFonts w:eastAsia="Times New Roman" w:cs="Times New Roman"/>
          <w:rtl/>
          <w:lang w:eastAsia="de-DE"/>
        </w:rPr>
        <w:t xml:space="preserve"> </w:t>
      </w:r>
      <w:r w:rsidRPr="00577688">
        <w:rPr>
          <w:rFonts w:eastAsia="Times New Roman" w:cs="Times New Roman"/>
          <w:lang w:eastAsia="de-DE"/>
        </w:rPr>
        <w:t xml:space="preserve">entspricht der niedrigsten </w:t>
      </w:r>
      <w:r w:rsidRPr="00577688">
        <w:rPr>
          <w:rFonts w:eastAsia="Times New Roman" w:cs="Times New Roman"/>
          <w:b/>
          <w:bCs/>
          <w:rtl/>
          <w:lang w:eastAsia="de-DE"/>
        </w:rPr>
        <w:t>חטאת</w:t>
      </w:r>
      <w:r w:rsidRPr="00577688">
        <w:rPr>
          <w:rFonts w:eastAsia="Times New Roman" w:cs="Times New Roman"/>
          <w:lang w:eastAsia="de-DE"/>
        </w:rPr>
        <w:t>-Kategorie aus Kapitel 4.</w:t>
      </w:r>
    </w:p>
    <w:p w14:paraId="510C4450" w14:textId="77777777" w:rsidR="00B3655B" w:rsidRDefault="00577688" w:rsidP="00B3655B">
      <w:pPr>
        <w:spacing w:before="100" w:beforeAutospacing="1" w:after="100" w:afterAutospacing="1" w:line="240" w:lineRule="auto"/>
      </w:pPr>
      <w:r w:rsidRPr="00577688">
        <w:rPr>
          <w:rFonts w:eastAsia="Times New Roman" w:cs="Times New Roman"/>
          <w:b/>
          <w:bCs/>
          <w:lang w:eastAsia="de-DE"/>
        </w:rPr>
        <w:t>Die LXX</w:t>
      </w:r>
      <w:r w:rsidRPr="00577688">
        <w:rPr>
          <w:rFonts w:eastAsia="Times New Roman" w:cs="Times New Roman"/>
          <w:lang w:eastAsia="de-DE"/>
        </w:rPr>
        <w:t xml:space="preserve"> </w:t>
      </w:r>
      <w:r w:rsidR="00B3655B">
        <w:t xml:space="preserve">erweitert erheblich das Ende: καὶ </w:t>
      </w:r>
      <w:proofErr w:type="spellStart"/>
      <w:r w:rsidR="00B3655B">
        <w:t>ἐξιλάσετ</w:t>
      </w:r>
      <w:proofErr w:type="spellEnd"/>
      <w:r w:rsidR="00B3655B">
        <w:t>αι π</w:t>
      </w:r>
      <w:proofErr w:type="spellStart"/>
      <w:r w:rsidR="00B3655B">
        <w:t>ερὶ</w:t>
      </w:r>
      <w:proofErr w:type="spellEnd"/>
      <w:r w:rsidR="00B3655B">
        <w:t xml:space="preserve"> α</w:t>
      </w:r>
      <w:proofErr w:type="spellStart"/>
      <w:r w:rsidR="00B3655B">
        <w:t>ὐτοῦ</w:t>
      </w:r>
      <w:proofErr w:type="spellEnd"/>
      <w:r w:rsidR="00B3655B">
        <w:t xml:space="preserve"> ὁ </w:t>
      </w:r>
      <w:proofErr w:type="spellStart"/>
      <w:r w:rsidR="00B3655B">
        <w:t>ἱερεὺς</w:t>
      </w:r>
      <w:proofErr w:type="spellEnd"/>
      <w:r w:rsidR="00B3655B">
        <w:t xml:space="preserve"> π</w:t>
      </w:r>
      <w:proofErr w:type="spellStart"/>
      <w:r w:rsidR="00B3655B">
        <w:t>ερὶ</w:t>
      </w:r>
      <w:proofErr w:type="spellEnd"/>
      <w:r w:rsidR="00B3655B">
        <w:t xml:space="preserve"> </w:t>
      </w:r>
      <w:proofErr w:type="spellStart"/>
      <w:r w:rsidR="00B3655B">
        <w:t>τῆς</w:t>
      </w:r>
      <w:proofErr w:type="spellEnd"/>
      <w:r w:rsidR="00B3655B">
        <w:t xml:space="preserve"> </w:t>
      </w:r>
      <w:proofErr w:type="spellStart"/>
      <w:r w:rsidR="00B3655B">
        <w:t>ἁμ</w:t>
      </w:r>
      <w:proofErr w:type="spellEnd"/>
      <w:r w:rsidR="00B3655B">
        <w:t>αρτίας α</w:t>
      </w:r>
      <w:proofErr w:type="spellStart"/>
      <w:r w:rsidR="00B3655B">
        <w:t>ὐτοῦ</w:t>
      </w:r>
      <w:proofErr w:type="spellEnd"/>
      <w:r w:rsidR="00B3655B">
        <w:t xml:space="preserve">, </w:t>
      </w:r>
      <w:proofErr w:type="spellStart"/>
      <w:r w:rsidR="00B3655B">
        <w:t>ἧς</w:t>
      </w:r>
      <w:proofErr w:type="spellEnd"/>
      <w:r w:rsidR="00B3655B">
        <w:t xml:space="preserve"> </w:t>
      </w:r>
      <w:proofErr w:type="spellStart"/>
      <w:r w:rsidR="00B3655B">
        <w:t>ἥμ</w:t>
      </w:r>
      <w:proofErr w:type="spellEnd"/>
      <w:r w:rsidR="00B3655B">
        <w:t xml:space="preserve">αρτεν, καὶ </w:t>
      </w:r>
      <w:proofErr w:type="spellStart"/>
      <w:r w:rsidR="00B3655B">
        <w:t>ἀφεθήσετ</w:t>
      </w:r>
      <w:proofErr w:type="spellEnd"/>
      <w:r w:rsidR="00B3655B">
        <w:t>αι α</w:t>
      </w:r>
      <w:proofErr w:type="spellStart"/>
      <w:r w:rsidR="00B3655B">
        <w:t>ὐτῷ</w:t>
      </w:r>
      <w:proofErr w:type="spellEnd"/>
      <w:r w:rsidR="00B3655B">
        <w:t xml:space="preserve"> ἡ </w:t>
      </w:r>
      <w:proofErr w:type="spellStart"/>
      <w:r w:rsidR="00B3655B">
        <w:t>ἁμ</w:t>
      </w:r>
      <w:proofErr w:type="spellEnd"/>
      <w:r w:rsidR="00B3655B">
        <w:t xml:space="preserve">αρτία, während das Hebräische nur </w:t>
      </w:r>
      <w:r w:rsidR="00B3655B">
        <w:rPr>
          <w:rtl/>
        </w:rPr>
        <w:t>וכפר עליו הכהן מחטאתו</w:t>
      </w:r>
      <w:r w:rsidR="00B3655B">
        <w:t xml:space="preserve"> hat.</w:t>
      </w:r>
    </w:p>
    <w:p w14:paraId="15BC91B3" w14:textId="058EC445" w:rsidR="00577688" w:rsidRPr="00577688" w:rsidRDefault="00577688" w:rsidP="00B3655B">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Objekt + Dativangabe + Zweckangabe mit Relativsatz + Objekt-Spezifizierung + Zweckangabe // </w:t>
      </w:r>
      <w:r w:rsidRPr="00577688">
        <w:rPr>
          <w:rFonts w:eastAsia="Times New Roman" w:cs="Times New Roman"/>
          <w:b/>
          <w:bCs/>
          <w:rtl/>
          <w:lang w:eastAsia="de-DE"/>
        </w:rPr>
        <w:t>כפרה</w:t>
      </w:r>
      <w:r w:rsidRPr="00577688">
        <w:rPr>
          <w:rFonts w:eastAsia="Times New Roman" w:cs="Times New Roman"/>
          <w:lang w:eastAsia="de-DE"/>
        </w:rPr>
        <w:t>-Formel. Die Struktur entspricht den Standard-</w:t>
      </w:r>
      <w:r w:rsidRPr="00577688">
        <w:rPr>
          <w:rFonts w:eastAsia="Times New Roman" w:cs="Times New Roman"/>
          <w:b/>
          <w:bCs/>
          <w:rtl/>
          <w:lang w:eastAsia="de-DE"/>
        </w:rPr>
        <w:t>חטאת</w:t>
      </w:r>
      <w:r w:rsidRPr="00577688">
        <w:rPr>
          <w:rFonts w:eastAsia="Times New Roman" w:cs="Times New Roman"/>
          <w:lang w:eastAsia="de-DE"/>
        </w:rPr>
        <w:t>-Bestimmungen.</w:t>
      </w:r>
    </w:p>
    <w:p w14:paraId="7E2E2C5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lastRenderedPageBreak/>
        <w:t xml:space="preserve">Dieser Vers zeigt das Grundopfer für die vier besonderen </w:t>
      </w:r>
      <w:r w:rsidRPr="00577688">
        <w:rPr>
          <w:rFonts w:eastAsia="Times New Roman" w:cs="Times New Roman"/>
          <w:b/>
          <w:bCs/>
          <w:rtl/>
          <w:lang w:eastAsia="de-DE"/>
        </w:rPr>
        <w:t>חטאת</w:t>
      </w:r>
      <w:r w:rsidRPr="00577688">
        <w:rPr>
          <w:rFonts w:eastAsia="Times New Roman" w:cs="Times New Roman"/>
          <w:lang w:eastAsia="de-DE"/>
        </w:rPr>
        <w:t xml:space="preserve">-Kategorien: weibliches Kleinvieh entsprechend </w:t>
      </w:r>
      <w:r w:rsidRPr="00577688">
        <w:rPr>
          <w:rFonts w:eastAsia="Times New Roman" w:cs="Times New Roman"/>
          <w:b/>
          <w:bCs/>
          <w:rtl/>
          <w:lang w:eastAsia="de-DE"/>
        </w:rPr>
        <w:t>עם הארץ</w:t>
      </w:r>
      <w:r w:rsidRPr="00577688">
        <w:rPr>
          <w:rFonts w:eastAsia="Times New Roman" w:cs="Times New Roman"/>
          <w:lang w:eastAsia="de-DE"/>
        </w:rPr>
        <w:t>-Status.</w:t>
      </w:r>
    </w:p>
    <w:p w14:paraId="5AECBEF1"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5,7</w:t>
      </w:r>
    </w:p>
    <w:p w14:paraId="4765F96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וְאִם־לֹ֨א תַגִּ֣יע יָדוֹ֮ דֵּ֣י שֶׂה֒ וְהֵבִ֨יא אֶת־אֲשָׁמֹ֜ו אֲשֶׁ֣ר חָטָ֗א שְׁתֵּ֥י תֹרִ֛ים אֽוֹ־שְׁנֵ֥י בְנֵֽי־יוֹנָ֖ה לַֽיהוָ֑ה אֶחָ֥ד לְחַטָּ֖את וְאֶחָ֥ד לְעֹלָֽה׃</w:t>
      </w:r>
    </w:p>
    <w:p w14:paraId="2E1E5DD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seine Hand das zu einem Stück Kleinvieh Ausreichende nicht aufbringen kann, so soll er für seine Schuld, die er auf sich geladen hat, zwei Turteltauben oder zwei junge Tauben dem Ewigen bringen: eine zum Sündopfer und eine zum Aufsteigeopfer.</w:t>
      </w:r>
    </w:p>
    <w:p w14:paraId="5E03682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855CE6F">
          <v:rect id="_x0000_i1116" style="width:0;height:1.5pt" o:hralign="center" o:hrstd="t" o:hr="t" fillcolor="#a0a0a0" stroked="f"/>
        </w:pict>
      </w:r>
    </w:p>
    <w:p w14:paraId="43C0B3CF" w14:textId="3AF3D0A6"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וְאִם־לֹ֨א תַגִּ֣יע יָדוֹ֮ דֵּ֣י שֶׂה֒</w:t>
      </w:r>
      <w:r w:rsidRPr="00577688">
        <w:rPr>
          <w:rFonts w:eastAsia="Times New Roman" w:cs="Times New Roman"/>
          <w:rtl/>
          <w:lang w:eastAsia="de-DE"/>
        </w:rPr>
        <w:t xml:space="preserve"> </w:t>
      </w:r>
      <w:r w:rsidRPr="00577688">
        <w:rPr>
          <w:rFonts w:eastAsia="Times New Roman" w:cs="Times New Roman"/>
          <w:lang w:eastAsia="de-DE"/>
        </w:rPr>
        <w:t xml:space="preserve">(und wenn seine Hand nicht das Ausreichende für ein Stück Kleinvieh erreicht) führt eine Armenregelung ein. </w:t>
      </w:r>
      <w:r w:rsidRPr="00577688">
        <w:rPr>
          <w:rFonts w:eastAsia="Times New Roman" w:cs="Times New Roman"/>
          <w:b/>
          <w:bCs/>
          <w:rtl/>
          <w:lang w:eastAsia="de-DE"/>
        </w:rPr>
        <w:t>אם־לא תגיע ידו</w:t>
      </w:r>
      <w:r w:rsidRPr="00577688">
        <w:rPr>
          <w:rFonts w:eastAsia="Times New Roman" w:cs="Times New Roman"/>
          <w:rtl/>
          <w:lang w:eastAsia="de-DE"/>
        </w:rPr>
        <w:t xml:space="preserve"> </w:t>
      </w:r>
      <w:r w:rsidRPr="00577688">
        <w:rPr>
          <w:rFonts w:eastAsia="Times New Roman" w:cs="Times New Roman"/>
          <w:lang w:eastAsia="de-DE"/>
        </w:rPr>
        <w:t xml:space="preserve">(wenn seine Hand nicht erreicht) ist idiomatische Wendung für finanzielle Unfähigkeit. </w:t>
      </w:r>
      <w:r w:rsidRPr="00577688">
        <w:rPr>
          <w:rFonts w:eastAsia="Times New Roman" w:cs="Times New Roman"/>
          <w:b/>
          <w:bCs/>
          <w:rtl/>
          <w:lang w:eastAsia="de-DE"/>
        </w:rPr>
        <w:t>די שה</w:t>
      </w:r>
      <w:r w:rsidRPr="00577688">
        <w:rPr>
          <w:rFonts w:eastAsia="Times New Roman" w:cs="Times New Roman"/>
          <w:rtl/>
          <w:lang w:eastAsia="de-DE"/>
        </w:rPr>
        <w:t xml:space="preserve"> </w:t>
      </w:r>
      <w:r w:rsidRPr="00577688">
        <w:rPr>
          <w:rFonts w:eastAsia="Times New Roman" w:cs="Times New Roman"/>
          <w:lang w:eastAsia="de-DE"/>
        </w:rPr>
        <w:t xml:space="preserve">(das Ausreichende für ein Stück Kleinvieh) mit </w:t>
      </w:r>
      <w:r w:rsidRPr="00577688">
        <w:rPr>
          <w:rFonts w:eastAsia="Times New Roman" w:cs="Times New Roman"/>
          <w:b/>
          <w:bCs/>
          <w:rtl/>
          <w:lang w:eastAsia="de-DE"/>
        </w:rPr>
        <w:t>די</w:t>
      </w:r>
      <w:r w:rsidRPr="00577688">
        <w:rPr>
          <w:rFonts w:eastAsia="Times New Roman" w:cs="Times New Roman"/>
          <w:rtl/>
          <w:lang w:eastAsia="de-DE"/>
        </w:rPr>
        <w:t xml:space="preserve"> </w:t>
      </w:r>
      <w:r w:rsidRPr="00577688">
        <w:rPr>
          <w:rFonts w:eastAsia="Times New Roman" w:cs="Times New Roman"/>
          <w:lang w:eastAsia="de-DE"/>
        </w:rPr>
        <w:t xml:space="preserve">(Genüge/Ausreichendes) im </w:t>
      </w:r>
      <w:r w:rsidR="005407E2">
        <w:rPr>
          <w:rFonts w:eastAsia="Times New Roman" w:cs="Times New Roman"/>
          <w:lang w:eastAsia="de-DE"/>
        </w:rPr>
        <w:t>Constructus</w:t>
      </w:r>
      <w:r w:rsidRPr="00577688">
        <w:rPr>
          <w:rFonts w:eastAsia="Times New Roman" w:cs="Times New Roman"/>
          <w:lang w:eastAsia="de-DE"/>
        </w:rPr>
        <w:t xml:space="preserve"> mit </w:t>
      </w:r>
      <w:r w:rsidRPr="00577688">
        <w:rPr>
          <w:rFonts w:eastAsia="Times New Roman" w:cs="Times New Roman"/>
          <w:b/>
          <w:bCs/>
          <w:rtl/>
          <w:lang w:eastAsia="de-DE"/>
        </w:rPr>
        <w:t>שה</w:t>
      </w:r>
      <w:r w:rsidRPr="00577688">
        <w:rPr>
          <w:rFonts w:eastAsia="Times New Roman" w:cs="Times New Roman"/>
          <w:rtl/>
          <w:lang w:eastAsia="de-DE"/>
        </w:rPr>
        <w:t xml:space="preserve"> </w:t>
      </w:r>
      <w:r w:rsidRPr="00577688">
        <w:rPr>
          <w:rFonts w:eastAsia="Times New Roman" w:cs="Times New Roman"/>
          <w:lang w:eastAsia="de-DE"/>
        </w:rPr>
        <w:t>(Stück Kleinvieh).</w:t>
      </w:r>
    </w:p>
    <w:p w14:paraId="52BED2C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 אֶת־אֲשָׁמֹ֜ו אֲשֶׁ֣ר חָטָ֗א שְׁתֵּ֥י תֹרִ֛ים אֽוֹ־שְׁנֵ֥י בְנֵֽי־יוֹנָ֖ה לַֽיהוָ֑ה</w:t>
      </w:r>
      <w:r w:rsidRPr="00577688">
        <w:rPr>
          <w:rFonts w:eastAsia="Times New Roman" w:cs="Times New Roman"/>
          <w:rtl/>
          <w:lang w:eastAsia="de-DE"/>
        </w:rPr>
        <w:t xml:space="preserve"> </w:t>
      </w:r>
      <w:r w:rsidRPr="00577688">
        <w:rPr>
          <w:rFonts w:eastAsia="Times New Roman" w:cs="Times New Roman"/>
          <w:lang w:eastAsia="de-DE"/>
        </w:rPr>
        <w:t xml:space="preserve">(und er soll für seine Schuld, die er auf sich geladen hat, zwei Turteltauben oder zwei junge Tauben für JHWH bringen) spezifiziert die Alternative. </w:t>
      </w:r>
      <w:r w:rsidRPr="00577688">
        <w:rPr>
          <w:rFonts w:eastAsia="Times New Roman" w:cs="Times New Roman"/>
          <w:b/>
          <w:bCs/>
          <w:rtl/>
          <w:lang w:eastAsia="de-DE"/>
        </w:rPr>
        <w:t>את־אשמו אשר חטא</w:t>
      </w:r>
      <w:r w:rsidRPr="00577688">
        <w:rPr>
          <w:rFonts w:eastAsia="Times New Roman" w:cs="Times New Roman"/>
          <w:rtl/>
          <w:lang w:eastAsia="de-DE"/>
        </w:rPr>
        <w:t xml:space="preserve"> </w:t>
      </w:r>
      <w:r w:rsidRPr="00577688">
        <w:rPr>
          <w:rFonts w:eastAsia="Times New Roman" w:cs="Times New Roman"/>
          <w:lang w:eastAsia="de-DE"/>
        </w:rPr>
        <w:t xml:space="preserve">(für seine Schuld, die er gesündigt hat), </w:t>
      </w:r>
      <w:r w:rsidRPr="00577688">
        <w:rPr>
          <w:rFonts w:eastAsia="Times New Roman" w:cs="Times New Roman"/>
          <w:b/>
          <w:bCs/>
          <w:rtl/>
          <w:lang w:eastAsia="de-DE"/>
        </w:rPr>
        <w:t>שתי תרים או־שני בני־יונה</w:t>
      </w:r>
      <w:r w:rsidRPr="00577688">
        <w:rPr>
          <w:rFonts w:eastAsia="Times New Roman" w:cs="Times New Roman"/>
          <w:rtl/>
          <w:lang w:eastAsia="de-DE"/>
        </w:rPr>
        <w:t xml:space="preserve"> </w:t>
      </w:r>
      <w:r w:rsidRPr="00577688">
        <w:rPr>
          <w:rFonts w:eastAsia="Times New Roman" w:cs="Times New Roman"/>
          <w:lang w:eastAsia="de-DE"/>
        </w:rPr>
        <w:t>(zwei Turteltauben oder zwei junge Tauben) entspricht 1,14.</w:t>
      </w:r>
    </w:p>
    <w:p w14:paraId="7DA9208A" w14:textId="7D2DB684"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אֶחָ֥ד לְחַטָּ֖את וְאֶחָ֥ד לְעֹלָֽה</w:t>
      </w:r>
      <w:r w:rsidRPr="00577688">
        <w:rPr>
          <w:rFonts w:eastAsia="Times New Roman" w:cs="Times New Roman"/>
          <w:rtl/>
          <w:lang w:eastAsia="de-DE"/>
        </w:rPr>
        <w:t xml:space="preserve"> </w:t>
      </w:r>
      <w:r w:rsidRPr="00577688">
        <w:rPr>
          <w:rFonts w:eastAsia="Times New Roman" w:cs="Times New Roman"/>
          <w:lang w:eastAsia="de-DE"/>
        </w:rPr>
        <w:t xml:space="preserve">(eine zum Sündopfer und eine zum </w:t>
      </w:r>
      <w:r w:rsidR="00CF10E7">
        <w:rPr>
          <w:rFonts w:eastAsia="Times New Roman" w:cs="Times New Roman"/>
          <w:lang w:eastAsia="de-DE"/>
        </w:rPr>
        <w:t>Aufsteigeopfer</w:t>
      </w:r>
      <w:r w:rsidRPr="00577688">
        <w:rPr>
          <w:rFonts w:eastAsia="Times New Roman" w:cs="Times New Roman"/>
          <w:lang w:eastAsia="de-DE"/>
        </w:rPr>
        <w:t xml:space="preserve">) zeigt die Aufteilung der beiden Vögel. </w:t>
      </w:r>
      <w:r w:rsidRPr="00577688">
        <w:rPr>
          <w:rFonts w:eastAsia="Times New Roman" w:cs="Times New Roman"/>
          <w:b/>
          <w:bCs/>
          <w:rtl/>
          <w:lang w:eastAsia="de-DE"/>
        </w:rPr>
        <w:t>אחד...ואחד</w:t>
      </w:r>
      <w:r w:rsidRPr="00577688">
        <w:rPr>
          <w:rFonts w:eastAsia="Times New Roman" w:cs="Times New Roman"/>
          <w:rtl/>
          <w:lang w:eastAsia="de-DE"/>
        </w:rPr>
        <w:t xml:space="preserve"> </w:t>
      </w:r>
      <w:r w:rsidRPr="00577688">
        <w:rPr>
          <w:rFonts w:eastAsia="Times New Roman" w:cs="Times New Roman"/>
          <w:lang w:eastAsia="de-DE"/>
        </w:rPr>
        <w:t xml:space="preserve">(eine...und eine),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 xml:space="preserve">(zum Sündopfer), </w:t>
      </w:r>
      <w:r w:rsidRPr="00577688">
        <w:rPr>
          <w:rFonts w:eastAsia="Times New Roman" w:cs="Times New Roman"/>
          <w:b/>
          <w:bCs/>
          <w:rtl/>
          <w:lang w:eastAsia="de-DE"/>
        </w:rPr>
        <w:t>לעלה</w:t>
      </w:r>
      <w:r w:rsidRPr="00577688">
        <w:rPr>
          <w:rFonts w:eastAsia="Times New Roman" w:cs="Times New Roman"/>
          <w:rtl/>
          <w:lang w:eastAsia="de-DE"/>
        </w:rPr>
        <w:t xml:space="preserve"> </w:t>
      </w:r>
      <w:r w:rsidRPr="00577688">
        <w:rPr>
          <w:rFonts w:eastAsia="Times New Roman" w:cs="Times New Roman"/>
          <w:lang w:eastAsia="de-DE"/>
        </w:rPr>
        <w:t xml:space="preserve">(zum </w:t>
      </w:r>
      <w:r w:rsidR="00CF10E7">
        <w:rPr>
          <w:rFonts w:eastAsia="Times New Roman" w:cs="Times New Roman"/>
          <w:lang w:eastAsia="de-DE"/>
        </w:rPr>
        <w:t>Aufsteigeopfer</w:t>
      </w:r>
      <w:r w:rsidRPr="00577688">
        <w:rPr>
          <w:rFonts w:eastAsia="Times New Roman" w:cs="Times New Roman"/>
          <w:lang w:eastAsia="de-DE"/>
        </w:rPr>
        <w:t>).</w:t>
      </w:r>
    </w:p>
    <w:p w14:paraId="5C523ED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 תגיע ידו</w:t>
      </w:r>
      <w:r w:rsidRPr="00577688">
        <w:rPr>
          <w:rFonts w:eastAsia="Times New Roman" w:cs="Times New Roman"/>
          <w:rtl/>
          <w:lang w:eastAsia="de-DE"/>
        </w:rPr>
        <w:t xml:space="preserve"> </w:t>
      </w:r>
      <w:r w:rsidRPr="00577688">
        <w:rPr>
          <w:rFonts w:eastAsia="Times New Roman" w:cs="Times New Roman"/>
          <w:lang w:eastAsia="de-DE"/>
        </w:rPr>
        <w:t xml:space="preserve">(seine Hand erreicht nicht) ist standardisierte Formel für Armut. </w:t>
      </w:r>
      <w:r w:rsidRPr="00577688">
        <w:rPr>
          <w:rFonts w:eastAsia="Times New Roman" w:cs="Times New Roman"/>
          <w:b/>
          <w:bCs/>
          <w:rtl/>
          <w:lang w:eastAsia="de-DE"/>
        </w:rPr>
        <w:t>די שה</w:t>
      </w:r>
      <w:r w:rsidRPr="00577688">
        <w:rPr>
          <w:rFonts w:eastAsia="Times New Roman" w:cs="Times New Roman"/>
          <w:rtl/>
          <w:lang w:eastAsia="de-DE"/>
        </w:rPr>
        <w:t xml:space="preserve"> </w:t>
      </w:r>
      <w:r w:rsidRPr="00577688">
        <w:rPr>
          <w:rFonts w:eastAsia="Times New Roman" w:cs="Times New Roman"/>
          <w:lang w:eastAsia="de-DE"/>
        </w:rPr>
        <w:t>(Ausreichendes für ein Stück Kleinvieh) zeigt, dass auch das günstigste Säugetieropfer (weibliches Kleinvieh) für manche unerschwinglich ist.</w:t>
      </w:r>
    </w:p>
    <w:p w14:paraId="5A4105A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שתי תרים או־שני בני־יונה</w:t>
      </w:r>
      <w:r w:rsidRPr="00577688">
        <w:rPr>
          <w:rFonts w:eastAsia="Times New Roman" w:cs="Times New Roman"/>
          <w:rtl/>
          <w:lang w:eastAsia="de-DE"/>
        </w:rPr>
        <w:t xml:space="preserve"> </w:t>
      </w:r>
      <w:r w:rsidRPr="00577688">
        <w:rPr>
          <w:rFonts w:eastAsia="Times New Roman" w:cs="Times New Roman"/>
          <w:lang w:eastAsia="de-DE"/>
        </w:rPr>
        <w:t xml:space="preserve">entspricht den Vogelbestimmungen für Arme bei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 xml:space="preserve">(1,14). </w:t>
      </w:r>
      <w:r w:rsidRPr="00577688">
        <w:rPr>
          <w:rFonts w:eastAsia="Times New Roman" w:cs="Times New Roman"/>
          <w:b/>
          <w:bCs/>
          <w:rtl/>
          <w:lang w:eastAsia="de-DE"/>
        </w:rPr>
        <w:t>אחד לחטאת ואחד לעלה</w:t>
      </w:r>
      <w:r w:rsidRPr="00577688">
        <w:rPr>
          <w:rFonts w:eastAsia="Times New Roman" w:cs="Times New Roman"/>
          <w:rtl/>
          <w:lang w:eastAsia="de-DE"/>
        </w:rPr>
        <w:t xml:space="preserve"> </w:t>
      </w:r>
      <w:r w:rsidRPr="00577688">
        <w:rPr>
          <w:rFonts w:eastAsia="Times New Roman" w:cs="Times New Roman"/>
          <w:lang w:eastAsia="de-DE"/>
        </w:rPr>
        <w:t xml:space="preserve">zeigt eine neue Kombination: </w:t>
      </w:r>
      <w:r w:rsidRPr="00577688">
        <w:rPr>
          <w:rFonts w:eastAsia="Times New Roman" w:cs="Times New Roman"/>
          <w:b/>
          <w:bCs/>
          <w:rtl/>
          <w:lang w:eastAsia="de-DE"/>
        </w:rPr>
        <w:t>חטאת</w:t>
      </w:r>
      <w:r w:rsidRPr="00577688">
        <w:rPr>
          <w:rFonts w:eastAsia="Times New Roman" w:cs="Times New Roman"/>
          <w:lang w:eastAsia="de-DE"/>
        </w:rPr>
        <w:t xml:space="preserve">-Vogel plus </w:t>
      </w:r>
      <w:r w:rsidRPr="00577688">
        <w:rPr>
          <w:rFonts w:eastAsia="Times New Roman" w:cs="Times New Roman"/>
          <w:b/>
          <w:bCs/>
          <w:rtl/>
          <w:lang w:eastAsia="de-DE"/>
        </w:rPr>
        <w:t>עלה</w:t>
      </w:r>
      <w:r w:rsidRPr="00577688">
        <w:rPr>
          <w:rFonts w:eastAsia="Times New Roman" w:cs="Times New Roman"/>
          <w:lang w:eastAsia="de-DE"/>
        </w:rPr>
        <w:t xml:space="preserve">-Vogel als vollständiges </w:t>
      </w:r>
      <w:proofErr w:type="spellStart"/>
      <w:r w:rsidRPr="00577688">
        <w:rPr>
          <w:rFonts w:eastAsia="Times New Roman" w:cs="Times New Roman"/>
          <w:lang w:eastAsia="de-DE"/>
        </w:rPr>
        <w:t>Sühnpaket</w:t>
      </w:r>
      <w:proofErr w:type="spellEnd"/>
      <w:r w:rsidRPr="00577688">
        <w:rPr>
          <w:rFonts w:eastAsia="Times New Roman" w:cs="Times New Roman"/>
          <w:lang w:eastAsia="de-DE"/>
        </w:rPr>
        <w:t>.</w:t>
      </w:r>
    </w:p>
    <w:p w14:paraId="0B83ED09" w14:textId="24974D98"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דֵּ֣י שֶׂה֒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ἱκ</w:t>
      </w:r>
      <w:proofErr w:type="spellEnd"/>
      <w:r w:rsidRPr="00577688">
        <w:rPr>
          <w:rFonts w:eastAsia="Times New Roman" w:cs="Times New Roman"/>
          <w:lang w:eastAsia="de-DE"/>
        </w:rPr>
        <w:t xml:space="preserve">ανὸν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ρό</w:t>
      </w:r>
      <w:proofErr w:type="spellEnd"/>
      <w:r w:rsidRPr="00577688">
        <w:rPr>
          <w:rFonts w:eastAsia="Times New Roman" w:cs="Times New Roman"/>
          <w:lang w:eastAsia="de-DE"/>
        </w:rPr>
        <w:t xml:space="preserve">βατον (Ausreichendes für ein Schaf), </w:t>
      </w:r>
      <w:r w:rsidRPr="00577688">
        <w:rPr>
          <w:rFonts w:eastAsia="Times New Roman" w:cs="Times New Roman"/>
          <w:b/>
          <w:bCs/>
          <w:rtl/>
          <w:lang w:eastAsia="de-DE"/>
        </w:rPr>
        <w:t>שְׁתֵּ֥י תֹרִ֛ים</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δύο</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τρυγόν</w:t>
      </w:r>
      <w:proofErr w:type="spellEnd"/>
      <w:r w:rsidRPr="00577688">
        <w:rPr>
          <w:rFonts w:eastAsia="Times New Roman" w:cs="Times New Roman"/>
          <w:lang w:eastAsia="de-DE"/>
        </w:rPr>
        <w:t xml:space="preserve">ας (zwei Turteltauben) und die Zweckangaben mit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αρτίαν (für Sünde) und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ὁλοκ</w:t>
      </w:r>
      <w:proofErr w:type="spellEnd"/>
      <w:r w:rsidRPr="00577688">
        <w:rPr>
          <w:rFonts w:eastAsia="Times New Roman" w:cs="Times New Roman"/>
          <w:lang w:eastAsia="de-DE"/>
        </w:rPr>
        <w:t xml:space="preserve">αύτωμα (für </w:t>
      </w:r>
      <w:r w:rsidR="00CF10E7">
        <w:rPr>
          <w:rFonts w:eastAsia="Times New Roman" w:cs="Times New Roman"/>
          <w:lang w:eastAsia="de-DE"/>
        </w:rPr>
        <w:t>Aufsteigeopfer</w:t>
      </w:r>
      <w:r w:rsidRPr="00577688">
        <w:rPr>
          <w:rFonts w:eastAsia="Times New Roman" w:cs="Times New Roman"/>
          <w:lang w:eastAsia="de-DE"/>
        </w:rPr>
        <w:t>).</w:t>
      </w:r>
    </w:p>
    <w:p w14:paraId="5F29194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Protasis (</w:t>
      </w:r>
      <w:r w:rsidRPr="00577688">
        <w:rPr>
          <w:rFonts w:eastAsia="Times New Roman" w:cs="Times New Roman"/>
          <w:rtl/>
          <w:lang w:eastAsia="de-DE"/>
        </w:rPr>
        <w:t>אִם</w:t>
      </w:r>
      <w:r w:rsidRPr="00577688">
        <w:rPr>
          <w:rFonts w:eastAsia="Times New Roman" w:cs="Times New Roman"/>
          <w:lang w:eastAsia="de-DE"/>
        </w:rPr>
        <w:t xml:space="preserve"> + negative finanzielle Fähigkeit) → Apodosis (Verb + Objekt mit Relativsatz + Alternativopfer + Dativangabe + Zweckaufteilung). Die Struktur etabliert ein gestaffeltes Opfersystem nach finanzieller Leistungsfähigkeit.</w:t>
      </w:r>
    </w:p>
    <w:p w14:paraId="46BCB78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die erste Stufe der Armenregelung ein: Vogelpaare (ein </w:t>
      </w:r>
      <w:r w:rsidRPr="00577688">
        <w:rPr>
          <w:rFonts w:eastAsia="Times New Roman" w:cs="Times New Roman"/>
          <w:b/>
          <w:bCs/>
          <w:rtl/>
          <w:lang w:eastAsia="de-DE"/>
        </w:rPr>
        <w:t>חטאת</w:t>
      </w:r>
      <w:r w:rsidRPr="00577688">
        <w:rPr>
          <w:rFonts w:eastAsia="Times New Roman" w:cs="Times New Roman"/>
          <w:lang w:eastAsia="de-DE"/>
        </w:rPr>
        <w:t xml:space="preserve">-, ein </w:t>
      </w:r>
      <w:r w:rsidRPr="00577688">
        <w:rPr>
          <w:rFonts w:eastAsia="Times New Roman" w:cs="Times New Roman"/>
          <w:b/>
          <w:bCs/>
          <w:rtl/>
          <w:lang w:eastAsia="de-DE"/>
        </w:rPr>
        <w:t>עלה</w:t>
      </w:r>
      <w:r w:rsidRPr="00577688">
        <w:rPr>
          <w:rFonts w:eastAsia="Times New Roman" w:cs="Times New Roman"/>
          <w:lang w:eastAsia="de-DE"/>
        </w:rPr>
        <w:t>-Vogel) für diejenigen, die sich kein Kleinvieh leisten können.</w:t>
      </w:r>
    </w:p>
    <w:p w14:paraId="50D988FD"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lastRenderedPageBreak/>
        <w:t>Leviticus 5,8</w:t>
      </w:r>
    </w:p>
    <w:p w14:paraId="44692E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 אֹתָם֙ אֶל־הַכֹּהֵ֔ן וְהִקְרִ֛יב אֶת־אֲשֶׁ֥ר לַחַטָּ֖את רִאשׁוֹנָ֑ה וּמָלַ֧ק אֶת־רֹאשֹׁ֛ו מִמּ֥וּל עָרְפֹּ֖ו וְלֹ֥א יַבְדִּֽיל׃</w:t>
      </w:r>
    </w:p>
    <w:p w14:paraId="1230516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sie zu dem Priester bringen; und dieser soll die zum Sündopfer bestimmten zuerst dar bringen und ihr den Kopf abkneifen dicht beim Genick; er soll ihn aber nicht abtrennen.</w:t>
      </w:r>
    </w:p>
    <w:p w14:paraId="62AEC85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EDD389D">
          <v:rect id="_x0000_i1117" style="width:0;height:1.5pt" o:hralign="center" o:hrstd="t" o:hr="t" fillcolor="#a0a0a0" stroked="f"/>
        </w:pict>
      </w:r>
    </w:p>
    <w:p w14:paraId="66494E4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וְהֵבִ֤יא אֹתָם֙ אֶל־הַכֹּהֵ֔ן</w:t>
      </w:r>
      <w:r w:rsidRPr="00577688">
        <w:rPr>
          <w:rFonts w:eastAsia="Times New Roman" w:cs="Times New Roman"/>
          <w:rtl/>
          <w:lang w:eastAsia="de-DE"/>
        </w:rPr>
        <w:t xml:space="preserve"> </w:t>
      </w:r>
      <w:r w:rsidRPr="00577688">
        <w:rPr>
          <w:rFonts w:eastAsia="Times New Roman" w:cs="Times New Roman"/>
          <w:lang w:eastAsia="de-DE"/>
        </w:rPr>
        <w:t xml:space="preserve">(und er soll sie zum Priester bringen) zeigt die Darbringung beider Vögel. </w:t>
      </w:r>
      <w:r w:rsidRPr="00577688">
        <w:rPr>
          <w:rFonts w:eastAsia="Times New Roman" w:cs="Times New Roman"/>
          <w:b/>
          <w:bCs/>
          <w:rtl/>
          <w:lang w:eastAsia="de-DE"/>
        </w:rPr>
        <w:t>הביא</w:t>
      </w:r>
      <w:r w:rsidRPr="00577688">
        <w:rPr>
          <w:rFonts w:eastAsia="Times New Roman" w:cs="Times New Roman"/>
          <w:rtl/>
          <w:lang w:eastAsia="de-DE"/>
        </w:rPr>
        <w:t xml:space="preserve"> </w:t>
      </w:r>
      <w:r w:rsidRPr="00577688">
        <w:rPr>
          <w:rFonts w:eastAsia="Times New Roman" w:cs="Times New Roman"/>
          <w:lang w:eastAsia="de-DE"/>
        </w:rPr>
        <w:t xml:space="preserve">(bringen) im Hifil-Perfekt mit Waw-Konsekutiv, </w:t>
      </w:r>
      <w:r w:rsidRPr="00577688">
        <w:rPr>
          <w:rFonts w:eastAsia="Times New Roman" w:cs="Times New Roman"/>
          <w:b/>
          <w:bCs/>
          <w:rtl/>
          <w:lang w:eastAsia="de-DE"/>
        </w:rPr>
        <w:t>אתם</w:t>
      </w:r>
      <w:r w:rsidRPr="00577688">
        <w:rPr>
          <w:rFonts w:eastAsia="Times New Roman" w:cs="Times New Roman"/>
          <w:rtl/>
          <w:lang w:eastAsia="de-DE"/>
        </w:rPr>
        <w:t xml:space="preserve"> </w:t>
      </w:r>
      <w:r w:rsidRPr="00577688">
        <w:rPr>
          <w:rFonts w:eastAsia="Times New Roman" w:cs="Times New Roman"/>
          <w:lang w:eastAsia="de-DE"/>
        </w:rPr>
        <w:t>(sie) mit maskulinem Dual-Suffix bezieht sich auf die beiden Vögel.</w:t>
      </w:r>
    </w:p>
    <w:p w14:paraId="254C15D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וְהִקְרִ֛יב אֶת־אֲשֶׁ֥ר לַחַטָּ֖את רִאשׁוֹנָ֑ה</w:t>
      </w:r>
      <w:r w:rsidRPr="00577688">
        <w:rPr>
          <w:rFonts w:eastAsia="Times New Roman" w:cs="Times New Roman"/>
          <w:rtl/>
          <w:lang w:eastAsia="de-DE"/>
        </w:rPr>
        <w:t xml:space="preserve"> </w:t>
      </w:r>
      <w:r w:rsidRPr="00577688">
        <w:rPr>
          <w:rFonts w:eastAsia="Times New Roman" w:cs="Times New Roman"/>
          <w:lang w:eastAsia="de-DE"/>
        </w:rPr>
        <w:t xml:space="preserve">(und er soll den für das Sündopfer bestimmten zuerst darbringen) zeigt die Reihenfolge. </w:t>
      </w:r>
      <w:r w:rsidRPr="00577688">
        <w:rPr>
          <w:rFonts w:eastAsia="Times New Roman" w:cs="Times New Roman"/>
          <w:b/>
          <w:bCs/>
          <w:rtl/>
          <w:lang w:eastAsia="de-DE"/>
        </w:rPr>
        <w:t>הקריב</w:t>
      </w:r>
      <w:r w:rsidRPr="00577688">
        <w:rPr>
          <w:rFonts w:eastAsia="Times New Roman" w:cs="Times New Roman"/>
          <w:rtl/>
          <w:lang w:eastAsia="de-DE"/>
        </w:rPr>
        <w:t xml:space="preserve"> </w:t>
      </w:r>
      <w:r w:rsidRPr="00577688">
        <w:rPr>
          <w:rFonts w:eastAsia="Times New Roman" w:cs="Times New Roman"/>
          <w:lang w:eastAsia="de-DE"/>
        </w:rPr>
        <w:t xml:space="preserve">(darbringen) im Hifil-Perfekt mit Waw-Konsekutiv, </w:t>
      </w:r>
      <w:r w:rsidRPr="00577688">
        <w:rPr>
          <w:rFonts w:eastAsia="Times New Roman" w:cs="Times New Roman"/>
          <w:b/>
          <w:bCs/>
          <w:rtl/>
          <w:lang w:eastAsia="de-DE"/>
        </w:rPr>
        <w:t>את־אשר לחטאת</w:t>
      </w:r>
      <w:r w:rsidRPr="00577688">
        <w:rPr>
          <w:rFonts w:eastAsia="Times New Roman" w:cs="Times New Roman"/>
          <w:rtl/>
          <w:lang w:eastAsia="de-DE"/>
        </w:rPr>
        <w:t xml:space="preserve"> </w:t>
      </w:r>
      <w:r w:rsidRPr="00577688">
        <w:rPr>
          <w:rFonts w:eastAsia="Times New Roman" w:cs="Times New Roman"/>
          <w:lang w:eastAsia="de-DE"/>
        </w:rPr>
        <w:t xml:space="preserve">(den für das Sündopfer bestimmten), </w:t>
      </w:r>
      <w:r w:rsidRPr="00577688">
        <w:rPr>
          <w:rFonts w:eastAsia="Times New Roman" w:cs="Times New Roman"/>
          <w:b/>
          <w:bCs/>
          <w:rtl/>
          <w:lang w:eastAsia="de-DE"/>
        </w:rPr>
        <w:t>ראשונה</w:t>
      </w:r>
      <w:r w:rsidRPr="00577688">
        <w:rPr>
          <w:rFonts w:eastAsia="Times New Roman" w:cs="Times New Roman"/>
          <w:rtl/>
          <w:lang w:eastAsia="de-DE"/>
        </w:rPr>
        <w:t xml:space="preserve"> </w:t>
      </w:r>
      <w:r w:rsidRPr="00577688">
        <w:rPr>
          <w:rFonts w:eastAsia="Times New Roman" w:cs="Times New Roman"/>
          <w:lang w:eastAsia="de-DE"/>
        </w:rPr>
        <w:t>(zuerst) als Adverb.</w:t>
      </w:r>
    </w:p>
    <w:p w14:paraId="72EEA71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וּמָלַ֧ק אֶת־רֹאשֹׁ֛ו מִמּ֥וּל עָרְפֹּ֖ו וְלֹ֥א יַבְדִּֽיל</w:t>
      </w:r>
      <w:r w:rsidRPr="00577688">
        <w:rPr>
          <w:rFonts w:eastAsia="Times New Roman" w:cs="Times New Roman"/>
          <w:rtl/>
          <w:lang w:eastAsia="de-DE"/>
        </w:rPr>
        <w:t xml:space="preserve"> </w:t>
      </w:r>
      <w:r w:rsidRPr="00577688">
        <w:rPr>
          <w:rFonts w:eastAsia="Times New Roman" w:cs="Times New Roman"/>
          <w:lang w:eastAsia="de-DE"/>
        </w:rPr>
        <w:t xml:space="preserve">(und er soll seinen Kopf dicht beim Genick abkneifen, aber nicht abtrennen) beschreibt die </w:t>
      </w:r>
      <w:r w:rsidRPr="00577688">
        <w:rPr>
          <w:rFonts w:eastAsia="Times New Roman" w:cs="Times New Roman"/>
          <w:b/>
          <w:bCs/>
          <w:rtl/>
          <w:lang w:eastAsia="de-DE"/>
        </w:rPr>
        <w:t>מליקה</w:t>
      </w:r>
      <w:r w:rsidRPr="00577688">
        <w:rPr>
          <w:rFonts w:eastAsia="Times New Roman" w:cs="Times New Roman"/>
          <w:rtl/>
          <w:lang w:eastAsia="de-DE"/>
        </w:rPr>
        <w:t xml:space="preserve"> </w:t>
      </w:r>
      <w:r w:rsidRPr="00577688">
        <w:rPr>
          <w:rFonts w:eastAsia="Times New Roman" w:cs="Times New Roman"/>
          <w:lang w:eastAsia="de-DE"/>
        </w:rPr>
        <w:t xml:space="preserve">(Vogelschlachtung). </w:t>
      </w:r>
      <w:r w:rsidRPr="00577688">
        <w:rPr>
          <w:rFonts w:eastAsia="Times New Roman" w:cs="Times New Roman"/>
          <w:b/>
          <w:bCs/>
          <w:rtl/>
          <w:lang w:eastAsia="de-DE"/>
        </w:rPr>
        <w:t>מלק</w:t>
      </w:r>
      <w:r w:rsidRPr="00577688">
        <w:rPr>
          <w:rFonts w:eastAsia="Times New Roman" w:cs="Times New Roman"/>
          <w:rtl/>
          <w:lang w:eastAsia="de-DE"/>
        </w:rPr>
        <w:t xml:space="preserve"> </w:t>
      </w:r>
      <w:r w:rsidRPr="00577688">
        <w:rPr>
          <w:rFonts w:eastAsia="Times New Roman" w:cs="Times New Roman"/>
          <w:lang w:eastAsia="de-DE"/>
        </w:rPr>
        <w:t xml:space="preserve">(abkneifen) im Qal-Perfekt mit Waw-Konsekutiv, </w:t>
      </w:r>
      <w:r w:rsidRPr="00577688">
        <w:rPr>
          <w:rFonts w:eastAsia="Times New Roman" w:cs="Times New Roman"/>
          <w:b/>
          <w:bCs/>
          <w:rtl/>
          <w:lang w:eastAsia="de-DE"/>
        </w:rPr>
        <w:t>את־ראשו</w:t>
      </w:r>
      <w:r w:rsidRPr="00577688">
        <w:rPr>
          <w:rFonts w:eastAsia="Times New Roman" w:cs="Times New Roman"/>
          <w:rtl/>
          <w:lang w:eastAsia="de-DE"/>
        </w:rPr>
        <w:t xml:space="preserve"> </w:t>
      </w:r>
      <w:r w:rsidRPr="00577688">
        <w:rPr>
          <w:rFonts w:eastAsia="Times New Roman" w:cs="Times New Roman"/>
          <w:lang w:eastAsia="de-DE"/>
        </w:rPr>
        <w:t xml:space="preserve">(seinen Kopf), </w:t>
      </w:r>
      <w:r w:rsidRPr="00577688">
        <w:rPr>
          <w:rFonts w:eastAsia="Times New Roman" w:cs="Times New Roman"/>
          <w:b/>
          <w:bCs/>
          <w:rtl/>
          <w:lang w:eastAsia="de-DE"/>
        </w:rPr>
        <w:t>ממול ערפו</w:t>
      </w:r>
      <w:r w:rsidRPr="00577688">
        <w:rPr>
          <w:rFonts w:eastAsia="Times New Roman" w:cs="Times New Roman"/>
          <w:rtl/>
          <w:lang w:eastAsia="de-DE"/>
        </w:rPr>
        <w:t xml:space="preserve"> </w:t>
      </w:r>
      <w:r w:rsidRPr="00577688">
        <w:rPr>
          <w:rFonts w:eastAsia="Times New Roman" w:cs="Times New Roman"/>
          <w:lang w:eastAsia="de-DE"/>
        </w:rPr>
        <w:t xml:space="preserve">(dicht bei seinem Genick), </w:t>
      </w:r>
      <w:r w:rsidRPr="00577688">
        <w:rPr>
          <w:rFonts w:eastAsia="Times New Roman" w:cs="Times New Roman"/>
          <w:b/>
          <w:bCs/>
          <w:rtl/>
          <w:lang w:eastAsia="de-DE"/>
        </w:rPr>
        <w:t>ולא יבדיל</w:t>
      </w:r>
      <w:r w:rsidRPr="00577688">
        <w:rPr>
          <w:rFonts w:eastAsia="Times New Roman" w:cs="Times New Roman"/>
          <w:rtl/>
          <w:lang w:eastAsia="de-DE"/>
        </w:rPr>
        <w:t xml:space="preserve"> </w:t>
      </w:r>
      <w:r w:rsidRPr="00577688">
        <w:rPr>
          <w:rFonts w:eastAsia="Times New Roman" w:cs="Times New Roman"/>
          <w:lang w:eastAsia="de-DE"/>
        </w:rPr>
        <w:t>(und er soll nicht abtrennen).</w:t>
      </w:r>
    </w:p>
    <w:p w14:paraId="488D940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את־אשר לחטאת ראשונה</w:t>
      </w:r>
      <w:r w:rsidRPr="00577688">
        <w:rPr>
          <w:rFonts w:eastAsia="Times New Roman" w:cs="Times New Roman"/>
          <w:rtl/>
          <w:lang w:eastAsia="de-DE"/>
        </w:rPr>
        <w:t xml:space="preserve"> </w:t>
      </w:r>
      <w:r w:rsidRPr="00577688">
        <w:rPr>
          <w:rFonts w:eastAsia="Times New Roman" w:cs="Times New Roman"/>
          <w:lang w:eastAsia="de-DE"/>
        </w:rPr>
        <w:t xml:space="preserve">(den für das Sündopfer bestimmten zuerst) etabliert die Priorität des </w:t>
      </w:r>
      <w:r w:rsidRPr="00577688">
        <w:rPr>
          <w:rFonts w:eastAsia="Times New Roman" w:cs="Times New Roman"/>
          <w:b/>
          <w:bCs/>
          <w:rtl/>
          <w:lang w:eastAsia="de-DE"/>
        </w:rPr>
        <w:t>חטאת</w:t>
      </w:r>
      <w:r w:rsidRPr="00577688">
        <w:rPr>
          <w:rFonts w:eastAsia="Times New Roman" w:cs="Times New Roman"/>
          <w:lang w:eastAsia="de-DE"/>
        </w:rPr>
        <w:t xml:space="preserve">-Vogels vor dem </w:t>
      </w:r>
      <w:r w:rsidRPr="00577688">
        <w:rPr>
          <w:rFonts w:eastAsia="Times New Roman" w:cs="Times New Roman"/>
          <w:b/>
          <w:bCs/>
          <w:rtl/>
          <w:lang w:eastAsia="de-DE"/>
        </w:rPr>
        <w:t>עלה</w:t>
      </w:r>
      <w:r w:rsidRPr="00577688">
        <w:rPr>
          <w:rFonts w:eastAsia="Times New Roman" w:cs="Times New Roman"/>
          <w:lang w:eastAsia="de-DE"/>
        </w:rPr>
        <w:t xml:space="preserve">-Vogel. </w:t>
      </w:r>
      <w:r w:rsidRPr="00577688">
        <w:rPr>
          <w:rFonts w:eastAsia="Times New Roman" w:cs="Times New Roman"/>
          <w:b/>
          <w:bCs/>
          <w:rtl/>
          <w:lang w:eastAsia="de-DE"/>
        </w:rPr>
        <w:t>ראשונה</w:t>
      </w:r>
      <w:r w:rsidRPr="00577688">
        <w:rPr>
          <w:rFonts w:eastAsia="Times New Roman" w:cs="Times New Roman"/>
          <w:rtl/>
          <w:lang w:eastAsia="de-DE"/>
        </w:rPr>
        <w:t xml:space="preserve"> </w:t>
      </w:r>
      <w:r w:rsidRPr="00577688">
        <w:rPr>
          <w:rFonts w:eastAsia="Times New Roman" w:cs="Times New Roman"/>
          <w:lang w:eastAsia="de-DE"/>
        </w:rPr>
        <w:t>betont die liturgische Reihenfolge: Sühne vor Hingabe.</w:t>
      </w:r>
    </w:p>
    <w:p w14:paraId="7A745C2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מלק</w:t>
      </w:r>
      <w:r w:rsidRPr="00577688">
        <w:rPr>
          <w:rFonts w:eastAsia="Times New Roman" w:cs="Times New Roman"/>
          <w:rtl/>
          <w:lang w:eastAsia="de-DE"/>
        </w:rPr>
        <w:t xml:space="preserve"> </w:t>
      </w:r>
      <w:r w:rsidRPr="00577688">
        <w:rPr>
          <w:rFonts w:eastAsia="Times New Roman" w:cs="Times New Roman"/>
          <w:lang w:eastAsia="de-DE"/>
        </w:rPr>
        <w:t xml:space="preserve">(abkneifen) ist die spezifische Tötungsart für Vögel durch Abdrehen des Halses mit dem Fingernagel. </w:t>
      </w:r>
      <w:r w:rsidRPr="00577688">
        <w:rPr>
          <w:rFonts w:eastAsia="Times New Roman" w:cs="Times New Roman"/>
          <w:b/>
          <w:bCs/>
          <w:rtl/>
          <w:lang w:eastAsia="de-DE"/>
        </w:rPr>
        <w:t>ממול ערפו</w:t>
      </w:r>
      <w:r w:rsidRPr="00577688">
        <w:rPr>
          <w:rFonts w:eastAsia="Times New Roman" w:cs="Times New Roman"/>
          <w:rtl/>
          <w:lang w:eastAsia="de-DE"/>
        </w:rPr>
        <w:t xml:space="preserve"> </w:t>
      </w:r>
      <w:r w:rsidRPr="00577688">
        <w:rPr>
          <w:rFonts w:eastAsia="Times New Roman" w:cs="Times New Roman"/>
          <w:lang w:eastAsia="de-DE"/>
        </w:rPr>
        <w:t xml:space="preserve">(dicht bei seinem Genick) spezifiziert die Stelle: </w:t>
      </w:r>
      <w:r w:rsidRPr="00577688">
        <w:rPr>
          <w:rFonts w:eastAsia="Times New Roman" w:cs="Times New Roman"/>
          <w:b/>
          <w:bCs/>
          <w:rtl/>
          <w:lang w:eastAsia="de-DE"/>
        </w:rPr>
        <w:t>ממול</w:t>
      </w:r>
      <w:r w:rsidRPr="00577688">
        <w:rPr>
          <w:rFonts w:eastAsia="Times New Roman" w:cs="Times New Roman"/>
          <w:rtl/>
          <w:lang w:eastAsia="de-DE"/>
        </w:rPr>
        <w:t xml:space="preserve"> </w:t>
      </w:r>
      <w:r w:rsidRPr="00577688">
        <w:rPr>
          <w:rFonts w:eastAsia="Times New Roman" w:cs="Times New Roman"/>
          <w:lang w:eastAsia="de-DE"/>
        </w:rPr>
        <w:t xml:space="preserve">(gegenüber/dicht bei), </w:t>
      </w:r>
      <w:r w:rsidRPr="00577688">
        <w:rPr>
          <w:rFonts w:eastAsia="Times New Roman" w:cs="Times New Roman"/>
          <w:b/>
          <w:bCs/>
          <w:rtl/>
          <w:lang w:eastAsia="de-DE"/>
        </w:rPr>
        <w:t>ערף</w:t>
      </w:r>
      <w:r w:rsidRPr="00577688">
        <w:rPr>
          <w:rFonts w:eastAsia="Times New Roman" w:cs="Times New Roman"/>
          <w:rtl/>
          <w:lang w:eastAsia="de-DE"/>
        </w:rPr>
        <w:t xml:space="preserve"> </w:t>
      </w:r>
      <w:r w:rsidRPr="00577688">
        <w:rPr>
          <w:rFonts w:eastAsia="Times New Roman" w:cs="Times New Roman"/>
          <w:lang w:eastAsia="de-DE"/>
        </w:rPr>
        <w:t>(Genick/Nacken).</w:t>
      </w:r>
    </w:p>
    <w:p w14:paraId="5D004A4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ולא יבדיל</w:t>
      </w:r>
      <w:r w:rsidRPr="00577688">
        <w:rPr>
          <w:rFonts w:eastAsia="Times New Roman" w:cs="Times New Roman"/>
          <w:rtl/>
          <w:lang w:eastAsia="de-DE"/>
        </w:rPr>
        <w:t xml:space="preserve"> </w:t>
      </w:r>
      <w:r w:rsidRPr="00577688">
        <w:rPr>
          <w:rFonts w:eastAsia="Times New Roman" w:cs="Times New Roman"/>
          <w:lang w:eastAsia="de-DE"/>
        </w:rPr>
        <w:t xml:space="preserve">(und er soll nicht abtrennen) unterscheidet </w:t>
      </w:r>
      <w:r w:rsidRPr="00577688">
        <w:rPr>
          <w:rFonts w:eastAsia="Times New Roman" w:cs="Times New Roman"/>
          <w:b/>
          <w:bCs/>
          <w:rtl/>
          <w:lang w:eastAsia="de-DE"/>
        </w:rPr>
        <w:t>חטאת</w:t>
      </w:r>
      <w:r w:rsidRPr="00577688">
        <w:rPr>
          <w:rFonts w:eastAsia="Times New Roman" w:cs="Times New Roman"/>
          <w:lang w:eastAsia="de-DE"/>
        </w:rPr>
        <w:t xml:space="preserve">-Vögel von </w:t>
      </w:r>
      <w:r w:rsidRPr="00577688">
        <w:rPr>
          <w:rFonts w:eastAsia="Times New Roman" w:cs="Times New Roman"/>
          <w:b/>
          <w:bCs/>
          <w:rtl/>
          <w:lang w:eastAsia="de-DE"/>
        </w:rPr>
        <w:t>עלה</w:t>
      </w:r>
      <w:r w:rsidRPr="00577688">
        <w:rPr>
          <w:rFonts w:eastAsia="Times New Roman" w:cs="Times New Roman"/>
          <w:lang w:eastAsia="de-DE"/>
        </w:rPr>
        <w:t xml:space="preserve">-Vögeln: Bei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bleibt der Kopf am Körper befestigt, bei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(1,17) wird er abgetrennt.</w:t>
      </w:r>
    </w:p>
    <w:p w14:paraId="6F2ED81D" w14:textId="3F0A21FF"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B3655B">
        <w:t xml:space="preserve">übersetzt </w:t>
      </w:r>
      <w:r w:rsidR="00B3655B">
        <w:rPr>
          <w:rtl/>
        </w:rPr>
        <w:t>ממול ערפו</w:t>
      </w:r>
      <w:r w:rsidR="00B3655B">
        <w:t xml:space="preserve"> (</w:t>
      </w:r>
      <w:proofErr w:type="spellStart"/>
      <w:r w:rsidR="00B3655B">
        <w:t>mimul</w:t>
      </w:r>
      <w:proofErr w:type="spellEnd"/>
      <w:r w:rsidR="00B3655B">
        <w:t xml:space="preserve"> </w:t>
      </w:r>
      <w:proofErr w:type="spellStart"/>
      <w:r w:rsidR="00B3655B">
        <w:t>orpo</w:t>
      </w:r>
      <w:proofErr w:type="spellEnd"/>
      <w:r w:rsidR="00B3655B">
        <w:t xml:space="preserve"> - "gegenüber seinem Nacken") als ἀπὸ </w:t>
      </w:r>
      <w:proofErr w:type="spellStart"/>
      <w:r w:rsidR="00B3655B">
        <w:t>τοῦ</w:t>
      </w:r>
      <w:proofErr w:type="spellEnd"/>
      <w:r w:rsidR="00B3655B">
        <w:t xml:space="preserve"> </w:t>
      </w:r>
      <w:proofErr w:type="spellStart"/>
      <w:r w:rsidR="00B3655B">
        <w:t>σφονδύλου</w:t>
      </w:r>
      <w:proofErr w:type="spellEnd"/>
      <w:r w:rsidR="00B3655B">
        <w:t xml:space="preserve"> (vom Wirbel), was eine anatomisch präzisere griechische Terminologie verwendet.</w:t>
      </w:r>
    </w:p>
    <w:p w14:paraId="7325CB9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Hauptsätze: Verb + Objekt + Adverbialbestimmung // Verb + Objekt + temporale Bestimmung // Verb + Objekt + Ortsangabe + negative Bestimmung. Die Struktur beschreibt die Sequenz der Vogel-</w:t>
      </w:r>
      <w:r w:rsidRPr="00577688">
        <w:rPr>
          <w:rFonts w:eastAsia="Times New Roman" w:cs="Times New Roman"/>
          <w:b/>
          <w:bCs/>
          <w:rtl/>
          <w:lang w:eastAsia="de-DE"/>
        </w:rPr>
        <w:t>חטאת</w:t>
      </w:r>
      <w:r w:rsidRPr="00577688">
        <w:rPr>
          <w:rFonts w:eastAsia="Times New Roman" w:cs="Times New Roman"/>
          <w:lang w:eastAsia="de-DE"/>
        </w:rPr>
        <w:t>-Handlungen.</w:t>
      </w:r>
    </w:p>
    <w:p w14:paraId="0BFF5D6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beschreibt die spezifische </w:t>
      </w:r>
      <w:r w:rsidRPr="00577688">
        <w:rPr>
          <w:rFonts w:eastAsia="Times New Roman" w:cs="Times New Roman"/>
          <w:b/>
          <w:bCs/>
          <w:rtl/>
          <w:lang w:eastAsia="de-DE"/>
        </w:rPr>
        <w:t>מליקה</w:t>
      </w:r>
      <w:r w:rsidRPr="00577688">
        <w:rPr>
          <w:rFonts w:eastAsia="Times New Roman" w:cs="Times New Roman"/>
          <w:lang w:eastAsia="de-DE"/>
        </w:rPr>
        <w:t xml:space="preserve">-Technik für </w:t>
      </w:r>
      <w:r w:rsidRPr="00577688">
        <w:rPr>
          <w:rFonts w:eastAsia="Times New Roman" w:cs="Times New Roman"/>
          <w:b/>
          <w:bCs/>
          <w:rtl/>
          <w:lang w:eastAsia="de-DE"/>
        </w:rPr>
        <w:t>חטאת</w:t>
      </w:r>
      <w:r w:rsidRPr="00577688">
        <w:rPr>
          <w:rFonts w:eastAsia="Times New Roman" w:cs="Times New Roman"/>
          <w:lang w:eastAsia="de-DE"/>
        </w:rPr>
        <w:t xml:space="preserve">-Vögel: Abkneifen ohne vollständige Abtrennung, im Unterschied zu </w:t>
      </w:r>
      <w:r w:rsidRPr="00577688">
        <w:rPr>
          <w:rFonts w:eastAsia="Times New Roman" w:cs="Times New Roman"/>
          <w:b/>
          <w:bCs/>
          <w:rtl/>
          <w:lang w:eastAsia="de-DE"/>
        </w:rPr>
        <w:t>עלה</w:t>
      </w:r>
      <w:r w:rsidRPr="00577688">
        <w:rPr>
          <w:rFonts w:eastAsia="Times New Roman" w:cs="Times New Roman"/>
          <w:lang w:eastAsia="de-DE"/>
        </w:rPr>
        <w:t>-Vögeln.</w:t>
      </w:r>
    </w:p>
    <w:p w14:paraId="5EAF2FA1"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5,9</w:t>
      </w:r>
    </w:p>
    <w:p w14:paraId="01C30CF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וְהִזָּ֞ה מִדַּ֤ם הַחַטָּאת֙ עַל־קִ֣יר הַמִּזְבֵּ֔חַ וְהַנִּשְׁאָ֣ר בַּדָּ֔ם יִמָּצֵ֖ה אֶל־יְס֣וֹד הַמִּזְבֵּ֑חַ חַטָּ֖את הֽוּא׃</w:t>
      </w:r>
    </w:p>
    <w:p w14:paraId="32D4C1D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Deutsch:</w:t>
      </w:r>
      <w:r w:rsidRPr="00577688">
        <w:rPr>
          <w:rFonts w:eastAsia="Times New Roman" w:cs="Times New Roman"/>
          <w:lang w:eastAsia="de-DE"/>
        </w:rPr>
        <w:t xml:space="preserve"> Und er soll von dem Blut des Sündopfers an die Wand des Altars spritzen, und das Übrige von dem Blut soll ausgedrückt werden an den Fuß des Altars: Es ist ein Sündopfer.</w:t>
      </w:r>
    </w:p>
    <w:p w14:paraId="271CF661"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7D1B307">
          <v:rect id="_x0000_i1118" style="width:0;height:1.5pt" o:hralign="center" o:hrstd="t" o:hr="t" fillcolor="#a0a0a0" stroked="f"/>
        </w:pict>
      </w:r>
    </w:p>
    <w:p w14:paraId="1D24A4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וְהִזָּ֞ה מִדַּ֤ם הַחַטָּאת֙ עַל־קִ֣יר הַמִּזְבֵּ֔חַ</w:t>
      </w:r>
      <w:r w:rsidRPr="00577688">
        <w:rPr>
          <w:rFonts w:eastAsia="Times New Roman" w:cs="Times New Roman"/>
          <w:rtl/>
          <w:lang w:eastAsia="de-DE"/>
        </w:rPr>
        <w:t xml:space="preserve"> </w:t>
      </w:r>
      <w:r w:rsidRPr="00577688">
        <w:rPr>
          <w:rFonts w:eastAsia="Times New Roman" w:cs="Times New Roman"/>
          <w:lang w:eastAsia="de-DE"/>
        </w:rPr>
        <w:t>(und er soll von dem Blut des Sündopfers an die Wand des Altars spritzen) zeigt das Blutverfahren für Vogel-</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הזה</w:t>
      </w:r>
      <w:r w:rsidRPr="00577688">
        <w:rPr>
          <w:rFonts w:eastAsia="Times New Roman" w:cs="Times New Roman"/>
          <w:rtl/>
          <w:lang w:eastAsia="de-DE"/>
        </w:rPr>
        <w:t xml:space="preserve"> </w:t>
      </w:r>
      <w:r w:rsidRPr="00577688">
        <w:rPr>
          <w:rFonts w:eastAsia="Times New Roman" w:cs="Times New Roman"/>
          <w:lang w:eastAsia="de-DE"/>
        </w:rPr>
        <w:t xml:space="preserve">(spritzen) im Hifil-Perfekt mit Waw-Konsekutiv von </w:t>
      </w:r>
      <w:r w:rsidRPr="00577688">
        <w:rPr>
          <w:rFonts w:eastAsia="Times New Roman" w:cs="Times New Roman"/>
          <w:b/>
          <w:bCs/>
          <w:rtl/>
          <w:lang w:eastAsia="de-DE"/>
        </w:rPr>
        <w:t>נזה</w:t>
      </w:r>
      <w:r w:rsidRPr="00577688">
        <w:rPr>
          <w:rFonts w:eastAsia="Times New Roman" w:cs="Times New Roman"/>
          <w:rtl/>
          <w:lang w:eastAsia="de-DE"/>
        </w:rPr>
        <w:t xml:space="preserve"> </w:t>
      </w:r>
      <w:r w:rsidRPr="00577688">
        <w:rPr>
          <w:rFonts w:eastAsia="Times New Roman" w:cs="Times New Roman"/>
          <w:lang w:eastAsia="de-DE"/>
        </w:rPr>
        <w:t xml:space="preserve">(spritzen), </w:t>
      </w:r>
      <w:r w:rsidRPr="00577688">
        <w:rPr>
          <w:rFonts w:eastAsia="Times New Roman" w:cs="Times New Roman"/>
          <w:b/>
          <w:bCs/>
          <w:rtl/>
          <w:lang w:eastAsia="de-DE"/>
        </w:rPr>
        <w:t>מדם החטאת</w:t>
      </w:r>
      <w:r w:rsidRPr="00577688">
        <w:rPr>
          <w:rFonts w:eastAsia="Times New Roman" w:cs="Times New Roman"/>
          <w:rtl/>
          <w:lang w:eastAsia="de-DE"/>
        </w:rPr>
        <w:t xml:space="preserve"> </w:t>
      </w:r>
      <w:r w:rsidRPr="00577688">
        <w:rPr>
          <w:rFonts w:eastAsia="Times New Roman" w:cs="Times New Roman"/>
          <w:lang w:eastAsia="de-DE"/>
        </w:rPr>
        <w:t xml:space="preserve">(von dem Blut des Sündopfers), </w:t>
      </w:r>
      <w:r w:rsidRPr="00577688">
        <w:rPr>
          <w:rFonts w:eastAsia="Times New Roman" w:cs="Times New Roman"/>
          <w:b/>
          <w:bCs/>
          <w:rtl/>
          <w:lang w:eastAsia="de-DE"/>
        </w:rPr>
        <w:t>על־קיר המזבח</w:t>
      </w:r>
      <w:r w:rsidRPr="00577688">
        <w:rPr>
          <w:rFonts w:eastAsia="Times New Roman" w:cs="Times New Roman"/>
          <w:rtl/>
          <w:lang w:eastAsia="de-DE"/>
        </w:rPr>
        <w:t xml:space="preserve"> </w:t>
      </w:r>
      <w:r w:rsidRPr="00577688">
        <w:rPr>
          <w:rFonts w:eastAsia="Times New Roman" w:cs="Times New Roman"/>
          <w:lang w:eastAsia="de-DE"/>
        </w:rPr>
        <w:t>(an die Wand des Altars).</w:t>
      </w:r>
    </w:p>
    <w:p w14:paraId="21BD3FB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וְהַנִּשְׁאָ֣ר בַּדָּ֔ם יִמָּצֵ֖ה אֶל־יְס֣וֹד הַמִּזְבֵּ֑חַ</w:t>
      </w:r>
      <w:r w:rsidRPr="00577688">
        <w:rPr>
          <w:rFonts w:eastAsia="Times New Roman" w:cs="Times New Roman"/>
          <w:rtl/>
          <w:lang w:eastAsia="de-DE"/>
        </w:rPr>
        <w:t xml:space="preserve"> </w:t>
      </w:r>
      <w:r w:rsidRPr="00577688">
        <w:rPr>
          <w:rFonts w:eastAsia="Times New Roman" w:cs="Times New Roman"/>
          <w:lang w:eastAsia="de-DE"/>
        </w:rPr>
        <w:t xml:space="preserve">(und das Übrige von dem Blut soll ausgedrückt werden an den Fuß des Altars) zeigt die Entsorgung des restlichen Blutes. </w:t>
      </w:r>
      <w:r w:rsidRPr="00577688">
        <w:rPr>
          <w:rFonts w:eastAsia="Times New Roman" w:cs="Times New Roman"/>
          <w:b/>
          <w:bCs/>
          <w:rtl/>
          <w:lang w:eastAsia="de-DE"/>
        </w:rPr>
        <w:t>הנשאר בדם</w:t>
      </w:r>
      <w:r w:rsidRPr="00577688">
        <w:rPr>
          <w:rFonts w:eastAsia="Times New Roman" w:cs="Times New Roman"/>
          <w:rtl/>
          <w:lang w:eastAsia="de-DE"/>
        </w:rPr>
        <w:t xml:space="preserve"> </w:t>
      </w:r>
      <w:r w:rsidRPr="00577688">
        <w:rPr>
          <w:rFonts w:eastAsia="Times New Roman" w:cs="Times New Roman"/>
          <w:lang w:eastAsia="de-DE"/>
        </w:rPr>
        <w:t xml:space="preserve">(das Übrige von dem Blut) von </w:t>
      </w:r>
      <w:r w:rsidRPr="00577688">
        <w:rPr>
          <w:rFonts w:eastAsia="Times New Roman" w:cs="Times New Roman"/>
          <w:b/>
          <w:bCs/>
          <w:rtl/>
          <w:lang w:eastAsia="de-DE"/>
        </w:rPr>
        <w:t>שאר</w:t>
      </w:r>
      <w:r w:rsidRPr="00577688">
        <w:rPr>
          <w:rFonts w:eastAsia="Times New Roman" w:cs="Times New Roman"/>
          <w:rtl/>
          <w:lang w:eastAsia="de-DE"/>
        </w:rPr>
        <w:t xml:space="preserve"> </w:t>
      </w:r>
      <w:r w:rsidRPr="00577688">
        <w:rPr>
          <w:rFonts w:eastAsia="Times New Roman" w:cs="Times New Roman"/>
          <w:lang w:eastAsia="de-DE"/>
        </w:rPr>
        <w:t xml:space="preserve">(übrig bleiben) im Nifal-Partizip, </w:t>
      </w:r>
      <w:r w:rsidRPr="00577688">
        <w:rPr>
          <w:rFonts w:eastAsia="Times New Roman" w:cs="Times New Roman"/>
          <w:b/>
          <w:bCs/>
          <w:rtl/>
          <w:lang w:eastAsia="de-DE"/>
        </w:rPr>
        <w:t>ימצה</w:t>
      </w:r>
      <w:r w:rsidRPr="00577688">
        <w:rPr>
          <w:rFonts w:eastAsia="Times New Roman" w:cs="Times New Roman"/>
          <w:rtl/>
          <w:lang w:eastAsia="de-DE"/>
        </w:rPr>
        <w:t xml:space="preserve"> </w:t>
      </w:r>
      <w:r w:rsidRPr="00577688">
        <w:rPr>
          <w:rFonts w:eastAsia="Times New Roman" w:cs="Times New Roman"/>
          <w:lang w:eastAsia="de-DE"/>
        </w:rPr>
        <w:t xml:space="preserve">(es soll ausgedrückt werden) von </w:t>
      </w:r>
      <w:r w:rsidRPr="00577688">
        <w:rPr>
          <w:rFonts w:eastAsia="Times New Roman" w:cs="Times New Roman"/>
          <w:b/>
          <w:bCs/>
          <w:rtl/>
          <w:lang w:eastAsia="de-DE"/>
        </w:rPr>
        <w:t>מצה</w:t>
      </w:r>
      <w:r w:rsidRPr="00577688">
        <w:rPr>
          <w:rFonts w:eastAsia="Times New Roman" w:cs="Times New Roman"/>
          <w:rtl/>
          <w:lang w:eastAsia="de-DE"/>
        </w:rPr>
        <w:t xml:space="preserve"> </w:t>
      </w:r>
      <w:r w:rsidRPr="00577688">
        <w:rPr>
          <w:rFonts w:eastAsia="Times New Roman" w:cs="Times New Roman"/>
          <w:lang w:eastAsia="de-DE"/>
        </w:rPr>
        <w:t xml:space="preserve">(ausdrücken/auspressen) im Nifal-Imperfekt, </w:t>
      </w:r>
      <w:r w:rsidRPr="00577688">
        <w:rPr>
          <w:rFonts w:eastAsia="Times New Roman" w:cs="Times New Roman"/>
          <w:b/>
          <w:bCs/>
          <w:rtl/>
          <w:lang w:eastAsia="de-DE"/>
        </w:rPr>
        <w:t>אל־יסוד המזבח</w:t>
      </w:r>
      <w:r w:rsidRPr="00577688">
        <w:rPr>
          <w:rFonts w:eastAsia="Times New Roman" w:cs="Times New Roman"/>
          <w:rtl/>
          <w:lang w:eastAsia="de-DE"/>
        </w:rPr>
        <w:t xml:space="preserve"> </w:t>
      </w:r>
      <w:r w:rsidRPr="00577688">
        <w:rPr>
          <w:rFonts w:eastAsia="Times New Roman" w:cs="Times New Roman"/>
          <w:lang w:eastAsia="de-DE"/>
        </w:rPr>
        <w:t>(an den Fuß des Altars).</w:t>
      </w:r>
    </w:p>
    <w:p w14:paraId="7442A9A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חַטָּ֖את הֽוּא</w:t>
      </w:r>
      <w:r w:rsidRPr="00577688">
        <w:rPr>
          <w:rFonts w:eastAsia="Times New Roman" w:cs="Times New Roman"/>
          <w:rtl/>
          <w:lang w:eastAsia="de-DE"/>
        </w:rPr>
        <w:t xml:space="preserve"> </w:t>
      </w:r>
      <w:r w:rsidRPr="00577688">
        <w:rPr>
          <w:rFonts w:eastAsia="Times New Roman" w:cs="Times New Roman"/>
          <w:lang w:eastAsia="de-DE"/>
        </w:rPr>
        <w:t>(es ist ein Sündopfer) ist abschließende Klassifikation mit emphatischem Pronomen.</w:t>
      </w:r>
    </w:p>
    <w:p w14:paraId="3C7402E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הזה מדם החטאת על־קיר המזבח</w:t>
      </w:r>
      <w:r w:rsidRPr="00577688">
        <w:rPr>
          <w:rFonts w:eastAsia="Times New Roman" w:cs="Times New Roman"/>
          <w:rtl/>
          <w:lang w:eastAsia="de-DE"/>
        </w:rPr>
        <w:t xml:space="preserve"> </w:t>
      </w:r>
      <w:r w:rsidRPr="00577688">
        <w:rPr>
          <w:rFonts w:eastAsia="Times New Roman" w:cs="Times New Roman"/>
          <w:lang w:eastAsia="de-DE"/>
        </w:rPr>
        <w:t xml:space="preserve">unterscheidet sich von anderen </w:t>
      </w:r>
      <w:r w:rsidRPr="00577688">
        <w:rPr>
          <w:rFonts w:eastAsia="Times New Roman" w:cs="Times New Roman"/>
          <w:b/>
          <w:bCs/>
          <w:rtl/>
          <w:lang w:eastAsia="de-DE"/>
        </w:rPr>
        <w:t>חטאת</w:t>
      </w:r>
      <w:r w:rsidRPr="00577688">
        <w:rPr>
          <w:rFonts w:eastAsia="Times New Roman" w:cs="Times New Roman"/>
          <w:lang w:eastAsia="de-DE"/>
        </w:rPr>
        <w:t xml:space="preserve">-Verfahren: Bei Säugetieren wird Blut an </w:t>
      </w:r>
      <w:r w:rsidRPr="00577688">
        <w:rPr>
          <w:rFonts w:eastAsia="Times New Roman" w:cs="Times New Roman"/>
          <w:b/>
          <w:bCs/>
          <w:rtl/>
          <w:lang w:eastAsia="de-DE"/>
        </w:rPr>
        <w:t>קרנות</w:t>
      </w:r>
      <w:r w:rsidRPr="00577688">
        <w:rPr>
          <w:rFonts w:eastAsia="Times New Roman" w:cs="Times New Roman"/>
          <w:rtl/>
          <w:lang w:eastAsia="de-DE"/>
        </w:rPr>
        <w:t xml:space="preserve"> </w:t>
      </w:r>
      <w:r w:rsidRPr="00577688">
        <w:rPr>
          <w:rFonts w:eastAsia="Times New Roman" w:cs="Times New Roman"/>
          <w:lang w:eastAsia="de-DE"/>
        </w:rPr>
        <w:t xml:space="preserve">(Hörner) </w:t>
      </w:r>
      <w:r w:rsidRPr="00577688">
        <w:rPr>
          <w:rFonts w:eastAsia="Times New Roman" w:cs="Times New Roman"/>
          <w:b/>
          <w:bCs/>
          <w:rtl/>
          <w:lang w:eastAsia="de-DE"/>
        </w:rPr>
        <w:t>נתן</w:t>
      </w:r>
      <w:r w:rsidRPr="00577688">
        <w:rPr>
          <w:rFonts w:eastAsia="Times New Roman" w:cs="Times New Roman"/>
          <w:rtl/>
          <w:lang w:eastAsia="de-DE"/>
        </w:rPr>
        <w:t xml:space="preserve"> </w:t>
      </w:r>
      <w:r w:rsidRPr="00577688">
        <w:rPr>
          <w:rFonts w:eastAsia="Times New Roman" w:cs="Times New Roman"/>
          <w:lang w:eastAsia="de-DE"/>
        </w:rPr>
        <w:t xml:space="preserve">(gesetzt), bei Vögeln an </w:t>
      </w:r>
      <w:r w:rsidRPr="00577688">
        <w:rPr>
          <w:rFonts w:eastAsia="Times New Roman" w:cs="Times New Roman"/>
          <w:b/>
          <w:bCs/>
          <w:rtl/>
          <w:lang w:eastAsia="de-DE"/>
        </w:rPr>
        <w:t>קיר</w:t>
      </w:r>
      <w:r w:rsidRPr="00577688">
        <w:rPr>
          <w:rFonts w:eastAsia="Times New Roman" w:cs="Times New Roman"/>
          <w:rtl/>
          <w:lang w:eastAsia="de-DE"/>
        </w:rPr>
        <w:t xml:space="preserve"> </w:t>
      </w:r>
      <w:r w:rsidRPr="00577688">
        <w:rPr>
          <w:rFonts w:eastAsia="Times New Roman" w:cs="Times New Roman"/>
          <w:lang w:eastAsia="de-DE"/>
        </w:rPr>
        <w:t xml:space="preserve">(Wand) </w:t>
      </w:r>
      <w:r w:rsidRPr="00577688">
        <w:rPr>
          <w:rFonts w:eastAsia="Times New Roman" w:cs="Times New Roman"/>
          <w:b/>
          <w:bCs/>
          <w:rtl/>
          <w:lang w:eastAsia="de-DE"/>
        </w:rPr>
        <w:t>הזה</w:t>
      </w:r>
      <w:r w:rsidRPr="00577688">
        <w:rPr>
          <w:rFonts w:eastAsia="Times New Roman" w:cs="Times New Roman"/>
          <w:rtl/>
          <w:lang w:eastAsia="de-DE"/>
        </w:rPr>
        <w:t xml:space="preserve"> </w:t>
      </w:r>
      <w:r w:rsidRPr="00577688">
        <w:rPr>
          <w:rFonts w:eastAsia="Times New Roman" w:cs="Times New Roman"/>
          <w:lang w:eastAsia="de-DE"/>
        </w:rPr>
        <w:t xml:space="preserve">(gespritzt). </w:t>
      </w:r>
      <w:r w:rsidRPr="00577688">
        <w:rPr>
          <w:rFonts w:eastAsia="Times New Roman" w:cs="Times New Roman"/>
          <w:b/>
          <w:bCs/>
          <w:rtl/>
          <w:lang w:eastAsia="de-DE"/>
        </w:rPr>
        <w:t>קיר המזבח</w:t>
      </w:r>
      <w:r w:rsidRPr="00577688">
        <w:rPr>
          <w:rFonts w:eastAsia="Times New Roman" w:cs="Times New Roman"/>
          <w:rtl/>
          <w:lang w:eastAsia="de-DE"/>
        </w:rPr>
        <w:t xml:space="preserve"> </w:t>
      </w:r>
      <w:r w:rsidRPr="00577688">
        <w:rPr>
          <w:rFonts w:eastAsia="Times New Roman" w:cs="Times New Roman"/>
          <w:lang w:eastAsia="de-DE"/>
        </w:rPr>
        <w:t>(Wand des Altars) ist die senkrechte Seitenfläche.</w:t>
      </w:r>
    </w:p>
    <w:p w14:paraId="49A1170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הנשאר בדם ימצה</w:t>
      </w:r>
      <w:r w:rsidRPr="00577688">
        <w:rPr>
          <w:rFonts w:eastAsia="Times New Roman" w:cs="Times New Roman"/>
          <w:rtl/>
          <w:lang w:eastAsia="de-DE"/>
        </w:rPr>
        <w:t xml:space="preserve"> </w:t>
      </w:r>
      <w:r w:rsidRPr="00577688">
        <w:rPr>
          <w:rFonts w:eastAsia="Times New Roman" w:cs="Times New Roman"/>
          <w:lang w:eastAsia="de-DE"/>
        </w:rPr>
        <w:t xml:space="preserve">(das übrige Blut soll ausgedrückt werden) zeigt vollständige Blutentleerung bei Vögeln. </w:t>
      </w:r>
      <w:r w:rsidRPr="00577688">
        <w:rPr>
          <w:rFonts w:eastAsia="Times New Roman" w:cs="Times New Roman"/>
          <w:b/>
          <w:bCs/>
          <w:rtl/>
          <w:lang w:eastAsia="de-DE"/>
        </w:rPr>
        <w:t>מצה</w:t>
      </w:r>
      <w:r w:rsidRPr="00577688">
        <w:rPr>
          <w:rFonts w:eastAsia="Times New Roman" w:cs="Times New Roman"/>
          <w:rtl/>
          <w:lang w:eastAsia="de-DE"/>
        </w:rPr>
        <w:t xml:space="preserve"> </w:t>
      </w:r>
      <w:r w:rsidRPr="00577688">
        <w:rPr>
          <w:rFonts w:eastAsia="Times New Roman" w:cs="Times New Roman"/>
          <w:lang w:eastAsia="de-DE"/>
        </w:rPr>
        <w:t>(ausdrücken) ist spezifischer Terminus für das Auspressen von Vogelblut.</w:t>
      </w:r>
    </w:p>
    <w:p w14:paraId="43FDA56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וְהִזָּ֞ה</w:t>
      </w:r>
      <w:r w:rsidRPr="00577688">
        <w:rPr>
          <w:rFonts w:eastAsia="Times New Roman" w:cs="Times New Roman"/>
          <w:rtl/>
          <w:lang w:eastAsia="de-DE"/>
        </w:rPr>
        <w:t xml:space="preserve"> </w:t>
      </w:r>
      <w:r w:rsidRPr="00577688">
        <w:rPr>
          <w:rFonts w:eastAsia="Times New Roman" w:cs="Times New Roman"/>
          <w:lang w:eastAsia="de-DE"/>
        </w:rPr>
        <w:t>mit καὶ ῥα</w:t>
      </w:r>
      <w:proofErr w:type="spellStart"/>
      <w:r w:rsidRPr="00577688">
        <w:rPr>
          <w:rFonts w:eastAsia="Times New Roman" w:cs="Times New Roman"/>
          <w:lang w:eastAsia="de-DE"/>
        </w:rPr>
        <w:t>νεῖ</w:t>
      </w:r>
      <w:proofErr w:type="spellEnd"/>
      <w:r w:rsidRPr="00577688">
        <w:rPr>
          <w:rFonts w:eastAsia="Times New Roman" w:cs="Times New Roman"/>
          <w:lang w:eastAsia="de-DE"/>
        </w:rPr>
        <w:t xml:space="preserve"> (und er soll spritzen), </w:t>
      </w:r>
      <w:r w:rsidRPr="00577688">
        <w:rPr>
          <w:rFonts w:eastAsia="Times New Roman" w:cs="Times New Roman"/>
          <w:b/>
          <w:bCs/>
          <w:rtl/>
          <w:lang w:eastAsia="de-DE"/>
        </w:rPr>
        <w:t>קִ֣יר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τοῖχον</w:t>
      </w:r>
      <w:proofErr w:type="spellEnd"/>
      <w:r w:rsidRPr="00577688">
        <w:rPr>
          <w:rFonts w:eastAsia="Times New Roman" w:cs="Times New Roman"/>
          <w:lang w:eastAsia="de-DE"/>
        </w:rPr>
        <w:t xml:space="preserve"> (Wand), </w:t>
      </w:r>
      <w:r w:rsidRPr="00577688">
        <w:rPr>
          <w:rFonts w:eastAsia="Times New Roman" w:cs="Times New Roman"/>
          <w:b/>
          <w:bCs/>
          <w:rtl/>
          <w:lang w:eastAsia="de-DE"/>
        </w:rPr>
        <w:t>יִמָּצֵ֖ה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στρ</w:t>
      </w:r>
      <w:proofErr w:type="spellEnd"/>
      <w:r w:rsidRPr="00577688">
        <w:rPr>
          <w:rFonts w:eastAsia="Times New Roman" w:cs="Times New Roman"/>
          <w:lang w:eastAsia="de-DE"/>
        </w:rPr>
        <w:t xml:space="preserve">αγγισθήσεται (es soll ausgewrungen werden) und </w:t>
      </w:r>
      <w:r w:rsidRPr="00577688">
        <w:rPr>
          <w:rFonts w:eastAsia="Times New Roman" w:cs="Times New Roman"/>
          <w:b/>
          <w:bCs/>
          <w:rtl/>
          <w:lang w:eastAsia="de-DE"/>
        </w:rPr>
        <w:t>חַטָּ֖את הֽוּא</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αρτία </w:t>
      </w:r>
      <w:proofErr w:type="spellStart"/>
      <w:r w:rsidRPr="00577688">
        <w:rPr>
          <w:rFonts w:eastAsia="Times New Roman" w:cs="Times New Roman"/>
          <w:lang w:eastAsia="de-DE"/>
        </w:rPr>
        <w:t>ἐστίν</w:t>
      </w:r>
      <w:proofErr w:type="spellEnd"/>
      <w:r w:rsidRPr="00577688">
        <w:rPr>
          <w:rFonts w:eastAsia="Times New Roman" w:cs="Times New Roman"/>
          <w:lang w:eastAsia="de-DE"/>
        </w:rPr>
        <w:t xml:space="preserve"> (es ist Sünde).</w:t>
      </w:r>
    </w:p>
    <w:p w14:paraId="74BF919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plus Klassifikation: Verb + Präpositionalphrase + Adverbialbestimmung // Subjekt + Verb + Adverbialbestimmung // Klassifikation mit emphatischem Pronomen. Die Struktur beschreibt das zweistufige Blutverfahren bei Vogel-</w:t>
      </w:r>
      <w:r w:rsidRPr="00577688">
        <w:rPr>
          <w:rFonts w:eastAsia="Times New Roman" w:cs="Times New Roman"/>
          <w:b/>
          <w:bCs/>
          <w:rtl/>
          <w:lang w:eastAsia="de-DE"/>
        </w:rPr>
        <w:t>חטאת</w:t>
      </w:r>
      <w:r w:rsidRPr="00577688">
        <w:rPr>
          <w:rFonts w:eastAsia="Times New Roman" w:cs="Times New Roman"/>
          <w:lang w:eastAsia="de-DE"/>
        </w:rPr>
        <w:t>.</w:t>
      </w:r>
    </w:p>
    <w:p w14:paraId="744270D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zeigt das spezifische Blutverfahren für Vogel-</w:t>
      </w:r>
      <w:r w:rsidRPr="00577688">
        <w:rPr>
          <w:rFonts w:eastAsia="Times New Roman" w:cs="Times New Roman"/>
          <w:b/>
          <w:bCs/>
          <w:rtl/>
          <w:lang w:eastAsia="de-DE"/>
        </w:rPr>
        <w:t>חטאת</w:t>
      </w:r>
      <w:r w:rsidRPr="00577688">
        <w:rPr>
          <w:rFonts w:eastAsia="Times New Roman" w:cs="Times New Roman"/>
          <w:lang w:eastAsia="de-DE"/>
        </w:rPr>
        <w:t xml:space="preserve">: Spritzen an die Altarwand und Auspressen des Restes an den </w:t>
      </w:r>
      <w:proofErr w:type="spellStart"/>
      <w:r w:rsidRPr="00577688">
        <w:rPr>
          <w:rFonts w:eastAsia="Times New Roman" w:cs="Times New Roman"/>
          <w:lang w:eastAsia="de-DE"/>
        </w:rPr>
        <w:t>Altarfuß</w:t>
      </w:r>
      <w:proofErr w:type="spellEnd"/>
      <w:r w:rsidRPr="00577688">
        <w:rPr>
          <w:rFonts w:eastAsia="Times New Roman" w:cs="Times New Roman"/>
          <w:lang w:eastAsia="de-DE"/>
        </w:rPr>
        <w:t>.</w:t>
      </w:r>
    </w:p>
    <w:p w14:paraId="33F05135"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5,10</w:t>
      </w:r>
    </w:p>
    <w:p w14:paraId="25683B6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וְאֶת־הַשֵּׁנִ֛י יַעֲשֶׂ֥ה עֹלָ֖ה כַּמִּשְׁפָּ֑ט וְכִפֶּ֨ר עָלָ֧יו הַכֹּהֵ֛ן מֵחַטָּאתוֹ֥ אֲשֶׁר־חָטָ֖א וְנִסְלַ֥ח לוֹֽ׃</w:t>
      </w:r>
    </w:p>
    <w:p w14:paraId="2ABB3CB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die andere soll er als Aufsteigeopfer opfern nach der Vorschrift. Und so soll der Priester Sühne für ihn erwirken wegen seiner Sünde, die er begangen hat, und es wird ihm vergeben werden.</w:t>
      </w:r>
    </w:p>
    <w:p w14:paraId="6C1482E8"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2CE0522">
          <v:rect id="_x0000_i1119" style="width:0;height:1.5pt" o:hralign="center" o:hrstd="t" o:hr="t" fillcolor="#a0a0a0" stroked="f"/>
        </w:pict>
      </w:r>
    </w:p>
    <w:p w14:paraId="69EEDCFD" w14:textId="04B04E2C"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וְאֶת־הַשֵּׁנִ֛י יַעֲשֶׂ֥ה עֹלָ֖ה כַּמִּשְׁפָּ֑ט</w:t>
      </w:r>
      <w:r w:rsidRPr="00577688">
        <w:rPr>
          <w:rFonts w:eastAsia="Times New Roman" w:cs="Times New Roman"/>
          <w:rtl/>
          <w:lang w:eastAsia="de-DE"/>
        </w:rPr>
        <w:t xml:space="preserve"> </w:t>
      </w:r>
      <w:r w:rsidRPr="00577688">
        <w:rPr>
          <w:rFonts w:eastAsia="Times New Roman" w:cs="Times New Roman"/>
          <w:lang w:eastAsia="de-DE"/>
        </w:rPr>
        <w:t xml:space="preserve">(und den zweiten soll er als </w:t>
      </w:r>
      <w:r w:rsidR="00CF10E7">
        <w:rPr>
          <w:rFonts w:eastAsia="Times New Roman" w:cs="Times New Roman"/>
          <w:lang w:eastAsia="de-DE"/>
        </w:rPr>
        <w:t>Aufsteigeopfer</w:t>
      </w:r>
      <w:r w:rsidRPr="00577688">
        <w:rPr>
          <w:rFonts w:eastAsia="Times New Roman" w:cs="Times New Roman"/>
          <w:lang w:eastAsia="de-DE"/>
        </w:rPr>
        <w:t xml:space="preserve"> machen nach der Vorschrift) zeigt die Behandlung des zweiten Vogels. </w:t>
      </w:r>
      <w:r w:rsidRPr="00577688">
        <w:rPr>
          <w:rFonts w:eastAsia="Times New Roman" w:cs="Times New Roman"/>
          <w:b/>
          <w:bCs/>
          <w:rtl/>
          <w:lang w:eastAsia="de-DE"/>
        </w:rPr>
        <w:t>את־השני</w:t>
      </w:r>
      <w:r w:rsidRPr="00577688">
        <w:rPr>
          <w:rFonts w:eastAsia="Times New Roman" w:cs="Times New Roman"/>
          <w:rtl/>
          <w:lang w:eastAsia="de-DE"/>
        </w:rPr>
        <w:t xml:space="preserve"> </w:t>
      </w:r>
      <w:r w:rsidRPr="00577688">
        <w:rPr>
          <w:rFonts w:eastAsia="Times New Roman" w:cs="Times New Roman"/>
          <w:lang w:eastAsia="de-DE"/>
        </w:rPr>
        <w:t xml:space="preserve">(den zweiten) bezieht </w:t>
      </w:r>
      <w:r w:rsidRPr="00577688">
        <w:rPr>
          <w:rFonts w:eastAsia="Times New Roman" w:cs="Times New Roman"/>
          <w:lang w:eastAsia="de-DE"/>
        </w:rPr>
        <w:lastRenderedPageBreak/>
        <w:t xml:space="preserve">sich auf den </w:t>
      </w:r>
      <w:r w:rsidRPr="00577688">
        <w:rPr>
          <w:rFonts w:eastAsia="Times New Roman" w:cs="Times New Roman"/>
          <w:b/>
          <w:bCs/>
          <w:rtl/>
          <w:lang w:eastAsia="de-DE"/>
        </w:rPr>
        <w:t>עלה</w:t>
      </w:r>
      <w:r w:rsidRPr="00577688">
        <w:rPr>
          <w:rFonts w:eastAsia="Times New Roman" w:cs="Times New Roman"/>
          <w:lang w:eastAsia="de-DE"/>
        </w:rPr>
        <w:t xml:space="preserve">-Vogel, </w:t>
      </w:r>
      <w:r w:rsidRPr="00577688">
        <w:rPr>
          <w:rFonts w:eastAsia="Times New Roman" w:cs="Times New Roman"/>
          <w:b/>
          <w:bCs/>
          <w:rtl/>
          <w:lang w:eastAsia="de-DE"/>
        </w:rPr>
        <w:t>יעשה עלה</w:t>
      </w:r>
      <w:r w:rsidRPr="00577688">
        <w:rPr>
          <w:rFonts w:eastAsia="Times New Roman" w:cs="Times New Roman"/>
          <w:rtl/>
          <w:lang w:eastAsia="de-DE"/>
        </w:rPr>
        <w:t xml:space="preserve"> </w:t>
      </w:r>
      <w:r w:rsidRPr="00577688">
        <w:rPr>
          <w:rFonts w:eastAsia="Times New Roman" w:cs="Times New Roman"/>
          <w:lang w:eastAsia="de-DE"/>
        </w:rPr>
        <w:t xml:space="preserve">(er soll als </w:t>
      </w:r>
      <w:r w:rsidR="00CF10E7">
        <w:rPr>
          <w:rFonts w:eastAsia="Times New Roman" w:cs="Times New Roman"/>
          <w:lang w:eastAsia="de-DE"/>
        </w:rPr>
        <w:t>Aufsteigeopfer</w:t>
      </w:r>
      <w:r w:rsidRPr="00577688">
        <w:rPr>
          <w:rFonts w:eastAsia="Times New Roman" w:cs="Times New Roman"/>
          <w:lang w:eastAsia="de-DE"/>
        </w:rPr>
        <w:t xml:space="preserve"> machen), </w:t>
      </w:r>
      <w:r w:rsidRPr="00577688">
        <w:rPr>
          <w:rFonts w:eastAsia="Times New Roman" w:cs="Times New Roman"/>
          <w:b/>
          <w:bCs/>
          <w:rtl/>
          <w:lang w:eastAsia="de-DE"/>
        </w:rPr>
        <w:t>כמשפט</w:t>
      </w:r>
      <w:r w:rsidRPr="00577688">
        <w:rPr>
          <w:rFonts w:eastAsia="Times New Roman" w:cs="Times New Roman"/>
          <w:rtl/>
          <w:lang w:eastAsia="de-DE"/>
        </w:rPr>
        <w:t xml:space="preserve"> </w:t>
      </w:r>
      <w:r w:rsidRPr="00577688">
        <w:rPr>
          <w:rFonts w:eastAsia="Times New Roman" w:cs="Times New Roman"/>
          <w:lang w:eastAsia="de-DE"/>
        </w:rPr>
        <w:t xml:space="preserve">(nach der Vorschrift) verweist auf die </w:t>
      </w:r>
      <w:r w:rsidRPr="00577688">
        <w:rPr>
          <w:rFonts w:eastAsia="Times New Roman" w:cs="Times New Roman"/>
          <w:b/>
          <w:bCs/>
          <w:rtl/>
          <w:lang w:eastAsia="de-DE"/>
        </w:rPr>
        <w:t>עלה</w:t>
      </w:r>
      <w:r w:rsidRPr="00577688">
        <w:rPr>
          <w:rFonts w:eastAsia="Times New Roman" w:cs="Times New Roman"/>
          <w:lang w:eastAsia="de-DE"/>
        </w:rPr>
        <w:t>-Bestimmungen von 1,14-17.</w:t>
      </w:r>
    </w:p>
    <w:p w14:paraId="0BA0C68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מֵחַטָּאתוֹ֥ אֲשֶׁר־חָטָ֖א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wegen seiner Sünde, die er begangen hat, erwirken, und es wird ihm vergeben werden) ist die erweiterte </w:t>
      </w:r>
      <w:r w:rsidRPr="00577688">
        <w:rPr>
          <w:rFonts w:eastAsia="Times New Roman" w:cs="Times New Roman"/>
          <w:b/>
          <w:bCs/>
          <w:rtl/>
          <w:lang w:eastAsia="de-DE"/>
        </w:rPr>
        <w:t>כפרה</w:t>
      </w:r>
      <w:r w:rsidRPr="00577688">
        <w:rPr>
          <w:rFonts w:eastAsia="Times New Roman" w:cs="Times New Roman"/>
          <w:lang w:eastAsia="de-DE"/>
        </w:rPr>
        <w:t>-Formel entsprechend 4,26.31.35.</w:t>
      </w:r>
    </w:p>
    <w:p w14:paraId="31ED031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כמשפט</w:t>
      </w:r>
      <w:r w:rsidRPr="00577688">
        <w:rPr>
          <w:rFonts w:eastAsia="Times New Roman" w:cs="Times New Roman"/>
          <w:rtl/>
          <w:lang w:eastAsia="de-DE"/>
        </w:rPr>
        <w:t xml:space="preserve"> </w:t>
      </w:r>
      <w:r w:rsidRPr="00577688">
        <w:rPr>
          <w:rFonts w:eastAsia="Times New Roman" w:cs="Times New Roman"/>
          <w:lang w:eastAsia="de-DE"/>
        </w:rPr>
        <w:t xml:space="preserve">(nach der Vorschrift) verweist auf die etablierten </w:t>
      </w:r>
      <w:r w:rsidRPr="00577688">
        <w:rPr>
          <w:rFonts w:eastAsia="Times New Roman" w:cs="Times New Roman"/>
          <w:b/>
          <w:bCs/>
          <w:rtl/>
          <w:lang w:eastAsia="de-DE"/>
        </w:rPr>
        <w:t>עלה</w:t>
      </w:r>
      <w:r w:rsidRPr="00577688">
        <w:rPr>
          <w:rFonts w:eastAsia="Times New Roman" w:cs="Times New Roman"/>
          <w:lang w:eastAsia="de-DE"/>
        </w:rPr>
        <w:t>-Verfahren für Vögel: vollständiges Abtrennen des Kopfes (</w:t>
      </w:r>
      <w:r w:rsidRPr="00577688">
        <w:rPr>
          <w:rFonts w:eastAsia="Times New Roman" w:cs="Times New Roman"/>
          <w:b/>
          <w:bCs/>
          <w:rtl/>
          <w:lang w:eastAsia="de-DE"/>
        </w:rPr>
        <w:t>יבדיל</w:t>
      </w:r>
      <w:r w:rsidRPr="00577688">
        <w:rPr>
          <w:rFonts w:eastAsia="Times New Roman" w:cs="Times New Roman"/>
          <w:lang w:eastAsia="de-DE"/>
        </w:rPr>
        <w:t>, 1,17), Entfernung des Kropfes, Einreißen an den Flügeln ohne Trennung, und vollständige Verbrennung.</w:t>
      </w:r>
    </w:p>
    <w:p w14:paraId="6C9D096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Kombination </w:t>
      </w:r>
      <w:r w:rsidRPr="00577688">
        <w:rPr>
          <w:rFonts w:eastAsia="Times New Roman" w:cs="Times New Roman"/>
          <w:b/>
          <w:bCs/>
          <w:rtl/>
          <w:lang w:eastAsia="de-DE"/>
        </w:rPr>
        <w:t>חטאת</w:t>
      </w:r>
      <w:r w:rsidRPr="00577688">
        <w:rPr>
          <w:rFonts w:eastAsia="Times New Roman" w:cs="Times New Roman"/>
          <w:lang w:eastAsia="de-DE"/>
        </w:rPr>
        <w:t xml:space="preserve">-Vogel + </w:t>
      </w:r>
      <w:r w:rsidRPr="00577688">
        <w:rPr>
          <w:rFonts w:eastAsia="Times New Roman" w:cs="Times New Roman"/>
          <w:b/>
          <w:bCs/>
          <w:rtl/>
          <w:lang w:eastAsia="de-DE"/>
        </w:rPr>
        <w:t>עלה</w:t>
      </w:r>
      <w:r w:rsidRPr="00577688">
        <w:rPr>
          <w:rFonts w:eastAsia="Times New Roman" w:cs="Times New Roman"/>
          <w:lang w:eastAsia="de-DE"/>
        </w:rPr>
        <w:t xml:space="preserve">-Vogel bildet ein vollständiges </w:t>
      </w:r>
      <w:proofErr w:type="spellStart"/>
      <w:r w:rsidRPr="00577688">
        <w:rPr>
          <w:rFonts w:eastAsia="Times New Roman" w:cs="Times New Roman"/>
          <w:lang w:eastAsia="de-DE"/>
        </w:rPr>
        <w:t>Sühnpaket</w:t>
      </w:r>
      <w:proofErr w:type="spellEnd"/>
      <w:r w:rsidRPr="00577688">
        <w:rPr>
          <w:rFonts w:eastAsia="Times New Roman" w:cs="Times New Roman"/>
          <w:lang w:eastAsia="de-DE"/>
        </w:rPr>
        <w:t xml:space="preserve">: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für Sühne (</w:t>
      </w:r>
      <w:r w:rsidRPr="00577688">
        <w:rPr>
          <w:rFonts w:eastAsia="Times New Roman" w:cs="Times New Roman"/>
          <w:b/>
          <w:bCs/>
          <w:rtl/>
          <w:lang w:eastAsia="de-DE"/>
        </w:rPr>
        <w:t>כפרה</w:t>
      </w:r>
      <w:r w:rsidRPr="00577688">
        <w:rPr>
          <w:rFonts w:eastAsia="Times New Roman" w:cs="Times New Roman"/>
          <w:lang w:eastAsia="de-DE"/>
        </w:rPr>
        <w:t xml:space="preserve">), </w:t>
      </w:r>
      <w:r w:rsidRPr="00577688">
        <w:rPr>
          <w:rFonts w:eastAsia="Times New Roman" w:cs="Times New Roman"/>
          <w:b/>
          <w:bCs/>
          <w:rtl/>
          <w:lang w:eastAsia="de-DE"/>
        </w:rPr>
        <w:t>עלה</w:t>
      </w:r>
      <w:r w:rsidRPr="00577688">
        <w:rPr>
          <w:rFonts w:eastAsia="Times New Roman" w:cs="Times New Roman"/>
          <w:rtl/>
          <w:lang w:eastAsia="de-DE"/>
        </w:rPr>
        <w:t xml:space="preserve"> </w:t>
      </w:r>
      <w:r w:rsidRPr="00577688">
        <w:rPr>
          <w:rFonts w:eastAsia="Times New Roman" w:cs="Times New Roman"/>
          <w:lang w:eastAsia="de-DE"/>
        </w:rPr>
        <w:t xml:space="preserve">für vollständige Hingabe. </w:t>
      </w:r>
      <w:r w:rsidRPr="00577688">
        <w:rPr>
          <w:rFonts w:eastAsia="Times New Roman" w:cs="Times New Roman"/>
          <w:b/>
          <w:bCs/>
          <w:rtl/>
          <w:lang w:eastAsia="de-DE"/>
        </w:rPr>
        <w:t>מחטאתו אשר־חטא</w:t>
      </w:r>
      <w:r w:rsidRPr="00577688">
        <w:rPr>
          <w:rFonts w:eastAsia="Times New Roman" w:cs="Times New Roman"/>
          <w:rtl/>
          <w:lang w:eastAsia="de-DE"/>
        </w:rPr>
        <w:t xml:space="preserve"> </w:t>
      </w:r>
      <w:r w:rsidRPr="00577688">
        <w:rPr>
          <w:rFonts w:eastAsia="Times New Roman" w:cs="Times New Roman"/>
          <w:lang w:eastAsia="de-DE"/>
        </w:rPr>
        <w:t>betont die spezifische Sünde aus den vier Kategorien.</w:t>
      </w:r>
    </w:p>
    <w:p w14:paraId="5F7DE7F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הַשֵּׁנִ֛י</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δεύτερον</w:t>
      </w:r>
      <w:proofErr w:type="spellEnd"/>
      <w:r w:rsidRPr="00577688">
        <w:rPr>
          <w:rFonts w:eastAsia="Times New Roman" w:cs="Times New Roman"/>
          <w:lang w:eastAsia="de-DE"/>
        </w:rPr>
        <w:t xml:space="preserve"> (den zweiten), </w:t>
      </w:r>
      <w:r w:rsidRPr="00577688">
        <w:rPr>
          <w:rFonts w:eastAsia="Times New Roman" w:cs="Times New Roman"/>
          <w:b/>
          <w:bCs/>
          <w:rtl/>
          <w:lang w:eastAsia="de-DE"/>
        </w:rPr>
        <w:t>כַּמִּשְׁפָּ֑ט</w:t>
      </w:r>
      <w:r w:rsidRPr="00577688">
        <w:rPr>
          <w:rFonts w:eastAsia="Times New Roman" w:cs="Times New Roman"/>
          <w:rtl/>
          <w:lang w:eastAsia="de-DE"/>
        </w:rPr>
        <w:t xml:space="preserve"> </w:t>
      </w:r>
      <w:r w:rsidRPr="00577688">
        <w:rPr>
          <w:rFonts w:eastAsia="Times New Roman" w:cs="Times New Roman"/>
          <w:lang w:eastAsia="de-DE"/>
        </w:rPr>
        <w:t>mit κα</w:t>
      </w:r>
      <w:proofErr w:type="spellStart"/>
      <w:r w:rsidRPr="00577688">
        <w:rPr>
          <w:rFonts w:eastAsia="Times New Roman" w:cs="Times New Roman"/>
          <w:lang w:eastAsia="de-DE"/>
        </w:rPr>
        <w:t>τὰ</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κρίμ</w:t>
      </w:r>
      <w:proofErr w:type="spellEnd"/>
      <w:r w:rsidRPr="00577688">
        <w:rPr>
          <w:rFonts w:eastAsia="Times New Roman" w:cs="Times New Roman"/>
          <w:lang w:eastAsia="de-DE"/>
        </w:rPr>
        <w:t xml:space="preserve">α (nach dem Urteil/der Vorschrift) und die </w:t>
      </w:r>
      <w:r w:rsidRPr="00577688">
        <w:rPr>
          <w:rFonts w:eastAsia="Times New Roman" w:cs="Times New Roman"/>
          <w:b/>
          <w:bCs/>
          <w:rtl/>
          <w:lang w:eastAsia="de-DE"/>
        </w:rPr>
        <w:t>כפרה</w:t>
      </w:r>
      <w:r w:rsidRPr="00577688">
        <w:rPr>
          <w:rFonts w:eastAsia="Times New Roman" w:cs="Times New Roman"/>
          <w:lang w:eastAsia="de-DE"/>
        </w:rPr>
        <w:t>-Formel vollständig.</w:t>
      </w:r>
    </w:p>
    <w:p w14:paraId="7C39CA9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Objekt + Verb + Prädikatsbestimmung + Adverbialbestimmung // erweiterte </w:t>
      </w:r>
      <w:r w:rsidRPr="00577688">
        <w:rPr>
          <w:rFonts w:eastAsia="Times New Roman" w:cs="Times New Roman"/>
          <w:b/>
          <w:bCs/>
          <w:rtl/>
          <w:lang w:eastAsia="de-DE"/>
        </w:rPr>
        <w:t>כפרה</w:t>
      </w:r>
      <w:r w:rsidRPr="00577688">
        <w:rPr>
          <w:rFonts w:eastAsia="Times New Roman" w:cs="Times New Roman"/>
          <w:lang w:eastAsia="de-DE"/>
        </w:rPr>
        <w:t>-Formel. Die Struktur zeigt die Vollendung des Doppel-Vogel-Opfers.</w:t>
      </w:r>
    </w:p>
    <w:p w14:paraId="501F1D5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schließt das Doppel-Vogel-Verfahren ab: </w:t>
      </w:r>
      <w:r w:rsidRPr="00577688">
        <w:rPr>
          <w:rFonts w:eastAsia="Times New Roman" w:cs="Times New Roman"/>
          <w:b/>
          <w:bCs/>
          <w:rtl/>
          <w:lang w:eastAsia="de-DE"/>
        </w:rPr>
        <w:t>חטאת</w:t>
      </w:r>
      <w:r w:rsidRPr="00577688">
        <w:rPr>
          <w:rFonts w:eastAsia="Times New Roman" w:cs="Times New Roman"/>
          <w:lang w:eastAsia="de-DE"/>
        </w:rPr>
        <w:t xml:space="preserve">-Vogel für Sühne, </w:t>
      </w:r>
      <w:r w:rsidRPr="00577688">
        <w:rPr>
          <w:rFonts w:eastAsia="Times New Roman" w:cs="Times New Roman"/>
          <w:b/>
          <w:bCs/>
          <w:rtl/>
          <w:lang w:eastAsia="de-DE"/>
        </w:rPr>
        <w:t>עלה</w:t>
      </w:r>
      <w:r w:rsidRPr="00577688">
        <w:rPr>
          <w:rFonts w:eastAsia="Times New Roman" w:cs="Times New Roman"/>
          <w:lang w:eastAsia="de-DE"/>
        </w:rPr>
        <w:t xml:space="preserve">-Vogel für Hingabe, zusammen ergebend vollständige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סליחה</w:t>
      </w:r>
      <w:r w:rsidRPr="00577688">
        <w:rPr>
          <w:rFonts w:eastAsia="Times New Roman" w:cs="Times New Roman"/>
          <w:lang w:eastAsia="de-DE"/>
        </w:rPr>
        <w:t>.</w:t>
      </w:r>
    </w:p>
    <w:p w14:paraId="54B46119"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5,11</w:t>
      </w:r>
    </w:p>
    <w:p w14:paraId="26FDF08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וְאִם־לֹא֩ תַשִּׂ֨יג יָדֹ֜ו לִשְׁתֵּ֣י תֹרִ֗ים אוֹ֮ לִשְׁנֵ֣י בְנֵי־יוֹנָה֒ וְהֵבִ֨יא אֶת־קָרְבָּנֹ֜ו אֲשֶׁ֣ר חָטָ֗א עֲשִׂירִ֧ת הָאֵפָ֛ה סֹ֖לֶת לְחַטָּ֑את לֹא־יָשִׂ֨ים עָלֶ֜יהָ שֶׁ֗מֶן וְלֹא־יִתֵּ֤ן עָלֶ֨יהָ֙ לְבֹנָ֔ה כִּ֥י חַטָּ֖את הִֽיא׃</w:t>
      </w:r>
    </w:p>
    <w:p w14:paraId="7701027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seine Hand nicht zwei Turteltauben oder zwei junge Tauben aufbringen kann, so soll er bringen als seine Opfergabe für das, was er gesündigt hat, ein Zehntel Epha Feinmehl zum Sündopfer; er soll nicht Öl darauf geben und soll nicht Weihrauch darauf legen, denn es ist ein Sündopfer.</w:t>
      </w:r>
    </w:p>
    <w:p w14:paraId="7CC9965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4A7D146">
          <v:rect id="_x0000_i1120" style="width:0;height:1.5pt" o:hralign="center" o:hrstd="t" o:hr="t" fillcolor="#a0a0a0" stroked="f"/>
        </w:pict>
      </w:r>
    </w:p>
    <w:p w14:paraId="5C9A013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וְאִם־לֹא֩ תַשִּׂ֨יג יָדֹ֜ו לִשְׁתֵּ֣י תֹרִ֗ים אוֹ֮ לִשְׁנֵ֣י בְנֵי־יוֹנָה֒</w:t>
      </w:r>
      <w:r w:rsidRPr="00577688">
        <w:rPr>
          <w:rFonts w:eastAsia="Times New Roman" w:cs="Times New Roman"/>
          <w:rtl/>
          <w:lang w:eastAsia="de-DE"/>
        </w:rPr>
        <w:t xml:space="preserve"> </w:t>
      </w:r>
      <w:r w:rsidRPr="00577688">
        <w:rPr>
          <w:rFonts w:eastAsia="Times New Roman" w:cs="Times New Roman"/>
          <w:lang w:eastAsia="de-DE"/>
        </w:rPr>
        <w:t xml:space="preserve">(und wenn seine Hand nicht zwei Turteltauben oder zwei junge Tauben erreicht) führt die zweite Armenregelung ein. </w:t>
      </w:r>
      <w:r w:rsidRPr="00577688">
        <w:rPr>
          <w:rFonts w:eastAsia="Times New Roman" w:cs="Times New Roman"/>
          <w:b/>
          <w:bCs/>
          <w:rtl/>
          <w:lang w:eastAsia="de-DE"/>
        </w:rPr>
        <w:t>אם־לא תשיג ידו</w:t>
      </w:r>
      <w:r w:rsidRPr="00577688">
        <w:rPr>
          <w:rFonts w:eastAsia="Times New Roman" w:cs="Times New Roman"/>
          <w:rtl/>
          <w:lang w:eastAsia="de-DE"/>
        </w:rPr>
        <w:t xml:space="preserve"> </w:t>
      </w:r>
      <w:r w:rsidRPr="00577688">
        <w:rPr>
          <w:rFonts w:eastAsia="Times New Roman" w:cs="Times New Roman"/>
          <w:lang w:eastAsia="de-DE"/>
        </w:rPr>
        <w:t xml:space="preserve">wiederholt die Unfähigkeitsformel von V. 7, </w:t>
      </w:r>
      <w:r w:rsidRPr="00577688">
        <w:rPr>
          <w:rFonts w:eastAsia="Times New Roman" w:cs="Times New Roman"/>
          <w:b/>
          <w:bCs/>
          <w:rtl/>
          <w:lang w:eastAsia="de-DE"/>
        </w:rPr>
        <w:t>לשתי תרים או לשני בני־יונה</w:t>
      </w:r>
      <w:r w:rsidRPr="00577688">
        <w:rPr>
          <w:rFonts w:eastAsia="Times New Roman" w:cs="Times New Roman"/>
          <w:rtl/>
          <w:lang w:eastAsia="de-DE"/>
        </w:rPr>
        <w:t xml:space="preserve"> </w:t>
      </w:r>
      <w:r w:rsidRPr="00577688">
        <w:rPr>
          <w:rFonts w:eastAsia="Times New Roman" w:cs="Times New Roman"/>
          <w:lang w:eastAsia="de-DE"/>
        </w:rPr>
        <w:t>spezifiziert die Vogelkosten.</w:t>
      </w:r>
    </w:p>
    <w:p w14:paraId="1B2C907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 אֶת־קָרְבָּנֹ֜ו אֲשֶׁ֣ר חָטָ֗א עֲשִׂירִ֧ת הָאֵפָ֛ה סֹ֖לֶת לְחַטָּ֑את</w:t>
      </w:r>
      <w:r w:rsidRPr="00577688">
        <w:rPr>
          <w:rFonts w:eastAsia="Times New Roman" w:cs="Times New Roman"/>
          <w:rtl/>
          <w:lang w:eastAsia="de-DE"/>
        </w:rPr>
        <w:t xml:space="preserve"> </w:t>
      </w:r>
      <w:r w:rsidRPr="00577688">
        <w:rPr>
          <w:rFonts w:eastAsia="Times New Roman" w:cs="Times New Roman"/>
          <w:lang w:eastAsia="de-DE"/>
        </w:rPr>
        <w:t xml:space="preserve">(und er soll seine Opfergabe bringen für das, was er gesündigt hat, ein Zehntel Epha Feinmehl zum Sündopfer) spezifiziert das Armenopfer. </w:t>
      </w:r>
      <w:r w:rsidRPr="00577688">
        <w:rPr>
          <w:rFonts w:eastAsia="Times New Roman" w:cs="Times New Roman"/>
          <w:b/>
          <w:bCs/>
          <w:rtl/>
          <w:lang w:eastAsia="de-DE"/>
        </w:rPr>
        <w:t>את־קרבנו אשר חטא</w:t>
      </w:r>
      <w:r w:rsidRPr="00577688">
        <w:rPr>
          <w:rFonts w:eastAsia="Times New Roman" w:cs="Times New Roman"/>
          <w:rtl/>
          <w:lang w:eastAsia="de-DE"/>
        </w:rPr>
        <w:t xml:space="preserve"> </w:t>
      </w:r>
      <w:r w:rsidRPr="00577688">
        <w:rPr>
          <w:rFonts w:eastAsia="Times New Roman" w:cs="Times New Roman"/>
          <w:lang w:eastAsia="de-DE"/>
        </w:rPr>
        <w:t xml:space="preserve">(seine Opfergabe für das, was er gesündigt hat), </w:t>
      </w:r>
      <w:r w:rsidRPr="00577688">
        <w:rPr>
          <w:rFonts w:eastAsia="Times New Roman" w:cs="Times New Roman"/>
          <w:b/>
          <w:bCs/>
          <w:rtl/>
          <w:lang w:eastAsia="de-DE"/>
        </w:rPr>
        <w:t>עשירת האפה סלת</w:t>
      </w:r>
      <w:r w:rsidRPr="00577688">
        <w:rPr>
          <w:rFonts w:eastAsia="Times New Roman" w:cs="Times New Roman"/>
          <w:rtl/>
          <w:lang w:eastAsia="de-DE"/>
        </w:rPr>
        <w:t xml:space="preserve"> </w:t>
      </w:r>
      <w:r w:rsidRPr="00577688">
        <w:rPr>
          <w:rFonts w:eastAsia="Times New Roman" w:cs="Times New Roman"/>
          <w:lang w:eastAsia="de-DE"/>
        </w:rPr>
        <w:t xml:space="preserve">(ein Zehntel Epha Feinmehl), </w:t>
      </w:r>
      <w:r w:rsidRPr="00577688">
        <w:rPr>
          <w:rFonts w:eastAsia="Times New Roman" w:cs="Times New Roman"/>
          <w:b/>
          <w:bCs/>
          <w:rtl/>
          <w:lang w:eastAsia="de-DE"/>
        </w:rPr>
        <w:t>לחטאת</w:t>
      </w:r>
      <w:r w:rsidRPr="00577688">
        <w:rPr>
          <w:rFonts w:eastAsia="Times New Roman" w:cs="Times New Roman"/>
          <w:rtl/>
          <w:lang w:eastAsia="de-DE"/>
        </w:rPr>
        <w:t xml:space="preserve"> </w:t>
      </w:r>
      <w:r w:rsidRPr="00577688">
        <w:rPr>
          <w:rFonts w:eastAsia="Times New Roman" w:cs="Times New Roman"/>
          <w:lang w:eastAsia="de-DE"/>
        </w:rPr>
        <w:t>(zum Sündopfer).</w:t>
      </w:r>
    </w:p>
    <w:p w14:paraId="17ADF82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לֹא־יָשִׂ֨ים עָלֶ֜יהָ שֶׁ֗מֶן וְלֹא־יִתֵּ֤ן עָלֶ֨יהָ֙ לְבֹנָ֔ה כִּ֥י חַטָּ֖את הִֽיא</w:t>
      </w:r>
      <w:r w:rsidRPr="00577688">
        <w:rPr>
          <w:rFonts w:eastAsia="Times New Roman" w:cs="Times New Roman"/>
          <w:rtl/>
          <w:lang w:eastAsia="de-DE"/>
        </w:rPr>
        <w:t xml:space="preserve"> </w:t>
      </w:r>
      <w:r w:rsidRPr="00577688">
        <w:rPr>
          <w:rFonts w:eastAsia="Times New Roman" w:cs="Times New Roman"/>
          <w:lang w:eastAsia="de-DE"/>
        </w:rPr>
        <w:t xml:space="preserve">(er soll nicht Öl darauf setzen und nicht Weihrauch darauf geben, denn es ist ein Sündopfer) zeigt die Restriktionen. </w:t>
      </w:r>
      <w:r w:rsidRPr="00577688">
        <w:rPr>
          <w:rFonts w:eastAsia="Times New Roman" w:cs="Times New Roman"/>
          <w:b/>
          <w:bCs/>
          <w:rtl/>
          <w:lang w:eastAsia="de-DE"/>
        </w:rPr>
        <w:t>לא־ישים עליה שמן</w:t>
      </w:r>
      <w:r w:rsidRPr="00577688">
        <w:rPr>
          <w:rFonts w:eastAsia="Times New Roman" w:cs="Times New Roman"/>
          <w:rtl/>
          <w:lang w:eastAsia="de-DE"/>
        </w:rPr>
        <w:t xml:space="preserve"> </w:t>
      </w:r>
      <w:r w:rsidRPr="00577688">
        <w:rPr>
          <w:rFonts w:eastAsia="Times New Roman" w:cs="Times New Roman"/>
          <w:lang w:eastAsia="de-DE"/>
        </w:rPr>
        <w:lastRenderedPageBreak/>
        <w:t xml:space="preserve">(er soll nicht Öl darauf setzen), </w:t>
      </w:r>
      <w:r w:rsidRPr="00577688">
        <w:rPr>
          <w:rFonts w:eastAsia="Times New Roman" w:cs="Times New Roman"/>
          <w:b/>
          <w:bCs/>
          <w:rtl/>
          <w:lang w:eastAsia="de-DE"/>
        </w:rPr>
        <w:t>ולא־יתן עליה לבנה</w:t>
      </w:r>
      <w:r w:rsidRPr="00577688">
        <w:rPr>
          <w:rFonts w:eastAsia="Times New Roman" w:cs="Times New Roman"/>
          <w:rtl/>
          <w:lang w:eastAsia="de-DE"/>
        </w:rPr>
        <w:t xml:space="preserve"> </w:t>
      </w:r>
      <w:r w:rsidRPr="00577688">
        <w:rPr>
          <w:rFonts w:eastAsia="Times New Roman" w:cs="Times New Roman"/>
          <w:lang w:eastAsia="de-DE"/>
        </w:rPr>
        <w:t xml:space="preserve">(und nicht Weihrauch darauf geben), </w:t>
      </w:r>
      <w:r w:rsidRPr="00577688">
        <w:rPr>
          <w:rFonts w:eastAsia="Times New Roman" w:cs="Times New Roman"/>
          <w:b/>
          <w:bCs/>
          <w:rtl/>
          <w:lang w:eastAsia="de-DE"/>
        </w:rPr>
        <w:t>כי חטאת היא</w:t>
      </w:r>
      <w:r w:rsidRPr="00577688">
        <w:rPr>
          <w:rFonts w:eastAsia="Times New Roman" w:cs="Times New Roman"/>
          <w:rtl/>
          <w:lang w:eastAsia="de-DE"/>
        </w:rPr>
        <w:t xml:space="preserve"> </w:t>
      </w:r>
      <w:r w:rsidRPr="00577688">
        <w:rPr>
          <w:rFonts w:eastAsia="Times New Roman" w:cs="Times New Roman"/>
          <w:lang w:eastAsia="de-DE"/>
        </w:rPr>
        <w:t>(denn es ist ein Sündopfer) als Begründung.</w:t>
      </w:r>
    </w:p>
    <w:p w14:paraId="08158D0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עשירת האפה סלת</w:t>
      </w:r>
      <w:r w:rsidRPr="00577688">
        <w:rPr>
          <w:rFonts w:eastAsia="Times New Roman" w:cs="Times New Roman"/>
          <w:rtl/>
          <w:lang w:eastAsia="de-DE"/>
        </w:rPr>
        <w:t xml:space="preserve"> </w:t>
      </w:r>
      <w:r w:rsidRPr="00577688">
        <w:rPr>
          <w:rFonts w:eastAsia="Times New Roman" w:cs="Times New Roman"/>
          <w:lang w:eastAsia="de-DE"/>
        </w:rPr>
        <w:t xml:space="preserve">(ein Zehntel Epha Feinmehl) ist ein sehr kleines Maß: </w:t>
      </w:r>
      <w:r w:rsidRPr="00577688">
        <w:rPr>
          <w:rFonts w:eastAsia="Times New Roman" w:cs="Times New Roman"/>
          <w:b/>
          <w:bCs/>
          <w:rtl/>
          <w:lang w:eastAsia="de-DE"/>
        </w:rPr>
        <w:t>עשירית</w:t>
      </w:r>
      <w:r w:rsidRPr="00577688">
        <w:rPr>
          <w:rFonts w:eastAsia="Times New Roman" w:cs="Times New Roman"/>
          <w:rtl/>
          <w:lang w:eastAsia="de-DE"/>
        </w:rPr>
        <w:t xml:space="preserve"> </w:t>
      </w:r>
      <w:r w:rsidRPr="00577688">
        <w:rPr>
          <w:rFonts w:eastAsia="Times New Roman" w:cs="Times New Roman"/>
          <w:lang w:eastAsia="de-DE"/>
        </w:rPr>
        <w:t xml:space="preserve">(Zehntel) von </w:t>
      </w:r>
      <w:r w:rsidRPr="00577688">
        <w:rPr>
          <w:rFonts w:eastAsia="Times New Roman" w:cs="Times New Roman"/>
          <w:b/>
          <w:bCs/>
          <w:rtl/>
          <w:lang w:eastAsia="de-DE"/>
        </w:rPr>
        <w:t>איפה</w:t>
      </w:r>
      <w:r w:rsidRPr="00577688">
        <w:rPr>
          <w:rFonts w:eastAsia="Times New Roman" w:cs="Times New Roman"/>
          <w:rtl/>
          <w:lang w:eastAsia="de-DE"/>
        </w:rPr>
        <w:t xml:space="preserve"> </w:t>
      </w:r>
      <w:r w:rsidRPr="00577688">
        <w:rPr>
          <w:rFonts w:eastAsia="Times New Roman" w:cs="Times New Roman"/>
          <w:lang w:eastAsia="de-DE"/>
        </w:rPr>
        <w:t xml:space="preserve">(Epha ≈ 22 Liter), also etwa 2,2 Liter </w:t>
      </w:r>
      <w:r w:rsidRPr="00577688">
        <w:rPr>
          <w:rFonts w:eastAsia="Times New Roman" w:cs="Times New Roman"/>
          <w:b/>
          <w:bCs/>
          <w:rtl/>
          <w:lang w:eastAsia="de-DE"/>
        </w:rPr>
        <w:t>סלת</w:t>
      </w:r>
      <w:r w:rsidRPr="00577688">
        <w:rPr>
          <w:rFonts w:eastAsia="Times New Roman" w:cs="Times New Roman"/>
          <w:rtl/>
          <w:lang w:eastAsia="de-DE"/>
        </w:rPr>
        <w:t xml:space="preserve"> </w:t>
      </w:r>
      <w:r w:rsidRPr="00577688">
        <w:rPr>
          <w:rFonts w:eastAsia="Times New Roman" w:cs="Times New Roman"/>
          <w:lang w:eastAsia="de-DE"/>
        </w:rPr>
        <w:t>(Feinmehl). Dies ist das kostengünstigste mögliche Opfer.</w:t>
      </w:r>
    </w:p>
    <w:p w14:paraId="3DCFA9A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לא־ישים עליה שמן ולא־יתן עליה לבנה</w:t>
      </w:r>
      <w:r w:rsidRPr="00577688">
        <w:rPr>
          <w:rFonts w:eastAsia="Times New Roman" w:cs="Times New Roman"/>
          <w:rtl/>
          <w:lang w:eastAsia="de-DE"/>
        </w:rPr>
        <w:t xml:space="preserve"> </w:t>
      </w:r>
      <w:r w:rsidRPr="00577688">
        <w:rPr>
          <w:rFonts w:eastAsia="Times New Roman" w:cs="Times New Roman"/>
          <w:lang w:eastAsia="de-DE"/>
        </w:rPr>
        <w:t xml:space="preserve">unterscheidet </w:t>
      </w:r>
      <w:r w:rsidRPr="00577688">
        <w:rPr>
          <w:rFonts w:eastAsia="Times New Roman" w:cs="Times New Roman"/>
          <w:b/>
          <w:bCs/>
          <w:rtl/>
          <w:lang w:eastAsia="de-DE"/>
        </w:rPr>
        <w:t>חטאת</w:t>
      </w:r>
      <w:r w:rsidRPr="00577688">
        <w:rPr>
          <w:rFonts w:eastAsia="Times New Roman" w:cs="Times New Roman"/>
          <w:lang w:eastAsia="de-DE"/>
        </w:rPr>
        <w:t xml:space="preserve">-Mehl von </w:t>
      </w:r>
      <w:r w:rsidRPr="00577688">
        <w:rPr>
          <w:rFonts w:eastAsia="Times New Roman" w:cs="Times New Roman"/>
          <w:b/>
          <w:bCs/>
          <w:rtl/>
          <w:lang w:eastAsia="de-DE"/>
        </w:rPr>
        <w:t>מנחה</w:t>
      </w:r>
      <w:r w:rsidRPr="00577688">
        <w:rPr>
          <w:rFonts w:eastAsia="Times New Roman" w:cs="Times New Roman"/>
          <w:rtl/>
          <w:lang w:eastAsia="de-DE"/>
        </w:rPr>
        <w:t xml:space="preserve"> </w:t>
      </w:r>
      <w:r w:rsidRPr="00577688">
        <w:rPr>
          <w:rFonts w:eastAsia="Times New Roman" w:cs="Times New Roman"/>
          <w:lang w:eastAsia="de-DE"/>
        </w:rPr>
        <w:t xml:space="preserve">(Kapitel 2): </w:t>
      </w:r>
      <w:r w:rsidRPr="00577688">
        <w:rPr>
          <w:rFonts w:eastAsia="Times New Roman" w:cs="Times New Roman"/>
          <w:b/>
          <w:bCs/>
          <w:rtl/>
          <w:lang w:eastAsia="de-DE"/>
        </w:rPr>
        <w:t>מנחה</w:t>
      </w:r>
      <w:r w:rsidRPr="00577688">
        <w:rPr>
          <w:rFonts w:eastAsia="Times New Roman" w:cs="Times New Roman"/>
          <w:rtl/>
          <w:lang w:eastAsia="de-DE"/>
        </w:rPr>
        <w:t xml:space="preserve"> </w:t>
      </w:r>
      <w:r w:rsidRPr="00577688">
        <w:rPr>
          <w:rFonts w:eastAsia="Times New Roman" w:cs="Times New Roman"/>
          <w:lang w:eastAsia="de-DE"/>
        </w:rPr>
        <w:t xml:space="preserve">erhält </w:t>
      </w:r>
      <w:r w:rsidRPr="00577688">
        <w:rPr>
          <w:rFonts w:eastAsia="Times New Roman" w:cs="Times New Roman"/>
          <w:b/>
          <w:bCs/>
          <w:rtl/>
          <w:lang w:eastAsia="de-DE"/>
        </w:rPr>
        <w:t>שמן</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לבנה</w:t>
      </w:r>
      <w:r w:rsidRPr="00577688">
        <w:rPr>
          <w:rFonts w:eastAsia="Times New Roman" w:cs="Times New Roman"/>
          <w:lang w:eastAsia="de-DE"/>
        </w:rPr>
        <w:t xml:space="preserve">, </w:t>
      </w:r>
      <w:r w:rsidRPr="00577688">
        <w:rPr>
          <w:rFonts w:eastAsia="Times New Roman" w:cs="Times New Roman"/>
          <w:b/>
          <w:bCs/>
          <w:rtl/>
          <w:lang w:eastAsia="de-DE"/>
        </w:rPr>
        <w:t>חטאת</w:t>
      </w:r>
      <w:r w:rsidRPr="00577688">
        <w:rPr>
          <w:rFonts w:eastAsia="Times New Roman" w:cs="Times New Roman"/>
          <w:lang w:eastAsia="de-DE"/>
        </w:rPr>
        <w:t xml:space="preserve">-Mehl nicht. </w:t>
      </w:r>
      <w:r w:rsidRPr="00577688">
        <w:rPr>
          <w:rFonts w:eastAsia="Times New Roman" w:cs="Times New Roman"/>
          <w:b/>
          <w:bCs/>
          <w:rtl/>
          <w:lang w:eastAsia="de-DE"/>
        </w:rPr>
        <w:t>כי חטאת היא</w:t>
      </w:r>
      <w:r w:rsidRPr="00577688">
        <w:rPr>
          <w:rFonts w:eastAsia="Times New Roman" w:cs="Times New Roman"/>
          <w:rtl/>
          <w:lang w:eastAsia="de-DE"/>
        </w:rPr>
        <w:t xml:space="preserve"> </w:t>
      </w:r>
      <w:r w:rsidRPr="00577688">
        <w:rPr>
          <w:rFonts w:eastAsia="Times New Roman" w:cs="Times New Roman"/>
          <w:lang w:eastAsia="de-DE"/>
        </w:rPr>
        <w:t>begründet diese Unterscheidung durch die andere theologische Funktion.</w:t>
      </w:r>
    </w:p>
    <w:p w14:paraId="62ACEF7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עֲשִׂירִ֧ת הָאֵפָ֛ה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δέκ</w:t>
      </w:r>
      <w:proofErr w:type="spellEnd"/>
      <w:r w:rsidRPr="00577688">
        <w:rPr>
          <w:rFonts w:eastAsia="Times New Roman" w:cs="Times New Roman"/>
          <w:lang w:eastAsia="de-DE"/>
        </w:rPr>
        <w:t xml:space="preserve">ατον </w:t>
      </w:r>
      <w:proofErr w:type="spellStart"/>
      <w:r w:rsidRPr="00577688">
        <w:rPr>
          <w:rFonts w:eastAsia="Times New Roman" w:cs="Times New Roman"/>
          <w:lang w:eastAsia="de-DE"/>
        </w:rPr>
        <w:t>τοῦ</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οιφι</w:t>
      </w:r>
      <w:proofErr w:type="spellEnd"/>
      <w:r w:rsidRPr="00577688">
        <w:rPr>
          <w:rFonts w:eastAsia="Times New Roman" w:cs="Times New Roman"/>
          <w:lang w:eastAsia="de-DE"/>
        </w:rPr>
        <w:t xml:space="preserve"> (Zehntel des </w:t>
      </w:r>
      <w:proofErr w:type="spellStart"/>
      <w:r w:rsidRPr="00577688">
        <w:rPr>
          <w:rFonts w:eastAsia="Times New Roman" w:cs="Times New Roman"/>
          <w:lang w:eastAsia="de-DE"/>
        </w:rPr>
        <w:t>Oifi</w:t>
      </w:r>
      <w:proofErr w:type="spellEnd"/>
      <w:r w:rsidRPr="00577688">
        <w:rPr>
          <w:rFonts w:eastAsia="Times New Roman" w:cs="Times New Roman"/>
          <w:lang w:eastAsia="de-DE"/>
        </w:rPr>
        <w:t xml:space="preserve">), </w:t>
      </w:r>
      <w:proofErr w:type="spellStart"/>
      <w:r w:rsidRPr="00577688">
        <w:rPr>
          <w:rFonts w:eastAsia="Times New Roman" w:cs="Times New Roman"/>
          <w:b/>
          <w:bCs/>
          <w:lang w:eastAsia="de-DE"/>
        </w:rPr>
        <w:t>σὀ</w:t>
      </w:r>
      <w:proofErr w:type="spellEnd"/>
      <w:r w:rsidRPr="00577688">
        <w:rPr>
          <w:rFonts w:eastAsia="Times New Roman" w:cs="Times New Roman"/>
          <w:b/>
          <w:bCs/>
          <w:rtl/>
          <w:lang w:eastAsia="de-DE"/>
        </w:rPr>
        <w:t>֖לֶת</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σεμίδ</w:t>
      </w:r>
      <w:proofErr w:type="spellEnd"/>
      <w:r w:rsidRPr="00577688">
        <w:rPr>
          <w:rFonts w:eastAsia="Times New Roman" w:cs="Times New Roman"/>
          <w:lang w:eastAsia="de-DE"/>
        </w:rPr>
        <w:t xml:space="preserve">αλιν (Feinmehl) und die Prohibitionen mit </w:t>
      </w:r>
      <w:proofErr w:type="spellStart"/>
      <w:r w:rsidRPr="00577688">
        <w:rPr>
          <w:rFonts w:eastAsia="Times New Roman" w:cs="Times New Roman"/>
          <w:lang w:eastAsia="de-DE"/>
        </w:rPr>
        <w:t>οὐ</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θήσει</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ἔλ</w:t>
      </w:r>
      <w:proofErr w:type="spellEnd"/>
      <w:r w:rsidRPr="00577688">
        <w:rPr>
          <w:rFonts w:eastAsia="Times New Roman" w:cs="Times New Roman"/>
          <w:lang w:eastAsia="de-DE"/>
        </w:rPr>
        <w:t xml:space="preserve">αιον... </w:t>
      </w:r>
      <w:proofErr w:type="spellStart"/>
      <w:r w:rsidRPr="00577688">
        <w:rPr>
          <w:rFonts w:eastAsia="Times New Roman" w:cs="Times New Roman"/>
          <w:lang w:eastAsia="de-DE"/>
        </w:rPr>
        <w:t>οὐδὲ</w:t>
      </w:r>
      <w:proofErr w:type="spellEnd"/>
      <w:r w:rsidRPr="00577688">
        <w:rPr>
          <w:rFonts w:eastAsia="Times New Roman" w:cs="Times New Roman"/>
          <w:lang w:eastAsia="de-DE"/>
        </w:rPr>
        <w:t xml:space="preserve"> ἐπ</w:t>
      </w:r>
      <w:proofErr w:type="spellStart"/>
      <w:r w:rsidRPr="00577688">
        <w:rPr>
          <w:rFonts w:eastAsia="Times New Roman" w:cs="Times New Roman"/>
          <w:lang w:eastAsia="de-DE"/>
        </w:rPr>
        <w:t>ιθήσει</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λί</w:t>
      </w:r>
      <w:proofErr w:type="spellEnd"/>
      <w:r w:rsidRPr="00577688">
        <w:rPr>
          <w:rFonts w:eastAsia="Times New Roman" w:cs="Times New Roman"/>
          <w:lang w:eastAsia="de-DE"/>
        </w:rPr>
        <w:t>βανον (er soll nicht... Öl setzen... noch... Weihrauch auflegen).</w:t>
      </w:r>
    </w:p>
    <w:p w14:paraId="1F6AB89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mit Restriktionen: Protasis (</w:t>
      </w:r>
      <w:r w:rsidRPr="00577688">
        <w:rPr>
          <w:rFonts w:eastAsia="Times New Roman" w:cs="Times New Roman"/>
          <w:rtl/>
          <w:lang w:eastAsia="de-DE"/>
        </w:rPr>
        <w:t>אִם</w:t>
      </w:r>
      <w:r w:rsidRPr="00577688">
        <w:rPr>
          <w:rFonts w:eastAsia="Times New Roman" w:cs="Times New Roman"/>
          <w:lang w:eastAsia="de-DE"/>
        </w:rPr>
        <w:t xml:space="preserve"> + negative finanzielle Fähigkeit für Vögel) → Apodosis (Verb + Objekt mit Relativsatz + Alternativopfer + Zweckangabe + zwei negative Bestimmungen + Begründung). Die Struktur etabliert das kostengünstigste </w:t>
      </w:r>
      <w:r w:rsidRPr="00577688">
        <w:rPr>
          <w:rFonts w:eastAsia="Times New Roman" w:cs="Times New Roman"/>
          <w:b/>
          <w:bCs/>
          <w:rtl/>
          <w:lang w:eastAsia="de-DE"/>
        </w:rPr>
        <w:t>חטאת</w:t>
      </w:r>
      <w:r w:rsidRPr="00577688">
        <w:rPr>
          <w:rFonts w:eastAsia="Times New Roman" w:cs="Times New Roman"/>
          <w:lang w:eastAsia="de-DE"/>
        </w:rPr>
        <w:t xml:space="preserve">-Opfer mit spezifischen Unterscheidungen zur </w:t>
      </w:r>
      <w:r w:rsidRPr="00577688">
        <w:rPr>
          <w:rFonts w:eastAsia="Times New Roman" w:cs="Times New Roman"/>
          <w:b/>
          <w:bCs/>
          <w:rtl/>
          <w:lang w:eastAsia="de-DE"/>
        </w:rPr>
        <w:t>מנחה</w:t>
      </w:r>
      <w:r w:rsidRPr="00577688">
        <w:rPr>
          <w:rFonts w:eastAsia="Times New Roman" w:cs="Times New Roman"/>
          <w:lang w:eastAsia="de-DE"/>
        </w:rPr>
        <w:t>.</w:t>
      </w:r>
    </w:p>
    <w:p w14:paraId="5C3839F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Dieser Vers führt die äußerste Armenregelung ein: Mehl-</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ohne Öl und Weihrauch für die Ärmsten der Gesellschaft.</w:t>
      </w:r>
    </w:p>
    <w:p w14:paraId="7414B303"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5,12</w:t>
      </w:r>
    </w:p>
    <w:p w14:paraId="592464B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וֶהֱבִיאָהּ֮ אֶל־הַכֹּהֵן֒ וְקָמַ֣ץ הַכֹּהֵ֣ן׀ מִ֠מֶּנָּה מְל֨וֹא קֻמְצֹ֜ו אֶת־אַזְכָּרָתָה֙ וְהִקְטִ֣יר הַמִּזְבֵּ֔חָה עַ֖ל אִשֵּׁ֣י יְהוָ֑ה חַטָּ֖את הִֽוא׃</w:t>
      </w:r>
    </w:p>
    <w:p w14:paraId="6438863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es zu dem Priester bringen; und der Priester soll davon seine Hand voll nehmen, das Gedächtnisteil desselben, und es auf dem Altar räuchern, auf den Feueropfern des Ewigen: Es ist ein Sündopfer.</w:t>
      </w:r>
    </w:p>
    <w:p w14:paraId="6782B01E"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5146828">
          <v:rect id="_x0000_i1121" style="width:0;height:1.5pt" o:hralign="center" o:hrstd="t" o:hr="t" fillcolor="#a0a0a0" stroked="f"/>
        </w:pict>
      </w:r>
    </w:p>
    <w:p w14:paraId="1BAB6690" w14:textId="5A79754D"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וֶהֱבִיאָהּ֮ אֶל־הַכֹּהֵן֒</w:t>
      </w:r>
      <w:r w:rsidRPr="00577688">
        <w:rPr>
          <w:rFonts w:eastAsia="Times New Roman" w:cs="Times New Roman"/>
          <w:rtl/>
          <w:lang w:eastAsia="de-DE"/>
        </w:rPr>
        <w:t xml:space="preserve"> </w:t>
      </w:r>
      <w:r w:rsidRPr="00577688">
        <w:rPr>
          <w:rFonts w:eastAsia="Times New Roman" w:cs="Times New Roman"/>
          <w:lang w:eastAsia="de-DE"/>
        </w:rPr>
        <w:t xml:space="preserve">(und er soll es zum Priester bringen) zeigt die Darbringung. </w:t>
      </w:r>
      <w:r w:rsidRPr="00577688">
        <w:rPr>
          <w:rFonts w:eastAsia="Times New Roman" w:cs="Times New Roman"/>
          <w:b/>
          <w:bCs/>
          <w:rtl/>
          <w:lang w:eastAsia="de-DE"/>
        </w:rPr>
        <w:t>והביאה</w:t>
      </w:r>
      <w:r w:rsidRPr="00577688">
        <w:rPr>
          <w:rFonts w:eastAsia="Times New Roman" w:cs="Times New Roman"/>
          <w:rtl/>
          <w:lang w:eastAsia="de-DE"/>
        </w:rPr>
        <w:t xml:space="preserve"> </w:t>
      </w:r>
      <w:r w:rsidRPr="00577688">
        <w:rPr>
          <w:rFonts w:eastAsia="Times New Roman" w:cs="Times New Roman"/>
          <w:lang w:eastAsia="de-DE"/>
        </w:rPr>
        <w:t xml:space="preserve">(und er soll es bringen) mit </w:t>
      </w:r>
      <w:r w:rsidR="00E35C31">
        <w:rPr>
          <w:rFonts w:eastAsia="Times New Roman" w:cs="Times New Roman"/>
          <w:lang w:eastAsia="de-DE"/>
        </w:rPr>
        <w:t>femininem</w:t>
      </w:r>
      <w:r w:rsidRPr="00577688">
        <w:rPr>
          <w:rFonts w:eastAsia="Times New Roman" w:cs="Times New Roman"/>
          <w:lang w:eastAsia="de-DE"/>
        </w:rPr>
        <w:t xml:space="preserve"> Suffix bezogen auf </w:t>
      </w:r>
      <w:r w:rsidRPr="00577688">
        <w:rPr>
          <w:rFonts w:eastAsia="Times New Roman" w:cs="Times New Roman"/>
          <w:b/>
          <w:bCs/>
          <w:rtl/>
          <w:lang w:eastAsia="de-DE"/>
        </w:rPr>
        <w:t>סלת</w:t>
      </w:r>
      <w:r w:rsidRPr="00577688">
        <w:rPr>
          <w:rFonts w:eastAsia="Times New Roman" w:cs="Times New Roman"/>
          <w:rtl/>
          <w:lang w:eastAsia="de-DE"/>
        </w:rPr>
        <w:t xml:space="preserve"> </w:t>
      </w:r>
      <w:r w:rsidRPr="00577688">
        <w:rPr>
          <w:rFonts w:eastAsia="Times New Roman" w:cs="Times New Roman"/>
          <w:lang w:eastAsia="de-DE"/>
        </w:rPr>
        <w:t xml:space="preserve">(Feinmehl), </w:t>
      </w:r>
      <w:r w:rsidRPr="00577688">
        <w:rPr>
          <w:rFonts w:eastAsia="Times New Roman" w:cs="Times New Roman"/>
          <w:b/>
          <w:bCs/>
          <w:rtl/>
          <w:lang w:eastAsia="de-DE"/>
        </w:rPr>
        <w:t>אל־הכהן</w:t>
      </w:r>
      <w:r w:rsidRPr="00577688">
        <w:rPr>
          <w:rFonts w:eastAsia="Times New Roman" w:cs="Times New Roman"/>
          <w:rtl/>
          <w:lang w:eastAsia="de-DE"/>
        </w:rPr>
        <w:t xml:space="preserve"> </w:t>
      </w:r>
      <w:r w:rsidRPr="00577688">
        <w:rPr>
          <w:rFonts w:eastAsia="Times New Roman" w:cs="Times New Roman"/>
          <w:lang w:eastAsia="de-DE"/>
        </w:rPr>
        <w:t>(zum Priester).</w:t>
      </w:r>
    </w:p>
    <w:p w14:paraId="198A58D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וְקָמַ֣ץ הַכֹּהֵ֣ן׀ מִ֠מֶּנָּה מְל֨וֹא קֻמְצֹ֜ו אֶת־אַזְכָּרָתָה֙</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davon seine Hand voll nehmen, ihr Gedächtnisteil) entspricht exakt der </w:t>
      </w:r>
      <w:r w:rsidRPr="00577688">
        <w:rPr>
          <w:rFonts w:eastAsia="Times New Roman" w:cs="Times New Roman"/>
          <w:b/>
          <w:bCs/>
          <w:rtl/>
          <w:lang w:eastAsia="de-DE"/>
        </w:rPr>
        <w:t>מנחה</w:t>
      </w:r>
      <w:r w:rsidRPr="00577688">
        <w:rPr>
          <w:rFonts w:eastAsia="Times New Roman" w:cs="Times New Roman"/>
          <w:lang w:eastAsia="de-DE"/>
        </w:rPr>
        <w:t xml:space="preserve">-Prozedur (2,2). </w:t>
      </w:r>
      <w:r w:rsidRPr="00577688">
        <w:rPr>
          <w:rFonts w:eastAsia="Times New Roman" w:cs="Times New Roman"/>
          <w:b/>
          <w:bCs/>
          <w:rtl/>
          <w:lang w:eastAsia="de-DE"/>
        </w:rPr>
        <w:t>קמץ</w:t>
      </w:r>
      <w:r w:rsidRPr="00577688">
        <w:rPr>
          <w:rFonts w:eastAsia="Times New Roman" w:cs="Times New Roman"/>
          <w:rtl/>
          <w:lang w:eastAsia="de-DE"/>
        </w:rPr>
        <w:t xml:space="preserve"> </w:t>
      </w:r>
      <w:r w:rsidRPr="00577688">
        <w:rPr>
          <w:rFonts w:eastAsia="Times New Roman" w:cs="Times New Roman"/>
          <w:lang w:eastAsia="de-DE"/>
        </w:rPr>
        <w:t xml:space="preserve">(eine Handvoll nehmen) im Qal-Perfekt mit Waw-Konsekutiv, </w:t>
      </w:r>
      <w:r w:rsidRPr="00577688">
        <w:rPr>
          <w:rFonts w:eastAsia="Times New Roman" w:cs="Times New Roman"/>
          <w:b/>
          <w:bCs/>
          <w:rtl/>
          <w:lang w:eastAsia="de-DE"/>
        </w:rPr>
        <w:t>ממנה מלוא קמצו</w:t>
      </w:r>
      <w:r w:rsidRPr="00577688">
        <w:rPr>
          <w:rFonts w:eastAsia="Times New Roman" w:cs="Times New Roman"/>
          <w:rtl/>
          <w:lang w:eastAsia="de-DE"/>
        </w:rPr>
        <w:t xml:space="preserve"> </w:t>
      </w:r>
      <w:r w:rsidRPr="00577688">
        <w:rPr>
          <w:rFonts w:eastAsia="Times New Roman" w:cs="Times New Roman"/>
          <w:lang w:eastAsia="de-DE"/>
        </w:rPr>
        <w:t xml:space="preserve">(davon die Fülle seiner Faust), </w:t>
      </w:r>
      <w:r w:rsidRPr="00577688">
        <w:rPr>
          <w:rFonts w:eastAsia="Times New Roman" w:cs="Times New Roman"/>
          <w:b/>
          <w:bCs/>
          <w:rtl/>
          <w:lang w:eastAsia="de-DE"/>
        </w:rPr>
        <w:t>את־אזכרתה</w:t>
      </w:r>
      <w:r w:rsidRPr="00577688">
        <w:rPr>
          <w:rFonts w:eastAsia="Times New Roman" w:cs="Times New Roman"/>
          <w:rtl/>
          <w:lang w:eastAsia="de-DE"/>
        </w:rPr>
        <w:t xml:space="preserve"> </w:t>
      </w:r>
      <w:r w:rsidRPr="00577688">
        <w:rPr>
          <w:rFonts w:eastAsia="Times New Roman" w:cs="Times New Roman"/>
          <w:lang w:eastAsia="de-DE"/>
        </w:rPr>
        <w:t>(ihr Gedächtnisteil).</w:t>
      </w:r>
    </w:p>
    <w:p w14:paraId="6B7FD2C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וְהִקְטִ֣יר הַמִּזְבֵּ֔חָה עַ֖ל אִשֵּׁ֣י יְהוָ֑ה חַטָּ֖את הִֽוא</w:t>
      </w:r>
      <w:r w:rsidRPr="00577688">
        <w:rPr>
          <w:rFonts w:eastAsia="Times New Roman" w:cs="Times New Roman"/>
          <w:rtl/>
          <w:lang w:eastAsia="de-DE"/>
        </w:rPr>
        <w:t xml:space="preserve"> </w:t>
      </w:r>
      <w:r w:rsidRPr="00577688">
        <w:rPr>
          <w:rFonts w:eastAsia="Times New Roman" w:cs="Times New Roman"/>
          <w:lang w:eastAsia="de-DE"/>
        </w:rPr>
        <w:t xml:space="preserve">(und er soll auf dem Altar räuchern, auf den Feueropfern JHWHs: es ist ein Sündopfer) entspricht 2,2.12, aber mit </w:t>
      </w:r>
      <w:r w:rsidRPr="00577688">
        <w:rPr>
          <w:rFonts w:eastAsia="Times New Roman" w:cs="Times New Roman"/>
          <w:b/>
          <w:bCs/>
          <w:rtl/>
          <w:lang w:eastAsia="de-DE"/>
        </w:rPr>
        <w:t>חטאת היא</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מנחה היא</w:t>
      </w:r>
      <w:r w:rsidRPr="00577688">
        <w:rPr>
          <w:rFonts w:eastAsia="Times New Roman" w:cs="Times New Roman"/>
          <w:lang w:eastAsia="de-DE"/>
        </w:rPr>
        <w:t xml:space="preserve">. </w:t>
      </w:r>
      <w:r w:rsidRPr="00577688">
        <w:rPr>
          <w:rFonts w:eastAsia="Times New Roman" w:cs="Times New Roman"/>
          <w:b/>
          <w:bCs/>
          <w:rtl/>
          <w:lang w:eastAsia="de-DE"/>
        </w:rPr>
        <w:t>הקטיר המזבחה</w:t>
      </w:r>
      <w:r w:rsidRPr="00577688">
        <w:rPr>
          <w:rFonts w:eastAsia="Times New Roman" w:cs="Times New Roman"/>
          <w:rtl/>
          <w:lang w:eastAsia="de-DE"/>
        </w:rPr>
        <w:t xml:space="preserve"> </w:t>
      </w:r>
      <w:r w:rsidRPr="00577688">
        <w:rPr>
          <w:rFonts w:eastAsia="Times New Roman" w:cs="Times New Roman"/>
          <w:lang w:eastAsia="de-DE"/>
        </w:rPr>
        <w:t xml:space="preserve">(auf dem Altar räuchern), </w:t>
      </w:r>
      <w:r w:rsidRPr="00577688">
        <w:rPr>
          <w:rFonts w:eastAsia="Times New Roman" w:cs="Times New Roman"/>
          <w:b/>
          <w:bCs/>
          <w:rtl/>
          <w:lang w:eastAsia="de-DE"/>
        </w:rPr>
        <w:t>על אשי יהוה</w:t>
      </w:r>
      <w:r w:rsidRPr="00577688">
        <w:rPr>
          <w:rFonts w:eastAsia="Times New Roman" w:cs="Times New Roman"/>
          <w:rtl/>
          <w:lang w:eastAsia="de-DE"/>
        </w:rPr>
        <w:t xml:space="preserve"> </w:t>
      </w:r>
      <w:r w:rsidRPr="00577688">
        <w:rPr>
          <w:rFonts w:eastAsia="Times New Roman" w:cs="Times New Roman"/>
          <w:lang w:eastAsia="de-DE"/>
        </w:rPr>
        <w:t xml:space="preserve">(auf den Feueropfern JHWHs), </w:t>
      </w:r>
      <w:r w:rsidRPr="00577688">
        <w:rPr>
          <w:rFonts w:eastAsia="Times New Roman" w:cs="Times New Roman"/>
          <w:b/>
          <w:bCs/>
          <w:rtl/>
          <w:lang w:eastAsia="de-DE"/>
        </w:rPr>
        <w:t>חטאת היא</w:t>
      </w:r>
      <w:r w:rsidRPr="00577688">
        <w:rPr>
          <w:rFonts w:eastAsia="Times New Roman" w:cs="Times New Roman"/>
          <w:rtl/>
          <w:lang w:eastAsia="de-DE"/>
        </w:rPr>
        <w:t xml:space="preserve"> </w:t>
      </w:r>
      <w:r w:rsidRPr="00577688">
        <w:rPr>
          <w:rFonts w:eastAsia="Times New Roman" w:cs="Times New Roman"/>
          <w:lang w:eastAsia="de-DE"/>
        </w:rPr>
        <w:t>(es ist ein Sündopfer).</w:t>
      </w:r>
    </w:p>
    <w:p w14:paraId="21C4FFF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קמץ...מלוא קמצו את־אזכרתה</w:t>
      </w:r>
      <w:r w:rsidRPr="00577688">
        <w:rPr>
          <w:rFonts w:eastAsia="Times New Roman" w:cs="Times New Roman"/>
          <w:rtl/>
          <w:lang w:eastAsia="de-DE"/>
        </w:rPr>
        <w:t xml:space="preserve"> </w:t>
      </w:r>
      <w:r w:rsidRPr="00577688">
        <w:rPr>
          <w:rFonts w:eastAsia="Times New Roman" w:cs="Times New Roman"/>
          <w:lang w:eastAsia="de-DE"/>
        </w:rPr>
        <w:t xml:space="preserve">zeigt die identische Technik wie bei </w:t>
      </w:r>
      <w:r w:rsidRPr="00577688">
        <w:rPr>
          <w:rFonts w:eastAsia="Times New Roman" w:cs="Times New Roman"/>
          <w:b/>
          <w:bCs/>
          <w:rtl/>
          <w:lang w:eastAsia="de-DE"/>
        </w:rPr>
        <w:t>מנחה</w:t>
      </w:r>
      <w:r w:rsidRPr="00577688">
        <w:rPr>
          <w:rFonts w:eastAsia="Times New Roman" w:cs="Times New Roman"/>
          <w:lang w:eastAsia="de-DE"/>
        </w:rPr>
        <w:t xml:space="preserve">: eine Handvoll als </w:t>
      </w:r>
      <w:r w:rsidRPr="00577688">
        <w:rPr>
          <w:rFonts w:eastAsia="Times New Roman" w:cs="Times New Roman"/>
          <w:b/>
          <w:bCs/>
          <w:rtl/>
          <w:lang w:eastAsia="de-DE"/>
        </w:rPr>
        <w:t>אזכרה</w:t>
      </w:r>
      <w:r w:rsidRPr="00577688">
        <w:rPr>
          <w:rFonts w:eastAsia="Times New Roman" w:cs="Times New Roman"/>
          <w:rtl/>
          <w:lang w:eastAsia="de-DE"/>
        </w:rPr>
        <w:t xml:space="preserve"> </w:t>
      </w:r>
      <w:r w:rsidRPr="00577688">
        <w:rPr>
          <w:rFonts w:eastAsia="Times New Roman" w:cs="Times New Roman"/>
          <w:lang w:eastAsia="de-DE"/>
        </w:rPr>
        <w:t xml:space="preserve">(Gedächtnisteil) für Gott, der Rest bleibt beim Priester. </w:t>
      </w:r>
      <w:r w:rsidRPr="00577688">
        <w:rPr>
          <w:rFonts w:eastAsia="Times New Roman" w:cs="Times New Roman"/>
          <w:b/>
          <w:bCs/>
          <w:rtl/>
          <w:lang w:eastAsia="de-DE"/>
        </w:rPr>
        <w:t>על אשי יהוה</w:t>
      </w:r>
      <w:r w:rsidRPr="00577688">
        <w:rPr>
          <w:rFonts w:eastAsia="Times New Roman" w:cs="Times New Roman"/>
          <w:rtl/>
          <w:lang w:eastAsia="de-DE"/>
        </w:rPr>
        <w:t xml:space="preserve"> </w:t>
      </w:r>
      <w:r w:rsidRPr="00577688">
        <w:rPr>
          <w:rFonts w:eastAsia="Times New Roman" w:cs="Times New Roman"/>
          <w:lang w:eastAsia="de-DE"/>
        </w:rPr>
        <w:t xml:space="preserve">betont, dass die </w:t>
      </w:r>
      <w:r w:rsidRPr="00577688">
        <w:rPr>
          <w:rFonts w:eastAsia="Times New Roman" w:cs="Times New Roman"/>
          <w:b/>
          <w:bCs/>
          <w:rtl/>
          <w:lang w:eastAsia="de-DE"/>
        </w:rPr>
        <w:t>אזכרה</w:t>
      </w:r>
      <w:r w:rsidRPr="00577688">
        <w:rPr>
          <w:rFonts w:eastAsia="Times New Roman" w:cs="Times New Roman"/>
          <w:rtl/>
          <w:lang w:eastAsia="de-DE"/>
        </w:rPr>
        <w:t xml:space="preserve"> </w:t>
      </w:r>
      <w:r w:rsidRPr="00577688">
        <w:rPr>
          <w:rFonts w:eastAsia="Times New Roman" w:cs="Times New Roman"/>
          <w:lang w:eastAsia="de-DE"/>
        </w:rPr>
        <w:t>auf bereits brennenden Opfern verbrannt wird.</w:t>
      </w:r>
    </w:p>
    <w:p w14:paraId="1D9D910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חטאת היא</w:t>
      </w:r>
      <w:r w:rsidRPr="00577688">
        <w:rPr>
          <w:rFonts w:eastAsia="Times New Roman" w:cs="Times New Roman"/>
          <w:rtl/>
          <w:lang w:eastAsia="de-DE"/>
        </w:rPr>
        <w:t xml:space="preserve"> </w:t>
      </w:r>
      <w:r w:rsidRPr="00577688">
        <w:rPr>
          <w:rFonts w:eastAsia="Times New Roman" w:cs="Times New Roman"/>
          <w:lang w:eastAsia="de-DE"/>
        </w:rPr>
        <w:t xml:space="preserve">statt </w:t>
      </w:r>
      <w:r w:rsidRPr="00577688">
        <w:rPr>
          <w:rFonts w:eastAsia="Times New Roman" w:cs="Times New Roman"/>
          <w:b/>
          <w:bCs/>
          <w:rtl/>
          <w:lang w:eastAsia="de-DE"/>
        </w:rPr>
        <w:t>מנחה היא</w:t>
      </w:r>
      <w:r w:rsidRPr="00577688">
        <w:rPr>
          <w:rFonts w:eastAsia="Times New Roman" w:cs="Times New Roman"/>
          <w:rtl/>
          <w:lang w:eastAsia="de-DE"/>
        </w:rPr>
        <w:t xml:space="preserve"> </w:t>
      </w:r>
      <w:r w:rsidRPr="00577688">
        <w:rPr>
          <w:rFonts w:eastAsia="Times New Roman" w:cs="Times New Roman"/>
          <w:lang w:eastAsia="de-DE"/>
        </w:rPr>
        <w:t xml:space="preserve">klassifiziert dieses </w:t>
      </w:r>
      <w:proofErr w:type="spellStart"/>
      <w:r w:rsidRPr="00577688">
        <w:rPr>
          <w:rFonts w:eastAsia="Times New Roman" w:cs="Times New Roman"/>
          <w:lang w:eastAsia="de-DE"/>
        </w:rPr>
        <w:t>Mählopfer</w:t>
      </w:r>
      <w:proofErr w:type="spellEnd"/>
      <w:r w:rsidRPr="00577688">
        <w:rPr>
          <w:rFonts w:eastAsia="Times New Roman" w:cs="Times New Roman"/>
          <w:lang w:eastAsia="de-DE"/>
        </w:rPr>
        <w:t xml:space="preserve"> als </w:t>
      </w:r>
      <w:r w:rsidRPr="00577688">
        <w:rPr>
          <w:rFonts w:eastAsia="Times New Roman" w:cs="Times New Roman"/>
          <w:b/>
          <w:bCs/>
          <w:rtl/>
          <w:lang w:eastAsia="de-DE"/>
        </w:rPr>
        <w:t>חטאת</w:t>
      </w:r>
      <w:r w:rsidRPr="00577688">
        <w:rPr>
          <w:rFonts w:eastAsia="Times New Roman" w:cs="Times New Roman"/>
          <w:lang w:eastAsia="de-DE"/>
        </w:rPr>
        <w:t xml:space="preserve">, nicht als </w:t>
      </w:r>
      <w:r w:rsidRPr="00577688">
        <w:rPr>
          <w:rFonts w:eastAsia="Times New Roman" w:cs="Times New Roman"/>
          <w:b/>
          <w:bCs/>
          <w:rtl/>
          <w:lang w:eastAsia="de-DE"/>
        </w:rPr>
        <w:t>מנחה</w:t>
      </w:r>
      <w:r w:rsidRPr="00577688">
        <w:rPr>
          <w:rFonts w:eastAsia="Times New Roman" w:cs="Times New Roman"/>
          <w:lang w:eastAsia="de-DE"/>
        </w:rPr>
        <w:t>, trotz identischer Behandlung. Die theologische Funktion (Sühne vs. Gabe) bestimmt die Klassifikation.</w:t>
      </w:r>
    </w:p>
    <w:p w14:paraId="40D0DC7B" w14:textId="0D7DEBD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B3655B">
        <w:t xml:space="preserve">fügt </w:t>
      </w:r>
      <w:proofErr w:type="spellStart"/>
      <w:r w:rsidR="00B3655B">
        <w:t>τῶν</w:t>
      </w:r>
      <w:proofErr w:type="spellEnd"/>
      <w:r w:rsidR="00B3655B">
        <w:t xml:space="preserve"> </w:t>
      </w:r>
      <w:proofErr w:type="spellStart"/>
      <w:r w:rsidR="00B3655B">
        <w:t>ὁλοκ</w:t>
      </w:r>
      <w:proofErr w:type="spellEnd"/>
      <w:r w:rsidR="00B3655B">
        <w:t xml:space="preserve">αυτωμάτων (der </w:t>
      </w:r>
      <w:r w:rsidR="00D61FEC">
        <w:t>Aufsteigeopfer</w:t>
      </w:r>
      <w:r w:rsidR="00B3655B">
        <w:t xml:space="preserve">) nach </w:t>
      </w:r>
      <w:proofErr w:type="spellStart"/>
      <w:r w:rsidR="00B3655B">
        <w:t>θυσι</w:t>
      </w:r>
      <w:proofErr w:type="spellEnd"/>
      <w:r w:rsidR="00B3655B">
        <w:t xml:space="preserve">αστήριον hinzu, während das Hebräische </w:t>
      </w:r>
      <w:r w:rsidR="00B3655B">
        <w:rPr>
          <w:rtl/>
        </w:rPr>
        <w:t>על אשי יהוה</w:t>
      </w:r>
      <w:r w:rsidR="00B3655B">
        <w:t xml:space="preserve"> (auf die Feueropfer YHWHs) hat - eine interpretierende Ergänzung.</w:t>
      </w:r>
    </w:p>
    <w:p w14:paraId="27A743F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drei koordinierte Hauptsätze: Verb + Objekt + Adverbialbestimmung // Verb + Subjekt + komplexe Objektbeschreibung // Verb + Adverbialbestimmung + Präpositionalphrase + Klassifikation. Die Struktur entspricht </w:t>
      </w:r>
      <w:r w:rsidRPr="00577688">
        <w:rPr>
          <w:rFonts w:eastAsia="Times New Roman" w:cs="Times New Roman"/>
          <w:b/>
          <w:bCs/>
          <w:rtl/>
          <w:lang w:eastAsia="de-DE"/>
        </w:rPr>
        <w:t>מנחה</w:t>
      </w:r>
      <w:r w:rsidRPr="00577688">
        <w:rPr>
          <w:rFonts w:eastAsia="Times New Roman" w:cs="Times New Roman"/>
          <w:lang w:eastAsia="de-DE"/>
        </w:rPr>
        <w:t xml:space="preserve">-Verfahren mit </w:t>
      </w:r>
      <w:r w:rsidRPr="00577688">
        <w:rPr>
          <w:rFonts w:eastAsia="Times New Roman" w:cs="Times New Roman"/>
          <w:b/>
          <w:bCs/>
          <w:rtl/>
          <w:lang w:eastAsia="de-DE"/>
        </w:rPr>
        <w:t>חטאת</w:t>
      </w:r>
      <w:r w:rsidRPr="00577688">
        <w:rPr>
          <w:rFonts w:eastAsia="Times New Roman" w:cs="Times New Roman"/>
          <w:lang w:eastAsia="de-DE"/>
        </w:rPr>
        <w:t>-Klassifikation.</w:t>
      </w:r>
    </w:p>
    <w:p w14:paraId="56E6EFB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zeigt die </w:t>
      </w:r>
      <w:r w:rsidRPr="00577688">
        <w:rPr>
          <w:rFonts w:eastAsia="Times New Roman" w:cs="Times New Roman"/>
          <w:b/>
          <w:bCs/>
          <w:rtl/>
          <w:lang w:eastAsia="de-DE"/>
        </w:rPr>
        <w:t>מנחה</w:t>
      </w:r>
      <w:r w:rsidRPr="00577688">
        <w:rPr>
          <w:rFonts w:eastAsia="Times New Roman" w:cs="Times New Roman"/>
          <w:lang w:eastAsia="de-DE"/>
        </w:rPr>
        <w:t>-identische Behandlung von Mehl-</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קמיצה</w:t>
      </w:r>
      <w:r w:rsidRPr="00577688">
        <w:rPr>
          <w:rFonts w:eastAsia="Times New Roman" w:cs="Times New Roman"/>
          <w:rtl/>
          <w:lang w:eastAsia="de-DE"/>
        </w:rPr>
        <w:t xml:space="preserve"> </w:t>
      </w:r>
      <w:r w:rsidRPr="00577688">
        <w:rPr>
          <w:rFonts w:eastAsia="Times New Roman" w:cs="Times New Roman"/>
          <w:lang w:eastAsia="de-DE"/>
        </w:rPr>
        <w:t xml:space="preserve">(Handvoll-Abnahme) als </w:t>
      </w:r>
      <w:r w:rsidRPr="00577688">
        <w:rPr>
          <w:rFonts w:eastAsia="Times New Roman" w:cs="Times New Roman"/>
          <w:b/>
          <w:bCs/>
          <w:rtl/>
          <w:lang w:eastAsia="de-DE"/>
        </w:rPr>
        <w:t>אזכרה</w:t>
      </w:r>
      <w:r w:rsidRPr="00577688">
        <w:rPr>
          <w:rFonts w:eastAsia="Times New Roman" w:cs="Times New Roman"/>
          <w:rtl/>
          <w:lang w:eastAsia="de-DE"/>
        </w:rPr>
        <w:t xml:space="preserve"> </w:t>
      </w:r>
      <w:r w:rsidRPr="00577688">
        <w:rPr>
          <w:rFonts w:eastAsia="Times New Roman" w:cs="Times New Roman"/>
          <w:lang w:eastAsia="de-DE"/>
        </w:rPr>
        <w:t>und Verbrennung auf dem Altar.</w:t>
      </w:r>
    </w:p>
    <w:p w14:paraId="2BA7B0C2"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5,13</w:t>
      </w:r>
    </w:p>
    <w:p w14:paraId="5B34C50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וְכִפֶּר֩ עָלָ֨יו הַכֹּהֵ֜ן עַל־חַטָּאתוֹ֧ אֲשֶׁר־חָטָ֛א מֵֽאַחַ֥ת מֵאֵ֖לֶּה וְנִסְלַ֣ח לוֹ֑ וְהָיְתָ֥ה לַכֹּהֵ֖ן כַּמִּנְחָֽה׃</w:t>
      </w:r>
    </w:p>
    <w:p w14:paraId="1276E95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so soll der Priester Sühne für ihn erwirken wegen seiner Sünde, die er begangen hat in einem dieser Fälle, und es wird ihm vergeben werden; und es soll dem Priester gehören wie das Speiseopfer.</w:t>
      </w:r>
    </w:p>
    <w:p w14:paraId="76E1B179"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CAA0C16">
          <v:rect id="_x0000_i1122" style="width:0;height:1.5pt" o:hralign="center" o:hrstd="t" o:hr="t" fillcolor="#a0a0a0" stroked="f"/>
        </w:pict>
      </w:r>
    </w:p>
    <w:p w14:paraId="4B62621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וְכִפֶּר֩ עָלָ֨יו הַכֹּהֵ֜ן עַל־חַטָּאתוֹ֧ אֲשֶׁר־חָטָ֛א מֵֽאַחַ֥ת מֵאֵ֖לֶּה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wegen seiner Sünde, die er begangen hat in einem von diesen, erwirken, und es wird ihm vergeben werden) ist die </w:t>
      </w:r>
      <w:r w:rsidRPr="00577688">
        <w:rPr>
          <w:rFonts w:eastAsia="Times New Roman" w:cs="Times New Roman"/>
          <w:b/>
          <w:bCs/>
          <w:rtl/>
          <w:lang w:eastAsia="de-DE"/>
        </w:rPr>
        <w:t>כפרה</w:t>
      </w:r>
      <w:r w:rsidRPr="00577688">
        <w:rPr>
          <w:rFonts w:eastAsia="Times New Roman" w:cs="Times New Roman"/>
          <w:lang w:eastAsia="de-DE"/>
        </w:rPr>
        <w:t xml:space="preserve">-Formel mit Rückbezug auf die vier Kategorien. </w:t>
      </w:r>
      <w:r w:rsidRPr="00577688">
        <w:rPr>
          <w:rFonts w:eastAsia="Times New Roman" w:cs="Times New Roman"/>
          <w:b/>
          <w:bCs/>
          <w:rtl/>
          <w:lang w:eastAsia="de-DE"/>
        </w:rPr>
        <w:t>וכפר עליו הכהן</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erwirken), </w:t>
      </w:r>
      <w:r w:rsidRPr="00577688">
        <w:rPr>
          <w:rFonts w:eastAsia="Times New Roman" w:cs="Times New Roman"/>
          <w:b/>
          <w:bCs/>
          <w:rtl/>
          <w:lang w:eastAsia="de-DE"/>
        </w:rPr>
        <w:t>על־חטאתו אשר־חטא</w:t>
      </w:r>
      <w:r w:rsidRPr="00577688">
        <w:rPr>
          <w:rFonts w:eastAsia="Times New Roman" w:cs="Times New Roman"/>
          <w:rtl/>
          <w:lang w:eastAsia="de-DE"/>
        </w:rPr>
        <w:t xml:space="preserve"> </w:t>
      </w:r>
      <w:r w:rsidRPr="00577688">
        <w:rPr>
          <w:rFonts w:eastAsia="Times New Roman" w:cs="Times New Roman"/>
          <w:lang w:eastAsia="de-DE"/>
        </w:rPr>
        <w:t xml:space="preserve">(wegen seiner Sünde, die er gesündigt hat), </w:t>
      </w:r>
      <w:r w:rsidRPr="00577688">
        <w:rPr>
          <w:rFonts w:eastAsia="Times New Roman" w:cs="Times New Roman"/>
          <w:b/>
          <w:bCs/>
          <w:rtl/>
          <w:lang w:eastAsia="de-DE"/>
        </w:rPr>
        <w:t>מאחת מאלה</w:t>
      </w:r>
      <w:r w:rsidRPr="00577688">
        <w:rPr>
          <w:rFonts w:eastAsia="Times New Roman" w:cs="Times New Roman"/>
          <w:rtl/>
          <w:lang w:eastAsia="de-DE"/>
        </w:rPr>
        <w:t xml:space="preserve"> </w:t>
      </w:r>
      <w:r w:rsidRPr="00577688">
        <w:rPr>
          <w:rFonts w:eastAsia="Times New Roman" w:cs="Times New Roman"/>
          <w:lang w:eastAsia="de-DE"/>
        </w:rPr>
        <w:t>(in einem von diesen) bezieht sich auf V. 1-4.</w:t>
      </w:r>
    </w:p>
    <w:p w14:paraId="185B202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וְהָיְתָ֥ה לַכֹּהֵ֖ן כַּמִּנְחָֽה</w:t>
      </w:r>
      <w:r w:rsidRPr="00577688">
        <w:rPr>
          <w:rFonts w:eastAsia="Times New Roman" w:cs="Times New Roman"/>
          <w:rtl/>
          <w:lang w:eastAsia="de-DE"/>
        </w:rPr>
        <w:t xml:space="preserve"> </w:t>
      </w:r>
      <w:r w:rsidRPr="00577688">
        <w:rPr>
          <w:rFonts w:eastAsia="Times New Roman" w:cs="Times New Roman"/>
          <w:lang w:eastAsia="de-DE"/>
        </w:rPr>
        <w:t xml:space="preserve">(und es soll dem Priester gehören wie das Speiseopfer) regelt die Verwendung des verbleibenden Mehls. </w:t>
      </w:r>
      <w:r w:rsidRPr="00577688">
        <w:rPr>
          <w:rFonts w:eastAsia="Times New Roman" w:cs="Times New Roman"/>
          <w:b/>
          <w:bCs/>
          <w:rtl/>
          <w:lang w:eastAsia="de-DE"/>
        </w:rPr>
        <w:t>והיתה לכהן</w:t>
      </w:r>
      <w:r w:rsidRPr="00577688">
        <w:rPr>
          <w:rFonts w:eastAsia="Times New Roman" w:cs="Times New Roman"/>
          <w:rtl/>
          <w:lang w:eastAsia="de-DE"/>
        </w:rPr>
        <w:t xml:space="preserve"> </w:t>
      </w:r>
      <w:r w:rsidRPr="00577688">
        <w:rPr>
          <w:rFonts w:eastAsia="Times New Roman" w:cs="Times New Roman"/>
          <w:lang w:eastAsia="de-DE"/>
        </w:rPr>
        <w:t xml:space="preserve">(und es soll dem Priester gehören), </w:t>
      </w:r>
      <w:r w:rsidRPr="00577688">
        <w:rPr>
          <w:rFonts w:eastAsia="Times New Roman" w:cs="Times New Roman"/>
          <w:b/>
          <w:bCs/>
          <w:rtl/>
          <w:lang w:eastAsia="de-DE"/>
        </w:rPr>
        <w:t>כמנחה</w:t>
      </w:r>
      <w:r w:rsidRPr="00577688">
        <w:rPr>
          <w:rFonts w:eastAsia="Times New Roman" w:cs="Times New Roman"/>
          <w:rtl/>
          <w:lang w:eastAsia="de-DE"/>
        </w:rPr>
        <w:t xml:space="preserve"> </w:t>
      </w:r>
      <w:r w:rsidRPr="00577688">
        <w:rPr>
          <w:rFonts w:eastAsia="Times New Roman" w:cs="Times New Roman"/>
          <w:lang w:eastAsia="de-DE"/>
        </w:rPr>
        <w:t xml:space="preserve">(wie das Speiseopfer) verweist auf 2,3.10: der Rest nach der </w:t>
      </w:r>
      <w:r w:rsidRPr="00577688">
        <w:rPr>
          <w:rFonts w:eastAsia="Times New Roman" w:cs="Times New Roman"/>
          <w:b/>
          <w:bCs/>
          <w:rtl/>
          <w:lang w:eastAsia="de-DE"/>
        </w:rPr>
        <w:t>אזכרה</w:t>
      </w:r>
      <w:r w:rsidRPr="00577688">
        <w:rPr>
          <w:rFonts w:eastAsia="Times New Roman" w:cs="Times New Roman"/>
          <w:rtl/>
          <w:lang w:eastAsia="de-DE"/>
        </w:rPr>
        <w:t xml:space="preserve"> </w:t>
      </w:r>
      <w:r w:rsidRPr="00577688">
        <w:rPr>
          <w:rFonts w:eastAsia="Times New Roman" w:cs="Times New Roman"/>
          <w:lang w:eastAsia="de-DE"/>
        </w:rPr>
        <w:t>wird priesterliche Nahrung.</w:t>
      </w:r>
    </w:p>
    <w:p w14:paraId="7AECFFF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מאחת מאלה</w:t>
      </w:r>
      <w:r w:rsidRPr="00577688">
        <w:rPr>
          <w:rFonts w:eastAsia="Times New Roman" w:cs="Times New Roman"/>
          <w:rtl/>
          <w:lang w:eastAsia="de-DE"/>
        </w:rPr>
        <w:t xml:space="preserve"> </w:t>
      </w:r>
      <w:r w:rsidRPr="00577688">
        <w:rPr>
          <w:rFonts w:eastAsia="Times New Roman" w:cs="Times New Roman"/>
          <w:lang w:eastAsia="de-DE"/>
        </w:rPr>
        <w:t xml:space="preserve">(in einem von diesen) fasst die vier spezifischen </w:t>
      </w:r>
      <w:r w:rsidRPr="00577688">
        <w:rPr>
          <w:rFonts w:eastAsia="Times New Roman" w:cs="Times New Roman"/>
          <w:b/>
          <w:bCs/>
          <w:rtl/>
          <w:lang w:eastAsia="de-DE"/>
        </w:rPr>
        <w:t>חטאת</w:t>
      </w:r>
      <w:r w:rsidRPr="00577688">
        <w:rPr>
          <w:rFonts w:eastAsia="Times New Roman" w:cs="Times New Roman"/>
          <w:lang w:eastAsia="de-DE"/>
        </w:rPr>
        <w:t>-Kategorien von V. 1-4 zusammen und zeigt, dass alle durch dasselbe abgestufte Opfersystem (Kleinvieh/Vögel/Mehl) gesühnt werden können.</w:t>
      </w:r>
    </w:p>
    <w:p w14:paraId="7124560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כמנחה</w:t>
      </w:r>
      <w:r w:rsidRPr="00577688">
        <w:rPr>
          <w:rFonts w:eastAsia="Times New Roman" w:cs="Times New Roman"/>
          <w:rtl/>
          <w:lang w:eastAsia="de-DE"/>
        </w:rPr>
        <w:t xml:space="preserve"> </w:t>
      </w:r>
      <w:r w:rsidRPr="00577688">
        <w:rPr>
          <w:rFonts w:eastAsia="Times New Roman" w:cs="Times New Roman"/>
          <w:lang w:eastAsia="de-DE"/>
        </w:rPr>
        <w:t xml:space="preserve">(wie das Speiseopfer) etabliert identische Behandlung des verbleibenden Mehls: </w:t>
      </w:r>
      <w:r w:rsidRPr="00577688">
        <w:rPr>
          <w:rFonts w:eastAsia="Times New Roman" w:cs="Times New Roman"/>
          <w:b/>
          <w:bCs/>
          <w:rtl/>
          <w:lang w:eastAsia="de-DE"/>
        </w:rPr>
        <w:t>קדש קדשים</w:t>
      </w:r>
      <w:r w:rsidRPr="00577688">
        <w:rPr>
          <w:rFonts w:eastAsia="Times New Roman" w:cs="Times New Roman"/>
          <w:rtl/>
          <w:lang w:eastAsia="de-DE"/>
        </w:rPr>
        <w:t xml:space="preserve"> </w:t>
      </w:r>
      <w:r w:rsidRPr="00577688">
        <w:rPr>
          <w:rFonts w:eastAsia="Times New Roman" w:cs="Times New Roman"/>
          <w:lang w:eastAsia="de-DE"/>
        </w:rPr>
        <w:t xml:space="preserve">(hochheilig), nur für männliche Priester, nur im heiligen Bereich verzehrbar. Trotz </w:t>
      </w:r>
      <w:r w:rsidRPr="00577688">
        <w:rPr>
          <w:rFonts w:eastAsia="Times New Roman" w:cs="Times New Roman"/>
          <w:b/>
          <w:bCs/>
          <w:rtl/>
          <w:lang w:eastAsia="de-DE"/>
        </w:rPr>
        <w:t>חטאת</w:t>
      </w:r>
      <w:r w:rsidRPr="00577688">
        <w:rPr>
          <w:rFonts w:eastAsia="Times New Roman" w:cs="Times New Roman"/>
          <w:lang w:eastAsia="de-DE"/>
        </w:rPr>
        <w:t xml:space="preserve">-Klassifikation gelten </w:t>
      </w:r>
      <w:r w:rsidRPr="00577688">
        <w:rPr>
          <w:rFonts w:eastAsia="Times New Roman" w:cs="Times New Roman"/>
          <w:b/>
          <w:bCs/>
          <w:rtl/>
          <w:lang w:eastAsia="de-DE"/>
        </w:rPr>
        <w:t>מנחה</w:t>
      </w:r>
      <w:r w:rsidRPr="00577688">
        <w:rPr>
          <w:rFonts w:eastAsia="Times New Roman" w:cs="Times New Roman"/>
          <w:lang w:eastAsia="de-DE"/>
        </w:rPr>
        <w:t>-Verzehrregeln.</w:t>
      </w:r>
    </w:p>
    <w:p w14:paraId="1A047C3F" w14:textId="1B1DE8E6"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LXX</w:t>
      </w:r>
      <w:r w:rsidRPr="00577688">
        <w:rPr>
          <w:rFonts w:eastAsia="Times New Roman" w:cs="Times New Roman"/>
          <w:lang w:eastAsia="de-DE"/>
        </w:rPr>
        <w:t xml:space="preserve"> </w:t>
      </w:r>
      <w:r w:rsidR="00B3655B">
        <w:t xml:space="preserve">übersetzt </w:t>
      </w:r>
      <w:r w:rsidR="00B3655B">
        <w:rPr>
          <w:rtl/>
        </w:rPr>
        <w:t>כמנחה</w:t>
      </w:r>
      <w:r w:rsidR="00B3655B">
        <w:t xml:space="preserve"> (</w:t>
      </w:r>
      <w:proofErr w:type="spellStart"/>
      <w:r w:rsidR="00B3655B">
        <w:t>kamincha</w:t>
      </w:r>
      <w:proofErr w:type="spellEnd"/>
      <w:r w:rsidR="00B3655B">
        <w:t xml:space="preserve"> - "wie ein Speisopfer") als </w:t>
      </w:r>
      <w:proofErr w:type="spellStart"/>
      <w:r w:rsidR="00B3655B">
        <w:t>ὡς</w:t>
      </w:r>
      <w:proofErr w:type="spellEnd"/>
      <w:r w:rsidR="00B3655B">
        <w:t xml:space="preserve"> ἡ </w:t>
      </w:r>
      <w:proofErr w:type="spellStart"/>
      <w:r w:rsidR="00B3655B">
        <w:t>θυσί</w:t>
      </w:r>
      <w:proofErr w:type="spellEnd"/>
      <w:r w:rsidR="00B3655B">
        <w:t xml:space="preserve">α </w:t>
      </w:r>
      <w:proofErr w:type="spellStart"/>
      <w:r w:rsidR="00B3655B">
        <w:t>τῆς</w:t>
      </w:r>
      <w:proofErr w:type="spellEnd"/>
      <w:r w:rsidR="00B3655B">
        <w:t xml:space="preserve"> </w:t>
      </w:r>
      <w:proofErr w:type="spellStart"/>
      <w:r w:rsidR="00B3655B">
        <w:t>σεμιδάλεως</w:t>
      </w:r>
      <w:proofErr w:type="spellEnd"/>
      <w:r w:rsidR="00B3655B">
        <w:t xml:space="preserve"> (wie das Opfer des Feinmehls), was spezifischer ist.</w:t>
      </w:r>
    </w:p>
    <w:p w14:paraId="391F378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erweiterte </w:t>
      </w:r>
      <w:r w:rsidRPr="00577688">
        <w:rPr>
          <w:rFonts w:eastAsia="Times New Roman" w:cs="Times New Roman"/>
          <w:b/>
          <w:bCs/>
          <w:rtl/>
          <w:lang w:eastAsia="de-DE"/>
        </w:rPr>
        <w:t>כפרה</w:t>
      </w:r>
      <w:r w:rsidRPr="00577688">
        <w:rPr>
          <w:rFonts w:eastAsia="Times New Roman" w:cs="Times New Roman"/>
          <w:lang w:eastAsia="de-DE"/>
        </w:rPr>
        <w:t xml:space="preserve">-Formel mit Rückbezug // Besitzaussage mit Analogie. Die Struktur schließt die abgestuften </w:t>
      </w:r>
      <w:r w:rsidRPr="00577688">
        <w:rPr>
          <w:rFonts w:eastAsia="Times New Roman" w:cs="Times New Roman"/>
          <w:b/>
          <w:bCs/>
          <w:rtl/>
          <w:lang w:eastAsia="de-DE"/>
        </w:rPr>
        <w:t>חטאת</w:t>
      </w:r>
      <w:r w:rsidRPr="00577688">
        <w:rPr>
          <w:rFonts w:eastAsia="Times New Roman" w:cs="Times New Roman"/>
          <w:lang w:eastAsia="de-DE"/>
        </w:rPr>
        <w:t>-Bestimmungen ab und regelt die priesterlichen Anteile.</w:t>
      </w:r>
    </w:p>
    <w:p w14:paraId="7DA3250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schließt die abgestuften </w:t>
      </w:r>
      <w:r w:rsidRPr="00577688">
        <w:rPr>
          <w:rFonts w:eastAsia="Times New Roman" w:cs="Times New Roman"/>
          <w:b/>
          <w:bCs/>
          <w:rtl/>
          <w:lang w:eastAsia="de-DE"/>
        </w:rPr>
        <w:t>חטאת</w:t>
      </w:r>
      <w:r w:rsidRPr="00577688">
        <w:rPr>
          <w:rFonts w:eastAsia="Times New Roman" w:cs="Times New Roman"/>
          <w:lang w:eastAsia="de-DE"/>
        </w:rPr>
        <w:t>-Bestimmungen für die vier besonderen Vergehen ab: je nach finanzieller Leistungsfähigkeit Kleinvieh, Vögel oder Mehl, alle mit derselben Sühnwirkung.</w:t>
      </w:r>
    </w:p>
    <w:p w14:paraId="76D0E465"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5,14</w:t>
      </w:r>
    </w:p>
    <w:p w14:paraId="46D6E8F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וַיְדַבֵּ֥ר יְהוָ֖ה אֶל־מֹשֶׁ֥ה לֵּאמֹֽר׃</w:t>
      </w:r>
    </w:p>
    <w:p w14:paraId="3DB3D8F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Ewige redete zu Mosche, sagend:</w:t>
      </w:r>
    </w:p>
    <w:p w14:paraId="379867E2"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29E7998">
          <v:rect id="_x0000_i1123" style="width:0;height:1.5pt" o:hralign="center" o:hrstd="t" o:hr="t" fillcolor="#a0a0a0" stroked="f"/>
        </w:pict>
      </w:r>
    </w:p>
    <w:p w14:paraId="6CD61A3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וַיְדַבֵּ֥ר יְהוָ֖ה אֶל־מֹשֶׁ֥ה לֵּאמֹֽר</w:t>
      </w:r>
      <w:r w:rsidRPr="00577688">
        <w:rPr>
          <w:rFonts w:eastAsia="Times New Roman" w:cs="Times New Roman"/>
          <w:rtl/>
          <w:lang w:eastAsia="de-DE"/>
        </w:rPr>
        <w:t xml:space="preserve"> </w:t>
      </w:r>
      <w:r w:rsidRPr="00577688">
        <w:rPr>
          <w:rFonts w:eastAsia="Times New Roman" w:cs="Times New Roman"/>
          <w:lang w:eastAsia="de-DE"/>
        </w:rPr>
        <w:t xml:space="preserve">ist die standardisierte Einleitungsformel für einen neuen Gesetzesabschnitt, entsprechend 4,1 und anderen Kapiteleröffnungen. </w:t>
      </w:r>
      <w:r w:rsidRPr="00577688">
        <w:rPr>
          <w:rFonts w:eastAsia="Times New Roman" w:cs="Times New Roman"/>
          <w:b/>
          <w:bCs/>
          <w:rtl/>
          <w:lang w:eastAsia="de-DE"/>
        </w:rPr>
        <w:t>וידבר</w:t>
      </w:r>
      <w:r w:rsidRPr="00577688">
        <w:rPr>
          <w:rFonts w:eastAsia="Times New Roman" w:cs="Times New Roman"/>
          <w:rtl/>
          <w:lang w:eastAsia="de-DE"/>
        </w:rPr>
        <w:t xml:space="preserve"> </w:t>
      </w:r>
      <w:r w:rsidRPr="00577688">
        <w:rPr>
          <w:rFonts w:eastAsia="Times New Roman" w:cs="Times New Roman"/>
          <w:lang w:eastAsia="de-DE"/>
        </w:rPr>
        <w:t xml:space="preserve">(und er redete) im Piel-Imperfekt mit Waw-Konsekutiv von </w:t>
      </w:r>
      <w:r w:rsidRPr="00577688">
        <w:rPr>
          <w:rFonts w:eastAsia="Times New Roman" w:cs="Times New Roman"/>
          <w:b/>
          <w:bCs/>
          <w:rtl/>
          <w:lang w:eastAsia="de-DE"/>
        </w:rPr>
        <w:t>דבר</w:t>
      </w:r>
      <w:r w:rsidRPr="00577688">
        <w:rPr>
          <w:rFonts w:eastAsia="Times New Roman" w:cs="Times New Roman"/>
          <w:rtl/>
          <w:lang w:eastAsia="de-DE"/>
        </w:rPr>
        <w:t xml:space="preserve"> </w:t>
      </w:r>
      <w:r w:rsidRPr="00577688">
        <w:rPr>
          <w:rFonts w:eastAsia="Times New Roman" w:cs="Times New Roman"/>
          <w:lang w:eastAsia="de-DE"/>
        </w:rPr>
        <w:t xml:space="preserve">(sprechen), </w:t>
      </w:r>
      <w:r w:rsidRPr="00577688">
        <w:rPr>
          <w:rFonts w:eastAsia="Times New Roman" w:cs="Times New Roman"/>
          <w:b/>
          <w:bCs/>
          <w:rtl/>
          <w:lang w:eastAsia="de-DE"/>
        </w:rPr>
        <w:t>יהוה</w:t>
      </w:r>
      <w:r w:rsidRPr="00577688">
        <w:rPr>
          <w:rFonts w:eastAsia="Times New Roman" w:cs="Times New Roman"/>
          <w:rtl/>
          <w:lang w:eastAsia="de-DE"/>
        </w:rPr>
        <w:t xml:space="preserve"> </w:t>
      </w:r>
      <w:r w:rsidRPr="00577688">
        <w:rPr>
          <w:rFonts w:eastAsia="Times New Roman" w:cs="Times New Roman"/>
          <w:lang w:eastAsia="de-DE"/>
        </w:rPr>
        <w:t xml:space="preserve">(JHWH) als Subjekt, </w:t>
      </w:r>
      <w:r w:rsidRPr="00577688">
        <w:rPr>
          <w:rFonts w:eastAsia="Times New Roman" w:cs="Times New Roman"/>
          <w:b/>
          <w:bCs/>
          <w:rtl/>
          <w:lang w:eastAsia="de-DE"/>
        </w:rPr>
        <w:t>אל־משה</w:t>
      </w:r>
      <w:r w:rsidRPr="00577688">
        <w:rPr>
          <w:rFonts w:eastAsia="Times New Roman" w:cs="Times New Roman"/>
          <w:rtl/>
          <w:lang w:eastAsia="de-DE"/>
        </w:rPr>
        <w:t xml:space="preserve"> </w:t>
      </w:r>
      <w:r w:rsidRPr="00577688">
        <w:rPr>
          <w:rFonts w:eastAsia="Times New Roman" w:cs="Times New Roman"/>
          <w:lang w:eastAsia="de-DE"/>
        </w:rPr>
        <w:t xml:space="preserve">(zu Mosche), </w:t>
      </w:r>
      <w:r w:rsidRPr="00577688">
        <w:rPr>
          <w:rFonts w:eastAsia="Times New Roman" w:cs="Times New Roman"/>
          <w:b/>
          <w:bCs/>
          <w:rtl/>
          <w:lang w:eastAsia="de-DE"/>
        </w:rPr>
        <w:t>לאמר</w:t>
      </w:r>
      <w:r w:rsidRPr="00577688">
        <w:rPr>
          <w:rFonts w:eastAsia="Times New Roman" w:cs="Times New Roman"/>
          <w:rtl/>
          <w:lang w:eastAsia="de-DE"/>
        </w:rPr>
        <w:t xml:space="preserve"> </w:t>
      </w:r>
      <w:r w:rsidRPr="00577688">
        <w:rPr>
          <w:rFonts w:eastAsia="Times New Roman" w:cs="Times New Roman"/>
          <w:lang w:eastAsia="de-DE"/>
        </w:rPr>
        <w:t>(sagend) als Infinitiv zur Einleitung direkter Rede.</w:t>
      </w:r>
    </w:p>
    <w:p w14:paraId="6CB9D83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 Formel markiert den Übergang von den abgestuften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(V. 1-13) zu einer neuen Kategorie: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(Schuldopfer) für spezifische Vergehen gegen heilige Sachen und zwischenmenschliche Delikte.</w:t>
      </w:r>
    </w:p>
    <w:p w14:paraId="30A8EDE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mit der standardisierten griechischen Formel: καὶ </w:t>
      </w:r>
      <w:proofErr w:type="spellStart"/>
      <w:r w:rsidRPr="00577688">
        <w:rPr>
          <w:rFonts w:eastAsia="Times New Roman" w:cs="Times New Roman"/>
          <w:lang w:eastAsia="de-DE"/>
        </w:rPr>
        <w:t>ἐλάλησεν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κύριος</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ρὸς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Μωυσῆν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λέγων</w:t>
      </w:r>
      <w:proofErr w:type="spellEnd"/>
      <w:r w:rsidRPr="00577688">
        <w:rPr>
          <w:rFonts w:eastAsia="Times New Roman" w:cs="Times New Roman"/>
          <w:lang w:eastAsia="de-DE"/>
        </w:rPr>
        <w:t xml:space="preserve"> (und der Herr sprach zu Mose, sagend).</w:t>
      </w:r>
    </w:p>
    <w:p w14:paraId="5BBC9A9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der Standard-Einleitungsformel: Verb + Subjekt + Präpositionalphrase + Infinitiv. Diese strukturelle Konsistenz zeigt die systematische Organisation der Opfergesetze.</w:t>
      </w:r>
    </w:p>
    <w:p w14:paraId="6D83E94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leitet einen neuen Abschnitt über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(Schuldopfer) ein, der sich von den bisherigen </w:t>
      </w:r>
      <w:r w:rsidRPr="00577688">
        <w:rPr>
          <w:rFonts w:eastAsia="Times New Roman" w:cs="Times New Roman"/>
          <w:b/>
          <w:bCs/>
          <w:rtl/>
          <w:lang w:eastAsia="de-DE"/>
        </w:rPr>
        <w:t>חטאת</w:t>
      </w:r>
      <w:r w:rsidRPr="00577688">
        <w:rPr>
          <w:rFonts w:eastAsia="Times New Roman" w:cs="Times New Roman"/>
          <w:lang w:eastAsia="de-DE"/>
        </w:rPr>
        <w:t>-Bestimmungen unterscheidet.</w:t>
      </w:r>
    </w:p>
    <w:p w14:paraId="789A0344"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5,15</w:t>
      </w:r>
    </w:p>
    <w:p w14:paraId="477C2EE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נֶ֚פֶשׁ כִּֽי־תִמְעֹ֣ל מַ֔עַל וְחָֽטְאָה֙ בִּשְׁגָגָ֔ה מִקָּדְשֵׁ֖י יְהוָ֑ה וְהֵבִיא֩ אֶת־אֲשָׁמֹ֨ו לַֽיהוָ֜ה אַ֧יִל תָּמִ֣ים מִן־הַצֹּ֗אן בְּעֶרְכְּךָ֛ כֶּֽסֶף־שְׁקָלִ֥ים בְּשֶֽׁקֶל־הַקֹּ֖דֶשׁ לְאָשָֽׁם׃</w:t>
      </w:r>
    </w:p>
    <w:p w14:paraId="021F4C3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Wenn jemand Untreue begeht und aus Versehen an den heiligen Dingen des Ewigen sündigt, so soll er dem Ewigen sein Schuldopfer bringen, einen Widder ohne Fehl vom Kleinvieh, nach deiner Schätzung an Silber-Schekeln, nach dem Schekel des Heiligtums, zum Schuldopfer.</w:t>
      </w:r>
    </w:p>
    <w:p w14:paraId="05BC026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64AB7F47">
          <v:rect id="_x0000_i1124" style="width:0;height:1.5pt" o:hralign="center" o:hrstd="t" o:hr="t" fillcolor="#a0a0a0" stroked="f"/>
        </w:pict>
      </w:r>
    </w:p>
    <w:p w14:paraId="18B5A94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Kommentar:</w:t>
      </w:r>
      <w:r w:rsidRPr="00577688">
        <w:rPr>
          <w:rFonts w:eastAsia="Times New Roman" w:cs="Times New Roman"/>
          <w:lang w:eastAsia="de-DE"/>
        </w:rPr>
        <w:t xml:space="preserve"> </w:t>
      </w:r>
      <w:r w:rsidRPr="00577688">
        <w:rPr>
          <w:rFonts w:eastAsia="Times New Roman" w:cs="Times New Roman"/>
          <w:b/>
          <w:bCs/>
          <w:rtl/>
          <w:lang w:eastAsia="de-DE"/>
        </w:rPr>
        <w:t>נֶ֚פֶשׁ כִּֽי־תִמְעֹ֣ל מַ֔עַל וְחָֽטְאָה֙ בִּשְׁגָגָ֔ה מִקָּדְשֵׁ֖י יְהוָ֑ה</w:t>
      </w:r>
      <w:r w:rsidRPr="00577688">
        <w:rPr>
          <w:rFonts w:eastAsia="Times New Roman" w:cs="Times New Roman"/>
          <w:rtl/>
          <w:lang w:eastAsia="de-DE"/>
        </w:rPr>
        <w:t xml:space="preserve"> </w:t>
      </w:r>
      <w:r w:rsidRPr="00577688">
        <w:rPr>
          <w:rFonts w:eastAsia="Times New Roman" w:cs="Times New Roman"/>
          <w:lang w:eastAsia="de-DE"/>
        </w:rPr>
        <w:t xml:space="preserve">(wenn eine Seele Untreue begeht und unwissentlich an den heiligen Dingen JHWHs sündigt) führt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ein. </w:t>
      </w:r>
      <w:r w:rsidRPr="00577688">
        <w:rPr>
          <w:rFonts w:eastAsia="Times New Roman" w:cs="Times New Roman"/>
          <w:b/>
          <w:bCs/>
          <w:rtl/>
          <w:lang w:eastAsia="de-DE"/>
        </w:rPr>
        <w:t>תמעל מעל</w:t>
      </w:r>
      <w:r w:rsidRPr="00577688">
        <w:rPr>
          <w:rFonts w:eastAsia="Times New Roman" w:cs="Times New Roman"/>
          <w:rtl/>
          <w:lang w:eastAsia="de-DE"/>
        </w:rPr>
        <w:t xml:space="preserve"> </w:t>
      </w:r>
      <w:r w:rsidRPr="00577688">
        <w:rPr>
          <w:rFonts w:eastAsia="Times New Roman" w:cs="Times New Roman"/>
          <w:lang w:eastAsia="de-DE"/>
        </w:rPr>
        <w:t xml:space="preserve">(Untreue begeht) von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 xml:space="preserve">(untreu sein/sich vergehen), doppelt für Emphase, </w:t>
      </w:r>
      <w:r w:rsidRPr="00577688">
        <w:rPr>
          <w:rFonts w:eastAsia="Times New Roman" w:cs="Times New Roman"/>
          <w:b/>
          <w:bCs/>
          <w:rtl/>
          <w:lang w:eastAsia="de-DE"/>
        </w:rPr>
        <w:t>וחטאה בשגגה</w:t>
      </w:r>
      <w:r w:rsidRPr="00577688">
        <w:rPr>
          <w:rFonts w:eastAsia="Times New Roman" w:cs="Times New Roman"/>
          <w:rtl/>
          <w:lang w:eastAsia="de-DE"/>
        </w:rPr>
        <w:t xml:space="preserve"> </w:t>
      </w:r>
      <w:r w:rsidRPr="00577688">
        <w:rPr>
          <w:rFonts w:eastAsia="Times New Roman" w:cs="Times New Roman"/>
          <w:lang w:eastAsia="de-DE"/>
        </w:rPr>
        <w:t xml:space="preserve">(und unwissentlich sündigt), </w:t>
      </w:r>
      <w:r w:rsidRPr="00577688">
        <w:rPr>
          <w:rFonts w:eastAsia="Times New Roman" w:cs="Times New Roman"/>
          <w:b/>
          <w:bCs/>
          <w:rtl/>
          <w:lang w:eastAsia="de-DE"/>
        </w:rPr>
        <w:t>מקדשי יהוה</w:t>
      </w:r>
      <w:r w:rsidRPr="00577688">
        <w:rPr>
          <w:rFonts w:eastAsia="Times New Roman" w:cs="Times New Roman"/>
          <w:rtl/>
          <w:lang w:eastAsia="de-DE"/>
        </w:rPr>
        <w:t xml:space="preserve"> </w:t>
      </w:r>
      <w:r w:rsidRPr="00577688">
        <w:rPr>
          <w:rFonts w:eastAsia="Times New Roman" w:cs="Times New Roman"/>
          <w:lang w:eastAsia="de-DE"/>
        </w:rPr>
        <w:t>(an den heiligen Dingen JHWHs).</w:t>
      </w:r>
    </w:p>
    <w:p w14:paraId="0C2CC50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וְהֵבִיא֩ אֶת־אֲשָׁמֹ֨ו לַֽיהוָ֜ה אַ֧יִל תָּמִ֣ים מִן־הַצֹּ֗אן</w:t>
      </w:r>
      <w:r w:rsidRPr="00577688">
        <w:rPr>
          <w:rFonts w:eastAsia="Times New Roman" w:cs="Times New Roman"/>
          <w:rtl/>
          <w:lang w:eastAsia="de-DE"/>
        </w:rPr>
        <w:t xml:space="preserve"> </w:t>
      </w:r>
      <w:r w:rsidRPr="00577688">
        <w:rPr>
          <w:rFonts w:eastAsia="Times New Roman" w:cs="Times New Roman"/>
          <w:lang w:eastAsia="de-DE"/>
        </w:rPr>
        <w:t xml:space="preserve">(und er soll sein Schuldopfer für JHWH bringen, einen fehlerlosen Widder vom Kleinvieh) spezifiziert das </w:t>
      </w:r>
      <w:r w:rsidRPr="00577688">
        <w:rPr>
          <w:rFonts w:eastAsia="Times New Roman" w:cs="Times New Roman"/>
          <w:b/>
          <w:bCs/>
          <w:rtl/>
          <w:lang w:eastAsia="de-DE"/>
        </w:rPr>
        <w:t>אשם</w:t>
      </w:r>
      <w:r w:rsidRPr="00577688">
        <w:rPr>
          <w:rFonts w:eastAsia="Times New Roman" w:cs="Times New Roman"/>
          <w:lang w:eastAsia="de-DE"/>
        </w:rPr>
        <w:t xml:space="preserve">-Tier. </w:t>
      </w:r>
      <w:r w:rsidRPr="00577688">
        <w:rPr>
          <w:rFonts w:eastAsia="Times New Roman" w:cs="Times New Roman"/>
          <w:b/>
          <w:bCs/>
          <w:rtl/>
          <w:lang w:eastAsia="de-DE"/>
        </w:rPr>
        <w:t>את־אשמו</w:t>
      </w:r>
      <w:r w:rsidRPr="00577688">
        <w:rPr>
          <w:rFonts w:eastAsia="Times New Roman" w:cs="Times New Roman"/>
          <w:rtl/>
          <w:lang w:eastAsia="de-DE"/>
        </w:rPr>
        <w:t xml:space="preserve"> </w:t>
      </w:r>
      <w:r w:rsidRPr="00577688">
        <w:rPr>
          <w:rFonts w:eastAsia="Times New Roman" w:cs="Times New Roman"/>
          <w:lang w:eastAsia="de-DE"/>
        </w:rPr>
        <w:t xml:space="preserve">(sein Schuldopfer), </w:t>
      </w:r>
      <w:r w:rsidRPr="00577688">
        <w:rPr>
          <w:rFonts w:eastAsia="Times New Roman" w:cs="Times New Roman"/>
          <w:b/>
          <w:bCs/>
          <w:rtl/>
          <w:lang w:eastAsia="de-DE"/>
        </w:rPr>
        <w:t>איל תמים מן־הצאן</w:t>
      </w:r>
      <w:r w:rsidRPr="00577688">
        <w:rPr>
          <w:rFonts w:eastAsia="Times New Roman" w:cs="Times New Roman"/>
          <w:rtl/>
          <w:lang w:eastAsia="de-DE"/>
        </w:rPr>
        <w:t xml:space="preserve"> </w:t>
      </w:r>
      <w:r w:rsidRPr="00577688">
        <w:rPr>
          <w:rFonts w:eastAsia="Times New Roman" w:cs="Times New Roman"/>
          <w:lang w:eastAsia="de-DE"/>
        </w:rPr>
        <w:t>(fehlerlosen Widder vom Kleinvieh).</w:t>
      </w:r>
    </w:p>
    <w:p w14:paraId="2C908FB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בְּעֶרְכְּךָ֛ כֶּֽסֶף־שְׁקָלִ֥ים בְּשֶֽׁקֶל־הַקֹּ֖דֶשׁ לְאָשָֽׁם</w:t>
      </w:r>
      <w:r w:rsidRPr="00577688">
        <w:rPr>
          <w:rFonts w:eastAsia="Times New Roman" w:cs="Times New Roman"/>
          <w:rtl/>
          <w:lang w:eastAsia="de-DE"/>
        </w:rPr>
        <w:t xml:space="preserve"> </w:t>
      </w:r>
      <w:r w:rsidRPr="00577688">
        <w:rPr>
          <w:rFonts w:eastAsia="Times New Roman" w:cs="Times New Roman"/>
          <w:lang w:eastAsia="de-DE"/>
        </w:rPr>
        <w:t xml:space="preserve">(nach deiner Schätzung an Silber-Schekeln, nach dem Schekel des Heiligtums, zum Schuldopfer) regelt die Bewertung. </w:t>
      </w:r>
      <w:r w:rsidRPr="00577688">
        <w:rPr>
          <w:rFonts w:eastAsia="Times New Roman" w:cs="Times New Roman"/>
          <w:b/>
          <w:bCs/>
          <w:rtl/>
          <w:lang w:eastAsia="de-DE"/>
        </w:rPr>
        <w:t>בערכך</w:t>
      </w:r>
      <w:r w:rsidRPr="00577688">
        <w:rPr>
          <w:rFonts w:eastAsia="Times New Roman" w:cs="Times New Roman"/>
          <w:rtl/>
          <w:lang w:eastAsia="de-DE"/>
        </w:rPr>
        <w:t xml:space="preserve"> </w:t>
      </w:r>
      <w:r w:rsidRPr="00577688">
        <w:rPr>
          <w:rFonts w:eastAsia="Times New Roman" w:cs="Times New Roman"/>
          <w:lang w:eastAsia="de-DE"/>
        </w:rPr>
        <w:t xml:space="preserve">(nach deiner Schätzung) an Mosche gerichtet, </w:t>
      </w:r>
      <w:r w:rsidRPr="00577688">
        <w:rPr>
          <w:rFonts w:eastAsia="Times New Roman" w:cs="Times New Roman"/>
          <w:b/>
          <w:bCs/>
          <w:rtl/>
          <w:lang w:eastAsia="de-DE"/>
        </w:rPr>
        <w:t>כסף־שקלים</w:t>
      </w:r>
      <w:r w:rsidRPr="00577688">
        <w:rPr>
          <w:rFonts w:eastAsia="Times New Roman" w:cs="Times New Roman"/>
          <w:rtl/>
          <w:lang w:eastAsia="de-DE"/>
        </w:rPr>
        <w:t xml:space="preserve"> </w:t>
      </w:r>
      <w:r w:rsidRPr="00577688">
        <w:rPr>
          <w:rFonts w:eastAsia="Times New Roman" w:cs="Times New Roman"/>
          <w:lang w:eastAsia="de-DE"/>
        </w:rPr>
        <w:t xml:space="preserve">(Silber-Schekel), </w:t>
      </w:r>
      <w:r w:rsidRPr="00577688">
        <w:rPr>
          <w:rFonts w:eastAsia="Times New Roman" w:cs="Times New Roman"/>
          <w:b/>
          <w:bCs/>
          <w:rtl/>
          <w:lang w:eastAsia="de-DE"/>
        </w:rPr>
        <w:t>בשקל־הקדש</w:t>
      </w:r>
      <w:r w:rsidRPr="00577688">
        <w:rPr>
          <w:rFonts w:eastAsia="Times New Roman" w:cs="Times New Roman"/>
          <w:rtl/>
          <w:lang w:eastAsia="de-DE"/>
        </w:rPr>
        <w:t xml:space="preserve"> </w:t>
      </w:r>
      <w:r w:rsidRPr="00577688">
        <w:rPr>
          <w:rFonts w:eastAsia="Times New Roman" w:cs="Times New Roman"/>
          <w:lang w:eastAsia="de-DE"/>
        </w:rPr>
        <w:t xml:space="preserve">(nach dem Schekel des Heiligtums), </w:t>
      </w:r>
      <w:r w:rsidRPr="00577688">
        <w:rPr>
          <w:rFonts w:eastAsia="Times New Roman" w:cs="Times New Roman"/>
          <w:b/>
          <w:bCs/>
          <w:rtl/>
          <w:lang w:eastAsia="de-DE"/>
        </w:rPr>
        <w:t>לאשם</w:t>
      </w:r>
      <w:r w:rsidRPr="00577688">
        <w:rPr>
          <w:rFonts w:eastAsia="Times New Roman" w:cs="Times New Roman"/>
          <w:rtl/>
          <w:lang w:eastAsia="de-DE"/>
        </w:rPr>
        <w:t xml:space="preserve"> </w:t>
      </w:r>
      <w:r w:rsidRPr="00577688">
        <w:rPr>
          <w:rFonts w:eastAsia="Times New Roman" w:cs="Times New Roman"/>
          <w:lang w:eastAsia="de-DE"/>
        </w:rPr>
        <w:t>(zum Schuldopfer).</w:t>
      </w:r>
    </w:p>
    <w:p w14:paraId="40E6A86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תמעל מעל</w:t>
      </w:r>
      <w:r w:rsidRPr="00577688">
        <w:rPr>
          <w:rFonts w:eastAsia="Times New Roman" w:cs="Times New Roman"/>
          <w:rtl/>
          <w:lang w:eastAsia="de-DE"/>
        </w:rPr>
        <w:t xml:space="preserve"> </w:t>
      </w:r>
      <w:r w:rsidRPr="00577688">
        <w:rPr>
          <w:rFonts w:eastAsia="Times New Roman" w:cs="Times New Roman"/>
          <w:lang w:eastAsia="de-DE"/>
        </w:rPr>
        <w:t xml:space="preserve">(Untreue begeht) ist verstärkende Konstruktion: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 xml:space="preserve">als Verbalwurzel +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 xml:space="preserve">als cognate accusative. </w:t>
      </w:r>
      <w:r w:rsidRPr="00577688">
        <w:rPr>
          <w:rFonts w:eastAsia="Times New Roman" w:cs="Times New Roman"/>
          <w:b/>
          <w:bCs/>
          <w:rtl/>
          <w:lang w:eastAsia="de-DE"/>
        </w:rPr>
        <w:t>מקדשי יהוה</w:t>
      </w:r>
      <w:r w:rsidRPr="00577688">
        <w:rPr>
          <w:rFonts w:eastAsia="Times New Roman" w:cs="Times New Roman"/>
          <w:rtl/>
          <w:lang w:eastAsia="de-DE"/>
        </w:rPr>
        <w:t xml:space="preserve"> </w:t>
      </w:r>
      <w:r w:rsidRPr="00577688">
        <w:rPr>
          <w:rFonts w:eastAsia="Times New Roman" w:cs="Times New Roman"/>
          <w:lang w:eastAsia="de-DE"/>
        </w:rPr>
        <w:t>(heilige Dinge JHWHs) umfasst alle dem Heiligtum geweihten Gegenstände, Opfergaben, Zehnten.</w:t>
      </w:r>
    </w:p>
    <w:p w14:paraId="6BD740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איל תמים</w:t>
      </w:r>
      <w:r w:rsidRPr="00577688">
        <w:rPr>
          <w:rFonts w:eastAsia="Times New Roman" w:cs="Times New Roman"/>
          <w:rtl/>
          <w:lang w:eastAsia="de-DE"/>
        </w:rPr>
        <w:t xml:space="preserve"> </w:t>
      </w:r>
      <w:r w:rsidRPr="00577688">
        <w:rPr>
          <w:rFonts w:eastAsia="Times New Roman" w:cs="Times New Roman"/>
          <w:lang w:eastAsia="de-DE"/>
        </w:rPr>
        <w:t xml:space="preserve">(fehlerlosen Widder) ist kostbarer als weibliches Kleinvieh bei einfachen </w:t>
      </w:r>
      <w:r w:rsidRPr="00577688">
        <w:rPr>
          <w:rFonts w:eastAsia="Times New Roman" w:cs="Times New Roman"/>
          <w:b/>
          <w:bCs/>
          <w:rtl/>
          <w:lang w:eastAsia="de-DE"/>
        </w:rPr>
        <w:t>חטאת</w:t>
      </w:r>
      <w:r w:rsidRPr="00577688">
        <w:rPr>
          <w:rFonts w:eastAsia="Times New Roman" w:cs="Times New Roman"/>
          <w:lang w:eastAsia="de-DE"/>
        </w:rPr>
        <w:t xml:space="preserve">. </w:t>
      </w:r>
      <w:r w:rsidRPr="00577688">
        <w:rPr>
          <w:rFonts w:eastAsia="Times New Roman" w:cs="Times New Roman"/>
          <w:b/>
          <w:bCs/>
          <w:rtl/>
          <w:lang w:eastAsia="de-DE"/>
        </w:rPr>
        <w:t>בערכך כסף־שקלים בשקל־הקדש</w:t>
      </w:r>
      <w:r w:rsidRPr="00577688">
        <w:rPr>
          <w:rFonts w:eastAsia="Times New Roman" w:cs="Times New Roman"/>
          <w:rtl/>
          <w:lang w:eastAsia="de-DE"/>
        </w:rPr>
        <w:t xml:space="preserve"> </w:t>
      </w:r>
      <w:r w:rsidRPr="00577688">
        <w:rPr>
          <w:rFonts w:eastAsia="Times New Roman" w:cs="Times New Roman"/>
          <w:lang w:eastAsia="de-DE"/>
        </w:rPr>
        <w:t>etabliert Mindestwertvorgaben: Der Widder muss mindestens einen bestimmten Silberwert haben.</w:t>
      </w:r>
    </w:p>
    <w:p w14:paraId="3BDB4F34" w14:textId="221DA6BB"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B3655B">
        <w:t xml:space="preserve">hat eine textkritische Crux mit </w:t>
      </w:r>
      <w:proofErr w:type="spellStart"/>
      <w:r w:rsidR="00B3655B">
        <w:t>ψυχὴ</w:t>
      </w:r>
      <w:proofErr w:type="spellEnd"/>
      <w:r w:rsidR="00B3655B">
        <w:t xml:space="preserve"> </w:t>
      </w:r>
      <w:proofErr w:type="spellStart"/>
      <w:r w:rsidR="00B3655B">
        <w:t>ἐὰν</w:t>
      </w:r>
      <w:proofErr w:type="spellEnd"/>
      <w:r w:rsidR="00B3655B">
        <w:t xml:space="preserve"> </w:t>
      </w:r>
      <w:proofErr w:type="spellStart"/>
      <w:r w:rsidR="00B3655B">
        <w:t>λάθῃ</w:t>
      </w:r>
      <w:proofErr w:type="spellEnd"/>
      <w:r w:rsidR="00B3655B">
        <w:t xml:space="preserve"> α</w:t>
      </w:r>
      <w:proofErr w:type="spellStart"/>
      <w:r w:rsidR="00B3655B">
        <w:t>ὐτὸν</w:t>
      </w:r>
      <w:proofErr w:type="spellEnd"/>
      <w:r w:rsidR="00B3655B">
        <w:t xml:space="preserve"> </w:t>
      </w:r>
      <w:proofErr w:type="spellStart"/>
      <w:r w:rsidR="00B3655B">
        <w:t>λήθῃ</w:t>
      </w:r>
      <w:proofErr w:type="spellEnd"/>
      <w:r w:rsidR="00B3655B">
        <w:t xml:space="preserve"> (eine Seele, falls ihn ein Vergessen vergisst), was möglicherweise </w:t>
      </w:r>
      <w:r w:rsidR="00B3655B">
        <w:rPr>
          <w:rtl/>
        </w:rPr>
        <w:t>על דבר נעלם</w:t>
      </w:r>
      <w:r w:rsidR="00B3655B">
        <w:t xml:space="preserve"> widerspiegelt oder eine Dittographie darstellt.</w:t>
      </w:r>
    </w:p>
    <w:p w14:paraId="677A4E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komplexen Konditionalsatz: Protasis (Subjekt + Konditionspartikel + verstärktes Verb + koordiniertes Verb + Adverbialbestimmung + Präpositionalphrase) → Apodosis (Verb + Objekt + Dativangabe + Objekt-Spezifizierung + komplexe Bewertungsbestimmung + Zweckangabe). Die Struktur zeigt die besondere Komplexität von </w:t>
      </w:r>
      <w:r w:rsidRPr="00577688">
        <w:rPr>
          <w:rFonts w:eastAsia="Times New Roman" w:cs="Times New Roman"/>
          <w:b/>
          <w:bCs/>
          <w:rtl/>
          <w:lang w:eastAsia="de-DE"/>
        </w:rPr>
        <w:t>אשם</w:t>
      </w:r>
      <w:r w:rsidRPr="00577688">
        <w:rPr>
          <w:rFonts w:eastAsia="Times New Roman" w:cs="Times New Roman"/>
          <w:lang w:eastAsia="de-DE"/>
        </w:rPr>
        <w:t>-Bestimmungen.</w:t>
      </w:r>
    </w:p>
    <w:p w14:paraId="5A2B822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für unwissentliche Vergehen gegen </w:t>
      </w:r>
      <w:r w:rsidRPr="00577688">
        <w:rPr>
          <w:rFonts w:eastAsia="Times New Roman" w:cs="Times New Roman"/>
          <w:b/>
          <w:bCs/>
          <w:rtl/>
          <w:lang w:eastAsia="de-DE"/>
        </w:rPr>
        <w:t>קדשי יהוה</w:t>
      </w:r>
      <w:r w:rsidRPr="00577688">
        <w:rPr>
          <w:rFonts w:eastAsia="Times New Roman" w:cs="Times New Roman"/>
          <w:rtl/>
          <w:lang w:eastAsia="de-DE"/>
        </w:rPr>
        <w:t xml:space="preserve"> </w:t>
      </w:r>
      <w:r w:rsidRPr="00577688">
        <w:rPr>
          <w:rFonts w:eastAsia="Times New Roman" w:cs="Times New Roman"/>
          <w:lang w:eastAsia="de-DE"/>
        </w:rPr>
        <w:t xml:space="preserve">ein und etabliert </w:t>
      </w:r>
      <w:r w:rsidRPr="00577688">
        <w:rPr>
          <w:rFonts w:eastAsia="Times New Roman" w:cs="Times New Roman"/>
          <w:b/>
          <w:bCs/>
          <w:rtl/>
          <w:lang w:eastAsia="de-DE"/>
        </w:rPr>
        <w:t>איל</w:t>
      </w:r>
      <w:r w:rsidRPr="00577688">
        <w:rPr>
          <w:rFonts w:eastAsia="Times New Roman" w:cs="Times New Roman"/>
          <w:rtl/>
          <w:lang w:eastAsia="de-DE"/>
        </w:rPr>
        <w:t xml:space="preserve"> </w:t>
      </w:r>
      <w:r w:rsidRPr="00577688">
        <w:rPr>
          <w:rFonts w:eastAsia="Times New Roman" w:cs="Times New Roman"/>
          <w:lang w:eastAsia="de-DE"/>
        </w:rPr>
        <w:t>(Widder) mit Mindestwertvorgaben als Opfertier.</w:t>
      </w:r>
    </w:p>
    <w:p w14:paraId="522BDAD1"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5,16</w:t>
      </w:r>
    </w:p>
    <w:p w14:paraId="777671E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 אֲשֶׁר֩ חָטָ֨א מִן־הַקֹּ֜דֶשׁ יְשַׁלֵּ֗ם וְאֶת־חֲמִֽישִׁתוֹ֙ יוֹסֵ֣ף עָלָ֔יו וְנָתַ֥ן אֹתוֹ֖ לַכֹּהֵ֑ן וְהַכֹּהֵ֗ן יְכַפֵּ֥ר עָלָ֛יו בְּאֵ֥יל הָאָשָׁ֖ם וְנִסְלַ֥ח לוֹֽ׃</w:t>
      </w:r>
    </w:p>
    <w:p w14:paraId="15FD371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was er an dem Heiligen gesündigt hat, soll er erstatten und dessen Fünftel darüber hinzufügen und es dem Priester geben; und der Priester soll Sühne für ihn erwirken mit dem Widder des Schuldopfers, und es wird ihm vergeben werden.</w:t>
      </w:r>
    </w:p>
    <w:p w14:paraId="2E37246E"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23EB670">
          <v:rect id="_x0000_i1125" style="width:0;height:1.5pt" o:hralign="center" o:hrstd="t" o:hr="t" fillcolor="#a0a0a0" stroked="f"/>
        </w:pict>
      </w:r>
    </w:p>
    <w:p w14:paraId="147D56D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 אֲשֶׁר֩ חָטָ֨א מִן־הַקֹּ֜דֶשׁ יְשַׁלֵּ֗ם</w:t>
      </w:r>
      <w:r w:rsidRPr="00577688">
        <w:rPr>
          <w:rFonts w:eastAsia="Times New Roman" w:cs="Times New Roman"/>
          <w:rtl/>
          <w:lang w:eastAsia="de-DE"/>
        </w:rPr>
        <w:t xml:space="preserve"> </w:t>
      </w:r>
      <w:r w:rsidRPr="00577688">
        <w:rPr>
          <w:rFonts w:eastAsia="Times New Roman" w:cs="Times New Roman"/>
          <w:lang w:eastAsia="de-DE"/>
        </w:rPr>
        <w:t xml:space="preserve">(und was er am Heiligen gesündigt hat, soll er erstatten) führt die Restitutionspflicht ein. </w:t>
      </w:r>
      <w:r w:rsidRPr="00577688">
        <w:rPr>
          <w:rFonts w:eastAsia="Times New Roman" w:cs="Times New Roman"/>
          <w:b/>
          <w:bCs/>
          <w:rtl/>
          <w:lang w:eastAsia="de-DE"/>
        </w:rPr>
        <w:t>את אשר חטא מן־הקדש</w:t>
      </w:r>
      <w:r w:rsidRPr="00577688">
        <w:rPr>
          <w:rFonts w:eastAsia="Times New Roman" w:cs="Times New Roman"/>
          <w:rtl/>
          <w:lang w:eastAsia="de-DE"/>
        </w:rPr>
        <w:t xml:space="preserve"> </w:t>
      </w:r>
      <w:r w:rsidRPr="00577688">
        <w:rPr>
          <w:rFonts w:eastAsia="Times New Roman" w:cs="Times New Roman"/>
          <w:lang w:eastAsia="de-DE"/>
        </w:rPr>
        <w:t xml:space="preserve">(was er am Heiligen </w:t>
      </w:r>
      <w:r w:rsidRPr="00577688">
        <w:rPr>
          <w:rFonts w:eastAsia="Times New Roman" w:cs="Times New Roman"/>
          <w:lang w:eastAsia="de-DE"/>
        </w:rPr>
        <w:lastRenderedPageBreak/>
        <w:t xml:space="preserve">gesündigt hat), </w:t>
      </w:r>
      <w:r w:rsidRPr="00577688">
        <w:rPr>
          <w:rFonts w:eastAsia="Times New Roman" w:cs="Times New Roman"/>
          <w:b/>
          <w:bCs/>
          <w:rtl/>
          <w:lang w:eastAsia="de-DE"/>
        </w:rPr>
        <w:t>ישלם</w:t>
      </w:r>
      <w:r w:rsidRPr="00577688">
        <w:rPr>
          <w:rFonts w:eastAsia="Times New Roman" w:cs="Times New Roman"/>
          <w:rtl/>
          <w:lang w:eastAsia="de-DE"/>
        </w:rPr>
        <w:t xml:space="preserve"> </w:t>
      </w:r>
      <w:r w:rsidRPr="00577688">
        <w:rPr>
          <w:rFonts w:eastAsia="Times New Roman" w:cs="Times New Roman"/>
          <w:lang w:eastAsia="de-DE"/>
        </w:rPr>
        <w:t xml:space="preserve">(er soll erstatten) im Piel-Imperfekt 3. Person maskulin Singular von </w:t>
      </w:r>
      <w:r w:rsidRPr="00577688">
        <w:rPr>
          <w:rFonts w:eastAsia="Times New Roman" w:cs="Times New Roman"/>
          <w:b/>
          <w:bCs/>
          <w:rtl/>
          <w:lang w:eastAsia="de-DE"/>
        </w:rPr>
        <w:t>שלם</w:t>
      </w:r>
      <w:r w:rsidRPr="00577688">
        <w:rPr>
          <w:rFonts w:eastAsia="Times New Roman" w:cs="Times New Roman"/>
          <w:rtl/>
          <w:lang w:eastAsia="de-DE"/>
        </w:rPr>
        <w:t xml:space="preserve"> </w:t>
      </w:r>
      <w:r w:rsidRPr="00577688">
        <w:rPr>
          <w:rFonts w:eastAsia="Times New Roman" w:cs="Times New Roman"/>
          <w:lang w:eastAsia="de-DE"/>
        </w:rPr>
        <w:t>(erstatten/vergüten).</w:t>
      </w:r>
    </w:p>
    <w:p w14:paraId="27796FD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וְאֶת־חֲמִֽישִׁתוֹ֙ יוֹסֵ֣ף עָלָ֔יו</w:t>
      </w:r>
      <w:r w:rsidRPr="00577688">
        <w:rPr>
          <w:rFonts w:eastAsia="Times New Roman" w:cs="Times New Roman"/>
          <w:rtl/>
          <w:lang w:eastAsia="de-DE"/>
        </w:rPr>
        <w:t xml:space="preserve"> </w:t>
      </w:r>
      <w:r w:rsidRPr="00577688">
        <w:rPr>
          <w:rFonts w:eastAsia="Times New Roman" w:cs="Times New Roman"/>
          <w:lang w:eastAsia="de-DE"/>
        </w:rPr>
        <w:t xml:space="preserve">(und sein Fünftel soll er darüber hinzufügen) zeigt die Strafzahlung. </w:t>
      </w:r>
      <w:r w:rsidRPr="00577688">
        <w:rPr>
          <w:rFonts w:eastAsia="Times New Roman" w:cs="Times New Roman"/>
          <w:b/>
          <w:bCs/>
          <w:rtl/>
          <w:lang w:eastAsia="de-DE"/>
        </w:rPr>
        <w:t>את־חמישתו</w:t>
      </w:r>
      <w:r w:rsidRPr="00577688">
        <w:rPr>
          <w:rFonts w:eastAsia="Times New Roman" w:cs="Times New Roman"/>
          <w:rtl/>
          <w:lang w:eastAsia="de-DE"/>
        </w:rPr>
        <w:t xml:space="preserve"> </w:t>
      </w:r>
      <w:r w:rsidRPr="00577688">
        <w:rPr>
          <w:rFonts w:eastAsia="Times New Roman" w:cs="Times New Roman"/>
          <w:lang w:eastAsia="de-DE"/>
        </w:rPr>
        <w:t xml:space="preserve">(sein Fünftel) von </w:t>
      </w:r>
      <w:r w:rsidRPr="00577688">
        <w:rPr>
          <w:rFonts w:eastAsia="Times New Roman" w:cs="Times New Roman"/>
          <w:b/>
          <w:bCs/>
          <w:rtl/>
          <w:lang w:eastAsia="de-DE"/>
        </w:rPr>
        <w:t>חמש</w:t>
      </w:r>
      <w:r w:rsidRPr="00577688">
        <w:rPr>
          <w:rFonts w:eastAsia="Times New Roman" w:cs="Times New Roman"/>
          <w:rtl/>
          <w:lang w:eastAsia="de-DE"/>
        </w:rPr>
        <w:t xml:space="preserve"> </w:t>
      </w:r>
      <w:r w:rsidRPr="00577688">
        <w:rPr>
          <w:rFonts w:eastAsia="Times New Roman" w:cs="Times New Roman"/>
          <w:lang w:eastAsia="de-DE"/>
        </w:rPr>
        <w:t xml:space="preserve">(fünf), </w:t>
      </w:r>
      <w:r w:rsidRPr="00577688">
        <w:rPr>
          <w:rFonts w:eastAsia="Times New Roman" w:cs="Times New Roman"/>
          <w:b/>
          <w:bCs/>
          <w:rtl/>
          <w:lang w:eastAsia="de-DE"/>
        </w:rPr>
        <w:t>יוסף עליו</w:t>
      </w:r>
      <w:r w:rsidRPr="00577688">
        <w:rPr>
          <w:rFonts w:eastAsia="Times New Roman" w:cs="Times New Roman"/>
          <w:rtl/>
          <w:lang w:eastAsia="de-DE"/>
        </w:rPr>
        <w:t xml:space="preserve"> </w:t>
      </w:r>
      <w:r w:rsidRPr="00577688">
        <w:rPr>
          <w:rFonts w:eastAsia="Times New Roman" w:cs="Times New Roman"/>
          <w:lang w:eastAsia="de-DE"/>
        </w:rPr>
        <w:t>(er soll darüber hinzufügen) - 20% Aufschlag auf den Grundwert.</w:t>
      </w:r>
    </w:p>
    <w:p w14:paraId="78C5517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וְנָתַ֥ן אֹתוֹ֖ לַכֹּהֵ֑ן</w:t>
      </w:r>
      <w:r w:rsidRPr="00577688">
        <w:rPr>
          <w:rFonts w:eastAsia="Times New Roman" w:cs="Times New Roman"/>
          <w:rtl/>
          <w:lang w:eastAsia="de-DE"/>
        </w:rPr>
        <w:t xml:space="preserve"> </w:t>
      </w:r>
      <w:r w:rsidRPr="00577688">
        <w:rPr>
          <w:rFonts w:eastAsia="Times New Roman" w:cs="Times New Roman"/>
          <w:lang w:eastAsia="de-DE"/>
        </w:rPr>
        <w:t xml:space="preserve">(und er soll es dem Priester geben) zeigt den Empfänger der Restitution. </w:t>
      </w:r>
      <w:r w:rsidRPr="00577688">
        <w:rPr>
          <w:rFonts w:eastAsia="Times New Roman" w:cs="Times New Roman"/>
          <w:b/>
          <w:bCs/>
          <w:rtl/>
          <w:lang w:eastAsia="de-DE"/>
        </w:rPr>
        <w:t>ונתן אתו</w:t>
      </w:r>
      <w:r w:rsidRPr="00577688">
        <w:rPr>
          <w:rFonts w:eastAsia="Times New Roman" w:cs="Times New Roman"/>
          <w:rtl/>
          <w:lang w:eastAsia="de-DE"/>
        </w:rPr>
        <w:t xml:space="preserve"> </w:t>
      </w:r>
      <w:r w:rsidRPr="00577688">
        <w:rPr>
          <w:rFonts w:eastAsia="Times New Roman" w:cs="Times New Roman"/>
          <w:lang w:eastAsia="de-DE"/>
        </w:rPr>
        <w:t xml:space="preserve">(und er soll es geben), </w:t>
      </w:r>
      <w:r w:rsidRPr="00577688">
        <w:rPr>
          <w:rFonts w:eastAsia="Times New Roman" w:cs="Times New Roman"/>
          <w:b/>
          <w:bCs/>
          <w:rtl/>
          <w:lang w:eastAsia="de-DE"/>
        </w:rPr>
        <w:t>לכהן</w:t>
      </w:r>
      <w:r w:rsidRPr="00577688">
        <w:rPr>
          <w:rFonts w:eastAsia="Times New Roman" w:cs="Times New Roman"/>
          <w:rtl/>
          <w:lang w:eastAsia="de-DE"/>
        </w:rPr>
        <w:t xml:space="preserve"> </w:t>
      </w:r>
      <w:r w:rsidRPr="00577688">
        <w:rPr>
          <w:rFonts w:eastAsia="Times New Roman" w:cs="Times New Roman"/>
          <w:lang w:eastAsia="de-DE"/>
        </w:rPr>
        <w:t>(dem Priester).</w:t>
      </w:r>
    </w:p>
    <w:p w14:paraId="44D4314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וְהַכֹּהֵ֗ן יְכַפֵּ֥ר עָלָ֛יו בְּאֵ֥יל הָאָשָׁ֖ם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mit dem Widder des Schuldopfers erwirken, und es wird ihm vergeben werden) ist die </w:t>
      </w:r>
      <w:r w:rsidRPr="00577688">
        <w:rPr>
          <w:rFonts w:eastAsia="Times New Roman" w:cs="Times New Roman"/>
          <w:b/>
          <w:bCs/>
          <w:rtl/>
          <w:lang w:eastAsia="de-DE"/>
        </w:rPr>
        <w:t>כפרה</w:t>
      </w:r>
      <w:r w:rsidRPr="00577688">
        <w:rPr>
          <w:rFonts w:eastAsia="Times New Roman" w:cs="Times New Roman"/>
          <w:lang w:eastAsia="de-DE"/>
        </w:rPr>
        <w:t xml:space="preserve">-Formel. </w:t>
      </w:r>
      <w:r w:rsidRPr="00577688">
        <w:rPr>
          <w:rFonts w:eastAsia="Times New Roman" w:cs="Times New Roman"/>
          <w:b/>
          <w:bCs/>
          <w:rtl/>
          <w:lang w:eastAsia="de-DE"/>
        </w:rPr>
        <w:t>והכהן יכפר עליו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erwirken), </w:t>
      </w:r>
      <w:r w:rsidRPr="00577688">
        <w:rPr>
          <w:rFonts w:eastAsia="Times New Roman" w:cs="Times New Roman"/>
          <w:b/>
          <w:bCs/>
          <w:rtl/>
          <w:lang w:eastAsia="de-DE"/>
        </w:rPr>
        <w:t>באיל האשם</w:t>
      </w:r>
      <w:r w:rsidRPr="00577688">
        <w:rPr>
          <w:rFonts w:eastAsia="Times New Roman" w:cs="Times New Roman"/>
          <w:rtl/>
          <w:lang w:eastAsia="de-DE"/>
        </w:rPr>
        <w:t xml:space="preserve"> </w:t>
      </w:r>
      <w:r w:rsidRPr="00577688">
        <w:rPr>
          <w:rFonts w:eastAsia="Times New Roman" w:cs="Times New Roman"/>
          <w:lang w:eastAsia="de-DE"/>
        </w:rPr>
        <w:t xml:space="preserve">(mit dem Widder des Schuldopfers), </w:t>
      </w:r>
      <w:r w:rsidRPr="00577688">
        <w:rPr>
          <w:rFonts w:eastAsia="Times New Roman" w:cs="Times New Roman"/>
          <w:b/>
          <w:bCs/>
          <w:rtl/>
          <w:lang w:eastAsia="de-DE"/>
        </w:rPr>
        <w:t>ונסלח לו</w:t>
      </w:r>
      <w:r w:rsidRPr="00577688">
        <w:rPr>
          <w:rFonts w:eastAsia="Times New Roman" w:cs="Times New Roman"/>
          <w:rtl/>
          <w:lang w:eastAsia="de-DE"/>
        </w:rPr>
        <w:t xml:space="preserve"> </w:t>
      </w:r>
      <w:r w:rsidRPr="00577688">
        <w:rPr>
          <w:rFonts w:eastAsia="Times New Roman" w:cs="Times New Roman"/>
          <w:lang w:eastAsia="de-DE"/>
        </w:rPr>
        <w:t>(und es wird ihm vergeben werden).</w:t>
      </w:r>
    </w:p>
    <w:p w14:paraId="1B7451C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ישלם</w:t>
      </w:r>
      <w:r w:rsidRPr="00577688">
        <w:rPr>
          <w:rFonts w:eastAsia="Times New Roman" w:cs="Times New Roman"/>
          <w:rtl/>
          <w:lang w:eastAsia="de-DE"/>
        </w:rPr>
        <w:t xml:space="preserve"> </w:t>
      </w:r>
      <w:r w:rsidRPr="00577688">
        <w:rPr>
          <w:rFonts w:eastAsia="Times New Roman" w:cs="Times New Roman"/>
          <w:lang w:eastAsia="de-DE"/>
        </w:rPr>
        <w:t xml:space="preserve">(er soll erstatten) zeigt, dass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neben dem Opfer auch materielle Wiedergutmachung erfordert. </w:t>
      </w:r>
      <w:r w:rsidRPr="00577688">
        <w:rPr>
          <w:rFonts w:eastAsia="Times New Roman" w:cs="Times New Roman"/>
          <w:b/>
          <w:bCs/>
          <w:rtl/>
          <w:lang w:eastAsia="de-DE"/>
        </w:rPr>
        <w:t>חמישתו יוסף עליו</w:t>
      </w:r>
      <w:r w:rsidRPr="00577688">
        <w:rPr>
          <w:rFonts w:eastAsia="Times New Roman" w:cs="Times New Roman"/>
          <w:rtl/>
          <w:lang w:eastAsia="de-DE"/>
        </w:rPr>
        <w:t xml:space="preserve"> </w:t>
      </w:r>
      <w:r w:rsidRPr="00577688">
        <w:rPr>
          <w:rFonts w:eastAsia="Times New Roman" w:cs="Times New Roman"/>
          <w:lang w:eastAsia="de-DE"/>
        </w:rPr>
        <w:t>(sein Fünftel soll er hinzufügen) = 120% des ursprünglichen Wertes als Strafe.</w:t>
      </w:r>
    </w:p>
    <w:p w14:paraId="5872345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ונתן אתו לכהן</w:t>
      </w:r>
      <w:r w:rsidRPr="00577688">
        <w:rPr>
          <w:rFonts w:eastAsia="Times New Roman" w:cs="Times New Roman"/>
          <w:rtl/>
          <w:lang w:eastAsia="de-DE"/>
        </w:rPr>
        <w:t xml:space="preserve"> </w:t>
      </w:r>
      <w:r w:rsidRPr="00577688">
        <w:rPr>
          <w:rFonts w:eastAsia="Times New Roman" w:cs="Times New Roman"/>
          <w:lang w:eastAsia="de-DE"/>
        </w:rPr>
        <w:t xml:space="preserve">zeigt, dass die Restitution an den </w:t>
      </w:r>
      <w:r w:rsidRPr="00577688">
        <w:rPr>
          <w:rFonts w:eastAsia="Times New Roman" w:cs="Times New Roman"/>
          <w:b/>
          <w:bCs/>
          <w:rtl/>
          <w:lang w:eastAsia="de-DE"/>
        </w:rPr>
        <w:t>כהן</w:t>
      </w:r>
      <w:r w:rsidRPr="00577688">
        <w:rPr>
          <w:rFonts w:eastAsia="Times New Roman" w:cs="Times New Roman"/>
          <w:rtl/>
          <w:lang w:eastAsia="de-DE"/>
        </w:rPr>
        <w:t xml:space="preserve"> </w:t>
      </w:r>
      <w:r w:rsidRPr="00577688">
        <w:rPr>
          <w:rFonts w:eastAsia="Times New Roman" w:cs="Times New Roman"/>
          <w:lang w:eastAsia="de-DE"/>
        </w:rPr>
        <w:t xml:space="preserve">geht, der das Heiligtum vertritt. </w:t>
      </w:r>
      <w:r w:rsidRPr="00577688">
        <w:rPr>
          <w:rFonts w:eastAsia="Times New Roman" w:cs="Times New Roman"/>
          <w:b/>
          <w:bCs/>
          <w:rtl/>
          <w:lang w:eastAsia="de-DE"/>
        </w:rPr>
        <w:t>באיל האשם</w:t>
      </w:r>
      <w:r w:rsidRPr="00577688">
        <w:rPr>
          <w:rFonts w:eastAsia="Times New Roman" w:cs="Times New Roman"/>
          <w:rtl/>
          <w:lang w:eastAsia="de-DE"/>
        </w:rPr>
        <w:t xml:space="preserve"> </w:t>
      </w:r>
      <w:r w:rsidRPr="00577688">
        <w:rPr>
          <w:rFonts w:eastAsia="Times New Roman" w:cs="Times New Roman"/>
          <w:lang w:eastAsia="de-DE"/>
        </w:rPr>
        <w:t xml:space="preserve">(mit dem Widder des Schuldopfers) betont das spezifische </w:t>
      </w:r>
      <w:r w:rsidRPr="00577688">
        <w:rPr>
          <w:rFonts w:eastAsia="Times New Roman" w:cs="Times New Roman"/>
          <w:b/>
          <w:bCs/>
          <w:rtl/>
          <w:lang w:eastAsia="de-DE"/>
        </w:rPr>
        <w:t>אשם</w:t>
      </w:r>
      <w:r w:rsidRPr="00577688">
        <w:rPr>
          <w:rFonts w:eastAsia="Times New Roman" w:cs="Times New Roman"/>
          <w:lang w:eastAsia="de-DE"/>
        </w:rPr>
        <w:t>-Tier als Sühnmittel.</w:t>
      </w:r>
    </w:p>
    <w:p w14:paraId="304E701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יְשַׁלֵּ֗ם</w:t>
      </w:r>
      <w:r w:rsidRPr="00577688">
        <w:rPr>
          <w:rFonts w:eastAsia="Times New Roman" w:cs="Times New Roman"/>
          <w:rtl/>
          <w:lang w:eastAsia="de-DE"/>
        </w:rPr>
        <w:t xml:space="preserve"> </w:t>
      </w:r>
      <w:r w:rsidRPr="00577688">
        <w:rPr>
          <w:rFonts w:eastAsia="Times New Roman" w:cs="Times New Roman"/>
          <w:lang w:eastAsia="de-DE"/>
        </w:rPr>
        <w:t>mit ἀπ</w:t>
      </w:r>
      <w:proofErr w:type="spellStart"/>
      <w:r w:rsidRPr="00577688">
        <w:rPr>
          <w:rFonts w:eastAsia="Times New Roman" w:cs="Times New Roman"/>
          <w:lang w:eastAsia="de-DE"/>
        </w:rPr>
        <w:t>οτείσει</w:t>
      </w:r>
      <w:proofErr w:type="spellEnd"/>
      <w:r w:rsidRPr="00577688">
        <w:rPr>
          <w:rFonts w:eastAsia="Times New Roman" w:cs="Times New Roman"/>
          <w:lang w:eastAsia="de-DE"/>
        </w:rPr>
        <w:t xml:space="preserve"> (er soll vergelten), </w:t>
      </w:r>
      <w:r w:rsidRPr="00577688">
        <w:rPr>
          <w:rFonts w:eastAsia="Times New Roman" w:cs="Times New Roman"/>
          <w:b/>
          <w:bCs/>
          <w:rtl/>
          <w:lang w:eastAsia="de-DE"/>
        </w:rPr>
        <w:t>חֲמִֽישִׁתוֹ֙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ἐπίπ</w:t>
      </w:r>
      <w:proofErr w:type="spellStart"/>
      <w:r w:rsidRPr="00577688">
        <w:rPr>
          <w:rFonts w:eastAsia="Times New Roman" w:cs="Times New Roman"/>
          <w:lang w:eastAsia="de-DE"/>
        </w:rPr>
        <w:t>εμ</w:t>
      </w:r>
      <w:proofErr w:type="spellEnd"/>
      <w:r w:rsidRPr="00577688">
        <w:rPr>
          <w:rFonts w:eastAsia="Times New Roman" w:cs="Times New Roman"/>
          <w:lang w:eastAsia="de-DE"/>
        </w:rPr>
        <w:t>πτον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 Fünftel) und </w:t>
      </w:r>
      <w:r w:rsidRPr="00577688">
        <w:rPr>
          <w:rFonts w:eastAsia="Times New Roman" w:cs="Times New Roman"/>
          <w:b/>
          <w:bCs/>
          <w:rtl/>
          <w:lang w:eastAsia="de-DE"/>
        </w:rPr>
        <w:t>יְכַפֵּ֥ר</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ἐξιλάσετ</w:t>
      </w:r>
      <w:proofErr w:type="spellEnd"/>
      <w:r w:rsidRPr="00577688">
        <w:rPr>
          <w:rFonts w:eastAsia="Times New Roman" w:cs="Times New Roman"/>
          <w:lang w:eastAsia="de-DE"/>
        </w:rPr>
        <w:t>αι (er soll sühnen).</w:t>
      </w:r>
    </w:p>
    <w:p w14:paraId="4C2E88E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vier koordinierte Hauptsätze: Objekt + Verb // Objekt + Verb + Adverbialbestimmung // Verb + Objekt + Dativobjekt // </w:t>
      </w:r>
      <w:r w:rsidRPr="00577688">
        <w:rPr>
          <w:rFonts w:eastAsia="Times New Roman" w:cs="Times New Roman"/>
          <w:b/>
          <w:bCs/>
          <w:rtl/>
          <w:lang w:eastAsia="de-DE"/>
        </w:rPr>
        <w:t>כפרה</w:t>
      </w:r>
      <w:r w:rsidRPr="00577688">
        <w:rPr>
          <w:rFonts w:eastAsia="Times New Roman" w:cs="Times New Roman"/>
          <w:lang w:eastAsia="de-DE"/>
        </w:rPr>
        <w:t xml:space="preserve">-Formel mit Instrumentalangabe. Die Struktur zeigt das zweifache </w:t>
      </w:r>
      <w:r w:rsidRPr="00577688">
        <w:rPr>
          <w:rFonts w:eastAsia="Times New Roman" w:cs="Times New Roman"/>
          <w:b/>
          <w:bCs/>
          <w:rtl/>
          <w:lang w:eastAsia="de-DE"/>
        </w:rPr>
        <w:t>אשם</w:t>
      </w:r>
      <w:r w:rsidRPr="00577688">
        <w:rPr>
          <w:rFonts w:eastAsia="Times New Roman" w:cs="Times New Roman"/>
          <w:lang w:eastAsia="de-DE"/>
        </w:rPr>
        <w:t>-Verfahren: Restitution + Opfer.</w:t>
      </w:r>
    </w:p>
    <w:p w14:paraId="304602D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etabliert das charakteristische </w:t>
      </w:r>
      <w:r w:rsidRPr="00577688">
        <w:rPr>
          <w:rFonts w:eastAsia="Times New Roman" w:cs="Times New Roman"/>
          <w:b/>
          <w:bCs/>
          <w:rtl/>
          <w:lang w:eastAsia="de-DE"/>
        </w:rPr>
        <w:t>אשם</w:t>
      </w:r>
      <w:r w:rsidRPr="00577688">
        <w:rPr>
          <w:rFonts w:eastAsia="Times New Roman" w:cs="Times New Roman"/>
          <w:lang w:eastAsia="de-DE"/>
        </w:rPr>
        <w:t>-Verfahren: materielle Restitution mit 20% Aufschlag plus Widderopfer für vollständige Sühne.</w:t>
      </w:r>
    </w:p>
    <w:p w14:paraId="08E8E468"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5,17</w:t>
      </w:r>
    </w:p>
    <w:p w14:paraId="698F108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וְאִם־נֶ֨פֶשׁ֙ כִּ֣י תֶֽחֱטָ֔א וְעָֽשְׂתָ֗ה אַחַת֙ מִכָּל־מִצְוֹ֣ת יְהוָ֔ה אֲשֶׁ֖ר לֹ֣א תֵעָשֶׂ֑ינָה וְלֹֽא־יָדַ֥ע וְאָשֵׁ֖ם וְנָשָׂ֥א עֲוֹנֹֽו׃</w:t>
      </w:r>
    </w:p>
    <w:p w14:paraId="307994A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wenn jemand sündigt und eines von allen Geboten des Ewigen tut, die nicht getan werden sollen – hat er es auch nicht gewusst, so hat er sich doch verschuldet und soll seine Ungerechtigkeit tragen.</w:t>
      </w:r>
    </w:p>
    <w:p w14:paraId="4347EE48"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AE9B2E3">
          <v:rect id="_x0000_i1126" style="width:0;height:1.5pt" o:hralign="center" o:hrstd="t" o:hr="t" fillcolor="#a0a0a0" stroked="f"/>
        </w:pict>
      </w:r>
    </w:p>
    <w:p w14:paraId="398D1B6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וְאִם־נֶ֨פֶשׁ֙ כִּ֣י תֶֽחֱטָ֔א וְעָֽשְׂתָ֗ה אַחַת֙ מִכָּל־מִצְוֹ֣ת יְהוָ֔ה אֲשֶׁ֖ר לֹ֣א תֵעָשֶׂ֑ינָה</w:t>
      </w:r>
      <w:r w:rsidRPr="00577688">
        <w:rPr>
          <w:rFonts w:eastAsia="Times New Roman" w:cs="Times New Roman"/>
          <w:rtl/>
          <w:lang w:eastAsia="de-DE"/>
        </w:rPr>
        <w:t xml:space="preserve"> </w:t>
      </w:r>
      <w:r w:rsidRPr="00577688">
        <w:rPr>
          <w:rFonts w:eastAsia="Times New Roman" w:cs="Times New Roman"/>
          <w:lang w:eastAsia="de-DE"/>
        </w:rPr>
        <w:t xml:space="preserve">(und wenn eine Seele sündigt und eines von allen Geboten JHWHs tut, die nicht getan werden sollen) entspricht fast exakt 4,2, aber führt einen zweiten </w:t>
      </w:r>
      <w:r w:rsidRPr="00577688">
        <w:rPr>
          <w:rFonts w:eastAsia="Times New Roman" w:cs="Times New Roman"/>
          <w:b/>
          <w:bCs/>
          <w:rtl/>
          <w:lang w:eastAsia="de-DE"/>
        </w:rPr>
        <w:t>אשם</w:t>
      </w:r>
      <w:r w:rsidRPr="00577688">
        <w:rPr>
          <w:rFonts w:eastAsia="Times New Roman" w:cs="Times New Roman"/>
          <w:lang w:eastAsia="de-DE"/>
        </w:rPr>
        <w:t xml:space="preserve">-Fall ein. </w:t>
      </w:r>
      <w:r w:rsidRPr="00577688">
        <w:rPr>
          <w:rFonts w:eastAsia="Times New Roman" w:cs="Times New Roman"/>
          <w:b/>
          <w:bCs/>
          <w:rtl/>
          <w:lang w:eastAsia="de-DE"/>
        </w:rPr>
        <w:t>ואם־נפש כי תחטא</w:t>
      </w:r>
      <w:r w:rsidRPr="00577688">
        <w:rPr>
          <w:rFonts w:eastAsia="Times New Roman" w:cs="Times New Roman"/>
          <w:rtl/>
          <w:lang w:eastAsia="de-DE"/>
        </w:rPr>
        <w:t xml:space="preserve"> </w:t>
      </w:r>
      <w:r w:rsidRPr="00577688">
        <w:rPr>
          <w:rFonts w:eastAsia="Times New Roman" w:cs="Times New Roman"/>
          <w:lang w:eastAsia="de-DE"/>
        </w:rPr>
        <w:t xml:space="preserve">(und wenn eine Seele sündigt), </w:t>
      </w:r>
      <w:r w:rsidRPr="00577688">
        <w:rPr>
          <w:rFonts w:eastAsia="Times New Roman" w:cs="Times New Roman"/>
          <w:b/>
          <w:bCs/>
          <w:rtl/>
          <w:lang w:eastAsia="de-DE"/>
        </w:rPr>
        <w:t>ועשתה אחת מכל־מצות יהוה אשר לא תעשינה</w:t>
      </w:r>
      <w:r w:rsidRPr="00577688">
        <w:rPr>
          <w:rFonts w:eastAsia="Times New Roman" w:cs="Times New Roman"/>
          <w:rtl/>
          <w:lang w:eastAsia="de-DE"/>
        </w:rPr>
        <w:t xml:space="preserve"> </w:t>
      </w:r>
      <w:r w:rsidRPr="00577688">
        <w:rPr>
          <w:rFonts w:eastAsia="Times New Roman" w:cs="Times New Roman"/>
          <w:lang w:eastAsia="de-DE"/>
        </w:rPr>
        <w:t>(und sie tut eines von allen Geboten JHWHs, die nicht getan werden sollen).</w:t>
      </w:r>
    </w:p>
    <w:p w14:paraId="7561BAD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וְלֹֽא־יָדַ֥ע וְאָשֵׁ֖ם וְנָשָׂ֥א עֲוֹנֹֽו</w:t>
      </w:r>
      <w:r w:rsidRPr="00577688">
        <w:rPr>
          <w:rFonts w:eastAsia="Times New Roman" w:cs="Times New Roman"/>
          <w:rtl/>
          <w:lang w:eastAsia="de-DE"/>
        </w:rPr>
        <w:t xml:space="preserve"> </w:t>
      </w:r>
      <w:r w:rsidRPr="00577688">
        <w:rPr>
          <w:rFonts w:eastAsia="Times New Roman" w:cs="Times New Roman"/>
          <w:lang w:eastAsia="de-DE"/>
        </w:rPr>
        <w:t xml:space="preserve">(und er weiß es nicht, und er verschuldet sich, und er soll seine Schuld tragen) zeigt die besonderen Umstände. </w:t>
      </w:r>
      <w:r w:rsidRPr="00577688">
        <w:rPr>
          <w:rFonts w:eastAsia="Times New Roman" w:cs="Times New Roman"/>
          <w:b/>
          <w:bCs/>
          <w:rtl/>
          <w:lang w:eastAsia="de-DE"/>
        </w:rPr>
        <w:t>ולא־ידע</w:t>
      </w:r>
      <w:r w:rsidRPr="00577688">
        <w:rPr>
          <w:rFonts w:eastAsia="Times New Roman" w:cs="Times New Roman"/>
          <w:rtl/>
          <w:lang w:eastAsia="de-DE"/>
        </w:rPr>
        <w:t xml:space="preserve"> </w:t>
      </w:r>
      <w:r w:rsidRPr="00577688">
        <w:rPr>
          <w:rFonts w:eastAsia="Times New Roman" w:cs="Times New Roman"/>
          <w:lang w:eastAsia="de-DE"/>
        </w:rPr>
        <w:t xml:space="preserve">(und er weiß es nicht), </w:t>
      </w:r>
      <w:r w:rsidRPr="00577688">
        <w:rPr>
          <w:rFonts w:eastAsia="Times New Roman" w:cs="Times New Roman"/>
          <w:b/>
          <w:bCs/>
          <w:rtl/>
          <w:lang w:eastAsia="de-DE"/>
        </w:rPr>
        <w:t>ואשם</w:t>
      </w:r>
      <w:r w:rsidRPr="00577688">
        <w:rPr>
          <w:rFonts w:eastAsia="Times New Roman" w:cs="Times New Roman"/>
          <w:rtl/>
          <w:lang w:eastAsia="de-DE"/>
        </w:rPr>
        <w:t xml:space="preserve"> </w:t>
      </w:r>
      <w:r w:rsidRPr="00577688">
        <w:rPr>
          <w:rFonts w:eastAsia="Times New Roman" w:cs="Times New Roman"/>
          <w:lang w:eastAsia="de-DE"/>
        </w:rPr>
        <w:t xml:space="preserve">(und er verschuldet sich), </w:t>
      </w:r>
      <w:r w:rsidRPr="00577688">
        <w:rPr>
          <w:rFonts w:eastAsia="Times New Roman" w:cs="Times New Roman"/>
          <w:b/>
          <w:bCs/>
          <w:rtl/>
          <w:lang w:eastAsia="de-DE"/>
        </w:rPr>
        <w:t>ונשא עונו</w:t>
      </w:r>
      <w:r w:rsidRPr="00577688">
        <w:rPr>
          <w:rFonts w:eastAsia="Times New Roman" w:cs="Times New Roman"/>
          <w:rtl/>
          <w:lang w:eastAsia="de-DE"/>
        </w:rPr>
        <w:t xml:space="preserve"> </w:t>
      </w:r>
      <w:r w:rsidRPr="00577688">
        <w:rPr>
          <w:rFonts w:eastAsia="Times New Roman" w:cs="Times New Roman"/>
          <w:lang w:eastAsia="de-DE"/>
        </w:rPr>
        <w:t>(und er soll seine Schuld tragen).</w:t>
      </w:r>
    </w:p>
    <w:p w14:paraId="414A150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מכל־מצות יהוה אשר לא תעשינה</w:t>
      </w:r>
      <w:r w:rsidRPr="00577688">
        <w:rPr>
          <w:rFonts w:eastAsia="Times New Roman" w:cs="Times New Roman"/>
          <w:rtl/>
          <w:lang w:eastAsia="de-DE"/>
        </w:rPr>
        <w:t xml:space="preserve"> </w:t>
      </w:r>
      <w:r w:rsidRPr="00577688">
        <w:rPr>
          <w:rFonts w:eastAsia="Times New Roman" w:cs="Times New Roman"/>
          <w:lang w:eastAsia="de-DE"/>
        </w:rPr>
        <w:t xml:space="preserve">entspricht der Standard-Formulierung für Verbotsgebote von 4,2. </w:t>
      </w:r>
      <w:r w:rsidRPr="00577688">
        <w:rPr>
          <w:rFonts w:eastAsia="Times New Roman" w:cs="Times New Roman"/>
          <w:b/>
          <w:bCs/>
          <w:rtl/>
          <w:lang w:eastAsia="de-DE"/>
        </w:rPr>
        <w:t>ולא־ידע</w:t>
      </w:r>
      <w:r w:rsidRPr="00577688">
        <w:rPr>
          <w:rFonts w:eastAsia="Times New Roman" w:cs="Times New Roman"/>
          <w:rtl/>
          <w:lang w:eastAsia="de-DE"/>
        </w:rPr>
        <w:t xml:space="preserve"> </w:t>
      </w:r>
      <w:r w:rsidRPr="00577688">
        <w:rPr>
          <w:rFonts w:eastAsia="Times New Roman" w:cs="Times New Roman"/>
          <w:lang w:eastAsia="de-DE"/>
        </w:rPr>
        <w:t xml:space="preserve">unterscheidet diesen Fall von den </w:t>
      </w:r>
      <w:r w:rsidRPr="00577688">
        <w:rPr>
          <w:rFonts w:eastAsia="Times New Roman" w:cs="Times New Roman"/>
          <w:b/>
          <w:bCs/>
          <w:rtl/>
          <w:lang w:eastAsia="de-DE"/>
        </w:rPr>
        <w:t>בשגגה</w:t>
      </w:r>
      <w:r w:rsidRPr="00577688">
        <w:rPr>
          <w:rFonts w:eastAsia="Times New Roman" w:cs="Times New Roman"/>
          <w:rtl/>
          <w:lang w:eastAsia="de-DE"/>
        </w:rPr>
        <w:t xml:space="preserve"> </w:t>
      </w:r>
      <w:r w:rsidRPr="00577688">
        <w:rPr>
          <w:rFonts w:eastAsia="Times New Roman" w:cs="Times New Roman"/>
          <w:lang w:eastAsia="de-DE"/>
        </w:rPr>
        <w:t>(unwissentlich) Fällen: hier völlige Unwissenheit, dort Vergesslichkeit oder Versehen.</w:t>
      </w:r>
    </w:p>
    <w:p w14:paraId="5214E96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ואשם ונשא עונו</w:t>
      </w:r>
      <w:r w:rsidRPr="00577688">
        <w:rPr>
          <w:rFonts w:eastAsia="Times New Roman" w:cs="Times New Roman"/>
          <w:rtl/>
          <w:lang w:eastAsia="de-DE"/>
        </w:rPr>
        <w:t xml:space="preserve"> </w:t>
      </w:r>
      <w:r w:rsidRPr="00577688">
        <w:rPr>
          <w:rFonts w:eastAsia="Times New Roman" w:cs="Times New Roman"/>
          <w:lang w:eastAsia="de-DE"/>
        </w:rPr>
        <w:t xml:space="preserve">zeigt objektive Schuld trotz subjektiver Unwissenheit.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(er verschuldet sich) macht </w:t>
      </w:r>
      <w:r w:rsidRPr="00577688">
        <w:rPr>
          <w:rFonts w:eastAsia="Times New Roman" w:cs="Times New Roman"/>
          <w:b/>
          <w:bCs/>
          <w:rtl/>
          <w:lang w:eastAsia="de-DE"/>
        </w:rPr>
        <w:t>אשם</w:t>
      </w:r>
      <w:r w:rsidRPr="00577688">
        <w:rPr>
          <w:rFonts w:eastAsia="Times New Roman" w:cs="Times New Roman"/>
          <w:lang w:eastAsia="de-DE"/>
        </w:rPr>
        <w:t xml:space="preserve">-pflichtig, </w:t>
      </w:r>
      <w:r w:rsidRPr="00577688">
        <w:rPr>
          <w:rFonts w:eastAsia="Times New Roman" w:cs="Times New Roman"/>
          <w:b/>
          <w:bCs/>
          <w:rtl/>
          <w:lang w:eastAsia="de-DE"/>
        </w:rPr>
        <w:t>נשא עון</w:t>
      </w:r>
      <w:r w:rsidRPr="00577688">
        <w:rPr>
          <w:rFonts w:eastAsia="Times New Roman" w:cs="Times New Roman"/>
          <w:rtl/>
          <w:lang w:eastAsia="de-DE"/>
        </w:rPr>
        <w:t xml:space="preserve"> </w:t>
      </w:r>
      <w:r w:rsidRPr="00577688">
        <w:rPr>
          <w:rFonts w:eastAsia="Times New Roman" w:cs="Times New Roman"/>
          <w:lang w:eastAsia="de-DE"/>
        </w:rPr>
        <w:t>(Schuld tragen) zeigt die Konsequenzen.</w:t>
      </w:r>
    </w:p>
    <w:p w14:paraId="074C1CE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וְלֹֽא־יָדַ֥ע</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οὐκ</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ἔγνω</w:t>
      </w:r>
      <w:proofErr w:type="spellEnd"/>
      <w:r w:rsidRPr="00577688">
        <w:rPr>
          <w:rFonts w:eastAsia="Times New Roman" w:cs="Times New Roman"/>
          <w:lang w:eastAsia="de-DE"/>
        </w:rPr>
        <w:t xml:space="preserve"> (und er erkannte nicht), </w:t>
      </w:r>
      <w:r w:rsidRPr="00577688">
        <w:rPr>
          <w:rFonts w:eastAsia="Times New Roman" w:cs="Times New Roman"/>
          <w:b/>
          <w:bCs/>
          <w:rtl/>
          <w:lang w:eastAsia="de-DE"/>
        </w:rPr>
        <w:t>וְאָשֵׁ֖ם</w:t>
      </w:r>
      <w:r w:rsidRPr="00577688">
        <w:rPr>
          <w:rFonts w:eastAsia="Times New Roman" w:cs="Times New Roman"/>
          <w:rtl/>
          <w:lang w:eastAsia="de-DE"/>
        </w:rPr>
        <w:t xml:space="preserve"> </w:t>
      </w:r>
      <w:r w:rsidRPr="00577688">
        <w:rPr>
          <w:rFonts w:eastAsia="Times New Roman" w:cs="Times New Roman"/>
          <w:lang w:eastAsia="de-DE"/>
        </w:rPr>
        <w:t>mit καὶ π</w:t>
      </w:r>
      <w:proofErr w:type="spellStart"/>
      <w:r w:rsidRPr="00577688">
        <w:rPr>
          <w:rFonts w:eastAsia="Times New Roman" w:cs="Times New Roman"/>
          <w:lang w:eastAsia="de-DE"/>
        </w:rPr>
        <w:t>λημμελήσῃ</w:t>
      </w:r>
      <w:proofErr w:type="spellEnd"/>
      <w:r w:rsidRPr="00577688">
        <w:rPr>
          <w:rFonts w:eastAsia="Times New Roman" w:cs="Times New Roman"/>
          <w:lang w:eastAsia="de-DE"/>
        </w:rPr>
        <w:t xml:space="preserve"> (und er soll sich verfehlen) und </w:t>
      </w:r>
      <w:r w:rsidRPr="00577688">
        <w:rPr>
          <w:rFonts w:eastAsia="Times New Roman" w:cs="Times New Roman"/>
          <w:b/>
          <w:bCs/>
          <w:rtl/>
          <w:lang w:eastAsia="de-DE"/>
        </w:rPr>
        <w:t>וְנָשָׂ֥א עֲוֹנֹֽו</w:t>
      </w:r>
      <w:r w:rsidRPr="00577688">
        <w:rPr>
          <w:rFonts w:eastAsia="Times New Roman" w:cs="Times New Roman"/>
          <w:rtl/>
          <w:lang w:eastAsia="de-DE"/>
        </w:rPr>
        <w:t xml:space="preserve"> </w:t>
      </w:r>
      <w:r w:rsidRPr="00577688">
        <w:rPr>
          <w:rFonts w:eastAsia="Times New Roman" w:cs="Times New Roman"/>
          <w:lang w:eastAsia="de-DE"/>
        </w:rPr>
        <w:t xml:space="preserve">mit καὶ </w:t>
      </w:r>
      <w:proofErr w:type="spellStart"/>
      <w:r w:rsidRPr="00577688">
        <w:rPr>
          <w:rFonts w:eastAsia="Times New Roman" w:cs="Times New Roman"/>
          <w:lang w:eastAsia="de-DE"/>
        </w:rPr>
        <w:t>λά</w:t>
      </w:r>
      <w:proofErr w:type="spellEnd"/>
      <w:r w:rsidRPr="00577688">
        <w:rPr>
          <w:rFonts w:eastAsia="Times New Roman" w:cs="Times New Roman"/>
          <w:lang w:eastAsia="de-DE"/>
        </w:rPr>
        <w:t xml:space="preserve">βῃ </w:t>
      </w:r>
      <w:proofErr w:type="spellStart"/>
      <w:r w:rsidRPr="00577688">
        <w:rPr>
          <w:rFonts w:eastAsia="Times New Roman" w:cs="Times New Roman"/>
          <w:lang w:eastAsia="de-DE"/>
        </w:rPr>
        <w:t>τὴν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ἁμ</w:t>
      </w:r>
      <w:proofErr w:type="spellEnd"/>
      <w:r w:rsidRPr="00577688">
        <w:rPr>
          <w:rFonts w:eastAsia="Times New Roman" w:cs="Times New Roman"/>
          <w:lang w:eastAsia="de-DE"/>
        </w:rPr>
        <w:t>αρτίαν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(und er soll seine Sünde nehmen).</w:t>
      </w:r>
    </w:p>
    <w:p w14:paraId="0DFD414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einen Konditionalsatz: Protasis (</w:t>
      </w:r>
      <w:r w:rsidRPr="00577688">
        <w:rPr>
          <w:rFonts w:eastAsia="Times New Roman" w:cs="Times New Roman"/>
          <w:rtl/>
          <w:lang w:eastAsia="de-DE"/>
        </w:rPr>
        <w:t>אִם</w:t>
      </w:r>
      <w:r w:rsidRPr="00577688">
        <w:rPr>
          <w:rFonts w:eastAsia="Times New Roman" w:cs="Times New Roman"/>
          <w:lang w:eastAsia="de-DE"/>
        </w:rPr>
        <w:t xml:space="preserve"> + Subjekt + Konditionspartikel + Verb + koordiniertes Verb + Objekt + Relativsatz) + drei koordinierte Bedingungen. Die Struktur betont die objektive Schuld bei subjektiver Unwissenheit.</w:t>
      </w:r>
    </w:p>
    <w:p w14:paraId="47BF051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einen zweiten </w:t>
      </w:r>
      <w:r w:rsidRPr="00577688">
        <w:rPr>
          <w:rFonts w:eastAsia="Times New Roman" w:cs="Times New Roman"/>
          <w:b/>
          <w:bCs/>
          <w:rtl/>
          <w:lang w:eastAsia="de-DE"/>
        </w:rPr>
        <w:t>אשם</w:t>
      </w:r>
      <w:r w:rsidRPr="00577688">
        <w:rPr>
          <w:rFonts w:eastAsia="Times New Roman" w:cs="Times New Roman"/>
          <w:lang w:eastAsia="de-DE"/>
        </w:rPr>
        <w:t>-Fall ein: völlig unwissentliche Übertretung von Verbotsgeboten, die dennoch objektive Schuld erzeugt.</w:t>
      </w:r>
    </w:p>
    <w:p w14:paraId="0632D5DE"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5,18</w:t>
      </w:r>
    </w:p>
    <w:p w14:paraId="674353F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וְ֠הֵבִיא אַ֣יִל תָּמִ֧ים מִן־הַצֹּ֛אן בְּעֶרְכְּךָ֥ לְאָשָׁ֖ם אֶל־הַכֹּהֵ֑ן וְכִפֶּר֩ עָלָ֨יו הַכֹּהֵ֜ן עַ֣ל שִׁגְגָתוֹ֧ אֲשֶׁר־שָׁגָ֛ג וְה֥וּא לֹֽא־יָדַ֖ע וְנִסְלַ֥ח לוֹֽ׃</w:t>
      </w:r>
    </w:p>
    <w:p w14:paraId="1CF89B3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er soll einen Widder ohne Fehl vom Kleinvieh nach deiner Schätzung zum Schuldopfer zu dem Priester bringen; und der Priester soll Sühne für ihn erwirken wegen seines Versehens, das er begangen hat, ohne es zu wissen; und es wird ihm vergeben werden.</w:t>
      </w:r>
    </w:p>
    <w:p w14:paraId="08679C8C"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5280A440">
          <v:rect id="_x0000_i1127" style="width:0;height:1.5pt" o:hralign="center" o:hrstd="t" o:hr="t" fillcolor="#a0a0a0" stroked="f"/>
        </w:pict>
      </w:r>
    </w:p>
    <w:p w14:paraId="09ED5B3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וְ֠הֵבִיא אַ֣יִל תָּמִ֧ים מִן־הַצֹּ֛אן בְּעֶרְכְּךָ֥ לְאָשָׁ֖ם אֶל־הַכֹּהֵ֑ן</w:t>
      </w:r>
      <w:r w:rsidRPr="00577688">
        <w:rPr>
          <w:rFonts w:eastAsia="Times New Roman" w:cs="Times New Roman"/>
          <w:rtl/>
          <w:lang w:eastAsia="de-DE"/>
        </w:rPr>
        <w:t xml:space="preserve"> </w:t>
      </w:r>
      <w:r w:rsidRPr="00577688">
        <w:rPr>
          <w:rFonts w:eastAsia="Times New Roman" w:cs="Times New Roman"/>
          <w:lang w:eastAsia="de-DE"/>
        </w:rPr>
        <w:t xml:space="preserve">(und er soll einen fehlerlosen Widder vom Kleinvieh nach deiner Schätzung zum Schuldopfer zum Priester bringen) entspricht V. 15, aber ohne die Silber-Spezifizierung. </w:t>
      </w:r>
      <w:r w:rsidRPr="00577688">
        <w:rPr>
          <w:rFonts w:eastAsia="Times New Roman" w:cs="Times New Roman"/>
          <w:b/>
          <w:bCs/>
          <w:rtl/>
          <w:lang w:eastAsia="de-DE"/>
        </w:rPr>
        <w:t>והביא איל תמים מן־הצאן</w:t>
      </w:r>
      <w:r w:rsidRPr="00577688">
        <w:rPr>
          <w:rFonts w:eastAsia="Times New Roman" w:cs="Times New Roman"/>
          <w:rtl/>
          <w:lang w:eastAsia="de-DE"/>
        </w:rPr>
        <w:t xml:space="preserve"> </w:t>
      </w:r>
      <w:r w:rsidRPr="00577688">
        <w:rPr>
          <w:rFonts w:eastAsia="Times New Roman" w:cs="Times New Roman"/>
          <w:lang w:eastAsia="de-DE"/>
        </w:rPr>
        <w:t xml:space="preserve">(und er soll einen fehlerlosen Widder vom Kleinvieh bringen), </w:t>
      </w:r>
      <w:r w:rsidRPr="00577688">
        <w:rPr>
          <w:rFonts w:eastAsia="Times New Roman" w:cs="Times New Roman"/>
          <w:b/>
          <w:bCs/>
          <w:rtl/>
          <w:lang w:eastAsia="de-DE"/>
        </w:rPr>
        <w:t>בערכך לאשם</w:t>
      </w:r>
      <w:r w:rsidRPr="00577688">
        <w:rPr>
          <w:rFonts w:eastAsia="Times New Roman" w:cs="Times New Roman"/>
          <w:rtl/>
          <w:lang w:eastAsia="de-DE"/>
        </w:rPr>
        <w:t xml:space="preserve"> </w:t>
      </w:r>
      <w:r w:rsidRPr="00577688">
        <w:rPr>
          <w:rFonts w:eastAsia="Times New Roman" w:cs="Times New Roman"/>
          <w:lang w:eastAsia="de-DE"/>
        </w:rPr>
        <w:t xml:space="preserve">(nach deiner Schätzung zum Schuldopfer), </w:t>
      </w:r>
      <w:r w:rsidRPr="00577688">
        <w:rPr>
          <w:rFonts w:eastAsia="Times New Roman" w:cs="Times New Roman"/>
          <w:b/>
          <w:bCs/>
          <w:rtl/>
          <w:lang w:eastAsia="de-DE"/>
        </w:rPr>
        <w:t>אל־הכהן</w:t>
      </w:r>
      <w:r w:rsidRPr="00577688">
        <w:rPr>
          <w:rFonts w:eastAsia="Times New Roman" w:cs="Times New Roman"/>
          <w:rtl/>
          <w:lang w:eastAsia="de-DE"/>
        </w:rPr>
        <w:t xml:space="preserve"> </w:t>
      </w:r>
      <w:r w:rsidRPr="00577688">
        <w:rPr>
          <w:rFonts w:eastAsia="Times New Roman" w:cs="Times New Roman"/>
          <w:lang w:eastAsia="de-DE"/>
        </w:rPr>
        <w:t>(zum Priester).</w:t>
      </w:r>
    </w:p>
    <w:p w14:paraId="71D1E55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וְכִפֶּר֩ עָלָ֨יו הַכֹּהֵ֜ן עַ֣ל שִׁגְגָתוֹ֧ אֲשֶׁר־שָׁגָ֛ג וְה֥וּא לֹֽא־יָדַ֖ע וְנִסְלַ֥ח לוֹֽ</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wegen seines Versehens, das er begangen hat, und er wusste es nicht, erwirken, und es wird ihm vergeben werden) ist erweiterte </w:t>
      </w:r>
      <w:r w:rsidRPr="00577688">
        <w:rPr>
          <w:rFonts w:eastAsia="Times New Roman" w:cs="Times New Roman"/>
          <w:b/>
          <w:bCs/>
          <w:rtl/>
          <w:lang w:eastAsia="de-DE"/>
        </w:rPr>
        <w:t>כפרה</w:t>
      </w:r>
      <w:r w:rsidRPr="00577688">
        <w:rPr>
          <w:rFonts w:eastAsia="Times New Roman" w:cs="Times New Roman"/>
          <w:lang w:eastAsia="de-DE"/>
        </w:rPr>
        <w:t xml:space="preserve">-Formel. </w:t>
      </w:r>
      <w:r w:rsidRPr="00577688">
        <w:rPr>
          <w:rFonts w:eastAsia="Times New Roman" w:cs="Times New Roman"/>
          <w:b/>
          <w:bCs/>
          <w:rtl/>
          <w:lang w:eastAsia="de-DE"/>
        </w:rPr>
        <w:t>וכפר עליו הכהן</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erwirken), </w:t>
      </w:r>
      <w:r w:rsidRPr="00577688">
        <w:rPr>
          <w:rFonts w:eastAsia="Times New Roman" w:cs="Times New Roman"/>
          <w:b/>
          <w:bCs/>
          <w:rtl/>
          <w:lang w:eastAsia="de-DE"/>
        </w:rPr>
        <w:t>על שגגתו אשר־שגג</w:t>
      </w:r>
      <w:r w:rsidRPr="00577688">
        <w:rPr>
          <w:rFonts w:eastAsia="Times New Roman" w:cs="Times New Roman"/>
          <w:rtl/>
          <w:lang w:eastAsia="de-DE"/>
        </w:rPr>
        <w:t xml:space="preserve"> </w:t>
      </w:r>
      <w:r w:rsidRPr="00577688">
        <w:rPr>
          <w:rFonts w:eastAsia="Times New Roman" w:cs="Times New Roman"/>
          <w:lang w:eastAsia="de-DE"/>
        </w:rPr>
        <w:t xml:space="preserve">(wegen seines Versehens, das er begangen hat), </w:t>
      </w:r>
      <w:r w:rsidRPr="00577688">
        <w:rPr>
          <w:rFonts w:eastAsia="Times New Roman" w:cs="Times New Roman"/>
          <w:b/>
          <w:bCs/>
          <w:rtl/>
          <w:lang w:eastAsia="de-DE"/>
        </w:rPr>
        <w:t>והוא לא־ידע</w:t>
      </w:r>
      <w:r w:rsidRPr="00577688">
        <w:rPr>
          <w:rFonts w:eastAsia="Times New Roman" w:cs="Times New Roman"/>
          <w:rtl/>
          <w:lang w:eastAsia="de-DE"/>
        </w:rPr>
        <w:t xml:space="preserve"> </w:t>
      </w:r>
      <w:r w:rsidRPr="00577688">
        <w:rPr>
          <w:rFonts w:eastAsia="Times New Roman" w:cs="Times New Roman"/>
          <w:lang w:eastAsia="de-DE"/>
        </w:rPr>
        <w:t xml:space="preserve">(und er wusste es nicht), </w:t>
      </w:r>
      <w:r w:rsidRPr="00577688">
        <w:rPr>
          <w:rFonts w:eastAsia="Times New Roman" w:cs="Times New Roman"/>
          <w:b/>
          <w:bCs/>
          <w:rtl/>
          <w:lang w:eastAsia="de-DE"/>
        </w:rPr>
        <w:t>ונסלח לו</w:t>
      </w:r>
      <w:r w:rsidRPr="00577688">
        <w:rPr>
          <w:rFonts w:eastAsia="Times New Roman" w:cs="Times New Roman"/>
          <w:rtl/>
          <w:lang w:eastAsia="de-DE"/>
        </w:rPr>
        <w:t xml:space="preserve"> </w:t>
      </w:r>
      <w:r w:rsidRPr="00577688">
        <w:rPr>
          <w:rFonts w:eastAsia="Times New Roman" w:cs="Times New Roman"/>
          <w:lang w:eastAsia="de-DE"/>
        </w:rPr>
        <w:t>(und es wird ihm vergeben werden).</w:t>
      </w:r>
    </w:p>
    <w:p w14:paraId="1C58EF1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איל תמים מן־הצאן בערכך לאשם</w:t>
      </w:r>
      <w:r w:rsidRPr="00577688">
        <w:rPr>
          <w:rFonts w:eastAsia="Times New Roman" w:cs="Times New Roman"/>
          <w:rtl/>
          <w:lang w:eastAsia="de-DE"/>
        </w:rPr>
        <w:t xml:space="preserve"> </w:t>
      </w:r>
      <w:r w:rsidRPr="00577688">
        <w:rPr>
          <w:rFonts w:eastAsia="Times New Roman" w:cs="Times New Roman"/>
          <w:lang w:eastAsia="de-DE"/>
        </w:rPr>
        <w:t xml:space="preserve">entspricht V. 15, aber </w:t>
      </w:r>
      <w:r w:rsidRPr="00577688">
        <w:rPr>
          <w:rFonts w:eastAsia="Times New Roman" w:cs="Times New Roman"/>
          <w:b/>
          <w:bCs/>
          <w:rtl/>
          <w:lang w:eastAsia="de-DE"/>
        </w:rPr>
        <w:t>בערכך</w:t>
      </w:r>
      <w:r w:rsidRPr="00577688">
        <w:rPr>
          <w:rFonts w:eastAsia="Times New Roman" w:cs="Times New Roman"/>
          <w:rtl/>
          <w:lang w:eastAsia="de-DE"/>
        </w:rPr>
        <w:t xml:space="preserve"> </w:t>
      </w:r>
      <w:r w:rsidRPr="00577688">
        <w:rPr>
          <w:rFonts w:eastAsia="Times New Roman" w:cs="Times New Roman"/>
          <w:lang w:eastAsia="de-DE"/>
        </w:rPr>
        <w:t xml:space="preserve">ohne </w:t>
      </w:r>
      <w:r w:rsidRPr="00577688">
        <w:rPr>
          <w:rFonts w:eastAsia="Times New Roman" w:cs="Times New Roman"/>
          <w:b/>
          <w:bCs/>
          <w:rtl/>
          <w:lang w:eastAsia="de-DE"/>
        </w:rPr>
        <w:t>כסף־שקלים בשקל־הקדש</w:t>
      </w:r>
      <w:r w:rsidRPr="00577688">
        <w:rPr>
          <w:rFonts w:eastAsia="Times New Roman" w:cs="Times New Roman"/>
          <w:rtl/>
          <w:lang w:eastAsia="de-DE"/>
        </w:rPr>
        <w:t xml:space="preserve"> </w:t>
      </w:r>
      <w:r w:rsidRPr="00577688">
        <w:rPr>
          <w:rFonts w:eastAsia="Times New Roman" w:cs="Times New Roman"/>
          <w:lang w:eastAsia="de-DE"/>
        </w:rPr>
        <w:t>ist weniger spezifisch. Möglicherweise niedrigere Mindestanforderungen für diesen Fall.</w:t>
      </w:r>
    </w:p>
    <w:p w14:paraId="1AD8F1C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על שגגתו אשר־שגג והוא לא־ידע</w:t>
      </w:r>
      <w:r w:rsidRPr="00577688">
        <w:rPr>
          <w:rFonts w:eastAsia="Times New Roman" w:cs="Times New Roman"/>
          <w:rtl/>
          <w:lang w:eastAsia="de-DE"/>
        </w:rPr>
        <w:t xml:space="preserve"> </w:t>
      </w:r>
      <w:r w:rsidRPr="00577688">
        <w:rPr>
          <w:rFonts w:eastAsia="Times New Roman" w:cs="Times New Roman"/>
          <w:lang w:eastAsia="de-DE"/>
        </w:rPr>
        <w:t xml:space="preserve">charakterisiert diesen </w:t>
      </w:r>
      <w:r w:rsidRPr="00577688">
        <w:rPr>
          <w:rFonts w:eastAsia="Times New Roman" w:cs="Times New Roman"/>
          <w:b/>
          <w:bCs/>
          <w:rtl/>
          <w:lang w:eastAsia="de-DE"/>
        </w:rPr>
        <w:t>אשם</w:t>
      </w:r>
      <w:r w:rsidRPr="00577688">
        <w:rPr>
          <w:rFonts w:eastAsia="Times New Roman" w:cs="Times New Roman"/>
          <w:lang w:eastAsia="de-DE"/>
        </w:rPr>
        <w:t xml:space="preserve">-Fall: </w:t>
      </w:r>
      <w:r w:rsidRPr="00577688">
        <w:rPr>
          <w:rFonts w:eastAsia="Times New Roman" w:cs="Times New Roman"/>
          <w:b/>
          <w:bCs/>
          <w:rtl/>
          <w:lang w:eastAsia="de-DE"/>
        </w:rPr>
        <w:t>שגגה</w:t>
      </w:r>
      <w:r w:rsidRPr="00577688">
        <w:rPr>
          <w:rFonts w:eastAsia="Times New Roman" w:cs="Times New Roman"/>
          <w:rtl/>
          <w:lang w:eastAsia="de-DE"/>
        </w:rPr>
        <w:t xml:space="preserve"> </w:t>
      </w:r>
      <w:r w:rsidRPr="00577688">
        <w:rPr>
          <w:rFonts w:eastAsia="Times New Roman" w:cs="Times New Roman"/>
          <w:lang w:eastAsia="de-DE"/>
        </w:rPr>
        <w:t>(Versehen) bei völliger Unwissenheit (</w:t>
      </w:r>
      <w:r w:rsidRPr="00577688">
        <w:rPr>
          <w:rFonts w:eastAsia="Times New Roman" w:cs="Times New Roman"/>
          <w:b/>
          <w:bCs/>
          <w:rtl/>
          <w:lang w:eastAsia="de-DE"/>
        </w:rPr>
        <w:t>לא־ידע</w:t>
      </w:r>
      <w:r w:rsidRPr="00577688">
        <w:rPr>
          <w:rFonts w:eastAsia="Times New Roman" w:cs="Times New Roman"/>
          <w:lang w:eastAsia="de-DE"/>
        </w:rPr>
        <w:t xml:space="preserve">). </w:t>
      </w:r>
      <w:r w:rsidRPr="00577688">
        <w:rPr>
          <w:rFonts w:eastAsia="Times New Roman" w:cs="Times New Roman"/>
          <w:b/>
          <w:bCs/>
          <w:rtl/>
          <w:lang w:eastAsia="de-DE"/>
        </w:rPr>
        <w:t>שגג</w:t>
      </w:r>
      <w:r w:rsidRPr="00577688">
        <w:rPr>
          <w:rFonts w:eastAsia="Times New Roman" w:cs="Times New Roman"/>
          <w:rtl/>
          <w:lang w:eastAsia="de-DE"/>
        </w:rPr>
        <w:t xml:space="preserve"> </w:t>
      </w:r>
      <w:r w:rsidRPr="00577688">
        <w:rPr>
          <w:rFonts w:eastAsia="Times New Roman" w:cs="Times New Roman"/>
          <w:lang w:eastAsia="de-DE"/>
        </w:rPr>
        <w:t xml:space="preserve">(sich verirren/versehen) unterscheidet sich von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(Untreue begehen) in V. 15.</w:t>
      </w:r>
    </w:p>
    <w:p w14:paraId="0FC0A13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בְּעֶרְכְּךָ֥</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τῇ</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τιμῇ</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σου</w:t>
      </w:r>
      <w:proofErr w:type="spellEnd"/>
      <w:r w:rsidRPr="00577688">
        <w:rPr>
          <w:rFonts w:eastAsia="Times New Roman" w:cs="Times New Roman"/>
          <w:lang w:eastAsia="de-DE"/>
        </w:rPr>
        <w:t xml:space="preserve"> (nach deiner Schätzung), </w:t>
      </w:r>
      <w:r w:rsidRPr="00577688">
        <w:rPr>
          <w:rFonts w:eastAsia="Times New Roman" w:cs="Times New Roman"/>
          <w:b/>
          <w:bCs/>
          <w:rtl/>
          <w:lang w:eastAsia="de-DE"/>
        </w:rPr>
        <w:t>שִׁגְגָתוֹ֧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ἀγνοί</w:t>
      </w:r>
      <w:proofErr w:type="spellEnd"/>
      <w:r w:rsidRPr="00577688">
        <w:rPr>
          <w:rFonts w:eastAsia="Times New Roman" w:cs="Times New Roman"/>
          <w:lang w:eastAsia="de-DE"/>
        </w:rPr>
        <w:t>ας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(seiner Unwissenheit) und </w:t>
      </w:r>
      <w:r w:rsidRPr="00577688">
        <w:rPr>
          <w:rFonts w:eastAsia="Times New Roman" w:cs="Times New Roman"/>
          <w:b/>
          <w:bCs/>
          <w:rtl/>
          <w:lang w:eastAsia="de-DE"/>
        </w:rPr>
        <w:t>לֹֽא־יָדַ֖ע</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οὐκ</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ᾔδει</w:t>
      </w:r>
      <w:proofErr w:type="spellEnd"/>
      <w:r w:rsidRPr="00577688">
        <w:rPr>
          <w:rFonts w:eastAsia="Times New Roman" w:cs="Times New Roman"/>
          <w:lang w:eastAsia="de-DE"/>
        </w:rPr>
        <w:t xml:space="preserve"> (er wusste nicht).</w:t>
      </w:r>
    </w:p>
    <w:p w14:paraId="6BF54B6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zwei koordinierte Hauptsätze: Verb + komplexe Objektbeschreibung + Adverbialbestimmung // erweiterte </w:t>
      </w:r>
      <w:r w:rsidRPr="00577688">
        <w:rPr>
          <w:rFonts w:eastAsia="Times New Roman" w:cs="Times New Roman"/>
          <w:b/>
          <w:bCs/>
          <w:rtl/>
          <w:lang w:eastAsia="de-DE"/>
        </w:rPr>
        <w:t>כפרה</w:t>
      </w:r>
      <w:r w:rsidRPr="00577688">
        <w:rPr>
          <w:rFonts w:eastAsia="Times New Roman" w:cs="Times New Roman"/>
          <w:lang w:eastAsia="de-DE"/>
        </w:rPr>
        <w:t>-Formel mit detaillierter Begründung. Die Struktur betont die Sühnwirkung trotz Unwissenheit.</w:t>
      </w:r>
    </w:p>
    <w:p w14:paraId="3C5A0CB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schließt den zweiten </w:t>
      </w:r>
      <w:r w:rsidRPr="00577688">
        <w:rPr>
          <w:rFonts w:eastAsia="Times New Roman" w:cs="Times New Roman"/>
          <w:b/>
          <w:bCs/>
          <w:rtl/>
          <w:lang w:eastAsia="de-DE"/>
        </w:rPr>
        <w:t>אשם</w:t>
      </w:r>
      <w:r w:rsidRPr="00577688">
        <w:rPr>
          <w:rFonts w:eastAsia="Times New Roman" w:cs="Times New Roman"/>
          <w:lang w:eastAsia="de-DE"/>
        </w:rPr>
        <w:t xml:space="preserve">-Fall ab: </w:t>
      </w:r>
      <w:r w:rsidRPr="00577688">
        <w:rPr>
          <w:rFonts w:eastAsia="Times New Roman" w:cs="Times New Roman"/>
          <w:b/>
          <w:bCs/>
          <w:rtl/>
          <w:lang w:eastAsia="de-DE"/>
        </w:rPr>
        <w:t>איל</w:t>
      </w:r>
      <w:r w:rsidRPr="00577688">
        <w:rPr>
          <w:rFonts w:eastAsia="Times New Roman" w:cs="Times New Roman"/>
          <w:rtl/>
          <w:lang w:eastAsia="de-DE"/>
        </w:rPr>
        <w:t xml:space="preserve"> </w:t>
      </w:r>
      <w:r w:rsidRPr="00577688">
        <w:rPr>
          <w:rFonts w:eastAsia="Times New Roman" w:cs="Times New Roman"/>
          <w:lang w:eastAsia="de-DE"/>
        </w:rPr>
        <w:t xml:space="preserve">(Widder) für unwissentliche Übertretung mit priesterlicher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und göttlicher </w:t>
      </w:r>
      <w:r w:rsidRPr="00577688">
        <w:rPr>
          <w:rFonts w:eastAsia="Times New Roman" w:cs="Times New Roman"/>
          <w:b/>
          <w:bCs/>
          <w:rtl/>
          <w:lang w:eastAsia="de-DE"/>
        </w:rPr>
        <w:t>סליחה</w:t>
      </w:r>
      <w:r w:rsidRPr="00577688">
        <w:rPr>
          <w:rFonts w:eastAsia="Times New Roman" w:cs="Times New Roman"/>
          <w:lang w:eastAsia="de-DE"/>
        </w:rPr>
        <w:t>.</w:t>
      </w:r>
    </w:p>
    <w:p w14:paraId="65A6130E"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5,19</w:t>
      </w:r>
    </w:p>
    <w:p w14:paraId="2F35EC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אָשָׁ֖ם ה֑וּא אָשֹׁ֥ם אָשַׁ֖ם לַיהוָֽה׃</w:t>
      </w:r>
    </w:p>
    <w:p w14:paraId="42C7AA4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Es ist ein Schuldopfer; er hat sich gewiss gegen den Ewigen verschuldet.</w:t>
      </w:r>
    </w:p>
    <w:p w14:paraId="00DD738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2C2A19C5">
          <v:rect id="_x0000_i1128" style="width:0;height:1.5pt" o:hralign="center" o:hrstd="t" o:hr="t" fillcolor="#a0a0a0" stroked="f"/>
        </w:pict>
      </w:r>
    </w:p>
    <w:p w14:paraId="4AA5482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אָשָׁ֖ם ה֑וּא אָשֹׁ֥ם אָשַׁ֖ם לַיהוָֽה</w:t>
      </w:r>
      <w:r w:rsidRPr="00577688">
        <w:rPr>
          <w:rFonts w:eastAsia="Times New Roman" w:cs="Times New Roman"/>
          <w:rtl/>
          <w:lang w:eastAsia="de-DE"/>
        </w:rPr>
        <w:t xml:space="preserve"> </w:t>
      </w:r>
      <w:r w:rsidRPr="00577688">
        <w:rPr>
          <w:rFonts w:eastAsia="Times New Roman" w:cs="Times New Roman"/>
          <w:lang w:eastAsia="de-DE"/>
        </w:rPr>
        <w:t xml:space="preserve">ist eine emphatische Schlussformel. </w:t>
      </w:r>
      <w:r w:rsidRPr="00577688">
        <w:rPr>
          <w:rFonts w:eastAsia="Times New Roman" w:cs="Times New Roman"/>
          <w:b/>
          <w:bCs/>
          <w:rtl/>
          <w:lang w:eastAsia="de-DE"/>
        </w:rPr>
        <w:t>אשם הוא</w:t>
      </w:r>
      <w:r w:rsidRPr="00577688">
        <w:rPr>
          <w:rFonts w:eastAsia="Times New Roman" w:cs="Times New Roman"/>
          <w:rtl/>
          <w:lang w:eastAsia="de-DE"/>
        </w:rPr>
        <w:t xml:space="preserve"> </w:t>
      </w:r>
      <w:r w:rsidRPr="00577688">
        <w:rPr>
          <w:rFonts w:eastAsia="Times New Roman" w:cs="Times New Roman"/>
          <w:lang w:eastAsia="de-DE"/>
        </w:rPr>
        <w:t xml:space="preserve">(es ist ein Schuldopfer) mit emphatischem Pronomen, </w:t>
      </w:r>
      <w:r w:rsidRPr="00577688">
        <w:rPr>
          <w:rFonts w:eastAsia="Times New Roman" w:cs="Times New Roman"/>
          <w:b/>
          <w:bCs/>
          <w:rtl/>
          <w:lang w:eastAsia="de-DE"/>
        </w:rPr>
        <w:t>אשום אשם ליהוה</w:t>
      </w:r>
      <w:r w:rsidRPr="00577688">
        <w:rPr>
          <w:rFonts w:eastAsia="Times New Roman" w:cs="Times New Roman"/>
          <w:rtl/>
          <w:lang w:eastAsia="de-DE"/>
        </w:rPr>
        <w:t xml:space="preserve"> </w:t>
      </w:r>
      <w:r w:rsidRPr="00577688">
        <w:rPr>
          <w:rFonts w:eastAsia="Times New Roman" w:cs="Times New Roman"/>
          <w:lang w:eastAsia="de-DE"/>
        </w:rPr>
        <w:t>(gewiss hat er sich gegen JHWH verschuldet) mit verstärkender Konstruktion: Infinitiv absolut + finite Verbform.</w:t>
      </w:r>
    </w:p>
    <w:p w14:paraId="41CCBDC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אשם הוא</w:t>
      </w:r>
      <w:r w:rsidRPr="00577688">
        <w:rPr>
          <w:rFonts w:eastAsia="Times New Roman" w:cs="Times New Roman"/>
          <w:rtl/>
          <w:lang w:eastAsia="de-DE"/>
        </w:rPr>
        <w:t xml:space="preserve"> </w:t>
      </w:r>
      <w:r w:rsidRPr="00577688">
        <w:rPr>
          <w:rFonts w:eastAsia="Times New Roman" w:cs="Times New Roman"/>
          <w:lang w:eastAsia="de-DE"/>
        </w:rPr>
        <w:t xml:space="preserve">klassifiziert dieses Opfer eindeutig als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(Schuldopfer), nicht als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(Sündopfer). </w:t>
      </w:r>
      <w:r w:rsidRPr="00577688">
        <w:rPr>
          <w:rFonts w:eastAsia="Times New Roman" w:cs="Times New Roman"/>
          <w:b/>
          <w:bCs/>
          <w:rtl/>
          <w:lang w:eastAsia="de-DE"/>
        </w:rPr>
        <w:t>אשום אשם</w:t>
      </w:r>
      <w:r w:rsidRPr="00577688">
        <w:rPr>
          <w:rFonts w:eastAsia="Times New Roman" w:cs="Times New Roman"/>
          <w:rtl/>
          <w:lang w:eastAsia="de-DE"/>
        </w:rPr>
        <w:t xml:space="preserve"> </w:t>
      </w:r>
      <w:r w:rsidRPr="00577688">
        <w:rPr>
          <w:rFonts w:eastAsia="Times New Roman" w:cs="Times New Roman"/>
          <w:lang w:eastAsia="de-DE"/>
        </w:rPr>
        <w:t xml:space="preserve">ist verstärkende Konstruktion wie </w:t>
      </w:r>
      <w:r w:rsidRPr="00577688">
        <w:rPr>
          <w:rFonts w:eastAsia="Times New Roman" w:cs="Times New Roman"/>
          <w:b/>
          <w:bCs/>
          <w:rtl/>
          <w:lang w:eastAsia="de-DE"/>
        </w:rPr>
        <w:t>תמעל מעל</w:t>
      </w:r>
      <w:r w:rsidRPr="00577688">
        <w:rPr>
          <w:rFonts w:eastAsia="Times New Roman" w:cs="Times New Roman"/>
          <w:rtl/>
          <w:lang w:eastAsia="de-DE"/>
        </w:rPr>
        <w:t xml:space="preserve"> </w:t>
      </w:r>
      <w:r w:rsidRPr="00577688">
        <w:rPr>
          <w:rFonts w:eastAsia="Times New Roman" w:cs="Times New Roman"/>
          <w:lang w:eastAsia="de-DE"/>
        </w:rPr>
        <w:t>in V. 15: Infinitiv absolut + Perfekt für Emphase.</w:t>
      </w:r>
    </w:p>
    <w:p w14:paraId="669A666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ליהוה</w:t>
      </w:r>
      <w:r w:rsidRPr="00577688">
        <w:rPr>
          <w:rFonts w:eastAsia="Times New Roman" w:cs="Times New Roman"/>
          <w:rtl/>
          <w:lang w:eastAsia="de-DE"/>
        </w:rPr>
        <w:t xml:space="preserve"> </w:t>
      </w:r>
      <w:r w:rsidRPr="00577688">
        <w:rPr>
          <w:rFonts w:eastAsia="Times New Roman" w:cs="Times New Roman"/>
          <w:lang w:eastAsia="de-DE"/>
        </w:rPr>
        <w:t xml:space="preserve">(gegen JHWH) zeigt, dass auch unwissentliche Übertretungen letztlich Vergehen gegen Gott sind, die </w:t>
      </w:r>
      <w:r w:rsidRPr="00577688">
        <w:rPr>
          <w:rFonts w:eastAsia="Times New Roman" w:cs="Times New Roman"/>
          <w:b/>
          <w:bCs/>
          <w:rtl/>
          <w:lang w:eastAsia="de-DE"/>
        </w:rPr>
        <w:t>אשם</w:t>
      </w:r>
      <w:r w:rsidRPr="00577688">
        <w:rPr>
          <w:rFonts w:eastAsia="Times New Roman" w:cs="Times New Roman"/>
          <w:lang w:eastAsia="de-DE"/>
        </w:rPr>
        <w:t>-pflichtig machen. Die Betonung liegt auf der objektiven Schuld unabhängig von subjektiver Erkenntnis.</w:t>
      </w:r>
    </w:p>
    <w:p w14:paraId="4C57135F" w14:textId="5F271160"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t>
      </w:r>
      <w:r w:rsidR="00B3655B">
        <w:t xml:space="preserve">verkürzt </w:t>
      </w:r>
      <w:r w:rsidR="00B3655B">
        <w:rPr>
          <w:rtl/>
        </w:rPr>
        <w:t>אשם הוא אשום אשם ליהוה</w:t>
      </w:r>
      <w:r w:rsidR="00B3655B">
        <w:t xml:space="preserve"> zu ἐπ</w:t>
      </w:r>
      <w:proofErr w:type="spellStart"/>
      <w:r w:rsidR="00B3655B">
        <w:t>λημμέλησεν</w:t>
      </w:r>
      <w:proofErr w:type="spellEnd"/>
      <w:r w:rsidR="00B3655B">
        <w:t xml:space="preserve"> </w:t>
      </w:r>
      <w:proofErr w:type="spellStart"/>
      <w:r w:rsidR="00B3655B">
        <w:t>γὰρ</w:t>
      </w:r>
      <w:proofErr w:type="spellEnd"/>
      <w:r w:rsidR="00B3655B">
        <w:t xml:space="preserve"> π</w:t>
      </w:r>
      <w:proofErr w:type="spellStart"/>
      <w:r w:rsidR="00B3655B">
        <w:t>λημμέλησιν</w:t>
      </w:r>
      <w:proofErr w:type="spellEnd"/>
      <w:r w:rsidR="00B3655B">
        <w:t xml:space="preserve"> </w:t>
      </w:r>
      <w:proofErr w:type="spellStart"/>
      <w:r w:rsidR="00B3655B">
        <w:t>ἔν</w:t>
      </w:r>
      <w:proofErr w:type="spellEnd"/>
      <w:r w:rsidR="00B3655B">
        <w:t xml:space="preserve">αντι </w:t>
      </w:r>
      <w:proofErr w:type="spellStart"/>
      <w:r w:rsidR="00B3655B">
        <w:t>κυρίου</w:t>
      </w:r>
      <w:proofErr w:type="spellEnd"/>
      <w:r w:rsidR="00B3655B">
        <w:t xml:space="preserve">, wobei die dreifache </w:t>
      </w:r>
      <w:r w:rsidR="00B3655B">
        <w:rPr>
          <w:rtl/>
        </w:rPr>
        <w:t>אשם</w:t>
      </w:r>
      <w:r w:rsidR="00B3655B">
        <w:t>-Formel nicht vollständig wiedergegeben wird.</w:t>
      </w:r>
    </w:p>
    <w:p w14:paraId="438F05D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emphatische Doppelaussage: Klassifikation mit emphatischem Pronomen + verstärkte Schuldaussage mit Dativangabe. Die Struktur betont die Gewissheit der </w:t>
      </w:r>
      <w:r w:rsidRPr="00577688">
        <w:rPr>
          <w:rFonts w:eastAsia="Times New Roman" w:cs="Times New Roman"/>
          <w:b/>
          <w:bCs/>
          <w:rtl/>
          <w:lang w:eastAsia="de-DE"/>
        </w:rPr>
        <w:t>אשם</w:t>
      </w:r>
      <w:r w:rsidRPr="00577688">
        <w:rPr>
          <w:rFonts w:eastAsia="Times New Roman" w:cs="Times New Roman"/>
          <w:lang w:eastAsia="de-DE"/>
        </w:rPr>
        <w:t>-Klassifikation.</w:t>
      </w:r>
    </w:p>
    <w:p w14:paraId="60DF08C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schließt die allgemeinen </w:t>
      </w:r>
      <w:r w:rsidRPr="00577688">
        <w:rPr>
          <w:rFonts w:eastAsia="Times New Roman" w:cs="Times New Roman"/>
          <w:b/>
          <w:bCs/>
          <w:rtl/>
          <w:lang w:eastAsia="de-DE"/>
        </w:rPr>
        <w:t>אשם</w:t>
      </w:r>
      <w:r w:rsidRPr="00577688">
        <w:rPr>
          <w:rFonts w:eastAsia="Times New Roman" w:cs="Times New Roman"/>
          <w:lang w:eastAsia="de-DE"/>
        </w:rPr>
        <w:t>-Bestimmungen mit emphatischer Bekräftigung der objektiven Schuld ab.</w:t>
      </w:r>
    </w:p>
    <w:p w14:paraId="675FA82E"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5,20</w:t>
      </w:r>
    </w:p>
    <w:p w14:paraId="5BC3E54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וַיְדַבֵּ֥ר יְהוָ֖ה אֶל־מֹשֶׁ֥ה לֵּאמֹֽר׃</w:t>
      </w:r>
    </w:p>
    <w:p w14:paraId="053F6BE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Ewige redete zu Mosche und sprach:</w:t>
      </w:r>
    </w:p>
    <w:p w14:paraId="6D1A21C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lastRenderedPageBreak/>
        <w:pict w14:anchorId="662B7155">
          <v:rect id="_x0000_i1129" style="width:0;height:1.5pt" o:hralign="center" o:hrstd="t" o:hr="t" fillcolor="#a0a0a0" stroked="f"/>
        </w:pict>
      </w:r>
    </w:p>
    <w:p w14:paraId="1E8DB77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Diese zweite Einleitungsformel innerhalb von Kapitel 5 (vgl. V. 14) markiert einen neuen Unterabschnitt zu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für zwischenmenschliche Vergehen. </w:t>
      </w:r>
      <w:r w:rsidRPr="00577688">
        <w:rPr>
          <w:rFonts w:eastAsia="Times New Roman" w:cs="Times New Roman"/>
          <w:b/>
          <w:bCs/>
          <w:rtl/>
          <w:lang w:eastAsia="de-DE"/>
        </w:rPr>
        <w:t>וידבר יהוה אל־משה לאמר</w:t>
      </w:r>
      <w:r w:rsidRPr="00577688">
        <w:rPr>
          <w:rFonts w:eastAsia="Times New Roman" w:cs="Times New Roman"/>
          <w:rtl/>
          <w:lang w:eastAsia="de-DE"/>
        </w:rPr>
        <w:t xml:space="preserve"> </w:t>
      </w:r>
      <w:r w:rsidRPr="00577688">
        <w:rPr>
          <w:rFonts w:eastAsia="Times New Roman" w:cs="Times New Roman"/>
          <w:lang w:eastAsia="de-DE"/>
        </w:rPr>
        <w:t xml:space="preserve">entspricht exakt V. 14 und zeigt die systematische Gliederung der </w:t>
      </w:r>
      <w:r w:rsidRPr="00577688">
        <w:rPr>
          <w:rFonts w:eastAsia="Times New Roman" w:cs="Times New Roman"/>
          <w:b/>
          <w:bCs/>
          <w:rtl/>
          <w:lang w:eastAsia="de-DE"/>
        </w:rPr>
        <w:t>אשם</w:t>
      </w:r>
      <w:r w:rsidRPr="00577688">
        <w:rPr>
          <w:rFonts w:eastAsia="Times New Roman" w:cs="Times New Roman"/>
          <w:lang w:eastAsia="de-DE"/>
        </w:rPr>
        <w:t>-Gesetze.</w:t>
      </w:r>
    </w:p>
    <w:p w14:paraId="23340B8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identisch zu V. 14: καὶ </w:t>
      </w:r>
      <w:proofErr w:type="spellStart"/>
      <w:r w:rsidRPr="00577688">
        <w:rPr>
          <w:rFonts w:eastAsia="Times New Roman" w:cs="Times New Roman"/>
          <w:lang w:eastAsia="de-DE"/>
        </w:rPr>
        <w:t>ἐλάλησεν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κύριος</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ρὸς</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Μωυσῆν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λέγων</w:t>
      </w:r>
      <w:proofErr w:type="spellEnd"/>
      <w:r w:rsidRPr="00577688">
        <w:rPr>
          <w:rFonts w:eastAsia="Times New Roman" w:cs="Times New Roman"/>
          <w:lang w:eastAsia="de-DE"/>
        </w:rPr>
        <w:t xml:space="preserve"> (und der Herr sprach zu Mose, sagend).</w:t>
      </w:r>
    </w:p>
    <w:p w14:paraId="1EAAAC1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14 und zeigt die systematische Unterteilung der </w:t>
      </w:r>
      <w:r w:rsidRPr="00577688">
        <w:rPr>
          <w:rFonts w:eastAsia="Times New Roman" w:cs="Times New Roman"/>
          <w:b/>
          <w:bCs/>
          <w:rtl/>
          <w:lang w:eastAsia="de-DE"/>
        </w:rPr>
        <w:t>אשם</w:t>
      </w:r>
      <w:r w:rsidRPr="00577688">
        <w:rPr>
          <w:rFonts w:eastAsia="Times New Roman" w:cs="Times New Roman"/>
          <w:lang w:eastAsia="de-DE"/>
        </w:rPr>
        <w:t>-Bestimmungen in verschiedene Kategorien.</w:t>
      </w:r>
    </w:p>
    <w:p w14:paraId="149969E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 zweite Einleitungsformel leitet den dritten </w:t>
      </w:r>
      <w:r w:rsidRPr="00577688">
        <w:rPr>
          <w:rFonts w:eastAsia="Times New Roman" w:cs="Times New Roman"/>
          <w:b/>
          <w:bCs/>
          <w:rtl/>
          <w:lang w:eastAsia="de-DE"/>
        </w:rPr>
        <w:t>אשם</w:t>
      </w:r>
      <w:r w:rsidRPr="00577688">
        <w:rPr>
          <w:rFonts w:eastAsia="Times New Roman" w:cs="Times New Roman"/>
          <w:lang w:eastAsia="de-DE"/>
        </w:rPr>
        <w:t>-Fall ein: Vergehen gegen den Nächsten mit falschen Eiden.</w:t>
      </w:r>
    </w:p>
    <w:p w14:paraId="5C8020C0"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5,21</w:t>
      </w:r>
    </w:p>
    <w:p w14:paraId="3A75462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נֶ֚פֶשׁ כִּ֣י תֶחֱטָ֔א וּמָעֲלָ֥ה מַ֖עַל בַּיהוָ֑ה וְכִחֵ֨שׁ בַּעֲמִיתֹ֜ו בְּפִקָּד֗וֹן אֽוֹ־בִתְשׂ֤וּמֶת יָד֙ א֣וֹ בְגָזֵ֔ל א֖וֹ עָשַׁ֥ק אֶת־עֲמִיתֹֽו׃</w:t>
      </w:r>
    </w:p>
    <w:p w14:paraId="40124A2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Wenn jemand sündigt und Untreue gegen den Ewigen begeht, dass er seinem Nächsten ein anvertrautes Gut vorenthält oder ein Darlehen oder etwas Geraubtes; oder er hat von seinem Nächsten etwas erpresst;</w:t>
      </w:r>
    </w:p>
    <w:p w14:paraId="18B35BD0"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0399B053">
          <v:rect id="_x0000_i1130" style="width:0;height:1.5pt" o:hralign="center" o:hrstd="t" o:hr="t" fillcolor="#a0a0a0" stroked="f"/>
        </w:pict>
      </w:r>
    </w:p>
    <w:p w14:paraId="33D6036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נֶ֚פֶשׁ כִּ֣י תֶחֱטָ֔א וּמָעֲלָ֥ה מַ֖עַל בַּיהוָ֑ה</w:t>
      </w:r>
      <w:r w:rsidRPr="00577688">
        <w:rPr>
          <w:rFonts w:eastAsia="Times New Roman" w:cs="Times New Roman"/>
          <w:rtl/>
          <w:lang w:eastAsia="de-DE"/>
        </w:rPr>
        <w:t xml:space="preserve"> </w:t>
      </w:r>
      <w:r w:rsidRPr="00577688">
        <w:rPr>
          <w:rFonts w:eastAsia="Times New Roman" w:cs="Times New Roman"/>
          <w:lang w:eastAsia="de-DE"/>
        </w:rPr>
        <w:t xml:space="preserve">(wenn eine Seele sündigt und Untreue gegen JHWH begeht) leitet den dritten </w:t>
      </w:r>
      <w:r w:rsidRPr="00577688">
        <w:rPr>
          <w:rFonts w:eastAsia="Times New Roman" w:cs="Times New Roman"/>
          <w:b/>
          <w:bCs/>
          <w:rtl/>
          <w:lang w:eastAsia="de-DE"/>
        </w:rPr>
        <w:t>אשם</w:t>
      </w:r>
      <w:r w:rsidRPr="00577688">
        <w:rPr>
          <w:rFonts w:eastAsia="Times New Roman" w:cs="Times New Roman"/>
          <w:lang w:eastAsia="de-DE"/>
        </w:rPr>
        <w:t xml:space="preserve">-Fall ein. </w:t>
      </w:r>
      <w:r w:rsidRPr="00577688">
        <w:rPr>
          <w:rFonts w:eastAsia="Times New Roman" w:cs="Times New Roman"/>
          <w:b/>
          <w:bCs/>
          <w:rtl/>
          <w:lang w:eastAsia="de-DE"/>
        </w:rPr>
        <w:t>נפש כי תחטא</w:t>
      </w:r>
      <w:r w:rsidRPr="00577688">
        <w:rPr>
          <w:rFonts w:eastAsia="Times New Roman" w:cs="Times New Roman"/>
          <w:rtl/>
          <w:lang w:eastAsia="de-DE"/>
        </w:rPr>
        <w:t xml:space="preserve"> </w:t>
      </w:r>
      <w:r w:rsidRPr="00577688">
        <w:rPr>
          <w:rFonts w:eastAsia="Times New Roman" w:cs="Times New Roman"/>
          <w:lang w:eastAsia="de-DE"/>
        </w:rPr>
        <w:t xml:space="preserve">(wenn eine Seele sündigt), </w:t>
      </w:r>
      <w:r w:rsidRPr="00577688">
        <w:rPr>
          <w:rFonts w:eastAsia="Times New Roman" w:cs="Times New Roman"/>
          <w:b/>
          <w:bCs/>
          <w:rtl/>
          <w:lang w:eastAsia="de-DE"/>
        </w:rPr>
        <w:t>ומעלה מעל ביהוה</w:t>
      </w:r>
      <w:r w:rsidRPr="00577688">
        <w:rPr>
          <w:rFonts w:eastAsia="Times New Roman" w:cs="Times New Roman"/>
          <w:rtl/>
          <w:lang w:eastAsia="de-DE"/>
        </w:rPr>
        <w:t xml:space="preserve"> </w:t>
      </w:r>
      <w:r w:rsidRPr="00577688">
        <w:rPr>
          <w:rFonts w:eastAsia="Times New Roman" w:cs="Times New Roman"/>
          <w:lang w:eastAsia="de-DE"/>
        </w:rPr>
        <w:t xml:space="preserve">(und Untreue gegen JHWH begeht) mit verstärkender Konstruktion und </w:t>
      </w:r>
      <w:r w:rsidRPr="00577688">
        <w:rPr>
          <w:rFonts w:eastAsia="Times New Roman" w:cs="Times New Roman"/>
          <w:b/>
          <w:bCs/>
          <w:rtl/>
          <w:lang w:eastAsia="de-DE"/>
        </w:rPr>
        <w:t>ב</w:t>
      </w:r>
      <w:r w:rsidRPr="00577688">
        <w:rPr>
          <w:rFonts w:eastAsia="Times New Roman" w:cs="Times New Roman"/>
          <w:rtl/>
          <w:lang w:eastAsia="de-DE"/>
        </w:rPr>
        <w:t xml:space="preserve"> </w:t>
      </w:r>
      <w:r w:rsidRPr="00577688">
        <w:rPr>
          <w:rFonts w:eastAsia="Times New Roman" w:cs="Times New Roman"/>
          <w:lang w:eastAsia="de-DE"/>
        </w:rPr>
        <w:t>(gegen).</w:t>
      </w:r>
    </w:p>
    <w:p w14:paraId="344D027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וְכִחֵ֨שׁ בַּעֲמִיתֹ֜ו</w:t>
      </w:r>
      <w:r w:rsidRPr="00577688">
        <w:rPr>
          <w:rFonts w:eastAsia="Times New Roman" w:cs="Times New Roman"/>
          <w:rtl/>
          <w:lang w:eastAsia="de-DE"/>
        </w:rPr>
        <w:t xml:space="preserve"> </w:t>
      </w:r>
      <w:r w:rsidRPr="00577688">
        <w:rPr>
          <w:rFonts w:eastAsia="Times New Roman" w:cs="Times New Roman"/>
          <w:lang w:eastAsia="de-DE"/>
        </w:rPr>
        <w:t xml:space="preserve">(und er leugnet gegenüber seinem Nächsten) zeigt die Art der Untreue. </w:t>
      </w:r>
      <w:r w:rsidRPr="00577688">
        <w:rPr>
          <w:rFonts w:eastAsia="Times New Roman" w:cs="Times New Roman"/>
          <w:b/>
          <w:bCs/>
          <w:rtl/>
          <w:lang w:eastAsia="de-DE"/>
        </w:rPr>
        <w:t>כחש</w:t>
      </w:r>
      <w:r w:rsidRPr="00577688">
        <w:rPr>
          <w:rFonts w:eastAsia="Times New Roman" w:cs="Times New Roman"/>
          <w:rtl/>
          <w:lang w:eastAsia="de-DE"/>
        </w:rPr>
        <w:t xml:space="preserve"> </w:t>
      </w:r>
      <w:r w:rsidRPr="00577688">
        <w:rPr>
          <w:rFonts w:eastAsia="Times New Roman" w:cs="Times New Roman"/>
          <w:lang w:eastAsia="de-DE"/>
        </w:rPr>
        <w:t xml:space="preserve">(leugnen/verleugnen) im Piel-Perfekt mit Waw-Konsekutiv, </w:t>
      </w:r>
      <w:r w:rsidRPr="00577688">
        <w:rPr>
          <w:rFonts w:eastAsia="Times New Roman" w:cs="Times New Roman"/>
          <w:b/>
          <w:bCs/>
          <w:rtl/>
          <w:lang w:eastAsia="de-DE"/>
        </w:rPr>
        <w:t>בעמיתו</w:t>
      </w:r>
      <w:r w:rsidRPr="00577688">
        <w:rPr>
          <w:rFonts w:eastAsia="Times New Roman" w:cs="Times New Roman"/>
          <w:rtl/>
          <w:lang w:eastAsia="de-DE"/>
        </w:rPr>
        <w:t xml:space="preserve"> </w:t>
      </w:r>
      <w:r w:rsidRPr="00577688">
        <w:rPr>
          <w:rFonts w:eastAsia="Times New Roman" w:cs="Times New Roman"/>
          <w:lang w:eastAsia="de-DE"/>
        </w:rPr>
        <w:t xml:space="preserve">(gegenüber seinem Nächsten) mit </w:t>
      </w:r>
      <w:r w:rsidRPr="00577688">
        <w:rPr>
          <w:rFonts w:eastAsia="Times New Roman" w:cs="Times New Roman"/>
          <w:b/>
          <w:bCs/>
          <w:rtl/>
          <w:lang w:eastAsia="de-DE"/>
        </w:rPr>
        <w:t>עמית</w:t>
      </w:r>
      <w:r w:rsidRPr="00577688">
        <w:rPr>
          <w:rFonts w:eastAsia="Times New Roman" w:cs="Times New Roman"/>
          <w:rtl/>
          <w:lang w:eastAsia="de-DE"/>
        </w:rPr>
        <w:t xml:space="preserve"> </w:t>
      </w:r>
      <w:r w:rsidRPr="00577688">
        <w:rPr>
          <w:rFonts w:eastAsia="Times New Roman" w:cs="Times New Roman"/>
          <w:lang w:eastAsia="de-DE"/>
        </w:rPr>
        <w:t>(Mitmensch/Nächster).</w:t>
      </w:r>
    </w:p>
    <w:p w14:paraId="0963B791"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בְּפִקָּד֗וֹן אֽוֹ־בִתְשׂ֤וּמֶת יָד֙ א֣וֹ בְגָזֵ֔ל א֖וֹ עָשַׁ֥ק אֶת־עֲמִיתֹֽו</w:t>
      </w:r>
      <w:r w:rsidRPr="00577688">
        <w:rPr>
          <w:rFonts w:eastAsia="Times New Roman" w:cs="Times New Roman"/>
          <w:rtl/>
          <w:lang w:eastAsia="de-DE"/>
        </w:rPr>
        <w:t xml:space="preserve"> </w:t>
      </w:r>
      <w:r w:rsidRPr="00577688">
        <w:rPr>
          <w:rFonts w:eastAsia="Times New Roman" w:cs="Times New Roman"/>
          <w:lang w:eastAsia="de-DE"/>
        </w:rPr>
        <w:t xml:space="preserve">listet vier Deliktkategorien auf: </w:t>
      </w:r>
      <w:r w:rsidRPr="00577688">
        <w:rPr>
          <w:rFonts w:eastAsia="Times New Roman" w:cs="Times New Roman"/>
          <w:b/>
          <w:bCs/>
          <w:rtl/>
          <w:lang w:eastAsia="de-DE"/>
        </w:rPr>
        <w:t>בפקדון</w:t>
      </w:r>
      <w:r w:rsidRPr="00577688">
        <w:rPr>
          <w:rFonts w:eastAsia="Times New Roman" w:cs="Times New Roman"/>
          <w:rtl/>
          <w:lang w:eastAsia="de-DE"/>
        </w:rPr>
        <w:t xml:space="preserve"> </w:t>
      </w:r>
      <w:r w:rsidRPr="00577688">
        <w:rPr>
          <w:rFonts w:eastAsia="Times New Roman" w:cs="Times New Roman"/>
          <w:lang w:eastAsia="de-DE"/>
        </w:rPr>
        <w:t xml:space="preserve">(bezüglich anvertrauten Guts) von </w:t>
      </w:r>
      <w:r w:rsidRPr="00577688">
        <w:rPr>
          <w:rFonts w:eastAsia="Times New Roman" w:cs="Times New Roman"/>
          <w:b/>
          <w:bCs/>
          <w:rtl/>
          <w:lang w:eastAsia="de-DE"/>
        </w:rPr>
        <w:t>פקד</w:t>
      </w:r>
      <w:r w:rsidRPr="00577688">
        <w:rPr>
          <w:rFonts w:eastAsia="Times New Roman" w:cs="Times New Roman"/>
          <w:rtl/>
          <w:lang w:eastAsia="de-DE"/>
        </w:rPr>
        <w:t xml:space="preserve"> </w:t>
      </w:r>
      <w:r w:rsidRPr="00577688">
        <w:rPr>
          <w:rFonts w:eastAsia="Times New Roman" w:cs="Times New Roman"/>
          <w:lang w:eastAsia="de-DE"/>
        </w:rPr>
        <w:t xml:space="preserve">(anvertrauen), </w:t>
      </w:r>
      <w:r w:rsidRPr="00577688">
        <w:rPr>
          <w:rFonts w:eastAsia="Times New Roman" w:cs="Times New Roman"/>
          <w:b/>
          <w:bCs/>
          <w:rtl/>
          <w:lang w:eastAsia="de-DE"/>
        </w:rPr>
        <w:t>או־בתשומת יד</w:t>
      </w:r>
      <w:r w:rsidRPr="00577688">
        <w:rPr>
          <w:rFonts w:eastAsia="Times New Roman" w:cs="Times New Roman"/>
          <w:rtl/>
          <w:lang w:eastAsia="de-DE"/>
        </w:rPr>
        <w:t xml:space="preserve"> </w:t>
      </w:r>
      <w:r w:rsidRPr="00577688">
        <w:rPr>
          <w:rFonts w:eastAsia="Times New Roman" w:cs="Times New Roman"/>
          <w:lang w:eastAsia="de-DE"/>
        </w:rPr>
        <w:t xml:space="preserve">(oder bezüglich Handauflage/Darlehen), </w:t>
      </w:r>
      <w:r w:rsidRPr="00577688">
        <w:rPr>
          <w:rFonts w:eastAsia="Times New Roman" w:cs="Times New Roman"/>
          <w:b/>
          <w:bCs/>
          <w:rtl/>
          <w:lang w:eastAsia="de-DE"/>
        </w:rPr>
        <w:t>או בגזל</w:t>
      </w:r>
      <w:r w:rsidRPr="00577688">
        <w:rPr>
          <w:rFonts w:eastAsia="Times New Roman" w:cs="Times New Roman"/>
          <w:rtl/>
          <w:lang w:eastAsia="de-DE"/>
        </w:rPr>
        <w:t xml:space="preserve"> </w:t>
      </w:r>
      <w:r w:rsidRPr="00577688">
        <w:rPr>
          <w:rFonts w:eastAsia="Times New Roman" w:cs="Times New Roman"/>
          <w:lang w:eastAsia="de-DE"/>
        </w:rPr>
        <w:t xml:space="preserve">(oder bezüglich Raub), </w:t>
      </w:r>
      <w:r w:rsidRPr="00577688">
        <w:rPr>
          <w:rFonts w:eastAsia="Times New Roman" w:cs="Times New Roman"/>
          <w:b/>
          <w:bCs/>
          <w:rtl/>
          <w:lang w:eastAsia="de-DE"/>
        </w:rPr>
        <w:t>או עשק את־עמיתו</w:t>
      </w:r>
      <w:r w:rsidRPr="00577688">
        <w:rPr>
          <w:rFonts w:eastAsia="Times New Roman" w:cs="Times New Roman"/>
          <w:rtl/>
          <w:lang w:eastAsia="de-DE"/>
        </w:rPr>
        <w:t xml:space="preserve"> </w:t>
      </w:r>
      <w:r w:rsidRPr="00577688">
        <w:rPr>
          <w:rFonts w:eastAsia="Times New Roman" w:cs="Times New Roman"/>
          <w:lang w:eastAsia="de-DE"/>
        </w:rPr>
        <w:t>(oder er hat seinen Nächsten erpresst).</w:t>
      </w:r>
    </w:p>
    <w:p w14:paraId="5185FB95"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מעלה מעל ביהוה</w:t>
      </w:r>
      <w:r w:rsidRPr="00577688">
        <w:rPr>
          <w:rFonts w:eastAsia="Times New Roman" w:cs="Times New Roman"/>
          <w:rtl/>
          <w:lang w:eastAsia="de-DE"/>
        </w:rPr>
        <w:t xml:space="preserve"> </w:t>
      </w:r>
      <w:r w:rsidRPr="00577688">
        <w:rPr>
          <w:rFonts w:eastAsia="Times New Roman" w:cs="Times New Roman"/>
          <w:lang w:eastAsia="de-DE"/>
        </w:rPr>
        <w:t xml:space="preserve">zeigt, dass zwischenmenschliche Vergehen gleichzeitig Vergehen gegen Gott sind. </w:t>
      </w:r>
      <w:r w:rsidRPr="00577688">
        <w:rPr>
          <w:rFonts w:eastAsia="Times New Roman" w:cs="Times New Roman"/>
          <w:b/>
          <w:bCs/>
          <w:rtl/>
          <w:lang w:eastAsia="de-DE"/>
        </w:rPr>
        <w:t>ביהוה</w:t>
      </w:r>
      <w:r w:rsidRPr="00577688">
        <w:rPr>
          <w:rFonts w:eastAsia="Times New Roman" w:cs="Times New Roman"/>
          <w:rtl/>
          <w:lang w:eastAsia="de-DE"/>
        </w:rPr>
        <w:t xml:space="preserve"> </w:t>
      </w:r>
      <w:r w:rsidRPr="00577688">
        <w:rPr>
          <w:rFonts w:eastAsia="Times New Roman" w:cs="Times New Roman"/>
          <w:lang w:eastAsia="de-DE"/>
        </w:rPr>
        <w:t xml:space="preserve">(gegen JHWH) statt </w:t>
      </w:r>
      <w:r w:rsidRPr="00577688">
        <w:rPr>
          <w:rFonts w:eastAsia="Times New Roman" w:cs="Times New Roman"/>
          <w:b/>
          <w:bCs/>
          <w:rtl/>
          <w:lang w:eastAsia="de-DE"/>
        </w:rPr>
        <w:t>ליהוה</w:t>
      </w:r>
      <w:r w:rsidRPr="00577688">
        <w:rPr>
          <w:rFonts w:eastAsia="Times New Roman" w:cs="Times New Roman"/>
          <w:rtl/>
          <w:lang w:eastAsia="de-DE"/>
        </w:rPr>
        <w:t xml:space="preserve"> </w:t>
      </w:r>
      <w:r w:rsidRPr="00577688">
        <w:rPr>
          <w:rFonts w:eastAsia="Times New Roman" w:cs="Times New Roman"/>
          <w:lang w:eastAsia="de-DE"/>
        </w:rPr>
        <w:t>(für JHWH) betont die Opposition.</w:t>
      </w:r>
    </w:p>
    <w:p w14:paraId="1C116F0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פקדון</w:t>
      </w:r>
      <w:r w:rsidRPr="00577688">
        <w:rPr>
          <w:rFonts w:eastAsia="Times New Roman" w:cs="Times New Roman"/>
          <w:rtl/>
          <w:lang w:eastAsia="de-DE"/>
        </w:rPr>
        <w:t xml:space="preserve"> </w:t>
      </w:r>
      <w:r w:rsidRPr="00577688">
        <w:rPr>
          <w:rFonts w:eastAsia="Times New Roman" w:cs="Times New Roman"/>
          <w:lang w:eastAsia="de-DE"/>
        </w:rPr>
        <w:t xml:space="preserve">(anvertrautes Gut) von </w:t>
      </w:r>
      <w:r w:rsidRPr="00577688">
        <w:rPr>
          <w:rFonts w:eastAsia="Times New Roman" w:cs="Times New Roman"/>
          <w:b/>
          <w:bCs/>
          <w:rtl/>
          <w:lang w:eastAsia="de-DE"/>
        </w:rPr>
        <w:t>פקד</w:t>
      </w:r>
      <w:r w:rsidRPr="00577688">
        <w:rPr>
          <w:rFonts w:eastAsia="Times New Roman" w:cs="Times New Roman"/>
          <w:rtl/>
          <w:lang w:eastAsia="de-DE"/>
        </w:rPr>
        <w:t xml:space="preserve"> </w:t>
      </w:r>
      <w:r w:rsidRPr="00577688">
        <w:rPr>
          <w:rFonts w:eastAsia="Times New Roman" w:cs="Times New Roman"/>
          <w:lang w:eastAsia="de-DE"/>
        </w:rPr>
        <w:t xml:space="preserve">(beaufsichtigen/anvertrauen), </w:t>
      </w:r>
      <w:r w:rsidRPr="00577688">
        <w:rPr>
          <w:rFonts w:eastAsia="Times New Roman" w:cs="Times New Roman"/>
          <w:b/>
          <w:bCs/>
          <w:rtl/>
          <w:lang w:eastAsia="de-DE"/>
        </w:rPr>
        <w:t>תשומת יד</w:t>
      </w:r>
      <w:r w:rsidRPr="00577688">
        <w:rPr>
          <w:rFonts w:eastAsia="Times New Roman" w:cs="Times New Roman"/>
          <w:rtl/>
          <w:lang w:eastAsia="de-DE"/>
        </w:rPr>
        <w:t xml:space="preserve"> </w:t>
      </w:r>
      <w:r w:rsidRPr="00577688">
        <w:rPr>
          <w:rFonts w:eastAsia="Times New Roman" w:cs="Times New Roman"/>
          <w:lang w:eastAsia="de-DE"/>
        </w:rPr>
        <w:t xml:space="preserve">(Handauflage) bezeichnet Darlehen oder Bürgschaft, </w:t>
      </w:r>
      <w:r w:rsidRPr="00577688">
        <w:rPr>
          <w:rFonts w:eastAsia="Times New Roman" w:cs="Times New Roman"/>
          <w:b/>
          <w:bCs/>
          <w:rtl/>
          <w:lang w:eastAsia="de-DE"/>
        </w:rPr>
        <w:t>גזל</w:t>
      </w:r>
      <w:r w:rsidRPr="00577688">
        <w:rPr>
          <w:rFonts w:eastAsia="Times New Roman" w:cs="Times New Roman"/>
          <w:rtl/>
          <w:lang w:eastAsia="de-DE"/>
        </w:rPr>
        <w:t xml:space="preserve"> </w:t>
      </w:r>
      <w:r w:rsidRPr="00577688">
        <w:rPr>
          <w:rFonts w:eastAsia="Times New Roman" w:cs="Times New Roman"/>
          <w:lang w:eastAsia="de-DE"/>
        </w:rPr>
        <w:t xml:space="preserve">(Raub) offene Gewalt, </w:t>
      </w:r>
      <w:r w:rsidRPr="00577688">
        <w:rPr>
          <w:rFonts w:eastAsia="Times New Roman" w:cs="Times New Roman"/>
          <w:b/>
          <w:bCs/>
          <w:rtl/>
          <w:lang w:eastAsia="de-DE"/>
        </w:rPr>
        <w:t>עשק</w:t>
      </w:r>
      <w:r w:rsidRPr="00577688">
        <w:rPr>
          <w:rFonts w:eastAsia="Times New Roman" w:cs="Times New Roman"/>
          <w:rtl/>
          <w:lang w:eastAsia="de-DE"/>
        </w:rPr>
        <w:t xml:space="preserve"> </w:t>
      </w:r>
      <w:r w:rsidRPr="00577688">
        <w:rPr>
          <w:rFonts w:eastAsia="Times New Roman" w:cs="Times New Roman"/>
          <w:lang w:eastAsia="de-DE"/>
        </w:rPr>
        <w:t>(Erpressung) verdeckte Ausnutzung.</w:t>
      </w:r>
    </w:p>
    <w:p w14:paraId="63DD289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וּמָעֲלָ֥ה מַ֖עַל</w:t>
      </w:r>
      <w:r w:rsidRPr="00577688">
        <w:rPr>
          <w:rFonts w:eastAsia="Times New Roman" w:cs="Times New Roman"/>
          <w:rtl/>
          <w:lang w:eastAsia="de-DE"/>
        </w:rPr>
        <w:t xml:space="preserve"> </w:t>
      </w:r>
      <w:r w:rsidRPr="00577688">
        <w:rPr>
          <w:rFonts w:eastAsia="Times New Roman" w:cs="Times New Roman"/>
          <w:lang w:eastAsia="de-DE"/>
        </w:rPr>
        <w:t>mit παραβῇ πα</w:t>
      </w:r>
      <w:proofErr w:type="spellStart"/>
      <w:r w:rsidRPr="00577688">
        <w:rPr>
          <w:rFonts w:eastAsia="Times New Roman" w:cs="Times New Roman"/>
          <w:lang w:eastAsia="de-DE"/>
        </w:rPr>
        <w:t>ρά</w:t>
      </w:r>
      <w:proofErr w:type="spellEnd"/>
      <w:r w:rsidRPr="00577688">
        <w:rPr>
          <w:rFonts w:eastAsia="Times New Roman" w:cs="Times New Roman"/>
          <w:lang w:eastAsia="de-DE"/>
        </w:rPr>
        <w:t xml:space="preserve">βασιν (eine Übertretung begeht), </w:t>
      </w:r>
      <w:r w:rsidRPr="00577688">
        <w:rPr>
          <w:rFonts w:eastAsia="Times New Roman" w:cs="Times New Roman"/>
          <w:b/>
          <w:bCs/>
          <w:rtl/>
          <w:lang w:eastAsia="de-DE"/>
        </w:rPr>
        <w:t>וְכִחֵ֨שׁ</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ψεύσητ</w:t>
      </w:r>
      <w:proofErr w:type="spellEnd"/>
      <w:r w:rsidRPr="00577688">
        <w:rPr>
          <w:rFonts w:eastAsia="Times New Roman" w:cs="Times New Roman"/>
          <w:lang w:eastAsia="de-DE"/>
        </w:rPr>
        <w:t xml:space="preserve">αι (er lügt), </w:t>
      </w:r>
      <w:r w:rsidRPr="00577688">
        <w:rPr>
          <w:rFonts w:eastAsia="Times New Roman" w:cs="Times New Roman"/>
          <w:b/>
          <w:bCs/>
          <w:rtl/>
          <w:lang w:eastAsia="de-DE"/>
        </w:rPr>
        <w:t>פִקָּד֗וֹן</w:t>
      </w:r>
      <w:r w:rsidRPr="00577688">
        <w:rPr>
          <w:rFonts w:eastAsia="Times New Roman" w:cs="Times New Roman"/>
          <w:rtl/>
          <w:lang w:eastAsia="de-DE"/>
        </w:rPr>
        <w:t xml:space="preserve"> </w:t>
      </w:r>
      <w:r w:rsidRPr="00577688">
        <w:rPr>
          <w:rFonts w:eastAsia="Times New Roman" w:cs="Times New Roman"/>
          <w:lang w:eastAsia="de-DE"/>
        </w:rPr>
        <w:t>mit παρα</w:t>
      </w:r>
      <w:proofErr w:type="spellStart"/>
      <w:r w:rsidRPr="00577688">
        <w:rPr>
          <w:rFonts w:eastAsia="Times New Roman" w:cs="Times New Roman"/>
          <w:lang w:eastAsia="de-DE"/>
        </w:rPr>
        <w:t>θήκην</w:t>
      </w:r>
      <w:proofErr w:type="spellEnd"/>
      <w:r w:rsidRPr="00577688">
        <w:rPr>
          <w:rFonts w:eastAsia="Times New Roman" w:cs="Times New Roman"/>
          <w:lang w:eastAsia="de-DE"/>
        </w:rPr>
        <w:t xml:space="preserve"> (anvertrautes Gut) und </w:t>
      </w:r>
      <w:r w:rsidRPr="00577688">
        <w:rPr>
          <w:rFonts w:eastAsia="Times New Roman" w:cs="Times New Roman"/>
          <w:b/>
          <w:bCs/>
          <w:rtl/>
          <w:lang w:eastAsia="de-DE"/>
        </w:rPr>
        <w:t>תְשׂ֤וּמֶת יָד֙</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κοινωνί</w:t>
      </w:r>
      <w:proofErr w:type="spellEnd"/>
      <w:r w:rsidRPr="00577688">
        <w:rPr>
          <w:rFonts w:eastAsia="Times New Roman" w:cs="Times New Roman"/>
          <w:lang w:eastAsia="de-DE"/>
        </w:rPr>
        <w:t>αν (Gemeinschaft/Partnerschaft).</w:t>
      </w:r>
    </w:p>
    <w:p w14:paraId="366B533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Die Satzstruktur:</w:t>
      </w:r>
      <w:r w:rsidRPr="00577688">
        <w:rPr>
          <w:rFonts w:eastAsia="Times New Roman" w:cs="Times New Roman"/>
          <w:lang w:eastAsia="de-DE"/>
        </w:rPr>
        <w:t xml:space="preserve"> zeigt einen komplexen Konditionalsatz: Protasis (Subjekt + Konditionspartikel + Verb + koordiniertes verstärktes Verb + Präpositionalphrase + koordiniertes Verb + Präpositionalphrase + vier alternative Deliktkategorien). Die Struktur zeigt die Vielfalt zwischenmenschlicher </w:t>
      </w:r>
      <w:r w:rsidRPr="00577688">
        <w:rPr>
          <w:rFonts w:eastAsia="Times New Roman" w:cs="Times New Roman"/>
          <w:b/>
          <w:bCs/>
          <w:rtl/>
          <w:lang w:eastAsia="de-DE"/>
        </w:rPr>
        <w:t>אשם</w:t>
      </w:r>
      <w:r w:rsidRPr="00577688">
        <w:rPr>
          <w:rFonts w:eastAsia="Times New Roman" w:cs="Times New Roman"/>
          <w:lang w:eastAsia="de-DE"/>
        </w:rPr>
        <w:t>-Vergehen.</w:t>
      </w:r>
    </w:p>
    <w:p w14:paraId="4E654D4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führt den dritten </w:t>
      </w:r>
      <w:r w:rsidRPr="00577688">
        <w:rPr>
          <w:rFonts w:eastAsia="Times New Roman" w:cs="Times New Roman"/>
          <w:b/>
          <w:bCs/>
          <w:rtl/>
          <w:lang w:eastAsia="de-DE"/>
        </w:rPr>
        <w:t>אשם</w:t>
      </w:r>
      <w:r w:rsidRPr="00577688">
        <w:rPr>
          <w:rFonts w:eastAsia="Times New Roman" w:cs="Times New Roman"/>
          <w:lang w:eastAsia="de-DE"/>
        </w:rPr>
        <w:t>-Fall ein: zwischenmenschliche Vergehen (Untreue, Raub, Erpressung), die gleichzeitig Vergehen gegen Gott sind.</w:t>
      </w:r>
    </w:p>
    <w:p w14:paraId="1F53BD19"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5,22</w:t>
      </w:r>
    </w:p>
    <w:p w14:paraId="6A8A230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אֽוֹ־מָצָ֧א אֲבֵדָ֛ה וְכִ֥חֶשׁ בָּ֖הּ וְנִשְׁבַּ֣ע עַל־שָׁ֑קֶר עַל־אַחַ֗ת מִכֹּ֛ל אֲשֶׁר־יַעֲשֶׂ֥ה הָאָדָ֖ם לַחֲטֹ֥א בָהֵֽנָּה׃</w:t>
      </w:r>
    </w:p>
    <w:p w14:paraId="506F81B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oder er hat Verlorenes gefunden, und er leugnet es ab; und er schwört falsch über irgendetwas von allem, was ein Mensch tun mag, sich darin zu versündigen:</w:t>
      </w:r>
    </w:p>
    <w:p w14:paraId="60CF2037"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3A0E1820">
          <v:rect id="_x0000_i1131" style="width:0;height:1.5pt" o:hralign="center" o:hrstd="t" o:hr="t" fillcolor="#a0a0a0" stroked="f"/>
        </w:pict>
      </w:r>
    </w:p>
    <w:p w14:paraId="0513D1AC" w14:textId="15464565"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אֽוֹ־מָצָ֧א אֲבֵדָ֛ה וְכִ֥חֶשׁ בָּ֖הּ</w:t>
      </w:r>
      <w:r w:rsidRPr="00577688">
        <w:rPr>
          <w:rFonts w:eastAsia="Times New Roman" w:cs="Times New Roman"/>
          <w:rtl/>
          <w:lang w:eastAsia="de-DE"/>
        </w:rPr>
        <w:t xml:space="preserve"> </w:t>
      </w:r>
      <w:r w:rsidRPr="00577688">
        <w:rPr>
          <w:rFonts w:eastAsia="Times New Roman" w:cs="Times New Roman"/>
          <w:lang w:eastAsia="de-DE"/>
        </w:rPr>
        <w:t xml:space="preserve">(oder er hat Verlorenes gefunden und leugnet es ab) fügt eine fünfte Kategorie hinzu. </w:t>
      </w:r>
      <w:r w:rsidRPr="00577688">
        <w:rPr>
          <w:rFonts w:eastAsia="Times New Roman" w:cs="Times New Roman"/>
          <w:b/>
          <w:bCs/>
          <w:rtl/>
          <w:lang w:eastAsia="de-DE"/>
        </w:rPr>
        <w:t>או־מצא אבדה</w:t>
      </w:r>
      <w:r w:rsidRPr="00577688">
        <w:rPr>
          <w:rFonts w:eastAsia="Times New Roman" w:cs="Times New Roman"/>
          <w:rtl/>
          <w:lang w:eastAsia="de-DE"/>
        </w:rPr>
        <w:t xml:space="preserve"> </w:t>
      </w:r>
      <w:r w:rsidRPr="00577688">
        <w:rPr>
          <w:rFonts w:eastAsia="Times New Roman" w:cs="Times New Roman"/>
          <w:lang w:eastAsia="de-DE"/>
        </w:rPr>
        <w:t xml:space="preserve">(oder er hat Verlorenes gefunden) von </w:t>
      </w:r>
      <w:r w:rsidRPr="00577688">
        <w:rPr>
          <w:rFonts w:eastAsia="Times New Roman" w:cs="Times New Roman"/>
          <w:b/>
          <w:bCs/>
          <w:rtl/>
          <w:lang w:eastAsia="de-DE"/>
        </w:rPr>
        <w:t>מצא</w:t>
      </w:r>
      <w:r w:rsidRPr="00577688">
        <w:rPr>
          <w:rFonts w:eastAsia="Times New Roman" w:cs="Times New Roman"/>
          <w:rtl/>
          <w:lang w:eastAsia="de-DE"/>
        </w:rPr>
        <w:t xml:space="preserve"> </w:t>
      </w:r>
      <w:r w:rsidRPr="00577688">
        <w:rPr>
          <w:rFonts w:eastAsia="Times New Roman" w:cs="Times New Roman"/>
          <w:lang w:eastAsia="de-DE"/>
        </w:rPr>
        <w:t xml:space="preserve">(finden) und </w:t>
      </w:r>
      <w:r w:rsidRPr="00577688">
        <w:rPr>
          <w:rFonts w:eastAsia="Times New Roman" w:cs="Times New Roman"/>
          <w:b/>
          <w:bCs/>
          <w:rtl/>
          <w:lang w:eastAsia="de-DE"/>
        </w:rPr>
        <w:t>אבדה</w:t>
      </w:r>
      <w:r w:rsidRPr="00577688">
        <w:rPr>
          <w:rFonts w:eastAsia="Times New Roman" w:cs="Times New Roman"/>
          <w:rtl/>
          <w:lang w:eastAsia="de-DE"/>
        </w:rPr>
        <w:t xml:space="preserve"> </w:t>
      </w:r>
      <w:r w:rsidRPr="00577688">
        <w:rPr>
          <w:rFonts w:eastAsia="Times New Roman" w:cs="Times New Roman"/>
          <w:lang w:eastAsia="de-DE"/>
        </w:rPr>
        <w:t xml:space="preserve">(Verlorenes) von </w:t>
      </w:r>
      <w:r w:rsidRPr="00577688">
        <w:rPr>
          <w:rFonts w:eastAsia="Times New Roman" w:cs="Times New Roman"/>
          <w:b/>
          <w:bCs/>
          <w:rtl/>
          <w:lang w:eastAsia="de-DE"/>
        </w:rPr>
        <w:t>אבד</w:t>
      </w:r>
      <w:r w:rsidRPr="00577688">
        <w:rPr>
          <w:rFonts w:eastAsia="Times New Roman" w:cs="Times New Roman"/>
          <w:rtl/>
          <w:lang w:eastAsia="de-DE"/>
        </w:rPr>
        <w:t xml:space="preserve"> </w:t>
      </w:r>
      <w:r w:rsidRPr="00577688">
        <w:rPr>
          <w:rFonts w:eastAsia="Times New Roman" w:cs="Times New Roman"/>
          <w:lang w:eastAsia="de-DE"/>
        </w:rPr>
        <w:t xml:space="preserve">(verloren gehen), </w:t>
      </w:r>
      <w:r w:rsidRPr="00577688">
        <w:rPr>
          <w:rFonts w:eastAsia="Times New Roman" w:cs="Times New Roman"/>
          <w:b/>
          <w:bCs/>
          <w:rtl/>
          <w:lang w:eastAsia="de-DE"/>
        </w:rPr>
        <w:t>וכחש בה</w:t>
      </w:r>
      <w:r w:rsidRPr="00577688">
        <w:rPr>
          <w:rFonts w:eastAsia="Times New Roman" w:cs="Times New Roman"/>
          <w:rtl/>
          <w:lang w:eastAsia="de-DE"/>
        </w:rPr>
        <w:t xml:space="preserve"> </w:t>
      </w:r>
      <w:r w:rsidRPr="00577688">
        <w:rPr>
          <w:rFonts w:eastAsia="Times New Roman" w:cs="Times New Roman"/>
          <w:lang w:eastAsia="de-DE"/>
        </w:rPr>
        <w:t xml:space="preserve">(und er leugnet es ab) mit </w:t>
      </w:r>
      <w:r w:rsidR="00E35C31">
        <w:rPr>
          <w:rFonts w:eastAsia="Times New Roman" w:cs="Times New Roman"/>
          <w:lang w:eastAsia="de-DE"/>
        </w:rPr>
        <w:t>femininem</w:t>
      </w:r>
      <w:r w:rsidRPr="00577688">
        <w:rPr>
          <w:rFonts w:eastAsia="Times New Roman" w:cs="Times New Roman"/>
          <w:lang w:eastAsia="de-DE"/>
        </w:rPr>
        <w:t xml:space="preserve"> Suffix bezogen auf </w:t>
      </w:r>
      <w:r w:rsidRPr="00577688">
        <w:rPr>
          <w:rFonts w:eastAsia="Times New Roman" w:cs="Times New Roman"/>
          <w:b/>
          <w:bCs/>
          <w:rtl/>
          <w:lang w:eastAsia="de-DE"/>
        </w:rPr>
        <w:t>אבדה</w:t>
      </w:r>
      <w:r w:rsidRPr="00577688">
        <w:rPr>
          <w:rFonts w:eastAsia="Times New Roman" w:cs="Times New Roman"/>
          <w:lang w:eastAsia="de-DE"/>
        </w:rPr>
        <w:t>.</w:t>
      </w:r>
    </w:p>
    <w:p w14:paraId="645F785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וְנִשְׁבַּ֣ע עַל־שָׁ֑קֶר</w:t>
      </w:r>
      <w:r w:rsidRPr="00577688">
        <w:rPr>
          <w:rFonts w:eastAsia="Times New Roman" w:cs="Times New Roman"/>
          <w:rtl/>
          <w:lang w:eastAsia="de-DE"/>
        </w:rPr>
        <w:t xml:space="preserve"> </w:t>
      </w:r>
      <w:r w:rsidRPr="00577688">
        <w:rPr>
          <w:rFonts w:eastAsia="Times New Roman" w:cs="Times New Roman"/>
          <w:lang w:eastAsia="de-DE"/>
        </w:rPr>
        <w:t xml:space="preserve">(und er schwört auf Falschheit) zeigt die Verschärfung durch Meineid. </w:t>
      </w:r>
      <w:r w:rsidRPr="00577688">
        <w:rPr>
          <w:rFonts w:eastAsia="Times New Roman" w:cs="Times New Roman"/>
          <w:b/>
          <w:bCs/>
          <w:rtl/>
          <w:lang w:eastAsia="de-DE"/>
        </w:rPr>
        <w:t>נשבע</w:t>
      </w:r>
      <w:r w:rsidRPr="00577688">
        <w:rPr>
          <w:rFonts w:eastAsia="Times New Roman" w:cs="Times New Roman"/>
          <w:rtl/>
          <w:lang w:eastAsia="de-DE"/>
        </w:rPr>
        <w:t xml:space="preserve"> </w:t>
      </w:r>
      <w:r w:rsidRPr="00577688">
        <w:rPr>
          <w:rFonts w:eastAsia="Times New Roman" w:cs="Times New Roman"/>
          <w:lang w:eastAsia="de-DE"/>
        </w:rPr>
        <w:t xml:space="preserve">(er schwört) im Nifal-Perfekt mit Waw-Konsekutiv von </w:t>
      </w:r>
      <w:r w:rsidRPr="00577688">
        <w:rPr>
          <w:rFonts w:eastAsia="Times New Roman" w:cs="Times New Roman"/>
          <w:b/>
          <w:bCs/>
          <w:rtl/>
          <w:lang w:eastAsia="de-DE"/>
        </w:rPr>
        <w:t>שבע</w:t>
      </w:r>
      <w:r w:rsidRPr="00577688">
        <w:rPr>
          <w:rFonts w:eastAsia="Times New Roman" w:cs="Times New Roman"/>
          <w:rtl/>
          <w:lang w:eastAsia="de-DE"/>
        </w:rPr>
        <w:t xml:space="preserve"> </w:t>
      </w:r>
      <w:r w:rsidRPr="00577688">
        <w:rPr>
          <w:rFonts w:eastAsia="Times New Roman" w:cs="Times New Roman"/>
          <w:lang w:eastAsia="de-DE"/>
        </w:rPr>
        <w:t xml:space="preserve">(schwören), </w:t>
      </w:r>
      <w:r w:rsidRPr="00577688">
        <w:rPr>
          <w:rFonts w:eastAsia="Times New Roman" w:cs="Times New Roman"/>
          <w:b/>
          <w:bCs/>
          <w:rtl/>
          <w:lang w:eastAsia="de-DE"/>
        </w:rPr>
        <w:t>על־שקר</w:t>
      </w:r>
      <w:r w:rsidRPr="00577688">
        <w:rPr>
          <w:rFonts w:eastAsia="Times New Roman" w:cs="Times New Roman"/>
          <w:rtl/>
          <w:lang w:eastAsia="de-DE"/>
        </w:rPr>
        <w:t xml:space="preserve"> </w:t>
      </w:r>
      <w:r w:rsidRPr="00577688">
        <w:rPr>
          <w:rFonts w:eastAsia="Times New Roman" w:cs="Times New Roman"/>
          <w:lang w:eastAsia="de-DE"/>
        </w:rPr>
        <w:t xml:space="preserve">(auf Falschheit) von </w:t>
      </w:r>
      <w:r w:rsidRPr="00577688">
        <w:rPr>
          <w:rFonts w:eastAsia="Times New Roman" w:cs="Times New Roman"/>
          <w:b/>
          <w:bCs/>
          <w:rtl/>
          <w:lang w:eastAsia="de-DE"/>
        </w:rPr>
        <w:t>שקר</w:t>
      </w:r>
      <w:r w:rsidRPr="00577688">
        <w:rPr>
          <w:rFonts w:eastAsia="Times New Roman" w:cs="Times New Roman"/>
          <w:rtl/>
          <w:lang w:eastAsia="de-DE"/>
        </w:rPr>
        <w:t xml:space="preserve"> </w:t>
      </w:r>
      <w:r w:rsidRPr="00577688">
        <w:rPr>
          <w:rFonts w:eastAsia="Times New Roman" w:cs="Times New Roman"/>
          <w:lang w:eastAsia="de-DE"/>
        </w:rPr>
        <w:t>(Lüge/Falschheit).</w:t>
      </w:r>
    </w:p>
    <w:p w14:paraId="3D989F0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עַל־אַחַ֗ת מִכֹּ֛ל אֲשֶׁר־יַעֲשֶׂ֥ה הָאָדָ֖ם לַחֲטֹ֥א בָהֵֽנָּה</w:t>
      </w:r>
      <w:r w:rsidRPr="00577688">
        <w:rPr>
          <w:rFonts w:eastAsia="Times New Roman" w:cs="Times New Roman"/>
          <w:rtl/>
          <w:lang w:eastAsia="de-DE"/>
        </w:rPr>
        <w:t xml:space="preserve"> </w:t>
      </w:r>
      <w:r w:rsidRPr="00577688">
        <w:rPr>
          <w:rFonts w:eastAsia="Times New Roman" w:cs="Times New Roman"/>
          <w:lang w:eastAsia="de-DE"/>
        </w:rPr>
        <w:t xml:space="preserve">(bezüglich einer von allem, was ein Mensch tun mag, um sich darin zu versündigen) ist universelle Erweiterungsformel. </w:t>
      </w:r>
      <w:r w:rsidRPr="00577688">
        <w:rPr>
          <w:rFonts w:eastAsia="Times New Roman" w:cs="Times New Roman"/>
          <w:b/>
          <w:bCs/>
          <w:rtl/>
          <w:lang w:eastAsia="de-DE"/>
        </w:rPr>
        <w:t>על־אחת מכל אשר־יעשה האדם</w:t>
      </w:r>
      <w:r w:rsidRPr="00577688">
        <w:rPr>
          <w:rFonts w:eastAsia="Times New Roman" w:cs="Times New Roman"/>
          <w:rtl/>
          <w:lang w:eastAsia="de-DE"/>
        </w:rPr>
        <w:t xml:space="preserve"> </w:t>
      </w:r>
      <w:r w:rsidRPr="00577688">
        <w:rPr>
          <w:rFonts w:eastAsia="Times New Roman" w:cs="Times New Roman"/>
          <w:lang w:eastAsia="de-DE"/>
        </w:rPr>
        <w:t xml:space="preserve">(bezüglich einer von allem, was ein Mensch tun mag), </w:t>
      </w:r>
      <w:r w:rsidRPr="00577688">
        <w:rPr>
          <w:rFonts w:eastAsia="Times New Roman" w:cs="Times New Roman"/>
          <w:b/>
          <w:bCs/>
          <w:rtl/>
          <w:lang w:eastAsia="de-DE"/>
        </w:rPr>
        <w:t>לחטא בהנה</w:t>
      </w:r>
      <w:r w:rsidRPr="00577688">
        <w:rPr>
          <w:rFonts w:eastAsia="Times New Roman" w:cs="Times New Roman"/>
          <w:rtl/>
          <w:lang w:eastAsia="de-DE"/>
        </w:rPr>
        <w:t xml:space="preserve"> </w:t>
      </w:r>
      <w:r w:rsidRPr="00577688">
        <w:rPr>
          <w:rFonts w:eastAsia="Times New Roman" w:cs="Times New Roman"/>
          <w:lang w:eastAsia="de-DE"/>
        </w:rPr>
        <w:t>(um sich darin zu versündigen).</w:t>
      </w:r>
    </w:p>
    <w:p w14:paraId="2319F8A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מצא אבדה וכחש בה</w:t>
      </w:r>
      <w:r w:rsidRPr="00577688">
        <w:rPr>
          <w:rFonts w:eastAsia="Times New Roman" w:cs="Times New Roman"/>
          <w:rtl/>
          <w:lang w:eastAsia="de-DE"/>
        </w:rPr>
        <w:t xml:space="preserve"> </w:t>
      </w:r>
      <w:r w:rsidRPr="00577688">
        <w:rPr>
          <w:rFonts w:eastAsia="Times New Roman" w:cs="Times New Roman"/>
          <w:lang w:eastAsia="de-DE"/>
        </w:rPr>
        <w:t xml:space="preserve">beschreibt Fundunterschlagung: Das Finden von </w:t>
      </w:r>
      <w:proofErr w:type="spellStart"/>
      <w:r w:rsidRPr="00577688">
        <w:rPr>
          <w:rFonts w:eastAsia="Times New Roman" w:cs="Times New Roman"/>
          <w:lang w:eastAsia="de-DE"/>
        </w:rPr>
        <w:t>Verlorengut</w:t>
      </w:r>
      <w:proofErr w:type="spellEnd"/>
      <w:r w:rsidRPr="00577688">
        <w:rPr>
          <w:rFonts w:eastAsia="Times New Roman" w:cs="Times New Roman"/>
          <w:lang w:eastAsia="de-DE"/>
        </w:rPr>
        <w:t xml:space="preserve"> verpflichtet zur Rückgabe, die Leugnung macht es zum Diebstahl. </w:t>
      </w:r>
      <w:r w:rsidRPr="00577688">
        <w:rPr>
          <w:rFonts w:eastAsia="Times New Roman" w:cs="Times New Roman"/>
          <w:b/>
          <w:bCs/>
          <w:rtl/>
          <w:lang w:eastAsia="de-DE"/>
        </w:rPr>
        <w:t>ונשבע על־שקר</w:t>
      </w:r>
      <w:r w:rsidRPr="00577688">
        <w:rPr>
          <w:rFonts w:eastAsia="Times New Roman" w:cs="Times New Roman"/>
          <w:rtl/>
          <w:lang w:eastAsia="de-DE"/>
        </w:rPr>
        <w:t xml:space="preserve"> </w:t>
      </w:r>
      <w:r w:rsidRPr="00577688">
        <w:rPr>
          <w:rFonts w:eastAsia="Times New Roman" w:cs="Times New Roman"/>
          <w:lang w:eastAsia="de-DE"/>
        </w:rPr>
        <w:t>verschärft alle vorherigen Vergehen durch falschen Eid.</w:t>
      </w:r>
    </w:p>
    <w:p w14:paraId="36651D7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על־אחת מכל אשר־יעשה האדם לחטא בהנה</w:t>
      </w:r>
      <w:r w:rsidRPr="00577688">
        <w:rPr>
          <w:rFonts w:eastAsia="Times New Roman" w:cs="Times New Roman"/>
          <w:rtl/>
          <w:lang w:eastAsia="de-DE"/>
        </w:rPr>
        <w:t xml:space="preserve"> </w:t>
      </w:r>
      <w:r w:rsidRPr="00577688">
        <w:rPr>
          <w:rFonts w:eastAsia="Times New Roman" w:cs="Times New Roman"/>
          <w:lang w:eastAsia="de-DE"/>
        </w:rPr>
        <w:t>zeigt, dass diese Kategorien exemplarisch sind für alle möglichen zwischenmenschlichen Vergehen mit Meineid.</w:t>
      </w:r>
    </w:p>
    <w:p w14:paraId="6027852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אֲבֵדָ֛ה</w:t>
      </w:r>
      <w:r w:rsidRPr="00577688">
        <w:rPr>
          <w:rFonts w:eastAsia="Times New Roman" w:cs="Times New Roman"/>
          <w:rtl/>
          <w:lang w:eastAsia="de-DE"/>
        </w:rPr>
        <w:t xml:space="preserve"> </w:t>
      </w:r>
      <w:r w:rsidRPr="00577688">
        <w:rPr>
          <w:rFonts w:eastAsia="Times New Roman" w:cs="Times New Roman"/>
          <w:lang w:eastAsia="de-DE"/>
        </w:rPr>
        <w:t>mit ἀπ</w:t>
      </w:r>
      <w:proofErr w:type="spellStart"/>
      <w:r w:rsidRPr="00577688">
        <w:rPr>
          <w:rFonts w:eastAsia="Times New Roman" w:cs="Times New Roman"/>
          <w:lang w:eastAsia="de-DE"/>
        </w:rPr>
        <w:t>ώλει</w:t>
      </w:r>
      <w:proofErr w:type="spellEnd"/>
      <w:r w:rsidRPr="00577688">
        <w:rPr>
          <w:rFonts w:eastAsia="Times New Roman" w:cs="Times New Roman"/>
          <w:lang w:eastAsia="de-DE"/>
        </w:rPr>
        <w:t xml:space="preserve">αν (Verlorenes), </w:t>
      </w:r>
      <w:r w:rsidRPr="00577688">
        <w:rPr>
          <w:rFonts w:eastAsia="Times New Roman" w:cs="Times New Roman"/>
          <w:b/>
          <w:bCs/>
          <w:rtl/>
          <w:lang w:eastAsia="de-DE"/>
        </w:rPr>
        <w:t>עַל־שָׁ֑קֶר</w:t>
      </w:r>
      <w:r w:rsidRPr="00577688">
        <w:rPr>
          <w:rFonts w:eastAsia="Times New Roman" w:cs="Times New Roman"/>
          <w:rtl/>
          <w:lang w:eastAsia="de-DE"/>
        </w:rPr>
        <w:t xml:space="preserve"> </w:t>
      </w:r>
      <w:r w:rsidRPr="00577688">
        <w:rPr>
          <w:rFonts w:eastAsia="Times New Roman" w:cs="Times New Roman"/>
          <w:lang w:eastAsia="de-DE"/>
        </w:rPr>
        <w:t xml:space="preserve">mit ἐπ' </w:t>
      </w:r>
      <w:proofErr w:type="spellStart"/>
      <w:r w:rsidRPr="00577688">
        <w:rPr>
          <w:rFonts w:eastAsia="Times New Roman" w:cs="Times New Roman"/>
          <w:lang w:eastAsia="de-DE"/>
        </w:rPr>
        <w:t>ἀδίκῳ</w:t>
      </w:r>
      <w:proofErr w:type="spellEnd"/>
      <w:r w:rsidRPr="00577688">
        <w:rPr>
          <w:rFonts w:eastAsia="Times New Roman" w:cs="Times New Roman"/>
          <w:lang w:eastAsia="de-DE"/>
        </w:rPr>
        <w:t xml:space="preserve"> (auf Unrecht) und </w:t>
      </w:r>
      <w:r w:rsidRPr="00577688">
        <w:rPr>
          <w:rFonts w:eastAsia="Times New Roman" w:cs="Times New Roman"/>
          <w:b/>
          <w:bCs/>
          <w:rtl/>
          <w:lang w:eastAsia="de-DE"/>
        </w:rPr>
        <w:t>לַחֲטֹ֥א בָהֵֽנָּה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ἁμ</w:t>
      </w:r>
      <w:proofErr w:type="spellEnd"/>
      <w:r w:rsidRPr="00577688">
        <w:rPr>
          <w:rFonts w:eastAsia="Times New Roman" w:cs="Times New Roman"/>
          <w:lang w:eastAsia="de-DE"/>
        </w:rPr>
        <w:t xml:space="preserve">αρτεῖν </w:t>
      </w:r>
      <w:proofErr w:type="spellStart"/>
      <w:r w:rsidRPr="00577688">
        <w:rPr>
          <w:rFonts w:eastAsia="Times New Roman" w:cs="Times New Roman"/>
          <w:lang w:eastAsia="de-DE"/>
        </w:rPr>
        <w:t>ἐν</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τούτοις</w:t>
      </w:r>
      <w:proofErr w:type="spellEnd"/>
      <w:r w:rsidRPr="00577688">
        <w:rPr>
          <w:rFonts w:eastAsia="Times New Roman" w:cs="Times New Roman"/>
          <w:lang w:eastAsia="de-DE"/>
        </w:rPr>
        <w:t xml:space="preserve"> (in diesen zu sündigen).</w:t>
      </w:r>
    </w:p>
    <w:p w14:paraId="672B910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koordinierte Erweiterung: weitere Alternative + koordiniertes Verb + Verschärfung + universelle Erweiterungsformel. Die Struktur schließt alle möglichen zwischenmenschlichen Vergehen mit Meineid ein.</w:t>
      </w:r>
    </w:p>
    <w:p w14:paraId="0D681A1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vervollständigt die Aufzählung zwischenmenschlicher </w:t>
      </w:r>
      <w:r w:rsidRPr="00577688">
        <w:rPr>
          <w:rFonts w:eastAsia="Times New Roman" w:cs="Times New Roman"/>
          <w:b/>
          <w:bCs/>
          <w:rtl/>
          <w:lang w:eastAsia="de-DE"/>
        </w:rPr>
        <w:t>אשם</w:t>
      </w:r>
      <w:r w:rsidRPr="00577688">
        <w:rPr>
          <w:rFonts w:eastAsia="Times New Roman" w:cs="Times New Roman"/>
          <w:lang w:eastAsia="de-DE"/>
        </w:rPr>
        <w:t>-Vergehen und betont die Verschärfung durch falschen Eid.</w:t>
      </w:r>
    </w:p>
    <w:p w14:paraId="6DBE3FBE"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5,23</w:t>
      </w:r>
    </w:p>
    <w:p w14:paraId="36A056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Hebräisch:</w:t>
      </w:r>
      <w:r w:rsidRPr="00577688">
        <w:rPr>
          <w:rFonts w:eastAsia="Times New Roman" w:cs="Times New Roman"/>
          <w:lang w:eastAsia="de-DE"/>
        </w:rPr>
        <w:t xml:space="preserve"> </w:t>
      </w:r>
      <w:r w:rsidRPr="00577688">
        <w:rPr>
          <w:rFonts w:eastAsia="Times New Roman" w:cs="Times New Roman"/>
          <w:rtl/>
          <w:lang w:eastAsia="de-DE"/>
        </w:rPr>
        <w:t>וְהָיָה֮ כִּֽי־יֶחֱטָ֣א וְאָשֵׁם֒ וְהֵשִׁ֨יב אֶת־הַגְּזֵלָ֜ה אֲשֶׁ֣ר גָּזָ֗ל א֤וֹ אֶת־הָעֹ֨שֶׁק֙ אֲשֶׁ֣ר עָשָׁ֔ק א֚וֹ אֶת־הַפִּקָּד֔וֹן אֲשֶׁ֥ר הָפְקַ֖ד אִתּוֹ֑ א֥וֹ אֶת־הָאֲבֵדָ֖ה אֲשֶׁ֥ר מָצָֽא׃</w:t>
      </w:r>
    </w:p>
    <w:p w14:paraId="4018F92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So soll es geschehen, wenn er gesündigt und sich verschuldet hat, dass er zurückerstattet das Geraubte, das er geraubt, oder das Erpresste, das er erpresst hat, oder das Anvertraute, das ihm anvertraut worden ist, oder das Verlorene, das er gefunden hat;</w:t>
      </w:r>
    </w:p>
    <w:p w14:paraId="191B9109"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49C05166">
          <v:rect id="_x0000_i1132" style="width:0;height:1.5pt" o:hralign="center" o:hrstd="t" o:hr="t" fillcolor="#a0a0a0" stroked="f"/>
        </w:pict>
      </w:r>
    </w:p>
    <w:p w14:paraId="5197B26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וְהָיָה֮ כִּֽי־יֶחֱטָ֣א וְאָשֵׁם֒</w:t>
      </w:r>
      <w:r w:rsidRPr="00577688">
        <w:rPr>
          <w:rFonts w:eastAsia="Times New Roman" w:cs="Times New Roman"/>
          <w:rtl/>
          <w:lang w:eastAsia="de-DE"/>
        </w:rPr>
        <w:t xml:space="preserve"> </w:t>
      </w:r>
      <w:r w:rsidRPr="00577688">
        <w:rPr>
          <w:rFonts w:eastAsia="Times New Roman" w:cs="Times New Roman"/>
          <w:lang w:eastAsia="de-DE"/>
        </w:rPr>
        <w:t xml:space="preserve">(und es soll geschehen, wenn er gesündigt und sich verschuldet hat) leitet die Konsequenzen ein. </w:t>
      </w:r>
      <w:r w:rsidRPr="00577688">
        <w:rPr>
          <w:rFonts w:eastAsia="Times New Roman" w:cs="Times New Roman"/>
          <w:b/>
          <w:bCs/>
          <w:rtl/>
          <w:lang w:eastAsia="de-DE"/>
        </w:rPr>
        <w:t>והיה כי</w:t>
      </w:r>
      <w:r w:rsidRPr="00577688">
        <w:rPr>
          <w:rFonts w:eastAsia="Times New Roman" w:cs="Times New Roman"/>
          <w:rtl/>
          <w:lang w:eastAsia="de-DE"/>
        </w:rPr>
        <w:t xml:space="preserve"> </w:t>
      </w:r>
      <w:r w:rsidRPr="00577688">
        <w:rPr>
          <w:rFonts w:eastAsia="Times New Roman" w:cs="Times New Roman"/>
          <w:lang w:eastAsia="de-DE"/>
        </w:rPr>
        <w:t xml:space="preserve">(und es soll geschehen, wenn) als Einleitungsformel, </w:t>
      </w:r>
      <w:r w:rsidRPr="00577688">
        <w:rPr>
          <w:rFonts w:eastAsia="Times New Roman" w:cs="Times New Roman"/>
          <w:b/>
          <w:bCs/>
          <w:rtl/>
          <w:lang w:eastAsia="de-DE"/>
        </w:rPr>
        <w:t>יחטא ואשם</w:t>
      </w:r>
      <w:r w:rsidRPr="00577688">
        <w:rPr>
          <w:rFonts w:eastAsia="Times New Roman" w:cs="Times New Roman"/>
          <w:rtl/>
          <w:lang w:eastAsia="de-DE"/>
        </w:rPr>
        <w:t xml:space="preserve"> </w:t>
      </w:r>
      <w:r w:rsidRPr="00577688">
        <w:rPr>
          <w:rFonts w:eastAsia="Times New Roman" w:cs="Times New Roman"/>
          <w:lang w:eastAsia="de-DE"/>
        </w:rPr>
        <w:t>(er sündigt und verschuldet sich) zeigen die Voraussetzungen.</w:t>
      </w:r>
    </w:p>
    <w:p w14:paraId="43A3F2B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וְהֵשִׁ֨יב</w:t>
      </w:r>
      <w:r w:rsidRPr="00577688">
        <w:rPr>
          <w:rFonts w:eastAsia="Times New Roman" w:cs="Times New Roman"/>
          <w:rtl/>
          <w:lang w:eastAsia="de-DE"/>
        </w:rPr>
        <w:t xml:space="preserve"> </w:t>
      </w:r>
      <w:r w:rsidRPr="00577688">
        <w:rPr>
          <w:rFonts w:eastAsia="Times New Roman" w:cs="Times New Roman"/>
          <w:lang w:eastAsia="de-DE"/>
        </w:rPr>
        <w:t xml:space="preserve">(und er soll zurückerstatten) zeigt </w:t>
      </w:r>
      <w:r w:rsidRPr="00577688">
        <w:rPr>
          <w:rFonts w:eastAsia="Times New Roman" w:cs="Times New Roman"/>
          <w:b/>
          <w:bCs/>
          <w:rtl/>
          <w:lang w:eastAsia="de-DE"/>
        </w:rPr>
        <w:t>שוב</w:t>
      </w:r>
      <w:r w:rsidRPr="00577688">
        <w:rPr>
          <w:rFonts w:eastAsia="Times New Roman" w:cs="Times New Roman"/>
          <w:rtl/>
          <w:lang w:eastAsia="de-DE"/>
        </w:rPr>
        <w:t xml:space="preserve"> </w:t>
      </w:r>
      <w:r w:rsidRPr="00577688">
        <w:rPr>
          <w:rFonts w:eastAsia="Times New Roman" w:cs="Times New Roman"/>
          <w:lang w:eastAsia="de-DE"/>
        </w:rPr>
        <w:t>(zurückkehren) im Hifil-Perfekt mit Waw-Konsekutiv: "zurückgeben/erstatten". Die folgenden vier Objekte entsprechen den Kategorien von V. 21-22:</w:t>
      </w:r>
    </w:p>
    <w:p w14:paraId="03A3DD8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אֶת־הַגְּזֵלָ֜ה אֲשֶׁ֣ר גָּזָ֗ל</w:t>
      </w:r>
      <w:r w:rsidRPr="00577688">
        <w:rPr>
          <w:rFonts w:eastAsia="Times New Roman" w:cs="Times New Roman"/>
          <w:rtl/>
          <w:lang w:eastAsia="de-DE"/>
        </w:rPr>
        <w:t xml:space="preserve"> </w:t>
      </w:r>
      <w:r w:rsidRPr="00577688">
        <w:rPr>
          <w:rFonts w:eastAsia="Times New Roman" w:cs="Times New Roman"/>
          <w:lang w:eastAsia="de-DE"/>
        </w:rPr>
        <w:t xml:space="preserve">(das Geraubte, das er geraubt hat) von </w:t>
      </w:r>
      <w:r w:rsidRPr="00577688">
        <w:rPr>
          <w:rFonts w:eastAsia="Times New Roman" w:cs="Times New Roman"/>
          <w:b/>
          <w:bCs/>
          <w:rtl/>
          <w:lang w:eastAsia="de-DE"/>
        </w:rPr>
        <w:t>גזל</w:t>
      </w:r>
      <w:r w:rsidRPr="00577688">
        <w:rPr>
          <w:rFonts w:eastAsia="Times New Roman" w:cs="Times New Roman"/>
          <w:rtl/>
          <w:lang w:eastAsia="de-DE"/>
        </w:rPr>
        <w:t xml:space="preserve"> </w:t>
      </w:r>
      <w:r w:rsidRPr="00577688">
        <w:rPr>
          <w:rFonts w:eastAsia="Times New Roman" w:cs="Times New Roman"/>
          <w:lang w:eastAsia="de-DE"/>
        </w:rPr>
        <w:t xml:space="preserve">(rauben), </w:t>
      </w:r>
      <w:r w:rsidRPr="00577688">
        <w:rPr>
          <w:rFonts w:eastAsia="Times New Roman" w:cs="Times New Roman"/>
          <w:b/>
          <w:bCs/>
          <w:rtl/>
          <w:lang w:eastAsia="de-DE"/>
        </w:rPr>
        <w:t>א֤וֹ אֶת־הָעֹ֨שֶׁק֙ אֲשֶׁ֣ר עָשָׁ֔ק</w:t>
      </w:r>
      <w:r w:rsidRPr="00577688">
        <w:rPr>
          <w:rFonts w:eastAsia="Times New Roman" w:cs="Times New Roman"/>
          <w:rtl/>
          <w:lang w:eastAsia="de-DE"/>
        </w:rPr>
        <w:t xml:space="preserve"> </w:t>
      </w:r>
      <w:r w:rsidRPr="00577688">
        <w:rPr>
          <w:rFonts w:eastAsia="Times New Roman" w:cs="Times New Roman"/>
          <w:lang w:eastAsia="de-DE"/>
        </w:rPr>
        <w:t xml:space="preserve">(oder das Erpresste, das er erpresst hat) von </w:t>
      </w:r>
      <w:r w:rsidRPr="00577688">
        <w:rPr>
          <w:rFonts w:eastAsia="Times New Roman" w:cs="Times New Roman"/>
          <w:b/>
          <w:bCs/>
          <w:rtl/>
          <w:lang w:eastAsia="de-DE"/>
        </w:rPr>
        <w:t>עשק</w:t>
      </w:r>
      <w:r w:rsidRPr="00577688">
        <w:rPr>
          <w:rFonts w:eastAsia="Times New Roman" w:cs="Times New Roman"/>
          <w:rtl/>
          <w:lang w:eastAsia="de-DE"/>
        </w:rPr>
        <w:t xml:space="preserve"> </w:t>
      </w:r>
      <w:r w:rsidRPr="00577688">
        <w:rPr>
          <w:rFonts w:eastAsia="Times New Roman" w:cs="Times New Roman"/>
          <w:lang w:eastAsia="de-DE"/>
        </w:rPr>
        <w:t xml:space="preserve">(erpressen), </w:t>
      </w:r>
      <w:r w:rsidRPr="00577688">
        <w:rPr>
          <w:rFonts w:eastAsia="Times New Roman" w:cs="Times New Roman"/>
          <w:b/>
          <w:bCs/>
          <w:rtl/>
          <w:lang w:eastAsia="de-DE"/>
        </w:rPr>
        <w:t>א֚וֹ אֶת־הַפִּקָּד֔וֹן אֲשֶׁ֥ר הָפְקַ֖ד אִתּוֹ֑</w:t>
      </w:r>
      <w:r w:rsidRPr="00577688">
        <w:rPr>
          <w:rFonts w:eastAsia="Times New Roman" w:cs="Times New Roman"/>
          <w:rtl/>
          <w:lang w:eastAsia="de-DE"/>
        </w:rPr>
        <w:t xml:space="preserve"> </w:t>
      </w:r>
      <w:r w:rsidRPr="00577688">
        <w:rPr>
          <w:rFonts w:eastAsia="Times New Roman" w:cs="Times New Roman"/>
          <w:lang w:eastAsia="de-DE"/>
        </w:rPr>
        <w:t xml:space="preserve">(oder das Anvertraute, das ihm anvertraut worden ist) von </w:t>
      </w:r>
      <w:r w:rsidRPr="00577688">
        <w:rPr>
          <w:rFonts w:eastAsia="Times New Roman" w:cs="Times New Roman"/>
          <w:b/>
          <w:bCs/>
          <w:rtl/>
          <w:lang w:eastAsia="de-DE"/>
        </w:rPr>
        <w:t>פקד</w:t>
      </w:r>
      <w:r w:rsidRPr="00577688">
        <w:rPr>
          <w:rFonts w:eastAsia="Times New Roman" w:cs="Times New Roman"/>
          <w:rtl/>
          <w:lang w:eastAsia="de-DE"/>
        </w:rPr>
        <w:t xml:space="preserve"> </w:t>
      </w:r>
      <w:r w:rsidRPr="00577688">
        <w:rPr>
          <w:rFonts w:eastAsia="Times New Roman" w:cs="Times New Roman"/>
          <w:lang w:eastAsia="de-DE"/>
        </w:rPr>
        <w:t xml:space="preserve">(anvertrauen), </w:t>
      </w:r>
      <w:r w:rsidRPr="00577688">
        <w:rPr>
          <w:rFonts w:eastAsia="Times New Roman" w:cs="Times New Roman"/>
          <w:b/>
          <w:bCs/>
          <w:rtl/>
          <w:lang w:eastAsia="de-DE"/>
        </w:rPr>
        <w:t>א֥וֹ אֶת־הָאֲבֵדָ֖ה אֲשֶׁ֥ר מָצָֽא</w:t>
      </w:r>
      <w:r w:rsidRPr="00577688">
        <w:rPr>
          <w:rFonts w:eastAsia="Times New Roman" w:cs="Times New Roman"/>
          <w:rtl/>
          <w:lang w:eastAsia="de-DE"/>
        </w:rPr>
        <w:t xml:space="preserve"> </w:t>
      </w:r>
      <w:r w:rsidRPr="00577688">
        <w:rPr>
          <w:rFonts w:eastAsia="Times New Roman" w:cs="Times New Roman"/>
          <w:lang w:eastAsia="de-DE"/>
        </w:rPr>
        <w:t xml:space="preserve">(oder das Verlorene, das er gefunden hat) von </w:t>
      </w:r>
      <w:r w:rsidRPr="00577688">
        <w:rPr>
          <w:rFonts w:eastAsia="Times New Roman" w:cs="Times New Roman"/>
          <w:b/>
          <w:bCs/>
          <w:rtl/>
          <w:lang w:eastAsia="de-DE"/>
        </w:rPr>
        <w:t>מצא</w:t>
      </w:r>
      <w:r w:rsidRPr="00577688">
        <w:rPr>
          <w:rFonts w:eastAsia="Times New Roman" w:cs="Times New Roman"/>
          <w:rtl/>
          <w:lang w:eastAsia="de-DE"/>
        </w:rPr>
        <w:t xml:space="preserve"> </w:t>
      </w:r>
      <w:r w:rsidRPr="00577688">
        <w:rPr>
          <w:rFonts w:eastAsia="Times New Roman" w:cs="Times New Roman"/>
          <w:lang w:eastAsia="de-DE"/>
        </w:rPr>
        <w:t>(finden).</w:t>
      </w:r>
    </w:p>
    <w:p w14:paraId="4077607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והשיב</w:t>
      </w:r>
      <w:r w:rsidRPr="00577688">
        <w:rPr>
          <w:rFonts w:eastAsia="Times New Roman" w:cs="Times New Roman"/>
          <w:rtl/>
          <w:lang w:eastAsia="de-DE"/>
        </w:rPr>
        <w:t xml:space="preserve"> </w:t>
      </w:r>
      <w:r w:rsidRPr="00577688">
        <w:rPr>
          <w:rFonts w:eastAsia="Times New Roman" w:cs="Times New Roman"/>
          <w:lang w:eastAsia="de-DE"/>
        </w:rPr>
        <w:t xml:space="preserve">(und er soll zurückerstatten) ist die erste Stufe der </w:t>
      </w:r>
      <w:r w:rsidRPr="00577688">
        <w:rPr>
          <w:rFonts w:eastAsia="Times New Roman" w:cs="Times New Roman"/>
          <w:b/>
          <w:bCs/>
          <w:rtl/>
          <w:lang w:eastAsia="de-DE"/>
        </w:rPr>
        <w:t>אשם</w:t>
      </w:r>
      <w:r w:rsidRPr="00577688">
        <w:rPr>
          <w:rFonts w:eastAsia="Times New Roman" w:cs="Times New Roman"/>
          <w:lang w:eastAsia="de-DE"/>
        </w:rPr>
        <w:t>-Sühne bei zwischenmenschlichen Vergehen: materielle Wiedergutmachung vor ritueller Sühne.</w:t>
      </w:r>
    </w:p>
    <w:p w14:paraId="3EBC5A7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Relativsätze </w:t>
      </w:r>
      <w:r w:rsidRPr="00577688">
        <w:rPr>
          <w:rFonts w:eastAsia="Times New Roman" w:cs="Times New Roman"/>
          <w:b/>
          <w:bCs/>
          <w:rtl/>
          <w:lang w:eastAsia="de-DE"/>
        </w:rPr>
        <w:t>אשר גזל...אשר עשק...אשר הפקד אתו...אשר מצא</w:t>
      </w:r>
      <w:r w:rsidRPr="00577688">
        <w:rPr>
          <w:rFonts w:eastAsia="Times New Roman" w:cs="Times New Roman"/>
          <w:rtl/>
          <w:lang w:eastAsia="de-DE"/>
        </w:rPr>
        <w:t xml:space="preserve"> </w:t>
      </w:r>
      <w:r w:rsidRPr="00577688">
        <w:rPr>
          <w:rFonts w:eastAsia="Times New Roman" w:cs="Times New Roman"/>
          <w:lang w:eastAsia="de-DE"/>
        </w:rPr>
        <w:t>betonen die spezifische Identität der zurückzuerstattenden Gegenstände.</w:t>
      </w:r>
    </w:p>
    <w:p w14:paraId="5AE791FF"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וְהֵשִׁ֨יב</w:t>
      </w:r>
      <w:r w:rsidRPr="00577688">
        <w:rPr>
          <w:rFonts w:eastAsia="Times New Roman" w:cs="Times New Roman"/>
          <w:rtl/>
          <w:lang w:eastAsia="de-DE"/>
        </w:rPr>
        <w:t xml:space="preserve"> </w:t>
      </w:r>
      <w:r w:rsidRPr="00577688">
        <w:rPr>
          <w:rFonts w:eastAsia="Times New Roman" w:cs="Times New Roman"/>
          <w:lang w:eastAsia="de-DE"/>
        </w:rPr>
        <w:t>mit ἀπ</w:t>
      </w:r>
      <w:proofErr w:type="spellStart"/>
      <w:r w:rsidRPr="00577688">
        <w:rPr>
          <w:rFonts w:eastAsia="Times New Roman" w:cs="Times New Roman"/>
          <w:lang w:eastAsia="de-DE"/>
        </w:rPr>
        <w:t>οδώσει</w:t>
      </w:r>
      <w:proofErr w:type="spellEnd"/>
      <w:r w:rsidRPr="00577688">
        <w:rPr>
          <w:rFonts w:eastAsia="Times New Roman" w:cs="Times New Roman"/>
          <w:lang w:eastAsia="de-DE"/>
        </w:rPr>
        <w:t xml:space="preserve"> (er soll zurückgeben), </w:t>
      </w:r>
      <w:r w:rsidRPr="00577688">
        <w:rPr>
          <w:rFonts w:eastAsia="Times New Roman" w:cs="Times New Roman"/>
          <w:b/>
          <w:bCs/>
          <w:rtl/>
          <w:lang w:eastAsia="de-DE"/>
        </w:rPr>
        <w:t>הַגְּזֵלָ֜ה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ἅρ</w:t>
      </w:r>
      <w:proofErr w:type="spellEnd"/>
      <w:r w:rsidRPr="00577688">
        <w:rPr>
          <w:rFonts w:eastAsia="Times New Roman" w:cs="Times New Roman"/>
          <w:lang w:eastAsia="de-DE"/>
        </w:rPr>
        <w:t xml:space="preserve">παγμα (das Geraubte) und </w:t>
      </w:r>
      <w:r w:rsidRPr="00577688">
        <w:rPr>
          <w:rFonts w:eastAsia="Times New Roman" w:cs="Times New Roman"/>
          <w:b/>
          <w:bCs/>
          <w:rtl/>
          <w:lang w:eastAsia="de-DE"/>
        </w:rPr>
        <w:t>הָאֲבֵדָ֖ה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ἀπ</w:t>
      </w:r>
      <w:proofErr w:type="spellStart"/>
      <w:r w:rsidRPr="00577688">
        <w:rPr>
          <w:rFonts w:eastAsia="Times New Roman" w:cs="Times New Roman"/>
          <w:lang w:eastAsia="de-DE"/>
        </w:rPr>
        <w:t>ώλλυμον</w:t>
      </w:r>
      <w:proofErr w:type="spellEnd"/>
      <w:r w:rsidRPr="00577688">
        <w:rPr>
          <w:rFonts w:eastAsia="Times New Roman" w:cs="Times New Roman"/>
          <w:lang w:eastAsia="de-DE"/>
        </w:rPr>
        <w:t xml:space="preserve"> (das Verlorene).</w:t>
      </w:r>
    </w:p>
    <w:p w14:paraId="00D8CCC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eine </w:t>
      </w:r>
      <w:proofErr w:type="spellStart"/>
      <w:r w:rsidRPr="00577688">
        <w:rPr>
          <w:rFonts w:eastAsia="Times New Roman" w:cs="Times New Roman"/>
          <w:lang w:eastAsia="de-DE"/>
        </w:rPr>
        <w:t>Konsequenzformel</w:t>
      </w:r>
      <w:proofErr w:type="spellEnd"/>
      <w:r w:rsidRPr="00577688">
        <w:rPr>
          <w:rFonts w:eastAsia="Times New Roman" w:cs="Times New Roman"/>
          <w:lang w:eastAsia="de-DE"/>
        </w:rPr>
        <w:t>: Einleitungsformel + Kondition + imperativische Konsequenz + vier alternative Objekte mit erläuternden Relativsätzen. Die Struktur betont die vollständige Restitution aller unrechtmäßig erlangten Güter.</w:t>
      </w:r>
    </w:p>
    <w:p w14:paraId="1834289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etabliert die Restitutionspflicht als ersten Schritt bei zwischenmenschlichen </w:t>
      </w:r>
      <w:r w:rsidRPr="00577688">
        <w:rPr>
          <w:rFonts w:eastAsia="Times New Roman" w:cs="Times New Roman"/>
          <w:b/>
          <w:bCs/>
          <w:rtl/>
          <w:lang w:eastAsia="de-DE"/>
        </w:rPr>
        <w:t>אשם</w:t>
      </w:r>
      <w:r w:rsidRPr="00577688">
        <w:rPr>
          <w:rFonts w:eastAsia="Times New Roman" w:cs="Times New Roman"/>
          <w:lang w:eastAsia="de-DE"/>
        </w:rPr>
        <w:t>-Vergehen: Rückgabe aller unrechtmäßig erlangten Güter.</w:t>
      </w:r>
    </w:p>
    <w:p w14:paraId="2406C55D"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5,24</w:t>
      </w:r>
    </w:p>
    <w:p w14:paraId="32CE33D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א֠וֹ מִכֹּ֞ל אֲשֶׁר־יִשָּׁבַ֣ע עָלָיו֮ לַשֶּׁקֶר֒ וְשִׁלַּ֤ם אֹתוֹ֙ בְּרֹאשֹׁ֔ו וַחֲמִשִׁתָ֖יו יֹסֵ֣ף עָלָ֑יו לַאֲשֶׁ֨ר ה֥וּא לוֹ֛ יִתְּנֶ֖נּוּ בְּי֥וֹם אַשְׁמָתוֹֽ׃</w:t>
      </w:r>
    </w:p>
    <w:p w14:paraId="2BA7F0B9"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oder alles, worüber er falsch geschworen hat; und er soll es nach seiner vollen Summe und dessen Fünftel darüber hinzufügen; wem es gehört, dem soll er es geben am Tag seines Schuldopfers.</w:t>
      </w:r>
    </w:p>
    <w:p w14:paraId="64CAC614"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1FFA4B9">
          <v:rect id="_x0000_i1133" style="width:0;height:1.5pt" o:hralign="center" o:hrstd="t" o:hr="t" fillcolor="#a0a0a0" stroked="f"/>
        </w:pict>
      </w:r>
    </w:p>
    <w:p w14:paraId="521DDFC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lastRenderedPageBreak/>
        <w:t>Kommentar:</w:t>
      </w:r>
      <w:r w:rsidRPr="00577688">
        <w:rPr>
          <w:rFonts w:eastAsia="Times New Roman" w:cs="Times New Roman"/>
          <w:lang w:eastAsia="de-DE"/>
        </w:rPr>
        <w:t xml:space="preserve"> </w:t>
      </w:r>
      <w:r w:rsidRPr="00577688">
        <w:rPr>
          <w:rFonts w:eastAsia="Times New Roman" w:cs="Times New Roman"/>
          <w:b/>
          <w:bCs/>
          <w:rtl/>
          <w:lang w:eastAsia="de-DE"/>
        </w:rPr>
        <w:t>א֠וֹ מִכֹּ֞ל אֲשֶׁר־יִשָּׁבַ֣ע עָלָיו֮ לַשֶּׁקֶר֒</w:t>
      </w:r>
      <w:r w:rsidRPr="00577688">
        <w:rPr>
          <w:rFonts w:eastAsia="Times New Roman" w:cs="Times New Roman"/>
          <w:rtl/>
          <w:lang w:eastAsia="de-DE"/>
        </w:rPr>
        <w:t xml:space="preserve"> </w:t>
      </w:r>
      <w:r w:rsidRPr="00577688">
        <w:rPr>
          <w:rFonts w:eastAsia="Times New Roman" w:cs="Times New Roman"/>
          <w:lang w:eastAsia="de-DE"/>
        </w:rPr>
        <w:t xml:space="preserve">(oder alles, worüber er falsch geschworen hat) erweitert auf alle Meineid-Fälle. </w:t>
      </w:r>
      <w:r w:rsidRPr="00577688">
        <w:rPr>
          <w:rFonts w:eastAsia="Times New Roman" w:cs="Times New Roman"/>
          <w:b/>
          <w:bCs/>
          <w:rtl/>
          <w:lang w:eastAsia="de-DE"/>
        </w:rPr>
        <w:t>או מכל אשר־ישבע עליו</w:t>
      </w:r>
      <w:r w:rsidRPr="00577688">
        <w:rPr>
          <w:rFonts w:eastAsia="Times New Roman" w:cs="Times New Roman"/>
          <w:rtl/>
          <w:lang w:eastAsia="de-DE"/>
        </w:rPr>
        <w:t xml:space="preserve"> </w:t>
      </w:r>
      <w:r w:rsidRPr="00577688">
        <w:rPr>
          <w:rFonts w:eastAsia="Times New Roman" w:cs="Times New Roman"/>
          <w:lang w:eastAsia="de-DE"/>
        </w:rPr>
        <w:t xml:space="preserve">(oder von allem, worüber er schwört), </w:t>
      </w:r>
      <w:r w:rsidRPr="00577688">
        <w:rPr>
          <w:rFonts w:eastAsia="Times New Roman" w:cs="Times New Roman"/>
          <w:b/>
          <w:bCs/>
          <w:rtl/>
          <w:lang w:eastAsia="de-DE"/>
        </w:rPr>
        <w:t>לשקר</w:t>
      </w:r>
      <w:r w:rsidRPr="00577688">
        <w:rPr>
          <w:rFonts w:eastAsia="Times New Roman" w:cs="Times New Roman"/>
          <w:rtl/>
          <w:lang w:eastAsia="de-DE"/>
        </w:rPr>
        <w:t xml:space="preserve"> </w:t>
      </w:r>
      <w:r w:rsidRPr="00577688">
        <w:rPr>
          <w:rFonts w:eastAsia="Times New Roman" w:cs="Times New Roman"/>
          <w:lang w:eastAsia="de-DE"/>
        </w:rPr>
        <w:t>(zur Falschheit) zeigt falschen Eid.</w:t>
      </w:r>
    </w:p>
    <w:p w14:paraId="5F1F4DE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וְשִׁלַּ֤ם אֹתוֹ֙ בְּרֹאשֹׁ֔ו וַחֲמִשִׁתָ֖יו יֹסֵ֣ף עָלָ֑יו</w:t>
      </w:r>
      <w:r w:rsidRPr="00577688">
        <w:rPr>
          <w:rFonts w:eastAsia="Times New Roman" w:cs="Times New Roman"/>
          <w:rtl/>
          <w:lang w:eastAsia="de-DE"/>
        </w:rPr>
        <w:t xml:space="preserve"> </w:t>
      </w:r>
      <w:r w:rsidRPr="00577688">
        <w:rPr>
          <w:rFonts w:eastAsia="Times New Roman" w:cs="Times New Roman"/>
          <w:lang w:eastAsia="de-DE"/>
        </w:rPr>
        <w:t xml:space="preserve">(und er soll es nach seinem Grundwert erstatten und sein Fünftel darüber hinzufügen) zeigt die Strafzahlung. </w:t>
      </w:r>
      <w:r w:rsidRPr="00577688">
        <w:rPr>
          <w:rFonts w:eastAsia="Times New Roman" w:cs="Times New Roman"/>
          <w:b/>
          <w:bCs/>
          <w:rtl/>
          <w:lang w:eastAsia="de-DE"/>
        </w:rPr>
        <w:t>ושלם אתו בראשו</w:t>
      </w:r>
      <w:r w:rsidRPr="00577688">
        <w:rPr>
          <w:rFonts w:eastAsia="Times New Roman" w:cs="Times New Roman"/>
          <w:rtl/>
          <w:lang w:eastAsia="de-DE"/>
        </w:rPr>
        <w:t xml:space="preserve"> </w:t>
      </w:r>
      <w:r w:rsidRPr="00577688">
        <w:rPr>
          <w:rFonts w:eastAsia="Times New Roman" w:cs="Times New Roman"/>
          <w:lang w:eastAsia="de-DE"/>
        </w:rPr>
        <w:t xml:space="preserve">(und er soll es nach seinem Grundwert erstatten) mit </w:t>
      </w:r>
      <w:r w:rsidRPr="00577688">
        <w:rPr>
          <w:rFonts w:eastAsia="Times New Roman" w:cs="Times New Roman"/>
          <w:b/>
          <w:bCs/>
          <w:rtl/>
          <w:lang w:eastAsia="de-DE"/>
        </w:rPr>
        <w:t>ראש</w:t>
      </w:r>
      <w:r w:rsidRPr="00577688">
        <w:rPr>
          <w:rFonts w:eastAsia="Times New Roman" w:cs="Times New Roman"/>
          <w:rtl/>
          <w:lang w:eastAsia="de-DE"/>
        </w:rPr>
        <w:t xml:space="preserve"> </w:t>
      </w:r>
      <w:r w:rsidRPr="00577688">
        <w:rPr>
          <w:rFonts w:eastAsia="Times New Roman" w:cs="Times New Roman"/>
          <w:lang w:eastAsia="de-DE"/>
        </w:rPr>
        <w:t xml:space="preserve">(Haupt/Grundwert), </w:t>
      </w:r>
      <w:r w:rsidRPr="00577688">
        <w:rPr>
          <w:rFonts w:eastAsia="Times New Roman" w:cs="Times New Roman"/>
          <w:b/>
          <w:bCs/>
          <w:rtl/>
          <w:lang w:eastAsia="de-DE"/>
        </w:rPr>
        <w:t>וחמשתיו יוסף עליו</w:t>
      </w:r>
      <w:r w:rsidRPr="00577688">
        <w:rPr>
          <w:rFonts w:eastAsia="Times New Roman" w:cs="Times New Roman"/>
          <w:rtl/>
          <w:lang w:eastAsia="de-DE"/>
        </w:rPr>
        <w:t xml:space="preserve"> </w:t>
      </w:r>
      <w:r w:rsidRPr="00577688">
        <w:rPr>
          <w:rFonts w:eastAsia="Times New Roman" w:cs="Times New Roman"/>
          <w:lang w:eastAsia="de-DE"/>
        </w:rPr>
        <w:t>(und sein Fünftel soll er darüber hinzufügen) entspricht 5,16.</w:t>
      </w:r>
    </w:p>
    <w:p w14:paraId="4EFC8AF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לַאֲשֶׁ֨ר ה֥וּא לוֹ֛ יִתְּנֶ֖נּוּ בְּי֥וֹם אַשְׁמָתוֹֽ</w:t>
      </w:r>
      <w:r w:rsidRPr="00577688">
        <w:rPr>
          <w:rFonts w:eastAsia="Times New Roman" w:cs="Times New Roman"/>
          <w:rtl/>
          <w:lang w:eastAsia="de-DE"/>
        </w:rPr>
        <w:t xml:space="preserve"> </w:t>
      </w:r>
      <w:r w:rsidRPr="00577688">
        <w:rPr>
          <w:rFonts w:eastAsia="Times New Roman" w:cs="Times New Roman"/>
          <w:lang w:eastAsia="de-DE"/>
        </w:rPr>
        <w:t xml:space="preserve">(wem es gehört, dem soll er es geben am Tag seines Schuldopfers) regelt Empfänger und Zeitpunkt. </w:t>
      </w:r>
      <w:r w:rsidRPr="00577688">
        <w:rPr>
          <w:rFonts w:eastAsia="Times New Roman" w:cs="Times New Roman"/>
          <w:b/>
          <w:bCs/>
          <w:rtl/>
          <w:lang w:eastAsia="de-DE"/>
        </w:rPr>
        <w:t>לאשר הוא לו</w:t>
      </w:r>
      <w:r w:rsidRPr="00577688">
        <w:rPr>
          <w:rFonts w:eastAsia="Times New Roman" w:cs="Times New Roman"/>
          <w:rtl/>
          <w:lang w:eastAsia="de-DE"/>
        </w:rPr>
        <w:t xml:space="preserve"> </w:t>
      </w:r>
      <w:r w:rsidRPr="00577688">
        <w:rPr>
          <w:rFonts w:eastAsia="Times New Roman" w:cs="Times New Roman"/>
          <w:lang w:eastAsia="de-DE"/>
        </w:rPr>
        <w:t xml:space="preserve">(dem, dem es gehört), </w:t>
      </w:r>
      <w:r w:rsidRPr="00577688">
        <w:rPr>
          <w:rFonts w:eastAsia="Times New Roman" w:cs="Times New Roman"/>
          <w:b/>
          <w:bCs/>
          <w:rtl/>
          <w:lang w:eastAsia="de-DE"/>
        </w:rPr>
        <w:t>יתננו</w:t>
      </w:r>
      <w:r w:rsidRPr="00577688">
        <w:rPr>
          <w:rFonts w:eastAsia="Times New Roman" w:cs="Times New Roman"/>
          <w:rtl/>
          <w:lang w:eastAsia="de-DE"/>
        </w:rPr>
        <w:t xml:space="preserve"> </w:t>
      </w:r>
      <w:r w:rsidRPr="00577688">
        <w:rPr>
          <w:rFonts w:eastAsia="Times New Roman" w:cs="Times New Roman"/>
          <w:lang w:eastAsia="de-DE"/>
        </w:rPr>
        <w:t xml:space="preserve">(er soll es geben) mit Objektsuffix 3. Person maskulin Singular, </w:t>
      </w:r>
      <w:r w:rsidRPr="00577688">
        <w:rPr>
          <w:rFonts w:eastAsia="Times New Roman" w:cs="Times New Roman"/>
          <w:b/>
          <w:bCs/>
          <w:rtl/>
          <w:lang w:eastAsia="de-DE"/>
        </w:rPr>
        <w:t>ביום אשמתו</w:t>
      </w:r>
      <w:r w:rsidRPr="00577688">
        <w:rPr>
          <w:rFonts w:eastAsia="Times New Roman" w:cs="Times New Roman"/>
          <w:rtl/>
          <w:lang w:eastAsia="de-DE"/>
        </w:rPr>
        <w:t xml:space="preserve"> </w:t>
      </w:r>
      <w:r w:rsidRPr="00577688">
        <w:rPr>
          <w:rFonts w:eastAsia="Times New Roman" w:cs="Times New Roman"/>
          <w:lang w:eastAsia="de-DE"/>
        </w:rPr>
        <w:t>(am Tag seines Schuldopfers).</w:t>
      </w:r>
    </w:p>
    <w:p w14:paraId="496CA6E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שלם אתו בראשו וחמשתיו יוסף עליו</w:t>
      </w:r>
      <w:r w:rsidRPr="00577688">
        <w:rPr>
          <w:rFonts w:eastAsia="Times New Roman" w:cs="Times New Roman"/>
          <w:rtl/>
          <w:lang w:eastAsia="de-DE"/>
        </w:rPr>
        <w:t xml:space="preserve"> </w:t>
      </w:r>
      <w:r w:rsidRPr="00577688">
        <w:rPr>
          <w:rFonts w:eastAsia="Times New Roman" w:cs="Times New Roman"/>
          <w:lang w:eastAsia="de-DE"/>
        </w:rPr>
        <w:t xml:space="preserve">= 120% des ursprünglichen Wertes, identisch zu V. 16. </w:t>
      </w:r>
      <w:r w:rsidRPr="00577688">
        <w:rPr>
          <w:rFonts w:eastAsia="Times New Roman" w:cs="Times New Roman"/>
          <w:b/>
          <w:bCs/>
          <w:rtl/>
          <w:lang w:eastAsia="de-DE"/>
        </w:rPr>
        <w:t>בראשו</w:t>
      </w:r>
      <w:r w:rsidRPr="00577688">
        <w:rPr>
          <w:rFonts w:eastAsia="Times New Roman" w:cs="Times New Roman"/>
          <w:rtl/>
          <w:lang w:eastAsia="de-DE"/>
        </w:rPr>
        <w:t xml:space="preserve"> </w:t>
      </w:r>
      <w:r w:rsidRPr="00577688">
        <w:rPr>
          <w:rFonts w:eastAsia="Times New Roman" w:cs="Times New Roman"/>
          <w:lang w:eastAsia="de-DE"/>
        </w:rPr>
        <w:t>(nach seinem Grundwert) betont den vollen ursprünglichen Wert plus 20% Strafe.</w:t>
      </w:r>
    </w:p>
    <w:p w14:paraId="684B14ED"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לאשר הוא לו יתננו</w:t>
      </w:r>
      <w:r w:rsidRPr="00577688">
        <w:rPr>
          <w:rFonts w:eastAsia="Times New Roman" w:cs="Times New Roman"/>
          <w:rtl/>
          <w:lang w:eastAsia="de-DE"/>
        </w:rPr>
        <w:t xml:space="preserve"> </w:t>
      </w:r>
      <w:r w:rsidRPr="00577688">
        <w:rPr>
          <w:rFonts w:eastAsia="Times New Roman" w:cs="Times New Roman"/>
          <w:lang w:eastAsia="de-DE"/>
        </w:rPr>
        <w:t xml:space="preserve">zeigt, dass bei zwischenmenschlichen </w:t>
      </w:r>
      <w:r w:rsidRPr="00577688">
        <w:rPr>
          <w:rFonts w:eastAsia="Times New Roman" w:cs="Times New Roman"/>
          <w:b/>
          <w:bCs/>
          <w:rtl/>
          <w:lang w:eastAsia="de-DE"/>
        </w:rPr>
        <w:t>אשם</w:t>
      </w:r>
      <w:r w:rsidRPr="00577688">
        <w:rPr>
          <w:rFonts w:eastAsia="Times New Roman" w:cs="Times New Roman"/>
          <w:rtl/>
          <w:lang w:eastAsia="de-DE"/>
        </w:rPr>
        <w:t xml:space="preserve"> </w:t>
      </w:r>
      <w:r w:rsidRPr="00577688">
        <w:rPr>
          <w:rFonts w:eastAsia="Times New Roman" w:cs="Times New Roman"/>
          <w:lang w:eastAsia="de-DE"/>
        </w:rPr>
        <w:t xml:space="preserve">die Restitution an den Geschädigten geht, nicht an den Priester (anders als V. 16). </w:t>
      </w:r>
      <w:r w:rsidRPr="00577688">
        <w:rPr>
          <w:rFonts w:eastAsia="Times New Roman" w:cs="Times New Roman"/>
          <w:b/>
          <w:bCs/>
          <w:rtl/>
          <w:lang w:eastAsia="de-DE"/>
        </w:rPr>
        <w:t>ביום אשמתו</w:t>
      </w:r>
      <w:r w:rsidRPr="00577688">
        <w:rPr>
          <w:rFonts w:eastAsia="Times New Roman" w:cs="Times New Roman"/>
          <w:rtl/>
          <w:lang w:eastAsia="de-DE"/>
        </w:rPr>
        <w:t xml:space="preserve"> </w:t>
      </w:r>
      <w:r w:rsidRPr="00577688">
        <w:rPr>
          <w:rFonts w:eastAsia="Times New Roman" w:cs="Times New Roman"/>
          <w:lang w:eastAsia="de-DE"/>
        </w:rPr>
        <w:t>(am Tag seines Schuldopfers) verknüpft materielle und rituelle Sühne zeitlich.</w:t>
      </w:r>
    </w:p>
    <w:p w14:paraId="236EA65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בְּרֹאשֹׁ֔ו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κεφάλ</w:t>
      </w:r>
      <w:proofErr w:type="spellEnd"/>
      <w:r w:rsidRPr="00577688">
        <w:rPr>
          <w:rFonts w:eastAsia="Times New Roman" w:cs="Times New Roman"/>
          <w:lang w:eastAsia="de-DE"/>
        </w:rPr>
        <w:t>αιον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 Kapital), </w:t>
      </w:r>
      <w:r w:rsidRPr="00577688">
        <w:rPr>
          <w:rFonts w:eastAsia="Times New Roman" w:cs="Times New Roman"/>
          <w:b/>
          <w:bCs/>
          <w:rtl/>
          <w:lang w:eastAsia="de-DE"/>
        </w:rPr>
        <w:t>חֲמִשִׁתָ֖יו</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τὸ</w:t>
      </w:r>
      <w:proofErr w:type="spellEnd"/>
      <w:r w:rsidRPr="00577688">
        <w:rPr>
          <w:rFonts w:eastAsia="Times New Roman" w:cs="Times New Roman"/>
          <w:lang w:eastAsia="de-DE"/>
        </w:rPr>
        <w:t xml:space="preserve"> ἐπίπ</w:t>
      </w:r>
      <w:proofErr w:type="spellStart"/>
      <w:r w:rsidRPr="00577688">
        <w:rPr>
          <w:rFonts w:eastAsia="Times New Roman" w:cs="Times New Roman"/>
          <w:lang w:eastAsia="de-DE"/>
        </w:rPr>
        <w:t>εμ</w:t>
      </w:r>
      <w:proofErr w:type="spellEnd"/>
      <w:r w:rsidRPr="00577688">
        <w:rPr>
          <w:rFonts w:eastAsia="Times New Roman" w:cs="Times New Roman"/>
          <w:lang w:eastAsia="de-DE"/>
        </w:rPr>
        <w:t>πτον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 Fünftel) und </w:t>
      </w:r>
      <w:r w:rsidRPr="00577688">
        <w:rPr>
          <w:rFonts w:eastAsia="Times New Roman" w:cs="Times New Roman"/>
          <w:b/>
          <w:bCs/>
          <w:rtl/>
          <w:lang w:eastAsia="de-DE"/>
        </w:rPr>
        <w:t>אַשְׁמָתוֹֽ</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λημμελεί</w:t>
      </w:r>
      <w:proofErr w:type="spellEnd"/>
      <w:r w:rsidRPr="00577688">
        <w:rPr>
          <w:rFonts w:eastAsia="Times New Roman" w:cs="Times New Roman"/>
          <w:lang w:eastAsia="de-DE"/>
        </w:rPr>
        <w:t>ας α</w:t>
      </w:r>
      <w:proofErr w:type="spellStart"/>
      <w:r w:rsidRPr="00577688">
        <w:rPr>
          <w:rFonts w:eastAsia="Times New Roman" w:cs="Times New Roman"/>
          <w:lang w:eastAsia="de-DE"/>
        </w:rPr>
        <w:t>ὐτοῦ</w:t>
      </w:r>
      <w:proofErr w:type="spellEnd"/>
      <w:r w:rsidRPr="00577688">
        <w:rPr>
          <w:rFonts w:eastAsia="Times New Roman" w:cs="Times New Roman"/>
          <w:lang w:eastAsia="de-DE"/>
        </w:rPr>
        <w:t xml:space="preserve"> (seiner Verfehlung).</w:t>
      </w:r>
    </w:p>
    <w:p w14:paraId="66F0DE3A"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Erweiterung und Verfahrensregelung: weitere Alternative + Erstattungsbestimmung + Empfänger- und Zeitregelung. Die Struktur verbindet materielle Wiedergutmachung mit ritueller </w:t>
      </w:r>
      <w:r w:rsidRPr="00577688">
        <w:rPr>
          <w:rFonts w:eastAsia="Times New Roman" w:cs="Times New Roman"/>
          <w:b/>
          <w:bCs/>
          <w:rtl/>
          <w:lang w:eastAsia="de-DE"/>
        </w:rPr>
        <w:t>אשם</w:t>
      </w:r>
      <w:r w:rsidRPr="00577688">
        <w:rPr>
          <w:rFonts w:eastAsia="Times New Roman" w:cs="Times New Roman"/>
          <w:lang w:eastAsia="de-DE"/>
        </w:rPr>
        <w:t>-Darbringung.</w:t>
      </w:r>
    </w:p>
    <w:p w14:paraId="418A49D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vervollständigt die Restitutionsbestimmungen: 120% des Wertes an den Geschädigten am Tag der </w:t>
      </w:r>
      <w:r w:rsidRPr="00577688">
        <w:rPr>
          <w:rFonts w:eastAsia="Times New Roman" w:cs="Times New Roman"/>
          <w:b/>
          <w:bCs/>
          <w:rtl/>
          <w:lang w:eastAsia="de-DE"/>
        </w:rPr>
        <w:t>אשם</w:t>
      </w:r>
      <w:r w:rsidRPr="00577688">
        <w:rPr>
          <w:rFonts w:eastAsia="Times New Roman" w:cs="Times New Roman"/>
          <w:lang w:eastAsia="de-DE"/>
        </w:rPr>
        <w:t>-Darbringung.</w:t>
      </w:r>
    </w:p>
    <w:p w14:paraId="71406140"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5,25</w:t>
      </w:r>
    </w:p>
    <w:p w14:paraId="4DDFB66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וְאֶת־אֲשָׁמֹ֥ו יָבִ֖יא לַיהוָ֑ה אַ֣יִל תָּמִ֧ים מִן־הַצֹּ֛אן בְּעֶרְכְּךָ֥ לְאָשָׁ֖ם אֶל־הַכֹּהֵֽן׃</w:t>
      </w:r>
    </w:p>
    <w:p w14:paraId="1A658BD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sein Schuldopfer soll er dem Ewigen bringen, einen Widder ohne Fehl vom Kleinvieh, nach deiner Schätzung, zum Schuldopfer, zu dem Priester;</w:t>
      </w:r>
    </w:p>
    <w:p w14:paraId="44B1E18A"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775F31E8">
          <v:rect id="_x0000_i1134" style="width:0;height:1.5pt" o:hralign="center" o:hrstd="t" o:hr="t" fillcolor="#a0a0a0" stroked="f"/>
        </w:pict>
      </w:r>
    </w:p>
    <w:p w14:paraId="7726345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וְאֶת־אֲשָׁמֹ֥ו יָבִ֖יא לַיהוָ֑ה אַ֣יִל תָּמִ֧ים מִן־הַצֹּ֛אן בְּעֶרְכְּךָ֥ לְאָשָׁ֖ם אֶל־הַכֹּהֵֽן</w:t>
      </w:r>
      <w:r w:rsidRPr="00577688">
        <w:rPr>
          <w:rFonts w:eastAsia="Times New Roman" w:cs="Times New Roman"/>
          <w:rtl/>
          <w:lang w:eastAsia="de-DE"/>
        </w:rPr>
        <w:t xml:space="preserve"> </w:t>
      </w:r>
      <w:r w:rsidRPr="00577688">
        <w:rPr>
          <w:rFonts w:eastAsia="Times New Roman" w:cs="Times New Roman"/>
          <w:lang w:eastAsia="de-DE"/>
        </w:rPr>
        <w:t xml:space="preserve">entspricht fast exakt V. 15 und 18, zeigt aber die Wiederholung der </w:t>
      </w:r>
      <w:r w:rsidRPr="00577688">
        <w:rPr>
          <w:rFonts w:eastAsia="Times New Roman" w:cs="Times New Roman"/>
          <w:b/>
          <w:bCs/>
          <w:rtl/>
          <w:lang w:eastAsia="de-DE"/>
        </w:rPr>
        <w:t>אשם</w:t>
      </w:r>
      <w:r w:rsidRPr="00577688">
        <w:rPr>
          <w:rFonts w:eastAsia="Times New Roman" w:cs="Times New Roman"/>
          <w:lang w:eastAsia="de-DE"/>
        </w:rPr>
        <w:t xml:space="preserve">-Bestimmungen für zwischenmenschliche Vergehen. </w:t>
      </w:r>
      <w:r w:rsidRPr="00577688">
        <w:rPr>
          <w:rFonts w:eastAsia="Times New Roman" w:cs="Times New Roman"/>
          <w:b/>
          <w:bCs/>
          <w:rtl/>
          <w:lang w:eastAsia="de-DE"/>
        </w:rPr>
        <w:t>ואת־אשמו יביא ליהוה</w:t>
      </w:r>
      <w:r w:rsidRPr="00577688">
        <w:rPr>
          <w:rFonts w:eastAsia="Times New Roman" w:cs="Times New Roman"/>
          <w:rtl/>
          <w:lang w:eastAsia="de-DE"/>
        </w:rPr>
        <w:t xml:space="preserve"> </w:t>
      </w:r>
      <w:r w:rsidRPr="00577688">
        <w:rPr>
          <w:rFonts w:eastAsia="Times New Roman" w:cs="Times New Roman"/>
          <w:lang w:eastAsia="de-DE"/>
        </w:rPr>
        <w:t xml:space="preserve">(und sein Schuldopfer soll er für JHWH bringen), </w:t>
      </w:r>
      <w:r w:rsidRPr="00577688">
        <w:rPr>
          <w:rFonts w:eastAsia="Times New Roman" w:cs="Times New Roman"/>
          <w:b/>
          <w:bCs/>
          <w:rtl/>
          <w:lang w:eastAsia="de-DE"/>
        </w:rPr>
        <w:t>איל תמים מן־הצאן בערכך לאשם</w:t>
      </w:r>
      <w:r w:rsidRPr="00577688">
        <w:rPr>
          <w:rFonts w:eastAsia="Times New Roman" w:cs="Times New Roman"/>
          <w:rtl/>
          <w:lang w:eastAsia="de-DE"/>
        </w:rPr>
        <w:t xml:space="preserve"> </w:t>
      </w:r>
      <w:r w:rsidRPr="00577688">
        <w:rPr>
          <w:rFonts w:eastAsia="Times New Roman" w:cs="Times New Roman"/>
          <w:lang w:eastAsia="de-DE"/>
        </w:rPr>
        <w:t xml:space="preserve">(einen fehlerlosen Widder vom Kleinvieh nach deiner Schätzung zum Schuldopfer), </w:t>
      </w:r>
      <w:r w:rsidRPr="00577688">
        <w:rPr>
          <w:rFonts w:eastAsia="Times New Roman" w:cs="Times New Roman"/>
          <w:b/>
          <w:bCs/>
          <w:rtl/>
          <w:lang w:eastAsia="de-DE"/>
        </w:rPr>
        <w:t>אל־הכהן</w:t>
      </w:r>
      <w:r w:rsidRPr="00577688">
        <w:rPr>
          <w:rFonts w:eastAsia="Times New Roman" w:cs="Times New Roman"/>
          <w:rtl/>
          <w:lang w:eastAsia="de-DE"/>
        </w:rPr>
        <w:t xml:space="preserve"> </w:t>
      </w:r>
      <w:r w:rsidRPr="00577688">
        <w:rPr>
          <w:rFonts w:eastAsia="Times New Roman" w:cs="Times New Roman"/>
          <w:lang w:eastAsia="de-DE"/>
        </w:rPr>
        <w:t>(zum Priester).</w:t>
      </w:r>
    </w:p>
    <w:p w14:paraId="0FB2B2D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 Wiederholung derselben </w:t>
      </w:r>
      <w:r w:rsidRPr="00577688">
        <w:rPr>
          <w:rFonts w:eastAsia="Times New Roman" w:cs="Times New Roman"/>
          <w:b/>
          <w:bCs/>
          <w:rtl/>
          <w:lang w:eastAsia="de-DE"/>
        </w:rPr>
        <w:t>אשם</w:t>
      </w:r>
      <w:r w:rsidRPr="00577688">
        <w:rPr>
          <w:rFonts w:eastAsia="Times New Roman" w:cs="Times New Roman"/>
          <w:lang w:eastAsia="de-DE"/>
        </w:rPr>
        <w:t>-Bestimmungen für verschiedene Vergehen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 xml:space="preserve">gegen Heiliges V. 15, unwissentliche Übertretung V. 18, zwischenmenschliche Vergehen V. 25) zeigt die Einheitlichkeit des </w:t>
      </w:r>
      <w:r w:rsidRPr="00577688">
        <w:rPr>
          <w:rFonts w:eastAsia="Times New Roman" w:cs="Times New Roman"/>
          <w:b/>
          <w:bCs/>
          <w:rtl/>
          <w:lang w:eastAsia="de-DE"/>
        </w:rPr>
        <w:t>אשם</w:t>
      </w:r>
      <w:r w:rsidRPr="00577688">
        <w:rPr>
          <w:rFonts w:eastAsia="Times New Roman" w:cs="Times New Roman"/>
          <w:lang w:eastAsia="de-DE"/>
        </w:rPr>
        <w:t>-Rituals bei unterschiedlichen Anlässen.</w:t>
      </w:r>
    </w:p>
    <w:p w14:paraId="5583B5A6"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lastRenderedPageBreak/>
        <w:t>איל תמים מן־הצאן</w:t>
      </w:r>
      <w:r w:rsidRPr="00577688">
        <w:rPr>
          <w:rFonts w:eastAsia="Times New Roman" w:cs="Times New Roman"/>
          <w:rtl/>
          <w:lang w:eastAsia="de-DE"/>
        </w:rPr>
        <w:t xml:space="preserve"> </w:t>
      </w:r>
      <w:r w:rsidRPr="00577688">
        <w:rPr>
          <w:rFonts w:eastAsia="Times New Roman" w:cs="Times New Roman"/>
          <w:lang w:eastAsia="de-DE"/>
        </w:rPr>
        <w:t xml:space="preserve">(fehlerlosen Widder vom Kleinvieh) ist durchgängig das </w:t>
      </w:r>
      <w:r w:rsidRPr="00577688">
        <w:rPr>
          <w:rFonts w:eastAsia="Times New Roman" w:cs="Times New Roman"/>
          <w:b/>
          <w:bCs/>
          <w:rtl/>
          <w:lang w:eastAsia="de-DE"/>
        </w:rPr>
        <w:t>אשם</w:t>
      </w:r>
      <w:r w:rsidRPr="00577688">
        <w:rPr>
          <w:rFonts w:eastAsia="Times New Roman" w:cs="Times New Roman"/>
          <w:lang w:eastAsia="de-DE"/>
        </w:rPr>
        <w:t xml:space="preserve">-Tier, kostbarer als </w:t>
      </w:r>
      <w:r w:rsidRPr="00577688">
        <w:rPr>
          <w:rFonts w:eastAsia="Times New Roman" w:cs="Times New Roman"/>
          <w:b/>
          <w:bCs/>
          <w:rtl/>
          <w:lang w:eastAsia="de-DE"/>
        </w:rPr>
        <w:t>חטאת</w:t>
      </w:r>
      <w:r w:rsidRPr="00577688">
        <w:rPr>
          <w:rFonts w:eastAsia="Times New Roman" w:cs="Times New Roman"/>
          <w:lang w:eastAsia="de-DE"/>
        </w:rPr>
        <w:t>-Tiere (</w:t>
      </w:r>
      <w:r w:rsidRPr="00577688">
        <w:rPr>
          <w:rFonts w:eastAsia="Times New Roman" w:cs="Times New Roman"/>
          <w:b/>
          <w:bCs/>
          <w:rtl/>
          <w:lang w:eastAsia="de-DE"/>
        </w:rPr>
        <w:t>נקבה מן־הצאן</w:t>
      </w:r>
      <w:r w:rsidRPr="00577688">
        <w:rPr>
          <w:rFonts w:eastAsia="Times New Roman" w:cs="Times New Roman"/>
          <w:lang w:eastAsia="de-DE"/>
        </w:rPr>
        <w:t xml:space="preserve">) und zeigt die Schwere der </w:t>
      </w:r>
      <w:r w:rsidRPr="00577688">
        <w:rPr>
          <w:rFonts w:eastAsia="Times New Roman" w:cs="Times New Roman"/>
          <w:b/>
          <w:bCs/>
          <w:rtl/>
          <w:lang w:eastAsia="de-DE"/>
        </w:rPr>
        <w:t>אשם</w:t>
      </w:r>
      <w:r w:rsidRPr="00577688">
        <w:rPr>
          <w:rFonts w:eastAsia="Times New Roman" w:cs="Times New Roman"/>
          <w:lang w:eastAsia="de-DE"/>
        </w:rPr>
        <w:t>-Vergehen.</w:t>
      </w:r>
    </w:p>
    <w:p w14:paraId="38DC8F73"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wiederholt die entsprechenden Übersetzungen der vorherigen Verse und zeigt die systematische Konsistenz der </w:t>
      </w:r>
      <w:r w:rsidRPr="00577688">
        <w:rPr>
          <w:rFonts w:eastAsia="Times New Roman" w:cs="Times New Roman"/>
          <w:b/>
          <w:bCs/>
          <w:rtl/>
          <w:lang w:eastAsia="de-DE"/>
        </w:rPr>
        <w:t>אשם</w:t>
      </w:r>
      <w:r w:rsidRPr="00577688">
        <w:rPr>
          <w:rFonts w:eastAsia="Times New Roman" w:cs="Times New Roman"/>
          <w:lang w:eastAsia="de-DE"/>
        </w:rPr>
        <w:t>-Terminologie.</w:t>
      </w:r>
    </w:p>
    <w:p w14:paraId="00780912"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entspricht exakt V. 15.18: Objekt + Verb + Dativangabe + komplexe Objekt-Spezifizierung + Adverbialbestimmung. Die Wiederholung unterstreicht die Wichtigkeit des </w:t>
      </w:r>
      <w:r w:rsidRPr="00577688">
        <w:rPr>
          <w:rFonts w:eastAsia="Times New Roman" w:cs="Times New Roman"/>
          <w:b/>
          <w:bCs/>
          <w:rtl/>
          <w:lang w:eastAsia="de-DE"/>
        </w:rPr>
        <w:t>אשם</w:t>
      </w:r>
      <w:r w:rsidRPr="00577688">
        <w:rPr>
          <w:rFonts w:eastAsia="Times New Roman" w:cs="Times New Roman"/>
          <w:lang w:eastAsia="de-DE"/>
        </w:rPr>
        <w:t>-Rituals.</w:t>
      </w:r>
    </w:p>
    <w:p w14:paraId="1800A64C"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etabliert die rituell identische </w:t>
      </w:r>
      <w:r w:rsidRPr="00577688">
        <w:rPr>
          <w:rFonts w:eastAsia="Times New Roman" w:cs="Times New Roman"/>
          <w:b/>
          <w:bCs/>
          <w:rtl/>
          <w:lang w:eastAsia="de-DE"/>
        </w:rPr>
        <w:t>אשם</w:t>
      </w:r>
      <w:r w:rsidRPr="00577688">
        <w:rPr>
          <w:rFonts w:eastAsia="Times New Roman" w:cs="Times New Roman"/>
          <w:lang w:eastAsia="de-DE"/>
        </w:rPr>
        <w:t>-Darbringung für zwischenmenschliche Vergehen wie für Vergehen gegen Heiliges.</w:t>
      </w:r>
    </w:p>
    <w:p w14:paraId="6BF87245" w14:textId="77777777" w:rsidR="00577688" w:rsidRPr="00577688" w:rsidRDefault="00577688" w:rsidP="00577688">
      <w:pPr>
        <w:spacing w:before="100" w:beforeAutospacing="1" w:after="100" w:afterAutospacing="1" w:line="240" w:lineRule="auto"/>
        <w:outlineLvl w:val="1"/>
        <w:rPr>
          <w:rFonts w:eastAsia="Times New Roman" w:cs="Times New Roman"/>
          <w:b/>
          <w:bCs/>
          <w:sz w:val="36"/>
          <w:szCs w:val="36"/>
          <w:lang w:eastAsia="de-DE"/>
        </w:rPr>
      </w:pPr>
      <w:r w:rsidRPr="00577688">
        <w:rPr>
          <w:rFonts w:eastAsia="Times New Roman" w:cs="Times New Roman"/>
          <w:b/>
          <w:bCs/>
          <w:sz w:val="36"/>
          <w:szCs w:val="36"/>
          <w:lang w:eastAsia="de-DE"/>
        </w:rPr>
        <w:t>Leviticus 5,26</w:t>
      </w:r>
    </w:p>
    <w:p w14:paraId="3544C368"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Hebräisch:</w:t>
      </w:r>
      <w:r w:rsidRPr="00577688">
        <w:rPr>
          <w:rFonts w:eastAsia="Times New Roman" w:cs="Times New Roman"/>
          <w:lang w:eastAsia="de-DE"/>
        </w:rPr>
        <w:t xml:space="preserve"> </w:t>
      </w:r>
      <w:r w:rsidRPr="00577688">
        <w:rPr>
          <w:rFonts w:eastAsia="Times New Roman" w:cs="Times New Roman"/>
          <w:rtl/>
          <w:lang w:eastAsia="de-DE"/>
        </w:rPr>
        <w:t>וְכִפֶּ֨ר עָלָ֧יו הַכֹּהֵ֛ן לִפְנֵ֥י יְהוָ֖ה וְנִסְלַ֣ח לוֹ֑ עַל־אַחַ֛ת מִכֹּ֥ל אֲשֶֽׁר־יַעֲשֶׂ֖ה לְאַשְׁמָ֥ה בָֽהּ׃</w:t>
      </w:r>
    </w:p>
    <w:p w14:paraId="2A09321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Deutsch:</w:t>
      </w:r>
      <w:r w:rsidRPr="00577688">
        <w:rPr>
          <w:rFonts w:eastAsia="Times New Roman" w:cs="Times New Roman"/>
          <w:lang w:eastAsia="de-DE"/>
        </w:rPr>
        <w:t xml:space="preserve"> und der Priester soll Sühne für ihn erwirken vor dem Ewigen, und es wird ihm vergeben werden wegen irgendetwas von allem, was er getan hat, sich darin zu verschulden.</w:t>
      </w:r>
    </w:p>
    <w:p w14:paraId="3DD376DF" w14:textId="77777777" w:rsidR="00577688" w:rsidRPr="00577688" w:rsidRDefault="00A57720" w:rsidP="00577688">
      <w:pPr>
        <w:spacing w:after="0" w:line="240" w:lineRule="auto"/>
        <w:rPr>
          <w:rFonts w:eastAsia="Times New Roman" w:cs="Times New Roman"/>
          <w:lang w:eastAsia="de-DE"/>
        </w:rPr>
      </w:pPr>
      <w:r>
        <w:rPr>
          <w:rFonts w:eastAsia="Times New Roman" w:cs="Times New Roman"/>
          <w:noProof/>
          <w:lang w:eastAsia="de-DE"/>
        </w:rPr>
        <w:pict w14:anchorId="1A0A9648">
          <v:rect id="_x0000_i1135" style="width:0;height:1.5pt" o:hralign="center" o:hrstd="t" o:hr="t" fillcolor="#a0a0a0" stroked="f"/>
        </w:pict>
      </w:r>
    </w:p>
    <w:p w14:paraId="74840CA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Kommentar:</w:t>
      </w:r>
      <w:r w:rsidRPr="00577688">
        <w:rPr>
          <w:rFonts w:eastAsia="Times New Roman" w:cs="Times New Roman"/>
          <w:lang w:eastAsia="de-DE"/>
        </w:rPr>
        <w:t xml:space="preserve"> </w:t>
      </w:r>
      <w:r w:rsidRPr="00577688">
        <w:rPr>
          <w:rFonts w:eastAsia="Times New Roman" w:cs="Times New Roman"/>
          <w:b/>
          <w:bCs/>
          <w:rtl/>
          <w:lang w:eastAsia="de-DE"/>
        </w:rPr>
        <w:t>וְכִפֶּ֨ר עָלָ֧יו הַכֹּהֵ֛ן לִפְנֵ֥י יְהוָ֖ה וְנִסְלַ֣ח לוֹ֑</w:t>
      </w:r>
      <w:r w:rsidRPr="00577688">
        <w:rPr>
          <w:rFonts w:eastAsia="Times New Roman" w:cs="Times New Roman"/>
          <w:rtl/>
          <w:lang w:eastAsia="de-DE"/>
        </w:rPr>
        <w:t xml:space="preserve"> </w:t>
      </w:r>
      <w:r w:rsidRPr="00577688">
        <w:rPr>
          <w:rFonts w:eastAsia="Times New Roman" w:cs="Times New Roman"/>
          <w:lang w:eastAsia="de-DE"/>
        </w:rPr>
        <w:t>(und der Priester soll Sühne für ihn vor JHWH erwirken, und es wird ihm vergeben werden) ist die Standard-</w:t>
      </w:r>
      <w:r w:rsidRPr="00577688">
        <w:rPr>
          <w:rFonts w:eastAsia="Times New Roman" w:cs="Times New Roman"/>
          <w:b/>
          <w:bCs/>
          <w:rtl/>
          <w:lang w:eastAsia="de-DE"/>
        </w:rPr>
        <w:t>כפרה</w:t>
      </w:r>
      <w:r w:rsidRPr="00577688">
        <w:rPr>
          <w:rFonts w:eastAsia="Times New Roman" w:cs="Times New Roman"/>
          <w:lang w:eastAsia="de-DE"/>
        </w:rPr>
        <w:t xml:space="preserve">-Formel mit Zusatz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 xml:space="preserve">(vor JHWH). </w:t>
      </w:r>
      <w:r w:rsidRPr="00577688">
        <w:rPr>
          <w:rFonts w:eastAsia="Times New Roman" w:cs="Times New Roman"/>
          <w:b/>
          <w:bCs/>
          <w:rtl/>
          <w:lang w:eastAsia="de-DE"/>
        </w:rPr>
        <w:t>וכפר עליו הכהן</w:t>
      </w:r>
      <w:r w:rsidRPr="00577688">
        <w:rPr>
          <w:rFonts w:eastAsia="Times New Roman" w:cs="Times New Roman"/>
          <w:rtl/>
          <w:lang w:eastAsia="de-DE"/>
        </w:rPr>
        <w:t xml:space="preserve"> </w:t>
      </w:r>
      <w:r w:rsidRPr="00577688">
        <w:rPr>
          <w:rFonts w:eastAsia="Times New Roman" w:cs="Times New Roman"/>
          <w:lang w:eastAsia="de-DE"/>
        </w:rPr>
        <w:t xml:space="preserve">(und der Priester soll Sühne für ihn erwirken),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 xml:space="preserve">(vor JHWH), </w:t>
      </w:r>
      <w:r w:rsidRPr="00577688">
        <w:rPr>
          <w:rFonts w:eastAsia="Times New Roman" w:cs="Times New Roman"/>
          <w:b/>
          <w:bCs/>
          <w:rtl/>
          <w:lang w:eastAsia="de-DE"/>
        </w:rPr>
        <w:t>ונסלח לו</w:t>
      </w:r>
      <w:r w:rsidRPr="00577688">
        <w:rPr>
          <w:rFonts w:eastAsia="Times New Roman" w:cs="Times New Roman"/>
          <w:rtl/>
          <w:lang w:eastAsia="de-DE"/>
        </w:rPr>
        <w:t xml:space="preserve"> </w:t>
      </w:r>
      <w:r w:rsidRPr="00577688">
        <w:rPr>
          <w:rFonts w:eastAsia="Times New Roman" w:cs="Times New Roman"/>
          <w:lang w:eastAsia="de-DE"/>
        </w:rPr>
        <w:t>(und es wird ihm vergeben werden).</w:t>
      </w:r>
    </w:p>
    <w:p w14:paraId="08E6FD27"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עַל־אַחַ֛ת מִכֹּ֥ל אֲשֶֽׁר־יַעֲשֶׂ֖ה לְאַשְׁמָ֥ה בָֽהּ</w:t>
      </w:r>
      <w:r w:rsidRPr="00577688">
        <w:rPr>
          <w:rFonts w:eastAsia="Times New Roman" w:cs="Times New Roman"/>
          <w:rtl/>
          <w:lang w:eastAsia="de-DE"/>
        </w:rPr>
        <w:t xml:space="preserve"> </w:t>
      </w:r>
      <w:r w:rsidRPr="00577688">
        <w:rPr>
          <w:rFonts w:eastAsia="Times New Roman" w:cs="Times New Roman"/>
          <w:lang w:eastAsia="de-DE"/>
        </w:rPr>
        <w:t xml:space="preserve">(wegen einer von allem, was er tun mag, sich darin zu verschulden) ist universelle Abschlussformel. </w:t>
      </w:r>
      <w:r w:rsidRPr="00577688">
        <w:rPr>
          <w:rFonts w:eastAsia="Times New Roman" w:cs="Times New Roman"/>
          <w:b/>
          <w:bCs/>
          <w:rtl/>
          <w:lang w:eastAsia="de-DE"/>
        </w:rPr>
        <w:t>על־אחת מכל אשר־יעשה</w:t>
      </w:r>
      <w:r w:rsidRPr="00577688">
        <w:rPr>
          <w:rFonts w:eastAsia="Times New Roman" w:cs="Times New Roman"/>
          <w:rtl/>
          <w:lang w:eastAsia="de-DE"/>
        </w:rPr>
        <w:t xml:space="preserve"> </w:t>
      </w:r>
      <w:r w:rsidRPr="00577688">
        <w:rPr>
          <w:rFonts w:eastAsia="Times New Roman" w:cs="Times New Roman"/>
          <w:lang w:eastAsia="de-DE"/>
        </w:rPr>
        <w:t xml:space="preserve">(wegen einer von allem, was er tun mag), </w:t>
      </w:r>
      <w:r w:rsidRPr="00577688">
        <w:rPr>
          <w:rFonts w:eastAsia="Times New Roman" w:cs="Times New Roman"/>
          <w:b/>
          <w:bCs/>
          <w:rtl/>
          <w:lang w:eastAsia="de-DE"/>
        </w:rPr>
        <w:t>לאשמה בה</w:t>
      </w:r>
      <w:r w:rsidRPr="00577688">
        <w:rPr>
          <w:rFonts w:eastAsia="Times New Roman" w:cs="Times New Roman"/>
          <w:rtl/>
          <w:lang w:eastAsia="de-DE"/>
        </w:rPr>
        <w:t xml:space="preserve"> </w:t>
      </w:r>
      <w:r w:rsidRPr="00577688">
        <w:rPr>
          <w:rFonts w:eastAsia="Times New Roman" w:cs="Times New Roman"/>
          <w:lang w:eastAsia="de-DE"/>
        </w:rPr>
        <w:t xml:space="preserve">(sich darin zu verschulden) mit </w:t>
      </w:r>
      <w:r w:rsidRPr="00577688">
        <w:rPr>
          <w:rFonts w:eastAsia="Times New Roman" w:cs="Times New Roman"/>
          <w:b/>
          <w:bCs/>
          <w:rtl/>
          <w:lang w:eastAsia="de-DE"/>
        </w:rPr>
        <w:t>אשמה</w:t>
      </w:r>
      <w:r w:rsidRPr="00577688">
        <w:rPr>
          <w:rFonts w:eastAsia="Times New Roman" w:cs="Times New Roman"/>
          <w:rtl/>
          <w:lang w:eastAsia="de-DE"/>
        </w:rPr>
        <w:t xml:space="preserve"> </w:t>
      </w:r>
      <w:r w:rsidRPr="00577688">
        <w:rPr>
          <w:rFonts w:eastAsia="Times New Roman" w:cs="Times New Roman"/>
          <w:lang w:eastAsia="de-DE"/>
        </w:rPr>
        <w:t>(Verschuldung) als Zweck.</w:t>
      </w:r>
    </w:p>
    <w:p w14:paraId="208A6C8E"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 xml:space="preserve">(vor JHWH) betont die Öffentlichkeit und Heiligkeit der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bei schweren </w:t>
      </w:r>
      <w:r w:rsidRPr="00577688">
        <w:rPr>
          <w:rFonts w:eastAsia="Times New Roman" w:cs="Times New Roman"/>
          <w:b/>
          <w:bCs/>
          <w:rtl/>
          <w:lang w:eastAsia="de-DE"/>
        </w:rPr>
        <w:t>אשם</w:t>
      </w:r>
      <w:r w:rsidRPr="00577688">
        <w:rPr>
          <w:rFonts w:eastAsia="Times New Roman" w:cs="Times New Roman"/>
          <w:lang w:eastAsia="de-DE"/>
        </w:rPr>
        <w:t xml:space="preserve">-Vergehen. </w:t>
      </w:r>
      <w:r w:rsidRPr="00577688">
        <w:rPr>
          <w:rFonts w:eastAsia="Times New Roman" w:cs="Times New Roman"/>
          <w:b/>
          <w:bCs/>
          <w:rtl/>
          <w:lang w:eastAsia="de-DE"/>
        </w:rPr>
        <w:t>על־אחת מכל אשר־יעשה לאשמה בה</w:t>
      </w:r>
      <w:r w:rsidRPr="00577688">
        <w:rPr>
          <w:rFonts w:eastAsia="Times New Roman" w:cs="Times New Roman"/>
          <w:rtl/>
          <w:lang w:eastAsia="de-DE"/>
        </w:rPr>
        <w:t xml:space="preserve"> </w:t>
      </w:r>
      <w:proofErr w:type="spellStart"/>
      <w:r w:rsidRPr="00577688">
        <w:rPr>
          <w:rFonts w:eastAsia="Times New Roman" w:cs="Times New Roman"/>
          <w:lang w:eastAsia="de-DE"/>
        </w:rPr>
        <w:t>fasst</w:t>
      </w:r>
      <w:proofErr w:type="spellEnd"/>
      <w:r w:rsidRPr="00577688">
        <w:rPr>
          <w:rFonts w:eastAsia="Times New Roman" w:cs="Times New Roman"/>
          <w:lang w:eastAsia="de-DE"/>
        </w:rPr>
        <w:t xml:space="preserve"> alle möglichen </w:t>
      </w:r>
      <w:r w:rsidRPr="00577688">
        <w:rPr>
          <w:rFonts w:eastAsia="Times New Roman" w:cs="Times New Roman"/>
          <w:b/>
          <w:bCs/>
          <w:rtl/>
          <w:lang w:eastAsia="de-DE"/>
        </w:rPr>
        <w:t>אשם</w:t>
      </w:r>
      <w:r w:rsidRPr="00577688">
        <w:rPr>
          <w:rFonts w:eastAsia="Times New Roman" w:cs="Times New Roman"/>
          <w:lang w:eastAsia="de-DE"/>
        </w:rPr>
        <w:t>-Vergehen zusammen.</w:t>
      </w:r>
    </w:p>
    <w:p w14:paraId="79733D94"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rtl/>
          <w:lang w:eastAsia="de-DE"/>
        </w:rPr>
        <w:t>לאשמה בה</w:t>
      </w:r>
      <w:r w:rsidRPr="00577688">
        <w:rPr>
          <w:rFonts w:eastAsia="Times New Roman" w:cs="Times New Roman"/>
          <w:rtl/>
          <w:lang w:eastAsia="de-DE"/>
        </w:rPr>
        <w:t xml:space="preserve"> </w:t>
      </w:r>
      <w:r w:rsidRPr="00577688">
        <w:rPr>
          <w:rFonts w:eastAsia="Times New Roman" w:cs="Times New Roman"/>
          <w:lang w:eastAsia="de-DE"/>
        </w:rPr>
        <w:t xml:space="preserve">(sich darin zu verschulden) zeigt </w:t>
      </w:r>
      <w:r w:rsidRPr="00577688">
        <w:rPr>
          <w:rFonts w:eastAsia="Times New Roman" w:cs="Times New Roman"/>
          <w:b/>
          <w:bCs/>
          <w:rtl/>
          <w:lang w:eastAsia="de-DE"/>
        </w:rPr>
        <w:t>אשמה</w:t>
      </w:r>
      <w:r w:rsidRPr="00577688">
        <w:rPr>
          <w:rFonts w:eastAsia="Times New Roman" w:cs="Times New Roman"/>
          <w:rtl/>
          <w:lang w:eastAsia="de-DE"/>
        </w:rPr>
        <w:t xml:space="preserve"> </w:t>
      </w:r>
      <w:r w:rsidRPr="00577688">
        <w:rPr>
          <w:rFonts w:eastAsia="Times New Roman" w:cs="Times New Roman"/>
          <w:lang w:eastAsia="de-DE"/>
        </w:rPr>
        <w:t xml:space="preserve">(Verschuldung) als Resultat verschiedener Handlungen, die alle </w:t>
      </w:r>
      <w:r w:rsidRPr="00577688">
        <w:rPr>
          <w:rFonts w:eastAsia="Times New Roman" w:cs="Times New Roman"/>
          <w:b/>
          <w:bCs/>
          <w:rtl/>
          <w:lang w:eastAsia="de-DE"/>
        </w:rPr>
        <w:t>אשם</w:t>
      </w:r>
      <w:r w:rsidRPr="00577688">
        <w:rPr>
          <w:rFonts w:eastAsia="Times New Roman" w:cs="Times New Roman"/>
          <w:lang w:eastAsia="de-DE"/>
        </w:rPr>
        <w:t>-pflichtig machen.</w:t>
      </w:r>
    </w:p>
    <w:p w14:paraId="550E473B"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LXX</w:t>
      </w:r>
      <w:r w:rsidRPr="00577688">
        <w:rPr>
          <w:rFonts w:eastAsia="Times New Roman" w:cs="Times New Roman"/>
          <w:lang w:eastAsia="de-DE"/>
        </w:rPr>
        <w:t xml:space="preserve"> übersetzt </w:t>
      </w:r>
      <w:r w:rsidRPr="00577688">
        <w:rPr>
          <w:rFonts w:eastAsia="Times New Roman" w:cs="Times New Roman"/>
          <w:b/>
          <w:bCs/>
          <w:rtl/>
          <w:lang w:eastAsia="de-DE"/>
        </w:rPr>
        <w:t>לִפְנֵ֥י יְהוָ֖ה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ἔν</w:t>
      </w:r>
      <w:proofErr w:type="spellEnd"/>
      <w:r w:rsidRPr="00577688">
        <w:rPr>
          <w:rFonts w:eastAsia="Times New Roman" w:cs="Times New Roman"/>
          <w:lang w:eastAsia="de-DE"/>
        </w:rPr>
        <w:t xml:space="preserve">αντι </w:t>
      </w:r>
      <w:proofErr w:type="spellStart"/>
      <w:r w:rsidRPr="00577688">
        <w:rPr>
          <w:rFonts w:eastAsia="Times New Roman" w:cs="Times New Roman"/>
          <w:lang w:eastAsia="de-DE"/>
        </w:rPr>
        <w:t>κυρίου</w:t>
      </w:r>
      <w:proofErr w:type="spellEnd"/>
      <w:r w:rsidRPr="00577688">
        <w:rPr>
          <w:rFonts w:eastAsia="Times New Roman" w:cs="Times New Roman"/>
          <w:lang w:eastAsia="de-DE"/>
        </w:rPr>
        <w:t xml:space="preserve"> (vor dem Herrn), </w:t>
      </w:r>
      <w:r w:rsidRPr="00577688">
        <w:rPr>
          <w:rFonts w:eastAsia="Times New Roman" w:cs="Times New Roman"/>
          <w:b/>
          <w:bCs/>
          <w:rtl/>
          <w:lang w:eastAsia="de-DE"/>
        </w:rPr>
        <w:t>עַל־אַחַ֛ת מִכֹּ֥ל</w:t>
      </w:r>
      <w:r w:rsidRPr="00577688">
        <w:rPr>
          <w:rFonts w:eastAsia="Times New Roman" w:cs="Times New Roman"/>
          <w:rtl/>
          <w:lang w:eastAsia="de-DE"/>
        </w:rPr>
        <w:t xml:space="preserve"> </w:t>
      </w:r>
      <w:r w:rsidRPr="00577688">
        <w:rPr>
          <w:rFonts w:eastAsia="Times New Roman" w:cs="Times New Roman"/>
          <w:lang w:eastAsia="de-DE"/>
        </w:rPr>
        <w:t>mit π</w:t>
      </w:r>
      <w:proofErr w:type="spellStart"/>
      <w:r w:rsidRPr="00577688">
        <w:rPr>
          <w:rFonts w:eastAsia="Times New Roman" w:cs="Times New Roman"/>
          <w:lang w:eastAsia="de-DE"/>
        </w:rPr>
        <w:t>ερὶ</w:t>
      </w:r>
      <w:proofErr w:type="spellEnd"/>
      <w:r w:rsidRPr="00577688">
        <w:rPr>
          <w:rFonts w:eastAsia="Times New Roman" w:cs="Times New Roman"/>
          <w:lang w:eastAsia="de-DE"/>
        </w:rPr>
        <w:t xml:space="preserve"> </w:t>
      </w:r>
      <w:proofErr w:type="spellStart"/>
      <w:r w:rsidRPr="00577688">
        <w:rPr>
          <w:rFonts w:eastAsia="Times New Roman" w:cs="Times New Roman"/>
          <w:lang w:eastAsia="de-DE"/>
        </w:rPr>
        <w:t>ἑνὸς</w:t>
      </w:r>
      <w:proofErr w:type="spellEnd"/>
      <w:r w:rsidRPr="00577688">
        <w:rPr>
          <w:rFonts w:eastAsia="Times New Roman" w:cs="Times New Roman"/>
          <w:lang w:eastAsia="de-DE"/>
        </w:rPr>
        <w:t xml:space="preserve"> ἀπὸ π</w:t>
      </w:r>
      <w:proofErr w:type="spellStart"/>
      <w:r w:rsidRPr="00577688">
        <w:rPr>
          <w:rFonts w:eastAsia="Times New Roman" w:cs="Times New Roman"/>
          <w:lang w:eastAsia="de-DE"/>
        </w:rPr>
        <w:t>άντων</w:t>
      </w:r>
      <w:proofErr w:type="spellEnd"/>
      <w:r w:rsidRPr="00577688">
        <w:rPr>
          <w:rFonts w:eastAsia="Times New Roman" w:cs="Times New Roman"/>
          <w:lang w:eastAsia="de-DE"/>
        </w:rPr>
        <w:t xml:space="preserve"> (bezüglich eines von allem) und </w:t>
      </w:r>
      <w:r w:rsidRPr="00577688">
        <w:rPr>
          <w:rFonts w:eastAsia="Times New Roman" w:cs="Times New Roman"/>
          <w:b/>
          <w:bCs/>
          <w:rtl/>
          <w:lang w:eastAsia="de-DE"/>
        </w:rPr>
        <w:t>לְאַשְׁמָ֥ה</w:t>
      </w:r>
      <w:r w:rsidRPr="00577688">
        <w:rPr>
          <w:rFonts w:eastAsia="Times New Roman" w:cs="Times New Roman"/>
          <w:rtl/>
          <w:lang w:eastAsia="de-DE"/>
        </w:rPr>
        <w:t xml:space="preserve"> </w:t>
      </w:r>
      <w:r w:rsidRPr="00577688">
        <w:rPr>
          <w:rFonts w:eastAsia="Times New Roman" w:cs="Times New Roman"/>
          <w:lang w:eastAsia="de-DE"/>
        </w:rPr>
        <w:t xml:space="preserve">mit </w:t>
      </w:r>
      <w:proofErr w:type="spellStart"/>
      <w:r w:rsidRPr="00577688">
        <w:rPr>
          <w:rFonts w:eastAsia="Times New Roman" w:cs="Times New Roman"/>
          <w:lang w:eastAsia="de-DE"/>
        </w:rPr>
        <w:t>εἰς</w:t>
      </w:r>
      <w:proofErr w:type="spellEnd"/>
      <w:r w:rsidRPr="00577688">
        <w:rPr>
          <w:rFonts w:eastAsia="Times New Roman" w:cs="Times New Roman"/>
          <w:lang w:eastAsia="de-DE"/>
        </w:rPr>
        <w:t xml:space="preserve"> π</w:t>
      </w:r>
      <w:proofErr w:type="spellStart"/>
      <w:r w:rsidRPr="00577688">
        <w:rPr>
          <w:rFonts w:eastAsia="Times New Roman" w:cs="Times New Roman"/>
          <w:lang w:eastAsia="de-DE"/>
        </w:rPr>
        <w:t>λημμέλει</w:t>
      </w:r>
      <w:proofErr w:type="spellEnd"/>
      <w:r w:rsidRPr="00577688">
        <w:rPr>
          <w:rFonts w:eastAsia="Times New Roman" w:cs="Times New Roman"/>
          <w:lang w:eastAsia="de-DE"/>
        </w:rPr>
        <w:t>αν (zur Verfehlung).</w:t>
      </w:r>
    </w:p>
    <w:p w14:paraId="1FCF9500" w14:textId="77777777" w:rsidR="00577688" w:rsidRP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b/>
          <w:bCs/>
          <w:lang w:eastAsia="de-DE"/>
        </w:rPr>
        <w:t>Die Satzstruktur:</w:t>
      </w:r>
      <w:r w:rsidRPr="00577688">
        <w:rPr>
          <w:rFonts w:eastAsia="Times New Roman" w:cs="Times New Roman"/>
          <w:lang w:eastAsia="de-DE"/>
        </w:rPr>
        <w:t xml:space="preserve"> zeigt </w:t>
      </w:r>
      <w:r w:rsidRPr="00577688">
        <w:rPr>
          <w:rFonts w:eastAsia="Times New Roman" w:cs="Times New Roman"/>
          <w:b/>
          <w:bCs/>
          <w:rtl/>
          <w:lang w:eastAsia="de-DE"/>
        </w:rPr>
        <w:t>כפרה</w:t>
      </w:r>
      <w:r w:rsidRPr="00577688">
        <w:rPr>
          <w:rFonts w:eastAsia="Times New Roman" w:cs="Times New Roman"/>
          <w:lang w:eastAsia="de-DE"/>
        </w:rPr>
        <w:t xml:space="preserve">-Formel plus universelle Abschlussformel: erweiterte </w:t>
      </w:r>
      <w:r w:rsidRPr="00577688">
        <w:rPr>
          <w:rFonts w:eastAsia="Times New Roman" w:cs="Times New Roman"/>
          <w:b/>
          <w:bCs/>
          <w:rtl/>
          <w:lang w:eastAsia="de-DE"/>
        </w:rPr>
        <w:t>כפרה</w:t>
      </w:r>
      <w:r w:rsidRPr="00577688">
        <w:rPr>
          <w:rFonts w:eastAsia="Times New Roman" w:cs="Times New Roman"/>
          <w:lang w:eastAsia="de-DE"/>
        </w:rPr>
        <w:t xml:space="preserve">-Formel + universelle Gültigkeitsaussage. Die Struktur schließt alle </w:t>
      </w:r>
      <w:r w:rsidRPr="00577688">
        <w:rPr>
          <w:rFonts w:eastAsia="Times New Roman" w:cs="Times New Roman"/>
          <w:b/>
          <w:bCs/>
          <w:rtl/>
          <w:lang w:eastAsia="de-DE"/>
        </w:rPr>
        <w:t>אשם</w:t>
      </w:r>
      <w:r w:rsidRPr="00577688">
        <w:rPr>
          <w:rFonts w:eastAsia="Times New Roman" w:cs="Times New Roman"/>
          <w:lang w:eastAsia="de-DE"/>
        </w:rPr>
        <w:t>-Kategorien ab.</w:t>
      </w:r>
    </w:p>
    <w:p w14:paraId="42F5A552" w14:textId="77777777" w:rsidR="00E35C31"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Dieser Vers beschließt Kapitel 5 und die gesamte </w:t>
      </w:r>
      <w:r w:rsidRPr="00577688">
        <w:rPr>
          <w:rFonts w:eastAsia="Times New Roman" w:cs="Times New Roman"/>
          <w:b/>
          <w:bCs/>
          <w:rtl/>
          <w:lang w:eastAsia="de-DE"/>
        </w:rPr>
        <w:t>אשם</w:t>
      </w:r>
      <w:r w:rsidRPr="00577688">
        <w:rPr>
          <w:rFonts w:eastAsia="Times New Roman" w:cs="Times New Roman"/>
          <w:lang w:eastAsia="de-DE"/>
        </w:rPr>
        <w:t xml:space="preserve">-Gesetzgebung mit universeller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und </w:t>
      </w:r>
      <w:r w:rsidRPr="00577688">
        <w:rPr>
          <w:rFonts w:eastAsia="Times New Roman" w:cs="Times New Roman"/>
          <w:b/>
          <w:bCs/>
          <w:rtl/>
          <w:lang w:eastAsia="de-DE"/>
        </w:rPr>
        <w:t>סליחה</w:t>
      </w:r>
      <w:r w:rsidRPr="00577688">
        <w:rPr>
          <w:rFonts w:eastAsia="Times New Roman" w:cs="Times New Roman"/>
          <w:rtl/>
          <w:lang w:eastAsia="de-DE"/>
        </w:rPr>
        <w:t xml:space="preserve"> </w:t>
      </w:r>
      <w:r w:rsidRPr="00577688">
        <w:rPr>
          <w:rFonts w:eastAsia="Times New Roman" w:cs="Times New Roman"/>
          <w:lang w:eastAsia="de-DE"/>
        </w:rPr>
        <w:t xml:space="preserve">für alle </w:t>
      </w:r>
      <w:r w:rsidRPr="00577688">
        <w:rPr>
          <w:rFonts w:eastAsia="Times New Roman" w:cs="Times New Roman"/>
          <w:b/>
          <w:bCs/>
          <w:rtl/>
          <w:lang w:eastAsia="de-DE"/>
        </w:rPr>
        <w:t>אשם</w:t>
      </w:r>
      <w:r w:rsidRPr="00577688">
        <w:rPr>
          <w:rFonts w:eastAsia="Times New Roman" w:cs="Times New Roman"/>
          <w:lang w:eastAsia="de-DE"/>
        </w:rPr>
        <w:t xml:space="preserve">-Vergehen. Kapitel 5 etabliert ein komplexes System gestaffelter </w:t>
      </w:r>
      <w:r w:rsidRPr="00577688">
        <w:rPr>
          <w:rFonts w:eastAsia="Times New Roman" w:cs="Times New Roman"/>
          <w:b/>
          <w:bCs/>
          <w:rtl/>
          <w:lang w:eastAsia="de-DE"/>
        </w:rPr>
        <w:t>חטאת</w:t>
      </w:r>
      <w:r w:rsidRPr="00577688">
        <w:rPr>
          <w:rFonts w:eastAsia="Times New Roman" w:cs="Times New Roman"/>
          <w:rtl/>
          <w:lang w:eastAsia="de-DE"/>
        </w:rPr>
        <w:t xml:space="preserve"> </w:t>
      </w:r>
      <w:r w:rsidRPr="00577688">
        <w:rPr>
          <w:rFonts w:eastAsia="Times New Roman" w:cs="Times New Roman"/>
          <w:lang w:eastAsia="de-DE"/>
        </w:rPr>
        <w:t xml:space="preserve">(V. 1-13) und dreifacher </w:t>
      </w:r>
      <w:r w:rsidRPr="00577688">
        <w:rPr>
          <w:rFonts w:eastAsia="Times New Roman" w:cs="Times New Roman"/>
          <w:b/>
          <w:bCs/>
          <w:rtl/>
          <w:lang w:eastAsia="de-DE"/>
        </w:rPr>
        <w:t>אשם</w:t>
      </w:r>
      <w:r w:rsidRPr="00577688">
        <w:rPr>
          <w:rFonts w:eastAsia="Times New Roman" w:cs="Times New Roman"/>
          <w:lang w:eastAsia="de-DE"/>
        </w:rPr>
        <w:t xml:space="preserve">-Kategorien (V. 14-26): </w:t>
      </w:r>
    </w:p>
    <w:p w14:paraId="3434382D" w14:textId="77777777" w:rsidR="00E35C31" w:rsidRDefault="00577688" w:rsidP="00577688">
      <w:pPr>
        <w:spacing w:before="100" w:beforeAutospacing="1" w:after="100" w:afterAutospacing="1" w:line="240" w:lineRule="auto"/>
        <w:rPr>
          <w:rFonts w:eastAsia="Times New Roman" w:cs="Times New Roman"/>
          <w:lang w:eastAsia="de-DE"/>
        </w:rPr>
      </w:pPr>
      <w:r w:rsidRPr="00E35C31">
        <w:rPr>
          <w:rFonts w:eastAsia="Times New Roman" w:cs="Times New Roman"/>
          <w:b/>
          <w:bCs/>
          <w:lang w:eastAsia="de-DE"/>
        </w:rPr>
        <w:t>1)</w:t>
      </w:r>
      <w:r w:rsidRPr="00577688">
        <w:rPr>
          <w:rFonts w:eastAsia="Times New Roman" w:cs="Times New Roman"/>
          <w:lang w:eastAsia="de-DE"/>
        </w:rPr>
        <w:t xml:space="preserve"> </w:t>
      </w:r>
      <w:r w:rsidRPr="00577688">
        <w:rPr>
          <w:rFonts w:eastAsia="Times New Roman" w:cs="Times New Roman"/>
          <w:b/>
          <w:bCs/>
          <w:rtl/>
          <w:lang w:eastAsia="de-DE"/>
        </w:rPr>
        <w:t>מעל</w:t>
      </w:r>
      <w:r w:rsidRPr="00577688">
        <w:rPr>
          <w:rFonts w:eastAsia="Times New Roman" w:cs="Times New Roman"/>
          <w:rtl/>
          <w:lang w:eastAsia="de-DE"/>
        </w:rPr>
        <w:t xml:space="preserve"> </w:t>
      </w:r>
      <w:r w:rsidRPr="00577688">
        <w:rPr>
          <w:rFonts w:eastAsia="Times New Roman" w:cs="Times New Roman"/>
          <w:lang w:eastAsia="de-DE"/>
        </w:rPr>
        <w:t xml:space="preserve">gegen Heiliges mit Restitution an Priester, </w:t>
      </w:r>
    </w:p>
    <w:p w14:paraId="27BC056B" w14:textId="77777777" w:rsidR="00E35C31" w:rsidRDefault="00577688" w:rsidP="00577688">
      <w:pPr>
        <w:spacing w:before="100" w:beforeAutospacing="1" w:after="100" w:afterAutospacing="1" w:line="240" w:lineRule="auto"/>
        <w:rPr>
          <w:rFonts w:eastAsia="Times New Roman" w:cs="Times New Roman"/>
          <w:lang w:eastAsia="de-DE"/>
        </w:rPr>
      </w:pPr>
      <w:r w:rsidRPr="00E35C31">
        <w:rPr>
          <w:rFonts w:eastAsia="Times New Roman" w:cs="Times New Roman"/>
          <w:b/>
          <w:bCs/>
          <w:lang w:eastAsia="de-DE"/>
        </w:rPr>
        <w:lastRenderedPageBreak/>
        <w:t>2)</w:t>
      </w:r>
      <w:r w:rsidRPr="00577688">
        <w:rPr>
          <w:rFonts w:eastAsia="Times New Roman" w:cs="Times New Roman"/>
          <w:lang w:eastAsia="de-DE"/>
        </w:rPr>
        <w:t xml:space="preserve"> unwissentliche Übertretung ohne Restitution, </w:t>
      </w:r>
    </w:p>
    <w:p w14:paraId="7A388DA9" w14:textId="77777777" w:rsidR="00E35C31" w:rsidRDefault="00577688" w:rsidP="00577688">
      <w:pPr>
        <w:spacing w:before="100" w:beforeAutospacing="1" w:after="100" w:afterAutospacing="1" w:line="240" w:lineRule="auto"/>
        <w:rPr>
          <w:rFonts w:eastAsia="Times New Roman" w:cs="Times New Roman"/>
          <w:lang w:eastAsia="de-DE"/>
        </w:rPr>
      </w:pPr>
      <w:r w:rsidRPr="00E35C31">
        <w:rPr>
          <w:rFonts w:eastAsia="Times New Roman" w:cs="Times New Roman"/>
          <w:b/>
          <w:bCs/>
          <w:lang w:eastAsia="de-DE"/>
        </w:rPr>
        <w:t>3)</w:t>
      </w:r>
      <w:r w:rsidRPr="00577688">
        <w:rPr>
          <w:rFonts w:eastAsia="Times New Roman" w:cs="Times New Roman"/>
          <w:lang w:eastAsia="de-DE"/>
        </w:rPr>
        <w:t xml:space="preserve"> zwischenmenschliche Vergehen mit Restitution an Geschädigten. </w:t>
      </w:r>
    </w:p>
    <w:p w14:paraId="7993F06C" w14:textId="4A58CA5E" w:rsidR="00577688" w:rsidRDefault="00577688" w:rsidP="00577688">
      <w:pPr>
        <w:spacing w:before="100" w:beforeAutospacing="1" w:after="100" w:afterAutospacing="1" w:line="240" w:lineRule="auto"/>
        <w:rPr>
          <w:rFonts w:eastAsia="Times New Roman" w:cs="Times New Roman"/>
          <w:lang w:eastAsia="de-DE"/>
        </w:rPr>
      </w:pPr>
      <w:r w:rsidRPr="00577688">
        <w:rPr>
          <w:rFonts w:eastAsia="Times New Roman" w:cs="Times New Roman"/>
          <w:lang w:eastAsia="de-DE"/>
        </w:rPr>
        <w:t xml:space="preserve">Allen gemeinsam ist die </w:t>
      </w:r>
      <w:r w:rsidRPr="00577688">
        <w:rPr>
          <w:rFonts w:eastAsia="Times New Roman" w:cs="Times New Roman"/>
          <w:b/>
          <w:bCs/>
          <w:rtl/>
          <w:lang w:eastAsia="de-DE"/>
        </w:rPr>
        <w:t>איל תמים</w:t>
      </w:r>
      <w:r w:rsidRPr="00577688">
        <w:rPr>
          <w:rFonts w:eastAsia="Times New Roman" w:cs="Times New Roman"/>
          <w:rtl/>
          <w:lang w:eastAsia="de-DE"/>
        </w:rPr>
        <w:t xml:space="preserve"> </w:t>
      </w:r>
      <w:r w:rsidRPr="00577688">
        <w:rPr>
          <w:rFonts w:eastAsia="Times New Roman" w:cs="Times New Roman"/>
          <w:lang w:eastAsia="de-DE"/>
        </w:rPr>
        <w:t xml:space="preserve">(fehlerlosen Widder) als Opfertier und priesterliche </w:t>
      </w:r>
      <w:r w:rsidRPr="00577688">
        <w:rPr>
          <w:rFonts w:eastAsia="Times New Roman" w:cs="Times New Roman"/>
          <w:b/>
          <w:bCs/>
          <w:rtl/>
          <w:lang w:eastAsia="de-DE"/>
        </w:rPr>
        <w:t>כפרה</w:t>
      </w:r>
      <w:r w:rsidRPr="00577688">
        <w:rPr>
          <w:rFonts w:eastAsia="Times New Roman" w:cs="Times New Roman"/>
          <w:rtl/>
          <w:lang w:eastAsia="de-DE"/>
        </w:rPr>
        <w:t xml:space="preserve"> </w:t>
      </w:r>
      <w:r w:rsidRPr="00577688">
        <w:rPr>
          <w:rFonts w:eastAsia="Times New Roman" w:cs="Times New Roman"/>
          <w:lang w:eastAsia="de-DE"/>
        </w:rPr>
        <w:t xml:space="preserve">mit göttlicher </w:t>
      </w:r>
      <w:r w:rsidRPr="00577688">
        <w:rPr>
          <w:rFonts w:eastAsia="Times New Roman" w:cs="Times New Roman"/>
          <w:b/>
          <w:bCs/>
          <w:rtl/>
          <w:lang w:eastAsia="de-DE"/>
        </w:rPr>
        <w:t>סליחה</w:t>
      </w:r>
      <w:r w:rsidRPr="00577688">
        <w:rPr>
          <w:rFonts w:eastAsia="Times New Roman" w:cs="Times New Roman"/>
          <w:lang w:eastAsia="de-DE"/>
        </w:rPr>
        <w:t>.</w:t>
      </w:r>
    </w:p>
    <w:p w14:paraId="0BFCA976" w14:textId="77777777" w:rsidR="00B3655B" w:rsidRDefault="00B3655B" w:rsidP="00B3655B">
      <w:pPr>
        <w:pStyle w:val="whitespace-normal"/>
      </w:pPr>
      <w:r>
        <w:rPr>
          <w:rStyle w:val="Fett"/>
        </w:rPr>
        <w:t>Systematische Beobachtungen</w:t>
      </w:r>
      <w:r>
        <w:t>:</w:t>
      </w:r>
    </w:p>
    <w:p w14:paraId="76FDB8E1" w14:textId="77777777" w:rsidR="00B3655B" w:rsidRDefault="00B3655B" w:rsidP="00B3655B">
      <w:pPr>
        <w:pStyle w:val="whitespace-normal"/>
        <w:numPr>
          <w:ilvl w:val="0"/>
          <w:numId w:val="34"/>
        </w:numPr>
      </w:pPr>
      <w:r w:rsidRPr="00B3655B">
        <w:rPr>
          <w:rStyle w:val="Fett"/>
          <w:b w:val="0"/>
          <w:bCs w:val="0"/>
        </w:rPr>
        <w:t>Die LXX</w:t>
      </w:r>
      <w:r>
        <w:t xml:space="preserve"> verwendet π</w:t>
      </w:r>
      <w:proofErr w:type="spellStart"/>
      <w:r>
        <w:t>λημμέλει</w:t>
      </w:r>
      <w:proofErr w:type="spellEnd"/>
      <w:r>
        <w:t xml:space="preserve">α für </w:t>
      </w:r>
      <w:r>
        <w:rPr>
          <w:rtl/>
        </w:rPr>
        <w:t>אשם</w:t>
      </w:r>
      <w:r>
        <w:t xml:space="preserve"> (Schuldopfer), was "Verfehlung" bedeutet</w:t>
      </w:r>
    </w:p>
    <w:p w14:paraId="7EAA8599" w14:textId="77777777" w:rsidR="00B3655B" w:rsidRDefault="00B3655B" w:rsidP="00B3655B">
      <w:pPr>
        <w:pStyle w:val="whitespace-normal"/>
        <w:numPr>
          <w:ilvl w:val="0"/>
          <w:numId w:val="34"/>
        </w:numPr>
      </w:pPr>
      <w:r>
        <w:t>Häufige interpretierende Ergänzungen deuten auf liturgische Klarstellungen hin</w:t>
      </w:r>
    </w:p>
    <w:p w14:paraId="6ED43424" w14:textId="77777777" w:rsidR="00B3655B" w:rsidRDefault="00B3655B" w:rsidP="00B3655B">
      <w:pPr>
        <w:pStyle w:val="whitespace-normal"/>
        <w:numPr>
          <w:ilvl w:val="0"/>
          <w:numId w:val="34"/>
        </w:numPr>
      </w:pPr>
      <w:r>
        <w:t>Die anatomischen und juristischen Präzisierungen zeigen Anpassung an griechische Leser</w:t>
      </w:r>
    </w:p>
    <w:p w14:paraId="4B585BF4" w14:textId="5F2E8241" w:rsidR="00B3655B" w:rsidRPr="00577688" w:rsidRDefault="00B3655B" w:rsidP="00B3655B">
      <w:pPr>
        <w:pStyle w:val="whitespace-normal"/>
      </w:pPr>
      <w:r>
        <w:rPr>
          <w:rStyle w:val="Fett"/>
        </w:rPr>
        <w:t>Textkritische Besonderheit</w:t>
      </w:r>
      <w:r>
        <w:t>: Verse 20-26 fehlen in der Göttinger LXX-Version, was auf unterschiedliche Kapitelaufteilungen oder Textzeugen hinweisen könnte.</w:t>
      </w:r>
    </w:p>
    <w:p w14:paraId="7DAD7823"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w:t>
      </w:r>
    </w:p>
    <w:p w14:paraId="02E6C90F"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וַיְדַבֵּ֥ר יְהוָ֖ה אֶל־מֹשֶׁ֥ה לֵּאמֹֽר׃</w:t>
      </w:r>
    </w:p>
    <w:p w14:paraId="6ABBFF1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der Ewige redete zu Mosche und sprach:</w:t>
      </w:r>
    </w:p>
    <w:p w14:paraId="4937045B"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13CF6F78">
          <v:rect id="_x0000_i1136" style="width:0;height:1.5pt" o:hralign="center" o:hrstd="t" o:hr="t" fillcolor="#a0a0a0" stroked="f"/>
        </w:pict>
      </w:r>
    </w:p>
    <w:p w14:paraId="5EAEFB7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וַיְדַבֵּ֥ר יְהוָ֖ה אֶל־מֹשֶׁ֥ה לֵּאמֹֽר</w:t>
      </w:r>
      <w:r w:rsidRPr="00B2490C">
        <w:rPr>
          <w:rFonts w:eastAsia="Times New Roman" w:cs="Times New Roman"/>
          <w:rtl/>
          <w:lang w:eastAsia="de-DE"/>
        </w:rPr>
        <w:t xml:space="preserve"> </w:t>
      </w:r>
      <w:r w:rsidRPr="00B2490C">
        <w:rPr>
          <w:rFonts w:eastAsia="Times New Roman" w:cs="Times New Roman"/>
          <w:lang w:eastAsia="de-DE"/>
        </w:rPr>
        <w:t xml:space="preserve">ist die standardisierte Einleitungsformel, die einen neuen Hauptabschnitt markiert. Kapitel 6 beginnt die </w:t>
      </w:r>
      <w:r w:rsidRPr="00B2490C">
        <w:rPr>
          <w:rFonts w:eastAsia="Times New Roman" w:cs="Times New Roman"/>
          <w:b/>
          <w:bCs/>
          <w:rtl/>
          <w:lang w:eastAsia="de-DE"/>
        </w:rPr>
        <w:t>תורות</w:t>
      </w:r>
      <w:r w:rsidRPr="00B2490C">
        <w:rPr>
          <w:rFonts w:eastAsia="Times New Roman" w:cs="Times New Roman"/>
          <w:rtl/>
          <w:lang w:eastAsia="de-DE"/>
        </w:rPr>
        <w:t xml:space="preserve"> </w:t>
      </w:r>
      <w:r w:rsidRPr="00B2490C">
        <w:rPr>
          <w:rFonts w:eastAsia="Times New Roman" w:cs="Times New Roman"/>
          <w:lang w:eastAsia="de-DE"/>
        </w:rPr>
        <w:t>(</w:t>
      </w:r>
      <w:proofErr w:type="spellStart"/>
      <w:r w:rsidRPr="00B2490C">
        <w:rPr>
          <w:rFonts w:eastAsia="Times New Roman" w:cs="Times New Roman"/>
          <w:lang w:eastAsia="de-DE"/>
        </w:rPr>
        <w:t>Torot</w:t>
      </w:r>
      <w:proofErr w:type="spellEnd"/>
      <w:r w:rsidRPr="00B2490C">
        <w:rPr>
          <w:rFonts w:eastAsia="Times New Roman" w:cs="Times New Roman"/>
          <w:lang w:eastAsia="de-DE"/>
        </w:rPr>
        <w:t>/Anweisungen) für die Priester bezüglich der Opferhandhabung, im Unterschied zu den vorherigen Kapiteln, die sich hauptsächlich an die Opferbringer richteten.</w:t>
      </w:r>
    </w:p>
    <w:p w14:paraId="21938F4B" w14:textId="0C22A03B" w:rsidR="00B3655B" w:rsidRDefault="00B3655B" w:rsidP="00B3655B">
      <w:pPr>
        <w:spacing w:before="100" w:beforeAutospacing="1" w:after="100" w:afterAutospacing="1" w:line="240" w:lineRule="auto"/>
        <w:rPr>
          <w:rFonts w:eastAsia="Times New Roman" w:cs="Times New Roman"/>
          <w:b/>
          <w:bCs/>
          <w:lang w:eastAsia="de-DE"/>
        </w:rPr>
      </w:pPr>
      <w:r>
        <w:rPr>
          <w:rStyle w:val="Fett"/>
        </w:rPr>
        <w:t>Strukturelle Abweichung</w:t>
      </w:r>
      <w:r>
        <w:t xml:space="preserve">: </w:t>
      </w:r>
      <w:r>
        <w:rPr>
          <w:rStyle w:val="Fett"/>
        </w:rPr>
        <w:t>Die LXX</w:t>
      </w:r>
      <w:r>
        <w:t xml:space="preserve"> beginnt Kapitel 6 mit dem Schluss des Schuldopfergesetzes (Verse 1-7), während der hebräische Text mit den </w:t>
      </w:r>
      <w:proofErr w:type="spellStart"/>
      <w:r w:rsidR="00D61FEC">
        <w:t>Aufsteigeopfer</w:t>
      </w:r>
      <w:r>
        <w:t>gesetzen</w:t>
      </w:r>
      <w:proofErr w:type="spellEnd"/>
      <w:r>
        <w:t xml:space="preserve"> beginnt. Dies zeigt unterschiedliche Kapiteleinteilungen.</w:t>
      </w:r>
    </w:p>
    <w:p w14:paraId="5C2141FA" w14:textId="126AADA0" w:rsidR="00B3655B" w:rsidRPr="00B2490C" w:rsidRDefault="00B2490C" w:rsidP="00B3655B">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mit der standardisierten Formel: καὶ </w:t>
      </w:r>
      <w:proofErr w:type="spellStart"/>
      <w:r w:rsidRPr="00B2490C">
        <w:rPr>
          <w:rFonts w:eastAsia="Times New Roman" w:cs="Times New Roman"/>
          <w:lang w:eastAsia="de-DE"/>
        </w:rPr>
        <w:t>ἐλάλησεν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κύριος</w:t>
      </w:r>
      <w:proofErr w:type="spellEnd"/>
      <w:r w:rsidRPr="00B2490C">
        <w:rPr>
          <w:rFonts w:eastAsia="Times New Roman" w:cs="Times New Roman"/>
          <w:lang w:eastAsia="de-DE"/>
        </w:rPr>
        <w:t xml:space="preserve"> π</w:t>
      </w:r>
      <w:proofErr w:type="spellStart"/>
      <w:r w:rsidRPr="00B2490C">
        <w:rPr>
          <w:rFonts w:eastAsia="Times New Roman" w:cs="Times New Roman"/>
          <w:lang w:eastAsia="de-DE"/>
        </w:rPr>
        <w:t>ρὸς</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Μωυσῆν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λέγων</w:t>
      </w:r>
      <w:proofErr w:type="spellEnd"/>
      <w:r w:rsidRPr="00B2490C">
        <w:rPr>
          <w:rFonts w:eastAsia="Times New Roman" w:cs="Times New Roman"/>
          <w:lang w:eastAsia="de-DE"/>
        </w:rPr>
        <w:t xml:space="preserve"> (und der Herr sprach zu Mose, sagend).</w:t>
      </w:r>
    </w:p>
    <w:p w14:paraId="4B6BD20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 Einleitung markiert den Übergang von den </w:t>
      </w:r>
      <w:r w:rsidRPr="00B2490C">
        <w:rPr>
          <w:rFonts w:eastAsia="Times New Roman" w:cs="Times New Roman"/>
          <w:b/>
          <w:bCs/>
          <w:rtl/>
          <w:lang w:eastAsia="de-DE"/>
        </w:rPr>
        <w:t>אשם</w:t>
      </w:r>
      <w:r w:rsidRPr="00B2490C">
        <w:rPr>
          <w:rFonts w:eastAsia="Times New Roman" w:cs="Times New Roman"/>
          <w:lang w:eastAsia="de-DE"/>
        </w:rPr>
        <w:t xml:space="preserve">-Bestimmungen zu den priesterlichen </w:t>
      </w:r>
      <w:r w:rsidRPr="00B2490C">
        <w:rPr>
          <w:rFonts w:eastAsia="Times New Roman" w:cs="Times New Roman"/>
          <w:b/>
          <w:bCs/>
          <w:rtl/>
          <w:lang w:eastAsia="de-DE"/>
        </w:rPr>
        <w:t>תורות</w:t>
      </w:r>
      <w:r w:rsidRPr="00B2490C">
        <w:rPr>
          <w:rFonts w:eastAsia="Times New Roman" w:cs="Times New Roman"/>
          <w:rtl/>
          <w:lang w:eastAsia="de-DE"/>
        </w:rPr>
        <w:t xml:space="preserve"> </w:t>
      </w:r>
      <w:r w:rsidRPr="00B2490C">
        <w:rPr>
          <w:rFonts w:eastAsia="Times New Roman" w:cs="Times New Roman"/>
          <w:lang w:eastAsia="de-DE"/>
        </w:rPr>
        <w:t>der verschiedenen Opferarten.</w:t>
      </w:r>
    </w:p>
    <w:p w14:paraId="0265CCD6"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6,2</w:t>
      </w:r>
    </w:p>
    <w:p w14:paraId="166FE33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צַ֤ו אֶֽת־אַהֲרֹן֙ וְאֶת־בָּנָ֣יו לֵאמֹ֔ר זֹ֥את תּוֹרַ֖ת הָעֹלָ֑ה הִ֣וא הָעֹלָ֡ה עַל֩ מוֹקְדָ֨ה עַל־הַמִּזְבֵּ֤חַ כָּל־הַלַּ֨יְלָה֙ עַד־הַבֹּ֔קֶר וְאֵ֥שׁ הַמִּזְבֵּ֖חַ תּ֥וּקַד בּוֹֽ׃</w:t>
      </w:r>
    </w:p>
    <w:p w14:paraId="5D6D8F8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Gebiete Aaron und seinen Söhnen und sprich: Dies ist die Torah des Aufsteigeopfers. Dieses, das Aufsteigeopfer, soll auf seiner Brandstelle auf dem Altar die ganze Nacht bis zum Morgen bleiben, und das Feuer des Altars soll auf ihm in Brand erhalten werden.</w:t>
      </w:r>
    </w:p>
    <w:p w14:paraId="4F27FBE5"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lastRenderedPageBreak/>
        <w:pict w14:anchorId="17F3F902">
          <v:rect id="_x0000_i1137" style="width:0;height:1.5pt" o:hralign="center" o:hrstd="t" o:hr="t" fillcolor="#a0a0a0" stroked="f"/>
        </w:pict>
      </w:r>
    </w:p>
    <w:p w14:paraId="4BF74F7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צַ֤ו אֶֽת־אַהֲרֹן֙ וְאֶת־בָּנָ֣יו לֵאמֹ֔ר</w:t>
      </w:r>
      <w:r w:rsidRPr="00B2490C">
        <w:rPr>
          <w:rFonts w:eastAsia="Times New Roman" w:cs="Times New Roman"/>
          <w:rtl/>
          <w:lang w:eastAsia="de-DE"/>
        </w:rPr>
        <w:t xml:space="preserve"> </w:t>
      </w:r>
      <w:r w:rsidRPr="00B2490C">
        <w:rPr>
          <w:rFonts w:eastAsia="Times New Roman" w:cs="Times New Roman"/>
          <w:lang w:eastAsia="de-DE"/>
        </w:rPr>
        <w:t xml:space="preserve">(gebiete Aaron und seinen Söhnen, sagend) richtet sich direkt an die Priesterschaft. </w:t>
      </w:r>
      <w:r w:rsidRPr="00B2490C">
        <w:rPr>
          <w:rFonts w:eastAsia="Times New Roman" w:cs="Times New Roman"/>
          <w:b/>
          <w:bCs/>
          <w:rtl/>
          <w:lang w:eastAsia="de-DE"/>
        </w:rPr>
        <w:t>צו</w:t>
      </w:r>
      <w:r w:rsidRPr="00B2490C">
        <w:rPr>
          <w:rFonts w:eastAsia="Times New Roman" w:cs="Times New Roman"/>
          <w:rtl/>
          <w:lang w:eastAsia="de-DE"/>
        </w:rPr>
        <w:t xml:space="preserve"> </w:t>
      </w:r>
      <w:r w:rsidRPr="00B2490C">
        <w:rPr>
          <w:rFonts w:eastAsia="Times New Roman" w:cs="Times New Roman"/>
          <w:lang w:eastAsia="de-DE"/>
        </w:rPr>
        <w:t xml:space="preserve">(gebiete) im Piel-Imperativ von </w:t>
      </w:r>
      <w:r w:rsidRPr="00B2490C">
        <w:rPr>
          <w:rFonts w:eastAsia="Times New Roman" w:cs="Times New Roman"/>
          <w:b/>
          <w:bCs/>
          <w:rtl/>
          <w:lang w:eastAsia="de-DE"/>
        </w:rPr>
        <w:t>צוה</w:t>
      </w:r>
      <w:r w:rsidRPr="00B2490C">
        <w:rPr>
          <w:rFonts w:eastAsia="Times New Roman" w:cs="Times New Roman"/>
          <w:rtl/>
          <w:lang w:eastAsia="de-DE"/>
        </w:rPr>
        <w:t xml:space="preserve"> </w:t>
      </w:r>
      <w:r w:rsidRPr="00B2490C">
        <w:rPr>
          <w:rFonts w:eastAsia="Times New Roman" w:cs="Times New Roman"/>
          <w:lang w:eastAsia="de-DE"/>
        </w:rPr>
        <w:t xml:space="preserve">(befehlen), </w:t>
      </w:r>
      <w:r w:rsidRPr="00B2490C">
        <w:rPr>
          <w:rFonts w:eastAsia="Times New Roman" w:cs="Times New Roman"/>
          <w:b/>
          <w:bCs/>
          <w:rtl/>
          <w:lang w:eastAsia="de-DE"/>
        </w:rPr>
        <w:t>את־אהרן ואת־בניו</w:t>
      </w:r>
      <w:r w:rsidRPr="00B2490C">
        <w:rPr>
          <w:rFonts w:eastAsia="Times New Roman" w:cs="Times New Roman"/>
          <w:rtl/>
          <w:lang w:eastAsia="de-DE"/>
        </w:rPr>
        <w:t xml:space="preserve"> </w:t>
      </w:r>
      <w:r w:rsidRPr="00B2490C">
        <w:rPr>
          <w:rFonts w:eastAsia="Times New Roman" w:cs="Times New Roman"/>
          <w:lang w:eastAsia="de-DE"/>
        </w:rPr>
        <w:t>(Aaron und seine Söhne) als direkte Adressaten.</w:t>
      </w:r>
    </w:p>
    <w:p w14:paraId="69B068D0" w14:textId="5A6B04D6"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זֹ֥את תּוֹרַ֖ת הָעֹלָ֑ה</w:t>
      </w:r>
      <w:r w:rsidRPr="00B2490C">
        <w:rPr>
          <w:rFonts w:eastAsia="Times New Roman" w:cs="Times New Roman"/>
          <w:rtl/>
          <w:lang w:eastAsia="de-DE"/>
        </w:rPr>
        <w:t xml:space="preserve"> </w:t>
      </w:r>
      <w:r w:rsidRPr="00B2490C">
        <w:rPr>
          <w:rFonts w:eastAsia="Times New Roman" w:cs="Times New Roman"/>
          <w:lang w:eastAsia="de-DE"/>
        </w:rPr>
        <w:t xml:space="preserve">(dies ist die Torah des </w:t>
      </w:r>
      <w:r w:rsidR="00CF10E7">
        <w:rPr>
          <w:rFonts w:eastAsia="Times New Roman" w:cs="Times New Roman"/>
          <w:lang w:eastAsia="de-DE"/>
        </w:rPr>
        <w:t>Aufsteigeopfer</w:t>
      </w:r>
      <w:r w:rsidRPr="00B2490C">
        <w:rPr>
          <w:rFonts w:eastAsia="Times New Roman" w:cs="Times New Roman"/>
          <w:lang w:eastAsia="de-DE"/>
        </w:rPr>
        <w:t xml:space="preserve">s) führt die erste priesterliche </w:t>
      </w:r>
      <w:r w:rsidRPr="00B2490C">
        <w:rPr>
          <w:rFonts w:eastAsia="Times New Roman" w:cs="Times New Roman"/>
          <w:b/>
          <w:bCs/>
          <w:rtl/>
          <w:lang w:eastAsia="de-DE"/>
        </w:rPr>
        <w:t>תורה</w:t>
      </w:r>
      <w:r w:rsidRPr="00B2490C">
        <w:rPr>
          <w:rFonts w:eastAsia="Times New Roman" w:cs="Times New Roman"/>
          <w:rtl/>
          <w:lang w:eastAsia="de-DE"/>
        </w:rPr>
        <w:t xml:space="preserve"> </w:t>
      </w:r>
      <w:r w:rsidRPr="00B2490C">
        <w:rPr>
          <w:rFonts w:eastAsia="Times New Roman" w:cs="Times New Roman"/>
          <w:lang w:eastAsia="de-DE"/>
        </w:rPr>
        <w:t xml:space="preserve">ein. </w:t>
      </w:r>
      <w:r w:rsidRPr="00B2490C">
        <w:rPr>
          <w:rFonts w:eastAsia="Times New Roman" w:cs="Times New Roman"/>
          <w:b/>
          <w:bCs/>
          <w:rtl/>
          <w:lang w:eastAsia="de-DE"/>
        </w:rPr>
        <w:t>זאת תורת</w:t>
      </w:r>
      <w:r w:rsidRPr="00B2490C">
        <w:rPr>
          <w:rFonts w:eastAsia="Times New Roman" w:cs="Times New Roman"/>
          <w:rtl/>
          <w:lang w:eastAsia="de-DE"/>
        </w:rPr>
        <w:t xml:space="preserve"> </w:t>
      </w:r>
      <w:r w:rsidRPr="00B2490C">
        <w:rPr>
          <w:rFonts w:eastAsia="Times New Roman" w:cs="Times New Roman"/>
          <w:lang w:eastAsia="de-DE"/>
        </w:rPr>
        <w:t>(dies ist die Torah/Anweisung) wird zur Standardformel für priesterliche Instruktionen.</w:t>
      </w:r>
    </w:p>
    <w:p w14:paraId="2FB1D293" w14:textId="1C075295"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הִ֣וא הָעֹלָ֡ה עַל֩ מוֹקְדָ֨ה עַל־הַמִּזְבֵּ֤חַ כָּל־הַלַּ֨יְלָה֙ עַד־הַבֹּ֔קֶר</w:t>
      </w:r>
      <w:r w:rsidRPr="00B2490C">
        <w:rPr>
          <w:rFonts w:eastAsia="Times New Roman" w:cs="Times New Roman"/>
          <w:rtl/>
          <w:lang w:eastAsia="de-DE"/>
        </w:rPr>
        <w:t xml:space="preserve"> </w:t>
      </w:r>
      <w:r w:rsidRPr="00B2490C">
        <w:rPr>
          <w:rFonts w:eastAsia="Times New Roman" w:cs="Times New Roman"/>
          <w:lang w:eastAsia="de-DE"/>
        </w:rPr>
        <w:t xml:space="preserve">(es, das </w:t>
      </w:r>
      <w:r w:rsidR="00CF10E7">
        <w:rPr>
          <w:rFonts w:eastAsia="Times New Roman" w:cs="Times New Roman"/>
          <w:lang w:eastAsia="de-DE"/>
        </w:rPr>
        <w:t>Aufsteigeopfer</w:t>
      </w:r>
      <w:r w:rsidRPr="00B2490C">
        <w:rPr>
          <w:rFonts w:eastAsia="Times New Roman" w:cs="Times New Roman"/>
          <w:lang w:eastAsia="de-DE"/>
        </w:rPr>
        <w:t xml:space="preserve">, soll auf seiner Brandstelle auf dem Altar die ganze Nacht bis zum Morgen bleiben) spezifiziert die nächtliche Verweildauer. </w:t>
      </w:r>
      <w:r w:rsidRPr="00B2490C">
        <w:rPr>
          <w:rFonts w:eastAsia="Times New Roman" w:cs="Times New Roman"/>
          <w:b/>
          <w:bCs/>
          <w:rtl/>
          <w:lang w:eastAsia="de-DE"/>
        </w:rPr>
        <w:t>הוא העלה</w:t>
      </w:r>
      <w:r w:rsidRPr="00B2490C">
        <w:rPr>
          <w:rFonts w:eastAsia="Times New Roman" w:cs="Times New Roman"/>
          <w:rtl/>
          <w:lang w:eastAsia="de-DE"/>
        </w:rPr>
        <w:t xml:space="preserve"> </w:t>
      </w:r>
      <w:r w:rsidRPr="00B2490C">
        <w:rPr>
          <w:rFonts w:eastAsia="Times New Roman" w:cs="Times New Roman"/>
          <w:lang w:eastAsia="de-DE"/>
        </w:rPr>
        <w:t xml:space="preserve">(es, das </w:t>
      </w:r>
      <w:r w:rsidR="00CF10E7">
        <w:rPr>
          <w:rFonts w:eastAsia="Times New Roman" w:cs="Times New Roman"/>
          <w:lang w:eastAsia="de-DE"/>
        </w:rPr>
        <w:t>Aufsteigeopfer</w:t>
      </w:r>
      <w:r w:rsidRPr="00B2490C">
        <w:rPr>
          <w:rFonts w:eastAsia="Times New Roman" w:cs="Times New Roman"/>
          <w:lang w:eastAsia="de-DE"/>
        </w:rPr>
        <w:t xml:space="preserve">) mit emphatischem Pronomen, </w:t>
      </w:r>
      <w:r w:rsidRPr="00B2490C">
        <w:rPr>
          <w:rFonts w:eastAsia="Times New Roman" w:cs="Times New Roman"/>
          <w:b/>
          <w:bCs/>
          <w:rtl/>
          <w:lang w:eastAsia="de-DE"/>
        </w:rPr>
        <w:t>על מוקדה</w:t>
      </w:r>
      <w:r w:rsidRPr="00B2490C">
        <w:rPr>
          <w:rFonts w:eastAsia="Times New Roman" w:cs="Times New Roman"/>
          <w:rtl/>
          <w:lang w:eastAsia="de-DE"/>
        </w:rPr>
        <w:t xml:space="preserve"> </w:t>
      </w:r>
      <w:r w:rsidRPr="00B2490C">
        <w:rPr>
          <w:rFonts w:eastAsia="Times New Roman" w:cs="Times New Roman"/>
          <w:lang w:eastAsia="de-DE"/>
        </w:rPr>
        <w:t xml:space="preserve">(auf seiner Brandstelle) von </w:t>
      </w:r>
      <w:r w:rsidRPr="00B2490C">
        <w:rPr>
          <w:rFonts w:eastAsia="Times New Roman" w:cs="Times New Roman"/>
          <w:b/>
          <w:bCs/>
          <w:rtl/>
          <w:lang w:eastAsia="de-DE"/>
        </w:rPr>
        <w:t>יקד</w:t>
      </w:r>
      <w:r w:rsidRPr="00B2490C">
        <w:rPr>
          <w:rFonts w:eastAsia="Times New Roman" w:cs="Times New Roman"/>
          <w:rtl/>
          <w:lang w:eastAsia="de-DE"/>
        </w:rPr>
        <w:t xml:space="preserve"> </w:t>
      </w:r>
      <w:r w:rsidRPr="00B2490C">
        <w:rPr>
          <w:rFonts w:eastAsia="Times New Roman" w:cs="Times New Roman"/>
          <w:lang w:eastAsia="de-DE"/>
        </w:rPr>
        <w:t xml:space="preserve">(brennen), </w:t>
      </w:r>
      <w:r w:rsidRPr="00B2490C">
        <w:rPr>
          <w:rFonts w:eastAsia="Times New Roman" w:cs="Times New Roman"/>
          <w:b/>
          <w:bCs/>
          <w:rtl/>
          <w:lang w:eastAsia="de-DE"/>
        </w:rPr>
        <w:t>כל־הלילה עד־הבקר</w:t>
      </w:r>
      <w:r w:rsidRPr="00B2490C">
        <w:rPr>
          <w:rFonts w:eastAsia="Times New Roman" w:cs="Times New Roman"/>
          <w:rtl/>
          <w:lang w:eastAsia="de-DE"/>
        </w:rPr>
        <w:t xml:space="preserve"> </w:t>
      </w:r>
      <w:r w:rsidRPr="00B2490C">
        <w:rPr>
          <w:rFonts w:eastAsia="Times New Roman" w:cs="Times New Roman"/>
          <w:lang w:eastAsia="de-DE"/>
        </w:rPr>
        <w:t>(die ganze Nacht bis zum Morgen).</w:t>
      </w:r>
    </w:p>
    <w:p w14:paraId="53E8112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וְאֵ֥שׁ הַמִּזְבֵּ֖חַ תּ֥וּקַד בּוֹֽ׃</w:t>
      </w:r>
      <w:r w:rsidRPr="00B2490C">
        <w:rPr>
          <w:rFonts w:eastAsia="Times New Roman" w:cs="Times New Roman"/>
          <w:rtl/>
          <w:lang w:eastAsia="de-DE"/>
        </w:rPr>
        <w:t xml:space="preserve"> </w:t>
      </w:r>
      <w:r w:rsidRPr="00B2490C">
        <w:rPr>
          <w:rFonts w:eastAsia="Times New Roman" w:cs="Times New Roman"/>
          <w:lang w:eastAsia="de-DE"/>
        </w:rPr>
        <w:t xml:space="preserve">(und das Feuer des Altars soll auf ihm brennen) betont die kontinuierliche Verbrennung. </w:t>
      </w:r>
      <w:r w:rsidRPr="00B2490C">
        <w:rPr>
          <w:rFonts w:eastAsia="Times New Roman" w:cs="Times New Roman"/>
          <w:b/>
          <w:bCs/>
          <w:rtl/>
          <w:lang w:eastAsia="de-DE"/>
        </w:rPr>
        <w:t>ואש המזבח</w:t>
      </w:r>
      <w:r w:rsidRPr="00B2490C">
        <w:rPr>
          <w:rFonts w:eastAsia="Times New Roman" w:cs="Times New Roman"/>
          <w:rtl/>
          <w:lang w:eastAsia="de-DE"/>
        </w:rPr>
        <w:t xml:space="preserve"> </w:t>
      </w:r>
      <w:r w:rsidRPr="00B2490C">
        <w:rPr>
          <w:rFonts w:eastAsia="Times New Roman" w:cs="Times New Roman"/>
          <w:lang w:eastAsia="de-DE"/>
        </w:rPr>
        <w:t xml:space="preserve">(und das Feuer des Altars), </w:t>
      </w:r>
      <w:r w:rsidRPr="00B2490C">
        <w:rPr>
          <w:rFonts w:eastAsia="Times New Roman" w:cs="Times New Roman"/>
          <w:b/>
          <w:bCs/>
          <w:rtl/>
          <w:lang w:eastAsia="de-DE"/>
        </w:rPr>
        <w:t>תוקד בו</w:t>
      </w:r>
      <w:r w:rsidRPr="00B2490C">
        <w:rPr>
          <w:rFonts w:eastAsia="Times New Roman" w:cs="Times New Roman"/>
          <w:rtl/>
          <w:lang w:eastAsia="de-DE"/>
        </w:rPr>
        <w:t xml:space="preserve"> </w:t>
      </w:r>
      <w:r w:rsidRPr="00B2490C">
        <w:rPr>
          <w:rFonts w:eastAsia="Times New Roman" w:cs="Times New Roman"/>
          <w:lang w:eastAsia="de-DE"/>
        </w:rPr>
        <w:t xml:space="preserve">(soll auf ihm brennen) von </w:t>
      </w:r>
      <w:r w:rsidRPr="00B2490C">
        <w:rPr>
          <w:rFonts w:eastAsia="Times New Roman" w:cs="Times New Roman"/>
          <w:b/>
          <w:bCs/>
          <w:rtl/>
          <w:lang w:eastAsia="de-DE"/>
        </w:rPr>
        <w:t>יקד</w:t>
      </w:r>
      <w:r w:rsidRPr="00B2490C">
        <w:rPr>
          <w:rFonts w:eastAsia="Times New Roman" w:cs="Times New Roman"/>
          <w:rtl/>
          <w:lang w:eastAsia="de-DE"/>
        </w:rPr>
        <w:t xml:space="preserve"> </w:t>
      </w:r>
      <w:r w:rsidRPr="00B2490C">
        <w:rPr>
          <w:rFonts w:eastAsia="Times New Roman" w:cs="Times New Roman"/>
          <w:lang w:eastAsia="de-DE"/>
        </w:rPr>
        <w:t>(brennen) im Hofal-Imperfekt.</w:t>
      </w:r>
    </w:p>
    <w:p w14:paraId="08E76834" w14:textId="439DDD0C"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תורת העלה</w:t>
      </w:r>
      <w:r w:rsidRPr="00B2490C">
        <w:rPr>
          <w:rFonts w:eastAsia="Times New Roman" w:cs="Times New Roman"/>
          <w:rtl/>
          <w:lang w:eastAsia="de-DE"/>
        </w:rPr>
        <w:t xml:space="preserve"> </w:t>
      </w:r>
      <w:r w:rsidRPr="00B2490C">
        <w:rPr>
          <w:rFonts w:eastAsia="Times New Roman" w:cs="Times New Roman"/>
          <w:lang w:eastAsia="de-DE"/>
        </w:rPr>
        <w:t xml:space="preserve">(Torah des </w:t>
      </w:r>
      <w:r w:rsidR="00CF10E7">
        <w:rPr>
          <w:rFonts w:eastAsia="Times New Roman" w:cs="Times New Roman"/>
          <w:lang w:eastAsia="de-DE"/>
        </w:rPr>
        <w:t>Aufsteigeopfer</w:t>
      </w:r>
      <w:r w:rsidRPr="00B2490C">
        <w:rPr>
          <w:rFonts w:eastAsia="Times New Roman" w:cs="Times New Roman"/>
          <w:lang w:eastAsia="de-DE"/>
        </w:rPr>
        <w:t xml:space="preserve">s) bezeichnet hier nicht das Darbringungsverfahren (Kapitel 1), sondern die priesterliche Handhabung der bereits dargebrachten </w:t>
      </w:r>
      <w:r w:rsidRPr="00B2490C">
        <w:rPr>
          <w:rFonts w:eastAsia="Times New Roman" w:cs="Times New Roman"/>
          <w:b/>
          <w:bCs/>
          <w:rtl/>
          <w:lang w:eastAsia="de-DE"/>
        </w:rPr>
        <w:t>עלה</w:t>
      </w:r>
      <w:r w:rsidRPr="00B2490C">
        <w:rPr>
          <w:rFonts w:eastAsia="Times New Roman" w:cs="Times New Roman"/>
          <w:lang w:eastAsia="de-DE"/>
        </w:rPr>
        <w:t xml:space="preserve">. </w:t>
      </w:r>
      <w:r w:rsidRPr="00B2490C">
        <w:rPr>
          <w:rFonts w:eastAsia="Times New Roman" w:cs="Times New Roman"/>
          <w:b/>
          <w:bCs/>
          <w:rtl/>
          <w:lang w:eastAsia="de-DE"/>
        </w:rPr>
        <w:t>מוקדה</w:t>
      </w:r>
      <w:r w:rsidRPr="00B2490C">
        <w:rPr>
          <w:rFonts w:eastAsia="Times New Roman" w:cs="Times New Roman"/>
          <w:rtl/>
          <w:lang w:eastAsia="de-DE"/>
        </w:rPr>
        <w:t xml:space="preserve"> </w:t>
      </w:r>
      <w:r w:rsidRPr="00B2490C">
        <w:rPr>
          <w:rFonts w:eastAsia="Times New Roman" w:cs="Times New Roman"/>
          <w:lang w:eastAsia="de-DE"/>
        </w:rPr>
        <w:t xml:space="preserve">(seine Brandstelle) von </w:t>
      </w:r>
      <w:r w:rsidRPr="00B2490C">
        <w:rPr>
          <w:rFonts w:eastAsia="Times New Roman" w:cs="Times New Roman"/>
          <w:b/>
          <w:bCs/>
          <w:rtl/>
          <w:lang w:eastAsia="de-DE"/>
        </w:rPr>
        <w:t>יקד</w:t>
      </w:r>
      <w:r w:rsidRPr="00B2490C">
        <w:rPr>
          <w:rFonts w:eastAsia="Times New Roman" w:cs="Times New Roman"/>
          <w:rtl/>
          <w:lang w:eastAsia="de-DE"/>
        </w:rPr>
        <w:t xml:space="preserve"> </w:t>
      </w:r>
      <w:r w:rsidRPr="00B2490C">
        <w:rPr>
          <w:rFonts w:eastAsia="Times New Roman" w:cs="Times New Roman"/>
          <w:lang w:eastAsia="de-DE"/>
        </w:rPr>
        <w:t>zeigt den spezifischen Verbrennungsort auf dem Altar.</w:t>
      </w:r>
    </w:p>
    <w:p w14:paraId="3095549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כל־הלילה עד־הבקר</w:t>
      </w:r>
      <w:r w:rsidRPr="00B2490C">
        <w:rPr>
          <w:rFonts w:eastAsia="Times New Roman" w:cs="Times New Roman"/>
          <w:rtl/>
          <w:lang w:eastAsia="de-DE"/>
        </w:rPr>
        <w:t xml:space="preserve"> </w:t>
      </w:r>
      <w:r w:rsidRPr="00B2490C">
        <w:rPr>
          <w:rFonts w:eastAsia="Times New Roman" w:cs="Times New Roman"/>
          <w:lang w:eastAsia="de-DE"/>
        </w:rPr>
        <w:t xml:space="preserve">etabliert die Mindestverbrennungszeit für </w:t>
      </w:r>
      <w:r w:rsidRPr="00B2490C">
        <w:rPr>
          <w:rFonts w:eastAsia="Times New Roman" w:cs="Times New Roman"/>
          <w:b/>
          <w:bCs/>
          <w:rtl/>
          <w:lang w:eastAsia="de-DE"/>
        </w:rPr>
        <w:t>עלה</w:t>
      </w:r>
      <w:r w:rsidRPr="00B2490C">
        <w:rPr>
          <w:rFonts w:eastAsia="Times New Roman" w:cs="Times New Roman"/>
          <w:lang w:eastAsia="de-DE"/>
        </w:rPr>
        <w:t>: die ganze Nacht, im Unterschied zu anderen Opfern, die schneller verzehrt werden können.</w:t>
      </w:r>
    </w:p>
    <w:p w14:paraId="6BDB7D3F" w14:textId="7761C56C"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B3655B">
        <w:t xml:space="preserve">übersetzt </w:t>
      </w:r>
      <w:r w:rsidR="00B3655B">
        <w:rPr>
          <w:rtl/>
        </w:rPr>
        <w:t>מוקדה</w:t>
      </w:r>
      <w:r w:rsidR="00B3655B">
        <w:t xml:space="preserve"> (</w:t>
      </w:r>
      <w:proofErr w:type="spellStart"/>
      <w:r w:rsidR="00B3655B">
        <w:t>moqda</w:t>
      </w:r>
      <w:proofErr w:type="spellEnd"/>
      <w:r w:rsidR="00B3655B">
        <w:t xml:space="preserve"> - "Feuerstätte") als ἐπὶ </w:t>
      </w:r>
      <w:proofErr w:type="spellStart"/>
      <w:r w:rsidR="00B3655B">
        <w:t>τῆς</w:t>
      </w:r>
      <w:proofErr w:type="spellEnd"/>
      <w:r w:rsidR="00B3655B">
        <w:t xml:space="preserve"> κα</w:t>
      </w:r>
      <w:proofErr w:type="spellStart"/>
      <w:r w:rsidR="00B3655B">
        <w:t>ύσεως</w:t>
      </w:r>
      <w:proofErr w:type="spellEnd"/>
      <w:r w:rsidR="00B3655B">
        <w:t xml:space="preserve"> α</w:t>
      </w:r>
      <w:proofErr w:type="spellStart"/>
      <w:r w:rsidR="00B3655B">
        <w:t>ὐτῆς</w:t>
      </w:r>
      <w:proofErr w:type="spellEnd"/>
      <w:r w:rsidR="00B3655B">
        <w:t xml:space="preserve"> (auf seiner Verbrennung), was eine funktionale statt topographische Beschreibung ist.</w:t>
      </w:r>
    </w:p>
    <w:p w14:paraId="5E60C9E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Befehlseinleitung + Torah-Überschrift + spezifische Anweisung: Imperativ + Adressat + Einleitungsformel // Torah-Klassifikation // emphatische Spezifizierung + Orts- und Zeitangabe + Verbrennungsbestimmung. Die Struktur etabliert das Format für priesterliche </w:t>
      </w:r>
      <w:r w:rsidRPr="00B2490C">
        <w:rPr>
          <w:rFonts w:eastAsia="Times New Roman" w:cs="Times New Roman"/>
          <w:b/>
          <w:bCs/>
          <w:rtl/>
          <w:lang w:eastAsia="de-DE"/>
        </w:rPr>
        <w:t>תורות</w:t>
      </w:r>
      <w:r w:rsidRPr="00B2490C">
        <w:rPr>
          <w:rFonts w:eastAsia="Times New Roman" w:cs="Times New Roman"/>
          <w:lang w:eastAsia="de-DE"/>
        </w:rPr>
        <w:t>.</w:t>
      </w:r>
    </w:p>
    <w:p w14:paraId="422E920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führt die priesterlichen </w:t>
      </w:r>
      <w:r w:rsidRPr="00B2490C">
        <w:rPr>
          <w:rFonts w:eastAsia="Times New Roman" w:cs="Times New Roman"/>
          <w:b/>
          <w:bCs/>
          <w:rtl/>
          <w:lang w:eastAsia="de-DE"/>
        </w:rPr>
        <w:t>תורות</w:t>
      </w:r>
      <w:r w:rsidRPr="00B2490C">
        <w:rPr>
          <w:rFonts w:eastAsia="Times New Roman" w:cs="Times New Roman"/>
          <w:rtl/>
          <w:lang w:eastAsia="de-DE"/>
        </w:rPr>
        <w:t xml:space="preserve"> </w:t>
      </w:r>
      <w:r w:rsidRPr="00B2490C">
        <w:rPr>
          <w:rFonts w:eastAsia="Times New Roman" w:cs="Times New Roman"/>
          <w:lang w:eastAsia="de-DE"/>
        </w:rPr>
        <w:t xml:space="preserve">ein und spezifiziert die nächtliche Verweildauer von </w:t>
      </w:r>
      <w:r w:rsidRPr="00B2490C">
        <w:rPr>
          <w:rFonts w:eastAsia="Times New Roman" w:cs="Times New Roman"/>
          <w:b/>
          <w:bCs/>
          <w:rtl/>
          <w:lang w:eastAsia="de-DE"/>
        </w:rPr>
        <w:t>עלה</w:t>
      </w:r>
      <w:r w:rsidRPr="00B2490C">
        <w:rPr>
          <w:rFonts w:eastAsia="Times New Roman" w:cs="Times New Roman"/>
          <w:rtl/>
          <w:lang w:eastAsia="de-DE"/>
        </w:rPr>
        <w:t xml:space="preserve"> </w:t>
      </w:r>
      <w:r w:rsidRPr="00B2490C">
        <w:rPr>
          <w:rFonts w:eastAsia="Times New Roman" w:cs="Times New Roman"/>
          <w:lang w:eastAsia="de-DE"/>
        </w:rPr>
        <w:t>auf dem Altar.</w:t>
      </w:r>
    </w:p>
    <w:p w14:paraId="0FA54B6C"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6,3</w:t>
      </w:r>
    </w:p>
    <w:p w14:paraId="534B342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וְלָבַ֨שׁ הַכֹּהֵ֜ן מִדֹּ֣ו בַ֗ד וּמִֽכְנְסֵי־בַד֮ יִלְבַּ֣שׁ עַל־בְּשָׂרוֹ֒ וְהֵרִ֣ים אֶת־הַדֶּ֗שֶׁן אֲשֶׁ֨ר תֹּאכַ֥ל הָאֵ֛שׁ אֶת־הָעֹלָ֖ה עַל־הַמִּזְבֵּ֑חַ וְשָׂמֹ֕ו אֵ֖צֶל הַמִּזְבֵּֽחַ׃</w:t>
      </w:r>
    </w:p>
    <w:p w14:paraId="071C34F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der Priester soll sein leinenes Gewand anziehen und leinene Beinkleider soll er an sein Fleisch ziehen; und er soll die Asche abheben, zu welcher das Feuer das Aufsteigeopfer auf dem Altar verzehrt hat, und soll sie neben den Altar schütten.</w:t>
      </w:r>
    </w:p>
    <w:p w14:paraId="602923E0"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05A46DDD">
          <v:rect id="_x0000_i1138" style="width:0;height:1.5pt" o:hralign="center" o:hrstd="t" o:hr="t" fillcolor="#a0a0a0" stroked="f"/>
        </w:pict>
      </w:r>
    </w:p>
    <w:p w14:paraId="2552260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Kommentar:</w:t>
      </w:r>
      <w:r w:rsidRPr="00B2490C">
        <w:rPr>
          <w:rFonts w:eastAsia="Times New Roman" w:cs="Times New Roman"/>
          <w:lang w:eastAsia="de-DE"/>
        </w:rPr>
        <w:t xml:space="preserve"> </w:t>
      </w:r>
      <w:r w:rsidRPr="00B2490C">
        <w:rPr>
          <w:rFonts w:eastAsia="Times New Roman" w:cs="Times New Roman"/>
          <w:b/>
          <w:bCs/>
          <w:rtl/>
          <w:lang w:eastAsia="de-DE"/>
        </w:rPr>
        <w:t>וְלָבַ֨שׁ הַכֹּהֵ֜ן מִדֹּ֣ו בַ֗ד וּמִֽכְנְסֵי־בַד֮ יִלְבַּ֣שׁ עַל־בְּשָׂרוֹ֒</w:t>
      </w:r>
      <w:r w:rsidRPr="00B2490C">
        <w:rPr>
          <w:rFonts w:eastAsia="Times New Roman" w:cs="Times New Roman"/>
          <w:rtl/>
          <w:lang w:eastAsia="de-DE"/>
        </w:rPr>
        <w:t xml:space="preserve"> </w:t>
      </w:r>
      <w:r w:rsidRPr="00B2490C">
        <w:rPr>
          <w:rFonts w:eastAsia="Times New Roman" w:cs="Times New Roman"/>
          <w:lang w:eastAsia="de-DE"/>
        </w:rPr>
        <w:t xml:space="preserve">(und der Priester soll sein leinenes Gewand anziehen und leinene Beinkleider soll er an sein Fleisch anziehen) regelt die rituelle Kleidung. </w:t>
      </w:r>
      <w:r w:rsidRPr="00B2490C">
        <w:rPr>
          <w:rFonts w:eastAsia="Times New Roman" w:cs="Times New Roman"/>
          <w:b/>
          <w:bCs/>
          <w:rtl/>
          <w:lang w:eastAsia="de-DE"/>
        </w:rPr>
        <w:t>ולבש הכהן</w:t>
      </w:r>
      <w:r w:rsidRPr="00B2490C">
        <w:rPr>
          <w:rFonts w:eastAsia="Times New Roman" w:cs="Times New Roman"/>
          <w:rtl/>
          <w:lang w:eastAsia="de-DE"/>
        </w:rPr>
        <w:t xml:space="preserve"> </w:t>
      </w:r>
      <w:r w:rsidRPr="00B2490C">
        <w:rPr>
          <w:rFonts w:eastAsia="Times New Roman" w:cs="Times New Roman"/>
          <w:lang w:eastAsia="de-DE"/>
        </w:rPr>
        <w:t xml:space="preserve">(und der Priester soll anziehen), </w:t>
      </w:r>
      <w:r w:rsidRPr="00B2490C">
        <w:rPr>
          <w:rFonts w:eastAsia="Times New Roman" w:cs="Times New Roman"/>
          <w:b/>
          <w:bCs/>
          <w:rtl/>
          <w:lang w:eastAsia="de-DE"/>
        </w:rPr>
        <w:t>מדו בד</w:t>
      </w:r>
      <w:r w:rsidRPr="00B2490C">
        <w:rPr>
          <w:rFonts w:eastAsia="Times New Roman" w:cs="Times New Roman"/>
          <w:rtl/>
          <w:lang w:eastAsia="de-DE"/>
        </w:rPr>
        <w:t xml:space="preserve"> </w:t>
      </w:r>
      <w:r w:rsidRPr="00B2490C">
        <w:rPr>
          <w:rFonts w:eastAsia="Times New Roman" w:cs="Times New Roman"/>
          <w:lang w:eastAsia="de-DE"/>
        </w:rPr>
        <w:t xml:space="preserve">(sein leinenes Gewand) von </w:t>
      </w:r>
      <w:r w:rsidRPr="00B2490C">
        <w:rPr>
          <w:rFonts w:eastAsia="Times New Roman" w:cs="Times New Roman"/>
          <w:b/>
          <w:bCs/>
          <w:rtl/>
          <w:lang w:eastAsia="de-DE"/>
        </w:rPr>
        <w:t>מד</w:t>
      </w:r>
      <w:r w:rsidRPr="00B2490C">
        <w:rPr>
          <w:rFonts w:eastAsia="Times New Roman" w:cs="Times New Roman"/>
          <w:rtl/>
          <w:lang w:eastAsia="de-DE"/>
        </w:rPr>
        <w:t xml:space="preserve"> </w:t>
      </w:r>
      <w:r w:rsidRPr="00B2490C">
        <w:rPr>
          <w:rFonts w:eastAsia="Times New Roman" w:cs="Times New Roman"/>
          <w:lang w:eastAsia="de-DE"/>
        </w:rPr>
        <w:t xml:space="preserve">(Maß/Gewand) und </w:t>
      </w:r>
      <w:r w:rsidRPr="00B2490C">
        <w:rPr>
          <w:rFonts w:eastAsia="Times New Roman" w:cs="Times New Roman"/>
          <w:b/>
          <w:bCs/>
          <w:rtl/>
          <w:lang w:eastAsia="de-DE"/>
        </w:rPr>
        <w:t>בד</w:t>
      </w:r>
      <w:r w:rsidRPr="00B2490C">
        <w:rPr>
          <w:rFonts w:eastAsia="Times New Roman" w:cs="Times New Roman"/>
          <w:rtl/>
          <w:lang w:eastAsia="de-DE"/>
        </w:rPr>
        <w:t xml:space="preserve"> </w:t>
      </w:r>
      <w:r w:rsidRPr="00B2490C">
        <w:rPr>
          <w:rFonts w:eastAsia="Times New Roman" w:cs="Times New Roman"/>
          <w:lang w:eastAsia="de-DE"/>
        </w:rPr>
        <w:t xml:space="preserve">(Leinen), </w:t>
      </w:r>
      <w:r w:rsidRPr="00B2490C">
        <w:rPr>
          <w:rFonts w:eastAsia="Times New Roman" w:cs="Times New Roman"/>
          <w:b/>
          <w:bCs/>
          <w:rtl/>
          <w:lang w:eastAsia="de-DE"/>
        </w:rPr>
        <w:t>ומכנסי־בד ילבש על־בשרו</w:t>
      </w:r>
      <w:r w:rsidRPr="00B2490C">
        <w:rPr>
          <w:rFonts w:eastAsia="Times New Roman" w:cs="Times New Roman"/>
          <w:rtl/>
          <w:lang w:eastAsia="de-DE"/>
        </w:rPr>
        <w:t xml:space="preserve"> </w:t>
      </w:r>
      <w:r w:rsidRPr="00B2490C">
        <w:rPr>
          <w:rFonts w:eastAsia="Times New Roman" w:cs="Times New Roman"/>
          <w:lang w:eastAsia="de-DE"/>
        </w:rPr>
        <w:t>(und leinene Beinkleider soll er an sein Fleisch anziehen).</w:t>
      </w:r>
    </w:p>
    <w:p w14:paraId="5B8A030E" w14:textId="1C59494B"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וְהֵרִ֣ים אֶת־הַדֶּ֗שֶׁן אֲשֶׁ֨ר תֹּאכַ֥ל הָאֵ֛שׁ אֶת־הָעֹלָ֖ה עַל־הַמִּזְבֵּ֑חַ</w:t>
      </w:r>
      <w:r w:rsidRPr="00B2490C">
        <w:rPr>
          <w:rFonts w:eastAsia="Times New Roman" w:cs="Times New Roman"/>
          <w:rtl/>
          <w:lang w:eastAsia="de-DE"/>
        </w:rPr>
        <w:t xml:space="preserve"> </w:t>
      </w:r>
      <w:r w:rsidRPr="00B2490C">
        <w:rPr>
          <w:rFonts w:eastAsia="Times New Roman" w:cs="Times New Roman"/>
          <w:lang w:eastAsia="de-DE"/>
        </w:rPr>
        <w:t xml:space="preserve">(und er soll die Asche abheben, welche das Feuer das </w:t>
      </w:r>
      <w:r w:rsidR="00CF10E7">
        <w:rPr>
          <w:rFonts w:eastAsia="Times New Roman" w:cs="Times New Roman"/>
          <w:lang w:eastAsia="de-DE"/>
        </w:rPr>
        <w:t>Aufsteigeopfer</w:t>
      </w:r>
      <w:r w:rsidRPr="00B2490C">
        <w:rPr>
          <w:rFonts w:eastAsia="Times New Roman" w:cs="Times New Roman"/>
          <w:lang w:eastAsia="de-DE"/>
        </w:rPr>
        <w:t xml:space="preserve"> auf dem Altar gefressen hat) beschreibt die Aschenentfernung. </w:t>
      </w:r>
      <w:r w:rsidRPr="00B2490C">
        <w:rPr>
          <w:rFonts w:eastAsia="Times New Roman" w:cs="Times New Roman"/>
          <w:b/>
          <w:bCs/>
          <w:rtl/>
          <w:lang w:eastAsia="de-DE"/>
        </w:rPr>
        <w:t>והרים את־הדשן</w:t>
      </w:r>
      <w:r w:rsidRPr="00B2490C">
        <w:rPr>
          <w:rFonts w:eastAsia="Times New Roman" w:cs="Times New Roman"/>
          <w:rtl/>
          <w:lang w:eastAsia="de-DE"/>
        </w:rPr>
        <w:t xml:space="preserve"> </w:t>
      </w:r>
      <w:r w:rsidRPr="00B2490C">
        <w:rPr>
          <w:rFonts w:eastAsia="Times New Roman" w:cs="Times New Roman"/>
          <w:lang w:eastAsia="de-DE"/>
        </w:rPr>
        <w:t xml:space="preserve">(und er soll die Asche abheben) von </w:t>
      </w:r>
      <w:r w:rsidRPr="00B2490C">
        <w:rPr>
          <w:rFonts w:eastAsia="Times New Roman" w:cs="Times New Roman"/>
          <w:b/>
          <w:bCs/>
          <w:rtl/>
          <w:lang w:eastAsia="de-DE"/>
        </w:rPr>
        <w:t>רום</w:t>
      </w:r>
      <w:r w:rsidRPr="00B2490C">
        <w:rPr>
          <w:rFonts w:eastAsia="Times New Roman" w:cs="Times New Roman"/>
          <w:rtl/>
          <w:lang w:eastAsia="de-DE"/>
        </w:rPr>
        <w:t xml:space="preserve"> </w:t>
      </w:r>
      <w:r w:rsidRPr="00B2490C">
        <w:rPr>
          <w:rFonts w:eastAsia="Times New Roman" w:cs="Times New Roman"/>
          <w:lang w:eastAsia="de-DE"/>
        </w:rPr>
        <w:t xml:space="preserve">(erheben) im Hifil und </w:t>
      </w:r>
      <w:r w:rsidRPr="00B2490C">
        <w:rPr>
          <w:rFonts w:eastAsia="Times New Roman" w:cs="Times New Roman"/>
          <w:b/>
          <w:bCs/>
          <w:rtl/>
          <w:lang w:eastAsia="de-DE"/>
        </w:rPr>
        <w:t>דשן</w:t>
      </w:r>
      <w:r w:rsidRPr="00B2490C">
        <w:rPr>
          <w:rFonts w:eastAsia="Times New Roman" w:cs="Times New Roman"/>
          <w:rtl/>
          <w:lang w:eastAsia="de-DE"/>
        </w:rPr>
        <w:t xml:space="preserve"> </w:t>
      </w:r>
      <w:r w:rsidRPr="00B2490C">
        <w:rPr>
          <w:rFonts w:eastAsia="Times New Roman" w:cs="Times New Roman"/>
          <w:lang w:eastAsia="de-DE"/>
        </w:rPr>
        <w:t xml:space="preserve">(Asche), </w:t>
      </w:r>
      <w:r w:rsidRPr="00B2490C">
        <w:rPr>
          <w:rFonts w:eastAsia="Times New Roman" w:cs="Times New Roman"/>
          <w:b/>
          <w:bCs/>
          <w:rtl/>
          <w:lang w:eastAsia="de-DE"/>
        </w:rPr>
        <w:t>אשר תאכל האש את־העלה על־המזבח</w:t>
      </w:r>
      <w:r w:rsidRPr="00B2490C">
        <w:rPr>
          <w:rFonts w:eastAsia="Times New Roman" w:cs="Times New Roman"/>
          <w:rtl/>
          <w:lang w:eastAsia="de-DE"/>
        </w:rPr>
        <w:t xml:space="preserve"> </w:t>
      </w:r>
      <w:r w:rsidRPr="00B2490C">
        <w:rPr>
          <w:rFonts w:eastAsia="Times New Roman" w:cs="Times New Roman"/>
          <w:lang w:eastAsia="de-DE"/>
        </w:rPr>
        <w:t xml:space="preserve">(welche das Feuer das </w:t>
      </w:r>
      <w:r w:rsidR="00CF10E7">
        <w:rPr>
          <w:rFonts w:eastAsia="Times New Roman" w:cs="Times New Roman"/>
          <w:lang w:eastAsia="de-DE"/>
        </w:rPr>
        <w:t>Aufsteigeopfer</w:t>
      </w:r>
      <w:r w:rsidRPr="00B2490C">
        <w:rPr>
          <w:rFonts w:eastAsia="Times New Roman" w:cs="Times New Roman"/>
          <w:lang w:eastAsia="de-DE"/>
        </w:rPr>
        <w:t xml:space="preserve"> auf dem Altar gefressen hat).</w:t>
      </w:r>
    </w:p>
    <w:p w14:paraId="58A41D7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וְשָׂמֹ֕ו אֵ֖צֶל הַמִּזְבֵּֽחַ</w:t>
      </w:r>
      <w:r w:rsidRPr="00B2490C">
        <w:rPr>
          <w:rFonts w:eastAsia="Times New Roman" w:cs="Times New Roman"/>
          <w:rtl/>
          <w:lang w:eastAsia="de-DE"/>
        </w:rPr>
        <w:t xml:space="preserve"> </w:t>
      </w:r>
      <w:r w:rsidRPr="00B2490C">
        <w:rPr>
          <w:rFonts w:eastAsia="Times New Roman" w:cs="Times New Roman"/>
          <w:lang w:eastAsia="de-DE"/>
        </w:rPr>
        <w:t xml:space="preserve">(und er soll sie neben den Altar setzen) zeigt die temporäre Ablagerung. </w:t>
      </w:r>
      <w:r w:rsidRPr="00B2490C">
        <w:rPr>
          <w:rFonts w:eastAsia="Times New Roman" w:cs="Times New Roman"/>
          <w:b/>
          <w:bCs/>
          <w:rtl/>
          <w:lang w:eastAsia="de-DE"/>
        </w:rPr>
        <w:t>ושמו</w:t>
      </w:r>
      <w:r w:rsidRPr="00B2490C">
        <w:rPr>
          <w:rFonts w:eastAsia="Times New Roman" w:cs="Times New Roman"/>
          <w:rtl/>
          <w:lang w:eastAsia="de-DE"/>
        </w:rPr>
        <w:t xml:space="preserve"> </w:t>
      </w:r>
      <w:r w:rsidRPr="00B2490C">
        <w:rPr>
          <w:rFonts w:eastAsia="Times New Roman" w:cs="Times New Roman"/>
          <w:lang w:eastAsia="de-DE"/>
        </w:rPr>
        <w:t xml:space="preserve">(und er soll sie setzen), </w:t>
      </w:r>
      <w:r w:rsidRPr="00B2490C">
        <w:rPr>
          <w:rFonts w:eastAsia="Times New Roman" w:cs="Times New Roman"/>
          <w:b/>
          <w:bCs/>
          <w:rtl/>
          <w:lang w:eastAsia="de-DE"/>
        </w:rPr>
        <w:t>אצל המזבח</w:t>
      </w:r>
      <w:r w:rsidRPr="00B2490C">
        <w:rPr>
          <w:rFonts w:eastAsia="Times New Roman" w:cs="Times New Roman"/>
          <w:rtl/>
          <w:lang w:eastAsia="de-DE"/>
        </w:rPr>
        <w:t xml:space="preserve"> </w:t>
      </w:r>
      <w:r w:rsidRPr="00B2490C">
        <w:rPr>
          <w:rFonts w:eastAsia="Times New Roman" w:cs="Times New Roman"/>
          <w:lang w:eastAsia="de-DE"/>
        </w:rPr>
        <w:t>(neben den Altar).</w:t>
      </w:r>
    </w:p>
    <w:p w14:paraId="2B0BD90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מדו בד ומכנסי־בד</w:t>
      </w:r>
      <w:r w:rsidRPr="00B2490C">
        <w:rPr>
          <w:rFonts w:eastAsia="Times New Roman" w:cs="Times New Roman"/>
          <w:rtl/>
          <w:lang w:eastAsia="de-DE"/>
        </w:rPr>
        <w:t xml:space="preserve"> </w:t>
      </w:r>
      <w:r w:rsidRPr="00B2490C">
        <w:rPr>
          <w:rFonts w:eastAsia="Times New Roman" w:cs="Times New Roman"/>
          <w:lang w:eastAsia="de-DE"/>
        </w:rPr>
        <w:t xml:space="preserve">spezifiziert reine Leinenkleidung für die Aschenentfernung. </w:t>
      </w:r>
      <w:r w:rsidRPr="00B2490C">
        <w:rPr>
          <w:rFonts w:eastAsia="Times New Roman" w:cs="Times New Roman"/>
          <w:b/>
          <w:bCs/>
          <w:rtl/>
          <w:lang w:eastAsia="de-DE"/>
        </w:rPr>
        <w:t>על־בשרו</w:t>
      </w:r>
      <w:r w:rsidRPr="00B2490C">
        <w:rPr>
          <w:rFonts w:eastAsia="Times New Roman" w:cs="Times New Roman"/>
          <w:rtl/>
          <w:lang w:eastAsia="de-DE"/>
        </w:rPr>
        <w:t xml:space="preserve"> </w:t>
      </w:r>
      <w:r w:rsidRPr="00B2490C">
        <w:rPr>
          <w:rFonts w:eastAsia="Times New Roman" w:cs="Times New Roman"/>
          <w:lang w:eastAsia="de-DE"/>
        </w:rPr>
        <w:t>(an sein Fleisch) betont direkten Hautkontakt ohne andere Stoffe dazwischen.</w:t>
      </w:r>
    </w:p>
    <w:p w14:paraId="0091466C" w14:textId="28AD1B83"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דשן</w:t>
      </w:r>
      <w:r w:rsidRPr="00B2490C">
        <w:rPr>
          <w:rFonts w:eastAsia="Times New Roman" w:cs="Times New Roman"/>
          <w:rtl/>
          <w:lang w:eastAsia="de-DE"/>
        </w:rPr>
        <w:t xml:space="preserve"> </w:t>
      </w:r>
      <w:r w:rsidRPr="00B2490C">
        <w:rPr>
          <w:rFonts w:eastAsia="Times New Roman" w:cs="Times New Roman"/>
          <w:lang w:eastAsia="de-DE"/>
        </w:rPr>
        <w:t xml:space="preserve">(Asche) ist die Überreste der vollständigen </w:t>
      </w:r>
      <w:r w:rsidRPr="00B2490C">
        <w:rPr>
          <w:rFonts w:eastAsia="Times New Roman" w:cs="Times New Roman"/>
          <w:b/>
          <w:bCs/>
          <w:rtl/>
          <w:lang w:eastAsia="de-DE"/>
        </w:rPr>
        <w:t>עלה</w:t>
      </w:r>
      <w:r w:rsidRPr="00B2490C">
        <w:rPr>
          <w:rFonts w:eastAsia="Times New Roman" w:cs="Times New Roman"/>
          <w:lang w:eastAsia="de-DE"/>
        </w:rPr>
        <w:t xml:space="preserve">-Verbrennung. </w:t>
      </w:r>
      <w:r w:rsidRPr="00B2490C">
        <w:rPr>
          <w:rFonts w:eastAsia="Times New Roman" w:cs="Times New Roman"/>
          <w:b/>
          <w:bCs/>
          <w:rtl/>
          <w:lang w:eastAsia="de-DE"/>
        </w:rPr>
        <w:t>אשר תאכל האש את־העלה</w:t>
      </w:r>
      <w:r w:rsidRPr="00B2490C">
        <w:rPr>
          <w:rFonts w:eastAsia="Times New Roman" w:cs="Times New Roman"/>
          <w:rtl/>
          <w:lang w:eastAsia="de-DE"/>
        </w:rPr>
        <w:t xml:space="preserve"> </w:t>
      </w:r>
      <w:r w:rsidRPr="00B2490C">
        <w:rPr>
          <w:rFonts w:eastAsia="Times New Roman" w:cs="Times New Roman"/>
          <w:lang w:eastAsia="de-DE"/>
        </w:rPr>
        <w:t xml:space="preserve">(welche das Feuer das </w:t>
      </w:r>
      <w:r w:rsidR="00CF10E7">
        <w:rPr>
          <w:rFonts w:eastAsia="Times New Roman" w:cs="Times New Roman"/>
          <w:lang w:eastAsia="de-DE"/>
        </w:rPr>
        <w:t>Aufsteigeopfer</w:t>
      </w:r>
      <w:r w:rsidRPr="00B2490C">
        <w:rPr>
          <w:rFonts w:eastAsia="Times New Roman" w:cs="Times New Roman"/>
          <w:lang w:eastAsia="de-DE"/>
        </w:rPr>
        <w:t xml:space="preserve"> gefressen hat) zeigt </w:t>
      </w:r>
      <w:r w:rsidRPr="00B2490C">
        <w:rPr>
          <w:rFonts w:eastAsia="Times New Roman" w:cs="Times New Roman"/>
          <w:b/>
          <w:bCs/>
          <w:rtl/>
          <w:lang w:eastAsia="de-DE"/>
        </w:rPr>
        <w:t>אכל</w:t>
      </w:r>
      <w:r w:rsidRPr="00B2490C">
        <w:rPr>
          <w:rFonts w:eastAsia="Times New Roman" w:cs="Times New Roman"/>
          <w:rtl/>
          <w:lang w:eastAsia="de-DE"/>
        </w:rPr>
        <w:t xml:space="preserve"> </w:t>
      </w:r>
      <w:r w:rsidRPr="00B2490C">
        <w:rPr>
          <w:rFonts w:eastAsia="Times New Roman" w:cs="Times New Roman"/>
          <w:lang w:eastAsia="de-DE"/>
        </w:rPr>
        <w:t>(fressen/verzehren) metaphorisch für vollständige Verbrennung.</w:t>
      </w:r>
    </w:p>
    <w:p w14:paraId="60475A26" w14:textId="426DBBAB"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übersetzt </w:t>
      </w:r>
      <w:r w:rsidR="00577FFB">
        <w:rPr>
          <w:rtl/>
        </w:rPr>
        <w:t>הדשן</w:t>
      </w:r>
      <w:r w:rsidR="00577FFB">
        <w:t xml:space="preserve"> (</w:t>
      </w:r>
      <w:proofErr w:type="spellStart"/>
      <w:r w:rsidR="00577FFB">
        <w:t>hadeshen</w:t>
      </w:r>
      <w:proofErr w:type="spellEnd"/>
      <w:r w:rsidR="00577FFB">
        <w:t xml:space="preserve"> - "Asche") als κατα</w:t>
      </w:r>
      <w:proofErr w:type="spellStart"/>
      <w:r w:rsidR="00577FFB">
        <w:t>κάρ</w:t>
      </w:r>
      <w:proofErr w:type="spellEnd"/>
      <w:r w:rsidR="00577FFB">
        <w:t>πωσιν (Fruchtverbrennung), was eine ungewöhnliche Interpretation der Asche als "verbrannte Frucht" darstellt.</w:t>
      </w:r>
    </w:p>
    <w:p w14:paraId="2C5A577F"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drei koordinierte Handlungen: Kleidungsvorschrift (Verb + Subjekt + Objekt + koordinierte Kleidungsbestimmung) + Aschenentfernung (Verb + Objekt mit Relativsatz) + Ablagerung (Verb + Ortsangabe). Die Struktur zeigt die sequentielle Aschenentsorgung.</w:t>
      </w:r>
    </w:p>
    <w:p w14:paraId="20DB737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Dieser Vers regelt die rituelle Kleidung und erste Stufe der Aschenentsorgung: Abhebung und temporäre Ablagerung neben dem Altar.</w:t>
      </w:r>
    </w:p>
    <w:p w14:paraId="1DE944EB"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6,4</w:t>
      </w:r>
    </w:p>
    <w:p w14:paraId="1905B70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וּפָשַׁט֙ אֶת־בְּגָדָ֔יו וְלָבַ֖שׁ בְּגָדִ֣ים אֲחֵרִ֑ים וְהוֹצִ֤יא אֶת־הַדֶּ֨שֶׁן֙ אֶל־מִח֣וּץ לַֽמַּחֲנֶ֔ה אֶל־מָק֖וֹם טָהֽוֹר׃</w:t>
      </w:r>
    </w:p>
    <w:p w14:paraId="0B4C32B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er soll seine Kleider ausziehen und andere Kleider anlegen und die Asche hinaustragen außerhalb des Lagers an einen reinen Ort.</w:t>
      </w:r>
    </w:p>
    <w:p w14:paraId="054314F1"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10176A3D">
          <v:rect id="_x0000_i1139" style="width:0;height:1.5pt" o:hralign="center" o:hrstd="t" o:hr="t" fillcolor="#a0a0a0" stroked="f"/>
        </w:pict>
      </w:r>
    </w:p>
    <w:p w14:paraId="79870F5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וּפָשַׁט֙ אֶת־בְּגָדָ֔יו וְלָבַ֖שׁ בְּגָדִ֣ים אֲחֵרִ֑ים</w:t>
      </w:r>
      <w:r w:rsidRPr="00B2490C">
        <w:rPr>
          <w:rFonts w:eastAsia="Times New Roman" w:cs="Times New Roman"/>
          <w:rtl/>
          <w:lang w:eastAsia="de-DE"/>
        </w:rPr>
        <w:t xml:space="preserve"> </w:t>
      </w:r>
      <w:r w:rsidRPr="00B2490C">
        <w:rPr>
          <w:rFonts w:eastAsia="Times New Roman" w:cs="Times New Roman"/>
          <w:lang w:eastAsia="de-DE"/>
        </w:rPr>
        <w:t xml:space="preserve">(und er soll seine Kleider ausziehen und andere Kleider anziehen) zeigt den Kleiderwechsel. </w:t>
      </w:r>
      <w:r w:rsidRPr="00B2490C">
        <w:rPr>
          <w:rFonts w:eastAsia="Times New Roman" w:cs="Times New Roman"/>
          <w:b/>
          <w:bCs/>
          <w:rtl/>
          <w:lang w:eastAsia="de-DE"/>
        </w:rPr>
        <w:t>ופשט את־בגדיו</w:t>
      </w:r>
      <w:r w:rsidRPr="00B2490C">
        <w:rPr>
          <w:rFonts w:eastAsia="Times New Roman" w:cs="Times New Roman"/>
          <w:rtl/>
          <w:lang w:eastAsia="de-DE"/>
        </w:rPr>
        <w:t xml:space="preserve"> </w:t>
      </w:r>
      <w:r w:rsidRPr="00B2490C">
        <w:rPr>
          <w:rFonts w:eastAsia="Times New Roman" w:cs="Times New Roman"/>
          <w:lang w:eastAsia="de-DE"/>
        </w:rPr>
        <w:t xml:space="preserve">(und er soll seine Kleider ausziehen) von </w:t>
      </w:r>
      <w:r w:rsidRPr="00B2490C">
        <w:rPr>
          <w:rFonts w:eastAsia="Times New Roman" w:cs="Times New Roman"/>
          <w:b/>
          <w:bCs/>
          <w:rtl/>
          <w:lang w:eastAsia="de-DE"/>
        </w:rPr>
        <w:t>פשט</w:t>
      </w:r>
      <w:r w:rsidRPr="00B2490C">
        <w:rPr>
          <w:rFonts w:eastAsia="Times New Roman" w:cs="Times New Roman"/>
          <w:rtl/>
          <w:lang w:eastAsia="de-DE"/>
        </w:rPr>
        <w:t xml:space="preserve"> </w:t>
      </w:r>
      <w:r w:rsidRPr="00B2490C">
        <w:rPr>
          <w:rFonts w:eastAsia="Times New Roman" w:cs="Times New Roman"/>
          <w:lang w:eastAsia="de-DE"/>
        </w:rPr>
        <w:t xml:space="preserve">(ausziehen), </w:t>
      </w:r>
      <w:r w:rsidRPr="00B2490C">
        <w:rPr>
          <w:rFonts w:eastAsia="Times New Roman" w:cs="Times New Roman"/>
          <w:b/>
          <w:bCs/>
          <w:rtl/>
          <w:lang w:eastAsia="de-DE"/>
        </w:rPr>
        <w:t>ולבש בגדים אחרים</w:t>
      </w:r>
      <w:r w:rsidRPr="00B2490C">
        <w:rPr>
          <w:rFonts w:eastAsia="Times New Roman" w:cs="Times New Roman"/>
          <w:rtl/>
          <w:lang w:eastAsia="de-DE"/>
        </w:rPr>
        <w:t xml:space="preserve"> </w:t>
      </w:r>
      <w:r w:rsidRPr="00B2490C">
        <w:rPr>
          <w:rFonts w:eastAsia="Times New Roman" w:cs="Times New Roman"/>
          <w:lang w:eastAsia="de-DE"/>
        </w:rPr>
        <w:t>(und andere Kleider anziehen).</w:t>
      </w:r>
    </w:p>
    <w:p w14:paraId="4D64090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וְהוֹצִ֤יא אֶת־הַדֶּ֨שֶׁן֙ אֶל־מִח֣וּץ לַֽמַּחֲנֶ֔ה אֶל־מָק֖וֹם טָהֽוֹר</w:t>
      </w:r>
      <w:r w:rsidRPr="00B2490C">
        <w:rPr>
          <w:rFonts w:eastAsia="Times New Roman" w:cs="Times New Roman"/>
          <w:rtl/>
          <w:lang w:eastAsia="de-DE"/>
        </w:rPr>
        <w:t xml:space="preserve"> </w:t>
      </w:r>
      <w:r w:rsidRPr="00B2490C">
        <w:rPr>
          <w:rFonts w:eastAsia="Times New Roman" w:cs="Times New Roman"/>
          <w:lang w:eastAsia="de-DE"/>
        </w:rPr>
        <w:t xml:space="preserve">(und er soll die Asche hinausbringen außerhalb des Lagers an einen reinen Ort) beschreibt die endgültige Entsorgung. </w:t>
      </w:r>
      <w:r w:rsidRPr="00B2490C">
        <w:rPr>
          <w:rFonts w:eastAsia="Times New Roman" w:cs="Times New Roman"/>
          <w:b/>
          <w:bCs/>
          <w:rtl/>
          <w:lang w:eastAsia="de-DE"/>
        </w:rPr>
        <w:t>והוציא את־הדשן</w:t>
      </w:r>
      <w:r w:rsidRPr="00B2490C">
        <w:rPr>
          <w:rFonts w:eastAsia="Times New Roman" w:cs="Times New Roman"/>
          <w:rtl/>
          <w:lang w:eastAsia="de-DE"/>
        </w:rPr>
        <w:t xml:space="preserve"> </w:t>
      </w:r>
      <w:r w:rsidRPr="00B2490C">
        <w:rPr>
          <w:rFonts w:eastAsia="Times New Roman" w:cs="Times New Roman"/>
          <w:lang w:eastAsia="de-DE"/>
        </w:rPr>
        <w:t xml:space="preserve">(und er </w:t>
      </w:r>
      <w:r w:rsidRPr="00B2490C">
        <w:rPr>
          <w:rFonts w:eastAsia="Times New Roman" w:cs="Times New Roman"/>
          <w:lang w:eastAsia="de-DE"/>
        </w:rPr>
        <w:lastRenderedPageBreak/>
        <w:t xml:space="preserve">soll die Asche hinausbringen) von </w:t>
      </w:r>
      <w:r w:rsidRPr="00B2490C">
        <w:rPr>
          <w:rFonts w:eastAsia="Times New Roman" w:cs="Times New Roman"/>
          <w:b/>
          <w:bCs/>
          <w:rtl/>
          <w:lang w:eastAsia="de-DE"/>
        </w:rPr>
        <w:t>יצא</w:t>
      </w:r>
      <w:r w:rsidRPr="00B2490C">
        <w:rPr>
          <w:rFonts w:eastAsia="Times New Roman" w:cs="Times New Roman"/>
          <w:rtl/>
          <w:lang w:eastAsia="de-DE"/>
        </w:rPr>
        <w:t xml:space="preserve"> </w:t>
      </w:r>
      <w:r w:rsidRPr="00B2490C">
        <w:rPr>
          <w:rFonts w:eastAsia="Times New Roman" w:cs="Times New Roman"/>
          <w:lang w:eastAsia="de-DE"/>
        </w:rPr>
        <w:t xml:space="preserve">(hinausgehen) im Hifil, </w:t>
      </w:r>
      <w:r w:rsidRPr="00B2490C">
        <w:rPr>
          <w:rFonts w:eastAsia="Times New Roman" w:cs="Times New Roman"/>
          <w:b/>
          <w:bCs/>
          <w:rtl/>
          <w:lang w:eastAsia="de-DE"/>
        </w:rPr>
        <w:t>אל־מחוץ למחנה</w:t>
      </w:r>
      <w:r w:rsidRPr="00B2490C">
        <w:rPr>
          <w:rFonts w:eastAsia="Times New Roman" w:cs="Times New Roman"/>
          <w:rtl/>
          <w:lang w:eastAsia="de-DE"/>
        </w:rPr>
        <w:t xml:space="preserve"> </w:t>
      </w:r>
      <w:r w:rsidRPr="00B2490C">
        <w:rPr>
          <w:rFonts w:eastAsia="Times New Roman" w:cs="Times New Roman"/>
          <w:lang w:eastAsia="de-DE"/>
        </w:rPr>
        <w:t xml:space="preserve">(außerhalb des Lagers), </w:t>
      </w:r>
      <w:r w:rsidRPr="00B2490C">
        <w:rPr>
          <w:rFonts w:eastAsia="Times New Roman" w:cs="Times New Roman"/>
          <w:b/>
          <w:bCs/>
          <w:rtl/>
          <w:lang w:eastAsia="de-DE"/>
        </w:rPr>
        <w:t>אל־מקום טהור</w:t>
      </w:r>
      <w:r w:rsidRPr="00B2490C">
        <w:rPr>
          <w:rFonts w:eastAsia="Times New Roman" w:cs="Times New Roman"/>
          <w:rtl/>
          <w:lang w:eastAsia="de-DE"/>
        </w:rPr>
        <w:t xml:space="preserve"> </w:t>
      </w:r>
      <w:r w:rsidRPr="00B2490C">
        <w:rPr>
          <w:rFonts w:eastAsia="Times New Roman" w:cs="Times New Roman"/>
          <w:lang w:eastAsia="de-DE"/>
        </w:rPr>
        <w:t>(an einen reinen Ort).</w:t>
      </w:r>
    </w:p>
    <w:p w14:paraId="11BBCAD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פשט את־בגדיו ולבש בגדים אחרים</w:t>
      </w:r>
      <w:r w:rsidRPr="00B2490C">
        <w:rPr>
          <w:rFonts w:eastAsia="Times New Roman" w:cs="Times New Roman"/>
          <w:rtl/>
          <w:lang w:eastAsia="de-DE"/>
        </w:rPr>
        <w:t xml:space="preserve"> </w:t>
      </w:r>
      <w:r w:rsidRPr="00B2490C">
        <w:rPr>
          <w:rFonts w:eastAsia="Times New Roman" w:cs="Times New Roman"/>
          <w:lang w:eastAsia="de-DE"/>
        </w:rPr>
        <w:t>zeigt den Übergang von heiliger zu gewöhnlicher Kleidung für den Transport außerhalb des heiligen Bereichs. Die Leinengewänder von V. 3 sind für Arbeiten außerhalb des Heiligtums ungeeignet.</w:t>
      </w:r>
    </w:p>
    <w:p w14:paraId="6C610D1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מחוץ למחנה אל־מקום טהור</w:t>
      </w:r>
      <w:r w:rsidRPr="00B2490C">
        <w:rPr>
          <w:rFonts w:eastAsia="Times New Roman" w:cs="Times New Roman"/>
          <w:rtl/>
          <w:lang w:eastAsia="de-DE"/>
        </w:rPr>
        <w:t xml:space="preserve"> </w:t>
      </w:r>
      <w:r w:rsidRPr="00B2490C">
        <w:rPr>
          <w:rFonts w:eastAsia="Times New Roman" w:cs="Times New Roman"/>
          <w:lang w:eastAsia="de-DE"/>
        </w:rPr>
        <w:t xml:space="preserve">spezifiziert zwei Kriterien: 1) außerhalb des Lagers (aus dem heiligen Bereich hinaus), 2) an einen reinen Ort (rituelle Reinheit auch außerhalb). </w:t>
      </w:r>
      <w:r w:rsidRPr="00B2490C">
        <w:rPr>
          <w:rFonts w:eastAsia="Times New Roman" w:cs="Times New Roman"/>
          <w:b/>
          <w:bCs/>
          <w:rtl/>
          <w:lang w:eastAsia="de-DE"/>
        </w:rPr>
        <w:t>מקום טהור</w:t>
      </w:r>
      <w:r w:rsidRPr="00B2490C">
        <w:rPr>
          <w:rFonts w:eastAsia="Times New Roman" w:cs="Times New Roman"/>
          <w:rtl/>
          <w:lang w:eastAsia="de-DE"/>
        </w:rPr>
        <w:t xml:space="preserve"> </w:t>
      </w:r>
      <w:r w:rsidRPr="00B2490C">
        <w:rPr>
          <w:rFonts w:eastAsia="Times New Roman" w:cs="Times New Roman"/>
          <w:lang w:eastAsia="de-DE"/>
        </w:rPr>
        <w:t xml:space="preserve">(reiner Ort) unterscheidet sich von </w:t>
      </w:r>
      <w:r w:rsidRPr="00B2490C">
        <w:rPr>
          <w:rFonts w:eastAsia="Times New Roman" w:cs="Times New Roman"/>
          <w:b/>
          <w:bCs/>
          <w:rtl/>
          <w:lang w:eastAsia="de-DE"/>
        </w:rPr>
        <w:t>מקום טמא</w:t>
      </w:r>
      <w:r w:rsidRPr="00B2490C">
        <w:rPr>
          <w:rFonts w:eastAsia="Times New Roman" w:cs="Times New Roman"/>
          <w:rtl/>
          <w:lang w:eastAsia="de-DE"/>
        </w:rPr>
        <w:t xml:space="preserve"> </w:t>
      </w:r>
      <w:r w:rsidRPr="00B2490C">
        <w:rPr>
          <w:rFonts w:eastAsia="Times New Roman" w:cs="Times New Roman"/>
          <w:lang w:eastAsia="de-DE"/>
        </w:rPr>
        <w:t>(unreiner Ort).</w:t>
      </w:r>
    </w:p>
    <w:p w14:paraId="623F2E2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וּפָשַׁט֙</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ἐκδύσετ</w:t>
      </w:r>
      <w:proofErr w:type="spellEnd"/>
      <w:r w:rsidRPr="00B2490C">
        <w:rPr>
          <w:rFonts w:eastAsia="Times New Roman" w:cs="Times New Roman"/>
          <w:lang w:eastAsia="de-DE"/>
        </w:rPr>
        <w:t xml:space="preserve">αι (er soll sich ausziehen), </w:t>
      </w:r>
      <w:r w:rsidRPr="00B2490C">
        <w:rPr>
          <w:rFonts w:eastAsia="Times New Roman" w:cs="Times New Roman"/>
          <w:b/>
          <w:bCs/>
          <w:rtl/>
          <w:lang w:eastAsia="de-DE"/>
        </w:rPr>
        <w:t>בְּגָדִ֣ים אֲחֵרִ֑ים</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ἱμάτι</w:t>
      </w:r>
      <w:proofErr w:type="spellEnd"/>
      <w:r w:rsidRPr="00B2490C">
        <w:rPr>
          <w:rFonts w:eastAsia="Times New Roman" w:cs="Times New Roman"/>
          <w:lang w:eastAsia="de-DE"/>
        </w:rPr>
        <w:t xml:space="preserve">α </w:t>
      </w:r>
      <w:proofErr w:type="spellStart"/>
      <w:r w:rsidRPr="00B2490C">
        <w:rPr>
          <w:rFonts w:eastAsia="Times New Roman" w:cs="Times New Roman"/>
          <w:lang w:eastAsia="de-DE"/>
        </w:rPr>
        <w:t>ἕτερ</w:t>
      </w:r>
      <w:proofErr w:type="spellEnd"/>
      <w:r w:rsidRPr="00B2490C">
        <w:rPr>
          <w:rFonts w:eastAsia="Times New Roman" w:cs="Times New Roman"/>
          <w:lang w:eastAsia="de-DE"/>
        </w:rPr>
        <w:t xml:space="preserve">α (andere Gewänder) und </w:t>
      </w:r>
      <w:r w:rsidRPr="00B2490C">
        <w:rPr>
          <w:rFonts w:eastAsia="Times New Roman" w:cs="Times New Roman"/>
          <w:b/>
          <w:bCs/>
          <w:rtl/>
          <w:lang w:eastAsia="de-DE"/>
        </w:rPr>
        <w:t>מָק֖וֹם טָהֽוֹר</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τό</w:t>
      </w:r>
      <w:proofErr w:type="spellEnd"/>
      <w:r w:rsidRPr="00B2490C">
        <w:rPr>
          <w:rFonts w:eastAsia="Times New Roman" w:cs="Times New Roman"/>
          <w:lang w:eastAsia="de-DE"/>
        </w:rPr>
        <w:t>πον καθα</w:t>
      </w:r>
      <w:proofErr w:type="spellStart"/>
      <w:r w:rsidRPr="00B2490C">
        <w:rPr>
          <w:rFonts w:eastAsia="Times New Roman" w:cs="Times New Roman"/>
          <w:lang w:eastAsia="de-DE"/>
        </w:rPr>
        <w:t>ρόν</w:t>
      </w:r>
      <w:proofErr w:type="spellEnd"/>
      <w:r w:rsidRPr="00B2490C">
        <w:rPr>
          <w:rFonts w:eastAsia="Times New Roman" w:cs="Times New Roman"/>
          <w:lang w:eastAsia="de-DE"/>
        </w:rPr>
        <w:t xml:space="preserve"> (reinen Ort).</w:t>
      </w:r>
    </w:p>
    <w:p w14:paraId="2CDA541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zwei koordinierte Handlungen: Kleiderwechsel (Verb + Objekt + koordiniertes Verb + Objekt) + Entsorgung (Verb + Objekt + doppelte Ortsangabe). Die Struktur zeigt den Übergang vom heiligen zum profanen Bereich.</w:t>
      </w:r>
    </w:p>
    <w:p w14:paraId="4ED848C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Dieser Vers beschließt die Aschenentsorgung: Kleiderwechsel und Transport an einen reinen Ort außerhalb des Lagers.</w:t>
      </w:r>
    </w:p>
    <w:p w14:paraId="5A6DA987"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6,5</w:t>
      </w:r>
    </w:p>
    <w:p w14:paraId="3C0D7DB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וְהָאֵ֨שׁ עַל־הַמִּזְבֵּ֤חַ תּֽוּקַד־בּוֹ֙ לֹ֣א תִכְבֶּ֔ה וּבִעֵ֨ר עָלֶ֧יהָ הַכֹּהֵ֛ן עֵצִ֖ים בַּבֹּ֣קֶר בַּבֹּ֑קֶר וְעָרַ֤ךְ עָלֶ֨יהָ֙ הָֽעֹלָ֔ה וְהִקְטִ֥יר עָלֶ֖יהָ חֶלְבֵ֥י הַשְּׁלָמִֽים׃</w:t>
      </w:r>
    </w:p>
    <w:p w14:paraId="6C9C3E2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das Feuer auf dem Altar soll auf ihm in Brand erhalten werden, es soll nicht erlöschen; und der Priester soll Holz auf ihm anzünden, Morgen für Morgen, und das Aufsteigeopfer auf ihm richten, und die Fettstücke der Friedensopfer auf ihm räuchern.</w:t>
      </w:r>
    </w:p>
    <w:p w14:paraId="410A31BE"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6D536D6A">
          <v:rect id="_x0000_i1140" style="width:0;height:1.5pt" o:hralign="center" o:hrstd="t" o:hr="t" fillcolor="#a0a0a0" stroked="f"/>
        </w:pict>
      </w:r>
    </w:p>
    <w:p w14:paraId="3F23275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וְהָאֵ֨שׁ עַל־הַמִּזְבֵּ֤חַ תּֽוּקַד־בּוֹ֙ לֹ֣א תִכְבֶּ֔ה</w:t>
      </w:r>
      <w:r w:rsidRPr="00B2490C">
        <w:rPr>
          <w:rFonts w:eastAsia="Times New Roman" w:cs="Times New Roman"/>
          <w:rtl/>
          <w:lang w:eastAsia="de-DE"/>
        </w:rPr>
        <w:t xml:space="preserve"> </w:t>
      </w:r>
      <w:r w:rsidRPr="00B2490C">
        <w:rPr>
          <w:rFonts w:eastAsia="Times New Roman" w:cs="Times New Roman"/>
          <w:lang w:eastAsia="de-DE"/>
        </w:rPr>
        <w:t xml:space="preserve">(und das Feuer auf dem Altar soll auf ihm brennen, es soll nicht erlöschen) wiederholt und verstärkt die Feuerbestimmung von V. 2. </w:t>
      </w:r>
      <w:r w:rsidRPr="00B2490C">
        <w:rPr>
          <w:rFonts w:eastAsia="Times New Roman" w:cs="Times New Roman"/>
          <w:b/>
          <w:bCs/>
          <w:rtl/>
          <w:lang w:eastAsia="de-DE"/>
        </w:rPr>
        <w:t>והאש על־המזבח תוקד־בו</w:t>
      </w:r>
      <w:r w:rsidRPr="00B2490C">
        <w:rPr>
          <w:rFonts w:eastAsia="Times New Roman" w:cs="Times New Roman"/>
          <w:rtl/>
          <w:lang w:eastAsia="de-DE"/>
        </w:rPr>
        <w:t xml:space="preserve"> </w:t>
      </w:r>
      <w:r w:rsidRPr="00B2490C">
        <w:rPr>
          <w:rFonts w:eastAsia="Times New Roman" w:cs="Times New Roman"/>
          <w:lang w:eastAsia="de-DE"/>
        </w:rPr>
        <w:t xml:space="preserve">(und das Feuer auf dem Altar soll auf ihm brennen) von </w:t>
      </w:r>
      <w:r w:rsidRPr="00B2490C">
        <w:rPr>
          <w:rFonts w:eastAsia="Times New Roman" w:cs="Times New Roman"/>
          <w:b/>
          <w:bCs/>
          <w:rtl/>
          <w:lang w:eastAsia="de-DE"/>
        </w:rPr>
        <w:t>יקד</w:t>
      </w:r>
      <w:r w:rsidRPr="00B2490C">
        <w:rPr>
          <w:rFonts w:eastAsia="Times New Roman" w:cs="Times New Roman"/>
          <w:rtl/>
          <w:lang w:eastAsia="de-DE"/>
        </w:rPr>
        <w:t xml:space="preserve"> </w:t>
      </w:r>
      <w:r w:rsidRPr="00B2490C">
        <w:rPr>
          <w:rFonts w:eastAsia="Times New Roman" w:cs="Times New Roman"/>
          <w:lang w:eastAsia="de-DE"/>
        </w:rPr>
        <w:t xml:space="preserve">(brennen) im Hofal-Imperfekt, </w:t>
      </w:r>
      <w:r w:rsidRPr="00B2490C">
        <w:rPr>
          <w:rFonts w:eastAsia="Times New Roman" w:cs="Times New Roman"/>
          <w:b/>
          <w:bCs/>
          <w:rtl/>
          <w:lang w:eastAsia="de-DE"/>
        </w:rPr>
        <w:t>לא תכבה</w:t>
      </w:r>
      <w:r w:rsidRPr="00B2490C">
        <w:rPr>
          <w:rFonts w:eastAsia="Times New Roman" w:cs="Times New Roman"/>
          <w:rtl/>
          <w:lang w:eastAsia="de-DE"/>
        </w:rPr>
        <w:t xml:space="preserve"> </w:t>
      </w:r>
      <w:r w:rsidRPr="00B2490C">
        <w:rPr>
          <w:rFonts w:eastAsia="Times New Roman" w:cs="Times New Roman"/>
          <w:lang w:eastAsia="de-DE"/>
        </w:rPr>
        <w:t xml:space="preserve">(es soll nicht erlöschen) von </w:t>
      </w:r>
      <w:r w:rsidRPr="00B2490C">
        <w:rPr>
          <w:rFonts w:eastAsia="Times New Roman" w:cs="Times New Roman"/>
          <w:b/>
          <w:bCs/>
          <w:rtl/>
          <w:lang w:eastAsia="de-DE"/>
        </w:rPr>
        <w:t>כבה</w:t>
      </w:r>
      <w:r w:rsidRPr="00B2490C">
        <w:rPr>
          <w:rFonts w:eastAsia="Times New Roman" w:cs="Times New Roman"/>
          <w:rtl/>
          <w:lang w:eastAsia="de-DE"/>
        </w:rPr>
        <w:t xml:space="preserve"> </w:t>
      </w:r>
      <w:r w:rsidRPr="00B2490C">
        <w:rPr>
          <w:rFonts w:eastAsia="Times New Roman" w:cs="Times New Roman"/>
          <w:lang w:eastAsia="de-DE"/>
        </w:rPr>
        <w:t>(erlöschen).</w:t>
      </w:r>
    </w:p>
    <w:p w14:paraId="42A9A60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וּבִעֵ֨ר עָלֶ֧יהָ הַכֹּהֵ֛ן עֵצִ֖ים בַּבֹּ֣קֶר בַּבֹּ֑קֶר</w:t>
      </w:r>
      <w:r w:rsidRPr="00B2490C">
        <w:rPr>
          <w:rFonts w:eastAsia="Times New Roman" w:cs="Times New Roman"/>
          <w:rtl/>
          <w:lang w:eastAsia="de-DE"/>
        </w:rPr>
        <w:t xml:space="preserve"> </w:t>
      </w:r>
      <w:r w:rsidRPr="00B2490C">
        <w:rPr>
          <w:rFonts w:eastAsia="Times New Roman" w:cs="Times New Roman"/>
          <w:lang w:eastAsia="de-DE"/>
        </w:rPr>
        <w:t xml:space="preserve">(und der Priester soll auf ihm Holz anzünden, Morgen für Morgen) regelt die tägliche Feuerunterhaltung. </w:t>
      </w:r>
      <w:r w:rsidRPr="00B2490C">
        <w:rPr>
          <w:rFonts w:eastAsia="Times New Roman" w:cs="Times New Roman"/>
          <w:b/>
          <w:bCs/>
          <w:rtl/>
          <w:lang w:eastAsia="de-DE"/>
        </w:rPr>
        <w:t>ובער עליה הכהן עצים</w:t>
      </w:r>
      <w:r w:rsidRPr="00B2490C">
        <w:rPr>
          <w:rFonts w:eastAsia="Times New Roman" w:cs="Times New Roman"/>
          <w:rtl/>
          <w:lang w:eastAsia="de-DE"/>
        </w:rPr>
        <w:t xml:space="preserve"> </w:t>
      </w:r>
      <w:r w:rsidRPr="00B2490C">
        <w:rPr>
          <w:rFonts w:eastAsia="Times New Roman" w:cs="Times New Roman"/>
          <w:lang w:eastAsia="de-DE"/>
        </w:rPr>
        <w:t xml:space="preserve">(und der Priester soll auf ihm Holz anzünden) von </w:t>
      </w:r>
      <w:r w:rsidRPr="00B2490C">
        <w:rPr>
          <w:rFonts w:eastAsia="Times New Roman" w:cs="Times New Roman"/>
          <w:b/>
          <w:bCs/>
          <w:rtl/>
          <w:lang w:eastAsia="de-DE"/>
        </w:rPr>
        <w:t>בער</w:t>
      </w:r>
      <w:r w:rsidRPr="00B2490C">
        <w:rPr>
          <w:rFonts w:eastAsia="Times New Roman" w:cs="Times New Roman"/>
          <w:rtl/>
          <w:lang w:eastAsia="de-DE"/>
        </w:rPr>
        <w:t xml:space="preserve"> </w:t>
      </w:r>
      <w:r w:rsidRPr="00B2490C">
        <w:rPr>
          <w:rFonts w:eastAsia="Times New Roman" w:cs="Times New Roman"/>
          <w:lang w:eastAsia="de-DE"/>
        </w:rPr>
        <w:t xml:space="preserve">(brennen/anzünden), </w:t>
      </w:r>
      <w:r w:rsidRPr="00B2490C">
        <w:rPr>
          <w:rFonts w:eastAsia="Times New Roman" w:cs="Times New Roman"/>
          <w:b/>
          <w:bCs/>
          <w:rtl/>
          <w:lang w:eastAsia="de-DE"/>
        </w:rPr>
        <w:t>בבקר בבקר</w:t>
      </w:r>
      <w:r w:rsidRPr="00B2490C">
        <w:rPr>
          <w:rFonts w:eastAsia="Times New Roman" w:cs="Times New Roman"/>
          <w:rtl/>
          <w:lang w:eastAsia="de-DE"/>
        </w:rPr>
        <w:t xml:space="preserve"> </w:t>
      </w:r>
      <w:r w:rsidRPr="00B2490C">
        <w:rPr>
          <w:rFonts w:eastAsia="Times New Roman" w:cs="Times New Roman"/>
          <w:lang w:eastAsia="de-DE"/>
        </w:rPr>
        <w:t>(Morgen für Morgen) als Wiederholungsformel.</w:t>
      </w:r>
    </w:p>
    <w:p w14:paraId="01531777" w14:textId="20798C49"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וְעָרַ֤ךְ עָלֶ֨יהָ֙ הָֽעֹלָ֔ה וְהִקְטִ֥יר עָלֶ֖יהָ חֶלְבֵ֥י הַשְּׁלָמִֽים</w:t>
      </w:r>
      <w:r w:rsidRPr="00B2490C">
        <w:rPr>
          <w:rFonts w:eastAsia="Times New Roman" w:cs="Times New Roman"/>
          <w:rtl/>
          <w:lang w:eastAsia="de-DE"/>
        </w:rPr>
        <w:t xml:space="preserve"> </w:t>
      </w:r>
      <w:r w:rsidRPr="00B2490C">
        <w:rPr>
          <w:rFonts w:eastAsia="Times New Roman" w:cs="Times New Roman"/>
          <w:lang w:eastAsia="de-DE"/>
        </w:rPr>
        <w:t xml:space="preserve">(und er soll das </w:t>
      </w:r>
      <w:r w:rsidR="00CF10E7">
        <w:rPr>
          <w:rFonts w:eastAsia="Times New Roman" w:cs="Times New Roman"/>
          <w:lang w:eastAsia="de-DE"/>
        </w:rPr>
        <w:t>Aufsteigeopfer</w:t>
      </w:r>
      <w:r w:rsidRPr="00B2490C">
        <w:rPr>
          <w:rFonts w:eastAsia="Times New Roman" w:cs="Times New Roman"/>
          <w:lang w:eastAsia="de-DE"/>
        </w:rPr>
        <w:t xml:space="preserve"> auf ihm anordnen und die Fette der Friedensopfer auf ihm räuchern) zeigt die täglichen Opferhandlungen. </w:t>
      </w:r>
      <w:r w:rsidRPr="00B2490C">
        <w:rPr>
          <w:rFonts w:eastAsia="Times New Roman" w:cs="Times New Roman"/>
          <w:b/>
          <w:bCs/>
          <w:rtl/>
          <w:lang w:eastAsia="de-DE"/>
        </w:rPr>
        <w:t>וערך עליה העלה</w:t>
      </w:r>
      <w:r w:rsidRPr="00B2490C">
        <w:rPr>
          <w:rFonts w:eastAsia="Times New Roman" w:cs="Times New Roman"/>
          <w:rtl/>
          <w:lang w:eastAsia="de-DE"/>
        </w:rPr>
        <w:t xml:space="preserve"> </w:t>
      </w:r>
      <w:r w:rsidRPr="00B2490C">
        <w:rPr>
          <w:rFonts w:eastAsia="Times New Roman" w:cs="Times New Roman"/>
          <w:lang w:eastAsia="de-DE"/>
        </w:rPr>
        <w:t xml:space="preserve">(und er soll das </w:t>
      </w:r>
      <w:r w:rsidR="00CF10E7">
        <w:rPr>
          <w:rFonts w:eastAsia="Times New Roman" w:cs="Times New Roman"/>
          <w:lang w:eastAsia="de-DE"/>
        </w:rPr>
        <w:t>Aufsteigeopfer</w:t>
      </w:r>
      <w:r w:rsidRPr="00B2490C">
        <w:rPr>
          <w:rFonts w:eastAsia="Times New Roman" w:cs="Times New Roman"/>
          <w:lang w:eastAsia="de-DE"/>
        </w:rPr>
        <w:t xml:space="preserve"> auf ihm anordnen) von </w:t>
      </w:r>
      <w:r w:rsidRPr="00B2490C">
        <w:rPr>
          <w:rFonts w:eastAsia="Times New Roman" w:cs="Times New Roman"/>
          <w:b/>
          <w:bCs/>
          <w:rtl/>
          <w:lang w:eastAsia="de-DE"/>
        </w:rPr>
        <w:t>ערך</w:t>
      </w:r>
      <w:r w:rsidRPr="00B2490C">
        <w:rPr>
          <w:rFonts w:eastAsia="Times New Roman" w:cs="Times New Roman"/>
          <w:rtl/>
          <w:lang w:eastAsia="de-DE"/>
        </w:rPr>
        <w:t xml:space="preserve"> </w:t>
      </w:r>
      <w:r w:rsidRPr="00B2490C">
        <w:rPr>
          <w:rFonts w:eastAsia="Times New Roman" w:cs="Times New Roman"/>
          <w:lang w:eastAsia="de-DE"/>
        </w:rPr>
        <w:t xml:space="preserve">(anordnen/schichten), </w:t>
      </w:r>
      <w:r w:rsidRPr="00B2490C">
        <w:rPr>
          <w:rFonts w:eastAsia="Times New Roman" w:cs="Times New Roman"/>
          <w:b/>
          <w:bCs/>
          <w:rtl/>
          <w:lang w:eastAsia="de-DE"/>
        </w:rPr>
        <w:t>והקטיר עליה חלבי השלמים</w:t>
      </w:r>
      <w:r w:rsidRPr="00B2490C">
        <w:rPr>
          <w:rFonts w:eastAsia="Times New Roman" w:cs="Times New Roman"/>
          <w:rtl/>
          <w:lang w:eastAsia="de-DE"/>
        </w:rPr>
        <w:t xml:space="preserve"> </w:t>
      </w:r>
      <w:r w:rsidRPr="00B2490C">
        <w:rPr>
          <w:rFonts w:eastAsia="Times New Roman" w:cs="Times New Roman"/>
          <w:lang w:eastAsia="de-DE"/>
        </w:rPr>
        <w:t>(und die Fette der Friedensopfer auf ihm räuchern).</w:t>
      </w:r>
    </w:p>
    <w:p w14:paraId="6BB7D73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לא תכבה</w:t>
      </w:r>
      <w:r w:rsidRPr="00B2490C">
        <w:rPr>
          <w:rFonts w:eastAsia="Times New Roman" w:cs="Times New Roman"/>
          <w:rtl/>
          <w:lang w:eastAsia="de-DE"/>
        </w:rPr>
        <w:t xml:space="preserve"> </w:t>
      </w:r>
      <w:r w:rsidRPr="00B2490C">
        <w:rPr>
          <w:rFonts w:eastAsia="Times New Roman" w:cs="Times New Roman"/>
          <w:lang w:eastAsia="de-DE"/>
        </w:rPr>
        <w:t xml:space="preserve">(es soll nicht erlöschen) ist kategorisches Verbot der Feuerlöschung. </w:t>
      </w:r>
      <w:r w:rsidRPr="00B2490C">
        <w:rPr>
          <w:rFonts w:eastAsia="Times New Roman" w:cs="Times New Roman"/>
          <w:b/>
          <w:bCs/>
          <w:rtl/>
          <w:lang w:eastAsia="de-DE"/>
        </w:rPr>
        <w:t>בבקר בבקר</w:t>
      </w:r>
      <w:r w:rsidRPr="00B2490C">
        <w:rPr>
          <w:rFonts w:eastAsia="Times New Roman" w:cs="Times New Roman"/>
          <w:rtl/>
          <w:lang w:eastAsia="de-DE"/>
        </w:rPr>
        <w:t xml:space="preserve"> </w:t>
      </w:r>
      <w:r w:rsidRPr="00B2490C">
        <w:rPr>
          <w:rFonts w:eastAsia="Times New Roman" w:cs="Times New Roman"/>
          <w:lang w:eastAsia="de-DE"/>
        </w:rPr>
        <w:t>(Morgen für Morgen) zeigt tägliche Wiederholung durch Reduplikation.</w:t>
      </w:r>
    </w:p>
    <w:p w14:paraId="06C75E0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lastRenderedPageBreak/>
        <w:t>ערך עליה העלה</w:t>
      </w:r>
      <w:r w:rsidRPr="00B2490C">
        <w:rPr>
          <w:rFonts w:eastAsia="Times New Roman" w:cs="Times New Roman"/>
          <w:rtl/>
          <w:lang w:eastAsia="de-DE"/>
        </w:rPr>
        <w:t xml:space="preserve"> </w:t>
      </w:r>
      <w:r w:rsidRPr="00B2490C">
        <w:rPr>
          <w:rFonts w:eastAsia="Times New Roman" w:cs="Times New Roman"/>
          <w:lang w:eastAsia="de-DE"/>
        </w:rPr>
        <w:t xml:space="preserve">zeigt das Anordnen der </w:t>
      </w:r>
      <w:r w:rsidRPr="00B2490C">
        <w:rPr>
          <w:rFonts w:eastAsia="Times New Roman" w:cs="Times New Roman"/>
          <w:b/>
          <w:bCs/>
          <w:rtl/>
          <w:lang w:eastAsia="de-DE"/>
        </w:rPr>
        <w:t>עלה</w:t>
      </w:r>
      <w:r w:rsidRPr="00B2490C">
        <w:rPr>
          <w:rFonts w:eastAsia="Times New Roman" w:cs="Times New Roman"/>
          <w:lang w:eastAsia="de-DE"/>
        </w:rPr>
        <w:t xml:space="preserve">-Stücke auf dem Feuer. </w:t>
      </w:r>
      <w:r w:rsidRPr="00B2490C">
        <w:rPr>
          <w:rFonts w:eastAsia="Times New Roman" w:cs="Times New Roman"/>
          <w:b/>
          <w:bCs/>
          <w:rtl/>
          <w:lang w:eastAsia="de-DE"/>
        </w:rPr>
        <w:t>חלבי השלמים</w:t>
      </w:r>
      <w:r w:rsidRPr="00B2490C">
        <w:rPr>
          <w:rFonts w:eastAsia="Times New Roman" w:cs="Times New Roman"/>
          <w:rtl/>
          <w:lang w:eastAsia="de-DE"/>
        </w:rPr>
        <w:t xml:space="preserve"> </w:t>
      </w:r>
      <w:r w:rsidRPr="00B2490C">
        <w:rPr>
          <w:rFonts w:eastAsia="Times New Roman" w:cs="Times New Roman"/>
          <w:lang w:eastAsia="de-DE"/>
        </w:rPr>
        <w:t>(Fette der Friedensopfer) verweist auf Kapitel 3: nur die Fette werden verbrannt, das Fleisch wird gegessen.</w:t>
      </w:r>
    </w:p>
    <w:p w14:paraId="296EEED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תּֽוּקַד־בּוֹ֙</w:t>
      </w:r>
      <w:r w:rsidRPr="00B2490C">
        <w:rPr>
          <w:rFonts w:eastAsia="Times New Roman" w:cs="Times New Roman"/>
          <w:rtl/>
          <w:lang w:eastAsia="de-DE"/>
        </w:rPr>
        <w:t xml:space="preserve"> </w:t>
      </w:r>
      <w:r w:rsidRPr="00B2490C">
        <w:rPr>
          <w:rFonts w:eastAsia="Times New Roman" w:cs="Times New Roman"/>
          <w:lang w:eastAsia="de-DE"/>
        </w:rPr>
        <w:t>mit κα</w:t>
      </w:r>
      <w:proofErr w:type="spellStart"/>
      <w:r w:rsidRPr="00B2490C">
        <w:rPr>
          <w:rFonts w:eastAsia="Times New Roman" w:cs="Times New Roman"/>
          <w:lang w:eastAsia="de-DE"/>
        </w:rPr>
        <w:t>υθήσετ</w:t>
      </w:r>
      <w:proofErr w:type="spellEnd"/>
      <w:r w:rsidRPr="00B2490C">
        <w:rPr>
          <w:rFonts w:eastAsia="Times New Roman" w:cs="Times New Roman"/>
          <w:lang w:eastAsia="de-DE"/>
        </w:rPr>
        <w:t>αι ἐπ' α</w:t>
      </w:r>
      <w:proofErr w:type="spellStart"/>
      <w:r w:rsidRPr="00B2490C">
        <w:rPr>
          <w:rFonts w:eastAsia="Times New Roman" w:cs="Times New Roman"/>
          <w:lang w:eastAsia="de-DE"/>
        </w:rPr>
        <w:t>ὐτοῦ</w:t>
      </w:r>
      <w:proofErr w:type="spellEnd"/>
      <w:r w:rsidRPr="00B2490C">
        <w:rPr>
          <w:rFonts w:eastAsia="Times New Roman" w:cs="Times New Roman"/>
          <w:lang w:eastAsia="de-DE"/>
        </w:rPr>
        <w:t xml:space="preserve"> (soll auf ihm brennen), </w:t>
      </w:r>
      <w:r w:rsidRPr="00B2490C">
        <w:rPr>
          <w:rFonts w:eastAsia="Times New Roman" w:cs="Times New Roman"/>
          <w:b/>
          <w:bCs/>
          <w:rtl/>
          <w:lang w:eastAsia="de-DE"/>
        </w:rPr>
        <w:t>בַּבֹּ֣קֶר בַּבֹּ֑קֶר</w:t>
      </w:r>
      <w:r w:rsidRPr="00B2490C">
        <w:rPr>
          <w:rFonts w:eastAsia="Times New Roman" w:cs="Times New Roman"/>
          <w:rtl/>
          <w:lang w:eastAsia="de-DE"/>
        </w:rPr>
        <w:t xml:space="preserve"> </w:t>
      </w:r>
      <w:r w:rsidRPr="00B2490C">
        <w:rPr>
          <w:rFonts w:eastAsia="Times New Roman" w:cs="Times New Roman"/>
          <w:lang w:eastAsia="de-DE"/>
        </w:rPr>
        <w:t>mit π</w:t>
      </w:r>
      <w:proofErr w:type="spellStart"/>
      <w:r w:rsidRPr="00B2490C">
        <w:rPr>
          <w:rFonts w:eastAsia="Times New Roman" w:cs="Times New Roman"/>
          <w:lang w:eastAsia="de-DE"/>
        </w:rPr>
        <w:t>ρωὶ</w:t>
      </w:r>
      <w:proofErr w:type="spellEnd"/>
      <w:r w:rsidRPr="00B2490C">
        <w:rPr>
          <w:rFonts w:eastAsia="Times New Roman" w:cs="Times New Roman"/>
          <w:lang w:eastAsia="de-DE"/>
        </w:rPr>
        <w:t xml:space="preserve"> π</w:t>
      </w:r>
      <w:proofErr w:type="spellStart"/>
      <w:r w:rsidRPr="00B2490C">
        <w:rPr>
          <w:rFonts w:eastAsia="Times New Roman" w:cs="Times New Roman"/>
          <w:lang w:eastAsia="de-DE"/>
        </w:rPr>
        <w:t>ρωί</w:t>
      </w:r>
      <w:proofErr w:type="spellEnd"/>
      <w:r w:rsidRPr="00B2490C">
        <w:rPr>
          <w:rFonts w:eastAsia="Times New Roman" w:cs="Times New Roman"/>
          <w:lang w:eastAsia="de-DE"/>
        </w:rPr>
        <w:t xml:space="preserve"> (früh am frühen Morgen) und </w:t>
      </w:r>
      <w:r w:rsidRPr="00B2490C">
        <w:rPr>
          <w:rFonts w:eastAsia="Times New Roman" w:cs="Times New Roman"/>
          <w:b/>
          <w:bCs/>
          <w:rtl/>
          <w:lang w:eastAsia="de-DE"/>
        </w:rPr>
        <w:t>עָרַ֤ךְ</w:t>
      </w:r>
      <w:r w:rsidRPr="00B2490C">
        <w:rPr>
          <w:rFonts w:eastAsia="Times New Roman" w:cs="Times New Roman"/>
          <w:rtl/>
          <w:lang w:eastAsia="de-DE"/>
        </w:rPr>
        <w:t xml:space="preserve"> </w:t>
      </w:r>
      <w:r w:rsidRPr="00B2490C">
        <w:rPr>
          <w:rFonts w:eastAsia="Times New Roman" w:cs="Times New Roman"/>
          <w:lang w:eastAsia="de-DE"/>
        </w:rPr>
        <w:t>mit ἐπ</w:t>
      </w:r>
      <w:proofErr w:type="spellStart"/>
      <w:r w:rsidRPr="00B2490C">
        <w:rPr>
          <w:rFonts w:eastAsia="Times New Roman" w:cs="Times New Roman"/>
          <w:lang w:eastAsia="de-DE"/>
        </w:rPr>
        <w:t>ιθήσει</w:t>
      </w:r>
      <w:proofErr w:type="spellEnd"/>
      <w:r w:rsidRPr="00B2490C">
        <w:rPr>
          <w:rFonts w:eastAsia="Times New Roman" w:cs="Times New Roman"/>
          <w:lang w:eastAsia="de-DE"/>
        </w:rPr>
        <w:t xml:space="preserve"> (er soll auflegen).</w:t>
      </w:r>
    </w:p>
    <w:p w14:paraId="1FCE503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drei koordinierte Bestimmungen: Feuererhaltung (Subjekt + Verb + negative Bestimmung) + tägliche Feuerunterhaltung (Verb + Adverbialbestimmung + Subjekt + Objekt + temporale Wiederholung) + Opferanordnung (zwei koordinierte Verben + Objekte + Ortsangaben). Die Struktur zeigt den täglichen Altardienst.</w:t>
      </w:r>
    </w:p>
    <w:p w14:paraId="48E8A6E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Dieser Vers regelt die kontinuierliche Feuerunterhaltung und tägliche Opferdarbringung auf dem ständig brennenden Altar.</w:t>
      </w:r>
    </w:p>
    <w:p w14:paraId="205799A0"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6,6</w:t>
      </w:r>
    </w:p>
    <w:p w14:paraId="5BAD6152"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אֵ֗שׁ תָּמִ֛יד תּוּקַ֥ד עַל־הַמִּזְבֵּ֖חַ לֹ֥א תִכְבֶֽה׃</w:t>
      </w:r>
    </w:p>
    <w:p w14:paraId="257B6A9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Ein beständiges Feuer soll auf dem Altar in Brand erhalten werden, es soll nicht erlöschen.</w:t>
      </w:r>
    </w:p>
    <w:p w14:paraId="0AB520F7"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349971BF">
          <v:rect id="_x0000_i1141" style="width:0;height:1.5pt" o:hralign="center" o:hrstd="t" o:hr="t" fillcolor="#a0a0a0" stroked="f"/>
        </w:pict>
      </w:r>
    </w:p>
    <w:p w14:paraId="61BE4BB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אֵ֗שׁ תָּמִ֛יד תּוּקַ֥ד עַל־הַמִּזְבֵּ֖חַ לֹ֥א תִכְבֶֽה</w:t>
      </w:r>
      <w:r w:rsidRPr="00B2490C">
        <w:rPr>
          <w:rFonts w:eastAsia="Times New Roman" w:cs="Times New Roman"/>
          <w:rtl/>
          <w:lang w:eastAsia="de-DE"/>
        </w:rPr>
        <w:t xml:space="preserve"> </w:t>
      </w:r>
      <w:r w:rsidRPr="00B2490C">
        <w:rPr>
          <w:rFonts w:eastAsia="Times New Roman" w:cs="Times New Roman"/>
          <w:lang w:eastAsia="de-DE"/>
        </w:rPr>
        <w:t xml:space="preserve">ist eine emphatische Zusammenfassung der Feuerbestimmungen. </w:t>
      </w:r>
      <w:r w:rsidRPr="00B2490C">
        <w:rPr>
          <w:rFonts w:eastAsia="Times New Roman" w:cs="Times New Roman"/>
          <w:b/>
          <w:bCs/>
          <w:rtl/>
          <w:lang w:eastAsia="de-DE"/>
        </w:rPr>
        <w:t>אש תמיד</w:t>
      </w:r>
      <w:r w:rsidRPr="00B2490C">
        <w:rPr>
          <w:rFonts w:eastAsia="Times New Roman" w:cs="Times New Roman"/>
          <w:rtl/>
          <w:lang w:eastAsia="de-DE"/>
        </w:rPr>
        <w:t xml:space="preserve"> </w:t>
      </w:r>
      <w:r w:rsidRPr="00B2490C">
        <w:rPr>
          <w:rFonts w:eastAsia="Times New Roman" w:cs="Times New Roman"/>
          <w:lang w:eastAsia="de-DE"/>
        </w:rPr>
        <w:t xml:space="preserve">(beständiges Feuer) mit </w:t>
      </w:r>
      <w:r w:rsidRPr="00B2490C">
        <w:rPr>
          <w:rFonts w:eastAsia="Times New Roman" w:cs="Times New Roman"/>
          <w:b/>
          <w:bCs/>
          <w:rtl/>
          <w:lang w:eastAsia="de-DE"/>
        </w:rPr>
        <w:t>תמיד</w:t>
      </w:r>
      <w:r w:rsidRPr="00B2490C">
        <w:rPr>
          <w:rFonts w:eastAsia="Times New Roman" w:cs="Times New Roman"/>
          <w:rtl/>
          <w:lang w:eastAsia="de-DE"/>
        </w:rPr>
        <w:t xml:space="preserve"> </w:t>
      </w:r>
      <w:r w:rsidRPr="00B2490C">
        <w:rPr>
          <w:rFonts w:eastAsia="Times New Roman" w:cs="Times New Roman"/>
          <w:lang w:eastAsia="de-DE"/>
        </w:rPr>
        <w:t xml:space="preserve">(beständig/kontinuierlich), </w:t>
      </w:r>
      <w:r w:rsidRPr="00B2490C">
        <w:rPr>
          <w:rFonts w:eastAsia="Times New Roman" w:cs="Times New Roman"/>
          <w:b/>
          <w:bCs/>
          <w:rtl/>
          <w:lang w:eastAsia="de-DE"/>
        </w:rPr>
        <w:t>תוקד על־המזבח</w:t>
      </w:r>
      <w:r w:rsidRPr="00B2490C">
        <w:rPr>
          <w:rFonts w:eastAsia="Times New Roman" w:cs="Times New Roman"/>
          <w:rtl/>
          <w:lang w:eastAsia="de-DE"/>
        </w:rPr>
        <w:t xml:space="preserve"> </w:t>
      </w:r>
      <w:r w:rsidRPr="00B2490C">
        <w:rPr>
          <w:rFonts w:eastAsia="Times New Roman" w:cs="Times New Roman"/>
          <w:lang w:eastAsia="de-DE"/>
        </w:rPr>
        <w:t xml:space="preserve">(soll auf dem Altar brennen), </w:t>
      </w:r>
      <w:r w:rsidRPr="00B2490C">
        <w:rPr>
          <w:rFonts w:eastAsia="Times New Roman" w:cs="Times New Roman"/>
          <w:b/>
          <w:bCs/>
          <w:rtl/>
          <w:lang w:eastAsia="de-DE"/>
        </w:rPr>
        <w:t>לא תכבה</w:t>
      </w:r>
      <w:r w:rsidRPr="00B2490C">
        <w:rPr>
          <w:rFonts w:eastAsia="Times New Roman" w:cs="Times New Roman"/>
          <w:rtl/>
          <w:lang w:eastAsia="de-DE"/>
        </w:rPr>
        <w:t xml:space="preserve"> </w:t>
      </w:r>
      <w:r w:rsidRPr="00B2490C">
        <w:rPr>
          <w:rFonts w:eastAsia="Times New Roman" w:cs="Times New Roman"/>
          <w:lang w:eastAsia="de-DE"/>
        </w:rPr>
        <w:t>(soll nicht erlöschen) wiederholt das kategorische Verbot.</w:t>
      </w:r>
    </w:p>
    <w:p w14:paraId="5C6C91B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אש תמיד</w:t>
      </w:r>
      <w:r w:rsidRPr="00B2490C">
        <w:rPr>
          <w:rFonts w:eastAsia="Times New Roman" w:cs="Times New Roman"/>
          <w:rtl/>
          <w:lang w:eastAsia="de-DE"/>
        </w:rPr>
        <w:t xml:space="preserve"> </w:t>
      </w:r>
      <w:r w:rsidRPr="00B2490C">
        <w:rPr>
          <w:rFonts w:eastAsia="Times New Roman" w:cs="Times New Roman"/>
          <w:lang w:eastAsia="de-DE"/>
        </w:rPr>
        <w:t xml:space="preserve">(beständiges Feuer) wird zu einem zentralen Konzept des </w:t>
      </w:r>
      <w:proofErr w:type="spellStart"/>
      <w:r w:rsidRPr="00B2490C">
        <w:rPr>
          <w:rFonts w:eastAsia="Times New Roman" w:cs="Times New Roman"/>
          <w:lang w:eastAsia="de-DE"/>
        </w:rPr>
        <w:t>Heiligtumsdiensts</w:t>
      </w:r>
      <w:proofErr w:type="spellEnd"/>
      <w:r w:rsidRPr="00B2490C">
        <w:rPr>
          <w:rFonts w:eastAsia="Times New Roman" w:cs="Times New Roman"/>
          <w:lang w:eastAsia="de-DE"/>
        </w:rPr>
        <w:t xml:space="preserve">. </w:t>
      </w:r>
      <w:r w:rsidRPr="00B2490C">
        <w:rPr>
          <w:rFonts w:eastAsia="Times New Roman" w:cs="Times New Roman"/>
          <w:b/>
          <w:bCs/>
          <w:rtl/>
          <w:lang w:eastAsia="de-DE"/>
        </w:rPr>
        <w:t>תמיד</w:t>
      </w:r>
      <w:r w:rsidRPr="00B2490C">
        <w:rPr>
          <w:rFonts w:eastAsia="Times New Roman" w:cs="Times New Roman"/>
          <w:rtl/>
          <w:lang w:eastAsia="de-DE"/>
        </w:rPr>
        <w:t xml:space="preserve"> </w:t>
      </w:r>
      <w:r w:rsidRPr="00B2490C">
        <w:rPr>
          <w:rFonts w:eastAsia="Times New Roman" w:cs="Times New Roman"/>
          <w:lang w:eastAsia="de-DE"/>
        </w:rPr>
        <w:t xml:space="preserve">betont die Kontinuität ohne Unterbrechung, Tag und Nacht. Diese Bestimmung steht parallel zum </w:t>
      </w:r>
      <w:r w:rsidRPr="00B2490C">
        <w:rPr>
          <w:rFonts w:eastAsia="Times New Roman" w:cs="Times New Roman"/>
          <w:b/>
          <w:bCs/>
          <w:rtl/>
          <w:lang w:eastAsia="de-DE"/>
        </w:rPr>
        <w:t>לחם תמיד</w:t>
      </w:r>
      <w:r w:rsidRPr="00B2490C">
        <w:rPr>
          <w:rFonts w:eastAsia="Times New Roman" w:cs="Times New Roman"/>
          <w:rtl/>
          <w:lang w:eastAsia="de-DE"/>
        </w:rPr>
        <w:t xml:space="preserve"> </w:t>
      </w:r>
      <w:r w:rsidRPr="00B2490C">
        <w:rPr>
          <w:rFonts w:eastAsia="Times New Roman" w:cs="Times New Roman"/>
          <w:lang w:eastAsia="de-DE"/>
        </w:rPr>
        <w:t xml:space="preserve">(beständigen Brot) und anderen </w:t>
      </w:r>
      <w:r w:rsidRPr="00B2490C">
        <w:rPr>
          <w:rFonts w:eastAsia="Times New Roman" w:cs="Times New Roman"/>
          <w:b/>
          <w:bCs/>
          <w:rtl/>
          <w:lang w:eastAsia="de-DE"/>
        </w:rPr>
        <w:t>תמיד</w:t>
      </w:r>
      <w:r w:rsidRPr="00B2490C">
        <w:rPr>
          <w:rFonts w:eastAsia="Times New Roman" w:cs="Times New Roman"/>
          <w:lang w:eastAsia="de-DE"/>
        </w:rPr>
        <w:t>-Elementen.</w:t>
      </w:r>
    </w:p>
    <w:p w14:paraId="4C1EDD3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לא תכבה</w:t>
      </w:r>
      <w:r w:rsidRPr="00B2490C">
        <w:rPr>
          <w:rFonts w:eastAsia="Times New Roman" w:cs="Times New Roman"/>
          <w:rtl/>
          <w:lang w:eastAsia="de-DE"/>
        </w:rPr>
        <w:t xml:space="preserve"> </w:t>
      </w:r>
      <w:r w:rsidRPr="00B2490C">
        <w:rPr>
          <w:rFonts w:eastAsia="Times New Roman" w:cs="Times New Roman"/>
          <w:lang w:eastAsia="de-DE"/>
        </w:rPr>
        <w:t>(soll nicht erlöschen) als wiederholtes Verbot unterstreicht die absolute Wichtigkeit der ununterbrochenen Feuererhaltung für den ordnungsgemäßen Opferdienst.</w:t>
      </w:r>
    </w:p>
    <w:p w14:paraId="5719689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אֵ֗שׁ תָּמִ֛יד</w:t>
      </w:r>
      <w:r w:rsidRPr="00B2490C">
        <w:rPr>
          <w:rFonts w:eastAsia="Times New Roman" w:cs="Times New Roman"/>
          <w:rtl/>
          <w:lang w:eastAsia="de-DE"/>
        </w:rPr>
        <w:t xml:space="preserve"> </w:t>
      </w:r>
      <w:r w:rsidRPr="00B2490C">
        <w:rPr>
          <w:rFonts w:eastAsia="Times New Roman" w:cs="Times New Roman"/>
          <w:lang w:eastAsia="de-DE"/>
        </w:rPr>
        <w:t>mit π</w:t>
      </w:r>
      <w:proofErr w:type="spellStart"/>
      <w:r w:rsidRPr="00B2490C">
        <w:rPr>
          <w:rFonts w:eastAsia="Times New Roman" w:cs="Times New Roman"/>
          <w:lang w:eastAsia="de-DE"/>
        </w:rPr>
        <w:t>ῦρ</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διὰ</w:t>
      </w:r>
      <w:proofErr w:type="spellEnd"/>
      <w:r w:rsidRPr="00B2490C">
        <w:rPr>
          <w:rFonts w:eastAsia="Times New Roman" w:cs="Times New Roman"/>
          <w:lang w:eastAsia="de-DE"/>
        </w:rPr>
        <w:t xml:space="preserve"> πα</w:t>
      </w:r>
      <w:proofErr w:type="spellStart"/>
      <w:r w:rsidRPr="00B2490C">
        <w:rPr>
          <w:rFonts w:eastAsia="Times New Roman" w:cs="Times New Roman"/>
          <w:lang w:eastAsia="de-DE"/>
        </w:rPr>
        <w:t>ντός</w:t>
      </w:r>
      <w:proofErr w:type="spellEnd"/>
      <w:r w:rsidRPr="00B2490C">
        <w:rPr>
          <w:rFonts w:eastAsia="Times New Roman" w:cs="Times New Roman"/>
          <w:lang w:eastAsia="de-DE"/>
        </w:rPr>
        <w:t xml:space="preserve"> (Feuer kontinuierlich) und wiederholt die Übersetzungen der vorherigen Verse.</w:t>
      </w:r>
    </w:p>
    <w:p w14:paraId="04CF1C8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eine emphatische Schlussformel: Subjekt + Attribut + Verb + Ortsangabe + negative Bestimmung. Die Kürze und Wiederholung unterstreichen die fundamentale Wichtigkeit.</w:t>
      </w:r>
    </w:p>
    <w:p w14:paraId="1885A06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beschließt die </w:t>
      </w:r>
      <w:r w:rsidRPr="00B2490C">
        <w:rPr>
          <w:rFonts w:eastAsia="Times New Roman" w:cs="Times New Roman"/>
          <w:b/>
          <w:bCs/>
          <w:rtl/>
          <w:lang w:eastAsia="de-DE"/>
        </w:rPr>
        <w:t>תורת העלה</w:t>
      </w:r>
      <w:r w:rsidRPr="00B2490C">
        <w:rPr>
          <w:rFonts w:eastAsia="Times New Roman" w:cs="Times New Roman"/>
          <w:rtl/>
          <w:lang w:eastAsia="de-DE"/>
        </w:rPr>
        <w:t xml:space="preserve"> </w:t>
      </w:r>
      <w:r w:rsidRPr="00B2490C">
        <w:rPr>
          <w:rFonts w:eastAsia="Times New Roman" w:cs="Times New Roman"/>
          <w:lang w:eastAsia="de-DE"/>
        </w:rPr>
        <w:t>mit der emphatischen Betonung des ununterbrochenen Altarfeuers als Grundlage aller Opferdienste.</w:t>
      </w:r>
    </w:p>
    <w:p w14:paraId="45BDBDDB"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6,7</w:t>
      </w:r>
    </w:p>
    <w:p w14:paraId="1B29450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וְזֹ֥את תּוֹרַ֖ת הַמִּנְחָ֑ה הַקְרֵ֨ב אֹתָ֤הּ בְּנֵֽי־אַהֲרֹן֙ לִפְנֵ֣י יְהוָ֔ה אֶל־פְּנֵ֖י הַמִּזְבֵּֽחַ׃</w:t>
      </w:r>
    </w:p>
    <w:p w14:paraId="194A593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Deutsch:</w:t>
      </w:r>
      <w:r w:rsidRPr="00B2490C">
        <w:rPr>
          <w:rFonts w:eastAsia="Times New Roman" w:cs="Times New Roman"/>
          <w:lang w:eastAsia="de-DE"/>
        </w:rPr>
        <w:t xml:space="preserve"> Und dies ist die Torah des Speiseopfers: Einer der Söhne Aarons soll es vor dem Ewigen darbringen vor dem Altar.</w:t>
      </w:r>
    </w:p>
    <w:p w14:paraId="544E535F"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52AAD3F6">
          <v:rect id="_x0000_i1142" style="width:0;height:1.5pt" o:hralign="center" o:hrstd="t" o:hr="t" fillcolor="#a0a0a0" stroked="f"/>
        </w:pict>
      </w:r>
    </w:p>
    <w:p w14:paraId="5BE1580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וְזֹ֥את תּוֹרַ֖ת הַמִּנְחָ֑ה</w:t>
      </w:r>
      <w:r w:rsidRPr="00B2490C">
        <w:rPr>
          <w:rFonts w:eastAsia="Times New Roman" w:cs="Times New Roman"/>
          <w:rtl/>
          <w:lang w:eastAsia="de-DE"/>
        </w:rPr>
        <w:t xml:space="preserve"> </w:t>
      </w:r>
      <w:r w:rsidRPr="00B2490C">
        <w:rPr>
          <w:rFonts w:eastAsia="Times New Roman" w:cs="Times New Roman"/>
          <w:lang w:eastAsia="de-DE"/>
        </w:rPr>
        <w:t xml:space="preserve">(und dies ist die Torah des Speiseopfers) leitet die zweite priesterliche </w:t>
      </w:r>
      <w:r w:rsidRPr="00B2490C">
        <w:rPr>
          <w:rFonts w:eastAsia="Times New Roman" w:cs="Times New Roman"/>
          <w:b/>
          <w:bCs/>
          <w:rtl/>
          <w:lang w:eastAsia="de-DE"/>
        </w:rPr>
        <w:t>תורה</w:t>
      </w:r>
      <w:r w:rsidRPr="00B2490C">
        <w:rPr>
          <w:rFonts w:eastAsia="Times New Roman" w:cs="Times New Roman"/>
          <w:rtl/>
          <w:lang w:eastAsia="de-DE"/>
        </w:rPr>
        <w:t xml:space="preserve"> </w:t>
      </w:r>
      <w:r w:rsidRPr="00B2490C">
        <w:rPr>
          <w:rFonts w:eastAsia="Times New Roman" w:cs="Times New Roman"/>
          <w:lang w:eastAsia="de-DE"/>
        </w:rPr>
        <w:t xml:space="preserve">ein. </w:t>
      </w:r>
      <w:r w:rsidRPr="00B2490C">
        <w:rPr>
          <w:rFonts w:eastAsia="Times New Roman" w:cs="Times New Roman"/>
          <w:b/>
          <w:bCs/>
          <w:rtl/>
          <w:lang w:eastAsia="de-DE"/>
        </w:rPr>
        <w:t>וזאת תורת המנחה</w:t>
      </w:r>
      <w:r w:rsidRPr="00B2490C">
        <w:rPr>
          <w:rFonts w:eastAsia="Times New Roman" w:cs="Times New Roman"/>
          <w:rtl/>
          <w:lang w:eastAsia="de-DE"/>
        </w:rPr>
        <w:t xml:space="preserve"> </w:t>
      </w:r>
      <w:r w:rsidRPr="00B2490C">
        <w:rPr>
          <w:rFonts w:eastAsia="Times New Roman" w:cs="Times New Roman"/>
          <w:lang w:eastAsia="de-DE"/>
        </w:rPr>
        <w:t>folgt dem etablierten Muster von V. 2 (</w:t>
      </w:r>
      <w:r w:rsidRPr="00B2490C">
        <w:rPr>
          <w:rFonts w:eastAsia="Times New Roman" w:cs="Times New Roman"/>
          <w:b/>
          <w:bCs/>
          <w:rtl/>
          <w:lang w:eastAsia="de-DE"/>
        </w:rPr>
        <w:t>זאת תורת העלה</w:t>
      </w:r>
      <w:r w:rsidRPr="00B2490C">
        <w:rPr>
          <w:rFonts w:eastAsia="Times New Roman" w:cs="Times New Roman"/>
          <w:lang w:eastAsia="de-DE"/>
        </w:rPr>
        <w:t>).</w:t>
      </w:r>
    </w:p>
    <w:p w14:paraId="6EFAC95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הַקְרֵ֨ב אֹתָ֤הּ בְּנֵֽי־אַהֲרֹן֙ לִפְנֵ֣י יְהוָ֔ה אֶל־פְּנֵ֖י הַמִּזְבֵּֽחַ</w:t>
      </w:r>
      <w:r w:rsidRPr="00B2490C">
        <w:rPr>
          <w:rFonts w:eastAsia="Times New Roman" w:cs="Times New Roman"/>
          <w:rtl/>
          <w:lang w:eastAsia="de-DE"/>
        </w:rPr>
        <w:t xml:space="preserve"> </w:t>
      </w:r>
      <w:r w:rsidRPr="00B2490C">
        <w:rPr>
          <w:rFonts w:eastAsia="Times New Roman" w:cs="Times New Roman"/>
          <w:lang w:eastAsia="de-DE"/>
        </w:rPr>
        <w:t xml:space="preserve">(einer der Söhne Aarons soll sie vor JHWH darbringen vor dem Altar) spezifiziert die Priesterrolle. </w:t>
      </w:r>
      <w:r w:rsidRPr="00B2490C">
        <w:rPr>
          <w:rFonts w:eastAsia="Times New Roman" w:cs="Times New Roman"/>
          <w:b/>
          <w:bCs/>
          <w:rtl/>
          <w:lang w:eastAsia="de-DE"/>
        </w:rPr>
        <w:t>הקרב אתה</w:t>
      </w:r>
      <w:r w:rsidRPr="00B2490C">
        <w:rPr>
          <w:rFonts w:eastAsia="Times New Roman" w:cs="Times New Roman"/>
          <w:rtl/>
          <w:lang w:eastAsia="de-DE"/>
        </w:rPr>
        <w:t xml:space="preserve"> </w:t>
      </w:r>
      <w:r w:rsidRPr="00B2490C">
        <w:rPr>
          <w:rFonts w:eastAsia="Times New Roman" w:cs="Times New Roman"/>
          <w:lang w:eastAsia="de-DE"/>
        </w:rPr>
        <w:t xml:space="preserve">(er soll sie darbringen) von </w:t>
      </w:r>
      <w:r w:rsidRPr="00B2490C">
        <w:rPr>
          <w:rFonts w:eastAsia="Times New Roman" w:cs="Times New Roman"/>
          <w:b/>
          <w:bCs/>
          <w:rtl/>
          <w:lang w:eastAsia="de-DE"/>
        </w:rPr>
        <w:t>קרב</w:t>
      </w:r>
      <w:r w:rsidRPr="00B2490C">
        <w:rPr>
          <w:rFonts w:eastAsia="Times New Roman" w:cs="Times New Roman"/>
          <w:rtl/>
          <w:lang w:eastAsia="de-DE"/>
        </w:rPr>
        <w:t xml:space="preserve"> </w:t>
      </w:r>
      <w:r w:rsidRPr="00B2490C">
        <w:rPr>
          <w:rFonts w:eastAsia="Times New Roman" w:cs="Times New Roman"/>
          <w:lang w:eastAsia="de-DE"/>
        </w:rPr>
        <w:t xml:space="preserve">(nahen/darbringen) im Hifil-Infinitiv absolut, </w:t>
      </w:r>
      <w:r w:rsidRPr="00B2490C">
        <w:rPr>
          <w:rFonts w:eastAsia="Times New Roman" w:cs="Times New Roman"/>
          <w:b/>
          <w:bCs/>
          <w:rtl/>
          <w:lang w:eastAsia="de-DE"/>
        </w:rPr>
        <w:t>בני־אהרן</w:t>
      </w:r>
      <w:r w:rsidRPr="00B2490C">
        <w:rPr>
          <w:rFonts w:eastAsia="Times New Roman" w:cs="Times New Roman"/>
          <w:rtl/>
          <w:lang w:eastAsia="de-DE"/>
        </w:rPr>
        <w:t xml:space="preserve"> </w:t>
      </w:r>
      <w:r w:rsidRPr="00B2490C">
        <w:rPr>
          <w:rFonts w:eastAsia="Times New Roman" w:cs="Times New Roman"/>
          <w:lang w:eastAsia="de-DE"/>
        </w:rPr>
        <w:t xml:space="preserve">(Söhne Aarons) als Subjekt, </w:t>
      </w:r>
      <w:r w:rsidRPr="00B2490C">
        <w:rPr>
          <w:rFonts w:eastAsia="Times New Roman" w:cs="Times New Roman"/>
          <w:b/>
          <w:bCs/>
          <w:rtl/>
          <w:lang w:eastAsia="de-DE"/>
        </w:rPr>
        <w:t>לפני יהוה אל־פני המזבח</w:t>
      </w:r>
      <w:r w:rsidRPr="00B2490C">
        <w:rPr>
          <w:rFonts w:eastAsia="Times New Roman" w:cs="Times New Roman"/>
          <w:rtl/>
          <w:lang w:eastAsia="de-DE"/>
        </w:rPr>
        <w:t xml:space="preserve"> </w:t>
      </w:r>
      <w:r w:rsidRPr="00B2490C">
        <w:rPr>
          <w:rFonts w:eastAsia="Times New Roman" w:cs="Times New Roman"/>
          <w:lang w:eastAsia="de-DE"/>
        </w:rPr>
        <w:t>(vor JHWH vor dem Altar) mit doppelter Ortsangabe.</w:t>
      </w:r>
    </w:p>
    <w:p w14:paraId="260A6B9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הקרב אתה בני־אהרן</w:t>
      </w:r>
      <w:r w:rsidRPr="00B2490C">
        <w:rPr>
          <w:rFonts w:eastAsia="Times New Roman" w:cs="Times New Roman"/>
          <w:rtl/>
          <w:lang w:eastAsia="de-DE"/>
        </w:rPr>
        <w:t xml:space="preserve"> </w:t>
      </w:r>
      <w:r w:rsidRPr="00B2490C">
        <w:rPr>
          <w:rFonts w:eastAsia="Times New Roman" w:cs="Times New Roman"/>
          <w:lang w:eastAsia="de-DE"/>
        </w:rPr>
        <w:t xml:space="preserve">zeigt, dass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priesterliche Darbringung erfordert, im Unterschied zu </w:t>
      </w:r>
      <w:r w:rsidRPr="00B2490C">
        <w:rPr>
          <w:rFonts w:eastAsia="Times New Roman" w:cs="Times New Roman"/>
          <w:b/>
          <w:bCs/>
          <w:rtl/>
          <w:lang w:eastAsia="de-DE"/>
        </w:rPr>
        <w:t>עלה</w:t>
      </w:r>
      <w:r w:rsidRPr="00B2490C">
        <w:rPr>
          <w:rFonts w:eastAsia="Times New Roman" w:cs="Times New Roman"/>
          <w:lang w:eastAsia="de-DE"/>
        </w:rPr>
        <w:t xml:space="preserve">, die der Opferbringer selbst schlachten kann. </w:t>
      </w:r>
      <w:r w:rsidRPr="00B2490C">
        <w:rPr>
          <w:rFonts w:eastAsia="Times New Roman" w:cs="Times New Roman"/>
          <w:b/>
          <w:bCs/>
          <w:rtl/>
          <w:lang w:eastAsia="de-DE"/>
        </w:rPr>
        <w:t>לפני יהוה אל־פני המזבח</w:t>
      </w:r>
      <w:r w:rsidRPr="00B2490C">
        <w:rPr>
          <w:rFonts w:eastAsia="Times New Roman" w:cs="Times New Roman"/>
          <w:rtl/>
          <w:lang w:eastAsia="de-DE"/>
        </w:rPr>
        <w:t xml:space="preserve"> </w:t>
      </w:r>
      <w:r w:rsidRPr="00B2490C">
        <w:rPr>
          <w:rFonts w:eastAsia="Times New Roman" w:cs="Times New Roman"/>
          <w:lang w:eastAsia="de-DE"/>
        </w:rPr>
        <w:t>betont die sakrale Örtlichkeit.</w:t>
      </w:r>
    </w:p>
    <w:p w14:paraId="78CF469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תּוֹרַ֖ת הַמִּנְחָ֑ה</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νόμος</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τῆς</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θυσί</w:t>
      </w:r>
      <w:proofErr w:type="spellEnd"/>
      <w:r w:rsidRPr="00B2490C">
        <w:rPr>
          <w:rFonts w:eastAsia="Times New Roman" w:cs="Times New Roman"/>
          <w:lang w:eastAsia="de-DE"/>
        </w:rPr>
        <w:t xml:space="preserve">ας (Gesetz des Opfers) und </w:t>
      </w:r>
      <w:r w:rsidRPr="00B2490C">
        <w:rPr>
          <w:rFonts w:eastAsia="Times New Roman" w:cs="Times New Roman"/>
          <w:b/>
          <w:bCs/>
          <w:rtl/>
          <w:lang w:eastAsia="de-DE"/>
        </w:rPr>
        <w:t>הַקְרֵ֨ב</w:t>
      </w:r>
      <w:r w:rsidRPr="00B2490C">
        <w:rPr>
          <w:rFonts w:eastAsia="Times New Roman" w:cs="Times New Roman"/>
          <w:rtl/>
          <w:lang w:eastAsia="de-DE"/>
        </w:rPr>
        <w:t xml:space="preserve"> </w:t>
      </w:r>
      <w:r w:rsidRPr="00B2490C">
        <w:rPr>
          <w:rFonts w:eastAsia="Times New Roman" w:cs="Times New Roman"/>
          <w:lang w:eastAsia="de-DE"/>
        </w:rPr>
        <w:t>mit π</w:t>
      </w:r>
      <w:proofErr w:type="spellStart"/>
      <w:r w:rsidRPr="00B2490C">
        <w:rPr>
          <w:rFonts w:eastAsia="Times New Roman" w:cs="Times New Roman"/>
          <w:lang w:eastAsia="de-DE"/>
        </w:rPr>
        <w:t>ροσφέρειν</w:t>
      </w:r>
      <w:proofErr w:type="spellEnd"/>
      <w:r w:rsidRPr="00B2490C">
        <w:rPr>
          <w:rFonts w:eastAsia="Times New Roman" w:cs="Times New Roman"/>
          <w:lang w:eastAsia="de-DE"/>
        </w:rPr>
        <w:t xml:space="preserve"> (darbringen).</w:t>
      </w:r>
    </w:p>
    <w:p w14:paraId="42D4FA6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Torah-Überschrift + Handlungsanweisung: Torah-Klassifikation // Infinitiv + Objekt + Subjekt + doppelte Ortsangabe. Die Struktur entspricht dem Schema der priesterlichen </w:t>
      </w:r>
      <w:r w:rsidRPr="00B2490C">
        <w:rPr>
          <w:rFonts w:eastAsia="Times New Roman" w:cs="Times New Roman"/>
          <w:b/>
          <w:bCs/>
          <w:rtl/>
          <w:lang w:eastAsia="de-DE"/>
        </w:rPr>
        <w:t>תורות</w:t>
      </w:r>
      <w:r w:rsidRPr="00B2490C">
        <w:rPr>
          <w:rFonts w:eastAsia="Times New Roman" w:cs="Times New Roman"/>
          <w:lang w:eastAsia="de-DE"/>
        </w:rPr>
        <w:t>.</w:t>
      </w:r>
    </w:p>
    <w:p w14:paraId="7F974DE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führt die </w:t>
      </w:r>
      <w:r w:rsidRPr="00B2490C">
        <w:rPr>
          <w:rFonts w:eastAsia="Times New Roman" w:cs="Times New Roman"/>
          <w:b/>
          <w:bCs/>
          <w:rtl/>
          <w:lang w:eastAsia="de-DE"/>
        </w:rPr>
        <w:t>תורת המנחה</w:t>
      </w:r>
      <w:r w:rsidRPr="00B2490C">
        <w:rPr>
          <w:rFonts w:eastAsia="Times New Roman" w:cs="Times New Roman"/>
          <w:rtl/>
          <w:lang w:eastAsia="de-DE"/>
        </w:rPr>
        <w:t xml:space="preserve"> </w:t>
      </w:r>
      <w:r w:rsidRPr="00B2490C">
        <w:rPr>
          <w:rFonts w:eastAsia="Times New Roman" w:cs="Times New Roman"/>
          <w:lang w:eastAsia="de-DE"/>
        </w:rPr>
        <w:t>ein und betont die ausschließlich priesterliche Darbringung.</w:t>
      </w:r>
    </w:p>
    <w:p w14:paraId="6A94AD39"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6,8</w:t>
      </w:r>
    </w:p>
    <w:p w14:paraId="64C64BE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וְהֵרִ֨ים מִמֶּ֜נּוּ בְּקֻמְצֹ֗ו מִסֹּ֤לֶת הַמִּנְחָה֙ וּמִשַּׁמְנָ֔הּ וְאֵת֙ כָּל־הַלְּבֹנָ֔ה אֲשֶׁ֖ר עַל־הַמִּנְחָ֑ה וְהִקְטִ֣יר הַמִּזְבֵּ֗חַ רֵ֧יחַ נִיחֹ֛חַ אַזְכָּרָתָ֖הּ לַיהוָֽה׃</w:t>
      </w:r>
    </w:p>
    <w:p w14:paraId="265BDCB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er soll davon seine Hand voll nehmen, vom Feinmehl des Speiseopfers und von dessen Öl, und allen Weihrauch, der auf dem Speiseopfer ist, und es auf dem Altar räuchern: Es ist ein lieblicher Geruch, sein Gedächtnisteil für den Ewigen.</w:t>
      </w:r>
    </w:p>
    <w:p w14:paraId="2D2EA6CE"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7E925DD4">
          <v:rect id="_x0000_i1143" style="width:0;height:1.5pt" o:hralign="center" o:hrstd="t" o:hr="t" fillcolor="#a0a0a0" stroked="f"/>
        </w:pict>
      </w:r>
    </w:p>
    <w:p w14:paraId="71C1F64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וְהֵרִ֨ים מִמֶּ֜נּוּ בְּקֻמְצֹ֗ו מִסֹּ֤לֶת הַמִּנְחָה֙ וּמִשַּׁמְנָ֔הּ</w:t>
      </w:r>
      <w:r w:rsidRPr="00B2490C">
        <w:rPr>
          <w:rFonts w:eastAsia="Times New Roman" w:cs="Times New Roman"/>
          <w:rtl/>
          <w:lang w:eastAsia="de-DE"/>
        </w:rPr>
        <w:t xml:space="preserve"> </w:t>
      </w:r>
      <w:r w:rsidRPr="00B2490C">
        <w:rPr>
          <w:rFonts w:eastAsia="Times New Roman" w:cs="Times New Roman"/>
          <w:lang w:eastAsia="de-DE"/>
        </w:rPr>
        <w:t xml:space="preserve">(und er soll davon mit seiner Faust nehmen vom Feinmehl des Speiseopfers und von seinem Öl) beschreibt die </w:t>
      </w:r>
      <w:r w:rsidRPr="00B2490C">
        <w:rPr>
          <w:rFonts w:eastAsia="Times New Roman" w:cs="Times New Roman"/>
          <w:b/>
          <w:bCs/>
          <w:rtl/>
          <w:lang w:eastAsia="de-DE"/>
        </w:rPr>
        <w:t>קמיצה</w:t>
      </w:r>
      <w:r w:rsidRPr="00B2490C">
        <w:rPr>
          <w:rFonts w:eastAsia="Times New Roman" w:cs="Times New Roman"/>
          <w:rtl/>
          <w:lang w:eastAsia="de-DE"/>
        </w:rPr>
        <w:t xml:space="preserve"> </w:t>
      </w:r>
      <w:r w:rsidRPr="00B2490C">
        <w:rPr>
          <w:rFonts w:eastAsia="Times New Roman" w:cs="Times New Roman"/>
          <w:lang w:eastAsia="de-DE"/>
        </w:rPr>
        <w:t xml:space="preserve">(Handvoll-Abnahme). </w:t>
      </w:r>
      <w:r w:rsidRPr="00B2490C">
        <w:rPr>
          <w:rFonts w:eastAsia="Times New Roman" w:cs="Times New Roman"/>
          <w:b/>
          <w:bCs/>
          <w:rtl/>
          <w:lang w:eastAsia="de-DE"/>
        </w:rPr>
        <w:t>והרים ממנו בקמצו</w:t>
      </w:r>
      <w:r w:rsidRPr="00B2490C">
        <w:rPr>
          <w:rFonts w:eastAsia="Times New Roman" w:cs="Times New Roman"/>
          <w:rtl/>
          <w:lang w:eastAsia="de-DE"/>
        </w:rPr>
        <w:t xml:space="preserve"> </w:t>
      </w:r>
      <w:r w:rsidRPr="00B2490C">
        <w:rPr>
          <w:rFonts w:eastAsia="Times New Roman" w:cs="Times New Roman"/>
          <w:lang w:eastAsia="de-DE"/>
        </w:rPr>
        <w:t xml:space="preserve">(und er soll davon mit seiner Faust abheben) entspricht 2,2, </w:t>
      </w:r>
      <w:r w:rsidRPr="00B2490C">
        <w:rPr>
          <w:rFonts w:eastAsia="Times New Roman" w:cs="Times New Roman"/>
          <w:b/>
          <w:bCs/>
          <w:rtl/>
          <w:lang w:eastAsia="de-DE"/>
        </w:rPr>
        <w:t>מסלת המנחה ומשמנה</w:t>
      </w:r>
      <w:r w:rsidRPr="00B2490C">
        <w:rPr>
          <w:rFonts w:eastAsia="Times New Roman" w:cs="Times New Roman"/>
          <w:rtl/>
          <w:lang w:eastAsia="de-DE"/>
        </w:rPr>
        <w:t xml:space="preserve"> </w:t>
      </w:r>
      <w:r w:rsidRPr="00B2490C">
        <w:rPr>
          <w:rFonts w:eastAsia="Times New Roman" w:cs="Times New Roman"/>
          <w:lang w:eastAsia="de-DE"/>
        </w:rPr>
        <w:t>(vom Feinmehl des Speiseopfers und von seinem Öl).</w:t>
      </w:r>
    </w:p>
    <w:p w14:paraId="391168D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וְאֵת֙ כָּל־הַלְּבֹנָ֔ה אֲשֶׁ֖ר עַל־הַמִּנְחָ֑ה</w:t>
      </w:r>
      <w:r w:rsidRPr="00B2490C">
        <w:rPr>
          <w:rFonts w:eastAsia="Times New Roman" w:cs="Times New Roman"/>
          <w:rtl/>
          <w:lang w:eastAsia="de-DE"/>
        </w:rPr>
        <w:t xml:space="preserve"> </w:t>
      </w:r>
      <w:r w:rsidRPr="00B2490C">
        <w:rPr>
          <w:rFonts w:eastAsia="Times New Roman" w:cs="Times New Roman"/>
          <w:lang w:eastAsia="de-DE"/>
        </w:rPr>
        <w:t xml:space="preserve">(und allen Weihrauch, der auf dem Speiseopfer ist) spezifiziert die Weihrauchbehandlung. </w:t>
      </w:r>
      <w:r w:rsidRPr="00B2490C">
        <w:rPr>
          <w:rFonts w:eastAsia="Times New Roman" w:cs="Times New Roman"/>
          <w:b/>
          <w:bCs/>
          <w:rtl/>
          <w:lang w:eastAsia="de-DE"/>
        </w:rPr>
        <w:t>ואת כל־הלבנה</w:t>
      </w:r>
      <w:r w:rsidRPr="00B2490C">
        <w:rPr>
          <w:rFonts w:eastAsia="Times New Roman" w:cs="Times New Roman"/>
          <w:rtl/>
          <w:lang w:eastAsia="de-DE"/>
        </w:rPr>
        <w:t xml:space="preserve"> </w:t>
      </w:r>
      <w:r w:rsidRPr="00B2490C">
        <w:rPr>
          <w:rFonts w:eastAsia="Times New Roman" w:cs="Times New Roman"/>
          <w:lang w:eastAsia="de-DE"/>
        </w:rPr>
        <w:t xml:space="preserve">(und allen Weihrauch), </w:t>
      </w:r>
      <w:r w:rsidRPr="00B2490C">
        <w:rPr>
          <w:rFonts w:eastAsia="Times New Roman" w:cs="Times New Roman"/>
          <w:b/>
          <w:bCs/>
          <w:rtl/>
          <w:lang w:eastAsia="de-DE"/>
        </w:rPr>
        <w:t>אשר על־המנחה</w:t>
      </w:r>
      <w:r w:rsidRPr="00B2490C">
        <w:rPr>
          <w:rFonts w:eastAsia="Times New Roman" w:cs="Times New Roman"/>
          <w:rtl/>
          <w:lang w:eastAsia="de-DE"/>
        </w:rPr>
        <w:t xml:space="preserve"> </w:t>
      </w:r>
      <w:r w:rsidRPr="00B2490C">
        <w:rPr>
          <w:rFonts w:eastAsia="Times New Roman" w:cs="Times New Roman"/>
          <w:lang w:eastAsia="de-DE"/>
        </w:rPr>
        <w:t>(der auf dem Speiseopfer ist).</w:t>
      </w:r>
    </w:p>
    <w:p w14:paraId="6BEFEDB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וְהִקְטִ֣יר הַמִּזְבֵּ֗חַ רֵ֧יחַ נִיחֹ֛חַ אַזְכָּרָתָ֖הּ לַיהוָֽה</w:t>
      </w:r>
      <w:r w:rsidRPr="00B2490C">
        <w:rPr>
          <w:rFonts w:eastAsia="Times New Roman" w:cs="Times New Roman"/>
          <w:rtl/>
          <w:lang w:eastAsia="de-DE"/>
        </w:rPr>
        <w:t xml:space="preserve"> </w:t>
      </w:r>
      <w:r w:rsidRPr="00B2490C">
        <w:rPr>
          <w:rFonts w:eastAsia="Times New Roman" w:cs="Times New Roman"/>
          <w:lang w:eastAsia="de-DE"/>
        </w:rPr>
        <w:t xml:space="preserve">(und er soll auf dem Altar räuchern als lieblichen Geruch, ihr Gedächtnisteil für JHWH) zeigt die Verbrennung der </w:t>
      </w:r>
      <w:r w:rsidRPr="00B2490C">
        <w:rPr>
          <w:rFonts w:eastAsia="Times New Roman" w:cs="Times New Roman"/>
          <w:b/>
          <w:bCs/>
          <w:rtl/>
          <w:lang w:eastAsia="de-DE"/>
        </w:rPr>
        <w:t>אזכרה</w:t>
      </w:r>
      <w:r w:rsidRPr="00B2490C">
        <w:rPr>
          <w:rFonts w:eastAsia="Times New Roman" w:cs="Times New Roman"/>
          <w:lang w:eastAsia="de-DE"/>
        </w:rPr>
        <w:t xml:space="preserve">. </w:t>
      </w:r>
      <w:r w:rsidRPr="00B2490C">
        <w:rPr>
          <w:rFonts w:eastAsia="Times New Roman" w:cs="Times New Roman"/>
          <w:b/>
          <w:bCs/>
          <w:rtl/>
          <w:lang w:eastAsia="de-DE"/>
        </w:rPr>
        <w:t>והקטיר המזבחה</w:t>
      </w:r>
      <w:r w:rsidRPr="00B2490C">
        <w:rPr>
          <w:rFonts w:eastAsia="Times New Roman" w:cs="Times New Roman"/>
          <w:rtl/>
          <w:lang w:eastAsia="de-DE"/>
        </w:rPr>
        <w:t xml:space="preserve"> </w:t>
      </w:r>
      <w:r w:rsidRPr="00B2490C">
        <w:rPr>
          <w:rFonts w:eastAsia="Times New Roman" w:cs="Times New Roman"/>
          <w:lang w:eastAsia="de-DE"/>
        </w:rPr>
        <w:t xml:space="preserve">(und er soll auf </w:t>
      </w:r>
      <w:r w:rsidRPr="00B2490C">
        <w:rPr>
          <w:rFonts w:eastAsia="Times New Roman" w:cs="Times New Roman"/>
          <w:lang w:eastAsia="de-DE"/>
        </w:rPr>
        <w:lastRenderedPageBreak/>
        <w:t xml:space="preserve">dem Altar räuchern), </w:t>
      </w:r>
      <w:r w:rsidRPr="00B2490C">
        <w:rPr>
          <w:rFonts w:eastAsia="Times New Roman" w:cs="Times New Roman"/>
          <w:b/>
          <w:bCs/>
          <w:rtl/>
          <w:lang w:eastAsia="de-DE"/>
        </w:rPr>
        <w:t>ריח ניחח</w:t>
      </w:r>
      <w:r w:rsidRPr="00B2490C">
        <w:rPr>
          <w:rFonts w:eastAsia="Times New Roman" w:cs="Times New Roman"/>
          <w:rtl/>
          <w:lang w:eastAsia="de-DE"/>
        </w:rPr>
        <w:t xml:space="preserve"> </w:t>
      </w:r>
      <w:r w:rsidRPr="00B2490C">
        <w:rPr>
          <w:rFonts w:eastAsia="Times New Roman" w:cs="Times New Roman"/>
          <w:lang w:eastAsia="de-DE"/>
        </w:rPr>
        <w:t xml:space="preserve">(lieblicher Geruch), </w:t>
      </w:r>
      <w:r w:rsidRPr="00B2490C">
        <w:rPr>
          <w:rFonts w:eastAsia="Times New Roman" w:cs="Times New Roman"/>
          <w:b/>
          <w:bCs/>
          <w:rtl/>
          <w:lang w:eastAsia="de-DE"/>
        </w:rPr>
        <w:t>אזכרתה ליהוה</w:t>
      </w:r>
      <w:r w:rsidRPr="00B2490C">
        <w:rPr>
          <w:rFonts w:eastAsia="Times New Roman" w:cs="Times New Roman"/>
          <w:rtl/>
          <w:lang w:eastAsia="de-DE"/>
        </w:rPr>
        <w:t xml:space="preserve"> </w:t>
      </w:r>
      <w:r w:rsidRPr="00B2490C">
        <w:rPr>
          <w:rFonts w:eastAsia="Times New Roman" w:cs="Times New Roman"/>
          <w:lang w:eastAsia="de-DE"/>
        </w:rPr>
        <w:t>(ihr Gedächtnisteil für JHWH).</w:t>
      </w:r>
    </w:p>
    <w:p w14:paraId="6E7FC87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בקמצו</w:t>
      </w:r>
      <w:r w:rsidRPr="00B2490C">
        <w:rPr>
          <w:rFonts w:eastAsia="Times New Roman" w:cs="Times New Roman"/>
          <w:rtl/>
          <w:lang w:eastAsia="de-DE"/>
        </w:rPr>
        <w:t xml:space="preserve"> </w:t>
      </w:r>
      <w:r w:rsidRPr="00B2490C">
        <w:rPr>
          <w:rFonts w:eastAsia="Times New Roman" w:cs="Times New Roman"/>
          <w:lang w:eastAsia="de-DE"/>
        </w:rPr>
        <w:t xml:space="preserve">(mit seiner Faust) entspricht exakt der </w:t>
      </w:r>
      <w:r w:rsidRPr="00B2490C">
        <w:rPr>
          <w:rFonts w:eastAsia="Times New Roman" w:cs="Times New Roman"/>
          <w:b/>
          <w:bCs/>
          <w:rtl/>
          <w:lang w:eastAsia="de-DE"/>
        </w:rPr>
        <w:t>מנחה</w:t>
      </w:r>
      <w:r w:rsidRPr="00B2490C">
        <w:rPr>
          <w:rFonts w:eastAsia="Times New Roman" w:cs="Times New Roman"/>
          <w:lang w:eastAsia="de-DE"/>
        </w:rPr>
        <w:t xml:space="preserve">-Prozedur von 2,2. </w:t>
      </w:r>
      <w:r w:rsidRPr="00B2490C">
        <w:rPr>
          <w:rFonts w:eastAsia="Times New Roman" w:cs="Times New Roman"/>
          <w:b/>
          <w:bCs/>
          <w:rtl/>
          <w:lang w:eastAsia="de-DE"/>
        </w:rPr>
        <w:t>כל־הלבנה</w:t>
      </w:r>
      <w:r w:rsidRPr="00B2490C">
        <w:rPr>
          <w:rFonts w:eastAsia="Times New Roman" w:cs="Times New Roman"/>
          <w:rtl/>
          <w:lang w:eastAsia="de-DE"/>
        </w:rPr>
        <w:t xml:space="preserve"> </w:t>
      </w:r>
      <w:r w:rsidRPr="00B2490C">
        <w:rPr>
          <w:rFonts w:eastAsia="Times New Roman" w:cs="Times New Roman"/>
          <w:lang w:eastAsia="de-DE"/>
        </w:rPr>
        <w:t xml:space="preserve">(aller Weihrauch) zeigt, dass der gesamte Weihrauch zur </w:t>
      </w:r>
      <w:r w:rsidRPr="00B2490C">
        <w:rPr>
          <w:rFonts w:eastAsia="Times New Roman" w:cs="Times New Roman"/>
          <w:b/>
          <w:bCs/>
          <w:rtl/>
          <w:lang w:eastAsia="de-DE"/>
        </w:rPr>
        <w:t>אזכרה</w:t>
      </w:r>
      <w:r w:rsidRPr="00B2490C">
        <w:rPr>
          <w:rFonts w:eastAsia="Times New Roman" w:cs="Times New Roman"/>
          <w:rtl/>
          <w:lang w:eastAsia="de-DE"/>
        </w:rPr>
        <w:t xml:space="preserve"> </w:t>
      </w:r>
      <w:r w:rsidRPr="00B2490C">
        <w:rPr>
          <w:rFonts w:eastAsia="Times New Roman" w:cs="Times New Roman"/>
          <w:lang w:eastAsia="de-DE"/>
        </w:rPr>
        <w:t>gehört, im Unterschied zum Mehl, von dem nur eine Handvoll genommen wird.</w:t>
      </w:r>
    </w:p>
    <w:p w14:paraId="3739892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ריח ניחח אזכרתה ליהוה</w:t>
      </w:r>
      <w:r w:rsidRPr="00B2490C">
        <w:rPr>
          <w:rFonts w:eastAsia="Times New Roman" w:cs="Times New Roman"/>
          <w:rtl/>
          <w:lang w:eastAsia="de-DE"/>
        </w:rPr>
        <w:t xml:space="preserve"> </w:t>
      </w:r>
      <w:r w:rsidRPr="00B2490C">
        <w:rPr>
          <w:rFonts w:eastAsia="Times New Roman" w:cs="Times New Roman"/>
          <w:lang w:eastAsia="de-DE"/>
        </w:rPr>
        <w:t xml:space="preserve">klassifiziert die </w:t>
      </w:r>
      <w:r w:rsidRPr="00B2490C">
        <w:rPr>
          <w:rFonts w:eastAsia="Times New Roman" w:cs="Times New Roman"/>
          <w:b/>
          <w:bCs/>
          <w:rtl/>
          <w:lang w:eastAsia="de-DE"/>
        </w:rPr>
        <w:t>אזכרה</w:t>
      </w:r>
      <w:r w:rsidRPr="00B2490C">
        <w:rPr>
          <w:rFonts w:eastAsia="Times New Roman" w:cs="Times New Roman"/>
          <w:rtl/>
          <w:lang w:eastAsia="de-DE"/>
        </w:rPr>
        <w:t xml:space="preserve"> </w:t>
      </w:r>
      <w:r w:rsidRPr="00B2490C">
        <w:rPr>
          <w:rFonts w:eastAsia="Times New Roman" w:cs="Times New Roman"/>
          <w:lang w:eastAsia="de-DE"/>
        </w:rPr>
        <w:t xml:space="preserve">als </w:t>
      </w:r>
      <w:r w:rsidRPr="00B2490C">
        <w:rPr>
          <w:rFonts w:eastAsia="Times New Roman" w:cs="Times New Roman"/>
          <w:b/>
          <w:bCs/>
          <w:rtl/>
          <w:lang w:eastAsia="de-DE"/>
        </w:rPr>
        <w:t>ריח ניחח</w:t>
      </w:r>
      <w:r w:rsidRPr="00B2490C">
        <w:rPr>
          <w:rFonts w:eastAsia="Times New Roman" w:cs="Times New Roman"/>
          <w:rtl/>
          <w:lang w:eastAsia="de-DE"/>
        </w:rPr>
        <w:t xml:space="preserve"> </w:t>
      </w:r>
      <w:r w:rsidRPr="00B2490C">
        <w:rPr>
          <w:rFonts w:eastAsia="Times New Roman" w:cs="Times New Roman"/>
          <w:lang w:eastAsia="de-DE"/>
        </w:rPr>
        <w:t xml:space="preserve">(lieblichen Geruch) für Gott. </w:t>
      </w:r>
      <w:r w:rsidRPr="00B2490C">
        <w:rPr>
          <w:rFonts w:eastAsia="Times New Roman" w:cs="Times New Roman"/>
          <w:b/>
          <w:bCs/>
          <w:rtl/>
          <w:lang w:eastAsia="de-DE"/>
        </w:rPr>
        <w:t>אזכרתה</w:t>
      </w:r>
      <w:r w:rsidRPr="00B2490C">
        <w:rPr>
          <w:rFonts w:eastAsia="Times New Roman" w:cs="Times New Roman"/>
          <w:rtl/>
          <w:lang w:eastAsia="de-DE"/>
        </w:rPr>
        <w:t xml:space="preserve"> </w:t>
      </w:r>
      <w:r w:rsidRPr="00B2490C">
        <w:rPr>
          <w:rFonts w:eastAsia="Times New Roman" w:cs="Times New Roman"/>
          <w:lang w:eastAsia="de-DE"/>
        </w:rPr>
        <w:t>(ihr Gedächtnisteil) ist der Teil, der Gott "erinnert" und stellvertretend für das ganze Opfer steht.</w:t>
      </w:r>
    </w:p>
    <w:p w14:paraId="355002AD" w14:textId="0DD73F09"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fügt </w:t>
      </w:r>
      <w:proofErr w:type="spellStart"/>
      <w:r w:rsidR="00577FFB">
        <w:t>κάρ</w:t>
      </w:r>
      <w:proofErr w:type="spellEnd"/>
      <w:r w:rsidR="00577FFB">
        <w:t xml:space="preserve">πωμα (Fruchtopfer) für </w:t>
      </w:r>
      <w:r w:rsidR="00577FFB">
        <w:rPr>
          <w:rtl/>
        </w:rPr>
        <w:t>אזכרתה</w:t>
      </w:r>
      <w:r w:rsidR="00577FFB">
        <w:t xml:space="preserve"> hinzu, während das hebräische </w:t>
      </w:r>
      <w:r w:rsidR="00577FFB">
        <w:rPr>
          <w:rtl/>
        </w:rPr>
        <w:t>ריח ניחח</w:t>
      </w:r>
      <w:r w:rsidR="00577FFB">
        <w:t xml:space="preserve"> als </w:t>
      </w:r>
      <w:proofErr w:type="spellStart"/>
      <w:r w:rsidR="00577FFB">
        <w:t>ὀσμὴν</w:t>
      </w:r>
      <w:proofErr w:type="spellEnd"/>
      <w:r w:rsidR="00577FFB">
        <w:t xml:space="preserve"> </w:t>
      </w:r>
      <w:proofErr w:type="spellStart"/>
      <w:r w:rsidR="00577FFB">
        <w:t>εὐωδί</w:t>
      </w:r>
      <w:proofErr w:type="spellEnd"/>
      <w:r w:rsidR="00577FFB">
        <w:t>ας wiedergegeben wird.</w:t>
      </w:r>
    </w:p>
    <w:p w14:paraId="5983685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die </w:t>
      </w:r>
      <w:r w:rsidRPr="00B2490C">
        <w:rPr>
          <w:rFonts w:eastAsia="Times New Roman" w:cs="Times New Roman"/>
          <w:b/>
          <w:bCs/>
          <w:rtl/>
          <w:lang w:eastAsia="de-DE"/>
        </w:rPr>
        <w:t>קמיצה</w:t>
      </w:r>
      <w:r w:rsidRPr="00B2490C">
        <w:rPr>
          <w:rFonts w:eastAsia="Times New Roman" w:cs="Times New Roman"/>
          <w:lang w:eastAsia="de-DE"/>
        </w:rPr>
        <w:t>-Prozedur: Verb + Präpositionalphrase + Instrumentalangabe + zwei Quellangaben + Erweiterung + Verb + Ortsangabe + Klassifikation + Zweckangabe. Die Struktur entspricht exakt 2,2.</w:t>
      </w:r>
    </w:p>
    <w:p w14:paraId="21467BA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beschreibt die identische </w:t>
      </w:r>
      <w:r w:rsidRPr="00B2490C">
        <w:rPr>
          <w:rFonts w:eastAsia="Times New Roman" w:cs="Times New Roman"/>
          <w:b/>
          <w:bCs/>
          <w:rtl/>
          <w:lang w:eastAsia="de-DE"/>
        </w:rPr>
        <w:t>קמיצה</w:t>
      </w:r>
      <w:r w:rsidRPr="00B2490C">
        <w:rPr>
          <w:rFonts w:eastAsia="Times New Roman" w:cs="Times New Roman"/>
          <w:lang w:eastAsia="de-DE"/>
        </w:rPr>
        <w:t xml:space="preserve">-Prozedur für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wie in Kapitel 2: Handvoll Mehl und Öl plus aller Weihrauch als </w:t>
      </w:r>
      <w:r w:rsidRPr="00B2490C">
        <w:rPr>
          <w:rFonts w:eastAsia="Times New Roman" w:cs="Times New Roman"/>
          <w:b/>
          <w:bCs/>
          <w:rtl/>
          <w:lang w:eastAsia="de-DE"/>
        </w:rPr>
        <w:t>אזכרה</w:t>
      </w:r>
      <w:r w:rsidRPr="00B2490C">
        <w:rPr>
          <w:rFonts w:eastAsia="Times New Roman" w:cs="Times New Roman"/>
          <w:lang w:eastAsia="de-DE"/>
        </w:rPr>
        <w:t>.</w:t>
      </w:r>
    </w:p>
    <w:p w14:paraId="28021899"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6,9</w:t>
      </w:r>
    </w:p>
    <w:p w14:paraId="73766D2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וְהַנּוֹתֶ֣רֶת מִמֶּ֔נָּה יֹאכְל֖וּ אַהֲרֹ֣ן וּבָנָ֑יו מַצּ֤וֹת תֵּֽאָכֵל֙ בְּמָק֣וֹם קָדֹ֔שׁ בַּחֲצַ֥ר אֹֽהֶל־מוֹעֵ֖ד יֹאכְלֽוּהָ׃</w:t>
      </w:r>
    </w:p>
    <w:p w14:paraId="2145C37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das Übrige davon sollen Aaron und seine Söhne essen; ungesäuert soll es gegessen werden an heiligem Ort; im Vorhof des Zeltes der Begegnung sollen sie es essen.</w:t>
      </w:r>
    </w:p>
    <w:p w14:paraId="0C686781"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50268992">
          <v:rect id="_x0000_i1144" style="width:0;height:1.5pt" o:hralign="center" o:hrstd="t" o:hr="t" fillcolor="#a0a0a0" stroked="f"/>
        </w:pict>
      </w:r>
    </w:p>
    <w:p w14:paraId="1C5766F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וְהַנּוֹתֶ֣רֶת מִמֶּ֔נָּה יֹאכְל֖וּ אַהֲרֹ֣ן וּבָנָ֑יו</w:t>
      </w:r>
      <w:r w:rsidRPr="00B2490C">
        <w:rPr>
          <w:rFonts w:eastAsia="Times New Roman" w:cs="Times New Roman"/>
          <w:rtl/>
          <w:lang w:eastAsia="de-DE"/>
        </w:rPr>
        <w:t xml:space="preserve"> </w:t>
      </w:r>
      <w:r w:rsidRPr="00B2490C">
        <w:rPr>
          <w:rFonts w:eastAsia="Times New Roman" w:cs="Times New Roman"/>
          <w:lang w:eastAsia="de-DE"/>
        </w:rPr>
        <w:t xml:space="preserve">(und das Übrige davon sollen Aaron und seine Söhne essen) regelt die priesterliche Verwendung des Rests. </w:t>
      </w:r>
      <w:r w:rsidRPr="00B2490C">
        <w:rPr>
          <w:rFonts w:eastAsia="Times New Roman" w:cs="Times New Roman"/>
          <w:b/>
          <w:bCs/>
          <w:rtl/>
          <w:lang w:eastAsia="de-DE"/>
        </w:rPr>
        <w:t>והנותרת ממנה</w:t>
      </w:r>
      <w:r w:rsidRPr="00B2490C">
        <w:rPr>
          <w:rFonts w:eastAsia="Times New Roman" w:cs="Times New Roman"/>
          <w:rtl/>
          <w:lang w:eastAsia="de-DE"/>
        </w:rPr>
        <w:t xml:space="preserve"> </w:t>
      </w:r>
      <w:r w:rsidRPr="00B2490C">
        <w:rPr>
          <w:rFonts w:eastAsia="Times New Roman" w:cs="Times New Roman"/>
          <w:lang w:eastAsia="de-DE"/>
        </w:rPr>
        <w:t xml:space="preserve">(und das Übrige davon) von </w:t>
      </w:r>
      <w:r w:rsidRPr="00B2490C">
        <w:rPr>
          <w:rFonts w:eastAsia="Times New Roman" w:cs="Times New Roman"/>
          <w:b/>
          <w:bCs/>
          <w:rtl/>
          <w:lang w:eastAsia="de-DE"/>
        </w:rPr>
        <w:t>יתר</w:t>
      </w:r>
      <w:r w:rsidRPr="00B2490C">
        <w:rPr>
          <w:rFonts w:eastAsia="Times New Roman" w:cs="Times New Roman"/>
          <w:rtl/>
          <w:lang w:eastAsia="de-DE"/>
        </w:rPr>
        <w:t xml:space="preserve"> </w:t>
      </w:r>
      <w:r w:rsidRPr="00B2490C">
        <w:rPr>
          <w:rFonts w:eastAsia="Times New Roman" w:cs="Times New Roman"/>
          <w:lang w:eastAsia="de-DE"/>
        </w:rPr>
        <w:t xml:space="preserve">(übrig bleiben) im Nifal-Partizip, </w:t>
      </w:r>
      <w:r w:rsidRPr="00B2490C">
        <w:rPr>
          <w:rFonts w:eastAsia="Times New Roman" w:cs="Times New Roman"/>
          <w:b/>
          <w:bCs/>
          <w:rtl/>
          <w:lang w:eastAsia="de-DE"/>
        </w:rPr>
        <w:t>יאכלו אהרן ובניו</w:t>
      </w:r>
      <w:r w:rsidRPr="00B2490C">
        <w:rPr>
          <w:rFonts w:eastAsia="Times New Roman" w:cs="Times New Roman"/>
          <w:rtl/>
          <w:lang w:eastAsia="de-DE"/>
        </w:rPr>
        <w:t xml:space="preserve"> </w:t>
      </w:r>
      <w:r w:rsidRPr="00B2490C">
        <w:rPr>
          <w:rFonts w:eastAsia="Times New Roman" w:cs="Times New Roman"/>
          <w:lang w:eastAsia="de-DE"/>
        </w:rPr>
        <w:t>(sollen Aaron und seine Söhne essen).</w:t>
      </w:r>
    </w:p>
    <w:p w14:paraId="6016579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מַצּ֤וֹת תֵּֽאָכֵל֙ בְּמָק֣וֹם קָדֹ֔שׁ</w:t>
      </w:r>
      <w:r w:rsidRPr="00B2490C">
        <w:rPr>
          <w:rFonts w:eastAsia="Times New Roman" w:cs="Times New Roman"/>
          <w:rtl/>
          <w:lang w:eastAsia="de-DE"/>
        </w:rPr>
        <w:t xml:space="preserve"> </w:t>
      </w:r>
      <w:r w:rsidRPr="00B2490C">
        <w:rPr>
          <w:rFonts w:eastAsia="Times New Roman" w:cs="Times New Roman"/>
          <w:lang w:eastAsia="de-DE"/>
        </w:rPr>
        <w:t xml:space="preserve">(ungesäuert soll es gegessen werden an heiligem Ort) spezifiziert die Verzehrbestimmungen. </w:t>
      </w:r>
      <w:r w:rsidRPr="00B2490C">
        <w:rPr>
          <w:rFonts w:eastAsia="Times New Roman" w:cs="Times New Roman"/>
          <w:b/>
          <w:bCs/>
          <w:rtl/>
          <w:lang w:eastAsia="de-DE"/>
        </w:rPr>
        <w:t>מצות תאכל</w:t>
      </w:r>
      <w:r w:rsidRPr="00B2490C">
        <w:rPr>
          <w:rFonts w:eastAsia="Times New Roman" w:cs="Times New Roman"/>
          <w:rtl/>
          <w:lang w:eastAsia="de-DE"/>
        </w:rPr>
        <w:t xml:space="preserve"> </w:t>
      </w:r>
      <w:r w:rsidRPr="00B2490C">
        <w:rPr>
          <w:rFonts w:eastAsia="Times New Roman" w:cs="Times New Roman"/>
          <w:lang w:eastAsia="de-DE"/>
        </w:rPr>
        <w:t xml:space="preserve">(ungesäuert soll es gegessen werden), </w:t>
      </w:r>
      <w:r w:rsidRPr="00B2490C">
        <w:rPr>
          <w:rFonts w:eastAsia="Times New Roman" w:cs="Times New Roman"/>
          <w:b/>
          <w:bCs/>
          <w:rtl/>
          <w:lang w:eastAsia="de-DE"/>
        </w:rPr>
        <w:t>במקום קדוש</w:t>
      </w:r>
      <w:r w:rsidRPr="00B2490C">
        <w:rPr>
          <w:rFonts w:eastAsia="Times New Roman" w:cs="Times New Roman"/>
          <w:rtl/>
          <w:lang w:eastAsia="de-DE"/>
        </w:rPr>
        <w:t xml:space="preserve"> </w:t>
      </w:r>
      <w:r w:rsidRPr="00B2490C">
        <w:rPr>
          <w:rFonts w:eastAsia="Times New Roman" w:cs="Times New Roman"/>
          <w:lang w:eastAsia="de-DE"/>
        </w:rPr>
        <w:t>(an heiligem Ort).</w:t>
      </w:r>
    </w:p>
    <w:p w14:paraId="542C1739" w14:textId="295B73E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בַּחֲצַ֥ר אֹֽהֶל־מוֹעֵ֖ד יֹאכְלֽוּהָ</w:t>
      </w:r>
      <w:r w:rsidRPr="00B2490C">
        <w:rPr>
          <w:rFonts w:eastAsia="Times New Roman" w:cs="Times New Roman"/>
          <w:rtl/>
          <w:lang w:eastAsia="de-DE"/>
        </w:rPr>
        <w:t xml:space="preserve"> </w:t>
      </w:r>
      <w:r w:rsidRPr="00B2490C">
        <w:rPr>
          <w:rFonts w:eastAsia="Times New Roman" w:cs="Times New Roman"/>
          <w:lang w:eastAsia="de-DE"/>
        </w:rPr>
        <w:t xml:space="preserve">(im Vorhof des Zeltes der Begegnung sollen sie es essen) spezifiziert den heiligen Ort. </w:t>
      </w:r>
      <w:r w:rsidRPr="00B2490C">
        <w:rPr>
          <w:rFonts w:eastAsia="Times New Roman" w:cs="Times New Roman"/>
          <w:b/>
          <w:bCs/>
          <w:rtl/>
          <w:lang w:eastAsia="de-DE"/>
        </w:rPr>
        <w:t>בחצר אהל־מועד</w:t>
      </w:r>
      <w:r w:rsidRPr="00B2490C">
        <w:rPr>
          <w:rFonts w:eastAsia="Times New Roman" w:cs="Times New Roman"/>
          <w:rtl/>
          <w:lang w:eastAsia="de-DE"/>
        </w:rPr>
        <w:t xml:space="preserve"> </w:t>
      </w:r>
      <w:r w:rsidRPr="00B2490C">
        <w:rPr>
          <w:rFonts w:eastAsia="Times New Roman" w:cs="Times New Roman"/>
          <w:lang w:eastAsia="de-DE"/>
        </w:rPr>
        <w:t xml:space="preserve">(im Vorhof des Zeltes der Begegnung), </w:t>
      </w:r>
      <w:r w:rsidRPr="00B2490C">
        <w:rPr>
          <w:rFonts w:eastAsia="Times New Roman" w:cs="Times New Roman"/>
          <w:b/>
          <w:bCs/>
          <w:rtl/>
          <w:lang w:eastAsia="de-DE"/>
        </w:rPr>
        <w:t>יאכלוה</w:t>
      </w:r>
      <w:r w:rsidRPr="00B2490C">
        <w:rPr>
          <w:rFonts w:eastAsia="Times New Roman" w:cs="Times New Roman"/>
          <w:rtl/>
          <w:lang w:eastAsia="de-DE"/>
        </w:rPr>
        <w:t xml:space="preserve"> </w:t>
      </w:r>
      <w:r w:rsidRPr="00B2490C">
        <w:rPr>
          <w:rFonts w:eastAsia="Times New Roman" w:cs="Times New Roman"/>
          <w:lang w:eastAsia="de-DE"/>
        </w:rPr>
        <w:t xml:space="preserve">(sollen sie es essen) mit </w:t>
      </w:r>
      <w:r w:rsidR="00E35C31">
        <w:rPr>
          <w:rFonts w:eastAsia="Times New Roman" w:cs="Times New Roman"/>
          <w:lang w:eastAsia="de-DE"/>
        </w:rPr>
        <w:t>femininem</w:t>
      </w:r>
      <w:r w:rsidRPr="00B2490C">
        <w:rPr>
          <w:rFonts w:eastAsia="Times New Roman" w:cs="Times New Roman"/>
          <w:lang w:eastAsia="de-DE"/>
        </w:rPr>
        <w:t xml:space="preserve"> Suffix bezogen auf </w:t>
      </w:r>
      <w:r w:rsidRPr="00B2490C">
        <w:rPr>
          <w:rFonts w:eastAsia="Times New Roman" w:cs="Times New Roman"/>
          <w:b/>
          <w:bCs/>
          <w:rtl/>
          <w:lang w:eastAsia="de-DE"/>
        </w:rPr>
        <w:t>המנחה</w:t>
      </w:r>
      <w:r w:rsidRPr="00B2490C">
        <w:rPr>
          <w:rFonts w:eastAsia="Times New Roman" w:cs="Times New Roman"/>
          <w:lang w:eastAsia="de-DE"/>
        </w:rPr>
        <w:t>.</w:t>
      </w:r>
    </w:p>
    <w:p w14:paraId="3A83C2D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הנותרת ממנה</w:t>
      </w:r>
      <w:r w:rsidRPr="00B2490C">
        <w:rPr>
          <w:rFonts w:eastAsia="Times New Roman" w:cs="Times New Roman"/>
          <w:rtl/>
          <w:lang w:eastAsia="de-DE"/>
        </w:rPr>
        <w:t xml:space="preserve"> </w:t>
      </w:r>
      <w:r w:rsidRPr="00B2490C">
        <w:rPr>
          <w:rFonts w:eastAsia="Times New Roman" w:cs="Times New Roman"/>
          <w:lang w:eastAsia="de-DE"/>
        </w:rPr>
        <w:t xml:space="preserve">(das Übrige davon) ist der Rest nach Abzug der </w:t>
      </w:r>
      <w:r w:rsidRPr="00B2490C">
        <w:rPr>
          <w:rFonts w:eastAsia="Times New Roman" w:cs="Times New Roman"/>
          <w:b/>
          <w:bCs/>
          <w:rtl/>
          <w:lang w:eastAsia="de-DE"/>
        </w:rPr>
        <w:t>אזכרה</w:t>
      </w:r>
      <w:r w:rsidRPr="00B2490C">
        <w:rPr>
          <w:rFonts w:eastAsia="Times New Roman" w:cs="Times New Roman"/>
          <w:lang w:eastAsia="de-DE"/>
        </w:rPr>
        <w:t xml:space="preserve">: der größte Teil der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wird priesterliche Nahrung. </w:t>
      </w:r>
      <w:r w:rsidRPr="00B2490C">
        <w:rPr>
          <w:rFonts w:eastAsia="Times New Roman" w:cs="Times New Roman"/>
          <w:b/>
          <w:bCs/>
          <w:rtl/>
          <w:lang w:eastAsia="de-DE"/>
        </w:rPr>
        <w:t>מצות תאכל</w:t>
      </w:r>
      <w:r w:rsidRPr="00B2490C">
        <w:rPr>
          <w:rFonts w:eastAsia="Times New Roman" w:cs="Times New Roman"/>
          <w:rtl/>
          <w:lang w:eastAsia="de-DE"/>
        </w:rPr>
        <w:t xml:space="preserve"> </w:t>
      </w:r>
      <w:r w:rsidRPr="00B2490C">
        <w:rPr>
          <w:rFonts w:eastAsia="Times New Roman" w:cs="Times New Roman"/>
          <w:lang w:eastAsia="de-DE"/>
        </w:rPr>
        <w:t xml:space="preserve">(ungesäuert soll es gegessen werden) entspricht 2,11: kein </w:t>
      </w:r>
      <w:r w:rsidRPr="00B2490C">
        <w:rPr>
          <w:rFonts w:eastAsia="Times New Roman" w:cs="Times New Roman"/>
          <w:b/>
          <w:bCs/>
          <w:rtl/>
          <w:lang w:eastAsia="de-DE"/>
        </w:rPr>
        <w:t>שאור</w:t>
      </w:r>
      <w:r w:rsidRPr="00B2490C">
        <w:rPr>
          <w:rFonts w:eastAsia="Times New Roman" w:cs="Times New Roman"/>
          <w:rtl/>
          <w:lang w:eastAsia="de-DE"/>
        </w:rPr>
        <w:t xml:space="preserve"> </w:t>
      </w:r>
      <w:r w:rsidRPr="00B2490C">
        <w:rPr>
          <w:rFonts w:eastAsia="Times New Roman" w:cs="Times New Roman"/>
          <w:lang w:eastAsia="de-DE"/>
        </w:rPr>
        <w:t xml:space="preserve">(Sauerteig) in </w:t>
      </w:r>
      <w:r w:rsidRPr="00B2490C">
        <w:rPr>
          <w:rFonts w:eastAsia="Times New Roman" w:cs="Times New Roman"/>
          <w:b/>
          <w:bCs/>
          <w:rtl/>
          <w:lang w:eastAsia="de-DE"/>
        </w:rPr>
        <w:t>מנחה</w:t>
      </w:r>
      <w:r w:rsidRPr="00B2490C">
        <w:rPr>
          <w:rFonts w:eastAsia="Times New Roman" w:cs="Times New Roman"/>
          <w:lang w:eastAsia="de-DE"/>
        </w:rPr>
        <w:t>.</w:t>
      </w:r>
    </w:p>
    <w:p w14:paraId="6BD6A9D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במקום קדוש...בחצר אהל־מועד</w:t>
      </w:r>
      <w:r w:rsidRPr="00B2490C">
        <w:rPr>
          <w:rFonts w:eastAsia="Times New Roman" w:cs="Times New Roman"/>
          <w:rtl/>
          <w:lang w:eastAsia="de-DE"/>
        </w:rPr>
        <w:t xml:space="preserve"> </w:t>
      </w:r>
      <w:r w:rsidRPr="00B2490C">
        <w:rPr>
          <w:rFonts w:eastAsia="Times New Roman" w:cs="Times New Roman"/>
          <w:lang w:eastAsia="de-DE"/>
        </w:rPr>
        <w:t xml:space="preserve">spezifiziert den </w:t>
      </w:r>
      <w:r w:rsidRPr="00B2490C">
        <w:rPr>
          <w:rFonts w:eastAsia="Times New Roman" w:cs="Times New Roman"/>
          <w:b/>
          <w:bCs/>
          <w:rtl/>
          <w:lang w:eastAsia="de-DE"/>
        </w:rPr>
        <w:t>מקום קדוש</w:t>
      </w:r>
      <w:r w:rsidRPr="00B2490C">
        <w:rPr>
          <w:rFonts w:eastAsia="Times New Roman" w:cs="Times New Roman"/>
          <w:rtl/>
          <w:lang w:eastAsia="de-DE"/>
        </w:rPr>
        <w:t xml:space="preserve"> </w:t>
      </w:r>
      <w:r w:rsidRPr="00B2490C">
        <w:rPr>
          <w:rFonts w:eastAsia="Times New Roman" w:cs="Times New Roman"/>
          <w:lang w:eastAsia="de-DE"/>
        </w:rPr>
        <w:t xml:space="preserve">(heiligen Ort) als </w:t>
      </w:r>
      <w:r w:rsidRPr="00B2490C">
        <w:rPr>
          <w:rFonts w:eastAsia="Times New Roman" w:cs="Times New Roman"/>
          <w:b/>
          <w:bCs/>
          <w:rtl/>
          <w:lang w:eastAsia="de-DE"/>
        </w:rPr>
        <w:t>חצר אהל־מועד</w:t>
      </w:r>
      <w:r w:rsidRPr="00B2490C">
        <w:rPr>
          <w:rFonts w:eastAsia="Times New Roman" w:cs="Times New Roman"/>
          <w:rtl/>
          <w:lang w:eastAsia="de-DE"/>
        </w:rPr>
        <w:t xml:space="preserve"> </w:t>
      </w:r>
      <w:r w:rsidRPr="00B2490C">
        <w:rPr>
          <w:rFonts w:eastAsia="Times New Roman" w:cs="Times New Roman"/>
          <w:lang w:eastAsia="de-DE"/>
        </w:rPr>
        <w:t xml:space="preserve">(Vorhof des Zeltes der Begegnung), im Unterschied zum </w:t>
      </w:r>
      <w:r w:rsidRPr="00B2490C">
        <w:rPr>
          <w:rFonts w:eastAsia="Times New Roman" w:cs="Times New Roman"/>
          <w:b/>
          <w:bCs/>
          <w:rtl/>
          <w:lang w:eastAsia="de-DE"/>
        </w:rPr>
        <w:t>קדש הקדשים</w:t>
      </w:r>
      <w:r w:rsidRPr="00B2490C">
        <w:rPr>
          <w:rFonts w:eastAsia="Times New Roman" w:cs="Times New Roman"/>
          <w:rtl/>
          <w:lang w:eastAsia="de-DE"/>
        </w:rPr>
        <w:t xml:space="preserve"> </w:t>
      </w:r>
      <w:r w:rsidRPr="00B2490C">
        <w:rPr>
          <w:rFonts w:eastAsia="Times New Roman" w:cs="Times New Roman"/>
          <w:lang w:eastAsia="de-DE"/>
        </w:rPr>
        <w:t>(Allerheiligsten).</w:t>
      </w:r>
    </w:p>
    <w:p w14:paraId="253E80F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Die LXX</w:t>
      </w:r>
      <w:r w:rsidRPr="00B2490C">
        <w:rPr>
          <w:rFonts w:eastAsia="Times New Roman" w:cs="Times New Roman"/>
          <w:lang w:eastAsia="de-DE"/>
        </w:rPr>
        <w:t xml:space="preserve"> übersetzt </w:t>
      </w:r>
      <w:r w:rsidRPr="00B2490C">
        <w:rPr>
          <w:rFonts w:eastAsia="Times New Roman" w:cs="Times New Roman"/>
          <w:b/>
          <w:bCs/>
          <w:rtl/>
          <w:lang w:eastAsia="de-DE"/>
        </w:rPr>
        <w:t>הַנּוֹתֶ֣רֶת</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τὸ</w:t>
      </w:r>
      <w:proofErr w:type="spellEnd"/>
      <w:r w:rsidRPr="00B2490C">
        <w:rPr>
          <w:rFonts w:eastAsia="Times New Roman" w:cs="Times New Roman"/>
          <w:lang w:eastAsia="de-DE"/>
        </w:rPr>
        <w:t xml:space="preserve"> κατα</w:t>
      </w:r>
      <w:proofErr w:type="spellStart"/>
      <w:r w:rsidRPr="00B2490C">
        <w:rPr>
          <w:rFonts w:eastAsia="Times New Roman" w:cs="Times New Roman"/>
          <w:lang w:eastAsia="de-DE"/>
        </w:rPr>
        <w:t>λειφθὲν</w:t>
      </w:r>
      <w:proofErr w:type="spellEnd"/>
      <w:r w:rsidRPr="00B2490C">
        <w:rPr>
          <w:rFonts w:eastAsia="Times New Roman" w:cs="Times New Roman"/>
          <w:lang w:eastAsia="de-DE"/>
        </w:rPr>
        <w:t xml:space="preserve"> (das Übriggelassene), </w:t>
      </w:r>
      <w:r w:rsidRPr="00B2490C">
        <w:rPr>
          <w:rFonts w:eastAsia="Times New Roman" w:cs="Times New Roman"/>
          <w:b/>
          <w:bCs/>
          <w:rtl/>
          <w:lang w:eastAsia="de-DE"/>
        </w:rPr>
        <w:t>מַצּ֤וֹת</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ἄζυμ</w:t>
      </w:r>
      <w:proofErr w:type="spellEnd"/>
      <w:r w:rsidRPr="00B2490C">
        <w:rPr>
          <w:rFonts w:eastAsia="Times New Roman" w:cs="Times New Roman"/>
          <w:lang w:eastAsia="de-DE"/>
        </w:rPr>
        <w:t xml:space="preserve">α (ungesäuert) und </w:t>
      </w:r>
      <w:r w:rsidRPr="00B2490C">
        <w:rPr>
          <w:rFonts w:eastAsia="Times New Roman" w:cs="Times New Roman"/>
          <w:b/>
          <w:bCs/>
          <w:rtl/>
          <w:lang w:eastAsia="de-DE"/>
        </w:rPr>
        <w:t>בְּמָק֣וֹם קָדֹ֔שׁ</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τό</w:t>
      </w:r>
      <w:proofErr w:type="spellEnd"/>
      <w:r w:rsidRPr="00B2490C">
        <w:rPr>
          <w:rFonts w:eastAsia="Times New Roman" w:cs="Times New Roman"/>
          <w:lang w:eastAsia="de-DE"/>
        </w:rPr>
        <w:t xml:space="preserve">πῳ </w:t>
      </w:r>
      <w:proofErr w:type="spellStart"/>
      <w:r w:rsidRPr="00B2490C">
        <w:rPr>
          <w:rFonts w:eastAsia="Times New Roman" w:cs="Times New Roman"/>
          <w:lang w:eastAsia="de-DE"/>
        </w:rPr>
        <w:t>ἁγίῳ</w:t>
      </w:r>
      <w:proofErr w:type="spellEnd"/>
      <w:r w:rsidRPr="00B2490C">
        <w:rPr>
          <w:rFonts w:eastAsia="Times New Roman" w:cs="Times New Roman"/>
          <w:lang w:eastAsia="de-DE"/>
        </w:rPr>
        <w:t xml:space="preserve"> (an heiligem Ort).</w:t>
      </w:r>
    </w:p>
    <w:p w14:paraId="69E7225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Verzehrbestimmungen: Subjekt + Verb + Subjekt + Qualifikation + Verb + Ortsangabe + Ortsangabe + Verb + Objekt. Die Struktur regelt systematisch die priesterliche </w:t>
      </w:r>
      <w:r w:rsidRPr="00B2490C">
        <w:rPr>
          <w:rFonts w:eastAsia="Times New Roman" w:cs="Times New Roman"/>
          <w:b/>
          <w:bCs/>
          <w:rtl/>
          <w:lang w:eastAsia="de-DE"/>
        </w:rPr>
        <w:t>מנחה</w:t>
      </w:r>
      <w:r w:rsidRPr="00B2490C">
        <w:rPr>
          <w:rFonts w:eastAsia="Times New Roman" w:cs="Times New Roman"/>
          <w:lang w:eastAsia="de-DE"/>
        </w:rPr>
        <w:t>-Verwendung.</w:t>
      </w:r>
    </w:p>
    <w:p w14:paraId="631CE81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regelt die Verwendung des </w:t>
      </w:r>
      <w:r w:rsidRPr="00B2490C">
        <w:rPr>
          <w:rFonts w:eastAsia="Times New Roman" w:cs="Times New Roman"/>
          <w:b/>
          <w:bCs/>
          <w:rtl/>
          <w:lang w:eastAsia="de-DE"/>
        </w:rPr>
        <w:t>מנחה</w:t>
      </w:r>
      <w:r w:rsidRPr="00B2490C">
        <w:rPr>
          <w:rFonts w:eastAsia="Times New Roman" w:cs="Times New Roman"/>
          <w:lang w:eastAsia="de-DE"/>
        </w:rPr>
        <w:t>-Rests als priesterliche Nahrung mit spezifischen Orts- und Zubereitungsbestimmungen.</w:t>
      </w:r>
    </w:p>
    <w:p w14:paraId="67010363"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6,10</w:t>
      </w:r>
    </w:p>
    <w:p w14:paraId="2CEBD3E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לֹ֤א תֵאָפֶה֙ חָמֵ֔ץ חֶלְקָ֛ם נָתַ֥תִּי אֹתָ֖הּ מֵאִשָּׁ֑י קֹ֤דֶשׁ קָֽדָשִׁים֙ הִ֔וא כַּחַטָּ֖את וְכָאָשָֽׁם׃</w:t>
      </w:r>
    </w:p>
    <w:p w14:paraId="6E2DA7E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Es soll nicht gesäuert gebacken werden; als ihren Anteil habe ich es ihnen gegeben von meinen Feueropfern: Hochheilig ist es, wie das Sündopfer und wie das Schuldopfer.</w:t>
      </w:r>
    </w:p>
    <w:p w14:paraId="688E1D7B"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7178941B">
          <v:rect id="_x0000_i1145" style="width:0;height:1.5pt" o:hralign="center" o:hrstd="t" o:hr="t" fillcolor="#a0a0a0" stroked="f"/>
        </w:pict>
      </w:r>
    </w:p>
    <w:p w14:paraId="2F0DE11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לֹ֤א תֵאָפֶה֙ חָמֵ֔ץ</w:t>
      </w:r>
      <w:r w:rsidRPr="00B2490C">
        <w:rPr>
          <w:rFonts w:eastAsia="Times New Roman" w:cs="Times New Roman"/>
          <w:rtl/>
          <w:lang w:eastAsia="de-DE"/>
        </w:rPr>
        <w:t xml:space="preserve"> </w:t>
      </w:r>
      <w:r w:rsidRPr="00B2490C">
        <w:rPr>
          <w:rFonts w:eastAsia="Times New Roman" w:cs="Times New Roman"/>
          <w:lang w:eastAsia="de-DE"/>
        </w:rPr>
        <w:t xml:space="preserve">(es soll nicht gesäuert gebacken werden) verstärkt das Sauerteigverbot. </w:t>
      </w:r>
      <w:r w:rsidRPr="00B2490C">
        <w:rPr>
          <w:rFonts w:eastAsia="Times New Roman" w:cs="Times New Roman"/>
          <w:b/>
          <w:bCs/>
          <w:rtl/>
          <w:lang w:eastAsia="de-DE"/>
        </w:rPr>
        <w:t>לא תאפה חמץ</w:t>
      </w:r>
      <w:r w:rsidRPr="00B2490C">
        <w:rPr>
          <w:rFonts w:eastAsia="Times New Roman" w:cs="Times New Roman"/>
          <w:rtl/>
          <w:lang w:eastAsia="de-DE"/>
        </w:rPr>
        <w:t xml:space="preserve"> </w:t>
      </w:r>
      <w:r w:rsidRPr="00B2490C">
        <w:rPr>
          <w:rFonts w:eastAsia="Times New Roman" w:cs="Times New Roman"/>
          <w:lang w:eastAsia="de-DE"/>
        </w:rPr>
        <w:t xml:space="preserve">(es soll nicht gesäuert gebacken werden) von </w:t>
      </w:r>
      <w:r w:rsidRPr="00B2490C">
        <w:rPr>
          <w:rFonts w:eastAsia="Times New Roman" w:cs="Times New Roman"/>
          <w:b/>
          <w:bCs/>
          <w:rtl/>
          <w:lang w:eastAsia="de-DE"/>
        </w:rPr>
        <w:t>אפה</w:t>
      </w:r>
      <w:r w:rsidRPr="00B2490C">
        <w:rPr>
          <w:rFonts w:eastAsia="Times New Roman" w:cs="Times New Roman"/>
          <w:rtl/>
          <w:lang w:eastAsia="de-DE"/>
        </w:rPr>
        <w:t xml:space="preserve"> </w:t>
      </w:r>
      <w:r w:rsidRPr="00B2490C">
        <w:rPr>
          <w:rFonts w:eastAsia="Times New Roman" w:cs="Times New Roman"/>
          <w:lang w:eastAsia="de-DE"/>
        </w:rPr>
        <w:t xml:space="preserve">(backen) im Nifal-Imperfekt und </w:t>
      </w:r>
      <w:r w:rsidRPr="00B2490C">
        <w:rPr>
          <w:rFonts w:eastAsia="Times New Roman" w:cs="Times New Roman"/>
          <w:b/>
          <w:bCs/>
          <w:rtl/>
          <w:lang w:eastAsia="de-DE"/>
        </w:rPr>
        <w:t>חמץ</w:t>
      </w:r>
      <w:r w:rsidRPr="00B2490C">
        <w:rPr>
          <w:rFonts w:eastAsia="Times New Roman" w:cs="Times New Roman"/>
          <w:rtl/>
          <w:lang w:eastAsia="de-DE"/>
        </w:rPr>
        <w:t xml:space="preserve"> </w:t>
      </w:r>
      <w:r w:rsidRPr="00B2490C">
        <w:rPr>
          <w:rFonts w:eastAsia="Times New Roman" w:cs="Times New Roman"/>
          <w:lang w:eastAsia="de-DE"/>
        </w:rPr>
        <w:t>(gesäuert).</w:t>
      </w:r>
    </w:p>
    <w:p w14:paraId="4281B87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חֶלְקָ֛ם נָתַ֥תִּי אֹתָ֖הּ מֵאִשָּׁ֑י</w:t>
      </w:r>
      <w:r w:rsidRPr="00B2490C">
        <w:rPr>
          <w:rFonts w:eastAsia="Times New Roman" w:cs="Times New Roman"/>
          <w:rtl/>
          <w:lang w:eastAsia="de-DE"/>
        </w:rPr>
        <w:t xml:space="preserve"> </w:t>
      </w:r>
      <w:r w:rsidRPr="00B2490C">
        <w:rPr>
          <w:rFonts w:eastAsia="Times New Roman" w:cs="Times New Roman"/>
          <w:lang w:eastAsia="de-DE"/>
        </w:rPr>
        <w:t xml:space="preserve">(als ihren Anteil habe ich es ihnen gegeben von meinen Feueropfern) zeigt göttliche Zuweisung. </w:t>
      </w:r>
      <w:r w:rsidRPr="00B2490C">
        <w:rPr>
          <w:rFonts w:eastAsia="Times New Roman" w:cs="Times New Roman"/>
          <w:b/>
          <w:bCs/>
          <w:rtl/>
          <w:lang w:eastAsia="de-DE"/>
        </w:rPr>
        <w:t>חלקם</w:t>
      </w:r>
      <w:r w:rsidRPr="00B2490C">
        <w:rPr>
          <w:rFonts w:eastAsia="Times New Roman" w:cs="Times New Roman"/>
          <w:rtl/>
          <w:lang w:eastAsia="de-DE"/>
        </w:rPr>
        <w:t xml:space="preserve"> </w:t>
      </w:r>
      <w:r w:rsidRPr="00B2490C">
        <w:rPr>
          <w:rFonts w:eastAsia="Times New Roman" w:cs="Times New Roman"/>
          <w:lang w:eastAsia="de-DE"/>
        </w:rPr>
        <w:t xml:space="preserve">(ihr Anteil), </w:t>
      </w:r>
      <w:r w:rsidRPr="00B2490C">
        <w:rPr>
          <w:rFonts w:eastAsia="Times New Roman" w:cs="Times New Roman"/>
          <w:b/>
          <w:bCs/>
          <w:rtl/>
          <w:lang w:eastAsia="de-DE"/>
        </w:rPr>
        <w:t>נתתי אתה</w:t>
      </w:r>
      <w:r w:rsidRPr="00B2490C">
        <w:rPr>
          <w:rFonts w:eastAsia="Times New Roman" w:cs="Times New Roman"/>
          <w:rtl/>
          <w:lang w:eastAsia="de-DE"/>
        </w:rPr>
        <w:t xml:space="preserve"> </w:t>
      </w:r>
      <w:r w:rsidRPr="00B2490C">
        <w:rPr>
          <w:rFonts w:eastAsia="Times New Roman" w:cs="Times New Roman"/>
          <w:lang w:eastAsia="de-DE"/>
        </w:rPr>
        <w:t xml:space="preserve">(habe ich es gegeben), </w:t>
      </w:r>
      <w:r w:rsidRPr="00B2490C">
        <w:rPr>
          <w:rFonts w:eastAsia="Times New Roman" w:cs="Times New Roman"/>
          <w:b/>
          <w:bCs/>
          <w:rtl/>
          <w:lang w:eastAsia="de-DE"/>
        </w:rPr>
        <w:t>מאשי</w:t>
      </w:r>
      <w:r w:rsidRPr="00B2490C">
        <w:rPr>
          <w:rFonts w:eastAsia="Times New Roman" w:cs="Times New Roman"/>
          <w:rtl/>
          <w:lang w:eastAsia="de-DE"/>
        </w:rPr>
        <w:t xml:space="preserve"> </w:t>
      </w:r>
      <w:r w:rsidRPr="00B2490C">
        <w:rPr>
          <w:rFonts w:eastAsia="Times New Roman" w:cs="Times New Roman"/>
          <w:lang w:eastAsia="de-DE"/>
        </w:rPr>
        <w:t xml:space="preserve">(von meinen Feueropfern) mit </w:t>
      </w:r>
      <w:r w:rsidRPr="00B2490C">
        <w:rPr>
          <w:rFonts w:eastAsia="Times New Roman" w:cs="Times New Roman"/>
          <w:b/>
          <w:bCs/>
          <w:rtl/>
          <w:lang w:eastAsia="de-DE"/>
        </w:rPr>
        <w:t>אשים</w:t>
      </w:r>
      <w:r w:rsidRPr="00B2490C">
        <w:rPr>
          <w:rFonts w:eastAsia="Times New Roman" w:cs="Times New Roman"/>
          <w:rtl/>
          <w:lang w:eastAsia="de-DE"/>
        </w:rPr>
        <w:t xml:space="preserve"> </w:t>
      </w:r>
      <w:r w:rsidRPr="00B2490C">
        <w:rPr>
          <w:rFonts w:eastAsia="Times New Roman" w:cs="Times New Roman"/>
          <w:lang w:eastAsia="de-DE"/>
        </w:rPr>
        <w:t>(Feueropfer) im Plural.</w:t>
      </w:r>
    </w:p>
    <w:p w14:paraId="058E065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קֹ֤דֶשׁ קָֽדָשִׁים֙ הִ֔וא כַּחַטָּ֖את וְכָאָשָֽׁם</w:t>
      </w:r>
      <w:r w:rsidRPr="00B2490C">
        <w:rPr>
          <w:rFonts w:eastAsia="Times New Roman" w:cs="Times New Roman"/>
          <w:rtl/>
          <w:lang w:eastAsia="de-DE"/>
        </w:rPr>
        <w:t xml:space="preserve"> </w:t>
      </w:r>
      <w:r w:rsidRPr="00B2490C">
        <w:rPr>
          <w:rFonts w:eastAsia="Times New Roman" w:cs="Times New Roman"/>
          <w:lang w:eastAsia="de-DE"/>
        </w:rPr>
        <w:t xml:space="preserve">(hochheilig ist es, wie das Sündopfer und wie das Schuldopfer) klassifiziert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als </w:t>
      </w:r>
      <w:r w:rsidRPr="00B2490C">
        <w:rPr>
          <w:rFonts w:eastAsia="Times New Roman" w:cs="Times New Roman"/>
          <w:b/>
          <w:bCs/>
          <w:rtl/>
          <w:lang w:eastAsia="de-DE"/>
        </w:rPr>
        <w:t>קדש קדשים</w:t>
      </w:r>
      <w:r w:rsidRPr="00B2490C">
        <w:rPr>
          <w:rFonts w:eastAsia="Times New Roman" w:cs="Times New Roman"/>
          <w:lang w:eastAsia="de-DE"/>
        </w:rPr>
        <w:t xml:space="preserve">. </w:t>
      </w:r>
      <w:r w:rsidRPr="00B2490C">
        <w:rPr>
          <w:rFonts w:eastAsia="Times New Roman" w:cs="Times New Roman"/>
          <w:b/>
          <w:bCs/>
          <w:rtl/>
          <w:lang w:eastAsia="de-DE"/>
        </w:rPr>
        <w:t>קדש קדשים הוא</w:t>
      </w:r>
      <w:r w:rsidRPr="00B2490C">
        <w:rPr>
          <w:rFonts w:eastAsia="Times New Roman" w:cs="Times New Roman"/>
          <w:rtl/>
          <w:lang w:eastAsia="de-DE"/>
        </w:rPr>
        <w:t xml:space="preserve"> </w:t>
      </w:r>
      <w:r w:rsidRPr="00B2490C">
        <w:rPr>
          <w:rFonts w:eastAsia="Times New Roman" w:cs="Times New Roman"/>
          <w:lang w:eastAsia="de-DE"/>
        </w:rPr>
        <w:t xml:space="preserve">(hochheilig ist es), </w:t>
      </w:r>
      <w:r w:rsidRPr="00B2490C">
        <w:rPr>
          <w:rFonts w:eastAsia="Times New Roman" w:cs="Times New Roman"/>
          <w:b/>
          <w:bCs/>
          <w:rtl/>
          <w:lang w:eastAsia="de-DE"/>
        </w:rPr>
        <w:t>כחטאת וכאשם</w:t>
      </w:r>
      <w:r w:rsidRPr="00B2490C">
        <w:rPr>
          <w:rFonts w:eastAsia="Times New Roman" w:cs="Times New Roman"/>
          <w:rtl/>
          <w:lang w:eastAsia="de-DE"/>
        </w:rPr>
        <w:t xml:space="preserve"> </w:t>
      </w:r>
      <w:r w:rsidRPr="00B2490C">
        <w:rPr>
          <w:rFonts w:eastAsia="Times New Roman" w:cs="Times New Roman"/>
          <w:lang w:eastAsia="de-DE"/>
        </w:rPr>
        <w:t>(wie das Sündopfer und wie das Schuldopfer).</w:t>
      </w:r>
    </w:p>
    <w:p w14:paraId="34962D6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לא תאפה חמץ</w:t>
      </w:r>
      <w:r w:rsidRPr="00B2490C">
        <w:rPr>
          <w:rFonts w:eastAsia="Times New Roman" w:cs="Times New Roman"/>
          <w:rtl/>
          <w:lang w:eastAsia="de-DE"/>
        </w:rPr>
        <w:t xml:space="preserve"> </w:t>
      </w:r>
      <w:r w:rsidRPr="00B2490C">
        <w:rPr>
          <w:rFonts w:eastAsia="Times New Roman" w:cs="Times New Roman"/>
          <w:lang w:eastAsia="de-DE"/>
        </w:rPr>
        <w:t xml:space="preserve">betont das kategorische Verbot von </w:t>
      </w:r>
      <w:r w:rsidRPr="00B2490C">
        <w:rPr>
          <w:rFonts w:eastAsia="Times New Roman" w:cs="Times New Roman"/>
          <w:b/>
          <w:bCs/>
          <w:rtl/>
          <w:lang w:eastAsia="de-DE"/>
        </w:rPr>
        <w:t>חמץ</w:t>
      </w:r>
      <w:r w:rsidRPr="00B2490C">
        <w:rPr>
          <w:rFonts w:eastAsia="Times New Roman" w:cs="Times New Roman"/>
          <w:rtl/>
          <w:lang w:eastAsia="de-DE"/>
        </w:rPr>
        <w:t xml:space="preserve"> </w:t>
      </w:r>
      <w:r w:rsidRPr="00B2490C">
        <w:rPr>
          <w:rFonts w:eastAsia="Times New Roman" w:cs="Times New Roman"/>
          <w:lang w:eastAsia="de-DE"/>
        </w:rPr>
        <w:t xml:space="preserve">bei </w:t>
      </w:r>
      <w:r w:rsidRPr="00B2490C">
        <w:rPr>
          <w:rFonts w:eastAsia="Times New Roman" w:cs="Times New Roman"/>
          <w:b/>
          <w:bCs/>
          <w:rtl/>
          <w:lang w:eastAsia="de-DE"/>
        </w:rPr>
        <w:t>מנחה</w:t>
      </w:r>
      <w:r w:rsidRPr="00B2490C">
        <w:rPr>
          <w:rFonts w:eastAsia="Times New Roman" w:cs="Times New Roman"/>
          <w:lang w:eastAsia="de-DE"/>
        </w:rPr>
        <w:t xml:space="preserve">, auch bei der priesterlichen Zubereitung. </w:t>
      </w:r>
      <w:r w:rsidRPr="00B2490C">
        <w:rPr>
          <w:rFonts w:eastAsia="Times New Roman" w:cs="Times New Roman"/>
          <w:b/>
          <w:bCs/>
          <w:rtl/>
          <w:lang w:eastAsia="de-DE"/>
        </w:rPr>
        <w:t>חלקם נתתי אתה מאשי</w:t>
      </w:r>
      <w:r w:rsidRPr="00B2490C">
        <w:rPr>
          <w:rFonts w:eastAsia="Times New Roman" w:cs="Times New Roman"/>
          <w:rtl/>
          <w:lang w:eastAsia="de-DE"/>
        </w:rPr>
        <w:t xml:space="preserve"> </w:t>
      </w:r>
      <w:r w:rsidRPr="00B2490C">
        <w:rPr>
          <w:rFonts w:eastAsia="Times New Roman" w:cs="Times New Roman"/>
          <w:lang w:eastAsia="de-DE"/>
        </w:rPr>
        <w:t xml:space="preserve">zeigt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als göttlich zugewiesenen priesterlichen Anteil der </w:t>
      </w:r>
      <w:r w:rsidRPr="00B2490C">
        <w:rPr>
          <w:rFonts w:eastAsia="Times New Roman" w:cs="Times New Roman"/>
          <w:b/>
          <w:bCs/>
          <w:rtl/>
          <w:lang w:eastAsia="de-DE"/>
        </w:rPr>
        <w:t>אשי יהוה</w:t>
      </w:r>
      <w:r w:rsidRPr="00B2490C">
        <w:rPr>
          <w:rFonts w:eastAsia="Times New Roman" w:cs="Times New Roman"/>
          <w:rtl/>
          <w:lang w:eastAsia="de-DE"/>
        </w:rPr>
        <w:t xml:space="preserve"> </w:t>
      </w:r>
      <w:r w:rsidRPr="00B2490C">
        <w:rPr>
          <w:rFonts w:eastAsia="Times New Roman" w:cs="Times New Roman"/>
          <w:lang w:eastAsia="de-DE"/>
        </w:rPr>
        <w:t>(Feueropfer JHWHs).</w:t>
      </w:r>
    </w:p>
    <w:p w14:paraId="005843D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קדש קדשים הוא כחטאת וכאשם</w:t>
      </w:r>
      <w:r w:rsidRPr="00B2490C">
        <w:rPr>
          <w:rFonts w:eastAsia="Times New Roman" w:cs="Times New Roman"/>
          <w:rtl/>
          <w:lang w:eastAsia="de-DE"/>
        </w:rPr>
        <w:t xml:space="preserve"> </w:t>
      </w:r>
      <w:r w:rsidRPr="00B2490C">
        <w:rPr>
          <w:rFonts w:eastAsia="Times New Roman" w:cs="Times New Roman"/>
          <w:lang w:eastAsia="de-DE"/>
        </w:rPr>
        <w:t xml:space="preserve">klassifiziert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in dieselbe Heiligkeitsstufe wie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 xml:space="preserve">und </w:t>
      </w:r>
      <w:r w:rsidRPr="00B2490C">
        <w:rPr>
          <w:rFonts w:eastAsia="Times New Roman" w:cs="Times New Roman"/>
          <w:b/>
          <w:bCs/>
          <w:rtl/>
          <w:lang w:eastAsia="de-DE"/>
        </w:rPr>
        <w:t>אשם</w:t>
      </w:r>
      <w:r w:rsidRPr="00B2490C">
        <w:rPr>
          <w:rFonts w:eastAsia="Times New Roman" w:cs="Times New Roman"/>
          <w:lang w:eastAsia="de-DE"/>
        </w:rPr>
        <w:t>: nur für männliche Priester, nur im heiligen Bereich verzehrbar.</w:t>
      </w:r>
    </w:p>
    <w:p w14:paraId="552FB299" w14:textId="03387C34"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übersetzt </w:t>
      </w:r>
      <w:r w:rsidR="00577FFB">
        <w:rPr>
          <w:rtl/>
        </w:rPr>
        <w:t>מאשי</w:t>
      </w:r>
      <w:r w:rsidR="00577FFB">
        <w:t xml:space="preserve"> (</w:t>
      </w:r>
      <w:proofErr w:type="spellStart"/>
      <w:r w:rsidR="00577FFB">
        <w:t>me'ishei</w:t>
      </w:r>
      <w:proofErr w:type="spellEnd"/>
      <w:r w:rsidR="00577FFB">
        <w:t xml:space="preserve"> - "von den Feueropfern") als ἀπὸ </w:t>
      </w:r>
      <w:proofErr w:type="spellStart"/>
      <w:r w:rsidR="00577FFB">
        <w:t>τῶν</w:t>
      </w:r>
      <w:proofErr w:type="spellEnd"/>
      <w:r w:rsidR="00577FFB">
        <w:t xml:space="preserve"> καρπ</w:t>
      </w:r>
      <w:proofErr w:type="spellStart"/>
      <w:r w:rsidR="00577FFB">
        <w:t>ωμάτων</w:t>
      </w:r>
      <w:proofErr w:type="spellEnd"/>
      <w:r w:rsidR="00577FFB">
        <w:t xml:space="preserve"> (von den Fruchtopfern), was die systematische Terminologieverschiebung fortsetzt.</w:t>
      </w:r>
    </w:p>
    <w:p w14:paraId="21E37E7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drei Bestimmungen: negative Anweisung + göttliche Zuweisung + Heiligkeitsklassifikation mit Analogie. Die Struktur etabliert die </w:t>
      </w:r>
      <w:r w:rsidRPr="00B2490C">
        <w:rPr>
          <w:rFonts w:eastAsia="Times New Roman" w:cs="Times New Roman"/>
          <w:b/>
          <w:bCs/>
          <w:rtl/>
          <w:lang w:eastAsia="de-DE"/>
        </w:rPr>
        <w:t>קדש קדשים</w:t>
      </w:r>
      <w:r w:rsidRPr="00B2490C">
        <w:rPr>
          <w:rFonts w:eastAsia="Times New Roman" w:cs="Times New Roman"/>
          <w:lang w:eastAsia="de-DE"/>
        </w:rPr>
        <w:t xml:space="preserve">-Natur der </w:t>
      </w:r>
      <w:r w:rsidRPr="00B2490C">
        <w:rPr>
          <w:rFonts w:eastAsia="Times New Roman" w:cs="Times New Roman"/>
          <w:b/>
          <w:bCs/>
          <w:rtl/>
          <w:lang w:eastAsia="de-DE"/>
        </w:rPr>
        <w:t>מנחה</w:t>
      </w:r>
      <w:r w:rsidRPr="00B2490C">
        <w:rPr>
          <w:rFonts w:eastAsia="Times New Roman" w:cs="Times New Roman"/>
          <w:lang w:eastAsia="de-DE"/>
        </w:rPr>
        <w:t>.</w:t>
      </w:r>
    </w:p>
    <w:p w14:paraId="2F7745C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betont das Sauerteigverbot, zeigt die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als göttlich zugewiesenen priesterlichen Anteil und klassifiziert sie als </w:t>
      </w:r>
      <w:r w:rsidRPr="00B2490C">
        <w:rPr>
          <w:rFonts w:eastAsia="Times New Roman" w:cs="Times New Roman"/>
          <w:b/>
          <w:bCs/>
          <w:rtl/>
          <w:lang w:eastAsia="de-DE"/>
        </w:rPr>
        <w:t>קדש קדשים</w:t>
      </w:r>
      <w:r w:rsidRPr="00B2490C">
        <w:rPr>
          <w:rFonts w:eastAsia="Times New Roman" w:cs="Times New Roman"/>
          <w:lang w:eastAsia="de-DE"/>
        </w:rPr>
        <w:t>.</w:t>
      </w:r>
    </w:p>
    <w:p w14:paraId="0DBD36D2"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6,11</w:t>
      </w:r>
    </w:p>
    <w:p w14:paraId="2EECC10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Hebräisch:</w:t>
      </w:r>
      <w:r w:rsidRPr="00B2490C">
        <w:rPr>
          <w:rFonts w:eastAsia="Times New Roman" w:cs="Times New Roman"/>
          <w:lang w:eastAsia="de-DE"/>
        </w:rPr>
        <w:t xml:space="preserve"> </w:t>
      </w:r>
      <w:r w:rsidRPr="00B2490C">
        <w:rPr>
          <w:rFonts w:eastAsia="Times New Roman" w:cs="Times New Roman"/>
          <w:rtl/>
          <w:lang w:eastAsia="de-DE"/>
        </w:rPr>
        <w:t>כָּל־זָכָ֞ר בִּבְנֵ֤י אַהֲרֹן֙ יֹֽאכֲלֶ֔נָּה חָק־עוֹלָם֙ לְדֹרֹ֣תֵיכֶ֔ם מֵאִשֵּׁ֖י יְהוָ֑ה כֹּ֛ל אֲשֶׁר־יִגַּ֥ע בָּהֶ֖ם יִקְדָּֽשׁ׃</w:t>
      </w:r>
    </w:p>
    <w:p w14:paraId="4BB4E50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Alles Männliche unter den Kindern Aarons soll es essen: Ein für ewig Bestimmtes bei euren Generationen von den Feueropfern des Ewigen. Alles, was sie berührt, wird heilig sein.</w:t>
      </w:r>
    </w:p>
    <w:p w14:paraId="75C2468E"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39D6C97E">
          <v:rect id="_x0000_i1146" style="width:0;height:1.5pt" o:hralign="center" o:hrstd="t" o:hr="t" fillcolor="#a0a0a0" stroked="f"/>
        </w:pict>
      </w:r>
    </w:p>
    <w:p w14:paraId="3919A4B5" w14:textId="502E1101"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כָּל־זָכָ֞ר בִּבְנֵ֤י אַהֲרֹן֙ יֹֽאכֲלֶ֔נָּה</w:t>
      </w:r>
      <w:r w:rsidRPr="00B2490C">
        <w:rPr>
          <w:rFonts w:eastAsia="Times New Roman" w:cs="Times New Roman"/>
          <w:rtl/>
          <w:lang w:eastAsia="de-DE"/>
        </w:rPr>
        <w:t xml:space="preserve"> </w:t>
      </w:r>
      <w:r w:rsidRPr="00B2490C">
        <w:rPr>
          <w:rFonts w:eastAsia="Times New Roman" w:cs="Times New Roman"/>
          <w:lang w:eastAsia="de-DE"/>
        </w:rPr>
        <w:t xml:space="preserve">(alles Männliche unter den Söhnen Aarons soll es essen) spezifiziert die Verzehrberechtigung. </w:t>
      </w:r>
      <w:r w:rsidRPr="00B2490C">
        <w:rPr>
          <w:rFonts w:eastAsia="Times New Roman" w:cs="Times New Roman"/>
          <w:b/>
          <w:bCs/>
          <w:rtl/>
          <w:lang w:eastAsia="de-DE"/>
        </w:rPr>
        <w:t>כל־זכר בבני אהרן</w:t>
      </w:r>
      <w:r w:rsidRPr="00B2490C">
        <w:rPr>
          <w:rFonts w:eastAsia="Times New Roman" w:cs="Times New Roman"/>
          <w:rtl/>
          <w:lang w:eastAsia="de-DE"/>
        </w:rPr>
        <w:t xml:space="preserve"> </w:t>
      </w:r>
      <w:r w:rsidRPr="00B2490C">
        <w:rPr>
          <w:rFonts w:eastAsia="Times New Roman" w:cs="Times New Roman"/>
          <w:lang w:eastAsia="de-DE"/>
        </w:rPr>
        <w:t xml:space="preserve">(alles Männliche unter den Söhnen Aarons), </w:t>
      </w:r>
      <w:r w:rsidRPr="00B2490C">
        <w:rPr>
          <w:rFonts w:eastAsia="Times New Roman" w:cs="Times New Roman"/>
          <w:b/>
          <w:bCs/>
          <w:rtl/>
          <w:lang w:eastAsia="de-DE"/>
        </w:rPr>
        <w:t>יאכלנה</w:t>
      </w:r>
      <w:r w:rsidRPr="00B2490C">
        <w:rPr>
          <w:rFonts w:eastAsia="Times New Roman" w:cs="Times New Roman"/>
          <w:rtl/>
          <w:lang w:eastAsia="de-DE"/>
        </w:rPr>
        <w:t xml:space="preserve"> </w:t>
      </w:r>
      <w:r w:rsidRPr="00B2490C">
        <w:rPr>
          <w:rFonts w:eastAsia="Times New Roman" w:cs="Times New Roman"/>
          <w:lang w:eastAsia="de-DE"/>
        </w:rPr>
        <w:t xml:space="preserve">(soll es essen) mit </w:t>
      </w:r>
      <w:r w:rsidR="00E35C31">
        <w:rPr>
          <w:rFonts w:eastAsia="Times New Roman" w:cs="Times New Roman"/>
          <w:lang w:eastAsia="de-DE"/>
        </w:rPr>
        <w:t>femininem</w:t>
      </w:r>
      <w:r w:rsidRPr="00B2490C">
        <w:rPr>
          <w:rFonts w:eastAsia="Times New Roman" w:cs="Times New Roman"/>
          <w:lang w:eastAsia="de-DE"/>
        </w:rPr>
        <w:t xml:space="preserve"> Suffix.</w:t>
      </w:r>
    </w:p>
    <w:p w14:paraId="27D0759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חָק־עוֹלָם֙ לְדֹרֹ֣תֵיכֶ֔ם מֵאִשֵּׁ֖י יְהוָ֑ה</w:t>
      </w:r>
      <w:r w:rsidRPr="00B2490C">
        <w:rPr>
          <w:rFonts w:eastAsia="Times New Roman" w:cs="Times New Roman"/>
          <w:rtl/>
          <w:lang w:eastAsia="de-DE"/>
        </w:rPr>
        <w:t xml:space="preserve"> </w:t>
      </w:r>
      <w:r w:rsidRPr="00B2490C">
        <w:rPr>
          <w:rFonts w:eastAsia="Times New Roman" w:cs="Times New Roman"/>
          <w:lang w:eastAsia="de-DE"/>
        </w:rPr>
        <w:t xml:space="preserve">(eine ewige Satzung für eure Generationen von den Feueropfern JHWHs) zeigt die Dauerhaftigkeit. </w:t>
      </w:r>
      <w:r w:rsidRPr="00B2490C">
        <w:rPr>
          <w:rFonts w:eastAsia="Times New Roman" w:cs="Times New Roman"/>
          <w:b/>
          <w:bCs/>
          <w:rtl/>
          <w:lang w:eastAsia="de-DE"/>
        </w:rPr>
        <w:t>חק־עולם</w:t>
      </w:r>
      <w:r w:rsidRPr="00B2490C">
        <w:rPr>
          <w:rFonts w:eastAsia="Times New Roman" w:cs="Times New Roman"/>
          <w:rtl/>
          <w:lang w:eastAsia="de-DE"/>
        </w:rPr>
        <w:t xml:space="preserve"> </w:t>
      </w:r>
      <w:r w:rsidRPr="00B2490C">
        <w:rPr>
          <w:rFonts w:eastAsia="Times New Roman" w:cs="Times New Roman"/>
          <w:lang w:eastAsia="de-DE"/>
        </w:rPr>
        <w:t xml:space="preserve">(ewige Satzung), </w:t>
      </w:r>
      <w:r w:rsidRPr="00B2490C">
        <w:rPr>
          <w:rFonts w:eastAsia="Times New Roman" w:cs="Times New Roman"/>
          <w:b/>
          <w:bCs/>
          <w:rtl/>
          <w:lang w:eastAsia="de-DE"/>
        </w:rPr>
        <w:t>לדרתיכם</w:t>
      </w:r>
      <w:r w:rsidRPr="00B2490C">
        <w:rPr>
          <w:rFonts w:eastAsia="Times New Roman" w:cs="Times New Roman"/>
          <w:rtl/>
          <w:lang w:eastAsia="de-DE"/>
        </w:rPr>
        <w:t xml:space="preserve"> </w:t>
      </w:r>
      <w:r w:rsidRPr="00B2490C">
        <w:rPr>
          <w:rFonts w:eastAsia="Times New Roman" w:cs="Times New Roman"/>
          <w:lang w:eastAsia="de-DE"/>
        </w:rPr>
        <w:t xml:space="preserve">(für eure Generationen), </w:t>
      </w:r>
      <w:r w:rsidRPr="00B2490C">
        <w:rPr>
          <w:rFonts w:eastAsia="Times New Roman" w:cs="Times New Roman"/>
          <w:b/>
          <w:bCs/>
          <w:rtl/>
          <w:lang w:eastAsia="de-DE"/>
        </w:rPr>
        <w:t>מאשי יהוה</w:t>
      </w:r>
      <w:r w:rsidRPr="00B2490C">
        <w:rPr>
          <w:rFonts w:eastAsia="Times New Roman" w:cs="Times New Roman"/>
          <w:rtl/>
          <w:lang w:eastAsia="de-DE"/>
        </w:rPr>
        <w:t xml:space="preserve"> </w:t>
      </w:r>
      <w:r w:rsidRPr="00B2490C">
        <w:rPr>
          <w:rFonts w:eastAsia="Times New Roman" w:cs="Times New Roman"/>
          <w:lang w:eastAsia="de-DE"/>
        </w:rPr>
        <w:t>(von den Feueropfern JHWHs).</w:t>
      </w:r>
    </w:p>
    <w:p w14:paraId="033CFB4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 אֲשֶׁר־יִגַּ֥ע בָּהֶ֖ם יִקְדָּֽשׁ</w:t>
      </w:r>
      <w:r w:rsidRPr="00B2490C">
        <w:rPr>
          <w:rFonts w:eastAsia="Times New Roman" w:cs="Times New Roman"/>
          <w:rtl/>
          <w:lang w:eastAsia="de-DE"/>
        </w:rPr>
        <w:t xml:space="preserve"> </w:t>
      </w:r>
      <w:r w:rsidRPr="00B2490C">
        <w:rPr>
          <w:rFonts w:eastAsia="Times New Roman" w:cs="Times New Roman"/>
          <w:lang w:eastAsia="de-DE"/>
        </w:rPr>
        <w:t xml:space="preserve">(alles, was sie berührt, wird heilig sein) zeigt die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w:t>
      </w:r>
      <w:r w:rsidRPr="00B2490C">
        <w:rPr>
          <w:rFonts w:eastAsia="Times New Roman" w:cs="Times New Roman"/>
          <w:b/>
          <w:bCs/>
          <w:rtl/>
          <w:lang w:eastAsia="de-DE"/>
        </w:rPr>
        <w:t>כל אשר־יגע בהם</w:t>
      </w:r>
      <w:r w:rsidRPr="00B2490C">
        <w:rPr>
          <w:rFonts w:eastAsia="Times New Roman" w:cs="Times New Roman"/>
          <w:rtl/>
          <w:lang w:eastAsia="de-DE"/>
        </w:rPr>
        <w:t xml:space="preserve"> </w:t>
      </w:r>
      <w:r w:rsidRPr="00B2490C">
        <w:rPr>
          <w:rFonts w:eastAsia="Times New Roman" w:cs="Times New Roman"/>
          <w:lang w:eastAsia="de-DE"/>
        </w:rPr>
        <w:t xml:space="preserve">(alles, was sie berührt), </w:t>
      </w:r>
      <w:r w:rsidRPr="00B2490C">
        <w:rPr>
          <w:rFonts w:eastAsia="Times New Roman" w:cs="Times New Roman"/>
          <w:b/>
          <w:bCs/>
          <w:rtl/>
          <w:lang w:eastAsia="de-DE"/>
        </w:rPr>
        <w:t>יקדש</w:t>
      </w:r>
      <w:r w:rsidRPr="00B2490C">
        <w:rPr>
          <w:rFonts w:eastAsia="Times New Roman" w:cs="Times New Roman"/>
          <w:rtl/>
          <w:lang w:eastAsia="de-DE"/>
        </w:rPr>
        <w:t xml:space="preserve"> </w:t>
      </w:r>
      <w:r w:rsidRPr="00B2490C">
        <w:rPr>
          <w:rFonts w:eastAsia="Times New Roman" w:cs="Times New Roman"/>
          <w:lang w:eastAsia="de-DE"/>
        </w:rPr>
        <w:t xml:space="preserve">(wird heilig sein) von </w:t>
      </w:r>
      <w:r w:rsidRPr="00B2490C">
        <w:rPr>
          <w:rFonts w:eastAsia="Times New Roman" w:cs="Times New Roman"/>
          <w:b/>
          <w:bCs/>
          <w:rtl/>
          <w:lang w:eastAsia="de-DE"/>
        </w:rPr>
        <w:t>קדש</w:t>
      </w:r>
      <w:r w:rsidRPr="00B2490C">
        <w:rPr>
          <w:rFonts w:eastAsia="Times New Roman" w:cs="Times New Roman"/>
          <w:rtl/>
          <w:lang w:eastAsia="de-DE"/>
        </w:rPr>
        <w:t xml:space="preserve"> </w:t>
      </w:r>
      <w:r w:rsidRPr="00B2490C">
        <w:rPr>
          <w:rFonts w:eastAsia="Times New Roman" w:cs="Times New Roman"/>
          <w:lang w:eastAsia="de-DE"/>
        </w:rPr>
        <w:t>(heilig sein) im Qal-Imperfekt.</w:t>
      </w:r>
    </w:p>
    <w:p w14:paraId="5580943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כל־זכר בבני אהרן</w:t>
      </w:r>
      <w:r w:rsidRPr="00B2490C">
        <w:rPr>
          <w:rFonts w:eastAsia="Times New Roman" w:cs="Times New Roman"/>
          <w:rtl/>
          <w:lang w:eastAsia="de-DE"/>
        </w:rPr>
        <w:t xml:space="preserve"> </w:t>
      </w:r>
      <w:r w:rsidRPr="00B2490C">
        <w:rPr>
          <w:rFonts w:eastAsia="Times New Roman" w:cs="Times New Roman"/>
          <w:lang w:eastAsia="de-DE"/>
        </w:rPr>
        <w:t xml:space="preserve">schließt weibliche Familienmitglieder aus: </w:t>
      </w:r>
      <w:r w:rsidRPr="00B2490C">
        <w:rPr>
          <w:rFonts w:eastAsia="Times New Roman" w:cs="Times New Roman"/>
          <w:b/>
          <w:bCs/>
          <w:rtl/>
          <w:lang w:eastAsia="de-DE"/>
        </w:rPr>
        <w:t>קדש קדשים</w:t>
      </w:r>
      <w:r w:rsidRPr="00B2490C">
        <w:rPr>
          <w:rFonts w:eastAsia="Times New Roman" w:cs="Times New Roman"/>
          <w:rtl/>
          <w:lang w:eastAsia="de-DE"/>
        </w:rPr>
        <w:t xml:space="preserve"> </w:t>
      </w:r>
      <w:r w:rsidRPr="00B2490C">
        <w:rPr>
          <w:rFonts w:eastAsia="Times New Roman" w:cs="Times New Roman"/>
          <w:lang w:eastAsia="de-DE"/>
        </w:rPr>
        <w:t xml:space="preserve">nur für männliche Priester. </w:t>
      </w:r>
      <w:r w:rsidRPr="00B2490C">
        <w:rPr>
          <w:rFonts w:eastAsia="Times New Roman" w:cs="Times New Roman"/>
          <w:b/>
          <w:bCs/>
          <w:rtl/>
          <w:lang w:eastAsia="de-DE"/>
        </w:rPr>
        <w:t>חק־עולם לדרתיכם</w:t>
      </w:r>
      <w:r w:rsidRPr="00B2490C">
        <w:rPr>
          <w:rFonts w:eastAsia="Times New Roman" w:cs="Times New Roman"/>
          <w:rtl/>
          <w:lang w:eastAsia="de-DE"/>
        </w:rPr>
        <w:t xml:space="preserve"> </w:t>
      </w:r>
      <w:r w:rsidRPr="00B2490C">
        <w:rPr>
          <w:rFonts w:eastAsia="Times New Roman" w:cs="Times New Roman"/>
          <w:lang w:eastAsia="de-DE"/>
        </w:rPr>
        <w:t>etabliert diese Bestimmung für alle zukünftigen Generationen.</w:t>
      </w:r>
    </w:p>
    <w:p w14:paraId="40C27EB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 אשר־יגע בהם יקדש</w:t>
      </w:r>
      <w:r w:rsidRPr="00B2490C">
        <w:rPr>
          <w:rFonts w:eastAsia="Times New Roman" w:cs="Times New Roman"/>
          <w:rtl/>
          <w:lang w:eastAsia="de-DE"/>
        </w:rPr>
        <w:t xml:space="preserve"> </w:t>
      </w:r>
      <w:r w:rsidRPr="00B2490C">
        <w:rPr>
          <w:rFonts w:eastAsia="Times New Roman" w:cs="Times New Roman"/>
          <w:lang w:eastAsia="de-DE"/>
        </w:rPr>
        <w:t xml:space="preserve">zeigt die </w:t>
      </w:r>
      <w:r w:rsidRPr="00B2490C">
        <w:rPr>
          <w:rFonts w:eastAsia="Times New Roman" w:cs="Times New Roman"/>
          <w:b/>
          <w:bCs/>
          <w:rtl/>
          <w:lang w:eastAsia="de-DE"/>
        </w:rPr>
        <w:t>קדושה</w:t>
      </w:r>
      <w:r w:rsidRPr="00B2490C">
        <w:rPr>
          <w:rFonts w:eastAsia="Times New Roman" w:cs="Times New Roman"/>
          <w:lang w:eastAsia="de-DE"/>
        </w:rPr>
        <w:t xml:space="preserve">-Übertragung von </w:t>
      </w:r>
      <w:r w:rsidRPr="00B2490C">
        <w:rPr>
          <w:rFonts w:eastAsia="Times New Roman" w:cs="Times New Roman"/>
          <w:b/>
          <w:bCs/>
          <w:rtl/>
          <w:lang w:eastAsia="de-DE"/>
        </w:rPr>
        <w:t>קדש קדשים</w:t>
      </w:r>
      <w:r w:rsidRPr="00B2490C">
        <w:rPr>
          <w:rFonts w:eastAsia="Times New Roman" w:cs="Times New Roman"/>
          <w:lang w:eastAsia="de-DE"/>
        </w:rPr>
        <w:t>-Opfern: Berührung macht Gegenstände heilig und damit besonderen Bestimmungen unterworfen.</w:t>
      </w:r>
    </w:p>
    <w:p w14:paraId="0082F0B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כָּל־זָכָ֞ר</w:t>
      </w:r>
      <w:r w:rsidRPr="00B2490C">
        <w:rPr>
          <w:rFonts w:eastAsia="Times New Roman" w:cs="Times New Roman"/>
          <w:rtl/>
          <w:lang w:eastAsia="de-DE"/>
        </w:rPr>
        <w:t xml:space="preserve"> </w:t>
      </w:r>
      <w:r w:rsidRPr="00B2490C">
        <w:rPr>
          <w:rFonts w:eastAsia="Times New Roman" w:cs="Times New Roman"/>
          <w:lang w:eastAsia="de-DE"/>
        </w:rPr>
        <w:t>mit π</w:t>
      </w:r>
      <w:proofErr w:type="spellStart"/>
      <w:r w:rsidRPr="00B2490C">
        <w:rPr>
          <w:rFonts w:eastAsia="Times New Roman" w:cs="Times New Roman"/>
          <w:lang w:eastAsia="de-DE"/>
        </w:rPr>
        <w:t>ᾶν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ἀρσενικόν</w:t>
      </w:r>
      <w:proofErr w:type="spellEnd"/>
      <w:r w:rsidRPr="00B2490C">
        <w:rPr>
          <w:rFonts w:eastAsia="Times New Roman" w:cs="Times New Roman"/>
          <w:lang w:eastAsia="de-DE"/>
        </w:rPr>
        <w:t xml:space="preserve"> (alles Männliche), </w:t>
      </w:r>
      <w:r w:rsidRPr="00B2490C">
        <w:rPr>
          <w:rFonts w:eastAsia="Times New Roman" w:cs="Times New Roman"/>
          <w:b/>
          <w:bCs/>
          <w:rtl/>
          <w:lang w:eastAsia="de-DE"/>
        </w:rPr>
        <w:t>חָק־עוֹלָם֙</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νόμιμον</w:t>
      </w:r>
      <w:proofErr w:type="spellEnd"/>
      <w:r w:rsidRPr="00B2490C">
        <w:rPr>
          <w:rFonts w:eastAsia="Times New Roman" w:cs="Times New Roman"/>
          <w:lang w:eastAsia="de-DE"/>
        </w:rPr>
        <w:t xml:space="preserve"> α</w:t>
      </w:r>
      <w:proofErr w:type="spellStart"/>
      <w:r w:rsidRPr="00B2490C">
        <w:rPr>
          <w:rFonts w:eastAsia="Times New Roman" w:cs="Times New Roman"/>
          <w:lang w:eastAsia="de-DE"/>
        </w:rPr>
        <w:t>ἰώνιον</w:t>
      </w:r>
      <w:proofErr w:type="spellEnd"/>
      <w:r w:rsidRPr="00B2490C">
        <w:rPr>
          <w:rFonts w:eastAsia="Times New Roman" w:cs="Times New Roman"/>
          <w:lang w:eastAsia="de-DE"/>
        </w:rPr>
        <w:t xml:space="preserve"> (ewiges Gesetz) und </w:t>
      </w:r>
      <w:r w:rsidRPr="00B2490C">
        <w:rPr>
          <w:rFonts w:eastAsia="Times New Roman" w:cs="Times New Roman"/>
          <w:b/>
          <w:bCs/>
          <w:rtl/>
          <w:lang w:eastAsia="de-DE"/>
        </w:rPr>
        <w:t>יִקְדָּֽשׁ</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ἁγι</w:t>
      </w:r>
      <w:proofErr w:type="spellEnd"/>
      <w:r w:rsidRPr="00B2490C">
        <w:rPr>
          <w:rFonts w:eastAsia="Times New Roman" w:cs="Times New Roman"/>
          <w:lang w:eastAsia="de-DE"/>
        </w:rPr>
        <w:t>ασθήσεται (wird geheiligt werden).</w:t>
      </w:r>
    </w:p>
    <w:p w14:paraId="3A5980F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drei Bestimmungen: Verzehrberechtigung + Dauerhaftigkeitsklausel +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Die Struktur etabliert die </w:t>
      </w:r>
      <w:r w:rsidRPr="00B2490C">
        <w:rPr>
          <w:rFonts w:eastAsia="Times New Roman" w:cs="Times New Roman"/>
          <w:b/>
          <w:bCs/>
          <w:rtl/>
          <w:lang w:eastAsia="de-DE"/>
        </w:rPr>
        <w:t>קדש קדשים</w:t>
      </w:r>
      <w:r w:rsidRPr="00B2490C">
        <w:rPr>
          <w:rFonts w:eastAsia="Times New Roman" w:cs="Times New Roman"/>
          <w:lang w:eastAsia="de-DE"/>
        </w:rPr>
        <w:t xml:space="preserve">-Regeln für </w:t>
      </w:r>
      <w:r w:rsidRPr="00B2490C">
        <w:rPr>
          <w:rFonts w:eastAsia="Times New Roman" w:cs="Times New Roman"/>
          <w:b/>
          <w:bCs/>
          <w:rtl/>
          <w:lang w:eastAsia="de-DE"/>
        </w:rPr>
        <w:t>מנחה</w:t>
      </w:r>
      <w:r w:rsidRPr="00B2490C">
        <w:rPr>
          <w:rFonts w:eastAsia="Times New Roman" w:cs="Times New Roman"/>
          <w:lang w:eastAsia="de-DE"/>
        </w:rPr>
        <w:t>.</w:t>
      </w:r>
    </w:p>
    <w:p w14:paraId="16B5271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beschließt die </w:t>
      </w:r>
      <w:r w:rsidRPr="00B2490C">
        <w:rPr>
          <w:rFonts w:eastAsia="Times New Roman" w:cs="Times New Roman"/>
          <w:b/>
          <w:bCs/>
          <w:rtl/>
          <w:lang w:eastAsia="de-DE"/>
        </w:rPr>
        <w:t>תורת המנחה</w:t>
      </w:r>
      <w:r w:rsidRPr="00B2490C">
        <w:rPr>
          <w:rFonts w:eastAsia="Times New Roman" w:cs="Times New Roman"/>
          <w:rtl/>
          <w:lang w:eastAsia="de-DE"/>
        </w:rPr>
        <w:t xml:space="preserve"> </w:t>
      </w:r>
      <w:r w:rsidRPr="00B2490C">
        <w:rPr>
          <w:rFonts w:eastAsia="Times New Roman" w:cs="Times New Roman"/>
          <w:lang w:eastAsia="de-DE"/>
        </w:rPr>
        <w:t xml:space="preserve">mit spezifischen Verzehrbestimmungen und der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durch Berührung.</w:t>
      </w:r>
    </w:p>
    <w:p w14:paraId="3EA9C532"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6,12</w:t>
      </w:r>
    </w:p>
    <w:p w14:paraId="11FEE43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וַיְדַבֵּ֥ר יְהוָ֖ה אֶל־מֹשֶׁ֥ה לֵּאמֹֽר׃</w:t>
      </w:r>
    </w:p>
    <w:p w14:paraId="7A85A54F"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der Ewige redete zu Mosche und sprach:</w:t>
      </w:r>
    </w:p>
    <w:p w14:paraId="7423C2A7"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7FFCC002">
          <v:rect id="_x0000_i1147" style="width:0;height:1.5pt" o:hralign="center" o:hrstd="t" o:hr="t" fillcolor="#a0a0a0" stroked="f"/>
        </w:pict>
      </w:r>
    </w:p>
    <w:p w14:paraId="1AEF83B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Diese dritte Einleitungsformel in Kapitel 6 (nach V. 1 und vor der vierten in V. 17) markiert einen Sonderabschnitt zur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(Priester-Speiseopfer), die sich von der gewöhnlichen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unterscheidet.</w:t>
      </w:r>
    </w:p>
    <w:p w14:paraId="719CF7D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 wiederholten Einleitungsformeln zeigen die systematische Organisation der priesterlichen </w:t>
      </w:r>
      <w:r w:rsidRPr="00B2490C">
        <w:rPr>
          <w:rFonts w:eastAsia="Times New Roman" w:cs="Times New Roman"/>
          <w:b/>
          <w:bCs/>
          <w:rtl/>
          <w:lang w:eastAsia="de-DE"/>
        </w:rPr>
        <w:t>תורות</w:t>
      </w:r>
      <w:r w:rsidRPr="00B2490C">
        <w:rPr>
          <w:rFonts w:eastAsia="Times New Roman" w:cs="Times New Roman"/>
          <w:rtl/>
          <w:lang w:eastAsia="de-DE"/>
        </w:rPr>
        <w:t xml:space="preserve"> </w:t>
      </w:r>
      <w:r w:rsidRPr="00B2490C">
        <w:rPr>
          <w:rFonts w:eastAsia="Times New Roman" w:cs="Times New Roman"/>
          <w:lang w:eastAsia="de-DE"/>
        </w:rPr>
        <w:t>in separate, eigenständige Abschnitte.</w:t>
      </w:r>
    </w:p>
    <w:p w14:paraId="2DDCF6AE"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lastRenderedPageBreak/>
        <w:t>Leviticus 6,13</w:t>
      </w:r>
    </w:p>
    <w:p w14:paraId="10F0498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זֶ֡ה קָרְבַּן֩ אַהֲרֹ֨ן וּבָנָ֜יו אֲשֶׁר־יַקְרִ֣יבוּ לַֽיהוָ֗ה בְּיוֹם֙ הִמָּשַׁ֣ח אֹתוֹ֔ עֲשִׂירִ֨ת הָאֵפָ֥ה סֹ֛לֶת מִנְחָ֖ה תָּמִ֑יד מַחֲצִיתָ֣הּ בַּבֹּ֔קֶר וּמַחֲצִיתָ֖הּ בָּעָֽרֶב׃</w:t>
      </w:r>
    </w:p>
    <w:p w14:paraId="6D4285F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Dies ist die Opfergabe Aarons und seiner Söhne, die sie dem Ewigen darbringen sollen an dem Tag, da er gesalbt wird: Ein Zehntel Epha Feinmehl als beständiges Speiseopfer, die Hälfte davon am Morgen und die Hälfte davon am Abend.</w:t>
      </w:r>
    </w:p>
    <w:p w14:paraId="2C1ACD45"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1E5F19BE">
          <v:rect id="_x0000_i1148" style="width:0;height:1.5pt" o:hralign="center" o:hrstd="t" o:hr="t" fillcolor="#a0a0a0" stroked="f"/>
        </w:pict>
      </w:r>
    </w:p>
    <w:p w14:paraId="1B4196E0" w14:textId="55A077F5"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זֶ֡ה קָרְבַּן֩ אַהֲרֹ֨ן וּבָנָ֜יו אֲשֶׁר־יַקְרִ֣יבוּ לַֽיהוָ֗ה בְּיוֹם֙ הִמָּשַׁ֣ח אֹתוֹ֔</w:t>
      </w:r>
      <w:r w:rsidRPr="00B2490C">
        <w:rPr>
          <w:rFonts w:eastAsia="Times New Roman" w:cs="Times New Roman"/>
          <w:rtl/>
          <w:lang w:eastAsia="de-DE"/>
        </w:rPr>
        <w:t xml:space="preserve"> </w:t>
      </w:r>
      <w:r w:rsidRPr="00B2490C">
        <w:rPr>
          <w:rFonts w:eastAsia="Times New Roman" w:cs="Times New Roman"/>
          <w:lang w:eastAsia="de-DE"/>
        </w:rPr>
        <w:t xml:space="preserve">(dies ist die Opfergabe Aarons und seiner Söhne, die sie JHWH darbringen sollen am Tag, da er gesalbt wird) führt die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ein. </w:t>
      </w:r>
      <w:r w:rsidRPr="00B2490C">
        <w:rPr>
          <w:rFonts w:eastAsia="Times New Roman" w:cs="Times New Roman"/>
          <w:b/>
          <w:bCs/>
          <w:rtl/>
          <w:lang w:eastAsia="de-DE"/>
        </w:rPr>
        <w:t>זה קרבן אהרן ובניו</w:t>
      </w:r>
      <w:r w:rsidRPr="00B2490C">
        <w:rPr>
          <w:rFonts w:eastAsia="Times New Roman" w:cs="Times New Roman"/>
          <w:rtl/>
          <w:lang w:eastAsia="de-DE"/>
        </w:rPr>
        <w:t xml:space="preserve"> </w:t>
      </w:r>
      <w:r w:rsidRPr="00B2490C">
        <w:rPr>
          <w:rFonts w:eastAsia="Times New Roman" w:cs="Times New Roman"/>
          <w:lang w:eastAsia="de-DE"/>
        </w:rPr>
        <w:t xml:space="preserve">(dies ist die Opfergabe Aarons und seiner Söhne), </w:t>
      </w:r>
      <w:r w:rsidRPr="00B2490C">
        <w:rPr>
          <w:rFonts w:eastAsia="Times New Roman" w:cs="Times New Roman"/>
          <w:b/>
          <w:bCs/>
          <w:rtl/>
          <w:lang w:eastAsia="de-DE"/>
        </w:rPr>
        <w:t>ביום המשח אתו</w:t>
      </w:r>
      <w:r w:rsidRPr="00B2490C">
        <w:rPr>
          <w:rFonts w:eastAsia="Times New Roman" w:cs="Times New Roman"/>
          <w:rtl/>
          <w:lang w:eastAsia="de-DE"/>
        </w:rPr>
        <w:t xml:space="preserve"> </w:t>
      </w:r>
      <w:r w:rsidRPr="00B2490C">
        <w:rPr>
          <w:rFonts w:eastAsia="Times New Roman" w:cs="Times New Roman"/>
          <w:lang w:eastAsia="de-DE"/>
        </w:rPr>
        <w:t xml:space="preserve">(am Tag, da er gesalbt wird) </w:t>
      </w:r>
      <w:r w:rsidR="00102B3D">
        <w:t xml:space="preserve">zeigt diese </w:t>
      </w:r>
      <w:r w:rsidR="00102B3D">
        <w:rPr>
          <w:rtl/>
        </w:rPr>
        <w:t>מנחה</w:t>
      </w:r>
      <w:r w:rsidR="00102B3D">
        <w:t xml:space="preserve"> als Weihe-Opfer für Priester. </w:t>
      </w:r>
      <w:r w:rsidR="00102B3D" w:rsidRPr="00102B3D">
        <w:rPr>
          <w:b/>
          <w:bCs/>
          <w:rtl/>
        </w:rPr>
        <w:t>מנחה תמיד</w:t>
      </w:r>
      <w:r w:rsidR="00102B3D" w:rsidRPr="00102B3D">
        <w:rPr>
          <w:b/>
          <w:bCs/>
        </w:rPr>
        <w:t xml:space="preserve"> </w:t>
      </w:r>
      <w:r w:rsidR="00102B3D">
        <w:t xml:space="preserve">(beständiges Speiseopfer) unterscheidet sich von gewöhnlicher </w:t>
      </w:r>
      <w:r w:rsidR="00102B3D">
        <w:rPr>
          <w:rtl/>
        </w:rPr>
        <w:t>מנחה</w:t>
      </w:r>
      <w:r w:rsidR="00102B3D">
        <w:t xml:space="preserve">: tägliche Wiederholung. Die Formulierung </w:t>
      </w:r>
      <w:r w:rsidR="00102B3D" w:rsidRPr="00102B3D">
        <w:rPr>
          <w:b/>
          <w:bCs/>
          <w:rtl/>
        </w:rPr>
        <w:t>ביום המשח</w:t>
      </w:r>
      <w:r w:rsidR="00102B3D">
        <w:rPr>
          <w:rtl/>
        </w:rPr>
        <w:t xml:space="preserve"> </w:t>
      </w:r>
      <w:r w:rsidR="00102B3D" w:rsidRPr="00102B3D">
        <w:rPr>
          <w:b/>
          <w:bCs/>
          <w:rtl/>
        </w:rPr>
        <w:t>אתו</w:t>
      </w:r>
      <w:r w:rsidR="00102B3D">
        <w:t xml:space="preserve"> ist textkritisch ambivalent: Sie kann sich auf die einmalige Amtseinsetzung beziehen (so die traditionelle Deutung) oder auf jeden Tag der Amtsausübung. Der Kontext </w:t>
      </w:r>
      <w:r w:rsidR="00102B3D">
        <w:rPr>
          <w:rtl/>
        </w:rPr>
        <w:t>מנחה תמיד</w:t>
      </w:r>
      <w:r w:rsidR="00102B3D">
        <w:t xml:space="preserve"> (beständiges Speiseopfer) mit der täglichen Aufteilung </w:t>
      </w:r>
      <w:r w:rsidR="00102B3D" w:rsidRPr="00102B3D">
        <w:rPr>
          <w:b/>
          <w:bCs/>
          <w:rtl/>
        </w:rPr>
        <w:t>מחציתה בבקר ומחציתה בערב</w:t>
      </w:r>
      <w:r w:rsidR="00102B3D">
        <w:t xml:space="preserve"> spricht für eine kontinuierliche Verpflichtung während der gesamten Amtszeit, nicht nur am Weihertag. Diese </w:t>
      </w:r>
      <w:r w:rsidR="00102B3D" w:rsidRPr="00102B3D">
        <w:rPr>
          <w:b/>
          <w:bCs/>
          <w:rtl/>
        </w:rPr>
        <w:t>מנחת כהן</w:t>
      </w:r>
      <w:r w:rsidR="00102B3D">
        <w:t xml:space="preserve"> fungiert als tägliche Amtsbestätigung und Reinerhaltung der priesterlichen </w:t>
      </w:r>
      <w:r w:rsidR="00102B3D" w:rsidRPr="00102B3D">
        <w:rPr>
          <w:b/>
          <w:bCs/>
          <w:rtl/>
        </w:rPr>
        <w:t>קדושה</w:t>
      </w:r>
      <w:r w:rsidR="00102B3D">
        <w:t xml:space="preserve">, analog zum </w:t>
      </w:r>
      <w:r w:rsidR="00102B3D">
        <w:rPr>
          <w:rtl/>
        </w:rPr>
        <w:t>תמיד</w:t>
      </w:r>
      <w:r w:rsidR="00102B3D">
        <w:t>-Opfer als kontinuierlicher Gottesdienst.</w:t>
      </w:r>
    </w:p>
    <w:p w14:paraId="3E45DBCD"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עֲשִׂירִ֨ת הָאֵפָ֥ה סֹ֛לֶת מִנְחָ֖ה תָּמִ֑יד</w:t>
      </w:r>
      <w:r w:rsidRPr="00B2490C">
        <w:rPr>
          <w:rFonts w:eastAsia="Times New Roman" w:cs="Times New Roman"/>
          <w:rtl/>
          <w:lang w:eastAsia="de-DE"/>
        </w:rPr>
        <w:t xml:space="preserve"> </w:t>
      </w:r>
      <w:r w:rsidRPr="00B2490C">
        <w:rPr>
          <w:rFonts w:eastAsia="Times New Roman" w:cs="Times New Roman"/>
          <w:lang w:eastAsia="de-DE"/>
        </w:rPr>
        <w:t xml:space="preserve">(ein Zehntel Epha Feinmehl als beständiges Speiseopfer) spezifiziert die Menge. </w:t>
      </w:r>
      <w:r w:rsidRPr="00B2490C">
        <w:rPr>
          <w:rFonts w:eastAsia="Times New Roman" w:cs="Times New Roman"/>
          <w:b/>
          <w:bCs/>
          <w:rtl/>
          <w:lang w:eastAsia="de-DE"/>
        </w:rPr>
        <w:t>עשירת האפה</w:t>
      </w:r>
      <w:r w:rsidRPr="00B2490C">
        <w:rPr>
          <w:rFonts w:eastAsia="Times New Roman" w:cs="Times New Roman"/>
          <w:rtl/>
          <w:lang w:eastAsia="de-DE"/>
        </w:rPr>
        <w:t xml:space="preserve"> </w:t>
      </w:r>
      <w:r w:rsidRPr="00B2490C">
        <w:rPr>
          <w:rFonts w:eastAsia="Times New Roman" w:cs="Times New Roman"/>
          <w:lang w:eastAsia="de-DE"/>
        </w:rPr>
        <w:t xml:space="preserve">(ein Zehntel Epha) entspricht 5,11, </w:t>
      </w:r>
      <w:r w:rsidRPr="00B2490C">
        <w:rPr>
          <w:rFonts w:eastAsia="Times New Roman" w:cs="Times New Roman"/>
          <w:b/>
          <w:bCs/>
          <w:rtl/>
          <w:lang w:eastAsia="de-DE"/>
        </w:rPr>
        <w:t>סלת מנחה תמיד</w:t>
      </w:r>
      <w:r w:rsidRPr="00B2490C">
        <w:rPr>
          <w:rFonts w:eastAsia="Times New Roman" w:cs="Times New Roman"/>
          <w:rtl/>
          <w:lang w:eastAsia="de-DE"/>
        </w:rPr>
        <w:t xml:space="preserve"> </w:t>
      </w:r>
      <w:r w:rsidRPr="00B2490C">
        <w:rPr>
          <w:rFonts w:eastAsia="Times New Roman" w:cs="Times New Roman"/>
          <w:lang w:eastAsia="de-DE"/>
        </w:rPr>
        <w:t xml:space="preserve">(Feinmehl als beständiges Speiseopfer) mit </w:t>
      </w:r>
      <w:r w:rsidRPr="00B2490C">
        <w:rPr>
          <w:rFonts w:eastAsia="Times New Roman" w:cs="Times New Roman"/>
          <w:b/>
          <w:bCs/>
          <w:rtl/>
          <w:lang w:eastAsia="de-DE"/>
        </w:rPr>
        <w:t>תמיד</w:t>
      </w:r>
      <w:r w:rsidRPr="00B2490C">
        <w:rPr>
          <w:rFonts w:eastAsia="Times New Roman" w:cs="Times New Roman"/>
          <w:rtl/>
          <w:lang w:eastAsia="de-DE"/>
        </w:rPr>
        <w:t xml:space="preserve"> </w:t>
      </w:r>
      <w:r w:rsidRPr="00B2490C">
        <w:rPr>
          <w:rFonts w:eastAsia="Times New Roman" w:cs="Times New Roman"/>
          <w:lang w:eastAsia="de-DE"/>
        </w:rPr>
        <w:t>(beständig).</w:t>
      </w:r>
    </w:p>
    <w:p w14:paraId="190E2BC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מַחֲצִיתָ֣הּ בַּבֹּ֔קֶר וּמַחֲצִיתָ֖הּ בָּעָֽרֶב</w:t>
      </w:r>
      <w:r w:rsidRPr="00B2490C">
        <w:rPr>
          <w:rFonts w:eastAsia="Times New Roman" w:cs="Times New Roman"/>
          <w:rtl/>
          <w:lang w:eastAsia="de-DE"/>
        </w:rPr>
        <w:t xml:space="preserve"> </w:t>
      </w:r>
      <w:r w:rsidRPr="00B2490C">
        <w:rPr>
          <w:rFonts w:eastAsia="Times New Roman" w:cs="Times New Roman"/>
          <w:lang w:eastAsia="de-DE"/>
        </w:rPr>
        <w:t xml:space="preserve">(die Hälfte davon am Morgen und die Hälfte davon am Abend) zeigt die tägliche Aufteilung. </w:t>
      </w:r>
      <w:r w:rsidRPr="00B2490C">
        <w:rPr>
          <w:rFonts w:eastAsia="Times New Roman" w:cs="Times New Roman"/>
          <w:b/>
          <w:bCs/>
          <w:rtl/>
          <w:lang w:eastAsia="de-DE"/>
        </w:rPr>
        <w:t>מחציתה</w:t>
      </w:r>
      <w:r w:rsidRPr="00B2490C">
        <w:rPr>
          <w:rFonts w:eastAsia="Times New Roman" w:cs="Times New Roman"/>
          <w:rtl/>
          <w:lang w:eastAsia="de-DE"/>
        </w:rPr>
        <w:t xml:space="preserve"> </w:t>
      </w:r>
      <w:r w:rsidRPr="00B2490C">
        <w:rPr>
          <w:rFonts w:eastAsia="Times New Roman" w:cs="Times New Roman"/>
          <w:lang w:eastAsia="de-DE"/>
        </w:rPr>
        <w:t xml:space="preserve">(die Hälfte davon) zweimal, </w:t>
      </w:r>
      <w:r w:rsidRPr="00B2490C">
        <w:rPr>
          <w:rFonts w:eastAsia="Times New Roman" w:cs="Times New Roman"/>
          <w:b/>
          <w:bCs/>
          <w:rtl/>
          <w:lang w:eastAsia="de-DE"/>
        </w:rPr>
        <w:t>בבקר</w:t>
      </w:r>
      <w:r w:rsidRPr="00B2490C">
        <w:rPr>
          <w:rFonts w:eastAsia="Times New Roman" w:cs="Times New Roman"/>
          <w:rtl/>
          <w:lang w:eastAsia="de-DE"/>
        </w:rPr>
        <w:t xml:space="preserve"> </w:t>
      </w:r>
      <w:r w:rsidRPr="00B2490C">
        <w:rPr>
          <w:rFonts w:eastAsia="Times New Roman" w:cs="Times New Roman"/>
          <w:lang w:eastAsia="de-DE"/>
        </w:rPr>
        <w:t xml:space="preserve">(am Morgen), </w:t>
      </w:r>
      <w:r w:rsidRPr="00B2490C">
        <w:rPr>
          <w:rFonts w:eastAsia="Times New Roman" w:cs="Times New Roman"/>
          <w:b/>
          <w:bCs/>
          <w:rtl/>
          <w:lang w:eastAsia="de-DE"/>
        </w:rPr>
        <w:t>בערב</w:t>
      </w:r>
      <w:r w:rsidRPr="00B2490C">
        <w:rPr>
          <w:rFonts w:eastAsia="Times New Roman" w:cs="Times New Roman"/>
          <w:rtl/>
          <w:lang w:eastAsia="de-DE"/>
        </w:rPr>
        <w:t xml:space="preserve"> </w:t>
      </w:r>
      <w:r w:rsidRPr="00B2490C">
        <w:rPr>
          <w:rFonts w:eastAsia="Times New Roman" w:cs="Times New Roman"/>
          <w:lang w:eastAsia="de-DE"/>
        </w:rPr>
        <w:t>(am Abend).</w:t>
      </w:r>
    </w:p>
    <w:p w14:paraId="4FB339A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ביום המשח אתו</w:t>
      </w:r>
      <w:r w:rsidRPr="00B2490C">
        <w:rPr>
          <w:rFonts w:eastAsia="Times New Roman" w:cs="Times New Roman"/>
          <w:rtl/>
          <w:lang w:eastAsia="de-DE"/>
        </w:rPr>
        <w:t xml:space="preserve"> </w:t>
      </w:r>
      <w:r w:rsidRPr="00B2490C">
        <w:rPr>
          <w:rFonts w:eastAsia="Times New Roman" w:cs="Times New Roman"/>
          <w:lang w:eastAsia="de-DE"/>
        </w:rPr>
        <w:t xml:space="preserve">(am Tag, da er gesalbt wird) zeigt diese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als Weihe-Opfer für Priester. </w:t>
      </w:r>
      <w:r w:rsidRPr="00B2490C">
        <w:rPr>
          <w:rFonts w:eastAsia="Times New Roman" w:cs="Times New Roman"/>
          <w:b/>
          <w:bCs/>
          <w:rtl/>
          <w:lang w:eastAsia="de-DE"/>
        </w:rPr>
        <w:t>מנחה תמיד</w:t>
      </w:r>
      <w:r w:rsidRPr="00B2490C">
        <w:rPr>
          <w:rFonts w:eastAsia="Times New Roman" w:cs="Times New Roman"/>
          <w:rtl/>
          <w:lang w:eastAsia="de-DE"/>
        </w:rPr>
        <w:t xml:space="preserve"> </w:t>
      </w:r>
      <w:r w:rsidRPr="00B2490C">
        <w:rPr>
          <w:rFonts w:eastAsia="Times New Roman" w:cs="Times New Roman"/>
          <w:lang w:eastAsia="de-DE"/>
        </w:rPr>
        <w:t xml:space="preserve">(beständiges Speiseopfer) unterscheidet sich von gewöhnlicher </w:t>
      </w:r>
      <w:r w:rsidRPr="00B2490C">
        <w:rPr>
          <w:rFonts w:eastAsia="Times New Roman" w:cs="Times New Roman"/>
          <w:b/>
          <w:bCs/>
          <w:rtl/>
          <w:lang w:eastAsia="de-DE"/>
        </w:rPr>
        <w:t>מנחה</w:t>
      </w:r>
      <w:r w:rsidRPr="00B2490C">
        <w:rPr>
          <w:rFonts w:eastAsia="Times New Roman" w:cs="Times New Roman"/>
          <w:lang w:eastAsia="de-DE"/>
        </w:rPr>
        <w:t>: tägliche Wiederholung.</w:t>
      </w:r>
    </w:p>
    <w:p w14:paraId="29B6AD6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מחציתה בבקר ומחציתה בערב</w:t>
      </w:r>
      <w:r w:rsidRPr="00B2490C">
        <w:rPr>
          <w:rFonts w:eastAsia="Times New Roman" w:cs="Times New Roman"/>
          <w:rtl/>
          <w:lang w:eastAsia="de-DE"/>
        </w:rPr>
        <w:t xml:space="preserve"> </w:t>
      </w:r>
      <w:r w:rsidRPr="00B2490C">
        <w:rPr>
          <w:rFonts w:eastAsia="Times New Roman" w:cs="Times New Roman"/>
          <w:lang w:eastAsia="de-DE"/>
        </w:rPr>
        <w:t xml:space="preserve">etabliert zweimalige tägliche Darbringung, parallel zu anderen </w:t>
      </w:r>
      <w:r w:rsidRPr="00B2490C">
        <w:rPr>
          <w:rFonts w:eastAsia="Times New Roman" w:cs="Times New Roman"/>
          <w:b/>
          <w:bCs/>
          <w:rtl/>
          <w:lang w:eastAsia="de-DE"/>
        </w:rPr>
        <w:t>תמיד</w:t>
      </w:r>
      <w:r w:rsidRPr="00B2490C">
        <w:rPr>
          <w:rFonts w:eastAsia="Times New Roman" w:cs="Times New Roman"/>
          <w:lang w:eastAsia="de-DE"/>
        </w:rPr>
        <w:t>-Opfern.</w:t>
      </w:r>
    </w:p>
    <w:p w14:paraId="60263E8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בְּיוֹם֙ הִמָּשַׁ֣ח</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ἡμέρᾳ</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χρίσεως</w:t>
      </w:r>
      <w:proofErr w:type="spellEnd"/>
      <w:r w:rsidRPr="00B2490C">
        <w:rPr>
          <w:rFonts w:eastAsia="Times New Roman" w:cs="Times New Roman"/>
          <w:lang w:eastAsia="de-DE"/>
        </w:rPr>
        <w:t xml:space="preserve"> (am Tag der Salbung), </w:t>
      </w:r>
      <w:r w:rsidRPr="00B2490C">
        <w:rPr>
          <w:rFonts w:eastAsia="Times New Roman" w:cs="Times New Roman"/>
          <w:b/>
          <w:bCs/>
          <w:rtl/>
          <w:lang w:eastAsia="de-DE"/>
        </w:rPr>
        <w:t>תָּמִ֑יד</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διὰ</w:t>
      </w:r>
      <w:proofErr w:type="spellEnd"/>
      <w:r w:rsidRPr="00B2490C">
        <w:rPr>
          <w:rFonts w:eastAsia="Times New Roman" w:cs="Times New Roman"/>
          <w:lang w:eastAsia="de-DE"/>
        </w:rPr>
        <w:t xml:space="preserve"> πα</w:t>
      </w:r>
      <w:proofErr w:type="spellStart"/>
      <w:r w:rsidRPr="00B2490C">
        <w:rPr>
          <w:rFonts w:eastAsia="Times New Roman" w:cs="Times New Roman"/>
          <w:lang w:eastAsia="de-DE"/>
        </w:rPr>
        <w:t>ντός</w:t>
      </w:r>
      <w:proofErr w:type="spellEnd"/>
      <w:r w:rsidRPr="00B2490C">
        <w:rPr>
          <w:rFonts w:eastAsia="Times New Roman" w:cs="Times New Roman"/>
          <w:lang w:eastAsia="de-DE"/>
        </w:rPr>
        <w:t xml:space="preserve"> (kontinuierlich) und </w:t>
      </w:r>
      <w:r w:rsidRPr="00B2490C">
        <w:rPr>
          <w:rFonts w:eastAsia="Times New Roman" w:cs="Times New Roman"/>
          <w:b/>
          <w:bCs/>
          <w:rtl/>
          <w:lang w:eastAsia="de-DE"/>
        </w:rPr>
        <w:t>מַחֲצִיתָ֣הּ</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τὸ</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ἥμισυ</w:t>
      </w:r>
      <w:proofErr w:type="spellEnd"/>
      <w:r w:rsidRPr="00B2490C">
        <w:rPr>
          <w:rFonts w:eastAsia="Times New Roman" w:cs="Times New Roman"/>
          <w:lang w:eastAsia="de-DE"/>
        </w:rPr>
        <w:t xml:space="preserve"> α</w:t>
      </w:r>
      <w:proofErr w:type="spellStart"/>
      <w:r w:rsidRPr="00B2490C">
        <w:rPr>
          <w:rFonts w:eastAsia="Times New Roman" w:cs="Times New Roman"/>
          <w:lang w:eastAsia="de-DE"/>
        </w:rPr>
        <w:t>ὐτῆς</w:t>
      </w:r>
      <w:proofErr w:type="spellEnd"/>
      <w:r w:rsidRPr="00B2490C">
        <w:rPr>
          <w:rFonts w:eastAsia="Times New Roman" w:cs="Times New Roman"/>
          <w:lang w:eastAsia="de-DE"/>
        </w:rPr>
        <w:t xml:space="preserve"> (die Hälfte davon).</w:t>
      </w:r>
    </w:p>
    <w:p w14:paraId="363A78A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Opferidentifikation + Darbringungsumstände + Mengenangabe + zeitliche Aufteilung. Die Struktur führt ein neues </w:t>
      </w:r>
      <w:r w:rsidRPr="00B2490C">
        <w:rPr>
          <w:rFonts w:eastAsia="Times New Roman" w:cs="Times New Roman"/>
          <w:b/>
          <w:bCs/>
          <w:rtl/>
          <w:lang w:eastAsia="de-DE"/>
        </w:rPr>
        <w:t>מנחה</w:t>
      </w:r>
      <w:r w:rsidRPr="00B2490C">
        <w:rPr>
          <w:rFonts w:eastAsia="Times New Roman" w:cs="Times New Roman"/>
          <w:lang w:eastAsia="de-DE"/>
        </w:rPr>
        <w:t>-Genre ein.</w:t>
      </w:r>
    </w:p>
    <w:p w14:paraId="7C3422F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führt die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als Weiheopfer mit täglicher Wiederholung ein: ein Zehntel Epha Feinmehl, aufgeteilt auf Morgen und Abend.</w:t>
      </w:r>
    </w:p>
    <w:p w14:paraId="66354B9A"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6,14</w:t>
      </w:r>
    </w:p>
    <w:p w14:paraId="25A233E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Hebräisch:</w:t>
      </w:r>
      <w:r w:rsidRPr="00B2490C">
        <w:rPr>
          <w:rFonts w:eastAsia="Times New Roman" w:cs="Times New Roman"/>
          <w:lang w:eastAsia="de-DE"/>
        </w:rPr>
        <w:t xml:space="preserve"> </w:t>
      </w:r>
      <w:r w:rsidRPr="00B2490C">
        <w:rPr>
          <w:rFonts w:eastAsia="Times New Roman" w:cs="Times New Roman"/>
          <w:rtl/>
          <w:lang w:eastAsia="de-DE"/>
        </w:rPr>
        <w:t>עַֽל־מַחֲבַ֗ת בַּשֶּׁ֛מֶן תֵּעָשֶׂ֖ה מֻרְבֶּ֣כֶת תְּבִיאֶ֑נָּה תֻּפִינֵי֙ מִנְחַ֣ת פִּתִּ֔ים תַּקְרִ֥יב רֵֽיחַ־נִיחֹ֖חַ לַיהוָֽה׃</w:t>
      </w:r>
    </w:p>
    <w:p w14:paraId="5AAE006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Es soll in der Pfanne mit Öl zubereitet werden, eingerührt sollst du es bringen; gebackene Speisopferstücke sollst du als wohlgefälligen Geruch dem Ewigen darbringen.</w:t>
      </w:r>
    </w:p>
    <w:p w14:paraId="6052674D"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416B622B">
          <v:rect id="_x0000_i1149" style="width:0;height:1.5pt" o:hralign="center" o:hrstd="t" o:hr="t" fillcolor="#a0a0a0" stroked="f"/>
        </w:pict>
      </w:r>
    </w:p>
    <w:p w14:paraId="5451E6C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עַֽל־מַחֲבַ֗ת בַּשֶּׁ֛מֶן תֵּעָשֶׂ֖ה מֻרְבֶּ֣כֶת תְּבִיאֶ֑נָּה</w:t>
      </w:r>
      <w:r w:rsidRPr="00B2490C">
        <w:rPr>
          <w:rFonts w:eastAsia="Times New Roman" w:cs="Times New Roman"/>
          <w:rtl/>
          <w:lang w:eastAsia="de-DE"/>
        </w:rPr>
        <w:t xml:space="preserve"> </w:t>
      </w:r>
      <w:r w:rsidRPr="00B2490C">
        <w:rPr>
          <w:rFonts w:eastAsia="Times New Roman" w:cs="Times New Roman"/>
          <w:lang w:eastAsia="de-DE"/>
        </w:rPr>
        <w:t xml:space="preserve">(auf der Pfanne mit Öl soll es gemacht werden, eingerührt sollst du es bringen) beschreibt die Zubereitung. </w:t>
      </w:r>
      <w:r w:rsidRPr="00B2490C">
        <w:rPr>
          <w:rFonts w:eastAsia="Times New Roman" w:cs="Times New Roman"/>
          <w:b/>
          <w:bCs/>
          <w:rtl/>
          <w:lang w:eastAsia="de-DE"/>
        </w:rPr>
        <w:t>על־מחבת בשמן תעשה</w:t>
      </w:r>
      <w:r w:rsidRPr="00B2490C">
        <w:rPr>
          <w:rFonts w:eastAsia="Times New Roman" w:cs="Times New Roman"/>
          <w:rtl/>
          <w:lang w:eastAsia="de-DE"/>
        </w:rPr>
        <w:t xml:space="preserve"> </w:t>
      </w:r>
      <w:r w:rsidRPr="00B2490C">
        <w:rPr>
          <w:rFonts w:eastAsia="Times New Roman" w:cs="Times New Roman"/>
          <w:lang w:eastAsia="de-DE"/>
        </w:rPr>
        <w:t xml:space="preserve">(auf der Pfanne mit Öl soll es gemacht werden) entspricht 2,5, </w:t>
      </w:r>
      <w:r w:rsidRPr="00B2490C">
        <w:rPr>
          <w:rFonts w:eastAsia="Times New Roman" w:cs="Times New Roman"/>
          <w:b/>
          <w:bCs/>
          <w:rtl/>
          <w:lang w:eastAsia="de-DE"/>
        </w:rPr>
        <w:t>מרבכת תביאנה</w:t>
      </w:r>
      <w:r w:rsidRPr="00B2490C">
        <w:rPr>
          <w:rFonts w:eastAsia="Times New Roman" w:cs="Times New Roman"/>
          <w:rtl/>
          <w:lang w:eastAsia="de-DE"/>
        </w:rPr>
        <w:t xml:space="preserve"> </w:t>
      </w:r>
      <w:r w:rsidRPr="00B2490C">
        <w:rPr>
          <w:rFonts w:eastAsia="Times New Roman" w:cs="Times New Roman"/>
          <w:lang w:eastAsia="de-DE"/>
        </w:rPr>
        <w:t xml:space="preserve">(eingerührt sollst du es bringen) von </w:t>
      </w:r>
      <w:r w:rsidRPr="00B2490C">
        <w:rPr>
          <w:rFonts w:eastAsia="Times New Roman" w:cs="Times New Roman"/>
          <w:b/>
          <w:bCs/>
          <w:rtl/>
          <w:lang w:eastAsia="de-DE"/>
        </w:rPr>
        <w:t>רבך</w:t>
      </w:r>
      <w:r w:rsidRPr="00B2490C">
        <w:rPr>
          <w:rFonts w:eastAsia="Times New Roman" w:cs="Times New Roman"/>
          <w:rtl/>
          <w:lang w:eastAsia="de-DE"/>
        </w:rPr>
        <w:t xml:space="preserve"> </w:t>
      </w:r>
      <w:r w:rsidRPr="00B2490C">
        <w:rPr>
          <w:rFonts w:eastAsia="Times New Roman" w:cs="Times New Roman"/>
          <w:lang w:eastAsia="de-DE"/>
        </w:rPr>
        <w:t>(einrühren/kneten).</w:t>
      </w:r>
    </w:p>
    <w:p w14:paraId="650FA9D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תֻּפִינֵי֙ מִנְחַ֣ת פִּתִּ֔ים תַּקְרִ֥יב רֵֽיחַ־נִיחֹ֖חַ לַיהוָֽה</w:t>
      </w:r>
      <w:r w:rsidRPr="00B2490C">
        <w:rPr>
          <w:rFonts w:eastAsia="Times New Roman" w:cs="Times New Roman"/>
          <w:rtl/>
          <w:lang w:eastAsia="de-DE"/>
        </w:rPr>
        <w:t xml:space="preserve"> </w:t>
      </w:r>
      <w:r w:rsidRPr="00B2490C">
        <w:rPr>
          <w:rFonts w:eastAsia="Times New Roman" w:cs="Times New Roman"/>
          <w:lang w:eastAsia="de-DE"/>
        </w:rPr>
        <w:t xml:space="preserve">(gebackene Speiseopferstücke sollst du als wohlgefälligen Geruch JHWH darbringen) zeigt die Darbringungsform. </w:t>
      </w:r>
      <w:r w:rsidRPr="00B2490C">
        <w:rPr>
          <w:rFonts w:eastAsia="Times New Roman" w:cs="Times New Roman"/>
          <w:b/>
          <w:bCs/>
          <w:rtl/>
          <w:lang w:eastAsia="de-DE"/>
        </w:rPr>
        <w:t>תפיני מנחת פתים</w:t>
      </w:r>
      <w:r w:rsidRPr="00B2490C">
        <w:rPr>
          <w:rFonts w:eastAsia="Times New Roman" w:cs="Times New Roman"/>
          <w:rtl/>
          <w:lang w:eastAsia="de-DE"/>
        </w:rPr>
        <w:t xml:space="preserve"> </w:t>
      </w:r>
      <w:r w:rsidRPr="00B2490C">
        <w:rPr>
          <w:rFonts w:eastAsia="Times New Roman" w:cs="Times New Roman"/>
          <w:lang w:eastAsia="de-DE"/>
        </w:rPr>
        <w:t xml:space="preserve">(gebackene Speiseopferstücke) von </w:t>
      </w:r>
      <w:r w:rsidRPr="00B2490C">
        <w:rPr>
          <w:rFonts w:eastAsia="Times New Roman" w:cs="Times New Roman"/>
          <w:b/>
          <w:bCs/>
          <w:rtl/>
          <w:lang w:eastAsia="de-DE"/>
        </w:rPr>
        <w:t>אפה</w:t>
      </w:r>
      <w:r w:rsidRPr="00B2490C">
        <w:rPr>
          <w:rFonts w:eastAsia="Times New Roman" w:cs="Times New Roman"/>
          <w:rtl/>
          <w:lang w:eastAsia="de-DE"/>
        </w:rPr>
        <w:t xml:space="preserve"> </w:t>
      </w:r>
      <w:r w:rsidRPr="00B2490C">
        <w:rPr>
          <w:rFonts w:eastAsia="Times New Roman" w:cs="Times New Roman"/>
          <w:lang w:eastAsia="de-DE"/>
        </w:rPr>
        <w:t xml:space="preserve">(backen) und </w:t>
      </w:r>
      <w:r w:rsidRPr="00B2490C">
        <w:rPr>
          <w:rFonts w:eastAsia="Times New Roman" w:cs="Times New Roman"/>
          <w:b/>
          <w:bCs/>
          <w:rtl/>
          <w:lang w:eastAsia="de-DE"/>
        </w:rPr>
        <w:t>פת</w:t>
      </w:r>
      <w:r w:rsidRPr="00B2490C">
        <w:rPr>
          <w:rFonts w:eastAsia="Times New Roman" w:cs="Times New Roman"/>
          <w:rtl/>
          <w:lang w:eastAsia="de-DE"/>
        </w:rPr>
        <w:t xml:space="preserve"> </w:t>
      </w:r>
      <w:r w:rsidRPr="00B2490C">
        <w:rPr>
          <w:rFonts w:eastAsia="Times New Roman" w:cs="Times New Roman"/>
          <w:lang w:eastAsia="de-DE"/>
        </w:rPr>
        <w:t xml:space="preserve">(Bissen/Stück), </w:t>
      </w:r>
      <w:r w:rsidRPr="00B2490C">
        <w:rPr>
          <w:rFonts w:eastAsia="Times New Roman" w:cs="Times New Roman"/>
          <w:b/>
          <w:bCs/>
          <w:rtl/>
          <w:lang w:eastAsia="de-DE"/>
        </w:rPr>
        <w:t>תקריב ריח־ניחח ליהוה</w:t>
      </w:r>
      <w:r w:rsidRPr="00B2490C">
        <w:rPr>
          <w:rFonts w:eastAsia="Times New Roman" w:cs="Times New Roman"/>
          <w:rtl/>
          <w:lang w:eastAsia="de-DE"/>
        </w:rPr>
        <w:t xml:space="preserve"> </w:t>
      </w:r>
      <w:r w:rsidRPr="00B2490C">
        <w:rPr>
          <w:rFonts w:eastAsia="Times New Roman" w:cs="Times New Roman"/>
          <w:lang w:eastAsia="de-DE"/>
        </w:rPr>
        <w:t>(sollst du als wohlgefälligen Geruch JHWH darbringen).</w:t>
      </w:r>
    </w:p>
    <w:p w14:paraId="24F3DB3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על־מחבת בשמן</w:t>
      </w:r>
      <w:r w:rsidRPr="00B2490C">
        <w:rPr>
          <w:rFonts w:eastAsia="Times New Roman" w:cs="Times New Roman"/>
          <w:rtl/>
          <w:lang w:eastAsia="de-DE"/>
        </w:rPr>
        <w:t xml:space="preserve"> </w:t>
      </w:r>
      <w:r w:rsidRPr="00B2490C">
        <w:rPr>
          <w:rFonts w:eastAsia="Times New Roman" w:cs="Times New Roman"/>
          <w:lang w:eastAsia="de-DE"/>
        </w:rPr>
        <w:t xml:space="preserve">entspricht der </w:t>
      </w:r>
      <w:r w:rsidRPr="00B2490C">
        <w:rPr>
          <w:rFonts w:eastAsia="Times New Roman" w:cs="Times New Roman"/>
          <w:b/>
          <w:bCs/>
          <w:rtl/>
          <w:lang w:eastAsia="de-DE"/>
        </w:rPr>
        <w:t>מחבת</w:t>
      </w:r>
      <w:r w:rsidRPr="00B2490C">
        <w:rPr>
          <w:rFonts w:eastAsia="Times New Roman" w:cs="Times New Roman"/>
          <w:lang w:eastAsia="de-DE"/>
        </w:rPr>
        <w:t>-</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 xml:space="preserve">von 2,5-6. </w:t>
      </w:r>
      <w:r w:rsidRPr="00B2490C">
        <w:rPr>
          <w:rFonts w:eastAsia="Times New Roman" w:cs="Times New Roman"/>
          <w:b/>
          <w:bCs/>
          <w:rtl/>
          <w:lang w:eastAsia="de-DE"/>
        </w:rPr>
        <w:t>מרבכת</w:t>
      </w:r>
      <w:r w:rsidRPr="00B2490C">
        <w:rPr>
          <w:rFonts w:eastAsia="Times New Roman" w:cs="Times New Roman"/>
          <w:rtl/>
          <w:lang w:eastAsia="de-DE"/>
        </w:rPr>
        <w:t xml:space="preserve"> </w:t>
      </w:r>
      <w:r w:rsidRPr="00B2490C">
        <w:rPr>
          <w:rFonts w:eastAsia="Times New Roman" w:cs="Times New Roman"/>
          <w:lang w:eastAsia="de-DE"/>
        </w:rPr>
        <w:t xml:space="preserve">(eingerührt) von </w:t>
      </w:r>
      <w:r w:rsidRPr="00B2490C">
        <w:rPr>
          <w:rFonts w:eastAsia="Times New Roman" w:cs="Times New Roman"/>
          <w:b/>
          <w:bCs/>
          <w:rtl/>
          <w:lang w:eastAsia="de-DE"/>
        </w:rPr>
        <w:t>רבך</w:t>
      </w:r>
      <w:r w:rsidRPr="00B2490C">
        <w:rPr>
          <w:rFonts w:eastAsia="Times New Roman" w:cs="Times New Roman"/>
          <w:rtl/>
          <w:lang w:eastAsia="de-DE"/>
        </w:rPr>
        <w:t xml:space="preserve"> </w:t>
      </w:r>
      <w:r w:rsidRPr="00B2490C">
        <w:rPr>
          <w:rFonts w:eastAsia="Times New Roman" w:cs="Times New Roman"/>
          <w:lang w:eastAsia="de-DE"/>
        </w:rPr>
        <w:t>bezeichnet das Einrühren von Öl in das Mehl für gleichmäßige Konsistenz.</w:t>
      </w:r>
    </w:p>
    <w:p w14:paraId="3A2D068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תפיני מנחת פתים</w:t>
      </w:r>
      <w:r w:rsidRPr="00B2490C">
        <w:rPr>
          <w:rFonts w:eastAsia="Times New Roman" w:cs="Times New Roman"/>
          <w:rtl/>
          <w:lang w:eastAsia="de-DE"/>
        </w:rPr>
        <w:t xml:space="preserve"> </w:t>
      </w:r>
      <w:r w:rsidRPr="00B2490C">
        <w:rPr>
          <w:rFonts w:eastAsia="Times New Roman" w:cs="Times New Roman"/>
          <w:lang w:eastAsia="de-DE"/>
        </w:rPr>
        <w:t xml:space="preserve">(gebackene Speiseopferstücke) zeigt, dass die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in </w:t>
      </w:r>
      <w:r w:rsidRPr="00B2490C">
        <w:rPr>
          <w:rFonts w:eastAsia="Times New Roman" w:cs="Times New Roman"/>
          <w:b/>
          <w:bCs/>
          <w:rtl/>
          <w:lang w:eastAsia="de-DE"/>
        </w:rPr>
        <w:t>פתים</w:t>
      </w:r>
      <w:r w:rsidRPr="00B2490C">
        <w:rPr>
          <w:rFonts w:eastAsia="Times New Roman" w:cs="Times New Roman"/>
          <w:rtl/>
          <w:lang w:eastAsia="de-DE"/>
        </w:rPr>
        <w:t xml:space="preserve"> </w:t>
      </w:r>
      <w:r w:rsidRPr="00B2490C">
        <w:rPr>
          <w:rFonts w:eastAsia="Times New Roman" w:cs="Times New Roman"/>
          <w:lang w:eastAsia="de-DE"/>
        </w:rPr>
        <w:t xml:space="preserve">(Stücke/Bissen) geteilt und dann gebacken wird. </w:t>
      </w:r>
      <w:r w:rsidRPr="00B2490C">
        <w:rPr>
          <w:rFonts w:eastAsia="Times New Roman" w:cs="Times New Roman"/>
          <w:b/>
          <w:bCs/>
          <w:rtl/>
          <w:lang w:eastAsia="de-DE"/>
        </w:rPr>
        <w:t>ריח־ניחח ליהוה</w:t>
      </w:r>
      <w:r w:rsidRPr="00B2490C">
        <w:rPr>
          <w:rFonts w:eastAsia="Times New Roman" w:cs="Times New Roman"/>
          <w:rtl/>
          <w:lang w:eastAsia="de-DE"/>
        </w:rPr>
        <w:t xml:space="preserve"> </w:t>
      </w:r>
      <w:r w:rsidRPr="00B2490C">
        <w:rPr>
          <w:rFonts w:eastAsia="Times New Roman" w:cs="Times New Roman"/>
          <w:lang w:eastAsia="de-DE"/>
        </w:rPr>
        <w:t>klassifiziert diese als wohlgefälligen göttlichen Duft.</w:t>
      </w:r>
    </w:p>
    <w:p w14:paraId="6C610C96" w14:textId="36F098C9"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übersetzt </w:t>
      </w:r>
      <w:r w:rsidR="00577FFB">
        <w:rPr>
          <w:rtl/>
        </w:rPr>
        <w:t>תפיני מנחת פתים</w:t>
      </w:r>
      <w:r w:rsidR="00577FFB">
        <w:t xml:space="preserve"> (</w:t>
      </w:r>
      <w:proofErr w:type="spellStart"/>
      <w:r w:rsidR="00577FFB">
        <w:t>tuphinei</w:t>
      </w:r>
      <w:proofErr w:type="spellEnd"/>
      <w:r w:rsidR="00577FFB">
        <w:t xml:space="preserve"> </w:t>
      </w:r>
      <w:proofErr w:type="spellStart"/>
      <w:r w:rsidR="00577FFB">
        <w:t>minchat</w:t>
      </w:r>
      <w:proofErr w:type="spellEnd"/>
      <w:r w:rsidR="00577FFB">
        <w:t xml:space="preserve"> </w:t>
      </w:r>
      <w:proofErr w:type="spellStart"/>
      <w:r w:rsidR="00577FFB">
        <w:t>pittim</w:t>
      </w:r>
      <w:proofErr w:type="spellEnd"/>
      <w:r w:rsidR="00577FFB">
        <w:t xml:space="preserve"> - "Backwerk des Speisopfers in Stücken") als </w:t>
      </w:r>
      <w:proofErr w:type="spellStart"/>
      <w:r w:rsidR="00577FFB">
        <w:t>ἑλικτά</w:t>
      </w:r>
      <w:proofErr w:type="spellEnd"/>
      <w:r w:rsidR="00577FFB">
        <w:t xml:space="preserve">, </w:t>
      </w:r>
      <w:proofErr w:type="spellStart"/>
      <w:r w:rsidR="00577FFB">
        <w:t>θυσί</w:t>
      </w:r>
      <w:proofErr w:type="spellEnd"/>
      <w:r w:rsidR="00577FFB">
        <w:t xml:space="preserve">αν </w:t>
      </w:r>
      <w:proofErr w:type="spellStart"/>
      <w:r w:rsidR="00577FFB">
        <w:t>ἐκ</w:t>
      </w:r>
      <w:proofErr w:type="spellEnd"/>
      <w:r w:rsidR="00577FFB">
        <w:t xml:space="preserve"> </w:t>
      </w:r>
      <w:proofErr w:type="spellStart"/>
      <w:r w:rsidR="00577FFB">
        <w:t>κλ</w:t>
      </w:r>
      <w:proofErr w:type="spellEnd"/>
      <w:r w:rsidR="00577FFB">
        <w:t>ασμάτων (gewundenes Opfer aus Brocken).</w:t>
      </w:r>
    </w:p>
    <w:p w14:paraId="622CCDA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Zubereitungsanweisungen: Ortsangabe + Instrumentalangabe + Verb + Qualifikation + Verb // Objekt + Verb + Klassifikation + Dativangabe. Die Struktur beschreibt die spezielle Zubereitung der </w:t>
      </w:r>
      <w:r w:rsidRPr="00B2490C">
        <w:rPr>
          <w:rFonts w:eastAsia="Times New Roman" w:cs="Times New Roman"/>
          <w:b/>
          <w:bCs/>
          <w:rtl/>
          <w:lang w:eastAsia="de-DE"/>
        </w:rPr>
        <w:t>מנחת כהן</w:t>
      </w:r>
      <w:r w:rsidRPr="00B2490C">
        <w:rPr>
          <w:rFonts w:eastAsia="Times New Roman" w:cs="Times New Roman"/>
          <w:lang w:eastAsia="de-DE"/>
        </w:rPr>
        <w:t>.</w:t>
      </w:r>
    </w:p>
    <w:p w14:paraId="6BD96C22"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regelt die spezielle Zubereitung der </w:t>
      </w:r>
      <w:r w:rsidRPr="00B2490C">
        <w:rPr>
          <w:rFonts w:eastAsia="Times New Roman" w:cs="Times New Roman"/>
          <w:b/>
          <w:bCs/>
          <w:rtl/>
          <w:lang w:eastAsia="de-DE"/>
        </w:rPr>
        <w:t>מנחת כהן</w:t>
      </w:r>
      <w:r w:rsidRPr="00B2490C">
        <w:rPr>
          <w:rFonts w:eastAsia="Times New Roman" w:cs="Times New Roman"/>
          <w:lang w:eastAsia="de-DE"/>
        </w:rPr>
        <w:t>: Pfannenzubereitung mit Öl, Einrühren und Backen in Stücken.</w:t>
      </w:r>
    </w:p>
    <w:p w14:paraId="0F163B9B"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6,15</w:t>
      </w:r>
    </w:p>
    <w:p w14:paraId="62F9687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וְהַכֹּהֵ֨ן הַמָּשִׁ֧יחַ תַּחְתָּ֛יו מִבָּנָ֖יו יַעֲשֶׂ֣ה אֹתָ֑הּ חָק־עוֹלָ֕ם לַיהוָ֖ה כָּלִ֥יל תָּקְטָֽר׃</w:t>
      </w:r>
    </w:p>
    <w:p w14:paraId="1529C88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der Priester, der unter seinen Söhnen an seiner Stelle gesalbt wird, soll es opfern; eine ewige Satzung: Es soll dem Ewigen ganz geräuchert werden.</w:t>
      </w:r>
    </w:p>
    <w:p w14:paraId="7EFE52A1"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4FA1E4C9">
          <v:rect id="_x0000_i1150" style="width:0;height:1.5pt" o:hralign="center" o:hrstd="t" o:hr="t" fillcolor="#a0a0a0" stroked="f"/>
        </w:pict>
      </w:r>
    </w:p>
    <w:p w14:paraId="7DB4F32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וְהַכֹּהֵ֨ן הַמָּשִׁ֧יחַ תַּחְתָּ֛יו מִבָּנָ֖יו יַעֲשֶׂ֣ה אֹתָ֑הּ</w:t>
      </w:r>
      <w:r w:rsidRPr="00B2490C">
        <w:rPr>
          <w:rFonts w:eastAsia="Times New Roman" w:cs="Times New Roman"/>
          <w:rtl/>
          <w:lang w:eastAsia="de-DE"/>
        </w:rPr>
        <w:t xml:space="preserve"> </w:t>
      </w:r>
      <w:r w:rsidRPr="00B2490C">
        <w:rPr>
          <w:rFonts w:eastAsia="Times New Roman" w:cs="Times New Roman"/>
          <w:lang w:eastAsia="de-DE"/>
        </w:rPr>
        <w:t xml:space="preserve">(und der Priester, der an seiner Stelle gesalbt wird aus seinen Söhnen, soll es machen) regelt die Nachfolge. </w:t>
      </w:r>
      <w:r w:rsidRPr="00B2490C">
        <w:rPr>
          <w:rFonts w:eastAsia="Times New Roman" w:cs="Times New Roman"/>
          <w:b/>
          <w:bCs/>
          <w:rtl/>
          <w:lang w:eastAsia="de-DE"/>
        </w:rPr>
        <w:t>והכהן המשיח תחתיו מבניו</w:t>
      </w:r>
      <w:r w:rsidRPr="00B2490C">
        <w:rPr>
          <w:rFonts w:eastAsia="Times New Roman" w:cs="Times New Roman"/>
          <w:rtl/>
          <w:lang w:eastAsia="de-DE"/>
        </w:rPr>
        <w:t xml:space="preserve"> </w:t>
      </w:r>
      <w:r w:rsidRPr="00B2490C">
        <w:rPr>
          <w:rFonts w:eastAsia="Times New Roman" w:cs="Times New Roman"/>
          <w:lang w:eastAsia="de-DE"/>
        </w:rPr>
        <w:t xml:space="preserve">(und der Priester, der an seiner Stelle gesalbt wird aus seinen Söhnen), </w:t>
      </w:r>
      <w:r w:rsidRPr="00B2490C">
        <w:rPr>
          <w:rFonts w:eastAsia="Times New Roman" w:cs="Times New Roman"/>
          <w:b/>
          <w:bCs/>
          <w:rtl/>
          <w:lang w:eastAsia="de-DE"/>
        </w:rPr>
        <w:t>יעשה אתה</w:t>
      </w:r>
      <w:r w:rsidRPr="00B2490C">
        <w:rPr>
          <w:rFonts w:eastAsia="Times New Roman" w:cs="Times New Roman"/>
          <w:rtl/>
          <w:lang w:eastAsia="de-DE"/>
        </w:rPr>
        <w:t xml:space="preserve"> </w:t>
      </w:r>
      <w:r w:rsidRPr="00B2490C">
        <w:rPr>
          <w:rFonts w:eastAsia="Times New Roman" w:cs="Times New Roman"/>
          <w:lang w:eastAsia="de-DE"/>
        </w:rPr>
        <w:t>(soll es machen).</w:t>
      </w:r>
    </w:p>
    <w:p w14:paraId="21E12B5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lastRenderedPageBreak/>
        <w:t>חָק־עוֹלָ֕ם לַיהוָ֖ה כָּלִ֥יל תָּקְטָֽר</w:t>
      </w:r>
      <w:r w:rsidRPr="00B2490C">
        <w:rPr>
          <w:rFonts w:eastAsia="Times New Roman" w:cs="Times New Roman"/>
          <w:rtl/>
          <w:lang w:eastAsia="de-DE"/>
        </w:rPr>
        <w:t xml:space="preserve"> </w:t>
      </w:r>
      <w:r w:rsidRPr="00B2490C">
        <w:rPr>
          <w:rFonts w:eastAsia="Times New Roman" w:cs="Times New Roman"/>
          <w:lang w:eastAsia="de-DE"/>
        </w:rPr>
        <w:t xml:space="preserve">(eine ewige Satzung für JHWH: ganz soll es geräuchert werden) zeigt die besondere Behandlung. </w:t>
      </w:r>
      <w:r w:rsidRPr="00B2490C">
        <w:rPr>
          <w:rFonts w:eastAsia="Times New Roman" w:cs="Times New Roman"/>
          <w:b/>
          <w:bCs/>
          <w:rtl/>
          <w:lang w:eastAsia="de-DE"/>
        </w:rPr>
        <w:t>חק־עולם ליהוה</w:t>
      </w:r>
      <w:r w:rsidRPr="00B2490C">
        <w:rPr>
          <w:rFonts w:eastAsia="Times New Roman" w:cs="Times New Roman"/>
          <w:rtl/>
          <w:lang w:eastAsia="de-DE"/>
        </w:rPr>
        <w:t xml:space="preserve"> </w:t>
      </w:r>
      <w:r w:rsidRPr="00B2490C">
        <w:rPr>
          <w:rFonts w:eastAsia="Times New Roman" w:cs="Times New Roman"/>
          <w:lang w:eastAsia="de-DE"/>
        </w:rPr>
        <w:t xml:space="preserve">(ewige Satzung für JHWH), </w:t>
      </w:r>
      <w:r w:rsidRPr="00B2490C">
        <w:rPr>
          <w:rFonts w:eastAsia="Times New Roman" w:cs="Times New Roman"/>
          <w:b/>
          <w:bCs/>
          <w:rtl/>
          <w:lang w:eastAsia="de-DE"/>
        </w:rPr>
        <w:t>כליל תקטר</w:t>
      </w:r>
      <w:r w:rsidRPr="00B2490C">
        <w:rPr>
          <w:rFonts w:eastAsia="Times New Roman" w:cs="Times New Roman"/>
          <w:rtl/>
          <w:lang w:eastAsia="de-DE"/>
        </w:rPr>
        <w:t xml:space="preserve"> </w:t>
      </w:r>
      <w:r w:rsidRPr="00B2490C">
        <w:rPr>
          <w:rFonts w:eastAsia="Times New Roman" w:cs="Times New Roman"/>
          <w:lang w:eastAsia="de-DE"/>
        </w:rPr>
        <w:t xml:space="preserve">(ganz soll es geräuchert werden) von </w:t>
      </w:r>
      <w:r w:rsidRPr="00B2490C">
        <w:rPr>
          <w:rFonts w:eastAsia="Times New Roman" w:cs="Times New Roman"/>
          <w:b/>
          <w:bCs/>
          <w:rtl/>
          <w:lang w:eastAsia="de-DE"/>
        </w:rPr>
        <w:t>כליל</w:t>
      </w:r>
      <w:r w:rsidRPr="00B2490C">
        <w:rPr>
          <w:rFonts w:eastAsia="Times New Roman" w:cs="Times New Roman"/>
          <w:rtl/>
          <w:lang w:eastAsia="de-DE"/>
        </w:rPr>
        <w:t xml:space="preserve"> </w:t>
      </w:r>
      <w:r w:rsidRPr="00B2490C">
        <w:rPr>
          <w:rFonts w:eastAsia="Times New Roman" w:cs="Times New Roman"/>
          <w:lang w:eastAsia="de-DE"/>
        </w:rPr>
        <w:t>(ganz/vollständig).</w:t>
      </w:r>
    </w:p>
    <w:p w14:paraId="56493C9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הכהן המשיח תחתיו מבניו</w:t>
      </w:r>
      <w:r w:rsidRPr="00B2490C">
        <w:rPr>
          <w:rFonts w:eastAsia="Times New Roman" w:cs="Times New Roman"/>
          <w:rtl/>
          <w:lang w:eastAsia="de-DE"/>
        </w:rPr>
        <w:t xml:space="preserve"> </w:t>
      </w:r>
      <w:r w:rsidRPr="00B2490C">
        <w:rPr>
          <w:rFonts w:eastAsia="Times New Roman" w:cs="Times New Roman"/>
          <w:lang w:eastAsia="de-DE"/>
        </w:rPr>
        <w:t xml:space="preserve">(der Priester, der an seiner Stelle gesalbt wird aus seinen Söhnen) etabliert die Kontinuität der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durch Nachfolgeregelung. </w:t>
      </w:r>
      <w:r w:rsidRPr="00B2490C">
        <w:rPr>
          <w:rFonts w:eastAsia="Times New Roman" w:cs="Times New Roman"/>
          <w:b/>
          <w:bCs/>
          <w:rtl/>
          <w:lang w:eastAsia="de-DE"/>
        </w:rPr>
        <w:t>תחתיו</w:t>
      </w:r>
      <w:r w:rsidRPr="00B2490C">
        <w:rPr>
          <w:rFonts w:eastAsia="Times New Roman" w:cs="Times New Roman"/>
          <w:rtl/>
          <w:lang w:eastAsia="de-DE"/>
        </w:rPr>
        <w:t xml:space="preserve"> </w:t>
      </w:r>
      <w:r w:rsidRPr="00B2490C">
        <w:rPr>
          <w:rFonts w:eastAsia="Times New Roman" w:cs="Times New Roman"/>
          <w:lang w:eastAsia="de-DE"/>
        </w:rPr>
        <w:t>(an seiner Stelle) zeigt die Amtsnachfolge.</w:t>
      </w:r>
    </w:p>
    <w:p w14:paraId="52A55FD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כליל תקטר</w:t>
      </w:r>
      <w:r w:rsidRPr="00B2490C">
        <w:rPr>
          <w:rFonts w:eastAsia="Times New Roman" w:cs="Times New Roman"/>
          <w:rtl/>
          <w:lang w:eastAsia="de-DE"/>
        </w:rPr>
        <w:t xml:space="preserve"> </w:t>
      </w:r>
      <w:r w:rsidRPr="00B2490C">
        <w:rPr>
          <w:rFonts w:eastAsia="Times New Roman" w:cs="Times New Roman"/>
          <w:lang w:eastAsia="de-DE"/>
        </w:rPr>
        <w:t xml:space="preserve">(ganz soll es geräuchert werden) unterscheidet die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grundlegend von gewöhnlicher </w:t>
      </w:r>
      <w:r w:rsidRPr="00B2490C">
        <w:rPr>
          <w:rFonts w:eastAsia="Times New Roman" w:cs="Times New Roman"/>
          <w:b/>
          <w:bCs/>
          <w:rtl/>
          <w:lang w:eastAsia="de-DE"/>
        </w:rPr>
        <w:t>מנחה</w:t>
      </w:r>
      <w:r w:rsidRPr="00B2490C">
        <w:rPr>
          <w:rFonts w:eastAsia="Times New Roman" w:cs="Times New Roman"/>
          <w:lang w:eastAsia="de-DE"/>
        </w:rPr>
        <w:t xml:space="preserve">: keine </w:t>
      </w:r>
      <w:r w:rsidRPr="00B2490C">
        <w:rPr>
          <w:rFonts w:eastAsia="Times New Roman" w:cs="Times New Roman"/>
          <w:b/>
          <w:bCs/>
          <w:rtl/>
          <w:lang w:eastAsia="de-DE"/>
        </w:rPr>
        <w:t>קמיצה</w:t>
      </w:r>
      <w:r w:rsidRPr="00B2490C">
        <w:rPr>
          <w:rFonts w:eastAsia="Times New Roman" w:cs="Times New Roman"/>
          <w:rtl/>
          <w:lang w:eastAsia="de-DE"/>
        </w:rPr>
        <w:t xml:space="preserve"> </w:t>
      </w:r>
      <w:r w:rsidRPr="00B2490C">
        <w:rPr>
          <w:rFonts w:eastAsia="Times New Roman" w:cs="Times New Roman"/>
          <w:lang w:eastAsia="de-DE"/>
        </w:rPr>
        <w:t xml:space="preserve">(Handvoll-Abnahme), sondern vollständige Verbrennung wie bei </w:t>
      </w:r>
      <w:r w:rsidRPr="00B2490C">
        <w:rPr>
          <w:rFonts w:eastAsia="Times New Roman" w:cs="Times New Roman"/>
          <w:b/>
          <w:bCs/>
          <w:rtl/>
          <w:lang w:eastAsia="de-DE"/>
        </w:rPr>
        <w:t>עלה</w:t>
      </w:r>
      <w:r w:rsidRPr="00B2490C">
        <w:rPr>
          <w:rFonts w:eastAsia="Times New Roman" w:cs="Times New Roman"/>
          <w:lang w:eastAsia="de-DE"/>
        </w:rPr>
        <w:t>.</w:t>
      </w:r>
    </w:p>
    <w:p w14:paraId="2D5A9ACA" w14:textId="1929AB20" w:rsidR="00B2490C" w:rsidRDefault="00B2490C" w:rsidP="00B2490C">
      <w:pPr>
        <w:spacing w:before="100" w:beforeAutospacing="1" w:after="100" w:afterAutospacing="1" w:line="240" w:lineRule="auto"/>
      </w:pPr>
      <w:r w:rsidRPr="00B2490C">
        <w:rPr>
          <w:rFonts w:eastAsia="Times New Roman" w:cs="Times New Roman"/>
          <w:b/>
          <w:bCs/>
          <w:lang w:eastAsia="de-DE"/>
        </w:rPr>
        <w:t>Die LXX</w:t>
      </w:r>
      <w:r w:rsidRPr="00B2490C">
        <w:rPr>
          <w:rFonts w:eastAsia="Times New Roman" w:cs="Times New Roman"/>
          <w:lang w:eastAsia="de-DE"/>
        </w:rPr>
        <w:t xml:space="preserve"> </w:t>
      </w:r>
      <w:r w:rsidR="00D932EB">
        <w:t xml:space="preserve">liest hier </w:t>
      </w:r>
      <w:proofErr w:type="spellStart"/>
      <w:r w:rsidR="00D932EB">
        <w:rPr>
          <w:rStyle w:val="Hervorhebung"/>
        </w:rPr>
        <w:t>κάρ</w:t>
      </w:r>
      <w:proofErr w:type="spellEnd"/>
      <w:r w:rsidR="00D932EB">
        <w:rPr>
          <w:rStyle w:val="Hervorhebung"/>
        </w:rPr>
        <w:t>πωμα α</w:t>
      </w:r>
      <w:proofErr w:type="spellStart"/>
      <w:r w:rsidR="00D932EB">
        <w:rPr>
          <w:rStyle w:val="Hervorhebung"/>
        </w:rPr>
        <w:t>ὐτῆς</w:t>
      </w:r>
      <w:proofErr w:type="spellEnd"/>
      <w:r w:rsidR="00D932EB">
        <w:t xml:space="preserve"> („ihre Opfergabe“), ein kultischer Terminus für eine dargebrachte Gabe. Die äthiopische Übersetzung bestätigt diesen Sinn durch die interpretierende Wiedergabe „</w:t>
      </w:r>
      <w:proofErr w:type="spellStart"/>
      <w:r w:rsidR="00D932EB">
        <w:t>quia</w:t>
      </w:r>
      <w:proofErr w:type="spellEnd"/>
      <w:r w:rsidR="00D932EB">
        <w:t xml:space="preserve"> </w:t>
      </w:r>
      <w:proofErr w:type="spellStart"/>
      <w:r w:rsidR="00D932EB">
        <w:t>oblatio</w:t>
      </w:r>
      <w:proofErr w:type="spellEnd"/>
      <w:r w:rsidR="00D932EB">
        <w:t xml:space="preserve"> memoriae </w:t>
      </w:r>
      <w:proofErr w:type="spellStart"/>
      <w:r w:rsidR="00D932EB">
        <w:t>eius</w:t>
      </w:r>
      <w:proofErr w:type="spellEnd"/>
      <w:r w:rsidR="00D932EB">
        <w:t xml:space="preserve"> </w:t>
      </w:r>
      <w:proofErr w:type="spellStart"/>
      <w:r w:rsidR="00D932EB">
        <w:t>est</w:t>
      </w:r>
      <w:proofErr w:type="spellEnd"/>
      <w:r w:rsidR="00D932EB">
        <w:t xml:space="preserve"> in </w:t>
      </w:r>
      <w:proofErr w:type="spellStart"/>
      <w:r w:rsidR="00D932EB">
        <w:t>odorem</w:t>
      </w:r>
      <w:proofErr w:type="spellEnd"/>
      <w:r w:rsidR="00D932EB">
        <w:t xml:space="preserve"> bonum“ („weil ihre Gedächtnis-Oblation zum lieblichen Geruch ist“). Das Ms. 319 bietet dagegen die abweichende Lesart </w:t>
      </w:r>
      <w:proofErr w:type="spellStart"/>
      <w:r w:rsidR="00D932EB">
        <w:rPr>
          <w:rStyle w:val="Hervorhebung"/>
        </w:rPr>
        <w:t>ὁλοκ</w:t>
      </w:r>
      <w:proofErr w:type="spellEnd"/>
      <w:r w:rsidR="00D932EB">
        <w:rPr>
          <w:rStyle w:val="Hervorhebung"/>
        </w:rPr>
        <w:t>αύτωμα</w:t>
      </w:r>
      <w:r w:rsidR="00D932EB">
        <w:t xml:space="preserve"> („Ganzopfer“), die das Speiseopfer zu einem umfassenden </w:t>
      </w:r>
      <w:r w:rsidR="006C2578">
        <w:t>Aufsteigeopfer</w:t>
      </w:r>
      <w:r w:rsidR="00D932EB">
        <w:t xml:space="preserve"> umdeutet. Diese Variante ist wahrscheinlich sekundär und spiegelt eine Tendenz zur Angleichung an die stärker ritualisierte Opferterminologie wider.</w:t>
      </w:r>
    </w:p>
    <w:p w14:paraId="2B52FAB4" w14:textId="08F485B2" w:rsidR="00D932EB" w:rsidRPr="00B2490C" w:rsidRDefault="00D932EB" w:rsidP="00B2490C">
      <w:pPr>
        <w:spacing w:before="100" w:beforeAutospacing="1" w:after="100" w:afterAutospacing="1" w:line="240" w:lineRule="auto"/>
        <w:rPr>
          <w:rFonts w:eastAsia="Times New Roman" w:cs="Times New Roman"/>
          <w:lang w:eastAsia="de-DE"/>
        </w:rPr>
      </w:pPr>
      <w:r>
        <w:t xml:space="preserve">Der MT hat an dieser Stelle </w:t>
      </w:r>
      <w:r w:rsidRPr="00D932EB">
        <w:rPr>
          <w:b/>
          <w:bCs/>
          <w:rtl/>
        </w:rPr>
        <w:t>מִנְחָה</w:t>
      </w:r>
      <w:r>
        <w:t xml:space="preserve"> („Speisopfer“), dessen Terminologie deutlich zwischen verschiedenen Opferarten unterscheidet. Die LXX mit </w:t>
      </w:r>
      <w:proofErr w:type="spellStart"/>
      <w:r>
        <w:rPr>
          <w:rStyle w:val="Hervorhebung"/>
        </w:rPr>
        <w:t>κάρ</w:t>
      </w:r>
      <w:proofErr w:type="spellEnd"/>
      <w:r>
        <w:rPr>
          <w:rStyle w:val="Hervorhebung"/>
        </w:rPr>
        <w:t>πωμα</w:t>
      </w:r>
      <w:r>
        <w:t xml:space="preserve"> bleibt dieser Differenzierung näher, während </w:t>
      </w:r>
      <w:proofErr w:type="spellStart"/>
      <w:r>
        <w:rPr>
          <w:rStyle w:val="Hervorhebung"/>
        </w:rPr>
        <w:t>ὁλοκ</w:t>
      </w:r>
      <w:proofErr w:type="spellEnd"/>
      <w:r>
        <w:rPr>
          <w:rStyle w:val="Hervorhebung"/>
        </w:rPr>
        <w:t>αύτωμα</w:t>
      </w:r>
      <w:r>
        <w:t xml:space="preserve"> die hebräische Spezifik verwischt und in Richtung eines generellen </w:t>
      </w:r>
      <w:r w:rsidR="006C2578">
        <w:t>Aufsteigeopfer</w:t>
      </w:r>
      <w:r>
        <w:t>s verschiebt.</w:t>
      </w:r>
    </w:p>
    <w:p w14:paraId="07F10F8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Kontinuitätsregelung + Charakterisierung: komplexe Subjektbeschreibung + Verb + Objekt // Klassifikation + Dativangabe + Verbrennungsbestimmung. Die Struktur etabliert die ewige Kontinuität der </w:t>
      </w:r>
      <w:r w:rsidRPr="00B2490C">
        <w:rPr>
          <w:rFonts w:eastAsia="Times New Roman" w:cs="Times New Roman"/>
          <w:b/>
          <w:bCs/>
          <w:rtl/>
          <w:lang w:eastAsia="de-DE"/>
        </w:rPr>
        <w:t>מנחת כהן</w:t>
      </w:r>
      <w:r w:rsidRPr="00B2490C">
        <w:rPr>
          <w:rFonts w:eastAsia="Times New Roman" w:cs="Times New Roman"/>
          <w:lang w:eastAsia="de-DE"/>
        </w:rPr>
        <w:t>.</w:t>
      </w:r>
    </w:p>
    <w:p w14:paraId="45EC6C5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regelt die Amtsnachfolge für die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und etabliert deren vollständige Verbrennung als ewige Satzung.</w:t>
      </w:r>
    </w:p>
    <w:p w14:paraId="1A05A425"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6,16</w:t>
      </w:r>
    </w:p>
    <w:p w14:paraId="6576E50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וְכָל־מִנְחַ֥ת כֹּהֵ֛ן כָּלִ֥יל תִּהְיֶ֖ה לֹ֥א תֵאָכֵֽל׃</w:t>
      </w:r>
    </w:p>
    <w:p w14:paraId="1D3DF3C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jedes Speiseopfer des Priesters soll ein Ganzopfer sein; es soll nicht gegessen werden.</w:t>
      </w:r>
    </w:p>
    <w:p w14:paraId="6CBCBFEC"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10D2D2B5">
          <v:rect id="_x0000_i1151" style="width:0;height:1.5pt" o:hralign="center" o:hrstd="t" o:hr="t" fillcolor="#a0a0a0" stroked="f"/>
        </w:pict>
      </w:r>
    </w:p>
    <w:p w14:paraId="201BC34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וְכָל־מִנְחַ֥ת כֹּהֵ֛ן כָּלִ֥יל תִּהְיֶ֖ה לֹ֥א תֵאָכֵֽל</w:t>
      </w:r>
      <w:r w:rsidRPr="00B2490C">
        <w:rPr>
          <w:rFonts w:eastAsia="Times New Roman" w:cs="Times New Roman"/>
          <w:rtl/>
          <w:lang w:eastAsia="de-DE"/>
        </w:rPr>
        <w:t xml:space="preserve"> </w:t>
      </w:r>
      <w:r w:rsidRPr="00B2490C">
        <w:rPr>
          <w:rFonts w:eastAsia="Times New Roman" w:cs="Times New Roman"/>
          <w:lang w:eastAsia="de-DE"/>
        </w:rPr>
        <w:t xml:space="preserve">ist eine universelle Regel für alle priesterlichen </w:t>
      </w:r>
      <w:r w:rsidRPr="00B2490C">
        <w:rPr>
          <w:rFonts w:eastAsia="Times New Roman" w:cs="Times New Roman"/>
          <w:b/>
          <w:bCs/>
          <w:rtl/>
          <w:lang w:eastAsia="de-DE"/>
        </w:rPr>
        <w:t>מנחה</w:t>
      </w:r>
      <w:r w:rsidRPr="00B2490C">
        <w:rPr>
          <w:rFonts w:eastAsia="Times New Roman" w:cs="Times New Roman"/>
          <w:lang w:eastAsia="de-DE"/>
        </w:rPr>
        <w:t xml:space="preserve">. </w:t>
      </w:r>
      <w:r w:rsidRPr="00B2490C">
        <w:rPr>
          <w:rFonts w:eastAsia="Times New Roman" w:cs="Times New Roman"/>
          <w:b/>
          <w:bCs/>
          <w:rtl/>
          <w:lang w:eastAsia="de-DE"/>
        </w:rPr>
        <w:t>וכל־מנחת כהן</w:t>
      </w:r>
      <w:r w:rsidRPr="00B2490C">
        <w:rPr>
          <w:rFonts w:eastAsia="Times New Roman" w:cs="Times New Roman"/>
          <w:rtl/>
          <w:lang w:eastAsia="de-DE"/>
        </w:rPr>
        <w:t xml:space="preserve"> </w:t>
      </w:r>
      <w:r w:rsidRPr="00B2490C">
        <w:rPr>
          <w:rFonts w:eastAsia="Times New Roman" w:cs="Times New Roman"/>
          <w:lang w:eastAsia="de-DE"/>
        </w:rPr>
        <w:t xml:space="preserve">(und jedes Speiseopfer eines Priesters), </w:t>
      </w:r>
      <w:r w:rsidRPr="00B2490C">
        <w:rPr>
          <w:rFonts w:eastAsia="Times New Roman" w:cs="Times New Roman"/>
          <w:b/>
          <w:bCs/>
          <w:rtl/>
          <w:lang w:eastAsia="de-DE"/>
        </w:rPr>
        <w:t>כליל תהיה</w:t>
      </w:r>
      <w:r w:rsidRPr="00B2490C">
        <w:rPr>
          <w:rFonts w:eastAsia="Times New Roman" w:cs="Times New Roman"/>
          <w:rtl/>
          <w:lang w:eastAsia="de-DE"/>
        </w:rPr>
        <w:t xml:space="preserve"> </w:t>
      </w:r>
      <w:r w:rsidRPr="00B2490C">
        <w:rPr>
          <w:rFonts w:eastAsia="Times New Roman" w:cs="Times New Roman"/>
          <w:lang w:eastAsia="de-DE"/>
        </w:rPr>
        <w:t xml:space="preserve">(soll ein Ganzopfer sein), </w:t>
      </w:r>
      <w:r w:rsidRPr="00B2490C">
        <w:rPr>
          <w:rFonts w:eastAsia="Times New Roman" w:cs="Times New Roman"/>
          <w:b/>
          <w:bCs/>
          <w:rtl/>
          <w:lang w:eastAsia="de-DE"/>
        </w:rPr>
        <w:t>לא תאכל</w:t>
      </w:r>
      <w:r w:rsidRPr="00B2490C">
        <w:rPr>
          <w:rFonts w:eastAsia="Times New Roman" w:cs="Times New Roman"/>
          <w:rtl/>
          <w:lang w:eastAsia="de-DE"/>
        </w:rPr>
        <w:t xml:space="preserve"> </w:t>
      </w:r>
      <w:r w:rsidRPr="00B2490C">
        <w:rPr>
          <w:rFonts w:eastAsia="Times New Roman" w:cs="Times New Roman"/>
          <w:lang w:eastAsia="de-DE"/>
        </w:rPr>
        <w:t>(soll nicht gegessen werden).</w:t>
      </w:r>
    </w:p>
    <w:p w14:paraId="641EA50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כל־מנחת כהן</w:t>
      </w:r>
      <w:r w:rsidRPr="00B2490C">
        <w:rPr>
          <w:rFonts w:eastAsia="Times New Roman" w:cs="Times New Roman"/>
          <w:rtl/>
          <w:lang w:eastAsia="de-DE"/>
        </w:rPr>
        <w:t xml:space="preserve"> </w:t>
      </w:r>
      <w:r w:rsidRPr="00B2490C">
        <w:rPr>
          <w:rFonts w:eastAsia="Times New Roman" w:cs="Times New Roman"/>
          <w:lang w:eastAsia="de-DE"/>
        </w:rPr>
        <w:t xml:space="preserve">(jedes Speiseopfer eines Priesters) erweitert die Regel von V. 15 auf alle priesterlichen </w:t>
      </w:r>
      <w:r w:rsidRPr="00B2490C">
        <w:rPr>
          <w:rFonts w:eastAsia="Times New Roman" w:cs="Times New Roman"/>
          <w:b/>
          <w:bCs/>
          <w:rtl/>
          <w:lang w:eastAsia="de-DE"/>
        </w:rPr>
        <w:t>מנחה</w:t>
      </w:r>
      <w:r w:rsidRPr="00B2490C">
        <w:rPr>
          <w:rFonts w:eastAsia="Times New Roman" w:cs="Times New Roman"/>
          <w:lang w:eastAsia="de-DE"/>
        </w:rPr>
        <w:t>, nicht nur die Weihe-</w:t>
      </w:r>
      <w:r w:rsidRPr="00B2490C">
        <w:rPr>
          <w:rFonts w:eastAsia="Times New Roman" w:cs="Times New Roman"/>
          <w:b/>
          <w:bCs/>
          <w:rtl/>
          <w:lang w:eastAsia="de-DE"/>
        </w:rPr>
        <w:t>מנחה</w:t>
      </w:r>
      <w:r w:rsidRPr="00B2490C">
        <w:rPr>
          <w:rFonts w:eastAsia="Times New Roman" w:cs="Times New Roman"/>
          <w:lang w:eastAsia="de-DE"/>
        </w:rPr>
        <w:t xml:space="preserve">. </w:t>
      </w:r>
      <w:r w:rsidRPr="00B2490C">
        <w:rPr>
          <w:rFonts w:eastAsia="Times New Roman" w:cs="Times New Roman"/>
          <w:b/>
          <w:bCs/>
          <w:rtl/>
          <w:lang w:eastAsia="de-DE"/>
        </w:rPr>
        <w:t>כליל תהיה</w:t>
      </w:r>
      <w:r w:rsidRPr="00B2490C">
        <w:rPr>
          <w:rFonts w:eastAsia="Times New Roman" w:cs="Times New Roman"/>
          <w:rtl/>
          <w:lang w:eastAsia="de-DE"/>
        </w:rPr>
        <w:t xml:space="preserve"> </w:t>
      </w:r>
      <w:r w:rsidRPr="00B2490C">
        <w:rPr>
          <w:rFonts w:eastAsia="Times New Roman" w:cs="Times New Roman"/>
          <w:lang w:eastAsia="de-DE"/>
        </w:rPr>
        <w:t>(soll ein Ganzopfer sein) bedeutet vollständige Verbrennung ohne priesterlichen Anteil.</w:t>
      </w:r>
    </w:p>
    <w:p w14:paraId="06ACCBA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lastRenderedPageBreak/>
        <w:t>לא תאכל</w:t>
      </w:r>
      <w:r w:rsidRPr="00B2490C">
        <w:rPr>
          <w:rFonts w:eastAsia="Times New Roman" w:cs="Times New Roman"/>
          <w:rtl/>
          <w:lang w:eastAsia="de-DE"/>
        </w:rPr>
        <w:t xml:space="preserve"> </w:t>
      </w:r>
      <w:r w:rsidRPr="00B2490C">
        <w:rPr>
          <w:rFonts w:eastAsia="Times New Roman" w:cs="Times New Roman"/>
          <w:lang w:eastAsia="de-DE"/>
        </w:rPr>
        <w:t>(soll nicht gegessen werden) steht im Gegensatz zu V. 9 bei Laien-</w:t>
      </w:r>
      <w:r w:rsidRPr="00B2490C">
        <w:rPr>
          <w:rFonts w:eastAsia="Times New Roman" w:cs="Times New Roman"/>
          <w:b/>
          <w:bCs/>
          <w:rtl/>
          <w:lang w:eastAsia="de-DE"/>
        </w:rPr>
        <w:t>מנחה</w:t>
      </w:r>
      <w:r w:rsidRPr="00B2490C">
        <w:rPr>
          <w:rFonts w:eastAsia="Times New Roman" w:cs="Times New Roman"/>
          <w:lang w:eastAsia="de-DE"/>
        </w:rPr>
        <w:t xml:space="preserve">, wo der Rest nach </w:t>
      </w:r>
      <w:r w:rsidRPr="00B2490C">
        <w:rPr>
          <w:rFonts w:eastAsia="Times New Roman" w:cs="Times New Roman"/>
          <w:b/>
          <w:bCs/>
          <w:rtl/>
          <w:lang w:eastAsia="de-DE"/>
        </w:rPr>
        <w:t>קמיצה</w:t>
      </w:r>
      <w:r w:rsidRPr="00B2490C">
        <w:rPr>
          <w:rFonts w:eastAsia="Times New Roman" w:cs="Times New Roman"/>
          <w:rtl/>
          <w:lang w:eastAsia="de-DE"/>
        </w:rPr>
        <w:t xml:space="preserve"> </w:t>
      </w:r>
      <w:r w:rsidRPr="00B2490C">
        <w:rPr>
          <w:rFonts w:eastAsia="Times New Roman" w:cs="Times New Roman"/>
          <w:lang w:eastAsia="de-DE"/>
        </w:rPr>
        <w:t xml:space="preserve">von Priestern gegessen wird. Priester können nicht gleichzeitig Opferbringer und Nutznießer ihrer eigenen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sein.</w:t>
      </w:r>
    </w:p>
    <w:p w14:paraId="2E0E0A5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מִנְחַ֥ת כֹּהֵ֛ן</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θυσί</w:t>
      </w:r>
      <w:proofErr w:type="spellEnd"/>
      <w:r w:rsidRPr="00B2490C">
        <w:rPr>
          <w:rFonts w:eastAsia="Times New Roman" w:cs="Times New Roman"/>
          <w:lang w:eastAsia="de-DE"/>
        </w:rPr>
        <w:t xml:space="preserve">α </w:t>
      </w:r>
      <w:proofErr w:type="spellStart"/>
      <w:r w:rsidRPr="00B2490C">
        <w:rPr>
          <w:rFonts w:eastAsia="Times New Roman" w:cs="Times New Roman"/>
          <w:lang w:eastAsia="de-DE"/>
        </w:rPr>
        <w:t>ἱερέως</w:t>
      </w:r>
      <w:proofErr w:type="spellEnd"/>
      <w:r w:rsidRPr="00B2490C">
        <w:rPr>
          <w:rFonts w:eastAsia="Times New Roman" w:cs="Times New Roman"/>
          <w:lang w:eastAsia="de-DE"/>
        </w:rPr>
        <w:t xml:space="preserve"> (Opfer eines Priesters) und </w:t>
      </w:r>
      <w:r w:rsidRPr="00B2490C">
        <w:rPr>
          <w:rFonts w:eastAsia="Times New Roman" w:cs="Times New Roman"/>
          <w:b/>
          <w:bCs/>
          <w:rtl/>
          <w:lang w:eastAsia="de-DE"/>
        </w:rPr>
        <w:t>כָּלִ֥יל</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ὁλόκ</w:t>
      </w:r>
      <w:proofErr w:type="spellEnd"/>
      <w:r w:rsidRPr="00B2490C">
        <w:rPr>
          <w:rFonts w:eastAsia="Times New Roman" w:cs="Times New Roman"/>
          <w:lang w:eastAsia="de-DE"/>
        </w:rPr>
        <w:t>αυτον (Ganzopfer).</w:t>
      </w:r>
    </w:p>
    <w:p w14:paraId="6BB0177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eine universelle Regel: Subjekt + Prädikatsnominativ + Verb + negative Bestimmung. Die Kürze unterstreicht die kategorische Natur dieser Bestimmung.</w:t>
      </w:r>
    </w:p>
    <w:p w14:paraId="5D819C0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etabliert das universelle Prinzip: alle priesterlichen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werden vollständig verbrannt und nicht gegessen.</w:t>
      </w:r>
    </w:p>
    <w:p w14:paraId="504BAA5C"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6,17</w:t>
      </w:r>
    </w:p>
    <w:p w14:paraId="01D361E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וַיְדַבֵּ֥ר יְהוָ֖ה אֶל־מֹשֶׁ֥ה לֵּאמֹֽר׃</w:t>
      </w:r>
    </w:p>
    <w:p w14:paraId="255F32D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der Ewige redete zu Mosche und sprach:</w:t>
      </w:r>
    </w:p>
    <w:p w14:paraId="502DE867"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02EA1B83">
          <v:rect id="_x0000_i1152" style="width:0;height:1.5pt" o:hralign="center" o:hrstd="t" o:hr="t" fillcolor="#a0a0a0" stroked="f"/>
        </w:pict>
      </w:r>
    </w:p>
    <w:p w14:paraId="0C398BC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Die vierte Einleitungsformel in Kapitel 6 (nach V. 1, 12) markiert den Beginn der </w:t>
      </w:r>
      <w:r w:rsidRPr="00B2490C">
        <w:rPr>
          <w:rFonts w:eastAsia="Times New Roman" w:cs="Times New Roman"/>
          <w:b/>
          <w:bCs/>
          <w:rtl/>
          <w:lang w:eastAsia="de-DE"/>
        </w:rPr>
        <w:t>תורת החטאת</w:t>
      </w:r>
      <w:r w:rsidRPr="00B2490C">
        <w:rPr>
          <w:rFonts w:eastAsia="Times New Roman" w:cs="Times New Roman"/>
          <w:rtl/>
          <w:lang w:eastAsia="de-DE"/>
        </w:rPr>
        <w:t xml:space="preserve"> </w:t>
      </w:r>
      <w:r w:rsidRPr="00B2490C">
        <w:rPr>
          <w:rFonts w:eastAsia="Times New Roman" w:cs="Times New Roman"/>
          <w:lang w:eastAsia="de-DE"/>
        </w:rPr>
        <w:t>(Torah des Sündopfers) für die priesterliche Handhabung.</w:t>
      </w:r>
    </w:p>
    <w:p w14:paraId="16B48C1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 systematische Gliederung durch wiederholte Einleitungsformeln zeigt die organisierte Darstellung der verschiedenen priesterlichen </w:t>
      </w:r>
      <w:r w:rsidRPr="00B2490C">
        <w:rPr>
          <w:rFonts w:eastAsia="Times New Roman" w:cs="Times New Roman"/>
          <w:b/>
          <w:bCs/>
          <w:rtl/>
          <w:lang w:eastAsia="de-DE"/>
        </w:rPr>
        <w:t>תורות</w:t>
      </w:r>
      <w:r w:rsidRPr="00B2490C">
        <w:rPr>
          <w:rFonts w:eastAsia="Times New Roman" w:cs="Times New Roman"/>
          <w:lang w:eastAsia="de-DE"/>
        </w:rPr>
        <w:t>.</w:t>
      </w:r>
    </w:p>
    <w:p w14:paraId="276F21AD"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6,18</w:t>
      </w:r>
    </w:p>
    <w:p w14:paraId="6D6BC31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דַּבֵּ֤ר אֶֽל־אַהֲרֹן֙ וְאֶל־בָּנָ֣יו לֵאמֹ֔ר זֹ֥את תּוֹרַ֖ת הַֽחַטָּ֑את בִּמְק֡וֹם אֲשֶׁר֩ תִּשָּׁחֵ֨ט הָעֹלָ֜ה תִּשָּׁחֵ֤ט הַֽחַטָּאת֙ לִפְנֵ֣י יְהוָ֔ה קֹ֥דֶשׁ קָֽדָשִׁ֖ים הִֽוא׃</w:t>
      </w:r>
    </w:p>
    <w:p w14:paraId="5A2809A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Rede zu Aaron und zu seinen Söhnen und sprich: Dies ist die Torah des Sündopfers. An dem Ort, wo das Aufsteigeopfer geschlachtet wird, soll das Sündopfer geschlachtet werden vor dem Ewigen: Hochheilig ist es.</w:t>
      </w:r>
    </w:p>
    <w:p w14:paraId="4D06D316"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6A2E1514">
          <v:rect id="_x0000_i1153" style="width:0;height:1.5pt" o:hralign="center" o:hrstd="t" o:hr="t" fillcolor="#a0a0a0" stroked="f"/>
        </w:pict>
      </w:r>
    </w:p>
    <w:p w14:paraId="19DCCC2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דַּבֵּ֤ר אֶֽל־אַהֲרֹן֙ וְאֶל־בָּנָ֣יו לֵאמֹ֔ר זֹ֥את תּוֹרַ֖ת הַֽחַטָּ֑את</w:t>
      </w:r>
      <w:r w:rsidRPr="00B2490C">
        <w:rPr>
          <w:rFonts w:eastAsia="Times New Roman" w:cs="Times New Roman"/>
          <w:rtl/>
          <w:lang w:eastAsia="de-DE"/>
        </w:rPr>
        <w:t xml:space="preserve"> </w:t>
      </w:r>
      <w:r w:rsidRPr="00B2490C">
        <w:rPr>
          <w:rFonts w:eastAsia="Times New Roman" w:cs="Times New Roman"/>
          <w:lang w:eastAsia="de-DE"/>
        </w:rPr>
        <w:t xml:space="preserve">führt die dritte priesterliche </w:t>
      </w:r>
      <w:r w:rsidRPr="00B2490C">
        <w:rPr>
          <w:rFonts w:eastAsia="Times New Roman" w:cs="Times New Roman"/>
          <w:b/>
          <w:bCs/>
          <w:rtl/>
          <w:lang w:eastAsia="de-DE"/>
        </w:rPr>
        <w:t>תורה</w:t>
      </w:r>
      <w:r w:rsidRPr="00B2490C">
        <w:rPr>
          <w:rFonts w:eastAsia="Times New Roman" w:cs="Times New Roman"/>
          <w:rtl/>
          <w:lang w:eastAsia="de-DE"/>
        </w:rPr>
        <w:t xml:space="preserve"> </w:t>
      </w:r>
      <w:r w:rsidRPr="00B2490C">
        <w:rPr>
          <w:rFonts w:eastAsia="Times New Roman" w:cs="Times New Roman"/>
          <w:lang w:eastAsia="de-DE"/>
        </w:rPr>
        <w:t xml:space="preserve">ein. </w:t>
      </w:r>
      <w:r w:rsidRPr="00B2490C">
        <w:rPr>
          <w:rFonts w:eastAsia="Times New Roman" w:cs="Times New Roman"/>
          <w:b/>
          <w:bCs/>
          <w:rtl/>
          <w:lang w:eastAsia="de-DE"/>
        </w:rPr>
        <w:t>דבר אל־אהרן ואל־בניו לאמר</w:t>
      </w:r>
      <w:r w:rsidRPr="00B2490C">
        <w:rPr>
          <w:rFonts w:eastAsia="Times New Roman" w:cs="Times New Roman"/>
          <w:rtl/>
          <w:lang w:eastAsia="de-DE"/>
        </w:rPr>
        <w:t xml:space="preserve"> </w:t>
      </w:r>
      <w:r w:rsidRPr="00B2490C">
        <w:rPr>
          <w:rFonts w:eastAsia="Times New Roman" w:cs="Times New Roman"/>
          <w:lang w:eastAsia="de-DE"/>
        </w:rPr>
        <w:t xml:space="preserve">entspricht V. 2, </w:t>
      </w:r>
      <w:r w:rsidRPr="00B2490C">
        <w:rPr>
          <w:rFonts w:eastAsia="Times New Roman" w:cs="Times New Roman"/>
          <w:b/>
          <w:bCs/>
          <w:rtl/>
          <w:lang w:eastAsia="de-DE"/>
        </w:rPr>
        <w:t>זאת תורת החטאת</w:t>
      </w:r>
      <w:r w:rsidRPr="00B2490C">
        <w:rPr>
          <w:rFonts w:eastAsia="Times New Roman" w:cs="Times New Roman"/>
          <w:rtl/>
          <w:lang w:eastAsia="de-DE"/>
        </w:rPr>
        <w:t xml:space="preserve"> </w:t>
      </w:r>
      <w:r w:rsidRPr="00B2490C">
        <w:rPr>
          <w:rFonts w:eastAsia="Times New Roman" w:cs="Times New Roman"/>
          <w:lang w:eastAsia="de-DE"/>
        </w:rPr>
        <w:t>folgt dem etablierten Muster.</w:t>
      </w:r>
    </w:p>
    <w:p w14:paraId="4690FA37" w14:textId="4F7C218D"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בִּמְק֡וֹם אֲשֶׁר֩ תִּשָּׁחֵ֨ט הָעֹלָ֜ה תִּשָּׁחֵ֤ט הַֽחַטָּאת֙ לִפְנֵ֣י יְהוָ֔ה</w:t>
      </w:r>
      <w:r w:rsidRPr="00B2490C">
        <w:rPr>
          <w:rFonts w:eastAsia="Times New Roman" w:cs="Times New Roman"/>
          <w:rtl/>
          <w:lang w:eastAsia="de-DE"/>
        </w:rPr>
        <w:t xml:space="preserve"> </w:t>
      </w:r>
      <w:r w:rsidRPr="00B2490C">
        <w:rPr>
          <w:rFonts w:eastAsia="Times New Roman" w:cs="Times New Roman"/>
          <w:lang w:eastAsia="de-DE"/>
        </w:rPr>
        <w:t xml:space="preserve">(an dem Ort, wo das </w:t>
      </w:r>
      <w:r w:rsidR="00CF10E7">
        <w:rPr>
          <w:rFonts w:eastAsia="Times New Roman" w:cs="Times New Roman"/>
          <w:lang w:eastAsia="de-DE"/>
        </w:rPr>
        <w:t>Aufsteigeopfer</w:t>
      </w:r>
      <w:r w:rsidRPr="00B2490C">
        <w:rPr>
          <w:rFonts w:eastAsia="Times New Roman" w:cs="Times New Roman"/>
          <w:lang w:eastAsia="de-DE"/>
        </w:rPr>
        <w:t xml:space="preserve"> geschlachtet wird, soll das Sündopfer geschlachtet werden vor JHWH) zeigt die Ortsbestimmung. </w:t>
      </w:r>
      <w:r w:rsidRPr="00B2490C">
        <w:rPr>
          <w:rFonts w:eastAsia="Times New Roman" w:cs="Times New Roman"/>
          <w:b/>
          <w:bCs/>
          <w:rtl/>
          <w:lang w:eastAsia="de-DE"/>
        </w:rPr>
        <w:t>במקום אשר תשחט העלה</w:t>
      </w:r>
      <w:r w:rsidRPr="00B2490C">
        <w:rPr>
          <w:rFonts w:eastAsia="Times New Roman" w:cs="Times New Roman"/>
          <w:rtl/>
          <w:lang w:eastAsia="de-DE"/>
        </w:rPr>
        <w:t xml:space="preserve"> </w:t>
      </w:r>
      <w:r w:rsidRPr="00B2490C">
        <w:rPr>
          <w:rFonts w:eastAsia="Times New Roman" w:cs="Times New Roman"/>
          <w:lang w:eastAsia="de-DE"/>
        </w:rPr>
        <w:t xml:space="preserve">(an dem Ort, wo das </w:t>
      </w:r>
      <w:r w:rsidR="00CF10E7">
        <w:rPr>
          <w:rFonts w:eastAsia="Times New Roman" w:cs="Times New Roman"/>
          <w:lang w:eastAsia="de-DE"/>
        </w:rPr>
        <w:t>Aufsteigeopfer</w:t>
      </w:r>
      <w:r w:rsidRPr="00B2490C">
        <w:rPr>
          <w:rFonts w:eastAsia="Times New Roman" w:cs="Times New Roman"/>
          <w:lang w:eastAsia="de-DE"/>
        </w:rPr>
        <w:t xml:space="preserve"> geschlachtet wird), </w:t>
      </w:r>
      <w:r w:rsidRPr="00B2490C">
        <w:rPr>
          <w:rFonts w:eastAsia="Times New Roman" w:cs="Times New Roman"/>
          <w:b/>
          <w:bCs/>
          <w:rtl/>
          <w:lang w:eastAsia="de-DE"/>
        </w:rPr>
        <w:t>תשחט החטאת לפני יהוה</w:t>
      </w:r>
      <w:r w:rsidRPr="00B2490C">
        <w:rPr>
          <w:rFonts w:eastAsia="Times New Roman" w:cs="Times New Roman"/>
          <w:rtl/>
          <w:lang w:eastAsia="de-DE"/>
        </w:rPr>
        <w:t xml:space="preserve"> </w:t>
      </w:r>
      <w:r w:rsidRPr="00B2490C">
        <w:rPr>
          <w:rFonts w:eastAsia="Times New Roman" w:cs="Times New Roman"/>
          <w:lang w:eastAsia="de-DE"/>
        </w:rPr>
        <w:t>(soll das Sündopfer geschlachtet werden vor JHWH).</w:t>
      </w:r>
    </w:p>
    <w:p w14:paraId="42DBE81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קֹ֥דֶשׁ קָֽדָשִׁ֖ים הִֽוא</w:t>
      </w:r>
      <w:r w:rsidRPr="00B2490C">
        <w:rPr>
          <w:rFonts w:eastAsia="Times New Roman" w:cs="Times New Roman"/>
          <w:rtl/>
          <w:lang w:eastAsia="de-DE"/>
        </w:rPr>
        <w:t xml:space="preserve"> </w:t>
      </w:r>
      <w:r w:rsidRPr="00B2490C">
        <w:rPr>
          <w:rFonts w:eastAsia="Times New Roman" w:cs="Times New Roman"/>
          <w:lang w:eastAsia="de-DE"/>
        </w:rPr>
        <w:t xml:space="preserve">(hochheilig ist es) klassifiziert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 xml:space="preserve">als </w:t>
      </w:r>
      <w:r w:rsidRPr="00B2490C">
        <w:rPr>
          <w:rFonts w:eastAsia="Times New Roman" w:cs="Times New Roman"/>
          <w:b/>
          <w:bCs/>
          <w:rtl/>
          <w:lang w:eastAsia="de-DE"/>
        </w:rPr>
        <w:t>קדש קדשים</w:t>
      </w:r>
      <w:r w:rsidRPr="00B2490C">
        <w:rPr>
          <w:rFonts w:eastAsia="Times New Roman" w:cs="Times New Roman"/>
          <w:rtl/>
          <w:lang w:eastAsia="de-DE"/>
        </w:rPr>
        <w:t xml:space="preserve"> </w:t>
      </w:r>
      <w:r w:rsidRPr="00B2490C">
        <w:rPr>
          <w:rFonts w:eastAsia="Times New Roman" w:cs="Times New Roman"/>
          <w:lang w:eastAsia="de-DE"/>
        </w:rPr>
        <w:t>entsprechend V. 10.</w:t>
      </w:r>
    </w:p>
    <w:p w14:paraId="0963D1F0"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lastRenderedPageBreak/>
        <w:t>במקום אשר תשחט העלה</w:t>
      </w:r>
      <w:r w:rsidRPr="00B2490C">
        <w:rPr>
          <w:rFonts w:eastAsia="Times New Roman" w:cs="Times New Roman"/>
          <w:rtl/>
          <w:lang w:eastAsia="de-DE"/>
        </w:rPr>
        <w:t xml:space="preserve"> </w:t>
      </w:r>
      <w:r w:rsidRPr="00B2490C">
        <w:rPr>
          <w:rFonts w:eastAsia="Times New Roman" w:cs="Times New Roman"/>
          <w:lang w:eastAsia="de-DE"/>
        </w:rPr>
        <w:t xml:space="preserve">identifiziert den </w:t>
      </w:r>
      <w:r w:rsidRPr="00B2490C">
        <w:rPr>
          <w:rFonts w:eastAsia="Times New Roman" w:cs="Times New Roman"/>
          <w:b/>
          <w:bCs/>
          <w:rtl/>
          <w:lang w:eastAsia="de-DE"/>
        </w:rPr>
        <w:t>חטאת</w:t>
      </w:r>
      <w:r w:rsidRPr="00B2490C">
        <w:rPr>
          <w:rFonts w:eastAsia="Times New Roman" w:cs="Times New Roman"/>
          <w:lang w:eastAsia="de-DE"/>
        </w:rPr>
        <w:t xml:space="preserve">-Schlachtort mit dem </w:t>
      </w:r>
      <w:r w:rsidRPr="00B2490C">
        <w:rPr>
          <w:rFonts w:eastAsia="Times New Roman" w:cs="Times New Roman"/>
          <w:b/>
          <w:bCs/>
          <w:rtl/>
          <w:lang w:eastAsia="de-DE"/>
        </w:rPr>
        <w:t>עלה</w:t>
      </w:r>
      <w:r w:rsidRPr="00B2490C">
        <w:rPr>
          <w:rFonts w:eastAsia="Times New Roman" w:cs="Times New Roman"/>
          <w:lang w:eastAsia="de-DE"/>
        </w:rPr>
        <w:t xml:space="preserve">-Schlachtort: der Nordseite des Altars entsprechend 1,11. </w:t>
      </w:r>
      <w:r w:rsidRPr="00B2490C">
        <w:rPr>
          <w:rFonts w:eastAsia="Times New Roman" w:cs="Times New Roman"/>
          <w:b/>
          <w:bCs/>
          <w:rtl/>
          <w:lang w:eastAsia="de-DE"/>
        </w:rPr>
        <w:t>לפני יהוה</w:t>
      </w:r>
      <w:r w:rsidRPr="00B2490C">
        <w:rPr>
          <w:rFonts w:eastAsia="Times New Roman" w:cs="Times New Roman"/>
          <w:rtl/>
          <w:lang w:eastAsia="de-DE"/>
        </w:rPr>
        <w:t xml:space="preserve"> </w:t>
      </w:r>
      <w:r w:rsidRPr="00B2490C">
        <w:rPr>
          <w:rFonts w:eastAsia="Times New Roman" w:cs="Times New Roman"/>
          <w:lang w:eastAsia="de-DE"/>
        </w:rPr>
        <w:t>betont die sakrale Örtlichkeit.</w:t>
      </w:r>
    </w:p>
    <w:p w14:paraId="5579A94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קדש קדשים הוא</w:t>
      </w:r>
      <w:r w:rsidRPr="00B2490C">
        <w:rPr>
          <w:rFonts w:eastAsia="Times New Roman" w:cs="Times New Roman"/>
          <w:rtl/>
          <w:lang w:eastAsia="de-DE"/>
        </w:rPr>
        <w:t xml:space="preserve"> </w:t>
      </w:r>
      <w:r w:rsidRPr="00B2490C">
        <w:rPr>
          <w:rFonts w:eastAsia="Times New Roman" w:cs="Times New Roman"/>
          <w:lang w:eastAsia="de-DE"/>
        </w:rPr>
        <w:t xml:space="preserve">etabliert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 xml:space="preserve">in derselben Heiligkeitsstufe wie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(V. 10): nur für männliche Priester, besondere Verzehrbestimmungen.</w:t>
      </w:r>
    </w:p>
    <w:p w14:paraId="375FA80A" w14:textId="166DC363"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erweitert das Ende mit </w:t>
      </w:r>
      <w:proofErr w:type="spellStart"/>
      <w:r w:rsidR="00577FFB">
        <w:t>ἁγι</w:t>
      </w:r>
      <w:proofErr w:type="spellEnd"/>
      <w:r w:rsidR="00577FFB">
        <w:t xml:space="preserve">ασθήσεται (er wird geheiligt werden) für </w:t>
      </w:r>
      <w:r w:rsidR="00577FFB">
        <w:rPr>
          <w:rtl/>
        </w:rPr>
        <w:t>יקדש</w:t>
      </w:r>
      <w:r w:rsidR="00577FFB">
        <w:t>, was eine passivische Deutung der Heiligung darstellt.</w:t>
      </w:r>
    </w:p>
    <w:p w14:paraId="6BBE57A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Torah-Einleitung + Ortsbestimmung + Klassifikation: Befehlseinleitung + Torah-Klassifikation + Ortsanalogie + sakrale Ortsangabe + Heiligkeitsklassifikation. Die Struktur etabliert die priesterliche </w:t>
      </w:r>
      <w:r w:rsidRPr="00B2490C">
        <w:rPr>
          <w:rFonts w:eastAsia="Times New Roman" w:cs="Times New Roman"/>
          <w:b/>
          <w:bCs/>
          <w:rtl/>
          <w:lang w:eastAsia="de-DE"/>
        </w:rPr>
        <w:t>תורת החטאת</w:t>
      </w:r>
      <w:r w:rsidRPr="00B2490C">
        <w:rPr>
          <w:rFonts w:eastAsia="Times New Roman" w:cs="Times New Roman"/>
          <w:lang w:eastAsia="de-DE"/>
        </w:rPr>
        <w:t>.</w:t>
      </w:r>
    </w:p>
    <w:p w14:paraId="0035A19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führt die </w:t>
      </w:r>
      <w:r w:rsidRPr="00B2490C">
        <w:rPr>
          <w:rFonts w:eastAsia="Times New Roman" w:cs="Times New Roman"/>
          <w:b/>
          <w:bCs/>
          <w:rtl/>
          <w:lang w:eastAsia="de-DE"/>
        </w:rPr>
        <w:t>תורת החטאת</w:t>
      </w:r>
      <w:r w:rsidRPr="00B2490C">
        <w:rPr>
          <w:rFonts w:eastAsia="Times New Roman" w:cs="Times New Roman"/>
          <w:rtl/>
          <w:lang w:eastAsia="de-DE"/>
        </w:rPr>
        <w:t xml:space="preserve"> </w:t>
      </w:r>
      <w:r w:rsidRPr="00B2490C">
        <w:rPr>
          <w:rFonts w:eastAsia="Times New Roman" w:cs="Times New Roman"/>
          <w:lang w:eastAsia="de-DE"/>
        </w:rPr>
        <w:t xml:space="preserve">ein mit Ortsbestimmung (derselbe Ort wie </w:t>
      </w:r>
      <w:r w:rsidRPr="00B2490C">
        <w:rPr>
          <w:rFonts w:eastAsia="Times New Roman" w:cs="Times New Roman"/>
          <w:b/>
          <w:bCs/>
          <w:rtl/>
          <w:lang w:eastAsia="de-DE"/>
        </w:rPr>
        <w:t>עלה</w:t>
      </w:r>
      <w:r w:rsidRPr="00B2490C">
        <w:rPr>
          <w:rFonts w:eastAsia="Times New Roman" w:cs="Times New Roman"/>
          <w:lang w:eastAsia="de-DE"/>
        </w:rPr>
        <w:t xml:space="preserve">) und </w:t>
      </w:r>
      <w:r w:rsidRPr="00B2490C">
        <w:rPr>
          <w:rFonts w:eastAsia="Times New Roman" w:cs="Times New Roman"/>
          <w:b/>
          <w:bCs/>
          <w:rtl/>
          <w:lang w:eastAsia="de-DE"/>
        </w:rPr>
        <w:t>קדש קדשים</w:t>
      </w:r>
      <w:r w:rsidRPr="00B2490C">
        <w:rPr>
          <w:rFonts w:eastAsia="Times New Roman" w:cs="Times New Roman"/>
          <w:lang w:eastAsia="de-DE"/>
        </w:rPr>
        <w:t>-Klassifikation.</w:t>
      </w:r>
    </w:p>
    <w:p w14:paraId="24843A47"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6,19</w:t>
      </w:r>
    </w:p>
    <w:p w14:paraId="7FBC804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הַכֹּהֵ֛ן הַֽמְחַטֵּ֥א אֹתָ֖הּ יֹאכֲלֶ֑נָּה בְּמָק֤וֹם קָדֹשׁ֙ תֵּֽאָכֵ֔ל בַּחֲצַ֖ר אֹ֥הֶל מוֹעֵֽד׃</w:t>
      </w:r>
    </w:p>
    <w:p w14:paraId="7D91D46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Der Priester, der es als Sündopfer opfert, soll es essen; an heiligem Ort soll es gegessen werden, im Vorhof des Zeltes der Begegnung.</w:t>
      </w:r>
    </w:p>
    <w:p w14:paraId="5E8F08BA"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04EB8BB8">
          <v:rect id="_x0000_i1154" style="width:0;height:1.5pt" o:hralign="center" o:hrstd="t" o:hr="t" fillcolor="#a0a0a0" stroked="f"/>
        </w:pict>
      </w:r>
    </w:p>
    <w:p w14:paraId="304EAB2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הַכֹּהֵ֛ן הַֽמְחַטֵּ֥א אֹתָ֖הּ יֹאכֲלֶ֑נָּה</w:t>
      </w:r>
      <w:r w:rsidRPr="00B2490C">
        <w:rPr>
          <w:rFonts w:eastAsia="Times New Roman" w:cs="Times New Roman"/>
          <w:rtl/>
          <w:lang w:eastAsia="de-DE"/>
        </w:rPr>
        <w:t xml:space="preserve"> </w:t>
      </w:r>
      <w:r w:rsidRPr="00B2490C">
        <w:rPr>
          <w:rFonts w:eastAsia="Times New Roman" w:cs="Times New Roman"/>
          <w:lang w:eastAsia="de-DE"/>
        </w:rPr>
        <w:t xml:space="preserve">(der Priester, der es als Sündopfer darbringt, soll es essen) regelt die Verzehrberechtigung. </w:t>
      </w:r>
      <w:r w:rsidRPr="00B2490C">
        <w:rPr>
          <w:rFonts w:eastAsia="Times New Roman" w:cs="Times New Roman"/>
          <w:b/>
          <w:bCs/>
          <w:rtl/>
          <w:lang w:eastAsia="de-DE"/>
        </w:rPr>
        <w:t>הכהן המחטא אתה</w:t>
      </w:r>
      <w:r w:rsidRPr="00B2490C">
        <w:rPr>
          <w:rFonts w:eastAsia="Times New Roman" w:cs="Times New Roman"/>
          <w:rtl/>
          <w:lang w:eastAsia="de-DE"/>
        </w:rPr>
        <w:t xml:space="preserve"> </w:t>
      </w:r>
      <w:r w:rsidRPr="00B2490C">
        <w:rPr>
          <w:rFonts w:eastAsia="Times New Roman" w:cs="Times New Roman"/>
          <w:lang w:eastAsia="de-DE"/>
        </w:rPr>
        <w:t xml:space="preserve">(der Priester, der es als Sündopfer darbringt) von </w:t>
      </w:r>
      <w:r w:rsidRPr="00B2490C">
        <w:rPr>
          <w:rFonts w:eastAsia="Times New Roman" w:cs="Times New Roman"/>
          <w:b/>
          <w:bCs/>
          <w:rtl/>
          <w:lang w:eastAsia="de-DE"/>
        </w:rPr>
        <w:t>חטא</w:t>
      </w:r>
      <w:r w:rsidRPr="00B2490C">
        <w:rPr>
          <w:rFonts w:eastAsia="Times New Roman" w:cs="Times New Roman"/>
          <w:rtl/>
          <w:lang w:eastAsia="de-DE"/>
        </w:rPr>
        <w:t xml:space="preserve"> </w:t>
      </w:r>
      <w:r w:rsidRPr="00B2490C">
        <w:rPr>
          <w:rFonts w:eastAsia="Times New Roman" w:cs="Times New Roman"/>
          <w:lang w:eastAsia="de-DE"/>
        </w:rPr>
        <w:t xml:space="preserve">(sündigen) im Piel: "entsündigen/Sündopfer darbringen", </w:t>
      </w:r>
      <w:r w:rsidRPr="00B2490C">
        <w:rPr>
          <w:rFonts w:eastAsia="Times New Roman" w:cs="Times New Roman"/>
          <w:b/>
          <w:bCs/>
          <w:rtl/>
          <w:lang w:eastAsia="de-DE"/>
        </w:rPr>
        <w:t>יאכלנה</w:t>
      </w:r>
      <w:r w:rsidRPr="00B2490C">
        <w:rPr>
          <w:rFonts w:eastAsia="Times New Roman" w:cs="Times New Roman"/>
          <w:rtl/>
          <w:lang w:eastAsia="de-DE"/>
        </w:rPr>
        <w:t xml:space="preserve"> </w:t>
      </w:r>
      <w:r w:rsidRPr="00B2490C">
        <w:rPr>
          <w:rFonts w:eastAsia="Times New Roman" w:cs="Times New Roman"/>
          <w:lang w:eastAsia="de-DE"/>
        </w:rPr>
        <w:t>(soll es essen).</w:t>
      </w:r>
    </w:p>
    <w:p w14:paraId="5508BA0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בְּמָק֤וֹם קָדֹשׁ֙ תֵּֽאָכֵ֔ל בַּחֲצַ֖ר אֹ֥הֶל מוֹעֵֽד</w:t>
      </w:r>
      <w:r w:rsidRPr="00B2490C">
        <w:rPr>
          <w:rFonts w:eastAsia="Times New Roman" w:cs="Times New Roman"/>
          <w:rtl/>
          <w:lang w:eastAsia="de-DE"/>
        </w:rPr>
        <w:t xml:space="preserve"> </w:t>
      </w:r>
      <w:r w:rsidRPr="00B2490C">
        <w:rPr>
          <w:rFonts w:eastAsia="Times New Roman" w:cs="Times New Roman"/>
          <w:lang w:eastAsia="de-DE"/>
        </w:rPr>
        <w:t xml:space="preserve">(an heiligem Ort soll es gegessen werden, im Vorhof des Zeltes der Begegnung) entspricht exakt V. 9 für </w:t>
      </w:r>
      <w:r w:rsidRPr="00B2490C">
        <w:rPr>
          <w:rFonts w:eastAsia="Times New Roman" w:cs="Times New Roman"/>
          <w:b/>
          <w:bCs/>
          <w:rtl/>
          <w:lang w:eastAsia="de-DE"/>
        </w:rPr>
        <w:t>מנחה</w:t>
      </w:r>
      <w:r w:rsidRPr="00B2490C">
        <w:rPr>
          <w:rFonts w:eastAsia="Times New Roman" w:cs="Times New Roman"/>
          <w:lang w:eastAsia="de-DE"/>
        </w:rPr>
        <w:t xml:space="preserve">. </w:t>
      </w:r>
      <w:r w:rsidRPr="00B2490C">
        <w:rPr>
          <w:rFonts w:eastAsia="Times New Roman" w:cs="Times New Roman"/>
          <w:b/>
          <w:bCs/>
          <w:rtl/>
          <w:lang w:eastAsia="de-DE"/>
        </w:rPr>
        <w:t>במקום קדוש תאכל</w:t>
      </w:r>
      <w:r w:rsidRPr="00B2490C">
        <w:rPr>
          <w:rFonts w:eastAsia="Times New Roman" w:cs="Times New Roman"/>
          <w:rtl/>
          <w:lang w:eastAsia="de-DE"/>
        </w:rPr>
        <w:t xml:space="preserve"> </w:t>
      </w:r>
      <w:r w:rsidRPr="00B2490C">
        <w:rPr>
          <w:rFonts w:eastAsia="Times New Roman" w:cs="Times New Roman"/>
          <w:lang w:eastAsia="de-DE"/>
        </w:rPr>
        <w:t xml:space="preserve">(an heiligem Ort soll es gegessen werden), </w:t>
      </w:r>
      <w:r w:rsidRPr="00B2490C">
        <w:rPr>
          <w:rFonts w:eastAsia="Times New Roman" w:cs="Times New Roman"/>
          <w:b/>
          <w:bCs/>
          <w:rtl/>
          <w:lang w:eastAsia="de-DE"/>
        </w:rPr>
        <w:t>בחצר אהל מועד</w:t>
      </w:r>
      <w:r w:rsidRPr="00B2490C">
        <w:rPr>
          <w:rFonts w:eastAsia="Times New Roman" w:cs="Times New Roman"/>
          <w:rtl/>
          <w:lang w:eastAsia="de-DE"/>
        </w:rPr>
        <w:t xml:space="preserve"> </w:t>
      </w:r>
      <w:r w:rsidRPr="00B2490C">
        <w:rPr>
          <w:rFonts w:eastAsia="Times New Roman" w:cs="Times New Roman"/>
          <w:lang w:eastAsia="de-DE"/>
        </w:rPr>
        <w:t>(im Vorhof des Zeltes der Begegnung).</w:t>
      </w:r>
    </w:p>
    <w:p w14:paraId="4AD4931A"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המחטא אתה</w:t>
      </w:r>
      <w:r w:rsidRPr="00B2490C">
        <w:rPr>
          <w:rFonts w:eastAsia="Times New Roman" w:cs="Times New Roman"/>
          <w:rtl/>
          <w:lang w:eastAsia="de-DE"/>
        </w:rPr>
        <w:t xml:space="preserve"> </w:t>
      </w:r>
      <w:r w:rsidRPr="00B2490C">
        <w:rPr>
          <w:rFonts w:eastAsia="Times New Roman" w:cs="Times New Roman"/>
          <w:lang w:eastAsia="de-DE"/>
        </w:rPr>
        <w:t xml:space="preserve">(der es als Sündopfer darbringt) zeigt </w:t>
      </w:r>
      <w:r w:rsidRPr="00B2490C">
        <w:rPr>
          <w:rFonts w:eastAsia="Times New Roman" w:cs="Times New Roman"/>
          <w:b/>
          <w:bCs/>
          <w:rtl/>
          <w:lang w:eastAsia="de-DE"/>
        </w:rPr>
        <w:t>חטא</w:t>
      </w:r>
      <w:r w:rsidRPr="00B2490C">
        <w:rPr>
          <w:rFonts w:eastAsia="Times New Roman" w:cs="Times New Roman"/>
          <w:rtl/>
          <w:lang w:eastAsia="de-DE"/>
        </w:rPr>
        <w:t xml:space="preserve"> </w:t>
      </w:r>
      <w:r w:rsidRPr="00B2490C">
        <w:rPr>
          <w:rFonts w:eastAsia="Times New Roman" w:cs="Times New Roman"/>
          <w:lang w:eastAsia="de-DE"/>
        </w:rPr>
        <w:t xml:space="preserve">im Piel: "von Sünde reinigen" oder "Sündopfer darbringen". Der ausführende Priester erhält das </w:t>
      </w:r>
      <w:r w:rsidRPr="00B2490C">
        <w:rPr>
          <w:rFonts w:eastAsia="Times New Roman" w:cs="Times New Roman"/>
          <w:b/>
          <w:bCs/>
          <w:rtl/>
          <w:lang w:eastAsia="de-DE"/>
        </w:rPr>
        <w:t>חטאת</w:t>
      </w:r>
      <w:r w:rsidRPr="00B2490C">
        <w:rPr>
          <w:rFonts w:eastAsia="Times New Roman" w:cs="Times New Roman"/>
          <w:lang w:eastAsia="de-DE"/>
        </w:rPr>
        <w:t xml:space="preserve">-Fleisch, im Unterschied zu </w:t>
      </w:r>
      <w:r w:rsidRPr="00B2490C">
        <w:rPr>
          <w:rFonts w:eastAsia="Times New Roman" w:cs="Times New Roman"/>
          <w:b/>
          <w:bCs/>
          <w:rtl/>
          <w:lang w:eastAsia="de-DE"/>
        </w:rPr>
        <w:t>עלה</w:t>
      </w:r>
      <w:r w:rsidRPr="00B2490C">
        <w:rPr>
          <w:rFonts w:eastAsia="Times New Roman" w:cs="Times New Roman"/>
          <w:lang w:eastAsia="de-DE"/>
        </w:rPr>
        <w:t>, die vollständig verbrannt wird.</w:t>
      </w:r>
    </w:p>
    <w:p w14:paraId="581C2502"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במקום קדוש...בחצר אהל מועד</w:t>
      </w:r>
      <w:r w:rsidRPr="00B2490C">
        <w:rPr>
          <w:rFonts w:eastAsia="Times New Roman" w:cs="Times New Roman"/>
          <w:rtl/>
          <w:lang w:eastAsia="de-DE"/>
        </w:rPr>
        <w:t xml:space="preserve"> </w:t>
      </w:r>
      <w:r w:rsidRPr="00B2490C">
        <w:rPr>
          <w:rFonts w:eastAsia="Times New Roman" w:cs="Times New Roman"/>
          <w:lang w:eastAsia="de-DE"/>
        </w:rPr>
        <w:t xml:space="preserve">spezifiziert den </w:t>
      </w:r>
      <w:r w:rsidRPr="00B2490C">
        <w:rPr>
          <w:rFonts w:eastAsia="Times New Roman" w:cs="Times New Roman"/>
          <w:b/>
          <w:bCs/>
          <w:rtl/>
          <w:lang w:eastAsia="de-DE"/>
        </w:rPr>
        <w:t>מקום קדוש</w:t>
      </w:r>
      <w:r w:rsidRPr="00B2490C">
        <w:rPr>
          <w:rFonts w:eastAsia="Times New Roman" w:cs="Times New Roman"/>
          <w:rtl/>
          <w:lang w:eastAsia="de-DE"/>
        </w:rPr>
        <w:t xml:space="preserve"> </w:t>
      </w:r>
      <w:r w:rsidRPr="00B2490C">
        <w:rPr>
          <w:rFonts w:eastAsia="Times New Roman" w:cs="Times New Roman"/>
          <w:lang w:eastAsia="de-DE"/>
        </w:rPr>
        <w:t xml:space="preserve">als Heiligtumsvorhof, wie bei </w:t>
      </w:r>
      <w:r w:rsidRPr="00B2490C">
        <w:rPr>
          <w:rFonts w:eastAsia="Times New Roman" w:cs="Times New Roman"/>
          <w:b/>
          <w:bCs/>
          <w:rtl/>
          <w:lang w:eastAsia="de-DE"/>
        </w:rPr>
        <w:t>מנחה</w:t>
      </w:r>
      <w:r w:rsidRPr="00B2490C">
        <w:rPr>
          <w:rFonts w:eastAsia="Times New Roman" w:cs="Times New Roman"/>
          <w:rtl/>
          <w:lang w:eastAsia="de-DE"/>
        </w:rPr>
        <w:t xml:space="preserve"> </w:t>
      </w:r>
      <w:r w:rsidRPr="00B2490C">
        <w:rPr>
          <w:rFonts w:eastAsia="Times New Roman" w:cs="Times New Roman"/>
          <w:lang w:eastAsia="de-DE"/>
        </w:rPr>
        <w:t>(V. 9).</w:t>
      </w:r>
    </w:p>
    <w:p w14:paraId="4AC4B26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הַֽמְחַטֵּ֥א</w:t>
      </w:r>
      <w:r w:rsidRPr="00B2490C">
        <w:rPr>
          <w:rFonts w:eastAsia="Times New Roman" w:cs="Times New Roman"/>
          <w:rtl/>
          <w:lang w:eastAsia="de-DE"/>
        </w:rPr>
        <w:t xml:space="preserve"> </w:t>
      </w:r>
      <w:r w:rsidRPr="00B2490C">
        <w:rPr>
          <w:rFonts w:eastAsia="Times New Roman" w:cs="Times New Roman"/>
          <w:lang w:eastAsia="de-DE"/>
        </w:rPr>
        <w:t xml:space="preserve">mit ὁ </w:t>
      </w:r>
      <w:proofErr w:type="spellStart"/>
      <w:r w:rsidRPr="00B2490C">
        <w:rPr>
          <w:rFonts w:eastAsia="Times New Roman" w:cs="Times New Roman"/>
          <w:lang w:eastAsia="de-DE"/>
        </w:rPr>
        <w:t>ἁγιάζων</w:t>
      </w:r>
      <w:proofErr w:type="spellEnd"/>
      <w:r w:rsidRPr="00B2490C">
        <w:rPr>
          <w:rFonts w:eastAsia="Times New Roman" w:cs="Times New Roman"/>
          <w:lang w:eastAsia="de-DE"/>
        </w:rPr>
        <w:t xml:space="preserve"> (der heiligende), </w:t>
      </w:r>
      <w:r w:rsidRPr="00B2490C">
        <w:rPr>
          <w:rFonts w:eastAsia="Times New Roman" w:cs="Times New Roman"/>
          <w:b/>
          <w:bCs/>
          <w:rtl/>
          <w:lang w:eastAsia="de-DE"/>
        </w:rPr>
        <w:t>בְּמָק֤וֹם קָדֹשׁ֙</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τό</w:t>
      </w:r>
      <w:proofErr w:type="spellEnd"/>
      <w:r w:rsidRPr="00B2490C">
        <w:rPr>
          <w:rFonts w:eastAsia="Times New Roman" w:cs="Times New Roman"/>
          <w:lang w:eastAsia="de-DE"/>
        </w:rPr>
        <w:t xml:space="preserve">πῳ </w:t>
      </w:r>
      <w:proofErr w:type="spellStart"/>
      <w:r w:rsidRPr="00B2490C">
        <w:rPr>
          <w:rFonts w:eastAsia="Times New Roman" w:cs="Times New Roman"/>
          <w:lang w:eastAsia="de-DE"/>
        </w:rPr>
        <w:t>ἁγίῳ</w:t>
      </w:r>
      <w:proofErr w:type="spellEnd"/>
      <w:r w:rsidRPr="00B2490C">
        <w:rPr>
          <w:rFonts w:eastAsia="Times New Roman" w:cs="Times New Roman"/>
          <w:lang w:eastAsia="de-DE"/>
        </w:rPr>
        <w:t xml:space="preserve"> (an heiligem Ort) und </w:t>
      </w:r>
      <w:r w:rsidRPr="00B2490C">
        <w:rPr>
          <w:rFonts w:eastAsia="Times New Roman" w:cs="Times New Roman"/>
          <w:b/>
          <w:bCs/>
          <w:rtl/>
          <w:lang w:eastAsia="de-DE"/>
        </w:rPr>
        <w:t>בַּחֲצַ֖ר</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ἐν</w:t>
      </w:r>
      <w:proofErr w:type="spellEnd"/>
      <w:r w:rsidRPr="00B2490C">
        <w:rPr>
          <w:rFonts w:eastAsia="Times New Roman" w:cs="Times New Roman"/>
          <w:lang w:eastAsia="de-DE"/>
        </w:rPr>
        <w:t xml:space="preserve"> α</w:t>
      </w:r>
      <w:proofErr w:type="spellStart"/>
      <w:r w:rsidRPr="00B2490C">
        <w:rPr>
          <w:rFonts w:eastAsia="Times New Roman" w:cs="Times New Roman"/>
          <w:lang w:eastAsia="de-DE"/>
        </w:rPr>
        <w:t>ὐλῇ</w:t>
      </w:r>
      <w:proofErr w:type="spellEnd"/>
      <w:r w:rsidRPr="00B2490C">
        <w:rPr>
          <w:rFonts w:eastAsia="Times New Roman" w:cs="Times New Roman"/>
          <w:lang w:eastAsia="de-DE"/>
        </w:rPr>
        <w:t xml:space="preserve"> (im Vorhof).</w:t>
      </w:r>
    </w:p>
    <w:p w14:paraId="76FC790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Verzehrregelung: komplexes Subjekt + Verb + Objekt + Ortsbestimmung + Ortsspezifizierung. Die Struktur entspricht der </w:t>
      </w:r>
      <w:r w:rsidRPr="00B2490C">
        <w:rPr>
          <w:rFonts w:eastAsia="Times New Roman" w:cs="Times New Roman"/>
          <w:b/>
          <w:bCs/>
          <w:rtl/>
          <w:lang w:eastAsia="de-DE"/>
        </w:rPr>
        <w:t>מנחה</w:t>
      </w:r>
      <w:r w:rsidRPr="00B2490C">
        <w:rPr>
          <w:rFonts w:eastAsia="Times New Roman" w:cs="Times New Roman"/>
          <w:lang w:eastAsia="de-DE"/>
        </w:rPr>
        <w:t>-Verzehrregelung von V. 9.</w:t>
      </w:r>
    </w:p>
    <w:p w14:paraId="4EBCAF9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lastRenderedPageBreak/>
        <w:t xml:space="preserve">Dieser Vers regelt die Verzehrung von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durch den darbringenden Priester an heiligem Ort.</w:t>
      </w:r>
    </w:p>
    <w:p w14:paraId="37A8A219"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6,20</w:t>
      </w:r>
    </w:p>
    <w:p w14:paraId="5B5F710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כֹּ֛ל אֲשֶׁר־יִגַּ֥ע בִּבְשָׂרָ֖הּ יִקְדָּ֑שׁ וַאֲשֶׁ֨ר יִזֶּ֤ה מִדָּמָהּ֙ עַל־הַבֶּ֔גֶד אֲשֶׁר֙ יִזֶּ֣ה עָלֶ֔יהָ תְּכַבֵּ֖ס בְּמָק֥וֹם קָדֹֽשׁ׃</w:t>
      </w:r>
    </w:p>
    <w:p w14:paraId="7780BCA3"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Alles, was sein Fleisch berührt, wird heilig sein; und wenn etwas von seinem Blut auf ein Kleid spritzt - das, woraufhin es spritzt, sollst du an heiligem Ort waschen.</w:t>
      </w:r>
    </w:p>
    <w:p w14:paraId="20D1ACE8"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5B5BC817">
          <v:rect id="_x0000_i1155" style="width:0;height:1.5pt" o:hralign="center" o:hrstd="t" o:hr="t" fillcolor="#a0a0a0" stroked="f"/>
        </w:pict>
      </w:r>
    </w:p>
    <w:p w14:paraId="26E3052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כֹּ֛ל אֲשֶׁר־יִגַּ֥ע בִּבְשָׂרָ֖הּ יִקְדָּ֑שׁ</w:t>
      </w:r>
      <w:r w:rsidRPr="00B2490C">
        <w:rPr>
          <w:rFonts w:eastAsia="Times New Roman" w:cs="Times New Roman"/>
          <w:rtl/>
          <w:lang w:eastAsia="de-DE"/>
        </w:rPr>
        <w:t xml:space="preserve"> </w:t>
      </w:r>
      <w:r w:rsidRPr="00B2490C">
        <w:rPr>
          <w:rFonts w:eastAsia="Times New Roman" w:cs="Times New Roman"/>
          <w:lang w:eastAsia="de-DE"/>
        </w:rPr>
        <w:t xml:space="preserve">(alles, was ihr Fleisch berührt, wird heilig sein) zeigt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w:t>
      </w:r>
      <w:r w:rsidRPr="00B2490C">
        <w:rPr>
          <w:rFonts w:eastAsia="Times New Roman" w:cs="Times New Roman"/>
          <w:b/>
          <w:bCs/>
          <w:rtl/>
          <w:lang w:eastAsia="de-DE"/>
        </w:rPr>
        <w:t>כל אשר־יגע בבשרה</w:t>
      </w:r>
      <w:r w:rsidRPr="00B2490C">
        <w:rPr>
          <w:rFonts w:eastAsia="Times New Roman" w:cs="Times New Roman"/>
          <w:rtl/>
          <w:lang w:eastAsia="de-DE"/>
        </w:rPr>
        <w:t xml:space="preserve"> </w:t>
      </w:r>
      <w:r w:rsidRPr="00B2490C">
        <w:rPr>
          <w:rFonts w:eastAsia="Times New Roman" w:cs="Times New Roman"/>
          <w:lang w:eastAsia="de-DE"/>
        </w:rPr>
        <w:t xml:space="preserve">(alles, was ihr Fleisch berührt), </w:t>
      </w:r>
      <w:r w:rsidRPr="00B2490C">
        <w:rPr>
          <w:rFonts w:eastAsia="Times New Roman" w:cs="Times New Roman"/>
          <w:b/>
          <w:bCs/>
          <w:rtl/>
          <w:lang w:eastAsia="de-DE"/>
        </w:rPr>
        <w:t>יקדש</w:t>
      </w:r>
      <w:r w:rsidRPr="00B2490C">
        <w:rPr>
          <w:rFonts w:eastAsia="Times New Roman" w:cs="Times New Roman"/>
          <w:rtl/>
          <w:lang w:eastAsia="de-DE"/>
        </w:rPr>
        <w:t xml:space="preserve"> </w:t>
      </w:r>
      <w:r w:rsidRPr="00B2490C">
        <w:rPr>
          <w:rFonts w:eastAsia="Times New Roman" w:cs="Times New Roman"/>
          <w:lang w:eastAsia="de-DE"/>
        </w:rPr>
        <w:t xml:space="preserve">(wird heilig sein) entspricht V. 11 für </w:t>
      </w:r>
      <w:r w:rsidRPr="00B2490C">
        <w:rPr>
          <w:rFonts w:eastAsia="Times New Roman" w:cs="Times New Roman"/>
          <w:b/>
          <w:bCs/>
          <w:rtl/>
          <w:lang w:eastAsia="de-DE"/>
        </w:rPr>
        <w:t>מנחה</w:t>
      </w:r>
      <w:r w:rsidRPr="00B2490C">
        <w:rPr>
          <w:rFonts w:eastAsia="Times New Roman" w:cs="Times New Roman"/>
          <w:lang w:eastAsia="de-DE"/>
        </w:rPr>
        <w:t>.</w:t>
      </w:r>
    </w:p>
    <w:p w14:paraId="6E490D2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וַאֲשֶׁ֨ר יִזֶּ֤ה מִדָּמָהּ֙ עַל־הַבֶּ֔גֶד אֲשֶׁר֙ יִזֶּ֣ה עָלֶ֔יהָ תְּכַבֵּ֖ס בְּמָק֥וֹם קָדֹֽשׁ</w:t>
      </w:r>
      <w:r w:rsidRPr="00B2490C">
        <w:rPr>
          <w:rFonts w:eastAsia="Times New Roman" w:cs="Times New Roman"/>
          <w:rtl/>
          <w:lang w:eastAsia="de-DE"/>
        </w:rPr>
        <w:t xml:space="preserve"> </w:t>
      </w:r>
      <w:r w:rsidRPr="00B2490C">
        <w:rPr>
          <w:rFonts w:eastAsia="Times New Roman" w:cs="Times New Roman"/>
          <w:lang w:eastAsia="de-DE"/>
        </w:rPr>
        <w:t xml:space="preserve">(und was von ihrem Blut auf ein Kleid spritzt, das, worauf es spritzt, sollst du an heiligem Ort waschen) regelt Blutreinigung. </w:t>
      </w:r>
      <w:r w:rsidRPr="00B2490C">
        <w:rPr>
          <w:rFonts w:eastAsia="Times New Roman" w:cs="Times New Roman"/>
          <w:b/>
          <w:bCs/>
          <w:rtl/>
          <w:lang w:eastAsia="de-DE"/>
        </w:rPr>
        <w:t>ואשר יזה מדמה על־הבגד</w:t>
      </w:r>
      <w:r w:rsidRPr="00B2490C">
        <w:rPr>
          <w:rFonts w:eastAsia="Times New Roman" w:cs="Times New Roman"/>
          <w:rtl/>
          <w:lang w:eastAsia="de-DE"/>
        </w:rPr>
        <w:t xml:space="preserve"> </w:t>
      </w:r>
      <w:r w:rsidRPr="00B2490C">
        <w:rPr>
          <w:rFonts w:eastAsia="Times New Roman" w:cs="Times New Roman"/>
          <w:lang w:eastAsia="de-DE"/>
        </w:rPr>
        <w:t xml:space="preserve">(und was von ihrem Blut auf ein Kleid spritzt) von </w:t>
      </w:r>
      <w:r w:rsidRPr="00B2490C">
        <w:rPr>
          <w:rFonts w:eastAsia="Times New Roman" w:cs="Times New Roman"/>
          <w:b/>
          <w:bCs/>
          <w:rtl/>
          <w:lang w:eastAsia="de-DE"/>
        </w:rPr>
        <w:t>נזה</w:t>
      </w:r>
      <w:r w:rsidRPr="00B2490C">
        <w:rPr>
          <w:rFonts w:eastAsia="Times New Roman" w:cs="Times New Roman"/>
          <w:rtl/>
          <w:lang w:eastAsia="de-DE"/>
        </w:rPr>
        <w:t xml:space="preserve"> </w:t>
      </w:r>
      <w:r w:rsidRPr="00B2490C">
        <w:rPr>
          <w:rFonts w:eastAsia="Times New Roman" w:cs="Times New Roman"/>
          <w:lang w:eastAsia="de-DE"/>
        </w:rPr>
        <w:t xml:space="preserve">(spritzen), </w:t>
      </w:r>
      <w:r w:rsidRPr="00B2490C">
        <w:rPr>
          <w:rFonts w:eastAsia="Times New Roman" w:cs="Times New Roman"/>
          <w:b/>
          <w:bCs/>
          <w:rtl/>
          <w:lang w:eastAsia="de-DE"/>
        </w:rPr>
        <w:t>אשר יזה עליה תכבס במקום קדוש</w:t>
      </w:r>
      <w:r w:rsidRPr="00B2490C">
        <w:rPr>
          <w:rFonts w:eastAsia="Times New Roman" w:cs="Times New Roman"/>
          <w:rtl/>
          <w:lang w:eastAsia="de-DE"/>
        </w:rPr>
        <w:t xml:space="preserve"> </w:t>
      </w:r>
      <w:r w:rsidRPr="00B2490C">
        <w:rPr>
          <w:rFonts w:eastAsia="Times New Roman" w:cs="Times New Roman"/>
          <w:lang w:eastAsia="de-DE"/>
        </w:rPr>
        <w:t>(das, worauf es spritzt, sollst du an heiligem Ort waschen).</w:t>
      </w:r>
    </w:p>
    <w:p w14:paraId="038A20D5"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 אשר־יגע בבשרה יקדש</w:t>
      </w:r>
      <w:r w:rsidRPr="00B2490C">
        <w:rPr>
          <w:rFonts w:eastAsia="Times New Roman" w:cs="Times New Roman"/>
          <w:rtl/>
          <w:lang w:eastAsia="de-DE"/>
        </w:rPr>
        <w:t xml:space="preserve"> </w:t>
      </w:r>
      <w:r w:rsidRPr="00B2490C">
        <w:rPr>
          <w:rFonts w:eastAsia="Times New Roman" w:cs="Times New Roman"/>
          <w:lang w:eastAsia="de-DE"/>
        </w:rPr>
        <w:t xml:space="preserve">zeigt die intensive </w:t>
      </w:r>
      <w:r w:rsidRPr="00B2490C">
        <w:rPr>
          <w:rFonts w:eastAsia="Times New Roman" w:cs="Times New Roman"/>
          <w:b/>
          <w:bCs/>
          <w:rtl/>
          <w:lang w:eastAsia="de-DE"/>
        </w:rPr>
        <w:t>קדושה</w:t>
      </w:r>
      <w:r w:rsidRPr="00B2490C">
        <w:rPr>
          <w:rFonts w:eastAsia="Times New Roman" w:cs="Times New Roman"/>
          <w:rtl/>
          <w:lang w:eastAsia="de-DE"/>
        </w:rPr>
        <w:t xml:space="preserve"> </w:t>
      </w:r>
      <w:r w:rsidRPr="00B2490C">
        <w:rPr>
          <w:rFonts w:eastAsia="Times New Roman" w:cs="Times New Roman"/>
          <w:lang w:eastAsia="de-DE"/>
        </w:rPr>
        <w:t xml:space="preserve">von </w:t>
      </w:r>
      <w:r w:rsidRPr="00B2490C">
        <w:rPr>
          <w:rFonts w:eastAsia="Times New Roman" w:cs="Times New Roman"/>
          <w:b/>
          <w:bCs/>
          <w:rtl/>
          <w:lang w:eastAsia="de-DE"/>
        </w:rPr>
        <w:t>חטאת</w:t>
      </w:r>
      <w:r w:rsidRPr="00B2490C">
        <w:rPr>
          <w:rFonts w:eastAsia="Times New Roman" w:cs="Times New Roman"/>
          <w:lang w:eastAsia="de-DE"/>
        </w:rPr>
        <w:t>-Fleisch: Berührung macht andere Objekte heilig und damit besonderen Bestimmungen unterworfen.</w:t>
      </w:r>
    </w:p>
    <w:p w14:paraId="651A3D81"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יזה מדמה על־הבגד</w:t>
      </w:r>
      <w:r w:rsidRPr="00B2490C">
        <w:rPr>
          <w:rFonts w:eastAsia="Times New Roman" w:cs="Times New Roman"/>
          <w:rtl/>
          <w:lang w:eastAsia="de-DE"/>
        </w:rPr>
        <w:t xml:space="preserve"> </w:t>
      </w:r>
      <w:r w:rsidRPr="00B2490C">
        <w:rPr>
          <w:rFonts w:eastAsia="Times New Roman" w:cs="Times New Roman"/>
          <w:lang w:eastAsia="de-DE"/>
        </w:rPr>
        <w:t xml:space="preserve">(von ihrem Blut auf ein Kleid spritzt) zeigt, dass </w:t>
      </w:r>
      <w:r w:rsidRPr="00B2490C">
        <w:rPr>
          <w:rFonts w:eastAsia="Times New Roman" w:cs="Times New Roman"/>
          <w:b/>
          <w:bCs/>
          <w:rtl/>
          <w:lang w:eastAsia="de-DE"/>
        </w:rPr>
        <w:t>חטאת</w:t>
      </w:r>
      <w:r w:rsidRPr="00B2490C">
        <w:rPr>
          <w:rFonts w:eastAsia="Times New Roman" w:cs="Times New Roman"/>
          <w:lang w:eastAsia="de-DE"/>
        </w:rPr>
        <w:t xml:space="preserve">-Blut beim Spritzverfahren (5,9) Kleidung kontaminieren kann. </w:t>
      </w:r>
      <w:r w:rsidRPr="00B2490C">
        <w:rPr>
          <w:rFonts w:eastAsia="Times New Roman" w:cs="Times New Roman"/>
          <w:b/>
          <w:bCs/>
          <w:rtl/>
          <w:lang w:eastAsia="de-DE"/>
        </w:rPr>
        <w:t>תכבס במקום קדוש</w:t>
      </w:r>
      <w:r w:rsidRPr="00B2490C">
        <w:rPr>
          <w:rFonts w:eastAsia="Times New Roman" w:cs="Times New Roman"/>
          <w:rtl/>
          <w:lang w:eastAsia="de-DE"/>
        </w:rPr>
        <w:t xml:space="preserve"> </w:t>
      </w:r>
      <w:r w:rsidRPr="00B2490C">
        <w:rPr>
          <w:rFonts w:eastAsia="Times New Roman" w:cs="Times New Roman"/>
          <w:lang w:eastAsia="de-DE"/>
        </w:rPr>
        <w:t>(sollst du an heiligem Ort waschen) zeigt spezielle Reinigungsbestimmungen.</w:t>
      </w:r>
    </w:p>
    <w:p w14:paraId="3AB66B8F" w14:textId="3D6E7266"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w:t>
      </w:r>
      <w:r w:rsidR="00577FFB">
        <w:t xml:space="preserve">übersetzt </w:t>
      </w:r>
      <w:r w:rsidR="00577FFB">
        <w:rPr>
          <w:rtl/>
        </w:rPr>
        <w:t>ממחת ירקע בו</w:t>
      </w:r>
      <w:r w:rsidR="00577FFB">
        <w:t xml:space="preserve"> (waschreiben und gerieben) als </w:t>
      </w:r>
      <w:proofErr w:type="spellStart"/>
      <w:r w:rsidR="00577FFB">
        <w:t>ἐκτρίψει</w:t>
      </w:r>
      <w:proofErr w:type="spellEnd"/>
      <w:r w:rsidR="00577FFB">
        <w:t xml:space="preserve"> α</w:t>
      </w:r>
      <w:proofErr w:type="spellStart"/>
      <w:r w:rsidR="00577FFB">
        <w:t>ὐτὸ</w:t>
      </w:r>
      <w:proofErr w:type="spellEnd"/>
      <w:r w:rsidR="00577FFB">
        <w:t xml:space="preserve"> καὶ </w:t>
      </w:r>
      <w:proofErr w:type="spellStart"/>
      <w:r w:rsidR="00577FFB">
        <w:t>ἐκκλύσει</w:t>
      </w:r>
      <w:proofErr w:type="spellEnd"/>
      <w:r w:rsidR="00577FFB">
        <w:t xml:space="preserve"> (er soll es abreiben und ausspülen), was präzisere Reinigungsterminologie verwendet.</w:t>
      </w:r>
    </w:p>
    <w:p w14:paraId="034923CC"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zwei Reinigungsbestimmungen: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 Blutreinigung. Die Struktur regelt die besonderen </w:t>
      </w:r>
      <w:r w:rsidRPr="00B2490C">
        <w:rPr>
          <w:rFonts w:eastAsia="Times New Roman" w:cs="Times New Roman"/>
          <w:b/>
          <w:bCs/>
          <w:rtl/>
          <w:lang w:eastAsia="de-DE"/>
        </w:rPr>
        <w:t>קדושה</w:t>
      </w:r>
      <w:r w:rsidRPr="00B2490C">
        <w:rPr>
          <w:rFonts w:eastAsia="Times New Roman" w:cs="Times New Roman"/>
          <w:lang w:eastAsia="de-DE"/>
        </w:rPr>
        <w:t xml:space="preserve">-Konsequenzen von </w:t>
      </w:r>
      <w:r w:rsidRPr="00B2490C">
        <w:rPr>
          <w:rFonts w:eastAsia="Times New Roman" w:cs="Times New Roman"/>
          <w:b/>
          <w:bCs/>
          <w:rtl/>
          <w:lang w:eastAsia="de-DE"/>
        </w:rPr>
        <w:t>חטאת</w:t>
      </w:r>
      <w:r w:rsidRPr="00B2490C">
        <w:rPr>
          <w:rFonts w:eastAsia="Times New Roman" w:cs="Times New Roman"/>
          <w:lang w:eastAsia="de-DE"/>
        </w:rPr>
        <w:t>.</w:t>
      </w:r>
    </w:p>
    <w:p w14:paraId="27EEEA3B"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regelt die </w:t>
      </w:r>
      <w:proofErr w:type="spellStart"/>
      <w:r w:rsidRPr="00B2490C">
        <w:rPr>
          <w:rFonts w:eastAsia="Times New Roman" w:cs="Times New Roman"/>
          <w:lang w:eastAsia="de-DE"/>
        </w:rPr>
        <w:t>Heiligkeitsübertragung</w:t>
      </w:r>
      <w:proofErr w:type="spellEnd"/>
      <w:r w:rsidRPr="00B2490C">
        <w:rPr>
          <w:rFonts w:eastAsia="Times New Roman" w:cs="Times New Roman"/>
          <w:lang w:eastAsia="de-DE"/>
        </w:rPr>
        <w:t xml:space="preserve"> durch </w:t>
      </w:r>
      <w:r w:rsidRPr="00B2490C">
        <w:rPr>
          <w:rFonts w:eastAsia="Times New Roman" w:cs="Times New Roman"/>
          <w:b/>
          <w:bCs/>
          <w:rtl/>
          <w:lang w:eastAsia="de-DE"/>
        </w:rPr>
        <w:t>חטאת</w:t>
      </w:r>
      <w:r w:rsidRPr="00B2490C">
        <w:rPr>
          <w:rFonts w:eastAsia="Times New Roman" w:cs="Times New Roman"/>
          <w:lang w:eastAsia="de-DE"/>
        </w:rPr>
        <w:t>-Fleisch und die spezielle Reinigung blutbespritzter Kleidung.</w:t>
      </w:r>
    </w:p>
    <w:p w14:paraId="139C97DB"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6,21</w:t>
      </w:r>
    </w:p>
    <w:p w14:paraId="797A5C6F"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וּכְלִי־חֶ֛רֶשׂ אֲשֶׁ֥ר תְּבֻשַּׁל־בּוֹ֖ יִשָּׁבֵ֑ר וְאִם־בִּכְלִ֤י נְחֹ֨שֶׁת֙ בֻּשָּׁ֔לָה וּמֹרַ֥ק וְשֻׁטַּ֖ף בַּמָּֽיִם׃</w:t>
      </w:r>
    </w:p>
    <w:p w14:paraId="6639112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Und das irdene Gefäß, in dem es gekocht wird, soll zerbrochen werden, und wenn es in einem kupfernen Gefäß gekocht wird, so soll dieses gescheuert und mit Wasser gespült werden.</w:t>
      </w:r>
    </w:p>
    <w:p w14:paraId="3653BE57"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6B1807AC">
          <v:rect id="_x0000_i1156" style="width:0;height:1.5pt" o:hralign="center" o:hrstd="t" o:hr="t" fillcolor="#a0a0a0" stroked="f"/>
        </w:pict>
      </w:r>
    </w:p>
    <w:p w14:paraId="45B9D9C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וּכְלִי־חֶ֛רֶשׂ אֲשֶׁ֥ר תְּבֻשַּׁל־בּוֹ֖ יִשָּׁבֵ֑ר</w:t>
      </w:r>
      <w:r w:rsidRPr="00B2490C">
        <w:rPr>
          <w:rFonts w:eastAsia="Times New Roman" w:cs="Times New Roman"/>
          <w:rtl/>
          <w:lang w:eastAsia="de-DE"/>
        </w:rPr>
        <w:t xml:space="preserve"> </w:t>
      </w:r>
      <w:r w:rsidRPr="00B2490C">
        <w:rPr>
          <w:rFonts w:eastAsia="Times New Roman" w:cs="Times New Roman"/>
          <w:lang w:eastAsia="de-DE"/>
        </w:rPr>
        <w:t xml:space="preserve">(und ein irdenes Gefäß, in dem es gekocht wird, soll zerbrochen werden) regelt Tongefäße. </w:t>
      </w:r>
      <w:r w:rsidRPr="00B2490C">
        <w:rPr>
          <w:rFonts w:eastAsia="Times New Roman" w:cs="Times New Roman"/>
          <w:b/>
          <w:bCs/>
          <w:rtl/>
          <w:lang w:eastAsia="de-DE"/>
        </w:rPr>
        <w:t>וכלי־חרש</w:t>
      </w:r>
      <w:r w:rsidRPr="00B2490C">
        <w:rPr>
          <w:rFonts w:eastAsia="Times New Roman" w:cs="Times New Roman"/>
          <w:rtl/>
          <w:lang w:eastAsia="de-DE"/>
        </w:rPr>
        <w:t xml:space="preserve"> </w:t>
      </w:r>
      <w:r w:rsidRPr="00B2490C">
        <w:rPr>
          <w:rFonts w:eastAsia="Times New Roman" w:cs="Times New Roman"/>
          <w:lang w:eastAsia="de-DE"/>
        </w:rPr>
        <w:t xml:space="preserve">(und ein irdenes Gefäß) von </w:t>
      </w:r>
      <w:r w:rsidRPr="00B2490C">
        <w:rPr>
          <w:rFonts w:eastAsia="Times New Roman" w:cs="Times New Roman"/>
          <w:b/>
          <w:bCs/>
          <w:rtl/>
          <w:lang w:eastAsia="de-DE"/>
        </w:rPr>
        <w:t>חרש</w:t>
      </w:r>
      <w:r w:rsidRPr="00B2490C">
        <w:rPr>
          <w:rFonts w:eastAsia="Times New Roman" w:cs="Times New Roman"/>
          <w:rtl/>
          <w:lang w:eastAsia="de-DE"/>
        </w:rPr>
        <w:t xml:space="preserve"> </w:t>
      </w:r>
      <w:r w:rsidRPr="00B2490C">
        <w:rPr>
          <w:rFonts w:eastAsia="Times New Roman" w:cs="Times New Roman"/>
          <w:lang w:eastAsia="de-DE"/>
        </w:rPr>
        <w:lastRenderedPageBreak/>
        <w:t xml:space="preserve">(Ton/Keramik), </w:t>
      </w:r>
      <w:r w:rsidRPr="00B2490C">
        <w:rPr>
          <w:rFonts w:eastAsia="Times New Roman" w:cs="Times New Roman"/>
          <w:b/>
          <w:bCs/>
          <w:rtl/>
          <w:lang w:eastAsia="de-DE"/>
        </w:rPr>
        <w:t>אשר תבשל־בו</w:t>
      </w:r>
      <w:r w:rsidRPr="00B2490C">
        <w:rPr>
          <w:rFonts w:eastAsia="Times New Roman" w:cs="Times New Roman"/>
          <w:rtl/>
          <w:lang w:eastAsia="de-DE"/>
        </w:rPr>
        <w:t xml:space="preserve"> </w:t>
      </w:r>
      <w:r w:rsidRPr="00B2490C">
        <w:rPr>
          <w:rFonts w:eastAsia="Times New Roman" w:cs="Times New Roman"/>
          <w:lang w:eastAsia="de-DE"/>
        </w:rPr>
        <w:t xml:space="preserve">(in dem es gekocht wird), </w:t>
      </w:r>
      <w:r w:rsidRPr="00B2490C">
        <w:rPr>
          <w:rFonts w:eastAsia="Times New Roman" w:cs="Times New Roman"/>
          <w:b/>
          <w:bCs/>
          <w:rtl/>
          <w:lang w:eastAsia="de-DE"/>
        </w:rPr>
        <w:t>ישבר</w:t>
      </w:r>
      <w:r w:rsidRPr="00B2490C">
        <w:rPr>
          <w:rFonts w:eastAsia="Times New Roman" w:cs="Times New Roman"/>
          <w:rtl/>
          <w:lang w:eastAsia="de-DE"/>
        </w:rPr>
        <w:t xml:space="preserve"> </w:t>
      </w:r>
      <w:r w:rsidRPr="00B2490C">
        <w:rPr>
          <w:rFonts w:eastAsia="Times New Roman" w:cs="Times New Roman"/>
          <w:lang w:eastAsia="de-DE"/>
        </w:rPr>
        <w:t xml:space="preserve">(soll zerbrochen werden) von </w:t>
      </w:r>
      <w:r w:rsidRPr="00B2490C">
        <w:rPr>
          <w:rFonts w:eastAsia="Times New Roman" w:cs="Times New Roman"/>
          <w:b/>
          <w:bCs/>
          <w:rtl/>
          <w:lang w:eastAsia="de-DE"/>
        </w:rPr>
        <w:t>שבר</w:t>
      </w:r>
      <w:r w:rsidRPr="00B2490C">
        <w:rPr>
          <w:rFonts w:eastAsia="Times New Roman" w:cs="Times New Roman"/>
          <w:rtl/>
          <w:lang w:eastAsia="de-DE"/>
        </w:rPr>
        <w:t xml:space="preserve"> </w:t>
      </w:r>
      <w:r w:rsidRPr="00B2490C">
        <w:rPr>
          <w:rFonts w:eastAsia="Times New Roman" w:cs="Times New Roman"/>
          <w:lang w:eastAsia="de-DE"/>
        </w:rPr>
        <w:t>(zerbrechen).</w:t>
      </w:r>
    </w:p>
    <w:p w14:paraId="05E4C71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וְאִם־בִּכְלִ֤י נְחֹ֨שֶׁת֙ בֻּשָּׁ֔לָה וּמֹרַ֥ק וְשֻׁטַּ֖ף בַּמָּֽיִם</w:t>
      </w:r>
      <w:r w:rsidRPr="00B2490C">
        <w:rPr>
          <w:rFonts w:eastAsia="Times New Roman" w:cs="Times New Roman"/>
          <w:rtl/>
          <w:lang w:eastAsia="de-DE"/>
        </w:rPr>
        <w:t xml:space="preserve"> </w:t>
      </w:r>
      <w:r w:rsidRPr="00B2490C">
        <w:rPr>
          <w:rFonts w:eastAsia="Times New Roman" w:cs="Times New Roman"/>
          <w:lang w:eastAsia="de-DE"/>
        </w:rPr>
        <w:t xml:space="preserve">(und wenn es in einem kupfernen Gefäß gekocht wird, so soll es gescheuert und mit Wasser gespült werden) regelt Metallgefäße. </w:t>
      </w:r>
      <w:r w:rsidRPr="00B2490C">
        <w:rPr>
          <w:rFonts w:eastAsia="Times New Roman" w:cs="Times New Roman"/>
          <w:b/>
          <w:bCs/>
          <w:rtl/>
          <w:lang w:eastAsia="de-DE"/>
        </w:rPr>
        <w:t>ואם־בכלי נחשת בשלה</w:t>
      </w:r>
      <w:r w:rsidRPr="00B2490C">
        <w:rPr>
          <w:rFonts w:eastAsia="Times New Roman" w:cs="Times New Roman"/>
          <w:rtl/>
          <w:lang w:eastAsia="de-DE"/>
        </w:rPr>
        <w:t xml:space="preserve"> </w:t>
      </w:r>
      <w:r w:rsidRPr="00B2490C">
        <w:rPr>
          <w:rFonts w:eastAsia="Times New Roman" w:cs="Times New Roman"/>
          <w:lang w:eastAsia="de-DE"/>
        </w:rPr>
        <w:t xml:space="preserve">(und wenn es in einem kupfernen Gefäß gekocht wird), </w:t>
      </w:r>
      <w:r w:rsidRPr="00B2490C">
        <w:rPr>
          <w:rFonts w:eastAsia="Times New Roman" w:cs="Times New Roman"/>
          <w:b/>
          <w:bCs/>
          <w:rtl/>
          <w:lang w:eastAsia="de-DE"/>
        </w:rPr>
        <w:t>ומרק ושטף במים</w:t>
      </w:r>
      <w:r w:rsidRPr="00B2490C">
        <w:rPr>
          <w:rFonts w:eastAsia="Times New Roman" w:cs="Times New Roman"/>
          <w:rtl/>
          <w:lang w:eastAsia="de-DE"/>
        </w:rPr>
        <w:t xml:space="preserve"> </w:t>
      </w:r>
      <w:r w:rsidRPr="00B2490C">
        <w:rPr>
          <w:rFonts w:eastAsia="Times New Roman" w:cs="Times New Roman"/>
          <w:lang w:eastAsia="de-DE"/>
        </w:rPr>
        <w:t xml:space="preserve">(und es soll gescheuert und mit Wasser gespült werden) von </w:t>
      </w:r>
      <w:r w:rsidRPr="00B2490C">
        <w:rPr>
          <w:rFonts w:eastAsia="Times New Roman" w:cs="Times New Roman"/>
          <w:b/>
          <w:bCs/>
          <w:rtl/>
          <w:lang w:eastAsia="de-DE"/>
        </w:rPr>
        <w:t>מרק</w:t>
      </w:r>
      <w:r w:rsidRPr="00B2490C">
        <w:rPr>
          <w:rFonts w:eastAsia="Times New Roman" w:cs="Times New Roman"/>
          <w:rtl/>
          <w:lang w:eastAsia="de-DE"/>
        </w:rPr>
        <w:t xml:space="preserve"> </w:t>
      </w:r>
      <w:r w:rsidRPr="00B2490C">
        <w:rPr>
          <w:rFonts w:eastAsia="Times New Roman" w:cs="Times New Roman"/>
          <w:lang w:eastAsia="de-DE"/>
        </w:rPr>
        <w:t xml:space="preserve">(scheuern) und </w:t>
      </w:r>
      <w:r w:rsidRPr="00B2490C">
        <w:rPr>
          <w:rFonts w:eastAsia="Times New Roman" w:cs="Times New Roman"/>
          <w:b/>
          <w:bCs/>
          <w:rtl/>
          <w:lang w:eastAsia="de-DE"/>
        </w:rPr>
        <w:t>שטף</w:t>
      </w:r>
      <w:r w:rsidRPr="00B2490C">
        <w:rPr>
          <w:rFonts w:eastAsia="Times New Roman" w:cs="Times New Roman"/>
          <w:rtl/>
          <w:lang w:eastAsia="de-DE"/>
        </w:rPr>
        <w:t xml:space="preserve"> </w:t>
      </w:r>
      <w:r w:rsidRPr="00B2490C">
        <w:rPr>
          <w:rFonts w:eastAsia="Times New Roman" w:cs="Times New Roman"/>
          <w:lang w:eastAsia="de-DE"/>
        </w:rPr>
        <w:t>(spülen).</w:t>
      </w:r>
    </w:p>
    <w:p w14:paraId="34B78E3C" w14:textId="162F49D9"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כלי־חרש...ישבר</w:t>
      </w:r>
      <w:r w:rsidRPr="00B2490C">
        <w:rPr>
          <w:rFonts w:eastAsia="Times New Roman" w:cs="Times New Roman"/>
          <w:rtl/>
          <w:lang w:eastAsia="de-DE"/>
        </w:rPr>
        <w:t xml:space="preserve"> </w:t>
      </w:r>
      <w:r w:rsidRPr="00B2490C">
        <w:rPr>
          <w:rFonts w:eastAsia="Times New Roman" w:cs="Times New Roman"/>
          <w:lang w:eastAsia="de-DE"/>
        </w:rPr>
        <w:t xml:space="preserve">(irdenes Gefäß...soll zerbrochen werden) zeigt, dass Tongefäße die </w:t>
      </w:r>
      <w:r w:rsidRPr="00B2490C">
        <w:rPr>
          <w:rFonts w:eastAsia="Times New Roman" w:cs="Times New Roman"/>
          <w:b/>
          <w:bCs/>
          <w:rtl/>
          <w:lang w:eastAsia="de-DE"/>
        </w:rPr>
        <w:t>קדושה</w:t>
      </w:r>
      <w:r w:rsidRPr="00B2490C">
        <w:rPr>
          <w:rFonts w:eastAsia="Times New Roman" w:cs="Times New Roman"/>
          <w:rtl/>
          <w:lang w:eastAsia="de-DE"/>
        </w:rPr>
        <w:t xml:space="preserve"> </w:t>
      </w:r>
      <w:r w:rsidRPr="00B2490C">
        <w:rPr>
          <w:rFonts w:eastAsia="Times New Roman" w:cs="Times New Roman"/>
          <w:lang w:eastAsia="de-DE"/>
        </w:rPr>
        <w:t xml:space="preserve">von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 xml:space="preserve">dauerhaft absorbieren und daher zerstört werden müssen. </w:t>
      </w:r>
      <w:r w:rsidRPr="00B2490C">
        <w:rPr>
          <w:rFonts w:eastAsia="Times New Roman" w:cs="Times New Roman"/>
          <w:b/>
          <w:bCs/>
          <w:rtl/>
          <w:lang w:eastAsia="de-DE"/>
        </w:rPr>
        <w:t>כלי נחשת...ומרק ושטף במים</w:t>
      </w:r>
      <w:r w:rsidRPr="00B2490C">
        <w:rPr>
          <w:rFonts w:eastAsia="Times New Roman" w:cs="Times New Roman"/>
          <w:rtl/>
          <w:lang w:eastAsia="de-DE"/>
        </w:rPr>
        <w:t xml:space="preserve"> </w:t>
      </w:r>
      <w:r w:rsidRPr="00B2490C">
        <w:rPr>
          <w:rFonts w:eastAsia="Times New Roman" w:cs="Times New Roman"/>
          <w:lang w:eastAsia="de-DE"/>
        </w:rPr>
        <w:t>zeigt, dass Metallgefäße durch Scheuern und Spülen gereinigt werden können.</w:t>
      </w:r>
      <w:r w:rsidR="00102B3D">
        <w:rPr>
          <w:rFonts w:eastAsia="Times New Roman" w:cs="Times New Roman"/>
          <w:lang w:eastAsia="de-DE"/>
        </w:rPr>
        <w:t xml:space="preserve"> </w:t>
      </w:r>
      <w:proofErr w:type="spellStart"/>
      <w:r w:rsidR="00102B3D">
        <w:t>ie</w:t>
      </w:r>
      <w:proofErr w:type="spellEnd"/>
      <w:r w:rsidR="00102B3D">
        <w:t xml:space="preserve"> unterschiedliche Behandlung von </w:t>
      </w:r>
      <w:r w:rsidR="00102B3D">
        <w:rPr>
          <w:rtl/>
        </w:rPr>
        <w:t>כלי־חרש</w:t>
      </w:r>
      <w:r w:rsidR="00102B3D">
        <w:t xml:space="preserve"> (irdenes Gefäß) und </w:t>
      </w:r>
      <w:r w:rsidR="00102B3D" w:rsidRPr="00102B3D">
        <w:rPr>
          <w:b/>
          <w:bCs/>
          <w:rtl/>
        </w:rPr>
        <w:t>כלי נחשת</w:t>
      </w:r>
      <w:r w:rsidR="00102B3D">
        <w:t xml:space="preserve"> (kupfernes Gefäß) reflektiert antike Materialkenntnis: Tongefäße sind porös und absorbieren Flüssigkeiten und Gerüche irreversibel, weshalb sie die </w:t>
      </w:r>
      <w:r w:rsidR="00102B3D" w:rsidRPr="00102B3D">
        <w:rPr>
          <w:b/>
          <w:bCs/>
          <w:rtl/>
        </w:rPr>
        <w:t>קדושה</w:t>
      </w:r>
      <w:r w:rsidR="00102B3D">
        <w:t xml:space="preserve"> von </w:t>
      </w:r>
      <w:r w:rsidR="00102B3D" w:rsidRPr="00102B3D">
        <w:rPr>
          <w:b/>
          <w:bCs/>
          <w:rtl/>
        </w:rPr>
        <w:t>חטאת</w:t>
      </w:r>
      <w:r w:rsidR="00102B3D">
        <w:t>-Fleisch dauerhaft speichern und nur durch Zerstörung "entladen" werden können. Metallgefäße (</w:t>
      </w:r>
      <w:r w:rsidR="00102B3D">
        <w:rPr>
          <w:rtl/>
        </w:rPr>
        <w:t>נחשת</w:t>
      </w:r>
      <w:r w:rsidR="00102B3D">
        <w:t xml:space="preserve"> umfasst Kupfer, Bronze und andere Legierungen) haben nicht-poröse Oberflächen, die mechanisch gereinigt werden können - </w:t>
      </w:r>
      <w:r w:rsidR="00102B3D" w:rsidRPr="00102B3D">
        <w:rPr>
          <w:b/>
          <w:bCs/>
          <w:rtl/>
        </w:rPr>
        <w:t>מרק</w:t>
      </w:r>
      <w:r w:rsidR="00102B3D">
        <w:t xml:space="preserve"> (Scheuern) entfernt Anhaftungen, </w:t>
      </w:r>
      <w:r w:rsidR="00102B3D" w:rsidRPr="00102B3D">
        <w:rPr>
          <w:b/>
          <w:bCs/>
          <w:rtl/>
        </w:rPr>
        <w:t>שטף במים</w:t>
      </w:r>
      <w:r w:rsidR="00102B3D">
        <w:t xml:space="preserve"> (Wasserspülung) beseitigt Rückstände. Diese Unterscheidung zeigt, dass die Heiligkeitsgesetze praktisches Verständnis für Materialeigenschaften einbeziehen: </w:t>
      </w:r>
      <w:proofErr w:type="spellStart"/>
      <w:r w:rsidR="00102B3D">
        <w:t>Porösität</w:t>
      </w:r>
      <w:proofErr w:type="spellEnd"/>
      <w:r w:rsidR="00102B3D">
        <w:t xml:space="preserve"> bestimmt die Irreversibilität der </w:t>
      </w:r>
      <w:r w:rsidR="00102B3D">
        <w:rPr>
          <w:rtl/>
        </w:rPr>
        <w:t>קדושה</w:t>
      </w:r>
      <w:r w:rsidR="00102B3D">
        <w:t>-Übertragung.</w:t>
      </w:r>
    </w:p>
    <w:p w14:paraId="00D8607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LXX</w:t>
      </w:r>
      <w:r w:rsidRPr="00B2490C">
        <w:rPr>
          <w:rFonts w:eastAsia="Times New Roman" w:cs="Times New Roman"/>
          <w:lang w:eastAsia="de-DE"/>
        </w:rPr>
        <w:t xml:space="preserve"> übersetzt </w:t>
      </w:r>
      <w:r w:rsidRPr="00B2490C">
        <w:rPr>
          <w:rFonts w:eastAsia="Times New Roman" w:cs="Times New Roman"/>
          <w:b/>
          <w:bCs/>
          <w:rtl/>
          <w:lang w:eastAsia="de-DE"/>
        </w:rPr>
        <w:t>כְלִי־חֶ֛רֶשׂ</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σκεῦος</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ὀστράκινον</w:t>
      </w:r>
      <w:proofErr w:type="spellEnd"/>
      <w:r w:rsidRPr="00B2490C">
        <w:rPr>
          <w:rFonts w:eastAsia="Times New Roman" w:cs="Times New Roman"/>
          <w:lang w:eastAsia="de-DE"/>
        </w:rPr>
        <w:t xml:space="preserve"> (irdenes Gefäß), </w:t>
      </w:r>
      <w:r w:rsidRPr="00B2490C">
        <w:rPr>
          <w:rFonts w:eastAsia="Times New Roman" w:cs="Times New Roman"/>
          <w:b/>
          <w:bCs/>
          <w:rtl/>
          <w:lang w:eastAsia="de-DE"/>
        </w:rPr>
        <w:t>יִשָּׁבֵ֑ר</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συντρι</w:t>
      </w:r>
      <w:proofErr w:type="spellEnd"/>
      <w:r w:rsidRPr="00B2490C">
        <w:rPr>
          <w:rFonts w:eastAsia="Times New Roman" w:cs="Times New Roman"/>
          <w:lang w:eastAsia="de-DE"/>
        </w:rPr>
        <w:t xml:space="preserve">βήσεται (soll zerbrochen werden) und </w:t>
      </w:r>
      <w:r w:rsidRPr="00B2490C">
        <w:rPr>
          <w:rFonts w:eastAsia="Times New Roman" w:cs="Times New Roman"/>
          <w:b/>
          <w:bCs/>
          <w:rtl/>
          <w:lang w:eastAsia="de-DE"/>
        </w:rPr>
        <w:t>מֹרַ֥ק</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ἐκτριφήσετ</w:t>
      </w:r>
      <w:proofErr w:type="spellEnd"/>
      <w:r w:rsidRPr="00B2490C">
        <w:rPr>
          <w:rFonts w:eastAsia="Times New Roman" w:cs="Times New Roman"/>
          <w:lang w:eastAsia="de-DE"/>
        </w:rPr>
        <w:t>αι (soll abgerieben werden).</w:t>
      </w:r>
    </w:p>
    <w:p w14:paraId="07F8EEA7"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zeigt materialspezifische Reinigungsbestimmungen: Konditionalsatz für Tongefäße + Konditionalsatz für Metallgefäße. Die Struktur unterscheidet nach Materialeigenschaften.</w:t>
      </w:r>
    </w:p>
    <w:p w14:paraId="73E82C19"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Dieser Vers regelt die materialspezifische Reinigung von Kochgefäßen: Tongefäße werden zerbrochen, Metallgefäße gescheuert und gespült.</w:t>
      </w:r>
    </w:p>
    <w:p w14:paraId="2CF09F9A" w14:textId="77777777" w:rsidR="00B2490C" w:rsidRPr="00B2490C" w:rsidRDefault="00B2490C" w:rsidP="00B2490C">
      <w:pPr>
        <w:spacing w:before="100" w:beforeAutospacing="1" w:after="100" w:afterAutospacing="1" w:line="240" w:lineRule="auto"/>
        <w:outlineLvl w:val="1"/>
        <w:rPr>
          <w:rFonts w:eastAsia="Times New Roman" w:cs="Times New Roman"/>
          <w:b/>
          <w:bCs/>
          <w:sz w:val="36"/>
          <w:szCs w:val="36"/>
          <w:lang w:eastAsia="de-DE"/>
        </w:rPr>
      </w:pPr>
      <w:r w:rsidRPr="00B2490C">
        <w:rPr>
          <w:rFonts w:eastAsia="Times New Roman" w:cs="Times New Roman"/>
          <w:b/>
          <w:bCs/>
          <w:sz w:val="36"/>
          <w:szCs w:val="36"/>
          <w:lang w:eastAsia="de-DE"/>
        </w:rPr>
        <w:t>Leviticus 6,22</w:t>
      </w:r>
    </w:p>
    <w:p w14:paraId="26279104"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Hebräisch:</w:t>
      </w:r>
      <w:r w:rsidRPr="00B2490C">
        <w:rPr>
          <w:rFonts w:eastAsia="Times New Roman" w:cs="Times New Roman"/>
          <w:lang w:eastAsia="de-DE"/>
        </w:rPr>
        <w:t xml:space="preserve"> </w:t>
      </w:r>
      <w:r w:rsidRPr="00B2490C">
        <w:rPr>
          <w:rFonts w:eastAsia="Times New Roman" w:cs="Times New Roman"/>
          <w:rtl/>
          <w:lang w:eastAsia="de-DE"/>
        </w:rPr>
        <w:t>כָּל־זָכָ֥ר בַּכֹּהֲנִ֖ים יֹאכַ֣ל אֹתָ֑הּ קֹ֥דֶשׁ קָֽדָשִׁ֖ים הִֽוא׃</w:t>
      </w:r>
    </w:p>
    <w:p w14:paraId="56F31786"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Deutsch:</w:t>
      </w:r>
      <w:r w:rsidRPr="00B2490C">
        <w:rPr>
          <w:rFonts w:eastAsia="Times New Roman" w:cs="Times New Roman"/>
          <w:lang w:eastAsia="de-DE"/>
        </w:rPr>
        <w:t xml:space="preserve"> Alles Männliche unter den Priestern soll es essen: Hochheilig ist es.</w:t>
      </w:r>
    </w:p>
    <w:p w14:paraId="46DA5E0D" w14:textId="77777777" w:rsidR="00B2490C" w:rsidRPr="00B2490C" w:rsidRDefault="00A57720" w:rsidP="00B2490C">
      <w:pPr>
        <w:spacing w:after="0" w:line="240" w:lineRule="auto"/>
        <w:rPr>
          <w:rFonts w:eastAsia="Times New Roman" w:cs="Times New Roman"/>
          <w:lang w:eastAsia="de-DE"/>
        </w:rPr>
      </w:pPr>
      <w:r>
        <w:rPr>
          <w:rFonts w:eastAsia="Times New Roman" w:cs="Times New Roman"/>
          <w:noProof/>
          <w:lang w:eastAsia="de-DE"/>
        </w:rPr>
        <w:pict w14:anchorId="13EB5237">
          <v:rect id="_x0000_i1157" style="width:0;height:1.5pt" o:hralign="center" o:hrstd="t" o:hr="t" fillcolor="#a0a0a0" stroked="f"/>
        </w:pict>
      </w:r>
    </w:p>
    <w:p w14:paraId="4256E18E"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Kommentar:</w:t>
      </w:r>
      <w:r w:rsidRPr="00B2490C">
        <w:rPr>
          <w:rFonts w:eastAsia="Times New Roman" w:cs="Times New Roman"/>
          <w:lang w:eastAsia="de-DE"/>
        </w:rPr>
        <w:t xml:space="preserve"> </w:t>
      </w:r>
      <w:r w:rsidRPr="00B2490C">
        <w:rPr>
          <w:rFonts w:eastAsia="Times New Roman" w:cs="Times New Roman"/>
          <w:b/>
          <w:bCs/>
          <w:rtl/>
          <w:lang w:eastAsia="de-DE"/>
        </w:rPr>
        <w:t>כָּל־זָכָ֥ר בַּכֹּהֲנִ֖ים יֹאכַ֣ל אֹתָ֑הּ קֹ֥דֶשׁ קָֽדָשִׁ֖ים הִֽוא</w:t>
      </w:r>
      <w:r w:rsidRPr="00B2490C">
        <w:rPr>
          <w:rFonts w:eastAsia="Times New Roman" w:cs="Times New Roman"/>
          <w:rtl/>
          <w:lang w:eastAsia="de-DE"/>
        </w:rPr>
        <w:t xml:space="preserve"> </w:t>
      </w:r>
      <w:r w:rsidRPr="00B2490C">
        <w:rPr>
          <w:rFonts w:eastAsia="Times New Roman" w:cs="Times New Roman"/>
          <w:lang w:eastAsia="de-DE"/>
        </w:rPr>
        <w:t xml:space="preserve">entspricht fast exakt V. 11 für </w:t>
      </w:r>
      <w:r w:rsidRPr="00B2490C">
        <w:rPr>
          <w:rFonts w:eastAsia="Times New Roman" w:cs="Times New Roman"/>
          <w:b/>
          <w:bCs/>
          <w:rtl/>
          <w:lang w:eastAsia="de-DE"/>
        </w:rPr>
        <w:t>מנחה</w:t>
      </w:r>
      <w:r w:rsidRPr="00B2490C">
        <w:rPr>
          <w:rFonts w:eastAsia="Times New Roman" w:cs="Times New Roman"/>
          <w:lang w:eastAsia="de-DE"/>
        </w:rPr>
        <w:t xml:space="preserve">, erweitert aber auf </w:t>
      </w:r>
      <w:r w:rsidRPr="00B2490C">
        <w:rPr>
          <w:rFonts w:eastAsia="Times New Roman" w:cs="Times New Roman"/>
          <w:b/>
          <w:bCs/>
          <w:rtl/>
          <w:lang w:eastAsia="de-DE"/>
        </w:rPr>
        <w:t>בכהנים</w:t>
      </w:r>
      <w:r w:rsidRPr="00B2490C">
        <w:rPr>
          <w:rFonts w:eastAsia="Times New Roman" w:cs="Times New Roman"/>
          <w:rtl/>
          <w:lang w:eastAsia="de-DE"/>
        </w:rPr>
        <w:t xml:space="preserve"> </w:t>
      </w:r>
      <w:r w:rsidRPr="00B2490C">
        <w:rPr>
          <w:rFonts w:eastAsia="Times New Roman" w:cs="Times New Roman"/>
          <w:lang w:eastAsia="de-DE"/>
        </w:rPr>
        <w:t xml:space="preserve">(unter den Priestern) statt </w:t>
      </w:r>
      <w:r w:rsidRPr="00B2490C">
        <w:rPr>
          <w:rFonts w:eastAsia="Times New Roman" w:cs="Times New Roman"/>
          <w:b/>
          <w:bCs/>
          <w:rtl/>
          <w:lang w:eastAsia="de-DE"/>
        </w:rPr>
        <w:t>בבני אהרן</w:t>
      </w:r>
      <w:r w:rsidRPr="00B2490C">
        <w:rPr>
          <w:rFonts w:eastAsia="Times New Roman" w:cs="Times New Roman"/>
          <w:rtl/>
          <w:lang w:eastAsia="de-DE"/>
        </w:rPr>
        <w:t xml:space="preserve"> </w:t>
      </w:r>
      <w:r w:rsidRPr="00B2490C">
        <w:rPr>
          <w:rFonts w:eastAsia="Times New Roman" w:cs="Times New Roman"/>
          <w:lang w:eastAsia="de-DE"/>
        </w:rPr>
        <w:t xml:space="preserve">(unter den Söhnen Aarons). </w:t>
      </w:r>
      <w:r w:rsidRPr="00B2490C">
        <w:rPr>
          <w:rFonts w:eastAsia="Times New Roman" w:cs="Times New Roman"/>
          <w:b/>
          <w:bCs/>
          <w:rtl/>
          <w:lang w:eastAsia="de-DE"/>
        </w:rPr>
        <w:t>כל־זכר בכהנים</w:t>
      </w:r>
      <w:r w:rsidRPr="00B2490C">
        <w:rPr>
          <w:rFonts w:eastAsia="Times New Roman" w:cs="Times New Roman"/>
          <w:rtl/>
          <w:lang w:eastAsia="de-DE"/>
        </w:rPr>
        <w:t xml:space="preserve"> </w:t>
      </w:r>
      <w:r w:rsidRPr="00B2490C">
        <w:rPr>
          <w:rFonts w:eastAsia="Times New Roman" w:cs="Times New Roman"/>
          <w:lang w:eastAsia="de-DE"/>
        </w:rPr>
        <w:t xml:space="preserve">(alles Männliche unter den Priestern), </w:t>
      </w:r>
      <w:r w:rsidRPr="00B2490C">
        <w:rPr>
          <w:rFonts w:eastAsia="Times New Roman" w:cs="Times New Roman"/>
          <w:b/>
          <w:bCs/>
          <w:rtl/>
          <w:lang w:eastAsia="de-DE"/>
        </w:rPr>
        <w:t>יאכל אתה</w:t>
      </w:r>
      <w:r w:rsidRPr="00B2490C">
        <w:rPr>
          <w:rFonts w:eastAsia="Times New Roman" w:cs="Times New Roman"/>
          <w:rtl/>
          <w:lang w:eastAsia="de-DE"/>
        </w:rPr>
        <w:t xml:space="preserve"> </w:t>
      </w:r>
      <w:r w:rsidRPr="00B2490C">
        <w:rPr>
          <w:rFonts w:eastAsia="Times New Roman" w:cs="Times New Roman"/>
          <w:lang w:eastAsia="de-DE"/>
        </w:rPr>
        <w:t xml:space="preserve">(soll es essen), </w:t>
      </w:r>
      <w:r w:rsidRPr="00B2490C">
        <w:rPr>
          <w:rFonts w:eastAsia="Times New Roman" w:cs="Times New Roman"/>
          <w:b/>
          <w:bCs/>
          <w:rtl/>
          <w:lang w:eastAsia="de-DE"/>
        </w:rPr>
        <w:t>קדש קדשים הוא</w:t>
      </w:r>
      <w:r w:rsidRPr="00B2490C">
        <w:rPr>
          <w:rFonts w:eastAsia="Times New Roman" w:cs="Times New Roman"/>
          <w:rtl/>
          <w:lang w:eastAsia="de-DE"/>
        </w:rPr>
        <w:t xml:space="preserve"> </w:t>
      </w:r>
      <w:r w:rsidRPr="00B2490C">
        <w:rPr>
          <w:rFonts w:eastAsia="Times New Roman" w:cs="Times New Roman"/>
          <w:lang w:eastAsia="de-DE"/>
        </w:rPr>
        <w:t>(hochheilig ist es).</w:t>
      </w:r>
    </w:p>
    <w:p w14:paraId="1A17CD58"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בכהנים</w:t>
      </w:r>
      <w:r w:rsidRPr="00B2490C">
        <w:rPr>
          <w:rFonts w:eastAsia="Times New Roman" w:cs="Times New Roman"/>
          <w:rtl/>
          <w:lang w:eastAsia="de-DE"/>
        </w:rPr>
        <w:t xml:space="preserve"> </w:t>
      </w:r>
      <w:r w:rsidRPr="00B2490C">
        <w:rPr>
          <w:rFonts w:eastAsia="Times New Roman" w:cs="Times New Roman"/>
          <w:lang w:eastAsia="de-DE"/>
        </w:rPr>
        <w:t xml:space="preserve">(unter den Priestern) statt </w:t>
      </w:r>
      <w:r w:rsidRPr="00B2490C">
        <w:rPr>
          <w:rFonts w:eastAsia="Times New Roman" w:cs="Times New Roman"/>
          <w:b/>
          <w:bCs/>
          <w:rtl/>
          <w:lang w:eastAsia="de-DE"/>
        </w:rPr>
        <w:t>בבני אהרן</w:t>
      </w:r>
      <w:r w:rsidRPr="00B2490C">
        <w:rPr>
          <w:rFonts w:eastAsia="Times New Roman" w:cs="Times New Roman"/>
          <w:rtl/>
          <w:lang w:eastAsia="de-DE"/>
        </w:rPr>
        <w:t xml:space="preserve"> </w:t>
      </w:r>
      <w:r w:rsidRPr="00B2490C">
        <w:rPr>
          <w:rFonts w:eastAsia="Times New Roman" w:cs="Times New Roman"/>
          <w:lang w:eastAsia="de-DE"/>
        </w:rPr>
        <w:t>zeigt möglicherweise eine Erweiterung der Verzehrberechtigung auf alle priesterlichen Familien, nicht nur die Aaroniden.</w:t>
      </w:r>
    </w:p>
    <w:p w14:paraId="1E2D6AC2"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rtl/>
          <w:lang w:eastAsia="de-DE"/>
        </w:rPr>
        <w:t>קדש קדשים הוא</w:t>
      </w:r>
      <w:r w:rsidRPr="00B2490C">
        <w:rPr>
          <w:rFonts w:eastAsia="Times New Roman" w:cs="Times New Roman"/>
          <w:rtl/>
          <w:lang w:eastAsia="de-DE"/>
        </w:rPr>
        <w:t xml:space="preserve"> </w:t>
      </w:r>
      <w:r w:rsidRPr="00B2490C">
        <w:rPr>
          <w:rFonts w:eastAsia="Times New Roman" w:cs="Times New Roman"/>
          <w:lang w:eastAsia="de-DE"/>
        </w:rPr>
        <w:t xml:space="preserve">wiederholt die </w:t>
      </w:r>
      <w:r w:rsidRPr="00B2490C">
        <w:rPr>
          <w:rFonts w:eastAsia="Times New Roman" w:cs="Times New Roman"/>
          <w:b/>
          <w:bCs/>
          <w:rtl/>
          <w:lang w:eastAsia="de-DE"/>
        </w:rPr>
        <w:t>קדש קדשים</w:t>
      </w:r>
      <w:r w:rsidRPr="00B2490C">
        <w:rPr>
          <w:rFonts w:eastAsia="Times New Roman" w:cs="Times New Roman"/>
          <w:lang w:eastAsia="de-DE"/>
        </w:rPr>
        <w:t xml:space="preserve">-Klassifikation von V. 18 und etabliert </w:t>
      </w:r>
      <w:r w:rsidRPr="00B2490C">
        <w:rPr>
          <w:rFonts w:eastAsia="Times New Roman" w:cs="Times New Roman"/>
          <w:b/>
          <w:bCs/>
          <w:rtl/>
          <w:lang w:eastAsia="de-DE"/>
        </w:rPr>
        <w:t>חטאת</w:t>
      </w:r>
      <w:r w:rsidRPr="00B2490C">
        <w:rPr>
          <w:rFonts w:eastAsia="Times New Roman" w:cs="Times New Roman"/>
          <w:rtl/>
          <w:lang w:eastAsia="de-DE"/>
        </w:rPr>
        <w:t xml:space="preserve"> </w:t>
      </w:r>
      <w:r w:rsidRPr="00B2490C">
        <w:rPr>
          <w:rFonts w:eastAsia="Times New Roman" w:cs="Times New Roman"/>
          <w:lang w:eastAsia="de-DE"/>
        </w:rPr>
        <w:t xml:space="preserve">in derselben Heiligkeitsstufe wie </w:t>
      </w:r>
      <w:r w:rsidRPr="00B2490C">
        <w:rPr>
          <w:rFonts w:eastAsia="Times New Roman" w:cs="Times New Roman"/>
          <w:b/>
          <w:bCs/>
          <w:rtl/>
          <w:lang w:eastAsia="de-DE"/>
        </w:rPr>
        <w:t>מנחה</w:t>
      </w:r>
      <w:r w:rsidRPr="00B2490C">
        <w:rPr>
          <w:rFonts w:eastAsia="Times New Roman" w:cs="Times New Roman"/>
          <w:lang w:eastAsia="de-DE"/>
        </w:rPr>
        <w:t>.</w:t>
      </w:r>
    </w:p>
    <w:p w14:paraId="4F655A62"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lastRenderedPageBreak/>
        <w:t>Die LXX</w:t>
      </w:r>
      <w:r w:rsidRPr="00B2490C">
        <w:rPr>
          <w:rFonts w:eastAsia="Times New Roman" w:cs="Times New Roman"/>
          <w:lang w:eastAsia="de-DE"/>
        </w:rPr>
        <w:t xml:space="preserve"> übersetzt </w:t>
      </w:r>
      <w:r w:rsidRPr="00B2490C">
        <w:rPr>
          <w:rFonts w:eastAsia="Times New Roman" w:cs="Times New Roman"/>
          <w:b/>
          <w:bCs/>
          <w:rtl/>
          <w:lang w:eastAsia="de-DE"/>
        </w:rPr>
        <w:t>בַּכֹּהֲנִ֖ים</w:t>
      </w:r>
      <w:r w:rsidRPr="00B2490C">
        <w:rPr>
          <w:rFonts w:eastAsia="Times New Roman" w:cs="Times New Roman"/>
          <w:rtl/>
          <w:lang w:eastAsia="de-DE"/>
        </w:rPr>
        <w:t xml:space="preserve"> </w:t>
      </w:r>
      <w:r w:rsidRPr="00B2490C">
        <w:rPr>
          <w:rFonts w:eastAsia="Times New Roman" w:cs="Times New Roman"/>
          <w:lang w:eastAsia="de-DE"/>
        </w:rPr>
        <w:t xml:space="preserve">mit </w:t>
      </w:r>
      <w:proofErr w:type="spellStart"/>
      <w:r w:rsidRPr="00B2490C">
        <w:rPr>
          <w:rFonts w:eastAsia="Times New Roman" w:cs="Times New Roman"/>
          <w:lang w:eastAsia="de-DE"/>
        </w:rPr>
        <w:t>ἐν</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τοῖς</w:t>
      </w:r>
      <w:proofErr w:type="spellEnd"/>
      <w:r w:rsidRPr="00B2490C">
        <w:rPr>
          <w:rFonts w:eastAsia="Times New Roman" w:cs="Times New Roman"/>
          <w:lang w:eastAsia="de-DE"/>
        </w:rPr>
        <w:t xml:space="preserve"> </w:t>
      </w:r>
      <w:proofErr w:type="spellStart"/>
      <w:r w:rsidRPr="00B2490C">
        <w:rPr>
          <w:rFonts w:eastAsia="Times New Roman" w:cs="Times New Roman"/>
          <w:lang w:eastAsia="de-DE"/>
        </w:rPr>
        <w:t>ἱερεῦσιν</w:t>
      </w:r>
      <w:proofErr w:type="spellEnd"/>
      <w:r w:rsidRPr="00B2490C">
        <w:rPr>
          <w:rFonts w:eastAsia="Times New Roman" w:cs="Times New Roman"/>
          <w:lang w:eastAsia="de-DE"/>
        </w:rPr>
        <w:t xml:space="preserve"> (unter den Priestern) und wiederholt die Übersetzungen von V. 11.</w:t>
      </w:r>
    </w:p>
    <w:p w14:paraId="7E494D7F" w14:textId="77777777" w:rsidR="00B2490C" w:rsidRP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b/>
          <w:bCs/>
          <w:lang w:eastAsia="de-DE"/>
        </w:rPr>
        <w:t>Die Satzstruktur:</w:t>
      </w:r>
      <w:r w:rsidRPr="00B2490C">
        <w:rPr>
          <w:rFonts w:eastAsia="Times New Roman" w:cs="Times New Roman"/>
          <w:lang w:eastAsia="de-DE"/>
        </w:rPr>
        <w:t xml:space="preserve"> entspricht exakt V. 11: Subjekt + Verb + Objekt + Klassifikation. Die Wiederholung unterstreicht die identischen </w:t>
      </w:r>
      <w:r w:rsidRPr="00B2490C">
        <w:rPr>
          <w:rFonts w:eastAsia="Times New Roman" w:cs="Times New Roman"/>
          <w:b/>
          <w:bCs/>
          <w:rtl/>
          <w:lang w:eastAsia="de-DE"/>
        </w:rPr>
        <w:t>קדש קדשים</w:t>
      </w:r>
      <w:r w:rsidRPr="00B2490C">
        <w:rPr>
          <w:rFonts w:eastAsia="Times New Roman" w:cs="Times New Roman"/>
          <w:lang w:eastAsia="de-DE"/>
        </w:rPr>
        <w:t>-Bestimmungen.</w:t>
      </w:r>
    </w:p>
    <w:p w14:paraId="5D2EF08E" w14:textId="5AC83ED8" w:rsidR="00B2490C" w:rsidRDefault="00B2490C" w:rsidP="00B2490C">
      <w:pPr>
        <w:spacing w:before="100" w:beforeAutospacing="1" w:after="100" w:afterAutospacing="1" w:line="240" w:lineRule="auto"/>
        <w:rPr>
          <w:rFonts w:eastAsia="Times New Roman" w:cs="Times New Roman"/>
          <w:lang w:eastAsia="de-DE"/>
        </w:rPr>
      </w:pPr>
      <w:r w:rsidRPr="00B2490C">
        <w:rPr>
          <w:rFonts w:eastAsia="Times New Roman" w:cs="Times New Roman"/>
          <w:lang w:eastAsia="de-DE"/>
        </w:rPr>
        <w:t xml:space="preserve">Dieser Vers wiederholt die </w:t>
      </w:r>
      <w:r w:rsidRPr="00B2490C">
        <w:rPr>
          <w:rFonts w:eastAsia="Times New Roman" w:cs="Times New Roman"/>
          <w:b/>
          <w:bCs/>
          <w:rtl/>
          <w:lang w:eastAsia="de-DE"/>
        </w:rPr>
        <w:t>קדש קדשים</w:t>
      </w:r>
      <w:r w:rsidRPr="00B2490C">
        <w:rPr>
          <w:rFonts w:eastAsia="Times New Roman" w:cs="Times New Roman"/>
          <w:lang w:eastAsia="de-DE"/>
        </w:rPr>
        <w:t xml:space="preserve">-Verzehrbestimmungen für </w:t>
      </w:r>
      <w:r w:rsidRPr="00B2490C">
        <w:rPr>
          <w:rFonts w:eastAsia="Times New Roman" w:cs="Times New Roman"/>
          <w:b/>
          <w:bCs/>
          <w:rtl/>
          <w:lang w:eastAsia="de-DE"/>
        </w:rPr>
        <w:t>חטאת</w:t>
      </w:r>
      <w:r w:rsidRPr="00B2490C">
        <w:rPr>
          <w:rFonts w:eastAsia="Times New Roman" w:cs="Times New Roman"/>
          <w:lang w:eastAsia="de-DE"/>
        </w:rPr>
        <w:t>: nur männliche Priester.</w:t>
      </w:r>
    </w:p>
    <w:p w14:paraId="2E4DE21F" w14:textId="7CE89E58" w:rsidR="00216AB6" w:rsidRPr="00577FFB" w:rsidRDefault="00577FFB" w:rsidP="00216AB6">
      <w:pPr>
        <w:spacing w:before="100" w:beforeAutospacing="1" w:after="100" w:afterAutospacing="1" w:line="240" w:lineRule="auto"/>
        <w:outlineLvl w:val="1"/>
        <w:rPr>
          <w:rFonts w:eastAsia="Times New Roman" w:cs="Times New Roman"/>
          <w:b/>
          <w:bCs/>
          <w:sz w:val="36"/>
          <w:szCs w:val="36"/>
          <w:lang w:eastAsia="de-DE"/>
        </w:rPr>
      </w:pPr>
      <w:r w:rsidRPr="00577FFB">
        <w:rPr>
          <w:rFonts w:eastAsia="Times New Roman" w:cs="Times New Roman"/>
          <w:b/>
          <w:bCs/>
          <w:sz w:val="36"/>
          <w:szCs w:val="36"/>
          <w:lang w:eastAsia="de-DE"/>
        </w:rPr>
        <w:t>Leviticus 6,</w:t>
      </w:r>
      <w:r w:rsidR="00216AB6">
        <w:rPr>
          <w:rFonts w:eastAsia="Times New Roman" w:cs="Times New Roman"/>
          <w:b/>
          <w:bCs/>
          <w:sz w:val="36"/>
          <w:szCs w:val="36"/>
          <w:lang w:eastAsia="de-DE"/>
        </w:rPr>
        <w:t>23</w:t>
      </w:r>
    </w:p>
    <w:p w14:paraId="44ABBD5E"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Hebräisch:</w:t>
      </w:r>
      <w:r w:rsidRPr="00577FFB">
        <w:rPr>
          <w:rFonts w:eastAsia="Times New Roman" w:cs="Times New Roman"/>
          <w:lang w:eastAsia="de-DE"/>
        </w:rPr>
        <w:t xml:space="preserve"> </w:t>
      </w:r>
      <w:r w:rsidRPr="00577FFB">
        <w:rPr>
          <w:rFonts w:eastAsia="Times New Roman" w:cs="Times New Roman"/>
          <w:rtl/>
          <w:lang w:eastAsia="de-DE"/>
        </w:rPr>
        <w:t>וְכָל־חַטָּ֡את אֲשֶׁר֩ יוּבָ֨א מִדָּמָ֜הּ אֶל־אֹ֧הֶל מֹועֵ֛ד לְכַפֵּ֥ר בַּקֹּ֖דֶשׁ לֹ֣א תֵאָכֵ֑ל בָּאֵ֖שׁ תִּשָּׂרֵֽף׃</w:t>
      </w:r>
    </w:p>
    <w:p w14:paraId="0B8C9565"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Deutsch:</w:t>
      </w:r>
      <w:r w:rsidRPr="00577FFB">
        <w:rPr>
          <w:rFonts w:eastAsia="Times New Roman" w:cs="Times New Roman"/>
          <w:lang w:eastAsia="de-DE"/>
        </w:rPr>
        <w:t xml:space="preserve"> Aber alles Sündopfer, von dessen Blut in das Zelt der Begegnung gebracht wird, um im Heiligtum Sühne zu erwirken, soll nicht gegessen werden; es soll mit Feuer verbrannt werden.</w:t>
      </w:r>
    </w:p>
    <w:p w14:paraId="2B4BF9CB" w14:textId="77777777" w:rsidR="00577FFB" w:rsidRPr="00577FFB" w:rsidRDefault="00A57720" w:rsidP="00577FFB">
      <w:pPr>
        <w:spacing w:after="0" w:line="240" w:lineRule="auto"/>
        <w:rPr>
          <w:rFonts w:eastAsia="Times New Roman" w:cs="Times New Roman"/>
          <w:lang w:eastAsia="de-DE"/>
        </w:rPr>
      </w:pPr>
      <w:r>
        <w:rPr>
          <w:rFonts w:eastAsia="Times New Roman" w:cs="Times New Roman"/>
          <w:noProof/>
          <w:lang w:eastAsia="de-DE"/>
        </w:rPr>
        <w:pict w14:anchorId="761AC4A4">
          <v:rect id="_x0000_i1158" style="width:0;height:1.5pt" o:hralign="center" o:hrstd="t" o:hr="t" fillcolor="#a0a0a0" stroked="f"/>
        </w:pict>
      </w:r>
    </w:p>
    <w:p w14:paraId="1CBA99C5"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Kommentar:</w:t>
      </w:r>
      <w:r w:rsidRPr="00577FFB">
        <w:rPr>
          <w:rFonts w:eastAsia="Times New Roman" w:cs="Times New Roman"/>
          <w:lang w:eastAsia="de-DE"/>
        </w:rPr>
        <w:t xml:space="preserve"> </w:t>
      </w:r>
      <w:r w:rsidRPr="00577FFB">
        <w:rPr>
          <w:rFonts w:eastAsia="Times New Roman" w:cs="Times New Roman"/>
          <w:b/>
          <w:bCs/>
          <w:rtl/>
          <w:lang w:eastAsia="de-DE"/>
        </w:rPr>
        <w:t>וכל־חטאת אשר יובא מדמה אל־אהל מועד לכפר בקדש לא תאכל באש תשרף</w:t>
      </w:r>
      <w:r w:rsidRPr="00577FFB">
        <w:rPr>
          <w:rFonts w:eastAsia="Times New Roman" w:cs="Times New Roman"/>
          <w:rtl/>
          <w:lang w:eastAsia="de-DE"/>
        </w:rPr>
        <w:t xml:space="preserve"> </w:t>
      </w:r>
      <w:r w:rsidRPr="00577FFB">
        <w:rPr>
          <w:rFonts w:eastAsia="Times New Roman" w:cs="Times New Roman"/>
          <w:lang w:eastAsia="de-DE"/>
        </w:rPr>
        <w:t xml:space="preserve">zeigt eine entscheidende Unterscheidung zwischen zwei Arten von </w:t>
      </w:r>
      <w:r w:rsidRPr="00577FFB">
        <w:rPr>
          <w:rFonts w:eastAsia="Times New Roman" w:cs="Times New Roman"/>
          <w:b/>
          <w:bCs/>
          <w:rtl/>
          <w:lang w:eastAsia="de-DE"/>
        </w:rPr>
        <w:t>חטאת</w:t>
      </w:r>
      <w:r w:rsidRPr="00577FFB">
        <w:rPr>
          <w:rFonts w:eastAsia="Times New Roman" w:cs="Times New Roman"/>
          <w:lang w:eastAsia="de-DE"/>
        </w:rPr>
        <w:t xml:space="preserve">-Opfern (Sündopfern). </w:t>
      </w:r>
      <w:r w:rsidRPr="00577FFB">
        <w:rPr>
          <w:rFonts w:eastAsia="Times New Roman" w:cs="Times New Roman"/>
          <w:b/>
          <w:bCs/>
          <w:rtl/>
          <w:lang w:eastAsia="de-DE"/>
        </w:rPr>
        <w:t>וכל־חטאת אשר יובא מדמה אל־אהל מועד</w:t>
      </w:r>
      <w:r w:rsidRPr="00577FFB">
        <w:rPr>
          <w:rFonts w:eastAsia="Times New Roman" w:cs="Times New Roman"/>
          <w:rtl/>
          <w:lang w:eastAsia="de-DE"/>
        </w:rPr>
        <w:t xml:space="preserve"> </w:t>
      </w:r>
      <w:r w:rsidRPr="00577FFB">
        <w:rPr>
          <w:rFonts w:eastAsia="Times New Roman" w:cs="Times New Roman"/>
          <w:lang w:eastAsia="de-DE"/>
        </w:rPr>
        <w:t xml:space="preserve">(aber alles Sündopfer, von dessen Blut in das Zelt der Begegnung gebracht wird) - </w:t>
      </w:r>
      <w:r w:rsidRPr="00577FFB">
        <w:rPr>
          <w:rFonts w:eastAsia="Times New Roman" w:cs="Times New Roman"/>
          <w:b/>
          <w:bCs/>
          <w:rtl/>
          <w:lang w:eastAsia="de-DE"/>
        </w:rPr>
        <w:t>כל־חטאת</w:t>
      </w:r>
      <w:r w:rsidRPr="00577FFB">
        <w:rPr>
          <w:rFonts w:eastAsia="Times New Roman" w:cs="Times New Roman"/>
          <w:rtl/>
          <w:lang w:eastAsia="de-DE"/>
        </w:rPr>
        <w:t xml:space="preserve"> </w:t>
      </w:r>
      <w:r w:rsidRPr="00577FFB">
        <w:rPr>
          <w:rFonts w:eastAsia="Times New Roman" w:cs="Times New Roman"/>
          <w:lang w:eastAsia="de-DE"/>
        </w:rPr>
        <w:t xml:space="preserve">(alles Sündopfer) zeigt universelle Anwendung auf diese Kategorie. </w:t>
      </w:r>
      <w:r w:rsidRPr="00577FFB">
        <w:rPr>
          <w:rFonts w:eastAsia="Times New Roman" w:cs="Times New Roman"/>
          <w:b/>
          <w:bCs/>
          <w:rtl/>
          <w:lang w:eastAsia="de-DE"/>
        </w:rPr>
        <w:t>אשר יובא מדמה</w:t>
      </w:r>
      <w:r w:rsidRPr="00577FFB">
        <w:rPr>
          <w:rFonts w:eastAsia="Times New Roman" w:cs="Times New Roman"/>
          <w:rtl/>
          <w:lang w:eastAsia="de-DE"/>
        </w:rPr>
        <w:t xml:space="preserve"> </w:t>
      </w:r>
      <w:r w:rsidRPr="00577FFB">
        <w:rPr>
          <w:rFonts w:eastAsia="Times New Roman" w:cs="Times New Roman"/>
          <w:lang w:eastAsia="de-DE"/>
        </w:rPr>
        <w:t xml:space="preserve">(von dessen Blut gebracht wird) - </w:t>
      </w:r>
      <w:r w:rsidRPr="00577FFB">
        <w:rPr>
          <w:rFonts w:eastAsia="Times New Roman" w:cs="Times New Roman"/>
          <w:b/>
          <w:bCs/>
          <w:rtl/>
          <w:lang w:eastAsia="de-DE"/>
        </w:rPr>
        <w:t>יובא</w:t>
      </w:r>
      <w:r w:rsidRPr="00577FFB">
        <w:rPr>
          <w:rFonts w:eastAsia="Times New Roman" w:cs="Times New Roman"/>
          <w:rtl/>
          <w:lang w:eastAsia="de-DE"/>
        </w:rPr>
        <w:t xml:space="preserve"> </w:t>
      </w:r>
      <w:r w:rsidRPr="00577FFB">
        <w:rPr>
          <w:rFonts w:eastAsia="Times New Roman" w:cs="Times New Roman"/>
          <w:lang w:eastAsia="de-DE"/>
        </w:rPr>
        <w:t xml:space="preserve">im Hofal-Imperfekt von </w:t>
      </w:r>
      <w:r w:rsidRPr="00577FFB">
        <w:rPr>
          <w:rFonts w:eastAsia="Times New Roman" w:cs="Times New Roman"/>
          <w:b/>
          <w:bCs/>
          <w:rtl/>
          <w:lang w:eastAsia="de-DE"/>
        </w:rPr>
        <w:t>בוא</w:t>
      </w:r>
      <w:r w:rsidRPr="00577FFB">
        <w:rPr>
          <w:rFonts w:eastAsia="Times New Roman" w:cs="Times New Roman"/>
          <w:rtl/>
          <w:lang w:eastAsia="de-DE"/>
        </w:rPr>
        <w:t xml:space="preserve"> </w:t>
      </w:r>
      <w:r w:rsidRPr="00577FFB">
        <w:rPr>
          <w:rFonts w:eastAsia="Times New Roman" w:cs="Times New Roman"/>
          <w:lang w:eastAsia="de-DE"/>
        </w:rPr>
        <w:t xml:space="preserve">zeigt das Hineinbringen des Blutes. </w:t>
      </w:r>
      <w:r w:rsidRPr="00577FFB">
        <w:rPr>
          <w:rFonts w:eastAsia="Times New Roman" w:cs="Times New Roman"/>
          <w:b/>
          <w:bCs/>
          <w:rtl/>
          <w:lang w:eastAsia="de-DE"/>
        </w:rPr>
        <w:t>מדמה</w:t>
      </w:r>
      <w:r w:rsidRPr="00577FFB">
        <w:rPr>
          <w:rFonts w:eastAsia="Times New Roman" w:cs="Times New Roman"/>
          <w:rtl/>
          <w:lang w:eastAsia="de-DE"/>
        </w:rPr>
        <w:t xml:space="preserve"> </w:t>
      </w:r>
      <w:r w:rsidRPr="00577FFB">
        <w:rPr>
          <w:rFonts w:eastAsia="Times New Roman" w:cs="Times New Roman"/>
          <w:lang w:eastAsia="de-DE"/>
        </w:rPr>
        <w:t xml:space="preserve">(von seinem Blut) zeigt den entscheidenden Faktor. </w:t>
      </w:r>
      <w:r w:rsidRPr="00577FFB">
        <w:rPr>
          <w:rFonts w:eastAsia="Times New Roman" w:cs="Times New Roman"/>
          <w:b/>
          <w:bCs/>
          <w:rtl/>
          <w:lang w:eastAsia="de-DE"/>
        </w:rPr>
        <w:t>אל־אהל מועד</w:t>
      </w:r>
      <w:r w:rsidRPr="00577FFB">
        <w:rPr>
          <w:rFonts w:eastAsia="Times New Roman" w:cs="Times New Roman"/>
          <w:rtl/>
          <w:lang w:eastAsia="de-DE"/>
        </w:rPr>
        <w:t xml:space="preserve"> </w:t>
      </w:r>
      <w:r w:rsidRPr="00577FFB">
        <w:rPr>
          <w:rFonts w:eastAsia="Times New Roman" w:cs="Times New Roman"/>
          <w:lang w:eastAsia="de-DE"/>
        </w:rPr>
        <w:t>(in das Zelt der Begegnung) zeigt das Allerheiligste als Zielort.</w:t>
      </w:r>
    </w:p>
    <w:p w14:paraId="3DA9D6CF"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rtl/>
          <w:lang w:eastAsia="de-DE"/>
        </w:rPr>
        <w:t>לכפר בקדש</w:t>
      </w:r>
      <w:r w:rsidRPr="00577FFB">
        <w:rPr>
          <w:rFonts w:eastAsia="Times New Roman" w:cs="Times New Roman"/>
          <w:rtl/>
          <w:lang w:eastAsia="de-DE"/>
        </w:rPr>
        <w:t xml:space="preserve"> </w:t>
      </w:r>
      <w:r w:rsidRPr="00577FFB">
        <w:rPr>
          <w:rFonts w:eastAsia="Times New Roman" w:cs="Times New Roman"/>
          <w:lang w:eastAsia="de-DE"/>
        </w:rPr>
        <w:t xml:space="preserve">(um im Heiligtum Sühne zu erwirken) - </w:t>
      </w:r>
      <w:r w:rsidRPr="00577FFB">
        <w:rPr>
          <w:rFonts w:eastAsia="Times New Roman" w:cs="Times New Roman"/>
          <w:b/>
          <w:bCs/>
          <w:rtl/>
          <w:lang w:eastAsia="de-DE"/>
        </w:rPr>
        <w:t>לכפר</w:t>
      </w:r>
      <w:r w:rsidRPr="00577FFB">
        <w:rPr>
          <w:rFonts w:eastAsia="Times New Roman" w:cs="Times New Roman"/>
          <w:rtl/>
          <w:lang w:eastAsia="de-DE"/>
        </w:rPr>
        <w:t xml:space="preserve"> </w:t>
      </w:r>
      <w:r w:rsidRPr="00577FFB">
        <w:rPr>
          <w:rFonts w:eastAsia="Times New Roman" w:cs="Times New Roman"/>
          <w:lang w:eastAsia="de-DE"/>
        </w:rPr>
        <w:t xml:space="preserve">(um Sühne zu erwirken) zeigt den Zweck des Blut-Rituals. </w:t>
      </w:r>
      <w:r w:rsidRPr="00577FFB">
        <w:rPr>
          <w:rFonts w:eastAsia="Times New Roman" w:cs="Times New Roman"/>
          <w:b/>
          <w:bCs/>
          <w:rtl/>
          <w:lang w:eastAsia="de-DE"/>
        </w:rPr>
        <w:t>בקדש</w:t>
      </w:r>
      <w:r w:rsidRPr="00577FFB">
        <w:rPr>
          <w:rFonts w:eastAsia="Times New Roman" w:cs="Times New Roman"/>
          <w:rtl/>
          <w:lang w:eastAsia="de-DE"/>
        </w:rPr>
        <w:t xml:space="preserve"> </w:t>
      </w:r>
      <w:r w:rsidRPr="00577FFB">
        <w:rPr>
          <w:rFonts w:eastAsia="Times New Roman" w:cs="Times New Roman"/>
          <w:lang w:eastAsia="de-DE"/>
        </w:rPr>
        <w:t>(im Heiligtum) präzisiert den Ort der Sühnehandlung im Inneren des Heiligtums.</w:t>
      </w:r>
    </w:p>
    <w:p w14:paraId="37A29E8A"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rtl/>
          <w:lang w:eastAsia="de-DE"/>
        </w:rPr>
        <w:t>לא תאכל באש תשרף</w:t>
      </w:r>
      <w:r w:rsidRPr="00577FFB">
        <w:rPr>
          <w:rFonts w:eastAsia="Times New Roman" w:cs="Times New Roman"/>
          <w:rtl/>
          <w:lang w:eastAsia="de-DE"/>
        </w:rPr>
        <w:t xml:space="preserve"> </w:t>
      </w:r>
      <w:r w:rsidRPr="00577FFB">
        <w:rPr>
          <w:rFonts w:eastAsia="Times New Roman" w:cs="Times New Roman"/>
          <w:lang w:eastAsia="de-DE"/>
        </w:rPr>
        <w:t xml:space="preserve">(soll nicht gegessen werden; es soll mit Feuer verbrannt werden) zeigt das Verbot und die Alternative - </w:t>
      </w:r>
      <w:r w:rsidRPr="00577FFB">
        <w:rPr>
          <w:rFonts w:eastAsia="Times New Roman" w:cs="Times New Roman"/>
          <w:b/>
          <w:bCs/>
          <w:rtl/>
          <w:lang w:eastAsia="de-DE"/>
        </w:rPr>
        <w:t>לא תאכל</w:t>
      </w:r>
      <w:r w:rsidRPr="00577FFB">
        <w:rPr>
          <w:rFonts w:eastAsia="Times New Roman" w:cs="Times New Roman"/>
          <w:rtl/>
          <w:lang w:eastAsia="de-DE"/>
        </w:rPr>
        <w:t xml:space="preserve"> </w:t>
      </w:r>
      <w:r w:rsidRPr="00577FFB">
        <w:rPr>
          <w:rFonts w:eastAsia="Times New Roman" w:cs="Times New Roman"/>
          <w:lang w:eastAsia="de-DE"/>
        </w:rPr>
        <w:t xml:space="preserve">(soll nicht gegessen werden) steht im Gegensatz zu anderen </w:t>
      </w:r>
      <w:r w:rsidRPr="00577FFB">
        <w:rPr>
          <w:rFonts w:eastAsia="Times New Roman" w:cs="Times New Roman"/>
          <w:b/>
          <w:bCs/>
          <w:rtl/>
          <w:lang w:eastAsia="de-DE"/>
        </w:rPr>
        <w:t>חטאת</w:t>
      </w:r>
      <w:r w:rsidRPr="00577FFB">
        <w:rPr>
          <w:rFonts w:eastAsia="Times New Roman" w:cs="Times New Roman"/>
          <w:lang w:eastAsia="de-DE"/>
        </w:rPr>
        <w:t xml:space="preserve">-Opfern, die von den Priestern gegessen werden dürfen (vgl. 6,26-29). </w:t>
      </w:r>
      <w:r w:rsidRPr="00577FFB">
        <w:rPr>
          <w:rFonts w:eastAsia="Times New Roman" w:cs="Times New Roman"/>
          <w:b/>
          <w:bCs/>
          <w:rtl/>
          <w:lang w:eastAsia="de-DE"/>
        </w:rPr>
        <w:t>באש תשרף</w:t>
      </w:r>
      <w:r w:rsidRPr="00577FFB">
        <w:rPr>
          <w:rFonts w:eastAsia="Times New Roman" w:cs="Times New Roman"/>
          <w:rtl/>
          <w:lang w:eastAsia="de-DE"/>
        </w:rPr>
        <w:t xml:space="preserve"> </w:t>
      </w:r>
      <w:r w:rsidRPr="00577FFB">
        <w:rPr>
          <w:rFonts w:eastAsia="Times New Roman" w:cs="Times New Roman"/>
          <w:lang w:eastAsia="de-DE"/>
        </w:rPr>
        <w:t xml:space="preserve">(mit Feuer soll es verbrannt werden) - </w:t>
      </w:r>
      <w:r w:rsidRPr="00577FFB">
        <w:rPr>
          <w:rFonts w:eastAsia="Times New Roman" w:cs="Times New Roman"/>
          <w:b/>
          <w:bCs/>
          <w:rtl/>
          <w:lang w:eastAsia="de-DE"/>
        </w:rPr>
        <w:t>תשרף</w:t>
      </w:r>
      <w:r w:rsidRPr="00577FFB">
        <w:rPr>
          <w:rFonts w:eastAsia="Times New Roman" w:cs="Times New Roman"/>
          <w:rtl/>
          <w:lang w:eastAsia="de-DE"/>
        </w:rPr>
        <w:t xml:space="preserve"> </w:t>
      </w:r>
      <w:r w:rsidRPr="00577FFB">
        <w:rPr>
          <w:rFonts w:eastAsia="Times New Roman" w:cs="Times New Roman"/>
          <w:lang w:eastAsia="de-DE"/>
        </w:rPr>
        <w:t xml:space="preserve">im Nifal-Imperfekt von </w:t>
      </w:r>
      <w:r w:rsidRPr="00577FFB">
        <w:rPr>
          <w:rFonts w:eastAsia="Times New Roman" w:cs="Times New Roman"/>
          <w:b/>
          <w:bCs/>
          <w:rtl/>
          <w:lang w:eastAsia="de-DE"/>
        </w:rPr>
        <w:t>שרף</w:t>
      </w:r>
      <w:r w:rsidRPr="00577FFB">
        <w:rPr>
          <w:rFonts w:eastAsia="Times New Roman" w:cs="Times New Roman"/>
          <w:rtl/>
          <w:lang w:eastAsia="de-DE"/>
        </w:rPr>
        <w:t xml:space="preserve"> </w:t>
      </w:r>
      <w:r w:rsidRPr="00577FFB">
        <w:rPr>
          <w:rFonts w:eastAsia="Times New Roman" w:cs="Times New Roman"/>
          <w:lang w:eastAsia="de-DE"/>
        </w:rPr>
        <w:t>zeigt vollständige Verbrennung.</w:t>
      </w:r>
    </w:p>
    <w:p w14:paraId="74A8D7B7"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Theologische Bedeutung:</w:t>
      </w:r>
      <w:r w:rsidRPr="00577FFB">
        <w:rPr>
          <w:rFonts w:eastAsia="Times New Roman" w:cs="Times New Roman"/>
          <w:lang w:eastAsia="de-DE"/>
        </w:rPr>
        <w:t xml:space="preserve"> Dieser Vers etabliert die </w:t>
      </w:r>
      <w:r w:rsidRPr="00577FFB">
        <w:rPr>
          <w:rFonts w:eastAsia="Times New Roman" w:cs="Times New Roman"/>
          <w:b/>
          <w:bCs/>
          <w:lang w:eastAsia="de-DE"/>
        </w:rPr>
        <w:t xml:space="preserve">Zwei-Kategorie-Regel für </w:t>
      </w:r>
      <w:r w:rsidRPr="00577FFB">
        <w:rPr>
          <w:rFonts w:eastAsia="Times New Roman" w:cs="Times New Roman"/>
          <w:b/>
          <w:bCs/>
          <w:rtl/>
          <w:lang w:eastAsia="de-DE"/>
        </w:rPr>
        <w:t>חטאת</w:t>
      </w:r>
      <w:r w:rsidRPr="00577FFB">
        <w:rPr>
          <w:rFonts w:eastAsia="Times New Roman" w:cs="Times New Roman"/>
          <w:b/>
          <w:bCs/>
          <w:lang w:eastAsia="de-DE"/>
        </w:rPr>
        <w:t>-Opfer</w:t>
      </w:r>
      <w:r w:rsidRPr="00577FFB">
        <w:rPr>
          <w:rFonts w:eastAsia="Times New Roman" w:cs="Times New Roman"/>
          <w:lang w:eastAsia="de-DE"/>
        </w:rPr>
        <w:t>:</w:t>
      </w:r>
    </w:p>
    <w:p w14:paraId="0C68818B" w14:textId="77777777" w:rsidR="00577FFB" w:rsidRPr="00577FFB" w:rsidRDefault="00577FFB" w:rsidP="00577FFB">
      <w:pPr>
        <w:numPr>
          <w:ilvl w:val="0"/>
          <w:numId w:val="35"/>
        </w:numPr>
        <w:spacing w:before="100" w:beforeAutospacing="1" w:after="100" w:afterAutospacing="1" w:line="240" w:lineRule="auto"/>
        <w:rPr>
          <w:rFonts w:eastAsia="Times New Roman" w:cs="Times New Roman"/>
          <w:lang w:eastAsia="de-DE"/>
        </w:rPr>
      </w:pPr>
      <w:r w:rsidRPr="00577FFB">
        <w:rPr>
          <w:rFonts w:eastAsia="Times New Roman" w:cs="Times New Roman"/>
          <w:b/>
          <w:bCs/>
          <w:rtl/>
          <w:lang w:eastAsia="de-DE"/>
        </w:rPr>
        <w:t>חטאת</w:t>
      </w:r>
      <w:r w:rsidRPr="00577FFB">
        <w:rPr>
          <w:rFonts w:eastAsia="Times New Roman" w:cs="Times New Roman"/>
          <w:b/>
          <w:bCs/>
          <w:lang w:eastAsia="de-DE"/>
        </w:rPr>
        <w:t>-Opfer deren Blut NICHT ins Heiligtum gebracht wird</w:t>
      </w:r>
      <w:r w:rsidRPr="00577FFB">
        <w:rPr>
          <w:rFonts w:eastAsia="Times New Roman" w:cs="Times New Roman"/>
          <w:lang w:eastAsia="de-DE"/>
        </w:rPr>
        <w:t xml:space="preserve"> (äußere Sühne): Diese dürfen von den Priestern gegessen werden (6,26-29)</w:t>
      </w:r>
    </w:p>
    <w:p w14:paraId="203E60EE" w14:textId="77777777" w:rsidR="00577FFB" w:rsidRPr="00577FFB" w:rsidRDefault="00577FFB" w:rsidP="00577FFB">
      <w:pPr>
        <w:numPr>
          <w:ilvl w:val="0"/>
          <w:numId w:val="35"/>
        </w:numPr>
        <w:spacing w:before="100" w:beforeAutospacing="1" w:after="100" w:afterAutospacing="1" w:line="240" w:lineRule="auto"/>
        <w:rPr>
          <w:rFonts w:eastAsia="Times New Roman" w:cs="Times New Roman"/>
          <w:lang w:eastAsia="de-DE"/>
        </w:rPr>
      </w:pPr>
      <w:r w:rsidRPr="00577FFB">
        <w:rPr>
          <w:rFonts w:eastAsia="Times New Roman" w:cs="Times New Roman"/>
          <w:b/>
          <w:bCs/>
          <w:rtl/>
          <w:lang w:eastAsia="de-DE"/>
        </w:rPr>
        <w:t>חטאת</w:t>
      </w:r>
      <w:r w:rsidRPr="00577FFB">
        <w:rPr>
          <w:rFonts w:eastAsia="Times New Roman" w:cs="Times New Roman"/>
          <w:b/>
          <w:bCs/>
          <w:lang w:eastAsia="de-DE"/>
        </w:rPr>
        <w:t xml:space="preserve">-Opfer deren Blut ins </w:t>
      </w:r>
      <w:r w:rsidRPr="00577FFB">
        <w:rPr>
          <w:rFonts w:eastAsia="Times New Roman" w:cs="Times New Roman"/>
          <w:b/>
          <w:bCs/>
          <w:rtl/>
          <w:lang w:eastAsia="de-DE"/>
        </w:rPr>
        <w:t>אהל מועד</w:t>
      </w:r>
      <w:r w:rsidRPr="00577FFB">
        <w:rPr>
          <w:rFonts w:eastAsia="Times New Roman" w:cs="Times New Roman"/>
          <w:b/>
          <w:bCs/>
          <w:lang w:eastAsia="de-DE"/>
        </w:rPr>
        <w:t xml:space="preserve"> gebracht wird</w:t>
      </w:r>
      <w:r w:rsidRPr="00577FFB">
        <w:rPr>
          <w:rFonts w:eastAsia="Times New Roman" w:cs="Times New Roman"/>
          <w:lang w:eastAsia="de-DE"/>
        </w:rPr>
        <w:t xml:space="preserve"> (innere Sühne): Diese müssen vollständig verbrannt werden und dürfen nicht gegessen werden</w:t>
      </w:r>
    </w:p>
    <w:p w14:paraId="14193D1E"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Die Logik:</w:t>
      </w:r>
      <w:r w:rsidRPr="00577FFB">
        <w:rPr>
          <w:rFonts w:eastAsia="Times New Roman" w:cs="Times New Roman"/>
          <w:lang w:eastAsia="de-DE"/>
        </w:rPr>
        <w:t xml:space="preserve"> Wenn das Blut zur Sühne </w:t>
      </w:r>
      <w:r w:rsidRPr="00577FFB">
        <w:rPr>
          <w:rFonts w:eastAsia="Times New Roman" w:cs="Times New Roman"/>
          <w:b/>
          <w:bCs/>
          <w:rtl/>
          <w:lang w:eastAsia="de-DE"/>
        </w:rPr>
        <w:t>בקדש</w:t>
      </w:r>
      <w:r w:rsidRPr="00577FFB">
        <w:rPr>
          <w:rFonts w:eastAsia="Times New Roman" w:cs="Times New Roman"/>
          <w:rtl/>
          <w:lang w:eastAsia="de-DE"/>
        </w:rPr>
        <w:t xml:space="preserve"> </w:t>
      </w:r>
      <w:r w:rsidRPr="00577FFB">
        <w:rPr>
          <w:rFonts w:eastAsia="Times New Roman" w:cs="Times New Roman"/>
          <w:lang w:eastAsia="de-DE"/>
        </w:rPr>
        <w:t>(im Heiligtum) verwendet wird, wird das Opferfleisch "zu heilig" um gegessen zu werden - es muss vollständig JHWH geweiht durch Verbrennung zurückgegeben werden.</w:t>
      </w:r>
    </w:p>
    <w:p w14:paraId="274A5349"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lastRenderedPageBreak/>
        <w:t>Parallele Stellen:</w:t>
      </w:r>
      <w:r w:rsidRPr="00577FFB">
        <w:rPr>
          <w:rFonts w:eastAsia="Times New Roman" w:cs="Times New Roman"/>
          <w:lang w:eastAsia="de-DE"/>
        </w:rPr>
        <w:t xml:space="preserve"> Diese Regel entspricht Leviticus 4,1-21 (Hohepriester- und Gemeinde-</w:t>
      </w:r>
      <w:r w:rsidRPr="00577FFB">
        <w:rPr>
          <w:rFonts w:eastAsia="Times New Roman" w:cs="Times New Roman"/>
          <w:b/>
          <w:bCs/>
          <w:rtl/>
          <w:lang w:eastAsia="de-DE"/>
        </w:rPr>
        <w:t>חטאת</w:t>
      </w:r>
      <w:r w:rsidRPr="00577FFB">
        <w:rPr>
          <w:rFonts w:eastAsia="Times New Roman" w:cs="Times New Roman"/>
          <w:lang w:eastAsia="de-DE"/>
        </w:rPr>
        <w:t>) vs. 4,22-35 (Fürsten- und Individual-</w:t>
      </w:r>
      <w:r w:rsidRPr="00577FFB">
        <w:rPr>
          <w:rFonts w:eastAsia="Times New Roman" w:cs="Times New Roman"/>
          <w:b/>
          <w:bCs/>
          <w:rtl/>
          <w:lang w:eastAsia="de-DE"/>
        </w:rPr>
        <w:t>חטאת</w:t>
      </w:r>
      <w:r w:rsidRPr="00577FFB">
        <w:rPr>
          <w:rFonts w:eastAsia="Times New Roman" w:cs="Times New Roman"/>
          <w:lang w:eastAsia="de-DE"/>
        </w:rPr>
        <w:t>). Auch 16,27 zeigt diese Verbrennungsregel für Jom Kippur-Opfer.</w:t>
      </w:r>
    </w:p>
    <w:p w14:paraId="6969D183"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rtl/>
          <w:lang w:eastAsia="de-DE"/>
        </w:rPr>
        <w:t>יובא מדמה אל־אהל מועד</w:t>
      </w:r>
      <w:r w:rsidRPr="00577FFB">
        <w:rPr>
          <w:rFonts w:eastAsia="Times New Roman" w:cs="Times New Roman"/>
          <w:rtl/>
          <w:lang w:eastAsia="de-DE"/>
        </w:rPr>
        <w:t xml:space="preserve"> </w:t>
      </w:r>
      <w:r w:rsidRPr="00577FFB">
        <w:rPr>
          <w:rFonts w:eastAsia="Times New Roman" w:cs="Times New Roman"/>
          <w:lang w:eastAsia="de-DE"/>
        </w:rPr>
        <w:t xml:space="preserve">zeigt den entscheidenden Faktor: Blut im Inneren des Heiligtums. </w:t>
      </w:r>
      <w:r w:rsidRPr="00577FFB">
        <w:rPr>
          <w:rFonts w:eastAsia="Times New Roman" w:cs="Times New Roman"/>
          <w:b/>
          <w:bCs/>
          <w:rtl/>
          <w:lang w:eastAsia="de-DE"/>
        </w:rPr>
        <w:t>לכפר בקדש</w:t>
      </w:r>
      <w:r w:rsidRPr="00577FFB">
        <w:rPr>
          <w:rFonts w:eastAsia="Times New Roman" w:cs="Times New Roman"/>
          <w:rtl/>
          <w:lang w:eastAsia="de-DE"/>
        </w:rPr>
        <w:t xml:space="preserve"> </w:t>
      </w:r>
      <w:r w:rsidRPr="00577FFB">
        <w:rPr>
          <w:rFonts w:eastAsia="Times New Roman" w:cs="Times New Roman"/>
          <w:lang w:eastAsia="de-DE"/>
        </w:rPr>
        <w:t xml:space="preserve">zeigt innere vs. äußere Sühne. </w:t>
      </w:r>
      <w:r w:rsidRPr="00577FFB">
        <w:rPr>
          <w:rFonts w:eastAsia="Times New Roman" w:cs="Times New Roman"/>
          <w:b/>
          <w:bCs/>
          <w:rtl/>
          <w:lang w:eastAsia="de-DE"/>
        </w:rPr>
        <w:t>לא תאכל באש תשרף</w:t>
      </w:r>
      <w:r w:rsidRPr="00577FFB">
        <w:rPr>
          <w:rFonts w:eastAsia="Times New Roman" w:cs="Times New Roman"/>
          <w:rtl/>
          <w:lang w:eastAsia="de-DE"/>
        </w:rPr>
        <w:t xml:space="preserve"> </w:t>
      </w:r>
      <w:r w:rsidRPr="00577FFB">
        <w:rPr>
          <w:rFonts w:eastAsia="Times New Roman" w:cs="Times New Roman"/>
          <w:lang w:eastAsia="de-DE"/>
        </w:rPr>
        <w:t>zeigt maximale Heiligkeit durch Totalverbrennung.</w:t>
      </w:r>
    </w:p>
    <w:p w14:paraId="1B977F0F"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Die LXX</w:t>
      </w:r>
      <w:r w:rsidRPr="00577FFB">
        <w:rPr>
          <w:rFonts w:eastAsia="Times New Roman" w:cs="Times New Roman"/>
          <w:lang w:eastAsia="de-DE"/>
        </w:rPr>
        <w:t xml:space="preserve"> übersetzt </w:t>
      </w:r>
      <w:r w:rsidRPr="00577FFB">
        <w:rPr>
          <w:rFonts w:eastAsia="Times New Roman" w:cs="Times New Roman"/>
          <w:b/>
          <w:bCs/>
          <w:rtl/>
          <w:lang w:eastAsia="de-DE"/>
        </w:rPr>
        <w:t>יובא מדמה</w:t>
      </w:r>
      <w:r w:rsidRPr="00577FFB">
        <w:rPr>
          <w:rFonts w:eastAsia="Times New Roman" w:cs="Times New Roman"/>
          <w:rtl/>
          <w:lang w:eastAsia="de-DE"/>
        </w:rPr>
        <w:t xml:space="preserve"> </w:t>
      </w:r>
      <w:r w:rsidRPr="00577FFB">
        <w:rPr>
          <w:rFonts w:eastAsia="Times New Roman" w:cs="Times New Roman"/>
          <w:lang w:eastAsia="de-DE"/>
        </w:rPr>
        <w:t xml:space="preserve">mit </w:t>
      </w:r>
      <w:proofErr w:type="spellStart"/>
      <w:r w:rsidRPr="00577FFB">
        <w:rPr>
          <w:rFonts w:eastAsia="Times New Roman" w:cs="Times New Roman"/>
          <w:lang w:eastAsia="de-DE"/>
        </w:rPr>
        <w:t>εἰσενεχθῇ</w:t>
      </w:r>
      <w:proofErr w:type="spellEnd"/>
      <w:r w:rsidRPr="00577FFB">
        <w:rPr>
          <w:rFonts w:eastAsia="Times New Roman" w:cs="Times New Roman"/>
          <w:lang w:eastAsia="de-DE"/>
        </w:rPr>
        <w:t xml:space="preserve"> ἀπὸ </w:t>
      </w:r>
      <w:proofErr w:type="spellStart"/>
      <w:r w:rsidRPr="00577FFB">
        <w:rPr>
          <w:rFonts w:eastAsia="Times New Roman" w:cs="Times New Roman"/>
          <w:lang w:eastAsia="de-DE"/>
        </w:rPr>
        <w:t>τοῦ</w:t>
      </w:r>
      <w:proofErr w:type="spellEnd"/>
      <w:r w:rsidRPr="00577FFB">
        <w:rPr>
          <w:rFonts w:eastAsia="Times New Roman" w:cs="Times New Roman"/>
          <w:lang w:eastAsia="de-DE"/>
        </w:rPr>
        <w:t xml:space="preserve"> α</w:t>
      </w:r>
      <w:proofErr w:type="spellStart"/>
      <w:r w:rsidRPr="00577FFB">
        <w:rPr>
          <w:rFonts w:eastAsia="Times New Roman" w:cs="Times New Roman"/>
          <w:lang w:eastAsia="de-DE"/>
        </w:rPr>
        <w:t>ἵμ</w:t>
      </w:r>
      <w:proofErr w:type="spellEnd"/>
      <w:r w:rsidRPr="00577FFB">
        <w:rPr>
          <w:rFonts w:eastAsia="Times New Roman" w:cs="Times New Roman"/>
          <w:lang w:eastAsia="de-DE"/>
        </w:rPr>
        <w:t>ατος α</w:t>
      </w:r>
      <w:proofErr w:type="spellStart"/>
      <w:r w:rsidRPr="00577FFB">
        <w:rPr>
          <w:rFonts w:eastAsia="Times New Roman" w:cs="Times New Roman"/>
          <w:lang w:eastAsia="de-DE"/>
        </w:rPr>
        <w:t>ὐτῆς</w:t>
      </w:r>
      <w:proofErr w:type="spellEnd"/>
      <w:r w:rsidRPr="00577FFB">
        <w:rPr>
          <w:rFonts w:eastAsia="Times New Roman" w:cs="Times New Roman"/>
          <w:lang w:eastAsia="de-DE"/>
        </w:rPr>
        <w:t xml:space="preserve"> (hineingebracht wird von ihrem Blut), </w:t>
      </w:r>
      <w:r w:rsidRPr="00577FFB">
        <w:rPr>
          <w:rFonts w:eastAsia="Times New Roman" w:cs="Times New Roman"/>
          <w:b/>
          <w:bCs/>
          <w:rtl/>
          <w:lang w:eastAsia="de-DE"/>
        </w:rPr>
        <w:t>אל־אהל מועד</w:t>
      </w:r>
      <w:r w:rsidRPr="00577FFB">
        <w:rPr>
          <w:rFonts w:eastAsia="Times New Roman" w:cs="Times New Roman"/>
          <w:rtl/>
          <w:lang w:eastAsia="de-DE"/>
        </w:rPr>
        <w:t xml:space="preserve"> </w:t>
      </w:r>
      <w:r w:rsidRPr="00577FFB">
        <w:rPr>
          <w:rFonts w:eastAsia="Times New Roman" w:cs="Times New Roman"/>
          <w:lang w:eastAsia="de-DE"/>
        </w:rPr>
        <w:t xml:space="preserve">mit </w:t>
      </w:r>
      <w:proofErr w:type="spellStart"/>
      <w:r w:rsidRPr="00577FFB">
        <w:rPr>
          <w:rFonts w:eastAsia="Times New Roman" w:cs="Times New Roman"/>
          <w:lang w:eastAsia="de-DE"/>
        </w:rPr>
        <w:t>εἰς</w:t>
      </w:r>
      <w:proofErr w:type="spellEnd"/>
      <w:r w:rsidRPr="00577FFB">
        <w:rPr>
          <w:rFonts w:eastAsia="Times New Roman" w:cs="Times New Roman"/>
          <w:lang w:eastAsia="de-DE"/>
        </w:rPr>
        <w:t xml:space="preserve"> </w:t>
      </w:r>
      <w:proofErr w:type="spellStart"/>
      <w:r w:rsidRPr="00577FFB">
        <w:rPr>
          <w:rFonts w:eastAsia="Times New Roman" w:cs="Times New Roman"/>
          <w:lang w:eastAsia="de-DE"/>
        </w:rPr>
        <w:t>τὴν</w:t>
      </w:r>
      <w:proofErr w:type="spellEnd"/>
      <w:r w:rsidRPr="00577FFB">
        <w:rPr>
          <w:rFonts w:eastAsia="Times New Roman" w:cs="Times New Roman"/>
          <w:lang w:eastAsia="de-DE"/>
        </w:rPr>
        <w:t xml:space="preserve"> </w:t>
      </w:r>
      <w:proofErr w:type="spellStart"/>
      <w:r w:rsidRPr="00577FFB">
        <w:rPr>
          <w:rFonts w:eastAsia="Times New Roman" w:cs="Times New Roman"/>
          <w:lang w:eastAsia="de-DE"/>
        </w:rPr>
        <w:t>σκηνὴν</w:t>
      </w:r>
      <w:proofErr w:type="spellEnd"/>
      <w:r w:rsidRPr="00577FFB">
        <w:rPr>
          <w:rFonts w:eastAsia="Times New Roman" w:cs="Times New Roman"/>
          <w:lang w:eastAsia="de-DE"/>
        </w:rPr>
        <w:t xml:space="preserve"> </w:t>
      </w:r>
      <w:proofErr w:type="spellStart"/>
      <w:r w:rsidRPr="00577FFB">
        <w:rPr>
          <w:rFonts w:eastAsia="Times New Roman" w:cs="Times New Roman"/>
          <w:lang w:eastAsia="de-DE"/>
        </w:rPr>
        <w:t>τοῦ</w:t>
      </w:r>
      <w:proofErr w:type="spellEnd"/>
      <w:r w:rsidRPr="00577FFB">
        <w:rPr>
          <w:rFonts w:eastAsia="Times New Roman" w:cs="Times New Roman"/>
          <w:lang w:eastAsia="de-DE"/>
        </w:rPr>
        <w:t xml:space="preserve"> μα</w:t>
      </w:r>
      <w:proofErr w:type="spellStart"/>
      <w:r w:rsidRPr="00577FFB">
        <w:rPr>
          <w:rFonts w:eastAsia="Times New Roman" w:cs="Times New Roman"/>
          <w:lang w:eastAsia="de-DE"/>
        </w:rPr>
        <w:t>ρτυρίου</w:t>
      </w:r>
      <w:proofErr w:type="spellEnd"/>
      <w:r w:rsidRPr="00577FFB">
        <w:rPr>
          <w:rFonts w:eastAsia="Times New Roman" w:cs="Times New Roman"/>
          <w:lang w:eastAsia="de-DE"/>
        </w:rPr>
        <w:t xml:space="preserve"> (in das Zelt des Zeugnisses), </w:t>
      </w:r>
      <w:r w:rsidRPr="00577FFB">
        <w:rPr>
          <w:rFonts w:eastAsia="Times New Roman" w:cs="Times New Roman"/>
          <w:b/>
          <w:bCs/>
          <w:rtl/>
          <w:lang w:eastAsia="de-DE"/>
        </w:rPr>
        <w:t>לכפר בקדש</w:t>
      </w:r>
      <w:r w:rsidRPr="00577FFB">
        <w:rPr>
          <w:rFonts w:eastAsia="Times New Roman" w:cs="Times New Roman"/>
          <w:rtl/>
          <w:lang w:eastAsia="de-DE"/>
        </w:rPr>
        <w:t xml:space="preserve"> </w:t>
      </w:r>
      <w:r w:rsidRPr="00577FFB">
        <w:rPr>
          <w:rFonts w:eastAsia="Times New Roman" w:cs="Times New Roman"/>
          <w:lang w:eastAsia="de-DE"/>
        </w:rPr>
        <w:t xml:space="preserve">mit </w:t>
      </w:r>
      <w:proofErr w:type="spellStart"/>
      <w:r w:rsidRPr="00577FFB">
        <w:rPr>
          <w:rFonts w:eastAsia="Times New Roman" w:cs="Times New Roman"/>
          <w:lang w:eastAsia="de-DE"/>
        </w:rPr>
        <w:t>ἐξιλάσ</w:t>
      </w:r>
      <w:proofErr w:type="spellEnd"/>
      <w:r w:rsidRPr="00577FFB">
        <w:rPr>
          <w:rFonts w:eastAsia="Times New Roman" w:cs="Times New Roman"/>
          <w:lang w:eastAsia="de-DE"/>
        </w:rPr>
        <w:t xml:space="preserve">ασθαι </w:t>
      </w:r>
      <w:proofErr w:type="spellStart"/>
      <w:r w:rsidRPr="00577FFB">
        <w:rPr>
          <w:rFonts w:eastAsia="Times New Roman" w:cs="Times New Roman"/>
          <w:lang w:eastAsia="de-DE"/>
        </w:rPr>
        <w:t>ἐν</w:t>
      </w:r>
      <w:proofErr w:type="spellEnd"/>
      <w:r w:rsidRPr="00577FFB">
        <w:rPr>
          <w:rFonts w:eastAsia="Times New Roman" w:cs="Times New Roman"/>
          <w:lang w:eastAsia="de-DE"/>
        </w:rPr>
        <w:t xml:space="preserve"> </w:t>
      </w:r>
      <w:proofErr w:type="spellStart"/>
      <w:r w:rsidRPr="00577FFB">
        <w:rPr>
          <w:rFonts w:eastAsia="Times New Roman" w:cs="Times New Roman"/>
          <w:lang w:eastAsia="de-DE"/>
        </w:rPr>
        <w:t>τῷ</w:t>
      </w:r>
      <w:proofErr w:type="spellEnd"/>
      <w:r w:rsidRPr="00577FFB">
        <w:rPr>
          <w:rFonts w:eastAsia="Times New Roman" w:cs="Times New Roman"/>
          <w:lang w:eastAsia="de-DE"/>
        </w:rPr>
        <w:t xml:space="preserve"> </w:t>
      </w:r>
      <w:proofErr w:type="spellStart"/>
      <w:r w:rsidRPr="00577FFB">
        <w:rPr>
          <w:rFonts w:eastAsia="Times New Roman" w:cs="Times New Roman"/>
          <w:lang w:eastAsia="de-DE"/>
        </w:rPr>
        <w:t>ἁγίῳ</w:t>
      </w:r>
      <w:proofErr w:type="spellEnd"/>
      <w:r w:rsidRPr="00577FFB">
        <w:rPr>
          <w:rFonts w:eastAsia="Times New Roman" w:cs="Times New Roman"/>
          <w:lang w:eastAsia="de-DE"/>
        </w:rPr>
        <w:t xml:space="preserve"> (zu entsühnen im Heiligtum), </w:t>
      </w:r>
      <w:r w:rsidRPr="00577FFB">
        <w:rPr>
          <w:rFonts w:eastAsia="Times New Roman" w:cs="Times New Roman"/>
          <w:b/>
          <w:bCs/>
          <w:rtl/>
          <w:lang w:eastAsia="de-DE"/>
        </w:rPr>
        <w:t>לא תאכל</w:t>
      </w:r>
      <w:r w:rsidRPr="00577FFB">
        <w:rPr>
          <w:rFonts w:eastAsia="Times New Roman" w:cs="Times New Roman"/>
          <w:rtl/>
          <w:lang w:eastAsia="de-DE"/>
        </w:rPr>
        <w:t xml:space="preserve"> </w:t>
      </w:r>
      <w:r w:rsidRPr="00577FFB">
        <w:rPr>
          <w:rFonts w:eastAsia="Times New Roman" w:cs="Times New Roman"/>
          <w:lang w:eastAsia="de-DE"/>
        </w:rPr>
        <w:t xml:space="preserve">mit </w:t>
      </w:r>
      <w:proofErr w:type="spellStart"/>
      <w:r w:rsidRPr="00577FFB">
        <w:rPr>
          <w:rFonts w:eastAsia="Times New Roman" w:cs="Times New Roman"/>
          <w:lang w:eastAsia="de-DE"/>
        </w:rPr>
        <w:t>οὐ</w:t>
      </w:r>
      <w:proofErr w:type="spellEnd"/>
      <w:r w:rsidRPr="00577FFB">
        <w:rPr>
          <w:rFonts w:eastAsia="Times New Roman" w:cs="Times New Roman"/>
          <w:lang w:eastAsia="de-DE"/>
        </w:rPr>
        <w:t xml:space="preserve"> β</w:t>
      </w:r>
      <w:proofErr w:type="spellStart"/>
      <w:r w:rsidRPr="00577FFB">
        <w:rPr>
          <w:rFonts w:eastAsia="Times New Roman" w:cs="Times New Roman"/>
          <w:lang w:eastAsia="de-DE"/>
        </w:rPr>
        <w:t>ρωθήσετ</w:t>
      </w:r>
      <w:proofErr w:type="spellEnd"/>
      <w:r w:rsidRPr="00577FFB">
        <w:rPr>
          <w:rFonts w:eastAsia="Times New Roman" w:cs="Times New Roman"/>
          <w:lang w:eastAsia="de-DE"/>
        </w:rPr>
        <w:t xml:space="preserve">αι (wird nicht gegessen werden) und </w:t>
      </w:r>
      <w:r w:rsidRPr="00577FFB">
        <w:rPr>
          <w:rFonts w:eastAsia="Times New Roman" w:cs="Times New Roman"/>
          <w:b/>
          <w:bCs/>
          <w:rtl/>
          <w:lang w:eastAsia="de-DE"/>
        </w:rPr>
        <w:t>באש תשרף</w:t>
      </w:r>
      <w:r w:rsidRPr="00577FFB">
        <w:rPr>
          <w:rFonts w:eastAsia="Times New Roman" w:cs="Times New Roman"/>
          <w:rtl/>
          <w:lang w:eastAsia="de-DE"/>
        </w:rPr>
        <w:t xml:space="preserve"> </w:t>
      </w:r>
      <w:r w:rsidRPr="00577FFB">
        <w:rPr>
          <w:rFonts w:eastAsia="Times New Roman" w:cs="Times New Roman"/>
          <w:lang w:eastAsia="de-DE"/>
        </w:rPr>
        <w:t xml:space="preserve">mit </w:t>
      </w:r>
      <w:proofErr w:type="spellStart"/>
      <w:r w:rsidRPr="00577FFB">
        <w:rPr>
          <w:rFonts w:eastAsia="Times New Roman" w:cs="Times New Roman"/>
          <w:lang w:eastAsia="de-DE"/>
        </w:rPr>
        <w:t>ἐν</w:t>
      </w:r>
      <w:proofErr w:type="spellEnd"/>
      <w:r w:rsidRPr="00577FFB">
        <w:rPr>
          <w:rFonts w:eastAsia="Times New Roman" w:cs="Times New Roman"/>
          <w:lang w:eastAsia="de-DE"/>
        </w:rPr>
        <w:t xml:space="preserve"> π</w:t>
      </w:r>
      <w:proofErr w:type="spellStart"/>
      <w:r w:rsidRPr="00577FFB">
        <w:rPr>
          <w:rFonts w:eastAsia="Times New Roman" w:cs="Times New Roman"/>
          <w:lang w:eastAsia="de-DE"/>
        </w:rPr>
        <w:t>υρὶ</w:t>
      </w:r>
      <w:proofErr w:type="spellEnd"/>
      <w:r w:rsidRPr="00577FFB">
        <w:rPr>
          <w:rFonts w:eastAsia="Times New Roman" w:cs="Times New Roman"/>
          <w:lang w:eastAsia="de-DE"/>
        </w:rPr>
        <w:t xml:space="preserve"> κατακα</w:t>
      </w:r>
      <w:proofErr w:type="spellStart"/>
      <w:r w:rsidRPr="00577FFB">
        <w:rPr>
          <w:rFonts w:eastAsia="Times New Roman" w:cs="Times New Roman"/>
          <w:lang w:eastAsia="de-DE"/>
        </w:rPr>
        <w:t>υθήσετ</w:t>
      </w:r>
      <w:proofErr w:type="spellEnd"/>
      <w:r w:rsidRPr="00577FFB">
        <w:rPr>
          <w:rFonts w:eastAsia="Times New Roman" w:cs="Times New Roman"/>
          <w:lang w:eastAsia="de-DE"/>
        </w:rPr>
        <w:t>αι (mit Feuer wird verbrannt werden).</w:t>
      </w:r>
    </w:p>
    <w:p w14:paraId="1DF22E94"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b/>
          <w:bCs/>
          <w:lang w:eastAsia="de-DE"/>
        </w:rPr>
        <w:t>Die Satzstruktur</w:t>
      </w:r>
      <w:r w:rsidRPr="00577FFB">
        <w:rPr>
          <w:rFonts w:eastAsia="Times New Roman" w:cs="Times New Roman"/>
          <w:lang w:eastAsia="de-DE"/>
        </w:rPr>
        <w:t xml:space="preserve"> zeigt die entscheidende Opfer-Unterscheidung: alles Sündopfer dessen Blut hineingebracht wird + in Zelt der Begegnung + zu sühnen im Heiligtum + nicht gegessen werden + mit Feuer verbrannt werden.</w:t>
      </w:r>
    </w:p>
    <w:p w14:paraId="6EF1AC38" w14:textId="77777777" w:rsidR="00577FFB" w:rsidRPr="00577FFB" w:rsidRDefault="00577FFB" w:rsidP="00577FFB">
      <w:pPr>
        <w:spacing w:before="100" w:beforeAutospacing="1" w:after="100" w:afterAutospacing="1" w:line="240" w:lineRule="auto"/>
        <w:rPr>
          <w:rFonts w:eastAsia="Times New Roman" w:cs="Times New Roman"/>
          <w:lang w:eastAsia="de-DE"/>
        </w:rPr>
      </w:pPr>
      <w:r w:rsidRPr="00577FFB">
        <w:rPr>
          <w:rFonts w:eastAsia="Times New Roman" w:cs="Times New Roman"/>
          <w:lang w:eastAsia="de-DE"/>
        </w:rPr>
        <w:t xml:space="preserve">Dieser Vers ist zentral für das Verständnis der </w:t>
      </w:r>
      <w:r w:rsidRPr="00577FFB">
        <w:rPr>
          <w:rFonts w:eastAsia="Times New Roman" w:cs="Times New Roman"/>
          <w:b/>
          <w:bCs/>
          <w:rtl/>
          <w:lang w:eastAsia="de-DE"/>
        </w:rPr>
        <w:t>חטאת</w:t>
      </w:r>
      <w:r w:rsidRPr="00577FFB">
        <w:rPr>
          <w:rFonts w:eastAsia="Times New Roman" w:cs="Times New Roman"/>
          <w:lang w:eastAsia="de-DE"/>
        </w:rPr>
        <w:t>-Systematik und zeigt, wie die Heiligkeit des Sühneverfahrens die weitere Behandlung des Opferfleisches bestimmt.</w:t>
      </w:r>
    </w:p>
    <w:p w14:paraId="102F8BF1" w14:textId="77777777" w:rsidR="00577FFB" w:rsidRDefault="00577FFB" w:rsidP="00577FFB">
      <w:pPr>
        <w:pStyle w:val="whitespace-normal"/>
      </w:pPr>
      <w:r>
        <w:rPr>
          <w:rStyle w:val="Fett"/>
        </w:rPr>
        <w:t>Systematische Unterschiede</w:t>
      </w:r>
      <w:r>
        <w:t>:</w:t>
      </w:r>
    </w:p>
    <w:p w14:paraId="0B18666F" w14:textId="77777777" w:rsidR="00577FFB" w:rsidRDefault="00577FFB" w:rsidP="00577FFB">
      <w:pPr>
        <w:pStyle w:val="whitespace-normal"/>
        <w:numPr>
          <w:ilvl w:val="0"/>
          <w:numId w:val="36"/>
        </w:numPr>
      </w:pPr>
      <w:r>
        <w:rPr>
          <w:rStyle w:val="Fett"/>
        </w:rPr>
        <w:t>Die LXX</w:t>
      </w:r>
      <w:r>
        <w:t xml:space="preserve"> verwendet konsistent </w:t>
      </w:r>
      <w:proofErr w:type="spellStart"/>
      <w:r>
        <w:t>κάρ</w:t>
      </w:r>
      <w:proofErr w:type="spellEnd"/>
      <w:r>
        <w:t>πωμα statt der Feueropfer-Terminologie</w:t>
      </w:r>
    </w:p>
    <w:p w14:paraId="421E678C" w14:textId="77777777" w:rsidR="00577FFB" w:rsidRDefault="00577FFB" w:rsidP="00577FFB">
      <w:pPr>
        <w:pStyle w:val="whitespace-normal"/>
        <w:numPr>
          <w:ilvl w:val="0"/>
          <w:numId w:val="36"/>
        </w:numPr>
      </w:pPr>
      <w:r>
        <w:t>Ritual-Präzisierungen deuten auf liturgische Anpassungen hin</w:t>
      </w:r>
    </w:p>
    <w:p w14:paraId="23773AAE" w14:textId="77777777" w:rsidR="00577FFB" w:rsidRDefault="00577FFB" w:rsidP="00577FFB">
      <w:pPr>
        <w:pStyle w:val="whitespace-normal"/>
        <w:numPr>
          <w:ilvl w:val="0"/>
          <w:numId w:val="36"/>
        </w:numPr>
      </w:pPr>
      <w:r>
        <w:t>Die Kapitelaufteilung zeigt unterschiedliche Textorganisation</w:t>
      </w:r>
    </w:p>
    <w:p w14:paraId="4F1FCE31" w14:textId="0BCA6675" w:rsidR="00577FFB" w:rsidRPr="00B2490C" w:rsidRDefault="00577FFB" w:rsidP="00577FFB">
      <w:pPr>
        <w:pStyle w:val="whitespace-normal"/>
      </w:pPr>
      <w:r>
        <w:rPr>
          <w:rStyle w:val="Fett"/>
        </w:rPr>
        <w:t>Textkritische Besonderheit</w:t>
      </w:r>
      <w:r>
        <w:t>: Die LXX fügt in den letzten Versen (38-40) zusätzliche Bestimmungen über Priesterprivilegien hinzu, die im hebräischen Text nicht erscheinen, was auf erweiterte Überlieferungstraditionen hinweist.</w:t>
      </w:r>
    </w:p>
    <w:p w14:paraId="0F046A8E"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w:t>
      </w:r>
    </w:p>
    <w:p w14:paraId="37787BD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וְזֹ֥את תּוֹרַ֖ת הָאָשָׁ֑ם קֹ֥דֶשׁ קָֽדָשִׁ֖ים הֽוּא׃</w:t>
      </w:r>
    </w:p>
    <w:p w14:paraId="2434A28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dies ist die Torah des Schuldopfers; es ist hochheilig.</w:t>
      </w:r>
    </w:p>
    <w:p w14:paraId="124CF030"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76111B8">
          <v:rect id="_x0000_i1159" style="width:0;height:1.5pt" o:hralign="center" o:hrstd="t" o:hr="t" fillcolor="#a0a0a0" stroked="f"/>
        </w:pict>
      </w:r>
    </w:p>
    <w:p w14:paraId="2CA729A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וְזֹ֥את תּוֹרַ֖ת הָאָשָׁ֑ם</w:t>
      </w:r>
      <w:r w:rsidRPr="00971D84">
        <w:rPr>
          <w:rFonts w:eastAsia="Times New Roman" w:cs="Times New Roman"/>
          <w:rtl/>
          <w:lang w:eastAsia="de-DE"/>
        </w:rPr>
        <w:t xml:space="preserve"> </w:t>
      </w:r>
      <w:r w:rsidRPr="00971D84">
        <w:rPr>
          <w:rFonts w:eastAsia="Times New Roman" w:cs="Times New Roman"/>
          <w:lang w:eastAsia="de-DE"/>
        </w:rPr>
        <w:t xml:space="preserve">(und dies ist die Torah des Schuldopfers) führt die vierte priesterliche </w:t>
      </w:r>
      <w:r w:rsidRPr="00971D84">
        <w:rPr>
          <w:rFonts w:eastAsia="Times New Roman" w:cs="Times New Roman"/>
          <w:b/>
          <w:bCs/>
          <w:rtl/>
          <w:lang w:eastAsia="de-DE"/>
        </w:rPr>
        <w:t>תורה</w:t>
      </w:r>
      <w:r w:rsidRPr="00971D84">
        <w:rPr>
          <w:rFonts w:eastAsia="Times New Roman" w:cs="Times New Roman"/>
          <w:rtl/>
          <w:lang w:eastAsia="de-DE"/>
        </w:rPr>
        <w:t xml:space="preserve"> </w:t>
      </w:r>
      <w:r w:rsidRPr="00971D84">
        <w:rPr>
          <w:rFonts w:eastAsia="Times New Roman" w:cs="Times New Roman"/>
          <w:lang w:eastAsia="de-DE"/>
        </w:rPr>
        <w:t xml:space="preserve">ein, entsprechend dem etablierten Muster der vorherigen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 xml:space="preserve">(6,2.7.18). </w:t>
      </w:r>
      <w:r w:rsidRPr="00971D84">
        <w:rPr>
          <w:rFonts w:eastAsia="Times New Roman" w:cs="Times New Roman"/>
          <w:b/>
          <w:bCs/>
          <w:rtl/>
          <w:lang w:eastAsia="de-DE"/>
        </w:rPr>
        <w:t>קֹ֥דֶשׁ קָֽדָשִׁ֖ים הֽוּא</w:t>
      </w:r>
      <w:r w:rsidRPr="00971D84">
        <w:rPr>
          <w:rFonts w:eastAsia="Times New Roman" w:cs="Times New Roman"/>
          <w:rtl/>
          <w:lang w:eastAsia="de-DE"/>
        </w:rPr>
        <w:t xml:space="preserve"> </w:t>
      </w:r>
      <w:r w:rsidRPr="00971D84">
        <w:rPr>
          <w:rFonts w:eastAsia="Times New Roman" w:cs="Times New Roman"/>
          <w:lang w:eastAsia="de-DE"/>
        </w:rPr>
        <w:t xml:space="preserve">(hochheilig ist es) klassifiziert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sofort als </w:t>
      </w:r>
      <w:r w:rsidRPr="00971D84">
        <w:rPr>
          <w:rFonts w:eastAsia="Times New Roman" w:cs="Times New Roman"/>
          <w:b/>
          <w:bCs/>
          <w:rtl/>
          <w:lang w:eastAsia="de-DE"/>
        </w:rPr>
        <w:t>קדש קדשים</w:t>
      </w:r>
      <w:r w:rsidRPr="00971D84">
        <w:rPr>
          <w:rFonts w:eastAsia="Times New Roman" w:cs="Times New Roman"/>
          <w:lang w:eastAsia="de-DE"/>
        </w:rPr>
        <w:t xml:space="preserve">, parallel zu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(6,18) und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(6,10).</w:t>
      </w:r>
    </w:p>
    <w:p w14:paraId="23F662DC" w14:textId="0A9BC5C4" w:rsid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תורת האשם</w:t>
      </w:r>
      <w:r w:rsidRPr="00971D84">
        <w:rPr>
          <w:rFonts w:eastAsia="Times New Roman" w:cs="Times New Roman"/>
          <w:rtl/>
          <w:lang w:eastAsia="de-DE"/>
        </w:rPr>
        <w:t xml:space="preserve"> </w:t>
      </w:r>
      <w:r w:rsidRPr="00971D84">
        <w:rPr>
          <w:rFonts w:eastAsia="Times New Roman" w:cs="Times New Roman"/>
          <w:lang w:eastAsia="de-DE"/>
        </w:rPr>
        <w:t xml:space="preserve">(Torah des Schuldopfers) vervollständigt die priesterlichen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 xml:space="preserve">der Hauptopferarten. Die unmittelbare </w:t>
      </w:r>
      <w:r w:rsidRPr="00971D84">
        <w:rPr>
          <w:rFonts w:eastAsia="Times New Roman" w:cs="Times New Roman"/>
          <w:b/>
          <w:bCs/>
          <w:rtl/>
          <w:lang w:eastAsia="de-DE"/>
        </w:rPr>
        <w:t>קדש קדשים</w:t>
      </w:r>
      <w:r w:rsidRPr="00971D84">
        <w:rPr>
          <w:rFonts w:eastAsia="Times New Roman" w:cs="Times New Roman"/>
          <w:lang w:eastAsia="de-DE"/>
        </w:rPr>
        <w:t xml:space="preserve">-Klassifikation zeigt die identische Heiligkeitsstufe von </w:t>
      </w:r>
      <w:r w:rsidRPr="00971D84">
        <w:rPr>
          <w:rFonts w:eastAsia="Times New Roman" w:cs="Times New Roman"/>
          <w:b/>
          <w:bCs/>
          <w:rtl/>
          <w:lang w:eastAsia="de-DE"/>
        </w:rPr>
        <w:t>אשם</w:t>
      </w:r>
      <w:r w:rsidRPr="00971D84">
        <w:rPr>
          <w:rFonts w:eastAsia="Times New Roman" w:cs="Times New Roman"/>
          <w:lang w:eastAsia="de-DE"/>
        </w:rPr>
        <w:t xml:space="preserve">,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מנחה</w:t>
      </w:r>
      <w:r w:rsidRPr="00971D84">
        <w:rPr>
          <w:rFonts w:eastAsia="Times New Roman" w:cs="Times New Roman"/>
          <w:lang w:eastAsia="de-DE"/>
        </w:rPr>
        <w:t>.</w:t>
      </w:r>
    </w:p>
    <w:p w14:paraId="1AC1B5C9" w14:textId="77777777" w:rsidR="00E0257E" w:rsidRDefault="00E0257E" w:rsidP="00E0257E">
      <w:pPr>
        <w:pStyle w:val="whitespace-normal"/>
      </w:pPr>
      <w:r>
        <w:rPr>
          <w:rStyle w:val="Fett"/>
        </w:rPr>
        <w:lastRenderedPageBreak/>
        <w:t>Strukturelle Abweichung</w:t>
      </w:r>
      <w:r>
        <w:t xml:space="preserve">: </w:t>
      </w:r>
      <w:r>
        <w:rPr>
          <w:rStyle w:val="Fett"/>
        </w:rPr>
        <w:t>Die LXX</w:t>
      </w:r>
      <w:r>
        <w:t xml:space="preserve"> beginnt Kapitel 7 direkt mit den Friedensopfergesetzen, während der hebräische Text mit dem Schuldopfergesetz beginnt. Dies zeigt eine fundamental andere Kapitelorganisation.</w:t>
      </w:r>
    </w:p>
    <w:p w14:paraId="14FEA568" w14:textId="1414DCD5" w:rsidR="00E0257E" w:rsidRPr="00971D84" w:rsidRDefault="00E0257E" w:rsidP="00E0257E">
      <w:pPr>
        <w:pStyle w:val="whitespace-normal"/>
      </w:pPr>
      <w:r>
        <w:rPr>
          <w:rStyle w:val="Fett"/>
        </w:rPr>
        <w:t>Fehlende Schuldopfergesetze</w:t>
      </w:r>
      <w:r>
        <w:t xml:space="preserve">: </w:t>
      </w:r>
      <w:r>
        <w:rPr>
          <w:rStyle w:val="Fett"/>
        </w:rPr>
        <w:t>Die LXX</w:t>
      </w:r>
      <w:r>
        <w:t xml:space="preserve"> überspringt die hebräischen Verse 1-10 (Schuldopfergesetze) vollständig und beginnt sofort mit Vers 11 (Friedensopfer).</w:t>
      </w:r>
    </w:p>
    <w:p w14:paraId="3E3B4E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תּוֹרַ֖ת הָאָשָׁ֑ם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νόμος</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ερὶ</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λημμελεί</w:t>
      </w:r>
      <w:proofErr w:type="spellEnd"/>
      <w:r w:rsidRPr="00971D84">
        <w:rPr>
          <w:rFonts w:eastAsia="Times New Roman" w:cs="Times New Roman"/>
          <w:lang w:eastAsia="de-DE"/>
        </w:rPr>
        <w:t xml:space="preserve">ας (Gesetz bezüglich Verfehlung) und </w:t>
      </w:r>
      <w:r w:rsidRPr="00971D84">
        <w:rPr>
          <w:rFonts w:eastAsia="Times New Roman" w:cs="Times New Roman"/>
          <w:b/>
          <w:bCs/>
          <w:rtl/>
          <w:lang w:eastAsia="de-DE"/>
        </w:rPr>
        <w:t>קֹ֥דֶשׁ קָֽדָשִׁ֖ים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ἅγι</w:t>
      </w:r>
      <w:proofErr w:type="spellEnd"/>
      <w:r w:rsidRPr="00971D84">
        <w:rPr>
          <w:rFonts w:eastAsia="Times New Roman" w:cs="Times New Roman"/>
          <w:lang w:eastAsia="de-DE"/>
        </w:rPr>
        <w:t xml:space="preserve">α </w:t>
      </w:r>
      <w:proofErr w:type="spellStart"/>
      <w:r w:rsidRPr="00971D84">
        <w:rPr>
          <w:rFonts w:eastAsia="Times New Roman" w:cs="Times New Roman"/>
          <w:lang w:eastAsia="de-DE"/>
        </w:rPr>
        <w:t>ἁγίων</w:t>
      </w:r>
      <w:proofErr w:type="spellEnd"/>
      <w:r w:rsidRPr="00971D84">
        <w:rPr>
          <w:rFonts w:eastAsia="Times New Roman" w:cs="Times New Roman"/>
          <w:lang w:eastAsia="de-DE"/>
        </w:rPr>
        <w:t xml:space="preserve"> (heilige der heiligen).</w:t>
      </w:r>
    </w:p>
    <w:p w14:paraId="04383C5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leitet die </w:t>
      </w:r>
      <w:r w:rsidRPr="00971D84">
        <w:rPr>
          <w:rFonts w:eastAsia="Times New Roman" w:cs="Times New Roman"/>
          <w:b/>
          <w:bCs/>
          <w:rtl/>
          <w:lang w:eastAsia="de-DE"/>
        </w:rPr>
        <w:t>תורת האשם</w:t>
      </w:r>
      <w:r w:rsidRPr="00971D84">
        <w:rPr>
          <w:rFonts w:eastAsia="Times New Roman" w:cs="Times New Roman"/>
          <w:rtl/>
          <w:lang w:eastAsia="de-DE"/>
        </w:rPr>
        <w:t xml:space="preserve"> </w:t>
      </w:r>
      <w:r w:rsidRPr="00971D84">
        <w:rPr>
          <w:rFonts w:eastAsia="Times New Roman" w:cs="Times New Roman"/>
          <w:lang w:eastAsia="de-DE"/>
        </w:rPr>
        <w:t xml:space="preserve">mit der charakteristischen </w:t>
      </w:r>
      <w:r w:rsidRPr="00971D84">
        <w:rPr>
          <w:rFonts w:eastAsia="Times New Roman" w:cs="Times New Roman"/>
          <w:b/>
          <w:bCs/>
          <w:rtl/>
          <w:lang w:eastAsia="de-DE"/>
        </w:rPr>
        <w:t>קדש קדשים</w:t>
      </w:r>
      <w:r w:rsidRPr="00971D84">
        <w:rPr>
          <w:rFonts w:eastAsia="Times New Roman" w:cs="Times New Roman"/>
          <w:lang w:eastAsia="de-DE"/>
        </w:rPr>
        <w:t>-Klassifikation ein.</w:t>
      </w:r>
    </w:p>
    <w:p w14:paraId="7C6F90F2"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w:t>
      </w:r>
    </w:p>
    <w:p w14:paraId="5F188EB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בִּמְק֗וֹם אֲשֶׁ֤ר יִשְׁחֲטוּ֙ אֶת־הָ֣עֹלָ֔ה יִשְׁחֲט֖וּ אֶת־הָאָשָׁ֑ם וְאֶת־דָּמֹ֛ו יִזְרֹ֥ק עַל־הַמִּזְבֵּ֖חַ סָבִֽיב׃</w:t>
      </w:r>
    </w:p>
    <w:p w14:paraId="4C281DF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An dem Ort, wo man das Aufsteigeopfer schlachtet, soll man das Schuldopfer schlachten; und sein Blut soll an den Altar spritzen ringsum.</w:t>
      </w:r>
    </w:p>
    <w:p w14:paraId="3A12162C"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1F1A525">
          <v:rect id="_x0000_i1160" style="width:0;height:1.5pt" o:hralign="center" o:hrstd="t" o:hr="t" fillcolor="#a0a0a0" stroked="f"/>
        </w:pict>
      </w:r>
    </w:p>
    <w:p w14:paraId="62E96B7A" w14:textId="276B6C80"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בִּמְק֗וֹם אֲשֶׁ֤ר יִשְׁחֲטוּ֙ אֶת־הָ֣עֹלָ֔ה יִשְׁחֲט֖וּ אֶת־הָאָשָׁ֑ם</w:t>
      </w:r>
      <w:r w:rsidRPr="00971D84">
        <w:rPr>
          <w:rFonts w:eastAsia="Times New Roman" w:cs="Times New Roman"/>
          <w:rtl/>
          <w:lang w:eastAsia="de-DE"/>
        </w:rPr>
        <w:t xml:space="preserve"> </w:t>
      </w:r>
      <w:r w:rsidRPr="00971D84">
        <w:rPr>
          <w:rFonts w:eastAsia="Times New Roman" w:cs="Times New Roman"/>
          <w:lang w:eastAsia="de-DE"/>
        </w:rPr>
        <w:t xml:space="preserve">(an dem Ort, wo man das </w:t>
      </w:r>
      <w:r w:rsidR="00CF10E7">
        <w:rPr>
          <w:rFonts w:eastAsia="Times New Roman" w:cs="Times New Roman"/>
          <w:lang w:eastAsia="de-DE"/>
        </w:rPr>
        <w:t>Aufsteigeopfer</w:t>
      </w:r>
      <w:r w:rsidRPr="00971D84">
        <w:rPr>
          <w:rFonts w:eastAsia="Times New Roman" w:cs="Times New Roman"/>
          <w:lang w:eastAsia="de-DE"/>
        </w:rPr>
        <w:t xml:space="preserve"> schlachtet, soll man das Schuldopfer schlachten) entspricht exakt 6,18 für </w:t>
      </w:r>
      <w:r w:rsidRPr="00971D84">
        <w:rPr>
          <w:rFonts w:eastAsia="Times New Roman" w:cs="Times New Roman"/>
          <w:b/>
          <w:bCs/>
          <w:rtl/>
          <w:lang w:eastAsia="de-DE"/>
        </w:rPr>
        <w:t>חטאת</w:t>
      </w:r>
      <w:r w:rsidRPr="00971D84">
        <w:rPr>
          <w:rFonts w:eastAsia="Times New Roman" w:cs="Times New Roman"/>
          <w:lang w:eastAsia="de-DE"/>
        </w:rPr>
        <w:t xml:space="preserve">. </w:t>
      </w:r>
      <w:r w:rsidRPr="00971D84">
        <w:rPr>
          <w:rFonts w:eastAsia="Times New Roman" w:cs="Times New Roman"/>
          <w:b/>
          <w:bCs/>
          <w:rtl/>
          <w:lang w:eastAsia="de-DE"/>
        </w:rPr>
        <w:t>במקום אשר ישחטו את־העלה</w:t>
      </w:r>
      <w:r w:rsidRPr="00971D84">
        <w:rPr>
          <w:rFonts w:eastAsia="Times New Roman" w:cs="Times New Roman"/>
          <w:rtl/>
          <w:lang w:eastAsia="de-DE"/>
        </w:rPr>
        <w:t xml:space="preserve"> </w:t>
      </w:r>
      <w:r w:rsidRPr="00971D84">
        <w:rPr>
          <w:rFonts w:eastAsia="Times New Roman" w:cs="Times New Roman"/>
          <w:lang w:eastAsia="de-DE"/>
        </w:rPr>
        <w:t xml:space="preserve">(an dem Ort, wo man das </w:t>
      </w:r>
      <w:r w:rsidR="00CF10E7">
        <w:rPr>
          <w:rFonts w:eastAsia="Times New Roman" w:cs="Times New Roman"/>
          <w:lang w:eastAsia="de-DE"/>
        </w:rPr>
        <w:t>Aufsteigeopfer</w:t>
      </w:r>
      <w:r w:rsidRPr="00971D84">
        <w:rPr>
          <w:rFonts w:eastAsia="Times New Roman" w:cs="Times New Roman"/>
          <w:lang w:eastAsia="de-DE"/>
        </w:rPr>
        <w:t xml:space="preserve"> schlachtet), </w:t>
      </w:r>
      <w:r w:rsidRPr="00971D84">
        <w:rPr>
          <w:rFonts w:eastAsia="Times New Roman" w:cs="Times New Roman"/>
          <w:b/>
          <w:bCs/>
          <w:rtl/>
          <w:lang w:eastAsia="de-DE"/>
        </w:rPr>
        <w:t>ישחטו את־האשם</w:t>
      </w:r>
      <w:r w:rsidRPr="00971D84">
        <w:rPr>
          <w:rFonts w:eastAsia="Times New Roman" w:cs="Times New Roman"/>
          <w:rtl/>
          <w:lang w:eastAsia="de-DE"/>
        </w:rPr>
        <w:t xml:space="preserve"> </w:t>
      </w:r>
      <w:r w:rsidRPr="00971D84">
        <w:rPr>
          <w:rFonts w:eastAsia="Times New Roman" w:cs="Times New Roman"/>
          <w:lang w:eastAsia="de-DE"/>
        </w:rPr>
        <w:t>(soll man das Schuldopfer schlachten) - beide im unpersönlichen Plural.</w:t>
      </w:r>
    </w:p>
    <w:p w14:paraId="2FCD0AD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וְאֶת־דָּמֹ֛ו יִזְרֹ֥ק עַל־הַמִּזְבֵּ֖חַ סָבִֽיב</w:t>
      </w:r>
      <w:r w:rsidRPr="00971D84">
        <w:rPr>
          <w:rFonts w:eastAsia="Times New Roman" w:cs="Times New Roman"/>
          <w:rtl/>
          <w:lang w:eastAsia="de-DE"/>
        </w:rPr>
        <w:t xml:space="preserve"> </w:t>
      </w:r>
      <w:r w:rsidRPr="00971D84">
        <w:rPr>
          <w:rFonts w:eastAsia="Times New Roman" w:cs="Times New Roman"/>
          <w:lang w:eastAsia="de-DE"/>
        </w:rPr>
        <w:t xml:space="preserve">(und sein Blut soll er an den Altar ringsum sprengen) entspricht den </w:t>
      </w:r>
      <w:r w:rsidRPr="00971D84">
        <w:rPr>
          <w:rFonts w:eastAsia="Times New Roman" w:cs="Times New Roman"/>
          <w:b/>
          <w:bCs/>
          <w:rtl/>
          <w:lang w:eastAsia="de-DE"/>
        </w:rPr>
        <w:t>שלמים</w:t>
      </w:r>
      <w:r w:rsidRPr="00971D84">
        <w:rPr>
          <w:rFonts w:eastAsia="Times New Roman" w:cs="Times New Roman"/>
          <w:lang w:eastAsia="de-DE"/>
        </w:rPr>
        <w:t xml:space="preserve">-Bestimmungen (3,2.8.13) und unterscheidet sich von </w:t>
      </w:r>
      <w:r w:rsidRPr="00971D84">
        <w:rPr>
          <w:rFonts w:eastAsia="Times New Roman" w:cs="Times New Roman"/>
          <w:b/>
          <w:bCs/>
          <w:rtl/>
          <w:lang w:eastAsia="de-DE"/>
        </w:rPr>
        <w:t>חטאת</w:t>
      </w:r>
      <w:r w:rsidRPr="00971D84">
        <w:rPr>
          <w:rFonts w:eastAsia="Times New Roman" w:cs="Times New Roman"/>
          <w:lang w:eastAsia="de-DE"/>
        </w:rPr>
        <w:t xml:space="preserve">, wo Blut an die Altarhörner gesetzt wird. </w:t>
      </w:r>
      <w:r w:rsidRPr="00971D84">
        <w:rPr>
          <w:rFonts w:eastAsia="Times New Roman" w:cs="Times New Roman"/>
          <w:b/>
          <w:bCs/>
          <w:rtl/>
          <w:lang w:eastAsia="de-DE"/>
        </w:rPr>
        <w:t>ואת־דמו יזרק על־המזבח סביב</w:t>
      </w:r>
      <w:r w:rsidRPr="00971D84">
        <w:rPr>
          <w:rFonts w:eastAsia="Times New Roman" w:cs="Times New Roman"/>
          <w:rtl/>
          <w:lang w:eastAsia="de-DE"/>
        </w:rPr>
        <w:t xml:space="preserve"> </w:t>
      </w:r>
      <w:r w:rsidRPr="00971D84">
        <w:rPr>
          <w:rFonts w:eastAsia="Times New Roman" w:cs="Times New Roman"/>
          <w:lang w:eastAsia="de-DE"/>
        </w:rPr>
        <w:t>(und sein Blut soll er an den Altar ringsum sprengen).</w:t>
      </w:r>
    </w:p>
    <w:p w14:paraId="682522E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במקום אשר ישחטו את־העלה</w:t>
      </w:r>
      <w:r w:rsidRPr="00971D84">
        <w:rPr>
          <w:rFonts w:eastAsia="Times New Roman" w:cs="Times New Roman"/>
          <w:rtl/>
          <w:lang w:eastAsia="de-DE"/>
        </w:rPr>
        <w:t xml:space="preserve"> </w:t>
      </w:r>
      <w:r w:rsidRPr="00971D84">
        <w:rPr>
          <w:rFonts w:eastAsia="Times New Roman" w:cs="Times New Roman"/>
          <w:lang w:eastAsia="de-DE"/>
        </w:rPr>
        <w:t xml:space="preserve">identifiziert den </w:t>
      </w:r>
      <w:r w:rsidRPr="00971D84">
        <w:rPr>
          <w:rFonts w:eastAsia="Times New Roman" w:cs="Times New Roman"/>
          <w:b/>
          <w:bCs/>
          <w:rtl/>
          <w:lang w:eastAsia="de-DE"/>
        </w:rPr>
        <w:t>אשם</w:t>
      </w:r>
      <w:r w:rsidRPr="00971D84">
        <w:rPr>
          <w:rFonts w:eastAsia="Times New Roman" w:cs="Times New Roman"/>
          <w:lang w:eastAsia="de-DE"/>
        </w:rPr>
        <w:t xml:space="preserve">-Schlachtort mit </w:t>
      </w:r>
      <w:r w:rsidRPr="00971D84">
        <w:rPr>
          <w:rFonts w:eastAsia="Times New Roman" w:cs="Times New Roman"/>
          <w:b/>
          <w:bCs/>
          <w:rtl/>
          <w:lang w:eastAsia="de-DE"/>
        </w:rPr>
        <w:t>עלה</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חטאת</w:t>
      </w:r>
      <w:r w:rsidRPr="00971D84">
        <w:rPr>
          <w:rFonts w:eastAsia="Times New Roman" w:cs="Times New Roman"/>
          <w:lang w:eastAsia="de-DE"/>
        </w:rPr>
        <w:t xml:space="preserve">: die Nordseite des Altars (1,11). </w:t>
      </w:r>
      <w:r w:rsidRPr="00971D84">
        <w:rPr>
          <w:rFonts w:eastAsia="Times New Roman" w:cs="Times New Roman"/>
          <w:b/>
          <w:bCs/>
          <w:rtl/>
          <w:lang w:eastAsia="de-DE"/>
        </w:rPr>
        <w:t>יזרק...סביב</w:t>
      </w:r>
      <w:r w:rsidRPr="00971D84">
        <w:rPr>
          <w:rFonts w:eastAsia="Times New Roman" w:cs="Times New Roman"/>
          <w:rtl/>
          <w:lang w:eastAsia="de-DE"/>
        </w:rPr>
        <w:t xml:space="preserve"> </w:t>
      </w:r>
      <w:r w:rsidRPr="00971D84">
        <w:rPr>
          <w:rFonts w:eastAsia="Times New Roman" w:cs="Times New Roman"/>
          <w:lang w:eastAsia="de-DE"/>
        </w:rPr>
        <w:t xml:space="preserve">(sprengen...ringsum) zeigt </w:t>
      </w:r>
      <w:r w:rsidRPr="00971D84">
        <w:rPr>
          <w:rFonts w:eastAsia="Times New Roman" w:cs="Times New Roman"/>
          <w:b/>
          <w:bCs/>
          <w:rtl/>
          <w:lang w:eastAsia="de-DE"/>
        </w:rPr>
        <w:t>זרק</w:t>
      </w:r>
      <w:r w:rsidRPr="00971D84">
        <w:rPr>
          <w:rFonts w:eastAsia="Times New Roman" w:cs="Times New Roman"/>
          <w:rtl/>
          <w:lang w:eastAsia="de-DE"/>
        </w:rPr>
        <w:t xml:space="preserve"> </w:t>
      </w:r>
      <w:r w:rsidRPr="00971D84">
        <w:rPr>
          <w:rFonts w:eastAsia="Times New Roman" w:cs="Times New Roman"/>
          <w:lang w:eastAsia="de-DE"/>
        </w:rPr>
        <w:t xml:space="preserve">(sprengen) statt </w:t>
      </w:r>
      <w:r w:rsidRPr="00971D84">
        <w:rPr>
          <w:rFonts w:eastAsia="Times New Roman" w:cs="Times New Roman"/>
          <w:b/>
          <w:bCs/>
          <w:rtl/>
          <w:lang w:eastAsia="de-DE"/>
        </w:rPr>
        <w:t>נתן</w:t>
      </w:r>
      <w:r w:rsidRPr="00971D84">
        <w:rPr>
          <w:rFonts w:eastAsia="Times New Roman" w:cs="Times New Roman"/>
          <w:rtl/>
          <w:lang w:eastAsia="de-DE"/>
        </w:rPr>
        <w:t xml:space="preserve"> </w:t>
      </w:r>
      <w:r w:rsidRPr="00971D84">
        <w:rPr>
          <w:rFonts w:eastAsia="Times New Roman" w:cs="Times New Roman"/>
          <w:lang w:eastAsia="de-DE"/>
        </w:rPr>
        <w:t xml:space="preserve">(setzen) wie bei </w:t>
      </w:r>
      <w:r w:rsidRPr="00971D84">
        <w:rPr>
          <w:rFonts w:eastAsia="Times New Roman" w:cs="Times New Roman"/>
          <w:b/>
          <w:bCs/>
          <w:rtl/>
          <w:lang w:eastAsia="de-DE"/>
        </w:rPr>
        <w:t>חטאת</w:t>
      </w:r>
      <w:r w:rsidRPr="00971D84">
        <w:rPr>
          <w:rFonts w:eastAsia="Times New Roman" w:cs="Times New Roman"/>
          <w:lang w:eastAsia="de-DE"/>
        </w:rPr>
        <w:t>.</w:t>
      </w:r>
    </w:p>
    <w:p w14:paraId="73B816F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יִשְׁחֲטוּ֙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σφάξουσιν</w:t>
      </w:r>
      <w:proofErr w:type="spellEnd"/>
      <w:r w:rsidRPr="00971D84">
        <w:rPr>
          <w:rFonts w:eastAsia="Times New Roman" w:cs="Times New Roman"/>
          <w:lang w:eastAsia="de-DE"/>
        </w:rPr>
        <w:t xml:space="preserve"> (sie sollen schlachten), </w:t>
      </w:r>
      <w:r w:rsidRPr="00971D84">
        <w:rPr>
          <w:rFonts w:eastAsia="Times New Roman" w:cs="Times New Roman"/>
          <w:b/>
          <w:bCs/>
          <w:rtl/>
          <w:lang w:eastAsia="de-DE"/>
        </w:rPr>
        <w:t>יִשְׁחֲט֖וּ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σφ</w:t>
      </w:r>
      <w:proofErr w:type="spellEnd"/>
      <w:r w:rsidRPr="00971D84">
        <w:rPr>
          <w:rFonts w:eastAsia="Times New Roman" w:cs="Times New Roman"/>
          <w:lang w:eastAsia="de-DE"/>
        </w:rPr>
        <w:t xml:space="preserve">αγήσεται (es soll geschlachtet werden) und </w:t>
      </w:r>
      <w:r w:rsidRPr="00971D84">
        <w:rPr>
          <w:rFonts w:eastAsia="Times New Roman" w:cs="Times New Roman"/>
          <w:b/>
          <w:bCs/>
          <w:rtl/>
          <w:lang w:eastAsia="de-DE"/>
        </w:rPr>
        <w:t>יִזְרֹ֥ק</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ροσχεεῖ</w:t>
      </w:r>
      <w:proofErr w:type="spellEnd"/>
      <w:r w:rsidRPr="00971D84">
        <w:rPr>
          <w:rFonts w:eastAsia="Times New Roman" w:cs="Times New Roman"/>
          <w:lang w:eastAsia="de-DE"/>
        </w:rPr>
        <w:t xml:space="preserve"> (er soll hingießen).</w:t>
      </w:r>
    </w:p>
    <w:p w14:paraId="7855B38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Ortsbestimmung + Blutverfahren: Ortsanalogie + Blutverfahren. Die Struktur verbindet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mit </w:t>
      </w:r>
      <w:r w:rsidRPr="00971D84">
        <w:rPr>
          <w:rFonts w:eastAsia="Times New Roman" w:cs="Times New Roman"/>
          <w:b/>
          <w:bCs/>
          <w:rtl/>
          <w:lang w:eastAsia="de-DE"/>
        </w:rPr>
        <w:t>עלה</w:t>
      </w:r>
      <w:r w:rsidRPr="00971D84">
        <w:rPr>
          <w:rFonts w:eastAsia="Times New Roman" w:cs="Times New Roman"/>
          <w:lang w:eastAsia="de-DE"/>
        </w:rPr>
        <w:t xml:space="preserve">-Schlachtort aber </w:t>
      </w:r>
      <w:r w:rsidRPr="00971D84">
        <w:rPr>
          <w:rFonts w:eastAsia="Times New Roman" w:cs="Times New Roman"/>
          <w:b/>
          <w:bCs/>
          <w:rtl/>
          <w:lang w:eastAsia="de-DE"/>
        </w:rPr>
        <w:t>שלמים</w:t>
      </w:r>
      <w:r w:rsidRPr="00971D84">
        <w:rPr>
          <w:rFonts w:eastAsia="Times New Roman" w:cs="Times New Roman"/>
          <w:lang w:eastAsia="de-DE"/>
        </w:rPr>
        <w:t>-Blutverfahren.</w:t>
      </w:r>
    </w:p>
    <w:p w14:paraId="0AD646D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Schlachtort (wie </w:t>
      </w:r>
      <w:r w:rsidRPr="00971D84">
        <w:rPr>
          <w:rFonts w:eastAsia="Times New Roman" w:cs="Times New Roman"/>
          <w:b/>
          <w:bCs/>
          <w:rtl/>
          <w:lang w:eastAsia="de-DE"/>
        </w:rPr>
        <w:t>עלה</w:t>
      </w:r>
      <w:r w:rsidRPr="00971D84">
        <w:rPr>
          <w:rFonts w:eastAsia="Times New Roman" w:cs="Times New Roman"/>
          <w:lang w:eastAsia="de-DE"/>
        </w:rPr>
        <w:t>/</w:t>
      </w:r>
      <w:r w:rsidRPr="00971D84">
        <w:rPr>
          <w:rFonts w:eastAsia="Times New Roman" w:cs="Times New Roman"/>
          <w:b/>
          <w:bCs/>
          <w:rtl/>
          <w:lang w:eastAsia="de-DE"/>
        </w:rPr>
        <w:t>חטאת</w:t>
      </w:r>
      <w:r w:rsidRPr="00971D84">
        <w:rPr>
          <w:rFonts w:eastAsia="Times New Roman" w:cs="Times New Roman"/>
          <w:lang w:eastAsia="de-DE"/>
        </w:rPr>
        <w:t xml:space="preserve">) und Blutverfahren (wie </w:t>
      </w:r>
      <w:r w:rsidRPr="00971D84">
        <w:rPr>
          <w:rFonts w:eastAsia="Times New Roman" w:cs="Times New Roman"/>
          <w:b/>
          <w:bCs/>
          <w:rtl/>
          <w:lang w:eastAsia="de-DE"/>
        </w:rPr>
        <w:t>שלמים</w:t>
      </w:r>
      <w:r w:rsidRPr="00971D84">
        <w:rPr>
          <w:rFonts w:eastAsia="Times New Roman" w:cs="Times New Roman"/>
          <w:lang w:eastAsia="de-DE"/>
        </w:rPr>
        <w:t xml:space="preserve">) für </w:t>
      </w:r>
      <w:r w:rsidRPr="00971D84">
        <w:rPr>
          <w:rFonts w:eastAsia="Times New Roman" w:cs="Times New Roman"/>
          <w:b/>
          <w:bCs/>
          <w:rtl/>
          <w:lang w:eastAsia="de-DE"/>
        </w:rPr>
        <w:t>אשם</w:t>
      </w:r>
      <w:r w:rsidRPr="00971D84">
        <w:rPr>
          <w:rFonts w:eastAsia="Times New Roman" w:cs="Times New Roman"/>
          <w:lang w:eastAsia="de-DE"/>
        </w:rPr>
        <w:t>.</w:t>
      </w:r>
    </w:p>
    <w:p w14:paraId="5968BAD6"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w:t>
      </w:r>
    </w:p>
    <w:p w14:paraId="21D492F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וְאֵ֥ת כָּל־חֶלְבֹּ֖ו יַקְרִ֣יב מִמֶּ֑נּוּ אֵ֚ת הָֽאַלְיָ֔ה וְאֶת־הַחֵ֖לֶב הַֽמְכַסֶּ֥ה אֶת־הַקֶּֽרֶב׃</w:t>
      </w:r>
    </w:p>
    <w:p w14:paraId="7315C9F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alles Fett soll er davon darbringen: den Fettschwanz und das Fett, welches das Eingeweide bedeckt,</w:t>
      </w:r>
    </w:p>
    <w:p w14:paraId="25F10AB4"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lastRenderedPageBreak/>
        <w:pict w14:anchorId="0E596C76">
          <v:rect id="_x0000_i1161" style="width:0;height:1.5pt" o:hralign="center" o:hrstd="t" o:hr="t" fillcolor="#a0a0a0" stroked="f"/>
        </w:pict>
      </w:r>
    </w:p>
    <w:p w14:paraId="2B34617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וְאֵ֥ת כָּל־חֶלְבֹּ֖ו יַקְרִ֣יב מִמֶּ֑נּוּ</w:t>
      </w:r>
      <w:r w:rsidRPr="00971D84">
        <w:rPr>
          <w:rFonts w:eastAsia="Times New Roman" w:cs="Times New Roman"/>
          <w:rtl/>
          <w:lang w:eastAsia="de-DE"/>
        </w:rPr>
        <w:t xml:space="preserve"> </w:t>
      </w:r>
      <w:r w:rsidRPr="00971D84">
        <w:rPr>
          <w:rFonts w:eastAsia="Times New Roman" w:cs="Times New Roman"/>
          <w:lang w:eastAsia="de-DE"/>
        </w:rPr>
        <w:t xml:space="preserve">(und all sein Fett soll er davon darbringen) entspricht den </w:t>
      </w:r>
      <w:r w:rsidRPr="00971D84">
        <w:rPr>
          <w:rFonts w:eastAsia="Times New Roman" w:cs="Times New Roman"/>
          <w:b/>
          <w:bCs/>
          <w:rtl/>
          <w:lang w:eastAsia="de-DE"/>
        </w:rPr>
        <w:t>שלמים</w:t>
      </w:r>
      <w:r w:rsidRPr="00971D84">
        <w:rPr>
          <w:rFonts w:eastAsia="Times New Roman" w:cs="Times New Roman"/>
          <w:lang w:eastAsia="de-DE"/>
        </w:rPr>
        <w:t xml:space="preserve">-Bestimmungen von Kapitel 3. </w:t>
      </w:r>
      <w:r w:rsidRPr="00971D84">
        <w:rPr>
          <w:rFonts w:eastAsia="Times New Roman" w:cs="Times New Roman"/>
          <w:b/>
          <w:bCs/>
          <w:rtl/>
          <w:lang w:eastAsia="de-DE"/>
        </w:rPr>
        <w:t>ואת כל־חלבו יקריב ממנו</w:t>
      </w:r>
      <w:r w:rsidRPr="00971D84">
        <w:rPr>
          <w:rFonts w:eastAsia="Times New Roman" w:cs="Times New Roman"/>
          <w:rtl/>
          <w:lang w:eastAsia="de-DE"/>
        </w:rPr>
        <w:t xml:space="preserve"> </w:t>
      </w:r>
      <w:r w:rsidRPr="00971D84">
        <w:rPr>
          <w:rFonts w:eastAsia="Times New Roman" w:cs="Times New Roman"/>
          <w:lang w:eastAsia="de-DE"/>
        </w:rPr>
        <w:t>(und all sein Fett soll er davon darbringen).</w:t>
      </w:r>
    </w:p>
    <w:p w14:paraId="138B4C4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אֵ֚ת הָֽאַלְיָ֔ה וְאֶת־הַחֵ֖לֶב הַֽמְכַסֶּ֥ה אֶת־הַקֶּֽרֶב</w:t>
      </w:r>
      <w:r w:rsidRPr="00971D84">
        <w:rPr>
          <w:rFonts w:eastAsia="Times New Roman" w:cs="Times New Roman"/>
          <w:rtl/>
          <w:lang w:eastAsia="de-DE"/>
        </w:rPr>
        <w:t xml:space="preserve"> </w:t>
      </w:r>
      <w:r w:rsidRPr="00971D84">
        <w:rPr>
          <w:rFonts w:eastAsia="Times New Roman" w:cs="Times New Roman"/>
          <w:lang w:eastAsia="de-DE"/>
        </w:rPr>
        <w:t>(den Fettschwanz und das Fett, das das Eingeweide bedeckt) entspricht 3,9 für Schaf-</w:t>
      </w:r>
      <w:r w:rsidRPr="00971D84">
        <w:rPr>
          <w:rFonts w:eastAsia="Times New Roman" w:cs="Times New Roman"/>
          <w:b/>
          <w:bCs/>
          <w:rtl/>
          <w:lang w:eastAsia="de-DE"/>
        </w:rPr>
        <w:t>שלמים</w:t>
      </w:r>
      <w:r w:rsidRPr="00971D84">
        <w:rPr>
          <w:rFonts w:eastAsia="Times New Roman" w:cs="Times New Roman"/>
          <w:lang w:eastAsia="de-DE"/>
        </w:rPr>
        <w:t xml:space="preserve">. </w:t>
      </w:r>
      <w:r w:rsidRPr="00971D84">
        <w:rPr>
          <w:rFonts w:eastAsia="Times New Roman" w:cs="Times New Roman"/>
          <w:b/>
          <w:bCs/>
          <w:rtl/>
          <w:lang w:eastAsia="de-DE"/>
        </w:rPr>
        <w:t>את האליה</w:t>
      </w:r>
      <w:r w:rsidRPr="00971D84">
        <w:rPr>
          <w:rFonts w:eastAsia="Times New Roman" w:cs="Times New Roman"/>
          <w:rtl/>
          <w:lang w:eastAsia="de-DE"/>
        </w:rPr>
        <w:t xml:space="preserve"> </w:t>
      </w:r>
      <w:r w:rsidRPr="00971D84">
        <w:rPr>
          <w:rFonts w:eastAsia="Times New Roman" w:cs="Times New Roman"/>
          <w:lang w:eastAsia="de-DE"/>
        </w:rPr>
        <w:t xml:space="preserve">(den Fettschwanz) nur bei Schafen, </w:t>
      </w:r>
      <w:r w:rsidRPr="00971D84">
        <w:rPr>
          <w:rFonts w:eastAsia="Times New Roman" w:cs="Times New Roman"/>
          <w:b/>
          <w:bCs/>
          <w:rtl/>
          <w:lang w:eastAsia="de-DE"/>
        </w:rPr>
        <w:t>ואת־החלב המכסה את־הקרב</w:t>
      </w:r>
      <w:r w:rsidRPr="00971D84">
        <w:rPr>
          <w:rFonts w:eastAsia="Times New Roman" w:cs="Times New Roman"/>
          <w:rtl/>
          <w:lang w:eastAsia="de-DE"/>
        </w:rPr>
        <w:t xml:space="preserve"> </w:t>
      </w:r>
      <w:r w:rsidRPr="00971D84">
        <w:rPr>
          <w:rFonts w:eastAsia="Times New Roman" w:cs="Times New Roman"/>
          <w:lang w:eastAsia="de-DE"/>
        </w:rPr>
        <w:t>(und das Fett, das das Eingeweide bedeckt).</w:t>
      </w:r>
    </w:p>
    <w:p w14:paraId="61F8F41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כל־חלבו יקריב ממנו</w:t>
      </w:r>
      <w:r w:rsidRPr="00971D84">
        <w:rPr>
          <w:rFonts w:eastAsia="Times New Roman" w:cs="Times New Roman"/>
          <w:rtl/>
          <w:lang w:eastAsia="de-DE"/>
        </w:rPr>
        <w:t xml:space="preserve"> </w:t>
      </w:r>
      <w:r w:rsidRPr="00971D84">
        <w:rPr>
          <w:rFonts w:eastAsia="Times New Roman" w:cs="Times New Roman"/>
          <w:lang w:eastAsia="de-DE"/>
        </w:rPr>
        <w:t xml:space="preserve">zeigt, dass bei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wie bei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 xml:space="preserve">alle Fettteile dargebracht werden, im Unterschied zu </w:t>
      </w:r>
      <w:r w:rsidRPr="00971D84">
        <w:rPr>
          <w:rFonts w:eastAsia="Times New Roman" w:cs="Times New Roman"/>
          <w:b/>
          <w:bCs/>
          <w:rtl/>
          <w:lang w:eastAsia="de-DE"/>
        </w:rPr>
        <w:t>עלה</w:t>
      </w:r>
      <w:r w:rsidRPr="00971D84">
        <w:rPr>
          <w:rFonts w:eastAsia="Times New Roman" w:cs="Times New Roman"/>
          <w:lang w:eastAsia="de-DE"/>
        </w:rPr>
        <w:t xml:space="preserve">, wo das ganze Tier verbrannt wird. </w:t>
      </w:r>
      <w:r w:rsidRPr="00971D84">
        <w:rPr>
          <w:rFonts w:eastAsia="Times New Roman" w:cs="Times New Roman"/>
          <w:b/>
          <w:bCs/>
          <w:rtl/>
          <w:lang w:eastAsia="de-DE"/>
        </w:rPr>
        <w:t>האליה</w:t>
      </w:r>
      <w:r w:rsidRPr="00971D84">
        <w:rPr>
          <w:rFonts w:eastAsia="Times New Roman" w:cs="Times New Roman"/>
          <w:rtl/>
          <w:lang w:eastAsia="de-DE"/>
        </w:rPr>
        <w:t xml:space="preserve"> </w:t>
      </w:r>
      <w:r w:rsidRPr="00971D84">
        <w:rPr>
          <w:rFonts w:eastAsia="Times New Roman" w:cs="Times New Roman"/>
          <w:lang w:eastAsia="de-DE"/>
        </w:rPr>
        <w:t xml:space="preserve">(Fettschwanz) spezifiziert </w:t>
      </w:r>
      <w:r w:rsidRPr="00971D84">
        <w:rPr>
          <w:rFonts w:eastAsia="Times New Roman" w:cs="Times New Roman"/>
          <w:b/>
          <w:bCs/>
          <w:rtl/>
          <w:lang w:eastAsia="de-DE"/>
        </w:rPr>
        <w:t>איל</w:t>
      </w:r>
      <w:r w:rsidRPr="00971D84">
        <w:rPr>
          <w:rFonts w:eastAsia="Times New Roman" w:cs="Times New Roman"/>
          <w:rtl/>
          <w:lang w:eastAsia="de-DE"/>
        </w:rPr>
        <w:t xml:space="preserve"> </w:t>
      </w:r>
      <w:r w:rsidRPr="00971D84">
        <w:rPr>
          <w:rFonts w:eastAsia="Times New Roman" w:cs="Times New Roman"/>
          <w:lang w:eastAsia="de-DE"/>
        </w:rPr>
        <w:t xml:space="preserve">(Widder) als </w:t>
      </w:r>
      <w:r w:rsidRPr="00971D84">
        <w:rPr>
          <w:rFonts w:eastAsia="Times New Roman" w:cs="Times New Roman"/>
          <w:b/>
          <w:bCs/>
          <w:rtl/>
          <w:lang w:eastAsia="de-DE"/>
        </w:rPr>
        <w:t>אשם</w:t>
      </w:r>
      <w:r w:rsidRPr="00971D84">
        <w:rPr>
          <w:rFonts w:eastAsia="Times New Roman" w:cs="Times New Roman"/>
          <w:lang w:eastAsia="de-DE"/>
        </w:rPr>
        <w:t>-Tier entsprechend Kapitel 5.</w:t>
      </w:r>
    </w:p>
    <w:p w14:paraId="26B7E83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כָּל־חֶלְבֹּ֖ו</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ᾶν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στέ</w:t>
      </w:r>
      <w:proofErr w:type="spellEnd"/>
      <w:r w:rsidRPr="00971D84">
        <w:rPr>
          <w:rFonts w:eastAsia="Times New Roman" w:cs="Times New Roman"/>
          <w:lang w:eastAsia="de-DE"/>
        </w:rPr>
        <w:t>αρ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(all sein Fett), </w:t>
      </w:r>
      <w:r w:rsidRPr="00971D84">
        <w:rPr>
          <w:rFonts w:eastAsia="Times New Roman" w:cs="Times New Roman"/>
          <w:b/>
          <w:bCs/>
          <w:rtl/>
          <w:lang w:eastAsia="de-DE"/>
        </w:rPr>
        <w:t>הָֽאַלְיָ֔ה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τὴν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ὀσφὺν</w:t>
      </w:r>
      <w:proofErr w:type="spellEnd"/>
      <w:r w:rsidRPr="00971D84">
        <w:rPr>
          <w:rFonts w:eastAsia="Times New Roman" w:cs="Times New Roman"/>
          <w:lang w:eastAsia="de-DE"/>
        </w:rPr>
        <w:t xml:space="preserve"> (die Lende/den Fettschwanz) und </w:t>
      </w:r>
      <w:r w:rsidRPr="00971D84">
        <w:rPr>
          <w:rFonts w:eastAsia="Times New Roman" w:cs="Times New Roman"/>
          <w:b/>
          <w:bCs/>
          <w:rtl/>
          <w:lang w:eastAsia="de-DE"/>
        </w:rPr>
        <w:t>הַֽמְכַסֶּ֥ה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κατακα</w:t>
      </w:r>
      <w:proofErr w:type="spellStart"/>
      <w:r w:rsidRPr="00971D84">
        <w:rPr>
          <w:rFonts w:eastAsia="Times New Roman" w:cs="Times New Roman"/>
          <w:lang w:eastAsia="de-DE"/>
        </w:rPr>
        <w:t>λύ</w:t>
      </w:r>
      <w:proofErr w:type="spellEnd"/>
      <w:r w:rsidRPr="00971D84">
        <w:rPr>
          <w:rFonts w:eastAsia="Times New Roman" w:cs="Times New Roman"/>
          <w:lang w:eastAsia="de-DE"/>
        </w:rPr>
        <w:t>πτον (das bedeckende).</w:t>
      </w:r>
    </w:p>
    <w:p w14:paraId="7854A77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Fettdarbringung + Spezifizierung: Objekt + Verb + Quelle + zwei spezifische Fettteile. Die Struktur entspricht den </w:t>
      </w:r>
      <w:r w:rsidRPr="00971D84">
        <w:rPr>
          <w:rFonts w:eastAsia="Times New Roman" w:cs="Times New Roman"/>
          <w:b/>
          <w:bCs/>
          <w:rtl/>
          <w:lang w:eastAsia="de-DE"/>
        </w:rPr>
        <w:t>שלמים</w:t>
      </w:r>
      <w:r w:rsidRPr="00971D84">
        <w:rPr>
          <w:rFonts w:eastAsia="Times New Roman" w:cs="Times New Roman"/>
          <w:lang w:eastAsia="de-DE"/>
        </w:rPr>
        <w:t>-Fettbestimmungen.</w:t>
      </w:r>
    </w:p>
    <w:p w14:paraId="62A8D15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die </w:t>
      </w:r>
      <w:r w:rsidRPr="00971D84">
        <w:rPr>
          <w:rFonts w:eastAsia="Times New Roman" w:cs="Times New Roman"/>
          <w:b/>
          <w:bCs/>
          <w:rtl/>
          <w:lang w:eastAsia="de-DE"/>
        </w:rPr>
        <w:t>שלמים</w:t>
      </w:r>
      <w:r w:rsidRPr="00971D84">
        <w:rPr>
          <w:rFonts w:eastAsia="Times New Roman" w:cs="Times New Roman"/>
          <w:lang w:eastAsia="de-DE"/>
        </w:rPr>
        <w:t xml:space="preserve">-identische Fettdarbringung für </w:t>
      </w:r>
      <w:r w:rsidRPr="00971D84">
        <w:rPr>
          <w:rFonts w:eastAsia="Times New Roman" w:cs="Times New Roman"/>
          <w:b/>
          <w:bCs/>
          <w:rtl/>
          <w:lang w:eastAsia="de-DE"/>
        </w:rPr>
        <w:t>אשם</w:t>
      </w:r>
      <w:r w:rsidRPr="00971D84">
        <w:rPr>
          <w:rFonts w:eastAsia="Times New Roman" w:cs="Times New Roman"/>
          <w:lang w:eastAsia="de-DE"/>
        </w:rPr>
        <w:t>: Fettschwanz und Eingeweidefett.</w:t>
      </w:r>
    </w:p>
    <w:p w14:paraId="01734262"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7,4</w:t>
      </w:r>
    </w:p>
    <w:p w14:paraId="3DC66C4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וְאֵת֙ שְׁתֵּ֣י הַכְּלָיֹ֔ת וְאֶת־הַחֵ֨לֶב֙ אֲשֶׁ֣ר עֲלֵיהֶ֔ן אֲשֶׁ֖ר עַל־הַכְּסָלִ֑ים וְאֶת־הַיֹּתֶ֨רֶת֙ עַל־הַכָּבֵ֔ד עַל־הַכְּלָיֹ֖ת יְסִירֶֽנָּה׃</w:t>
      </w:r>
    </w:p>
    <w:p w14:paraId="00351FB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die beiden Nieren und das Fett, das an ihnen, das an den Lenden ist, und das Netz über der Leber: Samt den Nieren soll er es abtrennen.</w:t>
      </w:r>
    </w:p>
    <w:p w14:paraId="110D68D9"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17A2B38D">
          <v:rect id="_x0000_i1162" style="width:0;height:1.5pt" o:hralign="center" o:hrstd="t" o:hr="t" fillcolor="#a0a0a0" stroked="f"/>
        </w:pict>
      </w:r>
    </w:p>
    <w:p w14:paraId="4A7C125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וְאֵת֙ שְׁתֵּ֣י הַכְּלָיֹ֔ת וְאֶת־הַחֵ֨לֶב֙ אֲשֶׁ֣ר עֲלֵיהֶ֔ן אֲשֶׁ֖ר עַל־הַכְּסָלִ֑ים</w:t>
      </w:r>
      <w:r w:rsidRPr="00971D84">
        <w:rPr>
          <w:rFonts w:eastAsia="Times New Roman" w:cs="Times New Roman"/>
          <w:rtl/>
          <w:lang w:eastAsia="de-DE"/>
        </w:rPr>
        <w:t xml:space="preserve"> </w:t>
      </w:r>
      <w:r w:rsidRPr="00971D84">
        <w:rPr>
          <w:rFonts w:eastAsia="Times New Roman" w:cs="Times New Roman"/>
          <w:lang w:eastAsia="de-DE"/>
        </w:rPr>
        <w:t xml:space="preserve">(und die beiden Nieren und das Fett, das an ihnen ist, das an den Lenden ist) entspricht exakt 3,4.10.15 für </w:t>
      </w:r>
      <w:r w:rsidRPr="00971D84">
        <w:rPr>
          <w:rFonts w:eastAsia="Times New Roman" w:cs="Times New Roman"/>
          <w:b/>
          <w:bCs/>
          <w:rtl/>
          <w:lang w:eastAsia="de-DE"/>
        </w:rPr>
        <w:t>שלמים</w:t>
      </w:r>
      <w:r w:rsidRPr="00971D84">
        <w:rPr>
          <w:rFonts w:eastAsia="Times New Roman" w:cs="Times New Roman"/>
          <w:lang w:eastAsia="de-DE"/>
        </w:rPr>
        <w:t xml:space="preserve">. </w:t>
      </w:r>
      <w:r w:rsidRPr="00971D84">
        <w:rPr>
          <w:rFonts w:eastAsia="Times New Roman" w:cs="Times New Roman"/>
          <w:b/>
          <w:bCs/>
          <w:rtl/>
          <w:lang w:eastAsia="de-DE"/>
        </w:rPr>
        <w:t>ואת שתי הכליות</w:t>
      </w:r>
      <w:r w:rsidRPr="00971D84">
        <w:rPr>
          <w:rFonts w:eastAsia="Times New Roman" w:cs="Times New Roman"/>
          <w:rtl/>
          <w:lang w:eastAsia="de-DE"/>
        </w:rPr>
        <w:t xml:space="preserve"> </w:t>
      </w:r>
      <w:r w:rsidRPr="00971D84">
        <w:rPr>
          <w:rFonts w:eastAsia="Times New Roman" w:cs="Times New Roman"/>
          <w:lang w:eastAsia="de-DE"/>
        </w:rPr>
        <w:t xml:space="preserve">(und die beiden Nieren), </w:t>
      </w:r>
      <w:r w:rsidRPr="00971D84">
        <w:rPr>
          <w:rFonts w:eastAsia="Times New Roman" w:cs="Times New Roman"/>
          <w:b/>
          <w:bCs/>
          <w:rtl/>
          <w:lang w:eastAsia="de-DE"/>
        </w:rPr>
        <w:t>ואת־החלב אשר עליהן אשר על־הכסלים</w:t>
      </w:r>
      <w:r w:rsidRPr="00971D84">
        <w:rPr>
          <w:rFonts w:eastAsia="Times New Roman" w:cs="Times New Roman"/>
          <w:rtl/>
          <w:lang w:eastAsia="de-DE"/>
        </w:rPr>
        <w:t xml:space="preserve"> </w:t>
      </w:r>
      <w:r w:rsidRPr="00971D84">
        <w:rPr>
          <w:rFonts w:eastAsia="Times New Roman" w:cs="Times New Roman"/>
          <w:lang w:eastAsia="de-DE"/>
        </w:rPr>
        <w:t>(und das Fett, das an ihnen ist, das an den Lenden ist).</w:t>
      </w:r>
    </w:p>
    <w:p w14:paraId="14D9779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וְאֶת־הַיֹּתֶ֨רֶת֙ עַל־הַכָּבֵ֔ד עַל־הַכְּלָיֹ֖ת יְסִירֶֽנָּה</w:t>
      </w:r>
      <w:r w:rsidRPr="00971D84">
        <w:rPr>
          <w:rFonts w:eastAsia="Times New Roman" w:cs="Times New Roman"/>
          <w:rtl/>
          <w:lang w:eastAsia="de-DE"/>
        </w:rPr>
        <w:t xml:space="preserve"> </w:t>
      </w:r>
      <w:r w:rsidRPr="00971D84">
        <w:rPr>
          <w:rFonts w:eastAsia="Times New Roman" w:cs="Times New Roman"/>
          <w:lang w:eastAsia="de-DE"/>
        </w:rPr>
        <w:t xml:space="preserve">(und das Netz über der Leber, über den Nieren soll er es abtrennen) vervollständigt die Fettteile entsprechend </w:t>
      </w:r>
      <w:r w:rsidRPr="00971D84">
        <w:rPr>
          <w:rFonts w:eastAsia="Times New Roman" w:cs="Times New Roman"/>
          <w:b/>
          <w:bCs/>
          <w:rtl/>
          <w:lang w:eastAsia="de-DE"/>
        </w:rPr>
        <w:t>שלמים</w:t>
      </w:r>
      <w:r w:rsidRPr="00971D84">
        <w:rPr>
          <w:rFonts w:eastAsia="Times New Roman" w:cs="Times New Roman"/>
          <w:lang w:eastAsia="de-DE"/>
        </w:rPr>
        <w:t xml:space="preserve">. </w:t>
      </w:r>
      <w:r w:rsidRPr="00971D84">
        <w:rPr>
          <w:rFonts w:eastAsia="Times New Roman" w:cs="Times New Roman"/>
          <w:b/>
          <w:bCs/>
          <w:rtl/>
          <w:lang w:eastAsia="de-DE"/>
        </w:rPr>
        <w:t>ואת־היתרת על־הכבד</w:t>
      </w:r>
      <w:r w:rsidRPr="00971D84">
        <w:rPr>
          <w:rFonts w:eastAsia="Times New Roman" w:cs="Times New Roman"/>
          <w:rtl/>
          <w:lang w:eastAsia="de-DE"/>
        </w:rPr>
        <w:t xml:space="preserve"> </w:t>
      </w:r>
      <w:r w:rsidRPr="00971D84">
        <w:rPr>
          <w:rFonts w:eastAsia="Times New Roman" w:cs="Times New Roman"/>
          <w:lang w:eastAsia="de-DE"/>
        </w:rPr>
        <w:t xml:space="preserve">(und das Netz über der Leber), </w:t>
      </w:r>
      <w:r w:rsidRPr="00971D84">
        <w:rPr>
          <w:rFonts w:eastAsia="Times New Roman" w:cs="Times New Roman"/>
          <w:b/>
          <w:bCs/>
          <w:rtl/>
          <w:lang w:eastAsia="de-DE"/>
        </w:rPr>
        <w:t>על־הכליות יסירנה</w:t>
      </w:r>
      <w:r w:rsidRPr="00971D84">
        <w:rPr>
          <w:rFonts w:eastAsia="Times New Roman" w:cs="Times New Roman"/>
          <w:rtl/>
          <w:lang w:eastAsia="de-DE"/>
        </w:rPr>
        <w:t xml:space="preserve"> </w:t>
      </w:r>
      <w:r w:rsidRPr="00971D84">
        <w:rPr>
          <w:rFonts w:eastAsia="Times New Roman" w:cs="Times New Roman"/>
          <w:lang w:eastAsia="de-DE"/>
        </w:rPr>
        <w:t>(über den Nieren soll er es abtrennen).</w:t>
      </w:r>
    </w:p>
    <w:p w14:paraId="75CCFCC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Aufzählung entspricht exakt den </w:t>
      </w:r>
      <w:r w:rsidRPr="00971D84">
        <w:rPr>
          <w:rFonts w:eastAsia="Times New Roman" w:cs="Times New Roman"/>
          <w:b/>
          <w:bCs/>
          <w:rtl/>
          <w:lang w:eastAsia="de-DE"/>
        </w:rPr>
        <w:t>שלמים</w:t>
      </w:r>
      <w:r w:rsidRPr="00971D84">
        <w:rPr>
          <w:rFonts w:eastAsia="Times New Roman" w:cs="Times New Roman"/>
          <w:lang w:eastAsia="de-DE"/>
        </w:rPr>
        <w:t xml:space="preserve">-Fettbestimmungen: </w:t>
      </w:r>
      <w:r w:rsidRPr="00971D84">
        <w:rPr>
          <w:rFonts w:eastAsia="Times New Roman" w:cs="Times New Roman"/>
          <w:b/>
          <w:bCs/>
          <w:rtl/>
          <w:lang w:eastAsia="de-DE"/>
        </w:rPr>
        <w:t>כליות</w:t>
      </w:r>
      <w:r w:rsidRPr="00971D84">
        <w:rPr>
          <w:rFonts w:eastAsia="Times New Roman" w:cs="Times New Roman"/>
          <w:rtl/>
          <w:lang w:eastAsia="de-DE"/>
        </w:rPr>
        <w:t xml:space="preserve"> </w:t>
      </w:r>
      <w:r w:rsidRPr="00971D84">
        <w:rPr>
          <w:rFonts w:eastAsia="Times New Roman" w:cs="Times New Roman"/>
          <w:lang w:eastAsia="de-DE"/>
        </w:rPr>
        <w:t xml:space="preserve">(Nieren), </w:t>
      </w:r>
      <w:r w:rsidRPr="00971D84">
        <w:rPr>
          <w:rFonts w:eastAsia="Times New Roman" w:cs="Times New Roman"/>
          <w:b/>
          <w:bCs/>
          <w:rtl/>
          <w:lang w:eastAsia="de-DE"/>
        </w:rPr>
        <w:t>חלב על־הכסלים</w:t>
      </w:r>
      <w:r w:rsidRPr="00971D84">
        <w:rPr>
          <w:rFonts w:eastAsia="Times New Roman" w:cs="Times New Roman"/>
          <w:rtl/>
          <w:lang w:eastAsia="de-DE"/>
        </w:rPr>
        <w:t xml:space="preserve"> </w:t>
      </w:r>
      <w:r w:rsidRPr="00971D84">
        <w:rPr>
          <w:rFonts w:eastAsia="Times New Roman" w:cs="Times New Roman"/>
          <w:lang w:eastAsia="de-DE"/>
        </w:rPr>
        <w:t xml:space="preserve">(Fett an den Lenden), </w:t>
      </w:r>
      <w:r w:rsidRPr="00971D84">
        <w:rPr>
          <w:rFonts w:eastAsia="Times New Roman" w:cs="Times New Roman"/>
          <w:b/>
          <w:bCs/>
          <w:rtl/>
          <w:lang w:eastAsia="de-DE"/>
        </w:rPr>
        <w:t>יתרת על־הכבד</w:t>
      </w:r>
      <w:r w:rsidRPr="00971D84">
        <w:rPr>
          <w:rFonts w:eastAsia="Times New Roman" w:cs="Times New Roman"/>
          <w:rtl/>
          <w:lang w:eastAsia="de-DE"/>
        </w:rPr>
        <w:t xml:space="preserve"> </w:t>
      </w:r>
      <w:r w:rsidRPr="00971D84">
        <w:rPr>
          <w:rFonts w:eastAsia="Times New Roman" w:cs="Times New Roman"/>
          <w:lang w:eastAsia="de-DE"/>
        </w:rPr>
        <w:t xml:space="preserve">(Lebernetz). </w:t>
      </w:r>
      <w:r w:rsidRPr="00971D84">
        <w:rPr>
          <w:rFonts w:eastAsia="Times New Roman" w:cs="Times New Roman"/>
          <w:b/>
          <w:bCs/>
          <w:rtl/>
          <w:lang w:eastAsia="de-DE"/>
        </w:rPr>
        <w:t>יסירנה</w:t>
      </w:r>
      <w:r w:rsidRPr="00971D84">
        <w:rPr>
          <w:rFonts w:eastAsia="Times New Roman" w:cs="Times New Roman"/>
          <w:rtl/>
          <w:lang w:eastAsia="de-DE"/>
        </w:rPr>
        <w:t xml:space="preserve"> </w:t>
      </w:r>
      <w:r w:rsidRPr="00971D84">
        <w:rPr>
          <w:rFonts w:eastAsia="Times New Roman" w:cs="Times New Roman"/>
          <w:lang w:eastAsia="de-DE"/>
        </w:rPr>
        <w:t>(er soll es abtrennen) zeigt die sorgfältige Entfernung der Fettteile.</w:t>
      </w:r>
    </w:p>
    <w:p w14:paraId="5409FE8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שְׁתֵּ֣י הַכְּלָיֹ֔ת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τοὺς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δύο</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νεφροὺς</w:t>
      </w:r>
      <w:proofErr w:type="spellEnd"/>
      <w:r w:rsidRPr="00971D84">
        <w:rPr>
          <w:rFonts w:eastAsia="Times New Roman" w:cs="Times New Roman"/>
          <w:lang w:eastAsia="de-DE"/>
        </w:rPr>
        <w:t xml:space="preserve"> (die zwei Nieren), </w:t>
      </w:r>
      <w:r w:rsidRPr="00971D84">
        <w:rPr>
          <w:rFonts w:eastAsia="Times New Roman" w:cs="Times New Roman"/>
          <w:b/>
          <w:bCs/>
          <w:rtl/>
          <w:lang w:eastAsia="de-DE"/>
        </w:rPr>
        <w:t>הַכְּסָלִ֑ים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τῶν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μηρίων</w:t>
      </w:r>
      <w:proofErr w:type="spellEnd"/>
      <w:r w:rsidRPr="00971D84">
        <w:rPr>
          <w:rFonts w:eastAsia="Times New Roman" w:cs="Times New Roman"/>
          <w:lang w:eastAsia="de-DE"/>
        </w:rPr>
        <w:t xml:space="preserve"> (der Schenkel) und </w:t>
      </w:r>
      <w:r w:rsidRPr="00971D84">
        <w:rPr>
          <w:rFonts w:eastAsia="Times New Roman" w:cs="Times New Roman"/>
          <w:b/>
          <w:bCs/>
          <w:rtl/>
          <w:lang w:eastAsia="de-DE"/>
        </w:rPr>
        <w:t>הַיֹּתֶ֨רֶת֙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τὸν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λο</w:t>
      </w:r>
      <w:proofErr w:type="spellEnd"/>
      <w:r w:rsidRPr="00971D84">
        <w:rPr>
          <w:rFonts w:eastAsia="Times New Roman" w:cs="Times New Roman"/>
          <w:lang w:eastAsia="de-DE"/>
        </w:rPr>
        <w:t>βὸν (den Lappen).</w:t>
      </w:r>
    </w:p>
    <w:p w14:paraId="1E75C5A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Die Satzstruktur:</w:t>
      </w:r>
      <w:r w:rsidRPr="00971D84">
        <w:rPr>
          <w:rFonts w:eastAsia="Times New Roman" w:cs="Times New Roman"/>
          <w:lang w:eastAsia="de-DE"/>
        </w:rPr>
        <w:t xml:space="preserve"> entspricht den </w:t>
      </w:r>
      <w:r w:rsidRPr="00971D84">
        <w:rPr>
          <w:rFonts w:eastAsia="Times New Roman" w:cs="Times New Roman"/>
          <w:b/>
          <w:bCs/>
          <w:rtl/>
          <w:lang w:eastAsia="de-DE"/>
        </w:rPr>
        <w:t>שלמים</w:t>
      </w:r>
      <w:r w:rsidRPr="00971D84">
        <w:rPr>
          <w:rFonts w:eastAsia="Times New Roman" w:cs="Times New Roman"/>
          <w:lang w:eastAsia="de-DE"/>
        </w:rPr>
        <w:t xml:space="preserve">-Fettaufzählungen: drei koordinierte Objekte + Entfernungsanweisung. Die identische Struktur zeigt die </w:t>
      </w:r>
      <w:r w:rsidRPr="00971D84">
        <w:rPr>
          <w:rFonts w:eastAsia="Times New Roman" w:cs="Times New Roman"/>
          <w:b/>
          <w:bCs/>
          <w:rtl/>
          <w:lang w:eastAsia="de-DE"/>
        </w:rPr>
        <w:t>שלמים</w:t>
      </w:r>
      <w:r w:rsidRPr="00971D84">
        <w:rPr>
          <w:rFonts w:eastAsia="Times New Roman" w:cs="Times New Roman"/>
          <w:lang w:eastAsia="de-DE"/>
        </w:rPr>
        <w:t xml:space="preserve">-Analogie für </w:t>
      </w:r>
      <w:r w:rsidRPr="00971D84">
        <w:rPr>
          <w:rFonts w:eastAsia="Times New Roman" w:cs="Times New Roman"/>
          <w:b/>
          <w:bCs/>
          <w:rtl/>
          <w:lang w:eastAsia="de-DE"/>
        </w:rPr>
        <w:t>אשם</w:t>
      </w:r>
      <w:r w:rsidRPr="00971D84">
        <w:rPr>
          <w:rFonts w:eastAsia="Times New Roman" w:cs="Times New Roman"/>
          <w:lang w:eastAsia="de-DE"/>
        </w:rPr>
        <w:t>-Fettbehandlung.</w:t>
      </w:r>
    </w:p>
    <w:p w14:paraId="272B636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vervollständigt die </w:t>
      </w:r>
      <w:r w:rsidRPr="00971D84">
        <w:rPr>
          <w:rFonts w:eastAsia="Times New Roman" w:cs="Times New Roman"/>
          <w:b/>
          <w:bCs/>
          <w:rtl/>
          <w:lang w:eastAsia="de-DE"/>
        </w:rPr>
        <w:t>שלמים</w:t>
      </w:r>
      <w:r w:rsidRPr="00971D84">
        <w:rPr>
          <w:rFonts w:eastAsia="Times New Roman" w:cs="Times New Roman"/>
          <w:lang w:eastAsia="de-DE"/>
        </w:rPr>
        <w:t xml:space="preserve">-identische Fettaufzählung für </w:t>
      </w:r>
      <w:r w:rsidRPr="00971D84">
        <w:rPr>
          <w:rFonts w:eastAsia="Times New Roman" w:cs="Times New Roman"/>
          <w:b/>
          <w:bCs/>
          <w:rtl/>
          <w:lang w:eastAsia="de-DE"/>
        </w:rPr>
        <w:t>אשם</w:t>
      </w:r>
      <w:r w:rsidRPr="00971D84">
        <w:rPr>
          <w:rFonts w:eastAsia="Times New Roman" w:cs="Times New Roman"/>
          <w:lang w:eastAsia="de-DE"/>
        </w:rPr>
        <w:t>: Nieren, Lendenfett, Lebernetz.</w:t>
      </w:r>
    </w:p>
    <w:p w14:paraId="4690CC1E"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7,5</w:t>
      </w:r>
    </w:p>
    <w:p w14:paraId="3BF37E1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וְהִקְטִ֨יר אֹתָ֤ם הַכֹּהֵן֙ הַמִּזְבֵּ֔חָה אִשֶּׁ֖ה לַיהוָ֑ה אָשָׁ֖ם הֽוּא׃</w:t>
      </w:r>
    </w:p>
    <w:p w14:paraId="0739982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der Priester soll es auf dem Altar räuchern als ein Feueropfer dem Ewigen: Es ist ein Schuldopfer.</w:t>
      </w:r>
    </w:p>
    <w:p w14:paraId="478F729A"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57CEE30A">
          <v:rect id="_x0000_i1163" style="width:0;height:1.5pt" o:hralign="center" o:hrstd="t" o:hr="t" fillcolor="#a0a0a0" stroked="f"/>
        </w:pict>
      </w:r>
    </w:p>
    <w:p w14:paraId="652C54A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וְהִקְטִ֨יר אֹתָ֤ם הַכֹּהֵן֙ הַמִּזְבֵּ֔חָה אִשֶּׁ֖ה לַיהוָ֑ה</w:t>
      </w:r>
      <w:r w:rsidRPr="00971D84">
        <w:rPr>
          <w:rFonts w:eastAsia="Times New Roman" w:cs="Times New Roman"/>
          <w:rtl/>
          <w:lang w:eastAsia="de-DE"/>
        </w:rPr>
        <w:t xml:space="preserve"> </w:t>
      </w:r>
      <w:r w:rsidRPr="00971D84">
        <w:rPr>
          <w:rFonts w:eastAsia="Times New Roman" w:cs="Times New Roman"/>
          <w:lang w:eastAsia="de-DE"/>
        </w:rPr>
        <w:t xml:space="preserve">(und der Priester soll sie auf dem Altar räuchern als Feueropfer für JHWH) zeigt die Fettverbrennung. </w:t>
      </w:r>
      <w:r w:rsidRPr="00971D84">
        <w:rPr>
          <w:rFonts w:eastAsia="Times New Roman" w:cs="Times New Roman"/>
          <w:b/>
          <w:bCs/>
          <w:rtl/>
          <w:lang w:eastAsia="de-DE"/>
        </w:rPr>
        <w:t>והקטיר אתם הכהן המזבחה</w:t>
      </w:r>
      <w:r w:rsidRPr="00971D84">
        <w:rPr>
          <w:rFonts w:eastAsia="Times New Roman" w:cs="Times New Roman"/>
          <w:rtl/>
          <w:lang w:eastAsia="de-DE"/>
        </w:rPr>
        <w:t xml:space="preserve"> </w:t>
      </w:r>
      <w:r w:rsidRPr="00971D84">
        <w:rPr>
          <w:rFonts w:eastAsia="Times New Roman" w:cs="Times New Roman"/>
          <w:lang w:eastAsia="de-DE"/>
        </w:rPr>
        <w:t xml:space="preserve">(und der Priester soll sie auf dem Altar räuchern), </w:t>
      </w:r>
      <w:r w:rsidRPr="00971D84">
        <w:rPr>
          <w:rFonts w:eastAsia="Times New Roman" w:cs="Times New Roman"/>
          <w:b/>
          <w:bCs/>
          <w:rtl/>
          <w:lang w:eastAsia="de-DE"/>
        </w:rPr>
        <w:t>אשה ליהוה</w:t>
      </w:r>
      <w:r w:rsidRPr="00971D84">
        <w:rPr>
          <w:rFonts w:eastAsia="Times New Roman" w:cs="Times New Roman"/>
          <w:rtl/>
          <w:lang w:eastAsia="de-DE"/>
        </w:rPr>
        <w:t xml:space="preserve"> </w:t>
      </w:r>
      <w:r w:rsidRPr="00971D84">
        <w:rPr>
          <w:rFonts w:eastAsia="Times New Roman" w:cs="Times New Roman"/>
          <w:lang w:eastAsia="de-DE"/>
        </w:rPr>
        <w:t>(als Feueropfer für JHWH).</w:t>
      </w:r>
    </w:p>
    <w:p w14:paraId="70B7D11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אָשָׁ֖ם הֽוּא</w:t>
      </w:r>
      <w:r w:rsidRPr="00971D84">
        <w:rPr>
          <w:rFonts w:eastAsia="Times New Roman" w:cs="Times New Roman"/>
          <w:rtl/>
          <w:lang w:eastAsia="de-DE"/>
        </w:rPr>
        <w:t xml:space="preserve"> </w:t>
      </w:r>
      <w:r w:rsidRPr="00971D84">
        <w:rPr>
          <w:rFonts w:eastAsia="Times New Roman" w:cs="Times New Roman"/>
          <w:lang w:eastAsia="de-DE"/>
        </w:rPr>
        <w:t xml:space="preserve">(es ist ein Schuldopfer) ist abschließende Klassifikation mit emphatischem Pronomen, entsprechend den anderen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 xml:space="preserve">(6,2: </w:t>
      </w:r>
      <w:r w:rsidRPr="00971D84">
        <w:rPr>
          <w:rFonts w:eastAsia="Times New Roman" w:cs="Times New Roman"/>
          <w:b/>
          <w:bCs/>
          <w:rtl/>
          <w:lang w:eastAsia="de-DE"/>
        </w:rPr>
        <w:t>עלה הוא</w:t>
      </w:r>
      <w:r w:rsidRPr="00971D84">
        <w:rPr>
          <w:rFonts w:eastAsia="Times New Roman" w:cs="Times New Roman"/>
          <w:lang w:eastAsia="de-DE"/>
        </w:rPr>
        <w:t xml:space="preserve">; 6,18: </w:t>
      </w:r>
      <w:r w:rsidRPr="00971D84">
        <w:rPr>
          <w:rFonts w:eastAsia="Times New Roman" w:cs="Times New Roman"/>
          <w:b/>
          <w:bCs/>
          <w:rtl/>
          <w:lang w:eastAsia="de-DE"/>
        </w:rPr>
        <w:t>חטאת הוא</w:t>
      </w:r>
      <w:r w:rsidRPr="00971D84">
        <w:rPr>
          <w:rFonts w:eastAsia="Times New Roman" w:cs="Times New Roman"/>
          <w:lang w:eastAsia="de-DE"/>
        </w:rPr>
        <w:t>).</w:t>
      </w:r>
    </w:p>
    <w:p w14:paraId="56DE7F4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והקטיר אתם הכהן המזבחה אשה ליהוה</w:t>
      </w:r>
      <w:r w:rsidRPr="00971D84">
        <w:rPr>
          <w:rFonts w:eastAsia="Times New Roman" w:cs="Times New Roman"/>
          <w:rtl/>
          <w:lang w:eastAsia="de-DE"/>
        </w:rPr>
        <w:t xml:space="preserve"> </w:t>
      </w:r>
      <w:r w:rsidRPr="00971D84">
        <w:rPr>
          <w:rFonts w:eastAsia="Times New Roman" w:cs="Times New Roman"/>
          <w:lang w:eastAsia="de-DE"/>
        </w:rPr>
        <w:t xml:space="preserve">entspricht exakt 3,5.11.16 für </w:t>
      </w:r>
      <w:r w:rsidRPr="00971D84">
        <w:rPr>
          <w:rFonts w:eastAsia="Times New Roman" w:cs="Times New Roman"/>
          <w:b/>
          <w:bCs/>
          <w:rtl/>
          <w:lang w:eastAsia="de-DE"/>
        </w:rPr>
        <w:t>שלמים</w:t>
      </w:r>
      <w:r w:rsidRPr="00971D84">
        <w:rPr>
          <w:rFonts w:eastAsia="Times New Roman" w:cs="Times New Roman"/>
          <w:lang w:eastAsia="de-DE"/>
        </w:rPr>
        <w:t xml:space="preserve">: dieselbe Fettverbrennung als </w:t>
      </w:r>
      <w:r w:rsidRPr="00971D84">
        <w:rPr>
          <w:rFonts w:eastAsia="Times New Roman" w:cs="Times New Roman"/>
          <w:b/>
          <w:bCs/>
          <w:rtl/>
          <w:lang w:eastAsia="de-DE"/>
        </w:rPr>
        <w:t>אשה ליהוה</w:t>
      </w:r>
      <w:r w:rsidRPr="00971D84">
        <w:rPr>
          <w:rFonts w:eastAsia="Times New Roman" w:cs="Times New Roman"/>
          <w:rtl/>
          <w:lang w:eastAsia="de-DE"/>
        </w:rPr>
        <w:t xml:space="preserve"> </w:t>
      </w:r>
      <w:r w:rsidRPr="00971D84">
        <w:rPr>
          <w:rFonts w:eastAsia="Times New Roman" w:cs="Times New Roman"/>
          <w:lang w:eastAsia="de-DE"/>
        </w:rPr>
        <w:t xml:space="preserve">(Feueropfer für JHWH). </w:t>
      </w:r>
      <w:r w:rsidRPr="00971D84">
        <w:rPr>
          <w:rFonts w:eastAsia="Times New Roman" w:cs="Times New Roman"/>
          <w:b/>
          <w:bCs/>
          <w:rtl/>
          <w:lang w:eastAsia="de-DE"/>
        </w:rPr>
        <w:t>אתם</w:t>
      </w:r>
      <w:r w:rsidRPr="00971D84">
        <w:rPr>
          <w:rFonts w:eastAsia="Times New Roman" w:cs="Times New Roman"/>
          <w:rtl/>
          <w:lang w:eastAsia="de-DE"/>
        </w:rPr>
        <w:t xml:space="preserve"> </w:t>
      </w:r>
      <w:r w:rsidRPr="00971D84">
        <w:rPr>
          <w:rFonts w:eastAsia="Times New Roman" w:cs="Times New Roman"/>
          <w:lang w:eastAsia="de-DE"/>
        </w:rPr>
        <w:t>(sie) bezieht sich auf die Fettteile von V. 3-4.</w:t>
      </w:r>
    </w:p>
    <w:p w14:paraId="30C5D21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אשם הוא</w:t>
      </w:r>
      <w:r w:rsidRPr="00971D84">
        <w:rPr>
          <w:rFonts w:eastAsia="Times New Roman" w:cs="Times New Roman"/>
          <w:rtl/>
          <w:lang w:eastAsia="de-DE"/>
        </w:rPr>
        <w:t xml:space="preserve"> </w:t>
      </w:r>
      <w:r w:rsidRPr="00971D84">
        <w:rPr>
          <w:rFonts w:eastAsia="Times New Roman" w:cs="Times New Roman"/>
          <w:lang w:eastAsia="de-DE"/>
        </w:rPr>
        <w:t xml:space="preserve">(es ist ein Schuldopfer) klassifiziert das gesamte Verfahren eindeutig als </w:t>
      </w:r>
      <w:r w:rsidRPr="00971D84">
        <w:rPr>
          <w:rFonts w:eastAsia="Times New Roman" w:cs="Times New Roman"/>
          <w:b/>
          <w:bCs/>
          <w:rtl/>
          <w:lang w:eastAsia="de-DE"/>
        </w:rPr>
        <w:t>אשם</w:t>
      </w:r>
      <w:r w:rsidRPr="00971D84">
        <w:rPr>
          <w:rFonts w:eastAsia="Times New Roman" w:cs="Times New Roman"/>
          <w:lang w:eastAsia="de-DE"/>
        </w:rPr>
        <w:t xml:space="preserve">, trotz der </w:t>
      </w:r>
      <w:r w:rsidRPr="00971D84">
        <w:rPr>
          <w:rFonts w:eastAsia="Times New Roman" w:cs="Times New Roman"/>
          <w:b/>
          <w:bCs/>
          <w:rtl/>
          <w:lang w:eastAsia="de-DE"/>
        </w:rPr>
        <w:t>שלמים</w:t>
      </w:r>
      <w:r w:rsidRPr="00971D84">
        <w:rPr>
          <w:rFonts w:eastAsia="Times New Roman" w:cs="Times New Roman"/>
          <w:lang w:eastAsia="de-DE"/>
        </w:rPr>
        <w:t>-Analogien bei Fett- und Blutbehandlung.</w:t>
      </w:r>
    </w:p>
    <w:p w14:paraId="3019632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וְהִקְטִ֨יר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ἀνοίσει</w:t>
      </w:r>
      <w:proofErr w:type="spellEnd"/>
      <w:r w:rsidRPr="00971D84">
        <w:rPr>
          <w:rFonts w:eastAsia="Times New Roman" w:cs="Times New Roman"/>
          <w:lang w:eastAsia="de-DE"/>
        </w:rPr>
        <w:t xml:space="preserve"> (er soll hinaufbringen), </w:t>
      </w:r>
      <w:r w:rsidRPr="00971D84">
        <w:rPr>
          <w:rFonts w:eastAsia="Times New Roman" w:cs="Times New Roman"/>
          <w:b/>
          <w:bCs/>
          <w:rtl/>
          <w:lang w:eastAsia="de-DE"/>
        </w:rPr>
        <w:t>אִשֶּׁ֖ה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κάρ</w:t>
      </w:r>
      <w:proofErr w:type="spellEnd"/>
      <w:r w:rsidRPr="00971D84">
        <w:rPr>
          <w:rFonts w:eastAsia="Times New Roman" w:cs="Times New Roman"/>
          <w:lang w:eastAsia="de-DE"/>
        </w:rPr>
        <w:t xml:space="preserve">πωμα (Opfergabe) und </w:t>
      </w:r>
      <w:r w:rsidRPr="00971D84">
        <w:rPr>
          <w:rFonts w:eastAsia="Times New Roman" w:cs="Times New Roman"/>
          <w:b/>
          <w:bCs/>
          <w:rtl/>
          <w:lang w:eastAsia="de-DE"/>
        </w:rPr>
        <w:t>אָשָׁ֖ם הֽוּא</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λημμέλημά</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ἐστιν</w:t>
      </w:r>
      <w:proofErr w:type="spellEnd"/>
      <w:r w:rsidRPr="00971D84">
        <w:rPr>
          <w:rFonts w:eastAsia="Times New Roman" w:cs="Times New Roman"/>
          <w:lang w:eastAsia="de-DE"/>
        </w:rPr>
        <w:t xml:space="preserve"> (es ist eine Verfehlung).</w:t>
      </w:r>
    </w:p>
    <w:p w14:paraId="58FE45E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Fettverbrennung + Klassifikation: Verb + Objekt + Subjekt + Ortsangabe + Klassifikation + Dativangabe // emphatische Schlussklassifikation. Die Struktur entspricht den </w:t>
      </w:r>
      <w:r w:rsidRPr="00971D84">
        <w:rPr>
          <w:rFonts w:eastAsia="Times New Roman" w:cs="Times New Roman"/>
          <w:b/>
          <w:bCs/>
          <w:rtl/>
          <w:lang w:eastAsia="de-DE"/>
        </w:rPr>
        <w:t>שלמים</w:t>
      </w:r>
      <w:r w:rsidRPr="00971D84">
        <w:rPr>
          <w:rFonts w:eastAsia="Times New Roman" w:cs="Times New Roman"/>
          <w:lang w:eastAsia="de-DE"/>
        </w:rPr>
        <w:t>-Fettverbrennungsformeln.</w:t>
      </w:r>
    </w:p>
    <w:p w14:paraId="2DCCB49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beschließt die </w:t>
      </w:r>
      <w:r w:rsidRPr="00971D84">
        <w:rPr>
          <w:rFonts w:eastAsia="Times New Roman" w:cs="Times New Roman"/>
          <w:b/>
          <w:bCs/>
          <w:rtl/>
          <w:lang w:eastAsia="de-DE"/>
        </w:rPr>
        <w:t>אשם</w:t>
      </w:r>
      <w:r w:rsidRPr="00971D84">
        <w:rPr>
          <w:rFonts w:eastAsia="Times New Roman" w:cs="Times New Roman"/>
          <w:lang w:eastAsia="de-DE"/>
        </w:rPr>
        <w:t xml:space="preserve">-Darbringung mit priesterlicher Fettverbrennung und emphatischer </w:t>
      </w:r>
      <w:r w:rsidRPr="00971D84">
        <w:rPr>
          <w:rFonts w:eastAsia="Times New Roman" w:cs="Times New Roman"/>
          <w:b/>
          <w:bCs/>
          <w:rtl/>
          <w:lang w:eastAsia="de-DE"/>
        </w:rPr>
        <w:t>אשם</w:t>
      </w:r>
      <w:r w:rsidRPr="00971D84">
        <w:rPr>
          <w:rFonts w:eastAsia="Times New Roman" w:cs="Times New Roman"/>
          <w:lang w:eastAsia="de-DE"/>
        </w:rPr>
        <w:t>-Klassifikation.</w:t>
      </w:r>
    </w:p>
    <w:p w14:paraId="2138E07F"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7,6</w:t>
      </w:r>
    </w:p>
    <w:p w14:paraId="1E09213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כָּל־זָכָ֥ר בַּכֹּהֲנִ֖ים יֹאכְלֶ֑נּוּ בְּמָק֤וֹם קָדוֹשׁ֙ יֵאָכֵ֔ל קֹ֥דֶשׁ קָֽדָשִׁ֖ים הֽוּא׃</w:t>
      </w:r>
    </w:p>
    <w:p w14:paraId="5F4CBE0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Alles Männliche unter den Priestern soll es essen; an heiligem Ort soll es gegessen werden: Hochheilig ist es.</w:t>
      </w:r>
    </w:p>
    <w:p w14:paraId="1E2229F2"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36E8E707">
          <v:rect id="_x0000_i1164" style="width:0;height:1.5pt" o:hralign="center" o:hrstd="t" o:hr="t" fillcolor="#a0a0a0" stroked="f"/>
        </w:pict>
      </w:r>
    </w:p>
    <w:p w14:paraId="1FAFECE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Kommentar:</w:t>
      </w:r>
      <w:r w:rsidRPr="00971D84">
        <w:rPr>
          <w:rFonts w:eastAsia="Times New Roman" w:cs="Times New Roman"/>
          <w:lang w:eastAsia="de-DE"/>
        </w:rPr>
        <w:t xml:space="preserve"> </w:t>
      </w:r>
      <w:r w:rsidRPr="00971D84">
        <w:rPr>
          <w:rFonts w:eastAsia="Times New Roman" w:cs="Times New Roman"/>
          <w:b/>
          <w:bCs/>
          <w:rtl/>
          <w:lang w:eastAsia="de-DE"/>
        </w:rPr>
        <w:t>כָּל־זָכָ֥ר בַּכֹּהֲנִ֖ים יֹאכְלֶ֑נּוּ בְּמָק֤וֹם קָדוֹשׁ֙ יֵאָכֵ֔ל קֹ֥דֶשׁ קָֽדָשִׁ֖ים הֽוּא</w:t>
      </w:r>
      <w:r w:rsidRPr="00971D84">
        <w:rPr>
          <w:rFonts w:eastAsia="Times New Roman" w:cs="Times New Roman"/>
          <w:rtl/>
          <w:lang w:eastAsia="de-DE"/>
        </w:rPr>
        <w:t xml:space="preserve"> </w:t>
      </w:r>
      <w:r w:rsidRPr="00971D84">
        <w:rPr>
          <w:rFonts w:eastAsia="Times New Roman" w:cs="Times New Roman"/>
          <w:lang w:eastAsia="de-DE"/>
        </w:rPr>
        <w:t xml:space="preserve">entspricht exakt 6,22 für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6,11 für </w:t>
      </w:r>
      <w:r w:rsidRPr="00971D84">
        <w:rPr>
          <w:rFonts w:eastAsia="Times New Roman" w:cs="Times New Roman"/>
          <w:b/>
          <w:bCs/>
          <w:rtl/>
          <w:lang w:eastAsia="de-DE"/>
        </w:rPr>
        <w:t>מנחה</w:t>
      </w:r>
      <w:r w:rsidRPr="00971D84">
        <w:rPr>
          <w:rFonts w:eastAsia="Times New Roman" w:cs="Times New Roman"/>
          <w:lang w:eastAsia="de-DE"/>
        </w:rPr>
        <w:t xml:space="preserve">. </w:t>
      </w:r>
      <w:r w:rsidRPr="00971D84">
        <w:rPr>
          <w:rFonts w:eastAsia="Times New Roman" w:cs="Times New Roman"/>
          <w:b/>
          <w:bCs/>
          <w:rtl/>
          <w:lang w:eastAsia="de-DE"/>
        </w:rPr>
        <w:t>כל־זכר בכהנים יאכלנו</w:t>
      </w:r>
      <w:r w:rsidRPr="00971D84">
        <w:rPr>
          <w:rFonts w:eastAsia="Times New Roman" w:cs="Times New Roman"/>
          <w:rtl/>
          <w:lang w:eastAsia="de-DE"/>
        </w:rPr>
        <w:t xml:space="preserve"> </w:t>
      </w:r>
      <w:r w:rsidRPr="00971D84">
        <w:rPr>
          <w:rFonts w:eastAsia="Times New Roman" w:cs="Times New Roman"/>
          <w:lang w:eastAsia="de-DE"/>
        </w:rPr>
        <w:t xml:space="preserve">(alles Männliche unter den Priestern soll es essen), </w:t>
      </w:r>
      <w:r w:rsidRPr="00971D84">
        <w:rPr>
          <w:rFonts w:eastAsia="Times New Roman" w:cs="Times New Roman"/>
          <w:b/>
          <w:bCs/>
          <w:rtl/>
          <w:lang w:eastAsia="de-DE"/>
        </w:rPr>
        <w:t>במקום קדוש יאכל</w:t>
      </w:r>
      <w:r w:rsidRPr="00971D84">
        <w:rPr>
          <w:rFonts w:eastAsia="Times New Roman" w:cs="Times New Roman"/>
          <w:rtl/>
          <w:lang w:eastAsia="de-DE"/>
        </w:rPr>
        <w:t xml:space="preserve"> </w:t>
      </w:r>
      <w:r w:rsidRPr="00971D84">
        <w:rPr>
          <w:rFonts w:eastAsia="Times New Roman" w:cs="Times New Roman"/>
          <w:lang w:eastAsia="de-DE"/>
        </w:rPr>
        <w:t xml:space="preserve">(an heiligem Ort soll es gegessen werden), </w:t>
      </w:r>
      <w:r w:rsidRPr="00971D84">
        <w:rPr>
          <w:rFonts w:eastAsia="Times New Roman" w:cs="Times New Roman"/>
          <w:b/>
          <w:bCs/>
          <w:rtl/>
          <w:lang w:eastAsia="de-DE"/>
        </w:rPr>
        <w:t>קדש קדשים הוא</w:t>
      </w:r>
      <w:r w:rsidRPr="00971D84">
        <w:rPr>
          <w:rFonts w:eastAsia="Times New Roman" w:cs="Times New Roman"/>
          <w:rtl/>
          <w:lang w:eastAsia="de-DE"/>
        </w:rPr>
        <w:t xml:space="preserve"> </w:t>
      </w:r>
      <w:r w:rsidRPr="00971D84">
        <w:rPr>
          <w:rFonts w:eastAsia="Times New Roman" w:cs="Times New Roman"/>
          <w:lang w:eastAsia="de-DE"/>
        </w:rPr>
        <w:t>(hochheilig ist es).</w:t>
      </w:r>
    </w:p>
    <w:p w14:paraId="3B1F1D8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 identische Formulierung etabliert </w:t>
      </w:r>
      <w:r w:rsidRPr="00971D84">
        <w:rPr>
          <w:rFonts w:eastAsia="Times New Roman" w:cs="Times New Roman"/>
          <w:b/>
          <w:bCs/>
          <w:rtl/>
          <w:lang w:eastAsia="de-DE"/>
        </w:rPr>
        <w:t>אשם</w:t>
      </w:r>
      <w:r w:rsidRPr="00971D84">
        <w:rPr>
          <w:rFonts w:eastAsia="Times New Roman" w:cs="Times New Roman"/>
          <w:lang w:eastAsia="de-DE"/>
        </w:rPr>
        <w:t xml:space="preserve">,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 xml:space="preserve">als </w:t>
      </w:r>
      <w:r w:rsidRPr="00971D84">
        <w:rPr>
          <w:rFonts w:eastAsia="Times New Roman" w:cs="Times New Roman"/>
          <w:b/>
          <w:bCs/>
          <w:rtl/>
          <w:lang w:eastAsia="de-DE"/>
        </w:rPr>
        <w:t>קדש קדשים</w:t>
      </w:r>
      <w:r w:rsidRPr="00971D84">
        <w:rPr>
          <w:rFonts w:eastAsia="Times New Roman" w:cs="Times New Roman"/>
          <w:rtl/>
          <w:lang w:eastAsia="de-DE"/>
        </w:rPr>
        <w:t xml:space="preserve"> </w:t>
      </w:r>
      <w:r w:rsidRPr="00971D84">
        <w:rPr>
          <w:rFonts w:eastAsia="Times New Roman" w:cs="Times New Roman"/>
          <w:lang w:eastAsia="de-DE"/>
        </w:rPr>
        <w:t>mit denselben Verzehrbestimmungen: nur männliche Priester, nur an heiligem Ort (Heiligtumsvorhof).</w:t>
      </w:r>
    </w:p>
    <w:p w14:paraId="33BD6B5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יאכלנו</w:t>
      </w:r>
      <w:r w:rsidRPr="00971D84">
        <w:rPr>
          <w:rFonts w:eastAsia="Times New Roman" w:cs="Times New Roman"/>
          <w:rtl/>
          <w:lang w:eastAsia="de-DE"/>
        </w:rPr>
        <w:t xml:space="preserve"> </w:t>
      </w:r>
      <w:r w:rsidRPr="00971D84">
        <w:rPr>
          <w:rFonts w:eastAsia="Times New Roman" w:cs="Times New Roman"/>
          <w:lang w:eastAsia="de-DE"/>
        </w:rPr>
        <w:t xml:space="preserve">(soll es essen) mit maskulinem Suffix bezieht sich auf das </w:t>
      </w:r>
      <w:r w:rsidRPr="00971D84">
        <w:rPr>
          <w:rFonts w:eastAsia="Times New Roman" w:cs="Times New Roman"/>
          <w:b/>
          <w:bCs/>
          <w:rtl/>
          <w:lang w:eastAsia="de-DE"/>
        </w:rPr>
        <w:t>אשם</w:t>
      </w:r>
      <w:r w:rsidRPr="00971D84">
        <w:rPr>
          <w:rFonts w:eastAsia="Times New Roman" w:cs="Times New Roman"/>
          <w:lang w:eastAsia="de-DE"/>
        </w:rPr>
        <w:t xml:space="preserve">-Fleisch nach Abzug der Fettteile. </w:t>
      </w:r>
      <w:r w:rsidRPr="00971D84">
        <w:rPr>
          <w:rFonts w:eastAsia="Times New Roman" w:cs="Times New Roman"/>
          <w:b/>
          <w:bCs/>
          <w:rtl/>
          <w:lang w:eastAsia="de-DE"/>
        </w:rPr>
        <w:t>במקום קדוש</w:t>
      </w:r>
      <w:r w:rsidRPr="00971D84">
        <w:rPr>
          <w:rFonts w:eastAsia="Times New Roman" w:cs="Times New Roman"/>
          <w:rtl/>
          <w:lang w:eastAsia="de-DE"/>
        </w:rPr>
        <w:t xml:space="preserve"> </w:t>
      </w:r>
      <w:r w:rsidRPr="00971D84">
        <w:rPr>
          <w:rFonts w:eastAsia="Times New Roman" w:cs="Times New Roman"/>
          <w:lang w:eastAsia="de-DE"/>
        </w:rPr>
        <w:t xml:space="preserve">entspricht 6,9.19: </w:t>
      </w:r>
      <w:r w:rsidRPr="00971D84">
        <w:rPr>
          <w:rFonts w:eastAsia="Times New Roman" w:cs="Times New Roman"/>
          <w:b/>
          <w:bCs/>
          <w:rtl/>
          <w:lang w:eastAsia="de-DE"/>
        </w:rPr>
        <w:t>בחצר אהל־מועד</w:t>
      </w:r>
      <w:r w:rsidRPr="00971D84">
        <w:rPr>
          <w:rFonts w:eastAsia="Times New Roman" w:cs="Times New Roman"/>
          <w:rtl/>
          <w:lang w:eastAsia="de-DE"/>
        </w:rPr>
        <w:t xml:space="preserve"> </w:t>
      </w:r>
      <w:r w:rsidRPr="00971D84">
        <w:rPr>
          <w:rFonts w:eastAsia="Times New Roman" w:cs="Times New Roman"/>
          <w:lang w:eastAsia="de-DE"/>
        </w:rPr>
        <w:t>(im Vorhof des Zeltes der Begegnung).</w:t>
      </w:r>
    </w:p>
    <w:p w14:paraId="04CB962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identisch zu 6,22: </w:t>
      </w:r>
      <w:r w:rsidRPr="00971D84">
        <w:rPr>
          <w:rFonts w:eastAsia="Times New Roman" w:cs="Times New Roman"/>
          <w:b/>
          <w:bCs/>
          <w:lang w:eastAsia="de-DE"/>
        </w:rPr>
        <w:t>κ</w:t>
      </w:r>
      <w:r w:rsidRPr="00971D84">
        <w:rPr>
          <w:rFonts w:eastAsia="Times New Roman" w:cs="Times New Roman"/>
          <w:b/>
          <w:bCs/>
          <w:rtl/>
          <w:lang w:eastAsia="de-DE"/>
        </w:rPr>
        <w:t>ָּל־זָכָ֥ר</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ᾶν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ἀρσενικόν</w:t>
      </w:r>
      <w:proofErr w:type="spellEnd"/>
      <w:r w:rsidRPr="00971D84">
        <w:rPr>
          <w:rFonts w:eastAsia="Times New Roman" w:cs="Times New Roman"/>
          <w:lang w:eastAsia="de-DE"/>
        </w:rPr>
        <w:t xml:space="preserve"> (alles Männliche), </w:t>
      </w:r>
      <w:r w:rsidRPr="00971D84">
        <w:rPr>
          <w:rFonts w:eastAsia="Times New Roman" w:cs="Times New Roman"/>
          <w:b/>
          <w:bCs/>
          <w:rtl/>
          <w:lang w:eastAsia="de-DE"/>
        </w:rPr>
        <w:t>בְּמָק֤וֹם קָדוֹשׁ֙</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τό</w:t>
      </w:r>
      <w:proofErr w:type="spellEnd"/>
      <w:r w:rsidRPr="00971D84">
        <w:rPr>
          <w:rFonts w:eastAsia="Times New Roman" w:cs="Times New Roman"/>
          <w:lang w:eastAsia="de-DE"/>
        </w:rPr>
        <w:t xml:space="preserve">πῳ </w:t>
      </w:r>
      <w:proofErr w:type="spellStart"/>
      <w:r w:rsidRPr="00971D84">
        <w:rPr>
          <w:rFonts w:eastAsia="Times New Roman" w:cs="Times New Roman"/>
          <w:lang w:eastAsia="de-DE"/>
        </w:rPr>
        <w:t>ἁγίῳ</w:t>
      </w:r>
      <w:proofErr w:type="spellEnd"/>
      <w:r w:rsidRPr="00971D84">
        <w:rPr>
          <w:rFonts w:eastAsia="Times New Roman" w:cs="Times New Roman"/>
          <w:lang w:eastAsia="de-DE"/>
        </w:rPr>
        <w:t xml:space="preserve"> (an heiligem Ort) und </w:t>
      </w:r>
      <w:r w:rsidRPr="00971D84">
        <w:rPr>
          <w:rFonts w:eastAsia="Times New Roman" w:cs="Times New Roman"/>
          <w:b/>
          <w:bCs/>
          <w:rtl/>
          <w:lang w:eastAsia="de-DE"/>
        </w:rPr>
        <w:t>קֹ֥דֶשׁ קָֽדָשִׁ֖ים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ἅγι</w:t>
      </w:r>
      <w:proofErr w:type="spellEnd"/>
      <w:r w:rsidRPr="00971D84">
        <w:rPr>
          <w:rFonts w:eastAsia="Times New Roman" w:cs="Times New Roman"/>
          <w:lang w:eastAsia="de-DE"/>
        </w:rPr>
        <w:t xml:space="preserve">α </w:t>
      </w:r>
      <w:proofErr w:type="spellStart"/>
      <w:r w:rsidRPr="00971D84">
        <w:rPr>
          <w:rFonts w:eastAsia="Times New Roman" w:cs="Times New Roman"/>
          <w:lang w:eastAsia="de-DE"/>
        </w:rPr>
        <w:t>ἁγίων</w:t>
      </w:r>
      <w:proofErr w:type="spellEnd"/>
      <w:r w:rsidRPr="00971D84">
        <w:rPr>
          <w:rFonts w:eastAsia="Times New Roman" w:cs="Times New Roman"/>
          <w:lang w:eastAsia="de-DE"/>
        </w:rPr>
        <w:t xml:space="preserve"> (heilige der heiligen).</w:t>
      </w:r>
    </w:p>
    <w:p w14:paraId="114C8D8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entspricht exakt 6,11.22: Subjekt + Verb + Objekt + Ortsbestimmung + Verb + Klassifikation. Die identische Struktur unterstreicht die einheitlichen </w:t>
      </w:r>
      <w:r w:rsidRPr="00971D84">
        <w:rPr>
          <w:rFonts w:eastAsia="Times New Roman" w:cs="Times New Roman"/>
          <w:b/>
          <w:bCs/>
          <w:rtl/>
          <w:lang w:eastAsia="de-DE"/>
        </w:rPr>
        <w:t>קדש קדשים</w:t>
      </w:r>
      <w:r w:rsidRPr="00971D84">
        <w:rPr>
          <w:rFonts w:eastAsia="Times New Roman" w:cs="Times New Roman"/>
          <w:lang w:eastAsia="de-DE"/>
        </w:rPr>
        <w:t>-Bestimmungen.</w:t>
      </w:r>
    </w:p>
    <w:p w14:paraId="40DDED0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in denselben </w:t>
      </w:r>
      <w:r w:rsidRPr="00971D84">
        <w:rPr>
          <w:rFonts w:eastAsia="Times New Roman" w:cs="Times New Roman"/>
          <w:b/>
          <w:bCs/>
          <w:rtl/>
          <w:lang w:eastAsia="de-DE"/>
        </w:rPr>
        <w:t>קדש קדשים</w:t>
      </w:r>
      <w:r w:rsidRPr="00971D84">
        <w:rPr>
          <w:rFonts w:eastAsia="Times New Roman" w:cs="Times New Roman"/>
          <w:lang w:eastAsia="de-DE"/>
        </w:rPr>
        <w:t xml:space="preserve">-Verzehrbestimmungen wie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מנחה</w:t>
      </w:r>
      <w:r w:rsidRPr="00971D84">
        <w:rPr>
          <w:rFonts w:eastAsia="Times New Roman" w:cs="Times New Roman"/>
          <w:lang w:eastAsia="de-DE"/>
        </w:rPr>
        <w:t>.</w:t>
      </w:r>
    </w:p>
    <w:p w14:paraId="1CD9EFFF"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7,7</w:t>
      </w:r>
    </w:p>
    <w:p w14:paraId="6FD8B8B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כַּֽחַטָּאת֙ כָּֽאָשָׁ֔ם תּוֹרָ֥ה אַחַ֖ת לָהֶ֑ם הַכֹּהֵ֛ן אֲשֶׁ֥ר יְכַפֶּר־בּוֹ֖ לוֹ֥ יִהְיֶֽה׃</w:t>
      </w:r>
    </w:p>
    <w:p w14:paraId="68323AD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Wie das Sündopfer, so das Schuldopfer: Eine Torah soll für sie sein. Der Priester, der damit Sühne erwirkt, soll es gehören.</w:t>
      </w:r>
    </w:p>
    <w:p w14:paraId="6A080A2B"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1FF3BCB4">
          <v:rect id="_x0000_i1165" style="width:0;height:1.5pt" o:hralign="center" o:hrstd="t" o:hr="t" fillcolor="#a0a0a0" stroked="f"/>
        </w:pict>
      </w:r>
    </w:p>
    <w:p w14:paraId="517AF91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כַּֽחַטָּאת֙ כָּֽאָשָׁ֔ם תּוֹרָ֥ה אַחַ֖ת לָהֶ֑ם</w:t>
      </w:r>
      <w:r w:rsidRPr="00971D84">
        <w:rPr>
          <w:rFonts w:eastAsia="Times New Roman" w:cs="Times New Roman"/>
          <w:rtl/>
          <w:lang w:eastAsia="de-DE"/>
        </w:rPr>
        <w:t xml:space="preserve"> </w:t>
      </w:r>
      <w:r w:rsidRPr="00971D84">
        <w:rPr>
          <w:rFonts w:eastAsia="Times New Roman" w:cs="Times New Roman"/>
          <w:lang w:eastAsia="de-DE"/>
        </w:rPr>
        <w:t xml:space="preserve">(wie das Sündopfer, so das Schuldopfer: eine Torah für sie) etabliert die rechtliche Gleichstellung. </w:t>
      </w:r>
      <w:r w:rsidRPr="00971D84">
        <w:rPr>
          <w:rFonts w:eastAsia="Times New Roman" w:cs="Times New Roman"/>
          <w:b/>
          <w:bCs/>
          <w:rtl/>
          <w:lang w:eastAsia="de-DE"/>
        </w:rPr>
        <w:t>כחטאת כאשם</w:t>
      </w:r>
      <w:r w:rsidRPr="00971D84">
        <w:rPr>
          <w:rFonts w:eastAsia="Times New Roman" w:cs="Times New Roman"/>
          <w:rtl/>
          <w:lang w:eastAsia="de-DE"/>
        </w:rPr>
        <w:t xml:space="preserve"> </w:t>
      </w:r>
      <w:r w:rsidRPr="00971D84">
        <w:rPr>
          <w:rFonts w:eastAsia="Times New Roman" w:cs="Times New Roman"/>
          <w:lang w:eastAsia="de-DE"/>
        </w:rPr>
        <w:t xml:space="preserve">(wie das Sündopfer, so das Schuldopfer) mit vergleichender </w:t>
      </w:r>
      <w:r w:rsidRPr="00971D84">
        <w:rPr>
          <w:rFonts w:eastAsia="Times New Roman" w:cs="Times New Roman"/>
          <w:b/>
          <w:bCs/>
          <w:rtl/>
          <w:lang w:eastAsia="de-DE"/>
        </w:rPr>
        <w:t>כ</w:t>
      </w:r>
      <w:r w:rsidRPr="00971D84">
        <w:rPr>
          <w:rFonts w:eastAsia="Times New Roman" w:cs="Times New Roman"/>
          <w:lang w:eastAsia="de-DE"/>
        </w:rPr>
        <w:t xml:space="preserve">, </w:t>
      </w:r>
      <w:r w:rsidRPr="00971D84">
        <w:rPr>
          <w:rFonts w:eastAsia="Times New Roman" w:cs="Times New Roman"/>
          <w:b/>
          <w:bCs/>
          <w:rtl/>
          <w:lang w:eastAsia="de-DE"/>
        </w:rPr>
        <w:t>תורה אחת להם</w:t>
      </w:r>
      <w:r w:rsidRPr="00971D84">
        <w:rPr>
          <w:rFonts w:eastAsia="Times New Roman" w:cs="Times New Roman"/>
          <w:rtl/>
          <w:lang w:eastAsia="de-DE"/>
        </w:rPr>
        <w:t xml:space="preserve"> </w:t>
      </w:r>
      <w:r w:rsidRPr="00971D84">
        <w:rPr>
          <w:rFonts w:eastAsia="Times New Roman" w:cs="Times New Roman"/>
          <w:lang w:eastAsia="de-DE"/>
        </w:rPr>
        <w:t>(eine Torah für sie).</w:t>
      </w:r>
    </w:p>
    <w:p w14:paraId="75B2257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הַכֹּהֵ֛ן אֲשֶׁ֥ר יְכַפֶּר־בּוֹ֖ לוֹ֥ יִהְיֶֽה</w:t>
      </w:r>
      <w:r w:rsidRPr="00971D84">
        <w:rPr>
          <w:rFonts w:eastAsia="Times New Roman" w:cs="Times New Roman"/>
          <w:rtl/>
          <w:lang w:eastAsia="de-DE"/>
        </w:rPr>
        <w:t xml:space="preserve"> </w:t>
      </w:r>
      <w:r w:rsidRPr="00971D84">
        <w:rPr>
          <w:rFonts w:eastAsia="Times New Roman" w:cs="Times New Roman"/>
          <w:lang w:eastAsia="de-DE"/>
        </w:rPr>
        <w:t xml:space="preserve">(der Priester, der damit Sühne erwirkt, ihm soll es gehören) regelt die priesterliche Berechtigung. </w:t>
      </w:r>
      <w:r w:rsidRPr="00971D84">
        <w:rPr>
          <w:rFonts w:eastAsia="Times New Roman" w:cs="Times New Roman"/>
          <w:b/>
          <w:bCs/>
          <w:rtl/>
          <w:lang w:eastAsia="de-DE"/>
        </w:rPr>
        <w:t>הכהן אשר יכפר־בו</w:t>
      </w:r>
      <w:r w:rsidRPr="00971D84">
        <w:rPr>
          <w:rFonts w:eastAsia="Times New Roman" w:cs="Times New Roman"/>
          <w:rtl/>
          <w:lang w:eastAsia="de-DE"/>
        </w:rPr>
        <w:t xml:space="preserve"> </w:t>
      </w:r>
      <w:r w:rsidRPr="00971D84">
        <w:rPr>
          <w:rFonts w:eastAsia="Times New Roman" w:cs="Times New Roman"/>
          <w:lang w:eastAsia="de-DE"/>
        </w:rPr>
        <w:t xml:space="preserve">(der Priester, der damit Sühne erwirkt), </w:t>
      </w:r>
      <w:r w:rsidRPr="00971D84">
        <w:rPr>
          <w:rFonts w:eastAsia="Times New Roman" w:cs="Times New Roman"/>
          <w:b/>
          <w:bCs/>
          <w:rtl/>
          <w:lang w:eastAsia="de-DE"/>
        </w:rPr>
        <w:t>לו יהיה</w:t>
      </w:r>
      <w:r w:rsidRPr="00971D84">
        <w:rPr>
          <w:rFonts w:eastAsia="Times New Roman" w:cs="Times New Roman"/>
          <w:rtl/>
          <w:lang w:eastAsia="de-DE"/>
        </w:rPr>
        <w:t xml:space="preserve"> </w:t>
      </w:r>
      <w:r w:rsidRPr="00971D84">
        <w:rPr>
          <w:rFonts w:eastAsia="Times New Roman" w:cs="Times New Roman"/>
          <w:lang w:eastAsia="de-DE"/>
        </w:rPr>
        <w:t>(ihm soll es gehören).</w:t>
      </w:r>
    </w:p>
    <w:p w14:paraId="4E55399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כחטאת כאשם תורה אחת להם</w:t>
      </w:r>
      <w:r w:rsidRPr="00971D84">
        <w:rPr>
          <w:rFonts w:eastAsia="Times New Roman" w:cs="Times New Roman"/>
          <w:rtl/>
          <w:lang w:eastAsia="de-DE"/>
        </w:rPr>
        <w:t xml:space="preserve"> </w:t>
      </w:r>
      <w:r w:rsidRPr="00971D84">
        <w:rPr>
          <w:rFonts w:eastAsia="Times New Roman" w:cs="Times New Roman"/>
          <w:lang w:eastAsia="de-DE"/>
        </w:rPr>
        <w:t xml:space="preserve">zeigt, dass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rechtlich identisch behandelt werden: dieselben Verzehr-, Reinigungs- und Heiligkeitsbestimmungen. </w:t>
      </w:r>
      <w:r w:rsidRPr="00971D84">
        <w:rPr>
          <w:rFonts w:eastAsia="Times New Roman" w:cs="Times New Roman"/>
          <w:b/>
          <w:bCs/>
          <w:rtl/>
          <w:lang w:eastAsia="de-DE"/>
        </w:rPr>
        <w:t>תורה אחת</w:t>
      </w:r>
      <w:r w:rsidRPr="00971D84">
        <w:rPr>
          <w:rFonts w:eastAsia="Times New Roman" w:cs="Times New Roman"/>
          <w:rtl/>
          <w:lang w:eastAsia="de-DE"/>
        </w:rPr>
        <w:t xml:space="preserve"> </w:t>
      </w:r>
      <w:r w:rsidRPr="00971D84">
        <w:rPr>
          <w:rFonts w:eastAsia="Times New Roman" w:cs="Times New Roman"/>
          <w:lang w:eastAsia="de-DE"/>
        </w:rPr>
        <w:t>(eine Torah) bedeutet einheitliche Rechtssprechung.</w:t>
      </w:r>
    </w:p>
    <w:p w14:paraId="368E9E5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הכהן אשר יכפר־בו לו יהיה</w:t>
      </w:r>
      <w:r w:rsidRPr="00971D84">
        <w:rPr>
          <w:rFonts w:eastAsia="Times New Roman" w:cs="Times New Roman"/>
          <w:rtl/>
          <w:lang w:eastAsia="de-DE"/>
        </w:rPr>
        <w:t xml:space="preserve"> </w:t>
      </w:r>
      <w:r w:rsidRPr="00971D84">
        <w:rPr>
          <w:rFonts w:eastAsia="Times New Roman" w:cs="Times New Roman"/>
          <w:lang w:eastAsia="de-DE"/>
        </w:rPr>
        <w:t xml:space="preserve">spezifiziert, dass der sühnende Priester (nicht alle Priester) das Fleisch erhält, entsprechend 6,19 für </w:t>
      </w:r>
      <w:r w:rsidRPr="00971D84">
        <w:rPr>
          <w:rFonts w:eastAsia="Times New Roman" w:cs="Times New Roman"/>
          <w:b/>
          <w:bCs/>
          <w:rtl/>
          <w:lang w:eastAsia="de-DE"/>
        </w:rPr>
        <w:t>חטאת</w:t>
      </w:r>
      <w:r w:rsidRPr="00971D84">
        <w:rPr>
          <w:rFonts w:eastAsia="Times New Roman" w:cs="Times New Roman"/>
          <w:lang w:eastAsia="de-DE"/>
        </w:rPr>
        <w:t>.</w:t>
      </w:r>
    </w:p>
    <w:p w14:paraId="185D0C3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כַּֽחַטָּאת֙ כָּֽאָשָׁ֔ם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ὥσ</w:t>
      </w:r>
      <w:proofErr w:type="spellEnd"/>
      <w:r w:rsidRPr="00971D84">
        <w:rPr>
          <w:rFonts w:eastAsia="Times New Roman" w:cs="Times New Roman"/>
          <w:lang w:eastAsia="de-DE"/>
        </w:rPr>
        <w:t xml:space="preserve">περ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ερὶ</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ἁμ</w:t>
      </w:r>
      <w:proofErr w:type="spellEnd"/>
      <w:r w:rsidRPr="00971D84">
        <w:rPr>
          <w:rFonts w:eastAsia="Times New Roman" w:cs="Times New Roman"/>
          <w:lang w:eastAsia="de-DE"/>
        </w:rPr>
        <w:t xml:space="preserve">αρτίας </w:t>
      </w:r>
      <w:proofErr w:type="spellStart"/>
      <w:r w:rsidRPr="00971D84">
        <w:rPr>
          <w:rFonts w:eastAsia="Times New Roman" w:cs="Times New Roman"/>
          <w:lang w:eastAsia="de-DE"/>
        </w:rPr>
        <w:t>οὕτως</w:t>
      </w:r>
      <w:proofErr w:type="spellEnd"/>
      <w:r w:rsidRPr="00971D84">
        <w:rPr>
          <w:rFonts w:eastAsia="Times New Roman" w:cs="Times New Roman"/>
          <w:lang w:eastAsia="de-DE"/>
        </w:rPr>
        <w:t xml:space="preserve"> καὶ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ερὶ</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λημμελεί</w:t>
      </w:r>
      <w:proofErr w:type="spellEnd"/>
      <w:r w:rsidRPr="00971D84">
        <w:rPr>
          <w:rFonts w:eastAsia="Times New Roman" w:cs="Times New Roman"/>
          <w:lang w:eastAsia="de-DE"/>
        </w:rPr>
        <w:t xml:space="preserve">ας (wie das bezüglich Sünde, so auch das bezüglich Verfehlung), </w:t>
      </w:r>
      <w:r w:rsidRPr="00971D84">
        <w:rPr>
          <w:rFonts w:eastAsia="Times New Roman" w:cs="Times New Roman"/>
          <w:b/>
          <w:bCs/>
          <w:rtl/>
          <w:lang w:eastAsia="de-DE"/>
        </w:rPr>
        <w:t>תּוֹרָ֥ה אַחַ֖ת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νόμος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εἷς</w:t>
      </w:r>
      <w:proofErr w:type="spellEnd"/>
      <w:r w:rsidRPr="00971D84">
        <w:rPr>
          <w:rFonts w:eastAsia="Times New Roman" w:cs="Times New Roman"/>
          <w:lang w:eastAsia="de-DE"/>
        </w:rPr>
        <w:t xml:space="preserve"> (ein Gesetz) und </w:t>
      </w:r>
      <w:r w:rsidRPr="00971D84">
        <w:rPr>
          <w:rFonts w:eastAsia="Times New Roman" w:cs="Times New Roman"/>
          <w:b/>
          <w:bCs/>
          <w:rtl/>
          <w:lang w:eastAsia="de-DE"/>
        </w:rPr>
        <w:t>יְכַפֶּר־בּוֹ֖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ἐξιλάσητ</w:t>
      </w:r>
      <w:proofErr w:type="spellEnd"/>
      <w:r w:rsidRPr="00971D84">
        <w:rPr>
          <w:rFonts w:eastAsia="Times New Roman" w:cs="Times New Roman"/>
          <w:lang w:eastAsia="de-DE"/>
        </w:rPr>
        <w:t xml:space="preserve">αι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ὐτῷ</w:t>
      </w:r>
      <w:proofErr w:type="spellEnd"/>
      <w:r w:rsidRPr="00971D84">
        <w:rPr>
          <w:rFonts w:eastAsia="Times New Roman" w:cs="Times New Roman"/>
          <w:lang w:eastAsia="de-DE"/>
        </w:rPr>
        <w:t xml:space="preserve"> (er sühnt mit ihm).</w:t>
      </w:r>
    </w:p>
    <w:p w14:paraId="44AAF5B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Die Satzstruktur:</w:t>
      </w:r>
      <w:r w:rsidRPr="00971D84">
        <w:rPr>
          <w:rFonts w:eastAsia="Times New Roman" w:cs="Times New Roman"/>
          <w:lang w:eastAsia="de-DE"/>
        </w:rPr>
        <w:t xml:space="preserve"> zeigt rechtliche Gleichstellung + Zuweisungsregelung: vergleichende Analogie + einheitliche Rechtsformel // Subjekt mit Relativsatz + Zuweisung. Die Struktur etabliert die </w:t>
      </w:r>
      <w:r w:rsidRPr="00971D84">
        <w:rPr>
          <w:rFonts w:eastAsia="Times New Roman" w:cs="Times New Roman"/>
          <w:b/>
          <w:bCs/>
          <w:rtl/>
          <w:lang w:eastAsia="de-DE"/>
        </w:rPr>
        <w:t>חטאת</w:t>
      </w:r>
      <w:r w:rsidRPr="00971D84">
        <w:rPr>
          <w:rFonts w:eastAsia="Times New Roman" w:cs="Times New Roman"/>
          <w:lang w:eastAsia="de-DE"/>
        </w:rPr>
        <w:t>-</w:t>
      </w:r>
      <w:r w:rsidRPr="00971D84">
        <w:rPr>
          <w:rFonts w:eastAsia="Times New Roman" w:cs="Times New Roman"/>
          <w:b/>
          <w:bCs/>
          <w:rtl/>
          <w:lang w:eastAsia="de-DE"/>
        </w:rPr>
        <w:t>אשם</w:t>
      </w:r>
      <w:r w:rsidRPr="00971D84">
        <w:rPr>
          <w:rFonts w:eastAsia="Times New Roman" w:cs="Times New Roman"/>
          <w:lang w:eastAsia="de-DE"/>
        </w:rPr>
        <w:t>-Rechtseinheit.</w:t>
      </w:r>
    </w:p>
    <w:p w14:paraId="6DA270B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die rechtliche Identität von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und weist das Fleisch dem sühnenden Priester zu.</w:t>
      </w:r>
    </w:p>
    <w:p w14:paraId="0BCAC52C"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7,8</w:t>
      </w:r>
    </w:p>
    <w:p w14:paraId="7CFACE5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וְהַ֨כֹּהֵ֔ן הַמַּקְרִ֖יב אֶת־עֹ֣לַת אִ֑ישׁ ע֤וֹר הָֽעֹלָה֙ אֲשֶׁ֣ר הִקְרִ֔יב לַכֹּהֵ֖ן לוֹ֥ יִהְיֶֽה׃</w:t>
      </w:r>
    </w:p>
    <w:p w14:paraId="3CCC04D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der Priester, der jemandes Aufsteigeopfer darbringt: Ihm, dem Priester, soll die Haut des Aufsteigeopfers gehören, das er dargebracht hat.</w:t>
      </w:r>
    </w:p>
    <w:p w14:paraId="79E30039"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49B11F7">
          <v:rect id="_x0000_i1166" style="width:0;height:1.5pt" o:hralign="center" o:hrstd="t" o:hr="t" fillcolor="#a0a0a0" stroked="f"/>
        </w:pict>
      </w:r>
    </w:p>
    <w:p w14:paraId="148C9387" w14:textId="6A640D42"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וְהַ֨כֹּהֵ֔ן הַמַּקְרִ֖יב אֶת־עֹ֣לַת אִ֑ישׁ</w:t>
      </w:r>
      <w:r w:rsidRPr="00971D84">
        <w:rPr>
          <w:rFonts w:eastAsia="Times New Roman" w:cs="Times New Roman"/>
          <w:rtl/>
          <w:lang w:eastAsia="de-DE"/>
        </w:rPr>
        <w:t xml:space="preserve"> </w:t>
      </w:r>
      <w:r w:rsidRPr="00971D84">
        <w:rPr>
          <w:rFonts w:eastAsia="Times New Roman" w:cs="Times New Roman"/>
          <w:lang w:eastAsia="de-DE"/>
        </w:rPr>
        <w:t xml:space="preserve">(und der Priester, der jemandes </w:t>
      </w:r>
      <w:r w:rsidR="00CF10E7">
        <w:rPr>
          <w:rFonts w:eastAsia="Times New Roman" w:cs="Times New Roman"/>
          <w:lang w:eastAsia="de-DE"/>
        </w:rPr>
        <w:t>Aufsteigeopfer</w:t>
      </w:r>
      <w:r w:rsidRPr="00971D84">
        <w:rPr>
          <w:rFonts w:eastAsia="Times New Roman" w:cs="Times New Roman"/>
          <w:lang w:eastAsia="de-DE"/>
        </w:rPr>
        <w:t xml:space="preserve"> darbringt) spezifiziert den darbringenden Priester. </w:t>
      </w:r>
      <w:r w:rsidRPr="00971D84">
        <w:rPr>
          <w:rFonts w:eastAsia="Times New Roman" w:cs="Times New Roman"/>
          <w:b/>
          <w:bCs/>
          <w:rtl/>
          <w:lang w:eastAsia="de-DE"/>
        </w:rPr>
        <w:t>והכהן המקריב</w:t>
      </w:r>
      <w:r w:rsidRPr="00971D84">
        <w:rPr>
          <w:rFonts w:eastAsia="Times New Roman" w:cs="Times New Roman"/>
          <w:rtl/>
          <w:lang w:eastAsia="de-DE"/>
        </w:rPr>
        <w:t xml:space="preserve"> </w:t>
      </w:r>
      <w:r w:rsidRPr="00971D84">
        <w:rPr>
          <w:rFonts w:eastAsia="Times New Roman" w:cs="Times New Roman"/>
          <w:lang w:eastAsia="de-DE"/>
        </w:rPr>
        <w:t xml:space="preserve">(und der Priester, der darbringt), </w:t>
      </w:r>
      <w:r w:rsidRPr="00971D84">
        <w:rPr>
          <w:rFonts w:eastAsia="Times New Roman" w:cs="Times New Roman"/>
          <w:b/>
          <w:bCs/>
          <w:rtl/>
          <w:lang w:eastAsia="de-DE"/>
        </w:rPr>
        <w:t>את־עלת איש</w:t>
      </w:r>
      <w:r w:rsidRPr="00971D84">
        <w:rPr>
          <w:rFonts w:eastAsia="Times New Roman" w:cs="Times New Roman"/>
          <w:rtl/>
          <w:lang w:eastAsia="de-DE"/>
        </w:rPr>
        <w:t xml:space="preserve"> </w:t>
      </w:r>
      <w:r w:rsidRPr="00971D84">
        <w:rPr>
          <w:rFonts w:eastAsia="Times New Roman" w:cs="Times New Roman"/>
          <w:lang w:eastAsia="de-DE"/>
        </w:rPr>
        <w:t xml:space="preserve">(jemandes </w:t>
      </w:r>
      <w:r w:rsidR="00CF10E7">
        <w:rPr>
          <w:rFonts w:eastAsia="Times New Roman" w:cs="Times New Roman"/>
          <w:lang w:eastAsia="de-DE"/>
        </w:rPr>
        <w:t>Aufsteigeopfer</w:t>
      </w:r>
      <w:r w:rsidRPr="00971D84">
        <w:rPr>
          <w:rFonts w:eastAsia="Times New Roman" w:cs="Times New Roman"/>
          <w:lang w:eastAsia="de-DE"/>
        </w:rPr>
        <w:t>).</w:t>
      </w:r>
    </w:p>
    <w:p w14:paraId="70046F97" w14:textId="165C5388"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ע֤וֹר הָֽעֹלָה֙ אֲשֶׁ֣ר הִקְרִ֔יב לַכֹּהֵ֖ן לוֹ֥ יִהְיֶֽה</w:t>
      </w:r>
      <w:r w:rsidRPr="00971D84">
        <w:rPr>
          <w:rFonts w:eastAsia="Times New Roman" w:cs="Times New Roman"/>
          <w:rtl/>
          <w:lang w:eastAsia="de-DE"/>
        </w:rPr>
        <w:t xml:space="preserve"> </w:t>
      </w:r>
      <w:r w:rsidRPr="00971D84">
        <w:rPr>
          <w:rFonts w:eastAsia="Times New Roman" w:cs="Times New Roman"/>
          <w:lang w:eastAsia="de-DE"/>
        </w:rPr>
        <w:t xml:space="preserve">(die Haut des </w:t>
      </w:r>
      <w:r w:rsidR="00CF10E7">
        <w:rPr>
          <w:rFonts w:eastAsia="Times New Roman" w:cs="Times New Roman"/>
          <w:lang w:eastAsia="de-DE"/>
        </w:rPr>
        <w:t>Aufsteigeopfer</w:t>
      </w:r>
      <w:r w:rsidRPr="00971D84">
        <w:rPr>
          <w:rFonts w:eastAsia="Times New Roman" w:cs="Times New Roman"/>
          <w:lang w:eastAsia="de-DE"/>
        </w:rPr>
        <w:t xml:space="preserve">s, das er dargebracht hat, dem Priester soll sie gehören) regelt die Hautverteilung. </w:t>
      </w:r>
      <w:r w:rsidRPr="00971D84">
        <w:rPr>
          <w:rFonts w:eastAsia="Times New Roman" w:cs="Times New Roman"/>
          <w:b/>
          <w:bCs/>
          <w:rtl/>
          <w:lang w:eastAsia="de-DE"/>
        </w:rPr>
        <w:t>עור העלה אשר הקריב</w:t>
      </w:r>
      <w:r w:rsidRPr="00971D84">
        <w:rPr>
          <w:rFonts w:eastAsia="Times New Roman" w:cs="Times New Roman"/>
          <w:rtl/>
          <w:lang w:eastAsia="de-DE"/>
        </w:rPr>
        <w:t xml:space="preserve"> </w:t>
      </w:r>
      <w:r w:rsidRPr="00971D84">
        <w:rPr>
          <w:rFonts w:eastAsia="Times New Roman" w:cs="Times New Roman"/>
          <w:lang w:eastAsia="de-DE"/>
        </w:rPr>
        <w:t xml:space="preserve">(die Haut des </w:t>
      </w:r>
      <w:r w:rsidR="00CF10E7">
        <w:rPr>
          <w:rFonts w:eastAsia="Times New Roman" w:cs="Times New Roman"/>
          <w:lang w:eastAsia="de-DE"/>
        </w:rPr>
        <w:t>Aufsteigeopfer</w:t>
      </w:r>
      <w:r w:rsidRPr="00971D84">
        <w:rPr>
          <w:rFonts w:eastAsia="Times New Roman" w:cs="Times New Roman"/>
          <w:lang w:eastAsia="de-DE"/>
        </w:rPr>
        <w:t xml:space="preserve">s, das er dargebracht hat), </w:t>
      </w:r>
      <w:r w:rsidRPr="00971D84">
        <w:rPr>
          <w:rFonts w:eastAsia="Times New Roman" w:cs="Times New Roman"/>
          <w:b/>
          <w:bCs/>
          <w:rtl/>
          <w:lang w:eastAsia="de-DE"/>
        </w:rPr>
        <w:t>לכהן לו יהיה</w:t>
      </w:r>
      <w:r w:rsidRPr="00971D84">
        <w:rPr>
          <w:rFonts w:eastAsia="Times New Roman" w:cs="Times New Roman"/>
          <w:rtl/>
          <w:lang w:eastAsia="de-DE"/>
        </w:rPr>
        <w:t xml:space="preserve"> </w:t>
      </w:r>
      <w:r w:rsidRPr="00971D84">
        <w:rPr>
          <w:rFonts w:eastAsia="Times New Roman" w:cs="Times New Roman"/>
          <w:lang w:eastAsia="de-DE"/>
        </w:rPr>
        <w:t>(dem Priester soll sie gehören).</w:t>
      </w:r>
    </w:p>
    <w:p w14:paraId="7539F3FB" w14:textId="05DAA8AA"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עור העלה</w:t>
      </w:r>
      <w:r w:rsidRPr="00971D84">
        <w:rPr>
          <w:rFonts w:eastAsia="Times New Roman" w:cs="Times New Roman"/>
          <w:rtl/>
          <w:lang w:eastAsia="de-DE"/>
        </w:rPr>
        <w:t xml:space="preserve"> </w:t>
      </w:r>
      <w:r w:rsidRPr="00971D84">
        <w:rPr>
          <w:rFonts w:eastAsia="Times New Roman" w:cs="Times New Roman"/>
          <w:lang w:eastAsia="de-DE"/>
        </w:rPr>
        <w:t xml:space="preserve">(Haut des </w:t>
      </w:r>
      <w:r w:rsidR="00CF10E7">
        <w:rPr>
          <w:rFonts w:eastAsia="Times New Roman" w:cs="Times New Roman"/>
          <w:lang w:eastAsia="de-DE"/>
        </w:rPr>
        <w:t>Aufsteigeopfer</w:t>
      </w:r>
      <w:r w:rsidRPr="00971D84">
        <w:rPr>
          <w:rFonts w:eastAsia="Times New Roman" w:cs="Times New Roman"/>
          <w:lang w:eastAsia="de-DE"/>
        </w:rPr>
        <w:t xml:space="preserve">s) ist der einzige Teil von </w:t>
      </w:r>
      <w:r w:rsidRPr="00971D84">
        <w:rPr>
          <w:rFonts w:eastAsia="Times New Roman" w:cs="Times New Roman"/>
          <w:b/>
          <w:bCs/>
          <w:rtl/>
          <w:lang w:eastAsia="de-DE"/>
        </w:rPr>
        <w:t>עלה</w:t>
      </w:r>
      <w:r w:rsidRPr="00971D84">
        <w:rPr>
          <w:rFonts w:eastAsia="Times New Roman" w:cs="Times New Roman"/>
          <w:lang w:eastAsia="de-DE"/>
        </w:rPr>
        <w:t xml:space="preserve">, der nicht verbrannt wird. Da das gesamte </w:t>
      </w:r>
      <w:r w:rsidRPr="00971D84">
        <w:rPr>
          <w:rFonts w:eastAsia="Times New Roman" w:cs="Times New Roman"/>
          <w:b/>
          <w:bCs/>
          <w:rtl/>
          <w:lang w:eastAsia="de-DE"/>
        </w:rPr>
        <w:t>עלה</w:t>
      </w:r>
      <w:r w:rsidRPr="00971D84">
        <w:rPr>
          <w:rFonts w:eastAsia="Times New Roman" w:cs="Times New Roman"/>
          <w:lang w:eastAsia="de-DE"/>
        </w:rPr>
        <w:t>-Tier verbrannt wird (außer der Haut), erhält der Priester nur die Haut als Entschädigung.</w:t>
      </w:r>
    </w:p>
    <w:p w14:paraId="4B51D56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המקריב...אשר הקריב</w:t>
      </w:r>
      <w:r w:rsidRPr="00971D84">
        <w:rPr>
          <w:rFonts w:eastAsia="Times New Roman" w:cs="Times New Roman"/>
          <w:rtl/>
          <w:lang w:eastAsia="de-DE"/>
        </w:rPr>
        <w:t xml:space="preserve"> </w:t>
      </w:r>
      <w:r w:rsidRPr="00971D84">
        <w:rPr>
          <w:rFonts w:eastAsia="Times New Roman" w:cs="Times New Roman"/>
          <w:lang w:eastAsia="de-DE"/>
        </w:rPr>
        <w:t xml:space="preserve">zeigt Wiederholung von </w:t>
      </w:r>
      <w:r w:rsidRPr="00971D84">
        <w:rPr>
          <w:rFonts w:eastAsia="Times New Roman" w:cs="Times New Roman"/>
          <w:b/>
          <w:bCs/>
          <w:rtl/>
          <w:lang w:eastAsia="de-DE"/>
        </w:rPr>
        <w:t>קרב</w:t>
      </w:r>
      <w:r w:rsidRPr="00971D84">
        <w:rPr>
          <w:rFonts w:eastAsia="Times New Roman" w:cs="Times New Roman"/>
          <w:rtl/>
          <w:lang w:eastAsia="de-DE"/>
        </w:rPr>
        <w:t xml:space="preserve"> </w:t>
      </w:r>
      <w:r w:rsidRPr="00971D84">
        <w:rPr>
          <w:rFonts w:eastAsia="Times New Roman" w:cs="Times New Roman"/>
          <w:lang w:eastAsia="de-DE"/>
        </w:rPr>
        <w:t xml:space="preserve">(darbringen) zur Betonung der priesterlichen Leistung. </w:t>
      </w:r>
      <w:r w:rsidRPr="00971D84">
        <w:rPr>
          <w:rFonts w:eastAsia="Times New Roman" w:cs="Times New Roman"/>
          <w:b/>
          <w:bCs/>
          <w:rtl/>
          <w:lang w:eastAsia="de-DE"/>
        </w:rPr>
        <w:t>לכהן לו יהיה</w:t>
      </w:r>
      <w:r w:rsidRPr="00971D84">
        <w:rPr>
          <w:rFonts w:eastAsia="Times New Roman" w:cs="Times New Roman"/>
          <w:rtl/>
          <w:lang w:eastAsia="de-DE"/>
        </w:rPr>
        <w:t xml:space="preserve"> </w:t>
      </w:r>
      <w:r w:rsidRPr="00971D84">
        <w:rPr>
          <w:rFonts w:eastAsia="Times New Roman" w:cs="Times New Roman"/>
          <w:lang w:eastAsia="de-DE"/>
        </w:rPr>
        <w:t>(dem Priester soll sie gehören) mit doppelter Dativangabe für Emphase.</w:t>
      </w:r>
    </w:p>
    <w:p w14:paraId="1D74959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הַמַּקְרִ֖יב</w:t>
      </w:r>
      <w:r w:rsidRPr="00971D84">
        <w:rPr>
          <w:rFonts w:eastAsia="Times New Roman" w:cs="Times New Roman"/>
          <w:rtl/>
          <w:lang w:eastAsia="de-DE"/>
        </w:rPr>
        <w:t xml:space="preserve"> </w:t>
      </w:r>
      <w:r w:rsidRPr="00971D84">
        <w:rPr>
          <w:rFonts w:eastAsia="Times New Roman" w:cs="Times New Roman"/>
          <w:lang w:eastAsia="de-DE"/>
        </w:rPr>
        <w:t>mit ὁ π</w:t>
      </w:r>
      <w:proofErr w:type="spellStart"/>
      <w:r w:rsidRPr="00971D84">
        <w:rPr>
          <w:rFonts w:eastAsia="Times New Roman" w:cs="Times New Roman"/>
          <w:lang w:eastAsia="de-DE"/>
        </w:rPr>
        <w:t>ροσφέρων</w:t>
      </w:r>
      <w:proofErr w:type="spellEnd"/>
      <w:r w:rsidRPr="00971D84">
        <w:rPr>
          <w:rFonts w:eastAsia="Times New Roman" w:cs="Times New Roman"/>
          <w:lang w:eastAsia="de-DE"/>
        </w:rPr>
        <w:t xml:space="preserve"> (der darbringende), </w:t>
      </w:r>
      <w:r w:rsidRPr="00971D84">
        <w:rPr>
          <w:rFonts w:eastAsia="Times New Roman" w:cs="Times New Roman"/>
          <w:b/>
          <w:bCs/>
          <w:rtl/>
          <w:lang w:eastAsia="de-DE"/>
        </w:rPr>
        <w:t>ע֤וֹר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δέρμ</w:t>
      </w:r>
      <w:proofErr w:type="spellEnd"/>
      <w:r w:rsidRPr="00971D84">
        <w:rPr>
          <w:rFonts w:eastAsia="Times New Roman" w:cs="Times New Roman"/>
          <w:lang w:eastAsia="de-DE"/>
        </w:rPr>
        <w:t xml:space="preserve">α (Haut) und </w:t>
      </w:r>
      <w:r w:rsidRPr="00971D84">
        <w:rPr>
          <w:rFonts w:eastAsia="Times New Roman" w:cs="Times New Roman"/>
          <w:b/>
          <w:bCs/>
          <w:rtl/>
          <w:lang w:eastAsia="de-DE"/>
        </w:rPr>
        <w:t>לוֹ֥ יִהְיֶֽה</w:t>
      </w:r>
      <w:r w:rsidRPr="00971D84">
        <w:rPr>
          <w:rFonts w:eastAsia="Times New Roman" w:cs="Times New Roman"/>
          <w:rtl/>
          <w:lang w:eastAsia="de-DE"/>
        </w:rPr>
        <w:t xml:space="preserve"> </w:t>
      </w:r>
      <w:r w:rsidRPr="00971D84">
        <w:rPr>
          <w:rFonts w:eastAsia="Times New Roman" w:cs="Times New Roman"/>
          <w:lang w:eastAsia="de-DE"/>
        </w:rPr>
        <w:t>mit α</w:t>
      </w:r>
      <w:proofErr w:type="spellStart"/>
      <w:r w:rsidRPr="00971D84">
        <w:rPr>
          <w:rFonts w:eastAsia="Times New Roman" w:cs="Times New Roman"/>
          <w:lang w:eastAsia="de-DE"/>
        </w:rPr>
        <w:t>ὐτῷ</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ἔστ</w:t>
      </w:r>
      <w:proofErr w:type="spellEnd"/>
      <w:r w:rsidRPr="00971D84">
        <w:rPr>
          <w:rFonts w:eastAsia="Times New Roman" w:cs="Times New Roman"/>
          <w:lang w:eastAsia="de-DE"/>
        </w:rPr>
        <w:t>αι (ihm soll es sein).</w:t>
      </w:r>
    </w:p>
    <w:p w14:paraId="1C9B1B5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priesterliche Berechtigung: komplexes Subjekt + Objekt mit Relativsatz + doppelte Dativzuweisung. Die Struktur regelt die einzige priesterliche Berechtigung bei </w:t>
      </w:r>
      <w:r w:rsidRPr="00971D84">
        <w:rPr>
          <w:rFonts w:eastAsia="Times New Roman" w:cs="Times New Roman"/>
          <w:b/>
          <w:bCs/>
          <w:rtl/>
          <w:lang w:eastAsia="de-DE"/>
        </w:rPr>
        <w:t>עלה</w:t>
      </w:r>
      <w:r w:rsidRPr="00971D84">
        <w:rPr>
          <w:rFonts w:eastAsia="Times New Roman" w:cs="Times New Roman"/>
          <w:lang w:eastAsia="de-DE"/>
        </w:rPr>
        <w:t>.</w:t>
      </w:r>
    </w:p>
    <w:p w14:paraId="0574CAE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priesterliche Hautberechtigung bei </w:t>
      </w:r>
      <w:r w:rsidRPr="00971D84">
        <w:rPr>
          <w:rFonts w:eastAsia="Times New Roman" w:cs="Times New Roman"/>
          <w:b/>
          <w:bCs/>
          <w:rtl/>
          <w:lang w:eastAsia="de-DE"/>
        </w:rPr>
        <w:t>עלה</w:t>
      </w:r>
      <w:r w:rsidRPr="00971D84">
        <w:rPr>
          <w:rFonts w:eastAsia="Times New Roman" w:cs="Times New Roman"/>
          <w:rtl/>
          <w:lang w:eastAsia="de-DE"/>
        </w:rPr>
        <w:t xml:space="preserve"> </w:t>
      </w:r>
      <w:r w:rsidRPr="00971D84">
        <w:rPr>
          <w:rFonts w:eastAsia="Times New Roman" w:cs="Times New Roman"/>
          <w:lang w:eastAsia="de-DE"/>
        </w:rPr>
        <w:t>als einzige nicht-verbrannte Komponente.</w:t>
      </w:r>
    </w:p>
    <w:p w14:paraId="6C97A6EC"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7,9</w:t>
      </w:r>
    </w:p>
    <w:p w14:paraId="10EBAAB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וְכָל־מִנְחָ֗ה אֲשֶׁ֤ר תֵּֽאָפֶה֙ בַּתַּנּ֔וּר וְכָל־נַעֲשָׂ֥ה בַמַּרְחֶ֖שֶׁת וְעַֽל־מַחֲבַ֑ת לַכֹּהֵ֛ן הַמַּקְרִ֥יב אֹתָ֖הּ לוֹ֥ תִֽהְיֶֽה׃</w:t>
      </w:r>
    </w:p>
    <w:p w14:paraId="3C01EA0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alles Speisopfer, das im Ofen gebacken, und alles, was im Napf oder in der Pfanne zubereitet wird: Dem Priester, der es darbringt, ihm soll es gehören.</w:t>
      </w:r>
    </w:p>
    <w:p w14:paraId="307AFDEF"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2C0D22FF">
          <v:rect id="_x0000_i1167" style="width:0;height:1.5pt" o:hralign="center" o:hrstd="t" o:hr="t" fillcolor="#a0a0a0" stroked="f"/>
        </w:pict>
      </w:r>
    </w:p>
    <w:p w14:paraId="796C7DE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Kommentar:</w:t>
      </w:r>
      <w:r w:rsidRPr="00971D84">
        <w:rPr>
          <w:rFonts w:eastAsia="Times New Roman" w:cs="Times New Roman"/>
          <w:lang w:eastAsia="de-DE"/>
        </w:rPr>
        <w:t xml:space="preserve"> </w:t>
      </w:r>
      <w:r w:rsidRPr="00971D84">
        <w:rPr>
          <w:rFonts w:eastAsia="Times New Roman" w:cs="Times New Roman"/>
          <w:b/>
          <w:bCs/>
          <w:rtl/>
          <w:lang w:eastAsia="de-DE"/>
        </w:rPr>
        <w:t>וְכָל־מִנְחָ֗ה אֲשֶׁ֤ר תֵּֽאָפֶה֙ בַּתַּנּ֔וּר</w:t>
      </w:r>
      <w:r w:rsidRPr="00971D84">
        <w:rPr>
          <w:rFonts w:eastAsia="Times New Roman" w:cs="Times New Roman"/>
          <w:rtl/>
          <w:lang w:eastAsia="de-DE"/>
        </w:rPr>
        <w:t xml:space="preserve"> </w:t>
      </w:r>
      <w:r w:rsidRPr="00971D84">
        <w:rPr>
          <w:rFonts w:eastAsia="Times New Roman" w:cs="Times New Roman"/>
          <w:lang w:eastAsia="de-DE"/>
        </w:rPr>
        <w:t>(und jedes Speiseopfer, das im Ofen gebacken wird) entspricht 2,4 für Ofen-</w:t>
      </w:r>
      <w:r w:rsidRPr="00971D84">
        <w:rPr>
          <w:rFonts w:eastAsia="Times New Roman" w:cs="Times New Roman"/>
          <w:b/>
          <w:bCs/>
          <w:rtl/>
          <w:lang w:eastAsia="de-DE"/>
        </w:rPr>
        <w:t>מנחה</w:t>
      </w:r>
      <w:r w:rsidRPr="00971D84">
        <w:rPr>
          <w:rFonts w:eastAsia="Times New Roman" w:cs="Times New Roman"/>
          <w:lang w:eastAsia="de-DE"/>
        </w:rPr>
        <w:t xml:space="preserve">. </w:t>
      </w:r>
      <w:r w:rsidRPr="00971D84">
        <w:rPr>
          <w:rFonts w:eastAsia="Times New Roman" w:cs="Times New Roman"/>
          <w:b/>
          <w:bCs/>
          <w:rtl/>
          <w:lang w:eastAsia="de-DE"/>
        </w:rPr>
        <w:t>וכל־מנחה אשר תאפה בתנור</w:t>
      </w:r>
      <w:r w:rsidRPr="00971D84">
        <w:rPr>
          <w:rFonts w:eastAsia="Times New Roman" w:cs="Times New Roman"/>
          <w:rtl/>
          <w:lang w:eastAsia="de-DE"/>
        </w:rPr>
        <w:t xml:space="preserve"> </w:t>
      </w:r>
      <w:r w:rsidRPr="00971D84">
        <w:rPr>
          <w:rFonts w:eastAsia="Times New Roman" w:cs="Times New Roman"/>
          <w:lang w:eastAsia="de-DE"/>
        </w:rPr>
        <w:t>(und jedes Speiseopfer, das im Ofen gebacken wird).</w:t>
      </w:r>
    </w:p>
    <w:p w14:paraId="522817E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וְכָל־נַעֲשָׂ֥ה בַמַּרְחֶ֖שֶׁת וְעַֽל־מַחֲבַ֑ת</w:t>
      </w:r>
      <w:r w:rsidRPr="00971D84">
        <w:rPr>
          <w:rFonts w:eastAsia="Times New Roman" w:cs="Times New Roman"/>
          <w:rtl/>
          <w:lang w:eastAsia="de-DE"/>
        </w:rPr>
        <w:t xml:space="preserve"> </w:t>
      </w:r>
      <w:r w:rsidRPr="00971D84">
        <w:rPr>
          <w:rFonts w:eastAsia="Times New Roman" w:cs="Times New Roman"/>
          <w:lang w:eastAsia="de-DE"/>
        </w:rPr>
        <w:t xml:space="preserve">(und alles, was im Napf oder auf der Pfanne zubereitet wird) entspricht 2,5-7 für </w:t>
      </w:r>
      <w:r w:rsidRPr="00971D84">
        <w:rPr>
          <w:rFonts w:eastAsia="Times New Roman" w:cs="Times New Roman"/>
          <w:b/>
          <w:bCs/>
          <w:rtl/>
          <w:lang w:eastAsia="de-DE"/>
        </w:rPr>
        <w:t>מרחשת</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מחבת</w:t>
      </w:r>
      <w:r w:rsidRPr="00971D84">
        <w:rPr>
          <w:rFonts w:eastAsia="Times New Roman" w:cs="Times New Roman"/>
          <w:lang w:eastAsia="de-DE"/>
        </w:rPr>
        <w:t xml:space="preserve">. </w:t>
      </w:r>
      <w:r w:rsidRPr="00971D84">
        <w:rPr>
          <w:rFonts w:eastAsia="Times New Roman" w:cs="Times New Roman"/>
          <w:b/>
          <w:bCs/>
          <w:rtl/>
          <w:lang w:eastAsia="de-DE"/>
        </w:rPr>
        <w:t>וכל־נעשה במרחשת ועל־מחבת</w:t>
      </w:r>
      <w:r w:rsidRPr="00971D84">
        <w:rPr>
          <w:rFonts w:eastAsia="Times New Roman" w:cs="Times New Roman"/>
          <w:rtl/>
          <w:lang w:eastAsia="de-DE"/>
        </w:rPr>
        <w:t xml:space="preserve"> </w:t>
      </w:r>
      <w:r w:rsidRPr="00971D84">
        <w:rPr>
          <w:rFonts w:eastAsia="Times New Roman" w:cs="Times New Roman"/>
          <w:lang w:eastAsia="de-DE"/>
        </w:rPr>
        <w:t>(und alles, was im Napf oder auf der Pfanne zubereitet wird).</w:t>
      </w:r>
    </w:p>
    <w:p w14:paraId="672B0B0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לַכֹּהֵ֛ן הַמַּקְרִ֥יב אֹתָ֖הּ לוֹ֥ תִֽהְיֶֽה</w:t>
      </w:r>
      <w:r w:rsidRPr="00971D84">
        <w:rPr>
          <w:rFonts w:eastAsia="Times New Roman" w:cs="Times New Roman"/>
          <w:rtl/>
          <w:lang w:eastAsia="de-DE"/>
        </w:rPr>
        <w:t xml:space="preserve"> </w:t>
      </w:r>
      <w:r w:rsidRPr="00971D84">
        <w:rPr>
          <w:rFonts w:eastAsia="Times New Roman" w:cs="Times New Roman"/>
          <w:lang w:eastAsia="de-DE"/>
        </w:rPr>
        <w:t xml:space="preserve">(dem Priester, der es darbringt, ihm soll es gehören) entspricht V. 8. </w:t>
      </w:r>
      <w:r w:rsidRPr="00971D84">
        <w:rPr>
          <w:rFonts w:eastAsia="Times New Roman" w:cs="Times New Roman"/>
          <w:b/>
          <w:bCs/>
          <w:rtl/>
          <w:lang w:eastAsia="de-DE"/>
        </w:rPr>
        <w:t>לכהן המקריב אתה לו תהיה</w:t>
      </w:r>
      <w:r w:rsidRPr="00971D84">
        <w:rPr>
          <w:rFonts w:eastAsia="Times New Roman" w:cs="Times New Roman"/>
          <w:rtl/>
          <w:lang w:eastAsia="de-DE"/>
        </w:rPr>
        <w:t xml:space="preserve"> </w:t>
      </w:r>
      <w:r w:rsidRPr="00971D84">
        <w:rPr>
          <w:rFonts w:eastAsia="Times New Roman" w:cs="Times New Roman"/>
          <w:lang w:eastAsia="de-DE"/>
        </w:rPr>
        <w:t>(dem Priester, der es darbringt, ihm soll es gehören).</w:t>
      </w:r>
    </w:p>
    <w:p w14:paraId="7954131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 Bestimmung regelt </w:t>
      </w:r>
      <w:r w:rsidRPr="00971D84">
        <w:rPr>
          <w:rFonts w:eastAsia="Times New Roman" w:cs="Times New Roman"/>
          <w:b/>
          <w:bCs/>
          <w:rtl/>
          <w:lang w:eastAsia="de-DE"/>
        </w:rPr>
        <w:t>מנחה</w:t>
      </w:r>
      <w:r w:rsidRPr="00971D84">
        <w:rPr>
          <w:rFonts w:eastAsia="Times New Roman" w:cs="Times New Roman"/>
          <w:lang w:eastAsia="de-DE"/>
        </w:rPr>
        <w:t xml:space="preserve">-Arten mit spezieller Zubereitung (Ofen, </w:t>
      </w:r>
      <w:r w:rsidRPr="00971D84">
        <w:rPr>
          <w:rFonts w:eastAsia="Times New Roman" w:cs="Times New Roman"/>
          <w:b/>
          <w:bCs/>
          <w:rtl/>
          <w:lang w:eastAsia="de-DE"/>
        </w:rPr>
        <w:t>מרחשת</w:t>
      </w:r>
      <w:r w:rsidRPr="00971D84">
        <w:rPr>
          <w:rFonts w:eastAsia="Times New Roman" w:cs="Times New Roman"/>
          <w:lang w:eastAsia="de-DE"/>
        </w:rPr>
        <w:t xml:space="preserve">, </w:t>
      </w:r>
      <w:r w:rsidRPr="00971D84">
        <w:rPr>
          <w:rFonts w:eastAsia="Times New Roman" w:cs="Times New Roman"/>
          <w:b/>
          <w:bCs/>
          <w:rtl/>
          <w:lang w:eastAsia="de-DE"/>
        </w:rPr>
        <w:t>מחבת</w:t>
      </w:r>
      <w:r w:rsidRPr="00971D84">
        <w:rPr>
          <w:rFonts w:eastAsia="Times New Roman" w:cs="Times New Roman"/>
          <w:lang w:eastAsia="de-DE"/>
        </w:rPr>
        <w:t>) im Unterschied zu einfacher Mehl-</w:t>
      </w:r>
      <w:r w:rsidRPr="00971D84">
        <w:rPr>
          <w:rFonts w:eastAsia="Times New Roman" w:cs="Times New Roman"/>
          <w:b/>
          <w:bCs/>
          <w:rtl/>
          <w:lang w:eastAsia="de-DE"/>
        </w:rPr>
        <w:t>מנחה</w:t>
      </w:r>
      <w:r w:rsidRPr="00971D84">
        <w:rPr>
          <w:rFonts w:eastAsia="Times New Roman" w:cs="Times New Roman"/>
          <w:lang w:eastAsia="de-DE"/>
        </w:rPr>
        <w:t xml:space="preserve">. </w:t>
      </w:r>
      <w:r w:rsidRPr="00971D84">
        <w:rPr>
          <w:rFonts w:eastAsia="Times New Roman" w:cs="Times New Roman"/>
          <w:b/>
          <w:bCs/>
          <w:rtl/>
          <w:lang w:eastAsia="de-DE"/>
        </w:rPr>
        <w:t>המקריב אתה</w:t>
      </w:r>
      <w:r w:rsidRPr="00971D84">
        <w:rPr>
          <w:rFonts w:eastAsia="Times New Roman" w:cs="Times New Roman"/>
          <w:rtl/>
          <w:lang w:eastAsia="de-DE"/>
        </w:rPr>
        <w:t xml:space="preserve"> </w:t>
      </w:r>
      <w:r w:rsidRPr="00971D84">
        <w:rPr>
          <w:rFonts w:eastAsia="Times New Roman" w:cs="Times New Roman"/>
          <w:lang w:eastAsia="de-DE"/>
        </w:rPr>
        <w:t xml:space="preserve">(der es darbringt) zeigt, dass der darbringende Priester den Rest nach </w:t>
      </w:r>
      <w:r w:rsidRPr="00971D84">
        <w:rPr>
          <w:rFonts w:eastAsia="Times New Roman" w:cs="Times New Roman"/>
          <w:b/>
          <w:bCs/>
          <w:rtl/>
          <w:lang w:eastAsia="de-DE"/>
        </w:rPr>
        <w:t>קמיצה</w:t>
      </w:r>
      <w:r w:rsidRPr="00971D84">
        <w:rPr>
          <w:rFonts w:eastAsia="Times New Roman" w:cs="Times New Roman"/>
          <w:rtl/>
          <w:lang w:eastAsia="de-DE"/>
        </w:rPr>
        <w:t xml:space="preserve"> </w:t>
      </w:r>
      <w:r w:rsidRPr="00971D84">
        <w:rPr>
          <w:rFonts w:eastAsia="Times New Roman" w:cs="Times New Roman"/>
          <w:lang w:eastAsia="de-DE"/>
        </w:rPr>
        <w:t>erhält.</w:t>
      </w:r>
    </w:p>
    <w:p w14:paraId="296E497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תֵּֽאָפֶה֙</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εφθῇ</w:t>
      </w:r>
      <w:proofErr w:type="spellEnd"/>
      <w:r w:rsidRPr="00971D84">
        <w:rPr>
          <w:rFonts w:eastAsia="Times New Roman" w:cs="Times New Roman"/>
          <w:lang w:eastAsia="de-DE"/>
        </w:rPr>
        <w:t xml:space="preserve"> (gebacken wird), </w:t>
      </w:r>
      <w:r w:rsidRPr="00971D84">
        <w:rPr>
          <w:rFonts w:eastAsia="Times New Roman" w:cs="Times New Roman"/>
          <w:b/>
          <w:bCs/>
          <w:rtl/>
          <w:lang w:eastAsia="de-DE"/>
        </w:rPr>
        <w:t>בַמַּרְחֶ֖שֶׁת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τηγάνῳ</w:t>
      </w:r>
      <w:proofErr w:type="spellEnd"/>
      <w:r w:rsidRPr="00971D84">
        <w:rPr>
          <w:rFonts w:eastAsia="Times New Roman" w:cs="Times New Roman"/>
          <w:lang w:eastAsia="de-DE"/>
        </w:rPr>
        <w:t xml:space="preserve"> (in der Pfanne) und </w:t>
      </w:r>
      <w:r w:rsidRPr="00971D84">
        <w:rPr>
          <w:rFonts w:eastAsia="Times New Roman" w:cs="Times New Roman"/>
          <w:b/>
          <w:bCs/>
          <w:rtl/>
          <w:lang w:eastAsia="de-DE"/>
        </w:rPr>
        <w:t>בַּתַּנּ֔וּר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κλι</w:t>
      </w:r>
      <w:proofErr w:type="spellEnd"/>
      <w:r w:rsidRPr="00971D84">
        <w:rPr>
          <w:rFonts w:eastAsia="Times New Roman" w:cs="Times New Roman"/>
          <w:lang w:eastAsia="de-DE"/>
        </w:rPr>
        <w:t>βάνῳ (im Ofen).</w:t>
      </w:r>
    </w:p>
    <w:p w14:paraId="0705B69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universelle </w:t>
      </w:r>
      <w:r w:rsidRPr="00971D84">
        <w:rPr>
          <w:rFonts w:eastAsia="Times New Roman" w:cs="Times New Roman"/>
          <w:b/>
          <w:bCs/>
          <w:rtl/>
          <w:lang w:eastAsia="de-DE"/>
        </w:rPr>
        <w:t>מנחה</w:t>
      </w:r>
      <w:r w:rsidRPr="00971D84">
        <w:rPr>
          <w:rFonts w:eastAsia="Times New Roman" w:cs="Times New Roman"/>
          <w:lang w:eastAsia="de-DE"/>
        </w:rPr>
        <w:t xml:space="preserve">-Berechtigung: drei koordinierte </w:t>
      </w:r>
      <w:r w:rsidRPr="00971D84">
        <w:rPr>
          <w:rFonts w:eastAsia="Times New Roman" w:cs="Times New Roman"/>
          <w:b/>
          <w:bCs/>
          <w:rtl/>
          <w:lang w:eastAsia="de-DE"/>
        </w:rPr>
        <w:t>מנחה</w:t>
      </w:r>
      <w:r w:rsidRPr="00971D84">
        <w:rPr>
          <w:rFonts w:eastAsia="Times New Roman" w:cs="Times New Roman"/>
          <w:lang w:eastAsia="de-DE"/>
        </w:rPr>
        <w:t xml:space="preserve">-Arten + Zuweisungsformel. Die Struktur regelt verschiedene </w:t>
      </w:r>
      <w:r w:rsidRPr="00971D84">
        <w:rPr>
          <w:rFonts w:eastAsia="Times New Roman" w:cs="Times New Roman"/>
          <w:b/>
          <w:bCs/>
          <w:rtl/>
          <w:lang w:eastAsia="de-DE"/>
        </w:rPr>
        <w:t>מנחה</w:t>
      </w:r>
      <w:r w:rsidRPr="00971D84">
        <w:rPr>
          <w:rFonts w:eastAsia="Times New Roman" w:cs="Times New Roman"/>
          <w:lang w:eastAsia="de-DE"/>
        </w:rPr>
        <w:t>-Zubereitungsarten einheitlich.</w:t>
      </w:r>
    </w:p>
    <w:p w14:paraId="013AC6E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priesterliche Berechtigung bei zubereiteten </w:t>
      </w:r>
      <w:r w:rsidRPr="00971D84">
        <w:rPr>
          <w:rFonts w:eastAsia="Times New Roman" w:cs="Times New Roman"/>
          <w:b/>
          <w:bCs/>
          <w:rtl/>
          <w:lang w:eastAsia="de-DE"/>
        </w:rPr>
        <w:t>מנחה</w:t>
      </w:r>
      <w:r w:rsidRPr="00971D84">
        <w:rPr>
          <w:rFonts w:eastAsia="Times New Roman" w:cs="Times New Roman"/>
          <w:lang w:eastAsia="de-DE"/>
        </w:rPr>
        <w:t xml:space="preserve">-Arten: dem darbringenden Priester gehört der Rest nach </w:t>
      </w:r>
      <w:r w:rsidRPr="00971D84">
        <w:rPr>
          <w:rFonts w:eastAsia="Times New Roman" w:cs="Times New Roman"/>
          <w:b/>
          <w:bCs/>
          <w:rtl/>
          <w:lang w:eastAsia="de-DE"/>
        </w:rPr>
        <w:t>קמיצה</w:t>
      </w:r>
      <w:r w:rsidRPr="00971D84">
        <w:rPr>
          <w:rFonts w:eastAsia="Times New Roman" w:cs="Times New Roman"/>
          <w:lang w:eastAsia="de-DE"/>
        </w:rPr>
        <w:t>.</w:t>
      </w:r>
    </w:p>
    <w:p w14:paraId="27A78BAC"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7,10</w:t>
      </w:r>
    </w:p>
    <w:p w14:paraId="61A5FBA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וְכָל־מִנְחָ֥ה בְלוּלָֽה־בַשֶּׁ֖מֶן וַחֲרֵבָ֑ה לְכָל־בְּנֵ֧י אַהֲרֹ֛ן תִּהְיֶ֖ה אִ֥ישׁ כְּאָחִֽיו׃</w:t>
      </w:r>
    </w:p>
    <w:p w14:paraId="37B4426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alles Speisopfer, das mit Öl gemengt oder trocken ist, sollen allen Söhnen Aarons gehören, dem einen wie dem anderen.</w:t>
      </w:r>
    </w:p>
    <w:p w14:paraId="19638817"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458084AA">
          <v:rect id="_x0000_i1168" style="width:0;height:1.5pt" o:hralign="center" o:hrstd="t" o:hr="t" fillcolor="#a0a0a0" stroked="f"/>
        </w:pict>
      </w:r>
    </w:p>
    <w:p w14:paraId="1A688FB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וְכָל־מִנְחָ֥ה בְלוּלָֽה־בַשֶּׁ֖מֶן וַחֲרֵבָ֑ה</w:t>
      </w:r>
      <w:r w:rsidRPr="00971D84">
        <w:rPr>
          <w:rFonts w:eastAsia="Times New Roman" w:cs="Times New Roman"/>
          <w:rtl/>
          <w:lang w:eastAsia="de-DE"/>
        </w:rPr>
        <w:t xml:space="preserve"> </w:t>
      </w:r>
      <w:r w:rsidRPr="00971D84">
        <w:rPr>
          <w:rFonts w:eastAsia="Times New Roman" w:cs="Times New Roman"/>
          <w:lang w:eastAsia="de-DE"/>
        </w:rPr>
        <w:t>(und jedes Speiseopfer, das mit Öl gemengt oder trocken ist) unterscheidet zwischen Öl-</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 xml:space="preserve">und trockener </w:t>
      </w:r>
      <w:r w:rsidRPr="00971D84">
        <w:rPr>
          <w:rFonts w:eastAsia="Times New Roman" w:cs="Times New Roman"/>
          <w:b/>
          <w:bCs/>
          <w:rtl/>
          <w:lang w:eastAsia="de-DE"/>
        </w:rPr>
        <w:t>מנחה</w:t>
      </w:r>
      <w:r w:rsidRPr="00971D84">
        <w:rPr>
          <w:rFonts w:eastAsia="Times New Roman" w:cs="Times New Roman"/>
          <w:lang w:eastAsia="de-DE"/>
        </w:rPr>
        <w:t xml:space="preserve">. </w:t>
      </w:r>
      <w:r w:rsidRPr="00971D84">
        <w:rPr>
          <w:rFonts w:eastAsia="Times New Roman" w:cs="Times New Roman"/>
          <w:b/>
          <w:bCs/>
          <w:rtl/>
          <w:lang w:eastAsia="de-DE"/>
        </w:rPr>
        <w:t>וכל־מנחה בלולה־בשמן</w:t>
      </w:r>
      <w:r w:rsidRPr="00971D84">
        <w:rPr>
          <w:rFonts w:eastAsia="Times New Roman" w:cs="Times New Roman"/>
          <w:rtl/>
          <w:lang w:eastAsia="de-DE"/>
        </w:rPr>
        <w:t xml:space="preserve"> </w:t>
      </w:r>
      <w:r w:rsidRPr="00971D84">
        <w:rPr>
          <w:rFonts w:eastAsia="Times New Roman" w:cs="Times New Roman"/>
          <w:lang w:eastAsia="de-DE"/>
        </w:rPr>
        <w:t xml:space="preserve">(und jedes Speiseopfer, das mit Öl gemengt ist), </w:t>
      </w:r>
      <w:r w:rsidRPr="00971D84">
        <w:rPr>
          <w:rFonts w:eastAsia="Times New Roman" w:cs="Times New Roman"/>
          <w:b/>
          <w:bCs/>
          <w:rtl/>
          <w:lang w:eastAsia="de-DE"/>
        </w:rPr>
        <w:t>וחרבה</w:t>
      </w:r>
      <w:r w:rsidRPr="00971D84">
        <w:rPr>
          <w:rFonts w:eastAsia="Times New Roman" w:cs="Times New Roman"/>
          <w:rtl/>
          <w:lang w:eastAsia="de-DE"/>
        </w:rPr>
        <w:t xml:space="preserve"> </w:t>
      </w:r>
      <w:r w:rsidRPr="00971D84">
        <w:rPr>
          <w:rFonts w:eastAsia="Times New Roman" w:cs="Times New Roman"/>
          <w:lang w:eastAsia="de-DE"/>
        </w:rPr>
        <w:t xml:space="preserve">(und trockenes) von </w:t>
      </w:r>
      <w:r w:rsidRPr="00971D84">
        <w:rPr>
          <w:rFonts w:eastAsia="Times New Roman" w:cs="Times New Roman"/>
          <w:b/>
          <w:bCs/>
          <w:rtl/>
          <w:lang w:eastAsia="de-DE"/>
        </w:rPr>
        <w:t>חרב</w:t>
      </w:r>
      <w:r w:rsidRPr="00971D84">
        <w:rPr>
          <w:rFonts w:eastAsia="Times New Roman" w:cs="Times New Roman"/>
          <w:rtl/>
          <w:lang w:eastAsia="de-DE"/>
        </w:rPr>
        <w:t xml:space="preserve"> </w:t>
      </w:r>
      <w:r w:rsidRPr="00971D84">
        <w:rPr>
          <w:rFonts w:eastAsia="Times New Roman" w:cs="Times New Roman"/>
          <w:lang w:eastAsia="de-DE"/>
        </w:rPr>
        <w:t>(trocken sein).</w:t>
      </w:r>
    </w:p>
    <w:p w14:paraId="385DD2D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לְכָל־בְּנֵ֧י אַהֲרֹ֛ן תִּהְיֶ֖ה אִ֥ישׁ כְּאָחִֽיו</w:t>
      </w:r>
      <w:r w:rsidRPr="00971D84">
        <w:rPr>
          <w:rFonts w:eastAsia="Times New Roman" w:cs="Times New Roman"/>
          <w:rtl/>
          <w:lang w:eastAsia="de-DE"/>
        </w:rPr>
        <w:t xml:space="preserve"> </w:t>
      </w:r>
      <w:r w:rsidRPr="00971D84">
        <w:rPr>
          <w:rFonts w:eastAsia="Times New Roman" w:cs="Times New Roman"/>
          <w:lang w:eastAsia="de-DE"/>
        </w:rPr>
        <w:t xml:space="preserve">(allen Söhnen Aarons soll es gehören, einem wie dem anderen) zeigt gleichmäßige Verteilung. </w:t>
      </w:r>
      <w:r w:rsidRPr="00971D84">
        <w:rPr>
          <w:rFonts w:eastAsia="Times New Roman" w:cs="Times New Roman"/>
          <w:b/>
          <w:bCs/>
          <w:rtl/>
          <w:lang w:eastAsia="de-DE"/>
        </w:rPr>
        <w:t>לכל־בני אהרן תהיה</w:t>
      </w:r>
      <w:r w:rsidRPr="00971D84">
        <w:rPr>
          <w:rFonts w:eastAsia="Times New Roman" w:cs="Times New Roman"/>
          <w:rtl/>
          <w:lang w:eastAsia="de-DE"/>
        </w:rPr>
        <w:t xml:space="preserve"> </w:t>
      </w:r>
      <w:r w:rsidRPr="00971D84">
        <w:rPr>
          <w:rFonts w:eastAsia="Times New Roman" w:cs="Times New Roman"/>
          <w:lang w:eastAsia="de-DE"/>
        </w:rPr>
        <w:t xml:space="preserve">(allen Söhnen Aarons soll es gehören), </w:t>
      </w:r>
      <w:r w:rsidRPr="00971D84">
        <w:rPr>
          <w:rFonts w:eastAsia="Times New Roman" w:cs="Times New Roman"/>
          <w:b/>
          <w:bCs/>
          <w:rtl/>
          <w:lang w:eastAsia="de-DE"/>
        </w:rPr>
        <w:t>איש כאחיו</w:t>
      </w:r>
      <w:r w:rsidRPr="00971D84">
        <w:rPr>
          <w:rFonts w:eastAsia="Times New Roman" w:cs="Times New Roman"/>
          <w:rtl/>
          <w:lang w:eastAsia="de-DE"/>
        </w:rPr>
        <w:t xml:space="preserve"> </w:t>
      </w:r>
      <w:r w:rsidRPr="00971D84">
        <w:rPr>
          <w:rFonts w:eastAsia="Times New Roman" w:cs="Times New Roman"/>
          <w:lang w:eastAsia="de-DE"/>
        </w:rPr>
        <w:t>(einem wie dem anderen) bedeutet gleichmäßige Aufteilung.</w:t>
      </w:r>
    </w:p>
    <w:p w14:paraId="026D816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בלולה־בשמן וחרבה</w:t>
      </w:r>
      <w:r w:rsidRPr="00971D84">
        <w:rPr>
          <w:rFonts w:eastAsia="Times New Roman" w:cs="Times New Roman"/>
          <w:rtl/>
          <w:lang w:eastAsia="de-DE"/>
        </w:rPr>
        <w:t xml:space="preserve"> </w:t>
      </w:r>
      <w:r w:rsidRPr="00971D84">
        <w:rPr>
          <w:rFonts w:eastAsia="Times New Roman" w:cs="Times New Roman"/>
          <w:lang w:eastAsia="de-DE"/>
        </w:rPr>
        <w:t xml:space="preserve">(mit Öl gemengt und trocken) umfasst alle </w:t>
      </w:r>
      <w:r w:rsidRPr="00971D84">
        <w:rPr>
          <w:rFonts w:eastAsia="Times New Roman" w:cs="Times New Roman"/>
          <w:b/>
          <w:bCs/>
          <w:rtl/>
          <w:lang w:eastAsia="de-DE"/>
        </w:rPr>
        <w:t>מנחה</w:t>
      </w:r>
      <w:r w:rsidRPr="00971D84">
        <w:rPr>
          <w:rFonts w:eastAsia="Times New Roman" w:cs="Times New Roman"/>
          <w:lang w:eastAsia="de-DE"/>
        </w:rPr>
        <w:t xml:space="preserve">-Arten: mit Öl (2,1.4-7) und ohne Öl (möglicherweise 5,11 </w:t>
      </w:r>
      <w:r w:rsidRPr="00971D84">
        <w:rPr>
          <w:rFonts w:eastAsia="Times New Roman" w:cs="Times New Roman"/>
          <w:b/>
          <w:bCs/>
          <w:rtl/>
          <w:lang w:eastAsia="de-DE"/>
        </w:rPr>
        <w:t>חטאת</w:t>
      </w:r>
      <w:r w:rsidRPr="00971D84">
        <w:rPr>
          <w:rFonts w:eastAsia="Times New Roman" w:cs="Times New Roman"/>
          <w:lang w:eastAsia="de-DE"/>
        </w:rPr>
        <w:t xml:space="preserve">-Mehl ohne Öl). </w:t>
      </w:r>
      <w:r w:rsidRPr="00971D84">
        <w:rPr>
          <w:rFonts w:eastAsia="Times New Roman" w:cs="Times New Roman"/>
          <w:b/>
          <w:bCs/>
          <w:rtl/>
          <w:lang w:eastAsia="de-DE"/>
        </w:rPr>
        <w:t>איש כאחיו</w:t>
      </w:r>
      <w:r w:rsidRPr="00971D84">
        <w:rPr>
          <w:rFonts w:eastAsia="Times New Roman" w:cs="Times New Roman"/>
          <w:rtl/>
          <w:lang w:eastAsia="de-DE"/>
        </w:rPr>
        <w:t xml:space="preserve"> </w:t>
      </w:r>
      <w:r w:rsidRPr="00971D84">
        <w:rPr>
          <w:rFonts w:eastAsia="Times New Roman" w:cs="Times New Roman"/>
          <w:lang w:eastAsia="de-DE"/>
        </w:rPr>
        <w:t>(einer wie der andere) etabliert Gleichberechtigung aller Aaroniden.</w:t>
      </w:r>
    </w:p>
    <w:p w14:paraId="3E093DD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Unterscheidung zu V. 9: V. 9 regelt zubereitete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 xml:space="preserve">(Ofen, </w:t>
      </w:r>
      <w:r w:rsidRPr="00971D84">
        <w:rPr>
          <w:rFonts w:eastAsia="Times New Roman" w:cs="Times New Roman"/>
          <w:b/>
          <w:bCs/>
          <w:rtl/>
          <w:lang w:eastAsia="de-DE"/>
        </w:rPr>
        <w:t>מרחשת</w:t>
      </w:r>
      <w:r w:rsidRPr="00971D84">
        <w:rPr>
          <w:rFonts w:eastAsia="Times New Roman" w:cs="Times New Roman"/>
          <w:lang w:eastAsia="de-DE"/>
        </w:rPr>
        <w:t xml:space="preserve">, </w:t>
      </w:r>
      <w:r w:rsidRPr="00971D84">
        <w:rPr>
          <w:rFonts w:eastAsia="Times New Roman" w:cs="Times New Roman"/>
          <w:b/>
          <w:bCs/>
          <w:rtl/>
          <w:lang w:eastAsia="de-DE"/>
        </w:rPr>
        <w:t>מחבת</w:t>
      </w:r>
      <w:r w:rsidRPr="00971D84">
        <w:rPr>
          <w:rFonts w:eastAsia="Times New Roman" w:cs="Times New Roman"/>
          <w:lang w:eastAsia="de-DE"/>
        </w:rPr>
        <w:t xml:space="preserve">) für den darbringenden Priester; V. 10 regelt einfache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(mit/ohne Öl) für alle Aaroniden gleichmäßig.</w:t>
      </w:r>
    </w:p>
    <w:p w14:paraId="0395D4D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Die LXX</w:t>
      </w:r>
      <w:r w:rsidRPr="00971D84">
        <w:rPr>
          <w:rFonts w:eastAsia="Times New Roman" w:cs="Times New Roman"/>
          <w:lang w:eastAsia="de-DE"/>
        </w:rPr>
        <w:t xml:space="preserve"> übersetzt </w:t>
      </w:r>
      <w:r w:rsidRPr="00971D84">
        <w:rPr>
          <w:rFonts w:eastAsia="Times New Roman" w:cs="Times New Roman"/>
          <w:b/>
          <w:bCs/>
          <w:rtl/>
          <w:lang w:eastAsia="de-DE"/>
        </w:rPr>
        <w:t>בְלוּלָֽה־בַשֶּׁ֖מֶן</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εφυρ</w:t>
      </w:r>
      <w:proofErr w:type="spellEnd"/>
      <w:r w:rsidRPr="00971D84">
        <w:rPr>
          <w:rFonts w:eastAsia="Times New Roman" w:cs="Times New Roman"/>
          <w:lang w:eastAsia="de-DE"/>
        </w:rPr>
        <w:t xml:space="preserve">αμένη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ἐλ</w:t>
      </w:r>
      <w:proofErr w:type="spellEnd"/>
      <w:r w:rsidRPr="00971D84">
        <w:rPr>
          <w:rFonts w:eastAsia="Times New Roman" w:cs="Times New Roman"/>
          <w:lang w:eastAsia="de-DE"/>
        </w:rPr>
        <w:t xml:space="preserve">αίῳ (mit Öl gemengt), </w:t>
      </w:r>
      <w:r w:rsidRPr="00971D84">
        <w:rPr>
          <w:rFonts w:eastAsia="Times New Roman" w:cs="Times New Roman"/>
          <w:b/>
          <w:bCs/>
          <w:rtl/>
          <w:lang w:eastAsia="de-DE"/>
        </w:rPr>
        <w:t>חֲרֵבָ֑ה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ἄνευ</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ἐλ</w:t>
      </w:r>
      <w:proofErr w:type="spellEnd"/>
      <w:r w:rsidRPr="00971D84">
        <w:rPr>
          <w:rFonts w:eastAsia="Times New Roman" w:cs="Times New Roman"/>
          <w:lang w:eastAsia="de-DE"/>
        </w:rPr>
        <w:t xml:space="preserve">αίου (ohne Öl) und </w:t>
      </w:r>
      <w:r w:rsidRPr="00971D84">
        <w:rPr>
          <w:rFonts w:eastAsia="Times New Roman" w:cs="Times New Roman"/>
          <w:b/>
          <w:bCs/>
          <w:rtl/>
          <w:lang w:eastAsia="de-DE"/>
        </w:rPr>
        <w:t>אִ֥ישׁ כְּאָחִֽיו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ἑκάστῳ</w:t>
      </w:r>
      <w:proofErr w:type="spellEnd"/>
      <w:r w:rsidRPr="00971D84">
        <w:rPr>
          <w:rFonts w:eastAsia="Times New Roman" w:cs="Times New Roman"/>
          <w:lang w:eastAsia="de-DE"/>
        </w:rPr>
        <w:t xml:space="preserve"> κα</w:t>
      </w:r>
      <w:proofErr w:type="spellStart"/>
      <w:r w:rsidRPr="00971D84">
        <w:rPr>
          <w:rFonts w:eastAsia="Times New Roman" w:cs="Times New Roman"/>
          <w:lang w:eastAsia="de-DE"/>
        </w:rPr>
        <w:t>τὰ</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τὸν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ἀδελφὸν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(jedem entsprechend seinem Bruder).</w:t>
      </w:r>
    </w:p>
    <w:p w14:paraId="26124ED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universelle Verteilung: Subjekt mit zwei Qualifikationen + Zuweisung + Gleichheitsformel. Die Struktur etabliert gleichmäßige priesterliche Teilhabe an einfachen </w:t>
      </w:r>
      <w:r w:rsidRPr="00971D84">
        <w:rPr>
          <w:rFonts w:eastAsia="Times New Roman" w:cs="Times New Roman"/>
          <w:b/>
          <w:bCs/>
          <w:rtl/>
          <w:lang w:eastAsia="de-DE"/>
        </w:rPr>
        <w:t>מנחה</w:t>
      </w:r>
      <w:r w:rsidRPr="00971D84">
        <w:rPr>
          <w:rFonts w:eastAsia="Times New Roman" w:cs="Times New Roman"/>
          <w:lang w:eastAsia="de-DE"/>
        </w:rPr>
        <w:t>.</w:t>
      </w:r>
    </w:p>
    <w:p w14:paraId="27682E3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gleichmäßige Verteilung einfacher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 xml:space="preserve">unter allen Aaroniden im Unterschied zu zubereiteten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für den darbringenden Priester.</w:t>
      </w:r>
    </w:p>
    <w:p w14:paraId="62C16A63"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7,11</w:t>
      </w:r>
    </w:p>
    <w:p w14:paraId="311B4E9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וְזֹ֥את תּוֹרַ֖ת זֶ֣בַח הַשְּׁלָמִ֑ים אֲשֶׁ֥ר יַקְרִ֖יב לַיהוָֽה׃</w:t>
      </w:r>
    </w:p>
    <w:p w14:paraId="7FA24BD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dies ist die Torah des Friedensopfers, das man dem Ewigen darbringt:</w:t>
      </w:r>
    </w:p>
    <w:p w14:paraId="104493A2"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E6E4319">
          <v:rect id="_x0000_i1169" style="width:0;height:1.5pt" o:hralign="center" o:hrstd="t" o:hr="t" fillcolor="#a0a0a0" stroked="f"/>
        </w:pict>
      </w:r>
    </w:p>
    <w:p w14:paraId="31E0729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וְזֹ֥את תּוֹרַ֖ת זֶ֣בַח הַשְּׁלָמִ֑ים אֲשֶׁ֥ר יַקְרִ֖יב לַיהוָֽה</w:t>
      </w:r>
      <w:r w:rsidRPr="00971D84">
        <w:rPr>
          <w:rFonts w:eastAsia="Times New Roman" w:cs="Times New Roman"/>
          <w:rtl/>
          <w:lang w:eastAsia="de-DE"/>
        </w:rPr>
        <w:t xml:space="preserve"> </w:t>
      </w:r>
      <w:r w:rsidRPr="00971D84">
        <w:rPr>
          <w:rFonts w:eastAsia="Times New Roman" w:cs="Times New Roman"/>
          <w:lang w:eastAsia="de-DE"/>
        </w:rPr>
        <w:t xml:space="preserve">führt die fünfte und letzte priesterliche </w:t>
      </w:r>
      <w:r w:rsidRPr="00971D84">
        <w:rPr>
          <w:rFonts w:eastAsia="Times New Roman" w:cs="Times New Roman"/>
          <w:b/>
          <w:bCs/>
          <w:rtl/>
          <w:lang w:eastAsia="de-DE"/>
        </w:rPr>
        <w:t>תורה</w:t>
      </w:r>
      <w:r w:rsidRPr="00971D84">
        <w:rPr>
          <w:rFonts w:eastAsia="Times New Roman" w:cs="Times New Roman"/>
          <w:rtl/>
          <w:lang w:eastAsia="de-DE"/>
        </w:rPr>
        <w:t xml:space="preserve"> </w:t>
      </w:r>
      <w:r w:rsidRPr="00971D84">
        <w:rPr>
          <w:rFonts w:eastAsia="Times New Roman" w:cs="Times New Roman"/>
          <w:lang w:eastAsia="de-DE"/>
        </w:rPr>
        <w:t xml:space="preserve">ein. </w:t>
      </w:r>
      <w:r w:rsidRPr="00971D84">
        <w:rPr>
          <w:rFonts w:eastAsia="Times New Roman" w:cs="Times New Roman"/>
          <w:b/>
          <w:bCs/>
          <w:rtl/>
          <w:lang w:eastAsia="de-DE"/>
        </w:rPr>
        <w:t>וזאת תורת זבח השלמים</w:t>
      </w:r>
      <w:r w:rsidRPr="00971D84">
        <w:rPr>
          <w:rFonts w:eastAsia="Times New Roman" w:cs="Times New Roman"/>
          <w:rtl/>
          <w:lang w:eastAsia="de-DE"/>
        </w:rPr>
        <w:t xml:space="preserve"> </w:t>
      </w:r>
      <w:r w:rsidRPr="00971D84">
        <w:rPr>
          <w:rFonts w:eastAsia="Times New Roman" w:cs="Times New Roman"/>
          <w:lang w:eastAsia="de-DE"/>
        </w:rPr>
        <w:t xml:space="preserve">(und dies ist die Torah des Friedensopfers) entspricht dem etablierten Muster, </w:t>
      </w:r>
      <w:r w:rsidRPr="00971D84">
        <w:rPr>
          <w:rFonts w:eastAsia="Times New Roman" w:cs="Times New Roman"/>
          <w:b/>
          <w:bCs/>
          <w:rtl/>
          <w:lang w:eastAsia="de-DE"/>
        </w:rPr>
        <w:t>אשר יקריב ליהוה</w:t>
      </w:r>
      <w:r w:rsidRPr="00971D84">
        <w:rPr>
          <w:rFonts w:eastAsia="Times New Roman" w:cs="Times New Roman"/>
          <w:rtl/>
          <w:lang w:eastAsia="de-DE"/>
        </w:rPr>
        <w:t xml:space="preserve"> </w:t>
      </w:r>
      <w:r w:rsidRPr="00971D84">
        <w:rPr>
          <w:rFonts w:eastAsia="Times New Roman" w:cs="Times New Roman"/>
          <w:lang w:eastAsia="de-DE"/>
        </w:rPr>
        <w:t>(das man JHWH darbringt) als erläuternder Relativsatz.</w:t>
      </w:r>
    </w:p>
    <w:p w14:paraId="0A97C77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זבח השלמים</w:t>
      </w:r>
      <w:r w:rsidRPr="00971D84">
        <w:rPr>
          <w:rFonts w:eastAsia="Times New Roman" w:cs="Times New Roman"/>
          <w:rtl/>
          <w:lang w:eastAsia="de-DE"/>
        </w:rPr>
        <w:t xml:space="preserve"> </w:t>
      </w:r>
      <w:r w:rsidRPr="00971D84">
        <w:rPr>
          <w:rFonts w:eastAsia="Times New Roman" w:cs="Times New Roman"/>
          <w:lang w:eastAsia="de-DE"/>
        </w:rPr>
        <w:t xml:space="preserve">(Friedensopfer) statt nur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 xml:space="preserve">betont den Schlachtcharakter. </w:t>
      </w:r>
      <w:r w:rsidRPr="00971D84">
        <w:rPr>
          <w:rFonts w:eastAsia="Times New Roman" w:cs="Times New Roman"/>
          <w:b/>
          <w:bCs/>
          <w:rtl/>
          <w:lang w:eastAsia="de-DE"/>
        </w:rPr>
        <w:t>תורת זבח השלמים</w:t>
      </w:r>
      <w:r w:rsidRPr="00971D84">
        <w:rPr>
          <w:rFonts w:eastAsia="Times New Roman" w:cs="Times New Roman"/>
          <w:rtl/>
          <w:lang w:eastAsia="de-DE"/>
        </w:rPr>
        <w:t xml:space="preserve"> </w:t>
      </w:r>
      <w:r w:rsidRPr="00971D84">
        <w:rPr>
          <w:rFonts w:eastAsia="Times New Roman" w:cs="Times New Roman"/>
          <w:lang w:eastAsia="de-DE"/>
        </w:rPr>
        <w:t>behandelt nicht die Darbringung (Kapitel 3), sondern die priesterliche Handhabung und Verzehrbestimmungen.</w:t>
      </w:r>
    </w:p>
    <w:p w14:paraId="7BCB1EA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תּוֹרַ֖ת זֶ֣בַח הַשְּׁלָמִ֑ים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νόμος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θυσί</w:t>
      </w:r>
      <w:proofErr w:type="spellEnd"/>
      <w:r w:rsidRPr="00971D84">
        <w:rPr>
          <w:rFonts w:eastAsia="Times New Roman" w:cs="Times New Roman"/>
          <w:lang w:eastAsia="de-DE"/>
        </w:rPr>
        <w:t xml:space="preserve">ας </w:t>
      </w:r>
      <w:proofErr w:type="spellStart"/>
      <w:r w:rsidRPr="00971D84">
        <w:rPr>
          <w:rFonts w:eastAsia="Times New Roman" w:cs="Times New Roman"/>
          <w:lang w:eastAsia="de-DE"/>
        </w:rPr>
        <w:t>σωτηρίου</w:t>
      </w:r>
      <w:proofErr w:type="spellEnd"/>
      <w:r w:rsidRPr="00971D84">
        <w:rPr>
          <w:rFonts w:eastAsia="Times New Roman" w:cs="Times New Roman"/>
          <w:lang w:eastAsia="de-DE"/>
        </w:rPr>
        <w:t xml:space="preserve"> (Gesetz des Heilsopfers) und </w:t>
      </w:r>
      <w:r w:rsidRPr="00971D84">
        <w:rPr>
          <w:rFonts w:eastAsia="Times New Roman" w:cs="Times New Roman"/>
          <w:b/>
          <w:bCs/>
          <w:rtl/>
          <w:lang w:eastAsia="de-DE"/>
        </w:rPr>
        <w:t>יַקְרִ֖יב</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ροσοίσει</w:t>
      </w:r>
      <w:proofErr w:type="spellEnd"/>
      <w:r w:rsidRPr="00971D84">
        <w:rPr>
          <w:rFonts w:eastAsia="Times New Roman" w:cs="Times New Roman"/>
          <w:lang w:eastAsia="de-DE"/>
        </w:rPr>
        <w:t xml:space="preserve"> (er wird darbringen).</w:t>
      </w:r>
    </w:p>
    <w:p w14:paraId="3A64D0E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Torah-Einleitung mit Spezifizierung: Torah-Klassifikation + erläuternder Relativsatz. Die Struktur entspricht den vorherigen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mit zusätzlicher Spezifizierung.</w:t>
      </w:r>
    </w:p>
    <w:p w14:paraId="48AE0F4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leitet die </w:t>
      </w:r>
      <w:r w:rsidRPr="00971D84">
        <w:rPr>
          <w:rFonts w:eastAsia="Times New Roman" w:cs="Times New Roman"/>
          <w:b/>
          <w:bCs/>
          <w:rtl/>
          <w:lang w:eastAsia="de-DE"/>
        </w:rPr>
        <w:t>תורת זבח השלמים</w:t>
      </w:r>
      <w:r w:rsidRPr="00971D84">
        <w:rPr>
          <w:rFonts w:eastAsia="Times New Roman" w:cs="Times New Roman"/>
          <w:rtl/>
          <w:lang w:eastAsia="de-DE"/>
        </w:rPr>
        <w:t xml:space="preserve"> </w:t>
      </w:r>
      <w:r w:rsidRPr="00971D84">
        <w:rPr>
          <w:rFonts w:eastAsia="Times New Roman" w:cs="Times New Roman"/>
          <w:lang w:eastAsia="de-DE"/>
        </w:rPr>
        <w:t xml:space="preserve">als letzte der fünf priesterlichen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ein.</w:t>
      </w:r>
    </w:p>
    <w:p w14:paraId="588D9BFE"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7,12</w:t>
      </w:r>
    </w:p>
    <w:p w14:paraId="4BA640C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אִ֣ם עַל־תּוֹדָה֮ יַקְרִיבֶנּוּ֒ וְהִקְרִ֣יב׀ עַל־זֶ֣בַח הַתּוֹדָ֗ה חַלּ֤וֹת מַצּוֹת֙ בְּלוּלֹ֣ת בַּשֶּׁ֔מֶן וּרְקִיקֵ֥י מַצּ֖וֹת מְשֻׁחִ֣ים בַּשָּׁ֑מֶן וְסֹ֣לֶת מֻרְבֶּ֔כֶת חַלֹּ֖ת בְּלוּלֹ֥ת בַּשָּֽמֶן׃</w:t>
      </w:r>
    </w:p>
    <w:p w14:paraId="440F120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Wenn man es zum Dank darbringt, so bringe man nebst dem Dankopfer ungesäuerte Kuchen dar, gemengt mit Öl, und ungesäuerte Fladen, gesalbt mit Öl, und Feinmehl, eingerührt mit Öl: Kuchen, gemengt mit Öl.</w:t>
      </w:r>
    </w:p>
    <w:p w14:paraId="1132FE7F"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17111204">
          <v:rect id="_x0000_i1170" style="width:0;height:1.5pt" o:hralign="center" o:hrstd="t" o:hr="t" fillcolor="#a0a0a0" stroked="f"/>
        </w:pict>
      </w:r>
    </w:p>
    <w:p w14:paraId="6C59F5D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Kommentar:</w:t>
      </w:r>
      <w:r w:rsidRPr="00971D84">
        <w:rPr>
          <w:rFonts w:eastAsia="Times New Roman" w:cs="Times New Roman"/>
          <w:lang w:eastAsia="de-DE"/>
        </w:rPr>
        <w:t xml:space="preserve"> </w:t>
      </w:r>
      <w:r w:rsidRPr="00971D84">
        <w:rPr>
          <w:rFonts w:eastAsia="Times New Roman" w:cs="Times New Roman"/>
          <w:b/>
          <w:bCs/>
          <w:rtl/>
          <w:lang w:eastAsia="de-DE"/>
        </w:rPr>
        <w:t>אִ֣ם עַל־תּוֹדָה֮ יַקְרִיבֶנּוּ֒</w:t>
      </w:r>
      <w:r w:rsidRPr="00971D84">
        <w:rPr>
          <w:rFonts w:eastAsia="Times New Roman" w:cs="Times New Roman"/>
          <w:rtl/>
          <w:lang w:eastAsia="de-DE"/>
        </w:rPr>
        <w:t xml:space="preserve"> </w:t>
      </w:r>
      <w:r w:rsidRPr="00971D84">
        <w:rPr>
          <w:rFonts w:eastAsia="Times New Roman" w:cs="Times New Roman"/>
          <w:lang w:eastAsia="de-DE"/>
        </w:rPr>
        <w:t xml:space="preserve">(wenn er es zum Dank darbringt) führt die erste </w:t>
      </w:r>
      <w:r w:rsidRPr="00971D84">
        <w:rPr>
          <w:rFonts w:eastAsia="Times New Roman" w:cs="Times New Roman"/>
          <w:b/>
          <w:bCs/>
          <w:rtl/>
          <w:lang w:eastAsia="de-DE"/>
        </w:rPr>
        <w:t>שלמים</w:t>
      </w:r>
      <w:r w:rsidRPr="00971D84">
        <w:rPr>
          <w:rFonts w:eastAsia="Times New Roman" w:cs="Times New Roman"/>
          <w:lang w:eastAsia="de-DE"/>
        </w:rPr>
        <w:t xml:space="preserve">-Unterkategorie ein. </w:t>
      </w:r>
      <w:r w:rsidRPr="00971D84">
        <w:rPr>
          <w:rFonts w:eastAsia="Times New Roman" w:cs="Times New Roman"/>
          <w:b/>
          <w:bCs/>
          <w:rtl/>
          <w:lang w:eastAsia="de-DE"/>
        </w:rPr>
        <w:t>אם על־תודה יקריבנו</w:t>
      </w:r>
      <w:r w:rsidRPr="00971D84">
        <w:rPr>
          <w:rFonts w:eastAsia="Times New Roman" w:cs="Times New Roman"/>
          <w:rtl/>
          <w:lang w:eastAsia="de-DE"/>
        </w:rPr>
        <w:t xml:space="preserve"> </w:t>
      </w:r>
      <w:r w:rsidRPr="00971D84">
        <w:rPr>
          <w:rFonts w:eastAsia="Times New Roman" w:cs="Times New Roman"/>
          <w:lang w:eastAsia="de-DE"/>
        </w:rPr>
        <w:t xml:space="preserve">(wenn er es zum Dank darbringt) von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(Dank/Lobpreis).</w:t>
      </w:r>
    </w:p>
    <w:p w14:paraId="52396A0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וְהִקְרִ֣יב׀ עַל־זֶ֣בַח הַתּוֹדָ֗ה חַלּ֤וֹת מַצּוֹת֙ בְּלוּלֹ֣ת בַּשֶּׁ֔מֶן</w:t>
      </w:r>
      <w:r w:rsidRPr="00971D84">
        <w:rPr>
          <w:rFonts w:eastAsia="Times New Roman" w:cs="Times New Roman"/>
          <w:rtl/>
          <w:lang w:eastAsia="de-DE"/>
        </w:rPr>
        <w:t xml:space="preserve"> </w:t>
      </w:r>
      <w:r w:rsidRPr="00971D84">
        <w:rPr>
          <w:rFonts w:eastAsia="Times New Roman" w:cs="Times New Roman"/>
          <w:lang w:eastAsia="de-DE"/>
        </w:rPr>
        <w:t xml:space="preserve">(und er soll zu dem Dankopfer ungesäuerte Kuchen darbringen, gemengt mit Öl) zeigt die erste Brotart. </w:t>
      </w:r>
      <w:r w:rsidRPr="00971D84">
        <w:rPr>
          <w:rFonts w:eastAsia="Times New Roman" w:cs="Times New Roman"/>
          <w:b/>
          <w:bCs/>
          <w:rtl/>
          <w:lang w:eastAsia="de-DE"/>
        </w:rPr>
        <w:t>והקריב על־זבח התודה</w:t>
      </w:r>
      <w:r w:rsidRPr="00971D84">
        <w:rPr>
          <w:rFonts w:eastAsia="Times New Roman" w:cs="Times New Roman"/>
          <w:rtl/>
          <w:lang w:eastAsia="de-DE"/>
        </w:rPr>
        <w:t xml:space="preserve"> </w:t>
      </w:r>
      <w:r w:rsidRPr="00971D84">
        <w:rPr>
          <w:rFonts w:eastAsia="Times New Roman" w:cs="Times New Roman"/>
          <w:lang w:eastAsia="de-DE"/>
        </w:rPr>
        <w:t xml:space="preserve">(und er soll zu dem Dankopfer darbringen), </w:t>
      </w:r>
      <w:r w:rsidRPr="00971D84">
        <w:rPr>
          <w:rFonts w:eastAsia="Times New Roman" w:cs="Times New Roman"/>
          <w:b/>
          <w:bCs/>
          <w:rtl/>
          <w:lang w:eastAsia="de-DE"/>
        </w:rPr>
        <w:t>חלות מצות בלולת בשמן</w:t>
      </w:r>
      <w:r w:rsidRPr="00971D84">
        <w:rPr>
          <w:rFonts w:eastAsia="Times New Roman" w:cs="Times New Roman"/>
          <w:rtl/>
          <w:lang w:eastAsia="de-DE"/>
        </w:rPr>
        <w:t xml:space="preserve"> </w:t>
      </w:r>
      <w:r w:rsidRPr="00971D84">
        <w:rPr>
          <w:rFonts w:eastAsia="Times New Roman" w:cs="Times New Roman"/>
          <w:lang w:eastAsia="de-DE"/>
        </w:rPr>
        <w:t>(ungesäuerte Kuchen, gemengt mit Öl).</w:t>
      </w:r>
    </w:p>
    <w:p w14:paraId="7FA4C96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וּרְקִיקֵ֥י מַצּ֖וֹת מְשֻׁחִ֣ים בַּשָּׁ֑מֶן</w:t>
      </w:r>
      <w:r w:rsidRPr="00971D84">
        <w:rPr>
          <w:rFonts w:eastAsia="Times New Roman" w:cs="Times New Roman"/>
          <w:rtl/>
          <w:lang w:eastAsia="de-DE"/>
        </w:rPr>
        <w:t xml:space="preserve"> </w:t>
      </w:r>
      <w:r w:rsidRPr="00971D84">
        <w:rPr>
          <w:rFonts w:eastAsia="Times New Roman" w:cs="Times New Roman"/>
          <w:lang w:eastAsia="de-DE"/>
        </w:rPr>
        <w:t xml:space="preserve">(und ungesäuerte Fladen, gesalbt mit Öl) zeigt die zweite Brotart. </w:t>
      </w:r>
      <w:r w:rsidRPr="00971D84">
        <w:rPr>
          <w:rFonts w:eastAsia="Times New Roman" w:cs="Times New Roman"/>
          <w:b/>
          <w:bCs/>
          <w:rtl/>
          <w:lang w:eastAsia="de-DE"/>
        </w:rPr>
        <w:t>ורקיקי מצות</w:t>
      </w:r>
      <w:r w:rsidRPr="00971D84">
        <w:rPr>
          <w:rFonts w:eastAsia="Times New Roman" w:cs="Times New Roman"/>
          <w:rtl/>
          <w:lang w:eastAsia="de-DE"/>
        </w:rPr>
        <w:t xml:space="preserve"> </w:t>
      </w:r>
      <w:r w:rsidRPr="00971D84">
        <w:rPr>
          <w:rFonts w:eastAsia="Times New Roman" w:cs="Times New Roman"/>
          <w:lang w:eastAsia="de-DE"/>
        </w:rPr>
        <w:t xml:space="preserve">(und ungesäuerte Fladen) von </w:t>
      </w:r>
      <w:r w:rsidRPr="00971D84">
        <w:rPr>
          <w:rFonts w:eastAsia="Times New Roman" w:cs="Times New Roman"/>
          <w:b/>
          <w:bCs/>
          <w:rtl/>
          <w:lang w:eastAsia="de-DE"/>
        </w:rPr>
        <w:t>רקיק</w:t>
      </w:r>
      <w:r w:rsidRPr="00971D84">
        <w:rPr>
          <w:rFonts w:eastAsia="Times New Roman" w:cs="Times New Roman"/>
          <w:rtl/>
          <w:lang w:eastAsia="de-DE"/>
        </w:rPr>
        <w:t xml:space="preserve"> </w:t>
      </w:r>
      <w:r w:rsidRPr="00971D84">
        <w:rPr>
          <w:rFonts w:eastAsia="Times New Roman" w:cs="Times New Roman"/>
          <w:lang w:eastAsia="de-DE"/>
        </w:rPr>
        <w:t xml:space="preserve">(dünner Fladen), </w:t>
      </w:r>
      <w:r w:rsidRPr="00971D84">
        <w:rPr>
          <w:rFonts w:eastAsia="Times New Roman" w:cs="Times New Roman"/>
          <w:b/>
          <w:bCs/>
          <w:rtl/>
          <w:lang w:eastAsia="de-DE"/>
        </w:rPr>
        <w:t>משחים בשמן</w:t>
      </w:r>
      <w:r w:rsidRPr="00971D84">
        <w:rPr>
          <w:rFonts w:eastAsia="Times New Roman" w:cs="Times New Roman"/>
          <w:rtl/>
          <w:lang w:eastAsia="de-DE"/>
        </w:rPr>
        <w:t xml:space="preserve"> </w:t>
      </w:r>
      <w:r w:rsidRPr="00971D84">
        <w:rPr>
          <w:rFonts w:eastAsia="Times New Roman" w:cs="Times New Roman"/>
          <w:lang w:eastAsia="de-DE"/>
        </w:rPr>
        <w:t>(gesalbt mit Öl).</w:t>
      </w:r>
    </w:p>
    <w:p w14:paraId="6FCE9BB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וְסֹ֣לֶת מֻרְבֶּ֔כֶת חַלֹּ֖ת בְּלוּלֹ֥ת בַּשָּֽמֶן</w:t>
      </w:r>
      <w:r w:rsidRPr="00971D84">
        <w:rPr>
          <w:rFonts w:eastAsia="Times New Roman" w:cs="Times New Roman"/>
          <w:rtl/>
          <w:lang w:eastAsia="de-DE"/>
        </w:rPr>
        <w:t xml:space="preserve"> </w:t>
      </w:r>
      <w:r w:rsidRPr="00971D84">
        <w:rPr>
          <w:rFonts w:eastAsia="Times New Roman" w:cs="Times New Roman"/>
          <w:lang w:eastAsia="de-DE"/>
        </w:rPr>
        <w:t xml:space="preserve">(und Feinmehl, eingerührt, Kuchen gemengt mit Öl) zeigt die dritte Brotart. </w:t>
      </w:r>
      <w:r w:rsidRPr="00971D84">
        <w:rPr>
          <w:rFonts w:eastAsia="Times New Roman" w:cs="Times New Roman"/>
          <w:b/>
          <w:bCs/>
          <w:rtl/>
          <w:lang w:eastAsia="de-DE"/>
        </w:rPr>
        <w:t>וסלת מרבכת</w:t>
      </w:r>
      <w:r w:rsidRPr="00971D84">
        <w:rPr>
          <w:rFonts w:eastAsia="Times New Roman" w:cs="Times New Roman"/>
          <w:rtl/>
          <w:lang w:eastAsia="de-DE"/>
        </w:rPr>
        <w:t xml:space="preserve"> </w:t>
      </w:r>
      <w:r w:rsidRPr="00971D84">
        <w:rPr>
          <w:rFonts w:eastAsia="Times New Roman" w:cs="Times New Roman"/>
          <w:lang w:eastAsia="de-DE"/>
        </w:rPr>
        <w:t xml:space="preserve">(und Feinmehl, eingerührt), </w:t>
      </w:r>
      <w:r w:rsidRPr="00971D84">
        <w:rPr>
          <w:rFonts w:eastAsia="Times New Roman" w:cs="Times New Roman"/>
          <w:b/>
          <w:bCs/>
          <w:rtl/>
          <w:lang w:eastAsia="de-DE"/>
        </w:rPr>
        <w:t>חלות בלולת בשמן</w:t>
      </w:r>
      <w:r w:rsidRPr="00971D84">
        <w:rPr>
          <w:rFonts w:eastAsia="Times New Roman" w:cs="Times New Roman"/>
          <w:rtl/>
          <w:lang w:eastAsia="de-DE"/>
        </w:rPr>
        <w:t xml:space="preserve"> </w:t>
      </w:r>
      <w:r w:rsidRPr="00971D84">
        <w:rPr>
          <w:rFonts w:eastAsia="Times New Roman" w:cs="Times New Roman"/>
          <w:lang w:eastAsia="de-DE"/>
        </w:rPr>
        <w:t>(Kuchen gemengt mit Öl).</w:t>
      </w:r>
    </w:p>
    <w:p w14:paraId="64381FD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זבח התודה</w:t>
      </w:r>
      <w:r w:rsidRPr="00971D84">
        <w:rPr>
          <w:rFonts w:eastAsia="Times New Roman" w:cs="Times New Roman"/>
          <w:rtl/>
          <w:lang w:eastAsia="de-DE"/>
        </w:rPr>
        <w:t xml:space="preserve"> </w:t>
      </w:r>
      <w:r w:rsidRPr="00971D84">
        <w:rPr>
          <w:rFonts w:eastAsia="Times New Roman" w:cs="Times New Roman"/>
          <w:lang w:eastAsia="de-DE"/>
        </w:rPr>
        <w:t xml:space="preserve">(Dankopfer) ist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 xml:space="preserve">aus Dankbarkeit für göttliche Wohltaten. Die drei Brotarten entsprechen </w:t>
      </w:r>
      <w:r w:rsidRPr="00971D84">
        <w:rPr>
          <w:rFonts w:eastAsia="Times New Roman" w:cs="Times New Roman"/>
          <w:b/>
          <w:bCs/>
          <w:rtl/>
          <w:lang w:eastAsia="de-DE"/>
        </w:rPr>
        <w:t>מנחה</w:t>
      </w:r>
      <w:r w:rsidRPr="00971D84">
        <w:rPr>
          <w:rFonts w:eastAsia="Times New Roman" w:cs="Times New Roman"/>
          <w:lang w:eastAsia="de-DE"/>
        </w:rPr>
        <w:t xml:space="preserve">-Arten aus Kapitel 2: </w:t>
      </w:r>
      <w:r w:rsidRPr="00971D84">
        <w:rPr>
          <w:rFonts w:eastAsia="Times New Roman" w:cs="Times New Roman"/>
          <w:b/>
          <w:bCs/>
          <w:rtl/>
          <w:lang w:eastAsia="de-DE"/>
        </w:rPr>
        <w:t>חלות בלולת בשמן</w:t>
      </w:r>
      <w:r w:rsidRPr="00971D84">
        <w:rPr>
          <w:rFonts w:eastAsia="Times New Roman" w:cs="Times New Roman"/>
          <w:rtl/>
          <w:lang w:eastAsia="de-DE"/>
        </w:rPr>
        <w:t xml:space="preserve"> </w:t>
      </w:r>
      <w:r w:rsidRPr="00971D84">
        <w:rPr>
          <w:rFonts w:eastAsia="Times New Roman" w:cs="Times New Roman"/>
          <w:lang w:eastAsia="de-DE"/>
        </w:rPr>
        <w:t xml:space="preserve">(2,4), </w:t>
      </w:r>
      <w:r w:rsidRPr="00971D84">
        <w:rPr>
          <w:rFonts w:eastAsia="Times New Roman" w:cs="Times New Roman"/>
          <w:b/>
          <w:bCs/>
          <w:rtl/>
          <w:lang w:eastAsia="de-DE"/>
        </w:rPr>
        <w:t>רקיקי...משחים בשמן</w:t>
      </w:r>
      <w:r w:rsidRPr="00971D84">
        <w:rPr>
          <w:rFonts w:eastAsia="Times New Roman" w:cs="Times New Roman"/>
          <w:rtl/>
          <w:lang w:eastAsia="de-DE"/>
        </w:rPr>
        <w:t xml:space="preserve"> </w:t>
      </w:r>
      <w:r w:rsidRPr="00971D84">
        <w:rPr>
          <w:rFonts w:eastAsia="Times New Roman" w:cs="Times New Roman"/>
          <w:lang w:eastAsia="de-DE"/>
        </w:rPr>
        <w:t xml:space="preserve">(2,4), </w:t>
      </w:r>
      <w:r w:rsidRPr="00971D84">
        <w:rPr>
          <w:rFonts w:eastAsia="Times New Roman" w:cs="Times New Roman"/>
          <w:b/>
          <w:bCs/>
          <w:rtl/>
          <w:lang w:eastAsia="de-DE"/>
        </w:rPr>
        <w:t>סלת מרבכת</w:t>
      </w:r>
      <w:r w:rsidRPr="00971D84">
        <w:rPr>
          <w:rFonts w:eastAsia="Times New Roman" w:cs="Times New Roman"/>
          <w:rtl/>
          <w:lang w:eastAsia="de-DE"/>
        </w:rPr>
        <w:t xml:space="preserve"> </w:t>
      </w:r>
      <w:r w:rsidRPr="00971D84">
        <w:rPr>
          <w:rFonts w:eastAsia="Times New Roman" w:cs="Times New Roman"/>
          <w:lang w:eastAsia="de-DE"/>
        </w:rPr>
        <w:t>(2,5-6).</w:t>
      </w:r>
    </w:p>
    <w:p w14:paraId="582A0751" w14:textId="1E6F3EDD" w:rsidR="00971D84" w:rsidRPr="00971D84" w:rsidRDefault="00507F60" w:rsidP="00507F60">
      <w:pPr>
        <w:spacing w:before="100" w:beforeAutospacing="1" w:after="100" w:afterAutospacing="1" w:line="240" w:lineRule="auto"/>
        <w:rPr>
          <w:rFonts w:eastAsia="Times New Roman" w:cs="Times New Roman"/>
          <w:lang w:eastAsia="de-DE"/>
        </w:rPr>
      </w:pPr>
      <w:r>
        <w:rPr>
          <w:rStyle w:val="Fett"/>
        </w:rPr>
        <w:t>Vers 12 (MT=2 LXX)</w:t>
      </w:r>
      <w:r>
        <w:t xml:space="preserve">: </w:t>
      </w:r>
      <w:r>
        <w:rPr>
          <w:rStyle w:val="Fett"/>
        </w:rPr>
        <w:t>Die LXX</w:t>
      </w:r>
      <w:r>
        <w:t xml:space="preserve"> übersetzt </w:t>
      </w:r>
      <w:r>
        <w:rPr>
          <w:rtl/>
        </w:rPr>
        <w:t>תודה</w:t>
      </w:r>
      <w:r>
        <w:t xml:space="preserve"> (</w:t>
      </w:r>
      <w:proofErr w:type="spellStart"/>
      <w:r>
        <w:t>toda</w:t>
      </w:r>
      <w:proofErr w:type="spellEnd"/>
      <w:r>
        <w:t xml:space="preserve"> - "Dankopfer") als α</w:t>
      </w:r>
      <w:proofErr w:type="spellStart"/>
      <w:r>
        <w:t>ἰνέσεως</w:t>
      </w:r>
      <w:proofErr w:type="spellEnd"/>
      <w:r>
        <w:t xml:space="preserve"> (Lobpreis), was eine liturgisch-theologische Präzisierung darstellt.</w:t>
      </w:r>
    </w:p>
    <w:p w14:paraId="5F679F9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konditionalen </w:t>
      </w:r>
      <w:r w:rsidRPr="00971D84">
        <w:rPr>
          <w:rFonts w:eastAsia="Times New Roman" w:cs="Times New Roman"/>
          <w:b/>
          <w:bCs/>
          <w:rtl/>
          <w:lang w:eastAsia="de-DE"/>
        </w:rPr>
        <w:t>תודה</w:t>
      </w:r>
      <w:r w:rsidRPr="00971D84">
        <w:rPr>
          <w:rFonts w:eastAsia="Times New Roman" w:cs="Times New Roman"/>
          <w:lang w:eastAsia="de-DE"/>
        </w:rPr>
        <w:t xml:space="preserve">-Fall + Brotdarbringung: Protasis + Apodosis mit drei koordinierten Brotarten. Die Struktur zeigt die komplexe </w:t>
      </w:r>
      <w:r w:rsidRPr="00971D84">
        <w:rPr>
          <w:rFonts w:eastAsia="Times New Roman" w:cs="Times New Roman"/>
          <w:b/>
          <w:bCs/>
          <w:rtl/>
          <w:lang w:eastAsia="de-DE"/>
        </w:rPr>
        <w:t>תודה</w:t>
      </w:r>
      <w:r w:rsidRPr="00971D84">
        <w:rPr>
          <w:rFonts w:eastAsia="Times New Roman" w:cs="Times New Roman"/>
          <w:lang w:eastAsia="de-DE"/>
        </w:rPr>
        <w:t>-Darbringung.</w:t>
      </w:r>
    </w:p>
    <w:p w14:paraId="2561622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führt </w:t>
      </w:r>
      <w:r w:rsidRPr="00971D84">
        <w:rPr>
          <w:rFonts w:eastAsia="Times New Roman" w:cs="Times New Roman"/>
          <w:b/>
          <w:bCs/>
          <w:rtl/>
          <w:lang w:eastAsia="de-DE"/>
        </w:rPr>
        <w:t>זבח התודה</w:t>
      </w:r>
      <w:r w:rsidRPr="00971D84">
        <w:rPr>
          <w:rFonts w:eastAsia="Times New Roman" w:cs="Times New Roman"/>
          <w:rtl/>
          <w:lang w:eastAsia="de-DE"/>
        </w:rPr>
        <w:t xml:space="preserve"> </w:t>
      </w:r>
      <w:r w:rsidRPr="00971D84">
        <w:rPr>
          <w:rFonts w:eastAsia="Times New Roman" w:cs="Times New Roman"/>
          <w:lang w:eastAsia="de-DE"/>
        </w:rPr>
        <w:t>mit drei ungesäuerten Brotarten als Begleitung ein.</w:t>
      </w:r>
    </w:p>
    <w:p w14:paraId="23FF6243"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7,13</w:t>
      </w:r>
    </w:p>
    <w:p w14:paraId="176973F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עַל־חַלֹּת֙ לֶ֣חֶם חָמֵ֔ץ יַקְרִ֖יב קָרְבָּנֹ֑ו עַל־זֶ֖בַח תּוֹדַ֥ת שְׁלָמָֽיו׃</w:t>
      </w:r>
    </w:p>
    <w:p w14:paraId="43938DF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Nebst den Kuchen soll man gesäuertes Brot als Opfergabe darbringen, nebst seinem Dank-Friedensopfer.</w:t>
      </w:r>
    </w:p>
    <w:p w14:paraId="0EBA53DD"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04ECE7B7">
          <v:rect id="_x0000_i1171" style="width:0;height:1.5pt" o:hralign="center" o:hrstd="t" o:hr="t" fillcolor="#a0a0a0" stroked="f"/>
        </w:pict>
      </w:r>
    </w:p>
    <w:p w14:paraId="1D3006E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עַל־חַלֹּת֙ לֶ֣חֶם חָמֵ֔ץ יַקְרִ֖יב קָרְבָּנֹ֑ו</w:t>
      </w:r>
      <w:r w:rsidRPr="00971D84">
        <w:rPr>
          <w:rFonts w:eastAsia="Times New Roman" w:cs="Times New Roman"/>
          <w:rtl/>
          <w:lang w:eastAsia="de-DE"/>
        </w:rPr>
        <w:t xml:space="preserve"> </w:t>
      </w:r>
      <w:r w:rsidRPr="00971D84">
        <w:rPr>
          <w:rFonts w:eastAsia="Times New Roman" w:cs="Times New Roman"/>
          <w:lang w:eastAsia="de-DE"/>
        </w:rPr>
        <w:t xml:space="preserve">(zu den Kuchen soll er gesäuertes Brot als seine Opfergabe darbringen) fügt eine vierte Brotart hinzu. </w:t>
      </w:r>
      <w:r w:rsidRPr="00971D84">
        <w:rPr>
          <w:rFonts w:eastAsia="Times New Roman" w:cs="Times New Roman"/>
          <w:b/>
          <w:bCs/>
          <w:rtl/>
          <w:lang w:eastAsia="de-DE"/>
        </w:rPr>
        <w:t>על־חלות לחם חמץ</w:t>
      </w:r>
      <w:r w:rsidRPr="00971D84">
        <w:rPr>
          <w:rFonts w:eastAsia="Times New Roman" w:cs="Times New Roman"/>
          <w:rtl/>
          <w:lang w:eastAsia="de-DE"/>
        </w:rPr>
        <w:t xml:space="preserve"> </w:t>
      </w:r>
      <w:r w:rsidRPr="00971D84">
        <w:rPr>
          <w:rFonts w:eastAsia="Times New Roman" w:cs="Times New Roman"/>
          <w:lang w:eastAsia="de-DE"/>
        </w:rPr>
        <w:t xml:space="preserve">(zu den Kuchen gesäuertes Brot), </w:t>
      </w:r>
      <w:r w:rsidRPr="00971D84">
        <w:rPr>
          <w:rFonts w:eastAsia="Times New Roman" w:cs="Times New Roman"/>
          <w:b/>
          <w:bCs/>
          <w:rtl/>
          <w:lang w:eastAsia="de-DE"/>
        </w:rPr>
        <w:t>יקריב קרבנו</w:t>
      </w:r>
      <w:r w:rsidRPr="00971D84">
        <w:rPr>
          <w:rFonts w:eastAsia="Times New Roman" w:cs="Times New Roman"/>
          <w:rtl/>
          <w:lang w:eastAsia="de-DE"/>
        </w:rPr>
        <w:t xml:space="preserve"> </w:t>
      </w:r>
      <w:r w:rsidRPr="00971D84">
        <w:rPr>
          <w:rFonts w:eastAsia="Times New Roman" w:cs="Times New Roman"/>
          <w:lang w:eastAsia="de-DE"/>
        </w:rPr>
        <w:t>(soll er seine Opfergabe darbringen).</w:t>
      </w:r>
    </w:p>
    <w:p w14:paraId="56866A1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עַל־זֶ֖בַח תּוֹדַ֥ת שְׁלָמָֽיו</w:t>
      </w:r>
      <w:r w:rsidRPr="00971D84">
        <w:rPr>
          <w:rFonts w:eastAsia="Times New Roman" w:cs="Times New Roman"/>
          <w:rtl/>
          <w:lang w:eastAsia="de-DE"/>
        </w:rPr>
        <w:t xml:space="preserve"> </w:t>
      </w:r>
      <w:r w:rsidRPr="00971D84">
        <w:rPr>
          <w:rFonts w:eastAsia="Times New Roman" w:cs="Times New Roman"/>
          <w:lang w:eastAsia="de-DE"/>
        </w:rPr>
        <w:t xml:space="preserve">(zu seinem Dank-Friedensopfer) zeigt die vollständige Bezeichnung. </w:t>
      </w:r>
      <w:r w:rsidRPr="00971D84">
        <w:rPr>
          <w:rFonts w:eastAsia="Times New Roman" w:cs="Times New Roman"/>
          <w:b/>
          <w:bCs/>
          <w:rtl/>
          <w:lang w:eastAsia="de-DE"/>
        </w:rPr>
        <w:t>על־זבח תודת שלמיו</w:t>
      </w:r>
      <w:r w:rsidRPr="00971D84">
        <w:rPr>
          <w:rFonts w:eastAsia="Times New Roman" w:cs="Times New Roman"/>
          <w:rtl/>
          <w:lang w:eastAsia="de-DE"/>
        </w:rPr>
        <w:t xml:space="preserve"> </w:t>
      </w:r>
      <w:r w:rsidRPr="00971D84">
        <w:rPr>
          <w:rFonts w:eastAsia="Times New Roman" w:cs="Times New Roman"/>
          <w:lang w:eastAsia="de-DE"/>
        </w:rPr>
        <w:t xml:space="preserve">(zu seinem Dank-Friedensopfer) mit drei Komponenten: </w:t>
      </w:r>
      <w:r w:rsidRPr="00971D84">
        <w:rPr>
          <w:rFonts w:eastAsia="Times New Roman" w:cs="Times New Roman"/>
          <w:b/>
          <w:bCs/>
          <w:rtl/>
          <w:lang w:eastAsia="de-DE"/>
        </w:rPr>
        <w:t>זבח</w:t>
      </w:r>
      <w:r w:rsidRPr="00971D84">
        <w:rPr>
          <w:rFonts w:eastAsia="Times New Roman" w:cs="Times New Roman"/>
          <w:rtl/>
          <w:lang w:eastAsia="de-DE"/>
        </w:rPr>
        <w:t xml:space="preserve"> </w:t>
      </w:r>
      <w:r w:rsidRPr="00971D84">
        <w:rPr>
          <w:rFonts w:eastAsia="Times New Roman" w:cs="Times New Roman"/>
          <w:lang w:eastAsia="de-DE"/>
        </w:rPr>
        <w:t xml:space="preserve">(Schlachtopfer),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 xml:space="preserve">(Dank),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(Friedensopfer).</w:t>
      </w:r>
    </w:p>
    <w:p w14:paraId="7DA0025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לחם חמץ</w:t>
      </w:r>
      <w:r w:rsidRPr="00971D84">
        <w:rPr>
          <w:rFonts w:eastAsia="Times New Roman" w:cs="Times New Roman"/>
          <w:rtl/>
          <w:lang w:eastAsia="de-DE"/>
        </w:rPr>
        <w:t xml:space="preserve"> </w:t>
      </w:r>
      <w:r w:rsidRPr="00971D84">
        <w:rPr>
          <w:rFonts w:eastAsia="Times New Roman" w:cs="Times New Roman"/>
          <w:lang w:eastAsia="de-DE"/>
        </w:rPr>
        <w:t xml:space="preserve">(gesäuertes Brot) ist bemerkenswert, da </w:t>
      </w:r>
      <w:r w:rsidRPr="00971D84">
        <w:rPr>
          <w:rFonts w:eastAsia="Times New Roman" w:cs="Times New Roman"/>
          <w:b/>
          <w:bCs/>
          <w:rtl/>
          <w:lang w:eastAsia="de-DE"/>
        </w:rPr>
        <w:t>חמץ</w:t>
      </w:r>
      <w:r w:rsidRPr="00971D84">
        <w:rPr>
          <w:rFonts w:eastAsia="Times New Roman" w:cs="Times New Roman"/>
          <w:rtl/>
          <w:lang w:eastAsia="de-DE"/>
        </w:rPr>
        <w:t xml:space="preserve"> </w:t>
      </w:r>
      <w:r w:rsidRPr="00971D84">
        <w:rPr>
          <w:rFonts w:eastAsia="Times New Roman" w:cs="Times New Roman"/>
          <w:lang w:eastAsia="de-DE"/>
        </w:rPr>
        <w:t xml:space="preserve">(Sauerteig) normalerweise bei Opfern verboten ist (2,11).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 xml:space="preserve">ist die einzige Ausnahme. </w:t>
      </w:r>
      <w:r w:rsidRPr="00971D84">
        <w:rPr>
          <w:rFonts w:eastAsia="Times New Roman" w:cs="Times New Roman"/>
          <w:b/>
          <w:bCs/>
          <w:rtl/>
          <w:lang w:eastAsia="de-DE"/>
        </w:rPr>
        <w:t>על־חלות</w:t>
      </w:r>
      <w:r w:rsidRPr="00971D84">
        <w:rPr>
          <w:rFonts w:eastAsia="Times New Roman" w:cs="Times New Roman"/>
          <w:rtl/>
          <w:lang w:eastAsia="de-DE"/>
        </w:rPr>
        <w:t xml:space="preserve"> </w:t>
      </w:r>
      <w:r w:rsidRPr="00971D84">
        <w:rPr>
          <w:rFonts w:eastAsia="Times New Roman" w:cs="Times New Roman"/>
          <w:lang w:eastAsia="de-DE"/>
        </w:rPr>
        <w:t xml:space="preserve">(zu den Kuchen) bezieht sich auf die drei </w:t>
      </w:r>
      <w:r w:rsidRPr="00971D84">
        <w:rPr>
          <w:rFonts w:eastAsia="Times New Roman" w:cs="Times New Roman"/>
          <w:b/>
          <w:bCs/>
          <w:rtl/>
          <w:lang w:eastAsia="de-DE"/>
        </w:rPr>
        <w:t>מצות</w:t>
      </w:r>
      <w:r w:rsidRPr="00971D84">
        <w:rPr>
          <w:rFonts w:eastAsia="Times New Roman" w:cs="Times New Roman"/>
          <w:lang w:eastAsia="de-DE"/>
        </w:rPr>
        <w:t>-Arten von V. 12.</w:t>
      </w:r>
    </w:p>
    <w:p w14:paraId="7E85A5B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זבח תודת שלמיו</w:t>
      </w:r>
      <w:r w:rsidRPr="00971D84">
        <w:rPr>
          <w:rFonts w:eastAsia="Times New Roman" w:cs="Times New Roman"/>
          <w:rtl/>
          <w:lang w:eastAsia="de-DE"/>
        </w:rPr>
        <w:t xml:space="preserve"> </w:t>
      </w:r>
      <w:r w:rsidRPr="00971D84">
        <w:rPr>
          <w:rFonts w:eastAsia="Times New Roman" w:cs="Times New Roman"/>
          <w:lang w:eastAsia="de-DE"/>
        </w:rPr>
        <w:t xml:space="preserve">(sein Dank-Friedensopfer) ist Genitivkonstruktion: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 xml:space="preserve">als Oberkategorie,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 xml:space="preserve">als Unterkategorie, </w:t>
      </w:r>
      <w:r w:rsidRPr="00971D84">
        <w:rPr>
          <w:rFonts w:eastAsia="Times New Roman" w:cs="Times New Roman"/>
          <w:b/>
          <w:bCs/>
          <w:rtl/>
          <w:lang w:eastAsia="de-DE"/>
        </w:rPr>
        <w:t>זבח</w:t>
      </w:r>
      <w:r w:rsidRPr="00971D84">
        <w:rPr>
          <w:rFonts w:eastAsia="Times New Roman" w:cs="Times New Roman"/>
          <w:rtl/>
          <w:lang w:eastAsia="de-DE"/>
        </w:rPr>
        <w:t xml:space="preserve"> </w:t>
      </w:r>
      <w:r w:rsidRPr="00971D84">
        <w:rPr>
          <w:rFonts w:eastAsia="Times New Roman" w:cs="Times New Roman"/>
          <w:lang w:eastAsia="de-DE"/>
        </w:rPr>
        <w:t>als konkreter Akt.</w:t>
      </w:r>
    </w:p>
    <w:p w14:paraId="6833DBB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חַלֹּת֙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ἄρτων</w:t>
      </w:r>
      <w:proofErr w:type="spellEnd"/>
      <w:r w:rsidRPr="00971D84">
        <w:rPr>
          <w:rFonts w:eastAsia="Times New Roman" w:cs="Times New Roman"/>
          <w:lang w:eastAsia="de-DE"/>
        </w:rPr>
        <w:t xml:space="preserve"> (Broten), </w:t>
      </w:r>
      <w:r w:rsidRPr="00971D84">
        <w:rPr>
          <w:rFonts w:eastAsia="Times New Roman" w:cs="Times New Roman"/>
          <w:b/>
          <w:bCs/>
          <w:rtl/>
          <w:lang w:eastAsia="de-DE"/>
        </w:rPr>
        <w:t>לֶ֣חֶם חָמֵ֔ץ</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ἄρτους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ζυμίτ</w:t>
      </w:r>
      <w:proofErr w:type="spellEnd"/>
      <w:r w:rsidRPr="00971D84">
        <w:rPr>
          <w:rFonts w:eastAsia="Times New Roman" w:cs="Times New Roman"/>
          <w:lang w:eastAsia="de-DE"/>
        </w:rPr>
        <w:t xml:space="preserve">ας (gesäuerte Brote) und </w:t>
      </w:r>
      <w:r w:rsidRPr="00971D84">
        <w:rPr>
          <w:rFonts w:eastAsia="Times New Roman" w:cs="Times New Roman"/>
          <w:b/>
          <w:bCs/>
          <w:rtl/>
          <w:lang w:eastAsia="de-DE"/>
        </w:rPr>
        <w:t>תּוֹדַ֥ת שְׁלָמָֽיו</w:t>
      </w:r>
      <w:r w:rsidRPr="00971D84">
        <w:rPr>
          <w:rFonts w:eastAsia="Times New Roman" w:cs="Times New Roman"/>
          <w:rtl/>
          <w:lang w:eastAsia="de-DE"/>
        </w:rPr>
        <w:t xml:space="preserve"> </w:t>
      </w:r>
      <w:r w:rsidRPr="00971D84">
        <w:rPr>
          <w:rFonts w:eastAsia="Times New Roman" w:cs="Times New Roman"/>
          <w:lang w:eastAsia="de-DE"/>
        </w:rPr>
        <w:t>mit α</w:t>
      </w:r>
      <w:proofErr w:type="spellStart"/>
      <w:r w:rsidRPr="00971D84">
        <w:rPr>
          <w:rFonts w:eastAsia="Times New Roman" w:cs="Times New Roman"/>
          <w:lang w:eastAsia="de-DE"/>
        </w:rPr>
        <w:t>ἰνέσεως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σωτηρίου</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(seines Lob-Heilsopfers).</w:t>
      </w:r>
    </w:p>
    <w:p w14:paraId="2880BAC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Ergänzung + Kontextualisierung: Präpositionalphrase + Objekt + Verb + Objekt + Präpositionalphrase. Die Struktur fügt </w:t>
      </w:r>
      <w:r w:rsidRPr="00971D84">
        <w:rPr>
          <w:rFonts w:eastAsia="Times New Roman" w:cs="Times New Roman"/>
          <w:b/>
          <w:bCs/>
          <w:rtl/>
          <w:lang w:eastAsia="de-DE"/>
        </w:rPr>
        <w:t>חמץ</w:t>
      </w:r>
      <w:r w:rsidRPr="00971D84">
        <w:rPr>
          <w:rFonts w:eastAsia="Times New Roman" w:cs="Times New Roman"/>
          <w:rtl/>
          <w:lang w:eastAsia="de-DE"/>
        </w:rPr>
        <w:t xml:space="preserve"> </w:t>
      </w:r>
      <w:r w:rsidRPr="00971D84">
        <w:rPr>
          <w:rFonts w:eastAsia="Times New Roman" w:cs="Times New Roman"/>
          <w:lang w:eastAsia="de-DE"/>
        </w:rPr>
        <w:t xml:space="preserve">zu den </w:t>
      </w:r>
      <w:r w:rsidRPr="00971D84">
        <w:rPr>
          <w:rFonts w:eastAsia="Times New Roman" w:cs="Times New Roman"/>
          <w:b/>
          <w:bCs/>
          <w:rtl/>
          <w:lang w:eastAsia="de-DE"/>
        </w:rPr>
        <w:t>מצות</w:t>
      </w:r>
      <w:r w:rsidRPr="00971D84">
        <w:rPr>
          <w:rFonts w:eastAsia="Times New Roman" w:cs="Times New Roman"/>
          <w:rtl/>
          <w:lang w:eastAsia="de-DE"/>
        </w:rPr>
        <w:t xml:space="preserve"> </w:t>
      </w:r>
      <w:r w:rsidRPr="00971D84">
        <w:rPr>
          <w:rFonts w:eastAsia="Times New Roman" w:cs="Times New Roman"/>
          <w:lang w:eastAsia="de-DE"/>
        </w:rPr>
        <w:t>von V. 12 hinzu.</w:t>
      </w:r>
    </w:p>
    <w:p w14:paraId="6D8AEA3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ergänzt die </w:t>
      </w:r>
      <w:r w:rsidRPr="00971D84">
        <w:rPr>
          <w:rFonts w:eastAsia="Times New Roman" w:cs="Times New Roman"/>
          <w:b/>
          <w:bCs/>
          <w:rtl/>
          <w:lang w:eastAsia="de-DE"/>
        </w:rPr>
        <w:t>תודה</w:t>
      </w:r>
      <w:r w:rsidRPr="00971D84">
        <w:rPr>
          <w:rFonts w:eastAsia="Times New Roman" w:cs="Times New Roman"/>
          <w:lang w:eastAsia="de-DE"/>
        </w:rPr>
        <w:t xml:space="preserve">-Darbringung um gesäuertes Brot als einzige Ausnahme vom </w:t>
      </w:r>
      <w:r w:rsidRPr="00971D84">
        <w:rPr>
          <w:rFonts w:eastAsia="Times New Roman" w:cs="Times New Roman"/>
          <w:b/>
          <w:bCs/>
          <w:rtl/>
          <w:lang w:eastAsia="de-DE"/>
        </w:rPr>
        <w:t>חמץ</w:t>
      </w:r>
      <w:r w:rsidRPr="00971D84">
        <w:rPr>
          <w:rFonts w:eastAsia="Times New Roman" w:cs="Times New Roman"/>
          <w:lang w:eastAsia="de-DE"/>
        </w:rPr>
        <w:t>-Verbot bei Opfern.</w:t>
      </w:r>
    </w:p>
    <w:p w14:paraId="054926F7"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7,14</w:t>
      </w:r>
    </w:p>
    <w:p w14:paraId="62688E7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וְהִקְרִ֨יב מִמֶּ֤נּוּ אֶחָד֙ מִכָּל־קָרְבָּ֔ן תְּרוּמָ֖ה לַיהוָ֑ה לַכֹּהֵ֗ן הַזֹּרֵ֛ק אֶת־דַּ֥ם הַשְּׁלָמִ֖ים לוֹ֥ יִהְיֶֽה׃</w:t>
      </w:r>
    </w:p>
    <w:p w14:paraId="602F83E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man soll je eines davon, von der ganzen Opfergabe, dem Ewigen als Hebopfer darbringen; dem Priester, der das Blut des Friedensopfers spritzt, ihm soll es gehören.</w:t>
      </w:r>
    </w:p>
    <w:p w14:paraId="19E38EEF"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0F821D2B">
          <v:rect id="_x0000_i1172" style="width:0;height:1.5pt" o:hralign="center" o:hrstd="t" o:hr="t" fillcolor="#a0a0a0" stroked="f"/>
        </w:pict>
      </w:r>
    </w:p>
    <w:p w14:paraId="49EF16C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וְהִקְרִ֨יב מִמֶּ֤נּוּ אֶחָד֙ מִכָּל־קָרְבָּ֔ן תְּרוּמָ֖ה לַיהוָ֑ה</w:t>
      </w:r>
      <w:r w:rsidRPr="00971D84">
        <w:rPr>
          <w:rFonts w:eastAsia="Times New Roman" w:cs="Times New Roman"/>
          <w:rtl/>
          <w:lang w:eastAsia="de-DE"/>
        </w:rPr>
        <w:t xml:space="preserve"> </w:t>
      </w:r>
      <w:r w:rsidRPr="00971D84">
        <w:rPr>
          <w:rFonts w:eastAsia="Times New Roman" w:cs="Times New Roman"/>
          <w:lang w:eastAsia="de-DE"/>
        </w:rPr>
        <w:t xml:space="preserve">(und er soll davon eines von jeder Opfergabe als Hebopfer für JHWH darbringen) regelt die priesterliche Abgabe. </w:t>
      </w:r>
      <w:r w:rsidRPr="00971D84">
        <w:rPr>
          <w:rFonts w:eastAsia="Times New Roman" w:cs="Times New Roman"/>
          <w:b/>
          <w:bCs/>
          <w:rtl/>
          <w:lang w:eastAsia="de-DE"/>
        </w:rPr>
        <w:t>והקריב ממנו אחד מכל־קרבן</w:t>
      </w:r>
      <w:r w:rsidRPr="00971D84">
        <w:rPr>
          <w:rFonts w:eastAsia="Times New Roman" w:cs="Times New Roman"/>
          <w:rtl/>
          <w:lang w:eastAsia="de-DE"/>
        </w:rPr>
        <w:t xml:space="preserve"> </w:t>
      </w:r>
      <w:r w:rsidRPr="00971D84">
        <w:rPr>
          <w:rFonts w:eastAsia="Times New Roman" w:cs="Times New Roman"/>
          <w:lang w:eastAsia="de-DE"/>
        </w:rPr>
        <w:t xml:space="preserve">(und er soll davon eines von jeder Opfergabe darbringen), </w:t>
      </w:r>
      <w:r w:rsidRPr="00971D84">
        <w:rPr>
          <w:rFonts w:eastAsia="Times New Roman" w:cs="Times New Roman"/>
          <w:b/>
          <w:bCs/>
          <w:rtl/>
          <w:lang w:eastAsia="de-DE"/>
        </w:rPr>
        <w:t>תרומה ליהוה</w:t>
      </w:r>
      <w:r w:rsidRPr="00971D84">
        <w:rPr>
          <w:rFonts w:eastAsia="Times New Roman" w:cs="Times New Roman"/>
          <w:rtl/>
          <w:lang w:eastAsia="de-DE"/>
        </w:rPr>
        <w:t xml:space="preserve"> </w:t>
      </w:r>
      <w:r w:rsidRPr="00971D84">
        <w:rPr>
          <w:rFonts w:eastAsia="Times New Roman" w:cs="Times New Roman"/>
          <w:lang w:eastAsia="de-DE"/>
        </w:rPr>
        <w:t>(als Hebopfer für JHWH).</w:t>
      </w:r>
    </w:p>
    <w:p w14:paraId="7449B3B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לַכֹּהֵ֗ן הַזֹּרֵ֛ק אֶת־דַּ֥ם הַשְּׁלָמִ֖ים לוֹ֥ יִהְיֶֽה</w:t>
      </w:r>
      <w:r w:rsidRPr="00971D84">
        <w:rPr>
          <w:rFonts w:eastAsia="Times New Roman" w:cs="Times New Roman"/>
          <w:rtl/>
          <w:lang w:eastAsia="de-DE"/>
        </w:rPr>
        <w:t xml:space="preserve"> </w:t>
      </w:r>
      <w:r w:rsidRPr="00971D84">
        <w:rPr>
          <w:rFonts w:eastAsia="Times New Roman" w:cs="Times New Roman"/>
          <w:lang w:eastAsia="de-DE"/>
        </w:rPr>
        <w:t xml:space="preserve">(dem Priester, der das Blut des Friedensopfers spritzt, ihm soll es gehören) weist die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zu. </w:t>
      </w:r>
      <w:r w:rsidRPr="00971D84">
        <w:rPr>
          <w:rFonts w:eastAsia="Times New Roman" w:cs="Times New Roman"/>
          <w:b/>
          <w:bCs/>
          <w:rtl/>
          <w:lang w:eastAsia="de-DE"/>
        </w:rPr>
        <w:t>לכהן הזרק את־דם השלמים</w:t>
      </w:r>
      <w:r w:rsidRPr="00971D84">
        <w:rPr>
          <w:rFonts w:eastAsia="Times New Roman" w:cs="Times New Roman"/>
          <w:rtl/>
          <w:lang w:eastAsia="de-DE"/>
        </w:rPr>
        <w:t xml:space="preserve"> </w:t>
      </w:r>
      <w:r w:rsidRPr="00971D84">
        <w:rPr>
          <w:rFonts w:eastAsia="Times New Roman" w:cs="Times New Roman"/>
          <w:lang w:eastAsia="de-DE"/>
        </w:rPr>
        <w:t xml:space="preserve">(dem Priester, der das Blut des Friedensopfers spritzt), </w:t>
      </w:r>
      <w:r w:rsidRPr="00971D84">
        <w:rPr>
          <w:rFonts w:eastAsia="Times New Roman" w:cs="Times New Roman"/>
          <w:b/>
          <w:bCs/>
          <w:rtl/>
          <w:lang w:eastAsia="de-DE"/>
        </w:rPr>
        <w:t>לו יהיה</w:t>
      </w:r>
      <w:r w:rsidRPr="00971D84">
        <w:rPr>
          <w:rFonts w:eastAsia="Times New Roman" w:cs="Times New Roman"/>
          <w:rtl/>
          <w:lang w:eastAsia="de-DE"/>
        </w:rPr>
        <w:t xml:space="preserve"> </w:t>
      </w:r>
      <w:r w:rsidRPr="00971D84">
        <w:rPr>
          <w:rFonts w:eastAsia="Times New Roman" w:cs="Times New Roman"/>
          <w:lang w:eastAsia="de-DE"/>
        </w:rPr>
        <w:t>(ihm soll es gehören).</w:t>
      </w:r>
    </w:p>
    <w:p w14:paraId="4A809B7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אחד מכל־קרבן</w:t>
      </w:r>
      <w:r w:rsidRPr="00971D84">
        <w:rPr>
          <w:rFonts w:eastAsia="Times New Roman" w:cs="Times New Roman"/>
          <w:rtl/>
          <w:lang w:eastAsia="de-DE"/>
        </w:rPr>
        <w:t xml:space="preserve"> </w:t>
      </w:r>
      <w:r w:rsidRPr="00971D84">
        <w:rPr>
          <w:rFonts w:eastAsia="Times New Roman" w:cs="Times New Roman"/>
          <w:lang w:eastAsia="de-DE"/>
        </w:rPr>
        <w:t xml:space="preserve">(eines von jeder Opfergabe) bedeutet: von den vier Brotarten (drei </w:t>
      </w:r>
      <w:r w:rsidRPr="00971D84">
        <w:rPr>
          <w:rFonts w:eastAsia="Times New Roman" w:cs="Times New Roman"/>
          <w:b/>
          <w:bCs/>
          <w:rtl/>
          <w:lang w:eastAsia="de-DE"/>
        </w:rPr>
        <w:t>מצות</w:t>
      </w:r>
      <w:r w:rsidRPr="00971D84">
        <w:rPr>
          <w:rFonts w:eastAsia="Times New Roman" w:cs="Times New Roman"/>
          <w:rtl/>
          <w:lang w:eastAsia="de-DE"/>
        </w:rPr>
        <w:t xml:space="preserve"> </w:t>
      </w:r>
      <w:r w:rsidRPr="00971D84">
        <w:rPr>
          <w:rFonts w:eastAsia="Times New Roman" w:cs="Times New Roman"/>
          <w:lang w:eastAsia="de-DE"/>
        </w:rPr>
        <w:t xml:space="preserve">+ </w:t>
      </w:r>
      <w:r w:rsidRPr="00971D84">
        <w:rPr>
          <w:rFonts w:eastAsia="Times New Roman" w:cs="Times New Roman"/>
          <w:b/>
          <w:bCs/>
          <w:rtl/>
          <w:lang w:eastAsia="de-DE"/>
        </w:rPr>
        <w:t>חמץ</w:t>
      </w:r>
      <w:r w:rsidRPr="00971D84">
        <w:rPr>
          <w:rFonts w:eastAsia="Times New Roman" w:cs="Times New Roman"/>
          <w:lang w:eastAsia="de-DE"/>
        </w:rPr>
        <w:t xml:space="preserve">) je eines für den Priester. </w:t>
      </w:r>
      <w:r w:rsidRPr="00971D84">
        <w:rPr>
          <w:rFonts w:eastAsia="Times New Roman" w:cs="Times New Roman"/>
          <w:b/>
          <w:bCs/>
          <w:rtl/>
          <w:lang w:eastAsia="de-DE"/>
        </w:rPr>
        <w:t>תרומה ליהוה</w:t>
      </w:r>
      <w:r w:rsidRPr="00971D84">
        <w:rPr>
          <w:rFonts w:eastAsia="Times New Roman" w:cs="Times New Roman"/>
          <w:rtl/>
          <w:lang w:eastAsia="de-DE"/>
        </w:rPr>
        <w:t xml:space="preserve"> </w:t>
      </w:r>
      <w:r w:rsidRPr="00971D84">
        <w:rPr>
          <w:rFonts w:eastAsia="Times New Roman" w:cs="Times New Roman"/>
          <w:lang w:eastAsia="de-DE"/>
        </w:rPr>
        <w:t>(Hebopfer für JHWH) bezeichnet die priesterliche Abgabe als göttlich bestimmt.</w:t>
      </w:r>
    </w:p>
    <w:p w14:paraId="42D92DB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הזרק את־דם השלמים</w:t>
      </w:r>
      <w:r w:rsidRPr="00971D84">
        <w:rPr>
          <w:rFonts w:eastAsia="Times New Roman" w:cs="Times New Roman"/>
          <w:rtl/>
          <w:lang w:eastAsia="de-DE"/>
        </w:rPr>
        <w:t xml:space="preserve"> </w:t>
      </w:r>
      <w:r w:rsidRPr="00971D84">
        <w:rPr>
          <w:rFonts w:eastAsia="Times New Roman" w:cs="Times New Roman"/>
          <w:lang w:eastAsia="de-DE"/>
        </w:rPr>
        <w:t xml:space="preserve">(der das Blut des Friedensopfers spritzt) identifiziert den berechtigten Priester durch seine spezifische Dienstleistung. </w:t>
      </w:r>
      <w:r w:rsidRPr="00971D84">
        <w:rPr>
          <w:rFonts w:eastAsia="Times New Roman" w:cs="Times New Roman"/>
          <w:b/>
          <w:bCs/>
          <w:rtl/>
          <w:lang w:eastAsia="de-DE"/>
        </w:rPr>
        <w:t>זרק</w:t>
      </w:r>
      <w:r w:rsidRPr="00971D84">
        <w:rPr>
          <w:rFonts w:eastAsia="Times New Roman" w:cs="Times New Roman"/>
          <w:rtl/>
          <w:lang w:eastAsia="de-DE"/>
        </w:rPr>
        <w:t xml:space="preserve"> </w:t>
      </w:r>
      <w:r w:rsidRPr="00971D84">
        <w:rPr>
          <w:rFonts w:eastAsia="Times New Roman" w:cs="Times New Roman"/>
          <w:lang w:eastAsia="de-DE"/>
        </w:rPr>
        <w:t xml:space="preserve">(spritzen) entspricht dem </w:t>
      </w:r>
      <w:r w:rsidRPr="00971D84">
        <w:rPr>
          <w:rFonts w:eastAsia="Times New Roman" w:cs="Times New Roman"/>
          <w:b/>
          <w:bCs/>
          <w:rtl/>
          <w:lang w:eastAsia="de-DE"/>
        </w:rPr>
        <w:t>שלמים</w:t>
      </w:r>
      <w:r w:rsidRPr="00971D84">
        <w:rPr>
          <w:rFonts w:eastAsia="Times New Roman" w:cs="Times New Roman"/>
          <w:lang w:eastAsia="de-DE"/>
        </w:rPr>
        <w:t>-Blutverfahren von 3,2.8.13.</w:t>
      </w:r>
    </w:p>
    <w:p w14:paraId="6624657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Abgabenregelung + Zuweisungsbestimmung: Verb + Quellangabe + Objekt + komplexe Zweckangabe // komplexes Subjekt + Zuweisung. Die Struktur regelt die priesterliche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bei </w:t>
      </w:r>
      <w:r w:rsidRPr="00971D84">
        <w:rPr>
          <w:rFonts w:eastAsia="Times New Roman" w:cs="Times New Roman"/>
          <w:b/>
          <w:bCs/>
          <w:rtl/>
          <w:lang w:eastAsia="de-DE"/>
        </w:rPr>
        <w:t>תודה</w:t>
      </w:r>
      <w:r w:rsidRPr="00971D84">
        <w:rPr>
          <w:rFonts w:eastAsia="Times New Roman" w:cs="Times New Roman"/>
          <w:lang w:eastAsia="de-DE"/>
        </w:rPr>
        <w:t>.</w:t>
      </w:r>
    </w:p>
    <w:p w14:paraId="1D5582E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priesterliche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(ein Stück von jeder Brotart) für den das Blut spritzenden Priester.</w:t>
      </w:r>
    </w:p>
    <w:p w14:paraId="748C0812"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7,15</w:t>
      </w:r>
    </w:p>
    <w:p w14:paraId="3B1E9C2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וּבְשַׂ֗ר זֶ֚בַח תּוֹדַ֣ת שְׁלָמָ֔יו בְּי֥וֹם קָרְבָּנֹ֖ו יֵאָכֵ֑ל לֹֽא־יַנִּ֥יחַ מִמֶּ֖נּוּ עַד־בֹּֽקֶר׃</w:t>
      </w:r>
    </w:p>
    <w:p w14:paraId="2059DA6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Deutsch:</w:t>
      </w:r>
      <w:r w:rsidRPr="00971D84">
        <w:rPr>
          <w:rFonts w:eastAsia="Times New Roman" w:cs="Times New Roman"/>
          <w:lang w:eastAsia="de-DE"/>
        </w:rPr>
        <w:t xml:space="preserve"> Und das Fleisch seines Dank-Friedensopfers soll am Tag seiner Darbringung gegessen werden; er soll nichts davon übrig lassen bis zum Morgen.</w:t>
      </w:r>
    </w:p>
    <w:p w14:paraId="321BEDB8"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0DA5AB41">
          <v:rect id="_x0000_i1173" style="width:0;height:1.5pt" o:hralign="center" o:hrstd="t" o:hr="t" fillcolor="#a0a0a0" stroked="f"/>
        </w:pict>
      </w:r>
    </w:p>
    <w:p w14:paraId="747B78F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וּבְשַׂ֗ר זֶ֚בַח תּוֹדַ֣ת שְׁלָמָ֔יו בְּי֥וֹם קָרְבָּנֹ֖ו יֵאָכֵ֑ל</w:t>
      </w:r>
      <w:r w:rsidRPr="00971D84">
        <w:rPr>
          <w:rFonts w:eastAsia="Times New Roman" w:cs="Times New Roman"/>
          <w:rtl/>
          <w:lang w:eastAsia="de-DE"/>
        </w:rPr>
        <w:t xml:space="preserve"> </w:t>
      </w:r>
      <w:r w:rsidRPr="00971D84">
        <w:rPr>
          <w:rFonts w:eastAsia="Times New Roman" w:cs="Times New Roman"/>
          <w:lang w:eastAsia="de-DE"/>
        </w:rPr>
        <w:t xml:space="preserve">(und das Fleisch seines Dank-Friedensopfers soll am Tag seiner Darbringung gegessen werden) zeigt die zeitliche Begrenzung. </w:t>
      </w:r>
      <w:r w:rsidRPr="00971D84">
        <w:rPr>
          <w:rFonts w:eastAsia="Times New Roman" w:cs="Times New Roman"/>
          <w:b/>
          <w:bCs/>
          <w:rtl/>
          <w:lang w:eastAsia="de-DE"/>
        </w:rPr>
        <w:t>ובשר זבח תודת שלמיו</w:t>
      </w:r>
      <w:r w:rsidRPr="00971D84">
        <w:rPr>
          <w:rFonts w:eastAsia="Times New Roman" w:cs="Times New Roman"/>
          <w:rtl/>
          <w:lang w:eastAsia="de-DE"/>
        </w:rPr>
        <w:t xml:space="preserve"> </w:t>
      </w:r>
      <w:r w:rsidRPr="00971D84">
        <w:rPr>
          <w:rFonts w:eastAsia="Times New Roman" w:cs="Times New Roman"/>
          <w:lang w:eastAsia="de-DE"/>
        </w:rPr>
        <w:t xml:space="preserve">(und das Fleisch seines Dank-Friedensopfers), </w:t>
      </w:r>
      <w:r w:rsidRPr="00971D84">
        <w:rPr>
          <w:rFonts w:eastAsia="Times New Roman" w:cs="Times New Roman"/>
          <w:b/>
          <w:bCs/>
          <w:rtl/>
          <w:lang w:eastAsia="de-DE"/>
        </w:rPr>
        <w:t>ביום קרבנו יאכל</w:t>
      </w:r>
      <w:r w:rsidRPr="00971D84">
        <w:rPr>
          <w:rFonts w:eastAsia="Times New Roman" w:cs="Times New Roman"/>
          <w:rtl/>
          <w:lang w:eastAsia="de-DE"/>
        </w:rPr>
        <w:t xml:space="preserve"> </w:t>
      </w:r>
      <w:r w:rsidRPr="00971D84">
        <w:rPr>
          <w:rFonts w:eastAsia="Times New Roman" w:cs="Times New Roman"/>
          <w:lang w:eastAsia="de-DE"/>
        </w:rPr>
        <w:t>(am Tag seiner Darbringung soll es gegessen werden).</w:t>
      </w:r>
    </w:p>
    <w:p w14:paraId="3FDBB23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לֹֽא־יַנִּ֥יחַ מִמֶּ֖נּוּ עַד־בֹּֽקֶר</w:t>
      </w:r>
      <w:r w:rsidRPr="00971D84">
        <w:rPr>
          <w:rFonts w:eastAsia="Times New Roman" w:cs="Times New Roman"/>
          <w:rtl/>
          <w:lang w:eastAsia="de-DE"/>
        </w:rPr>
        <w:t xml:space="preserve"> </w:t>
      </w:r>
      <w:r w:rsidRPr="00971D84">
        <w:rPr>
          <w:rFonts w:eastAsia="Times New Roman" w:cs="Times New Roman"/>
          <w:lang w:eastAsia="de-DE"/>
        </w:rPr>
        <w:t xml:space="preserve">(er soll nichts davon übrig lassen bis zum Morgen) verstärkt die Eintagesfrist. </w:t>
      </w:r>
      <w:r w:rsidRPr="00971D84">
        <w:rPr>
          <w:rFonts w:eastAsia="Times New Roman" w:cs="Times New Roman"/>
          <w:b/>
          <w:bCs/>
          <w:rtl/>
          <w:lang w:eastAsia="de-DE"/>
        </w:rPr>
        <w:t>לא־יניח ממנו עד־בקר</w:t>
      </w:r>
      <w:r w:rsidRPr="00971D84">
        <w:rPr>
          <w:rFonts w:eastAsia="Times New Roman" w:cs="Times New Roman"/>
          <w:rtl/>
          <w:lang w:eastAsia="de-DE"/>
        </w:rPr>
        <w:t xml:space="preserve"> </w:t>
      </w:r>
      <w:r w:rsidRPr="00971D84">
        <w:rPr>
          <w:rFonts w:eastAsia="Times New Roman" w:cs="Times New Roman"/>
          <w:lang w:eastAsia="de-DE"/>
        </w:rPr>
        <w:t xml:space="preserve">(er soll nichts davon übrig lassen bis zum Morgen) von </w:t>
      </w:r>
      <w:r w:rsidRPr="00971D84">
        <w:rPr>
          <w:rFonts w:eastAsia="Times New Roman" w:cs="Times New Roman"/>
          <w:b/>
          <w:bCs/>
          <w:rtl/>
          <w:lang w:eastAsia="de-DE"/>
        </w:rPr>
        <w:t>נוח</w:t>
      </w:r>
      <w:r w:rsidRPr="00971D84">
        <w:rPr>
          <w:rFonts w:eastAsia="Times New Roman" w:cs="Times New Roman"/>
          <w:rtl/>
          <w:lang w:eastAsia="de-DE"/>
        </w:rPr>
        <w:t xml:space="preserve"> </w:t>
      </w:r>
      <w:r w:rsidRPr="00971D84">
        <w:rPr>
          <w:rFonts w:eastAsia="Times New Roman" w:cs="Times New Roman"/>
          <w:lang w:eastAsia="de-DE"/>
        </w:rPr>
        <w:t>(ruhen lassen/übrig lassen).</w:t>
      </w:r>
    </w:p>
    <w:p w14:paraId="6A5164D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ביום קרבנו יאכל</w:t>
      </w:r>
      <w:r w:rsidRPr="00971D84">
        <w:rPr>
          <w:rFonts w:eastAsia="Times New Roman" w:cs="Times New Roman"/>
          <w:rtl/>
          <w:lang w:eastAsia="de-DE"/>
        </w:rPr>
        <w:t xml:space="preserve"> </w:t>
      </w:r>
      <w:r w:rsidRPr="00971D84">
        <w:rPr>
          <w:rFonts w:eastAsia="Times New Roman" w:cs="Times New Roman"/>
          <w:lang w:eastAsia="de-DE"/>
        </w:rPr>
        <w:t xml:space="preserve">(am Tag seiner Darbringung soll es gegessen werden) etabliert die strengste Verzehrfrist: nur am Darbringungstag. </w:t>
      </w:r>
      <w:r w:rsidRPr="00971D84">
        <w:rPr>
          <w:rFonts w:eastAsia="Times New Roman" w:cs="Times New Roman"/>
          <w:b/>
          <w:bCs/>
          <w:rtl/>
          <w:lang w:eastAsia="de-DE"/>
        </w:rPr>
        <w:t>לא־יניח ממנו עד־בקר</w:t>
      </w:r>
      <w:r w:rsidRPr="00971D84">
        <w:rPr>
          <w:rFonts w:eastAsia="Times New Roman" w:cs="Times New Roman"/>
          <w:rtl/>
          <w:lang w:eastAsia="de-DE"/>
        </w:rPr>
        <w:t xml:space="preserve"> </w:t>
      </w:r>
      <w:r w:rsidRPr="00971D84">
        <w:rPr>
          <w:rFonts w:eastAsia="Times New Roman" w:cs="Times New Roman"/>
          <w:lang w:eastAsia="de-DE"/>
        </w:rPr>
        <w:t>betont: absolut nichts darf bis zum nächsten Morgen übrig bleiben.</w:t>
      </w:r>
    </w:p>
    <w:p w14:paraId="4F974D8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זבח תודת שלמיו</w:t>
      </w:r>
      <w:r w:rsidRPr="00971D84">
        <w:rPr>
          <w:rFonts w:eastAsia="Times New Roman" w:cs="Times New Roman"/>
          <w:rtl/>
          <w:lang w:eastAsia="de-DE"/>
        </w:rPr>
        <w:t xml:space="preserve"> </w:t>
      </w:r>
      <w:r w:rsidRPr="00971D84">
        <w:rPr>
          <w:rFonts w:eastAsia="Times New Roman" w:cs="Times New Roman"/>
          <w:lang w:eastAsia="de-DE"/>
        </w:rPr>
        <w:t xml:space="preserve">(sein Dank-Friedensopfer) wiederholt die vollständige Bezeichnung von V. 13. Die strenge Eintagesfrist für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 xml:space="preserve">unterscheidet sich von anderen </w:t>
      </w:r>
      <w:r w:rsidRPr="00971D84">
        <w:rPr>
          <w:rFonts w:eastAsia="Times New Roman" w:cs="Times New Roman"/>
          <w:b/>
          <w:bCs/>
          <w:rtl/>
          <w:lang w:eastAsia="de-DE"/>
        </w:rPr>
        <w:t>שלמים</w:t>
      </w:r>
      <w:r w:rsidRPr="00971D84">
        <w:rPr>
          <w:rFonts w:eastAsia="Times New Roman" w:cs="Times New Roman"/>
          <w:lang w:eastAsia="de-DE"/>
        </w:rPr>
        <w:t>-Arten.</w:t>
      </w:r>
    </w:p>
    <w:p w14:paraId="7A86D6D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בְּי֥וֹם קָרְבָּנֹ֖ו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ἡμέρᾳ</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δώρου</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(am Tag seiner Gabe), </w:t>
      </w:r>
      <w:r w:rsidRPr="00971D84">
        <w:rPr>
          <w:rFonts w:eastAsia="Times New Roman" w:cs="Times New Roman"/>
          <w:b/>
          <w:bCs/>
          <w:rtl/>
          <w:lang w:eastAsia="de-DE"/>
        </w:rPr>
        <w:t>יַנִּ֥יחַ</w:t>
      </w:r>
      <w:r w:rsidRPr="00971D84">
        <w:rPr>
          <w:rFonts w:eastAsia="Times New Roman" w:cs="Times New Roman"/>
          <w:rtl/>
          <w:lang w:eastAsia="de-DE"/>
        </w:rPr>
        <w:t xml:space="preserve"> </w:t>
      </w:r>
      <w:r w:rsidRPr="00971D84">
        <w:rPr>
          <w:rFonts w:eastAsia="Times New Roman" w:cs="Times New Roman"/>
          <w:lang w:eastAsia="de-DE"/>
        </w:rPr>
        <w:t>mit κατα</w:t>
      </w:r>
      <w:proofErr w:type="spellStart"/>
      <w:r w:rsidRPr="00971D84">
        <w:rPr>
          <w:rFonts w:eastAsia="Times New Roman" w:cs="Times New Roman"/>
          <w:lang w:eastAsia="de-DE"/>
        </w:rPr>
        <w:t>λείψει</w:t>
      </w:r>
      <w:proofErr w:type="spellEnd"/>
      <w:r w:rsidRPr="00971D84">
        <w:rPr>
          <w:rFonts w:eastAsia="Times New Roman" w:cs="Times New Roman"/>
          <w:lang w:eastAsia="de-DE"/>
        </w:rPr>
        <w:t xml:space="preserve"> (er soll übrig lassen) und </w:t>
      </w:r>
      <w:r w:rsidRPr="00971D84">
        <w:rPr>
          <w:rFonts w:eastAsia="Times New Roman" w:cs="Times New Roman"/>
          <w:b/>
          <w:bCs/>
          <w:rtl/>
          <w:lang w:eastAsia="de-DE"/>
        </w:rPr>
        <w:t>עַד־בֹּֽקֶר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εἰς</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ρωί</w:t>
      </w:r>
      <w:proofErr w:type="spellEnd"/>
      <w:r w:rsidRPr="00971D84">
        <w:rPr>
          <w:rFonts w:eastAsia="Times New Roman" w:cs="Times New Roman"/>
          <w:lang w:eastAsia="de-DE"/>
        </w:rPr>
        <w:t xml:space="preserve"> (bis zum Morgen).</w:t>
      </w:r>
    </w:p>
    <w:p w14:paraId="21ECCDE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zeitliche Verzehrbegrenzung: Subjekt + temporale Bestimmung + Verb + verstärkende negative Bestimmung. Die Struktur etabliert die strenge Eintagesfrist für </w:t>
      </w:r>
      <w:r w:rsidRPr="00971D84">
        <w:rPr>
          <w:rFonts w:eastAsia="Times New Roman" w:cs="Times New Roman"/>
          <w:b/>
          <w:bCs/>
          <w:rtl/>
          <w:lang w:eastAsia="de-DE"/>
        </w:rPr>
        <w:t>תודה</w:t>
      </w:r>
      <w:r w:rsidRPr="00971D84">
        <w:rPr>
          <w:rFonts w:eastAsia="Times New Roman" w:cs="Times New Roman"/>
          <w:lang w:eastAsia="de-DE"/>
        </w:rPr>
        <w:t>.</w:t>
      </w:r>
    </w:p>
    <w:p w14:paraId="14A4AC1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die strenge Eintagesfrist für </w:t>
      </w:r>
      <w:r w:rsidRPr="00971D84">
        <w:rPr>
          <w:rFonts w:eastAsia="Times New Roman" w:cs="Times New Roman"/>
          <w:b/>
          <w:bCs/>
          <w:rtl/>
          <w:lang w:eastAsia="de-DE"/>
        </w:rPr>
        <w:t>תודה</w:t>
      </w:r>
      <w:r w:rsidRPr="00971D84">
        <w:rPr>
          <w:rFonts w:eastAsia="Times New Roman" w:cs="Times New Roman"/>
          <w:lang w:eastAsia="de-DE"/>
        </w:rPr>
        <w:t>-Verzehrung: alles muss am Darbringungstag gegessen werden.</w:t>
      </w:r>
    </w:p>
    <w:p w14:paraId="394A19CD"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7,16</w:t>
      </w:r>
    </w:p>
    <w:p w14:paraId="6ACC9E8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וְאִם־נֶ֣דֶר׀ א֣וֹ נְדָבָ֗ה זֶ֚בַח קָרְבָּנֹ֔ו בְּי֛וֹם הַקְרִיבֹ֥ו אֶת־זִבְחֹ֖ו יֵאָכֵ֑ל וּמִֽמָּחֳרָ֔ת וְהַנּוֹתָ֥ר מִמֶּ֖נּוּ יֵאָכֵֽל׃</w:t>
      </w:r>
    </w:p>
    <w:p w14:paraId="46EB28D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wenn das Schlachtopfer seiner Opfergabe ein Gelübde oder eine freiwillige Gabe ist, so soll es an dem Tag, da er sein Schlachtopfer darbringt, gegessen werden; und am anderen Tag soll dann, was davon übrigbleibt, gegessen werden.</w:t>
      </w:r>
    </w:p>
    <w:p w14:paraId="468B958E"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6E77E36">
          <v:rect id="_x0000_i1174" style="width:0;height:1.5pt" o:hralign="center" o:hrstd="t" o:hr="t" fillcolor="#a0a0a0" stroked="f"/>
        </w:pict>
      </w:r>
    </w:p>
    <w:p w14:paraId="73F5384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וְאִם־נֶ֣דֶר׀ א֣וֹ נְדָבָ֗ה זֶ֚בַח קָרְבָּנֹ֔ו</w:t>
      </w:r>
      <w:r w:rsidRPr="00971D84">
        <w:rPr>
          <w:rFonts w:eastAsia="Times New Roman" w:cs="Times New Roman"/>
          <w:rtl/>
          <w:lang w:eastAsia="de-DE"/>
        </w:rPr>
        <w:t xml:space="preserve"> </w:t>
      </w:r>
      <w:r w:rsidRPr="00971D84">
        <w:rPr>
          <w:rFonts w:eastAsia="Times New Roman" w:cs="Times New Roman"/>
          <w:lang w:eastAsia="de-DE"/>
        </w:rPr>
        <w:t xml:space="preserve">(und wenn das Schlachtopfer seiner Opfergabe ein Gelübde oder eine freiwillige Gabe ist) führt die zweite </w:t>
      </w:r>
      <w:r w:rsidRPr="00971D84">
        <w:rPr>
          <w:rFonts w:eastAsia="Times New Roman" w:cs="Times New Roman"/>
          <w:b/>
          <w:bCs/>
          <w:rtl/>
          <w:lang w:eastAsia="de-DE"/>
        </w:rPr>
        <w:t>שלמים</w:t>
      </w:r>
      <w:r w:rsidRPr="00971D84">
        <w:rPr>
          <w:rFonts w:eastAsia="Times New Roman" w:cs="Times New Roman"/>
          <w:lang w:eastAsia="de-DE"/>
        </w:rPr>
        <w:t xml:space="preserve">-Kategorie ein. </w:t>
      </w:r>
      <w:r w:rsidRPr="00971D84">
        <w:rPr>
          <w:rFonts w:eastAsia="Times New Roman" w:cs="Times New Roman"/>
          <w:b/>
          <w:bCs/>
          <w:rtl/>
          <w:lang w:eastAsia="de-DE"/>
        </w:rPr>
        <w:t>ואם־נדר או נדבה</w:t>
      </w:r>
      <w:r w:rsidRPr="00971D84">
        <w:rPr>
          <w:rFonts w:eastAsia="Times New Roman" w:cs="Times New Roman"/>
          <w:rtl/>
          <w:lang w:eastAsia="de-DE"/>
        </w:rPr>
        <w:t xml:space="preserve"> </w:t>
      </w:r>
      <w:r w:rsidRPr="00971D84">
        <w:rPr>
          <w:rFonts w:eastAsia="Times New Roman" w:cs="Times New Roman"/>
          <w:lang w:eastAsia="de-DE"/>
        </w:rPr>
        <w:t xml:space="preserve">(und wenn ein Gelübde oder eine freiwillige Gabe), </w:t>
      </w:r>
      <w:r w:rsidRPr="00971D84">
        <w:rPr>
          <w:rFonts w:eastAsia="Times New Roman" w:cs="Times New Roman"/>
          <w:b/>
          <w:bCs/>
          <w:rtl/>
          <w:lang w:eastAsia="de-DE"/>
        </w:rPr>
        <w:t>זבח קרבנו</w:t>
      </w:r>
      <w:r w:rsidRPr="00971D84">
        <w:rPr>
          <w:rFonts w:eastAsia="Times New Roman" w:cs="Times New Roman"/>
          <w:rtl/>
          <w:lang w:eastAsia="de-DE"/>
        </w:rPr>
        <w:t xml:space="preserve"> </w:t>
      </w:r>
      <w:r w:rsidRPr="00971D84">
        <w:rPr>
          <w:rFonts w:eastAsia="Times New Roman" w:cs="Times New Roman"/>
          <w:lang w:eastAsia="de-DE"/>
        </w:rPr>
        <w:t>(das Schlachtopfer seiner Opfergabe).</w:t>
      </w:r>
    </w:p>
    <w:p w14:paraId="217E12B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בְּי֛וֹם הַקְרִיבֹ֥ו אֶת־זִבְחֹ֖ו יֵאָכֵ֑ל</w:t>
      </w:r>
      <w:r w:rsidRPr="00971D84">
        <w:rPr>
          <w:rFonts w:eastAsia="Times New Roman" w:cs="Times New Roman"/>
          <w:rtl/>
          <w:lang w:eastAsia="de-DE"/>
        </w:rPr>
        <w:t xml:space="preserve"> </w:t>
      </w:r>
      <w:r w:rsidRPr="00971D84">
        <w:rPr>
          <w:rFonts w:eastAsia="Times New Roman" w:cs="Times New Roman"/>
          <w:lang w:eastAsia="de-DE"/>
        </w:rPr>
        <w:t xml:space="preserve">(am Tag, da er sein Schlachtopfer darbringt, soll es gegessen werden) entspricht V. 15. </w:t>
      </w:r>
      <w:r w:rsidRPr="00971D84">
        <w:rPr>
          <w:rFonts w:eastAsia="Times New Roman" w:cs="Times New Roman"/>
          <w:b/>
          <w:bCs/>
          <w:rtl/>
          <w:lang w:eastAsia="de-DE"/>
        </w:rPr>
        <w:t>ביום הקריבו את־זבחו יאכל</w:t>
      </w:r>
      <w:r w:rsidRPr="00971D84">
        <w:rPr>
          <w:rFonts w:eastAsia="Times New Roman" w:cs="Times New Roman"/>
          <w:rtl/>
          <w:lang w:eastAsia="de-DE"/>
        </w:rPr>
        <w:t xml:space="preserve"> </w:t>
      </w:r>
      <w:r w:rsidRPr="00971D84">
        <w:rPr>
          <w:rFonts w:eastAsia="Times New Roman" w:cs="Times New Roman"/>
          <w:lang w:eastAsia="de-DE"/>
        </w:rPr>
        <w:t>(am Tag, da er sein Schlachtopfer darbringt, soll es gegessen werden).</w:t>
      </w:r>
    </w:p>
    <w:p w14:paraId="7CA1564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וּמִֽמָּחֳרָ֔ת וְהַנּוֹתָ֥ר מִמֶּ֖נּוּ יֵאָכֵֽל</w:t>
      </w:r>
      <w:r w:rsidRPr="00971D84">
        <w:rPr>
          <w:rFonts w:eastAsia="Times New Roman" w:cs="Times New Roman"/>
          <w:rtl/>
          <w:lang w:eastAsia="de-DE"/>
        </w:rPr>
        <w:t xml:space="preserve"> </w:t>
      </w:r>
      <w:r w:rsidRPr="00971D84">
        <w:rPr>
          <w:rFonts w:eastAsia="Times New Roman" w:cs="Times New Roman"/>
          <w:lang w:eastAsia="de-DE"/>
        </w:rPr>
        <w:t xml:space="preserve">(und am anderen Tag soll das Übrige davon gegessen werden) zeigt die erweiterte Frist. </w:t>
      </w:r>
      <w:r w:rsidRPr="00971D84">
        <w:rPr>
          <w:rFonts w:eastAsia="Times New Roman" w:cs="Times New Roman"/>
          <w:b/>
          <w:bCs/>
          <w:rtl/>
          <w:lang w:eastAsia="de-DE"/>
        </w:rPr>
        <w:t>וממחרת</w:t>
      </w:r>
      <w:r w:rsidRPr="00971D84">
        <w:rPr>
          <w:rFonts w:eastAsia="Times New Roman" w:cs="Times New Roman"/>
          <w:rtl/>
          <w:lang w:eastAsia="de-DE"/>
        </w:rPr>
        <w:t xml:space="preserve"> </w:t>
      </w:r>
      <w:r w:rsidRPr="00971D84">
        <w:rPr>
          <w:rFonts w:eastAsia="Times New Roman" w:cs="Times New Roman"/>
          <w:lang w:eastAsia="de-DE"/>
        </w:rPr>
        <w:t xml:space="preserve">(und am anderen Tag), </w:t>
      </w:r>
      <w:r w:rsidRPr="00971D84">
        <w:rPr>
          <w:rFonts w:eastAsia="Times New Roman" w:cs="Times New Roman"/>
          <w:b/>
          <w:bCs/>
          <w:rtl/>
          <w:lang w:eastAsia="de-DE"/>
        </w:rPr>
        <w:t>והנותר ממנו יאכל</w:t>
      </w:r>
      <w:r w:rsidRPr="00971D84">
        <w:rPr>
          <w:rFonts w:eastAsia="Times New Roman" w:cs="Times New Roman"/>
          <w:rtl/>
          <w:lang w:eastAsia="de-DE"/>
        </w:rPr>
        <w:t xml:space="preserve"> </w:t>
      </w:r>
      <w:r w:rsidRPr="00971D84">
        <w:rPr>
          <w:rFonts w:eastAsia="Times New Roman" w:cs="Times New Roman"/>
          <w:lang w:eastAsia="de-DE"/>
        </w:rPr>
        <w:t>(und das Übrige davon soll gegessen werden).</w:t>
      </w:r>
    </w:p>
    <w:p w14:paraId="5478443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נדר או נדבה</w:t>
      </w:r>
      <w:r w:rsidRPr="00971D84">
        <w:rPr>
          <w:rFonts w:eastAsia="Times New Roman" w:cs="Times New Roman"/>
          <w:rtl/>
          <w:lang w:eastAsia="de-DE"/>
        </w:rPr>
        <w:t xml:space="preserve"> </w:t>
      </w:r>
      <w:r w:rsidRPr="00971D84">
        <w:rPr>
          <w:rFonts w:eastAsia="Times New Roman" w:cs="Times New Roman"/>
          <w:lang w:eastAsia="de-DE"/>
        </w:rPr>
        <w:t xml:space="preserve">(Gelübde oder freiwillige Gabe) sind die beiden anderen </w:t>
      </w:r>
      <w:r w:rsidRPr="00971D84">
        <w:rPr>
          <w:rFonts w:eastAsia="Times New Roman" w:cs="Times New Roman"/>
          <w:b/>
          <w:bCs/>
          <w:rtl/>
          <w:lang w:eastAsia="de-DE"/>
        </w:rPr>
        <w:t>שלמים</w:t>
      </w:r>
      <w:r w:rsidRPr="00971D84">
        <w:rPr>
          <w:rFonts w:eastAsia="Times New Roman" w:cs="Times New Roman"/>
          <w:lang w:eastAsia="de-DE"/>
        </w:rPr>
        <w:t xml:space="preserve">-Kategorien neben </w:t>
      </w:r>
      <w:r w:rsidRPr="00971D84">
        <w:rPr>
          <w:rFonts w:eastAsia="Times New Roman" w:cs="Times New Roman"/>
          <w:b/>
          <w:bCs/>
          <w:rtl/>
          <w:lang w:eastAsia="de-DE"/>
        </w:rPr>
        <w:t>תודה</w:t>
      </w:r>
      <w:r w:rsidRPr="00971D84">
        <w:rPr>
          <w:rFonts w:eastAsia="Times New Roman" w:cs="Times New Roman"/>
          <w:lang w:eastAsia="de-DE"/>
        </w:rPr>
        <w:t xml:space="preserve">. </w:t>
      </w:r>
      <w:r w:rsidRPr="00971D84">
        <w:rPr>
          <w:rFonts w:eastAsia="Times New Roman" w:cs="Times New Roman"/>
          <w:b/>
          <w:bCs/>
          <w:rtl/>
          <w:lang w:eastAsia="de-DE"/>
        </w:rPr>
        <w:t>נדר</w:t>
      </w:r>
      <w:r w:rsidRPr="00971D84">
        <w:rPr>
          <w:rFonts w:eastAsia="Times New Roman" w:cs="Times New Roman"/>
          <w:rtl/>
          <w:lang w:eastAsia="de-DE"/>
        </w:rPr>
        <w:t xml:space="preserve"> </w:t>
      </w:r>
      <w:r w:rsidRPr="00971D84">
        <w:rPr>
          <w:rFonts w:eastAsia="Times New Roman" w:cs="Times New Roman"/>
          <w:lang w:eastAsia="de-DE"/>
        </w:rPr>
        <w:t xml:space="preserve">(Gelübde) ist verpflichtende Zusage, </w:t>
      </w:r>
      <w:r w:rsidRPr="00971D84">
        <w:rPr>
          <w:rFonts w:eastAsia="Times New Roman" w:cs="Times New Roman"/>
          <w:b/>
          <w:bCs/>
          <w:rtl/>
          <w:lang w:eastAsia="de-DE"/>
        </w:rPr>
        <w:t>נדבה</w:t>
      </w:r>
      <w:r w:rsidRPr="00971D84">
        <w:rPr>
          <w:rFonts w:eastAsia="Times New Roman" w:cs="Times New Roman"/>
          <w:rtl/>
          <w:lang w:eastAsia="de-DE"/>
        </w:rPr>
        <w:t xml:space="preserve"> </w:t>
      </w:r>
      <w:r w:rsidRPr="00971D84">
        <w:rPr>
          <w:rFonts w:eastAsia="Times New Roman" w:cs="Times New Roman"/>
          <w:lang w:eastAsia="de-DE"/>
        </w:rPr>
        <w:t>(freiwillige Gabe) ist spontane Darbringung.</w:t>
      </w:r>
    </w:p>
    <w:p w14:paraId="24DE3BE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ממחרת והנותר ממנו יאכל</w:t>
      </w:r>
      <w:r w:rsidRPr="00971D84">
        <w:rPr>
          <w:rFonts w:eastAsia="Times New Roman" w:cs="Times New Roman"/>
          <w:rtl/>
          <w:lang w:eastAsia="de-DE"/>
        </w:rPr>
        <w:t xml:space="preserve"> </w:t>
      </w:r>
      <w:r w:rsidRPr="00971D84">
        <w:rPr>
          <w:rFonts w:eastAsia="Times New Roman" w:cs="Times New Roman"/>
          <w:lang w:eastAsia="de-DE"/>
        </w:rPr>
        <w:t xml:space="preserve">(am anderen Tag soll das Übrige davon gegessen werden) verlängert die Verzehrfrist auf zwei Tage, im Unterschied zur Eintagesfrist bei </w:t>
      </w:r>
      <w:r w:rsidRPr="00971D84">
        <w:rPr>
          <w:rFonts w:eastAsia="Times New Roman" w:cs="Times New Roman"/>
          <w:b/>
          <w:bCs/>
          <w:rtl/>
          <w:lang w:eastAsia="de-DE"/>
        </w:rPr>
        <w:t>תודה</w:t>
      </w:r>
      <w:r w:rsidRPr="00971D84">
        <w:rPr>
          <w:rFonts w:eastAsia="Times New Roman" w:cs="Times New Roman"/>
          <w:lang w:eastAsia="de-DE"/>
        </w:rPr>
        <w:t>.</w:t>
      </w:r>
    </w:p>
    <w:p w14:paraId="7CAD477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נֶ֣דֶר׀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εὐχή</w:t>
      </w:r>
      <w:proofErr w:type="spellEnd"/>
      <w:r w:rsidRPr="00971D84">
        <w:rPr>
          <w:rFonts w:eastAsia="Times New Roman" w:cs="Times New Roman"/>
          <w:lang w:eastAsia="de-DE"/>
        </w:rPr>
        <w:t xml:space="preserve"> (Gelübde), </w:t>
      </w:r>
      <w:r w:rsidRPr="00971D84">
        <w:rPr>
          <w:rFonts w:eastAsia="Times New Roman" w:cs="Times New Roman"/>
          <w:b/>
          <w:bCs/>
          <w:rtl/>
          <w:lang w:eastAsia="de-DE"/>
        </w:rPr>
        <w:t>נְדָבָ֗ה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ἑκούσιον</w:t>
      </w:r>
      <w:proofErr w:type="spellEnd"/>
      <w:r w:rsidRPr="00971D84">
        <w:rPr>
          <w:rFonts w:eastAsia="Times New Roman" w:cs="Times New Roman"/>
          <w:lang w:eastAsia="de-DE"/>
        </w:rPr>
        <w:t xml:space="preserve"> (freiwillig) und </w:t>
      </w:r>
      <w:r w:rsidRPr="00971D84">
        <w:rPr>
          <w:rFonts w:eastAsia="Times New Roman" w:cs="Times New Roman"/>
          <w:b/>
          <w:bCs/>
          <w:rtl/>
          <w:lang w:eastAsia="de-DE"/>
        </w:rPr>
        <w:t>מִֽמָּחֳרָ֔ת</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τῇ</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ὔριον</w:t>
      </w:r>
      <w:proofErr w:type="spellEnd"/>
      <w:r w:rsidRPr="00971D84">
        <w:rPr>
          <w:rFonts w:eastAsia="Times New Roman" w:cs="Times New Roman"/>
          <w:lang w:eastAsia="de-DE"/>
        </w:rPr>
        <w:t xml:space="preserve"> (am morgigen Tag).</w:t>
      </w:r>
    </w:p>
    <w:p w14:paraId="1E9C6B3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konditionalen Fall + erweiterte Verzehrfrist: Protasis mit zwei Alternativen + Apodosis mit Zweitagesregelung. Die Struktur kontrastiert zu V. 15.</w:t>
      </w:r>
    </w:p>
    <w:p w14:paraId="71C8F61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führt </w:t>
      </w:r>
      <w:r w:rsidRPr="00971D84">
        <w:rPr>
          <w:rFonts w:eastAsia="Times New Roman" w:cs="Times New Roman"/>
          <w:b/>
          <w:bCs/>
          <w:rtl/>
          <w:lang w:eastAsia="de-DE"/>
        </w:rPr>
        <w:t>נדר</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נדבה</w:t>
      </w:r>
      <w:r w:rsidRPr="00971D84">
        <w:rPr>
          <w:rFonts w:eastAsia="Times New Roman" w:cs="Times New Roman"/>
          <w:rtl/>
          <w:lang w:eastAsia="de-DE"/>
        </w:rPr>
        <w:t xml:space="preserve"> </w:t>
      </w:r>
      <w:r w:rsidRPr="00971D84">
        <w:rPr>
          <w:rFonts w:eastAsia="Times New Roman" w:cs="Times New Roman"/>
          <w:lang w:eastAsia="de-DE"/>
        </w:rPr>
        <w:t xml:space="preserve">als </w:t>
      </w:r>
      <w:r w:rsidRPr="00971D84">
        <w:rPr>
          <w:rFonts w:eastAsia="Times New Roman" w:cs="Times New Roman"/>
          <w:b/>
          <w:bCs/>
          <w:rtl/>
          <w:lang w:eastAsia="de-DE"/>
        </w:rPr>
        <w:t>שלמים</w:t>
      </w:r>
      <w:r w:rsidRPr="00971D84">
        <w:rPr>
          <w:rFonts w:eastAsia="Times New Roman" w:cs="Times New Roman"/>
          <w:lang w:eastAsia="de-DE"/>
        </w:rPr>
        <w:t xml:space="preserve">-Kategorien mit Zweitages-Verzehrfrist ein, im Unterschied zur Eintagesfrist bei </w:t>
      </w:r>
      <w:r w:rsidRPr="00971D84">
        <w:rPr>
          <w:rFonts w:eastAsia="Times New Roman" w:cs="Times New Roman"/>
          <w:b/>
          <w:bCs/>
          <w:rtl/>
          <w:lang w:eastAsia="de-DE"/>
        </w:rPr>
        <w:t>תודה</w:t>
      </w:r>
      <w:r w:rsidRPr="00971D84">
        <w:rPr>
          <w:rFonts w:eastAsia="Times New Roman" w:cs="Times New Roman"/>
          <w:lang w:eastAsia="de-DE"/>
        </w:rPr>
        <w:t>.</w:t>
      </w:r>
    </w:p>
    <w:p w14:paraId="4596A308"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7,17</w:t>
      </w:r>
    </w:p>
    <w:p w14:paraId="3EF9445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וְהַנּוֹתָ֖ר מִבְּשַׂ֣ר הַזָּ֑בַח בַּיּוֹם֙ הַשְּׁלִישִׁ֔י בָּאֵ֖שׁ יִשָּׂרֵֽף׃</w:t>
      </w:r>
    </w:p>
    <w:p w14:paraId="7BBFC70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was vom Fleisch des Schlachtopfers am dritten Tag übrigbleibt, soll mit Feuer verbrannt werden.</w:t>
      </w:r>
    </w:p>
    <w:p w14:paraId="07430FF8"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29E1E29E">
          <v:rect id="_x0000_i1175" style="width:0;height:1.5pt" o:hralign="center" o:hrstd="t" o:hr="t" fillcolor="#a0a0a0" stroked="f"/>
        </w:pict>
      </w:r>
    </w:p>
    <w:p w14:paraId="32C8480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וְהַנּוֹתָ֖ר מִבְּשַׂ֣ר הַזָּ֑בַח בַּיּוֹם֙ הַשְּׁלִישִׁ֔י בָּאֵ֖שׁ יִשָּׂרֵֽף</w:t>
      </w:r>
      <w:r w:rsidRPr="00971D84">
        <w:rPr>
          <w:rFonts w:eastAsia="Times New Roman" w:cs="Times New Roman"/>
          <w:rtl/>
          <w:lang w:eastAsia="de-DE"/>
        </w:rPr>
        <w:t xml:space="preserve"> </w:t>
      </w:r>
      <w:r w:rsidRPr="00971D84">
        <w:rPr>
          <w:rFonts w:eastAsia="Times New Roman" w:cs="Times New Roman"/>
          <w:lang w:eastAsia="de-DE"/>
        </w:rPr>
        <w:t xml:space="preserve">(und das Übrige vom Fleisch des Schlachtopfers am dritten Tag soll mit Feuer verbrannt werden) regelt die Entsorgung. </w:t>
      </w:r>
      <w:r w:rsidRPr="00971D84">
        <w:rPr>
          <w:rFonts w:eastAsia="Times New Roman" w:cs="Times New Roman"/>
          <w:b/>
          <w:bCs/>
          <w:rtl/>
          <w:lang w:eastAsia="de-DE"/>
        </w:rPr>
        <w:t>והנותר מבשר הזבח</w:t>
      </w:r>
      <w:r w:rsidRPr="00971D84">
        <w:rPr>
          <w:rFonts w:eastAsia="Times New Roman" w:cs="Times New Roman"/>
          <w:rtl/>
          <w:lang w:eastAsia="de-DE"/>
        </w:rPr>
        <w:t xml:space="preserve"> </w:t>
      </w:r>
      <w:r w:rsidRPr="00971D84">
        <w:rPr>
          <w:rFonts w:eastAsia="Times New Roman" w:cs="Times New Roman"/>
          <w:lang w:eastAsia="de-DE"/>
        </w:rPr>
        <w:t xml:space="preserve">(und das Übrige vom Fleisch des Schlachtopfers), </w:t>
      </w:r>
      <w:r w:rsidRPr="00971D84">
        <w:rPr>
          <w:rFonts w:eastAsia="Times New Roman" w:cs="Times New Roman"/>
          <w:b/>
          <w:bCs/>
          <w:rtl/>
          <w:lang w:eastAsia="de-DE"/>
        </w:rPr>
        <w:t>ביום השלישי</w:t>
      </w:r>
      <w:r w:rsidRPr="00971D84">
        <w:rPr>
          <w:rFonts w:eastAsia="Times New Roman" w:cs="Times New Roman"/>
          <w:rtl/>
          <w:lang w:eastAsia="de-DE"/>
        </w:rPr>
        <w:t xml:space="preserve"> </w:t>
      </w:r>
      <w:r w:rsidRPr="00971D84">
        <w:rPr>
          <w:rFonts w:eastAsia="Times New Roman" w:cs="Times New Roman"/>
          <w:lang w:eastAsia="de-DE"/>
        </w:rPr>
        <w:t xml:space="preserve">(am dritten Tag), </w:t>
      </w:r>
      <w:r w:rsidRPr="00971D84">
        <w:rPr>
          <w:rFonts w:eastAsia="Times New Roman" w:cs="Times New Roman"/>
          <w:b/>
          <w:bCs/>
          <w:rtl/>
          <w:lang w:eastAsia="de-DE"/>
        </w:rPr>
        <w:t>באש ישרף</w:t>
      </w:r>
      <w:r w:rsidRPr="00971D84">
        <w:rPr>
          <w:rFonts w:eastAsia="Times New Roman" w:cs="Times New Roman"/>
          <w:rtl/>
          <w:lang w:eastAsia="de-DE"/>
        </w:rPr>
        <w:t xml:space="preserve"> </w:t>
      </w:r>
      <w:r w:rsidRPr="00971D84">
        <w:rPr>
          <w:rFonts w:eastAsia="Times New Roman" w:cs="Times New Roman"/>
          <w:lang w:eastAsia="de-DE"/>
        </w:rPr>
        <w:t>(soll mit Feuer verbrannt werden).</w:t>
      </w:r>
    </w:p>
    <w:p w14:paraId="4880117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ביום השלישי</w:t>
      </w:r>
      <w:r w:rsidRPr="00971D84">
        <w:rPr>
          <w:rFonts w:eastAsia="Times New Roman" w:cs="Times New Roman"/>
          <w:rtl/>
          <w:lang w:eastAsia="de-DE"/>
        </w:rPr>
        <w:t xml:space="preserve"> </w:t>
      </w:r>
      <w:r w:rsidRPr="00971D84">
        <w:rPr>
          <w:rFonts w:eastAsia="Times New Roman" w:cs="Times New Roman"/>
          <w:lang w:eastAsia="de-DE"/>
        </w:rPr>
        <w:t>(am dritten Tag) etabliert die absolute Grenze: nach zwei erlaubten Tagen (</w:t>
      </w:r>
      <w:r w:rsidRPr="00971D84">
        <w:rPr>
          <w:rFonts w:eastAsia="Times New Roman" w:cs="Times New Roman"/>
          <w:b/>
          <w:bCs/>
          <w:rtl/>
          <w:lang w:eastAsia="de-DE"/>
        </w:rPr>
        <w:t>נדר</w:t>
      </w:r>
      <w:r w:rsidRPr="00971D84">
        <w:rPr>
          <w:rFonts w:eastAsia="Times New Roman" w:cs="Times New Roman"/>
          <w:lang w:eastAsia="de-DE"/>
        </w:rPr>
        <w:t>/</w:t>
      </w:r>
      <w:r w:rsidRPr="00971D84">
        <w:rPr>
          <w:rFonts w:eastAsia="Times New Roman" w:cs="Times New Roman"/>
          <w:b/>
          <w:bCs/>
          <w:rtl/>
          <w:lang w:eastAsia="de-DE"/>
        </w:rPr>
        <w:t>נדבה</w:t>
      </w:r>
      <w:r w:rsidRPr="00971D84">
        <w:rPr>
          <w:rFonts w:eastAsia="Times New Roman" w:cs="Times New Roman"/>
          <w:lang w:eastAsia="de-DE"/>
        </w:rPr>
        <w:t>) oder einem Tag (</w:t>
      </w:r>
      <w:r w:rsidRPr="00971D84">
        <w:rPr>
          <w:rFonts w:eastAsia="Times New Roman" w:cs="Times New Roman"/>
          <w:b/>
          <w:bCs/>
          <w:rtl/>
          <w:lang w:eastAsia="de-DE"/>
        </w:rPr>
        <w:t>תודה</w:t>
      </w:r>
      <w:r w:rsidRPr="00971D84">
        <w:rPr>
          <w:rFonts w:eastAsia="Times New Roman" w:cs="Times New Roman"/>
          <w:lang w:eastAsia="de-DE"/>
        </w:rPr>
        <w:t xml:space="preserve">) muss alles Übrige verbrannt werden. </w:t>
      </w:r>
      <w:r w:rsidRPr="00971D84">
        <w:rPr>
          <w:rFonts w:eastAsia="Times New Roman" w:cs="Times New Roman"/>
          <w:b/>
          <w:bCs/>
          <w:rtl/>
          <w:lang w:eastAsia="de-DE"/>
        </w:rPr>
        <w:t>באש ישרף</w:t>
      </w:r>
      <w:r w:rsidRPr="00971D84">
        <w:rPr>
          <w:rFonts w:eastAsia="Times New Roman" w:cs="Times New Roman"/>
          <w:rtl/>
          <w:lang w:eastAsia="de-DE"/>
        </w:rPr>
        <w:t xml:space="preserve"> </w:t>
      </w:r>
      <w:r w:rsidRPr="00971D84">
        <w:rPr>
          <w:rFonts w:eastAsia="Times New Roman" w:cs="Times New Roman"/>
          <w:lang w:eastAsia="de-DE"/>
        </w:rPr>
        <w:t>(soll mit Feuer verbrannt werden) zeigt vollständige Vernichtung.</w:t>
      </w:r>
    </w:p>
    <w:p w14:paraId="742A71F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הנותר מבשר הזבח</w:t>
      </w:r>
      <w:r w:rsidRPr="00971D84">
        <w:rPr>
          <w:rFonts w:eastAsia="Times New Roman" w:cs="Times New Roman"/>
          <w:rtl/>
          <w:lang w:eastAsia="de-DE"/>
        </w:rPr>
        <w:t xml:space="preserve"> </w:t>
      </w:r>
      <w:r w:rsidRPr="00971D84">
        <w:rPr>
          <w:rFonts w:eastAsia="Times New Roman" w:cs="Times New Roman"/>
          <w:lang w:eastAsia="de-DE"/>
        </w:rPr>
        <w:t xml:space="preserve">(das Übrige vom Fleisch des Schlachtopfers) bezieht sich auf alle </w:t>
      </w:r>
      <w:r w:rsidRPr="00971D84">
        <w:rPr>
          <w:rFonts w:eastAsia="Times New Roman" w:cs="Times New Roman"/>
          <w:b/>
          <w:bCs/>
          <w:rtl/>
          <w:lang w:eastAsia="de-DE"/>
        </w:rPr>
        <w:t>שלמים</w:t>
      </w:r>
      <w:r w:rsidRPr="00971D84">
        <w:rPr>
          <w:rFonts w:eastAsia="Times New Roman" w:cs="Times New Roman"/>
          <w:lang w:eastAsia="de-DE"/>
        </w:rPr>
        <w:t xml:space="preserve">-Arten: </w:t>
      </w:r>
      <w:r w:rsidRPr="00971D84">
        <w:rPr>
          <w:rFonts w:eastAsia="Times New Roman" w:cs="Times New Roman"/>
          <w:b/>
          <w:bCs/>
          <w:rtl/>
          <w:lang w:eastAsia="de-DE"/>
        </w:rPr>
        <w:t>תודה</w:t>
      </w:r>
      <w:r w:rsidRPr="00971D84">
        <w:rPr>
          <w:rFonts w:eastAsia="Times New Roman" w:cs="Times New Roman"/>
          <w:rtl/>
          <w:lang w:eastAsia="de-DE"/>
        </w:rPr>
        <w:t xml:space="preserve"> </w:t>
      </w:r>
      <w:r w:rsidRPr="00971D84">
        <w:rPr>
          <w:rFonts w:eastAsia="Times New Roman" w:cs="Times New Roman"/>
          <w:lang w:eastAsia="de-DE"/>
        </w:rPr>
        <w:t xml:space="preserve">(nach einem Tag), </w:t>
      </w:r>
      <w:r w:rsidRPr="00971D84">
        <w:rPr>
          <w:rFonts w:eastAsia="Times New Roman" w:cs="Times New Roman"/>
          <w:b/>
          <w:bCs/>
          <w:rtl/>
          <w:lang w:eastAsia="de-DE"/>
        </w:rPr>
        <w:t>נדר</w:t>
      </w:r>
      <w:r w:rsidRPr="00971D84">
        <w:rPr>
          <w:rFonts w:eastAsia="Times New Roman" w:cs="Times New Roman"/>
          <w:lang w:eastAsia="de-DE"/>
        </w:rPr>
        <w:t>/</w:t>
      </w:r>
      <w:r w:rsidRPr="00971D84">
        <w:rPr>
          <w:rFonts w:eastAsia="Times New Roman" w:cs="Times New Roman"/>
          <w:b/>
          <w:bCs/>
          <w:rtl/>
          <w:lang w:eastAsia="de-DE"/>
        </w:rPr>
        <w:t>נדבה</w:t>
      </w:r>
      <w:r w:rsidRPr="00971D84">
        <w:rPr>
          <w:rFonts w:eastAsia="Times New Roman" w:cs="Times New Roman"/>
          <w:rtl/>
          <w:lang w:eastAsia="de-DE"/>
        </w:rPr>
        <w:t xml:space="preserve"> </w:t>
      </w:r>
      <w:r w:rsidRPr="00971D84">
        <w:rPr>
          <w:rFonts w:eastAsia="Times New Roman" w:cs="Times New Roman"/>
          <w:lang w:eastAsia="de-DE"/>
        </w:rPr>
        <w:t xml:space="preserve">(nach zwei Tagen). </w:t>
      </w:r>
      <w:r w:rsidRPr="00971D84">
        <w:rPr>
          <w:rFonts w:eastAsia="Times New Roman" w:cs="Times New Roman"/>
          <w:b/>
          <w:bCs/>
          <w:rtl/>
          <w:lang w:eastAsia="de-DE"/>
        </w:rPr>
        <w:t>ביום השלישי</w:t>
      </w:r>
      <w:r w:rsidRPr="00971D84">
        <w:rPr>
          <w:rFonts w:eastAsia="Times New Roman" w:cs="Times New Roman"/>
          <w:rtl/>
          <w:lang w:eastAsia="de-DE"/>
        </w:rPr>
        <w:t xml:space="preserve"> </w:t>
      </w:r>
      <w:r w:rsidRPr="00971D84">
        <w:rPr>
          <w:rFonts w:eastAsia="Times New Roman" w:cs="Times New Roman"/>
          <w:lang w:eastAsia="de-DE"/>
        </w:rPr>
        <w:t xml:space="preserve">ist für alle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die absolute Verbrennungsgrenze.</w:t>
      </w:r>
    </w:p>
    <w:p w14:paraId="1B63275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הַנּוֹתָ֖ר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κατα</w:t>
      </w:r>
      <w:proofErr w:type="spellStart"/>
      <w:r w:rsidRPr="00971D84">
        <w:rPr>
          <w:rFonts w:eastAsia="Times New Roman" w:cs="Times New Roman"/>
          <w:lang w:eastAsia="de-DE"/>
        </w:rPr>
        <w:t>λειφθὲν</w:t>
      </w:r>
      <w:proofErr w:type="spellEnd"/>
      <w:r w:rsidRPr="00971D84">
        <w:rPr>
          <w:rFonts w:eastAsia="Times New Roman" w:cs="Times New Roman"/>
          <w:lang w:eastAsia="de-DE"/>
        </w:rPr>
        <w:t xml:space="preserve"> (das Übriggelassene), </w:t>
      </w:r>
      <w:r w:rsidRPr="00971D84">
        <w:rPr>
          <w:rFonts w:eastAsia="Times New Roman" w:cs="Times New Roman"/>
          <w:b/>
          <w:bCs/>
          <w:rtl/>
          <w:lang w:eastAsia="de-DE"/>
        </w:rPr>
        <w:t>בַּיּוֹם֙ הַשְּׁלִישִׁ֔י</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τῇ</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ἡμέρᾳ</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τῇ</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τρίτῃ</w:t>
      </w:r>
      <w:proofErr w:type="spellEnd"/>
      <w:r w:rsidRPr="00971D84">
        <w:rPr>
          <w:rFonts w:eastAsia="Times New Roman" w:cs="Times New Roman"/>
          <w:lang w:eastAsia="de-DE"/>
        </w:rPr>
        <w:t xml:space="preserve"> (am dritten Tag) und </w:t>
      </w:r>
      <w:r w:rsidRPr="00971D84">
        <w:rPr>
          <w:rFonts w:eastAsia="Times New Roman" w:cs="Times New Roman"/>
          <w:b/>
          <w:bCs/>
          <w:rtl/>
          <w:lang w:eastAsia="de-DE"/>
        </w:rPr>
        <w:t>יִשָּׂרֵֽף</w:t>
      </w:r>
      <w:r w:rsidRPr="00971D84">
        <w:rPr>
          <w:rFonts w:eastAsia="Times New Roman" w:cs="Times New Roman"/>
          <w:rtl/>
          <w:lang w:eastAsia="de-DE"/>
        </w:rPr>
        <w:t xml:space="preserve"> </w:t>
      </w:r>
      <w:r w:rsidRPr="00971D84">
        <w:rPr>
          <w:rFonts w:eastAsia="Times New Roman" w:cs="Times New Roman"/>
          <w:lang w:eastAsia="de-DE"/>
        </w:rPr>
        <w:t>mit κατακα</w:t>
      </w:r>
      <w:proofErr w:type="spellStart"/>
      <w:r w:rsidRPr="00971D84">
        <w:rPr>
          <w:rFonts w:eastAsia="Times New Roman" w:cs="Times New Roman"/>
          <w:lang w:eastAsia="de-DE"/>
        </w:rPr>
        <w:t>υθήσετ</w:t>
      </w:r>
      <w:proofErr w:type="spellEnd"/>
      <w:r w:rsidRPr="00971D84">
        <w:rPr>
          <w:rFonts w:eastAsia="Times New Roman" w:cs="Times New Roman"/>
          <w:lang w:eastAsia="de-DE"/>
        </w:rPr>
        <w:t>αι (soll verbrannt werden).</w:t>
      </w:r>
    </w:p>
    <w:p w14:paraId="45E8EBF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kategorische Entsorgungsbestimmung: Subjekt + temporale Bestimmung + Modalbestimmung + Verb. Die Kürze unterstreicht die Unausweichlichkeit.</w:t>
      </w:r>
    </w:p>
    <w:p w14:paraId="13B1B89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lastRenderedPageBreak/>
        <w:t xml:space="preserve">Dieser Vers etabliert die absolute Drittages-Verbrennungspflicht für alle übrigen </w:t>
      </w:r>
      <w:r w:rsidRPr="00971D84">
        <w:rPr>
          <w:rFonts w:eastAsia="Times New Roman" w:cs="Times New Roman"/>
          <w:b/>
          <w:bCs/>
          <w:rtl/>
          <w:lang w:eastAsia="de-DE"/>
        </w:rPr>
        <w:t>שלמים</w:t>
      </w:r>
      <w:r w:rsidRPr="00971D84">
        <w:rPr>
          <w:rFonts w:eastAsia="Times New Roman" w:cs="Times New Roman"/>
          <w:lang w:eastAsia="de-DE"/>
        </w:rPr>
        <w:t>-Reste als hygienische und rituelle Notwendigkeit.</w:t>
      </w:r>
    </w:p>
    <w:p w14:paraId="2402C8AE"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7,18</w:t>
      </w:r>
    </w:p>
    <w:p w14:paraId="19D9768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וְאִ֣ם הֵאָכֹ֣ל יֵ֠אָכֵל מִבְּשַׂר־זֶ֨בַח שְׁלָמָ֜יו בַּיּ֣וֹם הַשְּׁלִישִׁי֮ לֹ֣א יֵרָצֶה֒ הַמַּקְרִ֣יב אֹתוֹ֗ לֹ֧א יֵחָשֵׁ֛ב לוֹ֖ פִּגּ֣וּל יִהְיֶ֑ה וְהַנֶּ֛פֶשׁ הָאֹכֶ֥לֶת מִמֶּ֖נּוּ עֲוֹנָ֥הּ תִּשָּֽׂא׃</w:t>
      </w:r>
    </w:p>
    <w:p w14:paraId="46A5FA0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wenn irgendetwas vom Fleisch seines Friedensopfers am dritten Tag gegessen wird, so wird es nicht wohlgefällig sein; wer es dargebracht hat, dem wird es nicht zugerechnet werden: Ein Gräuel wird es sein; und die Seele, die davon isst, wird ihre Ungerechtigkeit tragen.</w:t>
      </w:r>
    </w:p>
    <w:p w14:paraId="6875D394"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59BF8AC2">
          <v:rect id="_x0000_i1176" style="width:0;height:1.5pt" o:hralign="center" o:hrstd="t" o:hr="t" fillcolor="#a0a0a0" stroked="f"/>
        </w:pict>
      </w:r>
    </w:p>
    <w:p w14:paraId="0B42CA5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וְאִ֣ם הֵאָכֹ֣ל יֵ֠אָכֵל מִבְּשַׂר־זֶ֨בַח שְׁלָמָ֜יו בַּיּ֣וֹם הַשְּׁלִישִׁי֮</w:t>
      </w:r>
      <w:r w:rsidRPr="00971D84">
        <w:rPr>
          <w:rFonts w:eastAsia="Times New Roman" w:cs="Times New Roman"/>
          <w:rtl/>
          <w:lang w:eastAsia="de-DE"/>
        </w:rPr>
        <w:t xml:space="preserve"> </w:t>
      </w:r>
      <w:r w:rsidRPr="00971D84">
        <w:rPr>
          <w:rFonts w:eastAsia="Times New Roman" w:cs="Times New Roman"/>
          <w:lang w:eastAsia="de-DE"/>
        </w:rPr>
        <w:t xml:space="preserve">(und wenn gegessen, gegessen wird vom Fleisch seines Friedensopfers am dritten Tag) zeigt verstärkende Konstruktion. </w:t>
      </w:r>
      <w:r w:rsidRPr="00971D84">
        <w:rPr>
          <w:rFonts w:eastAsia="Times New Roman" w:cs="Times New Roman"/>
          <w:b/>
          <w:bCs/>
          <w:rtl/>
          <w:lang w:eastAsia="de-DE"/>
        </w:rPr>
        <w:t>ואם האכל יאכל</w:t>
      </w:r>
      <w:r w:rsidRPr="00971D84">
        <w:rPr>
          <w:rFonts w:eastAsia="Times New Roman" w:cs="Times New Roman"/>
          <w:rtl/>
          <w:lang w:eastAsia="de-DE"/>
        </w:rPr>
        <w:t xml:space="preserve"> </w:t>
      </w:r>
      <w:r w:rsidRPr="00971D84">
        <w:rPr>
          <w:rFonts w:eastAsia="Times New Roman" w:cs="Times New Roman"/>
          <w:lang w:eastAsia="de-DE"/>
        </w:rPr>
        <w:t xml:space="preserve">(und wenn gegessen, gegessen wird) mit Infinitiv absolut + finite Verbform für Emphase, </w:t>
      </w:r>
      <w:r w:rsidRPr="00971D84">
        <w:rPr>
          <w:rFonts w:eastAsia="Times New Roman" w:cs="Times New Roman"/>
          <w:b/>
          <w:bCs/>
          <w:rtl/>
          <w:lang w:eastAsia="de-DE"/>
        </w:rPr>
        <w:t>מבשר־זבח שלמיו ביום השלישי</w:t>
      </w:r>
      <w:r w:rsidRPr="00971D84">
        <w:rPr>
          <w:rFonts w:eastAsia="Times New Roman" w:cs="Times New Roman"/>
          <w:rtl/>
          <w:lang w:eastAsia="de-DE"/>
        </w:rPr>
        <w:t xml:space="preserve"> </w:t>
      </w:r>
      <w:r w:rsidRPr="00971D84">
        <w:rPr>
          <w:rFonts w:eastAsia="Times New Roman" w:cs="Times New Roman"/>
          <w:lang w:eastAsia="de-DE"/>
        </w:rPr>
        <w:t>(vom Fleisch seines Friedensopfers am dritten Tag).</w:t>
      </w:r>
    </w:p>
    <w:p w14:paraId="1C58D22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לֹ֣א יֵרָצֶה֒ הַמַּקְרִ֣יב אֹתוֹ֗ לֹ֧א יֵחָשֵׁ֛ב לוֹ֖</w:t>
      </w:r>
      <w:r w:rsidRPr="00971D84">
        <w:rPr>
          <w:rFonts w:eastAsia="Times New Roman" w:cs="Times New Roman"/>
          <w:rtl/>
          <w:lang w:eastAsia="de-DE"/>
        </w:rPr>
        <w:t xml:space="preserve"> </w:t>
      </w:r>
      <w:r w:rsidRPr="00971D84">
        <w:rPr>
          <w:rFonts w:eastAsia="Times New Roman" w:cs="Times New Roman"/>
          <w:lang w:eastAsia="de-DE"/>
        </w:rPr>
        <w:t xml:space="preserve">(es wird nicht wohlgefällig sein; wer es dargebracht hat, dem wird es nicht zugerechnet werden) zeigt die Konsequenzen. </w:t>
      </w:r>
      <w:r w:rsidRPr="00971D84">
        <w:rPr>
          <w:rFonts w:eastAsia="Times New Roman" w:cs="Times New Roman"/>
          <w:b/>
          <w:bCs/>
          <w:rtl/>
          <w:lang w:eastAsia="de-DE"/>
        </w:rPr>
        <w:t>לא ירצה</w:t>
      </w:r>
      <w:r w:rsidRPr="00971D84">
        <w:rPr>
          <w:rFonts w:eastAsia="Times New Roman" w:cs="Times New Roman"/>
          <w:rtl/>
          <w:lang w:eastAsia="de-DE"/>
        </w:rPr>
        <w:t xml:space="preserve"> </w:t>
      </w:r>
      <w:r w:rsidRPr="00971D84">
        <w:rPr>
          <w:rFonts w:eastAsia="Times New Roman" w:cs="Times New Roman"/>
          <w:lang w:eastAsia="de-DE"/>
        </w:rPr>
        <w:t xml:space="preserve">(es wird nicht wohlgefällig sein) von </w:t>
      </w:r>
      <w:r w:rsidRPr="00971D84">
        <w:rPr>
          <w:rFonts w:eastAsia="Times New Roman" w:cs="Times New Roman"/>
          <w:b/>
          <w:bCs/>
          <w:rtl/>
          <w:lang w:eastAsia="de-DE"/>
        </w:rPr>
        <w:t>רצה</w:t>
      </w:r>
      <w:r w:rsidRPr="00971D84">
        <w:rPr>
          <w:rFonts w:eastAsia="Times New Roman" w:cs="Times New Roman"/>
          <w:rtl/>
          <w:lang w:eastAsia="de-DE"/>
        </w:rPr>
        <w:t xml:space="preserve"> </w:t>
      </w:r>
      <w:r w:rsidRPr="00971D84">
        <w:rPr>
          <w:rFonts w:eastAsia="Times New Roman" w:cs="Times New Roman"/>
          <w:lang w:eastAsia="de-DE"/>
        </w:rPr>
        <w:t xml:space="preserve">(wohlgefällig sein), </w:t>
      </w:r>
      <w:r w:rsidRPr="00971D84">
        <w:rPr>
          <w:rFonts w:eastAsia="Times New Roman" w:cs="Times New Roman"/>
          <w:b/>
          <w:bCs/>
          <w:rtl/>
          <w:lang w:eastAsia="de-DE"/>
        </w:rPr>
        <w:t>המקריב אתו לא יחשב לו</w:t>
      </w:r>
      <w:r w:rsidRPr="00971D84">
        <w:rPr>
          <w:rFonts w:eastAsia="Times New Roman" w:cs="Times New Roman"/>
          <w:rtl/>
          <w:lang w:eastAsia="de-DE"/>
        </w:rPr>
        <w:t xml:space="preserve"> </w:t>
      </w:r>
      <w:r w:rsidRPr="00971D84">
        <w:rPr>
          <w:rFonts w:eastAsia="Times New Roman" w:cs="Times New Roman"/>
          <w:lang w:eastAsia="de-DE"/>
        </w:rPr>
        <w:t>(wer es dargebracht hat, dem wird es nicht zugerechnet werden).</w:t>
      </w:r>
    </w:p>
    <w:p w14:paraId="16821F1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פִּגּ֣וּל יִהְיֶ֑ה וְהַנֶּ֛פֶשׁ הָאֹכֶ֥לֶת מִמֶּ֖נּוּ עֲוֹנָ֥הּ תִּשָּֽׂא</w:t>
      </w:r>
      <w:r w:rsidRPr="00971D84">
        <w:rPr>
          <w:rFonts w:eastAsia="Times New Roman" w:cs="Times New Roman"/>
          <w:rtl/>
          <w:lang w:eastAsia="de-DE"/>
        </w:rPr>
        <w:t xml:space="preserve"> </w:t>
      </w:r>
      <w:r w:rsidRPr="00971D84">
        <w:rPr>
          <w:rFonts w:eastAsia="Times New Roman" w:cs="Times New Roman"/>
          <w:lang w:eastAsia="de-DE"/>
        </w:rPr>
        <w:t xml:space="preserve">(ein Gräuel wird es sein; und die Seele, die davon isst, wird ihre Schuld tragen) zeigt die schweren Folgen. </w:t>
      </w:r>
      <w:r w:rsidRPr="00971D84">
        <w:rPr>
          <w:rFonts w:eastAsia="Times New Roman" w:cs="Times New Roman"/>
          <w:b/>
          <w:bCs/>
          <w:rtl/>
          <w:lang w:eastAsia="de-DE"/>
        </w:rPr>
        <w:t>פגול יהיה</w:t>
      </w:r>
      <w:r w:rsidRPr="00971D84">
        <w:rPr>
          <w:rFonts w:eastAsia="Times New Roman" w:cs="Times New Roman"/>
          <w:rtl/>
          <w:lang w:eastAsia="de-DE"/>
        </w:rPr>
        <w:t xml:space="preserve"> </w:t>
      </w:r>
      <w:r w:rsidRPr="00971D84">
        <w:rPr>
          <w:rFonts w:eastAsia="Times New Roman" w:cs="Times New Roman"/>
          <w:lang w:eastAsia="de-DE"/>
        </w:rPr>
        <w:t xml:space="preserve">(ein Gräuel wird es sein) von </w:t>
      </w:r>
      <w:r w:rsidRPr="00971D84">
        <w:rPr>
          <w:rFonts w:eastAsia="Times New Roman" w:cs="Times New Roman"/>
          <w:b/>
          <w:bCs/>
          <w:rtl/>
          <w:lang w:eastAsia="de-DE"/>
        </w:rPr>
        <w:t>פגל</w:t>
      </w:r>
      <w:r w:rsidRPr="00971D84">
        <w:rPr>
          <w:rFonts w:eastAsia="Times New Roman" w:cs="Times New Roman"/>
          <w:rtl/>
          <w:lang w:eastAsia="de-DE"/>
        </w:rPr>
        <w:t xml:space="preserve"> </w:t>
      </w:r>
      <w:r w:rsidRPr="00971D84">
        <w:rPr>
          <w:rFonts w:eastAsia="Times New Roman" w:cs="Times New Roman"/>
          <w:lang w:eastAsia="de-DE"/>
        </w:rPr>
        <w:t xml:space="preserve">(stinken/verderben), </w:t>
      </w:r>
      <w:r w:rsidRPr="00971D84">
        <w:rPr>
          <w:rFonts w:eastAsia="Times New Roman" w:cs="Times New Roman"/>
          <w:b/>
          <w:bCs/>
          <w:rtl/>
          <w:lang w:eastAsia="de-DE"/>
        </w:rPr>
        <w:t>והנפש האכלת ממנו עונה תשא</w:t>
      </w:r>
      <w:r w:rsidRPr="00971D84">
        <w:rPr>
          <w:rFonts w:eastAsia="Times New Roman" w:cs="Times New Roman"/>
          <w:rtl/>
          <w:lang w:eastAsia="de-DE"/>
        </w:rPr>
        <w:t xml:space="preserve"> </w:t>
      </w:r>
      <w:r w:rsidRPr="00971D84">
        <w:rPr>
          <w:rFonts w:eastAsia="Times New Roman" w:cs="Times New Roman"/>
          <w:lang w:eastAsia="de-DE"/>
        </w:rPr>
        <w:t>(und die Seele, die davon isst, wird ihre Schuld tragen).</w:t>
      </w:r>
    </w:p>
    <w:p w14:paraId="18F0A7A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האכל יאכל</w:t>
      </w:r>
      <w:r w:rsidRPr="00971D84">
        <w:rPr>
          <w:rFonts w:eastAsia="Times New Roman" w:cs="Times New Roman"/>
          <w:rtl/>
          <w:lang w:eastAsia="de-DE"/>
        </w:rPr>
        <w:t xml:space="preserve"> </w:t>
      </w:r>
      <w:r w:rsidRPr="00971D84">
        <w:rPr>
          <w:rFonts w:eastAsia="Times New Roman" w:cs="Times New Roman"/>
          <w:lang w:eastAsia="de-DE"/>
        </w:rPr>
        <w:t xml:space="preserve">(gegessen, gegessen wird) betont die Schwere der Übertretung durch verstärkende Konstruktion. </w:t>
      </w:r>
      <w:r w:rsidRPr="00971D84">
        <w:rPr>
          <w:rFonts w:eastAsia="Times New Roman" w:cs="Times New Roman"/>
          <w:b/>
          <w:bCs/>
          <w:rtl/>
          <w:lang w:eastAsia="de-DE"/>
        </w:rPr>
        <w:t>לא ירצה...לא יחשב לו</w:t>
      </w:r>
      <w:r w:rsidRPr="00971D84">
        <w:rPr>
          <w:rFonts w:eastAsia="Times New Roman" w:cs="Times New Roman"/>
          <w:rtl/>
          <w:lang w:eastAsia="de-DE"/>
        </w:rPr>
        <w:t xml:space="preserve"> </w:t>
      </w:r>
      <w:r w:rsidRPr="00971D84">
        <w:rPr>
          <w:rFonts w:eastAsia="Times New Roman" w:cs="Times New Roman"/>
          <w:lang w:eastAsia="de-DE"/>
        </w:rPr>
        <w:t xml:space="preserve">zeigt, dass das gesamte Opfer ungültig wird. </w:t>
      </w:r>
      <w:r w:rsidRPr="00971D84">
        <w:rPr>
          <w:rFonts w:eastAsia="Times New Roman" w:cs="Times New Roman"/>
          <w:b/>
          <w:bCs/>
          <w:rtl/>
          <w:lang w:eastAsia="de-DE"/>
        </w:rPr>
        <w:t>פגול</w:t>
      </w:r>
      <w:r w:rsidRPr="00971D84">
        <w:rPr>
          <w:rFonts w:eastAsia="Times New Roman" w:cs="Times New Roman"/>
          <w:rtl/>
          <w:lang w:eastAsia="de-DE"/>
        </w:rPr>
        <w:t xml:space="preserve"> </w:t>
      </w:r>
      <w:r w:rsidRPr="00971D84">
        <w:rPr>
          <w:rFonts w:eastAsia="Times New Roman" w:cs="Times New Roman"/>
          <w:lang w:eastAsia="de-DE"/>
        </w:rPr>
        <w:t>(Gräuel) ist terminus technicus für verdorbenes/verspätetes Opferfleisch.</w:t>
      </w:r>
    </w:p>
    <w:p w14:paraId="635C7EC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והנפש האכלת ממנו עונה תשא</w:t>
      </w:r>
      <w:r w:rsidRPr="00971D84">
        <w:rPr>
          <w:rFonts w:eastAsia="Times New Roman" w:cs="Times New Roman"/>
          <w:rtl/>
          <w:lang w:eastAsia="de-DE"/>
        </w:rPr>
        <w:t xml:space="preserve"> </w:t>
      </w:r>
      <w:r w:rsidRPr="00971D84">
        <w:rPr>
          <w:rFonts w:eastAsia="Times New Roman" w:cs="Times New Roman"/>
          <w:lang w:eastAsia="de-DE"/>
        </w:rPr>
        <w:t xml:space="preserve">(und die Seele, die davon isst, wird ihre Schuld tragen) zeigt individuelle Verantwortung für den Verzehr von </w:t>
      </w:r>
      <w:r w:rsidRPr="00971D84">
        <w:rPr>
          <w:rFonts w:eastAsia="Times New Roman" w:cs="Times New Roman"/>
          <w:b/>
          <w:bCs/>
          <w:rtl/>
          <w:lang w:eastAsia="de-DE"/>
        </w:rPr>
        <w:t>פגול</w:t>
      </w:r>
      <w:r w:rsidRPr="00971D84">
        <w:rPr>
          <w:rFonts w:eastAsia="Times New Roman" w:cs="Times New Roman"/>
          <w:lang w:eastAsia="de-DE"/>
        </w:rPr>
        <w:t>.</w:t>
      </w:r>
    </w:p>
    <w:p w14:paraId="6A4D74A7" w14:textId="77777777" w:rsidR="00507F60" w:rsidRDefault="00507F60" w:rsidP="00971D84">
      <w:pPr>
        <w:spacing w:before="100" w:beforeAutospacing="1" w:after="100" w:afterAutospacing="1" w:line="240" w:lineRule="auto"/>
      </w:pPr>
      <w:r>
        <w:rPr>
          <w:rStyle w:val="Fett"/>
        </w:rPr>
        <w:t>Vers 18 (MT=8 LXX)</w:t>
      </w:r>
      <w:r>
        <w:t xml:space="preserve">: </w:t>
      </w:r>
      <w:r>
        <w:rPr>
          <w:rStyle w:val="Fett"/>
        </w:rPr>
        <w:t>Die LXX</w:t>
      </w:r>
      <w:r>
        <w:t xml:space="preserve"> übersetzt </w:t>
      </w:r>
      <w:r>
        <w:rPr>
          <w:rtl/>
        </w:rPr>
        <w:t>פגול</w:t>
      </w:r>
      <w:r>
        <w:t xml:space="preserve"> (</w:t>
      </w:r>
      <w:proofErr w:type="spellStart"/>
      <w:r>
        <w:t>piggul</w:t>
      </w:r>
      <w:proofErr w:type="spellEnd"/>
      <w:r>
        <w:t xml:space="preserve"> - "Verwerfliches") als </w:t>
      </w:r>
      <w:proofErr w:type="spellStart"/>
      <w:r>
        <w:t>μί</w:t>
      </w:r>
      <w:proofErr w:type="spellEnd"/>
      <w:r>
        <w:t>ασμα (Befleckung), was eine stärkere Reinheitskonnotation hat.</w:t>
      </w:r>
    </w:p>
    <w:p w14:paraId="11B8BE89" w14:textId="1AC3F2FC"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komplexe Konsequenzenregelung: verstärkter Konditionalsatz + drei koordinierte negative Konsequenzen + Schuldzuweisung. Die Struktur betont die Schwere der </w:t>
      </w:r>
      <w:r w:rsidRPr="00971D84">
        <w:rPr>
          <w:rFonts w:eastAsia="Times New Roman" w:cs="Times New Roman"/>
          <w:b/>
          <w:bCs/>
          <w:rtl/>
          <w:lang w:eastAsia="de-DE"/>
        </w:rPr>
        <w:t>פגול</w:t>
      </w:r>
      <w:r w:rsidRPr="00971D84">
        <w:rPr>
          <w:rFonts w:eastAsia="Times New Roman" w:cs="Times New Roman"/>
          <w:lang w:eastAsia="de-DE"/>
        </w:rPr>
        <w:t>-Übertretung.</w:t>
      </w:r>
    </w:p>
    <w:p w14:paraId="777242B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w:t>
      </w:r>
      <w:r w:rsidRPr="00971D84">
        <w:rPr>
          <w:rFonts w:eastAsia="Times New Roman" w:cs="Times New Roman"/>
          <w:b/>
          <w:bCs/>
          <w:rtl/>
          <w:lang w:eastAsia="de-DE"/>
        </w:rPr>
        <w:t>פגול</w:t>
      </w:r>
      <w:r w:rsidRPr="00971D84">
        <w:rPr>
          <w:rFonts w:eastAsia="Times New Roman" w:cs="Times New Roman"/>
          <w:rtl/>
          <w:lang w:eastAsia="de-DE"/>
        </w:rPr>
        <w:t xml:space="preserve"> </w:t>
      </w:r>
      <w:r w:rsidRPr="00971D84">
        <w:rPr>
          <w:rFonts w:eastAsia="Times New Roman" w:cs="Times New Roman"/>
          <w:lang w:eastAsia="de-DE"/>
        </w:rPr>
        <w:t>(Gräuel) als Konzept für verspäteten Opferverzehr mit schweren rituellen und individuellen Konsequenzen.</w:t>
      </w:r>
    </w:p>
    <w:p w14:paraId="75775CF8"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7,19</w:t>
      </w:r>
    </w:p>
    <w:p w14:paraId="7F36904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Hebräisch:</w:t>
      </w:r>
      <w:r w:rsidRPr="00971D84">
        <w:rPr>
          <w:rFonts w:eastAsia="Times New Roman" w:cs="Times New Roman"/>
          <w:lang w:eastAsia="de-DE"/>
        </w:rPr>
        <w:t xml:space="preserve"> </w:t>
      </w:r>
      <w:r w:rsidRPr="00971D84">
        <w:rPr>
          <w:rFonts w:eastAsia="Times New Roman" w:cs="Times New Roman"/>
          <w:rtl/>
          <w:lang w:eastAsia="de-DE"/>
        </w:rPr>
        <w:t>וְהַבָּשָׂ֞ר אֲשֶׁר־יִגַּ֤ע בְּכָל־טָמֵא֙ לֹ֣א יֵֽאָכֵ֔ל בָּאֵ֖שׁ יִשָּׂרֵ֑ף וְהַ֨בָּשָׂ֔ר כָּל־טָה֖וֹר יֹאכַ֥ל בָּשָֽׂר׃</w:t>
      </w:r>
    </w:p>
    <w:p w14:paraId="6B4ABDB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das Fleisch, das irgendetwas Unreines berührt, soll nicht gegessen werden; mit Feuer soll es verbrannt werden. Und was das Fleisch betrifft, jeder Reine darf das Fleisch essen;</w:t>
      </w:r>
    </w:p>
    <w:p w14:paraId="2D5C733D"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243B19A2">
          <v:rect id="_x0000_i1177" style="width:0;height:1.5pt" o:hralign="center" o:hrstd="t" o:hr="t" fillcolor="#a0a0a0" stroked="f"/>
        </w:pict>
      </w:r>
    </w:p>
    <w:p w14:paraId="4EBDC4B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וְהַבָּשָׂ֞ר אֲשֶׁר־יִגַּ֤ע בְּכָל־טָמֵא֙ לֹ֣א יֵֽאָכֵ֔ל בָּאֵ֖שׁ יִשָּׂרֵ֑ף</w:t>
      </w:r>
      <w:r w:rsidRPr="00971D84">
        <w:rPr>
          <w:rFonts w:eastAsia="Times New Roman" w:cs="Times New Roman"/>
          <w:rtl/>
          <w:lang w:eastAsia="de-DE"/>
        </w:rPr>
        <w:t xml:space="preserve"> </w:t>
      </w:r>
      <w:r w:rsidRPr="00971D84">
        <w:rPr>
          <w:rFonts w:eastAsia="Times New Roman" w:cs="Times New Roman"/>
          <w:lang w:eastAsia="de-DE"/>
        </w:rPr>
        <w:t xml:space="preserve">(und das Fleisch, das irgendetwas Unreines berührt, soll nicht gegessen werden; mit Feuer soll es verbrannt werden) regelt kontaminiertes Fleisch. </w:t>
      </w:r>
      <w:r w:rsidRPr="00971D84">
        <w:rPr>
          <w:rFonts w:eastAsia="Times New Roman" w:cs="Times New Roman"/>
          <w:b/>
          <w:bCs/>
          <w:rtl/>
          <w:lang w:eastAsia="de-DE"/>
        </w:rPr>
        <w:t>והבשר אשר־יגע בכל־טמא</w:t>
      </w:r>
      <w:r w:rsidRPr="00971D84">
        <w:rPr>
          <w:rFonts w:eastAsia="Times New Roman" w:cs="Times New Roman"/>
          <w:rtl/>
          <w:lang w:eastAsia="de-DE"/>
        </w:rPr>
        <w:t xml:space="preserve"> </w:t>
      </w:r>
      <w:r w:rsidRPr="00971D84">
        <w:rPr>
          <w:rFonts w:eastAsia="Times New Roman" w:cs="Times New Roman"/>
          <w:lang w:eastAsia="de-DE"/>
        </w:rPr>
        <w:t xml:space="preserve">(und das Fleisch, das irgendetwas Unreines berührt), </w:t>
      </w:r>
      <w:r w:rsidRPr="00971D84">
        <w:rPr>
          <w:rFonts w:eastAsia="Times New Roman" w:cs="Times New Roman"/>
          <w:b/>
          <w:bCs/>
          <w:rtl/>
          <w:lang w:eastAsia="de-DE"/>
        </w:rPr>
        <w:t>לא יאכל באש ישרף</w:t>
      </w:r>
      <w:r w:rsidRPr="00971D84">
        <w:rPr>
          <w:rFonts w:eastAsia="Times New Roman" w:cs="Times New Roman"/>
          <w:rtl/>
          <w:lang w:eastAsia="de-DE"/>
        </w:rPr>
        <w:t xml:space="preserve"> </w:t>
      </w:r>
      <w:r w:rsidRPr="00971D84">
        <w:rPr>
          <w:rFonts w:eastAsia="Times New Roman" w:cs="Times New Roman"/>
          <w:lang w:eastAsia="de-DE"/>
        </w:rPr>
        <w:t>(soll nicht gegessen werden; mit Feuer soll es verbrannt werden).</w:t>
      </w:r>
    </w:p>
    <w:p w14:paraId="612FE33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וְהַ֨בָּשָׂ֔ר כָּל־טָה֖וֹר יֹאכַ֥ל בָּשָֽׂר</w:t>
      </w:r>
      <w:r w:rsidRPr="00971D84">
        <w:rPr>
          <w:rFonts w:eastAsia="Times New Roman" w:cs="Times New Roman"/>
          <w:rtl/>
          <w:lang w:eastAsia="de-DE"/>
        </w:rPr>
        <w:t xml:space="preserve"> </w:t>
      </w:r>
      <w:r w:rsidRPr="00971D84">
        <w:rPr>
          <w:rFonts w:eastAsia="Times New Roman" w:cs="Times New Roman"/>
          <w:lang w:eastAsia="de-DE"/>
        </w:rPr>
        <w:t xml:space="preserve">(und das Fleisch, jeder Reine darf das Fleisch essen) zeigt die positive Regel. </w:t>
      </w:r>
      <w:r w:rsidRPr="00971D84">
        <w:rPr>
          <w:rFonts w:eastAsia="Times New Roman" w:cs="Times New Roman"/>
          <w:b/>
          <w:bCs/>
          <w:rtl/>
          <w:lang w:eastAsia="de-DE"/>
        </w:rPr>
        <w:t>והבשר כל־טהור יאכל בשר</w:t>
      </w:r>
      <w:r w:rsidRPr="00971D84">
        <w:rPr>
          <w:rFonts w:eastAsia="Times New Roman" w:cs="Times New Roman"/>
          <w:rtl/>
          <w:lang w:eastAsia="de-DE"/>
        </w:rPr>
        <w:t xml:space="preserve"> </w:t>
      </w:r>
      <w:r w:rsidRPr="00971D84">
        <w:rPr>
          <w:rFonts w:eastAsia="Times New Roman" w:cs="Times New Roman"/>
          <w:lang w:eastAsia="de-DE"/>
        </w:rPr>
        <w:t xml:space="preserve">(und das Fleisch, jeder Reine darf das Fleisch essen) mit emphatischer Wiederholung von </w:t>
      </w:r>
      <w:r w:rsidRPr="00971D84">
        <w:rPr>
          <w:rFonts w:eastAsia="Times New Roman" w:cs="Times New Roman"/>
          <w:b/>
          <w:bCs/>
          <w:rtl/>
          <w:lang w:eastAsia="de-DE"/>
        </w:rPr>
        <w:t>בשר</w:t>
      </w:r>
      <w:r w:rsidRPr="00971D84">
        <w:rPr>
          <w:rFonts w:eastAsia="Times New Roman" w:cs="Times New Roman"/>
          <w:lang w:eastAsia="de-DE"/>
        </w:rPr>
        <w:t>.</w:t>
      </w:r>
    </w:p>
    <w:p w14:paraId="052B92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אשר־יגע בכל־טמא</w:t>
      </w:r>
      <w:r w:rsidRPr="00971D84">
        <w:rPr>
          <w:rFonts w:eastAsia="Times New Roman" w:cs="Times New Roman"/>
          <w:rtl/>
          <w:lang w:eastAsia="de-DE"/>
        </w:rPr>
        <w:t xml:space="preserve"> </w:t>
      </w:r>
      <w:r w:rsidRPr="00971D84">
        <w:rPr>
          <w:rFonts w:eastAsia="Times New Roman" w:cs="Times New Roman"/>
          <w:lang w:eastAsia="de-DE"/>
        </w:rPr>
        <w:t xml:space="preserve">(das irgendetwas Unreines berührt) zeigt die </w:t>
      </w:r>
      <w:r w:rsidRPr="00971D84">
        <w:rPr>
          <w:rFonts w:eastAsia="Times New Roman" w:cs="Times New Roman"/>
          <w:b/>
          <w:bCs/>
          <w:rtl/>
          <w:lang w:eastAsia="de-DE"/>
        </w:rPr>
        <w:t>טמאה</w:t>
      </w:r>
      <w:r w:rsidRPr="00971D84">
        <w:rPr>
          <w:rFonts w:eastAsia="Times New Roman" w:cs="Times New Roman"/>
          <w:lang w:eastAsia="de-DE"/>
        </w:rPr>
        <w:t xml:space="preserve">-Übertragung durch Berührung. </w:t>
      </w:r>
      <w:r w:rsidRPr="00971D84">
        <w:rPr>
          <w:rFonts w:eastAsia="Times New Roman" w:cs="Times New Roman"/>
          <w:b/>
          <w:bCs/>
          <w:rtl/>
          <w:lang w:eastAsia="de-DE"/>
        </w:rPr>
        <w:t>באש ישרף</w:t>
      </w:r>
      <w:r w:rsidRPr="00971D84">
        <w:rPr>
          <w:rFonts w:eastAsia="Times New Roman" w:cs="Times New Roman"/>
          <w:rtl/>
          <w:lang w:eastAsia="de-DE"/>
        </w:rPr>
        <w:t xml:space="preserve"> </w:t>
      </w:r>
      <w:r w:rsidRPr="00971D84">
        <w:rPr>
          <w:rFonts w:eastAsia="Times New Roman" w:cs="Times New Roman"/>
          <w:lang w:eastAsia="de-DE"/>
        </w:rPr>
        <w:t>(mit Feuer soll es verbrannt werden) entspricht V. 17 für verdorbenes Fleisch.</w:t>
      </w:r>
    </w:p>
    <w:p w14:paraId="7398D3C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כל־טהור יאכל בשר</w:t>
      </w:r>
      <w:r w:rsidRPr="00971D84">
        <w:rPr>
          <w:rFonts w:eastAsia="Times New Roman" w:cs="Times New Roman"/>
          <w:rtl/>
          <w:lang w:eastAsia="de-DE"/>
        </w:rPr>
        <w:t xml:space="preserve"> </w:t>
      </w:r>
      <w:r w:rsidRPr="00971D84">
        <w:rPr>
          <w:rFonts w:eastAsia="Times New Roman" w:cs="Times New Roman"/>
          <w:lang w:eastAsia="de-DE"/>
        </w:rPr>
        <w:t xml:space="preserve">(jeder Reine darf das Fleisch essen) mit </w:t>
      </w:r>
      <w:r w:rsidRPr="00971D84">
        <w:rPr>
          <w:rFonts w:eastAsia="Times New Roman" w:cs="Times New Roman"/>
          <w:b/>
          <w:bCs/>
          <w:rtl/>
          <w:lang w:eastAsia="de-DE"/>
        </w:rPr>
        <w:t>טהור</w:t>
      </w:r>
      <w:r w:rsidRPr="00971D84">
        <w:rPr>
          <w:rFonts w:eastAsia="Times New Roman" w:cs="Times New Roman"/>
          <w:rtl/>
          <w:lang w:eastAsia="de-DE"/>
        </w:rPr>
        <w:t xml:space="preserve"> </w:t>
      </w:r>
      <w:r w:rsidRPr="00971D84">
        <w:rPr>
          <w:rFonts w:eastAsia="Times New Roman" w:cs="Times New Roman"/>
          <w:lang w:eastAsia="de-DE"/>
        </w:rPr>
        <w:t xml:space="preserve">(rein) als rituelle Reinheit. Die Wiederholung </w:t>
      </w:r>
      <w:r w:rsidRPr="00971D84">
        <w:rPr>
          <w:rFonts w:eastAsia="Times New Roman" w:cs="Times New Roman"/>
          <w:b/>
          <w:bCs/>
          <w:rtl/>
          <w:lang w:eastAsia="de-DE"/>
        </w:rPr>
        <w:t>והבשר...בשר</w:t>
      </w:r>
      <w:r w:rsidRPr="00971D84">
        <w:rPr>
          <w:rFonts w:eastAsia="Times New Roman" w:cs="Times New Roman"/>
          <w:rtl/>
          <w:lang w:eastAsia="de-DE"/>
        </w:rPr>
        <w:t xml:space="preserve"> </w:t>
      </w:r>
      <w:r w:rsidRPr="00971D84">
        <w:rPr>
          <w:rFonts w:eastAsia="Times New Roman" w:cs="Times New Roman"/>
          <w:lang w:eastAsia="de-DE"/>
        </w:rPr>
        <w:t>betont die Fleischthematik.</w:t>
      </w:r>
    </w:p>
    <w:p w14:paraId="12B7F084" w14:textId="77777777" w:rsidR="00507F60" w:rsidRDefault="00507F60" w:rsidP="00971D84">
      <w:pPr>
        <w:spacing w:before="100" w:beforeAutospacing="1" w:after="100" w:afterAutospacing="1" w:line="240" w:lineRule="auto"/>
      </w:pPr>
      <w:r>
        <w:rPr>
          <w:rStyle w:val="Fett"/>
        </w:rPr>
        <w:t>Vers 20 (MT=10 LXX)</w:t>
      </w:r>
      <w:r>
        <w:t xml:space="preserve">: </w:t>
      </w:r>
      <w:r>
        <w:rPr>
          <w:rStyle w:val="Fett"/>
        </w:rPr>
        <w:t>Die LXX</w:t>
      </w:r>
      <w:r>
        <w:t xml:space="preserve"> übersetzt </w:t>
      </w:r>
      <w:r>
        <w:rPr>
          <w:rtl/>
        </w:rPr>
        <w:t>ונכרתה</w:t>
      </w:r>
      <w:r>
        <w:t xml:space="preserve"> (</w:t>
      </w:r>
      <w:proofErr w:type="spellStart"/>
      <w:r>
        <w:t>wenichreta</w:t>
      </w:r>
      <w:proofErr w:type="spellEnd"/>
      <w:r>
        <w:t xml:space="preserve"> - "und sie wird ausgerottet") als ἀπ</w:t>
      </w:r>
      <w:proofErr w:type="spellStart"/>
      <w:r>
        <w:t>ολεῖτ</w:t>
      </w:r>
      <w:proofErr w:type="spellEnd"/>
      <w:r>
        <w:t>αι (sie wird vernichtet), was eine ähnliche, aber nuanciert verschiedene Strafterminologie verwendet.</w:t>
      </w:r>
    </w:p>
    <w:p w14:paraId="641E4A74" w14:textId="57F2A52F"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kontrastierende Reinheitsbestimmungen: Subjekt mit Relativsatz + negative Bestimmung + Entsorgungsanweisung // kontrastierendes Subjekt + positive Bestimmung. Die Struktur kontrastiert </w:t>
      </w:r>
      <w:r w:rsidRPr="00971D84">
        <w:rPr>
          <w:rFonts w:eastAsia="Times New Roman" w:cs="Times New Roman"/>
          <w:b/>
          <w:bCs/>
          <w:rtl/>
          <w:lang w:eastAsia="de-DE"/>
        </w:rPr>
        <w:t>טמא</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טהור</w:t>
      </w:r>
      <w:r w:rsidRPr="00971D84">
        <w:rPr>
          <w:rFonts w:eastAsia="Times New Roman" w:cs="Times New Roman"/>
          <w:lang w:eastAsia="de-DE"/>
        </w:rPr>
        <w:t>.</w:t>
      </w:r>
    </w:p>
    <w:p w14:paraId="791B247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Reinheitsbestimmungen für </w:t>
      </w:r>
      <w:r w:rsidRPr="00971D84">
        <w:rPr>
          <w:rFonts w:eastAsia="Times New Roman" w:cs="Times New Roman"/>
          <w:b/>
          <w:bCs/>
          <w:rtl/>
          <w:lang w:eastAsia="de-DE"/>
        </w:rPr>
        <w:t>שלמים</w:t>
      </w:r>
      <w:r w:rsidRPr="00971D84">
        <w:rPr>
          <w:rFonts w:eastAsia="Times New Roman" w:cs="Times New Roman"/>
          <w:lang w:eastAsia="de-DE"/>
        </w:rPr>
        <w:t>-Fleisch: kontaminiertes Fleisch wird verbrannt, reines darf von rituell Reinen gegessen werden.</w:t>
      </w:r>
    </w:p>
    <w:p w14:paraId="21540C9B"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7,20</w:t>
      </w:r>
    </w:p>
    <w:p w14:paraId="3074628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וְהַנֶּ֜פֶשׁ אֲשֶׁר־תֹּאכַ֣ל בָּשָׂ֗ר מִזֶּ֤בַח הַשְּׁלָמִים֙ אֲשֶׁ֣ר לַיהוָ֔ה וְטֻמְאָתוֹ֖ עָלָ֑יו וְנִכְרְתָ֛ה הַנֶּ֥פֶשׁ הַהִ֖וא מֵעַמֶּֽיהָ׃</w:t>
      </w:r>
    </w:p>
    <w:p w14:paraId="7BF40B0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aber die Seele, die Fleisch vom Friedensopfer isst, das dem Ewigen gehört, und ihre Unreinheit ist an ihr, selbige Seele soll aus ihren Volksgenossen ausgerottet werden.</w:t>
      </w:r>
    </w:p>
    <w:p w14:paraId="5C57609C"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0A531793">
          <v:rect id="_x0000_i1178" style="width:0;height:1.5pt" o:hralign="center" o:hrstd="t" o:hr="t" fillcolor="#a0a0a0" stroked="f"/>
        </w:pict>
      </w:r>
    </w:p>
    <w:p w14:paraId="1F22178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וְהַנֶּ֜פֶשׁ אֲשֶׁר־תֹּאכַ֣ל בָּשָׂ֗ר מִזֶּ֤בַח הַשְּׁלָמִים֙ אֲשֶׁ֣ר לַיהוָ֔ה</w:t>
      </w:r>
      <w:r w:rsidRPr="00971D84">
        <w:rPr>
          <w:rFonts w:eastAsia="Times New Roman" w:cs="Times New Roman"/>
          <w:rtl/>
          <w:lang w:eastAsia="de-DE"/>
        </w:rPr>
        <w:t xml:space="preserve"> </w:t>
      </w:r>
      <w:r w:rsidRPr="00971D84">
        <w:rPr>
          <w:rFonts w:eastAsia="Times New Roman" w:cs="Times New Roman"/>
          <w:lang w:eastAsia="de-DE"/>
        </w:rPr>
        <w:t xml:space="preserve">(aber die Seele, die Fleisch vom Friedensopfer isst, das JHWH gehört) zeigt den schweren Fall. </w:t>
      </w:r>
      <w:r w:rsidRPr="00971D84">
        <w:rPr>
          <w:rFonts w:eastAsia="Times New Roman" w:cs="Times New Roman"/>
          <w:b/>
          <w:bCs/>
          <w:rtl/>
          <w:lang w:eastAsia="de-DE"/>
        </w:rPr>
        <w:t>והנפש אשר־תאכל בשר מזבח השלמים אשר ליהוה</w:t>
      </w:r>
      <w:r w:rsidRPr="00971D84">
        <w:rPr>
          <w:rFonts w:eastAsia="Times New Roman" w:cs="Times New Roman"/>
          <w:rtl/>
          <w:lang w:eastAsia="de-DE"/>
        </w:rPr>
        <w:t xml:space="preserve"> </w:t>
      </w:r>
      <w:r w:rsidRPr="00971D84">
        <w:rPr>
          <w:rFonts w:eastAsia="Times New Roman" w:cs="Times New Roman"/>
          <w:lang w:eastAsia="de-DE"/>
        </w:rPr>
        <w:t>(aber die Seele, die Fleisch vom Friedensopfer isst, das JHWH gehört).</w:t>
      </w:r>
    </w:p>
    <w:p w14:paraId="79ECEA6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וְטֻמְאָתוֹ֖ עָלָ֑יו</w:t>
      </w:r>
      <w:r w:rsidRPr="00971D84">
        <w:rPr>
          <w:rFonts w:eastAsia="Times New Roman" w:cs="Times New Roman"/>
          <w:rtl/>
          <w:lang w:eastAsia="de-DE"/>
        </w:rPr>
        <w:t xml:space="preserve"> </w:t>
      </w:r>
      <w:r w:rsidRPr="00971D84">
        <w:rPr>
          <w:rFonts w:eastAsia="Times New Roman" w:cs="Times New Roman"/>
          <w:lang w:eastAsia="de-DE"/>
        </w:rPr>
        <w:t xml:space="preserve">(und ihre Unreinheit ist an ihr) spezifiziert die Bedingung. </w:t>
      </w:r>
      <w:r w:rsidRPr="00971D84">
        <w:rPr>
          <w:rFonts w:eastAsia="Times New Roman" w:cs="Times New Roman"/>
          <w:b/>
          <w:bCs/>
          <w:rtl/>
          <w:lang w:eastAsia="de-DE"/>
        </w:rPr>
        <w:t>וטמאתו עליו</w:t>
      </w:r>
      <w:r w:rsidRPr="00971D84">
        <w:rPr>
          <w:rFonts w:eastAsia="Times New Roman" w:cs="Times New Roman"/>
          <w:rtl/>
          <w:lang w:eastAsia="de-DE"/>
        </w:rPr>
        <w:t xml:space="preserve"> </w:t>
      </w:r>
      <w:r w:rsidRPr="00971D84">
        <w:rPr>
          <w:rFonts w:eastAsia="Times New Roman" w:cs="Times New Roman"/>
          <w:lang w:eastAsia="de-DE"/>
        </w:rPr>
        <w:t xml:space="preserve">(und ihre Unreinheit ist an ihr) mit </w:t>
      </w:r>
      <w:r w:rsidRPr="00971D84">
        <w:rPr>
          <w:rFonts w:eastAsia="Times New Roman" w:cs="Times New Roman"/>
          <w:b/>
          <w:bCs/>
          <w:rtl/>
          <w:lang w:eastAsia="de-DE"/>
        </w:rPr>
        <w:t>טמאה</w:t>
      </w:r>
      <w:r w:rsidRPr="00971D84">
        <w:rPr>
          <w:rFonts w:eastAsia="Times New Roman" w:cs="Times New Roman"/>
          <w:rtl/>
          <w:lang w:eastAsia="de-DE"/>
        </w:rPr>
        <w:t xml:space="preserve"> </w:t>
      </w:r>
      <w:r w:rsidRPr="00971D84">
        <w:rPr>
          <w:rFonts w:eastAsia="Times New Roman" w:cs="Times New Roman"/>
          <w:lang w:eastAsia="de-DE"/>
        </w:rPr>
        <w:t>(Unreinheit) als ritueller Zustand.</w:t>
      </w:r>
    </w:p>
    <w:p w14:paraId="10EA891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 xml:space="preserve">(und jene Seele soll aus ihren Volksgenossen ausgerottet werden) zeigt die </w:t>
      </w:r>
      <w:r w:rsidRPr="00971D84">
        <w:rPr>
          <w:rFonts w:eastAsia="Times New Roman" w:cs="Times New Roman"/>
          <w:b/>
          <w:bCs/>
          <w:rtl/>
          <w:lang w:eastAsia="de-DE"/>
        </w:rPr>
        <w:t>כרת</w:t>
      </w:r>
      <w:r w:rsidRPr="00971D84">
        <w:rPr>
          <w:rFonts w:eastAsia="Times New Roman" w:cs="Times New Roman"/>
          <w:lang w:eastAsia="de-DE"/>
        </w:rPr>
        <w:t xml:space="preserve">-Strafe. </w:t>
      </w:r>
      <w:r w:rsidRPr="00971D84">
        <w:rPr>
          <w:rFonts w:eastAsia="Times New Roman" w:cs="Times New Roman"/>
          <w:b/>
          <w:bCs/>
          <w:rtl/>
          <w:lang w:eastAsia="de-DE"/>
        </w:rPr>
        <w:t>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 xml:space="preserve">(und jene Seele soll aus ihren Volksgenossen ausgerottet werden) von </w:t>
      </w:r>
      <w:r w:rsidRPr="00971D84">
        <w:rPr>
          <w:rFonts w:eastAsia="Times New Roman" w:cs="Times New Roman"/>
          <w:b/>
          <w:bCs/>
          <w:rtl/>
          <w:lang w:eastAsia="de-DE"/>
        </w:rPr>
        <w:t>כרת</w:t>
      </w:r>
      <w:r w:rsidRPr="00971D84">
        <w:rPr>
          <w:rFonts w:eastAsia="Times New Roman" w:cs="Times New Roman"/>
          <w:rtl/>
          <w:lang w:eastAsia="de-DE"/>
        </w:rPr>
        <w:t xml:space="preserve"> </w:t>
      </w:r>
      <w:r w:rsidRPr="00971D84">
        <w:rPr>
          <w:rFonts w:eastAsia="Times New Roman" w:cs="Times New Roman"/>
          <w:lang w:eastAsia="de-DE"/>
        </w:rPr>
        <w:t>(ausrotten/abschneiden).</w:t>
      </w:r>
    </w:p>
    <w:p w14:paraId="109A902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אשר ליהוה</w:t>
      </w:r>
      <w:r w:rsidRPr="00971D84">
        <w:rPr>
          <w:rFonts w:eastAsia="Times New Roman" w:cs="Times New Roman"/>
          <w:rtl/>
          <w:lang w:eastAsia="de-DE"/>
        </w:rPr>
        <w:t xml:space="preserve"> </w:t>
      </w:r>
      <w:r w:rsidRPr="00971D84">
        <w:rPr>
          <w:rFonts w:eastAsia="Times New Roman" w:cs="Times New Roman"/>
          <w:lang w:eastAsia="de-DE"/>
        </w:rPr>
        <w:t xml:space="preserve">(das JHWH gehört) betont die sakrale Natur des </w:t>
      </w:r>
      <w:r w:rsidRPr="00971D84">
        <w:rPr>
          <w:rFonts w:eastAsia="Times New Roman" w:cs="Times New Roman"/>
          <w:b/>
          <w:bCs/>
          <w:rtl/>
          <w:lang w:eastAsia="de-DE"/>
        </w:rPr>
        <w:t>שלמים</w:t>
      </w:r>
      <w:r w:rsidRPr="00971D84">
        <w:rPr>
          <w:rFonts w:eastAsia="Times New Roman" w:cs="Times New Roman"/>
          <w:lang w:eastAsia="de-DE"/>
        </w:rPr>
        <w:t xml:space="preserve">-Fleisches. </w:t>
      </w:r>
      <w:r w:rsidRPr="00971D84">
        <w:rPr>
          <w:rFonts w:eastAsia="Times New Roman" w:cs="Times New Roman"/>
          <w:b/>
          <w:bCs/>
          <w:rtl/>
          <w:lang w:eastAsia="de-DE"/>
        </w:rPr>
        <w:t>וטמאתו עליו</w:t>
      </w:r>
      <w:r w:rsidRPr="00971D84">
        <w:rPr>
          <w:rFonts w:eastAsia="Times New Roman" w:cs="Times New Roman"/>
          <w:rtl/>
          <w:lang w:eastAsia="de-DE"/>
        </w:rPr>
        <w:t xml:space="preserve"> </w:t>
      </w:r>
      <w:r w:rsidRPr="00971D84">
        <w:rPr>
          <w:rFonts w:eastAsia="Times New Roman" w:cs="Times New Roman"/>
          <w:lang w:eastAsia="de-DE"/>
        </w:rPr>
        <w:t xml:space="preserve">(und ihre Unreinheit ist an ihr) zeigt rituell unreine Person. </w:t>
      </w:r>
      <w:r w:rsidRPr="00971D84">
        <w:rPr>
          <w:rFonts w:eastAsia="Times New Roman" w:cs="Times New Roman"/>
          <w:b/>
          <w:bCs/>
          <w:rtl/>
          <w:lang w:eastAsia="de-DE"/>
        </w:rPr>
        <w:t>כרת</w:t>
      </w:r>
      <w:r w:rsidRPr="00971D84">
        <w:rPr>
          <w:rFonts w:eastAsia="Times New Roman" w:cs="Times New Roman"/>
          <w:rtl/>
          <w:lang w:eastAsia="de-DE"/>
        </w:rPr>
        <w:t xml:space="preserve"> </w:t>
      </w:r>
      <w:r w:rsidRPr="00971D84">
        <w:rPr>
          <w:rFonts w:eastAsia="Times New Roman" w:cs="Times New Roman"/>
          <w:lang w:eastAsia="de-DE"/>
        </w:rPr>
        <w:t>(Ausrottung) ist die schwerste Strafe: göttliche Vernichtung oder Ausschluss.</w:t>
      </w:r>
    </w:p>
    <w:p w14:paraId="1497E1C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וְטֻמְאָתוֹ֖ עָלָ֑יו</w:t>
      </w:r>
      <w:r w:rsidRPr="00971D84">
        <w:rPr>
          <w:rFonts w:eastAsia="Times New Roman" w:cs="Times New Roman"/>
          <w:rtl/>
          <w:lang w:eastAsia="de-DE"/>
        </w:rPr>
        <w:t xml:space="preserve"> </w:t>
      </w:r>
      <w:r w:rsidRPr="00971D84">
        <w:rPr>
          <w:rFonts w:eastAsia="Times New Roman" w:cs="Times New Roman"/>
          <w:lang w:eastAsia="de-DE"/>
        </w:rPr>
        <w:t xml:space="preserve">mit καὶ ἡ </w:t>
      </w:r>
      <w:proofErr w:type="spellStart"/>
      <w:r w:rsidRPr="00971D84">
        <w:rPr>
          <w:rFonts w:eastAsia="Times New Roman" w:cs="Times New Roman"/>
          <w:lang w:eastAsia="de-DE"/>
        </w:rPr>
        <w:t>ἀκ</w:t>
      </w:r>
      <w:proofErr w:type="spellEnd"/>
      <w:r w:rsidRPr="00971D84">
        <w:rPr>
          <w:rFonts w:eastAsia="Times New Roman" w:cs="Times New Roman"/>
          <w:lang w:eastAsia="de-DE"/>
        </w:rPr>
        <w:t>αθαρσία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ἐπ' α</w:t>
      </w:r>
      <w:proofErr w:type="spellStart"/>
      <w:r w:rsidRPr="00971D84">
        <w:rPr>
          <w:rFonts w:eastAsia="Times New Roman" w:cs="Times New Roman"/>
          <w:lang w:eastAsia="de-DE"/>
        </w:rPr>
        <w:t>ὐτῷ</w:t>
      </w:r>
      <w:proofErr w:type="spellEnd"/>
      <w:r w:rsidRPr="00971D84">
        <w:rPr>
          <w:rFonts w:eastAsia="Times New Roman" w:cs="Times New Roman"/>
          <w:lang w:eastAsia="de-DE"/>
        </w:rPr>
        <w:t xml:space="preserve"> (und seine Unreinheit ist auf ihm) und </w:t>
      </w:r>
      <w:r w:rsidRPr="00971D84">
        <w:rPr>
          <w:rFonts w:eastAsia="Times New Roman" w:cs="Times New Roman"/>
          <w:b/>
          <w:bCs/>
          <w:rtl/>
          <w:lang w:eastAsia="de-DE"/>
        </w:rPr>
        <w:t>וְנִכְרְתָ֛ה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ἐξολεθρευθήσετ</w:t>
      </w:r>
      <w:proofErr w:type="spellEnd"/>
      <w:r w:rsidRPr="00971D84">
        <w:rPr>
          <w:rFonts w:eastAsia="Times New Roman" w:cs="Times New Roman"/>
          <w:lang w:eastAsia="de-DE"/>
        </w:rPr>
        <w:t>αι (soll vernichtet werden).</w:t>
      </w:r>
    </w:p>
    <w:p w14:paraId="21BCA9E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schweren Straftatbestand: komplexes Subjekt mit zwei Relativsätzen + Zustandsbeschreibung + </w:t>
      </w:r>
      <w:r w:rsidRPr="00971D84">
        <w:rPr>
          <w:rFonts w:eastAsia="Times New Roman" w:cs="Times New Roman"/>
          <w:b/>
          <w:bCs/>
          <w:rtl/>
          <w:lang w:eastAsia="de-DE"/>
        </w:rPr>
        <w:t>כרת</w:t>
      </w:r>
      <w:r w:rsidRPr="00971D84">
        <w:rPr>
          <w:rFonts w:eastAsia="Times New Roman" w:cs="Times New Roman"/>
          <w:lang w:eastAsia="de-DE"/>
        </w:rPr>
        <w:t>-Formel. Die Struktur betont die Schwere des Vergehens.</w:t>
      </w:r>
    </w:p>
    <w:p w14:paraId="5DCF591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w:t>
      </w:r>
      <w:r w:rsidRPr="00971D84">
        <w:rPr>
          <w:rFonts w:eastAsia="Times New Roman" w:cs="Times New Roman"/>
          <w:b/>
          <w:bCs/>
          <w:rtl/>
          <w:lang w:eastAsia="de-DE"/>
        </w:rPr>
        <w:t>כרת</w:t>
      </w:r>
      <w:r w:rsidRPr="00971D84">
        <w:rPr>
          <w:rFonts w:eastAsia="Times New Roman" w:cs="Times New Roman"/>
          <w:rtl/>
          <w:lang w:eastAsia="de-DE"/>
        </w:rPr>
        <w:t xml:space="preserve"> </w:t>
      </w:r>
      <w:r w:rsidRPr="00971D84">
        <w:rPr>
          <w:rFonts w:eastAsia="Times New Roman" w:cs="Times New Roman"/>
          <w:lang w:eastAsia="de-DE"/>
        </w:rPr>
        <w:t xml:space="preserve">(Ausrottung) als Strafe für rituell Unreine, die </w:t>
      </w:r>
      <w:r w:rsidRPr="00971D84">
        <w:rPr>
          <w:rFonts w:eastAsia="Times New Roman" w:cs="Times New Roman"/>
          <w:b/>
          <w:bCs/>
          <w:rtl/>
          <w:lang w:eastAsia="de-DE"/>
        </w:rPr>
        <w:t>שלמים</w:t>
      </w:r>
      <w:r w:rsidRPr="00971D84">
        <w:rPr>
          <w:rFonts w:eastAsia="Times New Roman" w:cs="Times New Roman"/>
          <w:lang w:eastAsia="de-DE"/>
        </w:rPr>
        <w:t>-Fleisch essen.</w:t>
      </w:r>
    </w:p>
    <w:p w14:paraId="76989998"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7,21</w:t>
      </w:r>
    </w:p>
    <w:p w14:paraId="574953C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וְנֶ֜פֶשׁ כִּֽי־תִגַּ֣ע בְּכָל־טָמֵ֗א בְּטֻמְאַ֤ת אָדָם֙ א֣וֹ׀ בִּבְהֵמָ֣ה טְמֵאָ֗ה א֚וֹ בְּכָל־שֶׁ֣קֶץ טָמֵ֔א וְאָכַ֛ל מִבְּשַׂר־זֶ֥בַח הַשְּׁלָמִ֖ים אֲשֶׁ֣ר לַיהוָ֑ה וְנִכְרְתָ֛ה הַנֶּ֥פֶשׁ הַהִ֖וא מֵעַמֶּֽיהָ׃</w:t>
      </w:r>
    </w:p>
    <w:p w14:paraId="3320DBC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wenn eine Seele irgendetwas Unreines anrührt, die Unreinheit eines Menschen oder ein unreines Vieh oder irgendein unreines Scheusal, und sie isst vom Fleisch des Friedensopfers, das dem Ewigen gehört: Selbige Seele soll aus ihren Volksgenossen ausgerottet werden.</w:t>
      </w:r>
    </w:p>
    <w:p w14:paraId="0E9C483F"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30BC0CF6">
          <v:rect id="_x0000_i1179" style="width:0;height:1.5pt" o:hralign="center" o:hrstd="t" o:hr="t" fillcolor="#a0a0a0" stroked="f"/>
        </w:pict>
      </w:r>
    </w:p>
    <w:p w14:paraId="1C8C626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וְנֶ֜פֶשׁ כִּֽי־תִגַּ֣ע בְּכָל־טָמֵ֗א</w:t>
      </w:r>
      <w:r w:rsidRPr="00971D84">
        <w:rPr>
          <w:rFonts w:eastAsia="Times New Roman" w:cs="Times New Roman"/>
          <w:rtl/>
          <w:lang w:eastAsia="de-DE"/>
        </w:rPr>
        <w:t xml:space="preserve"> </w:t>
      </w:r>
      <w:r w:rsidRPr="00971D84">
        <w:rPr>
          <w:rFonts w:eastAsia="Times New Roman" w:cs="Times New Roman"/>
          <w:lang w:eastAsia="de-DE"/>
        </w:rPr>
        <w:t xml:space="preserve">(und wenn eine Seele irgendetwas Unreines berührt) erweitert V. 20. </w:t>
      </w:r>
      <w:r w:rsidRPr="00971D84">
        <w:rPr>
          <w:rFonts w:eastAsia="Times New Roman" w:cs="Times New Roman"/>
          <w:b/>
          <w:bCs/>
          <w:rtl/>
          <w:lang w:eastAsia="de-DE"/>
        </w:rPr>
        <w:t>ונפש כי־תגע בכל־טמא</w:t>
      </w:r>
      <w:r w:rsidRPr="00971D84">
        <w:rPr>
          <w:rFonts w:eastAsia="Times New Roman" w:cs="Times New Roman"/>
          <w:rtl/>
          <w:lang w:eastAsia="de-DE"/>
        </w:rPr>
        <w:t xml:space="preserve"> </w:t>
      </w:r>
      <w:r w:rsidRPr="00971D84">
        <w:rPr>
          <w:rFonts w:eastAsia="Times New Roman" w:cs="Times New Roman"/>
          <w:lang w:eastAsia="de-DE"/>
        </w:rPr>
        <w:t>(und wenn eine Seele irgendetwas Unreines berührt) entspricht 5,2-3.</w:t>
      </w:r>
    </w:p>
    <w:p w14:paraId="50A7776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בְּטֻמְאַ֤ת אָדָם֙ א֣וֹ׀ בִּבְהֵמָ֣ה טְמֵאָ֗ה א֚וֹ בְּכָל־שֶׁ֣קֶץ טָמֵ֔א</w:t>
      </w:r>
      <w:r w:rsidRPr="00971D84">
        <w:rPr>
          <w:rFonts w:eastAsia="Times New Roman" w:cs="Times New Roman"/>
          <w:rtl/>
          <w:lang w:eastAsia="de-DE"/>
        </w:rPr>
        <w:t xml:space="preserve"> </w:t>
      </w:r>
      <w:r w:rsidRPr="00971D84">
        <w:rPr>
          <w:rFonts w:eastAsia="Times New Roman" w:cs="Times New Roman"/>
          <w:lang w:eastAsia="de-DE"/>
        </w:rPr>
        <w:t xml:space="preserve">spezifiziert drei </w:t>
      </w:r>
      <w:r w:rsidRPr="00971D84">
        <w:rPr>
          <w:rFonts w:eastAsia="Times New Roman" w:cs="Times New Roman"/>
          <w:b/>
          <w:bCs/>
          <w:rtl/>
          <w:lang w:eastAsia="de-DE"/>
        </w:rPr>
        <w:t>טמאה</w:t>
      </w:r>
      <w:r w:rsidRPr="00971D84">
        <w:rPr>
          <w:rFonts w:eastAsia="Times New Roman" w:cs="Times New Roman"/>
          <w:lang w:eastAsia="de-DE"/>
        </w:rPr>
        <w:t xml:space="preserve">-Kategorien. </w:t>
      </w:r>
      <w:r w:rsidRPr="00971D84">
        <w:rPr>
          <w:rFonts w:eastAsia="Times New Roman" w:cs="Times New Roman"/>
          <w:b/>
          <w:bCs/>
          <w:rtl/>
          <w:lang w:eastAsia="de-DE"/>
        </w:rPr>
        <w:t>בטמאת אדם</w:t>
      </w:r>
      <w:r w:rsidRPr="00971D84">
        <w:rPr>
          <w:rFonts w:eastAsia="Times New Roman" w:cs="Times New Roman"/>
          <w:rtl/>
          <w:lang w:eastAsia="de-DE"/>
        </w:rPr>
        <w:t xml:space="preserve"> </w:t>
      </w:r>
      <w:r w:rsidRPr="00971D84">
        <w:rPr>
          <w:rFonts w:eastAsia="Times New Roman" w:cs="Times New Roman"/>
          <w:lang w:eastAsia="de-DE"/>
        </w:rPr>
        <w:t xml:space="preserve">(Unreinheit eines Menschen) entspricht 5,3, </w:t>
      </w:r>
      <w:r w:rsidRPr="00971D84">
        <w:rPr>
          <w:rFonts w:eastAsia="Times New Roman" w:cs="Times New Roman"/>
          <w:b/>
          <w:bCs/>
          <w:rtl/>
          <w:lang w:eastAsia="de-DE"/>
        </w:rPr>
        <w:t>או בבהמה טמאה</w:t>
      </w:r>
      <w:r w:rsidRPr="00971D84">
        <w:rPr>
          <w:rFonts w:eastAsia="Times New Roman" w:cs="Times New Roman"/>
          <w:rtl/>
          <w:lang w:eastAsia="de-DE"/>
        </w:rPr>
        <w:t xml:space="preserve"> </w:t>
      </w:r>
      <w:r w:rsidRPr="00971D84">
        <w:rPr>
          <w:rFonts w:eastAsia="Times New Roman" w:cs="Times New Roman"/>
          <w:lang w:eastAsia="de-DE"/>
        </w:rPr>
        <w:t xml:space="preserve">(oder unreines Vieh), </w:t>
      </w:r>
      <w:r w:rsidRPr="00971D84">
        <w:rPr>
          <w:rFonts w:eastAsia="Times New Roman" w:cs="Times New Roman"/>
          <w:b/>
          <w:bCs/>
          <w:rtl/>
          <w:lang w:eastAsia="de-DE"/>
        </w:rPr>
        <w:t>או בכל־שקץ טמא</w:t>
      </w:r>
      <w:r w:rsidRPr="00971D84">
        <w:rPr>
          <w:rFonts w:eastAsia="Times New Roman" w:cs="Times New Roman"/>
          <w:rtl/>
          <w:lang w:eastAsia="de-DE"/>
        </w:rPr>
        <w:t xml:space="preserve"> </w:t>
      </w:r>
      <w:r w:rsidRPr="00971D84">
        <w:rPr>
          <w:rFonts w:eastAsia="Times New Roman" w:cs="Times New Roman"/>
          <w:lang w:eastAsia="de-DE"/>
        </w:rPr>
        <w:t xml:space="preserve">(oder irgendein unreines Scheusal) von </w:t>
      </w:r>
      <w:r w:rsidRPr="00971D84">
        <w:rPr>
          <w:rFonts w:eastAsia="Times New Roman" w:cs="Times New Roman"/>
          <w:b/>
          <w:bCs/>
          <w:rtl/>
          <w:lang w:eastAsia="de-DE"/>
        </w:rPr>
        <w:t>שקץ</w:t>
      </w:r>
      <w:r w:rsidRPr="00971D84">
        <w:rPr>
          <w:rFonts w:eastAsia="Times New Roman" w:cs="Times New Roman"/>
          <w:rtl/>
          <w:lang w:eastAsia="de-DE"/>
        </w:rPr>
        <w:t xml:space="preserve"> </w:t>
      </w:r>
      <w:r w:rsidRPr="00971D84">
        <w:rPr>
          <w:rFonts w:eastAsia="Times New Roman" w:cs="Times New Roman"/>
          <w:lang w:eastAsia="de-DE"/>
        </w:rPr>
        <w:t>(Abscheu/Scheusal).</w:t>
      </w:r>
    </w:p>
    <w:p w14:paraId="439DC6C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וְאָכַ֛ל מִבְּשַׂר־זֶ֥בַח הַשְּׁלָמִ֖ים אֲשֶׁ֣ר לַיהוָ֑ה 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 xml:space="preserve">entspricht exakt V. 20. </w:t>
      </w:r>
      <w:r w:rsidRPr="00971D84">
        <w:rPr>
          <w:rFonts w:eastAsia="Times New Roman" w:cs="Times New Roman"/>
          <w:b/>
          <w:bCs/>
          <w:rtl/>
          <w:lang w:eastAsia="de-DE"/>
        </w:rPr>
        <w:t>ואכל מבשר־זבח השלמים אשר ליהוה 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(und sie isst vom Fleisch des Friedensopfers, das JHWH gehört, und jene Seele soll aus ihren Volksgenossen ausgerottet werden).</w:t>
      </w:r>
    </w:p>
    <w:p w14:paraId="16DE7D0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drei </w:t>
      </w:r>
      <w:r w:rsidRPr="00971D84">
        <w:rPr>
          <w:rFonts w:eastAsia="Times New Roman" w:cs="Times New Roman"/>
          <w:b/>
          <w:bCs/>
          <w:rtl/>
          <w:lang w:eastAsia="de-DE"/>
        </w:rPr>
        <w:t>טמאה</w:t>
      </w:r>
      <w:r w:rsidRPr="00971D84">
        <w:rPr>
          <w:rFonts w:eastAsia="Times New Roman" w:cs="Times New Roman"/>
          <w:lang w:eastAsia="de-DE"/>
        </w:rPr>
        <w:t xml:space="preserve">-Kategorien entsprechen 5,2-3: </w:t>
      </w:r>
      <w:r w:rsidRPr="00971D84">
        <w:rPr>
          <w:rFonts w:eastAsia="Times New Roman" w:cs="Times New Roman"/>
          <w:b/>
          <w:bCs/>
          <w:rtl/>
          <w:lang w:eastAsia="de-DE"/>
        </w:rPr>
        <w:t>טמאת אדם</w:t>
      </w:r>
      <w:r w:rsidRPr="00971D84">
        <w:rPr>
          <w:rFonts w:eastAsia="Times New Roman" w:cs="Times New Roman"/>
          <w:rtl/>
          <w:lang w:eastAsia="de-DE"/>
        </w:rPr>
        <w:t xml:space="preserve"> </w:t>
      </w:r>
      <w:r w:rsidRPr="00971D84">
        <w:rPr>
          <w:rFonts w:eastAsia="Times New Roman" w:cs="Times New Roman"/>
          <w:lang w:eastAsia="de-DE"/>
        </w:rPr>
        <w:t xml:space="preserve">(menschliche Unreinheit), </w:t>
      </w:r>
      <w:r w:rsidRPr="00971D84">
        <w:rPr>
          <w:rFonts w:eastAsia="Times New Roman" w:cs="Times New Roman"/>
          <w:b/>
          <w:bCs/>
          <w:rtl/>
          <w:lang w:eastAsia="de-DE"/>
        </w:rPr>
        <w:t>בהמה טמאה</w:t>
      </w:r>
      <w:r w:rsidRPr="00971D84">
        <w:rPr>
          <w:rFonts w:eastAsia="Times New Roman" w:cs="Times New Roman"/>
          <w:rtl/>
          <w:lang w:eastAsia="de-DE"/>
        </w:rPr>
        <w:t xml:space="preserve"> </w:t>
      </w:r>
      <w:r w:rsidRPr="00971D84">
        <w:rPr>
          <w:rFonts w:eastAsia="Times New Roman" w:cs="Times New Roman"/>
          <w:lang w:eastAsia="de-DE"/>
        </w:rPr>
        <w:t xml:space="preserve">(unreines Vieh), </w:t>
      </w:r>
      <w:r w:rsidRPr="00971D84">
        <w:rPr>
          <w:rFonts w:eastAsia="Times New Roman" w:cs="Times New Roman"/>
          <w:b/>
          <w:bCs/>
          <w:rtl/>
          <w:lang w:eastAsia="de-DE"/>
        </w:rPr>
        <w:t>שקץ טמא</w:t>
      </w:r>
      <w:r w:rsidRPr="00971D84">
        <w:rPr>
          <w:rFonts w:eastAsia="Times New Roman" w:cs="Times New Roman"/>
          <w:rtl/>
          <w:lang w:eastAsia="de-DE"/>
        </w:rPr>
        <w:t xml:space="preserve"> </w:t>
      </w:r>
      <w:r w:rsidRPr="00971D84">
        <w:rPr>
          <w:rFonts w:eastAsia="Times New Roman" w:cs="Times New Roman"/>
          <w:lang w:eastAsia="de-DE"/>
        </w:rPr>
        <w:t xml:space="preserve">(unreines Scheusal). </w:t>
      </w:r>
      <w:r w:rsidRPr="00971D84">
        <w:rPr>
          <w:rFonts w:eastAsia="Times New Roman" w:cs="Times New Roman"/>
          <w:b/>
          <w:bCs/>
          <w:rtl/>
          <w:lang w:eastAsia="de-DE"/>
        </w:rPr>
        <w:t>שקץ</w:t>
      </w:r>
      <w:r w:rsidRPr="00971D84">
        <w:rPr>
          <w:rFonts w:eastAsia="Times New Roman" w:cs="Times New Roman"/>
          <w:rtl/>
          <w:lang w:eastAsia="de-DE"/>
        </w:rPr>
        <w:t xml:space="preserve"> </w:t>
      </w:r>
      <w:r w:rsidRPr="00971D84">
        <w:rPr>
          <w:rFonts w:eastAsia="Times New Roman" w:cs="Times New Roman"/>
          <w:lang w:eastAsia="de-DE"/>
        </w:rPr>
        <w:t>umfasst alle abscheulichen unreinen Dinge.</w:t>
      </w:r>
    </w:p>
    <w:p w14:paraId="706F681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שֶׁ֣קֶץ טָמֵ֔א</w:t>
      </w:r>
      <w:r w:rsidRPr="00971D84">
        <w:rPr>
          <w:rFonts w:eastAsia="Times New Roman" w:cs="Times New Roman"/>
          <w:rtl/>
          <w:lang w:eastAsia="de-DE"/>
        </w:rPr>
        <w:t xml:space="preserve"> </w:t>
      </w:r>
      <w:r w:rsidRPr="00971D84">
        <w:rPr>
          <w:rFonts w:eastAsia="Times New Roman" w:cs="Times New Roman"/>
          <w:lang w:eastAsia="de-DE"/>
        </w:rPr>
        <w:t>mit β</w:t>
      </w:r>
      <w:proofErr w:type="spellStart"/>
      <w:r w:rsidRPr="00971D84">
        <w:rPr>
          <w:rFonts w:eastAsia="Times New Roman" w:cs="Times New Roman"/>
          <w:lang w:eastAsia="de-DE"/>
        </w:rPr>
        <w:t>δελύγμ</w:t>
      </w:r>
      <w:proofErr w:type="spellEnd"/>
      <w:r w:rsidRPr="00971D84">
        <w:rPr>
          <w:rFonts w:eastAsia="Times New Roman" w:cs="Times New Roman"/>
          <w:lang w:eastAsia="de-DE"/>
        </w:rPr>
        <w:t xml:space="preserve">ατος </w:t>
      </w:r>
      <w:proofErr w:type="spellStart"/>
      <w:r w:rsidRPr="00971D84">
        <w:rPr>
          <w:rFonts w:eastAsia="Times New Roman" w:cs="Times New Roman"/>
          <w:lang w:eastAsia="de-DE"/>
        </w:rPr>
        <w:t>ἀκ</w:t>
      </w:r>
      <w:proofErr w:type="spellEnd"/>
      <w:r w:rsidRPr="00971D84">
        <w:rPr>
          <w:rFonts w:eastAsia="Times New Roman" w:cs="Times New Roman"/>
          <w:lang w:eastAsia="de-DE"/>
        </w:rPr>
        <w:t>αθάρτου (unreiner Abscheu) und wiederholt die Übersetzungen von V. 20.</w:t>
      </w:r>
    </w:p>
    <w:p w14:paraId="7CF9C99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Die Satzstruktur:</w:t>
      </w:r>
      <w:r w:rsidRPr="00971D84">
        <w:rPr>
          <w:rFonts w:eastAsia="Times New Roman" w:cs="Times New Roman"/>
          <w:lang w:eastAsia="de-DE"/>
        </w:rPr>
        <w:t xml:space="preserve"> erweitert V. 20: Subjekt + Konditionspartikel + Verb + Objekt mit drei spezifizierten Alternativen + koordiniertes Verb + </w:t>
      </w:r>
      <w:r w:rsidRPr="00971D84">
        <w:rPr>
          <w:rFonts w:eastAsia="Times New Roman" w:cs="Times New Roman"/>
          <w:b/>
          <w:bCs/>
          <w:rtl/>
          <w:lang w:eastAsia="de-DE"/>
        </w:rPr>
        <w:t>כרת</w:t>
      </w:r>
      <w:r w:rsidRPr="00971D84">
        <w:rPr>
          <w:rFonts w:eastAsia="Times New Roman" w:cs="Times New Roman"/>
          <w:lang w:eastAsia="de-DE"/>
        </w:rPr>
        <w:t xml:space="preserve">-Formel. Die Struktur spezifiziert die </w:t>
      </w:r>
      <w:r w:rsidRPr="00971D84">
        <w:rPr>
          <w:rFonts w:eastAsia="Times New Roman" w:cs="Times New Roman"/>
          <w:b/>
          <w:bCs/>
          <w:rtl/>
          <w:lang w:eastAsia="de-DE"/>
        </w:rPr>
        <w:t>טמאה</w:t>
      </w:r>
      <w:r w:rsidRPr="00971D84">
        <w:rPr>
          <w:rFonts w:eastAsia="Times New Roman" w:cs="Times New Roman"/>
          <w:lang w:eastAsia="de-DE"/>
        </w:rPr>
        <w:t>-Quellen detailliert.</w:t>
      </w:r>
    </w:p>
    <w:p w14:paraId="15B7BAB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spezifiziert die </w:t>
      </w:r>
      <w:r w:rsidRPr="00971D84">
        <w:rPr>
          <w:rFonts w:eastAsia="Times New Roman" w:cs="Times New Roman"/>
          <w:b/>
          <w:bCs/>
          <w:rtl/>
          <w:lang w:eastAsia="de-DE"/>
        </w:rPr>
        <w:t>טמאה</w:t>
      </w:r>
      <w:r w:rsidRPr="00971D84">
        <w:rPr>
          <w:rFonts w:eastAsia="Times New Roman" w:cs="Times New Roman"/>
          <w:lang w:eastAsia="de-DE"/>
        </w:rPr>
        <w:t xml:space="preserve">-Kategorien von V. 20 und wiederholt die </w:t>
      </w:r>
      <w:r w:rsidRPr="00971D84">
        <w:rPr>
          <w:rFonts w:eastAsia="Times New Roman" w:cs="Times New Roman"/>
          <w:b/>
          <w:bCs/>
          <w:rtl/>
          <w:lang w:eastAsia="de-DE"/>
        </w:rPr>
        <w:t>כרת</w:t>
      </w:r>
      <w:r w:rsidRPr="00971D84">
        <w:rPr>
          <w:rFonts w:eastAsia="Times New Roman" w:cs="Times New Roman"/>
          <w:lang w:eastAsia="de-DE"/>
        </w:rPr>
        <w:t xml:space="preserve">-Strafe für den Verzehr von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im unreinen Zustand.</w:t>
      </w:r>
    </w:p>
    <w:p w14:paraId="5D8254FE"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7,22</w:t>
      </w:r>
    </w:p>
    <w:p w14:paraId="6C03757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וַיְדַבֵּ֥ר יְהוָ֖ה אֶל־מֹשֶׁ֥ה לֵּאמֹֽר׃</w:t>
      </w:r>
    </w:p>
    <w:p w14:paraId="5BBDD38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der Ewige redete zu Mosche und sprach:</w:t>
      </w:r>
    </w:p>
    <w:p w14:paraId="1C68F3EE"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1042CE0">
          <v:rect id="_x0000_i1180" style="width:0;height:1.5pt" o:hralign="center" o:hrstd="t" o:hr="t" fillcolor="#a0a0a0" stroked="f"/>
        </w:pict>
      </w:r>
    </w:p>
    <w:p w14:paraId="0162BE0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Diese sechste Einleitungsformel in Kapitel 7 (nach der in V. 11) markiert einen neuen Abschnitt mit allgemeinen Speisegesetzen, die über die spezifischen </w:t>
      </w:r>
      <w:r w:rsidRPr="00971D84">
        <w:rPr>
          <w:rFonts w:eastAsia="Times New Roman" w:cs="Times New Roman"/>
          <w:b/>
          <w:bCs/>
          <w:rtl/>
          <w:lang w:eastAsia="de-DE"/>
        </w:rPr>
        <w:t>תורות</w:t>
      </w:r>
      <w:r w:rsidRPr="00971D84">
        <w:rPr>
          <w:rFonts w:eastAsia="Times New Roman" w:cs="Times New Roman"/>
          <w:rtl/>
          <w:lang w:eastAsia="de-DE"/>
        </w:rPr>
        <w:t xml:space="preserve"> </w:t>
      </w:r>
      <w:r w:rsidRPr="00971D84">
        <w:rPr>
          <w:rFonts w:eastAsia="Times New Roman" w:cs="Times New Roman"/>
          <w:lang w:eastAsia="de-DE"/>
        </w:rPr>
        <w:t>der Opfer hinausgehen.</w:t>
      </w:r>
    </w:p>
    <w:p w14:paraId="4421518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wiederholte Einleitungsformel zeigt den Übergang von den </w:t>
      </w:r>
      <w:r w:rsidRPr="00971D84">
        <w:rPr>
          <w:rFonts w:eastAsia="Times New Roman" w:cs="Times New Roman"/>
          <w:b/>
          <w:bCs/>
          <w:rtl/>
          <w:lang w:eastAsia="de-DE"/>
        </w:rPr>
        <w:t>שלמים</w:t>
      </w:r>
      <w:r w:rsidRPr="00971D84">
        <w:rPr>
          <w:rFonts w:eastAsia="Times New Roman" w:cs="Times New Roman"/>
          <w:lang w:eastAsia="de-DE"/>
        </w:rPr>
        <w:t>-spezifischen Bestimmungen zu universellen Speisegesetzen für ganz Israel.</w:t>
      </w:r>
    </w:p>
    <w:p w14:paraId="4D41CEAF"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7,23</w:t>
      </w:r>
    </w:p>
    <w:p w14:paraId="70A2F3A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דַּבֵּ֛ר אֶל־בְּנֵ֥י יִשְׂרָאֵ֖ל לֵאמֹ֑ר כָּל־חֵ֜לֶב שׁ֥וֹר וְכֶ֛שֶׂב וָעֵ֖ז לֹ֥א תֹאכֵֽלוּ׃</w:t>
      </w:r>
    </w:p>
    <w:p w14:paraId="366B277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Rede zu den Söhnen Israels und sprich: Kein Fett vom Rind oder Schaf oder Ziege sollt ihr essen.</w:t>
      </w:r>
    </w:p>
    <w:p w14:paraId="47D5BE32"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83A78D2">
          <v:rect id="_x0000_i1181" style="width:0;height:1.5pt" o:hralign="center" o:hrstd="t" o:hr="t" fillcolor="#a0a0a0" stroked="f"/>
        </w:pict>
      </w:r>
    </w:p>
    <w:p w14:paraId="6DEE66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דַּבֵּ֛ר אֶל־בְּנֵ֥י יִשְׂרָאֵ֖ל לֵאמֹ֑ר</w:t>
      </w:r>
      <w:r w:rsidRPr="00971D84">
        <w:rPr>
          <w:rFonts w:eastAsia="Times New Roman" w:cs="Times New Roman"/>
          <w:rtl/>
          <w:lang w:eastAsia="de-DE"/>
        </w:rPr>
        <w:t xml:space="preserve"> </w:t>
      </w:r>
      <w:r w:rsidRPr="00971D84">
        <w:rPr>
          <w:rFonts w:eastAsia="Times New Roman" w:cs="Times New Roman"/>
          <w:lang w:eastAsia="de-DE"/>
        </w:rPr>
        <w:t xml:space="preserve">(rede zu den Söhnen Israels, sagend) richtet sich an ganz Israel, nicht nur an die Priester wie in den vorherigen </w:t>
      </w:r>
      <w:r w:rsidRPr="00971D84">
        <w:rPr>
          <w:rFonts w:eastAsia="Times New Roman" w:cs="Times New Roman"/>
          <w:b/>
          <w:bCs/>
          <w:rtl/>
          <w:lang w:eastAsia="de-DE"/>
        </w:rPr>
        <w:t>תורות</w:t>
      </w:r>
      <w:r w:rsidRPr="00971D84">
        <w:rPr>
          <w:rFonts w:eastAsia="Times New Roman" w:cs="Times New Roman"/>
          <w:lang w:eastAsia="de-DE"/>
        </w:rPr>
        <w:t xml:space="preserve">. </w:t>
      </w:r>
      <w:r w:rsidRPr="00971D84">
        <w:rPr>
          <w:rFonts w:eastAsia="Times New Roman" w:cs="Times New Roman"/>
          <w:b/>
          <w:bCs/>
          <w:rtl/>
          <w:lang w:eastAsia="de-DE"/>
        </w:rPr>
        <w:t>דבר אל־בני ישראל לאמר</w:t>
      </w:r>
      <w:r w:rsidRPr="00971D84">
        <w:rPr>
          <w:rFonts w:eastAsia="Times New Roman" w:cs="Times New Roman"/>
          <w:rtl/>
          <w:lang w:eastAsia="de-DE"/>
        </w:rPr>
        <w:t xml:space="preserve"> </w:t>
      </w:r>
      <w:r w:rsidRPr="00971D84">
        <w:rPr>
          <w:rFonts w:eastAsia="Times New Roman" w:cs="Times New Roman"/>
          <w:lang w:eastAsia="de-DE"/>
        </w:rPr>
        <w:t>erweitert die Adressaten von der Priesterschaft auf das ganze Volk.</w:t>
      </w:r>
    </w:p>
    <w:p w14:paraId="6DD82FA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כָּל־חֵ֜לֶב שׁ֥וֹר וְכֶ֛שֶׂב וָעֵ֖ז לֹ֥א תֹאכֵֽלוּ</w:t>
      </w:r>
      <w:r w:rsidRPr="00971D84">
        <w:rPr>
          <w:rFonts w:eastAsia="Times New Roman" w:cs="Times New Roman"/>
          <w:rtl/>
          <w:lang w:eastAsia="de-DE"/>
        </w:rPr>
        <w:t xml:space="preserve"> </w:t>
      </w:r>
      <w:r w:rsidRPr="00971D84">
        <w:rPr>
          <w:rFonts w:eastAsia="Times New Roman" w:cs="Times New Roman"/>
          <w:lang w:eastAsia="de-DE"/>
        </w:rPr>
        <w:t xml:space="preserve">(kein Fett von Rind oder Schaf oder Ziege sollt ihr essen) etabliert das universelle Fettverbot. </w:t>
      </w:r>
      <w:r w:rsidRPr="00971D84">
        <w:rPr>
          <w:rFonts w:eastAsia="Times New Roman" w:cs="Times New Roman"/>
          <w:b/>
          <w:bCs/>
          <w:rtl/>
          <w:lang w:eastAsia="de-DE"/>
        </w:rPr>
        <w:t>כל־חלב</w:t>
      </w:r>
      <w:r w:rsidRPr="00971D84">
        <w:rPr>
          <w:rFonts w:eastAsia="Times New Roman" w:cs="Times New Roman"/>
          <w:rtl/>
          <w:lang w:eastAsia="de-DE"/>
        </w:rPr>
        <w:t xml:space="preserve"> </w:t>
      </w:r>
      <w:r w:rsidRPr="00971D84">
        <w:rPr>
          <w:rFonts w:eastAsia="Times New Roman" w:cs="Times New Roman"/>
          <w:lang w:eastAsia="de-DE"/>
        </w:rPr>
        <w:t xml:space="preserve">(alles Fett), </w:t>
      </w:r>
      <w:r w:rsidRPr="00971D84">
        <w:rPr>
          <w:rFonts w:eastAsia="Times New Roman" w:cs="Times New Roman"/>
          <w:b/>
          <w:bCs/>
          <w:rtl/>
          <w:lang w:eastAsia="de-DE"/>
        </w:rPr>
        <w:t>שור וכשב ועז</w:t>
      </w:r>
      <w:r w:rsidRPr="00971D84">
        <w:rPr>
          <w:rFonts w:eastAsia="Times New Roman" w:cs="Times New Roman"/>
          <w:rtl/>
          <w:lang w:eastAsia="de-DE"/>
        </w:rPr>
        <w:t xml:space="preserve"> </w:t>
      </w:r>
      <w:r w:rsidRPr="00971D84">
        <w:rPr>
          <w:rFonts w:eastAsia="Times New Roman" w:cs="Times New Roman"/>
          <w:lang w:eastAsia="de-DE"/>
        </w:rPr>
        <w:t xml:space="preserve">(Rind und Schaf und Ziege), </w:t>
      </w:r>
      <w:r w:rsidRPr="00971D84">
        <w:rPr>
          <w:rFonts w:eastAsia="Times New Roman" w:cs="Times New Roman"/>
          <w:b/>
          <w:bCs/>
          <w:rtl/>
          <w:lang w:eastAsia="de-DE"/>
        </w:rPr>
        <w:t>לא תאכלו</w:t>
      </w:r>
      <w:r w:rsidRPr="00971D84">
        <w:rPr>
          <w:rFonts w:eastAsia="Times New Roman" w:cs="Times New Roman"/>
          <w:rtl/>
          <w:lang w:eastAsia="de-DE"/>
        </w:rPr>
        <w:t xml:space="preserve"> </w:t>
      </w:r>
      <w:r w:rsidRPr="00971D84">
        <w:rPr>
          <w:rFonts w:eastAsia="Times New Roman" w:cs="Times New Roman"/>
          <w:lang w:eastAsia="de-DE"/>
        </w:rPr>
        <w:t>(sollt ihr nicht essen).</w:t>
      </w:r>
    </w:p>
    <w:p w14:paraId="19AA029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שור וכשב ועז</w:t>
      </w:r>
      <w:r w:rsidRPr="00971D84">
        <w:rPr>
          <w:rFonts w:eastAsia="Times New Roman" w:cs="Times New Roman"/>
          <w:rtl/>
          <w:lang w:eastAsia="de-DE"/>
        </w:rPr>
        <w:t xml:space="preserve"> </w:t>
      </w:r>
      <w:r w:rsidRPr="00971D84">
        <w:rPr>
          <w:rFonts w:eastAsia="Times New Roman" w:cs="Times New Roman"/>
          <w:lang w:eastAsia="de-DE"/>
        </w:rPr>
        <w:t>(Rind und Schaf und Ziege) sind die drei Hauptopfertiere, deren Fett bei Opfern verbrannt wird (3,3-4.9-10.14-15). Das Fettverbot verallgemeinert die Opferbestimmungen auf den alltäglichen Verzehr.</w:t>
      </w:r>
    </w:p>
    <w:p w14:paraId="2A32801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כל־חלב</w:t>
      </w:r>
      <w:r w:rsidRPr="00971D84">
        <w:rPr>
          <w:rFonts w:eastAsia="Times New Roman" w:cs="Times New Roman"/>
          <w:rtl/>
          <w:lang w:eastAsia="de-DE"/>
        </w:rPr>
        <w:t xml:space="preserve"> </w:t>
      </w:r>
      <w:r w:rsidRPr="00971D84">
        <w:rPr>
          <w:rFonts w:eastAsia="Times New Roman" w:cs="Times New Roman"/>
          <w:lang w:eastAsia="de-DE"/>
        </w:rPr>
        <w:t xml:space="preserve">(alles Fett) bezieht sich auf die spezifischen Fettteile, die bei Opfern abgetrennt werden: Eingeweidefett, Nierenfett, Lebernetz. </w:t>
      </w:r>
      <w:r w:rsidRPr="00971D84">
        <w:rPr>
          <w:rFonts w:eastAsia="Times New Roman" w:cs="Times New Roman"/>
          <w:b/>
          <w:bCs/>
          <w:rtl/>
          <w:lang w:eastAsia="de-DE"/>
        </w:rPr>
        <w:t>לא תאכלו</w:t>
      </w:r>
      <w:r w:rsidRPr="00971D84">
        <w:rPr>
          <w:rFonts w:eastAsia="Times New Roman" w:cs="Times New Roman"/>
          <w:rtl/>
          <w:lang w:eastAsia="de-DE"/>
        </w:rPr>
        <w:t xml:space="preserve"> </w:t>
      </w:r>
      <w:r w:rsidRPr="00971D84">
        <w:rPr>
          <w:rFonts w:eastAsia="Times New Roman" w:cs="Times New Roman"/>
          <w:lang w:eastAsia="de-DE"/>
        </w:rPr>
        <w:t>im Plural zeigt die universelle Geltung für alle Israeliten.</w:t>
      </w:r>
    </w:p>
    <w:p w14:paraId="6E68203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כָּל־חֵ֜לֶב</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ᾶν</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στέ</w:t>
      </w:r>
      <w:proofErr w:type="spellEnd"/>
      <w:r w:rsidRPr="00971D84">
        <w:rPr>
          <w:rFonts w:eastAsia="Times New Roman" w:cs="Times New Roman"/>
          <w:lang w:eastAsia="de-DE"/>
        </w:rPr>
        <w:t xml:space="preserve">αρ (alles Fett), </w:t>
      </w:r>
      <w:r w:rsidRPr="00971D84">
        <w:rPr>
          <w:rFonts w:eastAsia="Times New Roman" w:cs="Times New Roman"/>
          <w:b/>
          <w:bCs/>
          <w:rtl/>
          <w:lang w:eastAsia="de-DE"/>
        </w:rPr>
        <w:t>שׁ֥וֹר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μόσχου</w:t>
      </w:r>
      <w:proofErr w:type="spellEnd"/>
      <w:r w:rsidRPr="00971D84">
        <w:rPr>
          <w:rFonts w:eastAsia="Times New Roman" w:cs="Times New Roman"/>
          <w:lang w:eastAsia="de-DE"/>
        </w:rPr>
        <w:t xml:space="preserve"> (Kalb), </w:t>
      </w:r>
      <w:r w:rsidRPr="00971D84">
        <w:rPr>
          <w:rFonts w:eastAsia="Times New Roman" w:cs="Times New Roman"/>
          <w:b/>
          <w:bCs/>
          <w:rtl/>
          <w:lang w:eastAsia="de-DE"/>
        </w:rPr>
        <w:t>כֶ֛שֶׂב</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ρο</w:t>
      </w:r>
      <w:proofErr w:type="spellEnd"/>
      <w:r w:rsidRPr="00971D84">
        <w:rPr>
          <w:rFonts w:eastAsia="Times New Roman" w:cs="Times New Roman"/>
          <w:lang w:eastAsia="de-DE"/>
        </w:rPr>
        <w:t xml:space="preserve">βάτου (Schaf) und </w:t>
      </w:r>
      <w:r w:rsidRPr="00971D84">
        <w:rPr>
          <w:rFonts w:eastAsia="Times New Roman" w:cs="Times New Roman"/>
          <w:b/>
          <w:bCs/>
          <w:rtl/>
          <w:lang w:eastAsia="de-DE"/>
        </w:rPr>
        <w:t>עֵ֖ז</w:t>
      </w:r>
      <w:r w:rsidRPr="00971D84">
        <w:rPr>
          <w:rFonts w:eastAsia="Times New Roman" w:cs="Times New Roman"/>
          <w:rtl/>
          <w:lang w:eastAsia="de-DE"/>
        </w:rPr>
        <w:t xml:space="preserve"> </w:t>
      </w:r>
      <w:r w:rsidRPr="00971D84">
        <w:rPr>
          <w:rFonts w:eastAsia="Times New Roman" w:cs="Times New Roman"/>
          <w:lang w:eastAsia="de-DE"/>
        </w:rPr>
        <w:t>mit α</w:t>
      </w:r>
      <w:proofErr w:type="spellStart"/>
      <w:r w:rsidRPr="00971D84">
        <w:rPr>
          <w:rFonts w:eastAsia="Times New Roman" w:cs="Times New Roman"/>
          <w:lang w:eastAsia="de-DE"/>
        </w:rPr>
        <w:t>ἰγός</w:t>
      </w:r>
      <w:proofErr w:type="spellEnd"/>
      <w:r w:rsidRPr="00971D84">
        <w:rPr>
          <w:rFonts w:eastAsia="Times New Roman" w:cs="Times New Roman"/>
          <w:lang w:eastAsia="de-DE"/>
        </w:rPr>
        <w:t xml:space="preserve"> (Ziege).</w:t>
      </w:r>
    </w:p>
    <w:p w14:paraId="2BA974A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Die Satzstruktur:</w:t>
      </w:r>
      <w:r w:rsidRPr="00971D84">
        <w:rPr>
          <w:rFonts w:eastAsia="Times New Roman" w:cs="Times New Roman"/>
          <w:lang w:eastAsia="de-DE"/>
        </w:rPr>
        <w:t xml:space="preserve"> zeigt universelles Verbot: Adressatenangabe + universelles Objekt mit drei Spezifizierungen + kategorisches Verbot. Die Struktur etabliert ein grundlegendes Speisegesetz.</w:t>
      </w:r>
    </w:p>
    <w:p w14:paraId="1EEC7F2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Dieser Vers etabliert das universelle Fettverbot für die drei Hauptopfertiere als Grundprinzip israelitischer Speisegesetze.</w:t>
      </w:r>
    </w:p>
    <w:p w14:paraId="71D62719"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7,24</w:t>
      </w:r>
    </w:p>
    <w:p w14:paraId="3FA6CB9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וְחֵ֤לֶב נְבֵלָה֙ וְחֵ֣לֶב טְרֵפָ֔ה יֵעָשֶׂ֖ה לְכָל־מְלָאכָ֑ה וְאָכֹ֖ל לֹ֥א תֹאכְלֻֽהוּ׃</w:t>
      </w:r>
    </w:p>
    <w:p w14:paraId="7CDC394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das Fett vom Aas und das Fett vom Zerrissenen kann zu allerlei Werk verwendet werden, aber ihr sollt es durchaus nicht essen.</w:t>
      </w:r>
    </w:p>
    <w:p w14:paraId="278EADE4"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639FC42">
          <v:rect id="_x0000_i1182" style="width:0;height:1.5pt" o:hralign="center" o:hrstd="t" o:hr="t" fillcolor="#a0a0a0" stroked="f"/>
        </w:pict>
      </w:r>
    </w:p>
    <w:p w14:paraId="27B1CDC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וְחֵ֤לֶב נְבֵלָה֙ וְחֵ֣לֶב טְרֵפָ֔ה יֵעָשֶׂ֖ה לְכָל־מְלָאכָ֑ה</w:t>
      </w:r>
      <w:r w:rsidRPr="00971D84">
        <w:rPr>
          <w:rFonts w:eastAsia="Times New Roman" w:cs="Times New Roman"/>
          <w:rtl/>
          <w:lang w:eastAsia="de-DE"/>
        </w:rPr>
        <w:t xml:space="preserve"> </w:t>
      </w:r>
      <w:r w:rsidRPr="00971D84">
        <w:rPr>
          <w:rFonts w:eastAsia="Times New Roman" w:cs="Times New Roman"/>
          <w:lang w:eastAsia="de-DE"/>
        </w:rPr>
        <w:t xml:space="preserve">(und das Fett von Aas und das Fett von Zerrissenem kann zu allerlei Werk verwendet werden) zeigt eine Ausnahme. </w:t>
      </w:r>
      <w:r w:rsidRPr="00971D84">
        <w:rPr>
          <w:rFonts w:eastAsia="Times New Roman" w:cs="Times New Roman"/>
          <w:b/>
          <w:bCs/>
          <w:rtl/>
          <w:lang w:eastAsia="de-DE"/>
        </w:rPr>
        <w:t>וחלב נבלה וחלב טרפה</w:t>
      </w:r>
      <w:r w:rsidRPr="00971D84">
        <w:rPr>
          <w:rFonts w:eastAsia="Times New Roman" w:cs="Times New Roman"/>
          <w:rtl/>
          <w:lang w:eastAsia="de-DE"/>
        </w:rPr>
        <w:t xml:space="preserve"> </w:t>
      </w:r>
      <w:r w:rsidRPr="00971D84">
        <w:rPr>
          <w:rFonts w:eastAsia="Times New Roman" w:cs="Times New Roman"/>
          <w:lang w:eastAsia="de-DE"/>
        </w:rPr>
        <w:t xml:space="preserve">(und das Fett von Aas und das Fett von Zerrissenem), </w:t>
      </w:r>
      <w:r w:rsidRPr="00971D84">
        <w:rPr>
          <w:rFonts w:eastAsia="Times New Roman" w:cs="Times New Roman"/>
          <w:b/>
          <w:bCs/>
          <w:rtl/>
          <w:lang w:eastAsia="de-DE"/>
        </w:rPr>
        <w:t>יעשה לכל־מלאכה</w:t>
      </w:r>
      <w:r w:rsidRPr="00971D84">
        <w:rPr>
          <w:rFonts w:eastAsia="Times New Roman" w:cs="Times New Roman"/>
          <w:rtl/>
          <w:lang w:eastAsia="de-DE"/>
        </w:rPr>
        <w:t xml:space="preserve"> </w:t>
      </w:r>
      <w:r w:rsidRPr="00971D84">
        <w:rPr>
          <w:rFonts w:eastAsia="Times New Roman" w:cs="Times New Roman"/>
          <w:lang w:eastAsia="de-DE"/>
        </w:rPr>
        <w:t>(kann zu allerlei Werk verwendet werden).</w:t>
      </w:r>
    </w:p>
    <w:p w14:paraId="6B30563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וְאָכֹ֖ל לֹ֥א תֹאכְלֻֽהוּ</w:t>
      </w:r>
      <w:r w:rsidRPr="00971D84">
        <w:rPr>
          <w:rFonts w:eastAsia="Times New Roman" w:cs="Times New Roman"/>
          <w:rtl/>
          <w:lang w:eastAsia="de-DE"/>
        </w:rPr>
        <w:t xml:space="preserve"> </w:t>
      </w:r>
      <w:r w:rsidRPr="00971D84">
        <w:rPr>
          <w:rFonts w:eastAsia="Times New Roman" w:cs="Times New Roman"/>
          <w:lang w:eastAsia="de-DE"/>
        </w:rPr>
        <w:t xml:space="preserve">(aber essen sollt ihr es durchaus nicht) verstärkt das Essverbot. </w:t>
      </w:r>
      <w:r w:rsidRPr="00971D84">
        <w:rPr>
          <w:rFonts w:eastAsia="Times New Roman" w:cs="Times New Roman"/>
          <w:b/>
          <w:bCs/>
          <w:rtl/>
          <w:lang w:eastAsia="de-DE"/>
        </w:rPr>
        <w:t>ואכל לא תאכלהו</w:t>
      </w:r>
      <w:r w:rsidRPr="00971D84">
        <w:rPr>
          <w:rFonts w:eastAsia="Times New Roman" w:cs="Times New Roman"/>
          <w:rtl/>
          <w:lang w:eastAsia="de-DE"/>
        </w:rPr>
        <w:t xml:space="preserve"> </w:t>
      </w:r>
      <w:r w:rsidRPr="00971D84">
        <w:rPr>
          <w:rFonts w:eastAsia="Times New Roman" w:cs="Times New Roman"/>
          <w:lang w:eastAsia="de-DE"/>
        </w:rPr>
        <w:t>(aber essen sollt ihr es durchaus nicht) mit verstärkender Konstruktion: Infinitiv absolut + finite Verbform.</w:t>
      </w:r>
    </w:p>
    <w:p w14:paraId="386826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נבלה</w:t>
      </w:r>
      <w:r w:rsidRPr="00971D84">
        <w:rPr>
          <w:rFonts w:eastAsia="Times New Roman" w:cs="Times New Roman"/>
          <w:rtl/>
          <w:lang w:eastAsia="de-DE"/>
        </w:rPr>
        <w:t xml:space="preserve"> </w:t>
      </w:r>
      <w:r w:rsidRPr="00971D84">
        <w:rPr>
          <w:rFonts w:eastAsia="Times New Roman" w:cs="Times New Roman"/>
          <w:lang w:eastAsia="de-DE"/>
        </w:rPr>
        <w:t xml:space="preserve">(Aas) bezeichnet natürlich gestorbene Tiere, </w:t>
      </w:r>
      <w:r w:rsidRPr="00971D84">
        <w:rPr>
          <w:rFonts w:eastAsia="Times New Roman" w:cs="Times New Roman"/>
          <w:b/>
          <w:bCs/>
          <w:rtl/>
          <w:lang w:eastAsia="de-DE"/>
        </w:rPr>
        <w:t>טרפה</w:t>
      </w:r>
      <w:r w:rsidRPr="00971D84">
        <w:rPr>
          <w:rFonts w:eastAsia="Times New Roman" w:cs="Times New Roman"/>
          <w:rtl/>
          <w:lang w:eastAsia="de-DE"/>
        </w:rPr>
        <w:t xml:space="preserve"> </w:t>
      </w:r>
      <w:r w:rsidRPr="00971D84">
        <w:rPr>
          <w:rFonts w:eastAsia="Times New Roman" w:cs="Times New Roman"/>
          <w:lang w:eastAsia="de-DE"/>
        </w:rPr>
        <w:t>(Zerrissenes) von wilden Tieren getötete Tiere. Beide sind zum Verzehr verboten, aber ihr Fett kann für andere Zwecke verwendet werden.</w:t>
      </w:r>
    </w:p>
    <w:p w14:paraId="0E92BD0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לכל־מלאכה</w:t>
      </w:r>
      <w:r w:rsidRPr="00971D84">
        <w:rPr>
          <w:rFonts w:eastAsia="Times New Roman" w:cs="Times New Roman"/>
          <w:rtl/>
          <w:lang w:eastAsia="de-DE"/>
        </w:rPr>
        <w:t xml:space="preserve"> </w:t>
      </w:r>
      <w:r w:rsidRPr="00971D84">
        <w:rPr>
          <w:rFonts w:eastAsia="Times New Roman" w:cs="Times New Roman"/>
          <w:lang w:eastAsia="de-DE"/>
        </w:rPr>
        <w:t xml:space="preserve">(zu allerlei Werk) umfasst handwerkliche Verwendung: Seifenherstellung, Lederbearbeitung, Beleuchtung. </w:t>
      </w:r>
      <w:r w:rsidRPr="00971D84">
        <w:rPr>
          <w:rFonts w:eastAsia="Times New Roman" w:cs="Times New Roman"/>
          <w:b/>
          <w:bCs/>
          <w:rtl/>
          <w:lang w:eastAsia="de-DE"/>
        </w:rPr>
        <w:t>ואכל לא תאכלהו</w:t>
      </w:r>
      <w:r w:rsidRPr="00971D84">
        <w:rPr>
          <w:rFonts w:eastAsia="Times New Roman" w:cs="Times New Roman"/>
          <w:rtl/>
          <w:lang w:eastAsia="de-DE"/>
        </w:rPr>
        <w:t xml:space="preserve"> </w:t>
      </w:r>
      <w:r w:rsidRPr="00971D84">
        <w:rPr>
          <w:rFonts w:eastAsia="Times New Roman" w:cs="Times New Roman"/>
          <w:lang w:eastAsia="de-DE"/>
        </w:rPr>
        <w:t>betont das absolute Essverbot trotz anderer Verwendungsmöglichkeiten.</w:t>
      </w:r>
    </w:p>
    <w:p w14:paraId="2E6A99F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נְבֵלָה֙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θνησιμ</w:t>
      </w:r>
      <w:proofErr w:type="spellEnd"/>
      <w:r w:rsidRPr="00971D84">
        <w:rPr>
          <w:rFonts w:eastAsia="Times New Roman" w:cs="Times New Roman"/>
          <w:lang w:eastAsia="de-DE"/>
        </w:rPr>
        <w:t xml:space="preserve">αίου (von natürlich Gestorbenem), </w:t>
      </w:r>
      <w:r w:rsidRPr="00971D84">
        <w:rPr>
          <w:rFonts w:eastAsia="Times New Roman" w:cs="Times New Roman"/>
          <w:b/>
          <w:bCs/>
          <w:rtl/>
          <w:lang w:eastAsia="de-DE"/>
        </w:rPr>
        <w:t>טְרֵפָ֔ה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θηρι</w:t>
      </w:r>
      <w:proofErr w:type="spellEnd"/>
      <w:r w:rsidRPr="00971D84">
        <w:rPr>
          <w:rFonts w:eastAsia="Times New Roman" w:cs="Times New Roman"/>
          <w:lang w:eastAsia="de-DE"/>
        </w:rPr>
        <w:t xml:space="preserve">αλώτου (von Tieren Zerrissenem) und </w:t>
      </w:r>
      <w:r w:rsidRPr="00971D84">
        <w:rPr>
          <w:rFonts w:eastAsia="Times New Roman" w:cs="Times New Roman"/>
          <w:b/>
          <w:bCs/>
          <w:rtl/>
          <w:lang w:eastAsia="de-DE"/>
        </w:rPr>
        <w:t>לְכָל־מְלָאכָ֑ה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εἰς</w:t>
      </w:r>
      <w:proofErr w:type="spellEnd"/>
      <w:r w:rsidRPr="00971D84">
        <w:rPr>
          <w:rFonts w:eastAsia="Times New Roman" w:cs="Times New Roman"/>
          <w:lang w:eastAsia="de-DE"/>
        </w:rPr>
        <w:t xml:space="preserve"> π</w:t>
      </w:r>
      <w:proofErr w:type="spellStart"/>
      <w:r w:rsidRPr="00971D84">
        <w:rPr>
          <w:rFonts w:eastAsia="Times New Roman" w:cs="Times New Roman"/>
          <w:lang w:eastAsia="de-DE"/>
        </w:rPr>
        <w:t>ᾶσ</w:t>
      </w:r>
      <w:proofErr w:type="spellEnd"/>
      <w:r w:rsidRPr="00971D84">
        <w:rPr>
          <w:rFonts w:eastAsia="Times New Roman" w:cs="Times New Roman"/>
          <w:lang w:eastAsia="de-DE"/>
        </w:rPr>
        <w:t xml:space="preserve">αν </w:t>
      </w:r>
      <w:proofErr w:type="spellStart"/>
      <w:r w:rsidRPr="00971D84">
        <w:rPr>
          <w:rFonts w:eastAsia="Times New Roman" w:cs="Times New Roman"/>
          <w:lang w:eastAsia="de-DE"/>
        </w:rPr>
        <w:t>χρεί</w:t>
      </w:r>
      <w:proofErr w:type="spellEnd"/>
      <w:r w:rsidRPr="00971D84">
        <w:rPr>
          <w:rFonts w:eastAsia="Times New Roman" w:cs="Times New Roman"/>
          <w:lang w:eastAsia="de-DE"/>
        </w:rPr>
        <w:t>αν (zu jedem Bedarf).</w:t>
      </w:r>
    </w:p>
    <w:p w14:paraId="4AA0C20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Ausnahme + Verstärkung: zwei Subjekte + Verb + universelle Zweckangabe + verstärktes Verbot. Die Struktur zeigt praktische Flexibilität bei kultischer Strenge.</w:t>
      </w:r>
    </w:p>
    <w:p w14:paraId="1440CD6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Dieser Vers regelt die Verwendung von Fett unreiner Tiere: handwerklich erlaubt, zum Verzehr streng verboten.</w:t>
      </w:r>
    </w:p>
    <w:p w14:paraId="1514C51B"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7,25</w:t>
      </w:r>
    </w:p>
    <w:p w14:paraId="58DA6AB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כִּ֚י כָּל־אֹכֵ֣ל חֵ֔לֶב מִן־הַ֨בְּהֵמָ֔ה אֲשֶׁ֨ר יַקְרִ֥יב מִמֶּ֛נָּה אִשֶּׁ֖ה לַיהוָ֑ה וְנִכְרְתָ֛ה הַנֶּ֥פֶשׁ הָאֹכֶ֖לֶת מֵֽעַמֶּֽיהָ׃</w:t>
      </w:r>
    </w:p>
    <w:p w14:paraId="4E3D848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Denn jeder, der Fett isst vom Vieh, wovon man dem Ewigen ein Feueropfer darbringt – die Seele, die es isst, soll ausgerottet werden aus ihren Volksgenossen.</w:t>
      </w:r>
    </w:p>
    <w:p w14:paraId="29127E99"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lastRenderedPageBreak/>
        <w:pict w14:anchorId="298F6671">
          <v:rect id="_x0000_i1183" style="width:0;height:1.5pt" o:hralign="center" o:hrstd="t" o:hr="t" fillcolor="#a0a0a0" stroked="f"/>
        </w:pict>
      </w:r>
    </w:p>
    <w:p w14:paraId="458F6C9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כִּ֚י כָּל־אֹכֵ֣ל חֵ֔לֶב מִן־הַ֨בְּהֵמָ֔ה אֲשֶׁ֨ר יַקְרִ֥יב מִמֶּ֛נָּה אִשֶּׁ֖ה לַיהוָ֑ה</w:t>
      </w:r>
      <w:r w:rsidRPr="00971D84">
        <w:rPr>
          <w:rFonts w:eastAsia="Times New Roman" w:cs="Times New Roman"/>
          <w:rtl/>
          <w:lang w:eastAsia="de-DE"/>
        </w:rPr>
        <w:t xml:space="preserve"> </w:t>
      </w:r>
      <w:r w:rsidRPr="00971D84">
        <w:rPr>
          <w:rFonts w:eastAsia="Times New Roman" w:cs="Times New Roman"/>
          <w:lang w:eastAsia="de-DE"/>
        </w:rPr>
        <w:t xml:space="preserve">(denn jeder, der Fett isst vom Vieh, wovon man JHWH ein Feueropfer darbringt) begründet das Fettverbot. </w:t>
      </w:r>
      <w:r w:rsidRPr="00971D84">
        <w:rPr>
          <w:rFonts w:eastAsia="Times New Roman" w:cs="Times New Roman"/>
          <w:b/>
          <w:bCs/>
          <w:rtl/>
          <w:lang w:eastAsia="de-DE"/>
        </w:rPr>
        <w:t>כי כל־אכל חלב מן־הבהמה</w:t>
      </w:r>
      <w:r w:rsidRPr="00971D84">
        <w:rPr>
          <w:rFonts w:eastAsia="Times New Roman" w:cs="Times New Roman"/>
          <w:rtl/>
          <w:lang w:eastAsia="de-DE"/>
        </w:rPr>
        <w:t xml:space="preserve"> </w:t>
      </w:r>
      <w:r w:rsidRPr="00971D84">
        <w:rPr>
          <w:rFonts w:eastAsia="Times New Roman" w:cs="Times New Roman"/>
          <w:lang w:eastAsia="de-DE"/>
        </w:rPr>
        <w:t xml:space="preserve">(denn jeder, der Fett isst vom Vieh), </w:t>
      </w:r>
      <w:r w:rsidRPr="00971D84">
        <w:rPr>
          <w:rFonts w:eastAsia="Times New Roman" w:cs="Times New Roman"/>
          <w:b/>
          <w:bCs/>
          <w:rtl/>
          <w:lang w:eastAsia="de-DE"/>
        </w:rPr>
        <w:t>אשר יקריב ממנה אשה ליהוה</w:t>
      </w:r>
      <w:r w:rsidRPr="00971D84">
        <w:rPr>
          <w:rFonts w:eastAsia="Times New Roman" w:cs="Times New Roman"/>
          <w:rtl/>
          <w:lang w:eastAsia="de-DE"/>
        </w:rPr>
        <w:t xml:space="preserve"> </w:t>
      </w:r>
      <w:r w:rsidRPr="00971D84">
        <w:rPr>
          <w:rFonts w:eastAsia="Times New Roman" w:cs="Times New Roman"/>
          <w:lang w:eastAsia="de-DE"/>
        </w:rPr>
        <w:t>(wovon man JHWH ein Feueropfer darbringt).</w:t>
      </w:r>
    </w:p>
    <w:p w14:paraId="2A46328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וְנִכְרְתָ֛ה הַנֶּ֥פֶשׁ הָאֹכֶ֖לֶת מֵֽעַמֶּֽיהָ</w:t>
      </w:r>
      <w:r w:rsidRPr="00971D84">
        <w:rPr>
          <w:rFonts w:eastAsia="Times New Roman" w:cs="Times New Roman"/>
          <w:rtl/>
          <w:lang w:eastAsia="de-DE"/>
        </w:rPr>
        <w:t xml:space="preserve"> </w:t>
      </w:r>
      <w:r w:rsidRPr="00971D84">
        <w:rPr>
          <w:rFonts w:eastAsia="Times New Roman" w:cs="Times New Roman"/>
          <w:lang w:eastAsia="de-DE"/>
        </w:rPr>
        <w:t xml:space="preserve">(und die Seele, die es isst, soll aus ihren Volksgenossen ausgerottet werden) zeigt die </w:t>
      </w:r>
      <w:r w:rsidRPr="00971D84">
        <w:rPr>
          <w:rFonts w:eastAsia="Times New Roman" w:cs="Times New Roman"/>
          <w:b/>
          <w:bCs/>
          <w:rtl/>
          <w:lang w:eastAsia="de-DE"/>
        </w:rPr>
        <w:t>כרת</w:t>
      </w:r>
      <w:r w:rsidRPr="00971D84">
        <w:rPr>
          <w:rFonts w:eastAsia="Times New Roman" w:cs="Times New Roman"/>
          <w:lang w:eastAsia="de-DE"/>
        </w:rPr>
        <w:t xml:space="preserve">-Strafe entsprechend V. 20-21. </w:t>
      </w:r>
      <w:r w:rsidRPr="00971D84">
        <w:rPr>
          <w:rFonts w:eastAsia="Times New Roman" w:cs="Times New Roman"/>
          <w:b/>
          <w:bCs/>
          <w:rtl/>
          <w:lang w:eastAsia="de-DE"/>
        </w:rPr>
        <w:t>ונכרתה הנפש האכלת מעמיה</w:t>
      </w:r>
      <w:r w:rsidRPr="00971D84">
        <w:rPr>
          <w:rFonts w:eastAsia="Times New Roman" w:cs="Times New Roman"/>
          <w:rtl/>
          <w:lang w:eastAsia="de-DE"/>
        </w:rPr>
        <w:t xml:space="preserve"> </w:t>
      </w:r>
      <w:r w:rsidRPr="00971D84">
        <w:rPr>
          <w:rFonts w:eastAsia="Times New Roman" w:cs="Times New Roman"/>
          <w:lang w:eastAsia="de-DE"/>
        </w:rPr>
        <w:t>(und die Seele, die es isst, soll aus ihren Volksgenossen ausgerottet werden).</w:t>
      </w:r>
    </w:p>
    <w:p w14:paraId="620E268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אשר יקריב ממנה אשה ליהוה</w:t>
      </w:r>
      <w:r w:rsidRPr="00971D84">
        <w:rPr>
          <w:rFonts w:eastAsia="Times New Roman" w:cs="Times New Roman"/>
          <w:rtl/>
          <w:lang w:eastAsia="de-DE"/>
        </w:rPr>
        <w:t xml:space="preserve"> </w:t>
      </w:r>
      <w:r w:rsidRPr="00971D84">
        <w:rPr>
          <w:rFonts w:eastAsia="Times New Roman" w:cs="Times New Roman"/>
          <w:lang w:eastAsia="de-DE"/>
        </w:rPr>
        <w:t xml:space="preserve">(wovon man JHWH ein Feueropfer darbringt) verknüpft das Fettverbot mit der Opferpraxis: Fett, das Gott gehört, darf nicht von Menschen gegessen werden. </w:t>
      </w:r>
      <w:r w:rsidRPr="00971D84">
        <w:rPr>
          <w:rFonts w:eastAsia="Times New Roman" w:cs="Times New Roman"/>
          <w:b/>
          <w:bCs/>
          <w:rtl/>
          <w:lang w:eastAsia="de-DE"/>
        </w:rPr>
        <w:t>כי</w:t>
      </w:r>
      <w:r w:rsidRPr="00971D84">
        <w:rPr>
          <w:rFonts w:eastAsia="Times New Roman" w:cs="Times New Roman"/>
          <w:rtl/>
          <w:lang w:eastAsia="de-DE"/>
        </w:rPr>
        <w:t xml:space="preserve"> </w:t>
      </w:r>
      <w:r w:rsidRPr="00971D84">
        <w:rPr>
          <w:rFonts w:eastAsia="Times New Roman" w:cs="Times New Roman"/>
          <w:lang w:eastAsia="de-DE"/>
        </w:rPr>
        <w:t>(denn) begründet V. 23.</w:t>
      </w:r>
    </w:p>
    <w:p w14:paraId="53EA25E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כרת</w:t>
      </w:r>
      <w:r w:rsidRPr="00971D84">
        <w:rPr>
          <w:rFonts w:eastAsia="Times New Roman" w:cs="Times New Roman"/>
          <w:rtl/>
          <w:lang w:eastAsia="de-DE"/>
        </w:rPr>
        <w:t xml:space="preserve"> </w:t>
      </w:r>
      <w:r w:rsidRPr="00971D84">
        <w:rPr>
          <w:rFonts w:eastAsia="Times New Roman" w:cs="Times New Roman"/>
          <w:lang w:eastAsia="de-DE"/>
        </w:rPr>
        <w:t xml:space="preserve">(Ausrottung) als Strafe zeigt die Schwere des Fettverbots: es steht auf derselben Stufe wie der Verzehr von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im unreinen Zustand.</w:t>
      </w:r>
    </w:p>
    <w:p w14:paraId="036B2797" w14:textId="77777777" w:rsidR="00507F60" w:rsidRDefault="00507F60" w:rsidP="00971D84">
      <w:pPr>
        <w:spacing w:before="100" w:beforeAutospacing="1" w:after="100" w:afterAutospacing="1" w:line="240" w:lineRule="auto"/>
      </w:pPr>
      <w:r>
        <w:rPr>
          <w:rStyle w:val="Fett"/>
        </w:rPr>
        <w:t>Vers 25 (MT=15 LXX)</w:t>
      </w:r>
      <w:r>
        <w:t xml:space="preserve">: </w:t>
      </w:r>
      <w:r>
        <w:rPr>
          <w:rStyle w:val="Fett"/>
        </w:rPr>
        <w:t>Die LXX</w:t>
      </w:r>
      <w:r>
        <w:t xml:space="preserve"> ersetzt </w:t>
      </w:r>
      <w:r>
        <w:rPr>
          <w:rtl/>
        </w:rPr>
        <w:t>אשה</w:t>
      </w:r>
      <w:r>
        <w:t xml:space="preserve"> (</w:t>
      </w:r>
      <w:proofErr w:type="spellStart"/>
      <w:r>
        <w:t>ischeh</w:t>
      </w:r>
      <w:proofErr w:type="spellEnd"/>
      <w:r>
        <w:t xml:space="preserve"> - "Feueropfer") durch </w:t>
      </w:r>
      <w:proofErr w:type="spellStart"/>
      <w:r>
        <w:t>κάρ</w:t>
      </w:r>
      <w:proofErr w:type="spellEnd"/>
      <w:r>
        <w:t>πωμα (Fruchtopfer), was die systematische Terminologieverschiebung fortsetzt.</w:t>
      </w:r>
    </w:p>
    <w:p w14:paraId="5B8EB8F7" w14:textId="0B9C3A09"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Begründung + Strafandrohung: Begründungspartikel + universelles Subjekt + Relativsatz mit Opferbezug + </w:t>
      </w:r>
      <w:r w:rsidRPr="00971D84">
        <w:rPr>
          <w:rFonts w:eastAsia="Times New Roman" w:cs="Times New Roman"/>
          <w:b/>
          <w:bCs/>
          <w:rtl/>
          <w:lang w:eastAsia="de-DE"/>
        </w:rPr>
        <w:t>כרת</w:t>
      </w:r>
      <w:r w:rsidRPr="00971D84">
        <w:rPr>
          <w:rFonts w:eastAsia="Times New Roman" w:cs="Times New Roman"/>
          <w:lang w:eastAsia="de-DE"/>
        </w:rPr>
        <w:t>-Formel. Die Struktur verknüpft Speisegesetz mit Opfertheologie.</w:t>
      </w:r>
    </w:p>
    <w:p w14:paraId="0D5AD42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begründet das Fettverbot theologisch: Fett gehört Gott als </w:t>
      </w:r>
      <w:r w:rsidRPr="00971D84">
        <w:rPr>
          <w:rFonts w:eastAsia="Times New Roman" w:cs="Times New Roman"/>
          <w:b/>
          <w:bCs/>
          <w:rtl/>
          <w:lang w:eastAsia="de-DE"/>
        </w:rPr>
        <w:t>אשה</w:t>
      </w:r>
      <w:r w:rsidRPr="00971D84">
        <w:rPr>
          <w:rFonts w:eastAsia="Times New Roman" w:cs="Times New Roman"/>
          <w:rtl/>
          <w:lang w:eastAsia="de-DE"/>
        </w:rPr>
        <w:t xml:space="preserve"> </w:t>
      </w:r>
      <w:r w:rsidRPr="00971D84">
        <w:rPr>
          <w:rFonts w:eastAsia="Times New Roman" w:cs="Times New Roman"/>
          <w:lang w:eastAsia="de-DE"/>
        </w:rPr>
        <w:t xml:space="preserve">(Feueropfer) und steht unter </w:t>
      </w:r>
      <w:r w:rsidRPr="00971D84">
        <w:rPr>
          <w:rFonts w:eastAsia="Times New Roman" w:cs="Times New Roman"/>
          <w:b/>
          <w:bCs/>
          <w:rtl/>
          <w:lang w:eastAsia="de-DE"/>
        </w:rPr>
        <w:t>כרת</w:t>
      </w:r>
      <w:r w:rsidRPr="00971D84">
        <w:rPr>
          <w:rFonts w:eastAsia="Times New Roman" w:cs="Times New Roman"/>
          <w:lang w:eastAsia="de-DE"/>
        </w:rPr>
        <w:t>-Strafe.</w:t>
      </w:r>
    </w:p>
    <w:p w14:paraId="70893EF1"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7,26</w:t>
      </w:r>
    </w:p>
    <w:p w14:paraId="5C40A9E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וְכָל־דָּם֙ לֹ֣א תֹאכְל֔וּ בְּכֹ֖ל מוֹשְׁבֹתֵיכֶ֑ם לָע֖וֹף וְלַבְּהֵמָֽה׃</w:t>
      </w:r>
    </w:p>
    <w:p w14:paraId="37C2AA4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kein Blut sollt ihr essen in allen euren Wohnsitzen, es sei vom Geflügel oder vom Vieh.</w:t>
      </w:r>
    </w:p>
    <w:p w14:paraId="420A6750"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D59B744">
          <v:rect id="_x0000_i1184" style="width:0;height:1.5pt" o:hralign="center" o:hrstd="t" o:hr="t" fillcolor="#a0a0a0" stroked="f"/>
        </w:pict>
      </w:r>
    </w:p>
    <w:p w14:paraId="242A50E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וְכָל־דָּם֙ לֹ֣א תֹאכְל֔וּ בְּכֹ֖ל מוֹשְׁבֹתֵיכֶ֑ם</w:t>
      </w:r>
      <w:r w:rsidRPr="00971D84">
        <w:rPr>
          <w:rFonts w:eastAsia="Times New Roman" w:cs="Times New Roman"/>
          <w:rtl/>
          <w:lang w:eastAsia="de-DE"/>
        </w:rPr>
        <w:t xml:space="preserve"> </w:t>
      </w:r>
      <w:r w:rsidRPr="00971D84">
        <w:rPr>
          <w:rFonts w:eastAsia="Times New Roman" w:cs="Times New Roman"/>
          <w:lang w:eastAsia="de-DE"/>
        </w:rPr>
        <w:t xml:space="preserve">(und kein Blut sollt ihr essen in allen euren Wohnsitzen) etabliert das universelle Blutverbot. </w:t>
      </w:r>
      <w:r w:rsidRPr="00971D84">
        <w:rPr>
          <w:rFonts w:eastAsia="Times New Roman" w:cs="Times New Roman"/>
          <w:b/>
          <w:bCs/>
          <w:rtl/>
          <w:lang w:eastAsia="de-DE"/>
        </w:rPr>
        <w:t>וכל־דם לא תאכלו</w:t>
      </w:r>
      <w:r w:rsidRPr="00971D84">
        <w:rPr>
          <w:rFonts w:eastAsia="Times New Roman" w:cs="Times New Roman"/>
          <w:rtl/>
          <w:lang w:eastAsia="de-DE"/>
        </w:rPr>
        <w:t xml:space="preserve"> </w:t>
      </w:r>
      <w:r w:rsidRPr="00971D84">
        <w:rPr>
          <w:rFonts w:eastAsia="Times New Roman" w:cs="Times New Roman"/>
          <w:lang w:eastAsia="de-DE"/>
        </w:rPr>
        <w:t xml:space="preserve">(und kein Blut sollt ihr essen), </w:t>
      </w:r>
      <w:r w:rsidRPr="00971D84">
        <w:rPr>
          <w:rFonts w:eastAsia="Times New Roman" w:cs="Times New Roman"/>
          <w:b/>
          <w:bCs/>
          <w:rtl/>
          <w:lang w:eastAsia="de-DE"/>
        </w:rPr>
        <w:t>בכל מושבתיכם</w:t>
      </w:r>
      <w:r w:rsidRPr="00971D84">
        <w:rPr>
          <w:rFonts w:eastAsia="Times New Roman" w:cs="Times New Roman"/>
          <w:rtl/>
          <w:lang w:eastAsia="de-DE"/>
        </w:rPr>
        <w:t xml:space="preserve"> </w:t>
      </w:r>
      <w:r w:rsidRPr="00971D84">
        <w:rPr>
          <w:rFonts w:eastAsia="Times New Roman" w:cs="Times New Roman"/>
          <w:lang w:eastAsia="de-DE"/>
        </w:rPr>
        <w:t>(in allen euren Wohnsitzen).</w:t>
      </w:r>
    </w:p>
    <w:p w14:paraId="066DF2B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לָע֖וֹף וְלַבְּהֵמָֽה</w:t>
      </w:r>
      <w:r w:rsidRPr="00971D84">
        <w:rPr>
          <w:rFonts w:eastAsia="Times New Roman" w:cs="Times New Roman"/>
          <w:rtl/>
          <w:lang w:eastAsia="de-DE"/>
        </w:rPr>
        <w:t xml:space="preserve"> </w:t>
      </w:r>
      <w:r w:rsidRPr="00971D84">
        <w:rPr>
          <w:rFonts w:eastAsia="Times New Roman" w:cs="Times New Roman"/>
          <w:lang w:eastAsia="de-DE"/>
        </w:rPr>
        <w:t xml:space="preserve">(vom Geflügel oder vom Vieh) spezifiziert die Tierarten. </w:t>
      </w:r>
      <w:r w:rsidRPr="00971D84">
        <w:rPr>
          <w:rFonts w:eastAsia="Times New Roman" w:cs="Times New Roman"/>
          <w:b/>
          <w:bCs/>
          <w:rtl/>
          <w:lang w:eastAsia="de-DE"/>
        </w:rPr>
        <w:t>לעוף ולבהמה</w:t>
      </w:r>
      <w:r w:rsidRPr="00971D84">
        <w:rPr>
          <w:rFonts w:eastAsia="Times New Roman" w:cs="Times New Roman"/>
          <w:rtl/>
          <w:lang w:eastAsia="de-DE"/>
        </w:rPr>
        <w:t xml:space="preserve"> </w:t>
      </w:r>
      <w:r w:rsidRPr="00971D84">
        <w:rPr>
          <w:rFonts w:eastAsia="Times New Roman" w:cs="Times New Roman"/>
          <w:lang w:eastAsia="de-DE"/>
        </w:rPr>
        <w:t>(vom Geflügel oder vom Vieh) umfasst alle essbaren Tiere.</w:t>
      </w:r>
    </w:p>
    <w:p w14:paraId="4305906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בכל מושבתיכם</w:t>
      </w:r>
      <w:r w:rsidRPr="00971D84">
        <w:rPr>
          <w:rFonts w:eastAsia="Times New Roman" w:cs="Times New Roman"/>
          <w:rtl/>
          <w:lang w:eastAsia="de-DE"/>
        </w:rPr>
        <w:t xml:space="preserve"> </w:t>
      </w:r>
      <w:r w:rsidRPr="00971D84">
        <w:rPr>
          <w:rFonts w:eastAsia="Times New Roman" w:cs="Times New Roman"/>
          <w:lang w:eastAsia="de-DE"/>
        </w:rPr>
        <w:t xml:space="preserve">(in allen euren Wohnsitzen) zeigt die universelle Geltung: nicht nur im Heiligtum, sondern überall, wo Israeliten wohnen. </w:t>
      </w:r>
      <w:r w:rsidRPr="00971D84">
        <w:rPr>
          <w:rFonts w:eastAsia="Times New Roman" w:cs="Times New Roman"/>
          <w:b/>
          <w:bCs/>
          <w:rtl/>
          <w:lang w:eastAsia="de-DE"/>
        </w:rPr>
        <w:t>מושבות</w:t>
      </w:r>
      <w:r w:rsidRPr="00971D84">
        <w:rPr>
          <w:rFonts w:eastAsia="Times New Roman" w:cs="Times New Roman"/>
          <w:rtl/>
          <w:lang w:eastAsia="de-DE"/>
        </w:rPr>
        <w:t xml:space="preserve"> </w:t>
      </w:r>
      <w:r w:rsidRPr="00971D84">
        <w:rPr>
          <w:rFonts w:eastAsia="Times New Roman" w:cs="Times New Roman"/>
          <w:lang w:eastAsia="de-DE"/>
        </w:rPr>
        <w:t xml:space="preserve">(Wohnsitze) von </w:t>
      </w:r>
      <w:r w:rsidRPr="00971D84">
        <w:rPr>
          <w:rFonts w:eastAsia="Times New Roman" w:cs="Times New Roman"/>
          <w:b/>
          <w:bCs/>
          <w:rtl/>
          <w:lang w:eastAsia="de-DE"/>
        </w:rPr>
        <w:t>ישב</w:t>
      </w:r>
      <w:r w:rsidRPr="00971D84">
        <w:rPr>
          <w:rFonts w:eastAsia="Times New Roman" w:cs="Times New Roman"/>
          <w:rtl/>
          <w:lang w:eastAsia="de-DE"/>
        </w:rPr>
        <w:t xml:space="preserve"> </w:t>
      </w:r>
      <w:r w:rsidRPr="00971D84">
        <w:rPr>
          <w:rFonts w:eastAsia="Times New Roman" w:cs="Times New Roman"/>
          <w:lang w:eastAsia="de-DE"/>
        </w:rPr>
        <w:t>(sitzen/wohnen).</w:t>
      </w:r>
    </w:p>
    <w:p w14:paraId="4780A5A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לעוף ולבהמה</w:t>
      </w:r>
      <w:r w:rsidRPr="00971D84">
        <w:rPr>
          <w:rFonts w:eastAsia="Times New Roman" w:cs="Times New Roman"/>
          <w:rtl/>
          <w:lang w:eastAsia="de-DE"/>
        </w:rPr>
        <w:t xml:space="preserve"> </w:t>
      </w:r>
      <w:r w:rsidRPr="00971D84">
        <w:rPr>
          <w:rFonts w:eastAsia="Times New Roman" w:cs="Times New Roman"/>
          <w:lang w:eastAsia="de-DE"/>
        </w:rPr>
        <w:t>(vom Geflügel oder vom Vieh) erweitert das Blutverbot über die Opfertiere hinaus auf alle Fleischquellen. Das Blutverbot ist umfassender als das Fettverbot (nur Opfertiere).</w:t>
      </w:r>
    </w:p>
    <w:p w14:paraId="2D604F1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כָל־דָּם֙</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ᾶν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ἷμ</w:t>
      </w:r>
      <w:proofErr w:type="spellEnd"/>
      <w:r w:rsidRPr="00971D84">
        <w:rPr>
          <w:rFonts w:eastAsia="Times New Roman" w:cs="Times New Roman"/>
          <w:lang w:eastAsia="de-DE"/>
        </w:rPr>
        <w:t xml:space="preserve">α (alles Blut), </w:t>
      </w:r>
      <w:r w:rsidRPr="00971D84">
        <w:rPr>
          <w:rFonts w:eastAsia="Times New Roman" w:cs="Times New Roman"/>
          <w:b/>
          <w:bCs/>
          <w:rtl/>
          <w:lang w:eastAsia="de-DE"/>
        </w:rPr>
        <w:t>מוֹשְׁבֹתֵיכֶ֑ם</w:t>
      </w:r>
      <w:r w:rsidRPr="00971D84">
        <w:rPr>
          <w:rFonts w:eastAsia="Times New Roman" w:cs="Times New Roman"/>
          <w:rtl/>
          <w:lang w:eastAsia="de-DE"/>
        </w:rPr>
        <w:t xml:space="preserve"> </w:t>
      </w:r>
      <w:r w:rsidRPr="00971D84">
        <w:rPr>
          <w:rFonts w:eastAsia="Times New Roman" w:cs="Times New Roman"/>
          <w:lang w:eastAsia="de-DE"/>
        </w:rPr>
        <w:t>mit τα</w:t>
      </w:r>
      <w:proofErr w:type="spellStart"/>
      <w:r w:rsidRPr="00971D84">
        <w:rPr>
          <w:rFonts w:eastAsia="Times New Roman" w:cs="Times New Roman"/>
          <w:lang w:eastAsia="de-DE"/>
        </w:rPr>
        <w:t>ῖς</w:t>
      </w:r>
      <w:proofErr w:type="spellEnd"/>
      <w:r w:rsidRPr="00971D84">
        <w:rPr>
          <w:rFonts w:eastAsia="Times New Roman" w:cs="Times New Roman"/>
          <w:lang w:eastAsia="de-DE"/>
        </w:rPr>
        <w:t xml:space="preserve"> κα</w:t>
      </w:r>
      <w:proofErr w:type="spellStart"/>
      <w:r w:rsidRPr="00971D84">
        <w:rPr>
          <w:rFonts w:eastAsia="Times New Roman" w:cs="Times New Roman"/>
          <w:lang w:eastAsia="de-DE"/>
        </w:rPr>
        <w:t>τοικί</w:t>
      </w:r>
      <w:proofErr w:type="spellEnd"/>
      <w:r w:rsidRPr="00971D84">
        <w:rPr>
          <w:rFonts w:eastAsia="Times New Roman" w:cs="Times New Roman"/>
          <w:lang w:eastAsia="de-DE"/>
        </w:rPr>
        <w:t xml:space="preserve">αις </w:t>
      </w:r>
      <w:proofErr w:type="spellStart"/>
      <w:r w:rsidRPr="00971D84">
        <w:rPr>
          <w:rFonts w:eastAsia="Times New Roman" w:cs="Times New Roman"/>
          <w:lang w:eastAsia="de-DE"/>
        </w:rPr>
        <w:t>ὑμῶν</w:t>
      </w:r>
      <w:proofErr w:type="spellEnd"/>
      <w:r w:rsidRPr="00971D84">
        <w:rPr>
          <w:rFonts w:eastAsia="Times New Roman" w:cs="Times New Roman"/>
          <w:lang w:eastAsia="de-DE"/>
        </w:rPr>
        <w:t xml:space="preserve"> (euren Wohnsitzen) und </w:t>
      </w:r>
      <w:r w:rsidRPr="00971D84">
        <w:rPr>
          <w:rFonts w:eastAsia="Times New Roman" w:cs="Times New Roman"/>
          <w:b/>
          <w:bCs/>
          <w:rtl/>
          <w:lang w:eastAsia="de-DE"/>
        </w:rPr>
        <w:t>לָע֖וֹף</w:t>
      </w:r>
      <w:r w:rsidRPr="00971D84">
        <w:rPr>
          <w:rFonts w:eastAsia="Times New Roman" w:cs="Times New Roman"/>
          <w:rtl/>
          <w:lang w:eastAsia="de-DE"/>
        </w:rPr>
        <w:t xml:space="preserve"> </w:t>
      </w:r>
      <w:r w:rsidRPr="00971D84">
        <w:rPr>
          <w:rFonts w:eastAsia="Times New Roman" w:cs="Times New Roman"/>
          <w:lang w:eastAsia="de-DE"/>
        </w:rPr>
        <w:t>mit ἀπὸ π</w:t>
      </w:r>
      <w:proofErr w:type="spellStart"/>
      <w:r w:rsidRPr="00971D84">
        <w:rPr>
          <w:rFonts w:eastAsia="Times New Roman" w:cs="Times New Roman"/>
          <w:lang w:eastAsia="de-DE"/>
        </w:rPr>
        <w:t>ετεινῶν</w:t>
      </w:r>
      <w:proofErr w:type="spellEnd"/>
      <w:r w:rsidRPr="00971D84">
        <w:rPr>
          <w:rFonts w:eastAsia="Times New Roman" w:cs="Times New Roman"/>
          <w:lang w:eastAsia="de-DE"/>
        </w:rPr>
        <w:t xml:space="preserve"> (von Vögeln).</w:t>
      </w:r>
    </w:p>
    <w:p w14:paraId="62C6E12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universelles Verbot: universelles Objekt + kategorisches Verbot + universelle Ortsangabe + Spezifizierung. Die Struktur etabliert das grundlegendste Speisegesetz.</w:t>
      </w:r>
    </w:p>
    <w:p w14:paraId="02B846B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Dieser Vers etabliert das umfassende Blutverbot für alle Tiere an allen Orten als fundamentales israelitisches Speisegesetz.</w:t>
      </w:r>
    </w:p>
    <w:p w14:paraId="727CF6F9"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7,27</w:t>
      </w:r>
    </w:p>
    <w:p w14:paraId="3F1BA64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כָּל־נֶ֖פֶשׁ אֲשֶׁר־תֹּאכַ֣ל כָּל־דָּ֑ם וְנִכְרְתָ֛ה הַנֶּ֥פֶשׁ הַהִ֖וא מֵֽעַמֶּֽיהָ׃</w:t>
      </w:r>
    </w:p>
    <w:p w14:paraId="22C6808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Jede Seele, die irgendein Blut isst, selbige Seele soll dann aus ihren Volksgenossen ausgerottet werden.</w:t>
      </w:r>
    </w:p>
    <w:p w14:paraId="343E991C"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5D8B113">
          <v:rect id="_x0000_i1185" style="width:0;height:1.5pt" o:hralign="center" o:hrstd="t" o:hr="t" fillcolor="#a0a0a0" stroked="f"/>
        </w:pict>
      </w:r>
    </w:p>
    <w:p w14:paraId="6084929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כָּל־נֶ֖פֶשׁ אֲשֶׁר־תֹּאכַ֣ל כָּל־דָּ֑ם 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 xml:space="preserve">entspricht strukturell V. 25 für Fett, aber mit </w:t>
      </w:r>
      <w:r w:rsidRPr="00971D84">
        <w:rPr>
          <w:rFonts w:eastAsia="Times New Roman" w:cs="Times New Roman"/>
          <w:b/>
          <w:bCs/>
          <w:rtl/>
          <w:lang w:eastAsia="de-DE"/>
        </w:rPr>
        <w:t>כל־דם</w:t>
      </w:r>
      <w:r w:rsidRPr="00971D84">
        <w:rPr>
          <w:rFonts w:eastAsia="Times New Roman" w:cs="Times New Roman"/>
          <w:rtl/>
          <w:lang w:eastAsia="de-DE"/>
        </w:rPr>
        <w:t xml:space="preserve"> </w:t>
      </w:r>
      <w:r w:rsidRPr="00971D84">
        <w:rPr>
          <w:rFonts w:eastAsia="Times New Roman" w:cs="Times New Roman"/>
          <w:lang w:eastAsia="de-DE"/>
        </w:rPr>
        <w:t xml:space="preserve">(alles Blut). </w:t>
      </w:r>
      <w:r w:rsidRPr="00971D84">
        <w:rPr>
          <w:rFonts w:eastAsia="Times New Roman" w:cs="Times New Roman"/>
          <w:b/>
          <w:bCs/>
          <w:rtl/>
          <w:lang w:eastAsia="de-DE"/>
        </w:rPr>
        <w:t>כל־נפש אשר־תאכל כל־דם</w:t>
      </w:r>
      <w:r w:rsidRPr="00971D84">
        <w:rPr>
          <w:rFonts w:eastAsia="Times New Roman" w:cs="Times New Roman"/>
          <w:rtl/>
          <w:lang w:eastAsia="de-DE"/>
        </w:rPr>
        <w:t xml:space="preserve"> </w:t>
      </w:r>
      <w:r w:rsidRPr="00971D84">
        <w:rPr>
          <w:rFonts w:eastAsia="Times New Roman" w:cs="Times New Roman"/>
          <w:lang w:eastAsia="de-DE"/>
        </w:rPr>
        <w:t xml:space="preserve">(jede Seele, die irgendein Blut isst), </w:t>
      </w:r>
      <w:r w:rsidRPr="00971D84">
        <w:rPr>
          <w:rFonts w:eastAsia="Times New Roman" w:cs="Times New Roman"/>
          <w:b/>
          <w:bCs/>
          <w:rtl/>
          <w:lang w:eastAsia="de-DE"/>
        </w:rPr>
        <w:t>ונכרתה הנפש ההוא מעמיה</w:t>
      </w:r>
      <w:r w:rsidRPr="00971D84">
        <w:rPr>
          <w:rFonts w:eastAsia="Times New Roman" w:cs="Times New Roman"/>
          <w:rtl/>
          <w:lang w:eastAsia="de-DE"/>
        </w:rPr>
        <w:t xml:space="preserve"> </w:t>
      </w:r>
      <w:r w:rsidRPr="00971D84">
        <w:rPr>
          <w:rFonts w:eastAsia="Times New Roman" w:cs="Times New Roman"/>
          <w:lang w:eastAsia="de-DE"/>
        </w:rPr>
        <w:t>(und jene Seele soll aus ihren Volksgenossen ausgerottet werden).</w:t>
      </w:r>
    </w:p>
    <w:p w14:paraId="58F9DA9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כל־נפש...כל־דם</w:t>
      </w:r>
      <w:r w:rsidRPr="00971D84">
        <w:rPr>
          <w:rFonts w:eastAsia="Times New Roman" w:cs="Times New Roman"/>
          <w:rtl/>
          <w:lang w:eastAsia="de-DE"/>
        </w:rPr>
        <w:t xml:space="preserve"> </w:t>
      </w:r>
      <w:r w:rsidRPr="00971D84">
        <w:rPr>
          <w:rFonts w:eastAsia="Times New Roman" w:cs="Times New Roman"/>
          <w:lang w:eastAsia="de-DE"/>
        </w:rPr>
        <w:t xml:space="preserve">(jede Seele...alles Blut) mit doppeltem </w:t>
      </w:r>
      <w:r w:rsidRPr="00971D84">
        <w:rPr>
          <w:rFonts w:eastAsia="Times New Roman" w:cs="Times New Roman"/>
          <w:b/>
          <w:bCs/>
          <w:rtl/>
          <w:lang w:eastAsia="de-DE"/>
        </w:rPr>
        <w:t>כל</w:t>
      </w:r>
      <w:r w:rsidRPr="00971D84">
        <w:rPr>
          <w:rFonts w:eastAsia="Times New Roman" w:cs="Times New Roman"/>
          <w:rtl/>
          <w:lang w:eastAsia="de-DE"/>
        </w:rPr>
        <w:t xml:space="preserve"> </w:t>
      </w:r>
      <w:r w:rsidRPr="00971D84">
        <w:rPr>
          <w:rFonts w:eastAsia="Times New Roman" w:cs="Times New Roman"/>
          <w:lang w:eastAsia="de-DE"/>
        </w:rPr>
        <w:t xml:space="preserve">betont die Universalität: jede Person, jede Art von Blut. </w:t>
      </w:r>
      <w:r w:rsidRPr="00971D84">
        <w:rPr>
          <w:rFonts w:eastAsia="Times New Roman" w:cs="Times New Roman"/>
          <w:b/>
          <w:bCs/>
          <w:rtl/>
          <w:lang w:eastAsia="de-DE"/>
        </w:rPr>
        <w:t>ונכרתה הנפש ההוא</w:t>
      </w:r>
      <w:r w:rsidRPr="00971D84">
        <w:rPr>
          <w:rFonts w:eastAsia="Times New Roman" w:cs="Times New Roman"/>
          <w:rtl/>
          <w:lang w:eastAsia="de-DE"/>
        </w:rPr>
        <w:t xml:space="preserve"> </w:t>
      </w:r>
      <w:r w:rsidRPr="00971D84">
        <w:rPr>
          <w:rFonts w:eastAsia="Times New Roman" w:cs="Times New Roman"/>
          <w:lang w:eastAsia="de-DE"/>
        </w:rPr>
        <w:t xml:space="preserve">zeigt dieselbe </w:t>
      </w:r>
      <w:r w:rsidRPr="00971D84">
        <w:rPr>
          <w:rFonts w:eastAsia="Times New Roman" w:cs="Times New Roman"/>
          <w:b/>
          <w:bCs/>
          <w:rtl/>
          <w:lang w:eastAsia="de-DE"/>
        </w:rPr>
        <w:t>כרת</w:t>
      </w:r>
      <w:r w:rsidRPr="00971D84">
        <w:rPr>
          <w:rFonts w:eastAsia="Times New Roman" w:cs="Times New Roman"/>
          <w:lang w:eastAsia="de-DE"/>
        </w:rPr>
        <w:t>-Strafe wie beim Fettverbot.</w:t>
      </w:r>
    </w:p>
    <w:p w14:paraId="0443C43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Parallelstruktur zu V. 25 zeigt die gleichwertige Schwere von Fett- und Blutverbot: beide stehen unter </w:t>
      </w:r>
      <w:r w:rsidRPr="00971D84">
        <w:rPr>
          <w:rFonts w:eastAsia="Times New Roman" w:cs="Times New Roman"/>
          <w:b/>
          <w:bCs/>
          <w:rtl/>
          <w:lang w:eastAsia="de-DE"/>
        </w:rPr>
        <w:t>כרת</w:t>
      </w:r>
      <w:r w:rsidRPr="00971D84">
        <w:rPr>
          <w:rFonts w:eastAsia="Times New Roman" w:cs="Times New Roman"/>
          <w:lang w:eastAsia="de-DE"/>
        </w:rPr>
        <w:t>-Strafe. Das Blutverbot gilt jedoch universeller (alle Tiere) als das Fettverbot (nur Opfertiere).</w:t>
      </w:r>
    </w:p>
    <w:p w14:paraId="36CB91B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כָּל־נֶ֖פֶשׁ</w:t>
      </w:r>
      <w:r w:rsidRPr="00971D84">
        <w:rPr>
          <w:rFonts w:eastAsia="Times New Roman" w:cs="Times New Roman"/>
          <w:rtl/>
          <w:lang w:eastAsia="de-DE"/>
        </w:rPr>
        <w:t xml:space="preserve"> </w:t>
      </w:r>
      <w:r w:rsidRPr="00971D84">
        <w:rPr>
          <w:rFonts w:eastAsia="Times New Roman" w:cs="Times New Roman"/>
          <w:lang w:eastAsia="de-DE"/>
        </w:rPr>
        <w:t>mit π</w:t>
      </w:r>
      <w:proofErr w:type="spellStart"/>
      <w:r w:rsidRPr="00971D84">
        <w:rPr>
          <w:rFonts w:eastAsia="Times New Roman" w:cs="Times New Roman"/>
          <w:lang w:eastAsia="de-DE"/>
        </w:rPr>
        <w:t>ᾶσ</w:t>
      </w:r>
      <w:proofErr w:type="spellEnd"/>
      <w:r w:rsidRPr="00971D84">
        <w:rPr>
          <w:rFonts w:eastAsia="Times New Roman" w:cs="Times New Roman"/>
          <w:lang w:eastAsia="de-DE"/>
        </w:rPr>
        <w:t xml:space="preserve">α </w:t>
      </w:r>
      <w:proofErr w:type="spellStart"/>
      <w:r w:rsidRPr="00971D84">
        <w:rPr>
          <w:rFonts w:eastAsia="Times New Roman" w:cs="Times New Roman"/>
          <w:lang w:eastAsia="de-DE"/>
        </w:rPr>
        <w:t>ψυχή</w:t>
      </w:r>
      <w:proofErr w:type="spellEnd"/>
      <w:r w:rsidRPr="00971D84">
        <w:rPr>
          <w:rFonts w:eastAsia="Times New Roman" w:cs="Times New Roman"/>
          <w:lang w:eastAsia="de-DE"/>
        </w:rPr>
        <w:t xml:space="preserve"> (jede Seele) und wiederholt die </w:t>
      </w:r>
      <w:r w:rsidRPr="00971D84">
        <w:rPr>
          <w:rFonts w:eastAsia="Times New Roman" w:cs="Times New Roman"/>
          <w:b/>
          <w:bCs/>
          <w:rtl/>
          <w:lang w:eastAsia="de-DE"/>
        </w:rPr>
        <w:t>כרת</w:t>
      </w:r>
      <w:r w:rsidRPr="00971D84">
        <w:rPr>
          <w:rFonts w:eastAsia="Times New Roman" w:cs="Times New Roman"/>
          <w:lang w:eastAsia="de-DE"/>
        </w:rPr>
        <w:t>-Formulierung von V. 25.</w:t>
      </w:r>
    </w:p>
    <w:p w14:paraId="3AA2704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entspricht exakt V. 25: universelles Subjekt + Relativsatz mit universeller Verfehlung + </w:t>
      </w:r>
      <w:r w:rsidRPr="00971D84">
        <w:rPr>
          <w:rFonts w:eastAsia="Times New Roman" w:cs="Times New Roman"/>
          <w:b/>
          <w:bCs/>
          <w:rtl/>
          <w:lang w:eastAsia="de-DE"/>
        </w:rPr>
        <w:t>כרת</w:t>
      </w:r>
      <w:r w:rsidRPr="00971D84">
        <w:rPr>
          <w:rFonts w:eastAsia="Times New Roman" w:cs="Times New Roman"/>
          <w:lang w:eastAsia="de-DE"/>
        </w:rPr>
        <w:t>-Formel. Die Parallelität unterstreicht die Gleichwertigkeit der Verbote.</w:t>
      </w:r>
    </w:p>
    <w:p w14:paraId="04BB0AC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beschließt die Fett- und Blutverbote mit </w:t>
      </w:r>
      <w:r w:rsidRPr="00971D84">
        <w:rPr>
          <w:rFonts w:eastAsia="Times New Roman" w:cs="Times New Roman"/>
          <w:b/>
          <w:bCs/>
          <w:rtl/>
          <w:lang w:eastAsia="de-DE"/>
        </w:rPr>
        <w:t>כרת</w:t>
      </w:r>
      <w:r w:rsidRPr="00971D84">
        <w:rPr>
          <w:rFonts w:eastAsia="Times New Roman" w:cs="Times New Roman"/>
          <w:lang w:eastAsia="de-DE"/>
        </w:rPr>
        <w:t>-Strafe und etabliert beide als fundamentale israelitische Speisegesetze.</w:t>
      </w:r>
    </w:p>
    <w:p w14:paraId="169813E3"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7,28</w:t>
      </w:r>
    </w:p>
    <w:p w14:paraId="633F9E6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וַיְדַבֵּ֥ר יְהוָ֖ה אֶל־מֹשֶׁ֥ה לֵּאמֹֽר׃</w:t>
      </w:r>
    </w:p>
    <w:p w14:paraId="1AAD362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der Ewige redete zu Mosche und sprach:</w:t>
      </w:r>
    </w:p>
    <w:p w14:paraId="02025FDE"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lastRenderedPageBreak/>
        <w:pict w14:anchorId="150E0C08">
          <v:rect id="_x0000_i1186" style="width:0;height:1.5pt" o:hralign="center" o:hrstd="t" o:hr="t" fillcolor="#a0a0a0" stroked="f"/>
        </w:pict>
      </w:r>
    </w:p>
    <w:p w14:paraId="30246CE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Die siebte Einleitungsformel in Kapitel 7 markiert den Übergang von den allgemeinen Speisegesetzen zu den priesterlichen Anteilen bei </w:t>
      </w:r>
      <w:r w:rsidRPr="00971D84">
        <w:rPr>
          <w:rFonts w:eastAsia="Times New Roman" w:cs="Times New Roman"/>
          <w:b/>
          <w:bCs/>
          <w:rtl/>
          <w:lang w:eastAsia="de-DE"/>
        </w:rPr>
        <w:t>שלמים</w:t>
      </w:r>
      <w:r w:rsidRPr="00971D84">
        <w:rPr>
          <w:rFonts w:eastAsia="Times New Roman" w:cs="Times New Roman"/>
          <w:lang w:eastAsia="de-DE"/>
        </w:rPr>
        <w:t>. Die wiederholte Formel zeigt die systematische Gliederung der verschiedenen Bestimmungen.</w:t>
      </w:r>
    </w:p>
    <w:p w14:paraId="007224E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 Einleitung führt zur Regelung der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(Schwingopfer) und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(Hebopfer) bei </w:t>
      </w:r>
      <w:r w:rsidRPr="00971D84">
        <w:rPr>
          <w:rFonts w:eastAsia="Times New Roman" w:cs="Times New Roman"/>
          <w:b/>
          <w:bCs/>
          <w:rtl/>
          <w:lang w:eastAsia="de-DE"/>
        </w:rPr>
        <w:t>שלמים</w:t>
      </w:r>
      <w:r w:rsidRPr="00971D84">
        <w:rPr>
          <w:rFonts w:eastAsia="Times New Roman" w:cs="Times New Roman"/>
          <w:lang w:eastAsia="de-DE"/>
        </w:rPr>
        <w:t>.</w:t>
      </w:r>
    </w:p>
    <w:p w14:paraId="35FD58C7"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7,29</w:t>
      </w:r>
    </w:p>
    <w:p w14:paraId="534394F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דַּבֵּ֛ר אֶל־בְּנֵ֥י יִשְׂרָאֵ֖ל לֵאמֹ֑ר הַמַּקְרִ֞יב אֶת־זֶ֤בַח שְׁלָמָיו֙ לַיהוָ֔ה יָבִ֧יא אֶת־קָרְבָּנֹ֛ו לַיהוָ֖ה מִזֶּ֥בַח שְׁלָמָֽיו׃</w:t>
      </w:r>
    </w:p>
    <w:p w14:paraId="62B7E39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Rede zu den Söhnen Israels und sprich: Wer sein Friedensopfer dem Ewigen darbringt, soll von seinem Friedensopfer seine Opfergabe dem Ewigen bringen.</w:t>
      </w:r>
    </w:p>
    <w:p w14:paraId="43A3C3DE"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56F0588F">
          <v:rect id="_x0000_i1187" style="width:0;height:1.5pt" o:hralign="center" o:hrstd="t" o:hr="t" fillcolor="#a0a0a0" stroked="f"/>
        </w:pict>
      </w:r>
    </w:p>
    <w:p w14:paraId="7C9E009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דַּבֵּ֛ר אֶל־בְּנֵ֥י יִשְׂרָאֵ֖ל לֵאמֹ֑ר</w:t>
      </w:r>
      <w:r w:rsidRPr="00971D84">
        <w:rPr>
          <w:rFonts w:eastAsia="Times New Roman" w:cs="Times New Roman"/>
          <w:rtl/>
          <w:lang w:eastAsia="de-DE"/>
        </w:rPr>
        <w:t xml:space="preserve"> </w:t>
      </w:r>
      <w:r w:rsidRPr="00971D84">
        <w:rPr>
          <w:rFonts w:eastAsia="Times New Roman" w:cs="Times New Roman"/>
          <w:lang w:eastAsia="de-DE"/>
        </w:rPr>
        <w:t xml:space="preserve">richtet sich wieder an ganz Israel entsprechend V. 23. </w:t>
      </w:r>
      <w:r w:rsidRPr="00971D84">
        <w:rPr>
          <w:rFonts w:eastAsia="Times New Roman" w:cs="Times New Roman"/>
          <w:b/>
          <w:bCs/>
          <w:rtl/>
          <w:lang w:eastAsia="de-DE"/>
        </w:rPr>
        <w:t>הַמַּקְרִ֞יב אֶת־זֶ֤בַח שְׁלָמָיו֙ לַיהוָ֔ה</w:t>
      </w:r>
      <w:r w:rsidRPr="00971D84">
        <w:rPr>
          <w:rFonts w:eastAsia="Times New Roman" w:cs="Times New Roman"/>
          <w:rtl/>
          <w:lang w:eastAsia="de-DE"/>
        </w:rPr>
        <w:t xml:space="preserve"> </w:t>
      </w:r>
      <w:r w:rsidRPr="00971D84">
        <w:rPr>
          <w:rFonts w:eastAsia="Times New Roman" w:cs="Times New Roman"/>
          <w:lang w:eastAsia="de-DE"/>
        </w:rPr>
        <w:t xml:space="preserve">(wer sein Friedensopfer JHWH darbringt) spezifiziert den </w:t>
      </w:r>
      <w:r w:rsidRPr="00971D84">
        <w:rPr>
          <w:rFonts w:eastAsia="Times New Roman" w:cs="Times New Roman"/>
          <w:b/>
          <w:bCs/>
          <w:rtl/>
          <w:lang w:eastAsia="de-DE"/>
        </w:rPr>
        <w:t>שלמים</w:t>
      </w:r>
      <w:r w:rsidRPr="00971D84">
        <w:rPr>
          <w:rFonts w:eastAsia="Times New Roman" w:cs="Times New Roman"/>
          <w:lang w:eastAsia="de-DE"/>
        </w:rPr>
        <w:t>-Darbringer.</w:t>
      </w:r>
    </w:p>
    <w:p w14:paraId="5488FAF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יָבִ֧יא אֶת־קָרְבָּנֹ֛ו לַיהוָ֖ה מִזֶּ֥בַח שְׁלָמָֽיו</w:t>
      </w:r>
      <w:r w:rsidRPr="00971D84">
        <w:rPr>
          <w:rFonts w:eastAsia="Times New Roman" w:cs="Times New Roman"/>
          <w:rtl/>
          <w:lang w:eastAsia="de-DE"/>
        </w:rPr>
        <w:t xml:space="preserve"> </w:t>
      </w:r>
      <w:r w:rsidRPr="00971D84">
        <w:rPr>
          <w:rFonts w:eastAsia="Times New Roman" w:cs="Times New Roman"/>
          <w:lang w:eastAsia="de-DE"/>
        </w:rPr>
        <w:t xml:space="preserve">(soll seine Opfergabe JHWH bringen von seinem Friedensopfer) zeigt die zusätzliche Verpflichtung. </w:t>
      </w:r>
      <w:r w:rsidRPr="00971D84">
        <w:rPr>
          <w:rFonts w:eastAsia="Times New Roman" w:cs="Times New Roman"/>
          <w:b/>
          <w:bCs/>
          <w:rtl/>
          <w:lang w:eastAsia="de-DE"/>
        </w:rPr>
        <w:t>יביא את־קרבנו ליהוה</w:t>
      </w:r>
      <w:r w:rsidRPr="00971D84">
        <w:rPr>
          <w:rFonts w:eastAsia="Times New Roman" w:cs="Times New Roman"/>
          <w:rtl/>
          <w:lang w:eastAsia="de-DE"/>
        </w:rPr>
        <w:t xml:space="preserve"> </w:t>
      </w:r>
      <w:r w:rsidRPr="00971D84">
        <w:rPr>
          <w:rFonts w:eastAsia="Times New Roman" w:cs="Times New Roman"/>
          <w:lang w:eastAsia="de-DE"/>
        </w:rPr>
        <w:t xml:space="preserve">(soll seine Opfergabe JHWH bringen), </w:t>
      </w:r>
      <w:r w:rsidRPr="00971D84">
        <w:rPr>
          <w:rFonts w:eastAsia="Times New Roman" w:cs="Times New Roman"/>
          <w:b/>
          <w:bCs/>
          <w:rtl/>
          <w:lang w:eastAsia="de-DE"/>
        </w:rPr>
        <w:t>מזבח שלמיו</w:t>
      </w:r>
      <w:r w:rsidRPr="00971D84">
        <w:rPr>
          <w:rFonts w:eastAsia="Times New Roman" w:cs="Times New Roman"/>
          <w:rtl/>
          <w:lang w:eastAsia="de-DE"/>
        </w:rPr>
        <w:t xml:space="preserve"> </w:t>
      </w:r>
      <w:r w:rsidRPr="00971D84">
        <w:rPr>
          <w:rFonts w:eastAsia="Times New Roman" w:cs="Times New Roman"/>
          <w:lang w:eastAsia="de-DE"/>
        </w:rPr>
        <w:t>(von seinem Friedensopfer).</w:t>
      </w:r>
    </w:p>
    <w:p w14:paraId="260FCCF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מזבח שלמיו</w:t>
      </w:r>
      <w:r w:rsidRPr="00971D84">
        <w:rPr>
          <w:rFonts w:eastAsia="Times New Roman" w:cs="Times New Roman"/>
          <w:rtl/>
          <w:lang w:eastAsia="de-DE"/>
        </w:rPr>
        <w:t xml:space="preserve"> </w:t>
      </w:r>
      <w:r w:rsidRPr="00971D84">
        <w:rPr>
          <w:rFonts w:eastAsia="Times New Roman" w:cs="Times New Roman"/>
          <w:lang w:eastAsia="de-DE"/>
        </w:rPr>
        <w:t xml:space="preserve">(von seinem Friedensopfer) zeigt, dass neben dem </w:t>
      </w:r>
      <w:r w:rsidRPr="00971D84">
        <w:rPr>
          <w:rFonts w:eastAsia="Times New Roman" w:cs="Times New Roman"/>
          <w:b/>
          <w:bCs/>
          <w:rtl/>
          <w:lang w:eastAsia="de-DE"/>
        </w:rPr>
        <w:t>שלמים</w:t>
      </w:r>
      <w:r w:rsidRPr="00971D84">
        <w:rPr>
          <w:rFonts w:eastAsia="Times New Roman" w:cs="Times New Roman"/>
          <w:lang w:eastAsia="de-DE"/>
        </w:rPr>
        <w:t xml:space="preserve">-Tier zusätzliche </w:t>
      </w:r>
      <w:r w:rsidRPr="00971D84">
        <w:rPr>
          <w:rFonts w:eastAsia="Times New Roman" w:cs="Times New Roman"/>
          <w:b/>
          <w:bCs/>
          <w:rtl/>
          <w:lang w:eastAsia="de-DE"/>
        </w:rPr>
        <w:t>קרבן</w:t>
      </w:r>
      <w:r w:rsidRPr="00971D84">
        <w:rPr>
          <w:rFonts w:eastAsia="Times New Roman" w:cs="Times New Roman"/>
          <w:rtl/>
          <w:lang w:eastAsia="de-DE"/>
        </w:rPr>
        <w:t xml:space="preserve"> </w:t>
      </w:r>
      <w:r w:rsidRPr="00971D84">
        <w:rPr>
          <w:rFonts w:eastAsia="Times New Roman" w:cs="Times New Roman"/>
          <w:lang w:eastAsia="de-DE"/>
        </w:rPr>
        <w:t xml:space="preserve">(Opfergabe) gebracht werden muss. Die folgende Verse spezifizieren diese als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תרומה</w:t>
      </w:r>
      <w:r w:rsidRPr="00971D84">
        <w:rPr>
          <w:rFonts w:eastAsia="Times New Roman" w:cs="Times New Roman"/>
          <w:lang w:eastAsia="de-DE"/>
        </w:rPr>
        <w:t>.</w:t>
      </w:r>
    </w:p>
    <w:p w14:paraId="4737CCC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הַמַּקְרִ֞יב</w:t>
      </w:r>
      <w:r w:rsidRPr="00971D84">
        <w:rPr>
          <w:rFonts w:eastAsia="Times New Roman" w:cs="Times New Roman"/>
          <w:rtl/>
          <w:lang w:eastAsia="de-DE"/>
        </w:rPr>
        <w:t xml:space="preserve"> </w:t>
      </w:r>
      <w:r w:rsidRPr="00971D84">
        <w:rPr>
          <w:rFonts w:eastAsia="Times New Roman" w:cs="Times New Roman"/>
          <w:lang w:eastAsia="de-DE"/>
        </w:rPr>
        <w:t>mit ὁ π</w:t>
      </w:r>
      <w:proofErr w:type="spellStart"/>
      <w:r w:rsidRPr="00971D84">
        <w:rPr>
          <w:rFonts w:eastAsia="Times New Roman" w:cs="Times New Roman"/>
          <w:lang w:eastAsia="de-DE"/>
        </w:rPr>
        <w:t>ροσφέρων</w:t>
      </w:r>
      <w:proofErr w:type="spellEnd"/>
      <w:r w:rsidRPr="00971D84">
        <w:rPr>
          <w:rFonts w:eastAsia="Times New Roman" w:cs="Times New Roman"/>
          <w:lang w:eastAsia="de-DE"/>
        </w:rPr>
        <w:t xml:space="preserve"> (der darbringende), </w:t>
      </w:r>
      <w:r w:rsidRPr="00971D84">
        <w:rPr>
          <w:rFonts w:eastAsia="Times New Roman" w:cs="Times New Roman"/>
          <w:b/>
          <w:bCs/>
          <w:rtl/>
          <w:lang w:eastAsia="de-DE"/>
        </w:rPr>
        <w:t>קָרְבָּנֹ֛ו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δῶρον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ὐτοῦ</w:t>
      </w:r>
      <w:proofErr w:type="spellEnd"/>
      <w:r w:rsidRPr="00971D84">
        <w:rPr>
          <w:rFonts w:eastAsia="Times New Roman" w:cs="Times New Roman"/>
          <w:lang w:eastAsia="de-DE"/>
        </w:rPr>
        <w:t xml:space="preserve"> (seine Gabe) und </w:t>
      </w:r>
      <w:r w:rsidRPr="00971D84">
        <w:rPr>
          <w:rFonts w:eastAsia="Times New Roman" w:cs="Times New Roman"/>
          <w:b/>
          <w:bCs/>
          <w:rtl/>
          <w:lang w:eastAsia="de-DE"/>
        </w:rPr>
        <w:t>מִזֶּ֥בַח</w:t>
      </w:r>
      <w:r w:rsidRPr="00971D84">
        <w:rPr>
          <w:rFonts w:eastAsia="Times New Roman" w:cs="Times New Roman"/>
          <w:rtl/>
          <w:lang w:eastAsia="de-DE"/>
        </w:rPr>
        <w:t xml:space="preserve"> </w:t>
      </w:r>
      <w:r w:rsidRPr="00971D84">
        <w:rPr>
          <w:rFonts w:eastAsia="Times New Roman" w:cs="Times New Roman"/>
          <w:lang w:eastAsia="de-DE"/>
        </w:rPr>
        <w:t xml:space="preserve">mit ἀπὸ </w:t>
      </w:r>
      <w:proofErr w:type="spellStart"/>
      <w:r w:rsidRPr="00971D84">
        <w:rPr>
          <w:rFonts w:eastAsia="Times New Roman" w:cs="Times New Roman"/>
          <w:lang w:eastAsia="de-DE"/>
        </w:rPr>
        <w:t>θυσί</w:t>
      </w:r>
      <w:proofErr w:type="spellEnd"/>
      <w:r w:rsidRPr="00971D84">
        <w:rPr>
          <w:rFonts w:eastAsia="Times New Roman" w:cs="Times New Roman"/>
          <w:lang w:eastAsia="de-DE"/>
        </w:rPr>
        <w:t>ας (von der Opferung).</w:t>
      </w:r>
    </w:p>
    <w:p w14:paraId="42B85B2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Verpflichtung zur zusätzlichen Darbringung: Adressatenangabe + Subjekt + zusätzliche Verpflichtung mit Quellenangabe. Die Struktur führt die </w:t>
      </w:r>
      <w:r w:rsidRPr="00971D84">
        <w:rPr>
          <w:rFonts w:eastAsia="Times New Roman" w:cs="Times New Roman"/>
          <w:b/>
          <w:bCs/>
          <w:rtl/>
          <w:lang w:eastAsia="de-DE"/>
        </w:rPr>
        <w:t>שלמים</w:t>
      </w:r>
      <w:r w:rsidRPr="00971D84">
        <w:rPr>
          <w:rFonts w:eastAsia="Times New Roman" w:cs="Times New Roman"/>
          <w:lang w:eastAsia="de-DE"/>
        </w:rPr>
        <w:t>-Zusatzdarbringungen ein.</w:t>
      </w:r>
    </w:p>
    <w:p w14:paraId="358D544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etabliert die Verpflichtung zur zusätzlichen </w:t>
      </w:r>
      <w:r w:rsidRPr="00971D84">
        <w:rPr>
          <w:rFonts w:eastAsia="Times New Roman" w:cs="Times New Roman"/>
          <w:b/>
          <w:bCs/>
          <w:rtl/>
          <w:lang w:eastAsia="de-DE"/>
        </w:rPr>
        <w:t>קרבן</w:t>
      </w:r>
      <w:r w:rsidRPr="00971D84">
        <w:rPr>
          <w:rFonts w:eastAsia="Times New Roman" w:cs="Times New Roman"/>
          <w:lang w:eastAsia="de-DE"/>
        </w:rPr>
        <w:t xml:space="preserve">-Darbringung neben dem </w:t>
      </w:r>
      <w:r w:rsidRPr="00971D84">
        <w:rPr>
          <w:rFonts w:eastAsia="Times New Roman" w:cs="Times New Roman"/>
          <w:b/>
          <w:bCs/>
          <w:rtl/>
          <w:lang w:eastAsia="de-DE"/>
        </w:rPr>
        <w:t>שלמים</w:t>
      </w:r>
      <w:r w:rsidRPr="00971D84">
        <w:rPr>
          <w:rFonts w:eastAsia="Times New Roman" w:cs="Times New Roman"/>
          <w:lang w:eastAsia="de-DE"/>
        </w:rPr>
        <w:t>-Tier selbst.</w:t>
      </w:r>
    </w:p>
    <w:p w14:paraId="2EB7CC53"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7,30</w:t>
      </w:r>
    </w:p>
    <w:p w14:paraId="5C265E1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יָדָ֣יו תְּבִיאֶ֔ינָה אֵ֖ת אִשֵּׁ֣י יְהוָ֑ה אֶת־הַחֵ֤לֶב עַל־הֶֽחָזֶה֙ יְבִיאֶ֔נּוּ אֵ֣ת הֶחָזֶ֗ה לְהָנִ֥יף אֹתוֹ֛ תְּנוּפָ֖ה לִפְנֵ֥י יְהוָֽה׃</w:t>
      </w:r>
    </w:p>
    <w:p w14:paraId="46F5C08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Seine Hände sollen die Feueropfer des Ewigen bringen; das Fett samt der Brust soll er bringen: Die Brust, um sie als Schwingopfer vor dem Ewigen zu schwingen.</w:t>
      </w:r>
    </w:p>
    <w:p w14:paraId="5CE7B8C8"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7D73F46C">
          <v:rect id="_x0000_i1188" style="width:0;height:1.5pt" o:hralign="center" o:hrstd="t" o:hr="t" fillcolor="#a0a0a0" stroked="f"/>
        </w:pict>
      </w:r>
    </w:p>
    <w:p w14:paraId="40A8C44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Kommentar:</w:t>
      </w:r>
      <w:r w:rsidRPr="00971D84">
        <w:rPr>
          <w:rFonts w:eastAsia="Times New Roman" w:cs="Times New Roman"/>
          <w:lang w:eastAsia="de-DE"/>
        </w:rPr>
        <w:t xml:space="preserve"> </w:t>
      </w:r>
      <w:r w:rsidRPr="00971D84">
        <w:rPr>
          <w:rFonts w:eastAsia="Times New Roman" w:cs="Times New Roman"/>
          <w:b/>
          <w:bCs/>
          <w:rtl/>
          <w:lang w:eastAsia="de-DE"/>
        </w:rPr>
        <w:t>יָדָ֣יו תְּבִיאֶ֔ינָה אֵ֖ת אִשֵּׁ֣י יְהוָ֑ה</w:t>
      </w:r>
      <w:r w:rsidRPr="00971D84">
        <w:rPr>
          <w:rFonts w:eastAsia="Times New Roman" w:cs="Times New Roman"/>
          <w:rtl/>
          <w:lang w:eastAsia="de-DE"/>
        </w:rPr>
        <w:t xml:space="preserve"> </w:t>
      </w:r>
      <w:r w:rsidRPr="00971D84">
        <w:rPr>
          <w:rFonts w:eastAsia="Times New Roman" w:cs="Times New Roman"/>
          <w:lang w:eastAsia="de-DE"/>
        </w:rPr>
        <w:t xml:space="preserve">(seine Hände sollen die Feueropfer JHWHs bringen) betont die persönliche Darbringung. </w:t>
      </w:r>
      <w:r w:rsidRPr="00971D84">
        <w:rPr>
          <w:rFonts w:eastAsia="Times New Roman" w:cs="Times New Roman"/>
          <w:b/>
          <w:bCs/>
          <w:rtl/>
          <w:lang w:eastAsia="de-DE"/>
        </w:rPr>
        <w:t>ידיו תביאינה</w:t>
      </w:r>
      <w:r w:rsidRPr="00971D84">
        <w:rPr>
          <w:rFonts w:eastAsia="Times New Roman" w:cs="Times New Roman"/>
          <w:rtl/>
          <w:lang w:eastAsia="de-DE"/>
        </w:rPr>
        <w:t xml:space="preserve"> </w:t>
      </w:r>
      <w:r w:rsidRPr="00971D84">
        <w:rPr>
          <w:rFonts w:eastAsia="Times New Roman" w:cs="Times New Roman"/>
          <w:lang w:eastAsia="de-DE"/>
        </w:rPr>
        <w:t xml:space="preserve">(seine Hände sollen bringen) im </w:t>
      </w:r>
      <w:proofErr w:type="spellStart"/>
      <w:r w:rsidRPr="00971D84">
        <w:rPr>
          <w:rFonts w:eastAsia="Times New Roman" w:cs="Times New Roman"/>
          <w:lang w:eastAsia="de-DE"/>
        </w:rPr>
        <w:t>feminininen</w:t>
      </w:r>
      <w:proofErr w:type="spellEnd"/>
      <w:r w:rsidRPr="00971D84">
        <w:rPr>
          <w:rFonts w:eastAsia="Times New Roman" w:cs="Times New Roman"/>
          <w:lang w:eastAsia="de-DE"/>
        </w:rPr>
        <w:t xml:space="preserve"> Plural entsprechend </w:t>
      </w:r>
      <w:r w:rsidRPr="00971D84">
        <w:rPr>
          <w:rFonts w:eastAsia="Times New Roman" w:cs="Times New Roman"/>
          <w:b/>
          <w:bCs/>
          <w:rtl/>
          <w:lang w:eastAsia="de-DE"/>
        </w:rPr>
        <w:t>ידיו</w:t>
      </w:r>
      <w:r w:rsidRPr="00971D84">
        <w:rPr>
          <w:rFonts w:eastAsia="Times New Roman" w:cs="Times New Roman"/>
          <w:rtl/>
          <w:lang w:eastAsia="de-DE"/>
        </w:rPr>
        <w:t xml:space="preserve"> </w:t>
      </w:r>
      <w:r w:rsidRPr="00971D84">
        <w:rPr>
          <w:rFonts w:eastAsia="Times New Roman" w:cs="Times New Roman"/>
          <w:lang w:eastAsia="de-DE"/>
        </w:rPr>
        <w:t xml:space="preserve">(seine Hände), </w:t>
      </w:r>
      <w:r w:rsidRPr="00971D84">
        <w:rPr>
          <w:rFonts w:eastAsia="Times New Roman" w:cs="Times New Roman"/>
          <w:b/>
          <w:bCs/>
          <w:rtl/>
          <w:lang w:eastAsia="de-DE"/>
        </w:rPr>
        <w:t>את אשי יהוה</w:t>
      </w:r>
      <w:r w:rsidRPr="00971D84">
        <w:rPr>
          <w:rFonts w:eastAsia="Times New Roman" w:cs="Times New Roman"/>
          <w:rtl/>
          <w:lang w:eastAsia="de-DE"/>
        </w:rPr>
        <w:t xml:space="preserve"> </w:t>
      </w:r>
      <w:r w:rsidRPr="00971D84">
        <w:rPr>
          <w:rFonts w:eastAsia="Times New Roman" w:cs="Times New Roman"/>
          <w:lang w:eastAsia="de-DE"/>
        </w:rPr>
        <w:t>(die Feueropfer JHWHs).</w:t>
      </w:r>
    </w:p>
    <w:p w14:paraId="257E6F5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אֶת־הַחֵ֤לֶב עַל־הֶֽחָזֶה֙ יְבִיאֶ֔נּוּ</w:t>
      </w:r>
      <w:r w:rsidRPr="00971D84">
        <w:rPr>
          <w:rFonts w:eastAsia="Times New Roman" w:cs="Times New Roman"/>
          <w:rtl/>
          <w:lang w:eastAsia="de-DE"/>
        </w:rPr>
        <w:t xml:space="preserve"> </w:t>
      </w:r>
      <w:r w:rsidRPr="00971D84">
        <w:rPr>
          <w:rFonts w:eastAsia="Times New Roman" w:cs="Times New Roman"/>
          <w:lang w:eastAsia="de-DE"/>
        </w:rPr>
        <w:t xml:space="preserve">(das Fett auf der Brust soll er bringen) spezifiziert die </w:t>
      </w:r>
      <w:r w:rsidRPr="00971D84">
        <w:rPr>
          <w:rFonts w:eastAsia="Times New Roman" w:cs="Times New Roman"/>
          <w:b/>
          <w:bCs/>
          <w:rtl/>
          <w:lang w:eastAsia="de-DE"/>
        </w:rPr>
        <w:t>אשי יהוה</w:t>
      </w:r>
      <w:r w:rsidRPr="00971D84">
        <w:rPr>
          <w:rFonts w:eastAsia="Times New Roman" w:cs="Times New Roman"/>
          <w:lang w:eastAsia="de-DE"/>
        </w:rPr>
        <w:t xml:space="preserve">. </w:t>
      </w:r>
      <w:r w:rsidRPr="00971D84">
        <w:rPr>
          <w:rFonts w:eastAsia="Times New Roman" w:cs="Times New Roman"/>
          <w:b/>
          <w:bCs/>
          <w:rtl/>
          <w:lang w:eastAsia="de-DE"/>
        </w:rPr>
        <w:t>את־החלב על־החזה יביאנו</w:t>
      </w:r>
      <w:r w:rsidRPr="00971D84">
        <w:rPr>
          <w:rFonts w:eastAsia="Times New Roman" w:cs="Times New Roman"/>
          <w:rtl/>
          <w:lang w:eastAsia="de-DE"/>
        </w:rPr>
        <w:t xml:space="preserve"> </w:t>
      </w:r>
      <w:r w:rsidRPr="00971D84">
        <w:rPr>
          <w:rFonts w:eastAsia="Times New Roman" w:cs="Times New Roman"/>
          <w:lang w:eastAsia="de-DE"/>
        </w:rPr>
        <w:t xml:space="preserve">(das Fett auf der Brust soll er bringen) zeigt </w:t>
      </w:r>
      <w:r w:rsidRPr="00971D84">
        <w:rPr>
          <w:rFonts w:eastAsia="Times New Roman" w:cs="Times New Roman"/>
          <w:b/>
          <w:bCs/>
          <w:rtl/>
          <w:lang w:eastAsia="de-DE"/>
        </w:rPr>
        <w:t>חלב</w:t>
      </w:r>
      <w:r w:rsidRPr="00971D84">
        <w:rPr>
          <w:rFonts w:eastAsia="Times New Roman" w:cs="Times New Roman"/>
          <w:rtl/>
          <w:lang w:eastAsia="de-DE"/>
        </w:rPr>
        <w:t xml:space="preserve"> </w:t>
      </w:r>
      <w:r w:rsidRPr="00971D84">
        <w:rPr>
          <w:rFonts w:eastAsia="Times New Roman" w:cs="Times New Roman"/>
          <w:lang w:eastAsia="de-DE"/>
        </w:rPr>
        <w:t xml:space="preserve">(Fett) und </w:t>
      </w:r>
      <w:r w:rsidRPr="00971D84">
        <w:rPr>
          <w:rFonts w:eastAsia="Times New Roman" w:cs="Times New Roman"/>
          <w:b/>
          <w:bCs/>
          <w:rtl/>
          <w:lang w:eastAsia="de-DE"/>
        </w:rPr>
        <w:t>חזה</w:t>
      </w:r>
      <w:r w:rsidRPr="00971D84">
        <w:rPr>
          <w:rFonts w:eastAsia="Times New Roman" w:cs="Times New Roman"/>
          <w:rtl/>
          <w:lang w:eastAsia="de-DE"/>
        </w:rPr>
        <w:t xml:space="preserve"> </w:t>
      </w:r>
      <w:r w:rsidRPr="00971D84">
        <w:rPr>
          <w:rFonts w:eastAsia="Times New Roman" w:cs="Times New Roman"/>
          <w:lang w:eastAsia="de-DE"/>
        </w:rPr>
        <w:t>(Brust) als Einheit.</w:t>
      </w:r>
    </w:p>
    <w:p w14:paraId="7E8177F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אֵ֣ת הֶחָזֶ֗ה לְהָנִ֥יף אֹתוֹ֛ תְּנוּפָ֖ה לִפְנֵ֥י יְהוָֽה</w:t>
      </w:r>
      <w:r w:rsidRPr="00971D84">
        <w:rPr>
          <w:rFonts w:eastAsia="Times New Roman" w:cs="Times New Roman"/>
          <w:rtl/>
          <w:lang w:eastAsia="de-DE"/>
        </w:rPr>
        <w:t xml:space="preserve"> </w:t>
      </w:r>
      <w:r w:rsidRPr="00971D84">
        <w:rPr>
          <w:rFonts w:eastAsia="Times New Roman" w:cs="Times New Roman"/>
          <w:lang w:eastAsia="de-DE"/>
        </w:rPr>
        <w:t xml:space="preserve">(die Brust, um sie als Schwingopfer vor JHWH zu schwingen) führt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ein. </w:t>
      </w:r>
      <w:r w:rsidRPr="00971D84">
        <w:rPr>
          <w:rFonts w:eastAsia="Times New Roman" w:cs="Times New Roman"/>
          <w:b/>
          <w:bCs/>
          <w:rtl/>
          <w:lang w:eastAsia="de-DE"/>
        </w:rPr>
        <w:t>את החזה להניף אתו תנופה</w:t>
      </w:r>
      <w:r w:rsidRPr="00971D84">
        <w:rPr>
          <w:rFonts w:eastAsia="Times New Roman" w:cs="Times New Roman"/>
          <w:rtl/>
          <w:lang w:eastAsia="de-DE"/>
        </w:rPr>
        <w:t xml:space="preserve"> </w:t>
      </w:r>
      <w:r w:rsidRPr="00971D84">
        <w:rPr>
          <w:rFonts w:eastAsia="Times New Roman" w:cs="Times New Roman"/>
          <w:lang w:eastAsia="de-DE"/>
        </w:rPr>
        <w:t xml:space="preserve">(die Brust, um sie als Schwingopfer zu schwingen) von </w:t>
      </w:r>
      <w:r w:rsidRPr="00971D84">
        <w:rPr>
          <w:rFonts w:eastAsia="Times New Roman" w:cs="Times New Roman"/>
          <w:b/>
          <w:bCs/>
          <w:rtl/>
          <w:lang w:eastAsia="de-DE"/>
        </w:rPr>
        <w:t>נוף</w:t>
      </w:r>
      <w:r w:rsidRPr="00971D84">
        <w:rPr>
          <w:rFonts w:eastAsia="Times New Roman" w:cs="Times New Roman"/>
          <w:rtl/>
          <w:lang w:eastAsia="de-DE"/>
        </w:rPr>
        <w:t xml:space="preserve"> </w:t>
      </w:r>
      <w:r w:rsidRPr="00971D84">
        <w:rPr>
          <w:rFonts w:eastAsia="Times New Roman" w:cs="Times New Roman"/>
          <w:lang w:eastAsia="de-DE"/>
        </w:rPr>
        <w:t xml:space="preserve">(schwingen), </w:t>
      </w:r>
      <w:r w:rsidRPr="00971D84">
        <w:rPr>
          <w:rFonts w:eastAsia="Times New Roman" w:cs="Times New Roman"/>
          <w:b/>
          <w:bCs/>
          <w:rtl/>
          <w:lang w:eastAsia="de-DE"/>
        </w:rPr>
        <w:t>לפני יהוה</w:t>
      </w:r>
      <w:r w:rsidRPr="00971D84">
        <w:rPr>
          <w:rFonts w:eastAsia="Times New Roman" w:cs="Times New Roman"/>
          <w:rtl/>
          <w:lang w:eastAsia="de-DE"/>
        </w:rPr>
        <w:t xml:space="preserve"> </w:t>
      </w:r>
      <w:r w:rsidRPr="00971D84">
        <w:rPr>
          <w:rFonts w:eastAsia="Times New Roman" w:cs="Times New Roman"/>
          <w:lang w:eastAsia="de-DE"/>
        </w:rPr>
        <w:t>(vor JHWH).</w:t>
      </w:r>
    </w:p>
    <w:p w14:paraId="47E48DD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ידיו תביאינה</w:t>
      </w:r>
      <w:r w:rsidRPr="00971D84">
        <w:rPr>
          <w:rFonts w:eastAsia="Times New Roman" w:cs="Times New Roman"/>
          <w:rtl/>
          <w:lang w:eastAsia="de-DE"/>
        </w:rPr>
        <w:t xml:space="preserve"> </w:t>
      </w:r>
      <w:r w:rsidRPr="00971D84">
        <w:rPr>
          <w:rFonts w:eastAsia="Times New Roman" w:cs="Times New Roman"/>
          <w:lang w:eastAsia="de-DE"/>
        </w:rPr>
        <w:t xml:space="preserve">(seine Hände sollen bringen) betont die persönliche Beteiligung des Opferbringers, nicht nur priesterliche Vermittlung. </w:t>
      </w:r>
      <w:r w:rsidRPr="00971D84">
        <w:rPr>
          <w:rFonts w:eastAsia="Times New Roman" w:cs="Times New Roman"/>
          <w:b/>
          <w:bCs/>
          <w:rtl/>
          <w:lang w:eastAsia="de-DE"/>
        </w:rPr>
        <w:t>החלב על־החזה</w:t>
      </w:r>
      <w:r w:rsidRPr="00971D84">
        <w:rPr>
          <w:rFonts w:eastAsia="Times New Roman" w:cs="Times New Roman"/>
          <w:rtl/>
          <w:lang w:eastAsia="de-DE"/>
        </w:rPr>
        <w:t xml:space="preserve"> </w:t>
      </w:r>
      <w:r w:rsidRPr="00971D84">
        <w:rPr>
          <w:rFonts w:eastAsia="Times New Roman" w:cs="Times New Roman"/>
          <w:lang w:eastAsia="de-DE"/>
        </w:rPr>
        <w:t xml:space="preserve">(das Fett auf der Brust) zeigt, dass </w:t>
      </w:r>
      <w:r w:rsidRPr="00971D84">
        <w:rPr>
          <w:rFonts w:eastAsia="Times New Roman" w:cs="Times New Roman"/>
          <w:b/>
          <w:bCs/>
          <w:rtl/>
          <w:lang w:eastAsia="de-DE"/>
        </w:rPr>
        <w:t>חזה</w:t>
      </w:r>
      <w:r w:rsidRPr="00971D84">
        <w:rPr>
          <w:rFonts w:eastAsia="Times New Roman" w:cs="Times New Roman"/>
          <w:rtl/>
          <w:lang w:eastAsia="de-DE"/>
        </w:rPr>
        <w:t xml:space="preserve"> </w:t>
      </w:r>
      <w:r w:rsidRPr="00971D84">
        <w:rPr>
          <w:rFonts w:eastAsia="Times New Roman" w:cs="Times New Roman"/>
          <w:lang w:eastAsia="de-DE"/>
        </w:rPr>
        <w:t xml:space="preserve">(Brust) mit </w:t>
      </w:r>
      <w:r w:rsidRPr="00971D84">
        <w:rPr>
          <w:rFonts w:eastAsia="Times New Roman" w:cs="Times New Roman"/>
          <w:b/>
          <w:bCs/>
          <w:rtl/>
          <w:lang w:eastAsia="de-DE"/>
        </w:rPr>
        <w:t>חלב</w:t>
      </w:r>
      <w:r w:rsidRPr="00971D84">
        <w:rPr>
          <w:rFonts w:eastAsia="Times New Roman" w:cs="Times New Roman"/>
          <w:rtl/>
          <w:lang w:eastAsia="de-DE"/>
        </w:rPr>
        <w:t xml:space="preserve"> </w:t>
      </w:r>
      <w:r w:rsidRPr="00971D84">
        <w:rPr>
          <w:rFonts w:eastAsia="Times New Roman" w:cs="Times New Roman"/>
          <w:lang w:eastAsia="de-DE"/>
        </w:rPr>
        <w:t>(Fett) bedeckt zum Altar gebracht wird.</w:t>
      </w:r>
    </w:p>
    <w:p w14:paraId="262200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(Schwingopfer) ist rituelle Bewegung: hin und her schwingen vor JHWH. </w:t>
      </w:r>
      <w:r w:rsidRPr="00971D84">
        <w:rPr>
          <w:rFonts w:eastAsia="Times New Roman" w:cs="Times New Roman"/>
          <w:b/>
          <w:bCs/>
          <w:rtl/>
          <w:lang w:eastAsia="de-DE"/>
        </w:rPr>
        <w:t>להניף אתו תנופה</w:t>
      </w:r>
      <w:r w:rsidRPr="00971D84">
        <w:rPr>
          <w:rFonts w:eastAsia="Times New Roman" w:cs="Times New Roman"/>
          <w:rtl/>
          <w:lang w:eastAsia="de-DE"/>
        </w:rPr>
        <w:t xml:space="preserve"> </w:t>
      </w:r>
      <w:r w:rsidRPr="00971D84">
        <w:rPr>
          <w:rFonts w:eastAsia="Times New Roman" w:cs="Times New Roman"/>
          <w:lang w:eastAsia="de-DE"/>
        </w:rPr>
        <w:t>mit cognate accusative verstärkt die Schwingbewegung.</w:t>
      </w:r>
    </w:p>
    <w:p w14:paraId="3445AFBB" w14:textId="77777777" w:rsidR="00507F60" w:rsidRDefault="00507F60" w:rsidP="00971D84">
      <w:pPr>
        <w:spacing w:before="100" w:beforeAutospacing="1" w:after="100" w:afterAutospacing="1" w:line="240" w:lineRule="auto"/>
      </w:pPr>
      <w:r>
        <w:rPr>
          <w:rStyle w:val="Fett"/>
        </w:rPr>
        <w:t>Vers 30 (MT=20 LXX)</w:t>
      </w:r>
      <w:r>
        <w:t xml:space="preserve">: </w:t>
      </w:r>
      <w:r>
        <w:rPr>
          <w:rStyle w:val="Fett"/>
        </w:rPr>
        <w:t>Die LXX</w:t>
      </w:r>
      <w:r>
        <w:t xml:space="preserve"> fügt "und den Leberlappen" (καὶ </w:t>
      </w:r>
      <w:proofErr w:type="spellStart"/>
      <w:r>
        <w:t>τὸν</w:t>
      </w:r>
      <w:proofErr w:type="spellEnd"/>
      <w:r>
        <w:t xml:space="preserve"> </w:t>
      </w:r>
      <w:proofErr w:type="spellStart"/>
      <w:r>
        <w:t>λο</w:t>
      </w:r>
      <w:proofErr w:type="spellEnd"/>
      <w:r>
        <w:t xml:space="preserve">βὸν </w:t>
      </w:r>
      <w:proofErr w:type="spellStart"/>
      <w:r>
        <w:t>τοῦ</w:t>
      </w:r>
      <w:proofErr w:type="spellEnd"/>
      <w:r>
        <w:t xml:space="preserve"> ἥπα</w:t>
      </w:r>
      <w:proofErr w:type="spellStart"/>
      <w:r>
        <w:t>τος</w:t>
      </w:r>
      <w:proofErr w:type="spellEnd"/>
      <w:r>
        <w:t>) hinzu, was im hebräischen Text nicht steht, aber aus anderen Opfergesetzen harmonisierend eingefügt wurde.</w:t>
      </w:r>
    </w:p>
    <w:p w14:paraId="32B013C8" w14:textId="25EDF110"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persönliche Darbringung + Schwingopfer: Subjekt + Verb + Objekt // Objekt + Verb // Objekt + Zweckangabe mit cognate accusative + Ortsangabe. Die Struktur betont sowohl Darbringung als auch </w:t>
      </w:r>
      <w:r w:rsidRPr="00971D84">
        <w:rPr>
          <w:rFonts w:eastAsia="Times New Roman" w:cs="Times New Roman"/>
          <w:b/>
          <w:bCs/>
          <w:rtl/>
          <w:lang w:eastAsia="de-DE"/>
        </w:rPr>
        <w:t>תנופה</w:t>
      </w:r>
      <w:r w:rsidRPr="00971D84">
        <w:rPr>
          <w:rFonts w:eastAsia="Times New Roman" w:cs="Times New Roman"/>
          <w:lang w:eastAsia="de-DE"/>
        </w:rPr>
        <w:t>-Ritual.</w:t>
      </w:r>
    </w:p>
    <w:p w14:paraId="27F3B86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führt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(Schwingopfer) ein: persönliche Darbringung von Fett und Brust mit Schwingbewegung vor JHWH.</w:t>
      </w:r>
    </w:p>
    <w:p w14:paraId="4BF4FC40"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7,31</w:t>
      </w:r>
    </w:p>
    <w:p w14:paraId="107DFC6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וְהִקְטִ֧יר הַכֹּהֵ֛ן אֶת־הַחֵ֖לֶב הַמִּזְבֵּ֑חָה וְהָיָה֙ הֶֽחָזֶ֔ה לְאַהֲרֹ֖ן וּלְבָנָֽיו׃</w:t>
      </w:r>
    </w:p>
    <w:p w14:paraId="4C47DE3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der Priester soll das Fett auf dem Altar räuchern, und die Brust soll Aaron und seinen Söhnen gehören.</w:t>
      </w:r>
    </w:p>
    <w:p w14:paraId="7C24E108"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474BD08">
          <v:rect id="_x0000_i1189" style="width:0;height:1.5pt" o:hralign="center" o:hrstd="t" o:hr="t" fillcolor="#a0a0a0" stroked="f"/>
        </w:pict>
      </w:r>
    </w:p>
    <w:p w14:paraId="2DD9F62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וְהִקְטִ֧יר הַכֹּהֵ֛ן אֶת־הַחֵ֖לֶב הַמִּזְבֵּ֑חָה</w:t>
      </w:r>
      <w:r w:rsidRPr="00971D84">
        <w:rPr>
          <w:rFonts w:eastAsia="Times New Roman" w:cs="Times New Roman"/>
          <w:rtl/>
          <w:lang w:eastAsia="de-DE"/>
        </w:rPr>
        <w:t xml:space="preserve"> </w:t>
      </w:r>
      <w:r w:rsidRPr="00971D84">
        <w:rPr>
          <w:rFonts w:eastAsia="Times New Roman" w:cs="Times New Roman"/>
          <w:lang w:eastAsia="de-DE"/>
        </w:rPr>
        <w:t xml:space="preserve">(und der Priester soll das Fett auf dem Altar räuchern) entspricht den </w:t>
      </w:r>
      <w:r w:rsidRPr="00971D84">
        <w:rPr>
          <w:rFonts w:eastAsia="Times New Roman" w:cs="Times New Roman"/>
          <w:b/>
          <w:bCs/>
          <w:rtl/>
          <w:lang w:eastAsia="de-DE"/>
        </w:rPr>
        <w:t>שלמים</w:t>
      </w:r>
      <w:r w:rsidRPr="00971D84">
        <w:rPr>
          <w:rFonts w:eastAsia="Times New Roman" w:cs="Times New Roman"/>
          <w:lang w:eastAsia="de-DE"/>
        </w:rPr>
        <w:t xml:space="preserve">-Bestimmungen von Kapitel 3. </w:t>
      </w:r>
      <w:r w:rsidRPr="00971D84">
        <w:rPr>
          <w:rFonts w:eastAsia="Times New Roman" w:cs="Times New Roman"/>
          <w:b/>
          <w:bCs/>
          <w:rtl/>
          <w:lang w:eastAsia="de-DE"/>
        </w:rPr>
        <w:t>והקטיר הכהן את־החלב המזבחה</w:t>
      </w:r>
      <w:r w:rsidRPr="00971D84">
        <w:rPr>
          <w:rFonts w:eastAsia="Times New Roman" w:cs="Times New Roman"/>
          <w:rtl/>
          <w:lang w:eastAsia="de-DE"/>
        </w:rPr>
        <w:t xml:space="preserve"> </w:t>
      </w:r>
      <w:r w:rsidRPr="00971D84">
        <w:rPr>
          <w:rFonts w:eastAsia="Times New Roman" w:cs="Times New Roman"/>
          <w:lang w:eastAsia="de-DE"/>
        </w:rPr>
        <w:t>(und der Priester soll das Fett auf dem Altar räuchern).</w:t>
      </w:r>
    </w:p>
    <w:p w14:paraId="1DC6095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וְהָיָה֙ הֶֽחָזֶ֔ה לְאַהֲרֹ֖ן וּלְבָנָֽיו</w:t>
      </w:r>
      <w:r w:rsidRPr="00971D84">
        <w:rPr>
          <w:rFonts w:eastAsia="Times New Roman" w:cs="Times New Roman"/>
          <w:rtl/>
          <w:lang w:eastAsia="de-DE"/>
        </w:rPr>
        <w:t xml:space="preserve"> </w:t>
      </w:r>
      <w:r w:rsidRPr="00971D84">
        <w:rPr>
          <w:rFonts w:eastAsia="Times New Roman" w:cs="Times New Roman"/>
          <w:lang w:eastAsia="de-DE"/>
        </w:rPr>
        <w:t xml:space="preserve">(und die Brust soll Aaron und seinen Söhnen gehören) zeigt die priesterliche Zuteilung. </w:t>
      </w:r>
      <w:r w:rsidRPr="00971D84">
        <w:rPr>
          <w:rFonts w:eastAsia="Times New Roman" w:cs="Times New Roman"/>
          <w:b/>
          <w:bCs/>
          <w:rtl/>
          <w:lang w:eastAsia="de-DE"/>
        </w:rPr>
        <w:t>והיה החזה לאהרן ולבניו</w:t>
      </w:r>
      <w:r w:rsidRPr="00971D84">
        <w:rPr>
          <w:rFonts w:eastAsia="Times New Roman" w:cs="Times New Roman"/>
          <w:rtl/>
          <w:lang w:eastAsia="de-DE"/>
        </w:rPr>
        <w:t xml:space="preserve"> </w:t>
      </w:r>
      <w:r w:rsidRPr="00971D84">
        <w:rPr>
          <w:rFonts w:eastAsia="Times New Roman" w:cs="Times New Roman"/>
          <w:lang w:eastAsia="de-DE"/>
        </w:rPr>
        <w:t>(und die Brust soll Aaron und seinen Söhnen gehören).</w:t>
      </w:r>
    </w:p>
    <w:p w14:paraId="5162400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והקטיר הכהן את־החלב</w:t>
      </w:r>
      <w:r w:rsidRPr="00971D84">
        <w:rPr>
          <w:rFonts w:eastAsia="Times New Roman" w:cs="Times New Roman"/>
          <w:rtl/>
          <w:lang w:eastAsia="de-DE"/>
        </w:rPr>
        <w:t xml:space="preserve"> </w:t>
      </w:r>
      <w:r w:rsidRPr="00971D84">
        <w:rPr>
          <w:rFonts w:eastAsia="Times New Roman" w:cs="Times New Roman"/>
          <w:lang w:eastAsia="de-DE"/>
        </w:rPr>
        <w:t xml:space="preserve">zeigt die </w:t>
      </w:r>
      <w:r w:rsidRPr="00971D84">
        <w:rPr>
          <w:rFonts w:eastAsia="Times New Roman" w:cs="Times New Roman"/>
          <w:b/>
          <w:bCs/>
          <w:rtl/>
          <w:lang w:eastAsia="de-DE"/>
        </w:rPr>
        <w:t>חלב</w:t>
      </w:r>
      <w:r w:rsidRPr="00971D84">
        <w:rPr>
          <w:rFonts w:eastAsia="Times New Roman" w:cs="Times New Roman"/>
          <w:lang w:eastAsia="de-DE"/>
        </w:rPr>
        <w:t xml:space="preserve">-Verbrennung entsprechend 3,5.11.16: das Fett wird Gott geopfert. </w:t>
      </w:r>
      <w:r w:rsidRPr="00971D84">
        <w:rPr>
          <w:rFonts w:eastAsia="Times New Roman" w:cs="Times New Roman"/>
          <w:b/>
          <w:bCs/>
          <w:rtl/>
          <w:lang w:eastAsia="de-DE"/>
        </w:rPr>
        <w:t>והיה החזה לאהרן ולבניו</w:t>
      </w:r>
      <w:r w:rsidRPr="00971D84">
        <w:rPr>
          <w:rFonts w:eastAsia="Times New Roman" w:cs="Times New Roman"/>
          <w:rtl/>
          <w:lang w:eastAsia="de-DE"/>
        </w:rPr>
        <w:t xml:space="preserve"> </w:t>
      </w:r>
      <w:r w:rsidRPr="00971D84">
        <w:rPr>
          <w:rFonts w:eastAsia="Times New Roman" w:cs="Times New Roman"/>
          <w:lang w:eastAsia="de-DE"/>
        </w:rPr>
        <w:t xml:space="preserve">zeigt, dass die </w:t>
      </w:r>
      <w:r w:rsidRPr="00971D84">
        <w:rPr>
          <w:rFonts w:eastAsia="Times New Roman" w:cs="Times New Roman"/>
          <w:b/>
          <w:bCs/>
          <w:rtl/>
          <w:lang w:eastAsia="de-DE"/>
        </w:rPr>
        <w:t>חזה</w:t>
      </w:r>
      <w:r w:rsidRPr="00971D84">
        <w:rPr>
          <w:rFonts w:eastAsia="Times New Roman" w:cs="Times New Roman"/>
          <w:rtl/>
          <w:lang w:eastAsia="de-DE"/>
        </w:rPr>
        <w:t xml:space="preserve"> </w:t>
      </w:r>
      <w:r w:rsidRPr="00971D84">
        <w:rPr>
          <w:rFonts w:eastAsia="Times New Roman" w:cs="Times New Roman"/>
          <w:lang w:eastAsia="de-DE"/>
        </w:rPr>
        <w:t xml:space="preserve">(Brust) nach der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priesterlicher Besitz wird.</w:t>
      </w:r>
    </w:p>
    <w:p w14:paraId="413E2C9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Aufteilung: </w:t>
      </w:r>
      <w:r w:rsidRPr="00971D84">
        <w:rPr>
          <w:rFonts w:eastAsia="Times New Roman" w:cs="Times New Roman"/>
          <w:b/>
          <w:bCs/>
          <w:rtl/>
          <w:lang w:eastAsia="de-DE"/>
        </w:rPr>
        <w:t>חלב</w:t>
      </w:r>
      <w:r w:rsidRPr="00971D84">
        <w:rPr>
          <w:rFonts w:eastAsia="Times New Roman" w:cs="Times New Roman"/>
          <w:rtl/>
          <w:lang w:eastAsia="de-DE"/>
        </w:rPr>
        <w:t xml:space="preserve"> </w:t>
      </w:r>
      <w:r w:rsidRPr="00971D84">
        <w:rPr>
          <w:rFonts w:eastAsia="Times New Roman" w:cs="Times New Roman"/>
          <w:lang w:eastAsia="de-DE"/>
        </w:rPr>
        <w:t xml:space="preserve">(Fett) für Gott durch Verbrennung, </w:t>
      </w:r>
      <w:r w:rsidRPr="00971D84">
        <w:rPr>
          <w:rFonts w:eastAsia="Times New Roman" w:cs="Times New Roman"/>
          <w:b/>
          <w:bCs/>
          <w:rtl/>
          <w:lang w:eastAsia="de-DE"/>
        </w:rPr>
        <w:t>חזה</w:t>
      </w:r>
      <w:r w:rsidRPr="00971D84">
        <w:rPr>
          <w:rFonts w:eastAsia="Times New Roman" w:cs="Times New Roman"/>
          <w:rtl/>
          <w:lang w:eastAsia="de-DE"/>
        </w:rPr>
        <w:t xml:space="preserve"> </w:t>
      </w:r>
      <w:r w:rsidRPr="00971D84">
        <w:rPr>
          <w:rFonts w:eastAsia="Times New Roman" w:cs="Times New Roman"/>
          <w:lang w:eastAsia="de-DE"/>
        </w:rPr>
        <w:t xml:space="preserve">(Brust) für Priester als </w:t>
      </w:r>
      <w:r w:rsidRPr="00971D84">
        <w:rPr>
          <w:rFonts w:eastAsia="Times New Roman" w:cs="Times New Roman"/>
          <w:b/>
          <w:bCs/>
          <w:rtl/>
          <w:lang w:eastAsia="de-DE"/>
        </w:rPr>
        <w:t>תנופה</w:t>
      </w:r>
      <w:r w:rsidRPr="00971D84">
        <w:rPr>
          <w:rFonts w:eastAsia="Times New Roman" w:cs="Times New Roman"/>
          <w:lang w:eastAsia="de-DE"/>
        </w:rPr>
        <w:t xml:space="preserve">-Lohn. </w:t>
      </w:r>
      <w:r w:rsidRPr="00971D84">
        <w:rPr>
          <w:rFonts w:eastAsia="Times New Roman" w:cs="Times New Roman"/>
          <w:b/>
          <w:bCs/>
          <w:rtl/>
          <w:lang w:eastAsia="de-DE"/>
        </w:rPr>
        <w:t>לאהרן ולבניו</w:t>
      </w:r>
      <w:r w:rsidRPr="00971D84">
        <w:rPr>
          <w:rFonts w:eastAsia="Times New Roman" w:cs="Times New Roman"/>
          <w:rtl/>
          <w:lang w:eastAsia="de-DE"/>
        </w:rPr>
        <w:t xml:space="preserve"> </w:t>
      </w:r>
      <w:r w:rsidRPr="00971D84">
        <w:rPr>
          <w:rFonts w:eastAsia="Times New Roman" w:cs="Times New Roman"/>
          <w:lang w:eastAsia="de-DE"/>
        </w:rPr>
        <w:t>(für Aaron und seine Söhne) zeigt priesterliche Berechtigung.</w:t>
      </w:r>
    </w:p>
    <w:p w14:paraId="0940BE7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וְהִקְטִ֧יר</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ἀνοίσει</w:t>
      </w:r>
      <w:proofErr w:type="spellEnd"/>
      <w:r w:rsidRPr="00971D84">
        <w:rPr>
          <w:rFonts w:eastAsia="Times New Roman" w:cs="Times New Roman"/>
          <w:lang w:eastAsia="de-DE"/>
        </w:rPr>
        <w:t xml:space="preserve"> (er soll hinaufbringen), </w:t>
      </w:r>
      <w:r w:rsidRPr="00971D84">
        <w:rPr>
          <w:rFonts w:eastAsia="Times New Roman" w:cs="Times New Roman"/>
          <w:b/>
          <w:bCs/>
          <w:rtl/>
          <w:lang w:eastAsia="de-DE"/>
        </w:rPr>
        <w:t>הַחֵ֖לֶב</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στέ</w:t>
      </w:r>
      <w:proofErr w:type="spellEnd"/>
      <w:r w:rsidRPr="00971D84">
        <w:rPr>
          <w:rFonts w:eastAsia="Times New Roman" w:cs="Times New Roman"/>
          <w:lang w:eastAsia="de-DE"/>
        </w:rPr>
        <w:t xml:space="preserve">αρ (das Fett) und </w:t>
      </w:r>
      <w:r w:rsidRPr="00971D84">
        <w:rPr>
          <w:rFonts w:eastAsia="Times New Roman" w:cs="Times New Roman"/>
          <w:b/>
          <w:bCs/>
          <w:rtl/>
          <w:lang w:eastAsia="de-DE"/>
        </w:rPr>
        <w:t>הֶֽחָזֶ֔ה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τὸ</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στηθύνιον</w:t>
      </w:r>
      <w:proofErr w:type="spellEnd"/>
      <w:r w:rsidRPr="00971D84">
        <w:rPr>
          <w:rFonts w:eastAsia="Times New Roman" w:cs="Times New Roman"/>
          <w:lang w:eastAsia="de-DE"/>
        </w:rPr>
        <w:t xml:space="preserve"> (die Brust).</w:t>
      </w:r>
    </w:p>
    <w:p w14:paraId="13D6FA5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Aufteilung: Verb + Subjekt + Objekt + Ortsangabe + Zuteilungsformel. Die Struktur zeigt die göttliche und priesterliche Aufteilung von </w:t>
      </w:r>
      <w:r w:rsidRPr="00971D84">
        <w:rPr>
          <w:rFonts w:eastAsia="Times New Roman" w:cs="Times New Roman"/>
          <w:b/>
          <w:bCs/>
          <w:rtl/>
          <w:lang w:eastAsia="de-DE"/>
        </w:rPr>
        <w:t>שלמים</w:t>
      </w:r>
      <w:r w:rsidRPr="00971D84">
        <w:rPr>
          <w:rFonts w:eastAsia="Times New Roman" w:cs="Times New Roman"/>
          <w:lang w:eastAsia="de-DE"/>
        </w:rPr>
        <w:t>-Teilen.</w:t>
      </w:r>
    </w:p>
    <w:p w14:paraId="394F077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regelt die Aufteilung nach </w:t>
      </w:r>
      <w:r w:rsidRPr="00971D84">
        <w:rPr>
          <w:rFonts w:eastAsia="Times New Roman" w:cs="Times New Roman"/>
          <w:b/>
          <w:bCs/>
          <w:rtl/>
          <w:lang w:eastAsia="de-DE"/>
        </w:rPr>
        <w:t>תנופה</w:t>
      </w:r>
      <w:r w:rsidRPr="00971D84">
        <w:rPr>
          <w:rFonts w:eastAsia="Times New Roman" w:cs="Times New Roman"/>
          <w:lang w:eastAsia="de-DE"/>
        </w:rPr>
        <w:t>: Fett für Gott (Verbrennung), Brust für Priester.</w:t>
      </w:r>
    </w:p>
    <w:p w14:paraId="27DF3A7A"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7,32</w:t>
      </w:r>
    </w:p>
    <w:p w14:paraId="39D31BA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וְאֵת֙ שׁ֣וֹק הַיָּמִ֔ין תִּתְּנ֥וּ תְרוּמָ֖ה לַכֹּהֵ֑ן מִזִּבְחֵ֖י שַׁלְמֵיכֶֽם׃</w:t>
      </w:r>
    </w:p>
    <w:p w14:paraId="72D8E4D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Und die rechte Keule sollt ihr als Hebopfer dem Priester geben von euren Friedensopfern.</w:t>
      </w:r>
    </w:p>
    <w:p w14:paraId="05D083D3"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6D84C806">
          <v:rect id="_x0000_i1190" style="width:0;height:1.5pt" o:hralign="center" o:hrstd="t" o:hr="t" fillcolor="#a0a0a0" stroked="f"/>
        </w:pict>
      </w:r>
    </w:p>
    <w:p w14:paraId="2B5DD63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וְאֵת֙ שׁ֣וֹק הַיָּמִ֔ין תִּתְּנ֥וּ תְרוּמָ֖ה לַכֹּהֵ֑ן</w:t>
      </w:r>
      <w:r w:rsidRPr="00971D84">
        <w:rPr>
          <w:rFonts w:eastAsia="Times New Roman" w:cs="Times New Roman"/>
          <w:rtl/>
          <w:lang w:eastAsia="de-DE"/>
        </w:rPr>
        <w:t xml:space="preserve"> </w:t>
      </w:r>
      <w:r w:rsidRPr="00971D84">
        <w:rPr>
          <w:rFonts w:eastAsia="Times New Roman" w:cs="Times New Roman"/>
          <w:lang w:eastAsia="de-DE"/>
        </w:rPr>
        <w:t xml:space="preserve">(und die rechte Keule sollt ihr als Hebopfer dem Priester geben) führt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ein. </w:t>
      </w:r>
      <w:r w:rsidRPr="00971D84">
        <w:rPr>
          <w:rFonts w:eastAsia="Times New Roman" w:cs="Times New Roman"/>
          <w:b/>
          <w:bCs/>
          <w:rtl/>
          <w:lang w:eastAsia="de-DE"/>
        </w:rPr>
        <w:t>ואת שוק הימין</w:t>
      </w:r>
      <w:r w:rsidRPr="00971D84">
        <w:rPr>
          <w:rFonts w:eastAsia="Times New Roman" w:cs="Times New Roman"/>
          <w:rtl/>
          <w:lang w:eastAsia="de-DE"/>
        </w:rPr>
        <w:t xml:space="preserve"> </w:t>
      </w:r>
      <w:r w:rsidRPr="00971D84">
        <w:rPr>
          <w:rFonts w:eastAsia="Times New Roman" w:cs="Times New Roman"/>
          <w:lang w:eastAsia="de-DE"/>
        </w:rPr>
        <w:t xml:space="preserve">(und die rechte Keule) von </w:t>
      </w:r>
      <w:r w:rsidRPr="00971D84">
        <w:rPr>
          <w:rFonts w:eastAsia="Times New Roman" w:cs="Times New Roman"/>
          <w:b/>
          <w:bCs/>
          <w:rtl/>
          <w:lang w:eastAsia="de-DE"/>
        </w:rPr>
        <w:t>שוק</w:t>
      </w:r>
      <w:r w:rsidRPr="00971D84">
        <w:rPr>
          <w:rFonts w:eastAsia="Times New Roman" w:cs="Times New Roman"/>
          <w:rtl/>
          <w:lang w:eastAsia="de-DE"/>
        </w:rPr>
        <w:t xml:space="preserve"> </w:t>
      </w:r>
      <w:r w:rsidRPr="00971D84">
        <w:rPr>
          <w:rFonts w:eastAsia="Times New Roman" w:cs="Times New Roman"/>
          <w:lang w:eastAsia="de-DE"/>
        </w:rPr>
        <w:t xml:space="preserve">(Keule/Schenkel), </w:t>
      </w:r>
      <w:r w:rsidRPr="00971D84">
        <w:rPr>
          <w:rFonts w:eastAsia="Times New Roman" w:cs="Times New Roman"/>
          <w:b/>
          <w:bCs/>
          <w:rtl/>
          <w:lang w:eastAsia="de-DE"/>
        </w:rPr>
        <w:t>תתנו תרומה לכהן</w:t>
      </w:r>
      <w:r w:rsidRPr="00971D84">
        <w:rPr>
          <w:rFonts w:eastAsia="Times New Roman" w:cs="Times New Roman"/>
          <w:rtl/>
          <w:lang w:eastAsia="de-DE"/>
        </w:rPr>
        <w:t xml:space="preserve"> </w:t>
      </w:r>
      <w:r w:rsidRPr="00971D84">
        <w:rPr>
          <w:rFonts w:eastAsia="Times New Roman" w:cs="Times New Roman"/>
          <w:lang w:eastAsia="de-DE"/>
        </w:rPr>
        <w:t>(sollt ihr als Hebopfer dem Priester geben).</w:t>
      </w:r>
    </w:p>
    <w:p w14:paraId="49F1094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מִזִּבְחֵ֖י שַׁלְמֵיכֶֽם</w:t>
      </w:r>
      <w:r w:rsidRPr="00971D84">
        <w:rPr>
          <w:rFonts w:eastAsia="Times New Roman" w:cs="Times New Roman"/>
          <w:rtl/>
          <w:lang w:eastAsia="de-DE"/>
        </w:rPr>
        <w:t xml:space="preserve"> </w:t>
      </w:r>
      <w:r w:rsidRPr="00971D84">
        <w:rPr>
          <w:rFonts w:eastAsia="Times New Roman" w:cs="Times New Roman"/>
          <w:lang w:eastAsia="de-DE"/>
        </w:rPr>
        <w:t xml:space="preserve">(von euren Friedensopfern) zeigt die Quelle. </w:t>
      </w:r>
      <w:r w:rsidRPr="00971D84">
        <w:rPr>
          <w:rFonts w:eastAsia="Times New Roman" w:cs="Times New Roman"/>
          <w:b/>
          <w:bCs/>
          <w:rtl/>
          <w:lang w:eastAsia="de-DE"/>
        </w:rPr>
        <w:t>מזבחי שלמיכם</w:t>
      </w:r>
      <w:r w:rsidRPr="00971D84">
        <w:rPr>
          <w:rFonts w:eastAsia="Times New Roman" w:cs="Times New Roman"/>
          <w:rtl/>
          <w:lang w:eastAsia="de-DE"/>
        </w:rPr>
        <w:t xml:space="preserve"> </w:t>
      </w:r>
      <w:r w:rsidRPr="00971D84">
        <w:rPr>
          <w:rFonts w:eastAsia="Times New Roman" w:cs="Times New Roman"/>
          <w:lang w:eastAsia="de-DE"/>
        </w:rPr>
        <w:t>(von euren Friedensopfern) im Plural mit Possessivsuffix 2. Person maskulin Plural.</w:t>
      </w:r>
    </w:p>
    <w:p w14:paraId="3EFCB85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שוק הימין</w:t>
      </w:r>
      <w:r w:rsidRPr="00971D84">
        <w:rPr>
          <w:rFonts w:eastAsia="Times New Roman" w:cs="Times New Roman"/>
          <w:rtl/>
          <w:lang w:eastAsia="de-DE"/>
        </w:rPr>
        <w:t xml:space="preserve"> </w:t>
      </w:r>
      <w:r w:rsidRPr="00971D84">
        <w:rPr>
          <w:rFonts w:eastAsia="Times New Roman" w:cs="Times New Roman"/>
          <w:lang w:eastAsia="de-DE"/>
        </w:rPr>
        <w:t xml:space="preserve">(rechte Keule) spezifiziert die </w:t>
      </w:r>
      <w:r w:rsidRPr="00971D84">
        <w:rPr>
          <w:rFonts w:eastAsia="Times New Roman" w:cs="Times New Roman"/>
          <w:b/>
          <w:bCs/>
          <w:rtl/>
          <w:lang w:eastAsia="de-DE"/>
        </w:rPr>
        <w:t>שוק</w:t>
      </w:r>
      <w:r w:rsidRPr="00971D84">
        <w:rPr>
          <w:rFonts w:eastAsia="Times New Roman" w:cs="Times New Roman"/>
          <w:rtl/>
          <w:lang w:eastAsia="de-DE"/>
        </w:rPr>
        <w:t xml:space="preserve"> </w:t>
      </w:r>
      <w:r w:rsidRPr="00971D84">
        <w:rPr>
          <w:rFonts w:eastAsia="Times New Roman" w:cs="Times New Roman"/>
          <w:lang w:eastAsia="de-DE"/>
        </w:rPr>
        <w:t xml:space="preserve">(Keule): nur die rechte, nicht die linke.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(Hebopfer) von </w:t>
      </w:r>
      <w:r w:rsidRPr="00971D84">
        <w:rPr>
          <w:rFonts w:eastAsia="Times New Roman" w:cs="Times New Roman"/>
          <w:b/>
          <w:bCs/>
          <w:rtl/>
          <w:lang w:eastAsia="de-DE"/>
        </w:rPr>
        <w:t>רום</w:t>
      </w:r>
      <w:r w:rsidRPr="00971D84">
        <w:rPr>
          <w:rFonts w:eastAsia="Times New Roman" w:cs="Times New Roman"/>
          <w:rtl/>
          <w:lang w:eastAsia="de-DE"/>
        </w:rPr>
        <w:t xml:space="preserve"> </w:t>
      </w:r>
      <w:r w:rsidRPr="00971D84">
        <w:rPr>
          <w:rFonts w:eastAsia="Times New Roman" w:cs="Times New Roman"/>
          <w:lang w:eastAsia="de-DE"/>
        </w:rPr>
        <w:t>(erheben) bezeichnet das "Erheben" als rituelle Geste.</w:t>
      </w:r>
    </w:p>
    <w:p w14:paraId="00389E2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תתנו תרומה לכהן</w:t>
      </w:r>
      <w:r w:rsidRPr="00971D84">
        <w:rPr>
          <w:rFonts w:eastAsia="Times New Roman" w:cs="Times New Roman"/>
          <w:rtl/>
          <w:lang w:eastAsia="de-DE"/>
        </w:rPr>
        <w:t xml:space="preserve"> </w:t>
      </w:r>
      <w:r w:rsidRPr="00971D84">
        <w:rPr>
          <w:rFonts w:eastAsia="Times New Roman" w:cs="Times New Roman"/>
          <w:lang w:eastAsia="de-DE"/>
        </w:rPr>
        <w:t xml:space="preserve">im Plural zeigt, dass alle </w:t>
      </w:r>
      <w:r w:rsidRPr="00971D84">
        <w:rPr>
          <w:rFonts w:eastAsia="Times New Roman" w:cs="Times New Roman"/>
          <w:b/>
          <w:bCs/>
          <w:rtl/>
          <w:lang w:eastAsia="de-DE"/>
        </w:rPr>
        <w:t>שלמים</w:t>
      </w:r>
      <w:r w:rsidRPr="00971D84">
        <w:rPr>
          <w:rFonts w:eastAsia="Times New Roman" w:cs="Times New Roman"/>
          <w:lang w:eastAsia="de-DE"/>
        </w:rPr>
        <w:t xml:space="preserve">-Darbringer diese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geben müssen. </w:t>
      </w:r>
      <w:r w:rsidRPr="00971D84">
        <w:rPr>
          <w:rFonts w:eastAsia="Times New Roman" w:cs="Times New Roman"/>
          <w:b/>
          <w:bCs/>
          <w:rtl/>
          <w:lang w:eastAsia="de-DE"/>
        </w:rPr>
        <w:t>מזבחי שלמיכם</w:t>
      </w:r>
      <w:r w:rsidRPr="00971D84">
        <w:rPr>
          <w:rFonts w:eastAsia="Times New Roman" w:cs="Times New Roman"/>
          <w:rtl/>
          <w:lang w:eastAsia="de-DE"/>
        </w:rPr>
        <w:t xml:space="preserve"> </w:t>
      </w:r>
      <w:r w:rsidRPr="00971D84">
        <w:rPr>
          <w:rFonts w:eastAsia="Times New Roman" w:cs="Times New Roman"/>
          <w:lang w:eastAsia="de-DE"/>
        </w:rPr>
        <w:t>(von euren Friedensopfern) im Plural zeigt die universelle Geltung.</w:t>
      </w:r>
    </w:p>
    <w:p w14:paraId="7A6CE3C8" w14:textId="77777777" w:rsidR="00507F60" w:rsidRDefault="00507F60" w:rsidP="00971D84">
      <w:pPr>
        <w:spacing w:before="100" w:beforeAutospacing="1" w:after="100" w:afterAutospacing="1" w:line="240" w:lineRule="auto"/>
      </w:pPr>
      <w:r>
        <w:rPr>
          <w:rStyle w:val="Fett"/>
        </w:rPr>
        <w:t>Vers 32 (MT=22 LXX)</w:t>
      </w:r>
      <w:r>
        <w:t xml:space="preserve">: </w:t>
      </w:r>
      <w:r>
        <w:rPr>
          <w:rStyle w:val="Fett"/>
        </w:rPr>
        <w:t>Die LXX</w:t>
      </w:r>
      <w:r>
        <w:t xml:space="preserve"> übersetzt </w:t>
      </w:r>
      <w:r>
        <w:rPr>
          <w:rtl/>
        </w:rPr>
        <w:t>שוק הימין</w:t>
      </w:r>
      <w:r>
        <w:t xml:space="preserve"> (</w:t>
      </w:r>
      <w:proofErr w:type="spellStart"/>
      <w:r>
        <w:t>shoq</w:t>
      </w:r>
      <w:proofErr w:type="spellEnd"/>
      <w:r>
        <w:t xml:space="preserve"> </w:t>
      </w:r>
      <w:proofErr w:type="spellStart"/>
      <w:r>
        <w:t>hayamin</w:t>
      </w:r>
      <w:proofErr w:type="spellEnd"/>
      <w:r>
        <w:t xml:space="preserve"> - "rechte Keule") als </w:t>
      </w:r>
      <w:proofErr w:type="spellStart"/>
      <w:r>
        <w:t>τὸν</w:t>
      </w:r>
      <w:proofErr w:type="spellEnd"/>
      <w:r>
        <w:t xml:space="preserve"> βρα</w:t>
      </w:r>
      <w:proofErr w:type="spellStart"/>
      <w:r>
        <w:t>χίον</w:t>
      </w:r>
      <w:proofErr w:type="spellEnd"/>
      <w:r>
        <w:t xml:space="preserve">α </w:t>
      </w:r>
      <w:proofErr w:type="spellStart"/>
      <w:r>
        <w:t>τὸν</w:t>
      </w:r>
      <w:proofErr w:type="spellEnd"/>
      <w:r>
        <w:t xml:space="preserve"> </w:t>
      </w:r>
      <w:proofErr w:type="spellStart"/>
      <w:r>
        <w:t>δεξιόν</w:t>
      </w:r>
      <w:proofErr w:type="spellEnd"/>
      <w:r>
        <w:t xml:space="preserve"> (den rechten Arm), was eine anatomische Verschiebung vom Bein zum Arm darstellt.</w:t>
      </w:r>
    </w:p>
    <w:p w14:paraId="0B452823" w14:textId="44012172"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w:t>
      </w:r>
      <w:r w:rsidRPr="00971D84">
        <w:rPr>
          <w:rFonts w:eastAsia="Times New Roman" w:cs="Times New Roman"/>
          <w:b/>
          <w:bCs/>
          <w:rtl/>
          <w:lang w:eastAsia="de-DE"/>
        </w:rPr>
        <w:t>תרומה</w:t>
      </w:r>
      <w:r w:rsidRPr="00971D84">
        <w:rPr>
          <w:rFonts w:eastAsia="Times New Roman" w:cs="Times New Roman"/>
          <w:lang w:eastAsia="de-DE"/>
        </w:rPr>
        <w:t xml:space="preserve">-Verpflichtung: Objekt + Verb + Klassifikation + Dativobjekt + Quellenangabe. Die Struktur ergänzt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(V. 30) um </w:t>
      </w:r>
      <w:r w:rsidRPr="00971D84">
        <w:rPr>
          <w:rFonts w:eastAsia="Times New Roman" w:cs="Times New Roman"/>
          <w:b/>
          <w:bCs/>
          <w:rtl/>
          <w:lang w:eastAsia="de-DE"/>
        </w:rPr>
        <w:t>תרומה</w:t>
      </w:r>
      <w:r w:rsidRPr="00971D84">
        <w:rPr>
          <w:rFonts w:eastAsia="Times New Roman" w:cs="Times New Roman"/>
          <w:lang w:eastAsia="de-DE"/>
        </w:rPr>
        <w:t>.</w:t>
      </w:r>
    </w:p>
    <w:p w14:paraId="772183E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führt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(Hebopfer) ein: die rechte Keule wird dem Priester als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von allen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gegeben.</w:t>
      </w:r>
    </w:p>
    <w:p w14:paraId="5BCE72B1"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7,33</w:t>
      </w:r>
    </w:p>
    <w:p w14:paraId="1A12D5A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Hebräisch:</w:t>
      </w:r>
      <w:r w:rsidRPr="00971D84">
        <w:rPr>
          <w:rFonts w:eastAsia="Times New Roman" w:cs="Times New Roman"/>
          <w:lang w:eastAsia="de-DE"/>
        </w:rPr>
        <w:t xml:space="preserve"> </w:t>
      </w:r>
      <w:r w:rsidRPr="00971D84">
        <w:rPr>
          <w:rFonts w:eastAsia="Times New Roman" w:cs="Times New Roman"/>
          <w:rtl/>
          <w:lang w:eastAsia="de-DE"/>
        </w:rPr>
        <w:t>הַמַּקְרִ֞יב אֶת־דַּ֧ם הַשְּׁלָמִ֛ים וְאֶת־הַחֵ֖לֶב מִבְּנֵ֣י אַהֲרֹ֑ן לוֹ֧ תִהְיֶ֛ה שׁ֥וֹק הַיָּמִ֖ין לְמָנָֽה׃</w:t>
      </w:r>
    </w:p>
    <w:p w14:paraId="5F9C44D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Wer von den Söhnen Aarons das Blut des Friedensopfers und das Fett darbringt, dem soll die rechte Keule </w:t>
      </w:r>
      <w:proofErr w:type="spellStart"/>
      <w:r w:rsidRPr="00971D84">
        <w:rPr>
          <w:rFonts w:eastAsia="Times New Roman" w:cs="Times New Roman"/>
          <w:lang w:eastAsia="de-DE"/>
        </w:rPr>
        <w:t>zuteil werden</w:t>
      </w:r>
      <w:proofErr w:type="spellEnd"/>
      <w:r w:rsidRPr="00971D84">
        <w:rPr>
          <w:rFonts w:eastAsia="Times New Roman" w:cs="Times New Roman"/>
          <w:lang w:eastAsia="de-DE"/>
        </w:rPr>
        <w:t>.</w:t>
      </w:r>
    </w:p>
    <w:p w14:paraId="09098A4E"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19FA9281">
          <v:rect id="_x0000_i1191" style="width:0;height:1.5pt" o:hralign="center" o:hrstd="t" o:hr="t" fillcolor="#a0a0a0" stroked="f"/>
        </w:pict>
      </w:r>
    </w:p>
    <w:p w14:paraId="4E0B8D8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הַמַּקְרִ֞יב אֶת־דַּ֧ם הַשְּׁלָמִ֛ים וְאֶת־הַחֵ֖לֶב מִבְּנֵ֣י אַהֲרֹ֑ן</w:t>
      </w:r>
      <w:r w:rsidRPr="00971D84">
        <w:rPr>
          <w:rFonts w:eastAsia="Times New Roman" w:cs="Times New Roman"/>
          <w:rtl/>
          <w:lang w:eastAsia="de-DE"/>
        </w:rPr>
        <w:t xml:space="preserve"> </w:t>
      </w:r>
      <w:r w:rsidRPr="00971D84">
        <w:rPr>
          <w:rFonts w:eastAsia="Times New Roman" w:cs="Times New Roman"/>
          <w:lang w:eastAsia="de-DE"/>
        </w:rPr>
        <w:t xml:space="preserve">(wer von den Söhnen Aarons das Blut des Friedensopfers und das Fett darbringt) spezifiziert den berechtigten Priester. </w:t>
      </w:r>
      <w:r w:rsidRPr="00971D84">
        <w:rPr>
          <w:rFonts w:eastAsia="Times New Roman" w:cs="Times New Roman"/>
          <w:b/>
          <w:bCs/>
          <w:rtl/>
          <w:lang w:eastAsia="de-DE"/>
        </w:rPr>
        <w:t>המקריב את־דם השלמים ואת־החלב</w:t>
      </w:r>
      <w:r w:rsidRPr="00971D84">
        <w:rPr>
          <w:rFonts w:eastAsia="Times New Roman" w:cs="Times New Roman"/>
          <w:rtl/>
          <w:lang w:eastAsia="de-DE"/>
        </w:rPr>
        <w:t xml:space="preserve"> </w:t>
      </w:r>
      <w:r w:rsidRPr="00971D84">
        <w:rPr>
          <w:rFonts w:eastAsia="Times New Roman" w:cs="Times New Roman"/>
          <w:lang w:eastAsia="de-DE"/>
        </w:rPr>
        <w:t xml:space="preserve">(wer das Blut des Friedensopfers und das Fett darbringt), </w:t>
      </w:r>
      <w:r w:rsidRPr="00971D84">
        <w:rPr>
          <w:rFonts w:eastAsia="Times New Roman" w:cs="Times New Roman"/>
          <w:b/>
          <w:bCs/>
          <w:rtl/>
          <w:lang w:eastAsia="de-DE"/>
        </w:rPr>
        <w:t>מבני אהרן</w:t>
      </w:r>
      <w:r w:rsidRPr="00971D84">
        <w:rPr>
          <w:rFonts w:eastAsia="Times New Roman" w:cs="Times New Roman"/>
          <w:rtl/>
          <w:lang w:eastAsia="de-DE"/>
        </w:rPr>
        <w:t xml:space="preserve"> </w:t>
      </w:r>
      <w:r w:rsidRPr="00971D84">
        <w:rPr>
          <w:rFonts w:eastAsia="Times New Roman" w:cs="Times New Roman"/>
          <w:lang w:eastAsia="de-DE"/>
        </w:rPr>
        <w:t>(von den Söhnen Aarons).</w:t>
      </w:r>
    </w:p>
    <w:p w14:paraId="2C4160E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לוֹ֧ תִהְיֶ֛ה שׁ֥וֹק הַיָּמִ֖ין לְמָנָֽה</w:t>
      </w:r>
      <w:r w:rsidRPr="00971D84">
        <w:rPr>
          <w:rFonts w:eastAsia="Times New Roman" w:cs="Times New Roman"/>
          <w:rtl/>
          <w:lang w:eastAsia="de-DE"/>
        </w:rPr>
        <w:t xml:space="preserve"> </w:t>
      </w:r>
      <w:r w:rsidRPr="00971D84">
        <w:rPr>
          <w:rFonts w:eastAsia="Times New Roman" w:cs="Times New Roman"/>
          <w:lang w:eastAsia="de-DE"/>
        </w:rPr>
        <w:t xml:space="preserve">(ihm soll die rechte Keule als Anteil gehören) zeigt die individuelle Zuteilung. </w:t>
      </w:r>
      <w:r w:rsidRPr="00971D84">
        <w:rPr>
          <w:rFonts w:eastAsia="Times New Roman" w:cs="Times New Roman"/>
          <w:b/>
          <w:bCs/>
          <w:rtl/>
          <w:lang w:eastAsia="de-DE"/>
        </w:rPr>
        <w:t>לו תהיה שוק הימין למנה</w:t>
      </w:r>
      <w:r w:rsidRPr="00971D84">
        <w:rPr>
          <w:rFonts w:eastAsia="Times New Roman" w:cs="Times New Roman"/>
          <w:rtl/>
          <w:lang w:eastAsia="de-DE"/>
        </w:rPr>
        <w:t xml:space="preserve"> </w:t>
      </w:r>
      <w:r w:rsidRPr="00971D84">
        <w:rPr>
          <w:rFonts w:eastAsia="Times New Roman" w:cs="Times New Roman"/>
          <w:lang w:eastAsia="de-DE"/>
        </w:rPr>
        <w:t xml:space="preserve">(ihm soll die rechte Keule als Anteil gehören) von </w:t>
      </w:r>
      <w:r w:rsidRPr="00971D84">
        <w:rPr>
          <w:rFonts w:eastAsia="Times New Roman" w:cs="Times New Roman"/>
          <w:b/>
          <w:bCs/>
          <w:rtl/>
          <w:lang w:eastAsia="de-DE"/>
        </w:rPr>
        <w:t>מנה</w:t>
      </w:r>
      <w:r w:rsidRPr="00971D84">
        <w:rPr>
          <w:rFonts w:eastAsia="Times New Roman" w:cs="Times New Roman"/>
          <w:rtl/>
          <w:lang w:eastAsia="de-DE"/>
        </w:rPr>
        <w:t xml:space="preserve"> </w:t>
      </w:r>
      <w:r w:rsidRPr="00971D84">
        <w:rPr>
          <w:rFonts w:eastAsia="Times New Roman" w:cs="Times New Roman"/>
          <w:lang w:eastAsia="de-DE"/>
        </w:rPr>
        <w:t>(Anteil/Portion).</w:t>
      </w:r>
    </w:p>
    <w:p w14:paraId="632FC7E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המקריב את־דם השלמים ואת־החלב</w:t>
      </w:r>
      <w:r w:rsidRPr="00971D84">
        <w:rPr>
          <w:rFonts w:eastAsia="Times New Roman" w:cs="Times New Roman"/>
          <w:rtl/>
          <w:lang w:eastAsia="de-DE"/>
        </w:rPr>
        <w:t xml:space="preserve"> </w:t>
      </w:r>
      <w:r w:rsidRPr="00971D84">
        <w:rPr>
          <w:rFonts w:eastAsia="Times New Roman" w:cs="Times New Roman"/>
          <w:lang w:eastAsia="de-DE"/>
        </w:rPr>
        <w:t xml:space="preserve">entspricht V. 14: der Priester, der die spezifischen </w:t>
      </w:r>
      <w:r w:rsidRPr="00971D84">
        <w:rPr>
          <w:rFonts w:eastAsia="Times New Roman" w:cs="Times New Roman"/>
          <w:b/>
          <w:bCs/>
          <w:rtl/>
          <w:lang w:eastAsia="de-DE"/>
        </w:rPr>
        <w:t>שלמים</w:t>
      </w:r>
      <w:r w:rsidRPr="00971D84">
        <w:rPr>
          <w:rFonts w:eastAsia="Times New Roman" w:cs="Times New Roman"/>
          <w:lang w:eastAsia="de-DE"/>
        </w:rPr>
        <w:t xml:space="preserve">-Handlungen ausführt (Blutsprengung und Fettverbrennung), erhält die </w:t>
      </w:r>
      <w:r w:rsidRPr="00971D84">
        <w:rPr>
          <w:rFonts w:eastAsia="Times New Roman" w:cs="Times New Roman"/>
          <w:b/>
          <w:bCs/>
          <w:rtl/>
          <w:lang w:eastAsia="de-DE"/>
        </w:rPr>
        <w:t>תרומה</w:t>
      </w:r>
      <w:r w:rsidRPr="00971D84">
        <w:rPr>
          <w:rFonts w:eastAsia="Times New Roman" w:cs="Times New Roman"/>
          <w:lang w:eastAsia="de-DE"/>
        </w:rPr>
        <w:t xml:space="preserve">. </w:t>
      </w:r>
      <w:r w:rsidRPr="00971D84">
        <w:rPr>
          <w:rFonts w:eastAsia="Times New Roman" w:cs="Times New Roman"/>
          <w:b/>
          <w:bCs/>
          <w:rtl/>
          <w:lang w:eastAsia="de-DE"/>
        </w:rPr>
        <w:t>מבני אהרן</w:t>
      </w:r>
      <w:r w:rsidRPr="00971D84">
        <w:rPr>
          <w:rFonts w:eastAsia="Times New Roman" w:cs="Times New Roman"/>
          <w:rtl/>
          <w:lang w:eastAsia="de-DE"/>
        </w:rPr>
        <w:t xml:space="preserve"> </w:t>
      </w:r>
      <w:r w:rsidRPr="00971D84">
        <w:rPr>
          <w:rFonts w:eastAsia="Times New Roman" w:cs="Times New Roman"/>
          <w:lang w:eastAsia="de-DE"/>
        </w:rPr>
        <w:t>(von den Söhnen Aarons) betont die aaronidische Berechtigung.</w:t>
      </w:r>
    </w:p>
    <w:p w14:paraId="3B159D8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למנה</w:t>
      </w:r>
      <w:r w:rsidRPr="00971D84">
        <w:rPr>
          <w:rFonts w:eastAsia="Times New Roman" w:cs="Times New Roman"/>
          <w:rtl/>
          <w:lang w:eastAsia="de-DE"/>
        </w:rPr>
        <w:t xml:space="preserve"> </w:t>
      </w:r>
      <w:r w:rsidRPr="00971D84">
        <w:rPr>
          <w:rFonts w:eastAsia="Times New Roman" w:cs="Times New Roman"/>
          <w:lang w:eastAsia="de-DE"/>
        </w:rPr>
        <w:t xml:space="preserve">(als Anteil) zeigt </w:t>
      </w:r>
      <w:r w:rsidRPr="00971D84">
        <w:rPr>
          <w:rFonts w:eastAsia="Times New Roman" w:cs="Times New Roman"/>
          <w:b/>
          <w:bCs/>
          <w:rtl/>
          <w:lang w:eastAsia="de-DE"/>
        </w:rPr>
        <w:t>שוק הימין</w:t>
      </w:r>
      <w:r w:rsidRPr="00971D84">
        <w:rPr>
          <w:rFonts w:eastAsia="Times New Roman" w:cs="Times New Roman"/>
          <w:rtl/>
          <w:lang w:eastAsia="de-DE"/>
        </w:rPr>
        <w:t xml:space="preserve"> </w:t>
      </w:r>
      <w:r w:rsidRPr="00971D84">
        <w:rPr>
          <w:rFonts w:eastAsia="Times New Roman" w:cs="Times New Roman"/>
          <w:lang w:eastAsia="de-DE"/>
        </w:rPr>
        <w:t xml:space="preserve">als festen priesterlichen Anteil, parallel zu </w:t>
      </w:r>
      <w:r w:rsidRPr="00971D84">
        <w:rPr>
          <w:rFonts w:eastAsia="Times New Roman" w:cs="Times New Roman"/>
          <w:b/>
          <w:bCs/>
          <w:rtl/>
          <w:lang w:eastAsia="de-DE"/>
        </w:rPr>
        <w:t>חזה</w:t>
      </w:r>
      <w:r w:rsidRPr="00971D84">
        <w:rPr>
          <w:rFonts w:eastAsia="Times New Roman" w:cs="Times New Roman"/>
          <w:rtl/>
          <w:lang w:eastAsia="de-DE"/>
        </w:rPr>
        <w:t xml:space="preserve"> </w:t>
      </w:r>
      <w:r w:rsidRPr="00971D84">
        <w:rPr>
          <w:rFonts w:eastAsia="Times New Roman" w:cs="Times New Roman"/>
          <w:lang w:eastAsia="de-DE"/>
        </w:rPr>
        <w:t xml:space="preserve">(Brust) in V. 31. </w:t>
      </w:r>
      <w:r w:rsidRPr="00971D84">
        <w:rPr>
          <w:rFonts w:eastAsia="Times New Roman" w:cs="Times New Roman"/>
          <w:b/>
          <w:bCs/>
          <w:rtl/>
          <w:lang w:eastAsia="de-DE"/>
        </w:rPr>
        <w:t>לו תהיה</w:t>
      </w:r>
      <w:r w:rsidRPr="00971D84">
        <w:rPr>
          <w:rFonts w:eastAsia="Times New Roman" w:cs="Times New Roman"/>
          <w:rtl/>
          <w:lang w:eastAsia="de-DE"/>
        </w:rPr>
        <w:t xml:space="preserve"> </w:t>
      </w:r>
      <w:r w:rsidRPr="00971D84">
        <w:rPr>
          <w:rFonts w:eastAsia="Times New Roman" w:cs="Times New Roman"/>
          <w:lang w:eastAsia="de-DE"/>
        </w:rPr>
        <w:t>(ihm soll sie gehören) zeigt individuelle, nicht kollektive Zuteilung.</w:t>
      </w:r>
    </w:p>
    <w:p w14:paraId="4749E48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הַמַּקְרִ֞יב</w:t>
      </w:r>
      <w:r w:rsidRPr="00971D84">
        <w:rPr>
          <w:rFonts w:eastAsia="Times New Roman" w:cs="Times New Roman"/>
          <w:rtl/>
          <w:lang w:eastAsia="de-DE"/>
        </w:rPr>
        <w:t xml:space="preserve"> </w:t>
      </w:r>
      <w:r w:rsidRPr="00971D84">
        <w:rPr>
          <w:rFonts w:eastAsia="Times New Roman" w:cs="Times New Roman"/>
          <w:lang w:eastAsia="de-DE"/>
        </w:rPr>
        <w:t>mit ὁ π</w:t>
      </w:r>
      <w:proofErr w:type="spellStart"/>
      <w:r w:rsidRPr="00971D84">
        <w:rPr>
          <w:rFonts w:eastAsia="Times New Roman" w:cs="Times New Roman"/>
          <w:lang w:eastAsia="de-DE"/>
        </w:rPr>
        <w:t>ροσφέρων</w:t>
      </w:r>
      <w:proofErr w:type="spellEnd"/>
      <w:r w:rsidRPr="00971D84">
        <w:rPr>
          <w:rFonts w:eastAsia="Times New Roman" w:cs="Times New Roman"/>
          <w:lang w:eastAsia="de-DE"/>
        </w:rPr>
        <w:t xml:space="preserve"> (der darbringende), </w:t>
      </w:r>
      <w:r w:rsidRPr="00971D84">
        <w:rPr>
          <w:rFonts w:eastAsia="Times New Roman" w:cs="Times New Roman"/>
          <w:b/>
          <w:bCs/>
          <w:rtl/>
          <w:lang w:eastAsia="de-DE"/>
        </w:rPr>
        <w:t>דַּ֧ם הַשְּׁלָמִ֛ים</w:t>
      </w:r>
      <w:r w:rsidRPr="00971D84">
        <w:rPr>
          <w:rFonts w:eastAsia="Times New Roman" w:cs="Times New Roman"/>
          <w:rtl/>
          <w:lang w:eastAsia="de-DE"/>
        </w:rPr>
        <w:t xml:space="preserve"> </w:t>
      </w:r>
      <w:r w:rsidRPr="00971D84">
        <w:rPr>
          <w:rFonts w:eastAsia="Times New Roman" w:cs="Times New Roman"/>
          <w:lang w:eastAsia="de-DE"/>
        </w:rPr>
        <w:t>mit α</w:t>
      </w:r>
      <w:proofErr w:type="spellStart"/>
      <w:r w:rsidRPr="00971D84">
        <w:rPr>
          <w:rFonts w:eastAsia="Times New Roman" w:cs="Times New Roman"/>
          <w:lang w:eastAsia="de-DE"/>
        </w:rPr>
        <w:t>ἷμ</w:t>
      </w:r>
      <w:proofErr w:type="spellEnd"/>
      <w:r w:rsidRPr="00971D84">
        <w:rPr>
          <w:rFonts w:eastAsia="Times New Roman" w:cs="Times New Roman"/>
          <w:lang w:eastAsia="de-DE"/>
        </w:rPr>
        <w:t xml:space="preserve">α </w:t>
      </w:r>
      <w:proofErr w:type="spellStart"/>
      <w:r w:rsidRPr="00971D84">
        <w:rPr>
          <w:rFonts w:eastAsia="Times New Roman" w:cs="Times New Roman"/>
          <w:lang w:eastAsia="de-DE"/>
        </w:rPr>
        <w:t>τοῦ</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σωτηρίου</w:t>
      </w:r>
      <w:proofErr w:type="spellEnd"/>
      <w:r w:rsidRPr="00971D84">
        <w:rPr>
          <w:rFonts w:eastAsia="Times New Roman" w:cs="Times New Roman"/>
          <w:lang w:eastAsia="de-DE"/>
        </w:rPr>
        <w:t xml:space="preserve"> (Blut des Heilsopfers) und </w:t>
      </w:r>
      <w:r w:rsidRPr="00971D84">
        <w:rPr>
          <w:rFonts w:eastAsia="Times New Roman" w:cs="Times New Roman"/>
          <w:b/>
          <w:bCs/>
          <w:rtl/>
          <w:lang w:eastAsia="de-DE"/>
        </w:rPr>
        <w:t>לְמָנָֽה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εἰς</w:t>
      </w:r>
      <w:proofErr w:type="spellEnd"/>
      <w:r w:rsidRPr="00971D84">
        <w:rPr>
          <w:rFonts w:eastAsia="Times New Roman" w:cs="Times New Roman"/>
          <w:lang w:eastAsia="de-DE"/>
        </w:rPr>
        <w:t xml:space="preserve"> </w:t>
      </w:r>
      <w:proofErr w:type="spellStart"/>
      <w:r w:rsidRPr="00971D84">
        <w:rPr>
          <w:rFonts w:eastAsia="Times New Roman" w:cs="Times New Roman"/>
          <w:lang w:eastAsia="de-DE"/>
        </w:rPr>
        <w:t>μερίδ</w:t>
      </w:r>
      <w:proofErr w:type="spellEnd"/>
      <w:r w:rsidRPr="00971D84">
        <w:rPr>
          <w:rFonts w:eastAsia="Times New Roman" w:cs="Times New Roman"/>
          <w:lang w:eastAsia="de-DE"/>
        </w:rPr>
        <w:t>α (zu einem Anteil).</w:t>
      </w:r>
    </w:p>
    <w:p w14:paraId="78D081E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individuelle Berechtigung: komplexes Subjekt mit Relativsatz + Herkunftsangabe + Zuteilungsformel mit Klassifikation. Die Struktur etabliert die </w:t>
      </w:r>
      <w:r w:rsidRPr="00971D84">
        <w:rPr>
          <w:rFonts w:eastAsia="Times New Roman" w:cs="Times New Roman"/>
          <w:b/>
          <w:bCs/>
          <w:rtl/>
          <w:lang w:eastAsia="de-DE"/>
        </w:rPr>
        <w:t>תרומה</w:t>
      </w:r>
      <w:r w:rsidRPr="00971D84">
        <w:rPr>
          <w:rFonts w:eastAsia="Times New Roman" w:cs="Times New Roman"/>
          <w:lang w:eastAsia="de-DE"/>
        </w:rPr>
        <w:t>-Berechtigung des ausführenden Priesters.</w:t>
      </w:r>
    </w:p>
    <w:p w14:paraId="7215697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spezifiziert die </w:t>
      </w:r>
      <w:r w:rsidRPr="00971D84">
        <w:rPr>
          <w:rFonts w:eastAsia="Times New Roman" w:cs="Times New Roman"/>
          <w:b/>
          <w:bCs/>
          <w:rtl/>
          <w:lang w:eastAsia="de-DE"/>
        </w:rPr>
        <w:t>תרומה</w:t>
      </w:r>
      <w:r w:rsidRPr="00971D84">
        <w:rPr>
          <w:rFonts w:eastAsia="Times New Roman" w:cs="Times New Roman"/>
          <w:lang w:eastAsia="de-DE"/>
        </w:rPr>
        <w:t xml:space="preserve">-Berechtigung: der Priester, der Blut und Fett bei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behandelt, erhält die rechte Keule.</w:t>
      </w:r>
    </w:p>
    <w:p w14:paraId="3A7BEA8C"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7,34</w:t>
      </w:r>
    </w:p>
    <w:p w14:paraId="3EE1E17D"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כִּי֩ אֶת־חֲזֵ֨ה הַתְּנוּפָ֜ה וְאֵ֣ת׀ שׁ֣וֹק הַתְּרוּמָ֗ה לָקַ֨חְתִּי֙ מֵאֵ֣ת בְּנֵֽי־יִשְׂרָאֵ֔ל מִזִּבְחֵ֖י שַׁלְמֵיהֶ֑ם וָאֶתֵּ֣ן אֹ֠תָם לְאַהֲרֹ֨ן הַכֹּהֵ֤ן וּלְבָנָיו֙ לְחָק־עוֹלָ֔ם מֵאֵ֖ת בְּנֵ֥י יִשְׂרָאֵֽל׃</w:t>
      </w:r>
    </w:p>
    <w:p w14:paraId="7A94501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Denn die Brust des Schwingopfers und die Keule des Hebopfers habe ich von den Söhnen Israels genommen, von ihren Friedensopfern, und habe sie Aaron, dem Priester, und seinen Söhnen gegeben als eine ewige Gebühr von Seiten der Kinder Israels.</w:t>
      </w:r>
    </w:p>
    <w:p w14:paraId="26D0D6AD"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3CD33050">
          <v:rect id="_x0000_i1192" style="width:0;height:1.5pt" o:hralign="center" o:hrstd="t" o:hr="t" fillcolor="#a0a0a0" stroked="f"/>
        </w:pict>
      </w:r>
    </w:p>
    <w:p w14:paraId="34C8625F"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כִּי֩ אֶת־חֲזֵ֨ה הַתְּנוּפָ֜ה וְאֵ֣ת׀ שׁ֣וֹק הַתְּרוּמָ֗ה לָקַ֨חְתִּי֙ מֵאֵ֣ת בְּנֵֽי־יִשְׂרָאֵ֔ל</w:t>
      </w:r>
      <w:r w:rsidRPr="00971D84">
        <w:rPr>
          <w:rFonts w:eastAsia="Times New Roman" w:cs="Times New Roman"/>
          <w:rtl/>
          <w:lang w:eastAsia="de-DE"/>
        </w:rPr>
        <w:t xml:space="preserve"> </w:t>
      </w:r>
      <w:r w:rsidRPr="00971D84">
        <w:rPr>
          <w:rFonts w:eastAsia="Times New Roman" w:cs="Times New Roman"/>
          <w:lang w:eastAsia="de-DE"/>
        </w:rPr>
        <w:t xml:space="preserve">(denn die Brust des Schwingopfers und die Keule des Hebopfers habe ich von den Söhnen Israels genommen) zeigt göttliche Aneignung. </w:t>
      </w:r>
      <w:r w:rsidRPr="00971D84">
        <w:rPr>
          <w:rFonts w:eastAsia="Times New Roman" w:cs="Times New Roman"/>
          <w:b/>
          <w:bCs/>
          <w:rtl/>
          <w:lang w:eastAsia="de-DE"/>
        </w:rPr>
        <w:t>כי את־חזה התנופה ואת שוק התרומה לקחתי מאת בני־ישראל</w:t>
      </w:r>
      <w:r w:rsidRPr="00971D84">
        <w:rPr>
          <w:rFonts w:eastAsia="Times New Roman" w:cs="Times New Roman"/>
          <w:rtl/>
          <w:lang w:eastAsia="de-DE"/>
        </w:rPr>
        <w:t xml:space="preserve"> </w:t>
      </w:r>
      <w:r w:rsidRPr="00971D84">
        <w:rPr>
          <w:rFonts w:eastAsia="Times New Roman" w:cs="Times New Roman"/>
          <w:lang w:eastAsia="de-DE"/>
        </w:rPr>
        <w:t>(denn die Brust des Schwingopfers und die Keule des Hebopfers habe ich von den Söhnen Israels genommen).</w:t>
      </w:r>
    </w:p>
    <w:p w14:paraId="0672A0D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lastRenderedPageBreak/>
        <w:t>מִזִּבְחֵ֖י שַׁלְמֵיהֶ֑ם</w:t>
      </w:r>
      <w:r w:rsidRPr="00971D84">
        <w:rPr>
          <w:rFonts w:eastAsia="Times New Roman" w:cs="Times New Roman"/>
          <w:rtl/>
          <w:lang w:eastAsia="de-DE"/>
        </w:rPr>
        <w:t xml:space="preserve"> </w:t>
      </w:r>
      <w:r w:rsidRPr="00971D84">
        <w:rPr>
          <w:rFonts w:eastAsia="Times New Roman" w:cs="Times New Roman"/>
          <w:lang w:eastAsia="de-DE"/>
        </w:rPr>
        <w:t xml:space="preserve">(von ihren Friedensopfern) spezifiziert die Quelle. </w:t>
      </w:r>
      <w:r w:rsidRPr="00971D84">
        <w:rPr>
          <w:rFonts w:eastAsia="Times New Roman" w:cs="Times New Roman"/>
          <w:b/>
          <w:bCs/>
          <w:rtl/>
          <w:lang w:eastAsia="de-DE"/>
        </w:rPr>
        <w:t>וָאֶתֵּ֣ן אֹ֠תָם לְאַהֲרֹ֨ן הַכֹּהֵ֤ן וּלְבָנָיו֙ לְחָק־עוֹלָ֔ם מֵאֵ֖ת בְּנֵ֥י יִשְׂרָאֵֽל</w:t>
      </w:r>
      <w:r w:rsidRPr="00971D84">
        <w:rPr>
          <w:rFonts w:eastAsia="Times New Roman" w:cs="Times New Roman"/>
          <w:rtl/>
          <w:lang w:eastAsia="de-DE"/>
        </w:rPr>
        <w:t xml:space="preserve"> </w:t>
      </w:r>
      <w:r w:rsidRPr="00971D84">
        <w:rPr>
          <w:rFonts w:eastAsia="Times New Roman" w:cs="Times New Roman"/>
          <w:lang w:eastAsia="de-DE"/>
        </w:rPr>
        <w:t>(und habe sie Aaron dem Priester und seinen Söhnen gegeben als ewige Satzung von den Söhnen Israels) zeigt die göttliche Zuweisung.</w:t>
      </w:r>
    </w:p>
    <w:p w14:paraId="7691392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חזה התנופה ושוק התרומה</w:t>
      </w:r>
      <w:r w:rsidRPr="00971D84">
        <w:rPr>
          <w:rFonts w:eastAsia="Times New Roman" w:cs="Times New Roman"/>
          <w:rtl/>
          <w:lang w:eastAsia="de-DE"/>
        </w:rPr>
        <w:t xml:space="preserve"> </w:t>
      </w:r>
      <w:r w:rsidRPr="00971D84">
        <w:rPr>
          <w:rFonts w:eastAsia="Times New Roman" w:cs="Times New Roman"/>
          <w:lang w:eastAsia="de-DE"/>
        </w:rPr>
        <w:t xml:space="preserve">(Brust des Schwingopfers und Keule des Hebopfers) fassen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zusammen. </w:t>
      </w:r>
      <w:r w:rsidRPr="00971D84">
        <w:rPr>
          <w:rFonts w:eastAsia="Times New Roman" w:cs="Times New Roman"/>
          <w:b/>
          <w:bCs/>
          <w:rtl/>
          <w:lang w:eastAsia="de-DE"/>
        </w:rPr>
        <w:t>לקחתי מאת בני־ישראל</w:t>
      </w:r>
      <w:r w:rsidRPr="00971D84">
        <w:rPr>
          <w:rFonts w:eastAsia="Times New Roman" w:cs="Times New Roman"/>
          <w:rtl/>
          <w:lang w:eastAsia="de-DE"/>
        </w:rPr>
        <w:t xml:space="preserve"> </w:t>
      </w:r>
      <w:r w:rsidRPr="00971D84">
        <w:rPr>
          <w:rFonts w:eastAsia="Times New Roman" w:cs="Times New Roman"/>
          <w:lang w:eastAsia="de-DE"/>
        </w:rPr>
        <w:t>(habe ich von den Söhnen Israels genommen) zeigt göttliche Aneignung in 1. Person.</w:t>
      </w:r>
    </w:p>
    <w:p w14:paraId="3C49D62C"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ואתן אתם לאהרן הכהן ולבניו לחק־עולם</w:t>
      </w:r>
      <w:r w:rsidRPr="00971D84">
        <w:rPr>
          <w:rFonts w:eastAsia="Times New Roman" w:cs="Times New Roman"/>
          <w:rtl/>
          <w:lang w:eastAsia="de-DE"/>
        </w:rPr>
        <w:t xml:space="preserve"> </w:t>
      </w:r>
      <w:r w:rsidRPr="00971D84">
        <w:rPr>
          <w:rFonts w:eastAsia="Times New Roman" w:cs="Times New Roman"/>
          <w:lang w:eastAsia="de-DE"/>
        </w:rPr>
        <w:t xml:space="preserve">(und habe sie Aaron dem Priester und seinen Söhnen gegeben als ewige Satzung) etabliert die permanente priesterliche Berechtigung. </w:t>
      </w:r>
      <w:r w:rsidRPr="00971D84">
        <w:rPr>
          <w:rFonts w:eastAsia="Times New Roman" w:cs="Times New Roman"/>
          <w:b/>
          <w:bCs/>
          <w:rtl/>
          <w:lang w:eastAsia="de-DE"/>
        </w:rPr>
        <w:t>מאת בני ישראל</w:t>
      </w:r>
      <w:r w:rsidRPr="00971D84">
        <w:rPr>
          <w:rFonts w:eastAsia="Times New Roman" w:cs="Times New Roman"/>
          <w:rtl/>
          <w:lang w:eastAsia="de-DE"/>
        </w:rPr>
        <w:t xml:space="preserve"> </w:t>
      </w:r>
      <w:r w:rsidRPr="00971D84">
        <w:rPr>
          <w:rFonts w:eastAsia="Times New Roman" w:cs="Times New Roman"/>
          <w:lang w:eastAsia="de-DE"/>
        </w:rPr>
        <w:t>(von den Söhnen Israels) zeigt die Quelle der priesterlichen Einkünfte.</w:t>
      </w:r>
    </w:p>
    <w:p w14:paraId="77AA238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חֲזֵ֨ה הַתְּנוּפָ֜ה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στηθύνιον</w:t>
      </w:r>
      <w:proofErr w:type="spellEnd"/>
      <w:r w:rsidRPr="00971D84">
        <w:rPr>
          <w:rFonts w:eastAsia="Times New Roman" w:cs="Times New Roman"/>
          <w:lang w:eastAsia="de-DE"/>
        </w:rPr>
        <w:t xml:space="preserve"> ἐπ</w:t>
      </w:r>
      <w:proofErr w:type="spellStart"/>
      <w:r w:rsidRPr="00971D84">
        <w:rPr>
          <w:rFonts w:eastAsia="Times New Roman" w:cs="Times New Roman"/>
          <w:lang w:eastAsia="de-DE"/>
        </w:rPr>
        <w:t>ιθέμ</w:t>
      </w:r>
      <w:proofErr w:type="spellEnd"/>
      <w:r w:rsidRPr="00971D84">
        <w:rPr>
          <w:rFonts w:eastAsia="Times New Roman" w:cs="Times New Roman"/>
          <w:lang w:eastAsia="de-DE"/>
        </w:rPr>
        <w:t xml:space="preserve">ατος (Brust der Auflegung), </w:t>
      </w:r>
      <w:r w:rsidRPr="00971D84">
        <w:rPr>
          <w:rFonts w:eastAsia="Times New Roman" w:cs="Times New Roman"/>
          <w:b/>
          <w:bCs/>
          <w:rtl/>
          <w:lang w:eastAsia="de-DE"/>
        </w:rPr>
        <w:t>שׁ֣וֹק הַתְּרוּמָ֗ה</w:t>
      </w:r>
      <w:r w:rsidRPr="00971D84">
        <w:rPr>
          <w:rFonts w:eastAsia="Times New Roman" w:cs="Times New Roman"/>
          <w:rtl/>
          <w:lang w:eastAsia="de-DE"/>
        </w:rPr>
        <w:t xml:space="preserve"> </w:t>
      </w:r>
      <w:r w:rsidRPr="00971D84">
        <w:rPr>
          <w:rFonts w:eastAsia="Times New Roman" w:cs="Times New Roman"/>
          <w:lang w:eastAsia="de-DE"/>
        </w:rPr>
        <w:t>mit βρα</w:t>
      </w:r>
      <w:proofErr w:type="spellStart"/>
      <w:r w:rsidRPr="00971D84">
        <w:rPr>
          <w:rFonts w:eastAsia="Times New Roman" w:cs="Times New Roman"/>
          <w:lang w:eastAsia="de-DE"/>
        </w:rPr>
        <w:t>χίον</w:t>
      </w:r>
      <w:proofErr w:type="spellEnd"/>
      <w:r w:rsidRPr="00971D84">
        <w:rPr>
          <w:rFonts w:eastAsia="Times New Roman" w:cs="Times New Roman"/>
          <w:lang w:eastAsia="de-DE"/>
        </w:rPr>
        <w:t xml:space="preserve">α </w:t>
      </w:r>
      <w:proofErr w:type="spellStart"/>
      <w:r w:rsidRPr="00971D84">
        <w:rPr>
          <w:rFonts w:eastAsia="Times New Roman" w:cs="Times New Roman"/>
          <w:lang w:eastAsia="de-DE"/>
        </w:rPr>
        <w:t>ἀφ</w:t>
      </w:r>
      <w:proofErr w:type="spellEnd"/>
      <w:r w:rsidRPr="00971D84">
        <w:rPr>
          <w:rFonts w:eastAsia="Times New Roman" w:cs="Times New Roman"/>
          <w:lang w:eastAsia="de-DE"/>
        </w:rPr>
        <w:t xml:space="preserve">αιρέματος (Arm der Wegnahme) und </w:t>
      </w:r>
      <w:r w:rsidRPr="00971D84">
        <w:rPr>
          <w:rFonts w:eastAsia="Times New Roman" w:cs="Times New Roman"/>
          <w:b/>
          <w:bCs/>
          <w:rtl/>
          <w:lang w:eastAsia="de-DE"/>
        </w:rPr>
        <w:t>לְחָק־עוֹלָ֔ם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νόμιμον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ἰώνιον</w:t>
      </w:r>
      <w:proofErr w:type="spellEnd"/>
      <w:r w:rsidRPr="00971D84">
        <w:rPr>
          <w:rFonts w:eastAsia="Times New Roman" w:cs="Times New Roman"/>
          <w:lang w:eastAsia="de-DE"/>
        </w:rPr>
        <w:t xml:space="preserve"> (ewiges Gesetz).</w:t>
      </w:r>
    </w:p>
    <w:p w14:paraId="5522188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göttliche Begründung: Begründungspartikel + zwei Objekte + göttliche Aneignung + Quellenangabe + göttliche Zuweisung + Rechtscharakter + Wiederholung der Quelle. Die Struktur legitimiert die priesterlichen Anteile durch göttliche Autorität.</w:t>
      </w:r>
    </w:p>
    <w:p w14:paraId="18140AA0"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begründet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als göttlich etablierte, ewige priesterliche Berechtigung von allen israelitischen </w:t>
      </w:r>
      <w:r w:rsidRPr="00971D84">
        <w:rPr>
          <w:rFonts w:eastAsia="Times New Roman" w:cs="Times New Roman"/>
          <w:b/>
          <w:bCs/>
          <w:rtl/>
          <w:lang w:eastAsia="de-DE"/>
        </w:rPr>
        <w:t>שלמים</w:t>
      </w:r>
      <w:r w:rsidRPr="00971D84">
        <w:rPr>
          <w:rFonts w:eastAsia="Times New Roman" w:cs="Times New Roman"/>
          <w:lang w:eastAsia="de-DE"/>
        </w:rPr>
        <w:t>.</w:t>
      </w:r>
    </w:p>
    <w:p w14:paraId="53E86135"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7,35</w:t>
      </w:r>
    </w:p>
    <w:p w14:paraId="14E61A3B"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זֹ֣את מִשְׁחַ֤ת אַהֲרֹן֙ וּמִשְׁחַ֣ת בָּנָ֔יו מֵאִשֵּׁ֖י יְהוָ֑ה בְּיוֹם֙ הִקְרִ֣יב אֹתָ֔ם לְכַהֵ֖ן לַיהוָֽה׃</w:t>
      </w:r>
    </w:p>
    <w:p w14:paraId="5A88F31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Das ist das Salbungsteil Aarons und das Salbungsteil seiner Söhne von den Feueropfern des Ewigen, an dem Tag, da er sie herantreten ließ, um dem Ewigen den Priesterdienst auszuüben,</w:t>
      </w:r>
    </w:p>
    <w:p w14:paraId="52E2B942"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0CF1318D">
          <v:rect id="_x0000_i1193" style="width:0;height:1.5pt" o:hralign="center" o:hrstd="t" o:hr="t" fillcolor="#a0a0a0" stroked="f"/>
        </w:pict>
      </w:r>
    </w:p>
    <w:p w14:paraId="5EE9F523"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זֹ֣את מִשְׁחַ֤ת אַהֲרֹן֙ וּמִשְׁחַ֣ת בָּנָ֔יו מֵאִשֵּׁ֖י יְהוָ֑ה</w:t>
      </w:r>
      <w:r w:rsidRPr="00971D84">
        <w:rPr>
          <w:rFonts w:eastAsia="Times New Roman" w:cs="Times New Roman"/>
          <w:rtl/>
          <w:lang w:eastAsia="de-DE"/>
        </w:rPr>
        <w:t xml:space="preserve"> </w:t>
      </w:r>
      <w:r w:rsidRPr="00971D84">
        <w:rPr>
          <w:rFonts w:eastAsia="Times New Roman" w:cs="Times New Roman"/>
          <w:lang w:eastAsia="de-DE"/>
        </w:rPr>
        <w:t xml:space="preserve">(das ist das Salbungsteil Aarons und das Salbungsteil seiner Söhne von den Feueropfern JHWHs) klassifiziert die priesterlichen Anteile. </w:t>
      </w:r>
      <w:r w:rsidRPr="00971D84">
        <w:rPr>
          <w:rFonts w:eastAsia="Times New Roman" w:cs="Times New Roman"/>
          <w:b/>
          <w:bCs/>
          <w:rtl/>
          <w:lang w:eastAsia="de-DE"/>
        </w:rPr>
        <w:t>זאת משחת אהרן ומשחת בניו</w:t>
      </w:r>
      <w:r w:rsidRPr="00971D84">
        <w:rPr>
          <w:rFonts w:eastAsia="Times New Roman" w:cs="Times New Roman"/>
          <w:rtl/>
          <w:lang w:eastAsia="de-DE"/>
        </w:rPr>
        <w:t xml:space="preserve"> </w:t>
      </w:r>
      <w:r w:rsidRPr="00971D84">
        <w:rPr>
          <w:rFonts w:eastAsia="Times New Roman" w:cs="Times New Roman"/>
          <w:lang w:eastAsia="de-DE"/>
        </w:rPr>
        <w:t xml:space="preserve">(das ist das Salbungsteil Aarons und das Salbungsteil seiner Söhne), </w:t>
      </w:r>
      <w:r w:rsidRPr="00971D84">
        <w:rPr>
          <w:rFonts w:eastAsia="Times New Roman" w:cs="Times New Roman"/>
          <w:b/>
          <w:bCs/>
          <w:rtl/>
          <w:lang w:eastAsia="de-DE"/>
        </w:rPr>
        <w:t>מאשי יהוה</w:t>
      </w:r>
      <w:r w:rsidRPr="00971D84">
        <w:rPr>
          <w:rFonts w:eastAsia="Times New Roman" w:cs="Times New Roman"/>
          <w:rtl/>
          <w:lang w:eastAsia="de-DE"/>
        </w:rPr>
        <w:t xml:space="preserve"> </w:t>
      </w:r>
      <w:r w:rsidRPr="00971D84">
        <w:rPr>
          <w:rFonts w:eastAsia="Times New Roman" w:cs="Times New Roman"/>
          <w:lang w:eastAsia="de-DE"/>
        </w:rPr>
        <w:t>(von den Feueropfern JHWHs).</w:t>
      </w:r>
    </w:p>
    <w:p w14:paraId="506E299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בְּיוֹם֙ הִקְרִ֣יב אֹתָ֔ם לְכַהֵ֖ן לַיהוָֽה</w:t>
      </w:r>
      <w:r w:rsidRPr="00971D84">
        <w:rPr>
          <w:rFonts w:eastAsia="Times New Roman" w:cs="Times New Roman"/>
          <w:rtl/>
          <w:lang w:eastAsia="de-DE"/>
        </w:rPr>
        <w:t xml:space="preserve"> </w:t>
      </w:r>
      <w:r w:rsidRPr="00971D84">
        <w:rPr>
          <w:rFonts w:eastAsia="Times New Roman" w:cs="Times New Roman"/>
          <w:lang w:eastAsia="de-DE"/>
        </w:rPr>
        <w:t xml:space="preserve">(an dem Tag, da er sie herantreten ließ, um JHWH Priesterdienst zu leisten) zeigt den Einsetzungszeitpunkt. </w:t>
      </w:r>
      <w:r w:rsidRPr="00971D84">
        <w:rPr>
          <w:rFonts w:eastAsia="Times New Roman" w:cs="Times New Roman"/>
          <w:b/>
          <w:bCs/>
          <w:rtl/>
          <w:lang w:eastAsia="de-DE"/>
        </w:rPr>
        <w:t>ביום הקריב אתם</w:t>
      </w:r>
      <w:r w:rsidRPr="00971D84">
        <w:rPr>
          <w:rFonts w:eastAsia="Times New Roman" w:cs="Times New Roman"/>
          <w:rtl/>
          <w:lang w:eastAsia="de-DE"/>
        </w:rPr>
        <w:t xml:space="preserve"> </w:t>
      </w:r>
      <w:r w:rsidRPr="00971D84">
        <w:rPr>
          <w:rFonts w:eastAsia="Times New Roman" w:cs="Times New Roman"/>
          <w:lang w:eastAsia="de-DE"/>
        </w:rPr>
        <w:t xml:space="preserve">(an dem Tag, da er sie herantreten ließ), </w:t>
      </w:r>
      <w:r w:rsidRPr="00971D84">
        <w:rPr>
          <w:rFonts w:eastAsia="Times New Roman" w:cs="Times New Roman"/>
          <w:b/>
          <w:bCs/>
          <w:rtl/>
          <w:lang w:eastAsia="de-DE"/>
        </w:rPr>
        <w:t>לכהן ליהוה</w:t>
      </w:r>
      <w:r w:rsidRPr="00971D84">
        <w:rPr>
          <w:rFonts w:eastAsia="Times New Roman" w:cs="Times New Roman"/>
          <w:rtl/>
          <w:lang w:eastAsia="de-DE"/>
        </w:rPr>
        <w:t xml:space="preserve"> </w:t>
      </w:r>
      <w:r w:rsidRPr="00971D84">
        <w:rPr>
          <w:rFonts w:eastAsia="Times New Roman" w:cs="Times New Roman"/>
          <w:lang w:eastAsia="de-DE"/>
        </w:rPr>
        <w:t>(um JHWH Priesterdienst zu leisten).</w:t>
      </w:r>
    </w:p>
    <w:p w14:paraId="2D3E529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משחת אהרן ומשחת בניו</w:t>
      </w:r>
      <w:r w:rsidRPr="00971D84">
        <w:rPr>
          <w:rFonts w:eastAsia="Times New Roman" w:cs="Times New Roman"/>
          <w:rtl/>
          <w:lang w:eastAsia="de-DE"/>
        </w:rPr>
        <w:t xml:space="preserve"> </w:t>
      </w:r>
      <w:r w:rsidRPr="00971D84">
        <w:rPr>
          <w:rFonts w:eastAsia="Times New Roman" w:cs="Times New Roman"/>
          <w:lang w:eastAsia="de-DE"/>
        </w:rPr>
        <w:t xml:space="preserve">(Salbungsteil Aarons und Salbungsteil seiner Söhne) von </w:t>
      </w:r>
      <w:r w:rsidRPr="00971D84">
        <w:rPr>
          <w:rFonts w:eastAsia="Times New Roman" w:cs="Times New Roman"/>
          <w:b/>
          <w:bCs/>
          <w:rtl/>
          <w:lang w:eastAsia="de-DE"/>
        </w:rPr>
        <w:t>משח</w:t>
      </w:r>
      <w:r w:rsidRPr="00971D84">
        <w:rPr>
          <w:rFonts w:eastAsia="Times New Roman" w:cs="Times New Roman"/>
          <w:rtl/>
          <w:lang w:eastAsia="de-DE"/>
        </w:rPr>
        <w:t xml:space="preserve"> </w:t>
      </w:r>
      <w:r w:rsidRPr="00971D84">
        <w:rPr>
          <w:rFonts w:eastAsia="Times New Roman" w:cs="Times New Roman"/>
          <w:lang w:eastAsia="de-DE"/>
        </w:rPr>
        <w:t xml:space="preserve">(salben) bezeichnet die durch Salbung erworbenen Rechte. </w:t>
      </w:r>
      <w:r w:rsidRPr="00971D84">
        <w:rPr>
          <w:rFonts w:eastAsia="Times New Roman" w:cs="Times New Roman"/>
          <w:b/>
          <w:bCs/>
          <w:rtl/>
          <w:lang w:eastAsia="de-DE"/>
        </w:rPr>
        <w:t>מאשי יהוה</w:t>
      </w:r>
      <w:r w:rsidRPr="00971D84">
        <w:rPr>
          <w:rFonts w:eastAsia="Times New Roman" w:cs="Times New Roman"/>
          <w:rtl/>
          <w:lang w:eastAsia="de-DE"/>
        </w:rPr>
        <w:t xml:space="preserve"> </w:t>
      </w:r>
      <w:r w:rsidRPr="00971D84">
        <w:rPr>
          <w:rFonts w:eastAsia="Times New Roman" w:cs="Times New Roman"/>
          <w:lang w:eastAsia="de-DE"/>
        </w:rPr>
        <w:t xml:space="preserve">(von den Feueropfern JHWHs) zeigt die Quelle: alle </w:t>
      </w:r>
      <w:r w:rsidRPr="00971D84">
        <w:rPr>
          <w:rFonts w:eastAsia="Times New Roman" w:cs="Times New Roman"/>
          <w:b/>
          <w:bCs/>
          <w:rtl/>
          <w:lang w:eastAsia="de-DE"/>
        </w:rPr>
        <w:t>אשי יהוה</w:t>
      </w:r>
      <w:r w:rsidRPr="00971D84">
        <w:rPr>
          <w:rFonts w:eastAsia="Times New Roman" w:cs="Times New Roman"/>
          <w:rtl/>
          <w:lang w:eastAsia="de-DE"/>
        </w:rPr>
        <w:t xml:space="preserve"> </w:t>
      </w:r>
      <w:r w:rsidRPr="00971D84">
        <w:rPr>
          <w:rFonts w:eastAsia="Times New Roman" w:cs="Times New Roman"/>
          <w:lang w:eastAsia="de-DE"/>
        </w:rPr>
        <w:t>(Feueropfer JHWHs).</w:t>
      </w:r>
    </w:p>
    <w:p w14:paraId="4AF2F7F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הקריב אתם לכהן ליהוה</w:t>
      </w:r>
      <w:r w:rsidRPr="00971D84">
        <w:rPr>
          <w:rFonts w:eastAsia="Times New Roman" w:cs="Times New Roman"/>
          <w:rtl/>
          <w:lang w:eastAsia="de-DE"/>
        </w:rPr>
        <w:t xml:space="preserve"> </w:t>
      </w:r>
      <w:r w:rsidRPr="00971D84">
        <w:rPr>
          <w:rFonts w:eastAsia="Times New Roman" w:cs="Times New Roman"/>
          <w:lang w:eastAsia="de-DE"/>
        </w:rPr>
        <w:t xml:space="preserve">(er ließ sie herantreten, um JHWH Priesterdienst zu leisten) bezieht sich auf die Priesterweihe. </w:t>
      </w:r>
      <w:r w:rsidRPr="00971D84">
        <w:rPr>
          <w:rFonts w:eastAsia="Times New Roman" w:cs="Times New Roman"/>
          <w:b/>
          <w:bCs/>
          <w:rtl/>
          <w:lang w:eastAsia="de-DE"/>
        </w:rPr>
        <w:t>לכהן</w:t>
      </w:r>
      <w:r w:rsidRPr="00971D84">
        <w:rPr>
          <w:rFonts w:eastAsia="Times New Roman" w:cs="Times New Roman"/>
          <w:rtl/>
          <w:lang w:eastAsia="de-DE"/>
        </w:rPr>
        <w:t xml:space="preserve"> </w:t>
      </w:r>
      <w:r w:rsidRPr="00971D84">
        <w:rPr>
          <w:rFonts w:eastAsia="Times New Roman" w:cs="Times New Roman"/>
          <w:lang w:eastAsia="de-DE"/>
        </w:rPr>
        <w:t xml:space="preserve">(Priesterdienst zu leisten) als Infinitiv von </w:t>
      </w:r>
      <w:r w:rsidRPr="00971D84">
        <w:rPr>
          <w:rFonts w:eastAsia="Times New Roman" w:cs="Times New Roman"/>
          <w:b/>
          <w:bCs/>
          <w:rtl/>
          <w:lang w:eastAsia="de-DE"/>
        </w:rPr>
        <w:t>כהן</w:t>
      </w:r>
      <w:r w:rsidRPr="00971D84">
        <w:rPr>
          <w:rFonts w:eastAsia="Times New Roman" w:cs="Times New Roman"/>
          <w:rtl/>
          <w:lang w:eastAsia="de-DE"/>
        </w:rPr>
        <w:t xml:space="preserve"> </w:t>
      </w:r>
      <w:r w:rsidRPr="00971D84">
        <w:rPr>
          <w:rFonts w:eastAsia="Times New Roman" w:cs="Times New Roman"/>
          <w:lang w:eastAsia="de-DE"/>
        </w:rPr>
        <w:t>(Priester sein).</w:t>
      </w:r>
    </w:p>
    <w:p w14:paraId="64A1A5E3" w14:textId="77777777" w:rsidR="00507F60" w:rsidRDefault="00507F60" w:rsidP="00971D84">
      <w:pPr>
        <w:spacing w:before="100" w:beforeAutospacing="1" w:after="100" w:afterAutospacing="1" w:line="240" w:lineRule="auto"/>
      </w:pPr>
      <w:r>
        <w:rPr>
          <w:rStyle w:val="Fett"/>
        </w:rPr>
        <w:lastRenderedPageBreak/>
        <w:t>Vers 35 (MT=25 LXX)</w:t>
      </w:r>
      <w:r>
        <w:t xml:space="preserve">: </w:t>
      </w:r>
      <w:r>
        <w:rPr>
          <w:rStyle w:val="Fett"/>
        </w:rPr>
        <w:t>Die LXX</w:t>
      </w:r>
      <w:r>
        <w:t xml:space="preserve"> übersetzt </w:t>
      </w:r>
      <w:r>
        <w:rPr>
          <w:rtl/>
        </w:rPr>
        <w:t>משחת</w:t>
      </w:r>
      <w:r>
        <w:t xml:space="preserve"> (</w:t>
      </w:r>
      <w:proofErr w:type="spellStart"/>
      <w:r>
        <w:t>mischhat</w:t>
      </w:r>
      <w:proofErr w:type="spellEnd"/>
      <w:r>
        <w:t xml:space="preserve"> - "Salbungsanteil") als </w:t>
      </w:r>
      <w:proofErr w:type="spellStart"/>
      <w:r>
        <w:t>χρῖσις</w:t>
      </w:r>
      <w:proofErr w:type="spellEnd"/>
      <w:r>
        <w:t xml:space="preserve"> (Salbung), wobei sie </w:t>
      </w:r>
      <w:r>
        <w:rPr>
          <w:rtl/>
        </w:rPr>
        <w:t>מאשי יהוה</w:t>
      </w:r>
      <w:r>
        <w:t xml:space="preserve"> als ἀπὸ </w:t>
      </w:r>
      <w:proofErr w:type="spellStart"/>
      <w:r>
        <w:t>τῶν</w:t>
      </w:r>
      <w:proofErr w:type="spellEnd"/>
      <w:r>
        <w:t xml:space="preserve"> καρπ</w:t>
      </w:r>
      <w:proofErr w:type="spellStart"/>
      <w:r>
        <w:t>ωμάτων</w:t>
      </w:r>
      <w:proofErr w:type="spellEnd"/>
      <w:r>
        <w:t xml:space="preserve"> </w:t>
      </w:r>
      <w:proofErr w:type="spellStart"/>
      <w:r>
        <w:t>κυρίου</w:t>
      </w:r>
      <w:proofErr w:type="spellEnd"/>
      <w:r>
        <w:t xml:space="preserve"> wiedergibt.</w:t>
      </w:r>
    </w:p>
    <w:p w14:paraId="69B35697" w14:textId="7976FBAA"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zeitliche Etablierung: Klassifikation + temporale Bestimmung + Einsetzungshandlung + Zweckangabe. Die Struktur verknüpft die priesterlichen Anteile mit der ursprünglichen Priesterweihe.</w:t>
      </w:r>
    </w:p>
    <w:p w14:paraId="200DD37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Dieser Vers klassifiziert </w:t>
      </w:r>
      <w:r w:rsidRPr="00971D84">
        <w:rPr>
          <w:rFonts w:eastAsia="Times New Roman" w:cs="Times New Roman"/>
          <w:b/>
          <w:bCs/>
          <w:rtl/>
          <w:lang w:eastAsia="de-DE"/>
        </w:rPr>
        <w:t>תנופה</w:t>
      </w:r>
      <w:r w:rsidRPr="00971D84">
        <w:rPr>
          <w:rFonts w:eastAsia="Times New Roman" w:cs="Times New Roman"/>
          <w:rtl/>
          <w:lang w:eastAsia="de-DE"/>
        </w:rPr>
        <w:t xml:space="preserve"> </w:t>
      </w:r>
      <w:r w:rsidRPr="00971D84">
        <w:rPr>
          <w:rFonts w:eastAsia="Times New Roman" w:cs="Times New Roman"/>
          <w:lang w:eastAsia="de-DE"/>
        </w:rPr>
        <w:t xml:space="preserve">und </w:t>
      </w:r>
      <w:r w:rsidRPr="00971D84">
        <w:rPr>
          <w:rFonts w:eastAsia="Times New Roman" w:cs="Times New Roman"/>
          <w:b/>
          <w:bCs/>
          <w:rtl/>
          <w:lang w:eastAsia="de-DE"/>
        </w:rPr>
        <w:t>תרומה</w:t>
      </w:r>
      <w:r w:rsidRPr="00971D84">
        <w:rPr>
          <w:rFonts w:eastAsia="Times New Roman" w:cs="Times New Roman"/>
          <w:rtl/>
          <w:lang w:eastAsia="de-DE"/>
        </w:rPr>
        <w:t xml:space="preserve"> </w:t>
      </w:r>
      <w:r w:rsidRPr="00971D84">
        <w:rPr>
          <w:rFonts w:eastAsia="Times New Roman" w:cs="Times New Roman"/>
          <w:lang w:eastAsia="de-DE"/>
        </w:rPr>
        <w:t xml:space="preserve">als </w:t>
      </w:r>
      <w:r w:rsidRPr="00971D84">
        <w:rPr>
          <w:rFonts w:eastAsia="Times New Roman" w:cs="Times New Roman"/>
          <w:b/>
          <w:bCs/>
          <w:rtl/>
          <w:lang w:eastAsia="de-DE"/>
        </w:rPr>
        <w:t>משחת</w:t>
      </w:r>
      <w:r w:rsidRPr="00971D84">
        <w:rPr>
          <w:rFonts w:eastAsia="Times New Roman" w:cs="Times New Roman"/>
          <w:rtl/>
          <w:lang w:eastAsia="de-DE"/>
        </w:rPr>
        <w:t xml:space="preserve"> </w:t>
      </w:r>
      <w:r w:rsidRPr="00971D84">
        <w:rPr>
          <w:rFonts w:eastAsia="Times New Roman" w:cs="Times New Roman"/>
          <w:lang w:eastAsia="de-DE"/>
        </w:rPr>
        <w:t>(Salbungsteile), die bei der ursprünglichen Priesterweihe etabliert wurden.</w:t>
      </w:r>
    </w:p>
    <w:p w14:paraId="4D75882B"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7,36</w:t>
      </w:r>
    </w:p>
    <w:p w14:paraId="30F5A59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אֲשֶׁר֩ צִוָּ֨ה יְהוָ֜ה לָתֵ֣ת לָהֶ֗ם בְּיוֹם֙ מָשְׁחֹ֣ו אֹתָ֔ם מֵאֵ֖ת בְּנֵ֣י יִשְׂרָאֵ֑ל חֻקַּ֥ת עוֹלָ֖ם לְדֹרֹתָֽם׃</w:t>
      </w:r>
    </w:p>
    <w:p w14:paraId="5ADEBF77"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Deutsch:</w:t>
      </w:r>
      <w:r w:rsidRPr="00971D84">
        <w:rPr>
          <w:rFonts w:eastAsia="Times New Roman" w:cs="Times New Roman"/>
          <w:lang w:eastAsia="de-DE"/>
        </w:rPr>
        <w:t xml:space="preserve"> das der Ewige ihnen zu geben geboten hat von Seiten der Kinder Israels, an dem Tag, da er sie salbte: Eine ewige Satzung bei ihren Generationen.</w:t>
      </w:r>
    </w:p>
    <w:p w14:paraId="2E640CC0"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1C06A273">
          <v:rect id="_x0000_i1194" style="width:0;height:1.5pt" o:hralign="center" o:hrstd="t" o:hr="t" fillcolor="#a0a0a0" stroked="f"/>
        </w:pict>
      </w:r>
    </w:p>
    <w:p w14:paraId="4F49F76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אֲשֶׁר֩ צִוָּ֨ה יְהוָ֜ה לָתֵ֣ת לָהֶ֗ם בְּיוֹם֙ מָשְׁחֹ֣ו אֹתָ֔ם</w:t>
      </w:r>
      <w:r w:rsidRPr="00971D84">
        <w:rPr>
          <w:rFonts w:eastAsia="Times New Roman" w:cs="Times New Roman"/>
          <w:rtl/>
          <w:lang w:eastAsia="de-DE"/>
        </w:rPr>
        <w:t xml:space="preserve"> </w:t>
      </w:r>
      <w:r w:rsidRPr="00971D84">
        <w:rPr>
          <w:rFonts w:eastAsia="Times New Roman" w:cs="Times New Roman"/>
          <w:lang w:eastAsia="de-DE"/>
        </w:rPr>
        <w:t xml:space="preserve">(das JHWH ihnen zu geben geboten hat an dem Tag, da er sie salbte) zeigt göttliches Gebot. </w:t>
      </w:r>
      <w:r w:rsidRPr="00971D84">
        <w:rPr>
          <w:rFonts w:eastAsia="Times New Roman" w:cs="Times New Roman"/>
          <w:b/>
          <w:bCs/>
          <w:rtl/>
          <w:lang w:eastAsia="de-DE"/>
        </w:rPr>
        <w:t>אשר צוה יהוה לתת להם</w:t>
      </w:r>
      <w:r w:rsidRPr="00971D84">
        <w:rPr>
          <w:rFonts w:eastAsia="Times New Roman" w:cs="Times New Roman"/>
          <w:rtl/>
          <w:lang w:eastAsia="de-DE"/>
        </w:rPr>
        <w:t xml:space="preserve"> </w:t>
      </w:r>
      <w:r w:rsidRPr="00971D84">
        <w:rPr>
          <w:rFonts w:eastAsia="Times New Roman" w:cs="Times New Roman"/>
          <w:lang w:eastAsia="de-DE"/>
        </w:rPr>
        <w:t xml:space="preserve">(das JHWH ihnen zu geben geboten hat), </w:t>
      </w:r>
      <w:r w:rsidRPr="00971D84">
        <w:rPr>
          <w:rFonts w:eastAsia="Times New Roman" w:cs="Times New Roman"/>
          <w:b/>
          <w:bCs/>
          <w:rtl/>
          <w:lang w:eastAsia="de-DE"/>
        </w:rPr>
        <w:t>ביום משחו אתם</w:t>
      </w:r>
      <w:r w:rsidRPr="00971D84">
        <w:rPr>
          <w:rFonts w:eastAsia="Times New Roman" w:cs="Times New Roman"/>
          <w:rtl/>
          <w:lang w:eastAsia="de-DE"/>
        </w:rPr>
        <w:t xml:space="preserve"> </w:t>
      </w:r>
      <w:r w:rsidRPr="00971D84">
        <w:rPr>
          <w:rFonts w:eastAsia="Times New Roman" w:cs="Times New Roman"/>
          <w:lang w:eastAsia="de-DE"/>
        </w:rPr>
        <w:t>(an dem Tag, da er sie salbte).</w:t>
      </w:r>
    </w:p>
    <w:p w14:paraId="63A4A8C5"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מֵאֵ֖ת בְּנֵ֣י יִשְׂרָאֵ֑ל חֻקַּ֥ת עוֹלָ֖ם לְדֹרֹתָֽם</w:t>
      </w:r>
      <w:r w:rsidRPr="00971D84">
        <w:rPr>
          <w:rFonts w:eastAsia="Times New Roman" w:cs="Times New Roman"/>
          <w:rtl/>
          <w:lang w:eastAsia="de-DE"/>
        </w:rPr>
        <w:t xml:space="preserve"> </w:t>
      </w:r>
      <w:r w:rsidRPr="00971D84">
        <w:rPr>
          <w:rFonts w:eastAsia="Times New Roman" w:cs="Times New Roman"/>
          <w:lang w:eastAsia="de-DE"/>
        </w:rPr>
        <w:t xml:space="preserve">(von den Söhnen Israels: eine ewige Satzung für ihre Generationen) zeigt Dauerhaftigkeit. </w:t>
      </w:r>
      <w:r w:rsidRPr="00971D84">
        <w:rPr>
          <w:rFonts w:eastAsia="Times New Roman" w:cs="Times New Roman"/>
          <w:b/>
          <w:bCs/>
          <w:rtl/>
          <w:lang w:eastAsia="de-DE"/>
        </w:rPr>
        <w:t>מאת בני ישראל</w:t>
      </w:r>
      <w:r w:rsidRPr="00971D84">
        <w:rPr>
          <w:rFonts w:eastAsia="Times New Roman" w:cs="Times New Roman"/>
          <w:rtl/>
          <w:lang w:eastAsia="de-DE"/>
        </w:rPr>
        <w:t xml:space="preserve"> </w:t>
      </w:r>
      <w:r w:rsidRPr="00971D84">
        <w:rPr>
          <w:rFonts w:eastAsia="Times New Roman" w:cs="Times New Roman"/>
          <w:lang w:eastAsia="de-DE"/>
        </w:rPr>
        <w:t xml:space="preserve">(von den Söhnen Israels), </w:t>
      </w:r>
      <w:r w:rsidRPr="00971D84">
        <w:rPr>
          <w:rFonts w:eastAsia="Times New Roman" w:cs="Times New Roman"/>
          <w:b/>
          <w:bCs/>
          <w:rtl/>
          <w:lang w:eastAsia="de-DE"/>
        </w:rPr>
        <w:t>חקת עולם לדרתם</w:t>
      </w:r>
      <w:r w:rsidRPr="00971D84">
        <w:rPr>
          <w:rFonts w:eastAsia="Times New Roman" w:cs="Times New Roman"/>
          <w:rtl/>
          <w:lang w:eastAsia="de-DE"/>
        </w:rPr>
        <w:t xml:space="preserve"> </w:t>
      </w:r>
      <w:r w:rsidRPr="00971D84">
        <w:rPr>
          <w:rFonts w:eastAsia="Times New Roman" w:cs="Times New Roman"/>
          <w:lang w:eastAsia="de-DE"/>
        </w:rPr>
        <w:t>(ewige Satzung für ihre Generationen).</w:t>
      </w:r>
    </w:p>
    <w:p w14:paraId="3EEB678E"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צוה יהוה לתת להם</w:t>
      </w:r>
      <w:r w:rsidRPr="00971D84">
        <w:rPr>
          <w:rFonts w:eastAsia="Times New Roman" w:cs="Times New Roman"/>
          <w:rtl/>
          <w:lang w:eastAsia="de-DE"/>
        </w:rPr>
        <w:t xml:space="preserve"> </w:t>
      </w:r>
      <w:r w:rsidRPr="00971D84">
        <w:rPr>
          <w:rFonts w:eastAsia="Times New Roman" w:cs="Times New Roman"/>
          <w:lang w:eastAsia="de-DE"/>
        </w:rPr>
        <w:t xml:space="preserve">(JHWH geboten hat, ihnen zu geben) betont das göttliche Gebot als Grundlage der priesterlichen Berechtigung. </w:t>
      </w:r>
      <w:r w:rsidRPr="00971D84">
        <w:rPr>
          <w:rFonts w:eastAsia="Times New Roman" w:cs="Times New Roman"/>
          <w:b/>
          <w:bCs/>
          <w:rtl/>
          <w:lang w:eastAsia="de-DE"/>
        </w:rPr>
        <w:t>ביום משחו אתם</w:t>
      </w:r>
      <w:r w:rsidRPr="00971D84">
        <w:rPr>
          <w:rFonts w:eastAsia="Times New Roman" w:cs="Times New Roman"/>
          <w:rtl/>
          <w:lang w:eastAsia="de-DE"/>
        </w:rPr>
        <w:t xml:space="preserve"> </w:t>
      </w:r>
      <w:r w:rsidRPr="00971D84">
        <w:rPr>
          <w:rFonts w:eastAsia="Times New Roman" w:cs="Times New Roman"/>
          <w:lang w:eastAsia="de-DE"/>
        </w:rPr>
        <w:t>(an dem Tag, da er sie salbte) verknüpft mit der ursprünglichen Priesterweihe.</w:t>
      </w:r>
    </w:p>
    <w:p w14:paraId="67F0923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חקת עולם לדרתם</w:t>
      </w:r>
      <w:r w:rsidRPr="00971D84">
        <w:rPr>
          <w:rFonts w:eastAsia="Times New Roman" w:cs="Times New Roman"/>
          <w:rtl/>
          <w:lang w:eastAsia="de-DE"/>
        </w:rPr>
        <w:t xml:space="preserve"> </w:t>
      </w:r>
      <w:r w:rsidRPr="00971D84">
        <w:rPr>
          <w:rFonts w:eastAsia="Times New Roman" w:cs="Times New Roman"/>
          <w:lang w:eastAsia="de-DE"/>
        </w:rPr>
        <w:t>(ewige Satzung für ihre Generationen) entspricht 6,11 und etabliert die Unveränderlichkeit der priesterlichen Anteile für alle Zukunft.</w:t>
      </w:r>
    </w:p>
    <w:p w14:paraId="13255951"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LXX</w:t>
      </w:r>
      <w:r w:rsidRPr="00971D84">
        <w:rPr>
          <w:rFonts w:eastAsia="Times New Roman" w:cs="Times New Roman"/>
          <w:lang w:eastAsia="de-DE"/>
        </w:rPr>
        <w:t xml:space="preserve"> übersetzt </w:t>
      </w:r>
      <w:r w:rsidRPr="00971D84">
        <w:rPr>
          <w:rFonts w:eastAsia="Times New Roman" w:cs="Times New Roman"/>
          <w:b/>
          <w:bCs/>
          <w:rtl/>
          <w:lang w:eastAsia="de-DE"/>
        </w:rPr>
        <w:t>צִוָּ֨ה</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ἐνετείλ</w:t>
      </w:r>
      <w:proofErr w:type="spellEnd"/>
      <w:r w:rsidRPr="00971D84">
        <w:rPr>
          <w:rFonts w:eastAsia="Times New Roman" w:cs="Times New Roman"/>
          <w:lang w:eastAsia="de-DE"/>
        </w:rPr>
        <w:t xml:space="preserve">ατο (er befahl), </w:t>
      </w:r>
      <w:r w:rsidRPr="00971D84">
        <w:rPr>
          <w:rFonts w:eastAsia="Times New Roman" w:cs="Times New Roman"/>
          <w:b/>
          <w:bCs/>
          <w:rtl/>
          <w:lang w:eastAsia="de-DE"/>
        </w:rPr>
        <w:t>מָשְׁחֹ֣ו</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ἔχρισεν</w:t>
      </w:r>
      <w:proofErr w:type="spellEnd"/>
      <w:r w:rsidRPr="00971D84">
        <w:rPr>
          <w:rFonts w:eastAsia="Times New Roman" w:cs="Times New Roman"/>
          <w:lang w:eastAsia="de-DE"/>
        </w:rPr>
        <w:t xml:space="preserve"> (er salbte) und </w:t>
      </w:r>
      <w:r w:rsidRPr="00971D84">
        <w:rPr>
          <w:rFonts w:eastAsia="Times New Roman" w:cs="Times New Roman"/>
          <w:b/>
          <w:bCs/>
          <w:rtl/>
          <w:lang w:eastAsia="de-DE"/>
        </w:rPr>
        <w:t>חֻקַּ֥ת עוֹלָ֖ם</w:t>
      </w:r>
      <w:r w:rsidRPr="00971D84">
        <w:rPr>
          <w:rFonts w:eastAsia="Times New Roman" w:cs="Times New Roman"/>
          <w:rtl/>
          <w:lang w:eastAsia="de-DE"/>
        </w:rPr>
        <w:t xml:space="preserve"> </w:t>
      </w:r>
      <w:r w:rsidRPr="00971D84">
        <w:rPr>
          <w:rFonts w:eastAsia="Times New Roman" w:cs="Times New Roman"/>
          <w:lang w:eastAsia="de-DE"/>
        </w:rPr>
        <w:t xml:space="preserve">mit </w:t>
      </w:r>
      <w:proofErr w:type="spellStart"/>
      <w:r w:rsidRPr="00971D84">
        <w:rPr>
          <w:rFonts w:eastAsia="Times New Roman" w:cs="Times New Roman"/>
          <w:lang w:eastAsia="de-DE"/>
        </w:rPr>
        <w:t>νόμιμον</w:t>
      </w:r>
      <w:proofErr w:type="spellEnd"/>
      <w:r w:rsidRPr="00971D84">
        <w:rPr>
          <w:rFonts w:eastAsia="Times New Roman" w:cs="Times New Roman"/>
          <w:lang w:eastAsia="de-DE"/>
        </w:rPr>
        <w:t xml:space="preserve"> α</w:t>
      </w:r>
      <w:proofErr w:type="spellStart"/>
      <w:r w:rsidRPr="00971D84">
        <w:rPr>
          <w:rFonts w:eastAsia="Times New Roman" w:cs="Times New Roman"/>
          <w:lang w:eastAsia="de-DE"/>
        </w:rPr>
        <w:t>ἰώνιον</w:t>
      </w:r>
      <w:proofErr w:type="spellEnd"/>
      <w:r w:rsidRPr="00971D84">
        <w:rPr>
          <w:rFonts w:eastAsia="Times New Roman" w:cs="Times New Roman"/>
          <w:lang w:eastAsia="de-DE"/>
        </w:rPr>
        <w:t xml:space="preserve"> (ewiges Gesetz).</w:t>
      </w:r>
    </w:p>
    <w:p w14:paraId="1AE0210A"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göttliche Legitimation: Relativsatz mit göttlichem Gebot + temporale Bestimmung + Quellenangabe + Dauerhaftigkeitsklausel. Die Struktur etabliert die ewige göttliche Legitimation der priesterlichen Anteile.</w:t>
      </w:r>
    </w:p>
    <w:p w14:paraId="2360415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Dieser Vers beschließt die priesterlichen Anteile mit göttlicher Legitimation und ewiger Gültigkeit für alle Generationen.</w:t>
      </w:r>
    </w:p>
    <w:p w14:paraId="3EB79619" w14:textId="77777777" w:rsidR="00971D84" w:rsidRPr="00971D84" w:rsidRDefault="00971D84" w:rsidP="00971D84">
      <w:pPr>
        <w:spacing w:before="100" w:beforeAutospacing="1" w:after="100" w:afterAutospacing="1" w:line="240" w:lineRule="auto"/>
        <w:outlineLvl w:val="1"/>
        <w:rPr>
          <w:rFonts w:eastAsia="Times New Roman" w:cs="Times New Roman"/>
          <w:b/>
          <w:bCs/>
          <w:sz w:val="36"/>
          <w:szCs w:val="36"/>
          <w:lang w:eastAsia="de-DE"/>
        </w:rPr>
      </w:pPr>
      <w:r w:rsidRPr="00971D84">
        <w:rPr>
          <w:rFonts w:eastAsia="Times New Roman" w:cs="Times New Roman"/>
          <w:b/>
          <w:bCs/>
          <w:sz w:val="36"/>
          <w:szCs w:val="36"/>
          <w:lang w:eastAsia="de-DE"/>
        </w:rPr>
        <w:t>Leviticus 7,37</w:t>
      </w:r>
    </w:p>
    <w:p w14:paraId="240621B6"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Hebräisch:</w:t>
      </w:r>
      <w:r w:rsidRPr="00971D84">
        <w:rPr>
          <w:rFonts w:eastAsia="Times New Roman" w:cs="Times New Roman"/>
          <w:lang w:eastAsia="de-DE"/>
        </w:rPr>
        <w:t xml:space="preserve"> </w:t>
      </w:r>
      <w:r w:rsidRPr="00971D84">
        <w:rPr>
          <w:rFonts w:eastAsia="Times New Roman" w:cs="Times New Roman"/>
          <w:rtl/>
          <w:lang w:eastAsia="de-DE"/>
        </w:rPr>
        <w:t>זֹ֣את הַתּוֹרָ֗ה לָֽעֹלָה֙ לַמִּנְחָ֔ה וְלַֽחַטָּ֖את וְלָאָשָׁ֑ם וְלַ֨מִּלּוּאִ֔ים וּלְזֶ֖בַח הַשְּׁלָמִֽים׃</w:t>
      </w:r>
    </w:p>
    <w:p w14:paraId="1A481AC9"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lastRenderedPageBreak/>
        <w:t>Deutsch:</w:t>
      </w:r>
      <w:r w:rsidRPr="00971D84">
        <w:rPr>
          <w:rFonts w:eastAsia="Times New Roman" w:cs="Times New Roman"/>
          <w:lang w:eastAsia="de-DE"/>
        </w:rPr>
        <w:t xml:space="preserve"> Das ist die Torah des Aufsteigeopfers, des Speisopfers und des Sündopfers und des Schuldopfers und des Einweihungsopfers und des Friedensopfers,</w:t>
      </w:r>
    </w:p>
    <w:p w14:paraId="5B38586D" w14:textId="77777777" w:rsidR="00971D84" w:rsidRPr="00971D84" w:rsidRDefault="00A57720" w:rsidP="00971D84">
      <w:pPr>
        <w:spacing w:after="0" w:line="240" w:lineRule="auto"/>
        <w:rPr>
          <w:rFonts w:eastAsia="Times New Roman" w:cs="Times New Roman"/>
          <w:lang w:eastAsia="de-DE"/>
        </w:rPr>
      </w:pPr>
      <w:r>
        <w:rPr>
          <w:rFonts w:eastAsia="Times New Roman" w:cs="Times New Roman"/>
          <w:noProof/>
          <w:lang w:eastAsia="de-DE"/>
        </w:rPr>
        <w:pict w14:anchorId="4592E068">
          <v:rect id="_x0000_i1195" style="width:0;height:1.5pt" o:hralign="center" o:hrstd="t" o:hr="t" fillcolor="#a0a0a0" stroked="f"/>
        </w:pict>
      </w:r>
    </w:p>
    <w:p w14:paraId="1BA52B69" w14:textId="7F2A698E"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Kommentar:</w:t>
      </w:r>
      <w:r w:rsidRPr="00971D84">
        <w:rPr>
          <w:rFonts w:eastAsia="Times New Roman" w:cs="Times New Roman"/>
          <w:lang w:eastAsia="de-DE"/>
        </w:rPr>
        <w:t xml:space="preserve"> </w:t>
      </w:r>
      <w:r w:rsidRPr="00971D84">
        <w:rPr>
          <w:rFonts w:eastAsia="Times New Roman" w:cs="Times New Roman"/>
          <w:b/>
          <w:bCs/>
          <w:rtl/>
          <w:lang w:eastAsia="de-DE"/>
        </w:rPr>
        <w:t>זֹ֣את הַתּוֹרָ֗ה לָֽעֹלָה֙ לַמִּנְחָ֔ה וְלַֽחַטָּ֖את וְלָאָשָׁ֑ם וְלַ֨מִּלּוּאִ֔ים וּלְזֶ֖בַח הַשְּׁלָמִֽים</w:t>
      </w:r>
      <w:r w:rsidRPr="00971D84">
        <w:rPr>
          <w:rFonts w:eastAsia="Times New Roman" w:cs="Times New Roman"/>
          <w:rtl/>
          <w:lang w:eastAsia="de-DE"/>
        </w:rPr>
        <w:t xml:space="preserve"> </w:t>
      </w:r>
      <w:r w:rsidRPr="00971D84">
        <w:rPr>
          <w:rFonts w:eastAsia="Times New Roman" w:cs="Times New Roman"/>
          <w:lang w:eastAsia="de-DE"/>
        </w:rPr>
        <w:t xml:space="preserve">ist eine abschließende Zusammenfassung aller Opferarten. </w:t>
      </w:r>
      <w:r w:rsidRPr="00971D84">
        <w:rPr>
          <w:rFonts w:eastAsia="Times New Roman" w:cs="Times New Roman"/>
          <w:b/>
          <w:bCs/>
          <w:rtl/>
          <w:lang w:eastAsia="de-DE"/>
        </w:rPr>
        <w:t>זאת התורה</w:t>
      </w:r>
      <w:r w:rsidRPr="00971D84">
        <w:rPr>
          <w:rFonts w:eastAsia="Times New Roman" w:cs="Times New Roman"/>
          <w:rtl/>
          <w:lang w:eastAsia="de-DE"/>
        </w:rPr>
        <w:t xml:space="preserve"> </w:t>
      </w:r>
      <w:r w:rsidRPr="00971D84">
        <w:rPr>
          <w:rFonts w:eastAsia="Times New Roman" w:cs="Times New Roman"/>
          <w:lang w:eastAsia="de-DE"/>
        </w:rPr>
        <w:t xml:space="preserve">(das ist die Torah), </w:t>
      </w:r>
      <w:r w:rsidRPr="00971D84">
        <w:rPr>
          <w:rFonts w:eastAsia="Times New Roman" w:cs="Times New Roman"/>
          <w:b/>
          <w:bCs/>
          <w:rtl/>
          <w:lang w:eastAsia="de-DE"/>
        </w:rPr>
        <w:t>לעלה למנחה ולחטאת ולאשם ולמלואים ולזבח השלמים</w:t>
      </w:r>
      <w:r w:rsidRPr="00971D84">
        <w:rPr>
          <w:rFonts w:eastAsia="Times New Roman" w:cs="Times New Roman"/>
          <w:rtl/>
          <w:lang w:eastAsia="de-DE"/>
        </w:rPr>
        <w:t xml:space="preserve"> </w:t>
      </w:r>
      <w:r w:rsidRPr="00971D84">
        <w:rPr>
          <w:rFonts w:eastAsia="Times New Roman" w:cs="Times New Roman"/>
          <w:lang w:eastAsia="de-DE"/>
        </w:rPr>
        <w:t xml:space="preserve">(für das </w:t>
      </w:r>
      <w:r w:rsidR="00CF10E7">
        <w:rPr>
          <w:rFonts w:eastAsia="Times New Roman" w:cs="Times New Roman"/>
          <w:lang w:eastAsia="de-DE"/>
        </w:rPr>
        <w:t>Aufsteigeopfer</w:t>
      </w:r>
      <w:r w:rsidRPr="00971D84">
        <w:rPr>
          <w:rFonts w:eastAsia="Times New Roman" w:cs="Times New Roman"/>
          <w:lang w:eastAsia="de-DE"/>
        </w:rPr>
        <w:t>, das Speiseopfer und das Sündopfer und das Schuldopfer und das Einweihungsopfer und das Friedensopfer).</w:t>
      </w:r>
    </w:p>
    <w:p w14:paraId="2A7F1E82"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lang w:eastAsia="de-DE"/>
        </w:rPr>
        <w:t xml:space="preserve">Die Aufzählung umfasst alle Hauptopferarten: </w:t>
      </w:r>
      <w:r w:rsidRPr="00971D84">
        <w:rPr>
          <w:rFonts w:eastAsia="Times New Roman" w:cs="Times New Roman"/>
          <w:b/>
          <w:bCs/>
          <w:rtl/>
          <w:lang w:eastAsia="de-DE"/>
        </w:rPr>
        <w:t>עלה</w:t>
      </w:r>
      <w:r w:rsidRPr="00971D84">
        <w:rPr>
          <w:rFonts w:eastAsia="Times New Roman" w:cs="Times New Roman"/>
          <w:rtl/>
          <w:lang w:eastAsia="de-DE"/>
        </w:rPr>
        <w:t xml:space="preserve"> </w:t>
      </w:r>
      <w:r w:rsidRPr="00971D84">
        <w:rPr>
          <w:rFonts w:eastAsia="Times New Roman" w:cs="Times New Roman"/>
          <w:lang w:eastAsia="de-DE"/>
        </w:rPr>
        <w:t xml:space="preserve">(Kapitel 1), </w:t>
      </w:r>
      <w:r w:rsidRPr="00971D84">
        <w:rPr>
          <w:rFonts w:eastAsia="Times New Roman" w:cs="Times New Roman"/>
          <w:b/>
          <w:bCs/>
          <w:rtl/>
          <w:lang w:eastAsia="de-DE"/>
        </w:rPr>
        <w:t>מנחה</w:t>
      </w:r>
      <w:r w:rsidRPr="00971D84">
        <w:rPr>
          <w:rFonts w:eastAsia="Times New Roman" w:cs="Times New Roman"/>
          <w:rtl/>
          <w:lang w:eastAsia="de-DE"/>
        </w:rPr>
        <w:t xml:space="preserve"> </w:t>
      </w:r>
      <w:r w:rsidRPr="00971D84">
        <w:rPr>
          <w:rFonts w:eastAsia="Times New Roman" w:cs="Times New Roman"/>
          <w:lang w:eastAsia="de-DE"/>
        </w:rPr>
        <w:t xml:space="preserve">(Kapitel 2), </w:t>
      </w:r>
      <w:r w:rsidRPr="00971D84">
        <w:rPr>
          <w:rFonts w:eastAsia="Times New Roman" w:cs="Times New Roman"/>
          <w:b/>
          <w:bCs/>
          <w:rtl/>
          <w:lang w:eastAsia="de-DE"/>
        </w:rPr>
        <w:t>שלמים</w:t>
      </w:r>
      <w:r w:rsidRPr="00971D84">
        <w:rPr>
          <w:rFonts w:eastAsia="Times New Roman" w:cs="Times New Roman"/>
          <w:rtl/>
          <w:lang w:eastAsia="de-DE"/>
        </w:rPr>
        <w:t xml:space="preserve"> </w:t>
      </w:r>
      <w:r w:rsidRPr="00971D84">
        <w:rPr>
          <w:rFonts w:eastAsia="Times New Roman" w:cs="Times New Roman"/>
          <w:lang w:eastAsia="de-DE"/>
        </w:rPr>
        <w:t xml:space="preserve">(Kapitel 3), </w:t>
      </w:r>
      <w:r w:rsidRPr="00971D84">
        <w:rPr>
          <w:rFonts w:eastAsia="Times New Roman" w:cs="Times New Roman"/>
          <w:b/>
          <w:bCs/>
          <w:rtl/>
          <w:lang w:eastAsia="de-DE"/>
        </w:rPr>
        <w:t>חטאת</w:t>
      </w:r>
      <w:r w:rsidRPr="00971D84">
        <w:rPr>
          <w:rFonts w:eastAsia="Times New Roman" w:cs="Times New Roman"/>
          <w:rtl/>
          <w:lang w:eastAsia="de-DE"/>
        </w:rPr>
        <w:t xml:space="preserve"> </w:t>
      </w:r>
      <w:r w:rsidRPr="00971D84">
        <w:rPr>
          <w:rFonts w:eastAsia="Times New Roman" w:cs="Times New Roman"/>
          <w:lang w:eastAsia="de-DE"/>
        </w:rPr>
        <w:t xml:space="preserve">(Kapitel 4-5), </w:t>
      </w:r>
      <w:r w:rsidRPr="00971D84">
        <w:rPr>
          <w:rFonts w:eastAsia="Times New Roman" w:cs="Times New Roman"/>
          <w:b/>
          <w:bCs/>
          <w:rtl/>
          <w:lang w:eastAsia="de-DE"/>
        </w:rPr>
        <w:t>אשם</w:t>
      </w:r>
      <w:r w:rsidRPr="00971D84">
        <w:rPr>
          <w:rFonts w:eastAsia="Times New Roman" w:cs="Times New Roman"/>
          <w:rtl/>
          <w:lang w:eastAsia="de-DE"/>
        </w:rPr>
        <w:t xml:space="preserve"> </w:t>
      </w:r>
      <w:r w:rsidRPr="00971D84">
        <w:rPr>
          <w:rFonts w:eastAsia="Times New Roman" w:cs="Times New Roman"/>
          <w:lang w:eastAsia="de-DE"/>
        </w:rPr>
        <w:t xml:space="preserve">(Kapitel 5), plus </w:t>
      </w:r>
      <w:r w:rsidRPr="00971D84">
        <w:rPr>
          <w:rFonts w:eastAsia="Times New Roman" w:cs="Times New Roman"/>
          <w:b/>
          <w:bCs/>
          <w:rtl/>
          <w:lang w:eastAsia="de-DE"/>
        </w:rPr>
        <w:t>מלואים</w:t>
      </w:r>
      <w:r w:rsidRPr="00971D84">
        <w:rPr>
          <w:rFonts w:eastAsia="Times New Roman" w:cs="Times New Roman"/>
          <w:rtl/>
          <w:lang w:eastAsia="de-DE"/>
        </w:rPr>
        <w:t xml:space="preserve"> </w:t>
      </w:r>
      <w:r w:rsidRPr="00971D84">
        <w:rPr>
          <w:rFonts w:eastAsia="Times New Roman" w:cs="Times New Roman"/>
          <w:lang w:eastAsia="de-DE"/>
        </w:rPr>
        <w:t>(Einweihungsopfer) als neue Kategorie.</w:t>
      </w:r>
    </w:p>
    <w:p w14:paraId="69C22004"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מלואים</w:t>
      </w:r>
      <w:r w:rsidRPr="00971D84">
        <w:rPr>
          <w:rFonts w:eastAsia="Times New Roman" w:cs="Times New Roman"/>
          <w:rtl/>
          <w:lang w:eastAsia="de-DE"/>
        </w:rPr>
        <w:t xml:space="preserve"> </w:t>
      </w:r>
      <w:r w:rsidRPr="00971D84">
        <w:rPr>
          <w:rFonts w:eastAsia="Times New Roman" w:cs="Times New Roman"/>
          <w:lang w:eastAsia="de-DE"/>
        </w:rPr>
        <w:t xml:space="preserve">(Einweihungsopfer) von </w:t>
      </w:r>
      <w:r w:rsidRPr="00971D84">
        <w:rPr>
          <w:rFonts w:eastAsia="Times New Roman" w:cs="Times New Roman"/>
          <w:b/>
          <w:bCs/>
          <w:rtl/>
          <w:lang w:eastAsia="de-DE"/>
        </w:rPr>
        <w:t>מלא</w:t>
      </w:r>
      <w:r w:rsidRPr="00971D84">
        <w:rPr>
          <w:rFonts w:eastAsia="Times New Roman" w:cs="Times New Roman"/>
          <w:rtl/>
          <w:lang w:eastAsia="de-DE"/>
        </w:rPr>
        <w:t xml:space="preserve"> </w:t>
      </w:r>
      <w:r w:rsidRPr="00971D84">
        <w:rPr>
          <w:rFonts w:eastAsia="Times New Roman" w:cs="Times New Roman"/>
          <w:lang w:eastAsia="de-DE"/>
        </w:rPr>
        <w:t xml:space="preserve">(füllen) bezeichnet Priesterweihe-Opfer, die in den folgenden Kapiteln 8-9 beschrieben werden. </w:t>
      </w:r>
      <w:r w:rsidRPr="00971D84">
        <w:rPr>
          <w:rFonts w:eastAsia="Times New Roman" w:cs="Times New Roman"/>
          <w:b/>
          <w:bCs/>
          <w:rtl/>
          <w:lang w:eastAsia="de-DE"/>
        </w:rPr>
        <w:t>זבח השלמים</w:t>
      </w:r>
      <w:r w:rsidRPr="00971D84">
        <w:rPr>
          <w:rFonts w:eastAsia="Times New Roman" w:cs="Times New Roman"/>
          <w:rtl/>
          <w:lang w:eastAsia="de-DE"/>
        </w:rPr>
        <w:t xml:space="preserve"> </w:t>
      </w:r>
      <w:r w:rsidRPr="00971D84">
        <w:rPr>
          <w:rFonts w:eastAsia="Times New Roman" w:cs="Times New Roman"/>
          <w:lang w:eastAsia="de-DE"/>
        </w:rPr>
        <w:t xml:space="preserve">(Friedensopfer) mit </w:t>
      </w:r>
      <w:r w:rsidRPr="00971D84">
        <w:rPr>
          <w:rFonts w:eastAsia="Times New Roman" w:cs="Times New Roman"/>
          <w:b/>
          <w:bCs/>
          <w:rtl/>
          <w:lang w:eastAsia="de-DE"/>
        </w:rPr>
        <w:t>זבח</w:t>
      </w:r>
      <w:r w:rsidRPr="00971D84">
        <w:rPr>
          <w:rFonts w:eastAsia="Times New Roman" w:cs="Times New Roman"/>
          <w:rtl/>
          <w:lang w:eastAsia="de-DE"/>
        </w:rPr>
        <w:t xml:space="preserve"> </w:t>
      </w:r>
      <w:r w:rsidRPr="00971D84">
        <w:rPr>
          <w:rFonts w:eastAsia="Times New Roman" w:cs="Times New Roman"/>
          <w:lang w:eastAsia="de-DE"/>
        </w:rPr>
        <w:t>(Schlachtopfer) betont den Schlachtcharakter.</w:t>
      </w:r>
    </w:p>
    <w:p w14:paraId="57531B88" w14:textId="77777777"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rtl/>
          <w:lang w:eastAsia="de-DE"/>
        </w:rPr>
        <w:t>זאת התורה</w:t>
      </w:r>
      <w:r w:rsidRPr="00971D84">
        <w:rPr>
          <w:rFonts w:eastAsia="Times New Roman" w:cs="Times New Roman"/>
          <w:rtl/>
          <w:lang w:eastAsia="de-DE"/>
        </w:rPr>
        <w:t xml:space="preserve"> </w:t>
      </w:r>
      <w:r w:rsidRPr="00971D84">
        <w:rPr>
          <w:rFonts w:eastAsia="Times New Roman" w:cs="Times New Roman"/>
          <w:lang w:eastAsia="de-DE"/>
        </w:rPr>
        <w:t xml:space="preserve">(das ist die Torah) fassen die Kapitel 1-7 als einheitliche </w:t>
      </w:r>
      <w:r w:rsidRPr="00971D84">
        <w:rPr>
          <w:rFonts w:eastAsia="Times New Roman" w:cs="Times New Roman"/>
          <w:b/>
          <w:bCs/>
          <w:rtl/>
          <w:lang w:eastAsia="de-DE"/>
        </w:rPr>
        <w:t>תורה</w:t>
      </w:r>
      <w:r w:rsidRPr="00971D84">
        <w:rPr>
          <w:rFonts w:eastAsia="Times New Roman" w:cs="Times New Roman"/>
          <w:rtl/>
          <w:lang w:eastAsia="de-DE"/>
        </w:rPr>
        <w:t xml:space="preserve"> </w:t>
      </w:r>
      <w:r w:rsidRPr="00971D84">
        <w:rPr>
          <w:rFonts w:eastAsia="Times New Roman" w:cs="Times New Roman"/>
          <w:lang w:eastAsia="de-DE"/>
        </w:rPr>
        <w:t>(Lehre/Anweisung) zusammen. Die sechs Opferarten bilden das vollständige System israelitischer Opferdarbringung.</w:t>
      </w:r>
    </w:p>
    <w:p w14:paraId="3A3ADFD9" w14:textId="77777777" w:rsidR="00507F60" w:rsidRDefault="00507F60" w:rsidP="00971D84">
      <w:pPr>
        <w:spacing w:before="100" w:beforeAutospacing="1" w:after="100" w:afterAutospacing="1" w:line="240" w:lineRule="auto"/>
      </w:pPr>
      <w:r>
        <w:rPr>
          <w:rStyle w:val="Fett"/>
        </w:rPr>
        <w:t>Vers 37 (MT=27 LXX)</w:t>
      </w:r>
      <w:r>
        <w:t xml:space="preserve">: </w:t>
      </w:r>
      <w:r>
        <w:rPr>
          <w:rStyle w:val="Fett"/>
        </w:rPr>
        <w:t>Die LXX</w:t>
      </w:r>
      <w:r>
        <w:t xml:space="preserve"> übersetzt </w:t>
      </w:r>
      <w:r>
        <w:rPr>
          <w:rtl/>
        </w:rPr>
        <w:t>מלואים</w:t>
      </w:r>
      <w:r>
        <w:t xml:space="preserve"> (</w:t>
      </w:r>
      <w:proofErr w:type="spellStart"/>
      <w:r>
        <w:t>millu'im</w:t>
      </w:r>
      <w:proofErr w:type="spellEnd"/>
      <w:r>
        <w:t xml:space="preserve"> - "Weihe-/Einsetzungsopfer") als </w:t>
      </w:r>
      <w:proofErr w:type="spellStart"/>
      <w:r>
        <w:t>τελείωσις</w:t>
      </w:r>
      <w:proofErr w:type="spellEnd"/>
      <w:r>
        <w:t xml:space="preserve"> (Vollendung), was eine griechische Kultterminologie verwendet.</w:t>
      </w:r>
    </w:p>
    <w:p w14:paraId="798391BB" w14:textId="59D7789C" w:rsidR="00971D84" w:rsidRPr="00971D84" w:rsidRDefault="00971D84" w:rsidP="00971D84">
      <w:pPr>
        <w:spacing w:before="100" w:beforeAutospacing="1" w:after="100" w:afterAutospacing="1" w:line="240" w:lineRule="auto"/>
        <w:rPr>
          <w:rFonts w:eastAsia="Times New Roman" w:cs="Times New Roman"/>
          <w:lang w:eastAsia="de-DE"/>
        </w:rPr>
      </w:pPr>
      <w:r w:rsidRPr="00971D84">
        <w:rPr>
          <w:rFonts w:eastAsia="Times New Roman" w:cs="Times New Roman"/>
          <w:b/>
          <w:bCs/>
          <w:lang w:eastAsia="de-DE"/>
        </w:rPr>
        <w:t>Die Satzstruktur:</w:t>
      </w:r>
      <w:r w:rsidRPr="00971D84">
        <w:rPr>
          <w:rFonts w:eastAsia="Times New Roman" w:cs="Times New Roman"/>
          <w:lang w:eastAsia="de-DE"/>
        </w:rPr>
        <w:t xml:space="preserve"> zeigt umfassende Zusammenfassung: Klassifikation + sechs koordinierte Opferarten. Die Struktur fassen das gesamte Opfersystem zusammen.</w:t>
      </w:r>
    </w:p>
    <w:p w14:paraId="7B2B494C" w14:textId="7FAA663D" w:rsid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Dieser Vers fasst die gesamten Opfergesetze der Kapitel 1-7 als einheitliche </w:t>
      </w:r>
      <w:r w:rsidRPr="000A1689">
        <w:rPr>
          <w:rFonts w:eastAsia="Times New Roman" w:cs="Times New Roman"/>
          <w:b/>
          <w:bCs/>
          <w:rtl/>
          <w:lang w:eastAsia="de-DE"/>
        </w:rPr>
        <w:t>תורה</w:t>
      </w:r>
      <w:r w:rsidRPr="000A1689">
        <w:rPr>
          <w:rFonts w:eastAsia="Times New Roman" w:cs="Times New Roman"/>
          <w:rtl/>
          <w:lang w:eastAsia="de-DE"/>
        </w:rPr>
        <w:t xml:space="preserve"> </w:t>
      </w:r>
      <w:r w:rsidRPr="000A1689">
        <w:rPr>
          <w:rFonts w:eastAsia="Times New Roman" w:cs="Times New Roman"/>
          <w:lang w:eastAsia="de-DE"/>
        </w:rPr>
        <w:t xml:space="preserve">zusammen und führt </w:t>
      </w:r>
      <w:r w:rsidRPr="000A1689">
        <w:rPr>
          <w:rFonts w:eastAsia="Times New Roman" w:cs="Times New Roman"/>
          <w:b/>
          <w:bCs/>
          <w:rtl/>
          <w:lang w:eastAsia="de-DE"/>
        </w:rPr>
        <w:t>מלואים</w:t>
      </w:r>
      <w:r w:rsidRPr="000A1689">
        <w:rPr>
          <w:rFonts w:eastAsia="Times New Roman" w:cs="Times New Roman"/>
          <w:rtl/>
          <w:lang w:eastAsia="de-DE"/>
        </w:rPr>
        <w:t xml:space="preserve"> </w:t>
      </w:r>
      <w:r w:rsidRPr="000A1689">
        <w:rPr>
          <w:rFonts w:eastAsia="Times New Roman" w:cs="Times New Roman"/>
          <w:lang w:eastAsia="de-DE"/>
        </w:rPr>
        <w:t>(Einweihungsopfer) als sechste Opferkategorie ein.</w:t>
      </w:r>
    </w:p>
    <w:p w14:paraId="46A7D7CE"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7,38</w:t>
      </w:r>
    </w:p>
    <w:p w14:paraId="300EC298"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אֲשֶׁ֨ר צִוָּ֧ה יְהוָ֛ה אֶת־מֹשֶׁ֖ה בְּהַ֣ר סִינָ֑י בְּי֨וֹם צַוֹּתוֹ֜ אֶת־בְּנֵ֣י יִשְׂרָאֵ֗ל לְהַקְרִ֧יב אֶת־קָרְבְּנֵיהֶ֛ם לַיהוָ֖ה בְּמִדְבַּ֥ר סִינָֽי׃</w:t>
      </w:r>
    </w:p>
    <w:p w14:paraId="414C030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das der Ewige dem Mosche auf dem Berg Sinai geboten hat, an dem Tag, da er den Söhnen Israels gebot, ihre Opfergaben dem Ewigen darzubringen, in der Wüste Sinai.</w:t>
      </w:r>
    </w:p>
    <w:p w14:paraId="1C1C29A3"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01B75D10">
          <v:rect id="_x0000_i1196" style="width:0;height:1.5pt" o:hralign="center" o:hrstd="t" o:hr="t" fillcolor="#a0a0a0" stroked="f"/>
        </w:pict>
      </w:r>
    </w:p>
    <w:p w14:paraId="7F7617B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אֲשֶׁ֨ר צִוָּ֧ה יְהוָ֛ה אֶת־מֹשֶׁ֖ה בְּהַ֣ר סִינָ֑י</w:t>
      </w:r>
      <w:r w:rsidRPr="000A1689">
        <w:rPr>
          <w:rFonts w:eastAsia="Times New Roman" w:cs="Times New Roman"/>
          <w:rtl/>
          <w:lang w:eastAsia="de-DE"/>
        </w:rPr>
        <w:t xml:space="preserve"> </w:t>
      </w:r>
      <w:r w:rsidRPr="000A1689">
        <w:rPr>
          <w:rFonts w:eastAsia="Times New Roman" w:cs="Times New Roman"/>
          <w:lang w:eastAsia="de-DE"/>
        </w:rPr>
        <w:t xml:space="preserve">(das JHWH dem Mosche auf dem Berg Sinai geboten hat) zeigt den Offenbarungsort. </w:t>
      </w:r>
      <w:r w:rsidRPr="000A1689">
        <w:rPr>
          <w:rFonts w:eastAsia="Times New Roman" w:cs="Times New Roman"/>
          <w:b/>
          <w:bCs/>
          <w:rtl/>
          <w:lang w:eastAsia="de-DE"/>
        </w:rPr>
        <w:t>אשר צוה יהוה את־משה</w:t>
      </w:r>
      <w:r w:rsidRPr="000A1689">
        <w:rPr>
          <w:rFonts w:eastAsia="Times New Roman" w:cs="Times New Roman"/>
          <w:rtl/>
          <w:lang w:eastAsia="de-DE"/>
        </w:rPr>
        <w:t xml:space="preserve"> </w:t>
      </w:r>
      <w:r w:rsidRPr="000A1689">
        <w:rPr>
          <w:rFonts w:eastAsia="Times New Roman" w:cs="Times New Roman"/>
          <w:lang w:eastAsia="de-DE"/>
        </w:rPr>
        <w:t xml:space="preserve">(das JHWH dem Mosche geboten hat), </w:t>
      </w:r>
      <w:r w:rsidRPr="000A1689">
        <w:rPr>
          <w:rFonts w:eastAsia="Times New Roman" w:cs="Times New Roman"/>
          <w:b/>
          <w:bCs/>
          <w:rtl/>
          <w:lang w:eastAsia="de-DE"/>
        </w:rPr>
        <w:t>בהר סיני</w:t>
      </w:r>
      <w:r w:rsidRPr="000A1689">
        <w:rPr>
          <w:rFonts w:eastAsia="Times New Roman" w:cs="Times New Roman"/>
          <w:rtl/>
          <w:lang w:eastAsia="de-DE"/>
        </w:rPr>
        <w:t xml:space="preserve"> </w:t>
      </w:r>
      <w:r w:rsidRPr="000A1689">
        <w:rPr>
          <w:rFonts w:eastAsia="Times New Roman" w:cs="Times New Roman"/>
          <w:lang w:eastAsia="de-DE"/>
        </w:rPr>
        <w:t>(auf dem Berg Sinai).</w:t>
      </w:r>
    </w:p>
    <w:p w14:paraId="7079E9CD"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בְּי֨וֹם צַוֹּתוֹ֜ אֶת־בְּנֵ֣י יִשְׂרָאֵ֗ל לְהַקְרִ֧יב אֶת־קָרְבְּנֵיהֶ֛ם לַיהוָ֖ה בְּמִדְבַּ֥ר סִינָֽי</w:t>
      </w:r>
      <w:r w:rsidRPr="000A1689">
        <w:rPr>
          <w:rFonts w:eastAsia="Times New Roman" w:cs="Times New Roman"/>
          <w:rtl/>
          <w:lang w:eastAsia="de-DE"/>
        </w:rPr>
        <w:t xml:space="preserve"> </w:t>
      </w:r>
      <w:r w:rsidRPr="000A1689">
        <w:rPr>
          <w:rFonts w:eastAsia="Times New Roman" w:cs="Times New Roman"/>
          <w:lang w:eastAsia="de-DE"/>
        </w:rPr>
        <w:t xml:space="preserve">(an dem Tag, da er den Söhnen Israels gebot, ihre Opfergaben JHWH darzubringen, in der Wüste Sinai) zeigt den Befehlszeitpunkt. </w:t>
      </w:r>
      <w:r w:rsidRPr="000A1689">
        <w:rPr>
          <w:rFonts w:eastAsia="Times New Roman" w:cs="Times New Roman"/>
          <w:b/>
          <w:bCs/>
          <w:rtl/>
          <w:lang w:eastAsia="de-DE"/>
        </w:rPr>
        <w:t>ביום צותו את־בני ישראל</w:t>
      </w:r>
      <w:r w:rsidRPr="000A1689">
        <w:rPr>
          <w:rFonts w:eastAsia="Times New Roman" w:cs="Times New Roman"/>
          <w:rtl/>
          <w:lang w:eastAsia="de-DE"/>
        </w:rPr>
        <w:t xml:space="preserve"> </w:t>
      </w:r>
      <w:r w:rsidRPr="000A1689">
        <w:rPr>
          <w:rFonts w:eastAsia="Times New Roman" w:cs="Times New Roman"/>
          <w:lang w:eastAsia="de-DE"/>
        </w:rPr>
        <w:t xml:space="preserve">(an dem Tag, da er den Söhnen Israels gebot), </w:t>
      </w:r>
      <w:r w:rsidRPr="000A1689">
        <w:rPr>
          <w:rFonts w:eastAsia="Times New Roman" w:cs="Times New Roman"/>
          <w:b/>
          <w:bCs/>
          <w:rtl/>
          <w:lang w:eastAsia="de-DE"/>
        </w:rPr>
        <w:lastRenderedPageBreak/>
        <w:t>להקריב את־קרבניהם ליהוה</w:t>
      </w:r>
      <w:r w:rsidRPr="000A1689">
        <w:rPr>
          <w:rFonts w:eastAsia="Times New Roman" w:cs="Times New Roman"/>
          <w:rtl/>
          <w:lang w:eastAsia="de-DE"/>
        </w:rPr>
        <w:t xml:space="preserve"> </w:t>
      </w:r>
      <w:r w:rsidRPr="000A1689">
        <w:rPr>
          <w:rFonts w:eastAsia="Times New Roman" w:cs="Times New Roman"/>
          <w:lang w:eastAsia="de-DE"/>
        </w:rPr>
        <w:t xml:space="preserve">(ihre Opfergaben JHWH darzubringen), </w:t>
      </w:r>
      <w:r w:rsidRPr="000A1689">
        <w:rPr>
          <w:rFonts w:eastAsia="Times New Roman" w:cs="Times New Roman"/>
          <w:b/>
          <w:bCs/>
          <w:rtl/>
          <w:lang w:eastAsia="de-DE"/>
        </w:rPr>
        <w:t>במדבר סיני</w:t>
      </w:r>
      <w:r w:rsidRPr="000A1689">
        <w:rPr>
          <w:rFonts w:eastAsia="Times New Roman" w:cs="Times New Roman"/>
          <w:rtl/>
          <w:lang w:eastAsia="de-DE"/>
        </w:rPr>
        <w:t xml:space="preserve"> </w:t>
      </w:r>
      <w:r w:rsidRPr="000A1689">
        <w:rPr>
          <w:rFonts w:eastAsia="Times New Roman" w:cs="Times New Roman"/>
          <w:lang w:eastAsia="de-DE"/>
        </w:rPr>
        <w:t>(in der Wüste Sinai).</w:t>
      </w:r>
    </w:p>
    <w:p w14:paraId="100B619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בהר סיני...במדבר סיני</w:t>
      </w:r>
      <w:r w:rsidRPr="000A1689">
        <w:rPr>
          <w:rFonts w:eastAsia="Times New Roman" w:cs="Times New Roman"/>
          <w:rtl/>
          <w:lang w:eastAsia="de-DE"/>
        </w:rPr>
        <w:t xml:space="preserve"> </w:t>
      </w:r>
      <w:r w:rsidRPr="000A1689">
        <w:rPr>
          <w:rFonts w:eastAsia="Times New Roman" w:cs="Times New Roman"/>
          <w:lang w:eastAsia="de-DE"/>
        </w:rPr>
        <w:t xml:space="preserve">(auf dem Berg Sinai...in der Wüste Sinai) zeigt die doppelte Sinai-Verortung: </w:t>
      </w:r>
      <w:r w:rsidRPr="000A1689">
        <w:rPr>
          <w:rFonts w:eastAsia="Times New Roman" w:cs="Times New Roman"/>
          <w:b/>
          <w:bCs/>
          <w:rtl/>
          <w:lang w:eastAsia="de-DE"/>
        </w:rPr>
        <w:t>הר סיני</w:t>
      </w:r>
      <w:r w:rsidRPr="000A1689">
        <w:rPr>
          <w:rFonts w:eastAsia="Times New Roman" w:cs="Times New Roman"/>
          <w:rtl/>
          <w:lang w:eastAsia="de-DE"/>
        </w:rPr>
        <w:t xml:space="preserve"> </w:t>
      </w:r>
      <w:r w:rsidRPr="000A1689">
        <w:rPr>
          <w:rFonts w:eastAsia="Times New Roman" w:cs="Times New Roman"/>
          <w:lang w:eastAsia="de-DE"/>
        </w:rPr>
        <w:t xml:space="preserve">(Berg Sinai) als Offenbarungsort für Mosche, </w:t>
      </w:r>
      <w:r w:rsidRPr="000A1689">
        <w:rPr>
          <w:rFonts w:eastAsia="Times New Roman" w:cs="Times New Roman"/>
          <w:b/>
          <w:bCs/>
          <w:rtl/>
          <w:lang w:eastAsia="de-DE"/>
        </w:rPr>
        <w:t>מדבר סיני</w:t>
      </w:r>
      <w:r w:rsidRPr="000A1689">
        <w:rPr>
          <w:rFonts w:eastAsia="Times New Roman" w:cs="Times New Roman"/>
          <w:rtl/>
          <w:lang w:eastAsia="de-DE"/>
        </w:rPr>
        <w:t xml:space="preserve"> </w:t>
      </w:r>
      <w:r w:rsidRPr="000A1689">
        <w:rPr>
          <w:rFonts w:eastAsia="Times New Roman" w:cs="Times New Roman"/>
          <w:lang w:eastAsia="de-DE"/>
        </w:rPr>
        <w:t>(Wüste Sinai) als Ort der Volksinstruktion.</w:t>
      </w:r>
    </w:p>
    <w:p w14:paraId="1FAB00D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צוה יהוה את־משה...צותו את־בני ישראל</w:t>
      </w:r>
      <w:r w:rsidRPr="000A1689">
        <w:rPr>
          <w:rFonts w:eastAsia="Times New Roman" w:cs="Times New Roman"/>
          <w:rtl/>
          <w:lang w:eastAsia="de-DE"/>
        </w:rPr>
        <w:t xml:space="preserve"> </w:t>
      </w:r>
      <w:r w:rsidRPr="000A1689">
        <w:rPr>
          <w:rFonts w:eastAsia="Times New Roman" w:cs="Times New Roman"/>
          <w:lang w:eastAsia="de-DE"/>
        </w:rPr>
        <w:t xml:space="preserve">zeigt die zweistufige Offenbarung: erst an Mosche, dann durch Mosche an Israel. </w:t>
      </w:r>
      <w:r w:rsidRPr="000A1689">
        <w:rPr>
          <w:rFonts w:eastAsia="Times New Roman" w:cs="Times New Roman"/>
          <w:b/>
          <w:bCs/>
          <w:rtl/>
          <w:lang w:eastAsia="de-DE"/>
        </w:rPr>
        <w:t>להקריב את־קרבניהם ליהוה</w:t>
      </w:r>
      <w:r w:rsidRPr="000A1689">
        <w:rPr>
          <w:rFonts w:eastAsia="Times New Roman" w:cs="Times New Roman"/>
          <w:rtl/>
          <w:lang w:eastAsia="de-DE"/>
        </w:rPr>
        <w:t xml:space="preserve"> </w:t>
      </w:r>
      <w:r w:rsidRPr="000A1689">
        <w:rPr>
          <w:rFonts w:eastAsia="Times New Roman" w:cs="Times New Roman"/>
          <w:lang w:eastAsia="de-DE"/>
        </w:rPr>
        <w:t>(ihre Opfergaben JHWH darzubringen) fasst den Zweck aller Opfergesetze zusammen.</w:t>
      </w:r>
    </w:p>
    <w:p w14:paraId="7E4D34E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בְּהַ֣ר סִינָ֑י</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ἐν</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ὄρει</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Σιν</w:t>
      </w:r>
      <w:proofErr w:type="spellEnd"/>
      <w:r w:rsidRPr="000A1689">
        <w:rPr>
          <w:rFonts w:eastAsia="Times New Roman" w:cs="Times New Roman"/>
          <w:lang w:eastAsia="de-DE"/>
        </w:rPr>
        <w:t xml:space="preserve">α (auf dem Berg Sina), </w:t>
      </w:r>
      <w:r w:rsidRPr="000A1689">
        <w:rPr>
          <w:rFonts w:eastAsia="Times New Roman" w:cs="Times New Roman"/>
          <w:b/>
          <w:bCs/>
          <w:rtl/>
          <w:lang w:eastAsia="de-DE"/>
        </w:rPr>
        <w:t>צַוֹּתוֹ֜</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ἐνετείλ</w:t>
      </w:r>
      <w:proofErr w:type="spellEnd"/>
      <w:r w:rsidRPr="000A1689">
        <w:rPr>
          <w:rFonts w:eastAsia="Times New Roman" w:cs="Times New Roman"/>
          <w:lang w:eastAsia="de-DE"/>
        </w:rPr>
        <w:t xml:space="preserve">ατο (er befahl) und </w:t>
      </w:r>
      <w:r w:rsidRPr="000A1689">
        <w:rPr>
          <w:rFonts w:eastAsia="Times New Roman" w:cs="Times New Roman"/>
          <w:b/>
          <w:bCs/>
          <w:rtl/>
          <w:lang w:eastAsia="de-DE"/>
        </w:rPr>
        <w:t>קָרְבְּנֵיהֶ֛ם</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δῶρ</w:t>
      </w:r>
      <w:proofErr w:type="spellEnd"/>
      <w:r w:rsidRPr="000A1689">
        <w:rPr>
          <w:rFonts w:eastAsia="Times New Roman" w:cs="Times New Roman"/>
          <w:lang w:eastAsia="de-DE"/>
        </w:rPr>
        <w:t>α α</w:t>
      </w:r>
      <w:proofErr w:type="spellStart"/>
      <w:r w:rsidRPr="000A1689">
        <w:rPr>
          <w:rFonts w:eastAsia="Times New Roman" w:cs="Times New Roman"/>
          <w:lang w:eastAsia="de-DE"/>
        </w:rPr>
        <w:t>ὐτῶν</w:t>
      </w:r>
      <w:proofErr w:type="spellEnd"/>
      <w:r w:rsidRPr="000A1689">
        <w:rPr>
          <w:rFonts w:eastAsia="Times New Roman" w:cs="Times New Roman"/>
          <w:lang w:eastAsia="de-DE"/>
        </w:rPr>
        <w:t xml:space="preserve"> (ihre Gaben).</w:t>
      </w:r>
    </w:p>
    <w:p w14:paraId="72F2EC69"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historische Verortung: Relativsatz mit göttlichem Befehl + Ortsangabe + temporale Bestimmung mit Inhaltsspezifizierung + Ortswiederholung. Die Struktur verankert die Opfergesetze in der Sinai-Offenbarung.</w:t>
      </w:r>
    </w:p>
    <w:p w14:paraId="64AC089D" w14:textId="26F6CB7B"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abschließende Vers verankert alle Opfergesetze der Kapitel 1-7 historisch in der Sinai-Offenbarung und etabliert ihre göttliche Autorität.</w:t>
      </w:r>
    </w:p>
    <w:p w14:paraId="43CEA325" w14:textId="77777777" w:rsidR="000A1689" w:rsidRDefault="000A1689" w:rsidP="000A1689">
      <w:pPr>
        <w:pStyle w:val="KeinLeerraum"/>
        <w:rPr>
          <w:lang w:eastAsia="de-DE"/>
        </w:rPr>
      </w:pPr>
      <w:r w:rsidRPr="000A1689">
        <w:rPr>
          <w:lang w:eastAsia="de-DE"/>
        </w:rPr>
        <w:t xml:space="preserve">Kapitel 7 vervollständigt die priesterlichen </w:t>
      </w:r>
      <w:r w:rsidRPr="000A1689">
        <w:rPr>
          <w:b/>
          <w:bCs/>
          <w:rtl/>
          <w:lang w:eastAsia="de-DE"/>
        </w:rPr>
        <w:t>תורות</w:t>
      </w:r>
      <w:r w:rsidRPr="000A1689">
        <w:rPr>
          <w:rtl/>
          <w:lang w:eastAsia="de-DE"/>
        </w:rPr>
        <w:t xml:space="preserve"> </w:t>
      </w:r>
      <w:r w:rsidRPr="000A1689">
        <w:rPr>
          <w:lang w:eastAsia="de-DE"/>
        </w:rPr>
        <w:t xml:space="preserve">mit: </w:t>
      </w:r>
    </w:p>
    <w:p w14:paraId="60DD3B54" w14:textId="77777777" w:rsidR="00E35C31" w:rsidRDefault="00E35C31" w:rsidP="000A1689">
      <w:pPr>
        <w:pStyle w:val="KeinLeerraum"/>
        <w:rPr>
          <w:b/>
          <w:bCs/>
          <w:lang w:eastAsia="de-DE"/>
        </w:rPr>
      </w:pPr>
    </w:p>
    <w:p w14:paraId="5540B17F" w14:textId="4F253132" w:rsidR="000A1689" w:rsidRDefault="000A1689" w:rsidP="000A1689">
      <w:pPr>
        <w:pStyle w:val="KeinLeerraum"/>
        <w:rPr>
          <w:lang w:eastAsia="de-DE"/>
        </w:rPr>
      </w:pPr>
      <w:r w:rsidRPr="00E35C31">
        <w:rPr>
          <w:b/>
          <w:bCs/>
          <w:lang w:eastAsia="de-DE"/>
        </w:rPr>
        <w:t>1)</w:t>
      </w:r>
      <w:r w:rsidRPr="000A1689">
        <w:rPr>
          <w:lang w:eastAsia="de-DE"/>
        </w:rPr>
        <w:t xml:space="preserve"> </w:t>
      </w:r>
      <w:r w:rsidRPr="000A1689">
        <w:rPr>
          <w:b/>
          <w:bCs/>
          <w:rtl/>
          <w:lang w:eastAsia="de-DE"/>
        </w:rPr>
        <w:t>תורת האשם</w:t>
      </w:r>
      <w:r w:rsidRPr="000A1689">
        <w:rPr>
          <w:rtl/>
          <w:lang w:eastAsia="de-DE"/>
        </w:rPr>
        <w:t xml:space="preserve"> </w:t>
      </w:r>
      <w:r w:rsidRPr="000A1689">
        <w:rPr>
          <w:lang w:eastAsia="de-DE"/>
        </w:rPr>
        <w:t xml:space="preserve">(V. 1-7): </w:t>
      </w:r>
      <w:r w:rsidRPr="000A1689">
        <w:rPr>
          <w:b/>
          <w:bCs/>
          <w:rtl/>
          <w:lang w:eastAsia="de-DE"/>
        </w:rPr>
        <w:t>קדש קדשים</w:t>
      </w:r>
      <w:r w:rsidRPr="000A1689">
        <w:rPr>
          <w:lang w:eastAsia="de-DE"/>
        </w:rPr>
        <w:t xml:space="preserve">-Status, </w:t>
      </w:r>
      <w:r w:rsidRPr="000A1689">
        <w:rPr>
          <w:b/>
          <w:bCs/>
          <w:rtl/>
          <w:lang w:eastAsia="de-DE"/>
        </w:rPr>
        <w:t>שלמים</w:t>
      </w:r>
      <w:r w:rsidRPr="000A1689">
        <w:rPr>
          <w:lang w:eastAsia="de-DE"/>
        </w:rPr>
        <w:t xml:space="preserve">-ähnliche Fett- und Blutbehandlung, priesterliche Verzehrung; </w:t>
      </w:r>
    </w:p>
    <w:p w14:paraId="267E9B14" w14:textId="77777777" w:rsidR="00E35C31" w:rsidRDefault="00E35C31" w:rsidP="000A1689">
      <w:pPr>
        <w:pStyle w:val="KeinLeerraum"/>
        <w:rPr>
          <w:b/>
          <w:bCs/>
          <w:lang w:eastAsia="de-DE"/>
        </w:rPr>
      </w:pPr>
    </w:p>
    <w:p w14:paraId="7431ACA4" w14:textId="223A0280" w:rsidR="000A1689" w:rsidRDefault="000A1689" w:rsidP="000A1689">
      <w:pPr>
        <w:pStyle w:val="KeinLeerraum"/>
        <w:rPr>
          <w:lang w:eastAsia="de-DE"/>
        </w:rPr>
      </w:pPr>
      <w:r w:rsidRPr="00E35C31">
        <w:rPr>
          <w:b/>
          <w:bCs/>
          <w:lang w:eastAsia="de-DE"/>
        </w:rPr>
        <w:t>2)</w:t>
      </w:r>
      <w:r w:rsidRPr="000A1689">
        <w:rPr>
          <w:lang w:eastAsia="de-DE"/>
        </w:rPr>
        <w:t xml:space="preserve"> priesterliche Anteile (V. 8-10): Haut von </w:t>
      </w:r>
      <w:r w:rsidRPr="000A1689">
        <w:rPr>
          <w:b/>
          <w:bCs/>
          <w:rtl/>
          <w:lang w:eastAsia="de-DE"/>
        </w:rPr>
        <w:t>עלה</w:t>
      </w:r>
      <w:r w:rsidRPr="000A1689">
        <w:rPr>
          <w:lang w:eastAsia="de-DE"/>
        </w:rPr>
        <w:t xml:space="preserve">, verschiedene </w:t>
      </w:r>
      <w:r w:rsidRPr="000A1689">
        <w:rPr>
          <w:b/>
          <w:bCs/>
          <w:rtl/>
          <w:lang w:eastAsia="de-DE"/>
        </w:rPr>
        <w:t>מנחה</w:t>
      </w:r>
      <w:r w:rsidRPr="000A1689">
        <w:rPr>
          <w:lang w:eastAsia="de-DE"/>
        </w:rPr>
        <w:t xml:space="preserve">-Verteilungen; </w:t>
      </w:r>
    </w:p>
    <w:p w14:paraId="1E9D9F7A" w14:textId="77777777" w:rsidR="00E35C31" w:rsidRDefault="00E35C31" w:rsidP="000A1689">
      <w:pPr>
        <w:pStyle w:val="KeinLeerraum"/>
        <w:rPr>
          <w:b/>
          <w:bCs/>
          <w:lang w:eastAsia="de-DE"/>
        </w:rPr>
      </w:pPr>
    </w:p>
    <w:p w14:paraId="4790B28A" w14:textId="6210190B" w:rsidR="000A1689" w:rsidRDefault="000A1689" w:rsidP="000A1689">
      <w:pPr>
        <w:pStyle w:val="KeinLeerraum"/>
        <w:rPr>
          <w:lang w:eastAsia="de-DE"/>
        </w:rPr>
      </w:pPr>
      <w:r w:rsidRPr="00E35C31">
        <w:rPr>
          <w:b/>
          <w:bCs/>
          <w:lang w:eastAsia="de-DE"/>
        </w:rPr>
        <w:t>3)</w:t>
      </w:r>
      <w:r w:rsidRPr="000A1689">
        <w:rPr>
          <w:lang w:eastAsia="de-DE"/>
        </w:rPr>
        <w:t xml:space="preserve"> </w:t>
      </w:r>
      <w:r w:rsidRPr="000A1689">
        <w:rPr>
          <w:b/>
          <w:bCs/>
          <w:rtl/>
          <w:lang w:eastAsia="de-DE"/>
        </w:rPr>
        <w:t>תורת זבח השלמים</w:t>
      </w:r>
      <w:r w:rsidRPr="000A1689">
        <w:rPr>
          <w:rtl/>
          <w:lang w:eastAsia="de-DE"/>
        </w:rPr>
        <w:t xml:space="preserve"> </w:t>
      </w:r>
      <w:r w:rsidRPr="000A1689">
        <w:rPr>
          <w:lang w:eastAsia="de-DE"/>
        </w:rPr>
        <w:t xml:space="preserve">(V. 11-21): drei </w:t>
      </w:r>
      <w:r w:rsidRPr="000A1689">
        <w:rPr>
          <w:b/>
          <w:bCs/>
          <w:rtl/>
          <w:lang w:eastAsia="de-DE"/>
        </w:rPr>
        <w:t>שלמים</w:t>
      </w:r>
      <w:r w:rsidRPr="000A1689">
        <w:rPr>
          <w:lang w:eastAsia="de-DE"/>
        </w:rPr>
        <w:t>-Kategorien (</w:t>
      </w:r>
      <w:r w:rsidRPr="000A1689">
        <w:rPr>
          <w:b/>
          <w:bCs/>
          <w:rtl/>
          <w:lang w:eastAsia="de-DE"/>
        </w:rPr>
        <w:t>תודה</w:t>
      </w:r>
      <w:r w:rsidRPr="000A1689">
        <w:rPr>
          <w:lang w:eastAsia="de-DE"/>
        </w:rPr>
        <w:t xml:space="preserve">, </w:t>
      </w:r>
      <w:r w:rsidRPr="000A1689">
        <w:rPr>
          <w:b/>
          <w:bCs/>
          <w:rtl/>
          <w:lang w:eastAsia="de-DE"/>
        </w:rPr>
        <w:t>נדר</w:t>
      </w:r>
      <w:r w:rsidRPr="000A1689">
        <w:rPr>
          <w:lang w:eastAsia="de-DE"/>
        </w:rPr>
        <w:t xml:space="preserve">, </w:t>
      </w:r>
      <w:r w:rsidRPr="000A1689">
        <w:rPr>
          <w:b/>
          <w:bCs/>
          <w:rtl/>
          <w:lang w:eastAsia="de-DE"/>
        </w:rPr>
        <w:t>נדבה</w:t>
      </w:r>
      <w:r w:rsidRPr="000A1689">
        <w:rPr>
          <w:lang w:eastAsia="de-DE"/>
        </w:rPr>
        <w:t xml:space="preserve">) mit unterschiedlichen Verzehrfristen, </w:t>
      </w:r>
      <w:r w:rsidRPr="000A1689">
        <w:rPr>
          <w:b/>
          <w:bCs/>
          <w:rtl/>
          <w:lang w:eastAsia="de-DE"/>
        </w:rPr>
        <w:t>פגול</w:t>
      </w:r>
      <w:r w:rsidRPr="000A1689">
        <w:rPr>
          <w:lang w:eastAsia="de-DE"/>
        </w:rPr>
        <w:t xml:space="preserve">-Konzept, Reinheitsbestimmungen; </w:t>
      </w:r>
    </w:p>
    <w:p w14:paraId="1B292360" w14:textId="77777777" w:rsidR="00E35C31" w:rsidRDefault="00E35C31" w:rsidP="000A1689">
      <w:pPr>
        <w:pStyle w:val="KeinLeerraum"/>
        <w:rPr>
          <w:b/>
          <w:bCs/>
          <w:lang w:eastAsia="de-DE"/>
        </w:rPr>
      </w:pPr>
    </w:p>
    <w:p w14:paraId="4347856E" w14:textId="1FFBD50D" w:rsidR="000A1689" w:rsidRDefault="000A1689" w:rsidP="000A1689">
      <w:pPr>
        <w:pStyle w:val="KeinLeerraum"/>
        <w:rPr>
          <w:lang w:eastAsia="de-DE"/>
        </w:rPr>
      </w:pPr>
      <w:r w:rsidRPr="00E35C31">
        <w:rPr>
          <w:b/>
          <w:bCs/>
          <w:lang w:eastAsia="de-DE"/>
        </w:rPr>
        <w:t>4)</w:t>
      </w:r>
      <w:r w:rsidRPr="000A1689">
        <w:rPr>
          <w:lang w:eastAsia="de-DE"/>
        </w:rPr>
        <w:t xml:space="preserve"> allgemeine Speisegesetze (V. 22-27): Fett- und Blutverbote mit </w:t>
      </w:r>
      <w:r w:rsidRPr="000A1689">
        <w:rPr>
          <w:b/>
          <w:bCs/>
          <w:rtl/>
          <w:lang w:eastAsia="de-DE"/>
        </w:rPr>
        <w:t>כרת</w:t>
      </w:r>
      <w:r w:rsidRPr="000A1689">
        <w:rPr>
          <w:lang w:eastAsia="de-DE"/>
        </w:rPr>
        <w:t xml:space="preserve">-Strafen; </w:t>
      </w:r>
    </w:p>
    <w:p w14:paraId="48D461CE" w14:textId="77777777" w:rsidR="00E35C31" w:rsidRDefault="00E35C31" w:rsidP="000A1689">
      <w:pPr>
        <w:pStyle w:val="KeinLeerraum"/>
        <w:rPr>
          <w:b/>
          <w:bCs/>
          <w:lang w:eastAsia="de-DE"/>
        </w:rPr>
      </w:pPr>
    </w:p>
    <w:p w14:paraId="2A653CAC" w14:textId="143ED093" w:rsidR="000A1689" w:rsidRDefault="000A1689" w:rsidP="000A1689">
      <w:pPr>
        <w:pStyle w:val="KeinLeerraum"/>
        <w:rPr>
          <w:lang w:eastAsia="de-DE"/>
        </w:rPr>
      </w:pPr>
      <w:r w:rsidRPr="00E35C31">
        <w:rPr>
          <w:b/>
          <w:bCs/>
          <w:lang w:eastAsia="de-DE"/>
        </w:rPr>
        <w:t>5)</w:t>
      </w:r>
      <w:r w:rsidRPr="000A1689">
        <w:rPr>
          <w:lang w:eastAsia="de-DE"/>
        </w:rPr>
        <w:t xml:space="preserve"> priesterliche </w:t>
      </w:r>
      <w:r w:rsidRPr="000A1689">
        <w:rPr>
          <w:b/>
          <w:bCs/>
          <w:rtl/>
          <w:lang w:eastAsia="de-DE"/>
        </w:rPr>
        <w:t>שלמים</w:t>
      </w:r>
      <w:r w:rsidRPr="000A1689">
        <w:rPr>
          <w:lang w:eastAsia="de-DE"/>
        </w:rPr>
        <w:t xml:space="preserve">-Anteile (V. 28-36): </w:t>
      </w:r>
      <w:r w:rsidRPr="000A1689">
        <w:rPr>
          <w:b/>
          <w:bCs/>
          <w:rtl/>
          <w:lang w:eastAsia="de-DE"/>
        </w:rPr>
        <w:t>תנופה</w:t>
      </w:r>
      <w:r w:rsidRPr="000A1689">
        <w:rPr>
          <w:rtl/>
          <w:lang w:eastAsia="de-DE"/>
        </w:rPr>
        <w:t xml:space="preserve"> </w:t>
      </w:r>
      <w:r w:rsidRPr="000A1689">
        <w:rPr>
          <w:lang w:eastAsia="de-DE"/>
        </w:rPr>
        <w:t>(</w:t>
      </w:r>
      <w:proofErr w:type="spellStart"/>
      <w:r w:rsidRPr="000A1689">
        <w:rPr>
          <w:lang w:eastAsia="de-DE"/>
        </w:rPr>
        <w:t>Brustschwingeung</w:t>
      </w:r>
      <w:proofErr w:type="spellEnd"/>
      <w:r w:rsidRPr="000A1689">
        <w:rPr>
          <w:lang w:eastAsia="de-DE"/>
        </w:rPr>
        <w:t xml:space="preserve">) und </w:t>
      </w:r>
      <w:r w:rsidRPr="000A1689">
        <w:rPr>
          <w:b/>
          <w:bCs/>
          <w:rtl/>
          <w:lang w:eastAsia="de-DE"/>
        </w:rPr>
        <w:t>תרומה</w:t>
      </w:r>
      <w:r w:rsidRPr="000A1689">
        <w:rPr>
          <w:rtl/>
          <w:lang w:eastAsia="de-DE"/>
        </w:rPr>
        <w:t xml:space="preserve"> </w:t>
      </w:r>
      <w:r w:rsidRPr="000A1689">
        <w:rPr>
          <w:lang w:eastAsia="de-DE"/>
        </w:rPr>
        <w:t xml:space="preserve">(rechte Keule) als ewige priesterliche Berechtigung. </w:t>
      </w:r>
    </w:p>
    <w:p w14:paraId="52D50713" w14:textId="77777777" w:rsidR="00E35C31" w:rsidRDefault="00E35C31" w:rsidP="000A1689">
      <w:pPr>
        <w:pStyle w:val="KeinLeerraum"/>
        <w:rPr>
          <w:lang w:eastAsia="de-DE"/>
        </w:rPr>
      </w:pPr>
    </w:p>
    <w:p w14:paraId="36D352EA" w14:textId="72689045" w:rsidR="000A1689" w:rsidRDefault="000A1689" w:rsidP="000A1689">
      <w:pPr>
        <w:pStyle w:val="KeinLeerraum"/>
        <w:rPr>
          <w:lang w:eastAsia="de-DE"/>
        </w:rPr>
      </w:pPr>
      <w:r w:rsidRPr="000A1689">
        <w:rPr>
          <w:lang w:eastAsia="de-DE"/>
        </w:rPr>
        <w:t xml:space="preserve">Das Kapitel schließt mit einer Gesamtzusammenfassung aller Opferarten (V. 37-38) und verankert sie in der Sinai-Offenbarung. Die </w:t>
      </w:r>
      <w:r w:rsidRPr="000A1689">
        <w:rPr>
          <w:b/>
          <w:bCs/>
          <w:rtl/>
          <w:lang w:eastAsia="de-DE"/>
        </w:rPr>
        <w:t>תורות</w:t>
      </w:r>
      <w:r w:rsidRPr="000A1689">
        <w:rPr>
          <w:rtl/>
          <w:lang w:eastAsia="de-DE"/>
        </w:rPr>
        <w:t xml:space="preserve"> </w:t>
      </w:r>
      <w:r w:rsidRPr="000A1689">
        <w:rPr>
          <w:lang w:eastAsia="de-DE"/>
        </w:rPr>
        <w:t>der Kapitel 6-7 ergänzen die Darbringungsbestimmungen der Kapitel 1-5 um die priesterlichen Handhabungs- und Verteilungsvorschriften.</w:t>
      </w:r>
    </w:p>
    <w:p w14:paraId="30738C85" w14:textId="206FE7D4" w:rsidR="00507F60" w:rsidRPr="00507F60" w:rsidRDefault="00507F60" w:rsidP="00507F60">
      <w:pPr>
        <w:spacing w:before="100" w:beforeAutospacing="1" w:after="100" w:afterAutospacing="1" w:line="240" w:lineRule="auto"/>
        <w:rPr>
          <w:rFonts w:eastAsia="Times New Roman" w:cs="Times New Roman"/>
          <w:lang w:eastAsia="de-DE"/>
        </w:rPr>
      </w:pPr>
      <w:r>
        <w:rPr>
          <w:rStyle w:val="Fett"/>
        </w:rPr>
        <w:t>Textkritische Schlussfolgerung</w:t>
      </w:r>
      <w:r>
        <w:t>: Die drastischen strukturellen Unterschiede, fehlenden Abschnitte und systematischen terminologischen Verschiebungen deuten darauf hin, dass die LXX entweder eine erheblich andere hebräische Vorlage hatte oder eine bewusste liturgische Neuorganisation der Opfergesetze vornahm.</w:t>
      </w:r>
    </w:p>
    <w:p w14:paraId="16FCB9E8"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8,1</w:t>
      </w:r>
    </w:p>
    <w:p w14:paraId="7874C0FC"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וַיְדַבֵּ֥ר יְהוָ֖ה אֶל־מֹשֶׁ֥ה לֵּאמֹֽר׃</w:t>
      </w:r>
    </w:p>
    <w:p w14:paraId="321C7D3B"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lastRenderedPageBreak/>
        <w:t>Deutsch:</w:t>
      </w:r>
      <w:r w:rsidRPr="000A1689">
        <w:rPr>
          <w:rFonts w:eastAsia="Times New Roman" w:cs="Times New Roman"/>
          <w:lang w:eastAsia="de-DE"/>
        </w:rPr>
        <w:t xml:space="preserve"> Und der Ewige redete zu Mosche und sprach:</w:t>
      </w:r>
    </w:p>
    <w:p w14:paraId="09FD19AD"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10AC3572">
          <v:rect id="_x0000_i1197" style="width:0;height:1.5pt" o:hralign="center" o:hrstd="t" o:hr="t" fillcolor="#a0a0a0" stroked="f"/>
        </w:pict>
      </w:r>
    </w:p>
    <w:p w14:paraId="4DCEC22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וַיְדַבֵּר יְהוָ֖ה אֶל־מֹשֶׁ֥ה לֵּאמֹֽר</w:t>
      </w:r>
      <w:r w:rsidRPr="000A1689">
        <w:rPr>
          <w:rFonts w:eastAsia="Times New Roman" w:cs="Times New Roman"/>
          <w:rtl/>
          <w:lang w:eastAsia="de-DE"/>
        </w:rPr>
        <w:t xml:space="preserve"> </w:t>
      </w:r>
      <w:r w:rsidRPr="000A1689">
        <w:rPr>
          <w:rFonts w:eastAsia="Times New Roman" w:cs="Times New Roman"/>
          <w:lang w:eastAsia="de-DE"/>
        </w:rPr>
        <w:t xml:space="preserve">zeigt die standardisierte Einleitungsformel für göttliche Offenbarungen. Das Verb </w:t>
      </w:r>
      <w:r w:rsidRPr="000A1689">
        <w:rPr>
          <w:rFonts w:eastAsia="Times New Roman" w:cs="Times New Roman"/>
          <w:b/>
          <w:bCs/>
          <w:rtl/>
          <w:lang w:eastAsia="de-DE"/>
        </w:rPr>
        <w:t>וידבר</w:t>
      </w:r>
      <w:r w:rsidRPr="000A1689">
        <w:rPr>
          <w:rFonts w:eastAsia="Times New Roman" w:cs="Times New Roman"/>
          <w:rtl/>
          <w:lang w:eastAsia="de-DE"/>
        </w:rPr>
        <w:t xml:space="preserve"> </w:t>
      </w:r>
      <w:r w:rsidRPr="000A1689">
        <w:rPr>
          <w:rFonts w:eastAsia="Times New Roman" w:cs="Times New Roman"/>
          <w:lang w:eastAsia="de-DE"/>
        </w:rPr>
        <w:t xml:space="preserve">steht im Piel-Imperfekt mit Waw-Konsekutiv von der Wurzel </w:t>
      </w:r>
      <w:r w:rsidRPr="000A1689">
        <w:rPr>
          <w:rFonts w:eastAsia="Times New Roman" w:cs="Times New Roman"/>
          <w:b/>
          <w:bCs/>
          <w:rtl/>
          <w:lang w:eastAsia="de-DE"/>
        </w:rPr>
        <w:t>דבר</w:t>
      </w:r>
      <w:r w:rsidRPr="000A1689">
        <w:rPr>
          <w:rFonts w:eastAsia="Times New Roman" w:cs="Times New Roman"/>
          <w:rtl/>
          <w:lang w:eastAsia="de-DE"/>
        </w:rPr>
        <w:t xml:space="preserve"> </w:t>
      </w:r>
      <w:r w:rsidRPr="000A1689">
        <w:rPr>
          <w:rFonts w:eastAsia="Times New Roman" w:cs="Times New Roman"/>
          <w:lang w:eastAsia="de-DE"/>
        </w:rPr>
        <w:t xml:space="preserve">(sprechen/reden) und bezeichnet hier die autoritative göttliche Rede. Das Subjekt </w:t>
      </w:r>
      <w:r w:rsidRPr="000A1689">
        <w:rPr>
          <w:rFonts w:eastAsia="Times New Roman" w:cs="Times New Roman"/>
          <w:b/>
          <w:bCs/>
          <w:rtl/>
          <w:lang w:eastAsia="de-DE"/>
        </w:rPr>
        <w:t>יהוה</w:t>
      </w:r>
      <w:r w:rsidRPr="000A1689">
        <w:rPr>
          <w:rFonts w:eastAsia="Times New Roman" w:cs="Times New Roman"/>
          <w:rtl/>
          <w:lang w:eastAsia="de-DE"/>
        </w:rPr>
        <w:t xml:space="preserve"> </w:t>
      </w:r>
      <w:r w:rsidRPr="000A1689">
        <w:rPr>
          <w:rFonts w:eastAsia="Times New Roman" w:cs="Times New Roman"/>
          <w:lang w:eastAsia="de-DE"/>
        </w:rPr>
        <w:t>(der Ewige) erscheint nach dem Verb in invertierter Wortstellung, was für Waw-Konsekutiv-Konstruktionen typisch ist.</w:t>
      </w:r>
    </w:p>
    <w:p w14:paraId="0FFA8CB6" w14:textId="7477FC85"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Präposition </w:t>
      </w:r>
      <w:r w:rsidRPr="000A1689">
        <w:rPr>
          <w:rFonts w:eastAsia="Times New Roman" w:cs="Times New Roman"/>
          <w:b/>
          <w:bCs/>
          <w:rtl/>
          <w:lang w:eastAsia="de-DE"/>
        </w:rPr>
        <w:t>אל</w:t>
      </w:r>
      <w:r w:rsidRPr="000A1689">
        <w:rPr>
          <w:rFonts w:eastAsia="Times New Roman" w:cs="Times New Roman"/>
          <w:rtl/>
          <w:lang w:eastAsia="de-DE"/>
        </w:rPr>
        <w:t xml:space="preserve"> </w:t>
      </w:r>
      <w:r w:rsidRPr="000A1689">
        <w:rPr>
          <w:rFonts w:eastAsia="Times New Roman" w:cs="Times New Roman"/>
          <w:lang w:eastAsia="de-DE"/>
        </w:rPr>
        <w:t xml:space="preserve">(zu) mit </w:t>
      </w:r>
      <w:r w:rsidRPr="000A1689">
        <w:rPr>
          <w:rFonts w:eastAsia="Times New Roman" w:cs="Times New Roman"/>
          <w:b/>
          <w:bCs/>
          <w:rtl/>
          <w:lang w:eastAsia="de-DE"/>
        </w:rPr>
        <w:t>משה</w:t>
      </w:r>
      <w:r w:rsidRPr="000A1689">
        <w:rPr>
          <w:rFonts w:eastAsia="Times New Roman" w:cs="Times New Roman"/>
          <w:rtl/>
          <w:lang w:eastAsia="de-DE"/>
        </w:rPr>
        <w:t xml:space="preserve"> </w:t>
      </w:r>
      <w:r w:rsidRPr="000A1689">
        <w:rPr>
          <w:rFonts w:eastAsia="Times New Roman" w:cs="Times New Roman"/>
          <w:lang w:eastAsia="de-DE"/>
        </w:rPr>
        <w:t xml:space="preserve">zeigt die direkte Adressierung Moses als Empfänger der göttlichen Botschaft. Der Infinitiv </w:t>
      </w:r>
      <w:r w:rsidRPr="000A1689">
        <w:rPr>
          <w:rFonts w:eastAsia="Times New Roman" w:cs="Times New Roman"/>
          <w:b/>
          <w:bCs/>
          <w:rtl/>
          <w:lang w:eastAsia="de-DE"/>
        </w:rPr>
        <w:t>לאמר</w:t>
      </w:r>
      <w:r w:rsidRPr="000A1689">
        <w:rPr>
          <w:rFonts w:eastAsia="Times New Roman" w:cs="Times New Roman"/>
          <w:rtl/>
          <w:lang w:eastAsia="de-DE"/>
        </w:rPr>
        <w:t xml:space="preserve"> </w:t>
      </w:r>
      <w:r w:rsidRPr="000A1689">
        <w:rPr>
          <w:rFonts w:eastAsia="Times New Roman" w:cs="Times New Roman"/>
          <w:lang w:eastAsia="de-DE"/>
        </w:rPr>
        <w:t xml:space="preserve">(sagend/sprechend) von </w:t>
      </w:r>
      <w:r w:rsidRPr="000A1689">
        <w:rPr>
          <w:rFonts w:eastAsia="Times New Roman" w:cs="Times New Roman"/>
          <w:b/>
          <w:bCs/>
          <w:rtl/>
          <w:lang w:eastAsia="de-DE"/>
        </w:rPr>
        <w:t>אמר</w:t>
      </w:r>
      <w:r w:rsidRPr="000A1689">
        <w:rPr>
          <w:rFonts w:eastAsia="Times New Roman" w:cs="Times New Roman"/>
          <w:rtl/>
          <w:lang w:eastAsia="de-DE"/>
        </w:rPr>
        <w:t xml:space="preserve"> </w:t>
      </w:r>
      <w:r w:rsidRPr="000A1689">
        <w:rPr>
          <w:rFonts w:eastAsia="Times New Roman" w:cs="Times New Roman"/>
          <w:lang w:eastAsia="de-DE"/>
        </w:rPr>
        <w:t>funkti</w:t>
      </w:r>
      <w:r w:rsidR="005407E2">
        <w:rPr>
          <w:rFonts w:eastAsia="Times New Roman" w:cs="Times New Roman"/>
          <w:lang w:eastAsia="de-DE"/>
        </w:rPr>
        <w:t>oni</w:t>
      </w:r>
      <w:r w:rsidRPr="000A1689">
        <w:rPr>
          <w:rFonts w:eastAsia="Times New Roman" w:cs="Times New Roman"/>
          <w:lang w:eastAsia="de-DE"/>
        </w:rPr>
        <w:t>ert als Einleitung zur direkten Rede und signalisiert, dass eine konkrete Botschaft folgt. Diese Formel markiert den Übergang von den theoretischen Opfergesetzen der Kapitel 1-7 zur praktischen Umsetzung in der Priesterweihe.</w:t>
      </w:r>
    </w:p>
    <w:p w14:paraId="19F4ED59"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mit καὶ </w:t>
      </w:r>
      <w:proofErr w:type="spellStart"/>
      <w:r w:rsidRPr="000A1689">
        <w:rPr>
          <w:rFonts w:eastAsia="Times New Roman" w:cs="Times New Roman"/>
          <w:lang w:eastAsia="de-DE"/>
        </w:rPr>
        <w:t>ἐλάλησεν</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κύριος</w:t>
      </w:r>
      <w:proofErr w:type="spellEnd"/>
      <w:r w:rsidRPr="000A1689">
        <w:rPr>
          <w:rFonts w:eastAsia="Times New Roman" w:cs="Times New Roman"/>
          <w:lang w:eastAsia="de-DE"/>
        </w:rPr>
        <w:t xml:space="preserve"> π</w:t>
      </w:r>
      <w:proofErr w:type="spellStart"/>
      <w:r w:rsidRPr="000A1689">
        <w:rPr>
          <w:rFonts w:eastAsia="Times New Roman" w:cs="Times New Roman"/>
          <w:lang w:eastAsia="de-DE"/>
        </w:rPr>
        <w:t>ρὸς</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Μωυσῆν</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λέγων</w:t>
      </w:r>
      <w:proofErr w:type="spellEnd"/>
      <w:r w:rsidRPr="000A1689">
        <w:rPr>
          <w:rFonts w:eastAsia="Times New Roman" w:cs="Times New Roman"/>
          <w:lang w:eastAsia="de-DE"/>
        </w:rPr>
        <w:t xml:space="preserve"> und verwendet </w:t>
      </w:r>
      <w:proofErr w:type="spellStart"/>
      <w:r w:rsidRPr="000A1689">
        <w:rPr>
          <w:rFonts w:eastAsia="Times New Roman" w:cs="Times New Roman"/>
          <w:lang w:eastAsia="de-DE"/>
        </w:rPr>
        <w:t>ἐλάλησεν</w:t>
      </w:r>
      <w:proofErr w:type="spellEnd"/>
      <w:r w:rsidRPr="000A1689">
        <w:rPr>
          <w:rFonts w:eastAsia="Times New Roman" w:cs="Times New Roman"/>
          <w:lang w:eastAsia="de-DE"/>
        </w:rPr>
        <w:t xml:space="preserve"> (er sprach) für </w:t>
      </w:r>
      <w:r w:rsidRPr="000A1689">
        <w:rPr>
          <w:rFonts w:eastAsia="Times New Roman" w:cs="Times New Roman"/>
          <w:b/>
          <w:bCs/>
          <w:rtl/>
          <w:lang w:eastAsia="de-DE"/>
        </w:rPr>
        <w:t>וידבר</w:t>
      </w:r>
      <w:r w:rsidRPr="000A1689">
        <w:rPr>
          <w:rFonts w:eastAsia="Times New Roman" w:cs="Times New Roman"/>
          <w:lang w:eastAsia="de-DE"/>
        </w:rPr>
        <w:t>, was die intensive, autoritative Sprechhandlung wiedergibt.</w:t>
      </w:r>
    </w:p>
    <w:p w14:paraId="644230E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einen einfachen Hauptsatz mit Waw-Konsekutiv: Verb + Subjekt + Präpositionalphrase + modaler Infinitiv. Die invertierte Verbstellung und das konsekutive Waw leiten einen neuen Hauptabschnitt ein.</w:t>
      </w:r>
    </w:p>
    <w:p w14:paraId="5A5A988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leitet das entscheidende Kapitel der Priesterweihe ein und etabliert die göttliche Autorität für die folgenden Anweisungen.</w:t>
      </w:r>
    </w:p>
    <w:p w14:paraId="609B77D8"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8,2</w:t>
      </w:r>
    </w:p>
    <w:p w14:paraId="475187C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קַ֤ח אֶֽת־אַהֲרֹן֙ וְאֶת־בָּנָ֣יו אִתּוֹ֔ וְאֵת֙ הַבְּגָדִ֔ים וְאֵ֖ת שֶׁ֣מֶן הַמִּשְׁחָ֑ה וְאֵ֣ת׀ פַּ֣ר הַֽחַטָּ֗את וְאֵת֙ שְׁנֵ֣י הָֽאֵילִ֔ים וְאֵ֖ת סַ֥ל הַמַּצּֽוֹת׃</w:t>
      </w:r>
    </w:p>
    <w:p w14:paraId="1DD22C1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Nimm Aaron und seine Söhne mit ihm, und die Kleider und das Salböl und den Stier des Sündopfers und die zwei Widder und den Korb mit dem Ungesäuerten;</w:t>
      </w:r>
    </w:p>
    <w:p w14:paraId="22F1550E"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398B149B">
          <v:rect id="_x0000_i1198" style="width:0;height:1.5pt" o:hralign="center" o:hrstd="t" o:hr="t" fillcolor="#a0a0a0" stroked="f"/>
        </w:pict>
      </w:r>
    </w:p>
    <w:p w14:paraId="1F58BB8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קח</w:t>
      </w:r>
      <w:r w:rsidRPr="000A1689">
        <w:rPr>
          <w:rFonts w:eastAsia="Times New Roman" w:cs="Times New Roman"/>
          <w:rtl/>
          <w:lang w:eastAsia="de-DE"/>
        </w:rPr>
        <w:t xml:space="preserve"> </w:t>
      </w:r>
      <w:r w:rsidRPr="000A1689">
        <w:rPr>
          <w:rFonts w:eastAsia="Times New Roman" w:cs="Times New Roman"/>
          <w:lang w:eastAsia="de-DE"/>
        </w:rPr>
        <w:t xml:space="preserve">steht im Qal-Imperativ maskulin Singular von </w:t>
      </w:r>
      <w:r w:rsidRPr="000A1689">
        <w:rPr>
          <w:rFonts w:eastAsia="Times New Roman" w:cs="Times New Roman"/>
          <w:b/>
          <w:bCs/>
          <w:rtl/>
          <w:lang w:eastAsia="de-DE"/>
        </w:rPr>
        <w:t>לקח</w:t>
      </w:r>
      <w:r w:rsidRPr="000A1689">
        <w:rPr>
          <w:rFonts w:eastAsia="Times New Roman" w:cs="Times New Roman"/>
          <w:rtl/>
          <w:lang w:eastAsia="de-DE"/>
        </w:rPr>
        <w:t xml:space="preserve"> </w:t>
      </w:r>
      <w:r w:rsidRPr="000A1689">
        <w:rPr>
          <w:rFonts w:eastAsia="Times New Roman" w:cs="Times New Roman"/>
          <w:lang w:eastAsia="de-DE"/>
        </w:rPr>
        <w:t xml:space="preserve">(nehmen/ergreifen) und richtet sich direkt an Mosche als Ausführenden der Priesterweihe. Das direkte Objekt </w:t>
      </w:r>
      <w:r w:rsidRPr="000A1689">
        <w:rPr>
          <w:rFonts w:eastAsia="Times New Roman" w:cs="Times New Roman"/>
          <w:b/>
          <w:bCs/>
          <w:rtl/>
          <w:lang w:eastAsia="de-DE"/>
        </w:rPr>
        <w:t>את־אהרן ואת־בניו אתו</w:t>
      </w:r>
      <w:r w:rsidRPr="000A1689">
        <w:rPr>
          <w:rFonts w:eastAsia="Times New Roman" w:cs="Times New Roman"/>
          <w:rtl/>
          <w:lang w:eastAsia="de-DE"/>
        </w:rPr>
        <w:t xml:space="preserve"> </w:t>
      </w:r>
      <w:r w:rsidRPr="000A1689">
        <w:rPr>
          <w:rFonts w:eastAsia="Times New Roman" w:cs="Times New Roman"/>
          <w:lang w:eastAsia="de-DE"/>
        </w:rPr>
        <w:t xml:space="preserve">zeigt Aaron und seine Söhne als die zu weihenden Personen, wobei </w:t>
      </w:r>
      <w:r w:rsidRPr="000A1689">
        <w:rPr>
          <w:rFonts w:eastAsia="Times New Roman" w:cs="Times New Roman"/>
          <w:b/>
          <w:bCs/>
          <w:rtl/>
          <w:lang w:eastAsia="de-DE"/>
        </w:rPr>
        <w:t>אתו</w:t>
      </w:r>
      <w:r w:rsidRPr="000A1689">
        <w:rPr>
          <w:rFonts w:eastAsia="Times New Roman" w:cs="Times New Roman"/>
          <w:rtl/>
          <w:lang w:eastAsia="de-DE"/>
        </w:rPr>
        <w:t xml:space="preserve"> </w:t>
      </w:r>
      <w:r w:rsidRPr="000A1689">
        <w:rPr>
          <w:rFonts w:eastAsia="Times New Roman" w:cs="Times New Roman"/>
          <w:lang w:eastAsia="de-DE"/>
        </w:rPr>
        <w:t xml:space="preserve">(mit ihm) die Zusammengehörigkeit betont. Die Nota accusativi </w:t>
      </w:r>
      <w:r w:rsidRPr="000A1689">
        <w:rPr>
          <w:rFonts w:eastAsia="Times New Roman" w:cs="Times New Roman"/>
          <w:b/>
          <w:bCs/>
          <w:rtl/>
          <w:lang w:eastAsia="de-DE"/>
        </w:rPr>
        <w:t>את</w:t>
      </w:r>
      <w:r w:rsidRPr="000A1689">
        <w:rPr>
          <w:rFonts w:eastAsia="Times New Roman" w:cs="Times New Roman"/>
          <w:rtl/>
          <w:lang w:eastAsia="de-DE"/>
        </w:rPr>
        <w:t xml:space="preserve"> </w:t>
      </w:r>
      <w:r w:rsidRPr="000A1689">
        <w:rPr>
          <w:rFonts w:eastAsia="Times New Roman" w:cs="Times New Roman"/>
          <w:lang w:eastAsia="de-DE"/>
        </w:rPr>
        <w:t>markiert durchgängig alle direkten Objekte.</w:t>
      </w:r>
    </w:p>
    <w:p w14:paraId="2A1DE6E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folgenden Objekte listen systematisch alle für die Weihe erforderlichen Gegenstände auf: </w:t>
      </w:r>
      <w:r w:rsidRPr="000A1689">
        <w:rPr>
          <w:rFonts w:eastAsia="Times New Roman" w:cs="Times New Roman"/>
          <w:b/>
          <w:bCs/>
          <w:rtl/>
          <w:lang w:eastAsia="de-DE"/>
        </w:rPr>
        <w:t>הבגדים</w:t>
      </w:r>
      <w:r w:rsidRPr="000A1689">
        <w:rPr>
          <w:rFonts w:eastAsia="Times New Roman" w:cs="Times New Roman"/>
          <w:rtl/>
          <w:lang w:eastAsia="de-DE"/>
        </w:rPr>
        <w:t xml:space="preserve"> </w:t>
      </w:r>
      <w:r w:rsidRPr="000A1689">
        <w:rPr>
          <w:rFonts w:eastAsia="Times New Roman" w:cs="Times New Roman"/>
          <w:lang w:eastAsia="de-DE"/>
        </w:rPr>
        <w:t xml:space="preserve">(die Kleider) verweist auf die heiligen Priestergewänder aus Exodus 28, </w:t>
      </w:r>
      <w:r w:rsidRPr="000A1689">
        <w:rPr>
          <w:rFonts w:eastAsia="Times New Roman" w:cs="Times New Roman"/>
          <w:b/>
          <w:bCs/>
          <w:rtl/>
          <w:lang w:eastAsia="de-DE"/>
        </w:rPr>
        <w:t>שמן המשחה</w:t>
      </w:r>
      <w:r w:rsidRPr="000A1689">
        <w:rPr>
          <w:rFonts w:eastAsia="Times New Roman" w:cs="Times New Roman"/>
          <w:rtl/>
          <w:lang w:eastAsia="de-DE"/>
        </w:rPr>
        <w:t xml:space="preserve"> </w:t>
      </w:r>
      <w:r w:rsidRPr="000A1689">
        <w:rPr>
          <w:rFonts w:eastAsia="Times New Roman" w:cs="Times New Roman"/>
          <w:lang w:eastAsia="de-DE"/>
        </w:rPr>
        <w:t xml:space="preserve">(das Salböl) ist das heilige Öl aus Exodus 30,22-33. </w:t>
      </w:r>
      <w:r w:rsidRPr="000A1689">
        <w:rPr>
          <w:rFonts w:eastAsia="Times New Roman" w:cs="Times New Roman"/>
          <w:b/>
          <w:bCs/>
          <w:rtl/>
          <w:lang w:eastAsia="de-DE"/>
        </w:rPr>
        <w:t>פר החטאת</w:t>
      </w:r>
      <w:r w:rsidRPr="000A1689">
        <w:rPr>
          <w:rFonts w:eastAsia="Times New Roman" w:cs="Times New Roman"/>
          <w:rtl/>
          <w:lang w:eastAsia="de-DE"/>
        </w:rPr>
        <w:t xml:space="preserve"> </w:t>
      </w:r>
      <w:r w:rsidRPr="000A1689">
        <w:rPr>
          <w:rFonts w:eastAsia="Times New Roman" w:cs="Times New Roman"/>
          <w:lang w:eastAsia="de-DE"/>
        </w:rPr>
        <w:t xml:space="preserve">(der Stier des Sündopfers) entspricht den Bestimmungen für den </w:t>
      </w:r>
      <w:r w:rsidRPr="000A1689">
        <w:rPr>
          <w:rFonts w:eastAsia="Times New Roman" w:cs="Times New Roman"/>
          <w:b/>
          <w:bCs/>
          <w:rtl/>
          <w:lang w:eastAsia="de-DE"/>
        </w:rPr>
        <w:t>כהן המשיח</w:t>
      </w:r>
      <w:r w:rsidRPr="000A1689">
        <w:rPr>
          <w:rFonts w:eastAsia="Times New Roman" w:cs="Times New Roman"/>
          <w:rtl/>
          <w:lang w:eastAsia="de-DE"/>
        </w:rPr>
        <w:t xml:space="preserve"> </w:t>
      </w:r>
      <w:r w:rsidRPr="000A1689">
        <w:rPr>
          <w:rFonts w:eastAsia="Times New Roman" w:cs="Times New Roman"/>
          <w:lang w:eastAsia="de-DE"/>
        </w:rPr>
        <w:t xml:space="preserve">aus 4,3-12. </w:t>
      </w:r>
      <w:r w:rsidRPr="000A1689">
        <w:rPr>
          <w:rFonts w:eastAsia="Times New Roman" w:cs="Times New Roman"/>
          <w:b/>
          <w:bCs/>
          <w:rtl/>
          <w:lang w:eastAsia="de-DE"/>
        </w:rPr>
        <w:t>שני האילים</w:t>
      </w:r>
      <w:r w:rsidRPr="000A1689">
        <w:rPr>
          <w:rFonts w:eastAsia="Times New Roman" w:cs="Times New Roman"/>
          <w:rtl/>
          <w:lang w:eastAsia="de-DE"/>
        </w:rPr>
        <w:t xml:space="preserve"> </w:t>
      </w:r>
      <w:r w:rsidRPr="000A1689">
        <w:rPr>
          <w:rFonts w:eastAsia="Times New Roman" w:cs="Times New Roman"/>
          <w:lang w:eastAsia="de-DE"/>
        </w:rPr>
        <w:t xml:space="preserve">(die zwei Widder) dienen als </w:t>
      </w:r>
      <w:r w:rsidRPr="000A1689">
        <w:rPr>
          <w:rFonts w:eastAsia="Times New Roman" w:cs="Times New Roman"/>
          <w:b/>
          <w:bCs/>
          <w:rtl/>
          <w:lang w:eastAsia="de-DE"/>
        </w:rPr>
        <w:t>עלה</w:t>
      </w:r>
      <w:r w:rsidRPr="000A1689">
        <w:rPr>
          <w:rFonts w:eastAsia="Times New Roman" w:cs="Times New Roman"/>
          <w:rtl/>
          <w:lang w:eastAsia="de-DE"/>
        </w:rPr>
        <w:t xml:space="preserve"> </w:t>
      </w:r>
      <w:r w:rsidRPr="000A1689">
        <w:rPr>
          <w:rFonts w:eastAsia="Times New Roman" w:cs="Times New Roman"/>
          <w:lang w:eastAsia="de-DE"/>
        </w:rPr>
        <w:t xml:space="preserve">und </w:t>
      </w:r>
      <w:r w:rsidRPr="000A1689">
        <w:rPr>
          <w:rFonts w:eastAsia="Times New Roman" w:cs="Times New Roman"/>
          <w:b/>
          <w:bCs/>
          <w:rtl/>
          <w:lang w:eastAsia="de-DE"/>
        </w:rPr>
        <w:t>מלואים</w:t>
      </w:r>
      <w:r w:rsidRPr="000A1689">
        <w:rPr>
          <w:rFonts w:eastAsia="Times New Roman" w:cs="Times New Roman"/>
          <w:rtl/>
          <w:lang w:eastAsia="de-DE"/>
        </w:rPr>
        <w:t xml:space="preserve"> </w:t>
      </w:r>
      <w:r w:rsidRPr="000A1689">
        <w:rPr>
          <w:rFonts w:eastAsia="Times New Roman" w:cs="Times New Roman"/>
          <w:lang w:eastAsia="de-DE"/>
        </w:rPr>
        <w:t xml:space="preserve">(Einweihungsopfer). </w:t>
      </w:r>
      <w:r w:rsidRPr="000A1689">
        <w:rPr>
          <w:rFonts w:eastAsia="Times New Roman" w:cs="Times New Roman"/>
          <w:b/>
          <w:bCs/>
          <w:rtl/>
          <w:lang w:eastAsia="de-DE"/>
        </w:rPr>
        <w:t>סל המצות</w:t>
      </w:r>
      <w:r w:rsidRPr="000A1689">
        <w:rPr>
          <w:rFonts w:eastAsia="Times New Roman" w:cs="Times New Roman"/>
          <w:rtl/>
          <w:lang w:eastAsia="de-DE"/>
        </w:rPr>
        <w:t xml:space="preserve"> </w:t>
      </w:r>
      <w:r w:rsidRPr="000A1689">
        <w:rPr>
          <w:rFonts w:eastAsia="Times New Roman" w:cs="Times New Roman"/>
          <w:lang w:eastAsia="de-DE"/>
        </w:rPr>
        <w:t>(der Korb mit dem Ungesäuerten) enthält die rituellen Brote entsprechend 7,12-13.</w:t>
      </w:r>
    </w:p>
    <w:p w14:paraId="58311299" w14:textId="55E5FCD2"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lastRenderedPageBreak/>
        <w:t xml:space="preserve">Die Aufzählung verwendet durchgehend </w:t>
      </w:r>
      <w:r w:rsidRPr="000A1689">
        <w:rPr>
          <w:rFonts w:eastAsia="Times New Roman" w:cs="Times New Roman"/>
          <w:b/>
          <w:bCs/>
          <w:rtl/>
          <w:lang w:eastAsia="de-DE"/>
        </w:rPr>
        <w:t>ואת</w:t>
      </w:r>
      <w:r w:rsidRPr="000A1689">
        <w:rPr>
          <w:rFonts w:eastAsia="Times New Roman" w:cs="Times New Roman"/>
          <w:rtl/>
          <w:lang w:eastAsia="de-DE"/>
        </w:rPr>
        <w:t xml:space="preserve"> </w:t>
      </w:r>
      <w:r w:rsidRPr="000A1689">
        <w:rPr>
          <w:rFonts w:eastAsia="Times New Roman" w:cs="Times New Roman"/>
          <w:lang w:eastAsia="de-DE"/>
        </w:rPr>
        <w:t xml:space="preserve">(und) zur Koordination, was die gleichwertige Wichtigkeit aller Elemente betont. </w:t>
      </w:r>
      <w:r w:rsidRPr="000A1689">
        <w:rPr>
          <w:rFonts w:eastAsia="Times New Roman" w:cs="Times New Roman"/>
          <w:b/>
          <w:bCs/>
          <w:rtl/>
          <w:lang w:eastAsia="de-DE"/>
        </w:rPr>
        <w:t>שמן המשחה</w:t>
      </w:r>
      <w:r w:rsidRPr="000A1689">
        <w:rPr>
          <w:rFonts w:eastAsia="Times New Roman" w:cs="Times New Roman"/>
          <w:rtl/>
          <w:lang w:eastAsia="de-DE"/>
        </w:rPr>
        <w:t xml:space="preserve"> </w:t>
      </w:r>
      <w:r w:rsidRPr="000A1689">
        <w:rPr>
          <w:rFonts w:eastAsia="Times New Roman" w:cs="Times New Roman"/>
          <w:lang w:eastAsia="de-DE"/>
        </w:rPr>
        <w:t>bildet eine Genitivkonstruktion (</w:t>
      </w:r>
      <w:r w:rsidR="0050276D" w:rsidRPr="000A1689">
        <w:rPr>
          <w:rFonts w:eastAsia="Times New Roman" w:cs="Times New Roman"/>
          <w:lang w:eastAsia="de-DE"/>
        </w:rPr>
        <w:t>Constructus</w:t>
      </w:r>
      <w:r w:rsidRPr="000A1689">
        <w:rPr>
          <w:rFonts w:eastAsia="Times New Roman" w:cs="Times New Roman"/>
          <w:lang w:eastAsia="de-DE"/>
        </w:rPr>
        <w:t xml:space="preserve">-Verbindung), ebenso </w:t>
      </w:r>
      <w:r w:rsidRPr="000A1689">
        <w:rPr>
          <w:rFonts w:eastAsia="Times New Roman" w:cs="Times New Roman"/>
          <w:b/>
          <w:bCs/>
          <w:rtl/>
          <w:lang w:eastAsia="de-DE"/>
        </w:rPr>
        <w:t>פר החטאת</w:t>
      </w:r>
      <w:r w:rsidRPr="000A1689">
        <w:rPr>
          <w:rFonts w:eastAsia="Times New Roman" w:cs="Times New Roman"/>
          <w:lang w:eastAsia="de-DE"/>
        </w:rPr>
        <w:t xml:space="preserve">, </w:t>
      </w:r>
      <w:r w:rsidRPr="000A1689">
        <w:rPr>
          <w:rFonts w:eastAsia="Times New Roman" w:cs="Times New Roman"/>
          <w:b/>
          <w:bCs/>
          <w:rtl/>
          <w:lang w:eastAsia="de-DE"/>
        </w:rPr>
        <w:t>סל המצות</w:t>
      </w:r>
      <w:r w:rsidRPr="000A1689">
        <w:rPr>
          <w:rFonts w:eastAsia="Times New Roman" w:cs="Times New Roman"/>
          <w:lang w:eastAsia="de-DE"/>
        </w:rPr>
        <w:t>.</w:t>
      </w:r>
    </w:p>
    <w:p w14:paraId="6DA3652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קח</w:t>
      </w:r>
      <w:r w:rsidRPr="000A1689">
        <w:rPr>
          <w:rFonts w:eastAsia="Times New Roman" w:cs="Times New Roman"/>
          <w:rtl/>
          <w:lang w:eastAsia="de-DE"/>
        </w:rPr>
        <w:t xml:space="preserve"> </w:t>
      </w:r>
      <w:r w:rsidRPr="000A1689">
        <w:rPr>
          <w:rFonts w:eastAsia="Times New Roman" w:cs="Times New Roman"/>
          <w:lang w:eastAsia="de-DE"/>
        </w:rPr>
        <w:t xml:space="preserve">mit λαβέ (nimm), </w:t>
      </w:r>
      <w:r w:rsidRPr="000A1689">
        <w:rPr>
          <w:rFonts w:eastAsia="Times New Roman" w:cs="Times New Roman"/>
          <w:b/>
          <w:bCs/>
          <w:rtl/>
          <w:lang w:eastAsia="de-DE"/>
        </w:rPr>
        <w:t>הבגדים</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τὰς</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στολάς</w:t>
      </w:r>
      <w:proofErr w:type="spellEnd"/>
      <w:r w:rsidRPr="000A1689">
        <w:rPr>
          <w:rFonts w:eastAsia="Times New Roman" w:cs="Times New Roman"/>
          <w:lang w:eastAsia="de-DE"/>
        </w:rPr>
        <w:t xml:space="preserve"> (die Gewänder) und </w:t>
      </w:r>
      <w:r w:rsidRPr="000A1689">
        <w:rPr>
          <w:rFonts w:eastAsia="Times New Roman" w:cs="Times New Roman"/>
          <w:b/>
          <w:bCs/>
          <w:rtl/>
          <w:lang w:eastAsia="de-DE"/>
        </w:rPr>
        <w:t>שמן המשחה</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τὸ</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ἔλ</w:t>
      </w:r>
      <w:proofErr w:type="spellEnd"/>
      <w:r w:rsidRPr="000A1689">
        <w:rPr>
          <w:rFonts w:eastAsia="Times New Roman" w:cs="Times New Roman"/>
          <w:lang w:eastAsia="de-DE"/>
        </w:rPr>
        <w:t xml:space="preserve">αιον </w:t>
      </w:r>
      <w:proofErr w:type="spellStart"/>
      <w:r w:rsidRPr="000A1689">
        <w:rPr>
          <w:rFonts w:eastAsia="Times New Roman" w:cs="Times New Roman"/>
          <w:lang w:eastAsia="de-DE"/>
        </w:rPr>
        <w:t>τοῦ</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χρίσμ</w:t>
      </w:r>
      <w:proofErr w:type="spellEnd"/>
      <w:r w:rsidRPr="000A1689">
        <w:rPr>
          <w:rFonts w:eastAsia="Times New Roman" w:cs="Times New Roman"/>
          <w:lang w:eastAsia="de-DE"/>
        </w:rPr>
        <w:t>ατος (das Öl der Salbung).</w:t>
      </w:r>
    </w:p>
    <w:p w14:paraId="306B6BE5"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einen Imperativsatz mit multipler Objektaufzählung: Imperativ + sechs koordinierte direkte Objekte mit Nota accusativi. Die Struktur betont die umfassende Vorbereitung der Priesterweihe.</w:t>
      </w:r>
    </w:p>
    <w:p w14:paraId="2416FFF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sammelt alle personellen und materiellen Voraussetzungen für die feierliche Priestereinsetzung.</w:t>
      </w:r>
    </w:p>
    <w:p w14:paraId="216777E9"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8,3</w:t>
      </w:r>
    </w:p>
    <w:p w14:paraId="196FE7C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וְאֵ֥ת כָּל־הָעֵדָ֖ה הַקְהֵ֑ל אֶל־פֶּ֖תַח אֹ֥הֶל מוֹעֵֽד׃</w:t>
      </w:r>
    </w:p>
    <w:p w14:paraId="751CB295"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versammle die ganze Gemeinde am Eingang des Zeltes der Begegnung.</w:t>
      </w:r>
    </w:p>
    <w:p w14:paraId="68FBFBC8"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27A24F02">
          <v:rect id="_x0000_i1199" style="width:0;height:1.5pt" o:hralign="center" o:hrstd="t" o:hr="t" fillcolor="#a0a0a0" stroked="f"/>
        </w:pict>
      </w:r>
    </w:p>
    <w:p w14:paraId="25F71906"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ואת כל־העדה הקהל</w:t>
      </w:r>
      <w:r w:rsidRPr="000A1689">
        <w:rPr>
          <w:rFonts w:eastAsia="Times New Roman" w:cs="Times New Roman"/>
          <w:rtl/>
          <w:lang w:eastAsia="de-DE"/>
        </w:rPr>
        <w:t xml:space="preserve"> </w:t>
      </w:r>
      <w:r w:rsidRPr="000A1689">
        <w:rPr>
          <w:rFonts w:eastAsia="Times New Roman" w:cs="Times New Roman"/>
          <w:lang w:eastAsia="de-DE"/>
        </w:rPr>
        <w:t xml:space="preserve">zeigt eine bemerkenswerte Wortstellung mit dem direkten Objekt vor dem Verb. </w:t>
      </w:r>
      <w:r w:rsidRPr="000A1689">
        <w:rPr>
          <w:rFonts w:eastAsia="Times New Roman" w:cs="Times New Roman"/>
          <w:b/>
          <w:bCs/>
          <w:rtl/>
          <w:lang w:eastAsia="de-DE"/>
        </w:rPr>
        <w:t>כל־העדה</w:t>
      </w:r>
      <w:r w:rsidRPr="000A1689">
        <w:rPr>
          <w:rFonts w:eastAsia="Times New Roman" w:cs="Times New Roman"/>
          <w:rtl/>
          <w:lang w:eastAsia="de-DE"/>
        </w:rPr>
        <w:t xml:space="preserve"> </w:t>
      </w:r>
      <w:r w:rsidRPr="000A1689">
        <w:rPr>
          <w:rFonts w:eastAsia="Times New Roman" w:cs="Times New Roman"/>
          <w:lang w:eastAsia="de-DE"/>
        </w:rPr>
        <w:t xml:space="preserve">(die ganze Gemeinde) mit der Totalitätspartikel </w:t>
      </w:r>
      <w:r w:rsidRPr="000A1689">
        <w:rPr>
          <w:rFonts w:eastAsia="Times New Roman" w:cs="Times New Roman"/>
          <w:b/>
          <w:bCs/>
          <w:rtl/>
          <w:lang w:eastAsia="de-DE"/>
        </w:rPr>
        <w:t>כל</w:t>
      </w:r>
      <w:r w:rsidRPr="000A1689">
        <w:rPr>
          <w:rFonts w:eastAsia="Times New Roman" w:cs="Times New Roman"/>
          <w:rtl/>
          <w:lang w:eastAsia="de-DE"/>
        </w:rPr>
        <w:t xml:space="preserve"> </w:t>
      </w:r>
      <w:r w:rsidRPr="000A1689">
        <w:rPr>
          <w:rFonts w:eastAsia="Times New Roman" w:cs="Times New Roman"/>
          <w:lang w:eastAsia="de-DE"/>
        </w:rPr>
        <w:t xml:space="preserve">betont die Vollständigkeit der Versammlung. </w:t>
      </w:r>
      <w:r w:rsidRPr="000A1689">
        <w:rPr>
          <w:rFonts w:eastAsia="Times New Roman" w:cs="Times New Roman"/>
          <w:b/>
          <w:bCs/>
          <w:rtl/>
          <w:lang w:eastAsia="de-DE"/>
        </w:rPr>
        <w:t>הקהל</w:t>
      </w:r>
      <w:r w:rsidRPr="000A1689">
        <w:rPr>
          <w:rFonts w:eastAsia="Times New Roman" w:cs="Times New Roman"/>
          <w:rtl/>
          <w:lang w:eastAsia="de-DE"/>
        </w:rPr>
        <w:t xml:space="preserve"> </w:t>
      </w:r>
      <w:r w:rsidRPr="000A1689">
        <w:rPr>
          <w:rFonts w:eastAsia="Times New Roman" w:cs="Times New Roman"/>
          <w:lang w:eastAsia="de-DE"/>
        </w:rPr>
        <w:t xml:space="preserve">steht im Hifil-Imperativ von </w:t>
      </w:r>
      <w:r w:rsidRPr="000A1689">
        <w:rPr>
          <w:rFonts w:eastAsia="Times New Roman" w:cs="Times New Roman"/>
          <w:b/>
          <w:bCs/>
          <w:rtl/>
          <w:lang w:eastAsia="de-DE"/>
        </w:rPr>
        <w:t>קהל</w:t>
      </w:r>
      <w:r w:rsidRPr="000A1689">
        <w:rPr>
          <w:rFonts w:eastAsia="Times New Roman" w:cs="Times New Roman"/>
          <w:rtl/>
          <w:lang w:eastAsia="de-DE"/>
        </w:rPr>
        <w:t xml:space="preserve"> </w:t>
      </w:r>
      <w:r w:rsidRPr="000A1689">
        <w:rPr>
          <w:rFonts w:eastAsia="Times New Roman" w:cs="Times New Roman"/>
          <w:lang w:eastAsia="de-DE"/>
        </w:rPr>
        <w:t>(versammeln) und bezeichnet die aktive Versammlungshandlung durch Mosche. Das Hifil drückt hier die kausative Bedeutung aus: "veranlassen sich zu versammeln".</w:t>
      </w:r>
    </w:p>
    <w:p w14:paraId="1387CE3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Präpositionalphrase </w:t>
      </w:r>
      <w:r w:rsidRPr="000A1689">
        <w:rPr>
          <w:rFonts w:eastAsia="Times New Roman" w:cs="Times New Roman"/>
          <w:b/>
          <w:bCs/>
          <w:rtl/>
          <w:lang w:eastAsia="de-DE"/>
        </w:rPr>
        <w:t>אל־פתח אהל מועד</w:t>
      </w:r>
      <w:r w:rsidRPr="000A1689">
        <w:rPr>
          <w:rFonts w:eastAsia="Times New Roman" w:cs="Times New Roman"/>
          <w:rtl/>
          <w:lang w:eastAsia="de-DE"/>
        </w:rPr>
        <w:t xml:space="preserve"> </w:t>
      </w:r>
      <w:r w:rsidRPr="000A1689">
        <w:rPr>
          <w:rFonts w:eastAsia="Times New Roman" w:cs="Times New Roman"/>
          <w:lang w:eastAsia="de-DE"/>
        </w:rPr>
        <w:t xml:space="preserve">gibt den Versammlungsort an. </w:t>
      </w:r>
      <w:r w:rsidRPr="000A1689">
        <w:rPr>
          <w:rFonts w:eastAsia="Times New Roman" w:cs="Times New Roman"/>
          <w:b/>
          <w:bCs/>
          <w:rtl/>
          <w:lang w:eastAsia="de-DE"/>
        </w:rPr>
        <w:t>פתח</w:t>
      </w:r>
      <w:r w:rsidRPr="000A1689">
        <w:rPr>
          <w:rFonts w:eastAsia="Times New Roman" w:cs="Times New Roman"/>
          <w:rtl/>
          <w:lang w:eastAsia="de-DE"/>
        </w:rPr>
        <w:t xml:space="preserve"> </w:t>
      </w:r>
      <w:r w:rsidRPr="000A1689">
        <w:rPr>
          <w:rFonts w:eastAsia="Times New Roman" w:cs="Times New Roman"/>
          <w:lang w:eastAsia="de-DE"/>
        </w:rPr>
        <w:t xml:space="preserve">(Eingang/Öffnung) konstruiert mit </w:t>
      </w:r>
      <w:r w:rsidRPr="000A1689">
        <w:rPr>
          <w:rFonts w:eastAsia="Times New Roman" w:cs="Times New Roman"/>
          <w:b/>
          <w:bCs/>
          <w:rtl/>
          <w:lang w:eastAsia="de-DE"/>
        </w:rPr>
        <w:t>אהל מועד</w:t>
      </w:r>
      <w:r w:rsidRPr="000A1689">
        <w:rPr>
          <w:rFonts w:eastAsia="Times New Roman" w:cs="Times New Roman"/>
          <w:rtl/>
          <w:lang w:eastAsia="de-DE"/>
        </w:rPr>
        <w:t xml:space="preserve"> </w:t>
      </w:r>
      <w:r w:rsidRPr="000A1689">
        <w:rPr>
          <w:rFonts w:eastAsia="Times New Roman" w:cs="Times New Roman"/>
          <w:lang w:eastAsia="de-DE"/>
        </w:rPr>
        <w:t xml:space="preserve">(Zelt der Begegnung) bildet eine feste Ortsangabe für öffentliche Zeremonien. Das </w:t>
      </w:r>
      <w:r w:rsidRPr="000A1689">
        <w:rPr>
          <w:rFonts w:eastAsia="Times New Roman" w:cs="Times New Roman"/>
          <w:b/>
          <w:bCs/>
          <w:rtl/>
          <w:lang w:eastAsia="de-DE"/>
        </w:rPr>
        <w:t>ה</w:t>
      </w:r>
      <w:r w:rsidRPr="000A1689">
        <w:rPr>
          <w:rFonts w:eastAsia="Times New Roman" w:cs="Times New Roman"/>
          <w:rtl/>
          <w:lang w:eastAsia="de-DE"/>
        </w:rPr>
        <w:t xml:space="preserve"> </w:t>
      </w:r>
      <w:r w:rsidRPr="000A1689">
        <w:rPr>
          <w:rFonts w:eastAsia="Times New Roman" w:cs="Times New Roman"/>
          <w:lang w:eastAsia="de-DE"/>
        </w:rPr>
        <w:t xml:space="preserve">vor </w:t>
      </w:r>
      <w:r w:rsidRPr="000A1689">
        <w:rPr>
          <w:rFonts w:eastAsia="Times New Roman" w:cs="Times New Roman"/>
          <w:b/>
          <w:bCs/>
          <w:rtl/>
          <w:lang w:eastAsia="de-DE"/>
        </w:rPr>
        <w:t>עדה</w:t>
      </w:r>
      <w:r w:rsidRPr="000A1689">
        <w:rPr>
          <w:rFonts w:eastAsia="Times New Roman" w:cs="Times New Roman"/>
          <w:rtl/>
          <w:lang w:eastAsia="de-DE"/>
        </w:rPr>
        <w:t xml:space="preserve"> </w:t>
      </w:r>
      <w:r w:rsidRPr="000A1689">
        <w:rPr>
          <w:rFonts w:eastAsia="Times New Roman" w:cs="Times New Roman"/>
          <w:lang w:eastAsia="de-DE"/>
        </w:rPr>
        <w:t>ist der bestimmte Artikel, der die konkrete israelitische Gemeinde bezeichnet.</w:t>
      </w:r>
    </w:p>
    <w:p w14:paraId="5BFE5E4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Voranstellung des Objekts </w:t>
      </w:r>
      <w:r w:rsidRPr="000A1689">
        <w:rPr>
          <w:rFonts w:eastAsia="Times New Roman" w:cs="Times New Roman"/>
          <w:b/>
          <w:bCs/>
          <w:rtl/>
          <w:lang w:eastAsia="de-DE"/>
        </w:rPr>
        <w:t>ואת כל־העדה</w:t>
      </w:r>
      <w:r w:rsidRPr="000A1689">
        <w:rPr>
          <w:rFonts w:eastAsia="Times New Roman" w:cs="Times New Roman"/>
          <w:rtl/>
          <w:lang w:eastAsia="de-DE"/>
        </w:rPr>
        <w:t xml:space="preserve"> </w:t>
      </w:r>
      <w:r w:rsidRPr="000A1689">
        <w:rPr>
          <w:rFonts w:eastAsia="Times New Roman" w:cs="Times New Roman"/>
          <w:lang w:eastAsia="de-DE"/>
        </w:rPr>
        <w:t xml:space="preserve">vor dem Verb </w:t>
      </w:r>
      <w:r w:rsidRPr="000A1689">
        <w:rPr>
          <w:rFonts w:eastAsia="Times New Roman" w:cs="Times New Roman"/>
          <w:b/>
          <w:bCs/>
          <w:rtl/>
          <w:lang w:eastAsia="de-DE"/>
        </w:rPr>
        <w:t>הקהל</w:t>
      </w:r>
      <w:r w:rsidRPr="000A1689">
        <w:rPr>
          <w:rFonts w:eastAsia="Times New Roman" w:cs="Times New Roman"/>
          <w:rtl/>
          <w:lang w:eastAsia="de-DE"/>
        </w:rPr>
        <w:t xml:space="preserve"> </w:t>
      </w:r>
      <w:r w:rsidRPr="000A1689">
        <w:rPr>
          <w:rFonts w:eastAsia="Times New Roman" w:cs="Times New Roman"/>
          <w:lang w:eastAsia="de-DE"/>
        </w:rPr>
        <w:t>erzeugt Betonung und unterstreicht die Wichtigkeit der vollständigen Gemeindeversammlung für die Legitimation der Priesterweihe.</w:t>
      </w:r>
    </w:p>
    <w:p w14:paraId="4872DAC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כל־העדה</w:t>
      </w:r>
      <w:r w:rsidRPr="000A1689">
        <w:rPr>
          <w:rFonts w:eastAsia="Times New Roman" w:cs="Times New Roman"/>
          <w:rtl/>
          <w:lang w:eastAsia="de-DE"/>
        </w:rPr>
        <w:t xml:space="preserve"> </w:t>
      </w:r>
      <w:r w:rsidRPr="000A1689">
        <w:rPr>
          <w:rFonts w:eastAsia="Times New Roman" w:cs="Times New Roman"/>
          <w:lang w:eastAsia="de-DE"/>
        </w:rPr>
        <w:t>mit π</w:t>
      </w:r>
      <w:proofErr w:type="spellStart"/>
      <w:r w:rsidRPr="000A1689">
        <w:rPr>
          <w:rFonts w:eastAsia="Times New Roman" w:cs="Times New Roman"/>
          <w:lang w:eastAsia="de-DE"/>
        </w:rPr>
        <w:t>ᾶσ</w:t>
      </w:r>
      <w:proofErr w:type="spellEnd"/>
      <w:r w:rsidRPr="000A1689">
        <w:rPr>
          <w:rFonts w:eastAsia="Times New Roman" w:cs="Times New Roman"/>
          <w:lang w:eastAsia="de-DE"/>
        </w:rPr>
        <w:t xml:space="preserve">αν </w:t>
      </w:r>
      <w:proofErr w:type="spellStart"/>
      <w:r w:rsidRPr="000A1689">
        <w:rPr>
          <w:rFonts w:eastAsia="Times New Roman" w:cs="Times New Roman"/>
          <w:lang w:eastAsia="de-DE"/>
        </w:rPr>
        <w:t>τὴν</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συν</w:t>
      </w:r>
      <w:proofErr w:type="spellEnd"/>
      <w:r w:rsidRPr="000A1689">
        <w:rPr>
          <w:rFonts w:eastAsia="Times New Roman" w:cs="Times New Roman"/>
          <w:lang w:eastAsia="de-DE"/>
        </w:rPr>
        <w:t xml:space="preserve">αγωγήν (die ganze Versammlung), </w:t>
      </w:r>
      <w:r w:rsidRPr="000A1689">
        <w:rPr>
          <w:rFonts w:eastAsia="Times New Roman" w:cs="Times New Roman"/>
          <w:b/>
          <w:bCs/>
          <w:rtl/>
          <w:lang w:eastAsia="de-DE"/>
        </w:rPr>
        <w:t>הקהל</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ἐκκλησί</w:t>
      </w:r>
      <w:proofErr w:type="spellEnd"/>
      <w:r w:rsidRPr="000A1689">
        <w:rPr>
          <w:rFonts w:eastAsia="Times New Roman" w:cs="Times New Roman"/>
          <w:lang w:eastAsia="de-DE"/>
        </w:rPr>
        <w:t xml:space="preserve">ασον (versammle) und verwendet die typische griechische Wendung für </w:t>
      </w:r>
      <w:r w:rsidRPr="000A1689">
        <w:rPr>
          <w:rFonts w:eastAsia="Times New Roman" w:cs="Times New Roman"/>
          <w:b/>
          <w:bCs/>
          <w:rtl/>
          <w:lang w:eastAsia="de-DE"/>
        </w:rPr>
        <w:t>אהל מועד</w:t>
      </w:r>
      <w:r w:rsidRPr="000A1689">
        <w:rPr>
          <w:rFonts w:eastAsia="Times New Roman" w:cs="Times New Roman"/>
          <w:lang w:eastAsia="de-DE"/>
        </w:rPr>
        <w:t>.</w:t>
      </w:r>
    </w:p>
    <w:p w14:paraId="793ECA3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einen Imperativsatz mit Objektvoranstellung: koordinierende Konjunktion + direktes Objekt + Imperativ + Ortsangabe. Die Objektvoranstellung betont die öffentliche Natur der Zeremonie.</w:t>
      </w:r>
    </w:p>
    <w:p w14:paraId="78E1AC3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etabliert die Priesterweihe als öffentlichen Akt vor der gesamten israelitischen Gemeinde zur Legitimation der priesterlichen Autorität.</w:t>
      </w:r>
    </w:p>
    <w:p w14:paraId="04980E27"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8,4</w:t>
      </w:r>
    </w:p>
    <w:p w14:paraId="586397C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lastRenderedPageBreak/>
        <w:t>Hebräisch:</w:t>
      </w:r>
      <w:r w:rsidRPr="000A1689">
        <w:rPr>
          <w:rFonts w:eastAsia="Times New Roman" w:cs="Times New Roman"/>
          <w:lang w:eastAsia="de-DE"/>
        </w:rPr>
        <w:t xml:space="preserve"> </w:t>
      </w:r>
      <w:r w:rsidRPr="000A1689">
        <w:rPr>
          <w:rFonts w:eastAsia="Times New Roman" w:cs="Times New Roman"/>
          <w:rtl/>
          <w:lang w:eastAsia="de-DE"/>
        </w:rPr>
        <w:t>וַיַּ֣עַשׂ מֹשֶׁ֔ה כַּֽאֲשֶׁ֛ר צִוָּ֥ה יְהוָ֖ה אֹתוֹ֑ וַתִּקָּהֵל֙ הָֽעֵדָ֔ה אֶל־פֶּ֖תַח אֹ֥הֶל מוֹעֵֽד׃</w:t>
      </w:r>
    </w:p>
    <w:p w14:paraId="7FC199A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Mosche tat, wie der Ewige ihm geboten hatte; und die Gemeinde versammelte sich am Eingang des Zeltes der Begegnung.</w:t>
      </w:r>
    </w:p>
    <w:p w14:paraId="4131AEDB"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18BDCB42">
          <v:rect id="_x0000_i1200" style="width:0;height:1.5pt" o:hralign="center" o:hrstd="t" o:hr="t" fillcolor="#a0a0a0" stroked="f"/>
        </w:pict>
      </w:r>
    </w:p>
    <w:p w14:paraId="2A0DF12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ויעש משה</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עשה</w:t>
      </w:r>
      <w:r w:rsidRPr="000A1689">
        <w:rPr>
          <w:rFonts w:eastAsia="Times New Roman" w:cs="Times New Roman"/>
          <w:rtl/>
          <w:lang w:eastAsia="de-DE"/>
        </w:rPr>
        <w:t xml:space="preserve"> </w:t>
      </w:r>
      <w:r w:rsidRPr="000A1689">
        <w:rPr>
          <w:rFonts w:eastAsia="Times New Roman" w:cs="Times New Roman"/>
          <w:lang w:eastAsia="de-DE"/>
        </w:rPr>
        <w:t xml:space="preserve">(tun/machen) im Qal-Imperfekt mit Waw-Konsekutiv, was die konsequente Ausführung der göttlichen Befehle anzeigt. Die Vergleichspartikel </w:t>
      </w:r>
      <w:r w:rsidRPr="000A1689">
        <w:rPr>
          <w:rFonts w:eastAsia="Times New Roman" w:cs="Times New Roman"/>
          <w:b/>
          <w:bCs/>
          <w:rtl/>
          <w:lang w:eastAsia="de-DE"/>
        </w:rPr>
        <w:t>כאשר</w:t>
      </w:r>
      <w:r w:rsidRPr="000A1689">
        <w:rPr>
          <w:rFonts w:eastAsia="Times New Roman" w:cs="Times New Roman"/>
          <w:rtl/>
          <w:lang w:eastAsia="de-DE"/>
        </w:rPr>
        <w:t xml:space="preserve"> </w:t>
      </w:r>
      <w:r w:rsidRPr="000A1689">
        <w:rPr>
          <w:rFonts w:eastAsia="Times New Roman" w:cs="Times New Roman"/>
          <w:lang w:eastAsia="de-DE"/>
        </w:rPr>
        <w:t xml:space="preserve">(wie/entsprechend) leitet einen Vergleichssatz ein, der Moses gehorsame Befolgung betont. </w:t>
      </w:r>
      <w:r w:rsidRPr="000A1689">
        <w:rPr>
          <w:rFonts w:eastAsia="Times New Roman" w:cs="Times New Roman"/>
          <w:b/>
          <w:bCs/>
          <w:rtl/>
          <w:lang w:eastAsia="de-DE"/>
        </w:rPr>
        <w:t>צוה יהוה אתו</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צוה</w:t>
      </w:r>
      <w:r w:rsidRPr="000A1689">
        <w:rPr>
          <w:rFonts w:eastAsia="Times New Roman" w:cs="Times New Roman"/>
          <w:rtl/>
          <w:lang w:eastAsia="de-DE"/>
        </w:rPr>
        <w:t xml:space="preserve"> </w:t>
      </w:r>
      <w:r w:rsidRPr="000A1689">
        <w:rPr>
          <w:rFonts w:eastAsia="Times New Roman" w:cs="Times New Roman"/>
          <w:lang w:eastAsia="de-DE"/>
        </w:rPr>
        <w:t xml:space="preserve">im Piel-Perfekt (er befahl) mit </w:t>
      </w:r>
      <w:r w:rsidRPr="000A1689">
        <w:rPr>
          <w:rFonts w:eastAsia="Times New Roman" w:cs="Times New Roman"/>
          <w:b/>
          <w:bCs/>
          <w:rtl/>
          <w:lang w:eastAsia="de-DE"/>
        </w:rPr>
        <w:t>יהוה</w:t>
      </w:r>
      <w:r w:rsidRPr="000A1689">
        <w:rPr>
          <w:rFonts w:eastAsia="Times New Roman" w:cs="Times New Roman"/>
          <w:rtl/>
          <w:lang w:eastAsia="de-DE"/>
        </w:rPr>
        <w:t xml:space="preserve"> </w:t>
      </w:r>
      <w:r w:rsidRPr="000A1689">
        <w:rPr>
          <w:rFonts w:eastAsia="Times New Roman" w:cs="Times New Roman"/>
          <w:lang w:eastAsia="de-DE"/>
        </w:rPr>
        <w:t xml:space="preserve">als Subjekt und </w:t>
      </w:r>
      <w:r w:rsidRPr="000A1689">
        <w:rPr>
          <w:rFonts w:eastAsia="Times New Roman" w:cs="Times New Roman"/>
          <w:b/>
          <w:bCs/>
          <w:rtl/>
          <w:lang w:eastAsia="de-DE"/>
        </w:rPr>
        <w:t>אתו</w:t>
      </w:r>
      <w:r w:rsidRPr="000A1689">
        <w:rPr>
          <w:rFonts w:eastAsia="Times New Roman" w:cs="Times New Roman"/>
          <w:rtl/>
          <w:lang w:eastAsia="de-DE"/>
        </w:rPr>
        <w:t xml:space="preserve"> </w:t>
      </w:r>
      <w:r w:rsidRPr="000A1689">
        <w:rPr>
          <w:rFonts w:eastAsia="Times New Roman" w:cs="Times New Roman"/>
          <w:lang w:eastAsia="de-DE"/>
        </w:rPr>
        <w:t>(ihm) als direktes Objekt, was die vorausgegangene göttliche Anweisung referenziert.</w:t>
      </w:r>
    </w:p>
    <w:p w14:paraId="73E87C9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Der zweite Satz </w:t>
      </w:r>
      <w:r w:rsidRPr="000A1689">
        <w:rPr>
          <w:rFonts w:eastAsia="Times New Roman" w:cs="Times New Roman"/>
          <w:b/>
          <w:bCs/>
          <w:rtl/>
          <w:lang w:eastAsia="de-DE"/>
        </w:rPr>
        <w:t>ותקהל העדה</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קהל</w:t>
      </w:r>
      <w:r w:rsidRPr="000A1689">
        <w:rPr>
          <w:rFonts w:eastAsia="Times New Roman" w:cs="Times New Roman"/>
          <w:rtl/>
          <w:lang w:eastAsia="de-DE"/>
        </w:rPr>
        <w:t xml:space="preserve"> </w:t>
      </w:r>
      <w:r w:rsidRPr="000A1689">
        <w:rPr>
          <w:rFonts w:eastAsia="Times New Roman" w:cs="Times New Roman"/>
          <w:lang w:eastAsia="de-DE"/>
        </w:rPr>
        <w:t xml:space="preserve">im Nifal-Imperfekt mit Waw-Konsekutiv, was die reflexive Versammlung der Gemeinde ausdrückt. Das Nifal signalisiert hier, dass sich die Gemeinde selbst versammelt als Antwort auf Moses Ruf. </w:t>
      </w:r>
      <w:r w:rsidRPr="000A1689">
        <w:rPr>
          <w:rFonts w:eastAsia="Times New Roman" w:cs="Times New Roman"/>
          <w:b/>
          <w:bCs/>
          <w:rtl/>
          <w:lang w:eastAsia="de-DE"/>
        </w:rPr>
        <w:t>העדה</w:t>
      </w:r>
      <w:r w:rsidRPr="000A1689">
        <w:rPr>
          <w:rFonts w:eastAsia="Times New Roman" w:cs="Times New Roman"/>
          <w:rtl/>
          <w:lang w:eastAsia="de-DE"/>
        </w:rPr>
        <w:t xml:space="preserve"> </w:t>
      </w:r>
      <w:r w:rsidRPr="000A1689">
        <w:rPr>
          <w:rFonts w:eastAsia="Times New Roman" w:cs="Times New Roman"/>
          <w:lang w:eastAsia="de-DE"/>
        </w:rPr>
        <w:t>(die Gemeinde) als Subjekt zeigt die positive Reaktion des Volkes.</w:t>
      </w:r>
    </w:p>
    <w:p w14:paraId="38FFB10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Ortsangabe </w:t>
      </w:r>
      <w:r w:rsidRPr="000A1689">
        <w:rPr>
          <w:rFonts w:eastAsia="Times New Roman" w:cs="Times New Roman"/>
          <w:b/>
          <w:bCs/>
          <w:rtl/>
          <w:lang w:eastAsia="de-DE"/>
        </w:rPr>
        <w:t>אל־פתח אהל מועד</w:t>
      </w:r>
      <w:r w:rsidRPr="000A1689">
        <w:rPr>
          <w:rFonts w:eastAsia="Times New Roman" w:cs="Times New Roman"/>
          <w:rtl/>
          <w:lang w:eastAsia="de-DE"/>
        </w:rPr>
        <w:t xml:space="preserve"> </w:t>
      </w:r>
      <w:r w:rsidRPr="000A1689">
        <w:rPr>
          <w:rFonts w:eastAsia="Times New Roman" w:cs="Times New Roman"/>
          <w:lang w:eastAsia="de-DE"/>
        </w:rPr>
        <w:t>wiederholt exakt V. 3 und bestätigt die erfolgreiche Ausführung. Der Parallelismus zwischen göttlichem Befehl (V. 2-3), menschlichem Gehorsam (V. 4a) und erfolgreichem Resultat (V. 4b) strukturiert den Vers.</w:t>
      </w:r>
    </w:p>
    <w:p w14:paraId="44361D4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ויעש</w:t>
      </w:r>
      <w:r w:rsidRPr="000A1689">
        <w:rPr>
          <w:rFonts w:eastAsia="Times New Roman" w:cs="Times New Roman"/>
          <w:rtl/>
          <w:lang w:eastAsia="de-DE"/>
        </w:rPr>
        <w:t xml:space="preserve"> </w:t>
      </w:r>
      <w:r w:rsidRPr="000A1689">
        <w:rPr>
          <w:rFonts w:eastAsia="Times New Roman" w:cs="Times New Roman"/>
          <w:lang w:eastAsia="de-DE"/>
        </w:rPr>
        <w:t>mit ἐπ</w:t>
      </w:r>
      <w:proofErr w:type="spellStart"/>
      <w:r w:rsidRPr="000A1689">
        <w:rPr>
          <w:rFonts w:eastAsia="Times New Roman" w:cs="Times New Roman"/>
          <w:lang w:eastAsia="de-DE"/>
        </w:rPr>
        <w:t>οίησεν</w:t>
      </w:r>
      <w:proofErr w:type="spellEnd"/>
      <w:r w:rsidRPr="000A1689">
        <w:rPr>
          <w:rFonts w:eastAsia="Times New Roman" w:cs="Times New Roman"/>
          <w:lang w:eastAsia="de-DE"/>
        </w:rPr>
        <w:t xml:space="preserve"> (er tat), </w:t>
      </w:r>
      <w:r w:rsidRPr="000A1689">
        <w:rPr>
          <w:rFonts w:eastAsia="Times New Roman" w:cs="Times New Roman"/>
          <w:b/>
          <w:bCs/>
          <w:rtl/>
          <w:lang w:eastAsia="de-DE"/>
        </w:rPr>
        <w:t>כאשר צוה</w:t>
      </w:r>
      <w:r w:rsidRPr="000A1689">
        <w:rPr>
          <w:rFonts w:eastAsia="Times New Roman" w:cs="Times New Roman"/>
          <w:rtl/>
          <w:lang w:eastAsia="de-DE"/>
        </w:rPr>
        <w:t xml:space="preserve"> </w:t>
      </w:r>
      <w:r w:rsidRPr="000A1689">
        <w:rPr>
          <w:rFonts w:eastAsia="Times New Roman" w:cs="Times New Roman"/>
          <w:lang w:eastAsia="de-DE"/>
        </w:rPr>
        <w:t>mit κα</w:t>
      </w:r>
      <w:proofErr w:type="spellStart"/>
      <w:r w:rsidRPr="000A1689">
        <w:rPr>
          <w:rFonts w:eastAsia="Times New Roman" w:cs="Times New Roman"/>
          <w:lang w:eastAsia="de-DE"/>
        </w:rPr>
        <w:t>θὰ</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ἐνετείλ</w:t>
      </w:r>
      <w:proofErr w:type="spellEnd"/>
      <w:r w:rsidRPr="000A1689">
        <w:rPr>
          <w:rFonts w:eastAsia="Times New Roman" w:cs="Times New Roman"/>
          <w:lang w:eastAsia="de-DE"/>
        </w:rPr>
        <w:t xml:space="preserve">ατο (wie er befohlen hatte) und </w:t>
      </w:r>
      <w:r w:rsidRPr="000A1689">
        <w:rPr>
          <w:rFonts w:eastAsia="Times New Roman" w:cs="Times New Roman"/>
          <w:b/>
          <w:bCs/>
          <w:rtl/>
          <w:lang w:eastAsia="de-DE"/>
        </w:rPr>
        <w:t>ותקהל</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συνηθροίσθη</w:t>
      </w:r>
      <w:proofErr w:type="spellEnd"/>
      <w:r w:rsidRPr="000A1689">
        <w:rPr>
          <w:rFonts w:eastAsia="Times New Roman" w:cs="Times New Roman"/>
          <w:lang w:eastAsia="de-DE"/>
        </w:rPr>
        <w:t xml:space="preserve"> (versammelte sich).</w:t>
      </w:r>
    </w:p>
    <w:p w14:paraId="6B0CE85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koordinierte Hauptsätze: 1) Subjekt + Verb + Vergleichssatz mit Subjekt + Verb + Objekt; 2) Verb + Subjekt + Ortsangabe. Die Struktur demonstriert Befehl-Gehorsam-Erfolg.</w:t>
      </w:r>
    </w:p>
    <w:p w14:paraId="6939D4AD"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bestätigt Moses treuen Gehorsam gegenüber den göttlichen Anweisungen und die erfolgreiche Mobilisierung der Gemeinde.</w:t>
      </w:r>
    </w:p>
    <w:p w14:paraId="6AA0DBEB"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8,5</w:t>
      </w:r>
    </w:p>
    <w:p w14:paraId="3821B5DD"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וַיֹּ֥אמֶר מֹשֶׁ֖ה אֶל־הָעֵדָ֑ה זֶ֣ה הַדָּבָ֔ר אֲשֶׁר־צִוָּ֥ה יְהוָ֖ה לַעֲשֽׂוֹת׃</w:t>
      </w:r>
    </w:p>
    <w:p w14:paraId="004AC3EB"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Mosche sprach zu der Gemeinde: Dies ist das Wort, das der Ewige zu tun geboten hat.</w:t>
      </w:r>
    </w:p>
    <w:p w14:paraId="4F4ABFAC"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442B5A0D">
          <v:rect id="_x0000_i1201" style="width:0;height:1.5pt" o:hralign="center" o:hrstd="t" o:hr="t" fillcolor="#a0a0a0" stroked="f"/>
        </w:pict>
      </w:r>
    </w:p>
    <w:p w14:paraId="01A8174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ויאמר משה אל־העדה</w:t>
      </w:r>
      <w:r w:rsidRPr="000A1689">
        <w:rPr>
          <w:rFonts w:eastAsia="Times New Roman" w:cs="Times New Roman"/>
          <w:rtl/>
          <w:lang w:eastAsia="de-DE"/>
        </w:rPr>
        <w:t xml:space="preserve"> </w:t>
      </w:r>
      <w:r w:rsidRPr="000A1689">
        <w:rPr>
          <w:rFonts w:eastAsia="Times New Roman" w:cs="Times New Roman"/>
          <w:lang w:eastAsia="de-DE"/>
        </w:rPr>
        <w:t xml:space="preserve">beginnt mit </w:t>
      </w:r>
      <w:r w:rsidRPr="000A1689">
        <w:rPr>
          <w:rFonts w:eastAsia="Times New Roman" w:cs="Times New Roman"/>
          <w:b/>
          <w:bCs/>
          <w:rtl/>
          <w:lang w:eastAsia="de-DE"/>
        </w:rPr>
        <w:t>אמר</w:t>
      </w:r>
      <w:r w:rsidRPr="000A1689">
        <w:rPr>
          <w:rFonts w:eastAsia="Times New Roman" w:cs="Times New Roman"/>
          <w:rtl/>
          <w:lang w:eastAsia="de-DE"/>
        </w:rPr>
        <w:t xml:space="preserve"> </w:t>
      </w:r>
      <w:r w:rsidRPr="000A1689">
        <w:rPr>
          <w:rFonts w:eastAsia="Times New Roman" w:cs="Times New Roman"/>
          <w:lang w:eastAsia="de-DE"/>
        </w:rPr>
        <w:t xml:space="preserve">im Qal-Imperfekt mit Waw-Konsekutiv, was die direkte Ansprache Moses an die versammelte Gemeinde einleitet. Die Präposition </w:t>
      </w:r>
      <w:r w:rsidRPr="000A1689">
        <w:rPr>
          <w:rFonts w:eastAsia="Times New Roman" w:cs="Times New Roman"/>
          <w:b/>
          <w:bCs/>
          <w:rtl/>
          <w:lang w:eastAsia="de-DE"/>
        </w:rPr>
        <w:t>אל</w:t>
      </w:r>
      <w:r w:rsidRPr="000A1689">
        <w:rPr>
          <w:rFonts w:eastAsia="Times New Roman" w:cs="Times New Roman"/>
          <w:rtl/>
          <w:lang w:eastAsia="de-DE"/>
        </w:rPr>
        <w:t xml:space="preserve"> </w:t>
      </w:r>
      <w:r w:rsidRPr="000A1689">
        <w:rPr>
          <w:rFonts w:eastAsia="Times New Roman" w:cs="Times New Roman"/>
          <w:lang w:eastAsia="de-DE"/>
        </w:rPr>
        <w:t xml:space="preserve">zeigt die Richtung der Kommunikation zur Gemeinde hin. </w:t>
      </w:r>
      <w:r w:rsidRPr="000A1689">
        <w:rPr>
          <w:rFonts w:eastAsia="Times New Roman" w:cs="Times New Roman"/>
          <w:b/>
          <w:bCs/>
          <w:rtl/>
          <w:lang w:eastAsia="de-DE"/>
        </w:rPr>
        <w:t>זה הדבר</w:t>
      </w:r>
      <w:r w:rsidRPr="000A1689">
        <w:rPr>
          <w:rFonts w:eastAsia="Times New Roman" w:cs="Times New Roman"/>
          <w:rtl/>
          <w:lang w:eastAsia="de-DE"/>
        </w:rPr>
        <w:t xml:space="preserve"> </w:t>
      </w:r>
      <w:r w:rsidRPr="000A1689">
        <w:rPr>
          <w:rFonts w:eastAsia="Times New Roman" w:cs="Times New Roman"/>
          <w:lang w:eastAsia="de-DE"/>
        </w:rPr>
        <w:t xml:space="preserve">bildet eine demonstrative Konstruktion mit dem Demonstrativpronomen </w:t>
      </w:r>
      <w:r w:rsidRPr="000A1689">
        <w:rPr>
          <w:rFonts w:eastAsia="Times New Roman" w:cs="Times New Roman"/>
          <w:b/>
          <w:bCs/>
          <w:rtl/>
          <w:lang w:eastAsia="de-DE"/>
        </w:rPr>
        <w:t>זה</w:t>
      </w:r>
      <w:r w:rsidRPr="000A1689">
        <w:rPr>
          <w:rFonts w:eastAsia="Times New Roman" w:cs="Times New Roman"/>
          <w:rtl/>
          <w:lang w:eastAsia="de-DE"/>
        </w:rPr>
        <w:t xml:space="preserve"> </w:t>
      </w:r>
      <w:r w:rsidRPr="000A1689">
        <w:rPr>
          <w:rFonts w:eastAsia="Times New Roman" w:cs="Times New Roman"/>
          <w:lang w:eastAsia="de-DE"/>
        </w:rPr>
        <w:t xml:space="preserve">(dies) und dem Substantiv </w:t>
      </w:r>
      <w:r w:rsidRPr="000A1689">
        <w:rPr>
          <w:rFonts w:eastAsia="Times New Roman" w:cs="Times New Roman"/>
          <w:b/>
          <w:bCs/>
          <w:rtl/>
          <w:lang w:eastAsia="de-DE"/>
        </w:rPr>
        <w:t>דבר</w:t>
      </w:r>
      <w:r w:rsidRPr="000A1689">
        <w:rPr>
          <w:rFonts w:eastAsia="Times New Roman" w:cs="Times New Roman"/>
          <w:rtl/>
          <w:lang w:eastAsia="de-DE"/>
        </w:rPr>
        <w:t xml:space="preserve"> </w:t>
      </w:r>
      <w:r w:rsidRPr="000A1689">
        <w:rPr>
          <w:rFonts w:eastAsia="Times New Roman" w:cs="Times New Roman"/>
          <w:lang w:eastAsia="de-DE"/>
        </w:rPr>
        <w:t>(Wort/Sache), was auf die folgende Zeremonie verweist.</w:t>
      </w:r>
    </w:p>
    <w:p w14:paraId="289104D0"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Der Relativsatz </w:t>
      </w:r>
      <w:r w:rsidRPr="000A1689">
        <w:rPr>
          <w:rFonts w:eastAsia="Times New Roman" w:cs="Times New Roman"/>
          <w:b/>
          <w:bCs/>
          <w:rtl/>
          <w:lang w:eastAsia="de-DE"/>
        </w:rPr>
        <w:t>אשר־צוה יהוה לעשות</w:t>
      </w:r>
      <w:r w:rsidRPr="000A1689">
        <w:rPr>
          <w:rFonts w:eastAsia="Times New Roman" w:cs="Times New Roman"/>
          <w:rtl/>
          <w:lang w:eastAsia="de-DE"/>
        </w:rPr>
        <w:t xml:space="preserve"> </w:t>
      </w:r>
      <w:r w:rsidRPr="000A1689">
        <w:rPr>
          <w:rFonts w:eastAsia="Times New Roman" w:cs="Times New Roman"/>
          <w:lang w:eastAsia="de-DE"/>
        </w:rPr>
        <w:t xml:space="preserve">erklärt das </w:t>
      </w:r>
      <w:r w:rsidRPr="000A1689">
        <w:rPr>
          <w:rFonts w:eastAsia="Times New Roman" w:cs="Times New Roman"/>
          <w:b/>
          <w:bCs/>
          <w:rtl/>
          <w:lang w:eastAsia="de-DE"/>
        </w:rPr>
        <w:t>דבר</w:t>
      </w:r>
      <w:r w:rsidRPr="000A1689">
        <w:rPr>
          <w:rFonts w:eastAsia="Times New Roman" w:cs="Times New Roman"/>
          <w:rtl/>
          <w:lang w:eastAsia="de-DE"/>
        </w:rPr>
        <w:t xml:space="preserve"> </w:t>
      </w:r>
      <w:r w:rsidRPr="000A1689">
        <w:rPr>
          <w:rFonts w:eastAsia="Times New Roman" w:cs="Times New Roman"/>
          <w:lang w:eastAsia="de-DE"/>
        </w:rPr>
        <w:t xml:space="preserve">näher. </w:t>
      </w:r>
      <w:r w:rsidRPr="000A1689">
        <w:rPr>
          <w:rFonts w:eastAsia="Times New Roman" w:cs="Times New Roman"/>
          <w:b/>
          <w:bCs/>
          <w:rtl/>
          <w:lang w:eastAsia="de-DE"/>
        </w:rPr>
        <w:t>צוה</w:t>
      </w:r>
      <w:r w:rsidRPr="000A1689">
        <w:rPr>
          <w:rFonts w:eastAsia="Times New Roman" w:cs="Times New Roman"/>
          <w:rtl/>
          <w:lang w:eastAsia="de-DE"/>
        </w:rPr>
        <w:t xml:space="preserve"> </w:t>
      </w:r>
      <w:r w:rsidRPr="000A1689">
        <w:rPr>
          <w:rFonts w:eastAsia="Times New Roman" w:cs="Times New Roman"/>
          <w:lang w:eastAsia="de-DE"/>
        </w:rPr>
        <w:t xml:space="preserve">steht im Piel-Perfekt (er befahl) mit </w:t>
      </w:r>
      <w:r w:rsidRPr="000A1689">
        <w:rPr>
          <w:rFonts w:eastAsia="Times New Roman" w:cs="Times New Roman"/>
          <w:b/>
          <w:bCs/>
          <w:rtl/>
          <w:lang w:eastAsia="de-DE"/>
        </w:rPr>
        <w:t>יהוה</w:t>
      </w:r>
      <w:r w:rsidRPr="000A1689">
        <w:rPr>
          <w:rFonts w:eastAsia="Times New Roman" w:cs="Times New Roman"/>
          <w:rtl/>
          <w:lang w:eastAsia="de-DE"/>
        </w:rPr>
        <w:t xml:space="preserve"> </w:t>
      </w:r>
      <w:r w:rsidRPr="000A1689">
        <w:rPr>
          <w:rFonts w:eastAsia="Times New Roman" w:cs="Times New Roman"/>
          <w:lang w:eastAsia="de-DE"/>
        </w:rPr>
        <w:t xml:space="preserve">als Subjekt. Der Infinitiv </w:t>
      </w:r>
      <w:r w:rsidRPr="000A1689">
        <w:rPr>
          <w:rFonts w:eastAsia="Times New Roman" w:cs="Times New Roman"/>
          <w:b/>
          <w:bCs/>
          <w:rtl/>
          <w:lang w:eastAsia="de-DE"/>
        </w:rPr>
        <w:t>לעשות</w:t>
      </w:r>
      <w:r w:rsidRPr="000A1689">
        <w:rPr>
          <w:rFonts w:eastAsia="Times New Roman" w:cs="Times New Roman"/>
          <w:rtl/>
          <w:lang w:eastAsia="de-DE"/>
        </w:rPr>
        <w:t xml:space="preserve"> </w:t>
      </w:r>
      <w:r w:rsidRPr="000A1689">
        <w:rPr>
          <w:rFonts w:eastAsia="Times New Roman" w:cs="Times New Roman"/>
          <w:lang w:eastAsia="de-DE"/>
        </w:rPr>
        <w:t xml:space="preserve">(zu tun) von </w:t>
      </w:r>
      <w:r w:rsidRPr="000A1689">
        <w:rPr>
          <w:rFonts w:eastAsia="Times New Roman" w:cs="Times New Roman"/>
          <w:b/>
          <w:bCs/>
          <w:rtl/>
          <w:lang w:eastAsia="de-DE"/>
        </w:rPr>
        <w:t>עשה</w:t>
      </w:r>
      <w:r w:rsidRPr="000A1689">
        <w:rPr>
          <w:rFonts w:eastAsia="Times New Roman" w:cs="Times New Roman"/>
          <w:rtl/>
          <w:lang w:eastAsia="de-DE"/>
        </w:rPr>
        <w:t xml:space="preserve"> </w:t>
      </w:r>
      <w:r w:rsidRPr="000A1689">
        <w:rPr>
          <w:rFonts w:eastAsia="Times New Roman" w:cs="Times New Roman"/>
          <w:lang w:eastAsia="de-DE"/>
        </w:rPr>
        <w:t xml:space="preserve">mit der Präposition </w:t>
      </w:r>
      <w:r w:rsidRPr="000A1689">
        <w:rPr>
          <w:rFonts w:eastAsia="Times New Roman" w:cs="Times New Roman"/>
          <w:b/>
          <w:bCs/>
          <w:rtl/>
          <w:lang w:eastAsia="de-DE"/>
        </w:rPr>
        <w:t>ל</w:t>
      </w:r>
      <w:r w:rsidRPr="000A1689">
        <w:rPr>
          <w:rFonts w:eastAsia="Times New Roman" w:cs="Times New Roman"/>
          <w:rtl/>
          <w:lang w:eastAsia="de-DE"/>
        </w:rPr>
        <w:t xml:space="preserve"> </w:t>
      </w:r>
      <w:r w:rsidRPr="000A1689">
        <w:rPr>
          <w:rFonts w:eastAsia="Times New Roman" w:cs="Times New Roman"/>
          <w:lang w:eastAsia="de-DE"/>
        </w:rPr>
        <w:t xml:space="preserve">drückt den </w:t>
      </w:r>
      <w:r w:rsidRPr="000A1689">
        <w:rPr>
          <w:rFonts w:eastAsia="Times New Roman" w:cs="Times New Roman"/>
          <w:lang w:eastAsia="de-DE"/>
        </w:rPr>
        <w:lastRenderedPageBreak/>
        <w:t xml:space="preserve">Zweck oder Inhalt des göttlichen Befehls aus. Die Konstruktion </w:t>
      </w:r>
      <w:r w:rsidRPr="000A1689">
        <w:rPr>
          <w:rFonts w:eastAsia="Times New Roman" w:cs="Times New Roman"/>
          <w:b/>
          <w:bCs/>
          <w:rtl/>
          <w:lang w:eastAsia="de-DE"/>
        </w:rPr>
        <w:t>צוה...לעשות</w:t>
      </w:r>
      <w:r w:rsidRPr="000A1689">
        <w:rPr>
          <w:rFonts w:eastAsia="Times New Roman" w:cs="Times New Roman"/>
          <w:rtl/>
          <w:lang w:eastAsia="de-DE"/>
        </w:rPr>
        <w:t xml:space="preserve"> </w:t>
      </w:r>
      <w:r w:rsidRPr="000A1689">
        <w:rPr>
          <w:rFonts w:eastAsia="Times New Roman" w:cs="Times New Roman"/>
          <w:lang w:eastAsia="de-DE"/>
        </w:rPr>
        <w:t>(befahl...zu tun) ist eine häufige Wendung für göttliche Anweisungen.</w:t>
      </w:r>
    </w:p>
    <w:p w14:paraId="5E725E2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Das demonstrative </w:t>
      </w:r>
      <w:r w:rsidRPr="000A1689">
        <w:rPr>
          <w:rFonts w:eastAsia="Times New Roman" w:cs="Times New Roman"/>
          <w:b/>
          <w:bCs/>
          <w:rtl/>
          <w:lang w:eastAsia="de-DE"/>
        </w:rPr>
        <w:t>זה</w:t>
      </w:r>
      <w:r w:rsidRPr="000A1689">
        <w:rPr>
          <w:rFonts w:eastAsia="Times New Roman" w:cs="Times New Roman"/>
          <w:rtl/>
          <w:lang w:eastAsia="de-DE"/>
        </w:rPr>
        <w:t xml:space="preserve"> </w:t>
      </w:r>
      <w:r w:rsidRPr="000A1689">
        <w:rPr>
          <w:rFonts w:eastAsia="Times New Roman" w:cs="Times New Roman"/>
          <w:lang w:eastAsia="de-DE"/>
        </w:rPr>
        <w:t>weist präsentisch auf die unmittelbar folgende Handlung hin und verleiht der Proklamation feierlichen Charakter. Die öffentliche Legitimationsformel etabliert die göttliche Autorität der Priesterweihe vor den Augen der ganzen Gemeinde.</w:t>
      </w:r>
    </w:p>
    <w:p w14:paraId="6491F0A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זה הדבר</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τοῦτο</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τὸ</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ῥῆμ</w:t>
      </w:r>
      <w:proofErr w:type="spellEnd"/>
      <w:r w:rsidRPr="000A1689">
        <w:rPr>
          <w:rFonts w:eastAsia="Times New Roman" w:cs="Times New Roman"/>
          <w:lang w:eastAsia="de-DE"/>
        </w:rPr>
        <w:t xml:space="preserve">α (dies ist das Wort), </w:t>
      </w:r>
      <w:r w:rsidRPr="000A1689">
        <w:rPr>
          <w:rFonts w:eastAsia="Times New Roman" w:cs="Times New Roman"/>
          <w:b/>
          <w:bCs/>
          <w:rtl/>
          <w:lang w:eastAsia="de-DE"/>
        </w:rPr>
        <w:t>צוה</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ἐνετείλ</w:t>
      </w:r>
      <w:proofErr w:type="spellEnd"/>
      <w:r w:rsidRPr="000A1689">
        <w:rPr>
          <w:rFonts w:eastAsia="Times New Roman" w:cs="Times New Roman"/>
          <w:lang w:eastAsia="de-DE"/>
        </w:rPr>
        <w:t xml:space="preserve">ατο (er befahl) und </w:t>
      </w:r>
      <w:r w:rsidRPr="000A1689">
        <w:rPr>
          <w:rFonts w:eastAsia="Times New Roman" w:cs="Times New Roman"/>
          <w:b/>
          <w:bCs/>
          <w:rtl/>
          <w:lang w:eastAsia="de-DE"/>
        </w:rPr>
        <w:t>לעשות</w:t>
      </w:r>
      <w:r w:rsidRPr="000A1689">
        <w:rPr>
          <w:rFonts w:eastAsia="Times New Roman" w:cs="Times New Roman"/>
          <w:rtl/>
          <w:lang w:eastAsia="de-DE"/>
        </w:rPr>
        <w:t xml:space="preserve"> </w:t>
      </w:r>
      <w:r w:rsidRPr="000A1689">
        <w:rPr>
          <w:rFonts w:eastAsia="Times New Roman" w:cs="Times New Roman"/>
          <w:lang w:eastAsia="de-DE"/>
        </w:rPr>
        <w:t>mit π</w:t>
      </w:r>
      <w:proofErr w:type="spellStart"/>
      <w:r w:rsidRPr="000A1689">
        <w:rPr>
          <w:rFonts w:eastAsia="Times New Roman" w:cs="Times New Roman"/>
          <w:lang w:eastAsia="de-DE"/>
        </w:rPr>
        <w:t>οιῆσ</w:t>
      </w:r>
      <w:proofErr w:type="spellEnd"/>
      <w:r w:rsidRPr="000A1689">
        <w:rPr>
          <w:rFonts w:eastAsia="Times New Roman" w:cs="Times New Roman"/>
          <w:lang w:eastAsia="de-DE"/>
        </w:rPr>
        <w:t>αι (zu tun).</w:t>
      </w:r>
    </w:p>
    <w:p w14:paraId="4DCA95A7"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einen Hauptsatz mit direkter Rede: Verb + Subjekt + Adressat + demonstrative Proklamation + Relativsatz mit Subjekt + Verb + Infinitiv. Die Struktur legitimiert die folgende Zeremonie durch göttliche Autorität.</w:t>
      </w:r>
    </w:p>
    <w:p w14:paraId="6FDC1715"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fungiert als öffentliche Legitimationsformel, die die nachfolgende Priesterweihe als göttlich autorisierte Handlung proklamiert.</w:t>
      </w:r>
    </w:p>
    <w:p w14:paraId="696E84A6"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8,6</w:t>
      </w:r>
    </w:p>
    <w:p w14:paraId="4FE3D69B"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וַיַּקְרֵ֣ב מֹשֶׁ֔ה אֶֽת־אַהֲרֹ֖ן וְאֶת־בָּנָ֑יו וַיִּרְחַ֥ץ אֹתָ֖ם בַּמָּֽיִם׃</w:t>
      </w:r>
    </w:p>
    <w:p w14:paraId="72ACCD46"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Mosche ließ Aaron und seine Söhne herantreten und wusch sie mit Wasser.</w:t>
      </w:r>
    </w:p>
    <w:p w14:paraId="6A4BF5E1"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4E2A6B9B">
          <v:rect id="_x0000_i1202" style="width:0;height:1.5pt" o:hralign="center" o:hrstd="t" o:hr="t" fillcolor="#a0a0a0" stroked="f"/>
        </w:pict>
      </w:r>
    </w:p>
    <w:p w14:paraId="7F24B7E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ויקרב משה</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קרב</w:t>
      </w:r>
      <w:r w:rsidRPr="000A1689">
        <w:rPr>
          <w:rFonts w:eastAsia="Times New Roman" w:cs="Times New Roman"/>
          <w:rtl/>
          <w:lang w:eastAsia="de-DE"/>
        </w:rPr>
        <w:t xml:space="preserve"> </w:t>
      </w:r>
      <w:r w:rsidRPr="000A1689">
        <w:rPr>
          <w:rFonts w:eastAsia="Times New Roman" w:cs="Times New Roman"/>
          <w:lang w:eastAsia="de-DE"/>
        </w:rPr>
        <w:t xml:space="preserve">im Hifil-Imperfekt mit Waw-Konsekutiv, was die kausative Bedeutung "heranführen/nahe bringen lassen" ausdrückt. Das Hifil signalisiert, dass Mosche Aaron und seine Söhne aktiv zum heiligen Bereich führt. </w:t>
      </w:r>
      <w:r w:rsidRPr="000A1689">
        <w:rPr>
          <w:rFonts w:eastAsia="Times New Roman" w:cs="Times New Roman"/>
          <w:b/>
          <w:bCs/>
          <w:rtl/>
          <w:lang w:eastAsia="de-DE"/>
        </w:rPr>
        <w:t>את־אהרן ואת־בניו</w:t>
      </w:r>
      <w:r w:rsidRPr="000A1689">
        <w:rPr>
          <w:rFonts w:eastAsia="Times New Roman" w:cs="Times New Roman"/>
          <w:rtl/>
          <w:lang w:eastAsia="de-DE"/>
        </w:rPr>
        <w:t xml:space="preserve"> </w:t>
      </w:r>
      <w:r w:rsidRPr="000A1689">
        <w:rPr>
          <w:rFonts w:eastAsia="Times New Roman" w:cs="Times New Roman"/>
          <w:lang w:eastAsia="de-DE"/>
        </w:rPr>
        <w:t xml:space="preserve">bildet das direkte Objekt mit doppelter Nota accusativi, wobei die Koordination durch </w:t>
      </w:r>
      <w:r w:rsidRPr="000A1689">
        <w:rPr>
          <w:rFonts w:eastAsia="Times New Roman" w:cs="Times New Roman"/>
          <w:b/>
          <w:bCs/>
          <w:rtl/>
          <w:lang w:eastAsia="de-DE"/>
        </w:rPr>
        <w:t>ו</w:t>
      </w:r>
      <w:r w:rsidRPr="000A1689">
        <w:rPr>
          <w:rFonts w:eastAsia="Times New Roman" w:cs="Times New Roman"/>
          <w:rtl/>
          <w:lang w:eastAsia="de-DE"/>
        </w:rPr>
        <w:t xml:space="preserve"> </w:t>
      </w:r>
      <w:r w:rsidRPr="000A1689">
        <w:rPr>
          <w:rFonts w:eastAsia="Times New Roman" w:cs="Times New Roman"/>
          <w:lang w:eastAsia="de-DE"/>
        </w:rPr>
        <w:t>beide Generationen der priesterlichen Familie einschließt.</w:t>
      </w:r>
    </w:p>
    <w:p w14:paraId="3EAF8909"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וירחץ אתם במים</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רחץ</w:t>
      </w:r>
      <w:r w:rsidRPr="000A1689">
        <w:rPr>
          <w:rFonts w:eastAsia="Times New Roman" w:cs="Times New Roman"/>
          <w:rtl/>
          <w:lang w:eastAsia="de-DE"/>
        </w:rPr>
        <w:t xml:space="preserve"> </w:t>
      </w:r>
      <w:r w:rsidRPr="000A1689">
        <w:rPr>
          <w:rFonts w:eastAsia="Times New Roman" w:cs="Times New Roman"/>
          <w:lang w:eastAsia="de-DE"/>
        </w:rPr>
        <w:t xml:space="preserve">(waschen) im Qal-Imperfekt mit Waw-Konsekutiv. Das Pronomen </w:t>
      </w:r>
      <w:r w:rsidRPr="000A1689">
        <w:rPr>
          <w:rFonts w:eastAsia="Times New Roman" w:cs="Times New Roman"/>
          <w:b/>
          <w:bCs/>
          <w:rtl/>
          <w:lang w:eastAsia="de-DE"/>
        </w:rPr>
        <w:t>אתם</w:t>
      </w:r>
      <w:r w:rsidRPr="000A1689">
        <w:rPr>
          <w:rFonts w:eastAsia="Times New Roman" w:cs="Times New Roman"/>
          <w:rtl/>
          <w:lang w:eastAsia="de-DE"/>
        </w:rPr>
        <w:t xml:space="preserve"> </w:t>
      </w:r>
      <w:r w:rsidRPr="000A1689">
        <w:rPr>
          <w:rFonts w:eastAsia="Times New Roman" w:cs="Times New Roman"/>
          <w:lang w:eastAsia="de-DE"/>
        </w:rPr>
        <w:t xml:space="preserve">(sie) referenziert sowohl Aaron als auch seine Söhne. Die Präpositionalphrase </w:t>
      </w:r>
      <w:r w:rsidRPr="000A1689">
        <w:rPr>
          <w:rFonts w:eastAsia="Times New Roman" w:cs="Times New Roman"/>
          <w:b/>
          <w:bCs/>
          <w:rtl/>
          <w:lang w:eastAsia="de-DE"/>
        </w:rPr>
        <w:t>במים</w:t>
      </w:r>
      <w:r w:rsidRPr="000A1689">
        <w:rPr>
          <w:rFonts w:eastAsia="Times New Roman" w:cs="Times New Roman"/>
          <w:rtl/>
          <w:lang w:eastAsia="de-DE"/>
        </w:rPr>
        <w:t xml:space="preserve"> </w:t>
      </w:r>
      <w:r w:rsidRPr="000A1689">
        <w:rPr>
          <w:rFonts w:eastAsia="Times New Roman" w:cs="Times New Roman"/>
          <w:lang w:eastAsia="de-DE"/>
        </w:rPr>
        <w:t>(mit Wasser) gibt das Reinigungsmittel an. Diese rituelle Waschung entspricht der Anweisung in Exodus 29,4 und dient der kultischen Reinigung vor der Bekleidung mit den heiligen Gewändern.</w:t>
      </w:r>
    </w:p>
    <w:p w14:paraId="6F28E4A0" w14:textId="790464EC"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Abfolge zeigt die systematische Vorbereitung: erst Heranführung, dann Reinigung. </w:t>
      </w:r>
      <w:r w:rsidRPr="000A1689">
        <w:rPr>
          <w:rFonts w:eastAsia="Times New Roman" w:cs="Times New Roman"/>
          <w:b/>
          <w:bCs/>
          <w:rtl/>
          <w:lang w:eastAsia="de-DE"/>
        </w:rPr>
        <w:t>במים</w:t>
      </w:r>
      <w:r w:rsidRPr="000A1689">
        <w:rPr>
          <w:rFonts w:eastAsia="Times New Roman" w:cs="Times New Roman"/>
          <w:rtl/>
          <w:lang w:eastAsia="de-DE"/>
        </w:rPr>
        <w:t xml:space="preserve"> </w:t>
      </w:r>
      <w:r w:rsidRPr="000A1689">
        <w:rPr>
          <w:rFonts w:eastAsia="Times New Roman" w:cs="Times New Roman"/>
          <w:lang w:eastAsia="de-DE"/>
        </w:rPr>
        <w:t xml:space="preserve">verwendet die einfache Präposition </w:t>
      </w:r>
      <w:r w:rsidRPr="000A1689">
        <w:rPr>
          <w:rFonts w:eastAsia="Times New Roman" w:cs="Times New Roman"/>
          <w:b/>
          <w:bCs/>
          <w:rtl/>
          <w:lang w:eastAsia="de-DE"/>
        </w:rPr>
        <w:t>ב</w:t>
      </w:r>
      <w:r w:rsidRPr="000A1689">
        <w:rPr>
          <w:rFonts w:eastAsia="Times New Roman" w:cs="Times New Roman"/>
          <w:rtl/>
          <w:lang w:eastAsia="de-DE"/>
        </w:rPr>
        <w:t xml:space="preserve"> </w:t>
      </w:r>
      <w:r w:rsidR="0050276D">
        <w:rPr>
          <w:rFonts w:eastAsia="Times New Roman" w:cs="Times New Roman"/>
          <w:lang w:eastAsia="de-DE"/>
        </w:rPr>
        <w:t xml:space="preserve"> </w:t>
      </w:r>
      <w:r w:rsidRPr="000A1689">
        <w:rPr>
          <w:rFonts w:eastAsia="Times New Roman" w:cs="Times New Roman"/>
          <w:lang w:eastAsia="de-DE"/>
        </w:rPr>
        <w:t>instrumentalis, was zeigt, dass gewöhnliches Wasser für die rituelle Reinigung verwendet wird, nicht kultisch geweihtes Wasser.</w:t>
      </w:r>
    </w:p>
    <w:p w14:paraId="0ED7BD79"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ויקרב</w:t>
      </w:r>
      <w:r w:rsidRPr="000A1689">
        <w:rPr>
          <w:rFonts w:eastAsia="Times New Roman" w:cs="Times New Roman"/>
          <w:rtl/>
          <w:lang w:eastAsia="de-DE"/>
        </w:rPr>
        <w:t xml:space="preserve"> </w:t>
      </w:r>
      <w:r w:rsidRPr="000A1689">
        <w:rPr>
          <w:rFonts w:eastAsia="Times New Roman" w:cs="Times New Roman"/>
          <w:lang w:eastAsia="de-DE"/>
        </w:rPr>
        <w:t>mit π</w:t>
      </w:r>
      <w:proofErr w:type="spellStart"/>
      <w:r w:rsidRPr="000A1689">
        <w:rPr>
          <w:rFonts w:eastAsia="Times New Roman" w:cs="Times New Roman"/>
          <w:lang w:eastAsia="de-DE"/>
        </w:rPr>
        <w:t>ροσήγ</w:t>
      </w:r>
      <w:proofErr w:type="spellEnd"/>
      <w:r w:rsidRPr="000A1689">
        <w:rPr>
          <w:rFonts w:eastAsia="Times New Roman" w:cs="Times New Roman"/>
          <w:lang w:eastAsia="de-DE"/>
        </w:rPr>
        <w:t xml:space="preserve">αγεν (er führte heran), </w:t>
      </w:r>
      <w:r w:rsidRPr="000A1689">
        <w:rPr>
          <w:rFonts w:eastAsia="Times New Roman" w:cs="Times New Roman"/>
          <w:b/>
          <w:bCs/>
          <w:rtl/>
          <w:lang w:eastAsia="de-DE"/>
        </w:rPr>
        <w:t>וירחץ</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ἔλουσεν</w:t>
      </w:r>
      <w:proofErr w:type="spellEnd"/>
      <w:r w:rsidRPr="000A1689">
        <w:rPr>
          <w:rFonts w:eastAsia="Times New Roman" w:cs="Times New Roman"/>
          <w:lang w:eastAsia="de-DE"/>
        </w:rPr>
        <w:t xml:space="preserve"> (er wusch) und </w:t>
      </w:r>
      <w:r w:rsidRPr="000A1689">
        <w:rPr>
          <w:rFonts w:eastAsia="Times New Roman" w:cs="Times New Roman"/>
          <w:b/>
          <w:bCs/>
          <w:rtl/>
          <w:lang w:eastAsia="de-DE"/>
        </w:rPr>
        <w:t>במים</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ὕδ</w:t>
      </w:r>
      <w:proofErr w:type="spellEnd"/>
      <w:r w:rsidRPr="000A1689">
        <w:rPr>
          <w:rFonts w:eastAsia="Times New Roman" w:cs="Times New Roman"/>
          <w:lang w:eastAsia="de-DE"/>
        </w:rPr>
        <w:t>ατι (mit Wasser).</w:t>
      </w:r>
    </w:p>
    <w:p w14:paraId="058C7B7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koordinierte Hauptsätze: 1) Verb + Subjekt + direktes Objekt; 2) Verb + direktes Objekt + Instrumentalangabe. Die Struktur zeigt die sequentielle Abfolge der Weihevorbereitungen.</w:t>
      </w:r>
    </w:p>
    <w:p w14:paraId="79683F2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lastRenderedPageBreak/>
        <w:t>Dieser Vers beginnt die konkrete Priesterweihe mit der rituellen Heranführung und Reinigung als Vorbereitung für die Bekleidung mit den heiligen Gewändern.</w:t>
      </w:r>
    </w:p>
    <w:p w14:paraId="2F4C3967"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8,7</w:t>
      </w:r>
    </w:p>
    <w:p w14:paraId="1A42E3BC"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וַיִּתֵּ֨ן עָלָ֜יו אֶת־הַכֻּתֹּ֗נֶת וַיַּחְגֹּ֤ר אֹתוֹ֙ בָּֽאַבְנֵ֔ט וַיַּלְבֵּ֤שׁ אֹתוֹ֙ אֶֽת־הַמְּעִ֔יל וַיִּתֵּ֥ן עָלָ֖יו אֶת־הָאֵפֹ֑ד וַיַּחְגֹּ֣ר אֹתוֹ֗ בְּחֵ֨שֶׁב֙ הָֽאֵפֹ֔ד וַיֶּאְפֹּ֥ד לוֹ֖ בּוֹֽ׃</w:t>
      </w:r>
    </w:p>
    <w:p w14:paraId="1327696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er legte ihm den Leibrock an und umgürtete ihn mit dem Gürtel; und er bekleidete ihn mit dem Oberkleid und zog ihm das Ephod an und umgürtete ihn mit dem gewirkten Gürtel des Ephods und band es ihm damit an;</w:t>
      </w:r>
    </w:p>
    <w:p w14:paraId="6A047B66"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4C6EECB4">
          <v:rect id="_x0000_i1203" style="width:0;height:1.5pt" o:hralign="center" o:hrstd="t" o:hr="t" fillcolor="#a0a0a0" stroked="f"/>
        </w:pict>
      </w:r>
    </w:p>
    <w:p w14:paraId="48FEDB1C"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Dieser Vers beschreibt systematisch Aarons Bekleidung mit den hohepriesterlichen Gewändern in fünf koordinierten Handlungen. </w:t>
      </w:r>
      <w:r w:rsidRPr="000A1689">
        <w:rPr>
          <w:rFonts w:eastAsia="Times New Roman" w:cs="Times New Roman"/>
          <w:b/>
          <w:bCs/>
          <w:rtl/>
          <w:lang w:eastAsia="de-DE"/>
        </w:rPr>
        <w:t>ויתן עליו את־הכתנת</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נתן</w:t>
      </w:r>
      <w:r w:rsidRPr="000A1689">
        <w:rPr>
          <w:rFonts w:eastAsia="Times New Roman" w:cs="Times New Roman"/>
          <w:rtl/>
          <w:lang w:eastAsia="de-DE"/>
        </w:rPr>
        <w:t xml:space="preserve"> </w:t>
      </w:r>
      <w:r w:rsidRPr="000A1689">
        <w:rPr>
          <w:rFonts w:eastAsia="Times New Roman" w:cs="Times New Roman"/>
          <w:lang w:eastAsia="de-DE"/>
        </w:rPr>
        <w:t xml:space="preserve">(geben/legen) im Qal-Imperfekt mit Waw-Konsekutiv, wobei </w:t>
      </w:r>
      <w:r w:rsidRPr="000A1689">
        <w:rPr>
          <w:rFonts w:eastAsia="Times New Roman" w:cs="Times New Roman"/>
          <w:b/>
          <w:bCs/>
          <w:rtl/>
          <w:lang w:eastAsia="de-DE"/>
        </w:rPr>
        <w:t>עליו</w:t>
      </w:r>
      <w:r w:rsidRPr="000A1689">
        <w:rPr>
          <w:rFonts w:eastAsia="Times New Roman" w:cs="Times New Roman"/>
          <w:rtl/>
          <w:lang w:eastAsia="de-DE"/>
        </w:rPr>
        <w:t xml:space="preserve"> </w:t>
      </w:r>
      <w:r w:rsidRPr="000A1689">
        <w:rPr>
          <w:rFonts w:eastAsia="Times New Roman" w:cs="Times New Roman"/>
          <w:lang w:eastAsia="de-DE"/>
        </w:rPr>
        <w:t xml:space="preserve">(auf ihn) die Richtung angibt. </w:t>
      </w:r>
      <w:r w:rsidRPr="000A1689">
        <w:rPr>
          <w:rFonts w:eastAsia="Times New Roman" w:cs="Times New Roman"/>
          <w:b/>
          <w:bCs/>
          <w:rtl/>
          <w:lang w:eastAsia="de-DE"/>
        </w:rPr>
        <w:t>כתנת</w:t>
      </w:r>
      <w:r w:rsidRPr="000A1689">
        <w:rPr>
          <w:rFonts w:eastAsia="Times New Roman" w:cs="Times New Roman"/>
          <w:rtl/>
          <w:lang w:eastAsia="de-DE"/>
        </w:rPr>
        <w:t xml:space="preserve"> </w:t>
      </w:r>
      <w:r w:rsidRPr="000A1689">
        <w:rPr>
          <w:rFonts w:eastAsia="Times New Roman" w:cs="Times New Roman"/>
          <w:lang w:eastAsia="de-DE"/>
        </w:rPr>
        <w:t>(Leibrock/Untergewand) ist das innerste Kleidungsstück aus feinem Leinen.</w:t>
      </w:r>
    </w:p>
    <w:p w14:paraId="74289FF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ויחגר אתו באבנט</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חגר</w:t>
      </w:r>
      <w:r w:rsidRPr="000A1689">
        <w:rPr>
          <w:rFonts w:eastAsia="Times New Roman" w:cs="Times New Roman"/>
          <w:rtl/>
          <w:lang w:eastAsia="de-DE"/>
        </w:rPr>
        <w:t xml:space="preserve"> </w:t>
      </w:r>
      <w:r w:rsidRPr="000A1689">
        <w:rPr>
          <w:rFonts w:eastAsia="Times New Roman" w:cs="Times New Roman"/>
          <w:lang w:eastAsia="de-DE"/>
        </w:rPr>
        <w:t xml:space="preserve">(umgürten) im Qal-Imperfekt mit Waw-Konsekutiv. </w:t>
      </w:r>
      <w:r w:rsidRPr="000A1689">
        <w:rPr>
          <w:rFonts w:eastAsia="Times New Roman" w:cs="Times New Roman"/>
          <w:b/>
          <w:bCs/>
          <w:rtl/>
          <w:lang w:eastAsia="de-DE"/>
        </w:rPr>
        <w:t>אבנט</w:t>
      </w:r>
      <w:r w:rsidRPr="000A1689">
        <w:rPr>
          <w:rFonts w:eastAsia="Times New Roman" w:cs="Times New Roman"/>
          <w:rtl/>
          <w:lang w:eastAsia="de-DE"/>
        </w:rPr>
        <w:t xml:space="preserve"> </w:t>
      </w:r>
      <w:r w:rsidRPr="000A1689">
        <w:rPr>
          <w:rFonts w:eastAsia="Times New Roman" w:cs="Times New Roman"/>
          <w:lang w:eastAsia="de-DE"/>
        </w:rPr>
        <w:t xml:space="preserve">(Gürtel) befestigt das Untergewand. </w:t>
      </w:r>
      <w:r w:rsidRPr="000A1689">
        <w:rPr>
          <w:rFonts w:eastAsia="Times New Roman" w:cs="Times New Roman"/>
          <w:b/>
          <w:bCs/>
          <w:rtl/>
          <w:lang w:eastAsia="de-DE"/>
        </w:rPr>
        <w:t>וילבש אתו את־המעיל</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לבש</w:t>
      </w:r>
      <w:r w:rsidRPr="000A1689">
        <w:rPr>
          <w:rFonts w:eastAsia="Times New Roman" w:cs="Times New Roman"/>
          <w:rtl/>
          <w:lang w:eastAsia="de-DE"/>
        </w:rPr>
        <w:t xml:space="preserve"> </w:t>
      </w:r>
      <w:r w:rsidRPr="000A1689">
        <w:rPr>
          <w:rFonts w:eastAsia="Times New Roman" w:cs="Times New Roman"/>
          <w:lang w:eastAsia="de-DE"/>
        </w:rPr>
        <w:t xml:space="preserve">(bekleiden) im Hifil-Imperfekt, das kausative "jemanden bekleiden" ausdrückt. </w:t>
      </w:r>
      <w:r w:rsidRPr="000A1689">
        <w:rPr>
          <w:rFonts w:eastAsia="Times New Roman" w:cs="Times New Roman"/>
          <w:b/>
          <w:bCs/>
          <w:rtl/>
          <w:lang w:eastAsia="de-DE"/>
        </w:rPr>
        <w:t>מעיל</w:t>
      </w:r>
      <w:r w:rsidRPr="000A1689">
        <w:rPr>
          <w:rFonts w:eastAsia="Times New Roman" w:cs="Times New Roman"/>
          <w:rtl/>
          <w:lang w:eastAsia="de-DE"/>
        </w:rPr>
        <w:t xml:space="preserve"> </w:t>
      </w:r>
      <w:r w:rsidRPr="000A1689">
        <w:rPr>
          <w:rFonts w:eastAsia="Times New Roman" w:cs="Times New Roman"/>
          <w:lang w:eastAsia="de-DE"/>
        </w:rPr>
        <w:t>(Oberkleid/Robe) ist das blaue Obergewand mit Granatäpfeln und Glöckchen.</w:t>
      </w:r>
    </w:p>
    <w:p w14:paraId="558D4B3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ויתן עליו את־האפד</w:t>
      </w:r>
      <w:r w:rsidRPr="000A1689">
        <w:rPr>
          <w:rFonts w:eastAsia="Times New Roman" w:cs="Times New Roman"/>
          <w:rtl/>
          <w:lang w:eastAsia="de-DE"/>
        </w:rPr>
        <w:t xml:space="preserve"> </w:t>
      </w:r>
      <w:r w:rsidRPr="000A1689">
        <w:rPr>
          <w:rFonts w:eastAsia="Times New Roman" w:cs="Times New Roman"/>
          <w:lang w:eastAsia="de-DE"/>
        </w:rPr>
        <w:t xml:space="preserve">führt das </w:t>
      </w:r>
      <w:r w:rsidRPr="000A1689">
        <w:rPr>
          <w:rFonts w:eastAsia="Times New Roman" w:cs="Times New Roman"/>
          <w:b/>
          <w:bCs/>
          <w:rtl/>
          <w:lang w:eastAsia="de-DE"/>
        </w:rPr>
        <w:t>אפד</w:t>
      </w:r>
      <w:r w:rsidRPr="000A1689">
        <w:rPr>
          <w:rFonts w:eastAsia="Times New Roman" w:cs="Times New Roman"/>
          <w:rtl/>
          <w:lang w:eastAsia="de-DE"/>
        </w:rPr>
        <w:t xml:space="preserve"> </w:t>
      </w:r>
      <w:r w:rsidRPr="000A1689">
        <w:rPr>
          <w:rFonts w:eastAsia="Times New Roman" w:cs="Times New Roman"/>
          <w:lang w:eastAsia="de-DE"/>
        </w:rPr>
        <w:t xml:space="preserve">(Ephod) ein, das wichtigste Gewandstück mit den Schultersteinen. </w:t>
      </w:r>
      <w:r w:rsidRPr="000A1689">
        <w:rPr>
          <w:rFonts w:eastAsia="Times New Roman" w:cs="Times New Roman"/>
          <w:b/>
          <w:bCs/>
          <w:rtl/>
          <w:lang w:eastAsia="de-DE"/>
        </w:rPr>
        <w:t>ויחגר אתו בחשב האפד</w:t>
      </w:r>
      <w:r w:rsidRPr="000A1689">
        <w:rPr>
          <w:rFonts w:eastAsia="Times New Roman" w:cs="Times New Roman"/>
          <w:rtl/>
          <w:lang w:eastAsia="de-DE"/>
        </w:rPr>
        <w:t xml:space="preserve"> </w:t>
      </w:r>
      <w:r w:rsidRPr="000A1689">
        <w:rPr>
          <w:rFonts w:eastAsia="Times New Roman" w:cs="Times New Roman"/>
          <w:lang w:eastAsia="de-DE"/>
        </w:rPr>
        <w:t xml:space="preserve">zeigt die Befestigung mit dem </w:t>
      </w:r>
      <w:r w:rsidRPr="000A1689">
        <w:rPr>
          <w:rFonts w:eastAsia="Times New Roman" w:cs="Times New Roman"/>
          <w:b/>
          <w:bCs/>
          <w:rtl/>
          <w:lang w:eastAsia="de-DE"/>
        </w:rPr>
        <w:t>חשב האפד</w:t>
      </w:r>
      <w:r w:rsidRPr="000A1689">
        <w:rPr>
          <w:rFonts w:eastAsia="Times New Roman" w:cs="Times New Roman"/>
          <w:rtl/>
          <w:lang w:eastAsia="de-DE"/>
        </w:rPr>
        <w:t xml:space="preserve"> </w:t>
      </w:r>
      <w:r w:rsidRPr="000A1689">
        <w:rPr>
          <w:rFonts w:eastAsia="Times New Roman" w:cs="Times New Roman"/>
          <w:lang w:eastAsia="de-DE"/>
        </w:rPr>
        <w:t xml:space="preserve">(gewirkten Gürtel des Ephods). </w:t>
      </w:r>
      <w:r w:rsidRPr="000A1689">
        <w:rPr>
          <w:rFonts w:eastAsia="Times New Roman" w:cs="Times New Roman"/>
          <w:b/>
          <w:bCs/>
          <w:rtl/>
          <w:lang w:eastAsia="de-DE"/>
        </w:rPr>
        <w:t>וואפד לו בו</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אפד</w:t>
      </w:r>
      <w:r w:rsidRPr="000A1689">
        <w:rPr>
          <w:rFonts w:eastAsia="Times New Roman" w:cs="Times New Roman"/>
          <w:rtl/>
          <w:lang w:eastAsia="de-DE"/>
        </w:rPr>
        <w:t xml:space="preserve"> </w:t>
      </w:r>
      <w:r w:rsidRPr="000A1689">
        <w:rPr>
          <w:rFonts w:eastAsia="Times New Roman" w:cs="Times New Roman"/>
          <w:lang w:eastAsia="de-DE"/>
        </w:rPr>
        <w:t xml:space="preserve">als Verb im Qal-Imperfekt (er band an), wobei </w:t>
      </w:r>
      <w:r w:rsidRPr="000A1689">
        <w:rPr>
          <w:rFonts w:eastAsia="Times New Roman" w:cs="Times New Roman"/>
          <w:b/>
          <w:bCs/>
          <w:rtl/>
          <w:lang w:eastAsia="de-DE"/>
        </w:rPr>
        <w:t>לו</w:t>
      </w:r>
      <w:r w:rsidRPr="000A1689">
        <w:rPr>
          <w:rFonts w:eastAsia="Times New Roman" w:cs="Times New Roman"/>
          <w:rtl/>
          <w:lang w:eastAsia="de-DE"/>
        </w:rPr>
        <w:t xml:space="preserve"> </w:t>
      </w:r>
      <w:r w:rsidRPr="000A1689">
        <w:rPr>
          <w:rFonts w:eastAsia="Times New Roman" w:cs="Times New Roman"/>
          <w:lang w:eastAsia="de-DE"/>
        </w:rPr>
        <w:t xml:space="preserve">(ihm) den Empfänger und </w:t>
      </w:r>
      <w:r w:rsidRPr="000A1689">
        <w:rPr>
          <w:rFonts w:eastAsia="Times New Roman" w:cs="Times New Roman"/>
          <w:b/>
          <w:bCs/>
          <w:rtl/>
          <w:lang w:eastAsia="de-DE"/>
        </w:rPr>
        <w:t>בו</w:t>
      </w:r>
      <w:r w:rsidRPr="000A1689">
        <w:rPr>
          <w:rFonts w:eastAsia="Times New Roman" w:cs="Times New Roman"/>
          <w:rtl/>
          <w:lang w:eastAsia="de-DE"/>
        </w:rPr>
        <w:t xml:space="preserve"> </w:t>
      </w:r>
      <w:r w:rsidRPr="000A1689">
        <w:rPr>
          <w:rFonts w:eastAsia="Times New Roman" w:cs="Times New Roman"/>
          <w:lang w:eastAsia="de-DE"/>
        </w:rPr>
        <w:t>(damit) das Instrument bezeichnet.</w:t>
      </w:r>
    </w:p>
    <w:p w14:paraId="288BC60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 Progression von innen nach außen folgt der exakten Reihenfolge aus Exodus 28. Jede Handlung wird durch Waw-Konsekutiv eingeleitet, was die chronologische Abfolge betont.</w:t>
      </w:r>
    </w:p>
    <w:p w14:paraId="1538480B"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כתנת</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χιτῶν</w:t>
      </w:r>
      <w:proofErr w:type="spellEnd"/>
      <w:r w:rsidRPr="000A1689">
        <w:rPr>
          <w:rFonts w:eastAsia="Times New Roman" w:cs="Times New Roman"/>
          <w:lang w:eastAsia="de-DE"/>
        </w:rPr>
        <w:t xml:space="preserve">α (Chiton), </w:t>
      </w:r>
      <w:r w:rsidRPr="000A1689">
        <w:rPr>
          <w:rFonts w:eastAsia="Times New Roman" w:cs="Times New Roman"/>
          <w:b/>
          <w:bCs/>
          <w:rtl/>
          <w:lang w:eastAsia="de-DE"/>
        </w:rPr>
        <w:t>אבנט</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ζώνην</w:t>
      </w:r>
      <w:proofErr w:type="spellEnd"/>
      <w:r w:rsidRPr="000A1689">
        <w:rPr>
          <w:rFonts w:eastAsia="Times New Roman" w:cs="Times New Roman"/>
          <w:lang w:eastAsia="de-DE"/>
        </w:rPr>
        <w:t xml:space="preserve"> (Gürtel), </w:t>
      </w:r>
      <w:r w:rsidRPr="000A1689">
        <w:rPr>
          <w:rFonts w:eastAsia="Times New Roman" w:cs="Times New Roman"/>
          <w:b/>
          <w:bCs/>
          <w:rtl/>
          <w:lang w:eastAsia="de-DE"/>
        </w:rPr>
        <w:t>מעיל</w:t>
      </w:r>
      <w:r w:rsidRPr="000A1689">
        <w:rPr>
          <w:rFonts w:eastAsia="Times New Roman" w:cs="Times New Roman"/>
          <w:rtl/>
          <w:lang w:eastAsia="de-DE"/>
        </w:rPr>
        <w:t xml:space="preserve"> </w:t>
      </w:r>
      <w:r w:rsidRPr="000A1689">
        <w:rPr>
          <w:rFonts w:eastAsia="Times New Roman" w:cs="Times New Roman"/>
          <w:lang w:eastAsia="de-DE"/>
        </w:rPr>
        <w:t>mit ὑπ</w:t>
      </w:r>
      <w:proofErr w:type="spellStart"/>
      <w:r w:rsidRPr="000A1689">
        <w:rPr>
          <w:rFonts w:eastAsia="Times New Roman" w:cs="Times New Roman"/>
          <w:lang w:eastAsia="de-DE"/>
        </w:rPr>
        <w:t>οδύτην</w:t>
      </w:r>
      <w:proofErr w:type="spellEnd"/>
      <w:r w:rsidRPr="000A1689">
        <w:rPr>
          <w:rFonts w:eastAsia="Times New Roman" w:cs="Times New Roman"/>
          <w:lang w:eastAsia="de-DE"/>
        </w:rPr>
        <w:t xml:space="preserve"> (Untergewand) und </w:t>
      </w:r>
      <w:r w:rsidRPr="000A1689">
        <w:rPr>
          <w:rFonts w:eastAsia="Times New Roman" w:cs="Times New Roman"/>
          <w:b/>
          <w:bCs/>
          <w:rtl/>
          <w:lang w:eastAsia="de-DE"/>
        </w:rPr>
        <w:t>אפד</w:t>
      </w:r>
      <w:r w:rsidRPr="000A1689">
        <w:rPr>
          <w:rFonts w:eastAsia="Times New Roman" w:cs="Times New Roman"/>
          <w:rtl/>
          <w:lang w:eastAsia="de-DE"/>
        </w:rPr>
        <w:t xml:space="preserve"> </w:t>
      </w:r>
      <w:r w:rsidRPr="000A1689">
        <w:rPr>
          <w:rFonts w:eastAsia="Times New Roman" w:cs="Times New Roman"/>
          <w:lang w:eastAsia="de-DE"/>
        </w:rPr>
        <w:t>mit ἐπ</w:t>
      </w:r>
      <w:proofErr w:type="spellStart"/>
      <w:r w:rsidRPr="000A1689">
        <w:rPr>
          <w:rFonts w:eastAsia="Times New Roman" w:cs="Times New Roman"/>
          <w:lang w:eastAsia="de-DE"/>
        </w:rPr>
        <w:t>ωμίδ</w:t>
      </w:r>
      <w:proofErr w:type="spellEnd"/>
      <w:r w:rsidRPr="000A1689">
        <w:rPr>
          <w:rFonts w:eastAsia="Times New Roman" w:cs="Times New Roman"/>
          <w:lang w:eastAsia="de-DE"/>
        </w:rPr>
        <w:t>α (Schulterstück).</w:t>
      </w:r>
    </w:p>
    <w:p w14:paraId="2B30978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fünf koordinierte Hauptsätze mit identischer Struktur: Verb + (Objekt) + Präpositionalphrase/direktes Objekt. Die repetitive Struktur betont die systematische, schrittweise Bekleidung.</w:t>
      </w:r>
    </w:p>
    <w:p w14:paraId="0230EA9C"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beschreibt die sorgfältige Bekleidung Aarons mit den fünf Grundgewändern der Hohepriesterkleidung entsprechend der göttlichen Anweisung.</w:t>
      </w:r>
    </w:p>
    <w:p w14:paraId="29A525BC"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8,8</w:t>
      </w:r>
    </w:p>
    <w:p w14:paraId="3FA5669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וַיָּ֥שֶׂם עָלָ֖יו אֶת־הַחֹ֑שֶׁן וַיִּתֵּן֙ אֶל־הַחֹ֔שֶׁן אֶת־הָאוּרִ֖ים וְאֶת־הַתֻּמִּֽים׃</w:t>
      </w:r>
    </w:p>
    <w:p w14:paraId="475D1EF8"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er legte ihm das Brustschild an und legte in das Brustschild die Urim und die Tummim;</w:t>
      </w:r>
    </w:p>
    <w:p w14:paraId="5A79FCD0"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lastRenderedPageBreak/>
        <w:pict w14:anchorId="567B9599">
          <v:rect id="_x0000_i1204" style="width:0;height:1.5pt" o:hralign="center" o:hrstd="t" o:hr="t" fillcolor="#a0a0a0" stroked="f"/>
        </w:pict>
      </w:r>
    </w:p>
    <w:p w14:paraId="14E4A6E9" w14:textId="26846C25"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וישם עליו את־החשן</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שים</w:t>
      </w:r>
      <w:r w:rsidRPr="000A1689">
        <w:rPr>
          <w:rFonts w:eastAsia="Times New Roman" w:cs="Times New Roman"/>
          <w:rtl/>
          <w:lang w:eastAsia="de-DE"/>
        </w:rPr>
        <w:t xml:space="preserve"> </w:t>
      </w:r>
      <w:r w:rsidRPr="000A1689">
        <w:rPr>
          <w:rFonts w:eastAsia="Times New Roman" w:cs="Times New Roman"/>
          <w:lang w:eastAsia="de-DE"/>
        </w:rPr>
        <w:t xml:space="preserve">(setzen/legen) im Qal-Imperfekt mit Waw-Konsekutiv. </w:t>
      </w:r>
      <w:r w:rsidRPr="000A1689">
        <w:rPr>
          <w:rFonts w:eastAsia="Times New Roman" w:cs="Times New Roman"/>
          <w:b/>
          <w:bCs/>
          <w:rtl/>
          <w:lang w:eastAsia="de-DE"/>
        </w:rPr>
        <w:t>חשן</w:t>
      </w:r>
      <w:r w:rsidRPr="000A1689">
        <w:rPr>
          <w:rFonts w:eastAsia="Times New Roman" w:cs="Times New Roman"/>
          <w:rtl/>
          <w:lang w:eastAsia="de-DE"/>
        </w:rPr>
        <w:t xml:space="preserve"> </w:t>
      </w:r>
      <w:r w:rsidRPr="000A1689">
        <w:rPr>
          <w:rFonts w:eastAsia="Times New Roman" w:cs="Times New Roman"/>
          <w:lang w:eastAsia="de-DE"/>
        </w:rPr>
        <w:t xml:space="preserve">(Brustschild) ist das mit zwölf Edelsteinen besetzte </w:t>
      </w:r>
      <w:r w:rsidR="005407E2">
        <w:rPr>
          <w:rFonts w:eastAsia="Times New Roman" w:cs="Times New Roman"/>
          <w:lang w:eastAsia="de-DE"/>
        </w:rPr>
        <w:t>S</w:t>
      </w:r>
      <w:r w:rsidRPr="000A1689">
        <w:rPr>
          <w:rFonts w:eastAsia="Times New Roman" w:cs="Times New Roman"/>
          <w:lang w:eastAsia="de-DE"/>
        </w:rPr>
        <w:t xml:space="preserve">child, das am Ephod befestigt wird. Die Präposition </w:t>
      </w:r>
      <w:r w:rsidRPr="000A1689">
        <w:rPr>
          <w:rFonts w:eastAsia="Times New Roman" w:cs="Times New Roman"/>
          <w:b/>
          <w:bCs/>
          <w:rtl/>
          <w:lang w:eastAsia="de-DE"/>
        </w:rPr>
        <w:t>על</w:t>
      </w:r>
      <w:r w:rsidRPr="000A1689">
        <w:rPr>
          <w:rFonts w:eastAsia="Times New Roman" w:cs="Times New Roman"/>
          <w:rtl/>
          <w:lang w:eastAsia="de-DE"/>
        </w:rPr>
        <w:t xml:space="preserve"> </w:t>
      </w:r>
      <w:r w:rsidRPr="000A1689">
        <w:rPr>
          <w:rFonts w:eastAsia="Times New Roman" w:cs="Times New Roman"/>
          <w:lang w:eastAsia="de-DE"/>
        </w:rPr>
        <w:t xml:space="preserve">mit Suffix </w:t>
      </w:r>
      <w:r w:rsidRPr="000A1689">
        <w:rPr>
          <w:rFonts w:eastAsia="Times New Roman" w:cs="Times New Roman"/>
          <w:b/>
          <w:bCs/>
          <w:rtl/>
          <w:lang w:eastAsia="de-DE"/>
        </w:rPr>
        <w:t>עליו</w:t>
      </w:r>
      <w:r w:rsidRPr="000A1689">
        <w:rPr>
          <w:rFonts w:eastAsia="Times New Roman" w:cs="Times New Roman"/>
          <w:rtl/>
          <w:lang w:eastAsia="de-DE"/>
        </w:rPr>
        <w:t xml:space="preserve"> </w:t>
      </w:r>
      <w:r w:rsidRPr="000A1689">
        <w:rPr>
          <w:rFonts w:eastAsia="Times New Roman" w:cs="Times New Roman"/>
          <w:lang w:eastAsia="de-DE"/>
        </w:rPr>
        <w:t>(auf ihn) zeigt die Platzierung auf Aaron.</w:t>
      </w:r>
    </w:p>
    <w:p w14:paraId="22E3E8FA" w14:textId="2F4CB966"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ויתן אל־החשן את־האורים ואת־התמים</w:t>
      </w:r>
      <w:r w:rsidRPr="000A1689">
        <w:rPr>
          <w:rFonts w:eastAsia="Times New Roman" w:cs="Times New Roman"/>
          <w:rtl/>
          <w:lang w:eastAsia="de-DE"/>
        </w:rPr>
        <w:t xml:space="preserve"> </w:t>
      </w:r>
      <w:r w:rsidRPr="000A1689">
        <w:rPr>
          <w:rFonts w:eastAsia="Times New Roman" w:cs="Times New Roman"/>
          <w:lang w:eastAsia="de-DE"/>
        </w:rPr>
        <w:t xml:space="preserve">beschreibt das Einlegen der </w:t>
      </w:r>
      <w:r w:rsidR="005407E2">
        <w:rPr>
          <w:rFonts w:eastAsia="Times New Roman" w:cs="Times New Roman"/>
          <w:lang w:eastAsia="de-DE"/>
        </w:rPr>
        <w:t>G</w:t>
      </w:r>
      <w:r w:rsidRPr="000A1689">
        <w:rPr>
          <w:rFonts w:eastAsia="Times New Roman" w:cs="Times New Roman"/>
          <w:lang w:eastAsia="de-DE"/>
        </w:rPr>
        <w:t xml:space="preserve">egenstände. </w:t>
      </w:r>
      <w:r w:rsidRPr="000A1689">
        <w:rPr>
          <w:rFonts w:eastAsia="Times New Roman" w:cs="Times New Roman"/>
          <w:b/>
          <w:bCs/>
          <w:rtl/>
          <w:lang w:eastAsia="de-DE"/>
        </w:rPr>
        <w:t>נתן</w:t>
      </w:r>
      <w:r w:rsidRPr="000A1689">
        <w:rPr>
          <w:rFonts w:eastAsia="Times New Roman" w:cs="Times New Roman"/>
          <w:rtl/>
          <w:lang w:eastAsia="de-DE"/>
        </w:rPr>
        <w:t xml:space="preserve"> </w:t>
      </w:r>
      <w:r w:rsidRPr="000A1689">
        <w:rPr>
          <w:rFonts w:eastAsia="Times New Roman" w:cs="Times New Roman"/>
          <w:lang w:eastAsia="de-DE"/>
        </w:rPr>
        <w:t xml:space="preserve">(geben/legen) im Qal-Imperfekt zeigt die Platzierung. Die Präposition </w:t>
      </w:r>
      <w:r w:rsidRPr="000A1689">
        <w:rPr>
          <w:rFonts w:eastAsia="Times New Roman" w:cs="Times New Roman"/>
          <w:b/>
          <w:bCs/>
          <w:rtl/>
          <w:lang w:eastAsia="de-DE"/>
        </w:rPr>
        <w:t>אל</w:t>
      </w:r>
      <w:r w:rsidRPr="000A1689">
        <w:rPr>
          <w:rFonts w:eastAsia="Times New Roman" w:cs="Times New Roman"/>
          <w:rtl/>
          <w:lang w:eastAsia="de-DE"/>
        </w:rPr>
        <w:t xml:space="preserve"> </w:t>
      </w:r>
      <w:r w:rsidRPr="000A1689">
        <w:rPr>
          <w:rFonts w:eastAsia="Times New Roman" w:cs="Times New Roman"/>
          <w:lang w:eastAsia="de-DE"/>
        </w:rPr>
        <w:t xml:space="preserve">(in/zu) mit </w:t>
      </w:r>
      <w:r w:rsidRPr="000A1689">
        <w:rPr>
          <w:rFonts w:eastAsia="Times New Roman" w:cs="Times New Roman"/>
          <w:b/>
          <w:bCs/>
          <w:rtl/>
          <w:lang w:eastAsia="de-DE"/>
        </w:rPr>
        <w:t>החשן</w:t>
      </w:r>
      <w:r w:rsidRPr="000A1689">
        <w:rPr>
          <w:rFonts w:eastAsia="Times New Roman" w:cs="Times New Roman"/>
          <w:rtl/>
          <w:lang w:eastAsia="de-DE"/>
        </w:rPr>
        <w:t xml:space="preserve"> </w:t>
      </w:r>
      <w:r w:rsidRPr="000A1689">
        <w:rPr>
          <w:rFonts w:eastAsia="Times New Roman" w:cs="Times New Roman"/>
          <w:lang w:eastAsia="de-DE"/>
        </w:rPr>
        <w:t xml:space="preserve">gibt die Richtung an. </w:t>
      </w:r>
      <w:r w:rsidRPr="000A1689">
        <w:rPr>
          <w:rFonts w:eastAsia="Times New Roman" w:cs="Times New Roman"/>
          <w:b/>
          <w:bCs/>
          <w:rtl/>
          <w:lang w:eastAsia="de-DE"/>
        </w:rPr>
        <w:t>האורים והתמים</w:t>
      </w:r>
      <w:r w:rsidRPr="000A1689">
        <w:rPr>
          <w:rFonts w:eastAsia="Times New Roman" w:cs="Times New Roman"/>
          <w:rtl/>
          <w:lang w:eastAsia="de-DE"/>
        </w:rPr>
        <w:t xml:space="preserve"> </w:t>
      </w:r>
      <w:r w:rsidRPr="000A1689">
        <w:rPr>
          <w:rFonts w:eastAsia="Times New Roman" w:cs="Times New Roman"/>
          <w:lang w:eastAsia="de-DE"/>
        </w:rPr>
        <w:t xml:space="preserve">(die Urim und die Tummim) sind geheimnisvolle </w:t>
      </w:r>
      <w:r w:rsidR="005407E2">
        <w:rPr>
          <w:rFonts w:eastAsia="Times New Roman" w:cs="Times New Roman"/>
          <w:lang w:eastAsia="de-DE"/>
        </w:rPr>
        <w:t>G</w:t>
      </w:r>
      <w:r w:rsidRPr="000A1689">
        <w:rPr>
          <w:rFonts w:eastAsia="Times New Roman" w:cs="Times New Roman"/>
          <w:lang w:eastAsia="de-DE"/>
        </w:rPr>
        <w:t>egenstände, deren genaue Natur unklar bleibt.</w:t>
      </w:r>
    </w:p>
    <w:p w14:paraId="1C6D785E" w14:textId="3C6E92D9"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Namen </w:t>
      </w:r>
      <w:r w:rsidRPr="000A1689">
        <w:rPr>
          <w:rFonts w:eastAsia="Times New Roman" w:cs="Times New Roman"/>
          <w:b/>
          <w:bCs/>
          <w:rtl/>
          <w:lang w:eastAsia="de-DE"/>
        </w:rPr>
        <w:t>אורים</w:t>
      </w:r>
      <w:r w:rsidRPr="000A1689">
        <w:rPr>
          <w:rFonts w:eastAsia="Times New Roman" w:cs="Times New Roman"/>
          <w:rtl/>
          <w:lang w:eastAsia="de-DE"/>
        </w:rPr>
        <w:t xml:space="preserve"> </w:t>
      </w:r>
      <w:r w:rsidRPr="000A1689">
        <w:rPr>
          <w:rFonts w:eastAsia="Times New Roman" w:cs="Times New Roman"/>
          <w:lang w:eastAsia="de-DE"/>
        </w:rPr>
        <w:t xml:space="preserve">(von </w:t>
      </w:r>
      <w:r w:rsidRPr="000A1689">
        <w:rPr>
          <w:rFonts w:eastAsia="Times New Roman" w:cs="Times New Roman"/>
          <w:b/>
          <w:bCs/>
          <w:rtl/>
          <w:lang w:eastAsia="de-DE"/>
        </w:rPr>
        <w:t>אור</w:t>
      </w:r>
      <w:r w:rsidRPr="000A1689">
        <w:rPr>
          <w:rFonts w:eastAsia="Times New Roman" w:cs="Times New Roman"/>
          <w:rtl/>
          <w:lang w:eastAsia="de-DE"/>
        </w:rPr>
        <w:t xml:space="preserve"> </w:t>
      </w:r>
      <w:r w:rsidRPr="000A1689">
        <w:rPr>
          <w:rFonts w:eastAsia="Times New Roman" w:cs="Times New Roman"/>
          <w:lang w:eastAsia="de-DE"/>
        </w:rPr>
        <w:t xml:space="preserve">- Licht) und </w:t>
      </w:r>
      <w:r w:rsidRPr="000A1689">
        <w:rPr>
          <w:rFonts w:eastAsia="Times New Roman" w:cs="Times New Roman"/>
          <w:b/>
          <w:bCs/>
          <w:rtl/>
          <w:lang w:eastAsia="de-DE"/>
        </w:rPr>
        <w:t>תמים</w:t>
      </w:r>
      <w:r w:rsidRPr="000A1689">
        <w:rPr>
          <w:rFonts w:eastAsia="Times New Roman" w:cs="Times New Roman"/>
          <w:rtl/>
          <w:lang w:eastAsia="de-DE"/>
        </w:rPr>
        <w:t xml:space="preserve"> </w:t>
      </w:r>
      <w:r w:rsidRPr="000A1689">
        <w:rPr>
          <w:rFonts w:eastAsia="Times New Roman" w:cs="Times New Roman"/>
          <w:lang w:eastAsia="de-DE"/>
        </w:rPr>
        <w:t xml:space="preserve">(von </w:t>
      </w:r>
      <w:r w:rsidRPr="000A1689">
        <w:rPr>
          <w:rFonts w:eastAsia="Times New Roman" w:cs="Times New Roman"/>
          <w:b/>
          <w:bCs/>
          <w:rtl/>
          <w:lang w:eastAsia="de-DE"/>
        </w:rPr>
        <w:t>תמם</w:t>
      </w:r>
      <w:r w:rsidRPr="000A1689">
        <w:rPr>
          <w:rFonts w:eastAsia="Times New Roman" w:cs="Times New Roman"/>
          <w:rtl/>
          <w:lang w:eastAsia="de-DE"/>
        </w:rPr>
        <w:t xml:space="preserve"> </w:t>
      </w:r>
      <w:r w:rsidRPr="000A1689">
        <w:rPr>
          <w:rFonts w:eastAsia="Times New Roman" w:cs="Times New Roman"/>
          <w:lang w:eastAsia="de-DE"/>
        </w:rPr>
        <w:t>- vollständig/perfekt sein) deuten möglicherweise auf ihre Funktion bei der Gottesbefrа</w:t>
      </w:r>
      <w:r w:rsidR="0050276D">
        <w:rPr>
          <w:rFonts w:eastAsia="Times New Roman" w:cs="Times New Roman"/>
          <w:lang w:eastAsia="de-DE"/>
        </w:rPr>
        <w:t>g</w:t>
      </w:r>
      <w:r w:rsidRPr="000A1689">
        <w:rPr>
          <w:rFonts w:eastAsia="Times New Roman" w:cs="Times New Roman"/>
          <w:lang w:eastAsia="de-DE"/>
        </w:rPr>
        <w:t xml:space="preserve">ung hin. Sie wurden vermutlich in einer Tasche des </w:t>
      </w:r>
      <w:r w:rsidRPr="000A1689">
        <w:rPr>
          <w:rFonts w:eastAsia="Times New Roman" w:cs="Times New Roman"/>
          <w:b/>
          <w:bCs/>
          <w:rtl/>
          <w:lang w:eastAsia="de-DE"/>
        </w:rPr>
        <w:t>חשן</w:t>
      </w:r>
      <w:r w:rsidRPr="000A1689">
        <w:rPr>
          <w:rFonts w:eastAsia="Times New Roman" w:cs="Times New Roman"/>
          <w:rtl/>
          <w:lang w:eastAsia="de-DE"/>
        </w:rPr>
        <w:t xml:space="preserve"> </w:t>
      </w:r>
      <w:r w:rsidRPr="000A1689">
        <w:rPr>
          <w:rFonts w:eastAsia="Times New Roman" w:cs="Times New Roman"/>
          <w:lang w:eastAsia="de-DE"/>
        </w:rPr>
        <w:t>aufbewahrt und dienten für Ja/Nein-Entscheidungen durch das Los.</w:t>
      </w:r>
    </w:p>
    <w:p w14:paraId="2EAF74CF" w14:textId="6ED2EE8B"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Konstruktion </w:t>
      </w:r>
      <w:r w:rsidRPr="000A1689">
        <w:rPr>
          <w:rFonts w:eastAsia="Times New Roman" w:cs="Times New Roman"/>
          <w:b/>
          <w:bCs/>
          <w:rtl/>
          <w:lang w:eastAsia="de-DE"/>
        </w:rPr>
        <w:t>נתן אל</w:t>
      </w:r>
      <w:r w:rsidRPr="000A1689">
        <w:rPr>
          <w:rFonts w:eastAsia="Times New Roman" w:cs="Times New Roman"/>
          <w:rtl/>
          <w:lang w:eastAsia="de-DE"/>
        </w:rPr>
        <w:t xml:space="preserve"> </w:t>
      </w:r>
      <w:r w:rsidRPr="000A1689">
        <w:rPr>
          <w:rFonts w:eastAsia="Times New Roman" w:cs="Times New Roman"/>
          <w:lang w:eastAsia="de-DE"/>
        </w:rPr>
        <w:t xml:space="preserve">(hineinlegen/hineingeben) unterscheidet sich von </w:t>
      </w:r>
      <w:r w:rsidRPr="000A1689">
        <w:rPr>
          <w:rFonts w:eastAsia="Times New Roman" w:cs="Times New Roman"/>
          <w:b/>
          <w:bCs/>
          <w:rtl/>
          <w:lang w:eastAsia="de-DE"/>
        </w:rPr>
        <w:t>נתן על</w:t>
      </w:r>
      <w:r w:rsidRPr="000A1689">
        <w:rPr>
          <w:rFonts w:eastAsia="Times New Roman" w:cs="Times New Roman"/>
          <w:rtl/>
          <w:lang w:eastAsia="de-DE"/>
        </w:rPr>
        <w:t xml:space="preserve"> </w:t>
      </w:r>
      <w:r w:rsidRPr="000A1689">
        <w:rPr>
          <w:rFonts w:eastAsia="Times New Roman" w:cs="Times New Roman"/>
          <w:lang w:eastAsia="de-DE"/>
        </w:rPr>
        <w:t xml:space="preserve">(auflegen) und zeigt, dass die </w:t>
      </w:r>
      <w:r w:rsidR="005407E2">
        <w:rPr>
          <w:rFonts w:eastAsia="Times New Roman" w:cs="Times New Roman"/>
          <w:lang w:eastAsia="de-DE"/>
        </w:rPr>
        <w:t>G</w:t>
      </w:r>
      <w:r w:rsidRPr="000A1689">
        <w:rPr>
          <w:rFonts w:eastAsia="Times New Roman" w:cs="Times New Roman"/>
          <w:lang w:eastAsia="de-DE"/>
        </w:rPr>
        <w:t>egenstände im Inneren des Brustschildes platziert werden.</w:t>
      </w:r>
    </w:p>
    <w:p w14:paraId="1C20E7B1" w14:textId="6122420B"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w:t>
      </w:r>
      <w:r w:rsidR="00507F60">
        <w:t xml:space="preserve">übersetzt </w:t>
      </w:r>
      <w:r w:rsidR="00507F60">
        <w:rPr>
          <w:rtl/>
        </w:rPr>
        <w:t>את־האורים ואת־התמים</w:t>
      </w:r>
      <w:r w:rsidR="00507F60">
        <w:t xml:space="preserve"> (et-</w:t>
      </w:r>
      <w:proofErr w:type="spellStart"/>
      <w:r w:rsidR="00507F60">
        <w:t>ha'urim</w:t>
      </w:r>
      <w:proofErr w:type="spellEnd"/>
      <w:r w:rsidR="00507F60">
        <w:t xml:space="preserve"> </w:t>
      </w:r>
      <w:proofErr w:type="spellStart"/>
      <w:r w:rsidR="00507F60">
        <w:t>we'et-hatummim</w:t>
      </w:r>
      <w:proofErr w:type="spellEnd"/>
      <w:r w:rsidR="00507F60">
        <w:t xml:space="preserve"> - "die Urim und Tummim") als </w:t>
      </w:r>
      <w:proofErr w:type="spellStart"/>
      <w:r w:rsidR="00507F60">
        <w:t>τὴν</w:t>
      </w:r>
      <w:proofErr w:type="spellEnd"/>
      <w:r w:rsidR="00507F60">
        <w:t xml:space="preserve"> </w:t>
      </w:r>
      <w:proofErr w:type="spellStart"/>
      <w:r w:rsidR="00507F60">
        <w:t>δήλωσιν</w:t>
      </w:r>
      <w:proofErr w:type="spellEnd"/>
      <w:r w:rsidR="00507F60">
        <w:t xml:space="preserve"> καὶ </w:t>
      </w:r>
      <w:proofErr w:type="spellStart"/>
      <w:r w:rsidR="00507F60">
        <w:t>τὴν</w:t>
      </w:r>
      <w:proofErr w:type="spellEnd"/>
      <w:r w:rsidR="00507F60">
        <w:t xml:space="preserve"> </w:t>
      </w:r>
      <w:proofErr w:type="spellStart"/>
      <w:r w:rsidR="00507F60">
        <w:t>ἀλήθει</w:t>
      </w:r>
      <w:proofErr w:type="spellEnd"/>
      <w:r w:rsidR="00507F60">
        <w:t>αν (die Offenbarung und die Wahrheit), was eine funktionale Übersetzung der mystischen Objekte darstellt.</w:t>
      </w:r>
    </w:p>
    <w:p w14:paraId="35653782" w14:textId="4A5970EA"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koordinierte Hauptsätze: 1) Verb + Präpositionalphrase + direktes Objekt; 2) Verb + Präpositionalphrase + zwei koordinierte direkte Objekte. Die Struktur verbindet das Brustschild mit seinen </w:t>
      </w:r>
      <w:r w:rsidR="005407E2">
        <w:rPr>
          <w:rFonts w:eastAsia="Times New Roman" w:cs="Times New Roman"/>
          <w:lang w:eastAsia="de-DE"/>
        </w:rPr>
        <w:t>G</w:t>
      </w:r>
      <w:r w:rsidRPr="000A1689">
        <w:rPr>
          <w:rFonts w:eastAsia="Times New Roman" w:cs="Times New Roman"/>
          <w:lang w:eastAsia="de-DE"/>
        </w:rPr>
        <w:t>egenständen.</w:t>
      </w:r>
    </w:p>
    <w:p w14:paraId="070F57A3" w14:textId="5AF5EB1C"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Dieser Vers komplettiert Aaron mit dem Brustschild und den </w:t>
      </w:r>
      <w:r w:rsidR="005407E2">
        <w:rPr>
          <w:rFonts w:eastAsia="Times New Roman" w:cs="Times New Roman"/>
          <w:lang w:eastAsia="de-DE"/>
        </w:rPr>
        <w:t>G</w:t>
      </w:r>
      <w:r w:rsidRPr="000A1689">
        <w:rPr>
          <w:rFonts w:eastAsia="Times New Roman" w:cs="Times New Roman"/>
          <w:lang w:eastAsia="de-DE"/>
        </w:rPr>
        <w:t>egenständen, die für die Gottesbefrа</w:t>
      </w:r>
      <w:r w:rsidR="005407E2">
        <w:rPr>
          <w:rFonts w:eastAsia="Times New Roman" w:cs="Times New Roman"/>
          <w:lang w:eastAsia="de-DE"/>
        </w:rPr>
        <w:t>g</w:t>
      </w:r>
      <w:r w:rsidRPr="000A1689">
        <w:rPr>
          <w:rFonts w:eastAsia="Times New Roman" w:cs="Times New Roman"/>
          <w:lang w:eastAsia="de-DE"/>
        </w:rPr>
        <w:t>ung essentiell sind.</w:t>
      </w:r>
    </w:p>
    <w:p w14:paraId="72A1C0C8"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8,9</w:t>
      </w:r>
    </w:p>
    <w:p w14:paraId="426DBE2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וַיָּ֥שֶׂם אֶת־הַמִּצְנֶ֖פֶת עַל־רֹאשֹׁ֑ו וַיָּ֨שֶׂם עַֽל־הַמִּצְנֶ֜פֶת אֶל־מ֣וּל פָּנָ֗יו אֵ֣ת צִ֤יץ הַזָּהָב֙ נֵ֣זֶר הַקֹּ֔דֶשׁ כַּאֲשֶׁ֛ר צִוָּ֥ה יְהוָ֖ה אֶת־מֹשֶֽׁה׃</w:t>
      </w:r>
    </w:p>
    <w:p w14:paraId="0725B89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er legte den Kopfbund auf sein Haupt und setzte an den Kopfbund, an seine Vorderseite, das goldene Stirnblatt, das heilige Diadem: so wie der Ewige dem Mosche geboten hatte.</w:t>
      </w:r>
    </w:p>
    <w:p w14:paraId="4D263B96"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5E26F11C">
          <v:rect id="_x0000_i1205" style="width:0;height:1.5pt" o:hralign="center" o:hrstd="t" o:hr="t" fillcolor="#a0a0a0" stroked="f"/>
        </w:pict>
      </w:r>
    </w:p>
    <w:p w14:paraId="4EC8CA1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וישם את־המצנפת על־ראשו</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שים</w:t>
      </w:r>
      <w:r w:rsidRPr="000A1689">
        <w:rPr>
          <w:rFonts w:eastAsia="Times New Roman" w:cs="Times New Roman"/>
          <w:rtl/>
          <w:lang w:eastAsia="de-DE"/>
        </w:rPr>
        <w:t xml:space="preserve"> </w:t>
      </w:r>
      <w:r w:rsidRPr="000A1689">
        <w:rPr>
          <w:rFonts w:eastAsia="Times New Roman" w:cs="Times New Roman"/>
          <w:lang w:eastAsia="de-DE"/>
        </w:rPr>
        <w:t xml:space="preserve">im Qal-Imperfekt mit Waw-Konsekutiv für die Kopfbedeckung. </w:t>
      </w:r>
      <w:r w:rsidRPr="000A1689">
        <w:rPr>
          <w:rFonts w:eastAsia="Times New Roman" w:cs="Times New Roman"/>
          <w:b/>
          <w:bCs/>
          <w:rtl/>
          <w:lang w:eastAsia="de-DE"/>
        </w:rPr>
        <w:t>מצנפת</w:t>
      </w:r>
      <w:r w:rsidRPr="000A1689">
        <w:rPr>
          <w:rFonts w:eastAsia="Times New Roman" w:cs="Times New Roman"/>
          <w:rtl/>
          <w:lang w:eastAsia="de-DE"/>
        </w:rPr>
        <w:t xml:space="preserve"> </w:t>
      </w:r>
      <w:r w:rsidRPr="000A1689">
        <w:rPr>
          <w:rFonts w:eastAsia="Times New Roman" w:cs="Times New Roman"/>
          <w:lang w:eastAsia="de-DE"/>
        </w:rPr>
        <w:t xml:space="preserve">(Kopfbund/Turban) ist die charakteristische hohepriesterliche Kopfbedeckung aus weißem Leinen. </w:t>
      </w:r>
      <w:r w:rsidRPr="000A1689">
        <w:rPr>
          <w:rFonts w:eastAsia="Times New Roman" w:cs="Times New Roman"/>
          <w:b/>
          <w:bCs/>
          <w:rtl/>
          <w:lang w:eastAsia="de-DE"/>
        </w:rPr>
        <w:t>על־ראשו</w:t>
      </w:r>
      <w:r w:rsidRPr="000A1689">
        <w:rPr>
          <w:rFonts w:eastAsia="Times New Roman" w:cs="Times New Roman"/>
          <w:rtl/>
          <w:lang w:eastAsia="de-DE"/>
        </w:rPr>
        <w:t xml:space="preserve"> </w:t>
      </w:r>
      <w:r w:rsidRPr="000A1689">
        <w:rPr>
          <w:rFonts w:eastAsia="Times New Roman" w:cs="Times New Roman"/>
          <w:lang w:eastAsia="de-DE"/>
        </w:rPr>
        <w:t>(auf sein Haupt) mit Possessivsuffix 3. Person maskulin Singular referenziert Aaron.</w:t>
      </w:r>
    </w:p>
    <w:p w14:paraId="07FD19E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וישם על־המצנפת אל־מול פניו את ציץ הזהב נזר הקדש</w:t>
      </w:r>
      <w:r w:rsidRPr="000A1689">
        <w:rPr>
          <w:rFonts w:eastAsia="Times New Roman" w:cs="Times New Roman"/>
          <w:rtl/>
          <w:lang w:eastAsia="de-DE"/>
        </w:rPr>
        <w:t xml:space="preserve"> </w:t>
      </w:r>
      <w:r w:rsidRPr="000A1689">
        <w:rPr>
          <w:rFonts w:eastAsia="Times New Roman" w:cs="Times New Roman"/>
          <w:lang w:eastAsia="de-DE"/>
        </w:rPr>
        <w:t xml:space="preserve">beschreibt die Befestigung des Stirnblatts. Die doppelte Ortsangabe </w:t>
      </w:r>
      <w:r w:rsidRPr="000A1689">
        <w:rPr>
          <w:rFonts w:eastAsia="Times New Roman" w:cs="Times New Roman"/>
          <w:b/>
          <w:bCs/>
          <w:rtl/>
          <w:lang w:eastAsia="de-DE"/>
        </w:rPr>
        <w:t>על־המצנפת אל־מול פניו</w:t>
      </w:r>
      <w:r w:rsidRPr="000A1689">
        <w:rPr>
          <w:rFonts w:eastAsia="Times New Roman" w:cs="Times New Roman"/>
          <w:rtl/>
          <w:lang w:eastAsia="de-DE"/>
        </w:rPr>
        <w:t xml:space="preserve"> </w:t>
      </w:r>
      <w:r w:rsidRPr="000A1689">
        <w:rPr>
          <w:rFonts w:eastAsia="Times New Roman" w:cs="Times New Roman"/>
          <w:lang w:eastAsia="de-DE"/>
        </w:rPr>
        <w:t xml:space="preserve">(auf den Kopfbund vor sein Gesicht) spezifiziert die genaue Position an der Vorderseite. </w:t>
      </w:r>
      <w:r w:rsidRPr="000A1689">
        <w:rPr>
          <w:rFonts w:eastAsia="Times New Roman" w:cs="Times New Roman"/>
          <w:b/>
          <w:bCs/>
          <w:rtl/>
          <w:lang w:eastAsia="de-DE"/>
        </w:rPr>
        <w:t>ציץ הזהב</w:t>
      </w:r>
      <w:r w:rsidRPr="000A1689">
        <w:rPr>
          <w:rFonts w:eastAsia="Times New Roman" w:cs="Times New Roman"/>
          <w:rtl/>
          <w:lang w:eastAsia="de-DE"/>
        </w:rPr>
        <w:t xml:space="preserve"> </w:t>
      </w:r>
      <w:r w:rsidRPr="000A1689">
        <w:rPr>
          <w:rFonts w:eastAsia="Times New Roman" w:cs="Times New Roman"/>
          <w:lang w:eastAsia="de-DE"/>
        </w:rPr>
        <w:t>(goldenes Stirnblatt) trägt die Inschrift "</w:t>
      </w:r>
      <w:r w:rsidRPr="000A1689">
        <w:rPr>
          <w:rFonts w:eastAsia="Times New Roman" w:cs="Times New Roman"/>
          <w:rtl/>
          <w:lang w:eastAsia="de-DE"/>
        </w:rPr>
        <w:t>קדש ליהוה</w:t>
      </w:r>
      <w:r w:rsidRPr="000A1689">
        <w:rPr>
          <w:rFonts w:eastAsia="Times New Roman" w:cs="Times New Roman"/>
          <w:lang w:eastAsia="de-DE"/>
        </w:rPr>
        <w:t>" (heilig für JHWH, vgl. Exodus 28,36).</w:t>
      </w:r>
    </w:p>
    <w:p w14:paraId="13D7E5C6"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lastRenderedPageBreak/>
        <w:t>נזר הקדש</w:t>
      </w:r>
      <w:r w:rsidRPr="000A1689">
        <w:rPr>
          <w:rFonts w:eastAsia="Times New Roman" w:cs="Times New Roman"/>
          <w:rtl/>
          <w:lang w:eastAsia="de-DE"/>
        </w:rPr>
        <w:t xml:space="preserve"> </w:t>
      </w:r>
      <w:r w:rsidRPr="000A1689">
        <w:rPr>
          <w:rFonts w:eastAsia="Times New Roman" w:cs="Times New Roman"/>
          <w:lang w:eastAsia="de-DE"/>
        </w:rPr>
        <w:t xml:space="preserve">(heiliges Diadem) steht in Apposition zu </w:t>
      </w:r>
      <w:r w:rsidRPr="000A1689">
        <w:rPr>
          <w:rFonts w:eastAsia="Times New Roman" w:cs="Times New Roman"/>
          <w:b/>
          <w:bCs/>
          <w:rtl/>
          <w:lang w:eastAsia="de-DE"/>
        </w:rPr>
        <w:t>ציץ הזהב</w:t>
      </w:r>
      <w:r w:rsidRPr="000A1689">
        <w:rPr>
          <w:rFonts w:eastAsia="Times New Roman" w:cs="Times New Roman"/>
          <w:rtl/>
          <w:lang w:eastAsia="de-DE"/>
        </w:rPr>
        <w:t xml:space="preserve"> </w:t>
      </w:r>
      <w:r w:rsidRPr="000A1689">
        <w:rPr>
          <w:rFonts w:eastAsia="Times New Roman" w:cs="Times New Roman"/>
          <w:lang w:eastAsia="de-DE"/>
        </w:rPr>
        <w:t xml:space="preserve">und interpretiert seine Bedeutung als Zeichen heiliger Weihe. </w:t>
      </w:r>
      <w:r w:rsidRPr="000A1689">
        <w:rPr>
          <w:rFonts w:eastAsia="Times New Roman" w:cs="Times New Roman"/>
          <w:b/>
          <w:bCs/>
          <w:rtl/>
          <w:lang w:eastAsia="de-DE"/>
        </w:rPr>
        <w:t>נזר</w:t>
      </w:r>
      <w:r w:rsidRPr="000A1689">
        <w:rPr>
          <w:rFonts w:eastAsia="Times New Roman" w:cs="Times New Roman"/>
          <w:rtl/>
          <w:lang w:eastAsia="de-DE"/>
        </w:rPr>
        <w:t xml:space="preserve"> </w:t>
      </w:r>
      <w:r w:rsidRPr="000A1689">
        <w:rPr>
          <w:rFonts w:eastAsia="Times New Roman" w:cs="Times New Roman"/>
          <w:lang w:eastAsia="de-DE"/>
        </w:rPr>
        <w:t xml:space="preserve">(von </w:t>
      </w:r>
      <w:r w:rsidRPr="000A1689">
        <w:rPr>
          <w:rFonts w:eastAsia="Times New Roman" w:cs="Times New Roman"/>
          <w:b/>
          <w:bCs/>
          <w:rtl/>
          <w:lang w:eastAsia="de-DE"/>
        </w:rPr>
        <w:t>נזר</w:t>
      </w:r>
      <w:r w:rsidRPr="000A1689">
        <w:rPr>
          <w:rFonts w:eastAsia="Times New Roman" w:cs="Times New Roman"/>
          <w:rtl/>
          <w:lang w:eastAsia="de-DE"/>
        </w:rPr>
        <w:t xml:space="preserve"> </w:t>
      </w:r>
      <w:r w:rsidRPr="000A1689">
        <w:rPr>
          <w:rFonts w:eastAsia="Times New Roman" w:cs="Times New Roman"/>
          <w:lang w:eastAsia="de-DE"/>
        </w:rPr>
        <w:t>- sich weihen) bezeichnet ursprünglich die Weihe von Nasiräern, hier übertragen auf die priesterliche Weihe.</w:t>
      </w:r>
    </w:p>
    <w:p w14:paraId="5C96A68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כאשר צוה יהוה את־משה</w:t>
      </w:r>
      <w:r w:rsidRPr="000A1689">
        <w:rPr>
          <w:rFonts w:eastAsia="Times New Roman" w:cs="Times New Roman"/>
          <w:rtl/>
          <w:lang w:eastAsia="de-DE"/>
        </w:rPr>
        <w:t xml:space="preserve"> </w:t>
      </w:r>
      <w:r w:rsidRPr="000A1689">
        <w:rPr>
          <w:rFonts w:eastAsia="Times New Roman" w:cs="Times New Roman"/>
          <w:lang w:eastAsia="de-DE"/>
        </w:rPr>
        <w:t xml:space="preserve">ist die Bestätigungsformel, die die Ausführung entsprechend der göttlichen Anweisung aus Exodus 28 bekräftigt. </w:t>
      </w:r>
      <w:r w:rsidRPr="000A1689">
        <w:rPr>
          <w:rFonts w:eastAsia="Times New Roman" w:cs="Times New Roman"/>
          <w:b/>
          <w:bCs/>
          <w:rtl/>
          <w:lang w:eastAsia="de-DE"/>
        </w:rPr>
        <w:t>צוה</w:t>
      </w:r>
      <w:r w:rsidRPr="000A1689">
        <w:rPr>
          <w:rFonts w:eastAsia="Times New Roman" w:cs="Times New Roman"/>
          <w:rtl/>
          <w:lang w:eastAsia="de-DE"/>
        </w:rPr>
        <w:t xml:space="preserve"> </w:t>
      </w:r>
      <w:r w:rsidRPr="000A1689">
        <w:rPr>
          <w:rFonts w:eastAsia="Times New Roman" w:cs="Times New Roman"/>
          <w:lang w:eastAsia="de-DE"/>
        </w:rPr>
        <w:t xml:space="preserve">steht im Piel-Perfekt (er befahl) mit </w:t>
      </w:r>
      <w:r w:rsidRPr="000A1689">
        <w:rPr>
          <w:rFonts w:eastAsia="Times New Roman" w:cs="Times New Roman"/>
          <w:b/>
          <w:bCs/>
          <w:rtl/>
          <w:lang w:eastAsia="de-DE"/>
        </w:rPr>
        <w:t>יהוה</w:t>
      </w:r>
      <w:r w:rsidRPr="000A1689">
        <w:rPr>
          <w:rFonts w:eastAsia="Times New Roman" w:cs="Times New Roman"/>
          <w:rtl/>
          <w:lang w:eastAsia="de-DE"/>
        </w:rPr>
        <w:t xml:space="preserve"> </w:t>
      </w:r>
      <w:r w:rsidRPr="000A1689">
        <w:rPr>
          <w:rFonts w:eastAsia="Times New Roman" w:cs="Times New Roman"/>
          <w:lang w:eastAsia="de-DE"/>
        </w:rPr>
        <w:t xml:space="preserve">als Subjekt und </w:t>
      </w:r>
      <w:r w:rsidRPr="000A1689">
        <w:rPr>
          <w:rFonts w:eastAsia="Times New Roman" w:cs="Times New Roman"/>
          <w:b/>
          <w:bCs/>
          <w:rtl/>
          <w:lang w:eastAsia="de-DE"/>
        </w:rPr>
        <w:t>את־משה</w:t>
      </w:r>
      <w:r w:rsidRPr="000A1689">
        <w:rPr>
          <w:rFonts w:eastAsia="Times New Roman" w:cs="Times New Roman"/>
          <w:rtl/>
          <w:lang w:eastAsia="de-DE"/>
        </w:rPr>
        <w:t xml:space="preserve"> </w:t>
      </w:r>
      <w:r w:rsidRPr="000A1689">
        <w:rPr>
          <w:rFonts w:eastAsia="Times New Roman" w:cs="Times New Roman"/>
          <w:lang w:eastAsia="de-DE"/>
        </w:rPr>
        <w:t>als direktem Objekt.</w:t>
      </w:r>
    </w:p>
    <w:p w14:paraId="1A7EB14E" w14:textId="0685FB5B"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w:t>
      </w:r>
      <w:r w:rsidR="00507F60">
        <w:t xml:space="preserve">übersetzt </w:t>
      </w:r>
      <w:r w:rsidR="00507F60">
        <w:rPr>
          <w:rtl/>
        </w:rPr>
        <w:t>צית הזהב נזר הקדש</w:t>
      </w:r>
      <w:r w:rsidR="00507F60">
        <w:t xml:space="preserve"> (</w:t>
      </w:r>
      <w:proofErr w:type="spellStart"/>
      <w:r w:rsidR="00507F60">
        <w:t>tzitz</w:t>
      </w:r>
      <w:proofErr w:type="spellEnd"/>
      <w:r w:rsidR="00507F60">
        <w:t xml:space="preserve"> </w:t>
      </w:r>
      <w:proofErr w:type="spellStart"/>
      <w:r w:rsidR="00507F60">
        <w:t>hazahav</w:t>
      </w:r>
      <w:proofErr w:type="spellEnd"/>
      <w:r w:rsidR="00507F60">
        <w:t xml:space="preserve"> </w:t>
      </w:r>
      <w:proofErr w:type="spellStart"/>
      <w:r w:rsidR="00507F60">
        <w:t>nezer</w:t>
      </w:r>
      <w:proofErr w:type="spellEnd"/>
      <w:r w:rsidR="00507F60">
        <w:t xml:space="preserve"> </w:t>
      </w:r>
      <w:proofErr w:type="spellStart"/>
      <w:r w:rsidR="00507F60">
        <w:t>haqodesh</w:t>
      </w:r>
      <w:proofErr w:type="spellEnd"/>
      <w:r w:rsidR="00507F60">
        <w:t xml:space="preserve"> - "die goldene Platte, das heilige Diadem") als </w:t>
      </w:r>
      <w:proofErr w:type="spellStart"/>
      <w:r w:rsidR="00507F60">
        <w:t>τὸ</w:t>
      </w:r>
      <w:proofErr w:type="spellEnd"/>
      <w:r w:rsidR="00507F60">
        <w:t xml:space="preserve"> π</w:t>
      </w:r>
      <w:proofErr w:type="spellStart"/>
      <w:r w:rsidR="00507F60">
        <w:t>έτ</w:t>
      </w:r>
      <w:proofErr w:type="spellEnd"/>
      <w:r w:rsidR="00507F60">
        <w:t xml:space="preserve">αλον </w:t>
      </w:r>
      <w:proofErr w:type="spellStart"/>
      <w:r w:rsidR="00507F60">
        <w:t>τὸ</w:t>
      </w:r>
      <w:proofErr w:type="spellEnd"/>
      <w:r w:rsidR="00507F60">
        <w:t xml:space="preserve"> </w:t>
      </w:r>
      <w:proofErr w:type="spellStart"/>
      <w:r w:rsidR="00507F60">
        <w:t>χρυσοῦν</w:t>
      </w:r>
      <w:proofErr w:type="spellEnd"/>
      <w:r w:rsidR="00507F60">
        <w:t xml:space="preserve"> </w:t>
      </w:r>
      <w:proofErr w:type="spellStart"/>
      <w:r w:rsidR="00507F60">
        <w:t>τὸ</w:t>
      </w:r>
      <w:proofErr w:type="spellEnd"/>
      <w:r w:rsidR="00507F60">
        <w:t xml:space="preserve"> κα</w:t>
      </w:r>
      <w:proofErr w:type="spellStart"/>
      <w:r w:rsidR="00507F60">
        <w:t>θηγι</w:t>
      </w:r>
      <w:proofErr w:type="spellEnd"/>
      <w:r w:rsidR="00507F60">
        <w:t xml:space="preserve">ασμένον </w:t>
      </w:r>
      <w:proofErr w:type="spellStart"/>
      <w:r w:rsidR="00507F60">
        <w:t>ἅγιον</w:t>
      </w:r>
      <w:proofErr w:type="spellEnd"/>
      <w:r w:rsidR="00507F60">
        <w:t xml:space="preserve"> (die goldene geheiligte heilige Platte), was eine erweiterte Heiligkeitsterminologie verwendet.</w:t>
      </w:r>
    </w:p>
    <w:p w14:paraId="0964BC48"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Hauptsätze plus Bestätigungsformel: 1) Verb + direktes Objekt + Ortsangabe; 2) Verb + komplexe Ortsangabe + zusammengesetztes direktes Objekt + Vergleichssatz. Die Struktur komplettiert die hohepriesterliche Bekleidung mit göttlicher Autorisierung.</w:t>
      </w:r>
    </w:p>
    <w:p w14:paraId="7897B97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vollendet Aarons Bekleidung mit der Kopfbedeckung und dem heiligen Stirnblatt und bestätigt die ordnungsgemäße Ausführung nach göttlichem Befehl.</w:t>
      </w:r>
    </w:p>
    <w:p w14:paraId="38954290"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8,10</w:t>
      </w:r>
    </w:p>
    <w:p w14:paraId="5127590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וַיִּקַּ֤ח מֹשֶׁה֙ אֶת־שֶׁ֣מֶן הַמִּשְׁחָ֔ה וַיִּמְשַׁ֥ח אֶת־הַמִּשְׁכָּ֖ן וְאֶת־כָּל־אֲשֶׁר־בּוֹ֑ וַיְקַדֵּ֖שׁ אֹתָֽם׃</w:t>
      </w:r>
    </w:p>
    <w:p w14:paraId="6D8ECBF6"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Mosche nahm das Salböl und salbte die Wohnung und alles, was darin war, und heiligte sie.</w:t>
      </w:r>
    </w:p>
    <w:p w14:paraId="1A339095"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75BE3CBD">
          <v:rect id="_x0000_i1206" style="width:0;height:1.5pt" o:hralign="center" o:hrstd="t" o:hr="t" fillcolor="#a0a0a0" stroked="f"/>
        </w:pict>
      </w:r>
    </w:p>
    <w:p w14:paraId="473E737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ויקח משה את־שמן המשחה</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לקח</w:t>
      </w:r>
      <w:r w:rsidRPr="000A1689">
        <w:rPr>
          <w:rFonts w:eastAsia="Times New Roman" w:cs="Times New Roman"/>
          <w:rtl/>
          <w:lang w:eastAsia="de-DE"/>
        </w:rPr>
        <w:t xml:space="preserve"> </w:t>
      </w:r>
      <w:r w:rsidRPr="000A1689">
        <w:rPr>
          <w:rFonts w:eastAsia="Times New Roman" w:cs="Times New Roman"/>
          <w:lang w:eastAsia="de-DE"/>
        </w:rPr>
        <w:t xml:space="preserve">(nehmen) im Qal-Imperfekt mit Waw-Konsekutiv, was den Übergang zur Salbungszeremonie markiert. </w:t>
      </w:r>
      <w:r w:rsidRPr="000A1689">
        <w:rPr>
          <w:rFonts w:eastAsia="Times New Roman" w:cs="Times New Roman"/>
          <w:b/>
          <w:bCs/>
          <w:rtl/>
          <w:lang w:eastAsia="de-DE"/>
        </w:rPr>
        <w:t>שמן המשחה</w:t>
      </w:r>
      <w:r w:rsidRPr="000A1689">
        <w:rPr>
          <w:rFonts w:eastAsia="Times New Roman" w:cs="Times New Roman"/>
          <w:rtl/>
          <w:lang w:eastAsia="de-DE"/>
        </w:rPr>
        <w:t xml:space="preserve"> </w:t>
      </w:r>
      <w:r w:rsidRPr="000A1689">
        <w:rPr>
          <w:rFonts w:eastAsia="Times New Roman" w:cs="Times New Roman"/>
          <w:lang w:eastAsia="de-DE"/>
        </w:rPr>
        <w:t xml:space="preserve">(Salböl) ist eine Genitivkonstruktion, die das heilige Öl aus Exodus 30,22-33 bezeichnet. Die Nota accusativi </w:t>
      </w:r>
      <w:r w:rsidRPr="000A1689">
        <w:rPr>
          <w:rFonts w:eastAsia="Times New Roman" w:cs="Times New Roman"/>
          <w:b/>
          <w:bCs/>
          <w:rtl/>
          <w:lang w:eastAsia="de-DE"/>
        </w:rPr>
        <w:t>את</w:t>
      </w:r>
      <w:r w:rsidRPr="000A1689">
        <w:rPr>
          <w:rFonts w:eastAsia="Times New Roman" w:cs="Times New Roman"/>
          <w:rtl/>
          <w:lang w:eastAsia="de-DE"/>
        </w:rPr>
        <w:t xml:space="preserve"> </w:t>
      </w:r>
      <w:r w:rsidRPr="000A1689">
        <w:rPr>
          <w:rFonts w:eastAsia="Times New Roman" w:cs="Times New Roman"/>
          <w:lang w:eastAsia="de-DE"/>
        </w:rPr>
        <w:t>markiert das direkte Objekt.</w:t>
      </w:r>
    </w:p>
    <w:p w14:paraId="41E0F6D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וימשח את־המשכן ואת־כל־אשר־בו</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im Qal-Imperfekt mit Waw-Konsekutiv. </w:t>
      </w:r>
      <w:r w:rsidRPr="000A1689">
        <w:rPr>
          <w:rFonts w:eastAsia="Times New Roman" w:cs="Times New Roman"/>
          <w:b/>
          <w:bCs/>
          <w:rtl/>
          <w:lang w:eastAsia="de-DE"/>
        </w:rPr>
        <w:t>המשכן</w:t>
      </w:r>
      <w:r w:rsidRPr="000A1689">
        <w:rPr>
          <w:rFonts w:eastAsia="Times New Roman" w:cs="Times New Roman"/>
          <w:rtl/>
          <w:lang w:eastAsia="de-DE"/>
        </w:rPr>
        <w:t xml:space="preserve"> </w:t>
      </w:r>
      <w:r w:rsidRPr="000A1689">
        <w:rPr>
          <w:rFonts w:eastAsia="Times New Roman" w:cs="Times New Roman"/>
          <w:lang w:eastAsia="de-DE"/>
        </w:rPr>
        <w:t xml:space="preserve">(die Wohnung/das Heiligtum) als erstes Objekt, gefolgt von </w:t>
      </w:r>
      <w:r w:rsidRPr="000A1689">
        <w:rPr>
          <w:rFonts w:eastAsia="Times New Roman" w:cs="Times New Roman"/>
          <w:b/>
          <w:bCs/>
          <w:rtl/>
          <w:lang w:eastAsia="de-DE"/>
        </w:rPr>
        <w:t>כל־אשר־בו</w:t>
      </w:r>
      <w:r w:rsidRPr="000A1689">
        <w:rPr>
          <w:rFonts w:eastAsia="Times New Roman" w:cs="Times New Roman"/>
          <w:rtl/>
          <w:lang w:eastAsia="de-DE"/>
        </w:rPr>
        <w:t xml:space="preserve"> </w:t>
      </w:r>
      <w:r w:rsidRPr="000A1689">
        <w:rPr>
          <w:rFonts w:eastAsia="Times New Roman" w:cs="Times New Roman"/>
          <w:lang w:eastAsia="de-DE"/>
        </w:rPr>
        <w:t xml:space="preserve">(alles, was darin war) als umfassende Beschreibung aller Heiligtumsgegenstände. Die Totalitätspartikel </w:t>
      </w:r>
      <w:r w:rsidRPr="000A1689">
        <w:rPr>
          <w:rFonts w:eastAsia="Times New Roman" w:cs="Times New Roman"/>
          <w:b/>
          <w:bCs/>
          <w:rtl/>
          <w:lang w:eastAsia="de-DE"/>
        </w:rPr>
        <w:t>כל</w:t>
      </w:r>
      <w:r w:rsidRPr="000A1689">
        <w:rPr>
          <w:rFonts w:eastAsia="Times New Roman" w:cs="Times New Roman"/>
          <w:rtl/>
          <w:lang w:eastAsia="de-DE"/>
        </w:rPr>
        <w:t xml:space="preserve"> </w:t>
      </w:r>
      <w:r w:rsidRPr="000A1689">
        <w:rPr>
          <w:rFonts w:eastAsia="Times New Roman" w:cs="Times New Roman"/>
          <w:lang w:eastAsia="de-DE"/>
        </w:rPr>
        <w:t>betont die Vollständigkeit der Salbung.</w:t>
      </w:r>
    </w:p>
    <w:p w14:paraId="6E6BA3E6"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ויקדש אתם</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קדש</w:t>
      </w:r>
      <w:r w:rsidRPr="000A1689">
        <w:rPr>
          <w:rFonts w:eastAsia="Times New Roman" w:cs="Times New Roman"/>
          <w:rtl/>
          <w:lang w:eastAsia="de-DE"/>
        </w:rPr>
        <w:t xml:space="preserve"> </w:t>
      </w:r>
      <w:r w:rsidRPr="000A1689">
        <w:rPr>
          <w:rFonts w:eastAsia="Times New Roman" w:cs="Times New Roman"/>
          <w:lang w:eastAsia="de-DE"/>
        </w:rPr>
        <w:t xml:space="preserve">(heiligen) im Piel-Imperfekt mit Waw-Konsekutiv. Das Piel zeigt die kausative Bedeutung "heilig machen/weihen". </w:t>
      </w:r>
      <w:r w:rsidRPr="000A1689">
        <w:rPr>
          <w:rFonts w:eastAsia="Times New Roman" w:cs="Times New Roman"/>
          <w:b/>
          <w:bCs/>
          <w:rtl/>
          <w:lang w:eastAsia="de-DE"/>
        </w:rPr>
        <w:t>אתם</w:t>
      </w:r>
      <w:r w:rsidRPr="000A1689">
        <w:rPr>
          <w:rFonts w:eastAsia="Times New Roman" w:cs="Times New Roman"/>
          <w:rtl/>
          <w:lang w:eastAsia="de-DE"/>
        </w:rPr>
        <w:t xml:space="preserve"> </w:t>
      </w:r>
      <w:r w:rsidRPr="000A1689">
        <w:rPr>
          <w:rFonts w:eastAsia="Times New Roman" w:cs="Times New Roman"/>
          <w:lang w:eastAsia="de-DE"/>
        </w:rPr>
        <w:t xml:space="preserve">(sie) referenziert </w:t>
      </w:r>
      <w:r w:rsidRPr="000A1689">
        <w:rPr>
          <w:rFonts w:eastAsia="Times New Roman" w:cs="Times New Roman"/>
          <w:b/>
          <w:bCs/>
          <w:rtl/>
          <w:lang w:eastAsia="de-DE"/>
        </w:rPr>
        <w:t>המשכן</w:t>
      </w:r>
      <w:r w:rsidRPr="000A1689">
        <w:rPr>
          <w:rFonts w:eastAsia="Times New Roman" w:cs="Times New Roman"/>
          <w:rtl/>
          <w:lang w:eastAsia="de-DE"/>
        </w:rPr>
        <w:t xml:space="preserve"> </w:t>
      </w:r>
      <w:r w:rsidRPr="000A1689">
        <w:rPr>
          <w:rFonts w:eastAsia="Times New Roman" w:cs="Times New Roman"/>
          <w:lang w:eastAsia="de-DE"/>
        </w:rPr>
        <w:t xml:space="preserve">und </w:t>
      </w:r>
      <w:r w:rsidRPr="000A1689">
        <w:rPr>
          <w:rFonts w:eastAsia="Times New Roman" w:cs="Times New Roman"/>
          <w:b/>
          <w:bCs/>
          <w:rtl/>
          <w:lang w:eastAsia="de-DE"/>
        </w:rPr>
        <w:t>כל־אשר־בו</w:t>
      </w:r>
      <w:r w:rsidRPr="000A1689">
        <w:rPr>
          <w:rFonts w:eastAsia="Times New Roman" w:cs="Times New Roman"/>
          <w:rtl/>
          <w:lang w:eastAsia="de-DE"/>
        </w:rPr>
        <w:t xml:space="preserve"> </w:t>
      </w:r>
      <w:r w:rsidRPr="000A1689">
        <w:rPr>
          <w:rFonts w:eastAsia="Times New Roman" w:cs="Times New Roman"/>
          <w:lang w:eastAsia="de-DE"/>
        </w:rPr>
        <w:t>zurück und zeigt, dass die Salbung Heiligung bewirkt.</w:t>
      </w:r>
    </w:p>
    <w:p w14:paraId="327B950F"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Reihenfolge zeigt die theologische Logik: erst Salbung der Örtlichkeit, dann der Personen.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und </w:t>
      </w:r>
      <w:r w:rsidRPr="000A1689">
        <w:rPr>
          <w:rFonts w:eastAsia="Times New Roman" w:cs="Times New Roman"/>
          <w:b/>
          <w:bCs/>
          <w:rtl/>
          <w:lang w:eastAsia="de-DE"/>
        </w:rPr>
        <w:t>קדש</w:t>
      </w:r>
      <w:r w:rsidRPr="000A1689">
        <w:rPr>
          <w:rFonts w:eastAsia="Times New Roman" w:cs="Times New Roman"/>
          <w:rtl/>
          <w:lang w:eastAsia="de-DE"/>
        </w:rPr>
        <w:t xml:space="preserve"> </w:t>
      </w:r>
      <w:r w:rsidRPr="000A1689">
        <w:rPr>
          <w:rFonts w:eastAsia="Times New Roman" w:cs="Times New Roman"/>
          <w:lang w:eastAsia="de-DE"/>
        </w:rPr>
        <w:t xml:space="preserve">stehen in kausalem Verhältnis - die Salbung bewirkt die Heiligung. Die Konstruktion </w:t>
      </w:r>
      <w:r w:rsidRPr="000A1689">
        <w:rPr>
          <w:rFonts w:eastAsia="Times New Roman" w:cs="Times New Roman"/>
          <w:b/>
          <w:bCs/>
          <w:rtl/>
          <w:lang w:eastAsia="de-DE"/>
        </w:rPr>
        <w:t>כל־אשר־בו</w:t>
      </w:r>
      <w:r w:rsidRPr="000A1689">
        <w:rPr>
          <w:rFonts w:eastAsia="Times New Roman" w:cs="Times New Roman"/>
          <w:rtl/>
          <w:lang w:eastAsia="de-DE"/>
        </w:rPr>
        <w:t xml:space="preserve"> </w:t>
      </w:r>
      <w:r w:rsidRPr="000A1689">
        <w:rPr>
          <w:rFonts w:eastAsia="Times New Roman" w:cs="Times New Roman"/>
          <w:lang w:eastAsia="de-DE"/>
        </w:rPr>
        <w:t>umfasst alle Geräte, Vorhänge und Einrichtungsgegenstände des Heiligtums.</w:t>
      </w:r>
    </w:p>
    <w:p w14:paraId="4A12268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lastRenderedPageBreak/>
        <w:t>Die LXX</w:t>
      </w:r>
      <w:r w:rsidRPr="000A1689">
        <w:rPr>
          <w:rFonts w:eastAsia="Times New Roman" w:cs="Times New Roman"/>
          <w:lang w:eastAsia="de-DE"/>
        </w:rPr>
        <w:t xml:space="preserve"> übersetzt </w:t>
      </w:r>
      <w:r w:rsidRPr="000A1689">
        <w:rPr>
          <w:rFonts w:eastAsia="Times New Roman" w:cs="Times New Roman"/>
          <w:b/>
          <w:bCs/>
          <w:rtl/>
          <w:lang w:eastAsia="de-DE"/>
        </w:rPr>
        <w:t>שמן המשחה</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τὸ</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ἔλ</w:t>
      </w:r>
      <w:proofErr w:type="spellEnd"/>
      <w:r w:rsidRPr="000A1689">
        <w:rPr>
          <w:rFonts w:eastAsia="Times New Roman" w:cs="Times New Roman"/>
          <w:lang w:eastAsia="de-DE"/>
        </w:rPr>
        <w:t xml:space="preserve">αιον </w:t>
      </w:r>
      <w:proofErr w:type="spellStart"/>
      <w:r w:rsidRPr="000A1689">
        <w:rPr>
          <w:rFonts w:eastAsia="Times New Roman" w:cs="Times New Roman"/>
          <w:lang w:eastAsia="de-DE"/>
        </w:rPr>
        <w:t>τοῦ</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χρίσμ</w:t>
      </w:r>
      <w:proofErr w:type="spellEnd"/>
      <w:r w:rsidRPr="000A1689">
        <w:rPr>
          <w:rFonts w:eastAsia="Times New Roman" w:cs="Times New Roman"/>
          <w:lang w:eastAsia="de-DE"/>
        </w:rPr>
        <w:t xml:space="preserve">ατος (das Öl der Salbung), </w:t>
      </w:r>
      <w:r w:rsidRPr="000A1689">
        <w:rPr>
          <w:rFonts w:eastAsia="Times New Roman" w:cs="Times New Roman"/>
          <w:b/>
          <w:bCs/>
          <w:rtl/>
          <w:lang w:eastAsia="de-DE"/>
        </w:rPr>
        <w:t>המשכן</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τὴν</w:t>
      </w:r>
      <w:proofErr w:type="spellEnd"/>
      <w:r w:rsidRPr="000A1689">
        <w:rPr>
          <w:rFonts w:eastAsia="Times New Roman" w:cs="Times New Roman"/>
          <w:lang w:eastAsia="de-DE"/>
        </w:rPr>
        <w:t xml:space="preserve"> </w:t>
      </w:r>
      <w:proofErr w:type="spellStart"/>
      <w:r w:rsidRPr="000A1689">
        <w:rPr>
          <w:rFonts w:eastAsia="Times New Roman" w:cs="Times New Roman"/>
          <w:lang w:eastAsia="de-DE"/>
        </w:rPr>
        <w:t>σκηνήν</w:t>
      </w:r>
      <w:proofErr w:type="spellEnd"/>
      <w:r w:rsidRPr="000A1689">
        <w:rPr>
          <w:rFonts w:eastAsia="Times New Roman" w:cs="Times New Roman"/>
          <w:lang w:eastAsia="de-DE"/>
        </w:rPr>
        <w:t xml:space="preserve"> (das Zelt) und </w:t>
      </w:r>
      <w:r w:rsidRPr="000A1689">
        <w:rPr>
          <w:rFonts w:eastAsia="Times New Roman" w:cs="Times New Roman"/>
          <w:b/>
          <w:bCs/>
          <w:rtl/>
          <w:lang w:eastAsia="de-DE"/>
        </w:rPr>
        <w:t>ויקדש</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ἡγί</w:t>
      </w:r>
      <w:proofErr w:type="spellEnd"/>
      <w:r w:rsidRPr="000A1689">
        <w:rPr>
          <w:rFonts w:eastAsia="Times New Roman" w:cs="Times New Roman"/>
          <w:lang w:eastAsia="de-DE"/>
        </w:rPr>
        <w:t>ασεν (er heiligte).</w:t>
      </w:r>
    </w:p>
    <w:p w14:paraId="355C1CB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drei koordinierte Hauptsätze: 1) Subjekt + Verb + direktes Objekt; 2) Verb + zwei koordinierte direkte Objekte; 3) Verb + direktes Objekt. Die Struktur zeigt die Progression von Nehmen über Salben zur Heiligung.</w:t>
      </w:r>
    </w:p>
    <w:p w14:paraId="29C5BFD8"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beginnt die Salbungszeremonie mit der umfassenden Heiligung des Heiligtums und aller seiner Gegenstände vor der Priestersalbung.</w:t>
      </w:r>
    </w:p>
    <w:p w14:paraId="225D7984"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8,11</w:t>
      </w:r>
    </w:p>
    <w:p w14:paraId="770B91B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Hebräisch:</w:t>
      </w:r>
      <w:r w:rsidRPr="000A1689">
        <w:rPr>
          <w:rFonts w:eastAsia="Times New Roman" w:cs="Times New Roman"/>
          <w:lang w:eastAsia="de-DE"/>
        </w:rPr>
        <w:t xml:space="preserve"> </w:t>
      </w:r>
      <w:r w:rsidRPr="000A1689">
        <w:rPr>
          <w:rFonts w:eastAsia="Times New Roman" w:cs="Times New Roman"/>
          <w:rtl/>
          <w:lang w:eastAsia="de-DE"/>
        </w:rPr>
        <w:t>וַיַּ֥ז מִמֶּ֛נּוּ עַל־הַמִּזְבֵּ֖חַ שֶׁ֣בַע פְּעָמִ֑ים וַיִּמְשַׁ֨ח אֶת־הַמִּזְבֵּ֜חַ וְאֶת־כָּל־כֵּלָ֗יו וְאֶת־הַכִּיֹּ֛ר וְאֶת־כַּנֹּ֖ו לְקַדְּשָֽׁם׃</w:t>
      </w:r>
    </w:p>
    <w:p w14:paraId="11E14437"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er spritzte davon siebenmal auf den Altar, und er salbte den Altar und alle seine Geräte und das Becken und sein Gestell, um sie zu heiligen.</w:t>
      </w:r>
    </w:p>
    <w:p w14:paraId="0A02B0D9"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1E2D277B">
          <v:rect id="_x0000_i1207" style="width:0;height:1.5pt" o:hralign="center" o:hrstd="t" o:hr="t" fillcolor="#a0a0a0" stroked="f"/>
        </w:pict>
      </w:r>
    </w:p>
    <w:p w14:paraId="24473785"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ויז ממנו על־המזבח שבע פעמים</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נזה</w:t>
      </w:r>
      <w:r w:rsidRPr="000A1689">
        <w:rPr>
          <w:rFonts w:eastAsia="Times New Roman" w:cs="Times New Roman"/>
          <w:rtl/>
          <w:lang w:eastAsia="de-DE"/>
        </w:rPr>
        <w:t xml:space="preserve"> </w:t>
      </w:r>
      <w:r w:rsidRPr="000A1689">
        <w:rPr>
          <w:rFonts w:eastAsia="Times New Roman" w:cs="Times New Roman"/>
          <w:lang w:eastAsia="de-DE"/>
        </w:rPr>
        <w:t xml:space="preserve">(spritzen) im Hifil-Imperfekt mit Waw-Konsekutiv. </w:t>
      </w:r>
      <w:r w:rsidRPr="000A1689">
        <w:rPr>
          <w:rFonts w:eastAsia="Times New Roman" w:cs="Times New Roman"/>
          <w:b/>
          <w:bCs/>
          <w:rtl/>
          <w:lang w:eastAsia="de-DE"/>
        </w:rPr>
        <w:t>ממנו</w:t>
      </w:r>
      <w:r w:rsidRPr="000A1689">
        <w:rPr>
          <w:rFonts w:eastAsia="Times New Roman" w:cs="Times New Roman"/>
          <w:rtl/>
          <w:lang w:eastAsia="de-DE"/>
        </w:rPr>
        <w:t xml:space="preserve"> </w:t>
      </w:r>
      <w:r w:rsidRPr="000A1689">
        <w:rPr>
          <w:rFonts w:eastAsia="Times New Roman" w:cs="Times New Roman"/>
          <w:lang w:eastAsia="de-DE"/>
        </w:rPr>
        <w:t xml:space="preserve">(davon) referenziert das Salböl aus V. 10. </w:t>
      </w:r>
      <w:r w:rsidRPr="000A1689">
        <w:rPr>
          <w:rFonts w:eastAsia="Times New Roman" w:cs="Times New Roman"/>
          <w:b/>
          <w:bCs/>
          <w:rtl/>
          <w:lang w:eastAsia="de-DE"/>
        </w:rPr>
        <w:t>על־המזבח</w:t>
      </w:r>
      <w:r w:rsidRPr="000A1689">
        <w:rPr>
          <w:rFonts w:eastAsia="Times New Roman" w:cs="Times New Roman"/>
          <w:rtl/>
          <w:lang w:eastAsia="de-DE"/>
        </w:rPr>
        <w:t xml:space="preserve"> </w:t>
      </w:r>
      <w:r w:rsidRPr="000A1689">
        <w:rPr>
          <w:rFonts w:eastAsia="Times New Roman" w:cs="Times New Roman"/>
          <w:lang w:eastAsia="de-DE"/>
        </w:rPr>
        <w:t xml:space="preserve">gibt das Ziel an, </w:t>
      </w:r>
      <w:r w:rsidRPr="000A1689">
        <w:rPr>
          <w:rFonts w:eastAsia="Times New Roman" w:cs="Times New Roman"/>
          <w:b/>
          <w:bCs/>
          <w:rtl/>
          <w:lang w:eastAsia="de-DE"/>
        </w:rPr>
        <w:t>שבע פעמים</w:t>
      </w:r>
      <w:r w:rsidRPr="000A1689">
        <w:rPr>
          <w:rFonts w:eastAsia="Times New Roman" w:cs="Times New Roman"/>
          <w:rtl/>
          <w:lang w:eastAsia="de-DE"/>
        </w:rPr>
        <w:t xml:space="preserve"> </w:t>
      </w:r>
      <w:r w:rsidRPr="000A1689">
        <w:rPr>
          <w:rFonts w:eastAsia="Times New Roman" w:cs="Times New Roman"/>
          <w:lang w:eastAsia="de-DE"/>
        </w:rPr>
        <w:t xml:space="preserve">(siebenmal) zeigt die rituelle Wiederholung. </w:t>
      </w:r>
      <w:r w:rsidRPr="000A1689">
        <w:rPr>
          <w:rFonts w:eastAsia="Times New Roman" w:cs="Times New Roman"/>
          <w:b/>
          <w:bCs/>
          <w:rtl/>
          <w:lang w:eastAsia="de-DE"/>
        </w:rPr>
        <w:t>שבע</w:t>
      </w:r>
      <w:r w:rsidRPr="000A1689">
        <w:rPr>
          <w:rFonts w:eastAsia="Times New Roman" w:cs="Times New Roman"/>
          <w:rtl/>
          <w:lang w:eastAsia="de-DE"/>
        </w:rPr>
        <w:t xml:space="preserve"> </w:t>
      </w:r>
      <w:r w:rsidRPr="000A1689">
        <w:rPr>
          <w:rFonts w:eastAsia="Times New Roman" w:cs="Times New Roman"/>
          <w:lang w:eastAsia="de-DE"/>
        </w:rPr>
        <w:t>(sieben) ist die Zahl der kultischen Vollkommenheit und Vollendung.</w:t>
      </w:r>
    </w:p>
    <w:p w14:paraId="5B29B61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וימשח את־המזבח ואת־כל־כליו</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im Qal-Imperfekt mit Waw-Konsekutiv. </w:t>
      </w:r>
      <w:r w:rsidRPr="000A1689">
        <w:rPr>
          <w:rFonts w:eastAsia="Times New Roman" w:cs="Times New Roman"/>
          <w:b/>
          <w:bCs/>
          <w:rtl/>
          <w:lang w:eastAsia="de-DE"/>
        </w:rPr>
        <w:t>כל־כליו</w:t>
      </w:r>
      <w:r w:rsidRPr="000A1689">
        <w:rPr>
          <w:rFonts w:eastAsia="Times New Roman" w:cs="Times New Roman"/>
          <w:rtl/>
          <w:lang w:eastAsia="de-DE"/>
        </w:rPr>
        <w:t xml:space="preserve"> </w:t>
      </w:r>
      <w:r w:rsidRPr="000A1689">
        <w:rPr>
          <w:rFonts w:eastAsia="Times New Roman" w:cs="Times New Roman"/>
          <w:lang w:eastAsia="de-DE"/>
        </w:rPr>
        <w:t xml:space="preserve">(alle seine Geräte) mit Possessivsuffix bezieht sich auf alle Altargeräte wie Töpfe, Schaufeln, Becken etc. </w:t>
      </w:r>
      <w:r w:rsidRPr="000A1689">
        <w:rPr>
          <w:rFonts w:eastAsia="Times New Roman" w:cs="Times New Roman"/>
          <w:b/>
          <w:bCs/>
          <w:rtl/>
          <w:lang w:eastAsia="de-DE"/>
        </w:rPr>
        <w:t>ואת־הכיר ואת־כנו</w:t>
      </w:r>
      <w:r w:rsidRPr="000A1689">
        <w:rPr>
          <w:rFonts w:eastAsia="Times New Roman" w:cs="Times New Roman"/>
          <w:rtl/>
          <w:lang w:eastAsia="de-DE"/>
        </w:rPr>
        <w:t xml:space="preserve"> </w:t>
      </w:r>
      <w:r w:rsidRPr="000A1689">
        <w:rPr>
          <w:rFonts w:eastAsia="Times New Roman" w:cs="Times New Roman"/>
          <w:lang w:eastAsia="de-DE"/>
        </w:rPr>
        <w:t xml:space="preserve">fügt </w:t>
      </w:r>
      <w:r w:rsidRPr="000A1689">
        <w:rPr>
          <w:rFonts w:eastAsia="Times New Roman" w:cs="Times New Roman"/>
          <w:b/>
          <w:bCs/>
          <w:rtl/>
          <w:lang w:eastAsia="de-DE"/>
        </w:rPr>
        <w:t>כיר</w:t>
      </w:r>
      <w:r w:rsidRPr="000A1689">
        <w:rPr>
          <w:rFonts w:eastAsia="Times New Roman" w:cs="Times New Roman"/>
          <w:rtl/>
          <w:lang w:eastAsia="de-DE"/>
        </w:rPr>
        <w:t xml:space="preserve"> </w:t>
      </w:r>
      <w:r w:rsidRPr="000A1689">
        <w:rPr>
          <w:rFonts w:eastAsia="Times New Roman" w:cs="Times New Roman"/>
          <w:lang w:eastAsia="de-DE"/>
        </w:rPr>
        <w:t xml:space="preserve">(Becken) und </w:t>
      </w:r>
      <w:r w:rsidRPr="000A1689">
        <w:rPr>
          <w:rFonts w:eastAsia="Times New Roman" w:cs="Times New Roman"/>
          <w:b/>
          <w:bCs/>
          <w:rtl/>
          <w:lang w:eastAsia="de-DE"/>
        </w:rPr>
        <w:t>כן</w:t>
      </w:r>
      <w:r w:rsidRPr="000A1689">
        <w:rPr>
          <w:rFonts w:eastAsia="Times New Roman" w:cs="Times New Roman"/>
          <w:rtl/>
          <w:lang w:eastAsia="de-DE"/>
        </w:rPr>
        <w:t xml:space="preserve"> </w:t>
      </w:r>
      <w:r w:rsidRPr="000A1689">
        <w:rPr>
          <w:rFonts w:eastAsia="Times New Roman" w:cs="Times New Roman"/>
          <w:lang w:eastAsia="de-DE"/>
        </w:rPr>
        <w:t>(Gestell) hinzu - das bronzene Waschbecken für priesterliche Reinigung.</w:t>
      </w:r>
    </w:p>
    <w:p w14:paraId="6A3C7DB4"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לקדשם</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קדש</w:t>
      </w:r>
      <w:r w:rsidRPr="000A1689">
        <w:rPr>
          <w:rFonts w:eastAsia="Times New Roman" w:cs="Times New Roman"/>
          <w:rtl/>
          <w:lang w:eastAsia="de-DE"/>
        </w:rPr>
        <w:t xml:space="preserve"> </w:t>
      </w:r>
      <w:r w:rsidRPr="000A1689">
        <w:rPr>
          <w:rFonts w:eastAsia="Times New Roman" w:cs="Times New Roman"/>
          <w:lang w:eastAsia="de-DE"/>
        </w:rPr>
        <w:t xml:space="preserve">als Piel-Infinitiv mit Präposition </w:t>
      </w:r>
      <w:r w:rsidRPr="000A1689">
        <w:rPr>
          <w:rFonts w:eastAsia="Times New Roman" w:cs="Times New Roman"/>
          <w:b/>
          <w:bCs/>
          <w:rtl/>
          <w:lang w:eastAsia="de-DE"/>
        </w:rPr>
        <w:t>ל</w:t>
      </w:r>
      <w:r w:rsidRPr="000A1689">
        <w:rPr>
          <w:rFonts w:eastAsia="Times New Roman" w:cs="Times New Roman"/>
          <w:rtl/>
          <w:lang w:eastAsia="de-DE"/>
        </w:rPr>
        <w:t xml:space="preserve"> </w:t>
      </w:r>
      <w:r w:rsidRPr="000A1689">
        <w:rPr>
          <w:rFonts w:eastAsia="Times New Roman" w:cs="Times New Roman"/>
          <w:lang w:eastAsia="de-DE"/>
        </w:rPr>
        <w:t xml:space="preserve">und Suffix </w:t>
      </w:r>
      <w:r w:rsidRPr="000A1689">
        <w:rPr>
          <w:rFonts w:eastAsia="Times New Roman" w:cs="Times New Roman"/>
          <w:b/>
          <w:bCs/>
          <w:rtl/>
          <w:lang w:eastAsia="de-DE"/>
        </w:rPr>
        <w:t>ם</w:t>
      </w:r>
      <w:r w:rsidRPr="000A1689">
        <w:rPr>
          <w:rFonts w:eastAsia="Times New Roman" w:cs="Times New Roman"/>
          <w:rtl/>
          <w:lang w:eastAsia="de-DE"/>
        </w:rPr>
        <w:t xml:space="preserve"> </w:t>
      </w:r>
      <w:r w:rsidRPr="000A1689">
        <w:rPr>
          <w:rFonts w:eastAsia="Times New Roman" w:cs="Times New Roman"/>
          <w:lang w:eastAsia="de-DE"/>
        </w:rPr>
        <w:t xml:space="preserve">(sie). Der Infinitiv drückt den Zweck der Salbung aus: "um sie zu heiligen". </w:t>
      </w:r>
      <w:r w:rsidRPr="000A1689">
        <w:rPr>
          <w:rFonts w:eastAsia="Times New Roman" w:cs="Times New Roman"/>
          <w:b/>
          <w:bCs/>
          <w:rtl/>
          <w:lang w:eastAsia="de-DE"/>
        </w:rPr>
        <w:t>קדש</w:t>
      </w:r>
      <w:r w:rsidRPr="000A1689">
        <w:rPr>
          <w:rFonts w:eastAsia="Times New Roman" w:cs="Times New Roman"/>
          <w:rtl/>
          <w:lang w:eastAsia="de-DE"/>
        </w:rPr>
        <w:t xml:space="preserve"> </w:t>
      </w:r>
      <w:r w:rsidRPr="000A1689">
        <w:rPr>
          <w:rFonts w:eastAsia="Times New Roman" w:cs="Times New Roman"/>
          <w:lang w:eastAsia="de-DE"/>
        </w:rPr>
        <w:t>im Piel bedeutet "heilig machen/weihen".</w:t>
      </w:r>
    </w:p>
    <w:p w14:paraId="2DAF564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Unterscheidung zwischen </w:t>
      </w:r>
      <w:r w:rsidRPr="000A1689">
        <w:rPr>
          <w:rFonts w:eastAsia="Times New Roman" w:cs="Times New Roman"/>
          <w:b/>
          <w:bCs/>
          <w:rtl/>
          <w:lang w:eastAsia="de-DE"/>
        </w:rPr>
        <w:t>נזה</w:t>
      </w:r>
      <w:r w:rsidRPr="000A1689">
        <w:rPr>
          <w:rFonts w:eastAsia="Times New Roman" w:cs="Times New Roman"/>
          <w:rtl/>
          <w:lang w:eastAsia="de-DE"/>
        </w:rPr>
        <w:t xml:space="preserve"> </w:t>
      </w:r>
      <w:r w:rsidRPr="000A1689">
        <w:rPr>
          <w:rFonts w:eastAsia="Times New Roman" w:cs="Times New Roman"/>
          <w:lang w:eastAsia="de-DE"/>
        </w:rPr>
        <w:t xml:space="preserve">(spritzen) und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zeigt verschiedene Salbungstechniken: intensives Bespritzen für den Altar, systematisches Salben für die Geräte. </w:t>
      </w:r>
      <w:r w:rsidRPr="000A1689">
        <w:rPr>
          <w:rFonts w:eastAsia="Times New Roman" w:cs="Times New Roman"/>
          <w:b/>
          <w:bCs/>
          <w:rtl/>
          <w:lang w:eastAsia="de-DE"/>
        </w:rPr>
        <w:t>שבע פעמים</w:t>
      </w:r>
      <w:r w:rsidRPr="000A1689">
        <w:rPr>
          <w:rFonts w:eastAsia="Times New Roman" w:cs="Times New Roman"/>
          <w:rtl/>
          <w:lang w:eastAsia="de-DE"/>
        </w:rPr>
        <w:t xml:space="preserve"> </w:t>
      </w:r>
      <w:r w:rsidRPr="000A1689">
        <w:rPr>
          <w:rFonts w:eastAsia="Times New Roman" w:cs="Times New Roman"/>
          <w:lang w:eastAsia="de-DE"/>
        </w:rPr>
        <w:t>betont die besondere Heiligkeit des Altars.</w:t>
      </w:r>
    </w:p>
    <w:p w14:paraId="3A8EC81A" w14:textId="068198B1"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w:t>
      </w:r>
      <w:r w:rsidR="00507F60">
        <w:t xml:space="preserve">reorganisiert die Salbungsreihenfolge und fügt καὶ </w:t>
      </w:r>
      <w:proofErr w:type="spellStart"/>
      <w:r w:rsidR="00507F60">
        <w:t>ἔχρισεν</w:t>
      </w:r>
      <w:proofErr w:type="spellEnd"/>
      <w:r w:rsidR="00507F60">
        <w:t xml:space="preserve"> </w:t>
      </w:r>
      <w:proofErr w:type="spellStart"/>
      <w:r w:rsidR="00507F60">
        <w:t>τὴν</w:t>
      </w:r>
      <w:proofErr w:type="spellEnd"/>
      <w:r w:rsidR="00507F60">
        <w:t xml:space="preserve"> </w:t>
      </w:r>
      <w:proofErr w:type="spellStart"/>
      <w:r w:rsidR="00507F60">
        <w:t>σκηνὴν</w:t>
      </w:r>
      <w:proofErr w:type="spellEnd"/>
      <w:r w:rsidR="00507F60">
        <w:t xml:space="preserve"> καὶ π</w:t>
      </w:r>
      <w:proofErr w:type="spellStart"/>
      <w:r w:rsidR="00507F60">
        <w:t>άντ</w:t>
      </w:r>
      <w:proofErr w:type="spellEnd"/>
      <w:r w:rsidR="00507F60">
        <w:t xml:space="preserve">α </w:t>
      </w:r>
      <w:proofErr w:type="spellStart"/>
      <w:r w:rsidR="00507F60">
        <w:t>τὰ</w:t>
      </w:r>
      <w:proofErr w:type="spellEnd"/>
      <w:r w:rsidR="00507F60">
        <w:t xml:space="preserve"> </w:t>
      </w:r>
      <w:proofErr w:type="spellStart"/>
      <w:r w:rsidR="00507F60">
        <w:t>ἐν</w:t>
      </w:r>
      <w:proofErr w:type="spellEnd"/>
      <w:r w:rsidR="00507F60">
        <w:t xml:space="preserve"> α</w:t>
      </w:r>
      <w:proofErr w:type="spellStart"/>
      <w:r w:rsidR="00507F60">
        <w:t>ὐτῇ</w:t>
      </w:r>
      <w:proofErr w:type="spellEnd"/>
      <w:r w:rsidR="00507F60">
        <w:t xml:space="preserve"> (und er salbte das Zelt und alles, was darin war) hinzu, obwohl dies im hebräischen Text erst in Vers 10 steht.</w:t>
      </w:r>
    </w:p>
    <w:p w14:paraId="129F5827"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koordinierte Hauptsätze: 1) Verb + Präpositionalphrase + Ortsangabe + Häufigkeitsangabe; 2) Verb + vier koordinierte direkte Objekte + Zweck-Infinitiv. Die Struktur betont sowohl intensive als auch umfassende Salbung.</w:t>
      </w:r>
    </w:p>
    <w:p w14:paraId="0605875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zeigt die besonders intensive Altarsalbung durch siebenfaches Bespritzen und die systematische Salbung aller Heiligtumsgegenstände zur Heiligung.</w:t>
      </w:r>
    </w:p>
    <w:p w14:paraId="1D24FC47" w14:textId="77777777" w:rsidR="000A1689" w:rsidRPr="000A1689" w:rsidRDefault="000A1689" w:rsidP="000A1689">
      <w:pPr>
        <w:spacing w:before="100" w:beforeAutospacing="1" w:after="100" w:afterAutospacing="1" w:line="240" w:lineRule="auto"/>
        <w:outlineLvl w:val="1"/>
        <w:rPr>
          <w:rFonts w:eastAsia="Times New Roman" w:cs="Times New Roman"/>
          <w:b/>
          <w:bCs/>
          <w:sz w:val="36"/>
          <w:szCs w:val="36"/>
          <w:lang w:eastAsia="de-DE"/>
        </w:rPr>
      </w:pPr>
      <w:r w:rsidRPr="000A1689">
        <w:rPr>
          <w:rFonts w:eastAsia="Times New Roman" w:cs="Times New Roman"/>
          <w:b/>
          <w:bCs/>
          <w:sz w:val="36"/>
          <w:szCs w:val="36"/>
          <w:lang w:eastAsia="de-DE"/>
        </w:rPr>
        <w:t>Leviticus 8,12</w:t>
      </w:r>
    </w:p>
    <w:p w14:paraId="2EEEFF12"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lastRenderedPageBreak/>
        <w:t>Hebräisch:</w:t>
      </w:r>
      <w:r w:rsidRPr="000A1689">
        <w:rPr>
          <w:rFonts w:eastAsia="Times New Roman" w:cs="Times New Roman"/>
          <w:lang w:eastAsia="de-DE"/>
        </w:rPr>
        <w:t xml:space="preserve"> </w:t>
      </w:r>
      <w:r w:rsidRPr="000A1689">
        <w:rPr>
          <w:rFonts w:eastAsia="Times New Roman" w:cs="Times New Roman"/>
          <w:rtl/>
          <w:lang w:eastAsia="de-DE"/>
        </w:rPr>
        <w:t>וַיִּצֹק֙ מִשֶּׁ֣מֶן הַמִּשְׁחָ֔ה עַ֖ל רֹ֣אשׁ אַהֲרֹ֑ן וַיִּמְשַׁ֥ח אֹתוֹ֖ לְקַדְּשֹֽׁו׃</w:t>
      </w:r>
    </w:p>
    <w:p w14:paraId="21BC0FC3"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Deutsch:</w:t>
      </w:r>
      <w:r w:rsidRPr="000A1689">
        <w:rPr>
          <w:rFonts w:eastAsia="Times New Roman" w:cs="Times New Roman"/>
          <w:lang w:eastAsia="de-DE"/>
        </w:rPr>
        <w:t xml:space="preserve"> Und er goss von dem Salböl auf das Haupt Aarons und salbte ihn, um ihn zu heiligen.</w:t>
      </w:r>
    </w:p>
    <w:p w14:paraId="46B5647C" w14:textId="77777777" w:rsidR="000A1689" w:rsidRPr="000A1689" w:rsidRDefault="00A57720" w:rsidP="000A1689">
      <w:pPr>
        <w:spacing w:after="0" w:line="240" w:lineRule="auto"/>
        <w:rPr>
          <w:rFonts w:eastAsia="Times New Roman" w:cs="Times New Roman"/>
          <w:lang w:eastAsia="de-DE"/>
        </w:rPr>
      </w:pPr>
      <w:r>
        <w:rPr>
          <w:rFonts w:eastAsia="Times New Roman" w:cs="Times New Roman"/>
          <w:noProof/>
          <w:lang w:eastAsia="de-DE"/>
        </w:rPr>
        <w:pict w14:anchorId="4550673C">
          <v:rect id="_x0000_i1208" style="width:0;height:1.5pt" o:hralign="center" o:hrstd="t" o:hr="t" fillcolor="#a0a0a0" stroked="f"/>
        </w:pict>
      </w:r>
    </w:p>
    <w:p w14:paraId="37DCCF2D"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Kommentar:</w:t>
      </w:r>
      <w:r w:rsidRPr="000A1689">
        <w:rPr>
          <w:rFonts w:eastAsia="Times New Roman" w:cs="Times New Roman"/>
          <w:lang w:eastAsia="de-DE"/>
        </w:rPr>
        <w:t xml:space="preserve"> </w:t>
      </w:r>
      <w:r w:rsidRPr="000A1689">
        <w:rPr>
          <w:rFonts w:eastAsia="Times New Roman" w:cs="Times New Roman"/>
          <w:b/>
          <w:bCs/>
          <w:rtl/>
          <w:lang w:eastAsia="de-DE"/>
        </w:rPr>
        <w:t>ויצק משמן המשחה על ראש אהרן</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יצק</w:t>
      </w:r>
      <w:r w:rsidRPr="000A1689">
        <w:rPr>
          <w:rFonts w:eastAsia="Times New Roman" w:cs="Times New Roman"/>
          <w:rtl/>
          <w:lang w:eastAsia="de-DE"/>
        </w:rPr>
        <w:t xml:space="preserve"> </w:t>
      </w:r>
      <w:r w:rsidRPr="000A1689">
        <w:rPr>
          <w:rFonts w:eastAsia="Times New Roman" w:cs="Times New Roman"/>
          <w:lang w:eastAsia="de-DE"/>
        </w:rPr>
        <w:t xml:space="preserve">(gießen) im Qal-Imperfekt mit Waw-Konsekutiv. </w:t>
      </w:r>
      <w:r w:rsidRPr="000A1689">
        <w:rPr>
          <w:rFonts w:eastAsia="Times New Roman" w:cs="Times New Roman"/>
          <w:b/>
          <w:bCs/>
          <w:rtl/>
          <w:lang w:eastAsia="de-DE"/>
        </w:rPr>
        <w:t>יצק</w:t>
      </w:r>
      <w:r w:rsidRPr="000A1689">
        <w:rPr>
          <w:rFonts w:eastAsia="Times New Roman" w:cs="Times New Roman"/>
          <w:rtl/>
          <w:lang w:eastAsia="de-DE"/>
        </w:rPr>
        <w:t xml:space="preserve"> </w:t>
      </w:r>
      <w:r w:rsidRPr="000A1689">
        <w:rPr>
          <w:rFonts w:eastAsia="Times New Roman" w:cs="Times New Roman"/>
          <w:lang w:eastAsia="de-DE"/>
        </w:rPr>
        <w:t xml:space="preserve">drückt reichliches Ausgießen aus, im Unterschied zum vorsichtigen </w:t>
      </w:r>
      <w:r w:rsidRPr="000A1689">
        <w:rPr>
          <w:rFonts w:eastAsia="Times New Roman" w:cs="Times New Roman"/>
          <w:b/>
          <w:bCs/>
          <w:rtl/>
          <w:lang w:eastAsia="de-DE"/>
        </w:rPr>
        <w:t>נזה</w:t>
      </w:r>
      <w:r w:rsidRPr="000A1689">
        <w:rPr>
          <w:rFonts w:eastAsia="Times New Roman" w:cs="Times New Roman"/>
          <w:rtl/>
          <w:lang w:eastAsia="de-DE"/>
        </w:rPr>
        <w:t xml:space="preserve"> </w:t>
      </w:r>
      <w:r w:rsidRPr="000A1689">
        <w:rPr>
          <w:rFonts w:eastAsia="Times New Roman" w:cs="Times New Roman"/>
          <w:lang w:eastAsia="de-DE"/>
        </w:rPr>
        <w:t xml:space="preserve">(spritzen) oder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w:t>
      </w:r>
      <w:r w:rsidRPr="000A1689">
        <w:rPr>
          <w:rFonts w:eastAsia="Times New Roman" w:cs="Times New Roman"/>
          <w:b/>
          <w:bCs/>
          <w:rtl/>
          <w:lang w:eastAsia="de-DE"/>
        </w:rPr>
        <w:t>משמן המשחה</w:t>
      </w:r>
      <w:r w:rsidRPr="000A1689">
        <w:rPr>
          <w:rFonts w:eastAsia="Times New Roman" w:cs="Times New Roman"/>
          <w:rtl/>
          <w:lang w:eastAsia="de-DE"/>
        </w:rPr>
        <w:t xml:space="preserve"> </w:t>
      </w:r>
      <w:r w:rsidRPr="000A1689">
        <w:rPr>
          <w:rFonts w:eastAsia="Times New Roman" w:cs="Times New Roman"/>
          <w:lang w:eastAsia="de-DE"/>
        </w:rPr>
        <w:t xml:space="preserve">(von dem Salböl) ist eine partitive Konstruktion, die einen Teil des Öls bezeichnet. </w:t>
      </w:r>
      <w:r w:rsidRPr="000A1689">
        <w:rPr>
          <w:rFonts w:eastAsia="Times New Roman" w:cs="Times New Roman"/>
          <w:b/>
          <w:bCs/>
          <w:rtl/>
          <w:lang w:eastAsia="de-DE"/>
        </w:rPr>
        <w:t>על ראש אהרן</w:t>
      </w:r>
      <w:r w:rsidRPr="000A1689">
        <w:rPr>
          <w:rFonts w:eastAsia="Times New Roman" w:cs="Times New Roman"/>
          <w:rtl/>
          <w:lang w:eastAsia="de-DE"/>
        </w:rPr>
        <w:t xml:space="preserve"> </w:t>
      </w:r>
      <w:r w:rsidRPr="000A1689">
        <w:rPr>
          <w:rFonts w:eastAsia="Times New Roman" w:cs="Times New Roman"/>
          <w:lang w:eastAsia="de-DE"/>
        </w:rPr>
        <w:t>(auf das Haupt Aarons) folgt dem Muster königlicher und priesterlicher Salbung.</w:t>
      </w:r>
    </w:p>
    <w:p w14:paraId="2D04BAE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וימשח אתו לקדשו</w:t>
      </w:r>
      <w:r w:rsidRPr="000A1689">
        <w:rPr>
          <w:rFonts w:eastAsia="Times New Roman" w:cs="Times New Roman"/>
          <w:rtl/>
          <w:lang w:eastAsia="de-DE"/>
        </w:rPr>
        <w:t xml:space="preserve"> </w:t>
      </w:r>
      <w:r w:rsidRPr="000A1689">
        <w:rPr>
          <w:rFonts w:eastAsia="Times New Roman" w:cs="Times New Roman"/>
          <w:lang w:eastAsia="de-DE"/>
        </w:rPr>
        <w:t xml:space="preserve">verwendet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im Qal-Imperfekt mit Waw-Konsekutiv als zusammenfassende Aussage. </w:t>
      </w:r>
      <w:r w:rsidRPr="000A1689">
        <w:rPr>
          <w:rFonts w:eastAsia="Times New Roman" w:cs="Times New Roman"/>
          <w:b/>
          <w:bCs/>
          <w:rtl/>
          <w:lang w:eastAsia="de-DE"/>
        </w:rPr>
        <w:t>אתו</w:t>
      </w:r>
      <w:r w:rsidRPr="000A1689">
        <w:rPr>
          <w:rFonts w:eastAsia="Times New Roman" w:cs="Times New Roman"/>
          <w:rtl/>
          <w:lang w:eastAsia="de-DE"/>
        </w:rPr>
        <w:t xml:space="preserve"> </w:t>
      </w:r>
      <w:r w:rsidRPr="000A1689">
        <w:rPr>
          <w:rFonts w:eastAsia="Times New Roman" w:cs="Times New Roman"/>
          <w:lang w:eastAsia="de-DE"/>
        </w:rPr>
        <w:t xml:space="preserve">(ihn) referenziert Aaron direkt. </w:t>
      </w:r>
      <w:r w:rsidRPr="000A1689">
        <w:rPr>
          <w:rFonts w:eastAsia="Times New Roman" w:cs="Times New Roman"/>
          <w:b/>
          <w:bCs/>
          <w:rtl/>
          <w:lang w:eastAsia="de-DE"/>
        </w:rPr>
        <w:t>לקדשו</w:t>
      </w:r>
      <w:r w:rsidRPr="000A1689">
        <w:rPr>
          <w:rFonts w:eastAsia="Times New Roman" w:cs="Times New Roman"/>
          <w:rtl/>
          <w:lang w:eastAsia="de-DE"/>
        </w:rPr>
        <w:t xml:space="preserve"> </w:t>
      </w:r>
      <w:r w:rsidRPr="000A1689">
        <w:rPr>
          <w:rFonts w:eastAsia="Times New Roman" w:cs="Times New Roman"/>
          <w:lang w:eastAsia="de-DE"/>
        </w:rPr>
        <w:t xml:space="preserve">zeigt </w:t>
      </w:r>
      <w:r w:rsidRPr="000A1689">
        <w:rPr>
          <w:rFonts w:eastAsia="Times New Roman" w:cs="Times New Roman"/>
          <w:b/>
          <w:bCs/>
          <w:rtl/>
          <w:lang w:eastAsia="de-DE"/>
        </w:rPr>
        <w:t>קדש</w:t>
      </w:r>
      <w:r w:rsidRPr="000A1689">
        <w:rPr>
          <w:rFonts w:eastAsia="Times New Roman" w:cs="Times New Roman"/>
          <w:rtl/>
          <w:lang w:eastAsia="de-DE"/>
        </w:rPr>
        <w:t xml:space="preserve"> </w:t>
      </w:r>
      <w:r w:rsidRPr="000A1689">
        <w:rPr>
          <w:rFonts w:eastAsia="Times New Roman" w:cs="Times New Roman"/>
          <w:lang w:eastAsia="de-DE"/>
        </w:rPr>
        <w:t xml:space="preserve">im Piel-Infinitiv mit Präposition </w:t>
      </w:r>
      <w:r w:rsidRPr="000A1689">
        <w:rPr>
          <w:rFonts w:eastAsia="Times New Roman" w:cs="Times New Roman"/>
          <w:b/>
          <w:bCs/>
          <w:rtl/>
          <w:lang w:eastAsia="de-DE"/>
        </w:rPr>
        <w:t>ל</w:t>
      </w:r>
      <w:r w:rsidRPr="000A1689">
        <w:rPr>
          <w:rFonts w:eastAsia="Times New Roman" w:cs="Times New Roman"/>
          <w:rtl/>
          <w:lang w:eastAsia="de-DE"/>
        </w:rPr>
        <w:t xml:space="preserve"> </w:t>
      </w:r>
      <w:r w:rsidRPr="000A1689">
        <w:rPr>
          <w:rFonts w:eastAsia="Times New Roman" w:cs="Times New Roman"/>
          <w:lang w:eastAsia="de-DE"/>
        </w:rPr>
        <w:t xml:space="preserve">und Suffix </w:t>
      </w:r>
      <w:r w:rsidRPr="000A1689">
        <w:rPr>
          <w:rFonts w:eastAsia="Times New Roman" w:cs="Times New Roman"/>
          <w:b/>
          <w:bCs/>
          <w:rtl/>
          <w:lang w:eastAsia="de-DE"/>
        </w:rPr>
        <w:t>ו</w:t>
      </w:r>
      <w:r w:rsidRPr="000A1689">
        <w:rPr>
          <w:rFonts w:eastAsia="Times New Roman" w:cs="Times New Roman"/>
          <w:rtl/>
          <w:lang w:eastAsia="de-DE"/>
        </w:rPr>
        <w:t xml:space="preserve"> </w:t>
      </w:r>
      <w:r w:rsidRPr="000A1689">
        <w:rPr>
          <w:rFonts w:eastAsia="Times New Roman" w:cs="Times New Roman"/>
          <w:lang w:eastAsia="de-DE"/>
        </w:rPr>
        <w:t>(ihn), was den Zweck der Salbung ausdrückt: "um ihn zu heiligen".</w:t>
      </w:r>
    </w:p>
    <w:p w14:paraId="2983FE2D"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 xml:space="preserve">Die Unterscheidung zwischen </w:t>
      </w:r>
      <w:r w:rsidRPr="000A1689">
        <w:rPr>
          <w:rFonts w:eastAsia="Times New Roman" w:cs="Times New Roman"/>
          <w:b/>
          <w:bCs/>
          <w:rtl/>
          <w:lang w:eastAsia="de-DE"/>
        </w:rPr>
        <w:t>יצק</w:t>
      </w:r>
      <w:r w:rsidRPr="000A1689">
        <w:rPr>
          <w:rFonts w:eastAsia="Times New Roman" w:cs="Times New Roman"/>
          <w:rtl/>
          <w:lang w:eastAsia="de-DE"/>
        </w:rPr>
        <w:t xml:space="preserve"> </w:t>
      </w:r>
      <w:r w:rsidRPr="000A1689">
        <w:rPr>
          <w:rFonts w:eastAsia="Times New Roman" w:cs="Times New Roman"/>
          <w:lang w:eastAsia="de-DE"/>
        </w:rPr>
        <w:t xml:space="preserve">(gießen) und </w:t>
      </w:r>
      <w:r w:rsidRPr="000A1689">
        <w:rPr>
          <w:rFonts w:eastAsia="Times New Roman" w:cs="Times New Roman"/>
          <w:b/>
          <w:bCs/>
          <w:rtl/>
          <w:lang w:eastAsia="de-DE"/>
        </w:rPr>
        <w:t>משח</w:t>
      </w:r>
      <w:r w:rsidRPr="000A1689">
        <w:rPr>
          <w:rFonts w:eastAsia="Times New Roman" w:cs="Times New Roman"/>
          <w:rtl/>
          <w:lang w:eastAsia="de-DE"/>
        </w:rPr>
        <w:t xml:space="preserve"> </w:t>
      </w:r>
      <w:r w:rsidRPr="000A1689">
        <w:rPr>
          <w:rFonts w:eastAsia="Times New Roman" w:cs="Times New Roman"/>
          <w:lang w:eastAsia="de-DE"/>
        </w:rPr>
        <w:t xml:space="preserve">(salben) zeigt die Intensität von Aarons Salbung. </w:t>
      </w:r>
      <w:r w:rsidRPr="000A1689">
        <w:rPr>
          <w:rFonts w:eastAsia="Times New Roman" w:cs="Times New Roman"/>
          <w:b/>
          <w:bCs/>
          <w:rtl/>
          <w:lang w:eastAsia="de-DE"/>
        </w:rPr>
        <w:t>יצק</w:t>
      </w:r>
      <w:r w:rsidRPr="000A1689">
        <w:rPr>
          <w:rFonts w:eastAsia="Times New Roman" w:cs="Times New Roman"/>
          <w:rtl/>
          <w:lang w:eastAsia="de-DE"/>
        </w:rPr>
        <w:t xml:space="preserve"> </w:t>
      </w:r>
      <w:r w:rsidRPr="000A1689">
        <w:rPr>
          <w:rFonts w:eastAsia="Times New Roman" w:cs="Times New Roman"/>
          <w:lang w:eastAsia="de-DE"/>
        </w:rPr>
        <w:t>suggeriert, dass das Öl reichlich über sein Haupt gegossen wird, entsprechend Psalm 133,2, wo das Öl vom Haupt herabfließt. Diese großzügige Salbung unterscheidet Aaron von seinen Söhnen.</w:t>
      </w:r>
    </w:p>
    <w:p w14:paraId="47BAC34A"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rtl/>
          <w:lang w:eastAsia="de-DE"/>
        </w:rPr>
        <w:t>על ראש</w:t>
      </w:r>
      <w:r w:rsidRPr="000A1689">
        <w:rPr>
          <w:rFonts w:eastAsia="Times New Roman" w:cs="Times New Roman"/>
          <w:rtl/>
          <w:lang w:eastAsia="de-DE"/>
        </w:rPr>
        <w:t xml:space="preserve"> </w:t>
      </w:r>
      <w:r w:rsidRPr="000A1689">
        <w:rPr>
          <w:rFonts w:eastAsia="Times New Roman" w:cs="Times New Roman"/>
          <w:lang w:eastAsia="de-DE"/>
        </w:rPr>
        <w:t xml:space="preserve">(auf das Haupt) entspricht der traditionellen Salbungspraxis für Könige und Hohepriester. </w:t>
      </w:r>
      <w:r w:rsidRPr="000A1689">
        <w:rPr>
          <w:rFonts w:eastAsia="Times New Roman" w:cs="Times New Roman"/>
          <w:b/>
          <w:bCs/>
          <w:rtl/>
          <w:lang w:eastAsia="de-DE"/>
        </w:rPr>
        <w:t>לקדשו</w:t>
      </w:r>
      <w:r w:rsidRPr="000A1689">
        <w:rPr>
          <w:rFonts w:eastAsia="Times New Roman" w:cs="Times New Roman"/>
          <w:rtl/>
          <w:lang w:eastAsia="de-DE"/>
        </w:rPr>
        <w:t xml:space="preserve"> </w:t>
      </w:r>
      <w:r w:rsidRPr="000A1689">
        <w:rPr>
          <w:rFonts w:eastAsia="Times New Roman" w:cs="Times New Roman"/>
          <w:lang w:eastAsia="de-DE"/>
        </w:rPr>
        <w:t xml:space="preserve">macht Aaron zum </w:t>
      </w:r>
      <w:r w:rsidRPr="000A1689">
        <w:rPr>
          <w:rFonts w:eastAsia="Times New Roman" w:cs="Times New Roman"/>
          <w:b/>
          <w:bCs/>
          <w:rtl/>
          <w:lang w:eastAsia="de-DE"/>
        </w:rPr>
        <w:t>כהן המשיח</w:t>
      </w:r>
      <w:r w:rsidRPr="000A1689">
        <w:rPr>
          <w:rFonts w:eastAsia="Times New Roman" w:cs="Times New Roman"/>
          <w:rtl/>
          <w:lang w:eastAsia="de-DE"/>
        </w:rPr>
        <w:t xml:space="preserve"> </w:t>
      </w:r>
      <w:r w:rsidRPr="000A1689">
        <w:rPr>
          <w:rFonts w:eastAsia="Times New Roman" w:cs="Times New Roman"/>
          <w:lang w:eastAsia="de-DE"/>
        </w:rPr>
        <w:t>(gesalbten Priester), eine Bezeichnung, die in den Opfergesetzen verwendet wird.</w:t>
      </w:r>
    </w:p>
    <w:p w14:paraId="62E2B789"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LXX</w:t>
      </w:r>
      <w:r w:rsidRPr="000A1689">
        <w:rPr>
          <w:rFonts w:eastAsia="Times New Roman" w:cs="Times New Roman"/>
          <w:lang w:eastAsia="de-DE"/>
        </w:rPr>
        <w:t xml:space="preserve"> übersetzt </w:t>
      </w:r>
      <w:r w:rsidRPr="000A1689">
        <w:rPr>
          <w:rFonts w:eastAsia="Times New Roman" w:cs="Times New Roman"/>
          <w:b/>
          <w:bCs/>
          <w:rtl/>
          <w:lang w:eastAsia="de-DE"/>
        </w:rPr>
        <w:t>ויצק</w:t>
      </w:r>
      <w:r w:rsidRPr="000A1689">
        <w:rPr>
          <w:rFonts w:eastAsia="Times New Roman" w:cs="Times New Roman"/>
          <w:rtl/>
          <w:lang w:eastAsia="de-DE"/>
        </w:rPr>
        <w:t xml:space="preserve"> </w:t>
      </w:r>
      <w:r w:rsidRPr="000A1689">
        <w:rPr>
          <w:rFonts w:eastAsia="Times New Roman" w:cs="Times New Roman"/>
          <w:lang w:eastAsia="de-DE"/>
        </w:rPr>
        <w:t>mit κα</w:t>
      </w:r>
      <w:proofErr w:type="spellStart"/>
      <w:r w:rsidRPr="000A1689">
        <w:rPr>
          <w:rFonts w:eastAsia="Times New Roman" w:cs="Times New Roman"/>
          <w:lang w:eastAsia="de-DE"/>
        </w:rPr>
        <w:t>τέχεεν</w:t>
      </w:r>
      <w:proofErr w:type="spellEnd"/>
      <w:r w:rsidRPr="000A1689">
        <w:rPr>
          <w:rFonts w:eastAsia="Times New Roman" w:cs="Times New Roman"/>
          <w:lang w:eastAsia="de-DE"/>
        </w:rPr>
        <w:t xml:space="preserve"> (er goss herab), </w:t>
      </w:r>
      <w:r w:rsidRPr="000A1689">
        <w:rPr>
          <w:rFonts w:eastAsia="Times New Roman" w:cs="Times New Roman"/>
          <w:b/>
          <w:bCs/>
          <w:rtl/>
          <w:lang w:eastAsia="de-DE"/>
        </w:rPr>
        <w:t>ראש אהרן</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κεφ</w:t>
      </w:r>
      <w:proofErr w:type="spellEnd"/>
      <w:r w:rsidRPr="000A1689">
        <w:rPr>
          <w:rFonts w:eastAsia="Times New Roman" w:cs="Times New Roman"/>
          <w:lang w:eastAsia="de-DE"/>
        </w:rPr>
        <w:t>αλὴν Αα</w:t>
      </w:r>
      <w:proofErr w:type="spellStart"/>
      <w:r w:rsidRPr="000A1689">
        <w:rPr>
          <w:rFonts w:eastAsia="Times New Roman" w:cs="Times New Roman"/>
          <w:lang w:eastAsia="de-DE"/>
        </w:rPr>
        <w:t>ρων</w:t>
      </w:r>
      <w:proofErr w:type="spellEnd"/>
      <w:r w:rsidRPr="000A1689">
        <w:rPr>
          <w:rFonts w:eastAsia="Times New Roman" w:cs="Times New Roman"/>
          <w:lang w:eastAsia="de-DE"/>
        </w:rPr>
        <w:t xml:space="preserve"> (Haupt Aarons) und </w:t>
      </w:r>
      <w:r w:rsidRPr="000A1689">
        <w:rPr>
          <w:rFonts w:eastAsia="Times New Roman" w:cs="Times New Roman"/>
          <w:b/>
          <w:bCs/>
          <w:rtl/>
          <w:lang w:eastAsia="de-DE"/>
        </w:rPr>
        <w:t>לקדשו</w:t>
      </w:r>
      <w:r w:rsidRPr="000A1689">
        <w:rPr>
          <w:rFonts w:eastAsia="Times New Roman" w:cs="Times New Roman"/>
          <w:rtl/>
          <w:lang w:eastAsia="de-DE"/>
        </w:rPr>
        <w:t xml:space="preserve"> </w:t>
      </w:r>
      <w:r w:rsidRPr="000A1689">
        <w:rPr>
          <w:rFonts w:eastAsia="Times New Roman" w:cs="Times New Roman"/>
          <w:lang w:eastAsia="de-DE"/>
        </w:rPr>
        <w:t xml:space="preserve">mit </w:t>
      </w:r>
      <w:proofErr w:type="spellStart"/>
      <w:r w:rsidRPr="000A1689">
        <w:rPr>
          <w:rFonts w:eastAsia="Times New Roman" w:cs="Times New Roman"/>
          <w:lang w:eastAsia="de-DE"/>
        </w:rPr>
        <w:t>ἁγιάσ</w:t>
      </w:r>
      <w:proofErr w:type="spellEnd"/>
      <w:r w:rsidRPr="000A1689">
        <w:rPr>
          <w:rFonts w:eastAsia="Times New Roman" w:cs="Times New Roman"/>
          <w:lang w:eastAsia="de-DE"/>
        </w:rPr>
        <w:t>αι α</w:t>
      </w:r>
      <w:proofErr w:type="spellStart"/>
      <w:r w:rsidRPr="000A1689">
        <w:rPr>
          <w:rFonts w:eastAsia="Times New Roman" w:cs="Times New Roman"/>
          <w:lang w:eastAsia="de-DE"/>
        </w:rPr>
        <w:t>ὐτόν</w:t>
      </w:r>
      <w:proofErr w:type="spellEnd"/>
      <w:r w:rsidRPr="000A1689">
        <w:rPr>
          <w:rFonts w:eastAsia="Times New Roman" w:cs="Times New Roman"/>
          <w:lang w:eastAsia="de-DE"/>
        </w:rPr>
        <w:t xml:space="preserve"> (ihn zu heiligen).</w:t>
      </w:r>
    </w:p>
    <w:p w14:paraId="2EA7F1D1"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b/>
          <w:bCs/>
          <w:lang w:eastAsia="de-DE"/>
        </w:rPr>
        <w:t>Die Satzstruktur:</w:t>
      </w:r>
      <w:r w:rsidRPr="000A1689">
        <w:rPr>
          <w:rFonts w:eastAsia="Times New Roman" w:cs="Times New Roman"/>
          <w:lang w:eastAsia="de-DE"/>
        </w:rPr>
        <w:t xml:space="preserve"> zeigt zwei koordinierte Hauptsätze: 1) Verb + Präpositionalphrase + Ortsangabe; 2) Verb + direktes Objekt + Zweck-Infinitiv. Die Struktur betont sowohl die Handlung als auch den Heiligungszweck.</w:t>
      </w:r>
    </w:p>
    <w:p w14:paraId="7BF499BE" w14:textId="77777777" w:rsidR="000A1689" w:rsidRPr="000A1689" w:rsidRDefault="000A1689" w:rsidP="000A1689">
      <w:pPr>
        <w:spacing w:before="100" w:beforeAutospacing="1" w:after="100" w:afterAutospacing="1" w:line="240" w:lineRule="auto"/>
        <w:rPr>
          <w:rFonts w:eastAsia="Times New Roman" w:cs="Times New Roman"/>
          <w:lang w:eastAsia="de-DE"/>
        </w:rPr>
      </w:pPr>
      <w:r w:rsidRPr="000A1689">
        <w:rPr>
          <w:rFonts w:eastAsia="Times New Roman" w:cs="Times New Roman"/>
          <w:lang w:eastAsia="de-DE"/>
        </w:rPr>
        <w:t>Dieser Vers markiert den Höhepunkt der Salbungszeremonie mit Aarons feierlicher Hauptsalbung zum gesalbten Hohepriester.</w:t>
      </w:r>
    </w:p>
    <w:p w14:paraId="17452E0D"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8,13</w:t>
      </w:r>
    </w:p>
    <w:p w14:paraId="54045EF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וַיַּקְרֵ֨ב מֹשֶׁ֜ה אֶת־בְּנֵ֣י אַהֲרֹ֗ן וַיַּלְבִּשֵׁ֤ם כֻּתֳּנֹת֙ וַיַּחְגֹּ֤ר אֹתָם֙ אַבְנֵ֔ט וַיַּחֲבֹ֥שׁ לָהֶ֖ם מִגְבָּע֑וֹת כַּאֲשֶׁ֛ר צִוָּ֥ה יְהוָ֖ה אֶת־מֹשֶֽׁה׃</w:t>
      </w:r>
    </w:p>
    <w:p w14:paraId="46BC3D6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Mosche ließ die Söhne Aarons herantreten und bekleidete sie mit Leibröcken und umgürtete sie mit einem Gürtel und band ihnen hohe Mützen um: so wie der Ewige dem Mosche geboten hatte.</w:t>
      </w:r>
    </w:p>
    <w:p w14:paraId="3E8CE5DF"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67AAD96A">
          <v:rect id="_x0000_i1209" style="width:0;height:1.5pt" o:hralign="center" o:hrstd="t" o:hr="t" fillcolor="#a0a0a0" stroked="f"/>
        </w:pict>
      </w:r>
    </w:p>
    <w:p w14:paraId="3E5B781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lastRenderedPageBreak/>
        <w:t>Kommentar:</w:t>
      </w:r>
      <w:r w:rsidRPr="0050276D">
        <w:rPr>
          <w:rFonts w:eastAsia="Times New Roman" w:cs="Times New Roman"/>
          <w:lang w:eastAsia="de-DE"/>
        </w:rPr>
        <w:t xml:space="preserve"> </w:t>
      </w:r>
      <w:r w:rsidRPr="0050276D">
        <w:rPr>
          <w:rFonts w:eastAsia="Times New Roman" w:cs="Times New Roman"/>
          <w:b/>
          <w:bCs/>
          <w:rtl/>
          <w:lang w:eastAsia="de-DE"/>
        </w:rPr>
        <w:t>ויקרב משה את־בני אהרן</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 xml:space="preserve">im Hifil-Imperfekt mit Waw-Konsekutiv, analog zu V. 6 bei Aaron selbst. </w:t>
      </w:r>
      <w:r w:rsidRPr="0050276D">
        <w:rPr>
          <w:rFonts w:eastAsia="Times New Roman" w:cs="Times New Roman"/>
          <w:b/>
          <w:bCs/>
          <w:rtl/>
          <w:lang w:eastAsia="de-DE"/>
        </w:rPr>
        <w:t>בני אהרן</w:t>
      </w:r>
      <w:r w:rsidRPr="0050276D">
        <w:rPr>
          <w:rFonts w:eastAsia="Times New Roman" w:cs="Times New Roman"/>
          <w:rtl/>
          <w:lang w:eastAsia="de-DE"/>
        </w:rPr>
        <w:t xml:space="preserve"> </w:t>
      </w:r>
      <w:r w:rsidRPr="0050276D">
        <w:rPr>
          <w:rFonts w:eastAsia="Times New Roman" w:cs="Times New Roman"/>
          <w:lang w:eastAsia="de-DE"/>
        </w:rPr>
        <w:t>(Söhne Aarons) bezeichnet die gewöhnlichen Priester im Unterschied zum gesalbten Hohepriester. Das Hifil drückt die kausative Handlung "heranführen lassen" aus.</w:t>
      </w:r>
    </w:p>
    <w:p w14:paraId="561B39FD"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וילבשם כתנת</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לבש</w:t>
      </w:r>
      <w:r w:rsidRPr="0050276D">
        <w:rPr>
          <w:rFonts w:eastAsia="Times New Roman" w:cs="Times New Roman"/>
          <w:rtl/>
          <w:lang w:eastAsia="de-DE"/>
        </w:rPr>
        <w:t xml:space="preserve"> </w:t>
      </w:r>
      <w:r w:rsidRPr="0050276D">
        <w:rPr>
          <w:rFonts w:eastAsia="Times New Roman" w:cs="Times New Roman"/>
          <w:lang w:eastAsia="de-DE"/>
        </w:rPr>
        <w:t xml:space="preserve">(bekleiden) im Hifil-Imperfekt mit Waw-Konsekutiv. Das Hifil zeigt die kausative Bedeutung "jemanden bekleiden". </w:t>
      </w:r>
      <w:r w:rsidRPr="0050276D">
        <w:rPr>
          <w:rFonts w:eastAsia="Times New Roman" w:cs="Times New Roman"/>
          <w:b/>
          <w:bCs/>
          <w:rtl/>
          <w:lang w:eastAsia="de-DE"/>
        </w:rPr>
        <w:t>כתנת</w:t>
      </w:r>
      <w:r w:rsidRPr="0050276D">
        <w:rPr>
          <w:rFonts w:eastAsia="Times New Roman" w:cs="Times New Roman"/>
          <w:rtl/>
          <w:lang w:eastAsia="de-DE"/>
        </w:rPr>
        <w:t xml:space="preserve"> </w:t>
      </w:r>
      <w:r w:rsidRPr="0050276D">
        <w:rPr>
          <w:rFonts w:eastAsia="Times New Roman" w:cs="Times New Roman"/>
          <w:lang w:eastAsia="de-DE"/>
        </w:rPr>
        <w:t xml:space="preserve">(Leibröcke) steht im Plural zu </w:t>
      </w:r>
      <w:r w:rsidRPr="0050276D">
        <w:rPr>
          <w:rFonts w:eastAsia="Times New Roman" w:cs="Times New Roman"/>
          <w:b/>
          <w:bCs/>
          <w:rtl/>
          <w:lang w:eastAsia="de-DE"/>
        </w:rPr>
        <w:t>כתנת</w:t>
      </w:r>
      <w:r w:rsidRPr="0050276D">
        <w:rPr>
          <w:rFonts w:eastAsia="Times New Roman" w:cs="Times New Roman"/>
          <w:rtl/>
          <w:lang w:eastAsia="de-DE"/>
        </w:rPr>
        <w:t xml:space="preserve"> </w:t>
      </w:r>
      <w:r w:rsidRPr="0050276D">
        <w:rPr>
          <w:rFonts w:eastAsia="Times New Roman" w:cs="Times New Roman"/>
          <w:lang w:eastAsia="de-DE"/>
        </w:rPr>
        <w:t xml:space="preserve">aus V. 7 und bezeichnet die leinenen Grundgewänder der gewöhnlichen Priester. </w:t>
      </w:r>
      <w:r w:rsidRPr="0050276D">
        <w:rPr>
          <w:rFonts w:eastAsia="Times New Roman" w:cs="Times New Roman"/>
          <w:b/>
          <w:bCs/>
          <w:rtl/>
          <w:lang w:eastAsia="de-DE"/>
        </w:rPr>
        <w:t>ויחגר אתם אבנט</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חגר</w:t>
      </w:r>
      <w:r w:rsidRPr="0050276D">
        <w:rPr>
          <w:rFonts w:eastAsia="Times New Roman" w:cs="Times New Roman"/>
          <w:rtl/>
          <w:lang w:eastAsia="de-DE"/>
        </w:rPr>
        <w:t xml:space="preserve"> </w:t>
      </w:r>
      <w:r w:rsidRPr="0050276D">
        <w:rPr>
          <w:rFonts w:eastAsia="Times New Roman" w:cs="Times New Roman"/>
          <w:lang w:eastAsia="de-DE"/>
        </w:rPr>
        <w:t xml:space="preserve">(umgürten) im Qal-Imperfekt, </w:t>
      </w:r>
      <w:r w:rsidRPr="0050276D">
        <w:rPr>
          <w:rFonts w:eastAsia="Times New Roman" w:cs="Times New Roman"/>
          <w:b/>
          <w:bCs/>
          <w:rtl/>
          <w:lang w:eastAsia="de-DE"/>
        </w:rPr>
        <w:t>אבנט</w:t>
      </w:r>
      <w:r w:rsidRPr="0050276D">
        <w:rPr>
          <w:rFonts w:eastAsia="Times New Roman" w:cs="Times New Roman"/>
          <w:rtl/>
          <w:lang w:eastAsia="de-DE"/>
        </w:rPr>
        <w:t xml:space="preserve"> </w:t>
      </w:r>
      <w:r w:rsidRPr="0050276D">
        <w:rPr>
          <w:rFonts w:eastAsia="Times New Roman" w:cs="Times New Roman"/>
          <w:lang w:eastAsia="de-DE"/>
        </w:rPr>
        <w:t>(Gürtel) zur Befestigung der Gewänder.</w:t>
      </w:r>
    </w:p>
    <w:p w14:paraId="6D8C6FC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ויחבש להם מגבעות</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חבש</w:t>
      </w:r>
      <w:r w:rsidRPr="0050276D">
        <w:rPr>
          <w:rFonts w:eastAsia="Times New Roman" w:cs="Times New Roman"/>
          <w:rtl/>
          <w:lang w:eastAsia="de-DE"/>
        </w:rPr>
        <w:t xml:space="preserve"> </w:t>
      </w:r>
      <w:r w:rsidRPr="0050276D">
        <w:rPr>
          <w:rFonts w:eastAsia="Times New Roman" w:cs="Times New Roman"/>
          <w:lang w:eastAsia="de-DE"/>
        </w:rPr>
        <w:t xml:space="preserve">(umbinden/verbinden) im Qal-Imperfekt mit Waw-Konsekutiv. </w:t>
      </w:r>
      <w:r w:rsidRPr="0050276D">
        <w:rPr>
          <w:rFonts w:eastAsia="Times New Roman" w:cs="Times New Roman"/>
          <w:b/>
          <w:bCs/>
          <w:rtl/>
          <w:lang w:eastAsia="de-DE"/>
        </w:rPr>
        <w:t>מגבעות</w:t>
      </w:r>
      <w:r w:rsidRPr="0050276D">
        <w:rPr>
          <w:rFonts w:eastAsia="Times New Roman" w:cs="Times New Roman"/>
          <w:rtl/>
          <w:lang w:eastAsia="de-DE"/>
        </w:rPr>
        <w:t xml:space="preserve"> </w:t>
      </w:r>
      <w:r w:rsidRPr="0050276D">
        <w:rPr>
          <w:rFonts w:eastAsia="Times New Roman" w:cs="Times New Roman"/>
          <w:lang w:eastAsia="de-DE"/>
        </w:rPr>
        <w:t xml:space="preserve">(hohe Mützen) sind die konischen Kopfbedeckungen der gewöhnlichen Priester, im Unterschied zur </w:t>
      </w:r>
      <w:r w:rsidRPr="0050276D">
        <w:rPr>
          <w:rFonts w:eastAsia="Times New Roman" w:cs="Times New Roman"/>
          <w:b/>
          <w:bCs/>
          <w:rtl/>
          <w:lang w:eastAsia="de-DE"/>
        </w:rPr>
        <w:t>מצנפת</w:t>
      </w:r>
      <w:r w:rsidRPr="0050276D">
        <w:rPr>
          <w:rFonts w:eastAsia="Times New Roman" w:cs="Times New Roman"/>
          <w:rtl/>
          <w:lang w:eastAsia="de-DE"/>
        </w:rPr>
        <w:t xml:space="preserve"> </w:t>
      </w:r>
      <w:r w:rsidRPr="0050276D">
        <w:rPr>
          <w:rFonts w:eastAsia="Times New Roman" w:cs="Times New Roman"/>
          <w:lang w:eastAsia="de-DE"/>
        </w:rPr>
        <w:t xml:space="preserve">(Turban) des Hohepriesters. Die Präposition </w:t>
      </w:r>
      <w:r w:rsidRPr="0050276D">
        <w:rPr>
          <w:rFonts w:eastAsia="Times New Roman" w:cs="Times New Roman"/>
          <w:b/>
          <w:bCs/>
          <w:rtl/>
          <w:lang w:eastAsia="de-DE"/>
        </w:rPr>
        <w:t>ל</w:t>
      </w:r>
      <w:r w:rsidRPr="0050276D">
        <w:rPr>
          <w:rFonts w:eastAsia="Times New Roman" w:cs="Times New Roman"/>
          <w:rtl/>
          <w:lang w:eastAsia="de-DE"/>
        </w:rPr>
        <w:t xml:space="preserve"> </w:t>
      </w:r>
      <w:r w:rsidRPr="0050276D">
        <w:rPr>
          <w:rFonts w:eastAsia="Times New Roman" w:cs="Times New Roman"/>
          <w:lang w:eastAsia="de-DE"/>
        </w:rPr>
        <w:t xml:space="preserve">mit </w:t>
      </w:r>
      <w:r w:rsidRPr="0050276D">
        <w:rPr>
          <w:rFonts w:eastAsia="Times New Roman" w:cs="Times New Roman"/>
          <w:b/>
          <w:bCs/>
          <w:rtl/>
          <w:lang w:eastAsia="de-DE"/>
        </w:rPr>
        <w:t>להם</w:t>
      </w:r>
      <w:r w:rsidRPr="0050276D">
        <w:rPr>
          <w:rFonts w:eastAsia="Times New Roman" w:cs="Times New Roman"/>
          <w:rtl/>
          <w:lang w:eastAsia="de-DE"/>
        </w:rPr>
        <w:t xml:space="preserve"> </w:t>
      </w:r>
      <w:r w:rsidRPr="0050276D">
        <w:rPr>
          <w:rFonts w:eastAsia="Times New Roman" w:cs="Times New Roman"/>
          <w:lang w:eastAsia="de-DE"/>
        </w:rPr>
        <w:t>(ihnen) zeigt den indirekten Nutznießer.</w:t>
      </w:r>
    </w:p>
    <w:p w14:paraId="3FA83EF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כאשר צוה יהוה את־משה</w:t>
      </w:r>
      <w:r w:rsidRPr="0050276D">
        <w:rPr>
          <w:rFonts w:eastAsia="Times New Roman" w:cs="Times New Roman"/>
          <w:rtl/>
          <w:lang w:eastAsia="de-DE"/>
        </w:rPr>
        <w:t xml:space="preserve"> </w:t>
      </w:r>
      <w:r w:rsidRPr="0050276D">
        <w:rPr>
          <w:rFonts w:eastAsia="Times New Roman" w:cs="Times New Roman"/>
          <w:lang w:eastAsia="de-DE"/>
        </w:rPr>
        <w:t xml:space="preserve">ist die Bestätigungsformel entsprechend V. 9. </w:t>
      </w:r>
      <w:r w:rsidRPr="0050276D">
        <w:rPr>
          <w:rFonts w:eastAsia="Times New Roman" w:cs="Times New Roman"/>
          <w:b/>
          <w:bCs/>
          <w:rtl/>
          <w:lang w:eastAsia="de-DE"/>
        </w:rPr>
        <w:t>צוה</w:t>
      </w:r>
      <w:r w:rsidRPr="0050276D">
        <w:rPr>
          <w:rFonts w:eastAsia="Times New Roman" w:cs="Times New Roman"/>
          <w:rtl/>
          <w:lang w:eastAsia="de-DE"/>
        </w:rPr>
        <w:t xml:space="preserve"> </w:t>
      </w:r>
      <w:r w:rsidRPr="0050276D">
        <w:rPr>
          <w:rFonts w:eastAsia="Times New Roman" w:cs="Times New Roman"/>
          <w:lang w:eastAsia="de-DE"/>
        </w:rPr>
        <w:t xml:space="preserve">im Piel-Perfekt bekräftigt die ordnungsgemäße Ausführung nach göttlichem Befehl. Die Bekleidung der Aaronsöhne ist einfacher als die des Hohepriesters: keine Salbung, keine besonderen Gewänder wie </w:t>
      </w:r>
      <w:r w:rsidRPr="0050276D">
        <w:rPr>
          <w:rFonts w:eastAsia="Times New Roman" w:cs="Times New Roman"/>
          <w:b/>
          <w:bCs/>
          <w:rtl/>
          <w:lang w:eastAsia="de-DE"/>
        </w:rPr>
        <w:t>מעיל</w:t>
      </w:r>
      <w:r w:rsidRPr="0050276D">
        <w:rPr>
          <w:rFonts w:eastAsia="Times New Roman" w:cs="Times New Roman"/>
          <w:lang w:eastAsia="de-DE"/>
        </w:rPr>
        <w:t xml:space="preserve">, </w:t>
      </w:r>
      <w:r w:rsidRPr="0050276D">
        <w:rPr>
          <w:rFonts w:eastAsia="Times New Roman" w:cs="Times New Roman"/>
          <w:b/>
          <w:bCs/>
          <w:rtl/>
          <w:lang w:eastAsia="de-DE"/>
        </w:rPr>
        <w:t>אפד</w:t>
      </w:r>
      <w:r w:rsidRPr="0050276D">
        <w:rPr>
          <w:rFonts w:eastAsia="Times New Roman" w:cs="Times New Roman"/>
          <w:lang w:eastAsia="de-DE"/>
        </w:rPr>
        <w:t xml:space="preserve">, </w:t>
      </w:r>
      <w:r w:rsidRPr="0050276D">
        <w:rPr>
          <w:rFonts w:eastAsia="Times New Roman" w:cs="Times New Roman"/>
          <w:b/>
          <w:bCs/>
          <w:rtl/>
          <w:lang w:eastAsia="de-DE"/>
        </w:rPr>
        <w:t>חשן</w:t>
      </w:r>
      <w:r w:rsidRPr="0050276D">
        <w:rPr>
          <w:rFonts w:eastAsia="Times New Roman" w:cs="Times New Roman"/>
          <w:lang w:eastAsia="de-DE"/>
        </w:rPr>
        <w:t>.</w:t>
      </w:r>
    </w:p>
    <w:p w14:paraId="348378E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בני אהרן</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υἱοὺς</w:t>
      </w:r>
      <w:proofErr w:type="spellEnd"/>
      <w:r w:rsidRPr="0050276D">
        <w:rPr>
          <w:rFonts w:eastAsia="Times New Roman" w:cs="Times New Roman"/>
          <w:lang w:eastAsia="de-DE"/>
        </w:rPr>
        <w:t xml:space="preserve"> Αα</w:t>
      </w:r>
      <w:proofErr w:type="spellStart"/>
      <w:r w:rsidRPr="0050276D">
        <w:rPr>
          <w:rFonts w:eastAsia="Times New Roman" w:cs="Times New Roman"/>
          <w:lang w:eastAsia="de-DE"/>
        </w:rPr>
        <w:t>ρων</w:t>
      </w:r>
      <w:proofErr w:type="spellEnd"/>
      <w:r w:rsidRPr="0050276D">
        <w:rPr>
          <w:rFonts w:eastAsia="Times New Roman" w:cs="Times New Roman"/>
          <w:lang w:eastAsia="de-DE"/>
        </w:rPr>
        <w:t xml:space="preserve"> (Söhne Aarons), </w:t>
      </w:r>
      <w:r w:rsidRPr="0050276D">
        <w:rPr>
          <w:rFonts w:eastAsia="Times New Roman" w:cs="Times New Roman"/>
          <w:b/>
          <w:bCs/>
          <w:rtl/>
          <w:lang w:eastAsia="de-DE"/>
        </w:rPr>
        <w:t>וילבשם</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ἐνέδυσεν</w:t>
      </w:r>
      <w:proofErr w:type="spellEnd"/>
      <w:r w:rsidRPr="0050276D">
        <w:rPr>
          <w:rFonts w:eastAsia="Times New Roman" w:cs="Times New Roman"/>
          <w:lang w:eastAsia="de-DE"/>
        </w:rPr>
        <w:t xml:space="preserve"> α</w:t>
      </w:r>
      <w:proofErr w:type="spellStart"/>
      <w:r w:rsidRPr="0050276D">
        <w:rPr>
          <w:rFonts w:eastAsia="Times New Roman" w:cs="Times New Roman"/>
          <w:lang w:eastAsia="de-DE"/>
        </w:rPr>
        <w:t>ὐτούς</w:t>
      </w:r>
      <w:proofErr w:type="spellEnd"/>
      <w:r w:rsidRPr="0050276D">
        <w:rPr>
          <w:rFonts w:eastAsia="Times New Roman" w:cs="Times New Roman"/>
          <w:lang w:eastAsia="de-DE"/>
        </w:rPr>
        <w:t xml:space="preserve"> (er bekleidete sie) und </w:t>
      </w:r>
      <w:r w:rsidRPr="0050276D">
        <w:rPr>
          <w:rFonts w:eastAsia="Times New Roman" w:cs="Times New Roman"/>
          <w:b/>
          <w:bCs/>
          <w:rtl/>
          <w:lang w:eastAsia="de-DE"/>
        </w:rPr>
        <w:t>מגבעות</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κιδάρεις</w:t>
      </w:r>
      <w:proofErr w:type="spellEnd"/>
      <w:r w:rsidRPr="0050276D">
        <w:rPr>
          <w:rFonts w:eastAsia="Times New Roman" w:cs="Times New Roman"/>
          <w:lang w:eastAsia="de-DE"/>
        </w:rPr>
        <w:t xml:space="preserve"> (Kopfbünde).</w:t>
      </w:r>
    </w:p>
    <w:p w14:paraId="32C1BEC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vier koordinierte Hauptsätze plus Bestätigungsformel: Verb + Subjekt + direktes Objekt + drei weitere Bekleidungshandlungen + Bestätigungsformel. Die Struktur zeigt die systematische, aber vereinfachte Bekleidung der gewöhnlichen Priester.</w:t>
      </w:r>
    </w:p>
    <w:p w14:paraId="4DC002F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Dieser Vers komplettiert die Priesterbekleidung mit der Einkleidung der Aaronsöhne in ihre einfacheren Priestergewänder entsprechend ihrem niedrigeren Rang.</w:t>
      </w:r>
    </w:p>
    <w:p w14:paraId="5A3E0263"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8,14</w:t>
      </w:r>
    </w:p>
    <w:p w14:paraId="17EE6F3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וַיַּגֵּ֕שׁ אֵ֖ת פַּ֣ר הַֽחַטָּ֑את וַיִּסְמֹ֨ךְ אַהֲרֹ֤ן וּבָנָיו֙ אֶת־יְדֵיהֶ֔ם עַל־רֹ֖אשׁ פַּ֥ר הַֽחַטָּֽאת׃</w:t>
      </w:r>
    </w:p>
    <w:p w14:paraId="312CCC3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brachte den Stier des Sündopfers herzu; und Aaron und seine Söhne legten ihre Hände auf den Kopf des Stieres des Sündopfers.</w:t>
      </w:r>
    </w:p>
    <w:p w14:paraId="1EA27DBF"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2063A667">
          <v:rect id="_x0000_i1210" style="width:0;height:1.5pt" o:hralign="center" o:hrstd="t" o:hr="t" fillcolor="#a0a0a0" stroked="f"/>
        </w:pict>
      </w:r>
    </w:p>
    <w:p w14:paraId="5ABECB3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ויגש את פר החטאת</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נגש</w:t>
      </w:r>
      <w:r w:rsidRPr="0050276D">
        <w:rPr>
          <w:rFonts w:eastAsia="Times New Roman" w:cs="Times New Roman"/>
          <w:rtl/>
          <w:lang w:eastAsia="de-DE"/>
        </w:rPr>
        <w:t xml:space="preserve"> </w:t>
      </w:r>
      <w:r w:rsidRPr="0050276D">
        <w:rPr>
          <w:rFonts w:eastAsia="Times New Roman" w:cs="Times New Roman"/>
          <w:lang w:eastAsia="de-DE"/>
        </w:rPr>
        <w:t xml:space="preserve">(herannahen/herzubringen) im Hifil-Imperfekt mit Waw-Konsekutiv. Das Hifil drückt die kausative Handlung aus "heranführen lassen". </w:t>
      </w:r>
      <w:r w:rsidRPr="0050276D">
        <w:rPr>
          <w:rFonts w:eastAsia="Times New Roman" w:cs="Times New Roman"/>
          <w:b/>
          <w:bCs/>
          <w:rtl/>
          <w:lang w:eastAsia="de-DE"/>
        </w:rPr>
        <w:t>פר החטאת</w:t>
      </w:r>
      <w:r w:rsidRPr="0050276D">
        <w:rPr>
          <w:rFonts w:eastAsia="Times New Roman" w:cs="Times New Roman"/>
          <w:rtl/>
          <w:lang w:eastAsia="de-DE"/>
        </w:rPr>
        <w:t xml:space="preserve"> </w:t>
      </w:r>
      <w:r w:rsidRPr="0050276D">
        <w:rPr>
          <w:rFonts w:eastAsia="Times New Roman" w:cs="Times New Roman"/>
          <w:lang w:eastAsia="de-DE"/>
        </w:rPr>
        <w:t xml:space="preserve">(Stier des Sündopfers) ist eine Genitivkonstruktion, die das erste der drei Weihe-Opfertiere aus V. 2 bezeichnet. Dieser </w:t>
      </w:r>
      <w:r w:rsidRPr="0050276D">
        <w:rPr>
          <w:rFonts w:eastAsia="Times New Roman" w:cs="Times New Roman"/>
          <w:b/>
          <w:bCs/>
          <w:rtl/>
          <w:lang w:eastAsia="de-DE"/>
        </w:rPr>
        <w:t>פר</w:t>
      </w:r>
      <w:r w:rsidRPr="0050276D">
        <w:rPr>
          <w:rFonts w:eastAsia="Times New Roman" w:cs="Times New Roman"/>
          <w:rtl/>
          <w:lang w:eastAsia="de-DE"/>
        </w:rPr>
        <w:t xml:space="preserve"> </w:t>
      </w:r>
      <w:r w:rsidRPr="0050276D">
        <w:rPr>
          <w:rFonts w:eastAsia="Times New Roman" w:cs="Times New Roman"/>
          <w:lang w:eastAsia="de-DE"/>
        </w:rPr>
        <w:t xml:space="preserve">entspricht den Bestimmungen für den </w:t>
      </w:r>
      <w:r w:rsidRPr="0050276D">
        <w:rPr>
          <w:rFonts w:eastAsia="Times New Roman" w:cs="Times New Roman"/>
          <w:b/>
          <w:bCs/>
          <w:rtl/>
          <w:lang w:eastAsia="de-DE"/>
        </w:rPr>
        <w:t>כהן המשיח</w:t>
      </w:r>
      <w:r w:rsidRPr="0050276D">
        <w:rPr>
          <w:rFonts w:eastAsia="Times New Roman" w:cs="Times New Roman"/>
          <w:rtl/>
          <w:lang w:eastAsia="de-DE"/>
        </w:rPr>
        <w:t xml:space="preserve"> </w:t>
      </w:r>
      <w:r w:rsidRPr="0050276D">
        <w:rPr>
          <w:rFonts w:eastAsia="Times New Roman" w:cs="Times New Roman"/>
          <w:lang w:eastAsia="de-DE"/>
        </w:rPr>
        <w:t>aus 4,3-12.</w:t>
      </w:r>
    </w:p>
    <w:p w14:paraId="6487247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ויסמך אהרן ובניו את־ידיהם על־ראש פר החטאת</w:t>
      </w:r>
      <w:r w:rsidRPr="0050276D">
        <w:rPr>
          <w:rFonts w:eastAsia="Times New Roman" w:cs="Times New Roman"/>
          <w:rtl/>
          <w:lang w:eastAsia="de-DE"/>
        </w:rPr>
        <w:t xml:space="preserve"> </w:t>
      </w:r>
      <w:r w:rsidRPr="0050276D">
        <w:rPr>
          <w:rFonts w:eastAsia="Times New Roman" w:cs="Times New Roman"/>
          <w:lang w:eastAsia="de-DE"/>
        </w:rPr>
        <w:t xml:space="preserve">beschreibt die </w:t>
      </w:r>
      <w:r w:rsidRPr="0050276D">
        <w:rPr>
          <w:rFonts w:eastAsia="Times New Roman" w:cs="Times New Roman"/>
          <w:b/>
          <w:bCs/>
          <w:rtl/>
          <w:lang w:eastAsia="de-DE"/>
        </w:rPr>
        <w:t>סמיכה</w:t>
      </w:r>
      <w:r w:rsidRPr="0050276D">
        <w:rPr>
          <w:rFonts w:eastAsia="Times New Roman" w:cs="Times New Roman"/>
          <w:rtl/>
          <w:lang w:eastAsia="de-DE"/>
        </w:rPr>
        <w:t xml:space="preserve"> </w:t>
      </w:r>
      <w:r w:rsidRPr="0050276D">
        <w:rPr>
          <w:rFonts w:eastAsia="Times New Roman" w:cs="Times New Roman"/>
          <w:lang w:eastAsia="de-DE"/>
        </w:rPr>
        <w:t xml:space="preserve">(Handauflegung). </w:t>
      </w:r>
      <w:r w:rsidRPr="0050276D">
        <w:rPr>
          <w:rFonts w:eastAsia="Times New Roman" w:cs="Times New Roman"/>
          <w:b/>
          <w:bCs/>
          <w:rtl/>
          <w:lang w:eastAsia="de-DE"/>
        </w:rPr>
        <w:t>סמך</w:t>
      </w:r>
      <w:r w:rsidRPr="0050276D">
        <w:rPr>
          <w:rFonts w:eastAsia="Times New Roman" w:cs="Times New Roman"/>
          <w:rtl/>
          <w:lang w:eastAsia="de-DE"/>
        </w:rPr>
        <w:t xml:space="preserve"> </w:t>
      </w:r>
      <w:r w:rsidRPr="0050276D">
        <w:rPr>
          <w:rFonts w:eastAsia="Times New Roman" w:cs="Times New Roman"/>
          <w:lang w:eastAsia="de-DE"/>
        </w:rPr>
        <w:t xml:space="preserve">(stützen/legen) im Qal-Imperfekt mit Waw-Konsekutiv zeigt das rituelle Auflegen der Hände. </w:t>
      </w:r>
      <w:r w:rsidRPr="0050276D">
        <w:rPr>
          <w:rFonts w:eastAsia="Times New Roman" w:cs="Times New Roman"/>
          <w:b/>
          <w:bCs/>
          <w:rtl/>
          <w:lang w:eastAsia="de-DE"/>
        </w:rPr>
        <w:t>אהרן ובניו</w:t>
      </w:r>
      <w:r w:rsidRPr="0050276D">
        <w:rPr>
          <w:rFonts w:eastAsia="Times New Roman" w:cs="Times New Roman"/>
          <w:rtl/>
          <w:lang w:eastAsia="de-DE"/>
        </w:rPr>
        <w:t xml:space="preserve"> </w:t>
      </w:r>
      <w:r w:rsidRPr="0050276D">
        <w:rPr>
          <w:rFonts w:eastAsia="Times New Roman" w:cs="Times New Roman"/>
          <w:lang w:eastAsia="de-DE"/>
        </w:rPr>
        <w:t xml:space="preserve">(Aaron und seine Söhne) als Subjekt im Singular zeigt, dass beide Generationen </w:t>
      </w:r>
      <w:r w:rsidRPr="0050276D">
        <w:rPr>
          <w:rFonts w:eastAsia="Times New Roman" w:cs="Times New Roman"/>
          <w:lang w:eastAsia="de-DE"/>
        </w:rPr>
        <w:lastRenderedPageBreak/>
        <w:t xml:space="preserve">gemeinsam handeln. </w:t>
      </w:r>
      <w:r w:rsidRPr="0050276D">
        <w:rPr>
          <w:rFonts w:eastAsia="Times New Roman" w:cs="Times New Roman"/>
          <w:b/>
          <w:bCs/>
          <w:rtl/>
          <w:lang w:eastAsia="de-DE"/>
        </w:rPr>
        <w:t>את־ידיהם</w:t>
      </w:r>
      <w:r w:rsidRPr="0050276D">
        <w:rPr>
          <w:rFonts w:eastAsia="Times New Roman" w:cs="Times New Roman"/>
          <w:rtl/>
          <w:lang w:eastAsia="de-DE"/>
        </w:rPr>
        <w:t xml:space="preserve"> </w:t>
      </w:r>
      <w:r w:rsidRPr="0050276D">
        <w:rPr>
          <w:rFonts w:eastAsia="Times New Roman" w:cs="Times New Roman"/>
          <w:lang w:eastAsia="de-DE"/>
        </w:rPr>
        <w:t>(ihre Hände) mit Possessivsuffix 3. Person maskulin Plural bezieht sich auf beide.</w:t>
      </w:r>
    </w:p>
    <w:p w14:paraId="2F8E01F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על־ראש פר החטאת</w:t>
      </w:r>
      <w:r w:rsidRPr="0050276D">
        <w:rPr>
          <w:rFonts w:eastAsia="Times New Roman" w:cs="Times New Roman"/>
          <w:rtl/>
          <w:lang w:eastAsia="de-DE"/>
        </w:rPr>
        <w:t xml:space="preserve"> </w:t>
      </w:r>
      <w:r w:rsidRPr="0050276D">
        <w:rPr>
          <w:rFonts w:eastAsia="Times New Roman" w:cs="Times New Roman"/>
          <w:lang w:eastAsia="de-DE"/>
        </w:rPr>
        <w:t xml:space="preserve">gibt den Ort der Handauflegung an. </w:t>
      </w:r>
      <w:r w:rsidRPr="0050276D">
        <w:rPr>
          <w:rFonts w:eastAsia="Times New Roman" w:cs="Times New Roman"/>
          <w:b/>
          <w:bCs/>
          <w:rtl/>
          <w:lang w:eastAsia="de-DE"/>
        </w:rPr>
        <w:t>ראש</w:t>
      </w:r>
      <w:r w:rsidRPr="0050276D">
        <w:rPr>
          <w:rFonts w:eastAsia="Times New Roman" w:cs="Times New Roman"/>
          <w:rtl/>
          <w:lang w:eastAsia="de-DE"/>
        </w:rPr>
        <w:t xml:space="preserve"> </w:t>
      </w:r>
      <w:r w:rsidRPr="0050276D">
        <w:rPr>
          <w:rFonts w:eastAsia="Times New Roman" w:cs="Times New Roman"/>
          <w:lang w:eastAsia="de-DE"/>
        </w:rPr>
        <w:t xml:space="preserve">(Kopf/Haupt) ist der traditionelle Ort für </w:t>
      </w:r>
      <w:r w:rsidRPr="0050276D">
        <w:rPr>
          <w:rFonts w:eastAsia="Times New Roman" w:cs="Times New Roman"/>
          <w:b/>
          <w:bCs/>
          <w:rtl/>
          <w:lang w:eastAsia="de-DE"/>
        </w:rPr>
        <w:t>סמיכה</w:t>
      </w:r>
      <w:r w:rsidRPr="0050276D">
        <w:rPr>
          <w:rFonts w:eastAsia="Times New Roman" w:cs="Times New Roman"/>
          <w:lang w:eastAsia="de-DE"/>
        </w:rPr>
        <w:t xml:space="preserve">. Die Wiederholung </w:t>
      </w:r>
      <w:r w:rsidRPr="0050276D">
        <w:rPr>
          <w:rFonts w:eastAsia="Times New Roman" w:cs="Times New Roman"/>
          <w:b/>
          <w:bCs/>
          <w:rtl/>
          <w:lang w:eastAsia="de-DE"/>
        </w:rPr>
        <w:t>פר החטאת</w:t>
      </w:r>
      <w:r w:rsidRPr="0050276D">
        <w:rPr>
          <w:rFonts w:eastAsia="Times New Roman" w:cs="Times New Roman"/>
          <w:rtl/>
          <w:lang w:eastAsia="de-DE"/>
        </w:rPr>
        <w:t xml:space="preserve"> </w:t>
      </w:r>
      <w:r w:rsidRPr="0050276D">
        <w:rPr>
          <w:rFonts w:eastAsia="Times New Roman" w:cs="Times New Roman"/>
          <w:lang w:eastAsia="de-DE"/>
        </w:rPr>
        <w:t xml:space="preserve">am Versende betont die kultische Klassifikation des Tieres. Die </w:t>
      </w:r>
      <w:r w:rsidRPr="0050276D">
        <w:rPr>
          <w:rFonts w:eastAsia="Times New Roman" w:cs="Times New Roman"/>
          <w:b/>
          <w:bCs/>
          <w:rtl/>
          <w:lang w:eastAsia="de-DE"/>
        </w:rPr>
        <w:t>סמיכה</w:t>
      </w:r>
      <w:r w:rsidRPr="0050276D">
        <w:rPr>
          <w:rFonts w:eastAsia="Times New Roman" w:cs="Times New Roman"/>
          <w:rtl/>
          <w:lang w:eastAsia="de-DE"/>
        </w:rPr>
        <w:t xml:space="preserve"> </w:t>
      </w:r>
      <w:r w:rsidRPr="0050276D">
        <w:rPr>
          <w:rFonts w:eastAsia="Times New Roman" w:cs="Times New Roman"/>
          <w:lang w:eastAsia="de-DE"/>
        </w:rPr>
        <w:t>symbolisiert die Übertragung der Sünden und die Identifikation mit dem Opfertier.</w:t>
      </w:r>
    </w:p>
    <w:p w14:paraId="75EEC87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Das Verb </w:t>
      </w:r>
      <w:r w:rsidRPr="0050276D">
        <w:rPr>
          <w:rFonts w:eastAsia="Times New Roman" w:cs="Times New Roman"/>
          <w:b/>
          <w:bCs/>
          <w:rtl/>
          <w:lang w:eastAsia="de-DE"/>
        </w:rPr>
        <w:t>סמך</w:t>
      </w:r>
      <w:r w:rsidRPr="0050276D">
        <w:rPr>
          <w:rFonts w:eastAsia="Times New Roman" w:cs="Times New Roman"/>
          <w:rtl/>
          <w:lang w:eastAsia="de-DE"/>
        </w:rPr>
        <w:t xml:space="preserve"> </w:t>
      </w:r>
      <w:r w:rsidRPr="0050276D">
        <w:rPr>
          <w:rFonts w:eastAsia="Times New Roman" w:cs="Times New Roman"/>
          <w:lang w:eastAsia="de-DE"/>
        </w:rPr>
        <w:t xml:space="preserve">regiert sowohl </w:t>
      </w:r>
      <w:r w:rsidRPr="0050276D">
        <w:rPr>
          <w:rFonts w:eastAsia="Times New Roman" w:cs="Times New Roman"/>
          <w:b/>
          <w:bCs/>
          <w:rtl/>
          <w:lang w:eastAsia="de-DE"/>
        </w:rPr>
        <w:t>אהרן</w:t>
      </w:r>
      <w:r w:rsidRPr="0050276D">
        <w:rPr>
          <w:rFonts w:eastAsia="Times New Roman" w:cs="Times New Roman"/>
          <w:rtl/>
          <w:lang w:eastAsia="de-DE"/>
        </w:rPr>
        <w:t xml:space="preserve"> </w:t>
      </w:r>
      <w:r w:rsidRPr="0050276D">
        <w:rPr>
          <w:rFonts w:eastAsia="Times New Roman" w:cs="Times New Roman"/>
          <w:lang w:eastAsia="de-DE"/>
        </w:rPr>
        <w:t xml:space="preserve">als auch </w:t>
      </w:r>
      <w:r w:rsidRPr="0050276D">
        <w:rPr>
          <w:rFonts w:eastAsia="Times New Roman" w:cs="Times New Roman"/>
          <w:b/>
          <w:bCs/>
          <w:rtl/>
          <w:lang w:eastAsia="de-DE"/>
        </w:rPr>
        <w:t>בניו</w:t>
      </w:r>
      <w:r w:rsidRPr="0050276D">
        <w:rPr>
          <w:rFonts w:eastAsia="Times New Roman" w:cs="Times New Roman"/>
          <w:rtl/>
          <w:lang w:eastAsia="de-DE"/>
        </w:rPr>
        <w:t xml:space="preserve"> </w:t>
      </w:r>
      <w:r w:rsidRPr="0050276D">
        <w:rPr>
          <w:rFonts w:eastAsia="Times New Roman" w:cs="Times New Roman"/>
          <w:lang w:eastAsia="de-DE"/>
        </w:rPr>
        <w:t>als gemeinsames Subjekt, obwohl es morphologisch Singular ist. Dies zeigt die rituelle Einheit der priesterlichen Familie bei der Weihe.</w:t>
      </w:r>
    </w:p>
    <w:p w14:paraId="648E0FC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ויגש</w:t>
      </w:r>
      <w:r w:rsidRPr="0050276D">
        <w:rPr>
          <w:rFonts w:eastAsia="Times New Roman" w:cs="Times New Roman"/>
          <w:rtl/>
          <w:lang w:eastAsia="de-DE"/>
        </w:rPr>
        <w:t xml:space="preserve"> </w:t>
      </w:r>
      <w:r w:rsidRPr="0050276D">
        <w:rPr>
          <w:rFonts w:eastAsia="Times New Roman" w:cs="Times New Roman"/>
          <w:lang w:eastAsia="de-DE"/>
        </w:rPr>
        <w:t>mit π</w:t>
      </w:r>
      <w:proofErr w:type="spellStart"/>
      <w:r w:rsidRPr="0050276D">
        <w:rPr>
          <w:rFonts w:eastAsia="Times New Roman" w:cs="Times New Roman"/>
          <w:lang w:eastAsia="de-DE"/>
        </w:rPr>
        <w:t>ροσήγ</w:t>
      </w:r>
      <w:proofErr w:type="spellEnd"/>
      <w:r w:rsidRPr="0050276D">
        <w:rPr>
          <w:rFonts w:eastAsia="Times New Roman" w:cs="Times New Roman"/>
          <w:lang w:eastAsia="de-DE"/>
        </w:rPr>
        <w:t xml:space="preserve">αγεν (er führte heran), </w:t>
      </w:r>
      <w:r w:rsidRPr="0050276D">
        <w:rPr>
          <w:rFonts w:eastAsia="Times New Roman" w:cs="Times New Roman"/>
          <w:b/>
          <w:bCs/>
          <w:rtl/>
          <w:lang w:eastAsia="de-DE"/>
        </w:rPr>
        <w:t>פר החטאת</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μόσχον</w:t>
      </w:r>
      <w:proofErr w:type="spellEnd"/>
      <w:r w:rsidRPr="0050276D">
        <w:rPr>
          <w:rFonts w:eastAsia="Times New Roman" w:cs="Times New Roman"/>
          <w:lang w:eastAsia="de-DE"/>
        </w:rPr>
        <w:t xml:space="preserve"> π</w:t>
      </w:r>
      <w:proofErr w:type="spellStart"/>
      <w:r w:rsidRPr="0050276D">
        <w:rPr>
          <w:rFonts w:eastAsia="Times New Roman" w:cs="Times New Roman"/>
          <w:lang w:eastAsia="de-DE"/>
        </w:rPr>
        <w:t>ερὶ</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ἁμ</w:t>
      </w:r>
      <w:proofErr w:type="spellEnd"/>
      <w:r w:rsidRPr="0050276D">
        <w:rPr>
          <w:rFonts w:eastAsia="Times New Roman" w:cs="Times New Roman"/>
          <w:lang w:eastAsia="de-DE"/>
        </w:rPr>
        <w:t xml:space="preserve">αρτίας (Kalb für Sünde) und </w:t>
      </w:r>
      <w:r w:rsidRPr="0050276D">
        <w:rPr>
          <w:rFonts w:eastAsia="Times New Roman" w:cs="Times New Roman"/>
          <w:b/>
          <w:bCs/>
          <w:rtl/>
          <w:lang w:eastAsia="de-DE"/>
        </w:rPr>
        <w:t>ויסמך</w:t>
      </w:r>
      <w:r w:rsidRPr="0050276D">
        <w:rPr>
          <w:rFonts w:eastAsia="Times New Roman" w:cs="Times New Roman"/>
          <w:rtl/>
          <w:lang w:eastAsia="de-DE"/>
        </w:rPr>
        <w:t xml:space="preserve"> </w:t>
      </w:r>
      <w:r w:rsidRPr="0050276D">
        <w:rPr>
          <w:rFonts w:eastAsia="Times New Roman" w:cs="Times New Roman"/>
          <w:lang w:eastAsia="de-DE"/>
        </w:rPr>
        <w:t>mit ἐπ</w:t>
      </w:r>
      <w:proofErr w:type="spellStart"/>
      <w:r w:rsidRPr="0050276D">
        <w:rPr>
          <w:rFonts w:eastAsia="Times New Roman" w:cs="Times New Roman"/>
          <w:lang w:eastAsia="de-DE"/>
        </w:rPr>
        <w:t>έθηκ</w:t>
      </w:r>
      <w:proofErr w:type="spellEnd"/>
      <w:r w:rsidRPr="0050276D">
        <w:rPr>
          <w:rFonts w:eastAsia="Times New Roman" w:cs="Times New Roman"/>
          <w:lang w:eastAsia="de-DE"/>
        </w:rPr>
        <w:t>αν (sie legten auf).</w:t>
      </w:r>
    </w:p>
    <w:p w14:paraId="38FFC06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Verb + direktes Objekt; 2) Verb + zusammengesetztes Subjekt + direktes Objekt + Ortsangabe. Die Struktur zeigt den Übergang von der Bekleidung zu den Opferhandlungen.</w:t>
      </w:r>
    </w:p>
    <w:p w14:paraId="4685D07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beginnt die eigentlichen Opferhandlungen der Priesterweihe mit dem Heranführen des </w:t>
      </w:r>
      <w:r w:rsidRPr="0050276D">
        <w:rPr>
          <w:rFonts w:eastAsia="Times New Roman" w:cs="Times New Roman"/>
          <w:b/>
          <w:bCs/>
          <w:rtl/>
          <w:lang w:eastAsia="de-DE"/>
        </w:rPr>
        <w:t>חטאת</w:t>
      </w:r>
      <w:r w:rsidRPr="0050276D">
        <w:rPr>
          <w:rFonts w:eastAsia="Times New Roman" w:cs="Times New Roman"/>
          <w:lang w:eastAsia="de-DE"/>
        </w:rPr>
        <w:t>-Stieres und der rituellen Handauflegung durch alle zu weihenden Priester.</w:t>
      </w:r>
    </w:p>
    <w:p w14:paraId="169C42C6"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8,15</w:t>
      </w:r>
    </w:p>
    <w:p w14:paraId="03BA66F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וַיִּשְׁחָ֗ט וַיִּקַּ֨ח מֹשֶׁ֤ה אֶת־הַדָּם֙ וַ֠יִּתֵּן עַל־קַרְנ֨וֹת הַמִּזְבֵּ֤חַ סָבִיב֙ בְּאֶצְבָּעֹ֔ו וַיְחַטֵּ֖א אֶת־הַמִּזְבֵּ֑חַ וְאֶת־הַדָּ֗ם יָצַק֙ אֶל־יְס֣וֹד הַמִּזְבֵּ֔חַ וַֽיְקַדְּשֵׁ֖הוּ לְכַפֵּ֥ר עָלָֽיו׃</w:t>
      </w:r>
    </w:p>
    <w:p w14:paraId="210D050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schlachtete ihn, und Mosche nahm das Blut und tat davon mit seinem Finger an die Hörner des Altars ringsum und entsündigte den Altar; und das Blut goss er an den Fuß des Altars und heiligte ihn, indem er Sühnung für ihn tat.</w:t>
      </w:r>
    </w:p>
    <w:p w14:paraId="0B8765BE"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29F390AA">
          <v:rect id="_x0000_i1211" style="width:0;height:1.5pt" o:hralign="center" o:hrstd="t" o:hr="t" fillcolor="#a0a0a0" stroked="f"/>
        </w:pict>
      </w:r>
    </w:p>
    <w:p w14:paraId="6456EF5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וישחט</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שחט</w:t>
      </w:r>
      <w:r w:rsidRPr="0050276D">
        <w:rPr>
          <w:rFonts w:eastAsia="Times New Roman" w:cs="Times New Roman"/>
          <w:rtl/>
          <w:lang w:eastAsia="de-DE"/>
        </w:rPr>
        <w:t xml:space="preserve"> </w:t>
      </w:r>
      <w:r w:rsidRPr="0050276D">
        <w:rPr>
          <w:rFonts w:eastAsia="Times New Roman" w:cs="Times New Roman"/>
          <w:lang w:eastAsia="de-DE"/>
        </w:rPr>
        <w:t xml:space="preserve">(schlachten) im Qal-Imperfekt mit Waw-Konsekutiv, ohne explizites Subjekt - aus dem Kontext ist Mosche der Handelnde. </w:t>
      </w:r>
      <w:r w:rsidRPr="0050276D">
        <w:rPr>
          <w:rFonts w:eastAsia="Times New Roman" w:cs="Times New Roman"/>
          <w:b/>
          <w:bCs/>
          <w:rtl/>
          <w:lang w:eastAsia="de-DE"/>
        </w:rPr>
        <w:t>ויקח משה את־הדם</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הדם</w:t>
      </w:r>
      <w:r w:rsidRPr="0050276D">
        <w:rPr>
          <w:rFonts w:eastAsia="Times New Roman" w:cs="Times New Roman"/>
          <w:rtl/>
          <w:lang w:eastAsia="de-DE"/>
        </w:rPr>
        <w:t xml:space="preserve"> </w:t>
      </w:r>
      <w:r w:rsidRPr="0050276D">
        <w:rPr>
          <w:rFonts w:eastAsia="Times New Roman" w:cs="Times New Roman"/>
          <w:lang w:eastAsia="de-DE"/>
        </w:rPr>
        <w:t>(das Blut) ist das zentrale Element der Sühnritual.</w:t>
      </w:r>
    </w:p>
    <w:p w14:paraId="76286A6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ויתן על־קרנות המזבח סביב באצבעו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נתן</w:t>
      </w:r>
      <w:r w:rsidRPr="0050276D">
        <w:rPr>
          <w:rFonts w:eastAsia="Times New Roman" w:cs="Times New Roman"/>
          <w:rtl/>
          <w:lang w:eastAsia="de-DE"/>
        </w:rPr>
        <w:t xml:space="preserve"> </w:t>
      </w:r>
      <w:r w:rsidRPr="0050276D">
        <w:rPr>
          <w:rFonts w:eastAsia="Times New Roman" w:cs="Times New Roman"/>
          <w:lang w:eastAsia="de-DE"/>
        </w:rPr>
        <w:t xml:space="preserve">(geben/setzen) im Qal-Imperfekt mit Waw-Konsekutiv. </w:t>
      </w:r>
      <w:r w:rsidRPr="0050276D">
        <w:rPr>
          <w:rFonts w:eastAsia="Times New Roman" w:cs="Times New Roman"/>
          <w:b/>
          <w:bCs/>
          <w:rtl/>
          <w:lang w:eastAsia="de-DE"/>
        </w:rPr>
        <w:t>על־קרנות המזבח</w:t>
      </w:r>
      <w:r w:rsidRPr="0050276D">
        <w:rPr>
          <w:rFonts w:eastAsia="Times New Roman" w:cs="Times New Roman"/>
          <w:rtl/>
          <w:lang w:eastAsia="de-DE"/>
        </w:rPr>
        <w:t xml:space="preserve"> </w:t>
      </w:r>
      <w:r w:rsidRPr="0050276D">
        <w:rPr>
          <w:rFonts w:eastAsia="Times New Roman" w:cs="Times New Roman"/>
          <w:lang w:eastAsia="de-DE"/>
        </w:rPr>
        <w:t xml:space="preserve">(an die Hörner des Altars) entspricht dem </w:t>
      </w:r>
      <w:r w:rsidRPr="0050276D">
        <w:rPr>
          <w:rFonts w:eastAsia="Times New Roman" w:cs="Times New Roman"/>
          <w:b/>
          <w:bCs/>
          <w:rtl/>
          <w:lang w:eastAsia="de-DE"/>
        </w:rPr>
        <w:t>חטאת</w:t>
      </w:r>
      <w:r w:rsidRPr="0050276D">
        <w:rPr>
          <w:rFonts w:eastAsia="Times New Roman" w:cs="Times New Roman"/>
          <w:lang w:eastAsia="de-DE"/>
        </w:rPr>
        <w:t xml:space="preserve">-Blutverfahren aus 4,7.18. </w:t>
      </w:r>
      <w:r w:rsidRPr="0050276D">
        <w:rPr>
          <w:rFonts w:eastAsia="Times New Roman" w:cs="Times New Roman"/>
          <w:b/>
          <w:bCs/>
          <w:rtl/>
          <w:lang w:eastAsia="de-DE"/>
        </w:rPr>
        <w:t>סביב</w:t>
      </w:r>
      <w:r w:rsidRPr="0050276D">
        <w:rPr>
          <w:rFonts w:eastAsia="Times New Roman" w:cs="Times New Roman"/>
          <w:rtl/>
          <w:lang w:eastAsia="de-DE"/>
        </w:rPr>
        <w:t xml:space="preserve"> </w:t>
      </w:r>
      <w:r w:rsidRPr="0050276D">
        <w:rPr>
          <w:rFonts w:eastAsia="Times New Roman" w:cs="Times New Roman"/>
          <w:lang w:eastAsia="de-DE"/>
        </w:rPr>
        <w:t xml:space="preserve">(ringsum) zeigt die vollständige Behandlung aller vier Hörner. </w:t>
      </w:r>
      <w:r w:rsidRPr="0050276D">
        <w:rPr>
          <w:rFonts w:eastAsia="Times New Roman" w:cs="Times New Roman"/>
          <w:b/>
          <w:bCs/>
          <w:rtl/>
          <w:lang w:eastAsia="de-DE"/>
        </w:rPr>
        <w:t>באצבעו</w:t>
      </w:r>
      <w:r w:rsidRPr="0050276D">
        <w:rPr>
          <w:rFonts w:eastAsia="Times New Roman" w:cs="Times New Roman"/>
          <w:rtl/>
          <w:lang w:eastAsia="de-DE"/>
        </w:rPr>
        <w:t xml:space="preserve"> </w:t>
      </w:r>
      <w:r w:rsidRPr="0050276D">
        <w:rPr>
          <w:rFonts w:eastAsia="Times New Roman" w:cs="Times New Roman"/>
          <w:lang w:eastAsia="de-DE"/>
        </w:rPr>
        <w:t>(mit seinem Finger) gibt das Instrument an.</w:t>
      </w:r>
    </w:p>
    <w:p w14:paraId="0786685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ויחטא את־המזבח</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חטא</w:t>
      </w:r>
      <w:r w:rsidRPr="0050276D">
        <w:rPr>
          <w:rFonts w:eastAsia="Times New Roman" w:cs="Times New Roman"/>
          <w:rtl/>
          <w:lang w:eastAsia="de-DE"/>
        </w:rPr>
        <w:t xml:space="preserve"> </w:t>
      </w:r>
      <w:r w:rsidRPr="0050276D">
        <w:rPr>
          <w:rFonts w:eastAsia="Times New Roman" w:cs="Times New Roman"/>
          <w:lang w:eastAsia="de-DE"/>
        </w:rPr>
        <w:t xml:space="preserve">(entsündigen) im Piel-Imperfekt mit Waw-Konsekutiv. Das Piel von </w:t>
      </w:r>
      <w:r w:rsidRPr="0050276D">
        <w:rPr>
          <w:rFonts w:eastAsia="Times New Roman" w:cs="Times New Roman"/>
          <w:b/>
          <w:bCs/>
          <w:rtl/>
          <w:lang w:eastAsia="de-DE"/>
        </w:rPr>
        <w:t>חטא</w:t>
      </w:r>
      <w:r w:rsidRPr="0050276D">
        <w:rPr>
          <w:rFonts w:eastAsia="Times New Roman" w:cs="Times New Roman"/>
          <w:rtl/>
          <w:lang w:eastAsia="de-DE"/>
        </w:rPr>
        <w:t xml:space="preserve"> </w:t>
      </w:r>
      <w:r w:rsidRPr="0050276D">
        <w:rPr>
          <w:rFonts w:eastAsia="Times New Roman" w:cs="Times New Roman"/>
          <w:lang w:eastAsia="de-DE"/>
        </w:rPr>
        <w:t xml:space="preserve">bedeutet "von Sünde reinigen/entsündigen", nicht "sündigen" (Qal). </w:t>
      </w:r>
      <w:r w:rsidRPr="0050276D">
        <w:rPr>
          <w:rFonts w:eastAsia="Times New Roman" w:cs="Times New Roman"/>
          <w:b/>
          <w:bCs/>
          <w:rtl/>
          <w:lang w:eastAsia="de-DE"/>
        </w:rPr>
        <w:t>את־המזבח</w:t>
      </w:r>
      <w:r w:rsidRPr="0050276D">
        <w:rPr>
          <w:rFonts w:eastAsia="Times New Roman" w:cs="Times New Roman"/>
          <w:rtl/>
          <w:lang w:eastAsia="de-DE"/>
        </w:rPr>
        <w:t xml:space="preserve"> </w:t>
      </w:r>
      <w:r w:rsidRPr="0050276D">
        <w:rPr>
          <w:rFonts w:eastAsia="Times New Roman" w:cs="Times New Roman"/>
          <w:lang w:eastAsia="de-DE"/>
        </w:rPr>
        <w:t>(den Altar) als direktes Objekt zeigt, dass der Altar selbst der Entsündigung bedarf.</w:t>
      </w:r>
    </w:p>
    <w:p w14:paraId="4A5E1F6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lastRenderedPageBreak/>
        <w:t>ואת־הדם יצק אל־יסוד המזבח</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יצק</w:t>
      </w:r>
      <w:r w:rsidRPr="0050276D">
        <w:rPr>
          <w:rFonts w:eastAsia="Times New Roman" w:cs="Times New Roman"/>
          <w:rtl/>
          <w:lang w:eastAsia="de-DE"/>
        </w:rPr>
        <w:t xml:space="preserve"> </w:t>
      </w:r>
      <w:r w:rsidRPr="0050276D">
        <w:rPr>
          <w:rFonts w:eastAsia="Times New Roman" w:cs="Times New Roman"/>
          <w:lang w:eastAsia="de-DE"/>
        </w:rPr>
        <w:t xml:space="preserve">(gießen) im Qal-Imperfekt. </w:t>
      </w:r>
      <w:r w:rsidRPr="0050276D">
        <w:rPr>
          <w:rFonts w:eastAsia="Times New Roman" w:cs="Times New Roman"/>
          <w:b/>
          <w:bCs/>
          <w:rtl/>
          <w:lang w:eastAsia="de-DE"/>
        </w:rPr>
        <w:t>יסוד המזבח</w:t>
      </w:r>
      <w:r w:rsidRPr="0050276D">
        <w:rPr>
          <w:rFonts w:eastAsia="Times New Roman" w:cs="Times New Roman"/>
          <w:rtl/>
          <w:lang w:eastAsia="de-DE"/>
        </w:rPr>
        <w:t xml:space="preserve"> </w:t>
      </w:r>
      <w:r w:rsidRPr="0050276D">
        <w:rPr>
          <w:rFonts w:eastAsia="Times New Roman" w:cs="Times New Roman"/>
          <w:lang w:eastAsia="de-DE"/>
        </w:rPr>
        <w:t xml:space="preserve">(Fuß/Sockel des Altars) ist der Ort für das restliche Blut. </w:t>
      </w:r>
      <w:r w:rsidRPr="0050276D">
        <w:rPr>
          <w:rFonts w:eastAsia="Times New Roman" w:cs="Times New Roman"/>
          <w:b/>
          <w:bCs/>
          <w:rtl/>
          <w:lang w:eastAsia="de-DE"/>
        </w:rPr>
        <w:t>ויקדשהו לכפר עליו</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קדש</w:t>
      </w:r>
      <w:r w:rsidRPr="0050276D">
        <w:rPr>
          <w:rFonts w:eastAsia="Times New Roman" w:cs="Times New Roman"/>
          <w:rtl/>
          <w:lang w:eastAsia="de-DE"/>
        </w:rPr>
        <w:t xml:space="preserve"> </w:t>
      </w:r>
      <w:r w:rsidRPr="0050276D">
        <w:rPr>
          <w:rFonts w:eastAsia="Times New Roman" w:cs="Times New Roman"/>
          <w:lang w:eastAsia="de-DE"/>
        </w:rPr>
        <w:t xml:space="preserve">im Piel-Imperfekt (er heiligte ihn) und </w:t>
      </w:r>
      <w:r w:rsidRPr="0050276D">
        <w:rPr>
          <w:rFonts w:eastAsia="Times New Roman" w:cs="Times New Roman"/>
          <w:b/>
          <w:bCs/>
          <w:rtl/>
          <w:lang w:eastAsia="de-DE"/>
        </w:rPr>
        <w:t>כפר</w:t>
      </w:r>
      <w:r w:rsidRPr="0050276D">
        <w:rPr>
          <w:rFonts w:eastAsia="Times New Roman" w:cs="Times New Roman"/>
          <w:rtl/>
          <w:lang w:eastAsia="de-DE"/>
        </w:rPr>
        <w:t xml:space="preserve"> </w:t>
      </w:r>
      <w:r w:rsidRPr="0050276D">
        <w:rPr>
          <w:rFonts w:eastAsia="Times New Roman" w:cs="Times New Roman"/>
          <w:lang w:eastAsia="de-DE"/>
        </w:rPr>
        <w:t xml:space="preserve">im Piel-Infinitiv </w:t>
      </w:r>
      <w:r w:rsidRPr="0050276D">
        <w:rPr>
          <w:rFonts w:eastAsia="Times New Roman" w:cs="Times New Roman"/>
          <w:b/>
          <w:bCs/>
          <w:rtl/>
          <w:lang w:eastAsia="de-DE"/>
        </w:rPr>
        <w:t>לכפר</w:t>
      </w:r>
      <w:r w:rsidRPr="0050276D">
        <w:rPr>
          <w:rFonts w:eastAsia="Times New Roman" w:cs="Times New Roman"/>
          <w:rtl/>
          <w:lang w:eastAsia="de-DE"/>
        </w:rPr>
        <w:t xml:space="preserve"> </w:t>
      </w:r>
      <w:r w:rsidRPr="0050276D">
        <w:rPr>
          <w:rFonts w:eastAsia="Times New Roman" w:cs="Times New Roman"/>
          <w:lang w:eastAsia="de-DE"/>
        </w:rPr>
        <w:t xml:space="preserve">(um Sühne zu erwirken). </w:t>
      </w:r>
      <w:r w:rsidRPr="0050276D">
        <w:rPr>
          <w:rFonts w:eastAsia="Times New Roman" w:cs="Times New Roman"/>
          <w:b/>
          <w:bCs/>
          <w:rtl/>
          <w:lang w:eastAsia="de-DE"/>
        </w:rPr>
        <w:t>עליו</w:t>
      </w:r>
      <w:r w:rsidRPr="0050276D">
        <w:rPr>
          <w:rFonts w:eastAsia="Times New Roman" w:cs="Times New Roman"/>
          <w:rtl/>
          <w:lang w:eastAsia="de-DE"/>
        </w:rPr>
        <w:t xml:space="preserve"> </w:t>
      </w:r>
      <w:r w:rsidRPr="0050276D">
        <w:rPr>
          <w:rFonts w:eastAsia="Times New Roman" w:cs="Times New Roman"/>
          <w:lang w:eastAsia="de-DE"/>
        </w:rPr>
        <w:t>(für ihn) referenziert den Altar.</w:t>
      </w:r>
    </w:p>
    <w:p w14:paraId="17E8BDE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Blutbehandlung folgt dem </w:t>
      </w:r>
      <w:r w:rsidRPr="0050276D">
        <w:rPr>
          <w:rFonts w:eastAsia="Times New Roman" w:cs="Times New Roman"/>
          <w:b/>
          <w:bCs/>
          <w:rtl/>
          <w:lang w:eastAsia="de-DE"/>
        </w:rPr>
        <w:t>חטאת</w:t>
      </w:r>
      <w:r w:rsidRPr="0050276D">
        <w:rPr>
          <w:rFonts w:eastAsia="Times New Roman" w:cs="Times New Roman"/>
          <w:lang w:eastAsia="de-DE"/>
        </w:rPr>
        <w:t xml:space="preserve">-Muster: Hörner bestreichen, Rest ausgießen. </w:t>
      </w:r>
      <w:r w:rsidRPr="0050276D">
        <w:rPr>
          <w:rFonts w:eastAsia="Times New Roman" w:cs="Times New Roman"/>
          <w:b/>
          <w:bCs/>
          <w:rtl/>
          <w:lang w:eastAsia="de-DE"/>
        </w:rPr>
        <w:t>חטא</w:t>
      </w:r>
      <w:r w:rsidRPr="0050276D">
        <w:rPr>
          <w:rFonts w:eastAsia="Times New Roman" w:cs="Times New Roman"/>
          <w:rtl/>
          <w:lang w:eastAsia="de-DE"/>
        </w:rPr>
        <w:t xml:space="preserve"> </w:t>
      </w:r>
      <w:r w:rsidRPr="0050276D">
        <w:rPr>
          <w:rFonts w:eastAsia="Times New Roman" w:cs="Times New Roman"/>
          <w:lang w:eastAsia="de-DE"/>
        </w:rPr>
        <w:t xml:space="preserve">im Piel und </w:t>
      </w:r>
      <w:r w:rsidRPr="0050276D">
        <w:rPr>
          <w:rFonts w:eastAsia="Times New Roman" w:cs="Times New Roman"/>
          <w:b/>
          <w:bCs/>
          <w:rtl/>
          <w:lang w:eastAsia="de-DE"/>
        </w:rPr>
        <w:t>קדש</w:t>
      </w:r>
      <w:r w:rsidRPr="0050276D">
        <w:rPr>
          <w:rFonts w:eastAsia="Times New Roman" w:cs="Times New Roman"/>
          <w:rtl/>
          <w:lang w:eastAsia="de-DE"/>
        </w:rPr>
        <w:t xml:space="preserve"> </w:t>
      </w:r>
      <w:r w:rsidRPr="0050276D">
        <w:rPr>
          <w:rFonts w:eastAsia="Times New Roman" w:cs="Times New Roman"/>
          <w:lang w:eastAsia="de-DE"/>
        </w:rPr>
        <w:t xml:space="preserve">im Piel zeigen die reinigende und heiligende Wirkung des </w:t>
      </w:r>
      <w:r w:rsidRPr="0050276D">
        <w:rPr>
          <w:rFonts w:eastAsia="Times New Roman" w:cs="Times New Roman"/>
          <w:b/>
          <w:bCs/>
          <w:rtl/>
          <w:lang w:eastAsia="de-DE"/>
        </w:rPr>
        <w:t>חטאת</w:t>
      </w:r>
      <w:r w:rsidRPr="0050276D">
        <w:rPr>
          <w:rFonts w:eastAsia="Times New Roman" w:cs="Times New Roman"/>
          <w:lang w:eastAsia="de-DE"/>
        </w:rPr>
        <w:t>-Blutes auf den Altar selbst.</w:t>
      </w:r>
    </w:p>
    <w:p w14:paraId="56C9A221" w14:textId="67570013"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w:t>
      </w:r>
      <w:r w:rsidR="00865A3D">
        <w:t xml:space="preserve">übersetzt </w:t>
      </w:r>
      <w:r w:rsidR="00865A3D">
        <w:rPr>
          <w:rtl/>
        </w:rPr>
        <w:t>ויחטא את־המזבח</w:t>
      </w:r>
      <w:r w:rsidR="00865A3D">
        <w:t xml:space="preserve"> (</w:t>
      </w:r>
      <w:proofErr w:type="spellStart"/>
      <w:r w:rsidR="00865A3D">
        <w:t>waychatte</w:t>
      </w:r>
      <w:proofErr w:type="spellEnd"/>
      <w:r w:rsidR="00865A3D">
        <w:t xml:space="preserve"> et-</w:t>
      </w:r>
      <w:proofErr w:type="spellStart"/>
      <w:r w:rsidR="00865A3D">
        <w:t>hamizbeach</w:t>
      </w:r>
      <w:proofErr w:type="spellEnd"/>
      <w:r w:rsidR="00865A3D">
        <w:t xml:space="preserve"> - "und er entsündigte den Altar") als καὶ </w:t>
      </w:r>
      <w:proofErr w:type="spellStart"/>
      <w:r w:rsidR="00865A3D">
        <w:t>ἐκ</w:t>
      </w:r>
      <w:proofErr w:type="spellEnd"/>
      <w:r w:rsidR="00865A3D">
        <w:t xml:space="preserve">αθάρισεν </w:t>
      </w:r>
      <w:proofErr w:type="spellStart"/>
      <w:r w:rsidR="00865A3D">
        <w:t>τὸ</w:t>
      </w:r>
      <w:proofErr w:type="spellEnd"/>
      <w:r w:rsidR="00865A3D">
        <w:t xml:space="preserve"> </w:t>
      </w:r>
      <w:proofErr w:type="spellStart"/>
      <w:r w:rsidR="00865A3D">
        <w:t>θυσι</w:t>
      </w:r>
      <w:proofErr w:type="spellEnd"/>
      <w:r w:rsidR="00865A3D">
        <w:t>αστήριον (und er reinigte den Altar), was eine Betonung der kultischen Reinigung statt der Sündentilgung zeigt.</w:t>
      </w:r>
    </w:p>
    <w:p w14:paraId="105D9EB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sechs koordinierte Hauptsätze: Schlachtung + Blutnahme + Hörnerbestreichen + Altarentsündigung + Blutausgießung + Altarheiligung mit Zweckangabe. Die Struktur zeigt die komplexe </w:t>
      </w:r>
      <w:r w:rsidRPr="0050276D">
        <w:rPr>
          <w:rFonts w:eastAsia="Times New Roman" w:cs="Times New Roman"/>
          <w:b/>
          <w:bCs/>
          <w:rtl/>
          <w:lang w:eastAsia="de-DE"/>
        </w:rPr>
        <w:t>חטאת</w:t>
      </w:r>
      <w:r w:rsidRPr="0050276D">
        <w:rPr>
          <w:rFonts w:eastAsia="Times New Roman" w:cs="Times New Roman"/>
          <w:lang w:eastAsia="de-DE"/>
        </w:rPr>
        <w:t>-Prozedur zur Altarweihe.</w:t>
      </w:r>
    </w:p>
    <w:p w14:paraId="729E73F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beschreibt die komplexe </w:t>
      </w:r>
      <w:r w:rsidRPr="0050276D">
        <w:rPr>
          <w:rFonts w:eastAsia="Times New Roman" w:cs="Times New Roman"/>
          <w:b/>
          <w:bCs/>
          <w:rtl/>
          <w:lang w:eastAsia="de-DE"/>
        </w:rPr>
        <w:t>חטאת</w:t>
      </w:r>
      <w:r w:rsidRPr="0050276D">
        <w:rPr>
          <w:rFonts w:eastAsia="Times New Roman" w:cs="Times New Roman"/>
          <w:lang w:eastAsia="de-DE"/>
        </w:rPr>
        <w:t>-Prozedur zur Entsündigung und Heiligung des Altars als Vorbereitung für den priesterlichen Dienst.</w:t>
      </w:r>
    </w:p>
    <w:p w14:paraId="43D3F8B7"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8,16</w:t>
      </w:r>
    </w:p>
    <w:p w14:paraId="35F955A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וַיִּקַּ֗ח אֶֽת־כָּל־הַחֵלֶב֮ אֲשֶׁ֣ר עַל־הַקֶּרֶב֒ וְאֵת֙ יֹתֶ֣רֶת הַכָּבֵ֔ד וְאֶת־שְׁתֵּ֥י הַכְּלָיֹ֖ת וְאֶֽת־חֶלְבְּהֶ֑ן וַיַּקְטֵ֥ר מֹשֶׁ֖ה הַמִּזְבֵּֽחָה׃</w:t>
      </w:r>
    </w:p>
    <w:p w14:paraId="3956D07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nahm das ganze Fett, das am Eingeweide ist, und das Netz der Leber und die beiden Nieren und ihr Fett, und Mosche räucherte es auf dem Altar.</w:t>
      </w:r>
    </w:p>
    <w:p w14:paraId="528829F0"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00019C09">
          <v:rect id="_x0000_i1212" style="width:0;height:1.5pt" o:hralign="center" o:hrstd="t" o:hr="t" fillcolor="#a0a0a0" stroked="f"/>
        </w:pict>
      </w:r>
    </w:p>
    <w:p w14:paraId="4CBDCBA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ויקח את־כל־החלב אשר על־הקרב</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כל־החלב</w:t>
      </w:r>
      <w:r w:rsidRPr="0050276D">
        <w:rPr>
          <w:rFonts w:eastAsia="Times New Roman" w:cs="Times New Roman"/>
          <w:rtl/>
          <w:lang w:eastAsia="de-DE"/>
        </w:rPr>
        <w:t xml:space="preserve"> </w:t>
      </w:r>
      <w:r w:rsidRPr="0050276D">
        <w:rPr>
          <w:rFonts w:eastAsia="Times New Roman" w:cs="Times New Roman"/>
          <w:lang w:eastAsia="de-DE"/>
        </w:rPr>
        <w:t xml:space="preserve">(alles Fett) mit der Totalitätspartikel </w:t>
      </w:r>
      <w:r w:rsidRPr="0050276D">
        <w:rPr>
          <w:rFonts w:eastAsia="Times New Roman" w:cs="Times New Roman"/>
          <w:b/>
          <w:bCs/>
          <w:rtl/>
          <w:lang w:eastAsia="de-DE"/>
        </w:rPr>
        <w:t>כל</w:t>
      </w:r>
      <w:r w:rsidRPr="0050276D">
        <w:rPr>
          <w:rFonts w:eastAsia="Times New Roman" w:cs="Times New Roman"/>
          <w:rtl/>
          <w:lang w:eastAsia="de-DE"/>
        </w:rPr>
        <w:t xml:space="preserve"> </w:t>
      </w:r>
      <w:r w:rsidRPr="0050276D">
        <w:rPr>
          <w:rFonts w:eastAsia="Times New Roman" w:cs="Times New Roman"/>
          <w:lang w:eastAsia="de-DE"/>
        </w:rPr>
        <w:t xml:space="preserve">betont die vollständige Entnahme. </w:t>
      </w:r>
      <w:r w:rsidRPr="0050276D">
        <w:rPr>
          <w:rFonts w:eastAsia="Times New Roman" w:cs="Times New Roman"/>
          <w:b/>
          <w:bCs/>
          <w:rtl/>
          <w:lang w:eastAsia="de-DE"/>
        </w:rPr>
        <w:t>אשר על־הקרב</w:t>
      </w:r>
      <w:r w:rsidRPr="0050276D">
        <w:rPr>
          <w:rFonts w:eastAsia="Times New Roman" w:cs="Times New Roman"/>
          <w:rtl/>
          <w:lang w:eastAsia="de-DE"/>
        </w:rPr>
        <w:t xml:space="preserve"> </w:t>
      </w:r>
      <w:r w:rsidRPr="0050276D">
        <w:rPr>
          <w:rFonts w:eastAsia="Times New Roman" w:cs="Times New Roman"/>
          <w:lang w:eastAsia="de-DE"/>
        </w:rPr>
        <w:t xml:space="preserve">(das am Eingeweide ist) ist ein Relativsatz, der das Eingeweidefett spezifiziert.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(Eingeweide/Inneres) bezeichnet die Bauchorgane.</w:t>
      </w:r>
    </w:p>
    <w:p w14:paraId="283BB6D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ואת יתרת הכבד ואת־שתי הכליות ואת־חלבהן</w:t>
      </w:r>
      <w:r w:rsidRPr="0050276D">
        <w:rPr>
          <w:rFonts w:eastAsia="Times New Roman" w:cs="Times New Roman"/>
          <w:rtl/>
          <w:lang w:eastAsia="de-DE"/>
        </w:rPr>
        <w:t xml:space="preserve"> </w:t>
      </w:r>
      <w:r w:rsidRPr="0050276D">
        <w:rPr>
          <w:rFonts w:eastAsia="Times New Roman" w:cs="Times New Roman"/>
          <w:lang w:eastAsia="de-DE"/>
        </w:rPr>
        <w:t xml:space="preserve">listet die spezifischen Fettteile auf, die bei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verbrannt werden. </w:t>
      </w:r>
      <w:r w:rsidRPr="0050276D">
        <w:rPr>
          <w:rFonts w:eastAsia="Times New Roman" w:cs="Times New Roman"/>
          <w:b/>
          <w:bCs/>
          <w:rtl/>
          <w:lang w:eastAsia="de-DE"/>
        </w:rPr>
        <w:t>יתרת הכבד</w:t>
      </w:r>
      <w:r w:rsidRPr="0050276D">
        <w:rPr>
          <w:rFonts w:eastAsia="Times New Roman" w:cs="Times New Roman"/>
          <w:rtl/>
          <w:lang w:eastAsia="de-DE"/>
        </w:rPr>
        <w:t xml:space="preserve"> </w:t>
      </w:r>
      <w:r w:rsidRPr="0050276D">
        <w:rPr>
          <w:rFonts w:eastAsia="Times New Roman" w:cs="Times New Roman"/>
          <w:lang w:eastAsia="de-DE"/>
        </w:rPr>
        <w:t xml:space="preserve">(Netz der Leber) ist das Lebernetz. </w:t>
      </w:r>
      <w:r w:rsidRPr="0050276D">
        <w:rPr>
          <w:rFonts w:eastAsia="Times New Roman" w:cs="Times New Roman"/>
          <w:b/>
          <w:bCs/>
          <w:rtl/>
          <w:lang w:eastAsia="de-DE"/>
        </w:rPr>
        <w:t>שתי הכליות</w:t>
      </w:r>
      <w:r w:rsidRPr="0050276D">
        <w:rPr>
          <w:rFonts w:eastAsia="Times New Roman" w:cs="Times New Roman"/>
          <w:rtl/>
          <w:lang w:eastAsia="de-DE"/>
        </w:rPr>
        <w:t xml:space="preserve"> </w:t>
      </w:r>
      <w:r w:rsidRPr="0050276D">
        <w:rPr>
          <w:rFonts w:eastAsia="Times New Roman" w:cs="Times New Roman"/>
          <w:lang w:eastAsia="de-DE"/>
        </w:rPr>
        <w:t xml:space="preserve">(die beiden Nieren) im Dual. </w:t>
      </w:r>
      <w:r w:rsidRPr="0050276D">
        <w:rPr>
          <w:rFonts w:eastAsia="Times New Roman" w:cs="Times New Roman"/>
          <w:b/>
          <w:bCs/>
          <w:rtl/>
          <w:lang w:eastAsia="de-DE"/>
        </w:rPr>
        <w:t>חלבהן</w:t>
      </w:r>
      <w:r w:rsidRPr="0050276D">
        <w:rPr>
          <w:rFonts w:eastAsia="Times New Roman" w:cs="Times New Roman"/>
          <w:rtl/>
          <w:lang w:eastAsia="de-DE"/>
        </w:rPr>
        <w:t xml:space="preserve"> </w:t>
      </w:r>
      <w:r w:rsidRPr="0050276D">
        <w:rPr>
          <w:rFonts w:eastAsia="Times New Roman" w:cs="Times New Roman"/>
          <w:lang w:eastAsia="de-DE"/>
        </w:rPr>
        <w:t xml:space="preserve">(ihr Fett) mit Possessivsuffix 3. Person feminin Plural bezieht sich auf </w:t>
      </w:r>
      <w:r w:rsidRPr="0050276D">
        <w:rPr>
          <w:rFonts w:eastAsia="Times New Roman" w:cs="Times New Roman"/>
          <w:b/>
          <w:bCs/>
          <w:rtl/>
          <w:lang w:eastAsia="de-DE"/>
        </w:rPr>
        <w:t>כליות</w:t>
      </w:r>
      <w:r w:rsidRPr="0050276D">
        <w:rPr>
          <w:rFonts w:eastAsia="Times New Roman" w:cs="Times New Roman"/>
          <w:lang w:eastAsia="de-DE"/>
        </w:rPr>
        <w:t>. Diese Aufzählung entspricht exakt 4,8-9.</w:t>
      </w:r>
    </w:p>
    <w:p w14:paraId="15E22DC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ויקטר משה המזבחה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קטר</w:t>
      </w:r>
      <w:r w:rsidRPr="0050276D">
        <w:rPr>
          <w:rFonts w:eastAsia="Times New Roman" w:cs="Times New Roman"/>
          <w:rtl/>
          <w:lang w:eastAsia="de-DE"/>
        </w:rPr>
        <w:t xml:space="preserve"> </w:t>
      </w:r>
      <w:r w:rsidRPr="0050276D">
        <w:rPr>
          <w:rFonts w:eastAsia="Times New Roman" w:cs="Times New Roman"/>
          <w:lang w:eastAsia="de-DE"/>
        </w:rPr>
        <w:t xml:space="preserve">(räuchern) im Hifil-Imperfekt mit Waw-Konsekutiv. Das Hifil drückt die kausative Handlung aus "in Rauch aufgehen lassen". </w:t>
      </w:r>
      <w:r w:rsidRPr="0050276D">
        <w:rPr>
          <w:rFonts w:eastAsia="Times New Roman" w:cs="Times New Roman"/>
          <w:b/>
          <w:bCs/>
          <w:rtl/>
          <w:lang w:eastAsia="de-DE"/>
        </w:rPr>
        <w:t>משה</w:t>
      </w:r>
      <w:r w:rsidRPr="0050276D">
        <w:rPr>
          <w:rFonts w:eastAsia="Times New Roman" w:cs="Times New Roman"/>
          <w:rtl/>
          <w:lang w:eastAsia="de-DE"/>
        </w:rPr>
        <w:t xml:space="preserve"> </w:t>
      </w:r>
      <w:r w:rsidRPr="0050276D">
        <w:rPr>
          <w:rFonts w:eastAsia="Times New Roman" w:cs="Times New Roman"/>
          <w:lang w:eastAsia="de-DE"/>
        </w:rPr>
        <w:t xml:space="preserve">wird explizit als Subjekt genannt. </w:t>
      </w:r>
      <w:r w:rsidRPr="0050276D">
        <w:rPr>
          <w:rFonts w:eastAsia="Times New Roman" w:cs="Times New Roman"/>
          <w:b/>
          <w:bCs/>
          <w:rtl/>
          <w:lang w:eastAsia="de-DE"/>
        </w:rPr>
        <w:t>המזבחה</w:t>
      </w:r>
      <w:r w:rsidRPr="0050276D">
        <w:rPr>
          <w:rFonts w:eastAsia="Times New Roman" w:cs="Times New Roman"/>
          <w:rtl/>
          <w:lang w:eastAsia="de-DE"/>
        </w:rPr>
        <w:t xml:space="preserve"> </w:t>
      </w:r>
      <w:r w:rsidRPr="0050276D">
        <w:rPr>
          <w:rFonts w:eastAsia="Times New Roman" w:cs="Times New Roman"/>
          <w:lang w:eastAsia="de-DE"/>
        </w:rPr>
        <w:t xml:space="preserve">(auf den Altar) mit direktionaler </w:t>
      </w:r>
      <w:r w:rsidRPr="0050276D">
        <w:rPr>
          <w:rFonts w:eastAsia="Times New Roman" w:cs="Times New Roman"/>
          <w:b/>
          <w:bCs/>
          <w:rtl/>
          <w:lang w:eastAsia="de-DE"/>
        </w:rPr>
        <w:t>ה</w:t>
      </w:r>
      <w:r w:rsidRPr="0050276D">
        <w:rPr>
          <w:rFonts w:eastAsia="Times New Roman" w:cs="Times New Roman"/>
          <w:rtl/>
          <w:lang w:eastAsia="de-DE"/>
        </w:rPr>
        <w:t xml:space="preserve"> </w:t>
      </w:r>
      <w:r w:rsidRPr="0050276D">
        <w:rPr>
          <w:rFonts w:eastAsia="Times New Roman" w:cs="Times New Roman"/>
          <w:lang w:eastAsia="de-DE"/>
        </w:rPr>
        <w:t>zeigt die Richtung der Opferung.</w:t>
      </w:r>
    </w:p>
    <w:p w14:paraId="2102CC5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Fettaufzählung folgt der standardisierten </w:t>
      </w:r>
      <w:r w:rsidRPr="0050276D">
        <w:rPr>
          <w:rFonts w:eastAsia="Times New Roman" w:cs="Times New Roman"/>
          <w:b/>
          <w:bCs/>
          <w:rtl/>
          <w:lang w:eastAsia="de-DE"/>
        </w:rPr>
        <w:t>חטאת</w:t>
      </w:r>
      <w:r w:rsidRPr="0050276D">
        <w:rPr>
          <w:rFonts w:eastAsia="Times New Roman" w:cs="Times New Roman"/>
          <w:lang w:eastAsia="de-DE"/>
        </w:rPr>
        <w:t xml:space="preserve">-Formel: </w:t>
      </w:r>
      <w:r w:rsidRPr="0050276D">
        <w:rPr>
          <w:rFonts w:eastAsia="Times New Roman" w:cs="Times New Roman"/>
          <w:b/>
          <w:bCs/>
          <w:rtl/>
          <w:lang w:eastAsia="de-DE"/>
        </w:rPr>
        <w:t>חלב על־הקרב</w:t>
      </w:r>
      <w:r w:rsidRPr="0050276D">
        <w:rPr>
          <w:rFonts w:eastAsia="Times New Roman" w:cs="Times New Roman"/>
          <w:lang w:eastAsia="de-DE"/>
        </w:rPr>
        <w:t xml:space="preserve">, </w:t>
      </w:r>
      <w:r w:rsidRPr="0050276D">
        <w:rPr>
          <w:rFonts w:eastAsia="Times New Roman" w:cs="Times New Roman"/>
          <w:b/>
          <w:bCs/>
          <w:rtl/>
          <w:lang w:eastAsia="de-DE"/>
        </w:rPr>
        <w:t>יתרת הכבד</w:t>
      </w:r>
      <w:r w:rsidRPr="0050276D">
        <w:rPr>
          <w:rFonts w:eastAsia="Times New Roman" w:cs="Times New Roman"/>
          <w:lang w:eastAsia="de-DE"/>
        </w:rPr>
        <w:t xml:space="preserve">, </w:t>
      </w:r>
      <w:r w:rsidRPr="0050276D">
        <w:rPr>
          <w:rFonts w:eastAsia="Times New Roman" w:cs="Times New Roman"/>
          <w:b/>
          <w:bCs/>
          <w:rtl/>
          <w:lang w:eastAsia="de-DE"/>
        </w:rPr>
        <w:t>כליות וחלבהן</w:t>
      </w:r>
      <w:r w:rsidRPr="0050276D">
        <w:rPr>
          <w:rFonts w:eastAsia="Times New Roman" w:cs="Times New Roman"/>
          <w:lang w:eastAsia="de-DE"/>
        </w:rPr>
        <w:t xml:space="preserve">. Diese Teile werden immer bei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verbrannt, während das Fleisch bei priesterlichen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außerhalb des Lagers verbrannt wird.</w:t>
      </w:r>
    </w:p>
    <w:p w14:paraId="0365DD0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lastRenderedPageBreak/>
        <w:t>Die LXX</w:t>
      </w:r>
      <w:r w:rsidRPr="0050276D">
        <w:rPr>
          <w:rFonts w:eastAsia="Times New Roman" w:cs="Times New Roman"/>
          <w:lang w:eastAsia="de-DE"/>
        </w:rPr>
        <w:t xml:space="preserve"> übersetzt </w:t>
      </w:r>
      <w:r w:rsidRPr="0050276D">
        <w:rPr>
          <w:rFonts w:eastAsia="Times New Roman" w:cs="Times New Roman"/>
          <w:b/>
          <w:bCs/>
          <w:rtl/>
          <w:lang w:eastAsia="de-DE"/>
        </w:rPr>
        <w:t>החלב</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στέ</w:t>
      </w:r>
      <w:proofErr w:type="spellEnd"/>
      <w:r w:rsidRPr="0050276D">
        <w:rPr>
          <w:rFonts w:eastAsia="Times New Roman" w:cs="Times New Roman"/>
          <w:lang w:eastAsia="de-DE"/>
        </w:rPr>
        <w:t xml:space="preserve">αρ (Fett), </w:t>
      </w:r>
      <w:r w:rsidRPr="0050276D">
        <w:rPr>
          <w:rFonts w:eastAsia="Times New Roman" w:cs="Times New Roman"/>
          <w:b/>
          <w:bCs/>
          <w:rtl/>
          <w:lang w:eastAsia="de-DE"/>
        </w:rPr>
        <w:t>יתרת הכבד</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λο</w:t>
      </w:r>
      <w:proofErr w:type="spellEnd"/>
      <w:r w:rsidRPr="0050276D">
        <w:rPr>
          <w:rFonts w:eastAsia="Times New Roman" w:cs="Times New Roman"/>
          <w:lang w:eastAsia="de-DE"/>
        </w:rPr>
        <w:t xml:space="preserve">βὸν </w:t>
      </w:r>
      <w:proofErr w:type="spellStart"/>
      <w:r w:rsidRPr="0050276D">
        <w:rPr>
          <w:rFonts w:eastAsia="Times New Roman" w:cs="Times New Roman"/>
          <w:lang w:eastAsia="de-DE"/>
        </w:rPr>
        <w:t>τοῦ</w:t>
      </w:r>
      <w:proofErr w:type="spellEnd"/>
      <w:r w:rsidRPr="0050276D">
        <w:rPr>
          <w:rFonts w:eastAsia="Times New Roman" w:cs="Times New Roman"/>
          <w:lang w:eastAsia="de-DE"/>
        </w:rPr>
        <w:t xml:space="preserve"> ἥπα</w:t>
      </w:r>
      <w:proofErr w:type="spellStart"/>
      <w:r w:rsidRPr="0050276D">
        <w:rPr>
          <w:rFonts w:eastAsia="Times New Roman" w:cs="Times New Roman"/>
          <w:lang w:eastAsia="de-DE"/>
        </w:rPr>
        <w:t>τος</w:t>
      </w:r>
      <w:proofErr w:type="spellEnd"/>
      <w:r w:rsidRPr="0050276D">
        <w:rPr>
          <w:rFonts w:eastAsia="Times New Roman" w:cs="Times New Roman"/>
          <w:lang w:eastAsia="de-DE"/>
        </w:rPr>
        <w:t xml:space="preserve"> (Lappen der Leber) und </w:t>
      </w:r>
      <w:r w:rsidRPr="0050276D">
        <w:rPr>
          <w:rFonts w:eastAsia="Times New Roman" w:cs="Times New Roman"/>
          <w:b/>
          <w:bCs/>
          <w:rtl/>
          <w:lang w:eastAsia="de-DE"/>
        </w:rPr>
        <w:t>ויקטר</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ἀνήνεγκεν</w:t>
      </w:r>
      <w:proofErr w:type="spellEnd"/>
      <w:r w:rsidRPr="0050276D">
        <w:rPr>
          <w:rFonts w:eastAsia="Times New Roman" w:cs="Times New Roman"/>
          <w:lang w:eastAsia="de-DE"/>
        </w:rPr>
        <w:t xml:space="preserve"> (er brachte hinauf).</w:t>
      </w:r>
    </w:p>
    <w:p w14:paraId="75DE257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Hauptsätze: 1) Verb + komplexes direktes Objekt mit Relativsatz + drei weitere koordinierte Objekte; 2) Verb + Subjekt + Ortsangabe. Die Struktur zeigt die systematische Fettentnahme und -verbrennung.</w:t>
      </w:r>
    </w:p>
    <w:p w14:paraId="664F6B9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beschreibt die ordnungsgemäße Entnahme und Verbrennung der </w:t>
      </w:r>
      <w:r w:rsidRPr="0050276D">
        <w:rPr>
          <w:rFonts w:eastAsia="Times New Roman" w:cs="Times New Roman"/>
          <w:b/>
          <w:bCs/>
          <w:rtl/>
          <w:lang w:eastAsia="de-DE"/>
        </w:rPr>
        <w:t>חטאת</w:t>
      </w:r>
      <w:r w:rsidRPr="0050276D">
        <w:rPr>
          <w:rFonts w:eastAsia="Times New Roman" w:cs="Times New Roman"/>
          <w:lang w:eastAsia="de-DE"/>
        </w:rPr>
        <w:t>-Fettteile entsprechend den Bestimmungen aus Kapitel 4.</w:t>
      </w:r>
    </w:p>
    <w:p w14:paraId="0FDE7BE9"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8,17</w:t>
      </w:r>
    </w:p>
    <w:p w14:paraId="6544522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וְאֶת־הַפָּ֤ר וְאֶת־עֹרוֹ֙ וְאֶת־בְּשָׂרֹ֣ו וְאֶת־פִּרְשֹׁ֔ו שָׂרַ֣ף בָּאֵ֔שׁ מִח֖וּץ לַֽמַּחֲנֶ֑ה כַּאֲשֶׁ֛ר צִוָּ֥ה יְהוָ֖ה אֶת־מֹשֶֽׁה׃</w:t>
      </w:r>
    </w:p>
    <w:p w14:paraId="0910074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den Stier und seine Haut und sein Fleisch und seinen Mist verbrannte er mit Feuer außerhalb des Lagers: so wie der Ewige dem Mosche geboten hatte.</w:t>
      </w:r>
    </w:p>
    <w:p w14:paraId="46F3B3E3"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58CBA351">
          <v:rect id="_x0000_i1213" style="width:0;height:1.5pt" o:hralign="center" o:hrstd="t" o:hr="t" fillcolor="#a0a0a0" stroked="f"/>
        </w:pict>
      </w:r>
    </w:p>
    <w:p w14:paraId="0E48F2C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ואת־הפר ואת־עורו ואת־בשרו ואת־פרשו</w:t>
      </w:r>
      <w:r w:rsidRPr="0050276D">
        <w:rPr>
          <w:rFonts w:eastAsia="Times New Roman" w:cs="Times New Roman"/>
          <w:rtl/>
          <w:lang w:eastAsia="de-DE"/>
        </w:rPr>
        <w:t xml:space="preserve"> </w:t>
      </w:r>
      <w:r w:rsidRPr="0050276D">
        <w:rPr>
          <w:rFonts w:eastAsia="Times New Roman" w:cs="Times New Roman"/>
          <w:lang w:eastAsia="de-DE"/>
        </w:rPr>
        <w:t xml:space="preserve">zeigt vier koordinierte direkte Objekte mit jeweils </w:t>
      </w:r>
      <w:r w:rsidRPr="0050276D">
        <w:rPr>
          <w:rFonts w:eastAsia="Times New Roman" w:cs="Times New Roman"/>
          <w:b/>
          <w:bCs/>
          <w:rtl/>
          <w:lang w:eastAsia="de-DE"/>
        </w:rPr>
        <w:t>ואת</w:t>
      </w:r>
      <w:r w:rsidRPr="0050276D">
        <w:rPr>
          <w:rFonts w:eastAsia="Times New Roman" w:cs="Times New Roman"/>
          <w:lang w:eastAsia="de-DE"/>
        </w:rPr>
        <w:t xml:space="preserve">. </w:t>
      </w:r>
      <w:r w:rsidRPr="0050276D">
        <w:rPr>
          <w:rFonts w:eastAsia="Times New Roman" w:cs="Times New Roman"/>
          <w:b/>
          <w:bCs/>
          <w:rtl/>
          <w:lang w:eastAsia="de-DE"/>
        </w:rPr>
        <w:t>הפר</w:t>
      </w:r>
      <w:r w:rsidRPr="0050276D">
        <w:rPr>
          <w:rFonts w:eastAsia="Times New Roman" w:cs="Times New Roman"/>
          <w:rtl/>
          <w:lang w:eastAsia="de-DE"/>
        </w:rPr>
        <w:t xml:space="preserve"> </w:t>
      </w:r>
      <w:r w:rsidRPr="0050276D">
        <w:rPr>
          <w:rFonts w:eastAsia="Times New Roman" w:cs="Times New Roman"/>
          <w:lang w:eastAsia="de-DE"/>
        </w:rPr>
        <w:t xml:space="preserve">(der Stier) als Ganzes, dann die Aufschlüsselung: </w:t>
      </w:r>
      <w:r w:rsidRPr="0050276D">
        <w:rPr>
          <w:rFonts w:eastAsia="Times New Roman" w:cs="Times New Roman"/>
          <w:b/>
          <w:bCs/>
          <w:rtl/>
          <w:lang w:eastAsia="de-DE"/>
        </w:rPr>
        <w:t>עורו</w:t>
      </w:r>
      <w:r w:rsidRPr="0050276D">
        <w:rPr>
          <w:rFonts w:eastAsia="Times New Roman" w:cs="Times New Roman"/>
          <w:rtl/>
          <w:lang w:eastAsia="de-DE"/>
        </w:rPr>
        <w:t xml:space="preserve"> </w:t>
      </w:r>
      <w:r w:rsidRPr="0050276D">
        <w:rPr>
          <w:rFonts w:eastAsia="Times New Roman" w:cs="Times New Roman"/>
          <w:lang w:eastAsia="de-DE"/>
        </w:rPr>
        <w:t xml:space="preserve">(seine Haut), </w:t>
      </w:r>
      <w:r w:rsidRPr="0050276D">
        <w:rPr>
          <w:rFonts w:eastAsia="Times New Roman" w:cs="Times New Roman"/>
          <w:b/>
          <w:bCs/>
          <w:rtl/>
          <w:lang w:eastAsia="de-DE"/>
        </w:rPr>
        <w:t>בשרו</w:t>
      </w:r>
      <w:r w:rsidRPr="0050276D">
        <w:rPr>
          <w:rFonts w:eastAsia="Times New Roman" w:cs="Times New Roman"/>
          <w:rtl/>
          <w:lang w:eastAsia="de-DE"/>
        </w:rPr>
        <w:t xml:space="preserve"> </w:t>
      </w:r>
      <w:r w:rsidRPr="0050276D">
        <w:rPr>
          <w:rFonts w:eastAsia="Times New Roman" w:cs="Times New Roman"/>
          <w:lang w:eastAsia="de-DE"/>
        </w:rPr>
        <w:t xml:space="preserve">(sein Fleisch), </w:t>
      </w:r>
      <w:r w:rsidRPr="0050276D">
        <w:rPr>
          <w:rFonts w:eastAsia="Times New Roman" w:cs="Times New Roman"/>
          <w:b/>
          <w:bCs/>
          <w:rtl/>
          <w:lang w:eastAsia="de-DE"/>
        </w:rPr>
        <w:t>פרשו</w:t>
      </w:r>
      <w:r w:rsidRPr="0050276D">
        <w:rPr>
          <w:rFonts w:eastAsia="Times New Roman" w:cs="Times New Roman"/>
          <w:rtl/>
          <w:lang w:eastAsia="de-DE"/>
        </w:rPr>
        <w:t xml:space="preserve"> </w:t>
      </w:r>
      <w:r w:rsidRPr="0050276D">
        <w:rPr>
          <w:rFonts w:eastAsia="Times New Roman" w:cs="Times New Roman"/>
          <w:lang w:eastAsia="de-DE"/>
        </w:rPr>
        <w:t>(sein Mist). Die Possessivsuffixe 3. Person maskulin Singular (</w:t>
      </w:r>
      <w:r w:rsidRPr="0050276D">
        <w:rPr>
          <w:rFonts w:eastAsia="Times New Roman" w:cs="Times New Roman"/>
          <w:b/>
          <w:bCs/>
          <w:rtl/>
          <w:lang w:eastAsia="de-DE"/>
        </w:rPr>
        <w:t>ו</w:t>
      </w:r>
      <w:r w:rsidRPr="0050276D">
        <w:rPr>
          <w:rFonts w:eastAsia="Times New Roman" w:cs="Times New Roman"/>
          <w:lang w:eastAsia="de-DE"/>
        </w:rPr>
        <w:t xml:space="preserve">) referenzieren alle auf </w:t>
      </w:r>
      <w:r w:rsidRPr="0050276D">
        <w:rPr>
          <w:rFonts w:eastAsia="Times New Roman" w:cs="Times New Roman"/>
          <w:b/>
          <w:bCs/>
          <w:rtl/>
          <w:lang w:eastAsia="de-DE"/>
        </w:rPr>
        <w:t>הפר</w:t>
      </w:r>
      <w:r w:rsidRPr="0050276D">
        <w:rPr>
          <w:rFonts w:eastAsia="Times New Roman" w:cs="Times New Roman"/>
          <w:rtl/>
          <w:lang w:eastAsia="de-DE"/>
        </w:rPr>
        <w:t xml:space="preserve"> </w:t>
      </w:r>
      <w:r w:rsidRPr="0050276D">
        <w:rPr>
          <w:rFonts w:eastAsia="Times New Roman" w:cs="Times New Roman"/>
          <w:lang w:eastAsia="de-DE"/>
        </w:rPr>
        <w:t>zurück. Diese Aufzählung umfasst alle Teile des Tieres außer den bereits verbrannten Fettteilen.</w:t>
      </w:r>
    </w:p>
    <w:p w14:paraId="1F971BB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שרף באש מחוץ למחנה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שרף</w:t>
      </w:r>
      <w:r w:rsidRPr="0050276D">
        <w:rPr>
          <w:rFonts w:eastAsia="Times New Roman" w:cs="Times New Roman"/>
          <w:rtl/>
          <w:lang w:eastAsia="de-DE"/>
        </w:rPr>
        <w:t xml:space="preserve"> </w:t>
      </w:r>
      <w:r w:rsidRPr="0050276D">
        <w:rPr>
          <w:rFonts w:eastAsia="Times New Roman" w:cs="Times New Roman"/>
          <w:lang w:eastAsia="de-DE"/>
        </w:rPr>
        <w:t xml:space="preserve">(verbrennen) im Qal-Perfekt 3. Person maskulin Singular. </w:t>
      </w:r>
      <w:r w:rsidRPr="0050276D">
        <w:rPr>
          <w:rFonts w:eastAsia="Times New Roman" w:cs="Times New Roman"/>
          <w:b/>
          <w:bCs/>
          <w:rtl/>
          <w:lang w:eastAsia="de-DE"/>
        </w:rPr>
        <w:t>באש</w:t>
      </w:r>
      <w:r w:rsidRPr="0050276D">
        <w:rPr>
          <w:rFonts w:eastAsia="Times New Roman" w:cs="Times New Roman"/>
          <w:rtl/>
          <w:lang w:eastAsia="de-DE"/>
        </w:rPr>
        <w:t xml:space="preserve"> </w:t>
      </w:r>
      <w:r w:rsidRPr="0050276D">
        <w:rPr>
          <w:rFonts w:eastAsia="Times New Roman" w:cs="Times New Roman"/>
          <w:lang w:eastAsia="de-DE"/>
        </w:rPr>
        <w:t xml:space="preserve">(mit Feuer) gibt das Mittel an. </w:t>
      </w:r>
      <w:r w:rsidRPr="0050276D">
        <w:rPr>
          <w:rFonts w:eastAsia="Times New Roman" w:cs="Times New Roman"/>
          <w:b/>
          <w:bCs/>
          <w:rtl/>
          <w:lang w:eastAsia="de-DE"/>
        </w:rPr>
        <w:t>מחוץ למחנה</w:t>
      </w:r>
      <w:r w:rsidRPr="0050276D">
        <w:rPr>
          <w:rFonts w:eastAsia="Times New Roman" w:cs="Times New Roman"/>
          <w:rtl/>
          <w:lang w:eastAsia="de-DE"/>
        </w:rPr>
        <w:t xml:space="preserve"> </w:t>
      </w:r>
      <w:r w:rsidRPr="0050276D">
        <w:rPr>
          <w:rFonts w:eastAsia="Times New Roman" w:cs="Times New Roman"/>
          <w:lang w:eastAsia="de-DE"/>
        </w:rPr>
        <w:t xml:space="preserve">(außerhalb des Lagers) entspricht den Bestimmungen für priesterliche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aus 4,12.21. </w:t>
      </w:r>
      <w:r w:rsidRPr="0050276D">
        <w:rPr>
          <w:rFonts w:eastAsia="Times New Roman" w:cs="Times New Roman"/>
          <w:b/>
          <w:bCs/>
          <w:rtl/>
          <w:lang w:eastAsia="de-DE"/>
        </w:rPr>
        <w:t>מחוץ</w:t>
      </w:r>
      <w:r w:rsidRPr="0050276D">
        <w:rPr>
          <w:rFonts w:eastAsia="Times New Roman" w:cs="Times New Roman"/>
          <w:rtl/>
          <w:lang w:eastAsia="de-DE"/>
        </w:rPr>
        <w:t xml:space="preserve"> </w:t>
      </w:r>
      <w:r w:rsidRPr="0050276D">
        <w:rPr>
          <w:rFonts w:eastAsia="Times New Roman" w:cs="Times New Roman"/>
          <w:lang w:eastAsia="de-DE"/>
        </w:rPr>
        <w:t xml:space="preserve">(außerhalb) mit </w:t>
      </w:r>
      <w:r w:rsidRPr="0050276D">
        <w:rPr>
          <w:rFonts w:eastAsia="Times New Roman" w:cs="Times New Roman"/>
          <w:b/>
          <w:bCs/>
          <w:rtl/>
          <w:lang w:eastAsia="de-DE"/>
        </w:rPr>
        <w:t>ל</w:t>
      </w:r>
      <w:r w:rsidRPr="0050276D">
        <w:rPr>
          <w:rFonts w:eastAsia="Times New Roman" w:cs="Times New Roman"/>
          <w:rtl/>
          <w:lang w:eastAsia="de-DE"/>
        </w:rPr>
        <w:t xml:space="preserve"> </w:t>
      </w:r>
      <w:r w:rsidRPr="0050276D">
        <w:rPr>
          <w:rFonts w:eastAsia="Times New Roman" w:cs="Times New Roman"/>
          <w:lang w:eastAsia="de-DE"/>
        </w:rPr>
        <w:t>(zu/vom) bildet eine zusammengesetzte Präposition.</w:t>
      </w:r>
    </w:p>
    <w:p w14:paraId="030FA17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כאשר צוה יהוה את־משה</w:t>
      </w:r>
      <w:r w:rsidRPr="0050276D">
        <w:rPr>
          <w:rFonts w:eastAsia="Times New Roman" w:cs="Times New Roman"/>
          <w:rtl/>
          <w:lang w:eastAsia="de-DE"/>
        </w:rPr>
        <w:t xml:space="preserve"> </w:t>
      </w:r>
      <w:r w:rsidRPr="0050276D">
        <w:rPr>
          <w:rFonts w:eastAsia="Times New Roman" w:cs="Times New Roman"/>
          <w:lang w:eastAsia="de-DE"/>
        </w:rPr>
        <w:t xml:space="preserve">ist die Bestätigungsformel, die die Ausführung entsprechend der göttlichen Anweisung bekräftigt. </w:t>
      </w:r>
      <w:r w:rsidRPr="0050276D">
        <w:rPr>
          <w:rFonts w:eastAsia="Times New Roman" w:cs="Times New Roman"/>
          <w:b/>
          <w:bCs/>
          <w:rtl/>
          <w:lang w:eastAsia="de-DE"/>
        </w:rPr>
        <w:t>צוה</w:t>
      </w:r>
      <w:r w:rsidRPr="0050276D">
        <w:rPr>
          <w:rFonts w:eastAsia="Times New Roman" w:cs="Times New Roman"/>
          <w:rtl/>
          <w:lang w:eastAsia="de-DE"/>
        </w:rPr>
        <w:t xml:space="preserve"> </w:t>
      </w:r>
      <w:r w:rsidRPr="0050276D">
        <w:rPr>
          <w:rFonts w:eastAsia="Times New Roman" w:cs="Times New Roman"/>
          <w:lang w:eastAsia="de-DE"/>
        </w:rPr>
        <w:t xml:space="preserve">im Piel-Perfekt (er befahl) verweist auf die ursprünglichen Anweisungen in Exodus 29,14 und die </w:t>
      </w:r>
      <w:r w:rsidRPr="0050276D">
        <w:rPr>
          <w:rFonts w:eastAsia="Times New Roman" w:cs="Times New Roman"/>
          <w:b/>
          <w:bCs/>
          <w:rtl/>
          <w:lang w:eastAsia="de-DE"/>
        </w:rPr>
        <w:t>חטאת</w:t>
      </w:r>
      <w:r w:rsidRPr="0050276D">
        <w:rPr>
          <w:rFonts w:eastAsia="Times New Roman" w:cs="Times New Roman"/>
          <w:lang w:eastAsia="de-DE"/>
        </w:rPr>
        <w:t>-Gesetze in 4,11-12.</w:t>
      </w:r>
    </w:p>
    <w:p w14:paraId="09B10AA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Verbrennung </w:t>
      </w:r>
      <w:r w:rsidRPr="0050276D">
        <w:rPr>
          <w:rFonts w:eastAsia="Times New Roman" w:cs="Times New Roman"/>
          <w:b/>
          <w:bCs/>
          <w:rtl/>
          <w:lang w:eastAsia="de-DE"/>
        </w:rPr>
        <w:t>מחוץ למחנה</w:t>
      </w:r>
      <w:r w:rsidRPr="0050276D">
        <w:rPr>
          <w:rFonts w:eastAsia="Times New Roman" w:cs="Times New Roman"/>
          <w:rtl/>
          <w:lang w:eastAsia="de-DE"/>
        </w:rPr>
        <w:t xml:space="preserve"> </w:t>
      </w:r>
      <w:r w:rsidRPr="0050276D">
        <w:rPr>
          <w:rFonts w:eastAsia="Times New Roman" w:cs="Times New Roman"/>
          <w:lang w:eastAsia="de-DE"/>
        </w:rPr>
        <w:t xml:space="preserve">unterscheidet priesterliche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von Laien-</w:t>
      </w:r>
      <w:r w:rsidRPr="0050276D">
        <w:rPr>
          <w:rFonts w:eastAsia="Times New Roman" w:cs="Times New Roman"/>
          <w:b/>
          <w:bCs/>
          <w:rtl/>
          <w:lang w:eastAsia="de-DE"/>
        </w:rPr>
        <w:t>חטאת</w:t>
      </w:r>
      <w:r w:rsidRPr="0050276D">
        <w:rPr>
          <w:rFonts w:eastAsia="Times New Roman" w:cs="Times New Roman"/>
          <w:lang w:eastAsia="de-DE"/>
        </w:rPr>
        <w:t xml:space="preserve">: bei Priestern wird das Fleisch verbrannt, bei Laien von Priestern gegessen. </w:t>
      </w:r>
      <w:r w:rsidRPr="0050276D">
        <w:rPr>
          <w:rFonts w:eastAsia="Times New Roman" w:cs="Times New Roman"/>
          <w:b/>
          <w:bCs/>
          <w:rtl/>
          <w:lang w:eastAsia="de-DE"/>
        </w:rPr>
        <w:t>פרש</w:t>
      </w:r>
      <w:r w:rsidRPr="0050276D">
        <w:rPr>
          <w:rFonts w:eastAsia="Times New Roman" w:cs="Times New Roman"/>
          <w:rtl/>
          <w:lang w:eastAsia="de-DE"/>
        </w:rPr>
        <w:t xml:space="preserve"> </w:t>
      </w:r>
      <w:r w:rsidRPr="0050276D">
        <w:rPr>
          <w:rFonts w:eastAsia="Times New Roman" w:cs="Times New Roman"/>
          <w:lang w:eastAsia="de-DE"/>
        </w:rPr>
        <w:t>(Mist/Dung) wird explizit erwähnt, um die vollständige Vernichtung zu betonen.</w:t>
      </w:r>
    </w:p>
    <w:p w14:paraId="67F153C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הפר</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μόσχον</w:t>
      </w:r>
      <w:proofErr w:type="spellEnd"/>
      <w:r w:rsidRPr="0050276D">
        <w:rPr>
          <w:rFonts w:eastAsia="Times New Roman" w:cs="Times New Roman"/>
          <w:lang w:eastAsia="de-DE"/>
        </w:rPr>
        <w:t xml:space="preserve"> (Kalb), </w:t>
      </w:r>
      <w:r w:rsidRPr="0050276D">
        <w:rPr>
          <w:rFonts w:eastAsia="Times New Roman" w:cs="Times New Roman"/>
          <w:b/>
          <w:bCs/>
          <w:rtl/>
          <w:lang w:eastAsia="de-DE"/>
        </w:rPr>
        <w:t>פרשו</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κό</w:t>
      </w:r>
      <w:proofErr w:type="spellEnd"/>
      <w:r w:rsidRPr="0050276D">
        <w:rPr>
          <w:rFonts w:eastAsia="Times New Roman" w:cs="Times New Roman"/>
          <w:lang w:eastAsia="de-DE"/>
        </w:rPr>
        <w:t>προν α</w:t>
      </w:r>
      <w:proofErr w:type="spellStart"/>
      <w:r w:rsidRPr="0050276D">
        <w:rPr>
          <w:rFonts w:eastAsia="Times New Roman" w:cs="Times New Roman"/>
          <w:lang w:eastAsia="de-DE"/>
        </w:rPr>
        <w:t>ὐτοῦ</w:t>
      </w:r>
      <w:proofErr w:type="spellEnd"/>
      <w:r w:rsidRPr="0050276D">
        <w:rPr>
          <w:rFonts w:eastAsia="Times New Roman" w:cs="Times New Roman"/>
          <w:lang w:eastAsia="de-DE"/>
        </w:rPr>
        <w:t xml:space="preserve"> (seinen Mist), </w:t>
      </w:r>
      <w:r w:rsidRPr="0050276D">
        <w:rPr>
          <w:rFonts w:eastAsia="Times New Roman" w:cs="Times New Roman"/>
          <w:b/>
          <w:bCs/>
          <w:rtl/>
          <w:lang w:eastAsia="de-DE"/>
        </w:rPr>
        <w:t>שרף</w:t>
      </w:r>
      <w:r w:rsidRPr="0050276D">
        <w:rPr>
          <w:rFonts w:eastAsia="Times New Roman" w:cs="Times New Roman"/>
          <w:rtl/>
          <w:lang w:eastAsia="de-DE"/>
        </w:rPr>
        <w:t xml:space="preserve"> </w:t>
      </w:r>
      <w:r w:rsidRPr="0050276D">
        <w:rPr>
          <w:rFonts w:eastAsia="Times New Roman" w:cs="Times New Roman"/>
          <w:lang w:eastAsia="de-DE"/>
        </w:rPr>
        <w:t>mit κα</w:t>
      </w:r>
      <w:proofErr w:type="spellStart"/>
      <w:r w:rsidRPr="0050276D">
        <w:rPr>
          <w:rFonts w:eastAsia="Times New Roman" w:cs="Times New Roman"/>
          <w:lang w:eastAsia="de-DE"/>
        </w:rPr>
        <w:t>τέκ</w:t>
      </w:r>
      <w:proofErr w:type="spellEnd"/>
      <w:r w:rsidRPr="0050276D">
        <w:rPr>
          <w:rFonts w:eastAsia="Times New Roman" w:cs="Times New Roman"/>
          <w:lang w:eastAsia="de-DE"/>
        </w:rPr>
        <w:t xml:space="preserve">αυσεν (er verbrannte) und </w:t>
      </w:r>
      <w:r w:rsidRPr="0050276D">
        <w:rPr>
          <w:rFonts w:eastAsia="Times New Roman" w:cs="Times New Roman"/>
          <w:b/>
          <w:bCs/>
          <w:rtl/>
          <w:lang w:eastAsia="de-DE"/>
        </w:rPr>
        <w:t>מחוץ למחנה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ἔξω</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τῆς</w:t>
      </w:r>
      <w:proofErr w:type="spellEnd"/>
      <w:r w:rsidRPr="0050276D">
        <w:rPr>
          <w:rFonts w:eastAsia="Times New Roman" w:cs="Times New Roman"/>
          <w:lang w:eastAsia="de-DE"/>
        </w:rPr>
        <w:t xml:space="preserve"> πα</w:t>
      </w:r>
      <w:proofErr w:type="spellStart"/>
      <w:r w:rsidRPr="0050276D">
        <w:rPr>
          <w:rFonts w:eastAsia="Times New Roman" w:cs="Times New Roman"/>
          <w:lang w:eastAsia="de-DE"/>
        </w:rPr>
        <w:t>ρεμ</w:t>
      </w:r>
      <w:proofErr w:type="spellEnd"/>
      <w:r w:rsidRPr="0050276D">
        <w:rPr>
          <w:rFonts w:eastAsia="Times New Roman" w:cs="Times New Roman"/>
          <w:lang w:eastAsia="de-DE"/>
        </w:rPr>
        <w:t>βολῆς (außerhalb des Lagers).</w:t>
      </w:r>
    </w:p>
    <w:p w14:paraId="3028A85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einen Hauptsatz mit vier koordinierten direkten Objekten plus Bestätigungsformel: komplexes direktes Objekt + Verb + Instrumentalangabe + Ortsangabe + Bestätigungsformel. Die Struktur betont die vollständige Vernichtung entsprechend göttlichem Befehl.</w:t>
      </w:r>
    </w:p>
    <w:p w14:paraId="22D004F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komplettiert die </w:t>
      </w:r>
      <w:r w:rsidRPr="0050276D">
        <w:rPr>
          <w:rFonts w:eastAsia="Times New Roman" w:cs="Times New Roman"/>
          <w:b/>
          <w:bCs/>
          <w:rtl/>
          <w:lang w:eastAsia="de-DE"/>
        </w:rPr>
        <w:t>חטאת</w:t>
      </w:r>
      <w:r w:rsidRPr="0050276D">
        <w:rPr>
          <w:rFonts w:eastAsia="Times New Roman" w:cs="Times New Roman"/>
          <w:lang w:eastAsia="de-DE"/>
        </w:rPr>
        <w:t>-Prozedur mit der vorschriftsmäßigen Verbrennung aller übrigen Tierteile außerhalb des Lagers entsprechend den Bestimmungen für priesterliche Sündopfer.</w:t>
      </w:r>
    </w:p>
    <w:p w14:paraId="7A0887DA"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lastRenderedPageBreak/>
        <w:t>Leviticus 8,18</w:t>
      </w:r>
    </w:p>
    <w:p w14:paraId="3450ADE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וַיַּקְרֵ֕ב אֵ֖ת אֵ֣יל הָעֹלָ֑ה וַֽיִּסְמְכ֞וּ אַהֲרֹ֧ן וּבָנָ֛יו אֶת־יְדֵיהֶ֖ם עַל־רֹ֥אשׁ הָאָֽיִל׃</w:t>
      </w:r>
    </w:p>
    <w:p w14:paraId="162D677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brachte den Widder des Aufsteigeopfers herzu; und Aaron und seine Söhne legten ihre Hände auf den Kopf des Widders.</w:t>
      </w:r>
    </w:p>
    <w:p w14:paraId="66E8130E"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09311014">
          <v:rect id="_x0000_i1214" style="width:0;height:1.5pt" o:hralign="center" o:hrstd="t" o:hr="t" fillcolor="#a0a0a0" stroked="f"/>
        </w:pict>
      </w:r>
    </w:p>
    <w:p w14:paraId="702FE875" w14:textId="0AFD5E84"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ויקרב את איל העלה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 xml:space="preserve">im Hifil-Imperfekt mit Waw-Konsekutiv, parallel zu </w:t>
      </w:r>
      <w:r w:rsidRPr="0050276D">
        <w:rPr>
          <w:rFonts w:eastAsia="Times New Roman" w:cs="Times New Roman"/>
          <w:b/>
          <w:bCs/>
          <w:rtl/>
          <w:lang w:eastAsia="de-DE"/>
        </w:rPr>
        <w:t>ויגש</w:t>
      </w:r>
      <w:r w:rsidRPr="0050276D">
        <w:rPr>
          <w:rFonts w:eastAsia="Times New Roman" w:cs="Times New Roman"/>
          <w:rtl/>
          <w:lang w:eastAsia="de-DE"/>
        </w:rPr>
        <w:t xml:space="preserve"> </w:t>
      </w:r>
      <w:r w:rsidRPr="0050276D">
        <w:rPr>
          <w:rFonts w:eastAsia="Times New Roman" w:cs="Times New Roman"/>
          <w:lang w:eastAsia="de-DE"/>
        </w:rPr>
        <w:t xml:space="preserve">in V. 14. </w:t>
      </w:r>
      <w:r w:rsidRPr="0050276D">
        <w:rPr>
          <w:rFonts w:eastAsia="Times New Roman" w:cs="Times New Roman"/>
          <w:b/>
          <w:bCs/>
          <w:rtl/>
          <w:lang w:eastAsia="de-DE"/>
        </w:rPr>
        <w:t>איל העלה</w:t>
      </w:r>
      <w:r w:rsidRPr="0050276D">
        <w:rPr>
          <w:rFonts w:eastAsia="Times New Roman" w:cs="Times New Roman"/>
          <w:rtl/>
          <w:lang w:eastAsia="de-DE"/>
        </w:rPr>
        <w:t xml:space="preserve"> </w:t>
      </w:r>
      <w:r w:rsidRPr="0050276D">
        <w:rPr>
          <w:rFonts w:eastAsia="Times New Roman" w:cs="Times New Roman"/>
          <w:lang w:eastAsia="de-DE"/>
        </w:rPr>
        <w:t xml:space="preserve">(Widder des </w:t>
      </w:r>
      <w:r w:rsidR="00CF10E7">
        <w:rPr>
          <w:rFonts w:eastAsia="Times New Roman" w:cs="Times New Roman"/>
          <w:lang w:eastAsia="de-DE"/>
        </w:rPr>
        <w:t>Aufsteigeopfer</w:t>
      </w:r>
      <w:r w:rsidRPr="0050276D">
        <w:rPr>
          <w:rFonts w:eastAsia="Times New Roman" w:cs="Times New Roman"/>
          <w:lang w:eastAsia="de-DE"/>
        </w:rPr>
        <w:t xml:space="preserve">s) ist eine Genitivkonstruktion, die das zweite der drei Weihe-Opfertiere bezeichnet. </w:t>
      </w:r>
      <w:r w:rsidRPr="0050276D">
        <w:rPr>
          <w:rFonts w:eastAsia="Times New Roman" w:cs="Times New Roman"/>
          <w:b/>
          <w:bCs/>
          <w:rtl/>
          <w:lang w:eastAsia="de-DE"/>
        </w:rPr>
        <w:t>איל</w:t>
      </w:r>
      <w:r w:rsidRPr="0050276D">
        <w:rPr>
          <w:rFonts w:eastAsia="Times New Roman" w:cs="Times New Roman"/>
          <w:rtl/>
          <w:lang w:eastAsia="de-DE"/>
        </w:rPr>
        <w:t xml:space="preserve"> </w:t>
      </w:r>
      <w:r w:rsidRPr="0050276D">
        <w:rPr>
          <w:rFonts w:eastAsia="Times New Roman" w:cs="Times New Roman"/>
          <w:lang w:eastAsia="de-DE"/>
        </w:rPr>
        <w:t xml:space="preserve">(Widder) ist das charakteristische </w:t>
      </w:r>
      <w:r w:rsidRPr="0050276D">
        <w:rPr>
          <w:rFonts w:eastAsia="Times New Roman" w:cs="Times New Roman"/>
          <w:b/>
          <w:bCs/>
          <w:rtl/>
          <w:lang w:eastAsia="de-DE"/>
        </w:rPr>
        <w:t>עלה</w:t>
      </w:r>
      <w:r w:rsidRPr="0050276D">
        <w:rPr>
          <w:rFonts w:eastAsia="Times New Roman" w:cs="Times New Roman"/>
          <w:lang w:eastAsia="de-DE"/>
        </w:rPr>
        <w:t>-Tier für besondere Anlässe, im Unterschied zu Schafen oder Rindern.</w:t>
      </w:r>
    </w:p>
    <w:p w14:paraId="78F5D1AD"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ויסמכו אהרן ובניו את־ידיהם על־ראש האיל</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סמך</w:t>
      </w:r>
      <w:r w:rsidRPr="0050276D">
        <w:rPr>
          <w:rFonts w:eastAsia="Times New Roman" w:cs="Times New Roman"/>
          <w:rtl/>
          <w:lang w:eastAsia="de-DE"/>
        </w:rPr>
        <w:t xml:space="preserve"> </w:t>
      </w:r>
      <w:r w:rsidRPr="0050276D">
        <w:rPr>
          <w:rFonts w:eastAsia="Times New Roman" w:cs="Times New Roman"/>
          <w:lang w:eastAsia="de-DE"/>
        </w:rPr>
        <w:t xml:space="preserve">(auflegen) im Qal-Imperfekt 3. Person maskulin Plural mit Waw-Konsekutiv. </w:t>
      </w:r>
      <w:r w:rsidRPr="0050276D">
        <w:rPr>
          <w:rFonts w:eastAsia="Times New Roman" w:cs="Times New Roman"/>
          <w:b/>
          <w:bCs/>
          <w:rtl/>
          <w:lang w:eastAsia="de-DE"/>
        </w:rPr>
        <w:t>ויסמכו</w:t>
      </w:r>
      <w:r w:rsidRPr="0050276D">
        <w:rPr>
          <w:rFonts w:eastAsia="Times New Roman" w:cs="Times New Roman"/>
          <w:rtl/>
          <w:lang w:eastAsia="de-DE"/>
        </w:rPr>
        <w:t xml:space="preserve"> </w:t>
      </w:r>
      <w:r w:rsidRPr="0050276D">
        <w:rPr>
          <w:rFonts w:eastAsia="Times New Roman" w:cs="Times New Roman"/>
          <w:lang w:eastAsia="de-DE"/>
        </w:rPr>
        <w:t xml:space="preserve">ist Plural, entsprechend dem zusammengesetzten Subjekt </w:t>
      </w:r>
      <w:r w:rsidRPr="0050276D">
        <w:rPr>
          <w:rFonts w:eastAsia="Times New Roman" w:cs="Times New Roman"/>
          <w:b/>
          <w:bCs/>
          <w:rtl/>
          <w:lang w:eastAsia="de-DE"/>
        </w:rPr>
        <w:t>אהרן ובניו</w:t>
      </w:r>
      <w:r w:rsidRPr="0050276D">
        <w:rPr>
          <w:rFonts w:eastAsia="Times New Roman" w:cs="Times New Roman"/>
          <w:lang w:eastAsia="de-DE"/>
        </w:rPr>
        <w:t xml:space="preserve">. </w:t>
      </w:r>
      <w:r w:rsidRPr="0050276D">
        <w:rPr>
          <w:rFonts w:eastAsia="Times New Roman" w:cs="Times New Roman"/>
          <w:b/>
          <w:bCs/>
          <w:rtl/>
          <w:lang w:eastAsia="de-DE"/>
        </w:rPr>
        <w:t>את־ידיהם</w:t>
      </w:r>
      <w:r w:rsidRPr="0050276D">
        <w:rPr>
          <w:rFonts w:eastAsia="Times New Roman" w:cs="Times New Roman"/>
          <w:rtl/>
          <w:lang w:eastAsia="de-DE"/>
        </w:rPr>
        <w:t xml:space="preserve"> </w:t>
      </w:r>
      <w:r w:rsidRPr="0050276D">
        <w:rPr>
          <w:rFonts w:eastAsia="Times New Roman" w:cs="Times New Roman"/>
          <w:lang w:eastAsia="de-DE"/>
        </w:rPr>
        <w:t xml:space="preserve">(ihre Hände) mit Possessivsuffix 3. Person maskulin Plural umfasst beide Generationen. </w:t>
      </w:r>
      <w:r w:rsidRPr="0050276D">
        <w:rPr>
          <w:rFonts w:eastAsia="Times New Roman" w:cs="Times New Roman"/>
          <w:b/>
          <w:bCs/>
          <w:rtl/>
          <w:lang w:eastAsia="de-DE"/>
        </w:rPr>
        <w:t>על־ראש האיל</w:t>
      </w:r>
      <w:r w:rsidRPr="0050276D">
        <w:rPr>
          <w:rFonts w:eastAsia="Times New Roman" w:cs="Times New Roman"/>
          <w:rtl/>
          <w:lang w:eastAsia="de-DE"/>
        </w:rPr>
        <w:t xml:space="preserve"> </w:t>
      </w:r>
      <w:r w:rsidRPr="0050276D">
        <w:rPr>
          <w:rFonts w:eastAsia="Times New Roman" w:cs="Times New Roman"/>
          <w:lang w:eastAsia="de-DE"/>
        </w:rPr>
        <w:t xml:space="preserve">(auf den Kopf des Widders) entspricht der </w:t>
      </w:r>
      <w:r w:rsidRPr="0050276D">
        <w:rPr>
          <w:rFonts w:eastAsia="Times New Roman" w:cs="Times New Roman"/>
          <w:b/>
          <w:bCs/>
          <w:rtl/>
          <w:lang w:eastAsia="de-DE"/>
        </w:rPr>
        <w:t>סמיכה</w:t>
      </w:r>
      <w:r w:rsidRPr="0050276D">
        <w:rPr>
          <w:rFonts w:eastAsia="Times New Roman" w:cs="Times New Roman"/>
          <w:lang w:eastAsia="de-DE"/>
        </w:rPr>
        <w:t>-Formel aus V. 14.</w:t>
      </w:r>
    </w:p>
    <w:p w14:paraId="0979DFC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w:t>
      </w:r>
      <w:r w:rsidRPr="0050276D">
        <w:rPr>
          <w:rFonts w:eastAsia="Times New Roman" w:cs="Times New Roman"/>
          <w:b/>
          <w:bCs/>
          <w:rtl/>
          <w:lang w:eastAsia="de-DE"/>
        </w:rPr>
        <w:t>סמיכה</w:t>
      </w:r>
      <w:r w:rsidRPr="0050276D">
        <w:rPr>
          <w:rFonts w:eastAsia="Times New Roman" w:cs="Times New Roman"/>
          <w:rtl/>
          <w:lang w:eastAsia="de-DE"/>
        </w:rPr>
        <w:t xml:space="preserve"> </w:t>
      </w:r>
      <w:r w:rsidRPr="0050276D">
        <w:rPr>
          <w:rFonts w:eastAsia="Times New Roman" w:cs="Times New Roman"/>
          <w:lang w:eastAsia="de-DE"/>
        </w:rPr>
        <w:t xml:space="preserve">vor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unterscheidet sich theologisch von der bei </w:t>
      </w:r>
      <w:r w:rsidRPr="0050276D">
        <w:rPr>
          <w:rFonts w:eastAsia="Times New Roman" w:cs="Times New Roman"/>
          <w:b/>
          <w:bCs/>
          <w:rtl/>
          <w:lang w:eastAsia="de-DE"/>
        </w:rPr>
        <w:t>חטאת</w:t>
      </w:r>
      <w:r w:rsidRPr="0050276D">
        <w:rPr>
          <w:rFonts w:eastAsia="Times New Roman" w:cs="Times New Roman"/>
          <w:lang w:eastAsia="de-DE"/>
        </w:rPr>
        <w:t xml:space="preserve">: bei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symbolisiert sie Sündenübertragung, bei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Identifikation und Hingabe. </w:t>
      </w:r>
      <w:r w:rsidRPr="0050276D">
        <w:rPr>
          <w:rFonts w:eastAsia="Times New Roman" w:cs="Times New Roman"/>
          <w:b/>
          <w:bCs/>
          <w:rtl/>
          <w:lang w:eastAsia="de-DE"/>
        </w:rPr>
        <w:t>איל</w:t>
      </w:r>
      <w:r w:rsidRPr="0050276D">
        <w:rPr>
          <w:rFonts w:eastAsia="Times New Roman" w:cs="Times New Roman"/>
          <w:rtl/>
          <w:lang w:eastAsia="de-DE"/>
        </w:rPr>
        <w:t xml:space="preserve"> </w:t>
      </w:r>
      <w:r w:rsidRPr="0050276D">
        <w:rPr>
          <w:rFonts w:eastAsia="Times New Roman" w:cs="Times New Roman"/>
          <w:lang w:eastAsia="de-DE"/>
        </w:rPr>
        <w:t xml:space="preserve">als erwachsenes männliches Tier ist wertvoller als </w:t>
      </w:r>
      <w:r w:rsidRPr="0050276D">
        <w:rPr>
          <w:rFonts w:eastAsia="Times New Roman" w:cs="Times New Roman"/>
          <w:b/>
          <w:bCs/>
          <w:rtl/>
          <w:lang w:eastAsia="de-DE"/>
        </w:rPr>
        <w:t>כבש</w:t>
      </w:r>
      <w:r w:rsidRPr="0050276D">
        <w:rPr>
          <w:rFonts w:eastAsia="Times New Roman" w:cs="Times New Roman"/>
          <w:rtl/>
          <w:lang w:eastAsia="de-DE"/>
        </w:rPr>
        <w:t xml:space="preserve"> </w:t>
      </w:r>
      <w:r w:rsidRPr="0050276D">
        <w:rPr>
          <w:rFonts w:eastAsia="Times New Roman" w:cs="Times New Roman"/>
          <w:lang w:eastAsia="de-DE"/>
        </w:rPr>
        <w:t>(Lamm) und zeigt die Bedeutung der Priesterweihe.</w:t>
      </w:r>
    </w:p>
    <w:p w14:paraId="23896CA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Das Plural-Verb </w:t>
      </w:r>
      <w:r w:rsidRPr="0050276D">
        <w:rPr>
          <w:rFonts w:eastAsia="Times New Roman" w:cs="Times New Roman"/>
          <w:b/>
          <w:bCs/>
          <w:rtl/>
          <w:lang w:eastAsia="de-DE"/>
        </w:rPr>
        <w:t>ויסמכו</w:t>
      </w:r>
      <w:r w:rsidRPr="0050276D">
        <w:rPr>
          <w:rFonts w:eastAsia="Times New Roman" w:cs="Times New Roman"/>
          <w:rtl/>
          <w:lang w:eastAsia="de-DE"/>
        </w:rPr>
        <w:t xml:space="preserve"> </w:t>
      </w:r>
      <w:r w:rsidRPr="0050276D">
        <w:rPr>
          <w:rFonts w:eastAsia="Times New Roman" w:cs="Times New Roman"/>
          <w:lang w:eastAsia="de-DE"/>
        </w:rPr>
        <w:t xml:space="preserve">mit dem zusammengesetzten Subjekt zeigt grammatische Kongruenz nach dem Prinzip der nächsten Konstituente: </w:t>
      </w:r>
      <w:r w:rsidRPr="0050276D">
        <w:rPr>
          <w:rFonts w:eastAsia="Times New Roman" w:cs="Times New Roman"/>
          <w:b/>
          <w:bCs/>
          <w:rtl/>
          <w:lang w:eastAsia="de-DE"/>
        </w:rPr>
        <w:t>ובניו</w:t>
      </w:r>
      <w:r w:rsidRPr="0050276D">
        <w:rPr>
          <w:rFonts w:eastAsia="Times New Roman" w:cs="Times New Roman"/>
          <w:rtl/>
          <w:lang w:eastAsia="de-DE"/>
        </w:rPr>
        <w:t xml:space="preserve"> </w:t>
      </w:r>
      <w:r w:rsidRPr="0050276D">
        <w:rPr>
          <w:rFonts w:eastAsia="Times New Roman" w:cs="Times New Roman"/>
          <w:lang w:eastAsia="de-DE"/>
        </w:rPr>
        <w:t>(seine Söhne) als Plural bestimmt die Verbform.</w:t>
      </w:r>
    </w:p>
    <w:p w14:paraId="6A19A9A4" w14:textId="17560398"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איל העלה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κριὸν</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εἰς</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ὁλοκ</w:t>
      </w:r>
      <w:proofErr w:type="spellEnd"/>
      <w:r w:rsidRPr="0050276D">
        <w:rPr>
          <w:rFonts w:eastAsia="Times New Roman" w:cs="Times New Roman"/>
          <w:lang w:eastAsia="de-DE"/>
        </w:rPr>
        <w:t xml:space="preserve">αύτωμα (Widder für </w:t>
      </w:r>
      <w:r w:rsidR="00CF10E7">
        <w:rPr>
          <w:rFonts w:eastAsia="Times New Roman" w:cs="Times New Roman"/>
          <w:lang w:eastAsia="de-DE"/>
        </w:rPr>
        <w:t>Aufsteigeopfer</w:t>
      </w:r>
      <w:r w:rsidRPr="0050276D">
        <w:rPr>
          <w:rFonts w:eastAsia="Times New Roman" w:cs="Times New Roman"/>
          <w:lang w:eastAsia="de-DE"/>
        </w:rPr>
        <w:t xml:space="preserve">), </w:t>
      </w:r>
      <w:r w:rsidRPr="0050276D">
        <w:rPr>
          <w:rFonts w:eastAsia="Times New Roman" w:cs="Times New Roman"/>
          <w:b/>
          <w:bCs/>
          <w:rtl/>
          <w:lang w:eastAsia="de-DE"/>
        </w:rPr>
        <w:t>ויסמכו</w:t>
      </w:r>
      <w:r w:rsidRPr="0050276D">
        <w:rPr>
          <w:rFonts w:eastAsia="Times New Roman" w:cs="Times New Roman"/>
          <w:rtl/>
          <w:lang w:eastAsia="de-DE"/>
        </w:rPr>
        <w:t xml:space="preserve"> </w:t>
      </w:r>
      <w:r w:rsidRPr="0050276D">
        <w:rPr>
          <w:rFonts w:eastAsia="Times New Roman" w:cs="Times New Roman"/>
          <w:lang w:eastAsia="de-DE"/>
        </w:rPr>
        <w:t>mit ἐπ</w:t>
      </w:r>
      <w:proofErr w:type="spellStart"/>
      <w:r w:rsidRPr="0050276D">
        <w:rPr>
          <w:rFonts w:eastAsia="Times New Roman" w:cs="Times New Roman"/>
          <w:lang w:eastAsia="de-DE"/>
        </w:rPr>
        <w:t>έθηκ</w:t>
      </w:r>
      <w:proofErr w:type="spellEnd"/>
      <w:r w:rsidRPr="0050276D">
        <w:rPr>
          <w:rFonts w:eastAsia="Times New Roman" w:cs="Times New Roman"/>
          <w:lang w:eastAsia="de-DE"/>
        </w:rPr>
        <w:t>αν (sie legten auf) und zeigt korrekte Plural-Übersetzung.</w:t>
      </w:r>
    </w:p>
    <w:p w14:paraId="758DDF2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Verb + direktes Objekt; 2) Verb (Plural) + zusammengesetztes Subjekt + direktes Objekt + Ortsangabe. Die Struktur entspricht V. 14, aber mit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statt </w:t>
      </w:r>
      <w:r w:rsidRPr="0050276D">
        <w:rPr>
          <w:rFonts w:eastAsia="Times New Roman" w:cs="Times New Roman"/>
          <w:b/>
          <w:bCs/>
          <w:rtl/>
          <w:lang w:eastAsia="de-DE"/>
        </w:rPr>
        <w:t>חטאת</w:t>
      </w:r>
      <w:r w:rsidRPr="0050276D">
        <w:rPr>
          <w:rFonts w:eastAsia="Times New Roman" w:cs="Times New Roman"/>
          <w:lang w:eastAsia="de-DE"/>
        </w:rPr>
        <w:t>.</w:t>
      </w:r>
    </w:p>
    <w:p w14:paraId="5EB6CE8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beginnt die </w:t>
      </w:r>
      <w:r w:rsidRPr="0050276D">
        <w:rPr>
          <w:rFonts w:eastAsia="Times New Roman" w:cs="Times New Roman"/>
          <w:b/>
          <w:bCs/>
          <w:rtl/>
          <w:lang w:eastAsia="de-DE"/>
        </w:rPr>
        <w:t>עלה</w:t>
      </w:r>
      <w:r w:rsidRPr="0050276D">
        <w:rPr>
          <w:rFonts w:eastAsia="Times New Roman" w:cs="Times New Roman"/>
          <w:lang w:eastAsia="de-DE"/>
        </w:rPr>
        <w:t>-Prozedur als zweites Weihe-Opfer mit der rituellen Handauflegung durch alle zu weihenden Priester.</w:t>
      </w:r>
    </w:p>
    <w:p w14:paraId="261F134D"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8,19</w:t>
      </w:r>
    </w:p>
    <w:p w14:paraId="1134322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וַיִּשְׁחָ֑ט וַיִּזְרֹ֨ק מֹשֶׁ֧ה אֶת־הַדָּ֛ם עַל־הַמִּזְבֵּ֖חַ סָבִֽיב׃</w:t>
      </w:r>
    </w:p>
    <w:p w14:paraId="1A7529C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schlachtete ihn, und Mosche spritzte das Blut an den Altar ringsum.</w:t>
      </w:r>
    </w:p>
    <w:p w14:paraId="1BD0C429"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3A427661">
          <v:rect id="_x0000_i1215" style="width:0;height:1.5pt" o:hralign="center" o:hrstd="t" o:hr="t" fillcolor="#a0a0a0" stroked="f"/>
        </w:pict>
      </w:r>
    </w:p>
    <w:p w14:paraId="33021EF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וישחט</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שחט</w:t>
      </w:r>
      <w:r w:rsidRPr="0050276D">
        <w:rPr>
          <w:rFonts w:eastAsia="Times New Roman" w:cs="Times New Roman"/>
          <w:rtl/>
          <w:lang w:eastAsia="de-DE"/>
        </w:rPr>
        <w:t xml:space="preserve"> </w:t>
      </w:r>
      <w:r w:rsidRPr="0050276D">
        <w:rPr>
          <w:rFonts w:eastAsia="Times New Roman" w:cs="Times New Roman"/>
          <w:lang w:eastAsia="de-DE"/>
        </w:rPr>
        <w:t xml:space="preserve">(schlachten) im Qal-Imperfekt mit Waw-Konsekutiv, ohne explizites Subjekt - aus dem Kontext ist Mosche der Handelnde, entsprechend V. 15. </w:t>
      </w:r>
      <w:r w:rsidRPr="0050276D">
        <w:rPr>
          <w:rFonts w:eastAsia="Times New Roman" w:cs="Times New Roman"/>
          <w:b/>
          <w:bCs/>
          <w:rtl/>
          <w:lang w:eastAsia="de-DE"/>
        </w:rPr>
        <w:t>ויזרק משה את־הדם על־המזבח סביב</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זרק</w:t>
      </w:r>
      <w:r w:rsidRPr="0050276D">
        <w:rPr>
          <w:rFonts w:eastAsia="Times New Roman" w:cs="Times New Roman"/>
          <w:rtl/>
          <w:lang w:eastAsia="de-DE"/>
        </w:rPr>
        <w:t xml:space="preserve"> </w:t>
      </w:r>
      <w:r w:rsidRPr="0050276D">
        <w:rPr>
          <w:rFonts w:eastAsia="Times New Roman" w:cs="Times New Roman"/>
          <w:lang w:eastAsia="de-DE"/>
        </w:rPr>
        <w:t>(spritzen/sprengen) im Qal-Imperfekt mit Waw-</w:t>
      </w:r>
      <w:r w:rsidRPr="0050276D">
        <w:rPr>
          <w:rFonts w:eastAsia="Times New Roman" w:cs="Times New Roman"/>
          <w:lang w:eastAsia="de-DE"/>
        </w:rPr>
        <w:lastRenderedPageBreak/>
        <w:t xml:space="preserve">Konsekutiv. </w:t>
      </w:r>
      <w:r w:rsidRPr="0050276D">
        <w:rPr>
          <w:rFonts w:eastAsia="Times New Roman" w:cs="Times New Roman"/>
          <w:b/>
          <w:bCs/>
          <w:rtl/>
          <w:lang w:eastAsia="de-DE"/>
        </w:rPr>
        <w:t>משה</w:t>
      </w:r>
      <w:r w:rsidRPr="0050276D">
        <w:rPr>
          <w:rFonts w:eastAsia="Times New Roman" w:cs="Times New Roman"/>
          <w:rtl/>
          <w:lang w:eastAsia="de-DE"/>
        </w:rPr>
        <w:t xml:space="preserve"> </w:t>
      </w:r>
      <w:r w:rsidRPr="0050276D">
        <w:rPr>
          <w:rFonts w:eastAsia="Times New Roman" w:cs="Times New Roman"/>
          <w:lang w:eastAsia="de-DE"/>
        </w:rPr>
        <w:t>wird hier explizit als Subjekt genannt, im Unterschied zur Ellipse beim Schlachten.</w:t>
      </w:r>
    </w:p>
    <w:p w14:paraId="736A4A1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את־הדם</w:t>
      </w:r>
      <w:r w:rsidRPr="0050276D">
        <w:rPr>
          <w:rFonts w:eastAsia="Times New Roman" w:cs="Times New Roman"/>
          <w:rtl/>
          <w:lang w:eastAsia="de-DE"/>
        </w:rPr>
        <w:t xml:space="preserve"> </w:t>
      </w:r>
      <w:r w:rsidRPr="0050276D">
        <w:rPr>
          <w:rFonts w:eastAsia="Times New Roman" w:cs="Times New Roman"/>
          <w:lang w:eastAsia="de-DE"/>
        </w:rPr>
        <w:t xml:space="preserve">(das Blut) ist das direkte Objekt mit Nota accusativi. </w:t>
      </w:r>
      <w:r w:rsidRPr="0050276D">
        <w:rPr>
          <w:rFonts w:eastAsia="Times New Roman" w:cs="Times New Roman"/>
          <w:b/>
          <w:bCs/>
          <w:rtl/>
          <w:lang w:eastAsia="de-DE"/>
        </w:rPr>
        <w:t>על־המזבח סביב</w:t>
      </w:r>
      <w:r w:rsidRPr="0050276D">
        <w:rPr>
          <w:rFonts w:eastAsia="Times New Roman" w:cs="Times New Roman"/>
          <w:rtl/>
          <w:lang w:eastAsia="de-DE"/>
        </w:rPr>
        <w:t xml:space="preserve"> </w:t>
      </w:r>
      <w:r w:rsidRPr="0050276D">
        <w:rPr>
          <w:rFonts w:eastAsia="Times New Roman" w:cs="Times New Roman"/>
          <w:lang w:eastAsia="de-DE"/>
        </w:rPr>
        <w:t xml:space="preserve">(an den Altar ringsum) zeigt das </w:t>
      </w:r>
      <w:r w:rsidRPr="0050276D">
        <w:rPr>
          <w:rFonts w:eastAsia="Times New Roman" w:cs="Times New Roman"/>
          <w:b/>
          <w:bCs/>
          <w:rtl/>
          <w:lang w:eastAsia="de-DE"/>
        </w:rPr>
        <w:t>עלה</w:t>
      </w:r>
      <w:r w:rsidRPr="0050276D">
        <w:rPr>
          <w:rFonts w:eastAsia="Times New Roman" w:cs="Times New Roman"/>
          <w:lang w:eastAsia="de-DE"/>
        </w:rPr>
        <w:t xml:space="preserve">-Blutverfahren: </w:t>
      </w:r>
      <w:r w:rsidRPr="0050276D">
        <w:rPr>
          <w:rFonts w:eastAsia="Times New Roman" w:cs="Times New Roman"/>
          <w:b/>
          <w:bCs/>
          <w:rtl/>
          <w:lang w:eastAsia="de-DE"/>
        </w:rPr>
        <w:t>זרק</w:t>
      </w:r>
      <w:r w:rsidRPr="0050276D">
        <w:rPr>
          <w:rFonts w:eastAsia="Times New Roman" w:cs="Times New Roman"/>
          <w:rtl/>
          <w:lang w:eastAsia="de-DE"/>
        </w:rPr>
        <w:t xml:space="preserve"> </w:t>
      </w:r>
      <w:r w:rsidRPr="0050276D">
        <w:rPr>
          <w:rFonts w:eastAsia="Times New Roman" w:cs="Times New Roman"/>
          <w:lang w:eastAsia="de-DE"/>
        </w:rPr>
        <w:t xml:space="preserve">(spritzen) statt </w:t>
      </w:r>
      <w:r w:rsidRPr="0050276D">
        <w:rPr>
          <w:rFonts w:eastAsia="Times New Roman" w:cs="Times New Roman"/>
          <w:b/>
          <w:bCs/>
          <w:rtl/>
          <w:lang w:eastAsia="de-DE"/>
        </w:rPr>
        <w:t>נתן</w:t>
      </w:r>
      <w:r w:rsidRPr="0050276D">
        <w:rPr>
          <w:rFonts w:eastAsia="Times New Roman" w:cs="Times New Roman"/>
          <w:rtl/>
          <w:lang w:eastAsia="de-DE"/>
        </w:rPr>
        <w:t xml:space="preserve"> </w:t>
      </w:r>
      <w:r w:rsidRPr="0050276D">
        <w:rPr>
          <w:rFonts w:eastAsia="Times New Roman" w:cs="Times New Roman"/>
          <w:lang w:eastAsia="de-DE"/>
        </w:rPr>
        <w:t xml:space="preserve">(setzen) wie bei </w:t>
      </w:r>
      <w:r w:rsidRPr="0050276D">
        <w:rPr>
          <w:rFonts w:eastAsia="Times New Roman" w:cs="Times New Roman"/>
          <w:b/>
          <w:bCs/>
          <w:rtl/>
          <w:lang w:eastAsia="de-DE"/>
        </w:rPr>
        <w:t>חטאת</w:t>
      </w:r>
      <w:r w:rsidRPr="0050276D">
        <w:rPr>
          <w:rFonts w:eastAsia="Times New Roman" w:cs="Times New Roman"/>
          <w:lang w:eastAsia="de-DE"/>
        </w:rPr>
        <w:t xml:space="preserve">, und </w:t>
      </w:r>
      <w:r w:rsidRPr="0050276D">
        <w:rPr>
          <w:rFonts w:eastAsia="Times New Roman" w:cs="Times New Roman"/>
          <w:b/>
          <w:bCs/>
          <w:rtl/>
          <w:lang w:eastAsia="de-DE"/>
        </w:rPr>
        <w:t>על־המזבח</w:t>
      </w:r>
      <w:r w:rsidRPr="0050276D">
        <w:rPr>
          <w:rFonts w:eastAsia="Times New Roman" w:cs="Times New Roman"/>
          <w:rtl/>
          <w:lang w:eastAsia="de-DE"/>
        </w:rPr>
        <w:t xml:space="preserve"> </w:t>
      </w:r>
      <w:r w:rsidRPr="0050276D">
        <w:rPr>
          <w:rFonts w:eastAsia="Times New Roman" w:cs="Times New Roman"/>
          <w:lang w:eastAsia="de-DE"/>
        </w:rPr>
        <w:t xml:space="preserve">(an den Altar) statt </w:t>
      </w:r>
      <w:r w:rsidRPr="0050276D">
        <w:rPr>
          <w:rFonts w:eastAsia="Times New Roman" w:cs="Times New Roman"/>
          <w:b/>
          <w:bCs/>
          <w:rtl/>
          <w:lang w:eastAsia="de-DE"/>
        </w:rPr>
        <w:t>על־קרנות המזבח</w:t>
      </w:r>
      <w:r w:rsidRPr="0050276D">
        <w:rPr>
          <w:rFonts w:eastAsia="Times New Roman" w:cs="Times New Roman"/>
          <w:rtl/>
          <w:lang w:eastAsia="de-DE"/>
        </w:rPr>
        <w:t xml:space="preserve"> </w:t>
      </w:r>
      <w:r w:rsidRPr="0050276D">
        <w:rPr>
          <w:rFonts w:eastAsia="Times New Roman" w:cs="Times New Roman"/>
          <w:lang w:eastAsia="de-DE"/>
        </w:rPr>
        <w:t xml:space="preserve">(an die Altarhörner). </w:t>
      </w:r>
      <w:r w:rsidRPr="0050276D">
        <w:rPr>
          <w:rFonts w:eastAsia="Times New Roman" w:cs="Times New Roman"/>
          <w:b/>
          <w:bCs/>
          <w:rtl/>
          <w:lang w:eastAsia="de-DE"/>
        </w:rPr>
        <w:t>סביב</w:t>
      </w:r>
      <w:r w:rsidRPr="0050276D">
        <w:rPr>
          <w:rFonts w:eastAsia="Times New Roman" w:cs="Times New Roman"/>
          <w:rtl/>
          <w:lang w:eastAsia="de-DE"/>
        </w:rPr>
        <w:t xml:space="preserve"> </w:t>
      </w:r>
      <w:r w:rsidRPr="0050276D">
        <w:rPr>
          <w:rFonts w:eastAsia="Times New Roman" w:cs="Times New Roman"/>
          <w:lang w:eastAsia="de-DE"/>
        </w:rPr>
        <w:t>(ringsum) zeigt die vollständige Umsprengung des Altarsockels.</w:t>
      </w:r>
    </w:p>
    <w:p w14:paraId="4FA9FB5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Unterscheidung zwischen </w:t>
      </w:r>
      <w:r w:rsidRPr="0050276D">
        <w:rPr>
          <w:rFonts w:eastAsia="Times New Roman" w:cs="Times New Roman"/>
          <w:b/>
          <w:bCs/>
          <w:rtl/>
          <w:lang w:eastAsia="de-DE"/>
        </w:rPr>
        <w:t>חטאת</w:t>
      </w:r>
      <w:r w:rsidRPr="0050276D">
        <w:rPr>
          <w:rFonts w:eastAsia="Times New Roman" w:cs="Times New Roman"/>
          <w:lang w:eastAsia="de-DE"/>
        </w:rPr>
        <w:t xml:space="preserve">- und </w:t>
      </w:r>
      <w:r w:rsidRPr="0050276D">
        <w:rPr>
          <w:rFonts w:eastAsia="Times New Roman" w:cs="Times New Roman"/>
          <w:b/>
          <w:bCs/>
          <w:rtl/>
          <w:lang w:eastAsia="de-DE"/>
        </w:rPr>
        <w:t>עלה</w:t>
      </w:r>
      <w:r w:rsidRPr="0050276D">
        <w:rPr>
          <w:rFonts w:eastAsia="Times New Roman" w:cs="Times New Roman"/>
          <w:lang w:eastAsia="de-DE"/>
        </w:rPr>
        <w:t xml:space="preserve">-Blutverfahren ist bedeutsam: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נתן...על־קרנות</w:t>
      </w:r>
      <w:r w:rsidRPr="0050276D">
        <w:rPr>
          <w:rFonts w:eastAsia="Times New Roman" w:cs="Times New Roman"/>
          <w:rtl/>
          <w:lang w:eastAsia="de-DE"/>
        </w:rPr>
        <w:t xml:space="preserve"> </w:t>
      </w:r>
      <w:r w:rsidRPr="0050276D">
        <w:rPr>
          <w:rFonts w:eastAsia="Times New Roman" w:cs="Times New Roman"/>
          <w:lang w:eastAsia="de-DE"/>
        </w:rPr>
        <w:t xml:space="preserve">(setzen an die Hörner) für Entsündigung,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verwendet </w:t>
      </w:r>
      <w:r w:rsidRPr="0050276D">
        <w:rPr>
          <w:rFonts w:eastAsia="Times New Roman" w:cs="Times New Roman"/>
          <w:b/>
          <w:bCs/>
          <w:rtl/>
          <w:lang w:eastAsia="de-DE"/>
        </w:rPr>
        <w:t>זרק...על־המזבח סביב</w:t>
      </w:r>
      <w:r w:rsidRPr="0050276D">
        <w:rPr>
          <w:rFonts w:eastAsia="Times New Roman" w:cs="Times New Roman"/>
          <w:rtl/>
          <w:lang w:eastAsia="de-DE"/>
        </w:rPr>
        <w:t xml:space="preserve"> </w:t>
      </w:r>
      <w:r w:rsidRPr="0050276D">
        <w:rPr>
          <w:rFonts w:eastAsia="Times New Roman" w:cs="Times New Roman"/>
          <w:lang w:eastAsia="de-DE"/>
        </w:rPr>
        <w:t>(sprengen an den Altar ringsum) für Hingabe und Aufopferung.</w:t>
      </w:r>
    </w:p>
    <w:p w14:paraId="471C63D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knappe Darstellung im Vergleich zu V. 15 zeigt, dass </w:t>
      </w:r>
      <w:r w:rsidRPr="0050276D">
        <w:rPr>
          <w:rFonts w:eastAsia="Times New Roman" w:cs="Times New Roman"/>
          <w:b/>
          <w:bCs/>
          <w:rtl/>
          <w:lang w:eastAsia="de-DE"/>
        </w:rPr>
        <w:t>עלה</w:t>
      </w:r>
      <w:r w:rsidRPr="0050276D">
        <w:rPr>
          <w:rFonts w:eastAsia="Times New Roman" w:cs="Times New Roman"/>
          <w:lang w:eastAsia="de-DE"/>
        </w:rPr>
        <w:t xml:space="preserve">-Prozeduren standardisiert und bekannt sind, während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für Altarweihe detailliertere Erklärung benötigt.</w:t>
      </w:r>
    </w:p>
    <w:p w14:paraId="272E24A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וישחט</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ἔσφ</w:t>
      </w:r>
      <w:proofErr w:type="spellEnd"/>
      <w:r w:rsidRPr="0050276D">
        <w:rPr>
          <w:rFonts w:eastAsia="Times New Roman" w:cs="Times New Roman"/>
          <w:lang w:eastAsia="de-DE"/>
        </w:rPr>
        <w:t xml:space="preserve">αξεν (er schlachtete), </w:t>
      </w:r>
      <w:r w:rsidRPr="0050276D">
        <w:rPr>
          <w:rFonts w:eastAsia="Times New Roman" w:cs="Times New Roman"/>
          <w:b/>
          <w:bCs/>
          <w:rtl/>
          <w:lang w:eastAsia="de-DE"/>
        </w:rPr>
        <w:t>ויזרק</w:t>
      </w:r>
      <w:r w:rsidRPr="0050276D">
        <w:rPr>
          <w:rFonts w:eastAsia="Times New Roman" w:cs="Times New Roman"/>
          <w:rtl/>
          <w:lang w:eastAsia="de-DE"/>
        </w:rPr>
        <w:t xml:space="preserve"> </w:t>
      </w:r>
      <w:r w:rsidRPr="0050276D">
        <w:rPr>
          <w:rFonts w:eastAsia="Times New Roman" w:cs="Times New Roman"/>
          <w:lang w:eastAsia="de-DE"/>
        </w:rPr>
        <w:t>mit π</w:t>
      </w:r>
      <w:proofErr w:type="spellStart"/>
      <w:r w:rsidRPr="0050276D">
        <w:rPr>
          <w:rFonts w:eastAsia="Times New Roman" w:cs="Times New Roman"/>
          <w:lang w:eastAsia="de-DE"/>
        </w:rPr>
        <w:t>ροσέχεεν</w:t>
      </w:r>
      <w:proofErr w:type="spellEnd"/>
      <w:r w:rsidRPr="0050276D">
        <w:rPr>
          <w:rFonts w:eastAsia="Times New Roman" w:cs="Times New Roman"/>
          <w:lang w:eastAsia="de-DE"/>
        </w:rPr>
        <w:t xml:space="preserve"> (er goss hin) und </w:t>
      </w:r>
      <w:r w:rsidRPr="0050276D">
        <w:rPr>
          <w:rFonts w:eastAsia="Times New Roman" w:cs="Times New Roman"/>
          <w:b/>
          <w:bCs/>
          <w:rtl/>
          <w:lang w:eastAsia="de-DE"/>
        </w:rPr>
        <w:t>סביב</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κύκλῳ</w:t>
      </w:r>
      <w:proofErr w:type="spellEnd"/>
      <w:r w:rsidRPr="0050276D">
        <w:rPr>
          <w:rFonts w:eastAsia="Times New Roman" w:cs="Times New Roman"/>
          <w:lang w:eastAsia="de-DE"/>
        </w:rPr>
        <w:t xml:space="preserve"> (im Kreis).</w:t>
      </w:r>
    </w:p>
    <w:p w14:paraId="304067A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Verb (mit elliptischem Subjekt); 2) Verb + explizites Subjekt + direktes Objekt + Ortsangabe mit Modalangabe. Die Struktur zeigt die einfachere </w:t>
      </w:r>
      <w:r w:rsidRPr="0050276D">
        <w:rPr>
          <w:rFonts w:eastAsia="Times New Roman" w:cs="Times New Roman"/>
          <w:b/>
          <w:bCs/>
          <w:rtl/>
          <w:lang w:eastAsia="de-DE"/>
        </w:rPr>
        <w:t>עלה</w:t>
      </w:r>
      <w:r w:rsidRPr="0050276D">
        <w:rPr>
          <w:rFonts w:eastAsia="Times New Roman" w:cs="Times New Roman"/>
          <w:lang w:eastAsia="de-DE"/>
        </w:rPr>
        <w:t>-Prozedur.</w:t>
      </w:r>
    </w:p>
    <w:p w14:paraId="31D4E40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zeigt die </w:t>
      </w:r>
      <w:r w:rsidRPr="0050276D">
        <w:rPr>
          <w:rFonts w:eastAsia="Times New Roman" w:cs="Times New Roman"/>
          <w:b/>
          <w:bCs/>
          <w:rtl/>
          <w:lang w:eastAsia="de-DE"/>
        </w:rPr>
        <w:t>עלה</w:t>
      </w:r>
      <w:r w:rsidRPr="0050276D">
        <w:rPr>
          <w:rFonts w:eastAsia="Times New Roman" w:cs="Times New Roman"/>
          <w:lang w:eastAsia="de-DE"/>
        </w:rPr>
        <w:t xml:space="preserve">-Blutbehandlung durch Umsprengung des Altars, im Unterschied zur komplexeren </w:t>
      </w:r>
      <w:r w:rsidRPr="0050276D">
        <w:rPr>
          <w:rFonts w:eastAsia="Times New Roman" w:cs="Times New Roman"/>
          <w:b/>
          <w:bCs/>
          <w:rtl/>
          <w:lang w:eastAsia="de-DE"/>
        </w:rPr>
        <w:t>חטאת</w:t>
      </w:r>
      <w:r w:rsidRPr="0050276D">
        <w:rPr>
          <w:rFonts w:eastAsia="Times New Roman" w:cs="Times New Roman"/>
          <w:lang w:eastAsia="de-DE"/>
        </w:rPr>
        <w:t>-Prozedur des vorherigen Opfers.</w:t>
      </w:r>
    </w:p>
    <w:p w14:paraId="4F3CDE7F"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8,20</w:t>
      </w:r>
    </w:p>
    <w:p w14:paraId="6D3094F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וְאֶת־הָאַ֔יִל נִתַּ֖ח לִנְתָחָ֑יו וַיַּקְטֵ֤ר מֹשֶׁה֙ אֶת־הָרֹ֔אשׁ וְאֶת־הַנְּתָחִ֖ים וְאֶת־הַפָּֽדֶר׃</w:t>
      </w:r>
    </w:p>
    <w:p w14:paraId="7BCE9D1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den Widder zerlegte er in seine Stücke, und Mosche räucherte den Kopf und die Stücke und das Fett;</w:t>
      </w:r>
    </w:p>
    <w:p w14:paraId="406E7153"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22C43A09">
          <v:rect id="_x0000_i1216" style="width:0;height:1.5pt" o:hralign="center" o:hrstd="t" o:hr="t" fillcolor="#a0a0a0" stroked="f"/>
        </w:pict>
      </w:r>
    </w:p>
    <w:p w14:paraId="67FE468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ואת־האיל נתח לנתחיו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נתח</w:t>
      </w:r>
      <w:r w:rsidRPr="0050276D">
        <w:rPr>
          <w:rFonts w:eastAsia="Times New Roman" w:cs="Times New Roman"/>
          <w:rtl/>
          <w:lang w:eastAsia="de-DE"/>
        </w:rPr>
        <w:t xml:space="preserve"> </w:t>
      </w:r>
      <w:r w:rsidRPr="0050276D">
        <w:rPr>
          <w:rFonts w:eastAsia="Times New Roman" w:cs="Times New Roman"/>
          <w:lang w:eastAsia="de-DE"/>
        </w:rPr>
        <w:t xml:space="preserve">(zerlegen) im Piel-Perfekt 3. Person maskulin Singular. </w:t>
      </w:r>
      <w:r w:rsidRPr="0050276D">
        <w:rPr>
          <w:rFonts w:eastAsia="Times New Roman" w:cs="Times New Roman"/>
          <w:b/>
          <w:bCs/>
          <w:rtl/>
          <w:lang w:eastAsia="de-DE"/>
        </w:rPr>
        <w:t>נתח</w:t>
      </w:r>
      <w:r w:rsidRPr="0050276D">
        <w:rPr>
          <w:rFonts w:eastAsia="Times New Roman" w:cs="Times New Roman"/>
          <w:rtl/>
          <w:lang w:eastAsia="de-DE"/>
        </w:rPr>
        <w:t xml:space="preserve"> </w:t>
      </w:r>
      <w:r w:rsidRPr="0050276D">
        <w:rPr>
          <w:rFonts w:eastAsia="Times New Roman" w:cs="Times New Roman"/>
          <w:lang w:eastAsia="de-DE"/>
        </w:rPr>
        <w:t xml:space="preserve">als Verb bedeutet "in Stücke zerlegen", das verwandte Substantiv </w:t>
      </w:r>
      <w:r w:rsidRPr="0050276D">
        <w:rPr>
          <w:rFonts w:eastAsia="Times New Roman" w:cs="Times New Roman"/>
          <w:b/>
          <w:bCs/>
          <w:rtl/>
          <w:lang w:eastAsia="de-DE"/>
        </w:rPr>
        <w:t>נתח</w:t>
      </w:r>
      <w:r w:rsidRPr="0050276D">
        <w:rPr>
          <w:rFonts w:eastAsia="Times New Roman" w:cs="Times New Roman"/>
          <w:rtl/>
          <w:lang w:eastAsia="de-DE"/>
        </w:rPr>
        <w:t xml:space="preserve"> </w:t>
      </w:r>
      <w:r w:rsidRPr="0050276D">
        <w:rPr>
          <w:rFonts w:eastAsia="Times New Roman" w:cs="Times New Roman"/>
          <w:lang w:eastAsia="de-DE"/>
        </w:rPr>
        <w:t xml:space="preserve">(Stück) erscheint in </w:t>
      </w:r>
      <w:r w:rsidRPr="0050276D">
        <w:rPr>
          <w:rFonts w:eastAsia="Times New Roman" w:cs="Times New Roman"/>
          <w:b/>
          <w:bCs/>
          <w:rtl/>
          <w:lang w:eastAsia="de-DE"/>
        </w:rPr>
        <w:t>לנתחיו</w:t>
      </w:r>
      <w:r w:rsidRPr="0050276D">
        <w:rPr>
          <w:rFonts w:eastAsia="Times New Roman" w:cs="Times New Roman"/>
          <w:rtl/>
          <w:lang w:eastAsia="de-DE"/>
        </w:rPr>
        <w:t xml:space="preserve"> </w:t>
      </w:r>
      <w:r w:rsidRPr="0050276D">
        <w:rPr>
          <w:rFonts w:eastAsia="Times New Roman" w:cs="Times New Roman"/>
          <w:lang w:eastAsia="de-DE"/>
        </w:rPr>
        <w:t xml:space="preserve">(in seine Stücke). Die Präposition </w:t>
      </w:r>
      <w:r w:rsidRPr="0050276D">
        <w:rPr>
          <w:rFonts w:eastAsia="Times New Roman" w:cs="Times New Roman"/>
          <w:b/>
          <w:bCs/>
          <w:rtl/>
          <w:lang w:eastAsia="de-DE"/>
        </w:rPr>
        <w:t>ל</w:t>
      </w:r>
      <w:r w:rsidRPr="0050276D">
        <w:rPr>
          <w:rFonts w:eastAsia="Times New Roman" w:cs="Times New Roman"/>
          <w:rtl/>
          <w:lang w:eastAsia="de-DE"/>
        </w:rPr>
        <w:t xml:space="preserve"> </w:t>
      </w:r>
      <w:r w:rsidRPr="0050276D">
        <w:rPr>
          <w:rFonts w:eastAsia="Times New Roman" w:cs="Times New Roman"/>
          <w:lang w:eastAsia="de-DE"/>
        </w:rPr>
        <w:t xml:space="preserve">drückt das Resultat aus: "zu seinen Stücken hin". </w:t>
      </w:r>
      <w:r w:rsidRPr="0050276D">
        <w:rPr>
          <w:rFonts w:eastAsia="Times New Roman" w:cs="Times New Roman"/>
          <w:b/>
          <w:bCs/>
          <w:rtl/>
          <w:lang w:eastAsia="de-DE"/>
        </w:rPr>
        <w:t>נתחיו</w:t>
      </w:r>
      <w:r w:rsidRPr="0050276D">
        <w:rPr>
          <w:rFonts w:eastAsia="Times New Roman" w:cs="Times New Roman"/>
          <w:rtl/>
          <w:lang w:eastAsia="de-DE"/>
        </w:rPr>
        <w:t xml:space="preserve"> </w:t>
      </w:r>
      <w:r w:rsidRPr="0050276D">
        <w:rPr>
          <w:rFonts w:eastAsia="Times New Roman" w:cs="Times New Roman"/>
          <w:lang w:eastAsia="de-DE"/>
        </w:rPr>
        <w:t xml:space="preserve">(seine Stücke) mit Possessivsuffix 3. Person maskulin Singular referenziert </w:t>
      </w:r>
      <w:r w:rsidRPr="0050276D">
        <w:rPr>
          <w:rFonts w:eastAsia="Times New Roman" w:cs="Times New Roman"/>
          <w:b/>
          <w:bCs/>
          <w:rtl/>
          <w:lang w:eastAsia="de-DE"/>
        </w:rPr>
        <w:t>האיל</w:t>
      </w:r>
      <w:r w:rsidRPr="0050276D">
        <w:rPr>
          <w:rFonts w:eastAsia="Times New Roman" w:cs="Times New Roman"/>
          <w:lang w:eastAsia="de-DE"/>
        </w:rPr>
        <w:t>.</w:t>
      </w:r>
    </w:p>
    <w:p w14:paraId="20E3BC6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ויקטר משה את־הראש ואת־הנתחים ואת־הפדר</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קטר</w:t>
      </w:r>
      <w:r w:rsidRPr="0050276D">
        <w:rPr>
          <w:rFonts w:eastAsia="Times New Roman" w:cs="Times New Roman"/>
          <w:rtl/>
          <w:lang w:eastAsia="de-DE"/>
        </w:rPr>
        <w:t xml:space="preserve"> </w:t>
      </w:r>
      <w:r w:rsidRPr="0050276D">
        <w:rPr>
          <w:rFonts w:eastAsia="Times New Roman" w:cs="Times New Roman"/>
          <w:lang w:eastAsia="de-DE"/>
        </w:rPr>
        <w:t xml:space="preserve">(räuchern) im Hifil-Imperfekt mit Waw-Konsekutiv. </w:t>
      </w:r>
      <w:r w:rsidRPr="0050276D">
        <w:rPr>
          <w:rFonts w:eastAsia="Times New Roman" w:cs="Times New Roman"/>
          <w:b/>
          <w:bCs/>
          <w:rtl/>
          <w:lang w:eastAsia="de-DE"/>
        </w:rPr>
        <w:t>משה</w:t>
      </w:r>
      <w:r w:rsidRPr="0050276D">
        <w:rPr>
          <w:rFonts w:eastAsia="Times New Roman" w:cs="Times New Roman"/>
          <w:rtl/>
          <w:lang w:eastAsia="de-DE"/>
        </w:rPr>
        <w:t xml:space="preserve"> </w:t>
      </w:r>
      <w:r w:rsidRPr="0050276D">
        <w:rPr>
          <w:rFonts w:eastAsia="Times New Roman" w:cs="Times New Roman"/>
          <w:lang w:eastAsia="de-DE"/>
        </w:rPr>
        <w:t xml:space="preserve">als explizites Subjekt. Drei koordinierte direkte Objekte: </w:t>
      </w:r>
      <w:r w:rsidRPr="0050276D">
        <w:rPr>
          <w:rFonts w:eastAsia="Times New Roman" w:cs="Times New Roman"/>
          <w:b/>
          <w:bCs/>
          <w:rtl/>
          <w:lang w:eastAsia="de-DE"/>
        </w:rPr>
        <w:t>הראש</w:t>
      </w:r>
      <w:r w:rsidRPr="0050276D">
        <w:rPr>
          <w:rFonts w:eastAsia="Times New Roman" w:cs="Times New Roman"/>
          <w:rtl/>
          <w:lang w:eastAsia="de-DE"/>
        </w:rPr>
        <w:t xml:space="preserve"> </w:t>
      </w:r>
      <w:r w:rsidRPr="0050276D">
        <w:rPr>
          <w:rFonts w:eastAsia="Times New Roman" w:cs="Times New Roman"/>
          <w:lang w:eastAsia="de-DE"/>
        </w:rPr>
        <w:t xml:space="preserve">(der Kopf), </w:t>
      </w:r>
      <w:r w:rsidRPr="0050276D">
        <w:rPr>
          <w:rFonts w:eastAsia="Times New Roman" w:cs="Times New Roman"/>
          <w:b/>
          <w:bCs/>
          <w:rtl/>
          <w:lang w:eastAsia="de-DE"/>
        </w:rPr>
        <w:t>הנתחים</w:t>
      </w:r>
      <w:r w:rsidRPr="0050276D">
        <w:rPr>
          <w:rFonts w:eastAsia="Times New Roman" w:cs="Times New Roman"/>
          <w:rtl/>
          <w:lang w:eastAsia="de-DE"/>
        </w:rPr>
        <w:t xml:space="preserve"> </w:t>
      </w:r>
      <w:r w:rsidRPr="0050276D">
        <w:rPr>
          <w:rFonts w:eastAsia="Times New Roman" w:cs="Times New Roman"/>
          <w:lang w:eastAsia="de-DE"/>
        </w:rPr>
        <w:t xml:space="preserve">(die Stücke), </w:t>
      </w:r>
      <w:r w:rsidRPr="0050276D">
        <w:rPr>
          <w:rFonts w:eastAsia="Times New Roman" w:cs="Times New Roman"/>
          <w:b/>
          <w:bCs/>
          <w:rtl/>
          <w:lang w:eastAsia="de-DE"/>
        </w:rPr>
        <w:t>הפדר</w:t>
      </w:r>
      <w:r w:rsidRPr="0050276D">
        <w:rPr>
          <w:rFonts w:eastAsia="Times New Roman" w:cs="Times New Roman"/>
          <w:rtl/>
          <w:lang w:eastAsia="de-DE"/>
        </w:rPr>
        <w:t xml:space="preserve"> </w:t>
      </w:r>
      <w:r w:rsidRPr="0050276D">
        <w:rPr>
          <w:rFonts w:eastAsia="Times New Roman" w:cs="Times New Roman"/>
          <w:lang w:eastAsia="de-DE"/>
        </w:rPr>
        <w:t xml:space="preserve">(das Fett). </w:t>
      </w:r>
      <w:r w:rsidRPr="0050276D">
        <w:rPr>
          <w:rFonts w:eastAsia="Times New Roman" w:cs="Times New Roman"/>
          <w:b/>
          <w:bCs/>
          <w:rtl/>
          <w:lang w:eastAsia="de-DE"/>
        </w:rPr>
        <w:t>פדר</w:t>
      </w:r>
      <w:r w:rsidRPr="0050276D">
        <w:rPr>
          <w:rFonts w:eastAsia="Times New Roman" w:cs="Times New Roman"/>
          <w:rtl/>
          <w:lang w:eastAsia="de-DE"/>
        </w:rPr>
        <w:t xml:space="preserve"> </w:t>
      </w:r>
      <w:r w:rsidRPr="0050276D">
        <w:rPr>
          <w:rFonts w:eastAsia="Times New Roman" w:cs="Times New Roman"/>
          <w:lang w:eastAsia="de-DE"/>
        </w:rPr>
        <w:t>bezeichnet das äußere Fett, im Unterschied zu den inneren Fettteilen (</w:t>
      </w:r>
      <w:r w:rsidRPr="0050276D">
        <w:rPr>
          <w:rFonts w:eastAsia="Times New Roman" w:cs="Times New Roman"/>
          <w:b/>
          <w:bCs/>
          <w:rtl/>
          <w:lang w:eastAsia="de-DE"/>
        </w:rPr>
        <w:t>חלב</w:t>
      </w:r>
      <w:r w:rsidRPr="0050276D">
        <w:rPr>
          <w:rFonts w:eastAsia="Times New Roman" w:cs="Times New Roman"/>
          <w:lang w:eastAsia="de-DE"/>
        </w:rPr>
        <w:t>) aus V. 16.</w:t>
      </w:r>
    </w:p>
    <w:p w14:paraId="5BBF605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w:t>
      </w:r>
      <w:r w:rsidRPr="0050276D">
        <w:rPr>
          <w:rFonts w:eastAsia="Times New Roman" w:cs="Times New Roman"/>
          <w:b/>
          <w:bCs/>
          <w:rtl/>
          <w:lang w:eastAsia="de-DE"/>
        </w:rPr>
        <w:t>עלה</w:t>
      </w:r>
      <w:r w:rsidRPr="0050276D">
        <w:rPr>
          <w:rFonts w:eastAsia="Times New Roman" w:cs="Times New Roman"/>
          <w:lang w:eastAsia="de-DE"/>
        </w:rPr>
        <w:t xml:space="preserve">-Zerlegung folgt dem standardisierten Verfahren aus 1,6-8: Häutung, Zerlegung in </w:t>
      </w:r>
      <w:r w:rsidRPr="0050276D">
        <w:rPr>
          <w:rFonts w:eastAsia="Times New Roman" w:cs="Times New Roman"/>
          <w:b/>
          <w:bCs/>
          <w:rtl/>
          <w:lang w:eastAsia="de-DE"/>
        </w:rPr>
        <w:t>נתחים</w:t>
      </w:r>
      <w:r w:rsidRPr="0050276D">
        <w:rPr>
          <w:rFonts w:eastAsia="Times New Roman" w:cs="Times New Roman"/>
          <w:lang w:eastAsia="de-DE"/>
        </w:rPr>
        <w:t xml:space="preserve">, systematische Verbrennung. </w:t>
      </w:r>
      <w:r w:rsidRPr="0050276D">
        <w:rPr>
          <w:rFonts w:eastAsia="Times New Roman" w:cs="Times New Roman"/>
          <w:b/>
          <w:bCs/>
          <w:rtl/>
          <w:lang w:eastAsia="de-DE"/>
        </w:rPr>
        <w:t>ראש</w:t>
      </w:r>
      <w:r w:rsidRPr="0050276D">
        <w:rPr>
          <w:rFonts w:eastAsia="Times New Roman" w:cs="Times New Roman"/>
          <w:rtl/>
          <w:lang w:eastAsia="de-DE"/>
        </w:rPr>
        <w:t xml:space="preserve"> </w:t>
      </w:r>
      <w:r w:rsidRPr="0050276D">
        <w:rPr>
          <w:rFonts w:eastAsia="Times New Roman" w:cs="Times New Roman"/>
          <w:lang w:eastAsia="de-DE"/>
        </w:rPr>
        <w:t xml:space="preserve">(Kopf) wird separat erwähnt als wichtigster Teil. </w:t>
      </w:r>
      <w:r w:rsidRPr="0050276D">
        <w:rPr>
          <w:rFonts w:eastAsia="Times New Roman" w:cs="Times New Roman"/>
          <w:b/>
          <w:bCs/>
          <w:rtl/>
          <w:lang w:eastAsia="de-DE"/>
        </w:rPr>
        <w:t>נתחים</w:t>
      </w:r>
      <w:r w:rsidRPr="0050276D">
        <w:rPr>
          <w:rFonts w:eastAsia="Times New Roman" w:cs="Times New Roman"/>
          <w:rtl/>
          <w:lang w:eastAsia="de-DE"/>
        </w:rPr>
        <w:t xml:space="preserve"> </w:t>
      </w:r>
      <w:r w:rsidRPr="0050276D">
        <w:rPr>
          <w:rFonts w:eastAsia="Times New Roman" w:cs="Times New Roman"/>
          <w:lang w:eastAsia="de-DE"/>
        </w:rPr>
        <w:t xml:space="preserve">umfasst die Hauptkörperteile. </w:t>
      </w:r>
      <w:r w:rsidRPr="0050276D">
        <w:rPr>
          <w:rFonts w:eastAsia="Times New Roman" w:cs="Times New Roman"/>
          <w:b/>
          <w:bCs/>
          <w:rtl/>
          <w:lang w:eastAsia="de-DE"/>
        </w:rPr>
        <w:t>פדר</w:t>
      </w:r>
      <w:r w:rsidRPr="0050276D">
        <w:rPr>
          <w:rFonts w:eastAsia="Times New Roman" w:cs="Times New Roman"/>
          <w:rtl/>
          <w:lang w:eastAsia="de-DE"/>
        </w:rPr>
        <w:t xml:space="preserve"> </w:t>
      </w:r>
      <w:r w:rsidRPr="0050276D">
        <w:rPr>
          <w:rFonts w:eastAsia="Times New Roman" w:cs="Times New Roman"/>
          <w:lang w:eastAsia="de-DE"/>
        </w:rPr>
        <w:t>ist das sichtbare äußere Fett.</w:t>
      </w:r>
    </w:p>
    <w:p w14:paraId="57E071F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lastRenderedPageBreak/>
        <w:t xml:space="preserve">Das Piel von </w:t>
      </w:r>
      <w:r w:rsidRPr="0050276D">
        <w:rPr>
          <w:rFonts w:eastAsia="Times New Roman" w:cs="Times New Roman"/>
          <w:b/>
          <w:bCs/>
          <w:rtl/>
          <w:lang w:eastAsia="de-DE"/>
        </w:rPr>
        <w:t>נתח</w:t>
      </w:r>
      <w:r w:rsidRPr="0050276D">
        <w:rPr>
          <w:rFonts w:eastAsia="Times New Roman" w:cs="Times New Roman"/>
          <w:rtl/>
          <w:lang w:eastAsia="de-DE"/>
        </w:rPr>
        <w:t xml:space="preserve"> </w:t>
      </w:r>
      <w:r w:rsidRPr="0050276D">
        <w:rPr>
          <w:rFonts w:eastAsia="Times New Roman" w:cs="Times New Roman"/>
          <w:lang w:eastAsia="de-DE"/>
        </w:rPr>
        <w:t xml:space="preserve">betont die intensive, systematische Zerlegungshandlung. Die Aufzählung </w:t>
      </w:r>
      <w:r w:rsidRPr="0050276D">
        <w:rPr>
          <w:rFonts w:eastAsia="Times New Roman" w:cs="Times New Roman"/>
          <w:b/>
          <w:bCs/>
          <w:rtl/>
          <w:lang w:eastAsia="de-DE"/>
        </w:rPr>
        <w:t>ראש...נתחים...פדר</w:t>
      </w:r>
      <w:r w:rsidRPr="0050276D">
        <w:rPr>
          <w:rFonts w:eastAsia="Times New Roman" w:cs="Times New Roman"/>
          <w:rtl/>
          <w:lang w:eastAsia="de-DE"/>
        </w:rPr>
        <w:t xml:space="preserve"> </w:t>
      </w:r>
      <w:r w:rsidRPr="0050276D">
        <w:rPr>
          <w:rFonts w:eastAsia="Times New Roman" w:cs="Times New Roman"/>
          <w:lang w:eastAsia="de-DE"/>
        </w:rPr>
        <w:t>folgt anatomischer Logik: von oben nach unten, vom Wichtigsten zum Detail.</w:t>
      </w:r>
    </w:p>
    <w:p w14:paraId="588070E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נתח</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διεῖλεν</w:t>
      </w:r>
      <w:proofErr w:type="spellEnd"/>
      <w:r w:rsidRPr="0050276D">
        <w:rPr>
          <w:rFonts w:eastAsia="Times New Roman" w:cs="Times New Roman"/>
          <w:lang w:eastAsia="de-DE"/>
        </w:rPr>
        <w:t xml:space="preserve"> (er teilte), </w:t>
      </w:r>
      <w:r w:rsidRPr="0050276D">
        <w:rPr>
          <w:rFonts w:eastAsia="Times New Roman" w:cs="Times New Roman"/>
          <w:b/>
          <w:bCs/>
          <w:rtl/>
          <w:lang w:eastAsia="de-DE"/>
        </w:rPr>
        <w:t>לנתחיו</w:t>
      </w:r>
      <w:r w:rsidRPr="0050276D">
        <w:rPr>
          <w:rFonts w:eastAsia="Times New Roman" w:cs="Times New Roman"/>
          <w:rtl/>
          <w:lang w:eastAsia="de-DE"/>
        </w:rPr>
        <w:t xml:space="preserve"> </w:t>
      </w:r>
      <w:r w:rsidRPr="0050276D">
        <w:rPr>
          <w:rFonts w:eastAsia="Times New Roman" w:cs="Times New Roman"/>
          <w:lang w:eastAsia="de-DE"/>
        </w:rPr>
        <w:t>mit κα</w:t>
      </w:r>
      <w:proofErr w:type="spellStart"/>
      <w:r w:rsidRPr="0050276D">
        <w:rPr>
          <w:rFonts w:eastAsia="Times New Roman" w:cs="Times New Roman"/>
          <w:lang w:eastAsia="de-DE"/>
        </w:rPr>
        <w:t>τὰ</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μέλη</w:t>
      </w:r>
      <w:proofErr w:type="spellEnd"/>
      <w:r w:rsidRPr="0050276D">
        <w:rPr>
          <w:rFonts w:eastAsia="Times New Roman" w:cs="Times New Roman"/>
          <w:lang w:eastAsia="de-DE"/>
        </w:rPr>
        <w:t xml:space="preserve"> (entsprechend den Gliedern), </w:t>
      </w:r>
      <w:r w:rsidRPr="0050276D">
        <w:rPr>
          <w:rFonts w:eastAsia="Times New Roman" w:cs="Times New Roman"/>
          <w:b/>
          <w:bCs/>
          <w:rtl/>
          <w:lang w:eastAsia="de-DE"/>
        </w:rPr>
        <w:t>הראש</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κεφ</w:t>
      </w:r>
      <w:proofErr w:type="spellEnd"/>
      <w:r w:rsidRPr="0050276D">
        <w:rPr>
          <w:rFonts w:eastAsia="Times New Roman" w:cs="Times New Roman"/>
          <w:lang w:eastAsia="de-DE"/>
        </w:rPr>
        <w:t xml:space="preserve">αλήν (Kopf) und </w:t>
      </w:r>
      <w:r w:rsidRPr="0050276D">
        <w:rPr>
          <w:rFonts w:eastAsia="Times New Roman" w:cs="Times New Roman"/>
          <w:b/>
          <w:bCs/>
          <w:rtl/>
          <w:lang w:eastAsia="de-DE"/>
        </w:rPr>
        <w:t>הפדר</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στέ</w:t>
      </w:r>
      <w:proofErr w:type="spellEnd"/>
      <w:r w:rsidRPr="0050276D">
        <w:rPr>
          <w:rFonts w:eastAsia="Times New Roman" w:cs="Times New Roman"/>
          <w:lang w:eastAsia="de-DE"/>
        </w:rPr>
        <w:t>αρ (Fett).</w:t>
      </w:r>
    </w:p>
    <w:p w14:paraId="527786B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Objekt + Verb + Präpositionalphrase; 2) Verb + Subjekt + drei koordinierte direkte Objekte. Die Struktur zeigt die systematische </w:t>
      </w:r>
      <w:r w:rsidRPr="0050276D">
        <w:rPr>
          <w:rFonts w:eastAsia="Times New Roman" w:cs="Times New Roman"/>
          <w:b/>
          <w:bCs/>
          <w:rtl/>
          <w:lang w:eastAsia="de-DE"/>
        </w:rPr>
        <w:t>עלה</w:t>
      </w:r>
      <w:r w:rsidRPr="0050276D">
        <w:rPr>
          <w:rFonts w:eastAsia="Times New Roman" w:cs="Times New Roman"/>
          <w:lang w:eastAsia="de-DE"/>
        </w:rPr>
        <w:t>-Vorbereitung und -verbrennung.</w:t>
      </w:r>
    </w:p>
    <w:p w14:paraId="4E78C51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beschreibt die ordnungsgemäße Zerlegung und erste Verbrennungsphase des </w:t>
      </w:r>
      <w:r w:rsidRPr="0050276D">
        <w:rPr>
          <w:rFonts w:eastAsia="Times New Roman" w:cs="Times New Roman"/>
          <w:b/>
          <w:bCs/>
          <w:rtl/>
          <w:lang w:eastAsia="de-DE"/>
        </w:rPr>
        <w:t>עלה</w:t>
      </w:r>
      <w:r w:rsidRPr="0050276D">
        <w:rPr>
          <w:rFonts w:eastAsia="Times New Roman" w:cs="Times New Roman"/>
          <w:lang w:eastAsia="de-DE"/>
        </w:rPr>
        <w:t>-Widders entsprechend den Bestimmungen aus Kapitel 1.</w:t>
      </w:r>
    </w:p>
    <w:p w14:paraId="0A2D172A"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8,21</w:t>
      </w:r>
    </w:p>
    <w:p w14:paraId="7EDE4EA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וְאֶת־הַקֶּ֥רֶב וְאֶת־הַכְּרָעַ֖יִם רָחַ֣ץ בַּמָּ֑יִם וַיַּקְטֵר֩ מֹשֶׁ֨ה אֶת־כָּל־הָאַ֜יִל הַמִּזְבֵּ֗חָה עֹלָ֨ה ה֤וּא לְרֵֽיחַ־נִיחֹ֨חַ֙ אִשֶּׁ֥ה הוּא֙ לַיהוָ֔ה כַּאֲשֶׁ֛ר צִוָּ֥ה יְהוָ֖ה אֶת־מֹשֶֽׁה׃</w:t>
      </w:r>
    </w:p>
    <w:p w14:paraId="317BE61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das Eingeweide und die Schenkel wusch er mit Wasser. Und Mosche räucherte den ganzen Widder auf dem Altar: Es war ein Aufsteigeopfer zum lieblichen Geruch, es war ein Feueropfer dem Ewigen, so wie der Ewige dem Mosche geboten hatte.</w:t>
      </w:r>
    </w:p>
    <w:p w14:paraId="793795D0"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5CF33A18">
          <v:rect id="_x0000_i1217" style="width:0;height:1.5pt" o:hralign="center" o:hrstd="t" o:hr="t" fillcolor="#a0a0a0" stroked="f"/>
        </w:pict>
      </w:r>
    </w:p>
    <w:p w14:paraId="647B3E0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ואת־הקרב ואת־הכרעים רחץ במים</w:t>
      </w:r>
      <w:r w:rsidRPr="0050276D">
        <w:rPr>
          <w:rFonts w:eastAsia="Times New Roman" w:cs="Times New Roman"/>
          <w:rtl/>
          <w:lang w:eastAsia="de-DE"/>
        </w:rPr>
        <w:t xml:space="preserve"> </w:t>
      </w:r>
      <w:r w:rsidRPr="0050276D">
        <w:rPr>
          <w:rFonts w:eastAsia="Times New Roman" w:cs="Times New Roman"/>
          <w:lang w:eastAsia="de-DE"/>
        </w:rPr>
        <w:t xml:space="preserve">zeigt die rituelle Waschung vor der Verbrennung.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 xml:space="preserve">(Eingeweide) und </w:t>
      </w:r>
      <w:r w:rsidRPr="0050276D">
        <w:rPr>
          <w:rFonts w:eastAsia="Times New Roman" w:cs="Times New Roman"/>
          <w:b/>
          <w:bCs/>
          <w:rtl/>
          <w:lang w:eastAsia="de-DE"/>
        </w:rPr>
        <w:t>כרעים</w:t>
      </w:r>
      <w:r w:rsidRPr="0050276D">
        <w:rPr>
          <w:rFonts w:eastAsia="Times New Roman" w:cs="Times New Roman"/>
          <w:rtl/>
          <w:lang w:eastAsia="de-DE"/>
        </w:rPr>
        <w:t xml:space="preserve"> </w:t>
      </w:r>
      <w:r w:rsidRPr="0050276D">
        <w:rPr>
          <w:rFonts w:eastAsia="Times New Roman" w:cs="Times New Roman"/>
          <w:lang w:eastAsia="de-DE"/>
        </w:rPr>
        <w:t xml:space="preserve">(Schenkel/Unterschenkel) sind die Teile, die nach 1,9.13 gewaschen werden müssen. </w:t>
      </w:r>
      <w:r w:rsidRPr="0050276D">
        <w:rPr>
          <w:rFonts w:eastAsia="Times New Roman" w:cs="Times New Roman"/>
          <w:b/>
          <w:bCs/>
          <w:rtl/>
          <w:lang w:eastAsia="de-DE"/>
        </w:rPr>
        <w:t>רחץ</w:t>
      </w:r>
      <w:r w:rsidRPr="0050276D">
        <w:rPr>
          <w:rFonts w:eastAsia="Times New Roman" w:cs="Times New Roman"/>
          <w:rtl/>
          <w:lang w:eastAsia="de-DE"/>
        </w:rPr>
        <w:t xml:space="preserve"> </w:t>
      </w:r>
      <w:r w:rsidRPr="0050276D">
        <w:rPr>
          <w:rFonts w:eastAsia="Times New Roman" w:cs="Times New Roman"/>
          <w:lang w:eastAsia="de-DE"/>
        </w:rPr>
        <w:t xml:space="preserve">(waschen) im Qal-Perfekt 3. Person maskulin Singular. </w:t>
      </w:r>
      <w:r w:rsidRPr="0050276D">
        <w:rPr>
          <w:rFonts w:eastAsia="Times New Roman" w:cs="Times New Roman"/>
          <w:b/>
          <w:bCs/>
          <w:rtl/>
          <w:lang w:eastAsia="de-DE"/>
        </w:rPr>
        <w:t>במים</w:t>
      </w:r>
      <w:r w:rsidRPr="0050276D">
        <w:rPr>
          <w:rFonts w:eastAsia="Times New Roman" w:cs="Times New Roman"/>
          <w:rtl/>
          <w:lang w:eastAsia="de-DE"/>
        </w:rPr>
        <w:t xml:space="preserve"> </w:t>
      </w:r>
      <w:r w:rsidRPr="0050276D">
        <w:rPr>
          <w:rFonts w:eastAsia="Times New Roman" w:cs="Times New Roman"/>
          <w:lang w:eastAsia="de-DE"/>
        </w:rPr>
        <w:t xml:space="preserve">(mit Wasser) als Instrumentalangabe mit Präposition </w:t>
      </w:r>
      <w:r w:rsidRPr="0050276D">
        <w:rPr>
          <w:rFonts w:eastAsia="Times New Roman" w:cs="Times New Roman"/>
          <w:b/>
          <w:bCs/>
          <w:rtl/>
          <w:lang w:eastAsia="de-DE"/>
        </w:rPr>
        <w:t>ב</w:t>
      </w:r>
      <w:r w:rsidRPr="0050276D">
        <w:rPr>
          <w:rFonts w:eastAsia="Times New Roman" w:cs="Times New Roman"/>
          <w:lang w:eastAsia="de-DE"/>
        </w:rPr>
        <w:t>.</w:t>
      </w:r>
    </w:p>
    <w:p w14:paraId="6706868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ויקטר משה את־כל־האיל המזבחה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קטר</w:t>
      </w:r>
      <w:r w:rsidRPr="0050276D">
        <w:rPr>
          <w:rFonts w:eastAsia="Times New Roman" w:cs="Times New Roman"/>
          <w:rtl/>
          <w:lang w:eastAsia="de-DE"/>
        </w:rPr>
        <w:t xml:space="preserve"> </w:t>
      </w:r>
      <w:r w:rsidRPr="0050276D">
        <w:rPr>
          <w:rFonts w:eastAsia="Times New Roman" w:cs="Times New Roman"/>
          <w:lang w:eastAsia="de-DE"/>
        </w:rPr>
        <w:t xml:space="preserve">im Hifil-Imperfekt mit Waw-Konsekutiv. </w:t>
      </w:r>
      <w:r w:rsidRPr="0050276D">
        <w:rPr>
          <w:rFonts w:eastAsia="Times New Roman" w:cs="Times New Roman"/>
          <w:b/>
          <w:bCs/>
          <w:rtl/>
          <w:lang w:eastAsia="de-DE"/>
        </w:rPr>
        <w:t>את־כל־האיל</w:t>
      </w:r>
      <w:r w:rsidRPr="0050276D">
        <w:rPr>
          <w:rFonts w:eastAsia="Times New Roman" w:cs="Times New Roman"/>
          <w:rtl/>
          <w:lang w:eastAsia="de-DE"/>
        </w:rPr>
        <w:t xml:space="preserve"> </w:t>
      </w:r>
      <w:r w:rsidRPr="0050276D">
        <w:rPr>
          <w:rFonts w:eastAsia="Times New Roman" w:cs="Times New Roman"/>
          <w:lang w:eastAsia="de-DE"/>
        </w:rPr>
        <w:t xml:space="preserve">(den ganzen Widder) mit Totalitätspartikel </w:t>
      </w:r>
      <w:r w:rsidRPr="0050276D">
        <w:rPr>
          <w:rFonts w:eastAsia="Times New Roman" w:cs="Times New Roman"/>
          <w:b/>
          <w:bCs/>
          <w:rtl/>
          <w:lang w:eastAsia="de-DE"/>
        </w:rPr>
        <w:t>כל</w:t>
      </w:r>
      <w:r w:rsidRPr="0050276D">
        <w:rPr>
          <w:rFonts w:eastAsia="Times New Roman" w:cs="Times New Roman"/>
          <w:rtl/>
          <w:lang w:eastAsia="de-DE"/>
        </w:rPr>
        <w:t xml:space="preserve"> </w:t>
      </w:r>
      <w:r w:rsidRPr="0050276D">
        <w:rPr>
          <w:rFonts w:eastAsia="Times New Roman" w:cs="Times New Roman"/>
          <w:lang w:eastAsia="de-DE"/>
        </w:rPr>
        <w:t xml:space="preserve">betont die vollständige Verbrennung. </w:t>
      </w:r>
      <w:r w:rsidRPr="0050276D">
        <w:rPr>
          <w:rFonts w:eastAsia="Times New Roman" w:cs="Times New Roman"/>
          <w:b/>
          <w:bCs/>
          <w:rtl/>
          <w:lang w:eastAsia="de-DE"/>
        </w:rPr>
        <w:t>המזבחה</w:t>
      </w:r>
      <w:r w:rsidRPr="0050276D">
        <w:rPr>
          <w:rFonts w:eastAsia="Times New Roman" w:cs="Times New Roman"/>
          <w:rtl/>
          <w:lang w:eastAsia="de-DE"/>
        </w:rPr>
        <w:t xml:space="preserve"> </w:t>
      </w:r>
      <w:r w:rsidRPr="0050276D">
        <w:rPr>
          <w:rFonts w:eastAsia="Times New Roman" w:cs="Times New Roman"/>
          <w:lang w:eastAsia="de-DE"/>
        </w:rPr>
        <w:t xml:space="preserve">mit direktionaler </w:t>
      </w:r>
      <w:r w:rsidRPr="0050276D">
        <w:rPr>
          <w:rFonts w:eastAsia="Times New Roman" w:cs="Times New Roman"/>
          <w:b/>
          <w:bCs/>
          <w:rtl/>
          <w:lang w:eastAsia="de-DE"/>
        </w:rPr>
        <w:t>ה</w:t>
      </w:r>
      <w:r w:rsidRPr="0050276D">
        <w:rPr>
          <w:rFonts w:eastAsia="Times New Roman" w:cs="Times New Roman"/>
          <w:rtl/>
          <w:lang w:eastAsia="de-DE"/>
        </w:rPr>
        <w:t xml:space="preserve"> </w:t>
      </w:r>
      <w:r w:rsidRPr="0050276D">
        <w:rPr>
          <w:rFonts w:eastAsia="Times New Roman" w:cs="Times New Roman"/>
          <w:lang w:eastAsia="de-DE"/>
        </w:rPr>
        <w:t>zeigt "zum Altar hin". Diese Formulierung fasst alle vorherigen Verbrennungsakte zusammen.</w:t>
      </w:r>
    </w:p>
    <w:p w14:paraId="0062CA0D" w14:textId="4F0ADB9D"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עלה הוא לריח־ניחח אשה הוא ליהוה</w:t>
      </w:r>
      <w:r w:rsidRPr="0050276D">
        <w:rPr>
          <w:rFonts w:eastAsia="Times New Roman" w:cs="Times New Roman"/>
          <w:rtl/>
          <w:lang w:eastAsia="de-DE"/>
        </w:rPr>
        <w:t xml:space="preserve"> </w:t>
      </w:r>
      <w:r w:rsidRPr="0050276D">
        <w:rPr>
          <w:rFonts w:eastAsia="Times New Roman" w:cs="Times New Roman"/>
          <w:lang w:eastAsia="de-DE"/>
        </w:rPr>
        <w:t xml:space="preserve">ist die klassische </w:t>
      </w:r>
      <w:r w:rsidRPr="0050276D">
        <w:rPr>
          <w:rFonts w:eastAsia="Times New Roman" w:cs="Times New Roman"/>
          <w:b/>
          <w:bCs/>
          <w:rtl/>
          <w:lang w:eastAsia="de-DE"/>
        </w:rPr>
        <w:t>עלה</w:t>
      </w:r>
      <w:r w:rsidRPr="0050276D">
        <w:rPr>
          <w:rFonts w:eastAsia="Times New Roman" w:cs="Times New Roman"/>
          <w:lang w:eastAsia="de-DE"/>
        </w:rPr>
        <w:t xml:space="preserve">-Klassifikationsformel. </w:t>
      </w:r>
      <w:r w:rsidRPr="0050276D">
        <w:rPr>
          <w:rFonts w:eastAsia="Times New Roman" w:cs="Times New Roman"/>
          <w:b/>
          <w:bCs/>
          <w:rtl/>
          <w:lang w:eastAsia="de-DE"/>
        </w:rPr>
        <w:t>עלה הוא</w:t>
      </w:r>
      <w:r w:rsidRPr="0050276D">
        <w:rPr>
          <w:rFonts w:eastAsia="Times New Roman" w:cs="Times New Roman"/>
          <w:rtl/>
          <w:lang w:eastAsia="de-DE"/>
        </w:rPr>
        <w:t xml:space="preserve"> </w:t>
      </w:r>
      <w:r w:rsidRPr="0050276D">
        <w:rPr>
          <w:rFonts w:eastAsia="Times New Roman" w:cs="Times New Roman"/>
          <w:lang w:eastAsia="de-DE"/>
        </w:rPr>
        <w:t xml:space="preserve">(es ist ein </w:t>
      </w:r>
      <w:r w:rsidR="00CF10E7">
        <w:rPr>
          <w:rFonts w:eastAsia="Times New Roman" w:cs="Times New Roman"/>
          <w:lang w:eastAsia="de-DE"/>
        </w:rPr>
        <w:t>Aufsteigeopfer</w:t>
      </w:r>
      <w:r w:rsidRPr="0050276D">
        <w:rPr>
          <w:rFonts w:eastAsia="Times New Roman" w:cs="Times New Roman"/>
          <w:lang w:eastAsia="de-DE"/>
        </w:rPr>
        <w:t xml:space="preserve">) mit emphatischem </w:t>
      </w:r>
      <w:r w:rsidRPr="0050276D">
        <w:rPr>
          <w:rFonts w:eastAsia="Times New Roman" w:cs="Times New Roman"/>
          <w:b/>
          <w:bCs/>
          <w:rtl/>
          <w:lang w:eastAsia="de-DE"/>
        </w:rPr>
        <w:t>הוא</w:t>
      </w:r>
      <w:r w:rsidRPr="0050276D">
        <w:rPr>
          <w:rFonts w:eastAsia="Times New Roman" w:cs="Times New Roman"/>
          <w:lang w:eastAsia="de-DE"/>
        </w:rPr>
        <w:t xml:space="preserve">. </w:t>
      </w:r>
      <w:r w:rsidRPr="0050276D">
        <w:rPr>
          <w:rFonts w:eastAsia="Times New Roman" w:cs="Times New Roman"/>
          <w:b/>
          <w:bCs/>
          <w:rtl/>
          <w:lang w:eastAsia="de-DE"/>
        </w:rPr>
        <w:t>לריח־ניחח</w:t>
      </w:r>
      <w:r w:rsidRPr="0050276D">
        <w:rPr>
          <w:rFonts w:eastAsia="Times New Roman" w:cs="Times New Roman"/>
          <w:rtl/>
          <w:lang w:eastAsia="de-DE"/>
        </w:rPr>
        <w:t xml:space="preserve"> </w:t>
      </w:r>
      <w:r w:rsidRPr="0050276D">
        <w:rPr>
          <w:rFonts w:eastAsia="Times New Roman" w:cs="Times New Roman"/>
          <w:lang w:eastAsia="de-DE"/>
        </w:rPr>
        <w:t xml:space="preserve">(zum lieblichen Geruch) ist die charakteristische </w:t>
      </w:r>
      <w:r w:rsidRPr="0050276D">
        <w:rPr>
          <w:rFonts w:eastAsia="Times New Roman" w:cs="Times New Roman"/>
          <w:b/>
          <w:bCs/>
          <w:rtl/>
          <w:lang w:eastAsia="de-DE"/>
        </w:rPr>
        <w:t>עלה</w:t>
      </w:r>
      <w:r w:rsidRPr="0050276D">
        <w:rPr>
          <w:rFonts w:eastAsia="Times New Roman" w:cs="Times New Roman"/>
          <w:lang w:eastAsia="de-DE"/>
        </w:rPr>
        <w:t xml:space="preserve">-Wirkung. </w:t>
      </w:r>
      <w:r w:rsidRPr="0050276D">
        <w:rPr>
          <w:rFonts w:eastAsia="Times New Roman" w:cs="Times New Roman"/>
          <w:b/>
          <w:bCs/>
          <w:rtl/>
          <w:lang w:eastAsia="de-DE"/>
        </w:rPr>
        <w:t>אשה הוא ליהוה</w:t>
      </w:r>
      <w:r w:rsidRPr="0050276D">
        <w:rPr>
          <w:rFonts w:eastAsia="Times New Roman" w:cs="Times New Roman"/>
          <w:rtl/>
          <w:lang w:eastAsia="de-DE"/>
        </w:rPr>
        <w:t xml:space="preserve"> </w:t>
      </w:r>
      <w:r w:rsidRPr="0050276D">
        <w:rPr>
          <w:rFonts w:eastAsia="Times New Roman" w:cs="Times New Roman"/>
          <w:lang w:eastAsia="de-DE"/>
        </w:rPr>
        <w:t xml:space="preserve">(es ist ein Feueropfer für JHWH) wiederholt das emphatische </w:t>
      </w:r>
      <w:r w:rsidRPr="0050276D">
        <w:rPr>
          <w:rFonts w:eastAsia="Times New Roman" w:cs="Times New Roman"/>
          <w:b/>
          <w:bCs/>
          <w:rtl/>
          <w:lang w:eastAsia="de-DE"/>
        </w:rPr>
        <w:t>הוא</w:t>
      </w:r>
      <w:r w:rsidRPr="0050276D">
        <w:rPr>
          <w:rFonts w:eastAsia="Times New Roman" w:cs="Times New Roman"/>
          <w:rtl/>
          <w:lang w:eastAsia="de-DE"/>
        </w:rPr>
        <w:t xml:space="preserve"> </w:t>
      </w:r>
      <w:r w:rsidRPr="0050276D">
        <w:rPr>
          <w:rFonts w:eastAsia="Times New Roman" w:cs="Times New Roman"/>
          <w:lang w:eastAsia="de-DE"/>
        </w:rPr>
        <w:t>und zeigt die göttliche Akzeptanz.</w:t>
      </w:r>
    </w:p>
    <w:p w14:paraId="68EDF74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כאשר צוה יהוה את־משה</w:t>
      </w:r>
      <w:r w:rsidRPr="0050276D">
        <w:rPr>
          <w:rFonts w:eastAsia="Times New Roman" w:cs="Times New Roman"/>
          <w:rtl/>
          <w:lang w:eastAsia="de-DE"/>
        </w:rPr>
        <w:t xml:space="preserve"> </w:t>
      </w:r>
      <w:r w:rsidRPr="0050276D">
        <w:rPr>
          <w:rFonts w:eastAsia="Times New Roman" w:cs="Times New Roman"/>
          <w:lang w:eastAsia="de-DE"/>
        </w:rPr>
        <w:t xml:space="preserve">ist die Bestätigungsformel, die auf Exodus 29,18 und die </w:t>
      </w:r>
      <w:r w:rsidRPr="0050276D">
        <w:rPr>
          <w:rFonts w:eastAsia="Times New Roman" w:cs="Times New Roman"/>
          <w:b/>
          <w:bCs/>
          <w:rtl/>
          <w:lang w:eastAsia="de-DE"/>
        </w:rPr>
        <w:t>עלה</w:t>
      </w:r>
      <w:r w:rsidRPr="0050276D">
        <w:rPr>
          <w:rFonts w:eastAsia="Times New Roman" w:cs="Times New Roman"/>
          <w:lang w:eastAsia="de-DE"/>
        </w:rPr>
        <w:t xml:space="preserve">-Gesetze aus Kapitel 1 verweist. </w:t>
      </w:r>
      <w:r w:rsidRPr="0050276D">
        <w:rPr>
          <w:rFonts w:eastAsia="Times New Roman" w:cs="Times New Roman"/>
          <w:b/>
          <w:bCs/>
          <w:rtl/>
          <w:lang w:eastAsia="de-DE"/>
        </w:rPr>
        <w:t>צוה</w:t>
      </w:r>
      <w:r w:rsidRPr="0050276D">
        <w:rPr>
          <w:rFonts w:eastAsia="Times New Roman" w:cs="Times New Roman"/>
          <w:rtl/>
          <w:lang w:eastAsia="de-DE"/>
        </w:rPr>
        <w:t xml:space="preserve"> </w:t>
      </w:r>
      <w:r w:rsidRPr="0050276D">
        <w:rPr>
          <w:rFonts w:eastAsia="Times New Roman" w:cs="Times New Roman"/>
          <w:lang w:eastAsia="de-DE"/>
        </w:rPr>
        <w:t>im Piel-Perfekt bekräftigt die ordnungsgemäße Ausführung.</w:t>
      </w:r>
    </w:p>
    <w:p w14:paraId="0C33BB6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Formulierung </w:t>
      </w:r>
      <w:r w:rsidRPr="0050276D">
        <w:rPr>
          <w:rFonts w:eastAsia="Times New Roman" w:cs="Times New Roman"/>
          <w:b/>
          <w:bCs/>
          <w:rtl/>
          <w:lang w:eastAsia="de-DE"/>
        </w:rPr>
        <w:t>כל־האיל</w:t>
      </w:r>
      <w:r w:rsidRPr="0050276D">
        <w:rPr>
          <w:rFonts w:eastAsia="Times New Roman" w:cs="Times New Roman"/>
          <w:rtl/>
          <w:lang w:eastAsia="de-DE"/>
        </w:rPr>
        <w:t xml:space="preserve"> </w:t>
      </w:r>
      <w:r w:rsidRPr="0050276D">
        <w:rPr>
          <w:rFonts w:eastAsia="Times New Roman" w:cs="Times New Roman"/>
          <w:lang w:eastAsia="de-DE"/>
        </w:rPr>
        <w:t xml:space="preserve">betont, dass bei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das gesamte Tier (außer der Haut) verbrannt wird, im Unterschied zu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 xml:space="preserve">oder </w:t>
      </w:r>
      <w:r w:rsidRPr="0050276D">
        <w:rPr>
          <w:rFonts w:eastAsia="Times New Roman" w:cs="Times New Roman"/>
          <w:b/>
          <w:bCs/>
          <w:rtl/>
          <w:lang w:eastAsia="de-DE"/>
        </w:rPr>
        <w:t>חטאת</w:t>
      </w:r>
      <w:r w:rsidRPr="0050276D">
        <w:rPr>
          <w:rFonts w:eastAsia="Times New Roman" w:cs="Times New Roman"/>
          <w:lang w:eastAsia="de-DE"/>
        </w:rPr>
        <w:t xml:space="preserve">. </w:t>
      </w:r>
      <w:r w:rsidRPr="0050276D">
        <w:rPr>
          <w:rFonts w:eastAsia="Times New Roman" w:cs="Times New Roman"/>
          <w:b/>
          <w:bCs/>
          <w:rtl/>
          <w:lang w:eastAsia="de-DE"/>
        </w:rPr>
        <w:t>ריח־ניחח</w:t>
      </w:r>
      <w:r w:rsidRPr="0050276D">
        <w:rPr>
          <w:rFonts w:eastAsia="Times New Roman" w:cs="Times New Roman"/>
          <w:rtl/>
          <w:lang w:eastAsia="de-DE"/>
        </w:rPr>
        <w:t xml:space="preserve"> </w:t>
      </w:r>
      <w:r w:rsidRPr="0050276D">
        <w:rPr>
          <w:rFonts w:eastAsia="Times New Roman" w:cs="Times New Roman"/>
          <w:lang w:eastAsia="de-DE"/>
        </w:rPr>
        <w:t xml:space="preserve">und </w:t>
      </w:r>
      <w:r w:rsidRPr="0050276D">
        <w:rPr>
          <w:rFonts w:eastAsia="Times New Roman" w:cs="Times New Roman"/>
          <w:b/>
          <w:bCs/>
          <w:rtl/>
          <w:lang w:eastAsia="de-DE"/>
        </w:rPr>
        <w:t>אשה</w:t>
      </w:r>
      <w:r w:rsidRPr="0050276D">
        <w:rPr>
          <w:rFonts w:eastAsia="Times New Roman" w:cs="Times New Roman"/>
          <w:rtl/>
          <w:lang w:eastAsia="de-DE"/>
        </w:rPr>
        <w:t xml:space="preserve"> </w:t>
      </w:r>
      <w:r w:rsidRPr="0050276D">
        <w:rPr>
          <w:rFonts w:eastAsia="Times New Roman" w:cs="Times New Roman"/>
          <w:lang w:eastAsia="de-DE"/>
        </w:rPr>
        <w:t>zeigen die positive göttliche Annahme des Opfers.</w:t>
      </w:r>
    </w:p>
    <w:p w14:paraId="37AA3704" w14:textId="4928953C"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lastRenderedPageBreak/>
        <w:t>Die LXX</w:t>
      </w:r>
      <w:r w:rsidRPr="0050276D">
        <w:rPr>
          <w:rFonts w:eastAsia="Times New Roman" w:cs="Times New Roman"/>
          <w:lang w:eastAsia="de-DE"/>
        </w:rPr>
        <w:t xml:space="preserve"> </w:t>
      </w:r>
      <w:r w:rsidR="00865A3D">
        <w:t xml:space="preserve">ersetzt </w:t>
      </w:r>
      <w:r w:rsidR="00865A3D">
        <w:rPr>
          <w:rtl/>
        </w:rPr>
        <w:t>אשה הוא ליהוה</w:t>
      </w:r>
      <w:r w:rsidR="00865A3D">
        <w:t xml:space="preserve"> (</w:t>
      </w:r>
      <w:proofErr w:type="spellStart"/>
      <w:r w:rsidR="00865A3D">
        <w:t>ischeh</w:t>
      </w:r>
      <w:proofErr w:type="spellEnd"/>
      <w:r w:rsidR="00865A3D">
        <w:t xml:space="preserve"> hu la-YHWH - "es ist ein Feueropfer für YHWH") durch </w:t>
      </w:r>
      <w:proofErr w:type="spellStart"/>
      <w:r w:rsidR="00865A3D">
        <w:t>κάρ</w:t>
      </w:r>
      <w:proofErr w:type="spellEnd"/>
      <w:r w:rsidR="00865A3D">
        <w:t xml:space="preserve">πωμά </w:t>
      </w:r>
      <w:proofErr w:type="spellStart"/>
      <w:r w:rsidR="00865A3D">
        <w:t>ἐστιν</w:t>
      </w:r>
      <w:proofErr w:type="spellEnd"/>
      <w:r w:rsidR="00865A3D">
        <w:t xml:space="preserve"> </w:t>
      </w:r>
      <w:proofErr w:type="spellStart"/>
      <w:r w:rsidR="00865A3D">
        <w:t>τῷ</w:t>
      </w:r>
      <w:proofErr w:type="spellEnd"/>
      <w:r w:rsidR="00865A3D">
        <w:t xml:space="preserve"> </w:t>
      </w:r>
      <w:proofErr w:type="spellStart"/>
      <w:r w:rsidR="00865A3D">
        <w:t>κυρίῳ</w:t>
      </w:r>
      <w:proofErr w:type="spellEnd"/>
      <w:r w:rsidR="00865A3D">
        <w:t xml:space="preserve"> (es ist ein Fruchtopfer für den Herrn), was die systematische Terminologieverschiebung fortsetzt.</w:t>
      </w:r>
    </w:p>
    <w:p w14:paraId="180D55F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drei Hauptsätze: 1) zwei koordinierte Objekte + Verb + Instrumentalangabe; 2) Verb + Subjekt + Objekt + Ortsangabe; 3) dreifache Klassifikation + Bestätigungsformel. Die Struktur komplettiert die </w:t>
      </w:r>
      <w:r w:rsidRPr="0050276D">
        <w:rPr>
          <w:rFonts w:eastAsia="Times New Roman" w:cs="Times New Roman"/>
          <w:b/>
          <w:bCs/>
          <w:rtl/>
          <w:lang w:eastAsia="de-DE"/>
        </w:rPr>
        <w:t>עלה</w:t>
      </w:r>
      <w:r w:rsidRPr="0050276D">
        <w:rPr>
          <w:rFonts w:eastAsia="Times New Roman" w:cs="Times New Roman"/>
          <w:lang w:eastAsia="de-DE"/>
        </w:rPr>
        <w:t>-Prozedur mit theologischer Bewertung.</w:t>
      </w:r>
    </w:p>
    <w:p w14:paraId="52A6CEF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komplettiert die </w:t>
      </w:r>
      <w:r w:rsidRPr="0050276D">
        <w:rPr>
          <w:rFonts w:eastAsia="Times New Roman" w:cs="Times New Roman"/>
          <w:b/>
          <w:bCs/>
          <w:rtl/>
          <w:lang w:eastAsia="de-DE"/>
        </w:rPr>
        <w:t>עלה</w:t>
      </w:r>
      <w:r w:rsidRPr="0050276D">
        <w:rPr>
          <w:rFonts w:eastAsia="Times New Roman" w:cs="Times New Roman"/>
          <w:lang w:eastAsia="de-DE"/>
        </w:rPr>
        <w:t>-Darbringung mit der rituellen Waschung, vollständigen Verbrennung und theologischen Klassifikation als wohlgefälliges Opfer für JHWH.</w:t>
      </w:r>
    </w:p>
    <w:p w14:paraId="35F78BF4"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8,22</w:t>
      </w:r>
    </w:p>
    <w:p w14:paraId="74C0EE5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וַיַּקְרֵב֙ אֶת־הָאַ֣יִל הַשֵּׁנִ֔י אֵ֖יל הַמִּלֻּאִ֑ים וַֽיִּסְמְכ֞וּ אַהֲרֹ֧ן וּבָנָ֛יו אֶת־יְדֵיהֶ֖ם עַל־רֹ֥אשׁ הָאָֽיִל׃</w:t>
      </w:r>
    </w:p>
    <w:p w14:paraId="2884BCF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brachte den zweiten Widder, den Widder der Einsetzung, herzu; und Aaron und seine Söhne legten ihre Hände auf den Kopf des Widders.</w:t>
      </w:r>
    </w:p>
    <w:p w14:paraId="0751906B"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29B5B52A">
          <v:rect id="_x0000_i1218" style="width:0;height:1.5pt" o:hralign="center" o:hrstd="t" o:hr="t" fillcolor="#a0a0a0" stroked="f"/>
        </w:pict>
      </w:r>
    </w:p>
    <w:p w14:paraId="5F1E200D"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ויקרב את־האיל השני</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 xml:space="preserve">im Hifil-Imperfekt mit Waw-Konsekutiv, entsprechend V. 14 und 18. </w:t>
      </w:r>
      <w:r w:rsidRPr="0050276D">
        <w:rPr>
          <w:rFonts w:eastAsia="Times New Roman" w:cs="Times New Roman"/>
          <w:b/>
          <w:bCs/>
          <w:rtl/>
          <w:lang w:eastAsia="de-DE"/>
        </w:rPr>
        <w:t>האיל השני</w:t>
      </w:r>
      <w:r w:rsidRPr="0050276D">
        <w:rPr>
          <w:rFonts w:eastAsia="Times New Roman" w:cs="Times New Roman"/>
          <w:rtl/>
          <w:lang w:eastAsia="de-DE"/>
        </w:rPr>
        <w:t xml:space="preserve"> </w:t>
      </w:r>
      <w:r w:rsidRPr="0050276D">
        <w:rPr>
          <w:rFonts w:eastAsia="Times New Roman" w:cs="Times New Roman"/>
          <w:lang w:eastAsia="de-DE"/>
        </w:rPr>
        <w:t xml:space="preserve">(der zweite Widder) mit Ordinalzahl </w:t>
      </w:r>
      <w:r w:rsidRPr="0050276D">
        <w:rPr>
          <w:rFonts w:eastAsia="Times New Roman" w:cs="Times New Roman"/>
          <w:b/>
          <w:bCs/>
          <w:rtl/>
          <w:lang w:eastAsia="de-DE"/>
        </w:rPr>
        <w:t>שני</w:t>
      </w:r>
      <w:r w:rsidRPr="0050276D">
        <w:rPr>
          <w:rFonts w:eastAsia="Times New Roman" w:cs="Times New Roman"/>
          <w:rtl/>
          <w:lang w:eastAsia="de-DE"/>
        </w:rPr>
        <w:t xml:space="preserve"> </w:t>
      </w:r>
      <w:r w:rsidRPr="0050276D">
        <w:rPr>
          <w:rFonts w:eastAsia="Times New Roman" w:cs="Times New Roman"/>
          <w:lang w:eastAsia="de-DE"/>
        </w:rPr>
        <w:t xml:space="preserve">unterscheidet ihn vom </w:t>
      </w:r>
      <w:r w:rsidRPr="0050276D">
        <w:rPr>
          <w:rFonts w:eastAsia="Times New Roman" w:cs="Times New Roman"/>
          <w:b/>
          <w:bCs/>
          <w:rtl/>
          <w:lang w:eastAsia="de-DE"/>
        </w:rPr>
        <w:t>עלה</w:t>
      </w:r>
      <w:r w:rsidRPr="0050276D">
        <w:rPr>
          <w:rFonts w:eastAsia="Times New Roman" w:cs="Times New Roman"/>
          <w:lang w:eastAsia="de-DE"/>
        </w:rPr>
        <w:t>-Widder des vorherigen Verses. Dies ist das dritte und wichtigste der Weihe-Opfertiere aus V. 2.</w:t>
      </w:r>
    </w:p>
    <w:p w14:paraId="21C081F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איל המלואים</w:t>
      </w:r>
      <w:r w:rsidRPr="0050276D">
        <w:rPr>
          <w:rFonts w:eastAsia="Times New Roman" w:cs="Times New Roman"/>
          <w:rtl/>
          <w:lang w:eastAsia="de-DE"/>
        </w:rPr>
        <w:t xml:space="preserve"> </w:t>
      </w:r>
      <w:r w:rsidRPr="0050276D">
        <w:rPr>
          <w:rFonts w:eastAsia="Times New Roman" w:cs="Times New Roman"/>
          <w:lang w:eastAsia="de-DE"/>
        </w:rPr>
        <w:t xml:space="preserve">steht in Apposition zu </w:t>
      </w:r>
      <w:r w:rsidRPr="0050276D">
        <w:rPr>
          <w:rFonts w:eastAsia="Times New Roman" w:cs="Times New Roman"/>
          <w:b/>
          <w:bCs/>
          <w:rtl/>
          <w:lang w:eastAsia="de-DE"/>
        </w:rPr>
        <w:t>האיל השני</w:t>
      </w:r>
      <w:r w:rsidRPr="0050276D">
        <w:rPr>
          <w:rFonts w:eastAsia="Times New Roman" w:cs="Times New Roman"/>
          <w:rtl/>
          <w:lang w:eastAsia="de-DE"/>
        </w:rPr>
        <w:t xml:space="preserve"> </w:t>
      </w:r>
      <w:r w:rsidRPr="0050276D">
        <w:rPr>
          <w:rFonts w:eastAsia="Times New Roman" w:cs="Times New Roman"/>
          <w:lang w:eastAsia="de-DE"/>
        </w:rPr>
        <w:t xml:space="preserve">und klassifiziert ihn theologisch.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(Einsetzungen/Einweihungen) ist ein Plural von </w:t>
      </w:r>
      <w:r w:rsidRPr="0050276D">
        <w:rPr>
          <w:rFonts w:eastAsia="Times New Roman" w:cs="Times New Roman"/>
          <w:b/>
          <w:bCs/>
          <w:rtl/>
          <w:lang w:eastAsia="de-DE"/>
        </w:rPr>
        <w:t>מלוא</w:t>
      </w:r>
      <w:r w:rsidRPr="0050276D">
        <w:rPr>
          <w:rFonts w:eastAsia="Times New Roman" w:cs="Times New Roman"/>
          <w:rtl/>
          <w:lang w:eastAsia="de-DE"/>
        </w:rPr>
        <w:t xml:space="preserve"> </w:t>
      </w:r>
      <w:r w:rsidRPr="0050276D">
        <w:rPr>
          <w:rFonts w:eastAsia="Times New Roman" w:cs="Times New Roman"/>
          <w:lang w:eastAsia="de-DE"/>
        </w:rPr>
        <w:t xml:space="preserve">(Fülle/Einsetzung) und bezeichnet spezifisch die Priesterweihe-Opfer. Der Begriff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erscheint nur im Kontext der Priesterweihe und ist von </w:t>
      </w:r>
      <w:r w:rsidRPr="0050276D">
        <w:rPr>
          <w:rFonts w:eastAsia="Times New Roman" w:cs="Times New Roman"/>
          <w:b/>
          <w:bCs/>
          <w:rtl/>
          <w:lang w:eastAsia="de-DE"/>
        </w:rPr>
        <w:t>מלא</w:t>
      </w:r>
      <w:r w:rsidRPr="0050276D">
        <w:rPr>
          <w:rFonts w:eastAsia="Times New Roman" w:cs="Times New Roman"/>
          <w:rtl/>
          <w:lang w:eastAsia="de-DE"/>
        </w:rPr>
        <w:t xml:space="preserve"> </w:t>
      </w:r>
      <w:r w:rsidRPr="0050276D">
        <w:rPr>
          <w:rFonts w:eastAsia="Times New Roman" w:cs="Times New Roman"/>
          <w:lang w:eastAsia="de-DE"/>
        </w:rPr>
        <w:t>(füllen) abgeleitet - "die Hände füllen" als Ausdruck für Amtseinsetzung.</w:t>
      </w:r>
    </w:p>
    <w:p w14:paraId="7147BCF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ויסמכו אהרן ובניו את־ידיהם על־ראש האיל</w:t>
      </w:r>
      <w:r w:rsidRPr="0050276D">
        <w:rPr>
          <w:rFonts w:eastAsia="Times New Roman" w:cs="Times New Roman"/>
          <w:rtl/>
          <w:lang w:eastAsia="de-DE"/>
        </w:rPr>
        <w:t xml:space="preserve"> </w:t>
      </w:r>
      <w:r w:rsidRPr="0050276D">
        <w:rPr>
          <w:rFonts w:eastAsia="Times New Roman" w:cs="Times New Roman"/>
          <w:lang w:eastAsia="de-DE"/>
        </w:rPr>
        <w:t xml:space="preserve">wiederholt exakt die </w:t>
      </w:r>
      <w:r w:rsidRPr="0050276D">
        <w:rPr>
          <w:rFonts w:eastAsia="Times New Roman" w:cs="Times New Roman"/>
          <w:b/>
          <w:bCs/>
          <w:rtl/>
          <w:lang w:eastAsia="de-DE"/>
        </w:rPr>
        <w:t>סמיכה</w:t>
      </w:r>
      <w:r w:rsidRPr="0050276D">
        <w:rPr>
          <w:rFonts w:eastAsia="Times New Roman" w:cs="Times New Roman"/>
          <w:lang w:eastAsia="de-DE"/>
        </w:rPr>
        <w:t xml:space="preserve">-Formel aus V. 14 und 18. </w:t>
      </w:r>
      <w:r w:rsidRPr="0050276D">
        <w:rPr>
          <w:rFonts w:eastAsia="Times New Roman" w:cs="Times New Roman"/>
          <w:b/>
          <w:bCs/>
          <w:rtl/>
          <w:lang w:eastAsia="de-DE"/>
        </w:rPr>
        <w:t>ויסמכו</w:t>
      </w:r>
      <w:r w:rsidRPr="0050276D">
        <w:rPr>
          <w:rFonts w:eastAsia="Times New Roman" w:cs="Times New Roman"/>
          <w:rtl/>
          <w:lang w:eastAsia="de-DE"/>
        </w:rPr>
        <w:t xml:space="preserve"> </w:t>
      </w:r>
      <w:r w:rsidRPr="0050276D">
        <w:rPr>
          <w:rFonts w:eastAsia="Times New Roman" w:cs="Times New Roman"/>
          <w:lang w:eastAsia="de-DE"/>
        </w:rPr>
        <w:t xml:space="preserve">im Qal-Imperfekt 3. Person maskulin Plural mit Waw-Konsekutiv zeigt die gemeinsame Handauflegung. </w:t>
      </w:r>
      <w:r w:rsidRPr="0050276D">
        <w:rPr>
          <w:rFonts w:eastAsia="Times New Roman" w:cs="Times New Roman"/>
          <w:b/>
          <w:bCs/>
          <w:rtl/>
          <w:lang w:eastAsia="de-DE"/>
        </w:rPr>
        <w:t>את־ידיהם</w:t>
      </w:r>
      <w:r w:rsidRPr="0050276D">
        <w:rPr>
          <w:rFonts w:eastAsia="Times New Roman" w:cs="Times New Roman"/>
          <w:rtl/>
          <w:lang w:eastAsia="de-DE"/>
        </w:rPr>
        <w:t xml:space="preserve"> </w:t>
      </w:r>
      <w:r w:rsidRPr="0050276D">
        <w:rPr>
          <w:rFonts w:eastAsia="Times New Roman" w:cs="Times New Roman"/>
          <w:lang w:eastAsia="de-DE"/>
        </w:rPr>
        <w:t>(ihre Hände) mit Possessivsuffix 3. Person maskulin Plural umfasst alle Weihlinge.</w:t>
      </w:r>
    </w:p>
    <w:p w14:paraId="682A66A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Der dreifache </w:t>
      </w:r>
      <w:r w:rsidRPr="0050276D">
        <w:rPr>
          <w:rFonts w:eastAsia="Times New Roman" w:cs="Times New Roman"/>
          <w:b/>
          <w:bCs/>
          <w:rtl/>
          <w:lang w:eastAsia="de-DE"/>
        </w:rPr>
        <w:t>סמיכה</w:t>
      </w:r>
      <w:r w:rsidRPr="0050276D">
        <w:rPr>
          <w:rFonts w:eastAsia="Times New Roman" w:cs="Times New Roman"/>
          <w:lang w:eastAsia="de-DE"/>
        </w:rPr>
        <w:t xml:space="preserve">-Akt bei den drei Opfertieren zeigt die Vollständigkeit der priesterlichen Identifikation: mit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für Entsündigung, mit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für Hingabe, mit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für Amtseinsetzung.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als terminus technicus für Priesterweihe ist einzigartig in der Opferterminologie.</w:t>
      </w:r>
    </w:p>
    <w:p w14:paraId="3DB1747B" w14:textId="10BDB4D4"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w:t>
      </w:r>
      <w:r w:rsidR="00865A3D">
        <w:t xml:space="preserve">übersetzt </w:t>
      </w:r>
      <w:r w:rsidR="00865A3D">
        <w:rPr>
          <w:rtl/>
        </w:rPr>
        <w:t>איל המלואים</w:t>
      </w:r>
      <w:r w:rsidR="00865A3D">
        <w:t xml:space="preserve"> (eil </w:t>
      </w:r>
      <w:proofErr w:type="spellStart"/>
      <w:r w:rsidR="00865A3D">
        <w:t>hamillu'im</w:t>
      </w:r>
      <w:proofErr w:type="spellEnd"/>
      <w:r w:rsidR="00865A3D">
        <w:t xml:space="preserve"> - "Widder der Weihe/Einsetzung") als </w:t>
      </w:r>
      <w:proofErr w:type="spellStart"/>
      <w:r w:rsidR="00865A3D">
        <w:t>κριὸν</w:t>
      </w:r>
      <w:proofErr w:type="spellEnd"/>
      <w:r w:rsidR="00865A3D">
        <w:t xml:space="preserve"> </w:t>
      </w:r>
      <w:proofErr w:type="spellStart"/>
      <w:r w:rsidR="00865A3D">
        <w:t>τελειώσεως</w:t>
      </w:r>
      <w:proofErr w:type="spellEnd"/>
      <w:r w:rsidR="00865A3D">
        <w:t xml:space="preserve"> (Widder der Vollendung), was eine griechische Kultterminologie verwendet.</w:t>
      </w:r>
    </w:p>
    <w:p w14:paraId="5BCE5BA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Verb + direktes Objekt mit Apposition; 2) Verb (Plural) + zusammengesetztes Subjekt + direktes Objekt + Ortsangabe. Die Struktur entspricht den vorherigen Opfereröffnungen, aber mit der besonderen </w:t>
      </w:r>
      <w:r w:rsidRPr="0050276D">
        <w:rPr>
          <w:rFonts w:eastAsia="Times New Roman" w:cs="Times New Roman"/>
          <w:b/>
          <w:bCs/>
          <w:rtl/>
          <w:lang w:eastAsia="de-DE"/>
        </w:rPr>
        <w:t>מלואים</w:t>
      </w:r>
      <w:r w:rsidRPr="0050276D">
        <w:rPr>
          <w:rFonts w:eastAsia="Times New Roman" w:cs="Times New Roman"/>
          <w:lang w:eastAsia="de-DE"/>
        </w:rPr>
        <w:t>-Klassifikation.</w:t>
      </w:r>
    </w:p>
    <w:p w14:paraId="169F5F7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lastRenderedPageBreak/>
        <w:t xml:space="preserve">Dieser Vers beginnt das zentrale </w:t>
      </w:r>
      <w:r w:rsidRPr="0050276D">
        <w:rPr>
          <w:rFonts w:eastAsia="Times New Roman" w:cs="Times New Roman"/>
          <w:b/>
          <w:bCs/>
          <w:rtl/>
          <w:lang w:eastAsia="de-DE"/>
        </w:rPr>
        <w:t>מלואים</w:t>
      </w:r>
      <w:r w:rsidRPr="0050276D">
        <w:rPr>
          <w:rFonts w:eastAsia="Times New Roman" w:cs="Times New Roman"/>
          <w:lang w:eastAsia="de-DE"/>
        </w:rPr>
        <w:t xml:space="preserve">-Opfer der Priesterweihe, das sich von </w:t>
      </w:r>
      <w:r w:rsidRPr="0050276D">
        <w:rPr>
          <w:rFonts w:eastAsia="Times New Roman" w:cs="Times New Roman"/>
          <w:b/>
          <w:bCs/>
          <w:rtl/>
          <w:lang w:eastAsia="de-DE"/>
        </w:rPr>
        <w:t>חטאת</w:t>
      </w:r>
      <w:r w:rsidRPr="0050276D">
        <w:rPr>
          <w:rFonts w:eastAsia="Times New Roman" w:cs="Times New Roman"/>
          <w:rtl/>
          <w:lang w:eastAsia="de-DE"/>
        </w:rPr>
        <w:t xml:space="preserve"> </w:t>
      </w:r>
      <w:r w:rsidRPr="0050276D">
        <w:rPr>
          <w:rFonts w:eastAsia="Times New Roman" w:cs="Times New Roman"/>
          <w:lang w:eastAsia="de-DE"/>
        </w:rPr>
        <w:t xml:space="preserve">und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durch seine spezifische Amtseinsetzungsfunktion unterscheidet.</w:t>
      </w:r>
    </w:p>
    <w:p w14:paraId="7B1D9EAF"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8,23</w:t>
      </w:r>
    </w:p>
    <w:p w14:paraId="3A5D8C9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וַיִּשְׁחָ֓ט׀ וַיִּקַּ֤ח מֹשֶׁה֙ מִדָּמֹ֔ו וַיִּתֵּ֛ן עַל־תְּנ֥וּךְ אֹֽזֶן־אַהֲרֹ֖ן הַיְמָנִ֑ית וְעַל־בֹּ֤הֶן יָדוֹ֙ הַיְמָנִ֔ית וְעַל־בֹּ֥הֶן רַגְלֹ֖ו הַיְמָנִֽית׃</w:t>
      </w:r>
    </w:p>
    <w:p w14:paraId="31E7882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schlachtete ihn, und Mosche nahm von seinem Blut und tat es auf das rechte Ohrläppchen Aarons und auf den Daumen seiner rechten Hand und auf die große Zehe seines rechten Fußes.</w:t>
      </w:r>
    </w:p>
    <w:p w14:paraId="1A5EE6FC"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3AF3C833">
          <v:rect id="_x0000_i1219" style="width:0;height:1.5pt" o:hralign="center" o:hrstd="t" o:hr="t" fillcolor="#a0a0a0" stroked="f"/>
        </w:pict>
      </w:r>
    </w:p>
    <w:p w14:paraId="45D0087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וישחט</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שחט</w:t>
      </w:r>
      <w:r w:rsidRPr="0050276D">
        <w:rPr>
          <w:rFonts w:eastAsia="Times New Roman" w:cs="Times New Roman"/>
          <w:rtl/>
          <w:lang w:eastAsia="de-DE"/>
        </w:rPr>
        <w:t xml:space="preserve"> </w:t>
      </w:r>
      <w:r w:rsidRPr="0050276D">
        <w:rPr>
          <w:rFonts w:eastAsia="Times New Roman" w:cs="Times New Roman"/>
          <w:lang w:eastAsia="de-DE"/>
        </w:rPr>
        <w:t xml:space="preserve">(schlachten) im Qal-Imperfekt mit Waw-Konsekutiv, entsprechend den vorherigen Opfern. </w:t>
      </w:r>
      <w:r w:rsidRPr="0050276D">
        <w:rPr>
          <w:rFonts w:eastAsia="Times New Roman" w:cs="Times New Roman"/>
          <w:b/>
          <w:bCs/>
          <w:rtl/>
          <w:lang w:eastAsia="de-DE"/>
        </w:rPr>
        <w:t>ויקח משה מדמו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מדמו</w:t>
      </w:r>
      <w:r w:rsidRPr="0050276D">
        <w:rPr>
          <w:rFonts w:eastAsia="Times New Roman" w:cs="Times New Roman"/>
          <w:rtl/>
          <w:lang w:eastAsia="de-DE"/>
        </w:rPr>
        <w:t xml:space="preserve"> </w:t>
      </w:r>
      <w:r w:rsidRPr="0050276D">
        <w:rPr>
          <w:rFonts w:eastAsia="Times New Roman" w:cs="Times New Roman"/>
          <w:lang w:eastAsia="de-DE"/>
        </w:rPr>
        <w:t xml:space="preserve">(von seinem Blut) mit partitiver Präposition </w:t>
      </w:r>
      <w:r w:rsidRPr="0050276D">
        <w:rPr>
          <w:rFonts w:eastAsia="Times New Roman" w:cs="Times New Roman"/>
          <w:b/>
          <w:bCs/>
          <w:rtl/>
          <w:lang w:eastAsia="de-DE"/>
        </w:rPr>
        <w:t>מן</w:t>
      </w:r>
      <w:r w:rsidRPr="0050276D">
        <w:rPr>
          <w:rFonts w:eastAsia="Times New Roman" w:cs="Times New Roman"/>
          <w:rtl/>
          <w:lang w:eastAsia="de-DE"/>
        </w:rPr>
        <w:t xml:space="preserve"> </w:t>
      </w:r>
      <w:r w:rsidRPr="0050276D">
        <w:rPr>
          <w:rFonts w:eastAsia="Times New Roman" w:cs="Times New Roman"/>
          <w:lang w:eastAsia="de-DE"/>
        </w:rPr>
        <w:t>und Possessivsuffix 3. Person maskulin Singular zeigt, dass nur ein Teil des Blutes für diese spezielle Zeremonie verwendet wird.</w:t>
      </w:r>
    </w:p>
    <w:p w14:paraId="58E1C2E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ויתן על־תנוך אזן־אהרן הימנית</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נתן</w:t>
      </w:r>
      <w:r w:rsidRPr="0050276D">
        <w:rPr>
          <w:rFonts w:eastAsia="Times New Roman" w:cs="Times New Roman"/>
          <w:rtl/>
          <w:lang w:eastAsia="de-DE"/>
        </w:rPr>
        <w:t xml:space="preserve"> </w:t>
      </w:r>
      <w:r w:rsidRPr="0050276D">
        <w:rPr>
          <w:rFonts w:eastAsia="Times New Roman" w:cs="Times New Roman"/>
          <w:lang w:eastAsia="de-DE"/>
        </w:rPr>
        <w:t xml:space="preserve">(geben/setzen) im Qal-Imperfekt mit Waw-Konsekutiv. </w:t>
      </w:r>
      <w:r w:rsidRPr="0050276D">
        <w:rPr>
          <w:rFonts w:eastAsia="Times New Roman" w:cs="Times New Roman"/>
          <w:b/>
          <w:bCs/>
          <w:rtl/>
          <w:lang w:eastAsia="de-DE"/>
        </w:rPr>
        <w:t>תנוך</w:t>
      </w:r>
      <w:r w:rsidRPr="0050276D">
        <w:rPr>
          <w:rFonts w:eastAsia="Times New Roman" w:cs="Times New Roman"/>
          <w:rtl/>
          <w:lang w:eastAsia="de-DE"/>
        </w:rPr>
        <w:t xml:space="preserve"> </w:t>
      </w:r>
      <w:r w:rsidRPr="0050276D">
        <w:rPr>
          <w:rFonts w:eastAsia="Times New Roman" w:cs="Times New Roman"/>
          <w:lang w:eastAsia="de-DE"/>
        </w:rPr>
        <w:t xml:space="preserve">(Ohrläppchen) ist ein seltenes Wort, das nur in Weihe- und Reinigungskontexten erscheint. </w:t>
      </w:r>
      <w:r w:rsidRPr="0050276D">
        <w:rPr>
          <w:rFonts w:eastAsia="Times New Roman" w:cs="Times New Roman"/>
          <w:b/>
          <w:bCs/>
          <w:rtl/>
          <w:lang w:eastAsia="de-DE"/>
        </w:rPr>
        <w:t>אזן־אהרן הימנית</w:t>
      </w:r>
      <w:r w:rsidRPr="0050276D">
        <w:rPr>
          <w:rFonts w:eastAsia="Times New Roman" w:cs="Times New Roman"/>
          <w:rtl/>
          <w:lang w:eastAsia="de-DE"/>
        </w:rPr>
        <w:t xml:space="preserve"> </w:t>
      </w:r>
      <w:r w:rsidRPr="0050276D">
        <w:rPr>
          <w:rFonts w:eastAsia="Times New Roman" w:cs="Times New Roman"/>
          <w:lang w:eastAsia="de-DE"/>
        </w:rPr>
        <w:t xml:space="preserve">(rechtes Ohr Aarons) - </w:t>
      </w:r>
      <w:r w:rsidRPr="0050276D">
        <w:rPr>
          <w:rFonts w:eastAsia="Times New Roman" w:cs="Times New Roman"/>
          <w:b/>
          <w:bCs/>
          <w:rtl/>
          <w:lang w:eastAsia="de-DE"/>
        </w:rPr>
        <w:t>הימנית</w:t>
      </w:r>
      <w:r w:rsidRPr="0050276D">
        <w:rPr>
          <w:rFonts w:eastAsia="Times New Roman" w:cs="Times New Roman"/>
          <w:rtl/>
          <w:lang w:eastAsia="de-DE"/>
        </w:rPr>
        <w:t xml:space="preserve"> </w:t>
      </w:r>
      <w:r w:rsidRPr="0050276D">
        <w:rPr>
          <w:rFonts w:eastAsia="Times New Roman" w:cs="Times New Roman"/>
          <w:lang w:eastAsia="de-DE"/>
        </w:rPr>
        <w:t xml:space="preserve">(die rechte) als Adjektiv feminin Singular kongruent mit </w:t>
      </w:r>
      <w:r w:rsidRPr="0050276D">
        <w:rPr>
          <w:rFonts w:eastAsia="Times New Roman" w:cs="Times New Roman"/>
          <w:b/>
          <w:bCs/>
          <w:rtl/>
          <w:lang w:eastAsia="de-DE"/>
        </w:rPr>
        <w:t>אזן</w:t>
      </w:r>
      <w:r w:rsidRPr="0050276D">
        <w:rPr>
          <w:rFonts w:eastAsia="Times New Roman" w:cs="Times New Roman"/>
          <w:rtl/>
          <w:lang w:eastAsia="de-DE"/>
        </w:rPr>
        <w:t xml:space="preserve"> </w:t>
      </w:r>
      <w:r w:rsidRPr="0050276D">
        <w:rPr>
          <w:rFonts w:eastAsia="Times New Roman" w:cs="Times New Roman"/>
          <w:lang w:eastAsia="de-DE"/>
        </w:rPr>
        <w:t>(feminin).</w:t>
      </w:r>
    </w:p>
    <w:p w14:paraId="67FEF38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ועל־בהן ידו הימנית ועל־בהן רגלו הימנית</w:t>
      </w:r>
      <w:r w:rsidRPr="0050276D">
        <w:rPr>
          <w:rFonts w:eastAsia="Times New Roman" w:cs="Times New Roman"/>
          <w:rtl/>
          <w:lang w:eastAsia="de-DE"/>
        </w:rPr>
        <w:t xml:space="preserve"> </w:t>
      </w:r>
      <w:r w:rsidRPr="0050276D">
        <w:rPr>
          <w:rFonts w:eastAsia="Times New Roman" w:cs="Times New Roman"/>
          <w:lang w:eastAsia="de-DE"/>
        </w:rPr>
        <w:t xml:space="preserve">zeigt zwei weitere Applikationsorte. </w:t>
      </w:r>
      <w:r w:rsidRPr="0050276D">
        <w:rPr>
          <w:rFonts w:eastAsia="Times New Roman" w:cs="Times New Roman"/>
          <w:b/>
          <w:bCs/>
          <w:rtl/>
          <w:lang w:eastAsia="de-DE"/>
        </w:rPr>
        <w:t>בהן</w:t>
      </w:r>
      <w:r w:rsidRPr="0050276D">
        <w:rPr>
          <w:rFonts w:eastAsia="Times New Roman" w:cs="Times New Roman"/>
          <w:rtl/>
          <w:lang w:eastAsia="de-DE"/>
        </w:rPr>
        <w:t xml:space="preserve"> </w:t>
      </w:r>
      <w:r w:rsidRPr="0050276D">
        <w:rPr>
          <w:rFonts w:eastAsia="Times New Roman" w:cs="Times New Roman"/>
          <w:lang w:eastAsia="de-DE"/>
        </w:rPr>
        <w:t xml:space="preserve">(Daumen/große Zehe) erscheint zweimal: </w:t>
      </w:r>
      <w:r w:rsidRPr="0050276D">
        <w:rPr>
          <w:rFonts w:eastAsia="Times New Roman" w:cs="Times New Roman"/>
          <w:b/>
          <w:bCs/>
          <w:rtl/>
          <w:lang w:eastAsia="de-DE"/>
        </w:rPr>
        <w:t>בהן ידו</w:t>
      </w:r>
      <w:r w:rsidRPr="0050276D">
        <w:rPr>
          <w:rFonts w:eastAsia="Times New Roman" w:cs="Times New Roman"/>
          <w:rtl/>
          <w:lang w:eastAsia="de-DE"/>
        </w:rPr>
        <w:t xml:space="preserve"> </w:t>
      </w:r>
      <w:r w:rsidRPr="0050276D">
        <w:rPr>
          <w:rFonts w:eastAsia="Times New Roman" w:cs="Times New Roman"/>
          <w:lang w:eastAsia="de-DE"/>
        </w:rPr>
        <w:t xml:space="preserve">(Daumen seiner Hand) und </w:t>
      </w:r>
      <w:r w:rsidRPr="0050276D">
        <w:rPr>
          <w:rFonts w:eastAsia="Times New Roman" w:cs="Times New Roman"/>
          <w:b/>
          <w:bCs/>
          <w:rtl/>
          <w:lang w:eastAsia="de-DE"/>
        </w:rPr>
        <w:t>בהן רגלו</w:t>
      </w:r>
      <w:r w:rsidRPr="0050276D">
        <w:rPr>
          <w:rFonts w:eastAsia="Times New Roman" w:cs="Times New Roman"/>
          <w:rtl/>
          <w:lang w:eastAsia="de-DE"/>
        </w:rPr>
        <w:t xml:space="preserve"> </w:t>
      </w:r>
      <w:r w:rsidRPr="0050276D">
        <w:rPr>
          <w:rFonts w:eastAsia="Times New Roman" w:cs="Times New Roman"/>
          <w:lang w:eastAsia="de-DE"/>
        </w:rPr>
        <w:t xml:space="preserve">(große Zehe seines Fußes). </w:t>
      </w:r>
      <w:r w:rsidRPr="0050276D">
        <w:rPr>
          <w:rFonts w:eastAsia="Times New Roman" w:cs="Times New Roman"/>
          <w:b/>
          <w:bCs/>
          <w:rtl/>
          <w:lang w:eastAsia="de-DE"/>
        </w:rPr>
        <w:t>הימנית</w:t>
      </w:r>
      <w:r w:rsidRPr="0050276D">
        <w:rPr>
          <w:rFonts w:eastAsia="Times New Roman" w:cs="Times New Roman"/>
          <w:rtl/>
          <w:lang w:eastAsia="de-DE"/>
        </w:rPr>
        <w:t xml:space="preserve"> </w:t>
      </w:r>
      <w:r w:rsidRPr="0050276D">
        <w:rPr>
          <w:rFonts w:eastAsia="Times New Roman" w:cs="Times New Roman"/>
          <w:lang w:eastAsia="de-DE"/>
        </w:rPr>
        <w:t>(die rechte) wird bei allen drei Körperteilen wiederholt und betont die Bedeutung der rechten Seite.</w:t>
      </w:r>
    </w:p>
    <w:p w14:paraId="3AD26E0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Dreier-Formel </w:t>
      </w:r>
      <w:r w:rsidRPr="0050276D">
        <w:rPr>
          <w:rFonts w:eastAsia="Times New Roman" w:cs="Times New Roman"/>
          <w:b/>
          <w:bCs/>
          <w:rtl/>
          <w:lang w:eastAsia="de-DE"/>
        </w:rPr>
        <w:t>אזן...יד...רגל</w:t>
      </w:r>
      <w:r w:rsidRPr="0050276D">
        <w:rPr>
          <w:rFonts w:eastAsia="Times New Roman" w:cs="Times New Roman"/>
          <w:rtl/>
          <w:lang w:eastAsia="de-DE"/>
        </w:rPr>
        <w:t xml:space="preserve"> </w:t>
      </w:r>
      <w:r w:rsidRPr="0050276D">
        <w:rPr>
          <w:rFonts w:eastAsia="Times New Roman" w:cs="Times New Roman"/>
          <w:lang w:eastAsia="de-DE"/>
        </w:rPr>
        <w:t xml:space="preserve">(Ohr...Hand...Fuß) repräsentiert symbolisch Hören (Gehorsam), Handeln (Dienst) und Wandeln (Lebensführung). Die Beschränkung auf die rechte Seite zeigt die bevorzugte, ehrbare Seite. Diese Zeremonie ist einzigartig für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und Aussatz-Reinigung (14,14).</w:t>
      </w:r>
    </w:p>
    <w:p w14:paraId="35D4859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תנוך</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λο</w:t>
      </w:r>
      <w:proofErr w:type="spellEnd"/>
      <w:r w:rsidRPr="0050276D">
        <w:rPr>
          <w:rFonts w:eastAsia="Times New Roman" w:cs="Times New Roman"/>
          <w:lang w:eastAsia="de-DE"/>
        </w:rPr>
        <w:t xml:space="preserve">βὸν (Ohrläppchen), </w:t>
      </w:r>
      <w:r w:rsidRPr="0050276D">
        <w:rPr>
          <w:rFonts w:eastAsia="Times New Roman" w:cs="Times New Roman"/>
          <w:b/>
          <w:bCs/>
          <w:rtl/>
          <w:lang w:eastAsia="de-DE"/>
        </w:rPr>
        <w:t>בהן ידו</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ἀντίχειρ</w:t>
      </w:r>
      <w:proofErr w:type="spellEnd"/>
      <w:r w:rsidRPr="0050276D">
        <w:rPr>
          <w:rFonts w:eastAsia="Times New Roman" w:cs="Times New Roman"/>
          <w:lang w:eastAsia="de-DE"/>
        </w:rPr>
        <w:t xml:space="preserve">α </w:t>
      </w:r>
      <w:proofErr w:type="spellStart"/>
      <w:r w:rsidRPr="0050276D">
        <w:rPr>
          <w:rFonts w:eastAsia="Times New Roman" w:cs="Times New Roman"/>
          <w:lang w:eastAsia="de-DE"/>
        </w:rPr>
        <w:t>χειρὸς</w:t>
      </w:r>
      <w:proofErr w:type="spellEnd"/>
      <w:r w:rsidRPr="0050276D">
        <w:rPr>
          <w:rFonts w:eastAsia="Times New Roman" w:cs="Times New Roman"/>
          <w:lang w:eastAsia="de-DE"/>
        </w:rPr>
        <w:t xml:space="preserve"> α</w:t>
      </w:r>
      <w:proofErr w:type="spellStart"/>
      <w:r w:rsidRPr="0050276D">
        <w:rPr>
          <w:rFonts w:eastAsia="Times New Roman" w:cs="Times New Roman"/>
          <w:lang w:eastAsia="de-DE"/>
        </w:rPr>
        <w:t>ὐτοῦ</w:t>
      </w:r>
      <w:proofErr w:type="spellEnd"/>
      <w:r w:rsidRPr="0050276D">
        <w:rPr>
          <w:rFonts w:eastAsia="Times New Roman" w:cs="Times New Roman"/>
          <w:lang w:eastAsia="de-DE"/>
        </w:rPr>
        <w:t xml:space="preserve"> (Daumen seiner Hand) und </w:t>
      </w:r>
      <w:r w:rsidRPr="0050276D">
        <w:rPr>
          <w:rFonts w:eastAsia="Times New Roman" w:cs="Times New Roman"/>
          <w:b/>
          <w:bCs/>
          <w:rtl/>
          <w:lang w:eastAsia="de-DE"/>
        </w:rPr>
        <w:t>בהן רגלו</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ἀντίχειρ</w:t>
      </w:r>
      <w:proofErr w:type="spellEnd"/>
      <w:r w:rsidRPr="0050276D">
        <w:rPr>
          <w:rFonts w:eastAsia="Times New Roman" w:cs="Times New Roman"/>
          <w:lang w:eastAsia="de-DE"/>
        </w:rPr>
        <w:t>α π</w:t>
      </w:r>
      <w:proofErr w:type="spellStart"/>
      <w:r w:rsidRPr="0050276D">
        <w:rPr>
          <w:rFonts w:eastAsia="Times New Roman" w:cs="Times New Roman"/>
          <w:lang w:eastAsia="de-DE"/>
        </w:rPr>
        <w:t>οδὸς</w:t>
      </w:r>
      <w:proofErr w:type="spellEnd"/>
      <w:r w:rsidRPr="0050276D">
        <w:rPr>
          <w:rFonts w:eastAsia="Times New Roman" w:cs="Times New Roman"/>
          <w:lang w:eastAsia="de-DE"/>
        </w:rPr>
        <w:t xml:space="preserve"> α</w:t>
      </w:r>
      <w:proofErr w:type="spellStart"/>
      <w:r w:rsidRPr="0050276D">
        <w:rPr>
          <w:rFonts w:eastAsia="Times New Roman" w:cs="Times New Roman"/>
          <w:lang w:eastAsia="de-DE"/>
        </w:rPr>
        <w:t>ὐτοῦ</w:t>
      </w:r>
      <w:proofErr w:type="spellEnd"/>
      <w:r w:rsidRPr="0050276D">
        <w:rPr>
          <w:rFonts w:eastAsia="Times New Roman" w:cs="Times New Roman"/>
          <w:lang w:eastAsia="de-DE"/>
        </w:rPr>
        <w:t xml:space="preserve"> (Daumen seines Fußes).</w:t>
      </w:r>
    </w:p>
    <w:p w14:paraId="3515094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vier koordinierte Hauptsätze: Schlachtung + Blutnahme + dreifache Blutapplikation an spezifischen Körperteilen. Die Struktur zeigt die einzigartige </w:t>
      </w:r>
      <w:r w:rsidRPr="0050276D">
        <w:rPr>
          <w:rFonts w:eastAsia="Times New Roman" w:cs="Times New Roman"/>
          <w:b/>
          <w:bCs/>
          <w:rtl/>
          <w:lang w:eastAsia="de-DE"/>
        </w:rPr>
        <w:t>מלואים</w:t>
      </w:r>
      <w:r w:rsidRPr="0050276D">
        <w:rPr>
          <w:rFonts w:eastAsia="Times New Roman" w:cs="Times New Roman"/>
          <w:lang w:eastAsia="de-DE"/>
        </w:rPr>
        <w:t>-Zeremonie der körperlichen Weihe.</w:t>
      </w:r>
    </w:p>
    <w:p w14:paraId="0310ECF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beschreibt die einzigartige </w:t>
      </w:r>
      <w:r w:rsidRPr="0050276D">
        <w:rPr>
          <w:rFonts w:eastAsia="Times New Roman" w:cs="Times New Roman"/>
          <w:b/>
          <w:bCs/>
          <w:rtl/>
          <w:lang w:eastAsia="de-DE"/>
        </w:rPr>
        <w:t>מלואים</w:t>
      </w:r>
      <w:r w:rsidRPr="0050276D">
        <w:rPr>
          <w:rFonts w:eastAsia="Times New Roman" w:cs="Times New Roman"/>
          <w:lang w:eastAsia="de-DE"/>
        </w:rPr>
        <w:t>-Blutzeremonie, die Aaron durch Applikation an Ohr, Hand und Fuß körperlich für den priesterlichen Dienst weiht.</w:t>
      </w:r>
    </w:p>
    <w:p w14:paraId="3B5E835D"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8,24</w:t>
      </w:r>
    </w:p>
    <w:p w14:paraId="33E247E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וַיַּקְרֵ֞ב אֶת־בְּנֵ֣י אַהֲרֹ֗ן וַיִּתֵּ֨ן מֹשֶׁ֤ה מִן־הַדָּם֙ עַל־תְּנ֤וּךְ אָזְנָם֙ הַיְמָנִ֔ית וְעַל־בֹּ֤הֶן יָדָם֙ הַיְמָנִ֔ית וְעַל־בֹּ֥הֶן רַגְלָ֖ם הַיְמָנִ֑ית וַיִּזְרֹ֨ק מֹשֶׁ֧ה אֶת־הַדָּ֛ם עַל־הַֽמִּזְבֵּ֖חַ סָבִֽיב׃</w:t>
      </w:r>
    </w:p>
    <w:p w14:paraId="0AED2D7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lastRenderedPageBreak/>
        <w:t>Deutsch:</w:t>
      </w:r>
      <w:r w:rsidRPr="0050276D">
        <w:rPr>
          <w:rFonts w:eastAsia="Times New Roman" w:cs="Times New Roman"/>
          <w:lang w:eastAsia="de-DE"/>
        </w:rPr>
        <w:t xml:space="preserve"> Und er ließ die Söhne Aarons herantreten, und Mosche tat von dem Blut auf ihr rechtes Ohrläppchen und auf den Daumen ihrer rechten Hand und auf die große Zehe ihres rechten Fußes; und Mosche spritzte das Blut an den Altar ringsum.</w:t>
      </w:r>
    </w:p>
    <w:p w14:paraId="47F682E0"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3554325B">
          <v:rect id="_x0000_i1220" style="width:0;height:1.5pt" o:hralign="center" o:hrstd="t" o:hr="t" fillcolor="#a0a0a0" stroked="f"/>
        </w:pict>
      </w:r>
    </w:p>
    <w:p w14:paraId="5707B83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ויקרב את־בני אהרן</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קרב</w:t>
      </w:r>
      <w:r w:rsidRPr="0050276D">
        <w:rPr>
          <w:rFonts w:eastAsia="Times New Roman" w:cs="Times New Roman"/>
          <w:rtl/>
          <w:lang w:eastAsia="de-DE"/>
        </w:rPr>
        <w:t xml:space="preserve"> </w:t>
      </w:r>
      <w:r w:rsidRPr="0050276D">
        <w:rPr>
          <w:rFonts w:eastAsia="Times New Roman" w:cs="Times New Roman"/>
          <w:lang w:eastAsia="de-DE"/>
        </w:rPr>
        <w:t xml:space="preserve">im Hifil-Imperfekt mit Waw-Konsekutiv, entsprechend V. 13. </w:t>
      </w:r>
      <w:r w:rsidRPr="0050276D">
        <w:rPr>
          <w:rFonts w:eastAsia="Times New Roman" w:cs="Times New Roman"/>
          <w:b/>
          <w:bCs/>
          <w:rtl/>
          <w:lang w:eastAsia="de-DE"/>
        </w:rPr>
        <w:t>בני אהרן</w:t>
      </w:r>
      <w:r w:rsidRPr="0050276D">
        <w:rPr>
          <w:rFonts w:eastAsia="Times New Roman" w:cs="Times New Roman"/>
          <w:rtl/>
          <w:lang w:eastAsia="de-DE"/>
        </w:rPr>
        <w:t xml:space="preserve"> </w:t>
      </w:r>
      <w:r w:rsidRPr="0050276D">
        <w:rPr>
          <w:rFonts w:eastAsia="Times New Roman" w:cs="Times New Roman"/>
          <w:lang w:eastAsia="de-DE"/>
        </w:rPr>
        <w:t xml:space="preserve">(Söhne Aarons) als direkte Objekte erhalten dieselbe Blutzeremonie wie ihr Vater. </w:t>
      </w:r>
      <w:r w:rsidRPr="0050276D">
        <w:rPr>
          <w:rFonts w:eastAsia="Times New Roman" w:cs="Times New Roman"/>
          <w:b/>
          <w:bCs/>
          <w:rtl/>
          <w:lang w:eastAsia="de-DE"/>
        </w:rPr>
        <w:t>ויתן משה מן־הדם</w:t>
      </w:r>
      <w:r w:rsidRPr="0050276D">
        <w:rPr>
          <w:rFonts w:eastAsia="Times New Roman" w:cs="Times New Roman"/>
          <w:rtl/>
          <w:lang w:eastAsia="de-DE"/>
        </w:rPr>
        <w:t xml:space="preserve"> </w:t>
      </w:r>
      <w:r w:rsidRPr="0050276D">
        <w:rPr>
          <w:rFonts w:eastAsia="Times New Roman" w:cs="Times New Roman"/>
          <w:lang w:eastAsia="de-DE"/>
        </w:rPr>
        <w:t xml:space="preserve">wiederholt die Formel aus V. 23 mit </w:t>
      </w:r>
      <w:r w:rsidRPr="0050276D">
        <w:rPr>
          <w:rFonts w:eastAsia="Times New Roman" w:cs="Times New Roman"/>
          <w:b/>
          <w:bCs/>
          <w:rtl/>
          <w:lang w:eastAsia="de-DE"/>
        </w:rPr>
        <w:t>נתן</w:t>
      </w:r>
      <w:r w:rsidRPr="0050276D">
        <w:rPr>
          <w:rFonts w:eastAsia="Times New Roman" w:cs="Times New Roman"/>
          <w:rtl/>
          <w:lang w:eastAsia="de-DE"/>
        </w:rPr>
        <w:t xml:space="preserve"> </w:t>
      </w:r>
      <w:r w:rsidRPr="0050276D">
        <w:rPr>
          <w:rFonts w:eastAsia="Times New Roman" w:cs="Times New Roman"/>
          <w:lang w:eastAsia="de-DE"/>
        </w:rPr>
        <w:t xml:space="preserve">im Qal-Imperfekt und </w:t>
      </w:r>
      <w:r w:rsidRPr="0050276D">
        <w:rPr>
          <w:rFonts w:eastAsia="Times New Roman" w:cs="Times New Roman"/>
          <w:b/>
          <w:bCs/>
          <w:rtl/>
          <w:lang w:eastAsia="de-DE"/>
        </w:rPr>
        <w:t>מן־הדם</w:t>
      </w:r>
      <w:r w:rsidRPr="0050276D">
        <w:rPr>
          <w:rFonts w:eastAsia="Times New Roman" w:cs="Times New Roman"/>
          <w:rtl/>
          <w:lang w:eastAsia="de-DE"/>
        </w:rPr>
        <w:t xml:space="preserve"> </w:t>
      </w:r>
      <w:r w:rsidRPr="0050276D">
        <w:rPr>
          <w:rFonts w:eastAsia="Times New Roman" w:cs="Times New Roman"/>
          <w:lang w:eastAsia="de-DE"/>
        </w:rPr>
        <w:t>(von dem Blut) partitiv.</w:t>
      </w:r>
    </w:p>
    <w:p w14:paraId="5E341FCD"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על־תנוך אזנם הימנית ועל־בהן ידם הימנית ועל־בהן רגלם הימנית</w:t>
      </w:r>
      <w:r w:rsidRPr="0050276D">
        <w:rPr>
          <w:rFonts w:eastAsia="Times New Roman" w:cs="Times New Roman"/>
          <w:rtl/>
          <w:lang w:eastAsia="de-DE"/>
        </w:rPr>
        <w:t xml:space="preserve"> </w:t>
      </w:r>
      <w:r w:rsidRPr="0050276D">
        <w:rPr>
          <w:rFonts w:eastAsia="Times New Roman" w:cs="Times New Roman"/>
          <w:lang w:eastAsia="de-DE"/>
        </w:rPr>
        <w:t xml:space="preserve">wiederholt exakt die Dreier-Formel aus V. 23, aber mit Pluralsuffixen. </w:t>
      </w:r>
      <w:r w:rsidRPr="0050276D">
        <w:rPr>
          <w:rFonts w:eastAsia="Times New Roman" w:cs="Times New Roman"/>
          <w:b/>
          <w:bCs/>
          <w:rtl/>
          <w:lang w:eastAsia="de-DE"/>
        </w:rPr>
        <w:t>אזנם</w:t>
      </w:r>
      <w:r w:rsidRPr="0050276D">
        <w:rPr>
          <w:rFonts w:eastAsia="Times New Roman" w:cs="Times New Roman"/>
          <w:rtl/>
          <w:lang w:eastAsia="de-DE"/>
        </w:rPr>
        <w:t xml:space="preserve"> </w:t>
      </w:r>
      <w:r w:rsidRPr="0050276D">
        <w:rPr>
          <w:rFonts w:eastAsia="Times New Roman" w:cs="Times New Roman"/>
          <w:lang w:eastAsia="de-DE"/>
        </w:rPr>
        <w:t xml:space="preserve">(ihr Ohr), </w:t>
      </w:r>
      <w:r w:rsidRPr="0050276D">
        <w:rPr>
          <w:rFonts w:eastAsia="Times New Roman" w:cs="Times New Roman"/>
          <w:b/>
          <w:bCs/>
          <w:rtl/>
          <w:lang w:eastAsia="de-DE"/>
        </w:rPr>
        <w:t>ידם</w:t>
      </w:r>
      <w:r w:rsidRPr="0050276D">
        <w:rPr>
          <w:rFonts w:eastAsia="Times New Roman" w:cs="Times New Roman"/>
          <w:rtl/>
          <w:lang w:eastAsia="de-DE"/>
        </w:rPr>
        <w:t xml:space="preserve"> </w:t>
      </w:r>
      <w:r w:rsidRPr="0050276D">
        <w:rPr>
          <w:rFonts w:eastAsia="Times New Roman" w:cs="Times New Roman"/>
          <w:lang w:eastAsia="de-DE"/>
        </w:rPr>
        <w:t xml:space="preserve">(ihre Hand), </w:t>
      </w:r>
      <w:r w:rsidRPr="0050276D">
        <w:rPr>
          <w:rFonts w:eastAsia="Times New Roman" w:cs="Times New Roman"/>
          <w:b/>
          <w:bCs/>
          <w:rtl/>
          <w:lang w:eastAsia="de-DE"/>
        </w:rPr>
        <w:t>רגלם</w:t>
      </w:r>
      <w:r w:rsidRPr="0050276D">
        <w:rPr>
          <w:rFonts w:eastAsia="Times New Roman" w:cs="Times New Roman"/>
          <w:rtl/>
          <w:lang w:eastAsia="de-DE"/>
        </w:rPr>
        <w:t xml:space="preserve"> </w:t>
      </w:r>
      <w:r w:rsidRPr="0050276D">
        <w:rPr>
          <w:rFonts w:eastAsia="Times New Roman" w:cs="Times New Roman"/>
          <w:lang w:eastAsia="de-DE"/>
        </w:rPr>
        <w:t xml:space="preserve">(ihr Fuß) mit Possessivsuffixen 3. Person maskulin Plural. </w:t>
      </w:r>
      <w:r w:rsidRPr="0050276D">
        <w:rPr>
          <w:rFonts w:eastAsia="Times New Roman" w:cs="Times New Roman"/>
          <w:b/>
          <w:bCs/>
          <w:rtl/>
          <w:lang w:eastAsia="de-DE"/>
        </w:rPr>
        <w:t>הימנית</w:t>
      </w:r>
      <w:r w:rsidRPr="0050276D">
        <w:rPr>
          <w:rFonts w:eastAsia="Times New Roman" w:cs="Times New Roman"/>
          <w:rtl/>
          <w:lang w:eastAsia="de-DE"/>
        </w:rPr>
        <w:t xml:space="preserve"> </w:t>
      </w:r>
      <w:r w:rsidRPr="0050276D">
        <w:rPr>
          <w:rFonts w:eastAsia="Times New Roman" w:cs="Times New Roman"/>
          <w:lang w:eastAsia="de-DE"/>
        </w:rPr>
        <w:t>(die rechte) wird dreimal wiederholt und zeigt die identische Zeremonie für alle Priester.</w:t>
      </w:r>
    </w:p>
    <w:p w14:paraId="10B4F04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ויזרק משה את־הדם על־המזבח סביב</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זרק</w:t>
      </w:r>
      <w:r w:rsidRPr="0050276D">
        <w:rPr>
          <w:rFonts w:eastAsia="Times New Roman" w:cs="Times New Roman"/>
          <w:rtl/>
          <w:lang w:eastAsia="de-DE"/>
        </w:rPr>
        <w:t xml:space="preserve"> </w:t>
      </w:r>
      <w:r w:rsidRPr="0050276D">
        <w:rPr>
          <w:rFonts w:eastAsia="Times New Roman" w:cs="Times New Roman"/>
          <w:lang w:eastAsia="de-DE"/>
        </w:rPr>
        <w:t xml:space="preserve">(spritzen) im Qal-Imperfekt mit Waw-Konsekutiv. </w:t>
      </w:r>
      <w:r w:rsidRPr="0050276D">
        <w:rPr>
          <w:rFonts w:eastAsia="Times New Roman" w:cs="Times New Roman"/>
          <w:b/>
          <w:bCs/>
          <w:rtl/>
          <w:lang w:eastAsia="de-DE"/>
        </w:rPr>
        <w:t>את־הדם</w:t>
      </w:r>
      <w:r w:rsidRPr="0050276D">
        <w:rPr>
          <w:rFonts w:eastAsia="Times New Roman" w:cs="Times New Roman"/>
          <w:rtl/>
          <w:lang w:eastAsia="de-DE"/>
        </w:rPr>
        <w:t xml:space="preserve"> </w:t>
      </w:r>
      <w:r w:rsidRPr="0050276D">
        <w:rPr>
          <w:rFonts w:eastAsia="Times New Roman" w:cs="Times New Roman"/>
          <w:lang w:eastAsia="de-DE"/>
        </w:rPr>
        <w:t xml:space="preserve">(das Blut) mit bestimmtem Artikel bezeichnet das restliche Blut nach den Körperapplikationen. </w:t>
      </w:r>
      <w:r w:rsidRPr="0050276D">
        <w:rPr>
          <w:rFonts w:eastAsia="Times New Roman" w:cs="Times New Roman"/>
          <w:b/>
          <w:bCs/>
          <w:rtl/>
          <w:lang w:eastAsia="de-DE"/>
        </w:rPr>
        <w:t>על־המזבח סביב</w:t>
      </w:r>
      <w:r w:rsidRPr="0050276D">
        <w:rPr>
          <w:rFonts w:eastAsia="Times New Roman" w:cs="Times New Roman"/>
          <w:rtl/>
          <w:lang w:eastAsia="de-DE"/>
        </w:rPr>
        <w:t xml:space="preserve"> </w:t>
      </w:r>
      <w:r w:rsidRPr="0050276D">
        <w:rPr>
          <w:rFonts w:eastAsia="Times New Roman" w:cs="Times New Roman"/>
          <w:lang w:eastAsia="de-DE"/>
        </w:rPr>
        <w:t xml:space="preserve">(an den Altar ringsum) entspricht dem </w:t>
      </w:r>
      <w:r w:rsidRPr="0050276D">
        <w:rPr>
          <w:rFonts w:eastAsia="Times New Roman" w:cs="Times New Roman"/>
          <w:b/>
          <w:bCs/>
          <w:rtl/>
          <w:lang w:eastAsia="de-DE"/>
        </w:rPr>
        <w:t>עלה</w:t>
      </w:r>
      <w:r w:rsidRPr="0050276D">
        <w:rPr>
          <w:rFonts w:eastAsia="Times New Roman" w:cs="Times New Roman"/>
          <w:lang w:eastAsia="de-DE"/>
        </w:rPr>
        <w:t xml:space="preserve">-Blutverfahren aus V. 19, nicht dem </w:t>
      </w:r>
      <w:r w:rsidRPr="0050276D">
        <w:rPr>
          <w:rFonts w:eastAsia="Times New Roman" w:cs="Times New Roman"/>
          <w:b/>
          <w:bCs/>
          <w:rtl/>
          <w:lang w:eastAsia="de-DE"/>
        </w:rPr>
        <w:t>חטאת</w:t>
      </w:r>
      <w:r w:rsidRPr="0050276D">
        <w:rPr>
          <w:rFonts w:eastAsia="Times New Roman" w:cs="Times New Roman"/>
          <w:lang w:eastAsia="de-DE"/>
        </w:rPr>
        <w:t>-Verfahren.</w:t>
      </w:r>
    </w:p>
    <w:p w14:paraId="0873012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Pluralformen zeigen, dass alle Aaronsöhne simultan oder sukzessive dieselbe Weihezeremonie erhalten. </w:t>
      </w:r>
      <w:r w:rsidRPr="0050276D">
        <w:rPr>
          <w:rFonts w:eastAsia="Times New Roman" w:cs="Times New Roman"/>
          <w:b/>
          <w:bCs/>
          <w:rtl/>
          <w:lang w:eastAsia="de-DE"/>
        </w:rPr>
        <w:t>ויזרק</w:t>
      </w:r>
      <w:r w:rsidRPr="0050276D">
        <w:rPr>
          <w:rFonts w:eastAsia="Times New Roman" w:cs="Times New Roman"/>
          <w:rtl/>
          <w:lang w:eastAsia="de-DE"/>
        </w:rPr>
        <w:t xml:space="preserve"> </w:t>
      </w:r>
      <w:r w:rsidRPr="0050276D">
        <w:rPr>
          <w:rFonts w:eastAsia="Times New Roman" w:cs="Times New Roman"/>
          <w:lang w:eastAsia="de-DE"/>
        </w:rPr>
        <w:t xml:space="preserve">als abschließende Handlung zeigt, dass nach den körperlichen Weihungen das restliche Blut normal wie bei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behandelt wird.</w:t>
      </w:r>
    </w:p>
    <w:p w14:paraId="3F01015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Kombination aus </w:t>
      </w:r>
      <w:r w:rsidRPr="0050276D">
        <w:rPr>
          <w:rFonts w:eastAsia="Times New Roman" w:cs="Times New Roman"/>
          <w:b/>
          <w:bCs/>
          <w:rtl/>
          <w:lang w:eastAsia="de-DE"/>
        </w:rPr>
        <w:t>מלואים</w:t>
      </w:r>
      <w:r w:rsidRPr="0050276D">
        <w:rPr>
          <w:rFonts w:eastAsia="Times New Roman" w:cs="Times New Roman"/>
          <w:lang w:eastAsia="de-DE"/>
        </w:rPr>
        <w:t>-spezifischer Körperweihe (</w:t>
      </w:r>
      <w:r w:rsidRPr="0050276D">
        <w:rPr>
          <w:rFonts w:eastAsia="Times New Roman" w:cs="Times New Roman"/>
          <w:b/>
          <w:bCs/>
          <w:rtl/>
          <w:lang w:eastAsia="de-DE"/>
        </w:rPr>
        <w:t>נתן</w:t>
      </w:r>
      <w:r w:rsidRPr="0050276D">
        <w:rPr>
          <w:rFonts w:eastAsia="Times New Roman" w:cs="Times New Roman"/>
          <w:lang w:eastAsia="de-DE"/>
        </w:rPr>
        <w:t xml:space="preserve">) und </w:t>
      </w:r>
      <w:r w:rsidRPr="0050276D">
        <w:rPr>
          <w:rFonts w:eastAsia="Times New Roman" w:cs="Times New Roman"/>
          <w:b/>
          <w:bCs/>
          <w:rtl/>
          <w:lang w:eastAsia="de-DE"/>
        </w:rPr>
        <w:t>עלה</w:t>
      </w:r>
      <w:r w:rsidRPr="0050276D">
        <w:rPr>
          <w:rFonts w:eastAsia="Times New Roman" w:cs="Times New Roman"/>
          <w:lang w:eastAsia="de-DE"/>
        </w:rPr>
        <w:t>-typischer Altarsprengung (</w:t>
      </w:r>
      <w:r w:rsidRPr="0050276D">
        <w:rPr>
          <w:rFonts w:eastAsia="Times New Roman" w:cs="Times New Roman"/>
          <w:b/>
          <w:bCs/>
          <w:rtl/>
          <w:lang w:eastAsia="de-DE"/>
        </w:rPr>
        <w:t>זרק</w:t>
      </w:r>
      <w:r w:rsidRPr="0050276D">
        <w:rPr>
          <w:rFonts w:eastAsia="Times New Roman" w:cs="Times New Roman"/>
          <w:lang w:eastAsia="de-DE"/>
        </w:rPr>
        <w:t xml:space="preserve">) zeigt den Mischcharakter des </w:t>
      </w:r>
      <w:r w:rsidRPr="0050276D">
        <w:rPr>
          <w:rFonts w:eastAsia="Times New Roman" w:cs="Times New Roman"/>
          <w:b/>
          <w:bCs/>
          <w:rtl/>
          <w:lang w:eastAsia="de-DE"/>
        </w:rPr>
        <w:t>מלואים</w:t>
      </w:r>
      <w:r w:rsidRPr="0050276D">
        <w:rPr>
          <w:rFonts w:eastAsia="Times New Roman" w:cs="Times New Roman"/>
          <w:lang w:eastAsia="de-DE"/>
        </w:rPr>
        <w:t>-Opfers.</w:t>
      </w:r>
    </w:p>
    <w:p w14:paraId="249CAF2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בני אהרן</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υἱοὺς</w:t>
      </w:r>
      <w:proofErr w:type="spellEnd"/>
      <w:r w:rsidRPr="0050276D">
        <w:rPr>
          <w:rFonts w:eastAsia="Times New Roman" w:cs="Times New Roman"/>
          <w:lang w:eastAsia="de-DE"/>
        </w:rPr>
        <w:t xml:space="preserve"> Αα</w:t>
      </w:r>
      <w:proofErr w:type="spellStart"/>
      <w:r w:rsidRPr="0050276D">
        <w:rPr>
          <w:rFonts w:eastAsia="Times New Roman" w:cs="Times New Roman"/>
          <w:lang w:eastAsia="de-DE"/>
        </w:rPr>
        <w:t>ρων</w:t>
      </w:r>
      <w:proofErr w:type="spellEnd"/>
      <w:r w:rsidRPr="0050276D">
        <w:rPr>
          <w:rFonts w:eastAsia="Times New Roman" w:cs="Times New Roman"/>
          <w:lang w:eastAsia="de-DE"/>
        </w:rPr>
        <w:t xml:space="preserve"> (Söhne Aarons), behält die Körperteil-Terminologie bei und übersetzt </w:t>
      </w:r>
      <w:r w:rsidRPr="0050276D">
        <w:rPr>
          <w:rFonts w:eastAsia="Times New Roman" w:cs="Times New Roman"/>
          <w:b/>
          <w:bCs/>
          <w:rtl/>
          <w:lang w:eastAsia="de-DE"/>
        </w:rPr>
        <w:t>ויזרק</w:t>
      </w:r>
      <w:r w:rsidRPr="0050276D">
        <w:rPr>
          <w:rFonts w:eastAsia="Times New Roman" w:cs="Times New Roman"/>
          <w:rtl/>
          <w:lang w:eastAsia="de-DE"/>
        </w:rPr>
        <w:t xml:space="preserve"> </w:t>
      </w:r>
      <w:r w:rsidRPr="0050276D">
        <w:rPr>
          <w:rFonts w:eastAsia="Times New Roman" w:cs="Times New Roman"/>
          <w:lang w:eastAsia="de-DE"/>
        </w:rPr>
        <w:t>mit π</w:t>
      </w:r>
      <w:proofErr w:type="spellStart"/>
      <w:r w:rsidRPr="0050276D">
        <w:rPr>
          <w:rFonts w:eastAsia="Times New Roman" w:cs="Times New Roman"/>
          <w:lang w:eastAsia="de-DE"/>
        </w:rPr>
        <w:t>ροσέχεεν</w:t>
      </w:r>
      <w:proofErr w:type="spellEnd"/>
      <w:r w:rsidRPr="0050276D">
        <w:rPr>
          <w:rFonts w:eastAsia="Times New Roman" w:cs="Times New Roman"/>
          <w:lang w:eastAsia="de-DE"/>
        </w:rPr>
        <w:t xml:space="preserve"> (er goss hin).</w:t>
      </w:r>
    </w:p>
    <w:p w14:paraId="29F881D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vier koordinierte Hauptsätze: Heranführung + dreifache Blutapplikation (mit Pluralformen) + abschließende Altarsprengung. Die Struktur erweitert die </w:t>
      </w:r>
      <w:r w:rsidRPr="0050276D">
        <w:rPr>
          <w:rFonts w:eastAsia="Times New Roman" w:cs="Times New Roman"/>
          <w:b/>
          <w:bCs/>
          <w:rtl/>
          <w:lang w:eastAsia="de-DE"/>
        </w:rPr>
        <w:t>מלואים</w:t>
      </w:r>
      <w:r w:rsidRPr="0050276D">
        <w:rPr>
          <w:rFonts w:eastAsia="Times New Roman" w:cs="Times New Roman"/>
          <w:lang w:eastAsia="de-DE"/>
        </w:rPr>
        <w:t>-Zeremonie auf alle zu weihenden Priester.</w:t>
      </w:r>
    </w:p>
    <w:p w14:paraId="3D9A466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erweitert die </w:t>
      </w:r>
      <w:r w:rsidRPr="0050276D">
        <w:rPr>
          <w:rFonts w:eastAsia="Times New Roman" w:cs="Times New Roman"/>
          <w:b/>
          <w:bCs/>
          <w:rtl/>
          <w:lang w:eastAsia="de-DE"/>
        </w:rPr>
        <w:t>מלואים</w:t>
      </w:r>
      <w:r w:rsidRPr="0050276D">
        <w:rPr>
          <w:rFonts w:eastAsia="Times New Roman" w:cs="Times New Roman"/>
          <w:lang w:eastAsia="de-DE"/>
        </w:rPr>
        <w:t>-Blutzeremonie auf alle Aaronsöhne und schließt mit der normalen Altarsprengung des restlichen Blutes ab.</w:t>
      </w:r>
    </w:p>
    <w:p w14:paraId="628B14A9"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8,25</w:t>
      </w:r>
    </w:p>
    <w:p w14:paraId="0CA4894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וַיִּקַּ֞ח אֶת־הַחֵ֣לֶב וְאֶת־הָֽאַלְיָ֗ה וְאֶֽת־כָּל־הַחֵלֶב֮ אֲשֶׁ֣ר עַל־הַקֶּרֶב֒ וְאֵת֙ יֹתֶ֣רֶת הַכָּבֵ֔ד וְאֶת־שְׁתֵּ֥י הַכְּלָיֹ֖ת וְאֶֽת־חֶלְבְּהֶ֑ן וְאֵ֖ת שׁ֥וֹק הַיָּמִֽין׃</w:t>
      </w:r>
    </w:p>
    <w:p w14:paraId="1F3392F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nahm das Fett und den Fettschwanz und alles Fett, das am Eingeweide ist, und das Netz der Leber und die beiden Nieren und ihr Fett und den rechten Schenkel;</w:t>
      </w:r>
    </w:p>
    <w:p w14:paraId="189987E4"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7A1CA120">
          <v:rect id="_x0000_i1221" style="width:0;height:1.5pt" o:hralign="center" o:hrstd="t" o:hr="t" fillcolor="#a0a0a0" stroked="f"/>
        </w:pict>
      </w:r>
    </w:p>
    <w:p w14:paraId="54FEE2D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lastRenderedPageBreak/>
        <w:t>Kommentar:</w:t>
      </w:r>
      <w:r w:rsidRPr="0050276D">
        <w:rPr>
          <w:rFonts w:eastAsia="Times New Roman" w:cs="Times New Roman"/>
          <w:lang w:eastAsia="de-DE"/>
        </w:rPr>
        <w:t xml:space="preserve"> </w:t>
      </w:r>
      <w:r w:rsidRPr="0050276D">
        <w:rPr>
          <w:rFonts w:eastAsia="Times New Roman" w:cs="Times New Roman"/>
          <w:b/>
          <w:bCs/>
          <w:rtl/>
          <w:lang w:eastAsia="de-DE"/>
        </w:rPr>
        <w:t>ויקח את־החלב ואת־האליה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החלב</w:t>
      </w:r>
      <w:r w:rsidRPr="0050276D">
        <w:rPr>
          <w:rFonts w:eastAsia="Times New Roman" w:cs="Times New Roman"/>
          <w:rtl/>
          <w:lang w:eastAsia="de-DE"/>
        </w:rPr>
        <w:t xml:space="preserve"> </w:t>
      </w:r>
      <w:r w:rsidRPr="0050276D">
        <w:rPr>
          <w:rFonts w:eastAsia="Times New Roman" w:cs="Times New Roman"/>
          <w:lang w:eastAsia="de-DE"/>
        </w:rPr>
        <w:t xml:space="preserve">(das Fett) als allgemeine Kategorie, </w:t>
      </w:r>
      <w:r w:rsidRPr="0050276D">
        <w:rPr>
          <w:rFonts w:eastAsia="Times New Roman" w:cs="Times New Roman"/>
          <w:b/>
          <w:bCs/>
          <w:rtl/>
          <w:lang w:eastAsia="de-DE"/>
        </w:rPr>
        <w:t>האליה</w:t>
      </w:r>
      <w:r w:rsidRPr="0050276D">
        <w:rPr>
          <w:rFonts w:eastAsia="Times New Roman" w:cs="Times New Roman"/>
          <w:rtl/>
          <w:lang w:eastAsia="de-DE"/>
        </w:rPr>
        <w:t xml:space="preserve"> </w:t>
      </w:r>
      <w:r w:rsidRPr="0050276D">
        <w:rPr>
          <w:rFonts w:eastAsia="Times New Roman" w:cs="Times New Roman"/>
          <w:lang w:eastAsia="de-DE"/>
        </w:rPr>
        <w:t xml:space="preserve">(der Fettschwanz) als spezifische Ergänzung. </w:t>
      </w:r>
      <w:r w:rsidRPr="0050276D">
        <w:rPr>
          <w:rFonts w:eastAsia="Times New Roman" w:cs="Times New Roman"/>
          <w:b/>
          <w:bCs/>
          <w:rtl/>
          <w:lang w:eastAsia="de-DE"/>
        </w:rPr>
        <w:t>אליה</w:t>
      </w:r>
      <w:r w:rsidRPr="0050276D">
        <w:rPr>
          <w:rFonts w:eastAsia="Times New Roman" w:cs="Times New Roman"/>
          <w:rtl/>
          <w:lang w:eastAsia="de-DE"/>
        </w:rPr>
        <w:t xml:space="preserve"> </w:t>
      </w:r>
      <w:r w:rsidRPr="0050276D">
        <w:rPr>
          <w:rFonts w:eastAsia="Times New Roman" w:cs="Times New Roman"/>
          <w:lang w:eastAsia="de-DE"/>
        </w:rPr>
        <w:t xml:space="preserve">(Fettschwanz) erscheint typischerweise bei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 xml:space="preserve">(3,9) und zeigt, dass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Ähnlichkeiten mit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aufweist.</w:t>
      </w:r>
    </w:p>
    <w:p w14:paraId="5151F22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ואת־כל־החלב אשר על־הקרב ואת יתרת הכבד ואת־שתי הכליות ואת־חלבהן</w:t>
      </w:r>
      <w:r w:rsidRPr="0050276D">
        <w:rPr>
          <w:rFonts w:eastAsia="Times New Roman" w:cs="Times New Roman"/>
          <w:rtl/>
          <w:lang w:eastAsia="de-DE"/>
        </w:rPr>
        <w:t xml:space="preserve"> </w:t>
      </w:r>
      <w:r w:rsidRPr="0050276D">
        <w:rPr>
          <w:rFonts w:eastAsia="Times New Roman" w:cs="Times New Roman"/>
          <w:lang w:eastAsia="de-DE"/>
        </w:rPr>
        <w:t xml:space="preserve">listet die standardisierten Fettteile auf, die bei allen Opfern (außer </w:t>
      </w:r>
      <w:r w:rsidRPr="0050276D">
        <w:rPr>
          <w:rFonts w:eastAsia="Times New Roman" w:cs="Times New Roman"/>
          <w:b/>
          <w:bCs/>
          <w:rtl/>
          <w:lang w:eastAsia="de-DE"/>
        </w:rPr>
        <w:t>עלה</w:t>
      </w:r>
      <w:r w:rsidRPr="0050276D">
        <w:rPr>
          <w:rFonts w:eastAsia="Times New Roman" w:cs="Times New Roman"/>
          <w:lang w:eastAsia="de-DE"/>
        </w:rPr>
        <w:t xml:space="preserve">) verbrannt werden. </w:t>
      </w:r>
      <w:r w:rsidRPr="0050276D">
        <w:rPr>
          <w:rFonts w:eastAsia="Times New Roman" w:cs="Times New Roman"/>
          <w:b/>
          <w:bCs/>
          <w:rtl/>
          <w:lang w:eastAsia="de-DE"/>
        </w:rPr>
        <w:t>כל־החלב אשר על־הקרב</w:t>
      </w:r>
      <w:r w:rsidRPr="0050276D">
        <w:rPr>
          <w:rFonts w:eastAsia="Times New Roman" w:cs="Times New Roman"/>
          <w:rtl/>
          <w:lang w:eastAsia="de-DE"/>
        </w:rPr>
        <w:t xml:space="preserve"> </w:t>
      </w:r>
      <w:r w:rsidRPr="0050276D">
        <w:rPr>
          <w:rFonts w:eastAsia="Times New Roman" w:cs="Times New Roman"/>
          <w:lang w:eastAsia="de-DE"/>
        </w:rPr>
        <w:t xml:space="preserve">(alles Fett, das am Eingeweide ist) mit Relativsatz. </w:t>
      </w:r>
      <w:r w:rsidRPr="0050276D">
        <w:rPr>
          <w:rFonts w:eastAsia="Times New Roman" w:cs="Times New Roman"/>
          <w:b/>
          <w:bCs/>
          <w:rtl/>
          <w:lang w:eastAsia="de-DE"/>
        </w:rPr>
        <w:t>יתרת הכבד</w:t>
      </w:r>
      <w:r w:rsidRPr="0050276D">
        <w:rPr>
          <w:rFonts w:eastAsia="Times New Roman" w:cs="Times New Roman"/>
          <w:rtl/>
          <w:lang w:eastAsia="de-DE"/>
        </w:rPr>
        <w:t xml:space="preserve"> </w:t>
      </w:r>
      <w:r w:rsidRPr="0050276D">
        <w:rPr>
          <w:rFonts w:eastAsia="Times New Roman" w:cs="Times New Roman"/>
          <w:lang w:eastAsia="de-DE"/>
        </w:rPr>
        <w:t xml:space="preserve">(Netz der Leber), </w:t>
      </w:r>
      <w:r w:rsidRPr="0050276D">
        <w:rPr>
          <w:rFonts w:eastAsia="Times New Roman" w:cs="Times New Roman"/>
          <w:b/>
          <w:bCs/>
          <w:rtl/>
          <w:lang w:eastAsia="de-DE"/>
        </w:rPr>
        <w:t>שתי הכליות</w:t>
      </w:r>
      <w:r w:rsidRPr="0050276D">
        <w:rPr>
          <w:rFonts w:eastAsia="Times New Roman" w:cs="Times New Roman"/>
          <w:rtl/>
          <w:lang w:eastAsia="de-DE"/>
        </w:rPr>
        <w:t xml:space="preserve"> </w:t>
      </w:r>
      <w:r w:rsidRPr="0050276D">
        <w:rPr>
          <w:rFonts w:eastAsia="Times New Roman" w:cs="Times New Roman"/>
          <w:lang w:eastAsia="de-DE"/>
        </w:rPr>
        <w:t xml:space="preserve">(die beiden Nieren) im Dual, </w:t>
      </w:r>
      <w:r w:rsidRPr="0050276D">
        <w:rPr>
          <w:rFonts w:eastAsia="Times New Roman" w:cs="Times New Roman"/>
          <w:b/>
          <w:bCs/>
          <w:rtl/>
          <w:lang w:eastAsia="de-DE"/>
        </w:rPr>
        <w:t>חלבהן</w:t>
      </w:r>
      <w:r w:rsidRPr="0050276D">
        <w:rPr>
          <w:rFonts w:eastAsia="Times New Roman" w:cs="Times New Roman"/>
          <w:rtl/>
          <w:lang w:eastAsia="de-DE"/>
        </w:rPr>
        <w:t xml:space="preserve"> </w:t>
      </w:r>
      <w:r w:rsidRPr="0050276D">
        <w:rPr>
          <w:rFonts w:eastAsia="Times New Roman" w:cs="Times New Roman"/>
          <w:lang w:eastAsia="de-DE"/>
        </w:rPr>
        <w:t>(ihr Fett) mit Possessivsuffix 3. Person feminin Plural.</w:t>
      </w:r>
    </w:p>
    <w:p w14:paraId="4FC2BE8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ואת שוק הימין</w:t>
      </w:r>
      <w:r w:rsidRPr="0050276D">
        <w:rPr>
          <w:rFonts w:eastAsia="Times New Roman" w:cs="Times New Roman"/>
          <w:rtl/>
          <w:lang w:eastAsia="de-DE"/>
        </w:rPr>
        <w:t xml:space="preserve"> </w:t>
      </w:r>
      <w:r w:rsidRPr="0050276D">
        <w:rPr>
          <w:rFonts w:eastAsia="Times New Roman" w:cs="Times New Roman"/>
          <w:lang w:eastAsia="de-DE"/>
        </w:rPr>
        <w:t xml:space="preserve">(und den rechten Schenkel) ist die entscheidende Ergänzung, die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von anderen Opfern unterscheidet. </w:t>
      </w:r>
      <w:r w:rsidRPr="0050276D">
        <w:rPr>
          <w:rFonts w:eastAsia="Times New Roman" w:cs="Times New Roman"/>
          <w:b/>
          <w:bCs/>
          <w:rtl/>
          <w:lang w:eastAsia="de-DE"/>
        </w:rPr>
        <w:t>שוק הימין</w:t>
      </w:r>
      <w:r w:rsidRPr="0050276D">
        <w:rPr>
          <w:rFonts w:eastAsia="Times New Roman" w:cs="Times New Roman"/>
          <w:rtl/>
          <w:lang w:eastAsia="de-DE"/>
        </w:rPr>
        <w:t xml:space="preserve"> </w:t>
      </w:r>
      <w:r w:rsidRPr="0050276D">
        <w:rPr>
          <w:rFonts w:eastAsia="Times New Roman" w:cs="Times New Roman"/>
          <w:lang w:eastAsia="de-DE"/>
        </w:rPr>
        <w:t xml:space="preserve">(rechter Schenkel) ist normalerweise der </w:t>
      </w:r>
      <w:r w:rsidRPr="0050276D">
        <w:rPr>
          <w:rFonts w:eastAsia="Times New Roman" w:cs="Times New Roman"/>
          <w:b/>
          <w:bCs/>
          <w:rtl/>
          <w:lang w:eastAsia="de-DE"/>
        </w:rPr>
        <w:t>תרומה</w:t>
      </w:r>
      <w:r w:rsidRPr="0050276D">
        <w:rPr>
          <w:rFonts w:eastAsia="Times New Roman" w:cs="Times New Roman"/>
          <w:lang w:eastAsia="de-DE"/>
        </w:rPr>
        <w:t xml:space="preserve">-Anteil des Priesters bei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(7,32-33), wird aber hier als Teil des Opfers verwendet.</w:t>
      </w:r>
    </w:p>
    <w:p w14:paraId="7D13C8A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Aufzählung kombiniert Elemente verschiedener Opfertypen: die Fettteile entsprechen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 xml:space="preserve">und </w:t>
      </w:r>
      <w:r w:rsidRPr="0050276D">
        <w:rPr>
          <w:rFonts w:eastAsia="Times New Roman" w:cs="Times New Roman"/>
          <w:b/>
          <w:bCs/>
          <w:rtl/>
          <w:lang w:eastAsia="de-DE"/>
        </w:rPr>
        <w:t>חטאת</w:t>
      </w:r>
      <w:r w:rsidRPr="0050276D">
        <w:rPr>
          <w:rFonts w:eastAsia="Times New Roman" w:cs="Times New Roman"/>
          <w:lang w:eastAsia="de-DE"/>
        </w:rPr>
        <w:t xml:space="preserve">, aber </w:t>
      </w:r>
      <w:r w:rsidRPr="0050276D">
        <w:rPr>
          <w:rFonts w:eastAsia="Times New Roman" w:cs="Times New Roman"/>
          <w:b/>
          <w:bCs/>
          <w:rtl/>
          <w:lang w:eastAsia="de-DE"/>
        </w:rPr>
        <w:t>שוק הימין</w:t>
      </w:r>
      <w:r w:rsidRPr="0050276D">
        <w:rPr>
          <w:rFonts w:eastAsia="Times New Roman" w:cs="Times New Roman"/>
          <w:rtl/>
          <w:lang w:eastAsia="de-DE"/>
        </w:rPr>
        <w:t xml:space="preserve"> </w:t>
      </w:r>
      <w:r w:rsidRPr="0050276D">
        <w:rPr>
          <w:rFonts w:eastAsia="Times New Roman" w:cs="Times New Roman"/>
          <w:lang w:eastAsia="de-DE"/>
        </w:rPr>
        <w:t xml:space="preserve">als Opfergabe ist einzigartig für </w:t>
      </w:r>
      <w:r w:rsidRPr="0050276D">
        <w:rPr>
          <w:rFonts w:eastAsia="Times New Roman" w:cs="Times New Roman"/>
          <w:b/>
          <w:bCs/>
          <w:rtl/>
          <w:lang w:eastAsia="de-DE"/>
        </w:rPr>
        <w:t>מלואים</w:t>
      </w:r>
      <w:r w:rsidRPr="0050276D">
        <w:rPr>
          <w:rFonts w:eastAsia="Times New Roman" w:cs="Times New Roman"/>
          <w:lang w:eastAsia="de-DE"/>
        </w:rPr>
        <w:t xml:space="preserve">. </w:t>
      </w:r>
      <w:r w:rsidRPr="0050276D">
        <w:rPr>
          <w:rFonts w:eastAsia="Times New Roman" w:cs="Times New Roman"/>
          <w:b/>
          <w:bCs/>
          <w:rtl/>
          <w:lang w:eastAsia="de-DE"/>
        </w:rPr>
        <w:t>האליה</w:t>
      </w:r>
      <w:r w:rsidRPr="0050276D">
        <w:rPr>
          <w:rFonts w:eastAsia="Times New Roman" w:cs="Times New Roman"/>
          <w:rtl/>
          <w:lang w:eastAsia="de-DE"/>
        </w:rPr>
        <w:t xml:space="preserve"> </w:t>
      </w:r>
      <w:r w:rsidRPr="0050276D">
        <w:rPr>
          <w:rFonts w:eastAsia="Times New Roman" w:cs="Times New Roman"/>
          <w:lang w:eastAsia="de-DE"/>
        </w:rPr>
        <w:t xml:space="preserve">erscheint bei Schafen in </w:t>
      </w:r>
      <w:r w:rsidRPr="0050276D">
        <w:rPr>
          <w:rFonts w:eastAsia="Times New Roman" w:cs="Times New Roman"/>
          <w:b/>
          <w:bCs/>
          <w:rtl/>
          <w:lang w:eastAsia="de-DE"/>
        </w:rPr>
        <w:t>שלמים</w:t>
      </w:r>
      <w:r w:rsidRPr="0050276D">
        <w:rPr>
          <w:rFonts w:eastAsia="Times New Roman" w:cs="Times New Roman"/>
          <w:lang w:eastAsia="de-DE"/>
        </w:rPr>
        <w:t xml:space="preserve">, zeigt also </w:t>
      </w:r>
      <w:r w:rsidRPr="0050276D">
        <w:rPr>
          <w:rFonts w:eastAsia="Times New Roman" w:cs="Times New Roman"/>
          <w:b/>
          <w:bCs/>
          <w:rtl/>
          <w:lang w:eastAsia="de-DE"/>
        </w:rPr>
        <w:t>שלמים</w:t>
      </w:r>
      <w:r w:rsidRPr="0050276D">
        <w:rPr>
          <w:rFonts w:eastAsia="Times New Roman" w:cs="Times New Roman"/>
          <w:lang w:eastAsia="de-DE"/>
        </w:rPr>
        <w:t>-Charakter.</w:t>
      </w:r>
    </w:p>
    <w:p w14:paraId="7B06CFA4" w14:textId="1E3D222F"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w:t>
      </w:r>
      <w:r w:rsidR="00865A3D">
        <w:t xml:space="preserve">übersetzt </w:t>
      </w:r>
      <w:r w:rsidR="00865A3D">
        <w:rPr>
          <w:rtl/>
        </w:rPr>
        <w:t>שוק הימין</w:t>
      </w:r>
      <w:r w:rsidR="00865A3D">
        <w:t xml:space="preserve"> (</w:t>
      </w:r>
      <w:proofErr w:type="spellStart"/>
      <w:r w:rsidR="00865A3D">
        <w:t>shoq</w:t>
      </w:r>
      <w:proofErr w:type="spellEnd"/>
      <w:r w:rsidR="00865A3D">
        <w:t xml:space="preserve"> </w:t>
      </w:r>
      <w:proofErr w:type="spellStart"/>
      <w:r w:rsidR="00865A3D">
        <w:t>hayamin</w:t>
      </w:r>
      <w:proofErr w:type="spellEnd"/>
      <w:r w:rsidR="00865A3D">
        <w:t xml:space="preserve"> - "rechte Keule") als </w:t>
      </w:r>
      <w:proofErr w:type="spellStart"/>
      <w:r w:rsidR="00865A3D">
        <w:t>τὸν</w:t>
      </w:r>
      <w:proofErr w:type="spellEnd"/>
      <w:r w:rsidR="00865A3D">
        <w:t xml:space="preserve"> βρα</w:t>
      </w:r>
      <w:proofErr w:type="spellStart"/>
      <w:r w:rsidR="00865A3D">
        <w:t>χίον</w:t>
      </w:r>
      <w:proofErr w:type="spellEnd"/>
      <w:r w:rsidR="00865A3D">
        <w:t xml:space="preserve">α </w:t>
      </w:r>
      <w:proofErr w:type="spellStart"/>
      <w:r w:rsidR="00865A3D">
        <w:t>τὸν</w:t>
      </w:r>
      <w:proofErr w:type="spellEnd"/>
      <w:r w:rsidR="00865A3D">
        <w:t xml:space="preserve"> </w:t>
      </w:r>
      <w:proofErr w:type="spellStart"/>
      <w:r w:rsidR="00865A3D">
        <w:t>δεξιόν</w:t>
      </w:r>
      <w:proofErr w:type="spellEnd"/>
      <w:r w:rsidR="00865A3D">
        <w:t xml:space="preserve"> (den rechten Arm), was eine konsistente anatomische Verschiebung zeigt.</w:t>
      </w:r>
    </w:p>
    <w:p w14:paraId="4F58C05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einen Hauptsatz mit sieben koordinierten direkten Objekten: Verb + sieben mit </w:t>
      </w:r>
      <w:r w:rsidRPr="0050276D">
        <w:rPr>
          <w:rFonts w:eastAsia="Times New Roman" w:cs="Times New Roman"/>
          <w:b/>
          <w:bCs/>
          <w:rtl/>
          <w:lang w:eastAsia="de-DE"/>
        </w:rPr>
        <w:t>ואת</w:t>
      </w:r>
      <w:r w:rsidRPr="0050276D">
        <w:rPr>
          <w:rFonts w:eastAsia="Times New Roman" w:cs="Times New Roman"/>
          <w:rtl/>
          <w:lang w:eastAsia="de-DE"/>
        </w:rPr>
        <w:t xml:space="preserve"> </w:t>
      </w:r>
      <w:r w:rsidRPr="0050276D">
        <w:rPr>
          <w:rFonts w:eastAsia="Times New Roman" w:cs="Times New Roman"/>
          <w:lang w:eastAsia="de-DE"/>
        </w:rPr>
        <w:t>koordinierte Objekte, davon einer mit Relativsatz. Die Struktur zeigt die umfassende Sammlung der zu opfernden Teile.</w:t>
      </w:r>
    </w:p>
    <w:p w14:paraId="1AD7838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sammelt alle für das </w:t>
      </w:r>
      <w:r w:rsidRPr="0050276D">
        <w:rPr>
          <w:rFonts w:eastAsia="Times New Roman" w:cs="Times New Roman"/>
          <w:b/>
          <w:bCs/>
          <w:rtl/>
          <w:lang w:eastAsia="de-DE"/>
        </w:rPr>
        <w:t>מלואים</w:t>
      </w:r>
      <w:r w:rsidRPr="0050276D">
        <w:rPr>
          <w:rFonts w:eastAsia="Times New Roman" w:cs="Times New Roman"/>
          <w:lang w:eastAsia="de-DE"/>
        </w:rPr>
        <w:t>-Opfer bestimmten Tierteile, die eine einzigartige Kombination aus verschiedenen Opfertypen darstellen.</w:t>
      </w:r>
    </w:p>
    <w:p w14:paraId="58DD952D"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8,26</w:t>
      </w:r>
    </w:p>
    <w:p w14:paraId="47B0D5F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וּמִסַּ֨ל הַמַּצּ֜וֹת אֲשֶׁ֣ר׀ לִפְנֵ֣י יְהוָ֗ה לָ֠קַח חַלַּ֨ת מַצָּ֤ה אַחַת֙ וְֽחַלַּ֨ת לֶ֥חֶם שֶׁ֛מֶן אַחַ֖ת וְרָקִ֣יק אֶחָ֑ד וַיָּ֨שֶׂם֙ עַל־הַ֣חֲלָבִ֔ים וְעַ֖ל שׁ֥וֹק הַיָּמִֽין׃</w:t>
      </w:r>
    </w:p>
    <w:p w14:paraId="660D067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nahm aus dem Korb des Ungesäuerten, der vor dem Ewigen war, einen ungesäuerten Kuchen und einen Kuchen geölten Brotes und einen Fladen, und legte sie auf die Fettstücke und auf den rechten Schenkel;</w:t>
      </w:r>
    </w:p>
    <w:p w14:paraId="1CBD3994"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375E412F">
          <v:rect id="_x0000_i1222" style="width:0;height:1.5pt" o:hralign="center" o:hrstd="t" o:hr="t" fillcolor="#a0a0a0" stroked="f"/>
        </w:pict>
      </w:r>
    </w:p>
    <w:p w14:paraId="2256A76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ומסל המצות אשר לפני יהוה לקח</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Qal-Perfekt 3. Person maskulin Singular. </w:t>
      </w:r>
      <w:r w:rsidRPr="0050276D">
        <w:rPr>
          <w:rFonts w:eastAsia="Times New Roman" w:cs="Times New Roman"/>
          <w:b/>
          <w:bCs/>
          <w:rtl/>
          <w:lang w:eastAsia="de-DE"/>
        </w:rPr>
        <w:t>מסל המצות</w:t>
      </w:r>
      <w:r w:rsidRPr="0050276D">
        <w:rPr>
          <w:rFonts w:eastAsia="Times New Roman" w:cs="Times New Roman"/>
          <w:rtl/>
          <w:lang w:eastAsia="de-DE"/>
        </w:rPr>
        <w:t xml:space="preserve"> </w:t>
      </w:r>
      <w:r w:rsidRPr="0050276D">
        <w:rPr>
          <w:rFonts w:eastAsia="Times New Roman" w:cs="Times New Roman"/>
          <w:lang w:eastAsia="de-DE"/>
        </w:rPr>
        <w:t xml:space="preserve">(aus dem Korb des Ungesäuerten) mit partitiver Präposition </w:t>
      </w:r>
      <w:r w:rsidRPr="0050276D">
        <w:rPr>
          <w:rFonts w:eastAsia="Times New Roman" w:cs="Times New Roman"/>
          <w:b/>
          <w:bCs/>
          <w:rtl/>
          <w:lang w:eastAsia="de-DE"/>
        </w:rPr>
        <w:t>מן</w:t>
      </w:r>
      <w:r w:rsidRPr="0050276D">
        <w:rPr>
          <w:rFonts w:eastAsia="Times New Roman" w:cs="Times New Roman"/>
          <w:rtl/>
          <w:lang w:eastAsia="de-DE"/>
        </w:rPr>
        <w:t xml:space="preserve"> </w:t>
      </w:r>
      <w:r w:rsidRPr="0050276D">
        <w:rPr>
          <w:rFonts w:eastAsia="Times New Roman" w:cs="Times New Roman"/>
          <w:lang w:eastAsia="de-DE"/>
        </w:rPr>
        <w:t xml:space="preserve">referenziert </w:t>
      </w:r>
      <w:r w:rsidRPr="0050276D">
        <w:rPr>
          <w:rFonts w:eastAsia="Times New Roman" w:cs="Times New Roman"/>
          <w:b/>
          <w:bCs/>
          <w:rtl/>
          <w:lang w:eastAsia="de-DE"/>
        </w:rPr>
        <w:t>סל המצות</w:t>
      </w:r>
      <w:r w:rsidRPr="0050276D">
        <w:rPr>
          <w:rFonts w:eastAsia="Times New Roman" w:cs="Times New Roman"/>
          <w:rtl/>
          <w:lang w:eastAsia="de-DE"/>
        </w:rPr>
        <w:t xml:space="preserve"> </w:t>
      </w:r>
      <w:r w:rsidRPr="0050276D">
        <w:rPr>
          <w:rFonts w:eastAsia="Times New Roman" w:cs="Times New Roman"/>
          <w:lang w:eastAsia="de-DE"/>
        </w:rPr>
        <w:t xml:space="preserve">aus V. 2. </w:t>
      </w:r>
      <w:r w:rsidRPr="0050276D">
        <w:rPr>
          <w:rFonts w:eastAsia="Times New Roman" w:cs="Times New Roman"/>
          <w:b/>
          <w:bCs/>
          <w:rtl/>
          <w:lang w:eastAsia="de-DE"/>
        </w:rPr>
        <w:t>אשר לפני יהוה</w:t>
      </w:r>
      <w:r w:rsidRPr="0050276D">
        <w:rPr>
          <w:rFonts w:eastAsia="Times New Roman" w:cs="Times New Roman"/>
          <w:rtl/>
          <w:lang w:eastAsia="de-DE"/>
        </w:rPr>
        <w:t xml:space="preserve"> </w:t>
      </w:r>
      <w:r w:rsidRPr="0050276D">
        <w:rPr>
          <w:rFonts w:eastAsia="Times New Roman" w:cs="Times New Roman"/>
          <w:lang w:eastAsia="de-DE"/>
        </w:rPr>
        <w:t>(der vor JHWH war) ist ein Relativsatz, der die sakrale Positionierung des Korbes betont.</w:t>
      </w:r>
    </w:p>
    <w:p w14:paraId="7160DC9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חלת מצה אחת וחלת לחם שמן אחת ורקיק אחד</w:t>
      </w:r>
      <w:r w:rsidRPr="0050276D">
        <w:rPr>
          <w:rFonts w:eastAsia="Times New Roman" w:cs="Times New Roman"/>
          <w:rtl/>
          <w:lang w:eastAsia="de-DE"/>
        </w:rPr>
        <w:t xml:space="preserve"> </w:t>
      </w:r>
      <w:r w:rsidRPr="0050276D">
        <w:rPr>
          <w:rFonts w:eastAsia="Times New Roman" w:cs="Times New Roman"/>
          <w:lang w:eastAsia="de-DE"/>
        </w:rPr>
        <w:t xml:space="preserve">listet drei verschiedene Brotarten auf. </w:t>
      </w:r>
      <w:r w:rsidRPr="0050276D">
        <w:rPr>
          <w:rFonts w:eastAsia="Times New Roman" w:cs="Times New Roman"/>
          <w:b/>
          <w:bCs/>
          <w:rtl/>
          <w:lang w:eastAsia="de-DE"/>
        </w:rPr>
        <w:t>חלת מצה</w:t>
      </w:r>
      <w:r w:rsidRPr="0050276D">
        <w:rPr>
          <w:rFonts w:eastAsia="Times New Roman" w:cs="Times New Roman"/>
          <w:rtl/>
          <w:lang w:eastAsia="de-DE"/>
        </w:rPr>
        <w:t xml:space="preserve"> </w:t>
      </w:r>
      <w:r w:rsidRPr="0050276D">
        <w:rPr>
          <w:rFonts w:eastAsia="Times New Roman" w:cs="Times New Roman"/>
          <w:lang w:eastAsia="de-DE"/>
        </w:rPr>
        <w:t xml:space="preserve">(ungesäuerter Kuchen), </w:t>
      </w:r>
      <w:r w:rsidRPr="0050276D">
        <w:rPr>
          <w:rFonts w:eastAsia="Times New Roman" w:cs="Times New Roman"/>
          <w:b/>
          <w:bCs/>
          <w:rtl/>
          <w:lang w:eastAsia="de-DE"/>
        </w:rPr>
        <w:t>חלת לחם שמן</w:t>
      </w:r>
      <w:r w:rsidRPr="0050276D">
        <w:rPr>
          <w:rFonts w:eastAsia="Times New Roman" w:cs="Times New Roman"/>
          <w:rtl/>
          <w:lang w:eastAsia="de-DE"/>
        </w:rPr>
        <w:t xml:space="preserve"> </w:t>
      </w:r>
      <w:r w:rsidRPr="0050276D">
        <w:rPr>
          <w:rFonts w:eastAsia="Times New Roman" w:cs="Times New Roman"/>
          <w:lang w:eastAsia="de-DE"/>
        </w:rPr>
        <w:t xml:space="preserve">(Kuchen geölten Brotes) - </w:t>
      </w:r>
      <w:r w:rsidRPr="0050276D">
        <w:rPr>
          <w:rFonts w:eastAsia="Times New Roman" w:cs="Times New Roman"/>
          <w:b/>
          <w:bCs/>
          <w:rtl/>
          <w:lang w:eastAsia="de-DE"/>
        </w:rPr>
        <w:t>לחם שמן</w:t>
      </w:r>
      <w:r w:rsidRPr="0050276D">
        <w:rPr>
          <w:rFonts w:eastAsia="Times New Roman" w:cs="Times New Roman"/>
          <w:rtl/>
          <w:lang w:eastAsia="de-DE"/>
        </w:rPr>
        <w:t xml:space="preserve"> </w:t>
      </w:r>
      <w:r w:rsidRPr="0050276D">
        <w:rPr>
          <w:rFonts w:eastAsia="Times New Roman" w:cs="Times New Roman"/>
          <w:lang w:eastAsia="de-DE"/>
        </w:rPr>
        <w:t xml:space="preserve">als Genitivkonstruktion, </w:t>
      </w:r>
      <w:r w:rsidRPr="0050276D">
        <w:rPr>
          <w:rFonts w:eastAsia="Times New Roman" w:cs="Times New Roman"/>
          <w:b/>
          <w:bCs/>
          <w:rtl/>
          <w:lang w:eastAsia="de-DE"/>
        </w:rPr>
        <w:t>רקיק</w:t>
      </w:r>
      <w:r w:rsidRPr="0050276D">
        <w:rPr>
          <w:rFonts w:eastAsia="Times New Roman" w:cs="Times New Roman"/>
          <w:rtl/>
          <w:lang w:eastAsia="de-DE"/>
        </w:rPr>
        <w:t xml:space="preserve"> </w:t>
      </w:r>
      <w:r w:rsidRPr="0050276D">
        <w:rPr>
          <w:rFonts w:eastAsia="Times New Roman" w:cs="Times New Roman"/>
          <w:lang w:eastAsia="de-DE"/>
        </w:rPr>
        <w:t xml:space="preserve">(dünner Fladen). </w:t>
      </w:r>
      <w:r w:rsidRPr="0050276D">
        <w:rPr>
          <w:rFonts w:eastAsia="Times New Roman" w:cs="Times New Roman"/>
          <w:b/>
          <w:bCs/>
          <w:rtl/>
          <w:lang w:eastAsia="de-DE"/>
        </w:rPr>
        <w:t>אחת...אחת...אחד</w:t>
      </w:r>
      <w:r w:rsidRPr="0050276D">
        <w:rPr>
          <w:rFonts w:eastAsia="Times New Roman" w:cs="Times New Roman"/>
          <w:rtl/>
          <w:lang w:eastAsia="de-DE"/>
        </w:rPr>
        <w:t xml:space="preserve"> </w:t>
      </w:r>
      <w:r w:rsidRPr="0050276D">
        <w:rPr>
          <w:rFonts w:eastAsia="Times New Roman" w:cs="Times New Roman"/>
          <w:lang w:eastAsia="de-DE"/>
        </w:rPr>
        <w:t>(eine...eine...einer) zeigt jeweils ein Exemplar jeder Sorte.</w:t>
      </w:r>
    </w:p>
    <w:p w14:paraId="2BFB0284"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lastRenderedPageBreak/>
        <w:t>וישם על־החלבים ועל שוק הימין</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שים</w:t>
      </w:r>
      <w:r w:rsidRPr="0050276D">
        <w:rPr>
          <w:rFonts w:eastAsia="Times New Roman" w:cs="Times New Roman"/>
          <w:rtl/>
          <w:lang w:eastAsia="de-DE"/>
        </w:rPr>
        <w:t xml:space="preserve"> </w:t>
      </w:r>
      <w:r w:rsidRPr="0050276D">
        <w:rPr>
          <w:rFonts w:eastAsia="Times New Roman" w:cs="Times New Roman"/>
          <w:lang w:eastAsia="de-DE"/>
        </w:rPr>
        <w:t xml:space="preserve">(setzen/legen) im Qal-Imperfekt mit Waw-Konsekutiv. </w:t>
      </w:r>
      <w:r w:rsidRPr="0050276D">
        <w:rPr>
          <w:rFonts w:eastAsia="Times New Roman" w:cs="Times New Roman"/>
          <w:b/>
          <w:bCs/>
          <w:rtl/>
          <w:lang w:eastAsia="de-DE"/>
        </w:rPr>
        <w:t>על־החלבים</w:t>
      </w:r>
      <w:r w:rsidRPr="0050276D">
        <w:rPr>
          <w:rFonts w:eastAsia="Times New Roman" w:cs="Times New Roman"/>
          <w:rtl/>
          <w:lang w:eastAsia="de-DE"/>
        </w:rPr>
        <w:t xml:space="preserve"> </w:t>
      </w:r>
      <w:r w:rsidRPr="0050276D">
        <w:rPr>
          <w:rFonts w:eastAsia="Times New Roman" w:cs="Times New Roman"/>
          <w:lang w:eastAsia="de-DE"/>
        </w:rPr>
        <w:t xml:space="preserve">(auf die Fettstücke) referenziert die gesammelten Fettteile aus V. 25. </w:t>
      </w:r>
      <w:r w:rsidRPr="0050276D">
        <w:rPr>
          <w:rFonts w:eastAsia="Times New Roman" w:cs="Times New Roman"/>
          <w:b/>
          <w:bCs/>
          <w:rtl/>
          <w:lang w:eastAsia="de-DE"/>
        </w:rPr>
        <w:t>ועל שוק הימין</w:t>
      </w:r>
      <w:r w:rsidRPr="0050276D">
        <w:rPr>
          <w:rFonts w:eastAsia="Times New Roman" w:cs="Times New Roman"/>
          <w:rtl/>
          <w:lang w:eastAsia="de-DE"/>
        </w:rPr>
        <w:t xml:space="preserve"> </w:t>
      </w:r>
      <w:r w:rsidRPr="0050276D">
        <w:rPr>
          <w:rFonts w:eastAsia="Times New Roman" w:cs="Times New Roman"/>
          <w:lang w:eastAsia="de-DE"/>
        </w:rPr>
        <w:t xml:space="preserve">(und auf den rechten Schenkel) wiederholt diesen besonderen </w:t>
      </w:r>
      <w:r w:rsidRPr="0050276D">
        <w:rPr>
          <w:rFonts w:eastAsia="Times New Roman" w:cs="Times New Roman"/>
          <w:b/>
          <w:bCs/>
          <w:rtl/>
          <w:lang w:eastAsia="de-DE"/>
        </w:rPr>
        <w:t>מלואים</w:t>
      </w:r>
      <w:r w:rsidRPr="0050276D">
        <w:rPr>
          <w:rFonts w:eastAsia="Times New Roman" w:cs="Times New Roman"/>
          <w:lang w:eastAsia="de-DE"/>
        </w:rPr>
        <w:t>-Bestandteil.</w:t>
      </w:r>
    </w:p>
    <w:p w14:paraId="579C596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drei Brotsorten entsprechen den </w:t>
      </w:r>
      <w:r w:rsidRPr="0050276D">
        <w:rPr>
          <w:rFonts w:eastAsia="Times New Roman" w:cs="Times New Roman"/>
          <w:b/>
          <w:bCs/>
          <w:rtl/>
          <w:lang w:eastAsia="de-DE"/>
        </w:rPr>
        <w:t>תודה</w:t>
      </w:r>
      <w:r w:rsidRPr="0050276D">
        <w:rPr>
          <w:rFonts w:eastAsia="Times New Roman" w:cs="Times New Roman"/>
          <w:lang w:eastAsia="de-DE"/>
        </w:rPr>
        <w:t xml:space="preserve">-Bestimmungen aus 7,12: </w:t>
      </w:r>
      <w:r w:rsidRPr="0050276D">
        <w:rPr>
          <w:rFonts w:eastAsia="Times New Roman" w:cs="Times New Roman"/>
          <w:b/>
          <w:bCs/>
          <w:rtl/>
          <w:lang w:eastAsia="de-DE"/>
        </w:rPr>
        <w:t>חלות מצה</w:t>
      </w:r>
      <w:r w:rsidRPr="0050276D">
        <w:rPr>
          <w:rFonts w:eastAsia="Times New Roman" w:cs="Times New Roman"/>
          <w:lang w:eastAsia="de-DE"/>
        </w:rPr>
        <w:t xml:space="preserve">, </w:t>
      </w:r>
      <w:r w:rsidRPr="0050276D">
        <w:rPr>
          <w:rFonts w:eastAsia="Times New Roman" w:cs="Times New Roman"/>
          <w:b/>
          <w:bCs/>
          <w:rtl/>
          <w:lang w:eastAsia="de-DE"/>
        </w:rPr>
        <w:t>לחם שמן</w:t>
      </w:r>
      <w:r w:rsidRPr="0050276D">
        <w:rPr>
          <w:rFonts w:eastAsia="Times New Roman" w:cs="Times New Roman"/>
          <w:lang w:eastAsia="de-DE"/>
        </w:rPr>
        <w:t xml:space="preserve">, </w:t>
      </w:r>
      <w:r w:rsidRPr="0050276D">
        <w:rPr>
          <w:rFonts w:eastAsia="Times New Roman" w:cs="Times New Roman"/>
          <w:b/>
          <w:bCs/>
          <w:rtl/>
          <w:lang w:eastAsia="de-DE"/>
        </w:rPr>
        <w:t>רקיקים</w:t>
      </w:r>
      <w:r w:rsidRPr="0050276D">
        <w:rPr>
          <w:rFonts w:eastAsia="Times New Roman" w:cs="Times New Roman"/>
          <w:lang w:eastAsia="de-DE"/>
        </w:rPr>
        <w:t xml:space="preserve">. Die Kombination von Fleischteilen und Brot ist charakteristisch für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 xml:space="preserve">und ihre Unterkategorien, zeigt also den </w:t>
      </w:r>
      <w:r w:rsidRPr="0050276D">
        <w:rPr>
          <w:rFonts w:eastAsia="Times New Roman" w:cs="Times New Roman"/>
          <w:b/>
          <w:bCs/>
          <w:rtl/>
          <w:lang w:eastAsia="de-DE"/>
        </w:rPr>
        <w:t>שלמים</w:t>
      </w:r>
      <w:r w:rsidRPr="0050276D">
        <w:rPr>
          <w:rFonts w:eastAsia="Times New Roman" w:cs="Times New Roman"/>
          <w:lang w:eastAsia="de-DE"/>
        </w:rPr>
        <w:t xml:space="preserve">-Charakter von </w:t>
      </w:r>
      <w:r w:rsidRPr="0050276D">
        <w:rPr>
          <w:rFonts w:eastAsia="Times New Roman" w:cs="Times New Roman"/>
          <w:b/>
          <w:bCs/>
          <w:rtl/>
          <w:lang w:eastAsia="de-DE"/>
        </w:rPr>
        <w:t>מלואים</w:t>
      </w:r>
      <w:r w:rsidRPr="0050276D">
        <w:rPr>
          <w:rFonts w:eastAsia="Times New Roman" w:cs="Times New Roman"/>
          <w:lang w:eastAsia="de-DE"/>
        </w:rPr>
        <w:t>.</w:t>
      </w:r>
    </w:p>
    <w:p w14:paraId="241E508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לפני יהוה</w:t>
      </w:r>
      <w:r w:rsidRPr="0050276D">
        <w:rPr>
          <w:rFonts w:eastAsia="Times New Roman" w:cs="Times New Roman"/>
          <w:rtl/>
          <w:lang w:eastAsia="de-DE"/>
        </w:rPr>
        <w:t xml:space="preserve"> </w:t>
      </w:r>
      <w:r w:rsidRPr="0050276D">
        <w:rPr>
          <w:rFonts w:eastAsia="Times New Roman" w:cs="Times New Roman"/>
          <w:lang w:eastAsia="de-DE"/>
        </w:rPr>
        <w:t xml:space="preserve">betont, dass der Brotkorb in göttlicher Gegenwart platziert war, was die Heiligkeit der Zeremonie unterstreicht. Die Auflegung der Brote auf die Fleischteile bereitet die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(Schwingopfer) vor.</w:t>
      </w:r>
    </w:p>
    <w:p w14:paraId="3A0541C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סל המצות</w:t>
      </w:r>
      <w:r w:rsidRPr="0050276D">
        <w:rPr>
          <w:rFonts w:eastAsia="Times New Roman" w:cs="Times New Roman"/>
          <w:rtl/>
          <w:lang w:eastAsia="de-DE"/>
        </w:rPr>
        <w:t xml:space="preserve"> </w:t>
      </w:r>
      <w:r w:rsidRPr="0050276D">
        <w:rPr>
          <w:rFonts w:eastAsia="Times New Roman" w:cs="Times New Roman"/>
          <w:lang w:eastAsia="de-DE"/>
        </w:rPr>
        <w:t>mit κα</w:t>
      </w:r>
      <w:proofErr w:type="spellStart"/>
      <w:r w:rsidRPr="0050276D">
        <w:rPr>
          <w:rFonts w:eastAsia="Times New Roman" w:cs="Times New Roman"/>
          <w:lang w:eastAsia="de-DE"/>
        </w:rPr>
        <w:t>νοῦν</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ἀζύμων</w:t>
      </w:r>
      <w:proofErr w:type="spellEnd"/>
      <w:r w:rsidRPr="0050276D">
        <w:rPr>
          <w:rFonts w:eastAsia="Times New Roman" w:cs="Times New Roman"/>
          <w:lang w:eastAsia="de-DE"/>
        </w:rPr>
        <w:t xml:space="preserve"> (Korb der Ungesäuerten), </w:t>
      </w:r>
      <w:r w:rsidRPr="0050276D">
        <w:rPr>
          <w:rFonts w:eastAsia="Times New Roman" w:cs="Times New Roman"/>
          <w:b/>
          <w:bCs/>
          <w:rtl/>
          <w:lang w:eastAsia="de-DE"/>
        </w:rPr>
        <w:t>חלת מצה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ἄρτον</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ἄζυμον</w:t>
      </w:r>
      <w:proofErr w:type="spellEnd"/>
      <w:r w:rsidRPr="0050276D">
        <w:rPr>
          <w:rFonts w:eastAsia="Times New Roman" w:cs="Times New Roman"/>
          <w:lang w:eastAsia="de-DE"/>
        </w:rPr>
        <w:t xml:space="preserve"> (ungesäuertes Brot) und </w:t>
      </w:r>
      <w:r w:rsidRPr="0050276D">
        <w:rPr>
          <w:rFonts w:eastAsia="Times New Roman" w:cs="Times New Roman"/>
          <w:b/>
          <w:bCs/>
          <w:rtl/>
          <w:lang w:eastAsia="de-DE"/>
        </w:rPr>
        <w:t>רקיק</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λάγ</w:t>
      </w:r>
      <w:proofErr w:type="spellEnd"/>
      <w:r w:rsidRPr="0050276D">
        <w:rPr>
          <w:rFonts w:eastAsia="Times New Roman" w:cs="Times New Roman"/>
          <w:lang w:eastAsia="de-DE"/>
        </w:rPr>
        <w:t>ανον (dünnen Kuchen).</w:t>
      </w:r>
    </w:p>
    <w:p w14:paraId="76B89813"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Hauptsätze: 1) Präpositionalphrase + Relativsatz + Verb + drei koordinierte Objekte; 2) Verb + zwei koordinierte Ortsangaben. Die Struktur kombiniert die Brotentnahme mit der Vorbereitung zur </w:t>
      </w:r>
      <w:r w:rsidRPr="0050276D">
        <w:rPr>
          <w:rFonts w:eastAsia="Times New Roman" w:cs="Times New Roman"/>
          <w:b/>
          <w:bCs/>
          <w:rtl/>
          <w:lang w:eastAsia="de-DE"/>
        </w:rPr>
        <w:t>תנופה</w:t>
      </w:r>
      <w:r w:rsidRPr="0050276D">
        <w:rPr>
          <w:rFonts w:eastAsia="Times New Roman" w:cs="Times New Roman"/>
          <w:lang w:eastAsia="de-DE"/>
        </w:rPr>
        <w:t>.</w:t>
      </w:r>
    </w:p>
    <w:p w14:paraId="22AF009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ergänzt die Fleischteile um die rituellen Brote und bereitet das komplette </w:t>
      </w:r>
      <w:r w:rsidRPr="0050276D">
        <w:rPr>
          <w:rFonts w:eastAsia="Times New Roman" w:cs="Times New Roman"/>
          <w:b/>
          <w:bCs/>
          <w:rtl/>
          <w:lang w:eastAsia="de-DE"/>
        </w:rPr>
        <w:t>מלואים</w:t>
      </w:r>
      <w:r w:rsidRPr="0050276D">
        <w:rPr>
          <w:rFonts w:eastAsia="Times New Roman" w:cs="Times New Roman"/>
          <w:lang w:eastAsia="de-DE"/>
        </w:rPr>
        <w:t xml:space="preserve">-Opferpaket für die folgende </w:t>
      </w:r>
      <w:r w:rsidRPr="0050276D">
        <w:rPr>
          <w:rFonts w:eastAsia="Times New Roman" w:cs="Times New Roman"/>
          <w:b/>
          <w:bCs/>
          <w:rtl/>
          <w:lang w:eastAsia="de-DE"/>
        </w:rPr>
        <w:t>תנופה</w:t>
      </w:r>
      <w:r w:rsidRPr="0050276D">
        <w:rPr>
          <w:rFonts w:eastAsia="Times New Roman" w:cs="Times New Roman"/>
          <w:lang w:eastAsia="de-DE"/>
        </w:rPr>
        <w:t>-Zeremonie vor.</w:t>
      </w:r>
    </w:p>
    <w:p w14:paraId="4B49BEC0"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8,27</w:t>
      </w:r>
    </w:p>
    <w:p w14:paraId="6727A3B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וַיִּתֵּ֣ן אֶת־הַכֹּ֔ל עַ֚ל כַּפֵּ֣י אַהֲרֹ֔ן וְעַ֖ל כַּפֵּ֣י בָנָ֑יו וַיָּ֧נֶף אֹתָ֛ם תְּנוּפָ֖ה לִפְנֵ֥י יְהוָֽה׃</w:t>
      </w:r>
    </w:p>
    <w:p w14:paraId="76C0923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er legte das alles auf die Hände Aarons und auf die Hände seiner Söhne und schwenkte es als Schwingopfer vor dem Ewigen.</w:t>
      </w:r>
    </w:p>
    <w:p w14:paraId="54B68061"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6BBCA7ED">
          <v:rect id="_x0000_i1223" style="width:0;height:1.5pt" o:hralign="center" o:hrstd="t" o:hr="t" fillcolor="#a0a0a0" stroked="f"/>
        </w:pict>
      </w:r>
    </w:p>
    <w:p w14:paraId="7867E3D3" w14:textId="07A6EA0E"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ויתן את־הכל על כפי אהרן ועל כפי בניו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נתן</w:t>
      </w:r>
      <w:r w:rsidRPr="0050276D">
        <w:rPr>
          <w:rFonts w:eastAsia="Times New Roman" w:cs="Times New Roman"/>
          <w:rtl/>
          <w:lang w:eastAsia="de-DE"/>
        </w:rPr>
        <w:t xml:space="preserve"> </w:t>
      </w:r>
      <w:r w:rsidRPr="0050276D">
        <w:rPr>
          <w:rFonts w:eastAsia="Times New Roman" w:cs="Times New Roman"/>
          <w:lang w:eastAsia="de-DE"/>
        </w:rPr>
        <w:t xml:space="preserve">(geben/legen) im Qal-Imperfekt mit Waw-Konsekutiv. </w:t>
      </w:r>
      <w:r w:rsidRPr="0050276D">
        <w:rPr>
          <w:rFonts w:eastAsia="Times New Roman" w:cs="Times New Roman"/>
          <w:b/>
          <w:bCs/>
          <w:rtl/>
          <w:lang w:eastAsia="de-DE"/>
        </w:rPr>
        <w:t>את־הכל</w:t>
      </w:r>
      <w:r w:rsidRPr="0050276D">
        <w:rPr>
          <w:rFonts w:eastAsia="Times New Roman" w:cs="Times New Roman"/>
          <w:rtl/>
          <w:lang w:eastAsia="de-DE"/>
        </w:rPr>
        <w:t xml:space="preserve"> </w:t>
      </w:r>
      <w:r w:rsidRPr="0050276D">
        <w:rPr>
          <w:rFonts w:eastAsia="Times New Roman" w:cs="Times New Roman"/>
          <w:lang w:eastAsia="de-DE"/>
        </w:rPr>
        <w:t xml:space="preserve">(das alles) mit Totalitätspartikel </w:t>
      </w:r>
      <w:r w:rsidRPr="0050276D">
        <w:rPr>
          <w:rFonts w:eastAsia="Times New Roman" w:cs="Times New Roman"/>
          <w:b/>
          <w:bCs/>
          <w:rtl/>
          <w:lang w:eastAsia="de-DE"/>
        </w:rPr>
        <w:t>כל</w:t>
      </w:r>
      <w:r w:rsidRPr="0050276D">
        <w:rPr>
          <w:rFonts w:eastAsia="Times New Roman" w:cs="Times New Roman"/>
          <w:rtl/>
          <w:lang w:eastAsia="de-DE"/>
        </w:rPr>
        <w:t xml:space="preserve"> </w:t>
      </w:r>
      <w:r w:rsidRPr="0050276D">
        <w:rPr>
          <w:rFonts w:eastAsia="Times New Roman" w:cs="Times New Roman"/>
          <w:lang w:eastAsia="de-DE"/>
        </w:rPr>
        <w:t xml:space="preserve">referenziert alle gesammelten Fleisch- und Brotteile aus V. 25-26. </w:t>
      </w:r>
      <w:r w:rsidRPr="0050276D">
        <w:rPr>
          <w:rFonts w:eastAsia="Times New Roman" w:cs="Times New Roman"/>
          <w:b/>
          <w:bCs/>
          <w:rtl/>
          <w:lang w:eastAsia="de-DE"/>
        </w:rPr>
        <w:t>על כפי אהרן ועל כפי בניו</w:t>
      </w:r>
      <w:r w:rsidRPr="0050276D">
        <w:rPr>
          <w:rFonts w:eastAsia="Times New Roman" w:cs="Times New Roman"/>
          <w:rtl/>
          <w:lang w:eastAsia="de-DE"/>
        </w:rPr>
        <w:t xml:space="preserve"> </w:t>
      </w:r>
      <w:r w:rsidRPr="0050276D">
        <w:rPr>
          <w:rFonts w:eastAsia="Times New Roman" w:cs="Times New Roman"/>
          <w:lang w:eastAsia="de-DE"/>
        </w:rPr>
        <w:t xml:space="preserve">(auf die Handflächen Aarons und auf die Handflächen seiner Söhne) zeigt die doppelte Ortsangabe. </w:t>
      </w:r>
      <w:r w:rsidRPr="0050276D">
        <w:rPr>
          <w:rFonts w:eastAsia="Times New Roman" w:cs="Times New Roman"/>
          <w:b/>
          <w:bCs/>
          <w:rtl/>
          <w:lang w:eastAsia="de-DE"/>
        </w:rPr>
        <w:t>כפי</w:t>
      </w:r>
      <w:r w:rsidRPr="0050276D">
        <w:rPr>
          <w:rFonts w:eastAsia="Times New Roman" w:cs="Times New Roman"/>
          <w:rtl/>
          <w:lang w:eastAsia="de-DE"/>
        </w:rPr>
        <w:t xml:space="preserve"> </w:t>
      </w:r>
      <w:r w:rsidRPr="0050276D">
        <w:rPr>
          <w:rFonts w:eastAsia="Times New Roman" w:cs="Times New Roman"/>
          <w:lang w:eastAsia="de-DE"/>
        </w:rPr>
        <w:t xml:space="preserve">(Handflächen) im </w:t>
      </w:r>
      <w:r w:rsidR="005407E2">
        <w:rPr>
          <w:rFonts w:eastAsia="Times New Roman" w:cs="Times New Roman"/>
          <w:lang w:eastAsia="de-DE"/>
        </w:rPr>
        <w:t>Constructus</w:t>
      </w:r>
      <w:r w:rsidRPr="0050276D">
        <w:rPr>
          <w:rFonts w:eastAsia="Times New Roman" w:cs="Times New Roman"/>
          <w:lang w:eastAsia="de-DE"/>
        </w:rPr>
        <w:t xml:space="preserve">-Plural von </w:t>
      </w:r>
      <w:r w:rsidRPr="0050276D">
        <w:rPr>
          <w:rFonts w:eastAsia="Times New Roman" w:cs="Times New Roman"/>
          <w:b/>
          <w:bCs/>
          <w:rtl/>
          <w:lang w:eastAsia="de-DE"/>
        </w:rPr>
        <w:t>כף</w:t>
      </w:r>
      <w:r w:rsidRPr="0050276D">
        <w:rPr>
          <w:rFonts w:eastAsia="Times New Roman" w:cs="Times New Roman"/>
          <w:rtl/>
          <w:lang w:eastAsia="de-DE"/>
        </w:rPr>
        <w:t xml:space="preserve"> </w:t>
      </w:r>
      <w:r w:rsidRPr="0050276D">
        <w:rPr>
          <w:rFonts w:eastAsia="Times New Roman" w:cs="Times New Roman"/>
          <w:lang w:eastAsia="de-DE"/>
        </w:rPr>
        <w:t>(Handfläche).</w:t>
      </w:r>
    </w:p>
    <w:p w14:paraId="449C06A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ויאנף אתם תנופה לפני יהוה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נוף</w:t>
      </w:r>
      <w:r w:rsidRPr="0050276D">
        <w:rPr>
          <w:rFonts w:eastAsia="Times New Roman" w:cs="Times New Roman"/>
          <w:rtl/>
          <w:lang w:eastAsia="de-DE"/>
        </w:rPr>
        <w:t xml:space="preserve"> </w:t>
      </w:r>
      <w:r w:rsidRPr="0050276D">
        <w:rPr>
          <w:rFonts w:eastAsia="Times New Roman" w:cs="Times New Roman"/>
          <w:lang w:eastAsia="de-DE"/>
        </w:rPr>
        <w:t xml:space="preserve">(schwingen) im Hifil-Imperfekt mit Waw-Konsekutiv. Das Hifil drückt die kausative Handlung aus "schwingen lassen". </w:t>
      </w:r>
      <w:r w:rsidRPr="0050276D">
        <w:rPr>
          <w:rFonts w:eastAsia="Times New Roman" w:cs="Times New Roman"/>
          <w:b/>
          <w:bCs/>
          <w:rtl/>
          <w:lang w:eastAsia="de-DE"/>
        </w:rPr>
        <w:t>אתם</w:t>
      </w:r>
      <w:r w:rsidRPr="0050276D">
        <w:rPr>
          <w:rFonts w:eastAsia="Times New Roman" w:cs="Times New Roman"/>
          <w:rtl/>
          <w:lang w:eastAsia="de-DE"/>
        </w:rPr>
        <w:t xml:space="preserve"> </w:t>
      </w:r>
      <w:r w:rsidRPr="0050276D">
        <w:rPr>
          <w:rFonts w:eastAsia="Times New Roman" w:cs="Times New Roman"/>
          <w:lang w:eastAsia="de-DE"/>
        </w:rPr>
        <w:t xml:space="preserve">(sie) referenziert sowohl Aaron als auch seine Söhne als Objekte der Schwinghandlung.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 xml:space="preserve">(Schwingopfer) als cognate accusative verstärkt die Schwingbewegung. </w:t>
      </w:r>
      <w:r w:rsidRPr="0050276D">
        <w:rPr>
          <w:rFonts w:eastAsia="Times New Roman" w:cs="Times New Roman"/>
          <w:b/>
          <w:bCs/>
          <w:rtl/>
          <w:lang w:eastAsia="de-DE"/>
        </w:rPr>
        <w:t>לפני יהוה</w:t>
      </w:r>
      <w:r w:rsidRPr="0050276D">
        <w:rPr>
          <w:rFonts w:eastAsia="Times New Roman" w:cs="Times New Roman"/>
          <w:rtl/>
          <w:lang w:eastAsia="de-DE"/>
        </w:rPr>
        <w:t xml:space="preserve"> </w:t>
      </w:r>
      <w:r w:rsidRPr="0050276D">
        <w:rPr>
          <w:rFonts w:eastAsia="Times New Roman" w:cs="Times New Roman"/>
          <w:lang w:eastAsia="de-DE"/>
        </w:rPr>
        <w:t>(vor JHWH) zeigt den sakralen Rahmen.</w:t>
      </w:r>
    </w:p>
    <w:p w14:paraId="30B7BE7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 xml:space="preserve">(Schwingopfer) ist eine rituelle Bewegung, bei der die Opfergaben horizontal vor dem Heiligtum hin und her geschwungen werden. Bei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führt Mosche die Schwingbewegung mit Aaron und seinen Söhnen durch, die die Opfergaben in ihren Händen halten.</w:t>
      </w:r>
    </w:p>
    <w:p w14:paraId="14136D0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lastRenderedPageBreak/>
        <w:t>על כפי...ועל כפי</w:t>
      </w:r>
      <w:r w:rsidRPr="0050276D">
        <w:rPr>
          <w:rFonts w:eastAsia="Times New Roman" w:cs="Times New Roman"/>
          <w:rtl/>
          <w:lang w:eastAsia="de-DE"/>
        </w:rPr>
        <w:t xml:space="preserve"> </w:t>
      </w:r>
      <w:r w:rsidRPr="0050276D">
        <w:rPr>
          <w:rFonts w:eastAsia="Times New Roman" w:cs="Times New Roman"/>
          <w:lang w:eastAsia="de-DE"/>
        </w:rPr>
        <w:t xml:space="preserve">mit der Wiederholung der Präposition </w:t>
      </w:r>
      <w:r w:rsidRPr="0050276D">
        <w:rPr>
          <w:rFonts w:eastAsia="Times New Roman" w:cs="Times New Roman"/>
          <w:b/>
          <w:bCs/>
          <w:rtl/>
          <w:lang w:eastAsia="de-DE"/>
        </w:rPr>
        <w:t>על</w:t>
      </w:r>
      <w:r w:rsidRPr="0050276D">
        <w:rPr>
          <w:rFonts w:eastAsia="Times New Roman" w:cs="Times New Roman"/>
          <w:rtl/>
          <w:lang w:eastAsia="de-DE"/>
        </w:rPr>
        <w:t xml:space="preserve"> </w:t>
      </w:r>
      <w:r w:rsidRPr="0050276D">
        <w:rPr>
          <w:rFonts w:eastAsia="Times New Roman" w:cs="Times New Roman"/>
          <w:lang w:eastAsia="de-DE"/>
        </w:rPr>
        <w:t xml:space="preserve">betont die gleichzeitige Beteiligung aller Weihlinge. </w:t>
      </w:r>
      <w:r w:rsidRPr="0050276D">
        <w:rPr>
          <w:rFonts w:eastAsia="Times New Roman" w:cs="Times New Roman"/>
          <w:b/>
          <w:bCs/>
          <w:rtl/>
          <w:lang w:eastAsia="de-DE"/>
        </w:rPr>
        <w:t>תנופה לפני יהוה</w:t>
      </w:r>
      <w:r w:rsidRPr="0050276D">
        <w:rPr>
          <w:rFonts w:eastAsia="Times New Roman" w:cs="Times New Roman"/>
          <w:rtl/>
          <w:lang w:eastAsia="de-DE"/>
        </w:rPr>
        <w:t xml:space="preserve"> </w:t>
      </w:r>
      <w:r w:rsidRPr="0050276D">
        <w:rPr>
          <w:rFonts w:eastAsia="Times New Roman" w:cs="Times New Roman"/>
          <w:lang w:eastAsia="de-DE"/>
        </w:rPr>
        <w:t>zeigt die Darbringung der Gaben vor JHWH, bevor sie verbrannt werden.</w:t>
      </w:r>
    </w:p>
    <w:p w14:paraId="484A27B7" w14:textId="4DB49EEC"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Formulierung </w:t>
      </w:r>
      <w:r w:rsidRPr="0050276D">
        <w:rPr>
          <w:rFonts w:eastAsia="Times New Roman" w:cs="Times New Roman"/>
          <w:b/>
          <w:bCs/>
          <w:rtl/>
          <w:lang w:eastAsia="de-DE"/>
        </w:rPr>
        <w:t>ויאנף אתם</w:t>
      </w:r>
      <w:r w:rsidRPr="0050276D">
        <w:rPr>
          <w:rFonts w:eastAsia="Times New Roman" w:cs="Times New Roman"/>
          <w:rtl/>
          <w:lang w:eastAsia="de-DE"/>
        </w:rPr>
        <w:t xml:space="preserve"> </w:t>
      </w:r>
      <w:r w:rsidRPr="0050276D">
        <w:rPr>
          <w:rFonts w:eastAsia="Times New Roman" w:cs="Times New Roman"/>
          <w:lang w:eastAsia="de-DE"/>
        </w:rPr>
        <w:t xml:space="preserve">ist ambig: </w:t>
      </w:r>
      <w:r w:rsidRPr="0050276D">
        <w:rPr>
          <w:rFonts w:eastAsia="Times New Roman" w:cs="Times New Roman"/>
          <w:b/>
          <w:bCs/>
          <w:rtl/>
          <w:lang w:eastAsia="de-DE"/>
        </w:rPr>
        <w:t>אתם</w:t>
      </w:r>
      <w:r w:rsidRPr="0050276D">
        <w:rPr>
          <w:rFonts w:eastAsia="Times New Roman" w:cs="Times New Roman"/>
          <w:rtl/>
          <w:lang w:eastAsia="de-DE"/>
        </w:rPr>
        <w:t xml:space="preserve"> </w:t>
      </w:r>
      <w:r w:rsidRPr="0050276D">
        <w:rPr>
          <w:rFonts w:eastAsia="Times New Roman" w:cs="Times New Roman"/>
          <w:lang w:eastAsia="de-DE"/>
        </w:rPr>
        <w:t>könnte sich auf die Personen (Aaron und seine Söhne) oder die Opfergaben beziehen. Der Kontext favorisiert die Personen als direkte Objekte der Schwinghandlung.</w:t>
      </w:r>
      <w:r w:rsidR="004343B1">
        <w:rPr>
          <w:rFonts w:eastAsia="Times New Roman" w:cs="Times New Roman"/>
          <w:lang w:eastAsia="de-DE"/>
        </w:rPr>
        <w:t xml:space="preserve"> </w:t>
      </w:r>
      <w:r w:rsidR="004343B1">
        <w:t xml:space="preserve">Diese grammatische Mehrdeutigkeit ist jedoch theologisch bedeutsam: Sie reflektiert die rituelle Einheit von Weihlingen und Opfergaben in der </w:t>
      </w:r>
      <w:r w:rsidR="004343B1">
        <w:rPr>
          <w:rtl/>
        </w:rPr>
        <w:t>מלואים</w:t>
      </w:r>
      <w:r w:rsidR="004343B1">
        <w:t xml:space="preserve">-Zeremonie. Aaron und seine Söhne werden nicht nur passive Empfänger der Weihe, sondern aktive Partizipanten, die zusammen mit den Opfergaben vor JHWH "geschwungen" werden. Die </w:t>
      </w:r>
      <w:r w:rsidR="004343B1">
        <w:rPr>
          <w:rtl/>
        </w:rPr>
        <w:t>תנופה</w:t>
      </w:r>
      <w:r w:rsidR="004343B1">
        <w:t xml:space="preserve"> vereinigt somit symbolisch die sich weihenden Priester mit den sie weihenden Opfergaben in einer einzigen rituellen Bewegung. Diese Verschmelzung von Personal und Material in der Schwinghandlung unterstreicht die transformative Natur der </w:t>
      </w:r>
      <w:r w:rsidR="004343B1">
        <w:rPr>
          <w:rtl/>
        </w:rPr>
        <w:t>מלואים</w:t>
      </w:r>
      <w:r w:rsidR="004343B1">
        <w:t>: Die Weihlinge werden selbst zu "Opfergaben" für den göttlichen Dienst. Die Ambiguität ist also nicht sprachliche Unschärfe, sondern theologische Präzision - sie erfasst die vollständige Integration der Priester in die sakrale Ordnung.</w:t>
      </w:r>
    </w:p>
    <w:p w14:paraId="5FE27B9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כפי</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χεῖρ</w:t>
      </w:r>
      <w:proofErr w:type="spellEnd"/>
      <w:r w:rsidRPr="0050276D">
        <w:rPr>
          <w:rFonts w:eastAsia="Times New Roman" w:cs="Times New Roman"/>
          <w:lang w:eastAsia="de-DE"/>
        </w:rPr>
        <w:t xml:space="preserve">ας (Hände), </w:t>
      </w:r>
      <w:r w:rsidRPr="0050276D">
        <w:rPr>
          <w:rFonts w:eastAsia="Times New Roman" w:cs="Times New Roman"/>
          <w:b/>
          <w:bCs/>
          <w:rtl/>
          <w:lang w:eastAsia="de-DE"/>
        </w:rPr>
        <w:t>ויאנף</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ἀνήνεγκεν</w:t>
      </w:r>
      <w:proofErr w:type="spellEnd"/>
      <w:r w:rsidRPr="0050276D">
        <w:rPr>
          <w:rFonts w:eastAsia="Times New Roman" w:cs="Times New Roman"/>
          <w:lang w:eastAsia="de-DE"/>
        </w:rPr>
        <w:t xml:space="preserve"> (er brachte hinauf) und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mit ἐπ</w:t>
      </w:r>
      <w:proofErr w:type="spellStart"/>
      <w:r w:rsidRPr="0050276D">
        <w:rPr>
          <w:rFonts w:eastAsia="Times New Roman" w:cs="Times New Roman"/>
          <w:lang w:eastAsia="de-DE"/>
        </w:rPr>
        <w:t>ίθεμ</w:t>
      </w:r>
      <w:proofErr w:type="spellEnd"/>
      <w:r w:rsidRPr="0050276D">
        <w:rPr>
          <w:rFonts w:eastAsia="Times New Roman" w:cs="Times New Roman"/>
          <w:lang w:eastAsia="de-DE"/>
        </w:rPr>
        <w:t>α (Auflegung), was eine andere Interpretation der Schwingbewegung zeigt.</w:t>
      </w:r>
    </w:p>
    <w:p w14:paraId="0EABF6B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koordinierte Hauptsätze: 1) Verb + direktes Objekt + doppelte Ortsangabe; 2) Verb + direktes Objekt + cognate accusative + Ortsangabe. Die Struktur zeigt die </w:t>
      </w:r>
      <w:r w:rsidRPr="0050276D">
        <w:rPr>
          <w:rFonts w:eastAsia="Times New Roman" w:cs="Times New Roman"/>
          <w:b/>
          <w:bCs/>
          <w:rtl/>
          <w:lang w:eastAsia="de-DE"/>
        </w:rPr>
        <w:t>תנופה</w:t>
      </w:r>
      <w:r w:rsidRPr="0050276D">
        <w:rPr>
          <w:rFonts w:eastAsia="Times New Roman" w:cs="Times New Roman"/>
          <w:lang w:eastAsia="de-DE"/>
        </w:rPr>
        <w:t xml:space="preserve">-Zeremonie als Höhepunkt der </w:t>
      </w:r>
      <w:r w:rsidRPr="0050276D">
        <w:rPr>
          <w:rFonts w:eastAsia="Times New Roman" w:cs="Times New Roman"/>
          <w:b/>
          <w:bCs/>
          <w:rtl/>
          <w:lang w:eastAsia="de-DE"/>
        </w:rPr>
        <w:t>מלואים</w:t>
      </w:r>
      <w:r w:rsidRPr="0050276D">
        <w:rPr>
          <w:rFonts w:eastAsia="Times New Roman" w:cs="Times New Roman"/>
          <w:lang w:eastAsia="de-DE"/>
        </w:rPr>
        <w:t>.</w:t>
      </w:r>
    </w:p>
    <w:p w14:paraId="7625BB4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beschreibt die feierliche </w:t>
      </w:r>
      <w:r w:rsidRPr="0050276D">
        <w:rPr>
          <w:rFonts w:eastAsia="Times New Roman" w:cs="Times New Roman"/>
          <w:b/>
          <w:bCs/>
          <w:rtl/>
          <w:lang w:eastAsia="de-DE"/>
        </w:rPr>
        <w:t>תנופה</w:t>
      </w:r>
      <w:r w:rsidRPr="0050276D">
        <w:rPr>
          <w:rFonts w:eastAsia="Times New Roman" w:cs="Times New Roman"/>
          <w:lang w:eastAsia="de-DE"/>
        </w:rPr>
        <w:t xml:space="preserve">-Zeremonie, bei der Aaron und seine Söhne die </w:t>
      </w:r>
      <w:r w:rsidRPr="0050276D">
        <w:rPr>
          <w:rFonts w:eastAsia="Times New Roman" w:cs="Times New Roman"/>
          <w:b/>
          <w:bCs/>
          <w:rtl/>
          <w:lang w:eastAsia="de-DE"/>
        </w:rPr>
        <w:t>מלואים</w:t>
      </w:r>
      <w:r w:rsidRPr="0050276D">
        <w:rPr>
          <w:rFonts w:eastAsia="Times New Roman" w:cs="Times New Roman"/>
          <w:lang w:eastAsia="de-DE"/>
        </w:rPr>
        <w:t>-Opfergaben vor JHWH schwingen als Zeichen der Hingabe und Weihe.</w:t>
      </w:r>
    </w:p>
    <w:p w14:paraId="208E6DFC"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8,28</w:t>
      </w:r>
    </w:p>
    <w:p w14:paraId="131E124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וַיִּקַּ֨ח מֹשֶׁ֤ה אֹתָם֙ מֵעַ֣ל כַּפֵּיהֶ֔ם וַיַּקְטֵ֥ר הַמִּזְבֵּ֖חָה עַל־הָעֹלָ֑ה מִלֻּאִ֥ים הֵם֙ לְרֵ֣יחַ נִיחֹ֔חַ אִשֶּׁ֥ה ה֖וּא לַיהוָֽה׃</w:t>
      </w:r>
    </w:p>
    <w:p w14:paraId="03AFC3F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Mosche nahm es von ihren Händen weg und räucherte es auf dem Altar, auf dem Aufsteigeopfer. Es war ein Einweihungsopfer zum lieblichen Geruch, es war ein Feueropfer dem Ewigen.</w:t>
      </w:r>
    </w:p>
    <w:p w14:paraId="08FDF84F"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3F830D95">
          <v:rect id="_x0000_i1224" style="width:0;height:1.5pt" o:hralign="center" o:hrstd="t" o:hr="t" fillcolor="#a0a0a0" stroked="f"/>
        </w:pict>
      </w:r>
    </w:p>
    <w:p w14:paraId="122BA1C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ויקח משה אתם מעל כפיהם</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אתם</w:t>
      </w:r>
      <w:r w:rsidRPr="0050276D">
        <w:rPr>
          <w:rFonts w:eastAsia="Times New Roman" w:cs="Times New Roman"/>
          <w:rtl/>
          <w:lang w:eastAsia="de-DE"/>
        </w:rPr>
        <w:t xml:space="preserve"> </w:t>
      </w:r>
      <w:r w:rsidRPr="0050276D">
        <w:rPr>
          <w:rFonts w:eastAsia="Times New Roman" w:cs="Times New Roman"/>
          <w:lang w:eastAsia="de-DE"/>
        </w:rPr>
        <w:t xml:space="preserve">(sie) referenziert die Opfergaben aus der </w:t>
      </w:r>
      <w:r w:rsidRPr="0050276D">
        <w:rPr>
          <w:rFonts w:eastAsia="Times New Roman" w:cs="Times New Roman"/>
          <w:b/>
          <w:bCs/>
          <w:rtl/>
          <w:lang w:eastAsia="de-DE"/>
        </w:rPr>
        <w:t>תנופה</w:t>
      </w:r>
      <w:r w:rsidRPr="0050276D">
        <w:rPr>
          <w:rFonts w:eastAsia="Times New Roman" w:cs="Times New Roman"/>
          <w:lang w:eastAsia="de-DE"/>
        </w:rPr>
        <w:t xml:space="preserve">. </w:t>
      </w:r>
      <w:r w:rsidRPr="0050276D">
        <w:rPr>
          <w:rFonts w:eastAsia="Times New Roman" w:cs="Times New Roman"/>
          <w:b/>
          <w:bCs/>
          <w:rtl/>
          <w:lang w:eastAsia="de-DE"/>
        </w:rPr>
        <w:t>מעל כפיהם</w:t>
      </w:r>
      <w:r w:rsidRPr="0050276D">
        <w:rPr>
          <w:rFonts w:eastAsia="Times New Roman" w:cs="Times New Roman"/>
          <w:rtl/>
          <w:lang w:eastAsia="de-DE"/>
        </w:rPr>
        <w:t xml:space="preserve"> </w:t>
      </w:r>
      <w:r w:rsidRPr="0050276D">
        <w:rPr>
          <w:rFonts w:eastAsia="Times New Roman" w:cs="Times New Roman"/>
          <w:lang w:eastAsia="de-DE"/>
        </w:rPr>
        <w:t xml:space="preserve">(von ihren Handflächen weg) mit </w:t>
      </w:r>
      <w:r w:rsidRPr="0050276D">
        <w:rPr>
          <w:rFonts w:eastAsia="Times New Roman" w:cs="Times New Roman"/>
          <w:b/>
          <w:bCs/>
          <w:rtl/>
          <w:lang w:eastAsia="de-DE"/>
        </w:rPr>
        <w:t>מעל</w:t>
      </w:r>
      <w:r w:rsidRPr="0050276D">
        <w:rPr>
          <w:rFonts w:eastAsia="Times New Roman" w:cs="Times New Roman"/>
          <w:rtl/>
          <w:lang w:eastAsia="de-DE"/>
        </w:rPr>
        <w:t xml:space="preserve"> </w:t>
      </w:r>
      <w:r w:rsidRPr="0050276D">
        <w:rPr>
          <w:rFonts w:eastAsia="Times New Roman" w:cs="Times New Roman"/>
          <w:lang w:eastAsia="de-DE"/>
        </w:rPr>
        <w:t xml:space="preserve">(von...weg) zeigt die Entnahme nach der Schwingzeremonie. </w:t>
      </w:r>
      <w:r w:rsidRPr="0050276D">
        <w:rPr>
          <w:rFonts w:eastAsia="Times New Roman" w:cs="Times New Roman"/>
          <w:b/>
          <w:bCs/>
          <w:rtl/>
          <w:lang w:eastAsia="de-DE"/>
        </w:rPr>
        <w:t>כפיהם</w:t>
      </w:r>
      <w:r w:rsidRPr="0050276D">
        <w:rPr>
          <w:rFonts w:eastAsia="Times New Roman" w:cs="Times New Roman"/>
          <w:rtl/>
          <w:lang w:eastAsia="de-DE"/>
        </w:rPr>
        <w:t xml:space="preserve"> </w:t>
      </w:r>
      <w:r w:rsidRPr="0050276D">
        <w:rPr>
          <w:rFonts w:eastAsia="Times New Roman" w:cs="Times New Roman"/>
          <w:lang w:eastAsia="de-DE"/>
        </w:rPr>
        <w:t>(ihre Handflächen) mit Possessivsuffix 3. Person maskulin Plural bezieht sich auf Aaron und seine Söhne.</w:t>
      </w:r>
    </w:p>
    <w:p w14:paraId="2EEB0AAB" w14:textId="57DCBEE5"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ויקטר המזבחה על־העלה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קטר</w:t>
      </w:r>
      <w:r w:rsidRPr="0050276D">
        <w:rPr>
          <w:rFonts w:eastAsia="Times New Roman" w:cs="Times New Roman"/>
          <w:rtl/>
          <w:lang w:eastAsia="de-DE"/>
        </w:rPr>
        <w:t xml:space="preserve"> </w:t>
      </w:r>
      <w:r w:rsidRPr="0050276D">
        <w:rPr>
          <w:rFonts w:eastAsia="Times New Roman" w:cs="Times New Roman"/>
          <w:lang w:eastAsia="de-DE"/>
        </w:rPr>
        <w:t xml:space="preserve">(räuchern) im Hifil-Imperfekt mit Waw-Konsekutiv. </w:t>
      </w:r>
      <w:r w:rsidRPr="0050276D">
        <w:rPr>
          <w:rFonts w:eastAsia="Times New Roman" w:cs="Times New Roman"/>
          <w:b/>
          <w:bCs/>
          <w:rtl/>
          <w:lang w:eastAsia="de-DE"/>
        </w:rPr>
        <w:t>המזבחה</w:t>
      </w:r>
      <w:r w:rsidRPr="0050276D">
        <w:rPr>
          <w:rFonts w:eastAsia="Times New Roman" w:cs="Times New Roman"/>
          <w:rtl/>
          <w:lang w:eastAsia="de-DE"/>
        </w:rPr>
        <w:t xml:space="preserve"> </w:t>
      </w:r>
      <w:r w:rsidRPr="0050276D">
        <w:rPr>
          <w:rFonts w:eastAsia="Times New Roman" w:cs="Times New Roman"/>
          <w:lang w:eastAsia="de-DE"/>
        </w:rPr>
        <w:t xml:space="preserve">mit direktionaler </w:t>
      </w:r>
      <w:r w:rsidRPr="0050276D">
        <w:rPr>
          <w:rFonts w:eastAsia="Times New Roman" w:cs="Times New Roman"/>
          <w:b/>
          <w:bCs/>
          <w:rtl/>
          <w:lang w:eastAsia="de-DE"/>
        </w:rPr>
        <w:t>ה</w:t>
      </w:r>
      <w:r w:rsidRPr="0050276D">
        <w:rPr>
          <w:rFonts w:eastAsia="Times New Roman" w:cs="Times New Roman"/>
          <w:rtl/>
          <w:lang w:eastAsia="de-DE"/>
        </w:rPr>
        <w:t xml:space="preserve"> </w:t>
      </w:r>
      <w:r w:rsidRPr="0050276D">
        <w:rPr>
          <w:rFonts w:eastAsia="Times New Roman" w:cs="Times New Roman"/>
          <w:lang w:eastAsia="de-DE"/>
        </w:rPr>
        <w:t xml:space="preserve">(zum Altar hin). </w:t>
      </w:r>
      <w:r w:rsidRPr="0050276D">
        <w:rPr>
          <w:rFonts w:eastAsia="Times New Roman" w:cs="Times New Roman"/>
          <w:b/>
          <w:bCs/>
          <w:rtl/>
          <w:lang w:eastAsia="de-DE"/>
        </w:rPr>
        <w:t>על־העלה</w:t>
      </w:r>
      <w:r w:rsidRPr="0050276D">
        <w:rPr>
          <w:rFonts w:eastAsia="Times New Roman" w:cs="Times New Roman"/>
          <w:rtl/>
          <w:lang w:eastAsia="de-DE"/>
        </w:rPr>
        <w:t xml:space="preserve"> </w:t>
      </w:r>
      <w:r w:rsidRPr="0050276D">
        <w:rPr>
          <w:rFonts w:eastAsia="Times New Roman" w:cs="Times New Roman"/>
          <w:lang w:eastAsia="de-DE"/>
        </w:rPr>
        <w:t xml:space="preserve">(auf dem </w:t>
      </w:r>
      <w:r w:rsidR="00CF10E7">
        <w:rPr>
          <w:rFonts w:eastAsia="Times New Roman" w:cs="Times New Roman"/>
          <w:lang w:eastAsia="de-DE"/>
        </w:rPr>
        <w:t>Aufsteigeopfer</w:t>
      </w:r>
      <w:r w:rsidRPr="0050276D">
        <w:rPr>
          <w:rFonts w:eastAsia="Times New Roman" w:cs="Times New Roman"/>
          <w:lang w:eastAsia="de-DE"/>
        </w:rPr>
        <w:t xml:space="preserve">) zeigt, dass die </w:t>
      </w:r>
      <w:r w:rsidRPr="0050276D">
        <w:rPr>
          <w:rFonts w:eastAsia="Times New Roman" w:cs="Times New Roman"/>
          <w:b/>
          <w:bCs/>
          <w:rtl/>
          <w:lang w:eastAsia="de-DE"/>
        </w:rPr>
        <w:t>מלואים</w:t>
      </w:r>
      <w:r w:rsidRPr="0050276D">
        <w:rPr>
          <w:rFonts w:eastAsia="Times New Roman" w:cs="Times New Roman"/>
          <w:lang w:eastAsia="de-DE"/>
        </w:rPr>
        <w:t xml:space="preserve">-Gaben zusätzlich zum </w:t>
      </w:r>
      <w:r w:rsidRPr="0050276D">
        <w:rPr>
          <w:rFonts w:eastAsia="Times New Roman" w:cs="Times New Roman"/>
          <w:b/>
          <w:bCs/>
          <w:rtl/>
          <w:lang w:eastAsia="de-DE"/>
        </w:rPr>
        <w:t>עלה</w:t>
      </w:r>
      <w:r w:rsidRPr="0050276D">
        <w:rPr>
          <w:rFonts w:eastAsia="Times New Roman" w:cs="Times New Roman"/>
          <w:lang w:eastAsia="de-DE"/>
        </w:rPr>
        <w:t>-Widder aus V. 18-21 verbrannt werden. Dies ist eine kumulative Verbrennung.</w:t>
      </w:r>
    </w:p>
    <w:p w14:paraId="0A0509C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lastRenderedPageBreak/>
        <w:t>מלואים הם לריח ניחח אשה הוא ליהוה</w:t>
      </w:r>
      <w:r w:rsidRPr="0050276D">
        <w:rPr>
          <w:rFonts w:eastAsia="Times New Roman" w:cs="Times New Roman"/>
          <w:rtl/>
          <w:lang w:eastAsia="de-DE"/>
        </w:rPr>
        <w:t xml:space="preserve"> </w:t>
      </w:r>
      <w:r w:rsidRPr="0050276D">
        <w:rPr>
          <w:rFonts w:eastAsia="Times New Roman" w:cs="Times New Roman"/>
          <w:lang w:eastAsia="de-DE"/>
        </w:rPr>
        <w:t xml:space="preserve">ist die klassifizierende Bewertungsformel. </w:t>
      </w:r>
      <w:r w:rsidRPr="0050276D">
        <w:rPr>
          <w:rFonts w:eastAsia="Times New Roman" w:cs="Times New Roman"/>
          <w:b/>
          <w:bCs/>
          <w:rtl/>
          <w:lang w:eastAsia="de-DE"/>
        </w:rPr>
        <w:t>מלואים הם</w:t>
      </w:r>
      <w:r w:rsidRPr="0050276D">
        <w:rPr>
          <w:rFonts w:eastAsia="Times New Roman" w:cs="Times New Roman"/>
          <w:rtl/>
          <w:lang w:eastAsia="de-DE"/>
        </w:rPr>
        <w:t xml:space="preserve"> </w:t>
      </w:r>
      <w:r w:rsidRPr="0050276D">
        <w:rPr>
          <w:rFonts w:eastAsia="Times New Roman" w:cs="Times New Roman"/>
          <w:lang w:eastAsia="de-DE"/>
        </w:rPr>
        <w:t xml:space="preserve">(Einweihungsopfer sind sie) mit emphatischem </w:t>
      </w:r>
      <w:r w:rsidRPr="0050276D">
        <w:rPr>
          <w:rFonts w:eastAsia="Times New Roman" w:cs="Times New Roman"/>
          <w:b/>
          <w:bCs/>
          <w:rtl/>
          <w:lang w:eastAsia="de-DE"/>
        </w:rPr>
        <w:t>הם</w:t>
      </w:r>
      <w:r w:rsidRPr="0050276D">
        <w:rPr>
          <w:rFonts w:eastAsia="Times New Roman" w:cs="Times New Roman"/>
          <w:rtl/>
          <w:lang w:eastAsia="de-DE"/>
        </w:rPr>
        <w:t xml:space="preserve"> </w:t>
      </w:r>
      <w:r w:rsidRPr="0050276D">
        <w:rPr>
          <w:rFonts w:eastAsia="Times New Roman" w:cs="Times New Roman"/>
          <w:lang w:eastAsia="de-DE"/>
        </w:rPr>
        <w:t xml:space="preserve">klassifiziert die Opfergaben. </w:t>
      </w:r>
      <w:r w:rsidRPr="0050276D">
        <w:rPr>
          <w:rFonts w:eastAsia="Times New Roman" w:cs="Times New Roman"/>
          <w:b/>
          <w:bCs/>
          <w:rtl/>
          <w:lang w:eastAsia="de-DE"/>
        </w:rPr>
        <w:t>לריח ניחח</w:t>
      </w:r>
      <w:r w:rsidRPr="0050276D">
        <w:rPr>
          <w:rFonts w:eastAsia="Times New Roman" w:cs="Times New Roman"/>
          <w:rtl/>
          <w:lang w:eastAsia="de-DE"/>
        </w:rPr>
        <w:t xml:space="preserve"> </w:t>
      </w:r>
      <w:r w:rsidRPr="0050276D">
        <w:rPr>
          <w:rFonts w:eastAsia="Times New Roman" w:cs="Times New Roman"/>
          <w:lang w:eastAsia="de-DE"/>
        </w:rPr>
        <w:t xml:space="preserve">(zum lieblichen Geruch) entspricht der </w:t>
      </w:r>
      <w:r w:rsidRPr="0050276D">
        <w:rPr>
          <w:rFonts w:eastAsia="Times New Roman" w:cs="Times New Roman"/>
          <w:b/>
          <w:bCs/>
          <w:rtl/>
          <w:lang w:eastAsia="de-DE"/>
        </w:rPr>
        <w:t>עלה</w:t>
      </w:r>
      <w:r w:rsidRPr="0050276D">
        <w:rPr>
          <w:rFonts w:eastAsia="Times New Roman" w:cs="Times New Roman"/>
          <w:lang w:eastAsia="de-DE"/>
        </w:rPr>
        <w:t xml:space="preserve">-Formel. </w:t>
      </w:r>
      <w:r w:rsidRPr="0050276D">
        <w:rPr>
          <w:rFonts w:eastAsia="Times New Roman" w:cs="Times New Roman"/>
          <w:b/>
          <w:bCs/>
          <w:rtl/>
          <w:lang w:eastAsia="de-DE"/>
        </w:rPr>
        <w:t>אשה הוא ליהוה</w:t>
      </w:r>
      <w:r w:rsidRPr="0050276D">
        <w:rPr>
          <w:rFonts w:eastAsia="Times New Roman" w:cs="Times New Roman"/>
          <w:rtl/>
          <w:lang w:eastAsia="de-DE"/>
        </w:rPr>
        <w:t xml:space="preserve"> </w:t>
      </w:r>
      <w:r w:rsidRPr="0050276D">
        <w:rPr>
          <w:rFonts w:eastAsia="Times New Roman" w:cs="Times New Roman"/>
          <w:lang w:eastAsia="de-DE"/>
        </w:rPr>
        <w:t xml:space="preserve">(Feueropfer ist es für JHWH) mit emphatischem </w:t>
      </w:r>
      <w:r w:rsidRPr="0050276D">
        <w:rPr>
          <w:rFonts w:eastAsia="Times New Roman" w:cs="Times New Roman"/>
          <w:b/>
          <w:bCs/>
          <w:rtl/>
          <w:lang w:eastAsia="de-DE"/>
        </w:rPr>
        <w:t>הוא</w:t>
      </w:r>
      <w:r w:rsidRPr="0050276D">
        <w:rPr>
          <w:rFonts w:eastAsia="Times New Roman" w:cs="Times New Roman"/>
          <w:rtl/>
          <w:lang w:eastAsia="de-DE"/>
        </w:rPr>
        <w:t xml:space="preserve"> </w:t>
      </w:r>
      <w:r w:rsidRPr="0050276D">
        <w:rPr>
          <w:rFonts w:eastAsia="Times New Roman" w:cs="Times New Roman"/>
          <w:lang w:eastAsia="de-DE"/>
        </w:rPr>
        <w:t>zeigt die göttliche Akzeptanz.</w:t>
      </w:r>
    </w:p>
    <w:p w14:paraId="7E53FD76"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 Verbrennung </w:t>
      </w:r>
      <w:r w:rsidRPr="0050276D">
        <w:rPr>
          <w:rFonts w:eastAsia="Times New Roman" w:cs="Times New Roman"/>
          <w:b/>
          <w:bCs/>
          <w:rtl/>
          <w:lang w:eastAsia="de-DE"/>
        </w:rPr>
        <w:t>על־העלה</w:t>
      </w:r>
      <w:r w:rsidRPr="0050276D">
        <w:rPr>
          <w:rFonts w:eastAsia="Times New Roman" w:cs="Times New Roman"/>
          <w:rtl/>
          <w:lang w:eastAsia="de-DE"/>
        </w:rPr>
        <w:t xml:space="preserve"> </w:t>
      </w:r>
      <w:r w:rsidRPr="0050276D">
        <w:rPr>
          <w:rFonts w:eastAsia="Times New Roman" w:cs="Times New Roman"/>
          <w:lang w:eastAsia="de-DE"/>
        </w:rPr>
        <w:t xml:space="preserve">zeigt, dass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als Zusatz zum </w:t>
      </w:r>
      <w:r w:rsidRPr="0050276D">
        <w:rPr>
          <w:rFonts w:eastAsia="Times New Roman" w:cs="Times New Roman"/>
          <w:b/>
          <w:bCs/>
          <w:rtl/>
          <w:lang w:eastAsia="de-DE"/>
        </w:rPr>
        <w:t>עלה</w:t>
      </w:r>
      <w:r w:rsidRPr="0050276D">
        <w:rPr>
          <w:rFonts w:eastAsia="Times New Roman" w:cs="Times New Roman"/>
          <w:rtl/>
          <w:lang w:eastAsia="de-DE"/>
        </w:rPr>
        <w:t xml:space="preserve"> </w:t>
      </w:r>
      <w:r w:rsidRPr="0050276D">
        <w:rPr>
          <w:rFonts w:eastAsia="Times New Roman" w:cs="Times New Roman"/>
          <w:lang w:eastAsia="de-DE"/>
        </w:rPr>
        <w:t xml:space="preserve">funktioniert, nicht als eigenständiges Opfer. </w:t>
      </w:r>
      <w:r w:rsidRPr="0050276D">
        <w:rPr>
          <w:rFonts w:eastAsia="Times New Roman" w:cs="Times New Roman"/>
          <w:b/>
          <w:bCs/>
          <w:rtl/>
          <w:lang w:eastAsia="de-DE"/>
        </w:rPr>
        <w:t>ריח ניחח</w:t>
      </w:r>
      <w:r w:rsidRPr="0050276D">
        <w:rPr>
          <w:rFonts w:eastAsia="Times New Roman" w:cs="Times New Roman"/>
          <w:rtl/>
          <w:lang w:eastAsia="de-DE"/>
        </w:rPr>
        <w:t xml:space="preserve"> </w:t>
      </w:r>
      <w:r w:rsidRPr="0050276D">
        <w:rPr>
          <w:rFonts w:eastAsia="Times New Roman" w:cs="Times New Roman"/>
          <w:lang w:eastAsia="de-DE"/>
        </w:rPr>
        <w:t xml:space="preserve">und </w:t>
      </w:r>
      <w:r w:rsidRPr="0050276D">
        <w:rPr>
          <w:rFonts w:eastAsia="Times New Roman" w:cs="Times New Roman"/>
          <w:b/>
          <w:bCs/>
          <w:rtl/>
          <w:lang w:eastAsia="de-DE"/>
        </w:rPr>
        <w:t>אשה</w:t>
      </w:r>
      <w:r w:rsidRPr="0050276D">
        <w:rPr>
          <w:rFonts w:eastAsia="Times New Roman" w:cs="Times New Roman"/>
          <w:rtl/>
          <w:lang w:eastAsia="de-DE"/>
        </w:rPr>
        <w:t xml:space="preserve"> </w:t>
      </w:r>
      <w:r w:rsidRPr="0050276D">
        <w:rPr>
          <w:rFonts w:eastAsia="Times New Roman" w:cs="Times New Roman"/>
          <w:lang w:eastAsia="de-DE"/>
        </w:rPr>
        <w:t>zeigen die positive göttliche Annahme entsprechend anderen akzeptierten Opfern.</w:t>
      </w:r>
    </w:p>
    <w:p w14:paraId="772F9B9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als Plural zeigt, dass die gesamte Opferzusammenstellung (Fleisch + Brot) als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klassifiziert wird. Die Formel entspricht strukturell der </w:t>
      </w:r>
      <w:r w:rsidRPr="0050276D">
        <w:rPr>
          <w:rFonts w:eastAsia="Times New Roman" w:cs="Times New Roman"/>
          <w:b/>
          <w:bCs/>
          <w:rtl/>
          <w:lang w:eastAsia="de-DE"/>
        </w:rPr>
        <w:t>עלה</w:t>
      </w:r>
      <w:r w:rsidRPr="0050276D">
        <w:rPr>
          <w:rFonts w:eastAsia="Times New Roman" w:cs="Times New Roman"/>
          <w:lang w:eastAsia="de-DE"/>
        </w:rPr>
        <w:t>-Bewertung aus V. 21.</w:t>
      </w:r>
    </w:p>
    <w:p w14:paraId="7870D64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ויקח</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ἔλ</w:t>
      </w:r>
      <w:proofErr w:type="spellEnd"/>
      <w:r w:rsidRPr="0050276D">
        <w:rPr>
          <w:rFonts w:eastAsia="Times New Roman" w:cs="Times New Roman"/>
          <w:lang w:eastAsia="de-DE"/>
        </w:rPr>
        <w:t xml:space="preserve">αβεν (er nahm), </w:t>
      </w:r>
      <w:r w:rsidRPr="0050276D">
        <w:rPr>
          <w:rFonts w:eastAsia="Times New Roman" w:cs="Times New Roman"/>
          <w:b/>
          <w:bCs/>
          <w:rtl/>
          <w:lang w:eastAsia="de-DE"/>
        </w:rPr>
        <w:t>מעל כפיהם</w:t>
      </w:r>
      <w:r w:rsidRPr="0050276D">
        <w:rPr>
          <w:rFonts w:eastAsia="Times New Roman" w:cs="Times New Roman"/>
          <w:rtl/>
          <w:lang w:eastAsia="de-DE"/>
        </w:rPr>
        <w:t xml:space="preserve"> </w:t>
      </w:r>
      <w:r w:rsidRPr="0050276D">
        <w:rPr>
          <w:rFonts w:eastAsia="Times New Roman" w:cs="Times New Roman"/>
          <w:lang w:eastAsia="de-DE"/>
        </w:rPr>
        <w:t xml:space="preserve">mit ἀπὸ </w:t>
      </w:r>
      <w:proofErr w:type="spellStart"/>
      <w:r w:rsidRPr="0050276D">
        <w:rPr>
          <w:rFonts w:eastAsia="Times New Roman" w:cs="Times New Roman"/>
          <w:lang w:eastAsia="de-DE"/>
        </w:rPr>
        <w:t>χειρῶν</w:t>
      </w:r>
      <w:proofErr w:type="spellEnd"/>
      <w:r w:rsidRPr="0050276D">
        <w:rPr>
          <w:rFonts w:eastAsia="Times New Roman" w:cs="Times New Roman"/>
          <w:lang w:eastAsia="de-DE"/>
        </w:rPr>
        <w:t xml:space="preserve"> α</w:t>
      </w:r>
      <w:proofErr w:type="spellStart"/>
      <w:r w:rsidRPr="0050276D">
        <w:rPr>
          <w:rFonts w:eastAsia="Times New Roman" w:cs="Times New Roman"/>
          <w:lang w:eastAsia="de-DE"/>
        </w:rPr>
        <w:t>ὐτῶν</w:t>
      </w:r>
      <w:proofErr w:type="spellEnd"/>
      <w:r w:rsidRPr="0050276D">
        <w:rPr>
          <w:rFonts w:eastAsia="Times New Roman" w:cs="Times New Roman"/>
          <w:lang w:eastAsia="de-DE"/>
        </w:rPr>
        <w:t xml:space="preserve"> (von ihren Händen), </w:t>
      </w:r>
      <w:r w:rsidRPr="0050276D">
        <w:rPr>
          <w:rFonts w:eastAsia="Times New Roman" w:cs="Times New Roman"/>
          <w:b/>
          <w:bCs/>
          <w:rtl/>
          <w:lang w:eastAsia="de-DE"/>
        </w:rPr>
        <w:t>מלואים</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τελείωσίς</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ἐστιν</w:t>
      </w:r>
      <w:proofErr w:type="spellEnd"/>
      <w:r w:rsidRPr="0050276D">
        <w:rPr>
          <w:rFonts w:eastAsia="Times New Roman" w:cs="Times New Roman"/>
          <w:lang w:eastAsia="de-DE"/>
        </w:rPr>
        <w:t xml:space="preserve"> (Vollendung ist es) und </w:t>
      </w:r>
      <w:r w:rsidRPr="0050276D">
        <w:rPr>
          <w:rFonts w:eastAsia="Times New Roman" w:cs="Times New Roman"/>
          <w:b/>
          <w:bCs/>
          <w:rtl/>
          <w:lang w:eastAsia="de-DE"/>
        </w:rPr>
        <w:t>ריח ניחח</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ὀσμὴ</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εὐωδί</w:t>
      </w:r>
      <w:proofErr w:type="spellEnd"/>
      <w:r w:rsidRPr="0050276D">
        <w:rPr>
          <w:rFonts w:eastAsia="Times New Roman" w:cs="Times New Roman"/>
          <w:lang w:eastAsia="de-DE"/>
        </w:rPr>
        <w:t>ας (Wohlgeruch).</w:t>
      </w:r>
    </w:p>
    <w:p w14:paraId="1BD96DB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drei koordinierte Elemente: 1) Hauptsatz: Entnahme + Verbrennung mit Ortsangabe; 2) dreifache klassifizierende Bewertung mit emphatischen Pronomen. Die Struktur komplettiert die </w:t>
      </w:r>
      <w:r w:rsidRPr="0050276D">
        <w:rPr>
          <w:rFonts w:eastAsia="Times New Roman" w:cs="Times New Roman"/>
          <w:b/>
          <w:bCs/>
          <w:rtl/>
          <w:lang w:eastAsia="de-DE"/>
        </w:rPr>
        <w:t>מלואים</w:t>
      </w:r>
      <w:r w:rsidRPr="0050276D">
        <w:rPr>
          <w:rFonts w:eastAsia="Times New Roman" w:cs="Times New Roman"/>
          <w:lang w:eastAsia="de-DE"/>
        </w:rPr>
        <w:t>-Darbringung mit theologischer Bewertung.</w:t>
      </w:r>
    </w:p>
    <w:p w14:paraId="7F51B135"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komplettiert die </w:t>
      </w:r>
      <w:r w:rsidRPr="0050276D">
        <w:rPr>
          <w:rFonts w:eastAsia="Times New Roman" w:cs="Times New Roman"/>
          <w:b/>
          <w:bCs/>
          <w:rtl/>
          <w:lang w:eastAsia="de-DE"/>
        </w:rPr>
        <w:t>מלואים</w:t>
      </w:r>
      <w:r w:rsidRPr="0050276D">
        <w:rPr>
          <w:rFonts w:eastAsia="Times New Roman" w:cs="Times New Roman"/>
          <w:lang w:eastAsia="de-DE"/>
        </w:rPr>
        <w:t>-Zeremonie mit der Verbrennung der geschwungenen Opfergaben und ihrer theologischen Klassifikation als wohlgefälliges Einweihungsopfer.</w:t>
      </w:r>
    </w:p>
    <w:p w14:paraId="7C0827E6"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8,29</w:t>
      </w:r>
    </w:p>
    <w:p w14:paraId="5FEFA74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וַיִּקַּ֤ח מֹשֶׁה֙ אֶת־הֶ֣חָזֶ֔ה וַיְנִיפֵ֥הוּ תְנוּפָ֖ה לִפְנֵ֣י יְהוָ֑ה מֵאֵ֣יל הַמִּלֻּאִ֗ים לְמֹשֶׁ֤ה הָיָה֙ לְמָנָ֔ה כַּאֲשֶׁ֛ר צִוָּ֥ה יְהוָ֖ה אֶת־מֹשֶֽׁה׃</w:t>
      </w:r>
    </w:p>
    <w:p w14:paraId="07F0367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Mosche nahm die Brust und schwenkte sie als Schwingopfer vor dem Ewigen; von dem Widder der Einsetzung wurde sie dem Mosche zuteil, so wie der Ewige dem Mosche geboten hatte.</w:t>
      </w:r>
    </w:p>
    <w:p w14:paraId="25664282"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21ACE8EB">
          <v:rect id="_x0000_i1225" style="width:0;height:1.5pt" o:hralign="center" o:hrstd="t" o:hr="t" fillcolor="#a0a0a0" stroked="f"/>
        </w:pict>
      </w:r>
    </w:p>
    <w:p w14:paraId="5F122F7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ויקח משה את־החזה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את־החזה</w:t>
      </w:r>
      <w:r w:rsidRPr="0050276D">
        <w:rPr>
          <w:rFonts w:eastAsia="Times New Roman" w:cs="Times New Roman"/>
          <w:rtl/>
          <w:lang w:eastAsia="de-DE"/>
        </w:rPr>
        <w:t xml:space="preserve"> </w:t>
      </w:r>
      <w:r w:rsidRPr="0050276D">
        <w:rPr>
          <w:rFonts w:eastAsia="Times New Roman" w:cs="Times New Roman"/>
          <w:lang w:eastAsia="de-DE"/>
        </w:rPr>
        <w:t xml:space="preserve">(die Brust) ist der Teil des </w:t>
      </w:r>
      <w:r w:rsidRPr="0050276D">
        <w:rPr>
          <w:rFonts w:eastAsia="Times New Roman" w:cs="Times New Roman"/>
          <w:b/>
          <w:bCs/>
          <w:rtl/>
          <w:lang w:eastAsia="de-DE"/>
        </w:rPr>
        <w:t>מלואים</w:t>
      </w:r>
      <w:r w:rsidRPr="0050276D">
        <w:rPr>
          <w:rFonts w:eastAsia="Times New Roman" w:cs="Times New Roman"/>
          <w:lang w:eastAsia="de-DE"/>
        </w:rPr>
        <w:t xml:space="preserve">-Widders, der nicht in V. 25 aufgelistet wurde. </w:t>
      </w:r>
      <w:r w:rsidRPr="0050276D">
        <w:rPr>
          <w:rFonts w:eastAsia="Times New Roman" w:cs="Times New Roman"/>
          <w:b/>
          <w:bCs/>
          <w:rtl/>
          <w:lang w:eastAsia="de-DE"/>
        </w:rPr>
        <w:t>חזה</w:t>
      </w:r>
      <w:r w:rsidRPr="0050276D">
        <w:rPr>
          <w:rFonts w:eastAsia="Times New Roman" w:cs="Times New Roman"/>
          <w:rtl/>
          <w:lang w:eastAsia="de-DE"/>
        </w:rPr>
        <w:t xml:space="preserve"> </w:t>
      </w:r>
      <w:r w:rsidRPr="0050276D">
        <w:rPr>
          <w:rFonts w:eastAsia="Times New Roman" w:cs="Times New Roman"/>
          <w:lang w:eastAsia="de-DE"/>
        </w:rPr>
        <w:t xml:space="preserve">(Brust) ist traditionell der </w:t>
      </w:r>
      <w:r w:rsidRPr="0050276D">
        <w:rPr>
          <w:rFonts w:eastAsia="Times New Roman" w:cs="Times New Roman"/>
          <w:b/>
          <w:bCs/>
          <w:rtl/>
          <w:lang w:eastAsia="de-DE"/>
        </w:rPr>
        <w:t>תנופה</w:t>
      </w:r>
      <w:r w:rsidRPr="0050276D">
        <w:rPr>
          <w:rFonts w:eastAsia="Times New Roman" w:cs="Times New Roman"/>
          <w:lang w:eastAsia="de-DE"/>
        </w:rPr>
        <w:t xml:space="preserve">-Anteil bei </w:t>
      </w:r>
      <w:r w:rsidRPr="0050276D">
        <w:rPr>
          <w:rFonts w:eastAsia="Times New Roman" w:cs="Times New Roman"/>
          <w:b/>
          <w:bCs/>
          <w:rtl/>
          <w:lang w:eastAsia="de-DE"/>
        </w:rPr>
        <w:t>שלמים</w:t>
      </w:r>
      <w:r w:rsidRPr="0050276D">
        <w:rPr>
          <w:rFonts w:eastAsia="Times New Roman" w:cs="Times New Roman"/>
          <w:rtl/>
          <w:lang w:eastAsia="de-DE"/>
        </w:rPr>
        <w:t xml:space="preserve"> </w:t>
      </w:r>
      <w:r w:rsidRPr="0050276D">
        <w:rPr>
          <w:rFonts w:eastAsia="Times New Roman" w:cs="Times New Roman"/>
          <w:lang w:eastAsia="de-DE"/>
        </w:rPr>
        <w:t>(7,30-31).</w:t>
      </w:r>
    </w:p>
    <w:p w14:paraId="57B3076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ויניפהו תנופה לפני יהוה</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נוף</w:t>
      </w:r>
      <w:r w:rsidRPr="0050276D">
        <w:rPr>
          <w:rFonts w:eastAsia="Times New Roman" w:cs="Times New Roman"/>
          <w:rtl/>
          <w:lang w:eastAsia="de-DE"/>
        </w:rPr>
        <w:t xml:space="preserve"> </w:t>
      </w:r>
      <w:r w:rsidRPr="0050276D">
        <w:rPr>
          <w:rFonts w:eastAsia="Times New Roman" w:cs="Times New Roman"/>
          <w:lang w:eastAsia="de-DE"/>
        </w:rPr>
        <w:t xml:space="preserve">(schwingen) im Hifil-Imperfekt mit Waw-Konsekutiv. </w:t>
      </w:r>
      <w:r w:rsidRPr="0050276D">
        <w:rPr>
          <w:rFonts w:eastAsia="Times New Roman" w:cs="Times New Roman"/>
          <w:b/>
          <w:bCs/>
          <w:rtl/>
          <w:lang w:eastAsia="de-DE"/>
        </w:rPr>
        <w:t>ויניפהו</w:t>
      </w:r>
      <w:r w:rsidRPr="0050276D">
        <w:rPr>
          <w:rFonts w:eastAsia="Times New Roman" w:cs="Times New Roman"/>
          <w:rtl/>
          <w:lang w:eastAsia="de-DE"/>
        </w:rPr>
        <w:t xml:space="preserve"> </w:t>
      </w:r>
      <w:r w:rsidRPr="0050276D">
        <w:rPr>
          <w:rFonts w:eastAsia="Times New Roman" w:cs="Times New Roman"/>
          <w:lang w:eastAsia="de-DE"/>
        </w:rPr>
        <w:t xml:space="preserve">(und er schwenkte es) mit Objektsuffix 3. Person maskulin Singular referenziert </w:t>
      </w:r>
      <w:r w:rsidRPr="0050276D">
        <w:rPr>
          <w:rFonts w:eastAsia="Times New Roman" w:cs="Times New Roman"/>
          <w:b/>
          <w:bCs/>
          <w:rtl/>
          <w:lang w:eastAsia="de-DE"/>
        </w:rPr>
        <w:t>החזה</w:t>
      </w:r>
      <w:r w:rsidRPr="0050276D">
        <w:rPr>
          <w:rFonts w:eastAsia="Times New Roman" w:cs="Times New Roman"/>
          <w:lang w:eastAsia="de-DE"/>
        </w:rPr>
        <w:t xml:space="preserve">.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 xml:space="preserve">als cognate accusative verstärkt die Schwingbewegung. </w:t>
      </w:r>
      <w:r w:rsidRPr="0050276D">
        <w:rPr>
          <w:rFonts w:eastAsia="Times New Roman" w:cs="Times New Roman"/>
          <w:b/>
          <w:bCs/>
          <w:rtl/>
          <w:lang w:eastAsia="de-DE"/>
        </w:rPr>
        <w:t>לפני יהוה</w:t>
      </w:r>
      <w:r w:rsidRPr="0050276D">
        <w:rPr>
          <w:rFonts w:eastAsia="Times New Roman" w:cs="Times New Roman"/>
          <w:rtl/>
          <w:lang w:eastAsia="de-DE"/>
        </w:rPr>
        <w:t xml:space="preserve"> </w:t>
      </w:r>
      <w:r w:rsidRPr="0050276D">
        <w:rPr>
          <w:rFonts w:eastAsia="Times New Roman" w:cs="Times New Roman"/>
          <w:lang w:eastAsia="de-DE"/>
        </w:rPr>
        <w:t>(vor JHWH) entspricht V. 27.</w:t>
      </w:r>
    </w:p>
    <w:p w14:paraId="0A30A05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מאיל המלואים למשה היה למנה</w:t>
      </w:r>
      <w:r w:rsidRPr="0050276D">
        <w:rPr>
          <w:rFonts w:eastAsia="Times New Roman" w:cs="Times New Roman"/>
          <w:rtl/>
          <w:lang w:eastAsia="de-DE"/>
        </w:rPr>
        <w:t xml:space="preserve"> </w:t>
      </w:r>
      <w:r w:rsidRPr="0050276D">
        <w:rPr>
          <w:rFonts w:eastAsia="Times New Roman" w:cs="Times New Roman"/>
          <w:lang w:eastAsia="de-DE"/>
        </w:rPr>
        <w:t xml:space="preserve">erklärt die Zuteilung. </w:t>
      </w:r>
      <w:r w:rsidRPr="0050276D">
        <w:rPr>
          <w:rFonts w:eastAsia="Times New Roman" w:cs="Times New Roman"/>
          <w:b/>
          <w:bCs/>
          <w:rtl/>
          <w:lang w:eastAsia="de-DE"/>
        </w:rPr>
        <w:t>מאיל המלואים</w:t>
      </w:r>
      <w:r w:rsidRPr="0050276D">
        <w:rPr>
          <w:rFonts w:eastAsia="Times New Roman" w:cs="Times New Roman"/>
          <w:rtl/>
          <w:lang w:eastAsia="de-DE"/>
        </w:rPr>
        <w:t xml:space="preserve"> </w:t>
      </w:r>
      <w:r w:rsidRPr="0050276D">
        <w:rPr>
          <w:rFonts w:eastAsia="Times New Roman" w:cs="Times New Roman"/>
          <w:lang w:eastAsia="de-DE"/>
        </w:rPr>
        <w:t xml:space="preserve">(von dem Widder der Einweihungen) zeigt die Quelle. </w:t>
      </w:r>
      <w:r w:rsidRPr="0050276D">
        <w:rPr>
          <w:rFonts w:eastAsia="Times New Roman" w:cs="Times New Roman"/>
          <w:b/>
          <w:bCs/>
          <w:rtl/>
          <w:lang w:eastAsia="de-DE"/>
        </w:rPr>
        <w:t>למשה היה למנה</w:t>
      </w:r>
      <w:r w:rsidRPr="0050276D">
        <w:rPr>
          <w:rFonts w:eastAsia="Times New Roman" w:cs="Times New Roman"/>
          <w:rtl/>
          <w:lang w:eastAsia="de-DE"/>
        </w:rPr>
        <w:t xml:space="preserve"> </w:t>
      </w:r>
      <w:r w:rsidRPr="0050276D">
        <w:rPr>
          <w:rFonts w:eastAsia="Times New Roman" w:cs="Times New Roman"/>
          <w:lang w:eastAsia="de-DE"/>
        </w:rPr>
        <w:t xml:space="preserve">(dem Mosche war es zum Anteil) - </w:t>
      </w:r>
      <w:r w:rsidRPr="0050276D">
        <w:rPr>
          <w:rFonts w:eastAsia="Times New Roman" w:cs="Times New Roman"/>
          <w:b/>
          <w:bCs/>
          <w:rtl/>
          <w:lang w:eastAsia="de-DE"/>
        </w:rPr>
        <w:t>היה</w:t>
      </w:r>
      <w:r w:rsidRPr="0050276D">
        <w:rPr>
          <w:rFonts w:eastAsia="Times New Roman" w:cs="Times New Roman"/>
          <w:rtl/>
          <w:lang w:eastAsia="de-DE"/>
        </w:rPr>
        <w:t xml:space="preserve"> </w:t>
      </w:r>
      <w:r w:rsidRPr="0050276D">
        <w:rPr>
          <w:rFonts w:eastAsia="Times New Roman" w:cs="Times New Roman"/>
          <w:lang w:eastAsia="de-DE"/>
        </w:rPr>
        <w:t xml:space="preserve">im Qal-Perfekt 3. Person maskulin Singular mit </w:t>
      </w:r>
      <w:r w:rsidRPr="0050276D">
        <w:rPr>
          <w:rFonts w:eastAsia="Times New Roman" w:cs="Times New Roman"/>
          <w:b/>
          <w:bCs/>
          <w:rtl/>
          <w:lang w:eastAsia="de-DE"/>
        </w:rPr>
        <w:t>למשה</w:t>
      </w:r>
      <w:r w:rsidRPr="0050276D">
        <w:rPr>
          <w:rFonts w:eastAsia="Times New Roman" w:cs="Times New Roman"/>
          <w:rtl/>
          <w:lang w:eastAsia="de-DE"/>
        </w:rPr>
        <w:t xml:space="preserve"> </w:t>
      </w:r>
      <w:r w:rsidRPr="0050276D">
        <w:rPr>
          <w:rFonts w:eastAsia="Times New Roman" w:cs="Times New Roman"/>
          <w:lang w:eastAsia="de-DE"/>
        </w:rPr>
        <w:t xml:space="preserve">als Dativ und </w:t>
      </w:r>
      <w:r w:rsidRPr="0050276D">
        <w:rPr>
          <w:rFonts w:eastAsia="Times New Roman" w:cs="Times New Roman"/>
          <w:b/>
          <w:bCs/>
          <w:rtl/>
          <w:lang w:eastAsia="de-DE"/>
        </w:rPr>
        <w:t>למנה</w:t>
      </w:r>
      <w:r w:rsidRPr="0050276D">
        <w:rPr>
          <w:rFonts w:eastAsia="Times New Roman" w:cs="Times New Roman"/>
          <w:rtl/>
          <w:lang w:eastAsia="de-DE"/>
        </w:rPr>
        <w:t xml:space="preserve"> </w:t>
      </w:r>
      <w:r w:rsidRPr="0050276D">
        <w:rPr>
          <w:rFonts w:eastAsia="Times New Roman" w:cs="Times New Roman"/>
          <w:lang w:eastAsia="de-DE"/>
        </w:rPr>
        <w:t xml:space="preserve">(zum Anteil) als Prädikatsnomen. </w:t>
      </w:r>
      <w:r w:rsidRPr="0050276D">
        <w:rPr>
          <w:rFonts w:eastAsia="Times New Roman" w:cs="Times New Roman"/>
          <w:b/>
          <w:bCs/>
          <w:rtl/>
          <w:lang w:eastAsia="de-DE"/>
        </w:rPr>
        <w:t>מנה</w:t>
      </w:r>
      <w:r w:rsidRPr="0050276D">
        <w:rPr>
          <w:rFonts w:eastAsia="Times New Roman" w:cs="Times New Roman"/>
          <w:rtl/>
          <w:lang w:eastAsia="de-DE"/>
        </w:rPr>
        <w:t xml:space="preserve"> </w:t>
      </w:r>
      <w:r w:rsidRPr="0050276D">
        <w:rPr>
          <w:rFonts w:eastAsia="Times New Roman" w:cs="Times New Roman"/>
          <w:lang w:eastAsia="de-DE"/>
        </w:rPr>
        <w:t xml:space="preserve">(Anteil/Portion) von </w:t>
      </w:r>
      <w:r w:rsidRPr="0050276D">
        <w:rPr>
          <w:rFonts w:eastAsia="Times New Roman" w:cs="Times New Roman"/>
          <w:b/>
          <w:bCs/>
          <w:rtl/>
          <w:lang w:eastAsia="de-DE"/>
        </w:rPr>
        <w:t>מנה</w:t>
      </w:r>
      <w:r w:rsidRPr="0050276D">
        <w:rPr>
          <w:rFonts w:eastAsia="Times New Roman" w:cs="Times New Roman"/>
          <w:rtl/>
          <w:lang w:eastAsia="de-DE"/>
        </w:rPr>
        <w:t xml:space="preserve"> </w:t>
      </w:r>
      <w:r w:rsidRPr="0050276D">
        <w:rPr>
          <w:rFonts w:eastAsia="Times New Roman" w:cs="Times New Roman"/>
          <w:lang w:eastAsia="de-DE"/>
        </w:rPr>
        <w:t>(zuteilen).</w:t>
      </w:r>
    </w:p>
    <w:p w14:paraId="0684D95E"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lastRenderedPageBreak/>
        <w:t>כאשר צוה יהוה את־משה</w:t>
      </w:r>
      <w:r w:rsidRPr="0050276D">
        <w:rPr>
          <w:rFonts w:eastAsia="Times New Roman" w:cs="Times New Roman"/>
          <w:rtl/>
          <w:lang w:eastAsia="de-DE"/>
        </w:rPr>
        <w:t xml:space="preserve"> </w:t>
      </w:r>
      <w:r w:rsidRPr="0050276D">
        <w:rPr>
          <w:rFonts w:eastAsia="Times New Roman" w:cs="Times New Roman"/>
          <w:lang w:eastAsia="de-DE"/>
        </w:rPr>
        <w:t xml:space="preserve">ist die Bestätigungsformel, die auf ursprüngliche göttliche Anweisungen verweist. </w:t>
      </w:r>
      <w:r w:rsidRPr="0050276D">
        <w:rPr>
          <w:rFonts w:eastAsia="Times New Roman" w:cs="Times New Roman"/>
          <w:b/>
          <w:bCs/>
          <w:rtl/>
          <w:lang w:eastAsia="de-DE"/>
        </w:rPr>
        <w:t>צוה</w:t>
      </w:r>
      <w:r w:rsidRPr="0050276D">
        <w:rPr>
          <w:rFonts w:eastAsia="Times New Roman" w:cs="Times New Roman"/>
          <w:rtl/>
          <w:lang w:eastAsia="de-DE"/>
        </w:rPr>
        <w:t xml:space="preserve"> </w:t>
      </w:r>
      <w:r w:rsidRPr="0050276D">
        <w:rPr>
          <w:rFonts w:eastAsia="Times New Roman" w:cs="Times New Roman"/>
          <w:lang w:eastAsia="de-DE"/>
        </w:rPr>
        <w:t>im Piel-Perfekt bekräftigt die ordnungsgemäße Ausführung.</w:t>
      </w:r>
    </w:p>
    <w:p w14:paraId="3193ACDD"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Der Unterschied zu V. 27-28: dort wurden die Opfergaben nach der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 xml:space="preserve">verbrannt, hier erhält Mosche die </w:t>
      </w:r>
      <w:r w:rsidRPr="0050276D">
        <w:rPr>
          <w:rFonts w:eastAsia="Times New Roman" w:cs="Times New Roman"/>
          <w:b/>
          <w:bCs/>
          <w:rtl/>
          <w:lang w:eastAsia="de-DE"/>
        </w:rPr>
        <w:t>חזה</w:t>
      </w:r>
      <w:r w:rsidRPr="0050276D">
        <w:rPr>
          <w:rFonts w:eastAsia="Times New Roman" w:cs="Times New Roman"/>
          <w:rtl/>
          <w:lang w:eastAsia="de-DE"/>
        </w:rPr>
        <w:t xml:space="preserve"> </w:t>
      </w:r>
      <w:r w:rsidRPr="0050276D">
        <w:rPr>
          <w:rFonts w:eastAsia="Times New Roman" w:cs="Times New Roman"/>
          <w:lang w:eastAsia="de-DE"/>
        </w:rPr>
        <w:t xml:space="preserve">als persönlichen Anteil. Dies entspricht der normalen </w:t>
      </w:r>
      <w:r w:rsidRPr="0050276D">
        <w:rPr>
          <w:rFonts w:eastAsia="Times New Roman" w:cs="Times New Roman"/>
          <w:b/>
          <w:bCs/>
          <w:rtl/>
          <w:lang w:eastAsia="de-DE"/>
        </w:rPr>
        <w:t>שלמים</w:t>
      </w:r>
      <w:r w:rsidRPr="0050276D">
        <w:rPr>
          <w:rFonts w:eastAsia="Times New Roman" w:cs="Times New Roman"/>
          <w:lang w:eastAsia="de-DE"/>
        </w:rPr>
        <w:t xml:space="preserve">-Praxis, wo die </w:t>
      </w:r>
      <w:r w:rsidRPr="0050276D">
        <w:rPr>
          <w:rFonts w:eastAsia="Times New Roman" w:cs="Times New Roman"/>
          <w:b/>
          <w:bCs/>
          <w:rtl/>
          <w:lang w:eastAsia="de-DE"/>
        </w:rPr>
        <w:t>חזה</w:t>
      </w:r>
      <w:r w:rsidRPr="0050276D">
        <w:rPr>
          <w:rFonts w:eastAsia="Times New Roman" w:cs="Times New Roman"/>
          <w:rtl/>
          <w:lang w:eastAsia="de-DE"/>
        </w:rPr>
        <w:t xml:space="preserve"> </w:t>
      </w:r>
      <w:r w:rsidRPr="0050276D">
        <w:rPr>
          <w:rFonts w:eastAsia="Times New Roman" w:cs="Times New Roman"/>
          <w:lang w:eastAsia="de-DE"/>
        </w:rPr>
        <w:t xml:space="preserve">nach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den Priestern zufällt.</w:t>
      </w:r>
    </w:p>
    <w:p w14:paraId="095B593B"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למשה היה למנה</w:t>
      </w:r>
      <w:r w:rsidRPr="0050276D">
        <w:rPr>
          <w:rFonts w:eastAsia="Times New Roman" w:cs="Times New Roman"/>
          <w:rtl/>
          <w:lang w:eastAsia="de-DE"/>
        </w:rPr>
        <w:t xml:space="preserve"> </w:t>
      </w:r>
      <w:r w:rsidRPr="0050276D">
        <w:rPr>
          <w:rFonts w:eastAsia="Times New Roman" w:cs="Times New Roman"/>
          <w:lang w:eastAsia="de-DE"/>
        </w:rPr>
        <w:t xml:space="preserve">zeigt, dass Mosche bei dieser Zeremonie die priesterliche Rolle ausübt und daher den priesterlichen </w:t>
      </w:r>
      <w:r w:rsidRPr="0050276D">
        <w:rPr>
          <w:rFonts w:eastAsia="Times New Roman" w:cs="Times New Roman"/>
          <w:b/>
          <w:bCs/>
          <w:rtl/>
          <w:lang w:eastAsia="de-DE"/>
        </w:rPr>
        <w:t>תנופה</w:t>
      </w:r>
      <w:r w:rsidRPr="0050276D">
        <w:rPr>
          <w:rFonts w:eastAsia="Times New Roman" w:cs="Times New Roman"/>
          <w:lang w:eastAsia="de-DE"/>
        </w:rPr>
        <w:t>-Anteil erhält.</w:t>
      </w:r>
    </w:p>
    <w:p w14:paraId="107ACFB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החזה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στηθύνιον</w:t>
      </w:r>
      <w:proofErr w:type="spellEnd"/>
      <w:r w:rsidRPr="0050276D">
        <w:rPr>
          <w:rFonts w:eastAsia="Times New Roman" w:cs="Times New Roman"/>
          <w:lang w:eastAsia="de-DE"/>
        </w:rPr>
        <w:t xml:space="preserve"> (Brust), </w:t>
      </w:r>
      <w:r w:rsidRPr="0050276D">
        <w:rPr>
          <w:rFonts w:eastAsia="Times New Roman" w:cs="Times New Roman"/>
          <w:b/>
          <w:bCs/>
          <w:rtl/>
          <w:lang w:eastAsia="de-DE"/>
        </w:rPr>
        <w:t>ויניפהו</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ἀφεῖλεν</w:t>
      </w:r>
      <w:proofErr w:type="spellEnd"/>
      <w:r w:rsidRPr="0050276D">
        <w:rPr>
          <w:rFonts w:eastAsia="Times New Roman" w:cs="Times New Roman"/>
          <w:lang w:eastAsia="de-DE"/>
        </w:rPr>
        <w:t xml:space="preserve"> α</w:t>
      </w:r>
      <w:proofErr w:type="spellStart"/>
      <w:r w:rsidRPr="0050276D">
        <w:rPr>
          <w:rFonts w:eastAsia="Times New Roman" w:cs="Times New Roman"/>
          <w:lang w:eastAsia="de-DE"/>
        </w:rPr>
        <w:t>ὐτὸ</w:t>
      </w:r>
      <w:proofErr w:type="spellEnd"/>
      <w:r w:rsidRPr="0050276D">
        <w:rPr>
          <w:rFonts w:eastAsia="Times New Roman" w:cs="Times New Roman"/>
          <w:lang w:eastAsia="de-DE"/>
        </w:rPr>
        <w:t xml:space="preserve"> (er nahm es weg), </w:t>
      </w:r>
      <w:r w:rsidRPr="0050276D">
        <w:rPr>
          <w:rFonts w:eastAsia="Times New Roman" w:cs="Times New Roman"/>
          <w:b/>
          <w:bCs/>
          <w:rtl/>
          <w:lang w:eastAsia="de-DE"/>
        </w:rPr>
        <w:t>תנופה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ἀφ</w:t>
      </w:r>
      <w:proofErr w:type="spellEnd"/>
      <w:r w:rsidRPr="0050276D">
        <w:rPr>
          <w:rFonts w:eastAsia="Times New Roman" w:cs="Times New Roman"/>
          <w:lang w:eastAsia="de-DE"/>
        </w:rPr>
        <w:t xml:space="preserve">αίρεμα (Wegnahme) und </w:t>
      </w:r>
      <w:r w:rsidRPr="0050276D">
        <w:rPr>
          <w:rFonts w:eastAsia="Times New Roman" w:cs="Times New Roman"/>
          <w:b/>
          <w:bCs/>
          <w:rtl/>
          <w:lang w:eastAsia="de-DE"/>
        </w:rPr>
        <w:t>למנה</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μερίδ</w:t>
      </w:r>
      <w:proofErr w:type="spellEnd"/>
      <w:r w:rsidRPr="0050276D">
        <w:rPr>
          <w:rFonts w:eastAsia="Times New Roman" w:cs="Times New Roman"/>
          <w:lang w:eastAsia="de-DE"/>
        </w:rPr>
        <w:t>α (Anteil).</w:t>
      </w:r>
    </w:p>
    <w:p w14:paraId="527FDB4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drei koordinierte Elemente: 1) Brustnahme + </w:t>
      </w:r>
      <w:r w:rsidRPr="0050276D">
        <w:rPr>
          <w:rFonts w:eastAsia="Times New Roman" w:cs="Times New Roman"/>
          <w:b/>
          <w:bCs/>
          <w:rtl/>
          <w:lang w:eastAsia="de-DE"/>
        </w:rPr>
        <w:t>תנופה</w:t>
      </w:r>
      <w:r w:rsidRPr="0050276D">
        <w:rPr>
          <w:rFonts w:eastAsia="Times New Roman" w:cs="Times New Roman"/>
          <w:lang w:eastAsia="de-DE"/>
        </w:rPr>
        <w:t>-Zeremonie; 2) Erklärung der Zuteilung mit Quelle und Empfänger; 3) Bestätigungsformel. Die Struktur zeigt Moses besonderen Status als ausführender Priester.</w:t>
      </w:r>
    </w:p>
    <w:p w14:paraId="0E0B076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 xml:space="preserve">Dieser Vers zeigt Moses Erhalt der </w:t>
      </w:r>
      <w:r w:rsidRPr="0050276D">
        <w:rPr>
          <w:rFonts w:eastAsia="Times New Roman" w:cs="Times New Roman"/>
          <w:b/>
          <w:bCs/>
          <w:rtl/>
          <w:lang w:eastAsia="de-DE"/>
        </w:rPr>
        <w:t>חזה</w:t>
      </w:r>
      <w:r w:rsidRPr="0050276D">
        <w:rPr>
          <w:rFonts w:eastAsia="Times New Roman" w:cs="Times New Roman"/>
          <w:rtl/>
          <w:lang w:eastAsia="de-DE"/>
        </w:rPr>
        <w:t xml:space="preserve"> </w:t>
      </w:r>
      <w:r w:rsidRPr="0050276D">
        <w:rPr>
          <w:rFonts w:eastAsia="Times New Roman" w:cs="Times New Roman"/>
          <w:lang w:eastAsia="de-DE"/>
        </w:rPr>
        <w:t xml:space="preserve">als </w:t>
      </w:r>
      <w:r w:rsidRPr="0050276D">
        <w:rPr>
          <w:rFonts w:eastAsia="Times New Roman" w:cs="Times New Roman"/>
          <w:b/>
          <w:bCs/>
          <w:rtl/>
          <w:lang w:eastAsia="de-DE"/>
        </w:rPr>
        <w:t>תנופה</w:t>
      </w:r>
      <w:r w:rsidRPr="0050276D">
        <w:rPr>
          <w:rFonts w:eastAsia="Times New Roman" w:cs="Times New Roman"/>
          <w:lang w:eastAsia="de-DE"/>
        </w:rPr>
        <w:t xml:space="preserve">-Anteil von </w:t>
      </w:r>
      <w:r w:rsidRPr="0050276D">
        <w:rPr>
          <w:rFonts w:eastAsia="Times New Roman" w:cs="Times New Roman"/>
          <w:b/>
          <w:bCs/>
          <w:rtl/>
          <w:lang w:eastAsia="de-DE"/>
        </w:rPr>
        <w:t>מלואים</w:t>
      </w:r>
      <w:r w:rsidRPr="0050276D">
        <w:rPr>
          <w:rFonts w:eastAsia="Times New Roman" w:cs="Times New Roman"/>
          <w:lang w:eastAsia="de-DE"/>
        </w:rPr>
        <w:t>, entsprechend seiner Funktion als ausführender Priester bei der Weihezeremonie.</w:t>
      </w:r>
    </w:p>
    <w:p w14:paraId="5828F75A" w14:textId="77777777" w:rsidR="0050276D" w:rsidRPr="0050276D" w:rsidRDefault="0050276D" w:rsidP="0050276D">
      <w:pPr>
        <w:spacing w:before="100" w:beforeAutospacing="1" w:after="100" w:afterAutospacing="1" w:line="240" w:lineRule="auto"/>
        <w:outlineLvl w:val="1"/>
        <w:rPr>
          <w:rFonts w:eastAsia="Times New Roman" w:cs="Times New Roman"/>
          <w:b/>
          <w:bCs/>
          <w:sz w:val="36"/>
          <w:szCs w:val="36"/>
          <w:lang w:eastAsia="de-DE"/>
        </w:rPr>
      </w:pPr>
      <w:r w:rsidRPr="0050276D">
        <w:rPr>
          <w:rFonts w:eastAsia="Times New Roman" w:cs="Times New Roman"/>
          <w:b/>
          <w:bCs/>
          <w:sz w:val="36"/>
          <w:szCs w:val="36"/>
          <w:lang w:eastAsia="de-DE"/>
        </w:rPr>
        <w:t>Leviticus 8,30</w:t>
      </w:r>
    </w:p>
    <w:p w14:paraId="36A62338"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Hebräisch:</w:t>
      </w:r>
      <w:r w:rsidRPr="0050276D">
        <w:rPr>
          <w:rFonts w:eastAsia="Times New Roman" w:cs="Times New Roman"/>
          <w:lang w:eastAsia="de-DE"/>
        </w:rPr>
        <w:t xml:space="preserve"> </w:t>
      </w:r>
      <w:r w:rsidRPr="0050276D">
        <w:rPr>
          <w:rFonts w:eastAsia="Times New Roman" w:cs="Times New Roman"/>
          <w:rtl/>
          <w:lang w:eastAsia="de-DE"/>
        </w:rPr>
        <w:t>וַיִּקַּ֨ח מֹשֶׁ֜ה מִשֶּׁ֣מֶן הַמִּשְׁחָ֗ה וּמִן־הַדָּם֮ אֲשֶׁ֣ר עַל־הַמִּזְבֵּחַ֒ וַיַּ֤ז עַֽל־אַהֲרֹן֙ עַל־בְּגָדָ֔יו וְעַל־בָּנָ֛יו וְעַל־בִּגְדֵ֥י בָנָ֖יו אִתּוֹ֑ וַיְקַדֵּ֤שׁ אֶֽת־אַהֲרֹן֙ אֶת־בְּגָדָ֔יו וְאֶת־בָּנָ֛יו וְאֶת־בִּגְדֵ֥י בָנָ֖יו אִתּוֹֽ׃</w:t>
      </w:r>
    </w:p>
    <w:p w14:paraId="1EA1E7E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Deutsch:</w:t>
      </w:r>
      <w:r w:rsidRPr="0050276D">
        <w:rPr>
          <w:rFonts w:eastAsia="Times New Roman" w:cs="Times New Roman"/>
          <w:lang w:eastAsia="de-DE"/>
        </w:rPr>
        <w:t xml:space="preserve"> Und Mosche nahm von dem Salböl und von dem Blut, das auf dem Altar war, und spritzte es auf Aaron, auf seine Kleider, und auf seine Söhne und auf die Kleider seiner Söhne mit ihm; und er heiligte Aaron, seine Kleider, und seine Söhne und die Kleider seiner Söhne mit ihm.</w:t>
      </w:r>
    </w:p>
    <w:p w14:paraId="444B14A3" w14:textId="77777777" w:rsidR="0050276D" w:rsidRPr="0050276D" w:rsidRDefault="00A57720" w:rsidP="0050276D">
      <w:pPr>
        <w:spacing w:after="0" w:line="240" w:lineRule="auto"/>
        <w:rPr>
          <w:rFonts w:eastAsia="Times New Roman" w:cs="Times New Roman"/>
          <w:lang w:eastAsia="de-DE"/>
        </w:rPr>
      </w:pPr>
      <w:r>
        <w:rPr>
          <w:rFonts w:eastAsia="Times New Roman" w:cs="Times New Roman"/>
          <w:noProof/>
          <w:lang w:eastAsia="de-DE"/>
        </w:rPr>
        <w:pict w14:anchorId="01704668">
          <v:rect id="_x0000_i1226" style="width:0;height:1.5pt" o:hralign="center" o:hrstd="t" o:hr="t" fillcolor="#a0a0a0" stroked="f"/>
        </w:pict>
      </w:r>
    </w:p>
    <w:p w14:paraId="0F638B22"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Kommentar:</w:t>
      </w:r>
      <w:r w:rsidRPr="0050276D">
        <w:rPr>
          <w:rFonts w:eastAsia="Times New Roman" w:cs="Times New Roman"/>
          <w:lang w:eastAsia="de-DE"/>
        </w:rPr>
        <w:t xml:space="preserve"> </w:t>
      </w:r>
      <w:r w:rsidRPr="0050276D">
        <w:rPr>
          <w:rFonts w:eastAsia="Times New Roman" w:cs="Times New Roman"/>
          <w:b/>
          <w:bCs/>
          <w:rtl/>
          <w:lang w:eastAsia="de-DE"/>
        </w:rPr>
        <w:t>ויקח משה משמן המשחה ומן־הדם אשר על־המזבח</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לקח</w:t>
      </w:r>
      <w:r w:rsidRPr="0050276D">
        <w:rPr>
          <w:rFonts w:eastAsia="Times New Roman" w:cs="Times New Roman"/>
          <w:rtl/>
          <w:lang w:eastAsia="de-DE"/>
        </w:rPr>
        <w:t xml:space="preserve"> </w:t>
      </w:r>
      <w:r w:rsidRPr="0050276D">
        <w:rPr>
          <w:rFonts w:eastAsia="Times New Roman" w:cs="Times New Roman"/>
          <w:lang w:eastAsia="de-DE"/>
        </w:rPr>
        <w:t xml:space="preserve">(nehmen) im Qal-Imperfekt mit Waw-Konsekutiv. </w:t>
      </w:r>
      <w:r w:rsidRPr="0050276D">
        <w:rPr>
          <w:rFonts w:eastAsia="Times New Roman" w:cs="Times New Roman"/>
          <w:b/>
          <w:bCs/>
          <w:rtl/>
          <w:lang w:eastAsia="de-DE"/>
        </w:rPr>
        <w:t>משמן המשחה</w:t>
      </w:r>
      <w:r w:rsidRPr="0050276D">
        <w:rPr>
          <w:rFonts w:eastAsia="Times New Roman" w:cs="Times New Roman"/>
          <w:rtl/>
          <w:lang w:eastAsia="de-DE"/>
        </w:rPr>
        <w:t xml:space="preserve"> </w:t>
      </w:r>
      <w:r w:rsidRPr="0050276D">
        <w:rPr>
          <w:rFonts w:eastAsia="Times New Roman" w:cs="Times New Roman"/>
          <w:lang w:eastAsia="de-DE"/>
        </w:rPr>
        <w:t xml:space="preserve">(von dem Salböl) mit partitiver Präposition </w:t>
      </w:r>
      <w:r w:rsidRPr="0050276D">
        <w:rPr>
          <w:rFonts w:eastAsia="Times New Roman" w:cs="Times New Roman"/>
          <w:b/>
          <w:bCs/>
          <w:rtl/>
          <w:lang w:eastAsia="de-DE"/>
        </w:rPr>
        <w:t>מן</w:t>
      </w:r>
      <w:r w:rsidRPr="0050276D">
        <w:rPr>
          <w:rFonts w:eastAsia="Times New Roman" w:cs="Times New Roman"/>
          <w:rtl/>
          <w:lang w:eastAsia="de-DE"/>
        </w:rPr>
        <w:t xml:space="preserve"> </w:t>
      </w:r>
      <w:r w:rsidRPr="0050276D">
        <w:rPr>
          <w:rFonts w:eastAsia="Times New Roman" w:cs="Times New Roman"/>
          <w:lang w:eastAsia="de-DE"/>
        </w:rPr>
        <w:t xml:space="preserve">referenziert das Öl aus V. 10-12. </w:t>
      </w:r>
      <w:r w:rsidRPr="0050276D">
        <w:rPr>
          <w:rFonts w:eastAsia="Times New Roman" w:cs="Times New Roman"/>
          <w:b/>
          <w:bCs/>
          <w:rtl/>
          <w:lang w:eastAsia="de-DE"/>
        </w:rPr>
        <w:t>ומן־הדם אשר על־המזבח</w:t>
      </w:r>
      <w:r w:rsidRPr="0050276D">
        <w:rPr>
          <w:rFonts w:eastAsia="Times New Roman" w:cs="Times New Roman"/>
          <w:rtl/>
          <w:lang w:eastAsia="de-DE"/>
        </w:rPr>
        <w:t xml:space="preserve"> </w:t>
      </w:r>
      <w:r w:rsidRPr="0050276D">
        <w:rPr>
          <w:rFonts w:eastAsia="Times New Roman" w:cs="Times New Roman"/>
          <w:lang w:eastAsia="de-DE"/>
        </w:rPr>
        <w:t>(und von dem Blut, das auf dem Altar war) mit Relativsatz zeigt das Opferblut von den vorherigen Opfern. Diese Mischung aus Salböl und Opferblut ist einzigartig.</w:t>
      </w:r>
    </w:p>
    <w:p w14:paraId="78DD49A0"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ויז על־אהרן על־בגדיו ועל־בניו ועל־בגדי בניו אתו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נזה</w:t>
      </w:r>
      <w:r w:rsidRPr="0050276D">
        <w:rPr>
          <w:rFonts w:eastAsia="Times New Roman" w:cs="Times New Roman"/>
          <w:rtl/>
          <w:lang w:eastAsia="de-DE"/>
        </w:rPr>
        <w:t xml:space="preserve"> </w:t>
      </w:r>
      <w:r w:rsidRPr="0050276D">
        <w:rPr>
          <w:rFonts w:eastAsia="Times New Roman" w:cs="Times New Roman"/>
          <w:lang w:eastAsia="de-DE"/>
        </w:rPr>
        <w:t xml:space="preserve">(spritzen) im Hifil-Imperfekt mit Waw-Konsekutiv. Vier koordinierte Spritzungsziele: </w:t>
      </w:r>
      <w:r w:rsidRPr="0050276D">
        <w:rPr>
          <w:rFonts w:eastAsia="Times New Roman" w:cs="Times New Roman"/>
          <w:b/>
          <w:bCs/>
          <w:rtl/>
          <w:lang w:eastAsia="de-DE"/>
        </w:rPr>
        <w:t>על־אהרן</w:t>
      </w:r>
      <w:r w:rsidRPr="0050276D">
        <w:rPr>
          <w:rFonts w:eastAsia="Times New Roman" w:cs="Times New Roman"/>
          <w:rtl/>
          <w:lang w:eastAsia="de-DE"/>
        </w:rPr>
        <w:t xml:space="preserve"> </w:t>
      </w:r>
      <w:r w:rsidRPr="0050276D">
        <w:rPr>
          <w:rFonts w:eastAsia="Times New Roman" w:cs="Times New Roman"/>
          <w:lang w:eastAsia="de-DE"/>
        </w:rPr>
        <w:t xml:space="preserve">(auf Aaron), </w:t>
      </w:r>
      <w:r w:rsidRPr="0050276D">
        <w:rPr>
          <w:rFonts w:eastAsia="Times New Roman" w:cs="Times New Roman"/>
          <w:b/>
          <w:bCs/>
          <w:rtl/>
          <w:lang w:eastAsia="de-DE"/>
        </w:rPr>
        <w:t>על־בגדיו</w:t>
      </w:r>
      <w:r w:rsidRPr="0050276D">
        <w:rPr>
          <w:rFonts w:eastAsia="Times New Roman" w:cs="Times New Roman"/>
          <w:rtl/>
          <w:lang w:eastAsia="de-DE"/>
        </w:rPr>
        <w:t xml:space="preserve"> </w:t>
      </w:r>
      <w:r w:rsidRPr="0050276D">
        <w:rPr>
          <w:rFonts w:eastAsia="Times New Roman" w:cs="Times New Roman"/>
          <w:lang w:eastAsia="de-DE"/>
        </w:rPr>
        <w:t xml:space="preserve">(auf seine Kleider), </w:t>
      </w:r>
      <w:r w:rsidRPr="0050276D">
        <w:rPr>
          <w:rFonts w:eastAsia="Times New Roman" w:cs="Times New Roman"/>
          <w:b/>
          <w:bCs/>
          <w:rtl/>
          <w:lang w:eastAsia="de-DE"/>
        </w:rPr>
        <w:t>על־בניו</w:t>
      </w:r>
      <w:r w:rsidRPr="0050276D">
        <w:rPr>
          <w:rFonts w:eastAsia="Times New Roman" w:cs="Times New Roman"/>
          <w:rtl/>
          <w:lang w:eastAsia="de-DE"/>
        </w:rPr>
        <w:t xml:space="preserve"> </w:t>
      </w:r>
      <w:r w:rsidRPr="0050276D">
        <w:rPr>
          <w:rFonts w:eastAsia="Times New Roman" w:cs="Times New Roman"/>
          <w:lang w:eastAsia="de-DE"/>
        </w:rPr>
        <w:t xml:space="preserve">(auf seine Söhne), </w:t>
      </w:r>
      <w:r w:rsidRPr="0050276D">
        <w:rPr>
          <w:rFonts w:eastAsia="Times New Roman" w:cs="Times New Roman"/>
          <w:b/>
          <w:bCs/>
          <w:rtl/>
          <w:lang w:eastAsia="de-DE"/>
        </w:rPr>
        <w:t>על־בגדי בניו</w:t>
      </w:r>
      <w:r w:rsidRPr="0050276D">
        <w:rPr>
          <w:rFonts w:eastAsia="Times New Roman" w:cs="Times New Roman"/>
          <w:rtl/>
          <w:lang w:eastAsia="de-DE"/>
        </w:rPr>
        <w:t xml:space="preserve"> </w:t>
      </w:r>
      <w:r w:rsidRPr="0050276D">
        <w:rPr>
          <w:rFonts w:eastAsia="Times New Roman" w:cs="Times New Roman"/>
          <w:lang w:eastAsia="de-DE"/>
        </w:rPr>
        <w:t xml:space="preserve">(auf die Kleider seiner Söhne). </w:t>
      </w:r>
      <w:r w:rsidRPr="0050276D">
        <w:rPr>
          <w:rFonts w:eastAsia="Times New Roman" w:cs="Times New Roman"/>
          <w:b/>
          <w:bCs/>
          <w:rtl/>
          <w:lang w:eastAsia="de-DE"/>
        </w:rPr>
        <w:t>אתו</w:t>
      </w:r>
      <w:r w:rsidRPr="0050276D">
        <w:rPr>
          <w:rFonts w:eastAsia="Times New Roman" w:cs="Times New Roman"/>
          <w:rtl/>
          <w:lang w:eastAsia="de-DE"/>
        </w:rPr>
        <w:t xml:space="preserve"> </w:t>
      </w:r>
      <w:r w:rsidRPr="0050276D">
        <w:rPr>
          <w:rFonts w:eastAsia="Times New Roman" w:cs="Times New Roman"/>
          <w:lang w:eastAsia="de-DE"/>
        </w:rPr>
        <w:t>(mit ihm) betont die gemeinsame Behandlung.</w:t>
      </w:r>
    </w:p>
    <w:p w14:paraId="5C5E7AC1"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ויקדש את־אהרן את־בגדיו ואת־בניו ואת־בגדי בניו אתו</w:t>
      </w:r>
      <w:r w:rsidRPr="0050276D">
        <w:rPr>
          <w:rFonts w:eastAsia="Times New Roman" w:cs="Times New Roman"/>
          <w:rtl/>
          <w:lang w:eastAsia="de-DE"/>
        </w:rPr>
        <w:t xml:space="preserve"> </w:t>
      </w:r>
      <w:r w:rsidRPr="0050276D">
        <w:rPr>
          <w:rFonts w:eastAsia="Times New Roman" w:cs="Times New Roman"/>
          <w:lang w:eastAsia="de-DE"/>
        </w:rPr>
        <w:t xml:space="preserve">zeigt </w:t>
      </w:r>
      <w:r w:rsidRPr="0050276D">
        <w:rPr>
          <w:rFonts w:eastAsia="Times New Roman" w:cs="Times New Roman"/>
          <w:b/>
          <w:bCs/>
          <w:rtl/>
          <w:lang w:eastAsia="de-DE"/>
        </w:rPr>
        <w:t>קדש</w:t>
      </w:r>
      <w:r w:rsidRPr="0050276D">
        <w:rPr>
          <w:rFonts w:eastAsia="Times New Roman" w:cs="Times New Roman"/>
          <w:rtl/>
          <w:lang w:eastAsia="de-DE"/>
        </w:rPr>
        <w:t xml:space="preserve"> </w:t>
      </w:r>
      <w:r w:rsidRPr="0050276D">
        <w:rPr>
          <w:rFonts w:eastAsia="Times New Roman" w:cs="Times New Roman"/>
          <w:lang w:eastAsia="de-DE"/>
        </w:rPr>
        <w:t xml:space="preserve">(heiligen) im Piel-Imperfekt mit Waw-Konsekutiv. Das Piel drückt die kausative Bedeutung "heilig machen" aus. Vier koordinierte direkte Objekte entsprechen den vier Spritzungszielen. </w:t>
      </w:r>
      <w:r w:rsidRPr="0050276D">
        <w:rPr>
          <w:rFonts w:eastAsia="Times New Roman" w:cs="Times New Roman"/>
          <w:b/>
          <w:bCs/>
          <w:rtl/>
          <w:lang w:eastAsia="de-DE"/>
        </w:rPr>
        <w:t>אתו</w:t>
      </w:r>
      <w:r w:rsidRPr="0050276D">
        <w:rPr>
          <w:rFonts w:eastAsia="Times New Roman" w:cs="Times New Roman"/>
          <w:rtl/>
          <w:lang w:eastAsia="de-DE"/>
        </w:rPr>
        <w:t xml:space="preserve"> </w:t>
      </w:r>
      <w:r w:rsidRPr="0050276D">
        <w:rPr>
          <w:rFonts w:eastAsia="Times New Roman" w:cs="Times New Roman"/>
          <w:lang w:eastAsia="de-DE"/>
        </w:rPr>
        <w:t>wiederholt die Einheitsbetonung.</w:t>
      </w:r>
    </w:p>
    <w:p w14:paraId="2F98333A"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lastRenderedPageBreak/>
        <w:t xml:space="preserve">Die Kombination </w:t>
      </w:r>
      <w:r w:rsidRPr="0050276D">
        <w:rPr>
          <w:rFonts w:eastAsia="Times New Roman" w:cs="Times New Roman"/>
          <w:b/>
          <w:bCs/>
          <w:rtl/>
          <w:lang w:eastAsia="de-DE"/>
        </w:rPr>
        <w:t>שמן המשחה</w:t>
      </w:r>
      <w:r w:rsidRPr="0050276D">
        <w:rPr>
          <w:rFonts w:eastAsia="Times New Roman" w:cs="Times New Roman"/>
          <w:rtl/>
          <w:lang w:eastAsia="de-DE"/>
        </w:rPr>
        <w:t xml:space="preserve"> </w:t>
      </w:r>
      <w:r w:rsidRPr="0050276D">
        <w:rPr>
          <w:rFonts w:eastAsia="Times New Roman" w:cs="Times New Roman"/>
          <w:lang w:eastAsia="de-DE"/>
        </w:rPr>
        <w:t xml:space="preserve">+ </w:t>
      </w:r>
      <w:r w:rsidRPr="0050276D">
        <w:rPr>
          <w:rFonts w:eastAsia="Times New Roman" w:cs="Times New Roman"/>
          <w:b/>
          <w:bCs/>
          <w:rtl/>
          <w:lang w:eastAsia="de-DE"/>
        </w:rPr>
        <w:t>דם</w:t>
      </w:r>
      <w:r w:rsidRPr="0050276D">
        <w:rPr>
          <w:rFonts w:eastAsia="Times New Roman" w:cs="Times New Roman"/>
          <w:rtl/>
          <w:lang w:eastAsia="de-DE"/>
        </w:rPr>
        <w:t xml:space="preserve"> </w:t>
      </w:r>
      <w:r w:rsidRPr="0050276D">
        <w:rPr>
          <w:rFonts w:eastAsia="Times New Roman" w:cs="Times New Roman"/>
          <w:lang w:eastAsia="de-DE"/>
        </w:rPr>
        <w:t>symbolisiert die Vereinigung von Salbung (Amtseinsetzung) und Opfer (Sühne). Die Besprengung sowohl der Personen als auch ihrer Kleider zeigt die totale Heiligung für den priesterlichen Dienst.</w:t>
      </w:r>
    </w:p>
    <w:p w14:paraId="7CF20E3C"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rtl/>
          <w:lang w:eastAsia="de-DE"/>
        </w:rPr>
        <w:t>על־בגדיו...על־בגדי בניו</w:t>
      </w:r>
      <w:r w:rsidRPr="0050276D">
        <w:rPr>
          <w:rFonts w:eastAsia="Times New Roman" w:cs="Times New Roman"/>
          <w:rtl/>
          <w:lang w:eastAsia="de-DE"/>
        </w:rPr>
        <w:t xml:space="preserve"> </w:t>
      </w:r>
      <w:r w:rsidRPr="0050276D">
        <w:rPr>
          <w:rFonts w:eastAsia="Times New Roman" w:cs="Times New Roman"/>
          <w:lang w:eastAsia="de-DE"/>
        </w:rPr>
        <w:t xml:space="preserve">zeigt, dass nicht nur die Personen, sondern auch ihre Amtsgewänder geheiligt werden. </w:t>
      </w:r>
      <w:r w:rsidRPr="0050276D">
        <w:rPr>
          <w:rFonts w:eastAsia="Times New Roman" w:cs="Times New Roman"/>
          <w:b/>
          <w:bCs/>
          <w:rtl/>
          <w:lang w:eastAsia="de-DE"/>
        </w:rPr>
        <w:t>אתו</w:t>
      </w:r>
      <w:r w:rsidRPr="0050276D">
        <w:rPr>
          <w:rFonts w:eastAsia="Times New Roman" w:cs="Times New Roman"/>
          <w:rtl/>
          <w:lang w:eastAsia="de-DE"/>
        </w:rPr>
        <w:t xml:space="preserve"> </w:t>
      </w:r>
      <w:r w:rsidRPr="0050276D">
        <w:rPr>
          <w:rFonts w:eastAsia="Times New Roman" w:cs="Times New Roman"/>
          <w:lang w:eastAsia="de-DE"/>
        </w:rPr>
        <w:t>am Ende beider Sätze betont die Gemeinschaftlichkeit der Weihe.</w:t>
      </w:r>
    </w:p>
    <w:p w14:paraId="6D190FA7"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LXX</w:t>
      </w:r>
      <w:r w:rsidRPr="0050276D">
        <w:rPr>
          <w:rFonts w:eastAsia="Times New Roman" w:cs="Times New Roman"/>
          <w:lang w:eastAsia="de-DE"/>
        </w:rPr>
        <w:t xml:space="preserve"> übersetzt </w:t>
      </w:r>
      <w:r w:rsidRPr="0050276D">
        <w:rPr>
          <w:rFonts w:eastAsia="Times New Roman" w:cs="Times New Roman"/>
          <w:b/>
          <w:bCs/>
          <w:rtl/>
          <w:lang w:eastAsia="de-DE"/>
        </w:rPr>
        <w:t>משמן המשחה</w:t>
      </w:r>
      <w:r w:rsidRPr="0050276D">
        <w:rPr>
          <w:rFonts w:eastAsia="Times New Roman" w:cs="Times New Roman"/>
          <w:rtl/>
          <w:lang w:eastAsia="de-DE"/>
        </w:rPr>
        <w:t xml:space="preserve"> </w:t>
      </w:r>
      <w:r w:rsidRPr="0050276D">
        <w:rPr>
          <w:rFonts w:eastAsia="Times New Roman" w:cs="Times New Roman"/>
          <w:lang w:eastAsia="de-DE"/>
        </w:rPr>
        <w:t xml:space="preserve">mit ἀπὸ </w:t>
      </w:r>
      <w:proofErr w:type="spellStart"/>
      <w:r w:rsidRPr="0050276D">
        <w:rPr>
          <w:rFonts w:eastAsia="Times New Roman" w:cs="Times New Roman"/>
          <w:lang w:eastAsia="de-DE"/>
        </w:rPr>
        <w:t>τοῦ</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ἐλ</w:t>
      </w:r>
      <w:proofErr w:type="spellEnd"/>
      <w:r w:rsidRPr="0050276D">
        <w:rPr>
          <w:rFonts w:eastAsia="Times New Roman" w:cs="Times New Roman"/>
          <w:lang w:eastAsia="de-DE"/>
        </w:rPr>
        <w:t xml:space="preserve">αίου </w:t>
      </w:r>
      <w:proofErr w:type="spellStart"/>
      <w:r w:rsidRPr="0050276D">
        <w:rPr>
          <w:rFonts w:eastAsia="Times New Roman" w:cs="Times New Roman"/>
          <w:lang w:eastAsia="de-DE"/>
        </w:rPr>
        <w:t>τῆς</w:t>
      </w:r>
      <w:proofErr w:type="spellEnd"/>
      <w:r w:rsidRPr="0050276D">
        <w:rPr>
          <w:rFonts w:eastAsia="Times New Roman" w:cs="Times New Roman"/>
          <w:lang w:eastAsia="de-DE"/>
        </w:rPr>
        <w:t xml:space="preserve"> </w:t>
      </w:r>
      <w:proofErr w:type="spellStart"/>
      <w:r w:rsidRPr="0050276D">
        <w:rPr>
          <w:rFonts w:eastAsia="Times New Roman" w:cs="Times New Roman"/>
          <w:lang w:eastAsia="de-DE"/>
        </w:rPr>
        <w:t>χρίσεως</w:t>
      </w:r>
      <w:proofErr w:type="spellEnd"/>
      <w:r w:rsidRPr="0050276D">
        <w:rPr>
          <w:rFonts w:eastAsia="Times New Roman" w:cs="Times New Roman"/>
          <w:lang w:eastAsia="de-DE"/>
        </w:rPr>
        <w:t xml:space="preserve"> (von dem Öl der Salbung), </w:t>
      </w:r>
      <w:r w:rsidRPr="0050276D">
        <w:rPr>
          <w:rFonts w:eastAsia="Times New Roman" w:cs="Times New Roman"/>
          <w:b/>
          <w:bCs/>
          <w:rtl/>
          <w:lang w:eastAsia="de-DE"/>
        </w:rPr>
        <w:t>ויז</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ἔρρ</w:t>
      </w:r>
      <w:proofErr w:type="spellEnd"/>
      <w:r w:rsidRPr="0050276D">
        <w:rPr>
          <w:rFonts w:eastAsia="Times New Roman" w:cs="Times New Roman"/>
          <w:lang w:eastAsia="de-DE"/>
        </w:rPr>
        <w:t xml:space="preserve">ανεν (er spritzte) und </w:t>
      </w:r>
      <w:r w:rsidRPr="0050276D">
        <w:rPr>
          <w:rFonts w:eastAsia="Times New Roman" w:cs="Times New Roman"/>
          <w:b/>
          <w:bCs/>
          <w:rtl/>
          <w:lang w:eastAsia="de-DE"/>
        </w:rPr>
        <w:t>ויקדש</w:t>
      </w:r>
      <w:r w:rsidRPr="0050276D">
        <w:rPr>
          <w:rFonts w:eastAsia="Times New Roman" w:cs="Times New Roman"/>
          <w:rtl/>
          <w:lang w:eastAsia="de-DE"/>
        </w:rPr>
        <w:t xml:space="preserve"> </w:t>
      </w:r>
      <w:r w:rsidRPr="0050276D">
        <w:rPr>
          <w:rFonts w:eastAsia="Times New Roman" w:cs="Times New Roman"/>
          <w:lang w:eastAsia="de-DE"/>
        </w:rPr>
        <w:t xml:space="preserve">mit </w:t>
      </w:r>
      <w:proofErr w:type="spellStart"/>
      <w:r w:rsidRPr="0050276D">
        <w:rPr>
          <w:rFonts w:eastAsia="Times New Roman" w:cs="Times New Roman"/>
          <w:lang w:eastAsia="de-DE"/>
        </w:rPr>
        <w:t>ἡγί</w:t>
      </w:r>
      <w:proofErr w:type="spellEnd"/>
      <w:r w:rsidRPr="0050276D">
        <w:rPr>
          <w:rFonts w:eastAsia="Times New Roman" w:cs="Times New Roman"/>
          <w:lang w:eastAsia="de-DE"/>
        </w:rPr>
        <w:t>ασεν (er heiligte).</w:t>
      </w:r>
    </w:p>
    <w:p w14:paraId="757A5D3F"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b/>
          <w:bCs/>
          <w:lang w:eastAsia="de-DE"/>
        </w:rPr>
        <w:t>Die Satzstruktur:</w:t>
      </w:r>
      <w:r w:rsidRPr="0050276D">
        <w:rPr>
          <w:rFonts w:eastAsia="Times New Roman" w:cs="Times New Roman"/>
          <w:lang w:eastAsia="de-DE"/>
        </w:rPr>
        <w:t xml:space="preserve"> zeigt zwei Hauptsätze: 1) Materialnahme + vierfache Besprengung; 2) vierfache Heiligung mit entsprechenden Objekten. Die parallele Struktur betont die umfassende Heiligung von Personen und Gewändern.</w:t>
      </w:r>
    </w:p>
    <w:p w14:paraId="72582329" w14:textId="77777777" w:rsidR="0050276D" w:rsidRPr="0050276D" w:rsidRDefault="0050276D" w:rsidP="0050276D">
      <w:pPr>
        <w:spacing w:before="100" w:beforeAutospacing="1" w:after="100" w:afterAutospacing="1" w:line="240" w:lineRule="auto"/>
        <w:rPr>
          <w:rFonts w:eastAsia="Times New Roman" w:cs="Times New Roman"/>
          <w:lang w:eastAsia="de-DE"/>
        </w:rPr>
      </w:pPr>
      <w:r w:rsidRPr="0050276D">
        <w:rPr>
          <w:rFonts w:eastAsia="Times New Roman" w:cs="Times New Roman"/>
          <w:lang w:eastAsia="de-DE"/>
        </w:rPr>
        <w:t>Dieser Vers komplettiert die Priesterweihe mit der einzigartigen Besprengung durch Salböl-Blut-Mischung und der daraus resultierenden totalen Heiligung aller Priester und ihrer Gewänder.</w:t>
      </w:r>
    </w:p>
    <w:p w14:paraId="1B057912"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8,31</w:t>
      </w:r>
    </w:p>
    <w:p w14:paraId="3C02559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וַיֹּ֨אמֶר מֹשֶׁ֜ה אֶל־אַהֲרֹ֣ן וְאֶל־בָּנָ֗יו בַּשְּׁל֣וּ אֶת־הַבָּשָׂר֮ פֶּ֣תַח אֹ֣הֶל מוֹעֵד֒ וְשָׁם֙ תֹּאכְל֣וּ אֹתוֹ֔ וְאֶ֨ת־הַלֶּ֔חֶם אֲשֶׁ֖ר בְּסַ֣ל הַמִּלֻּאִ֑ים כַּאֲשֶׁ֤ר צִוֵּ֨יתִי֙ לֵאמֹ֔ר אַהֲרֹ֥ן וּבָנָ֖יו יֹאכְלֻֽהוּ׃</w:t>
      </w:r>
    </w:p>
    <w:p w14:paraId="409B837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Mosche sprach zu Aaron und zu seinen Söhnen: Kocht das Fleisch am Eingang des Zeltes der Begegnung, und dort esst es und das Brot, das im Korbe des Einweihungsopfers ist, so wie ich geboten habe, sagend: Aaron und seine Söhne sollen es essen.</w:t>
      </w:r>
    </w:p>
    <w:p w14:paraId="290E2EE3"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1DB29083">
          <v:rect id="_x0000_i1227" style="width:0;height:1.5pt" o:hralign="center" o:hrstd="t" o:hr="t" fillcolor="#a0a0a0" stroked="f"/>
        </w:pict>
      </w:r>
    </w:p>
    <w:p w14:paraId="20299415"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ויאמר משה אל־אהרן ואל־בניו</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אמר</w:t>
      </w:r>
      <w:r w:rsidRPr="00570BCE">
        <w:rPr>
          <w:rFonts w:eastAsia="Times New Roman" w:cs="Times New Roman"/>
          <w:rtl/>
          <w:lang w:eastAsia="de-DE"/>
        </w:rPr>
        <w:t xml:space="preserve"> </w:t>
      </w:r>
      <w:r w:rsidRPr="00570BCE">
        <w:rPr>
          <w:rFonts w:eastAsia="Times New Roman" w:cs="Times New Roman"/>
          <w:lang w:eastAsia="de-DE"/>
        </w:rPr>
        <w:t xml:space="preserve">(sprechen) im Qal-Imperfekt mit Waw-Konsekutiv. </w:t>
      </w:r>
      <w:r w:rsidRPr="00570BCE">
        <w:rPr>
          <w:rFonts w:eastAsia="Times New Roman" w:cs="Times New Roman"/>
          <w:b/>
          <w:bCs/>
          <w:rtl/>
          <w:lang w:eastAsia="de-DE"/>
        </w:rPr>
        <w:t>אל־אהרן ואל־בניו</w:t>
      </w:r>
      <w:r w:rsidRPr="00570BCE">
        <w:rPr>
          <w:rFonts w:eastAsia="Times New Roman" w:cs="Times New Roman"/>
          <w:rtl/>
          <w:lang w:eastAsia="de-DE"/>
        </w:rPr>
        <w:t xml:space="preserve"> </w:t>
      </w:r>
      <w:r w:rsidRPr="00570BCE">
        <w:rPr>
          <w:rFonts w:eastAsia="Times New Roman" w:cs="Times New Roman"/>
          <w:lang w:eastAsia="de-DE"/>
        </w:rPr>
        <w:t xml:space="preserve">mit doppelter Präposition </w:t>
      </w:r>
      <w:r w:rsidRPr="00570BCE">
        <w:rPr>
          <w:rFonts w:eastAsia="Times New Roman" w:cs="Times New Roman"/>
          <w:b/>
          <w:bCs/>
          <w:rtl/>
          <w:lang w:eastAsia="de-DE"/>
        </w:rPr>
        <w:t>אל</w:t>
      </w:r>
      <w:r w:rsidRPr="00570BCE">
        <w:rPr>
          <w:rFonts w:eastAsia="Times New Roman" w:cs="Times New Roman"/>
          <w:rtl/>
          <w:lang w:eastAsia="de-DE"/>
        </w:rPr>
        <w:t xml:space="preserve"> </w:t>
      </w:r>
      <w:r w:rsidRPr="00570BCE">
        <w:rPr>
          <w:rFonts w:eastAsia="Times New Roman" w:cs="Times New Roman"/>
          <w:lang w:eastAsia="de-DE"/>
        </w:rPr>
        <w:t xml:space="preserve">zeigt die Adressierung beider priesterlicher Generationen. </w:t>
      </w:r>
      <w:r w:rsidRPr="00570BCE">
        <w:rPr>
          <w:rFonts w:eastAsia="Times New Roman" w:cs="Times New Roman"/>
          <w:b/>
          <w:bCs/>
          <w:rtl/>
          <w:lang w:eastAsia="de-DE"/>
        </w:rPr>
        <w:t>בשלו את־הבשר פתח אהל מועד</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בשל</w:t>
      </w:r>
      <w:r w:rsidRPr="00570BCE">
        <w:rPr>
          <w:rFonts w:eastAsia="Times New Roman" w:cs="Times New Roman"/>
          <w:rtl/>
          <w:lang w:eastAsia="de-DE"/>
        </w:rPr>
        <w:t xml:space="preserve"> </w:t>
      </w:r>
      <w:r w:rsidRPr="00570BCE">
        <w:rPr>
          <w:rFonts w:eastAsia="Times New Roman" w:cs="Times New Roman"/>
          <w:lang w:eastAsia="de-DE"/>
        </w:rPr>
        <w:t xml:space="preserve">(kochen) im Piel-Imperativ maskulin Plural. Das Piel betont die intensive Kochhandlung. </w:t>
      </w:r>
      <w:r w:rsidRPr="00570BCE">
        <w:rPr>
          <w:rFonts w:eastAsia="Times New Roman" w:cs="Times New Roman"/>
          <w:b/>
          <w:bCs/>
          <w:rtl/>
          <w:lang w:eastAsia="de-DE"/>
        </w:rPr>
        <w:t>את־הבשר</w:t>
      </w:r>
      <w:r w:rsidRPr="00570BCE">
        <w:rPr>
          <w:rFonts w:eastAsia="Times New Roman" w:cs="Times New Roman"/>
          <w:rtl/>
          <w:lang w:eastAsia="de-DE"/>
        </w:rPr>
        <w:t xml:space="preserve"> </w:t>
      </w:r>
      <w:r w:rsidRPr="00570BCE">
        <w:rPr>
          <w:rFonts w:eastAsia="Times New Roman" w:cs="Times New Roman"/>
          <w:lang w:eastAsia="de-DE"/>
        </w:rPr>
        <w:t xml:space="preserve">(das Fleisch) referenziert das </w:t>
      </w:r>
      <w:r w:rsidRPr="00570BCE">
        <w:rPr>
          <w:rFonts w:eastAsia="Times New Roman" w:cs="Times New Roman"/>
          <w:b/>
          <w:bCs/>
          <w:rtl/>
          <w:lang w:eastAsia="de-DE"/>
        </w:rPr>
        <w:t>מלואים</w:t>
      </w:r>
      <w:r w:rsidRPr="00570BCE">
        <w:rPr>
          <w:rFonts w:eastAsia="Times New Roman" w:cs="Times New Roman"/>
          <w:lang w:eastAsia="de-DE"/>
        </w:rPr>
        <w:t xml:space="preserve">-Fleisch, das nicht verbrannt wurde. </w:t>
      </w:r>
      <w:r w:rsidRPr="00570BCE">
        <w:rPr>
          <w:rFonts w:eastAsia="Times New Roman" w:cs="Times New Roman"/>
          <w:b/>
          <w:bCs/>
          <w:rtl/>
          <w:lang w:eastAsia="de-DE"/>
        </w:rPr>
        <w:t>פתח אהל מועד</w:t>
      </w:r>
      <w:r w:rsidRPr="00570BCE">
        <w:rPr>
          <w:rFonts w:eastAsia="Times New Roman" w:cs="Times New Roman"/>
          <w:rtl/>
          <w:lang w:eastAsia="de-DE"/>
        </w:rPr>
        <w:t xml:space="preserve"> </w:t>
      </w:r>
      <w:r w:rsidRPr="00570BCE">
        <w:rPr>
          <w:rFonts w:eastAsia="Times New Roman" w:cs="Times New Roman"/>
          <w:lang w:eastAsia="de-DE"/>
        </w:rPr>
        <w:t xml:space="preserve">(am Eingang des Zeltes der Begegnung) gibt den </w:t>
      </w:r>
      <w:proofErr w:type="spellStart"/>
      <w:r w:rsidRPr="00570BCE">
        <w:rPr>
          <w:rFonts w:eastAsia="Times New Roman" w:cs="Times New Roman"/>
          <w:lang w:eastAsia="de-DE"/>
        </w:rPr>
        <w:t>Kochort</w:t>
      </w:r>
      <w:proofErr w:type="spellEnd"/>
      <w:r w:rsidRPr="00570BCE">
        <w:rPr>
          <w:rFonts w:eastAsia="Times New Roman" w:cs="Times New Roman"/>
          <w:lang w:eastAsia="de-DE"/>
        </w:rPr>
        <w:t xml:space="preserve"> an.</w:t>
      </w:r>
    </w:p>
    <w:p w14:paraId="7622A665"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ושם תאכלו אתו ואת־הלחם אשר בסל המלואים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אכל</w:t>
      </w:r>
      <w:r w:rsidRPr="00570BCE">
        <w:rPr>
          <w:rFonts w:eastAsia="Times New Roman" w:cs="Times New Roman"/>
          <w:rtl/>
          <w:lang w:eastAsia="de-DE"/>
        </w:rPr>
        <w:t xml:space="preserve"> </w:t>
      </w:r>
      <w:r w:rsidRPr="00570BCE">
        <w:rPr>
          <w:rFonts w:eastAsia="Times New Roman" w:cs="Times New Roman"/>
          <w:lang w:eastAsia="de-DE"/>
        </w:rPr>
        <w:t xml:space="preserve">(essen) im Qal-Imperfekt 2. Person maskulin Plural. </w:t>
      </w:r>
      <w:r w:rsidRPr="00570BCE">
        <w:rPr>
          <w:rFonts w:eastAsia="Times New Roman" w:cs="Times New Roman"/>
          <w:b/>
          <w:bCs/>
          <w:rtl/>
          <w:lang w:eastAsia="de-DE"/>
        </w:rPr>
        <w:t>שם</w:t>
      </w:r>
      <w:r w:rsidRPr="00570BCE">
        <w:rPr>
          <w:rFonts w:eastAsia="Times New Roman" w:cs="Times New Roman"/>
          <w:rtl/>
          <w:lang w:eastAsia="de-DE"/>
        </w:rPr>
        <w:t xml:space="preserve"> </w:t>
      </w:r>
      <w:r w:rsidRPr="00570BCE">
        <w:rPr>
          <w:rFonts w:eastAsia="Times New Roman" w:cs="Times New Roman"/>
          <w:lang w:eastAsia="de-DE"/>
        </w:rPr>
        <w:t xml:space="preserve">(dort) referenziert </w:t>
      </w:r>
      <w:r w:rsidRPr="00570BCE">
        <w:rPr>
          <w:rFonts w:eastAsia="Times New Roman" w:cs="Times New Roman"/>
          <w:b/>
          <w:bCs/>
          <w:rtl/>
          <w:lang w:eastAsia="de-DE"/>
        </w:rPr>
        <w:t>פתח אהל מועד</w:t>
      </w:r>
      <w:r w:rsidRPr="00570BCE">
        <w:rPr>
          <w:rFonts w:eastAsia="Times New Roman" w:cs="Times New Roman"/>
          <w:lang w:eastAsia="de-DE"/>
        </w:rPr>
        <w:t xml:space="preserve">. </w:t>
      </w:r>
      <w:r w:rsidRPr="00570BCE">
        <w:rPr>
          <w:rFonts w:eastAsia="Times New Roman" w:cs="Times New Roman"/>
          <w:b/>
          <w:bCs/>
          <w:rtl/>
          <w:lang w:eastAsia="de-DE"/>
        </w:rPr>
        <w:t>אתו</w:t>
      </w:r>
      <w:r w:rsidRPr="00570BCE">
        <w:rPr>
          <w:rFonts w:eastAsia="Times New Roman" w:cs="Times New Roman"/>
          <w:rtl/>
          <w:lang w:eastAsia="de-DE"/>
        </w:rPr>
        <w:t xml:space="preserve"> </w:t>
      </w:r>
      <w:r w:rsidRPr="00570BCE">
        <w:rPr>
          <w:rFonts w:eastAsia="Times New Roman" w:cs="Times New Roman"/>
          <w:lang w:eastAsia="de-DE"/>
        </w:rPr>
        <w:t xml:space="preserve">(es) referenziert </w:t>
      </w:r>
      <w:r w:rsidRPr="00570BCE">
        <w:rPr>
          <w:rFonts w:eastAsia="Times New Roman" w:cs="Times New Roman"/>
          <w:b/>
          <w:bCs/>
          <w:rtl/>
          <w:lang w:eastAsia="de-DE"/>
        </w:rPr>
        <w:t>הבשר</w:t>
      </w:r>
      <w:r w:rsidRPr="00570BCE">
        <w:rPr>
          <w:rFonts w:eastAsia="Times New Roman" w:cs="Times New Roman"/>
          <w:lang w:eastAsia="de-DE"/>
        </w:rPr>
        <w:t xml:space="preserve">. </w:t>
      </w:r>
      <w:r w:rsidRPr="00570BCE">
        <w:rPr>
          <w:rFonts w:eastAsia="Times New Roman" w:cs="Times New Roman"/>
          <w:b/>
          <w:bCs/>
          <w:rtl/>
          <w:lang w:eastAsia="de-DE"/>
        </w:rPr>
        <w:t>ואת־הלחם אשר בסל המלואים</w:t>
      </w:r>
      <w:r w:rsidRPr="00570BCE">
        <w:rPr>
          <w:rFonts w:eastAsia="Times New Roman" w:cs="Times New Roman"/>
          <w:rtl/>
          <w:lang w:eastAsia="de-DE"/>
        </w:rPr>
        <w:t xml:space="preserve"> </w:t>
      </w:r>
      <w:r w:rsidRPr="00570BCE">
        <w:rPr>
          <w:rFonts w:eastAsia="Times New Roman" w:cs="Times New Roman"/>
          <w:lang w:eastAsia="de-DE"/>
        </w:rPr>
        <w:t xml:space="preserve">(und das Brot, das im Korbe der Einweihungen ist) mit Relativsatz zeigt die verbliebenen Brote aus V. 26. </w:t>
      </w:r>
      <w:r w:rsidRPr="00570BCE">
        <w:rPr>
          <w:rFonts w:eastAsia="Times New Roman" w:cs="Times New Roman"/>
          <w:b/>
          <w:bCs/>
          <w:rtl/>
          <w:lang w:eastAsia="de-DE"/>
        </w:rPr>
        <w:t>מלואים</w:t>
      </w:r>
      <w:r w:rsidRPr="00570BCE">
        <w:rPr>
          <w:rFonts w:eastAsia="Times New Roman" w:cs="Times New Roman"/>
          <w:rtl/>
          <w:lang w:eastAsia="de-DE"/>
        </w:rPr>
        <w:t xml:space="preserve"> </w:t>
      </w:r>
      <w:r w:rsidRPr="00570BCE">
        <w:rPr>
          <w:rFonts w:eastAsia="Times New Roman" w:cs="Times New Roman"/>
          <w:lang w:eastAsia="de-DE"/>
        </w:rPr>
        <w:t>klassifiziert sowohl das Fleisch als auch das Brot.</w:t>
      </w:r>
    </w:p>
    <w:p w14:paraId="2A56567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כאשר צויתי לאמר אהרן ובניו יאכלהו</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צוה</w:t>
      </w:r>
      <w:r w:rsidRPr="00570BCE">
        <w:rPr>
          <w:rFonts w:eastAsia="Times New Roman" w:cs="Times New Roman"/>
          <w:rtl/>
          <w:lang w:eastAsia="de-DE"/>
        </w:rPr>
        <w:t xml:space="preserve"> </w:t>
      </w:r>
      <w:r w:rsidRPr="00570BCE">
        <w:rPr>
          <w:rFonts w:eastAsia="Times New Roman" w:cs="Times New Roman"/>
          <w:lang w:eastAsia="de-DE"/>
        </w:rPr>
        <w:t xml:space="preserve">(befehlen) im Piel-Perfekt 1. Person Singular mit Suffix </w:t>
      </w:r>
      <w:r w:rsidRPr="00570BCE">
        <w:rPr>
          <w:rFonts w:eastAsia="Times New Roman" w:cs="Times New Roman"/>
          <w:b/>
          <w:bCs/>
          <w:rtl/>
          <w:lang w:eastAsia="de-DE"/>
        </w:rPr>
        <w:t>יתי</w:t>
      </w:r>
      <w:r w:rsidRPr="00570BCE">
        <w:rPr>
          <w:rFonts w:eastAsia="Times New Roman" w:cs="Times New Roman"/>
          <w:rtl/>
          <w:lang w:eastAsia="de-DE"/>
        </w:rPr>
        <w:t xml:space="preserve"> </w:t>
      </w:r>
      <w:r w:rsidRPr="00570BCE">
        <w:rPr>
          <w:rFonts w:eastAsia="Times New Roman" w:cs="Times New Roman"/>
          <w:lang w:eastAsia="de-DE"/>
        </w:rPr>
        <w:t xml:space="preserve">(ich). </w:t>
      </w:r>
      <w:r w:rsidRPr="00570BCE">
        <w:rPr>
          <w:rFonts w:eastAsia="Times New Roman" w:cs="Times New Roman"/>
          <w:b/>
          <w:bCs/>
          <w:rtl/>
          <w:lang w:eastAsia="de-DE"/>
        </w:rPr>
        <w:t>לאמר</w:t>
      </w:r>
      <w:r w:rsidRPr="00570BCE">
        <w:rPr>
          <w:rFonts w:eastAsia="Times New Roman" w:cs="Times New Roman"/>
          <w:rtl/>
          <w:lang w:eastAsia="de-DE"/>
        </w:rPr>
        <w:t xml:space="preserve"> </w:t>
      </w:r>
      <w:r w:rsidRPr="00570BCE">
        <w:rPr>
          <w:rFonts w:eastAsia="Times New Roman" w:cs="Times New Roman"/>
          <w:lang w:eastAsia="de-DE"/>
        </w:rPr>
        <w:t xml:space="preserve">(sagend) leitet die direkte Rede ein. </w:t>
      </w:r>
      <w:r w:rsidRPr="00570BCE">
        <w:rPr>
          <w:rFonts w:eastAsia="Times New Roman" w:cs="Times New Roman"/>
          <w:b/>
          <w:bCs/>
          <w:rtl/>
          <w:lang w:eastAsia="de-DE"/>
        </w:rPr>
        <w:t>אהרן ובניו יאכלהו</w:t>
      </w:r>
      <w:r w:rsidRPr="00570BCE">
        <w:rPr>
          <w:rFonts w:eastAsia="Times New Roman" w:cs="Times New Roman"/>
          <w:rtl/>
          <w:lang w:eastAsia="de-DE"/>
        </w:rPr>
        <w:t xml:space="preserve"> </w:t>
      </w:r>
      <w:r w:rsidRPr="00570BCE">
        <w:rPr>
          <w:rFonts w:eastAsia="Times New Roman" w:cs="Times New Roman"/>
          <w:lang w:eastAsia="de-DE"/>
        </w:rPr>
        <w:t xml:space="preserve">ist die ursprüngliche Anweisung: </w:t>
      </w:r>
      <w:r w:rsidRPr="00570BCE">
        <w:rPr>
          <w:rFonts w:eastAsia="Times New Roman" w:cs="Times New Roman"/>
          <w:b/>
          <w:bCs/>
          <w:rtl/>
          <w:lang w:eastAsia="de-DE"/>
        </w:rPr>
        <w:t>יאכלהו</w:t>
      </w:r>
      <w:r w:rsidRPr="00570BCE">
        <w:rPr>
          <w:rFonts w:eastAsia="Times New Roman" w:cs="Times New Roman"/>
          <w:rtl/>
          <w:lang w:eastAsia="de-DE"/>
        </w:rPr>
        <w:t xml:space="preserve"> </w:t>
      </w:r>
      <w:r w:rsidRPr="00570BCE">
        <w:rPr>
          <w:rFonts w:eastAsia="Times New Roman" w:cs="Times New Roman"/>
          <w:lang w:eastAsia="de-DE"/>
        </w:rPr>
        <w:t xml:space="preserve">(sie sollen es essen) im Qal-Imperfekt 3. Person maskulin Plural mit Objektsuffix </w:t>
      </w:r>
      <w:r w:rsidRPr="00570BCE">
        <w:rPr>
          <w:rFonts w:eastAsia="Times New Roman" w:cs="Times New Roman"/>
          <w:b/>
          <w:bCs/>
          <w:rtl/>
          <w:lang w:eastAsia="de-DE"/>
        </w:rPr>
        <w:t>הו</w:t>
      </w:r>
      <w:r w:rsidRPr="00570BCE">
        <w:rPr>
          <w:rFonts w:eastAsia="Times New Roman" w:cs="Times New Roman"/>
          <w:lang w:eastAsia="de-DE"/>
        </w:rPr>
        <w:t>.</w:t>
      </w:r>
    </w:p>
    <w:p w14:paraId="4D3F20AA"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lastRenderedPageBreak/>
        <w:t xml:space="preserve">Die Konstruktion </w:t>
      </w:r>
      <w:r w:rsidRPr="00570BCE">
        <w:rPr>
          <w:rFonts w:eastAsia="Times New Roman" w:cs="Times New Roman"/>
          <w:b/>
          <w:bCs/>
          <w:rtl/>
          <w:lang w:eastAsia="de-DE"/>
        </w:rPr>
        <w:t>צויתי לאמר</w:t>
      </w:r>
      <w:r w:rsidRPr="00570BCE">
        <w:rPr>
          <w:rFonts w:eastAsia="Times New Roman" w:cs="Times New Roman"/>
          <w:rtl/>
          <w:lang w:eastAsia="de-DE"/>
        </w:rPr>
        <w:t xml:space="preserve"> </w:t>
      </w:r>
      <w:r w:rsidRPr="00570BCE">
        <w:rPr>
          <w:rFonts w:eastAsia="Times New Roman" w:cs="Times New Roman"/>
          <w:lang w:eastAsia="de-DE"/>
        </w:rPr>
        <w:t xml:space="preserve">mit folgender direkter Rede referenziert frühere göttliche Anweisungen, vermutlich aus Exodus 29,32. </w:t>
      </w:r>
      <w:r w:rsidRPr="00570BCE">
        <w:rPr>
          <w:rFonts w:eastAsia="Times New Roman" w:cs="Times New Roman"/>
          <w:b/>
          <w:bCs/>
          <w:rtl/>
          <w:lang w:eastAsia="de-DE"/>
        </w:rPr>
        <w:t>בשל</w:t>
      </w:r>
      <w:r w:rsidRPr="00570BCE">
        <w:rPr>
          <w:rFonts w:eastAsia="Times New Roman" w:cs="Times New Roman"/>
          <w:rtl/>
          <w:lang w:eastAsia="de-DE"/>
        </w:rPr>
        <w:t xml:space="preserve"> </w:t>
      </w:r>
      <w:r w:rsidRPr="00570BCE">
        <w:rPr>
          <w:rFonts w:eastAsia="Times New Roman" w:cs="Times New Roman"/>
          <w:lang w:eastAsia="de-DE"/>
        </w:rPr>
        <w:t xml:space="preserve">(kochen) zeigt, dass </w:t>
      </w:r>
      <w:r w:rsidRPr="00570BCE">
        <w:rPr>
          <w:rFonts w:eastAsia="Times New Roman" w:cs="Times New Roman"/>
          <w:b/>
          <w:bCs/>
          <w:rtl/>
          <w:lang w:eastAsia="de-DE"/>
        </w:rPr>
        <w:t>מלואים</w:t>
      </w:r>
      <w:r w:rsidRPr="00570BCE">
        <w:rPr>
          <w:rFonts w:eastAsia="Times New Roman" w:cs="Times New Roman"/>
          <w:rtl/>
          <w:lang w:eastAsia="de-DE"/>
        </w:rPr>
        <w:t xml:space="preserve"> </w:t>
      </w:r>
      <w:r w:rsidRPr="00570BCE">
        <w:rPr>
          <w:rFonts w:eastAsia="Times New Roman" w:cs="Times New Roman"/>
          <w:lang w:eastAsia="de-DE"/>
        </w:rPr>
        <w:t xml:space="preserve">anders behandelt wird als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 xml:space="preserve">(vollständig verbrannt) oder </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(außerhalb verbrannt).</w:t>
      </w:r>
    </w:p>
    <w:p w14:paraId="09D4FE0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פתח אהל מועד</w:t>
      </w:r>
      <w:r w:rsidRPr="00570BCE">
        <w:rPr>
          <w:rFonts w:eastAsia="Times New Roman" w:cs="Times New Roman"/>
          <w:rtl/>
          <w:lang w:eastAsia="de-DE"/>
        </w:rPr>
        <w:t xml:space="preserve"> </w:t>
      </w:r>
      <w:r w:rsidRPr="00570BCE">
        <w:rPr>
          <w:rFonts w:eastAsia="Times New Roman" w:cs="Times New Roman"/>
          <w:lang w:eastAsia="de-DE"/>
        </w:rPr>
        <w:t xml:space="preserve">als Koch- und </w:t>
      </w:r>
      <w:proofErr w:type="spellStart"/>
      <w:r w:rsidRPr="00570BCE">
        <w:rPr>
          <w:rFonts w:eastAsia="Times New Roman" w:cs="Times New Roman"/>
          <w:lang w:eastAsia="de-DE"/>
        </w:rPr>
        <w:t>Essort</w:t>
      </w:r>
      <w:proofErr w:type="spellEnd"/>
      <w:r w:rsidRPr="00570BCE">
        <w:rPr>
          <w:rFonts w:eastAsia="Times New Roman" w:cs="Times New Roman"/>
          <w:lang w:eastAsia="de-DE"/>
        </w:rPr>
        <w:t xml:space="preserve"> zeigt die sakrale Natur der Mahlzeit. </w:t>
      </w:r>
      <w:r w:rsidRPr="00570BCE">
        <w:rPr>
          <w:rFonts w:eastAsia="Times New Roman" w:cs="Times New Roman"/>
          <w:b/>
          <w:bCs/>
          <w:rtl/>
          <w:lang w:eastAsia="de-DE"/>
        </w:rPr>
        <w:t>שם</w:t>
      </w:r>
      <w:r w:rsidRPr="00570BCE">
        <w:rPr>
          <w:rFonts w:eastAsia="Times New Roman" w:cs="Times New Roman"/>
          <w:rtl/>
          <w:lang w:eastAsia="de-DE"/>
        </w:rPr>
        <w:t xml:space="preserve"> </w:t>
      </w:r>
      <w:r w:rsidRPr="00570BCE">
        <w:rPr>
          <w:rFonts w:eastAsia="Times New Roman" w:cs="Times New Roman"/>
          <w:lang w:eastAsia="de-DE"/>
        </w:rPr>
        <w:t xml:space="preserve">betont, dass das Essen am heiligen Ort stattfinden muss. Die Kombination von Fleisch und Brot entspricht </w:t>
      </w:r>
      <w:r w:rsidRPr="00570BCE">
        <w:rPr>
          <w:rFonts w:eastAsia="Times New Roman" w:cs="Times New Roman"/>
          <w:b/>
          <w:bCs/>
          <w:rtl/>
          <w:lang w:eastAsia="de-DE"/>
        </w:rPr>
        <w:t>שלמים</w:t>
      </w:r>
      <w:r w:rsidRPr="00570BCE">
        <w:rPr>
          <w:rFonts w:eastAsia="Times New Roman" w:cs="Times New Roman"/>
          <w:lang w:eastAsia="de-DE"/>
        </w:rPr>
        <w:t>-Mahlzeiten.</w:t>
      </w:r>
    </w:p>
    <w:p w14:paraId="4B219447" w14:textId="402EC8F9"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w:t>
      </w:r>
      <w:r w:rsidR="00865A3D">
        <w:t xml:space="preserve">fügt </w:t>
      </w:r>
      <w:proofErr w:type="spellStart"/>
      <w:r w:rsidR="00865A3D">
        <w:t>ἐν</w:t>
      </w:r>
      <w:proofErr w:type="spellEnd"/>
      <w:r w:rsidR="00865A3D">
        <w:t xml:space="preserve"> </w:t>
      </w:r>
      <w:proofErr w:type="spellStart"/>
      <w:r w:rsidR="00865A3D">
        <w:t>τό</w:t>
      </w:r>
      <w:proofErr w:type="spellEnd"/>
      <w:r w:rsidR="00865A3D">
        <w:t xml:space="preserve">πῳ </w:t>
      </w:r>
      <w:proofErr w:type="spellStart"/>
      <w:r w:rsidR="00865A3D">
        <w:t>ἁγίῳ</w:t>
      </w:r>
      <w:proofErr w:type="spellEnd"/>
      <w:r w:rsidR="00865A3D">
        <w:t xml:space="preserve"> (an heiligem Ort) hinzu und spezifiziert den Ort als </w:t>
      </w:r>
      <w:proofErr w:type="spellStart"/>
      <w:r w:rsidR="00865A3D">
        <w:t>ἐν</w:t>
      </w:r>
      <w:proofErr w:type="spellEnd"/>
      <w:r w:rsidR="00865A3D">
        <w:t xml:space="preserve"> </w:t>
      </w:r>
      <w:proofErr w:type="spellStart"/>
      <w:r w:rsidR="00865A3D">
        <w:t>τῇ</w:t>
      </w:r>
      <w:proofErr w:type="spellEnd"/>
      <w:r w:rsidR="00865A3D">
        <w:t xml:space="preserve"> α</w:t>
      </w:r>
      <w:proofErr w:type="spellStart"/>
      <w:r w:rsidR="00865A3D">
        <w:t>ὐλῇ</w:t>
      </w:r>
      <w:proofErr w:type="spellEnd"/>
      <w:r w:rsidR="00865A3D">
        <w:t xml:space="preserve"> </w:t>
      </w:r>
      <w:proofErr w:type="spellStart"/>
      <w:r w:rsidR="00865A3D">
        <w:t>τῆς</w:t>
      </w:r>
      <w:proofErr w:type="spellEnd"/>
      <w:r w:rsidR="00865A3D">
        <w:t xml:space="preserve"> </w:t>
      </w:r>
      <w:proofErr w:type="spellStart"/>
      <w:r w:rsidR="00865A3D">
        <w:t>σκηνῆς</w:t>
      </w:r>
      <w:proofErr w:type="spellEnd"/>
      <w:r w:rsidR="00865A3D">
        <w:t xml:space="preserve"> (im Vorhof des Zeltes), was eine präzisierende Ergänzung darstellt.</w:t>
      </w:r>
    </w:p>
    <w:p w14:paraId="624243CE"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einen Hauptsatz mit direkter Rede: Verb + Adressat + zwei Imperative mit Ortsangaben + Vergleichssatz mit eingebetteter direkter Rede. Die Struktur zeigt Moses Autorität und die Referenz auf frühere göttliche Anweisungen.</w:t>
      </w:r>
    </w:p>
    <w:p w14:paraId="233011C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leitet die sakrale Mahlzeit ein, bei der Aaron und seine Söhne das </w:t>
      </w:r>
      <w:r w:rsidRPr="00570BCE">
        <w:rPr>
          <w:rFonts w:eastAsia="Times New Roman" w:cs="Times New Roman"/>
          <w:b/>
          <w:bCs/>
          <w:rtl/>
          <w:lang w:eastAsia="de-DE"/>
        </w:rPr>
        <w:t>מלואים</w:t>
      </w:r>
      <w:r w:rsidRPr="00570BCE">
        <w:rPr>
          <w:rFonts w:eastAsia="Times New Roman" w:cs="Times New Roman"/>
          <w:lang w:eastAsia="de-DE"/>
        </w:rPr>
        <w:t>-Fleisch und -Brot am heiligen Ort verzehren sollen entsprechend göttlicher Anweisung.</w:t>
      </w:r>
    </w:p>
    <w:p w14:paraId="0626ADE7"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8,32</w:t>
      </w:r>
    </w:p>
    <w:p w14:paraId="14EA29A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וְהַנּוֹתָ֥ר בַּבָּשָׂ֖ר וּבַלָּ֑חֶם בָּאֵ֖שׁ תִּשְׂרֹֽפוּ׃</w:t>
      </w:r>
    </w:p>
    <w:p w14:paraId="764C77A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das Übrige von dem Fleisch und von dem Brot sollt ihr mit Feuer verbrennen.</w:t>
      </w:r>
    </w:p>
    <w:p w14:paraId="6E974444"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665EB5B3">
          <v:rect id="_x0000_i1228" style="width:0;height:1.5pt" o:hralign="center" o:hrstd="t" o:hr="t" fillcolor="#a0a0a0" stroked="f"/>
        </w:pict>
      </w:r>
    </w:p>
    <w:p w14:paraId="3C22D59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והנותר בבשר ובלחם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נותר</w:t>
      </w:r>
      <w:r w:rsidRPr="00570BCE">
        <w:rPr>
          <w:rFonts w:eastAsia="Times New Roman" w:cs="Times New Roman"/>
          <w:rtl/>
          <w:lang w:eastAsia="de-DE"/>
        </w:rPr>
        <w:t xml:space="preserve"> </w:t>
      </w:r>
      <w:r w:rsidRPr="00570BCE">
        <w:rPr>
          <w:rFonts w:eastAsia="Times New Roman" w:cs="Times New Roman"/>
          <w:lang w:eastAsia="de-DE"/>
        </w:rPr>
        <w:t xml:space="preserve">(das Übriggebliebene) als Partizip Nifal von </w:t>
      </w:r>
      <w:r w:rsidRPr="00570BCE">
        <w:rPr>
          <w:rFonts w:eastAsia="Times New Roman" w:cs="Times New Roman"/>
          <w:b/>
          <w:bCs/>
          <w:rtl/>
          <w:lang w:eastAsia="de-DE"/>
        </w:rPr>
        <w:t>יתר</w:t>
      </w:r>
      <w:r w:rsidRPr="00570BCE">
        <w:rPr>
          <w:rFonts w:eastAsia="Times New Roman" w:cs="Times New Roman"/>
          <w:rtl/>
          <w:lang w:eastAsia="de-DE"/>
        </w:rPr>
        <w:t xml:space="preserve"> </w:t>
      </w:r>
      <w:r w:rsidRPr="00570BCE">
        <w:rPr>
          <w:rFonts w:eastAsia="Times New Roman" w:cs="Times New Roman"/>
          <w:lang w:eastAsia="de-DE"/>
        </w:rPr>
        <w:t xml:space="preserve">(übrig bleiben). </w:t>
      </w:r>
      <w:r w:rsidRPr="00570BCE">
        <w:rPr>
          <w:rFonts w:eastAsia="Times New Roman" w:cs="Times New Roman"/>
          <w:b/>
          <w:bCs/>
          <w:rtl/>
          <w:lang w:eastAsia="de-DE"/>
        </w:rPr>
        <w:t>נותר</w:t>
      </w:r>
      <w:r w:rsidRPr="00570BCE">
        <w:rPr>
          <w:rFonts w:eastAsia="Times New Roman" w:cs="Times New Roman"/>
          <w:rtl/>
          <w:lang w:eastAsia="de-DE"/>
        </w:rPr>
        <w:t xml:space="preserve"> </w:t>
      </w:r>
      <w:proofErr w:type="spellStart"/>
      <w:r w:rsidRPr="00570BCE">
        <w:rPr>
          <w:rFonts w:eastAsia="Times New Roman" w:cs="Times New Roman"/>
          <w:lang w:eastAsia="de-DE"/>
        </w:rPr>
        <w:t>funktiert</w:t>
      </w:r>
      <w:proofErr w:type="spellEnd"/>
      <w:r w:rsidRPr="00570BCE">
        <w:rPr>
          <w:rFonts w:eastAsia="Times New Roman" w:cs="Times New Roman"/>
          <w:lang w:eastAsia="de-DE"/>
        </w:rPr>
        <w:t xml:space="preserve"> als Substantiv "das Übrige/der Rest". </w:t>
      </w:r>
      <w:r w:rsidRPr="00570BCE">
        <w:rPr>
          <w:rFonts w:eastAsia="Times New Roman" w:cs="Times New Roman"/>
          <w:b/>
          <w:bCs/>
          <w:rtl/>
          <w:lang w:eastAsia="de-DE"/>
        </w:rPr>
        <w:t>בבשר ובלחם</w:t>
      </w:r>
      <w:r w:rsidRPr="00570BCE">
        <w:rPr>
          <w:rFonts w:eastAsia="Times New Roman" w:cs="Times New Roman"/>
          <w:rtl/>
          <w:lang w:eastAsia="de-DE"/>
        </w:rPr>
        <w:t xml:space="preserve"> </w:t>
      </w:r>
      <w:r w:rsidRPr="00570BCE">
        <w:rPr>
          <w:rFonts w:eastAsia="Times New Roman" w:cs="Times New Roman"/>
          <w:lang w:eastAsia="de-DE"/>
        </w:rPr>
        <w:t xml:space="preserve">(vom Fleisch und vom Brot) mit Präposition </w:t>
      </w:r>
      <w:r w:rsidRPr="00570BCE">
        <w:rPr>
          <w:rFonts w:eastAsia="Times New Roman" w:cs="Times New Roman"/>
          <w:b/>
          <w:bCs/>
          <w:rtl/>
          <w:lang w:eastAsia="de-DE"/>
        </w:rPr>
        <w:t>ב</w:t>
      </w:r>
      <w:r w:rsidRPr="00570BCE">
        <w:rPr>
          <w:rFonts w:eastAsia="Times New Roman" w:cs="Times New Roman"/>
          <w:rtl/>
          <w:lang w:eastAsia="de-DE"/>
        </w:rPr>
        <w:t xml:space="preserve"> </w:t>
      </w:r>
      <w:r w:rsidRPr="00570BCE">
        <w:rPr>
          <w:rFonts w:eastAsia="Times New Roman" w:cs="Times New Roman"/>
          <w:lang w:eastAsia="de-DE"/>
        </w:rPr>
        <w:t xml:space="preserve">partitiv zeigt die beiden Kategorien der </w:t>
      </w:r>
      <w:r w:rsidRPr="00570BCE">
        <w:rPr>
          <w:rFonts w:eastAsia="Times New Roman" w:cs="Times New Roman"/>
          <w:b/>
          <w:bCs/>
          <w:rtl/>
          <w:lang w:eastAsia="de-DE"/>
        </w:rPr>
        <w:t>מלואים</w:t>
      </w:r>
      <w:r w:rsidRPr="00570BCE">
        <w:rPr>
          <w:rFonts w:eastAsia="Times New Roman" w:cs="Times New Roman"/>
          <w:lang w:eastAsia="de-DE"/>
        </w:rPr>
        <w:t xml:space="preserve">-Nahrung. Die Koordination durch </w:t>
      </w:r>
      <w:r w:rsidRPr="00570BCE">
        <w:rPr>
          <w:rFonts w:eastAsia="Times New Roman" w:cs="Times New Roman"/>
          <w:b/>
          <w:bCs/>
          <w:rtl/>
          <w:lang w:eastAsia="de-DE"/>
        </w:rPr>
        <w:t>ו</w:t>
      </w:r>
      <w:r w:rsidRPr="00570BCE">
        <w:rPr>
          <w:rFonts w:eastAsia="Times New Roman" w:cs="Times New Roman"/>
          <w:rtl/>
          <w:lang w:eastAsia="de-DE"/>
        </w:rPr>
        <w:t xml:space="preserve"> </w:t>
      </w:r>
      <w:r w:rsidRPr="00570BCE">
        <w:rPr>
          <w:rFonts w:eastAsia="Times New Roman" w:cs="Times New Roman"/>
          <w:lang w:eastAsia="de-DE"/>
        </w:rPr>
        <w:t>umfasst beide Nahrungsarten.</w:t>
      </w:r>
    </w:p>
    <w:p w14:paraId="1F6A046A"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באש תשרפו</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שרף</w:t>
      </w:r>
      <w:r w:rsidRPr="00570BCE">
        <w:rPr>
          <w:rFonts w:eastAsia="Times New Roman" w:cs="Times New Roman"/>
          <w:rtl/>
          <w:lang w:eastAsia="de-DE"/>
        </w:rPr>
        <w:t xml:space="preserve"> </w:t>
      </w:r>
      <w:r w:rsidRPr="00570BCE">
        <w:rPr>
          <w:rFonts w:eastAsia="Times New Roman" w:cs="Times New Roman"/>
          <w:lang w:eastAsia="de-DE"/>
        </w:rPr>
        <w:t xml:space="preserve">(verbrennen) im Qal-Imperfekt 2. Person maskulin Plural. </w:t>
      </w:r>
      <w:r w:rsidRPr="00570BCE">
        <w:rPr>
          <w:rFonts w:eastAsia="Times New Roman" w:cs="Times New Roman"/>
          <w:b/>
          <w:bCs/>
          <w:rtl/>
          <w:lang w:eastAsia="de-DE"/>
        </w:rPr>
        <w:t>באש</w:t>
      </w:r>
      <w:r w:rsidRPr="00570BCE">
        <w:rPr>
          <w:rFonts w:eastAsia="Times New Roman" w:cs="Times New Roman"/>
          <w:rtl/>
          <w:lang w:eastAsia="de-DE"/>
        </w:rPr>
        <w:t xml:space="preserve"> </w:t>
      </w:r>
      <w:r w:rsidRPr="00570BCE">
        <w:rPr>
          <w:rFonts w:eastAsia="Times New Roman" w:cs="Times New Roman"/>
          <w:lang w:eastAsia="de-DE"/>
        </w:rPr>
        <w:t xml:space="preserve">(mit Feuer) als Instrumentalangabe mit Präposition </w:t>
      </w:r>
      <w:r w:rsidRPr="00570BCE">
        <w:rPr>
          <w:rFonts w:eastAsia="Times New Roman" w:cs="Times New Roman"/>
          <w:b/>
          <w:bCs/>
          <w:rtl/>
          <w:lang w:eastAsia="de-DE"/>
        </w:rPr>
        <w:t>ב</w:t>
      </w:r>
      <w:r w:rsidRPr="00570BCE">
        <w:rPr>
          <w:rFonts w:eastAsia="Times New Roman" w:cs="Times New Roman"/>
          <w:lang w:eastAsia="de-DE"/>
        </w:rPr>
        <w:t>. Die Anweisung richtet sich an Aaron und seine Söhne entsprechend V. 31.</w:t>
      </w:r>
    </w:p>
    <w:p w14:paraId="41380D35"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נותר</w:t>
      </w:r>
      <w:r w:rsidRPr="00570BCE">
        <w:rPr>
          <w:rFonts w:eastAsia="Times New Roman" w:cs="Times New Roman"/>
          <w:rtl/>
          <w:lang w:eastAsia="de-DE"/>
        </w:rPr>
        <w:t xml:space="preserve"> </w:t>
      </w:r>
      <w:r w:rsidRPr="00570BCE">
        <w:rPr>
          <w:rFonts w:eastAsia="Times New Roman" w:cs="Times New Roman"/>
          <w:lang w:eastAsia="de-DE"/>
        </w:rPr>
        <w:t xml:space="preserve">als theologischer Begriff bezeichnet Opferfleisch, das über die erlaubte Verzehrfrist hinaus übrig bleibt. Die Verbrennung </w:t>
      </w:r>
      <w:r w:rsidRPr="00570BCE">
        <w:rPr>
          <w:rFonts w:eastAsia="Times New Roman" w:cs="Times New Roman"/>
          <w:b/>
          <w:bCs/>
          <w:rtl/>
          <w:lang w:eastAsia="de-DE"/>
        </w:rPr>
        <w:t>באש</w:t>
      </w:r>
      <w:r w:rsidRPr="00570BCE">
        <w:rPr>
          <w:rFonts w:eastAsia="Times New Roman" w:cs="Times New Roman"/>
          <w:rtl/>
          <w:lang w:eastAsia="de-DE"/>
        </w:rPr>
        <w:t xml:space="preserve"> </w:t>
      </w:r>
      <w:r w:rsidRPr="00570BCE">
        <w:rPr>
          <w:rFonts w:eastAsia="Times New Roman" w:cs="Times New Roman"/>
          <w:lang w:eastAsia="de-DE"/>
        </w:rPr>
        <w:t xml:space="preserve">verhindert Profanierung des heiligen Fleisches und entspricht den Bestimmungen für </w:t>
      </w:r>
      <w:r w:rsidRPr="00570BCE">
        <w:rPr>
          <w:rFonts w:eastAsia="Times New Roman" w:cs="Times New Roman"/>
          <w:b/>
          <w:bCs/>
          <w:rtl/>
          <w:lang w:eastAsia="de-DE"/>
        </w:rPr>
        <w:t>שלמים</w:t>
      </w:r>
      <w:r w:rsidRPr="00570BCE">
        <w:rPr>
          <w:rFonts w:eastAsia="Times New Roman" w:cs="Times New Roman"/>
          <w:rtl/>
          <w:lang w:eastAsia="de-DE"/>
        </w:rPr>
        <w:t xml:space="preserve"> </w:t>
      </w:r>
      <w:r w:rsidRPr="00570BCE">
        <w:rPr>
          <w:rFonts w:eastAsia="Times New Roman" w:cs="Times New Roman"/>
          <w:lang w:eastAsia="de-DE"/>
        </w:rPr>
        <w:t xml:space="preserve">aus 7,17 und </w:t>
      </w:r>
      <w:r w:rsidRPr="00570BCE">
        <w:rPr>
          <w:rFonts w:eastAsia="Times New Roman" w:cs="Times New Roman"/>
          <w:b/>
          <w:bCs/>
          <w:rtl/>
          <w:lang w:eastAsia="de-DE"/>
        </w:rPr>
        <w:t>תודה</w:t>
      </w:r>
      <w:r w:rsidRPr="00570BCE">
        <w:rPr>
          <w:rFonts w:eastAsia="Times New Roman" w:cs="Times New Roman"/>
          <w:rtl/>
          <w:lang w:eastAsia="de-DE"/>
        </w:rPr>
        <w:t xml:space="preserve"> </w:t>
      </w:r>
      <w:r w:rsidRPr="00570BCE">
        <w:rPr>
          <w:rFonts w:eastAsia="Times New Roman" w:cs="Times New Roman"/>
          <w:lang w:eastAsia="de-DE"/>
        </w:rPr>
        <w:t>aus 7,15.</w:t>
      </w:r>
    </w:p>
    <w:p w14:paraId="1E5F74A9"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Formulierung </w:t>
      </w:r>
      <w:r w:rsidRPr="00570BCE">
        <w:rPr>
          <w:rFonts w:eastAsia="Times New Roman" w:cs="Times New Roman"/>
          <w:b/>
          <w:bCs/>
          <w:rtl/>
          <w:lang w:eastAsia="de-DE"/>
        </w:rPr>
        <w:t>בבשר ובלחם</w:t>
      </w:r>
      <w:r w:rsidRPr="00570BCE">
        <w:rPr>
          <w:rFonts w:eastAsia="Times New Roman" w:cs="Times New Roman"/>
          <w:rtl/>
          <w:lang w:eastAsia="de-DE"/>
        </w:rPr>
        <w:t xml:space="preserve"> </w:t>
      </w:r>
      <w:r w:rsidRPr="00570BCE">
        <w:rPr>
          <w:rFonts w:eastAsia="Times New Roman" w:cs="Times New Roman"/>
          <w:lang w:eastAsia="de-DE"/>
        </w:rPr>
        <w:t xml:space="preserve">zeigt, dass sowohl das </w:t>
      </w:r>
      <w:r w:rsidRPr="00570BCE">
        <w:rPr>
          <w:rFonts w:eastAsia="Times New Roman" w:cs="Times New Roman"/>
          <w:b/>
          <w:bCs/>
          <w:rtl/>
          <w:lang w:eastAsia="de-DE"/>
        </w:rPr>
        <w:t>מלואים</w:t>
      </w:r>
      <w:r w:rsidRPr="00570BCE">
        <w:rPr>
          <w:rFonts w:eastAsia="Times New Roman" w:cs="Times New Roman"/>
          <w:lang w:eastAsia="de-DE"/>
        </w:rPr>
        <w:t xml:space="preserve">-Fleisch als auch die rituellen Brote denselben Bestimmungen unterliegen. Dies unterstreicht den </w:t>
      </w:r>
      <w:r w:rsidRPr="00570BCE">
        <w:rPr>
          <w:rFonts w:eastAsia="Times New Roman" w:cs="Times New Roman"/>
          <w:b/>
          <w:bCs/>
          <w:rtl/>
          <w:lang w:eastAsia="de-DE"/>
        </w:rPr>
        <w:t>שלמים</w:t>
      </w:r>
      <w:r w:rsidRPr="00570BCE">
        <w:rPr>
          <w:rFonts w:eastAsia="Times New Roman" w:cs="Times New Roman"/>
          <w:lang w:eastAsia="de-DE"/>
        </w:rPr>
        <w:t xml:space="preserve">-Charakter von </w:t>
      </w:r>
      <w:r w:rsidRPr="00570BCE">
        <w:rPr>
          <w:rFonts w:eastAsia="Times New Roman" w:cs="Times New Roman"/>
          <w:b/>
          <w:bCs/>
          <w:rtl/>
          <w:lang w:eastAsia="de-DE"/>
        </w:rPr>
        <w:t>מלואים</w:t>
      </w:r>
      <w:r w:rsidRPr="00570BCE">
        <w:rPr>
          <w:rFonts w:eastAsia="Times New Roman" w:cs="Times New Roman"/>
          <w:lang w:eastAsia="de-DE"/>
        </w:rPr>
        <w:t>.</w:t>
      </w:r>
    </w:p>
    <w:p w14:paraId="4F0B3908"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Anweisung zur sofortigen Verbrennung übriggebliebener heiliger Nahrung verhindert deren Entweihung durch längere Aufbewahrung oder falschen Verzehr. </w:t>
      </w:r>
      <w:r w:rsidRPr="00570BCE">
        <w:rPr>
          <w:rFonts w:eastAsia="Times New Roman" w:cs="Times New Roman"/>
          <w:b/>
          <w:bCs/>
          <w:rtl/>
          <w:lang w:eastAsia="de-DE"/>
        </w:rPr>
        <w:t>באש</w:t>
      </w:r>
      <w:r w:rsidRPr="00570BCE">
        <w:rPr>
          <w:rFonts w:eastAsia="Times New Roman" w:cs="Times New Roman"/>
          <w:rtl/>
          <w:lang w:eastAsia="de-DE"/>
        </w:rPr>
        <w:t xml:space="preserve"> </w:t>
      </w:r>
      <w:r w:rsidRPr="00570BCE">
        <w:rPr>
          <w:rFonts w:eastAsia="Times New Roman" w:cs="Times New Roman"/>
          <w:lang w:eastAsia="de-DE"/>
        </w:rPr>
        <w:t>entspricht der Art, wie Opferfleisch Gott dargebracht wird.</w:t>
      </w:r>
    </w:p>
    <w:p w14:paraId="7C97C63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lastRenderedPageBreak/>
        <w:t>Die LXX</w:t>
      </w:r>
      <w:r w:rsidRPr="00570BCE">
        <w:rPr>
          <w:rFonts w:eastAsia="Times New Roman" w:cs="Times New Roman"/>
          <w:lang w:eastAsia="de-DE"/>
        </w:rPr>
        <w:t xml:space="preserve"> übersetzt </w:t>
      </w:r>
      <w:r w:rsidRPr="00570BCE">
        <w:rPr>
          <w:rFonts w:eastAsia="Times New Roman" w:cs="Times New Roman"/>
          <w:b/>
          <w:bCs/>
          <w:rtl/>
          <w:lang w:eastAsia="de-DE"/>
        </w:rPr>
        <w:t>נותר</w:t>
      </w:r>
      <w:r w:rsidRPr="00570BCE">
        <w:rPr>
          <w:rFonts w:eastAsia="Times New Roman" w:cs="Times New Roman"/>
          <w:rtl/>
          <w:lang w:eastAsia="de-DE"/>
        </w:rPr>
        <w:t xml:space="preserve"> </w:t>
      </w:r>
      <w:r w:rsidRPr="00570BCE">
        <w:rPr>
          <w:rFonts w:eastAsia="Times New Roman" w:cs="Times New Roman"/>
          <w:lang w:eastAsia="de-DE"/>
        </w:rPr>
        <w:t>mit κατα</w:t>
      </w:r>
      <w:proofErr w:type="spellStart"/>
      <w:r w:rsidRPr="00570BCE">
        <w:rPr>
          <w:rFonts w:eastAsia="Times New Roman" w:cs="Times New Roman"/>
          <w:lang w:eastAsia="de-DE"/>
        </w:rPr>
        <w:t>λειφθέν</w:t>
      </w:r>
      <w:proofErr w:type="spellEnd"/>
      <w:r w:rsidRPr="00570BCE">
        <w:rPr>
          <w:rFonts w:eastAsia="Times New Roman" w:cs="Times New Roman"/>
          <w:lang w:eastAsia="de-DE"/>
        </w:rPr>
        <w:t xml:space="preserve"> (zurückgelassen), </w:t>
      </w:r>
      <w:r w:rsidRPr="00570BCE">
        <w:rPr>
          <w:rFonts w:eastAsia="Times New Roman" w:cs="Times New Roman"/>
          <w:b/>
          <w:bCs/>
          <w:rtl/>
          <w:lang w:eastAsia="de-DE"/>
        </w:rPr>
        <w:t>בבשר</w:t>
      </w:r>
      <w:r w:rsidRPr="00570BCE">
        <w:rPr>
          <w:rFonts w:eastAsia="Times New Roman" w:cs="Times New Roman"/>
          <w:rtl/>
          <w:lang w:eastAsia="de-DE"/>
        </w:rPr>
        <w:t xml:space="preserve"> </w:t>
      </w:r>
      <w:r w:rsidRPr="00570BCE">
        <w:rPr>
          <w:rFonts w:eastAsia="Times New Roman" w:cs="Times New Roman"/>
          <w:lang w:eastAsia="de-DE"/>
        </w:rPr>
        <w:t xml:space="preserve">mit ἀπὸ </w:t>
      </w:r>
      <w:proofErr w:type="spellStart"/>
      <w:r w:rsidRPr="00570BCE">
        <w:rPr>
          <w:rFonts w:eastAsia="Times New Roman" w:cs="Times New Roman"/>
          <w:lang w:eastAsia="de-DE"/>
        </w:rPr>
        <w:t>τῶν</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κρεῶν</w:t>
      </w:r>
      <w:proofErr w:type="spellEnd"/>
      <w:r w:rsidRPr="00570BCE">
        <w:rPr>
          <w:rFonts w:eastAsia="Times New Roman" w:cs="Times New Roman"/>
          <w:lang w:eastAsia="de-DE"/>
        </w:rPr>
        <w:t xml:space="preserve"> (von dem Fleisch), </w:t>
      </w:r>
      <w:r w:rsidRPr="00570BCE">
        <w:rPr>
          <w:rFonts w:eastAsia="Times New Roman" w:cs="Times New Roman"/>
          <w:b/>
          <w:bCs/>
          <w:rtl/>
          <w:lang w:eastAsia="de-DE"/>
        </w:rPr>
        <w:t>ובלחם</w:t>
      </w:r>
      <w:r w:rsidRPr="00570BCE">
        <w:rPr>
          <w:rFonts w:eastAsia="Times New Roman" w:cs="Times New Roman"/>
          <w:rtl/>
          <w:lang w:eastAsia="de-DE"/>
        </w:rPr>
        <w:t xml:space="preserve"> </w:t>
      </w:r>
      <w:r w:rsidRPr="00570BCE">
        <w:rPr>
          <w:rFonts w:eastAsia="Times New Roman" w:cs="Times New Roman"/>
          <w:lang w:eastAsia="de-DE"/>
        </w:rPr>
        <w:t xml:space="preserve">mit καὶ ἀπὸ </w:t>
      </w:r>
      <w:proofErr w:type="spellStart"/>
      <w:r w:rsidRPr="00570BCE">
        <w:rPr>
          <w:rFonts w:eastAsia="Times New Roman" w:cs="Times New Roman"/>
          <w:lang w:eastAsia="de-DE"/>
        </w:rPr>
        <w:t>τῶν</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ἄρτων</w:t>
      </w:r>
      <w:proofErr w:type="spellEnd"/>
      <w:r w:rsidRPr="00570BCE">
        <w:rPr>
          <w:rFonts w:eastAsia="Times New Roman" w:cs="Times New Roman"/>
          <w:lang w:eastAsia="de-DE"/>
        </w:rPr>
        <w:t xml:space="preserve"> (und von den Broten) und </w:t>
      </w:r>
      <w:r w:rsidRPr="00570BCE">
        <w:rPr>
          <w:rFonts w:eastAsia="Times New Roman" w:cs="Times New Roman"/>
          <w:b/>
          <w:bCs/>
          <w:rtl/>
          <w:lang w:eastAsia="de-DE"/>
        </w:rPr>
        <w:t>תשרפו</w:t>
      </w:r>
      <w:r w:rsidRPr="00570BCE">
        <w:rPr>
          <w:rFonts w:eastAsia="Times New Roman" w:cs="Times New Roman"/>
          <w:rtl/>
          <w:lang w:eastAsia="de-DE"/>
        </w:rPr>
        <w:t xml:space="preserve"> </w:t>
      </w:r>
      <w:r w:rsidRPr="00570BCE">
        <w:rPr>
          <w:rFonts w:eastAsia="Times New Roman" w:cs="Times New Roman"/>
          <w:lang w:eastAsia="de-DE"/>
        </w:rPr>
        <w:t>mit κατακα</w:t>
      </w:r>
      <w:proofErr w:type="spellStart"/>
      <w:r w:rsidRPr="00570BCE">
        <w:rPr>
          <w:rFonts w:eastAsia="Times New Roman" w:cs="Times New Roman"/>
          <w:lang w:eastAsia="de-DE"/>
        </w:rPr>
        <w:t>υθήσετ</w:t>
      </w:r>
      <w:proofErr w:type="spellEnd"/>
      <w:r w:rsidRPr="00570BCE">
        <w:rPr>
          <w:rFonts w:eastAsia="Times New Roman" w:cs="Times New Roman"/>
          <w:lang w:eastAsia="de-DE"/>
        </w:rPr>
        <w:t>αι (es wird verbrannt werden).</w:t>
      </w:r>
    </w:p>
    <w:p w14:paraId="659D064C"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einen einfachen Hauptsatz: zusammengesetztes Subjekt + Instrumentalangabe + Imperativ. Die knappe Struktur betont die klare, unmissverständliche Anweisung.</w:t>
      </w:r>
    </w:p>
    <w:p w14:paraId="5407806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regelt die ordnungsgemäße Behandlung übriggebliebenen </w:t>
      </w:r>
      <w:r w:rsidRPr="00570BCE">
        <w:rPr>
          <w:rFonts w:eastAsia="Times New Roman" w:cs="Times New Roman"/>
          <w:b/>
          <w:bCs/>
          <w:rtl/>
          <w:lang w:eastAsia="de-DE"/>
        </w:rPr>
        <w:t>מלואים</w:t>
      </w:r>
      <w:r w:rsidRPr="00570BCE">
        <w:rPr>
          <w:rFonts w:eastAsia="Times New Roman" w:cs="Times New Roman"/>
          <w:lang w:eastAsia="de-DE"/>
        </w:rPr>
        <w:t>-Fleisches und -Brotes durch sofortige Verbrennung zur Verhinderung der Profanierung.</w:t>
      </w:r>
    </w:p>
    <w:p w14:paraId="3ED6C83D"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8,33</w:t>
      </w:r>
    </w:p>
    <w:p w14:paraId="50CCA28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וּמִפֶּתַח֩ אֹ֨הֶל מוֹעֵ֜ד לֹ֤א תֵֽצְאוּ֙ שִׁבְעַ֣ת יָמִ֔ים עַ֚ד י֣וֹם מְלֹ֔את יְמֵ֖י מִלֻּאֵיכֶ֑ם כִּ֚י שִׁבְעַ֣ת יָמִ֔ים יְמַלֵּ֖א אֶת־יֶדְכֶֽם׃</w:t>
      </w:r>
    </w:p>
    <w:p w14:paraId="5584E59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von dem Eingang des Zeltes der Begegnung sollt ihr nicht weggehen sieben Tage lang, bis zu dem Tag, da die Tage eures Einweihungsopfers erfüllt sind; denn sieben Tage sollt ihr eingeweiht werden.</w:t>
      </w:r>
    </w:p>
    <w:p w14:paraId="6669DBE7"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5A6D7223">
          <v:rect id="_x0000_i1229" style="width:0;height:1.5pt" o:hralign="center" o:hrstd="t" o:hr="t" fillcolor="#a0a0a0" stroked="f"/>
        </w:pict>
      </w:r>
    </w:p>
    <w:p w14:paraId="0626104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ומפתח אהל מועד לא תצאו שבעת ימים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יצא</w:t>
      </w:r>
      <w:r w:rsidRPr="00570BCE">
        <w:rPr>
          <w:rFonts w:eastAsia="Times New Roman" w:cs="Times New Roman"/>
          <w:rtl/>
          <w:lang w:eastAsia="de-DE"/>
        </w:rPr>
        <w:t xml:space="preserve"> </w:t>
      </w:r>
      <w:r w:rsidRPr="00570BCE">
        <w:rPr>
          <w:rFonts w:eastAsia="Times New Roman" w:cs="Times New Roman"/>
          <w:lang w:eastAsia="de-DE"/>
        </w:rPr>
        <w:t xml:space="preserve">(hinausgehen) im Qal-Imperfekt 2. Person maskulin Plural mit Negation </w:t>
      </w:r>
      <w:r w:rsidRPr="00570BCE">
        <w:rPr>
          <w:rFonts w:eastAsia="Times New Roman" w:cs="Times New Roman"/>
          <w:b/>
          <w:bCs/>
          <w:rtl/>
          <w:lang w:eastAsia="de-DE"/>
        </w:rPr>
        <w:t>לא</w:t>
      </w:r>
      <w:r w:rsidRPr="00570BCE">
        <w:rPr>
          <w:rFonts w:eastAsia="Times New Roman" w:cs="Times New Roman"/>
          <w:lang w:eastAsia="de-DE"/>
        </w:rPr>
        <w:t xml:space="preserve">. </w:t>
      </w:r>
      <w:r w:rsidRPr="00570BCE">
        <w:rPr>
          <w:rFonts w:eastAsia="Times New Roman" w:cs="Times New Roman"/>
          <w:b/>
          <w:bCs/>
          <w:rtl/>
          <w:lang w:eastAsia="de-DE"/>
        </w:rPr>
        <w:t>מפתח אהל מועד</w:t>
      </w:r>
      <w:r w:rsidRPr="00570BCE">
        <w:rPr>
          <w:rFonts w:eastAsia="Times New Roman" w:cs="Times New Roman"/>
          <w:rtl/>
          <w:lang w:eastAsia="de-DE"/>
        </w:rPr>
        <w:t xml:space="preserve"> </w:t>
      </w:r>
      <w:r w:rsidRPr="00570BCE">
        <w:rPr>
          <w:rFonts w:eastAsia="Times New Roman" w:cs="Times New Roman"/>
          <w:lang w:eastAsia="de-DE"/>
        </w:rPr>
        <w:t xml:space="preserve">(vom Eingang des Zeltes der Begegnung) mit Präposition </w:t>
      </w:r>
      <w:r w:rsidRPr="00570BCE">
        <w:rPr>
          <w:rFonts w:eastAsia="Times New Roman" w:cs="Times New Roman"/>
          <w:b/>
          <w:bCs/>
          <w:rtl/>
          <w:lang w:eastAsia="de-DE"/>
        </w:rPr>
        <w:t>מן</w:t>
      </w:r>
      <w:r w:rsidRPr="00570BCE">
        <w:rPr>
          <w:rFonts w:eastAsia="Times New Roman" w:cs="Times New Roman"/>
          <w:rtl/>
          <w:lang w:eastAsia="de-DE"/>
        </w:rPr>
        <w:t xml:space="preserve"> </w:t>
      </w:r>
      <w:r w:rsidRPr="00570BCE">
        <w:rPr>
          <w:rFonts w:eastAsia="Times New Roman" w:cs="Times New Roman"/>
          <w:lang w:eastAsia="de-DE"/>
        </w:rPr>
        <w:t xml:space="preserve">zeigt die Abgangsrichtung. </w:t>
      </w:r>
      <w:r w:rsidRPr="00570BCE">
        <w:rPr>
          <w:rFonts w:eastAsia="Times New Roman" w:cs="Times New Roman"/>
          <w:b/>
          <w:bCs/>
          <w:rtl/>
          <w:lang w:eastAsia="de-DE"/>
        </w:rPr>
        <w:t>שבעת ימים</w:t>
      </w:r>
      <w:r w:rsidRPr="00570BCE">
        <w:rPr>
          <w:rFonts w:eastAsia="Times New Roman" w:cs="Times New Roman"/>
          <w:rtl/>
          <w:lang w:eastAsia="de-DE"/>
        </w:rPr>
        <w:t xml:space="preserve"> </w:t>
      </w:r>
      <w:r w:rsidRPr="00570BCE">
        <w:rPr>
          <w:rFonts w:eastAsia="Times New Roman" w:cs="Times New Roman"/>
          <w:lang w:eastAsia="de-DE"/>
        </w:rPr>
        <w:t>(sieben Tage) als Zeitangabe im Akkusativ. Die Siebenzahl zeigt kultische Vollkommenheit.</w:t>
      </w:r>
    </w:p>
    <w:p w14:paraId="7D4B21B8" w14:textId="729A9300"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עד יום מלאת ימי מלאיכם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עד</w:t>
      </w:r>
      <w:r w:rsidRPr="00570BCE">
        <w:rPr>
          <w:rFonts w:eastAsia="Times New Roman" w:cs="Times New Roman"/>
          <w:rtl/>
          <w:lang w:eastAsia="de-DE"/>
        </w:rPr>
        <w:t xml:space="preserve"> </w:t>
      </w:r>
      <w:r w:rsidRPr="00570BCE">
        <w:rPr>
          <w:rFonts w:eastAsia="Times New Roman" w:cs="Times New Roman"/>
          <w:lang w:eastAsia="de-DE"/>
        </w:rPr>
        <w:t xml:space="preserve">(bis) mit temporalem </w:t>
      </w:r>
      <w:r w:rsidRPr="00570BCE">
        <w:rPr>
          <w:rFonts w:eastAsia="Times New Roman" w:cs="Times New Roman"/>
          <w:b/>
          <w:bCs/>
          <w:rtl/>
          <w:lang w:eastAsia="de-DE"/>
        </w:rPr>
        <w:t>יום</w:t>
      </w:r>
      <w:r w:rsidRPr="00570BCE">
        <w:rPr>
          <w:rFonts w:eastAsia="Times New Roman" w:cs="Times New Roman"/>
          <w:rtl/>
          <w:lang w:eastAsia="de-DE"/>
        </w:rPr>
        <w:t xml:space="preserve"> </w:t>
      </w:r>
      <w:r w:rsidRPr="00570BCE">
        <w:rPr>
          <w:rFonts w:eastAsia="Times New Roman" w:cs="Times New Roman"/>
          <w:lang w:eastAsia="de-DE"/>
        </w:rPr>
        <w:t xml:space="preserve">(Tag). </w:t>
      </w:r>
      <w:r w:rsidRPr="00570BCE">
        <w:rPr>
          <w:rFonts w:eastAsia="Times New Roman" w:cs="Times New Roman"/>
          <w:b/>
          <w:bCs/>
          <w:rtl/>
          <w:lang w:eastAsia="de-DE"/>
        </w:rPr>
        <w:t>מלאת ימי מלאיכם</w:t>
      </w:r>
      <w:r w:rsidRPr="00570BCE">
        <w:rPr>
          <w:rFonts w:eastAsia="Times New Roman" w:cs="Times New Roman"/>
          <w:rtl/>
          <w:lang w:eastAsia="de-DE"/>
        </w:rPr>
        <w:t xml:space="preserve"> </w:t>
      </w:r>
      <w:r w:rsidRPr="00570BCE">
        <w:rPr>
          <w:rFonts w:eastAsia="Times New Roman" w:cs="Times New Roman"/>
          <w:lang w:eastAsia="de-DE"/>
        </w:rPr>
        <w:t xml:space="preserve">ist eine Genitivkonstruktion: </w:t>
      </w:r>
      <w:r w:rsidRPr="00570BCE">
        <w:rPr>
          <w:rFonts w:eastAsia="Times New Roman" w:cs="Times New Roman"/>
          <w:b/>
          <w:bCs/>
          <w:rtl/>
          <w:lang w:eastAsia="de-DE"/>
        </w:rPr>
        <w:t>מלאת</w:t>
      </w:r>
      <w:r w:rsidRPr="00570BCE">
        <w:rPr>
          <w:rFonts w:eastAsia="Times New Roman" w:cs="Times New Roman"/>
          <w:rtl/>
          <w:lang w:eastAsia="de-DE"/>
        </w:rPr>
        <w:t xml:space="preserve"> </w:t>
      </w:r>
      <w:r w:rsidRPr="00570BCE">
        <w:rPr>
          <w:rFonts w:eastAsia="Times New Roman" w:cs="Times New Roman"/>
          <w:lang w:eastAsia="de-DE"/>
        </w:rPr>
        <w:t xml:space="preserve">(das </w:t>
      </w:r>
      <w:proofErr w:type="spellStart"/>
      <w:r w:rsidRPr="00570BCE">
        <w:rPr>
          <w:rFonts w:eastAsia="Times New Roman" w:cs="Times New Roman"/>
          <w:lang w:eastAsia="de-DE"/>
        </w:rPr>
        <w:t>Erfülltwerden</w:t>
      </w:r>
      <w:proofErr w:type="spellEnd"/>
      <w:r w:rsidRPr="00570BCE">
        <w:rPr>
          <w:rFonts w:eastAsia="Times New Roman" w:cs="Times New Roman"/>
          <w:lang w:eastAsia="de-DE"/>
        </w:rPr>
        <w:t>) als Infinitiv-</w:t>
      </w:r>
      <w:r w:rsidR="005407E2">
        <w:rPr>
          <w:rFonts w:eastAsia="Times New Roman" w:cs="Times New Roman"/>
          <w:lang w:eastAsia="de-DE"/>
        </w:rPr>
        <w:t>Constructus</w:t>
      </w:r>
      <w:r w:rsidRPr="00570BCE">
        <w:rPr>
          <w:rFonts w:eastAsia="Times New Roman" w:cs="Times New Roman"/>
          <w:lang w:eastAsia="de-DE"/>
        </w:rPr>
        <w:t xml:space="preserve"> von </w:t>
      </w:r>
      <w:r w:rsidRPr="00570BCE">
        <w:rPr>
          <w:rFonts w:eastAsia="Times New Roman" w:cs="Times New Roman"/>
          <w:b/>
          <w:bCs/>
          <w:rtl/>
          <w:lang w:eastAsia="de-DE"/>
        </w:rPr>
        <w:t>מלא</w:t>
      </w:r>
      <w:r w:rsidRPr="00570BCE">
        <w:rPr>
          <w:rFonts w:eastAsia="Times New Roman" w:cs="Times New Roman"/>
          <w:rtl/>
          <w:lang w:eastAsia="de-DE"/>
        </w:rPr>
        <w:t xml:space="preserve"> </w:t>
      </w:r>
      <w:r w:rsidRPr="00570BCE">
        <w:rPr>
          <w:rFonts w:eastAsia="Times New Roman" w:cs="Times New Roman"/>
          <w:lang w:eastAsia="de-DE"/>
        </w:rPr>
        <w:t xml:space="preserve">(erfüllen/vollenden), </w:t>
      </w:r>
      <w:r w:rsidRPr="00570BCE">
        <w:rPr>
          <w:rFonts w:eastAsia="Times New Roman" w:cs="Times New Roman"/>
          <w:b/>
          <w:bCs/>
          <w:rtl/>
          <w:lang w:eastAsia="de-DE"/>
        </w:rPr>
        <w:t>ימי מלאיכם</w:t>
      </w:r>
      <w:r w:rsidRPr="00570BCE">
        <w:rPr>
          <w:rFonts w:eastAsia="Times New Roman" w:cs="Times New Roman"/>
          <w:rtl/>
          <w:lang w:eastAsia="de-DE"/>
        </w:rPr>
        <w:t xml:space="preserve"> </w:t>
      </w:r>
      <w:r w:rsidRPr="00570BCE">
        <w:rPr>
          <w:rFonts w:eastAsia="Times New Roman" w:cs="Times New Roman"/>
          <w:lang w:eastAsia="de-DE"/>
        </w:rPr>
        <w:t xml:space="preserve">(Tage eurer Einweihungen) mit Possessivsuffix 2. Person maskulin Plural. </w:t>
      </w:r>
      <w:r w:rsidRPr="00570BCE">
        <w:rPr>
          <w:rFonts w:eastAsia="Times New Roman" w:cs="Times New Roman"/>
          <w:b/>
          <w:bCs/>
          <w:rtl/>
          <w:lang w:eastAsia="de-DE"/>
        </w:rPr>
        <w:t>מלאים</w:t>
      </w:r>
      <w:r w:rsidRPr="00570BCE">
        <w:rPr>
          <w:rFonts w:eastAsia="Times New Roman" w:cs="Times New Roman"/>
          <w:rtl/>
          <w:lang w:eastAsia="de-DE"/>
        </w:rPr>
        <w:t xml:space="preserve"> </w:t>
      </w:r>
      <w:r w:rsidRPr="00570BCE">
        <w:rPr>
          <w:rFonts w:eastAsia="Times New Roman" w:cs="Times New Roman"/>
          <w:lang w:eastAsia="de-DE"/>
        </w:rPr>
        <w:t xml:space="preserve">als Plural von </w:t>
      </w:r>
      <w:r w:rsidRPr="00570BCE">
        <w:rPr>
          <w:rFonts w:eastAsia="Times New Roman" w:cs="Times New Roman"/>
          <w:b/>
          <w:bCs/>
          <w:rtl/>
          <w:lang w:eastAsia="de-DE"/>
        </w:rPr>
        <w:t>מלא</w:t>
      </w:r>
      <w:r w:rsidRPr="00570BCE">
        <w:rPr>
          <w:rFonts w:eastAsia="Times New Roman" w:cs="Times New Roman"/>
          <w:rtl/>
          <w:lang w:eastAsia="de-DE"/>
        </w:rPr>
        <w:t xml:space="preserve"> </w:t>
      </w:r>
      <w:r w:rsidRPr="00570BCE">
        <w:rPr>
          <w:rFonts w:eastAsia="Times New Roman" w:cs="Times New Roman"/>
          <w:lang w:eastAsia="de-DE"/>
        </w:rPr>
        <w:t xml:space="preserve">entspricht </w:t>
      </w:r>
      <w:r w:rsidRPr="00570BCE">
        <w:rPr>
          <w:rFonts w:eastAsia="Times New Roman" w:cs="Times New Roman"/>
          <w:b/>
          <w:bCs/>
          <w:rtl/>
          <w:lang w:eastAsia="de-DE"/>
        </w:rPr>
        <w:t>מלואים</w:t>
      </w:r>
      <w:r w:rsidRPr="00570BCE">
        <w:rPr>
          <w:rFonts w:eastAsia="Times New Roman" w:cs="Times New Roman"/>
          <w:lang w:eastAsia="de-DE"/>
        </w:rPr>
        <w:t>.</w:t>
      </w:r>
    </w:p>
    <w:p w14:paraId="46599D4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כי שבעת ימים ימלא את־ידכם</w:t>
      </w:r>
      <w:r w:rsidRPr="00570BCE">
        <w:rPr>
          <w:rFonts w:eastAsia="Times New Roman" w:cs="Times New Roman"/>
          <w:rtl/>
          <w:lang w:eastAsia="de-DE"/>
        </w:rPr>
        <w:t xml:space="preserve"> </w:t>
      </w:r>
      <w:r w:rsidRPr="00570BCE">
        <w:rPr>
          <w:rFonts w:eastAsia="Times New Roman" w:cs="Times New Roman"/>
          <w:lang w:eastAsia="de-DE"/>
        </w:rPr>
        <w:t xml:space="preserve">begründet das Verbot. </w:t>
      </w:r>
      <w:r w:rsidRPr="00570BCE">
        <w:rPr>
          <w:rFonts w:eastAsia="Times New Roman" w:cs="Times New Roman"/>
          <w:b/>
          <w:bCs/>
          <w:rtl/>
          <w:lang w:eastAsia="de-DE"/>
        </w:rPr>
        <w:t>כי</w:t>
      </w:r>
      <w:r w:rsidRPr="00570BCE">
        <w:rPr>
          <w:rFonts w:eastAsia="Times New Roman" w:cs="Times New Roman"/>
          <w:rtl/>
          <w:lang w:eastAsia="de-DE"/>
        </w:rPr>
        <w:t xml:space="preserve"> </w:t>
      </w:r>
      <w:r w:rsidRPr="00570BCE">
        <w:rPr>
          <w:rFonts w:eastAsia="Times New Roman" w:cs="Times New Roman"/>
          <w:lang w:eastAsia="de-DE"/>
        </w:rPr>
        <w:t xml:space="preserve">(denn) leitet den Begründungssatz ein. </w:t>
      </w:r>
      <w:r w:rsidRPr="00570BCE">
        <w:rPr>
          <w:rFonts w:eastAsia="Times New Roman" w:cs="Times New Roman"/>
          <w:b/>
          <w:bCs/>
          <w:rtl/>
          <w:lang w:eastAsia="de-DE"/>
        </w:rPr>
        <w:t>שבעת ימים</w:t>
      </w:r>
      <w:r w:rsidRPr="00570BCE">
        <w:rPr>
          <w:rFonts w:eastAsia="Times New Roman" w:cs="Times New Roman"/>
          <w:rtl/>
          <w:lang w:eastAsia="de-DE"/>
        </w:rPr>
        <w:t xml:space="preserve"> </w:t>
      </w:r>
      <w:r w:rsidRPr="00570BCE">
        <w:rPr>
          <w:rFonts w:eastAsia="Times New Roman" w:cs="Times New Roman"/>
          <w:lang w:eastAsia="de-DE"/>
        </w:rPr>
        <w:t xml:space="preserve">wiederholt die Zeitangabe. </w:t>
      </w:r>
      <w:r w:rsidRPr="00570BCE">
        <w:rPr>
          <w:rFonts w:eastAsia="Times New Roman" w:cs="Times New Roman"/>
          <w:b/>
          <w:bCs/>
          <w:rtl/>
          <w:lang w:eastAsia="de-DE"/>
        </w:rPr>
        <w:t>ימלא את־ידכם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מלא</w:t>
      </w:r>
      <w:r w:rsidRPr="00570BCE">
        <w:rPr>
          <w:rFonts w:eastAsia="Times New Roman" w:cs="Times New Roman"/>
          <w:rtl/>
          <w:lang w:eastAsia="de-DE"/>
        </w:rPr>
        <w:t xml:space="preserve"> </w:t>
      </w:r>
      <w:r w:rsidRPr="00570BCE">
        <w:rPr>
          <w:rFonts w:eastAsia="Times New Roman" w:cs="Times New Roman"/>
          <w:lang w:eastAsia="de-DE"/>
        </w:rPr>
        <w:t xml:space="preserve">(füllen) im Piel-Imperfekt 3. Person maskulin Singular. </w:t>
      </w:r>
      <w:r w:rsidRPr="00570BCE">
        <w:rPr>
          <w:rFonts w:eastAsia="Times New Roman" w:cs="Times New Roman"/>
          <w:b/>
          <w:bCs/>
          <w:rtl/>
          <w:lang w:eastAsia="de-DE"/>
        </w:rPr>
        <w:t>את־ידכם</w:t>
      </w:r>
      <w:r w:rsidRPr="00570BCE">
        <w:rPr>
          <w:rFonts w:eastAsia="Times New Roman" w:cs="Times New Roman"/>
          <w:rtl/>
          <w:lang w:eastAsia="de-DE"/>
        </w:rPr>
        <w:t xml:space="preserve"> </w:t>
      </w:r>
      <w:r w:rsidRPr="00570BCE">
        <w:rPr>
          <w:rFonts w:eastAsia="Times New Roman" w:cs="Times New Roman"/>
          <w:lang w:eastAsia="de-DE"/>
        </w:rPr>
        <w:t>(eure Hände) mit Possessivsuffix 2. Person maskulin Plural ist die idiomatische Wendung für Amtseinsetzung.</w:t>
      </w:r>
    </w:p>
    <w:p w14:paraId="76F4B723"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ימלא את־ידכם</w:t>
      </w:r>
      <w:r w:rsidRPr="00570BCE">
        <w:rPr>
          <w:rFonts w:eastAsia="Times New Roman" w:cs="Times New Roman"/>
          <w:rtl/>
          <w:lang w:eastAsia="de-DE"/>
        </w:rPr>
        <w:t xml:space="preserve"> </w:t>
      </w:r>
      <w:r w:rsidRPr="00570BCE">
        <w:rPr>
          <w:rFonts w:eastAsia="Times New Roman" w:cs="Times New Roman"/>
          <w:lang w:eastAsia="de-DE"/>
        </w:rPr>
        <w:t xml:space="preserve">(er wird eure Hände füllen) ist die wörtliche Bedeutung von </w:t>
      </w:r>
      <w:r w:rsidRPr="00570BCE">
        <w:rPr>
          <w:rFonts w:eastAsia="Times New Roman" w:cs="Times New Roman"/>
          <w:b/>
          <w:bCs/>
          <w:rtl/>
          <w:lang w:eastAsia="de-DE"/>
        </w:rPr>
        <w:t>מלואים</w:t>
      </w:r>
      <w:r w:rsidRPr="00570BCE">
        <w:rPr>
          <w:rFonts w:eastAsia="Times New Roman" w:cs="Times New Roman"/>
          <w:lang w:eastAsia="de-DE"/>
        </w:rPr>
        <w:t xml:space="preserve">. "Die Hände füllen" bedeutet "in ein Amt einsetzen", vermutlich ursprünglich durch Übergabe von Amtsinsignien. </w:t>
      </w:r>
      <w:r w:rsidRPr="00570BCE">
        <w:rPr>
          <w:rFonts w:eastAsia="Times New Roman" w:cs="Times New Roman"/>
          <w:b/>
          <w:bCs/>
          <w:rtl/>
          <w:lang w:eastAsia="de-DE"/>
        </w:rPr>
        <w:t>שבעת ימים</w:t>
      </w:r>
      <w:r w:rsidRPr="00570BCE">
        <w:rPr>
          <w:rFonts w:eastAsia="Times New Roman" w:cs="Times New Roman"/>
          <w:rtl/>
          <w:lang w:eastAsia="de-DE"/>
        </w:rPr>
        <w:t xml:space="preserve"> </w:t>
      </w:r>
      <w:r w:rsidRPr="00570BCE">
        <w:rPr>
          <w:rFonts w:eastAsia="Times New Roman" w:cs="Times New Roman"/>
          <w:lang w:eastAsia="de-DE"/>
        </w:rPr>
        <w:t>als Weihedauer entspricht anderen kultischen Reinigungsperioden.</w:t>
      </w:r>
    </w:p>
    <w:p w14:paraId="2522B8F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Konstruktion </w:t>
      </w:r>
      <w:r w:rsidRPr="00570BCE">
        <w:rPr>
          <w:rFonts w:eastAsia="Times New Roman" w:cs="Times New Roman"/>
          <w:b/>
          <w:bCs/>
          <w:rtl/>
          <w:lang w:eastAsia="de-DE"/>
        </w:rPr>
        <w:t>עד יום מלאת</w:t>
      </w:r>
      <w:r w:rsidRPr="00570BCE">
        <w:rPr>
          <w:rFonts w:eastAsia="Times New Roman" w:cs="Times New Roman"/>
          <w:rtl/>
          <w:lang w:eastAsia="de-DE"/>
        </w:rPr>
        <w:t xml:space="preserve"> </w:t>
      </w:r>
      <w:r w:rsidRPr="00570BCE">
        <w:rPr>
          <w:rFonts w:eastAsia="Times New Roman" w:cs="Times New Roman"/>
          <w:lang w:eastAsia="de-DE"/>
        </w:rPr>
        <w:t xml:space="preserve">zeigt, dass die Weihe ein Prozess ist, der sieben Tage dauert und dann "erfüllt/vollendet" wird. </w:t>
      </w:r>
      <w:r w:rsidRPr="00570BCE">
        <w:rPr>
          <w:rFonts w:eastAsia="Times New Roman" w:cs="Times New Roman"/>
          <w:b/>
          <w:bCs/>
          <w:rtl/>
          <w:lang w:eastAsia="de-DE"/>
        </w:rPr>
        <w:t>ימלא</w:t>
      </w:r>
      <w:r w:rsidRPr="00570BCE">
        <w:rPr>
          <w:rFonts w:eastAsia="Times New Roman" w:cs="Times New Roman"/>
          <w:rtl/>
          <w:lang w:eastAsia="de-DE"/>
        </w:rPr>
        <w:t xml:space="preserve"> </w:t>
      </w:r>
      <w:r w:rsidRPr="00570BCE">
        <w:rPr>
          <w:rFonts w:eastAsia="Times New Roman" w:cs="Times New Roman"/>
          <w:lang w:eastAsia="de-DE"/>
        </w:rPr>
        <w:t>im Imperfekt zeigt die andauernde Amtseinsetzung während der sieben Tage.</w:t>
      </w:r>
    </w:p>
    <w:p w14:paraId="401DDFE0" w14:textId="2C4E64B4"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w:t>
      </w:r>
      <w:r w:rsidR="00865A3D">
        <w:t xml:space="preserve">übersetzt </w:t>
      </w:r>
      <w:r w:rsidR="00865A3D">
        <w:rPr>
          <w:rtl/>
        </w:rPr>
        <w:t>ימלא את־ידכם</w:t>
      </w:r>
      <w:r w:rsidR="00865A3D">
        <w:t xml:space="preserve"> (</w:t>
      </w:r>
      <w:proofErr w:type="spellStart"/>
      <w:r w:rsidR="00865A3D">
        <w:t>yemalle</w:t>
      </w:r>
      <w:proofErr w:type="spellEnd"/>
      <w:r w:rsidR="00865A3D">
        <w:t xml:space="preserve"> et-</w:t>
      </w:r>
      <w:proofErr w:type="spellStart"/>
      <w:r w:rsidR="00865A3D">
        <w:t>yedchem</w:t>
      </w:r>
      <w:proofErr w:type="spellEnd"/>
      <w:r w:rsidR="00865A3D">
        <w:t xml:space="preserve"> - "er wird eure Hände füllen") als </w:t>
      </w:r>
      <w:proofErr w:type="spellStart"/>
      <w:r w:rsidR="00865A3D">
        <w:t>τελειώσει</w:t>
      </w:r>
      <w:proofErr w:type="spellEnd"/>
      <w:r w:rsidR="00865A3D">
        <w:t xml:space="preserve"> </w:t>
      </w:r>
      <w:proofErr w:type="spellStart"/>
      <w:r w:rsidR="00865A3D">
        <w:t>τὰς</w:t>
      </w:r>
      <w:proofErr w:type="spellEnd"/>
      <w:r w:rsidR="00865A3D">
        <w:t xml:space="preserve"> </w:t>
      </w:r>
      <w:proofErr w:type="spellStart"/>
      <w:r w:rsidR="00865A3D">
        <w:t>χεῖρ</w:t>
      </w:r>
      <w:proofErr w:type="spellEnd"/>
      <w:r w:rsidR="00865A3D">
        <w:t xml:space="preserve">ας </w:t>
      </w:r>
      <w:proofErr w:type="spellStart"/>
      <w:r w:rsidR="00865A3D">
        <w:t>ὑμῶν</w:t>
      </w:r>
      <w:proofErr w:type="spellEnd"/>
      <w:r w:rsidR="00865A3D">
        <w:t xml:space="preserve"> (er wird eure Hände vollenden), was die Weihe als "Vollendung" interpretiert.</w:t>
      </w:r>
    </w:p>
    <w:p w14:paraId="5522648C"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lastRenderedPageBreak/>
        <w:t>Die Satzstruktur:</w:t>
      </w:r>
      <w:r w:rsidRPr="00570BCE">
        <w:rPr>
          <w:rFonts w:eastAsia="Times New Roman" w:cs="Times New Roman"/>
          <w:lang w:eastAsia="de-DE"/>
        </w:rPr>
        <w:t xml:space="preserve"> zeigt einen Hauptsatz mit temporaler Begrenzung plus Begründungssatz: Verbverbot + Zeitangabe + temporale Grenze + Begründung mit Zeitwiederholung + idiomatischer Ausdruck. Die Struktur betont die siebentägige Abgeschlossenheit der Weihezeit.</w:t>
      </w:r>
    </w:p>
    <w:p w14:paraId="2378365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Dieser Vers etabliert eine siebentägige Klausurzeit für die Weihlinge am Heiligtum als notwendige Dauer für die vollständige Amtseinsetzung.</w:t>
      </w:r>
    </w:p>
    <w:p w14:paraId="55C95529"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8,34</w:t>
      </w:r>
    </w:p>
    <w:p w14:paraId="27D4F085"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כַּאֲשֶׁ֥ר עָשָׂ֖ה בַּיּ֣וֹם הַזֶּ֑ה צִוָּ֧ה יְהוָ֛ה לַעֲשֹׂ֖ת לְכַפֵּ֥ר עֲלֵיכֶֽם׃</w:t>
      </w:r>
    </w:p>
    <w:p w14:paraId="2F1BE40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So wie man an diesem Tag getan hat, hat der Ewige zu tun geboten, um Sühnung für euch zu erwirken.</w:t>
      </w:r>
    </w:p>
    <w:p w14:paraId="5C06AAFE"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33C087F3">
          <v:rect id="_x0000_i1230" style="width:0;height:1.5pt" o:hralign="center" o:hrstd="t" o:hr="t" fillcolor="#a0a0a0" stroked="f"/>
        </w:pict>
      </w:r>
    </w:p>
    <w:p w14:paraId="06DAA7B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כאשר עשה ביום הזה</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עשה</w:t>
      </w:r>
      <w:r w:rsidRPr="00570BCE">
        <w:rPr>
          <w:rFonts w:eastAsia="Times New Roman" w:cs="Times New Roman"/>
          <w:rtl/>
          <w:lang w:eastAsia="de-DE"/>
        </w:rPr>
        <w:t xml:space="preserve"> </w:t>
      </w:r>
      <w:r w:rsidRPr="00570BCE">
        <w:rPr>
          <w:rFonts w:eastAsia="Times New Roman" w:cs="Times New Roman"/>
          <w:lang w:eastAsia="de-DE"/>
        </w:rPr>
        <w:t xml:space="preserve">(tun) im Qal-Perfekt 3. Person maskulin Singular. Das Subjekt ist indefinit/allgemein "man". </w:t>
      </w:r>
      <w:r w:rsidRPr="00570BCE">
        <w:rPr>
          <w:rFonts w:eastAsia="Times New Roman" w:cs="Times New Roman"/>
          <w:b/>
          <w:bCs/>
          <w:rtl/>
          <w:lang w:eastAsia="de-DE"/>
        </w:rPr>
        <w:t>ביום הזה</w:t>
      </w:r>
      <w:r w:rsidRPr="00570BCE">
        <w:rPr>
          <w:rFonts w:eastAsia="Times New Roman" w:cs="Times New Roman"/>
          <w:rtl/>
          <w:lang w:eastAsia="de-DE"/>
        </w:rPr>
        <w:t xml:space="preserve"> </w:t>
      </w:r>
      <w:r w:rsidRPr="00570BCE">
        <w:rPr>
          <w:rFonts w:eastAsia="Times New Roman" w:cs="Times New Roman"/>
          <w:lang w:eastAsia="de-DE"/>
        </w:rPr>
        <w:t xml:space="preserve">(an diesem Tag) mit Demonstrativpronomen </w:t>
      </w:r>
      <w:r w:rsidRPr="00570BCE">
        <w:rPr>
          <w:rFonts w:eastAsia="Times New Roman" w:cs="Times New Roman"/>
          <w:b/>
          <w:bCs/>
          <w:rtl/>
          <w:lang w:eastAsia="de-DE"/>
        </w:rPr>
        <w:t>זה</w:t>
      </w:r>
      <w:r w:rsidRPr="00570BCE">
        <w:rPr>
          <w:rFonts w:eastAsia="Times New Roman" w:cs="Times New Roman"/>
          <w:rtl/>
          <w:lang w:eastAsia="de-DE"/>
        </w:rPr>
        <w:t xml:space="preserve"> </w:t>
      </w:r>
      <w:r w:rsidRPr="00570BCE">
        <w:rPr>
          <w:rFonts w:eastAsia="Times New Roman" w:cs="Times New Roman"/>
          <w:lang w:eastAsia="de-DE"/>
        </w:rPr>
        <w:t xml:space="preserve">referenziert den ersten Weihetag. </w:t>
      </w:r>
      <w:r w:rsidRPr="00570BCE">
        <w:rPr>
          <w:rFonts w:eastAsia="Times New Roman" w:cs="Times New Roman"/>
          <w:b/>
          <w:bCs/>
          <w:rtl/>
          <w:lang w:eastAsia="de-DE"/>
        </w:rPr>
        <w:t>כאשר</w:t>
      </w:r>
      <w:r w:rsidRPr="00570BCE">
        <w:rPr>
          <w:rFonts w:eastAsia="Times New Roman" w:cs="Times New Roman"/>
          <w:rtl/>
          <w:lang w:eastAsia="de-DE"/>
        </w:rPr>
        <w:t xml:space="preserve"> </w:t>
      </w:r>
      <w:r w:rsidRPr="00570BCE">
        <w:rPr>
          <w:rFonts w:eastAsia="Times New Roman" w:cs="Times New Roman"/>
          <w:lang w:eastAsia="de-DE"/>
        </w:rPr>
        <w:t>(wie/entsprechend) leitet einen Vergleichssatz ein, der das Muster für die folgenden sechs Tage etabliert.</w:t>
      </w:r>
    </w:p>
    <w:p w14:paraId="0D600DD7" w14:textId="24530066"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צוה יהוה לעשות לכפר עליכם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צוה</w:t>
      </w:r>
      <w:r w:rsidRPr="00570BCE">
        <w:rPr>
          <w:rFonts w:eastAsia="Times New Roman" w:cs="Times New Roman"/>
          <w:rtl/>
          <w:lang w:eastAsia="de-DE"/>
        </w:rPr>
        <w:t xml:space="preserve"> </w:t>
      </w:r>
      <w:r w:rsidRPr="00570BCE">
        <w:rPr>
          <w:rFonts w:eastAsia="Times New Roman" w:cs="Times New Roman"/>
          <w:lang w:eastAsia="de-DE"/>
        </w:rPr>
        <w:t xml:space="preserve">(befehlen) im Piel-Perfekt 3. Person maskulin Singular mit </w:t>
      </w:r>
      <w:r w:rsidRPr="00570BCE">
        <w:rPr>
          <w:rFonts w:eastAsia="Times New Roman" w:cs="Times New Roman"/>
          <w:b/>
          <w:bCs/>
          <w:rtl/>
          <w:lang w:eastAsia="de-DE"/>
        </w:rPr>
        <w:t>יהוה</w:t>
      </w:r>
      <w:r w:rsidRPr="00570BCE">
        <w:rPr>
          <w:rFonts w:eastAsia="Times New Roman" w:cs="Times New Roman"/>
          <w:rtl/>
          <w:lang w:eastAsia="de-DE"/>
        </w:rPr>
        <w:t xml:space="preserve"> </w:t>
      </w:r>
      <w:r w:rsidRPr="00570BCE">
        <w:rPr>
          <w:rFonts w:eastAsia="Times New Roman" w:cs="Times New Roman"/>
          <w:lang w:eastAsia="de-DE"/>
        </w:rPr>
        <w:t xml:space="preserve">als Subjekt. </w:t>
      </w:r>
      <w:r w:rsidRPr="00570BCE">
        <w:rPr>
          <w:rFonts w:eastAsia="Times New Roman" w:cs="Times New Roman"/>
          <w:b/>
          <w:bCs/>
          <w:rtl/>
          <w:lang w:eastAsia="de-DE"/>
        </w:rPr>
        <w:t>לעשות</w:t>
      </w:r>
      <w:r w:rsidRPr="00570BCE">
        <w:rPr>
          <w:rFonts w:eastAsia="Times New Roman" w:cs="Times New Roman"/>
          <w:rtl/>
          <w:lang w:eastAsia="de-DE"/>
        </w:rPr>
        <w:t xml:space="preserve"> </w:t>
      </w:r>
      <w:r w:rsidRPr="00570BCE">
        <w:rPr>
          <w:rFonts w:eastAsia="Times New Roman" w:cs="Times New Roman"/>
          <w:lang w:eastAsia="de-DE"/>
        </w:rPr>
        <w:t>(zu tun) als Infinitiv-</w:t>
      </w:r>
      <w:r w:rsidR="005407E2">
        <w:rPr>
          <w:rFonts w:eastAsia="Times New Roman" w:cs="Times New Roman"/>
          <w:lang w:eastAsia="de-DE"/>
        </w:rPr>
        <w:t>Constructus</w:t>
      </w:r>
      <w:r w:rsidRPr="00570BCE">
        <w:rPr>
          <w:rFonts w:eastAsia="Times New Roman" w:cs="Times New Roman"/>
          <w:lang w:eastAsia="de-DE"/>
        </w:rPr>
        <w:t xml:space="preserve"> von </w:t>
      </w:r>
      <w:r w:rsidRPr="00570BCE">
        <w:rPr>
          <w:rFonts w:eastAsia="Times New Roman" w:cs="Times New Roman"/>
          <w:b/>
          <w:bCs/>
          <w:rtl/>
          <w:lang w:eastAsia="de-DE"/>
        </w:rPr>
        <w:t>עשה</w:t>
      </w:r>
      <w:r w:rsidRPr="00570BCE">
        <w:rPr>
          <w:rFonts w:eastAsia="Times New Roman" w:cs="Times New Roman"/>
          <w:rtl/>
          <w:lang w:eastAsia="de-DE"/>
        </w:rPr>
        <w:t xml:space="preserve"> </w:t>
      </w:r>
      <w:r w:rsidRPr="00570BCE">
        <w:rPr>
          <w:rFonts w:eastAsia="Times New Roman" w:cs="Times New Roman"/>
          <w:lang w:eastAsia="de-DE"/>
        </w:rPr>
        <w:t xml:space="preserve">mit Präposition </w:t>
      </w:r>
      <w:r w:rsidRPr="00570BCE">
        <w:rPr>
          <w:rFonts w:eastAsia="Times New Roman" w:cs="Times New Roman"/>
          <w:b/>
          <w:bCs/>
          <w:rtl/>
          <w:lang w:eastAsia="de-DE"/>
        </w:rPr>
        <w:t>ל</w:t>
      </w:r>
      <w:r w:rsidRPr="00570BCE">
        <w:rPr>
          <w:rFonts w:eastAsia="Times New Roman" w:cs="Times New Roman"/>
          <w:rtl/>
          <w:lang w:eastAsia="de-DE"/>
        </w:rPr>
        <w:t xml:space="preserve"> </w:t>
      </w:r>
      <w:r w:rsidRPr="00570BCE">
        <w:rPr>
          <w:rFonts w:eastAsia="Times New Roman" w:cs="Times New Roman"/>
          <w:lang w:eastAsia="de-DE"/>
        </w:rPr>
        <w:t xml:space="preserve">zeigt den Inhalt des göttlichen Befehls. </w:t>
      </w:r>
      <w:r w:rsidRPr="00570BCE">
        <w:rPr>
          <w:rFonts w:eastAsia="Times New Roman" w:cs="Times New Roman"/>
          <w:b/>
          <w:bCs/>
          <w:rtl/>
          <w:lang w:eastAsia="de-DE"/>
        </w:rPr>
        <w:t>לכפר עליכם</w:t>
      </w:r>
      <w:r w:rsidRPr="00570BCE">
        <w:rPr>
          <w:rFonts w:eastAsia="Times New Roman" w:cs="Times New Roman"/>
          <w:rtl/>
          <w:lang w:eastAsia="de-DE"/>
        </w:rPr>
        <w:t xml:space="preserve"> </w:t>
      </w:r>
      <w:r w:rsidRPr="00570BCE">
        <w:rPr>
          <w:rFonts w:eastAsia="Times New Roman" w:cs="Times New Roman"/>
          <w:lang w:eastAsia="de-DE"/>
        </w:rPr>
        <w:t xml:space="preserve">(um für euch zu sühnen) als Zweck-Infinitiv mit </w:t>
      </w:r>
      <w:r w:rsidRPr="00570BCE">
        <w:rPr>
          <w:rFonts w:eastAsia="Times New Roman" w:cs="Times New Roman"/>
          <w:b/>
          <w:bCs/>
          <w:rtl/>
          <w:lang w:eastAsia="de-DE"/>
        </w:rPr>
        <w:t>כפר</w:t>
      </w:r>
      <w:r w:rsidRPr="00570BCE">
        <w:rPr>
          <w:rFonts w:eastAsia="Times New Roman" w:cs="Times New Roman"/>
          <w:rtl/>
          <w:lang w:eastAsia="de-DE"/>
        </w:rPr>
        <w:t xml:space="preserve"> </w:t>
      </w:r>
      <w:r w:rsidRPr="00570BCE">
        <w:rPr>
          <w:rFonts w:eastAsia="Times New Roman" w:cs="Times New Roman"/>
          <w:lang w:eastAsia="de-DE"/>
        </w:rPr>
        <w:t xml:space="preserve">im Piel und Präposition </w:t>
      </w:r>
      <w:r w:rsidRPr="00570BCE">
        <w:rPr>
          <w:rFonts w:eastAsia="Times New Roman" w:cs="Times New Roman"/>
          <w:b/>
          <w:bCs/>
          <w:rtl/>
          <w:lang w:eastAsia="de-DE"/>
        </w:rPr>
        <w:t>על</w:t>
      </w:r>
      <w:r w:rsidRPr="00570BCE">
        <w:rPr>
          <w:rFonts w:eastAsia="Times New Roman" w:cs="Times New Roman"/>
          <w:rtl/>
          <w:lang w:eastAsia="de-DE"/>
        </w:rPr>
        <w:t xml:space="preserve"> </w:t>
      </w:r>
      <w:r w:rsidRPr="00570BCE">
        <w:rPr>
          <w:rFonts w:eastAsia="Times New Roman" w:cs="Times New Roman"/>
          <w:lang w:eastAsia="de-DE"/>
        </w:rPr>
        <w:t>mit Suffix 2. Person maskulin Plural.</w:t>
      </w:r>
    </w:p>
    <w:p w14:paraId="38FFB118"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Konstruktion </w:t>
      </w:r>
      <w:r w:rsidRPr="00570BCE">
        <w:rPr>
          <w:rFonts w:eastAsia="Times New Roman" w:cs="Times New Roman"/>
          <w:b/>
          <w:bCs/>
          <w:rtl/>
          <w:lang w:eastAsia="de-DE"/>
        </w:rPr>
        <w:t>צוה...לעשות</w:t>
      </w:r>
      <w:r w:rsidRPr="00570BCE">
        <w:rPr>
          <w:rFonts w:eastAsia="Times New Roman" w:cs="Times New Roman"/>
          <w:rtl/>
          <w:lang w:eastAsia="de-DE"/>
        </w:rPr>
        <w:t xml:space="preserve"> </w:t>
      </w:r>
      <w:r w:rsidRPr="00570BCE">
        <w:rPr>
          <w:rFonts w:eastAsia="Times New Roman" w:cs="Times New Roman"/>
          <w:lang w:eastAsia="de-DE"/>
        </w:rPr>
        <w:t xml:space="preserve">(befahl...zu tun) mit nachfolgendem Zweck-Infinitiv </w:t>
      </w:r>
      <w:r w:rsidRPr="00570BCE">
        <w:rPr>
          <w:rFonts w:eastAsia="Times New Roman" w:cs="Times New Roman"/>
          <w:b/>
          <w:bCs/>
          <w:rtl/>
          <w:lang w:eastAsia="de-DE"/>
        </w:rPr>
        <w:t>לכפר</w:t>
      </w:r>
      <w:r w:rsidRPr="00570BCE">
        <w:rPr>
          <w:rFonts w:eastAsia="Times New Roman" w:cs="Times New Roman"/>
          <w:rtl/>
          <w:lang w:eastAsia="de-DE"/>
        </w:rPr>
        <w:t xml:space="preserve"> </w:t>
      </w:r>
      <w:r w:rsidRPr="00570BCE">
        <w:rPr>
          <w:rFonts w:eastAsia="Times New Roman" w:cs="Times New Roman"/>
          <w:lang w:eastAsia="de-DE"/>
        </w:rPr>
        <w:t xml:space="preserve">zeigt die theologische Begründung der siebentägigen Wiederholung. </w:t>
      </w:r>
      <w:r w:rsidRPr="00570BCE">
        <w:rPr>
          <w:rFonts w:eastAsia="Times New Roman" w:cs="Times New Roman"/>
          <w:b/>
          <w:bCs/>
          <w:rtl/>
          <w:lang w:eastAsia="de-DE"/>
        </w:rPr>
        <w:t>כפר</w:t>
      </w:r>
      <w:r w:rsidRPr="00570BCE">
        <w:rPr>
          <w:rFonts w:eastAsia="Times New Roman" w:cs="Times New Roman"/>
          <w:rtl/>
          <w:lang w:eastAsia="de-DE"/>
        </w:rPr>
        <w:t xml:space="preserve"> </w:t>
      </w:r>
      <w:r w:rsidRPr="00570BCE">
        <w:rPr>
          <w:rFonts w:eastAsia="Times New Roman" w:cs="Times New Roman"/>
          <w:lang w:eastAsia="de-DE"/>
        </w:rPr>
        <w:t>im Piel bedeutet "Sühne erwirken/vergeben" und zeigt, dass die Priesterweihe auch sühnenden Charakter hat.</w:t>
      </w:r>
    </w:p>
    <w:p w14:paraId="4439C43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עליכם</w:t>
      </w:r>
      <w:r w:rsidRPr="00570BCE">
        <w:rPr>
          <w:rFonts w:eastAsia="Times New Roman" w:cs="Times New Roman"/>
          <w:rtl/>
          <w:lang w:eastAsia="de-DE"/>
        </w:rPr>
        <w:t xml:space="preserve"> </w:t>
      </w:r>
      <w:r w:rsidRPr="00570BCE">
        <w:rPr>
          <w:rFonts w:eastAsia="Times New Roman" w:cs="Times New Roman"/>
          <w:lang w:eastAsia="de-DE"/>
        </w:rPr>
        <w:t>(für euch) zeigt, dass die Sühne den Weihlingen selbst gilt, nicht stellvertretend für andere. Die Priesterweihe hat also sowohl einsetzenden (</w:t>
      </w:r>
      <w:r w:rsidRPr="00570BCE">
        <w:rPr>
          <w:rFonts w:eastAsia="Times New Roman" w:cs="Times New Roman"/>
          <w:b/>
          <w:bCs/>
          <w:rtl/>
          <w:lang w:eastAsia="de-DE"/>
        </w:rPr>
        <w:t>מלא את־ידכם</w:t>
      </w:r>
      <w:r w:rsidRPr="00570BCE">
        <w:rPr>
          <w:rFonts w:eastAsia="Times New Roman" w:cs="Times New Roman"/>
          <w:lang w:eastAsia="de-DE"/>
        </w:rPr>
        <w:t>) als auch sühnenden (</w:t>
      </w:r>
      <w:r w:rsidRPr="00570BCE">
        <w:rPr>
          <w:rFonts w:eastAsia="Times New Roman" w:cs="Times New Roman"/>
          <w:b/>
          <w:bCs/>
          <w:rtl/>
          <w:lang w:eastAsia="de-DE"/>
        </w:rPr>
        <w:t>כפר עליכם</w:t>
      </w:r>
      <w:r w:rsidRPr="00570BCE">
        <w:rPr>
          <w:rFonts w:eastAsia="Times New Roman" w:cs="Times New Roman"/>
          <w:lang w:eastAsia="de-DE"/>
        </w:rPr>
        <w:t>) Charakter.</w:t>
      </w:r>
    </w:p>
    <w:p w14:paraId="7728DA9A"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ביום הזה</w:t>
      </w:r>
      <w:r w:rsidRPr="00570BCE">
        <w:rPr>
          <w:rFonts w:eastAsia="Times New Roman" w:cs="Times New Roman"/>
          <w:rtl/>
          <w:lang w:eastAsia="de-DE"/>
        </w:rPr>
        <w:t xml:space="preserve"> </w:t>
      </w:r>
      <w:r w:rsidRPr="00570BCE">
        <w:rPr>
          <w:rFonts w:eastAsia="Times New Roman" w:cs="Times New Roman"/>
          <w:lang w:eastAsia="de-DE"/>
        </w:rPr>
        <w:t>als Referenzpunkt zeigt, dass der erste Tag als Muster für die gesamte siebentägige Weihezeit dient. Die Wiederholung der Zeremonien ist theologisch notwendig für vollständige Sühne und Einsetzung.</w:t>
      </w:r>
    </w:p>
    <w:p w14:paraId="75572C5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übersetzt </w:t>
      </w:r>
      <w:r w:rsidRPr="00570BCE">
        <w:rPr>
          <w:rFonts w:eastAsia="Times New Roman" w:cs="Times New Roman"/>
          <w:b/>
          <w:bCs/>
          <w:rtl/>
          <w:lang w:eastAsia="de-DE"/>
        </w:rPr>
        <w:t>כאשר עשה</w:t>
      </w:r>
      <w:r w:rsidRPr="00570BCE">
        <w:rPr>
          <w:rFonts w:eastAsia="Times New Roman" w:cs="Times New Roman"/>
          <w:rtl/>
          <w:lang w:eastAsia="de-DE"/>
        </w:rPr>
        <w:t xml:space="preserve"> </w:t>
      </w:r>
      <w:r w:rsidRPr="00570BCE">
        <w:rPr>
          <w:rFonts w:eastAsia="Times New Roman" w:cs="Times New Roman"/>
          <w:lang w:eastAsia="de-DE"/>
        </w:rPr>
        <w:t>mit κα</w:t>
      </w:r>
      <w:proofErr w:type="spellStart"/>
      <w:r w:rsidRPr="00570BCE">
        <w:rPr>
          <w:rFonts w:eastAsia="Times New Roman" w:cs="Times New Roman"/>
          <w:lang w:eastAsia="de-DE"/>
        </w:rPr>
        <w:t>θά</w:t>
      </w:r>
      <w:proofErr w:type="spellEnd"/>
      <w:r w:rsidRPr="00570BCE">
        <w:rPr>
          <w:rFonts w:eastAsia="Times New Roman" w:cs="Times New Roman"/>
          <w:lang w:eastAsia="de-DE"/>
        </w:rPr>
        <w:t>περ ἐπ</w:t>
      </w:r>
      <w:proofErr w:type="spellStart"/>
      <w:r w:rsidRPr="00570BCE">
        <w:rPr>
          <w:rFonts w:eastAsia="Times New Roman" w:cs="Times New Roman"/>
          <w:lang w:eastAsia="de-DE"/>
        </w:rPr>
        <w:t>οίησ</w:t>
      </w:r>
      <w:proofErr w:type="spellEnd"/>
      <w:r w:rsidRPr="00570BCE">
        <w:rPr>
          <w:rFonts w:eastAsia="Times New Roman" w:cs="Times New Roman"/>
          <w:lang w:eastAsia="de-DE"/>
        </w:rPr>
        <w:t xml:space="preserve">αν (wie sie getan haben), </w:t>
      </w:r>
      <w:r w:rsidRPr="00570BCE">
        <w:rPr>
          <w:rFonts w:eastAsia="Times New Roman" w:cs="Times New Roman"/>
          <w:b/>
          <w:bCs/>
          <w:rtl/>
          <w:lang w:eastAsia="de-DE"/>
        </w:rPr>
        <w:t>ביום הזה</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τῇ</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ἡμέρᾳ</w:t>
      </w:r>
      <w:proofErr w:type="spellEnd"/>
      <w:r w:rsidRPr="00570BCE">
        <w:rPr>
          <w:rFonts w:eastAsia="Times New Roman" w:cs="Times New Roman"/>
          <w:lang w:eastAsia="de-DE"/>
        </w:rPr>
        <w:t xml:space="preserve"> τα</w:t>
      </w:r>
      <w:proofErr w:type="spellStart"/>
      <w:r w:rsidRPr="00570BCE">
        <w:rPr>
          <w:rFonts w:eastAsia="Times New Roman" w:cs="Times New Roman"/>
          <w:lang w:eastAsia="de-DE"/>
        </w:rPr>
        <w:t>ύτῃ</w:t>
      </w:r>
      <w:proofErr w:type="spellEnd"/>
      <w:r w:rsidRPr="00570BCE">
        <w:rPr>
          <w:rFonts w:eastAsia="Times New Roman" w:cs="Times New Roman"/>
          <w:lang w:eastAsia="de-DE"/>
        </w:rPr>
        <w:t xml:space="preserve"> (an diesem Tag) und </w:t>
      </w:r>
      <w:r w:rsidRPr="00570BCE">
        <w:rPr>
          <w:rFonts w:eastAsia="Times New Roman" w:cs="Times New Roman"/>
          <w:b/>
          <w:bCs/>
          <w:rtl/>
          <w:lang w:eastAsia="de-DE"/>
        </w:rPr>
        <w:t>לכפר עליכם</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ἐξιλάσ</w:t>
      </w:r>
      <w:proofErr w:type="spellEnd"/>
      <w:r w:rsidRPr="00570BCE">
        <w:rPr>
          <w:rFonts w:eastAsia="Times New Roman" w:cs="Times New Roman"/>
          <w:lang w:eastAsia="de-DE"/>
        </w:rPr>
        <w:t>ασθαι π</w:t>
      </w:r>
      <w:proofErr w:type="spellStart"/>
      <w:r w:rsidRPr="00570BCE">
        <w:rPr>
          <w:rFonts w:eastAsia="Times New Roman" w:cs="Times New Roman"/>
          <w:lang w:eastAsia="de-DE"/>
        </w:rPr>
        <w:t>ερὶ</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ὑμῶν</w:t>
      </w:r>
      <w:proofErr w:type="spellEnd"/>
      <w:r w:rsidRPr="00570BCE">
        <w:rPr>
          <w:rFonts w:eastAsia="Times New Roman" w:cs="Times New Roman"/>
          <w:lang w:eastAsia="de-DE"/>
        </w:rPr>
        <w:t xml:space="preserve"> (um für euch zu sühnen).</w:t>
      </w:r>
    </w:p>
    <w:p w14:paraId="2C4E1E0B"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einen komplexen Satz: Vergleichssatz + Hauptsatz mit Zweck-Infinitiv. Die Struktur verknüpft das tägliche Geschehen mit dem göttlichen Befehl und dem sühnenden Zweck.</w:t>
      </w:r>
    </w:p>
    <w:p w14:paraId="4BE3444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Dieser Vers erklärt die theologische Notwendigkeit der siebentägigen Wiederholung der Weihezeremonien zur vollständigen Sühne für die angehenden Priester.</w:t>
      </w:r>
    </w:p>
    <w:p w14:paraId="68BECE5A"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lastRenderedPageBreak/>
        <w:t>Leviticus 8,35</w:t>
      </w:r>
    </w:p>
    <w:p w14:paraId="7AFF30E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וּפֶתַח֩ אֹ֨הֶל מוֹעֵ֜ד תֵּשְׁב֨וּ יוֹמָ֤ם וָלַ֨יְלָה֙ שִׁבְעַ֣ת יָמִ֔ים וּשְׁמַרְתֶּ֛ם אֶת־מִשְׁמֶ֥רֶת יְהוָ֖ה וְלֹ֣א תָמ֑וּתוּ כִּי־כֵ֖ן צֻוֵּֽיתִי׃</w:t>
      </w:r>
    </w:p>
    <w:p w14:paraId="2B030DF1"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ihr sollt an dem Eingang des Zeltes der Begegnung Tag und Nacht bleiben, sieben Tage lang, und sollt die Vorschrift des Ewigen beobachten, dass ihr nicht sterbt; denn so ist mir geboten worden.</w:t>
      </w:r>
    </w:p>
    <w:p w14:paraId="2F3AA71A"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7C2C49F1">
          <v:rect id="_x0000_i1231" style="width:0;height:1.5pt" o:hralign="center" o:hrstd="t" o:hr="t" fillcolor="#a0a0a0" stroked="f"/>
        </w:pict>
      </w:r>
    </w:p>
    <w:p w14:paraId="78294E09"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ופתח אהל מועד תשבו יומם ולילה שבעת ימים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ישב</w:t>
      </w:r>
      <w:r w:rsidRPr="00570BCE">
        <w:rPr>
          <w:rFonts w:eastAsia="Times New Roman" w:cs="Times New Roman"/>
          <w:rtl/>
          <w:lang w:eastAsia="de-DE"/>
        </w:rPr>
        <w:t xml:space="preserve"> </w:t>
      </w:r>
      <w:r w:rsidRPr="00570BCE">
        <w:rPr>
          <w:rFonts w:eastAsia="Times New Roman" w:cs="Times New Roman"/>
          <w:lang w:eastAsia="de-DE"/>
        </w:rPr>
        <w:t xml:space="preserve">(sitzen/bleiben) im Qal-Imperfekt 2. Person maskulin Plural. </w:t>
      </w:r>
      <w:r w:rsidRPr="00570BCE">
        <w:rPr>
          <w:rFonts w:eastAsia="Times New Roman" w:cs="Times New Roman"/>
          <w:b/>
          <w:bCs/>
          <w:rtl/>
          <w:lang w:eastAsia="de-DE"/>
        </w:rPr>
        <w:t>פתח אהל מועד</w:t>
      </w:r>
      <w:r w:rsidRPr="00570BCE">
        <w:rPr>
          <w:rFonts w:eastAsia="Times New Roman" w:cs="Times New Roman"/>
          <w:rtl/>
          <w:lang w:eastAsia="de-DE"/>
        </w:rPr>
        <w:t xml:space="preserve"> </w:t>
      </w:r>
      <w:r w:rsidRPr="00570BCE">
        <w:rPr>
          <w:rFonts w:eastAsia="Times New Roman" w:cs="Times New Roman"/>
          <w:lang w:eastAsia="de-DE"/>
        </w:rPr>
        <w:t xml:space="preserve">(am Eingang des Zeltes der Begegnung) als Ortsangabe entspricht V. 31.33. </w:t>
      </w:r>
      <w:r w:rsidRPr="00570BCE">
        <w:rPr>
          <w:rFonts w:eastAsia="Times New Roman" w:cs="Times New Roman"/>
          <w:b/>
          <w:bCs/>
          <w:rtl/>
          <w:lang w:eastAsia="de-DE"/>
        </w:rPr>
        <w:t>יומם ולילה</w:t>
      </w:r>
      <w:r w:rsidRPr="00570BCE">
        <w:rPr>
          <w:rFonts w:eastAsia="Times New Roman" w:cs="Times New Roman"/>
          <w:rtl/>
          <w:lang w:eastAsia="de-DE"/>
        </w:rPr>
        <w:t xml:space="preserve"> </w:t>
      </w:r>
      <w:r w:rsidRPr="00570BCE">
        <w:rPr>
          <w:rFonts w:eastAsia="Times New Roman" w:cs="Times New Roman"/>
          <w:lang w:eastAsia="de-DE"/>
        </w:rPr>
        <w:t xml:space="preserve">(Tag und Nacht) als temporale Totalität mit </w:t>
      </w:r>
      <w:r w:rsidRPr="00570BCE">
        <w:rPr>
          <w:rFonts w:eastAsia="Times New Roman" w:cs="Times New Roman"/>
          <w:b/>
          <w:bCs/>
          <w:rtl/>
          <w:lang w:eastAsia="de-DE"/>
        </w:rPr>
        <w:t>יומם</w:t>
      </w:r>
      <w:r w:rsidRPr="00570BCE">
        <w:rPr>
          <w:rFonts w:eastAsia="Times New Roman" w:cs="Times New Roman"/>
          <w:rtl/>
          <w:lang w:eastAsia="de-DE"/>
        </w:rPr>
        <w:t xml:space="preserve"> </w:t>
      </w:r>
      <w:r w:rsidRPr="00570BCE">
        <w:rPr>
          <w:rFonts w:eastAsia="Times New Roman" w:cs="Times New Roman"/>
          <w:lang w:eastAsia="de-DE"/>
        </w:rPr>
        <w:t xml:space="preserve">(tagsüber) und </w:t>
      </w:r>
      <w:r w:rsidRPr="00570BCE">
        <w:rPr>
          <w:rFonts w:eastAsia="Times New Roman" w:cs="Times New Roman"/>
          <w:b/>
          <w:bCs/>
          <w:rtl/>
          <w:lang w:eastAsia="de-DE"/>
        </w:rPr>
        <w:t>לילה</w:t>
      </w:r>
      <w:r w:rsidRPr="00570BCE">
        <w:rPr>
          <w:rFonts w:eastAsia="Times New Roman" w:cs="Times New Roman"/>
          <w:rtl/>
          <w:lang w:eastAsia="de-DE"/>
        </w:rPr>
        <w:t xml:space="preserve"> </w:t>
      </w:r>
      <w:r w:rsidRPr="00570BCE">
        <w:rPr>
          <w:rFonts w:eastAsia="Times New Roman" w:cs="Times New Roman"/>
          <w:lang w:eastAsia="de-DE"/>
        </w:rPr>
        <w:t xml:space="preserve">(nachts). </w:t>
      </w:r>
      <w:r w:rsidRPr="00570BCE">
        <w:rPr>
          <w:rFonts w:eastAsia="Times New Roman" w:cs="Times New Roman"/>
          <w:b/>
          <w:bCs/>
          <w:rtl/>
          <w:lang w:eastAsia="de-DE"/>
        </w:rPr>
        <w:t>שבעת ימים</w:t>
      </w:r>
      <w:r w:rsidRPr="00570BCE">
        <w:rPr>
          <w:rFonts w:eastAsia="Times New Roman" w:cs="Times New Roman"/>
          <w:rtl/>
          <w:lang w:eastAsia="de-DE"/>
        </w:rPr>
        <w:t xml:space="preserve"> </w:t>
      </w:r>
      <w:r w:rsidRPr="00570BCE">
        <w:rPr>
          <w:rFonts w:eastAsia="Times New Roman" w:cs="Times New Roman"/>
          <w:lang w:eastAsia="de-DE"/>
        </w:rPr>
        <w:t>wiederholt die Zeitangabe aus V. 33.</w:t>
      </w:r>
    </w:p>
    <w:p w14:paraId="63A394F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ושמרתם את־משמרת יהוה ולא תמותו</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שמר</w:t>
      </w:r>
      <w:r w:rsidRPr="00570BCE">
        <w:rPr>
          <w:rFonts w:eastAsia="Times New Roman" w:cs="Times New Roman"/>
          <w:rtl/>
          <w:lang w:eastAsia="de-DE"/>
        </w:rPr>
        <w:t xml:space="preserve"> </w:t>
      </w:r>
      <w:r w:rsidRPr="00570BCE">
        <w:rPr>
          <w:rFonts w:eastAsia="Times New Roman" w:cs="Times New Roman"/>
          <w:lang w:eastAsia="de-DE"/>
        </w:rPr>
        <w:t xml:space="preserve">(hüten/beobachten) im Qal-Perfekt 2. Person maskulin Plural mit Waw-Konsekutiv. </w:t>
      </w:r>
      <w:r w:rsidRPr="00570BCE">
        <w:rPr>
          <w:rFonts w:eastAsia="Times New Roman" w:cs="Times New Roman"/>
          <w:b/>
          <w:bCs/>
          <w:rtl/>
          <w:lang w:eastAsia="de-DE"/>
        </w:rPr>
        <w:t>את־משמרת יהוה</w:t>
      </w:r>
      <w:r w:rsidRPr="00570BCE">
        <w:rPr>
          <w:rFonts w:eastAsia="Times New Roman" w:cs="Times New Roman"/>
          <w:rtl/>
          <w:lang w:eastAsia="de-DE"/>
        </w:rPr>
        <w:t xml:space="preserve"> </w:t>
      </w:r>
      <w:r w:rsidRPr="00570BCE">
        <w:rPr>
          <w:rFonts w:eastAsia="Times New Roman" w:cs="Times New Roman"/>
          <w:lang w:eastAsia="de-DE"/>
        </w:rPr>
        <w:t xml:space="preserve">(die Wache/Vorschrift JHWHs) - </w:t>
      </w:r>
      <w:r w:rsidRPr="00570BCE">
        <w:rPr>
          <w:rFonts w:eastAsia="Times New Roman" w:cs="Times New Roman"/>
          <w:b/>
          <w:bCs/>
          <w:rtl/>
          <w:lang w:eastAsia="de-DE"/>
        </w:rPr>
        <w:t>משמרת</w:t>
      </w:r>
      <w:r w:rsidRPr="00570BCE">
        <w:rPr>
          <w:rFonts w:eastAsia="Times New Roman" w:cs="Times New Roman"/>
          <w:rtl/>
          <w:lang w:eastAsia="de-DE"/>
        </w:rPr>
        <w:t xml:space="preserve"> </w:t>
      </w:r>
      <w:r w:rsidRPr="00570BCE">
        <w:rPr>
          <w:rFonts w:eastAsia="Times New Roman" w:cs="Times New Roman"/>
          <w:lang w:eastAsia="de-DE"/>
        </w:rPr>
        <w:t xml:space="preserve">von </w:t>
      </w:r>
      <w:r w:rsidRPr="00570BCE">
        <w:rPr>
          <w:rFonts w:eastAsia="Times New Roman" w:cs="Times New Roman"/>
          <w:b/>
          <w:bCs/>
          <w:rtl/>
          <w:lang w:eastAsia="de-DE"/>
        </w:rPr>
        <w:t>שמר</w:t>
      </w:r>
      <w:r w:rsidRPr="00570BCE">
        <w:rPr>
          <w:rFonts w:eastAsia="Times New Roman" w:cs="Times New Roman"/>
          <w:rtl/>
          <w:lang w:eastAsia="de-DE"/>
        </w:rPr>
        <w:t xml:space="preserve"> </w:t>
      </w:r>
      <w:r w:rsidRPr="00570BCE">
        <w:rPr>
          <w:rFonts w:eastAsia="Times New Roman" w:cs="Times New Roman"/>
          <w:lang w:eastAsia="de-DE"/>
        </w:rPr>
        <w:t xml:space="preserve">(hüten) bezeichnet religiöse Verpflichtungen. </w:t>
      </w:r>
      <w:r w:rsidRPr="00570BCE">
        <w:rPr>
          <w:rFonts w:eastAsia="Times New Roman" w:cs="Times New Roman"/>
          <w:b/>
          <w:bCs/>
          <w:rtl/>
          <w:lang w:eastAsia="de-DE"/>
        </w:rPr>
        <w:t>ולא תמותו</w:t>
      </w:r>
      <w:r w:rsidRPr="00570BCE">
        <w:rPr>
          <w:rFonts w:eastAsia="Times New Roman" w:cs="Times New Roman"/>
          <w:rtl/>
          <w:lang w:eastAsia="de-DE"/>
        </w:rPr>
        <w:t xml:space="preserve"> </w:t>
      </w:r>
      <w:r w:rsidRPr="00570BCE">
        <w:rPr>
          <w:rFonts w:eastAsia="Times New Roman" w:cs="Times New Roman"/>
          <w:lang w:eastAsia="de-DE"/>
        </w:rPr>
        <w:t xml:space="preserve">(und ihr werdet nicht sterben) zeigt </w:t>
      </w:r>
      <w:r w:rsidRPr="00570BCE">
        <w:rPr>
          <w:rFonts w:eastAsia="Times New Roman" w:cs="Times New Roman"/>
          <w:b/>
          <w:bCs/>
          <w:rtl/>
          <w:lang w:eastAsia="de-DE"/>
        </w:rPr>
        <w:t>מות</w:t>
      </w:r>
      <w:r w:rsidRPr="00570BCE">
        <w:rPr>
          <w:rFonts w:eastAsia="Times New Roman" w:cs="Times New Roman"/>
          <w:rtl/>
          <w:lang w:eastAsia="de-DE"/>
        </w:rPr>
        <w:t xml:space="preserve"> </w:t>
      </w:r>
      <w:r w:rsidRPr="00570BCE">
        <w:rPr>
          <w:rFonts w:eastAsia="Times New Roman" w:cs="Times New Roman"/>
          <w:lang w:eastAsia="de-DE"/>
        </w:rPr>
        <w:t xml:space="preserve">(sterben) im Qal-Imperfekt 2. Person maskulin Plural mit Negation </w:t>
      </w:r>
      <w:r w:rsidRPr="00570BCE">
        <w:rPr>
          <w:rFonts w:eastAsia="Times New Roman" w:cs="Times New Roman"/>
          <w:b/>
          <w:bCs/>
          <w:rtl/>
          <w:lang w:eastAsia="de-DE"/>
        </w:rPr>
        <w:t>לא</w:t>
      </w:r>
      <w:r w:rsidRPr="00570BCE">
        <w:rPr>
          <w:rFonts w:eastAsia="Times New Roman" w:cs="Times New Roman"/>
          <w:lang w:eastAsia="de-DE"/>
        </w:rPr>
        <w:t>.</w:t>
      </w:r>
    </w:p>
    <w:p w14:paraId="1595F47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כי־כן צויתי</w:t>
      </w:r>
      <w:r w:rsidRPr="00570BCE">
        <w:rPr>
          <w:rFonts w:eastAsia="Times New Roman" w:cs="Times New Roman"/>
          <w:rtl/>
          <w:lang w:eastAsia="de-DE"/>
        </w:rPr>
        <w:t xml:space="preserve"> </w:t>
      </w:r>
      <w:r w:rsidRPr="00570BCE">
        <w:rPr>
          <w:rFonts w:eastAsia="Times New Roman" w:cs="Times New Roman"/>
          <w:lang w:eastAsia="de-DE"/>
        </w:rPr>
        <w:t xml:space="preserve">begründet die Anweisung. </w:t>
      </w:r>
      <w:r w:rsidRPr="00570BCE">
        <w:rPr>
          <w:rFonts w:eastAsia="Times New Roman" w:cs="Times New Roman"/>
          <w:b/>
          <w:bCs/>
          <w:rtl/>
          <w:lang w:eastAsia="de-DE"/>
        </w:rPr>
        <w:t>כי</w:t>
      </w:r>
      <w:r w:rsidRPr="00570BCE">
        <w:rPr>
          <w:rFonts w:eastAsia="Times New Roman" w:cs="Times New Roman"/>
          <w:rtl/>
          <w:lang w:eastAsia="de-DE"/>
        </w:rPr>
        <w:t xml:space="preserve"> </w:t>
      </w:r>
      <w:r w:rsidRPr="00570BCE">
        <w:rPr>
          <w:rFonts w:eastAsia="Times New Roman" w:cs="Times New Roman"/>
          <w:lang w:eastAsia="de-DE"/>
        </w:rPr>
        <w:t xml:space="preserve">(denn) leitet die Begründung ein. </w:t>
      </w:r>
      <w:r w:rsidRPr="00570BCE">
        <w:rPr>
          <w:rFonts w:eastAsia="Times New Roman" w:cs="Times New Roman"/>
          <w:b/>
          <w:bCs/>
          <w:rtl/>
          <w:lang w:eastAsia="de-DE"/>
        </w:rPr>
        <w:t>כן</w:t>
      </w:r>
      <w:r w:rsidRPr="00570BCE">
        <w:rPr>
          <w:rFonts w:eastAsia="Times New Roman" w:cs="Times New Roman"/>
          <w:rtl/>
          <w:lang w:eastAsia="de-DE"/>
        </w:rPr>
        <w:t xml:space="preserve"> </w:t>
      </w:r>
      <w:r w:rsidRPr="00570BCE">
        <w:rPr>
          <w:rFonts w:eastAsia="Times New Roman" w:cs="Times New Roman"/>
          <w:lang w:eastAsia="de-DE"/>
        </w:rPr>
        <w:t xml:space="preserve">(so) referenziert die gesamte vorherige Anweisung. </w:t>
      </w:r>
      <w:r w:rsidRPr="00570BCE">
        <w:rPr>
          <w:rFonts w:eastAsia="Times New Roman" w:cs="Times New Roman"/>
          <w:b/>
          <w:bCs/>
          <w:rtl/>
          <w:lang w:eastAsia="de-DE"/>
        </w:rPr>
        <w:t>צויתי</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צוה</w:t>
      </w:r>
      <w:r w:rsidRPr="00570BCE">
        <w:rPr>
          <w:rFonts w:eastAsia="Times New Roman" w:cs="Times New Roman"/>
          <w:rtl/>
          <w:lang w:eastAsia="de-DE"/>
        </w:rPr>
        <w:t xml:space="preserve"> </w:t>
      </w:r>
      <w:r w:rsidRPr="00570BCE">
        <w:rPr>
          <w:rFonts w:eastAsia="Times New Roman" w:cs="Times New Roman"/>
          <w:lang w:eastAsia="de-DE"/>
        </w:rPr>
        <w:t>(befehlen) im Pual-Perfekt 1. Person Singular "mir wurde befohlen". Das Pual zeigt, dass Mosche selbst Empfänger der Anweisung ist.</w:t>
      </w:r>
    </w:p>
    <w:p w14:paraId="34D11A7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משמרת יהוה</w:t>
      </w:r>
      <w:r w:rsidRPr="00570BCE">
        <w:rPr>
          <w:rFonts w:eastAsia="Times New Roman" w:cs="Times New Roman"/>
          <w:rtl/>
          <w:lang w:eastAsia="de-DE"/>
        </w:rPr>
        <w:t xml:space="preserve"> </w:t>
      </w:r>
      <w:r w:rsidRPr="00570BCE">
        <w:rPr>
          <w:rFonts w:eastAsia="Times New Roman" w:cs="Times New Roman"/>
          <w:lang w:eastAsia="de-DE"/>
        </w:rPr>
        <w:t xml:space="preserve">bezeichnet die sakralen Verpflichtungen, die mit der Priesterweihe verbunden sind. </w:t>
      </w:r>
      <w:r w:rsidRPr="00570BCE">
        <w:rPr>
          <w:rFonts w:eastAsia="Times New Roman" w:cs="Times New Roman"/>
          <w:b/>
          <w:bCs/>
          <w:rtl/>
          <w:lang w:eastAsia="de-DE"/>
        </w:rPr>
        <w:t>ולא תמותו</w:t>
      </w:r>
      <w:r w:rsidRPr="00570BCE">
        <w:rPr>
          <w:rFonts w:eastAsia="Times New Roman" w:cs="Times New Roman"/>
          <w:rtl/>
          <w:lang w:eastAsia="de-DE"/>
        </w:rPr>
        <w:t xml:space="preserve"> </w:t>
      </w:r>
      <w:r w:rsidRPr="00570BCE">
        <w:rPr>
          <w:rFonts w:eastAsia="Times New Roman" w:cs="Times New Roman"/>
          <w:lang w:eastAsia="de-DE"/>
        </w:rPr>
        <w:t xml:space="preserve">zeigt, dass Verletzung der </w:t>
      </w:r>
      <w:r w:rsidRPr="00570BCE">
        <w:rPr>
          <w:rFonts w:eastAsia="Times New Roman" w:cs="Times New Roman"/>
          <w:b/>
          <w:bCs/>
          <w:rtl/>
          <w:lang w:eastAsia="de-DE"/>
        </w:rPr>
        <w:t>משמרת</w:t>
      </w:r>
      <w:r w:rsidRPr="00570BCE">
        <w:rPr>
          <w:rFonts w:eastAsia="Times New Roman" w:cs="Times New Roman"/>
          <w:rtl/>
          <w:lang w:eastAsia="de-DE"/>
        </w:rPr>
        <w:t xml:space="preserve"> </w:t>
      </w:r>
      <w:r w:rsidRPr="00570BCE">
        <w:rPr>
          <w:rFonts w:eastAsia="Times New Roman" w:cs="Times New Roman"/>
          <w:lang w:eastAsia="de-DE"/>
        </w:rPr>
        <w:t>tödliche Konsequenzen haben kann - ein häufiges Thema in der Priestertheologie.</w:t>
      </w:r>
    </w:p>
    <w:p w14:paraId="54F0B313"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יומם ולילה</w:t>
      </w:r>
      <w:r w:rsidRPr="00570BCE">
        <w:rPr>
          <w:rFonts w:eastAsia="Times New Roman" w:cs="Times New Roman"/>
          <w:rtl/>
          <w:lang w:eastAsia="de-DE"/>
        </w:rPr>
        <w:t xml:space="preserve"> </w:t>
      </w:r>
      <w:r w:rsidRPr="00570BCE">
        <w:rPr>
          <w:rFonts w:eastAsia="Times New Roman" w:cs="Times New Roman"/>
          <w:lang w:eastAsia="de-DE"/>
        </w:rPr>
        <w:t xml:space="preserve">betont die ununterbrochene Anwesenheit während der gesamten Weihezeit. </w:t>
      </w:r>
      <w:r w:rsidRPr="00570BCE">
        <w:rPr>
          <w:rFonts w:eastAsia="Times New Roman" w:cs="Times New Roman"/>
          <w:b/>
          <w:bCs/>
          <w:rtl/>
          <w:lang w:eastAsia="de-DE"/>
        </w:rPr>
        <w:t>צויתי</w:t>
      </w:r>
      <w:r w:rsidRPr="00570BCE">
        <w:rPr>
          <w:rFonts w:eastAsia="Times New Roman" w:cs="Times New Roman"/>
          <w:rtl/>
          <w:lang w:eastAsia="de-DE"/>
        </w:rPr>
        <w:t xml:space="preserve"> </w:t>
      </w:r>
      <w:r w:rsidRPr="00570BCE">
        <w:rPr>
          <w:rFonts w:eastAsia="Times New Roman" w:cs="Times New Roman"/>
          <w:lang w:eastAsia="de-DE"/>
        </w:rPr>
        <w:t>im Pual zeigt Moses Autorität als Übermittler göttlicher Befehle, nicht als deren Urheber.</w:t>
      </w:r>
    </w:p>
    <w:p w14:paraId="3112BF1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übersetzt </w:t>
      </w:r>
      <w:r w:rsidRPr="00570BCE">
        <w:rPr>
          <w:rFonts w:eastAsia="Times New Roman" w:cs="Times New Roman"/>
          <w:b/>
          <w:bCs/>
          <w:rtl/>
          <w:lang w:eastAsia="de-DE"/>
        </w:rPr>
        <w:t>תשבו</w:t>
      </w:r>
      <w:r w:rsidRPr="00570BCE">
        <w:rPr>
          <w:rFonts w:eastAsia="Times New Roman" w:cs="Times New Roman"/>
          <w:rtl/>
          <w:lang w:eastAsia="de-DE"/>
        </w:rPr>
        <w:t xml:space="preserve"> </w:t>
      </w:r>
      <w:r w:rsidRPr="00570BCE">
        <w:rPr>
          <w:rFonts w:eastAsia="Times New Roman" w:cs="Times New Roman"/>
          <w:lang w:eastAsia="de-DE"/>
        </w:rPr>
        <w:t>mit κα</w:t>
      </w:r>
      <w:proofErr w:type="spellStart"/>
      <w:r w:rsidRPr="00570BCE">
        <w:rPr>
          <w:rFonts w:eastAsia="Times New Roman" w:cs="Times New Roman"/>
          <w:lang w:eastAsia="de-DE"/>
        </w:rPr>
        <w:t>θεδεῖσθε</w:t>
      </w:r>
      <w:proofErr w:type="spellEnd"/>
      <w:r w:rsidRPr="00570BCE">
        <w:rPr>
          <w:rFonts w:eastAsia="Times New Roman" w:cs="Times New Roman"/>
          <w:lang w:eastAsia="de-DE"/>
        </w:rPr>
        <w:t xml:space="preserve"> (ihr sollt sitzen), </w:t>
      </w:r>
      <w:r w:rsidRPr="00570BCE">
        <w:rPr>
          <w:rFonts w:eastAsia="Times New Roman" w:cs="Times New Roman"/>
          <w:b/>
          <w:bCs/>
          <w:rtl/>
          <w:lang w:eastAsia="de-DE"/>
        </w:rPr>
        <w:t>יומם ולילה</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ἡμέρ</w:t>
      </w:r>
      <w:proofErr w:type="spellEnd"/>
      <w:r w:rsidRPr="00570BCE">
        <w:rPr>
          <w:rFonts w:eastAsia="Times New Roman" w:cs="Times New Roman"/>
          <w:lang w:eastAsia="de-DE"/>
        </w:rPr>
        <w:t xml:space="preserve">ας καὶ </w:t>
      </w:r>
      <w:proofErr w:type="spellStart"/>
      <w:r w:rsidRPr="00570BCE">
        <w:rPr>
          <w:rFonts w:eastAsia="Times New Roman" w:cs="Times New Roman"/>
          <w:lang w:eastAsia="de-DE"/>
        </w:rPr>
        <w:t>νυκτός</w:t>
      </w:r>
      <w:proofErr w:type="spellEnd"/>
      <w:r w:rsidRPr="00570BCE">
        <w:rPr>
          <w:rFonts w:eastAsia="Times New Roman" w:cs="Times New Roman"/>
          <w:lang w:eastAsia="de-DE"/>
        </w:rPr>
        <w:t xml:space="preserve"> (bei Tag und bei Nacht), </w:t>
      </w:r>
      <w:r w:rsidRPr="00570BCE">
        <w:rPr>
          <w:rFonts w:eastAsia="Times New Roman" w:cs="Times New Roman"/>
          <w:b/>
          <w:bCs/>
          <w:rtl/>
          <w:lang w:eastAsia="de-DE"/>
        </w:rPr>
        <w:t>משמרת יהוה</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φυλ</w:t>
      </w:r>
      <w:proofErr w:type="spellEnd"/>
      <w:r w:rsidRPr="00570BCE">
        <w:rPr>
          <w:rFonts w:eastAsia="Times New Roman" w:cs="Times New Roman"/>
          <w:lang w:eastAsia="de-DE"/>
        </w:rPr>
        <w:t xml:space="preserve">ακὰς </w:t>
      </w:r>
      <w:proofErr w:type="spellStart"/>
      <w:r w:rsidRPr="00570BCE">
        <w:rPr>
          <w:rFonts w:eastAsia="Times New Roman" w:cs="Times New Roman"/>
          <w:lang w:eastAsia="de-DE"/>
        </w:rPr>
        <w:t>κυρίου</w:t>
      </w:r>
      <w:proofErr w:type="spellEnd"/>
      <w:r w:rsidRPr="00570BCE">
        <w:rPr>
          <w:rFonts w:eastAsia="Times New Roman" w:cs="Times New Roman"/>
          <w:lang w:eastAsia="de-DE"/>
        </w:rPr>
        <w:t xml:space="preserve"> (Wachen des Herrn) und </w:t>
      </w:r>
      <w:r w:rsidRPr="00570BCE">
        <w:rPr>
          <w:rFonts w:eastAsia="Times New Roman" w:cs="Times New Roman"/>
          <w:b/>
          <w:bCs/>
          <w:rtl/>
          <w:lang w:eastAsia="de-DE"/>
        </w:rPr>
        <w:t>צויתי</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ἐνετείλ</w:t>
      </w:r>
      <w:proofErr w:type="spellEnd"/>
      <w:r w:rsidRPr="00570BCE">
        <w:rPr>
          <w:rFonts w:eastAsia="Times New Roman" w:cs="Times New Roman"/>
          <w:lang w:eastAsia="de-DE"/>
        </w:rPr>
        <w:t xml:space="preserve">ατό </w:t>
      </w:r>
      <w:proofErr w:type="spellStart"/>
      <w:r w:rsidRPr="00570BCE">
        <w:rPr>
          <w:rFonts w:eastAsia="Times New Roman" w:cs="Times New Roman"/>
          <w:lang w:eastAsia="de-DE"/>
        </w:rPr>
        <w:t>μοι</w:t>
      </w:r>
      <w:proofErr w:type="spellEnd"/>
      <w:r w:rsidRPr="00570BCE">
        <w:rPr>
          <w:rFonts w:eastAsia="Times New Roman" w:cs="Times New Roman"/>
          <w:lang w:eastAsia="de-DE"/>
        </w:rPr>
        <w:t xml:space="preserve"> (er befahl mir).</w:t>
      </w:r>
    </w:p>
    <w:p w14:paraId="3738968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drei koordinierte Hauptsätze: 1) Ortsangabe + Imperativ + temporale Totalität + Zeitangabe; 2) Imperativ + Objekt + Konsequenzangabe; 3) Begründung mit Referenz + Autoritätsnachweis. Die Struktur betont die totale Verpflichtung während der Weihezeit.</w:t>
      </w:r>
    </w:p>
    <w:p w14:paraId="10F3074B"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Dieser Vers intensiviert die Klausurbestimmung durch ununterbrochene Tag-und-Nacht-Anwesenheit und warnt vor tödlichen Konsequenzen bei Verletzung der sakralen Verpflichtungen.</w:t>
      </w:r>
    </w:p>
    <w:p w14:paraId="566B8AB5"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8,36</w:t>
      </w:r>
    </w:p>
    <w:p w14:paraId="76B52003"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וַיַּ֥עַשׂ אַהֲרֹ֖ן וּבָנָ֑יו אֵ֚ת כָּל־הַדְּבָרִ֔ים אֲשֶׁר־צִוָּ֥ה יְהוָ֖ה בְּיַד־מֹשֶֽׁה׃</w:t>
      </w:r>
    </w:p>
    <w:p w14:paraId="1D9A0043"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lastRenderedPageBreak/>
        <w:t>Deutsch:</w:t>
      </w:r>
      <w:r w:rsidRPr="00570BCE">
        <w:rPr>
          <w:rFonts w:eastAsia="Times New Roman" w:cs="Times New Roman"/>
          <w:lang w:eastAsia="de-DE"/>
        </w:rPr>
        <w:t xml:space="preserve"> Und Aaron und seine Söhne taten alles, was der Ewige durch Mosche geboten hatte.</w:t>
      </w:r>
    </w:p>
    <w:p w14:paraId="3808D6D8"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4A1DAC7E">
          <v:rect id="_x0000_i1232" style="width:0;height:1.5pt" o:hralign="center" o:hrstd="t" o:hr="t" fillcolor="#a0a0a0" stroked="f"/>
        </w:pict>
      </w:r>
    </w:p>
    <w:p w14:paraId="4626E16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ויעש אהרן ובניו</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עשה</w:t>
      </w:r>
      <w:r w:rsidRPr="00570BCE">
        <w:rPr>
          <w:rFonts w:eastAsia="Times New Roman" w:cs="Times New Roman"/>
          <w:rtl/>
          <w:lang w:eastAsia="de-DE"/>
        </w:rPr>
        <w:t xml:space="preserve"> </w:t>
      </w:r>
      <w:r w:rsidRPr="00570BCE">
        <w:rPr>
          <w:rFonts w:eastAsia="Times New Roman" w:cs="Times New Roman"/>
          <w:lang w:eastAsia="de-DE"/>
        </w:rPr>
        <w:t xml:space="preserve">(tun) im Qal-Imperfekt 3. Person maskulin Singular mit Waw-Konsekutiv. Das Verb steht im Singular, obwohl das Subjekt </w:t>
      </w:r>
      <w:r w:rsidRPr="00570BCE">
        <w:rPr>
          <w:rFonts w:eastAsia="Times New Roman" w:cs="Times New Roman"/>
          <w:b/>
          <w:bCs/>
          <w:rtl/>
          <w:lang w:eastAsia="de-DE"/>
        </w:rPr>
        <w:t>אהרן ובניו</w:t>
      </w:r>
      <w:r w:rsidRPr="00570BCE">
        <w:rPr>
          <w:rFonts w:eastAsia="Times New Roman" w:cs="Times New Roman"/>
          <w:rtl/>
          <w:lang w:eastAsia="de-DE"/>
        </w:rPr>
        <w:t xml:space="preserve"> </w:t>
      </w:r>
      <w:r w:rsidRPr="00570BCE">
        <w:rPr>
          <w:rFonts w:eastAsia="Times New Roman" w:cs="Times New Roman"/>
          <w:lang w:eastAsia="de-DE"/>
        </w:rPr>
        <w:t>(Aaron und seine Söhne) zusammengesetzt ist. Dies folgt dem Prinzip, dass das erste Element des zusammengesetzten Subjekts die Verbform bestimmt.</w:t>
      </w:r>
    </w:p>
    <w:p w14:paraId="5CA20A7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את כל־הדברים אשר־צוה יהוה ביד־משה</w:t>
      </w:r>
      <w:r w:rsidRPr="00570BCE">
        <w:rPr>
          <w:rFonts w:eastAsia="Times New Roman" w:cs="Times New Roman"/>
          <w:rtl/>
          <w:lang w:eastAsia="de-DE"/>
        </w:rPr>
        <w:t xml:space="preserve"> </w:t>
      </w:r>
      <w:r w:rsidRPr="00570BCE">
        <w:rPr>
          <w:rFonts w:eastAsia="Times New Roman" w:cs="Times New Roman"/>
          <w:lang w:eastAsia="de-DE"/>
        </w:rPr>
        <w:t xml:space="preserve">zeigt das umfassende direkte Objekt. </w:t>
      </w:r>
      <w:r w:rsidRPr="00570BCE">
        <w:rPr>
          <w:rFonts w:eastAsia="Times New Roman" w:cs="Times New Roman"/>
          <w:b/>
          <w:bCs/>
          <w:rtl/>
          <w:lang w:eastAsia="de-DE"/>
        </w:rPr>
        <w:t>את כל־הדברים</w:t>
      </w:r>
      <w:r w:rsidRPr="00570BCE">
        <w:rPr>
          <w:rFonts w:eastAsia="Times New Roman" w:cs="Times New Roman"/>
          <w:rtl/>
          <w:lang w:eastAsia="de-DE"/>
        </w:rPr>
        <w:t xml:space="preserve"> </w:t>
      </w:r>
      <w:r w:rsidRPr="00570BCE">
        <w:rPr>
          <w:rFonts w:eastAsia="Times New Roman" w:cs="Times New Roman"/>
          <w:lang w:eastAsia="de-DE"/>
        </w:rPr>
        <w:t xml:space="preserve">(alle die Worte/Sachen) mit Totalitätspartikel </w:t>
      </w:r>
      <w:r w:rsidRPr="00570BCE">
        <w:rPr>
          <w:rFonts w:eastAsia="Times New Roman" w:cs="Times New Roman"/>
          <w:b/>
          <w:bCs/>
          <w:rtl/>
          <w:lang w:eastAsia="de-DE"/>
        </w:rPr>
        <w:t>כל</w:t>
      </w:r>
      <w:r w:rsidRPr="00570BCE">
        <w:rPr>
          <w:rFonts w:eastAsia="Times New Roman" w:cs="Times New Roman"/>
          <w:rtl/>
          <w:lang w:eastAsia="de-DE"/>
        </w:rPr>
        <w:t xml:space="preserve"> </w:t>
      </w:r>
      <w:r w:rsidRPr="00570BCE">
        <w:rPr>
          <w:rFonts w:eastAsia="Times New Roman" w:cs="Times New Roman"/>
          <w:lang w:eastAsia="de-DE"/>
        </w:rPr>
        <w:t xml:space="preserve">betont die vollständige Befolgung. </w:t>
      </w:r>
      <w:r w:rsidRPr="00570BCE">
        <w:rPr>
          <w:rFonts w:eastAsia="Times New Roman" w:cs="Times New Roman"/>
          <w:b/>
          <w:bCs/>
          <w:rtl/>
          <w:lang w:eastAsia="de-DE"/>
        </w:rPr>
        <w:t>אשר־צוה יהוה</w:t>
      </w:r>
      <w:r w:rsidRPr="00570BCE">
        <w:rPr>
          <w:rFonts w:eastAsia="Times New Roman" w:cs="Times New Roman"/>
          <w:rtl/>
          <w:lang w:eastAsia="de-DE"/>
        </w:rPr>
        <w:t xml:space="preserve"> </w:t>
      </w:r>
      <w:r w:rsidRPr="00570BCE">
        <w:rPr>
          <w:rFonts w:eastAsia="Times New Roman" w:cs="Times New Roman"/>
          <w:lang w:eastAsia="de-DE"/>
        </w:rPr>
        <w:t xml:space="preserve">(die JHWH befohlen hatte) als Relativsatz mit </w:t>
      </w:r>
      <w:r w:rsidRPr="00570BCE">
        <w:rPr>
          <w:rFonts w:eastAsia="Times New Roman" w:cs="Times New Roman"/>
          <w:b/>
          <w:bCs/>
          <w:rtl/>
          <w:lang w:eastAsia="de-DE"/>
        </w:rPr>
        <w:t>צוה</w:t>
      </w:r>
      <w:r w:rsidRPr="00570BCE">
        <w:rPr>
          <w:rFonts w:eastAsia="Times New Roman" w:cs="Times New Roman"/>
          <w:rtl/>
          <w:lang w:eastAsia="de-DE"/>
        </w:rPr>
        <w:t xml:space="preserve"> </w:t>
      </w:r>
      <w:r w:rsidRPr="00570BCE">
        <w:rPr>
          <w:rFonts w:eastAsia="Times New Roman" w:cs="Times New Roman"/>
          <w:lang w:eastAsia="de-DE"/>
        </w:rPr>
        <w:t xml:space="preserve">im Piel-Perfekt. </w:t>
      </w:r>
      <w:r w:rsidRPr="00570BCE">
        <w:rPr>
          <w:rFonts w:eastAsia="Times New Roman" w:cs="Times New Roman"/>
          <w:b/>
          <w:bCs/>
          <w:rtl/>
          <w:lang w:eastAsia="de-DE"/>
        </w:rPr>
        <w:t>ביד־משה</w:t>
      </w:r>
      <w:r w:rsidRPr="00570BCE">
        <w:rPr>
          <w:rFonts w:eastAsia="Times New Roman" w:cs="Times New Roman"/>
          <w:rtl/>
          <w:lang w:eastAsia="de-DE"/>
        </w:rPr>
        <w:t xml:space="preserve"> </w:t>
      </w:r>
      <w:r w:rsidRPr="00570BCE">
        <w:rPr>
          <w:rFonts w:eastAsia="Times New Roman" w:cs="Times New Roman"/>
          <w:lang w:eastAsia="de-DE"/>
        </w:rPr>
        <w:t xml:space="preserve">(durch die Hand Moses) - </w:t>
      </w:r>
      <w:r w:rsidRPr="00570BCE">
        <w:rPr>
          <w:rFonts w:eastAsia="Times New Roman" w:cs="Times New Roman"/>
          <w:b/>
          <w:bCs/>
          <w:rtl/>
          <w:lang w:eastAsia="de-DE"/>
        </w:rPr>
        <w:t>ביד</w:t>
      </w:r>
      <w:r w:rsidRPr="00570BCE">
        <w:rPr>
          <w:rFonts w:eastAsia="Times New Roman" w:cs="Times New Roman"/>
          <w:rtl/>
          <w:lang w:eastAsia="de-DE"/>
        </w:rPr>
        <w:t xml:space="preserve"> </w:t>
      </w:r>
      <w:r w:rsidRPr="00570BCE">
        <w:rPr>
          <w:rFonts w:eastAsia="Times New Roman" w:cs="Times New Roman"/>
          <w:lang w:eastAsia="de-DE"/>
        </w:rPr>
        <w:t>(durch die Hand) als idiomatische Wendung für Vermittlung/Autorität.</w:t>
      </w:r>
    </w:p>
    <w:p w14:paraId="4F77DC68"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Konstruktion </w:t>
      </w:r>
      <w:r w:rsidRPr="00570BCE">
        <w:rPr>
          <w:rFonts w:eastAsia="Times New Roman" w:cs="Times New Roman"/>
          <w:b/>
          <w:bCs/>
          <w:rtl/>
          <w:lang w:eastAsia="de-DE"/>
        </w:rPr>
        <w:t>ביד־משה</w:t>
      </w:r>
      <w:r w:rsidRPr="00570BCE">
        <w:rPr>
          <w:rFonts w:eastAsia="Times New Roman" w:cs="Times New Roman"/>
          <w:rtl/>
          <w:lang w:eastAsia="de-DE"/>
        </w:rPr>
        <w:t xml:space="preserve"> </w:t>
      </w:r>
      <w:r w:rsidRPr="00570BCE">
        <w:rPr>
          <w:rFonts w:eastAsia="Times New Roman" w:cs="Times New Roman"/>
          <w:lang w:eastAsia="de-DE"/>
        </w:rPr>
        <w:t xml:space="preserve">zeigt Moses Rolle als Vermittler göttlicher Befehle. </w:t>
      </w:r>
      <w:r w:rsidRPr="00570BCE">
        <w:rPr>
          <w:rFonts w:eastAsia="Times New Roman" w:cs="Times New Roman"/>
          <w:b/>
          <w:bCs/>
          <w:rtl/>
          <w:lang w:eastAsia="de-DE"/>
        </w:rPr>
        <w:t>יד</w:t>
      </w:r>
      <w:r w:rsidRPr="00570BCE">
        <w:rPr>
          <w:rFonts w:eastAsia="Times New Roman" w:cs="Times New Roman"/>
          <w:rtl/>
          <w:lang w:eastAsia="de-DE"/>
        </w:rPr>
        <w:t xml:space="preserve"> </w:t>
      </w:r>
      <w:r w:rsidRPr="00570BCE">
        <w:rPr>
          <w:rFonts w:eastAsia="Times New Roman" w:cs="Times New Roman"/>
          <w:lang w:eastAsia="de-DE"/>
        </w:rPr>
        <w:t xml:space="preserve">(Hand) symbolisiert Macht und Autorität. </w:t>
      </w:r>
      <w:r w:rsidRPr="00570BCE">
        <w:rPr>
          <w:rFonts w:eastAsia="Times New Roman" w:cs="Times New Roman"/>
          <w:b/>
          <w:bCs/>
          <w:rtl/>
          <w:lang w:eastAsia="de-DE"/>
        </w:rPr>
        <w:t>כל־הדברים</w:t>
      </w:r>
      <w:r w:rsidRPr="00570BCE">
        <w:rPr>
          <w:rFonts w:eastAsia="Times New Roman" w:cs="Times New Roman"/>
          <w:rtl/>
          <w:lang w:eastAsia="de-DE"/>
        </w:rPr>
        <w:t xml:space="preserve"> </w:t>
      </w:r>
      <w:r w:rsidRPr="00570BCE">
        <w:rPr>
          <w:rFonts w:eastAsia="Times New Roman" w:cs="Times New Roman"/>
          <w:lang w:eastAsia="de-DE"/>
        </w:rPr>
        <w:t>umfasst alle Anweisungen der gesamten Weihezeremonie aus dem Kapitel.</w:t>
      </w:r>
    </w:p>
    <w:p w14:paraId="444F5A9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ויעש</w:t>
      </w:r>
      <w:r w:rsidRPr="00570BCE">
        <w:rPr>
          <w:rFonts w:eastAsia="Times New Roman" w:cs="Times New Roman"/>
          <w:rtl/>
          <w:lang w:eastAsia="de-DE"/>
        </w:rPr>
        <w:t xml:space="preserve"> </w:t>
      </w:r>
      <w:r w:rsidRPr="00570BCE">
        <w:rPr>
          <w:rFonts w:eastAsia="Times New Roman" w:cs="Times New Roman"/>
          <w:lang w:eastAsia="de-DE"/>
        </w:rPr>
        <w:t>als Abschlussformel entspricht ähnlichen Zusammenfassungen in Exodus (z.B. 39,32.42-43). Die Singular-Verbform bei zusammengesetztem Subjekt ist grammatisch korrekt und betont Aaron als Hauptperson.</w:t>
      </w:r>
    </w:p>
    <w:p w14:paraId="3352763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fungiert als abschließende Gehorsamsbestätigung und zeigt, dass die gesamte komplexe Priesterweihe ordnungsgemäß ausgeführt wurde. </w:t>
      </w:r>
      <w:r w:rsidRPr="00570BCE">
        <w:rPr>
          <w:rFonts w:eastAsia="Times New Roman" w:cs="Times New Roman"/>
          <w:b/>
          <w:bCs/>
          <w:rtl/>
          <w:lang w:eastAsia="de-DE"/>
        </w:rPr>
        <w:t>אהרן ובניו</w:t>
      </w:r>
      <w:r w:rsidRPr="00570BCE">
        <w:rPr>
          <w:rFonts w:eastAsia="Times New Roman" w:cs="Times New Roman"/>
          <w:rtl/>
          <w:lang w:eastAsia="de-DE"/>
        </w:rPr>
        <w:t xml:space="preserve"> </w:t>
      </w:r>
      <w:r w:rsidRPr="00570BCE">
        <w:rPr>
          <w:rFonts w:eastAsia="Times New Roman" w:cs="Times New Roman"/>
          <w:lang w:eastAsia="de-DE"/>
        </w:rPr>
        <w:t>als gemeinsames Subjekt betont die priesterliche Einheit bei der Befolgung.</w:t>
      </w:r>
    </w:p>
    <w:p w14:paraId="7D8F153E"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übersetzt </w:t>
      </w:r>
      <w:r w:rsidRPr="00570BCE">
        <w:rPr>
          <w:rFonts w:eastAsia="Times New Roman" w:cs="Times New Roman"/>
          <w:b/>
          <w:bCs/>
          <w:rtl/>
          <w:lang w:eastAsia="de-DE"/>
        </w:rPr>
        <w:t>ויעש</w:t>
      </w:r>
      <w:r w:rsidRPr="00570BCE">
        <w:rPr>
          <w:rFonts w:eastAsia="Times New Roman" w:cs="Times New Roman"/>
          <w:rtl/>
          <w:lang w:eastAsia="de-DE"/>
        </w:rPr>
        <w:t xml:space="preserve"> </w:t>
      </w:r>
      <w:r w:rsidRPr="00570BCE">
        <w:rPr>
          <w:rFonts w:eastAsia="Times New Roman" w:cs="Times New Roman"/>
          <w:lang w:eastAsia="de-DE"/>
        </w:rPr>
        <w:t>mit ἐπ</w:t>
      </w:r>
      <w:proofErr w:type="spellStart"/>
      <w:r w:rsidRPr="00570BCE">
        <w:rPr>
          <w:rFonts w:eastAsia="Times New Roman" w:cs="Times New Roman"/>
          <w:lang w:eastAsia="de-DE"/>
        </w:rPr>
        <w:t>οίησ</w:t>
      </w:r>
      <w:proofErr w:type="spellEnd"/>
      <w:r w:rsidRPr="00570BCE">
        <w:rPr>
          <w:rFonts w:eastAsia="Times New Roman" w:cs="Times New Roman"/>
          <w:lang w:eastAsia="de-DE"/>
        </w:rPr>
        <w:t xml:space="preserve">αν (sie taten) im Plural, </w:t>
      </w:r>
      <w:r w:rsidRPr="00570BCE">
        <w:rPr>
          <w:rFonts w:eastAsia="Times New Roman" w:cs="Times New Roman"/>
          <w:b/>
          <w:bCs/>
          <w:rtl/>
          <w:lang w:eastAsia="de-DE"/>
        </w:rPr>
        <w:t>כל־הדברים</w:t>
      </w:r>
      <w:r w:rsidRPr="00570BCE">
        <w:rPr>
          <w:rFonts w:eastAsia="Times New Roman" w:cs="Times New Roman"/>
          <w:rtl/>
          <w:lang w:eastAsia="de-DE"/>
        </w:rPr>
        <w:t xml:space="preserve"> </w:t>
      </w:r>
      <w:r w:rsidRPr="00570BCE">
        <w:rPr>
          <w:rFonts w:eastAsia="Times New Roman" w:cs="Times New Roman"/>
          <w:lang w:eastAsia="de-DE"/>
        </w:rPr>
        <w:t>mit π</w:t>
      </w:r>
      <w:proofErr w:type="spellStart"/>
      <w:r w:rsidRPr="00570BCE">
        <w:rPr>
          <w:rFonts w:eastAsia="Times New Roman" w:cs="Times New Roman"/>
          <w:lang w:eastAsia="de-DE"/>
        </w:rPr>
        <w:t>άντ</w:t>
      </w:r>
      <w:proofErr w:type="spellEnd"/>
      <w:r w:rsidRPr="00570BCE">
        <w:rPr>
          <w:rFonts w:eastAsia="Times New Roman" w:cs="Times New Roman"/>
          <w:lang w:eastAsia="de-DE"/>
        </w:rPr>
        <w:t xml:space="preserve">α </w:t>
      </w:r>
      <w:proofErr w:type="spellStart"/>
      <w:r w:rsidRPr="00570BCE">
        <w:rPr>
          <w:rFonts w:eastAsia="Times New Roman" w:cs="Times New Roman"/>
          <w:lang w:eastAsia="de-DE"/>
        </w:rPr>
        <w:t>τὰ</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ῥήμ</w:t>
      </w:r>
      <w:proofErr w:type="spellEnd"/>
      <w:r w:rsidRPr="00570BCE">
        <w:rPr>
          <w:rFonts w:eastAsia="Times New Roman" w:cs="Times New Roman"/>
          <w:lang w:eastAsia="de-DE"/>
        </w:rPr>
        <w:t xml:space="preserve">ατα (alle Worte) und </w:t>
      </w:r>
      <w:r w:rsidRPr="00570BCE">
        <w:rPr>
          <w:rFonts w:eastAsia="Times New Roman" w:cs="Times New Roman"/>
          <w:b/>
          <w:bCs/>
          <w:rtl/>
          <w:lang w:eastAsia="de-DE"/>
        </w:rPr>
        <w:t>ביד־משה</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διὰ</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χειρὸς</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Μωυσῆ</w:t>
      </w:r>
      <w:proofErr w:type="spellEnd"/>
      <w:r w:rsidRPr="00570BCE">
        <w:rPr>
          <w:rFonts w:eastAsia="Times New Roman" w:cs="Times New Roman"/>
          <w:lang w:eastAsia="de-DE"/>
        </w:rPr>
        <w:t xml:space="preserve"> (durch die Hand Moses).</w:t>
      </w:r>
    </w:p>
    <w:p w14:paraId="752EDAD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einen einfachen Hauptsatz: Verb + zusammengesetztes Subjekt + umfassendes direktes Objekt mit Relativsatz. Die Struktur betont den vollständigen Gehorsam aller Weihlinge gegenüber den göttlichen Anweisungen.</w:t>
      </w:r>
    </w:p>
    <w:p w14:paraId="119CA255" w14:textId="5E50B12E"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Dieser abschließende Vers bestätigt die ordnungsgemäße und vollständige Ausführung aller Weihezeremonien durch Aaron und seine Söhne entsprechend den göttlichen Anweisungen durch Mosche</w:t>
      </w:r>
      <w:r>
        <w:rPr>
          <w:rFonts w:eastAsia="Times New Roman" w:cs="Times New Roman"/>
          <w:lang w:eastAsia="de-DE"/>
        </w:rPr>
        <w:t>.</w:t>
      </w:r>
    </w:p>
    <w:p w14:paraId="4F06CC7E" w14:textId="77777777" w:rsidR="00570BCE" w:rsidRDefault="00570BCE" w:rsidP="00570BCE">
      <w:pPr>
        <w:pStyle w:val="KeinLeerraum"/>
        <w:rPr>
          <w:lang w:eastAsia="de-DE"/>
        </w:rPr>
      </w:pPr>
      <w:r w:rsidRPr="00570BCE">
        <w:rPr>
          <w:lang w:eastAsia="de-DE"/>
        </w:rPr>
        <w:t xml:space="preserve">Kapitel 8 dokumentiert die praktische Durchführung der Priesterweihe entsprechend den theoretischen Anweisungen aus Exodus 29. Die Struktur zeigt: </w:t>
      </w:r>
    </w:p>
    <w:p w14:paraId="5C2A4439" w14:textId="77777777" w:rsidR="00E35C31" w:rsidRDefault="00E35C31" w:rsidP="00570BCE">
      <w:pPr>
        <w:pStyle w:val="KeinLeerraum"/>
        <w:rPr>
          <w:b/>
          <w:bCs/>
          <w:lang w:eastAsia="de-DE"/>
        </w:rPr>
      </w:pPr>
    </w:p>
    <w:p w14:paraId="18D10CCD" w14:textId="493A49B3" w:rsidR="00570BCE" w:rsidRDefault="00570BCE" w:rsidP="00570BCE">
      <w:pPr>
        <w:pStyle w:val="KeinLeerraum"/>
        <w:rPr>
          <w:lang w:eastAsia="de-DE"/>
        </w:rPr>
      </w:pPr>
      <w:r w:rsidRPr="00E35C31">
        <w:rPr>
          <w:b/>
          <w:bCs/>
          <w:lang w:eastAsia="de-DE"/>
        </w:rPr>
        <w:t>1)</w:t>
      </w:r>
      <w:r w:rsidRPr="00570BCE">
        <w:rPr>
          <w:lang w:eastAsia="de-DE"/>
        </w:rPr>
        <w:t xml:space="preserve"> Göttlicher Befehl und Vorbereitung (V. 1-5): Sammlung aller Personen, Gegenstände und Opfertiere vor der versammelten Gemeinde; </w:t>
      </w:r>
    </w:p>
    <w:p w14:paraId="6DCBF163" w14:textId="77777777" w:rsidR="00E35C31" w:rsidRDefault="00E35C31" w:rsidP="00570BCE">
      <w:pPr>
        <w:pStyle w:val="KeinLeerraum"/>
        <w:rPr>
          <w:b/>
          <w:bCs/>
          <w:lang w:eastAsia="de-DE"/>
        </w:rPr>
      </w:pPr>
    </w:p>
    <w:p w14:paraId="34640998" w14:textId="5C8823A2" w:rsidR="00570BCE" w:rsidRDefault="00570BCE" w:rsidP="00570BCE">
      <w:pPr>
        <w:pStyle w:val="KeinLeerraum"/>
        <w:rPr>
          <w:lang w:eastAsia="de-DE"/>
        </w:rPr>
      </w:pPr>
      <w:r w:rsidRPr="00E35C31">
        <w:rPr>
          <w:b/>
          <w:bCs/>
          <w:lang w:eastAsia="de-DE"/>
        </w:rPr>
        <w:t>2)</w:t>
      </w:r>
      <w:r w:rsidRPr="00570BCE">
        <w:rPr>
          <w:lang w:eastAsia="de-DE"/>
        </w:rPr>
        <w:t xml:space="preserve"> Bekleidung und Salbung (V. 6-13): rituelle Waschung, systematische Bekleidung Aarons mit den hohepriesterlichen Gewändern, Salbung des Heiligtums und Aarons, einfachere Bekleidung der Aaronsöhne; </w:t>
      </w:r>
    </w:p>
    <w:p w14:paraId="2B85746C" w14:textId="77777777" w:rsidR="00E35C31" w:rsidRDefault="00E35C31" w:rsidP="00570BCE">
      <w:pPr>
        <w:pStyle w:val="KeinLeerraum"/>
        <w:rPr>
          <w:b/>
          <w:bCs/>
          <w:lang w:eastAsia="de-DE"/>
        </w:rPr>
      </w:pPr>
    </w:p>
    <w:p w14:paraId="72CF195F" w14:textId="43F8669D" w:rsidR="00570BCE" w:rsidRDefault="00570BCE" w:rsidP="00570BCE">
      <w:pPr>
        <w:pStyle w:val="KeinLeerraum"/>
        <w:rPr>
          <w:lang w:eastAsia="de-DE"/>
        </w:rPr>
      </w:pPr>
      <w:r w:rsidRPr="00E35C31">
        <w:rPr>
          <w:b/>
          <w:bCs/>
          <w:lang w:eastAsia="de-DE"/>
        </w:rPr>
        <w:t>3)</w:t>
      </w:r>
      <w:r w:rsidRPr="00570BCE">
        <w:rPr>
          <w:lang w:eastAsia="de-DE"/>
        </w:rPr>
        <w:t xml:space="preserve"> Drei Weihe-Opfer (V. 14-30): </w:t>
      </w:r>
      <w:r w:rsidRPr="00570BCE">
        <w:rPr>
          <w:b/>
          <w:bCs/>
          <w:rtl/>
          <w:lang w:eastAsia="de-DE"/>
        </w:rPr>
        <w:t>חטאת</w:t>
      </w:r>
      <w:r w:rsidRPr="00570BCE">
        <w:rPr>
          <w:rtl/>
          <w:lang w:eastAsia="de-DE"/>
        </w:rPr>
        <w:t xml:space="preserve"> </w:t>
      </w:r>
      <w:r w:rsidRPr="00570BCE">
        <w:rPr>
          <w:lang w:eastAsia="de-DE"/>
        </w:rPr>
        <w:t xml:space="preserve">zur Altarentsündigung, </w:t>
      </w:r>
      <w:r w:rsidRPr="00570BCE">
        <w:rPr>
          <w:b/>
          <w:bCs/>
          <w:rtl/>
          <w:lang w:eastAsia="de-DE"/>
        </w:rPr>
        <w:t>עלה</w:t>
      </w:r>
      <w:r w:rsidRPr="00570BCE">
        <w:rPr>
          <w:rtl/>
          <w:lang w:eastAsia="de-DE"/>
        </w:rPr>
        <w:t xml:space="preserve"> </w:t>
      </w:r>
      <w:r w:rsidRPr="00570BCE">
        <w:rPr>
          <w:lang w:eastAsia="de-DE"/>
        </w:rPr>
        <w:t xml:space="preserve">zur Hingabe, </w:t>
      </w:r>
      <w:r w:rsidRPr="00570BCE">
        <w:rPr>
          <w:b/>
          <w:bCs/>
          <w:rtl/>
          <w:lang w:eastAsia="de-DE"/>
        </w:rPr>
        <w:t>מלואים</w:t>
      </w:r>
      <w:r w:rsidRPr="00570BCE">
        <w:rPr>
          <w:rtl/>
          <w:lang w:eastAsia="de-DE"/>
        </w:rPr>
        <w:t xml:space="preserve"> </w:t>
      </w:r>
      <w:r w:rsidRPr="00570BCE">
        <w:rPr>
          <w:lang w:eastAsia="de-DE"/>
        </w:rPr>
        <w:t xml:space="preserve">zur Amtseinsetzung mit einzigartiger Blutzeremonie an Körperteilen, </w:t>
      </w:r>
      <w:r w:rsidRPr="00570BCE">
        <w:rPr>
          <w:b/>
          <w:bCs/>
          <w:rtl/>
          <w:lang w:eastAsia="de-DE"/>
        </w:rPr>
        <w:t>תנופה</w:t>
      </w:r>
      <w:r w:rsidRPr="00570BCE">
        <w:rPr>
          <w:rtl/>
          <w:lang w:eastAsia="de-DE"/>
        </w:rPr>
        <w:t xml:space="preserve"> </w:t>
      </w:r>
      <w:r w:rsidRPr="00570BCE">
        <w:rPr>
          <w:lang w:eastAsia="de-DE"/>
        </w:rPr>
        <w:t xml:space="preserve">der Opfergaben und abschließender Salbung mit Öl-Blut-Mischung; </w:t>
      </w:r>
    </w:p>
    <w:p w14:paraId="7DEE96A8" w14:textId="77777777" w:rsidR="00E35C31" w:rsidRDefault="00E35C31" w:rsidP="00570BCE">
      <w:pPr>
        <w:pStyle w:val="KeinLeerraum"/>
        <w:rPr>
          <w:b/>
          <w:bCs/>
          <w:lang w:eastAsia="de-DE"/>
        </w:rPr>
      </w:pPr>
    </w:p>
    <w:p w14:paraId="2ED9B8AE" w14:textId="39D00F7A" w:rsidR="00570BCE" w:rsidRDefault="00570BCE" w:rsidP="00570BCE">
      <w:pPr>
        <w:pStyle w:val="KeinLeerraum"/>
        <w:rPr>
          <w:lang w:eastAsia="de-DE"/>
        </w:rPr>
      </w:pPr>
      <w:r w:rsidRPr="00E35C31">
        <w:rPr>
          <w:b/>
          <w:bCs/>
          <w:lang w:eastAsia="de-DE"/>
        </w:rPr>
        <w:t>4)</w:t>
      </w:r>
      <w:r w:rsidRPr="00570BCE">
        <w:rPr>
          <w:lang w:eastAsia="de-DE"/>
        </w:rPr>
        <w:t xml:space="preserve"> Siebentägige Klausur (V. 31-36): sakrale Mahlzeit, Bestimmungen für übriggebliebene Nahrung, ununterbrochene Anwesenheit am Heiligtum während der gesamten Weihezeit mit Todeswarnung bei Verletzung der Vorschriften. </w:t>
      </w:r>
    </w:p>
    <w:p w14:paraId="0E5E3508" w14:textId="77777777" w:rsidR="00E35C31" w:rsidRDefault="00E35C31" w:rsidP="00570BCE">
      <w:pPr>
        <w:pStyle w:val="KeinLeerraum"/>
        <w:rPr>
          <w:lang w:eastAsia="de-DE"/>
        </w:rPr>
      </w:pPr>
    </w:p>
    <w:p w14:paraId="410C5C43" w14:textId="1D9F41A3" w:rsidR="00570BCE" w:rsidRDefault="00570BCE" w:rsidP="00570BCE">
      <w:pPr>
        <w:pStyle w:val="KeinLeerraum"/>
        <w:rPr>
          <w:lang w:eastAsia="de-DE"/>
        </w:rPr>
      </w:pPr>
      <w:r w:rsidRPr="00570BCE">
        <w:rPr>
          <w:lang w:eastAsia="de-DE"/>
        </w:rPr>
        <w:t>Das Kapitel zeigt die komplexe Verbindung verschiedener Opfertypen und Rituale zur vollständigen Transformation von Laien zu geweihten Priestern und etabliert das Muster für alle zukünftigen Priesterweihen.</w:t>
      </w:r>
    </w:p>
    <w:p w14:paraId="01A5D6F2" w14:textId="4B8E1F28" w:rsidR="00865A3D" w:rsidRDefault="00865A3D" w:rsidP="00570BCE">
      <w:pPr>
        <w:pStyle w:val="KeinLeerraum"/>
        <w:rPr>
          <w:lang w:eastAsia="de-DE"/>
        </w:rPr>
      </w:pPr>
    </w:p>
    <w:p w14:paraId="264E208B" w14:textId="3DF6D144" w:rsidR="00865A3D" w:rsidRPr="00570BCE" w:rsidRDefault="00865A3D" w:rsidP="00570BCE">
      <w:pPr>
        <w:pStyle w:val="KeinLeerraum"/>
        <w:rPr>
          <w:lang w:eastAsia="de-DE"/>
        </w:rPr>
      </w:pPr>
      <w:r>
        <w:rPr>
          <w:rStyle w:val="Fett"/>
        </w:rPr>
        <w:t>Textkritische Beobachtung</w:t>
      </w:r>
      <w:r>
        <w:t>: Die LXX zeigt durchgängige Tendenz zur liturgischen Präzisierung und verwendet griechische Kultterminologie (</w:t>
      </w:r>
      <w:proofErr w:type="spellStart"/>
      <w:r>
        <w:t>τελείωσις</w:t>
      </w:r>
      <w:proofErr w:type="spellEnd"/>
      <w:r>
        <w:t xml:space="preserve">, </w:t>
      </w:r>
      <w:proofErr w:type="spellStart"/>
      <w:r>
        <w:t>κάρ</w:t>
      </w:r>
      <w:proofErr w:type="spellEnd"/>
      <w:r>
        <w:t>πωμα), was auf eine Anpassung an hellenistische religiöse Praktiken hinweist.</w:t>
      </w:r>
    </w:p>
    <w:p w14:paraId="1E67D743"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9,1</w:t>
      </w:r>
    </w:p>
    <w:p w14:paraId="10B9E6AE"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וַיְהִי֙ בַּיּ֣וֹם הַשְּׁמִינִ֔י קָרָ֣א מֹשֶׁ֔ה לְאַהֲרֹ֖ן וּלְבָנָ֑יו וּלְזִקְנֵ֖י יִשְׂרָאֵֽל׃</w:t>
      </w:r>
    </w:p>
    <w:p w14:paraId="46D363AC"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es begab sich am achten Tag, da rief Mosche Aaron und seine Söhne und die Ältesten Israels;</w:t>
      </w:r>
    </w:p>
    <w:p w14:paraId="36A39BBF"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4A5AC80B">
          <v:rect id="_x0000_i1233" style="width:0;height:1.5pt" o:hralign="center" o:hrstd="t" o:hr="t" fillcolor="#a0a0a0" stroked="f"/>
        </w:pict>
      </w:r>
    </w:p>
    <w:p w14:paraId="3D9AB53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ויהי ביום השמיני</w:t>
      </w:r>
      <w:r w:rsidRPr="00570BCE">
        <w:rPr>
          <w:rFonts w:eastAsia="Times New Roman" w:cs="Times New Roman"/>
          <w:rtl/>
          <w:lang w:eastAsia="de-DE"/>
        </w:rPr>
        <w:t xml:space="preserve"> </w:t>
      </w:r>
      <w:r w:rsidRPr="00570BCE">
        <w:rPr>
          <w:rFonts w:eastAsia="Times New Roman" w:cs="Times New Roman"/>
          <w:lang w:eastAsia="de-DE"/>
        </w:rPr>
        <w:t xml:space="preserve">zeigt die Erzähleinleitungsformel </w:t>
      </w:r>
      <w:r w:rsidRPr="00570BCE">
        <w:rPr>
          <w:rFonts w:eastAsia="Times New Roman" w:cs="Times New Roman"/>
          <w:b/>
          <w:bCs/>
          <w:rtl/>
          <w:lang w:eastAsia="de-DE"/>
        </w:rPr>
        <w:t>ויהי</w:t>
      </w:r>
      <w:r w:rsidRPr="00570BCE">
        <w:rPr>
          <w:rFonts w:eastAsia="Times New Roman" w:cs="Times New Roman"/>
          <w:rtl/>
          <w:lang w:eastAsia="de-DE"/>
        </w:rPr>
        <w:t xml:space="preserve"> </w:t>
      </w:r>
      <w:r w:rsidRPr="00570BCE">
        <w:rPr>
          <w:rFonts w:eastAsia="Times New Roman" w:cs="Times New Roman"/>
          <w:lang w:eastAsia="de-DE"/>
        </w:rPr>
        <w:t xml:space="preserve">(und es geschah) mit temporaler Bestimmung. </w:t>
      </w:r>
      <w:r w:rsidRPr="00570BCE">
        <w:rPr>
          <w:rFonts w:eastAsia="Times New Roman" w:cs="Times New Roman"/>
          <w:b/>
          <w:bCs/>
          <w:rtl/>
          <w:lang w:eastAsia="de-DE"/>
        </w:rPr>
        <w:t>ביום השמיני</w:t>
      </w:r>
      <w:r w:rsidRPr="00570BCE">
        <w:rPr>
          <w:rFonts w:eastAsia="Times New Roman" w:cs="Times New Roman"/>
          <w:rtl/>
          <w:lang w:eastAsia="de-DE"/>
        </w:rPr>
        <w:t xml:space="preserve"> </w:t>
      </w:r>
      <w:r w:rsidRPr="00570BCE">
        <w:rPr>
          <w:rFonts w:eastAsia="Times New Roman" w:cs="Times New Roman"/>
          <w:lang w:eastAsia="de-DE"/>
        </w:rPr>
        <w:t xml:space="preserve">(am achten Tag) referenziert den Tag nach der siebentägigen Weihezeit aus 8,33-35. </w:t>
      </w:r>
      <w:r w:rsidRPr="00570BCE">
        <w:rPr>
          <w:rFonts w:eastAsia="Times New Roman" w:cs="Times New Roman"/>
          <w:b/>
          <w:bCs/>
          <w:rtl/>
          <w:lang w:eastAsia="de-DE"/>
        </w:rPr>
        <w:t>השמיני</w:t>
      </w:r>
      <w:r w:rsidRPr="00570BCE">
        <w:rPr>
          <w:rFonts w:eastAsia="Times New Roman" w:cs="Times New Roman"/>
          <w:rtl/>
          <w:lang w:eastAsia="de-DE"/>
        </w:rPr>
        <w:t xml:space="preserve"> </w:t>
      </w:r>
      <w:r w:rsidRPr="00570BCE">
        <w:rPr>
          <w:rFonts w:eastAsia="Times New Roman" w:cs="Times New Roman"/>
          <w:lang w:eastAsia="de-DE"/>
        </w:rPr>
        <w:t>(der achte) als Ordinalzahl markiert den entscheidenden Übergang von der Weihezeit zum aktiven Priesterdienst.</w:t>
      </w:r>
    </w:p>
    <w:p w14:paraId="73260B9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קרא משה לאהרן ולבניו ולזקני ישראל</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קרא</w:t>
      </w:r>
      <w:r w:rsidRPr="00570BCE">
        <w:rPr>
          <w:rFonts w:eastAsia="Times New Roman" w:cs="Times New Roman"/>
          <w:rtl/>
          <w:lang w:eastAsia="de-DE"/>
        </w:rPr>
        <w:t xml:space="preserve"> </w:t>
      </w:r>
      <w:r w:rsidRPr="00570BCE">
        <w:rPr>
          <w:rFonts w:eastAsia="Times New Roman" w:cs="Times New Roman"/>
          <w:lang w:eastAsia="de-DE"/>
        </w:rPr>
        <w:t xml:space="preserve">(rufen) im Qal-Perfekt 3. Person maskulin Singular. Drei koordinierte Dativobjekte mit </w:t>
      </w:r>
      <w:r w:rsidRPr="00570BCE">
        <w:rPr>
          <w:rFonts w:eastAsia="Times New Roman" w:cs="Times New Roman"/>
          <w:b/>
          <w:bCs/>
          <w:rtl/>
          <w:lang w:eastAsia="de-DE"/>
        </w:rPr>
        <w:t>ל</w:t>
      </w:r>
      <w:r w:rsidRPr="00570BCE">
        <w:rPr>
          <w:rFonts w:eastAsia="Times New Roman" w:cs="Times New Roman"/>
          <w:lang w:eastAsia="de-DE"/>
        </w:rPr>
        <w:t xml:space="preserve">: </w:t>
      </w:r>
      <w:r w:rsidRPr="00570BCE">
        <w:rPr>
          <w:rFonts w:eastAsia="Times New Roman" w:cs="Times New Roman"/>
          <w:b/>
          <w:bCs/>
          <w:rtl/>
          <w:lang w:eastAsia="de-DE"/>
        </w:rPr>
        <w:t>לאהרן ולבניו</w:t>
      </w:r>
      <w:r w:rsidRPr="00570BCE">
        <w:rPr>
          <w:rFonts w:eastAsia="Times New Roman" w:cs="Times New Roman"/>
          <w:rtl/>
          <w:lang w:eastAsia="de-DE"/>
        </w:rPr>
        <w:t xml:space="preserve"> </w:t>
      </w:r>
      <w:r w:rsidRPr="00570BCE">
        <w:rPr>
          <w:rFonts w:eastAsia="Times New Roman" w:cs="Times New Roman"/>
          <w:lang w:eastAsia="de-DE"/>
        </w:rPr>
        <w:t xml:space="preserve">(zu Aaron und seinen Söhnen) - die neu geweihten Priester, </w:t>
      </w:r>
      <w:r w:rsidRPr="00570BCE">
        <w:rPr>
          <w:rFonts w:eastAsia="Times New Roman" w:cs="Times New Roman"/>
          <w:b/>
          <w:bCs/>
          <w:rtl/>
          <w:lang w:eastAsia="de-DE"/>
        </w:rPr>
        <w:t>ולזקני ישראל</w:t>
      </w:r>
      <w:r w:rsidRPr="00570BCE">
        <w:rPr>
          <w:rFonts w:eastAsia="Times New Roman" w:cs="Times New Roman"/>
          <w:rtl/>
          <w:lang w:eastAsia="de-DE"/>
        </w:rPr>
        <w:t xml:space="preserve"> </w:t>
      </w:r>
      <w:r w:rsidRPr="00570BCE">
        <w:rPr>
          <w:rFonts w:eastAsia="Times New Roman" w:cs="Times New Roman"/>
          <w:lang w:eastAsia="de-DE"/>
        </w:rPr>
        <w:t xml:space="preserve">(und zu den Ältesten Israels) - die Volksrepräsentanten. </w:t>
      </w:r>
      <w:r w:rsidRPr="00570BCE">
        <w:rPr>
          <w:rFonts w:eastAsia="Times New Roman" w:cs="Times New Roman"/>
          <w:b/>
          <w:bCs/>
          <w:rtl/>
          <w:lang w:eastAsia="de-DE"/>
        </w:rPr>
        <w:t>זקני ישראל</w:t>
      </w:r>
      <w:r w:rsidRPr="00570BCE">
        <w:rPr>
          <w:rFonts w:eastAsia="Times New Roman" w:cs="Times New Roman"/>
          <w:rtl/>
          <w:lang w:eastAsia="de-DE"/>
        </w:rPr>
        <w:t xml:space="preserve"> </w:t>
      </w:r>
      <w:r w:rsidRPr="00570BCE">
        <w:rPr>
          <w:rFonts w:eastAsia="Times New Roman" w:cs="Times New Roman"/>
          <w:lang w:eastAsia="de-DE"/>
        </w:rPr>
        <w:t>(Älteste Israels) als Genitivkonstruktion bezeichnet die führenden Stammesvertreter.</w:t>
      </w:r>
    </w:p>
    <w:p w14:paraId="1597843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ביום השמיני</w:t>
      </w:r>
      <w:r w:rsidRPr="00570BCE">
        <w:rPr>
          <w:rFonts w:eastAsia="Times New Roman" w:cs="Times New Roman"/>
          <w:rtl/>
          <w:lang w:eastAsia="de-DE"/>
        </w:rPr>
        <w:t xml:space="preserve"> </w:t>
      </w:r>
      <w:r w:rsidRPr="00570BCE">
        <w:rPr>
          <w:rFonts w:eastAsia="Times New Roman" w:cs="Times New Roman"/>
          <w:lang w:eastAsia="de-DE"/>
        </w:rPr>
        <w:t xml:space="preserve">hat theologische Bedeutung: nach der vollkommenen Siebenzahl folgt der "neue" achte Tag als Beginn des priesterlichen Dienstes. </w:t>
      </w:r>
      <w:r w:rsidRPr="00570BCE">
        <w:rPr>
          <w:rFonts w:eastAsia="Times New Roman" w:cs="Times New Roman"/>
          <w:b/>
          <w:bCs/>
          <w:rtl/>
          <w:lang w:eastAsia="de-DE"/>
        </w:rPr>
        <w:t>קרא ל</w:t>
      </w:r>
      <w:r w:rsidRPr="00570BCE">
        <w:rPr>
          <w:rFonts w:eastAsia="Times New Roman" w:cs="Times New Roman"/>
          <w:rtl/>
          <w:lang w:eastAsia="de-DE"/>
        </w:rPr>
        <w:t xml:space="preserve"> </w:t>
      </w:r>
      <w:r w:rsidRPr="00570BCE">
        <w:rPr>
          <w:rFonts w:eastAsia="Times New Roman" w:cs="Times New Roman"/>
          <w:lang w:eastAsia="de-DE"/>
        </w:rPr>
        <w:t>(rufen zu) zeigt formelle Einberufung zu einer wichtigen Zeremonie.</w:t>
      </w:r>
    </w:p>
    <w:p w14:paraId="70B6E14D"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 Einbeziehung der </w:t>
      </w:r>
      <w:r w:rsidRPr="00570BCE">
        <w:rPr>
          <w:rFonts w:eastAsia="Times New Roman" w:cs="Times New Roman"/>
          <w:b/>
          <w:bCs/>
          <w:rtl/>
          <w:lang w:eastAsia="de-DE"/>
        </w:rPr>
        <w:t>זקני ישראל</w:t>
      </w:r>
      <w:r w:rsidRPr="00570BCE">
        <w:rPr>
          <w:rFonts w:eastAsia="Times New Roman" w:cs="Times New Roman"/>
          <w:rtl/>
          <w:lang w:eastAsia="de-DE"/>
        </w:rPr>
        <w:t xml:space="preserve"> </w:t>
      </w:r>
      <w:r w:rsidRPr="00570BCE">
        <w:rPr>
          <w:rFonts w:eastAsia="Times New Roman" w:cs="Times New Roman"/>
          <w:lang w:eastAsia="de-DE"/>
        </w:rPr>
        <w:t xml:space="preserve">neben den Priestern zeigt die öffentliche Natur dieser ersten offiziellen Priesterhandlung. </w:t>
      </w:r>
      <w:r w:rsidRPr="00570BCE">
        <w:rPr>
          <w:rFonts w:eastAsia="Times New Roman" w:cs="Times New Roman"/>
          <w:b/>
          <w:bCs/>
          <w:rtl/>
          <w:lang w:eastAsia="de-DE"/>
        </w:rPr>
        <w:t>ויהי</w:t>
      </w:r>
      <w:r w:rsidRPr="00570BCE">
        <w:rPr>
          <w:rFonts w:eastAsia="Times New Roman" w:cs="Times New Roman"/>
          <w:rtl/>
          <w:lang w:eastAsia="de-DE"/>
        </w:rPr>
        <w:t xml:space="preserve"> </w:t>
      </w:r>
      <w:r w:rsidRPr="00570BCE">
        <w:rPr>
          <w:rFonts w:eastAsia="Times New Roman" w:cs="Times New Roman"/>
          <w:lang w:eastAsia="de-DE"/>
        </w:rPr>
        <w:t>als narrative Einleitung markiert einen wichtigen Wendepunkt in der Erzählung.</w:t>
      </w:r>
    </w:p>
    <w:p w14:paraId="32EE4C32" w14:textId="3E0B0FCF"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w:t>
      </w:r>
      <w:r w:rsidR="00865A3D">
        <w:t xml:space="preserve">übersetzt </w:t>
      </w:r>
      <w:r w:rsidR="00865A3D">
        <w:rPr>
          <w:rtl/>
        </w:rPr>
        <w:t>זקני ישראל</w:t>
      </w:r>
      <w:r w:rsidR="00865A3D">
        <w:t xml:space="preserve"> (</w:t>
      </w:r>
      <w:proofErr w:type="spellStart"/>
      <w:r w:rsidR="00865A3D">
        <w:t>ziqnei</w:t>
      </w:r>
      <w:proofErr w:type="spellEnd"/>
      <w:r w:rsidR="00865A3D">
        <w:t xml:space="preserve"> yisrael - "Älteste Israels") als </w:t>
      </w:r>
      <w:proofErr w:type="spellStart"/>
      <w:r w:rsidR="00865A3D">
        <w:t>τὴν</w:t>
      </w:r>
      <w:proofErr w:type="spellEnd"/>
      <w:r w:rsidR="00865A3D">
        <w:t xml:space="preserve"> </w:t>
      </w:r>
      <w:proofErr w:type="spellStart"/>
      <w:r w:rsidR="00865A3D">
        <w:t>γερουσί</w:t>
      </w:r>
      <w:proofErr w:type="spellEnd"/>
      <w:r w:rsidR="00865A3D">
        <w:t xml:space="preserve">αν </w:t>
      </w:r>
      <w:proofErr w:type="spellStart"/>
      <w:r w:rsidR="00865A3D">
        <w:t>Ἰσρ</w:t>
      </w:r>
      <w:proofErr w:type="spellEnd"/>
      <w:r w:rsidR="00865A3D">
        <w:t>αήλ (den Rat Israels), was eine institutionelle griechische Terminologie verwendet.</w:t>
      </w:r>
    </w:p>
    <w:p w14:paraId="7AEDF28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einen temporalen Hauptsatz: narrative Einleitung + temporale Bestimmung + Verb + Subjekt + drei koordinierte Dativobjekte. Die Struktur markiert den feierlichen Beginn des ersten offiziellen Priesterdiensts.</w:t>
      </w:r>
    </w:p>
    <w:p w14:paraId="157D1EA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lastRenderedPageBreak/>
        <w:t>Dieser Vers leitet den ersten offiziellen Priesterdienst Aarons nach der siebentägigen Weihezeit ein und versammelt alle wichtigen Akteure der israelitischen Kultgemeinschaft.</w:t>
      </w:r>
    </w:p>
    <w:p w14:paraId="7C0C98FE"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9,2</w:t>
      </w:r>
    </w:p>
    <w:p w14:paraId="0A56434F"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וַיֹּ֣אמֶר אֶֽל־אַהֲרֹ֗ן קַח־לְ֠ךָ עֵ֣גֶל בֶּן־בָּקָ֧ר לְחַטָּ֛את וְאַ֥יִל לְעֹלָ֖ה תְּמִימִ֑ם וְהַקְרֵ֖ב לִפְנֵ֥י יְהוָֽה׃</w:t>
      </w:r>
    </w:p>
    <w:p w14:paraId="2A60EB11"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er sprach zu Aaron: Nimm dir ein junges Kalb zum Sündopfer und einen Widder zum Aufsteigeopfer, ohne Fehl, und bringe sie dar vor dem Ewigen.</w:t>
      </w:r>
    </w:p>
    <w:p w14:paraId="6326BBF2"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17B92F68">
          <v:rect id="_x0000_i1234" style="width:0;height:1.5pt" o:hralign="center" o:hrstd="t" o:hr="t" fillcolor="#a0a0a0" stroked="f"/>
        </w:pict>
      </w:r>
    </w:p>
    <w:p w14:paraId="60052BC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ויאמר אל־אהרן</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אמר</w:t>
      </w:r>
      <w:r w:rsidRPr="00570BCE">
        <w:rPr>
          <w:rFonts w:eastAsia="Times New Roman" w:cs="Times New Roman"/>
          <w:rtl/>
          <w:lang w:eastAsia="de-DE"/>
        </w:rPr>
        <w:t xml:space="preserve"> </w:t>
      </w:r>
      <w:r w:rsidRPr="00570BCE">
        <w:rPr>
          <w:rFonts w:eastAsia="Times New Roman" w:cs="Times New Roman"/>
          <w:lang w:eastAsia="de-DE"/>
        </w:rPr>
        <w:t xml:space="preserve">(sprechen) im Qal-Imperfekt mit Waw-Konsekutiv. </w:t>
      </w:r>
      <w:r w:rsidRPr="00570BCE">
        <w:rPr>
          <w:rFonts w:eastAsia="Times New Roman" w:cs="Times New Roman"/>
          <w:b/>
          <w:bCs/>
          <w:rtl/>
          <w:lang w:eastAsia="de-DE"/>
        </w:rPr>
        <w:t>אל־אהרן</w:t>
      </w:r>
      <w:r w:rsidRPr="00570BCE">
        <w:rPr>
          <w:rFonts w:eastAsia="Times New Roman" w:cs="Times New Roman"/>
          <w:rtl/>
          <w:lang w:eastAsia="de-DE"/>
        </w:rPr>
        <w:t xml:space="preserve"> </w:t>
      </w:r>
      <w:r w:rsidRPr="00570BCE">
        <w:rPr>
          <w:rFonts w:eastAsia="Times New Roman" w:cs="Times New Roman"/>
          <w:lang w:eastAsia="de-DE"/>
        </w:rPr>
        <w:t>(zu Aaron) zeigt die direkte Ansprache an den neu geweihten Hohepriester für seinen ersten eigenständigen Opferdienst.</w:t>
      </w:r>
    </w:p>
    <w:p w14:paraId="416D243F" w14:textId="368ADF24"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קח־לך עגל בן־בקר לחטאת ואיל לעלה תמימם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לקח</w:t>
      </w:r>
      <w:r w:rsidRPr="00570BCE">
        <w:rPr>
          <w:rFonts w:eastAsia="Times New Roman" w:cs="Times New Roman"/>
          <w:rtl/>
          <w:lang w:eastAsia="de-DE"/>
        </w:rPr>
        <w:t xml:space="preserve"> </w:t>
      </w:r>
      <w:r w:rsidRPr="00570BCE">
        <w:rPr>
          <w:rFonts w:eastAsia="Times New Roman" w:cs="Times New Roman"/>
          <w:lang w:eastAsia="de-DE"/>
        </w:rPr>
        <w:t xml:space="preserve">(nehmen) im Qal-Imperativ mit </w:t>
      </w:r>
      <w:r w:rsidRPr="00570BCE">
        <w:rPr>
          <w:rFonts w:eastAsia="Times New Roman" w:cs="Times New Roman"/>
          <w:b/>
          <w:bCs/>
          <w:rtl/>
          <w:lang w:eastAsia="de-DE"/>
        </w:rPr>
        <w:t>לך</w:t>
      </w:r>
      <w:r w:rsidRPr="00570BCE">
        <w:rPr>
          <w:rFonts w:eastAsia="Times New Roman" w:cs="Times New Roman"/>
          <w:rtl/>
          <w:lang w:eastAsia="de-DE"/>
        </w:rPr>
        <w:t xml:space="preserve"> </w:t>
      </w:r>
      <w:r w:rsidRPr="00570BCE">
        <w:rPr>
          <w:rFonts w:eastAsia="Times New Roman" w:cs="Times New Roman"/>
          <w:lang w:eastAsia="de-DE"/>
        </w:rPr>
        <w:t xml:space="preserve">(für dich) - </w:t>
      </w:r>
      <w:r w:rsidRPr="00570BCE">
        <w:rPr>
          <w:rFonts w:eastAsia="Times New Roman" w:cs="Times New Roman"/>
          <w:b/>
          <w:bCs/>
          <w:rtl/>
          <w:lang w:eastAsia="de-DE"/>
        </w:rPr>
        <w:t>קח־לך</w:t>
      </w:r>
      <w:r w:rsidRPr="00570BCE">
        <w:rPr>
          <w:rFonts w:eastAsia="Times New Roman" w:cs="Times New Roman"/>
          <w:rtl/>
          <w:lang w:eastAsia="de-DE"/>
        </w:rPr>
        <w:t xml:space="preserve"> </w:t>
      </w:r>
      <w:r w:rsidRPr="00570BCE">
        <w:rPr>
          <w:rFonts w:eastAsia="Times New Roman" w:cs="Times New Roman"/>
          <w:lang w:eastAsia="de-DE"/>
        </w:rPr>
        <w:t xml:space="preserve">bedeutet "nimm für dich/zu deinem eigenen Bedarf". </w:t>
      </w:r>
      <w:r w:rsidRPr="00570BCE">
        <w:rPr>
          <w:rFonts w:eastAsia="Times New Roman" w:cs="Times New Roman"/>
          <w:b/>
          <w:bCs/>
          <w:rtl/>
          <w:lang w:eastAsia="de-DE"/>
        </w:rPr>
        <w:t>עגל בן־בקר</w:t>
      </w:r>
      <w:r w:rsidRPr="00570BCE">
        <w:rPr>
          <w:rFonts w:eastAsia="Times New Roman" w:cs="Times New Roman"/>
          <w:rtl/>
          <w:lang w:eastAsia="de-DE"/>
        </w:rPr>
        <w:t xml:space="preserve"> </w:t>
      </w:r>
      <w:r w:rsidRPr="00570BCE">
        <w:rPr>
          <w:rFonts w:eastAsia="Times New Roman" w:cs="Times New Roman"/>
          <w:lang w:eastAsia="de-DE"/>
        </w:rPr>
        <w:t xml:space="preserve">(Kalb, Sohn des Rindes) ist eine erweiterte Genitivkonstruktion zur Altersspezifikation. </w:t>
      </w:r>
      <w:r w:rsidRPr="00570BCE">
        <w:rPr>
          <w:rFonts w:eastAsia="Times New Roman" w:cs="Times New Roman"/>
          <w:b/>
          <w:bCs/>
          <w:rtl/>
          <w:lang w:eastAsia="de-DE"/>
        </w:rPr>
        <w:t>לחטאת</w:t>
      </w:r>
      <w:r w:rsidRPr="00570BCE">
        <w:rPr>
          <w:rFonts w:eastAsia="Times New Roman" w:cs="Times New Roman"/>
          <w:rtl/>
          <w:lang w:eastAsia="de-DE"/>
        </w:rPr>
        <w:t xml:space="preserve"> </w:t>
      </w:r>
      <w:r w:rsidRPr="00570BCE">
        <w:rPr>
          <w:rFonts w:eastAsia="Times New Roman" w:cs="Times New Roman"/>
          <w:lang w:eastAsia="de-DE"/>
        </w:rPr>
        <w:t xml:space="preserve">(zum Sündopfer) und </w:t>
      </w:r>
      <w:r w:rsidRPr="00570BCE">
        <w:rPr>
          <w:rFonts w:eastAsia="Times New Roman" w:cs="Times New Roman"/>
          <w:b/>
          <w:bCs/>
          <w:rtl/>
          <w:lang w:eastAsia="de-DE"/>
        </w:rPr>
        <w:t>לעלה</w:t>
      </w:r>
      <w:r w:rsidRPr="00570BCE">
        <w:rPr>
          <w:rFonts w:eastAsia="Times New Roman" w:cs="Times New Roman"/>
          <w:rtl/>
          <w:lang w:eastAsia="de-DE"/>
        </w:rPr>
        <w:t xml:space="preserve"> </w:t>
      </w:r>
      <w:r w:rsidRPr="00570BCE">
        <w:rPr>
          <w:rFonts w:eastAsia="Times New Roman" w:cs="Times New Roman"/>
          <w:lang w:eastAsia="de-DE"/>
        </w:rPr>
        <w:t xml:space="preserve">(zum </w:t>
      </w:r>
      <w:r w:rsidR="00CF10E7">
        <w:rPr>
          <w:rFonts w:eastAsia="Times New Roman" w:cs="Times New Roman"/>
          <w:lang w:eastAsia="de-DE"/>
        </w:rPr>
        <w:t>Aufsteigeopfer</w:t>
      </w:r>
      <w:r w:rsidRPr="00570BCE">
        <w:rPr>
          <w:rFonts w:eastAsia="Times New Roman" w:cs="Times New Roman"/>
          <w:lang w:eastAsia="de-DE"/>
        </w:rPr>
        <w:t xml:space="preserve">) geben die Opferzwecke an. </w:t>
      </w:r>
      <w:r w:rsidRPr="00570BCE">
        <w:rPr>
          <w:rFonts w:eastAsia="Times New Roman" w:cs="Times New Roman"/>
          <w:b/>
          <w:bCs/>
          <w:rtl/>
          <w:lang w:eastAsia="de-DE"/>
        </w:rPr>
        <w:t>תמימם</w:t>
      </w:r>
      <w:r w:rsidRPr="00570BCE">
        <w:rPr>
          <w:rFonts w:eastAsia="Times New Roman" w:cs="Times New Roman"/>
          <w:rtl/>
          <w:lang w:eastAsia="de-DE"/>
        </w:rPr>
        <w:t xml:space="preserve"> </w:t>
      </w:r>
      <w:r w:rsidRPr="00570BCE">
        <w:rPr>
          <w:rFonts w:eastAsia="Times New Roman" w:cs="Times New Roman"/>
          <w:lang w:eastAsia="de-DE"/>
        </w:rPr>
        <w:t>(ohne Fehl) als Adjektiv maskulin Plural bezieht sich auf beide Tiere.</w:t>
      </w:r>
    </w:p>
    <w:p w14:paraId="13144C2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והקרב לפני יהוה</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קרב</w:t>
      </w:r>
      <w:r w:rsidRPr="00570BCE">
        <w:rPr>
          <w:rFonts w:eastAsia="Times New Roman" w:cs="Times New Roman"/>
          <w:rtl/>
          <w:lang w:eastAsia="de-DE"/>
        </w:rPr>
        <w:t xml:space="preserve"> </w:t>
      </w:r>
      <w:r w:rsidRPr="00570BCE">
        <w:rPr>
          <w:rFonts w:eastAsia="Times New Roman" w:cs="Times New Roman"/>
          <w:lang w:eastAsia="de-DE"/>
        </w:rPr>
        <w:t xml:space="preserve">(darbringen) im Hifil-Imperativ. Das Hifil drückt die kausative Handlung "nahe bringen lassen" aus. </w:t>
      </w:r>
      <w:r w:rsidRPr="00570BCE">
        <w:rPr>
          <w:rFonts w:eastAsia="Times New Roman" w:cs="Times New Roman"/>
          <w:b/>
          <w:bCs/>
          <w:rtl/>
          <w:lang w:eastAsia="de-DE"/>
        </w:rPr>
        <w:t>לפני יהוה</w:t>
      </w:r>
      <w:r w:rsidRPr="00570BCE">
        <w:rPr>
          <w:rFonts w:eastAsia="Times New Roman" w:cs="Times New Roman"/>
          <w:rtl/>
          <w:lang w:eastAsia="de-DE"/>
        </w:rPr>
        <w:t xml:space="preserve"> </w:t>
      </w:r>
      <w:r w:rsidRPr="00570BCE">
        <w:rPr>
          <w:rFonts w:eastAsia="Times New Roman" w:cs="Times New Roman"/>
          <w:lang w:eastAsia="de-DE"/>
        </w:rPr>
        <w:t>(vor JHWH) zeigt den sakralen Rahmen der Darbringung.</w:t>
      </w:r>
    </w:p>
    <w:p w14:paraId="0CB9F75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עגל בן־בקר</w:t>
      </w:r>
      <w:r w:rsidRPr="00570BCE">
        <w:rPr>
          <w:rFonts w:eastAsia="Times New Roman" w:cs="Times New Roman"/>
          <w:rtl/>
          <w:lang w:eastAsia="de-DE"/>
        </w:rPr>
        <w:t xml:space="preserve"> </w:t>
      </w:r>
      <w:r w:rsidRPr="00570BCE">
        <w:rPr>
          <w:rFonts w:eastAsia="Times New Roman" w:cs="Times New Roman"/>
          <w:lang w:eastAsia="de-DE"/>
        </w:rPr>
        <w:t xml:space="preserve">für </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 xml:space="preserve">entspricht den Bestimmungen für den </w:t>
      </w:r>
      <w:r w:rsidRPr="00570BCE">
        <w:rPr>
          <w:rFonts w:eastAsia="Times New Roman" w:cs="Times New Roman"/>
          <w:b/>
          <w:bCs/>
          <w:rtl/>
          <w:lang w:eastAsia="de-DE"/>
        </w:rPr>
        <w:t>כהן המשיח</w:t>
      </w:r>
      <w:r w:rsidRPr="00570BCE">
        <w:rPr>
          <w:rFonts w:eastAsia="Times New Roman" w:cs="Times New Roman"/>
          <w:rtl/>
          <w:lang w:eastAsia="de-DE"/>
        </w:rPr>
        <w:t xml:space="preserve"> </w:t>
      </w:r>
      <w:r w:rsidRPr="00570BCE">
        <w:rPr>
          <w:rFonts w:eastAsia="Times New Roman" w:cs="Times New Roman"/>
          <w:lang w:eastAsia="de-DE"/>
        </w:rPr>
        <w:t xml:space="preserve">aus 4,3. </w:t>
      </w:r>
      <w:r w:rsidRPr="00570BCE">
        <w:rPr>
          <w:rFonts w:eastAsia="Times New Roman" w:cs="Times New Roman"/>
          <w:b/>
          <w:bCs/>
          <w:rtl/>
          <w:lang w:eastAsia="de-DE"/>
        </w:rPr>
        <w:t>איל</w:t>
      </w:r>
      <w:r w:rsidRPr="00570BCE">
        <w:rPr>
          <w:rFonts w:eastAsia="Times New Roman" w:cs="Times New Roman"/>
          <w:rtl/>
          <w:lang w:eastAsia="de-DE"/>
        </w:rPr>
        <w:t xml:space="preserve"> </w:t>
      </w:r>
      <w:r w:rsidRPr="00570BCE">
        <w:rPr>
          <w:rFonts w:eastAsia="Times New Roman" w:cs="Times New Roman"/>
          <w:lang w:eastAsia="de-DE"/>
        </w:rPr>
        <w:t xml:space="preserve">für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 xml:space="preserve">ist ein wertvolles Opfertier. </w:t>
      </w:r>
      <w:r w:rsidRPr="00570BCE">
        <w:rPr>
          <w:rFonts w:eastAsia="Times New Roman" w:cs="Times New Roman"/>
          <w:b/>
          <w:bCs/>
          <w:rtl/>
          <w:lang w:eastAsia="de-DE"/>
        </w:rPr>
        <w:t>תמימם</w:t>
      </w:r>
      <w:r w:rsidRPr="00570BCE">
        <w:rPr>
          <w:rFonts w:eastAsia="Times New Roman" w:cs="Times New Roman"/>
          <w:rtl/>
          <w:lang w:eastAsia="de-DE"/>
        </w:rPr>
        <w:t xml:space="preserve"> </w:t>
      </w:r>
      <w:r w:rsidRPr="00570BCE">
        <w:rPr>
          <w:rFonts w:eastAsia="Times New Roman" w:cs="Times New Roman"/>
          <w:lang w:eastAsia="de-DE"/>
        </w:rPr>
        <w:t>mit Plural-Endung zeigt, dass beide Tiere fehlerfrei sein müssen.</w:t>
      </w:r>
    </w:p>
    <w:p w14:paraId="5551AA0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קח־לך</w:t>
      </w:r>
      <w:r w:rsidRPr="00570BCE">
        <w:rPr>
          <w:rFonts w:eastAsia="Times New Roman" w:cs="Times New Roman"/>
          <w:rtl/>
          <w:lang w:eastAsia="de-DE"/>
        </w:rPr>
        <w:t xml:space="preserve"> </w:t>
      </w:r>
      <w:r w:rsidRPr="00570BCE">
        <w:rPr>
          <w:rFonts w:eastAsia="Times New Roman" w:cs="Times New Roman"/>
          <w:lang w:eastAsia="de-DE"/>
        </w:rPr>
        <w:t xml:space="preserve">betont Aarons persönliche Verantwortung für seine eigenen Sündopfer vor dem Volksdienst. Die Reihenfolge </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 xml:space="preserve">vor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entspricht der logischen Progression: erst Sühne, dann Hingabe.</w:t>
      </w:r>
    </w:p>
    <w:p w14:paraId="38F4B2F3"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übersetzt </w:t>
      </w:r>
      <w:r w:rsidRPr="00570BCE">
        <w:rPr>
          <w:rFonts w:eastAsia="Times New Roman" w:cs="Times New Roman"/>
          <w:b/>
          <w:bCs/>
          <w:rtl/>
          <w:lang w:eastAsia="de-DE"/>
        </w:rPr>
        <w:t>קח־לך</w:t>
      </w:r>
      <w:r w:rsidRPr="00570BCE">
        <w:rPr>
          <w:rFonts w:eastAsia="Times New Roman" w:cs="Times New Roman"/>
          <w:rtl/>
          <w:lang w:eastAsia="de-DE"/>
        </w:rPr>
        <w:t xml:space="preserve"> </w:t>
      </w:r>
      <w:r w:rsidRPr="00570BCE">
        <w:rPr>
          <w:rFonts w:eastAsia="Times New Roman" w:cs="Times New Roman"/>
          <w:lang w:eastAsia="de-DE"/>
        </w:rPr>
        <w:t xml:space="preserve">mit λαβὲ </w:t>
      </w:r>
      <w:proofErr w:type="spellStart"/>
      <w:r w:rsidRPr="00570BCE">
        <w:rPr>
          <w:rFonts w:eastAsia="Times New Roman" w:cs="Times New Roman"/>
          <w:lang w:eastAsia="de-DE"/>
        </w:rPr>
        <w:t>σε</w:t>
      </w:r>
      <w:proofErr w:type="spellEnd"/>
      <w:r w:rsidRPr="00570BCE">
        <w:rPr>
          <w:rFonts w:eastAsia="Times New Roman" w:cs="Times New Roman"/>
          <w:lang w:eastAsia="de-DE"/>
        </w:rPr>
        <w:t xml:space="preserve">αυτῷ (nimm für dich), </w:t>
      </w:r>
      <w:r w:rsidRPr="00570BCE">
        <w:rPr>
          <w:rFonts w:eastAsia="Times New Roman" w:cs="Times New Roman"/>
          <w:b/>
          <w:bCs/>
          <w:rtl/>
          <w:lang w:eastAsia="de-DE"/>
        </w:rPr>
        <w:t>עגל בן־בקר</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μόσχον</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ἐκ</w:t>
      </w:r>
      <w:proofErr w:type="spellEnd"/>
      <w:r w:rsidRPr="00570BCE">
        <w:rPr>
          <w:rFonts w:eastAsia="Times New Roman" w:cs="Times New Roman"/>
          <w:lang w:eastAsia="de-DE"/>
        </w:rPr>
        <w:t xml:space="preserve"> β</w:t>
      </w:r>
      <w:proofErr w:type="spellStart"/>
      <w:r w:rsidRPr="00570BCE">
        <w:rPr>
          <w:rFonts w:eastAsia="Times New Roman" w:cs="Times New Roman"/>
          <w:lang w:eastAsia="de-DE"/>
        </w:rPr>
        <w:t>οῶν</w:t>
      </w:r>
      <w:proofErr w:type="spellEnd"/>
      <w:r w:rsidRPr="00570BCE">
        <w:rPr>
          <w:rFonts w:eastAsia="Times New Roman" w:cs="Times New Roman"/>
          <w:lang w:eastAsia="de-DE"/>
        </w:rPr>
        <w:t xml:space="preserve"> (Kalb aus Rindern), </w:t>
      </w:r>
      <w:r w:rsidRPr="00570BCE">
        <w:rPr>
          <w:rFonts w:eastAsia="Times New Roman" w:cs="Times New Roman"/>
          <w:b/>
          <w:bCs/>
          <w:rtl/>
          <w:lang w:eastAsia="de-DE"/>
        </w:rPr>
        <w:t>תמימם</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ἄμωμ</w:t>
      </w:r>
      <w:proofErr w:type="spellEnd"/>
      <w:r w:rsidRPr="00570BCE">
        <w:rPr>
          <w:rFonts w:eastAsia="Times New Roman" w:cs="Times New Roman"/>
          <w:lang w:eastAsia="de-DE"/>
        </w:rPr>
        <w:t xml:space="preserve">α (ohne Tadel) und </w:t>
      </w:r>
      <w:r w:rsidRPr="00570BCE">
        <w:rPr>
          <w:rFonts w:eastAsia="Times New Roman" w:cs="Times New Roman"/>
          <w:b/>
          <w:bCs/>
          <w:rtl/>
          <w:lang w:eastAsia="de-DE"/>
        </w:rPr>
        <w:t>והקרב</w:t>
      </w:r>
      <w:r w:rsidRPr="00570BCE">
        <w:rPr>
          <w:rFonts w:eastAsia="Times New Roman" w:cs="Times New Roman"/>
          <w:rtl/>
          <w:lang w:eastAsia="de-DE"/>
        </w:rPr>
        <w:t xml:space="preserve"> </w:t>
      </w:r>
      <w:r w:rsidRPr="00570BCE">
        <w:rPr>
          <w:rFonts w:eastAsia="Times New Roman" w:cs="Times New Roman"/>
          <w:lang w:eastAsia="de-DE"/>
        </w:rPr>
        <w:t>mit π</w:t>
      </w:r>
      <w:proofErr w:type="spellStart"/>
      <w:r w:rsidRPr="00570BCE">
        <w:rPr>
          <w:rFonts w:eastAsia="Times New Roman" w:cs="Times New Roman"/>
          <w:lang w:eastAsia="de-DE"/>
        </w:rPr>
        <w:t>ροσάγ</w:t>
      </w:r>
      <w:proofErr w:type="spellEnd"/>
      <w:r w:rsidRPr="00570BCE">
        <w:rPr>
          <w:rFonts w:eastAsia="Times New Roman" w:cs="Times New Roman"/>
          <w:lang w:eastAsia="de-DE"/>
        </w:rPr>
        <w:t>αγε (führe heran).</w:t>
      </w:r>
    </w:p>
    <w:p w14:paraId="1E81D70A"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direkte Rede mit zwei Imperativen: Anrede + erster Imperativ mit zwei Objekten + Qualitätsangabe + zweiter Imperativ mit Ortsangabe. Die Struktur zeigt Aarons erste eigenständige Opferverpflichtung.</w:t>
      </w:r>
    </w:p>
    <w:p w14:paraId="76236E66"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beauftragt Aaron mit seinen ersten eigenständigen Opfern als Hohepriester: persönliche </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 xml:space="preserve">und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vor dem Volksdienst.</w:t>
      </w:r>
    </w:p>
    <w:p w14:paraId="484F421B"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9,3</w:t>
      </w:r>
    </w:p>
    <w:p w14:paraId="23A7D3D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וְאֶל־בְּנֵ֥י יִשְׂרָאֵ֖ל תְּדַבֵּ֣ר לֵאמֹ֑ר קְח֤וּ שְׂעִיר־עִזִּים֙ לְחַטָּ֔את וְעֵ֨גֶל וָכֶ֧בֶשׂ בְּנֵי־שָׁנָ֛ה תְּמִימִ֖ם לְעֹלָֽה׃</w:t>
      </w:r>
    </w:p>
    <w:p w14:paraId="78758968"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lastRenderedPageBreak/>
        <w:t>Deutsch:</w:t>
      </w:r>
      <w:r w:rsidRPr="00570BCE">
        <w:rPr>
          <w:rFonts w:eastAsia="Times New Roman" w:cs="Times New Roman"/>
          <w:lang w:eastAsia="de-DE"/>
        </w:rPr>
        <w:t xml:space="preserve"> Und zu den Söhnen Israels sollst du reden und sprechen: Nehmt einen Ziegenbock zum Sündopfer und ein Kalb und ein Schaf, einjährig, ohne Fehl, zum Aufsteigeopfer;</w:t>
      </w:r>
    </w:p>
    <w:p w14:paraId="5025597C"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365C615A">
          <v:rect id="_x0000_i1235" style="width:0;height:1.5pt" o:hralign="center" o:hrstd="t" o:hr="t" fillcolor="#a0a0a0" stroked="f"/>
        </w:pict>
      </w:r>
    </w:p>
    <w:p w14:paraId="43E6C9E1"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ואל־בני ישראל תדבר לאמר</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דבר</w:t>
      </w:r>
      <w:r w:rsidRPr="00570BCE">
        <w:rPr>
          <w:rFonts w:eastAsia="Times New Roman" w:cs="Times New Roman"/>
          <w:rtl/>
          <w:lang w:eastAsia="de-DE"/>
        </w:rPr>
        <w:t xml:space="preserve"> </w:t>
      </w:r>
      <w:r w:rsidRPr="00570BCE">
        <w:rPr>
          <w:rFonts w:eastAsia="Times New Roman" w:cs="Times New Roman"/>
          <w:lang w:eastAsia="de-DE"/>
        </w:rPr>
        <w:t xml:space="preserve">(reden) im Piel-Imperfekt 2. Person maskulin Singular. </w:t>
      </w:r>
      <w:r w:rsidRPr="00570BCE">
        <w:rPr>
          <w:rFonts w:eastAsia="Times New Roman" w:cs="Times New Roman"/>
          <w:b/>
          <w:bCs/>
          <w:rtl/>
          <w:lang w:eastAsia="de-DE"/>
        </w:rPr>
        <w:t>אל־בני ישראל</w:t>
      </w:r>
      <w:r w:rsidRPr="00570BCE">
        <w:rPr>
          <w:rFonts w:eastAsia="Times New Roman" w:cs="Times New Roman"/>
          <w:rtl/>
          <w:lang w:eastAsia="de-DE"/>
        </w:rPr>
        <w:t xml:space="preserve"> </w:t>
      </w:r>
      <w:r w:rsidRPr="00570BCE">
        <w:rPr>
          <w:rFonts w:eastAsia="Times New Roman" w:cs="Times New Roman"/>
          <w:lang w:eastAsia="de-DE"/>
        </w:rPr>
        <w:t xml:space="preserve">(zu den Söhnen Israels) erweitert die Anweisung auf das ganze Volk. </w:t>
      </w:r>
      <w:r w:rsidRPr="00570BCE">
        <w:rPr>
          <w:rFonts w:eastAsia="Times New Roman" w:cs="Times New Roman"/>
          <w:b/>
          <w:bCs/>
          <w:rtl/>
          <w:lang w:eastAsia="de-DE"/>
        </w:rPr>
        <w:t>לאמר</w:t>
      </w:r>
      <w:r w:rsidRPr="00570BCE">
        <w:rPr>
          <w:rFonts w:eastAsia="Times New Roman" w:cs="Times New Roman"/>
          <w:rtl/>
          <w:lang w:eastAsia="de-DE"/>
        </w:rPr>
        <w:t xml:space="preserve"> </w:t>
      </w:r>
      <w:r w:rsidRPr="00570BCE">
        <w:rPr>
          <w:rFonts w:eastAsia="Times New Roman" w:cs="Times New Roman"/>
          <w:lang w:eastAsia="de-DE"/>
        </w:rPr>
        <w:t>(sagend) leitet die direkte Rede für das Volk ein. Aaron wird hier als Vermittler göttlicher Anweisungen an das Volk etabliert.</w:t>
      </w:r>
    </w:p>
    <w:p w14:paraId="07DBA2CB"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קחו שעיר־עזים לחטאת</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לקח</w:t>
      </w:r>
      <w:r w:rsidRPr="00570BCE">
        <w:rPr>
          <w:rFonts w:eastAsia="Times New Roman" w:cs="Times New Roman"/>
          <w:rtl/>
          <w:lang w:eastAsia="de-DE"/>
        </w:rPr>
        <w:t xml:space="preserve"> </w:t>
      </w:r>
      <w:r w:rsidRPr="00570BCE">
        <w:rPr>
          <w:rFonts w:eastAsia="Times New Roman" w:cs="Times New Roman"/>
          <w:lang w:eastAsia="de-DE"/>
        </w:rPr>
        <w:t xml:space="preserve">(nehmen) im Qal-Imperativ maskulin Plural. </w:t>
      </w:r>
      <w:r w:rsidRPr="00570BCE">
        <w:rPr>
          <w:rFonts w:eastAsia="Times New Roman" w:cs="Times New Roman"/>
          <w:b/>
          <w:bCs/>
          <w:rtl/>
          <w:lang w:eastAsia="de-DE"/>
        </w:rPr>
        <w:t>שעיר־עזים</w:t>
      </w:r>
      <w:r w:rsidRPr="00570BCE">
        <w:rPr>
          <w:rFonts w:eastAsia="Times New Roman" w:cs="Times New Roman"/>
          <w:rtl/>
          <w:lang w:eastAsia="de-DE"/>
        </w:rPr>
        <w:t xml:space="preserve"> </w:t>
      </w:r>
      <w:r w:rsidRPr="00570BCE">
        <w:rPr>
          <w:rFonts w:eastAsia="Times New Roman" w:cs="Times New Roman"/>
          <w:lang w:eastAsia="de-DE"/>
        </w:rPr>
        <w:t xml:space="preserve">(Ziegenbock) ist eine Genitivkonstruktion "Bock der Ziegen". </w:t>
      </w:r>
      <w:r w:rsidRPr="00570BCE">
        <w:rPr>
          <w:rFonts w:eastAsia="Times New Roman" w:cs="Times New Roman"/>
          <w:b/>
          <w:bCs/>
          <w:rtl/>
          <w:lang w:eastAsia="de-DE"/>
        </w:rPr>
        <w:t>לחטאת</w:t>
      </w:r>
      <w:r w:rsidRPr="00570BCE">
        <w:rPr>
          <w:rFonts w:eastAsia="Times New Roman" w:cs="Times New Roman"/>
          <w:rtl/>
          <w:lang w:eastAsia="de-DE"/>
        </w:rPr>
        <w:t xml:space="preserve"> </w:t>
      </w:r>
      <w:r w:rsidRPr="00570BCE">
        <w:rPr>
          <w:rFonts w:eastAsia="Times New Roman" w:cs="Times New Roman"/>
          <w:lang w:eastAsia="de-DE"/>
        </w:rPr>
        <w:t>(zum Sündopfer) entspricht den Volksopferbestimmungen aus Kapitel 4.</w:t>
      </w:r>
    </w:p>
    <w:p w14:paraId="1001085C" w14:textId="613A9FD5"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ועגל וכבש בני־שנה תמימם לעלה</w:t>
      </w:r>
      <w:r w:rsidRPr="00570BCE">
        <w:rPr>
          <w:rFonts w:eastAsia="Times New Roman" w:cs="Times New Roman"/>
          <w:rtl/>
          <w:lang w:eastAsia="de-DE"/>
        </w:rPr>
        <w:t xml:space="preserve"> </w:t>
      </w:r>
      <w:r w:rsidRPr="00570BCE">
        <w:rPr>
          <w:rFonts w:eastAsia="Times New Roman" w:cs="Times New Roman"/>
          <w:lang w:eastAsia="de-DE"/>
        </w:rPr>
        <w:t xml:space="preserve">listet zwei </w:t>
      </w:r>
      <w:r w:rsidRPr="00570BCE">
        <w:rPr>
          <w:rFonts w:eastAsia="Times New Roman" w:cs="Times New Roman"/>
          <w:b/>
          <w:bCs/>
          <w:rtl/>
          <w:lang w:eastAsia="de-DE"/>
        </w:rPr>
        <w:t>עלה</w:t>
      </w:r>
      <w:r w:rsidRPr="00570BCE">
        <w:rPr>
          <w:rFonts w:eastAsia="Times New Roman" w:cs="Times New Roman"/>
          <w:lang w:eastAsia="de-DE"/>
        </w:rPr>
        <w:t xml:space="preserve">-Tiere auf. </w:t>
      </w:r>
      <w:r w:rsidRPr="00570BCE">
        <w:rPr>
          <w:rFonts w:eastAsia="Times New Roman" w:cs="Times New Roman"/>
          <w:b/>
          <w:bCs/>
          <w:rtl/>
          <w:lang w:eastAsia="de-DE"/>
        </w:rPr>
        <w:t>עגל</w:t>
      </w:r>
      <w:r w:rsidRPr="00570BCE">
        <w:rPr>
          <w:rFonts w:eastAsia="Times New Roman" w:cs="Times New Roman"/>
          <w:rtl/>
          <w:lang w:eastAsia="de-DE"/>
        </w:rPr>
        <w:t xml:space="preserve"> </w:t>
      </w:r>
      <w:r w:rsidRPr="00570BCE">
        <w:rPr>
          <w:rFonts w:eastAsia="Times New Roman" w:cs="Times New Roman"/>
          <w:lang w:eastAsia="de-DE"/>
        </w:rPr>
        <w:t xml:space="preserve">(Kalb) und </w:t>
      </w:r>
      <w:r w:rsidRPr="00570BCE">
        <w:rPr>
          <w:rFonts w:eastAsia="Times New Roman" w:cs="Times New Roman"/>
          <w:b/>
          <w:bCs/>
          <w:rtl/>
          <w:lang w:eastAsia="de-DE"/>
        </w:rPr>
        <w:t>כבש</w:t>
      </w:r>
      <w:r w:rsidRPr="00570BCE">
        <w:rPr>
          <w:rFonts w:eastAsia="Times New Roman" w:cs="Times New Roman"/>
          <w:rtl/>
          <w:lang w:eastAsia="de-DE"/>
        </w:rPr>
        <w:t xml:space="preserve"> </w:t>
      </w:r>
      <w:r w:rsidRPr="00570BCE">
        <w:rPr>
          <w:rFonts w:eastAsia="Times New Roman" w:cs="Times New Roman"/>
          <w:lang w:eastAsia="de-DE"/>
        </w:rPr>
        <w:t xml:space="preserve">(Schaf) koordiniert durch </w:t>
      </w:r>
      <w:r w:rsidRPr="00570BCE">
        <w:rPr>
          <w:rFonts w:eastAsia="Times New Roman" w:cs="Times New Roman"/>
          <w:b/>
          <w:bCs/>
          <w:rtl/>
          <w:lang w:eastAsia="de-DE"/>
        </w:rPr>
        <w:t>ו</w:t>
      </w:r>
      <w:r w:rsidRPr="00570BCE">
        <w:rPr>
          <w:rFonts w:eastAsia="Times New Roman" w:cs="Times New Roman"/>
          <w:lang w:eastAsia="de-DE"/>
        </w:rPr>
        <w:t xml:space="preserve">. </w:t>
      </w:r>
      <w:r w:rsidRPr="00570BCE">
        <w:rPr>
          <w:rFonts w:eastAsia="Times New Roman" w:cs="Times New Roman"/>
          <w:b/>
          <w:bCs/>
          <w:rtl/>
          <w:lang w:eastAsia="de-DE"/>
        </w:rPr>
        <w:t>בני־שנה</w:t>
      </w:r>
      <w:r w:rsidRPr="00570BCE">
        <w:rPr>
          <w:rFonts w:eastAsia="Times New Roman" w:cs="Times New Roman"/>
          <w:rtl/>
          <w:lang w:eastAsia="de-DE"/>
        </w:rPr>
        <w:t xml:space="preserve"> </w:t>
      </w:r>
      <w:r w:rsidRPr="00570BCE">
        <w:rPr>
          <w:rFonts w:eastAsia="Times New Roman" w:cs="Times New Roman"/>
          <w:lang w:eastAsia="de-DE"/>
        </w:rPr>
        <w:t xml:space="preserve">(Söhne eines Jahres) ist eine idiomatische Altersangabe "einjährig". </w:t>
      </w:r>
      <w:r w:rsidRPr="00570BCE">
        <w:rPr>
          <w:rFonts w:eastAsia="Times New Roman" w:cs="Times New Roman"/>
          <w:b/>
          <w:bCs/>
          <w:rtl/>
          <w:lang w:eastAsia="de-DE"/>
        </w:rPr>
        <w:t>תמימם</w:t>
      </w:r>
      <w:r w:rsidRPr="00570BCE">
        <w:rPr>
          <w:rFonts w:eastAsia="Times New Roman" w:cs="Times New Roman"/>
          <w:rtl/>
          <w:lang w:eastAsia="de-DE"/>
        </w:rPr>
        <w:t xml:space="preserve"> </w:t>
      </w:r>
      <w:r w:rsidRPr="00570BCE">
        <w:rPr>
          <w:rFonts w:eastAsia="Times New Roman" w:cs="Times New Roman"/>
          <w:lang w:eastAsia="de-DE"/>
        </w:rPr>
        <w:t xml:space="preserve">(ohne Fehl) als maskulin Plural bezieht sich auf beide </w:t>
      </w:r>
      <w:r w:rsidRPr="00570BCE">
        <w:rPr>
          <w:rFonts w:eastAsia="Times New Roman" w:cs="Times New Roman"/>
          <w:b/>
          <w:bCs/>
          <w:rtl/>
          <w:lang w:eastAsia="de-DE"/>
        </w:rPr>
        <w:t>עלה</w:t>
      </w:r>
      <w:r w:rsidRPr="00570BCE">
        <w:rPr>
          <w:rFonts w:eastAsia="Times New Roman" w:cs="Times New Roman"/>
          <w:lang w:eastAsia="de-DE"/>
        </w:rPr>
        <w:t xml:space="preserve">-Tiere. </w:t>
      </w:r>
      <w:r w:rsidRPr="00570BCE">
        <w:rPr>
          <w:rFonts w:eastAsia="Times New Roman" w:cs="Times New Roman"/>
          <w:b/>
          <w:bCs/>
          <w:rtl/>
          <w:lang w:eastAsia="de-DE"/>
        </w:rPr>
        <w:t>לעלה</w:t>
      </w:r>
      <w:r w:rsidRPr="00570BCE">
        <w:rPr>
          <w:rFonts w:eastAsia="Times New Roman" w:cs="Times New Roman"/>
          <w:rtl/>
          <w:lang w:eastAsia="de-DE"/>
        </w:rPr>
        <w:t xml:space="preserve"> </w:t>
      </w:r>
      <w:r w:rsidRPr="00570BCE">
        <w:rPr>
          <w:rFonts w:eastAsia="Times New Roman" w:cs="Times New Roman"/>
          <w:lang w:eastAsia="de-DE"/>
        </w:rPr>
        <w:t xml:space="preserve">(zum </w:t>
      </w:r>
      <w:r w:rsidR="00CF10E7">
        <w:rPr>
          <w:rFonts w:eastAsia="Times New Roman" w:cs="Times New Roman"/>
          <w:lang w:eastAsia="de-DE"/>
        </w:rPr>
        <w:t>Aufsteigeopfer</w:t>
      </w:r>
      <w:r w:rsidRPr="00570BCE">
        <w:rPr>
          <w:rFonts w:eastAsia="Times New Roman" w:cs="Times New Roman"/>
          <w:lang w:eastAsia="de-DE"/>
        </w:rPr>
        <w:t>) klassifiziert beide Tiere.</w:t>
      </w:r>
    </w:p>
    <w:p w14:paraId="12AA774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שעיר־עזים</w:t>
      </w:r>
      <w:r w:rsidRPr="00570BCE">
        <w:rPr>
          <w:rFonts w:eastAsia="Times New Roman" w:cs="Times New Roman"/>
          <w:rtl/>
          <w:lang w:eastAsia="de-DE"/>
        </w:rPr>
        <w:t xml:space="preserve"> </w:t>
      </w:r>
      <w:r w:rsidRPr="00570BCE">
        <w:rPr>
          <w:rFonts w:eastAsia="Times New Roman" w:cs="Times New Roman"/>
          <w:lang w:eastAsia="de-DE"/>
        </w:rPr>
        <w:t>für Volks-</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 xml:space="preserve">entspricht 4,23 (für den </w:t>
      </w:r>
      <w:r w:rsidRPr="00570BCE">
        <w:rPr>
          <w:rFonts w:eastAsia="Times New Roman" w:cs="Times New Roman"/>
          <w:b/>
          <w:bCs/>
          <w:rtl/>
          <w:lang w:eastAsia="de-DE"/>
        </w:rPr>
        <w:t>נשיא</w:t>
      </w:r>
      <w:r w:rsidRPr="00570BCE">
        <w:rPr>
          <w:rFonts w:eastAsia="Times New Roman" w:cs="Times New Roman"/>
          <w:lang w:eastAsia="de-DE"/>
        </w:rPr>
        <w:t xml:space="preserve">) und zeigt eine andere Klasse als Aaron's </w:t>
      </w:r>
      <w:r w:rsidRPr="00570BCE">
        <w:rPr>
          <w:rFonts w:eastAsia="Times New Roman" w:cs="Times New Roman"/>
          <w:b/>
          <w:bCs/>
          <w:rtl/>
          <w:lang w:eastAsia="de-DE"/>
        </w:rPr>
        <w:t>עגל</w:t>
      </w:r>
      <w:r w:rsidRPr="00570BCE">
        <w:rPr>
          <w:rFonts w:eastAsia="Times New Roman" w:cs="Times New Roman"/>
          <w:lang w:eastAsia="de-DE"/>
        </w:rPr>
        <w:t xml:space="preserve">. Die Alternative </w:t>
      </w:r>
      <w:r w:rsidRPr="00570BCE">
        <w:rPr>
          <w:rFonts w:eastAsia="Times New Roman" w:cs="Times New Roman"/>
          <w:b/>
          <w:bCs/>
          <w:rtl/>
          <w:lang w:eastAsia="de-DE"/>
        </w:rPr>
        <w:t>עגל</w:t>
      </w:r>
      <w:r w:rsidRPr="00570BCE">
        <w:rPr>
          <w:rFonts w:eastAsia="Times New Roman" w:cs="Times New Roman"/>
          <w:rtl/>
          <w:lang w:eastAsia="de-DE"/>
        </w:rPr>
        <w:t xml:space="preserve"> </w:t>
      </w:r>
      <w:r w:rsidRPr="00570BCE">
        <w:rPr>
          <w:rFonts w:eastAsia="Times New Roman" w:cs="Times New Roman"/>
          <w:lang w:eastAsia="de-DE"/>
        </w:rPr>
        <w:t xml:space="preserve">oder </w:t>
      </w:r>
      <w:r w:rsidRPr="00570BCE">
        <w:rPr>
          <w:rFonts w:eastAsia="Times New Roman" w:cs="Times New Roman"/>
          <w:b/>
          <w:bCs/>
          <w:rtl/>
          <w:lang w:eastAsia="de-DE"/>
        </w:rPr>
        <w:t>כבש</w:t>
      </w:r>
      <w:r w:rsidRPr="00570BCE">
        <w:rPr>
          <w:rFonts w:eastAsia="Times New Roman" w:cs="Times New Roman"/>
          <w:rtl/>
          <w:lang w:eastAsia="de-DE"/>
        </w:rPr>
        <w:t xml:space="preserve"> </w:t>
      </w:r>
      <w:r w:rsidRPr="00570BCE">
        <w:rPr>
          <w:rFonts w:eastAsia="Times New Roman" w:cs="Times New Roman"/>
          <w:lang w:eastAsia="de-DE"/>
        </w:rPr>
        <w:t xml:space="preserve">für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gibt dem Volk Wahlmöglichkeit entsprechend wirtschaftlicher Leistungsfähigkeit.</w:t>
      </w:r>
    </w:p>
    <w:p w14:paraId="30ADDD8B"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בני־שנה</w:t>
      </w:r>
      <w:r w:rsidRPr="00570BCE">
        <w:rPr>
          <w:rFonts w:eastAsia="Times New Roman" w:cs="Times New Roman"/>
          <w:rtl/>
          <w:lang w:eastAsia="de-DE"/>
        </w:rPr>
        <w:t xml:space="preserve"> </w:t>
      </w:r>
      <w:r w:rsidRPr="00570BCE">
        <w:rPr>
          <w:rFonts w:eastAsia="Times New Roman" w:cs="Times New Roman"/>
          <w:lang w:eastAsia="de-DE"/>
        </w:rPr>
        <w:t xml:space="preserve">als Plural "Söhne eines Jahres" ist eine hebräische Besonderheit für Altersangaben bei Tieren. </w:t>
      </w:r>
      <w:r w:rsidRPr="00570BCE">
        <w:rPr>
          <w:rFonts w:eastAsia="Times New Roman" w:cs="Times New Roman"/>
          <w:b/>
          <w:bCs/>
          <w:rtl/>
          <w:lang w:eastAsia="de-DE"/>
        </w:rPr>
        <w:t>תמימם</w:t>
      </w:r>
      <w:r w:rsidRPr="00570BCE">
        <w:rPr>
          <w:rFonts w:eastAsia="Times New Roman" w:cs="Times New Roman"/>
          <w:rtl/>
          <w:lang w:eastAsia="de-DE"/>
        </w:rPr>
        <w:t xml:space="preserve"> </w:t>
      </w:r>
      <w:r w:rsidRPr="00570BCE">
        <w:rPr>
          <w:rFonts w:eastAsia="Times New Roman" w:cs="Times New Roman"/>
          <w:lang w:eastAsia="de-DE"/>
        </w:rPr>
        <w:t>zeigt, dass auch Volksopfer dieselben Qualitätsanforderungen haben wie priesterliche Opfer.</w:t>
      </w:r>
    </w:p>
    <w:p w14:paraId="1918EAAD" w14:textId="1C7AF68F"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w:t>
      </w:r>
      <w:r w:rsidR="00865A3D">
        <w:t xml:space="preserve">übersetzt </w:t>
      </w:r>
      <w:r w:rsidR="00865A3D">
        <w:rPr>
          <w:rtl/>
        </w:rPr>
        <w:t>לעלה</w:t>
      </w:r>
      <w:r w:rsidR="00865A3D">
        <w:t xml:space="preserve"> (</w:t>
      </w:r>
      <w:proofErr w:type="spellStart"/>
      <w:r w:rsidR="00865A3D">
        <w:t>le'ola</w:t>
      </w:r>
      <w:proofErr w:type="spellEnd"/>
      <w:r w:rsidR="00865A3D">
        <w:t xml:space="preserve"> - "zum </w:t>
      </w:r>
      <w:r w:rsidR="00D61FEC">
        <w:t>Aufsteigeopfer</w:t>
      </w:r>
      <w:r w:rsidR="00865A3D">
        <w:t xml:space="preserve">") als </w:t>
      </w:r>
      <w:proofErr w:type="spellStart"/>
      <w:r w:rsidR="00865A3D">
        <w:t>εἰς</w:t>
      </w:r>
      <w:proofErr w:type="spellEnd"/>
      <w:r w:rsidR="00865A3D">
        <w:t xml:space="preserve"> </w:t>
      </w:r>
      <w:proofErr w:type="spellStart"/>
      <w:r w:rsidR="00865A3D">
        <w:t>ὁλοκάρ</w:t>
      </w:r>
      <w:proofErr w:type="spellEnd"/>
      <w:r w:rsidR="00865A3D">
        <w:t xml:space="preserve">πωσιν (zur Ganzverbrennung), was eine präzisere griechische Opferterminologie darstellt, und wiederholt </w:t>
      </w:r>
      <w:proofErr w:type="spellStart"/>
      <w:r w:rsidR="00865A3D">
        <w:t>γερουσίᾳ</w:t>
      </w:r>
      <w:proofErr w:type="spellEnd"/>
      <w:r w:rsidR="00865A3D">
        <w:t xml:space="preserve"> (Rat) statt "Israeliten".</w:t>
      </w:r>
    </w:p>
    <w:p w14:paraId="6BEFA5C5"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Vermittlungsauftrag plus Volksanweisung: Adressat + Imperativ + Redeeinleitung // Imperativ (Plural) + drei Opfertiere mit Klassifikationen. Die Struktur etabliert Aaron als Vermittler zwischen Gott und Volk.</w:t>
      </w:r>
    </w:p>
    <w:p w14:paraId="63B755E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beauftragt Aaron, dem Volk ihre Opferverpflichtungen für den ersten offiziellen Gottesdienst mitzuteilen: </w:t>
      </w:r>
      <w:r w:rsidRPr="00570BCE">
        <w:rPr>
          <w:rFonts w:eastAsia="Times New Roman" w:cs="Times New Roman"/>
          <w:b/>
          <w:bCs/>
          <w:rtl/>
          <w:lang w:eastAsia="de-DE"/>
        </w:rPr>
        <w:t>חטאת</w:t>
      </w:r>
      <w:r w:rsidRPr="00570BCE">
        <w:rPr>
          <w:rFonts w:eastAsia="Times New Roman" w:cs="Times New Roman"/>
          <w:rtl/>
          <w:lang w:eastAsia="de-DE"/>
        </w:rPr>
        <w:t xml:space="preserve"> </w:t>
      </w:r>
      <w:r w:rsidRPr="00570BCE">
        <w:rPr>
          <w:rFonts w:eastAsia="Times New Roman" w:cs="Times New Roman"/>
          <w:lang w:eastAsia="de-DE"/>
        </w:rPr>
        <w:t xml:space="preserve">und </w:t>
      </w:r>
      <w:r w:rsidRPr="00570BCE">
        <w:rPr>
          <w:rFonts w:eastAsia="Times New Roman" w:cs="Times New Roman"/>
          <w:b/>
          <w:bCs/>
          <w:rtl/>
          <w:lang w:eastAsia="de-DE"/>
        </w:rPr>
        <w:t>עלה</w:t>
      </w:r>
      <w:r w:rsidRPr="00570BCE">
        <w:rPr>
          <w:rFonts w:eastAsia="Times New Roman" w:cs="Times New Roman"/>
          <w:rtl/>
          <w:lang w:eastAsia="de-DE"/>
        </w:rPr>
        <w:t xml:space="preserve"> </w:t>
      </w:r>
      <w:r w:rsidRPr="00570BCE">
        <w:rPr>
          <w:rFonts w:eastAsia="Times New Roman" w:cs="Times New Roman"/>
          <w:lang w:eastAsia="de-DE"/>
        </w:rPr>
        <w:t>entsprechend ihren Möglichkeiten.</w:t>
      </w:r>
    </w:p>
    <w:p w14:paraId="0B664E04" w14:textId="77777777" w:rsidR="00570BCE" w:rsidRPr="00570BCE" w:rsidRDefault="00570BCE" w:rsidP="00570BCE">
      <w:pPr>
        <w:spacing w:before="100" w:beforeAutospacing="1" w:after="100" w:afterAutospacing="1" w:line="240" w:lineRule="auto"/>
        <w:outlineLvl w:val="1"/>
        <w:rPr>
          <w:rFonts w:eastAsia="Times New Roman" w:cs="Times New Roman"/>
          <w:b/>
          <w:bCs/>
          <w:sz w:val="36"/>
          <w:szCs w:val="36"/>
          <w:lang w:eastAsia="de-DE"/>
        </w:rPr>
      </w:pPr>
      <w:r w:rsidRPr="00570BCE">
        <w:rPr>
          <w:rFonts w:eastAsia="Times New Roman" w:cs="Times New Roman"/>
          <w:b/>
          <w:bCs/>
          <w:sz w:val="36"/>
          <w:szCs w:val="36"/>
          <w:lang w:eastAsia="de-DE"/>
        </w:rPr>
        <w:t>Leviticus 9,4</w:t>
      </w:r>
    </w:p>
    <w:p w14:paraId="6ECBA88C"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Hebräisch:</w:t>
      </w:r>
      <w:r w:rsidRPr="00570BCE">
        <w:rPr>
          <w:rFonts w:eastAsia="Times New Roman" w:cs="Times New Roman"/>
          <w:lang w:eastAsia="de-DE"/>
        </w:rPr>
        <w:t xml:space="preserve"> </w:t>
      </w:r>
      <w:r w:rsidRPr="00570BCE">
        <w:rPr>
          <w:rFonts w:eastAsia="Times New Roman" w:cs="Times New Roman"/>
          <w:rtl/>
          <w:lang w:eastAsia="de-DE"/>
        </w:rPr>
        <w:t>וְשׁ֨וֹר וָאַ֜יִל לִשְׁלָמִ֗ים לִזְבֹּ֨חַ֙ לִפְנֵ֣י יְהוָ֔ה וּמִנְחָ֖ה בְּלוּלָ֣ה בַשָּׁ֑מֶן כִּ֣י הַיּ֔וֹם יְהוָ֖ה נִרְאָ֥ה אֲלֵיכֶֽם׃</w:t>
      </w:r>
    </w:p>
    <w:p w14:paraId="160DEC7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Deutsch:</w:t>
      </w:r>
      <w:r w:rsidRPr="00570BCE">
        <w:rPr>
          <w:rFonts w:eastAsia="Times New Roman" w:cs="Times New Roman"/>
          <w:lang w:eastAsia="de-DE"/>
        </w:rPr>
        <w:t xml:space="preserve"> und einen Stier und einen Widder zum Friedensopfer, um sie vor dem Ewigen zu opfern; und ein Speisopfer, gemengt mit Öl; denn heute wird der Ewige euch erscheinen.</w:t>
      </w:r>
    </w:p>
    <w:p w14:paraId="2F34359E" w14:textId="77777777" w:rsidR="00570BCE" w:rsidRPr="00570BCE" w:rsidRDefault="00A57720" w:rsidP="00570BCE">
      <w:pPr>
        <w:spacing w:after="0" w:line="240" w:lineRule="auto"/>
        <w:rPr>
          <w:rFonts w:eastAsia="Times New Roman" w:cs="Times New Roman"/>
          <w:lang w:eastAsia="de-DE"/>
        </w:rPr>
      </w:pPr>
      <w:r>
        <w:rPr>
          <w:rFonts w:eastAsia="Times New Roman" w:cs="Times New Roman"/>
          <w:noProof/>
          <w:lang w:eastAsia="de-DE"/>
        </w:rPr>
        <w:pict w14:anchorId="110F98DC">
          <v:rect id="_x0000_i1236" style="width:0;height:1.5pt" o:hralign="center" o:hrstd="t" o:hr="t" fillcolor="#a0a0a0" stroked="f"/>
        </w:pict>
      </w:r>
    </w:p>
    <w:p w14:paraId="00F9B955" w14:textId="68C1D4DC"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Kommentar:</w:t>
      </w:r>
      <w:r w:rsidRPr="00570BCE">
        <w:rPr>
          <w:rFonts w:eastAsia="Times New Roman" w:cs="Times New Roman"/>
          <w:lang w:eastAsia="de-DE"/>
        </w:rPr>
        <w:t xml:space="preserve"> </w:t>
      </w:r>
      <w:r w:rsidRPr="00570BCE">
        <w:rPr>
          <w:rFonts w:eastAsia="Times New Roman" w:cs="Times New Roman"/>
          <w:b/>
          <w:bCs/>
          <w:rtl/>
          <w:lang w:eastAsia="de-DE"/>
        </w:rPr>
        <w:t>ושור ואיל לשלמים לזבח לפני יהוה</w:t>
      </w:r>
      <w:r w:rsidRPr="00570BCE">
        <w:rPr>
          <w:rFonts w:eastAsia="Times New Roman" w:cs="Times New Roman"/>
          <w:rtl/>
          <w:lang w:eastAsia="de-DE"/>
        </w:rPr>
        <w:t xml:space="preserve"> </w:t>
      </w:r>
      <w:r w:rsidRPr="00570BCE">
        <w:rPr>
          <w:rFonts w:eastAsia="Times New Roman" w:cs="Times New Roman"/>
          <w:lang w:eastAsia="de-DE"/>
        </w:rPr>
        <w:t xml:space="preserve">ergänzt die Volksopfer um </w:t>
      </w:r>
      <w:r w:rsidRPr="00570BCE">
        <w:rPr>
          <w:rFonts w:eastAsia="Times New Roman" w:cs="Times New Roman"/>
          <w:b/>
          <w:bCs/>
          <w:rtl/>
          <w:lang w:eastAsia="de-DE"/>
        </w:rPr>
        <w:t>שלמים</w:t>
      </w:r>
      <w:r w:rsidRPr="00570BCE">
        <w:rPr>
          <w:rFonts w:eastAsia="Times New Roman" w:cs="Times New Roman"/>
          <w:lang w:eastAsia="de-DE"/>
        </w:rPr>
        <w:t xml:space="preserve">. </w:t>
      </w:r>
      <w:r w:rsidRPr="00570BCE">
        <w:rPr>
          <w:rFonts w:eastAsia="Times New Roman" w:cs="Times New Roman"/>
          <w:b/>
          <w:bCs/>
          <w:rtl/>
          <w:lang w:eastAsia="de-DE"/>
        </w:rPr>
        <w:t>שור</w:t>
      </w:r>
      <w:r w:rsidRPr="00570BCE">
        <w:rPr>
          <w:rFonts w:eastAsia="Times New Roman" w:cs="Times New Roman"/>
          <w:rtl/>
          <w:lang w:eastAsia="de-DE"/>
        </w:rPr>
        <w:t xml:space="preserve"> </w:t>
      </w:r>
      <w:r w:rsidRPr="00570BCE">
        <w:rPr>
          <w:rFonts w:eastAsia="Times New Roman" w:cs="Times New Roman"/>
          <w:lang w:eastAsia="de-DE"/>
        </w:rPr>
        <w:t xml:space="preserve">(Stier) und </w:t>
      </w:r>
      <w:r w:rsidRPr="00570BCE">
        <w:rPr>
          <w:rFonts w:eastAsia="Times New Roman" w:cs="Times New Roman"/>
          <w:b/>
          <w:bCs/>
          <w:rtl/>
          <w:lang w:eastAsia="de-DE"/>
        </w:rPr>
        <w:t>איל</w:t>
      </w:r>
      <w:r w:rsidRPr="00570BCE">
        <w:rPr>
          <w:rFonts w:eastAsia="Times New Roman" w:cs="Times New Roman"/>
          <w:rtl/>
          <w:lang w:eastAsia="de-DE"/>
        </w:rPr>
        <w:t xml:space="preserve"> </w:t>
      </w:r>
      <w:r w:rsidRPr="00570BCE">
        <w:rPr>
          <w:rFonts w:eastAsia="Times New Roman" w:cs="Times New Roman"/>
          <w:lang w:eastAsia="de-DE"/>
        </w:rPr>
        <w:t xml:space="preserve">(Widder) koordiniert durch </w:t>
      </w:r>
      <w:r w:rsidRPr="00570BCE">
        <w:rPr>
          <w:rFonts w:eastAsia="Times New Roman" w:cs="Times New Roman"/>
          <w:b/>
          <w:bCs/>
          <w:rtl/>
          <w:lang w:eastAsia="de-DE"/>
        </w:rPr>
        <w:t>ו</w:t>
      </w:r>
      <w:r w:rsidRPr="00570BCE">
        <w:rPr>
          <w:rFonts w:eastAsia="Times New Roman" w:cs="Times New Roman"/>
          <w:lang w:eastAsia="de-DE"/>
        </w:rPr>
        <w:t xml:space="preserve">. </w:t>
      </w:r>
      <w:r w:rsidRPr="00570BCE">
        <w:rPr>
          <w:rFonts w:eastAsia="Times New Roman" w:cs="Times New Roman"/>
          <w:b/>
          <w:bCs/>
          <w:rtl/>
          <w:lang w:eastAsia="de-DE"/>
        </w:rPr>
        <w:t>לשלמים</w:t>
      </w:r>
      <w:r w:rsidRPr="00570BCE">
        <w:rPr>
          <w:rFonts w:eastAsia="Times New Roman" w:cs="Times New Roman"/>
          <w:rtl/>
          <w:lang w:eastAsia="de-DE"/>
        </w:rPr>
        <w:t xml:space="preserve"> </w:t>
      </w:r>
      <w:r w:rsidRPr="00570BCE">
        <w:rPr>
          <w:rFonts w:eastAsia="Times New Roman" w:cs="Times New Roman"/>
          <w:lang w:eastAsia="de-DE"/>
        </w:rPr>
        <w:t xml:space="preserve">(zu Friedensopfern) klassifiziert beide Tiere. </w:t>
      </w:r>
      <w:r w:rsidRPr="00570BCE">
        <w:rPr>
          <w:rFonts w:eastAsia="Times New Roman" w:cs="Times New Roman"/>
          <w:b/>
          <w:bCs/>
          <w:rtl/>
          <w:lang w:eastAsia="de-DE"/>
        </w:rPr>
        <w:lastRenderedPageBreak/>
        <w:t>לזבח לפני יהוה</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זבח</w:t>
      </w:r>
      <w:r w:rsidRPr="00570BCE">
        <w:rPr>
          <w:rFonts w:eastAsia="Times New Roman" w:cs="Times New Roman"/>
          <w:rtl/>
          <w:lang w:eastAsia="de-DE"/>
        </w:rPr>
        <w:t xml:space="preserve"> </w:t>
      </w:r>
      <w:r w:rsidRPr="00570BCE">
        <w:rPr>
          <w:rFonts w:eastAsia="Times New Roman" w:cs="Times New Roman"/>
          <w:lang w:eastAsia="de-DE"/>
        </w:rPr>
        <w:t>(opfern/schlachten) als Infinitiv-</w:t>
      </w:r>
      <w:r w:rsidR="005407E2">
        <w:rPr>
          <w:rFonts w:eastAsia="Times New Roman" w:cs="Times New Roman"/>
          <w:lang w:eastAsia="de-DE"/>
        </w:rPr>
        <w:t>Constructus</w:t>
      </w:r>
      <w:r w:rsidRPr="00570BCE">
        <w:rPr>
          <w:rFonts w:eastAsia="Times New Roman" w:cs="Times New Roman"/>
          <w:lang w:eastAsia="de-DE"/>
        </w:rPr>
        <w:t xml:space="preserve"> mit </w:t>
      </w:r>
      <w:r w:rsidRPr="00570BCE">
        <w:rPr>
          <w:rFonts w:eastAsia="Times New Roman" w:cs="Times New Roman"/>
          <w:b/>
          <w:bCs/>
          <w:rtl/>
          <w:lang w:eastAsia="de-DE"/>
        </w:rPr>
        <w:t>ל</w:t>
      </w:r>
      <w:r w:rsidRPr="00570BCE">
        <w:rPr>
          <w:rFonts w:eastAsia="Times New Roman" w:cs="Times New Roman"/>
          <w:rtl/>
          <w:lang w:eastAsia="de-DE"/>
        </w:rPr>
        <w:t xml:space="preserve"> </w:t>
      </w:r>
      <w:r w:rsidRPr="00570BCE">
        <w:rPr>
          <w:rFonts w:eastAsia="Times New Roman" w:cs="Times New Roman"/>
          <w:lang w:eastAsia="de-DE"/>
        </w:rPr>
        <w:t xml:space="preserve">zur Zweckangabe. </w:t>
      </w:r>
      <w:r w:rsidRPr="00570BCE">
        <w:rPr>
          <w:rFonts w:eastAsia="Times New Roman" w:cs="Times New Roman"/>
          <w:b/>
          <w:bCs/>
          <w:rtl/>
          <w:lang w:eastAsia="de-DE"/>
        </w:rPr>
        <w:t>לפני יהוה</w:t>
      </w:r>
      <w:r w:rsidRPr="00570BCE">
        <w:rPr>
          <w:rFonts w:eastAsia="Times New Roman" w:cs="Times New Roman"/>
          <w:rtl/>
          <w:lang w:eastAsia="de-DE"/>
        </w:rPr>
        <w:t xml:space="preserve"> </w:t>
      </w:r>
      <w:r w:rsidRPr="00570BCE">
        <w:rPr>
          <w:rFonts w:eastAsia="Times New Roman" w:cs="Times New Roman"/>
          <w:lang w:eastAsia="de-DE"/>
        </w:rPr>
        <w:t>(vor JHWH) entspricht V. 2.</w:t>
      </w:r>
    </w:p>
    <w:p w14:paraId="0747979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ומנחה בלולה בשמן</w:t>
      </w:r>
      <w:r w:rsidRPr="00570BCE">
        <w:rPr>
          <w:rFonts w:eastAsia="Times New Roman" w:cs="Times New Roman"/>
          <w:rtl/>
          <w:lang w:eastAsia="de-DE"/>
        </w:rPr>
        <w:t xml:space="preserve"> </w:t>
      </w:r>
      <w:r w:rsidRPr="00570BCE">
        <w:rPr>
          <w:rFonts w:eastAsia="Times New Roman" w:cs="Times New Roman"/>
          <w:lang w:eastAsia="de-DE"/>
        </w:rPr>
        <w:t xml:space="preserve">fügt </w:t>
      </w:r>
      <w:r w:rsidRPr="00570BCE">
        <w:rPr>
          <w:rFonts w:eastAsia="Times New Roman" w:cs="Times New Roman"/>
          <w:b/>
          <w:bCs/>
          <w:rtl/>
          <w:lang w:eastAsia="de-DE"/>
        </w:rPr>
        <w:t>מנחה</w:t>
      </w:r>
      <w:r w:rsidRPr="00570BCE">
        <w:rPr>
          <w:rFonts w:eastAsia="Times New Roman" w:cs="Times New Roman"/>
          <w:rtl/>
          <w:lang w:eastAsia="de-DE"/>
        </w:rPr>
        <w:t xml:space="preserve"> </w:t>
      </w:r>
      <w:r w:rsidRPr="00570BCE">
        <w:rPr>
          <w:rFonts w:eastAsia="Times New Roman" w:cs="Times New Roman"/>
          <w:lang w:eastAsia="de-DE"/>
        </w:rPr>
        <w:t xml:space="preserve">(Speisopfer) hinzu. </w:t>
      </w:r>
      <w:r w:rsidRPr="00570BCE">
        <w:rPr>
          <w:rFonts w:eastAsia="Times New Roman" w:cs="Times New Roman"/>
          <w:b/>
          <w:bCs/>
          <w:rtl/>
          <w:lang w:eastAsia="de-DE"/>
        </w:rPr>
        <w:t>בלולה בשמן</w:t>
      </w:r>
      <w:r w:rsidRPr="00570BCE">
        <w:rPr>
          <w:rFonts w:eastAsia="Times New Roman" w:cs="Times New Roman"/>
          <w:rtl/>
          <w:lang w:eastAsia="de-DE"/>
        </w:rPr>
        <w:t xml:space="preserve"> </w:t>
      </w:r>
      <w:r w:rsidRPr="00570BCE">
        <w:rPr>
          <w:rFonts w:eastAsia="Times New Roman" w:cs="Times New Roman"/>
          <w:lang w:eastAsia="de-DE"/>
        </w:rPr>
        <w:t xml:space="preserve">(gemengt mit Öl) ist Partizip Qal passiv feminin Singular von </w:t>
      </w:r>
      <w:r w:rsidRPr="00570BCE">
        <w:rPr>
          <w:rFonts w:eastAsia="Times New Roman" w:cs="Times New Roman"/>
          <w:b/>
          <w:bCs/>
          <w:rtl/>
          <w:lang w:eastAsia="de-DE"/>
        </w:rPr>
        <w:t>בלל</w:t>
      </w:r>
      <w:r w:rsidRPr="00570BCE">
        <w:rPr>
          <w:rFonts w:eastAsia="Times New Roman" w:cs="Times New Roman"/>
          <w:rtl/>
          <w:lang w:eastAsia="de-DE"/>
        </w:rPr>
        <w:t xml:space="preserve"> </w:t>
      </w:r>
      <w:r w:rsidRPr="00570BCE">
        <w:rPr>
          <w:rFonts w:eastAsia="Times New Roman" w:cs="Times New Roman"/>
          <w:lang w:eastAsia="de-DE"/>
        </w:rPr>
        <w:t xml:space="preserve">(mischen) mit instrumentaler Präposition </w:t>
      </w:r>
      <w:r w:rsidRPr="00570BCE">
        <w:rPr>
          <w:rFonts w:eastAsia="Times New Roman" w:cs="Times New Roman"/>
          <w:b/>
          <w:bCs/>
          <w:rtl/>
          <w:lang w:eastAsia="de-DE"/>
        </w:rPr>
        <w:t>ב</w:t>
      </w:r>
      <w:r w:rsidRPr="00570BCE">
        <w:rPr>
          <w:rFonts w:eastAsia="Times New Roman" w:cs="Times New Roman"/>
          <w:lang w:eastAsia="de-DE"/>
        </w:rPr>
        <w:t xml:space="preserve">. Dies entspricht den </w:t>
      </w:r>
      <w:r w:rsidRPr="00570BCE">
        <w:rPr>
          <w:rFonts w:eastAsia="Times New Roman" w:cs="Times New Roman"/>
          <w:b/>
          <w:bCs/>
          <w:rtl/>
          <w:lang w:eastAsia="de-DE"/>
        </w:rPr>
        <w:t>מנחה</w:t>
      </w:r>
      <w:r w:rsidRPr="00570BCE">
        <w:rPr>
          <w:rFonts w:eastAsia="Times New Roman" w:cs="Times New Roman"/>
          <w:lang w:eastAsia="de-DE"/>
        </w:rPr>
        <w:t>-Bestimmungen aus 2,4-5.</w:t>
      </w:r>
    </w:p>
    <w:p w14:paraId="608E7D87"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כי היום יהוה נראה אליכם</w:t>
      </w:r>
      <w:r w:rsidRPr="00570BCE">
        <w:rPr>
          <w:rFonts w:eastAsia="Times New Roman" w:cs="Times New Roman"/>
          <w:rtl/>
          <w:lang w:eastAsia="de-DE"/>
        </w:rPr>
        <w:t xml:space="preserve"> </w:t>
      </w:r>
      <w:r w:rsidRPr="00570BCE">
        <w:rPr>
          <w:rFonts w:eastAsia="Times New Roman" w:cs="Times New Roman"/>
          <w:lang w:eastAsia="de-DE"/>
        </w:rPr>
        <w:t xml:space="preserve">begründet die umfangreichen Opferanweisungen. </w:t>
      </w:r>
      <w:r w:rsidRPr="00570BCE">
        <w:rPr>
          <w:rFonts w:eastAsia="Times New Roman" w:cs="Times New Roman"/>
          <w:b/>
          <w:bCs/>
          <w:rtl/>
          <w:lang w:eastAsia="de-DE"/>
        </w:rPr>
        <w:t>כי</w:t>
      </w:r>
      <w:r w:rsidRPr="00570BCE">
        <w:rPr>
          <w:rFonts w:eastAsia="Times New Roman" w:cs="Times New Roman"/>
          <w:rtl/>
          <w:lang w:eastAsia="de-DE"/>
        </w:rPr>
        <w:t xml:space="preserve"> </w:t>
      </w:r>
      <w:r w:rsidRPr="00570BCE">
        <w:rPr>
          <w:rFonts w:eastAsia="Times New Roman" w:cs="Times New Roman"/>
          <w:lang w:eastAsia="de-DE"/>
        </w:rPr>
        <w:t xml:space="preserve">(denn) leitet den Begründungssatz ein. </w:t>
      </w:r>
      <w:r w:rsidRPr="00570BCE">
        <w:rPr>
          <w:rFonts w:eastAsia="Times New Roman" w:cs="Times New Roman"/>
          <w:b/>
          <w:bCs/>
          <w:rtl/>
          <w:lang w:eastAsia="de-DE"/>
        </w:rPr>
        <w:t>היום</w:t>
      </w:r>
      <w:r w:rsidRPr="00570BCE">
        <w:rPr>
          <w:rFonts w:eastAsia="Times New Roman" w:cs="Times New Roman"/>
          <w:rtl/>
          <w:lang w:eastAsia="de-DE"/>
        </w:rPr>
        <w:t xml:space="preserve"> </w:t>
      </w:r>
      <w:r w:rsidRPr="00570BCE">
        <w:rPr>
          <w:rFonts w:eastAsia="Times New Roman" w:cs="Times New Roman"/>
          <w:lang w:eastAsia="de-DE"/>
        </w:rPr>
        <w:t xml:space="preserve">(heute) betont die Besonderheit dieses Tages. </w:t>
      </w:r>
      <w:r w:rsidRPr="00570BCE">
        <w:rPr>
          <w:rFonts w:eastAsia="Times New Roman" w:cs="Times New Roman"/>
          <w:b/>
          <w:bCs/>
          <w:rtl/>
          <w:lang w:eastAsia="de-DE"/>
        </w:rPr>
        <w:t>יהוה נראה אליכם</w:t>
      </w:r>
      <w:r w:rsidRPr="00570BCE">
        <w:rPr>
          <w:rFonts w:eastAsia="Times New Roman" w:cs="Times New Roman"/>
          <w:rtl/>
          <w:lang w:eastAsia="de-DE"/>
        </w:rPr>
        <w:t xml:space="preserve"> </w:t>
      </w:r>
      <w:r w:rsidRPr="00570BCE">
        <w:rPr>
          <w:rFonts w:eastAsia="Times New Roman" w:cs="Times New Roman"/>
          <w:lang w:eastAsia="de-DE"/>
        </w:rPr>
        <w:t xml:space="preserve">zeigt </w:t>
      </w:r>
      <w:r w:rsidRPr="00570BCE">
        <w:rPr>
          <w:rFonts w:eastAsia="Times New Roman" w:cs="Times New Roman"/>
          <w:b/>
          <w:bCs/>
          <w:rtl/>
          <w:lang w:eastAsia="de-DE"/>
        </w:rPr>
        <w:t>ראה</w:t>
      </w:r>
      <w:r w:rsidRPr="00570BCE">
        <w:rPr>
          <w:rFonts w:eastAsia="Times New Roman" w:cs="Times New Roman"/>
          <w:rtl/>
          <w:lang w:eastAsia="de-DE"/>
        </w:rPr>
        <w:t xml:space="preserve"> </w:t>
      </w:r>
      <w:r w:rsidRPr="00570BCE">
        <w:rPr>
          <w:rFonts w:eastAsia="Times New Roman" w:cs="Times New Roman"/>
          <w:lang w:eastAsia="de-DE"/>
        </w:rPr>
        <w:t xml:space="preserve">(erscheinen) im Nifal-Partizip maskulin Singular "JHWH erscheinend" mit </w:t>
      </w:r>
      <w:r w:rsidRPr="00570BCE">
        <w:rPr>
          <w:rFonts w:eastAsia="Times New Roman" w:cs="Times New Roman"/>
          <w:b/>
          <w:bCs/>
          <w:rtl/>
          <w:lang w:eastAsia="de-DE"/>
        </w:rPr>
        <w:t>אל</w:t>
      </w:r>
      <w:r w:rsidRPr="00570BCE">
        <w:rPr>
          <w:rFonts w:eastAsia="Times New Roman" w:cs="Times New Roman"/>
          <w:rtl/>
          <w:lang w:eastAsia="de-DE"/>
        </w:rPr>
        <w:t xml:space="preserve"> </w:t>
      </w:r>
      <w:r w:rsidRPr="00570BCE">
        <w:rPr>
          <w:rFonts w:eastAsia="Times New Roman" w:cs="Times New Roman"/>
          <w:lang w:eastAsia="de-DE"/>
        </w:rPr>
        <w:t>plus Suffix 2. Person maskulin Plural. Das Nifal drückt die passive/reflexive Bedeutung aus "sich zeigen lassen/erscheinen".</w:t>
      </w:r>
    </w:p>
    <w:p w14:paraId="55727FF1"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Die Vollständigkeit der Opferarten (</w:t>
      </w:r>
      <w:r w:rsidRPr="00570BCE">
        <w:rPr>
          <w:rFonts w:eastAsia="Times New Roman" w:cs="Times New Roman"/>
          <w:b/>
          <w:bCs/>
          <w:rtl/>
          <w:lang w:eastAsia="de-DE"/>
        </w:rPr>
        <w:t>חטאת</w:t>
      </w:r>
      <w:r w:rsidRPr="00570BCE">
        <w:rPr>
          <w:rFonts w:eastAsia="Times New Roman" w:cs="Times New Roman"/>
          <w:lang w:eastAsia="de-DE"/>
        </w:rPr>
        <w:t xml:space="preserve">, </w:t>
      </w:r>
      <w:r w:rsidRPr="00570BCE">
        <w:rPr>
          <w:rFonts w:eastAsia="Times New Roman" w:cs="Times New Roman"/>
          <w:b/>
          <w:bCs/>
          <w:rtl/>
          <w:lang w:eastAsia="de-DE"/>
        </w:rPr>
        <w:t>עלה</w:t>
      </w:r>
      <w:r w:rsidRPr="00570BCE">
        <w:rPr>
          <w:rFonts w:eastAsia="Times New Roman" w:cs="Times New Roman"/>
          <w:lang w:eastAsia="de-DE"/>
        </w:rPr>
        <w:t xml:space="preserve">, </w:t>
      </w:r>
      <w:r w:rsidRPr="00570BCE">
        <w:rPr>
          <w:rFonts w:eastAsia="Times New Roman" w:cs="Times New Roman"/>
          <w:b/>
          <w:bCs/>
          <w:rtl/>
          <w:lang w:eastAsia="de-DE"/>
        </w:rPr>
        <w:t>שלמים</w:t>
      </w:r>
      <w:r w:rsidRPr="00570BCE">
        <w:rPr>
          <w:rFonts w:eastAsia="Times New Roman" w:cs="Times New Roman"/>
          <w:lang w:eastAsia="de-DE"/>
        </w:rPr>
        <w:t xml:space="preserve">, </w:t>
      </w:r>
      <w:r w:rsidRPr="00570BCE">
        <w:rPr>
          <w:rFonts w:eastAsia="Times New Roman" w:cs="Times New Roman"/>
          <w:b/>
          <w:bCs/>
          <w:rtl/>
          <w:lang w:eastAsia="de-DE"/>
        </w:rPr>
        <w:t>מנחה</w:t>
      </w:r>
      <w:r w:rsidRPr="00570BCE">
        <w:rPr>
          <w:rFonts w:eastAsia="Times New Roman" w:cs="Times New Roman"/>
          <w:lang w:eastAsia="de-DE"/>
        </w:rPr>
        <w:t xml:space="preserve">) zeigt die umfassende Natur dieses ersten offiziellen Gottesdienstes. </w:t>
      </w:r>
      <w:r w:rsidRPr="00570BCE">
        <w:rPr>
          <w:rFonts w:eastAsia="Times New Roman" w:cs="Times New Roman"/>
          <w:b/>
          <w:bCs/>
          <w:rtl/>
          <w:lang w:eastAsia="de-DE"/>
        </w:rPr>
        <w:t>לזבח</w:t>
      </w:r>
      <w:r w:rsidRPr="00570BCE">
        <w:rPr>
          <w:rFonts w:eastAsia="Times New Roman" w:cs="Times New Roman"/>
          <w:rtl/>
          <w:lang w:eastAsia="de-DE"/>
        </w:rPr>
        <w:t xml:space="preserve"> </w:t>
      </w:r>
      <w:r w:rsidRPr="00570BCE">
        <w:rPr>
          <w:rFonts w:eastAsia="Times New Roman" w:cs="Times New Roman"/>
          <w:lang w:eastAsia="de-DE"/>
        </w:rPr>
        <w:t>als zusätzlicher Zweck-Infinitiv betont die aktive Opferhandlung.</w:t>
      </w:r>
    </w:p>
    <w:p w14:paraId="24A32542"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rtl/>
          <w:lang w:eastAsia="de-DE"/>
        </w:rPr>
        <w:t>נראה אליכם</w:t>
      </w:r>
      <w:r w:rsidRPr="00570BCE">
        <w:rPr>
          <w:rFonts w:eastAsia="Times New Roman" w:cs="Times New Roman"/>
          <w:rtl/>
          <w:lang w:eastAsia="de-DE"/>
        </w:rPr>
        <w:t xml:space="preserve"> </w:t>
      </w:r>
      <w:r w:rsidRPr="00570BCE">
        <w:rPr>
          <w:rFonts w:eastAsia="Times New Roman" w:cs="Times New Roman"/>
          <w:lang w:eastAsia="de-DE"/>
        </w:rPr>
        <w:t xml:space="preserve">ist eine Theophanie-Ankündigung: JHWH wird sich dem Volk in besonderer Weise offenbaren. </w:t>
      </w:r>
      <w:r w:rsidRPr="00570BCE">
        <w:rPr>
          <w:rFonts w:eastAsia="Times New Roman" w:cs="Times New Roman"/>
          <w:b/>
          <w:bCs/>
          <w:rtl/>
          <w:lang w:eastAsia="de-DE"/>
        </w:rPr>
        <w:t>היום</w:t>
      </w:r>
      <w:r w:rsidRPr="00570BCE">
        <w:rPr>
          <w:rFonts w:eastAsia="Times New Roman" w:cs="Times New Roman"/>
          <w:rtl/>
          <w:lang w:eastAsia="de-DE"/>
        </w:rPr>
        <w:t xml:space="preserve"> </w:t>
      </w:r>
      <w:r w:rsidRPr="00570BCE">
        <w:rPr>
          <w:rFonts w:eastAsia="Times New Roman" w:cs="Times New Roman"/>
          <w:lang w:eastAsia="de-DE"/>
        </w:rPr>
        <w:t>unterstreicht die einmalige Bedeutung dieses Ereignisses.</w:t>
      </w:r>
    </w:p>
    <w:p w14:paraId="21D90D40"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LXX</w:t>
      </w:r>
      <w:r w:rsidRPr="00570BCE">
        <w:rPr>
          <w:rFonts w:eastAsia="Times New Roman" w:cs="Times New Roman"/>
          <w:lang w:eastAsia="de-DE"/>
        </w:rPr>
        <w:t xml:space="preserve"> übersetzt </w:t>
      </w:r>
      <w:r w:rsidRPr="00570BCE">
        <w:rPr>
          <w:rFonts w:eastAsia="Times New Roman" w:cs="Times New Roman"/>
          <w:b/>
          <w:bCs/>
          <w:rtl/>
          <w:lang w:eastAsia="de-DE"/>
        </w:rPr>
        <w:t>שור</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μόσχον</w:t>
      </w:r>
      <w:proofErr w:type="spellEnd"/>
      <w:r w:rsidRPr="00570BCE">
        <w:rPr>
          <w:rFonts w:eastAsia="Times New Roman" w:cs="Times New Roman"/>
          <w:lang w:eastAsia="de-DE"/>
        </w:rPr>
        <w:t xml:space="preserve"> (Kalb), </w:t>
      </w:r>
      <w:r w:rsidRPr="00570BCE">
        <w:rPr>
          <w:rFonts w:eastAsia="Times New Roman" w:cs="Times New Roman"/>
          <w:b/>
          <w:bCs/>
          <w:rtl/>
          <w:lang w:eastAsia="de-DE"/>
        </w:rPr>
        <w:t>לשלמים</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τοῦ</w:t>
      </w:r>
      <w:proofErr w:type="spellEnd"/>
      <w:r w:rsidRPr="00570BCE">
        <w:rPr>
          <w:rFonts w:eastAsia="Times New Roman" w:cs="Times New Roman"/>
          <w:lang w:eastAsia="de-DE"/>
        </w:rPr>
        <w:t xml:space="preserve"> </w:t>
      </w:r>
      <w:proofErr w:type="spellStart"/>
      <w:r w:rsidRPr="00570BCE">
        <w:rPr>
          <w:rFonts w:eastAsia="Times New Roman" w:cs="Times New Roman"/>
          <w:lang w:eastAsia="de-DE"/>
        </w:rPr>
        <w:t>σωτηρίου</w:t>
      </w:r>
      <w:proofErr w:type="spellEnd"/>
      <w:r w:rsidRPr="00570BCE">
        <w:rPr>
          <w:rFonts w:eastAsia="Times New Roman" w:cs="Times New Roman"/>
          <w:lang w:eastAsia="de-DE"/>
        </w:rPr>
        <w:t xml:space="preserve"> (des Heilsopfers), </w:t>
      </w:r>
      <w:r w:rsidRPr="00570BCE">
        <w:rPr>
          <w:rFonts w:eastAsia="Times New Roman" w:cs="Times New Roman"/>
          <w:b/>
          <w:bCs/>
          <w:rtl/>
          <w:lang w:eastAsia="de-DE"/>
        </w:rPr>
        <w:t>בלולה</w:t>
      </w:r>
      <w:r w:rsidRPr="00570BCE">
        <w:rPr>
          <w:rFonts w:eastAsia="Times New Roman" w:cs="Times New Roman"/>
          <w:rtl/>
          <w:lang w:eastAsia="de-DE"/>
        </w:rPr>
        <w:t xml:space="preserve"> </w:t>
      </w:r>
      <w:r w:rsidRPr="00570BCE">
        <w:rPr>
          <w:rFonts w:eastAsia="Times New Roman" w:cs="Times New Roman"/>
          <w:lang w:eastAsia="de-DE"/>
        </w:rPr>
        <w:t>mit π</w:t>
      </w:r>
      <w:proofErr w:type="spellStart"/>
      <w:r w:rsidRPr="00570BCE">
        <w:rPr>
          <w:rFonts w:eastAsia="Times New Roman" w:cs="Times New Roman"/>
          <w:lang w:eastAsia="de-DE"/>
        </w:rPr>
        <w:t>εφυρ</w:t>
      </w:r>
      <w:proofErr w:type="spellEnd"/>
      <w:r w:rsidRPr="00570BCE">
        <w:rPr>
          <w:rFonts w:eastAsia="Times New Roman" w:cs="Times New Roman"/>
          <w:lang w:eastAsia="de-DE"/>
        </w:rPr>
        <w:t xml:space="preserve">αμένην (gemengt) und </w:t>
      </w:r>
      <w:r w:rsidRPr="00570BCE">
        <w:rPr>
          <w:rFonts w:eastAsia="Times New Roman" w:cs="Times New Roman"/>
          <w:b/>
          <w:bCs/>
          <w:rtl/>
          <w:lang w:eastAsia="de-DE"/>
        </w:rPr>
        <w:t>נראה</w:t>
      </w:r>
      <w:r w:rsidRPr="00570BCE">
        <w:rPr>
          <w:rFonts w:eastAsia="Times New Roman" w:cs="Times New Roman"/>
          <w:rtl/>
          <w:lang w:eastAsia="de-DE"/>
        </w:rPr>
        <w:t xml:space="preserve"> </w:t>
      </w:r>
      <w:r w:rsidRPr="00570BCE">
        <w:rPr>
          <w:rFonts w:eastAsia="Times New Roman" w:cs="Times New Roman"/>
          <w:lang w:eastAsia="de-DE"/>
        </w:rPr>
        <w:t xml:space="preserve">mit </w:t>
      </w:r>
      <w:proofErr w:type="spellStart"/>
      <w:r w:rsidRPr="00570BCE">
        <w:rPr>
          <w:rFonts w:eastAsia="Times New Roman" w:cs="Times New Roman"/>
          <w:lang w:eastAsia="de-DE"/>
        </w:rPr>
        <w:t>ὀφθήσετ</w:t>
      </w:r>
      <w:proofErr w:type="spellEnd"/>
      <w:r w:rsidRPr="00570BCE">
        <w:rPr>
          <w:rFonts w:eastAsia="Times New Roman" w:cs="Times New Roman"/>
          <w:lang w:eastAsia="de-DE"/>
        </w:rPr>
        <w:t>αι (wird erscheinen).</w:t>
      </w:r>
    </w:p>
    <w:p w14:paraId="1EDE138A"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b/>
          <w:bCs/>
          <w:lang w:eastAsia="de-DE"/>
        </w:rPr>
        <w:t>Die Satzstruktur:</w:t>
      </w:r>
      <w:r w:rsidRPr="00570BCE">
        <w:rPr>
          <w:rFonts w:eastAsia="Times New Roman" w:cs="Times New Roman"/>
          <w:lang w:eastAsia="de-DE"/>
        </w:rPr>
        <w:t xml:space="preserve"> zeigt Opfererweiterung plus theologische Begründung: zwei weitere Opfertiere + Zweckangabe + zusätzliches Opfer mit Qualifikation + Begründungssatz mit Theophanie-Ankündigung. Die Struktur steigert sich zur entscheidenden theologischen Aussage.</w:t>
      </w:r>
    </w:p>
    <w:p w14:paraId="48A04CF4" w14:textId="77777777" w:rsidR="00570BCE" w:rsidRPr="00570BCE" w:rsidRDefault="00570BCE" w:rsidP="00570BCE">
      <w:pPr>
        <w:spacing w:before="100" w:beforeAutospacing="1" w:after="100" w:afterAutospacing="1" w:line="240" w:lineRule="auto"/>
        <w:rPr>
          <w:rFonts w:eastAsia="Times New Roman" w:cs="Times New Roman"/>
          <w:lang w:eastAsia="de-DE"/>
        </w:rPr>
      </w:pPr>
      <w:r w:rsidRPr="00570BCE">
        <w:rPr>
          <w:rFonts w:eastAsia="Times New Roman" w:cs="Times New Roman"/>
          <w:lang w:eastAsia="de-DE"/>
        </w:rPr>
        <w:t xml:space="preserve">Dieser Vers komplettiert die Volksopfer mit </w:t>
      </w:r>
      <w:r w:rsidRPr="00570BCE">
        <w:rPr>
          <w:rFonts w:eastAsia="Times New Roman" w:cs="Times New Roman"/>
          <w:b/>
          <w:bCs/>
          <w:rtl/>
          <w:lang w:eastAsia="de-DE"/>
        </w:rPr>
        <w:t>שלמים</w:t>
      </w:r>
      <w:r w:rsidRPr="00570BCE">
        <w:rPr>
          <w:rFonts w:eastAsia="Times New Roman" w:cs="Times New Roman"/>
          <w:rtl/>
          <w:lang w:eastAsia="de-DE"/>
        </w:rPr>
        <w:t xml:space="preserve"> </w:t>
      </w:r>
      <w:r w:rsidRPr="00570BCE">
        <w:rPr>
          <w:rFonts w:eastAsia="Times New Roman" w:cs="Times New Roman"/>
          <w:lang w:eastAsia="de-DE"/>
        </w:rPr>
        <w:t xml:space="preserve">und </w:t>
      </w:r>
      <w:r w:rsidRPr="00570BCE">
        <w:rPr>
          <w:rFonts w:eastAsia="Times New Roman" w:cs="Times New Roman"/>
          <w:b/>
          <w:bCs/>
          <w:rtl/>
          <w:lang w:eastAsia="de-DE"/>
        </w:rPr>
        <w:t>מנחה</w:t>
      </w:r>
      <w:r w:rsidRPr="00570BCE">
        <w:rPr>
          <w:rFonts w:eastAsia="Times New Roman" w:cs="Times New Roman"/>
          <w:rtl/>
          <w:lang w:eastAsia="de-DE"/>
        </w:rPr>
        <w:t xml:space="preserve"> </w:t>
      </w:r>
      <w:r w:rsidRPr="00570BCE">
        <w:rPr>
          <w:rFonts w:eastAsia="Times New Roman" w:cs="Times New Roman"/>
          <w:lang w:eastAsia="de-DE"/>
        </w:rPr>
        <w:t>und begründet den umfassenden Opferdienst mit der Ankündigung einer göttlichen Erscheinung.</w:t>
      </w:r>
    </w:p>
    <w:p w14:paraId="7B6DB1FA"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9,5</w:t>
      </w:r>
    </w:p>
    <w:p w14:paraId="3A51C66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וַיִּקְח֗וּ אֵ֚ת אֲשֶׁ֣ר צִוָּ֣ה מֹשֶׁ֔ה אֶל־פְּנֵ֖י אֹ֣הֶל מוֹעֵ֑ד וַֽיִּקְרְבוּ֙ כָּל־הָ֣עֵדָ֔ה וַיַּֽעַמְד֖וּ לִפְנֵ֥י יְהוָֽה׃</w:t>
      </w:r>
    </w:p>
    <w:p w14:paraId="6E35E7C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sie brachten, was Mosche geboten hatte, vor dem Zelt der Begegnung, und die ganze Gemeinde nahte herzu und stand vor dem Ewigen.</w:t>
      </w:r>
    </w:p>
    <w:p w14:paraId="2509FFF5"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3B69C086">
          <v:rect id="_x0000_i1237" style="width:0;height:1.5pt" o:hralign="center" o:hrstd="t" o:hr="t" fillcolor="#a0a0a0" stroked="f"/>
        </w:pict>
      </w:r>
    </w:p>
    <w:p w14:paraId="0BAD304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ויקחו את אשר צוה משה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לקח</w:t>
      </w:r>
      <w:r w:rsidRPr="008B1D78">
        <w:rPr>
          <w:rFonts w:eastAsia="Times New Roman" w:cs="Times New Roman"/>
          <w:rtl/>
          <w:lang w:eastAsia="de-DE"/>
        </w:rPr>
        <w:t xml:space="preserve"> </w:t>
      </w:r>
      <w:r w:rsidRPr="008B1D78">
        <w:rPr>
          <w:rFonts w:eastAsia="Times New Roman" w:cs="Times New Roman"/>
          <w:lang w:eastAsia="de-DE"/>
        </w:rPr>
        <w:t xml:space="preserve">(nehmen) im Qal-Imperfekt 3. Person maskulin Plural mit Waw-Konsekutiv. </w:t>
      </w:r>
      <w:r w:rsidRPr="008B1D78">
        <w:rPr>
          <w:rFonts w:eastAsia="Times New Roman" w:cs="Times New Roman"/>
          <w:b/>
          <w:bCs/>
          <w:rtl/>
          <w:lang w:eastAsia="de-DE"/>
        </w:rPr>
        <w:t>את אשר צוה משה</w:t>
      </w:r>
      <w:r w:rsidRPr="008B1D78">
        <w:rPr>
          <w:rFonts w:eastAsia="Times New Roman" w:cs="Times New Roman"/>
          <w:rtl/>
          <w:lang w:eastAsia="de-DE"/>
        </w:rPr>
        <w:t xml:space="preserve"> </w:t>
      </w:r>
      <w:r w:rsidRPr="008B1D78">
        <w:rPr>
          <w:rFonts w:eastAsia="Times New Roman" w:cs="Times New Roman"/>
          <w:lang w:eastAsia="de-DE"/>
        </w:rPr>
        <w:t xml:space="preserve">(das, was Mosche geboten hatte) mit Relativsatz - </w:t>
      </w:r>
      <w:r w:rsidRPr="008B1D78">
        <w:rPr>
          <w:rFonts w:eastAsia="Times New Roman" w:cs="Times New Roman"/>
          <w:b/>
          <w:bCs/>
          <w:rtl/>
          <w:lang w:eastAsia="de-DE"/>
        </w:rPr>
        <w:t>צוה</w:t>
      </w:r>
      <w:r w:rsidRPr="008B1D78">
        <w:rPr>
          <w:rFonts w:eastAsia="Times New Roman" w:cs="Times New Roman"/>
          <w:rtl/>
          <w:lang w:eastAsia="de-DE"/>
        </w:rPr>
        <w:t xml:space="preserve"> </w:t>
      </w:r>
      <w:r w:rsidRPr="008B1D78">
        <w:rPr>
          <w:rFonts w:eastAsia="Times New Roman" w:cs="Times New Roman"/>
          <w:lang w:eastAsia="de-DE"/>
        </w:rPr>
        <w:t>im Piel-Perfekt zeigt die vorausgegangenen Anweisungen aus V. 2-4. Das Subjekt sind implizit Aaron, seine Söhne und das Volk.</w:t>
      </w:r>
    </w:p>
    <w:p w14:paraId="0E20BD5A"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אל־פני אהל מועד</w:t>
      </w:r>
      <w:r w:rsidRPr="008B1D78">
        <w:rPr>
          <w:rFonts w:eastAsia="Times New Roman" w:cs="Times New Roman"/>
          <w:rtl/>
          <w:lang w:eastAsia="de-DE"/>
        </w:rPr>
        <w:t xml:space="preserve"> </w:t>
      </w:r>
      <w:r w:rsidRPr="008B1D78">
        <w:rPr>
          <w:rFonts w:eastAsia="Times New Roman" w:cs="Times New Roman"/>
          <w:lang w:eastAsia="de-DE"/>
        </w:rPr>
        <w:t xml:space="preserve">zeigt die Richtung der Bewegung. </w:t>
      </w:r>
      <w:r w:rsidRPr="008B1D78">
        <w:rPr>
          <w:rFonts w:eastAsia="Times New Roman" w:cs="Times New Roman"/>
          <w:b/>
          <w:bCs/>
          <w:rtl/>
          <w:lang w:eastAsia="de-DE"/>
        </w:rPr>
        <w:t>פני אהל מועד</w:t>
      </w:r>
      <w:r w:rsidRPr="008B1D78">
        <w:rPr>
          <w:rFonts w:eastAsia="Times New Roman" w:cs="Times New Roman"/>
          <w:rtl/>
          <w:lang w:eastAsia="de-DE"/>
        </w:rPr>
        <w:t xml:space="preserve"> </w:t>
      </w:r>
      <w:r w:rsidRPr="008B1D78">
        <w:rPr>
          <w:rFonts w:eastAsia="Times New Roman" w:cs="Times New Roman"/>
          <w:lang w:eastAsia="de-DE"/>
        </w:rPr>
        <w:t xml:space="preserve">(vor dem Zelt der Begegnung) als feste Ortsangabe für kultische Handlungen. </w:t>
      </w:r>
      <w:r w:rsidRPr="008B1D78">
        <w:rPr>
          <w:rFonts w:eastAsia="Times New Roman" w:cs="Times New Roman"/>
          <w:b/>
          <w:bCs/>
          <w:rtl/>
          <w:lang w:eastAsia="de-DE"/>
        </w:rPr>
        <w:t>אל</w:t>
      </w:r>
      <w:r w:rsidRPr="008B1D78">
        <w:rPr>
          <w:rFonts w:eastAsia="Times New Roman" w:cs="Times New Roman"/>
          <w:rtl/>
          <w:lang w:eastAsia="de-DE"/>
        </w:rPr>
        <w:t xml:space="preserve"> </w:t>
      </w:r>
      <w:r w:rsidRPr="008B1D78">
        <w:rPr>
          <w:rFonts w:eastAsia="Times New Roman" w:cs="Times New Roman"/>
          <w:lang w:eastAsia="de-DE"/>
        </w:rPr>
        <w:t>(zu/vor) zeigt die Bewegungsrichtung zum heiligen Ort.</w:t>
      </w:r>
    </w:p>
    <w:p w14:paraId="190CDEB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lastRenderedPageBreak/>
        <w:t>ויקרבו כל־העדה ויעמדו לפני יהוה</w:t>
      </w:r>
      <w:r w:rsidRPr="008B1D78">
        <w:rPr>
          <w:rFonts w:eastAsia="Times New Roman" w:cs="Times New Roman"/>
          <w:rtl/>
          <w:lang w:eastAsia="de-DE"/>
        </w:rPr>
        <w:t xml:space="preserve"> </w:t>
      </w:r>
      <w:r w:rsidRPr="008B1D78">
        <w:rPr>
          <w:rFonts w:eastAsia="Times New Roman" w:cs="Times New Roman"/>
          <w:lang w:eastAsia="de-DE"/>
        </w:rPr>
        <w:t xml:space="preserve">zeigt zwei koordinierte Handlungen. </w:t>
      </w:r>
      <w:r w:rsidRPr="008B1D78">
        <w:rPr>
          <w:rFonts w:eastAsia="Times New Roman" w:cs="Times New Roman"/>
          <w:b/>
          <w:bCs/>
          <w:rtl/>
          <w:lang w:eastAsia="de-DE"/>
        </w:rPr>
        <w:t>ויקרבו</w:t>
      </w:r>
      <w:r w:rsidRPr="008B1D78">
        <w:rPr>
          <w:rFonts w:eastAsia="Times New Roman" w:cs="Times New Roman"/>
          <w:rtl/>
          <w:lang w:eastAsia="de-DE"/>
        </w:rPr>
        <w:t xml:space="preserve"> </w:t>
      </w:r>
      <w:r w:rsidRPr="008B1D78">
        <w:rPr>
          <w:rFonts w:eastAsia="Times New Roman" w:cs="Times New Roman"/>
          <w:lang w:eastAsia="de-DE"/>
        </w:rPr>
        <w:t xml:space="preserve">von </w:t>
      </w:r>
      <w:r w:rsidRPr="008B1D78">
        <w:rPr>
          <w:rFonts w:eastAsia="Times New Roman" w:cs="Times New Roman"/>
          <w:b/>
          <w:bCs/>
          <w:rtl/>
          <w:lang w:eastAsia="de-DE"/>
        </w:rPr>
        <w:t>קרב</w:t>
      </w:r>
      <w:r w:rsidRPr="008B1D78">
        <w:rPr>
          <w:rFonts w:eastAsia="Times New Roman" w:cs="Times New Roman"/>
          <w:rtl/>
          <w:lang w:eastAsia="de-DE"/>
        </w:rPr>
        <w:t xml:space="preserve"> </w:t>
      </w:r>
      <w:r w:rsidRPr="008B1D78">
        <w:rPr>
          <w:rFonts w:eastAsia="Times New Roman" w:cs="Times New Roman"/>
          <w:lang w:eastAsia="de-DE"/>
        </w:rPr>
        <w:t xml:space="preserve">(nahen) im Qal-Imperfekt 3. Person maskulin Plural mit Waw-Konsekutiv. </w:t>
      </w:r>
      <w:r w:rsidRPr="008B1D78">
        <w:rPr>
          <w:rFonts w:eastAsia="Times New Roman" w:cs="Times New Roman"/>
          <w:b/>
          <w:bCs/>
          <w:rtl/>
          <w:lang w:eastAsia="de-DE"/>
        </w:rPr>
        <w:t>כל־העדה</w:t>
      </w:r>
      <w:r w:rsidRPr="008B1D78">
        <w:rPr>
          <w:rFonts w:eastAsia="Times New Roman" w:cs="Times New Roman"/>
          <w:rtl/>
          <w:lang w:eastAsia="de-DE"/>
        </w:rPr>
        <w:t xml:space="preserve"> </w:t>
      </w:r>
      <w:r w:rsidRPr="008B1D78">
        <w:rPr>
          <w:rFonts w:eastAsia="Times New Roman" w:cs="Times New Roman"/>
          <w:lang w:eastAsia="de-DE"/>
        </w:rPr>
        <w:t xml:space="preserve">(die ganze Gemeinde) mit Totalitätspartikel </w:t>
      </w:r>
      <w:r w:rsidRPr="008B1D78">
        <w:rPr>
          <w:rFonts w:eastAsia="Times New Roman" w:cs="Times New Roman"/>
          <w:b/>
          <w:bCs/>
          <w:rtl/>
          <w:lang w:eastAsia="de-DE"/>
        </w:rPr>
        <w:t>כל</w:t>
      </w:r>
      <w:r w:rsidRPr="008B1D78">
        <w:rPr>
          <w:rFonts w:eastAsia="Times New Roman" w:cs="Times New Roman"/>
          <w:rtl/>
          <w:lang w:eastAsia="de-DE"/>
        </w:rPr>
        <w:t xml:space="preserve"> </w:t>
      </w:r>
      <w:r w:rsidRPr="008B1D78">
        <w:rPr>
          <w:rFonts w:eastAsia="Times New Roman" w:cs="Times New Roman"/>
          <w:lang w:eastAsia="de-DE"/>
        </w:rPr>
        <w:t xml:space="preserve">betont die vollständige Teilnahme. </w:t>
      </w:r>
      <w:r w:rsidRPr="008B1D78">
        <w:rPr>
          <w:rFonts w:eastAsia="Times New Roman" w:cs="Times New Roman"/>
          <w:b/>
          <w:bCs/>
          <w:rtl/>
          <w:lang w:eastAsia="de-DE"/>
        </w:rPr>
        <w:t>ויעמדו</w:t>
      </w:r>
      <w:r w:rsidRPr="008B1D78">
        <w:rPr>
          <w:rFonts w:eastAsia="Times New Roman" w:cs="Times New Roman"/>
          <w:rtl/>
          <w:lang w:eastAsia="de-DE"/>
        </w:rPr>
        <w:t xml:space="preserve"> </w:t>
      </w:r>
      <w:r w:rsidRPr="008B1D78">
        <w:rPr>
          <w:rFonts w:eastAsia="Times New Roman" w:cs="Times New Roman"/>
          <w:lang w:eastAsia="de-DE"/>
        </w:rPr>
        <w:t xml:space="preserve">von </w:t>
      </w:r>
      <w:r w:rsidRPr="008B1D78">
        <w:rPr>
          <w:rFonts w:eastAsia="Times New Roman" w:cs="Times New Roman"/>
          <w:b/>
          <w:bCs/>
          <w:rtl/>
          <w:lang w:eastAsia="de-DE"/>
        </w:rPr>
        <w:t>עמד</w:t>
      </w:r>
      <w:r w:rsidRPr="008B1D78">
        <w:rPr>
          <w:rFonts w:eastAsia="Times New Roman" w:cs="Times New Roman"/>
          <w:rtl/>
          <w:lang w:eastAsia="de-DE"/>
        </w:rPr>
        <w:t xml:space="preserve"> </w:t>
      </w:r>
      <w:r w:rsidRPr="008B1D78">
        <w:rPr>
          <w:rFonts w:eastAsia="Times New Roman" w:cs="Times New Roman"/>
          <w:lang w:eastAsia="de-DE"/>
        </w:rPr>
        <w:t xml:space="preserve">(stehen) im Qal-Imperfekt 3. Person maskulin Plural mit Waw-Konsekutiv. </w:t>
      </w:r>
      <w:r w:rsidRPr="008B1D78">
        <w:rPr>
          <w:rFonts w:eastAsia="Times New Roman" w:cs="Times New Roman"/>
          <w:b/>
          <w:bCs/>
          <w:rtl/>
          <w:lang w:eastAsia="de-DE"/>
        </w:rPr>
        <w:t>לפני יהוה</w:t>
      </w:r>
      <w:r w:rsidRPr="008B1D78">
        <w:rPr>
          <w:rFonts w:eastAsia="Times New Roman" w:cs="Times New Roman"/>
          <w:rtl/>
          <w:lang w:eastAsia="de-DE"/>
        </w:rPr>
        <w:t xml:space="preserve"> </w:t>
      </w:r>
      <w:r w:rsidRPr="008B1D78">
        <w:rPr>
          <w:rFonts w:eastAsia="Times New Roman" w:cs="Times New Roman"/>
          <w:lang w:eastAsia="de-DE"/>
        </w:rPr>
        <w:t>(vor JHWH) zeigt die sakrale Präsenz.</w:t>
      </w:r>
    </w:p>
    <w:p w14:paraId="1DC8F51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Progression </w:t>
      </w:r>
      <w:r w:rsidRPr="008B1D78">
        <w:rPr>
          <w:rFonts w:eastAsia="Times New Roman" w:cs="Times New Roman"/>
          <w:b/>
          <w:bCs/>
          <w:rtl/>
          <w:lang w:eastAsia="de-DE"/>
        </w:rPr>
        <w:t>לקחו...קרבו...עמדו</w:t>
      </w:r>
      <w:r w:rsidRPr="008B1D78">
        <w:rPr>
          <w:rFonts w:eastAsia="Times New Roman" w:cs="Times New Roman"/>
          <w:rtl/>
          <w:lang w:eastAsia="de-DE"/>
        </w:rPr>
        <w:t xml:space="preserve"> </w:t>
      </w:r>
      <w:r w:rsidRPr="008B1D78">
        <w:rPr>
          <w:rFonts w:eastAsia="Times New Roman" w:cs="Times New Roman"/>
          <w:lang w:eastAsia="de-DE"/>
        </w:rPr>
        <w:t xml:space="preserve">(sie nahmen...sie nahten...sie standen) zeigt die systematische Vorbereitung und Positionierung für den Gottesdienst. </w:t>
      </w:r>
      <w:r w:rsidRPr="008B1D78">
        <w:rPr>
          <w:rFonts w:eastAsia="Times New Roman" w:cs="Times New Roman"/>
          <w:b/>
          <w:bCs/>
          <w:rtl/>
          <w:lang w:eastAsia="de-DE"/>
        </w:rPr>
        <w:t>כל־העדה</w:t>
      </w:r>
      <w:r w:rsidRPr="008B1D78">
        <w:rPr>
          <w:rFonts w:eastAsia="Times New Roman" w:cs="Times New Roman"/>
          <w:rtl/>
          <w:lang w:eastAsia="de-DE"/>
        </w:rPr>
        <w:t xml:space="preserve"> </w:t>
      </w:r>
      <w:r w:rsidRPr="008B1D78">
        <w:rPr>
          <w:rFonts w:eastAsia="Times New Roman" w:cs="Times New Roman"/>
          <w:lang w:eastAsia="de-DE"/>
        </w:rPr>
        <w:t>entspricht der Versammlung aus 8,3-4.</w:t>
      </w:r>
    </w:p>
    <w:p w14:paraId="416F2854"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לפני יהוה</w:t>
      </w:r>
      <w:r w:rsidRPr="008B1D78">
        <w:rPr>
          <w:rFonts w:eastAsia="Times New Roman" w:cs="Times New Roman"/>
          <w:rtl/>
          <w:lang w:eastAsia="de-DE"/>
        </w:rPr>
        <w:t xml:space="preserve"> </w:t>
      </w:r>
      <w:r w:rsidRPr="008B1D78">
        <w:rPr>
          <w:rFonts w:eastAsia="Times New Roman" w:cs="Times New Roman"/>
          <w:lang w:eastAsia="de-DE"/>
        </w:rPr>
        <w:t xml:space="preserve">statt </w:t>
      </w:r>
      <w:r w:rsidRPr="008B1D78">
        <w:rPr>
          <w:rFonts w:eastAsia="Times New Roman" w:cs="Times New Roman"/>
          <w:b/>
          <w:bCs/>
          <w:rtl/>
          <w:lang w:eastAsia="de-DE"/>
        </w:rPr>
        <w:t>לפני אהל מועד</w:t>
      </w:r>
      <w:r w:rsidRPr="008B1D78">
        <w:rPr>
          <w:rFonts w:eastAsia="Times New Roman" w:cs="Times New Roman"/>
          <w:rtl/>
          <w:lang w:eastAsia="de-DE"/>
        </w:rPr>
        <w:t xml:space="preserve"> </w:t>
      </w:r>
      <w:r w:rsidRPr="008B1D78">
        <w:rPr>
          <w:rFonts w:eastAsia="Times New Roman" w:cs="Times New Roman"/>
          <w:lang w:eastAsia="de-DE"/>
        </w:rPr>
        <w:t xml:space="preserve">zeigt die Intensivierung: von der physischen Präsenz vor dem Zelt zur geistlichen Präsenz vor JHWH. </w:t>
      </w:r>
      <w:r w:rsidRPr="008B1D78">
        <w:rPr>
          <w:rFonts w:eastAsia="Times New Roman" w:cs="Times New Roman"/>
          <w:b/>
          <w:bCs/>
          <w:rtl/>
          <w:lang w:eastAsia="de-DE"/>
        </w:rPr>
        <w:t>עמדו לפני יהוה</w:t>
      </w:r>
      <w:r w:rsidRPr="008B1D78">
        <w:rPr>
          <w:rFonts w:eastAsia="Times New Roman" w:cs="Times New Roman"/>
          <w:rtl/>
          <w:lang w:eastAsia="de-DE"/>
        </w:rPr>
        <w:t xml:space="preserve"> </w:t>
      </w:r>
      <w:r w:rsidRPr="008B1D78">
        <w:rPr>
          <w:rFonts w:eastAsia="Times New Roman" w:cs="Times New Roman"/>
          <w:lang w:eastAsia="de-DE"/>
        </w:rPr>
        <w:t>ist die klassische Haltung für Gottesdienst und Theophanie.</w:t>
      </w:r>
    </w:p>
    <w:p w14:paraId="606B0876"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ויקחו</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ἔλ</w:t>
      </w:r>
      <w:proofErr w:type="spellEnd"/>
      <w:r w:rsidRPr="008B1D78">
        <w:rPr>
          <w:rFonts w:eastAsia="Times New Roman" w:cs="Times New Roman"/>
          <w:lang w:eastAsia="de-DE"/>
        </w:rPr>
        <w:t xml:space="preserve">αβον (sie nahmen), </w:t>
      </w:r>
      <w:r w:rsidRPr="008B1D78">
        <w:rPr>
          <w:rFonts w:eastAsia="Times New Roman" w:cs="Times New Roman"/>
          <w:b/>
          <w:bCs/>
          <w:rtl/>
          <w:lang w:eastAsia="de-DE"/>
        </w:rPr>
        <w:t>אל־פני אהל מועד</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ἔν</w:t>
      </w:r>
      <w:proofErr w:type="spellEnd"/>
      <w:r w:rsidRPr="008B1D78">
        <w:rPr>
          <w:rFonts w:eastAsia="Times New Roman" w:cs="Times New Roman"/>
          <w:lang w:eastAsia="de-DE"/>
        </w:rPr>
        <w:t xml:space="preserve">αντι </w:t>
      </w:r>
      <w:proofErr w:type="spellStart"/>
      <w:r w:rsidRPr="008B1D78">
        <w:rPr>
          <w:rFonts w:eastAsia="Times New Roman" w:cs="Times New Roman"/>
          <w:lang w:eastAsia="de-DE"/>
        </w:rPr>
        <w:t>τῆς</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σκηνῆς</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τοῦ</w:t>
      </w:r>
      <w:proofErr w:type="spellEnd"/>
      <w:r w:rsidRPr="008B1D78">
        <w:rPr>
          <w:rFonts w:eastAsia="Times New Roman" w:cs="Times New Roman"/>
          <w:lang w:eastAsia="de-DE"/>
        </w:rPr>
        <w:t xml:space="preserve"> μα</w:t>
      </w:r>
      <w:proofErr w:type="spellStart"/>
      <w:r w:rsidRPr="008B1D78">
        <w:rPr>
          <w:rFonts w:eastAsia="Times New Roman" w:cs="Times New Roman"/>
          <w:lang w:eastAsia="de-DE"/>
        </w:rPr>
        <w:t>ρτυρίου</w:t>
      </w:r>
      <w:proofErr w:type="spellEnd"/>
      <w:r w:rsidRPr="008B1D78">
        <w:rPr>
          <w:rFonts w:eastAsia="Times New Roman" w:cs="Times New Roman"/>
          <w:lang w:eastAsia="de-DE"/>
        </w:rPr>
        <w:t xml:space="preserve"> (vor dem Zelt des Zeugnisses) und </w:t>
      </w:r>
      <w:r w:rsidRPr="008B1D78">
        <w:rPr>
          <w:rFonts w:eastAsia="Times New Roman" w:cs="Times New Roman"/>
          <w:b/>
          <w:bCs/>
          <w:rtl/>
          <w:lang w:eastAsia="de-DE"/>
        </w:rPr>
        <w:t>ויעמדו</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ἔστησ</w:t>
      </w:r>
      <w:proofErr w:type="spellEnd"/>
      <w:r w:rsidRPr="008B1D78">
        <w:rPr>
          <w:rFonts w:eastAsia="Times New Roman" w:cs="Times New Roman"/>
          <w:lang w:eastAsia="de-DE"/>
        </w:rPr>
        <w:t>αν (sie stellten sich).</w:t>
      </w:r>
    </w:p>
    <w:p w14:paraId="053090EE"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drei koordinierte Hauptsätze: 1) Verb + direktes Objekt mit Relativsatz + Ortsangabe; 2) Verb + Subjekt; 3) Verb + Ortsangabe. Die Struktur zeigt die systematische Vorbereitung und Versammlung.</w:t>
      </w:r>
    </w:p>
    <w:p w14:paraId="3334A9D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Dieser Vers zeigt die gehorsame Ausführung der mosaischen Anweisungen und die vollständige Versammlung der Gemeinde für den ersten offiziellen Gottesdienst.</w:t>
      </w:r>
    </w:p>
    <w:p w14:paraId="066388FA"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9,6</w:t>
      </w:r>
    </w:p>
    <w:p w14:paraId="338A8E5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וַיֹּ֣אמֶר מֹשֶׁ֔ה זֶ֧ה הַדָּבָ֛ר אֲשֶׁר־צִוָּ֥ה יְהוָ֖ה תַּעֲשׂ֑וּ וְיֵרָ֥א אֲלֵיכֶ֖ם כְּב֥וֹד יְהוָֽה׃</w:t>
      </w:r>
    </w:p>
    <w:p w14:paraId="6582E622"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Mosche sprach: Dies ist das Wort, das der Ewige geboten hat, dass ihr es tun sollt; und die Herrlichkeit des Ewigen wird euch erscheinen.</w:t>
      </w:r>
    </w:p>
    <w:p w14:paraId="69C39A57"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630BB0B1">
          <v:rect id="_x0000_i1238" style="width:0;height:1.5pt" o:hralign="center" o:hrstd="t" o:hr="t" fillcolor="#a0a0a0" stroked="f"/>
        </w:pict>
      </w:r>
    </w:p>
    <w:p w14:paraId="1004DC5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ויאמר משה זה הדבר אשר־צוה יהוה תעשו</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אמר</w:t>
      </w:r>
      <w:r w:rsidRPr="008B1D78">
        <w:rPr>
          <w:rFonts w:eastAsia="Times New Roman" w:cs="Times New Roman"/>
          <w:rtl/>
          <w:lang w:eastAsia="de-DE"/>
        </w:rPr>
        <w:t xml:space="preserve"> </w:t>
      </w:r>
      <w:r w:rsidRPr="008B1D78">
        <w:rPr>
          <w:rFonts w:eastAsia="Times New Roman" w:cs="Times New Roman"/>
          <w:lang w:eastAsia="de-DE"/>
        </w:rPr>
        <w:t xml:space="preserve">(sprechen) im Qal-Imperfekt mit Waw-Konsekutiv. </w:t>
      </w:r>
      <w:r w:rsidRPr="008B1D78">
        <w:rPr>
          <w:rFonts w:eastAsia="Times New Roman" w:cs="Times New Roman"/>
          <w:b/>
          <w:bCs/>
          <w:rtl/>
          <w:lang w:eastAsia="de-DE"/>
        </w:rPr>
        <w:t>זה הדבר</w:t>
      </w:r>
      <w:r w:rsidRPr="008B1D78">
        <w:rPr>
          <w:rFonts w:eastAsia="Times New Roman" w:cs="Times New Roman"/>
          <w:rtl/>
          <w:lang w:eastAsia="de-DE"/>
        </w:rPr>
        <w:t xml:space="preserve"> </w:t>
      </w:r>
      <w:r w:rsidRPr="008B1D78">
        <w:rPr>
          <w:rFonts w:eastAsia="Times New Roman" w:cs="Times New Roman"/>
          <w:lang w:eastAsia="de-DE"/>
        </w:rPr>
        <w:t xml:space="preserve">(dies ist das Wort) mit Demonstrativpronomen </w:t>
      </w:r>
      <w:r w:rsidRPr="008B1D78">
        <w:rPr>
          <w:rFonts w:eastAsia="Times New Roman" w:cs="Times New Roman"/>
          <w:b/>
          <w:bCs/>
          <w:rtl/>
          <w:lang w:eastAsia="de-DE"/>
        </w:rPr>
        <w:t>זה</w:t>
      </w:r>
      <w:r w:rsidRPr="008B1D78">
        <w:rPr>
          <w:rFonts w:eastAsia="Times New Roman" w:cs="Times New Roman"/>
          <w:rtl/>
          <w:lang w:eastAsia="de-DE"/>
        </w:rPr>
        <w:t xml:space="preserve"> </w:t>
      </w:r>
      <w:r w:rsidRPr="008B1D78">
        <w:rPr>
          <w:rFonts w:eastAsia="Times New Roman" w:cs="Times New Roman"/>
          <w:lang w:eastAsia="de-DE"/>
        </w:rPr>
        <w:t xml:space="preserve">referenziert die folgenden Opferhandlungen. </w:t>
      </w:r>
      <w:r w:rsidRPr="008B1D78">
        <w:rPr>
          <w:rFonts w:eastAsia="Times New Roman" w:cs="Times New Roman"/>
          <w:b/>
          <w:bCs/>
          <w:rtl/>
          <w:lang w:eastAsia="de-DE"/>
        </w:rPr>
        <w:t>אשר־צוה יהוה</w:t>
      </w:r>
      <w:r w:rsidRPr="008B1D78">
        <w:rPr>
          <w:rFonts w:eastAsia="Times New Roman" w:cs="Times New Roman"/>
          <w:rtl/>
          <w:lang w:eastAsia="de-DE"/>
        </w:rPr>
        <w:t xml:space="preserve"> </w:t>
      </w:r>
      <w:r w:rsidRPr="008B1D78">
        <w:rPr>
          <w:rFonts w:eastAsia="Times New Roman" w:cs="Times New Roman"/>
          <w:lang w:eastAsia="de-DE"/>
        </w:rPr>
        <w:t xml:space="preserve">(das JHWH geboten hat) als Relativsatz mit </w:t>
      </w:r>
      <w:r w:rsidRPr="008B1D78">
        <w:rPr>
          <w:rFonts w:eastAsia="Times New Roman" w:cs="Times New Roman"/>
          <w:b/>
          <w:bCs/>
          <w:rtl/>
          <w:lang w:eastAsia="de-DE"/>
        </w:rPr>
        <w:t>צוה</w:t>
      </w:r>
      <w:r w:rsidRPr="008B1D78">
        <w:rPr>
          <w:rFonts w:eastAsia="Times New Roman" w:cs="Times New Roman"/>
          <w:rtl/>
          <w:lang w:eastAsia="de-DE"/>
        </w:rPr>
        <w:t xml:space="preserve"> </w:t>
      </w:r>
      <w:r w:rsidRPr="008B1D78">
        <w:rPr>
          <w:rFonts w:eastAsia="Times New Roman" w:cs="Times New Roman"/>
          <w:lang w:eastAsia="de-DE"/>
        </w:rPr>
        <w:t xml:space="preserve">im Piel-Perfekt. </w:t>
      </w:r>
      <w:r w:rsidRPr="008B1D78">
        <w:rPr>
          <w:rFonts w:eastAsia="Times New Roman" w:cs="Times New Roman"/>
          <w:b/>
          <w:bCs/>
          <w:rtl/>
          <w:lang w:eastAsia="de-DE"/>
        </w:rPr>
        <w:t>תעשו</w:t>
      </w:r>
      <w:r w:rsidRPr="008B1D78">
        <w:rPr>
          <w:rFonts w:eastAsia="Times New Roman" w:cs="Times New Roman"/>
          <w:rtl/>
          <w:lang w:eastAsia="de-DE"/>
        </w:rPr>
        <w:t xml:space="preserve"> </w:t>
      </w:r>
      <w:r w:rsidRPr="008B1D78">
        <w:rPr>
          <w:rFonts w:eastAsia="Times New Roman" w:cs="Times New Roman"/>
          <w:lang w:eastAsia="de-DE"/>
        </w:rPr>
        <w:t>(ihr sollt tun) im Qal-Imperfekt 2. Person maskulin Plural zeigt die Handlungsanweisung.</w:t>
      </w:r>
    </w:p>
    <w:p w14:paraId="2585BC3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ויירא אליכם כבוד יהוה</w:t>
      </w:r>
      <w:r w:rsidRPr="008B1D78">
        <w:rPr>
          <w:rFonts w:eastAsia="Times New Roman" w:cs="Times New Roman"/>
          <w:rtl/>
          <w:lang w:eastAsia="de-DE"/>
        </w:rPr>
        <w:t xml:space="preserve"> </w:t>
      </w:r>
      <w:r w:rsidRPr="008B1D78">
        <w:rPr>
          <w:rFonts w:eastAsia="Times New Roman" w:cs="Times New Roman"/>
          <w:lang w:eastAsia="de-DE"/>
        </w:rPr>
        <w:t xml:space="preserve">zeigt die verheißene Konsequenz. </w:t>
      </w:r>
      <w:r w:rsidRPr="008B1D78">
        <w:rPr>
          <w:rFonts w:eastAsia="Times New Roman" w:cs="Times New Roman"/>
          <w:b/>
          <w:bCs/>
          <w:rtl/>
          <w:lang w:eastAsia="de-DE"/>
        </w:rPr>
        <w:t>ויירא</w:t>
      </w:r>
      <w:r w:rsidRPr="008B1D78">
        <w:rPr>
          <w:rFonts w:eastAsia="Times New Roman" w:cs="Times New Roman"/>
          <w:rtl/>
          <w:lang w:eastAsia="de-DE"/>
        </w:rPr>
        <w:t xml:space="preserve"> </w:t>
      </w:r>
      <w:r w:rsidRPr="008B1D78">
        <w:rPr>
          <w:rFonts w:eastAsia="Times New Roman" w:cs="Times New Roman"/>
          <w:lang w:eastAsia="de-DE"/>
        </w:rPr>
        <w:t xml:space="preserve">von </w:t>
      </w:r>
      <w:r w:rsidRPr="008B1D78">
        <w:rPr>
          <w:rFonts w:eastAsia="Times New Roman" w:cs="Times New Roman"/>
          <w:b/>
          <w:bCs/>
          <w:rtl/>
          <w:lang w:eastAsia="de-DE"/>
        </w:rPr>
        <w:t>ראה</w:t>
      </w:r>
      <w:r w:rsidRPr="008B1D78">
        <w:rPr>
          <w:rFonts w:eastAsia="Times New Roman" w:cs="Times New Roman"/>
          <w:rtl/>
          <w:lang w:eastAsia="de-DE"/>
        </w:rPr>
        <w:t xml:space="preserve"> </w:t>
      </w:r>
      <w:r w:rsidRPr="008B1D78">
        <w:rPr>
          <w:rFonts w:eastAsia="Times New Roman" w:cs="Times New Roman"/>
          <w:lang w:eastAsia="de-DE"/>
        </w:rPr>
        <w:t xml:space="preserve">(erscheinen) im Nifal-Perfekt 3. Person maskulin Singular mit Waw-Konsekutiv. Das Nifal drückt "sich sehen lassen/erscheinen" aus. </w:t>
      </w:r>
      <w:r w:rsidRPr="008B1D78">
        <w:rPr>
          <w:rFonts w:eastAsia="Times New Roman" w:cs="Times New Roman"/>
          <w:b/>
          <w:bCs/>
          <w:rtl/>
          <w:lang w:eastAsia="de-DE"/>
        </w:rPr>
        <w:t>אליכם</w:t>
      </w:r>
      <w:r w:rsidRPr="008B1D78">
        <w:rPr>
          <w:rFonts w:eastAsia="Times New Roman" w:cs="Times New Roman"/>
          <w:rtl/>
          <w:lang w:eastAsia="de-DE"/>
        </w:rPr>
        <w:t xml:space="preserve"> </w:t>
      </w:r>
      <w:r w:rsidRPr="008B1D78">
        <w:rPr>
          <w:rFonts w:eastAsia="Times New Roman" w:cs="Times New Roman"/>
          <w:lang w:eastAsia="de-DE"/>
        </w:rPr>
        <w:t xml:space="preserve">(zu euch) mit Präposition </w:t>
      </w:r>
      <w:r w:rsidRPr="008B1D78">
        <w:rPr>
          <w:rFonts w:eastAsia="Times New Roman" w:cs="Times New Roman"/>
          <w:b/>
          <w:bCs/>
          <w:rtl/>
          <w:lang w:eastAsia="de-DE"/>
        </w:rPr>
        <w:t>אל</w:t>
      </w:r>
      <w:r w:rsidRPr="008B1D78">
        <w:rPr>
          <w:rFonts w:eastAsia="Times New Roman" w:cs="Times New Roman"/>
          <w:rtl/>
          <w:lang w:eastAsia="de-DE"/>
        </w:rPr>
        <w:t xml:space="preserve"> </w:t>
      </w:r>
      <w:r w:rsidRPr="008B1D78">
        <w:rPr>
          <w:rFonts w:eastAsia="Times New Roman" w:cs="Times New Roman"/>
          <w:lang w:eastAsia="de-DE"/>
        </w:rPr>
        <w:t xml:space="preserve">und Suffix 2. Person maskulin Plural. </w:t>
      </w:r>
      <w:r w:rsidRPr="008B1D78">
        <w:rPr>
          <w:rFonts w:eastAsia="Times New Roman" w:cs="Times New Roman"/>
          <w:b/>
          <w:bCs/>
          <w:rtl/>
          <w:lang w:eastAsia="de-DE"/>
        </w:rPr>
        <w:t>כבוד יהוה</w:t>
      </w:r>
      <w:r w:rsidRPr="008B1D78">
        <w:rPr>
          <w:rFonts w:eastAsia="Times New Roman" w:cs="Times New Roman"/>
          <w:rtl/>
          <w:lang w:eastAsia="de-DE"/>
        </w:rPr>
        <w:t xml:space="preserve"> </w:t>
      </w:r>
      <w:r w:rsidRPr="008B1D78">
        <w:rPr>
          <w:rFonts w:eastAsia="Times New Roman" w:cs="Times New Roman"/>
          <w:lang w:eastAsia="de-DE"/>
        </w:rPr>
        <w:t>(Herrlichkeit JHWHs) als Subjekt - die sichtbare Manifestation der göttlichen Gegenwart.</w:t>
      </w:r>
    </w:p>
    <w:p w14:paraId="16915B5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זה הדבר</w:t>
      </w:r>
      <w:r w:rsidRPr="008B1D78">
        <w:rPr>
          <w:rFonts w:eastAsia="Times New Roman" w:cs="Times New Roman"/>
          <w:rtl/>
          <w:lang w:eastAsia="de-DE"/>
        </w:rPr>
        <w:t xml:space="preserve"> </w:t>
      </w:r>
      <w:r w:rsidRPr="008B1D78">
        <w:rPr>
          <w:rFonts w:eastAsia="Times New Roman" w:cs="Times New Roman"/>
          <w:lang w:eastAsia="de-DE"/>
        </w:rPr>
        <w:t xml:space="preserve">entspricht der Proklamationsformel aus 8,5, etabliert aber hier die Verbindung zwischen Gehorsam und Theophanie. </w:t>
      </w:r>
      <w:r w:rsidRPr="008B1D78">
        <w:rPr>
          <w:rFonts w:eastAsia="Times New Roman" w:cs="Times New Roman"/>
          <w:b/>
          <w:bCs/>
          <w:rtl/>
          <w:lang w:eastAsia="de-DE"/>
        </w:rPr>
        <w:t>תעשו</w:t>
      </w:r>
      <w:r w:rsidRPr="008B1D78">
        <w:rPr>
          <w:rFonts w:eastAsia="Times New Roman" w:cs="Times New Roman"/>
          <w:rtl/>
          <w:lang w:eastAsia="de-DE"/>
        </w:rPr>
        <w:t xml:space="preserve"> </w:t>
      </w:r>
      <w:r w:rsidRPr="008B1D78">
        <w:rPr>
          <w:rFonts w:eastAsia="Times New Roman" w:cs="Times New Roman"/>
          <w:lang w:eastAsia="de-DE"/>
        </w:rPr>
        <w:t>im Imperfekt zeigt die bevorstehende Handlung.</w:t>
      </w:r>
    </w:p>
    <w:p w14:paraId="6169497B"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lastRenderedPageBreak/>
        <w:t>כבוד יהוה</w:t>
      </w:r>
      <w:r w:rsidRPr="008B1D78">
        <w:rPr>
          <w:rFonts w:eastAsia="Times New Roman" w:cs="Times New Roman"/>
          <w:rtl/>
          <w:lang w:eastAsia="de-DE"/>
        </w:rPr>
        <w:t xml:space="preserve"> </w:t>
      </w:r>
      <w:r w:rsidRPr="008B1D78">
        <w:rPr>
          <w:rFonts w:eastAsia="Times New Roman" w:cs="Times New Roman"/>
          <w:lang w:eastAsia="de-DE"/>
        </w:rPr>
        <w:t xml:space="preserve">(Herrlichkeit JHWHs) ist ein terminus technicus für die sichtbare, oft feurige Manifestation Gottes. </w:t>
      </w:r>
      <w:r w:rsidRPr="008B1D78">
        <w:rPr>
          <w:rFonts w:eastAsia="Times New Roman" w:cs="Times New Roman"/>
          <w:b/>
          <w:bCs/>
          <w:rtl/>
          <w:lang w:eastAsia="de-DE"/>
        </w:rPr>
        <w:t>ויירא</w:t>
      </w:r>
      <w:r w:rsidRPr="008B1D78">
        <w:rPr>
          <w:rFonts w:eastAsia="Times New Roman" w:cs="Times New Roman"/>
          <w:rtl/>
          <w:lang w:eastAsia="de-DE"/>
        </w:rPr>
        <w:t xml:space="preserve"> </w:t>
      </w:r>
      <w:r w:rsidRPr="008B1D78">
        <w:rPr>
          <w:rFonts w:eastAsia="Times New Roman" w:cs="Times New Roman"/>
          <w:lang w:eastAsia="de-DE"/>
        </w:rPr>
        <w:t>im Perfekt mit Waw-Konsekutiv drückt die sichere Zukunft aus "dann wird erscheinen".</w:t>
      </w:r>
    </w:p>
    <w:p w14:paraId="1F34D4B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Die Bedingungsstruktur zeigt: Gehorsam (</w:t>
      </w:r>
      <w:r w:rsidRPr="008B1D78">
        <w:rPr>
          <w:rFonts w:eastAsia="Times New Roman" w:cs="Times New Roman"/>
          <w:b/>
          <w:bCs/>
          <w:rtl/>
          <w:lang w:eastAsia="de-DE"/>
        </w:rPr>
        <w:t>תעשו</w:t>
      </w:r>
      <w:r w:rsidRPr="008B1D78">
        <w:rPr>
          <w:rFonts w:eastAsia="Times New Roman" w:cs="Times New Roman"/>
          <w:lang w:eastAsia="de-DE"/>
        </w:rPr>
        <w:t>) führt zu Theophanie (</w:t>
      </w:r>
      <w:r w:rsidRPr="008B1D78">
        <w:rPr>
          <w:rFonts w:eastAsia="Times New Roman" w:cs="Times New Roman"/>
          <w:b/>
          <w:bCs/>
          <w:rtl/>
          <w:lang w:eastAsia="de-DE"/>
        </w:rPr>
        <w:t>ויירא כבוד יהוה</w:t>
      </w:r>
      <w:r w:rsidRPr="008B1D78">
        <w:rPr>
          <w:rFonts w:eastAsia="Times New Roman" w:cs="Times New Roman"/>
          <w:lang w:eastAsia="de-DE"/>
        </w:rPr>
        <w:t xml:space="preserve">). </w:t>
      </w:r>
      <w:r w:rsidRPr="008B1D78">
        <w:rPr>
          <w:rFonts w:eastAsia="Times New Roman" w:cs="Times New Roman"/>
          <w:b/>
          <w:bCs/>
          <w:rtl/>
          <w:lang w:eastAsia="de-DE"/>
        </w:rPr>
        <w:t>אליכם</w:t>
      </w:r>
      <w:r w:rsidRPr="008B1D78">
        <w:rPr>
          <w:rFonts w:eastAsia="Times New Roman" w:cs="Times New Roman"/>
          <w:rtl/>
          <w:lang w:eastAsia="de-DE"/>
        </w:rPr>
        <w:t xml:space="preserve"> </w:t>
      </w:r>
      <w:r w:rsidRPr="008B1D78">
        <w:rPr>
          <w:rFonts w:eastAsia="Times New Roman" w:cs="Times New Roman"/>
          <w:lang w:eastAsia="de-DE"/>
        </w:rPr>
        <w:t>betont, dass die ganze Gemeinde Zeugin der göttlichen Herrlichkeit werden wird.</w:t>
      </w:r>
    </w:p>
    <w:p w14:paraId="48D152F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זה הדבר</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τοῦτο</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τὸ</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ῥῆμ</w:t>
      </w:r>
      <w:proofErr w:type="spellEnd"/>
      <w:r w:rsidRPr="008B1D78">
        <w:rPr>
          <w:rFonts w:eastAsia="Times New Roman" w:cs="Times New Roman"/>
          <w:lang w:eastAsia="de-DE"/>
        </w:rPr>
        <w:t xml:space="preserve">α (dies ist das Wort), </w:t>
      </w:r>
      <w:r w:rsidRPr="008B1D78">
        <w:rPr>
          <w:rFonts w:eastAsia="Times New Roman" w:cs="Times New Roman"/>
          <w:b/>
          <w:bCs/>
          <w:rtl/>
          <w:lang w:eastAsia="de-DE"/>
        </w:rPr>
        <w:t>תעשו</w:t>
      </w:r>
      <w:r w:rsidRPr="008B1D78">
        <w:rPr>
          <w:rFonts w:eastAsia="Times New Roman" w:cs="Times New Roman"/>
          <w:rtl/>
          <w:lang w:eastAsia="de-DE"/>
        </w:rPr>
        <w:t xml:space="preserve"> </w:t>
      </w:r>
      <w:r w:rsidRPr="008B1D78">
        <w:rPr>
          <w:rFonts w:eastAsia="Times New Roman" w:cs="Times New Roman"/>
          <w:lang w:eastAsia="de-DE"/>
        </w:rPr>
        <w:t>mit π</w:t>
      </w:r>
      <w:proofErr w:type="spellStart"/>
      <w:r w:rsidRPr="008B1D78">
        <w:rPr>
          <w:rFonts w:eastAsia="Times New Roman" w:cs="Times New Roman"/>
          <w:lang w:eastAsia="de-DE"/>
        </w:rPr>
        <w:t>οιήσ</w:t>
      </w:r>
      <w:proofErr w:type="spellEnd"/>
      <w:r w:rsidRPr="008B1D78">
        <w:rPr>
          <w:rFonts w:eastAsia="Times New Roman" w:cs="Times New Roman"/>
          <w:lang w:eastAsia="de-DE"/>
        </w:rPr>
        <w:t xml:space="preserve">ατε (tut) und </w:t>
      </w:r>
      <w:r w:rsidRPr="008B1D78">
        <w:rPr>
          <w:rFonts w:eastAsia="Times New Roman" w:cs="Times New Roman"/>
          <w:b/>
          <w:bCs/>
          <w:rtl/>
          <w:lang w:eastAsia="de-DE"/>
        </w:rPr>
        <w:t>כבוד יהוה</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δόξ</w:t>
      </w:r>
      <w:proofErr w:type="spellEnd"/>
      <w:r w:rsidRPr="008B1D78">
        <w:rPr>
          <w:rFonts w:eastAsia="Times New Roman" w:cs="Times New Roman"/>
          <w:lang w:eastAsia="de-DE"/>
        </w:rPr>
        <w:t xml:space="preserve">α </w:t>
      </w:r>
      <w:proofErr w:type="spellStart"/>
      <w:r w:rsidRPr="008B1D78">
        <w:rPr>
          <w:rFonts w:eastAsia="Times New Roman" w:cs="Times New Roman"/>
          <w:lang w:eastAsia="de-DE"/>
        </w:rPr>
        <w:t>κυρίου</w:t>
      </w:r>
      <w:proofErr w:type="spellEnd"/>
      <w:r w:rsidRPr="008B1D78">
        <w:rPr>
          <w:rFonts w:eastAsia="Times New Roman" w:cs="Times New Roman"/>
          <w:lang w:eastAsia="de-DE"/>
        </w:rPr>
        <w:t xml:space="preserve"> (Herrlichkeit des Herrn).</w:t>
      </w:r>
    </w:p>
    <w:p w14:paraId="21678E9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Proklamation plus Verheißung: Verb + Subjekt + demonstrative Proklamation mit Relativsatz + Imperativ // konsekutive Theophanie-Verheißung. Die Struktur verknüpft menschlichen Gehorsam mit göttlicher Selbstoffenbarung.</w:t>
      </w:r>
    </w:p>
    <w:p w14:paraId="1CD602AF"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Dieser Vers proklamiert die göttliche Anweisung für den Gottesdienst und verheißt als Lohn für den Gehorsam die Erscheinung der göttlichen Herrlichkeit.</w:t>
      </w:r>
    </w:p>
    <w:p w14:paraId="5931C685"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9,7</w:t>
      </w:r>
    </w:p>
    <w:p w14:paraId="6599B91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וַיֹּ֨אמֶר מֹשֶׁ֜ה אֶֽל־אַהֲרֹ֗ן קְרַ֤ב אֶל־הַמִּזְבֵּ֨חַ֙ וַעֲשֵׂ֞ה אֶת־חַטָּֽאתְךָ֙ וְאֶת־עֹ֣לָתֶ֔ךָ וְכַפֵּ֥ר בַּֽעַדְךָ֖ וּבְעַ֣ד הָעָ֑ם וַעֲשֵׂ֞ה אֶת־קָרְבַּ֤ן הָעָם֙ וְכַפֵּ֣ר בַּֽעֲדָ֔ם כַּאֲשֶׁ֖ר צִוָּ֥ה יְהוָֽה׃</w:t>
      </w:r>
    </w:p>
    <w:p w14:paraId="555E092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Mosche sprach zu Aaron: Tritt zum Altar und opfere dein Sündopfer und dein Aufsteigeopfer, und tue Sühnung für dich und für das Volk; und opfere die Opfergabe des Volkes und tue Sühnung für sie, so wie der Ewige geboten hat.</w:t>
      </w:r>
    </w:p>
    <w:p w14:paraId="13923C05"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5286523D">
          <v:rect id="_x0000_i1239" style="width:0;height:1.5pt" o:hralign="center" o:hrstd="t" o:hr="t" fillcolor="#a0a0a0" stroked="f"/>
        </w:pict>
      </w:r>
    </w:p>
    <w:p w14:paraId="6C15424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ויאמר משה אל־אהרן קרב אל־המזבח</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אמר</w:t>
      </w:r>
      <w:r w:rsidRPr="008B1D78">
        <w:rPr>
          <w:rFonts w:eastAsia="Times New Roman" w:cs="Times New Roman"/>
          <w:rtl/>
          <w:lang w:eastAsia="de-DE"/>
        </w:rPr>
        <w:t xml:space="preserve"> </w:t>
      </w:r>
      <w:r w:rsidRPr="008B1D78">
        <w:rPr>
          <w:rFonts w:eastAsia="Times New Roman" w:cs="Times New Roman"/>
          <w:lang w:eastAsia="de-DE"/>
        </w:rPr>
        <w:t xml:space="preserve">(sprechen) im Qal-Imperfekt mit Waw-Konsekutiv. </w:t>
      </w:r>
      <w:r w:rsidRPr="008B1D78">
        <w:rPr>
          <w:rFonts w:eastAsia="Times New Roman" w:cs="Times New Roman"/>
          <w:b/>
          <w:bCs/>
          <w:rtl/>
          <w:lang w:eastAsia="de-DE"/>
        </w:rPr>
        <w:t>אל־אהרן</w:t>
      </w:r>
      <w:r w:rsidRPr="008B1D78">
        <w:rPr>
          <w:rFonts w:eastAsia="Times New Roman" w:cs="Times New Roman"/>
          <w:rtl/>
          <w:lang w:eastAsia="de-DE"/>
        </w:rPr>
        <w:t xml:space="preserve"> </w:t>
      </w:r>
      <w:r w:rsidRPr="008B1D78">
        <w:rPr>
          <w:rFonts w:eastAsia="Times New Roman" w:cs="Times New Roman"/>
          <w:lang w:eastAsia="de-DE"/>
        </w:rPr>
        <w:t xml:space="preserve">(zu Aaron) als direkte Ansprache. </w:t>
      </w:r>
      <w:r w:rsidRPr="008B1D78">
        <w:rPr>
          <w:rFonts w:eastAsia="Times New Roman" w:cs="Times New Roman"/>
          <w:b/>
          <w:bCs/>
          <w:rtl/>
          <w:lang w:eastAsia="de-DE"/>
        </w:rPr>
        <w:t>קרב אל־המזבח</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קרב</w:t>
      </w:r>
      <w:r w:rsidRPr="008B1D78">
        <w:rPr>
          <w:rFonts w:eastAsia="Times New Roman" w:cs="Times New Roman"/>
          <w:rtl/>
          <w:lang w:eastAsia="de-DE"/>
        </w:rPr>
        <w:t xml:space="preserve"> </w:t>
      </w:r>
      <w:r w:rsidRPr="008B1D78">
        <w:rPr>
          <w:rFonts w:eastAsia="Times New Roman" w:cs="Times New Roman"/>
          <w:lang w:eastAsia="de-DE"/>
        </w:rPr>
        <w:t xml:space="preserve">(nahen) im Qal-Imperativ mit </w:t>
      </w:r>
      <w:r w:rsidRPr="008B1D78">
        <w:rPr>
          <w:rFonts w:eastAsia="Times New Roman" w:cs="Times New Roman"/>
          <w:b/>
          <w:bCs/>
          <w:rtl/>
          <w:lang w:eastAsia="de-DE"/>
        </w:rPr>
        <w:t>אל־המזבח</w:t>
      </w:r>
      <w:r w:rsidRPr="008B1D78">
        <w:rPr>
          <w:rFonts w:eastAsia="Times New Roman" w:cs="Times New Roman"/>
          <w:rtl/>
          <w:lang w:eastAsia="de-DE"/>
        </w:rPr>
        <w:t xml:space="preserve"> </w:t>
      </w:r>
      <w:r w:rsidRPr="008B1D78">
        <w:rPr>
          <w:rFonts w:eastAsia="Times New Roman" w:cs="Times New Roman"/>
          <w:lang w:eastAsia="de-DE"/>
        </w:rPr>
        <w:t>(zum Altar) als Richtungsangabe. Dies ist Aarons erste eigenständige Annäherung zum Altar als Hohepriester.</w:t>
      </w:r>
    </w:p>
    <w:p w14:paraId="069CECC0" w14:textId="63C926EC"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ועשה את־חטאתך ואת־עלתך וכפר בעדך ובעד העם</w:t>
      </w:r>
      <w:r w:rsidRPr="008B1D78">
        <w:rPr>
          <w:rFonts w:eastAsia="Times New Roman" w:cs="Times New Roman"/>
          <w:rtl/>
          <w:lang w:eastAsia="de-DE"/>
        </w:rPr>
        <w:t xml:space="preserve"> </w:t>
      </w:r>
      <w:r w:rsidRPr="008B1D78">
        <w:rPr>
          <w:rFonts w:eastAsia="Times New Roman" w:cs="Times New Roman"/>
          <w:lang w:eastAsia="de-DE"/>
        </w:rPr>
        <w:t xml:space="preserve">zeigt die erste Opferphase. </w:t>
      </w:r>
      <w:r w:rsidRPr="008B1D78">
        <w:rPr>
          <w:rFonts w:eastAsia="Times New Roman" w:cs="Times New Roman"/>
          <w:b/>
          <w:bCs/>
          <w:rtl/>
          <w:lang w:eastAsia="de-DE"/>
        </w:rPr>
        <w:t>עשה</w:t>
      </w:r>
      <w:r w:rsidRPr="008B1D78">
        <w:rPr>
          <w:rFonts w:eastAsia="Times New Roman" w:cs="Times New Roman"/>
          <w:rtl/>
          <w:lang w:eastAsia="de-DE"/>
        </w:rPr>
        <w:t xml:space="preserve"> </w:t>
      </w:r>
      <w:r w:rsidRPr="008B1D78">
        <w:rPr>
          <w:rFonts w:eastAsia="Times New Roman" w:cs="Times New Roman"/>
          <w:lang w:eastAsia="de-DE"/>
        </w:rPr>
        <w:t xml:space="preserve">(tue/opfere) im Qal-Imperativ mit zwei direkten Objekten: </w:t>
      </w:r>
      <w:r w:rsidRPr="008B1D78">
        <w:rPr>
          <w:rFonts w:eastAsia="Times New Roman" w:cs="Times New Roman"/>
          <w:b/>
          <w:bCs/>
          <w:rtl/>
          <w:lang w:eastAsia="de-DE"/>
        </w:rPr>
        <w:t>את־חטאתך</w:t>
      </w:r>
      <w:r w:rsidRPr="008B1D78">
        <w:rPr>
          <w:rFonts w:eastAsia="Times New Roman" w:cs="Times New Roman"/>
          <w:rtl/>
          <w:lang w:eastAsia="de-DE"/>
        </w:rPr>
        <w:t xml:space="preserve"> </w:t>
      </w:r>
      <w:r w:rsidRPr="008B1D78">
        <w:rPr>
          <w:rFonts w:eastAsia="Times New Roman" w:cs="Times New Roman"/>
          <w:lang w:eastAsia="de-DE"/>
        </w:rPr>
        <w:t xml:space="preserve">(dein Sündopfer) und </w:t>
      </w:r>
      <w:r w:rsidRPr="008B1D78">
        <w:rPr>
          <w:rFonts w:eastAsia="Times New Roman" w:cs="Times New Roman"/>
          <w:b/>
          <w:bCs/>
          <w:rtl/>
          <w:lang w:eastAsia="de-DE"/>
        </w:rPr>
        <w:t>את־עלתך</w:t>
      </w:r>
      <w:r w:rsidRPr="008B1D78">
        <w:rPr>
          <w:rFonts w:eastAsia="Times New Roman" w:cs="Times New Roman"/>
          <w:rtl/>
          <w:lang w:eastAsia="de-DE"/>
        </w:rPr>
        <w:t xml:space="preserve"> </w:t>
      </w:r>
      <w:r w:rsidRPr="008B1D78">
        <w:rPr>
          <w:rFonts w:eastAsia="Times New Roman" w:cs="Times New Roman"/>
          <w:lang w:eastAsia="de-DE"/>
        </w:rPr>
        <w:t xml:space="preserve">(dein </w:t>
      </w:r>
      <w:r w:rsidR="00CF10E7">
        <w:rPr>
          <w:rFonts w:eastAsia="Times New Roman" w:cs="Times New Roman"/>
          <w:lang w:eastAsia="de-DE"/>
        </w:rPr>
        <w:t>Aufsteigeopfer</w:t>
      </w:r>
      <w:r w:rsidRPr="008B1D78">
        <w:rPr>
          <w:rFonts w:eastAsia="Times New Roman" w:cs="Times New Roman"/>
          <w:lang w:eastAsia="de-DE"/>
        </w:rPr>
        <w:t xml:space="preserve">) mit Possessivsuffixen 2. Person maskulin Singular. </w:t>
      </w:r>
      <w:r w:rsidRPr="008B1D78">
        <w:rPr>
          <w:rFonts w:eastAsia="Times New Roman" w:cs="Times New Roman"/>
          <w:b/>
          <w:bCs/>
          <w:rtl/>
          <w:lang w:eastAsia="de-DE"/>
        </w:rPr>
        <w:t>וכפר בעדך ובעד העם</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כפר</w:t>
      </w:r>
      <w:r w:rsidRPr="008B1D78">
        <w:rPr>
          <w:rFonts w:eastAsia="Times New Roman" w:cs="Times New Roman"/>
          <w:rtl/>
          <w:lang w:eastAsia="de-DE"/>
        </w:rPr>
        <w:t xml:space="preserve"> </w:t>
      </w:r>
      <w:r w:rsidRPr="008B1D78">
        <w:rPr>
          <w:rFonts w:eastAsia="Times New Roman" w:cs="Times New Roman"/>
          <w:lang w:eastAsia="de-DE"/>
        </w:rPr>
        <w:t xml:space="preserve">(sühnen) im Piel-Imperativ mit zwei </w:t>
      </w:r>
      <w:r w:rsidRPr="008B1D78">
        <w:rPr>
          <w:rFonts w:eastAsia="Times New Roman" w:cs="Times New Roman"/>
          <w:b/>
          <w:bCs/>
          <w:rtl/>
          <w:lang w:eastAsia="de-DE"/>
        </w:rPr>
        <w:t>בעד</w:t>
      </w:r>
      <w:r w:rsidRPr="008B1D78">
        <w:rPr>
          <w:rFonts w:eastAsia="Times New Roman" w:cs="Times New Roman"/>
          <w:lang w:eastAsia="de-DE"/>
        </w:rPr>
        <w:t xml:space="preserve">-Phrasen: </w:t>
      </w:r>
      <w:r w:rsidRPr="008B1D78">
        <w:rPr>
          <w:rFonts w:eastAsia="Times New Roman" w:cs="Times New Roman"/>
          <w:b/>
          <w:bCs/>
          <w:rtl/>
          <w:lang w:eastAsia="de-DE"/>
        </w:rPr>
        <w:t>בעדך</w:t>
      </w:r>
      <w:r w:rsidRPr="008B1D78">
        <w:rPr>
          <w:rFonts w:eastAsia="Times New Roman" w:cs="Times New Roman"/>
          <w:rtl/>
          <w:lang w:eastAsia="de-DE"/>
        </w:rPr>
        <w:t xml:space="preserve"> </w:t>
      </w:r>
      <w:r w:rsidRPr="008B1D78">
        <w:rPr>
          <w:rFonts w:eastAsia="Times New Roman" w:cs="Times New Roman"/>
          <w:lang w:eastAsia="de-DE"/>
        </w:rPr>
        <w:t xml:space="preserve">(für dich) und </w:t>
      </w:r>
      <w:r w:rsidRPr="008B1D78">
        <w:rPr>
          <w:rFonts w:eastAsia="Times New Roman" w:cs="Times New Roman"/>
          <w:b/>
          <w:bCs/>
          <w:rtl/>
          <w:lang w:eastAsia="de-DE"/>
        </w:rPr>
        <w:t>בעד העם</w:t>
      </w:r>
      <w:r w:rsidRPr="008B1D78">
        <w:rPr>
          <w:rFonts w:eastAsia="Times New Roman" w:cs="Times New Roman"/>
          <w:rtl/>
          <w:lang w:eastAsia="de-DE"/>
        </w:rPr>
        <w:t xml:space="preserve"> </w:t>
      </w:r>
      <w:r w:rsidRPr="008B1D78">
        <w:rPr>
          <w:rFonts w:eastAsia="Times New Roman" w:cs="Times New Roman"/>
          <w:lang w:eastAsia="de-DE"/>
        </w:rPr>
        <w:t>(für das Volk).</w:t>
      </w:r>
    </w:p>
    <w:p w14:paraId="4D33298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ועשה את־קרבן העם וכפר בעדם כאשר צוה יהוה</w:t>
      </w:r>
      <w:r w:rsidRPr="008B1D78">
        <w:rPr>
          <w:rFonts w:eastAsia="Times New Roman" w:cs="Times New Roman"/>
          <w:rtl/>
          <w:lang w:eastAsia="de-DE"/>
        </w:rPr>
        <w:t xml:space="preserve"> </w:t>
      </w:r>
      <w:r w:rsidRPr="008B1D78">
        <w:rPr>
          <w:rFonts w:eastAsia="Times New Roman" w:cs="Times New Roman"/>
          <w:lang w:eastAsia="de-DE"/>
        </w:rPr>
        <w:t xml:space="preserve">zeigt die zweite Opferphase. </w:t>
      </w:r>
      <w:r w:rsidRPr="008B1D78">
        <w:rPr>
          <w:rFonts w:eastAsia="Times New Roman" w:cs="Times New Roman"/>
          <w:b/>
          <w:bCs/>
          <w:rtl/>
          <w:lang w:eastAsia="de-DE"/>
        </w:rPr>
        <w:t>ועשה את־קרבן העם</w:t>
      </w:r>
      <w:r w:rsidRPr="008B1D78">
        <w:rPr>
          <w:rFonts w:eastAsia="Times New Roman" w:cs="Times New Roman"/>
          <w:rtl/>
          <w:lang w:eastAsia="de-DE"/>
        </w:rPr>
        <w:t xml:space="preserve"> </w:t>
      </w:r>
      <w:r w:rsidRPr="008B1D78">
        <w:rPr>
          <w:rFonts w:eastAsia="Times New Roman" w:cs="Times New Roman"/>
          <w:lang w:eastAsia="de-DE"/>
        </w:rPr>
        <w:t xml:space="preserve">(und opfere die Opfergabe des Volkes) - </w:t>
      </w:r>
      <w:r w:rsidRPr="008B1D78">
        <w:rPr>
          <w:rFonts w:eastAsia="Times New Roman" w:cs="Times New Roman"/>
          <w:b/>
          <w:bCs/>
          <w:rtl/>
          <w:lang w:eastAsia="de-DE"/>
        </w:rPr>
        <w:t>קרבן העם</w:t>
      </w:r>
      <w:r w:rsidRPr="008B1D78">
        <w:rPr>
          <w:rFonts w:eastAsia="Times New Roman" w:cs="Times New Roman"/>
          <w:rtl/>
          <w:lang w:eastAsia="de-DE"/>
        </w:rPr>
        <w:t xml:space="preserve"> </w:t>
      </w:r>
      <w:r w:rsidRPr="008B1D78">
        <w:rPr>
          <w:rFonts w:eastAsia="Times New Roman" w:cs="Times New Roman"/>
          <w:lang w:eastAsia="de-DE"/>
        </w:rPr>
        <w:t xml:space="preserve">als Kollektiv für alle Volksopfer. </w:t>
      </w:r>
      <w:r w:rsidRPr="008B1D78">
        <w:rPr>
          <w:rFonts w:eastAsia="Times New Roman" w:cs="Times New Roman"/>
          <w:b/>
          <w:bCs/>
          <w:rtl/>
          <w:lang w:eastAsia="de-DE"/>
        </w:rPr>
        <w:t>וכפר בעדם</w:t>
      </w:r>
      <w:r w:rsidRPr="008B1D78">
        <w:rPr>
          <w:rFonts w:eastAsia="Times New Roman" w:cs="Times New Roman"/>
          <w:rtl/>
          <w:lang w:eastAsia="de-DE"/>
        </w:rPr>
        <w:t xml:space="preserve"> </w:t>
      </w:r>
      <w:r w:rsidRPr="008B1D78">
        <w:rPr>
          <w:rFonts w:eastAsia="Times New Roman" w:cs="Times New Roman"/>
          <w:lang w:eastAsia="de-DE"/>
        </w:rPr>
        <w:t xml:space="preserve">(und </w:t>
      </w:r>
      <w:proofErr w:type="spellStart"/>
      <w:r w:rsidRPr="008B1D78">
        <w:rPr>
          <w:rFonts w:eastAsia="Times New Roman" w:cs="Times New Roman"/>
          <w:lang w:eastAsia="de-DE"/>
        </w:rPr>
        <w:t>sühne</w:t>
      </w:r>
      <w:proofErr w:type="spellEnd"/>
      <w:r w:rsidRPr="008B1D78">
        <w:rPr>
          <w:rFonts w:eastAsia="Times New Roman" w:cs="Times New Roman"/>
          <w:lang w:eastAsia="de-DE"/>
        </w:rPr>
        <w:t xml:space="preserve"> für sie) mit </w:t>
      </w:r>
      <w:r w:rsidRPr="008B1D78">
        <w:rPr>
          <w:rFonts w:eastAsia="Times New Roman" w:cs="Times New Roman"/>
          <w:b/>
          <w:bCs/>
          <w:rtl/>
          <w:lang w:eastAsia="de-DE"/>
        </w:rPr>
        <w:t>בעד</w:t>
      </w:r>
      <w:r w:rsidRPr="008B1D78">
        <w:rPr>
          <w:rFonts w:eastAsia="Times New Roman" w:cs="Times New Roman"/>
          <w:rtl/>
          <w:lang w:eastAsia="de-DE"/>
        </w:rPr>
        <w:t xml:space="preserve"> </w:t>
      </w:r>
      <w:r w:rsidRPr="008B1D78">
        <w:rPr>
          <w:rFonts w:eastAsia="Times New Roman" w:cs="Times New Roman"/>
          <w:lang w:eastAsia="de-DE"/>
        </w:rPr>
        <w:t xml:space="preserve">plus Suffix 3. Person maskulin Plural. </w:t>
      </w:r>
      <w:r w:rsidRPr="008B1D78">
        <w:rPr>
          <w:rFonts w:eastAsia="Times New Roman" w:cs="Times New Roman"/>
          <w:b/>
          <w:bCs/>
          <w:rtl/>
          <w:lang w:eastAsia="de-DE"/>
        </w:rPr>
        <w:t>כאשר צוה יהוה</w:t>
      </w:r>
      <w:r w:rsidRPr="008B1D78">
        <w:rPr>
          <w:rFonts w:eastAsia="Times New Roman" w:cs="Times New Roman"/>
          <w:rtl/>
          <w:lang w:eastAsia="de-DE"/>
        </w:rPr>
        <w:t xml:space="preserve"> </w:t>
      </w:r>
      <w:r w:rsidRPr="008B1D78">
        <w:rPr>
          <w:rFonts w:eastAsia="Times New Roman" w:cs="Times New Roman"/>
          <w:lang w:eastAsia="de-DE"/>
        </w:rPr>
        <w:t>ist die Bestätigungsformel.</w:t>
      </w:r>
    </w:p>
    <w:p w14:paraId="3ECD57EB"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doppelte </w:t>
      </w:r>
      <w:r w:rsidRPr="008B1D78">
        <w:rPr>
          <w:rFonts w:eastAsia="Times New Roman" w:cs="Times New Roman"/>
          <w:b/>
          <w:bCs/>
          <w:rtl/>
          <w:lang w:eastAsia="de-DE"/>
        </w:rPr>
        <w:t>כפר</w:t>
      </w:r>
      <w:r w:rsidRPr="008B1D78">
        <w:rPr>
          <w:rFonts w:eastAsia="Times New Roman" w:cs="Times New Roman"/>
          <w:lang w:eastAsia="de-DE"/>
        </w:rPr>
        <w:t xml:space="preserve">-Anweisung zeigt die zentrale Funktion des Hohepriesters: Sühne sowohl für sich selbst als auch für das Volk. </w:t>
      </w:r>
      <w:r w:rsidRPr="008B1D78">
        <w:rPr>
          <w:rFonts w:eastAsia="Times New Roman" w:cs="Times New Roman"/>
          <w:b/>
          <w:bCs/>
          <w:rtl/>
          <w:lang w:eastAsia="de-DE"/>
        </w:rPr>
        <w:t>בעדך...בעד העם...בעדם</w:t>
      </w:r>
      <w:r w:rsidRPr="008B1D78">
        <w:rPr>
          <w:rFonts w:eastAsia="Times New Roman" w:cs="Times New Roman"/>
          <w:rtl/>
          <w:lang w:eastAsia="de-DE"/>
        </w:rPr>
        <w:t xml:space="preserve"> </w:t>
      </w:r>
      <w:r w:rsidRPr="008B1D78">
        <w:rPr>
          <w:rFonts w:eastAsia="Times New Roman" w:cs="Times New Roman"/>
          <w:lang w:eastAsia="de-DE"/>
        </w:rPr>
        <w:t>zeigt die umfassende sühnende Mittlerschaft.</w:t>
      </w:r>
    </w:p>
    <w:p w14:paraId="66B2A27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lastRenderedPageBreak/>
        <w:t>קרב אל־המזבח</w:t>
      </w:r>
      <w:r w:rsidRPr="008B1D78">
        <w:rPr>
          <w:rFonts w:eastAsia="Times New Roman" w:cs="Times New Roman"/>
          <w:rtl/>
          <w:lang w:eastAsia="de-DE"/>
        </w:rPr>
        <w:t xml:space="preserve"> </w:t>
      </w:r>
      <w:r w:rsidRPr="008B1D78">
        <w:rPr>
          <w:rFonts w:eastAsia="Times New Roman" w:cs="Times New Roman"/>
          <w:lang w:eastAsia="de-DE"/>
        </w:rPr>
        <w:t>markiert Aarons ersten eigenständigen Zugang zum Altar. Die Progression: persönliche Opfer (</w:t>
      </w:r>
      <w:r w:rsidRPr="008B1D78">
        <w:rPr>
          <w:rFonts w:eastAsia="Times New Roman" w:cs="Times New Roman"/>
          <w:b/>
          <w:bCs/>
          <w:rtl/>
          <w:lang w:eastAsia="de-DE"/>
        </w:rPr>
        <w:t>חטאתך...עלתך</w:t>
      </w:r>
      <w:r w:rsidRPr="008B1D78">
        <w:rPr>
          <w:rFonts w:eastAsia="Times New Roman" w:cs="Times New Roman"/>
          <w:lang w:eastAsia="de-DE"/>
        </w:rPr>
        <w:t>) vor Volksopfern (</w:t>
      </w:r>
      <w:r w:rsidRPr="008B1D78">
        <w:rPr>
          <w:rFonts w:eastAsia="Times New Roman" w:cs="Times New Roman"/>
          <w:b/>
          <w:bCs/>
          <w:rtl/>
          <w:lang w:eastAsia="de-DE"/>
        </w:rPr>
        <w:t>קרבן העם</w:t>
      </w:r>
      <w:r w:rsidRPr="008B1D78">
        <w:rPr>
          <w:rFonts w:eastAsia="Times New Roman" w:cs="Times New Roman"/>
          <w:lang w:eastAsia="de-DE"/>
        </w:rPr>
        <w:t>) zeigt die logische Reihenfolge der priesterlichen Sühne.</w:t>
      </w:r>
    </w:p>
    <w:p w14:paraId="6E0FB619" w14:textId="65E260AE"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w:t>
      </w:r>
      <w:r w:rsidR="00865A3D">
        <w:t xml:space="preserve">erweitert </w:t>
      </w:r>
      <w:r w:rsidR="00865A3D">
        <w:rPr>
          <w:rtl/>
        </w:rPr>
        <w:t>ובעד העם</w:t>
      </w:r>
      <w:r w:rsidR="00865A3D">
        <w:t xml:space="preserve"> (</w:t>
      </w:r>
      <w:proofErr w:type="spellStart"/>
      <w:r w:rsidR="00865A3D">
        <w:t>ube'ad</w:t>
      </w:r>
      <w:proofErr w:type="spellEnd"/>
      <w:r w:rsidR="00865A3D">
        <w:t xml:space="preserve"> ha'am - "und für das Volk") zu καὶ </w:t>
      </w:r>
      <w:proofErr w:type="spellStart"/>
      <w:r w:rsidR="00865A3D">
        <w:t>τοῦ</w:t>
      </w:r>
      <w:proofErr w:type="spellEnd"/>
      <w:r w:rsidR="00865A3D">
        <w:t xml:space="preserve"> </w:t>
      </w:r>
      <w:proofErr w:type="spellStart"/>
      <w:r w:rsidR="00865A3D">
        <w:t>οἴκου</w:t>
      </w:r>
      <w:proofErr w:type="spellEnd"/>
      <w:r w:rsidR="00865A3D">
        <w:t xml:space="preserve"> </w:t>
      </w:r>
      <w:proofErr w:type="spellStart"/>
      <w:r w:rsidR="00865A3D">
        <w:t>σου</w:t>
      </w:r>
      <w:proofErr w:type="spellEnd"/>
      <w:r w:rsidR="00865A3D">
        <w:t xml:space="preserve"> (und für dein Haus), was eine familiäre Dimension hinzufügt, die im hebräischen Text nicht explizit ist.</w:t>
      </w:r>
    </w:p>
    <w:p w14:paraId="6BC9DB7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sechs koordinierte Imperative: Annäherung + persönliche Opfer + persönliche Sühne + Volkssühne + Volksopfer + Volkssühne + Bestätigungsformel. Die Struktur zeigt die umfassende priesterliche Mittlerfunktion.</w:t>
      </w:r>
    </w:p>
    <w:p w14:paraId="39F60E5F"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beauftragt Aaron mit seinem ersten eigenständigen Priesterdienst und etabliert die doppelte </w:t>
      </w:r>
      <w:proofErr w:type="spellStart"/>
      <w:r w:rsidRPr="008B1D78">
        <w:rPr>
          <w:rFonts w:eastAsia="Times New Roman" w:cs="Times New Roman"/>
          <w:lang w:eastAsia="de-DE"/>
        </w:rPr>
        <w:t>Sühnfunktion</w:t>
      </w:r>
      <w:proofErr w:type="spellEnd"/>
      <w:r w:rsidRPr="008B1D78">
        <w:rPr>
          <w:rFonts w:eastAsia="Times New Roman" w:cs="Times New Roman"/>
          <w:lang w:eastAsia="de-DE"/>
        </w:rPr>
        <w:t>: für sich selbst und für das Volk.</w:t>
      </w:r>
    </w:p>
    <w:p w14:paraId="2F9222C3"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9,8</w:t>
      </w:r>
    </w:p>
    <w:p w14:paraId="144C5AE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וַיִּקְרַ֥ב אַהֲרֹ֖ן אֶל־הַמִּזְבֵּ֑חַ וַיִּשְׁחַ֛ט אֶת־עֵ֥גֶל הַחַטָּ֖את אֲשֶׁר־לוֹֽ׃</w:t>
      </w:r>
    </w:p>
    <w:p w14:paraId="5048DF8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Aaron nahte zum Altar und schlachtete das Kalb des Sündopfers, das für ihn war.</w:t>
      </w:r>
    </w:p>
    <w:p w14:paraId="16B44F68"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060DC322">
          <v:rect id="_x0000_i1240" style="width:0;height:1.5pt" o:hralign="center" o:hrstd="t" o:hr="t" fillcolor="#a0a0a0" stroked="f"/>
        </w:pict>
      </w:r>
    </w:p>
    <w:p w14:paraId="1E570AF2"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ויקרב אהרן אל־המזבח</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קרב</w:t>
      </w:r>
      <w:r w:rsidRPr="008B1D78">
        <w:rPr>
          <w:rFonts w:eastAsia="Times New Roman" w:cs="Times New Roman"/>
          <w:rtl/>
          <w:lang w:eastAsia="de-DE"/>
        </w:rPr>
        <w:t xml:space="preserve"> </w:t>
      </w:r>
      <w:r w:rsidRPr="008B1D78">
        <w:rPr>
          <w:rFonts w:eastAsia="Times New Roman" w:cs="Times New Roman"/>
          <w:lang w:eastAsia="de-DE"/>
        </w:rPr>
        <w:t xml:space="preserve">(nahen) im Qal-Imperfekt 3. Person maskulin Singular mit Waw-Konsekutiv. </w:t>
      </w:r>
      <w:r w:rsidRPr="008B1D78">
        <w:rPr>
          <w:rFonts w:eastAsia="Times New Roman" w:cs="Times New Roman"/>
          <w:b/>
          <w:bCs/>
          <w:rtl/>
          <w:lang w:eastAsia="de-DE"/>
        </w:rPr>
        <w:t>אהרן</w:t>
      </w:r>
      <w:r w:rsidRPr="008B1D78">
        <w:rPr>
          <w:rFonts w:eastAsia="Times New Roman" w:cs="Times New Roman"/>
          <w:rtl/>
          <w:lang w:eastAsia="de-DE"/>
        </w:rPr>
        <w:t xml:space="preserve"> </w:t>
      </w:r>
      <w:r w:rsidRPr="008B1D78">
        <w:rPr>
          <w:rFonts w:eastAsia="Times New Roman" w:cs="Times New Roman"/>
          <w:lang w:eastAsia="de-DE"/>
        </w:rPr>
        <w:t xml:space="preserve">als explizites Subjekt betont den Akteur. </w:t>
      </w:r>
      <w:r w:rsidRPr="008B1D78">
        <w:rPr>
          <w:rFonts w:eastAsia="Times New Roman" w:cs="Times New Roman"/>
          <w:b/>
          <w:bCs/>
          <w:rtl/>
          <w:lang w:eastAsia="de-DE"/>
        </w:rPr>
        <w:t>אל־המזבח</w:t>
      </w:r>
      <w:r w:rsidRPr="008B1D78">
        <w:rPr>
          <w:rFonts w:eastAsia="Times New Roman" w:cs="Times New Roman"/>
          <w:rtl/>
          <w:lang w:eastAsia="de-DE"/>
        </w:rPr>
        <w:t xml:space="preserve"> </w:t>
      </w:r>
      <w:r w:rsidRPr="008B1D78">
        <w:rPr>
          <w:rFonts w:eastAsia="Times New Roman" w:cs="Times New Roman"/>
          <w:lang w:eastAsia="de-DE"/>
        </w:rPr>
        <w:t>(zum Altar) entspricht der Anweisung aus V. 7. Dies ist Aarons erste eigenständige Annäherung als amtierender Hohepriester.</w:t>
      </w:r>
    </w:p>
    <w:p w14:paraId="0C4BA84E"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וישחט את־עגל החטאת אשר־לו</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שחט</w:t>
      </w:r>
      <w:r w:rsidRPr="008B1D78">
        <w:rPr>
          <w:rFonts w:eastAsia="Times New Roman" w:cs="Times New Roman"/>
          <w:rtl/>
          <w:lang w:eastAsia="de-DE"/>
        </w:rPr>
        <w:t xml:space="preserve"> </w:t>
      </w:r>
      <w:r w:rsidRPr="008B1D78">
        <w:rPr>
          <w:rFonts w:eastAsia="Times New Roman" w:cs="Times New Roman"/>
          <w:lang w:eastAsia="de-DE"/>
        </w:rPr>
        <w:t xml:space="preserve">(schlachten) im Qal-Imperfekt 3. Person maskulin Singular mit Waw-Konsekutiv. </w:t>
      </w:r>
      <w:r w:rsidRPr="008B1D78">
        <w:rPr>
          <w:rFonts w:eastAsia="Times New Roman" w:cs="Times New Roman"/>
          <w:b/>
          <w:bCs/>
          <w:rtl/>
          <w:lang w:eastAsia="de-DE"/>
        </w:rPr>
        <w:t>את־עגל החטאת</w:t>
      </w:r>
      <w:r w:rsidRPr="008B1D78">
        <w:rPr>
          <w:rFonts w:eastAsia="Times New Roman" w:cs="Times New Roman"/>
          <w:rtl/>
          <w:lang w:eastAsia="de-DE"/>
        </w:rPr>
        <w:t xml:space="preserve"> </w:t>
      </w:r>
      <w:r w:rsidRPr="008B1D78">
        <w:rPr>
          <w:rFonts w:eastAsia="Times New Roman" w:cs="Times New Roman"/>
          <w:lang w:eastAsia="de-DE"/>
        </w:rPr>
        <w:t xml:space="preserve">(das Kalb des Sündopfers) referenziert das </w:t>
      </w:r>
      <w:r w:rsidRPr="008B1D78">
        <w:rPr>
          <w:rFonts w:eastAsia="Times New Roman" w:cs="Times New Roman"/>
          <w:b/>
          <w:bCs/>
          <w:rtl/>
          <w:lang w:eastAsia="de-DE"/>
        </w:rPr>
        <w:t>עגל בן־בקר</w:t>
      </w:r>
      <w:r w:rsidRPr="008B1D78">
        <w:rPr>
          <w:rFonts w:eastAsia="Times New Roman" w:cs="Times New Roman"/>
          <w:rtl/>
          <w:lang w:eastAsia="de-DE"/>
        </w:rPr>
        <w:t xml:space="preserve"> </w:t>
      </w:r>
      <w:r w:rsidRPr="008B1D78">
        <w:rPr>
          <w:rFonts w:eastAsia="Times New Roman" w:cs="Times New Roman"/>
          <w:lang w:eastAsia="de-DE"/>
        </w:rPr>
        <w:t xml:space="preserve">aus V. 2. </w:t>
      </w:r>
      <w:r w:rsidRPr="008B1D78">
        <w:rPr>
          <w:rFonts w:eastAsia="Times New Roman" w:cs="Times New Roman"/>
          <w:b/>
          <w:bCs/>
          <w:rtl/>
          <w:lang w:eastAsia="de-DE"/>
        </w:rPr>
        <w:t>אשר־לו</w:t>
      </w:r>
      <w:r w:rsidRPr="008B1D78">
        <w:rPr>
          <w:rFonts w:eastAsia="Times New Roman" w:cs="Times New Roman"/>
          <w:rtl/>
          <w:lang w:eastAsia="de-DE"/>
        </w:rPr>
        <w:t xml:space="preserve"> </w:t>
      </w:r>
      <w:r w:rsidRPr="008B1D78">
        <w:rPr>
          <w:rFonts w:eastAsia="Times New Roman" w:cs="Times New Roman"/>
          <w:lang w:eastAsia="de-DE"/>
        </w:rPr>
        <w:t xml:space="preserve">(das für ihn war) als Relativsatz mit Possessivsuffix 3. Person maskulin Singular betont, dass dies Aarons persönliches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ist.</w:t>
      </w:r>
    </w:p>
    <w:p w14:paraId="4D84694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ויקרב...וישחט</w:t>
      </w:r>
      <w:r w:rsidRPr="008B1D78">
        <w:rPr>
          <w:rFonts w:eastAsia="Times New Roman" w:cs="Times New Roman"/>
          <w:rtl/>
          <w:lang w:eastAsia="de-DE"/>
        </w:rPr>
        <w:t xml:space="preserve"> </w:t>
      </w:r>
      <w:r w:rsidRPr="008B1D78">
        <w:rPr>
          <w:rFonts w:eastAsia="Times New Roman" w:cs="Times New Roman"/>
          <w:lang w:eastAsia="de-DE"/>
        </w:rPr>
        <w:t xml:space="preserve">zeigt die sequentielle Abfolge: erst Annäherung, dann Schlachtung. </w:t>
      </w:r>
      <w:r w:rsidRPr="008B1D78">
        <w:rPr>
          <w:rFonts w:eastAsia="Times New Roman" w:cs="Times New Roman"/>
          <w:b/>
          <w:bCs/>
          <w:rtl/>
          <w:lang w:eastAsia="de-DE"/>
        </w:rPr>
        <w:t>אהרן</w:t>
      </w:r>
      <w:r w:rsidRPr="008B1D78">
        <w:rPr>
          <w:rFonts w:eastAsia="Times New Roman" w:cs="Times New Roman"/>
          <w:rtl/>
          <w:lang w:eastAsia="de-DE"/>
        </w:rPr>
        <w:t xml:space="preserve"> </w:t>
      </w:r>
      <w:r w:rsidRPr="008B1D78">
        <w:rPr>
          <w:rFonts w:eastAsia="Times New Roman" w:cs="Times New Roman"/>
          <w:lang w:eastAsia="de-DE"/>
        </w:rPr>
        <w:t>als Subjekt markiert den Beginn seiner eigenständigen Priesterhandlungen nach der Weihezeit.</w:t>
      </w:r>
    </w:p>
    <w:p w14:paraId="6BC720A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עגל החטאת אשר־לו</w:t>
      </w:r>
      <w:r w:rsidRPr="008B1D78">
        <w:rPr>
          <w:rFonts w:eastAsia="Times New Roman" w:cs="Times New Roman"/>
          <w:rtl/>
          <w:lang w:eastAsia="de-DE"/>
        </w:rPr>
        <w:t xml:space="preserve"> </w:t>
      </w:r>
      <w:r w:rsidRPr="008B1D78">
        <w:rPr>
          <w:rFonts w:eastAsia="Times New Roman" w:cs="Times New Roman"/>
          <w:lang w:eastAsia="de-DE"/>
        </w:rPr>
        <w:t xml:space="preserve">unterscheidet dieses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 xml:space="preserve">von den Volksopfern, die folgen werden. Die Betonung </w:t>
      </w:r>
      <w:r w:rsidRPr="008B1D78">
        <w:rPr>
          <w:rFonts w:eastAsia="Times New Roman" w:cs="Times New Roman"/>
          <w:b/>
          <w:bCs/>
          <w:rtl/>
          <w:lang w:eastAsia="de-DE"/>
        </w:rPr>
        <w:t>אשר־לו</w:t>
      </w:r>
      <w:r w:rsidRPr="008B1D78">
        <w:rPr>
          <w:rFonts w:eastAsia="Times New Roman" w:cs="Times New Roman"/>
          <w:rtl/>
          <w:lang w:eastAsia="de-DE"/>
        </w:rPr>
        <w:t xml:space="preserve"> </w:t>
      </w:r>
      <w:r w:rsidRPr="008B1D78">
        <w:rPr>
          <w:rFonts w:eastAsia="Times New Roman" w:cs="Times New Roman"/>
          <w:lang w:eastAsia="de-DE"/>
        </w:rPr>
        <w:t>zeigt, dass Aaron auch als Hohepriester persönlicher Sühne bedarf.</w:t>
      </w:r>
    </w:p>
    <w:p w14:paraId="513BB2E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knappe Darstellung im Vergleich zu Kapitel 8 zeigt, dass Aaron jetzt die Opferprozeduren selbstständig beherrscht. </w:t>
      </w:r>
      <w:r w:rsidRPr="008B1D78">
        <w:rPr>
          <w:rFonts w:eastAsia="Times New Roman" w:cs="Times New Roman"/>
          <w:b/>
          <w:bCs/>
          <w:rtl/>
          <w:lang w:eastAsia="de-DE"/>
        </w:rPr>
        <w:t>ויקרב אהרן</w:t>
      </w:r>
      <w:r w:rsidRPr="008B1D78">
        <w:rPr>
          <w:rFonts w:eastAsia="Times New Roman" w:cs="Times New Roman"/>
          <w:rtl/>
          <w:lang w:eastAsia="de-DE"/>
        </w:rPr>
        <w:t xml:space="preserve"> </w:t>
      </w:r>
      <w:r w:rsidRPr="008B1D78">
        <w:rPr>
          <w:rFonts w:eastAsia="Times New Roman" w:cs="Times New Roman"/>
          <w:lang w:eastAsia="de-DE"/>
        </w:rPr>
        <w:t>als erste eigenständige Priesterhandlung markiert einen wichtigen Übergang.</w:t>
      </w:r>
    </w:p>
    <w:p w14:paraId="7A4B2FD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ויקרב</w:t>
      </w:r>
      <w:r w:rsidRPr="008B1D78">
        <w:rPr>
          <w:rFonts w:eastAsia="Times New Roman" w:cs="Times New Roman"/>
          <w:rtl/>
          <w:lang w:eastAsia="de-DE"/>
        </w:rPr>
        <w:t xml:space="preserve"> </w:t>
      </w:r>
      <w:r w:rsidRPr="008B1D78">
        <w:rPr>
          <w:rFonts w:eastAsia="Times New Roman" w:cs="Times New Roman"/>
          <w:lang w:eastAsia="de-DE"/>
        </w:rPr>
        <w:t>mit π</w:t>
      </w:r>
      <w:proofErr w:type="spellStart"/>
      <w:r w:rsidRPr="008B1D78">
        <w:rPr>
          <w:rFonts w:eastAsia="Times New Roman" w:cs="Times New Roman"/>
          <w:lang w:eastAsia="de-DE"/>
        </w:rPr>
        <w:t>ροσῆλθεν</w:t>
      </w:r>
      <w:proofErr w:type="spellEnd"/>
      <w:r w:rsidRPr="008B1D78">
        <w:rPr>
          <w:rFonts w:eastAsia="Times New Roman" w:cs="Times New Roman"/>
          <w:lang w:eastAsia="de-DE"/>
        </w:rPr>
        <w:t xml:space="preserve"> (er trat heran), </w:t>
      </w:r>
      <w:r w:rsidRPr="008B1D78">
        <w:rPr>
          <w:rFonts w:eastAsia="Times New Roman" w:cs="Times New Roman"/>
          <w:b/>
          <w:bCs/>
          <w:rtl/>
          <w:lang w:eastAsia="de-DE"/>
        </w:rPr>
        <w:t>וישחט</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ἔσφ</w:t>
      </w:r>
      <w:proofErr w:type="spellEnd"/>
      <w:r w:rsidRPr="008B1D78">
        <w:rPr>
          <w:rFonts w:eastAsia="Times New Roman" w:cs="Times New Roman"/>
          <w:lang w:eastAsia="de-DE"/>
        </w:rPr>
        <w:t xml:space="preserve">αξεν (er schlachtete) und </w:t>
      </w:r>
      <w:r w:rsidRPr="008B1D78">
        <w:rPr>
          <w:rFonts w:eastAsia="Times New Roman" w:cs="Times New Roman"/>
          <w:b/>
          <w:bCs/>
          <w:rtl/>
          <w:lang w:eastAsia="de-DE"/>
        </w:rPr>
        <w:t>אשר־לו</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τὸ</w:t>
      </w:r>
      <w:proofErr w:type="spellEnd"/>
      <w:r w:rsidRPr="008B1D78">
        <w:rPr>
          <w:rFonts w:eastAsia="Times New Roman" w:cs="Times New Roman"/>
          <w:lang w:eastAsia="de-DE"/>
        </w:rPr>
        <w:t xml:space="preserve"> π</w:t>
      </w:r>
      <w:proofErr w:type="spellStart"/>
      <w:r w:rsidRPr="008B1D78">
        <w:rPr>
          <w:rFonts w:eastAsia="Times New Roman" w:cs="Times New Roman"/>
          <w:lang w:eastAsia="de-DE"/>
        </w:rPr>
        <w:t>ερὶ</w:t>
      </w:r>
      <w:proofErr w:type="spellEnd"/>
      <w:r w:rsidRPr="008B1D78">
        <w:rPr>
          <w:rFonts w:eastAsia="Times New Roman" w:cs="Times New Roman"/>
          <w:lang w:eastAsia="de-DE"/>
        </w:rPr>
        <w:t xml:space="preserve"> α</w:t>
      </w:r>
      <w:proofErr w:type="spellStart"/>
      <w:r w:rsidRPr="008B1D78">
        <w:rPr>
          <w:rFonts w:eastAsia="Times New Roman" w:cs="Times New Roman"/>
          <w:lang w:eastAsia="de-DE"/>
        </w:rPr>
        <w:t>ὐτοῦ</w:t>
      </w:r>
      <w:proofErr w:type="spellEnd"/>
      <w:r w:rsidRPr="008B1D78">
        <w:rPr>
          <w:rFonts w:eastAsia="Times New Roman" w:cs="Times New Roman"/>
          <w:lang w:eastAsia="de-DE"/>
        </w:rPr>
        <w:t xml:space="preserve"> (das für ihn).</w:t>
      </w:r>
    </w:p>
    <w:p w14:paraId="317748D6"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lastRenderedPageBreak/>
        <w:t>Die Satzstruktur:</w:t>
      </w:r>
      <w:r w:rsidRPr="008B1D78">
        <w:rPr>
          <w:rFonts w:eastAsia="Times New Roman" w:cs="Times New Roman"/>
          <w:lang w:eastAsia="de-DE"/>
        </w:rPr>
        <w:t xml:space="preserve"> zeigt zwei koordinierte Hauptsätze: 1) Verb + Subjekt + Richtungsangabe; 2) Verb + direktes Objekt mit Relativsatz. Die Struktur zeigt Aarons erste eigenständige </w:t>
      </w:r>
      <w:r w:rsidRPr="008B1D78">
        <w:rPr>
          <w:rFonts w:eastAsia="Times New Roman" w:cs="Times New Roman"/>
          <w:b/>
          <w:bCs/>
          <w:rtl/>
          <w:lang w:eastAsia="de-DE"/>
        </w:rPr>
        <w:t>חטאת</w:t>
      </w:r>
      <w:r w:rsidRPr="008B1D78">
        <w:rPr>
          <w:rFonts w:eastAsia="Times New Roman" w:cs="Times New Roman"/>
          <w:lang w:eastAsia="de-DE"/>
        </w:rPr>
        <w:t>-Handlung.</w:t>
      </w:r>
    </w:p>
    <w:p w14:paraId="48320BCA"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dokumentiert Aarons ersten eigenständigen Opferakt als Hohepriester: die Schlachtung seines persönlichen </w:t>
      </w:r>
      <w:r w:rsidRPr="008B1D78">
        <w:rPr>
          <w:rFonts w:eastAsia="Times New Roman" w:cs="Times New Roman"/>
          <w:b/>
          <w:bCs/>
          <w:rtl/>
          <w:lang w:eastAsia="de-DE"/>
        </w:rPr>
        <w:t>חטאת</w:t>
      </w:r>
      <w:r w:rsidRPr="008B1D78">
        <w:rPr>
          <w:rFonts w:eastAsia="Times New Roman" w:cs="Times New Roman"/>
          <w:lang w:eastAsia="de-DE"/>
        </w:rPr>
        <w:t>-Kalbes.</w:t>
      </w:r>
    </w:p>
    <w:p w14:paraId="42FB1A40"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9,9</w:t>
      </w:r>
    </w:p>
    <w:p w14:paraId="362AE93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וַ֠יַּקְרִבוּ בְּנֵ֨י אַהֲרֹ֣ן אֶת־הַדָּם֮ אֵלָיו֒ וַיִּטְבֹּ֤ל אֶצְבָּעוֹ֙ בַּדָּ֔ם וַיִּתֵּ֖ן עַל־קַרְנ֣וֹת הַמִּזְבֵּ֑חַ וְאֶת־הַדָּ֣ם יָצַ֔ק אֶל־יְס֖וֹד הַמִּזְבֵּֽחַ׃</w:t>
      </w:r>
    </w:p>
    <w:p w14:paraId="2742706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die Söhne Aarons reichten ihm das Blut dar; und er tauchte seinen Finger in das Blut und tat davon an die Hörner des Altars, und er goss das Blut an den Fuß des Altars.</w:t>
      </w:r>
    </w:p>
    <w:p w14:paraId="3ADFBFF8"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5903A214">
          <v:rect id="_x0000_i1241" style="width:0;height:1.5pt" o:hralign="center" o:hrstd="t" o:hr="t" fillcolor="#a0a0a0" stroked="f"/>
        </w:pict>
      </w:r>
    </w:p>
    <w:p w14:paraId="34D453A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ויקרבו בני אהרן את־הדם אליו</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קרב</w:t>
      </w:r>
      <w:r w:rsidRPr="008B1D78">
        <w:rPr>
          <w:rFonts w:eastAsia="Times New Roman" w:cs="Times New Roman"/>
          <w:rtl/>
          <w:lang w:eastAsia="de-DE"/>
        </w:rPr>
        <w:t xml:space="preserve"> </w:t>
      </w:r>
      <w:r w:rsidRPr="008B1D78">
        <w:rPr>
          <w:rFonts w:eastAsia="Times New Roman" w:cs="Times New Roman"/>
          <w:lang w:eastAsia="de-DE"/>
        </w:rPr>
        <w:t xml:space="preserve">(nahen/darreichen) im Hifil-Imperfekt 3. Person maskulin Plural mit Waw-Konsekutiv. </w:t>
      </w:r>
      <w:r w:rsidRPr="008B1D78">
        <w:rPr>
          <w:rFonts w:eastAsia="Times New Roman" w:cs="Times New Roman"/>
          <w:b/>
          <w:bCs/>
          <w:rtl/>
          <w:lang w:eastAsia="de-DE"/>
        </w:rPr>
        <w:t>בני אהרן</w:t>
      </w:r>
      <w:r w:rsidRPr="008B1D78">
        <w:rPr>
          <w:rFonts w:eastAsia="Times New Roman" w:cs="Times New Roman"/>
          <w:rtl/>
          <w:lang w:eastAsia="de-DE"/>
        </w:rPr>
        <w:t xml:space="preserve"> </w:t>
      </w:r>
      <w:r w:rsidRPr="008B1D78">
        <w:rPr>
          <w:rFonts w:eastAsia="Times New Roman" w:cs="Times New Roman"/>
          <w:lang w:eastAsia="de-DE"/>
        </w:rPr>
        <w:t xml:space="preserve">(Söhne Aarons) als Subjekt zeigen ihre Assistenzfunktion. </w:t>
      </w:r>
      <w:r w:rsidRPr="008B1D78">
        <w:rPr>
          <w:rFonts w:eastAsia="Times New Roman" w:cs="Times New Roman"/>
          <w:b/>
          <w:bCs/>
          <w:rtl/>
          <w:lang w:eastAsia="de-DE"/>
        </w:rPr>
        <w:t>את־הדם</w:t>
      </w:r>
      <w:r w:rsidRPr="008B1D78">
        <w:rPr>
          <w:rFonts w:eastAsia="Times New Roman" w:cs="Times New Roman"/>
          <w:rtl/>
          <w:lang w:eastAsia="de-DE"/>
        </w:rPr>
        <w:t xml:space="preserve"> </w:t>
      </w:r>
      <w:r w:rsidRPr="008B1D78">
        <w:rPr>
          <w:rFonts w:eastAsia="Times New Roman" w:cs="Times New Roman"/>
          <w:lang w:eastAsia="de-DE"/>
        </w:rPr>
        <w:t xml:space="preserve">(das Blut) als direktes Objekt, </w:t>
      </w:r>
      <w:r w:rsidRPr="008B1D78">
        <w:rPr>
          <w:rFonts w:eastAsia="Times New Roman" w:cs="Times New Roman"/>
          <w:b/>
          <w:bCs/>
          <w:rtl/>
          <w:lang w:eastAsia="de-DE"/>
        </w:rPr>
        <w:t>אליו</w:t>
      </w:r>
      <w:r w:rsidRPr="008B1D78">
        <w:rPr>
          <w:rFonts w:eastAsia="Times New Roman" w:cs="Times New Roman"/>
          <w:rtl/>
          <w:lang w:eastAsia="de-DE"/>
        </w:rPr>
        <w:t xml:space="preserve"> </w:t>
      </w:r>
      <w:r w:rsidRPr="008B1D78">
        <w:rPr>
          <w:rFonts w:eastAsia="Times New Roman" w:cs="Times New Roman"/>
          <w:lang w:eastAsia="de-DE"/>
        </w:rPr>
        <w:t>(zu ihm) referenziert Aaron. Das Hifil drückt "heranreichen/darreichen" aus.</w:t>
      </w:r>
    </w:p>
    <w:p w14:paraId="509AF1BB"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ויטבל אצבעו בדם</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טבל</w:t>
      </w:r>
      <w:r w:rsidRPr="008B1D78">
        <w:rPr>
          <w:rFonts w:eastAsia="Times New Roman" w:cs="Times New Roman"/>
          <w:rtl/>
          <w:lang w:eastAsia="de-DE"/>
        </w:rPr>
        <w:t xml:space="preserve"> </w:t>
      </w:r>
      <w:r w:rsidRPr="008B1D78">
        <w:rPr>
          <w:rFonts w:eastAsia="Times New Roman" w:cs="Times New Roman"/>
          <w:lang w:eastAsia="de-DE"/>
        </w:rPr>
        <w:t xml:space="preserve">(eintauchen) im Qal-Imperfekt 3. Person maskulin Singular mit Waw-Konsekutiv. </w:t>
      </w:r>
      <w:r w:rsidRPr="008B1D78">
        <w:rPr>
          <w:rFonts w:eastAsia="Times New Roman" w:cs="Times New Roman"/>
          <w:b/>
          <w:bCs/>
          <w:rtl/>
          <w:lang w:eastAsia="de-DE"/>
        </w:rPr>
        <w:t>אצבעו</w:t>
      </w:r>
      <w:r w:rsidRPr="008B1D78">
        <w:rPr>
          <w:rFonts w:eastAsia="Times New Roman" w:cs="Times New Roman"/>
          <w:rtl/>
          <w:lang w:eastAsia="de-DE"/>
        </w:rPr>
        <w:t xml:space="preserve"> </w:t>
      </w:r>
      <w:r w:rsidRPr="008B1D78">
        <w:rPr>
          <w:rFonts w:eastAsia="Times New Roman" w:cs="Times New Roman"/>
          <w:lang w:eastAsia="de-DE"/>
        </w:rPr>
        <w:t xml:space="preserve">(seinen Finger) mit Possessivsuffix 3. Person maskulin Singular, </w:t>
      </w:r>
      <w:r w:rsidRPr="008B1D78">
        <w:rPr>
          <w:rFonts w:eastAsia="Times New Roman" w:cs="Times New Roman"/>
          <w:b/>
          <w:bCs/>
          <w:rtl/>
          <w:lang w:eastAsia="de-DE"/>
        </w:rPr>
        <w:t>בדם</w:t>
      </w:r>
      <w:r w:rsidRPr="008B1D78">
        <w:rPr>
          <w:rFonts w:eastAsia="Times New Roman" w:cs="Times New Roman"/>
          <w:rtl/>
          <w:lang w:eastAsia="de-DE"/>
        </w:rPr>
        <w:t xml:space="preserve"> </w:t>
      </w:r>
      <w:r w:rsidRPr="008B1D78">
        <w:rPr>
          <w:rFonts w:eastAsia="Times New Roman" w:cs="Times New Roman"/>
          <w:lang w:eastAsia="de-DE"/>
        </w:rPr>
        <w:t xml:space="preserve">(in das Blut) mit Präposition </w:t>
      </w:r>
      <w:r w:rsidRPr="008B1D78">
        <w:rPr>
          <w:rFonts w:eastAsia="Times New Roman" w:cs="Times New Roman"/>
          <w:b/>
          <w:bCs/>
          <w:rtl/>
          <w:lang w:eastAsia="de-DE"/>
        </w:rPr>
        <w:t>ב</w:t>
      </w:r>
      <w:r w:rsidRPr="008B1D78">
        <w:rPr>
          <w:rFonts w:eastAsia="Times New Roman" w:cs="Times New Roman"/>
          <w:rtl/>
          <w:lang w:eastAsia="de-DE"/>
        </w:rPr>
        <w:t xml:space="preserve"> </w:t>
      </w:r>
      <w:r w:rsidRPr="008B1D78">
        <w:rPr>
          <w:rFonts w:eastAsia="Times New Roman" w:cs="Times New Roman"/>
          <w:lang w:eastAsia="de-DE"/>
        </w:rPr>
        <w:t>lokativ.</w:t>
      </w:r>
    </w:p>
    <w:p w14:paraId="633883A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ויתן על־קרנות המזבח ואת־הדם יצק אל־יסוד המזבח</w:t>
      </w:r>
      <w:r w:rsidRPr="008B1D78">
        <w:rPr>
          <w:rFonts w:eastAsia="Times New Roman" w:cs="Times New Roman"/>
          <w:rtl/>
          <w:lang w:eastAsia="de-DE"/>
        </w:rPr>
        <w:t xml:space="preserve"> </w:t>
      </w:r>
      <w:r w:rsidRPr="008B1D78">
        <w:rPr>
          <w:rFonts w:eastAsia="Times New Roman" w:cs="Times New Roman"/>
          <w:lang w:eastAsia="de-DE"/>
        </w:rPr>
        <w:t xml:space="preserve">zeigt die </w:t>
      </w:r>
      <w:r w:rsidRPr="008B1D78">
        <w:rPr>
          <w:rFonts w:eastAsia="Times New Roman" w:cs="Times New Roman"/>
          <w:b/>
          <w:bCs/>
          <w:rtl/>
          <w:lang w:eastAsia="de-DE"/>
        </w:rPr>
        <w:t>חטאת</w:t>
      </w:r>
      <w:r w:rsidRPr="008B1D78">
        <w:rPr>
          <w:rFonts w:eastAsia="Times New Roman" w:cs="Times New Roman"/>
          <w:lang w:eastAsia="de-DE"/>
        </w:rPr>
        <w:t xml:space="preserve">-Blutbehandlung. </w:t>
      </w:r>
      <w:r w:rsidRPr="008B1D78">
        <w:rPr>
          <w:rFonts w:eastAsia="Times New Roman" w:cs="Times New Roman"/>
          <w:b/>
          <w:bCs/>
          <w:rtl/>
          <w:lang w:eastAsia="de-DE"/>
        </w:rPr>
        <w:t>ויתן על־קרנות המזבח</w:t>
      </w:r>
      <w:r w:rsidRPr="008B1D78">
        <w:rPr>
          <w:rFonts w:eastAsia="Times New Roman" w:cs="Times New Roman"/>
          <w:rtl/>
          <w:lang w:eastAsia="de-DE"/>
        </w:rPr>
        <w:t xml:space="preserve"> </w:t>
      </w:r>
      <w:r w:rsidRPr="008B1D78">
        <w:rPr>
          <w:rFonts w:eastAsia="Times New Roman" w:cs="Times New Roman"/>
          <w:lang w:eastAsia="de-DE"/>
        </w:rPr>
        <w:t xml:space="preserve">- </w:t>
      </w:r>
      <w:r w:rsidRPr="008B1D78">
        <w:rPr>
          <w:rFonts w:eastAsia="Times New Roman" w:cs="Times New Roman"/>
          <w:b/>
          <w:bCs/>
          <w:rtl/>
          <w:lang w:eastAsia="de-DE"/>
        </w:rPr>
        <w:t>נתן</w:t>
      </w:r>
      <w:r w:rsidRPr="008B1D78">
        <w:rPr>
          <w:rFonts w:eastAsia="Times New Roman" w:cs="Times New Roman"/>
          <w:rtl/>
          <w:lang w:eastAsia="de-DE"/>
        </w:rPr>
        <w:t xml:space="preserve"> </w:t>
      </w:r>
      <w:r w:rsidRPr="008B1D78">
        <w:rPr>
          <w:rFonts w:eastAsia="Times New Roman" w:cs="Times New Roman"/>
          <w:lang w:eastAsia="de-DE"/>
        </w:rPr>
        <w:t xml:space="preserve">(geben/setzen) im Qal-Imperfekt mit </w:t>
      </w:r>
      <w:r w:rsidRPr="008B1D78">
        <w:rPr>
          <w:rFonts w:eastAsia="Times New Roman" w:cs="Times New Roman"/>
          <w:b/>
          <w:bCs/>
          <w:rtl/>
          <w:lang w:eastAsia="de-DE"/>
        </w:rPr>
        <w:t>על־קרנות המזבח</w:t>
      </w:r>
      <w:r w:rsidRPr="008B1D78">
        <w:rPr>
          <w:rFonts w:eastAsia="Times New Roman" w:cs="Times New Roman"/>
          <w:rtl/>
          <w:lang w:eastAsia="de-DE"/>
        </w:rPr>
        <w:t xml:space="preserve"> </w:t>
      </w:r>
      <w:r w:rsidRPr="008B1D78">
        <w:rPr>
          <w:rFonts w:eastAsia="Times New Roman" w:cs="Times New Roman"/>
          <w:lang w:eastAsia="de-DE"/>
        </w:rPr>
        <w:t xml:space="preserve">(an die Hörner des Altars). </w:t>
      </w:r>
      <w:r w:rsidRPr="008B1D78">
        <w:rPr>
          <w:rFonts w:eastAsia="Times New Roman" w:cs="Times New Roman"/>
          <w:b/>
          <w:bCs/>
          <w:rtl/>
          <w:lang w:eastAsia="de-DE"/>
        </w:rPr>
        <w:t>ואת־הדם יצק אל־יסוד המזבח</w:t>
      </w:r>
      <w:r w:rsidRPr="008B1D78">
        <w:rPr>
          <w:rFonts w:eastAsia="Times New Roman" w:cs="Times New Roman"/>
          <w:rtl/>
          <w:lang w:eastAsia="de-DE"/>
        </w:rPr>
        <w:t xml:space="preserve"> </w:t>
      </w:r>
      <w:r w:rsidRPr="008B1D78">
        <w:rPr>
          <w:rFonts w:eastAsia="Times New Roman" w:cs="Times New Roman"/>
          <w:lang w:eastAsia="de-DE"/>
        </w:rPr>
        <w:t xml:space="preserve">- </w:t>
      </w:r>
      <w:r w:rsidRPr="008B1D78">
        <w:rPr>
          <w:rFonts w:eastAsia="Times New Roman" w:cs="Times New Roman"/>
          <w:b/>
          <w:bCs/>
          <w:rtl/>
          <w:lang w:eastAsia="de-DE"/>
        </w:rPr>
        <w:t>יצק</w:t>
      </w:r>
      <w:r w:rsidRPr="008B1D78">
        <w:rPr>
          <w:rFonts w:eastAsia="Times New Roman" w:cs="Times New Roman"/>
          <w:rtl/>
          <w:lang w:eastAsia="de-DE"/>
        </w:rPr>
        <w:t xml:space="preserve"> </w:t>
      </w:r>
      <w:r w:rsidRPr="008B1D78">
        <w:rPr>
          <w:rFonts w:eastAsia="Times New Roman" w:cs="Times New Roman"/>
          <w:lang w:eastAsia="de-DE"/>
        </w:rPr>
        <w:t xml:space="preserve">(gießen) im Qal-Perfekt mit </w:t>
      </w:r>
      <w:r w:rsidRPr="008B1D78">
        <w:rPr>
          <w:rFonts w:eastAsia="Times New Roman" w:cs="Times New Roman"/>
          <w:b/>
          <w:bCs/>
          <w:rtl/>
          <w:lang w:eastAsia="de-DE"/>
        </w:rPr>
        <w:t>אל־יסוד המזבח</w:t>
      </w:r>
      <w:r w:rsidRPr="008B1D78">
        <w:rPr>
          <w:rFonts w:eastAsia="Times New Roman" w:cs="Times New Roman"/>
          <w:rtl/>
          <w:lang w:eastAsia="de-DE"/>
        </w:rPr>
        <w:t xml:space="preserve"> </w:t>
      </w:r>
      <w:r w:rsidRPr="008B1D78">
        <w:rPr>
          <w:rFonts w:eastAsia="Times New Roman" w:cs="Times New Roman"/>
          <w:lang w:eastAsia="de-DE"/>
        </w:rPr>
        <w:t>(an den Fuß des Altars).</w:t>
      </w:r>
    </w:p>
    <w:p w14:paraId="0A1E722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Zusammenarbeit zwischen Aaron und seinen Söhnen zeigt die etablierte priesterliche Arbeitsverteilung: die Söhne assistieren, Aaron führt die entscheidenden Handlungen aus. </w:t>
      </w:r>
      <w:r w:rsidRPr="008B1D78">
        <w:rPr>
          <w:rFonts w:eastAsia="Times New Roman" w:cs="Times New Roman"/>
          <w:b/>
          <w:bCs/>
          <w:rtl/>
          <w:lang w:eastAsia="de-DE"/>
        </w:rPr>
        <w:t>קרנות המזבח</w:t>
      </w:r>
      <w:r w:rsidRPr="008B1D78">
        <w:rPr>
          <w:rFonts w:eastAsia="Times New Roman" w:cs="Times New Roman"/>
          <w:rtl/>
          <w:lang w:eastAsia="de-DE"/>
        </w:rPr>
        <w:t xml:space="preserve"> </w:t>
      </w:r>
      <w:r w:rsidRPr="008B1D78">
        <w:rPr>
          <w:rFonts w:eastAsia="Times New Roman" w:cs="Times New Roman"/>
          <w:lang w:eastAsia="de-DE"/>
        </w:rPr>
        <w:t xml:space="preserve">(Hörner des Altars) sind die vier Auswüchse an den Altarecken für </w:t>
      </w:r>
      <w:r w:rsidRPr="008B1D78">
        <w:rPr>
          <w:rFonts w:eastAsia="Times New Roman" w:cs="Times New Roman"/>
          <w:b/>
          <w:bCs/>
          <w:rtl/>
          <w:lang w:eastAsia="de-DE"/>
        </w:rPr>
        <w:t>חטאת</w:t>
      </w:r>
      <w:r w:rsidRPr="008B1D78">
        <w:rPr>
          <w:rFonts w:eastAsia="Times New Roman" w:cs="Times New Roman"/>
          <w:lang w:eastAsia="de-DE"/>
        </w:rPr>
        <w:t>-Blut.</w:t>
      </w:r>
    </w:p>
    <w:p w14:paraId="4D0E4AF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Das </w:t>
      </w:r>
      <w:r w:rsidRPr="008B1D78">
        <w:rPr>
          <w:rFonts w:eastAsia="Times New Roman" w:cs="Times New Roman"/>
          <w:b/>
          <w:bCs/>
          <w:rtl/>
          <w:lang w:eastAsia="de-DE"/>
        </w:rPr>
        <w:t>חטאת</w:t>
      </w:r>
      <w:r w:rsidRPr="008B1D78">
        <w:rPr>
          <w:rFonts w:eastAsia="Times New Roman" w:cs="Times New Roman"/>
          <w:lang w:eastAsia="de-DE"/>
        </w:rPr>
        <w:t xml:space="preserve">-Blutverfahren entspricht exakt 4,7.18: </w:t>
      </w:r>
      <w:r w:rsidRPr="008B1D78">
        <w:rPr>
          <w:rFonts w:eastAsia="Times New Roman" w:cs="Times New Roman"/>
          <w:b/>
          <w:bCs/>
          <w:rtl/>
          <w:lang w:eastAsia="de-DE"/>
        </w:rPr>
        <w:t>נתן על־קרנות</w:t>
      </w:r>
      <w:r w:rsidRPr="008B1D78">
        <w:rPr>
          <w:rFonts w:eastAsia="Times New Roman" w:cs="Times New Roman"/>
          <w:rtl/>
          <w:lang w:eastAsia="de-DE"/>
        </w:rPr>
        <w:t xml:space="preserve"> </w:t>
      </w:r>
      <w:r w:rsidRPr="008B1D78">
        <w:rPr>
          <w:rFonts w:eastAsia="Times New Roman" w:cs="Times New Roman"/>
          <w:lang w:eastAsia="de-DE"/>
        </w:rPr>
        <w:t xml:space="preserve">(setzen an die Hörner), dann </w:t>
      </w:r>
      <w:r w:rsidRPr="008B1D78">
        <w:rPr>
          <w:rFonts w:eastAsia="Times New Roman" w:cs="Times New Roman"/>
          <w:b/>
          <w:bCs/>
          <w:rtl/>
          <w:lang w:eastAsia="de-DE"/>
        </w:rPr>
        <w:t>יצק אל־יסוד</w:t>
      </w:r>
      <w:r w:rsidRPr="008B1D78">
        <w:rPr>
          <w:rFonts w:eastAsia="Times New Roman" w:cs="Times New Roman"/>
          <w:rtl/>
          <w:lang w:eastAsia="de-DE"/>
        </w:rPr>
        <w:t xml:space="preserve"> </w:t>
      </w:r>
      <w:r w:rsidRPr="008B1D78">
        <w:rPr>
          <w:rFonts w:eastAsia="Times New Roman" w:cs="Times New Roman"/>
          <w:lang w:eastAsia="de-DE"/>
        </w:rPr>
        <w:t>(gießen an den Fuß). Die Prozedur ist identisch mit der Priesterweihe in 8,15.</w:t>
      </w:r>
    </w:p>
    <w:p w14:paraId="385F995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ויקרבו</w:t>
      </w:r>
      <w:r w:rsidRPr="008B1D78">
        <w:rPr>
          <w:rFonts w:eastAsia="Times New Roman" w:cs="Times New Roman"/>
          <w:rtl/>
          <w:lang w:eastAsia="de-DE"/>
        </w:rPr>
        <w:t xml:space="preserve"> </w:t>
      </w:r>
      <w:r w:rsidRPr="008B1D78">
        <w:rPr>
          <w:rFonts w:eastAsia="Times New Roman" w:cs="Times New Roman"/>
          <w:lang w:eastAsia="de-DE"/>
        </w:rPr>
        <w:t>mit π</w:t>
      </w:r>
      <w:proofErr w:type="spellStart"/>
      <w:r w:rsidRPr="008B1D78">
        <w:rPr>
          <w:rFonts w:eastAsia="Times New Roman" w:cs="Times New Roman"/>
          <w:lang w:eastAsia="de-DE"/>
        </w:rPr>
        <w:t>ροσήνεγκ</w:t>
      </w:r>
      <w:proofErr w:type="spellEnd"/>
      <w:r w:rsidRPr="008B1D78">
        <w:rPr>
          <w:rFonts w:eastAsia="Times New Roman" w:cs="Times New Roman"/>
          <w:lang w:eastAsia="de-DE"/>
        </w:rPr>
        <w:t xml:space="preserve">αν (sie brachten heran), </w:t>
      </w:r>
      <w:r w:rsidRPr="008B1D78">
        <w:rPr>
          <w:rFonts w:eastAsia="Times New Roman" w:cs="Times New Roman"/>
          <w:b/>
          <w:bCs/>
          <w:rtl/>
          <w:lang w:eastAsia="de-DE"/>
        </w:rPr>
        <w:t>ויטבל</w:t>
      </w:r>
      <w:r w:rsidRPr="008B1D78">
        <w:rPr>
          <w:rFonts w:eastAsia="Times New Roman" w:cs="Times New Roman"/>
          <w:rtl/>
          <w:lang w:eastAsia="de-DE"/>
        </w:rPr>
        <w:t xml:space="preserve"> </w:t>
      </w:r>
      <w:r w:rsidRPr="008B1D78">
        <w:rPr>
          <w:rFonts w:eastAsia="Times New Roman" w:cs="Times New Roman"/>
          <w:lang w:eastAsia="de-DE"/>
        </w:rPr>
        <w:t>mit ἔβα</w:t>
      </w:r>
      <w:proofErr w:type="spellStart"/>
      <w:r w:rsidRPr="008B1D78">
        <w:rPr>
          <w:rFonts w:eastAsia="Times New Roman" w:cs="Times New Roman"/>
          <w:lang w:eastAsia="de-DE"/>
        </w:rPr>
        <w:t>ψεν</w:t>
      </w:r>
      <w:proofErr w:type="spellEnd"/>
      <w:r w:rsidRPr="008B1D78">
        <w:rPr>
          <w:rFonts w:eastAsia="Times New Roman" w:cs="Times New Roman"/>
          <w:lang w:eastAsia="de-DE"/>
        </w:rPr>
        <w:t xml:space="preserve"> (er tauchte ein) und </w:t>
      </w:r>
      <w:r w:rsidRPr="008B1D78">
        <w:rPr>
          <w:rFonts w:eastAsia="Times New Roman" w:cs="Times New Roman"/>
          <w:b/>
          <w:bCs/>
          <w:rtl/>
          <w:lang w:eastAsia="de-DE"/>
        </w:rPr>
        <w:t>יסוד המזבח</w:t>
      </w:r>
      <w:r w:rsidRPr="008B1D78">
        <w:rPr>
          <w:rFonts w:eastAsia="Times New Roman" w:cs="Times New Roman"/>
          <w:rtl/>
          <w:lang w:eastAsia="de-DE"/>
        </w:rPr>
        <w:t xml:space="preserve"> </w:t>
      </w:r>
      <w:r w:rsidRPr="008B1D78">
        <w:rPr>
          <w:rFonts w:eastAsia="Times New Roman" w:cs="Times New Roman"/>
          <w:lang w:eastAsia="de-DE"/>
        </w:rPr>
        <w:t>mit β</w:t>
      </w:r>
      <w:proofErr w:type="spellStart"/>
      <w:r w:rsidRPr="008B1D78">
        <w:rPr>
          <w:rFonts w:eastAsia="Times New Roman" w:cs="Times New Roman"/>
          <w:lang w:eastAsia="de-DE"/>
        </w:rPr>
        <w:t>άσιν</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τοῦ</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θυσι</w:t>
      </w:r>
      <w:proofErr w:type="spellEnd"/>
      <w:r w:rsidRPr="008B1D78">
        <w:rPr>
          <w:rFonts w:eastAsia="Times New Roman" w:cs="Times New Roman"/>
          <w:lang w:eastAsia="de-DE"/>
        </w:rPr>
        <w:t>αστηρίου (Basis des Altars).</w:t>
      </w:r>
    </w:p>
    <w:p w14:paraId="46895DE4"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vier koordinierte Hauptsätze: 1) Assistenz durch Söhne; 2-4) drei Blutbehandlungsschritte durch Aaron. Die Struktur zeigt die priesterliche Teamarbeit bei der </w:t>
      </w:r>
      <w:r w:rsidRPr="008B1D78">
        <w:rPr>
          <w:rFonts w:eastAsia="Times New Roman" w:cs="Times New Roman"/>
          <w:b/>
          <w:bCs/>
          <w:rtl/>
          <w:lang w:eastAsia="de-DE"/>
        </w:rPr>
        <w:t>חטאת</w:t>
      </w:r>
      <w:r w:rsidRPr="008B1D78">
        <w:rPr>
          <w:rFonts w:eastAsia="Times New Roman" w:cs="Times New Roman"/>
          <w:lang w:eastAsia="de-DE"/>
        </w:rPr>
        <w:t>-Prozedur.</w:t>
      </w:r>
    </w:p>
    <w:p w14:paraId="1EE3C6C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zeigt die ordnungsgemäße </w:t>
      </w:r>
      <w:r w:rsidRPr="008B1D78">
        <w:rPr>
          <w:rFonts w:eastAsia="Times New Roman" w:cs="Times New Roman"/>
          <w:b/>
          <w:bCs/>
          <w:rtl/>
          <w:lang w:eastAsia="de-DE"/>
        </w:rPr>
        <w:t>חטאת</w:t>
      </w:r>
      <w:r w:rsidRPr="008B1D78">
        <w:rPr>
          <w:rFonts w:eastAsia="Times New Roman" w:cs="Times New Roman"/>
          <w:lang w:eastAsia="de-DE"/>
        </w:rPr>
        <w:t>-Blutbehandlung durch Aaron mit Assistenz seiner Söhne entsprechend den etablierten Vorschriften.</w:t>
      </w:r>
    </w:p>
    <w:p w14:paraId="30915104"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9,10</w:t>
      </w:r>
    </w:p>
    <w:p w14:paraId="51DDE44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lastRenderedPageBreak/>
        <w:t>Hebräisch:</w:t>
      </w:r>
      <w:r w:rsidRPr="008B1D78">
        <w:rPr>
          <w:rFonts w:eastAsia="Times New Roman" w:cs="Times New Roman"/>
          <w:lang w:eastAsia="de-DE"/>
        </w:rPr>
        <w:t xml:space="preserve"> </w:t>
      </w:r>
      <w:r w:rsidRPr="008B1D78">
        <w:rPr>
          <w:rFonts w:eastAsia="Times New Roman" w:cs="Times New Roman"/>
          <w:rtl/>
          <w:lang w:eastAsia="de-DE"/>
        </w:rPr>
        <w:t>וְאֶת־הַחֵ֨לֶב וְאֶת־הַכְּלָיֹ֜ת וְאֶת־הַיֹּתֶ֤רֶת מִן־הַכָּבֵד֙ מִן־הַ֣חַטָּ֔את הִקְטִ֖יר הַמִּזְבֵּ֑חָה כַּאֲשֶׁ֛ר צִוָּ֥ה יְהוָ֖ה אֶת־מֹשֶֽׁה׃</w:t>
      </w:r>
    </w:p>
    <w:p w14:paraId="488AC81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das Fett und die Nieren und das Netz der Leber vom Sündopfer räucherte er auf dem Altar, so wie der Ewige dem Mosche geboten hatte.</w:t>
      </w:r>
    </w:p>
    <w:p w14:paraId="0F29F2F8"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4999801C">
          <v:rect id="_x0000_i1242" style="width:0;height:1.5pt" o:hralign="center" o:hrstd="t" o:hr="t" fillcolor="#a0a0a0" stroked="f"/>
        </w:pict>
      </w:r>
    </w:p>
    <w:p w14:paraId="575ACFCF" w14:textId="506B2A46"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ואת־החלב ואת־הכליות ואת־היתרת מן־הכבד מן־החטאת</w:t>
      </w:r>
      <w:r w:rsidRPr="008B1D78">
        <w:rPr>
          <w:rFonts w:eastAsia="Times New Roman" w:cs="Times New Roman"/>
          <w:rtl/>
          <w:lang w:eastAsia="de-DE"/>
        </w:rPr>
        <w:t xml:space="preserve"> </w:t>
      </w:r>
      <w:r w:rsidRPr="008B1D78">
        <w:rPr>
          <w:rFonts w:eastAsia="Times New Roman" w:cs="Times New Roman"/>
          <w:lang w:eastAsia="de-DE"/>
        </w:rPr>
        <w:t xml:space="preserve">listet die zu verbrennenden </w:t>
      </w:r>
      <w:r w:rsidRPr="008B1D78">
        <w:rPr>
          <w:rFonts w:eastAsia="Times New Roman" w:cs="Times New Roman"/>
          <w:b/>
          <w:bCs/>
          <w:rtl/>
          <w:lang w:eastAsia="de-DE"/>
        </w:rPr>
        <w:t>חטאת</w:t>
      </w:r>
      <w:r w:rsidRPr="008B1D78">
        <w:rPr>
          <w:rFonts w:eastAsia="Times New Roman" w:cs="Times New Roman"/>
          <w:lang w:eastAsia="de-DE"/>
        </w:rPr>
        <w:t xml:space="preserve">-Teile auf. </w:t>
      </w:r>
      <w:r w:rsidRPr="008B1D78">
        <w:rPr>
          <w:rFonts w:eastAsia="Times New Roman" w:cs="Times New Roman"/>
          <w:b/>
          <w:bCs/>
          <w:rtl/>
          <w:lang w:eastAsia="de-DE"/>
        </w:rPr>
        <w:t>החלב</w:t>
      </w:r>
      <w:r w:rsidRPr="008B1D78">
        <w:rPr>
          <w:rFonts w:eastAsia="Times New Roman" w:cs="Times New Roman"/>
          <w:rtl/>
          <w:lang w:eastAsia="de-DE"/>
        </w:rPr>
        <w:t xml:space="preserve"> </w:t>
      </w:r>
      <w:r w:rsidRPr="008B1D78">
        <w:rPr>
          <w:rFonts w:eastAsia="Times New Roman" w:cs="Times New Roman"/>
          <w:lang w:eastAsia="de-DE"/>
        </w:rPr>
        <w:t xml:space="preserve">(das Fett), </w:t>
      </w:r>
      <w:r w:rsidRPr="008B1D78">
        <w:rPr>
          <w:rFonts w:eastAsia="Times New Roman" w:cs="Times New Roman"/>
          <w:b/>
          <w:bCs/>
          <w:rtl/>
          <w:lang w:eastAsia="de-DE"/>
        </w:rPr>
        <w:t>הכליות</w:t>
      </w:r>
      <w:r w:rsidRPr="008B1D78">
        <w:rPr>
          <w:rFonts w:eastAsia="Times New Roman" w:cs="Times New Roman"/>
          <w:rtl/>
          <w:lang w:eastAsia="de-DE"/>
        </w:rPr>
        <w:t xml:space="preserve"> </w:t>
      </w:r>
      <w:r w:rsidRPr="008B1D78">
        <w:rPr>
          <w:rFonts w:eastAsia="Times New Roman" w:cs="Times New Roman"/>
          <w:lang w:eastAsia="de-DE"/>
        </w:rPr>
        <w:t xml:space="preserve">(die Nieren) im Plural, </w:t>
      </w:r>
      <w:r w:rsidRPr="008B1D78">
        <w:rPr>
          <w:rFonts w:eastAsia="Times New Roman" w:cs="Times New Roman"/>
          <w:b/>
          <w:bCs/>
          <w:rtl/>
          <w:lang w:eastAsia="de-DE"/>
        </w:rPr>
        <w:t>היתרת מן־הכבד</w:t>
      </w:r>
      <w:r w:rsidRPr="008B1D78">
        <w:rPr>
          <w:rFonts w:eastAsia="Times New Roman" w:cs="Times New Roman"/>
          <w:rtl/>
          <w:lang w:eastAsia="de-DE"/>
        </w:rPr>
        <w:t xml:space="preserve"> </w:t>
      </w:r>
      <w:r w:rsidRPr="008B1D78">
        <w:rPr>
          <w:rFonts w:eastAsia="Times New Roman" w:cs="Times New Roman"/>
          <w:lang w:eastAsia="de-DE"/>
        </w:rPr>
        <w:t xml:space="preserve">(das Netz von der Leber) - </w:t>
      </w:r>
      <w:r w:rsidRPr="008B1D78">
        <w:rPr>
          <w:rFonts w:eastAsia="Times New Roman" w:cs="Times New Roman"/>
          <w:b/>
          <w:bCs/>
          <w:rtl/>
          <w:lang w:eastAsia="de-DE"/>
        </w:rPr>
        <w:t>יתרת</w:t>
      </w:r>
      <w:r w:rsidRPr="008B1D78">
        <w:rPr>
          <w:rFonts w:eastAsia="Times New Roman" w:cs="Times New Roman"/>
          <w:rtl/>
          <w:lang w:eastAsia="de-DE"/>
        </w:rPr>
        <w:t xml:space="preserve"> </w:t>
      </w:r>
      <w:r w:rsidRPr="008B1D78">
        <w:rPr>
          <w:rFonts w:eastAsia="Times New Roman" w:cs="Times New Roman"/>
          <w:lang w:eastAsia="de-DE"/>
        </w:rPr>
        <w:t xml:space="preserve">als </w:t>
      </w:r>
      <w:r w:rsidR="005407E2">
        <w:rPr>
          <w:rFonts w:eastAsia="Times New Roman" w:cs="Times New Roman"/>
          <w:lang w:eastAsia="de-DE"/>
        </w:rPr>
        <w:t>Constructus</w:t>
      </w:r>
      <w:r w:rsidRPr="008B1D78">
        <w:rPr>
          <w:rFonts w:eastAsia="Times New Roman" w:cs="Times New Roman"/>
          <w:lang w:eastAsia="de-DE"/>
        </w:rPr>
        <w:t xml:space="preserve">-Form von </w:t>
      </w:r>
      <w:r w:rsidRPr="008B1D78">
        <w:rPr>
          <w:rFonts w:eastAsia="Times New Roman" w:cs="Times New Roman"/>
          <w:b/>
          <w:bCs/>
          <w:rtl/>
          <w:lang w:eastAsia="de-DE"/>
        </w:rPr>
        <w:t>יותרת</w:t>
      </w:r>
      <w:r w:rsidRPr="008B1D78">
        <w:rPr>
          <w:rFonts w:eastAsia="Times New Roman" w:cs="Times New Roman"/>
          <w:lang w:eastAsia="de-DE"/>
        </w:rPr>
        <w:t xml:space="preserve">. </w:t>
      </w:r>
      <w:r w:rsidRPr="008B1D78">
        <w:rPr>
          <w:rFonts w:eastAsia="Times New Roman" w:cs="Times New Roman"/>
          <w:b/>
          <w:bCs/>
          <w:rtl/>
          <w:lang w:eastAsia="de-DE"/>
        </w:rPr>
        <w:t>מן־החטאת</w:t>
      </w:r>
      <w:r w:rsidRPr="008B1D78">
        <w:rPr>
          <w:rFonts w:eastAsia="Times New Roman" w:cs="Times New Roman"/>
          <w:rtl/>
          <w:lang w:eastAsia="de-DE"/>
        </w:rPr>
        <w:t xml:space="preserve"> </w:t>
      </w:r>
      <w:r w:rsidRPr="008B1D78">
        <w:rPr>
          <w:rFonts w:eastAsia="Times New Roman" w:cs="Times New Roman"/>
          <w:lang w:eastAsia="de-DE"/>
        </w:rPr>
        <w:t xml:space="preserve">(vom Sündopfer) zeigt die Quelle. Diese Aufzählung entspricht exakt der </w:t>
      </w:r>
      <w:r w:rsidRPr="008B1D78">
        <w:rPr>
          <w:rFonts w:eastAsia="Times New Roman" w:cs="Times New Roman"/>
          <w:b/>
          <w:bCs/>
          <w:rtl/>
          <w:lang w:eastAsia="de-DE"/>
        </w:rPr>
        <w:t>חטאת</w:t>
      </w:r>
      <w:r w:rsidRPr="008B1D78">
        <w:rPr>
          <w:rFonts w:eastAsia="Times New Roman" w:cs="Times New Roman"/>
          <w:lang w:eastAsia="de-DE"/>
        </w:rPr>
        <w:t>-Formel aus 4,8-9.</w:t>
      </w:r>
    </w:p>
    <w:p w14:paraId="51E32F7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הקטיר המזבחה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קטר</w:t>
      </w:r>
      <w:r w:rsidRPr="008B1D78">
        <w:rPr>
          <w:rFonts w:eastAsia="Times New Roman" w:cs="Times New Roman"/>
          <w:rtl/>
          <w:lang w:eastAsia="de-DE"/>
        </w:rPr>
        <w:t xml:space="preserve"> </w:t>
      </w:r>
      <w:r w:rsidRPr="008B1D78">
        <w:rPr>
          <w:rFonts w:eastAsia="Times New Roman" w:cs="Times New Roman"/>
          <w:lang w:eastAsia="de-DE"/>
        </w:rPr>
        <w:t xml:space="preserve">(räuchern) im Hifil-Perfekt 3. Person maskulin Singular. </w:t>
      </w:r>
      <w:r w:rsidRPr="008B1D78">
        <w:rPr>
          <w:rFonts w:eastAsia="Times New Roman" w:cs="Times New Roman"/>
          <w:b/>
          <w:bCs/>
          <w:rtl/>
          <w:lang w:eastAsia="de-DE"/>
        </w:rPr>
        <w:t>המזבחה</w:t>
      </w:r>
      <w:r w:rsidRPr="008B1D78">
        <w:rPr>
          <w:rFonts w:eastAsia="Times New Roman" w:cs="Times New Roman"/>
          <w:rtl/>
          <w:lang w:eastAsia="de-DE"/>
        </w:rPr>
        <w:t xml:space="preserve"> </w:t>
      </w:r>
      <w:r w:rsidRPr="008B1D78">
        <w:rPr>
          <w:rFonts w:eastAsia="Times New Roman" w:cs="Times New Roman"/>
          <w:lang w:eastAsia="de-DE"/>
        </w:rPr>
        <w:t xml:space="preserve">mit direktionaler </w:t>
      </w:r>
      <w:r w:rsidRPr="008B1D78">
        <w:rPr>
          <w:rFonts w:eastAsia="Times New Roman" w:cs="Times New Roman"/>
          <w:b/>
          <w:bCs/>
          <w:rtl/>
          <w:lang w:eastAsia="de-DE"/>
        </w:rPr>
        <w:t>ה</w:t>
      </w:r>
      <w:r w:rsidRPr="008B1D78">
        <w:rPr>
          <w:rFonts w:eastAsia="Times New Roman" w:cs="Times New Roman"/>
          <w:rtl/>
          <w:lang w:eastAsia="de-DE"/>
        </w:rPr>
        <w:t xml:space="preserve"> </w:t>
      </w:r>
      <w:r w:rsidRPr="008B1D78">
        <w:rPr>
          <w:rFonts w:eastAsia="Times New Roman" w:cs="Times New Roman"/>
          <w:lang w:eastAsia="de-DE"/>
        </w:rPr>
        <w:t>(zum Altar hin). Das Hifil drückt die kausative Handlung "in Rauch aufgehen lassen" aus.</w:t>
      </w:r>
    </w:p>
    <w:p w14:paraId="13A1887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כאשר צוה יהוה את־משה</w:t>
      </w:r>
      <w:r w:rsidRPr="008B1D78">
        <w:rPr>
          <w:rFonts w:eastAsia="Times New Roman" w:cs="Times New Roman"/>
          <w:rtl/>
          <w:lang w:eastAsia="de-DE"/>
        </w:rPr>
        <w:t xml:space="preserve"> </w:t>
      </w:r>
      <w:r w:rsidRPr="008B1D78">
        <w:rPr>
          <w:rFonts w:eastAsia="Times New Roman" w:cs="Times New Roman"/>
          <w:lang w:eastAsia="de-DE"/>
        </w:rPr>
        <w:t xml:space="preserve">ist die Bestätigungsformel, die auf die ursprünglichen </w:t>
      </w:r>
      <w:r w:rsidRPr="008B1D78">
        <w:rPr>
          <w:rFonts w:eastAsia="Times New Roman" w:cs="Times New Roman"/>
          <w:b/>
          <w:bCs/>
          <w:rtl/>
          <w:lang w:eastAsia="de-DE"/>
        </w:rPr>
        <w:t>חטאת</w:t>
      </w:r>
      <w:r w:rsidRPr="008B1D78">
        <w:rPr>
          <w:rFonts w:eastAsia="Times New Roman" w:cs="Times New Roman"/>
          <w:lang w:eastAsia="de-DE"/>
        </w:rPr>
        <w:t xml:space="preserve">-Anweisungen in Kapitel 4 und die Priesterweihe in Kapitel 8 verweist. </w:t>
      </w:r>
      <w:r w:rsidRPr="008B1D78">
        <w:rPr>
          <w:rFonts w:eastAsia="Times New Roman" w:cs="Times New Roman"/>
          <w:b/>
          <w:bCs/>
          <w:rtl/>
          <w:lang w:eastAsia="de-DE"/>
        </w:rPr>
        <w:t>צוה</w:t>
      </w:r>
      <w:r w:rsidRPr="008B1D78">
        <w:rPr>
          <w:rFonts w:eastAsia="Times New Roman" w:cs="Times New Roman"/>
          <w:rtl/>
          <w:lang w:eastAsia="de-DE"/>
        </w:rPr>
        <w:t xml:space="preserve"> </w:t>
      </w:r>
      <w:r w:rsidRPr="008B1D78">
        <w:rPr>
          <w:rFonts w:eastAsia="Times New Roman" w:cs="Times New Roman"/>
          <w:lang w:eastAsia="de-DE"/>
        </w:rPr>
        <w:t>im Piel-Perfekt (er befahl) etabliert die göttliche Autorität.</w:t>
      </w:r>
    </w:p>
    <w:p w14:paraId="36FDA7C2"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Fettteile-Aufzählung </w:t>
      </w:r>
      <w:r w:rsidRPr="008B1D78">
        <w:rPr>
          <w:rFonts w:eastAsia="Times New Roman" w:cs="Times New Roman"/>
          <w:b/>
          <w:bCs/>
          <w:rtl/>
          <w:lang w:eastAsia="de-DE"/>
        </w:rPr>
        <w:t>חלב...כליות...יתרת הכבד</w:t>
      </w:r>
      <w:r w:rsidRPr="008B1D78">
        <w:rPr>
          <w:rFonts w:eastAsia="Times New Roman" w:cs="Times New Roman"/>
          <w:rtl/>
          <w:lang w:eastAsia="de-DE"/>
        </w:rPr>
        <w:t xml:space="preserve"> </w:t>
      </w:r>
      <w:r w:rsidRPr="008B1D78">
        <w:rPr>
          <w:rFonts w:eastAsia="Times New Roman" w:cs="Times New Roman"/>
          <w:lang w:eastAsia="de-DE"/>
        </w:rPr>
        <w:t xml:space="preserve">ist die standardisierte Formel für alle </w:t>
      </w:r>
      <w:r w:rsidRPr="008B1D78">
        <w:rPr>
          <w:rFonts w:eastAsia="Times New Roman" w:cs="Times New Roman"/>
          <w:b/>
          <w:bCs/>
          <w:rtl/>
          <w:lang w:eastAsia="de-DE"/>
        </w:rPr>
        <w:t>חטאת</w:t>
      </w:r>
      <w:r w:rsidRPr="008B1D78">
        <w:rPr>
          <w:rFonts w:eastAsia="Times New Roman" w:cs="Times New Roman"/>
          <w:lang w:eastAsia="de-DE"/>
        </w:rPr>
        <w:t xml:space="preserve">-Verbrennungen. </w:t>
      </w:r>
      <w:r w:rsidRPr="008B1D78">
        <w:rPr>
          <w:rFonts w:eastAsia="Times New Roman" w:cs="Times New Roman"/>
          <w:b/>
          <w:bCs/>
          <w:rtl/>
          <w:lang w:eastAsia="de-DE"/>
        </w:rPr>
        <w:t>מן־החטאת</w:t>
      </w:r>
      <w:r w:rsidRPr="008B1D78">
        <w:rPr>
          <w:rFonts w:eastAsia="Times New Roman" w:cs="Times New Roman"/>
          <w:rtl/>
          <w:lang w:eastAsia="de-DE"/>
        </w:rPr>
        <w:t xml:space="preserve"> </w:t>
      </w:r>
      <w:r w:rsidRPr="008B1D78">
        <w:rPr>
          <w:rFonts w:eastAsia="Times New Roman" w:cs="Times New Roman"/>
          <w:lang w:eastAsia="de-DE"/>
        </w:rPr>
        <w:t>unterscheidet diese Teile von anderen Opferkategorien.</w:t>
      </w:r>
    </w:p>
    <w:p w14:paraId="3C19857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הקטיר המזבחה</w:t>
      </w:r>
      <w:r w:rsidRPr="008B1D78">
        <w:rPr>
          <w:rFonts w:eastAsia="Times New Roman" w:cs="Times New Roman"/>
          <w:rtl/>
          <w:lang w:eastAsia="de-DE"/>
        </w:rPr>
        <w:t xml:space="preserve"> </w:t>
      </w:r>
      <w:r w:rsidRPr="008B1D78">
        <w:rPr>
          <w:rFonts w:eastAsia="Times New Roman" w:cs="Times New Roman"/>
          <w:lang w:eastAsia="de-DE"/>
        </w:rPr>
        <w:t xml:space="preserve">zeigt, dass Aaron die Verbrennung ordnungsgemäß durchführt. Die Bestätigungsformel unterstreicht, dass Aarons erste eigenständige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den etablierten Vorschriften entspricht.</w:t>
      </w:r>
    </w:p>
    <w:p w14:paraId="3A22AEE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החלב</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στέ</w:t>
      </w:r>
      <w:proofErr w:type="spellEnd"/>
      <w:r w:rsidRPr="008B1D78">
        <w:rPr>
          <w:rFonts w:eastAsia="Times New Roman" w:cs="Times New Roman"/>
          <w:lang w:eastAsia="de-DE"/>
        </w:rPr>
        <w:t xml:space="preserve">αρ (Fett), </w:t>
      </w:r>
      <w:r w:rsidRPr="008B1D78">
        <w:rPr>
          <w:rFonts w:eastAsia="Times New Roman" w:cs="Times New Roman"/>
          <w:b/>
          <w:bCs/>
          <w:rtl/>
          <w:lang w:eastAsia="de-DE"/>
        </w:rPr>
        <w:t>הכליות</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νεφρούς</w:t>
      </w:r>
      <w:proofErr w:type="spellEnd"/>
      <w:r w:rsidRPr="008B1D78">
        <w:rPr>
          <w:rFonts w:eastAsia="Times New Roman" w:cs="Times New Roman"/>
          <w:lang w:eastAsia="de-DE"/>
        </w:rPr>
        <w:t xml:space="preserve"> (Nieren), </w:t>
      </w:r>
      <w:r w:rsidRPr="008B1D78">
        <w:rPr>
          <w:rFonts w:eastAsia="Times New Roman" w:cs="Times New Roman"/>
          <w:b/>
          <w:bCs/>
          <w:rtl/>
          <w:lang w:eastAsia="de-DE"/>
        </w:rPr>
        <w:t>היתרת מן־הכבד</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λο</w:t>
      </w:r>
      <w:proofErr w:type="spellEnd"/>
      <w:r w:rsidRPr="008B1D78">
        <w:rPr>
          <w:rFonts w:eastAsia="Times New Roman" w:cs="Times New Roman"/>
          <w:lang w:eastAsia="de-DE"/>
        </w:rPr>
        <w:t xml:space="preserve">βὸν </w:t>
      </w:r>
      <w:proofErr w:type="spellStart"/>
      <w:r w:rsidRPr="008B1D78">
        <w:rPr>
          <w:rFonts w:eastAsia="Times New Roman" w:cs="Times New Roman"/>
          <w:lang w:eastAsia="de-DE"/>
        </w:rPr>
        <w:t>τοῦ</w:t>
      </w:r>
      <w:proofErr w:type="spellEnd"/>
      <w:r w:rsidRPr="008B1D78">
        <w:rPr>
          <w:rFonts w:eastAsia="Times New Roman" w:cs="Times New Roman"/>
          <w:lang w:eastAsia="de-DE"/>
        </w:rPr>
        <w:t xml:space="preserve"> ἥπα</w:t>
      </w:r>
      <w:proofErr w:type="spellStart"/>
      <w:r w:rsidRPr="008B1D78">
        <w:rPr>
          <w:rFonts w:eastAsia="Times New Roman" w:cs="Times New Roman"/>
          <w:lang w:eastAsia="de-DE"/>
        </w:rPr>
        <w:t>τος</w:t>
      </w:r>
      <w:proofErr w:type="spellEnd"/>
      <w:r w:rsidRPr="008B1D78">
        <w:rPr>
          <w:rFonts w:eastAsia="Times New Roman" w:cs="Times New Roman"/>
          <w:lang w:eastAsia="de-DE"/>
        </w:rPr>
        <w:t xml:space="preserve"> (Lappen der Leber) und </w:t>
      </w:r>
      <w:r w:rsidRPr="008B1D78">
        <w:rPr>
          <w:rFonts w:eastAsia="Times New Roman" w:cs="Times New Roman"/>
          <w:b/>
          <w:bCs/>
          <w:rtl/>
          <w:lang w:eastAsia="de-DE"/>
        </w:rPr>
        <w:t>הקטיר</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ἀνήνεγκεν</w:t>
      </w:r>
      <w:proofErr w:type="spellEnd"/>
      <w:r w:rsidRPr="008B1D78">
        <w:rPr>
          <w:rFonts w:eastAsia="Times New Roman" w:cs="Times New Roman"/>
          <w:lang w:eastAsia="de-DE"/>
        </w:rPr>
        <w:t xml:space="preserve"> (er brachte hinauf).</w:t>
      </w:r>
    </w:p>
    <w:p w14:paraId="5F9BB67E"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einen Hauptsatz mit drei koordinierten direkten Objekten plus Bestätigungsformel: drei Objekte + Quellenangabe + Verb + Ortsangabe + Bestätigungsformel. Die Struktur zeigt die ordnungsgemäße </w:t>
      </w:r>
      <w:r w:rsidRPr="008B1D78">
        <w:rPr>
          <w:rFonts w:eastAsia="Times New Roman" w:cs="Times New Roman"/>
          <w:b/>
          <w:bCs/>
          <w:rtl/>
          <w:lang w:eastAsia="de-DE"/>
        </w:rPr>
        <w:t>חטאת</w:t>
      </w:r>
      <w:r w:rsidRPr="008B1D78">
        <w:rPr>
          <w:rFonts w:eastAsia="Times New Roman" w:cs="Times New Roman"/>
          <w:lang w:eastAsia="de-DE"/>
        </w:rPr>
        <w:t>-Fettverbrennung.</w:t>
      </w:r>
    </w:p>
    <w:p w14:paraId="73B4E7E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dokumentiert die korrekte Verbrennung der </w:t>
      </w:r>
      <w:r w:rsidRPr="008B1D78">
        <w:rPr>
          <w:rFonts w:eastAsia="Times New Roman" w:cs="Times New Roman"/>
          <w:b/>
          <w:bCs/>
          <w:rtl/>
          <w:lang w:eastAsia="de-DE"/>
        </w:rPr>
        <w:t>חטאת</w:t>
      </w:r>
      <w:r w:rsidRPr="008B1D78">
        <w:rPr>
          <w:rFonts w:eastAsia="Times New Roman" w:cs="Times New Roman"/>
          <w:lang w:eastAsia="de-DE"/>
        </w:rPr>
        <w:t>-Fettteile entsprechend den göttlichen Anweisungen.</w:t>
      </w:r>
    </w:p>
    <w:p w14:paraId="7E323501"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9,11</w:t>
      </w:r>
    </w:p>
    <w:p w14:paraId="67285355"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וְאֶת־הַבָּשָׂ֖ר וְאֶת־הָע֑וֹר שָׂרַ֣ף בָּאֵ֔שׁ מִח֖וּץ לַֽמַּחֲנֶֽה׃</w:t>
      </w:r>
    </w:p>
    <w:p w14:paraId="1111DA5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das Fleisch und die Haut verbrannte er mit Feuer außerhalb des Lagers.</w:t>
      </w:r>
    </w:p>
    <w:p w14:paraId="74F21C1C"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20D49D3F">
          <v:rect id="_x0000_i1243" style="width:0;height:1.5pt" o:hralign="center" o:hrstd="t" o:hr="t" fillcolor="#a0a0a0" stroked="f"/>
        </w:pict>
      </w:r>
    </w:p>
    <w:p w14:paraId="072D5C94"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ואת־הבשר ואת־העור</w:t>
      </w:r>
      <w:r w:rsidRPr="008B1D78">
        <w:rPr>
          <w:rFonts w:eastAsia="Times New Roman" w:cs="Times New Roman"/>
          <w:rtl/>
          <w:lang w:eastAsia="de-DE"/>
        </w:rPr>
        <w:t xml:space="preserve"> </w:t>
      </w:r>
      <w:r w:rsidRPr="008B1D78">
        <w:rPr>
          <w:rFonts w:eastAsia="Times New Roman" w:cs="Times New Roman"/>
          <w:lang w:eastAsia="de-DE"/>
        </w:rPr>
        <w:t xml:space="preserve">zeigt zwei koordinierte direkte Objekte: </w:t>
      </w:r>
      <w:r w:rsidRPr="008B1D78">
        <w:rPr>
          <w:rFonts w:eastAsia="Times New Roman" w:cs="Times New Roman"/>
          <w:b/>
          <w:bCs/>
          <w:rtl/>
          <w:lang w:eastAsia="de-DE"/>
        </w:rPr>
        <w:t>הבשר</w:t>
      </w:r>
      <w:r w:rsidRPr="008B1D78">
        <w:rPr>
          <w:rFonts w:eastAsia="Times New Roman" w:cs="Times New Roman"/>
          <w:rtl/>
          <w:lang w:eastAsia="de-DE"/>
        </w:rPr>
        <w:t xml:space="preserve"> </w:t>
      </w:r>
      <w:r w:rsidRPr="008B1D78">
        <w:rPr>
          <w:rFonts w:eastAsia="Times New Roman" w:cs="Times New Roman"/>
          <w:lang w:eastAsia="de-DE"/>
        </w:rPr>
        <w:t xml:space="preserve">(das Fleisch) und </w:t>
      </w:r>
      <w:r w:rsidRPr="008B1D78">
        <w:rPr>
          <w:rFonts w:eastAsia="Times New Roman" w:cs="Times New Roman"/>
          <w:b/>
          <w:bCs/>
          <w:rtl/>
          <w:lang w:eastAsia="de-DE"/>
        </w:rPr>
        <w:t>העור</w:t>
      </w:r>
      <w:r w:rsidRPr="008B1D78">
        <w:rPr>
          <w:rFonts w:eastAsia="Times New Roman" w:cs="Times New Roman"/>
          <w:rtl/>
          <w:lang w:eastAsia="de-DE"/>
        </w:rPr>
        <w:t xml:space="preserve"> </w:t>
      </w:r>
      <w:r w:rsidRPr="008B1D78">
        <w:rPr>
          <w:rFonts w:eastAsia="Times New Roman" w:cs="Times New Roman"/>
          <w:lang w:eastAsia="de-DE"/>
        </w:rPr>
        <w:t xml:space="preserve">(die Haut). Diese repräsentieren alle Teile des </w:t>
      </w:r>
      <w:r w:rsidRPr="008B1D78">
        <w:rPr>
          <w:rFonts w:eastAsia="Times New Roman" w:cs="Times New Roman"/>
          <w:b/>
          <w:bCs/>
          <w:rtl/>
          <w:lang w:eastAsia="de-DE"/>
        </w:rPr>
        <w:t>חטאת</w:t>
      </w:r>
      <w:r w:rsidRPr="008B1D78">
        <w:rPr>
          <w:rFonts w:eastAsia="Times New Roman" w:cs="Times New Roman"/>
          <w:lang w:eastAsia="de-DE"/>
        </w:rPr>
        <w:t>-Kalbes außer den bereits verbrannten Fettteilen aus V. 10.</w:t>
      </w:r>
    </w:p>
    <w:p w14:paraId="72455DB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lastRenderedPageBreak/>
        <w:t>שרף באש מחוץ למחנה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שרף</w:t>
      </w:r>
      <w:r w:rsidRPr="008B1D78">
        <w:rPr>
          <w:rFonts w:eastAsia="Times New Roman" w:cs="Times New Roman"/>
          <w:rtl/>
          <w:lang w:eastAsia="de-DE"/>
        </w:rPr>
        <w:t xml:space="preserve"> </w:t>
      </w:r>
      <w:r w:rsidRPr="008B1D78">
        <w:rPr>
          <w:rFonts w:eastAsia="Times New Roman" w:cs="Times New Roman"/>
          <w:lang w:eastAsia="de-DE"/>
        </w:rPr>
        <w:t xml:space="preserve">(verbrennen) im Qal-Perfekt 3. Person maskulin Singular. </w:t>
      </w:r>
      <w:r w:rsidRPr="008B1D78">
        <w:rPr>
          <w:rFonts w:eastAsia="Times New Roman" w:cs="Times New Roman"/>
          <w:b/>
          <w:bCs/>
          <w:rtl/>
          <w:lang w:eastAsia="de-DE"/>
        </w:rPr>
        <w:t>באש</w:t>
      </w:r>
      <w:r w:rsidRPr="008B1D78">
        <w:rPr>
          <w:rFonts w:eastAsia="Times New Roman" w:cs="Times New Roman"/>
          <w:rtl/>
          <w:lang w:eastAsia="de-DE"/>
        </w:rPr>
        <w:t xml:space="preserve"> </w:t>
      </w:r>
      <w:r w:rsidRPr="008B1D78">
        <w:rPr>
          <w:rFonts w:eastAsia="Times New Roman" w:cs="Times New Roman"/>
          <w:lang w:eastAsia="de-DE"/>
        </w:rPr>
        <w:t xml:space="preserve">(mit Feuer) als Instrumentalangabe, </w:t>
      </w:r>
      <w:r w:rsidRPr="008B1D78">
        <w:rPr>
          <w:rFonts w:eastAsia="Times New Roman" w:cs="Times New Roman"/>
          <w:b/>
          <w:bCs/>
          <w:rtl/>
          <w:lang w:eastAsia="de-DE"/>
        </w:rPr>
        <w:t>מחוץ למחנה</w:t>
      </w:r>
      <w:r w:rsidRPr="008B1D78">
        <w:rPr>
          <w:rFonts w:eastAsia="Times New Roman" w:cs="Times New Roman"/>
          <w:rtl/>
          <w:lang w:eastAsia="de-DE"/>
        </w:rPr>
        <w:t xml:space="preserve"> </w:t>
      </w:r>
      <w:r w:rsidRPr="008B1D78">
        <w:rPr>
          <w:rFonts w:eastAsia="Times New Roman" w:cs="Times New Roman"/>
          <w:lang w:eastAsia="de-DE"/>
        </w:rPr>
        <w:t xml:space="preserve">(außerhalb des Lagers) als Ortsangabe. </w:t>
      </w:r>
      <w:r w:rsidRPr="008B1D78">
        <w:rPr>
          <w:rFonts w:eastAsia="Times New Roman" w:cs="Times New Roman"/>
          <w:b/>
          <w:bCs/>
          <w:rtl/>
          <w:lang w:eastAsia="de-DE"/>
        </w:rPr>
        <w:t>מחוץ</w:t>
      </w:r>
      <w:r w:rsidRPr="008B1D78">
        <w:rPr>
          <w:rFonts w:eastAsia="Times New Roman" w:cs="Times New Roman"/>
          <w:rtl/>
          <w:lang w:eastAsia="de-DE"/>
        </w:rPr>
        <w:t xml:space="preserve"> </w:t>
      </w:r>
      <w:r w:rsidRPr="008B1D78">
        <w:rPr>
          <w:rFonts w:eastAsia="Times New Roman" w:cs="Times New Roman"/>
          <w:lang w:eastAsia="de-DE"/>
        </w:rPr>
        <w:t xml:space="preserve">(außerhalb) mit </w:t>
      </w:r>
      <w:r w:rsidRPr="008B1D78">
        <w:rPr>
          <w:rFonts w:eastAsia="Times New Roman" w:cs="Times New Roman"/>
          <w:b/>
          <w:bCs/>
          <w:rtl/>
          <w:lang w:eastAsia="de-DE"/>
        </w:rPr>
        <w:t>ל</w:t>
      </w:r>
      <w:r w:rsidRPr="008B1D78">
        <w:rPr>
          <w:rFonts w:eastAsia="Times New Roman" w:cs="Times New Roman"/>
          <w:rtl/>
          <w:lang w:eastAsia="de-DE"/>
        </w:rPr>
        <w:t xml:space="preserve"> </w:t>
      </w:r>
      <w:r w:rsidRPr="008B1D78">
        <w:rPr>
          <w:rFonts w:eastAsia="Times New Roman" w:cs="Times New Roman"/>
          <w:lang w:eastAsia="de-DE"/>
        </w:rPr>
        <w:t>bildet eine zusammengesetzte Präposition.</w:t>
      </w:r>
    </w:p>
    <w:p w14:paraId="6A2978BE"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 Behandlung entspricht exakt den Bestimmungen für priesterliche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 xml:space="preserve">aus 4,11-12 und der Priesterweihe aus 8,17. </w:t>
      </w:r>
      <w:r w:rsidRPr="008B1D78">
        <w:rPr>
          <w:rFonts w:eastAsia="Times New Roman" w:cs="Times New Roman"/>
          <w:b/>
          <w:bCs/>
          <w:rtl/>
          <w:lang w:eastAsia="de-DE"/>
        </w:rPr>
        <w:t>מחוץ למחנה</w:t>
      </w:r>
      <w:r w:rsidRPr="008B1D78">
        <w:rPr>
          <w:rFonts w:eastAsia="Times New Roman" w:cs="Times New Roman"/>
          <w:rtl/>
          <w:lang w:eastAsia="de-DE"/>
        </w:rPr>
        <w:t xml:space="preserve"> </w:t>
      </w:r>
      <w:r w:rsidRPr="008B1D78">
        <w:rPr>
          <w:rFonts w:eastAsia="Times New Roman" w:cs="Times New Roman"/>
          <w:lang w:eastAsia="de-DE"/>
        </w:rPr>
        <w:t xml:space="preserve">unterscheidet priesterliche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(Verbrennung außerhalb) von Laien-</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(Verzehr durch Priester).</w:t>
      </w:r>
    </w:p>
    <w:p w14:paraId="5409F8A6"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שרף באש</w:t>
      </w:r>
      <w:r w:rsidRPr="008B1D78">
        <w:rPr>
          <w:rFonts w:eastAsia="Times New Roman" w:cs="Times New Roman"/>
          <w:rtl/>
          <w:lang w:eastAsia="de-DE"/>
        </w:rPr>
        <w:t xml:space="preserve"> </w:t>
      </w:r>
      <w:r w:rsidRPr="008B1D78">
        <w:rPr>
          <w:rFonts w:eastAsia="Times New Roman" w:cs="Times New Roman"/>
          <w:lang w:eastAsia="de-DE"/>
        </w:rPr>
        <w:t xml:space="preserve">betont die vollständige Vernichtung durch Feuer. </w:t>
      </w:r>
      <w:r w:rsidRPr="008B1D78">
        <w:rPr>
          <w:rFonts w:eastAsia="Times New Roman" w:cs="Times New Roman"/>
          <w:b/>
          <w:bCs/>
          <w:rtl/>
          <w:lang w:eastAsia="de-DE"/>
        </w:rPr>
        <w:t>מחוץ למחנה</w:t>
      </w:r>
      <w:r w:rsidRPr="008B1D78">
        <w:rPr>
          <w:rFonts w:eastAsia="Times New Roman" w:cs="Times New Roman"/>
          <w:rtl/>
          <w:lang w:eastAsia="de-DE"/>
        </w:rPr>
        <w:t xml:space="preserve"> </w:t>
      </w:r>
      <w:r w:rsidRPr="008B1D78">
        <w:rPr>
          <w:rFonts w:eastAsia="Times New Roman" w:cs="Times New Roman"/>
          <w:lang w:eastAsia="de-DE"/>
        </w:rPr>
        <w:t>zeigt, dass diese Teile nicht im heiligen Bereich verbrannt werden, da sie die Sünden der Priester tragen.</w:t>
      </w:r>
    </w:p>
    <w:p w14:paraId="1D94DA2A"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Die knappe Formulierung zeigt, dass Aaron die Vorschriften selbstständig befolgt. Im Unterschied zu 8,17 wird hier keine Bestätigungsformel verwendet, was Aarons wachsende Autorität reflektiert.</w:t>
      </w:r>
    </w:p>
    <w:p w14:paraId="72823946"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הבשר</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κρέ</w:t>
      </w:r>
      <w:proofErr w:type="spellEnd"/>
      <w:r w:rsidRPr="008B1D78">
        <w:rPr>
          <w:rFonts w:eastAsia="Times New Roman" w:cs="Times New Roman"/>
          <w:lang w:eastAsia="de-DE"/>
        </w:rPr>
        <w:t xml:space="preserve">α (Fleisch), </w:t>
      </w:r>
      <w:r w:rsidRPr="008B1D78">
        <w:rPr>
          <w:rFonts w:eastAsia="Times New Roman" w:cs="Times New Roman"/>
          <w:b/>
          <w:bCs/>
          <w:rtl/>
          <w:lang w:eastAsia="de-DE"/>
        </w:rPr>
        <w:t>העור</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δέρμ</w:t>
      </w:r>
      <w:proofErr w:type="spellEnd"/>
      <w:r w:rsidRPr="008B1D78">
        <w:rPr>
          <w:rFonts w:eastAsia="Times New Roman" w:cs="Times New Roman"/>
          <w:lang w:eastAsia="de-DE"/>
        </w:rPr>
        <w:t xml:space="preserve">α (Haut), </w:t>
      </w:r>
      <w:r w:rsidRPr="008B1D78">
        <w:rPr>
          <w:rFonts w:eastAsia="Times New Roman" w:cs="Times New Roman"/>
          <w:b/>
          <w:bCs/>
          <w:rtl/>
          <w:lang w:eastAsia="de-DE"/>
        </w:rPr>
        <w:t>שרף</w:t>
      </w:r>
      <w:r w:rsidRPr="008B1D78">
        <w:rPr>
          <w:rFonts w:eastAsia="Times New Roman" w:cs="Times New Roman"/>
          <w:rtl/>
          <w:lang w:eastAsia="de-DE"/>
        </w:rPr>
        <w:t xml:space="preserve"> </w:t>
      </w:r>
      <w:r w:rsidRPr="008B1D78">
        <w:rPr>
          <w:rFonts w:eastAsia="Times New Roman" w:cs="Times New Roman"/>
          <w:lang w:eastAsia="de-DE"/>
        </w:rPr>
        <w:t>mit κα</w:t>
      </w:r>
      <w:proofErr w:type="spellStart"/>
      <w:r w:rsidRPr="008B1D78">
        <w:rPr>
          <w:rFonts w:eastAsia="Times New Roman" w:cs="Times New Roman"/>
          <w:lang w:eastAsia="de-DE"/>
        </w:rPr>
        <w:t>τέκ</w:t>
      </w:r>
      <w:proofErr w:type="spellEnd"/>
      <w:r w:rsidRPr="008B1D78">
        <w:rPr>
          <w:rFonts w:eastAsia="Times New Roman" w:cs="Times New Roman"/>
          <w:lang w:eastAsia="de-DE"/>
        </w:rPr>
        <w:t xml:space="preserve">αυσεν (er verbrannte) und </w:t>
      </w:r>
      <w:r w:rsidRPr="008B1D78">
        <w:rPr>
          <w:rFonts w:eastAsia="Times New Roman" w:cs="Times New Roman"/>
          <w:b/>
          <w:bCs/>
          <w:rtl/>
          <w:lang w:eastAsia="de-DE"/>
        </w:rPr>
        <w:t>מחוץ למחנה</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ἔξω</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τῆς</w:t>
      </w:r>
      <w:proofErr w:type="spellEnd"/>
      <w:r w:rsidRPr="008B1D78">
        <w:rPr>
          <w:rFonts w:eastAsia="Times New Roman" w:cs="Times New Roman"/>
          <w:lang w:eastAsia="de-DE"/>
        </w:rPr>
        <w:t xml:space="preserve"> πα</w:t>
      </w:r>
      <w:proofErr w:type="spellStart"/>
      <w:r w:rsidRPr="008B1D78">
        <w:rPr>
          <w:rFonts w:eastAsia="Times New Roman" w:cs="Times New Roman"/>
          <w:lang w:eastAsia="de-DE"/>
        </w:rPr>
        <w:t>ρεμ</w:t>
      </w:r>
      <w:proofErr w:type="spellEnd"/>
      <w:r w:rsidRPr="008B1D78">
        <w:rPr>
          <w:rFonts w:eastAsia="Times New Roman" w:cs="Times New Roman"/>
          <w:lang w:eastAsia="de-DE"/>
        </w:rPr>
        <w:t>βολῆς (außerhalb des Lagers).</w:t>
      </w:r>
    </w:p>
    <w:p w14:paraId="08DC1F3B"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einen einfachen Hauptsatz: zwei koordinierte direkte Objekte + Verb + Instrumentalangabe + Ortsangabe. Die knappe Struktur zeigt Aarons selbstständige Ausführung.</w:t>
      </w:r>
    </w:p>
    <w:p w14:paraId="7FA6C404"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komplettiert Aarons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mit der vorschriftsmäßigen Verbrennung von Fleisch und Haut außerhalb des Lagers.</w:t>
      </w:r>
    </w:p>
    <w:p w14:paraId="3BBAC663"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9,12</w:t>
      </w:r>
    </w:p>
    <w:p w14:paraId="0759A46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וַיִּשְׁחַ֖ט אֶת־הָעֹלָ֑ה וַ֠יַּמְצִאוּ בְּנֵ֨י אַהֲרֹ֤ן אֵלָיו֙ אֶת־הַדָּ֔ם וַיִּזְרְקֵ֥הוּ עַל־הַמִּזְבֵּ֖חַ סָבִֽיב׃</w:t>
      </w:r>
    </w:p>
    <w:p w14:paraId="1504AE2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er schlachtete das Aufsteigeopfer; und die Söhne Aarons reichten ihm das Blut, und er spritzte es an den Altar ringsum.</w:t>
      </w:r>
    </w:p>
    <w:p w14:paraId="6F98EFFE"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17A14305">
          <v:rect id="_x0000_i1244" style="width:0;height:1.5pt" o:hralign="center" o:hrstd="t" o:hr="t" fillcolor="#a0a0a0" stroked="f"/>
        </w:pict>
      </w:r>
    </w:p>
    <w:p w14:paraId="593BD277" w14:textId="591B1B12"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וישחט את־העלה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שחט</w:t>
      </w:r>
      <w:r w:rsidRPr="008B1D78">
        <w:rPr>
          <w:rFonts w:eastAsia="Times New Roman" w:cs="Times New Roman"/>
          <w:rtl/>
          <w:lang w:eastAsia="de-DE"/>
        </w:rPr>
        <w:t xml:space="preserve"> </w:t>
      </w:r>
      <w:r w:rsidRPr="008B1D78">
        <w:rPr>
          <w:rFonts w:eastAsia="Times New Roman" w:cs="Times New Roman"/>
          <w:lang w:eastAsia="de-DE"/>
        </w:rPr>
        <w:t xml:space="preserve">(schlachten) im Qal-Imperfekt 3. Person maskulin Singular mit Waw-Konsekutiv. </w:t>
      </w:r>
      <w:r w:rsidRPr="008B1D78">
        <w:rPr>
          <w:rFonts w:eastAsia="Times New Roman" w:cs="Times New Roman"/>
          <w:b/>
          <w:bCs/>
          <w:rtl/>
          <w:lang w:eastAsia="de-DE"/>
        </w:rPr>
        <w:t>את־העלה</w:t>
      </w:r>
      <w:r w:rsidRPr="008B1D78">
        <w:rPr>
          <w:rFonts w:eastAsia="Times New Roman" w:cs="Times New Roman"/>
          <w:rtl/>
          <w:lang w:eastAsia="de-DE"/>
        </w:rPr>
        <w:t xml:space="preserve"> </w:t>
      </w:r>
      <w:r w:rsidRPr="008B1D78">
        <w:rPr>
          <w:rFonts w:eastAsia="Times New Roman" w:cs="Times New Roman"/>
          <w:lang w:eastAsia="de-DE"/>
        </w:rPr>
        <w:t xml:space="preserve">(das </w:t>
      </w:r>
      <w:r w:rsidR="00CF10E7">
        <w:rPr>
          <w:rFonts w:eastAsia="Times New Roman" w:cs="Times New Roman"/>
          <w:lang w:eastAsia="de-DE"/>
        </w:rPr>
        <w:t>Aufsteigeopfer</w:t>
      </w:r>
      <w:r w:rsidRPr="008B1D78">
        <w:rPr>
          <w:rFonts w:eastAsia="Times New Roman" w:cs="Times New Roman"/>
          <w:lang w:eastAsia="de-DE"/>
        </w:rPr>
        <w:t xml:space="preserve">) referenziert den </w:t>
      </w:r>
      <w:r w:rsidRPr="008B1D78">
        <w:rPr>
          <w:rFonts w:eastAsia="Times New Roman" w:cs="Times New Roman"/>
          <w:b/>
          <w:bCs/>
          <w:rtl/>
          <w:lang w:eastAsia="de-DE"/>
        </w:rPr>
        <w:t>איל</w:t>
      </w:r>
      <w:r w:rsidRPr="008B1D78">
        <w:rPr>
          <w:rFonts w:eastAsia="Times New Roman" w:cs="Times New Roman"/>
          <w:rtl/>
          <w:lang w:eastAsia="de-DE"/>
        </w:rPr>
        <w:t xml:space="preserve"> </w:t>
      </w:r>
      <w:r w:rsidRPr="008B1D78">
        <w:rPr>
          <w:rFonts w:eastAsia="Times New Roman" w:cs="Times New Roman"/>
          <w:lang w:eastAsia="de-DE"/>
        </w:rPr>
        <w:t xml:space="preserve">aus V. 2. Aaron führt jetzt sein persönliches </w:t>
      </w:r>
      <w:r w:rsidRPr="008B1D78">
        <w:rPr>
          <w:rFonts w:eastAsia="Times New Roman" w:cs="Times New Roman"/>
          <w:b/>
          <w:bCs/>
          <w:rtl/>
          <w:lang w:eastAsia="de-DE"/>
        </w:rPr>
        <w:t>עלה</w:t>
      </w:r>
      <w:r w:rsidRPr="008B1D78">
        <w:rPr>
          <w:rFonts w:eastAsia="Times New Roman" w:cs="Times New Roman"/>
          <w:rtl/>
          <w:lang w:eastAsia="de-DE"/>
        </w:rPr>
        <w:t xml:space="preserve"> </w:t>
      </w:r>
      <w:r w:rsidRPr="008B1D78">
        <w:rPr>
          <w:rFonts w:eastAsia="Times New Roman" w:cs="Times New Roman"/>
          <w:lang w:eastAsia="de-DE"/>
        </w:rPr>
        <w:t xml:space="preserve">nach dem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durch.</w:t>
      </w:r>
    </w:p>
    <w:p w14:paraId="67060E5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וימציאו בני אהרן אליו את־הדם</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מצא</w:t>
      </w:r>
      <w:r w:rsidRPr="008B1D78">
        <w:rPr>
          <w:rFonts w:eastAsia="Times New Roman" w:cs="Times New Roman"/>
          <w:rtl/>
          <w:lang w:eastAsia="de-DE"/>
        </w:rPr>
        <w:t xml:space="preserve"> </w:t>
      </w:r>
      <w:r w:rsidRPr="008B1D78">
        <w:rPr>
          <w:rFonts w:eastAsia="Times New Roman" w:cs="Times New Roman"/>
          <w:lang w:eastAsia="de-DE"/>
        </w:rPr>
        <w:t xml:space="preserve">(darreichen/herbeibringen) im Hifil-Imperfekt 3. Person maskulin Plural mit Waw-Konsekutiv. </w:t>
      </w:r>
      <w:r w:rsidRPr="008B1D78">
        <w:rPr>
          <w:rFonts w:eastAsia="Times New Roman" w:cs="Times New Roman"/>
          <w:b/>
          <w:bCs/>
          <w:rtl/>
          <w:lang w:eastAsia="de-DE"/>
        </w:rPr>
        <w:t>בני אהרן</w:t>
      </w:r>
      <w:r w:rsidRPr="008B1D78">
        <w:rPr>
          <w:rFonts w:eastAsia="Times New Roman" w:cs="Times New Roman"/>
          <w:rtl/>
          <w:lang w:eastAsia="de-DE"/>
        </w:rPr>
        <w:t xml:space="preserve"> </w:t>
      </w:r>
      <w:r w:rsidRPr="008B1D78">
        <w:rPr>
          <w:rFonts w:eastAsia="Times New Roman" w:cs="Times New Roman"/>
          <w:lang w:eastAsia="de-DE"/>
        </w:rPr>
        <w:t xml:space="preserve">(Söhne Aarons) als Subjekt zeigen erneut ihre Assistenzfunktion. </w:t>
      </w:r>
      <w:r w:rsidRPr="008B1D78">
        <w:rPr>
          <w:rFonts w:eastAsia="Times New Roman" w:cs="Times New Roman"/>
          <w:b/>
          <w:bCs/>
          <w:rtl/>
          <w:lang w:eastAsia="de-DE"/>
        </w:rPr>
        <w:t>אליו</w:t>
      </w:r>
      <w:r w:rsidRPr="008B1D78">
        <w:rPr>
          <w:rFonts w:eastAsia="Times New Roman" w:cs="Times New Roman"/>
          <w:rtl/>
          <w:lang w:eastAsia="de-DE"/>
        </w:rPr>
        <w:t xml:space="preserve"> </w:t>
      </w:r>
      <w:r w:rsidRPr="008B1D78">
        <w:rPr>
          <w:rFonts w:eastAsia="Times New Roman" w:cs="Times New Roman"/>
          <w:lang w:eastAsia="de-DE"/>
        </w:rPr>
        <w:t xml:space="preserve">(zu ihm) referenziert Aaron, </w:t>
      </w:r>
      <w:r w:rsidRPr="008B1D78">
        <w:rPr>
          <w:rFonts w:eastAsia="Times New Roman" w:cs="Times New Roman"/>
          <w:b/>
          <w:bCs/>
          <w:rtl/>
          <w:lang w:eastAsia="de-DE"/>
        </w:rPr>
        <w:t>את־הדם</w:t>
      </w:r>
      <w:r w:rsidRPr="008B1D78">
        <w:rPr>
          <w:rFonts w:eastAsia="Times New Roman" w:cs="Times New Roman"/>
          <w:rtl/>
          <w:lang w:eastAsia="de-DE"/>
        </w:rPr>
        <w:t xml:space="preserve"> </w:t>
      </w:r>
      <w:r w:rsidRPr="008B1D78">
        <w:rPr>
          <w:rFonts w:eastAsia="Times New Roman" w:cs="Times New Roman"/>
          <w:lang w:eastAsia="de-DE"/>
        </w:rPr>
        <w:t>(das Blut) ist das direkte Objekt.</w:t>
      </w:r>
    </w:p>
    <w:p w14:paraId="6E61547B"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ויזרקהו על־המזבח סביב</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זרק</w:t>
      </w:r>
      <w:r w:rsidRPr="008B1D78">
        <w:rPr>
          <w:rFonts w:eastAsia="Times New Roman" w:cs="Times New Roman"/>
          <w:rtl/>
          <w:lang w:eastAsia="de-DE"/>
        </w:rPr>
        <w:t xml:space="preserve"> </w:t>
      </w:r>
      <w:r w:rsidRPr="008B1D78">
        <w:rPr>
          <w:rFonts w:eastAsia="Times New Roman" w:cs="Times New Roman"/>
          <w:lang w:eastAsia="de-DE"/>
        </w:rPr>
        <w:t xml:space="preserve">(spritzen) im Qal-Imperfekt 3. Person maskulin Singular mit Waw-Konsekutiv. </w:t>
      </w:r>
      <w:r w:rsidRPr="008B1D78">
        <w:rPr>
          <w:rFonts w:eastAsia="Times New Roman" w:cs="Times New Roman"/>
          <w:b/>
          <w:bCs/>
          <w:rtl/>
          <w:lang w:eastAsia="de-DE"/>
        </w:rPr>
        <w:t>ויזרקהו</w:t>
      </w:r>
      <w:r w:rsidRPr="008B1D78">
        <w:rPr>
          <w:rFonts w:eastAsia="Times New Roman" w:cs="Times New Roman"/>
          <w:rtl/>
          <w:lang w:eastAsia="de-DE"/>
        </w:rPr>
        <w:t xml:space="preserve"> </w:t>
      </w:r>
      <w:r w:rsidRPr="008B1D78">
        <w:rPr>
          <w:rFonts w:eastAsia="Times New Roman" w:cs="Times New Roman"/>
          <w:lang w:eastAsia="de-DE"/>
        </w:rPr>
        <w:t xml:space="preserve">mit Objektsuffix 3. Person maskulin Singular referenziert </w:t>
      </w:r>
      <w:r w:rsidRPr="008B1D78">
        <w:rPr>
          <w:rFonts w:eastAsia="Times New Roman" w:cs="Times New Roman"/>
          <w:b/>
          <w:bCs/>
          <w:rtl/>
          <w:lang w:eastAsia="de-DE"/>
        </w:rPr>
        <w:t>הדם</w:t>
      </w:r>
      <w:r w:rsidRPr="008B1D78">
        <w:rPr>
          <w:rFonts w:eastAsia="Times New Roman" w:cs="Times New Roman"/>
          <w:lang w:eastAsia="de-DE"/>
        </w:rPr>
        <w:t xml:space="preserve">. </w:t>
      </w:r>
      <w:r w:rsidRPr="008B1D78">
        <w:rPr>
          <w:rFonts w:eastAsia="Times New Roman" w:cs="Times New Roman"/>
          <w:b/>
          <w:bCs/>
          <w:rtl/>
          <w:lang w:eastAsia="de-DE"/>
        </w:rPr>
        <w:t>על־המזבח סביב</w:t>
      </w:r>
      <w:r w:rsidRPr="008B1D78">
        <w:rPr>
          <w:rFonts w:eastAsia="Times New Roman" w:cs="Times New Roman"/>
          <w:rtl/>
          <w:lang w:eastAsia="de-DE"/>
        </w:rPr>
        <w:t xml:space="preserve"> </w:t>
      </w:r>
      <w:r w:rsidRPr="008B1D78">
        <w:rPr>
          <w:rFonts w:eastAsia="Times New Roman" w:cs="Times New Roman"/>
          <w:lang w:eastAsia="de-DE"/>
        </w:rPr>
        <w:t xml:space="preserve">(an den Altar ringsum) zeigt das </w:t>
      </w:r>
      <w:r w:rsidRPr="008B1D78">
        <w:rPr>
          <w:rFonts w:eastAsia="Times New Roman" w:cs="Times New Roman"/>
          <w:b/>
          <w:bCs/>
          <w:rtl/>
          <w:lang w:eastAsia="de-DE"/>
        </w:rPr>
        <w:t>עלה</w:t>
      </w:r>
      <w:r w:rsidRPr="008B1D78">
        <w:rPr>
          <w:rFonts w:eastAsia="Times New Roman" w:cs="Times New Roman"/>
          <w:lang w:eastAsia="de-DE"/>
        </w:rPr>
        <w:t xml:space="preserve">-Blutverfahren im Unterschied zum </w:t>
      </w:r>
      <w:r w:rsidRPr="008B1D78">
        <w:rPr>
          <w:rFonts w:eastAsia="Times New Roman" w:cs="Times New Roman"/>
          <w:b/>
          <w:bCs/>
          <w:rtl/>
          <w:lang w:eastAsia="de-DE"/>
        </w:rPr>
        <w:t>חטאת</w:t>
      </w:r>
      <w:r w:rsidRPr="008B1D78">
        <w:rPr>
          <w:rFonts w:eastAsia="Times New Roman" w:cs="Times New Roman"/>
          <w:lang w:eastAsia="de-DE"/>
        </w:rPr>
        <w:t>-Verfahren.</w:t>
      </w:r>
    </w:p>
    <w:p w14:paraId="26F2DEF5"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lastRenderedPageBreak/>
        <w:t xml:space="preserve">Die Blutbehandlung unterscheidet sich vom </w:t>
      </w:r>
      <w:r w:rsidRPr="008B1D78">
        <w:rPr>
          <w:rFonts w:eastAsia="Times New Roman" w:cs="Times New Roman"/>
          <w:b/>
          <w:bCs/>
          <w:rtl/>
          <w:lang w:eastAsia="de-DE"/>
        </w:rPr>
        <w:t>חטאת</w:t>
      </w:r>
      <w:r w:rsidRPr="008B1D78">
        <w:rPr>
          <w:rFonts w:eastAsia="Times New Roman" w:cs="Times New Roman"/>
          <w:lang w:eastAsia="de-DE"/>
        </w:rPr>
        <w:t xml:space="preserve">: </w:t>
      </w:r>
      <w:r w:rsidRPr="008B1D78">
        <w:rPr>
          <w:rFonts w:eastAsia="Times New Roman" w:cs="Times New Roman"/>
          <w:b/>
          <w:bCs/>
          <w:rtl/>
          <w:lang w:eastAsia="de-DE"/>
        </w:rPr>
        <w:t>זרק על־המזבח סביב</w:t>
      </w:r>
      <w:r w:rsidRPr="008B1D78">
        <w:rPr>
          <w:rFonts w:eastAsia="Times New Roman" w:cs="Times New Roman"/>
          <w:rtl/>
          <w:lang w:eastAsia="de-DE"/>
        </w:rPr>
        <w:t xml:space="preserve"> </w:t>
      </w:r>
      <w:r w:rsidRPr="008B1D78">
        <w:rPr>
          <w:rFonts w:eastAsia="Times New Roman" w:cs="Times New Roman"/>
          <w:lang w:eastAsia="de-DE"/>
        </w:rPr>
        <w:t xml:space="preserve">(spritzen an den Altar ringsum) statt </w:t>
      </w:r>
      <w:r w:rsidRPr="008B1D78">
        <w:rPr>
          <w:rFonts w:eastAsia="Times New Roman" w:cs="Times New Roman"/>
          <w:b/>
          <w:bCs/>
          <w:rtl/>
          <w:lang w:eastAsia="de-DE"/>
        </w:rPr>
        <w:t>נתן על־קרנות</w:t>
      </w:r>
      <w:r w:rsidRPr="008B1D78">
        <w:rPr>
          <w:rFonts w:eastAsia="Times New Roman" w:cs="Times New Roman"/>
          <w:rtl/>
          <w:lang w:eastAsia="de-DE"/>
        </w:rPr>
        <w:t xml:space="preserve"> </w:t>
      </w:r>
      <w:r w:rsidRPr="008B1D78">
        <w:rPr>
          <w:rFonts w:eastAsia="Times New Roman" w:cs="Times New Roman"/>
          <w:lang w:eastAsia="de-DE"/>
        </w:rPr>
        <w:t xml:space="preserve">(setzen an die Hörner). Dies entspricht den </w:t>
      </w:r>
      <w:r w:rsidRPr="008B1D78">
        <w:rPr>
          <w:rFonts w:eastAsia="Times New Roman" w:cs="Times New Roman"/>
          <w:b/>
          <w:bCs/>
          <w:rtl/>
          <w:lang w:eastAsia="de-DE"/>
        </w:rPr>
        <w:t>עלה</w:t>
      </w:r>
      <w:r w:rsidRPr="008B1D78">
        <w:rPr>
          <w:rFonts w:eastAsia="Times New Roman" w:cs="Times New Roman"/>
          <w:lang w:eastAsia="de-DE"/>
        </w:rPr>
        <w:t>-Bestimmungen aus 1,5.11.</w:t>
      </w:r>
    </w:p>
    <w:p w14:paraId="4E60229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וימציאו</w:t>
      </w:r>
      <w:r w:rsidRPr="008B1D78">
        <w:rPr>
          <w:rFonts w:eastAsia="Times New Roman" w:cs="Times New Roman"/>
          <w:rtl/>
          <w:lang w:eastAsia="de-DE"/>
        </w:rPr>
        <w:t xml:space="preserve"> </w:t>
      </w:r>
      <w:r w:rsidRPr="008B1D78">
        <w:rPr>
          <w:rFonts w:eastAsia="Times New Roman" w:cs="Times New Roman"/>
          <w:lang w:eastAsia="de-DE"/>
        </w:rPr>
        <w:t xml:space="preserve">zeigt dieselbe priesterliche Teamarbeit wie bei </w:t>
      </w:r>
      <w:r w:rsidRPr="008B1D78">
        <w:rPr>
          <w:rFonts w:eastAsia="Times New Roman" w:cs="Times New Roman"/>
          <w:b/>
          <w:bCs/>
          <w:rtl/>
          <w:lang w:eastAsia="de-DE"/>
        </w:rPr>
        <w:t>חטאת</w:t>
      </w:r>
      <w:r w:rsidRPr="008B1D78">
        <w:rPr>
          <w:rFonts w:eastAsia="Times New Roman" w:cs="Times New Roman"/>
          <w:rtl/>
          <w:lang w:eastAsia="de-DE"/>
        </w:rPr>
        <w:t xml:space="preserve"> </w:t>
      </w:r>
      <w:r w:rsidRPr="008B1D78">
        <w:rPr>
          <w:rFonts w:eastAsia="Times New Roman" w:cs="Times New Roman"/>
          <w:lang w:eastAsia="de-DE"/>
        </w:rPr>
        <w:t xml:space="preserve">in V. 9: die Söhne assistieren, Aaron führt die entscheidenden Handlungen aus. </w:t>
      </w:r>
      <w:r w:rsidRPr="008B1D78">
        <w:rPr>
          <w:rFonts w:eastAsia="Times New Roman" w:cs="Times New Roman"/>
          <w:b/>
          <w:bCs/>
          <w:rtl/>
          <w:lang w:eastAsia="de-DE"/>
        </w:rPr>
        <w:t>סביב</w:t>
      </w:r>
      <w:r w:rsidRPr="008B1D78">
        <w:rPr>
          <w:rFonts w:eastAsia="Times New Roman" w:cs="Times New Roman"/>
          <w:rtl/>
          <w:lang w:eastAsia="de-DE"/>
        </w:rPr>
        <w:t xml:space="preserve"> </w:t>
      </w:r>
      <w:r w:rsidRPr="008B1D78">
        <w:rPr>
          <w:rFonts w:eastAsia="Times New Roman" w:cs="Times New Roman"/>
          <w:lang w:eastAsia="de-DE"/>
        </w:rPr>
        <w:t>(ringsum) zeigt die vollständige Umsprengung des Altarsockels.</w:t>
      </w:r>
    </w:p>
    <w:p w14:paraId="591CB10F" w14:textId="0A5A23C8"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w:t>
      </w:r>
      <w:r w:rsidR="00865A3D">
        <w:t xml:space="preserve">hat </w:t>
      </w:r>
      <w:r w:rsidR="00865A3D">
        <w:rPr>
          <w:rtl/>
        </w:rPr>
        <w:t>ויקרבו</w:t>
      </w:r>
      <w:r w:rsidR="00865A3D">
        <w:t xml:space="preserve"> (</w:t>
      </w:r>
      <w:proofErr w:type="spellStart"/>
      <w:r w:rsidR="00865A3D">
        <w:t>wayyamtzi'u</w:t>
      </w:r>
      <w:proofErr w:type="spellEnd"/>
      <w:r w:rsidR="00865A3D">
        <w:t xml:space="preserve"> - "und sie brachten ihm dar") als </w:t>
      </w:r>
      <w:r w:rsidR="00865A3D">
        <w:rPr>
          <w:rtl/>
        </w:rPr>
        <w:t>ויזרקהו</w:t>
      </w:r>
      <w:r w:rsidR="00865A3D">
        <w:t xml:space="preserve"> (</w:t>
      </w:r>
      <w:proofErr w:type="spellStart"/>
      <w:r w:rsidR="00865A3D">
        <w:t>wayyizreqehu</w:t>
      </w:r>
      <w:proofErr w:type="spellEnd"/>
      <w:r w:rsidR="00865A3D">
        <w:t xml:space="preserve"> - "und er sprengte es"), was eine textkritische Variante zeigt - die LXX liest π</w:t>
      </w:r>
      <w:proofErr w:type="spellStart"/>
      <w:r w:rsidR="00865A3D">
        <w:t>ροσέχεεν</w:t>
      </w:r>
      <w:proofErr w:type="spellEnd"/>
      <w:r w:rsidR="00865A3D">
        <w:t xml:space="preserve"> (er goss aus) statt einer Darbringungshandlung.</w:t>
      </w:r>
    </w:p>
    <w:p w14:paraId="3CC165F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drei koordinierte Hauptsätze: 1) Schlachtung; 2) Blutdarreichung durch Söhne; 3) Blutsprengung durch Aaron. Die Struktur entspricht der </w:t>
      </w:r>
      <w:r w:rsidRPr="008B1D78">
        <w:rPr>
          <w:rFonts w:eastAsia="Times New Roman" w:cs="Times New Roman"/>
          <w:b/>
          <w:bCs/>
          <w:rtl/>
          <w:lang w:eastAsia="de-DE"/>
        </w:rPr>
        <w:t>עלה</w:t>
      </w:r>
      <w:r w:rsidRPr="008B1D78">
        <w:rPr>
          <w:rFonts w:eastAsia="Times New Roman" w:cs="Times New Roman"/>
          <w:lang w:eastAsia="de-DE"/>
        </w:rPr>
        <w:t>-Prozedur.</w:t>
      </w:r>
    </w:p>
    <w:p w14:paraId="62727712"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zeigt Aarons </w:t>
      </w:r>
      <w:r w:rsidRPr="008B1D78">
        <w:rPr>
          <w:rFonts w:eastAsia="Times New Roman" w:cs="Times New Roman"/>
          <w:b/>
          <w:bCs/>
          <w:rtl/>
          <w:lang w:eastAsia="de-DE"/>
        </w:rPr>
        <w:t>עלה</w:t>
      </w:r>
      <w:r w:rsidRPr="008B1D78">
        <w:rPr>
          <w:rFonts w:eastAsia="Times New Roman" w:cs="Times New Roman"/>
          <w:lang w:eastAsia="de-DE"/>
        </w:rPr>
        <w:t>-Darbringung mit der charakteristischen Blutsprengung ringsum den Altar.</w:t>
      </w:r>
    </w:p>
    <w:p w14:paraId="5C4ED769"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9,13</w:t>
      </w:r>
    </w:p>
    <w:p w14:paraId="57AACA3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וְאֶת־הָעֹלָ֗ה הִמְצִ֧יאוּ אֵלָ֛יו לִנְתָחֶ֖יהָ וְאֶת־הָרֹ֑אשׁ וַיַּקְטֵ֖ר עַל־הַמִּזְבֵּֽחַ׃</w:t>
      </w:r>
    </w:p>
    <w:p w14:paraId="4E1D39A3"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das Aufsteigeopfer reichten sie ihm in seinen Stücken und den Kopf, und er räucherte es auf dem Altar.</w:t>
      </w:r>
    </w:p>
    <w:p w14:paraId="5238F3E3"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2094D516">
          <v:rect id="_x0000_i1245" style="width:0;height:1.5pt" o:hralign="center" o:hrstd="t" o:hr="t" fillcolor="#a0a0a0" stroked="f"/>
        </w:pict>
      </w:r>
    </w:p>
    <w:p w14:paraId="6DF124DA" w14:textId="5FC886FE"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ואת־העלה המציאו אליו לנתחיה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מצא</w:t>
      </w:r>
      <w:r w:rsidRPr="008B1D78">
        <w:rPr>
          <w:rFonts w:eastAsia="Times New Roman" w:cs="Times New Roman"/>
          <w:rtl/>
          <w:lang w:eastAsia="de-DE"/>
        </w:rPr>
        <w:t xml:space="preserve"> </w:t>
      </w:r>
      <w:r w:rsidRPr="008B1D78">
        <w:rPr>
          <w:rFonts w:eastAsia="Times New Roman" w:cs="Times New Roman"/>
          <w:lang w:eastAsia="de-DE"/>
        </w:rPr>
        <w:t xml:space="preserve">(darreichen) im Hifil-Perfekt 3. Person maskulin Plural. Das Subjekt sind implizit </w:t>
      </w:r>
      <w:r w:rsidRPr="008B1D78">
        <w:rPr>
          <w:rFonts w:eastAsia="Times New Roman" w:cs="Times New Roman"/>
          <w:b/>
          <w:bCs/>
          <w:rtl/>
          <w:lang w:eastAsia="de-DE"/>
        </w:rPr>
        <w:t>בני אהרן</w:t>
      </w:r>
      <w:r w:rsidRPr="008B1D78">
        <w:rPr>
          <w:rFonts w:eastAsia="Times New Roman" w:cs="Times New Roman"/>
          <w:rtl/>
          <w:lang w:eastAsia="de-DE"/>
        </w:rPr>
        <w:t xml:space="preserve"> </w:t>
      </w:r>
      <w:r w:rsidRPr="008B1D78">
        <w:rPr>
          <w:rFonts w:eastAsia="Times New Roman" w:cs="Times New Roman"/>
          <w:lang w:eastAsia="de-DE"/>
        </w:rPr>
        <w:t xml:space="preserve">aus V. 12. </w:t>
      </w:r>
      <w:r w:rsidRPr="008B1D78">
        <w:rPr>
          <w:rFonts w:eastAsia="Times New Roman" w:cs="Times New Roman"/>
          <w:b/>
          <w:bCs/>
          <w:rtl/>
          <w:lang w:eastAsia="de-DE"/>
        </w:rPr>
        <w:t>את־העלה</w:t>
      </w:r>
      <w:r w:rsidRPr="008B1D78">
        <w:rPr>
          <w:rFonts w:eastAsia="Times New Roman" w:cs="Times New Roman"/>
          <w:rtl/>
          <w:lang w:eastAsia="de-DE"/>
        </w:rPr>
        <w:t xml:space="preserve"> </w:t>
      </w:r>
      <w:r w:rsidRPr="008B1D78">
        <w:rPr>
          <w:rFonts w:eastAsia="Times New Roman" w:cs="Times New Roman"/>
          <w:lang w:eastAsia="de-DE"/>
        </w:rPr>
        <w:t xml:space="preserve">(das </w:t>
      </w:r>
      <w:r w:rsidR="00CF10E7">
        <w:rPr>
          <w:rFonts w:eastAsia="Times New Roman" w:cs="Times New Roman"/>
          <w:lang w:eastAsia="de-DE"/>
        </w:rPr>
        <w:t>Aufsteigeopfer</w:t>
      </w:r>
      <w:r w:rsidRPr="008B1D78">
        <w:rPr>
          <w:rFonts w:eastAsia="Times New Roman" w:cs="Times New Roman"/>
          <w:lang w:eastAsia="de-DE"/>
        </w:rPr>
        <w:t xml:space="preserve">) als direktes Objekt, </w:t>
      </w:r>
      <w:r w:rsidRPr="008B1D78">
        <w:rPr>
          <w:rFonts w:eastAsia="Times New Roman" w:cs="Times New Roman"/>
          <w:b/>
          <w:bCs/>
          <w:rtl/>
          <w:lang w:eastAsia="de-DE"/>
        </w:rPr>
        <w:t>אליו</w:t>
      </w:r>
      <w:r w:rsidRPr="008B1D78">
        <w:rPr>
          <w:rFonts w:eastAsia="Times New Roman" w:cs="Times New Roman"/>
          <w:rtl/>
          <w:lang w:eastAsia="de-DE"/>
        </w:rPr>
        <w:t xml:space="preserve"> </w:t>
      </w:r>
      <w:r w:rsidRPr="008B1D78">
        <w:rPr>
          <w:rFonts w:eastAsia="Times New Roman" w:cs="Times New Roman"/>
          <w:lang w:eastAsia="de-DE"/>
        </w:rPr>
        <w:t xml:space="preserve">(zu ihm) referenziert Aaron. </w:t>
      </w:r>
      <w:r w:rsidRPr="008B1D78">
        <w:rPr>
          <w:rFonts w:eastAsia="Times New Roman" w:cs="Times New Roman"/>
          <w:b/>
          <w:bCs/>
          <w:rtl/>
          <w:lang w:eastAsia="de-DE"/>
        </w:rPr>
        <w:t>לנתחיה</w:t>
      </w:r>
      <w:r w:rsidRPr="008B1D78">
        <w:rPr>
          <w:rFonts w:eastAsia="Times New Roman" w:cs="Times New Roman"/>
          <w:rtl/>
          <w:lang w:eastAsia="de-DE"/>
        </w:rPr>
        <w:t xml:space="preserve"> </w:t>
      </w:r>
      <w:r w:rsidRPr="008B1D78">
        <w:rPr>
          <w:rFonts w:eastAsia="Times New Roman" w:cs="Times New Roman"/>
          <w:lang w:eastAsia="de-DE"/>
        </w:rPr>
        <w:t xml:space="preserve">(in seinen Stücken) - </w:t>
      </w:r>
      <w:r w:rsidRPr="008B1D78">
        <w:rPr>
          <w:rFonts w:eastAsia="Times New Roman" w:cs="Times New Roman"/>
          <w:b/>
          <w:bCs/>
          <w:rtl/>
          <w:lang w:eastAsia="de-DE"/>
        </w:rPr>
        <w:t>נתחיה</w:t>
      </w:r>
      <w:r w:rsidRPr="008B1D78">
        <w:rPr>
          <w:rFonts w:eastAsia="Times New Roman" w:cs="Times New Roman"/>
          <w:rtl/>
          <w:lang w:eastAsia="de-DE"/>
        </w:rPr>
        <w:t xml:space="preserve"> </w:t>
      </w:r>
      <w:r w:rsidRPr="008B1D78">
        <w:rPr>
          <w:rFonts w:eastAsia="Times New Roman" w:cs="Times New Roman"/>
          <w:lang w:eastAsia="de-DE"/>
        </w:rPr>
        <w:t xml:space="preserve">(seine Stücke) mit Possessivsuffix 3. Person maskulin Singular von </w:t>
      </w:r>
      <w:r w:rsidRPr="008B1D78">
        <w:rPr>
          <w:rFonts w:eastAsia="Times New Roman" w:cs="Times New Roman"/>
          <w:b/>
          <w:bCs/>
          <w:rtl/>
          <w:lang w:eastAsia="de-DE"/>
        </w:rPr>
        <w:t>נתח</w:t>
      </w:r>
      <w:r w:rsidRPr="008B1D78">
        <w:rPr>
          <w:rFonts w:eastAsia="Times New Roman" w:cs="Times New Roman"/>
          <w:rtl/>
          <w:lang w:eastAsia="de-DE"/>
        </w:rPr>
        <w:t xml:space="preserve"> </w:t>
      </w:r>
      <w:r w:rsidRPr="008B1D78">
        <w:rPr>
          <w:rFonts w:eastAsia="Times New Roman" w:cs="Times New Roman"/>
          <w:lang w:eastAsia="de-DE"/>
        </w:rPr>
        <w:t xml:space="preserve">(Stück). Die Präposition </w:t>
      </w:r>
      <w:r w:rsidRPr="008B1D78">
        <w:rPr>
          <w:rFonts w:eastAsia="Times New Roman" w:cs="Times New Roman"/>
          <w:b/>
          <w:bCs/>
          <w:rtl/>
          <w:lang w:eastAsia="de-DE"/>
        </w:rPr>
        <w:t>ל</w:t>
      </w:r>
      <w:r w:rsidRPr="008B1D78">
        <w:rPr>
          <w:rFonts w:eastAsia="Times New Roman" w:cs="Times New Roman"/>
          <w:rtl/>
          <w:lang w:eastAsia="de-DE"/>
        </w:rPr>
        <w:t xml:space="preserve"> </w:t>
      </w:r>
      <w:r w:rsidRPr="008B1D78">
        <w:rPr>
          <w:rFonts w:eastAsia="Times New Roman" w:cs="Times New Roman"/>
          <w:lang w:eastAsia="de-DE"/>
        </w:rPr>
        <w:t>zeigt den Zustand "als Stücke".</w:t>
      </w:r>
    </w:p>
    <w:p w14:paraId="571FB3C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ואת־הראש</w:t>
      </w:r>
      <w:r w:rsidRPr="008B1D78">
        <w:rPr>
          <w:rFonts w:eastAsia="Times New Roman" w:cs="Times New Roman"/>
          <w:rtl/>
          <w:lang w:eastAsia="de-DE"/>
        </w:rPr>
        <w:t xml:space="preserve"> </w:t>
      </w:r>
      <w:r w:rsidRPr="008B1D78">
        <w:rPr>
          <w:rFonts w:eastAsia="Times New Roman" w:cs="Times New Roman"/>
          <w:lang w:eastAsia="de-DE"/>
        </w:rPr>
        <w:t xml:space="preserve">(und den Kopf) wird separat erwähnt als wichtigster Teil. </w:t>
      </w:r>
      <w:r w:rsidRPr="008B1D78">
        <w:rPr>
          <w:rFonts w:eastAsia="Times New Roman" w:cs="Times New Roman"/>
          <w:b/>
          <w:bCs/>
          <w:rtl/>
          <w:lang w:eastAsia="de-DE"/>
        </w:rPr>
        <w:t>ויקטר על־המזבח</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קטר</w:t>
      </w:r>
      <w:r w:rsidRPr="008B1D78">
        <w:rPr>
          <w:rFonts w:eastAsia="Times New Roman" w:cs="Times New Roman"/>
          <w:rtl/>
          <w:lang w:eastAsia="de-DE"/>
        </w:rPr>
        <w:t xml:space="preserve"> </w:t>
      </w:r>
      <w:r w:rsidRPr="008B1D78">
        <w:rPr>
          <w:rFonts w:eastAsia="Times New Roman" w:cs="Times New Roman"/>
          <w:lang w:eastAsia="de-DE"/>
        </w:rPr>
        <w:t xml:space="preserve">(räuchern) im Hifil-Imperfekt 3. Person maskulin Singular mit Waw-Konsekutiv. </w:t>
      </w:r>
      <w:r w:rsidRPr="008B1D78">
        <w:rPr>
          <w:rFonts w:eastAsia="Times New Roman" w:cs="Times New Roman"/>
          <w:b/>
          <w:bCs/>
          <w:rtl/>
          <w:lang w:eastAsia="de-DE"/>
        </w:rPr>
        <w:t>על־המזבח</w:t>
      </w:r>
      <w:r w:rsidRPr="008B1D78">
        <w:rPr>
          <w:rFonts w:eastAsia="Times New Roman" w:cs="Times New Roman"/>
          <w:rtl/>
          <w:lang w:eastAsia="de-DE"/>
        </w:rPr>
        <w:t xml:space="preserve"> </w:t>
      </w:r>
      <w:r w:rsidRPr="008B1D78">
        <w:rPr>
          <w:rFonts w:eastAsia="Times New Roman" w:cs="Times New Roman"/>
          <w:lang w:eastAsia="de-DE"/>
        </w:rPr>
        <w:t>(auf dem Altar) als Ortsangabe.</w:t>
      </w:r>
    </w:p>
    <w:p w14:paraId="7640F1C5"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לנתחיה</w:t>
      </w:r>
      <w:r w:rsidRPr="008B1D78">
        <w:rPr>
          <w:rFonts w:eastAsia="Times New Roman" w:cs="Times New Roman"/>
          <w:rtl/>
          <w:lang w:eastAsia="de-DE"/>
        </w:rPr>
        <w:t xml:space="preserve"> </w:t>
      </w:r>
      <w:r w:rsidRPr="008B1D78">
        <w:rPr>
          <w:rFonts w:eastAsia="Times New Roman" w:cs="Times New Roman"/>
          <w:lang w:eastAsia="de-DE"/>
        </w:rPr>
        <w:t xml:space="preserve">zeigt, dass das </w:t>
      </w:r>
      <w:r w:rsidRPr="008B1D78">
        <w:rPr>
          <w:rFonts w:eastAsia="Times New Roman" w:cs="Times New Roman"/>
          <w:b/>
          <w:bCs/>
          <w:rtl/>
          <w:lang w:eastAsia="de-DE"/>
        </w:rPr>
        <w:t>עלה</w:t>
      </w:r>
      <w:r w:rsidRPr="008B1D78">
        <w:rPr>
          <w:rFonts w:eastAsia="Times New Roman" w:cs="Times New Roman"/>
          <w:rtl/>
          <w:lang w:eastAsia="de-DE"/>
        </w:rPr>
        <w:t xml:space="preserve"> </w:t>
      </w:r>
      <w:r w:rsidRPr="008B1D78">
        <w:rPr>
          <w:rFonts w:eastAsia="Times New Roman" w:cs="Times New Roman"/>
          <w:lang w:eastAsia="de-DE"/>
        </w:rPr>
        <w:t xml:space="preserve">bereits zerlegt wurde, entsprechend der </w:t>
      </w:r>
      <w:r w:rsidRPr="008B1D78">
        <w:rPr>
          <w:rFonts w:eastAsia="Times New Roman" w:cs="Times New Roman"/>
          <w:b/>
          <w:bCs/>
          <w:rtl/>
          <w:lang w:eastAsia="de-DE"/>
        </w:rPr>
        <w:t>עלה</w:t>
      </w:r>
      <w:r w:rsidRPr="008B1D78">
        <w:rPr>
          <w:rFonts w:eastAsia="Times New Roman" w:cs="Times New Roman"/>
          <w:lang w:eastAsia="de-DE"/>
        </w:rPr>
        <w:t xml:space="preserve">-Prozedur aus 1,6. </w:t>
      </w:r>
      <w:r w:rsidRPr="008B1D78">
        <w:rPr>
          <w:rFonts w:eastAsia="Times New Roman" w:cs="Times New Roman"/>
          <w:b/>
          <w:bCs/>
          <w:rtl/>
          <w:lang w:eastAsia="de-DE"/>
        </w:rPr>
        <w:t>המציאו אליו</w:t>
      </w:r>
      <w:r w:rsidRPr="008B1D78">
        <w:rPr>
          <w:rFonts w:eastAsia="Times New Roman" w:cs="Times New Roman"/>
          <w:rtl/>
          <w:lang w:eastAsia="de-DE"/>
        </w:rPr>
        <w:t xml:space="preserve"> </w:t>
      </w:r>
      <w:r w:rsidRPr="008B1D78">
        <w:rPr>
          <w:rFonts w:eastAsia="Times New Roman" w:cs="Times New Roman"/>
          <w:lang w:eastAsia="de-DE"/>
        </w:rPr>
        <w:t>zeigt die systematische Übergabe der zerlegten Teile an Aaron zur Verbrennung.</w:t>
      </w:r>
    </w:p>
    <w:p w14:paraId="348804E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הראש</w:t>
      </w:r>
      <w:r w:rsidRPr="008B1D78">
        <w:rPr>
          <w:rFonts w:eastAsia="Times New Roman" w:cs="Times New Roman"/>
          <w:rtl/>
          <w:lang w:eastAsia="de-DE"/>
        </w:rPr>
        <w:t xml:space="preserve"> </w:t>
      </w:r>
      <w:r w:rsidRPr="008B1D78">
        <w:rPr>
          <w:rFonts w:eastAsia="Times New Roman" w:cs="Times New Roman"/>
          <w:lang w:eastAsia="de-DE"/>
        </w:rPr>
        <w:t xml:space="preserve">(der Kopf) wird separat erwähnt, da er bei </w:t>
      </w:r>
      <w:r w:rsidRPr="008B1D78">
        <w:rPr>
          <w:rFonts w:eastAsia="Times New Roman" w:cs="Times New Roman"/>
          <w:b/>
          <w:bCs/>
          <w:rtl/>
          <w:lang w:eastAsia="de-DE"/>
        </w:rPr>
        <w:t>עלה</w:t>
      </w:r>
      <w:r w:rsidRPr="008B1D78">
        <w:rPr>
          <w:rFonts w:eastAsia="Times New Roman" w:cs="Times New Roman"/>
          <w:rtl/>
          <w:lang w:eastAsia="de-DE"/>
        </w:rPr>
        <w:t xml:space="preserve"> </w:t>
      </w:r>
      <w:r w:rsidRPr="008B1D78">
        <w:rPr>
          <w:rFonts w:eastAsia="Times New Roman" w:cs="Times New Roman"/>
          <w:lang w:eastAsia="de-DE"/>
        </w:rPr>
        <w:t xml:space="preserve">besondere Bedeutung hat (vgl. 1,8.12). </w:t>
      </w:r>
      <w:r w:rsidRPr="008B1D78">
        <w:rPr>
          <w:rFonts w:eastAsia="Times New Roman" w:cs="Times New Roman"/>
          <w:b/>
          <w:bCs/>
          <w:rtl/>
          <w:lang w:eastAsia="de-DE"/>
        </w:rPr>
        <w:t>ויקטר</w:t>
      </w:r>
      <w:r w:rsidRPr="008B1D78">
        <w:rPr>
          <w:rFonts w:eastAsia="Times New Roman" w:cs="Times New Roman"/>
          <w:rtl/>
          <w:lang w:eastAsia="de-DE"/>
        </w:rPr>
        <w:t xml:space="preserve"> </w:t>
      </w:r>
      <w:r w:rsidRPr="008B1D78">
        <w:rPr>
          <w:rFonts w:eastAsia="Times New Roman" w:cs="Times New Roman"/>
          <w:lang w:eastAsia="de-DE"/>
        </w:rPr>
        <w:t>als Singular-Verb zeigt, dass Aaron alle Teile systematisch verbrennt.</w:t>
      </w:r>
    </w:p>
    <w:p w14:paraId="6131195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Darstellung ist knapper als in Kapitel 1, da die </w:t>
      </w:r>
      <w:r w:rsidRPr="008B1D78">
        <w:rPr>
          <w:rFonts w:eastAsia="Times New Roman" w:cs="Times New Roman"/>
          <w:b/>
          <w:bCs/>
          <w:rtl/>
          <w:lang w:eastAsia="de-DE"/>
        </w:rPr>
        <w:t>עלה</w:t>
      </w:r>
      <w:r w:rsidRPr="008B1D78">
        <w:rPr>
          <w:rFonts w:eastAsia="Times New Roman" w:cs="Times New Roman"/>
          <w:lang w:eastAsia="de-DE"/>
        </w:rPr>
        <w:t>-Prozedur inzwischen etabliert ist. Die Assistenz der Söhne bei der Übergabe zeigt die entwickelte priesterliche Arbeitsverteilung.</w:t>
      </w:r>
    </w:p>
    <w:p w14:paraId="33A4F485"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המציאו</w:t>
      </w:r>
      <w:r w:rsidRPr="008B1D78">
        <w:rPr>
          <w:rFonts w:eastAsia="Times New Roman" w:cs="Times New Roman"/>
          <w:rtl/>
          <w:lang w:eastAsia="de-DE"/>
        </w:rPr>
        <w:t xml:space="preserve"> </w:t>
      </w:r>
      <w:r w:rsidRPr="008B1D78">
        <w:rPr>
          <w:rFonts w:eastAsia="Times New Roman" w:cs="Times New Roman"/>
          <w:lang w:eastAsia="de-DE"/>
        </w:rPr>
        <w:t>mit π</w:t>
      </w:r>
      <w:proofErr w:type="spellStart"/>
      <w:r w:rsidRPr="008B1D78">
        <w:rPr>
          <w:rFonts w:eastAsia="Times New Roman" w:cs="Times New Roman"/>
          <w:lang w:eastAsia="de-DE"/>
        </w:rPr>
        <w:t>ροσήνεγκ</w:t>
      </w:r>
      <w:proofErr w:type="spellEnd"/>
      <w:r w:rsidRPr="008B1D78">
        <w:rPr>
          <w:rFonts w:eastAsia="Times New Roman" w:cs="Times New Roman"/>
          <w:lang w:eastAsia="de-DE"/>
        </w:rPr>
        <w:t xml:space="preserve">αν (sie brachten heran), </w:t>
      </w:r>
      <w:r w:rsidRPr="008B1D78">
        <w:rPr>
          <w:rFonts w:eastAsia="Times New Roman" w:cs="Times New Roman"/>
          <w:b/>
          <w:bCs/>
          <w:rtl/>
          <w:lang w:eastAsia="de-DE"/>
        </w:rPr>
        <w:t>לנתחיה</w:t>
      </w:r>
      <w:r w:rsidRPr="008B1D78">
        <w:rPr>
          <w:rFonts w:eastAsia="Times New Roman" w:cs="Times New Roman"/>
          <w:rtl/>
          <w:lang w:eastAsia="de-DE"/>
        </w:rPr>
        <w:t xml:space="preserve"> </w:t>
      </w:r>
      <w:r w:rsidRPr="008B1D78">
        <w:rPr>
          <w:rFonts w:eastAsia="Times New Roman" w:cs="Times New Roman"/>
          <w:lang w:eastAsia="de-DE"/>
        </w:rPr>
        <w:t>mit κα</w:t>
      </w:r>
      <w:proofErr w:type="spellStart"/>
      <w:r w:rsidRPr="008B1D78">
        <w:rPr>
          <w:rFonts w:eastAsia="Times New Roman" w:cs="Times New Roman"/>
          <w:lang w:eastAsia="de-DE"/>
        </w:rPr>
        <w:t>τὰ</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μέλη</w:t>
      </w:r>
      <w:proofErr w:type="spellEnd"/>
      <w:r w:rsidRPr="008B1D78">
        <w:rPr>
          <w:rFonts w:eastAsia="Times New Roman" w:cs="Times New Roman"/>
          <w:lang w:eastAsia="de-DE"/>
        </w:rPr>
        <w:t xml:space="preserve"> α</w:t>
      </w:r>
      <w:proofErr w:type="spellStart"/>
      <w:r w:rsidRPr="008B1D78">
        <w:rPr>
          <w:rFonts w:eastAsia="Times New Roman" w:cs="Times New Roman"/>
          <w:lang w:eastAsia="de-DE"/>
        </w:rPr>
        <w:t>ὐτοῦ</w:t>
      </w:r>
      <w:proofErr w:type="spellEnd"/>
      <w:r w:rsidRPr="008B1D78">
        <w:rPr>
          <w:rFonts w:eastAsia="Times New Roman" w:cs="Times New Roman"/>
          <w:lang w:eastAsia="de-DE"/>
        </w:rPr>
        <w:t xml:space="preserve"> (entsprechend seinen Gliedern) und </w:t>
      </w:r>
      <w:r w:rsidRPr="008B1D78">
        <w:rPr>
          <w:rFonts w:eastAsia="Times New Roman" w:cs="Times New Roman"/>
          <w:b/>
          <w:bCs/>
          <w:rtl/>
          <w:lang w:eastAsia="de-DE"/>
        </w:rPr>
        <w:t>ויקטר</w:t>
      </w:r>
      <w:r w:rsidRPr="008B1D78">
        <w:rPr>
          <w:rFonts w:eastAsia="Times New Roman" w:cs="Times New Roman"/>
          <w:rtl/>
          <w:lang w:eastAsia="de-DE"/>
        </w:rPr>
        <w:t xml:space="preserve"> </w:t>
      </w:r>
      <w:r w:rsidRPr="008B1D78">
        <w:rPr>
          <w:rFonts w:eastAsia="Times New Roman" w:cs="Times New Roman"/>
          <w:lang w:eastAsia="de-DE"/>
        </w:rPr>
        <w:t>mit ἐπ</w:t>
      </w:r>
      <w:proofErr w:type="spellStart"/>
      <w:r w:rsidRPr="008B1D78">
        <w:rPr>
          <w:rFonts w:eastAsia="Times New Roman" w:cs="Times New Roman"/>
          <w:lang w:eastAsia="de-DE"/>
        </w:rPr>
        <w:t>έθηκεν</w:t>
      </w:r>
      <w:proofErr w:type="spellEnd"/>
      <w:r w:rsidRPr="008B1D78">
        <w:rPr>
          <w:rFonts w:eastAsia="Times New Roman" w:cs="Times New Roman"/>
          <w:lang w:eastAsia="de-DE"/>
        </w:rPr>
        <w:t xml:space="preserve"> (er legte auf).</w:t>
      </w:r>
    </w:p>
    <w:p w14:paraId="5A455FB7"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lastRenderedPageBreak/>
        <w:t>Die Satzstruktur:</w:t>
      </w:r>
      <w:r w:rsidRPr="008B1D78">
        <w:rPr>
          <w:rFonts w:eastAsia="Times New Roman" w:cs="Times New Roman"/>
          <w:lang w:eastAsia="de-DE"/>
        </w:rPr>
        <w:t xml:space="preserve"> zeigt zwei koordinierte Hauptsätze: 1) Verb + direktes Objekt + indirektes Objekt + Zustandsangabe + zusätzliches Objekt; 2) Verb + Ortsangabe. Die Struktur zeigt die systematische </w:t>
      </w:r>
      <w:r w:rsidRPr="008B1D78">
        <w:rPr>
          <w:rFonts w:eastAsia="Times New Roman" w:cs="Times New Roman"/>
          <w:b/>
          <w:bCs/>
          <w:rtl/>
          <w:lang w:eastAsia="de-DE"/>
        </w:rPr>
        <w:t>עלה</w:t>
      </w:r>
      <w:r w:rsidRPr="008B1D78">
        <w:rPr>
          <w:rFonts w:eastAsia="Times New Roman" w:cs="Times New Roman"/>
          <w:lang w:eastAsia="de-DE"/>
        </w:rPr>
        <w:t>-Verbrennung.</w:t>
      </w:r>
    </w:p>
    <w:p w14:paraId="3275E1A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zeigt die systematische Übergabe und Verbrennung der </w:t>
      </w:r>
      <w:r w:rsidRPr="008B1D78">
        <w:rPr>
          <w:rFonts w:eastAsia="Times New Roman" w:cs="Times New Roman"/>
          <w:b/>
          <w:bCs/>
          <w:rtl/>
          <w:lang w:eastAsia="de-DE"/>
        </w:rPr>
        <w:t>עלה</w:t>
      </w:r>
      <w:r w:rsidRPr="008B1D78">
        <w:rPr>
          <w:rFonts w:eastAsia="Times New Roman" w:cs="Times New Roman"/>
          <w:lang w:eastAsia="de-DE"/>
        </w:rPr>
        <w:t>-Teile durch die priesterliche Teamarbeit.</w:t>
      </w:r>
    </w:p>
    <w:p w14:paraId="6F5F566D" w14:textId="77777777" w:rsidR="008B1D78" w:rsidRPr="008B1D78" w:rsidRDefault="008B1D78" w:rsidP="008B1D78">
      <w:pPr>
        <w:spacing w:before="100" w:beforeAutospacing="1" w:after="100" w:afterAutospacing="1" w:line="240" w:lineRule="auto"/>
        <w:outlineLvl w:val="1"/>
        <w:rPr>
          <w:rFonts w:eastAsia="Times New Roman" w:cs="Times New Roman"/>
          <w:b/>
          <w:bCs/>
          <w:sz w:val="36"/>
          <w:szCs w:val="36"/>
          <w:lang w:eastAsia="de-DE"/>
        </w:rPr>
      </w:pPr>
      <w:r w:rsidRPr="008B1D78">
        <w:rPr>
          <w:rFonts w:eastAsia="Times New Roman" w:cs="Times New Roman"/>
          <w:b/>
          <w:bCs/>
          <w:sz w:val="36"/>
          <w:szCs w:val="36"/>
          <w:lang w:eastAsia="de-DE"/>
        </w:rPr>
        <w:t>Leviticus 9,14</w:t>
      </w:r>
    </w:p>
    <w:p w14:paraId="378396B9"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Hebräisch:</w:t>
      </w:r>
      <w:r w:rsidRPr="008B1D78">
        <w:rPr>
          <w:rFonts w:eastAsia="Times New Roman" w:cs="Times New Roman"/>
          <w:lang w:eastAsia="de-DE"/>
        </w:rPr>
        <w:t xml:space="preserve"> </w:t>
      </w:r>
      <w:r w:rsidRPr="008B1D78">
        <w:rPr>
          <w:rFonts w:eastAsia="Times New Roman" w:cs="Times New Roman"/>
          <w:rtl/>
          <w:lang w:eastAsia="de-DE"/>
        </w:rPr>
        <w:t>וַיִּרְחַ֥ץ אֶת־הַקֶּ֖רֶב וְאֶת־הַכְּרָעָ֑יִם וַיַּקְטֵ֥ר עַל־הָעֹלָ֖ה הַמִּזְבֵּֽחָה׃</w:t>
      </w:r>
    </w:p>
    <w:p w14:paraId="4E3A0C4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Deutsch:</w:t>
      </w:r>
      <w:r w:rsidRPr="008B1D78">
        <w:rPr>
          <w:rFonts w:eastAsia="Times New Roman" w:cs="Times New Roman"/>
          <w:lang w:eastAsia="de-DE"/>
        </w:rPr>
        <w:t xml:space="preserve"> Und er wusch das Eingeweide und die Schenkel und räucherte sie auf dem Aufsteigeopfer, auf dem Altar.</w:t>
      </w:r>
    </w:p>
    <w:p w14:paraId="23F4D34F" w14:textId="77777777" w:rsidR="008B1D78" w:rsidRPr="008B1D78" w:rsidRDefault="00A57720" w:rsidP="008B1D78">
      <w:pPr>
        <w:spacing w:after="0" w:line="240" w:lineRule="auto"/>
        <w:rPr>
          <w:rFonts w:eastAsia="Times New Roman" w:cs="Times New Roman"/>
          <w:lang w:eastAsia="de-DE"/>
        </w:rPr>
      </w:pPr>
      <w:r>
        <w:rPr>
          <w:rFonts w:eastAsia="Times New Roman" w:cs="Times New Roman"/>
          <w:noProof/>
          <w:lang w:eastAsia="de-DE"/>
        </w:rPr>
        <w:pict w14:anchorId="08BF5E4C">
          <v:rect id="_x0000_i1246" style="width:0;height:1.5pt" o:hralign="center" o:hrstd="t" o:hr="t" fillcolor="#a0a0a0" stroked="f"/>
        </w:pict>
      </w:r>
    </w:p>
    <w:p w14:paraId="025B524C"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Kommentar:</w:t>
      </w:r>
      <w:r w:rsidRPr="008B1D78">
        <w:rPr>
          <w:rFonts w:eastAsia="Times New Roman" w:cs="Times New Roman"/>
          <w:lang w:eastAsia="de-DE"/>
        </w:rPr>
        <w:t xml:space="preserve"> </w:t>
      </w:r>
      <w:r w:rsidRPr="008B1D78">
        <w:rPr>
          <w:rFonts w:eastAsia="Times New Roman" w:cs="Times New Roman"/>
          <w:b/>
          <w:bCs/>
          <w:rtl/>
          <w:lang w:eastAsia="de-DE"/>
        </w:rPr>
        <w:t>וירחץ את־הקרב ואת־הכרעים</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רחץ</w:t>
      </w:r>
      <w:r w:rsidRPr="008B1D78">
        <w:rPr>
          <w:rFonts w:eastAsia="Times New Roman" w:cs="Times New Roman"/>
          <w:rtl/>
          <w:lang w:eastAsia="de-DE"/>
        </w:rPr>
        <w:t xml:space="preserve"> </w:t>
      </w:r>
      <w:r w:rsidRPr="008B1D78">
        <w:rPr>
          <w:rFonts w:eastAsia="Times New Roman" w:cs="Times New Roman"/>
          <w:lang w:eastAsia="de-DE"/>
        </w:rPr>
        <w:t xml:space="preserve">(waschen) im Qal-Imperfekt 3. Person maskulin Singular mit Waw-Konsekutiv. </w:t>
      </w:r>
      <w:r w:rsidRPr="008B1D78">
        <w:rPr>
          <w:rFonts w:eastAsia="Times New Roman" w:cs="Times New Roman"/>
          <w:b/>
          <w:bCs/>
          <w:rtl/>
          <w:lang w:eastAsia="de-DE"/>
        </w:rPr>
        <w:t>את־הקרב</w:t>
      </w:r>
      <w:r w:rsidRPr="008B1D78">
        <w:rPr>
          <w:rFonts w:eastAsia="Times New Roman" w:cs="Times New Roman"/>
          <w:rtl/>
          <w:lang w:eastAsia="de-DE"/>
        </w:rPr>
        <w:t xml:space="preserve"> </w:t>
      </w:r>
      <w:r w:rsidRPr="008B1D78">
        <w:rPr>
          <w:rFonts w:eastAsia="Times New Roman" w:cs="Times New Roman"/>
          <w:lang w:eastAsia="de-DE"/>
        </w:rPr>
        <w:t xml:space="preserve">(das Eingeweide) und </w:t>
      </w:r>
      <w:r w:rsidRPr="008B1D78">
        <w:rPr>
          <w:rFonts w:eastAsia="Times New Roman" w:cs="Times New Roman"/>
          <w:b/>
          <w:bCs/>
          <w:rtl/>
          <w:lang w:eastAsia="de-DE"/>
        </w:rPr>
        <w:t>את־הכרעים</w:t>
      </w:r>
      <w:r w:rsidRPr="008B1D78">
        <w:rPr>
          <w:rFonts w:eastAsia="Times New Roman" w:cs="Times New Roman"/>
          <w:rtl/>
          <w:lang w:eastAsia="de-DE"/>
        </w:rPr>
        <w:t xml:space="preserve"> </w:t>
      </w:r>
      <w:r w:rsidRPr="008B1D78">
        <w:rPr>
          <w:rFonts w:eastAsia="Times New Roman" w:cs="Times New Roman"/>
          <w:lang w:eastAsia="de-DE"/>
        </w:rPr>
        <w:t>(die Schenkel) sind die beiden Körperteile, die nach 1,9.13 vor der Verbrennung gewaschen werden müssen.</w:t>
      </w:r>
    </w:p>
    <w:p w14:paraId="0470E3DD" w14:textId="4494633E"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ויקטר על־העלה המזבחה</w:t>
      </w:r>
      <w:r w:rsidRPr="008B1D78">
        <w:rPr>
          <w:rFonts w:eastAsia="Times New Roman" w:cs="Times New Roman"/>
          <w:rtl/>
          <w:lang w:eastAsia="de-DE"/>
        </w:rPr>
        <w:t xml:space="preserve"> </w:t>
      </w:r>
      <w:r w:rsidRPr="008B1D78">
        <w:rPr>
          <w:rFonts w:eastAsia="Times New Roman" w:cs="Times New Roman"/>
          <w:lang w:eastAsia="de-DE"/>
        </w:rPr>
        <w:t xml:space="preserve">zeigt </w:t>
      </w:r>
      <w:r w:rsidRPr="008B1D78">
        <w:rPr>
          <w:rFonts w:eastAsia="Times New Roman" w:cs="Times New Roman"/>
          <w:b/>
          <w:bCs/>
          <w:rtl/>
          <w:lang w:eastAsia="de-DE"/>
        </w:rPr>
        <w:t>קטר</w:t>
      </w:r>
      <w:r w:rsidRPr="008B1D78">
        <w:rPr>
          <w:rFonts w:eastAsia="Times New Roman" w:cs="Times New Roman"/>
          <w:rtl/>
          <w:lang w:eastAsia="de-DE"/>
        </w:rPr>
        <w:t xml:space="preserve"> </w:t>
      </w:r>
      <w:r w:rsidRPr="008B1D78">
        <w:rPr>
          <w:rFonts w:eastAsia="Times New Roman" w:cs="Times New Roman"/>
          <w:lang w:eastAsia="de-DE"/>
        </w:rPr>
        <w:t xml:space="preserve">(räuchern) im Hifil-Imperfekt 3. Person maskulin Singular mit Waw-Konsekutiv. </w:t>
      </w:r>
      <w:r w:rsidRPr="008B1D78">
        <w:rPr>
          <w:rFonts w:eastAsia="Times New Roman" w:cs="Times New Roman"/>
          <w:b/>
          <w:bCs/>
          <w:rtl/>
          <w:lang w:eastAsia="de-DE"/>
        </w:rPr>
        <w:t>על־העלה</w:t>
      </w:r>
      <w:r w:rsidRPr="008B1D78">
        <w:rPr>
          <w:rFonts w:eastAsia="Times New Roman" w:cs="Times New Roman"/>
          <w:rtl/>
          <w:lang w:eastAsia="de-DE"/>
        </w:rPr>
        <w:t xml:space="preserve"> </w:t>
      </w:r>
      <w:r w:rsidRPr="008B1D78">
        <w:rPr>
          <w:rFonts w:eastAsia="Times New Roman" w:cs="Times New Roman"/>
          <w:lang w:eastAsia="de-DE"/>
        </w:rPr>
        <w:t xml:space="preserve">(auf dem </w:t>
      </w:r>
      <w:r w:rsidR="00CF10E7">
        <w:rPr>
          <w:rFonts w:eastAsia="Times New Roman" w:cs="Times New Roman"/>
          <w:lang w:eastAsia="de-DE"/>
        </w:rPr>
        <w:t>Aufsteigeopfer</w:t>
      </w:r>
      <w:r w:rsidRPr="008B1D78">
        <w:rPr>
          <w:rFonts w:eastAsia="Times New Roman" w:cs="Times New Roman"/>
          <w:lang w:eastAsia="de-DE"/>
        </w:rPr>
        <w:t xml:space="preserve">) zeigt, dass diese Teile zusätzlich zu den bereits verbrannten Teilen aus V. 13 kommen. </w:t>
      </w:r>
      <w:r w:rsidRPr="008B1D78">
        <w:rPr>
          <w:rFonts w:eastAsia="Times New Roman" w:cs="Times New Roman"/>
          <w:b/>
          <w:bCs/>
          <w:rtl/>
          <w:lang w:eastAsia="de-DE"/>
        </w:rPr>
        <w:t>המזבחה</w:t>
      </w:r>
      <w:r w:rsidRPr="008B1D78">
        <w:rPr>
          <w:rFonts w:eastAsia="Times New Roman" w:cs="Times New Roman"/>
          <w:rtl/>
          <w:lang w:eastAsia="de-DE"/>
        </w:rPr>
        <w:t xml:space="preserve"> </w:t>
      </w:r>
      <w:r w:rsidRPr="008B1D78">
        <w:rPr>
          <w:rFonts w:eastAsia="Times New Roman" w:cs="Times New Roman"/>
          <w:lang w:eastAsia="de-DE"/>
        </w:rPr>
        <w:t xml:space="preserve">mit direktionaler </w:t>
      </w:r>
      <w:r w:rsidRPr="008B1D78">
        <w:rPr>
          <w:rFonts w:eastAsia="Times New Roman" w:cs="Times New Roman"/>
          <w:b/>
          <w:bCs/>
          <w:rtl/>
          <w:lang w:eastAsia="de-DE"/>
        </w:rPr>
        <w:t>ה</w:t>
      </w:r>
      <w:r w:rsidRPr="008B1D78">
        <w:rPr>
          <w:rFonts w:eastAsia="Times New Roman" w:cs="Times New Roman"/>
          <w:rtl/>
          <w:lang w:eastAsia="de-DE"/>
        </w:rPr>
        <w:t xml:space="preserve"> </w:t>
      </w:r>
      <w:r w:rsidRPr="008B1D78">
        <w:rPr>
          <w:rFonts w:eastAsia="Times New Roman" w:cs="Times New Roman"/>
          <w:lang w:eastAsia="de-DE"/>
        </w:rPr>
        <w:t>(zum Altar hin).</w:t>
      </w:r>
    </w:p>
    <w:p w14:paraId="79E235E1"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רחץ</w:t>
      </w:r>
      <w:r w:rsidRPr="008B1D78">
        <w:rPr>
          <w:rFonts w:eastAsia="Times New Roman" w:cs="Times New Roman"/>
          <w:rtl/>
          <w:lang w:eastAsia="de-DE"/>
        </w:rPr>
        <w:t xml:space="preserve"> </w:t>
      </w:r>
      <w:r w:rsidRPr="008B1D78">
        <w:rPr>
          <w:rFonts w:eastAsia="Times New Roman" w:cs="Times New Roman"/>
          <w:lang w:eastAsia="de-DE"/>
        </w:rPr>
        <w:t xml:space="preserve">als persönliche Handlung Aarons zeigt, dass er alle </w:t>
      </w:r>
      <w:r w:rsidRPr="008B1D78">
        <w:rPr>
          <w:rFonts w:eastAsia="Times New Roman" w:cs="Times New Roman"/>
          <w:b/>
          <w:bCs/>
          <w:rtl/>
          <w:lang w:eastAsia="de-DE"/>
        </w:rPr>
        <w:t>עלה</w:t>
      </w:r>
      <w:r w:rsidRPr="008B1D78">
        <w:rPr>
          <w:rFonts w:eastAsia="Times New Roman" w:cs="Times New Roman"/>
          <w:lang w:eastAsia="de-DE"/>
        </w:rPr>
        <w:t xml:space="preserve">-Bestimmungen selbst befolgt. </w:t>
      </w:r>
      <w:r w:rsidRPr="008B1D78">
        <w:rPr>
          <w:rFonts w:eastAsia="Times New Roman" w:cs="Times New Roman"/>
          <w:b/>
          <w:bCs/>
          <w:rtl/>
          <w:lang w:eastAsia="de-DE"/>
        </w:rPr>
        <w:t>הקרב והכרעים</w:t>
      </w:r>
      <w:r w:rsidRPr="008B1D78">
        <w:rPr>
          <w:rFonts w:eastAsia="Times New Roman" w:cs="Times New Roman"/>
          <w:rtl/>
          <w:lang w:eastAsia="de-DE"/>
        </w:rPr>
        <w:t xml:space="preserve"> </w:t>
      </w:r>
      <w:r w:rsidRPr="008B1D78">
        <w:rPr>
          <w:rFonts w:eastAsia="Times New Roman" w:cs="Times New Roman"/>
          <w:lang w:eastAsia="de-DE"/>
        </w:rPr>
        <w:t>sind die Teile, die ritueller Reinigung bedürfen vor der Verbrennung.</w:t>
      </w:r>
    </w:p>
    <w:p w14:paraId="7639EA18"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rtl/>
          <w:lang w:eastAsia="de-DE"/>
        </w:rPr>
        <w:t>על־העלה המזבחה</w:t>
      </w:r>
      <w:r w:rsidRPr="008B1D78">
        <w:rPr>
          <w:rFonts w:eastAsia="Times New Roman" w:cs="Times New Roman"/>
          <w:rtl/>
          <w:lang w:eastAsia="de-DE"/>
        </w:rPr>
        <w:t xml:space="preserve"> </w:t>
      </w:r>
      <w:r w:rsidRPr="008B1D78">
        <w:rPr>
          <w:rFonts w:eastAsia="Times New Roman" w:cs="Times New Roman"/>
          <w:lang w:eastAsia="de-DE"/>
        </w:rPr>
        <w:t xml:space="preserve">zeigt die kumulative Verbrennung: diese Teile werden zu den bereits brennenden Teilen hinzugefügt. Dies entspricht der </w:t>
      </w:r>
      <w:r w:rsidRPr="008B1D78">
        <w:rPr>
          <w:rFonts w:eastAsia="Times New Roman" w:cs="Times New Roman"/>
          <w:b/>
          <w:bCs/>
          <w:rtl/>
          <w:lang w:eastAsia="de-DE"/>
        </w:rPr>
        <w:t>עלה</w:t>
      </w:r>
      <w:r w:rsidRPr="008B1D78">
        <w:rPr>
          <w:rFonts w:eastAsia="Times New Roman" w:cs="Times New Roman"/>
          <w:lang w:eastAsia="de-DE"/>
        </w:rPr>
        <w:t>-Prozedur, bei der alle Teile nacheinander verbrannt werden.</w:t>
      </w:r>
    </w:p>
    <w:p w14:paraId="26D684E5"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 Waschung </w:t>
      </w:r>
      <w:r w:rsidRPr="008B1D78">
        <w:rPr>
          <w:rFonts w:eastAsia="Times New Roman" w:cs="Times New Roman"/>
          <w:b/>
          <w:bCs/>
          <w:rtl/>
          <w:lang w:eastAsia="de-DE"/>
        </w:rPr>
        <w:t>רחץ</w:t>
      </w:r>
      <w:r w:rsidRPr="008B1D78">
        <w:rPr>
          <w:rFonts w:eastAsia="Times New Roman" w:cs="Times New Roman"/>
          <w:rtl/>
          <w:lang w:eastAsia="de-DE"/>
        </w:rPr>
        <w:t xml:space="preserve"> </w:t>
      </w:r>
      <w:r w:rsidRPr="008B1D78">
        <w:rPr>
          <w:rFonts w:eastAsia="Times New Roman" w:cs="Times New Roman"/>
          <w:lang w:eastAsia="de-DE"/>
        </w:rPr>
        <w:t xml:space="preserve">ist eine wichtige rituelle Handlung, die Aaron persönlich durchführt. </w:t>
      </w:r>
      <w:r w:rsidRPr="008B1D78">
        <w:rPr>
          <w:rFonts w:eastAsia="Times New Roman" w:cs="Times New Roman"/>
          <w:b/>
          <w:bCs/>
          <w:rtl/>
          <w:lang w:eastAsia="de-DE"/>
        </w:rPr>
        <w:t>על־העלה</w:t>
      </w:r>
      <w:r w:rsidRPr="008B1D78">
        <w:rPr>
          <w:rFonts w:eastAsia="Times New Roman" w:cs="Times New Roman"/>
          <w:rtl/>
          <w:lang w:eastAsia="de-DE"/>
        </w:rPr>
        <w:t xml:space="preserve"> </w:t>
      </w:r>
      <w:r w:rsidRPr="008B1D78">
        <w:rPr>
          <w:rFonts w:eastAsia="Times New Roman" w:cs="Times New Roman"/>
          <w:lang w:eastAsia="de-DE"/>
        </w:rPr>
        <w:t xml:space="preserve">zeigt, dass das </w:t>
      </w:r>
      <w:r w:rsidRPr="008B1D78">
        <w:rPr>
          <w:rFonts w:eastAsia="Times New Roman" w:cs="Times New Roman"/>
          <w:b/>
          <w:bCs/>
          <w:rtl/>
          <w:lang w:eastAsia="de-DE"/>
        </w:rPr>
        <w:t>עלה</w:t>
      </w:r>
      <w:r w:rsidRPr="008B1D78">
        <w:rPr>
          <w:rFonts w:eastAsia="Times New Roman" w:cs="Times New Roman"/>
          <w:rtl/>
          <w:lang w:eastAsia="de-DE"/>
        </w:rPr>
        <w:t xml:space="preserve"> </w:t>
      </w:r>
      <w:r w:rsidRPr="008B1D78">
        <w:rPr>
          <w:rFonts w:eastAsia="Times New Roman" w:cs="Times New Roman"/>
          <w:lang w:eastAsia="de-DE"/>
        </w:rPr>
        <w:t>als Ganzes rekonstruiert wird durch die sukzessive Verbrennung aller Teile.</w:t>
      </w:r>
    </w:p>
    <w:p w14:paraId="0EB50782" w14:textId="7D365A8A"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LXX</w:t>
      </w:r>
      <w:r w:rsidRPr="008B1D78">
        <w:rPr>
          <w:rFonts w:eastAsia="Times New Roman" w:cs="Times New Roman"/>
          <w:lang w:eastAsia="de-DE"/>
        </w:rPr>
        <w:t xml:space="preserve"> übersetzt </w:t>
      </w:r>
      <w:r w:rsidRPr="008B1D78">
        <w:rPr>
          <w:rFonts w:eastAsia="Times New Roman" w:cs="Times New Roman"/>
          <w:b/>
          <w:bCs/>
          <w:rtl/>
          <w:lang w:eastAsia="de-DE"/>
        </w:rPr>
        <w:t>וירחץ</w:t>
      </w:r>
      <w:r w:rsidRPr="008B1D78">
        <w:rPr>
          <w:rFonts w:eastAsia="Times New Roman" w:cs="Times New Roman"/>
          <w:rtl/>
          <w:lang w:eastAsia="de-DE"/>
        </w:rPr>
        <w:t xml:space="preserve"> </w:t>
      </w:r>
      <w:r w:rsidRPr="008B1D78">
        <w:rPr>
          <w:rFonts w:eastAsia="Times New Roman" w:cs="Times New Roman"/>
          <w:lang w:eastAsia="de-DE"/>
        </w:rPr>
        <w:t>mit ἔπ</w:t>
      </w:r>
      <w:proofErr w:type="spellStart"/>
      <w:r w:rsidRPr="008B1D78">
        <w:rPr>
          <w:rFonts w:eastAsia="Times New Roman" w:cs="Times New Roman"/>
          <w:lang w:eastAsia="de-DE"/>
        </w:rPr>
        <w:t>λυνεν</w:t>
      </w:r>
      <w:proofErr w:type="spellEnd"/>
      <w:r w:rsidRPr="008B1D78">
        <w:rPr>
          <w:rFonts w:eastAsia="Times New Roman" w:cs="Times New Roman"/>
          <w:lang w:eastAsia="de-DE"/>
        </w:rPr>
        <w:t xml:space="preserve"> (er wusch), </w:t>
      </w:r>
      <w:r w:rsidRPr="008B1D78">
        <w:rPr>
          <w:rFonts w:eastAsia="Times New Roman" w:cs="Times New Roman"/>
          <w:b/>
          <w:bCs/>
          <w:rtl/>
          <w:lang w:eastAsia="de-DE"/>
        </w:rPr>
        <w:t>הקרב</w:t>
      </w:r>
      <w:r w:rsidRPr="008B1D78">
        <w:rPr>
          <w:rFonts w:eastAsia="Times New Roman" w:cs="Times New Roman"/>
          <w:rtl/>
          <w:lang w:eastAsia="de-DE"/>
        </w:rPr>
        <w:t xml:space="preserve"> </w:t>
      </w:r>
      <w:r w:rsidRPr="008B1D78">
        <w:rPr>
          <w:rFonts w:eastAsia="Times New Roman" w:cs="Times New Roman"/>
          <w:lang w:eastAsia="de-DE"/>
        </w:rPr>
        <w:t xml:space="preserve">mit </w:t>
      </w:r>
      <w:proofErr w:type="spellStart"/>
      <w:r w:rsidRPr="008B1D78">
        <w:rPr>
          <w:rFonts w:eastAsia="Times New Roman" w:cs="Times New Roman"/>
          <w:lang w:eastAsia="de-DE"/>
        </w:rPr>
        <w:t>κοιλί</w:t>
      </w:r>
      <w:proofErr w:type="spellEnd"/>
      <w:r w:rsidRPr="008B1D78">
        <w:rPr>
          <w:rFonts w:eastAsia="Times New Roman" w:cs="Times New Roman"/>
          <w:lang w:eastAsia="de-DE"/>
        </w:rPr>
        <w:t xml:space="preserve">αν (Bauch), </w:t>
      </w:r>
      <w:r w:rsidRPr="008B1D78">
        <w:rPr>
          <w:rFonts w:eastAsia="Times New Roman" w:cs="Times New Roman"/>
          <w:b/>
          <w:bCs/>
          <w:rtl/>
          <w:lang w:eastAsia="de-DE"/>
        </w:rPr>
        <w:t>הכרעים</w:t>
      </w:r>
      <w:r w:rsidRPr="008B1D78">
        <w:rPr>
          <w:rFonts w:eastAsia="Times New Roman" w:cs="Times New Roman"/>
          <w:rtl/>
          <w:lang w:eastAsia="de-DE"/>
        </w:rPr>
        <w:t xml:space="preserve"> </w:t>
      </w:r>
      <w:r w:rsidRPr="008B1D78">
        <w:rPr>
          <w:rFonts w:eastAsia="Times New Roman" w:cs="Times New Roman"/>
          <w:lang w:eastAsia="de-DE"/>
        </w:rPr>
        <w:t>mit π</w:t>
      </w:r>
      <w:proofErr w:type="spellStart"/>
      <w:r w:rsidRPr="008B1D78">
        <w:rPr>
          <w:rFonts w:eastAsia="Times New Roman" w:cs="Times New Roman"/>
          <w:lang w:eastAsia="de-DE"/>
        </w:rPr>
        <w:t>όδ</w:t>
      </w:r>
      <w:proofErr w:type="spellEnd"/>
      <w:r w:rsidRPr="008B1D78">
        <w:rPr>
          <w:rFonts w:eastAsia="Times New Roman" w:cs="Times New Roman"/>
          <w:lang w:eastAsia="de-DE"/>
        </w:rPr>
        <w:t xml:space="preserve">ας (Füße) und </w:t>
      </w:r>
      <w:r w:rsidRPr="008B1D78">
        <w:rPr>
          <w:rFonts w:eastAsia="Times New Roman" w:cs="Times New Roman"/>
          <w:b/>
          <w:bCs/>
          <w:rtl/>
          <w:lang w:eastAsia="de-DE"/>
        </w:rPr>
        <w:t>על־העלה</w:t>
      </w:r>
      <w:r w:rsidRPr="008B1D78">
        <w:rPr>
          <w:rFonts w:eastAsia="Times New Roman" w:cs="Times New Roman"/>
          <w:rtl/>
          <w:lang w:eastAsia="de-DE"/>
        </w:rPr>
        <w:t xml:space="preserve"> </w:t>
      </w:r>
      <w:r w:rsidRPr="008B1D78">
        <w:rPr>
          <w:rFonts w:eastAsia="Times New Roman" w:cs="Times New Roman"/>
          <w:lang w:eastAsia="de-DE"/>
        </w:rPr>
        <w:t xml:space="preserve">mit ἐπὶ </w:t>
      </w:r>
      <w:proofErr w:type="spellStart"/>
      <w:r w:rsidRPr="008B1D78">
        <w:rPr>
          <w:rFonts w:eastAsia="Times New Roman" w:cs="Times New Roman"/>
          <w:lang w:eastAsia="de-DE"/>
        </w:rPr>
        <w:t>τὸ</w:t>
      </w:r>
      <w:proofErr w:type="spellEnd"/>
      <w:r w:rsidRPr="008B1D78">
        <w:rPr>
          <w:rFonts w:eastAsia="Times New Roman" w:cs="Times New Roman"/>
          <w:lang w:eastAsia="de-DE"/>
        </w:rPr>
        <w:t xml:space="preserve"> </w:t>
      </w:r>
      <w:proofErr w:type="spellStart"/>
      <w:r w:rsidRPr="008B1D78">
        <w:rPr>
          <w:rFonts w:eastAsia="Times New Roman" w:cs="Times New Roman"/>
          <w:lang w:eastAsia="de-DE"/>
        </w:rPr>
        <w:t>ὁλοκ</w:t>
      </w:r>
      <w:proofErr w:type="spellEnd"/>
      <w:r w:rsidRPr="008B1D78">
        <w:rPr>
          <w:rFonts w:eastAsia="Times New Roman" w:cs="Times New Roman"/>
          <w:lang w:eastAsia="de-DE"/>
        </w:rPr>
        <w:t xml:space="preserve">αύτωμα (auf das </w:t>
      </w:r>
      <w:r w:rsidR="00CF10E7">
        <w:rPr>
          <w:rFonts w:eastAsia="Times New Roman" w:cs="Times New Roman"/>
          <w:lang w:eastAsia="de-DE"/>
        </w:rPr>
        <w:t>Aufsteigeopfer</w:t>
      </w:r>
      <w:r w:rsidRPr="008B1D78">
        <w:rPr>
          <w:rFonts w:eastAsia="Times New Roman" w:cs="Times New Roman"/>
          <w:lang w:eastAsia="de-DE"/>
        </w:rPr>
        <w:t>).</w:t>
      </w:r>
    </w:p>
    <w:p w14:paraId="51EDB030"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b/>
          <w:bCs/>
          <w:lang w:eastAsia="de-DE"/>
        </w:rPr>
        <w:t>Die Satzstruktur:</w:t>
      </w:r>
      <w:r w:rsidRPr="008B1D78">
        <w:rPr>
          <w:rFonts w:eastAsia="Times New Roman" w:cs="Times New Roman"/>
          <w:lang w:eastAsia="de-DE"/>
        </w:rPr>
        <w:t xml:space="preserve"> zeigt zwei koordinierte Hauptsätze: 1) Verb + zwei koordinierte direkte Objekte; 2) Verb + Ortsangabe mit Spezifikation. Die Struktur komplettiert die </w:t>
      </w:r>
      <w:r w:rsidRPr="008B1D78">
        <w:rPr>
          <w:rFonts w:eastAsia="Times New Roman" w:cs="Times New Roman"/>
          <w:b/>
          <w:bCs/>
          <w:rtl/>
          <w:lang w:eastAsia="de-DE"/>
        </w:rPr>
        <w:t>עלה</w:t>
      </w:r>
      <w:r w:rsidRPr="008B1D78">
        <w:rPr>
          <w:rFonts w:eastAsia="Times New Roman" w:cs="Times New Roman"/>
          <w:lang w:eastAsia="de-DE"/>
        </w:rPr>
        <w:t>-Prozedur.</w:t>
      </w:r>
    </w:p>
    <w:p w14:paraId="268CF07D" w14:textId="77777777" w:rsidR="008B1D78" w:rsidRPr="008B1D78" w:rsidRDefault="008B1D78" w:rsidP="008B1D78">
      <w:pPr>
        <w:spacing w:before="100" w:beforeAutospacing="1" w:after="100" w:afterAutospacing="1" w:line="240" w:lineRule="auto"/>
        <w:rPr>
          <w:rFonts w:eastAsia="Times New Roman" w:cs="Times New Roman"/>
          <w:lang w:eastAsia="de-DE"/>
        </w:rPr>
      </w:pPr>
      <w:r w:rsidRPr="008B1D78">
        <w:rPr>
          <w:rFonts w:eastAsia="Times New Roman" w:cs="Times New Roman"/>
          <w:lang w:eastAsia="de-DE"/>
        </w:rPr>
        <w:t xml:space="preserve">Dieser Vers komplettiert Aarons persönliches </w:t>
      </w:r>
      <w:r w:rsidRPr="008B1D78">
        <w:rPr>
          <w:rFonts w:eastAsia="Times New Roman" w:cs="Times New Roman"/>
          <w:b/>
          <w:bCs/>
          <w:rtl/>
          <w:lang w:eastAsia="de-DE"/>
        </w:rPr>
        <w:t>עלה</w:t>
      </w:r>
      <w:r w:rsidRPr="008B1D78">
        <w:rPr>
          <w:rFonts w:eastAsia="Times New Roman" w:cs="Times New Roman"/>
          <w:rtl/>
          <w:lang w:eastAsia="de-DE"/>
        </w:rPr>
        <w:t xml:space="preserve"> </w:t>
      </w:r>
      <w:r w:rsidRPr="008B1D78">
        <w:rPr>
          <w:rFonts w:eastAsia="Times New Roman" w:cs="Times New Roman"/>
          <w:lang w:eastAsia="de-DE"/>
        </w:rPr>
        <w:t>mit der rituellen Waschung und Verbrennung der letzten Körperteile.</w:t>
      </w:r>
    </w:p>
    <w:p w14:paraId="0D6FEFE6"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9,15</w:t>
      </w:r>
    </w:p>
    <w:p w14:paraId="1A53034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וַיַּקְרֵ֕ב אֵ֖ת קָרְבַּ֣ן הָעָ֑ם וַיִּקַּ֞ח אֶת־שְׂעִ֤יר הַֽחַטָּאת֙ אֲשֶׁ֣ר לָעָ֔ם וַיִּשְׁחָטֵ֥הוּ וַֽיְחַטְּאֵ֖הוּ כָּרִאשֽׁוֹן׃</w:t>
      </w:r>
    </w:p>
    <w:p w14:paraId="7DB1818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Deutsch:</w:t>
      </w:r>
      <w:r w:rsidRPr="00BA68AC">
        <w:rPr>
          <w:rFonts w:eastAsia="Times New Roman" w:cs="Times New Roman"/>
          <w:lang w:eastAsia="de-DE"/>
        </w:rPr>
        <w:t xml:space="preserve"> Und er brachte die Opfergabe des Volkes herzu, und nahm den Bock des Sündopfers, der für das Volk war, und schlachtete ihn und opferte ihn als Sündopfer, wie das vorige.</w:t>
      </w:r>
    </w:p>
    <w:p w14:paraId="1DC2DD81"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529F71E9">
          <v:rect id="_x0000_i1247" style="width:0;height:1.5pt" o:hralign="center" o:hrstd="t" o:hr="t" fillcolor="#a0a0a0" stroked="f"/>
        </w:pict>
      </w:r>
    </w:p>
    <w:p w14:paraId="57B8600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ויקרב את קרבן העם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(darbringen) im Hifil-Imperfekt 3. Person maskulin Singular mit Waw-Konsekutiv. </w:t>
      </w:r>
      <w:r w:rsidRPr="00BA68AC">
        <w:rPr>
          <w:rFonts w:eastAsia="Times New Roman" w:cs="Times New Roman"/>
          <w:b/>
          <w:bCs/>
          <w:rtl/>
          <w:lang w:eastAsia="de-DE"/>
        </w:rPr>
        <w:t>את קרבן העם</w:t>
      </w:r>
      <w:r w:rsidRPr="00BA68AC">
        <w:rPr>
          <w:rFonts w:eastAsia="Times New Roman" w:cs="Times New Roman"/>
          <w:rtl/>
          <w:lang w:eastAsia="de-DE"/>
        </w:rPr>
        <w:t xml:space="preserve"> </w:t>
      </w:r>
      <w:r w:rsidRPr="00BA68AC">
        <w:rPr>
          <w:rFonts w:eastAsia="Times New Roman" w:cs="Times New Roman"/>
          <w:lang w:eastAsia="de-DE"/>
        </w:rPr>
        <w:t>(die Opfergabe des Volkes) als Kollektiv für alle Volksopfer aus V. 3-4. Aaron wendet sich jetzt von seinen persönlichen Opfern zu den Volksopfern.</w:t>
      </w:r>
    </w:p>
    <w:p w14:paraId="5748AEEE"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ויקח את־שעיר החטאת אשר לעם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לקח</w:t>
      </w:r>
      <w:r w:rsidRPr="00BA68AC">
        <w:rPr>
          <w:rFonts w:eastAsia="Times New Roman" w:cs="Times New Roman"/>
          <w:rtl/>
          <w:lang w:eastAsia="de-DE"/>
        </w:rPr>
        <w:t xml:space="preserve"> </w:t>
      </w:r>
      <w:r w:rsidRPr="00BA68AC">
        <w:rPr>
          <w:rFonts w:eastAsia="Times New Roman" w:cs="Times New Roman"/>
          <w:lang w:eastAsia="de-DE"/>
        </w:rPr>
        <w:t xml:space="preserve">(nehmen) im Qal-Imperfekt 3. Person maskulin Singular mit Waw-Konsekutiv. </w:t>
      </w:r>
      <w:r w:rsidRPr="00BA68AC">
        <w:rPr>
          <w:rFonts w:eastAsia="Times New Roman" w:cs="Times New Roman"/>
          <w:b/>
          <w:bCs/>
          <w:rtl/>
          <w:lang w:eastAsia="de-DE"/>
        </w:rPr>
        <w:t>את־שעיר החטאת</w:t>
      </w:r>
      <w:r w:rsidRPr="00BA68AC">
        <w:rPr>
          <w:rFonts w:eastAsia="Times New Roman" w:cs="Times New Roman"/>
          <w:rtl/>
          <w:lang w:eastAsia="de-DE"/>
        </w:rPr>
        <w:t xml:space="preserve"> </w:t>
      </w:r>
      <w:r w:rsidRPr="00BA68AC">
        <w:rPr>
          <w:rFonts w:eastAsia="Times New Roman" w:cs="Times New Roman"/>
          <w:lang w:eastAsia="de-DE"/>
        </w:rPr>
        <w:t xml:space="preserve">(den Bock des Sündopfers) referenziert </w:t>
      </w:r>
      <w:r w:rsidRPr="00BA68AC">
        <w:rPr>
          <w:rFonts w:eastAsia="Times New Roman" w:cs="Times New Roman"/>
          <w:b/>
          <w:bCs/>
          <w:rtl/>
          <w:lang w:eastAsia="de-DE"/>
        </w:rPr>
        <w:t>שעיר־עזים</w:t>
      </w:r>
      <w:r w:rsidRPr="00BA68AC">
        <w:rPr>
          <w:rFonts w:eastAsia="Times New Roman" w:cs="Times New Roman"/>
          <w:rtl/>
          <w:lang w:eastAsia="de-DE"/>
        </w:rPr>
        <w:t xml:space="preserve"> </w:t>
      </w:r>
      <w:r w:rsidRPr="00BA68AC">
        <w:rPr>
          <w:rFonts w:eastAsia="Times New Roman" w:cs="Times New Roman"/>
          <w:lang w:eastAsia="de-DE"/>
        </w:rPr>
        <w:t xml:space="preserve">aus V. 3. </w:t>
      </w:r>
      <w:r w:rsidRPr="00BA68AC">
        <w:rPr>
          <w:rFonts w:eastAsia="Times New Roman" w:cs="Times New Roman"/>
          <w:b/>
          <w:bCs/>
          <w:rtl/>
          <w:lang w:eastAsia="de-DE"/>
        </w:rPr>
        <w:t>אשר לעם</w:t>
      </w:r>
      <w:r w:rsidRPr="00BA68AC">
        <w:rPr>
          <w:rFonts w:eastAsia="Times New Roman" w:cs="Times New Roman"/>
          <w:rtl/>
          <w:lang w:eastAsia="de-DE"/>
        </w:rPr>
        <w:t xml:space="preserve"> </w:t>
      </w:r>
      <w:r w:rsidRPr="00BA68AC">
        <w:rPr>
          <w:rFonts w:eastAsia="Times New Roman" w:cs="Times New Roman"/>
          <w:lang w:eastAsia="de-DE"/>
        </w:rPr>
        <w:t xml:space="preserve">(der für das Volk war) als Relativsatz unterscheidet dieses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von Aarons persönlichem aus V. 8.</w:t>
      </w:r>
    </w:p>
    <w:p w14:paraId="1A6BB7C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וישחטהו ויחטאהו כראשון</w:t>
      </w:r>
      <w:r w:rsidRPr="00BA68AC">
        <w:rPr>
          <w:rFonts w:eastAsia="Times New Roman" w:cs="Times New Roman"/>
          <w:rtl/>
          <w:lang w:eastAsia="de-DE"/>
        </w:rPr>
        <w:t xml:space="preserve"> </w:t>
      </w:r>
      <w:r w:rsidRPr="00BA68AC">
        <w:rPr>
          <w:rFonts w:eastAsia="Times New Roman" w:cs="Times New Roman"/>
          <w:lang w:eastAsia="de-DE"/>
        </w:rPr>
        <w:t xml:space="preserve">zeigt zwei koordinierte Handlungen. </w:t>
      </w:r>
      <w:r w:rsidRPr="00BA68AC">
        <w:rPr>
          <w:rFonts w:eastAsia="Times New Roman" w:cs="Times New Roman"/>
          <w:b/>
          <w:bCs/>
          <w:rtl/>
          <w:lang w:eastAsia="de-DE"/>
        </w:rPr>
        <w:t>וישחטהו</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שחט</w:t>
      </w:r>
      <w:r w:rsidRPr="00BA68AC">
        <w:rPr>
          <w:rFonts w:eastAsia="Times New Roman" w:cs="Times New Roman"/>
          <w:rtl/>
          <w:lang w:eastAsia="de-DE"/>
        </w:rPr>
        <w:t xml:space="preserve"> </w:t>
      </w:r>
      <w:r w:rsidRPr="00BA68AC">
        <w:rPr>
          <w:rFonts w:eastAsia="Times New Roman" w:cs="Times New Roman"/>
          <w:lang w:eastAsia="de-DE"/>
        </w:rPr>
        <w:t xml:space="preserve">(schlachten) mit Objektsuffix 3. Person maskulin Singular. </w:t>
      </w:r>
      <w:r w:rsidRPr="00BA68AC">
        <w:rPr>
          <w:rFonts w:eastAsia="Times New Roman" w:cs="Times New Roman"/>
          <w:b/>
          <w:bCs/>
          <w:rtl/>
          <w:lang w:eastAsia="de-DE"/>
        </w:rPr>
        <w:t>ויחטאהו</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חטא</w:t>
      </w:r>
      <w:r w:rsidRPr="00BA68AC">
        <w:rPr>
          <w:rFonts w:eastAsia="Times New Roman" w:cs="Times New Roman"/>
          <w:rtl/>
          <w:lang w:eastAsia="de-DE"/>
        </w:rPr>
        <w:t xml:space="preserve"> </w:t>
      </w:r>
      <w:r w:rsidRPr="00BA68AC">
        <w:rPr>
          <w:rFonts w:eastAsia="Times New Roman" w:cs="Times New Roman"/>
          <w:lang w:eastAsia="de-DE"/>
        </w:rPr>
        <w:t xml:space="preserve">im Piel (als Sündopfer darbringen) mit Objektsuffix. </w:t>
      </w:r>
      <w:r w:rsidRPr="00BA68AC">
        <w:rPr>
          <w:rFonts w:eastAsia="Times New Roman" w:cs="Times New Roman"/>
          <w:b/>
          <w:bCs/>
          <w:rtl/>
          <w:lang w:eastAsia="de-DE"/>
        </w:rPr>
        <w:t>כראשון</w:t>
      </w:r>
      <w:r w:rsidRPr="00BA68AC">
        <w:rPr>
          <w:rFonts w:eastAsia="Times New Roman" w:cs="Times New Roman"/>
          <w:rtl/>
          <w:lang w:eastAsia="de-DE"/>
        </w:rPr>
        <w:t xml:space="preserve"> </w:t>
      </w:r>
      <w:r w:rsidRPr="00BA68AC">
        <w:rPr>
          <w:rFonts w:eastAsia="Times New Roman" w:cs="Times New Roman"/>
          <w:lang w:eastAsia="de-DE"/>
        </w:rPr>
        <w:t xml:space="preserve">(wie das erste) referenziert Aarons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aus V. 8-11.</w:t>
      </w:r>
    </w:p>
    <w:p w14:paraId="3175320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קרבן העם</w:t>
      </w:r>
      <w:r w:rsidRPr="00BA68AC">
        <w:rPr>
          <w:rFonts w:eastAsia="Times New Roman" w:cs="Times New Roman"/>
          <w:rtl/>
          <w:lang w:eastAsia="de-DE"/>
        </w:rPr>
        <w:t xml:space="preserve"> </w:t>
      </w:r>
      <w:r w:rsidRPr="00BA68AC">
        <w:rPr>
          <w:rFonts w:eastAsia="Times New Roman" w:cs="Times New Roman"/>
          <w:lang w:eastAsia="de-DE"/>
        </w:rPr>
        <w:t xml:space="preserve">als Überbegriff zeigt Aarons Rolle als Mittler zwischen Gott und Volk. </w:t>
      </w:r>
      <w:r w:rsidRPr="00BA68AC">
        <w:rPr>
          <w:rFonts w:eastAsia="Times New Roman" w:cs="Times New Roman"/>
          <w:b/>
          <w:bCs/>
          <w:rtl/>
          <w:lang w:eastAsia="de-DE"/>
        </w:rPr>
        <w:t>שעיר החטאת</w:t>
      </w:r>
      <w:r w:rsidRPr="00BA68AC">
        <w:rPr>
          <w:rFonts w:eastAsia="Times New Roman" w:cs="Times New Roman"/>
          <w:rtl/>
          <w:lang w:eastAsia="de-DE"/>
        </w:rPr>
        <w:t xml:space="preserve"> </w:t>
      </w:r>
      <w:r w:rsidRPr="00BA68AC">
        <w:rPr>
          <w:rFonts w:eastAsia="Times New Roman" w:cs="Times New Roman"/>
          <w:lang w:eastAsia="de-DE"/>
        </w:rPr>
        <w:t xml:space="preserve">unterscheidet sich von Aarons </w:t>
      </w:r>
      <w:r w:rsidRPr="00BA68AC">
        <w:rPr>
          <w:rFonts w:eastAsia="Times New Roman" w:cs="Times New Roman"/>
          <w:b/>
          <w:bCs/>
          <w:rtl/>
          <w:lang w:eastAsia="de-DE"/>
        </w:rPr>
        <w:t>עגל החטאת</w:t>
      </w:r>
      <w:r w:rsidRPr="00BA68AC">
        <w:rPr>
          <w:rFonts w:eastAsia="Times New Roman" w:cs="Times New Roman"/>
          <w:rtl/>
          <w:lang w:eastAsia="de-DE"/>
        </w:rPr>
        <w:t xml:space="preserve"> </w:t>
      </w:r>
      <w:r w:rsidRPr="00BA68AC">
        <w:rPr>
          <w:rFonts w:eastAsia="Times New Roman" w:cs="Times New Roman"/>
          <w:lang w:eastAsia="de-DE"/>
        </w:rPr>
        <w:t xml:space="preserve">und zeigt verschiedene </w:t>
      </w:r>
      <w:r w:rsidRPr="00BA68AC">
        <w:rPr>
          <w:rFonts w:eastAsia="Times New Roman" w:cs="Times New Roman"/>
          <w:b/>
          <w:bCs/>
          <w:rtl/>
          <w:lang w:eastAsia="de-DE"/>
        </w:rPr>
        <w:t>חטאת</w:t>
      </w:r>
      <w:r w:rsidRPr="00BA68AC">
        <w:rPr>
          <w:rFonts w:eastAsia="Times New Roman" w:cs="Times New Roman"/>
          <w:lang w:eastAsia="de-DE"/>
        </w:rPr>
        <w:t>-Kategorien für Priester und Volk.</w:t>
      </w:r>
    </w:p>
    <w:p w14:paraId="780D9C0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ויחטאהו</w:t>
      </w:r>
      <w:r w:rsidRPr="00BA68AC">
        <w:rPr>
          <w:rFonts w:eastAsia="Times New Roman" w:cs="Times New Roman"/>
          <w:rtl/>
          <w:lang w:eastAsia="de-DE"/>
        </w:rPr>
        <w:t xml:space="preserve"> </w:t>
      </w:r>
      <w:r w:rsidRPr="00BA68AC">
        <w:rPr>
          <w:rFonts w:eastAsia="Times New Roman" w:cs="Times New Roman"/>
          <w:lang w:eastAsia="de-DE"/>
        </w:rPr>
        <w:t xml:space="preserve">mit </w:t>
      </w:r>
      <w:r w:rsidRPr="00BA68AC">
        <w:rPr>
          <w:rFonts w:eastAsia="Times New Roman" w:cs="Times New Roman"/>
          <w:b/>
          <w:bCs/>
          <w:rtl/>
          <w:lang w:eastAsia="de-DE"/>
        </w:rPr>
        <w:t>חטא</w:t>
      </w:r>
      <w:r w:rsidRPr="00BA68AC">
        <w:rPr>
          <w:rFonts w:eastAsia="Times New Roman" w:cs="Times New Roman"/>
          <w:rtl/>
          <w:lang w:eastAsia="de-DE"/>
        </w:rPr>
        <w:t xml:space="preserve"> </w:t>
      </w:r>
      <w:r w:rsidRPr="00BA68AC">
        <w:rPr>
          <w:rFonts w:eastAsia="Times New Roman" w:cs="Times New Roman"/>
          <w:lang w:eastAsia="de-DE"/>
        </w:rPr>
        <w:t xml:space="preserve">im Piel bedeutet "als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 xml:space="preserve">behandeln/darbringen" und umfasst die gesamte </w:t>
      </w:r>
      <w:r w:rsidRPr="00BA68AC">
        <w:rPr>
          <w:rFonts w:eastAsia="Times New Roman" w:cs="Times New Roman"/>
          <w:b/>
          <w:bCs/>
          <w:rtl/>
          <w:lang w:eastAsia="de-DE"/>
        </w:rPr>
        <w:t>חטאת</w:t>
      </w:r>
      <w:r w:rsidRPr="00BA68AC">
        <w:rPr>
          <w:rFonts w:eastAsia="Times New Roman" w:cs="Times New Roman"/>
          <w:lang w:eastAsia="de-DE"/>
        </w:rPr>
        <w:t xml:space="preserve">-Prozedur. </w:t>
      </w:r>
      <w:r w:rsidRPr="00BA68AC">
        <w:rPr>
          <w:rFonts w:eastAsia="Times New Roman" w:cs="Times New Roman"/>
          <w:b/>
          <w:bCs/>
          <w:rtl/>
          <w:lang w:eastAsia="de-DE"/>
        </w:rPr>
        <w:t>כראשון</w:t>
      </w:r>
      <w:r w:rsidRPr="00BA68AC">
        <w:rPr>
          <w:rFonts w:eastAsia="Times New Roman" w:cs="Times New Roman"/>
          <w:rtl/>
          <w:lang w:eastAsia="de-DE"/>
        </w:rPr>
        <w:t xml:space="preserve"> </w:t>
      </w:r>
      <w:r w:rsidRPr="00BA68AC">
        <w:rPr>
          <w:rFonts w:eastAsia="Times New Roman" w:cs="Times New Roman"/>
          <w:lang w:eastAsia="de-DE"/>
        </w:rPr>
        <w:t xml:space="preserve">zeigt, dass Aaron dieselbe Prozedur wie bei seinem eigenen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anwendet.</w:t>
      </w:r>
    </w:p>
    <w:p w14:paraId="3D286036" w14:textId="3C8EA388"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übersetzt </w:t>
      </w:r>
      <w:r w:rsidR="00F6539E">
        <w:rPr>
          <w:rtl/>
        </w:rPr>
        <w:t>ויחטאהו</w:t>
      </w:r>
      <w:r w:rsidR="00F6539E">
        <w:t xml:space="preserve"> (</w:t>
      </w:r>
      <w:proofErr w:type="spellStart"/>
      <w:r w:rsidR="00F6539E">
        <w:t>waychatte'ehu</w:t>
      </w:r>
      <w:proofErr w:type="spellEnd"/>
      <w:r w:rsidR="00F6539E">
        <w:t xml:space="preserve"> - "und er entsündigte es") als καὶ </w:t>
      </w:r>
      <w:proofErr w:type="spellStart"/>
      <w:r w:rsidR="00F6539E">
        <w:t>ἐκ</w:t>
      </w:r>
      <w:proofErr w:type="spellEnd"/>
      <w:r w:rsidR="00F6539E">
        <w:t>αθάρισεν α</w:t>
      </w:r>
      <w:proofErr w:type="spellStart"/>
      <w:r w:rsidR="00F6539E">
        <w:t>ὐτὸν</w:t>
      </w:r>
      <w:proofErr w:type="spellEnd"/>
      <w:r w:rsidR="00F6539E">
        <w:t xml:space="preserve"> (und er reinigte es), was eine Betonung der kultischen Reinigung statt der Sündentilgung zeigt.</w:t>
      </w:r>
    </w:p>
    <w:p w14:paraId="50FFC82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vier koordinierte Hauptsätze: Darbringung + Nahme + Schlachtung + </w:t>
      </w:r>
      <w:r w:rsidRPr="00BA68AC">
        <w:rPr>
          <w:rFonts w:eastAsia="Times New Roman" w:cs="Times New Roman"/>
          <w:b/>
          <w:bCs/>
          <w:rtl/>
          <w:lang w:eastAsia="de-DE"/>
        </w:rPr>
        <w:t>חטאת</w:t>
      </w:r>
      <w:r w:rsidRPr="00BA68AC">
        <w:rPr>
          <w:rFonts w:eastAsia="Times New Roman" w:cs="Times New Roman"/>
          <w:lang w:eastAsia="de-DE"/>
        </w:rPr>
        <w:t>-Behandlung mit Vergleich. Die Struktur zeigt den Übergang zu den Volksopfern mit etablierter Prozedur.</w:t>
      </w:r>
    </w:p>
    <w:p w14:paraId="7FAED73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beginnt die Volksopfer mit dem </w:t>
      </w:r>
      <w:r w:rsidRPr="00BA68AC">
        <w:rPr>
          <w:rFonts w:eastAsia="Times New Roman" w:cs="Times New Roman"/>
          <w:b/>
          <w:bCs/>
          <w:rtl/>
          <w:lang w:eastAsia="de-DE"/>
        </w:rPr>
        <w:t>חטאת</w:t>
      </w:r>
      <w:r w:rsidRPr="00BA68AC">
        <w:rPr>
          <w:rFonts w:eastAsia="Times New Roman" w:cs="Times New Roman"/>
          <w:lang w:eastAsia="de-DE"/>
        </w:rPr>
        <w:t xml:space="preserve">-Bock und zeigt, dass Aaron dieselbe Prozedur wie bei seinem eigenen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anwendet.</w:t>
      </w:r>
    </w:p>
    <w:p w14:paraId="7183184B"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9,16</w:t>
      </w:r>
    </w:p>
    <w:p w14:paraId="4D47E1D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וַיַּקְרֵ֖ב אֶת־הָעֹלָ֑ה וַֽיַּעֲשֶׂ֖הָ כַּמִּשְׁפָּֽט׃</w:t>
      </w:r>
    </w:p>
    <w:p w14:paraId="59AEF06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er brachte das Aufsteigeopfer herzu und opferte es nach der Vorschrift.</w:t>
      </w:r>
    </w:p>
    <w:p w14:paraId="2749ABB0"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49E1D382">
          <v:rect id="_x0000_i1248" style="width:0;height:1.5pt" o:hralign="center" o:hrstd="t" o:hr="t" fillcolor="#a0a0a0" stroked="f"/>
        </w:pict>
      </w:r>
    </w:p>
    <w:p w14:paraId="504C339D" w14:textId="0E64FCAE"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Kommentar:</w:t>
      </w:r>
      <w:r w:rsidRPr="00BA68AC">
        <w:rPr>
          <w:rFonts w:eastAsia="Times New Roman" w:cs="Times New Roman"/>
          <w:lang w:eastAsia="de-DE"/>
        </w:rPr>
        <w:t xml:space="preserve"> </w:t>
      </w:r>
      <w:r w:rsidRPr="00BA68AC">
        <w:rPr>
          <w:rFonts w:eastAsia="Times New Roman" w:cs="Times New Roman"/>
          <w:b/>
          <w:bCs/>
          <w:rtl/>
          <w:lang w:eastAsia="de-DE"/>
        </w:rPr>
        <w:t>ויקרב את־העלה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(darbringen) im Hifil-Imperfekt 3. Person maskulin Singular mit Waw-Konsekutiv. </w:t>
      </w:r>
      <w:r w:rsidRPr="00BA68AC">
        <w:rPr>
          <w:rFonts w:eastAsia="Times New Roman" w:cs="Times New Roman"/>
          <w:b/>
          <w:bCs/>
          <w:rtl/>
          <w:lang w:eastAsia="de-DE"/>
        </w:rPr>
        <w:t>את־העלה</w:t>
      </w:r>
      <w:r w:rsidRPr="00BA68AC">
        <w:rPr>
          <w:rFonts w:eastAsia="Times New Roman" w:cs="Times New Roman"/>
          <w:rtl/>
          <w:lang w:eastAsia="de-DE"/>
        </w:rPr>
        <w:t xml:space="preserve"> </w:t>
      </w:r>
      <w:r w:rsidRPr="00BA68AC">
        <w:rPr>
          <w:rFonts w:eastAsia="Times New Roman" w:cs="Times New Roman"/>
          <w:lang w:eastAsia="de-DE"/>
        </w:rPr>
        <w:t xml:space="preserve">(das </w:t>
      </w:r>
      <w:r w:rsidR="00CF10E7">
        <w:rPr>
          <w:rFonts w:eastAsia="Times New Roman" w:cs="Times New Roman"/>
          <w:lang w:eastAsia="de-DE"/>
        </w:rPr>
        <w:t>Aufsteigeopfer</w:t>
      </w:r>
      <w:r w:rsidRPr="00BA68AC">
        <w:rPr>
          <w:rFonts w:eastAsia="Times New Roman" w:cs="Times New Roman"/>
          <w:lang w:eastAsia="de-DE"/>
        </w:rPr>
        <w:t>) referenziert das Volks-</w:t>
      </w:r>
      <w:r w:rsidRPr="00BA68AC">
        <w:rPr>
          <w:rFonts w:eastAsia="Times New Roman" w:cs="Times New Roman"/>
          <w:b/>
          <w:bCs/>
          <w:rtl/>
          <w:lang w:eastAsia="de-DE"/>
        </w:rPr>
        <w:t>עלה</w:t>
      </w:r>
      <w:r w:rsidRPr="00BA68AC">
        <w:rPr>
          <w:rFonts w:eastAsia="Times New Roman" w:cs="Times New Roman"/>
          <w:rtl/>
          <w:lang w:eastAsia="de-DE"/>
        </w:rPr>
        <w:t xml:space="preserve"> </w:t>
      </w:r>
      <w:r w:rsidRPr="00BA68AC">
        <w:rPr>
          <w:rFonts w:eastAsia="Times New Roman" w:cs="Times New Roman"/>
          <w:lang w:eastAsia="de-DE"/>
        </w:rPr>
        <w:t xml:space="preserve">aus V. 3: </w:t>
      </w:r>
      <w:r w:rsidRPr="00BA68AC">
        <w:rPr>
          <w:rFonts w:eastAsia="Times New Roman" w:cs="Times New Roman"/>
          <w:b/>
          <w:bCs/>
          <w:rtl/>
          <w:lang w:eastAsia="de-DE"/>
        </w:rPr>
        <w:t>עגל וכבש</w:t>
      </w:r>
      <w:r w:rsidRPr="00BA68AC">
        <w:rPr>
          <w:rFonts w:eastAsia="Times New Roman" w:cs="Times New Roman"/>
          <w:rtl/>
          <w:lang w:eastAsia="de-DE"/>
        </w:rPr>
        <w:t xml:space="preserve"> </w:t>
      </w:r>
      <w:r w:rsidRPr="00BA68AC">
        <w:rPr>
          <w:rFonts w:eastAsia="Times New Roman" w:cs="Times New Roman"/>
          <w:lang w:eastAsia="de-DE"/>
        </w:rPr>
        <w:t>als Alternative.</w:t>
      </w:r>
    </w:p>
    <w:p w14:paraId="1664DC1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ויעשה כמשפט</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עשה</w:t>
      </w:r>
      <w:r w:rsidRPr="00BA68AC">
        <w:rPr>
          <w:rFonts w:eastAsia="Times New Roman" w:cs="Times New Roman"/>
          <w:rtl/>
          <w:lang w:eastAsia="de-DE"/>
        </w:rPr>
        <w:t xml:space="preserve"> </w:t>
      </w:r>
      <w:r w:rsidRPr="00BA68AC">
        <w:rPr>
          <w:rFonts w:eastAsia="Times New Roman" w:cs="Times New Roman"/>
          <w:lang w:eastAsia="de-DE"/>
        </w:rPr>
        <w:t xml:space="preserve">(tun/machen) im Qal-Imperfekt 3. Person maskulin Singular mit Waw-Konsekutiv. </w:t>
      </w:r>
      <w:r w:rsidRPr="00BA68AC">
        <w:rPr>
          <w:rFonts w:eastAsia="Times New Roman" w:cs="Times New Roman"/>
          <w:b/>
          <w:bCs/>
          <w:rtl/>
          <w:lang w:eastAsia="de-DE"/>
        </w:rPr>
        <w:t>ויעשה</w:t>
      </w:r>
      <w:r w:rsidRPr="00BA68AC">
        <w:rPr>
          <w:rFonts w:eastAsia="Times New Roman" w:cs="Times New Roman"/>
          <w:rtl/>
          <w:lang w:eastAsia="de-DE"/>
        </w:rPr>
        <w:t xml:space="preserve"> </w:t>
      </w:r>
      <w:r w:rsidRPr="00BA68AC">
        <w:rPr>
          <w:rFonts w:eastAsia="Times New Roman" w:cs="Times New Roman"/>
          <w:lang w:eastAsia="de-DE"/>
        </w:rPr>
        <w:t xml:space="preserve">mit Objektsuffix 3. Person feminin Singular referenziert </w:t>
      </w:r>
      <w:r w:rsidRPr="00BA68AC">
        <w:rPr>
          <w:rFonts w:eastAsia="Times New Roman" w:cs="Times New Roman"/>
          <w:b/>
          <w:bCs/>
          <w:rtl/>
          <w:lang w:eastAsia="de-DE"/>
        </w:rPr>
        <w:t>העלה</w:t>
      </w:r>
      <w:r w:rsidRPr="00BA68AC">
        <w:rPr>
          <w:rFonts w:eastAsia="Times New Roman" w:cs="Times New Roman"/>
          <w:lang w:eastAsia="de-DE"/>
        </w:rPr>
        <w:t xml:space="preserve">. </w:t>
      </w:r>
      <w:r w:rsidRPr="00BA68AC">
        <w:rPr>
          <w:rFonts w:eastAsia="Times New Roman" w:cs="Times New Roman"/>
          <w:b/>
          <w:bCs/>
          <w:rtl/>
          <w:lang w:eastAsia="de-DE"/>
        </w:rPr>
        <w:t>כמשפט</w:t>
      </w:r>
      <w:r w:rsidRPr="00BA68AC">
        <w:rPr>
          <w:rFonts w:eastAsia="Times New Roman" w:cs="Times New Roman"/>
          <w:rtl/>
          <w:lang w:eastAsia="de-DE"/>
        </w:rPr>
        <w:t xml:space="preserve"> </w:t>
      </w:r>
      <w:r w:rsidRPr="00BA68AC">
        <w:rPr>
          <w:rFonts w:eastAsia="Times New Roman" w:cs="Times New Roman"/>
          <w:lang w:eastAsia="de-DE"/>
        </w:rPr>
        <w:t xml:space="preserve">(nach der Vorschrift) - </w:t>
      </w:r>
      <w:r w:rsidRPr="00BA68AC">
        <w:rPr>
          <w:rFonts w:eastAsia="Times New Roman" w:cs="Times New Roman"/>
          <w:b/>
          <w:bCs/>
          <w:rtl/>
          <w:lang w:eastAsia="de-DE"/>
        </w:rPr>
        <w:t>משפט</w:t>
      </w:r>
      <w:r w:rsidRPr="00BA68AC">
        <w:rPr>
          <w:rFonts w:eastAsia="Times New Roman" w:cs="Times New Roman"/>
          <w:rtl/>
          <w:lang w:eastAsia="de-DE"/>
        </w:rPr>
        <w:t xml:space="preserve"> </w:t>
      </w:r>
      <w:r w:rsidRPr="00BA68AC">
        <w:rPr>
          <w:rFonts w:eastAsia="Times New Roman" w:cs="Times New Roman"/>
          <w:lang w:eastAsia="de-DE"/>
        </w:rPr>
        <w:t xml:space="preserve">(Recht/Vorschrift) mit Präposition </w:t>
      </w:r>
      <w:r w:rsidRPr="00BA68AC">
        <w:rPr>
          <w:rFonts w:eastAsia="Times New Roman" w:cs="Times New Roman"/>
          <w:b/>
          <w:bCs/>
          <w:rtl/>
          <w:lang w:eastAsia="de-DE"/>
        </w:rPr>
        <w:t>כ</w:t>
      </w:r>
      <w:r w:rsidRPr="00BA68AC">
        <w:rPr>
          <w:rFonts w:eastAsia="Times New Roman" w:cs="Times New Roman"/>
          <w:rtl/>
          <w:lang w:eastAsia="de-DE"/>
        </w:rPr>
        <w:t xml:space="preserve"> </w:t>
      </w:r>
      <w:r w:rsidRPr="00BA68AC">
        <w:rPr>
          <w:rFonts w:eastAsia="Times New Roman" w:cs="Times New Roman"/>
          <w:lang w:eastAsia="de-DE"/>
        </w:rPr>
        <w:t>(entsprechend).</w:t>
      </w:r>
    </w:p>
    <w:p w14:paraId="365D025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כמשפט</w:t>
      </w:r>
      <w:r w:rsidRPr="00BA68AC">
        <w:rPr>
          <w:rFonts w:eastAsia="Times New Roman" w:cs="Times New Roman"/>
          <w:rtl/>
          <w:lang w:eastAsia="de-DE"/>
        </w:rPr>
        <w:t xml:space="preserve"> </w:t>
      </w:r>
      <w:r w:rsidRPr="00BA68AC">
        <w:rPr>
          <w:rFonts w:eastAsia="Times New Roman" w:cs="Times New Roman"/>
          <w:lang w:eastAsia="de-DE"/>
        </w:rPr>
        <w:t xml:space="preserve">referenziert die etablierten </w:t>
      </w:r>
      <w:r w:rsidRPr="00BA68AC">
        <w:rPr>
          <w:rFonts w:eastAsia="Times New Roman" w:cs="Times New Roman"/>
          <w:b/>
          <w:bCs/>
          <w:rtl/>
          <w:lang w:eastAsia="de-DE"/>
        </w:rPr>
        <w:t>עלה</w:t>
      </w:r>
      <w:r w:rsidRPr="00BA68AC">
        <w:rPr>
          <w:rFonts w:eastAsia="Times New Roman" w:cs="Times New Roman"/>
          <w:lang w:eastAsia="de-DE"/>
        </w:rPr>
        <w:t xml:space="preserve">-Bestimmungen aus Kapitel 1 und die Anwendung in V. 12-14. Die knappe Formulierung zeigt, dass die </w:t>
      </w:r>
      <w:r w:rsidRPr="00BA68AC">
        <w:rPr>
          <w:rFonts w:eastAsia="Times New Roman" w:cs="Times New Roman"/>
          <w:b/>
          <w:bCs/>
          <w:rtl/>
          <w:lang w:eastAsia="de-DE"/>
        </w:rPr>
        <w:t>עלה</w:t>
      </w:r>
      <w:r w:rsidRPr="00BA68AC">
        <w:rPr>
          <w:rFonts w:eastAsia="Times New Roman" w:cs="Times New Roman"/>
          <w:lang w:eastAsia="de-DE"/>
        </w:rPr>
        <w:t>-Prozedur inzwischen standardisiert ist.</w:t>
      </w:r>
    </w:p>
    <w:p w14:paraId="29300AE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ויעשה</w:t>
      </w:r>
      <w:r w:rsidRPr="00BA68AC">
        <w:rPr>
          <w:rFonts w:eastAsia="Times New Roman" w:cs="Times New Roman"/>
          <w:rtl/>
          <w:lang w:eastAsia="de-DE"/>
        </w:rPr>
        <w:t xml:space="preserve"> </w:t>
      </w:r>
      <w:r w:rsidRPr="00BA68AC">
        <w:rPr>
          <w:rFonts w:eastAsia="Times New Roman" w:cs="Times New Roman"/>
          <w:lang w:eastAsia="de-DE"/>
        </w:rPr>
        <w:t xml:space="preserve">als allgemeiner Ausdruck umfasst alle </w:t>
      </w:r>
      <w:r w:rsidRPr="00BA68AC">
        <w:rPr>
          <w:rFonts w:eastAsia="Times New Roman" w:cs="Times New Roman"/>
          <w:b/>
          <w:bCs/>
          <w:rtl/>
          <w:lang w:eastAsia="de-DE"/>
        </w:rPr>
        <w:t>עלה</w:t>
      </w:r>
      <w:r w:rsidRPr="00BA68AC">
        <w:rPr>
          <w:rFonts w:eastAsia="Times New Roman" w:cs="Times New Roman"/>
          <w:lang w:eastAsia="de-DE"/>
        </w:rPr>
        <w:t xml:space="preserve">-Handlungen: Schlachtung, Blutsprengung, Zerlegung, Waschung, Verbrennung. </w:t>
      </w:r>
      <w:r w:rsidRPr="00BA68AC">
        <w:rPr>
          <w:rFonts w:eastAsia="Times New Roman" w:cs="Times New Roman"/>
          <w:b/>
          <w:bCs/>
          <w:rtl/>
          <w:lang w:eastAsia="de-DE"/>
        </w:rPr>
        <w:t>משפט</w:t>
      </w:r>
      <w:r w:rsidRPr="00BA68AC">
        <w:rPr>
          <w:rFonts w:eastAsia="Times New Roman" w:cs="Times New Roman"/>
          <w:rtl/>
          <w:lang w:eastAsia="de-DE"/>
        </w:rPr>
        <w:t xml:space="preserve"> </w:t>
      </w:r>
      <w:r w:rsidRPr="00BA68AC">
        <w:rPr>
          <w:rFonts w:eastAsia="Times New Roman" w:cs="Times New Roman"/>
          <w:lang w:eastAsia="de-DE"/>
        </w:rPr>
        <w:t>zeigt, dass diese Prozeduren als feste "Rechtssatzungen" etabliert sind.</w:t>
      </w:r>
    </w:p>
    <w:p w14:paraId="331F932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Kürze im Vergleich zu V. 12-14 zeigt, dass Aaron die </w:t>
      </w:r>
      <w:r w:rsidRPr="00BA68AC">
        <w:rPr>
          <w:rFonts w:eastAsia="Times New Roman" w:cs="Times New Roman"/>
          <w:b/>
          <w:bCs/>
          <w:rtl/>
          <w:lang w:eastAsia="de-DE"/>
        </w:rPr>
        <w:t>עלה</w:t>
      </w:r>
      <w:r w:rsidRPr="00BA68AC">
        <w:rPr>
          <w:rFonts w:eastAsia="Times New Roman" w:cs="Times New Roman"/>
          <w:lang w:eastAsia="de-DE"/>
        </w:rPr>
        <w:t xml:space="preserve">-Prozedur souverän beherrscht. </w:t>
      </w:r>
      <w:r w:rsidRPr="00BA68AC">
        <w:rPr>
          <w:rFonts w:eastAsia="Times New Roman" w:cs="Times New Roman"/>
          <w:b/>
          <w:bCs/>
          <w:rtl/>
          <w:lang w:eastAsia="de-DE"/>
        </w:rPr>
        <w:t>כמשפט</w:t>
      </w:r>
      <w:r w:rsidRPr="00BA68AC">
        <w:rPr>
          <w:rFonts w:eastAsia="Times New Roman" w:cs="Times New Roman"/>
          <w:rtl/>
          <w:lang w:eastAsia="de-DE"/>
        </w:rPr>
        <w:t xml:space="preserve"> </w:t>
      </w:r>
      <w:r w:rsidRPr="00BA68AC">
        <w:rPr>
          <w:rFonts w:eastAsia="Times New Roman" w:cs="Times New Roman"/>
          <w:lang w:eastAsia="de-DE"/>
        </w:rPr>
        <w:t>betont die Ordnungsmäßigkeit ohne Detailwiederholung.</w:t>
      </w:r>
    </w:p>
    <w:p w14:paraId="5D5CA7A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ויקרב</w:t>
      </w:r>
      <w:r w:rsidRPr="00BA68AC">
        <w:rPr>
          <w:rFonts w:eastAsia="Times New Roman" w:cs="Times New Roman"/>
          <w:rtl/>
          <w:lang w:eastAsia="de-DE"/>
        </w:rPr>
        <w:t xml:space="preserve"> </w:t>
      </w:r>
      <w:r w:rsidRPr="00BA68AC">
        <w:rPr>
          <w:rFonts w:eastAsia="Times New Roman" w:cs="Times New Roman"/>
          <w:lang w:eastAsia="de-DE"/>
        </w:rPr>
        <w:t>mit π</w:t>
      </w:r>
      <w:proofErr w:type="spellStart"/>
      <w:r w:rsidRPr="00BA68AC">
        <w:rPr>
          <w:rFonts w:eastAsia="Times New Roman" w:cs="Times New Roman"/>
          <w:lang w:eastAsia="de-DE"/>
        </w:rPr>
        <w:t>ροσήνεγκεν</w:t>
      </w:r>
      <w:proofErr w:type="spellEnd"/>
      <w:r w:rsidRPr="00BA68AC">
        <w:rPr>
          <w:rFonts w:eastAsia="Times New Roman" w:cs="Times New Roman"/>
          <w:lang w:eastAsia="de-DE"/>
        </w:rPr>
        <w:t xml:space="preserve"> (er brachte heran), </w:t>
      </w:r>
      <w:r w:rsidRPr="00BA68AC">
        <w:rPr>
          <w:rFonts w:eastAsia="Times New Roman" w:cs="Times New Roman"/>
          <w:b/>
          <w:bCs/>
          <w:rtl/>
          <w:lang w:eastAsia="de-DE"/>
        </w:rPr>
        <w:t>ויעשה</w:t>
      </w:r>
      <w:r w:rsidRPr="00BA68AC">
        <w:rPr>
          <w:rFonts w:eastAsia="Times New Roman" w:cs="Times New Roman"/>
          <w:rtl/>
          <w:lang w:eastAsia="de-DE"/>
        </w:rPr>
        <w:t xml:space="preserve"> </w:t>
      </w:r>
      <w:r w:rsidRPr="00BA68AC">
        <w:rPr>
          <w:rFonts w:eastAsia="Times New Roman" w:cs="Times New Roman"/>
          <w:lang w:eastAsia="de-DE"/>
        </w:rPr>
        <w:t>mit ἐπ</w:t>
      </w:r>
      <w:proofErr w:type="spellStart"/>
      <w:r w:rsidRPr="00BA68AC">
        <w:rPr>
          <w:rFonts w:eastAsia="Times New Roman" w:cs="Times New Roman"/>
          <w:lang w:eastAsia="de-DE"/>
        </w:rPr>
        <w:t>οίησεν</w:t>
      </w:r>
      <w:proofErr w:type="spellEnd"/>
      <w:r w:rsidRPr="00BA68AC">
        <w:rPr>
          <w:rFonts w:eastAsia="Times New Roman" w:cs="Times New Roman"/>
          <w:lang w:eastAsia="de-DE"/>
        </w:rPr>
        <w:t xml:space="preserve"> α</w:t>
      </w:r>
      <w:proofErr w:type="spellStart"/>
      <w:r w:rsidRPr="00BA68AC">
        <w:rPr>
          <w:rFonts w:eastAsia="Times New Roman" w:cs="Times New Roman"/>
          <w:lang w:eastAsia="de-DE"/>
        </w:rPr>
        <w:t>ὐτό</w:t>
      </w:r>
      <w:proofErr w:type="spellEnd"/>
      <w:r w:rsidRPr="00BA68AC">
        <w:rPr>
          <w:rFonts w:eastAsia="Times New Roman" w:cs="Times New Roman"/>
          <w:lang w:eastAsia="de-DE"/>
        </w:rPr>
        <w:t xml:space="preserve"> (er machte es) und </w:t>
      </w:r>
      <w:r w:rsidRPr="00BA68AC">
        <w:rPr>
          <w:rFonts w:eastAsia="Times New Roman" w:cs="Times New Roman"/>
          <w:b/>
          <w:bCs/>
          <w:rtl/>
          <w:lang w:eastAsia="de-DE"/>
        </w:rPr>
        <w:t>כמשפט</w:t>
      </w:r>
      <w:r w:rsidRPr="00BA68AC">
        <w:rPr>
          <w:rFonts w:eastAsia="Times New Roman" w:cs="Times New Roman"/>
          <w:rtl/>
          <w:lang w:eastAsia="de-DE"/>
        </w:rPr>
        <w:t xml:space="preserve"> </w:t>
      </w:r>
      <w:r w:rsidRPr="00BA68AC">
        <w:rPr>
          <w:rFonts w:eastAsia="Times New Roman" w:cs="Times New Roman"/>
          <w:lang w:eastAsia="de-DE"/>
        </w:rPr>
        <w:t>mit κα</w:t>
      </w:r>
      <w:proofErr w:type="spellStart"/>
      <w:r w:rsidRPr="00BA68AC">
        <w:rPr>
          <w:rFonts w:eastAsia="Times New Roman" w:cs="Times New Roman"/>
          <w:lang w:eastAsia="de-DE"/>
        </w:rPr>
        <w:t>τὰ</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τὸ</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κρίμ</w:t>
      </w:r>
      <w:proofErr w:type="spellEnd"/>
      <w:r w:rsidRPr="00BA68AC">
        <w:rPr>
          <w:rFonts w:eastAsia="Times New Roman" w:cs="Times New Roman"/>
          <w:lang w:eastAsia="de-DE"/>
        </w:rPr>
        <w:t>α (entsprechend dem Urteil).</w:t>
      </w:r>
    </w:p>
    <w:p w14:paraId="4698171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zwei koordinierte Hauptsätze: 1) Verb + direktes Objekt; 2) Verb + Modalangabe. Die knappe Struktur zeigt die routinierte Ausführung.</w:t>
      </w:r>
    </w:p>
    <w:p w14:paraId="53B9D4D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die ordnungsgemäße Darbringung des Volks-</w:t>
      </w:r>
      <w:r w:rsidRPr="00BA68AC">
        <w:rPr>
          <w:rFonts w:eastAsia="Times New Roman" w:cs="Times New Roman"/>
          <w:b/>
          <w:bCs/>
          <w:rtl/>
          <w:lang w:eastAsia="de-DE"/>
        </w:rPr>
        <w:t>עלה</w:t>
      </w:r>
      <w:r w:rsidRPr="00BA68AC">
        <w:rPr>
          <w:rFonts w:eastAsia="Times New Roman" w:cs="Times New Roman"/>
          <w:rtl/>
          <w:lang w:eastAsia="de-DE"/>
        </w:rPr>
        <w:t xml:space="preserve"> </w:t>
      </w:r>
      <w:r w:rsidRPr="00BA68AC">
        <w:rPr>
          <w:rFonts w:eastAsia="Times New Roman" w:cs="Times New Roman"/>
          <w:lang w:eastAsia="de-DE"/>
        </w:rPr>
        <w:t>durch Aaron entsprechend den etablierten Vorschriften.</w:t>
      </w:r>
    </w:p>
    <w:p w14:paraId="1B2845DB"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9,17</w:t>
      </w:r>
    </w:p>
    <w:p w14:paraId="730CAA0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וַיַּקְרֵב֮ אֶת־הַמִּנְחָה֒ וַיְמַלֵּ֤א כַפּוֹ֙ מִמֶּ֔נָּה וַיַּקְטֵ֖ר עַל־הַמִּזְבֵּ֑חַ מִלְּבַ֖ד עֹלַ֥ת הַבֹּֽקֶר׃</w:t>
      </w:r>
    </w:p>
    <w:p w14:paraId="47E4266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er brachte das Speisopfer herzu und füllte seine Hand davon und räucherte es auf dem Altar, außer dem Morgen-Aufsteigeopfer.</w:t>
      </w:r>
    </w:p>
    <w:p w14:paraId="16A26FD3"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777BF039">
          <v:rect id="_x0000_i1249" style="width:0;height:1.5pt" o:hralign="center" o:hrstd="t" o:hr="t" fillcolor="#a0a0a0" stroked="f"/>
        </w:pict>
      </w:r>
    </w:p>
    <w:p w14:paraId="70A8B7C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ויקרב את־המנחה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(darbringen) im Hifil-Imperfekt 3. Person maskulin Singular mit Waw-Konsekutiv. </w:t>
      </w:r>
      <w:r w:rsidRPr="00BA68AC">
        <w:rPr>
          <w:rFonts w:eastAsia="Times New Roman" w:cs="Times New Roman"/>
          <w:b/>
          <w:bCs/>
          <w:rtl/>
          <w:lang w:eastAsia="de-DE"/>
        </w:rPr>
        <w:t>את־המנחה</w:t>
      </w:r>
      <w:r w:rsidRPr="00BA68AC">
        <w:rPr>
          <w:rFonts w:eastAsia="Times New Roman" w:cs="Times New Roman"/>
          <w:rtl/>
          <w:lang w:eastAsia="de-DE"/>
        </w:rPr>
        <w:t xml:space="preserve"> </w:t>
      </w:r>
      <w:r w:rsidRPr="00BA68AC">
        <w:rPr>
          <w:rFonts w:eastAsia="Times New Roman" w:cs="Times New Roman"/>
          <w:lang w:eastAsia="de-DE"/>
        </w:rPr>
        <w:t xml:space="preserve">(das Speisopfer) referenziert die </w:t>
      </w:r>
      <w:r w:rsidRPr="00BA68AC">
        <w:rPr>
          <w:rFonts w:eastAsia="Times New Roman" w:cs="Times New Roman"/>
          <w:b/>
          <w:bCs/>
          <w:rtl/>
          <w:lang w:eastAsia="de-DE"/>
        </w:rPr>
        <w:t>מנחה בלולה בשמן</w:t>
      </w:r>
      <w:r w:rsidRPr="00BA68AC">
        <w:rPr>
          <w:rFonts w:eastAsia="Times New Roman" w:cs="Times New Roman"/>
          <w:rtl/>
          <w:lang w:eastAsia="de-DE"/>
        </w:rPr>
        <w:t xml:space="preserve"> </w:t>
      </w:r>
      <w:r w:rsidRPr="00BA68AC">
        <w:rPr>
          <w:rFonts w:eastAsia="Times New Roman" w:cs="Times New Roman"/>
          <w:lang w:eastAsia="de-DE"/>
        </w:rPr>
        <w:t>aus V. 4.</w:t>
      </w:r>
    </w:p>
    <w:p w14:paraId="139F747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וימלא כפו ממנה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מלא</w:t>
      </w:r>
      <w:r w:rsidRPr="00BA68AC">
        <w:rPr>
          <w:rFonts w:eastAsia="Times New Roman" w:cs="Times New Roman"/>
          <w:rtl/>
          <w:lang w:eastAsia="de-DE"/>
        </w:rPr>
        <w:t xml:space="preserve"> </w:t>
      </w:r>
      <w:r w:rsidRPr="00BA68AC">
        <w:rPr>
          <w:rFonts w:eastAsia="Times New Roman" w:cs="Times New Roman"/>
          <w:lang w:eastAsia="de-DE"/>
        </w:rPr>
        <w:t xml:space="preserve">(füllen) im Piel-Imperfekt 3. Person maskulin Singular mit Waw-Konsekutiv. </w:t>
      </w:r>
      <w:r w:rsidRPr="00BA68AC">
        <w:rPr>
          <w:rFonts w:eastAsia="Times New Roman" w:cs="Times New Roman"/>
          <w:b/>
          <w:bCs/>
          <w:rtl/>
          <w:lang w:eastAsia="de-DE"/>
        </w:rPr>
        <w:t>כפו</w:t>
      </w:r>
      <w:r w:rsidRPr="00BA68AC">
        <w:rPr>
          <w:rFonts w:eastAsia="Times New Roman" w:cs="Times New Roman"/>
          <w:rtl/>
          <w:lang w:eastAsia="de-DE"/>
        </w:rPr>
        <w:t xml:space="preserve"> </w:t>
      </w:r>
      <w:r w:rsidRPr="00BA68AC">
        <w:rPr>
          <w:rFonts w:eastAsia="Times New Roman" w:cs="Times New Roman"/>
          <w:lang w:eastAsia="de-DE"/>
        </w:rPr>
        <w:t xml:space="preserve">(seine Hand/Handfläche) mit Possessivsuffix 3. Person maskulin Singular. </w:t>
      </w:r>
      <w:r w:rsidRPr="00BA68AC">
        <w:rPr>
          <w:rFonts w:eastAsia="Times New Roman" w:cs="Times New Roman"/>
          <w:b/>
          <w:bCs/>
          <w:rtl/>
          <w:lang w:eastAsia="de-DE"/>
        </w:rPr>
        <w:t>ממנה</w:t>
      </w:r>
      <w:r w:rsidRPr="00BA68AC">
        <w:rPr>
          <w:rFonts w:eastAsia="Times New Roman" w:cs="Times New Roman"/>
          <w:rtl/>
          <w:lang w:eastAsia="de-DE"/>
        </w:rPr>
        <w:t xml:space="preserve"> </w:t>
      </w:r>
      <w:r w:rsidRPr="00BA68AC">
        <w:rPr>
          <w:rFonts w:eastAsia="Times New Roman" w:cs="Times New Roman"/>
          <w:lang w:eastAsia="de-DE"/>
        </w:rPr>
        <w:t xml:space="preserve">(davon) mit partitiver Präposition </w:t>
      </w:r>
      <w:r w:rsidRPr="00BA68AC">
        <w:rPr>
          <w:rFonts w:eastAsia="Times New Roman" w:cs="Times New Roman"/>
          <w:b/>
          <w:bCs/>
          <w:rtl/>
          <w:lang w:eastAsia="de-DE"/>
        </w:rPr>
        <w:t>מן</w:t>
      </w:r>
      <w:r w:rsidRPr="00BA68AC">
        <w:rPr>
          <w:rFonts w:eastAsia="Times New Roman" w:cs="Times New Roman"/>
          <w:rtl/>
          <w:lang w:eastAsia="de-DE"/>
        </w:rPr>
        <w:t xml:space="preserve"> </w:t>
      </w:r>
      <w:r w:rsidRPr="00BA68AC">
        <w:rPr>
          <w:rFonts w:eastAsia="Times New Roman" w:cs="Times New Roman"/>
          <w:lang w:eastAsia="de-DE"/>
        </w:rPr>
        <w:t xml:space="preserve">und Suffix 3. Person feminin Singular referenziert </w:t>
      </w:r>
      <w:r w:rsidRPr="00BA68AC">
        <w:rPr>
          <w:rFonts w:eastAsia="Times New Roman" w:cs="Times New Roman"/>
          <w:b/>
          <w:bCs/>
          <w:rtl/>
          <w:lang w:eastAsia="de-DE"/>
        </w:rPr>
        <w:t>המנחה</w:t>
      </w:r>
      <w:r w:rsidRPr="00BA68AC">
        <w:rPr>
          <w:rFonts w:eastAsia="Times New Roman" w:cs="Times New Roman"/>
          <w:lang w:eastAsia="de-DE"/>
        </w:rPr>
        <w:t xml:space="preserve">. Dies entspricht der </w:t>
      </w:r>
      <w:r w:rsidRPr="00BA68AC">
        <w:rPr>
          <w:rFonts w:eastAsia="Times New Roman" w:cs="Times New Roman"/>
          <w:b/>
          <w:bCs/>
          <w:rtl/>
          <w:lang w:eastAsia="de-DE"/>
        </w:rPr>
        <w:t>מנחה</w:t>
      </w:r>
      <w:r w:rsidRPr="00BA68AC">
        <w:rPr>
          <w:rFonts w:eastAsia="Times New Roman" w:cs="Times New Roman"/>
          <w:lang w:eastAsia="de-DE"/>
        </w:rPr>
        <w:t>-Prozedur aus 2,2.</w:t>
      </w:r>
    </w:p>
    <w:p w14:paraId="67438FA2" w14:textId="632E4666"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ויקטר על־המזבח מלבד עלת הבקר</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קטר</w:t>
      </w:r>
      <w:r w:rsidRPr="00BA68AC">
        <w:rPr>
          <w:rFonts w:eastAsia="Times New Roman" w:cs="Times New Roman"/>
          <w:rtl/>
          <w:lang w:eastAsia="de-DE"/>
        </w:rPr>
        <w:t xml:space="preserve"> </w:t>
      </w:r>
      <w:r w:rsidRPr="00BA68AC">
        <w:rPr>
          <w:rFonts w:eastAsia="Times New Roman" w:cs="Times New Roman"/>
          <w:lang w:eastAsia="de-DE"/>
        </w:rPr>
        <w:t xml:space="preserve">(räuchern) im Hifil-Imperfekt mit Waw-Konsekutiv. </w:t>
      </w:r>
      <w:r w:rsidRPr="00BA68AC">
        <w:rPr>
          <w:rFonts w:eastAsia="Times New Roman" w:cs="Times New Roman"/>
          <w:b/>
          <w:bCs/>
          <w:rtl/>
          <w:lang w:eastAsia="de-DE"/>
        </w:rPr>
        <w:t>על־המזבח</w:t>
      </w:r>
      <w:r w:rsidRPr="00BA68AC">
        <w:rPr>
          <w:rFonts w:eastAsia="Times New Roman" w:cs="Times New Roman"/>
          <w:rtl/>
          <w:lang w:eastAsia="de-DE"/>
        </w:rPr>
        <w:t xml:space="preserve"> </w:t>
      </w:r>
      <w:r w:rsidRPr="00BA68AC">
        <w:rPr>
          <w:rFonts w:eastAsia="Times New Roman" w:cs="Times New Roman"/>
          <w:lang w:eastAsia="de-DE"/>
        </w:rPr>
        <w:t xml:space="preserve">(auf dem Altar). </w:t>
      </w:r>
      <w:r w:rsidRPr="00BA68AC">
        <w:rPr>
          <w:rFonts w:eastAsia="Times New Roman" w:cs="Times New Roman"/>
          <w:b/>
          <w:bCs/>
          <w:rtl/>
          <w:lang w:eastAsia="de-DE"/>
        </w:rPr>
        <w:t>מלבד עלת הבקר</w:t>
      </w:r>
      <w:r w:rsidRPr="00BA68AC">
        <w:rPr>
          <w:rFonts w:eastAsia="Times New Roman" w:cs="Times New Roman"/>
          <w:rtl/>
          <w:lang w:eastAsia="de-DE"/>
        </w:rPr>
        <w:t xml:space="preserve"> </w:t>
      </w:r>
      <w:r w:rsidRPr="00BA68AC">
        <w:rPr>
          <w:rFonts w:eastAsia="Times New Roman" w:cs="Times New Roman"/>
          <w:lang w:eastAsia="de-DE"/>
        </w:rPr>
        <w:t>(außer dem Morgen-</w:t>
      </w:r>
      <w:r w:rsidR="00CF10E7">
        <w:rPr>
          <w:rFonts w:eastAsia="Times New Roman" w:cs="Times New Roman"/>
          <w:lang w:eastAsia="de-DE"/>
        </w:rPr>
        <w:t>Aufsteigeopfer</w:t>
      </w:r>
      <w:r w:rsidRPr="00BA68AC">
        <w:rPr>
          <w:rFonts w:eastAsia="Times New Roman" w:cs="Times New Roman"/>
          <w:lang w:eastAsia="de-DE"/>
        </w:rPr>
        <w:t xml:space="preserve">) - </w:t>
      </w:r>
      <w:r w:rsidRPr="00BA68AC">
        <w:rPr>
          <w:rFonts w:eastAsia="Times New Roman" w:cs="Times New Roman"/>
          <w:b/>
          <w:bCs/>
          <w:rtl/>
          <w:lang w:eastAsia="de-DE"/>
        </w:rPr>
        <w:t>מלבד</w:t>
      </w:r>
      <w:r w:rsidRPr="00BA68AC">
        <w:rPr>
          <w:rFonts w:eastAsia="Times New Roman" w:cs="Times New Roman"/>
          <w:rtl/>
          <w:lang w:eastAsia="de-DE"/>
        </w:rPr>
        <w:t xml:space="preserve"> </w:t>
      </w:r>
      <w:r w:rsidRPr="00BA68AC">
        <w:rPr>
          <w:rFonts w:eastAsia="Times New Roman" w:cs="Times New Roman"/>
          <w:lang w:eastAsia="de-DE"/>
        </w:rPr>
        <w:t xml:space="preserve">(außer/abgesehen von) mit </w:t>
      </w:r>
      <w:r w:rsidRPr="00BA68AC">
        <w:rPr>
          <w:rFonts w:eastAsia="Times New Roman" w:cs="Times New Roman"/>
          <w:b/>
          <w:bCs/>
          <w:rtl/>
          <w:lang w:eastAsia="de-DE"/>
        </w:rPr>
        <w:t>עלת הבקר</w:t>
      </w:r>
      <w:r w:rsidRPr="00BA68AC">
        <w:rPr>
          <w:rFonts w:eastAsia="Times New Roman" w:cs="Times New Roman"/>
          <w:rtl/>
          <w:lang w:eastAsia="de-DE"/>
        </w:rPr>
        <w:t xml:space="preserve"> </w:t>
      </w:r>
      <w:r w:rsidRPr="00BA68AC">
        <w:rPr>
          <w:rFonts w:eastAsia="Times New Roman" w:cs="Times New Roman"/>
          <w:lang w:eastAsia="de-DE"/>
        </w:rPr>
        <w:t>(Morgen-</w:t>
      </w:r>
      <w:r w:rsidR="00CF10E7">
        <w:rPr>
          <w:rFonts w:eastAsia="Times New Roman" w:cs="Times New Roman"/>
          <w:lang w:eastAsia="de-DE"/>
        </w:rPr>
        <w:t>Aufsteigeopfer</w:t>
      </w:r>
      <w:r w:rsidRPr="00BA68AC">
        <w:rPr>
          <w:rFonts w:eastAsia="Times New Roman" w:cs="Times New Roman"/>
          <w:lang w:eastAsia="de-DE"/>
        </w:rPr>
        <w:t>).</w:t>
      </w:r>
    </w:p>
    <w:p w14:paraId="25EA1F9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מלא כפו</w:t>
      </w:r>
      <w:r w:rsidRPr="00BA68AC">
        <w:rPr>
          <w:rFonts w:eastAsia="Times New Roman" w:cs="Times New Roman"/>
          <w:rtl/>
          <w:lang w:eastAsia="de-DE"/>
        </w:rPr>
        <w:t xml:space="preserve"> </w:t>
      </w:r>
      <w:r w:rsidRPr="00BA68AC">
        <w:rPr>
          <w:rFonts w:eastAsia="Times New Roman" w:cs="Times New Roman"/>
          <w:lang w:eastAsia="de-DE"/>
        </w:rPr>
        <w:t xml:space="preserve">(seine Hand füllen) ist die standardisierte </w:t>
      </w:r>
      <w:r w:rsidRPr="00BA68AC">
        <w:rPr>
          <w:rFonts w:eastAsia="Times New Roman" w:cs="Times New Roman"/>
          <w:b/>
          <w:bCs/>
          <w:rtl/>
          <w:lang w:eastAsia="de-DE"/>
        </w:rPr>
        <w:t>מנחה</w:t>
      </w:r>
      <w:r w:rsidRPr="00BA68AC">
        <w:rPr>
          <w:rFonts w:eastAsia="Times New Roman" w:cs="Times New Roman"/>
          <w:lang w:eastAsia="de-DE"/>
        </w:rPr>
        <w:t xml:space="preserve">-Portion entsprechend 2,2. </w:t>
      </w:r>
      <w:r w:rsidRPr="00BA68AC">
        <w:rPr>
          <w:rFonts w:eastAsia="Times New Roman" w:cs="Times New Roman"/>
          <w:b/>
          <w:bCs/>
          <w:rtl/>
          <w:lang w:eastAsia="de-DE"/>
        </w:rPr>
        <w:t>ממנה</w:t>
      </w:r>
      <w:r w:rsidRPr="00BA68AC">
        <w:rPr>
          <w:rFonts w:eastAsia="Times New Roman" w:cs="Times New Roman"/>
          <w:rtl/>
          <w:lang w:eastAsia="de-DE"/>
        </w:rPr>
        <w:t xml:space="preserve"> </w:t>
      </w:r>
      <w:r w:rsidRPr="00BA68AC">
        <w:rPr>
          <w:rFonts w:eastAsia="Times New Roman" w:cs="Times New Roman"/>
          <w:lang w:eastAsia="de-DE"/>
        </w:rPr>
        <w:t xml:space="preserve">zeigt, dass nur ein Teil der </w:t>
      </w:r>
      <w:r w:rsidRPr="00BA68AC">
        <w:rPr>
          <w:rFonts w:eastAsia="Times New Roman" w:cs="Times New Roman"/>
          <w:b/>
          <w:bCs/>
          <w:rtl/>
          <w:lang w:eastAsia="de-DE"/>
        </w:rPr>
        <w:t>מנחה</w:t>
      </w:r>
      <w:r w:rsidRPr="00BA68AC">
        <w:rPr>
          <w:rFonts w:eastAsia="Times New Roman" w:cs="Times New Roman"/>
          <w:rtl/>
          <w:lang w:eastAsia="de-DE"/>
        </w:rPr>
        <w:t xml:space="preserve"> </w:t>
      </w:r>
      <w:r w:rsidRPr="00BA68AC">
        <w:rPr>
          <w:rFonts w:eastAsia="Times New Roman" w:cs="Times New Roman"/>
          <w:lang w:eastAsia="de-DE"/>
        </w:rPr>
        <w:t xml:space="preserve">verbrannt wird, entsprechend den </w:t>
      </w:r>
      <w:r w:rsidRPr="00BA68AC">
        <w:rPr>
          <w:rFonts w:eastAsia="Times New Roman" w:cs="Times New Roman"/>
          <w:b/>
          <w:bCs/>
          <w:rtl/>
          <w:lang w:eastAsia="de-DE"/>
        </w:rPr>
        <w:t>מנחה</w:t>
      </w:r>
      <w:r w:rsidRPr="00BA68AC">
        <w:rPr>
          <w:rFonts w:eastAsia="Times New Roman" w:cs="Times New Roman"/>
          <w:lang w:eastAsia="de-DE"/>
        </w:rPr>
        <w:t>-Bestimmungen.</w:t>
      </w:r>
    </w:p>
    <w:p w14:paraId="21CB4A6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מלבד עלת הבקר</w:t>
      </w:r>
      <w:r w:rsidRPr="00BA68AC">
        <w:rPr>
          <w:rFonts w:eastAsia="Times New Roman" w:cs="Times New Roman"/>
          <w:rtl/>
          <w:lang w:eastAsia="de-DE"/>
        </w:rPr>
        <w:t xml:space="preserve"> </w:t>
      </w:r>
      <w:r w:rsidRPr="00BA68AC">
        <w:rPr>
          <w:rFonts w:eastAsia="Times New Roman" w:cs="Times New Roman"/>
          <w:lang w:eastAsia="de-DE"/>
        </w:rPr>
        <w:t xml:space="preserve">zeigt, dass zusätzlich zum </w:t>
      </w:r>
      <w:r w:rsidRPr="00BA68AC">
        <w:rPr>
          <w:rFonts w:eastAsia="Times New Roman" w:cs="Times New Roman"/>
          <w:b/>
          <w:bCs/>
          <w:rtl/>
          <w:lang w:eastAsia="de-DE"/>
        </w:rPr>
        <w:t>תמיד</w:t>
      </w:r>
      <w:r w:rsidRPr="00BA68AC">
        <w:rPr>
          <w:rFonts w:eastAsia="Times New Roman" w:cs="Times New Roman"/>
          <w:rtl/>
          <w:lang w:eastAsia="de-DE"/>
        </w:rPr>
        <w:t xml:space="preserve"> </w:t>
      </w:r>
      <w:r w:rsidRPr="00BA68AC">
        <w:rPr>
          <w:rFonts w:eastAsia="Times New Roman" w:cs="Times New Roman"/>
          <w:lang w:eastAsia="de-DE"/>
        </w:rPr>
        <w:t xml:space="preserve">(regelmäßigen Opferdienst) diese besonderen Weihe-Opfer dargebracht werden. </w:t>
      </w:r>
      <w:r w:rsidRPr="00BA68AC">
        <w:rPr>
          <w:rFonts w:eastAsia="Times New Roman" w:cs="Times New Roman"/>
          <w:b/>
          <w:bCs/>
          <w:rtl/>
          <w:lang w:eastAsia="de-DE"/>
        </w:rPr>
        <w:t>עלת הבקר</w:t>
      </w:r>
      <w:r w:rsidRPr="00BA68AC">
        <w:rPr>
          <w:rFonts w:eastAsia="Times New Roman" w:cs="Times New Roman"/>
          <w:rtl/>
          <w:lang w:eastAsia="de-DE"/>
        </w:rPr>
        <w:t xml:space="preserve"> </w:t>
      </w:r>
      <w:r w:rsidRPr="00BA68AC">
        <w:rPr>
          <w:rFonts w:eastAsia="Times New Roman" w:cs="Times New Roman"/>
          <w:lang w:eastAsia="de-DE"/>
        </w:rPr>
        <w:t>referenziert das tägliche Morgen-</w:t>
      </w:r>
      <w:r w:rsidRPr="00BA68AC">
        <w:rPr>
          <w:rFonts w:eastAsia="Times New Roman" w:cs="Times New Roman"/>
          <w:b/>
          <w:bCs/>
          <w:rtl/>
          <w:lang w:eastAsia="de-DE"/>
        </w:rPr>
        <w:t>עלה</w:t>
      </w:r>
      <w:r w:rsidRPr="00BA68AC">
        <w:rPr>
          <w:rFonts w:eastAsia="Times New Roman" w:cs="Times New Roman"/>
          <w:rtl/>
          <w:lang w:eastAsia="de-DE"/>
        </w:rPr>
        <w:t xml:space="preserve"> </w:t>
      </w:r>
      <w:r w:rsidRPr="00BA68AC">
        <w:rPr>
          <w:rFonts w:eastAsia="Times New Roman" w:cs="Times New Roman"/>
          <w:lang w:eastAsia="de-DE"/>
        </w:rPr>
        <w:t>aus Exodus 29,38-39.</w:t>
      </w:r>
    </w:p>
    <w:p w14:paraId="0EF27477" w14:textId="38B16651"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übersetzt </w:t>
      </w:r>
      <w:r w:rsidR="00F6539E">
        <w:rPr>
          <w:rtl/>
        </w:rPr>
        <w:t>וימלא כפו</w:t>
      </w:r>
      <w:r w:rsidR="00F6539E">
        <w:t xml:space="preserve"> (</w:t>
      </w:r>
      <w:proofErr w:type="spellStart"/>
      <w:r w:rsidR="00F6539E">
        <w:t>wayemalle</w:t>
      </w:r>
      <w:proofErr w:type="spellEnd"/>
      <w:r w:rsidR="00F6539E">
        <w:t xml:space="preserve"> </w:t>
      </w:r>
      <w:proofErr w:type="spellStart"/>
      <w:r w:rsidR="00F6539E">
        <w:t>chapo</w:t>
      </w:r>
      <w:proofErr w:type="spellEnd"/>
      <w:r w:rsidR="00F6539E">
        <w:t xml:space="preserve"> - "und er füllte seine Hand") als καὶ ἔπ</w:t>
      </w:r>
      <w:proofErr w:type="spellStart"/>
      <w:r w:rsidR="00F6539E">
        <w:t>λησεν</w:t>
      </w:r>
      <w:proofErr w:type="spellEnd"/>
      <w:r w:rsidR="00F6539E">
        <w:t xml:space="preserve"> </w:t>
      </w:r>
      <w:proofErr w:type="spellStart"/>
      <w:r w:rsidR="00F6539E">
        <w:t>τὰς</w:t>
      </w:r>
      <w:proofErr w:type="spellEnd"/>
      <w:r w:rsidR="00F6539E">
        <w:t xml:space="preserve"> </w:t>
      </w:r>
      <w:proofErr w:type="spellStart"/>
      <w:r w:rsidR="00F6539E">
        <w:t>χεῖρ</w:t>
      </w:r>
      <w:proofErr w:type="spellEnd"/>
      <w:r w:rsidR="00F6539E">
        <w:t xml:space="preserve">ας (und er füllte die Hände), wobei sie </w:t>
      </w:r>
      <w:r w:rsidR="00F6539E">
        <w:rPr>
          <w:rtl/>
        </w:rPr>
        <w:t>מלבד עלת הבקר</w:t>
      </w:r>
      <w:r w:rsidR="00F6539E">
        <w:t xml:space="preserve"> als </w:t>
      </w:r>
      <w:proofErr w:type="spellStart"/>
      <w:r w:rsidR="00F6539E">
        <w:t>χωρὶς</w:t>
      </w:r>
      <w:proofErr w:type="spellEnd"/>
      <w:r w:rsidR="00F6539E">
        <w:t xml:space="preserve"> </w:t>
      </w:r>
      <w:proofErr w:type="spellStart"/>
      <w:r w:rsidR="00F6539E">
        <w:t>τοῦ</w:t>
      </w:r>
      <w:proofErr w:type="spellEnd"/>
      <w:r w:rsidR="00F6539E">
        <w:t xml:space="preserve"> </w:t>
      </w:r>
      <w:proofErr w:type="spellStart"/>
      <w:r w:rsidR="00F6539E">
        <w:t>ὁλοκ</w:t>
      </w:r>
      <w:proofErr w:type="spellEnd"/>
      <w:r w:rsidR="00F6539E">
        <w:t xml:space="preserve">αυτώματος </w:t>
      </w:r>
      <w:proofErr w:type="spellStart"/>
      <w:r w:rsidR="00F6539E">
        <w:t>τοῦ</w:t>
      </w:r>
      <w:proofErr w:type="spellEnd"/>
      <w:r w:rsidR="00F6539E">
        <w:t xml:space="preserve"> π</w:t>
      </w:r>
      <w:proofErr w:type="spellStart"/>
      <w:r w:rsidR="00F6539E">
        <w:t>ρωινοῦ</w:t>
      </w:r>
      <w:proofErr w:type="spellEnd"/>
      <w:r w:rsidR="00F6539E">
        <w:t xml:space="preserve"> (außer dem morgendlichen </w:t>
      </w:r>
      <w:r w:rsidR="00D61FEC">
        <w:t>Aufsteigeopfer</w:t>
      </w:r>
      <w:r w:rsidR="00F6539E">
        <w:t>) präzisiert.</w:t>
      </w:r>
    </w:p>
    <w:p w14:paraId="066AB64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drei koordinierte Hauptsätze: Darbringung + Handlung entsprechend </w:t>
      </w:r>
      <w:r w:rsidRPr="00BA68AC">
        <w:rPr>
          <w:rFonts w:eastAsia="Times New Roman" w:cs="Times New Roman"/>
          <w:b/>
          <w:bCs/>
          <w:rtl/>
          <w:lang w:eastAsia="de-DE"/>
        </w:rPr>
        <w:t>מנחה</w:t>
      </w:r>
      <w:r w:rsidRPr="00BA68AC">
        <w:rPr>
          <w:rFonts w:eastAsia="Times New Roman" w:cs="Times New Roman"/>
          <w:lang w:eastAsia="de-DE"/>
        </w:rPr>
        <w:t xml:space="preserve">-Prozedur + Verbrennung mit Zusatzangabe. Die Struktur zeigt die </w:t>
      </w:r>
      <w:r w:rsidRPr="00BA68AC">
        <w:rPr>
          <w:rFonts w:eastAsia="Times New Roman" w:cs="Times New Roman"/>
          <w:b/>
          <w:bCs/>
          <w:rtl/>
          <w:lang w:eastAsia="de-DE"/>
        </w:rPr>
        <w:t>מנחה</w:t>
      </w:r>
      <w:r w:rsidRPr="00BA68AC">
        <w:rPr>
          <w:rFonts w:eastAsia="Times New Roman" w:cs="Times New Roman"/>
          <w:lang w:eastAsia="de-DE"/>
        </w:rPr>
        <w:t>-Behandlung als Ergänzung zum regulären Opferdienst.</w:t>
      </w:r>
    </w:p>
    <w:p w14:paraId="46E05CD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zeigt die ordnungsgemäße </w:t>
      </w:r>
      <w:r w:rsidRPr="00BA68AC">
        <w:rPr>
          <w:rFonts w:eastAsia="Times New Roman" w:cs="Times New Roman"/>
          <w:b/>
          <w:bCs/>
          <w:rtl/>
          <w:lang w:eastAsia="de-DE"/>
        </w:rPr>
        <w:t>מנחה</w:t>
      </w:r>
      <w:r w:rsidRPr="00BA68AC">
        <w:rPr>
          <w:rFonts w:eastAsia="Times New Roman" w:cs="Times New Roman"/>
          <w:lang w:eastAsia="de-DE"/>
        </w:rPr>
        <w:t>-Darbringung als Ergänzung zu den bereits laufenden täglichen Opfern.</w:t>
      </w:r>
    </w:p>
    <w:p w14:paraId="2857B9FE"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9,18</w:t>
      </w:r>
    </w:p>
    <w:p w14:paraId="48871D1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וַיִּשְׁחַ֤ט אֶת־הַשּׁוֹר֙ וְאֶת־הָאַ֔יִל זֶ֥בַח הַשְּׁלָמִ֖ים אֲשֶׁ֣ר לָעָ֑ם וַ֠יַּמְצִאוּ בְּנֵ֨י אַהֲרֹ֤ן אֶת־הַדָּם֙ אֵלָ֔יו וַיִּזְרְקֵ֥הוּ עַל־הַמִּזְבֵּ֖חַ סָבִֽיב׃</w:t>
      </w:r>
    </w:p>
    <w:p w14:paraId="0273D0B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er schlachtete den Stier und den Widder, das Friedensopfer, das für das Volk war. Und die Söhne Aarons reichten ihm das Blut, und er spritzte es an den Altar ringsum;</w:t>
      </w:r>
    </w:p>
    <w:p w14:paraId="301A3899"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68BBBE47">
          <v:rect id="_x0000_i1250" style="width:0;height:1.5pt" o:hralign="center" o:hrstd="t" o:hr="t" fillcolor="#a0a0a0" stroked="f"/>
        </w:pict>
      </w:r>
    </w:p>
    <w:p w14:paraId="78FA09B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וישחט את־השור ואת־האיל זבח השלמים אשר לעם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שחט</w:t>
      </w:r>
      <w:r w:rsidRPr="00BA68AC">
        <w:rPr>
          <w:rFonts w:eastAsia="Times New Roman" w:cs="Times New Roman"/>
          <w:rtl/>
          <w:lang w:eastAsia="de-DE"/>
        </w:rPr>
        <w:t xml:space="preserve"> </w:t>
      </w:r>
      <w:r w:rsidRPr="00BA68AC">
        <w:rPr>
          <w:rFonts w:eastAsia="Times New Roman" w:cs="Times New Roman"/>
          <w:lang w:eastAsia="de-DE"/>
        </w:rPr>
        <w:t xml:space="preserve">(schlachten) im Qal-Imperfekt 3. Person maskulin Singular mit Waw-Konsekutiv. </w:t>
      </w:r>
      <w:r w:rsidRPr="00BA68AC">
        <w:rPr>
          <w:rFonts w:eastAsia="Times New Roman" w:cs="Times New Roman"/>
          <w:b/>
          <w:bCs/>
          <w:rtl/>
          <w:lang w:eastAsia="de-DE"/>
        </w:rPr>
        <w:t>את־השור ואת־האיל</w:t>
      </w:r>
      <w:r w:rsidRPr="00BA68AC">
        <w:rPr>
          <w:rFonts w:eastAsia="Times New Roman" w:cs="Times New Roman"/>
          <w:rtl/>
          <w:lang w:eastAsia="de-DE"/>
        </w:rPr>
        <w:t xml:space="preserve"> </w:t>
      </w:r>
      <w:r w:rsidRPr="00BA68AC">
        <w:rPr>
          <w:rFonts w:eastAsia="Times New Roman" w:cs="Times New Roman"/>
          <w:lang w:eastAsia="de-DE"/>
        </w:rPr>
        <w:t xml:space="preserve">(den Stier und den Widder) referenziert die </w:t>
      </w:r>
      <w:r w:rsidRPr="00BA68AC">
        <w:rPr>
          <w:rFonts w:eastAsia="Times New Roman" w:cs="Times New Roman"/>
          <w:b/>
          <w:bCs/>
          <w:rtl/>
          <w:lang w:eastAsia="de-DE"/>
        </w:rPr>
        <w:t>שלמים</w:t>
      </w:r>
      <w:r w:rsidRPr="00BA68AC">
        <w:rPr>
          <w:rFonts w:eastAsia="Times New Roman" w:cs="Times New Roman"/>
          <w:lang w:eastAsia="de-DE"/>
        </w:rPr>
        <w:t xml:space="preserve">-Tiere aus V. 4. </w:t>
      </w:r>
      <w:r w:rsidRPr="00BA68AC">
        <w:rPr>
          <w:rFonts w:eastAsia="Times New Roman" w:cs="Times New Roman"/>
          <w:b/>
          <w:bCs/>
          <w:rtl/>
          <w:lang w:eastAsia="de-DE"/>
        </w:rPr>
        <w:t>זבח השלמים</w:t>
      </w:r>
      <w:r w:rsidRPr="00BA68AC">
        <w:rPr>
          <w:rFonts w:eastAsia="Times New Roman" w:cs="Times New Roman"/>
          <w:rtl/>
          <w:lang w:eastAsia="de-DE"/>
        </w:rPr>
        <w:t xml:space="preserve"> </w:t>
      </w:r>
      <w:r w:rsidRPr="00BA68AC">
        <w:rPr>
          <w:rFonts w:eastAsia="Times New Roman" w:cs="Times New Roman"/>
          <w:lang w:eastAsia="de-DE"/>
        </w:rPr>
        <w:t xml:space="preserve">(Friedensopfer) steht in Apposition und klassifiziert beide Tiere. </w:t>
      </w:r>
      <w:r w:rsidRPr="00BA68AC">
        <w:rPr>
          <w:rFonts w:eastAsia="Times New Roman" w:cs="Times New Roman"/>
          <w:b/>
          <w:bCs/>
          <w:rtl/>
          <w:lang w:eastAsia="de-DE"/>
        </w:rPr>
        <w:t>אשר לעם</w:t>
      </w:r>
      <w:r w:rsidRPr="00BA68AC">
        <w:rPr>
          <w:rFonts w:eastAsia="Times New Roman" w:cs="Times New Roman"/>
          <w:rtl/>
          <w:lang w:eastAsia="de-DE"/>
        </w:rPr>
        <w:t xml:space="preserve"> </w:t>
      </w:r>
      <w:r w:rsidRPr="00BA68AC">
        <w:rPr>
          <w:rFonts w:eastAsia="Times New Roman" w:cs="Times New Roman"/>
          <w:lang w:eastAsia="de-DE"/>
        </w:rPr>
        <w:t>(das für das Volk war) unterscheidet diese von persönlichen Opfern.</w:t>
      </w:r>
    </w:p>
    <w:p w14:paraId="2B52C06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וימציאו בני אהרן את־הדם אליו</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מצא</w:t>
      </w:r>
      <w:r w:rsidRPr="00BA68AC">
        <w:rPr>
          <w:rFonts w:eastAsia="Times New Roman" w:cs="Times New Roman"/>
          <w:rtl/>
          <w:lang w:eastAsia="de-DE"/>
        </w:rPr>
        <w:t xml:space="preserve"> </w:t>
      </w:r>
      <w:r w:rsidRPr="00BA68AC">
        <w:rPr>
          <w:rFonts w:eastAsia="Times New Roman" w:cs="Times New Roman"/>
          <w:lang w:eastAsia="de-DE"/>
        </w:rPr>
        <w:t xml:space="preserve">(darreichen) im Hifil-Imperfekt 3. Person maskulin Plural mit Waw-Konsekutiv. </w:t>
      </w:r>
      <w:r w:rsidRPr="00BA68AC">
        <w:rPr>
          <w:rFonts w:eastAsia="Times New Roman" w:cs="Times New Roman"/>
          <w:b/>
          <w:bCs/>
          <w:rtl/>
          <w:lang w:eastAsia="de-DE"/>
        </w:rPr>
        <w:t>בני אהרן</w:t>
      </w:r>
      <w:r w:rsidRPr="00BA68AC">
        <w:rPr>
          <w:rFonts w:eastAsia="Times New Roman" w:cs="Times New Roman"/>
          <w:rtl/>
          <w:lang w:eastAsia="de-DE"/>
        </w:rPr>
        <w:t xml:space="preserve"> </w:t>
      </w:r>
      <w:r w:rsidRPr="00BA68AC">
        <w:rPr>
          <w:rFonts w:eastAsia="Times New Roman" w:cs="Times New Roman"/>
          <w:lang w:eastAsia="de-DE"/>
        </w:rPr>
        <w:t xml:space="preserve">(Söhne Aarons) als Subjekt zeigen erneut ihre Assistenzfunktion. </w:t>
      </w:r>
      <w:r w:rsidRPr="00BA68AC">
        <w:rPr>
          <w:rFonts w:eastAsia="Times New Roman" w:cs="Times New Roman"/>
          <w:b/>
          <w:bCs/>
          <w:rtl/>
          <w:lang w:eastAsia="de-DE"/>
        </w:rPr>
        <w:t>את־הדם</w:t>
      </w:r>
      <w:r w:rsidRPr="00BA68AC">
        <w:rPr>
          <w:rFonts w:eastAsia="Times New Roman" w:cs="Times New Roman"/>
          <w:rtl/>
          <w:lang w:eastAsia="de-DE"/>
        </w:rPr>
        <w:t xml:space="preserve"> </w:t>
      </w:r>
      <w:r w:rsidRPr="00BA68AC">
        <w:rPr>
          <w:rFonts w:eastAsia="Times New Roman" w:cs="Times New Roman"/>
          <w:lang w:eastAsia="de-DE"/>
        </w:rPr>
        <w:t xml:space="preserve">(das Blut) von beiden geschlachteten Tieren, </w:t>
      </w:r>
      <w:r w:rsidRPr="00BA68AC">
        <w:rPr>
          <w:rFonts w:eastAsia="Times New Roman" w:cs="Times New Roman"/>
          <w:b/>
          <w:bCs/>
          <w:rtl/>
          <w:lang w:eastAsia="de-DE"/>
        </w:rPr>
        <w:t>אליו</w:t>
      </w:r>
      <w:r w:rsidRPr="00BA68AC">
        <w:rPr>
          <w:rFonts w:eastAsia="Times New Roman" w:cs="Times New Roman"/>
          <w:rtl/>
          <w:lang w:eastAsia="de-DE"/>
        </w:rPr>
        <w:t xml:space="preserve"> </w:t>
      </w:r>
      <w:r w:rsidRPr="00BA68AC">
        <w:rPr>
          <w:rFonts w:eastAsia="Times New Roman" w:cs="Times New Roman"/>
          <w:lang w:eastAsia="de-DE"/>
        </w:rPr>
        <w:t>(zu ihm) referenziert Aaron.</w:t>
      </w:r>
    </w:p>
    <w:p w14:paraId="20AC78C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ויזרקהו על־המזבח סביב</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זרק</w:t>
      </w:r>
      <w:r w:rsidRPr="00BA68AC">
        <w:rPr>
          <w:rFonts w:eastAsia="Times New Roman" w:cs="Times New Roman"/>
          <w:rtl/>
          <w:lang w:eastAsia="de-DE"/>
        </w:rPr>
        <w:t xml:space="preserve"> </w:t>
      </w:r>
      <w:r w:rsidRPr="00BA68AC">
        <w:rPr>
          <w:rFonts w:eastAsia="Times New Roman" w:cs="Times New Roman"/>
          <w:lang w:eastAsia="de-DE"/>
        </w:rPr>
        <w:t xml:space="preserve">(spritzen) im Qal-Imperfekt 3. Person maskulin Singular mit Waw-Konsekutiv. </w:t>
      </w:r>
      <w:r w:rsidRPr="00BA68AC">
        <w:rPr>
          <w:rFonts w:eastAsia="Times New Roman" w:cs="Times New Roman"/>
          <w:b/>
          <w:bCs/>
          <w:rtl/>
          <w:lang w:eastAsia="de-DE"/>
        </w:rPr>
        <w:t>ויזרקהו</w:t>
      </w:r>
      <w:r w:rsidRPr="00BA68AC">
        <w:rPr>
          <w:rFonts w:eastAsia="Times New Roman" w:cs="Times New Roman"/>
          <w:rtl/>
          <w:lang w:eastAsia="de-DE"/>
        </w:rPr>
        <w:t xml:space="preserve"> </w:t>
      </w:r>
      <w:r w:rsidRPr="00BA68AC">
        <w:rPr>
          <w:rFonts w:eastAsia="Times New Roman" w:cs="Times New Roman"/>
          <w:lang w:eastAsia="de-DE"/>
        </w:rPr>
        <w:t xml:space="preserve">mit Objektsuffix 3. Person maskulin Singular referenziert </w:t>
      </w:r>
      <w:r w:rsidRPr="00BA68AC">
        <w:rPr>
          <w:rFonts w:eastAsia="Times New Roman" w:cs="Times New Roman"/>
          <w:b/>
          <w:bCs/>
          <w:rtl/>
          <w:lang w:eastAsia="de-DE"/>
        </w:rPr>
        <w:t>הדם</w:t>
      </w:r>
      <w:r w:rsidRPr="00BA68AC">
        <w:rPr>
          <w:rFonts w:eastAsia="Times New Roman" w:cs="Times New Roman"/>
          <w:lang w:eastAsia="de-DE"/>
        </w:rPr>
        <w:t xml:space="preserve">. </w:t>
      </w:r>
      <w:r w:rsidRPr="00BA68AC">
        <w:rPr>
          <w:rFonts w:eastAsia="Times New Roman" w:cs="Times New Roman"/>
          <w:b/>
          <w:bCs/>
          <w:rtl/>
          <w:lang w:eastAsia="de-DE"/>
        </w:rPr>
        <w:t>על־המזבח סביב</w:t>
      </w:r>
      <w:r w:rsidRPr="00BA68AC">
        <w:rPr>
          <w:rFonts w:eastAsia="Times New Roman" w:cs="Times New Roman"/>
          <w:rtl/>
          <w:lang w:eastAsia="de-DE"/>
        </w:rPr>
        <w:t xml:space="preserve"> </w:t>
      </w:r>
      <w:r w:rsidRPr="00BA68AC">
        <w:rPr>
          <w:rFonts w:eastAsia="Times New Roman" w:cs="Times New Roman"/>
          <w:lang w:eastAsia="de-DE"/>
        </w:rPr>
        <w:t xml:space="preserve">(an den Altar ringsum) entspricht dem </w:t>
      </w:r>
      <w:r w:rsidRPr="00BA68AC">
        <w:rPr>
          <w:rFonts w:eastAsia="Times New Roman" w:cs="Times New Roman"/>
          <w:b/>
          <w:bCs/>
          <w:rtl/>
          <w:lang w:eastAsia="de-DE"/>
        </w:rPr>
        <w:t>שלמים</w:t>
      </w:r>
      <w:r w:rsidRPr="00BA68AC">
        <w:rPr>
          <w:rFonts w:eastAsia="Times New Roman" w:cs="Times New Roman"/>
          <w:lang w:eastAsia="de-DE"/>
        </w:rPr>
        <w:t>-Blutverfahren aus 3,2.8.13.</w:t>
      </w:r>
    </w:p>
    <w:p w14:paraId="13A13A3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השור והאיל</w:t>
      </w:r>
      <w:r w:rsidRPr="00BA68AC">
        <w:rPr>
          <w:rFonts w:eastAsia="Times New Roman" w:cs="Times New Roman"/>
          <w:rtl/>
          <w:lang w:eastAsia="de-DE"/>
        </w:rPr>
        <w:t xml:space="preserve"> </w:t>
      </w:r>
      <w:r w:rsidRPr="00BA68AC">
        <w:rPr>
          <w:rFonts w:eastAsia="Times New Roman" w:cs="Times New Roman"/>
          <w:lang w:eastAsia="de-DE"/>
        </w:rPr>
        <w:t xml:space="preserve">als zwei verschiedene </w:t>
      </w:r>
      <w:r w:rsidRPr="00BA68AC">
        <w:rPr>
          <w:rFonts w:eastAsia="Times New Roman" w:cs="Times New Roman"/>
          <w:b/>
          <w:bCs/>
          <w:rtl/>
          <w:lang w:eastAsia="de-DE"/>
        </w:rPr>
        <w:t>שלמים</w:t>
      </w:r>
      <w:r w:rsidRPr="00BA68AC">
        <w:rPr>
          <w:rFonts w:eastAsia="Times New Roman" w:cs="Times New Roman"/>
          <w:lang w:eastAsia="de-DE"/>
        </w:rPr>
        <w:t xml:space="preserve">-Tiere zeigen die Großzügigkeit der Volksopfer. </w:t>
      </w:r>
      <w:r w:rsidRPr="00BA68AC">
        <w:rPr>
          <w:rFonts w:eastAsia="Times New Roman" w:cs="Times New Roman"/>
          <w:b/>
          <w:bCs/>
          <w:rtl/>
          <w:lang w:eastAsia="de-DE"/>
        </w:rPr>
        <w:t>זבח השלמים</w:t>
      </w:r>
      <w:r w:rsidRPr="00BA68AC">
        <w:rPr>
          <w:rFonts w:eastAsia="Times New Roman" w:cs="Times New Roman"/>
          <w:rtl/>
          <w:lang w:eastAsia="de-DE"/>
        </w:rPr>
        <w:t xml:space="preserve"> </w:t>
      </w:r>
      <w:r w:rsidRPr="00BA68AC">
        <w:rPr>
          <w:rFonts w:eastAsia="Times New Roman" w:cs="Times New Roman"/>
          <w:lang w:eastAsia="de-DE"/>
        </w:rPr>
        <w:t xml:space="preserve">betont den Schlachtcharakter im Unterschied zu </w:t>
      </w:r>
      <w:r w:rsidRPr="00BA68AC">
        <w:rPr>
          <w:rFonts w:eastAsia="Times New Roman" w:cs="Times New Roman"/>
          <w:b/>
          <w:bCs/>
          <w:rtl/>
          <w:lang w:eastAsia="de-DE"/>
        </w:rPr>
        <w:t>עלה</w:t>
      </w:r>
      <w:r w:rsidRPr="00BA68AC">
        <w:rPr>
          <w:rFonts w:eastAsia="Times New Roman" w:cs="Times New Roman"/>
          <w:rtl/>
          <w:lang w:eastAsia="de-DE"/>
        </w:rPr>
        <w:t xml:space="preserve"> </w:t>
      </w:r>
      <w:r w:rsidRPr="00BA68AC">
        <w:rPr>
          <w:rFonts w:eastAsia="Times New Roman" w:cs="Times New Roman"/>
          <w:lang w:eastAsia="de-DE"/>
        </w:rPr>
        <w:t>(vollständige Verbrennung).</w:t>
      </w:r>
    </w:p>
    <w:p w14:paraId="2B43090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Das </w:t>
      </w:r>
      <w:r w:rsidRPr="00BA68AC">
        <w:rPr>
          <w:rFonts w:eastAsia="Times New Roman" w:cs="Times New Roman"/>
          <w:b/>
          <w:bCs/>
          <w:rtl/>
          <w:lang w:eastAsia="de-DE"/>
        </w:rPr>
        <w:t>שלמים</w:t>
      </w:r>
      <w:r w:rsidRPr="00BA68AC">
        <w:rPr>
          <w:rFonts w:eastAsia="Times New Roman" w:cs="Times New Roman"/>
          <w:lang w:eastAsia="de-DE"/>
        </w:rPr>
        <w:t xml:space="preserve">-Blutverfahren </w:t>
      </w:r>
      <w:r w:rsidRPr="00BA68AC">
        <w:rPr>
          <w:rFonts w:eastAsia="Times New Roman" w:cs="Times New Roman"/>
          <w:b/>
          <w:bCs/>
          <w:rtl/>
          <w:lang w:eastAsia="de-DE"/>
        </w:rPr>
        <w:t>זרק...סביב</w:t>
      </w:r>
      <w:r w:rsidRPr="00BA68AC">
        <w:rPr>
          <w:rFonts w:eastAsia="Times New Roman" w:cs="Times New Roman"/>
          <w:rtl/>
          <w:lang w:eastAsia="de-DE"/>
        </w:rPr>
        <w:t xml:space="preserve"> </w:t>
      </w:r>
      <w:r w:rsidRPr="00BA68AC">
        <w:rPr>
          <w:rFonts w:eastAsia="Times New Roman" w:cs="Times New Roman"/>
          <w:lang w:eastAsia="de-DE"/>
        </w:rPr>
        <w:t xml:space="preserve">entspricht </w:t>
      </w:r>
      <w:r w:rsidRPr="00BA68AC">
        <w:rPr>
          <w:rFonts w:eastAsia="Times New Roman" w:cs="Times New Roman"/>
          <w:b/>
          <w:bCs/>
          <w:rtl/>
          <w:lang w:eastAsia="de-DE"/>
        </w:rPr>
        <w:t>עלה</w:t>
      </w:r>
      <w:r w:rsidRPr="00BA68AC">
        <w:rPr>
          <w:rFonts w:eastAsia="Times New Roman" w:cs="Times New Roman"/>
          <w:lang w:eastAsia="de-DE"/>
        </w:rPr>
        <w:t xml:space="preserve">, unterscheidet sich aber von </w:t>
      </w:r>
      <w:r w:rsidRPr="00BA68AC">
        <w:rPr>
          <w:rFonts w:eastAsia="Times New Roman" w:cs="Times New Roman"/>
          <w:b/>
          <w:bCs/>
          <w:rtl/>
          <w:lang w:eastAsia="de-DE"/>
        </w:rPr>
        <w:t>חטאת</w:t>
      </w:r>
      <w:r w:rsidRPr="00BA68AC">
        <w:rPr>
          <w:rFonts w:eastAsia="Times New Roman" w:cs="Times New Roman"/>
          <w:rtl/>
          <w:lang w:eastAsia="de-DE"/>
        </w:rPr>
        <w:t xml:space="preserve"> </w:t>
      </w:r>
      <w:r w:rsidRPr="00BA68AC">
        <w:rPr>
          <w:rFonts w:eastAsia="Times New Roman" w:cs="Times New Roman"/>
          <w:lang w:eastAsia="de-DE"/>
        </w:rPr>
        <w:t>(</w:t>
      </w:r>
      <w:r w:rsidRPr="00BA68AC">
        <w:rPr>
          <w:rFonts w:eastAsia="Times New Roman" w:cs="Times New Roman"/>
          <w:b/>
          <w:bCs/>
          <w:rtl/>
          <w:lang w:eastAsia="de-DE"/>
        </w:rPr>
        <w:t>נתן על־קרנות</w:t>
      </w:r>
      <w:r w:rsidRPr="00BA68AC">
        <w:rPr>
          <w:rFonts w:eastAsia="Times New Roman" w:cs="Times New Roman"/>
          <w:lang w:eastAsia="de-DE"/>
        </w:rPr>
        <w:t>). Die priesterliche Teamarbeit zeigt sich erneut in der Arbeitsteilung.</w:t>
      </w:r>
    </w:p>
    <w:p w14:paraId="45BD279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Die LXX</w:t>
      </w:r>
      <w:r w:rsidRPr="00BA68AC">
        <w:rPr>
          <w:rFonts w:eastAsia="Times New Roman" w:cs="Times New Roman"/>
          <w:lang w:eastAsia="de-DE"/>
        </w:rPr>
        <w:t xml:space="preserve"> übersetzt </w:t>
      </w:r>
      <w:r w:rsidRPr="00BA68AC">
        <w:rPr>
          <w:rFonts w:eastAsia="Times New Roman" w:cs="Times New Roman"/>
          <w:b/>
          <w:bCs/>
          <w:rtl/>
          <w:lang w:eastAsia="de-DE"/>
        </w:rPr>
        <w:t>השור</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μόσχον</w:t>
      </w:r>
      <w:proofErr w:type="spellEnd"/>
      <w:r w:rsidRPr="00BA68AC">
        <w:rPr>
          <w:rFonts w:eastAsia="Times New Roman" w:cs="Times New Roman"/>
          <w:lang w:eastAsia="de-DE"/>
        </w:rPr>
        <w:t xml:space="preserve"> (Kalb), </w:t>
      </w:r>
      <w:r w:rsidRPr="00BA68AC">
        <w:rPr>
          <w:rFonts w:eastAsia="Times New Roman" w:cs="Times New Roman"/>
          <w:b/>
          <w:bCs/>
          <w:rtl/>
          <w:lang w:eastAsia="de-DE"/>
        </w:rPr>
        <w:t>זבח השלמים</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θυσί</w:t>
      </w:r>
      <w:proofErr w:type="spellEnd"/>
      <w:r w:rsidRPr="00BA68AC">
        <w:rPr>
          <w:rFonts w:eastAsia="Times New Roman" w:cs="Times New Roman"/>
          <w:lang w:eastAsia="de-DE"/>
        </w:rPr>
        <w:t xml:space="preserve">αν </w:t>
      </w:r>
      <w:proofErr w:type="spellStart"/>
      <w:r w:rsidRPr="00BA68AC">
        <w:rPr>
          <w:rFonts w:eastAsia="Times New Roman" w:cs="Times New Roman"/>
          <w:lang w:eastAsia="de-DE"/>
        </w:rPr>
        <w:t>σωτηρίου</w:t>
      </w:r>
      <w:proofErr w:type="spellEnd"/>
      <w:r w:rsidRPr="00BA68AC">
        <w:rPr>
          <w:rFonts w:eastAsia="Times New Roman" w:cs="Times New Roman"/>
          <w:lang w:eastAsia="de-DE"/>
        </w:rPr>
        <w:t xml:space="preserve"> (Opfer des Heils) und </w:t>
      </w:r>
      <w:r w:rsidRPr="00BA68AC">
        <w:rPr>
          <w:rFonts w:eastAsia="Times New Roman" w:cs="Times New Roman"/>
          <w:b/>
          <w:bCs/>
          <w:rtl/>
          <w:lang w:eastAsia="de-DE"/>
        </w:rPr>
        <w:t>ויזרקהו</w:t>
      </w:r>
      <w:r w:rsidRPr="00BA68AC">
        <w:rPr>
          <w:rFonts w:eastAsia="Times New Roman" w:cs="Times New Roman"/>
          <w:rtl/>
          <w:lang w:eastAsia="de-DE"/>
        </w:rPr>
        <w:t xml:space="preserve"> </w:t>
      </w:r>
      <w:r w:rsidRPr="00BA68AC">
        <w:rPr>
          <w:rFonts w:eastAsia="Times New Roman" w:cs="Times New Roman"/>
          <w:lang w:eastAsia="de-DE"/>
        </w:rPr>
        <w:t>mit π</w:t>
      </w:r>
      <w:proofErr w:type="spellStart"/>
      <w:r w:rsidRPr="00BA68AC">
        <w:rPr>
          <w:rFonts w:eastAsia="Times New Roman" w:cs="Times New Roman"/>
          <w:lang w:eastAsia="de-DE"/>
        </w:rPr>
        <w:t>ροσέχεεν</w:t>
      </w:r>
      <w:proofErr w:type="spellEnd"/>
      <w:r w:rsidRPr="00BA68AC">
        <w:rPr>
          <w:rFonts w:eastAsia="Times New Roman" w:cs="Times New Roman"/>
          <w:lang w:eastAsia="de-DE"/>
        </w:rPr>
        <w:t xml:space="preserve"> α</w:t>
      </w:r>
      <w:proofErr w:type="spellStart"/>
      <w:r w:rsidRPr="00BA68AC">
        <w:rPr>
          <w:rFonts w:eastAsia="Times New Roman" w:cs="Times New Roman"/>
          <w:lang w:eastAsia="de-DE"/>
        </w:rPr>
        <w:t>ὐτό</w:t>
      </w:r>
      <w:proofErr w:type="spellEnd"/>
      <w:r w:rsidRPr="00BA68AC">
        <w:rPr>
          <w:rFonts w:eastAsia="Times New Roman" w:cs="Times New Roman"/>
          <w:lang w:eastAsia="de-DE"/>
        </w:rPr>
        <w:t xml:space="preserve"> (er goss es).</w:t>
      </w:r>
    </w:p>
    <w:p w14:paraId="04A540A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drei koordinierte Hauptsätze: 1) Schlachtung von zwei Tieren mit Klassifikation; 2) Blutdarreichung durch Söhne; 3) Blutsprengung durch Aaron. Die Struktur entspricht der </w:t>
      </w:r>
      <w:r w:rsidRPr="00BA68AC">
        <w:rPr>
          <w:rFonts w:eastAsia="Times New Roman" w:cs="Times New Roman"/>
          <w:b/>
          <w:bCs/>
          <w:rtl/>
          <w:lang w:eastAsia="de-DE"/>
        </w:rPr>
        <w:t>שלמים</w:t>
      </w:r>
      <w:r w:rsidRPr="00BA68AC">
        <w:rPr>
          <w:rFonts w:eastAsia="Times New Roman" w:cs="Times New Roman"/>
          <w:lang w:eastAsia="de-DE"/>
        </w:rPr>
        <w:t>-Prozedur.</w:t>
      </w:r>
    </w:p>
    <w:p w14:paraId="52ADE3E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zeigt die Schlachtung und Blutbehandlung der </w:t>
      </w:r>
      <w:r w:rsidRPr="00BA68AC">
        <w:rPr>
          <w:rFonts w:eastAsia="Times New Roman" w:cs="Times New Roman"/>
          <w:b/>
          <w:bCs/>
          <w:rtl/>
          <w:lang w:eastAsia="de-DE"/>
        </w:rPr>
        <w:t>שלמים</w:t>
      </w:r>
      <w:r w:rsidRPr="00BA68AC">
        <w:rPr>
          <w:rFonts w:eastAsia="Times New Roman" w:cs="Times New Roman"/>
          <w:lang w:eastAsia="de-DE"/>
        </w:rPr>
        <w:t>-Tiere für das Volk durch die bewährte priesterliche Teamarbeit.</w:t>
      </w:r>
    </w:p>
    <w:p w14:paraId="740C7585"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9,19</w:t>
      </w:r>
    </w:p>
    <w:p w14:paraId="1D056B6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וְאֶת־הַחֲלָבִ֖ים מִן־הַשּׁ֑וֹר וּמִן־הָאַ֔יִל הָֽאַלְיָ֤ה וְהַֽמְכַסֶּה֙ וְהַכְּלָיֹ֔ת וְיֹתֶ֖רֶת הַכָּבֵֽד׃</w:t>
      </w:r>
    </w:p>
    <w:p w14:paraId="73F5FA1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die Fettstücke von dem Stier; und von dem Widder den Fettschwanz und was das Eingeweide bedeckt, und die Nieren und das Netz der Leber;</w:t>
      </w:r>
    </w:p>
    <w:p w14:paraId="3E888D50"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57FA880">
          <v:rect id="_x0000_i1251" style="width:0;height:1.5pt" o:hralign="center" o:hrstd="t" o:hr="t" fillcolor="#a0a0a0" stroked="f"/>
        </w:pict>
      </w:r>
    </w:p>
    <w:p w14:paraId="17A2163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ואת־החלבים מן־השור</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החלבים</w:t>
      </w:r>
      <w:r w:rsidRPr="00BA68AC">
        <w:rPr>
          <w:rFonts w:eastAsia="Times New Roman" w:cs="Times New Roman"/>
          <w:rtl/>
          <w:lang w:eastAsia="de-DE"/>
        </w:rPr>
        <w:t xml:space="preserve"> </w:t>
      </w:r>
      <w:r w:rsidRPr="00BA68AC">
        <w:rPr>
          <w:rFonts w:eastAsia="Times New Roman" w:cs="Times New Roman"/>
          <w:lang w:eastAsia="de-DE"/>
        </w:rPr>
        <w:t xml:space="preserve">(die Fettstücke) im Plural von </w:t>
      </w:r>
      <w:r w:rsidRPr="00BA68AC">
        <w:rPr>
          <w:rFonts w:eastAsia="Times New Roman" w:cs="Times New Roman"/>
          <w:b/>
          <w:bCs/>
          <w:rtl/>
          <w:lang w:eastAsia="de-DE"/>
        </w:rPr>
        <w:t>חלב</w:t>
      </w:r>
      <w:r w:rsidRPr="00BA68AC">
        <w:rPr>
          <w:rFonts w:eastAsia="Times New Roman" w:cs="Times New Roman"/>
          <w:rtl/>
          <w:lang w:eastAsia="de-DE"/>
        </w:rPr>
        <w:t xml:space="preserve"> </w:t>
      </w:r>
      <w:r w:rsidRPr="00BA68AC">
        <w:rPr>
          <w:rFonts w:eastAsia="Times New Roman" w:cs="Times New Roman"/>
          <w:lang w:eastAsia="de-DE"/>
        </w:rPr>
        <w:t xml:space="preserve">(Fett). </w:t>
      </w:r>
      <w:r w:rsidRPr="00BA68AC">
        <w:rPr>
          <w:rFonts w:eastAsia="Times New Roman" w:cs="Times New Roman"/>
          <w:b/>
          <w:bCs/>
          <w:rtl/>
          <w:lang w:eastAsia="de-DE"/>
        </w:rPr>
        <w:t>מן־השור</w:t>
      </w:r>
      <w:r w:rsidRPr="00BA68AC">
        <w:rPr>
          <w:rFonts w:eastAsia="Times New Roman" w:cs="Times New Roman"/>
          <w:rtl/>
          <w:lang w:eastAsia="de-DE"/>
        </w:rPr>
        <w:t xml:space="preserve"> </w:t>
      </w:r>
      <w:r w:rsidRPr="00BA68AC">
        <w:rPr>
          <w:rFonts w:eastAsia="Times New Roman" w:cs="Times New Roman"/>
          <w:lang w:eastAsia="de-DE"/>
        </w:rPr>
        <w:t xml:space="preserve">(vom Stier) zeigt die erste Quelle. Dies beginnt die Auflistung der zu verbrennenden </w:t>
      </w:r>
      <w:r w:rsidRPr="00BA68AC">
        <w:rPr>
          <w:rFonts w:eastAsia="Times New Roman" w:cs="Times New Roman"/>
          <w:b/>
          <w:bCs/>
          <w:rtl/>
          <w:lang w:eastAsia="de-DE"/>
        </w:rPr>
        <w:t>שלמים</w:t>
      </w:r>
      <w:r w:rsidRPr="00BA68AC">
        <w:rPr>
          <w:rFonts w:eastAsia="Times New Roman" w:cs="Times New Roman"/>
          <w:lang w:eastAsia="de-DE"/>
        </w:rPr>
        <w:t>-Teile.</w:t>
      </w:r>
    </w:p>
    <w:p w14:paraId="403A57B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ומן־האיל האליה והמכסה והכליות ויתרת הכבד</w:t>
      </w:r>
      <w:r w:rsidRPr="00BA68AC">
        <w:rPr>
          <w:rFonts w:eastAsia="Times New Roman" w:cs="Times New Roman"/>
          <w:rtl/>
          <w:lang w:eastAsia="de-DE"/>
        </w:rPr>
        <w:t xml:space="preserve"> </w:t>
      </w:r>
      <w:r w:rsidRPr="00BA68AC">
        <w:rPr>
          <w:rFonts w:eastAsia="Times New Roman" w:cs="Times New Roman"/>
          <w:lang w:eastAsia="de-DE"/>
        </w:rPr>
        <w:t xml:space="preserve">listet die spezifischen Fettteile vom Widder auf. </w:t>
      </w:r>
      <w:r w:rsidRPr="00BA68AC">
        <w:rPr>
          <w:rFonts w:eastAsia="Times New Roman" w:cs="Times New Roman"/>
          <w:b/>
          <w:bCs/>
          <w:rtl/>
          <w:lang w:eastAsia="de-DE"/>
        </w:rPr>
        <w:t>מן־האיל</w:t>
      </w:r>
      <w:r w:rsidRPr="00BA68AC">
        <w:rPr>
          <w:rFonts w:eastAsia="Times New Roman" w:cs="Times New Roman"/>
          <w:rtl/>
          <w:lang w:eastAsia="de-DE"/>
        </w:rPr>
        <w:t xml:space="preserve"> </w:t>
      </w:r>
      <w:r w:rsidRPr="00BA68AC">
        <w:rPr>
          <w:rFonts w:eastAsia="Times New Roman" w:cs="Times New Roman"/>
          <w:lang w:eastAsia="de-DE"/>
        </w:rPr>
        <w:t xml:space="preserve">(vom Widder) als zweite Quelle. </w:t>
      </w:r>
      <w:r w:rsidRPr="00BA68AC">
        <w:rPr>
          <w:rFonts w:eastAsia="Times New Roman" w:cs="Times New Roman"/>
          <w:b/>
          <w:bCs/>
          <w:rtl/>
          <w:lang w:eastAsia="de-DE"/>
        </w:rPr>
        <w:t>האליה</w:t>
      </w:r>
      <w:r w:rsidRPr="00BA68AC">
        <w:rPr>
          <w:rFonts w:eastAsia="Times New Roman" w:cs="Times New Roman"/>
          <w:rtl/>
          <w:lang w:eastAsia="de-DE"/>
        </w:rPr>
        <w:t xml:space="preserve"> </w:t>
      </w:r>
      <w:r w:rsidRPr="00BA68AC">
        <w:rPr>
          <w:rFonts w:eastAsia="Times New Roman" w:cs="Times New Roman"/>
          <w:lang w:eastAsia="de-DE"/>
        </w:rPr>
        <w:t xml:space="preserve">(der Fettschwanz) ist charakteristisch für Schafe/Widder bei </w:t>
      </w:r>
      <w:r w:rsidRPr="00BA68AC">
        <w:rPr>
          <w:rFonts w:eastAsia="Times New Roman" w:cs="Times New Roman"/>
          <w:b/>
          <w:bCs/>
          <w:rtl/>
          <w:lang w:eastAsia="de-DE"/>
        </w:rPr>
        <w:t>שלמים</w:t>
      </w:r>
      <w:r w:rsidRPr="00BA68AC">
        <w:rPr>
          <w:rFonts w:eastAsia="Times New Roman" w:cs="Times New Roman"/>
          <w:rtl/>
          <w:lang w:eastAsia="de-DE"/>
        </w:rPr>
        <w:t xml:space="preserve"> </w:t>
      </w:r>
      <w:r w:rsidRPr="00BA68AC">
        <w:rPr>
          <w:rFonts w:eastAsia="Times New Roman" w:cs="Times New Roman"/>
          <w:lang w:eastAsia="de-DE"/>
        </w:rPr>
        <w:t xml:space="preserve">(vgl. 3,9). </w:t>
      </w:r>
      <w:r w:rsidRPr="00BA68AC">
        <w:rPr>
          <w:rFonts w:eastAsia="Times New Roman" w:cs="Times New Roman"/>
          <w:b/>
          <w:bCs/>
          <w:rtl/>
          <w:lang w:eastAsia="de-DE"/>
        </w:rPr>
        <w:t>והמכסה</w:t>
      </w:r>
      <w:r w:rsidRPr="00BA68AC">
        <w:rPr>
          <w:rFonts w:eastAsia="Times New Roman" w:cs="Times New Roman"/>
          <w:rtl/>
          <w:lang w:eastAsia="de-DE"/>
        </w:rPr>
        <w:t xml:space="preserve"> </w:t>
      </w:r>
      <w:r w:rsidRPr="00BA68AC">
        <w:rPr>
          <w:rFonts w:eastAsia="Times New Roman" w:cs="Times New Roman"/>
          <w:lang w:eastAsia="de-DE"/>
        </w:rPr>
        <w:t xml:space="preserve">(und das Bedeckende) ist das Eingeweidefett. </w:t>
      </w:r>
      <w:r w:rsidRPr="00BA68AC">
        <w:rPr>
          <w:rFonts w:eastAsia="Times New Roman" w:cs="Times New Roman"/>
          <w:b/>
          <w:bCs/>
          <w:rtl/>
          <w:lang w:eastAsia="de-DE"/>
        </w:rPr>
        <w:t>והכליות</w:t>
      </w:r>
      <w:r w:rsidRPr="00BA68AC">
        <w:rPr>
          <w:rFonts w:eastAsia="Times New Roman" w:cs="Times New Roman"/>
          <w:rtl/>
          <w:lang w:eastAsia="de-DE"/>
        </w:rPr>
        <w:t xml:space="preserve"> </w:t>
      </w:r>
      <w:r w:rsidRPr="00BA68AC">
        <w:rPr>
          <w:rFonts w:eastAsia="Times New Roman" w:cs="Times New Roman"/>
          <w:lang w:eastAsia="de-DE"/>
        </w:rPr>
        <w:t xml:space="preserve">(und die Nieren) im Plural. </w:t>
      </w:r>
      <w:r w:rsidRPr="00BA68AC">
        <w:rPr>
          <w:rFonts w:eastAsia="Times New Roman" w:cs="Times New Roman"/>
          <w:b/>
          <w:bCs/>
          <w:rtl/>
          <w:lang w:eastAsia="de-DE"/>
        </w:rPr>
        <w:t>ויתרת הכבד</w:t>
      </w:r>
      <w:r w:rsidRPr="00BA68AC">
        <w:rPr>
          <w:rFonts w:eastAsia="Times New Roman" w:cs="Times New Roman"/>
          <w:rtl/>
          <w:lang w:eastAsia="de-DE"/>
        </w:rPr>
        <w:t xml:space="preserve"> </w:t>
      </w:r>
      <w:r w:rsidRPr="00BA68AC">
        <w:rPr>
          <w:rFonts w:eastAsia="Times New Roman" w:cs="Times New Roman"/>
          <w:lang w:eastAsia="de-DE"/>
        </w:rPr>
        <w:t>(und das Netz der Leber).</w:t>
      </w:r>
    </w:p>
    <w:p w14:paraId="1944531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Aufzählung entspricht den </w:t>
      </w:r>
      <w:r w:rsidRPr="00BA68AC">
        <w:rPr>
          <w:rFonts w:eastAsia="Times New Roman" w:cs="Times New Roman"/>
          <w:b/>
          <w:bCs/>
          <w:rtl/>
          <w:lang w:eastAsia="de-DE"/>
        </w:rPr>
        <w:t>שלמים</w:t>
      </w:r>
      <w:r w:rsidRPr="00BA68AC">
        <w:rPr>
          <w:rFonts w:eastAsia="Times New Roman" w:cs="Times New Roman"/>
          <w:lang w:eastAsia="de-DE"/>
        </w:rPr>
        <w:t xml:space="preserve">-Bestimmungen aus Kapitel 3: alle inneren Fettteile werden verbrannt, während Fleisch und äußere Teile für das Opfermahl verwendet werden. </w:t>
      </w:r>
      <w:r w:rsidRPr="00BA68AC">
        <w:rPr>
          <w:rFonts w:eastAsia="Times New Roman" w:cs="Times New Roman"/>
          <w:b/>
          <w:bCs/>
          <w:rtl/>
          <w:lang w:eastAsia="de-DE"/>
        </w:rPr>
        <w:t>אליה</w:t>
      </w:r>
      <w:r w:rsidRPr="00BA68AC">
        <w:rPr>
          <w:rFonts w:eastAsia="Times New Roman" w:cs="Times New Roman"/>
          <w:rtl/>
          <w:lang w:eastAsia="de-DE"/>
        </w:rPr>
        <w:t xml:space="preserve"> </w:t>
      </w:r>
      <w:r w:rsidRPr="00BA68AC">
        <w:rPr>
          <w:rFonts w:eastAsia="Times New Roman" w:cs="Times New Roman"/>
          <w:lang w:eastAsia="de-DE"/>
        </w:rPr>
        <w:t>erscheint nur bei Schafen/Widdern, nicht bei Rindern.</w:t>
      </w:r>
    </w:p>
    <w:p w14:paraId="6D33542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החלבים</w:t>
      </w:r>
      <w:r w:rsidRPr="00BA68AC">
        <w:rPr>
          <w:rFonts w:eastAsia="Times New Roman" w:cs="Times New Roman"/>
          <w:rtl/>
          <w:lang w:eastAsia="de-DE"/>
        </w:rPr>
        <w:t xml:space="preserve"> </w:t>
      </w:r>
      <w:r w:rsidRPr="00BA68AC">
        <w:rPr>
          <w:rFonts w:eastAsia="Times New Roman" w:cs="Times New Roman"/>
          <w:lang w:eastAsia="de-DE"/>
        </w:rPr>
        <w:t xml:space="preserve">im Plural zeigt alle Kategorien von Opferfett. Die detaillierte Auflistung betont die Vollständigkeit der Fettentnahme entsprechend den </w:t>
      </w:r>
      <w:r w:rsidRPr="00BA68AC">
        <w:rPr>
          <w:rFonts w:eastAsia="Times New Roman" w:cs="Times New Roman"/>
          <w:b/>
          <w:bCs/>
          <w:rtl/>
          <w:lang w:eastAsia="de-DE"/>
        </w:rPr>
        <w:t>שלמים</w:t>
      </w:r>
      <w:r w:rsidRPr="00BA68AC">
        <w:rPr>
          <w:rFonts w:eastAsia="Times New Roman" w:cs="Times New Roman"/>
          <w:lang w:eastAsia="de-DE"/>
        </w:rPr>
        <w:t>-Vorschriften.</w:t>
      </w:r>
    </w:p>
    <w:p w14:paraId="652FE64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מן־השור...מן־האיל</w:t>
      </w:r>
      <w:r w:rsidRPr="00BA68AC">
        <w:rPr>
          <w:rFonts w:eastAsia="Times New Roman" w:cs="Times New Roman"/>
          <w:rtl/>
          <w:lang w:eastAsia="de-DE"/>
        </w:rPr>
        <w:t xml:space="preserve"> </w:t>
      </w:r>
      <w:r w:rsidRPr="00BA68AC">
        <w:rPr>
          <w:rFonts w:eastAsia="Times New Roman" w:cs="Times New Roman"/>
          <w:lang w:eastAsia="de-DE"/>
        </w:rPr>
        <w:t xml:space="preserve">zeigt die getrennte Behandlung der beiden Tiere, auch wenn sie als gemeinsames </w:t>
      </w:r>
      <w:r w:rsidRPr="00BA68AC">
        <w:rPr>
          <w:rFonts w:eastAsia="Times New Roman" w:cs="Times New Roman"/>
          <w:b/>
          <w:bCs/>
          <w:rtl/>
          <w:lang w:eastAsia="de-DE"/>
        </w:rPr>
        <w:t>שלמים</w:t>
      </w:r>
      <w:r w:rsidRPr="00BA68AC">
        <w:rPr>
          <w:rFonts w:eastAsia="Times New Roman" w:cs="Times New Roman"/>
          <w:rtl/>
          <w:lang w:eastAsia="de-DE"/>
        </w:rPr>
        <w:t xml:space="preserve"> </w:t>
      </w:r>
      <w:r w:rsidRPr="00BA68AC">
        <w:rPr>
          <w:rFonts w:eastAsia="Times New Roman" w:cs="Times New Roman"/>
          <w:lang w:eastAsia="de-DE"/>
        </w:rPr>
        <w:t>dargebracht werden.</w:t>
      </w:r>
    </w:p>
    <w:p w14:paraId="79A24613" w14:textId="2B5D8A55"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übersetzt </w:t>
      </w:r>
      <w:r w:rsidR="00F6539E">
        <w:rPr>
          <w:rtl/>
        </w:rPr>
        <w:t>האליה</w:t>
      </w:r>
      <w:r w:rsidR="00F6539E">
        <w:t xml:space="preserve"> (</w:t>
      </w:r>
      <w:proofErr w:type="spellStart"/>
      <w:r w:rsidR="00F6539E">
        <w:t>ha'alya</w:t>
      </w:r>
      <w:proofErr w:type="spellEnd"/>
      <w:r w:rsidR="00F6539E">
        <w:t xml:space="preserve"> - "Fettschwanz") als </w:t>
      </w:r>
      <w:proofErr w:type="spellStart"/>
      <w:r w:rsidR="00F6539E">
        <w:t>τὴν</w:t>
      </w:r>
      <w:proofErr w:type="spellEnd"/>
      <w:r w:rsidR="00F6539E">
        <w:t xml:space="preserve"> </w:t>
      </w:r>
      <w:proofErr w:type="spellStart"/>
      <w:r w:rsidR="00F6539E">
        <w:t>ὀσφὺν</w:t>
      </w:r>
      <w:proofErr w:type="spellEnd"/>
      <w:r w:rsidR="00F6539E">
        <w:t xml:space="preserve"> (das Rückgrat), was die bekannte anatomische Fehlinterpretation fortsetzt.</w:t>
      </w:r>
    </w:p>
    <w:p w14:paraId="616732A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eine nominale Aufzählung: direktes Objekt + Quellenangabe // weitere Quellenangabe + fünf koordinierte Fettteile. Die Struktur listet systematisch alle zu verbrennenden </w:t>
      </w:r>
      <w:r w:rsidRPr="00BA68AC">
        <w:rPr>
          <w:rFonts w:eastAsia="Times New Roman" w:cs="Times New Roman"/>
          <w:b/>
          <w:bCs/>
          <w:rtl/>
          <w:lang w:eastAsia="de-DE"/>
        </w:rPr>
        <w:t>שלמים</w:t>
      </w:r>
      <w:r w:rsidRPr="00BA68AC">
        <w:rPr>
          <w:rFonts w:eastAsia="Times New Roman" w:cs="Times New Roman"/>
          <w:lang w:eastAsia="de-DE"/>
        </w:rPr>
        <w:t>-Teile auf.</w:t>
      </w:r>
    </w:p>
    <w:p w14:paraId="4F0EEBF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listet alle Fettteile der </w:t>
      </w:r>
      <w:r w:rsidRPr="00BA68AC">
        <w:rPr>
          <w:rFonts w:eastAsia="Times New Roman" w:cs="Times New Roman"/>
          <w:b/>
          <w:bCs/>
          <w:rtl/>
          <w:lang w:eastAsia="de-DE"/>
        </w:rPr>
        <w:t>שלמים</w:t>
      </w:r>
      <w:r w:rsidRPr="00BA68AC">
        <w:rPr>
          <w:rFonts w:eastAsia="Times New Roman" w:cs="Times New Roman"/>
          <w:lang w:eastAsia="de-DE"/>
        </w:rPr>
        <w:t>-Tiere auf, die entsprechend den Vorschriften aus Kapitel 3 verbrannt werden müssen.</w:t>
      </w:r>
    </w:p>
    <w:p w14:paraId="4BACD805"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9,20</w:t>
      </w:r>
    </w:p>
    <w:p w14:paraId="40E81EB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Hebräisch:</w:t>
      </w:r>
      <w:r w:rsidRPr="00BA68AC">
        <w:rPr>
          <w:rFonts w:eastAsia="Times New Roman" w:cs="Times New Roman"/>
          <w:lang w:eastAsia="de-DE"/>
        </w:rPr>
        <w:t xml:space="preserve"> </w:t>
      </w:r>
      <w:r w:rsidRPr="00BA68AC">
        <w:rPr>
          <w:rFonts w:eastAsia="Times New Roman" w:cs="Times New Roman"/>
          <w:rtl/>
          <w:lang w:eastAsia="de-DE"/>
        </w:rPr>
        <w:t>וַיָּשִׂ֥ימוּ אֶת־הַחֲלָבִ֖ים עַל־הֶחָז֑וֹת וַיַּקְטֵ֥ר הַחֲלָבִ֖ים הַמִּזְבֵּֽחָה׃</w:t>
      </w:r>
    </w:p>
    <w:p w14:paraId="23EE553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sie legten die Fettstücke auf die Bruststücke, und er räucherte die Fettstücke auf dem Altar.</w:t>
      </w:r>
    </w:p>
    <w:p w14:paraId="09476AC2"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5402BC8">
          <v:rect id="_x0000_i1252" style="width:0;height:1.5pt" o:hralign="center" o:hrstd="t" o:hr="t" fillcolor="#a0a0a0" stroked="f"/>
        </w:pict>
      </w:r>
    </w:p>
    <w:p w14:paraId="13D7572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וישימו את־החלבים על־החזות</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שים</w:t>
      </w:r>
      <w:r w:rsidRPr="00BA68AC">
        <w:rPr>
          <w:rFonts w:eastAsia="Times New Roman" w:cs="Times New Roman"/>
          <w:rtl/>
          <w:lang w:eastAsia="de-DE"/>
        </w:rPr>
        <w:t xml:space="preserve"> </w:t>
      </w:r>
      <w:r w:rsidRPr="00BA68AC">
        <w:rPr>
          <w:rFonts w:eastAsia="Times New Roman" w:cs="Times New Roman"/>
          <w:lang w:eastAsia="de-DE"/>
        </w:rPr>
        <w:t xml:space="preserve">(setzen/legen) im Qal-Imperfekt 3. Person maskulin Plural mit Waw-Konsekutiv. Das Subjekt sind implizit </w:t>
      </w:r>
      <w:r w:rsidRPr="00BA68AC">
        <w:rPr>
          <w:rFonts w:eastAsia="Times New Roman" w:cs="Times New Roman"/>
          <w:b/>
          <w:bCs/>
          <w:rtl/>
          <w:lang w:eastAsia="de-DE"/>
        </w:rPr>
        <w:t>בני אהרן</w:t>
      </w:r>
      <w:r w:rsidRPr="00BA68AC">
        <w:rPr>
          <w:rFonts w:eastAsia="Times New Roman" w:cs="Times New Roman"/>
          <w:rtl/>
          <w:lang w:eastAsia="de-DE"/>
        </w:rPr>
        <w:t xml:space="preserve"> </w:t>
      </w:r>
      <w:r w:rsidRPr="00BA68AC">
        <w:rPr>
          <w:rFonts w:eastAsia="Times New Roman" w:cs="Times New Roman"/>
          <w:lang w:eastAsia="de-DE"/>
        </w:rPr>
        <w:t xml:space="preserve">aus V. 18. </w:t>
      </w:r>
      <w:r w:rsidRPr="00BA68AC">
        <w:rPr>
          <w:rFonts w:eastAsia="Times New Roman" w:cs="Times New Roman"/>
          <w:b/>
          <w:bCs/>
          <w:rtl/>
          <w:lang w:eastAsia="de-DE"/>
        </w:rPr>
        <w:t>את־החלבים</w:t>
      </w:r>
      <w:r w:rsidRPr="00BA68AC">
        <w:rPr>
          <w:rFonts w:eastAsia="Times New Roman" w:cs="Times New Roman"/>
          <w:rtl/>
          <w:lang w:eastAsia="de-DE"/>
        </w:rPr>
        <w:t xml:space="preserve"> </w:t>
      </w:r>
      <w:r w:rsidRPr="00BA68AC">
        <w:rPr>
          <w:rFonts w:eastAsia="Times New Roman" w:cs="Times New Roman"/>
          <w:lang w:eastAsia="de-DE"/>
        </w:rPr>
        <w:t xml:space="preserve">(die Fettstücke) referenziert die aufgelisteten Fettteile aus V. 19. </w:t>
      </w:r>
      <w:r w:rsidRPr="00BA68AC">
        <w:rPr>
          <w:rFonts w:eastAsia="Times New Roman" w:cs="Times New Roman"/>
          <w:b/>
          <w:bCs/>
          <w:rtl/>
          <w:lang w:eastAsia="de-DE"/>
        </w:rPr>
        <w:t>על־החזות</w:t>
      </w:r>
      <w:r w:rsidRPr="00BA68AC">
        <w:rPr>
          <w:rFonts w:eastAsia="Times New Roman" w:cs="Times New Roman"/>
          <w:rtl/>
          <w:lang w:eastAsia="de-DE"/>
        </w:rPr>
        <w:t xml:space="preserve"> </w:t>
      </w:r>
      <w:r w:rsidRPr="00BA68AC">
        <w:rPr>
          <w:rFonts w:eastAsia="Times New Roman" w:cs="Times New Roman"/>
          <w:lang w:eastAsia="de-DE"/>
        </w:rPr>
        <w:t xml:space="preserve">(auf die Bruststücke) - </w:t>
      </w:r>
      <w:r w:rsidRPr="00BA68AC">
        <w:rPr>
          <w:rFonts w:eastAsia="Times New Roman" w:cs="Times New Roman"/>
          <w:b/>
          <w:bCs/>
          <w:rtl/>
          <w:lang w:eastAsia="de-DE"/>
        </w:rPr>
        <w:t>חזות</w:t>
      </w:r>
      <w:r w:rsidRPr="00BA68AC">
        <w:rPr>
          <w:rFonts w:eastAsia="Times New Roman" w:cs="Times New Roman"/>
          <w:rtl/>
          <w:lang w:eastAsia="de-DE"/>
        </w:rPr>
        <w:t xml:space="preserve"> </w:t>
      </w:r>
      <w:r w:rsidRPr="00BA68AC">
        <w:rPr>
          <w:rFonts w:eastAsia="Times New Roman" w:cs="Times New Roman"/>
          <w:lang w:eastAsia="de-DE"/>
        </w:rPr>
        <w:t xml:space="preserve">(Bruststücke) im Plural von </w:t>
      </w:r>
      <w:r w:rsidRPr="00BA68AC">
        <w:rPr>
          <w:rFonts w:eastAsia="Times New Roman" w:cs="Times New Roman"/>
          <w:b/>
          <w:bCs/>
          <w:rtl/>
          <w:lang w:eastAsia="de-DE"/>
        </w:rPr>
        <w:t>חזה</w:t>
      </w:r>
      <w:r w:rsidRPr="00BA68AC">
        <w:rPr>
          <w:rFonts w:eastAsia="Times New Roman" w:cs="Times New Roman"/>
          <w:rtl/>
          <w:lang w:eastAsia="de-DE"/>
        </w:rPr>
        <w:t xml:space="preserve"> </w:t>
      </w:r>
      <w:r w:rsidRPr="00BA68AC">
        <w:rPr>
          <w:rFonts w:eastAsia="Times New Roman" w:cs="Times New Roman"/>
          <w:lang w:eastAsia="de-DE"/>
        </w:rPr>
        <w:t>(Brust).</w:t>
      </w:r>
    </w:p>
    <w:p w14:paraId="4737B30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ויקטר החלבים המזבחה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קטר</w:t>
      </w:r>
      <w:r w:rsidRPr="00BA68AC">
        <w:rPr>
          <w:rFonts w:eastAsia="Times New Roman" w:cs="Times New Roman"/>
          <w:rtl/>
          <w:lang w:eastAsia="de-DE"/>
        </w:rPr>
        <w:t xml:space="preserve"> </w:t>
      </w:r>
      <w:r w:rsidRPr="00BA68AC">
        <w:rPr>
          <w:rFonts w:eastAsia="Times New Roman" w:cs="Times New Roman"/>
          <w:lang w:eastAsia="de-DE"/>
        </w:rPr>
        <w:t xml:space="preserve">(räuchern) im Hifil-Imperfekt 3. Person maskulin Singular mit Waw-Konsekutiv. </w:t>
      </w:r>
      <w:r w:rsidRPr="00BA68AC">
        <w:rPr>
          <w:rFonts w:eastAsia="Times New Roman" w:cs="Times New Roman"/>
          <w:b/>
          <w:bCs/>
          <w:rtl/>
          <w:lang w:eastAsia="de-DE"/>
        </w:rPr>
        <w:t>החלבים</w:t>
      </w:r>
      <w:r w:rsidRPr="00BA68AC">
        <w:rPr>
          <w:rFonts w:eastAsia="Times New Roman" w:cs="Times New Roman"/>
          <w:rtl/>
          <w:lang w:eastAsia="de-DE"/>
        </w:rPr>
        <w:t xml:space="preserve"> </w:t>
      </w:r>
      <w:r w:rsidRPr="00BA68AC">
        <w:rPr>
          <w:rFonts w:eastAsia="Times New Roman" w:cs="Times New Roman"/>
          <w:lang w:eastAsia="de-DE"/>
        </w:rPr>
        <w:t xml:space="preserve">(die Fettstücke) als direktes Objekt. </w:t>
      </w:r>
      <w:r w:rsidRPr="00BA68AC">
        <w:rPr>
          <w:rFonts w:eastAsia="Times New Roman" w:cs="Times New Roman"/>
          <w:b/>
          <w:bCs/>
          <w:rtl/>
          <w:lang w:eastAsia="de-DE"/>
        </w:rPr>
        <w:t>המזבחה</w:t>
      </w:r>
      <w:r w:rsidRPr="00BA68AC">
        <w:rPr>
          <w:rFonts w:eastAsia="Times New Roman" w:cs="Times New Roman"/>
          <w:rtl/>
          <w:lang w:eastAsia="de-DE"/>
        </w:rPr>
        <w:t xml:space="preserve"> </w:t>
      </w:r>
      <w:r w:rsidRPr="00BA68AC">
        <w:rPr>
          <w:rFonts w:eastAsia="Times New Roman" w:cs="Times New Roman"/>
          <w:lang w:eastAsia="de-DE"/>
        </w:rPr>
        <w:t xml:space="preserve">mit direktionaler </w:t>
      </w:r>
      <w:r w:rsidRPr="00BA68AC">
        <w:rPr>
          <w:rFonts w:eastAsia="Times New Roman" w:cs="Times New Roman"/>
          <w:b/>
          <w:bCs/>
          <w:rtl/>
          <w:lang w:eastAsia="de-DE"/>
        </w:rPr>
        <w:t>ה</w:t>
      </w:r>
      <w:r w:rsidRPr="00BA68AC">
        <w:rPr>
          <w:rFonts w:eastAsia="Times New Roman" w:cs="Times New Roman"/>
          <w:rtl/>
          <w:lang w:eastAsia="de-DE"/>
        </w:rPr>
        <w:t xml:space="preserve"> </w:t>
      </w:r>
      <w:r w:rsidRPr="00BA68AC">
        <w:rPr>
          <w:rFonts w:eastAsia="Times New Roman" w:cs="Times New Roman"/>
          <w:lang w:eastAsia="de-DE"/>
        </w:rPr>
        <w:t>(zum Altar hin). Aaron führt die Verbrennung selbst durch.</w:t>
      </w:r>
    </w:p>
    <w:p w14:paraId="3EDD274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על־החזות</w:t>
      </w:r>
      <w:r w:rsidRPr="00BA68AC">
        <w:rPr>
          <w:rFonts w:eastAsia="Times New Roman" w:cs="Times New Roman"/>
          <w:rtl/>
          <w:lang w:eastAsia="de-DE"/>
        </w:rPr>
        <w:t xml:space="preserve"> </w:t>
      </w:r>
      <w:r w:rsidRPr="00BA68AC">
        <w:rPr>
          <w:rFonts w:eastAsia="Times New Roman" w:cs="Times New Roman"/>
          <w:lang w:eastAsia="de-DE"/>
        </w:rPr>
        <w:t xml:space="preserve">zeigt eine temporäre Anordnung der Fettteile auf den Bruststücken vor der Verbrennung. Dies entspricht der </w:t>
      </w:r>
      <w:r w:rsidRPr="00BA68AC">
        <w:rPr>
          <w:rFonts w:eastAsia="Times New Roman" w:cs="Times New Roman"/>
          <w:b/>
          <w:bCs/>
          <w:rtl/>
          <w:lang w:eastAsia="de-DE"/>
        </w:rPr>
        <w:t>שלמים</w:t>
      </w:r>
      <w:r w:rsidRPr="00BA68AC">
        <w:rPr>
          <w:rFonts w:eastAsia="Times New Roman" w:cs="Times New Roman"/>
          <w:lang w:eastAsia="de-DE"/>
        </w:rPr>
        <w:t xml:space="preserve">-Prozedur aus 7,30-31, wo </w:t>
      </w:r>
      <w:r w:rsidRPr="00BA68AC">
        <w:rPr>
          <w:rFonts w:eastAsia="Times New Roman" w:cs="Times New Roman"/>
          <w:b/>
          <w:bCs/>
          <w:rtl/>
          <w:lang w:eastAsia="de-DE"/>
        </w:rPr>
        <w:t>חזה</w:t>
      </w:r>
      <w:r w:rsidRPr="00BA68AC">
        <w:rPr>
          <w:rFonts w:eastAsia="Times New Roman" w:cs="Times New Roman"/>
          <w:rtl/>
          <w:lang w:eastAsia="de-DE"/>
        </w:rPr>
        <w:t xml:space="preserve"> </w:t>
      </w:r>
      <w:r w:rsidRPr="00BA68AC">
        <w:rPr>
          <w:rFonts w:eastAsia="Times New Roman" w:cs="Times New Roman"/>
          <w:lang w:eastAsia="de-DE"/>
        </w:rPr>
        <w:t xml:space="preserve">als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(Schwingopfer) verwendet wird.</w:t>
      </w:r>
    </w:p>
    <w:p w14:paraId="4537DC8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Arbeitsteilung zeigt sich: </w:t>
      </w:r>
      <w:r w:rsidRPr="00BA68AC">
        <w:rPr>
          <w:rFonts w:eastAsia="Times New Roman" w:cs="Times New Roman"/>
          <w:b/>
          <w:bCs/>
          <w:rtl/>
          <w:lang w:eastAsia="de-DE"/>
        </w:rPr>
        <w:t>וישימו</w:t>
      </w:r>
      <w:r w:rsidRPr="00BA68AC">
        <w:rPr>
          <w:rFonts w:eastAsia="Times New Roman" w:cs="Times New Roman"/>
          <w:rtl/>
          <w:lang w:eastAsia="de-DE"/>
        </w:rPr>
        <w:t xml:space="preserve"> </w:t>
      </w:r>
      <w:r w:rsidRPr="00BA68AC">
        <w:rPr>
          <w:rFonts w:eastAsia="Times New Roman" w:cs="Times New Roman"/>
          <w:lang w:eastAsia="de-DE"/>
        </w:rPr>
        <w:t xml:space="preserve">(sie legten) - die Söhne bereiten vor, </w:t>
      </w:r>
      <w:r w:rsidRPr="00BA68AC">
        <w:rPr>
          <w:rFonts w:eastAsia="Times New Roman" w:cs="Times New Roman"/>
          <w:b/>
          <w:bCs/>
          <w:rtl/>
          <w:lang w:eastAsia="de-DE"/>
        </w:rPr>
        <w:t>ויקטר</w:t>
      </w:r>
      <w:r w:rsidRPr="00BA68AC">
        <w:rPr>
          <w:rFonts w:eastAsia="Times New Roman" w:cs="Times New Roman"/>
          <w:rtl/>
          <w:lang w:eastAsia="de-DE"/>
        </w:rPr>
        <w:t xml:space="preserve"> </w:t>
      </w:r>
      <w:r w:rsidRPr="00BA68AC">
        <w:rPr>
          <w:rFonts w:eastAsia="Times New Roman" w:cs="Times New Roman"/>
          <w:lang w:eastAsia="de-DE"/>
        </w:rPr>
        <w:t xml:space="preserve">(er räucherte) - Aaron führt die Verbrennung aus. </w:t>
      </w:r>
      <w:r w:rsidRPr="00BA68AC">
        <w:rPr>
          <w:rFonts w:eastAsia="Times New Roman" w:cs="Times New Roman"/>
          <w:b/>
          <w:bCs/>
          <w:rtl/>
          <w:lang w:eastAsia="de-DE"/>
        </w:rPr>
        <w:t>חזות</w:t>
      </w:r>
      <w:r w:rsidRPr="00BA68AC">
        <w:rPr>
          <w:rFonts w:eastAsia="Times New Roman" w:cs="Times New Roman"/>
          <w:rtl/>
          <w:lang w:eastAsia="de-DE"/>
        </w:rPr>
        <w:t xml:space="preserve"> </w:t>
      </w:r>
      <w:r w:rsidRPr="00BA68AC">
        <w:rPr>
          <w:rFonts w:eastAsia="Times New Roman" w:cs="Times New Roman"/>
          <w:lang w:eastAsia="de-DE"/>
        </w:rPr>
        <w:t>im Plural zeigt beide Bruststücke von Stier und Widder.</w:t>
      </w:r>
    </w:p>
    <w:p w14:paraId="0B1400D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החלבים...החלבים</w:t>
      </w:r>
      <w:r w:rsidRPr="00BA68AC">
        <w:rPr>
          <w:rFonts w:eastAsia="Times New Roman" w:cs="Times New Roman"/>
          <w:rtl/>
          <w:lang w:eastAsia="de-DE"/>
        </w:rPr>
        <w:t xml:space="preserve"> </w:t>
      </w:r>
      <w:r w:rsidRPr="00BA68AC">
        <w:rPr>
          <w:rFonts w:eastAsia="Times New Roman" w:cs="Times New Roman"/>
          <w:lang w:eastAsia="de-DE"/>
        </w:rPr>
        <w:t xml:space="preserve">wiederholt betont, dass nur die Fettteile verbrannt werden, während andere Teile für andere Zwecke (wie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und Verzehr) bestimmt sind.</w:t>
      </w:r>
    </w:p>
    <w:p w14:paraId="196FCFE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וישימו</w:t>
      </w:r>
      <w:r w:rsidRPr="00BA68AC">
        <w:rPr>
          <w:rFonts w:eastAsia="Times New Roman" w:cs="Times New Roman"/>
          <w:rtl/>
          <w:lang w:eastAsia="de-DE"/>
        </w:rPr>
        <w:t xml:space="preserve"> </w:t>
      </w:r>
      <w:r w:rsidRPr="00BA68AC">
        <w:rPr>
          <w:rFonts w:eastAsia="Times New Roman" w:cs="Times New Roman"/>
          <w:lang w:eastAsia="de-DE"/>
        </w:rPr>
        <w:t>mit ἐπ</w:t>
      </w:r>
      <w:proofErr w:type="spellStart"/>
      <w:r w:rsidRPr="00BA68AC">
        <w:rPr>
          <w:rFonts w:eastAsia="Times New Roman" w:cs="Times New Roman"/>
          <w:lang w:eastAsia="de-DE"/>
        </w:rPr>
        <w:t>έθηκ</w:t>
      </w:r>
      <w:proofErr w:type="spellEnd"/>
      <w:r w:rsidRPr="00BA68AC">
        <w:rPr>
          <w:rFonts w:eastAsia="Times New Roman" w:cs="Times New Roman"/>
          <w:lang w:eastAsia="de-DE"/>
        </w:rPr>
        <w:t xml:space="preserve">αν (sie legten auf), </w:t>
      </w:r>
      <w:r w:rsidRPr="00BA68AC">
        <w:rPr>
          <w:rFonts w:eastAsia="Times New Roman" w:cs="Times New Roman"/>
          <w:b/>
          <w:bCs/>
          <w:rtl/>
          <w:lang w:eastAsia="de-DE"/>
        </w:rPr>
        <w:t>החזות</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στηθύνι</w:t>
      </w:r>
      <w:proofErr w:type="spellEnd"/>
      <w:r w:rsidRPr="00BA68AC">
        <w:rPr>
          <w:rFonts w:eastAsia="Times New Roman" w:cs="Times New Roman"/>
          <w:lang w:eastAsia="de-DE"/>
        </w:rPr>
        <w:t xml:space="preserve">α (Bruststücke) und </w:t>
      </w:r>
      <w:r w:rsidRPr="00BA68AC">
        <w:rPr>
          <w:rFonts w:eastAsia="Times New Roman" w:cs="Times New Roman"/>
          <w:b/>
          <w:bCs/>
          <w:rtl/>
          <w:lang w:eastAsia="de-DE"/>
        </w:rPr>
        <w:t>ויקטר</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ἀνήνεγκεν</w:t>
      </w:r>
      <w:proofErr w:type="spellEnd"/>
      <w:r w:rsidRPr="00BA68AC">
        <w:rPr>
          <w:rFonts w:eastAsia="Times New Roman" w:cs="Times New Roman"/>
          <w:lang w:eastAsia="de-DE"/>
        </w:rPr>
        <w:t xml:space="preserve"> (er brachte hinauf).</w:t>
      </w:r>
    </w:p>
    <w:p w14:paraId="7187AE6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zwei koordinierte Hauptsätze: 1) Verb (Plural) + direktes Objekt + Ortsangabe; 2) Verb (Singular) + direktes Objekt + Ortsangabe. Die Struktur zeigt die Arbeitsteilung bei der </w:t>
      </w:r>
      <w:r w:rsidRPr="00BA68AC">
        <w:rPr>
          <w:rFonts w:eastAsia="Times New Roman" w:cs="Times New Roman"/>
          <w:b/>
          <w:bCs/>
          <w:rtl/>
          <w:lang w:eastAsia="de-DE"/>
        </w:rPr>
        <w:t>שלמים</w:t>
      </w:r>
      <w:r w:rsidRPr="00BA68AC">
        <w:rPr>
          <w:rFonts w:eastAsia="Times New Roman" w:cs="Times New Roman"/>
          <w:lang w:eastAsia="de-DE"/>
        </w:rPr>
        <w:t>-Behandlung.</w:t>
      </w:r>
    </w:p>
    <w:p w14:paraId="7D3B7FC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zeigt die systematische Behandlung der </w:t>
      </w:r>
      <w:r w:rsidRPr="00BA68AC">
        <w:rPr>
          <w:rFonts w:eastAsia="Times New Roman" w:cs="Times New Roman"/>
          <w:b/>
          <w:bCs/>
          <w:rtl/>
          <w:lang w:eastAsia="de-DE"/>
        </w:rPr>
        <w:t>שלמים</w:t>
      </w:r>
      <w:r w:rsidRPr="00BA68AC">
        <w:rPr>
          <w:rFonts w:eastAsia="Times New Roman" w:cs="Times New Roman"/>
          <w:lang w:eastAsia="de-DE"/>
        </w:rPr>
        <w:t>-Fettteile: Vorbereitung durch die Söhne, Verbrennung durch Aaron.</w:t>
      </w:r>
    </w:p>
    <w:p w14:paraId="6EA31DE9"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9,21</w:t>
      </w:r>
    </w:p>
    <w:p w14:paraId="02BF5B4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וְאֵ֣ת הֶחָז֗וֹת וְאֵת֙ שׁ֣וֹק הַיָּמִ֔ין הֵנִ֧יף אַהֲרֹ֛ן תְּנוּפָ֖ה לִפְנֵ֣י יְהוָ֑ה כַּאֲשֶׁ֖ר צִוָּ֥ה מֹשֶֽׁה׃</w:t>
      </w:r>
    </w:p>
    <w:p w14:paraId="021D480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die Bruststücke und den rechten Schenkel schwenkte Aaron als Schwingopfer vor dem Ewigen, so wie Mosche geboten hatte.</w:t>
      </w:r>
    </w:p>
    <w:p w14:paraId="385FEAFD"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9DC5AB9">
          <v:rect id="_x0000_i1253" style="width:0;height:1.5pt" o:hralign="center" o:hrstd="t" o:hr="t" fillcolor="#a0a0a0" stroked="f"/>
        </w:pict>
      </w:r>
    </w:p>
    <w:p w14:paraId="52C6C53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ואת החזות ואת שוק הימין הניף אהרן תנופה 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נוף</w:t>
      </w:r>
      <w:r w:rsidRPr="00BA68AC">
        <w:rPr>
          <w:rFonts w:eastAsia="Times New Roman" w:cs="Times New Roman"/>
          <w:rtl/>
          <w:lang w:eastAsia="de-DE"/>
        </w:rPr>
        <w:t xml:space="preserve"> </w:t>
      </w:r>
      <w:r w:rsidRPr="00BA68AC">
        <w:rPr>
          <w:rFonts w:eastAsia="Times New Roman" w:cs="Times New Roman"/>
          <w:lang w:eastAsia="de-DE"/>
        </w:rPr>
        <w:t xml:space="preserve">(schwingen) im Hifil-Perfekt 3. Person maskulin Singular. </w:t>
      </w:r>
      <w:r w:rsidRPr="00BA68AC">
        <w:rPr>
          <w:rFonts w:eastAsia="Times New Roman" w:cs="Times New Roman"/>
          <w:b/>
          <w:bCs/>
          <w:rtl/>
          <w:lang w:eastAsia="de-DE"/>
        </w:rPr>
        <w:t>את החזות</w:t>
      </w:r>
      <w:r w:rsidRPr="00BA68AC">
        <w:rPr>
          <w:rFonts w:eastAsia="Times New Roman" w:cs="Times New Roman"/>
          <w:rtl/>
          <w:lang w:eastAsia="de-DE"/>
        </w:rPr>
        <w:t xml:space="preserve"> </w:t>
      </w:r>
      <w:r w:rsidRPr="00BA68AC">
        <w:rPr>
          <w:rFonts w:eastAsia="Times New Roman" w:cs="Times New Roman"/>
          <w:lang w:eastAsia="de-DE"/>
        </w:rPr>
        <w:t xml:space="preserve">(die Bruststücke) im Plural und </w:t>
      </w:r>
      <w:r w:rsidRPr="00BA68AC">
        <w:rPr>
          <w:rFonts w:eastAsia="Times New Roman" w:cs="Times New Roman"/>
          <w:b/>
          <w:bCs/>
          <w:rtl/>
          <w:lang w:eastAsia="de-DE"/>
        </w:rPr>
        <w:t>את שוק הימין</w:t>
      </w:r>
      <w:r w:rsidRPr="00BA68AC">
        <w:rPr>
          <w:rFonts w:eastAsia="Times New Roman" w:cs="Times New Roman"/>
          <w:rtl/>
          <w:lang w:eastAsia="de-DE"/>
        </w:rPr>
        <w:t xml:space="preserve"> </w:t>
      </w:r>
      <w:r w:rsidRPr="00BA68AC">
        <w:rPr>
          <w:rFonts w:eastAsia="Times New Roman" w:cs="Times New Roman"/>
          <w:lang w:eastAsia="de-DE"/>
        </w:rPr>
        <w:lastRenderedPageBreak/>
        <w:t xml:space="preserve">(den rechten Schenkel) als direkte Objekte. </w:t>
      </w:r>
      <w:r w:rsidRPr="00BA68AC">
        <w:rPr>
          <w:rFonts w:eastAsia="Times New Roman" w:cs="Times New Roman"/>
          <w:b/>
          <w:bCs/>
          <w:rtl/>
          <w:lang w:eastAsia="de-DE"/>
        </w:rPr>
        <w:t>אהרן</w:t>
      </w:r>
      <w:r w:rsidRPr="00BA68AC">
        <w:rPr>
          <w:rFonts w:eastAsia="Times New Roman" w:cs="Times New Roman"/>
          <w:rtl/>
          <w:lang w:eastAsia="de-DE"/>
        </w:rPr>
        <w:t xml:space="preserve"> </w:t>
      </w:r>
      <w:r w:rsidRPr="00BA68AC">
        <w:rPr>
          <w:rFonts w:eastAsia="Times New Roman" w:cs="Times New Roman"/>
          <w:lang w:eastAsia="de-DE"/>
        </w:rPr>
        <w:t xml:space="preserve">als explizites Subjekt.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 xml:space="preserve">(Schwingopfer) als cognate accusative zur Verstärkung. </w:t>
      </w:r>
      <w:r w:rsidRPr="00BA68AC">
        <w:rPr>
          <w:rFonts w:eastAsia="Times New Roman" w:cs="Times New Roman"/>
          <w:b/>
          <w:bCs/>
          <w:rtl/>
          <w:lang w:eastAsia="de-DE"/>
        </w:rPr>
        <w:t>לפני יהוה</w:t>
      </w:r>
      <w:r w:rsidRPr="00BA68AC">
        <w:rPr>
          <w:rFonts w:eastAsia="Times New Roman" w:cs="Times New Roman"/>
          <w:rtl/>
          <w:lang w:eastAsia="de-DE"/>
        </w:rPr>
        <w:t xml:space="preserve"> </w:t>
      </w:r>
      <w:r w:rsidRPr="00BA68AC">
        <w:rPr>
          <w:rFonts w:eastAsia="Times New Roman" w:cs="Times New Roman"/>
          <w:lang w:eastAsia="de-DE"/>
        </w:rPr>
        <w:t>(vor JHWH) zeigt den sakralen Rahmen.</w:t>
      </w:r>
    </w:p>
    <w:p w14:paraId="2E88DB5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כאשר צוה משה</w:t>
      </w:r>
      <w:r w:rsidRPr="00BA68AC">
        <w:rPr>
          <w:rFonts w:eastAsia="Times New Roman" w:cs="Times New Roman"/>
          <w:rtl/>
          <w:lang w:eastAsia="de-DE"/>
        </w:rPr>
        <w:t xml:space="preserve"> </w:t>
      </w:r>
      <w:r w:rsidRPr="00BA68AC">
        <w:rPr>
          <w:rFonts w:eastAsia="Times New Roman" w:cs="Times New Roman"/>
          <w:lang w:eastAsia="de-DE"/>
        </w:rPr>
        <w:t xml:space="preserve">ist die Bestätigungsformel, die auf die </w:t>
      </w:r>
      <w:r w:rsidRPr="00BA68AC">
        <w:rPr>
          <w:rFonts w:eastAsia="Times New Roman" w:cs="Times New Roman"/>
          <w:b/>
          <w:bCs/>
          <w:rtl/>
          <w:lang w:eastAsia="de-DE"/>
        </w:rPr>
        <w:t>שלמים</w:t>
      </w:r>
      <w:r w:rsidRPr="00BA68AC">
        <w:rPr>
          <w:rFonts w:eastAsia="Times New Roman" w:cs="Times New Roman"/>
          <w:lang w:eastAsia="de-DE"/>
        </w:rPr>
        <w:t xml:space="preserve">-Anweisungen aus 7,30-34 und möglicherweise mündliche Anweisungen referenziert. </w:t>
      </w:r>
      <w:r w:rsidRPr="00BA68AC">
        <w:rPr>
          <w:rFonts w:eastAsia="Times New Roman" w:cs="Times New Roman"/>
          <w:b/>
          <w:bCs/>
          <w:rtl/>
          <w:lang w:eastAsia="de-DE"/>
        </w:rPr>
        <w:t>צוה</w:t>
      </w:r>
      <w:r w:rsidRPr="00BA68AC">
        <w:rPr>
          <w:rFonts w:eastAsia="Times New Roman" w:cs="Times New Roman"/>
          <w:rtl/>
          <w:lang w:eastAsia="de-DE"/>
        </w:rPr>
        <w:t xml:space="preserve"> </w:t>
      </w:r>
      <w:r w:rsidRPr="00BA68AC">
        <w:rPr>
          <w:rFonts w:eastAsia="Times New Roman" w:cs="Times New Roman"/>
          <w:lang w:eastAsia="de-DE"/>
        </w:rPr>
        <w:t xml:space="preserve">im Piel-Perfekt (er befahl) mit </w:t>
      </w:r>
      <w:r w:rsidRPr="00BA68AC">
        <w:rPr>
          <w:rFonts w:eastAsia="Times New Roman" w:cs="Times New Roman"/>
          <w:b/>
          <w:bCs/>
          <w:rtl/>
          <w:lang w:eastAsia="de-DE"/>
        </w:rPr>
        <w:t>משה</w:t>
      </w:r>
      <w:r w:rsidRPr="00BA68AC">
        <w:rPr>
          <w:rFonts w:eastAsia="Times New Roman" w:cs="Times New Roman"/>
          <w:rtl/>
          <w:lang w:eastAsia="de-DE"/>
        </w:rPr>
        <w:t xml:space="preserve"> </w:t>
      </w:r>
      <w:r w:rsidRPr="00BA68AC">
        <w:rPr>
          <w:rFonts w:eastAsia="Times New Roman" w:cs="Times New Roman"/>
          <w:lang w:eastAsia="de-DE"/>
        </w:rPr>
        <w:t>als Subjekt zeigt Moses Autorität als Gesetzgeber.</w:t>
      </w:r>
    </w:p>
    <w:p w14:paraId="5352BAC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החזות</w:t>
      </w:r>
      <w:r w:rsidRPr="00BA68AC">
        <w:rPr>
          <w:rFonts w:eastAsia="Times New Roman" w:cs="Times New Roman"/>
          <w:rtl/>
          <w:lang w:eastAsia="de-DE"/>
        </w:rPr>
        <w:t xml:space="preserve"> </w:t>
      </w:r>
      <w:r w:rsidRPr="00BA68AC">
        <w:rPr>
          <w:rFonts w:eastAsia="Times New Roman" w:cs="Times New Roman"/>
          <w:lang w:eastAsia="de-DE"/>
        </w:rPr>
        <w:t xml:space="preserve">im Plural zeigt beide Bruststücke von Stier und Widder. </w:t>
      </w:r>
      <w:r w:rsidRPr="00BA68AC">
        <w:rPr>
          <w:rFonts w:eastAsia="Times New Roman" w:cs="Times New Roman"/>
          <w:b/>
          <w:bCs/>
          <w:rtl/>
          <w:lang w:eastAsia="de-DE"/>
        </w:rPr>
        <w:t>שוק הימין</w:t>
      </w:r>
      <w:r w:rsidRPr="00BA68AC">
        <w:rPr>
          <w:rFonts w:eastAsia="Times New Roman" w:cs="Times New Roman"/>
          <w:rtl/>
          <w:lang w:eastAsia="de-DE"/>
        </w:rPr>
        <w:t xml:space="preserve"> </w:t>
      </w:r>
      <w:r w:rsidRPr="00BA68AC">
        <w:rPr>
          <w:rFonts w:eastAsia="Times New Roman" w:cs="Times New Roman"/>
          <w:lang w:eastAsia="de-DE"/>
        </w:rPr>
        <w:t xml:space="preserve">(rechter Schenkel) ist der </w:t>
      </w:r>
      <w:r w:rsidRPr="00BA68AC">
        <w:rPr>
          <w:rFonts w:eastAsia="Times New Roman" w:cs="Times New Roman"/>
          <w:b/>
          <w:bCs/>
          <w:rtl/>
          <w:lang w:eastAsia="de-DE"/>
        </w:rPr>
        <w:t>תרומה</w:t>
      </w:r>
      <w:r w:rsidRPr="00BA68AC">
        <w:rPr>
          <w:rFonts w:eastAsia="Times New Roman" w:cs="Times New Roman"/>
          <w:lang w:eastAsia="de-DE"/>
        </w:rPr>
        <w:t xml:space="preserve">-Anteil entsprechend 7,32-33. Die Kombination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 xml:space="preserve">(Schwingopfer) und </w:t>
      </w:r>
      <w:r w:rsidRPr="00BA68AC">
        <w:rPr>
          <w:rFonts w:eastAsia="Times New Roman" w:cs="Times New Roman"/>
          <w:b/>
          <w:bCs/>
          <w:rtl/>
          <w:lang w:eastAsia="de-DE"/>
        </w:rPr>
        <w:t>תרומה</w:t>
      </w:r>
      <w:r w:rsidRPr="00BA68AC">
        <w:rPr>
          <w:rFonts w:eastAsia="Times New Roman" w:cs="Times New Roman"/>
          <w:rtl/>
          <w:lang w:eastAsia="de-DE"/>
        </w:rPr>
        <w:t xml:space="preserve"> </w:t>
      </w:r>
      <w:r w:rsidRPr="00BA68AC">
        <w:rPr>
          <w:rFonts w:eastAsia="Times New Roman" w:cs="Times New Roman"/>
          <w:lang w:eastAsia="de-DE"/>
        </w:rPr>
        <w:t xml:space="preserve">(Hebopfer) vervollständigt die </w:t>
      </w:r>
      <w:r w:rsidRPr="00BA68AC">
        <w:rPr>
          <w:rFonts w:eastAsia="Times New Roman" w:cs="Times New Roman"/>
          <w:b/>
          <w:bCs/>
          <w:rtl/>
          <w:lang w:eastAsia="de-DE"/>
        </w:rPr>
        <w:t>שלמים</w:t>
      </w:r>
      <w:r w:rsidRPr="00BA68AC">
        <w:rPr>
          <w:rFonts w:eastAsia="Times New Roman" w:cs="Times New Roman"/>
          <w:lang w:eastAsia="de-DE"/>
        </w:rPr>
        <w:t>-Prozedur.</w:t>
      </w:r>
    </w:p>
    <w:p w14:paraId="27D4EE1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הניף...תנופה</w:t>
      </w:r>
      <w:r w:rsidRPr="00BA68AC">
        <w:rPr>
          <w:rFonts w:eastAsia="Times New Roman" w:cs="Times New Roman"/>
          <w:rtl/>
          <w:lang w:eastAsia="de-DE"/>
        </w:rPr>
        <w:t xml:space="preserve"> </w:t>
      </w:r>
      <w:r w:rsidRPr="00BA68AC">
        <w:rPr>
          <w:rFonts w:eastAsia="Times New Roman" w:cs="Times New Roman"/>
          <w:lang w:eastAsia="de-DE"/>
        </w:rPr>
        <w:t xml:space="preserve">mit cognate accusative betont die Schwingbewegung. </w:t>
      </w:r>
      <w:r w:rsidRPr="00BA68AC">
        <w:rPr>
          <w:rFonts w:eastAsia="Times New Roman" w:cs="Times New Roman"/>
          <w:b/>
          <w:bCs/>
          <w:rtl/>
          <w:lang w:eastAsia="de-DE"/>
        </w:rPr>
        <w:t>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dass die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 xml:space="preserve">in göttlicher Gegenwart stattfindet. Aaron führt hier sowohl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 xml:space="preserve">als auch </w:t>
      </w:r>
      <w:r w:rsidRPr="00BA68AC">
        <w:rPr>
          <w:rFonts w:eastAsia="Times New Roman" w:cs="Times New Roman"/>
          <w:b/>
          <w:bCs/>
          <w:rtl/>
          <w:lang w:eastAsia="de-DE"/>
        </w:rPr>
        <w:t>תרומה</w:t>
      </w:r>
      <w:r w:rsidRPr="00BA68AC">
        <w:rPr>
          <w:rFonts w:eastAsia="Times New Roman" w:cs="Times New Roman"/>
          <w:rtl/>
          <w:lang w:eastAsia="de-DE"/>
        </w:rPr>
        <w:t xml:space="preserve"> </w:t>
      </w:r>
      <w:r w:rsidRPr="00BA68AC">
        <w:rPr>
          <w:rFonts w:eastAsia="Times New Roman" w:cs="Times New Roman"/>
          <w:lang w:eastAsia="de-DE"/>
        </w:rPr>
        <w:t>durch.</w:t>
      </w:r>
    </w:p>
    <w:p w14:paraId="2EBDC05E"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כאשר צוה משה</w:t>
      </w:r>
      <w:r w:rsidRPr="00BA68AC">
        <w:rPr>
          <w:rFonts w:eastAsia="Times New Roman" w:cs="Times New Roman"/>
          <w:rtl/>
          <w:lang w:eastAsia="de-DE"/>
        </w:rPr>
        <w:t xml:space="preserve"> </w:t>
      </w:r>
      <w:r w:rsidRPr="00BA68AC">
        <w:rPr>
          <w:rFonts w:eastAsia="Times New Roman" w:cs="Times New Roman"/>
          <w:lang w:eastAsia="de-DE"/>
        </w:rPr>
        <w:t>legitimiert Aarons Handeln durch mosaische Autorität und zeigt die Kontinuität zwischen den theoretischen Anweisungen und der praktischen Ausführung.</w:t>
      </w:r>
    </w:p>
    <w:p w14:paraId="4089A6D9" w14:textId="275AE2EE"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übersetzt </w:t>
      </w:r>
      <w:r w:rsidR="00F6539E">
        <w:rPr>
          <w:rtl/>
        </w:rPr>
        <w:t>שוק הימין</w:t>
      </w:r>
      <w:r w:rsidR="00F6539E">
        <w:t xml:space="preserve"> (</w:t>
      </w:r>
      <w:proofErr w:type="spellStart"/>
      <w:r w:rsidR="00F6539E">
        <w:t>shoq</w:t>
      </w:r>
      <w:proofErr w:type="spellEnd"/>
      <w:r w:rsidR="00F6539E">
        <w:t xml:space="preserve"> </w:t>
      </w:r>
      <w:proofErr w:type="spellStart"/>
      <w:r w:rsidR="00F6539E">
        <w:t>hayamin</w:t>
      </w:r>
      <w:proofErr w:type="spellEnd"/>
      <w:r w:rsidR="00F6539E">
        <w:t xml:space="preserve"> - "rechte Keule") als </w:t>
      </w:r>
      <w:proofErr w:type="spellStart"/>
      <w:r w:rsidR="00F6539E">
        <w:t>τὸν</w:t>
      </w:r>
      <w:proofErr w:type="spellEnd"/>
      <w:r w:rsidR="00F6539E">
        <w:t xml:space="preserve"> βρα</w:t>
      </w:r>
      <w:proofErr w:type="spellStart"/>
      <w:r w:rsidR="00F6539E">
        <w:t>χίον</w:t>
      </w:r>
      <w:proofErr w:type="spellEnd"/>
      <w:r w:rsidR="00F6539E">
        <w:t xml:space="preserve">α </w:t>
      </w:r>
      <w:proofErr w:type="spellStart"/>
      <w:r w:rsidR="00F6539E">
        <w:t>τὸν</w:t>
      </w:r>
      <w:proofErr w:type="spellEnd"/>
      <w:r w:rsidR="00F6539E">
        <w:t xml:space="preserve"> </w:t>
      </w:r>
      <w:proofErr w:type="spellStart"/>
      <w:r w:rsidR="00F6539E">
        <w:t>δεξιόν</w:t>
      </w:r>
      <w:proofErr w:type="spellEnd"/>
      <w:r w:rsidR="00F6539E">
        <w:t xml:space="preserve"> (den rechten Arm), was die konsistente anatomische Verschiebung zeigt, und </w:t>
      </w:r>
      <w:r w:rsidR="00F6539E">
        <w:rPr>
          <w:rtl/>
        </w:rPr>
        <w:t>תנופה</w:t>
      </w:r>
      <w:r w:rsidR="00F6539E">
        <w:t xml:space="preserve"> (</w:t>
      </w:r>
      <w:proofErr w:type="spellStart"/>
      <w:r w:rsidR="00F6539E">
        <w:t>tnufa</w:t>
      </w:r>
      <w:proofErr w:type="spellEnd"/>
      <w:r w:rsidR="00F6539E">
        <w:t xml:space="preserve"> - "Schwingopfer") als </w:t>
      </w:r>
      <w:proofErr w:type="spellStart"/>
      <w:r w:rsidR="00F6539E">
        <w:t>ἀφ</w:t>
      </w:r>
      <w:proofErr w:type="spellEnd"/>
      <w:r w:rsidR="00F6539E">
        <w:t>αίρεμα (Hebeopfer).</w:t>
      </w:r>
    </w:p>
    <w:p w14:paraId="7BD29E5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einen Hauptsatz mit Bestätigungsformel: zwei koordinierte direkte Objekte + Verb + Subjekt + cognate accusative + Ortsangabe + Bestätigungsformel. Die Struktur zeigt die ordnungsgemäße </w:t>
      </w:r>
      <w:r w:rsidRPr="00BA68AC">
        <w:rPr>
          <w:rFonts w:eastAsia="Times New Roman" w:cs="Times New Roman"/>
          <w:b/>
          <w:bCs/>
          <w:rtl/>
          <w:lang w:eastAsia="de-DE"/>
        </w:rPr>
        <w:t>תנופה</w:t>
      </w:r>
      <w:r w:rsidRPr="00BA68AC">
        <w:rPr>
          <w:rFonts w:eastAsia="Times New Roman" w:cs="Times New Roman"/>
          <w:lang w:eastAsia="de-DE"/>
        </w:rPr>
        <w:t>-Durchführung.</w:t>
      </w:r>
    </w:p>
    <w:p w14:paraId="5A120CD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Dieser Vers zeigt Aarons ordnungsgemäße Durchführung von </w:t>
      </w:r>
      <w:r w:rsidRPr="00BA68AC">
        <w:rPr>
          <w:rFonts w:eastAsia="Times New Roman" w:cs="Times New Roman"/>
          <w:b/>
          <w:bCs/>
          <w:rtl/>
          <w:lang w:eastAsia="de-DE"/>
        </w:rPr>
        <w:t>תנופה</w:t>
      </w:r>
      <w:r w:rsidRPr="00BA68AC">
        <w:rPr>
          <w:rFonts w:eastAsia="Times New Roman" w:cs="Times New Roman"/>
          <w:rtl/>
          <w:lang w:eastAsia="de-DE"/>
        </w:rPr>
        <w:t xml:space="preserve"> </w:t>
      </w:r>
      <w:r w:rsidRPr="00BA68AC">
        <w:rPr>
          <w:rFonts w:eastAsia="Times New Roman" w:cs="Times New Roman"/>
          <w:lang w:eastAsia="de-DE"/>
        </w:rPr>
        <w:t xml:space="preserve">und </w:t>
      </w:r>
      <w:r w:rsidRPr="00BA68AC">
        <w:rPr>
          <w:rFonts w:eastAsia="Times New Roman" w:cs="Times New Roman"/>
          <w:b/>
          <w:bCs/>
          <w:rtl/>
          <w:lang w:eastAsia="de-DE"/>
        </w:rPr>
        <w:t>תרומה</w:t>
      </w:r>
      <w:r w:rsidRPr="00BA68AC">
        <w:rPr>
          <w:rFonts w:eastAsia="Times New Roman" w:cs="Times New Roman"/>
          <w:rtl/>
          <w:lang w:eastAsia="de-DE"/>
        </w:rPr>
        <w:t xml:space="preserve"> </w:t>
      </w:r>
      <w:r w:rsidRPr="00BA68AC">
        <w:rPr>
          <w:rFonts w:eastAsia="Times New Roman" w:cs="Times New Roman"/>
          <w:lang w:eastAsia="de-DE"/>
        </w:rPr>
        <w:t xml:space="preserve">bei den </w:t>
      </w:r>
      <w:r w:rsidRPr="00BA68AC">
        <w:rPr>
          <w:rFonts w:eastAsia="Times New Roman" w:cs="Times New Roman"/>
          <w:b/>
          <w:bCs/>
          <w:rtl/>
          <w:lang w:eastAsia="de-DE"/>
        </w:rPr>
        <w:t>שלמים</w:t>
      </w:r>
      <w:r w:rsidRPr="00BA68AC">
        <w:rPr>
          <w:rFonts w:eastAsia="Times New Roman" w:cs="Times New Roman"/>
          <w:rtl/>
          <w:lang w:eastAsia="de-DE"/>
        </w:rPr>
        <w:t xml:space="preserve"> </w:t>
      </w:r>
      <w:r w:rsidRPr="00BA68AC">
        <w:rPr>
          <w:rFonts w:eastAsia="Times New Roman" w:cs="Times New Roman"/>
          <w:lang w:eastAsia="de-DE"/>
        </w:rPr>
        <w:t>entsprechend den mosaischen Anweisungen.</w:t>
      </w:r>
    </w:p>
    <w:p w14:paraId="01841AE2"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9,22</w:t>
      </w:r>
    </w:p>
    <w:p w14:paraId="4408041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וַיִּשָּׂ֨א אַהֲרֹ֧ן אֶת־יָדוֹ אֶל־הָעָ֖ם וַֽיְבָרְכֵ֑ם וַיֵּ֗רֶד מֵעֲשֹׂ֧ת הַֽחַטָּ֛את וְהָעֹלָ֖ה וְהַשְּׁלָמִֽים׃</w:t>
      </w:r>
    </w:p>
    <w:p w14:paraId="0292358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Aaron erhob seine Hände gegen das Volk und segnete sie; und er stieg herab nach der Opferung des Sündopfers und des Aufsteigeopfers und des Friedensopfers.</w:t>
      </w:r>
    </w:p>
    <w:p w14:paraId="3E1C90C7"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65910E1F">
          <v:rect id="_x0000_i1254" style="width:0;height:1.5pt" o:hralign="center" o:hrstd="t" o:hr="t" fillcolor="#a0a0a0" stroked="f"/>
        </w:pict>
      </w:r>
    </w:p>
    <w:p w14:paraId="68EAEB2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וישא אהרן את־ידו אל־העם ויברכם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נשא</w:t>
      </w:r>
      <w:r w:rsidRPr="00BA68AC">
        <w:rPr>
          <w:rFonts w:eastAsia="Times New Roman" w:cs="Times New Roman"/>
          <w:rtl/>
          <w:lang w:eastAsia="de-DE"/>
        </w:rPr>
        <w:t xml:space="preserve"> </w:t>
      </w:r>
      <w:r w:rsidRPr="00BA68AC">
        <w:rPr>
          <w:rFonts w:eastAsia="Times New Roman" w:cs="Times New Roman"/>
          <w:lang w:eastAsia="de-DE"/>
        </w:rPr>
        <w:t xml:space="preserve">(erheben) im Qal-Imperfekt 3. Person maskulin Singular mit Waw-Konsekutiv. </w:t>
      </w:r>
      <w:r w:rsidRPr="00BA68AC">
        <w:rPr>
          <w:rFonts w:eastAsia="Times New Roman" w:cs="Times New Roman"/>
          <w:b/>
          <w:bCs/>
          <w:rtl/>
          <w:lang w:eastAsia="de-DE"/>
        </w:rPr>
        <w:t>את־ידו</w:t>
      </w:r>
      <w:r w:rsidRPr="00BA68AC">
        <w:rPr>
          <w:rFonts w:eastAsia="Times New Roman" w:cs="Times New Roman"/>
          <w:rtl/>
          <w:lang w:eastAsia="de-DE"/>
        </w:rPr>
        <w:t xml:space="preserve"> </w:t>
      </w:r>
      <w:r w:rsidRPr="00BA68AC">
        <w:rPr>
          <w:rFonts w:eastAsia="Times New Roman" w:cs="Times New Roman"/>
          <w:lang w:eastAsia="de-DE"/>
        </w:rPr>
        <w:t xml:space="preserve">(seine Hände) - bemerkenswert ist die Singularform </w:t>
      </w:r>
      <w:r w:rsidRPr="00BA68AC">
        <w:rPr>
          <w:rFonts w:eastAsia="Times New Roman" w:cs="Times New Roman"/>
          <w:b/>
          <w:bCs/>
          <w:rtl/>
          <w:lang w:eastAsia="de-DE"/>
        </w:rPr>
        <w:t>ידו</w:t>
      </w:r>
      <w:r w:rsidRPr="00BA68AC">
        <w:rPr>
          <w:rFonts w:eastAsia="Times New Roman" w:cs="Times New Roman"/>
          <w:rtl/>
          <w:lang w:eastAsia="de-DE"/>
        </w:rPr>
        <w:t xml:space="preserve"> </w:t>
      </w:r>
      <w:r w:rsidRPr="00BA68AC">
        <w:rPr>
          <w:rFonts w:eastAsia="Times New Roman" w:cs="Times New Roman"/>
          <w:lang w:eastAsia="de-DE"/>
        </w:rPr>
        <w:t xml:space="preserve">(seine Hand) im Unterschied zum erwarteten Plural </w:t>
      </w:r>
      <w:r w:rsidRPr="00BA68AC">
        <w:rPr>
          <w:rFonts w:eastAsia="Times New Roman" w:cs="Times New Roman"/>
          <w:b/>
          <w:bCs/>
          <w:rtl/>
          <w:lang w:eastAsia="de-DE"/>
        </w:rPr>
        <w:t>ידיו</w:t>
      </w:r>
      <w:r w:rsidRPr="00BA68AC">
        <w:rPr>
          <w:rFonts w:eastAsia="Times New Roman" w:cs="Times New Roman"/>
          <w:rtl/>
          <w:lang w:eastAsia="de-DE"/>
        </w:rPr>
        <w:t xml:space="preserve"> </w:t>
      </w:r>
      <w:r w:rsidRPr="00BA68AC">
        <w:rPr>
          <w:rFonts w:eastAsia="Times New Roman" w:cs="Times New Roman"/>
          <w:lang w:eastAsia="de-DE"/>
        </w:rPr>
        <w:t xml:space="preserve">(seine Hände). </w:t>
      </w:r>
      <w:r w:rsidRPr="00BA68AC">
        <w:rPr>
          <w:rFonts w:eastAsia="Times New Roman" w:cs="Times New Roman"/>
          <w:b/>
          <w:bCs/>
          <w:rtl/>
          <w:lang w:eastAsia="de-DE"/>
        </w:rPr>
        <w:t>אל־העם</w:t>
      </w:r>
      <w:r w:rsidRPr="00BA68AC">
        <w:rPr>
          <w:rFonts w:eastAsia="Times New Roman" w:cs="Times New Roman"/>
          <w:rtl/>
          <w:lang w:eastAsia="de-DE"/>
        </w:rPr>
        <w:t xml:space="preserve"> </w:t>
      </w:r>
      <w:r w:rsidRPr="00BA68AC">
        <w:rPr>
          <w:rFonts w:eastAsia="Times New Roman" w:cs="Times New Roman"/>
          <w:lang w:eastAsia="de-DE"/>
        </w:rPr>
        <w:t xml:space="preserve">(zum Volk hin) zeigt die Richtung der Segenshandlung. </w:t>
      </w:r>
      <w:r w:rsidRPr="00BA68AC">
        <w:rPr>
          <w:rFonts w:eastAsia="Times New Roman" w:cs="Times New Roman"/>
          <w:b/>
          <w:bCs/>
          <w:rtl/>
          <w:lang w:eastAsia="de-DE"/>
        </w:rPr>
        <w:t>ויברכם</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ברך</w:t>
      </w:r>
      <w:r w:rsidRPr="00BA68AC">
        <w:rPr>
          <w:rFonts w:eastAsia="Times New Roman" w:cs="Times New Roman"/>
          <w:rtl/>
          <w:lang w:eastAsia="de-DE"/>
        </w:rPr>
        <w:t xml:space="preserve"> </w:t>
      </w:r>
      <w:r w:rsidRPr="00BA68AC">
        <w:rPr>
          <w:rFonts w:eastAsia="Times New Roman" w:cs="Times New Roman"/>
          <w:lang w:eastAsia="de-DE"/>
        </w:rPr>
        <w:t>(segnen) im Piel-Imperfekt mit Objektsuffix 3. Person maskulin Plural.</w:t>
      </w:r>
    </w:p>
    <w:p w14:paraId="174B0A63" w14:textId="03D52465"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וירד מעשות החטאת והעלה והשלמים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ירד</w:t>
      </w:r>
      <w:r w:rsidRPr="00BA68AC">
        <w:rPr>
          <w:rFonts w:eastAsia="Times New Roman" w:cs="Times New Roman"/>
          <w:rtl/>
          <w:lang w:eastAsia="de-DE"/>
        </w:rPr>
        <w:t xml:space="preserve"> </w:t>
      </w:r>
      <w:r w:rsidRPr="00BA68AC">
        <w:rPr>
          <w:rFonts w:eastAsia="Times New Roman" w:cs="Times New Roman"/>
          <w:lang w:eastAsia="de-DE"/>
        </w:rPr>
        <w:t xml:space="preserve">(herabsteigen) im Qal-Imperfekt 3. Person maskulin Singular mit Waw-Konsekutiv. </w:t>
      </w:r>
      <w:r w:rsidRPr="00BA68AC">
        <w:rPr>
          <w:rFonts w:eastAsia="Times New Roman" w:cs="Times New Roman"/>
          <w:b/>
          <w:bCs/>
          <w:rtl/>
          <w:lang w:eastAsia="de-DE"/>
        </w:rPr>
        <w:t>מעשות</w:t>
      </w:r>
      <w:r w:rsidRPr="00BA68AC">
        <w:rPr>
          <w:rFonts w:eastAsia="Times New Roman" w:cs="Times New Roman"/>
          <w:rtl/>
          <w:lang w:eastAsia="de-DE"/>
        </w:rPr>
        <w:t xml:space="preserve"> </w:t>
      </w:r>
      <w:r w:rsidRPr="00BA68AC">
        <w:rPr>
          <w:rFonts w:eastAsia="Times New Roman" w:cs="Times New Roman"/>
          <w:lang w:eastAsia="de-DE"/>
        </w:rPr>
        <w:t xml:space="preserve">(vom Tun/nach dem Tun) - </w:t>
      </w:r>
      <w:r w:rsidRPr="00BA68AC">
        <w:rPr>
          <w:rFonts w:eastAsia="Times New Roman" w:cs="Times New Roman"/>
          <w:b/>
          <w:bCs/>
          <w:rtl/>
          <w:lang w:eastAsia="de-DE"/>
        </w:rPr>
        <w:t>עשות</w:t>
      </w:r>
      <w:r w:rsidRPr="00BA68AC">
        <w:rPr>
          <w:rFonts w:eastAsia="Times New Roman" w:cs="Times New Roman"/>
          <w:rtl/>
          <w:lang w:eastAsia="de-DE"/>
        </w:rPr>
        <w:t xml:space="preserve"> </w:t>
      </w:r>
      <w:r w:rsidRPr="00BA68AC">
        <w:rPr>
          <w:rFonts w:eastAsia="Times New Roman" w:cs="Times New Roman"/>
          <w:lang w:eastAsia="de-DE"/>
        </w:rPr>
        <w:t>als Infinitiv-</w:t>
      </w:r>
      <w:r w:rsidR="005407E2">
        <w:rPr>
          <w:rFonts w:eastAsia="Times New Roman" w:cs="Times New Roman"/>
          <w:lang w:eastAsia="de-DE"/>
        </w:rPr>
        <w:t>Constructus</w:t>
      </w:r>
      <w:r w:rsidRPr="00BA68AC">
        <w:rPr>
          <w:rFonts w:eastAsia="Times New Roman" w:cs="Times New Roman"/>
          <w:lang w:eastAsia="de-DE"/>
        </w:rPr>
        <w:t xml:space="preserve"> von </w:t>
      </w:r>
      <w:r w:rsidRPr="00BA68AC">
        <w:rPr>
          <w:rFonts w:eastAsia="Times New Roman" w:cs="Times New Roman"/>
          <w:b/>
          <w:bCs/>
          <w:rtl/>
          <w:lang w:eastAsia="de-DE"/>
        </w:rPr>
        <w:t>עשה</w:t>
      </w:r>
      <w:r w:rsidRPr="00BA68AC">
        <w:rPr>
          <w:rFonts w:eastAsia="Times New Roman" w:cs="Times New Roman"/>
          <w:rtl/>
          <w:lang w:eastAsia="de-DE"/>
        </w:rPr>
        <w:t xml:space="preserve"> </w:t>
      </w:r>
      <w:r w:rsidRPr="00BA68AC">
        <w:rPr>
          <w:rFonts w:eastAsia="Times New Roman" w:cs="Times New Roman"/>
          <w:lang w:eastAsia="de-DE"/>
        </w:rPr>
        <w:t xml:space="preserve">mit Präposition </w:t>
      </w:r>
      <w:r w:rsidRPr="00BA68AC">
        <w:rPr>
          <w:rFonts w:eastAsia="Times New Roman" w:cs="Times New Roman"/>
          <w:b/>
          <w:bCs/>
          <w:rtl/>
          <w:lang w:eastAsia="de-DE"/>
        </w:rPr>
        <w:t>מן</w:t>
      </w:r>
      <w:r w:rsidRPr="00BA68AC">
        <w:rPr>
          <w:rFonts w:eastAsia="Times New Roman" w:cs="Times New Roman"/>
          <w:lang w:eastAsia="de-DE"/>
        </w:rPr>
        <w:t xml:space="preserve">. </w:t>
      </w:r>
      <w:r w:rsidRPr="00BA68AC">
        <w:rPr>
          <w:rFonts w:eastAsia="Times New Roman" w:cs="Times New Roman"/>
          <w:b/>
          <w:bCs/>
          <w:rtl/>
          <w:lang w:eastAsia="de-DE"/>
        </w:rPr>
        <w:t>החטאת והעלה והשלמים</w:t>
      </w:r>
      <w:r w:rsidRPr="00BA68AC">
        <w:rPr>
          <w:rFonts w:eastAsia="Times New Roman" w:cs="Times New Roman"/>
          <w:rtl/>
          <w:lang w:eastAsia="de-DE"/>
        </w:rPr>
        <w:t xml:space="preserve"> </w:t>
      </w:r>
      <w:r w:rsidRPr="00BA68AC">
        <w:rPr>
          <w:rFonts w:eastAsia="Times New Roman" w:cs="Times New Roman"/>
          <w:lang w:eastAsia="de-DE"/>
        </w:rPr>
        <w:t>listet alle drei durchgeführten Opferarten auf.</w:t>
      </w:r>
    </w:p>
    <w:p w14:paraId="34DA30B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את־ידו</w:t>
      </w:r>
      <w:r w:rsidRPr="00BA68AC">
        <w:rPr>
          <w:rFonts w:eastAsia="Times New Roman" w:cs="Times New Roman"/>
          <w:rtl/>
          <w:lang w:eastAsia="de-DE"/>
        </w:rPr>
        <w:t xml:space="preserve"> </w:t>
      </w:r>
      <w:r w:rsidRPr="00BA68AC">
        <w:rPr>
          <w:rFonts w:eastAsia="Times New Roman" w:cs="Times New Roman"/>
          <w:lang w:eastAsia="de-DE"/>
        </w:rPr>
        <w:t xml:space="preserve">im Singular könnte ein Schreibfehler sein oder eine besondere Bedeutung haben. Die Segenshandlung entspricht der priesterlichen </w:t>
      </w:r>
      <w:r w:rsidRPr="00BA68AC">
        <w:rPr>
          <w:rFonts w:eastAsia="Times New Roman" w:cs="Times New Roman"/>
          <w:b/>
          <w:bCs/>
          <w:rtl/>
          <w:lang w:eastAsia="de-DE"/>
        </w:rPr>
        <w:t>ברכה</w:t>
      </w:r>
      <w:r w:rsidRPr="00BA68AC">
        <w:rPr>
          <w:rFonts w:eastAsia="Times New Roman" w:cs="Times New Roman"/>
          <w:rtl/>
          <w:lang w:eastAsia="de-DE"/>
        </w:rPr>
        <w:t xml:space="preserve"> </w:t>
      </w:r>
      <w:r w:rsidRPr="00BA68AC">
        <w:rPr>
          <w:rFonts w:eastAsia="Times New Roman" w:cs="Times New Roman"/>
          <w:lang w:eastAsia="de-DE"/>
        </w:rPr>
        <w:t xml:space="preserve">(Segnung) aus Numeri 6,22-27. </w:t>
      </w:r>
      <w:r w:rsidRPr="00BA68AC">
        <w:rPr>
          <w:rFonts w:eastAsia="Times New Roman" w:cs="Times New Roman"/>
          <w:b/>
          <w:bCs/>
          <w:rtl/>
          <w:lang w:eastAsia="de-DE"/>
        </w:rPr>
        <w:t>אל־העם</w:t>
      </w:r>
      <w:r w:rsidRPr="00BA68AC">
        <w:rPr>
          <w:rFonts w:eastAsia="Times New Roman" w:cs="Times New Roman"/>
          <w:rtl/>
          <w:lang w:eastAsia="de-DE"/>
        </w:rPr>
        <w:t xml:space="preserve"> </w:t>
      </w:r>
      <w:r w:rsidRPr="00BA68AC">
        <w:rPr>
          <w:rFonts w:eastAsia="Times New Roman" w:cs="Times New Roman"/>
          <w:lang w:eastAsia="de-DE"/>
        </w:rPr>
        <w:t>zeigt, dass Aaron sich vom Altar zum Volk wendet.</w:t>
      </w:r>
    </w:p>
    <w:p w14:paraId="318A96A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מעשות</w:t>
      </w:r>
      <w:r w:rsidRPr="00BA68AC">
        <w:rPr>
          <w:rFonts w:eastAsia="Times New Roman" w:cs="Times New Roman"/>
          <w:rtl/>
          <w:lang w:eastAsia="de-DE"/>
        </w:rPr>
        <w:t xml:space="preserve"> </w:t>
      </w:r>
      <w:r w:rsidRPr="00BA68AC">
        <w:rPr>
          <w:rFonts w:eastAsia="Times New Roman" w:cs="Times New Roman"/>
          <w:lang w:eastAsia="de-DE"/>
        </w:rPr>
        <w:t xml:space="preserve">zeigt, dass Aaron alle Opferhandlungen vollendet hat. </w:t>
      </w:r>
      <w:r w:rsidRPr="00BA68AC">
        <w:rPr>
          <w:rFonts w:eastAsia="Times New Roman" w:cs="Times New Roman"/>
          <w:b/>
          <w:bCs/>
          <w:rtl/>
          <w:lang w:eastAsia="de-DE"/>
        </w:rPr>
        <w:t>החטאת והעלה והשלמים</w:t>
      </w:r>
      <w:r w:rsidRPr="00BA68AC">
        <w:rPr>
          <w:rFonts w:eastAsia="Times New Roman" w:cs="Times New Roman"/>
          <w:rtl/>
          <w:lang w:eastAsia="de-DE"/>
        </w:rPr>
        <w:t xml:space="preserve"> </w:t>
      </w:r>
      <w:r w:rsidRPr="00BA68AC">
        <w:rPr>
          <w:rFonts w:eastAsia="Times New Roman" w:cs="Times New Roman"/>
          <w:lang w:eastAsia="de-DE"/>
        </w:rPr>
        <w:t xml:space="preserve">umfasst sowohl seine persönlichen als auch die Volksopfer. </w:t>
      </w:r>
      <w:r w:rsidRPr="00BA68AC">
        <w:rPr>
          <w:rFonts w:eastAsia="Times New Roman" w:cs="Times New Roman"/>
          <w:b/>
          <w:bCs/>
          <w:rtl/>
          <w:lang w:eastAsia="de-DE"/>
        </w:rPr>
        <w:t>וירד</w:t>
      </w:r>
      <w:r w:rsidRPr="00BA68AC">
        <w:rPr>
          <w:rFonts w:eastAsia="Times New Roman" w:cs="Times New Roman"/>
          <w:rtl/>
          <w:lang w:eastAsia="de-DE"/>
        </w:rPr>
        <w:t xml:space="preserve"> </w:t>
      </w:r>
      <w:r w:rsidRPr="00BA68AC">
        <w:rPr>
          <w:rFonts w:eastAsia="Times New Roman" w:cs="Times New Roman"/>
          <w:lang w:eastAsia="de-DE"/>
        </w:rPr>
        <w:t>zeigt die Bewegung vom erhöhten Altar hinab zum Volk.</w:t>
      </w:r>
    </w:p>
    <w:p w14:paraId="2CC309F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Segnung als Abschluss der Opferhandlungen zeigt Aarons vollständige priesterliche Funktion: nicht nur Opferdarbringung, sondern auch Segnungsvermittlung. </w:t>
      </w:r>
      <w:r w:rsidRPr="00BA68AC">
        <w:rPr>
          <w:rFonts w:eastAsia="Times New Roman" w:cs="Times New Roman"/>
          <w:b/>
          <w:bCs/>
          <w:rtl/>
          <w:lang w:eastAsia="de-DE"/>
        </w:rPr>
        <w:t>ויברכם</w:t>
      </w:r>
      <w:r w:rsidRPr="00BA68AC">
        <w:rPr>
          <w:rFonts w:eastAsia="Times New Roman" w:cs="Times New Roman"/>
          <w:rtl/>
          <w:lang w:eastAsia="de-DE"/>
        </w:rPr>
        <w:t xml:space="preserve"> </w:t>
      </w:r>
      <w:r w:rsidRPr="00BA68AC">
        <w:rPr>
          <w:rFonts w:eastAsia="Times New Roman" w:cs="Times New Roman"/>
          <w:lang w:eastAsia="de-DE"/>
        </w:rPr>
        <w:t>im Piel zeigt die intensive Segnungshandlung.</w:t>
      </w:r>
    </w:p>
    <w:p w14:paraId="51614B0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וישא</w:t>
      </w:r>
      <w:r w:rsidRPr="00BA68AC">
        <w:rPr>
          <w:rFonts w:eastAsia="Times New Roman" w:cs="Times New Roman"/>
          <w:rtl/>
          <w:lang w:eastAsia="de-DE"/>
        </w:rPr>
        <w:t xml:space="preserve"> </w:t>
      </w:r>
      <w:r w:rsidRPr="00BA68AC">
        <w:rPr>
          <w:rFonts w:eastAsia="Times New Roman" w:cs="Times New Roman"/>
          <w:lang w:eastAsia="de-DE"/>
        </w:rPr>
        <w:t>mit ἐπ</w:t>
      </w:r>
      <w:proofErr w:type="spellStart"/>
      <w:r w:rsidRPr="00BA68AC">
        <w:rPr>
          <w:rFonts w:eastAsia="Times New Roman" w:cs="Times New Roman"/>
          <w:lang w:eastAsia="de-DE"/>
        </w:rPr>
        <w:t>ῆρεν</w:t>
      </w:r>
      <w:proofErr w:type="spellEnd"/>
      <w:r w:rsidRPr="00BA68AC">
        <w:rPr>
          <w:rFonts w:eastAsia="Times New Roman" w:cs="Times New Roman"/>
          <w:lang w:eastAsia="de-DE"/>
        </w:rPr>
        <w:t xml:space="preserve"> (er erhob), </w:t>
      </w:r>
      <w:r w:rsidRPr="00BA68AC">
        <w:rPr>
          <w:rFonts w:eastAsia="Times New Roman" w:cs="Times New Roman"/>
          <w:b/>
          <w:bCs/>
          <w:rtl/>
          <w:lang w:eastAsia="de-DE"/>
        </w:rPr>
        <w:t>את־ידו</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χεῖρ</w:t>
      </w:r>
      <w:proofErr w:type="spellEnd"/>
      <w:r w:rsidRPr="00BA68AC">
        <w:rPr>
          <w:rFonts w:eastAsia="Times New Roman" w:cs="Times New Roman"/>
          <w:lang w:eastAsia="de-DE"/>
        </w:rPr>
        <w:t>ας α</w:t>
      </w:r>
      <w:proofErr w:type="spellStart"/>
      <w:r w:rsidRPr="00BA68AC">
        <w:rPr>
          <w:rFonts w:eastAsia="Times New Roman" w:cs="Times New Roman"/>
          <w:lang w:eastAsia="de-DE"/>
        </w:rPr>
        <w:t>ὐτοῦ</w:t>
      </w:r>
      <w:proofErr w:type="spellEnd"/>
      <w:r w:rsidRPr="00BA68AC">
        <w:rPr>
          <w:rFonts w:eastAsia="Times New Roman" w:cs="Times New Roman"/>
          <w:lang w:eastAsia="de-DE"/>
        </w:rPr>
        <w:t xml:space="preserve"> (seine Hände) im Plural, korrigiert also den Singular, </w:t>
      </w:r>
      <w:r w:rsidRPr="00BA68AC">
        <w:rPr>
          <w:rFonts w:eastAsia="Times New Roman" w:cs="Times New Roman"/>
          <w:b/>
          <w:bCs/>
          <w:rtl/>
          <w:lang w:eastAsia="de-DE"/>
        </w:rPr>
        <w:t>ויברכם</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εὐλόγησεν</w:t>
      </w:r>
      <w:proofErr w:type="spellEnd"/>
      <w:r w:rsidRPr="00BA68AC">
        <w:rPr>
          <w:rFonts w:eastAsia="Times New Roman" w:cs="Times New Roman"/>
          <w:lang w:eastAsia="de-DE"/>
        </w:rPr>
        <w:t xml:space="preserve"> α</w:t>
      </w:r>
      <w:proofErr w:type="spellStart"/>
      <w:r w:rsidRPr="00BA68AC">
        <w:rPr>
          <w:rFonts w:eastAsia="Times New Roman" w:cs="Times New Roman"/>
          <w:lang w:eastAsia="de-DE"/>
        </w:rPr>
        <w:t>ὐτούς</w:t>
      </w:r>
      <w:proofErr w:type="spellEnd"/>
      <w:r w:rsidRPr="00BA68AC">
        <w:rPr>
          <w:rFonts w:eastAsia="Times New Roman" w:cs="Times New Roman"/>
          <w:lang w:eastAsia="de-DE"/>
        </w:rPr>
        <w:t xml:space="preserve"> (er segnete sie) und </w:t>
      </w:r>
      <w:r w:rsidRPr="00BA68AC">
        <w:rPr>
          <w:rFonts w:eastAsia="Times New Roman" w:cs="Times New Roman"/>
          <w:b/>
          <w:bCs/>
          <w:rtl/>
          <w:lang w:eastAsia="de-DE"/>
        </w:rPr>
        <w:t>וירד</w:t>
      </w:r>
      <w:r w:rsidRPr="00BA68AC">
        <w:rPr>
          <w:rFonts w:eastAsia="Times New Roman" w:cs="Times New Roman"/>
          <w:rtl/>
          <w:lang w:eastAsia="de-DE"/>
        </w:rPr>
        <w:t xml:space="preserve"> </w:t>
      </w:r>
      <w:r w:rsidRPr="00BA68AC">
        <w:rPr>
          <w:rFonts w:eastAsia="Times New Roman" w:cs="Times New Roman"/>
          <w:lang w:eastAsia="de-DE"/>
        </w:rPr>
        <w:t>mit κα</w:t>
      </w:r>
      <w:proofErr w:type="spellStart"/>
      <w:r w:rsidRPr="00BA68AC">
        <w:rPr>
          <w:rFonts w:eastAsia="Times New Roman" w:cs="Times New Roman"/>
          <w:lang w:eastAsia="de-DE"/>
        </w:rPr>
        <w:t>τέ</w:t>
      </w:r>
      <w:proofErr w:type="spellEnd"/>
      <w:r w:rsidRPr="00BA68AC">
        <w:rPr>
          <w:rFonts w:eastAsia="Times New Roman" w:cs="Times New Roman"/>
          <w:lang w:eastAsia="de-DE"/>
        </w:rPr>
        <w:t>βη (er stieg herab).</w:t>
      </w:r>
    </w:p>
    <w:p w14:paraId="1C8720C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drei koordinierte Hauptsätze: 1) Segenshandlung mit Geste; 2) Segnungsakt; 3) Abstieg mit zeitlicher Einordnung. Die Struktur zeigt den Abschluss des Opferdienstes mit Segnung.</w:t>
      </w:r>
    </w:p>
    <w:p w14:paraId="0701741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Aarons ersten priesterlichen Segen für das Volk als Abschluss seiner ersten eigenständigen Opferdarbringung.</w:t>
      </w:r>
    </w:p>
    <w:p w14:paraId="5DCEA117"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9,23</w:t>
      </w:r>
    </w:p>
    <w:p w14:paraId="5B06E54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וַיָּבֹ֨א מֹשֶׁ֤ה וְאַהֲרֹן֙ אֶל־אֹ֣הֶל מוֹעֵ֔ד וַיֵּ֣צְא֔וּ וַֽיְבָרֲכ֖וּ אֶת־הָעָ֑ם וַיֵּרָ֥א כְבוֹד־יְהוָ֖ה אֶל־כָּל־הָעָֽם׃</w:t>
      </w:r>
    </w:p>
    <w:p w14:paraId="3297445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Mosche und Aaron gingen hinein in das Zelt der Begegnung; und sie kamen heraus und segneten das Volk. Und die Herrlichkeit des Ewigen erschien dem ganzen Volk;</w:t>
      </w:r>
    </w:p>
    <w:p w14:paraId="70258C21"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8D7ADD5">
          <v:rect id="_x0000_i1255" style="width:0;height:1.5pt" o:hralign="center" o:hrstd="t" o:hr="t" fillcolor="#a0a0a0" stroked="f"/>
        </w:pict>
      </w:r>
    </w:p>
    <w:p w14:paraId="6B7DB59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ויבא משה ואהרן אל־אהל מועד</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בוא</w:t>
      </w:r>
      <w:r w:rsidRPr="00BA68AC">
        <w:rPr>
          <w:rFonts w:eastAsia="Times New Roman" w:cs="Times New Roman"/>
          <w:rtl/>
          <w:lang w:eastAsia="de-DE"/>
        </w:rPr>
        <w:t xml:space="preserve"> </w:t>
      </w:r>
      <w:r w:rsidRPr="00BA68AC">
        <w:rPr>
          <w:rFonts w:eastAsia="Times New Roman" w:cs="Times New Roman"/>
          <w:lang w:eastAsia="de-DE"/>
        </w:rPr>
        <w:t xml:space="preserve">(eingehen) im Qal-Imperfekt 3. Person maskulin Singular mit Waw-Konsekutiv. </w:t>
      </w:r>
      <w:r w:rsidRPr="00BA68AC">
        <w:rPr>
          <w:rFonts w:eastAsia="Times New Roman" w:cs="Times New Roman"/>
          <w:b/>
          <w:bCs/>
          <w:rtl/>
          <w:lang w:eastAsia="de-DE"/>
        </w:rPr>
        <w:t>משה ואהרן</w:t>
      </w:r>
      <w:r w:rsidRPr="00BA68AC">
        <w:rPr>
          <w:rFonts w:eastAsia="Times New Roman" w:cs="Times New Roman"/>
          <w:rtl/>
          <w:lang w:eastAsia="de-DE"/>
        </w:rPr>
        <w:t xml:space="preserve"> </w:t>
      </w:r>
      <w:r w:rsidRPr="00BA68AC">
        <w:rPr>
          <w:rFonts w:eastAsia="Times New Roman" w:cs="Times New Roman"/>
          <w:lang w:eastAsia="de-DE"/>
        </w:rPr>
        <w:t xml:space="preserve">als zusammengesetztes Subjekt - das Verb steht im Singular entsprechend dem ersten Element. </w:t>
      </w:r>
      <w:r w:rsidRPr="00BA68AC">
        <w:rPr>
          <w:rFonts w:eastAsia="Times New Roman" w:cs="Times New Roman"/>
          <w:b/>
          <w:bCs/>
          <w:rtl/>
          <w:lang w:eastAsia="de-DE"/>
        </w:rPr>
        <w:t>אל־אהל מועד</w:t>
      </w:r>
      <w:r w:rsidRPr="00BA68AC">
        <w:rPr>
          <w:rFonts w:eastAsia="Times New Roman" w:cs="Times New Roman"/>
          <w:rtl/>
          <w:lang w:eastAsia="de-DE"/>
        </w:rPr>
        <w:t xml:space="preserve"> </w:t>
      </w:r>
      <w:r w:rsidRPr="00BA68AC">
        <w:rPr>
          <w:rFonts w:eastAsia="Times New Roman" w:cs="Times New Roman"/>
          <w:lang w:eastAsia="de-DE"/>
        </w:rPr>
        <w:t>(in das Zelt der Begegnung) zeigt den Eintritt in den heiligsten Bereich.</w:t>
      </w:r>
    </w:p>
    <w:p w14:paraId="50AD29F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ויצאו ויברכו את־העם</w:t>
      </w:r>
      <w:r w:rsidRPr="00BA68AC">
        <w:rPr>
          <w:rFonts w:eastAsia="Times New Roman" w:cs="Times New Roman"/>
          <w:rtl/>
          <w:lang w:eastAsia="de-DE"/>
        </w:rPr>
        <w:t xml:space="preserve"> </w:t>
      </w:r>
      <w:r w:rsidRPr="00BA68AC">
        <w:rPr>
          <w:rFonts w:eastAsia="Times New Roman" w:cs="Times New Roman"/>
          <w:lang w:eastAsia="de-DE"/>
        </w:rPr>
        <w:t xml:space="preserve">zeigt zwei koordinierte Handlungen. </w:t>
      </w:r>
      <w:r w:rsidRPr="00BA68AC">
        <w:rPr>
          <w:rFonts w:eastAsia="Times New Roman" w:cs="Times New Roman"/>
          <w:b/>
          <w:bCs/>
          <w:rtl/>
          <w:lang w:eastAsia="de-DE"/>
        </w:rPr>
        <w:t>ויצאו</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יצא</w:t>
      </w:r>
      <w:r w:rsidRPr="00BA68AC">
        <w:rPr>
          <w:rFonts w:eastAsia="Times New Roman" w:cs="Times New Roman"/>
          <w:rtl/>
          <w:lang w:eastAsia="de-DE"/>
        </w:rPr>
        <w:t xml:space="preserve"> </w:t>
      </w:r>
      <w:r w:rsidRPr="00BA68AC">
        <w:rPr>
          <w:rFonts w:eastAsia="Times New Roman" w:cs="Times New Roman"/>
          <w:lang w:eastAsia="de-DE"/>
        </w:rPr>
        <w:t xml:space="preserve">(herauskommen) im Qal-Imperfekt 3. Person maskulin Plural mit Waw-Konsekutiv. </w:t>
      </w:r>
      <w:r w:rsidRPr="00BA68AC">
        <w:rPr>
          <w:rFonts w:eastAsia="Times New Roman" w:cs="Times New Roman"/>
          <w:b/>
          <w:bCs/>
          <w:rtl/>
          <w:lang w:eastAsia="de-DE"/>
        </w:rPr>
        <w:t>ויברכו</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ברך</w:t>
      </w:r>
      <w:r w:rsidRPr="00BA68AC">
        <w:rPr>
          <w:rFonts w:eastAsia="Times New Roman" w:cs="Times New Roman"/>
          <w:rtl/>
          <w:lang w:eastAsia="de-DE"/>
        </w:rPr>
        <w:t xml:space="preserve"> </w:t>
      </w:r>
      <w:r w:rsidRPr="00BA68AC">
        <w:rPr>
          <w:rFonts w:eastAsia="Times New Roman" w:cs="Times New Roman"/>
          <w:lang w:eastAsia="de-DE"/>
        </w:rPr>
        <w:t xml:space="preserve">(segnen) im Piel-Imperfekt 3. Person maskulin Plural mit Waw-Konsekutiv. </w:t>
      </w:r>
      <w:r w:rsidRPr="00BA68AC">
        <w:rPr>
          <w:rFonts w:eastAsia="Times New Roman" w:cs="Times New Roman"/>
          <w:b/>
          <w:bCs/>
          <w:rtl/>
          <w:lang w:eastAsia="de-DE"/>
        </w:rPr>
        <w:t>את־העם</w:t>
      </w:r>
      <w:r w:rsidRPr="00BA68AC">
        <w:rPr>
          <w:rFonts w:eastAsia="Times New Roman" w:cs="Times New Roman"/>
          <w:rtl/>
          <w:lang w:eastAsia="de-DE"/>
        </w:rPr>
        <w:t xml:space="preserve"> </w:t>
      </w:r>
      <w:r w:rsidRPr="00BA68AC">
        <w:rPr>
          <w:rFonts w:eastAsia="Times New Roman" w:cs="Times New Roman"/>
          <w:lang w:eastAsia="de-DE"/>
        </w:rPr>
        <w:t>(das Volk) als direktes Objekt.</w:t>
      </w:r>
    </w:p>
    <w:p w14:paraId="1E2FD22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ויירא כבוד־יהוה אל־כל־העם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ראה</w:t>
      </w:r>
      <w:r w:rsidRPr="00BA68AC">
        <w:rPr>
          <w:rFonts w:eastAsia="Times New Roman" w:cs="Times New Roman"/>
          <w:rtl/>
          <w:lang w:eastAsia="de-DE"/>
        </w:rPr>
        <w:t xml:space="preserve"> </w:t>
      </w:r>
      <w:r w:rsidRPr="00BA68AC">
        <w:rPr>
          <w:rFonts w:eastAsia="Times New Roman" w:cs="Times New Roman"/>
          <w:lang w:eastAsia="de-DE"/>
        </w:rPr>
        <w:t xml:space="preserve">(erscheinen) im Nifal-Imperfekt 3. Person maskulin Singular mit Waw-Konsekutiv. </w:t>
      </w:r>
      <w:r w:rsidRPr="00BA68AC">
        <w:rPr>
          <w:rFonts w:eastAsia="Times New Roman" w:cs="Times New Roman"/>
          <w:b/>
          <w:bCs/>
          <w:rtl/>
          <w:lang w:eastAsia="de-DE"/>
        </w:rPr>
        <w:t>כבוד־יהוה</w:t>
      </w:r>
      <w:r w:rsidRPr="00BA68AC">
        <w:rPr>
          <w:rFonts w:eastAsia="Times New Roman" w:cs="Times New Roman"/>
          <w:rtl/>
          <w:lang w:eastAsia="de-DE"/>
        </w:rPr>
        <w:t xml:space="preserve"> </w:t>
      </w:r>
      <w:r w:rsidRPr="00BA68AC">
        <w:rPr>
          <w:rFonts w:eastAsia="Times New Roman" w:cs="Times New Roman"/>
          <w:lang w:eastAsia="de-DE"/>
        </w:rPr>
        <w:t xml:space="preserve">(Herrlichkeit JHWHs) als Subjekt. </w:t>
      </w:r>
      <w:r w:rsidRPr="00BA68AC">
        <w:rPr>
          <w:rFonts w:eastAsia="Times New Roman" w:cs="Times New Roman"/>
          <w:b/>
          <w:bCs/>
          <w:rtl/>
          <w:lang w:eastAsia="de-DE"/>
        </w:rPr>
        <w:t>אל־כל־העם</w:t>
      </w:r>
      <w:r w:rsidRPr="00BA68AC">
        <w:rPr>
          <w:rFonts w:eastAsia="Times New Roman" w:cs="Times New Roman"/>
          <w:rtl/>
          <w:lang w:eastAsia="de-DE"/>
        </w:rPr>
        <w:t xml:space="preserve"> </w:t>
      </w:r>
      <w:r w:rsidRPr="00BA68AC">
        <w:rPr>
          <w:rFonts w:eastAsia="Times New Roman" w:cs="Times New Roman"/>
          <w:lang w:eastAsia="de-DE"/>
        </w:rPr>
        <w:t xml:space="preserve">(dem ganzen Volk) mit Totalitätspartikel </w:t>
      </w:r>
      <w:r w:rsidRPr="00BA68AC">
        <w:rPr>
          <w:rFonts w:eastAsia="Times New Roman" w:cs="Times New Roman"/>
          <w:b/>
          <w:bCs/>
          <w:rtl/>
          <w:lang w:eastAsia="de-DE"/>
        </w:rPr>
        <w:t>כל</w:t>
      </w:r>
      <w:r w:rsidRPr="00BA68AC">
        <w:rPr>
          <w:rFonts w:eastAsia="Times New Roman" w:cs="Times New Roman"/>
          <w:lang w:eastAsia="de-DE"/>
        </w:rPr>
        <w:t>.</w:t>
      </w:r>
    </w:p>
    <w:p w14:paraId="2B9E11D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אל־אהל מועד</w:t>
      </w:r>
      <w:r w:rsidRPr="00BA68AC">
        <w:rPr>
          <w:rFonts w:eastAsia="Times New Roman" w:cs="Times New Roman"/>
          <w:rtl/>
          <w:lang w:eastAsia="de-DE"/>
        </w:rPr>
        <w:t xml:space="preserve"> </w:t>
      </w:r>
      <w:r w:rsidRPr="00BA68AC">
        <w:rPr>
          <w:rFonts w:eastAsia="Times New Roman" w:cs="Times New Roman"/>
          <w:lang w:eastAsia="de-DE"/>
        </w:rPr>
        <w:t xml:space="preserve">zeigt eine besondere Konsultation zwischen Mosche und Aaron im Allerheiligsten. </w:t>
      </w:r>
      <w:r w:rsidRPr="00BA68AC">
        <w:rPr>
          <w:rFonts w:eastAsia="Times New Roman" w:cs="Times New Roman"/>
          <w:b/>
          <w:bCs/>
          <w:rtl/>
          <w:lang w:eastAsia="de-DE"/>
        </w:rPr>
        <w:t>ויצאו</w:t>
      </w:r>
      <w:r w:rsidRPr="00BA68AC">
        <w:rPr>
          <w:rFonts w:eastAsia="Times New Roman" w:cs="Times New Roman"/>
          <w:rtl/>
          <w:lang w:eastAsia="de-DE"/>
        </w:rPr>
        <w:t xml:space="preserve"> </w:t>
      </w:r>
      <w:r w:rsidRPr="00BA68AC">
        <w:rPr>
          <w:rFonts w:eastAsia="Times New Roman" w:cs="Times New Roman"/>
          <w:lang w:eastAsia="de-DE"/>
        </w:rPr>
        <w:t xml:space="preserve">im Plural zeigt beide als gemeinsame Handelnde. </w:t>
      </w:r>
      <w:r w:rsidRPr="00BA68AC">
        <w:rPr>
          <w:rFonts w:eastAsia="Times New Roman" w:cs="Times New Roman"/>
          <w:b/>
          <w:bCs/>
          <w:rtl/>
          <w:lang w:eastAsia="de-DE"/>
        </w:rPr>
        <w:t>ויברכו</w:t>
      </w:r>
      <w:r w:rsidRPr="00BA68AC">
        <w:rPr>
          <w:rFonts w:eastAsia="Times New Roman" w:cs="Times New Roman"/>
          <w:rtl/>
          <w:lang w:eastAsia="de-DE"/>
        </w:rPr>
        <w:t xml:space="preserve"> </w:t>
      </w:r>
      <w:r w:rsidRPr="00BA68AC">
        <w:rPr>
          <w:rFonts w:eastAsia="Times New Roman" w:cs="Times New Roman"/>
          <w:lang w:eastAsia="de-DE"/>
        </w:rPr>
        <w:t>zeigt eine gemeinsame Segnung zusätzlich zu Aarons individueller Segnung in V. 22.</w:t>
      </w:r>
    </w:p>
    <w:p w14:paraId="6A1E24C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כבוד־יהוה</w:t>
      </w:r>
      <w:r w:rsidRPr="00BA68AC">
        <w:rPr>
          <w:rFonts w:eastAsia="Times New Roman" w:cs="Times New Roman"/>
          <w:rtl/>
          <w:lang w:eastAsia="de-DE"/>
        </w:rPr>
        <w:t xml:space="preserve"> </w:t>
      </w:r>
      <w:r w:rsidRPr="00BA68AC">
        <w:rPr>
          <w:rFonts w:eastAsia="Times New Roman" w:cs="Times New Roman"/>
          <w:lang w:eastAsia="de-DE"/>
        </w:rPr>
        <w:t xml:space="preserve">erfüllt die Verheißung aus V. 4.6. </w:t>
      </w:r>
      <w:r w:rsidRPr="00BA68AC">
        <w:rPr>
          <w:rFonts w:eastAsia="Times New Roman" w:cs="Times New Roman"/>
          <w:b/>
          <w:bCs/>
          <w:rtl/>
          <w:lang w:eastAsia="de-DE"/>
        </w:rPr>
        <w:t>אל־כל־העם</w:t>
      </w:r>
      <w:r w:rsidRPr="00BA68AC">
        <w:rPr>
          <w:rFonts w:eastAsia="Times New Roman" w:cs="Times New Roman"/>
          <w:rtl/>
          <w:lang w:eastAsia="de-DE"/>
        </w:rPr>
        <w:t xml:space="preserve"> </w:t>
      </w:r>
      <w:r w:rsidRPr="00BA68AC">
        <w:rPr>
          <w:rFonts w:eastAsia="Times New Roman" w:cs="Times New Roman"/>
          <w:lang w:eastAsia="de-DE"/>
        </w:rPr>
        <w:t xml:space="preserve">betont, dass alle anwesenden Israeliten Zeugen der Theophanie werden. </w:t>
      </w:r>
      <w:r w:rsidRPr="00BA68AC">
        <w:rPr>
          <w:rFonts w:eastAsia="Times New Roman" w:cs="Times New Roman"/>
          <w:b/>
          <w:bCs/>
          <w:rtl/>
          <w:lang w:eastAsia="de-DE"/>
        </w:rPr>
        <w:t>ויירא</w:t>
      </w:r>
      <w:r w:rsidRPr="00BA68AC">
        <w:rPr>
          <w:rFonts w:eastAsia="Times New Roman" w:cs="Times New Roman"/>
          <w:rtl/>
          <w:lang w:eastAsia="de-DE"/>
        </w:rPr>
        <w:t xml:space="preserve"> </w:t>
      </w:r>
      <w:r w:rsidRPr="00BA68AC">
        <w:rPr>
          <w:rFonts w:eastAsia="Times New Roman" w:cs="Times New Roman"/>
          <w:lang w:eastAsia="de-DE"/>
        </w:rPr>
        <w:t>zeigt die unmittelbare Folge der gemeinsamen Segnung.</w:t>
      </w:r>
    </w:p>
    <w:p w14:paraId="217542A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ויבא</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εἰσῆλθεν</w:t>
      </w:r>
      <w:proofErr w:type="spellEnd"/>
      <w:r w:rsidRPr="00BA68AC">
        <w:rPr>
          <w:rFonts w:eastAsia="Times New Roman" w:cs="Times New Roman"/>
          <w:lang w:eastAsia="de-DE"/>
        </w:rPr>
        <w:t xml:space="preserve"> (er ging hinein), </w:t>
      </w:r>
      <w:r w:rsidRPr="00BA68AC">
        <w:rPr>
          <w:rFonts w:eastAsia="Times New Roman" w:cs="Times New Roman"/>
          <w:b/>
          <w:bCs/>
          <w:rtl/>
          <w:lang w:eastAsia="de-DE"/>
        </w:rPr>
        <w:t>ויצאו</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ἐξῆλθον</w:t>
      </w:r>
      <w:proofErr w:type="spellEnd"/>
      <w:r w:rsidRPr="00BA68AC">
        <w:rPr>
          <w:rFonts w:eastAsia="Times New Roman" w:cs="Times New Roman"/>
          <w:lang w:eastAsia="de-DE"/>
        </w:rPr>
        <w:t xml:space="preserve"> (sie kamen heraus), </w:t>
      </w:r>
      <w:r w:rsidRPr="00BA68AC">
        <w:rPr>
          <w:rFonts w:eastAsia="Times New Roman" w:cs="Times New Roman"/>
          <w:b/>
          <w:bCs/>
          <w:rtl/>
          <w:lang w:eastAsia="de-DE"/>
        </w:rPr>
        <w:t>ויברכו</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εὐλόγησ</w:t>
      </w:r>
      <w:proofErr w:type="spellEnd"/>
      <w:r w:rsidRPr="00BA68AC">
        <w:rPr>
          <w:rFonts w:eastAsia="Times New Roman" w:cs="Times New Roman"/>
          <w:lang w:eastAsia="de-DE"/>
        </w:rPr>
        <w:t xml:space="preserve">αν (sie segneten) und </w:t>
      </w:r>
      <w:r w:rsidRPr="00BA68AC">
        <w:rPr>
          <w:rFonts w:eastAsia="Times New Roman" w:cs="Times New Roman"/>
          <w:b/>
          <w:bCs/>
          <w:rtl/>
          <w:lang w:eastAsia="de-DE"/>
        </w:rPr>
        <w:t>כבוד־יהוה</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δόξ</w:t>
      </w:r>
      <w:proofErr w:type="spellEnd"/>
      <w:r w:rsidRPr="00BA68AC">
        <w:rPr>
          <w:rFonts w:eastAsia="Times New Roman" w:cs="Times New Roman"/>
          <w:lang w:eastAsia="de-DE"/>
        </w:rPr>
        <w:t xml:space="preserve">α </w:t>
      </w:r>
      <w:proofErr w:type="spellStart"/>
      <w:r w:rsidRPr="00BA68AC">
        <w:rPr>
          <w:rFonts w:eastAsia="Times New Roman" w:cs="Times New Roman"/>
          <w:lang w:eastAsia="de-DE"/>
        </w:rPr>
        <w:t>κυρίου</w:t>
      </w:r>
      <w:proofErr w:type="spellEnd"/>
      <w:r w:rsidRPr="00BA68AC">
        <w:rPr>
          <w:rFonts w:eastAsia="Times New Roman" w:cs="Times New Roman"/>
          <w:lang w:eastAsia="de-DE"/>
        </w:rPr>
        <w:t xml:space="preserve"> (Herrlichkeit des Herrn).</w:t>
      </w:r>
    </w:p>
    <w:p w14:paraId="2A89E2A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vier koordinierte Hauptsätze: Eintritt (Singular) + Austritt (Plural) + Segnung (Plural) + Theophanie. Die Struktur steigert sich zur klimaktischen Gotteserscheinung.</w:t>
      </w:r>
    </w:p>
    <w:p w14:paraId="06C8AAB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die gemeinsame Aktion von Mosche und Aaron, die zur verheißenen Erscheinung der göttlichen Herrlichkeit führt.</w:t>
      </w:r>
    </w:p>
    <w:p w14:paraId="5B49C8A1"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9,24</w:t>
      </w:r>
    </w:p>
    <w:p w14:paraId="38A2B16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וַתֵּ֤צֵא אֵשׁ֙ מִלִּפְנֵ֣י יְהוָ֔ה וַתֹּ֨אכַל֙ עַל־הַמִּזְבֵּ֔חַ אֶת־הָעֹלָ֖ה וְאֶת־הַחֲלָבִ֑ים וַיַּ֤רְא כָּל־הָעָם֙ וַיָּרֹ֔נּוּ וַֽיִּפְּל֖וּ עַל־פְּנֵיהֶֽם׃</w:t>
      </w:r>
    </w:p>
    <w:p w14:paraId="547C083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es ging Feuer aus von dem Ewigen und verzehrte auf dem Altar das Aufsteigeopfer und die Fettstücke; und das ganze Volk sah es, und sie jubelten und fielen auf ihr Angesicht.</w:t>
      </w:r>
    </w:p>
    <w:p w14:paraId="355328DA"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55346D70">
          <v:rect id="_x0000_i1256" style="width:0;height:1.5pt" o:hralign="center" o:hrstd="t" o:hr="t" fillcolor="#a0a0a0" stroked="f"/>
        </w:pict>
      </w:r>
    </w:p>
    <w:p w14:paraId="5252FFF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ותצא אש מלפני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יצא</w:t>
      </w:r>
      <w:r w:rsidRPr="00BA68AC">
        <w:rPr>
          <w:rFonts w:eastAsia="Times New Roman" w:cs="Times New Roman"/>
          <w:rtl/>
          <w:lang w:eastAsia="de-DE"/>
        </w:rPr>
        <w:t xml:space="preserve"> </w:t>
      </w:r>
      <w:r w:rsidRPr="00BA68AC">
        <w:rPr>
          <w:rFonts w:eastAsia="Times New Roman" w:cs="Times New Roman"/>
          <w:lang w:eastAsia="de-DE"/>
        </w:rPr>
        <w:t xml:space="preserve">(ausgehen) im Qal-Imperfekt 3. Person feminin Singular mit Waw-Konsekutiv. </w:t>
      </w:r>
      <w:r w:rsidRPr="00BA68AC">
        <w:rPr>
          <w:rFonts w:eastAsia="Times New Roman" w:cs="Times New Roman"/>
          <w:b/>
          <w:bCs/>
          <w:rtl/>
          <w:lang w:eastAsia="de-DE"/>
        </w:rPr>
        <w:t>אש</w:t>
      </w:r>
      <w:r w:rsidRPr="00BA68AC">
        <w:rPr>
          <w:rFonts w:eastAsia="Times New Roman" w:cs="Times New Roman"/>
          <w:rtl/>
          <w:lang w:eastAsia="de-DE"/>
        </w:rPr>
        <w:t xml:space="preserve"> </w:t>
      </w:r>
      <w:r w:rsidRPr="00BA68AC">
        <w:rPr>
          <w:rFonts w:eastAsia="Times New Roman" w:cs="Times New Roman"/>
          <w:lang w:eastAsia="de-DE"/>
        </w:rPr>
        <w:t xml:space="preserve">(Feuer) als Subjekt feminin Singular. </w:t>
      </w:r>
      <w:r w:rsidRPr="00BA68AC">
        <w:rPr>
          <w:rFonts w:eastAsia="Times New Roman" w:cs="Times New Roman"/>
          <w:b/>
          <w:bCs/>
          <w:rtl/>
          <w:lang w:eastAsia="de-DE"/>
        </w:rPr>
        <w:t>מלפני יהוה</w:t>
      </w:r>
      <w:r w:rsidRPr="00BA68AC">
        <w:rPr>
          <w:rFonts w:eastAsia="Times New Roman" w:cs="Times New Roman"/>
          <w:rtl/>
          <w:lang w:eastAsia="de-DE"/>
        </w:rPr>
        <w:t xml:space="preserve"> </w:t>
      </w:r>
      <w:r w:rsidRPr="00BA68AC">
        <w:rPr>
          <w:rFonts w:eastAsia="Times New Roman" w:cs="Times New Roman"/>
          <w:lang w:eastAsia="de-DE"/>
        </w:rPr>
        <w:t>(von vor JHWH) zeigt die göttliche Quelle des Feuers. Dies ist das entscheidende Zeichen der göttlichen Akzeptanz.</w:t>
      </w:r>
    </w:p>
    <w:p w14:paraId="5533BA71" w14:textId="21C5894F"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ותאכל על־המזבח את־העלה ואת־החלבים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אכל</w:t>
      </w:r>
      <w:r w:rsidRPr="00BA68AC">
        <w:rPr>
          <w:rFonts w:eastAsia="Times New Roman" w:cs="Times New Roman"/>
          <w:rtl/>
          <w:lang w:eastAsia="de-DE"/>
        </w:rPr>
        <w:t xml:space="preserve"> </w:t>
      </w:r>
      <w:r w:rsidRPr="00BA68AC">
        <w:rPr>
          <w:rFonts w:eastAsia="Times New Roman" w:cs="Times New Roman"/>
          <w:lang w:eastAsia="de-DE"/>
        </w:rPr>
        <w:t xml:space="preserve">(verzehren/fressen) im Qal-Imperfekt 3. Person feminin Singular mit Waw-Konsekutiv. </w:t>
      </w:r>
      <w:r w:rsidRPr="00BA68AC">
        <w:rPr>
          <w:rFonts w:eastAsia="Times New Roman" w:cs="Times New Roman"/>
          <w:b/>
          <w:bCs/>
          <w:rtl/>
          <w:lang w:eastAsia="de-DE"/>
        </w:rPr>
        <w:t>על־המזבח</w:t>
      </w:r>
      <w:r w:rsidRPr="00BA68AC">
        <w:rPr>
          <w:rFonts w:eastAsia="Times New Roman" w:cs="Times New Roman"/>
          <w:rtl/>
          <w:lang w:eastAsia="de-DE"/>
        </w:rPr>
        <w:t xml:space="preserve"> </w:t>
      </w:r>
      <w:r w:rsidRPr="00BA68AC">
        <w:rPr>
          <w:rFonts w:eastAsia="Times New Roman" w:cs="Times New Roman"/>
          <w:lang w:eastAsia="de-DE"/>
        </w:rPr>
        <w:t xml:space="preserve">(auf dem Altar) als Ortsangabe. </w:t>
      </w:r>
      <w:r w:rsidRPr="00BA68AC">
        <w:rPr>
          <w:rFonts w:eastAsia="Times New Roman" w:cs="Times New Roman"/>
          <w:b/>
          <w:bCs/>
          <w:rtl/>
          <w:lang w:eastAsia="de-DE"/>
        </w:rPr>
        <w:t>את־העלה ואת־החלבים</w:t>
      </w:r>
      <w:r w:rsidRPr="00BA68AC">
        <w:rPr>
          <w:rFonts w:eastAsia="Times New Roman" w:cs="Times New Roman"/>
          <w:rtl/>
          <w:lang w:eastAsia="de-DE"/>
        </w:rPr>
        <w:t xml:space="preserve"> </w:t>
      </w:r>
      <w:r w:rsidRPr="00BA68AC">
        <w:rPr>
          <w:rFonts w:eastAsia="Times New Roman" w:cs="Times New Roman"/>
          <w:lang w:eastAsia="de-DE"/>
        </w:rPr>
        <w:t xml:space="preserve">(das </w:t>
      </w:r>
      <w:r w:rsidR="00CF10E7">
        <w:rPr>
          <w:rFonts w:eastAsia="Times New Roman" w:cs="Times New Roman"/>
          <w:lang w:eastAsia="de-DE"/>
        </w:rPr>
        <w:t>Aufsteigeopfer</w:t>
      </w:r>
      <w:r w:rsidRPr="00BA68AC">
        <w:rPr>
          <w:rFonts w:eastAsia="Times New Roman" w:cs="Times New Roman"/>
          <w:lang w:eastAsia="de-DE"/>
        </w:rPr>
        <w:t xml:space="preserve"> und die Fettstücke) als direkte Objekte - alle noch nicht verbrannten Opferteile.</w:t>
      </w:r>
    </w:p>
    <w:p w14:paraId="3C8474F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וירא כל־העם וירנו ויפלו על־פניהם</w:t>
      </w:r>
      <w:r w:rsidRPr="00BA68AC">
        <w:rPr>
          <w:rFonts w:eastAsia="Times New Roman" w:cs="Times New Roman"/>
          <w:rtl/>
          <w:lang w:eastAsia="de-DE"/>
        </w:rPr>
        <w:t xml:space="preserve"> </w:t>
      </w:r>
      <w:r w:rsidRPr="00BA68AC">
        <w:rPr>
          <w:rFonts w:eastAsia="Times New Roman" w:cs="Times New Roman"/>
          <w:lang w:eastAsia="de-DE"/>
        </w:rPr>
        <w:t xml:space="preserve">zeigt drei aufeinanderfolgende Volksreaktionen. </w:t>
      </w:r>
      <w:r w:rsidRPr="00BA68AC">
        <w:rPr>
          <w:rFonts w:eastAsia="Times New Roman" w:cs="Times New Roman"/>
          <w:b/>
          <w:bCs/>
          <w:rtl/>
          <w:lang w:eastAsia="de-DE"/>
        </w:rPr>
        <w:t>וירא כל־העם</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ראה</w:t>
      </w:r>
      <w:r w:rsidRPr="00BA68AC">
        <w:rPr>
          <w:rFonts w:eastAsia="Times New Roman" w:cs="Times New Roman"/>
          <w:rtl/>
          <w:lang w:eastAsia="de-DE"/>
        </w:rPr>
        <w:t xml:space="preserve"> </w:t>
      </w:r>
      <w:r w:rsidRPr="00BA68AC">
        <w:rPr>
          <w:rFonts w:eastAsia="Times New Roman" w:cs="Times New Roman"/>
          <w:lang w:eastAsia="de-DE"/>
        </w:rPr>
        <w:t xml:space="preserve">(sehen) mit </w:t>
      </w:r>
      <w:r w:rsidRPr="00BA68AC">
        <w:rPr>
          <w:rFonts w:eastAsia="Times New Roman" w:cs="Times New Roman"/>
          <w:b/>
          <w:bCs/>
          <w:rtl/>
          <w:lang w:eastAsia="de-DE"/>
        </w:rPr>
        <w:t>כל־העם</w:t>
      </w:r>
      <w:r w:rsidRPr="00BA68AC">
        <w:rPr>
          <w:rFonts w:eastAsia="Times New Roman" w:cs="Times New Roman"/>
          <w:rtl/>
          <w:lang w:eastAsia="de-DE"/>
        </w:rPr>
        <w:t xml:space="preserve"> </w:t>
      </w:r>
      <w:r w:rsidRPr="00BA68AC">
        <w:rPr>
          <w:rFonts w:eastAsia="Times New Roman" w:cs="Times New Roman"/>
          <w:lang w:eastAsia="de-DE"/>
        </w:rPr>
        <w:t xml:space="preserve">(das ganze Volk). </w:t>
      </w:r>
      <w:r w:rsidRPr="00BA68AC">
        <w:rPr>
          <w:rFonts w:eastAsia="Times New Roman" w:cs="Times New Roman"/>
          <w:b/>
          <w:bCs/>
          <w:rtl/>
          <w:lang w:eastAsia="de-DE"/>
        </w:rPr>
        <w:t>וירנו</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רנן</w:t>
      </w:r>
      <w:r w:rsidRPr="00BA68AC">
        <w:rPr>
          <w:rFonts w:eastAsia="Times New Roman" w:cs="Times New Roman"/>
          <w:rtl/>
          <w:lang w:eastAsia="de-DE"/>
        </w:rPr>
        <w:t xml:space="preserve"> </w:t>
      </w:r>
      <w:r w:rsidRPr="00BA68AC">
        <w:rPr>
          <w:rFonts w:eastAsia="Times New Roman" w:cs="Times New Roman"/>
          <w:lang w:eastAsia="de-DE"/>
        </w:rPr>
        <w:t xml:space="preserve">(jubeln/jauchzen) im Qal-Imperfekt 3. Person maskulin Plural. </w:t>
      </w:r>
      <w:r w:rsidRPr="00BA68AC">
        <w:rPr>
          <w:rFonts w:eastAsia="Times New Roman" w:cs="Times New Roman"/>
          <w:b/>
          <w:bCs/>
          <w:rtl/>
          <w:lang w:eastAsia="de-DE"/>
        </w:rPr>
        <w:t>ויפלו על־פניהם</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נפל</w:t>
      </w:r>
      <w:r w:rsidRPr="00BA68AC">
        <w:rPr>
          <w:rFonts w:eastAsia="Times New Roman" w:cs="Times New Roman"/>
          <w:rtl/>
          <w:lang w:eastAsia="de-DE"/>
        </w:rPr>
        <w:t xml:space="preserve"> </w:t>
      </w:r>
      <w:r w:rsidRPr="00BA68AC">
        <w:rPr>
          <w:rFonts w:eastAsia="Times New Roman" w:cs="Times New Roman"/>
          <w:lang w:eastAsia="de-DE"/>
        </w:rPr>
        <w:t xml:space="preserve">(fallen) mit </w:t>
      </w:r>
      <w:r w:rsidRPr="00BA68AC">
        <w:rPr>
          <w:rFonts w:eastAsia="Times New Roman" w:cs="Times New Roman"/>
          <w:b/>
          <w:bCs/>
          <w:rtl/>
          <w:lang w:eastAsia="de-DE"/>
        </w:rPr>
        <w:t>על־פניהם</w:t>
      </w:r>
      <w:r w:rsidRPr="00BA68AC">
        <w:rPr>
          <w:rFonts w:eastAsia="Times New Roman" w:cs="Times New Roman"/>
          <w:rtl/>
          <w:lang w:eastAsia="de-DE"/>
        </w:rPr>
        <w:t xml:space="preserve"> </w:t>
      </w:r>
      <w:r w:rsidRPr="00BA68AC">
        <w:rPr>
          <w:rFonts w:eastAsia="Times New Roman" w:cs="Times New Roman"/>
          <w:lang w:eastAsia="de-DE"/>
        </w:rPr>
        <w:t>(auf ihr Angesicht).</w:t>
      </w:r>
    </w:p>
    <w:p w14:paraId="4088017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dass das Feuer direkt aus der göttlichen Gegenwart kommt, nicht durch menschliche Anzündung. </w:t>
      </w:r>
      <w:r w:rsidRPr="00BA68AC">
        <w:rPr>
          <w:rFonts w:eastAsia="Times New Roman" w:cs="Times New Roman"/>
          <w:b/>
          <w:bCs/>
          <w:rtl/>
          <w:lang w:eastAsia="de-DE"/>
        </w:rPr>
        <w:t>ותאכל</w:t>
      </w:r>
      <w:r w:rsidRPr="00BA68AC">
        <w:rPr>
          <w:rFonts w:eastAsia="Times New Roman" w:cs="Times New Roman"/>
          <w:rtl/>
          <w:lang w:eastAsia="de-DE"/>
        </w:rPr>
        <w:t xml:space="preserve"> </w:t>
      </w:r>
      <w:r w:rsidRPr="00BA68AC">
        <w:rPr>
          <w:rFonts w:eastAsia="Times New Roman" w:cs="Times New Roman"/>
          <w:lang w:eastAsia="de-DE"/>
        </w:rPr>
        <w:t xml:space="preserve">mit </w:t>
      </w:r>
      <w:r w:rsidRPr="00BA68AC">
        <w:rPr>
          <w:rFonts w:eastAsia="Times New Roman" w:cs="Times New Roman"/>
          <w:b/>
          <w:bCs/>
          <w:rtl/>
          <w:lang w:eastAsia="de-DE"/>
        </w:rPr>
        <w:t>אש</w:t>
      </w:r>
      <w:r w:rsidRPr="00BA68AC">
        <w:rPr>
          <w:rFonts w:eastAsia="Times New Roman" w:cs="Times New Roman"/>
          <w:rtl/>
          <w:lang w:eastAsia="de-DE"/>
        </w:rPr>
        <w:t xml:space="preserve"> </w:t>
      </w:r>
      <w:r w:rsidRPr="00BA68AC">
        <w:rPr>
          <w:rFonts w:eastAsia="Times New Roman" w:cs="Times New Roman"/>
          <w:lang w:eastAsia="de-DE"/>
        </w:rPr>
        <w:t>als Subjekt zeigt die vollständige Konsumierung der Opfer.</w:t>
      </w:r>
    </w:p>
    <w:p w14:paraId="3CAE2FD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dreifache Volksreaktion zeigt Steigerung: </w:t>
      </w:r>
      <w:r w:rsidRPr="00BA68AC">
        <w:rPr>
          <w:rFonts w:eastAsia="Times New Roman" w:cs="Times New Roman"/>
          <w:b/>
          <w:bCs/>
          <w:rtl/>
          <w:lang w:eastAsia="de-DE"/>
        </w:rPr>
        <w:t>ראה</w:t>
      </w:r>
      <w:r w:rsidRPr="00BA68AC">
        <w:rPr>
          <w:rFonts w:eastAsia="Times New Roman" w:cs="Times New Roman"/>
          <w:rtl/>
          <w:lang w:eastAsia="de-DE"/>
        </w:rPr>
        <w:t xml:space="preserve"> </w:t>
      </w:r>
      <w:r w:rsidRPr="00BA68AC">
        <w:rPr>
          <w:rFonts w:eastAsia="Times New Roman" w:cs="Times New Roman"/>
          <w:lang w:eastAsia="de-DE"/>
        </w:rPr>
        <w:t xml:space="preserve">(Wahrnehmung) → </w:t>
      </w:r>
      <w:r w:rsidRPr="00BA68AC">
        <w:rPr>
          <w:rFonts w:eastAsia="Times New Roman" w:cs="Times New Roman"/>
          <w:b/>
          <w:bCs/>
          <w:rtl/>
          <w:lang w:eastAsia="de-DE"/>
        </w:rPr>
        <w:t>רנן</w:t>
      </w:r>
      <w:r w:rsidRPr="00BA68AC">
        <w:rPr>
          <w:rFonts w:eastAsia="Times New Roman" w:cs="Times New Roman"/>
          <w:rtl/>
          <w:lang w:eastAsia="de-DE"/>
        </w:rPr>
        <w:t xml:space="preserve"> </w:t>
      </w:r>
      <w:r w:rsidRPr="00BA68AC">
        <w:rPr>
          <w:rFonts w:eastAsia="Times New Roman" w:cs="Times New Roman"/>
          <w:lang w:eastAsia="de-DE"/>
        </w:rPr>
        <w:t xml:space="preserve">(Freude) → </w:t>
      </w:r>
      <w:r w:rsidRPr="00BA68AC">
        <w:rPr>
          <w:rFonts w:eastAsia="Times New Roman" w:cs="Times New Roman"/>
          <w:b/>
          <w:bCs/>
          <w:rtl/>
          <w:lang w:eastAsia="de-DE"/>
        </w:rPr>
        <w:t>נפל על־פניהם</w:t>
      </w:r>
      <w:r w:rsidRPr="00BA68AC">
        <w:rPr>
          <w:rFonts w:eastAsia="Times New Roman" w:cs="Times New Roman"/>
          <w:rtl/>
          <w:lang w:eastAsia="de-DE"/>
        </w:rPr>
        <w:t xml:space="preserve"> </w:t>
      </w:r>
      <w:r w:rsidRPr="00BA68AC">
        <w:rPr>
          <w:rFonts w:eastAsia="Times New Roman" w:cs="Times New Roman"/>
          <w:lang w:eastAsia="de-DE"/>
        </w:rPr>
        <w:t xml:space="preserve">(Anbetung/Ehrfurcht). </w:t>
      </w:r>
      <w:r w:rsidRPr="00BA68AC">
        <w:rPr>
          <w:rFonts w:eastAsia="Times New Roman" w:cs="Times New Roman"/>
          <w:b/>
          <w:bCs/>
          <w:rtl/>
          <w:lang w:eastAsia="de-DE"/>
        </w:rPr>
        <w:t>על־פניהם</w:t>
      </w:r>
      <w:r w:rsidRPr="00BA68AC">
        <w:rPr>
          <w:rFonts w:eastAsia="Times New Roman" w:cs="Times New Roman"/>
          <w:rtl/>
          <w:lang w:eastAsia="de-DE"/>
        </w:rPr>
        <w:t xml:space="preserve"> </w:t>
      </w:r>
      <w:r w:rsidRPr="00BA68AC">
        <w:rPr>
          <w:rFonts w:eastAsia="Times New Roman" w:cs="Times New Roman"/>
          <w:lang w:eastAsia="de-DE"/>
        </w:rPr>
        <w:t>(auf ihr Angesicht) ist die klassische Haltung vor göttlicher Theophanie.</w:t>
      </w:r>
    </w:p>
    <w:p w14:paraId="016E289F" w14:textId="3DCCB84F"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Die LXX</w:t>
      </w:r>
      <w:r w:rsidRPr="00BA68AC">
        <w:rPr>
          <w:rFonts w:eastAsia="Times New Roman" w:cs="Times New Roman"/>
          <w:lang w:eastAsia="de-DE"/>
        </w:rPr>
        <w:t xml:space="preserve"> </w:t>
      </w:r>
      <w:r w:rsidR="00F6539E">
        <w:t xml:space="preserve">übersetzt </w:t>
      </w:r>
      <w:r w:rsidR="00F6539E">
        <w:rPr>
          <w:rtl/>
        </w:rPr>
        <w:t>וירנו</w:t>
      </w:r>
      <w:r w:rsidR="00F6539E">
        <w:t xml:space="preserve"> (</w:t>
      </w:r>
      <w:proofErr w:type="spellStart"/>
      <w:r w:rsidR="00F6539E">
        <w:t>wayyaronnu</w:t>
      </w:r>
      <w:proofErr w:type="spellEnd"/>
      <w:r w:rsidR="00F6539E">
        <w:t xml:space="preserve"> - "und sie jubelten") als καὶ </w:t>
      </w:r>
      <w:proofErr w:type="spellStart"/>
      <w:r w:rsidR="00F6539E">
        <w:t>ἐξέστη</w:t>
      </w:r>
      <w:proofErr w:type="spellEnd"/>
      <w:r w:rsidR="00F6539E">
        <w:t xml:space="preserve"> (und sie gerieten außer sich), was eine intensivere emotionale Reaktion beschreibt.</w:t>
      </w:r>
    </w:p>
    <w:p w14:paraId="7A19033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göttliche Aktion plus menschliche Reaktion: zwei koordinierte göttliche Handlungen + dreifache Volksreaktion. Die Struktur </w:t>
      </w:r>
      <w:proofErr w:type="spellStart"/>
      <w:r w:rsidRPr="00BA68AC">
        <w:rPr>
          <w:rFonts w:eastAsia="Times New Roman" w:cs="Times New Roman"/>
          <w:lang w:eastAsia="de-DE"/>
        </w:rPr>
        <w:t>klimaxt</w:t>
      </w:r>
      <w:proofErr w:type="spellEnd"/>
      <w:r w:rsidRPr="00BA68AC">
        <w:rPr>
          <w:rFonts w:eastAsia="Times New Roman" w:cs="Times New Roman"/>
          <w:lang w:eastAsia="de-DE"/>
        </w:rPr>
        <w:t xml:space="preserve"> in der Anbetungshaltung des Volkes.</w:t>
      </w:r>
    </w:p>
    <w:p w14:paraId="574269CD" w14:textId="0B218B51"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beschreibt den Höhepunkt des Kapitels: göttliches Feuer verzehrt die Opfer als Zeichen der Akzeptanz, worauf das Volk mit Jubel und Anbetung reagiert.</w:t>
      </w:r>
    </w:p>
    <w:p w14:paraId="5C49C9EC" w14:textId="77777777" w:rsidR="00BA68AC" w:rsidRDefault="00BA68AC" w:rsidP="00BA68AC">
      <w:pPr>
        <w:pStyle w:val="KeinLeerraum"/>
        <w:rPr>
          <w:lang w:eastAsia="de-DE"/>
        </w:rPr>
      </w:pPr>
      <w:r w:rsidRPr="00BA68AC">
        <w:rPr>
          <w:lang w:eastAsia="de-DE"/>
        </w:rPr>
        <w:t xml:space="preserve">Kapitel 9 dokumentiert den ersten offiziellen Priesterdienst Aarons nach der siebentägigen Weihezeit und markiert den Übergang von der Ausbildung zur aktiven Priesterschaft. Die Struktur zeigt: </w:t>
      </w:r>
    </w:p>
    <w:p w14:paraId="333444E2" w14:textId="77777777" w:rsidR="00E35C31" w:rsidRDefault="00E35C31" w:rsidP="00BA68AC">
      <w:pPr>
        <w:pStyle w:val="KeinLeerraum"/>
        <w:rPr>
          <w:b/>
          <w:bCs/>
          <w:lang w:eastAsia="de-DE"/>
        </w:rPr>
      </w:pPr>
    </w:p>
    <w:p w14:paraId="06D544E4" w14:textId="5619B4A7" w:rsidR="00BA68AC" w:rsidRDefault="00BA68AC" w:rsidP="00BA68AC">
      <w:pPr>
        <w:pStyle w:val="KeinLeerraum"/>
        <w:rPr>
          <w:lang w:eastAsia="de-DE"/>
        </w:rPr>
      </w:pPr>
      <w:r w:rsidRPr="00E35C31">
        <w:rPr>
          <w:b/>
          <w:bCs/>
          <w:lang w:eastAsia="de-DE"/>
        </w:rPr>
        <w:t>1)</w:t>
      </w:r>
      <w:r w:rsidRPr="00BA68AC">
        <w:rPr>
          <w:lang w:eastAsia="de-DE"/>
        </w:rPr>
        <w:t xml:space="preserve"> Eröffnung am achten Tag (V. 1-6): Versammlung der Akteure, Opferanweisungen für Aaron und das Volk, Verheißung der göttlichen Erscheinung; </w:t>
      </w:r>
    </w:p>
    <w:p w14:paraId="6ED06265" w14:textId="77777777" w:rsidR="00E35C31" w:rsidRDefault="00E35C31" w:rsidP="00BA68AC">
      <w:pPr>
        <w:pStyle w:val="KeinLeerraum"/>
        <w:rPr>
          <w:b/>
          <w:bCs/>
          <w:lang w:eastAsia="de-DE"/>
        </w:rPr>
      </w:pPr>
    </w:p>
    <w:p w14:paraId="7B7A7A5C" w14:textId="77436040" w:rsidR="00BA68AC" w:rsidRDefault="00BA68AC" w:rsidP="00BA68AC">
      <w:pPr>
        <w:pStyle w:val="KeinLeerraum"/>
        <w:rPr>
          <w:lang w:eastAsia="de-DE"/>
        </w:rPr>
      </w:pPr>
      <w:r w:rsidRPr="00E35C31">
        <w:rPr>
          <w:b/>
          <w:bCs/>
          <w:lang w:eastAsia="de-DE"/>
        </w:rPr>
        <w:t>2)</w:t>
      </w:r>
      <w:r w:rsidRPr="00BA68AC">
        <w:rPr>
          <w:lang w:eastAsia="de-DE"/>
        </w:rPr>
        <w:t xml:space="preserve"> Aarons persönliche Opfer (V. 7-14): </w:t>
      </w:r>
      <w:r w:rsidRPr="00BA68AC">
        <w:rPr>
          <w:b/>
          <w:bCs/>
          <w:rtl/>
          <w:lang w:eastAsia="de-DE"/>
        </w:rPr>
        <w:t>חטאת</w:t>
      </w:r>
      <w:r w:rsidRPr="00BA68AC">
        <w:rPr>
          <w:rtl/>
          <w:lang w:eastAsia="de-DE"/>
        </w:rPr>
        <w:t xml:space="preserve"> </w:t>
      </w:r>
      <w:r w:rsidRPr="00BA68AC">
        <w:rPr>
          <w:lang w:eastAsia="de-DE"/>
        </w:rPr>
        <w:t xml:space="preserve">und </w:t>
      </w:r>
      <w:r w:rsidRPr="00BA68AC">
        <w:rPr>
          <w:b/>
          <w:bCs/>
          <w:rtl/>
          <w:lang w:eastAsia="de-DE"/>
        </w:rPr>
        <w:t>עלה</w:t>
      </w:r>
      <w:r w:rsidRPr="00BA68AC">
        <w:rPr>
          <w:rtl/>
          <w:lang w:eastAsia="de-DE"/>
        </w:rPr>
        <w:t xml:space="preserve"> </w:t>
      </w:r>
      <w:r w:rsidRPr="00BA68AC">
        <w:rPr>
          <w:lang w:eastAsia="de-DE"/>
        </w:rPr>
        <w:t xml:space="preserve">zur persönlichen Sühne vor dem Volksdienst; </w:t>
      </w:r>
    </w:p>
    <w:p w14:paraId="17FA7F7F" w14:textId="77777777" w:rsidR="00E35C31" w:rsidRDefault="00E35C31" w:rsidP="00BA68AC">
      <w:pPr>
        <w:pStyle w:val="KeinLeerraum"/>
        <w:rPr>
          <w:b/>
          <w:bCs/>
          <w:lang w:eastAsia="de-DE"/>
        </w:rPr>
      </w:pPr>
    </w:p>
    <w:p w14:paraId="527040C4" w14:textId="4B5BB34D" w:rsidR="00BA68AC" w:rsidRDefault="00BA68AC" w:rsidP="00BA68AC">
      <w:pPr>
        <w:pStyle w:val="KeinLeerraum"/>
        <w:rPr>
          <w:lang w:eastAsia="de-DE"/>
        </w:rPr>
      </w:pPr>
      <w:r w:rsidRPr="00E35C31">
        <w:rPr>
          <w:b/>
          <w:bCs/>
          <w:lang w:eastAsia="de-DE"/>
        </w:rPr>
        <w:t>3)</w:t>
      </w:r>
      <w:r w:rsidRPr="00BA68AC">
        <w:rPr>
          <w:lang w:eastAsia="de-DE"/>
        </w:rPr>
        <w:t xml:space="preserve"> Volksopfer (V. 15-21): vollständige Opferserie (</w:t>
      </w:r>
      <w:r w:rsidRPr="00BA68AC">
        <w:rPr>
          <w:b/>
          <w:bCs/>
          <w:rtl/>
          <w:lang w:eastAsia="de-DE"/>
        </w:rPr>
        <w:t>חטאת</w:t>
      </w:r>
      <w:r w:rsidRPr="00BA68AC">
        <w:rPr>
          <w:lang w:eastAsia="de-DE"/>
        </w:rPr>
        <w:t xml:space="preserve">, </w:t>
      </w:r>
      <w:r w:rsidRPr="00BA68AC">
        <w:rPr>
          <w:b/>
          <w:bCs/>
          <w:rtl/>
          <w:lang w:eastAsia="de-DE"/>
        </w:rPr>
        <w:t>עלה</w:t>
      </w:r>
      <w:r w:rsidRPr="00BA68AC">
        <w:rPr>
          <w:lang w:eastAsia="de-DE"/>
        </w:rPr>
        <w:t xml:space="preserve">, </w:t>
      </w:r>
      <w:r w:rsidRPr="00BA68AC">
        <w:rPr>
          <w:b/>
          <w:bCs/>
          <w:rtl/>
          <w:lang w:eastAsia="de-DE"/>
        </w:rPr>
        <w:t>מנחה</w:t>
      </w:r>
      <w:r w:rsidRPr="00BA68AC">
        <w:rPr>
          <w:lang w:eastAsia="de-DE"/>
        </w:rPr>
        <w:t xml:space="preserve">, </w:t>
      </w:r>
      <w:r w:rsidRPr="00BA68AC">
        <w:rPr>
          <w:b/>
          <w:bCs/>
          <w:rtl/>
          <w:lang w:eastAsia="de-DE"/>
        </w:rPr>
        <w:t>שלמים</w:t>
      </w:r>
      <w:r w:rsidRPr="00BA68AC">
        <w:rPr>
          <w:lang w:eastAsia="de-DE"/>
        </w:rPr>
        <w:t xml:space="preserve">) mit </w:t>
      </w:r>
      <w:r w:rsidRPr="00BA68AC">
        <w:rPr>
          <w:b/>
          <w:bCs/>
          <w:rtl/>
          <w:lang w:eastAsia="de-DE"/>
        </w:rPr>
        <w:t>תנופה</w:t>
      </w:r>
      <w:r w:rsidRPr="00BA68AC">
        <w:rPr>
          <w:rtl/>
          <w:lang w:eastAsia="de-DE"/>
        </w:rPr>
        <w:t xml:space="preserve"> </w:t>
      </w:r>
      <w:r w:rsidRPr="00BA68AC">
        <w:rPr>
          <w:lang w:eastAsia="de-DE"/>
        </w:rPr>
        <w:t xml:space="preserve">und </w:t>
      </w:r>
      <w:r w:rsidRPr="00BA68AC">
        <w:rPr>
          <w:b/>
          <w:bCs/>
          <w:rtl/>
          <w:lang w:eastAsia="de-DE"/>
        </w:rPr>
        <w:t>תרומה</w:t>
      </w:r>
      <w:r w:rsidRPr="00BA68AC">
        <w:rPr>
          <w:lang w:eastAsia="de-DE"/>
        </w:rPr>
        <w:t xml:space="preserve">; </w:t>
      </w:r>
    </w:p>
    <w:p w14:paraId="2F682403" w14:textId="77777777" w:rsidR="00E35C31" w:rsidRDefault="00E35C31" w:rsidP="00BA68AC">
      <w:pPr>
        <w:pStyle w:val="KeinLeerraum"/>
        <w:rPr>
          <w:b/>
          <w:bCs/>
          <w:lang w:eastAsia="de-DE"/>
        </w:rPr>
      </w:pPr>
    </w:p>
    <w:p w14:paraId="184E8062" w14:textId="7FF9DB89" w:rsidR="00BA68AC" w:rsidRDefault="00BA68AC" w:rsidP="00BA68AC">
      <w:pPr>
        <w:pStyle w:val="KeinLeerraum"/>
        <w:rPr>
          <w:lang w:eastAsia="de-DE"/>
        </w:rPr>
      </w:pPr>
      <w:r w:rsidRPr="00E35C31">
        <w:rPr>
          <w:b/>
          <w:bCs/>
          <w:lang w:eastAsia="de-DE"/>
        </w:rPr>
        <w:t>4)</w:t>
      </w:r>
      <w:r w:rsidRPr="00BA68AC">
        <w:rPr>
          <w:lang w:eastAsia="de-DE"/>
        </w:rPr>
        <w:t xml:space="preserve"> Klimax (V. 22-24): priesterlicher Segen, gemeinsame Aktion von Mosche und Aaron, Erscheinung der göttlichen Herrlichkeit, göttliches Feuer verzehrt die Opfer, Volksreaktion mit Jubel und Anbetung. </w:t>
      </w:r>
    </w:p>
    <w:p w14:paraId="05B0437D" w14:textId="77777777" w:rsidR="00E35C31" w:rsidRDefault="00E35C31" w:rsidP="00BA68AC">
      <w:pPr>
        <w:pStyle w:val="KeinLeerraum"/>
        <w:rPr>
          <w:lang w:eastAsia="de-DE"/>
        </w:rPr>
      </w:pPr>
    </w:p>
    <w:p w14:paraId="29E1BB6F" w14:textId="3A120F96" w:rsidR="00BA68AC" w:rsidRDefault="00BA68AC" w:rsidP="00BA68AC">
      <w:pPr>
        <w:pStyle w:val="KeinLeerraum"/>
        <w:rPr>
          <w:lang w:eastAsia="de-DE"/>
        </w:rPr>
      </w:pPr>
      <w:r w:rsidRPr="00BA68AC">
        <w:rPr>
          <w:lang w:eastAsia="de-DE"/>
        </w:rPr>
        <w:t>Das Kapitel etabliert Aaron als vollwertigen Hohepriester, zeigt die ordnungsgemäße Durchführung aller Opferarten und gipfelt in der göttlichen Bestätigung durch das Feuer, das die Opfer verzehrt - ein Zeichen der Akzeptanz des neuen Priesterdienstes.</w:t>
      </w:r>
    </w:p>
    <w:p w14:paraId="61ECCE00" w14:textId="54A7AE0A" w:rsidR="00F6539E" w:rsidRDefault="00F6539E" w:rsidP="00BA68AC">
      <w:pPr>
        <w:pStyle w:val="KeinLeerraum"/>
        <w:rPr>
          <w:lang w:eastAsia="de-DE"/>
        </w:rPr>
      </w:pPr>
    </w:p>
    <w:p w14:paraId="3FCC9FE2" w14:textId="09E7377F" w:rsidR="00F6539E" w:rsidRPr="00BA68AC" w:rsidRDefault="00F6539E" w:rsidP="00BA68AC">
      <w:pPr>
        <w:pStyle w:val="KeinLeerraum"/>
        <w:rPr>
          <w:lang w:eastAsia="de-DE"/>
        </w:rPr>
      </w:pPr>
      <w:r>
        <w:rPr>
          <w:rStyle w:val="Fett"/>
        </w:rPr>
        <w:t>Systematische Beobachtungen</w:t>
      </w:r>
      <w:r>
        <w:t xml:space="preserve">: </w:t>
      </w:r>
      <w:r>
        <w:rPr>
          <w:rStyle w:val="Fett"/>
        </w:rPr>
        <w:t>Die LXX</w:t>
      </w:r>
      <w:r>
        <w:t xml:space="preserve"> zeigt durchgängige Tendenzen zur institutionellen Präzisierung (</w:t>
      </w:r>
      <w:proofErr w:type="spellStart"/>
      <w:r>
        <w:t>γερουσί</w:t>
      </w:r>
      <w:proofErr w:type="spellEnd"/>
      <w:r>
        <w:t>α), anatomischen Neuinterpretationen und emotionalen Verstärkungen, was auf eine Anpassung an hellenistische Leser hindeutet.</w:t>
      </w:r>
    </w:p>
    <w:p w14:paraId="018C68EC"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10,1</w:t>
      </w:r>
    </w:p>
    <w:p w14:paraId="02A1D7A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וַיִּקְח֣וּ בְנֵֽי־אַ֠הֲרֹן נָדָ֨ב וַאֲבִיה֜וּא אִ֣ישׁ מַחְתָּתוֹ֗ וַיִּתְּנ֤וּ בָהֵן֙ אֵ֔שׁ וַיָּשִׂ֥ימוּ עָלֶ֖יהָ קְטֹ֑רֶת וַיַּקְרִ֜בוּ לִפְנֵ֤י יְהוָה֙ אֵ֣שׁ זָרָ֔ה אֲשֶׁ֧ר לֹ֦א צִוָּ֖ה אֹתָֽם׃</w:t>
      </w:r>
    </w:p>
    <w:p w14:paraId="15DA610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Die Söhne Aarons, Nadab und Abihu, nahmen jeder seine Räucherpfanne, und gaben Feuer hinein, und legten Räucherwerk darauf und brachten vor dem Ewigen fremdes Feuer dar, das er ihnen nicht geboten hatte.</w:t>
      </w:r>
    </w:p>
    <w:p w14:paraId="75C85211"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6503CCB9">
          <v:rect id="_x0000_i1257" style="width:0;height:1.5pt" o:hralign="center" o:hrstd="t" o:hr="t" fillcolor="#a0a0a0" stroked="f"/>
        </w:pict>
      </w:r>
    </w:p>
    <w:p w14:paraId="21013A8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ויקחו בני־אהרן נדב ואביהוא איש מחתתו</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לקח</w:t>
      </w:r>
      <w:r w:rsidRPr="00BA68AC">
        <w:rPr>
          <w:rFonts w:eastAsia="Times New Roman" w:cs="Times New Roman"/>
          <w:rtl/>
          <w:lang w:eastAsia="de-DE"/>
        </w:rPr>
        <w:t xml:space="preserve"> </w:t>
      </w:r>
      <w:r w:rsidRPr="00BA68AC">
        <w:rPr>
          <w:rFonts w:eastAsia="Times New Roman" w:cs="Times New Roman"/>
          <w:lang w:eastAsia="de-DE"/>
        </w:rPr>
        <w:t xml:space="preserve">(nehmen) im Qal-Imperfekt 3. Person maskulin Plural mit Waw-Konsekutiv. </w:t>
      </w:r>
      <w:r w:rsidRPr="00BA68AC">
        <w:rPr>
          <w:rFonts w:eastAsia="Times New Roman" w:cs="Times New Roman"/>
          <w:b/>
          <w:bCs/>
          <w:rtl/>
          <w:lang w:eastAsia="de-DE"/>
        </w:rPr>
        <w:t>בני־אהרן</w:t>
      </w:r>
      <w:r w:rsidRPr="00BA68AC">
        <w:rPr>
          <w:rFonts w:eastAsia="Times New Roman" w:cs="Times New Roman"/>
          <w:rtl/>
          <w:lang w:eastAsia="de-DE"/>
        </w:rPr>
        <w:t xml:space="preserve"> </w:t>
      </w:r>
      <w:r w:rsidRPr="00BA68AC">
        <w:rPr>
          <w:rFonts w:eastAsia="Times New Roman" w:cs="Times New Roman"/>
          <w:lang w:eastAsia="de-DE"/>
        </w:rPr>
        <w:t xml:space="preserve">(Söhne Aarons) als Genitivkonstruktion, </w:t>
      </w:r>
      <w:r w:rsidRPr="00BA68AC">
        <w:rPr>
          <w:rFonts w:eastAsia="Times New Roman" w:cs="Times New Roman"/>
          <w:b/>
          <w:bCs/>
          <w:rtl/>
          <w:lang w:eastAsia="de-DE"/>
        </w:rPr>
        <w:t>נדב ואביהוא</w:t>
      </w:r>
      <w:r w:rsidRPr="00BA68AC">
        <w:rPr>
          <w:rFonts w:eastAsia="Times New Roman" w:cs="Times New Roman"/>
          <w:rtl/>
          <w:lang w:eastAsia="de-DE"/>
        </w:rPr>
        <w:t xml:space="preserve"> </w:t>
      </w:r>
      <w:r w:rsidRPr="00BA68AC">
        <w:rPr>
          <w:rFonts w:eastAsia="Times New Roman" w:cs="Times New Roman"/>
          <w:lang w:eastAsia="de-DE"/>
        </w:rPr>
        <w:t xml:space="preserve">als spezifizierende Apposition. </w:t>
      </w:r>
      <w:r w:rsidRPr="00BA68AC">
        <w:rPr>
          <w:rFonts w:eastAsia="Times New Roman" w:cs="Times New Roman"/>
          <w:b/>
          <w:bCs/>
          <w:rtl/>
          <w:lang w:eastAsia="de-DE"/>
        </w:rPr>
        <w:t>איש מחתתו</w:t>
      </w:r>
      <w:r w:rsidRPr="00BA68AC">
        <w:rPr>
          <w:rFonts w:eastAsia="Times New Roman" w:cs="Times New Roman"/>
          <w:rtl/>
          <w:lang w:eastAsia="de-DE"/>
        </w:rPr>
        <w:t xml:space="preserve"> </w:t>
      </w:r>
      <w:r w:rsidRPr="00BA68AC">
        <w:rPr>
          <w:rFonts w:eastAsia="Times New Roman" w:cs="Times New Roman"/>
          <w:lang w:eastAsia="de-DE"/>
        </w:rPr>
        <w:t xml:space="preserve">(jeder seine </w:t>
      </w:r>
      <w:r w:rsidRPr="00BA68AC">
        <w:rPr>
          <w:rFonts w:eastAsia="Times New Roman" w:cs="Times New Roman"/>
          <w:lang w:eastAsia="de-DE"/>
        </w:rPr>
        <w:lastRenderedPageBreak/>
        <w:t xml:space="preserve">Räucherpfanne) - </w:t>
      </w:r>
      <w:r w:rsidRPr="00BA68AC">
        <w:rPr>
          <w:rFonts w:eastAsia="Times New Roman" w:cs="Times New Roman"/>
          <w:b/>
          <w:bCs/>
          <w:rtl/>
          <w:lang w:eastAsia="de-DE"/>
        </w:rPr>
        <w:t>איש</w:t>
      </w:r>
      <w:r w:rsidRPr="00BA68AC">
        <w:rPr>
          <w:rFonts w:eastAsia="Times New Roman" w:cs="Times New Roman"/>
          <w:rtl/>
          <w:lang w:eastAsia="de-DE"/>
        </w:rPr>
        <w:t xml:space="preserve"> </w:t>
      </w:r>
      <w:r w:rsidRPr="00BA68AC">
        <w:rPr>
          <w:rFonts w:eastAsia="Times New Roman" w:cs="Times New Roman"/>
          <w:lang w:eastAsia="de-DE"/>
        </w:rPr>
        <w:t xml:space="preserve">(jeder) mit </w:t>
      </w:r>
      <w:r w:rsidRPr="00BA68AC">
        <w:rPr>
          <w:rFonts w:eastAsia="Times New Roman" w:cs="Times New Roman"/>
          <w:b/>
          <w:bCs/>
          <w:rtl/>
          <w:lang w:eastAsia="de-DE"/>
        </w:rPr>
        <w:t>מחתתו</w:t>
      </w:r>
      <w:r w:rsidRPr="00BA68AC">
        <w:rPr>
          <w:rFonts w:eastAsia="Times New Roman" w:cs="Times New Roman"/>
          <w:rtl/>
          <w:lang w:eastAsia="de-DE"/>
        </w:rPr>
        <w:t xml:space="preserve"> </w:t>
      </w:r>
      <w:r w:rsidRPr="00BA68AC">
        <w:rPr>
          <w:rFonts w:eastAsia="Times New Roman" w:cs="Times New Roman"/>
          <w:lang w:eastAsia="de-DE"/>
        </w:rPr>
        <w:t xml:space="preserve">(seine Räucherpfanne) mit Possessivsuffix 3. Person maskulin Singular. </w:t>
      </w:r>
      <w:r w:rsidRPr="00BA68AC">
        <w:rPr>
          <w:rFonts w:eastAsia="Times New Roman" w:cs="Times New Roman"/>
          <w:b/>
          <w:bCs/>
          <w:rtl/>
          <w:lang w:eastAsia="de-DE"/>
        </w:rPr>
        <w:t>מחתה</w:t>
      </w:r>
      <w:r w:rsidRPr="00BA68AC">
        <w:rPr>
          <w:rFonts w:eastAsia="Times New Roman" w:cs="Times New Roman"/>
          <w:rtl/>
          <w:lang w:eastAsia="de-DE"/>
        </w:rPr>
        <w:t xml:space="preserve"> </w:t>
      </w:r>
      <w:r w:rsidRPr="00BA68AC">
        <w:rPr>
          <w:rFonts w:eastAsia="Times New Roman" w:cs="Times New Roman"/>
          <w:lang w:eastAsia="de-DE"/>
        </w:rPr>
        <w:t>(Räucherpfanne) ist das Gerät für Räucheropfer.</w:t>
      </w:r>
    </w:p>
    <w:p w14:paraId="472FB8FE"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ויתנו בהן אש וישימו עליה קטרת</w:t>
      </w:r>
      <w:r w:rsidRPr="00BA68AC">
        <w:rPr>
          <w:rFonts w:eastAsia="Times New Roman" w:cs="Times New Roman"/>
          <w:rtl/>
          <w:lang w:eastAsia="de-DE"/>
        </w:rPr>
        <w:t xml:space="preserve"> </w:t>
      </w:r>
      <w:r w:rsidRPr="00BA68AC">
        <w:rPr>
          <w:rFonts w:eastAsia="Times New Roman" w:cs="Times New Roman"/>
          <w:lang w:eastAsia="de-DE"/>
        </w:rPr>
        <w:t xml:space="preserve">zeigt zwei koordinierte Handlungen. </w:t>
      </w:r>
      <w:r w:rsidRPr="00BA68AC">
        <w:rPr>
          <w:rFonts w:eastAsia="Times New Roman" w:cs="Times New Roman"/>
          <w:b/>
          <w:bCs/>
          <w:rtl/>
          <w:lang w:eastAsia="de-DE"/>
        </w:rPr>
        <w:t>ויתנו בהן אש</w:t>
      </w:r>
      <w:r w:rsidRPr="00BA68AC">
        <w:rPr>
          <w:rFonts w:eastAsia="Times New Roman" w:cs="Times New Roman"/>
          <w:rtl/>
          <w:lang w:eastAsia="de-DE"/>
        </w:rPr>
        <w:t xml:space="preserve"> </w:t>
      </w:r>
      <w:r w:rsidRPr="00BA68AC">
        <w:rPr>
          <w:rFonts w:eastAsia="Times New Roman" w:cs="Times New Roman"/>
          <w:lang w:eastAsia="de-DE"/>
        </w:rPr>
        <w:t xml:space="preserve">- </w:t>
      </w:r>
      <w:r w:rsidRPr="00BA68AC">
        <w:rPr>
          <w:rFonts w:eastAsia="Times New Roman" w:cs="Times New Roman"/>
          <w:b/>
          <w:bCs/>
          <w:rtl/>
          <w:lang w:eastAsia="de-DE"/>
        </w:rPr>
        <w:t>נתן</w:t>
      </w:r>
      <w:r w:rsidRPr="00BA68AC">
        <w:rPr>
          <w:rFonts w:eastAsia="Times New Roman" w:cs="Times New Roman"/>
          <w:rtl/>
          <w:lang w:eastAsia="de-DE"/>
        </w:rPr>
        <w:t xml:space="preserve"> </w:t>
      </w:r>
      <w:r w:rsidRPr="00BA68AC">
        <w:rPr>
          <w:rFonts w:eastAsia="Times New Roman" w:cs="Times New Roman"/>
          <w:lang w:eastAsia="de-DE"/>
        </w:rPr>
        <w:t xml:space="preserve">(geben) mit </w:t>
      </w:r>
      <w:r w:rsidRPr="00BA68AC">
        <w:rPr>
          <w:rFonts w:eastAsia="Times New Roman" w:cs="Times New Roman"/>
          <w:b/>
          <w:bCs/>
          <w:rtl/>
          <w:lang w:eastAsia="de-DE"/>
        </w:rPr>
        <w:t>בהן</w:t>
      </w:r>
      <w:r w:rsidRPr="00BA68AC">
        <w:rPr>
          <w:rFonts w:eastAsia="Times New Roman" w:cs="Times New Roman"/>
          <w:rtl/>
          <w:lang w:eastAsia="de-DE"/>
        </w:rPr>
        <w:t xml:space="preserve"> </w:t>
      </w:r>
      <w:r w:rsidRPr="00BA68AC">
        <w:rPr>
          <w:rFonts w:eastAsia="Times New Roman" w:cs="Times New Roman"/>
          <w:lang w:eastAsia="de-DE"/>
        </w:rPr>
        <w:t xml:space="preserve">(in sie) referenziert die Räucherpfannen, </w:t>
      </w:r>
      <w:r w:rsidRPr="00BA68AC">
        <w:rPr>
          <w:rFonts w:eastAsia="Times New Roman" w:cs="Times New Roman"/>
          <w:b/>
          <w:bCs/>
          <w:rtl/>
          <w:lang w:eastAsia="de-DE"/>
        </w:rPr>
        <w:t>אש</w:t>
      </w:r>
      <w:r w:rsidRPr="00BA68AC">
        <w:rPr>
          <w:rFonts w:eastAsia="Times New Roman" w:cs="Times New Roman"/>
          <w:rtl/>
          <w:lang w:eastAsia="de-DE"/>
        </w:rPr>
        <w:t xml:space="preserve"> </w:t>
      </w:r>
      <w:r w:rsidRPr="00BA68AC">
        <w:rPr>
          <w:rFonts w:eastAsia="Times New Roman" w:cs="Times New Roman"/>
          <w:lang w:eastAsia="de-DE"/>
        </w:rPr>
        <w:t xml:space="preserve">(Feuer) als direktes Objekt. </w:t>
      </w:r>
      <w:r w:rsidRPr="00BA68AC">
        <w:rPr>
          <w:rFonts w:eastAsia="Times New Roman" w:cs="Times New Roman"/>
          <w:b/>
          <w:bCs/>
          <w:rtl/>
          <w:lang w:eastAsia="de-DE"/>
        </w:rPr>
        <w:t>וישימו עליה קטרת</w:t>
      </w:r>
      <w:r w:rsidRPr="00BA68AC">
        <w:rPr>
          <w:rFonts w:eastAsia="Times New Roman" w:cs="Times New Roman"/>
          <w:rtl/>
          <w:lang w:eastAsia="de-DE"/>
        </w:rPr>
        <w:t xml:space="preserve"> </w:t>
      </w:r>
      <w:r w:rsidRPr="00BA68AC">
        <w:rPr>
          <w:rFonts w:eastAsia="Times New Roman" w:cs="Times New Roman"/>
          <w:lang w:eastAsia="de-DE"/>
        </w:rPr>
        <w:t xml:space="preserve">- </w:t>
      </w:r>
      <w:r w:rsidRPr="00BA68AC">
        <w:rPr>
          <w:rFonts w:eastAsia="Times New Roman" w:cs="Times New Roman"/>
          <w:b/>
          <w:bCs/>
          <w:rtl/>
          <w:lang w:eastAsia="de-DE"/>
        </w:rPr>
        <w:t>שים</w:t>
      </w:r>
      <w:r w:rsidRPr="00BA68AC">
        <w:rPr>
          <w:rFonts w:eastAsia="Times New Roman" w:cs="Times New Roman"/>
          <w:rtl/>
          <w:lang w:eastAsia="de-DE"/>
        </w:rPr>
        <w:t xml:space="preserve"> </w:t>
      </w:r>
      <w:r w:rsidRPr="00BA68AC">
        <w:rPr>
          <w:rFonts w:eastAsia="Times New Roman" w:cs="Times New Roman"/>
          <w:lang w:eastAsia="de-DE"/>
        </w:rPr>
        <w:t xml:space="preserve">(setzen/legen) mit </w:t>
      </w:r>
      <w:r w:rsidRPr="00BA68AC">
        <w:rPr>
          <w:rFonts w:eastAsia="Times New Roman" w:cs="Times New Roman"/>
          <w:b/>
          <w:bCs/>
          <w:rtl/>
          <w:lang w:eastAsia="de-DE"/>
        </w:rPr>
        <w:t>עליה</w:t>
      </w:r>
      <w:r w:rsidRPr="00BA68AC">
        <w:rPr>
          <w:rFonts w:eastAsia="Times New Roman" w:cs="Times New Roman"/>
          <w:rtl/>
          <w:lang w:eastAsia="de-DE"/>
        </w:rPr>
        <w:t xml:space="preserve"> </w:t>
      </w:r>
      <w:r w:rsidRPr="00BA68AC">
        <w:rPr>
          <w:rFonts w:eastAsia="Times New Roman" w:cs="Times New Roman"/>
          <w:lang w:eastAsia="de-DE"/>
        </w:rPr>
        <w:t xml:space="preserve">(auf es) referenziert das Feuer, </w:t>
      </w:r>
      <w:r w:rsidRPr="00BA68AC">
        <w:rPr>
          <w:rFonts w:eastAsia="Times New Roman" w:cs="Times New Roman"/>
          <w:b/>
          <w:bCs/>
          <w:rtl/>
          <w:lang w:eastAsia="de-DE"/>
        </w:rPr>
        <w:t>קטרת</w:t>
      </w:r>
      <w:r w:rsidRPr="00BA68AC">
        <w:rPr>
          <w:rFonts w:eastAsia="Times New Roman" w:cs="Times New Roman"/>
          <w:rtl/>
          <w:lang w:eastAsia="de-DE"/>
        </w:rPr>
        <w:t xml:space="preserve"> </w:t>
      </w:r>
      <w:r w:rsidRPr="00BA68AC">
        <w:rPr>
          <w:rFonts w:eastAsia="Times New Roman" w:cs="Times New Roman"/>
          <w:lang w:eastAsia="de-DE"/>
        </w:rPr>
        <w:t>(Räucherwerk) als direktes Objekt.</w:t>
      </w:r>
    </w:p>
    <w:p w14:paraId="0CD8C19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ויקרבו לפני יהוה אש זרה אשר לא צוה אתם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(darbringen) im Hifil-Imperfekt mit Waw-Konsekutiv. </w:t>
      </w:r>
      <w:r w:rsidRPr="00BA68AC">
        <w:rPr>
          <w:rFonts w:eastAsia="Times New Roman" w:cs="Times New Roman"/>
          <w:b/>
          <w:bCs/>
          <w:rtl/>
          <w:lang w:eastAsia="de-DE"/>
        </w:rPr>
        <w:t>לפני יהוה</w:t>
      </w:r>
      <w:r w:rsidRPr="00BA68AC">
        <w:rPr>
          <w:rFonts w:eastAsia="Times New Roman" w:cs="Times New Roman"/>
          <w:rtl/>
          <w:lang w:eastAsia="de-DE"/>
        </w:rPr>
        <w:t xml:space="preserve"> </w:t>
      </w:r>
      <w:r w:rsidRPr="00BA68AC">
        <w:rPr>
          <w:rFonts w:eastAsia="Times New Roman" w:cs="Times New Roman"/>
          <w:lang w:eastAsia="de-DE"/>
        </w:rPr>
        <w:t xml:space="preserve">(vor JHWH) als sakraler Rahmen. </w:t>
      </w:r>
      <w:r w:rsidRPr="00BA68AC">
        <w:rPr>
          <w:rFonts w:eastAsia="Times New Roman" w:cs="Times New Roman"/>
          <w:b/>
          <w:bCs/>
          <w:rtl/>
          <w:lang w:eastAsia="de-DE"/>
        </w:rPr>
        <w:t>אש זרה</w:t>
      </w:r>
      <w:r w:rsidRPr="00BA68AC">
        <w:rPr>
          <w:rFonts w:eastAsia="Times New Roman" w:cs="Times New Roman"/>
          <w:rtl/>
          <w:lang w:eastAsia="de-DE"/>
        </w:rPr>
        <w:t xml:space="preserve"> </w:t>
      </w:r>
      <w:r w:rsidRPr="00BA68AC">
        <w:rPr>
          <w:rFonts w:eastAsia="Times New Roman" w:cs="Times New Roman"/>
          <w:lang w:eastAsia="de-DE"/>
        </w:rPr>
        <w:t xml:space="preserve">(fremdes Feuer) ist der entscheidende Begriff - </w:t>
      </w:r>
      <w:r w:rsidRPr="00BA68AC">
        <w:rPr>
          <w:rFonts w:eastAsia="Times New Roman" w:cs="Times New Roman"/>
          <w:b/>
          <w:bCs/>
          <w:rtl/>
          <w:lang w:eastAsia="de-DE"/>
        </w:rPr>
        <w:t>זרה</w:t>
      </w:r>
      <w:r w:rsidRPr="00BA68AC">
        <w:rPr>
          <w:rFonts w:eastAsia="Times New Roman" w:cs="Times New Roman"/>
          <w:rtl/>
          <w:lang w:eastAsia="de-DE"/>
        </w:rPr>
        <w:t xml:space="preserve"> </w:t>
      </w:r>
      <w:r w:rsidRPr="00BA68AC">
        <w:rPr>
          <w:rFonts w:eastAsia="Times New Roman" w:cs="Times New Roman"/>
          <w:lang w:eastAsia="de-DE"/>
        </w:rPr>
        <w:t xml:space="preserve">(fremd/unerlaubt) von </w:t>
      </w:r>
      <w:r w:rsidRPr="00BA68AC">
        <w:rPr>
          <w:rFonts w:eastAsia="Times New Roman" w:cs="Times New Roman"/>
          <w:b/>
          <w:bCs/>
          <w:rtl/>
          <w:lang w:eastAsia="de-DE"/>
        </w:rPr>
        <w:t>זור</w:t>
      </w:r>
      <w:r w:rsidRPr="00BA68AC">
        <w:rPr>
          <w:rFonts w:eastAsia="Times New Roman" w:cs="Times New Roman"/>
          <w:rtl/>
          <w:lang w:eastAsia="de-DE"/>
        </w:rPr>
        <w:t xml:space="preserve"> </w:t>
      </w:r>
      <w:r w:rsidRPr="00BA68AC">
        <w:rPr>
          <w:rFonts w:eastAsia="Times New Roman" w:cs="Times New Roman"/>
          <w:lang w:eastAsia="de-DE"/>
        </w:rPr>
        <w:t xml:space="preserve">(fremd sein). </w:t>
      </w:r>
      <w:r w:rsidRPr="00BA68AC">
        <w:rPr>
          <w:rFonts w:eastAsia="Times New Roman" w:cs="Times New Roman"/>
          <w:b/>
          <w:bCs/>
          <w:rtl/>
          <w:lang w:eastAsia="de-DE"/>
        </w:rPr>
        <w:t>אשר לא צוה אתם</w:t>
      </w:r>
      <w:r w:rsidRPr="00BA68AC">
        <w:rPr>
          <w:rFonts w:eastAsia="Times New Roman" w:cs="Times New Roman"/>
          <w:rtl/>
          <w:lang w:eastAsia="de-DE"/>
        </w:rPr>
        <w:t xml:space="preserve"> </w:t>
      </w:r>
      <w:r w:rsidRPr="00BA68AC">
        <w:rPr>
          <w:rFonts w:eastAsia="Times New Roman" w:cs="Times New Roman"/>
          <w:lang w:eastAsia="de-DE"/>
        </w:rPr>
        <w:t xml:space="preserve">(das er ihnen nicht geboten hatte) als Relativsatz mit </w:t>
      </w:r>
      <w:r w:rsidRPr="00BA68AC">
        <w:rPr>
          <w:rFonts w:eastAsia="Times New Roman" w:cs="Times New Roman"/>
          <w:b/>
          <w:bCs/>
          <w:rtl/>
          <w:lang w:eastAsia="de-DE"/>
        </w:rPr>
        <w:t>צוה</w:t>
      </w:r>
      <w:r w:rsidRPr="00BA68AC">
        <w:rPr>
          <w:rFonts w:eastAsia="Times New Roman" w:cs="Times New Roman"/>
          <w:rtl/>
          <w:lang w:eastAsia="de-DE"/>
        </w:rPr>
        <w:t xml:space="preserve"> </w:t>
      </w:r>
      <w:r w:rsidRPr="00BA68AC">
        <w:rPr>
          <w:rFonts w:eastAsia="Times New Roman" w:cs="Times New Roman"/>
          <w:lang w:eastAsia="de-DE"/>
        </w:rPr>
        <w:t xml:space="preserve">im Piel-Perfekt mit Negation </w:t>
      </w:r>
      <w:r w:rsidRPr="00BA68AC">
        <w:rPr>
          <w:rFonts w:eastAsia="Times New Roman" w:cs="Times New Roman"/>
          <w:b/>
          <w:bCs/>
          <w:rtl/>
          <w:lang w:eastAsia="de-DE"/>
        </w:rPr>
        <w:t>לא</w:t>
      </w:r>
      <w:r w:rsidRPr="00BA68AC">
        <w:rPr>
          <w:rFonts w:eastAsia="Times New Roman" w:cs="Times New Roman"/>
          <w:lang w:eastAsia="de-DE"/>
        </w:rPr>
        <w:t>.</w:t>
      </w:r>
    </w:p>
    <w:p w14:paraId="7287851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נדב ואביהוא</w:t>
      </w:r>
      <w:r w:rsidRPr="00BA68AC">
        <w:rPr>
          <w:rFonts w:eastAsia="Times New Roman" w:cs="Times New Roman"/>
          <w:rtl/>
          <w:lang w:eastAsia="de-DE"/>
        </w:rPr>
        <w:t xml:space="preserve"> </w:t>
      </w:r>
      <w:r w:rsidRPr="00BA68AC">
        <w:rPr>
          <w:rFonts w:eastAsia="Times New Roman" w:cs="Times New Roman"/>
          <w:lang w:eastAsia="de-DE"/>
        </w:rPr>
        <w:t xml:space="preserve">sind die beiden ältesten Söhne Aarons, die in 8,24 bei der Priesterweihe erwähnt wurden. </w:t>
      </w:r>
      <w:r w:rsidRPr="00BA68AC">
        <w:rPr>
          <w:rFonts w:eastAsia="Times New Roman" w:cs="Times New Roman"/>
          <w:b/>
          <w:bCs/>
          <w:rtl/>
          <w:lang w:eastAsia="de-DE"/>
        </w:rPr>
        <w:t>איש מחתתו</w:t>
      </w:r>
      <w:r w:rsidRPr="00BA68AC">
        <w:rPr>
          <w:rFonts w:eastAsia="Times New Roman" w:cs="Times New Roman"/>
          <w:rtl/>
          <w:lang w:eastAsia="de-DE"/>
        </w:rPr>
        <w:t xml:space="preserve"> </w:t>
      </w:r>
      <w:r w:rsidRPr="00BA68AC">
        <w:rPr>
          <w:rFonts w:eastAsia="Times New Roman" w:cs="Times New Roman"/>
          <w:lang w:eastAsia="de-DE"/>
        </w:rPr>
        <w:t xml:space="preserve">betont individuelle Verantwortung. </w:t>
      </w:r>
      <w:r w:rsidRPr="00BA68AC">
        <w:rPr>
          <w:rFonts w:eastAsia="Times New Roman" w:cs="Times New Roman"/>
          <w:b/>
          <w:bCs/>
          <w:rtl/>
          <w:lang w:eastAsia="de-DE"/>
        </w:rPr>
        <w:t>אש זרה</w:t>
      </w:r>
      <w:r w:rsidRPr="00BA68AC">
        <w:rPr>
          <w:rFonts w:eastAsia="Times New Roman" w:cs="Times New Roman"/>
          <w:rtl/>
          <w:lang w:eastAsia="de-DE"/>
        </w:rPr>
        <w:t xml:space="preserve"> </w:t>
      </w:r>
      <w:r w:rsidRPr="00BA68AC">
        <w:rPr>
          <w:rFonts w:eastAsia="Times New Roman" w:cs="Times New Roman"/>
          <w:lang w:eastAsia="de-DE"/>
        </w:rPr>
        <w:t>steht im Kontrast zum göttlichen Feuer aus 9,24.</w:t>
      </w:r>
    </w:p>
    <w:p w14:paraId="540A796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אשר לא צוה אתם</w:t>
      </w:r>
      <w:r w:rsidRPr="00BA68AC">
        <w:rPr>
          <w:rFonts w:eastAsia="Times New Roman" w:cs="Times New Roman"/>
          <w:rtl/>
          <w:lang w:eastAsia="de-DE"/>
        </w:rPr>
        <w:t xml:space="preserve"> </w:t>
      </w:r>
      <w:r w:rsidRPr="00BA68AC">
        <w:rPr>
          <w:rFonts w:eastAsia="Times New Roman" w:cs="Times New Roman"/>
          <w:lang w:eastAsia="de-DE"/>
        </w:rPr>
        <w:t>ist die entscheidende Verfehlung: Handeln ohne göttlichen Befehl in kultischen Angelegenheiten. Die Handlungssequenz zeigt bewusste, systematische Vorbereitung des unerlaubten Räucheropfers.</w:t>
      </w:r>
    </w:p>
    <w:p w14:paraId="30E07CE6" w14:textId="3C2AC762"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fügt </w:t>
      </w:r>
      <w:proofErr w:type="spellStart"/>
      <w:r w:rsidR="00F6539E">
        <w:t>οἱ</w:t>
      </w:r>
      <w:proofErr w:type="spellEnd"/>
      <w:r w:rsidR="00F6539E">
        <w:t xml:space="preserve"> </w:t>
      </w:r>
      <w:proofErr w:type="spellStart"/>
      <w:r w:rsidR="00F6539E">
        <w:t>δύο</w:t>
      </w:r>
      <w:proofErr w:type="spellEnd"/>
      <w:r w:rsidR="00F6539E">
        <w:t xml:space="preserve"> </w:t>
      </w:r>
      <w:proofErr w:type="spellStart"/>
      <w:r w:rsidR="00F6539E">
        <w:t>υἱοὶ</w:t>
      </w:r>
      <w:proofErr w:type="spellEnd"/>
      <w:r w:rsidR="00F6539E">
        <w:t xml:space="preserve"> (die zwei Söhne) hinzu und übersetzt </w:t>
      </w:r>
      <w:r w:rsidR="00F6539E">
        <w:rPr>
          <w:rtl/>
        </w:rPr>
        <w:t>אש זרה</w:t>
      </w:r>
      <w:r w:rsidR="00F6539E">
        <w:t xml:space="preserve"> (esh </w:t>
      </w:r>
      <w:proofErr w:type="spellStart"/>
      <w:r w:rsidR="00F6539E">
        <w:t>zara</w:t>
      </w:r>
      <w:proofErr w:type="spellEnd"/>
      <w:r w:rsidR="00F6539E">
        <w:t xml:space="preserve"> - "fremdes Feuer") als π</w:t>
      </w:r>
      <w:proofErr w:type="spellStart"/>
      <w:r w:rsidR="00F6539E">
        <w:t>ῦρ</w:t>
      </w:r>
      <w:proofErr w:type="spellEnd"/>
      <w:r w:rsidR="00F6539E">
        <w:t xml:space="preserve"> </w:t>
      </w:r>
      <w:proofErr w:type="spellStart"/>
      <w:r w:rsidR="00F6539E">
        <w:t>ἀλλότριον</w:t>
      </w:r>
      <w:proofErr w:type="spellEnd"/>
      <w:r w:rsidR="00F6539E">
        <w:t xml:space="preserve"> (fremdes Feuer), was eine präzise Entsprechung darstellt.</w:t>
      </w:r>
    </w:p>
    <w:p w14:paraId="2F244F8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fünf koordinierte Hauptsätze: Nahme + Feuergebung + Räucherwerkauflage + Darbringung mit Klassifikation + Relativsatz mit Verfehlung. Die Struktur zeigt die systematische, aber unerlaubte Kulthandlung.</w:t>
      </w:r>
    </w:p>
    <w:p w14:paraId="1F0BF54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die verhängnisvolle Initiative Nadabs und Abihus, ohne göttlichen Befehl ein Räucheropfer mit "fremdem Feuer" darzubringen.</w:t>
      </w:r>
    </w:p>
    <w:p w14:paraId="28CDEC67"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10,2</w:t>
      </w:r>
    </w:p>
    <w:p w14:paraId="7EF3010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וַתֵּ֥צֵא אֵ֛שׁ מִלִּפְנֵ֥י יְהוָ֖ה וַתֹּ֣אכַל אוֹתָ֑ם וַיָּמֻ֖תוּ לִפְנֵ֥י יְהוָֽה׃</w:t>
      </w:r>
    </w:p>
    <w:p w14:paraId="4B7C8DE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Da ging Feuer vom Ewigen aus und verzehrte sie, und sie starben vor dem Ewigen.</w:t>
      </w:r>
    </w:p>
    <w:p w14:paraId="045C3DF9"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5DD1C18D">
          <v:rect id="_x0000_i1258" style="width:0;height:1.5pt" o:hralign="center" o:hrstd="t" o:hr="t" fillcolor="#a0a0a0" stroked="f"/>
        </w:pict>
      </w:r>
    </w:p>
    <w:p w14:paraId="61C21A4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ותצא אש מלפני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יצא</w:t>
      </w:r>
      <w:r w:rsidRPr="00BA68AC">
        <w:rPr>
          <w:rFonts w:eastAsia="Times New Roman" w:cs="Times New Roman"/>
          <w:rtl/>
          <w:lang w:eastAsia="de-DE"/>
        </w:rPr>
        <w:t xml:space="preserve"> </w:t>
      </w:r>
      <w:r w:rsidRPr="00BA68AC">
        <w:rPr>
          <w:rFonts w:eastAsia="Times New Roman" w:cs="Times New Roman"/>
          <w:lang w:eastAsia="de-DE"/>
        </w:rPr>
        <w:t xml:space="preserve">(ausgehen) im Qal-Imperfekt 3. Person feminin Singular mit Waw-Konsekutiv. </w:t>
      </w:r>
      <w:r w:rsidRPr="00BA68AC">
        <w:rPr>
          <w:rFonts w:eastAsia="Times New Roman" w:cs="Times New Roman"/>
          <w:b/>
          <w:bCs/>
          <w:rtl/>
          <w:lang w:eastAsia="de-DE"/>
        </w:rPr>
        <w:t>אש</w:t>
      </w:r>
      <w:r w:rsidRPr="00BA68AC">
        <w:rPr>
          <w:rFonts w:eastAsia="Times New Roman" w:cs="Times New Roman"/>
          <w:rtl/>
          <w:lang w:eastAsia="de-DE"/>
        </w:rPr>
        <w:t xml:space="preserve"> </w:t>
      </w:r>
      <w:r w:rsidRPr="00BA68AC">
        <w:rPr>
          <w:rFonts w:eastAsia="Times New Roman" w:cs="Times New Roman"/>
          <w:lang w:eastAsia="de-DE"/>
        </w:rPr>
        <w:t xml:space="preserve">(Feuer) als Subjekt feminin Singular. </w:t>
      </w:r>
      <w:r w:rsidRPr="00BA68AC">
        <w:rPr>
          <w:rFonts w:eastAsia="Times New Roman" w:cs="Times New Roman"/>
          <w:b/>
          <w:bCs/>
          <w:rtl/>
          <w:lang w:eastAsia="de-DE"/>
        </w:rPr>
        <w:t>מלפני יהוה</w:t>
      </w:r>
      <w:r w:rsidRPr="00BA68AC">
        <w:rPr>
          <w:rFonts w:eastAsia="Times New Roman" w:cs="Times New Roman"/>
          <w:rtl/>
          <w:lang w:eastAsia="de-DE"/>
        </w:rPr>
        <w:t xml:space="preserve"> </w:t>
      </w:r>
      <w:r w:rsidRPr="00BA68AC">
        <w:rPr>
          <w:rFonts w:eastAsia="Times New Roman" w:cs="Times New Roman"/>
          <w:lang w:eastAsia="de-DE"/>
        </w:rPr>
        <w:t>(von vor JHWH) entspricht exakt 9,24, aber mit verheerender statt segnender Wirkung. Die gleiche göttliche Quelle kann sowohl Segen als auch Gericht bewirken.</w:t>
      </w:r>
    </w:p>
    <w:p w14:paraId="6E76DEB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ותאכל אותם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אכל</w:t>
      </w:r>
      <w:r w:rsidRPr="00BA68AC">
        <w:rPr>
          <w:rFonts w:eastAsia="Times New Roman" w:cs="Times New Roman"/>
          <w:rtl/>
          <w:lang w:eastAsia="de-DE"/>
        </w:rPr>
        <w:t xml:space="preserve"> </w:t>
      </w:r>
      <w:r w:rsidRPr="00BA68AC">
        <w:rPr>
          <w:rFonts w:eastAsia="Times New Roman" w:cs="Times New Roman"/>
          <w:lang w:eastAsia="de-DE"/>
        </w:rPr>
        <w:t xml:space="preserve">(verzehren/fressen) im Qal-Imperfekt 3. Person feminin Singular mit Waw-Konsekutiv. </w:t>
      </w:r>
      <w:r w:rsidRPr="00BA68AC">
        <w:rPr>
          <w:rFonts w:eastAsia="Times New Roman" w:cs="Times New Roman"/>
          <w:b/>
          <w:bCs/>
          <w:rtl/>
          <w:lang w:eastAsia="de-DE"/>
        </w:rPr>
        <w:t>אותם</w:t>
      </w:r>
      <w:r w:rsidRPr="00BA68AC">
        <w:rPr>
          <w:rFonts w:eastAsia="Times New Roman" w:cs="Times New Roman"/>
          <w:rtl/>
          <w:lang w:eastAsia="de-DE"/>
        </w:rPr>
        <w:t xml:space="preserve"> </w:t>
      </w:r>
      <w:r w:rsidRPr="00BA68AC">
        <w:rPr>
          <w:rFonts w:eastAsia="Times New Roman" w:cs="Times New Roman"/>
          <w:lang w:eastAsia="de-DE"/>
        </w:rPr>
        <w:t>(sie) mit direktem Objektsuffix 3. Person maskulin Plural referenziert Nadab und Abihu. Das Feuer "verzehrt" sie vollständig.</w:t>
      </w:r>
    </w:p>
    <w:p w14:paraId="614A48C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וימתו לפני יהוה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מות</w:t>
      </w:r>
      <w:r w:rsidRPr="00BA68AC">
        <w:rPr>
          <w:rFonts w:eastAsia="Times New Roman" w:cs="Times New Roman"/>
          <w:rtl/>
          <w:lang w:eastAsia="de-DE"/>
        </w:rPr>
        <w:t xml:space="preserve"> </w:t>
      </w:r>
      <w:r w:rsidRPr="00BA68AC">
        <w:rPr>
          <w:rFonts w:eastAsia="Times New Roman" w:cs="Times New Roman"/>
          <w:lang w:eastAsia="de-DE"/>
        </w:rPr>
        <w:t xml:space="preserve">(sterben) im Qal-Imperfekt 3. Person maskulin Plural mit Waw-Konsekutiv. </w:t>
      </w:r>
      <w:r w:rsidRPr="00BA68AC">
        <w:rPr>
          <w:rFonts w:eastAsia="Times New Roman" w:cs="Times New Roman"/>
          <w:b/>
          <w:bCs/>
          <w:rtl/>
          <w:lang w:eastAsia="de-DE"/>
        </w:rPr>
        <w:t>לפני יהוה</w:t>
      </w:r>
      <w:r w:rsidRPr="00BA68AC">
        <w:rPr>
          <w:rFonts w:eastAsia="Times New Roman" w:cs="Times New Roman"/>
          <w:rtl/>
          <w:lang w:eastAsia="de-DE"/>
        </w:rPr>
        <w:t xml:space="preserve"> </w:t>
      </w:r>
      <w:r w:rsidRPr="00BA68AC">
        <w:rPr>
          <w:rFonts w:eastAsia="Times New Roman" w:cs="Times New Roman"/>
          <w:lang w:eastAsia="de-DE"/>
        </w:rPr>
        <w:t xml:space="preserve">(vor JHWH) zeigt, dass ihr Tod in unmittelbarer göttlicher Gegenwart stattfindet. </w:t>
      </w:r>
      <w:r w:rsidRPr="00BA68AC">
        <w:rPr>
          <w:rFonts w:eastAsia="Times New Roman" w:cs="Times New Roman"/>
          <w:b/>
          <w:bCs/>
          <w:rtl/>
          <w:lang w:eastAsia="de-DE"/>
        </w:rPr>
        <w:t>וימתו</w:t>
      </w:r>
      <w:r w:rsidRPr="00BA68AC">
        <w:rPr>
          <w:rFonts w:eastAsia="Times New Roman" w:cs="Times New Roman"/>
          <w:rtl/>
          <w:lang w:eastAsia="de-DE"/>
        </w:rPr>
        <w:t xml:space="preserve"> </w:t>
      </w:r>
      <w:r w:rsidRPr="00BA68AC">
        <w:rPr>
          <w:rFonts w:eastAsia="Times New Roman" w:cs="Times New Roman"/>
          <w:lang w:eastAsia="de-DE"/>
        </w:rPr>
        <w:t>bestätigt den durch das göttliche Feuer bewirkten Tod.</w:t>
      </w:r>
    </w:p>
    <w:p w14:paraId="79D5D1C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Der Kontrast zu 9,24 ist dramatisch: dort verzehrte das göttliche Feuer die Opfer zur Freude des Volkes, hier verzehrt es die ungehorsamen Priester. </w:t>
      </w:r>
      <w:r w:rsidRPr="00BA68AC">
        <w:rPr>
          <w:rFonts w:eastAsia="Times New Roman" w:cs="Times New Roman"/>
          <w:b/>
          <w:bCs/>
          <w:rtl/>
          <w:lang w:eastAsia="de-DE"/>
        </w:rPr>
        <w:t>מלפני יהוה</w:t>
      </w:r>
      <w:r w:rsidRPr="00BA68AC">
        <w:rPr>
          <w:rFonts w:eastAsia="Times New Roman" w:cs="Times New Roman"/>
          <w:rtl/>
          <w:lang w:eastAsia="de-DE"/>
        </w:rPr>
        <w:t xml:space="preserve"> </w:t>
      </w:r>
      <w:r w:rsidRPr="00BA68AC">
        <w:rPr>
          <w:rFonts w:eastAsia="Times New Roman" w:cs="Times New Roman"/>
          <w:lang w:eastAsia="de-DE"/>
        </w:rPr>
        <w:t>zeigt dieselbe göttliche Quelle mit entgegengesetzter Wirkung.</w:t>
      </w:r>
    </w:p>
    <w:p w14:paraId="1ADDABF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ותאכל אותם</w:t>
      </w:r>
      <w:r w:rsidRPr="00BA68AC">
        <w:rPr>
          <w:rFonts w:eastAsia="Times New Roman" w:cs="Times New Roman"/>
          <w:rtl/>
          <w:lang w:eastAsia="de-DE"/>
        </w:rPr>
        <w:t xml:space="preserve"> </w:t>
      </w:r>
      <w:r w:rsidRPr="00BA68AC">
        <w:rPr>
          <w:rFonts w:eastAsia="Times New Roman" w:cs="Times New Roman"/>
          <w:lang w:eastAsia="de-DE"/>
        </w:rPr>
        <w:t xml:space="preserve">zeigt die vollständige Vernichtung durch göttliches Feuer. </w:t>
      </w:r>
      <w:r w:rsidRPr="00BA68AC">
        <w:rPr>
          <w:rFonts w:eastAsia="Times New Roman" w:cs="Times New Roman"/>
          <w:b/>
          <w:bCs/>
          <w:rtl/>
          <w:lang w:eastAsia="de-DE"/>
        </w:rPr>
        <w:t>לפני יהוה</w:t>
      </w:r>
      <w:r w:rsidRPr="00BA68AC">
        <w:rPr>
          <w:rFonts w:eastAsia="Times New Roman" w:cs="Times New Roman"/>
          <w:rtl/>
          <w:lang w:eastAsia="de-DE"/>
        </w:rPr>
        <w:t xml:space="preserve"> </w:t>
      </w:r>
      <w:r w:rsidRPr="00BA68AC">
        <w:rPr>
          <w:rFonts w:eastAsia="Times New Roman" w:cs="Times New Roman"/>
          <w:lang w:eastAsia="de-DE"/>
        </w:rPr>
        <w:t>betont, dass diese Strafe in heiliger Gegenwart und vor den Augen der Gemeinde geschieht.</w:t>
      </w:r>
    </w:p>
    <w:p w14:paraId="4519FEB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ותצא אש</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ἐξῆλθεν</w:t>
      </w:r>
      <w:proofErr w:type="spellEnd"/>
      <w:r w:rsidRPr="00BA68AC">
        <w:rPr>
          <w:rFonts w:eastAsia="Times New Roman" w:cs="Times New Roman"/>
          <w:lang w:eastAsia="de-DE"/>
        </w:rPr>
        <w:t xml:space="preserve"> π</w:t>
      </w:r>
      <w:proofErr w:type="spellStart"/>
      <w:r w:rsidRPr="00BA68AC">
        <w:rPr>
          <w:rFonts w:eastAsia="Times New Roman" w:cs="Times New Roman"/>
          <w:lang w:eastAsia="de-DE"/>
        </w:rPr>
        <w:t>ῦρ</w:t>
      </w:r>
      <w:proofErr w:type="spellEnd"/>
      <w:r w:rsidRPr="00BA68AC">
        <w:rPr>
          <w:rFonts w:eastAsia="Times New Roman" w:cs="Times New Roman"/>
          <w:lang w:eastAsia="de-DE"/>
        </w:rPr>
        <w:t xml:space="preserve"> (es ging Feuer aus), </w:t>
      </w:r>
      <w:r w:rsidRPr="00BA68AC">
        <w:rPr>
          <w:rFonts w:eastAsia="Times New Roman" w:cs="Times New Roman"/>
          <w:b/>
          <w:bCs/>
          <w:rtl/>
          <w:lang w:eastAsia="de-DE"/>
        </w:rPr>
        <w:t>ותאכל</w:t>
      </w:r>
      <w:r w:rsidRPr="00BA68AC">
        <w:rPr>
          <w:rFonts w:eastAsia="Times New Roman" w:cs="Times New Roman"/>
          <w:rtl/>
          <w:lang w:eastAsia="de-DE"/>
        </w:rPr>
        <w:t xml:space="preserve"> </w:t>
      </w:r>
      <w:r w:rsidRPr="00BA68AC">
        <w:rPr>
          <w:rFonts w:eastAsia="Times New Roman" w:cs="Times New Roman"/>
          <w:lang w:eastAsia="de-DE"/>
        </w:rPr>
        <w:t>mit κα</w:t>
      </w:r>
      <w:proofErr w:type="spellStart"/>
      <w:r w:rsidRPr="00BA68AC">
        <w:rPr>
          <w:rFonts w:eastAsia="Times New Roman" w:cs="Times New Roman"/>
          <w:lang w:eastAsia="de-DE"/>
        </w:rPr>
        <w:t>τέφ</w:t>
      </w:r>
      <w:proofErr w:type="spellEnd"/>
      <w:r w:rsidRPr="00BA68AC">
        <w:rPr>
          <w:rFonts w:eastAsia="Times New Roman" w:cs="Times New Roman"/>
          <w:lang w:eastAsia="de-DE"/>
        </w:rPr>
        <w:t xml:space="preserve">αγεν (es verzehrte) und </w:t>
      </w:r>
      <w:r w:rsidRPr="00BA68AC">
        <w:rPr>
          <w:rFonts w:eastAsia="Times New Roman" w:cs="Times New Roman"/>
          <w:b/>
          <w:bCs/>
          <w:rtl/>
          <w:lang w:eastAsia="de-DE"/>
        </w:rPr>
        <w:t>וימתו</w:t>
      </w:r>
      <w:r w:rsidRPr="00BA68AC">
        <w:rPr>
          <w:rFonts w:eastAsia="Times New Roman" w:cs="Times New Roman"/>
          <w:rtl/>
          <w:lang w:eastAsia="de-DE"/>
        </w:rPr>
        <w:t xml:space="preserve"> </w:t>
      </w:r>
      <w:r w:rsidRPr="00BA68AC">
        <w:rPr>
          <w:rFonts w:eastAsia="Times New Roman" w:cs="Times New Roman"/>
          <w:lang w:eastAsia="de-DE"/>
        </w:rPr>
        <w:t>mit ἀπ</w:t>
      </w:r>
      <w:proofErr w:type="spellStart"/>
      <w:r w:rsidRPr="00BA68AC">
        <w:rPr>
          <w:rFonts w:eastAsia="Times New Roman" w:cs="Times New Roman"/>
          <w:lang w:eastAsia="de-DE"/>
        </w:rPr>
        <w:t>έθ</w:t>
      </w:r>
      <w:proofErr w:type="spellEnd"/>
      <w:r w:rsidRPr="00BA68AC">
        <w:rPr>
          <w:rFonts w:eastAsia="Times New Roman" w:cs="Times New Roman"/>
          <w:lang w:eastAsia="de-DE"/>
        </w:rPr>
        <w:t>ανον (sie starben).</w:t>
      </w:r>
    </w:p>
    <w:p w14:paraId="114D74D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drei koordinierte Hauptsätze: Feuerausgehen + Verzehrung + Todesbestätigung. Die knappe Struktur betont die Unmittelbarkeit und Endgültigkeit des göttlichen Gerichts.</w:t>
      </w:r>
    </w:p>
    <w:p w14:paraId="63893FF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das unmittelbare göttliche Gericht über kultischen Ungehorsam durch dasselbe Feuer, das zuvor die Opfer zur Bestätigung verzehrt hatte.</w:t>
      </w:r>
    </w:p>
    <w:p w14:paraId="2366CB7B"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10,3</w:t>
      </w:r>
    </w:p>
    <w:p w14:paraId="3998F9B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וַיֹּ֨אמֶר מֹשֶׁ֜ה אֶֽל־אַהֲרֹ֗ן הוּא֩ אֲשֶׁר־דִּבֶּ֨ר יְהוָ֤ה׀ לֵאמֹר֙ בִּקְרֹבַ֣י אֶקָּדֵ֔שׁ וְעַל־פְּנֵ֥י כָל־הָעָ֖ם אֶכָּבֵ֑ד וַיִּדֹּ֖ם אַהֲרֹֽן׃</w:t>
      </w:r>
    </w:p>
    <w:p w14:paraId="3CB1892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Mosche sagte zu Aaron: Das ist es, was der Ewige gesagt hat, sagend: An denen, die mir nahe sind, werde ich geheiligt, und vor dem ganzen Volk werde ich geehrt. Und Aaron schwieg.</w:t>
      </w:r>
    </w:p>
    <w:p w14:paraId="01E74735"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52FB3116">
          <v:rect id="_x0000_i1259" style="width:0;height:1.5pt" o:hralign="center" o:hrstd="t" o:hr="t" fillcolor="#a0a0a0" stroked="f"/>
        </w:pict>
      </w:r>
    </w:p>
    <w:p w14:paraId="20A36BE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ויאמר משה אל־אהרן הוא אשר־דבר יהוה לאמר</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אמר</w:t>
      </w:r>
      <w:r w:rsidRPr="00BA68AC">
        <w:rPr>
          <w:rFonts w:eastAsia="Times New Roman" w:cs="Times New Roman"/>
          <w:rtl/>
          <w:lang w:eastAsia="de-DE"/>
        </w:rPr>
        <w:t xml:space="preserve"> </w:t>
      </w:r>
      <w:r w:rsidRPr="00BA68AC">
        <w:rPr>
          <w:rFonts w:eastAsia="Times New Roman" w:cs="Times New Roman"/>
          <w:lang w:eastAsia="de-DE"/>
        </w:rPr>
        <w:t xml:space="preserve">(sprechen) im Qal-Imperfekt mit Waw-Konsekutiv. </w:t>
      </w:r>
      <w:r w:rsidRPr="00BA68AC">
        <w:rPr>
          <w:rFonts w:eastAsia="Times New Roman" w:cs="Times New Roman"/>
          <w:b/>
          <w:bCs/>
          <w:rtl/>
          <w:lang w:eastAsia="de-DE"/>
        </w:rPr>
        <w:t>אל־אהרן</w:t>
      </w:r>
      <w:r w:rsidRPr="00BA68AC">
        <w:rPr>
          <w:rFonts w:eastAsia="Times New Roman" w:cs="Times New Roman"/>
          <w:rtl/>
          <w:lang w:eastAsia="de-DE"/>
        </w:rPr>
        <w:t xml:space="preserve"> </w:t>
      </w:r>
      <w:r w:rsidRPr="00BA68AC">
        <w:rPr>
          <w:rFonts w:eastAsia="Times New Roman" w:cs="Times New Roman"/>
          <w:lang w:eastAsia="de-DE"/>
        </w:rPr>
        <w:t xml:space="preserve">(zu Aaron) als Adressat der Erklärung. </w:t>
      </w:r>
      <w:r w:rsidRPr="00BA68AC">
        <w:rPr>
          <w:rFonts w:eastAsia="Times New Roman" w:cs="Times New Roman"/>
          <w:b/>
          <w:bCs/>
          <w:rtl/>
          <w:lang w:eastAsia="de-DE"/>
        </w:rPr>
        <w:t>הוא אשר־דבר יהוה</w:t>
      </w:r>
      <w:r w:rsidRPr="00BA68AC">
        <w:rPr>
          <w:rFonts w:eastAsia="Times New Roman" w:cs="Times New Roman"/>
          <w:rtl/>
          <w:lang w:eastAsia="de-DE"/>
        </w:rPr>
        <w:t xml:space="preserve"> </w:t>
      </w:r>
      <w:r w:rsidRPr="00BA68AC">
        <w:rPr>
          <w:rFonts w:eastAsia="Times New Roman" w:cs="Times New Roman"/>
          <w:lang w:eastAsia="de-DE"/>
        </w:rPr>
        <w:t xml:space="preserve">(das ist es, was JHWH gesprochen hat) - </w:t>
      </w:r>
      <w:r w:rsidRPr="00BA68AC">
        <w:rPr>
          <w:rFonts w:eastAsia="Times New Roman" w:cs="Times New Roman"/>
          <w:b/>
          <w:bCs/>
          <w:rtl/>
          <w:lang w:eastAsia="de-DE"/>
        </w:rPr>
        <w:t>הוא</w:t>
      </w:r>
      <w:r w:rsidRPr="00BA68AC">
        <w:rPr>
          <w:rFonts w:eastAsia="Times New Roman" w:cs="Times New Roman"/>
          <w:rtl/>
          <w:lang w:eastAsia="de-DE"/>
        </w:rPr>
        <w:t xml:space="preserve"> </w:t>
      </w:r>
      <w:r w:rsidRPr="00BA68AC">
        <w:rPr>
          <w:rFonts w:eastAsia="Times New Roman" w:cs="Times New Roman"/>
          <w:lang w:eastAsia="de-DE"/>
        </w:rPr>
        <w:t xml:space="preserve">(das) als demonstratives Pronomen, </w:t>
      </w:r>
      <w:r w:rsidRPr="00BA68AC">
        <w:rPr>
          <w:rFonts w:eastAsia="Times New Roman" w:cs="Times New Roman"/>
          <w:b/>
          <w:bCs/>
          <w:rtl/>
          <w:lang w:eastAsia="de-DE"/>
        </w:rPr>
        <w:t>דבר</w:t>
      </w:r>
      <w:r w:rsidRPr="00BA68AC">
        <w:rPr>
          <w:rFonts w:eastAsia="Times New Roman" w:cs="Times New Roman"/>
          <w:rtl/>
          <w:lang w:eastAsia="de-DE"/>
        </w:rPr>
        <w:t xml:space="preserve"> </w:t>
      </w:r>
      <w:r w:rsidRPr="00BA68AC">
        <w:rPr>
          <w:rFonts w:eastAsia="Times New Roman" w:cs="Times New Roman"/>
          <w:lang w:eastAsia="de-DE"/>
        </w:rPr>
        <w:t xml:space="preserve">(sprechen) im Piel-Perfekt. </w:t>
      </w:r>
      <w:r w:rsidRPr="00BA68AC">
        <w:rPr>
          <w:rFonts w:eastAsia="Times New Roman" w:cs="Times New Roman"/>
          <w:b/>
          <w:bCs/>
          <w:rtl/>
          <w:lang w:eastAsia="de-DE"/>
        </w:rPr>
        <w:t>לאמר</w:t>
      </w:r>
      <w:r w:rsidRPr="00BA68AC">
        <w:rPr>
          <w:rFonts w:eastAsia="Times New Roman" w:cs="Times New Roman"/>
          <w:rtl/>
          <w:lang w:eastAsia="de-DE"/>
        </w:rPr>
        <w:t xml:space="preserve"> </w:t>
      </w:r>
      <w:r w:rsidRPr="00BA68AC">
        <w:rPr>
          <w:rFonts w:eastAsia="Times New Roman" w:cs="Times New Roman"/>
          <w:lang w:eastAsia="de-DE"/>
        </w:rPr>
        <w:t>(sagend) leitet das göttliche Zitat ein.</w:t>
      </w:r>
    </w:p>
    <w:p w14:paraId="386F913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בקרבי אקדש ועל־פני כל־העם אכבד</w:t>
      </w:r>
      <w:r w:rsidRPr="00BA68AC">
        <w:rPr>
          <w:rFonts w:eastAsia="Times New Roman" w:cs="Times New Roman"/>
          <w:rtl/>
          <w:lang w:eastAsia="de-DE"/>
        </w:rPr>
        <w:t xml:space="preserve"> </w:t>
      </w:r>
      <w:r w:rsidRPr="00BA68AC">
        <w:rPr>
          <w:rFonts w:eastAsia="Times New Roman" w:cs="Times New Roman"/>
          <w:lang w:eastAsia="de-DE"/>
        </w:rPr>
        <w:t xml:space="preserve">ist das göttliche Zitat in poetischem Parallelismus. </w:t>
      </w:r>
      <w:r w:rsidRPr="00BA68AC">
        <w:rPr>
          <w:rFonts w:eastAsia="Times New Roman" w:cs="Times New Roman"/>
          <w:b/>
          <w:bCs/>
          <w:rtl/>
          <w:lang w:eastAsia="de-DE"/>
        </w:rPr>
        <w:t>בקרבי</w:t>
      </w:r>
      <w:r w:rsidRPr="00BA68AC">
        <w:rPr>
          <w:rFonts w:eastAsia="Times New Roman" w:cs="Times New Roman"/>
          <w:rtl/>
          <w:lang w:eastAsia="de-DE"/>
        </w:rPr>
        <w:t xml:space="preserve"> </w:t>
      </w:r>
      <w:r w:rsidRPr="00BA68AC">
        <w:rPr>
          <w:rFonts w:eastAsia="Times New Roman" w:cs="Times New Roman"/>
          <w:lang w:eastAsia="de-DE"/>
        </w:rPr>
        <w:t xml:space="preserve">(an/durch meine Nahen) - </w:t>
      </w:r>
      <w:r w:rsidRPr="00BA68AC">
        <w:rPr>
          <w:rFonts w:eastAsia="Times New Roman" w:cs="Times New Roman"/>
          <w:b/>
          <w:bCs/>
          <w:rtl/>
          <w:lang w:eastAsia="de-DE"/>
        </w:rPr>
        <w:t>קרבי</w:t>
      </w:r>
      <w:r w:rsidRPr="00BA68AC">
        <w:rPr>
          <w:rFonts w:eastAsia="Times New Roman" w:cs="Times New Roman"/>
          <w:rtl/>
          <w:lang w:eastAsia="de-DE"/>
        </w:rPr>
        <w:t xml:space="preserve"> </w:t>
      </w:r>
      <w:r w:rsidRPr="00BA68AC">
        <w:rPr>
          <w:rFonts w:eastAsia="Times New Roman" w:cs="Times New Roman"/>
          <w:lang w:eastAsia="de-DE"/>
        </w:rPr>
        <w:t xml:space="preserve">von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(nahe) als Substantiv mit Possessivsuffix 1. Person Singular. </w:t>
      </w:r>
      <w:r w:rsidRPr="00BA68AC">
        <w:rPr>
          <w:rFonts w:eastAsia="Times New Roman" w:cs="Times New Roman"/>
          <w:b/>
          <w:bCs/>
          <w:rtl/>
          <w:lang w:eastAsia="de-DE"/>
        </w:rPr>
        <w:t>אקדש</w:t>
      </w:r>
      <w:r w:rsidRPr="00BA68AC">
        <w:rPr>
          <w:rFonts w:eastAsia="Times New Roman" w:cs="Times New Roman"/>
          <w:rtl/>
          <w:lang w:eastAsia="de-DE"/>
        </w:rPr>
        <w:t xml:space="preserve"> </w:t>
      </w:r>
      <w:r w:rsidRPr="00BA68AC">
        <w:rPr>
          <w:rFonts w:eastAsia="Times New Roman" w:cs="Times New Roman"/>
          <w:lang w:eastAsia="de-DE"/>
        </w:rPr>
        <w:t xml:space="preserve">(ich werde geheiligt) im Nifal-Imperfekt 1. Person Singular. </w:t>
      </w:r>
      <w:r w:rsidRPr="00BA68AC">
        <w:rPr>
          <w:rFonts w:eastAsia="Times New Roman" w:cs="Times New Roman"/>
          <w:b/>
          <w:bCs/>
          <w:rtl/>
          <w:lang w:eastAsia="de-DE"/>
        </w:rPr>
        <w:t>ועל־פני כל־העם אכבד</w:t>
      </w:r>
      <w:r w:rsidRPr="00BA68AC">
        <w:rPr>
          <w:rFonts w:eastAsia="Times New Roman" w:cs="Times New Roman"/>
          <w:rtl/>
          <w:lang w:eastAsia="de-DE"/>
        </w:rPr>
        <w:t xml:space="preserve"> </w:t>
      </w:r>
      <w:r w:rsidRPr="00BA68AC">
        <w:rPr>
          <w:rFonts w:eastAsia="Times New Roman" w:cs="Times New Roman"/>
          <w:lang w:eastAsia="de-DE"/>
        </w:rPr>
        <w:t xml:space="preserve">(und vor dem ganzen Volk werde ich geehrt) - </w:t>
      </w:r>
      <w:r w:rsidRPr="00BA68AC">
        <w:rPr>
          <w:rFonts w:eastAsia="Times New Roman" w:cs="Times New Roman"/>
          <w:b/>
          <w:bCs/>
          <w:rtl/>
          <w:lang w:eastAsia="de-DE"/>
        </w:rPr>
        <w:t>כבד</w:t>
      </w:r>
      <w:r w:rsidRPr="00BA68AC">
        <w:rPr>
          <w:rFonts w:eastAsia="Times New Roman" w:cs="Times New Roman"/>
          <w:rtl/>
          <w:lang w:eastAsia="de-DE"/>
        </w:rPr>
        <w:t xml:space="preserve"> </w:t>
      </w:r>
      <w:r w:rsidRPr="00BA68AC">
        <w:rPr>
          <w:rFonts w:eastAsia="Times New Roman" w:cs="Times New Roman"/>
          <w:lang w:eastAsia="de-DE"/>
        </w:rPr>
        <w:t>(ehren) im Nifal-Imperfekt 1. Person Singular.</w:t>
      </w:r>
    </w:p>
    <w:p w14:paraId="2B22544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וידם אהרן</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דמם</w:t>
      </w:r>
      <w:r w:rsidRPr="00BA68AC">
        <w:rPr>
          <w:rFonts w:eastAsia="Times New Roman" w:cs="Times New Roman"/>
          <w:rtl/>
          <w:lang w:eastAsia="de-DE"/>
        </w:rPr>
        <w:t xml:space="preserve"> </w:t>
      </w:r>
      <w:r w:rsidRPr="00BA68AC">
        <w:rPr>
          <w:rFonts w:eastAsia="Times New Roman" w:cs="Times New Roman"/>
          <w:lang w:eastAsia="de-DE"/>
        </w:rPr>
        <w:t xml:space="preserve">(schweigen/stumm sein) im Qal-Imperfekt 3. Person maskulin Singular mit Waw-Konsekutiv. </w:t>
      </w:r>
      <w:r w:rsidRPr="00BA68AC">
        <w:rPr>
          <w:rFonts w:eastAsia="Times New Roman" w:cs="Times New Roman"/>
          <w:b/>
          <w:bCs/>
          <w:rtl/>
          <w:lang w:eastAsia="de-DE"/>
        </w:rPr>
        <w:t>אהרן</w:t>
      </w:r>
      <w:r w:rsidRPr="00BA68AC">
        <w:rPr>
          <w:rFonts w:eastAsia="Times New Roman" w:cs="Times New Roman"/>
          <w:rtl/>
          <w:lang w:eastAsia="de-DE"/>
        </w:rPr>
        <w:t xml:space="preserve"> </w:t>
      </w:r>
      <w:r w:rsidRPr="00BA68AC">
        <w:rPr>
          <w:rFonts w:eastAsia="Times New Roman" w:cs="Times New Roman"/>
          <w:lang w:eastAsia="de-DE"/>
        </w:rPr>
        <w:t xml:space="preserve">als explizites Subjekt. </w:t>
      </w:r>
      <w:r w:rsidRPr="00BA68AC">
        <w:rPr>
          <w:rFonts w:eastAsia="Times New Roman" w:cs="Times New Roman"/>
          <w:b/>
          <w:bCs/>
          <w:rtl/>
          <w:lang w:eastAsia="de-DE"/>
        </w:rPr>
        <w:t>דמם</w:t>
      </w:r>
      <w:r w:rsidRPr="00BA68AC">
        <w:rPr>
          <w:rFonts w:eastAsia="Times New Roman" w:cs="Times New Roman"/>
          <w:rtl/>
          <w:lang w:eastAsia="de-DE"/>
        </w:rPr>
        <w:t xml:space="preserve"> </w:t>
      </w:r>
      <w:r w:rsidRPr="00BA68AC">
        <w:rPr>
          <w:rFonts w:eastAsia="Times New Roman" w:cs="Times New Roman"/>
          <w:lang w:eastAsia="de-DE"/>
        </w:rPr>
        <w:t>drückt betäubtes, sprachloses Schweigen aus.</w:t>
      </w:r>
    </w:p>
    <w:p w14:paraId="5F08003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בקרבי</w:t>
      </w:r>
      <w:r w:rsidRPr="00BA68AC">
        <w:rPr>
          <w:rFonts w:eastAsia="Times New Roman" w:cs="Times New Roman"/>
          <w:rtl/>
          <w:lang w:eastAsia="de-DE"/>
        </w:rPr>
        <w:t xml:space="preserve"> </w:t>
      </w:r>
      <w:r w:rsidRPr="00BA68AC">
        <w:rPr>
          <w:rFonts w:eastAsia="Times New Roman" w:cs="Times New Roman"/>
          <w:lang w:eastAsia="de-DE"/>
        </w:rPr>
        <w:t xml:space="preserve">bezeichnet die Priester als "Nahestehende" Gottes. </w:t>
      </w:r>
      <w:r w:rsidRPr="00BA68AC">
        <w:rPr>
          <w:rFonts w:eastAsia="Times New Roman" w:cs="Times New Roman"/>
          <w:b/>
          <w:bCs/>
          <w:rtl/>
          <w:lang w:eastAsia="de-DE"/>
        </w:rPr>
        <w:t>אקדש</w:t>
      </w:r>
      <w:r w:rsidRPr="00BA68AC">
        <w:rPr>
          <w:rFonts w:eastAsia="Times New Roman" w:cs="Times New Roman"/>
          <w:rtl/>
          <w:lang w:eastAsia="de-DE"/>
        </w:rPr>
        <w:t xml:space="preserve"> </w:t>
      </w:r>
      <w:r w:rsidRPr="00BA68AC">
        <w:rPr>
          <w:rFonts w:eastAsia="Times New Roman" w:cs="Times New Roman"/>
          <w:lang w:eastAsia="de-DE"/>
        </w:rPr>
        <w:t xml:space="preserve">im Nifal zeigt, dass Gott durch strenge Heiligkeitsstandards bei den Priestern "geheiligt wird". </w:t>
      </w:r>
      <w:r w:rsidRPr="00BA68AC">
        <w:rPr>
          <w:rFonts w:eastAsia="Times New Roman" w:cs="Times New Roman"/>
          <w:b/>
          <w:bCs/>
          <w:rtl/>
          <w:lang w:eastAsia="de-DE"/>
        </w:rPr>
        <w:t>אכבד</w:t>
      </w:r>
      <w:r w:rsidRPr="00BA68AC">
        <w:rPr>
          <w:rFonts w:eastAsia="Times New Roman" w:cs="Times New Roman"/>
          <w:rtl/>
          <w:lang w:eastAsia="de-DE"/>
        </w:rPr>
        <w:t xml:space="preserve"> </w:t>
      </w:r>
      <w:r w:rsidRPr="00BA68AC">
        <w:rPr>
          <w:rFonts w:eastAsia="Times New Roman" w:cs="Times New Roman"/>
          <w:lang w:eastAsia="de-DE"/>
        </w:rPr>
        <w:t>zeigt, dass göttliche Ehre auch durch Gericht demonstriert wird.</w:t>
      </w:r>
    </w:p>
    <w:p w14:paraId="50FCD7F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וידם אהרן</w:t>
      </w:r>
      <w:r w:rsidRPr="00BA68AC">
        <w:rPr>
          <w:rFonts w:eastAsia="Times New Roman" w:cs="Times New Roman"/>
          <w:rtl/>
          <w:lang w:eastAsia="de-DE"/>
        </w:rPr>
        <w:t xml:space="preserve"> </w:t>
      </w:r>
      <w:r w:rsidRPr="00BA68AC">
        <w:rPr>
          <w:rFonts w:eastAsia="Times New Roman" w:cs="Times New Roman"/>
          <w:lang w:eastAsia="de-DE"/>
        </w:rPr>
        <w:t xml:space="preserve">zeigt Aarons Reaktion: er erkennt die Gerechtigkeit des göttlichen Gerichts und verstummt. </w:t>
      </w:r>
      <w:r w:rsidRPr="00BA68AC">
        <w:rPr>
          <w:rFonts w:eastAsia="Times New Roman" w:cs="Times New Roman"/>
          <w:b/>
          <w:bCs/>
          <w:rtl/>
          <w:lang w:eastAsia="de-DE"/>
        </w:rPr>
        <w:t>דמם</w:t>
      </w:r>
      <w:r w:rsidRPr="00BA68AC">
        <w:rPr>
          <w:rFonts w:eastAsia="Times New Roman" w:cs="Times New Roman"/>
          <w:rtl/>
          <w:lang w:eastAsia="de-DE"/>
        </w:rPr>
        <w:t xml:space="preserve"> </w:t>
      </w:r>
      <w:r w:rsidRPr="00BA68AC">
        <w:rPr>
          <w:rFonts w:eastAsia="Times New Roman" w:cs="Times New Roman"/>
          <w:lang w:eastAsia="de-DE"/>
        </w:rPr>
        <w:t>ist mehr als Schweigen - es ist erschüttertes Verstummen vor göttlicher Gerechtigkeit.</w:t>
      </w:r>
    </w:p>
    <w:p w14:paraId="0EF69326" w14:textId="6790BF45"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interpretiert </w:t>
      </w:r>
      <w:r w:rsidR="00F6539E">
        <w:rPr>
          <w:rtl/>
        </w:rPr>
        <w:t>דד אהרן</w:t>
      </w:r>
      <w:r w:rsidR="00F6539E">
        <w:t xml:space="preserve"> (</w:t>
      </w:r>
      <w:proofErr w:type="spellStart"/>
      <w:r w:rsidR="00F6539E">
        <w:t>dod</w:t>
      </w:r>
      <w:proofErr w:type="spellEnd"/>
      <w:r w:rsidR="00F6539E">
        <w:t xml:space="preserve"> </w:t>
      </w:r>
      <w:proofErr w:type="spellStart"/>
      <w:r w:rsidR="00F6539E">
        <w:t>aharon</w:t>
      </w:r>
      <w:proofErr w:type="spellEnd"/>
      <w:r w:rsidR="00F6539E">
        <w:t xml:space="preserve"> - "Onkel Aarons") als </w:t>
      </w:r>
      <w:proofErr w:type="spellStart"/>
      <w:r w:rsidR="00F6539E">
        <w:t>υἱοὺς</w:t>
      </w:r>
      <w:proofErr w:type="spellEnd"/>
      <w:r w:rsidR="00F6539E">
        <w:t xml:space="preserve"> </w:t>
      </w:r>
      <w:proofErr w:type="spellStart"/>
      <w:r w:rsidR="00F6539E">
        <w:t>τοῦ</w:t>
      </w:r>
      <w:proofErr w:type="spellEnd"/>
      <w:r w:rsidR="00F6539E">
        <w:t xml:space="preserve"> </w:t>
      </w:r>
      <w:proofErr w:type="spellStart"/>
      <w:r w:rsidR="00F6539E">
        <w:t>ἀδελφοῦ</w:t>
      </w:r>
      <w:proofErr w:type="spellEnd"/>
      <w:r w:rsidR="00F6539E">
        <w:t xml:space="preserve"> </w:t>
      </w:r>
      <w:proofErr w:type="spellStart"/>
      <w:r w:rsidR="00F6539E">
        <w:t>τοῦ</w:t>
      </w:r>
      <w:proofErr w:type="spellEnd"/>
      <w:r w:rsidR="00F6539E">
        <w:t xml:space="preserve"> πα</w:t>
      </w:r>
      <w:proofErr w:type="spellStart"/>
      <w:r w:rsidR="00F6539E">
        <w:t>τρὸς</w:t>
      </w:r>
      <w:proofErr w:type="spellEnd"/>
      <w:r w:rsidR="00F6539E">
        <w:t xml:space="preserve"> Ἀα</w:t>
      </w:r>
      <w:proofErr w:type="spellStart"/>
      <w:r w:rsidR="00F6539E">
        <w:t>ρών</w:t>
      </w:r>
      <w:proofErr w:type="spellEnd"/>
      <w:r w:rsidR="00F6539E">
        <w:t xml:space="preserve"> (Söhne des Bruders von Aarons Vater), was eine genauere Verwandtschaftsbeziehung spezifiziert.</w:t>
      </w:r>
    </w:p>
    <w:p w14:paraId="2477DFE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Erklärung plus Reaktion: Verb + Adressat + demonstrative Einleitung + Relativsatz mit göttlichem Zitat in Parallelismus + Reaktionsverb. Die Struktur zeigt Moses theologische Erklärung und Aarons Akzeptanz.</w:t>
      </w:r>
    </w:p>
    <w:p w14:paraId="25D5D5F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bietet Moses theologische Deutung des Ereignisses: Gott heiligt sich durch strenge Standards bei den ihm Nahestehenden und zeigt seine Ehre vor dem ganzen Volk.</w:t>
      </w:r>
    </w:p>
    <w:p w14:paraId="177D78C3"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10,4</w:t>
      </w:r>
    </w:p>
    <w:p w14:paraId="438E8E2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וַיִּקְרָ֣א מֹשֶׁ֗ה אֶל־מִֽישָׁאֵל֙ וְאֶ֣ל אֶלְצָפָ֔ן בְּנֵ֥י עֻזִּיאֵ֖ל דֹּ֣ד אַהֲרֹ֑ן וַיֹּ֣אמֶר אֲלֵהֶ֗ם קִ֠רְב֞וּ שְׂא֤וּ אֶת־אֲחֵיכֶם֙ מֵאֵ֣ת פְּנֵי־הַקֹּ֔דֶשׁ אֶל־מִח֖וּץ לַֽמַּחֲנֶֽה׃</w:t>
      </w:r>
    </w:p>
    <w:p w14:paraId="4EEF782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Mosche rief Mischael und Elzafan, die Söhne Ussiels, des Onkels Aarons, und sagte zu ihnen: Kommt her, tragt eure Brüder vom Heiligtum weg nach außerhalb des Lagers.</w:t>
      </w:r>
    </w:p>
    <w:p w14:paraId="53E16D26"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997044B">
          <v:rect id="_x0000_i1260" style="width:0;height:1.5pt" o:hralign="center" o:hrstd="t" o:hr="t" fillcolor="#a0a0a0" stroked="f"/>
        </w:pict>
      </w:r>
    </w:p>
    <w:p w14:paraId="0A2523C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ויקרא משה אל־מישאל ואל אלצפן בני עזיאל דד אהרן</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קרא</w:t>
      </w:r>
      <w:r w:rsidRPr="00BA68AC">
        <w:rPr>
          <w:rFonts w:eastAsia="Times New Roman" w:cs="Times New Roman"/>
          <w:rtl/>
          <w:lang w:eastAsia="de-DE"/>
        </w:rPr>
        <w:t xml:space="preserve"> </w:t>
      </w:r>
      <w:r w:rsidRPr="00BA68AC">
        <w:rPr>
          <w:rFonts w:eastAsia="Times New Roman" w:cs="Times New Roman"/>
          <w:lang w:eastAsia="de-DE"/>
        </w:rPr>
        <w:t xml:space="preserve">(rufen) im Qal-Imperfekt mit Waw-Konsekutiv. </w:t>
      </w:r>
      <w:r w:rsidRPr="00BA68AC">
        <w:rPr>
          <w:rFonts w:eastAsia="Times New Roman" w:cs="Times New Roman"/>
          <w:b/>
          <w:bCs/>
          <w:rtl/>
          <w:lang w:eastAsia="de-DE"/>
        </w:rPr>
        <w:t>אל־מישאל ואל אלצפן</w:t>
      </w:r>
      <w:r w:rsidRPr="00BA68AC">
        <w:rPr>
          <w:rFonts w:eastAsia="Times New Roman" w:cs="Times New Roman"/>
          <w:rtl/>
          <w:lang w:eastAsia="de-DE"/>
        </w:rPr>
        <w:t xml:space="preserve"> </w:t>
      </w:r>
      <w:r w:rsidRPr="00BA68AC">
        <w:rPr>
          <w:rFonts w:eastAsia="Times New Roman" w:cs="Times New Roman"/>
          <w:lang w:eastAsia="de-DE"/>
        </w:rPr>
        <w:t xml:space="preserve">(zu Mischael und zu Elzafan) mit doppelter Präposition </w:t>
      </w:r>
      <w:r w:rsidRPr="00BA68AC">
        <w:rPr>
          <w:rFonts w:eastAsia="Times New Roman" w:cs="Times New Roman"/>
          <w:b/>
          <w:bCs/>
          <w:rtl/>
          <w:lang w:eastAsia="de-DE"/>
        </w:rPr>
        <w:t>אל</w:t>
      </w:r>
      <w:r w:rsidRPr="00BA68AC">
        <w:rPr>
          <w:rFonts w:eastAsia="Times New Roman" w:cs="Times New Roman"/>
          <w:lang w:eastAsia="de-DE"/>
        </w:rPr>
        <w:t xml:space="preserve">. </w:t>
      </w:r>
      <w:r w:rsidRPr="00BA68AC">
        <w:rPr>
          <w:rFonts w:eastAsia="Times New Roman" w:cs="Times New Roman"/>
          <w:b/>
          <w:bCs/>
          <w:rtl/>
          <w:lang w:eastAsia="de-DE"/>
        </w:rPr>
        <w:t>בני עזיאל</w:t>
      </w:r>
      <w:r w:rsidRPr="00BA68AC">
        <w:rPr>
          <w:rFonts w:eastAsia="Times New Roman" w:cs="Times New Roman"/>
          <w:rtl/>
          <w:lang w:eastAsia="de-DE"/>
        </w:rPr>
        <w:t xml:space="preserve"> </w:t>
      </w:r>
      <w:r w:rsidRPr="00BA68AC">
        <w:rPr>
          <w:rFonts w:eastAsia="Times New Roman" w:cs="Times New Roman"/>
          <w:lang w:eastAsia="de-DE"/>
        </w:rPr>
        <w:t xml:space="preserve">(Söhne Ussiels) als Genitivkonstruktion. </w:t>
      </w:r>
      <w:r w:rsidRPr="00BA68AC">
        <w:rPr>
          <w:rFonts w:eastAsia="Times New Roman" w:cs="Times New Roman"/>
          <w:b/>
          <w:bCs/>
          <w:rtl/>
          <w:lang w:eastAsia="de-DE"/>
        </w:rPr>
        <w:t>דד אהרן</w:t>
      </w:r>
      <w:r w:rsidRPr="00BA68AC">
        <w:rPr>
          <w:rFonts w:eastAsia="Times New Roman" w:cs="Times New Roman"/>
          <w:rtl/>
          <w:lang w:eastAsia="de-DE"/>
        </w:rPr>
        <w:t xml:space="preserve"> </w:t>
      </w:r>
      <w:r w:rsidRPr="00BA68AC">
        <w:rPr>
          <w:rFonts w:eastAsia="Times New Roman" w:cs="Times New Roman"/>
          <w:lang w:eastAsia="de-DE"/>
        </w:rPr>
        <w:t xml:space="preserve">(Onkel Aarons) - </w:t>
      </w:r>
      <w:r w:rsidRPr="00BA68AC">
        <w:rPr>
          <w:rFonts w:eastAsia="Times New Roman" w:cs="Times New Roman"/>
          <w:b/>
          <w:bCs/>
          <w:rtl/>
          <w:lang w:eastAsia="de-DE"/>
        </w:rPr>
        <w:t>דד</w:t>
      </w:r>
      <w:r w:rsidRPr="00BA68AC">
        <w:rPr>
          <w:rFonts w:eastAsia="Times New Roman" w:cs="Times New Roman"/>
          <w:rtl/>
          <w:lang w:eastAsia="de-DE"/>
        </w:rPr>
        <w:t xml:space="preserve"> </w:t>
      </w:r>
      <w:r w:rsidRPr="00BA68AC">
        <w:rPr>
          <w:rFonts w:eastAsia="Times New Roman" w:cs="Times New Roman"/>
          <w:lang w:eastAsia="de-DE"/>
        </w:rPr>
        <w:t>(Onkel/Vetter) zeigt die Verwandtschaft zu Aaron. Ussiel ist Aarons Onkel (vgl. Exodus 6,18.22).</w:t>
      </w:r>
    </w:p>
    <w:p w14:paraId="4DD9212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ויאמר אלהם קרבו שאו את־אחיכם מאת פני־הקדש אל־מחוץ למחנה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אמר</w:t>
      </w:r>
      <w:r w:rsidRPr="00BA68AC">
        <w:rPr>
          <w:rFonts w:eastAsia="Times New Roman" w:cs="Times New Roman"/>
          <w:rtl/>
          <w:lang w:eastAsia="de-DE"/>
        </w:rPr>
        <w:t xml:space="preserve"> </w:t>
      </w:r>
      <w:r w:rsidRPr="00BA68AC">
        <w:rPr>
          <w:rFonts w:eastAsia="Times New Roman" w:cs="Times New Roman"/>
          <w:lang w:eastAsia="de-DE"/>
        </w:rPr>
        <w:t xml:space="preserve">(sprechen) mit zwei Imperativen. </w:t>
      </w:r>
      <w:r w:rsidRPr="00BA68AC">
        <w:rPr>
          <w:rFonts w:eastAsia="Times New Roman" w:cs="Times New Roman"/>
          <w:b/>
          <w:bCs/>
          <w:rtl/>
          <w:lang w:eastAsia="de-DE"/>
        </w:rPr>
        <w:t>קרבו</w:t>
      </w:r>
      <w:r w:rsidRPr="00BA68AC">
        <w:rPr>
          <w:rFonts w:eastAsia="Times New Roman" w:cs="Times New Roman"/>
          <w:rtl/>
          <w:lang w:eastAsia="de-DE"/>
        </w:rPr>
        <w:t xml:space="preserve"> </w:t>
      </w:r>
      <w:r w:rsidRPr="00BA68AC">
        <w:rPr>
          <w:rFonts w:eastAsia="Times New Roman" w:cs="Times New Roman"/>
          <w:lang w:eastAsia="de-DE"/>
        </w:rPr>
        <w:t xml:space="preserve">(kommt heran) im Qal-Imperativ maskulin Plural von </w:t>
      </w:r>
      <w:r w:rsidRPr="00BA68AC">
        <w:rPr>
          <w:rFonts w:eastAsia="Times New Roman" w:cs="Times New Roman"/>
          <w:b/>
          <w:bCs/>
          <w:rtl/>
          <w:lang w:eastAsia="de-DE"/>
        </w:rPr>
        <w:t>קרב</w:t>
      </w:r>
      <w:r w:rsidRPr="00BA68AC">
        <w:rPr>
          <w:rFonts w:eastAsia="Times New Roman" w:cs="Times New Roman"/>
          <w:lang w:eastAsia="de-DE"/>
        </w:rPr>
        <w:t xml:space="preserve">. </w:t>
      </w:r>
      <w:r w:rsidRPr="00BA68AC">
        <w:rPr>
          <w:rFonts w:eastAsia="Times New Roman" w:cs="Times New Roman"/>
          <w:b/>
          <w:bCs/>
          <w:rtl/>
          <w:lang w:eastAsia="de-DE"/>
        </w:rPr>
        <w:t>שאו את־אחיכם</w:t>
      </w:r>
      <w:r w:rsidRPr="00BA68AC">
        <w:rPr>
          <w:rFonts w:eastAsia="Times New Roman" w:cs="Times New Roman"/>
          <w:rtl/>
          <w:lang w:eastAsia="de-DE"/>
        </w:rPr>
        <w:t xml:space="preserve"> </w:t>
      </w:r>
      <w:r w:rsidRPr="00BA68AC">
        <w:rPr>
          <w:rFonts w:eastAsia="Times New Roman" w:cs="Times New Roman"/>
          <w:lang w:eastAsia="de-DE"/>
        </w:rPr>
        <w:t xml:space="preserve">(tragt eure Brüder) - </w:t>
      </w:r>
      <w:r w:rsidRPr="00BA68AC">
        <w:rPr>
          <w:rFonts w:eastAsia="Times New Roman" w:cs="Times New Roman"/>
          <w:b/>
          <w:bCs/>
          <w:rtl/>
          <w:lang w:eastAsia="de-DE"/>
        </w:rPr>
        <w:t>נשא</w:t>
      </w:r>
      <w:r w:rsidRPr="00BA68AC">
        <w:rPr>
          <w:rFonts w:eastAsia="Times New Roman" w:cs="Times New Roman"/>
          <w:rtl/>
          <w:lang w:eastAsia="de-DE"/>
        </w:rPr>
        <w:t xml:space="preserve"> </w:t>
      </w:r>
      <w:r w:rsidRPr="00BA68AC">
        <w:rPr>
          <w:rFonts w:eastAsia="Times New Roman" w:cs="Times New Roman"/>
          <w:lang w:eastAsia="de-DE"/>
        </w:rPr>
        <w:t xml:space="preserve">(tragen) im Qal-Imperativ maskulin Plural mit </w:t>
      </w:r>
      <w:r w:rsidRPr="00BA68AC">
        <w:rPr>
          <w:rFonts w:eastAsia="Times New Roman" w:cs="Times New Roman"/>
          <w:b/>
          <w:bCs/>
          <w:rtl/>
          <w:lang w:eastAsia="de-DE"/>
        </w:rPr>
        <w:t>את־אחיכם</w:t>
      </w:r>
      <w:r w:rsidRPr="00BA68AC">
        <w:rPr>
          <w:rFonts w:eastAsia="Times New Roman" w:cs="Times New Roman"/>
          <w:rtl/>
          <w:lang w:eastAsia="de-DE"/>
        </w:rPr>
        <w:t xml:space="preserve"> </w:t>
      </w:r>
      <w:r w:rsidRPr="00BA68AC">
        <w:rPr>
          <w:rFonts w:eastAsia="Times New Roman" w:cs="Times New Roman"/>
          <w:lang w:eastAsia="de-DE"/>
        </w:rPr>
        <w:t>(eure Brüder) referenziert Nadab und Abihu.</w:t>
      </w:r>
    </w:p>
    <w:p w14:paraId="1DDA2CB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מאת פני־הקדש אל־מחוץ למחנה</w:t>
      </w:r>
      <w:r w:rsidRPr="00BA68AC">
        <w:rPr>
          <w:rFonts w:eastAsia="Times New Roman" w:cs="Times New Roman"/>
          <w:rtl/>
          <w:lang w:eastAsia="de-DE"/>
        </w:rPr>
        <w:t xml:space="preserve"> </w:t>
      </w:r>
      <w:r w:rsidRPr="00BA68AC">
        <w:rPr>
          <w:rFonts w:eastAsia="Times New Roman" w:cs="Times New Roman"/>
          <w:lang w:eastAsia="de-DE"/>
        </w:rPr>
        <w:t xml:space="preserve">zeigt Ausgangs- und Zielort. </w:t>
      </w:r>
      <w:r w:rsidRPr="00BA68AC">
        <w:rPr>
          <w:rFonts w:eastAsia="Times New Roman" w:cs="Times New Roman"/>
          <w:b/>
          <w:bCs/>
          <w:rtl/>
          <w:lang w:eastAsia="de-DE"/>
        </w:rPr>
        <w:t>מאת פני־הקדש</w:t>
      </w:r>
      <w:r w:rsidRPr="00BA68AC">
        <w:rPr>
          <w:rFonts w:eastAsia="Times New Roman" w:cs="Times New Roman"/>
          <w:rtl/>
          <w:lang w:eastAsia="de-DE"/>
        </w:rPr>
        <w:t xml:space="preserve"> </w:t>
      </w:r>
      <w:r w:rsidRPr="00BA68AC">
        <w:rPr>
          <w:rFonts w:eastAsia="Times New Roman" w:cs="Times New Roman"/>
          <w:lang w:eastAsia="de-DE"/>
        </w:rPr>
        <w:t xml:space="preserve">(von vor dem Heiligtum) - </w:t>
      </w:r>
      <w:r w:rsidRPr="00BA68AC">
        <w:rPr>
          <w:rFonts w:eastAsia="Times New Roman" w:cs="Times New Roman"/>
          <w:b/>
          <w:bCs/>
          <w:rtl/>
          <w:lang w:eastAsia="de-DE"/>
        </w:rPr>
        <w:t>מאת</w:t>
      </w:r>
      <w:r w:rsidRPr="00BA68AC">
        <w:rPr>
          <w:rFonts w:eastAsia="Times New Roman" w:cs="Times New Roman"/>
          <w:rtl/>
          <w:lang w:eastAsia="de-DE"/>
        </w:rPr>
        <w:t xml:space="preserve"> </w:t>
      </w:r>
      <w:r w:rsidRPr="00BA68AC">
        <w:rPr>
          <w:rFonts w:eastAsia="Times New Roman" w:cs="Times New Roman"/>
          <w:lang w:eastAsia="de-DE"/>
        </w:rPr>
        <w:t xml:space="preserve">(von...weg) mit </w:t>
      </w:r>
      <w:r w:rsidRPr="00BA68AC">
        <w:rPr>
          <w:rFonts w:eastAsia="Times New Roman" w:cs="Times New Roman"/>
          <w:b/>
          <w:bCs/>
          <w:rtl/>
          <w:lang w:eastAsia="de-DE"/>
        </w:rPr>
        <w:t>פני־הקדש</w:t>
      </w:r>
      <w:r w:rsidRPr="00BA68AC">
        <w:rPr>
          <w:rFonts w:eastAsia="Times New Roman" w:cs="Times New Roman"/>
          <w:rtl/>
          <w:lang w:eastAsia="de-DE"/>
        </w:rPr>
        <w:t xml:space="preserve"> </w:t>
      </w:r>
      <w:r w:rsidRPr="00BA68AC">
        <w:rPr>
          <w:rFonts w:eastAsia="Times New Roman" w:cs="Times New Roman"/>
          <w:lang w:eastAsia="de-DE"/>
        </w:rPr>
        <w:t xml:space="preserve">(Angesicht des Heiligtums). </w:t>
      </w:r>
      <w:r w:rsidRPr="00BA68AC">
        <w:rPr>
          <w:rFonts w:eastAsia="Times New Roman" w:cs="Times New Roman"/>
          <w:b/>
          <w:bCs/>
          <w:rtl/>
          <w:lang w:eastAsia="de-DE"/>
        </w:rPr>
        <w:t>אל־מחוץ למחנה</w:t>
      </w:r>
      <w:r w:rsidRPr="00BA68AC">
        <w:rPr>
          <w:rFonts w:eastAsia="Times New Roman" w:cs="Times New Roman"/>
          <w:rtl/>
          <w:lang w:eastAsia="de-DE"/>
        </w:rPr>
        <w:t xml:space="preserve"> </w:t>
      </w:r>
      <w:r w:rsidRPr="00BA68AC">
        <w:rPr>
          <w:rFonts w:eastAsia="Times New Roman" w:cs="Times New Roman"/>
          <w:lang w:eastAsia="de-DE"/>
        </w:rPr>
        <w:t>(nach außerhalb des Lagers) entspricht der Behandlung unreiner Körper.</w:t>
      </w:r>
    </w:p>
    <w:p w14:paraId="55F3186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מישאל ואלצפן</w:t>
      </w:r>
      <w:r w:rsidRPr="00BA68AC">
        <w:rPr>
          <w:rFonts w:eastAsia="Times New Roman" w:cs="Times New Roman"/>
          <w:rtl/>
          <w:lang w:eastAsia="de-DE"/>
        </w:rPr>
        <w:t xml:space="preserve"> </w:t>
      </w:r>
      <w:r w:rsidRPr="00BA68AC">
        <w:rPr>
          <w:rFonts w:eastAsia="Times New Roman" w:cs="Times New Roman"/>
          <w:lang w:eastAsia="de-DE"/>
        </w:rPr>
        <w:t xml:space="preserve">werden als Verwandte, aber nicht als Priester gerufen - sie können die Leichen berühren ohne kultische Verunreinigung. </w:t>
      </w:r>
      <w:r w:rsidRPr="00BA68AC">
        <w:rPr>
          <w:rFonts w:eastAsia="Times New Roman" w:cs="Times New Roman"/>
          <w:b/>
          <w:bCs/>
          <w:rtl/>
          <w:lang w:eastAsia="de-DE"/>
        </w:rPr>
        <w:t>אחיכם</w:t>
      </w:r>
      <w:r w:rsidRPr="00BA68AC">
        <w:rPr>
          <w:rFonts w:eastAsia="Times New Roman" w:cs="Times New Roman"/>
          <w:rtl/>
          <w:lang w:eastAsia="de-DE"/>
        </w:rPr>
        <w:t xml:space="preserve"> </w:t>
      </w:r>
      <w:r w:rsidRPr="00BA68AC">
        <w:rPr>
          <w:rFonts w:eastAsia="Times New Roman" w:cs="Times New Roman"/>
          <w:lang w:eastAsia="de-DE"/>
        </w:rPr>
        <w:t>(eure Brüder) zeigt die Familienbande trotz der Verfehlung.</w:t>
      </w:r>
    </w:p>
    <w:p w14:paraId="69FB83F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פני־הקדש</w:t>
      </w:r>
      <w:r w:rsidRPr="00BA68AC">
        <w:rPr>
          <w:rFonts w:eastAsia="Times New Roman" w:cs="Times New Roman"/>
          <w:rtl/>
          <w:lang w:eastAsia="de-DE"/>
        </w:rPr>
        <w:t xml:space="preserve"> </w:t>
      </w:r>
      <w:r w:rsidRPr="00BA68AC">
        <w:rPr>
          <w:rFonts w:eastAsia="Times New Roman" w:cs="Times New Roman"/>
          <w:lang w:eastAsia="de-DE"/>
        </w:rPr>
        <w:t xml:space="preserve">bezeichnet den heiligen Bereich um das Heiligtum. </w:t>
      </w:r>
      <w:r w:rsidRPr="00BA68AC">
        <w:rPr>
          <w:rFonts w:eastAsia="Times New Roman" w:cs="Times New Roman"/>
          <w:b/>
          <w:bCs/>
          <w:rtl/>
          <w:lang w:eastAsia="de-DE"/>
        </w:rPr>
        <w:t>מחוץ למחנה</w:t>
      </w:r>
      <w:r w:rsidRPr="00BA68AC">
        <w:rPr>
          <w:rFonts w:eastAsia="Times New Roman" w:cs="Times New Roman"/>
          <w:rtl/>
          <w:lang w:eastAsia="de-DE"/>
        </w:rPr>
        <w:t xml:space="preserve"> </w:t>
      </w:r>
      <w:r w:rsidRPr="00BA68AC">
        <w:rPr>
          <w:rFonts w:eastAsia="Times New Roman" w:cs="Times New Roman"/>
          <w:lang w:eastAsia="de-DE"/>
        </w:rPr>
        <w:t>ist der Ort für unreine Gegenstände und tote Körper, die das Lager nicht verunreinigen dürfen.</w:t>
      </w:r>
    </w:p>
    <w:p w14:paraId="7102EAE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דד אהרן</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ἀδελφοῦ</w:t>
      </w:r>
      <w:proofErr w:type="spellEnd"/>
      <w:r w:rsidRPr="00BA68AC">
        <w:rPr>
          <w:rFonts w:eastAsia="Times New Roman" w:cs="Times New Roman"/>
          <w:lang w:eastAsia="de-DE"/>
        </w:rPr>
        <w:t xml:space="preserve"> πα</w:t>
      </w:r>
      <w:proofErr w:type="spellStart"/>
      <w:r w:rsidRPr="00BA68AC">
        <w:rPr>
          <w:rFonts w:eastAsia="Times New Roman" w:cs="Times New Roman"/>
          <w:lang w:eastAsia="de-DE"/>
        </w:rPr>
        <w:t>τρὸς</w:t>
      </w:r>
      <w:proofErr w:type="spellEnd"/>
      <w:r w:rsidRPr="00BA68AC">
        <w:rPr>
          <w:rFonts w:eastAsia="Times New Roman" w:cs="Times New Roman"/>
          <w:lang w:eastAsia="de-DE"/>
        </w:rPr>
        <w:t xml:space="preserve"> Αα</w:t>
      </w:r>
      <w:proofErr w:type="spellStart"/>
      <w:r w:rsidRPr="00BA68AC">
        <w:rPr>
          <w:rFonts w:eastAsia="Times New Roman" w:cs="Times New Roman"/>
          <w:lang w:eastAsia="de-DE"/>
        </w:rPr>
        <w:t>ρων</w:t>
      </w:r>
      <w:proofErr w:type="spellEnd"/>
      <w:r w:rsidRPr="00BA68AC">
        <w:rPr>
          <w:rFonts w:eastAsia="Times New Roman" w:cs="Times New Roman"/>
          <w:lang w:eastAsia="de-DE"/>
        </w:rPr>
        <w:t xml:space="preserve"> (Bruder des Vaters Aarons), </w:t>
      </w:r>
      <w:r w:rsidRPr="00BA68AC">
        <w:rPr>
          <w:rFonts w:eastAsia="Times New Roman" w:cs="Times New Roman"/>
          <w:b/>
          <w:bCs/>
          <w:rtl/>
          <w:lang w:eastAsia="de-DE"/>
        </w:rPr>
        <w:t>שאו</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ἄρ</w:t>
      </w:r>
      <w:proofErr w:type="spellEnd"/>
      <w:r w:rsidRPr="00BA68AC">
        <w:rPr>
          <w:rFonts w:eastAsia="Times New Roman" w:cs="Times New Roman"/>
          <w:lang w:eastAsia="de-DE"/>
        </w:rPr>
        <w:t xml:space="preserve">ατε (hebt auf) und </w:t>
      </w:r>
      <w:r w:rsidRPr="00BA68AC">
        <w:rPr>
          <w:rFonts w:eastAsia="Times New Roman" w:cs="Times New Roman"/>
          <w:b/>
          <w:bCs/>
          <w:rtl/>
          <w:lang w:eastAsia="de-DE"/>
        </w:rPr>
        <w:t>מחוץ למחנה</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ἔξω</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τῆς</w:t>
      </w:r>
      <w:proofErr w:type="spellEnd"/>
      <w:r w:rsidRPr="00BA68AC">
        <w:rPr>
          <w:rFonts w:eastAsia="Times New Roman" w:cs="Times New Roman"/>
          <w:lang w:eastAsia="de-DE"/>
        </w:rPr>
        <w:t xml:space="preserve"> πα</w:t>
      </w:r>
      <w:proofErr w:type="spellStart"/>
      <w:r w:rsidRPr="00BA68AC">
        <w:rPr>
          <w:rFonts w:eastAsia="Times New Roman" w:cs="Times New Roman"/>
          <w:lang w:eastAsia="de-DE"/>
        </w:rPr>
        <w:t>ρεμ</w:t>
      </w:r>
      <w:proofErr w:type="spellEnd"/>
      <w:r w:rsidRPr="00BA68AC">
        <w:rPr>
          <w:rFonts w:eastAsia="Times New Roman" w:cs="Times New Roman"/>
          <w:lang w:eastAsia="de-DE"/>
        </w:rPr>
        <w:t>βολῆς (außerhalb des Lagers).</w:t>
      </w:r>
    </w:p>
    <w:p w14:paraId="17F9AA8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Die Satzstruktur:</w:t>
      </w:r>
      <w:r w:rsidRPr="00BA68AC">
        <w:rPr>
          <w:rFonts w:eastAsia="Times New Roman" w:cs="Times New Roman"/>
          <w:lang w:eastAsia="de-DE"/>
        </w:rPr>
        <w:t xml:space="preserve"> zeigt Berufung plus Anweisung: Verb + Adressat mit Familienangabe + Verb + zwei Imperative mit Objekt + Richtungsangaben. Die Struktur zeigt die praktische Bewältigung der Krise.</w:t>
      </w:r>
    </w:p>
    <w:p w14:paraId="600EFEF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Moses praktische Maßnahmen zur Beseitigung der Leichen durch nicht-priesterliche Verwandte, um weitere kultische Verunreinigung zu vermeiden.</w:t>
      </w:r>
    </w:p>
    <w:p w14:paraId="4EF845AB"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10,5</w:t>
      </w:r>
    </w:p>
    <w:p w14:paraId="2595968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וַֽיִּקְרְב֗וּ וַיִּשָּׂאֻם֙ בְּכֻתֳּנֹתָ֔ם אֶל־מִח֖וּץ לַֽמַּחֲנֶ֑ה כַּאֲשֶׁ֖ר דִּבֶּ֥ר מֹשֶֽׁה׃</w:t>
      </w:r>
    </w:p>
    <w:p w14:paraId="76BB7D1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Sie kamen heran und trugen sie in ihren Leibröcken nach außerhalb des Lagers, wie Mosche gesagt hatte.</w:t>
      </w:r>
    </w:p>
    <w:p w14:paraId="11BBF930"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42F2E25E">
          <v:rect id="_x0000_i1261" style="width:0;height:1.5pt" o:hralign="center" o:hrstd="t" o:hr="t" fillcolor="#a0a0a0" stroked="f"/>
        </w:pict>
      </w:r>
    </w:p>
    <w:p w14:paraId="735361B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ויקרבו וישאום בכתנתם אל־מחוץ למחנה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קרב</w:t>
      </w:r>
      <w:r w:rsidRPr="00BA68AC">
        <w:rPr>
          <w:rFonts w:eastAsia="Times New Roman" w:cs="Times New Roman"/>
          <w:rtl/>
          <w:lang w:eastAsia="de-DE"/>
        </w:rPr>
        <w:t xml:space="preserve"> </w:t>
      </w:r>
      <w:r w:rsidRPr="00BA68AC">
        <w:rPr>
          <w:rFonts w:eastAsia="Times New Roman" w:cs="Times New Roman"/>
          <w:lang w:eastAsia="de-DE"/>
        </w:rPr>
        <w:t xml:space="preserve">(nahen) im Qal-Imperfekt 3. Person maskulin Plural mit Waw-Konsekutiv, gefolgt von </w:t>
      </w:r>
      <w:r w:rsidRPr="00BA68AC">
        <w:rPr>
          <w:rFonts w:eastAsia="Times New Roman" w:cs="Times New Roman"/>
          <w:b/>
          <w:bCs/>
          <w:rtl/>
          <w:lang w:eastAsia="de-DE"/>
        </w:rPr>
        <w:t>נשא</w:t>
      </w:r>
      <w:r w:rsidRPr="00BA68AC">
        <w:rPr>
          <w:rFonts w:eastAsia="Times New Roman" w:cs="Times New Roman"/>
          <w:rtl/>
          <w:lang w:eastAsia="de-DE"/>
        </w:rPr>
        <w:t xml:space="preserve"> </w:t>
      </w:r>
      <w:r w:rsidRPr="00BA68AC">
        <w:rPr>
          <w:rFonts w:eastAsia="Times New Roman" w:cs="Times New Roman"/>
          <w:lang w:eastAsia="de-DE"/>
        </w:rPr>
        <w:t xml:space="preserve">(tragen) im Qal-Imperfekt 3. Person maskulin Plural mit Waw-Konsekutiv. </w:t>
      </w:r>
      <w:r w:rsidRPr="00BA68AC">
        <w:rPr>
          <w:rFonts w:eastAsia="Times New Roman" w:cs="Times New Roman"/>
          <w:b/>
          <w:bCs/>
          <w:rtl/>
          <w:lang w:eastAsia="de-DE"/>
        </w:rPr>
        <w:t>וישאום</w:t>
      </w:r>
      <w:r w:rsidRPr="00BA68AC">
        <w:rPr>
          <w:rFonts w:eastAsia="Times New Roman" w:cs="Times New Roman"/>
          <w:rtl/>
          <w:lang w:eastAsia="de-DE"/>
        </w:rPr>
        <w:t xml:space="preserve"> </w:t>
      </w:r>
      <w:r w:rsidRPr="00BA68AC">
        <w:rPr>
          <w:rFonts w:eastAsia="Times New Roman" w:cs="Times New Roman"/>
          <w:lang w:eastAsia="de-DE"/>
        </w:rPr>
        <w:t xml:space="preserve">mit Objektsuffix 3. Person maskulin Plural referenziert Nadab und Abihu. </w:t>
      </w:r>
      <w:r w:rsidRPr="00BA68AC">
        <w:rPr>
          <w:rFonts w:eastAsia="Times New Roman" w:cs="Times New Roman"/>
          <w:b/>
          <w:bCs/>
          <w:rtl/>
          <w:lang w:eastAsia="de-DE"/>
        </w:rPr>
        <w:t>בכתנתם</w:t>
      </w:r>
      <w:r w:rsidRPr="00BA68AC">
        <w:rPr>
          <w:rFonts w:eastAsia="Times New Roman" w:cs="Times New Roman"/>
          <w:rtl/>
          <w:lang w:eastAsia="de-DE"/>
        </w:rPr>
        <w:t xml:space="preserve"> </w:t>
      </w:r>
      <w:r w:rsidRPr="00BA68AC">
        <w:rPr>
          <w:rFonts w:eastAsia="Times New Roman" w:cs="Times New Roman"/>
          <w:lang w:eastAsia="de-DE"/>
        </w:rPr>
        <w:t xml:space="preserve">(in ihren Leibröcken) - </w:t>
      </w:r>
      <w:r w:rsidRPr="00BA68AC">
        <w:rPr>
          <w:rFonts w:eastAsia="Times New Roman" w:cs="Times New Roman"/>
          <w:b/>
          <w:bCs/>
          <w:rtl/>
          <w:lang w:eastAsia="de-DE"/>
        </w:rPr>
        <w:t>כתנת</w:t>
      </w:r>
      <w:r w:rsidRPr="00BA68AC">
        <w:rPr>
          <w:rFonts w:eastAsia="Times New Roman" w:cs="Times New Roman"/>
          <w:rtl/>
          <w:lang w:eastAsia="de-DE"/>
        </w:rPr>
        <w:t xml:space="preserve"> </w:t>
      </w:r>
      <w:r w:rsidRPr="00BA68AC">
        <w:rPr>
          <w:rFonts w:eastAsia="Times New Roman" w:cs="Times New Roman"/>
          <w:lang w:eastAsia="de-DE"/>
        </w:rPr>
        <w:t>(Leibrock) im Plural mit Possessivsuffix 3. Person maskulin Plural.</w:t>
      </w:r>
    </w:p>
    <w:p w14:paraId="60D82A3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כאשר דבר משה</w:t>
      </w:r>
      <w:r w:rsidRPr="00BA68AC">
        <w:rPr>
          <w:rFonts w:eastAsia="Times New Roman" w:cs="Times New Roman"/>
          <w:rtl/>
          <w:lang w:eastAsia="de-DE"/>
        </w:rPr>
        <w:t xml:space="preserve"> </w:t>
      </w:r>
      <w:r w:rsidRPr="00BA68AC">
        <w:rPr>
          <w:rFonts w:eastAsia="Times New Roman" w:cs="Times New Roman"/>
          <w:lang w:eastAsia="de-DE"/>
        </w:rPr>
        <w:t xml:space="preserve">ist die Bestätigungsformel, die zeigt, dass die Anweisung aus V. 4 gehorsam befolgt wurde. </w:t>
      </w:r>
      <w:r w:rsidRPr="00BA68AC">
        <w:rPr>
          <w:rFonts w:eastAsia="Times New Roman" w:cs="Times New Roman"/>
          <w:b/>
          <w:bCs/>
          <w:rtl/>
          <w:lang w:eastAsia="de-DE"/>
        </w:rPr>
        <w:t>דבר</w:t>
      </w:r>
      <w:r w:rsidRPr="00BA68AC">
        <w:rPr>
          <w:rFonts w:eastAsia="Times New Roman" w:cs="Times New Roman"/>
          <w:rtl/>
          <w:lang w:eastAsia="de-DE"/>
        </w:rPr>
        <w:t xml:space="preserve"> </w:t>
      </w:r>
      <w:r w:rsidRPr="00BA68AC">
        <w:rPr>
          <w:rFonts w:eastAsia="Times New Roman" w:cs="Times New Roman"/>
          <w:lang w:eastAsia="de-DE"/>
        </w:rPr>
        <w:t>(sprechen) im Piel-Perfekt referenziert Moses vorherige Anweisung.</w:t>
      </w:r>
    </w:p>
    <w:p w14:paraId="5FD8EC6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בכתנתם</w:t>
      </w:r>
      <w:r w:rsidRPr="00BA68AC">
        <w:rPr>
          <w:rFonts w:eastAsia="Times New Roman" w:cs="Times New Roman"/>
          <w:rtl/>
          <w:lang w:eastAsia="de-DE"/>
        </w:rPr>
        <w:t xml:space="preserve"> </w:t>
      </w:r>
      <w:r w:rsidRPr="00BA68AC">
        <w:rPr>
          <w:rFonts w:eastAsia="Times New Roman" w:cs="Times New Roman"/>
          <w:lang w:eastAsia="de-DE"/>
        </w:rPr>
        <w:t>zeigt ein bemerkenswertes Detail: die toten Priester werden in ihren Priestergewändern getragen, was darauf hindeutet, dass das göttliche Feuer nur ihre Körper, nicht aber ihre Kleidung verzehrt hat. Dies betont die Präzision des göttlichen Gerichts.</w:t>
      </w:r>
    </w:p>
    <w:p w14:paraId="1FF1220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ויקרבו...וישאום</w:t>
      </w:r>
      <w:r w:rsidRPr="00BA68AC">
        <w:rPr>
          <w:rFonts w:eastAsia="Times New Roman" w:cs="Times New Roman"/>
          <w:rtl/>
          <w:lang w:eastAsia="de-DE"/>
        </w:rPr>
        <w:t xml:space="preserve"> </w:t>
      </w:r>
      <w:r w:rsidRPr="00BA68AC">
        <w:rPr>
          <w:rFonts w:eastAsia="Times New Roman" w:cs="Times New Roman"/>
          <w:lang w:eastAsia="de-DE"/>
        </w:rPr>
        <w:t xml:space="preserve">zeigt die gehorsame Ausführung der schwierigen Aufgabe. </w:t>
      </w:r>
      <w:r w:rsidRPr="00BA68AC">
        <w:rPr>
          <w:rFonts w:eastAsia="Times New Roman" w:cs="Times New Roman"/>
          <w:b/>
          <w:bCs/>
          <w:rtl/>
          <w:lang w:eastAsia="de-DE"/>
        </w:rPr>
        <w:t>אל־מחוץ למחנה</w:t>
      </w:r>
      <w:r w:rsidRPr="00BA68AC">
        <w:rPr>
          <w:rFonts w:eastAsia="Times New Roman" w:cs="Times New Roman"/>
          <w:rtl/>
          <w:lang w:eastAsia="de-DE"/>
        </w:rPr>
        <w:t xml:space="preserve"> </w:t>
      </w:r>
      <w:r w:rsidRPr="00BA68AC">
        <w:rPr>
          <w:rFonts w:eastAsia="Times New Roman" w:cs="Times New Roman"/>
          <w:lang w:eastAsia="de-DE"/>
        </w:rPr>
        <w:t>entspricht der Anweisung und folgt den Reinheitsbestimmungen für Leichen.</w:t>
      </w:r>
    </w:p>
    <w:p w14:paraId="00B22EE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Tatsache, dass die </w:t>
      </w:r>
      <w:r w:rsidRPr="00BA68AC">
        <w:rPr>
          <w:rFonts w:eastAsia="Times New Roman" w:cs="Times New Roman"/>
          <w:b/>
          <w:bCs/>
          <w:rtl/>
          <w:lang w:eastAsia="de-DE"/>
        </w:rPr>
        <w:t>כתנת</w:t>
      </w:r>
      <w:r w:rsidRPr="00BA68AC">
        <w:rPr>
          <w:rFonts w:eastAsia="Times New Roman" w:cs="Times New Roman"/>
          <w:rtl/>
          <w:lang w:eastAsia="de-DE"/>
        </w:rPr>
        <w:t xml:space="preserve"> </w:t>
      </w:r>
      <w:r w:rsidRPr="00BA68AC">
        <w:rPr>
          <w:rFonts w:eastAsia="Times New Roman" w:cs="Times New Roman"/>
          <w:lang w:eastAsia="de-DE"/>
        </w:rPr>
        <w:t xml:space="preserve">(Priestergewänder) unversehrt blieben, während die Körper verzehrt wurden, zeigt die selektive Natur des göttlichen Gerichts. </w:t>
      </w:r>
      <w:r w:rsidRPr="00BA68AC">
        <w:rPr>
          <w:rFonts w:eastAsia="Times New Roman" w:cs="Times New Roman"/>
          <w:b/>
          <w:bCs/>
          <w:rtl/>
          <w:lang w:eastAsia="de-DE"/>
        </w:rPr>
        <w:t>כאשר דבר משה</w:t>
      </w:r>
      <w:r w:rsidRPr="00BA68AC">
        <w:rPr>
          <w:rFonts w:eastAsia="Times New Roman" w:cs="Times New Roman"/>
          <w:rtl/>
          <w:lang w:eastAsia="de-DE"/>
        </w:rPr>
        <w:t xml:space="preserve"> </w:t>
      </w:r>
      <w:r w:rsidRPr="00BA68AC">
        <w:rPr>
          <w:rFonts w:eastAsia="Times New Roman" w:cs="Times New Roman"/>
          <w:lang w:eastAsia="de-DE"/>
        </w:rPr>
        <w:t>betont den Gehorsam gegenüber mosaischer Autorität.</w:t>
      </w:r>
    </w:p>
    <w:p w14:paraId="4EBDD95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ויקרבו</w:t>
      </w:r>
      <w:r w:rsidRPr="00BA68AC">
        <w:rPr>
          <w:rFonts w:eastAsia="Times New Roman" w:cs="Times New Roman"/>
          <w:rtl/>
          <w:lang w:eastAsia="de-DE"/>
        </w:rPr>
        <w:t xml:space="preserve"> </w:t>
      </w:r>
      <w:r w:rsidRPr="00BA68AC">
        <w:rPr>
          <w:rFonts w:eastAsia="Times New Roman" w:cs="Times New Roman"/>
          <w:lang w:eastAsia="de-DE"/>
        </w:rPr>
        <w:t>mit π</w:t>
      </w:r>
      <w:proofErr w:type="spellStart"/>
      <w:r w:rsidRPr="00BA68AC">
        <w:rPr>
          <w:rFonts w:eastAsia="Times New Roman" w:cs="Times New Roman"/>
          <w:lang w:eastAsia="de-DE"/>
        </w:rPr>
        <w:t>ροσῆλθον</w:t>
      </w:r>
      <w:proofErr w:type="spellEnd"/>
      <w:r w:rsidRPr="00BA68AC">
        <w:rPr>
          <w:rFonts w:eastAsia="Times New Roman" w:cs="Times New Roman"/>
          <w:lang w:eastAsia="de-DE"/>
        </w:rPr>
        <w:t xml:space="preserve"> (sie kamen heran), </w:t>
      </w:r>
      <w:r w:rsidRPr="00BA68AC">
        <w:rPr>
          <w:rFonts w:eastAsia="Times New Roman" w:cs="Times New Roman"/>
          <w:b/>
          <w:bCs/>
          <w:rtl/>
          <w:lang w:eastAsia="de-DE"/>
        </w:rPr>
        <w:t>וישאום</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ἦρ</w:t>
      </w:r>
      <w:proofErr w:type="spellEnd"/>
      <w:r w:rsidRPr="00BA68AC">
        <w:rPr>
          <w:rFonts w:eastAsia="Times New Roman" w:cs="Times New Roman"/>
          <w:lang w:eastAsia="de-DE"/>
        </w:rPr>
        <w:t>αν α</w:t>
      </w:r>
      <w:proofErr w:type="spellStart"/>
      <w:r w:rsidRPr="00BA68AC">
        <w:rPr>
          <w:rFonts w:eastAsia="Times New Roman" w:cs="Times New Roman"/>
          <w:lang w:eastAsia="de-DE"/>
        </w:rPr>
        <w:t>ὐτούς</w:t>
      </w:r>
      <w:proofErr w:type="spellEnd"/>
      <w:r w:rsidRPr="00BA68AC">
        <w:rPr>
          <w:rFonts w:eastAsia="Times New Roman" w:cs="Times New Roman"/>
          <w:lang w:eastAsia="de-DE"/>
        </w:rPr>
        <w:t xml:space="preserve"> (sie hoben sie auf), </w:t>
      </w:r>
      <w:r w:rsidRPr="00BA68AC">
        <w:rPr>
          <w:rFonts w:eastAsia="Times New Roman" w:cs="Times New Roman"/>
          <w:b/>
          <w:bCs/>
          <w:rtl/>
          <w:lang w:eastAsia="de-DE"/>
        </w:rPr>
        <w:t>בכתנתם</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ἐν</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τοῖς</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χιτῶσιν</w:t>
      </w:r>
      <w:proofErr w:type="spellEnd"/>
      <w:r w:rsidRPr="00BA68AC">
        <w:rPr>
          <w:rFonts w:eastAsia="Times New Roman" w:cs="Times New Roman"/>
          <w:lang w:eastAsia="de-DE"/>
        </w:rPr>
        <w:t xml:space="preserve"> α</w:t>
      </w:r>
      <w:proofErr w:type="spellStart"/>
      <w:r w:rsidRPr="00BA68AC">
        <w:rPr>
          <w:rFonts w:eastAsia="Times New Roman" w:cs="Times New Roman"/>
          <w:lang w:eastAsia="de-DE"/>
        </w:rPr>
        <w:t>ὐτῶν</w:t>
      </w:r>
      <w:proofErr w:type="spellEnd"/>
      <w:r w:rsidRPr="00BA68AC">
        <w:rPr>
          <w:rFonts w:eastAsia="Times New Roman" w:cs="Times New Roman"/>
          <w:lang w:eastAsia="de-DE"/>
        </w:rPr>
        <w:t xml:space="preserve"> (in ihren Chitonen) und </w:t>
      </w:r>
      <w:r w:rsidRPr="00BA68AC">
        <w:rPr>
          <w:rFonts w:eastAsia="Times New Roman" w:cs="Times New Roman"/>
          <w:b/>
          <w:bCs/>
          <w:rtl/>
          <w:lang w:eastAsia="de-DE"/>
        </w:rPr>
        <w:t>כאשר דבר</w:t>
      </w:r>
      <w:r w:rsidRPr="00BA68AC">
        <w:rPr>
          <w:rFonts w:eastAsia="Times New Roman" w:cs="Times New Roman"/>
          <w:rtl/>
          <w:lang w:eastAsia="de-DE"/>
        </w:rPr>
        <w:t xml:space="preserve"> </w:t>
      </w:r>
      <w:r w:rsidRPr="00BA68AC">
        <w:rPr>
          <w:rFonts w:eastAsia="Times New Roman" w:cs="Times New Roman"/>
          <w:lang w:eastAsia="de-DE"/>
        </w:rPr>
        <w:t>mit κα</w:t>
      </w:r>
      <w:proofErr w:type="spellStart"/>
      <w:r w:rsidRPr="00BA68AC">
        <w:rPr>
          <w:rFonts w:eastAsia="Times New Roman" w:cs="Times New Roman"/>
          <w:lang w:eastAsia="de-DE"/>
        </w:rPr>
        <w:t>θὰ</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εἶ</w:t>
      </w:r>
      <w:proofErr w:type="spellEnd"/>
      <w:r w:rsidRPr="00BA68AC">
        <w:rPr>
          <w:rFonts w:eastAsia="Times New Roman" w:cs="Times New Roman"/>
          <w:lang w:eastAsia="de-DE"/>
        </w:rPr>
        <w:t>πεν (wie er sagte).</w:t>
      </w:r>
    </w:p>
    <w:p w14:paraId="6446AEE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gehorsame Ausführung: zwei koordinierte Verben + Modalangabe + Ortsangabe + Bestätigungsformel. Die Struktur betont sowohl die Handlung als auch den Gehorsam.</w:t>
      </w:r>
    </w:p>
    <w:p w14:paraId="06B094E2"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zeigt die gehorsame Ausführung der schwierigen Aufgabe und das bemerkenswerte Detail der unversehrten Priestergewänder.</w:t>
      </w:r>
    </w:p>
    <w:p w14:paraId="3F4C6816"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10,6</w:t>
      </w:r>
    </w:p>
    <w:p w14:paraId="7141E07E"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Hebräisch:</w:t>
      </w:r>
      <w:r w:rsidRPr="00BA68AC">
        <w:rPr>
          <w:rFonts w:eastAsia="Times New Roman" w:cs="Times New Roman"/>
          <w:lang w:eastAsia="de-DE"/>
        </w:rPr>
        <w:t xml:space="preserve"> </w:t>
      </w:r>
      <w:r w:rsidRPr="00BA68AC">
        <w:rPr>
          <w:rFonts w:eastAsia="Times New Roman" w:cs="Times New Roman"/>
          <w:rtl/>
          <w:lang w:eastAsia="de-DE"/>
        </w:rPr>
        <w:t>וַיֹּ֣אמֶר מֹשֶׁ֣ה אֶֽל־אַהֲרֹ֡ן וּלְאֶלְעָזָר֩ וּלְאִֽיתָמָ֨ר׀ בָּנָ֜יו רָֽאשֵׁיכֶ֥ם אַל־תִּפְרָ֣עוּ׀ וּבִגְדֵיכֶ֤ם לֹֽא־תִפְרֹ֨מוּ֙ וְלֹ֣א תָמֻ֔תוּ וְעַ֥ל כָּל־הָעֵדָ֖ה יִקְצֹ֑ף וַאֲחֵיכֶם֙ כָּל־בֵּ֣ית יִשְׂרָאֵ֔ל יִבְכּוּ֙ אֶת־הַשְּׂרֵפָ֔ה אֲשֶׁ֖ר שָׂרַ֥ף יְהוָֽה׃</w:t>
      </w:r>
    </w:p>
    <w:p w14:paraId="074E2D1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Mosche sagte zu Aaron und zu Eleasar und zu Itamar, seinen Söhnen: Eure Häupter sollt ihr nicht entblößen und eure Kleider nicht zerreißen, damit ihr nicht sterbt und er nicht über die ganze Gemeinde zürnt; aber eure Brüder, das ganze Haus Israel, sollen den Brand beweinen, den der Ewige entfacht hat.</w:t>
      </w:r>
    </w:p>
    <w:p w14:paraId="5D23E993"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7AE30065">
          <v:rect id="_x0000_i1262" style="width:0;height:1.5pt" o:hralign="center" o:hrstd="t" o:hr="t" fillcolor="#a0a0a0" stroked="f"/>
        </w:pict>
      </w:r>
    </w:p>
    <w:p w14:paraId="45C484A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ויאמר משה אל־אהרן ולאלעזר ולאיתמר בניו</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אמר</w:t>
      </w:r>
      <w:r w:rsidRPr="00BA68AC">
        <w:rPr>
          <w:rFonts w:eastAsia="Times New Roman" w:cs="Times New Roman"/>
          <w:rtl/>
          <w:lang w:eastAsia="de-DE"/>
        </w:rPr>
        <w:t xml:space="preserve"> </w:t>
      </w:r>
      <w:r w:rsidRPr="00BA68AC">
        <w:rPr>
          <w:rFonts w:eastAsia="Times New Roman" w:cs="Times New Roman"/>
          <w:lang w:eastAsia="de-DE"/>
        </w:rPr>
        <w:t xml:space="preserve">(sprechen) im Qal-Imperfekt mit Waw-Konsekutiv. Drei Adressaten mit dreifacher Präposition </w:t>
      </w:r>
      <w:r w:rsidRPr="00BA68AC">
        <w:rPr>
          <w:rFonts w:eastAsia="Times New Roman" w:cs="Times New Roman"/>
          <w:b/>
          <w:bCs/>
          <w:rtl/>
          <w:lang w:eastAsia="de-DE"/>
        </w:rPr>
        <w:t>אל</w:t>
      </w:r>
      <w:r w:rsidRPr="00BA68AC">
        <w:rPr>
          <w:rFonts w:eastAsia="Times New Roman" w:cs="Times New Roman"/>
          <w:lang w:eastAsia="de-DE"/>
        </w:rPr>
        <w:t xml:space="preserve">: </w:t>
      </w:r>
      <w:r w:rsidRPr="00BA68AC">
        <w:rPr>
          <w:rFonts w:eastAsia="Times New Roman" w:cs="Times New Roman"/>
          <w:b/>
          <w:bCs/>
          <w:rtl/>
          <w:lang w:eastAsia="de-DE"/>
        </w:rPr>
        <w:t>אהרן</w:t>
      </w:r>
      <w:r w:rsidRPr="00BA68AC">
        <w:rPr>
          <w:rFonts w:eastAsia="Times New Roman" w:cs="Times New Roman"/>
          <w:rtl/>
          <w:lang w:eastAsia="de-DE"/>
        </w:rPr>
        <w:t xml:space="preserve"> </w:t>
      </w:r>
      <w:r w:rsidRPr="00BA68AC">
        <w:rPr>
          <w:rFonts w:eastAsia="Times New Roman" w:cs="Times New Roman"/>
          <w:lang w:eastAsia="de-DE"/>
        </w:rPr>
        <w:t xml:space="preserve">und seine beiden überlebenden Söhne </w:t>
      </w:r>
      <w:r w:rsidRPr="00BA68AC">
        <w:rPr>
          <w:rFonts w:eastAsia="Times New Roman" w:cs="Times New Roman"/>
          <w:b/>
          <w:bCs/>
          <w:rtl/>
          <w:lang w:eastAsia="de-DE"/>
        </w:rPr>
        <w:t>אלעזר ואיתמר</w:t>
      </w:r>
      <w:r w:rsidRPr="00BA68AC">
        <w:rPr>
          <w:rFonts w:eastAsia="Times New Roman" w:cs="Times New Roman"/>
          <w:lang w:eastAsia="de-DE"/>
        </w:rPr>
        <w:t xml:space="preserve">. </w:t>
      </w:r>
      <w:r w:rsidRPr="00BA68AC">
        <w:rPr>
          <w:rFonts w:eastAsia="Times New Roman" w:cs="Times New Roman"/>
          <w:b/>
          <w:bCs/>
          <w:rtl/>
          <w:lang w:eastAsia="de-DE"/>
        </w:rPr>
        <w:t>בניו</w:t>
      </w:r>
      <w:r w:rsidRPr="00BA68AC">
        <w:rPr>
          <w:rFonts w:eastAsia="Times New Roman" w:cs="Times New Roman"/>
          <w:rtl/>
          <w:lang w:eastAsia="de-DE"/>
        </w:rPr>
        <w:t xml:space="preserve"> </w:t>
      </w:r>
      <w:r w:rsidRPr="00BA68AC">
        <w:rPr>
          <w:rFonts w:eastAsia="Times New Roman" w:cs="Times New Roman"/>
          <w:lang w:eastAsia="de-DE"/>
        </w:rPr>
        <w:t>(seine Söhne) bezieht sich auf Aaron.</w:t>
      </w:r>
    </w:p>
    <w:p w14:paraId="1F226CE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ראשיכם אל־תפרעו ובגדיכם לא־תפרמו ולא תמתו</w:t>
      </w:r>
      <w:r w:rsidRPr="00BA68AC">
        <w:rPr>
          <w:rFonts w:eastAsia="Times New Roman" w:cs="Times New Roman"/>
          <w:rtl/>
          <w:lang w:eastAsia="de-DE"/>
        </w:rPr>
        <w:t xml:space="preserve"> </w:t>
      </w:r>
      <w:r w:rsidRPr="00BA68AC">
        <w:rPr>
          <w:rFonts w:eastAsia="Times New Roman" w:cs="Times New Roman"/>
          <w:lang w:eastAsia="de-DE"/>
        </w:rPr>
        <w:t xml:space="preserve">zeigt zwei Trauerverbote plus Warnung. </w:t>
      </w:r>
      <w:r w:rsidRPr="00BA68AC">
        <w:rPr>
          <w:rFonts w:eastAsia="Times New Roman" w:cs="Times New Roman"/>
          <w:b/>
          <w:bCs/>
          <w:rtl/>
          <w:lang w:eastAsia="de-DE"/>
        </w:rPr>
        <w:t>ראשיכם אל־תפרעו</w:t>
      </w:r>
      <w:r w:rsidRPr="00BA68AC">
        <w:rPr>
          <w:rFonts w:eastAsia="Times New Roman" w:cs="Times New Roman"/>
          <w:rtl/>
          <w:lang w:eastAsia="de-DE"/>
        </w:rPr>
        <w:t xml:space="preserve"> </w:t>
      </w:r>
      <w:r w:rsidRPr="00BA68AC">
        <w:rPr>
          <w:rFonts w:eastAsia="Times New Roman" w:cs="Times New Roman"/>
          <w:lang w:eastAsia="de-DE"/>
        </w:rPr>
        <w:t xml:space="preserve">(eure Häupter sollt ihr nicht entblößen) - </w:t>
      </w:r>
      <w:r w:rsidRPr="00BA68AC">
        <w:rPr>
          <w:rFonts w:eastAsia="Times New Roman" w:cs="Times New Roman"/>
          <w:b/>
          <w:bCs/>
          <w:rtl/>
          <w:lang w:eastAsia="de-DE"/>
        </w:rPr>
        <w:t>פרע</w:t>
      </w:r>
      <w:r w:rsidRPr="00BA68AC">
        <w:rPr>
          <w:rFonts w:eastAsia="Times New Roman" w:cs="Times New Roman"/>
          <w:rtl/>
          <w:lang w:eastAsia="de-DE"/>
        </w:rPr>
        <w:t xml:space="preserve"> </w:t>
      </w:r>
      <w:r w:rsidRPr="00BA68AC">
        <w:rPr>
          <w:rFonts w:eastAsia="Times New Roman" w:cs="Times New Roman"/>
          <w:lang w:eastAsia="de-DE"/>
        </w:rPr>
        <w:t xml:space="preserve">(entblößen/aufdecken) im Qal-Imperfekt 2. Person maskulin Plural mit Negation </w:t>
      </w:r>
      <w:r w:rsidRPr="00BA68AC">
        <w:rPr>
          <w:rFonts w:eastAsia="Times New Roman" w:cs="Times New Roman"/>
          <w:b/>
          <w:bCs/>
          <w:rtl/>
          <w:lang w:eastAsia="de-DE"/>
        </w:rPr>
        <w:t>אל</w:t>
      </w:r>
      <w:r w:rsidRPr="00BA68AC">
        <w:rPr>
          <w:rFonts w:eastAsia="Times New Roman" w:cs="Times New Roman"/>
          <w:lang w:eastAsia="de-DE"/>
        </w:rPr>
        <w:t xml:space="preserve">. </w:t>
      </w:r>
      <w:r w:rsidRPr="00BA68AC">
        <w:rPr>
          <w:rFonts w:eastAsia="Times New Roman" w:cs="Times New Roman"/>
          <w:b/>
          <w:bCs/>
          <w:rtl/>
          <w:lang w:eastAsia="de-DE"/>
        </w:rPr>
        <w:t>ובגדיכם לא־תפרמו</w:t>
      </w:r>
      <w:r w:rsidRPr="00BA68AC">
        <w:rPr>
          <w:rFonts w:eastAsia="Times New Roman" w:cs="Times New Roman"/>
          <w:rtl/>
          <w:lang w:eastAsia="de-DE"/>
        </w:rPr>
        <w:t xml:space="preserve"> </w:t>
      </w:r>
      <w:r w:rsidRPr="00BA68AC">
        <w:rPr>
          <w:rFonts w:eastAsia="Times New Roman" w:cs="Times New Roman"/>
          <w:lang w:eastAsia="de-DE"/>
        </w:rPr>
        <w:t xml:space="preserve">(und eure Kleider sollt ihr nicht zerreißen) - </w:t>
      </w:r>
      <w:r w:rsidRPr="00BA68AC">
        <w:rPr>
          <w:rFonts w:eastAsia="Times New Roman" w:cs="Times New Roman"/>
          <w:b/>
          <w:bCs/>
          <w:rtl/>
          <w:lang w:eastAsia="de-DE"/>
        </w:rPr>
        <w:t>פרם</w:t>
      </w:r>
      <w:r w:rsidRPr="00BA68AC">
        <w:rPr>
          <w:rFonts w:eastAsia="Times New Roman" w:cs="Times New Roman"/>
          <w:rtl/>
          <w:lang w:eastAsia="de-DE"/>
        </w:rPr>
        <w:t xml:space="preserve"> </w:t>
      </w:r>
      <w:r w:rsidRPr="00BA68AC">
        <w:rPr>
          <w:rFonts w:eastAsia="Times New Roman" w:cs="Times New Roman"/>
          <w:lang w:eastAsia="de-DE"/>
        </w:rPr>
        <w:t xml:space="preserve">(zerreißen) im Qal-Imperfekt 2. Person maskulin Plural mit Negation </w:t>
      </w:r>
      <w:r w:rsidRPr="00BA68AC">
        <w:rPr>
          <w:rFonts w:eastAsia="Times New Roman" w:cs="Times New Roman"/>
          <w:b/>
          <w:bCs/>
          <w:rtl/>
          <w:lang w:eastAsia="de-DE"/>
        </w:rPr>
        <w:t>לא</w:t>
      </w:r>
      <w:r w:rsidRPr="00BA68AC">
        <w:rPr>
          <w:rFonts w:eastAsia="Times New Roman" w:cs="Times New Roman"/>
          <w:lang w:eastAsia="de-DE"/>
        </w:rPr>
        <w:t xml:space="preserve">. </w:t>
      </w:r>
      <w:r w:rsidRPr="00BA68AC">
        <w:rPr>
          <w:rFonts w:eastAsia="Times New Roman" w:cs="Times New Roman"/>
          <w:b/>
          <w:bCs/>
          <w:rtl/>
          <w:lang w:eastAsia="de-DE"/>
        </w:rPr>
        <w:t>ולא תמתו</w:t>
      </w:r>
      <w:r w:rsidRPr="00BA68AC">
        <w:rPr>
          <w:rFonts w:eastAsia="Times New Roman" w:cs="Times New Roman"/>
          <w:rtl/>
          <w:lang w:eastAsia="de-DE"/>
        </w:rPr>
        <w:t xml:space="preserve"> </w:t>
      </w:r>
      <w:r w:rsidRPr="00BA68AC">
        <w:rPr>
          <w:rFonts w:eastAsia="Times New Roman" w:cs="Times New Roman"/>
          <w:lang w:eastAsia="de-DE"/>
        </w:rPr>
        <w:t>(und ihr werdet nicht sterben) als Konsequenzangabe.</w:t>
      </w:r>
    </w:p>
    <w:p w14:paraId="06B909DA"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ועל כל־העדה יקצף</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קצף</w:t>
      </w:r>
      <w:r w:rsidRPr="00BA68AC">
        <w:rPr>
          <w:rFonts w:eastAsia="Times New Roman" w:cs="Times New Roman"/>
          <w:rtl/>
          <w:lang w:eastAsia="de-DE"/>
        </w:rPr>
        <w:t xml:space="preserve"> </w:t>
      </w:r>
      <w:r w:rsidRPr="00BA68AC">
        <w:rPr>
          <w:rFonts w:eastAsia="Times New Roman" w:cs="Times New Roman"/>
          <w:lang w:eastAsia="de-DE"/>
        </w:rPr>
        <w:t xml:space="preserve">(zürnen) im Qal-Imperfekt 3. Person maskulin Singular. </w:t>
      </w:r>
      <w:r w:rsidRPr="00BA68AC">
        <w:rPr>
          <w:rFonts w:eastAsia="Times New Roman" w:cs="Times New Roman"/>
          <w:b/>
          <w:bCs/>
          <w:rtl/>
          <w:lang w:eastAsia="de-DE"/>
        </w:rPr>
        <w:t>על כל־העדה</w:t>
      </w:r>
      <w:r w:rsidRPr="00BA68AC">
        <w:rPr>
          <w:rFonts w:eastAsia="Times New Roman" w:cs="Times New Roman"/>
          <w:rtl/>
          <w:lang w:eastAsia="de-DE"/>
        </w:rPr>
        <w:t xml:space="preserve"> </w:t>
      </w:r>
      <w:r w:rsidRPr="00BA68AC">
        <w:rPr>
          <w:rFonts w:eastAsia="Times New Roman" w:cs="Times New Roman"/>
          <w:lang w:eastAsia="de-DE"/>
        </w:rPr>
        <w:t xml:space="preserve">(über die ganze Gemeinde) mit Totalitätspartikel </w:t>
      </w:r>
      <w:r w:rsidRPr="00BA68AC">
        <w:rPr>
          <w:rFonts w:eastAsia="Times New Roman" w:cs="Times New Roman"/>
          <w:b/>
          <w:bCs/>
          <w:rtl/>
          <w:lang w:eastAsia="de-DE"/>
        </w:rPr>
        <w:t>כל</w:t>
      </w:r>
      <w:r w:rsidRPr="00BA68AC">
        <w:rPr>
          <w:rFonts w:eastAsia="Times New Roman" w:cs="Times New Roman"/>
          <w:lang w:eastAsia="de-DE"/>
        </w:rPr>
        <w:t>. Das Subjekt ist implizit JHWH.</w:t>
      </w:r>
    </w:p>
    <w:p w14:paraId="03BBB68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ואחיכם כל־בית ישראל יבכו את־השרפה אשר שרף יהוה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בכה</w:t>
      </w:r>
      <w:r w:rsidRPr="00BA68AC">
        <w:rPr>
          <w:rFonts w:eastAsia="Times New Roman" w:cs="Times New Roman"/>
          <w:rtl/>
          <w:lang w:eastAsia="de-DE"/>
        </w:rPr>
        <w:t xml:space="preserve"> </w:t>
      </w:r>
      <w:r w:rsidRPr="00BA68AC">
        <w:rPr>
          <w:rFonts w:eastAsia="Times New Roman" w:cs="Times New Roman"/>
          <w:lang w:eastAsia="de-DE"/>
        </w:rPr>
        <w:t xml:space="preserve">(weinen/beweinen) im Qal-Imperfekt 3. Person maskulin Plural. </w:t>
      </w:r>
      <w:r w:rsidRPr="00BA68AC">
        <w:rPr>
          <w:rFonts w:eastAsia="Times New Roman" w:cs="Times New Roman"/>
          <w:b/>
          <w:bCs/>
          <w:rtl/>
          <w:lang w:eastAsia="de-DE"/>
        </w:rPr>
        <w:t>אחיכם כל־בית ישראל</w:t>
      </w:r>
      <w:r w:rsidRPr="00BA68AC">
        <w:rPr>
          <w:rFonts w:eastAsia="Times New Roman" w:cs="Times New Roman"/>
          <w:rtl/>
          <w:lang w:eastAsia="de-DE"/>
        </w:rPr>
        <w:t xml:space="preserve"> </w:t>
      </w:r>
      <w:r w:rsidRPr="00BA68AC">
        <w:rPr>
          <w:rFonts w:eastAsia="Times New Roman" w:cs="Times New Roman"/>
          <w:lang w:eastAsia="de-DE"/>
        </w:rPr>
        <w:t xml:space="preserve">(eure Brüder, das ganze Haus Israel) als Subjekt mit Totalitätspartikel. </w:t>
      </w:r>
      <w:r w:rsidRPr="00BA68AC">
        <w:rPr>
          <w:rFonts w:eastAsia="Times New Roman" w:cs="Times New Roman"/>
          <w:b/>
          <w:bCs/>
          <w:rtl/>
          <w:lang w:eastAsia="de-DE"/>
        </w:rPr>
        <w:t>את־השרפה</w:t>
      </w:r>
      <w:r w:rsidRPr="00BA68AC">
        <w:rPr>
          <w:rFonts w:eastAsia="Times New Roman" w:cs="Times New Roman"/>
          <w:rtl/>
          <w:lang w:eastAsia="de-DE"/>
        </w:rPr>
        <w:t xml:space="preserve"> </w:t>
      </w:r>
      <w:r w:rsidRPr="00BA68AC">
        <w:rPr>
          <w:rFonts w:eastAsia="Times New Roman" w:cs="Times New Roman"/>
          <w:lang w:eastAsia="de-DE"/>
        </w:rPr>
        <w:t xml:space="preserve">(den Brand) als direktes Objekt. </w:t>
      </w:r>
      <w:r w:rsidRPr="00BA68AC">
        <w:rPr>
          <w:rFonts w:eastAsia="Times New Roman" w:cs="Times New Roman"/>
          <w:b/>
          <w:bCs/>
          <w:rtl/>
          <w:lang w:eastAsia="de-DE"/>
        </w:rPr>
        <w:t>אשר שרף יהוה</w:t>
      </w:r>
      <w:r w:rsidRPr="00BA68AC">
        <w:rPr>
          <w:rFonts w:eastAsia="Times New Roman" w:cs="Times New Roman"/>
          <w:rtl/>
          <w:lang w:eastAsia="de-DE"/>
        </w:rPr>
        <w:t xml:space="preserve"> </w:t>
      </w:r>
      <w:r w:rsidRPr="00BA68AC">
        <w:rPr>
          <w:rFonts w:eastAsia="Times New Roman" w:cs="Times New Roman"/>
          <w:lang w:eastAsia="de-DE"/>
        </w:rPr>
        <w:t xml:space="preserve">(den JHWH entfacht hat) als Relativsatz mit </w:t>
      </w:r>
      <w:r w:rsidRPr="00BA68AC">
        <w:rPr>
          <w:rFonts w:eastAsia="Times New Roman" w:cs="Times New Roman"/>
          <w:b/>
          <w:bCs/>
          <w:rtl/>
          <w:lang w:eastAsia="de-DE"/>
        </w:rPr>
        <w:t>שרף</w:t>
      </w:r>
      <w:r w:rsidRPr="00BA68AC">
        <w:rPr>
          <w:rFonts w:eastAsia="Times New Roman" w:cs="Times New Roman"/>
          <w:rtl/>
          <w:lang w:eastAsia="de-DE"/>
        </w:rPr>
        <w:t xml:space="preserve"> </w:t>
      </w:r>
      <w:r w:rsidRPr="00BA68AC">
        <w:rPr>
          <w:rFonts w:eastAsia="Times New Roman" w:cs="Times New Roman"/>
          <w:lang w:eastAsia="de-DE"/>
        </w:rPr>
        <w:t>(brennen/verbrennen) im Qal-Perfekt.</w:t>
      </w:r>
    </w:p>
    <w:p w14:paraId="53572E9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פרע</w:t>
      </w:r>
      <w:r w:rsidRPr="00BA68AC">
        <w:rPr>
          <w:rFonts w:eastAsia="Times New Roman" w:cs="Times New Roman"/>
          <w:rtl/>
          <w:lang w:eastAsia="de-DE"/>
        </w:rPr>
        <w:t xml:space="preserve"> </w:t>
      </w:r>
      <w:r w:rsidRPr="00BA68AC">
        <w:rPr>
          <w:rFonts w:eastAsia="Times New Roman" w:cs="Times New Roman"/>
          <w:lang w:eastAsia="de-DE"/>
        </w:rPr>
        <w:t xml:space="preserve">und </w:t>
      </w:r>
      <w:r w:rsidRPr="00BA68AC">
        <w:rPr>
          <w:rFonts w:eastAsia="Times New Roman" w:cs="Times New Roman"/>
          <w:b/>
          <w:bCs/>
          <w:rtl/>
          <w:lang w:eastAsia="de-DE"/>
        </w:rPr>
        <w:t>פרם</w:t>
      </w:r>
      <w:r w:rsidRPr="00BA68AC">
        <w:rPr>
          <w:rFonts w:eastAsia="Times New Roman" w:cs="Times New Roman"/>
          <w:rtl/>
          <w:lang w:eastAsia="de-DE"/>
        </w:rPr>
        <w:t xml:space="preserve"> </w:t>
      </w:r>
      <w:r w:rsidRPr="00BA68AC">
        <w:rPr>
          <w:rFonts w:eastAsia="Times New Roman" w:cs="Times New Roman"/>
          <w:lang w:eastAsia="de-DE"/>
        </w:rPr>
        <w:t xml:space="preserve">sind typische Trauerrituale, die den Priestern während des Dienstes verboten sind. </w:t>
      </w:r>
      <w:r w:rsidRPr="00BA68AC">
        <w:rPr>
          <w:rFonts w:eastAsia="Times New Roman" w:cs="Times New Roman"/>
          <w:b/>
          <w:bCs/>
          <w:rtl/>
          <w:lang w:eastAsia="de-DE"/>
        </w:rPr>
        <w:t>ולא תמתו</w:t>
      </w:r>
      <w:r w:rsidRPr="00BA68AC">
        <w:rPr>
          <w:rFonts w:eastAsia="Times New Roman" w:cs="Times New Roman"/>
          <w:rtl/>
          <w:lang w:eastAsia="de-DE"/>
        </w:rPr>
        <w:t xml:space="preserve"> </w:t>
      </w:r>
      <w:r w:rsidRPr="00BA68AC">
        <w:rPr>
          <w:rFonts w:eastAsia="Times New Roman" w:cs="Times New Roman"/>
          <w:lang w:eastAsia="de-DE"/>
        </w:rPr>
        <w:t xml:space="preserve">warnt vor tödlichen Konsequenzen bei Verletzung der kultischen Disziplin. </w:t>
      </w:r>
      <w:r w:rsidRPr="00BA68AC">
        <w:rPr>
          <w:rFonts w:eastAsia="Times New Roman" w:cs="Times New Roman"/>
          <w:b/>
          <w:bCs/>
          <w:rtl/>
          <w:lang w:eastAsia="de-DE"/>
        </w:rPr>
        <w:t>ועל כל־העדה יקצף</w:t>
      </w:r>
      <w:r w:rsidRPr="00BA68AC">
        <w:rPr>
          <w:rFonts w:eastAsia="Times New Roman" w:cs="Times New Roman"/>
          <w:rtl/>
          <w:lang w:eastAsia="de-DE"/>
        </w:rPr>
        <w:t xml:space="preserve"> </w:t>
      </w:r>
      <w:r w:rsidRPr="00BA68AC">
        <w:rPr>
          <w:rFonts w:eastAsia="Times New Roman" w:cs="Times New Roman"/>
          <w:lang w:eastAsia="de-DE"/>
        </w:rPr>
        <w:t>zeigt, dass priesterlicher Ungehorsam die ganze Gemeinde gefährdet.</w:t>
      </w:r>
    </w:p>
    <w:p w14:paraId="52A2475E"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כל־בית ישראל</w:t>
      </w:r>
      <w:r w:rsidRPr="00BA68AC">
        <w:rPr>
          <w:rFonts w:eastAsia="Times New Roman" w:cs="Times New Roman"/>
          <w:rtl/>
          <w:lang w:eastAsia="de-DE"/>
        </w:rPr>
        <w:t xml:space="preserve"> </w:t>
      </w:r>
      <w:r w:rsidRPr="00BA68AC">
        <w:rPr>
          <w:rFonts w:eastAsia="Times New Roman" w:cs="Times New Roman"/>
          <w:lang w:eastAsia="de-DE"/>
        </w:rPr>
        <w:t xml:space="preserve">im Kontrast zu den Priestern zeigt die Aufgabenteilung: Laien dürfen/sollen trauern, Priester müssen dienen. </w:t>
      </w:r>
      <w:r w:rsidRPr="00BA68AC">
        <w:rPr>
          <w:rFonts w:eastAsia="Times New Roman" w:cs="Times New Roman"/>
          <w:b/>
          <w:bCs/>
          <w:rtl/>
          <w:lang w:eastAsia="de-DE"/>
        </w:rPr>
        <w:t>השרפה אשר שרף יהוה</w:t>
      </w:r>
      <w:r w:rsidRPr="00BA68AC">
        <w:rPr>
          <w:rFonts w:eastAsia="Times New Roman" w:cs="Times New Roman"/>
          <w:rtl/>
          <w:lang w:eastAsia="de-DE"/>
        </w:rPr>
        <w:t xml:space="preserve"> </w:t>
      </w:r>
      <w:r w:rsidRPr="00BA68AC">
        <w:rPr>
          <w:rFonts w:eastAsia="Times New Roman" w:cs="Times New Roman"/>
          <w:lang w:eastAsia="de-DE"/>
        </w:rPr>
        <w:t>bezeichnet das göttliche Gericht als "Brand".</w:t>
      </w:r>
    </w:p>
    <w:p w14:paraId="3698C10F" w14:textId="7FF5AB13"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 xml:space="preserve">übersetzt </w:t>
      </w:r>
      <w:r w:rsidR="00F6539E">
        <w:rPr>
          <w:rtl/>
        </w:rPr>
        <w:t>ראשיכם אל־תפרעו</w:t>
      </w:r>
      <w:r w:rsidR="00F6539E">
        <w:t xml:space="preserve"> (</w:t>
      </w:r>
      <w:proofErr w:type="spellStart"/>
      <w:r w:rsidR="00F6539E">
        <w:t>rasheichem</w:t>
      </w:r>
      <w:proofErr w:type="spellEnd"/>
      <w:r w:rsidR="00F6539E">
        <w:t xml:space="preserve"> al-</w:t>
      </w:r>
      <w:proofErr w:type="spellStart"/>
      <w:r w:rsidR="00F6539E">
        <w:t>tifra'u</w:t>
      </w:r>
      <w:proofErr w:type="spellEnd"/>
      <w:r w:rsidR="00F6539E">
        <w:t xml:space="preserve"> - "eure Häupter sollt ihr nicht entblößen") als </w:t>
      </w:r>
      <w:proofErr w:type="spellStart"/>
      <w:r w:rsidR="00F6539E">
        <w:t>τὴν</w:t>
      </w:r>
      <w:proofErr w:type="spellEnd"/>
      <w:r w:rsidR="00F6539E">
        <w:t xml:space="preserve"> </w:t>
      </w:r>
      <w:proofErr w:type="spellStart"/>
      <w:r w:rsidR="00F6539E">
        <w:t>κεφ</w:t>
      </w:r>
      <w:proofErr w:type="spellEnd"/>
      <w:r w:rsidR="00F6539E">
        <w:t xml:space="preserve">αλὴν </w:t>
      </w:r>
      <w:proofErr w:type="spellStart"/>
      <w:r w:rsidR="00F6539E">
        <w:t>ὑμῶν</w:t>
      </w:r>
      <w:proofErr w:type="spellEnd"/>
      <w:r w:rsidR="00F6539E">
        <w:t xml:space="preserve"> </w:t>
      </w:r>
      <w:proofErr w:type="spellStart"/>
      <w:r w:rsidR="00F6539E">
        <w:t>οὐκ</w:t>
      </w:r>
      <w:proofErr w:type="spellEnd"/>
      <w:r w:rsidR="00F6539E">
        <w:t xml:space="preserve"> ἀπ</w:t>
      </w:r>
      <w:proofErr w:type="spellStart"/>
      <w:r w:rsidR="00F6539E">
        <w:t>οκιδ</w:t>
      </w:r>
      <w:proofErr w:type="spellEnd"/>
      <w:r w:rsidR="00F6539E">
        <w:t xml:space="preserve">αρώσετε (ihr sollt eure Häupter nicht </w:t>
      </w:r>
      <w:proofErr w:type="spellStart"/>
      <w:r w:rsidR="00F6539E">
        <w:t>entturbanen</w:t>
      </w:r>
      <w:proofErr w:type="spellEnd"/>
      <w:r w:rsidR="00F6539E">
        <w:t>), was eine spezifische griechische Trauerpraxis beschreibt.</w:t>
      </w:r>
    </w:p>
    <w:p w14:paraId="1D33231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Verbot plus Begründung plus Alternative: Adressat + zwei koordinierte Verbote + Warnung + Begründung // Alternative mit Subjekt + Handlung + Objekt mit Relativsatz. Die Struktur zeigt den Kontrast zwischen priesterlicher Disziplin und allgemeiner Trauer.</w:t>
      </w:r>
    </w:p>
    <w:p w14:paraId="4DD6A7A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verbietet den Priestern normale Trauerrituale während des Dienstes und überträgt die Trauer dem ganzen Volk Israel.</w:t>
      </w:r>
    </w:p>
    <w:p w14:paraId="3EEAEAF7"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10,7</w:t>
      </w:r>
    </w:p>
    <w:p w14:paraId="5544E72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Hebräisch:</w:t>
      </w:r>
      <w:r w:rsidRPr="00BA68AC">
        <w:rPr>
          <w:rFonts w:eastAsia="Times New Roman" w:cs="Times New Roman"/>
          <w:lang w:eastAsia="de-DE"/>
        </w:rPr>
        <w:t xml:space="preserve"> </w:t>
      </w:r>
      <w:r w:rsidRPr="00BA68AC">
        <w:rPr>
          <w:rFonts w:eastAsia="Times New Roman" w:cs="Times New Roman"/>
          <w:rtl/>
          <w:lang w:eastAsia="de-DE"/>
        </w:rPr>
        <w:t>וּמִפֶּתַח֩ אֹ֨הֶל מוֹעֵ֜ד לֹ֤א תֵֽצְאוּ֙ פֶּן־תָּמֻ֔תוּ כִּי־שֶׁ֛מֶן מִשְׁחַ֥ת יְהוָ֖ה עֲלֵיכֶ֑ם וַֽיַּעֲשׂ֖וּ כִּדְבַ֥ר מֹשֶֽׁה׃</w:t>
      </w:r>
    </w:p>
    <w:p w14:paraId="4F6408A6"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Vom Eingang des Zeltes der Begegnung sollt ihr nicht weggehen, damit ihr nicht sterbt, denn das Öl der Salbung des Ewigen ist auf euch. Und sie taten nach dem Wort Mosches.</w:t>
      </w:r>
    </w:p>
    <w:p w14:paraId="4BACA777"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71931122">
          <v:rect id="_x0000_i1263" style="width:0;height:1.5pt" o:hralign="center" o:hrstd="t" o:hr="t" fillcolor="#a0a0a0" stroked="f"/>
        </w:pict>
      </w:r>
    </w:p>
    <w:p w14:paraId="39A14DE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ומפתח אהל מועד לא תצאו פן־תמתו</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יצא</w:t>
      </w:r>
      <w:r w:rsidRPr="00BA68AC">
        <w:rPr>
          <w:rFonts w:eastAsia="Times New Roman" w:cs="Times New Roman"/>
          <w:rtl/>
          <w:lang w:eastAsia="de-DE"/>
        </w:rPr>
        <w:t xml:space="preserve"> </w:t>
      </w:r>
      <w:r w:rsidRPr="00BA68AC">
        <w:rPr>
          <w:rFonts w:eastAsia="Times New Roman" w:cs="Times New Roman"/>
          <w:lang w:eastAsia="de-DE"/>
        </w:rPr>
        <w:t xml:space="preserve">(hinausgehen) im Qal-Imperfekt 2. Person maskulin Plural mit Negation </w:t>
      </w:r>
      <w:r w:rsidRPr="00BA68AC">
        <w:rPr>
          <w:rFonts w:eastAsia="Times New Roman" w:cs="Times New Roman"/>
          <w:b/>
          <w:bCs/>
          <w:rtl/>
          <w:lang w:eastAsia="de-DE"/>
        </w:rPr>
        <w:t>לא</w:t>
      </w:r>
      <w:r w:rsidRPr="00BA68AC">
        <w:rPr>
          <w:rFonts w:eastAsia="Times New Roman" w:cs="Times New Roman"/>
          <w:lang w:eastAsia="de-DE"/>
        </w:rPr>
        <w:t xml:space="preserve">. </w:t>
      </w:r>
      <w:r w:rsidRPr="00BA68AC">
        <w:rPr>
          <w:rFonts w:eastAsia="Times New Roman" w:cs="Times New Roman"/>
          <w:b/>
          <w:bCs/>
          <w:rtl/>
          <w:lang w:eastAsia="de-DE"/>
        </w:rPr>
        <w:t>מפתח אהל מועד</w:t>
      </w:r>
      <w:r w:rsidRPr="00BA68AC">
        <w:rPr>
          <w:rFonts w:eastAsia="Times New Roman" w:cs="Times New Roman"/>
          <w:rtl/>
          <w:lang w:eastAsia="de-DE"/>
        </w:rPr>
        <w:t xml:space="preserve"> </w:t>
      </w:r>
      <w:r w:rsidRPr="00BA68AC">
        <w:rPr>
          <w:rFonts w:eastAsia="Times New Roman" w:cs="Times New Roman"/>
          <w:lang w:eastAsia="de-DE"/>
        </w:rPr>
        <w:t xml:space="preserve">(vom Eingang des Zeltes der Begegnung) zeigt den Ort priesterlichen Dienstes. </w:t>
      </w:r>
      <w:r w:rsidRPr="00BA68AC">
        <w:rPr>
          <w:rFonts w:eastAsia="Times New Roman" w:cs="Times New Roman"/>
          <w:b/>
          <w:bCs/>
          <w:rtl/>
          <w:lang w:eastAsia="de-DE"/>
        </w:rPr>
        <w:t>פן־תמתו</w:t>
      </w:r>
      <w:r w:rsidRPr="00BA68AC">
        <w:rPr>
          <w:rFonts w:eastAsia="Times New Roman" w:cs="Times New Roman"/>
          <w:rtl/>
          <w:lang w:eastAsia="de-DE"/>
        </w:rPr>
        <w:t xml:space="preserve"> </w:t>
      </w:r>
      <w:r w:rsidRPr="00BA68AC">
        <w:rPr>
          <w:rFonts w:eastAsia="Times New Roman" w:cs="Times New Roman"/>
          <w:lang w:eastAsia="de-DE"/>
        </w:rPr>
        <w:t xml:space="preserve">(damit ihr nicht sterbt) mit </w:t>
      </w:r>
      <w:r w:rsidRPr="00BA68AC">
        <w:rPr>
          <w:rFonts w:eastAsia="Times New Roman" w:cs="Times New Roman"/>
          <w:b/>
          <w:bCs/>
          <w:rtl/>
          <w:lang w:eastAsia="de-DE"/>
        </w:rPr>
        <w:t>פן</w:t>
      </w:r>
      <w:r w:rsidRPr="00BA68AC">
        <w:rPr>
          <w:rFonts w:eastAsia="Times New Roman" w:cs="Times New Roman"/>
          <w:rtl/>
          <w:lang w:eastAsia="de-DE"/>
        </w:rPr>
        <w:t xml:space="preserve"> </w:t>
      </w:r>
      <w:r w:rsidRPr="00BA68AC">
        <w:rPr>
          <w:rFonts w:eastAsia="Times New Roman" w:cs="Times New Roman"/>
          <w:lang w:eastAsia="de-DE"/>
        </w:rPr>
        <w:t>(damit nicht) als Warnung vor tödlichen Konsequenzen.</w:t>
      </w:r>
    </w:p>
    <w:p w14:paraId="7C378B29"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כי־שמן משחת יהוה עליכם</w:t>
      </w:r>
      <w:r w:rsidRPr="00BA68AC">
        <w:rPr>
          <w:rFonts w:eastAsia="Times New Roman" w:cs="Times New Roman"/>
          <w:rtl/>
          <w:lang w:eastAsia="de-DE"/>
        </w:rPr>
        <w:t xml:space="preserve"> </w:t>
      </w:r>
      <w:r w:rsidRPr="00BA68AC">
        <w:rPr>
          <w:rFonts w:eastAsia="Times New Roman" w:cs="Times New Roman"/>
          <w:lang w:eastAsia="de-DE"/>
        </w:rPr>
        <w:t xml:space="preserve">begründet das Verbot. </w:t>
      </w:r>
      <w:r w:rsidRPr="00BA68AC">
        <w:rPr>
          <w:rFonts w:eastAsia="Times New Roman" w:cs="Times New Roman"/>
          <w:b/>
          <w:bCs/>
          <w:rtl/>
          <w:lang w:eastAsia="de-DE"/>
        </w:rPr>
        <w:t>כי</w:t>
      </w:r>
      <w:r w:rsidRPr="00BA68AC">
        <w:rPr>
          <w:rFonts w:eastAsia="Times New Roman" w:cs="Times New Roman"/>
          <w:rtl/>
          <w:lang w:eastAsia="de-DE"/>
        </w:rPr>
        <w:t xml:space="preserve"> </w:t>
      </w:r>
      <w:r w:rsidRPr="00BA68AC">
        <w:rPr>
          <w:rFonts w:eastAsia="Times New Roman" w:cs="Times New Roman"/>
          <w:lang w:eastAsia="de-DE"/>
        </w:rPr>
        <w:t xml:space="preserve">(denn) leitet die Begründung ein. </w:t>
      </w:r>
      <w:r w:rsidRPr="00BA68AC">
        <w:rPr>
          <w:rFonts w:eastAsia="Times New Roman" w:cs="Times New Roman"/>
          <w:b/>
          <w:bCs/>
          <w:rtl/>
          <w:lang w:eastAsia="de-DE"/>
        </w:rPr>
        <w:t>שמן משחת יהוה</w:t>
      </w:r>
      <w:r w:rsidRPr="00BA68AC">
        <w:rPr>
          <w:rFonts w:eastAsia="Times New Roman" w:cs="Times New Roman"/>
          <w:rtl/>
          <w:lang w:eastAsia="de-DE"/>
        </w:rPr>
        <w:t xml:space="preserve"> </w:t>
      </w:r>
      <w:r w:rsidRPr="00BA68AC">
        <w:rPr>
          <w:rFonts w:eastAsia="Times New Roman" w:cs="Times New Roman"/>
          <w:lang w:eastAsia="de-DE"/>
        </w:rPr>
        <w:t xml:space="preserve">(Öl der Salbung JHWHs) als Genitivkonstruktion. </w:t>
      </w:r>
      <w:r w:rsidRPr="00BA68AC">
        <w:rPr>
          <w:rFonts w:eastAsia="Times New Roman" w:cs="Times New Roman"/>
          <w:b/>
          <w:bCs/>
          <w:rtl/>
          <w:lang w:eastAsia="de-DE"/>
        </w:rPr>
        <w:t>עליכם</w:t>
      </w:r>
      <w:r w:rsidRPr="00BA68AC">
        <w:rPr>
          <w:rFonts w:eastAsia="Times New Roman" w:cs="Times New Roman"/>
          <w:rtl/>
          <w:lang w:eastAsia="de-DE"/>
        </w:rPr>
        <w:t xml:space="preserve"> </w:t>
      </w:r>
      <w:r w:rsidRPr="00BA68AC">
        <w:rPr>
          <w:rFonts w:eastAsia="Times New Roman" w:cs="Times New Roman"/>
          <w:lang w:eastAsia="de-DE"/>
        </w:rPr>
        <w:t xml:space="preserve">(auf euch) mit Präposition </w:t>
      </w:r>
      <w:r w:rsidRPr="00BA68AC">
        <w:rPr>
          <w:rFonts w:eastAsia="Times New Roman" w:cs="Times New Roman"/>
          <w:b/>
          <w:bCs/>
          <w:rtl/>
          <w:lang w:eastAsia="de-DE"/>
        </w:rPr>
        <w:t>על</w:t>
      </w:r>
      <w:r w:rsidRPr="00BA68AC">
        <w:rPr>
          <w:rFonts w:eastAsia="Times New Roman" w:cs="Times New Roman"/>
          <w:rtl/>
          <w:lang w:eastAsia="de-DE"/>
        </w:rPr>
        <w:t xml:space="preserve"> </w:t>
      </w:r>
      <w:r w:rsidRPr="00BA68AC">
        <w:rPr>
          <w:rFonts w:eastAsia="Times New Roman" w:cs="Times New Roman"/>
          <w:lang w:eastAsia="de-DE"/>
        </w:rPr>
        <w:t>und Suffix 2. Person maskulin Plural zeigt die Salbung aus 8,12.30.</w:t>
      </w:r>
    </w:p>
    <w:p w14:paraId="79E28CB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ויעשו כדבר משה</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עשה</w:t>
      </w:r>
      <w:r w:rsidRPr="00BA68AC">
        <w:rPr>
          <w:rFonts w:eastAsia="Times New Roman" w:cs="Times New Roman"/>
          <w:rtl/>
          <w:lang w:eastAsia="de-DE"/>
        </w:rPr>
        <w:t xml:space="preserve"> </w:t>
      </w:r>
      <w:r w:rsidRPr="00BA68AC">
        <w:rPr>
          <w:rFonts w:eastAsia="Times New Roman" w:cs="Times New Roman"/>
          <w:lang w:eastAsia="de-DE"/>
        </w:rPr>
        <w:t xml:space="preserve">(tun) im Qal-Imperfekt 3. Person maskulin Plural mit Waw-Konsekutiv. </w:t>
      </w:r>
      <w:r w:rsidRPr="00BA68AC">
        <w:rPr>
          <w:rFonts w:eastAsia="Times New Roman" w:cs="Times New Roman"/>
          <w:b/>
          <w:bCs/>
          <w:rtl/>
          <w:lang w:eastAsia="de-DE"/>
        </w:rPr>
        <w:t>כדבר משה</w:t>
      </w:r>
      <w:r w:rsidRPr="00BA68AC">
        <w:rPr>
          <w:rFonts w:eastAsia="Times New Roman" w:cs="Times New Roman"/>
          <w:rtl/>
          <w:lang w:eastAsia="de-DE"/>
        </w:rPr>
        <w:t xml:space="preserve"> </w:t>
      </w:r>
      <w:r w:rsidRPr="00BA68AC">
        <w:rPr>
          <w:rFonts w:eastAsia="Times New Roman" w:cs="Times New Roman"/>
          <w:lang w:eastAsia="de-DE"/>
        </w:rPr>
        <w:t>(entsprechend dem Wort Moses) zeigt gehorsame Befolgung.</w:t>
      </w:r>
    </w:p>
    <w:p w14:paraId="033D4D2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מפתח אהל מועד</w:t>
      </w:r>
      <w:r w:rsidRPr="00BA68AC">
        <w:rPr>
          <w:rFonts w:eastAsia="Times New Roman" w:cs="Times New Roman"/>
          <w:rtl/>
          <w:lang w:eastAsia="de-DE"/>
        </w:rPr>
        <w:t xml:space="preserve"> </w:t>
      </w:r>
      <w:r w:rsidRPr="00BA68AC">
        <w:rPr>
          <w:rFonts w:eastAsia="Times New Roman" w:cs="Times New Roman"/>
          <w:lang w:eastAsia="de-DE"/>
        </w:rPr>
        <w:t xml:space="preserve">als Verbotsbereich zeigt, dass geweihte Priester ihren heiligen Bereich nicht verlassen dürfen, solange der Dienst andauert. </w:t>
      </w:r>
      <w:r w:rsidRPr="00BA68AC">
        <w:rPr>
          <w:rFonts w:eastAsia="Times New Roman" w:cs="Times New Roman"/>
          <w:b/>
          <w:bCs/>
          <w:rtl/>
          <w:lang w:eastAsia="de-DE"/>
        </w:rPr>
        <w:t>פן־תמתו</w:t>
      </w:r>
      <w:r w:rsidRPr="00BA68AC">
        <w:rPr>
          <w:rFonts w:eastAsia="Times New Roman" w:cs="Times New Roman"/>
          <w:rtl/>
          <w:lang w:eastAsia="de-DE"/>
        </w:rPr>
        <w:t xml:space="preserve"> </w:t>
      </w:r>
      <w:r w:rsidRPr="00BA68AC">
        <w:rPr>
          <w:rFonts w:eastAsia="Times New Roman" w:cs="Times New Roman"/>
          <w:lang w:eastAsia="de-DE"/>
        </w:rPr>
        <w:t>wiederholt die Todeswarnung aus V. 6.</w:t>
      </w:r>
    </w:p>
    <w:p w14:paraId="61C6AB8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שמן משחת יהוה עליכם</w:t>
      </w:r>
      <w:r w:rsidRPr="00BA68AC">
        <w:rPr>
          <w:rFonts w:eastAsia="Times New Roman" w:cs="Times New Roman"/>
          <w:rtl/>
          <w:lang w:eastAsia="de-DE"/>
        </w:rPr>
        <w:t xml:space="preserve"> </w:t>
      </w:r>
      <w:r w:rsidRPr="00BA68AC">
        <w:rPr>
          <w:rFonts w:eastAsia="Times New Roman" w:cs="Times New Roman"/>
          <w:lang w:eastAsia="de-DE"/>
        </w:rPr>
        <w:t xml:space="preserve">erinnert an die Priesterweihe: die Salbung verpflichtet zu kontinuierlichem Dienst ohne Unterbrechung durch private Trauer. </w:t>
      </w:r>
      <w:r w:rsidRPr="00BA68AC">
        <w:rPr>
          <w:rFonts w:eastAsia="Times New Roman" w:cs="Times New Roman"/>
          <w:b/>
          <w:bCs/>
          <w:rtl/>
          <w:lang w:eastAsia="de-DE"/>
        </w:rPr>
        <w:t>עליכם</w:t>
      </w:r>
      <w:r w:rsidRPr="00BA68AC">
        <w:rPr>
          <w:rFonts w:eastAsia="Times New Roman" w:cs="Times New Roman"/>
          <w:rtl/>
          <w:lang w:eastAsia="de-DE"/>
        </w:rPr>
        <w:t xml:space="preserve"> </w:t>
      </w:r>
      <w:r w:rsidRPr="00BA68AC">
        <w:rPr>
          <w:rFonts w:eastAsia="Times New Roman" w:cs="Times New Roman"/>
          <w:lang w:eastAsia="de-DE"/>
        </w:rPr>
        <w:t>betont die persönliche Verantwortung jedes gesalbten Priesters.</w:t>
      </w:r>
    </w:p>
    <w:p w14:paraId="1DB0829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ויעשו כדבר משה</w:t>
      </w:r>
      <w:r w:rsidRPr="00BA68AC">
        <w:rPr>
          <w:rFonts w:eastAsia="Times New Roman" w:cs="Times New Roman"/>
          <w:rtl/>
          <w:lang w:eastAsia="de-DE"/>
        </w:rPr>
        <w:t xml:space="preserve"> </w:t>
      </w:r>
      <w:r w:rsidRPr="00BA68AC">
        <w:rPr>
          <w:rFonts w:eastAsia="Times New Roman" w:cs="Times New Roman"/>
          <w:lang w:eastAsia="de-DE"/>
        </w:rPr>
        <w:t>zeigt, dass Aaron und seine überlebenden Söhne trotz persönlicher Trauer den Anweisungen folgen und ihren Dienst fortsetzen.</w:t>
      </w:r>
    </w:p>
    <w:p w14:paraId="178EAC1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מפתח אהל מועד</w:t>
      </w:r>
      <w:r w:rsidRPr="00BA68AC">
        <w:rPr>
          <w:rFonts w:eastAsia="Times New Roman" w:cs="Times New Roman"/>
          <w:rtl/>
          <w:lang w:eastAsia="de-DE"/>
        </w:rPr>
        <w:t xml:space="preserve"> </w:t>
      </w:r>
      <w:r w:rsidRPr="00BA68AC">
        <w:rPr>
          <w:rFonts w:eastAsia="Times New Roman" w:cs="Times New Roman"/>
          <w:lang w:eastAsia="de-DE"/>
        </w:rPr>
        <w:t xml:space="preserve">mit ἀπὸ </w:t>
      </w:r>
      <w:proofErr w:type="spellStart"/>
      <w:r w:rsidRPr="00BA68AC">
        <w:rPr>
          <w:rFonts w:eastAsia="Times New Roman" w:cs="Times New Roman"/>
          <w:lang w:eastAsia="de-DE"/>
        </w:rPr>
        <w:t>τῆς</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θύρ</w:t>
      </w:r>
      <w:proofErr w:type="spellEnd"/>
      <w:r w:rsidRPr="00BA68AC">
        <w:rPr>
          <w:rFonts w:eastAsia="Times New Roman" w:cs="Times New Roman"/>
          <w:lang w:eastAsia="de-DE"/>
        </w:rPr>
        <w:t xml:space="preserve">ας </w:t>
      </w:r>
      <w:proofErr w:type="spellStart"/>
      <w:r w:rsidRPr="00BA68AC">
        <w:rPr>
          <w:rFonts w:eastAsia="Times New Roman" w:cs="Times New Roman"/>
          <w:lang w:eastAsia="de-DE"/>
        </w:rPr>
        <w:t>τῆς</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σκηνῆς</w:t>
      </w:r>
      <w:proofErr w:type="spellEnd"/>
      <w:r w:rsidRPr="00BA68AC">
        <w:rPr>
          <w:rFonts w:eastAsia="Times New Roman" w:cs="Times New Roman"/>
          <w:lang w:eastAsia="de-DE"/>
        </w:rPr>
        <w:t xml:space="preserve"> </w:t>
      </w:r>
      <w:proofErr w:type="spellStart"/>
      <w:r w:rsidRPr="00BA68AC">
        <w:rPr>
          <w:rFonts w:eastAsia="Times New Roman" w:cs="Times New Roman"/>
          <w:lang w:eastAsia="de-DE"/>
        </w:rPr>
        <w:t>τοῦ</w:t>
      </w:r>
      <w:proofErr w:type="spellEnd"/>
      <w:r w:rsidRPr="00BA68AC">
        <w:rPr>
          <w:rFonts w:eastAsia="Times New Roman" w:cs="Times New Roman"/>
          <w:lang w:eastAsia="de-DE"/>
        </w:rPr>
        <w:t xml:space="preserve"> μα</w:t>
      </w:r>
      <w:proofErr w:type="spellStart"/>
      <w:r w:rsidRPr="00BA68AC">
        <w:rPr>
          <w:rFonts w:eastAsia="Times New Roman" w:cs="Times New Roman"/>
          <w:lang w:eastAsia="de-DE"/>
        </w:rPr>
        <w:t>ρτυρίου</w:t>
      </w:r>
      <w:proofErr w:type="spellEnd"/>
      <w:r w:rsidRPr="00BA68AC">
        <w:rPr>
          <w:rFonts w:eastAsia="Times New Roman" w:cs="Times New Roman"/>
          <w:lang w:eastAsia="de-DE"/>
        </w:rPr>
        <w:t xml:space="preserve"> (von der Tür des Zeltes des Zeugnisses), </w:t>
      </w:r>
      <w:r w:rsidRPr="00BA68AC">
        <w:rPr>
          <w:rFonts w:eastAsia="Times New Roman" w:cs="Times New Roman"/>
          <w:b/>
          <w:bCs/>
          <w:rtl/>
          <w:lang w:eastAsia="de-DE"/>
        </w:rPr>
        <w:t>שמן משחת</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ἔλ</w:t>
      </w:r>
      <w:proofErr w:type="spellEnd"/>
      <w:r w:rsidRPr="00BA68AC">
        <w:rPr>
          <w:rFonts w:eastAsia="Times New Roman" w:cs="Times New Roman"/>
          <w:lang w:eastAsia="de-DE"/>
        </w:rPr>
        <w:t xml:space="preserve">αιον </w:t>
      </w:r>
      <w:proofErr w:type="spellStart"/>
      <w:r w:rsidRPr="00BA68AC">
        <w:rPr>
          <w:rFonts w:eastAsia="Times New Roman" w:cs="Times New Roman"/>
          <w:lang w:eastAsia="de-DE"/>
        </w:rPr>
        <w:t>χρίσμ</w:t>
      </w:r>
      <w:proofErr w:type="spellEnd"/>
      <w:r w:rsidRPr="00BA68AC">
        <w:rPr>
          <w:rFonts w:eastAsia="Times New Roman" w:cs="Times New Roman"/>
          <w:lang w:eastAsia="de-DE"/>
        </w:rPr>
        <w:t xml:space="preserve">ατος (Öl der Salbung) und </w:t>
      </w:r>
      <w:r w:rsidRPr="00BA68AC">
        <w:rPr>
          <w:rFonts w:eastAsia="Times New Roman" w:cs="Times New Roman"/>
          <w:b/>
          <w:bCs/>
          <w:rtl/>
          <w:lang w:eastAsia="de-DE"/>
        </w:rPr>
        <w:t>ויעשו</w:t>
      </w:r>
      <w:r w:rsidRPr="00BA68AC">
        <w:rPr>
          <w:rFonts w:eastAsia="Times New Roman" w:cs="Times New Roman"/>
          <w:rtl/>
          <w:lang w:eastAsia="de-DE"/>
        </w:rPr>
        <w:t xml:space="preserve"> </w:t>
      </w:r>
      <w:r w:rsidRPr="00BA68AC">
        <w:rPr>
          <w:rFonts w:eastAsia="Times New Roman" w:cs="Times New Roman"/>
          <w:lang w:eastAsia="de-DE"/>
        </w:rPr>
        <w:t>mit ἐπ</w:t>
      </w:r>
      <w:proofErr w:type="spellStart"/>
      <w:r w:rsidRPr="00BA68AC">
        <w:rPr>
          <w:rFonts w:eastAsia="Times New Roman" w:cs="Times New Roman"/>
          <w:lang w:eastAsia="de-DE"/>
        </w:rPr>
        <w:t>οίησ</w:t>
      </w:r>
      <w:proofErr w:type="spellEnd"/>
      <w:r w:rsidRPr="00BA68AC">
        <w:rPr>
          <w:rFonts w:eastAsia="Times New Roman" w:cs="Times New Roman"/>
          <w:lang w:eastAsia="de-DE"/>
        </w:rPr>
        <w:t>αν (sie taten).</w:t>
      </w:r>
    </w:p>
    <w:p w14:paraId="576C513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Verbot mit Begründung plus Gehorsam: Ortsangabe + Verbot + Warnung + Begründung mit Salbungsreferenz + Gehorsamsbestätigung. Die Struktur betont die Verpflichtung durch Salbung und den resultierenden Gehorsam.</w:t>
      </w:r>
    </w:p>
    <w:p w14:paraId="71744534"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begründet die kultische Disziplin der Priester durch ihre Salbung und bestätigt ihren Gehorsam trotz persönlicher Tragödie.</w:t>
      </w:r>
    </w:p>
    <w:p w14:paraId="148FCBC3"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10,8</w:t>
      </w:r>
    </w:p>
    <w:p w14:paraId="6B88B2A8"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וַיְדַבֵּ֣ר יְהוָ֔ה אֶֽל־אַהֲרֹ֖ן לֵאמֹֽר׃</w:t>
      </w:r>
    </w:p>
    <w:p w14:paraId="763AC76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Und der Ewige redete zu Aaron, sagend:</w:t>
      </w:r>
    </w:p>
    <w:p w14:paraId="480165C2"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32053BAA">
          <v:rect id="_x0000_i1264" style="width:0;height:1.5pt" o:hralign="center" o:hrstd="t" o:hr="t" fillcolor="#a0a0a0" stroked="f"/>
        </w:pict>
      </w:r>
    </w:p>
    <w:p w14:paraId="78A9902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lastRenderedPageBreak/>
        <w:t>Kommentar:</w:t>
      </w:r>
      <w:r w:rsidRPr="00BA68AC">
        <w:rPr>
          <w:rFonts w:eastAsia="Times New Roman" w:cs="Times New Roman"/>
          <w:lang w:eastAsia="de-DE"/>
        </w:rPr>
        <w:t xml:space="preserve"> </w:t>
      </w:r>
      <w:r w:rsidRPr="00BA68AC">
        <w:rPr>
          <w:rFonts w:eastAsia="Times New Roman" w:cs="Times New Roman"/>
          <w:b/>
          <w:bCs/>
          <w:rtl/>
          <w:lang w:eastAsia="de-DE"/>
        </w:rPr>
        <w:t>וידבר יהוה אל־אהרן לאמר</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דבר</w:t>
      </w:r>
      <w:r w:rsidRPr="00BA68AC">
        <w:rPr>
          <w:rFonts w:eastAsia="Times New Roman" w:cs="Times New Roman"/>
          <w:rtl/>
          <w:lang w:eastAsia="de-DE"/>
        </w:rPr>
        <w:t xml:space="preserve"> </w:t>
      </w:r>
      <w:r w:rsidRPr="00BA68AC">
        <w:rPr>
          <w:rFonts w:eastAsia="Times New Roman" w:cs="Times New Roman"/>
          <w:lang w:eastAsia="de-DE"/>
        </w:rPr>
        <w:t xml:space="preserve">(reden) im Piel-Imperfekt 3. Person maskulin Singular mit Waw-Konsekutiv. </w:t>
      </w:r>
      <w:r w:rsidRPr="00BA68AC">
        <w:rPr>
          <w:rFonts w:eastAsia="Times New Roman" w:cs="Times New Roman"/>
          <w:b/>
          <w:bCs/>
          <w:rtl/>
          <w:lang w:eastAsia="de-DE"/>
        </w:rPr>
        <w:t>יהוה</w:t>
      </w:r>
      <w:r w:rsidRPr="00BA68AC">
        <w:rPr>
          <w:rFonts w:eastAsia="Times New Roman" w:cs="Times New Roman"/>
          <w:rtl/>
          <w:lang w:eastAsia="de-DE"/>
        </w:rPr>
        <w:t xml:space="preserve"> </w:t>
      </w:r>
      <w:r w:rsidRPr="00BA68AC">
        <w:rPr>
          <w:rFonts w:eastAsia="Times New Roman" w:cs="Times New Roman"/>
          <w:lang w:eastAsia="de-DE"/>
        </w:rPr>
        <w:t xml:space="preserve">als Subjekt, </w:t>
      </w:r>
      <w:r w:rsidRPr="00BA68AC">
        <w:rPr>
          <w:rFonts w:eastAsia="Times New Roman" w:cs="Times New Roman"/>
          <w:b/>
          <w:bCs/>
          <w:rtl/>
          <w:lang w:eastAsia="de-DE"/>
        </w:rPr>
        <w:t>אל־אהרן</w:t>
      </w:r>
      <w:r w:rsidRPr="00BA68AC">
        <w:rPr>
          <w:rFonts w:eastAsia="Times New Roman" w:cs="Times New Roman"/>
          <w:rtl/>
          <w:lang w:eastAsia="de-DE"/>
        </w:rPr>
        <w:t xml:space="preserve"> </w:t>
      </w:r>
      <w:r w:rsidRPr="00BA68AC">
        <w:rPr>
          <w:rFonts w:eastAsia="Times New Roman" w:cs="Times New Roman"/>
          <w:lang w:eastAsia="de-DE"/>
        </w:rPr>
        <w:t xml:space="preserve">(zu Aaron) als direkter Adressat. </w:t>
      </w:r>
      <w:r w:rsidRPr="00BA68AC">
        <w:rPr>
          <w:rFonts w:eastAsia="Times New Roman" w:cs="Times New Roman"/>
          <w:b/>
          <w:bCs/>
          <w:rtl/>
          <w:lang w:eastAsia="de-DE"/>
        </w:rPr>
        <w:t>לאמר</w:t>
      </w:r>
      <w:r w:rsidRPr="00BA68AC">
        <w:rPr>
          <w:rFonts w:eastAsia="Times New Roman" w:cs="Times New Roman"/>
          <w:rtl/>
          <w:lang w:eastAsia="de-DE"/>
        </w:rPr>
        <w:t xml:space="preserve"> </w:t>
      </w:r>
      <w:r w:rsidRPr="00BA68AC">
        <w:rPr>
          <w:rFonts w:eastAsia="Times New Roman" w:cs="Times New Roman"/>
          <w:lang w:eastAsia="de-DE"/>
        </w:rPr>
        <w:t>(sagend) leitet die göttliche Rede ein.</w:t>
      </w:r>
    </w:p>
    <w:p w14:paraId="1C0B14D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 Einleitungsformel ist bemerkenswert, weil JHWH hier direkt zu Aaron spricht, nicht durch Moses Vermittlung. Dies ist eine der wenigen Stellen, wo Aaron direkte göttliche Offenbarung empfängt (vgl. auch Numeri 18,1.8).</w:t>
      </w:r>
    </w:p>
    <w:p w14:paraId="702C11D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אל־אהרן</w:t>
      </w:r>
      <w:r w:rsidRPr="00BA68AC">
        <w:rPr>
          <w:rFonts w:eastAsia="Times New Roman" w:cs="Times New Roman"/>
          <w:rtl/>
          <w:lang w:eastAsia="de-DE"/>
        </w:rPr>
        <w:t xml:space="preserve"> </w:t>
      </w:r>
      <w:r w:rsidRPr="00BA68AC">
        <w:rPr>
          <w:rFonts w:eastAsia="Times New Roman" w:cs="Times New Roman"/>
          <w:lang w:eastAsia="de-DE"/>
        </w:rPr>
        <w:t xml:space="preserve">statt </w:t>
      </w:r>
      <w:r w:rsidRPr="00BA68AC">
        <w:rPr>
          <w:rFonts w:eastAsia="Times New Roman" w:cs="Times New Roman"/>
          <w:b/>
          <w:bCs/>
          <w:rtl/>
          <w:lang w:eastAsia="de-DE"/>
        </w:rPr>
        <w:t>אל־משה</w:t>
      </w:r>
      <w:r w:rsidRPr="00BA68AC">
        <w:rPr>
          <w:rFonts w:eastAsia="Times New Roman" w:cs="Times New Roman"/>
          <w:rtl/>
          <w:lang w:eastAsia="de-DE"/>
        </w:rPr>
        <w:t xml:space="preserve"> </w:t>
      </w:r>
      <w:r w:rsidRPr="00BA68AC">
        <w:rPr>
          <w:rFonts w:eastAsia="Times New Roman" w:cs="Times New Roman"/>
          <w:lang w:eastAsia="de-DE"/>
        </w:rPr>
        <w:t>zeigt die besondere Situation: nach dem Tod seiner Söhne erhält Aaron direkte göttliche Unterweisung für den Priesterdienst. Dies unterstreicht sowohl die Autorität Aarons als auch die Dringlichkeit der folgenden Anweisungen.</w:t>
      </w:r>
    </w:p>
    <w:p w14:paraId="65B6323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 xml:space="preserve">Die direkte Anrede an Aaron nach der Tragödie zeigt göttliche Fürsorge und die Notwendigkeit, den Priesterdienst trotz der Krise fortzusetzen. </w:t>
      </w:r>
      <w:r w:rsidRPr="00BA68AC">
        <w:rPr>
          <w:rFonts w:eastAsia="Times New Roman" w:cs="Times New Roman"/>
          <w:b/>
          <w:bCs/>
          <w:rtl/>
          <w:lang w:eastAsia="de-DE"/>
        </w:rPr>
        <w:t>וידבר</w:t>
      </w:r>
      <w:r w:rsidRPr="00BA68AC">
        <w:rPr>
          <w:rFonts w:eastAsia="Times New Roman" w:cs="Times New Roman"/>
          <w:rtl/>
          <w:lang w:eastAsia="de-DE"/>
        </w:rPr>
        <w:t xml:space="preserve"> </w:t>
      </w:r>
      <w:r w:rsidRPr="00BA68AC">
        <w:rPr>
          <w:rFonts w:eastAsia="Times New Roman" w:cs="Times New Roman"/>
          <w:lang w:eastAsia="de-DE"/>
        </w:rPr>
        <w:t>im Piel zeigt intensive, autoritative Rede.</w:t>
      </w:r>
    </w:p>
    <w:p w14:paraId="19B217D1"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übersetzt </w:t>
      </w:r>
      <w:r w:rsidRPr="00BA68AC">
        <w:rPr>
          <w:rFonts w:eastAsia="Times New Roman" w:cs="Times New Roman"/>
          <w:b/>
          <w:bCs/>
          <w:rtl/>
          <w:lang w:eastAsia="de-DE"/>
        </w:rPr>
        <w:t>וידבר</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ἐλάλησεν</w:t>
      </w:r>
      <w:proofErr w:type="spellEnd"/>
      <w:r w:rsidRPr="00BA68AC">
        <w:rPr>
          <w:rFonts w:eastAsia="Times New Roman" w:cs="Times New Roman"/>
          <w:lang w:eastAsia="de-DE"/>
        </w:rPr>
        <w:t xml:space="preserve"> (er sprach), </w:t>
      </w:r>
      <w:r w:rsidRPr="00BA68AC">
        <w:rPr>
          <w:rFonts w:eastAsia="Times New Roman" w:cs="Times New Roman"/>
          <w:b/>
          <w:bCs/>
          <w:rtl/>
          <w:lang w:eastAsia="de-DE"/>
        </w:rPr>
        <w:t>אל־אהרן</w:t>
      </w:r>
      <w:r w:rsidRPr="00BA68AC">
        <w:rPr>
          <w:rFonts w:eastAsia="Times New Roman" w:cs="Times New Roman"/>
          <w:rtl/>
          <w:lang w:eastAsia="de-DE"/>
        </w:rPr>
        <w:t xml:space="preserve"> </w:t>
      </w:r>
      <w:r w:rsidRPr="00BA68AC">
        <w:rPr>
          <w:rFonts w:eastAsia="Times New Roman" w:cs="Times New Roman"/>
          <w:lang w:eastAsia="de-DE"/>
        </w:rPr>
        <w:t>mit π</w:t>
      </w:r>
      <w:proofErr w:type="spellStart"/>
      <w:r w:rsidRPr="00BA68AC">
        <w:rPr>
          <w:rFonts w:eastAsia="Times New Roman" w:cs="Times New Roman"/>
          <w:lang w:eastAsia="de-DE"/>
        </w:rPr>
        <w:t>ρὸς</w:t>
      </w:r>
      <w:proofErr w:type="spellEnd"/>
      <w:r w:rsidRPr="00BA68AC">
        <w:rPr>
          <w:rFonts w:eastAsia="Times New Roman" w:cs="Times New Roman"/>
          <w:lang w:eastAsia="de-DE"/>
        </w:rPr>
        <w:t xml:space="preserve"> Αα</w:t>
      </w:r>
      <w:proofErr w:type="spellStart"/>
      <w:r w:rsidRPr="00BA68AC">
        <w:rPr>
          <w:rFonts w:eastAsia="Times New Roman" w:cs="Times New Roman"/>
          <w:lang w:eastAsia="de-DE"/>
        </w:rPr>
        <w:t>ρων</w:t>
      </w:r>
      <w:proofErr w:type="spellEnd"/>
      <w:r w:rsidRPr="00BA68AC">
        <w:rPr>
          <w:rFonts w:eastAsia="Times New Roman" w:cs="Times New Roman"/>
          <w:lang w:eastAsia="de-DE"/>
        </w:rPr>
        <w:t xml:space="preserve"> (zu Aaron) und </w:t>
      </w:r>
      <w:r w:rsidRPr="00BA68AC">
        <w:rPr>
          <w:rFonts w:eastAsia="Times New Roman" w:cs="Times New Roman"/>
          <w:b/>
          <w:bCs/>
          <w:rtl/>
          <w:lang w:eastAsia="de-DE"/>
        </w:rPr>
        <w:t>לאמר</w:t>
      </w:r>
      <w:r w:rsidRPr="00BA68AC">
        <w:rPr>
          <w:rFonts w:eastAsia="Times New Roman" w:cs="Times New Roman"/>
          <w:rtl/>
          <w:lang w:eastAsia="de-DE"/>
        </w:rPr>
        <w:t xml:space="preserve"> </w:t>
      </w:r>
      <w:r w:rsidRPr="00BA68AC">
        <w:rPr>
          <w:rFonts w:eastAsia="Times New Roman" w:cs="Times New Roman"/>
          <w:lang w:eastAsia="de-DE"/>
        </w:rPr>
        <w:t xml:space="preserve">mit </w:t>
      </w:r>
      <w:proofErr w:type="spellStart"/>
      <w:r w:rsidRPr="00BA68AC">
        <w:rPr>
          <w:rFonts w:eastAsia="Times New Roman" w:cs="Times New Roman"/>
          <w:lang w:eastAsia="de-DE"/>
        </w:rPr>
        <w:t>λέγων</w:t>
      </w:r>
      <w:proofErr w:type="spellEnd"/>
      <w:r w:rsidRPr="00BA68AC">
        <w:rPr>
          <w:rFonts w:eastAsia="Times New Roman" w:cs="Times New Roman"/>
          <w:lang w:eastAsia="de-DE"/>
        </w:rPr>
        <w:t xml:space="preserve"> (sagend).</w:t>
      </w:r>
    </w:p>
    <w:p w14:paraId="6048759B"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die standardisierte Offenbarungsformel: Verb + göttliches Subjekt + Adressat + Redeeinleitung. Die ungewöhnliche direkte Adressierung Aarons betont die Besonderheit der Situation.</w:t>
      </w:r>
    </w:p>
    <w:p w14:paraId="56D49C7D"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 Einleitungsformel markiert eine seltene direkte göttliche Ansprache an Aaron und leitet wichtige Anweisungen für den Priesterdienst ein.</w:t>
      </w:r>
    </w:p>
    <w:p w14:paraId="358457CE" w14:textId="77777777" w:rsidR="00BA68AC" w:rsidRPr="00BA68AC" w:rsidRDefault="00BA68AC" w:rsidP="00BA68AC">
      <w:pPr>
        <w:spacing w:before="100" w:beforeAutospacing="1" w:after="100" w:afterAutospacing="1" w:line="240" w:lineRule="auto"/>
        <w:outlineLvl w:val="1"/>
        <w:rPr>
          <w:rFonts w:eastAsia="Times New Roman" w:cs="Times New Roman"/>
          <w:b/>
          <w:bCs/>
          <w:sz w:val="36"/>
          <w:szCs w:val="36"/>
          <w:lang w:eastAsia="de-DE"/>
        </w:rPr>
      </w:pPr>
      <w:r w:rsidRPr="00BA68AC">
        <w:rPr>
          <w:rFonts w:eastAsia="Times New Roman" w:cs="Times New Roman"/>
          <w:b/>
          <w:bCs/>
          <w:sz w:val="36"/>
          <w:szCs w:val="36"/>
          <w:lang w:eastAsia="de-DE"/>
        </w:rPr>
        <w:t>Leviticus 10,9</w:t>
      </w:r>
    </w:p>
    <w:p w14:paraId="31293EFF"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Hebräisch:</w:t>
      </w:r>
      <w:r w:rsidRPr="00BA68AC">
        <w:rPr>
          <w:rFonts w:eastAsia="Times New Roman" w:cs="Times New Roman"/>
          <w:lang w:eastAsia="de-DE"/>
        </w:rPr>
        <w:t xml:space="preserve"> </w:t>
      </w:r>
      <w:r w:rsidRPr="00BA68AC">
        <w:rPr>
          <w:rFonts w:eastAsia="Times New Roman" w:cs="Times New Roman"/>
          <w:rtl/>
          <w:lang w:eastAsia="de-DE"/>
        </w:rPr>
        <w:t>יַ֣יִן וְשֵׁכָ֞ר אַל־תֵּ֣שְׁתְּ׀ אַתָּ֣ה׀ וּבָנֶ֣יךָ אִתָּ֗ךְ בְּבֹאֲכֶ֛ם אֶל־אֹ֥הֶל מוֹעֵ֖ד וְלֹ֣א תָמֻ֑תוּ חֻקַּ֥ת עוֹלָ֖ם לְדֹרֹתֵיכֶֽם׃</w:t>
      </w:r>
    </w:p>
    <w:p w14:paraId="16628937"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Deutsch:</w:t>
      </w:r>
      <w:r w:rsidRPr="00BA68AC">
        <w:rPr>
          <w:rFonts w:eastAsia="Times New Roman" w:cs="Times New Roman"/>
          <w:lang w:eastAsia="de-DE"/>
        </w:rPr>
        <w:t xml:space="preserve"> Wein und berauschendes Getränk sollst du und deine Söhne mit dir nicht trinken, wenn ihr in das Zelt der Begegnung kommt, damit ihr nicht sterbt - eine ewige Ordnung für eure Generationen.</w:t>
      </w:r>
    </w:p>
    <w:p w14:paraId="5D36CEE2" w14:textId="77777777" w:rsidR="00BA68AC" w:rsidRPr="00BA68AC" w:rsidRDefault="00A57720" w:rsidP="00BA68AC">
      <w:pPr>
        <w:spacing w:after="0" w:line="240" w:lineRule="auto"/>
        <w:rPr>
          <w:rFonts w:eastAsia="Times New Roman" w:cs="Times New Roman"/>
          <w:lang w:eastAsia="de-DE"/>
        </w:rPr>
      </w:pPr>
      <w:r>
        <w:rPr>
          <w:rFonts w:eastAsia="Times New Roman" w:cs="Times New Roman"/>
          <w:noProof/>
          <w:lang w:eastAsia="de-DE"/>
        </w:rPr>
        <w:pict w14:anchorId="0DCEBB68">
          <v:rect id="_x0000_i1265" style="width:0;height:1.5pt" o:hralign="center" o:hrstd="t" o:hr="t" fillcolor="#a0a0a0" stroked="f"/>
        </w:pict>
      </w:r>
    </w:p>
    <w:p w14:paraId="1AAB8E0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Kommentar:</w:t>
      </w:r>
      <w:r w:rsidRPr="00BA68AC">
        <w:rPr>
          <w:rFonts w:eastAsia="Times New Roman" w:cs="Times New Roman"/>
          <w:lang w:eastAsia="de-DE"/>
        </w:rPr>
        <w:t xml:space="preserve"> </w:t>
      </w:r>
      <w:r w:rsidRPr="00BA68AC">
        <w:rPr>
          <w:rFonts w:eastAsia="Times New Roman" w:cs="Times New Roman"/>
          <w:b/>
          <w:bCs/>
          <w:rtl/>
          <w:lang w:eastAsia="de-DE"/>
        </w:rPr>
        <w:t>יין ושכר אל־תשת אתה ובניך אתך</w:t>
      </w:r>
      <w:r w:rsidRPr="00BA68AC">
        <w:rPr>
          <w:rFonts w:eastAsia="Times New Roman" w:cs="Times New Roman"/>
          <w:rtl/>
          <w:lang w:eastAsia="de-DE"/>
        </w:rPr>
        <w:t xml:space="preserve"> </w:t>
      </w:r>
      <w:r w:rsidRPr="00BA68AC">
        <w:rPr>
          <w:rFonts w:eastAsia="Times New Roman" w:cs="Times New Roman"/>
          <w:lang w:eastAsia="de-DE"/>
        </w:rPr>
        <w:t xml:space="preserve">zeigt zwei koordinierte Objekte: </w:t>
      </w:r>
      <w:r w:rsidRPr="00BA68AC">
        <w:rPr>
          <w:rFonts w:eastAsia="Times New Roman" w:cs="Times New Roman"/>
          <w:b/>
          <w:bCs/>
          <w:rtl/>
          <w:lang w:eastAsia="de-DE"/>
        </w:rPr>
        <w:t>יין</w:t>
      </w:r>
      <w:r w:rsidRPr="00BA68AC">
        <w:rPr>
          <w:rFonts w:eastAsia="Times New Roman" w:cs="Times New Roman"/>
          <w:rtl/>
          <w:lang w:eastAsia="de-DE"/>
        </w:rPr>
        <w:t xml:space="preserve"> </w:t>
      </w:r>
      <w:r w:rsidRPr="00BA68AC">
        <w:rPr>
          <w:rFonts w:eastAsia="Times New Roman" w:cs="Times New Roman"/>
          <w:lang w:eastAsia="de-DE"/>
        </w:rPr>
        <w:t xml:space="preserve">(Wein) und </w:t>
      </w:r>
      <w:r w:rsidRPr="00BA68AC">
        <w:rPr>
          <w:rFonts w:eastAsia="Times New Roman" w:cs="Times New Roman"/>
          <w:b/>
          <w:bCs/>
          <w:rtl/>
          <w:lang w:eastAsia="de-DE"/>
        </w:rPr>
        <w:t>שכר</w:t>
      </w:r>
      <w:r w:rsidRPr="00BA68AC">
        <w:rPr>
          <w:rFonts w:eastAsia="Times New Roman" w:cs="Times New Roman"/>
          <w:rtl/>
          <w:lang w:eastAsia="de-DE"/>
        </w:rPr>
        <w:t xml:space="preserve"> </w:t>
      </w:r>
      <w:r w:rsidRPr="00BA68AC">
        <w:rPr>
          <w:rFonts w:eastAsia="Times New Roman" w:cs="Times New Roman"/>
          <w:lang w:eastAsia="de-DE"/>
        </w:rPr>
        <w:t xml:space="preserve">(berauschendes Getränk/Bier). </w:t>
      </w:r>
      <w:r w:rsidRPr="00BA68AC">
        <w:rPr>
          <w:rFonts w:eastAsia="Times New Roman" w:cs="Times New Roman"/>
          <w:b/>
          <w:bCs/>
          <w:rtl/>
          <w:lang w:eastAsia="de-DE"/>
        </w:rPr>
        <w:t>אל־תשת</w:t>
      </w:r>
      <w:r w:rsidRPr="00BA68AC">
        <w:rPr>
          <w:rFonts w:eastAsia="Times New Roman" w:cs="Times New Roman"/>
          <w:rtl/>
          <w:lang w:eastAsia="de-DE"/>
        </w:rPr>
        <w:t xml:space="preserve"> </w:t>
      </w:r>
      <w:r w:rsidRPr="00BA68AC">
        <w:rPr>
          <w:rFonts w:eastAsia="Times New Roman" w:cs="Times New Roman"/>
          <w:lang w:eastAsia="de-DE"/>
        </w:rPr>
        <w:t xml:space="preserve">(ihr sollt nicht trinken) - </w:t>
      </w:r>
      <w:r w:rsidRPr="00BA68AC">
        <w:rPr>
          <w:rFonts w:eastAsia="Times New Roman" w:cs="Times New Roman"/>
          <w:b/>
          <w:bCs/>
          <w:rtl/>
          <w:lang w:eastAsia="de-DE"/>
        </w:rPr>
        <w:t>שתה</w:t>
      </w:r>
      <w:r w:rsidRPr="00BA68AC">
        <w:rPr>
          <w:rFonts w:eastAsia="Times New Roman" w:cs="Times New Roman"/>
          <w:rtl/>
          <w:lang w:eastAsia="de-DE"/>
        </w:rPr>
        <w:t xml:space="preserve"> </w:t>
      </w:r>
      <w:r w:rsidRPr="00BA68AC">
        <w:rPr>
          <w:rFonts w:eastAsia="Times New Roman" w:cs="Times New Roman"/>
          <w:lang w:eastAsia="de-DE"/>
        </w:rPr>
        <w:t xml:space="preserve">(trinken) im Qal-Imperfekt 2. Person mit Negation </w:t>
      </w:r>
      <w:r w:rsidRPr="00BA68AC">
        <w:rPr>
          <w:rFonts w:eastAsia="Times New Roman" w:cs="Times New Roman"/>
          <w:b/>
          <w:bCs/>
          <w:rtl/>
          <w:lang w:eastAsia="de-DE"/>
        </w:rPr>
        <w:t>אל</w:t>
      </w:r>
      <w:r w:rsidRPr="00BA68AC">
        <w:rPr>
          <w:rFonts w:eastAsia="Times New Roman" w:cs="Times New Roman"/>
          <w:lang w:eastAsia="de-DE"/>
        </w:rPr>
        <w:t xml:space="preserve">. </w:t>
      </w:r>
      <w:r w:rsidRPr="00BA68AC">
        <w:rPr>
          <w:rFonts w:eastAsia="Times New Roman" w:cs="Times New Roman"/>
          <w:b/>
          <w:bCs/>
          <w:rtl/>
          <w:lang w:eastAsia="de-DE"/>
        </w:rPr>
        <w:t>אתה ובניך אתך</w:t>
      </w:r>
      <w:r w:rsidRPr="00BA68AC">
        <w:rPr>
          <w:rFonts w:eastAsia="Times New Roman" w:cs="Times New Roman"/>
          <w:rtl/>
          <w:lang w:eastAsia="de-DE"/>
        </w:rPr>
        <w:t xml:space="preserve"> </w:t>
      </w:r>
      <w:r w:rsidRPr="00BA68AC">
        <w:rPr>
          <w:rFonts w:eastAsia="Times New Roman" w:cs="Times New Roman"/>
          <w:lang w:eastAsia="de-DE"/>
        </w:rPr>
        <w:t xml:space="preserve">(du und deine Söhne mit dir) spezifiziert alle amtierenden Priester. </w:t>
      </w:r>
      <w:r w:rsidRPr="00BA68AC">
        <w:rPr>
          <w:rFonts w:eastAsia="Times New Roman" w:cs="Times New Roman"/>
          <w:b/>
          <w:bCs/>
          <w:rtl/>
          <w:lang w:eastAsia="de-DE"/>
        </w:rPr>
        <w:t>אתך</w:t>
      </w:r>
      <w:r w:rsidRPr="00BA68AC">
        <w:rPr>
          <w:rFonts w:eastAsia="Times New Roman" w:cs="Times New Roman"/>
          <w:rtl/>
          <w:lang w:eastAsia="de-DE"/>
        </w:rPr>
        <w:t xml:space="preserve"> </w:t>
      </w:r>
      <w:r w:rsidRPr="00BA68AC">
        <w:rPr>
          <w:rFonts w:eastAsia="Times New Roman" w:cs="Times New Roman"/>
          <w:lang w:eastAsia="de-DE"/>
        </w:rPr>
        <w:t>(mit dir) betont die Einheit der priesterlichen Familie.</w:t>
      </w:r>
    </w:p>
    <w:p w14:paraId="42740818" w14:textId="4F7F89B0"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בבאכם אל־אהל מועד ולא תמתו</w:t>
      </w:r>
      <w:r w:rsidRPr="00BA68AC">
        <w:rPr>
          <w:rFonts w:eastAsia="Times New Roman" w:cs="Times New Roman"/>
          <w:rtl/>
          <w:lang w:eastAsia="de-DE"/>
        </w:rPr>
        <w:t xml:space="preserve"> </w:t>
      </w:r>
      <w:r w:rsidRPr="00BA68AC">
        <w:rPr>
          <w:rFonts w:eastAsia="Times New Roman" w:cs="Times New Roman"/>
          <w:lang w:eastAsia="de-DE"/>
        </w:rPr>
        <w:t xml:space="preserve">zeigt temporale Begrenzung plus Warnung. </w:t>
      </w:r>
      <w:r w:rsidRPr="00BA68AC">
        <w:rPr>
          <w:rFonts w:eastAsia="Times New Roman" w:cs="Times New Roman"/>
          <w:b/>
          <w:bCs/>
          <w:rtl/>
          <w:lang w:eastAsia="de-DE"/>
        </w:rPr>
        <w:t>בבאכם</w:t>
      </w:r>
      <w:r w:rsidRPr="00BA68AC">
        <w:rPr>
          <w:rFonts w:eastAsia="Times New Roman" w:cs="Times New Roman"/>
          <w:rtl/>
          <w:lang w:eastAsia="de-DE"/>
        </w:rPr>
        <w:t xml:space="preserve"> </w:t>
      </w:r>
      <w:r w:rsidRPr="00BA68AC">
        <w:rPr>
          <w:rFonts w:eastAsia="Times New Roman" w:cs="Times New Roman"/>
          <w:lang w:eastAsia="de-DE"/>
        </w:rPr>
        <w:t xml:space="preserve">(beim Kommen/wenn ihr kommt) - </w:t>
      </w:r>
      <w:r w:rsidRPr="00BA68AC">
        <w:rPr>
          <w:rFonts w:eastAsia="Times New Roman" w:cs="Times New Roman"/>
          <w:b/>
          <w:bCs/>
          <w:rtl/>
          <w:lang w:eastAsia="de-DE"/>
        </w:rPr>
        <w:t>בוא</w:t>
      </w:r>
      <w:r w:rsidRPr="00BA68AC">
        <w:rPr>
          <w:rFonts w:eastAsia="Times New Roman" w:cs="Times New Roman"/>
          <w:rtl/>
          <w:lang w:eastAsia="de-DE"/>
        </w:rPr>
        <w:t xml:space="preserve"> </w:t>
      </w:r>
      <w:r w:rsidRPr="00BA68AC">
        <w:rPr>
          <w:rFonts w:eastAsia="Times New Roman" w:cs="Times New Roman"/>
          <w:lang w:eastAsia="de-DE"/>
        </w:rPr>
        <w:t>(kommen) als Infinitiv-</w:t>
      </w:r>
      <w:r w:rsidR="005407E2">
        <w:rPr>
          <w:rFonts w:eastAsia="Times New Roman" w:cs="Times New Roman"/>
          <w:lang w:eastAsia="de-DE"/>
        </w:rPr>
        <w:t>Constructus</w:t>
      </w:r>
      <w:r w:rsidRPr="00BA68AC">
        <w:rPr>
          <w:rFonts w:eastAsia="Times New Roman" w:cs="Times New Roman"/>
          <w:lang w:eastAsia="de-DE"/>
        </w:rPr>
        <w:t xml:space="preserve"> mit Präposition </w:t>
      </w:r>
      <w:r w:rsidRPr="00BA68AC">
        <w:rPr>
          <w:rFonts w:eastAsia="Times New Roman" w:cs="Times New Roman"/>
          <w:b/>
          <w:bCs/>
          <w:rtl/>
          <w:lang w:eastAsia="de-DE"/>
        </w:rPr>
        <w:t>ב</w:t>
      </w:r>
      <w:r w:rsidRPr="00BA68AC">
        <w:rPr>
          <w:rFonts w:eastAsia="Times New Roman" w:cs="Times New Roman"/>
          <w:rtl/>
          <w:lang w:eastAsia="de-DE"/>
        </w:rPr>
        <w:t xml:space="preserve"> </w:t>
      </w:r>
      <w:r w:rsidRPr="00BA68AC">
        <w:rPr>
          <w:rFonts w:eastAsia="Times New Roman" w:cs="Times New Roman"/>
          <w:lang w:eastAsia="de-DE"/>
        </w:rPr>
        <w:t xml:space="preserve">und Suffix 2. Person maskulin Plural. </w:t>
      </w:r>
      <w:r w:rsidRPr="00BA68AC">
        <w:rPr>
          <w:rFonts w:eastAsia="Times New Roman" w:cs="Times New Roman"/>
          <w:b/>
          <w:bCs/>
          <w:rtl/>
          <w:lang w:eastAsia="de-DE"/>
        </w:rPr>
        <w:t>אל־אהל מועד</w:t>
      </w:r>
      <w:r w:rsidRPr="00BA68AC">
        <w:rPr>
          <w:rFonts w:eastAsia="Times New Roman" w:cs="Times New Roman"/>
          <w:rtl/>
          <w:lang w:eastAsia="de-DE"/>
        </w:rPr>
        <w:t xml:space="preserve"> </w:t>
      </w:r>
      <w:r w:rsidRPr="00BA68AC">
        <w:rPr>
          <w:rFonts w:eastAsia="Times New Roman" w:cs="Times New Roman"/>
          <w:lang w:eastAsia="de-DE"/>
        </w:rPr>
        <w:t xml:space="preserve">(zum Zelt der Begegnung) spezifiziert den Ort des Verbots. </w:t>
      </w:r>
      <w:r w:rsidRPr="00BA68AC">
        <w:rPr>
          <w:rFonts w:eastAsia="Times New Roman" w:cs="Times New Roman"/>
          <w:b/>
          <w:bCs/>
          <w:rtl/>
          <w:lang w:eastAsia="de-DE"/>
        </w:rPr>
        <w:t>ולא תמתו</w:t>
      </w:r>
      <w:r w:rsidRPr="00BA68AC">
        <w:rPr>
          <w:rFonts w:eastAsia="Times New Roman" w:cs="Times New Roman"/>
          <w:rtl/>
          <w:lang w:eastAsia="de-DE"/>
        </w:rPr>
        <w:t xml:space="preserve"> </w:t>
      </w:r>
      <w:r w:rsidRPr="00BA68AC">
        <w:rPr>
          <w:rFonts w:eastAsia="Times New Roman" w:cs="Times New Roman"/>
          <w:lang w:eastAsia="de-DE"/>
        </w:rPr>
        <w:t>(und ihr werdet nicht sterben) als negative Konsequenz bei Befolgung.</w:t>
      </w:r>
    </w:p>
    <w:p w14:paraId="786755FC"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חקת עולם לדרתיכם</w:t>
      </w:r>
      <w:r w:rsidRPr="00BA68AC">
        <w:rPr>
          <w:rFonts w:eastAsia="Times New Roman" w:cs="Times New Roman"/>
          <w:rtl/>
          <w:lang w:eastAsia="de-DE"/>
        </w:rPr>
        <w:t xml:space="preserve"> </w:t>
      </w:r>
      <w:r w:rsidRPr="00BA68AC">
        <w:rPr>
          <w:rFonts w:eastAsia="Times New Roman" w:cs="Times New Roman"/>
          <w:lang w:eastAsia="de-DE"/>
        </w:rPr>
        <w:t xml:space="preserve">zeigt </w:t>
      </w:r>
      <w:r w:rsidRPr="00BA68AC">
        <w:rPr>
          <w:rFonts w:eastAsia="Times New Roman" w:cs="Times New Roman"/>
          <w:b/>
          <w:bCs/>
          <w:rtl/>
          <w:lang w:eastAsia="de-DE"/>
        </w:rPr>
        <w:t>חקה</w:t>
      </w:r>
      <w:r w:rsidRPr="00BA68AC">
        <w:rPr>
          <w:rFonts w:eastAsia="Times New Roman" w:cs="Times New Roman"/>
          <w:rtl/>
          <w:lang w:eastAsia="de-DE"/>
        </w:rPr>
        <w:t xml:space="preserve"> </w:t>
      </w:r>
      <w:r w:rsidRPr="00BA68AC">
        <w:rPr>
          <w:rFonts w:eastAsia="Times New Roman" w:cs="Times New Roman"/>
          <w:lang w:eastAsia="de-DE"/>
        </w:rPr>
        <w:t xml:space="preserve">(Satzung) als feminin Singular von </w:t>
      </w:r>
      <w:r w:rsidRPr="00BA68AC">
        <w:rPr>
          <w:rFonts w:eastAsia="Times New Roman" w:cs="Times New Roman"/>
          <w:b/>
          <w:bCs/>
          <w:rtl/>
          <w:lang w:eastAsia="de-DE"/>
        </w:rPr>
        <w:t>חק</w:t>
      </w:r>
      <w:r w:rsidRPr="00BA68AC">
        <w:rPr>
          <w:rFonts w:eastAsia="Times New Roman" w:cs="Times New Roman"/>
          <w:lang w:eastAsia="de-DE"/>
        </w:rPr>
        <w:t xml:space="preserve">. </w:t>
      </w:r>
      <w:r w:rsidRPr="00BA68AC">
        <w:rPr>
          <w:rFonts w:eastAsia="Times New Roman" w:cs="Times New Roman"/>
          <w:b/>
          <w:bCs/>
          <w:rtl/>
          <w:lang w:eastAsia="de-DE"/>
        </w:rPr>
        <w:t>עולם</w:t>
      </w:r>
      <w:r w:rsidRPr="00BA68AC">
        <w:rPr>
          <w:rFonts w:eastAsia="Times New Roman" w:cs="Times New Roman"/>
          <w:rtl/>
          <w:lang w:eastAsia="de-DE"/>
        </w:rPr>
        <w:t xml:space="preserve"> </w:t>
      </w:r>
      <w:r w:rsidRPr="00BA68AC">
        <w:rPr>
          <w:rFonts w:eastAsia="Times New Roman" w:cs="Times New Roman"/>
          <w:lang w:eastAsia="de-DE"/>
        </w:rPr>
        <w:t xml:space="preserve">(ewig) und </w:t>
      </w:r>
      <w:r w:rsidRPr="00BA68AC">
        <w:rPr>
          <w:rFonts w:eastAsia="Times New Roman" w:cs="Times New Roman"/>
          <w:b/>
          <w:bCs/>
          <w:rtl/>
          <w:lang w:eastAsia="de-DE"/>
        </w:rPr>
        <w:t>לדרתיכם</w:t>
      </w:r>
      <w:r w:rsidRPr="00BA68AC">
        <w:rPr>
          <w:rFonts w:eastAsia="Times New Roman" w:cs="Times New Roman"/>
          <w:rtl/>
          <w:lang w:eastAsia="de-DE"/>
        </w:rPr>
        <w:t xml:space="preserve"> </w:t>
      </w:r>
      <w:r w:rsidRPr="00BA68AC">
        <w:rPr>
          <w:rFonts w:eastAsia="Times New Roman" w:cs="Times New Roman"/>
          <w:lang w:eastAsia="de-DE"/>
        </w:rPr>
        <w:t>(für eure Generationen) mit Suffix 2. Person maskulin Plural betonen die Dauerhaftigkeit.</w:t>
      </w:r>
    </w:p>
    <w:p w14:paraId="2F5A998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lastRenderedPageBreak/>
        <w:t>יין ושכר</w:t>
      </w:r>
      <w:r w:rsidRPr="00BA68AC">
        <w:rPr>
          <w:rFonts w:eastAsia="Times New Roman" w:cs="Times New Roman"/>
          <w:rtl/>
          <w:lang w:eastAsia="de-DE"/>
        </w:rPr>
        <w:t xml:space="preserve"> </w:t>
      </w:r>
      <w:r w:rsidRPr="00BA68AC">
        <w:rPr>
          <w:rFonts w:eastAsia="Times New Roman" w:cs="Times New Roman"/>
          <w:lang w:eastAsia="de-DE"/>
        </w:rPr>
        <w:t xml:space="preserve">umfasst alle alkoholischen Getränke: </w:t>
      </w:r>
      <w:r w:rsidRPr="00BA68AC">
        <w:rPr>
          <w:rFonts w:eastAsia="Times New Roman" w:cs="Times New Roman"/>
          <w:b/>
          <w:bCs/>
          <w:rtl/>
          <w:lang w:eastAsia="de-DE"/>
        </w:rPr>
        <w:t>יין</w:t>
      </w:r>
      <w:r w:rsidRPr="00BA68AC">
        <w:rPr>
          <w:rFonts w:eastAsia="Times New Roman" w:cs="Times New Roman"/>
          <w:rtl/>
          <w:lang w:eastAsia="de-DE"/>
        </w:rPr>
        <w:t xml:space="preserve"> </w:t>
      </w:r>
      <w:r w:rsidRPr="00BA68AC">
        <w:rPr>
          <w:rFonts w:eastAsia="Times New Roman" w:cs="Times New Roman"/>
          <w:lang w:eastAsia="de-DE"/>
        </w:rPr>
        <w:t xml:space="preserve">(Wein aus Trauben) und </w:t>
      </w:r>
      <w:r w:rsidRPr="00BA68AC">
        <w:rPr>
          <w:rFonts w:eastAsia="Times New Roman" w:cs="Times New Roman"/>
          <w:b/>
          <w:bCs/>
          <w:rtl/>
          <w:lang w:eastAsia="de-DE"/>
        </w:rPr>
        <w:t>שכר</w:t>
      </w:r>
      <w:r w:rsidRPr="00BA68AC">
        <w:rPr>
          <w:rFonts w:eastAsia="Times New Roman" w:cs="Times New Roman"/>
          <w:rtl/>
          <w:lang w:eastAsia="de-DE"/>
        </w:rPr>
        <w:t xml:space="preserve"> </w:t>
      </w:r>
      <w:r w:rsidRPr="00BA68AC">
        <w:rPr>
          <w:rFonts w:eastAsia="Times New Roman" w:cs="Times New Roman"/>
          <w:lang w:eastAsia="de-DE"/>
        </w:rPr>
        <w:t xml:space="preserve">(fermentierte Getränke aus Getreide). Das Verbot gilt nur </w:t>
      </w:r>
      <w:r w:rsidRPr="00BA68AC">
        <w:rPr>
          <w:rFonts w:eastAsia="Times New Roman" w:cs="Times New Roman"/>
          <w:b/>
          <w:bCs/>
          <w:rtl/>
          <w:lang w:eastAsia="de-DE"/>
        </w:rPr>
        <w:t>בבאכם אל־אהל מועד</w:t>
      </w:r>
      <w:r w:rsidRPr="00BA68AC">
        <w:rPr>
          <w:rFonts w:eastAsia="Times New Roman" w:cs="Times New Roman"/>
          <w:rtl/>
          <w:lang w:eastAsia="de-DE"/>
        </w:rPr>
        <w:t xml:space="preserve"> </w:t>
      </w:r>
      <w:r w:rsidRPr="00BA68AC">
        <w:rPr>
          <w:rFonts w:eastAsia="Times New Roman" w:cs="Times New Roman"/>
          <w:lang w:eastAsia="de-DE"/>
        </w:rPr>
        <w:t>(beim Betreten des Heiligtums), nicht generell.</w:t>
      </w:r>
    </w:p>
    <w:p w14:paraId="41BFFEE5"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rtl/>
          <w:lang w:eastAsia="de-DE"/>
        </w:rPr>
        <w:t>ולא תמתו</w:t>
      </w:r>
      <w:r w:rsidRPr="00BA68AC">
        <w:rPr>
          <w:rFonts w:eastAsia="Times New Roman" w:cs="Times New Roman"/>
          <w:rtl/>
          <w:lang w:eastAsia="de-DE"/>
        </w:rPr>
        <w:t xml:space="preserve"> </w:t>
      </w:r>
      <w:r w:rsidRPr="00BA68AC">
        <w:rPr>
          <w:rFonts w:eastAsia="Times New Roman" w:cs="Times New Roman"/>
          <w:lang w:eastAsia="de-DE"/>
        </w:rPr>
        <w:t xml:space="preserve">als positive Formulierung (durch Gehorsam Leben bewahren) kontrastiert mit den Todesdrohungen bei Ungehorsam. </w:t>
      </w:r>
      <w:r w:rsidRPr="00BA68AC">
        <w:rPr>
          <w:rFonts w:eastAsia="Times New Roman" w:cs="Times New Roman"/>
          <w:b/>
          <w:bCs/>
          <w:rtl/>
          <w:lang w:eastAsia="de-DE"/>
        </w:rPr>
        <w:t>חקת עולם לדרתיכם</w:t>
      </w:r>
      <w:r w:rsidRPr="00BA68AC">
        <w:rPr>
          <w:rFonts w:eastAsia="Times New Roman" w:cs="Times New Roman"/>
          <w:rtl/>
          <w:lang w:eastAsia="de-DE"/>
        </w:rPr>
        <w:t xml:space="preserve"> </w:t>
      </w:r>
      <w:r w:rsidRPr="00BA68AC">
        <w:rPr>
          <w:rFonts w:eastAsia="Times New Roman" w:cs="Times New Roman"/>
          <w:lang w:eastAsia="de-DE"/>
        </w:rPr>
        <w:t>etabliert dies als fundamentales priesterliches Gesetz für alle Zeiten.</w:t>
      </w:r>
    </w:p>
    <w:p w14:paraId="7DA27BE4" w14:textId="40D13CE4"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LXX</w:t>
      </w:r>
      <w:r w:rsidRPr="00BA68AC">
        <w:rPr>
          <w:rFonts w:eastAsia="Times New Roman" w:cs="Times New Roman"/>
          <w:lang w:eastAsia="de-DE"/>
        </w:rPr>
        <w:t xml:space="preserve"> </w:t>
      </w:r>
      <w:r w:rsidR="00F6539E">
        <w:t>fügt ἢ π</w:t>
      </w:r>
      <w:proofErr w:type="spellStart"/>
      <w:r w:rsidR="00F6539E">
        <w:t>ροσ</w:t>
      </w:r>
      <w:proofErr w:type="spellEnd"/>
      <w:r w:rsidR="00F6539E">
        <w:t xml:space="preserve">πορευομένων </w:t>
      </w:r>
      <w:proofErr w:type="spellStart"/>
      <w:r w:rsidR="00F6539E">
        <w:t>ὑμῶν</w:t>
      </w:r>
      <w:proofErr w:type="spellEnd"/>
      <w:r w:rsidR="00F6539E">
        <w:t xml:space="preserve"> π</w:t>
      </w:r>
      <w:proofErr w:type="spellStart"/>
      <w:r w:rsidR="00F6539E">
        <w:t>ρὸς</w:t>
      </w:r>
      <w:proofErr w:type="spellEnd"/>
      <w:r w:rsidR="00F6539E">
        <w:t xml:space="preserve"> </w:t>
      </w:r>
      <w:proofErr w:type="spellStart"/>
      <w:r w:rsidR="00F6539E">
        <w:t>τὸ</w:t>
      </w:r>
      <w:proofErr w:type="spellEnd"/>
      <w:r w:rsidR="00F6539E">
        <w:t xml:space="preserve"> </w:t>
      </w:r>
      <w:proofErr w:type="spellStart"/>
      <w:r w:rsidR="00F6539E">
        <w:t>θυσι</w:t>
      </w:r>
      <w:proofErr w:type="spellEnd"/>
      <w:r w:rsidR="00F6539E">
        <w:t>αστήριον (oder wenn ihr zum Altar hinzugeht) hinzu, was eine Erweiterung des Alkoholverbots darstellt, die im hebräischen Text nicht explizit ist.</w:t>
      </w:r>
    </w:p>
    <w:p w14:paraId="5D77DED3"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b/>
          <w:bCs/>
          <w:lang w:eastAsia="de-DE"/>
        </w:rPr>
        <w:t>Die Satzstruktur:</w:t>
      </w:r>
      <w:r w:rsidRPr="00BA68AC">
        <w:rPr>
          <w:rFonts w:eastAsia="Times New Roman" w:cs="Times New Roman"/>
          <w:lang w:eastAsia="de-DE"/>
        </w:rPr>
        <w:t xml:space="preserve"> zeigt Verbot mit Spezifikation plus Legitimation: zwei Objekte + Verbot + Subjektspezifikation + temporale Begrenzung + negative Konsequenz + Rechtscharakter mit Dauerhaftigkeitsklausel. Die Struktur betont sowohl das Verbot als auch seine ewige Gültigkeit.</w:t>
      </w:r>
    </w:p>
    <w:p w14:paraId="5AAC2E60" w14:textId="77777777" w:rsidR="00BA68AC" w:rsidRPr="00BA68AC" w:rsidRDefault="00BA68AC" w:rsidP="00BA68AC">
      <w:pPr>
        <w:spacing w:before="100" w:beforeAutospacing="1" w:after="100" w:afterAutospacing="1" w:line="240" w:lineRule="auto"/>
        <w:rPr>
          <w:rFonts w:eastAsia="Times New Roman" w:cs="Times New Roman"/>
          <w:lang w:eastAsia="de-DE"/>
        </w:rPr>
      </w:pPr>
      <w:r w:rsidRPr="00BA68AC">
        <w:rPr>
          <w:rFonts w:eastAsia="Times New Roman" w:cs="Times New Roman"/>
          <w:lang w:eastAsia="de-DE"/>
        </w:rPr>
        <w:t>Dieser Vers etabliert das fundamentale Alkoholverbot für Priester während des Dienstes als ewige Ordnung zur Vermeidung tödlicher Konsequenzen.</w:t>
      </w:r>
    </w:p>
    <w:p w14:paraId="10E9BB73"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10,10</w:t>
      </w:r>
    </w:p>
    <w:p w14:paraId="71C8D87B"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וּֽלֲהַבְדִּ֔יל בֵּ֥ין הַקֹּ֖דֶשׁ וּבֵ֣ין הַחֹ֑ל וּבֵ֥ין הַטָּמֵ֖א וּבֵ֥ין הַטָּהֽוֹר׃</w:t>
      </w:r>
    </w:p>
    <w:p w14:paraId="4125DF3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um zu unterscheiden zwischen dem Heiligen und dem Profanen und zwischen dem Unreinen und dem Reinen,</w:t>
      </w:r>
    </w:p>
    <w:p w14:paraId="64F23167"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2187D1CD">
          <v:rect id="_x0000_i1266" style="width:0;height:1.5pt" o:hralign="center" o:hrstd="t" o:hr="t" fillcolor="#a0a0a0" stroked="f"/>
        </w:pict>
      </w:r>
    </w:p>
    <w:p w14:paraId="3A5E1B2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ולהבדיל בין הקדש ובין החל ובין הטמא ובין הטהור</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בדל</w:t>
      </w:r>
      <w:r w:rsidRPr="0066048C">
        <w:rPr>
          <w:rFonts w:eastAsia="Times New Roman" w:cs="Times New Roman"/>
          <w:rtl/>
          <w:lang w:eastAsia="de-DE"/>
        </w:rPr>
        <w:t xml:space="preserve"> </w:t>
      </w:r>
      <w:r w:rsidRPr="0066048C">
        <w:rPr>
          <w:rFonts w:eastAsia="Times New Roman" w:cs="Times New Roman"/>
          <w:lang w:eastAsia="de-DE"/>
        </w:rPr>
        <w:t xml:space="preserve">(unterscheiden/trennen) im Hifil-Infinitiv mit Präposition </w:t>
      </w:r>
      <w:r w:rsidRPr="0066048C">
        <w:rPr>
          <w:rFonts w:eastAsia="Times New Roman" w:cs="Times New Roman"/>
          <w:b/>
          <w:bCs/>
          <w:rtl/>
          <w:lang w:eastAsia="de-DE"/>
        </w:rPr>
        <w:t>ל</w:t>
      </w:r>
      <w:r w:rsidRPr="0066048C">
        <w:rPr>
          <w:rFonts w:eastAsia="Times New Roman" w:cs="Times New Roman"/>
          <w:rtl/>
          <w:lang w:eastAsia="de-DE"/>
        </w:rPr>
        <w:t xml:space="preserve"> </w:t>
      </w:r>
      <w:r w:rsidRPr="0066048C">
        <w:rPr>
          <w:rFonts w:eastAsia="Times New Roman" w:cs="Times New Roman"/>
          <w:lang w:eastAsia="de-DE"/>
        </w:rPr>
        <w:t xml:space="preserve">zur Zweckangabe. Das Hifil drückt die kausative Bedeutung "unterscheiden lassen/trennen" aus. Vier koordinierte </w:t>
      </w:r>
      <w:r w:rsidRPr="0066048C">
        <w:rPr>
          <w:rFonts w:eastAsia="Times New Roman" w:cs="Times New Roman"/>
          <w:b/>
          <w:bCs/>
          <w:rtl/>
          <w:lang w:eastAsia="de-DE"/>
        </w:rPr>
        <w:t>בין</w:t>
      </w:r>
      <w:r w:rsidRPr="0066048C">
        <w:rPr>
          <w:rFonts w:eastAsia="Times New Roman" w:cs="Times New Roman"/>
          <w:lang w:eastAsia="de-DE"/>
        </w:rPr>
        <w:t>-Phrasen (zwischen) zeigen zwei fundamentale Unterscheidungspaare.</w:t>
      </w:r>
    </w:p>
    <w:p w14:paraId="47438B3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בין הקדש ובין החל</w:t>
      </w:r>
      <w:r w:rsidRPr="0066048C">
        <w:rPr>
          <w:rFonts w:eastAsia="Times New Roman" w:cs="Times New Roman"/>
          <w:rtl/>
          <w:lang w:eastAsia="de-DE"/>
        </w:rPr>
        <w:t xml:space="preserve"> </w:t>
      </w:r>
      <w:r w:rsidRPr="0066048C">
        <w:rPr>
          <w:rFonts w:eastAsia="Times New Roman" w:cs="Times New Roman"/>
          <w:lang w:eastAsia="de-DE"/>
        </w:rPr>
        <w:t xml:space="preserve">(zwischen dem Heiligen und dem Profanen) zeigt die erste Kategorie. </w:t>
      </w:r>
      <w:r w:rsidRPr="0066048C">
        <w:rPr>
          <w:rFonts w:eastAsia="Times New Roman" w:cs="Times New Roman"/>
          <w:b/>
          <w:bCs/>
          <w:rtl/>
          <w:lang w:eastAsia="de-DE"/>
        </w:rPr>
        <w:t>קדש</w:t>
      </w:r>
      <w:r w:rsidRPr="0066048C">
        <w:rPr>
          <w:rFonts w:eastAsia="Times New Roman" w:cs="Times New Roman"/>
          <w:rtl/>
          <w:lang w:eastAsia="de-DE"/>
        </w:rPr>
        <w:t xml:space="preserve"> </w:t>
      </w:r>
      <w:r w:rsidRPr="0066048C">
        <w:rPr>
          <w:rFonts w:eastAsia="Times New Roman" w:cs="Times New Roman"/>
          <w:lang w:eastAsia="de-DE"/>
        </w:rPr>
        <w:t xml:space="preserve">(heilig) und </w:t>
      </w:r>
      <w:r w:rsidRPr="0066048C">
        <w:rPr>
          <w:rFonts w:eastAsia="Times New Roman" w:cs="Times New Roman"/>
          <w:b/>
          <w:bCs/>
          <w:rtl/>
          <w:lang w:eastAsia="de-DE"/>
        </w:rPr>
        <w:t>חל</w:t>
      </w:r>
      <w:r w:rsidRPr="0066048C">
        <w:rPr>
          <w:rFonts w:eastAsia="Times New Roman" w:cs="Times New Roman"/>
          <w:rtl/>
          <w:lang w:eastAsia="de-DE"/>
        </w:rPr>
        <w:t xml:space="preserve"> </w:t>
      </w:r>
      <w:r w:rsidRPr="0066048C">
        <w:rPr>
          <w:rFonts w:eastAsia="Times New Roman" w:cs="Times New Roman"/>
          <w:lang w:eastAsia="de-DE"/>
        </w:rPr>
        <w:t xml:space="preserve">(profan/gewöhnlich) bilden das grundlegende sakrale Unterscheidungspaar. </w:t>
      </w:r>
      <w:r w:rsidRPr="0066048C">
        <w:rPr>
          <w:rFonts w:eastAsia="Times New Roman" w:cs="Times New Roman"/>
          <w:b/>
          <w:bCs/>
          <w:rtl/>
          <w:lang w:eastAsia="de-DE"/>
        </w:rPr>
        <w:t>החל</w:t>
      </w:r>
      <w:r w:rsidRPr="0066048C">
        <w:rPr>
          <w:rFonts w:eastAsia="Times New Roman" w:cs="Times New Roman"/>
          <w:rtl/>
          <w:lang w:eastAsia="de-DE"/>
        </w:rPr>
        <w:t xml:space="preserve"> </w:t>
      </w:r>
      <w:r w:rsidRPr="0066048C">
        <w:rPr>
          <w:rFonts w:eastAsia="Times New Roman" w:cs="Times New Roman"/>
          <w:lang w:eastAsia="de-DE"/>
        </w:rPr>
        <w:t xml:space="preserve">von </w:t>
      </w:r>
      <w:r w:rsidRPr="0066048C">
        <w:rPr>
          <w:rFonts w:eastAsia="Times New Roman" w:cs="Times New Roman"/>
          <w:b/>
          <w:bCs/>
          <w:rtl/>
          <w:lang w:eastAsia="de-DE"/>
        </w:rPr>
        <w:t>חלל</w:t>
      </w:r>
      <w:r w:rsidRPr="0066048C">
        <w:rPr>
          <w:rFonts w:eastAsia="Times New Roman" w:cs="Times New Roman"/>
          <w:rtl/>
          <w:lang w:eastAsia="de-DE"/>
        </w:rPr>
        <w:t xml:space="preserve"> </w:t>
      </w:r>
      <w:r w:rsidRPr="0066048C">
        <w:rPr>
          <w:rFonts w:eastAsia="Times New Roman" w:cs="Times New Roman"/>
          <w:lang w:eastAsia="de-DE"/>
        </w:rPr>
        <w:t>(entweihen/profanieren) bezeichnet das Nicht-Heilige.</w:t>
      </w:r>
    </w:p>
    <w:p w14:paraId="0541A39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ובין הטמא ובין הטהור</w:t>
      </w:r>
      <w:r w:rsidRPr="0066048C">
        <w:rPr>
          <w:rFonts w:eastAsia="Times New Roman" w:cs="Times New Roman"/>
          <w:rtl/>
          <w:lang w:eastAsia="de-DE"/>
        </w:rPr>
        <w:t xml:space="preserve"> </w:t>
      </w:r>
      <w:r w:rsidRPr="0066048C">
        <w:rPr>
          <w:rFonts w:eastAsia="Times New Roman" w:cs="Times New Roman"/>
          <w:lang w:eastAsia="de-DE"/>
        </w:rPr>
        <w:t xml:space="preserve">(und zwischen dem Unreinen und dem Reinen) zeigt die zweite Kategorie. </w:t>
      </w:r>
      <w:r w:rsidRPr="0066048C">
        <w:rPr>
          <w:rFonts w:eastAsia="Times New Roman" w:cs="Times New Roman"/>
          <w:b/>
          <w:bCs/>
          <w:rtl/>
          <w:lang w:eastAsia="de-DE"/>
        </w:rPr>
        <w:t>טמא</w:t>
      </w:r>
      <w:r w:rsidRPr="0066048C">
        <w:rPr>
          <w:rFonts w:eastAsia="Times New Roman" w:cs="Times New Roman"/>
          <w:rtl/>
          <w:lang w:eastAsia="de-DE"/>
        </w:rPr>
        <w:t xml:space="preserve"> </w:t>
      </w:r>
      <w:r w:rsidRPr="0066048C">
        <w:rPr>
          <w:rFonts w:eastAsia="Times New Roman" w:cs="Times New Roman"/>
          <w:lang w:eastAsia="de-DE"/>
        </w:rPr>
        <w:t xml:space="preserve">(unrein) und </w:t>
      </w:r>
      <w:r w:rsidRPr="0066048C">
        <w:rPr>
          <w:rFonts w:eastAsia="Times New Roman" w:cs="Times New Roman"/>
          <w:b/>
          <w:bCs/>
          <w:rtl/>
          <w:lang w:eastAsia="de-DE"/>
        </w:rPr>
        <w:t>טהור</w:t>
      </w:r>
      <w:r w:rsidRPr="0066048C">
        <w:rPr>
          <w:rFonts w:eastAsia="Times New Roman" w:cs="Times New Roman"/>
          <w:rtl/>
          <w:lang w:eastAsia="de-DE"/>
        </w:rPr>
        <w:t xml:space="preserve"> </w:t>
      </w:r>
      <w:r w:rsidRPr="0066048C">
        <w:rPr>
          <w:rFonts w:eastAsia="Times New Roman" w:cs="Times New Roman"/>
          <w:lang w:eastAsia="de-DE"/>
        </w:rPr>
        <w:t>(rein) bilden das Reinheitspaar, das kultische Teilnahmefähigkeit bestimmt.</w:t>
      </w:r>
    </w:p>
    <w:p w14:paraId="422D9812"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להבדיל</w:t>
      </w:r>
      <w:r w:rsidRPr="0066048C">
        <w:rPr>
          <w:rFonts w:eastAsia="Times New Roman" w:cs="Times New Roman"/>
          <w:rtl/>
          <w:lang w:eastAsia="de-DE"/>
        </w:rPr>
        <w:t xml:space="preserve"> </w:t>
      </w:r>
      <w:r w:rsidRPr="0066048C">
        <w:rPr>
          <w:rFonts w:eastAsia="Times New Roman" w:cs="Times New Roman"/>
          <w:lang w:eastAsia="de-DE"/>
        </w:rPr>
        <w:t>als Zweck-Infinitiv bezieht sich auf das Alkoholverbot aus V. 9: Nüchternheit ist notwendig für korrekte kultische Unterscheidungen. Diese vier Kategorien (</w:t>
      </w:r>
      <w:r w:rsidRPr="0066048C">
        <w:rPr>
          <w:rFonts w:eastAsia="Times New Roman" w:cs="Times New Roman"/>
          <w:b/>
          <w:bCs/>
          <w:rtl/>
          <w:lang w:eastAsia="de-DE"/>
        </w:rPr>
        <w:t>קדש/חל</w:t>
      </w:r>
      <w:r w:rsidRPr="0066048C">
        <w:rPr>
          <w:rFonts w:eastAsia="Times New Roman" w:cs="Times New Roman"/>
          <w:lang w:eastAsia="de-DE"/>
        </w:rPr>
        <w:t xml:space="preserve">, </w:t>
      </w:r>
      <w:r w:rsidRPr="0066048C">
        <w:rPr>
          <w:rFonts w:eastAsia="Times New Roman" w:cs="Times New Roman"/>
          <w:b/>
          <w:bCs/>
          <w:rtl/>
          <w:lang w:eastAsia="de-DE"/>
        </w:rPr>
        <w:t>טמא/טהור</w:t>
      </w:r>
      <w:r w:rsidRPr="0066048C">
        <w:rPr>
          <w:rFonts w:eastAsia="Times New Roman" w:cs="Times New Roman"/>
          <w:lang w:eastAsia="de-DE"/>
        </w:rPr>
        <w:t>) sind fundamental für das levitische System.</w:t>
      </w:r>
    </w:p>
    <w:p w14:paraId="6A2FB79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 doppelte </w:t>
      </w:r>
      <w:r w:rsidRPr="0066048C">
        <w:rPr>
          <w:rFonts w:eastAsia="Times New Roman" w:cs="Times New Roman"/>
          <w:b/>
          <w:bCs/>
          <w:rtl/>
          <w:lang w:eastAsia="de-DE"/>
        </w:rPr>
        <w:t>בין...ובין</w:t>
      </w:r>
      <w:r w:rsidRPr="0066048C">
        <w:rPr>
          <w:rFonts w:eastAsia="Times New Roman" w:cs="Times New Roman"/>
          <w:lang w:eastAsia="de-DE"/>
        </w:rPr>
        <w:t xml:space="preserve">-Struktur betont beide Unterscheidungspaare als gleichwertig wichtig. </w:t>
      </w:r>
      <w:r w:rsidRPr="0066048C">
        <w:rPr>
          <w:rFonts w:eastAsia="Times New Roman" w:cs="Times New Roman"/>
          <w:b/>
          <w:bCs/>
          <w:rtl/>
          <w:lang w:eastAsia="de-DE"/>
        </w:rPr>
        <w:t>ולהבדיל</w:t>
      </w:r>
      <w:r w:rsidRPr="0066048C">
        <w:rPr>
          <w:rFonts w:eastAsia="Times New Roman" w:cs="Times New Roman"/>
          <w:rtl/>
          <w:lang w:eastAsia="de-DE"/>
        </w:rPr>
        <w:t xml:space="preserve"> </w:t>
      </w:r>
      <w:r w:rsidRPr="0066048C">
        <w:rPr>
          <w:rFonts w:eastAsia="Times New Roman" w:cs="Times New Roman"/>
          <w:lang w:eastAsia="de-DE"/>
        </w:rPr>
        <w:t>zeigt, dass Unterscheidungsfähigkeit eine zentrale priesterliche Aufgabe ist.</w:t>
      </w:r>
    </w:p>
    <w:p w14:paraId="43A2050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lastRenderedPageBreak/>
        <w:t>Die LXX</w:t>
      </w:r>
      <w:r w:rsidRPr="0066048C">
        <w:rPr>
          <w:rFonts w:eastAsia="Times New Roman" w:cs="Times New Roman"/>
          <w:lang w:eastAsia="de-DE"/>
        </w:rPr>
        <w:t xml:space="preserve"> übersetzt </w:t>
      </w:r>
      <w:r w:rsidRPr="0066048C">
        <w:rPr>
          <w:rFonts w:eastAsia="Times New Roman" w:cs="Times New Roman"/>
          <w:b/>
          <w:bCs/>
          <w:rtl/>
          <w:lang w:eastAsia="de-DE"/>
        </w:rPr>
        <w:t>להבדיל</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δι</w:t>
      </w:r>
      <w:proofErr w:type="spellEnd"/>
      <w:r w:rsidRPr="0066048C">
        <w:rPr>
          <w:rFonts w:eastAsia="Times New Roman" w:cs="Times New Roman"/>
          <w:lang w:eastAsia="de-DE"/>
        </w:rPr>
        <w:t xml:space="preserve">αστεῖλαι (zu unterscheiden), </w:t>
      </w:r>
      <w:r w:rsidRPr="0066048C">
        <w:rPr>
          <w:rFonts w:eastAsia="Times New Roman" w:cs="Times New Roman"/>
          <w:b/>
          <w:bCs/>
          <w:rtl/>
          <w:lang w:eastAsia="de-DE"/>
        </w:rPr>
        <w:t>הקדש</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ἁγίου</w:t>
      </w:r>
      <w:proofErr w:type="spellEnd"/>
      <w:r w:rsidRPr="0066048C">
        <w:rPr>
          <w:rFonts w:eastAsia="Times New Roman" w:cs="Times New Roman"/>
          <w:lang w:eastAsia="de-DE"/>
        </w:rPr>
        <w:t xml:space="preserve"> (des Heiligen), </w:t>
      </w:r>
      <w:r w:rsidRPr="0066048C">
        <w:rPr>
          <w:rFonts w:eastAsia="Times New Roman" w:cs="Times New Roman"/>
          <w:b/>
          <w:bCs/>
          <w:rtl/>
          <w:lang w:eastAsia="de-DE"/>
        </w:rPr>
        <w:t>החל</w:t>
      </w:r>
      <w:r w:rsidRPr="0066048C">
        <w:rPr>
          <w:rFonts w:eastAsia="Times New Roman" w:cs="Times New Roman"/>
          <w:rtl/>
          <w:lang w:eastAsia="de-DE"/>
        </w:rPr>
        <w:t xml:space="preserve"> </w:t>
      </w:r>
      <w:r w:rsidRPr="0066048C">
        <w:rPr>
          <w:rFonts w:eastAsia="Times New Roman" w:cs="Times New Roman"/>
          <w:lang w:eastAsia="de-DE"/>
        </w:rPr>
        <w:t>mit βεβ</w:t>
      </w:r>
      <w:proofErr w:type="spellStart"/>
      <w:r w:rsidRPr="0066048C">
        <w:rPr>
          <w:rFonts w:eastAsia="Times New Roman" w:cs="Times New Roman"/>
          <w:lang w:eastAsia="de-DE"/>
        </w:rPr>
        <w:t>ήλου</w:t>
      </w:r>
      <w:proofErr w:type="spellEnd"/>
      <w:r w:rsidRPr="0066048C">
        <w:rPr>
          <w:rFonts w:eastAsia="Times New Roman" w:cs="Times New Roman"/>
          <w:lang w:eastAsia="de-DE"/>
        </w:rPr>
        <w:t xml:space="preserve"> (des Profanen), </w:t>
      </w:r>
      <w:r w:rsidRPr="0066048C">
        <w:rPr>
          <w:rFonts w:eastAsia="Times New Roman" w:cs="Times New Roman"/>
          <w:b/>
          <w:bCs/>
          <w:rtl/>
          <w:lang w:eastAsia="de-DE"/>
        </w:rPr>
        <w:t>הטמא</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ἀκ</w:t>
      </w:r>
      <w:proofErr w:type="spellEnd"/>
      <w:r w:rsidRPr="0066048C">
        <w:rPr>
          <w:rFonts w:eastAsia="Times New Roman" w:cs="Times New Roman"/>
          <w:lang w:eastAsia="de-DE"/>
        </w:rPr>
        <w:t xml:space="preserve">αθάρτου (des Unreinen) und </w:t>
      </w:r>
      <w:r w:rsidRPr="0066048C">
        <w:rPr>
          <w:rFonts w:eastAsia="Times New Roman" w:cs="Times New Roman"/>
          <w:b/>
          <w:bCs/>
          <w:rtl/>
          <w:lang w:eastAsia="de-DE"/>
        </w:rPr>
        <w:t>הטהור</w:t>
      </w:r>
      <w:r w:rsidRPr="0066048C">
        <w:rPr>
          <w:rFonts w:eastAsia="Times New Roman" w:cs="Times New Roman"/>
          <w:rtl/>
          <w:lang w:eastAsia="de-DE"/>
        </w:rPr>
        <w:t xml:space="preserve"> </w:t>
      </w:r>
      <w:r w:rsidRPr="0066048C">
        <w:rPr>
          <w:rFonts w:eastAsia="Times New Roman" w:cs="Times New Roman"/>
          <w:lang w:eastAsia="de-DE"/>
        </w:rPr>
        <w:t>mit καθα</w:t>
      </w:r>
      <w:proofErr w:type="spellStart"/>
      <w:r w:rsidRPr="0066048C">
        <w:rPr>
          <w:rFonts w:eastAsia="Times New Roman" w:cs="Times New Roman"/>
          <w:lang w:eastAsia="de-DE"/>
        </w:rPr>
        <w:t>ροῦ</w:t>
      </w:r>
      <w:proofErr w:type="spellEnd"/>
      <w:r w:rsidRPr="0066048C">
        <w:rPr>
          <w:rFonts w:eastAsia="Times New Roman" w:cs="Times New Roman"/>
          <w:lang w:eastAsia="de-DE"/>
        </w:rPr>
        <w:t xml:space="preserve"> (des Reinen).</w:t>
      </w:r>
    </w:p>
    <w:p w14:paraId="39A79EBB"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einen Zweck-Infinitiv mit vier koordinierten Unterscheidungspaaren: Infinitiv + vier </w:t>
      </w:r>
      <w:r w:rsidRPr="0066048C">
        <w:rPr>
          <w:rFonts w:eastAsia="Times New Roman" w:cs="Times New Roman"/>
          <w:b/>
          <w:bCs/>
          <w:rtl/>
          <w:lang w:eastAsia="de-DE"/>
        </w:rPr>
        <w:t>בין</w:t>
      </w:r>
      <w:r w:rsidRPr="0066048C">
        <w:rPr>
          <w:rFonts w:eastAsia="Times New Roman" w:cs="Times New Roman"/>
          <w:lang w:eastAsia="de-DE"/>
        </w:rPr>
        <w:t>-Phrasen in zwei Paaren. Die Struktur etabliert die fundamentalen kultischen Kategorien.</w:t>
      </w:r>
    </w:p>
    <w:p w14:paraId="6E8146D2"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Dieser Vers erklärt den ersten Zweck des Alkoholverbots: Erhaltung der priesterlichen Unterscheidungsfähigkeit zwischen den grundlegenden kultischen Kategorien.</w:t>
      </w:r>
    </w:p>
    <w:p w14:paraId="7086CCCA"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10,11</w:t>
      </w:r>
    </w:p>
    <w:p w14:paraId="7E6B4DCD"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וּלְהוֹרֹ֖ת אֶת־בְּנֵ֣י יִשְׂרָאֵ֑ל אֵ֚ת כָּל־הַ֣חֻקִּ֔ים אֲשֶׁ֨ר דִּבֶּ֧ר יְהוָ֛ה אֲלֵיהֶ֖ם בְּיַד־מֹשֶֽׁה׃</w:t>
      </w:r>
    </w:p>
    <w:p w14:paraId="7594AB6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um den Söhnen Israels alle Gesetze zu lehren, die der Ewige zu euch durch Mosche geredet hat.</w:t>
      </w:r>
    </w:p>
    <w:p w14:paraId="637F9675"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728874AB">
          <v:rect id="_x0000_i1267" style="width:0;height:1.5pt" o:hralign="center" o:hrstd="t" o:hr="t" fillcolor="#a0a0a0" stroked="f"/>
        </w:pict>
      </w:r>
    </w:p>
    <w:p w14:paraId="30BBE7D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ולהורת את־בני ישראל את כל־החקים</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ירה</w:t>
      </w:r>
      <w:r w:rsidRPr="0066048C">
        <w:rPr>
          <w:rFonts w:eastAsia="Times New Roman" w:cs="Times New Roman"/>
          <w:rtl/>
          <w:lang w:eastAsia="de-DE"/>
        </w:rPr>
        <w:t xml:space="preserve"> </w:t>
      </w:r>
      <w:r w:rsidRPr="0066048C">
        <w:rPr>
          <w:rFonts w:eastAsia="Times New Roman" w:cs="Times New Roman"/>
          <w:lang w:eastAsia="de-DE"/>
        </w:rPr>
        <w:t xml:space="preserve">(lehren/unterweisen) im Hifil-Infinitiv mit Präposition </w:t>
      </w:r>
      <w:r w:rsidRPr="0066048C">
        <w:rPr>
          <w:rFonts w:eastAsia="Times New Roman" w:cs="Times New Roman"/>
          <w:b/>
          <w:bCs/>
          <w:rtl/>
          <w:lang w:eastAsia="de-DE"/>
        </w:rPr>
        <w:t>ל</w:t>
      </w:r>
      <w:r w:rsidRPr="0066048C">
        <w:rPr>
          <w:rFonts w:eastAsia="Times New Roman" w:cs="Times New Roman"/>
          <w:rtl/>
          <w:lang w:eastAsia="de-DE"/>
        </w:rPr>
        <w:t xml:space="preserve"> </w:t>
      </w:r>
      <w:r w:rsidRPr="0066048C">
        <w:rPr>
          <w:rFonts w:eastAsia="Times New Roman" w:cs="Times New Roman"/>
          <w:lang w:eastAsia="de-DE"/>
        </w:rPr>
        <w:t xml:space="preserve">zur Zweckangabe. Das Hifil von </w:t>
      </w:r>
      <w:r w:rsidRPr="0066048C">
        <w:rPr>
          <w:rFonts w:eastAsia="Times New Roman" w:cs="Times New Roman"/>
          <w:b/>
          <w:bCs/>
          <w:rtl/>
          <w:lang w:eastAsia="de-DE"/>
        </w:rPr>
        <w:t>ירה</w:t>
      </w:r>
      <w:r w:rsidRPr="0066048C">
        <w:rPr>
          <w:rFonts w:eastAsia="Times New Roman" w:cs="Times New Roman"/>
          <w:rtl/>
          <w:lang w:eastAsia="de-DE"/>
        </w:rPr>
        <w:t xml:space="preserve"> </w:t>
      </w:r>
      <w:r w:rsidRPr="0066048C">
        <w:rPr>
          <w:rFonts w:eastAsia="Times New Roman" w:cs="Times New Roman"/>
          <w:lang w:eastAsia="de-DE"/>
        </w:rPr>
        <w:t xml:space="preserve">bedeutet "lehren/unterweisen". </w:t>
      </w:r>
      <w:r w:rsidRPr="0066048C">
        <w:rPr>
          <w:rFonts w:eastAsia="Times New Roman" w:cs="Times New Roman"/>
          <w:b/>
          <w:bCs/>
          <w:rtl/>
          <w:lang w:eastAsia="de-DE"/>
        </w:rPr>
        <w:t>את־בני ישראל</w:t>
      </w:r>
      <w:r w:rsidRPr="0066048C">
        <w:rPr>
          <w:rFonts w:eastAsia="Times New Roman" w:cs="Times New Roman"/>
          <w:rtl/>
          <w:lang w:eastAsia="de-DE"/>
        </w:rPr>
        <w:t xml:space="preserve"> </w:t>
      </w:r>
      <w:r w:rsidRPr="0066048C">
        <w:rPr>
          <w:rFonts w:eastAsia="Times New Roman" w:cs="Times New Roman"/>
          <w:lang w:eastAsia="de-DE"/>
        </w:rPr>
        <w:t xml:space="preserve">(die Söhne Israels) als direkte Objekte der Unterweisung. </w:t>
      </w:r>
      <w:r w:rsidRPr="0066048C">
        <w:rPr>
          <w:rFonts w:eastAsia="Times New Roman" w:cs="Times New Roman"/>
          <w:b/>
          <w:bCs/>
          <w:rtl/>
          <w:lang w:eastAsia="de-DE"/>
        </w:rPr>
        <w:t>את כל־החקים</w:t>
      </w:r>
      <w:r w:rsidRPr="0066048C">
        <w:rPr>
          <w:rFonts w:eastAsia="Times New Roman" w:cs="Times New Roman"/>
          <w:rtl/>
          <w:lang w:eastAsia="de-DE"/>
        </w:rPr>
        <w:t xml:space="preserve"> </w:t>
      </w:r>
      <w:r w:rsidRPr="0066048C">
        <w:rPr>
          <w:rFonts w:eastAsia="Times New Roman" w:cs="Times New Roman"/>
          <w:lang w:eastAsia="de-DE"/>
        </w:rPr>
        <w:t xml:space="preserve">(alle Gesetze) mit Totalitätspartikel </w:t>
      </w:r>
      <w:r w:rsidRPr="0066048C">
        <w:rPr>
          <w:rFonts w:eastAsia="Times New Roman" w:cs="Times New Roman"/>
          <w:b/>
          <w:bCs/>
          <w:rtl/>
          <w:lang w:eastAsia="de-DE"/>
        </w:rPr>
        <w:t>כל</w:t>
      </w:r>
      <w:r w:rsidRPr="0066048C">
        <w:rPr>
          <w:rFonts w:eastAsia="Times New Roman" w:cs="Times New Roman"/>
          <w:rtl/>
          <w:lang w:eastAsia="de-DE"/>
        </w:rPr>
        <w:t xml:space="preserve"> </w:t>
      </w:r>
      <w:r w:rsidRPr="0066048C">
        <w:rPr>
          <w:rFonts w:eastAsia="Times New Roman" w:cs="Times New Roman"/>
          <w:lang w:eastAsia="de-DE"/>
        </w:rPr>
        <w:t xml:space="preserve">- </w:t>
      </w:r>
      <w:r w:rsidRPr="0066048C">
        <w:rPr>
          <w:rFonts w:eastAsia="Times New Roman" w:cs="Times New Roman"/>
          <w:b/>
          <w:bCs/>
          <w:rtl/>
          <w:lang w:eastAsia="de-DE"/>
        </w:rPr>
        <w:t>חקים</w:t>
      </w:r>
      <w:r w:rsidRPr="0066048C">
        <w:rPr>
          <w:rFonts w:eastAsia="Times New Roman" w:cs="Times New Roman"/>
          <w:rtl/>
          <w:lang w:eastAsia="de-DE"/>
        </w:rPr>
        <w:t xml:space="preserve"> </w:t>
      </w:r>
      <w:r w:rsidRPr="0066048C">
        <w:rPr>
          <w:rFonts w:eastAsia="Times New Roman" w:cs="Times New Roman"/>
          <w:lang w:eastAsia="de-DE"/>
        </w:rPr>
        <w:t xml:space="preserve">(Gesetze/Satzungen) im Plural von </w:t>
      </w:r>
      <w:r w:rsidRPr="0066048C">
        <w:rPr>
          <w:rFonts w:eastAsia="Times New Roman" w:cs="Times New Roman"/>
          <w:b/>
          <w:bCs/>
          <w:rtl/>
          <w:lang w:eastAsia="de-DE"/>
        </w:rPr>
        <w:t>חק</w:t>
      </w:r>
      <w:r w:rsidRPr="0066048C">
        <w:rPr>
          <w:rFonts w:eastAsia="Times New Roman" w:cs="Times New Roman"/>
          <w:lang w:eastAsia="de-DE"/>
        </w:rPr>
        <w:t>.</w:t>
      </w:r>
    </w:p>
    <w:p w14:paraId="33B9D4B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אשר דבר יהוה אליהם ביד־משה</w:t>
      </w:r>
      <w:r w:rsidRPr="0066048C">
        <w:rPr>
          <w:rFonts w:eastAsia="Times New Roman" w:cs="Times New Roman"/>
          <w:rtl/>
          <w:lang w:eastAsia="de-DE"/>
        </w:rPr>
        <w:t xml:space="preserve"> </w:t>
      </w:r>
      <w:r w:rsidRPr="0066048C">
        <w:rPr>
          <w:rFonts w:eastAsia="Times New Roman" w:cs="Times New Roman"/>
          <w:lang w:eastAsia="de-DE"/>
        </w:rPr>
        <w:t xml:space="preserve">ist ein Relativsatz, der die Quelle der </w:t>
      </w:r>
      <w:r w:rsidRPr="0066048C">
        <w:rPr>
          <w:rFonts w:eastAsia="Times New Roman" w:cs="Times New Roman"/>
          <w:b/>
          <w:bCs/>
          <w:rtl/>
          <w:lang w:eastAsia="de-DE"/>
        </w:rPr>
        <w:t>חקים</w:t>
      </w:r>
      <w:r w:rsidRPr="0066048C">
        <w:rPr>
          <w:rFonts w:eastAsia="Times New Roman" w:cs="Times New Roman"/>
          <w:rtl/>
          <w:lang w:eastAsia="de-DE"/>
        </w:rPr>
        <w:t xml:space="preserve"> </w:t>
      </w:r>
      <w:r w:rsidRPr="0066048C">
        <w:rPr>
          <w:rFonts w:eastAsia="Times New Roman" w:cs="Times New Roman"/>
          <w:lang w:eastAsia="de-DE"/>
        </w:rPr>
        <w:t xml:space="preserve">spezifiziert. </w:t>
      </w:r>
      <w:r w:rsidRPr="0066048C">
        <w:rPr>
          <w:rFonts w:eastAsia="Times New Roman" w:cs="Times New Roman"/>
          <w:b/>
          <w:bCs/>
          <w:rtl/>
          <w:lang w:eastAsia="de-DE"/>
        </w:rPr>
        <w:t>דבר</w:t>
      </w:r>
      <w:r w:rsidRPr="0066048C">
        <w:rPr>
          <w:rFonts w:eastAsia="Times New Roman" w:cs="Times New Roman"/>
          <w:rtl/>
          <w:lang w:eastAsia="de-DE"/>
        </w:rPr>
        <w:t xml:space="preserve"> </w:t>
      </w:r>
      <w:r w:rsidRPr="0066048C">
        <w:rPr>
          <w:rFonts w:eastAsia="Times New Roman" w:cs="Times New Roman"/>
          <w:lang w:eastAsia="de-DE"/>
        </w:rPr>
        <w:t xml:space="preserve">(sprechen) im Piel-Perfekt mit </w:t>
      </w:r>
      <w:r w:rsidRPr="0066048C">
        <w:rPr>
          <w:rFonts w:eastAsia="Times New Roman" w:cs="Times New Roman"/>
          <w:b/>
          <w:bCs/>
          <w:rtl/>
          <w:lang w:eastAsia="de-DE"/>
        </w:rPr>
        <w:t>יהוה</w:t>
      </w:r>
      <w:r w:rsidRPr="0066048C">
        <w:rPr>
          <w:rFonts w:eastAsia="Times New Roman" w:cs="Times New Roman"/>
          <w:rtl/>
          <w:lang w:eastAsia="de-DE"/>
        </w:rPr>
        <w:t xml:space="preserve"> </w:t>
      </w:r>
      <w:r w:rsidRPr="0066048C">
        <w:rPr>
          <w:rFonts w:eastAsia="Times New Roman" w:cs="Times New Roman"/>
          <w:lang w:eastAsia="de-DE"/>
        </w:rPr>
        <w:t xml:space="preserve">als Subjekt. </w:t>
      </w:r>
      <w:r w:rsidRPr="0066048C">
        <w:rPr>
          <w:rFonts w:eastAsia="Times New Roman" w:cs="Times New Roman"/>
          <w:b/>
          <w:bCs/>
          <w:rtl/>
          <w:lang w:eastAsia="de-DE"/>
        </w:rPr>
        <w:t>אליהם</w:t>
      </w:r>
      <w:r w:rsidRPr="0066048C">
        <w:rPr>
          <w:rFonts w:eastAsia="Times New Roman" w:cs="Times New Roman"/>
          <w:rtl/>
          <w:lang w:eastAsia="de-DE"/>
        </w:rPr>
        <w:t xml:space="preserve"> </w:t>
      </w:r>
      <w:r w:rsidRPr="0066048C">
        <w:rPr>
          <w:rFonts w:eastAsia="Times New Roman" w:cs="Times New Roman"/>
          <w:lang w:eastAsia="de-DE"/>
        </w:rPr>
        <w:t xml:space="preserve">(zu ihnen) mit Präposition </w:t>
      </w:r>
      <w:r w:rsidRPr="0066048C">
        <w:rPr>
          <w:rFonts w:eastAsia="Times New Roman" w:cs="Times New Roman"/>
          <w:b/>
          <w:bCs/>
          <w:rtl/>
          <w:lang w:eastAsia="de-DE"/>
        </w:rPr>
        <w:t>אל</w:t>
      </w:r>
      <w:r w:rsidRPr="0066048C">
        <w:rPr>
          <w:rFonts w:eastAsia="Times New Roman" w:cs="Times New Roman"/>
          <w:rtl/>
          <w:lang w:eastAsia="de-DE"/>
        </w:rPr>
        <w:t xml:space="preserve"> </w:t>
      </w:r>
      <w:r w:rsidRPr="0066048C">
        <w:rPr>
          <w:rFonts w:eastAsia="Times New Roman" w:cs="Times New Roman"/>
          <w:lang w:eastAsia="de-DE"/>
        </w:rPr>
        <w:t xml:space="preserve">und Suffix 3. Person maskulin Plural referenziert die Israeliten. </w:t>
      </w:r>
      <w:r w:rsidRPr="0066048C">
        <w:rPr>
          <w:rFonts w:eastAsia="Times New Roman" w:cs="Times New Roman"/>
          <w:b/>
          <w:bCs/>
          <w:rtl/>
          <w:lang w:eastAsia="de-DE"/>
        </w:rPr>
        <w:t>ביד־משה</w:t>
      </w:r>
      <w:r w:rsidRPr="0066048C">
        <w:rPr>
          <w:rFonts w:eastAsia="Times New Roman" w:cs="Times New Roman"/>
          <w:rtl/>
          <w:lang w:eastAsia="de-DE"/>
        </w:rPr>
        <w:t xml:space="preserve"> </w:t>
      </w:r>
      <w:r w:rsidRPr="0066048C">
        <w:rPr>
          <w:rFonts w:eastAsia="Times New Roman" w:cs="Times New Roman"/>
          <w:lang w:eastAsia="de-DE"/>
        </w:rPr>
        <w:t>(durch die Hand Moses) ist die idiomatische Wendung für Vermittlung durch Moses.</w:t>
      </w:r>
    </w:p>
    <w:p w14:paraId="7B22070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להורת</w:t>
      </w:r>
      <w:r w:rsidRPr="0066048C">
        <w:rPr>
          <w:rFonts w:eastAsia="Times New Roman" w:cs="Times New Roman"/>
          <w:rtl/>
          <w:lang w:eastAsia="de-DE"/>
        </w:rPr>
        <w:t xml:space="preserve"> </w:t>
      </w:r>
      <w:r w:rsidRPr="0066048C">
        <w:rPr>
          <w:rFonts w:eastAsia="Times New Roman" w:cs="Times New Roman"/>
          <w:lang w:eastAsia="de-DE"/>
        </w:rPr>
        <w:t xml:space="preserve">zeigt die zweite zentrale priesterliche Aufgabe neben </w:t>
      </w:r>
      <w:r w:rsidRPr="0066048C">
        <w:rPr>
          <w:rFonts w:eastAsia="Times New Roman" w:cs="Times New Roman"/>
          <w:b/>
          <w:bCs/>
          <w:rtl/>
          <w:lang w:eastAsia="de-DE"/>
        </w:rPr>
        <w:t>להבדיל</w:t>
      </w:r>
      <w:r w:rsidRPr="0066048C">
        <w:rPr>
          <w:rFonts w:eastAsia="Times New Roman" w:cs="Times New Roman"/>
          <w:rtl/>
          <w:lang w:eastAsia="de-DE"/>
        </w:rPr>
        <w:t xml:space="preserve"> </w:t>
      </w:r>
      <w:r w:rsidRPr="0066048C">
        <w:rPr>
          <w:rFonts w:eastAsia="Times New Roman" w:cs="Times New Roman"/>
          <w:lang w:eastAsia="de-DE"/>
        </w:rPr>
        <w:t xml:space="preserve">(unterscheiden): Unterweisung des Volkes in göttlichen Gesetzen. </w:t>
      </w:r>
      <w:r w:rsidRPr="0066048C">
        <w:rPr>
          <w:rFonts w:eastAsia="Times New Roman" w:cs="Times New Roman"/>
          <w:b/>
          <w:bCs/>
          <w:rtl/>
          <w:lang w:eastAsia="de-DE"/>
        </w:rPr>
        <w:t>כל־החקים</w:t>
      </w:r>
      <w:r w:rsidRPr="0066048C">
        <w:rPr>
          <w:rFonts w:eastAsia="Times New Roman" w:cs="Times New Roman"/>
          <w:rtl/>
          <w:lang w:eastAsia="de-DE"/>
        </w:rPr>
        <w:t xml:space="preserve"> </w:t>
      </w:r>
      <w:r w:rsidRPr="0066048C">
        <w:rPr>
          <w:rFonts w:eastAsia="Times New Roman" w:cs="Times New Roman"/>
          <w:lang w:eastAsia="de-DE"/>
        </w:rPr>
        <w:t>umfasst alle kultischen und ethischen Bestimmungen.</w:t>
      </w:r>
    </w:p>
    <w:p w14:paraId="6374B19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ביד־משה</w:t>
      </w:r>
      <w:r w:rsidRPr="0066048C">
        <w:rPr>
          <w:rFonts w:eastAsia="Times New Roman" w:cs="Times New Roman"/>
          <w:rtl/>
          <w:lang w:eastAsia="de-DE"/>
        </w:rPr>
        <w:t xml:space="preserve"> </w:t>
      </w:r>
      <w:r w:rsidRPr="0066048C">
        <w:rPr>
          <w:rFonts w:eastAsia="Times New Roman" w:cs="Times New Roman"/>
          <w:lang w:eastAsia="de-DE"/>
        </w:rPr>
        <w:t xml:space="preserve">betont Moses Rolle als Mittler göttlicher Offenbarung, auch wenn Aaron jetzt direkte Anweisung erhält. </w:t>
      </w:r>
      <w:r w:rsidRPr="0066048C">
        <w:rPr>
          <w:rFonts w:eastAsia="Times New Roman" w:cs="Times New Roman"/>
          <w:b/>
          <w:bCs/>
          <w:rtl/>
          <w:lang w:eastAsia="de-DE"/>
        </w:rPr>
        <w:t>אליהם</w:t>
      </w:r>
      <w:r w:rsidRPr="0066048C">
        <w:rPr>
          <w:rFonts w:eastAsia="Times New Roman" w:cs="Times New Roman"/>
          <w:rtl/>
          <w:lang w:eastAsia="de-DE"/>
        </w:rPr>
        <w:t xml:space="preserve"> </w:t>
      </w:r>
      <w:r w:rsidRPr="0066048C">
        <w:rPr>
          <w:rFonts w:eastAsia="Times New Roman" w:cs="Times New Roman"/>
          <w:lang w:eastAsia="de-DE"/>
        </w:rPr>
        <w:t xml:space="preserve">referenziert </w:t>
      </w:r>
      <w:r w:rsidRPr="0066048C">
        <w:rPr>
          <w:rFonts w:eastAsia="Times New Roman" w:cs="Times New Roman"/>
          <w:b/>
          <w:bCs/>
          <w:rtl/>
          <w:lang w:eastAsia="de-DE"/>
        </w:rPr>
        <w:t>בני ישראל</w:t>
      </w:r>
      <w:r w:rsidRPr="0066048C">
        <w:rPr>
          <w:rFonts w:eastAsia="Times New Roman" w:cs="Times New Roman"/>
          <w:rtl/>
          <w:lang w:eastAsia="de-DE"/>
        </w:rPr>
        <w:t xml:space="preserve"> </w:t>
      </w:r>
      <w:r w:rsidRPr="0066048C">
        <w:rPr>
          <w:rFonts w:eastAsia="Times New Roman" w:cs="Times New Roman"/>
          <w:lang w:eastAsia="de-DE"/>
        </w:rPr>
        <w:t>und zeigt die Zielrichtung der priesterlichen Lehraufgabe.</w:t>
      </w:r>
    </w:p>
    <w:p w14:paraId="0ECDFF72"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 Kombination </w:t>
      </w:r>
      <w:r w:rsidRPr="0066048C">
        <w:rPr>
          <w:rFonts w:eastAsia="Times New Roman" w:cs="Times New Roman"/>
          <w:b/>
          <w:bCs/>
          <w:rtl/>
          <w:lang w:eastAsia="de-DE"/>
        </w:rPr>
        <w:t>להבדיל...ולהורת</w:t>
      </w:r>
      <w:r w:rsidRPr="0066048C">
        <w:rPr>
          <w:rFonts w:eastAsia="Times New Roman" w:cs="Times New Roman"/>
          <w:rtl/>
          <w:lang w:eastAsia="de-DE"/>
        </w:rPr>
        <w:t xml:space="preserve"> </w:t>
      </w:r>
      <w:r w:rsidRPr="0066048C">
        <w:rPr>
          <w:rFonts w:eastAsia="Times New Roman" w:cs="Times New Roman"/>
          <w:lang w:eastAsia="de-DE"/>
        </w:rPr>
        <w:t>zeigt die beiden Hauptfunktionen der Priester: korrekte Unterscheidung und Volkserziehung. Beide erfordern geistige Klarheit, die durch Alkohol beeinträchtigt würde.</w:t>
      </w:r>
    </w:p>
    <w:p w14:paraId="0FCD691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übersetzt </w:t>
      </w:r>
      <w:r w:rsidRPr="0066048C">
        <w:rPr>
          <w:rFonts w:eastAsia="Times New Roman" w:cs="Times New Roman"/>
          <w:b/>
          <w:bCs/>
          <w:rtl/>
          <w:lang w:eastAsia="de-DE"/>
        </w:rPr>
        <w:t>להורת</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συμ</w:t>
      </w:r>
      <w:proofErr w:type="spellEnd"/>
      <w:r w:rsidRPr="0066048C">
        <w:rPr>
          <w:rFonts w:eastAsia="Times New Roman" w:cs="Times New Roman"/>
          <w:lang w:eastAsia="de-DE"/>
        </w:rPr>
        <w:t xml:space="preserve">βιβάσαι (zu unterweisen), </w:t>
      </w:r>
      <w:r w:rsidRPr="0066048C">
        <w:rPr>
          <w:rFonts w:eastAsia="Times New Roman" w:cs="Times New Roman"/>
          <w:b/>
          <w:bCs/>
          <w:rtl/>
          <w:lang w:eastAsia="de-DE"/>
        </w:rPr>
        <w:t>כל־החקים</w:t>
      </w:r>
      <w:r w:rsidRPr="0066048C">
        <w:rPr>
          <w:rFonts w:eastAsia="Times New Roman" w:cs="Times New Roman"/>
          <w:rtl/>
          <w:lang w:eastAsia="de-DE"/>
        </w:rPr>
        <w:t xml:space="preserve"> </w:t>
      </w:r>
      <w:r w:rsidRPr="0066048C">
        <w:rPr>
          <w:rFonts w:eastAsia="Times New Roman" w:cs="Times New Roman"/>
          <w:lang w:eastAsia="de-DE"/>
        </w:rPr>
        <w:t>mit π</w:t>
      </w:r>
      <w:proofErr w:type="spellStart"/>
      <w:r w:rsidRPr="0066048C">
        <w:rPr>
          <w:rFonts w:eastAsia="Times New Roman" w:cs="Times New Roman"/>
          <w:lang w:eastAsia="de-DE"/>
        </w:rPr>
        <w:t>άντ</w:t>
      </w:r>
      <w:proofErr w:type="spellEnd"/>
      <w:r w:rsidRPr="0066048C">
        <w:rPr>
          <w:rFonts w:eastAsia="Times New Roman" w:cs="Times New Roman"/>
          <w:lang w:eastAsia="de-DE"/>
        </w:rPr>
        <w:t xml:space="preserve">α </w:t>
      </w:r>
      <w:proofErr w:type="spellStart"/>
      <w:r w:rsidRPr="0066048C">
        <w:rPr>
          <w:rFonts w:eastAsia="Times New Roman" w:cs="Times New Roman"/>
          <w:lang w:eastAsia="de-DE"/>
        </w:rPr>
        <w:t>τὰ</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νόμιμ</w:t>
      </w:r>
      <w:proofErr w:type="spellEnd"/>
      <w:r w:rsidRPr="0066048C">
        <w:rPr>
          <w:rFonts w:eastAsia="Times New Roman" w:cs="Times New Roman"/>
          <w:lang w:eastAsia="de-DE"/>
        </w:rPr>
        <w:t xml:space="preserve">α (alle Satzungen) und </w:t>
      </w:r>
      <w:r w:rsidRPr="0066048C">
        <w:rPr>
          <w:rFonts w:eastAsia="Times New Roman" w:cs="Times New Roman"/>
          <w:b/>
          <w:bCs/>
          <w:rtl/>
          <w:lang w:eastAsia="de-DE"/>
        </w:rPr>
        <w:t>ביד־משה</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διὰ</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χειρὸς</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Μωυσῆ</w:t>
      </w:r>
      <w:proofErr w:type="spellEnd"/>
      <w:r w:rsidRPr="0066048C">
        <w:rPr>
          <w:rFonts w:eastAsia="Times New Roman" w:cs="Times New Roman"/>
          <w:lang w:eastAsia="de-DE"/>
        </w:rPr>
        <w:t xml:space="preserve"> (durch die Hand Moses).</w:t>
      </w:r>
    </w:p>
    <w:p w14:paraId="56468049"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einen zweiten Zweck-Infinitiv: Infinitiv + direktes Objekt + zweites direktes Objekt + Relativsatz mit göttlicher Quelle und mosaischer Vermittlung. Die Struktur etabliert die priesterliche Lehraufgabe.</w:t>
      </w:r>
    </w:p>
    <w:p w14:paraId="69B448E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lastRenderedPageBreak/>
        <w:t>Dieser Vers erklärt den zweiten Zweck des Alkoholverbots: Befähigung zur korrekten Unterweisung des Volkes in allen göttlichen Gesetzen.</w:t>
      </w:r>
    </w:p>
    <w:p w14:paraId="445EDF8D"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10,12</w:t>
      </w:r>
    </w:p>
    <w:p w14:paraId="06B2FF3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וַיְדַבֵּ֨ר מֹשֶׁ֜ה אֶֽל־אַהֲרֹ֗ן וְאֶ֣ל אֶ֠לְעָזָר וְאֶל־אִ֨יתָמָ֥ר׀ בָּנָיו֮ הַנּֽוֹתָרִים֒ קְח֣וּ אֶת־הַמִּנְחָ֗ה הַנּוֹתֶ֨רֶת֙ מֵאִשֵּׁ֣י יְהוָ֔ה וְאִכְל֥וּהָ מַצּ֖וֹת אֵ֣צֶל הַמִּזְבֵּ֑חַ כִּ֛י קֹ֥דֶשׁ קָֽדָשִׁ֖ים הִֽוא׃</w:t>
      </w:r>
    </w:p>
    <w:p w14:paraId="1BF49B8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Mosche redete zu Aaron und zu Eleasar und Itamar, seinen übriggebliebenen Söhnen: Nehmt das Speiseopfer, das von den Feueropfern des Ewigen übriggeblieben ist, und esst es ungesäuert neben dem Altar, denn es ist hochheilig.</w:t>
      </w:r>
    </w:p>
    <w:p w14:paraId="12000BCD"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77F0C418">
          <v:rect id="_x0000_i1268" style="width:0;height:1.5pt" o:hralign="center" o:hrstd="t" o:hr="t" fillcolor="#a0a0a0" stroked="f"/>
        </w:pict>
      </w:r>
    </w:p>
    <w:p w14:paraId="26D164F5"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וידבר משה אל־אהרן ואל אלעזר ואל־איתמר בניו הנותרים</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דבר</w:t>
      </w:r>
      <w:r w:rsidRPr="0066048C">
        <w:rPr>
          <w:rFonts w:eastAsia="Times New Roman" w:cs="Times New Roman"/>
          <w:rtl/>
          <w:lang w:eastAsia="de-DE"/>
        </w:rPr>
        <w:t xml:space="preserve"> </w:t>
      </w:r>
      <w:r w:rsidRPr="0066048C">
        <w:rPr>
          <w:rFonts w:eastAsia="Times New Roman" w:cs="Times New Roman"/>
          <w:lang w:eastAsia="de-DE"/>
        </w:rPr>
        <w:t xml:space="preserve">(reden) im Piel-Imperfekt mit Waw-Konsekutiv. </w:t>
      </w:r>
      <w:r w:rsidRPr="0066048C">
        <w:rPr>
          <w:rFonts w:eastAsia="Times New Roman" w:cs="Times New Roman"/>
          <w:b/>
          <w:bCs/>
          <w:rtl/>
          <w:lang w:eastAsia="de-DE"/>
        </w:rPr>
        <w:t>משה</w:t>
      </w:r>
      <w:r w:rsidRPr="0066048C">
        <w:rPr>
          <w:rFonts w:eastAsia="Times New Roman" w:cs="Times New Roman"/>
          <w:rtl/>
          <w:lang w:eastAsia="de-DE"/>
        </w:rPr>
        <w:t xml:space="preserve"> </w:t>
      </w:r>
      <w:r w:rsidRPr="0066048C">
        <w:rPr>
          <w:rFonts w:eastAsia="Times New Roman" w:cs="Times New Roman"/>
          <w:lang w:eastAsia="de-DE"/>
        </w:rPr>
        <w:t xml:space="preserve">als Subjekt kehrt zur Vermittlerrolle zurück nach der direkten göttlichen Ansprache an Aaron. </w:t>
      </w:r>
      <w:r w:rsidRPr="0066048C">
        <w:rPr>
          <w:rFonts w:eastAsia="Times New Roman" w:cs="Times New Roman"/>
          <w:b/>
          <w:bCs/>
          <w:rtl/>
          <w:lang w:eastAsia="de-DE"/>
        </w:rPr>
        <w:t>אל־אהרן ואל אלעזר ואל־איתמר</w:t>
      </w:r>
      <w:r w:rsidRPr="0066048C">
        <w:rPr>
          <w:rFonts w:eastAsia="Times New Roman" w:cs="Times New Roman"/>
          <w:rtl/>
          <w:lang w:eastAsia="de-DE"/>
        </w:rPr>
        <w:t xml:space="preserve"> </w:t>
      </w:r>
      <w:r w:rsidRPr="0066048C">
        <w:rPr>
          <w:rFonts w:eastAsia="Times New Roman" w:cs="Times New Roman"/>
          <w:lang w:eastAsia="de-DE"/>
        </w:rPr>
        <w:t xml:space="preserve">mit dreifacher Präposition </w:t>
      </w:r>
      <w:r w:rsidRPr="0066048C">
        <w:rPr>
          <w:rFonts w:eastAsia="Times New Roman" w:cs="Times New Roman"/>
          <w:b/>
          <w:bCs/>
          <w:rtl/>
          <w:lang w:eastAsia="de-DE"/>
        </w:rPr>
        <w:t>אל</w:t>
      </w:r>
      <w:r w:rsidRPr="0066048C">
        <w:rPr>
          <w:rFonts w:eastAsia="Times New Roman" w:cs="Times New Roman"/>
          <w:lang w:eastAsia="de-DE"/>
        </w:rPr>
        <w:t xml:space="preserve">. </w:t>
      </w:r>
      <w:r w:rsidRPr="0066048C">
        <w:rPr>
          <w:rFonts w:eastAsia="Times New Roman" w:cs="Times New Roman"/>
          <w:b/>
          <w:bCs/>
          <w:rtl/>
          <w:lang w:eastAsia="de-DE"/>
        </w:rPr>
        <w:t>בניו הנותרים</w:t>
      </w:r>
      <w:r w:rsidRPr="0066048C">
        <w:rPr>
          <w:rFonts w:eastAsia="Times New Roman" w:cs="Times New Roman"/>
          <w:rtl/>
          <w:lang w:eastAsia="de-DE"/>
        </w:rPr>
        <w:t xml:space="preserve"> </w:t>
      </w:r>
      <w:r w:rsidRPr="0066048C">
        <w:rPr>
          <w:rFonts w:eastAsia="Times New Roman" w:cs="Times New Roman"/>
          <w:lang w:eastAsia="de-DE"/>
        </w:rPr>
        <w:t xml:space="preserve">(seine übriggebliebenen Söhne) - </w:t>
      </w:r>
      <w:r w:rsidRPr="0066048C">
        <w:rPr>
          <w:rFonts w:eastAsia="Times New Roman" w:cs="Times New Roman"/>
          <w:b/>
          <w:bCs/>
          <w:rtl/>
          <w:lang w:eastAsia="de-DE"/>
        </w:rPr>
        <w:t>נותרים</w:t>
      </w:r>
      <w:r w:rsidRPr="0066048C">
        <w:rPr>
          <w:rFonts w:eastAsia="Times New Roman" w:cs="Times New Roman"/>
          <w:rtl/>
          <w:lang w:eastAsia="de-DE"/>
        </w:rPr>
        <w:t xml:space="preserve"> </w:t>
      </w:r>
      <w:r w:rsidRPr="0066048C">
        <w:rPr>
          <w:rFonts w:eastAsia="Times New Roman" w:cs="Times New Roman"/>
          <w:lang w:eastAsia="de-DE"/>
        </w:rPr>
        <w:t xml:space="preserve">(übriggebliebene) von </w:t>
      </w:r>
      <w:r w:rsidRPr="0066048C">
        <w:rPr>
          <w:rFonts w:eastAsia="Times New Roman" w:cs="Times New Roman"/>
          <w:b/>
          <w:bCs/>
          <w:rtl/>
          <w:lang w:eastAsia="de-DE"/>
        </w:rPr>
        <w:t>יתר</w:t>
      </w:r>
      <w:r w:rsidRPr="0066048C">
        <w:rPr>
          <w:rFonts w:eastAsia="Times New Roman" w:cs="Times New Roman"/>
          <w:rtl/>
          <w:lang w:eastAsia="de-DE"/>
        </w:rPr>
        <w:t xml:space="preserve"> </w:t>
      </w:r>
      <w:r w:rsidRPr="0066048C">
        <w:rPr>
          <w:rFonts w:eastAsia="Times New Roman" w:cs="Times New Roman"/>
          <w:lang w:eastAsia="de-DE"/>
        </w:rPr>
        <w:t>(übrig bleiben) betont schmerzlich die Dezimierung der Priesterfamilie.</w:t>
      </w:r>
    </w:p>
    <w:p w14:paraId="4A1AC84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קחו את־המנחה הנותרת מאשי יהוה ואכלוה מצות אצל המזבח</w:t>
      </w:r>
      <w:r w:rsidRPr="0066048C">
        <w:rPr>
          <w:rFonts w:eastAsia="Times New Roman" w:cs="Times New Roman"/>
          <w:rtl/>
          <w:lang w:eastAsia="de-DE"/>
        </w:rPr>
        <w:t xml:space="preserve"> </w:t>
      </w:r>
      <w:r w:rsidRPr="0066048C">
        <w:rPr>
          <w:rFonts w:eastAsia="Times New Roman" w:cs="Times New Roman"/>
          <w:lang w:eastAsia="de-DE"/>
        </w:rPr>
        <w:t xml:space="preserve">zeigt zwei Imperative. </w:t>
      </w:r>
      <w:r w:rsidRPr="0066048C">
        <w:rPr>
          <w:rFonts w:eastAsia="Times New Roman" w:cs="Times New Roman"/>
          <w:b/>
          <w:bCs/>
          <w:rtl/>
          <w:lang w:eastAsia="de-DE"/>
        </w:rPr>
        <w:t>קחו</w:t>
      </w:r>
      <w:r w:rsidRPr="0066048C">
        <w:rPr>
          <w:rFonts w:eastAsia="Times New Roman" w:cs="Times New Roman"/>
          <w:rtl/>
          <w:lang w:eastAsia="de-DE"/>
        </w:rPr>
        <w:t xml:space="preserve"> </w:t>
      </w:r>
      <w:r w:rsidRPr="0066048C">
        <w:rPr>
          <w:rFonts w:eastAsia="Times New Roman" w:cs="Times New Roman"/>
          <w:lang w:eastAsia="de-DE"/>
        </w:rPr>
        <w:t xml:space="preserve">(nehmt) im Qal-Imperativ maskulin Plural von </w:t>
      </w:r>
      <w:r w:rsidRPr="0066048C">
        <w:rPr>
          <w:rFonts w:eastAsia="Times New Roman" w:cs="Times New Roman"/>
          <w:b/>
          <w:bCs/>
          <w:rtl/>
          <w:lang w:eastAsia="de-DE"/>
        </w:rPr>
        <w:t>לקח</w:t>
      </w:r>
      <w:r w:rsidRPr="0066048C">
        <w:rPr>
          <w:rFonts w:eastAsia="Times New Roman" w:cs="Times New Roman"/>
          <w:lang w:eastAsia="de-DE"/>
        </w:rPr>
        <w:t xml:space="preserve">. </w:t>
      </w:r>
      <w:r w:rsidRPr="0066048C">
        <w:rPr>
          <w:rFonts w:eastAsia="Times New Roman" w:cs="Times New Roman"/>
          <w:b/>
          <w:bCs/>
          <w:rtl/>
          <w:lang w:eastAsia="de-DE"/>
        </w:rPr>
        <w:t>את־המנחה הנותרת</w:t>
      </w:r>
      <w:r w:rsidRPr="0066048C">
        <w:rPr>
          <w:rFonts w:eastAsia="Times New Roman" w:cs="Times New Roman"/>
          <w:rtl/>
          <w:lang w:eastAsia="de-DE"/>
        </w:rPr>
        <w:t xml:space="preserve"> </w:t>
      </w:r>
      <w:r w:rsidRPr="0066048C">
        <w:rPr>
          <w:rFonts w:eastAsia="Times New Roman" w:cs="Times New Roman"/>
          <w:lang w:eastAsia="de-DE"/>
        </w:rPr>
        <w:t xml:space="preserve">(das übriggebliebene Speiseopfer) - </w:t>
      </w:r>
      <w:r w:rsidRPr="0066048C">
        <w:rPr>
          <w:rFonts w:eastAsia="Times New Roman" w:cs="Times New Roman"/>
          <w:b/>
          <w:bCs/>
          <w:rtl/>
          <w:lang w:eastAsia="de-DE"/>
        </w:rPr>
        <w:t>נותרת</w:t>
      </w:r>
      <w:r w:rsidRPr="0066048C">
        <w:rPr>
          <w:rFonts w:eastAsia="Times New Roman" w:cs="Times New Roman"/>
          <w:rtl/>
          <w:lang w:eastAsia="de-DE"/>
        </w:rPr>
        <w:t xml:space="preserve"> </w:t>
      </w:r>
      <w:r w:rsidRPr="0066048C">
        <w:rPr>
          <w:rFonts w:eastAsia="Times New Roman" w:cs="Times New Roman"/>
          <w:lang w:eastAsia="de-DE"/>
        </w:rPr>
        <w:t xml:space="preserve">(übriggeblieben) feminin Singular von </w:t>
      </w:r>
      <w:r w:rsidRPr="0066048C">
        <w:rPr>
          <w:rFonts w:eastAsia="Times New Roman" w:cs="Times New Roman"/>
          <w:b/>
          <w:bCs/>
          <w:rtl/>
          <w:lang w:eastAsia="de-DE"/>
        </w:rPr>
        <w:t>יתר</w:t>
      </w:r>
      <w:r w:rsidRPr="0066048C">
        <w:rPr>
          <w:rFonts w:eastAsia="Times New Roman" w:cs="Times New Roman"/>
          <w:lang w:eastAsia="de-DE"/>
        </w:rPr>
        <w:t xml:space="preserve">. </w:t>
      </w:r>
      <w:r w:rsidRPr="0066048C">
        <w:rPr>
          <w:rFonts w:eastAsia="Times New Roman" w:cs="Times New Roman"/>
          <w:b/>
          <w:bCs/>
          <w:rtl/>
          <w:lang w:eastAsia="de-DE"/>
        </w:rPr>
        <w:t>מאשי יהוה</w:t>
      </w:r>
      <w:r w:rsidRPr="0066048C">
        <w:rPr>
          <w:rFonts w:eastAsia="Times New Roman" w:cs="Times New Roman"/>
          <w:rtl/>
          <w:lang w:eastAsia="de-DE"/>
        </w:rPr>
        <w:t xml:space="preserve"> </w:t>
      </w:r>
      <w:r w:rsidRPr="0066048C">
        <w:rPr>
          <w:rFonts w:eastAsia="Times New Roman" w:cs="Times New Roman"/>
          <w:lang w:eastAsia="de-DE"/>
        </w:rPr>
        <w:t xml:space="preserve">(von den Feueropfern JHWHs) zeigt die Quelle. </w:t>
      </w:r>
      <w:r w:rsidRPr="0066048C">
        <w:rPr>
          <w:rFonts w:eastAsia="Times New Roman" w:cs="Times New Roman"/>
          <w:b/>
          <w:bCs/>
          <w:rtl/>
          <w:lang w:eastAsia="de-DE"/>
        </w:rPr>
        <w:t>ואכלוה מצות</w:t>
      </w:r>
      <w:r w:rsidRPr="0066048C">
        <w:rPr>
          <w:rFonts w:eastAsia="Times New Roman" w:cs="Times New Roman"/>
          <w:rtl/>
          <w:lang w:eastAsia="de-DE"/>
        </w:rPr>
        <w:t xml:space="preserve"> </w:t>
      </w:r>
      <w:r w:rsidRPr="0066048C">
        <w:rPr>
          <w:rFonts w:eastAsia="Times New Roman" w:cs="Times New Roman"/>
          <w:lang w:eastAsia="de-DE"/>
        </w:rPr>
        <w:t xml:space="preserve">(und esst es ungesäuert) - </w:t>
      </w:r>
      <w:r w:rsidRPr="0066048C">
        <w:rPr>
          <w:rFonts w:eastAsia="Times New Roman" w:cs="Times New Roman"/>
          <w:b/>
          <w:bCs/>
          <w:rtl/>
          <w:lang w:eastAsia="de-DE"/>
        </w:rPr>
        <w:t>אכל</w:t>
      </w:r>
      <w:r w:rsidRPr="0066048C">
        <w:rPr>
          <w:rFonts w:eastAsia="Times New Roman" w:cs="Times New Roman"/>
          <w:rtl/>
          <w:lang w:eastAsia="de-DE"/>
        </w:rPr>
        <w:t xml:space="preserve"> </w:t>
      </w:r>
      <w:r w:rsidRPr="0066048C">
        <w:rPr>
          <w:rFonts w:eastAsia="Times New Roman" w:cs="Times New Roman"/>
          <w:lang w:eastAsia="de-DE"/>
        </w:rPr>
        <w:t xml:space="preserve">im Qal-Imperativ maskulin Plural mit </w:t>
      </w:r>
      <w:r w:rsidRPr="0066048C">
        <w:rPr>
          <w:rFonts w:eastAsia="Times New Roman" w:cs="Times New Roman"/>
          <w:b/>
          <w:bCs/>
          <w:rtl/>
          <w:lang w:eastAsia="de-DE"/>
        </w:rPr>
        <w:t>מצות</w:t>
      </w:r>
      <w:r w:rsidRPr="0066048C">
        <w:rPr>
          <w:rFonts w:eastAsia="Times New Roman" w:cs="Times New Roman"/>
          <w:rtl/>
          <w:lang w:eastAsia="de-DE"/>
        </w:rPr>
        <w:t xml:space="preserve"> </w:t>
      </w:r>
      <w:r w:rsidRPr="0066048C">
        <w:rPr>
          <w:rFonts w:eastAsia="Times New Roman" w:cs="Times New Roman"/>
          <w:lang w:eastAsia="de-DE"/>
        </w:rPr>
        <w:t xml:space="preserve">(ungesäuert) als Modalangabe. </w:t>
      </w:r>
      <w:r w:rsidRPr="0066048C">
        <w:rPr>
          <w:rFonts w:eastAsia="Times New Roman" w:cs="Times New Roman"/>
          <w:b/>
          <w:bCs/>
          <w:rtl/>
          <w:lang w:eastAsia="de-DE"/>
        </w:rPr>
        <w:t>אצל המזבח</w:t>
      </w:r>
      <w:r w:rsidRPr="0066048C">
        <w:rPr>
          <w:rFonts w:eastAsia="Times New Roman" w:cs="Times New Roman"/>
          <w:rtl/>
          <w:lang w:eastAsia="de-DE"/>
        </w:rPr>
        <w:t xml:space="preserve"> </w:t>
      </w:r>
      <w:r w:rsidRPr="0066048C">
        <w:rPr>
          <w:rFonts w:eastAsia="Times New Roman" w:cs="Times New Roman"/>
          <w:lang w:eastAsia="de-DE"/>
        </w:rPr>
        <w:t>(neben dem Altar) als Ortsangabe.</w:t>
      </w:r>
    </w:p>
    <w:p w14:paraId="0082D56B"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כי קדש קדשים הוא</w:t>
      </w:r>
      <w:r w:rsidRPr="0066048C">
        <w:rPr>
          <w:rFonts w:eastAsia="Times New Roman" w:cs="Times New Roman"/>
          <w:rtl/>
          <w:lang w:eastAsia="de-DE"/>
        </w:rPr>
        <w:t xml:space="preserve"> </w:t>
      </w:r>
      <w:r w:rsidRPr="0066048C">
        <w:rPr>
          <w:rFonts w:eastAsia="Times New Roman" w:cs="Times New Roman"/>
          <w:lang w:eastAsia="de-DE"/>
        </w:rPr>
        <w:t xml:space="preserve">begründet die Anweisungen. </w:t>
      </w:r>
      <w:r w:rsidRPr="0066048C">
        <w:rPr>
          <w:rFonts w:eastAsia="Times New Roman" w:cs="Times New Roman"/>
          <w:b/>
          <w:bCs/>
          <w:rtl/>
          <w:lang w:eastAsia="de-DE"/>
        </w:rPr>
        <w:t>קדש קדשים</w:t>
      </w:r>
      <w:r w:rsidRPr="0066048C">
        <w:rPr>
          <w:rFonts w:eastAsia="Times New Roman" w:cs="Times New Roman"/>
          <w:rtl/>
          <w:lang w:eastAsia="de-DE"/>
        </w:rPr>
        <w:t xml:space="preserve"> </w:t>
      </w:r>
      <w:r w:rsidRPr="0066048C">
        <w:rPr>
          <w:rFonts w:eastAsia="Times New Roman" w:cs="Times New Roman"/>
          <w:lang w:eastAsia="de-DE"/>
        </w:rPr>
        <w:t xml:space="preserve">(hochheilig) ist die Superlativkonstruktion "Heiliges der Heiligen". </w:t>
      </w:r>
      <w:r w:rsidRPr="0066048C">
        <w:rPr>
          <w:rFonts w:eastAsia="Times New Roman" w:cs="Times New Roman"/>
          <w:b/>
          <w:bCs/>
          <w:rtl/>
          <w:lang w:eastAsia="de-DE"/>
        </w:rPr>
        <w:t>הוא</w:t>
      </w:r>
      <w:r w:rsidRPr="0066048C">
        <w:rPr>
          <w:rFonts w:eastAsia="Times New Roman" w:cs="Times New Roman"/>
          <w:rtl/>
          <w:lang w:eastAsia="de-DE"/>
        </w:rPr>
        <w:t xml:space="preserve"> </w:t>
      </w:r>
      <w:r w:rsidRPr="0066048C">
        <w:rPr>
          <w:rFonts w:eastAsia="Times New Roman" w:cs="Times New Roman"/>
          <w:lang w:eastAsia="de-DE"/>
        </w:rPr>
        <w:t xml:space="preserve">(es ist) als emphatisches Pronomen referenziert </w:t>
      </w:r>
      <w:r w:rsidRPr="0066048C">
        <w:rPr>
          <w:rFonts w:eastAsia="Times New Roman" w:cs="Times New Roman"/>
          <w:b/>
          <w:bCs/>
          <w:rtl/>
          <w:lang w:eastAsia="de-DE"/>
        </w:rPr>
        <w:t>המנחה</w:t>
      </w:r>
      <w:r w:rsidRPr="0066048C">
        <w:rPr>
          <w:rFonts w:eastAsia="Times New Roman" w:cs="Times New Roman"/>
          <w:lang w:eastAsia="de-DE"/>
        </w:rPr>
        <w:t>.</w:t>
      </w:r>
    </w:p>
    <w:p w14:paraId="36421A2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הנותרים</w:t>
      </w:r>
      <w:r w:rsidRPr="0066048C">
        <w:rPr>
          <w:rFonts w:eastAsia="Times New Roman" w:cs="Times New Roman"/>
          <w:rtl/>
          <w:lang w:eastAsia="de-DE"/>
        </w:rPr>
        <w:t xml:space="preserve"> </w:t>
      </w:r>
      <w:r w:rsidRPr="0066048C">
        <w:rPr>
          <w:rFonts w:eastAsia="Times New Roman" w:cs="Times New Roman"/>
          <w:lang w:eastAsia="de-DE"/>
        </w:rPr>
        <w:t xml:space="preserve">als schmerzhafte Bezeichnung für Eleasar und Itamar kontrastiert mit </w:t>
      </w:r>
      <w:r w:rsidRPr="0066048C">
        <w:rPr>
          <w:rFonts w:eastAsia="Times New Roman" w:cs="Times New Roman"/>
          <w:b/>
          <w:bCs/>
          <w:rtl/>
          <w:lang w:eastAsia="de-DE"/>
        </w:rPr>
        <w:t>הנותרת</w:t>
      </w:r>
      <w:r w:rsidRPr="0066048C">
        <w:rPr>
          <w:rFonts w:eastAsia="Times New Roman" w:cs="Times New Roman"/>
          <w:rtl/>
          <w:lang w:eastAsia="de-DE"/>
        </w:rPr>
        <w:t xml:space="preserve"> </w:t>
      </w:r>
      <w:r w:rsidRPr="0066048C">
        <w:rPr>
          <w:rFonts w:eastAsia="Times New Roman" w:cs="Times New Roman"/>
          <w:lang w:eastAsia="de-DE"/>
        </w:rPr>
        <w:t xml:space="preserve">(übriggeblieben) für die </w:t>
      </w:r>
      <w:r w:rsidRPr="0066048C">
        <w:rPr>
          <w:rFonts w:eastAsia="Times New Roman" w:cs="Times New Roman"/>
          <w:b/>
          <w:bCs/>
          <w:rtl/>
          <w:lang w:eastAsia="de-DE"/>
        </w:rPr>
        <w:t>מנחה</w:t>
      </w:r>
      <w:r w:rsidRPr="0066048C">
        <w:rPr>
          <w:rFonts w:eastAsia="Times New Roman" w:cs="Times New Roman"/>
          <w:lang w:eastAsia="de-DE"/>
        </w:rPr>
        <w:t xml:space="preserve">. </w:t>
      </w:r>
      <w:r w:rsidRPr="0066048C">
        <w:rPr>
          <w:rFonts w:eastAsia="Times New Roman" w:cs="Times New Roman"/>
          <w:b/>
          <w:bCs/>
          <w:rtl/>
          <w:lang w:eastAsia="de-DE"/>
        </w:rPr>
        <w:t>מאשי יהוה</w:t>
      </w:r>
      <w:r w:rsidRPr="0066048C">
        <w:rPr>
          <w:rFonts w:eastAsia="Times New Roman" w:cs="Times New Roman"/>
          <w:rtl/>
          <w:lang w:eastAsia="de-DE"/>
        </w:rPr>
        <w:t xml:space="preserve"> </w:t>
      </w:r>
      <w:r w:rsidRPr="0066048C">
        <w:rPr>
          <w:rFonts w:eastAsia="Times New Roman" w:cs="Times New Roman"/>
          <w:lang w:eastAsia="de-DE"/>
        </w:rPr>
        <w:t>zeigt, dass trotz der Tragödie der Opferdienst fortgesetzt wurde.</w:t>
      </w:r>
    </w:p>
    <w:p w14:paraId="20F1169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מצות</w:t>
      </w:r>
      <w:r w:rsidRPr="0066048C">
        <w:rPr>
          <w:rFonts w:eastAsia="Times New Roman" w:cs="Times New Roman"/>
          <w:rtl/>
          <w:lang w:eastAsia="de-DE"/>
        </w:rPr>
        <w:t xml:space="preserve"> </w:t>
      </w:r>
      <w:r w:rsidRPr="0066048C">
        <w:rPr>
          <w:rFonts w:eastAsia="Times New Roman" w:cs="Times New Roman"/>
          <w:lang w:eastAsia="de-DE"/>
        </w:rPr>
        <w:t xml:space="preserve">(ungesäuert) entspricht den </w:t>
      </w:r>
      <w:r w:rsidRPr="0066048C">
        <w:rPr>
          <w:rFonts w:eastAsia="Times New Roman" w:cs="Times New Roman"/>
          <w:b/>
          <w:bCs/>
          <w:rtl/>
          <w:lang w:eastAsia="de-DE"/>
        </w:rPr>
        <w:t>מנחה</w:t>
      </w:r>
      <w:r w:rsidRPr="0066048C">
        <w:rPr>
          <w:rFonts w:eastAsia="Times New Roman" w:cs="Times New Roman"/>
          <w:lang w:eastAsia="de-DE"/>
        </w:rPr>
        <w:t xml:space="preserve">-Bestimmungen aus 2,11. </w:t>
      </w:r>
      <w:r w:rsidRPr="0066048C">
        <w:rPr>
          <w:rFonts w:eastAsia="Times New Roman" w:cs="Times New Roman"/>
          <w:b/>
          <w:bCs/>
          <w:rtl/>
          <w:lang w:eastAsia="de-DE"/>
        </w:rPr>
        <w:t>אצל המזבח</w:t>
      </w:r>
      <w:r w:rsidRPr="0066048C">
        <w:rPr>
          <w:rFonts w:eastAsia="Times New Roman" w:cs="Times New Roman"/>
          <w:rtl/>
          <w:lang w:eastAsia="de-DE"/>
        </w:rPr>
        <w:t xml:space="preserve"> </w:t>
      </w:r>
      <w:r w:rsidRPr="0066048C">
        <w:rPr>
          <w:rFonts w:eastAsia="Times New Roman" w:cs="Times New Roman"/>
          <w:lang w:eastAsia="de-DE"/>
        </w:rPr>
        <w:t xml:space="preserve">zeigt den heiligen Essbereich. </w:t>
      </w:r>
      <w:r w:rsidRPr="0066048C">
        <w:rPr>
          <w:rFonts w:eastAsia="Times New Roman" w:cs="Times New Roman"/>
          <w:b/>
          <w:bCs/>
          <w:rtl/>
          <w:lang w:eastAsia="de-DE"/>
        </w:rPr>
        <w:t>קדש קדשים</w:t>
      </w:r>
      <w:r w:rsidRPr="0066048C">
        <w:rPr>
          <w:rFonts w:eastAsia="Times New Roman" w:cs="Times New Roman"/>
          <w:rtl/>
          <w:lang w:eastAsia="de-DE"/>
        </w:rPr>
        <w:t xml:space="preserve"> </w:t>
      </w:r>
      <w:r w:rsidRPr="0066048C">
        <w:rPr>
          <w:rFonts w:eastAsia="Times New Roman" w:cs="Times New Roman"/>
          <w:lang w:eastAsia="de-DE"/>
        </w:rPr>
        <w:t xml:space="preserve">klassifiziert die </w:t>
      </w:r>
      <w:r w:rsidRPr="0066048C">
        <w:rPr>
          <w:rFonts w:eastAsia="Times New Roman" w:cs="Times New Roman"/>
          <w:b/>
          <w:bCs/>
          <w:rtl/>
          <w:lang w:eastAsia="de-DE"/>
        </w:rPr>
        <w:t>מנחה</w:t>
      </w:r>
      <w:r w:rsidRPr="0066048C">
        <w:rPr>
          <w:rFonts w:eastAsia="Times New Roman" w:cs="Times New Roman"/>
          <w:rtl/>
          <w:lang w:eastAsia="de-DE"/>
        </w:rPr>
        <w:t xml:space="preserve"> </w:t>
      </w:r>
      <w:r w:rsidRPr="0066048C">
        <w:rPr>
          <w:rFonts w:eastAsia="Times New Roman" w:cs="Times New Roman"/>
          <w:lang w:eastAsia="de-DE"/>
        </w:rPr>
        <w:t>als hochheilig, daher nur für Priester zugänglich.</w:t>
      </w:r>
    </w:p>
    <w:p w14:paraId="5BFB8EEB" w14:textId="47A480E0"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w:t>
      </w:r>
      <w:r w:rsidR="00F6539E">
        <w:t xml:space="preserve">ersetzt </w:t>
      </w:r>
      <w:r w:rsidR="00F6539E">
        <w:rPr>
          <w:rtl/>
        </w:rPr>
        <w:t>מאשי יהוה</w:t>
      </w:r>
      <w:r w:rsidR="00F6539E">
        <w:t xml:space="preserve"> (</w:t>
      </w:r>
      <w:proofErr w:type="spellStart"/>
      <w:r w:rsidR="00F6539E">
        <w:t>me'ishei</w:t>
      </w:r>
      <w:proofErr w:type="spellEnd"/>
      <w:r w:rsidR="00F6539E">
        <w:t xml:space="preserve"> YHWH - "von den Feueropfern YHWHs") durch ἀπὸ </w:t>
      </w:r>
      <w:proofErr w:type="spellStart"/>
      <w:r w:rsidR="00F6539E">
        <w:t>τῶν</w:t>
      </w:r>
      <w:proofErr w:type="spellEnd"/>
      <w:r w:rsidR="00F6539E">
        <w:t xml:space="preserve"> καρπ</w:t>
      </w:r>
      <w:proofErr w:type="spellStart"/>
      <w:r w:rsidR="00F6539E">
        <w:t>ωμάτων</w:t>
      </w:r>
      <w:proofErr w:type="spellEnd"/>
      <w:r w:rsidR="00F6539E">
        <w:t xml:space="preserve"> </w:t>
      </w:r>
      <w:proofErr w:type="spellStart"/>
      <w:r w:rsidR="00F6539E">
        <w:t>κυρίου</w:t>
      </w:r>
      <w:proofErr w:type="spellEnd"/>
      <w:r w:rsidR="00F6539E">
        <w:t xml:space="preserve"> (von den Fruchtopfern des Herrn), was die systematische Terminologieverschiebung fortsetzt.</w:t>
      </w:r>
    </w:p>
    <w:p w14:paraId="5CA6A9D5"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Anweisung mit Begründung: Subjekt + Verb + dreifacher Adressat mit schmerzlicher Spezifikation + zwei Imperative mit Objekten und Modalangaben + Begründung mit Klassifikation. Die Struktur zeigt die Fortsetzung des Dienstes trotz Tragödie.</w:t>
      </w:r>
    </w:p>
    <w:p w14:paraId="00CE2FC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Dieser Vers zeigt Moses Anweisung zur Fortsetzung des Opferdienstes an die überlebenden Priester und betont die Heiligkeit der priesterlichen Nahrung.</w:t>
      </w:r>
    </w:p>
    <w:p w14:paraId="010B2E73"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lastRenderedPageBreak/>
        <w:t>Leviticus 10,13</w:t>
      </w:r>
    </w:p>
    <w:p w14:paraId="2501A6C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וַאֲכַלְתֶּ֤ם אֹתָהּ֙ בְּמָק֣וֹם קָדֹ֔שׁ כִּ֣י חָקְךָ֤ וְחָק־בָּנֶ֨יךָ֙ הִ֔וא מֵאִשֵּׁ֖י יְהוָ֑ה כִּי־כֵ֖ן צֻוֵּֽיתִי׃</w:t>
      </w:r>
    </w:p>
    <w:p w14:paraId="4B67093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ihr sollt es an heiliger Stätte essen, denn es ist dein Anteil und der Anteil deiner Söhne von den Feueropfern des Ewigen; denn so ist es mir geboten worden.</w:t>
      </w:r>
    </w:p>
    <w:p w14:paraId="4AD8B4DE"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6A9FD636">
          <v:rect id="_x0000_i1269" style="width:0;height:1.5pt" o:hralign="center" o:hrstd="t" o:hr="t" fillcolor="#a0a0a0" stroked="f"/>
        </w:pict>
      </w:r>
    </w:p>
    <w:p w14:paraId="769F87C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ואכלתם אתה במקום קדש</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אכל</w:t>
      </w:r>
      <w:r w:rsidRPr="0066048C">
        <w:rPr>
          <w:rFonts w:eastAsia="Times New Roman" w:cs="Times New Roman"/>
          <w:rtl/>
          <w:lang w:eastAsia="de-DE"/>
        </w:rPr>
        <w:t xml:space="preserve"> </w:t>
      </w:r>
      <w:r w:rsidRPr="0066048C">
        <w:rPr>
          <w:rFonts w:eastAsia="Times New Roman" w:cs="Times New Roman"/>
          <w:lang w:eastAsia="de-DE"/>
        </w:rPr>
        <w:t xml:space="preserve">(essen) im Qal-Perfekt 2. Person maskulin Plural mit Waw-Konsekutiv. </w:t>
      </w:r>
      <w:r w:rsidRPr="0066048C">
        <w:rPr>
          <w:rFonts w:eastAsia="Times New Roman" w:cs="Times New Roman"/>
          <w:b/>
          <w:bCs/>
          <w:rtl/>
          <w:lang w:eastAsia="de-DE"/>
        </w:rPr>
        <w:t>אתה</w:t>
      </w:r>
      <w:r w:rsidRPr="0066048C">
        <w:rPr>
          <w:rFonts w:eastAsia="Times New Roman" w:cs="Times New Roman"/>
          <w:rtl/>
          <w:lang w:eastAsia="de-DE"/>
        </w:rPr>
        <w:t xml:space="preserve"> </w:t>
      </w:r>
      <w:r w:rsidRPr="0066048C">
        <w:rPr>
          <w:rFonts w:eastAsia="Times New Roman" w:cs="Times New Roman"/>
          <w:lang w:eastAsia="de-DE"/>
        </w:rPr>
        <w:t xml:space="preserve">(es) mit Objektsuffix feminin Singular referenziert </w:t>
      </w:r>
      <w:r w:rsidRPr="0066048C">
        <w:rPr>
          <w:rFonts w:eastAsia="Times New Roman" w:cs="Times New Roman"/>
          <w:b/>
          <w:bCs/>
          <w:rtl/>
          <w:lang w:eastAsia="de-DE"/>
        </w:rPr>
        <w:t>המנחה</w:t>
      </w:r>
      <w:r w:rsidRPr="0066048C">
        <w:rPr>
          <w:rFonts w:eastAsia="Times New Roman" w:cs="Times New Roman"/>
          <w:lang w:eastAsia="de-DE"/>
        </w:rPr>
        <w:t xml:space="preserve">. </w:t>
      </w:r>
      <w:r w:rsidRPr="0066048C">
        <w:rPr>
          <w:rFonts w:eastAsia="Times New Roman" w:cs="Times New Roman"/>
          <w:b/>
          <w:bCs/>
          <w:rtl/>
          <w:lang w:eastAsia="de-DE"/>
        </w:rPr>
        <w:t>במקום קדש</w:t>
      </w:r>
      <w:r w:rsidRPr="0066048C">
        <w:rPr>
          <w:rFonts w:eastAsia="Times New Roman" w:cs="Times New Roman"/>
          <w:rtl/>
          <w:lang w:eastAsia="de-DE"/>
        </w:rPr>
        <w:t xml:space="preserve"> </w:t>
      </w:r>
      <w:r w:rsidRPr="0066048C">
        <w:rPr>
          <w:rFonts w:eastAsia="Times New Roman" w:cs="Times New Roman"/>
          <w:lang w:eastAsia="de-DE"/>
        </w:rPr>
        <w:t xml:space="preserve">(an heiligem Ort) spezifiziert den Essbereich genauer als </w:t>
      </w:r>
      <w:r w:rsidRPr="0066048C">
        <w:rPr>
          <w:rFonts w:eastAsia="Times New Roman" w:cs="Times New Roman"/>
          <w:b/>
          <w:bCs/>
          <w:rtl/>
          <w:lang w:eastAsia="de-DE"/>
        </w:rPr>
        <w:t>אצל המזבח</w:t>
      </w:r>
      <w:r w:rsidRPr="0066048C">
        <w:rPr>
          <w:rFonts w:eastAsia="Times New Roman" w:cs="Times New Roman"/>
          <w:rtl/>
          <w:lang w:eastAsia="de-DE"/>
        </w:rPr>
        <w:t xml:space="preserve"> </w:t>
      </w:r>
      <w:r w:rsidRPr="0066048C">
        <w:rPr>
          <w:rFonts w:eastAsia="Times New Roman" w:cs="Times New Roman"/>
          <w:lang w:eastAsia="de-DE"/>
        </w:rPr>
        <w:t>aus V. 12.</w:t>
      </w:r>
    </w:p>
    <w:p w14:paraId="6129DDE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כי חקך וחק־בניך הוא מאשי יהוה</w:t>
      </w:r>
      <w:r w:rsidRPr="0066048C">
        <w:rPr>
          <w:rFonts w:eastAsia="Times New Roman" w:cs="Times New Roman"/>
          <w:rtl/>
          <w:lang w:eastAsia="de-DE"/>
        </w:rPr>
        <w:t xml:space="preserve"> </w:t>
      </w:r>
      <w:r w:rsidRPr="0066048C">
        <w:rPr>
          <w:rFonts w:eastAsia="Times New Roman" w:cs="Times New Roman"/>
          <w:lang w:eastAsia="de-DE"/>
        </w:rPr>
        <w:t xml:space="preserve">begründet das Recht zum Verzehr. </w:t>
      </w:r>
      <w:r w:rsidRPr="0066048C">
        <w:rPr>
          <w:rFonts w:eastAsia="Times New Roman" w:cs="Times New Roman"/>
          <w:b/>
          <w:bCs/>
          <w:rtl/>
          <w:lang w:eastAsia="de-DE"/>
        </w:rPr>
        <w:t>כי</w:t>
      </w:r>
      <w:r w:rsidRPr="0066048C">
        <w:rPr>
          <w:rFonts w:eastAsia="Times New Roman" w:cs="Times New Roman"/>
          <w:rtl/>
          <w:lang w:eastAsia="de-DE"/>
        </w:rPr>
        <w:t xml:space="preserve"> </w:t>
      </w:r>
      <w:r w:rsidRPr="0066048C">
        <w:rPr>
          <w:rFonts w:eastAsia="Times New Roman" w:cs="Times New Roman"/>
          <w:lang w:eastAsia="de-DE"/>
        </w:rPr>
        <w:t xml:space="preserve">(denn) leitet die Begründung ein. </w:t>
      </w:r>
      <w:r w:rsidRPr="0066048C">
        <w:rPr>
          <w:rFonts w:eastAsia="Times New Roman" w:cs="Times New Roman"/>
          <w:b/>
          <w:bCs/>
          <w:rtl/>
          <w:lang w:eastAsia="de-DE"/>
        </w:rPr>
        <w:t>חקך וחק־בניך</w:t>
      </w:r>
      <w:r w:rsidRPr="0066048C">
        <w:rPr>
          <w:rFonts w:eastAsia="Times New Roman" w:cs="Times New Roman"/>
          <w:rtl/>
          <w:lang w:eastAsia="de-DE"/>
        </w:rPr>
        <w:t xml:space="preserve"> </w:t>
      </w:r>
      <w:r w:rsidRPr="0066048C">
        <w:rPr>
          <w:rFonts w:eastAsia="Times New Roman" w:cs="Times New Roman"/>
          <w:lang w:eastAsia="de-DE"/>
        </w:rPr>
        <w:t xml:space="preserve">(dein Anteil und der Anteil deiner Söhne) - </w:t>
      </w:r>
      <w:r w:rsidRPr="0066048C">
        <w:rPr>
          <w:rFonts w:eastAsia="Times New Roman" w:cs="Times New Roman"/>
          <w:b/>
          <w:bCs/>
          <w:rtl/>
          <w:lang w:eastAsia="de-DE"/>
        </w:rPr>
        <w:t>חק</w:t>
      </w:r>
      <w:r w:rsidRPr="0066048C">
        <w:rPr>
          <w:rFonts w:eastAsia="Times New Roman" w:cs="Times New Roman"/>
          <w:rtl/>
          <w:lang w:eastAsia="de-DE"/>
        </w:rPr>
        <w:t xml:space="preserve"> </w:t>
      </w:r>
      <w:r w:rsidRPr="0066048C">
        <w:rPr>
          <w:rFonts w:eastAsia="Times New Roman" w:cs="Times New Roman"/>
          <w:lang w:eastAsia="de-DE"/>
        </w:rPr>
        <w:t xml:space="preserve">(Anteil/Portion) mit Possessivsuffixen 2. Person maskulin Singular. </w:t>
      </w:r>
      <w:r w:rsidRPr="0066048C">
        <w:rPr>
          <w:rFonts w:eastAsia="Times New Roman" w:cs="Times New Roman"/>
          <w:b/>
          <w:bCs/>
          <w:rtl/>
          <w:lang w:eastAsia="de-DE"/>
        </w:rPr>
        <w:t>הוא</w:t>
      </w:r>
      <w:r w:rsidRPr="0066048C">
        <w:rPr>
          <w:rFonts w:eastAsia="Times New Roman" w:cs="Times New Roman"/>
          <w:rtl/>
          <w:lang w:eastAsia="de-DE"/>
        </w:rPr>
        <w:t xml:space="preserve"> </w:t>
      </w:r>
      <w:r w:rsidRPr="0066048C">
        <w:rPr>
          <w:rFonts w:eastAsia="Times New Roman" w:cs="Times New Roman"/>
          <w:lang w:eastAsia="de-DE"/>
        </w:rPr>
        <w:t xml:space="preserve">(es ist) als emphatisches Pronomen. </w:t>
      </w:r>
      <w:r w:rsidRPr="0066048C">
        <w:rPr>
          <w:rFonts w:eastAsia="Times New Roman" w:cs="Times New Roman"/>
          <w:b/>
          <w:bCs/>
          <w:rtl/>
          <w:lang w:eastAsia="de-DE"/>
        </w:rPr>
        <w:t>מאשי יהוה</w:t>
      </w:r>
      <w:r w:rsidRPr="0066048C">
        <w:rPr>
          <w:rFonts w:eastAsia="Times New Roman" w:cs="Times New Roman"/>
          <w:rtl/>
          <w:lang w:eastAsia="de-DE"/>
        </w:rPr>
        <w:t xml:space="preserve"> </w:t>
      </w:r>
      <w:r w:rsidRPr="0066048C">
        <w:rPr>
          <w:rFonts w:eastAsia="Times New Roman" w:cs="Times New Roman"/>
          <w:lang w:eastAsia="de-DE"/>
        </w:rPr>
        <w:t>(von den Feueropfern JHWHs) zeigt die Quelle der priesterlichen Berechtigung.</w:t>
      </w:r>
    </w:p>
    <w:p w14:paraId="1E32A855"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כי־כן צויתי</w:t>
      </w:r>
      <w:r w:rsidRPr="0066048C">
        <w:rPr>
          <w:rFonts w:eastAsia="Times New Roman" w:cs="Times New Roman"/>
          <w:rtl/>
          <w:lang w:eastAsia="de-DE"/>
        </w:rPr>
        <w:t xml:space="preserve"> </w:t>
      </w:r>
      <w:r w:rsidRPr="0066048C">
        <w:rPr>
          <w:rFonts w:eastAsia="Times New Roman" w:cs="Times New Roman"/>
          <w:lang w:eastAsia="de-DE"/>
        </w:rPr>
        <w:t xml:space="preserve">ist Moses Autoritätsformel. </w:t>
      </w:r>
      <w:r w:rsidRPr="0066048C">
        <w:rPr>
          <w:rFonts w:eastAsia="Times New Roman" w:cs="Times New Roman"/>
          <w:b/>
          <w:bCs/>
          <w:rtl/>
          <w:lang w:eastAsia="de-DE"/>
        </w:rPr>
        <w:t>כי</w:t>
      </w:r>
      <w:r w:rsidRPr="0066048C">
        <w:rPr>
          <w:rFonts w:eastAsia="Times New Roman" w:cs="Times New Roman"/>
          <w:rtl/>
          <w:lang w:eastAsia="de-DE"/>
        </w:rPr>
        <w:t xml:space="preserve"> </w:t>
      </w:r>
      <w:r w:rsidRPr="0066048C">
        <w:rPr>
          <w:rFonts w:eastAsia="Times New Roman" w:cs="Times New Roman"/>
          <w:lang w:eastAsia="de-DE"/>
        </w:rPr>
        <w:t xml:space="preserve">(denn) mit </w:t>
      </w:r>
      <w:r w:rsidRPr="0066048C">
        <w:rPr>
          <w:rFonts w:eastAsia="Times New Roman" w:cs="Times New Roman"/>
          <w:b/>
          <w:bCs/>
          <w:rtl/>
          <w:lang w:eastAsia="de-DE"/>
        </w:rPr>
        <w:t>כן</w:t>
      </w:r>
      <w:r w:rsidRPr="0066048C">
        <w:rPr>
          <w:rFonts w:eastAsia="Times New Roman" w:cs="Times New Roman"/>
          <w:rtl/>
          <w:lang w:eastAsia="de-DE"/>
        </w:rPr>
        <w:t xml:space="preserve"> </w:t>
      </w:r>
      <w:r w:rsidRPr="0066048C">
        <w:rPr>
          <w:rFonts w:eastAsia="Times New Roman" w:cs="Times New Roman"/>
          <w:lang w:eastAsia="de-DE"/>
        </w:rPr>
        <w:t xml:space="preserve">(so) referenziert die gesamte Anweisung. </w:t>
      </w:r>
      <w:r w:rsidRPr="0066048C">
        <w:rPr>
          <w:rFonts w:eastAsia="Times New Roman" w:cs="Times New Roman"/>
          <w:b/>
          <w:bCs/>
          <w:rtl/>
          <w:lang w:eastAsia="de-DE"/>
        </w:rPr>
        <w:t>צויתי</w:t>
      </w:r>
      <w:r w:rsidRPr="0066048C">
        <w:rPr>
          <w:rFonts w:eastAsia="Times New Roman" w:cs="Times New Roman"/>
          <w:rtl/>
          <w:lang w:eastAsia="de-DE"/>
        </w:rPr>
        <w:t xml:space="preserve"> </w:t>
      </w:r>
      <w:r w:rsidRPr="0066048C">
        <w:rPr>
          <w:rFonts w:eastAsia="Times New Roman" w:cs="Times New Roman"/>
          <w:lang w:eastAsia="de-DE"/>
        </w:rPr>
        <w:t xml:space="preserve">(mir wurde befohlen) - </w:t>
      </w:r>
      <w:r w:rsidRPr="0066048C">
        <w:rPr>
          <w:rFonts w:eastAsia="Times New Roman" w:cs="Times New Roman"/>
          <w:b/>
          <w:bCs/>
          <w:rtl/>
          <w:lang w:eastAsia="de-DE"/>
        </w:rPr>
        <w:t>צוה</w:t>
      </w:r>
      <w:r w:rsidRPr="0066048C">
        <w:rPr>
          <w:rFonts w:eastAsia="Times New Roman" w:cs="Times New Roman"/>
          <w:rtl/>
          <w:lang w:eastAsia="de-DE"/>
        </w:rPr>
        <w:t xml:space="preserve"> </w:t>
      </w:r>
      <w:r w:rsidRPr="0066048C">
        <w:rPr>
          <w:rFonts w:eastAsia="Times New Roman" w:cs="Times New Roman"/>
          <w:lang w:eastAsia="de-DE"/>
        </w:rPr>
        <w:t>im Pual-Perfekt 1. Person Singular zeigt, dass Mosche selbst Empfänger der Anweisung ist.</w:t>
      </w:r>
    </w:p>
    <w:p w14:paraId="18708E5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במקום קדש</w:t>
      </w:r>
      <w:r w:rsidRPr="0066048C">
        <w:rPr>
          <w:rFonts w:eastAsia="Times New Roman" w:cs="Times New Roman"/>
          <w:rtl/>
          <w:lang w:eastAsia="de-DE"/>
        </w:rPr>
        <w:t xml:space="preserve"> </w:t>
      </w:r>
      <w:r w:rsidRPr="0066048C">
        <w:rPr>
          <w:rFonts w:eastAsia="Times New Roman" w:cs="Times New Roman"/>
          <w:lang w:eastAsia="de-DE"/>
        </w:rPr>
        <w:t xml:space="preserve">im Unterschied zu </w:t>
      </w:r>
      <w:r w:rsidRPr="0066048C">
        <w:rPr>
          <w:rFonts w:eastAsia="Times New Roman" w:cs="Times New Roman"/>
          <w:b/>
          <w:bCs/>
          <w:rtl/>
          <w:lang w:eastAsia="de-DE"/>
        </w:rPr>
        <w:t>מקום טהור</w:t>
      </w:r>
      <w:r w:rsidRPr="0066048C">
        <w:rPr>
          <w:rFonts w:eastAsia="Times New Roman" w:cs="Times New Roman"/>
          <w:rtl/>
          <w:lang w:eastAsia="de-DE"/>
        </w:rPr>
        <w:t xml:space="preserve"> </w:t>
      </w:r>
      <w:r w:rsidRPr="0066048C">
        <w:rPr>
          <w:rFonts w:eastAsia="Times New Roman" w:cs="Times New Roman"/>
          <w:lang w:eastAsia="de-DE"/>
        </w:rPr>
        <w:t xml:space="preserve">(reiner Ort) aus 6,9 zeigt die höhere Heiligkeitsstufe der </w:t>
      </w:r>
      <w:r w:rsidRPr="0066048C">
        <w:rPr>
          <w:rFonts w:eastAsia="Times New Roman" w:cs="Times New Roman"/>
          <w:b/>
          <w:bCs/>
          <w:rtl/>
          <w:lang w:eastAsia="de-DE"/>
        </w:rPr>
        <w:t>מנחה</w:t>
      </w:r>
      <w:r w:rsidRPr="0066048C">
        <w:rPr>
          <w:rFonts w:eastAsia="Times New Roman" w:cs="Times New Roman"/>
          <w:lang w:eastAsia="de-DE"/>
        </w:rPr>
        <w:t xml:space="preserve">. </w:t>
      </w:r>
      <w:r w:rsidRPr="0066048C">
        <w:rPr>
          <w:rFonts w:eastAsia="Times New Roman" w:cs="Times New Roman"/>
          <w:b/>
          <w:bCs/>
          <w:rtl/>
          <w:lang w:eastAsia="de-DE"/>
        </w:rPr>
        <w:t>חקך וחק־בניך</w:t>
      </w:r>
      <w:r w:rsidRPr="0066048C">
        <w:rPr>
          <w:rFonts w:eastAsia="Times New Roman" w:cs="Times New Roman"/>
          <w:rtl/>
          <w:lang w:eastAsia="de-DE"/>
        </w:rPr>
        <w:t xml:space="preserve"> </w:t>
      </w:r>
      <w:r w:rsidRPr="0066048C">
        <w:rPr>
          <w:rFonts w:eastAsia="Times New Roman" w:cs="Times New Roman"/>
          <w:lang w:eastAsia="de-DE"/>
        </w:rPr>
        <w:t>etabliert erbliche priesterliche Berechtigung.</w:t>
      </w:r>
    </w:p>
    <w:p w14:paraId="311046D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מאשי יהוה</w:t>
      </w:r>
      <w:r w:rsidRPr="0066048C">
        <w:rPr>
          <w:rFonts w:eastAsia="Times New Roman" w:cs="Times New Roman"/>
          <w:rtl/>
          <w:lang w:eastAsia="de-DE"/>
        </w:rPr>
        <w:t xml:space="preserve"> </w:t>
      </w:r>
      <w:r w:rsidRPr="0066048C">
        <w:rPr>
          <w:rFonts w:eastAsia="Times New Roman" w:cs="Times New Roman"/>
          <w:lang w:eastAsia="de-DE"/>
        </w:rPr>
        <w:t xml:space="preserve">zeigt, dass priesterliche Anteile aus göttlichen Opfern stammen, nicht aus menschlicher Großzügigkeit. </w:t>
      </w:r>
      <w:r w:rsidRPr="0066048C">
        <w:rPr>
          <w:rFonts w:eastAsia="Times New Roman" w:cs="Times New Roman"/>
          <w:b/>
          <w:bCs/>
          <w:rtl/>
          <w:lang w:eastAsia="de-DE"/>
        </w:rPr>
        <w:t>צויתי</w:t>
      </w:r>
      <w:r w:rsidRPr="0066048C">
        <w:rPr>
          <w:rFonts w:eastAsia="Times New Roman" w:cs="Times New Roman"/>
          <w:rtl/>
          <w:lang w:eastAsia="de-DE"/>
        </w:rPr>
        <w:t xml:space="preserve"> </w:t>
      </w:r>
      <w:r w:rsidRPr="0066048C">
        <w:rPr>
          <w:rFonts w:eastAsia="Times New Roman" w:cs="Times New Roman"/>
          <w:lang w:eastAsia="de-DE"/>
        </w:rPr>
        <w:t>im Pual betont Moses Rolle als Übermittler, nicht Urheber der Bestimmungen.</w:t>
      </w:r>
    </w:p>
    <w:p w14:paraId="587A6D49"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übersetzt </w:t>
      </w:r>
      <w:r w:rsidRPr="0066048C">
        <w:rPr>
          <w:rFonts w:eastAsia="Times New Roman" w:cs="Times New Roman"/>
          <w:b/>
          <w:bCs/>
          <w:rtl/>
          <w:lang w:eastAsia="de-DE"/>
        </w:rPr>
        <w:t>במקום קדש</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ἐν</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τό</w:t>
      </w:r>
      <w:proofErr w:type="spellEnd"/>
      <w:r w:rsidRPr="0066048C">
        <w:rPr>
          <w:rFonts w:eastAsia="Times New Roman" w:cs="Times New Roman"/>
          <w:lang w:eastAsia="de-DE"/>
        </w:rPr>
        <w:t xml:space="preserve">πῳ </w:t>
      </w:r>
      <w:proofErr w:type="spellStart"/>
      <w:r w:rsidRPr="0066048C">
        <w:rPr>
          <w:rFonts w:eastAsia="Times New Roman" w:cs="Times New Roman"/>
          <w:lang w:eastAsia="de-DE"/>
        </w:rPr>
        <w:t>ἁγίῳ</w:t>
      </w:r>
      <w:proofErr w:type="spellEnd"/>
      <w:r w:rsidRPr="0066048C">
        <w:rPr>
          <w:rFonts w:eastAsia="Times New Roman" w:cs="Times New Roman"/>
          <w:lang w:eastAsia="de-DE"/>
        </w:rPr>
        <w:t xml:space="preserve"> (an heiligem Ort), </w:t>
      </w:r>
      <w:r w:rsidRPr="0066048C">
        <w:rPr>
          <w:rFonts w:eastAsia="Times New Roman" w:cs="Times New Roman"/>
          <w:b/>
          <w:bCs/>
          <w:rtl/>
          <w:lang w:eastAsia="de-DE"/>
        </w:rPr>
        <w:t>חקך</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νόμιμόν</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σου</w:t>
      </w:r>
      <w:proofErr w:type="spellEnd"/>
      <w:r w:rsidRPr="0066048C">
        <w:rPr>
          <w:rFonts w:eastAsia="Times New Roman" w:cs="Times New Roman"/>
          <w:lang w:eastAsia="de-DE"/>
        </w:rPr>
        <w:t xml:space="preserve"> (deine Satzung) und </w:t>
      </w:r>
      <w:r w:rsidRPr="0066048C">
        <w:rPr>
          <w:rFonts w:eastAsia="Times New Roman" w:cs="Times New Roman"/>
          <w:b/>
          <w:bCs/>
          <w:rtl/>
          <w:lang w:eastAsia="de-DE"/>
        </w:rPr>
        <w:t>צויתי</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ἐνετείλ</w:t>
      </w:r>
      <w:proofErr w:type="spellEnd"/>
      <w:r w:rsidRPr="0066048C">
        <w:rPr>
          <w:rFonts w:eastAsia="Times New Roman" w:cs="Times New Roman"/>
          <w:lang w:eastAsia="de-DE"/>
        </w:rPr>
        <w:t xml:space="preserve">ατό </w:t>
      </w:r>
      <w:proofErr w:type="spellStart"/>
      <w:r w:rsidRPr="0066048C">
        <w:rPr>
          <w:rFonts w:eastAsia="Times New Roman" w:cs="Times New Roman"/>
          <w:lang w:eastAsia="de-DE"/>
        </w:rPr>
        <w:t>μοι</w:t>
      </w:r>
      <w:proofErr w:type="spellEnd"/>
      <w:r w:rsidRPr="0066048C">
        <w:rPr>
          <w:rFonts w:eastAsia="Times New Roman" w:cs="Times New Roman"/>
          <w:lang w:eastAsia="de-DE"/>
        </w:rPr>
        <w:t xml:space="preserve"> (es wurde mir befohlen).</w:t>
      </w:r>
    </w:p>
    <w:p w14:paraId="6BBF78C9"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erweiterte Anweisung mit doppelter Begründung: Imperativ + Ortsangabe + erste Begründung mit erblicher Berechtigung + zweite Begründung mit mosaischer Autorität. Die Struktur legitimiert die priesterlichen Rechte.</w:t>
      </w:r>
    </w:p>
    <w:p w14:paraId="2B89AD1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Dieser Vers spezifiziert den heiligen </w:t>
      </w:r>
      <w:proofErr w:type="spellStart"/>
      <w:r w:rsidRPr="0066048C">
        <w:rPr>
          <w:rFonts w:eastAsia="Times New Roman" w:cs="Times New Roman"/>
          <w:lang w:eastAsia="de-DE"/>
        </w:rPr>
        <w:t>Essort</w:t>
      </w:r>
      <w:proofErr w:type="spellEnd"/>
      <w:r w:rsidRPr="0066048C">
        <w:rPr>
          <w:rFonts w:eastAsia="Times New Roman" w:cs="Times New Roman"/>
          <w:lang w:eastAsia="de-DE"/>
        </w:rPr>
        <w:t xml:space="preserve"> und begründet die priesterlichen Verzehrrechte durch erbliche Berechtigung und mosaische Autorität.</w:t>
      </w:r>
    </w:p>
    <w:p w14:paraId="779E6A52"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10,14</w:t>
      </w:r>
    </w:p>
    <w:p w14:paraId="1361BA9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וְאֵת֩ חֲזֵ֨ה הַתְּנוּפָ֜ה וְאֵ֣ת׀ שׁ֣וֹק הַתְּרוּמָ֗ה תֹּֽאכְלוּ֙ בְּמָק֣וֹם טָה֔וֹר אַתָּ֕ה וּבָנֶ֥יךָ וּבְנֹתֶ֖יךָ אִתָּ֑ךְ כִּֽי־חָקְךָ֤ וְחָק־בָּנֶ֨יךָ֙ נִתְּנ֔וּ מִזִּבְחֵ֥י שַׁלְמֵ֖י בְּנֵ֥י יִשְׂרָאֵֽל׃</w:t>
      </w:r>
    </w:p>
    <w:p w14:paraId="2740BF0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die Brust des Schwingopfers und die Keule des Hebopfers sollt ihr an reiner Stätte essen, du und deine Söhne und deine Töchter mit dir; denn als dein Anteil und der Anteil deiner Söhne sind sie von den Friedensopfern der Söhne Israels gegeben worden.</w:t>
      </w:r>
    </w:p>
    <w:p w14:paraId="79ED268A"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6CC991C6">
          <v:rect id="_x0000_i1270" style="width:0;height:1.5pt" o:hralign="center" o:hrstd="t" o:hr="t" fillcolor="#a0a0a0" stroked="f"/>
        </w:pict>
      </w:r>
    </w:p>
    <w:p w14:paraId="19EC626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lastRenderedPageBreak/>
        <w:t>Kommentar:</w:t>
      </w:r>
      <w:r w:rsidRPr="0066048C">
        <w:rPr>
          <w:rFonts w:eastAsia="Times New Roman" w:cs="Times New Roman"/>
          <w:lang w:eastAsia="de-DE"/>
        </w:rPr>
        <w:t xml:space="preserve"> </w:t>
      </w:r>
      <w:r w:rsidRPr="0066048C">
        <w:rPr>
          <w:rFonts w:eastAsia="Times New Roman" w:cs="Times New Roman"/>
          <w:b/>
          <w:bCs/>
          <w:rtl/>
          <w:lang w:eastAsia="de-DE"/>
        </w:rPr>
        <w:t>ואת חזה התנופה ואת שוק התרומה תאכלו במקום טהור</w:t>
      </w:r>
      <w:r w:rsidRPr="0066048C">
        <w:rPr>
          <w:rFonts w:eastAsia="Times New Roman" w:cs="Times New Roman"/>
          <w:rtl/>
          <w:lang w:eastAsia="de-DE"/>
        </w:rPr>
        <w:t xml:space="preserve"> </w:t>
      </w:r>
      <w:r w:rsidRPr="0066048C">
        <w:rPr>
          <w:rFonts w:eastAsia="Times New Roman" w:cs="Times New Roman"/>
          <w:lang w:eastAsia="de-DE"/>
        </w:rPr>
        <w:t xml:space="preserve">zeigt zwei koordinierte direkte Objekte: </w:t>
      </w:r>
      <w:r w:rsidRPr="0066048C">
        <w:rPr>
          <w:rFonts w:eastAsia="Times New Roman" w:cs="Times New Roman"/>
          <w:b/>
          <w:bCs/>
          <w:rtl/>
          <w:lang w:eastAsia="de-DE"/>
        </w:rPr>
        <w:t>חזה התנופה</w:t>
      </w:r>
      <w:r w:rsidRPr="0066048C">
        <w:rPr>
          <w:rFonts w:eastAsia="Times New Roman" w:cs="Times New Roman"/>
          <w:rtl/>
          <w:lang w:eastAsia="de-DE"/>
        </w:rPr>
        <w:t xml:space="preserve"> </w:t>
      </w:r>
      <w:r w:rsidRPr="0066048C">
        <w:rPr>
          <w:rFonts w:eastAsia="Times New Roman" w:cs="Times New Roman"/>
          <w:lang w:eastAsia="de-DE"/>
        </w:rPr>
        <w:t xml:space="preserve">(Brust des Schwingopfers) und </w:t>
      </w:r>
      <w:r w:rsidRPr="0066048C">
        <w:rPr>
          <w:rFonts w:eastAsia="Times New Roman" w:cs="Times New Roman"/>
          <w:b/>
          <w:bCs/>
          <w:rtl/>
          <w:lang w:eastAsia="de-DE"/>
        </w:rPr>
        <w:t>שוק התרומה</w:t>
      </w:r>
      <w:r w:rsidRPr="0066048C">
        <w:rPr>
          <w:rFonts w:eastAsia="Times New Roman" w:cs="Times New Roman"/>
          <w:rtl/>
          <w:lang w:eastAsia="de-DE"/>
        </w:rPr>
        <w:t xml:space="preserve"> </w:t>
      </w:r>
      <w:r w:rsidRPr="0066048C">
        <w:rPr>
          <w:rFonts w:eastAsia="Times New Roman" w:cs="Times New Roman"/>
          <w:lang w:eastAsia="de-DE"/>
        </w:rPr>
        <w:t xml:space="preserve">(Keule des Hebopfers). </w:t>
      </w:r>
      <w:r w:rsidRPr="0066048C">
        <w:rPr>
          <w:rFonts w:eastAsia="Times New Roman" w:cs="Times New Roman"/>
          <w:b/>
          <w:bCs/>
          <w:rtl/>
          <w:lang w:eastAsia="de-DE"/>
        </w:rPr>
        <w:t>תאכלו</w:t>
      </w:r>
      <w:r w:rsidRPr="0066048C">
        <w:rPr>
          <w:rFonts w:eastAsia="Times New Roman" w:cs="Times New Roman"/>
          <w:rtl/>
          <w:lang w:eastAsia="de-DE"/>
        </w:rPr>
        <w:t xml:space="preserve"> </w:t>
      </w:r>
      <w:r w:rsidRPr="0066048C">
        <w:rPr>
          <w:rFonts w:eastAsia="Times New Roman" w:cs="Times New Roman"/>
          <w:lang w:eastAsia="de-DE"/>
        </w:rPr>
        <w:t xml:space="preserve">(ihr sollt essen) im Qal-Imperfekt 2. Person maskulin Plural. </w:t>
      </w:r>
      <w:r w:rsidRPr="0066048C">
        <w:rPr>
          <w:rFonts w:eastAsia="Times New Roman" w:cs="Times New Roman"/>
          <w:b/>
          <w:bCs/>
          <w:rtl/>
          <w:lang w:eastAsia="de-DE"/>
        </w:rPr>
        <w:t>במקום טהור</w:t>
      </w:r>
      <w:r w:rsidRPr="0066048C">
        <w:rPr>
          <w:rFonts w:eastAsia="Times New Roman" w:cs="Times New Roman"/>
          <w:rtl/>
          <w:lang w:eastAsia="de-DE"/>
        </w:rPr>
        <w:t xml:space="preserve"> </w:t>
      </w:r>
      <w:r w:rsidRPr="0066048C">
        <w:rPr>
          <w:rFonts w:eastAsia="Times New Roman" w:cs="Times New Roman"/>
          <w:lang w:eastAsia="de-DE"/>
        </w:rPr>
        <w:t xml:space="preserve">(an reinem Ort) im Unterschied zu </w:t>
      </w:r>
      <w:r w:rsidRPr="0066048C">
        <w:rPr>
          <w:rFonts w:eastAsia="Times New Roman" w:cs="Times New Roman"/>
          <w:b/>
          <w:bCs/>
          <w:rtl/>
          <w:lang w:eastAsia="de-DE"/>
        </w:rPr>
        <w:t>במקום קדש</w:t>
      </w:r>
      <w:r w:rsidRPr="0066048C">
        <w:rPr>
          <w:rFonts w:eastAsia="Times New Roman" w:cs="Times New Roman"/>
          <w:rtl/>
          <w:lang w:eastAsia="de-DE"/>
        </w:rPr>
        <w:t xml:space="preserve"> </w:t>
      </w:r>
      <w:r w:rsidRPr="0066048C">
        <w:rPr>
          <w:rFonts w:eastAsia="Times New Roman" w:cs="Times New Roman"/>
          <w:lang w:eastAsia="de-DE"/>
        </w:rPr>
        <w:t>(an heiligem Ort) aus V. 13 zeigt niedrigere Heiligkeitsstufe.</w:t>
      </w:r>
    </w:p>
    <w:p w14:paraId="1C882DBD"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אתה ובניך ובנתיך אתך</w:t>
      </w:r>
      <w:r w:rsidRPr="0066048C">
        <w:rPr>
          <w:rFonts w:eastAsia="Times New Roman" w:cs="Times New Roman"/>
          <w:rtl/>
          <w:lang w:eastAsia="de-DE"/>
        </w:rPr>
        <w:t xml:space="preserve"> </w:t>
      </w:r>
      <w:r w:rsidRPr="0066048C">
        <w:rPr>
          <w:rFonts w:eastAsia="Times New Roman" w:cs="Times New Roman"/>
          <w:lang w:eastAsia="de-DE"/>
        </w:rPr>
        <w:t xml:space="preserve">erweitert den Kreis der Berechtigten. </w:t>
      </w:r>
      <w:r w:rsidRPr="0066048C">
        <w:rPr>
          <w:rFonts w:eastAsia="Times New Roman" w:cs="Times New Roman"/>
          <w:b/>
          <w:bCs/>
          <w:rtl/>
          <w:lang w:eastAsia="de-DE"/>
        </w:rPr>
        <w:t>אתה</w:t>
      </w:r>
      <w:r w:rsidRPr="0066048C">
        <w:rPr>
          <w:rFonts w:eastAsia="Times New Roman" w:cs="Times New Roman"/>
          <w:rtl/>
          <w:lang w:eastAsia="de-DE"/>
        </w:rPr>
        <w:t xml:space="preserve"> </w:t>
      </w:r>
      <w:r w:rsidRPr="0066048C">
        <w:rPr>
          <w:rFonts w:eastAsia="Times New Roman" w:cs="Times New Roman"/>
          <w:lang w:eastAsia="de-DE"/>
        </w:rPr>
        <w:t xml:space="preserve">(du) referenziert Aaron, </w:t>
      </w:r>
      <w:r w:rsidRPr="0066048C">
        <w:rPr>
          <w:rFonts w:eastAsia="Times New Roman" w:cs="Times New Roman"/>
          <w:b/>
          <w:bCs/>
          <w:rtl/>
          <w:lang w:eastAsia="de-DE"/>
        </w:rPr>
        <w:t>ובניך</w:t>
      </w:r>
      <w:r w:rsidRPr="0066048C">
        <w:rPr>
          <w:rFonts w:eastAsia="Times New Roman" w:cs="Times New Roman"/>
          <w:rtl/>
          <w:lang w:eastAsia="de-DE"/>
        </w:rPr>
        <w:t xml:space="preserve"> </w:t>
      </w:r>
      <w:r w:rsidRPr="0066048C">
        <w:rPr>
          <w:rFonts w:eastAsia="Times New Roman" w:cs="Times New Roman"/>
          <w:lang w:eastAsia="de-DE"/>
        </w:rPr>
        <w:t xml:space="preserve">(und deine Söhne), </w:t>
      </w:r>
      <w:r w:rsidRPr="0066048C">
        <w:rPr>
          <w:rFonts w:eastAsia="Times New Roman" w:cs="Times New Roman"/>
          <w:b/>
          <w:bCs/>
          <w:rtl/>
          <w:lang w:eastAsia="de-DE"/>
        </w:rPr>
        <w:t>ובנתיך</w:t>
      </w:r>
      <w:r w:rsidRPr="0066048C">
        <w:rPr>
          <w:rFonts w:eastAsia="Times New Roman" w:cs="Times New Roman"/>
          <w:rtl/>
          <w:lang w:eastAsia="de-DE"/>
        </w:rPr>
        <w:t xml:space="preserve"> </w:t>
      </w:r>
      <w:r w:rsidRPr="0066048C">
        <w:rPr>
          <w:rFonts w:eastAsia="Times New Roman" w:cs="Times New Roman"/>
          <w:lang w:eastAsia="de-DE"/>
        </w:rPr>
        <w:t xml:space="preserve">(und deine Töchter) - erstmals werden auch Töchter als Verzehrberechtigte erwähnt. </w:t>
      </w:r>
      <w:r w:rsidRPr="0066048C">
        <w:rPr>
          <w:rFonts w:eastAsia="Times New Roman" w:cs="Times New Roman"/>
          <w:b/>
          <w:bCs/>
          <w:rtl/>
          <w:lang w:eastAsia="de-DE"/>
        </w:rPr>
        <w:t>אתך</w:t>
      </w:r>
      <w:r w:rsidRPr="0066048C">
        <w:rPr>
          <w:rFonts w:eastAsia="Times New Roman" w:cs="Times New Roman"/>
          <w:rtl/>
          <w:lang w:eastAsia="de-DE"/>
        </w:rPr>
        <w:t xml:space="preserve"> </w:t>
      </w:r>
      <w:r w:rsidRPr="0066048C">
        <w:rPr>
          <w:rFonts w:eastAsia="Times New Roman" w:cs="Times New Roman"/>
          <w:lang w:eastAsia="de-DE"/>
        </w:rPr>
        <w:t>(mit dir) betont die Familieneinheit.</w:t>
      </w:r>
    </w:p>
    <w:p w14:paraId="2F4F6C1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כי־חקך וחק־בניך נתנו מזבחי שלמי בני ישראל</w:t>
      </w:r>
      <w:r w:rsidRPr="0066048C">
        <w:rPr>
          <w:rFonts w:eastAsia="Times New Roman" w:cs="Times New Roman"/>
          <w:rtl/>
          <w:lang w:eastAsia="de-DE"/>
        </w:rPr>
        <w:t xml:space="preserve"> </w:t>
      </w:r>
      <w:r w:rsidRPr="0066048C">
        <w:rPr>
          <w:rFonts w:eastAsia="Times New Roman" w:cs="Times New Roman"/>
          <w:lang w:eastAsia="de-DE"/>
        </w:rPr>
        <w:t xml:space="preserve">begründet die Berechtigung. </w:t>
      </w:r>
      <w:r w:rsidRPr="0066048C">
        <w:rPr>
          <w:rFonts w:eastAsia="Times New Roman" w:cs="Times New Roman"/>
          <w:b/>
          <w:bCs/>
          <w:rtl/>
          <w:lang w:eastAsia="de-DE"/>
        </w:rPr>
        <w:t>כי</w:t>
      </w:r>
      <w:r w:rsidRPr="0066048C">
        <w:rPr>
          <w:rFonts w:eastAsia="Times New Roman" w:cs="Times New Roman"/>
          <w:rtl/>
          <w:lang w:eastAsia="de-DE"/>
        </w:rPr>
        <w:t xml:space="preserve"> </w:t>
      </w:r>
      <w:r w:rsidRPr="0066048C">
        <w:rPr>
          <w:rFonts w:eastAsia="Times New Roman" w:cs="Times New Roman"/>
          <w:lang w:eastAsia="de-DE"/>
        </w:rPr>
        <w:t xml:space="preserve">(denn) leitet die Begründung ein. </w:t>
      </w:r>
      <w:r w:rsidRPr="0066048C">
        <w:rPr>
          <w:rFonts w:eastAsia="Times New Roman" w:cs="Times New Roman"/>
          <w:b/>
          <w:bCs/>
          <w:rtl/>
          <w:lang w:eastAsia="de-DE"/>
        </w:rPr>
        <w:t>חקך וחק־בניך</w:t>
      </w:r>
      <w:r w:rsidRPr="0066048C">
        <w:rPr>
          <w:rFonts w:eastAsia="Times New Roman" w:cs="Times New Roman"/>
          <w:rtl/>
          <w:lang w:eastAsia="de-DE"/>
        </w:rPr>
        <w:t xml:space="preserve"> </w:t>
      </w:r>
      <w:r w:rsidRPr="0066048C">
        <w:rPr>
          <w:rFonts w:eastAsia="Times New Roman" w:cs="Times New Roman"/>
          <w:lang w:eastAsia="de-DE"/>
        </w:rPr>
        <w:t xml:space="preserve">(dein Anteil und der Anteil deiner Söhne) entspricht V. 13. </w:t>
      </w:r>
      <w:r w:rsidRPr="0066048C">
        <w:rPr>
          <w:rFonts w:eastAsia="Times New Roman" w:cs="Times New Roman"/>
          <w:b/>
          <w:bCs/>
          <w:rtl/>
          <w:lang w:eastAsia="de-DE"/>
        </w:rPr>
        <w:t>נתנו</w:t>
      </w:r>
      <w:r w:rsidRPr="0066048C">
        <w:rPr>
          <w:rFonts w:eastAsia="Times New Roman" w:cs="Times New Roman"/>
          <w:rtl/>
          <w:lang w:eastAsia="de-DE"/>
        </w:rPr>
        <w:t xml:space="preserve"> </w:t>
      </w:r>
      <w:r w:rsidRPr="0066048C">
        <w:rPr>
          <w:rFonts w:eastAsia="Times New Roman" w:cs="Times New Roman"/>
          <w:lang w:eastAsia="de-DE"/>
        </w:rPr>
        <w:t xml:space="preserve">(sie sind gegeben worden) im Nifal-Perfekt 3. Person Plural zeigt passive Zuteilung. </w:t>
      </w:r>
      <w:r w:rsidRPr="0066048C">
        <w:rPr>
          <w:rFonts w:eastAsia="Times New Roman" w:cs="Times New Roman"/>
          <w:b/>
          <w:bCs/>
          <w:rtl/>
          <w:lang w:eastAsia="de-DE"/>
        </w:rPr>
        <w:t>מזבחי שלמי בני ישראל</w:t>
      </w:r>
      <w:r w:rsidRPr="0066048C">
        <w:rPr>
          <w:rFonts w:eastAsia="Times New Roman" w:cs="Times New Roman"/>
          <w:rtl/>
          <w:lang w:eastAsia="de-DE"/>
        </w:rPr>
        <w:t xml:space="preserve"> </w:t>
      </w:r>
      <w:r w:rsidRPr="0066048C">
        <w:rPr>
          <w:rFonts w:eastAsia="Times New Roman" w:cs="Times New Roman"/>
          <w:lang w:eastAsia="de-DE"/>
        </w:rPr>
        <w:t xml:space="preserve">(von den Friedensopfern der Söhne Israels) - </w:t>
      </w:r>
      <w:r w:rsidRPr="0066048C">
        <w:rPr>
          <w:rFonts w:eastAsia="Times New Roman" w:cs="Times New Roman"/>
          <w:b/>
          <w:bCs/>
          <w:rtl/>
          <w:lang w:eastAsia="de-DE"/>
        </w:rPr>
        <w:t>זבחי שלמי</w:t>
      </w:r>
      <w:r w:rsidRPr="0066048C">
        <w:rPr>
          <w:rFonts w:eastAsia="Times New Roman" w:cs="Times New Roman"/>
          <w:rtl/>
          <w:lang w:eastAsia="de-DE"/>
        </w:rPr>
        <w:t xml:space="preserve"> </w:t>
      </w:r>
      <w:r w:rsidRPr="0066048C">
        <w:rPr>
          <w:rFonts w:eastAsia="Times New Roman" w:cs="Times New Roman"/>
          <w:lang w:eastAsia="de-DE"/>
        </w:rPr>
        <w:t>als Genitivkonstruktion.</w:t>
      </w:r>
    </w:p>
    <w:p w14:paraId="14F2DD0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במקום טהור</w:t>
      </w:r>
      <w:r w:rsidRPr="0066048C">
        <w:rPr>
          <w:rFonts w:eastAsia="Times New Roman" w:cs="Times New Roman"/>
          <w:rtl/>
          <w:lang w:eastAsia="de-DE"/>
        </w:rPr>
        <w:t xml:space="preserve"> </w:t>
      </w:r>
      <w:r w:rsidRPr="0066048C">
        <w:rPr>
          <w:rFonts w:eastAsia="Times New Roman" w:cs="Times New Roman"/>
          <w:lang w:eastAsia="de-DE"/>
        </w:rPr>
        <w:t xml:space="preserve">statt </w:t>
      </w:r>
      <w:r w:rsidRPr="0066048C">
        <w:rPr>
          <w:rFonts w:eastAsia="Times New Roman" w:cs="Times New Roman"/>
          <w:b/>
          <w:bCs/>
          <w:rtl/>
          <w:lang w:eastAsia="de-DE"/>
        </w:rPr>
        <w:t>במקום קדש</w:t>
      </w:r>
      <w:r w:rsidRPr="0066048C">
        <w:rPr>
          <w:rFonts w:eastAsia="Times New Roman" w:cs="Times New Roman"/>
          <w:rtl/>
          <w:lang w:eastAsia="de-DE"/>
        </w:rPr>
        <w:t xml:space="preserve"> </w:t>
      </w:r>
      <w:r w:rsidRPr="0066048C">
        <w:rPr>
          <w:rFonts w:eastAsia="Times New Roman" w:cs="Times New Roman"/>
          <w:lang w:eastAsia="de-DE"/>
        </w:rPr>
        <w:t xml:space="preserve">zeigt, dass </w:t>
      </w:r>
      <w:r w:rsidRPr="0066048C">
        <w:rPr>
          <w:rFonts w:eastAsia="Times New Roman" w:cs="Times New Roman"/>
          <w:b/>
          <w:bCs/>
          <w:rtl/>
          <w:lang w:eastAsia="de-DE"/>
        </w:rPr>
        <w:t>תנופה</w:t>
      </w:r>
      <w:r w:rsidRPr="0066048C">
        <w:rPr>
          <w:rFonts w:eastAsia="Times New Roman" w:cs="Times New Roman"/>
          <w:rtl/>
          <w:lang w:eastAsia="de-DE"/>
        </w:rPr>
        <w:t xml:space="preserve"> </w:t>
      </w:r>
      <w:r w:rsidRPr="0066048C">
        <w:rPr>
          <w:rFonts w:eastAsia="Times New Roman" w:cs="Times New Roman"/>
          <w:lang w:eastAsia="de-DE"/>
        </w:rPr>
        <w:t xml:space="preserve">und </w:t>
      </w:r>
      <w:r w:rsidRPr="0066048C">
        <w:rPr>
          <w:rFonts w:eastAsia="Times New Roman" w:cs="Times New Roman"/>
          <w:b/>
          <w:bCs/>
          <w:rtl/>
          <w:lang w:eastAsia="de-DE"/>
        </w:rPr>
        <w:t>תרומה</w:t>
      </w:r>
      <w:r w:rsidRPr="0066048C">
        <w:rPr>
          <w:rFonts w:eastAsia="Times New Roman" w:cs="Times New Roman"/>
          <w:rtl/>
          <w:lang w:eastAsia="de-DE"/>
        </w:rPr>
        <w:t xml:space="preserve"> </w:t>
      </w:r>
      <w:r w:rsidRPr="0066048C">
        <w:rPr>
          <w:rFonts w:eastAsia="Times New Roman" w:cs="Times New Roman"/>
          <w:lang w:eastAsia="de-DE"/>
        </w:rPr>
        <w:t xml:space="preserve">weniger heilig sind als </w:t>
      </w:r>
      <w:r w:rsidRPr="0066048C">
        <w:rPr>
          <w:rFonts w:eastAsia="Times New Roman" w:cs="Times New Roman"/>
          <w:b/>
          <w:bCs/>
          <w:rtl/>
          <w:lang w:eastAsia="de-DE"/>
        </w:rPr>
        <w:t>מנחה</w:t>
      </w:r>
      <w:r w:rsidRPr="0066048C">
        <w:rPr>
          <w:rFonts w:eastAsia="Times New Roman" w:cs="Times New Roman"/>
          <w:lang w:eastAsia="de-DE"/>
        </w:rPr>
        <w:t xml:space="preserve">-Reste. </w:t>
      </w:r>
      <w:r w:rsidRPr="0066048C">
        <w:rPr>
          <w:rFonts w:eastAsia="Times New Roman" w:cs="Times New Roman"/>
          <w:b/>
          <w:bCs/>
          <w:rtl/>
          <w:lang w:eastAsia="de-DE"/>
        </w:rPr>
        <w:t>ובנתיך</w:t>
      </w:r>
      <w:r w:rsidRPr="0066048C">
        <w:rPr>
          <w:rFonts w:eastAsia="Times New Roman" w:cs="Times New Roman"/>
          <w:rtl/>
          <w:lang w:eastAsia="de-DE"/>
        </w:rPr>
        <w:t xml:space="preserve"> </w:t>
      </w:r>
      <w:r w:rsidRPr="0066048C">
        <w:rPr>
          <w:rFonts w:eastAsia="Times New Roman" w:cs="Times New Roman"/>
          <w:lang w:eastAsia="de-DE"/>
        </w:rPr>
        <w:t xml:space="preserve">zeigt, dass priesterliche Töchter (solange unverheiratet) am väterlichen </w:t>
      </w:r>
      <w:r w:rsidRPr="0066048C">
        <w:rPr>
          <w:rFonts w:eastAsia="Times New Roman" w:cs="Times New Roman"/>
          <w:b/>
          <w:bCs/>
          <w:rtl/>
          <w:lang w:eastAsia="de-DE"/>
        </w:rPr>
        <w:t>חק</w:t>
      </w:r>
      <w:r w:rsidRPr="0066048C">
        <w:rPr>
          <w:rFonts w:eastAsia="Times New Roman" w:cs="Times New Roman"/>
          <w:rtl/>
          <w:lang w:eastAsia="de-DE"/>
        </w:rPr>
        <w:t xml:space="preserve"> </w:t>
      </w:r>
      <w:r w:rsidRPr="0066048C">
        <w:rPr>
          <w:rFonts w:eastAsia="Times New Roman" w:cs="Times New Roman"/>
          <w:lang w:eastAsia="de-DE"/>
        </w:rPr>
        <w:t>teilhaben.</w:t>
      </w:r>
    </w:p>
    <w:p w14:paraId="4415A57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נתנו</w:t>
      </w:r>
      <w:r w:rsidRPr="0066048C">
        <w:rPr>
          <w:rFonts w:eastAsia="Times New Roman" w:cs="Times New Roman"/>
          <w:rtl/>
          <w:lang w:eastAsia="de-DE"/>
        </w:rPr>
        <w:t xml:space="preserve"> </w:t>
      </w:r>
      <w:r w:rsidRPr="0066048C">
        <w:rPr>
          <w:rFonts w:eastAsia="Times New Roman" w:cs="Times New Roman"/>
          <w:lang w:eastAsia="de-DE"/>
        </w:rPr>
        <w:t xml:space="preserve">im Nifal betont, dass diese Anteile göttlich zugeteilte Rechte sind, nicht Geschenke des Volkes. </w:t>
      </w:r>
      <w:r w:rsidRPr="0066048C">
        <w:rPr>
          <w:rFonts w:eastAsia="Times New Roman" w:cs="Times New Roman"/>
          <w:b/>
          <w:bCs/>
          <w:rtl/>
          <w:lang w:eastAsia="de-DE"/>
        </w:rPr>
        <w:t>מזבחי שלמי בני ישראל</w:t>
      </w:r>
      <w:r w:rsidRPr="0066048C">
        <w:rPr>
          <w:rFonts w:eastAsia="Times New Roman" w:cs="Times New Roman"/>
          <w:rtl/>
          <w:lang w:eastAsia="de-DE"/>
        </w:rPr>
        <w:t xml:space="preserve"> </w:t>
      </w:r>
      <w:r w:rsidRPr="0066048C">
        <w:rPr>
          <w:rFonts w:eastAsia="Times New Roman" w:cs="Times New Roman"/>
          <w:lang w:eastAsia="de-DE"/>
        </w:rPr>
        <w:t xml:space="preserve">zeigt die Quelle: alle </w:t>
      </w:r>
      <w:r w:rsidRPr="0066048C">
        <w:rPr>
          <w:rFonts w:eastAsia="Times New Roman" w:cs="Times New Roman"/>
          <w:b/>
          <w:bCs/>
          <w:rtl/>
          <w:lang w:eastAsia="de-DE"/>
        </w:rPr>
        <w:t>שלמים</w:t>
      </w:r>
      <w:r w:rsidRPr="0066048C">
        <w:rPr>
          <w:rFonts w:eastAsia="Times New Roman" w:cs="Times New Roman"/>
          <w:rtl/>
          <w:lang w:eastAsia="de-DE"/>
        </w:rPr>
        <w:t xml:space="preserve"> </w:t>
      </w:r>
      <w:r w:rsidRPr="0066048C">
        <w:rPr>
          <w:rFonts w:eastAsia="Times New Roman" w:cs="Times New Roman"/>
          <w:lang w:eastAsia="de-DE"/>
        </w:rPr>
        <w:t>des ganzen Volkes.</w:t>
      </w:r>
    </w:p>
    <w:p w14:paraId="0D78A25E" w14:textId="3F3FEACF"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w:t>
      </w:r>
      <w:r w:rsidR="00F6539E">
        <w:t xml:space="preserve">übersetzt </w:t>
      </w:r>
      <w:r w:rsidR="00F6539E">
        <w:rPr>
          <w:rtl/>
        </w:rPr>
        <w:t>שוק התרומה</w:t>
      </w:r>
      <w:r w:rsidR="00F6539E">
        <w:t xml:space="preserve"> (</w:t>
      </w:r>
      <w:proofErr w:type="spellStart"/>
      <w:r w:rsidR="00F6539E">
        <w:t>shoq</w:t>
      </w:r>
      <w:proofErr w:type="spellEnd"/>
      <w:r w:rsidR="00F6539E">
        <w:t xml:space="preserve"> </w:t>
      </w:r>
      <w:proofErr w:type="spellStart"/>
      <w:r w:rsidR="00F6539E">
        <w:t>hateruma</w:t>
      </w:r>
      <w:proofErr w:type="spellEnd"/>
      <w:r w:rsidR="00F6539E">
        <w:t xml:space="preserve"> - "Keule der Hebopfer") als </w:t>
      </w:r>
      <w:proofErr w:type="spellStart"/>
      <w:r w:rsidR="00F6539E">
        <w:t>τὸν</w:t>
      </w:r>
      <w:proofErr w:type="spellEnd"/>
      <w:r w:rsidR="00F6539E">
        <w:t xml:space="preserve"> βρα</w:t>
      </w:r>
      <w:proofErr w:type="spellStart"/>
      <w:r w:rsidR="00F6539E">
        <w:t>χίον</w:t>
      </w:r>
      <w:proofErr w:type="spellEnd"/>
      <w:r w:rsidR="00F6539E">
        <w:t xml:space="preserve">α </w:t>
      </w:r>
      <w:proofErr w:type="spellStart"/>
      <w:r w:rsidR="00F6539E">
        <w:t>τοῦ</w:t>
      </w:r>
      <w:proofErr w:type="spellEnd"/>
      <w:r w:rsidR="00F6539E">
        <w:t xml:space="preserve"> </w:t>
      </w:r>
      <w:proofErr w:type="spellStart"/>
      <w:r w:rsidR="00F6539E">
        <w:t>ἀφ</w:t>
      </w:r>
      <w:proofErr w:type="spellEnd"/>
      <w:r w:rsidR="00F6539E">
        <w:t>αιρέματος (den Arm der Wegnahme), was die konsistente anatomische Verschiebung zeigt.</w:t>
      </w:r>
    </w:p>
    <w:p w14:paraId="67F99A1B"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erweiterte Verzehrberechtigung: zwei koordinierte Objekte + Imperativ + Ortsangabe + erweiterte Subjektspezifikation + Begründung mit Quelle. Die Struktur zeigt die abgestufte Heiligkeit und erweiterte Familienberechtigung.</w:t>
      </w:r>
    </w:p>
    <w:p w14:paraId="6D99F33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Dieser Vers regelt den Verzehr der </w:t>
      </w:r>
      <w:r w:rsidRPr="0066048C">
        <w:rPr>
          <w:rFonts w:eastAsia="Times New Roman" w:cs="Times New Roman"/>
          <w:b/>
          <w:bCs/>
          <w:rtl/>
          <w:lang w:eastAsia="de-DE"/>
        </w:rPr>
        <w:t>שלמים</w:t>
      </w:r>
      <w:r w:rsidRPr="0066048C">
        <w:rPr>
          <w:rFonts w:eastAsia="Times New Roman" w:cs="Times New Roman"/>
          <w:lang w:eastAsia="de-DE"/>
        </w:rPr>
        <w:t>-Anteile durch die ganze Priesterfamilie einschließlich der Töchter an weniger heiligem Ort.</w:t>
      </w:r>
    </w:p>
    <w:p w14:paraId="46149D62"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10,15</w:t>
      </w:r>
    </w:p>
    <w:p w14:paraId="1FE6A42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שׁ֣וֹק הַתְּרוּמָ֞ה וַחֲזֵ֣ה הַתְּנוּפָ֗ה עַ֣ל אִשֵּׁ֤י הַחֲלָבִים֙ יָבִ֔יאוּ לְהָנִ֥יף תְּנוּפָ֖ה לִפְנֵ֣י יְהוָ֑ה וְהָיָ֨ה לְךָ֜ וּלְבָנֶ֤יךָ אִתְּךָ֙ לְחָק־עוֹלָ֔ם כַּאֲשֶׁ֖ר צִוָּ֥ה יְהוָֽה׃</w:t>
      </w:r>
    </w:p>
    <w:p w14:paraId="6E332C3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Die Keule des Hebopfers und die Brust des Schwingopfers sollen sie mit den Feueropfern der Fettstücke bringen, um sie als Schwingopfer vor dem Ewigen zu schwingen; und sie sollen dir und deinen Söhnen mit dir als ewige Gebühr gehören, wie der Ewige geboten hat.</w:t>
      </w:r>
    </w:p>
    <w:p w14:paraId="3C3392CB"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0BEA5C48">
          <v:rect id="_x0000_i1271" style="width:0;height:1.5pt" o:hralign="center" o:hrstd="t" o:hr="t" fillcolor="#a0a0a0" stroked="f"/>
        </w:pict>
      </w:r>
    </w:p>
    <w:p w14:paraId="21934FBD"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שוק התרומה וחזה התנופה על אשי החלבים יביאו</w:t>
      </w:r>
      <w:r w:rsidRPr="0066048C">
        <w:rPr>
          <w:rFonts w:eastAsia="Times New Roman" w:cs="Times New Roman"/>
          <w:rtl/>
          <w:lang w:eastAsia="de-DE"/>
        </w:rPr>
        <w:t xml:space="preserve"> </w:t>
      </w:r>
      <w:r w:rsidRPr="0066048C">
        <w:rPr>
          <w:rFonts w:eastAsia="Times New Roman" w:cs="Times New Roman"/>
          <w:lang w:eastAsia="de-DE"/>
        </w:rPr>
        <w:t xml:space="preserve">zeigt die umgekehrte Reihenfolge zu V. 14: </w:t>
      </w:r>
      <w:r w:rsidRPr="0066048C">
        <w:rPr>
          <w:rFonts w:eastAsia="Times New Roman" w:cs="Times New Roman"/>
          <w:b/>
          <w:bCs/>
          <w:rtl/>
          <w:lang w:eastAsia="de-DE"/>
        </w:rPr>
        <w:t>שוק התרומה</w:t>
      </w:r>
      <w:r w:rsidRPr="0066048C">
        <w:rPr>
          <w:rFonts w:eastAsia="Times New Roman" w:cs="Times New Roman"/>
          <w:rtl/>
          <w:lang w:eastAsia="de-DE"/>
        </w:rPr>
        <w:t xml:space="preserve"> </w:t>
      </w:r>
      <w:r w:rsidRPr="0066048C">
        <w:rPr>
          <w:rFonts w:eastAsia="Times New Roman" w:cs="Times New Roman"/>
          <w:lang w:eastAsia="de-DE"/>
        </w:rPr>
        <w:t xml:space="preserve">(Keule des Hebopfers) vor </w:t>
      </w:r>
      <w:r w:rsidRPr="0066048C">
        <w:rPr>
          <w:rFonts w:eastAsia="Times New Roman" w:cs="Times New Roman"/>
          <w:b/>
          <w:bCs/>
          <w:rtl/>
          <w:lang w:eastAsia="de-DE"/>
        </w:rPr>
        <w:t>חזה התנופה</w:t>
      </w:r>
      <w:r w:rsidRPr="0066048C">
        <w:rPr>
          <w:rFonts w:eastAsia="Times New Roman" w:cs="Times New Roman"/>
          <w:rtl/>
          <w:lang w:eastAsia="de-DE"/>
        </w:rPr>
        <w:t xml:space="preserve"> </w:t>
      </w:r>
      <w:r w:rsidRPr="0066048C">
        <w:rPr>
          <w:rFonts w:eastAsia="Times New Roman" w:cs="Times New Roman"/>
          <w:lang w:eastAsia="de-DE"/>
        </w:rPr>
        <w:t xml:space="preserve">(Brust des Schwingopfers). </w:t>
      </w:r>
      <w:r w:rsidRPr="0066048C">
        <w:rPr>
          <w:rFonts w:eastAsia="Times New Roman" w:cs="Times New Roman"/>
          <w:b/>
          <w:bCs/>
          <w:rtl/>
          <w:lang w:eastAsia="de-DE"/>
        </w:rPr>
        <w:t>על אשי החלבים</w:t>
      </w:r>
      <w:r w:rsidRPr="0066048C">
        <w:rPr>
          <w:rFonts w:eastAsia="Times New Roman" w:cs="Times New Roman"/>
          <w:rtl/>
          <w:lang w:eastAsia="de-DE"/>
        </w:rPr>
        <w:t xml:space="preserve"> </w:t>
      </w:r>
      <w:r w:rsidRPr="0066048C">
        <w:rPr>
          <w:rFonts w:eastAsia="Times New Roman" w:cs="Times New Roman"/>
          <w:lang w:eastAsia="de-DE"/>
        </w:rPr>
        <w:t xml:space="preserve">(mit den Feueropfern der Fettstücke) zeigt die Begleitdarbringung. </w:t>
      </w:r>
      <w:r w:rsidRPr="0066048C">
        <w:rPr>
          <w:rFonts w:eastAsia="Times New Roman" w:cs="Times New Roman"/>
          <w:b/>
          <w:bCs/>
          <w:rtl/>
          <w:lang w:eastAsia="de-DE"/>
        </w:rPr>
        <w:t>יביאו</w:t>
      </w:r>
      <w:r w:rsidRPr="0066048C">
        <w:rPr>
          <w:rFonts w:eastAsia="Times New Roman" w:cs="Times New Roman"/>
          <w:rtl/>
          <w:lang w:eastAsia="de-DE"/>
        </w:rPr>
        <w:t xml:space="preserve"> </w:t>
      </w:r>
      <w:r w:rsidRPr="0066048C">
        <w:rPr>
          <w:rFonts w:eastAsia="Times New Roman" w:cs="Times New Roman"/>
          <w:lang w:eastAsia="de-DE"/>
        </w:rPr>
        <w:t>(sie werden bringen) im Hifil-Imperfekt 3. Person maskulin Plural referenziert die Opferbringer.</w:t>
      </w:r>
    </w:p>
    <w:p w14:paraId="2B66BEE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lastRenderedPageBreak/>
        <w:t>להניף תנופה לפני יהוה</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נוף</w:t>
      </w:r>
      <w:r w:rsidRPr="0066048C">
        <w:rPr>
          <w:rFonts w:eastAsia="Times New Roman" w:cs="Times New Roman"/>
          <w:rtl/>
          <w:lang w:eastAsia="de-DE"/>
        </w:rPr>
        <w:t xml:space="preserve"> </w:t>
      </w:r>
      <w:r w:rsidRPr="0066048C">
        <w:rPr>
          <w:rFonts w:eastAsia="Times New Roman" w:cs="Times New Roman"/>
          <w:lang w:eastAsia="de-DE"/>
        </w:rPr>
        <w:t xml:space="preserve">(schwingen) im Hifil-Infinitiv mit Präposition </w:t>
      </w:r>
      <w:r w:rsidRPr="0066048C">
        <w:rPr>
          <w:rFonts w:eastAsia="Times New Roman" w:cs="Times New Roman"/>
          <w:b/>
          <w:bCs/>
          <w:rtl/>
          <w:lang w:eastAsia="de-DE"/>
        </w:rPr>
        <w:t>ל</w:t>
      </w:r>
      <w:r w:rsidRPr="0066048C">
        <w:rPr>
          <w:rFonts w:eastAsia="Times New Roman" w:cs="Times New Roman"/>
          <w:rtl/>
          <w:lang w:eastAsia="de-DE"/>
        </w:rPr>
        <w:t xml:space="preserve"> </w:t>
      </w:r>
      <w:r w:rsidRPr="0066048C">
        <w:rPr>
          <w:rFonts w:eastAsia="Times New Roman" w:cs="Times New Roman"/>
          <w:lang w:eastAsia="de-DE"/>
        </w:rPr>
        <w:t xml:space="preserve">zur Zweckangabe. </w:t>
      </w:r>
      <w:r w:rsidRPr="0066048C">
        <w:rPr>
          <w:rFonts w:eastAsia="Times New Roman" w:cs="Times New Roman"/>
          <w:b/>
          <w:bCs/>
          <w:rtl/>
          <w:lang w:eastAsia="de-DE"/>
        </w:rPr>
        <w:t>תנופה</w:t>
      </w:r>
      <w:r w:rsidRPr="0066048C">
        <w:rPr>
          <w:rFonts w:eastAsia="Times New Roman" w:cs="Times New Roman"/>
          <w:rtl/>
          <w:lang w:eastAsia="de-DE"/>
        </w:rPr>
        <w:t xml:space="preserve"> </w:t>
      </w:r>
      <w:r w:rsidRPr="0066048C">
        <w:rPr>
          <w:rFonts w:eastAsia="Times New Roman" w:cs="Times New Roman"/>
          <w:lang w:eastAsia="de-DE"/>
        </w:rPr>
        <w:t xml:space="preserve">als cognate accusative verstärkt die Schwingbewegung. </w:t>
      </w:r>
      <w:r w:rsidRPr="0066048C">
        <w:rPr>
          <w:rFonts w:eastAsia="Times New Roman" w:cs="Times New Roman"/>
          <w:b/>
          <w:bCs/>
          <w:rtl/>
          <w:lang w:eastAsia="de-DE"/>
        </w:rPr>
        <w:t>לפני יהוה</w:t>
      </w:r>
      <w:r w:rsidRPr="0066048C">
        <w:rPr>
          <w:rFonts w:eastAsia="Times New Roman" w:cs="Times New Roman"/>
          <w:rtl/>
          <w:lang w:eastAsia="de-DE"/>
        </w:rPr>
        <w:t xml:space="preserve"> </w:t>
      </w:r>
      <w:r w:rsidRPr="0066048C">
        <w:rPr>
          <w:rFonts w:eastAsia="Times New Roman" w:cs="Times New Roman"/>
          <w:lang w:eastAsia="de-DE"/>
        </w:rPr>
        <w:t>(vor JHWH) zeigt den sakralen Rahmen.</w:t>
      </w:r>
    </w:p>
    <w:p w14:paraId="1FB69B6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והיה לך ולבניך אתך לחק־עולם כאשר צוה יהוה</w:t>
      </w:r>
      <w:r w:rsidRPr="0066048C">
        <w:rPr>
          <w:rFonts w:eastAsia="Times New Roman" w:cs="Times New Roman"/>
          <w:rtl/>
          <w:lang w:eastAsia="de-DE"/>
        </w:rPr>
        <w:t xml:space="preserve"> </w:t>
      </w:r>
      <w:r w:rsidRPr="0066048C">
        <w:rPr>
          <w:rFonts w:eastAsia="Times New Roman" w:cs="Times New Roman"/>
          <w:lang w:eastAsia="de-DE"/>
        </w:rPr>
        <w:t xml:space="preserve">zeigt die Zuteilungsformel. </w:t>
      </w:r>
      <w:r w:rsidRPr="0066048C">
        <w:rPr>
          <w:rFonts w:eastAsia="Times New Roman" w:cs="Times New Roman"/>
          <w:b/>
          <w:bCs/>
          <w:rtl/>
          <w:lang w:eastAsia="de-DE"/>
        </w:rPr>
        <w:t>והיה</w:t>
      </w:r>
      <w:r w:rsidRPr="0066048C">
        <w:rPr>
          <w:rFonts w:eastAsia="Times New Roman" w:cs="Times New Roman"/>
          <w:rtl/>
          <w:lang w:eastAsia="de-DE"/>
        </w:rPr>
        <w:t xml:space="preserve"> </w:t>
      </w:r>
      <w:r w:rsidRPr="0066048C">
        <w:rPr>
          <w:rFonts w:eastAsia="Times New Roman" w:cs="Times New Roman"/>
          <w:lang w:eastAsia="de-DE"/>
        </w:rPr>
        <w:t xml:space="preserve">(und es wird gehören) im Qal-Perfekt mit Waw-Konsekutiv. </w:t>
      </w:r>
      <w:r w:rsidRPr="0066048C">
        <w:rPr>
          <w:rFonts w:eastAsia="Times New Roman" w:cs="Times New Roman"/>
          <w:b/>
          <w:bCs/>
          <w:rtl/>
          <w:lang w:eastAsia="de-DE"/>
        </w:rPr>
        <w:t>לך ולבניך אתך</w:t>
      </w:r>
      <w:r w:rsidRPr="0066048C">
        <w:rPr>
          <w:rFonts w:eastAsia="Times New Roman" w:cs="Times New Roman"/>
          <w:rtl/>
          <w:lang w:eastAsia="de-DE"/>
        </w:rPr>
        <w:t xml:space="preserve"> </w:t>
      </w:r>
      <w:r w:rsidRPr="0066048C">
        <w:rPr>
          <w:rFonts w:eastAsia="Times New Roman" w:cs="Times New Roman"/>
          <w:lang w:eastAsia="de-DE"/>
        </w:rPr>
        <w:t xml:space="preserve">(dir und deinen Söhnen mit dir) entspricht V. 14, aber ohne Töchter. </w:t>
      </w:r>
      <w:r w:rsidRPr="0066048C">
        <w:rPr>
          <w:rFonts w:eastAsia="Times New Roman" w:cs="Times New Roman"/>
          <w:b/>
          <w:bCs/>
          <w:rtl/>
          <w:lang w:eastAsia="de-DE"/>
        </w:rPr>
        <w:t>לחק־עולם</w:t>
      </w:r>
      <w:r w:rsidRPr="0066048C">
        <w:rPr>
          <w:rFonts w:eastAsia="Times New Roman" w:cs="Times New Roman"/>
          <w:rtl/>
          <w:lang w:eastAsia="de-DE"/>
        </w:rPr>
        <w:t xml:space="preserve"> </w:t>
      </w:r>
      <w:r w:rsidRPr="0066048C">
        <w:rPr>
          <w:rFonts w:eastAsia="Times New Roman" w:cs="Times New Roman"/>
          <w:lang w:eastAsia="de-DE"/>
        </w:rPr>
        <w:t xml:space="preserve">(als ewige Gebühr) - </w:t>
      </w:r>
      <w:r w:rsidRPr="0066048C">
        <w:rPr>
          <w:rFonts w:eastAsia="Times New Roman" w:cs="Times New Roman"/>
          <w:b/>
          <w:bCs/>
          <w:rtl/>
          <w:lang w:eastAsia="de-DE"/>
        </w:rPr>
        <w:t>חק עולם</w:t>
      </w:r>
      <w:r w:rsidRPr="0066048C">
        <w:rPr>
          <w:rFonts w:eastAsia="Times New Roman" w:cs="Times New Roman"/>
          <w:rtl/>
          <w:lang w:eastAsia="de-DE"/>
        </w:rPr>
        <w:t xml:space="preserve"> </w:t>
      </w:r>
      <w:r w:rsidRPr="0066048C">
        <w:rPr>
          <w:rFonts w:eastAsia="Times New Roman" w:cs="Times New Roman"/>
          <w:lang w:eastAsia="de-DE"/>
        </w:rPr>
        <w:t xml:space="preserve">als feste Wendung. </w:t>
      </w:r>
      <w:r w:rsidRPr="0066048C">
        <w:rPr>
          <w:rFonts w:eastAsia="Times New Roman" w:cs="Times New Roman"/>
          <w:b/>
          <w:bCs/>
          <w:rtl/>
          <w:lang w:eastAsia="de-DE"/>
        </w:rPr>
        <w:t>כאשר צוה יהוה</w:t>
      </w:r>
      <w:r w:rsidRPr="0066048C">
        <w:rPr>
          <w:rFonts w:eastAsia="Times New Roman" w:cs="Times New Roman"/>
          <w:rtl/>
          <w:lang w:eastAsia="de-DE"/>
        </w:rPr>
        <w:t xml:space="preserve"> </w:t>
      </w:r>
      <w:r w:rsidRPr="0066048C">
        <w:rPr>
          <w:rFonts w:eastAsia="Times New Roman" w:cs="Times New Roman"/>
          <w:lang w:eastAsia="de-DE"/>
        </w:rPr>
        <w:t>ist die Bestätigungsformel.</w:t>
      </w:r>
    </w:p>
    <w:p w14:paraId="3B7599F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על אשי החלבים</w:t>
      </w:r>
      <w:r w:rsidRPr="0066048C">
        <w:rPr>
          <w:rFonts w:eastAsia="Times New Roman" w:cs="Times New Roman"/>
          <w:rtl/>
          <w:lang w:eastAsia="de-DE"/>
        </w:rPr>
        <w:t xml:space="preserve"> </w:t>
      </w:r>
      <w:r w:rsidRPr="0066048C">
        <w:rPr>
          <w:rFonts w:eastAsia="Times New Roman" w:cs="Times New Roman"/>
          <w:lang w:eastAsia="de-DE"/>
        </w:rPr>
        <w:t xml:space="preserve">zeigt, dass </w:t>
      </w:r>
      <w:r w:rsidRPr="0066048C">
        <w:rPr>
          <w:rFonts w:eastAsia="Times New Roman" w:cs="Times New Roman"/>
          <w:b/>
          <w:bCs/>
          <w:rtl/>
          <w:lang w:eastAsia="de-DE"/>
        </w:rPr>
        <w:t>תנופה</w:t>
      </w:r>
      <w:r w:rsidRPr="0066048C">
        <w:rPr>
          <w:rFonts w:eastAsia="Times New Roman" w:cs="Times New Roman"/>
          <w:rtl/>
          <w:lang w:eastAsia="de-DE"/>
        </w:rPr>
        <w:t xml:space="preserve"> </w:t>
      </w:r>
      <w:r w:rsidRPr="0066048C">
        <w:rPr>
          <w:rFonts w:eastAsia="Times New Roman" w:cs="Times New Roman"/>
          <w:lang w:eastAsia="de-DE"/>
        </w:rPr>
        <w:t xml:space="preserve">und </w:t>
      </w:r>
      <w:r w:rsidRPr="0066048C">
        <w:rPr>
          <w:rFonts w:eastAsia="Times New Roman" w:cs="Times New Roman"/>
          <w:b/>
          <w:bCs/>
          <w:rtl/>
          <w:lang w:eastAsia="de-DE"/>
        </w:rPr>
        <w:t>תרומה</w:t>
      </w:r>
      <w:r w:rsidRPr="0066048C">
        <w:rPr>
          <w:rFonts w:eastAsia="Times New Roman" w:cs="Times New Roman"/>
          <w:rtl/>
          <w:lang w:eastAsia="de-DE"/>
        </w:rPr>
        <w:t xml:space="preserve"> </w:t>
      </w:r>
      <w:r w:rsidRPr="0066048C">
        <w:rPr>
          <w:rFonts w:eastAsia="Times New Roman" w:cs="Times New Roman"/>
          <w:lang w:eastAsia="de-DE"/>
        </w:rPr>
        <w:t xml:space="preserve">zusammen mit den Fettopfern dargebracht werden. </w:t>
      </w:r>
      <w:r w:rsidRPr="0066048C">
        <w:rPr>
          <w:rFonts w:eastAsia="Times New Roman" w:cs="Times New Roman"/>
          <w:b/>
          <w:bCs/>
          <w:rtl/>
          <w:lang w:eastAsia="de-DE"/>
        </w:rPr>
        <w:t>יביאו</w:t>
      </w:r>
      <w:r w:rsidRPr="0066048C">
        <w:rPr>
          <w:rFonts w:eastAsia="Times New Roman" w:cs="Times New Roman"/>
          <w:rtl/>
          <w:lang w:eastAsia="de-DE"/>
        </w:rPr>
        <w:t xml:space="preserve"> </w:t>
      </w:r>
      <w:r w:rsidRPr="0066048C">
        <w:rPr>
          <w:rFonts w:eastAsia="Times New Roman" w:cs="Times New Roman"/>
          <w:lang w:eastAsia="de-DE"/>
        </w:rPr>
        <w:t xml:space="preserve">zeigt, dass das Volk diese Teile zur </w:t>
      </w:r>
      <w:r w:rsidRPr="0066048C">
        <w:rPr>
          <w:rFonts w:eastAsia="Times New Roman" w:cs="Times New Roman"/>
          <w:b/>
          <w:bCs/>
          <w:rtl/>
          <w:lang w:eastAsia="de-DE"/>
        </w:rPr>
        <w:t>תנופה</w:t>
      </w:r>
      <w:r w:rsidRPr="0066048C">
        <w:rPr>
          <w:rFonts w:eastAsia="Times New Roman" w:cs="Times New Roman"/>
          <w:rtl/>
          <w:lang w:eastAsia="de-DE"/>
        </w:rPr>
        <w:t xml:space="preserve"> </w:t>
      </w:r>
      <w:r w:rsidRPr="0066048C">
        <w:rPr>
          <w:rFonts w:eastAsia="Times New Roman" w:cs="Times New Roman"/>
          <w:lang w:eastAsia="de-DE"/>
        </w:rPr>
        <w:t>bringt, bevor sie den Priestern zufallen.</w:t>
      </w:r>
    </w:p>
    <w:p w14:paraId="299F50E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לחק־עולם</w:t>
      </w:r>
      <w:r w:rsidRPr="0066048C">
        <w:rPr>
          <w:rFonts w:eastAsia="Times New Roman" w:cs="Times New Roman"/>
          <w:rtl/>
          <w:lang w:eastAsia="de-DE"/>
        </w:rPr>
        <w:t xml:space="preserve"> </w:t>
      </w:r>
      <w:r w:rsidRPr="0066048C">
        <w:rPr>
          <w:rFonts w:eastAsia="Times New Roman" w:cs="Times New Roman"/>
          <w:lang w:eastAsia="de-DE"/>
        </w:rPr>
        <w:t xml:space="preserve">betont die Dauerhaftigkeit der priesterlichen Berechtigung. Das Fehlen von </w:t>
      </w:r>
      <w:r w:rsidRPr="0066048C">
        <w:rPr>
          <w:rFonts w:eastAsia="Times New Roman" w:cs="Times New Roman"/>
          <w:b/>
          <w:bCs/>
          <w:rtl/>
          <w:lang w:eastAsia="de-DE"/>
        </w:rPr>
        <w:t>ובנתיך</w:t>
      </w:r>
      <w:r w:rsidRPr="0066048C">
        <w:rPr>
          <w:rFonts w:eastAsia="Times New Roman" w:cs="Times New Roman"/>
          <w:rtl/>
          <w:lang w:eastAsia="de-DE"/>
        </w:rPr>
        <w:t xml:space="preserve"> </w:t>
      </w:r>
      <w:r w:rsidRPr="0066048C">
        <w:rPr>
          <w:rFonts w:eastAsia="Times New Roman" w:cs="Times New Roman"/>
          <w:lang w:eastAsia="de-DE"/>
        </w:rPr>
        <w:t xml:space="preserve">hier könnte bedeuten, dass Töchter nur am Verzehr, nicht an der </w:t>
      </w:r>
      <w:r w:rsidRPr="0066048C">
        <w:rPr>
          <w:rFonts w:eastAsia="Times New Roman" w:cs="Times New Roman"/>
          <w:b/>
          <w:bCs/>
          <w:rtl/>
          <w:lang w:eastAsia="de-DE"/>
        </w:rPr>
        <w:t>תנופה</w:t>
      </w:r>
      <w:r w:rsidRPr="0066048C">
        <w:rPr>
          <w:rFonts w:eastAsia="Times New Roman" w:cs="Times New Roman"/>
          <w:lang w:eastAsia="de-DE"/>
        </w:rPr>
        <w:t>-Berechtigung teilhaben.</w:t>
      </w:r>
    </w:p>
    <w:p w14:paraId="5FEF50A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übersetzt </w:t>
      </w:r>
      <w:r w:rsidRPr="0066048C">
        <w:rPr>
          <w:rFonts w:eastAsia="Times New Roman" w:cs="Times New Roman"/>
          <w:b/>
          <w:bCs/>
          <w:rtl/>
          <w:lang w:eastAsia="de-DE"/>
        </w:rPr>
        <w:t>על אשי החלבים</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μετὰ</w:t>
      </w:r>
      <w:proofErr w:type="spellEnd"/>
      <w:r w:rsidRPr="0066048C">
        <w:rPr>
          <w:rFonts w:eastAsia="Times New Roman" w:cs="Times New Roman"/>
          <w:lang w:eastAsia="de-DE"/>
        </w:rPr>
        <w:t xml:space="preserve"> καρπ</w:t>
      </w:r>
      <w:proofErr w:type="spellStart"/>
      <w:r w:rsidRPr="0066048C">
        <w:rPr>
          <w:rFonts w:eastAsia="Times New Roman" w:cs="Times New Roman"/>
          <w:lang w:eastAsia="de-DE"/>
        </w:rPr>
        <w:t>ωμάτων</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στεάτων</w:t>
      </w:r>
      <w:proofErr w:type="spellEnd"/>
      <w:r w:rsidRPr="0066048C">
        <w:rPr>
          <w:rFonts w:eastAsia="Times New Roman" w:cs="Times New Roman"/>
          <w:lang w:eastAsia="de-DE"/>
        </w:rPr>
        <w:t xml:space="preserve"> (mit Opfergaben der Fettstücke), </w:t>
      </w:r>
      <w:r w:rsidRPr="0066048C">
        <w:rPr>
          <w:rFonts w:eastAsia="Times New Roman" w:cs="Times New Roman"/>
          <w:b/>
          <w:bCs/>
          <w:rtl/>
          <w:lang w:eastAsia="de-DE"/>
        </w:rPr>
        <w:t>להניף</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ἀφελεῖν</w:t>
      </w:r>
      <w:proofErr w:type="spellEnd"/>
      <w:r w:rsidRPr="0066048C">
        <w:rPr>
          <w:rFonts w:eastAsia="Times New Roman" w:cs="Times New Roman"/>
          <w:lang w:eastAsia="de-DE"/>
        </w:rPr>
        <w:t xml:space="preserve"> (wegzunehmen) und </w:t>
      </w:r>
      <w:r w:rsidRPr="0066048C">
        <w:rPr>
          <w:rFonts w:eastAsia="Times New Roman" w:cs="Times New Roman"/>
          <w:b/>
          <w:bCs/>
          <w:rtl/>
          <w:lang w:eastAsia="de-DE"/>
        </w:rPr>
        <w:t>לחק־עולם</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νόμιμον</w:t>
      </w:r>
      <w:proofErr w:type="spellEnd"/>
      <w:r w:rsidRPr="0066048C">
        <w:rPr>
          <w:rFonts w:eastAsia="Times New Roman" w:cs="Times New Roman"/>
          <w:lang w:eastAsia="de-DE"/>
        </w:rPr>
        <w:t xml:space="preserve"> α</w:t>
      </w:r>
      <w:proofErr w:type="spellStart"/>
      <w:r w:rsidRPr="0066048C">
        <w:rPr>
          <w:rFonts w:eastAsia="Times New Roman" w:cs="Times New Roman"/>
          <w:lang w:eastAsia="de-DE"/>
        </w:rPr>
        <w:t>ἰώνιον</w:t>
      </w:r>
      <w:proofErr w:type="spellEnd"/>
      <w:r w:rsidRPr="0066048C">
        <w:rPr>
          <w:rFonts w:eastAsia="Times New Roman" w:cs="Times New Roman"/>
          <w:lang w:eastAsia="de-DE"/>
        </w:rPr>
        <w:t xml:space="preserve"> (ewiges Gesetz).</w:t>
      </w:r>
    </w:p>
    <w:p w14:paraId="7AF72E3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Darbringungsprozedur plus Zuteilung: zwei Objekte + Begleitangabe + Verb + Zweck-Infinitiv + Ortsangabe + Zuteilungsformel + Bestätigungsformel. Die Struktur erklärt den vollständigen </w:t>
      </w:r>
      <w:r w:rsidRPr="0066048C">
        <w:rPr>
          <w:rFonts w:eastAsia="Times New Roman" w:cs="Times New Roman"/>
          <w:b/>
          <w:bCs/>
          <w:rtl/>
          <w:lang w:eastAsia="de-DE"/>
        </w:rPr>
        <w:t>שלמים</w:t>
      </w:r>
      <w:r w:rsidRPr="0066048C">
        <w:rPr>
          <w:rFonts w:eastAsia="Times New Roman" w:cs="Times New Roman"/>
          <w:lang w:eastAsia="de-DE"/>
        </w:rPr>
        <w:t>-Prozess.</w:t>
      </w:r>
    </w:p>
    <w:p w14:paraId="77B4588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Dieser Vers erklärt die </w:t>
      </w:r>
      <w:r w:rsidRPr="0066048C">
        <w:rPr>
          <w:rFonts w:eastAsia="Times New Roman" w:cs="Times New Roman"/>
          <w:b/>
          <w:bCs/>
          <w:rtl/>
          <w:lang w:eastAsia="de-DE"/>
        </w:rPr>
        <w:t>תנופה</w:t>
      </w:r>
      <w:r w:rsidRPr="0066048C">
        <w:rPr>
          <w:rFonts w:eastAsia="Times New Roman" w:cs="Times New Roman"/>
          <w:lang w:eastAsia="de-DE"/>
        </w:rPr>
        <w:t xml:space="preserve">-Prozedur bei </w:t>
      </w:r>
      <w:r w:rsidRPr="0066048C">
        <w:rPr>
          <w:rFonts w:eastAsia="Times New Roman" w:cs="Times New Roman"/>
          <w:b/>
          <w:bCs/>
          <w:rtl/>
          <w:lang w:eastAsia="de-DE"/>
        </w:rPr>
        <w:t>שלמים</w:t>
      </w:r>
      <w:r w:rsidRPr="0066048C">
        <w:rPr>
          <w:rFonts w:eastAsia="Times New Roman" w:cs="Times New Roman"/>
          <w:rtl/>
          <w:lang w:eastAsia="de-DE"/>
        </w:rPr>
        <w:t xml:space="preserve"> </w:t>
      </w:r>
      <w:r w:rsidRPr="0066048C">
        <w:rPr>
          <w:rFonts w:eastAsia="Times New Roman" w:cs="Times New Roman"/>
          <w:lang w:eastAsia="de-DE"/>
        </w:rPr>
        <w:t>und bestätigt die ewige priesterliche Berechtigung an diesen Anteilen.</w:t>
      </w:r>
    </w:p>
    <w:p w14:paraId="5CB62D81"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10,16</w:t>
      </w:r>
    </w:p>
    <w:p w14:paraId="53FC99A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וְאֵ֣ת׀ שְׂעִ֣יר הַֽחַטָּ֗את דָּרֹ֥שׁ דָּרַ֛שׁ מֹשֶׁ֖ה וְהִנֵּ֣ה שֹׂרָ֑ף וַ֠יִּקְצֹף עַל־אֶלְעָזָ֤ר וְעַל־אִֽיתָמָר֙ בְּנֵ֣י אַהֲרֹ֔ן הַנּוֹתָרִ֖ם לֵאמֹֽר׃</w:t>
      </w:r>
    </w:p>
    <w:p w14:paraId="1CA0B70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Mosche suchte sorgfältig nach dem Ziegenbock des Sündopfers, und siehe, er war verbrannt. Da zürnte er über Eleasar und Itamar, die übriggebliebenen Söhne Aarons, und sagte:</w:t>
      </w:r>
    </w:p>
    <w:p w14:paraId="5C9A42F6"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38E2F9AB">
          <v:rect id="_x0000_i1272" style="width:0;height:1.5pt" o:hralign="center" o:hrstd="t" o:hr="t" fillcolor="#a0a0a0" stroked="f"/>
        </w:pict>
      </w:r>
    </w:p>
    <w:p w14:paraId="2507B2C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ואת שעיר החטאת דרש דרש משה והנה שרף</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דרש</w:t>
      </w:r>
      <w:r w:rsidRPr="0066048C">
        <w:rPr>
          <w:rFonts w:eastAsia="Times New Roman" w:cs="Times New Roman"/>
          <w:rtl/>
          <w:lang w:eastAsia="de-DE"/>
        </w:rPr>
        <w:t xml:space="preserve"> </w:t>
      </w:r>
      <w:r w:rsidRPr="0066048C">
        <w:rPr>
          <w:rFonts w:eastAsia="Times New Roman" w:cs="Times New Roman"/>
          <w:lang w:eastAsia="de-DE"/>
        </w:rPr>
        <w:t xml:space="preserve">(suchen/erforschen) im Qal-Perfekt 3. Person maskulin Singular mit Wiederholung zur Verstärkung. </w:t>
      </w:r>
      <w:r w:rsidRPr="0066048C">
        <w:rPr>
          <w:rFonts w:eastAsia="Times New Roman" w:cs="Times New Roman"/>
          <w:b/>
          <w:bCs/>
          <w:rtl/>
          <w:lang w:eastAsia="de-DE"/>
        </w:rPr>
        <w:t>את שעיר החטאת</w:t>
      </w:r>
      <w:r w:rsidRPr="0066048C">
        <w:rPr>
          <w:rFonts w:eastAsia="Times New Roman" w:cs="Times New Roman"/>
          <w:rtl/>
          <w:lang w:eastAsia="de-DE"/>
        </w:rPr>
        <w:t xml:space="preserve"> </w:t>
      </w:r>
      <w:r w:rsidRPr="0066048C">
        <w:rPr>
          <w:rFonts w:eastAsia="Times New Roman" w:cs="Times New Roman"/>
          <w:lang w:eastAsia="de-DE"/>
        </w:rPr>
        <w:t>(den Ziegenbock des Sündopfers) referenziert das Volks-</w:t>
      </w:r>
      <w:r w:rsidRPr="0066048C">
        <w:rPr>
          <w:rFonts w:eastAsia="Times New Roman" w:cs="Times New Roman"/>
          <w:b/>
          <w:bCs/>
          <w:rtl/>
          <w:lang w:eastAsia="de-DE"/>
        </w:rPr>
        <w:t>חטאת</w:t>
      </w:r>
      <w:r w:rsidRPr="0066048C">
        <w:rPr>
          <w:rFonts w:eastAsia="Times New Roman" w:cs="Times New Roman"/>
          <w:rtl/>
          <w:lang w:eastAsia="de-DE"/>
        </w:rPr>
        <w:t xml:space="preserve"> </w:t>
      </w:r>
      <w:r w:rsidRPr="0066048C">
        <w:rPr>
          <w:rFonts w:eastAsia="Times New Roman" w:cs="Times New Roman"/>
          <w:lang w:eastAsia="de-DE"/>
        </w:rPr>
        <w:t xml:space="preserve">aus 9,15. </w:t>
      </w:r>
      <w:r w:rsidRPr="0066048C">
        <w:rPr>
          <w:rFonts w:eastAsia="Times New Roman" w:cs="Times New Roman"/>
          <w:b/>
          <w:bCs/>
          <w:rtl/>
          <w:lang w:eastAsia="de-DE"/>
        </w:rPr>
        <w:t>והנה שרף</w:t>
      </w:r>
      <w:r w:rsidRPr="0066048C">
        <w:rPr>
          <w:rFonts w:eastAsia="Times New Roman" w:cs="Times New Roman"/>
          <w:rtl/>
          <w:lang w:eastAsia="de-DE"/>
        </w:rPr>
        <w:t xml:space="preserve"> </w:t>
      </w:r>
      <w:r w:rsidRPr="0066048C">
        <w:rPr>
          <w:rFonts w:eastAsia="Times New Roman" w:cs="Times New Roman"/>
          <w:lang w:eastAsia="de-DE"/>
        </w:rPr>
        <w:t xml:space="preserve">(und siehe, er war verbrannt) - </w:t>
      </w:r>
      <w:r w:rsidRPr="0066048C">
        <w:rPr>
          <w:rFonts w:eastAsia="Times New Roman" w:cs="Times New Roman"/>
          <w:b/>
          <w:bCs/>
          <w:rtl/>
          <w:lang w:eastAsia="de-DE"/>
        </w:rPr>
        <w:t>הנה</w:t>
      </w:r>
      <w:r w:rsidRPr="0066048C">
        <w:rPr>
          <w:rFonts w:eastAsia="Times New Roman" w:cs="Times New Roman"/>
          <w:rtl/>
          <w:lang w:eastAsia="de-DE"/>
        </w:rPr>
        <w:t xml:space="preserve"> </w:t>
      </w:r>
      <w:r w:rsidRPr="0066048C">
        <w:rPr>
          <w:rFonts w:eastAsia="Times New Roman" w:cs="Times New Roman"/>
          <w:lang w:eastAsia="de-DE"/>
        </w:rPr>
        <w:t xml:space="preserve">(siehe) als Überraschungspartikel, </w:t>
      </w:r>
      <w:r w:rsidRPr="0066048C">
        <w:rPr>
          <w:rFonts w:eastAsia="Times New Roman" w:cs="Times New Roman"/>
          <w:b/>
          <w:bCs/>
          <w:rtl/>
          <w:lang w:eastAsia="de-DE"/>
        </w:rPr>
        <w:t>שרף</w:t>
      </w:r>
      <w:r w:rsidRPr="0066048C">
        <w:rPr>
          <w:rFonts w:eastAsia="Times New Roman" w:cs="Times New Roman"/>
          <w:rtl/>
          <w:lang w:eastAsia="de-DE"/>
        </w:rPr>
        <w:t xml:space="preserve"> </w:t>
      </w:r>
      <w:r w:rsidRPr="0066048C">
        <w:rPr>
          <w:rFonts w:eastAsia="Times New Roman" w:cs="Times New Roman"/>
          <w:lang w:eastAsia="de-DE"/>
        </w:rPr>
        <w:t>(verbrannt) im Qal-Passiv-Partizip.</w:t>
      </w:r>
    </w:p>
    <w:p w14:paraId="33626D3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ויקצף על־אלעזר ועל־איתמר בני אהרן הנותרים לאמר</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קצף</w:t>
      </w:r>
      <w:r w:rsidRPr="0066048C">
        <w:rPr>
          <w:rFonts w:eastAsia="Times New Roman" w:cs="Times New Roman"/>
          <w:rtl/>
          <w:lang w:eastAsia="de-DE"/>
        </w:rPr>
        <w:t xml:space="preserve"> </w:t>
      </w:r>
      <w:r w:rsidRPr="0066048C">
        <w:rPr>
          <w:rFonts w:eastAsia="Times New Roman" w:cs="Times New Roman"/>
          <w:lang w:eastAsia="de-DE"/>
        </w:rPr>
        <w:t xml:space="preserve">(zürnen) im Qal-Imperfekt mit Waw-Konsekutiv. </w:t>
      </w:r>
      <w:r w:rsidRPr="0066048C">
        <w:rPr>
          <w:rFonts w:eastAsia="Times New Roman" w:cs="Times New Roman"/>
          <w:b/>
          <w:bCs/>
          <w:rtl/>
          <w:lang w:eastAsia="de-DE"/>
        </w:rPr>
        <w:t>על־אלעזר ועל־איתמר</w:t>
      </w:r>
      <w:r w:rsidRPr="0066048C">
        <w:rPr>
          <w:rFonts w:eastAsia="Times New Roman" w:cs="Times New Roman"/>
          <w:rtl/>
          <w:lang w:eastAsia="de-DE"/>
        </w:rPr>
        <w:t xml:space="preserve"> </w:t>
      </w:r>
      <w:r w:rsidRPr="0066048C">
        <w:rPr>
          <w:rFonts w:eastAsia="Times New Roman" w:cs="Times New Roman"/>
          <w:lang w:eastAsia="de-DE"/>
        </w:rPr>
        <w:t xml:space="preserve">mit doppelter Präposition </w:t>
      </w:r>
      <w:r w:rsidRPr="0066048C">
        <w:rPr>
          <w:rFonts w:eastAsia="Times New Roman" w:cs="Times New Roman"/>
          <w:b/>
          <w:bCs/>
          <w:rtl/>
          <w:lang w:eastAsia="de-DE"/>
        </w:rPr>
        <w:t>על</w:t>
      </w:r>
      <w:r w:rsidRPr="0066048C">
        <w:rPr>
          <w:rFonts w:eastAsia="Times New Roman" w:cs="Times New Roman"/>
          <w:rtl/>
          <w:lang w:eastAsia="de-DE"/>
        </w:rPr>
        <w:t xml:space="preserve"> </w:t>
      </w:r>
      <w:r w:rsidRPr="0066048C">
        <w:rPr>
          <w:rFonts w:eastAsia="Times New Roman" w:cs="Times New Roman"/>
          <w:lang w:eastAsia="de-DE"/>
        </w:rPr>
        <w:t xml:space="preserve">zeigt die Adressaten des Zorns. </w:t>
      </w:r>
      <w:r w:rsidRPr="0066048C">
        <w:rPr>
          <w:rFonts w:eastAsia="Times New Roman" w:cs="Times New Roman"/>
          <w:b/>
          <w:bCs/>
          <w:rtl/>
          <w:lang w:eastAsia="de-DE"/>
        </w:rPr>
        <w:t>בני אהרן הנותרים</w:t>
      </w:r>
      <w:r w:rsidRPr="0066048C">
        <w:rPr>
          <w:rFonts w:eastAsia="Times New Roman" w:cs="Times New Roman"/>
          <w:rtl/>
          <w:lang w:eastAsia="de-DE"/>
        </w:rPr>
        <w:t xml:space="preserve"> </w:t>
      </w:r>
      <w:r w:rsidRPr="0066048C">
        <w:rPr>
          <w:rFonts w:eastAsia="Times New Roman" w:cs="Times New Roman"/>
          <w:lang w:eastAsia="de-DE"/>
        </w:rPr>
        <w:t xml:space="preserve">(die übriggebliebenen Söhne Aarons) wiederholt die schmerzhafte Bezeichnung aus V. 12. </w:t>
      </w:r>
      <w:r w:rsidRPr="0066048C">
        <w:rPr>
          <w:rFonts w:eastAsia="Times New Roman" w:cs="Times New Roman"/>
          <w:b/>
          <w:bCs/>
          <w:rtl/>
          <w:lang w:eastAsia="de-DE"/>
        </w:rPr>
        <w:t>לאמר</w:t>
      </w:r>
      <w:r w:rsidRPr="0066048C">
        <w:rPr>
          <w:rFonts w:eastAsia="Times New Roman" w:cs="Times New Roman"/>
          <w:rtl/>
          <w:lang w:eastAsia="de-DE"/>
        </w:rPr>
        <w:t xml:space="preserve"> </w:t>
      </w:r>
      <w:r w:rsidRPr="0066048C">
        <w:rPr>
          <w:rFonts w:eastAsia="Times New Roman" w:cs="Times New Roman"/>
          <w:lang w:eastAsia="de-DE"/>
        </w:rPr>
        <w:t>(sagend) leitet die direkte Rede ein.</w:t>
      </w:r>
    </w:p>
    <w:p w14:paraId="6204803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lastRenderedPageBreak/>
        <w:t>דרש דרש</w:t>
      </w:r>
      <w:r w:rsidRPr="0066048C">
        <w:rPr>
          <w:rFonts w:eastAsia="Times New Roman" w:cs="Times New Roman"/>
          <w:rtl/>
          <w:lang w:eastAsia="de-DE"/>
        </w:rPr>
        <w:t xml:space="preserve"> </w:t>
      </w:r>
      <w:r w:rsidRPr="0066048C">
        <w:rPr>
          <w:rFonts w:eastAsia="Times New Roman" w:cs="Times New Roman"/>
          <w:lang w:eastAsia="de-DE"/>
        </w:rPr>
        <w:t xml:space="preserve">mit Wiederholung zeigt intensive, gründliche Suche. </w:t>
      </w:r>
      <w:r w:rsidRPr="0066048C">
        <w:rPr>
          <w:rFonts w:eastAsia="Times New Roman" w:cs="Times New Roman"/>
          <w:b/>
          <w:bCs/>
          <w:rtl/>
          <w:lang w:eastAsia="de-DE"/>
        </w:rPr>
        <w:t>שעיר החטאת</w:t>
      </w:r>
      <w:r w:rsidRPr="0066048C">
        <w:rPr>
          <w:rFonts w:eastAsia="Times New Roman" w:cs="Times New Roman"/>
          <w:rtl/>
          <w:lang w:eastAsia="de-DE"/>
        </w:rPr>
        <w:t xml:space="preserve"> </w:t>
      </w:r>
      <w:r w:rsidRPr="0066048C">
        <w:rPr>
          <w:rFonts w:eastAsia="Times New Roman" w:cs="Times New Roman"/>
          <w:lang w:eastAsia="de-DE"/>
        </w:rPr>
        <w:t>ist das Volks-</w:t>
      </w:r>
      <w:r w:rsidRPr="0066048C">
        <w:rPr>
          <w:rFonts w:eastAsia="Times New Roman" w:cs="Times New Roman"/>
          <w:b/>
          <w:bCs/>
          <w:rtl/>
          <w:lang w:eastAsia="de-DE"/>
        </w:rPr>
        <w:t>חטאת</w:t>
      </w:r>
      <w:r w:rsidRPr="0066048C">
        <w:rPr>
          <w:rFonts w:eastAsia="Times New Roman" w:cs="Times New Roman"/>
          <w:rtl/>
          <w:lang w:eastAsia="de-DE"/>
        </w:rPr>
        <w:t xml:space="preserve"> </w:t>
      </w:r>
      <w:r w:rsidRPr="0066048C">
        <w:rPr>
          <w:rFonts w:eastAsia="Times New Roman" w:cs="Times New Roman"/>
          <w:lang w:eastAsia="de-DE"/>
        </w:rPr>
        <w:t xml:space="preserve">aus 9,15, das nach 6,19.22 von den Priestern hätte gegessen werden sollen. </w:t>
      </w:r>
      <w:r w:rsidRPr="0066048C">
        <w:rPr>
          <w:rFonts w:eastAsia="Times New Roman" w:cs="Times New Roman"/>
          <w:b/>
          <w:bCs/>
          <w:rtl/>
          <w:lang w:eastAsia="de-DE"/>
        </w:rPr>
        <w:t>שרף</w:t>
      </w:r>
      <w:r w:rsidRPr="0066048C">
        <w:rPr>
          <w:rFonts w:eastAsia="Times New Roman" w:cs="Times New Roman"/>
          <w:rtl/>
          <w:lang w:eastAsia="de-DE"/>
        </w:rPr>
        <w:t xml:space="preserve"> </w:t>
      </w:r>
      <w:r w:rsidRPr="0066048C">
        <w:rPr>
          <w:rFonts w:eastAsia="Times New Roman" w:cs="Times New Roman"/>
          <w:lang w:eastAsia="de-DE"/>
        </w:rPr>
        <w:t>zeigt, dass es stattdessen verbrannt wurde.</w:t>
      </w:r>
    </w:p>
    <w:p w14:paraId="61B6ADE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ויקצף</w:t>
      </w:r>
      <w:r w:rsidRPr="0066048C">
        <w:rPr>
          <w:rFonts w:eastAsia="Times New Roman" w:cs="Times New Roman"/>
          <w:rtl/>
          <w:lang w:eastAsia="de-DE"/>
        </w:rPr>
        <w:t xml:space="preserve"> </w:t>
      </w:r>
      <w:r w:rsidRPr="0066048C">
        <w:rPr>
          <w:rFonts w:eastAsia="Times New Roman" w:cs="Times New Roman"/>
          <w:lang w:eastAsia="de-DE"/>
        </w:rPr>
        <w:t xml:space="preserve">zeigt Moses Zorn über die Verletzung der </w:t>
      </w:r>
      <w:r w:rsidRPr="0066048C">
        <w:rPr>
          <w:rFonts w:eastAsia="Times New Roman" w:cs="Times New Roman"/>
          <w:b/>
          <w:bCs/>
          <w:rtl/>
          <w:lang w:eastAsia="de-DE"/>
        </w:rPr>
        <w:t>חטאת</w:t>
      </w:r>
      <w:r w:rsidRPr="0066048C">
        <w:rPr>
          <w:rFonts w:eastAsia="Times New Roman" w:cs="Times New Roman"/>
          <w:lang w:eastAsia="de-DE"/>
        </w:rPr>
        <w:t xml:space="preserve">-Bestimmungen. </w:t>
      </w:r>
      <w:r w:rsidRPr="0066048C">
        <w:rPr>
          <w:rFonts w:eastAsia="Times New Roman" w:cs="Times New Roman"/>
          <w:b/>
          <w:bCs/>
          <w:rtl/>
          <w:lang w:eastAsia="de-DE"/>
        </w:rPr>
        <w:t>הנותרים</w:t>
      </w:r>
      <w:r w:rsidRPr="0066048C">
        <w:rPr>
          <w:rFonts w:eastAsia="Times New Roman" w:cs="Times New Roman"/>
          <w:rtl/>
          <w:lang w:eastAsia="de-DE"/>
        </w:rPr>
        <w:t xml:space="preserve"> </w:t>
      </w:r>
      <w:r w:rsidRPr="0066048C">
        <w:rPr>
          <w:rFonts w:eastAsia="Times New Roman" w:cs="Times New Roman"/>
          <w:lang w:eastAsia="de-DE"/>
        </w:rPr>
        <w:t xml:space="preserve">betont erneut die Dezimierung der Priesterfamilie. </w:t>
      </w:r>
      <w:r w:rsidRPr="0066048C">
        <w:rPr>
          <w:rFonts w:eastAsia="Times New Roman" w:cs="Times New Roman"/>
          <w:b/>
          <w:bCs/>
          <w:rtl/>
          <w:lang w:eastAsia="de-DE"/>
        </w:rPr>
        <w:t>על...ועל</w:t>
      </w:r>
      <w:r w:rsidRPr="0066048C">
        <w:rPr>
          <w:rFonts w:eastAsia="Times New Roman" w:cs="Times New Roman"/>
          <w:rtl/>
          <w:lang w:eastAsia="de-DE"/>
        </w:rPr>
        <w:t xml:space="preserve"> </w:t>
      </w:r>
      <w:r w:rsidRPr="0066048C">
        <w:rPr>
          <w:rFonts w:eastAsia="Times New Roman" w:cs="Times New Roman"/>
          <w:lang w:eastAsia="de-DE"/>
        </w:rPr>
        <w:t>zeigt, dass beide überlebenden Söhne zur Verantwortung gezogen werden.</w:t>
      </w:r>
    </w:p>
    <w:p w14:paraId="3839F8B8" w14:textId="5115FC7A"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w:t>
      </w:r>
      <w:r w:rsidR="00F6539E">
        <w:t xml:space="preserve">übersetzt </w:t>
      </w:r>
      <w:r w:rsidR="00F6539E">
        <w:rPr>
          <w:rtl/>
        </w:rPr>
        <w:t>דרש דרש</w:t>
      </w:r>
      <w:r w:rsidR="00F6539E">
        <w:t xml:space="preserve"> (</w:t>
      </w:r>
      <w:proofErr w:type="spellStart"/>
      <w:r w:rsidR="00F6539E">
        <w:t>darosh</w:t>
      </w:r>
      <w:proofErr w:type="spellEnd"/>
      <w:r w:rsidR="00F6539E">
        <w:t xml:space="preserve"> </w:t>
      </w:r>
      <w:proofErr w:type="spellStart"/>
      <w:r w:rsidR="00F6539E">
        <w:t>darash</w:t>
      </w:r>
      <w:proofErr w:type="spellEnd"/>
      <w:r w:rsidR="00F6539E">
        <w:t xml:space="preserve"> - "suchend suchte") als </w:t>
      </w:r>
      <w:proofErr w:type="spellStart"/>
      <w:r w:rsidR="00F6539E">
        <w:t>ζητῶν</w:t>
      </w:r>
      <w:proofErr w:type="spellEnd"/>
      <w:r w:rsidR="00F6539E">
        <w:t xml:space="preserve"> </w:t>
      </w:r>
      <w:proofErr w:type="spellStart"/>
      <w:r w:rsidR="00F6539E">
        <w:t>ἐξεζήτησεν</w:t>
      </w:r>
      <w:proofErr w:type="spellEnd"/>
      <w:r w:rsidR="00F6539E">
        <w:t xml:space="preserve"> (suchend suchte er gründlich), was eine intensivere Suche beschreibt.</w:t>
      </w:r>
    </w:p>
    <w:p w14:paraId="23076C1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Entdeckung plus Zorn: Objekt + intensives Verb + Subjekt + Überraschungspartikel + Zustandsangabe + </w:t>
      </w:r>
      <w:proofErr w:type="spellStart"/>
      <w:r w:rsidRPr="0066048C">
        <w:rPr>
          <w:rFonts w:eastAsia="Times New Roman" w:cs="Times New Roman"/>
          <w:lang w:eastAsia="de-DE"/>
        </w:rPr>
        <w:t>Zornverb</w:t>
      </w:r>
      <w:proofErr w:type="spellEnd"/>
      <w:r w:rsidRPr="0066048C">
        <w:rPr>
          <w:rFonts w:eastAsia="Times New Roman" w:cs="Times New Roman"/>
          <w:lang w:eastAsia="de-DE"/>
        </w:rPr>
        <w:t xml:space="preserve"> + doppelter Adressat + Spezifikation + Redeeinleitung. Die Struktur steigert sich von Suche über Entdeckung zum Zorn.</w:t>
      </w:r>
    </w:p>
    <w:p w14:paraId="6ECB29A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Dieser Vers zeigt Moses Entdeckung, dass das Volks-</w:t>
      </w:r>
      <w:r w:rsidRPr="0066048C">
        <w:rPr>
          <w:rFonts w:eastAsia="Times New Roman" w:cs="Times New Roman"/>
          <w:b/>
          <w:bCs/>
          <w:rtl/>
          <w:lang w:eastAsia="de-DE"/>
        </w:rPr>
        <w:t>חטאת</w:t>
      </w:r>
      <w:r w:rsidRPr="0066048C">
        <w:rPr>
          <w:rFonts w:eastAsia="Times New Roman" w:cs="Times New Roman"/>
          <w:rtl/>
          <w:lang w:eastAsia="de-DE"/>
        </w:rPr>
        <w:t xml:space="preserve"> </w:t>
      </w:r>
      <w:r w:rsidRPr="0066048C">
        <w:rPr>
          <w:rFonts w:eastAsia="Times New Roman" w:cs="Times New Roman"/>
          <w:lang w:eastAsia="de-DE"/>
        </w:rPr>
        <w:t>fälschlicherweise verbrannt statt von den Priestern gegessen wurde, und seinen resultierenden Zorn.</w:t>
      </w:r>
    </w:p>
    <w:p w14:paraId="030A4125"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10,17</w:t>
      </w:r>
    </w:p>
    <w:p w14:paraId="3B71C89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מַדּ֗וּעַ לֹֽא־אֲכַלְתֶּ֤ם אֶת־הַחַטָּאת֙ בִּמְק֣וֹם הַקֹּ֔דֶשׁ כִּ֛י קֹ֥דֶשׁ קָֽדָשִׁ֖ים הִ֑וא וְאֹתָ֣הּ׀ נָתַ֣ן לָכֶ֗ם לָשֵׂאת֙ אֶת־עֲוֹ֣ן הָעֵדָ֔ה לְכַפֵּ֥ר עֲלֵיהֶ֖ם לִפְנֵ֥י יְהוָֽה׃</w:t>
      </w:r>
    </w:p>
    <w:p w14:paraId="1728F96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Warum habt ihr das Sündopfer nicht an heiliger Stätte gegessen? Denn es ist hochheilig, und er hat es euch gegeben, um die Schuld der Gemeinde zu tragen, um für sie Sühne zu erwirken vor dem Ewigen.</w:t>
      </w:r>
    </w:p>
    <w:p w14:paraId="19F5169A"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7690E1D8">
          <v:rect id="_x0000_i1273" style="width:0;height:1.5pt" o:hralign="center" o:hrstd="t" o:hr="t" fillcolor="#a0a0a0" stroked="f"/>
        </w:pict>
      </w:r>
    </w:p>
    <w:p w14:paraId="6A70C32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מדוע לא־אכלתם את־החטאת במקום הקדש כי קדש קדשים הוא</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מדוע</w:t>
      </w:r>
      <w:r w:rsidRPr="0066048C">
        <w:rPr>
          <w:rFonts w:eastAsia="Times New Roman" w:cs="Times New Roman"/>
          <w:rtl/>
          <w:lang w:eastAsia="de-DE"/>
        </w:rPr>
        <w:t xml:space="preserve"> </w:t>
      </w:r>
      <w:r w:rsidRPr="0066048C">
        <w:rPr>
          <w:rFonts w:eastAsia="Times New Roman" w:cs="Times New Roman"/>
          <w:lang w:eastAsia="de-DE"/>
        </w:rPr>
        <w:t xml:space="preserve">(warum) als Vorwurfspartikel. </w:t>
      </w:r>
      <w:r w:rsidRPr="0066048C">
        <w:rPr>
          <w:rFonts w:eastAsia="Times New Roman" w:cs="Times New Roman"/>
          <w:b/>
          <w:bCs/>
          <w:rtl/>
          <w:lang w:eastAsia="de-DE"/>
        </w:rPr>
        <w:t>לא־אכלתם</w:t>
      </w:r>
      <w:r w:rsidRPr="0066048C">
        <w:rPr>
          <w:rFonts w:eastAsia="Times New Roman" w:cs="Times New Roman"/>
          <w:rtl/>
          <w:lang w:eastAsia="de-DE"/>
        </w:rPr>
        <w:t xml:space="preserve"> </w:t>
      </w:r>
      <w:r w:rsidRPr="0066048C">
        <w:rPr>
          <w:rFonts w:eastAsia="Times New Roman" w:cs="Times New Roman"/>
          <w:lang w:eastAsia="de-DE"/>
        </w:rPr>
        <w:t xml:space="preserve">(ihr habt nicht gegessen) im Qal-Perfekt 2. Person maskulin Plural mit Negation. </w:t>
      </w:r>
      <w:r w:rsidRPr="0066048C">
        <w:rPr>
          <w:rFonts w:eastAsia="Times New Roman" w:cs="Times New Roman"/>
          <w:b/>
          <w:bCs/>
          <w:rtl/>
          <w:lang w:eastAsia="de-DE"/>
        </w:rPr>
        <w:t>את־החטאת</w:t>
      </w:r>
      <w:r w:rsidRPr="0066048C">
        <w:rPr>
          <w:rFonts w:eastAsia="Times New Roman" w:cs="Times New Roman"/>
          <w:rtl/>
          <w:lang w:eastAsia="de-DE"/>
        </w:rPr>
        <w:t xml:space="preserve"> </w:t>
      </w:r>
      <w:r w:rsidRPr="0066048C">
        <w:rPr>
          <w:rFonts w:eastAsia="Times New Roman" w:cs="Times New Roman"/>
          <w:lang w:eastAsia="de-DE"/>
        </w:rPr>
        <w:t xml:space="preserve">(das Sündopfer) als direktes Objekt. </w:t>
      </w:r>
      <w:r w:rsidRPr="0066048C">
        <w:rPr>
          <w:rFonts w:eastAsia="Times New Roman" w:cs="Times New Roman"/>
          <w:b/>
          <w:bCs/>
          <w:rtl/>
          <w:lang w:eastAsia="de-DE"/>
        </w:rPr>
        <w:t>במקום הקדש</w:t>
      </w:r>
      <w:r w:rsidRPr="0066048C">
        <w:rPr>
          <w:rFonts w:eastAsia="Times New Roman" w:cs="Times New Roman"/>
          <w:rtl/>
          <w:lang w:eastAsia="de-DE"/>
        </w:rPr>
        <w:t xml:space="preserve"> </w:t>
      </w:r>
      <w:r w:rsidRPr="0066048C">
        <w:rPr>
          <w:rFonts w:eastAsia="Times New Roman" w:cs="Times New Roman"/>
          <w:lang w:eastAsia="de-DE"/>
        </w:rPr>
        <w:t xml:space="preserve">(an heiliger Stätte) entspricht V. 13. </w:t>
      </w:r>
      <w:r w:rsidRPr="0066048C">
        <w:rPr>
          <w:rFonts w:eastAsia="Times New Roman" w:cs="Times New Roman"/>
          <w:b/>
          <w:bCs/>
          <w:rtl/>
          <w:lang w:eastAsia="de-DE"/>
        </w:rPr>
        <w:t>כי קדש קדשים הוא</w:t>
      </w:r>
      <w:r w:rsidRPr="0066048C">
        <w:rPr>
          <w:rFonts w:eastAsia="Times New Roman" w:cs="Times New Roman"/>
          <w:rtl/>
          <w:lang w:eastAsia="de-DE"/>
        </w:rPr>
        <w:t xml:space="preserve"> </w:t>
      </w:r>
      <w:r w:rsidRPr="0066048C">
        <w:rPr>
          <w:rFonts w:eastAsia="Times New Roman" w:cs="Times New Roman"/>
          <w:lang w:eastAsia="de-DE"/>
        </w:rPr>
        <w:t>(denn es ist hochheilig) begründet die Essanweisung.</w:t>
      </w:r>
    </w:p>
    <w:p w14:paraId="02FC55CA" w14:textId="18D6BF8C"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ואתה נתן לכם לשאת את־עון העדה לכפר עליהם לפני יהוה</w:t>
      </w:r>
      <w:r w:rsidRPr="0066048C">
        <w:rPr>
          <w:rFonts w:eastAsia="Times New Roman" w:cs="Times New Roman"/>
          <w:rtl/>
          <w:lang w:eastAsia="de-DE"/>
        </w:rPr>
        <w:t xml:space="preserve"> </w:t>
      </w:r>
      <w:r w:rsidRPr="0066048C">
        <w:rPr>
          <w:rFonts w:eastAsia="Times New Roman" w:cs="Times New Roman"/>
          <w:lang w:eastAsia="de-DE"/>
        </w:rPr>
        <w:t xml:space="preserve">erklärt den theologischen Zweck. </w:t>
      </w:r>
      <w:r w:rsidRPr="0066048C">
        <w:rPr>
          <w:rFonts w:eastAsia="Times New Roman" w:cs="Times New Roman"/>
          <w:b/>
          <w:bCs/>
          <w:rtl/>
          <w:lang w:eastAsia="de-DE"/>
        </w:rPr>
        <w:t>ואתה</w:t>
      </w:r>
      <w:r w:rsidRPr="0066048C">
        <w:rPr>
          <w:rFonts w:eastAsia="Times New Roman" w:cs="Times New Roman"/>
          <w:rtl/>
          <w:lang w:eastAsia="de-DE"/>
        </w:rPr>
        <w:t xml:space="preserve"> </w:t>
      </w:r>
      <w:r w:rsidRPr="0066048C">
        <w:rPr>
          <w:rFonts w:eastAsia="Times New Roman" w:cs="Times New Roman"/>
          <w:lang w:eastAsia="de-DE"/>
        </w:rPr>
        <w:t xml:space="preserve">(und es) mit Objektsuffix feminin Singular referenziert </w:t>
      </w:r>
      <w:r w:rsidRPr="0066048C">
        <w:rPr>
          <w:rFonts w:eastAsia="Times New Roman" w:cs="Times New Roman"/>
          <w:b/>
          <w:bCs/>
          <w:rtl/>
          <w:lang w:eastAsia="de-DE"/>
        </w:rPr>
        <w:t>החטאת</w:t>
      </w:r>
      <w:r w:rsidRPr="0066048C">
        <w:rPr>
          <w:rFonts w:eastAsia="Times New Roman" w:cs="Times New Roman"/>
          <w:lang w:eastAsia="de-DE"/>
        </w:rPr>
        <w:t xml:space="preserve">. </w:t>
      </w:r>
      <w:r w:rsidRPr="0066048C">
        <w:rPr>
          <w:rFonts w:eastAsia="Times New Roman" w:cs="Times New Roman"/>
          <w:b/>
          <w:bCs/>
          <w:rtl/>
          <w:lang w:eastAsia="de-DE"/>
        </w:rPr>
        <w:t>נתן לכם</w:t>
      </w:r>
      <w:r w:rsidRPr="0066048C">
        <w:rPr>
          <w:rFonts w:eastAsia="Times New Roman" w:cs="Times New Roman"/>
          <w:rtl/>
          <w:lang w:eastAsia="de-DE"/>
        </w:rPr>
        <w:t xml:space="preserve"> </w:t>
      </w:r>
      <w:r w:rsidRPr="0066048C">
        <w:rPr>
          <w:rFonts w:eastAsia="Times New Roman" w:cs="Times New Roman"/>
          <w:lang w:eastAsia="de-DE"/>
        </w:rPr>
        <w:t xml:space="preserve">(er hat euch gegeben) - </w:t>
      </w:r>
      <w:r w:rsidRPr="0066048C">
        <w:rPr>
          <w:rFonts w:eastAsia="Times New Roman" w:cs="Times New Roman"/>
          <w:b/>
          <w:bCs/>
          <w:rtl/>
          <w:lang w:eastAsia="de-DE"/>
        </w:rPr>
        <w:t>נתן</w:t>
      </w:r>
      <w:r w:rsidRPr="0066048C">
        <w:rPr>
          <w:rFonts w:eastAsia="Times New Roman" w:cs="Times New Roman"/>
          <w:rtl/>
          <w:lang w:eastAsia="de-DE"/>
        </w:rPr>
        <w:t xml:space="preserve"> </w:t>
      </w:r>
      <w:r w:rsidRPr="0066048C">
        <w:rPr>
          <w:rFonts w:eastAsia="Times New Roman" w:cs="Times New Roman"/>
          <w:lang w:eastAsia="de-DE"/>
        </w:rPr>
        <w:t xml:space="preserve">im Qal-Perfekt mit </w:t>
      </w:r>
      <w:r w:rsidRPr="0066048C">
        <w:rPr>
          <w:rFonts w:eastAsia="Times New Roman" w:cs="Times New Roman"/>
          <w:b/>
          <w:bCs/>
          <w:rtl/>
          <w:lang w:eastAsia="de-DE"/>
        </w:rPr>
        <w:t>לכם</w:t>
      </w:r>
      <w:r w:rsidRPr="0066048C">
        <w:rPr>
          <w:rFonts w:eastAsia="Times New Roman" w:cs="Times New Roman"/>
          <w:rtl/>
          <w:lang w:eastAsia="de-DE"/>
        </w:rPr>
        <w:t xml:space="preserve"> </w:t>
      </w:r>
      <w:r w:rsidRPr="0066048C">
        <w:rPr>
          <w:rFonts w:eastAsia="Times New Roman" w:cs="Times New Roman"/>
          <w:lang w:eastAsia="de-DE"/>
        </w:rPr>
        <w:t xml:space="preserve">(euch). </w:t>
      </w:r>
      <w:r w:rsidRPr="0066048C">
        <w:rPr>
          <w:rFonts w:eastAsia="Times New Roman" w:cs="Times New Roman"/>
          <w:b/>
          <w:bCs/>
          <w:rtl/>
          <w:lang w:eastAsia="de-DE"/>
        </w:rPr>
        <w:t>לשאת את־עון העדה</w:t>
      </w:r>
      <w:r w:rsidRPr="0066048C">
        <w:rPr>
          <w:rFonts w:eastAsia="Times New Roman" w:cs="Times New Roman"/>
          <w:rtl/>
          <w:lang w:eastAsia="de-DE"/>
        </w:rPr>
        <w:t xml:space="preserve"> </w:t>
      </w:r>
      <w:r w:rsidRPr="0066048C">
        <w:rPr>
          <w:rFonts w:eastAsia="Times New Roman" w:cs="Times New Roman"/>
          <w:lang w:eastAsia="de-DE"/>
        </w:rPr>
        <w:t xml:space="preserve">(um die Schuld der Gemeinde zu tragen) - </w:t>
      </w:r>
      <w:r w:rsidRPr="0066048C">
        <w:rPr>
          <w:rFonts w:eastAsia="Times New Roman" w:cs="Times New Roman"/>
          <w:b/>
          <w:bCs/>
          <w:rtl/>
          <w:lang w:eastAsia="de-DE"/>
        </w:rPr>
        <w:t>נשא</w:t>
      </w:r>
      <w:r w:rsidRPr="0066048C">
        <w:rPr>
          <w:rFonts w:eastAsia="Times New Roman" w:cs="Times New Roman"/>
          <w:rtl/>
          <w:lang w:eastAsia="de-DE"/>
        </w:rPr>
        <w:t xml:space="preserve"> </w:t>
      </w:r>
      <w:r w:rsidRPr="0066048C">
        <w:rPr>
          <w:rFonts w:eastAsia="Times New Roman" w:cs="Times New Roman"/>
          <w:lang w:eastAsia="de-DE"/>
        </w:rPr>
        <w:t>(tragen) als Infinitiv-</w:t>
      </w:r>
      <w:r w:rsidR="005407E2">
        <w:rPr>
          <w:rFonts w:eastAsia="Times New Roman" w:cs="Times New Roman"/>
          <w:lang w:eastAsia="de-DE"/>
        </w:rPr>
        <w:t>Constructus</w:t>
      </w:r>
      <w:r w:rsidRPr="0066048C">
        <w:rPr>
          <w:rFonts w:eastAsia="Times New Roman" w:cs="Times New Roman"/>
          <w:lang w:eastAsia="de-DE"/>
        </w:rPr>
        <w:t xml:space="preserve"> mit </w:t>
      </w:r>
      <w:r w:rsidRPr="0066048C">
        <w:rPr>
          <w:rFonts w:eastAsia="Times New Roman" w:cs="Times New Roman"/>
          <w:b/>
          <w:bCs/>
          <w:rtl/>
          <w:lang w:eastAsia="de-DE"/>
        </w:rPr>
        <w:t>את־עון העדה</w:t>
      </w:r>
      <w:r w:rsidRPr="0066048C">
        <w:rPr>
          <w:rFonts w:eastAsia="Times New Roman" w:cs="Times New Roman"/>
          <w:rtl/>
          <w:lang w:eastAsia="de-DE"/>
        </w:rPr>
        <w:t xml:space="preserve"> </w:t>
      </w:r>
      <w:r w:rsidRPr="0066048C">
        <w:rPr>
          <w:rFonts w:eastAsia="Times New Roman" w:cs="Times New Roman"/>
          <w:lang w:eastAsia="de-DE"/>
        </w:rPr>
        <w:t xml:space="preserve">(die Schuld der Gemeinde). </w:t>
      </w:r>
      <w:r w:rsidRPr="0066048C">
        <w:rPr>
          <w:rFonts w:eastAsia="Times New Roman" w:cs="Times New Roman"/>
          <w:b/>
          <w:bCs/>
          <w:rtl/>
          <w:lang w:eastAsia="de-DE"/>
        </w:rPr>
        <w:t>לכפר עליהם לפני יהוה</w:t>
      </w:r>
      <w:r w:rsidRPr="0066048C">
        <w:rPr>
          <w:rFonts w:eastAsia="Times New Roman" w:cs="Times New Roman"/>
          <w:rtl/>
          <w:lang w:eastAsia="de-DE"/>
        </w:rPr>
        <w:t xml:space="preserve"> </w:t>
      </w:r>
      <w:r w:rsidRPr="0066048C">
        <w:rPr>
          <w:rFonts w:eastAsia="Times New Roman" w:cs="Times New Roman"/>
          <w:lang w:eastAsia="de-DE"/>
        </w:rPr>
        <w:t>(um für sie Sühne zu erwirken vor JHWH) als weiterer Zweck-Infinitiv.</w:t>
      </w:r>
    </w:p>
    <w:p w14:paraId="2573E1F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מדוע</w:t>
      </w:r>
      <w:r w:rsidRPr="0066048C">
        <w:rPr>
          <w:rFonts w:eastAsia="Times New Roman" w:cs="Times New Roman"/>
          <w:rtl/>
          <w:lang w:eastAsia="de-DE"/>
        </w:rPr>
        <w:t xml:space="preserve"> </w:t>
      </w:r>
      <w:r w:rsidRPr="0066048C">
        <w:rPr>
          <w:rFonts w:eastAsia="Times New Roman" w:cs="Times New Roman"/>
          <w:lang w:eastAsia="de-DE"/>
        </w:rPr>
        <w:t xml:space="preserve">drückt nicht nur Frage, sondern Vorwurf aus. </w:t>
      </w:r>
      <w:r w:rsidRPr="0066048C">
        <w:rPr>
          <w:rFonts w:eastAsia="Times New Roman" w:cs="Times New Roman"/>
          <w:b/>
          <w:bCs/>
          <w:rtl/>
          <w:lang w:eastAsia="de-DE"/>
        </w:rPr>
        <w:t>קדש קדשים</w:t>
      </w:r>
      <w:r w:rsidRPr="0066048C">
        <w:rPr>
          <w:rFonts w:eastAsia="Times New Roman" w:cs="Times New Roman"/>
          <w:rtl/>
          <w:lang w:eastAsia="de-DE"/>
        </w:rPr>
        <w:t xml:space="preserve"> </w:t>
      </w:r>
      <w:r w:rsidRPr="0066048C">
        <w:rPr>
          <w:rFonts w:eastAsia="Times New Roman" w:cs="Times New Roman"/>
          <w:lang w:eastAsia="de-DE"/>
        </w:rPr>
        <w:t xml:space="preserve">zeigt die höchste Heiligkeitsstufe, die besondere Behandlung erfordert. </w:t>
      </w:r>
      <w:r w:rsidRPr="0066048C">
        <w:rPr>
          <w:rFonts w:eastAsia="Times New Roman" w:cs="Times New Roman"/>
          <w:b/>
          <w:bCs/>
          <w:rtl/>
          <w:lang w:eastAsia="de-DE"/>
        </w:rPr>
        <w:t>נתן לכם</w:t>
      </w:r>
      <w:r w:rsidRPr="0066048C">
        <w:rPr>
          <w:rFonts w:eastAsia="Times New Roman" w:cs="Times New Roman"/>
          <w:rtl/>
          <w:lang w:eastAsia="de-DE"/>
        </w:rPr>
        <w:t xml:space="preserve"> </w:t>
      </w:r>
      <w:r w:rsidRPr="0066048C">
        <w:rPr>
          <w:rFonts w:eastAsia="Times New Roman" w:cs="Times New Roman"/>
          <w:lang w:eastAsia="de-DE"/>
        </w:rPr>
        <w:t>betont göttliche Zuteilung mit spezifischem Zweck.</w:t>
      </w:r>
    </w:p>
    <w:p w14:paraId="69B010A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לשאת את־עון העדה</w:t>
      </w:r>
      <w:r w:rsidRPr="0066048C">
        <w:rPr>
          <w:rFonts w:eastAsia="Times New Roman" w:cs="Times New Roman"/>
          <w:rtl/>
          <w:lang w:eastAsia="de-DE"/>
        </w:rPr>
        <w:t xml:space="preserve"> </w:t>
      </w:r>
      <w:r w:rsidRPr="0066048C">
        <w:rPr>
          <w:rFonts w:eastAsia="Times New Roman" w:cs="Times New Roman"/>
          <w:lang w:eastAsia="de-DE"/>
        </w:rPr>
        <w:t xml:space="preserve">zeigt die zentrale Funktion des priesterlichen </w:t>
      </w:r>
      <w:r w:rsidRPr="0066048C">
        <w:rPr>
          <w:rFonts w:eastAsia="Times New Roman" w:cs="Times New Roman"/>
          <w:b/>
          <w:bCs/>
          <w:rtl/>
          <w:lang w:eastAsia="de-DE"/>
        </w:rPr>
        <w:t>חטאת</w:t>
      </w:r>
      <w:r w:rsidRPr="0066048C">
        <w:rPr>
          <w:rFonts w:eastAsia="Times New Roman" w:cs="Times New Roman"/>
          <w:lang w:eastAsia="de-DE"/>
        </w:rPr>
        <w:t xml:space="preserve">-Verzehrs: Übernahme der Gemeindeschuld. </w:t>
      </w:r>
      <w:r w:rsidRPr="0066048C">
        <w:rPr>
          <w:rFonts w:eastAsia="Times New Roman" w:cs="Times New Roman"/>
          <w:b/>
          <w:bCs/>
          <w:rtl/>
          <w:lang w:eastAsia="de-DE"/>
        </w:rPr>
        <w:t>לכפר עליהם</w:t>
      </w:r>
      <w:r w:rsidRPr="0066048C">
        <w:rPr>
          <w:rFonts w:eastAsia="Times New Roman" w:cs="Times New Roman"/>
          <w:rtl/>
          <w:lang w:eastAsia="de-DE"/>
        </w:rPr>
        <w:t xml:space="preserve"> </w:t>
      </w:r>
      <w:r w:rsidRPr="0066048C">
        <w:rPr>
          <w:rFonts w:eastAsia="Times New Roman" w:cs="Times New Roman"/>
          <w:lang w:eastAsia="de-DE"/>
        </w:rPr>
        <w:t xml:space="preserve">erklärt das Ziel: Sühne für das Volk. </w:t>
      </w:r>
      <w:r w:rsidRPr="0066048C">
        <w:rPr>
          <w:rFonts w:eastAsia="Times New Roman" w:cs="Times New Roman"/>
          <w:b/>
          <w:bCs/>
          <w:rtl/>
          <w:lang w:eastAsia="de-DE"/>
        </w:rPr>
        <w:t>לפני יהוה</w:t>
      </w:r>
      <w:r w:rsidRPr="0066048C">
        <w:rPr>
          <w:rFonts w:eastAsia="Times New Roman" w:cs="Times New Roman"/>
          <w:rtl/>
          <w:lang w:eastAsia="de-DE"/>
        </w:rPr>
        <w:t xml:space="preserve"> </w:t>
      </w:r>
      <w:r w:rsidRPr="0066048C">
        <w:rPr>
          <w:rFonts w:eastAsia="Times New Roman" w:cs="Times New Roman"/>
          <w:lang w:eastAsia="de-DE"/>
        </w:rPr>
        <w:t>zeigt den sakralen Rahmen.</w:t>
      </w:r>
    </w:p>
    <w:p w14:paraId="227AC9C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lastRenderedPageBreak/>
        <w:t>Die LXX</w:t>
      </w:r>
      <w:r w:rsidRPr="0066048C">
        <w:rPr>
          <w:rFonts w:eastAsia="Times New Roman" w:cs="Times New Roman"/>
          <w:lang w:eastAsia="de-DE"/>
        </w:rPr>
        <w:t xml:space="preserve"> übersetzt </w:t>
      </w:r>
      <w:r w:rsidRPr="0066048C">
        <w:rPr>
          <w:rFonts w:eastAsia="Times New Roman" w:cs="Times New Roman"/>
          <w:b/>
          <w:bCs/>
          <w:rtl/>
          <w:lang w:eastAsia="de-DE"/>
        </w:rPr>
        <w:t>מדוע</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διὰ</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τί</w:t>
      </w:r>
      <w:proofErr w:type="spellEnd"/>
      <w:r w:rsidRPr="0066048C">
        <w:rPr>
          <w:rFonts w:eastAsia="Times New Roman" w:cs="Times New Roman"/>
          <w:lang w:eastAsia="de-DE"/>
        </w:rPr>
        <w:t xml:space="preserve"> (weshalb), </w:t>
      </w:r>
      <w:r w:rsidRPr="0066048C">
        <w:rPr>
          <w:rFonts w:eastAsia="Times New Roman" w:cs="Times New Roman"/>
          <w:b/>
          <w:bCs/>
          <w:rtl/>
          <w:lang w:eastAsia="de-DE"/>
        </w:rPr>
        <w:t>קדש קדשים</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ἅγι</w:t>
      </w:r>
      <w:proofErr w:type="spellEnd"/>
      <w:r w:rsidRPr="0066048C">
        <w:rPr>
          <w:rFonts w:eastAsia="Times New Roman" w:cs="Times New Roman"/>
          <w:lang w:eastAsia="de-DE"/>
        </w:rPr>
        <w:t xml:space="preserve">α </w:t>
      </w:r>
      <w:proofErr w:type="spellStart"/>
      <w:r w:rsidRPr="0066048C">
        <w:rPr>
          <w:rFonts w:eastAsia="Times New Roman" w:cs="Times New Roman"/>
          <w:lang w:eastAsia="de-DE"/>
        </w:rPr>
        <w:t>ἁγίων</w:t>
      </w:r>
      <w:proofErr w:type="spellEnd"/>
      <w:r w:rsidRPr="0066048C">
        <w:rPr>
          <w:rFonts w:eastAsia="Times New Roman" w:cs="Times New Roman"/>
          <w:lang w:eastAsia="de-DE"/>
        </w:rPr>
        <w:t xml:space="preserve"> (Heilige der Heiligen), </w:t>
      </w:r>
      <w:r w:rsidRPr="0066048C">
        <w:rPr>
          <w:rFonts w:eastAsia="Times New Roman" w:cs="Times New Roman"/>
          <w:b/>
          <w:bCs/>
          <w:rtl/>
          <w:lang w:eastAsia="de-DE"/>
        </w:rPr>
        <w:t>לשאת את־עון</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ἀφελεῖν</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τὰς</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ἁμ</w:t>
      </w:r>
      <w:proofErr w:type="spellEnd"/>
      <w:r w:rsidRPr="0066048C">
        <w:rPr>
          <w:rFonts w:eastAsia="Times New Roman" w:cs="Times New Roman"/>
          <w:lang w:eastAsia="de-DE"/>
        </w:rPr>
        <w:t xml:space="preserve">αρτίας (wegzunehmen die Sünden) und </w:t>
      </w:r>
      <w:r w:rsidRPr="0066048C">
        <w:rPr>
          <w:rFonts w:eastAsia="Times New Roman" w:cs="Times New Roman"/>
          <w:b/>
          <w:bCs/>
          <w:rtl/>
          <w:lang w:eastAsia="de-DE"/>
        </w:rPr>
        <w:t>לכפר</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ἐξιλάσ</w:t>
      </w:r>
      <w:proofErr w:type="spellEnd"/>
      <w:r w:rsidRPr="0066048C">
        <w:rPr>
          <w:rFonts w:eastAsia="Times New Roman" w:cs="Times New Roman"/>
          <w:lang w:eastAsia="de-DE"/>
        </w:rPr>
        <w:t>ασθαι (zu sühnen).</w:t>
      </w:r>
    </w:p>
    <w:p w14:paraId="5B9CAB1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Vorwurf mit theologischer Begründung: Warum-Frage + erste Begründung mit Heiligkeitsgrad + zweite Begründung mit Zweck und göttlicher Zuteilung + doppelter Zweck-Infinitiv. Die Struktur zeigt die Schwere der Verfehlung durch theologische Erklärung.</w:t>
      </w:r>
    </w:p>
    <w:p w14:paraId="245C8798"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Dieser Vers erklärt Moses Zorn durch die theologische Bedeutung des priesterlichen </w:t>
      </w:r>
      <w:r w:rsidRPr="0066048C">
        <w:rPr>
          <w:rFonts w:eastAsia="Times New Roman" w:cs="Times New Roman"/>
          <w:b/>
          <w:bCs/>
          <w:rtl/>
          <w:lang w:eastAsia="de-DE"/>
        </w:rPr>
        <w:t>חטאת</w:t>
      </w:r>
      <w:r w:rsidRPr="0066048C">
        <w:rPr>
          <w:rFonts w:eastAsia="Times New Roman" w:cs="Times New Roman"/>
          <w:lang w:eastAsia="de-DE"/>
        </w:rPr>
        <w:t>-Verzehrs als Übernahme der Volkssünde zur Sühne.</w:t>
      </w:r>
    </w:p>
    <w:p w14:paraId="0CCA9DD3"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10,18</w:t>
      </w:r>
    </w:p>
    <w:p w14:paraId="541565B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הֵ֚ן לֹא־הוּבָ֣א אֶת־דָּמָ֔הּ אֶל־הַקֹּ֖דֶשׁ פְּנִ֑ימָה אָכ֨וֹל תֹּאכְל֥וּ אֹתָ֛הּ בַּקֹּ֖דֶשׁ כַּאֲשֶׁ֥ר צִוֵּֽיתִי׃</w:t>
      </w:r>
    </w:p>
    <w:p w14:paraId="53EB206D"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Siehe, sein Blut ist nicht ins Innere des Heiligtums gebracht worden; ihr solltet es gewiss im Heiligtum essen, wie ich geboten habe.</w:t>
      </w:r>
    </w:p>
    <w:p w14:paraId="7E47C95D"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2F351BAC">
          <v:rect id="_x0000_i1274" style="width:0;height:1.5pt" o:hralign="center" o:hrstd="t" o:hr="t" fillcolor="#a0a0a0" stroked="f"/>
        </w:pict>
      </w:r>
    </w:p>
    <w:p w14:paraId="2304F7D6" w14:textId="1CA17046"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הן לא־הובא את־דמה אל־הקדש פנימה</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(siehe) als Hinweispartikel. </w:t>
      </w:r>
      <w:r w:rsidRPr="0066048C">
        <w:rPr>
          <w:rFonts w:eastAsia="Times New Roman" w:cs="Times New Roman"/>
          <w:b/>
          <w:bCs/>
          <w:rtl/>
          <w:lang w:eastAsia="de-DE"/>
        </w:rPr>
        <w:t>לא־הובא</w:t>
      </w:r>
      <w:r w:rsidRPr="0066048C">
        <w:rPr>
          <w:rFonts w:eastAsia="Times New Roman" w:cs="Times New Roman"/>
          <w:rtl/>
          <w:lang w:eastAsia="de-DE"/>
        </w:rPr>
        <w:t xml:space="preserve"> </w:t>
      </w:r>
      <w:r w:rsidRPr="0066048C">
        <w:rPr>
          <w:rFonts w:eastAsia="Times New Roman" w:cs="Times New Roman"/>
          <w:lang w:eastAsia="de-DE"/>
        </w:rPr>
        <w:t xml:space="preserve">(es ist nicht gebracht worden) - </w:t>
      </w:r>
      <w:r w:rsidRPr="0066048C">
        <w:rPr>
          <w:rFonts w:eastAsia="Times New Roman" w:cs="Times New Roman"/>
          <w:b/>
          <w:bCs/>
          <w:rtl/>
          <w:lang w:eastAsia="de-DE"/>
        </w:rPr>
        <w:t>בוא</w:t>
      </w:r>
      <w:r w:rsidRPr="0066048C">
        <w:rPr>
          <w:rFonts w:eastAsia="Times New Roman" w:cs="Times New Roman"/>
          <w:rtl/>
          <w:lang w:eastAsia="de-DE"/>
        </w:rPr>
        <w:t xml:space="preserve"> </w:t>
      </w:r>
      <w:r w:rsidRPr="0066048C">
        <w:rPr>
          <w:rFonts w:eastAsia="Times New Roman" w:cs="Times New Roman"/>
          <w:lang w:eastAsia="de-DE"/>
        </w:rPr>
        <w:t xml:space="preserve">(bringen) im </w:t>
      </w:r>
      <w:r w:rsidR="00AB1706">
        <w:rPr>
          <w:rFonts w:eastAsia="Times New Roman" w:cs="Times New Roman"/>
          <w:lang w:eastAsia="de-DE"/>
        </w:rPr>
        <w:t>Hofal</w:t>
      </w:r>
      <w:r w:rsidRPr="0066048C">
        <w:rPr>
          <w:rFonts w:eastAsia="Times New Roman" w:cs="Times New Roman"/>
          <w:lang w:eastAsia="de-DE"/>
        </w:rPr>
        <w:t xml:space="preserve">-Perfekt 3. Person maskulin Singular mit Negation. </w:t>
      </w:r>
      <w:r w:rsidRPr="0066048C">
        <w:rPr>
          <w:rFonts w:eastAsia="Times New Roman" w:cs="Times New Roman"/>
          <w:b/>
          <w:bCs/>
          <w:rtl/>
          <w:lang w:eastAsia="de-DE"/>
        </w:rPr>
        <w:t>את־דמה</w:t>
      </w:r>
      <w:r w:rsidRPr="0066048C">
        <w:rPr>
          <w:rFonts w:eastAsia="Times New Roman" w:cs="Times New Roman"/>
          <w:rtl/>
          <w:lang w:eastAsia="de-DE"/>
        </w:rPr>
        <w:t xml:space="preserve"> </w:t>
      </w:r>
      <w:r w:rsidRPr="0066048C">
        <w:rPr>
          <w:rFonts w:eastAsia="Times New Roman" w:cs="Times New Roman"/>
          <w:lang w:eastAsia="de-DE"/>
        </w:rPr>
        <w:t xml:space="preserve">(sein Blut) mit Possessivsuffix feminin Singular referenziert </w:t>
      </w:r>
      <w:r w:rsidRPr="0066048C">
        <w:rPr>
          <w:rFonts w:eastAsia="Times New Roman" w:cs="Times New Roman"/>
          <w:b/>
          <w:bCs/>
          <w:rtl/>
          <w:lang w:eastAsia="de-DE"/>
        </w:rPr>
        <w:t>החטאת</w:t>
      </w:r>
      <w:r w:rsidRPr="0066048C">
        <w:rPr>
          <w:rFonts w:eastAsia="Times New Roman" w:cs="Times New Roman"/>
          <w:lang w:eastAsia="de-DE"/>
        </w:rPr>
        <w:t xml:space="preserve">. </w:t>
      </w:r>
      <w:r w:rsidRPr="0066048C">
        <w:rPr>
          <w:rFonts w:eastAsia="Times New Roman" w:cs="Times New Roman"/>
          <w:b/>
          <w:bCs/>
          <w:rtl/>
          <w:lang w:eastAsia="de-DE"/>
        </w:rPr>
        <w:t>אל־הקדש פנימה</w:t>
      </w:r>
      <w:r w:rsidRPr="0066048C">
        <w:rPr>
          <w:rFonts w:eastAsia="Times New Roman" w:cs="Times New Roman"/>
          <w:rtl/>
          <w:lang w:eastAsia="de-DE"/>
        </w:rPr>
        <w:t xml:space="preserve"> </w:t>
      </w:r>
      <w:r w:rsidRPr="0066048C">
        <w:rPr>
          <w:rFonts w:eastAsia="Times New Roman" w:cs="Times New Roman"/>
          <w:lang w:eastAsia="de-DE"/>
        </w:rPr>
        <w:t xml:space="preserve">(ins Innere des Heiligtums) - </w:t>
      </w:r>
      <w:r w:rsidRPr="0066048C">
        <w:rPr>
          <w:rFonts w:eastAsia="Times New Roman" w:cs="Times New Roman"/>
          <w:b/>
          <w:bCs/>
          <w:rtl/>
          <w:lang w:eastAsia="de-DE"/>
        </w:rPr>
        <w:t>פנימה</w:t>
      </w:r>
      <w:r w:rsidRPr="0066048C">
        <w:rPr>
          <w:rFonts w:eastAsia="Times New Roman" w:cs="Times New Roman"/>
          <w:rtl/>
          <w:lang w:eastAsia="de-DE"/>
        </w:rPr>
        <w:t xml:space="preserve"> </w:t>
      </w:r>
      <w:r w:rsidRPr="0066048C">
        <w:rPr>
          <w:rFonts w:eastAsia="Times New Roman" w:cs="Times New Roman"/>
          <w:lang w:eastAsia="de-DE"/>
        </w:rPr>
        <w:t>(nach innen) verstärkt die Richtungsangabe.</w:t>
      </w:r>
    </w:p>
    <w:p w14:paraId="10A49AB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אכול תאכלו אתה בקדש כאשר צויתי</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אכל</w:t>
      </w:r>
      <w:r w:rsidRPr="0066048C">
        <w:rPr>
          <w:rFonts w:eastAsia="Times New Roman" w:cs="Times New Roman"/>
          <w:rtl/>
          <w:lang w:eastAsia="de-DE"/>
        </w:rPr>
        <w:t xml:space="preserve"> </w:t>
      </w:r>
      <w:r w:rsidRPr="0066048C">
        <w:rPr>
          <w:rFonts w:eastAsia="Times New Roman" w:cs="Times New Roman"/>
          <w:lang w:eastAsia="de-DE"/>
        </w:rPr>
        <w:t xml:space="preserve">(essen) als Infinitiv absolut plus finite Verbform zur Verstärkung. </w:t>
      </w:r>
      <w:r w:rsidRPr="0066048C">
        <w:rPr>
          <w:rFonts w:eastAsia="Times New Roman" w:cs="Times New Roman"/>
          <w:b/>
          <w:bCs/>
          <w:rtl/>
          <w:lang w:eastAsia="de-DE"/>
        </w:rPr>
        <w:t>תאכלו</w:t>
      </w:r>
      <w:r w:rsidRPr="0066048C">
        <w:rPr>
          <w:rFonts w:eastAsia="Times New Roman" w:cs="Times New Roman"/>
          <w:rtl/>
          <w:lang w:eastAsia="de-DE"/>
        </w:rPr>
        <w:t xml:space="preserve"> </w:t>
      </w:r>
      <w:r w:rsidRPr="0066048C">
        <w:rPr>
          <w:rFonts w:eastAsia="Times New Roman" w:cs="Times New Roman"/>
          <w:lang w:eastAsia="de-DE"/>
        </w:rPr>
        <w:t xml:space="preserve">im Qal-Imperfekt 2. Person maskulin Plural. </w:t>
      </w:r>
      <w:r w:rsidRPr="0066048C">
        <w:rPr>
          <w:rFonts w:eastAsia="Times New Roman" w:cs="Times New Roman"/>
          <w:b/>
          <w:bCs/>
          <w:rtl/>
          <w:lang w:eastAsia="de-DE"/>
        </w:rPr>
        <w:t>אתה</w:t>
      </w:r>
      <w:r w:rsidRPr="0066048C">
        <w:rPr>
          <w:rFonts w:eastAsia="Times New Roman" w:cs="Times New Roman"/>
          <w:rtl/>
          <w:lang w:eastAsia="de-DE"/>
        </w:rPr>
        <w:t xml:space="preserve"> </w:t>
      </w:r>
      <w:r w:rsidRPr="0066048C">
        <w:rPr>
          <w:rFonts w:eastAsia="Times New Roman" w:cs="Times New Roman"/>
          <w:lang w:eastAsia="de-DE"/>
        </w:rPr>
        <w:t xml:space="preserve">(es) referenziert </w:t>
      </w:r>
      <w:r w:rsidRPr="0066048C">
        <w:rPr>
          <w:rFonts w:eastAsia="Times New Roman" w:cs="Times New Roman"/>
          <w:b/>
          <w:bCs/>
          <w:rtl/>
          <w:lang w:eastAsia="de-DE"/>
        </w:rPr>
        <w:t>החטאת</w:t>
      </w:r>
      <w:r w:rsidRPr="0066048C">
        <w:rPr>
          <w:rFonts w:eastAsia="Times New Roman" w:cs="Times New Roman"/>
          <w:lang w:eastAsia="de-DE"/>
        </w:rPr>
        <w:t xml:space="preserve">. </w:t>
      </w:r>
      <w:r w:rsidRPr="0066048C">
        <w:rPr>
          <w:rFonts w:eastAsia="Times New Roman" w:cs="Times New Roman"/>
          <w:b/>
          <w:bCs/>
          <w:rtl/>
          <w:lang w:eastAsia="de-DE"/>
        </w:rPr>
        <w:t>בקדש</w:t>
      </w:r>
      <w:r w:rsidRPr="0066048C">
        <w:rPr>
          <w:rFonts w:eastAsia="Times New Roman" w:cs="Times New Roman"/>
          <w:rtl/>
          <w:lang w:eastAsia="de-DE"/>
        </w:rPr>
        <w:t xml:space="preserve"> </w:t>
      </w:r>
      <w:r w:rsidRPr="0066048C">
        <w:rPr>
          <w:rFonts w:eastAsia="Times New Roman" w:cs="Times New Roman"/>
          <w:lang w:eastAsia="de-DE"/>
        </w:rPr>
        <w:t xml:space="preserve">(im Heiligtum) entspricht </w:t>
      </w:r>
      <w:r w:rsidRPr="0066048C">
        <w:rPr>
          <w:rFonts w:eastAsia="Times New Roman" w:cs="Times New Roman"/>
          <w:b/>
          <w:bCs/>
          <w:rtl/>
          <w:lang w:eastAsia="de-DE"/>
        </w:rPr>
        <w:t>במקום הקדש</w:t>
      </w:r>
      <w:r w:rsidRPr="0066048C">
        <w:rPr>
          <w:rFonts w:eastAsia="Times New Roman" w:cs="Times New Roman"/>
          <w:lang w:eastAsia="de-DE"/>
        </w:rPr>
        <w:t xml:space="preserve">. </w:t>
      </w:r>
      <w:r w:rsidRPr="0066048C">
        <w:rPr>
          <w:rFonts w:eastAsia="Times New Roman" w:cs="Times New Roman"/>
          <w:b/>
          <w:bCs/>
          <w:rtl/>
          <w:lang w:eastAsia="de-DE"/>
        </w:rPr>
        <w:t>כאשר צויתי</w:t>
      </w:r>
      <w:r w:rsidRPr="0066048C">
        <w:rPr>
          <w:rFonts w:eastAsia="Times New Roman" w:cs="Times New Roman"/>
          <w:rtl/>
          <w:lang w:eastAsia="de-DE"/>
        </w:rPr>
        <w:t xml:space="preserve"> </w:t>
      </w:r>
      <w:r w:rsidRPr="0066048C">
        <w:rPr>
          <w:rFonts w:eastAsia="Times New Roman" w:cs="Times New Roman"/>
          <w:lang w:eastAsia="de-DE"/>
        </w:rPr>
        <w:t>(wie ich geboten habe) referenziert frühere Anweisungen.</w:t>
      </w:r>
    </w:p>
    <w:p w14:paraId="15D1483D"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lenkt die Aufmerksamkeit auf den entscheidenden Punkt. </w:t>
      </w:r>
      <w:r w:rsidRPr="0066048C">
        <w:rPr>
          <w:rFonts w:eastAsia="Times New Roman" w:cs="Times New Roman"/>
          <w:b/>
          <w:bCs/>
          <w:rtl/>
          <w:lang w:eastAsia="de-DE"/>
        </w:rPr>
        <w:t>לא־הובא את־דמה אל־הקדש פנימה</w:t>
      </w:r>
      <w:r w:rsidRPr="0066048C">
        <w:rPr>
          <w:rFonts w:eastAsia="Times New Roman" w:cs="Times New Roman"/>
          <w:rtl/>
          <w:lang w:eastAsia="de-DE"/>
        </w:rPr>
        <w:t xml:space="preserve"> </w:t>
      </w:r>
      <w:r w:rsidRPr="0066048C">
        <w:rPr>
          <w:rFonts w:eastAsia="Times New Roman" w:cs="Times New Roman"/>
          <w:lang w:eastAsia="de-DE"/>
        </w:rPr>
        <w:t xml:space="preserve">referenziert die Bestimmung aus 6,23: wenn </w:t>
      </w:r>
      <w:r w:rsidRPr="0066048C">
        <w:rPr>
          <w:rFonts w:eastAsia="Times New Roman" w:cs="Times New Roman"/>
          <w:b/>
          <w:bCs/>
          <w:rtl/>
          <w:lang w:eastAsia="de-DE"/>
        </w:rPr>
        <w:t>חטאת</w:t>
      </w:r>
      <w:r w:rsidRPr="0066048C">
        <w:rPr>
          <w:rFonts w:eastAsia="Times New Roman" w:cs="Times New Roman"/>
          <w:lang w:eastAsia="de-DE"/>
        </w:rPr>
        <w:t>-Blut ins Innere gebracht wird, muss das Fleisch verbrannt werden; wenn nicht, müssen es die Priester essen.</w:t>
      </w:r>
    </w:p>
    <w:p w14:paraId="18CCFE2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אכול תאכלו</w:t>
      </w:r>
      <w:r w:rsidRPr="0066048C">
        <w:rPr>
          <w:rFonts w:eastAsia="Times New Roman" w:cs="Times New Roman"/>
          <w:rtl/>
          <w:lang w:eastAsia="de-DE"/>
        </w:rPr>
        <w:t xml:space="preserve"> </w:t>
      </w:r>
      <w:r w:rsidRPr="0066048C">
        <w:rPr>
          <w:rFonts w:eastAsia="Times New Roman" w:cs="Times New Roman"/>
          <w:lang w:eastAsia="de-DE"/>
        </w:rPr>
        <w:t xml:space="preserve">mit Infinitiv absolut + finite Verbform betont die absolute Verpflichtung zum Verzehr. </w:t>
      </w:r>
      <w:r w:rsidRPr="0066048C">
        <w:rPr>
          <w:rFonts w:eastAsia="Times New Roman" w:cs="Times New Roman"/>
          <w:b/>
          <w:bCs/>
          <w:rtl/>
          <w:lang w:eastAsia="de-DE"/>
        </w:rPr>
        <w:t>בקדש</w:t>
      </w:r>
      <w:r w:rsidRPr="0066048C">
        <w:rPr>
          <w:rFonts w:eastAsia="Times New Roman" w:cs="Times New Roman"/>
          <w:rtl/>
          <w:lang w:eastAsia="de-DE"/>
        </w:rPr>
        <w:t xml:space="preserve"> </w:t>
      </w:r>
      <w:r w:rsidRPr="0066048C">
        <w:rPr>
          <w:rFonts w:eastAsia="Times New Roman" w:cs="Times New Roman"/>
          <w:lang w:eastAsia="de-DE"/>
        </w:rPr>
        <w:t xml:space="preserve">zeigt den vorgeschriebenen Ort. </w:t>
      </w:r>
      <w:r w:rsidRPr="0066048C">
        <w:rPr>
          <w:rFonts w:eastAsia="Times New Roman" w:cs="Times New Roman"/>
          <w:b/>
          <w:bCs/>
          <w:rtl/>
          <w:lang w:eastAsia="de-DE"/>
        </w:rPr>
        <w:t>כאשר צויתי</w:t>
      </w:r>
      <w:r w:rsidRPr="0066048C">
        <w:rPr>
          <w:rFonts w:eastAsia="Times New Roman" w:cs="Times New Roman"/>
          <w:rtl/>
          <w:lang w:eastAsia="de-DE"/>
        </w:rPr>
        <w:t xml:space="preserve"> </w:t>
      </w:r>
      <w:r w:rsidRPr="0066048C">
        <w:rPr>
          <w:rFonts w:eastAsia="Times New Roman" w:cs="Times New Roman"/>
          <w:lang w:eastAsia="de-DE"/>
        </w:rPr>
        <w:t>betont Moses Autorität als Gesetzgeber.</w:t>
      </w:r>
    </w:p>
    <w:p w14:paraId="0B3E647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 Unterscheidung </w:t>
      </w:r>
      <w:r w:rsidRPr="0066048C">
        <w:rPr>
          <w:rFonts w:eastAsia="Times New Roman" w:cs="Times New Roman"/>
          <w:b/>
          <w:bCs/>
          <w:rtl/>
          <w:lang w:eastAsia="de-DE"/>
        </w:rPr>
        <w:t>אל־הקדש פנימה</w:t>
      </w:r>
      <w:r w:rsidRPr="0066048C">
        <w:rPr>
          <w:rFonts w:eastAsia="Times New Roman" w:cs="Times New Roman"/>
          <w:rtl/>
          <w:lang w:eastAsia="de-DE"/>
        </w:rPr>
        <w:t xml:space="preserve"> </w:t>
      </w:r>
      <w:r w:rsidRPr="0066048C">
        <w:rPr>
          <w:rFonts w:eastAsia="Times New Roman" w:cs="Times New Roman"/>
          <w:lang w:eastAsia="de-DE"/>
        </w:rPr>
        <w:t xml:space="preserve">vs. äußerer Altarbereich ist entscheidend für die </w:t>
      </w:r>
      <w:r w:rsidRPr="0066048C">
        <w:rPr>
          <w:rFonts w:eastAsia="Times New Roman" w:cs="Times New Roman"/>
          <w:b/>
          <w:bCs/>
          <w:rtl/>
          <w:lang w:eastAsia="de-DE"/>
        </w:rPr>
        <w:t>חטאת</w:t>
      </w:r>
      <w:r w:rsidRPr="0066048C">
        <w:rPr>
          <w:rFonts w:eastAsia="Times New Roman" w:cs="Times New Roman"/>
          <w:lang w:eastAsia="de-DE"/>
        </w:rPr>
        <w:t xml:space="preserve">-Behandlung entsprechend 6,23. </w:t>
      </w:r>
      <w:r w:rsidRPr="0066048C">
        <w:rPr>
          <w:rFonts w:eastAsia="Times New Roman" w:cs="Times New Roman"/>
          <w:b/>
          <w:bCs/>
          <w:rtl/>
          <w:lang w:eastAsia="de-DE"/>
        </w:rPr>
        <w:t>אכול תאכלו</w:t>
      </w:r>
      <w:r w:rsidRPr="0066048C">
        <w:rPr>
          <w:rFonts w:eastAsia="Times New Roman" w:cs="Times New Roman"/>
          <w:rtl/>
          <w:lang w:eastAsia="de-DE"/>
        </w:rPr>
        <w:t xml:space="preserve"> </w:t>
      </w:r>
      <w:r w:rsidRPr="0066048C">
        <w:rPr>
          <w:rFonts w:eastAsia="Times New Roman" w:cs="Times New Roman"/>
          <w:lang w:eastAsia="de-DE"/>
        </w:rPr>
        <w:t>zeigt die Intensität von Moses Insistieren.</w:t>
      </w:r>
    </w:p>
    <w:p w14:paraId="73A1550A"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übersetzt </w:t>
      </w: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ἰδού</w:t>
      </w:r>
      <w:proofErr w:type="spellEnd"/>
      <w:r w:rsidRPr="0066048C">
        <w:rPr>
          <w:rFonts w:eastAsia="Times New Roman" w:cs="Times New Roman"/>
          <w:lang w:eastAsia="de-DE"/>
        </w:rPr>
        <w:t xml:space="preserve"> (siehe), </w:t>
      </w:r>
      <w:r w:rsidRPr="0066048C">
        <w:rPr>
          <w:rFonts w:eastAsia="Times New Roman" w:cs="Times New Roman"/>
          <w:b/>
          <w:bCs/>
          <w:rtl/>
          <w:lang w:eastAsia="de-DE"/>
        </w:rPr>
        <w:t>לא־הובא</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οὐκ</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εἰσήνεγκ</w:t>
      </w:r>
      <w:proofErr w:type="spellEnd"/>
      <w:r w:rsidRPr="0066048C">
        <w:rPr>
          <w:rFonts w:eastAsia="Times New Roman" w:cs="Times New Roman"/>
          <w:lang w:eastAsia="de-DE"/>
        </w:rPr>
        <w:t xml:space="preserve">αν (sie brachten nicht hinein), </w:t>
      </w:r>
      <w:r w:rsidRPr="0066048C">
        <w:rPr>
          <w:rFonts w:eastAsia="Times New Roman" w:cs="Times New Roman"/>
          <w:b/>
          <w:bCs/>
          <w:rtl/>
          <w:lang w:eastAsia="de-DE"/>
        </w:rPr>
        <w:t>פנימה</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ἔσω</w:t>
      </w:r>
      <w:proofErr w:type="spellEnd"/>
      <w:r w:rsidRPr="0066048C">
        <w:rPr>
          <w:rFonts w:eastAsia="Times New Roman" w:cs="Times New Roman"/>
          <w:lang w:eastAsia="de-DE"/>
        </w:rPr>
        <w:t xml:space="preserve"> (hinein) und </w:t>
      </w:r>
      <w:r w:rsidRPr="0066048C">
        <w:rPr>
          <w:rFonts w:eastAsia="Times New Roman" w:cs="Times New Roman"/>
          <w:b/>
          <w:bCs/>
          <w:rtl/>
          <w:lang w:eastAsia="de-DE"/>
        </w:rPr>
        <w:t>אכול תאכלו</w:t>
      </w:r>
      <w:r w:rsidRPr="0066048C">
        <w:rPr>
          <w:rFonts w:eastAsia="Times New Roman" w:cs="Times New Roman"/>
          <w:rtl/>
          <w:lang w:eastAsia="de-DE"/>
        </w:rPr>
        <w:t xml:space="preserve"> </w:t>
      </w:r>
      <w:r w:rsidRPr="0066048C">
        <w:rPr>
          <w:rFonts w:eastAsia="Times New Roman" w:cs="Times New Roman"/>
          <w:lang w:eastAsia="de-DE"/>
        </w:rPr>
        <w:t>mit β</w:t>
      </w:r>
      <w:proofErr w:type="spellStart"/>
      <w:r w:rsidRPr="0066048C">
        <w:rPr>
          <w:rFonts w:eastAsia="Times New Roman" w:cs="Times New Roman"/>
          <w:lang w:eastAsia="de-DE"/>
        </w:rPr>
        <w:t>ρώσει</w:t>
      </w:r>
      <w:proofErr w:type="spellEnd"/>
      <w:r w:rsidRPr="0066048C">
        <w:rPr>
          <w:rFonts w:eastAsia="Times New Roman" w:cs="Times New Roman"/>
          <w:lang w:eastAsia="de-DE"/>
        </w:rPr>
        <w:t xml:space="preserve"> </w:t>
      </w:r>
      <w:proofErr w:type="spellStart"/>
      <w:r w:rsidRPr="0066048C">
        <w:rPr>
          <w:rFonts w:eastAsia="Times New Roman" w:cs="Times New Roman"/>
          <w:lang w:eastAsia="de-DE"/>
        </w:rPr>
        <w:t>φάγεσθε</w:t>
      </w:r>
      <w:proofErr w:type="spellEnd"/>
      <w:r w:rsidRPr="0066048C">
        <w:rPr>
          <w:rFonts w:eastAsia="Times New Roman" w:cs="Times New Roman"/>
          <w:lang w:eastAsia="de-DE"/>
        </w:rPr>
        <w:t xml:space="preserve"> (essend sollt ihr essen).</w:t>
      </w:r>
    </w:p>
    <w:p w14:paraId="0F484DBB"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rechtliche Argumentation: Hinweispartikel + negative Tatbestandsfeststellung + verstärkte Handlungsanweisung + Ortsangabe + Autoritätsreferenz. Die Struktur zeigt Moses juristische Argumentation.</w:t>
      </w:r>
    </w:p>
    <w:p w14:paraId="63DAC464"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lastRenderedPageBreak/>
        <w:t xml:space="preserve">Dieser Vers zeigt Moses rechtliche Argumentation: da das </w:t>
      </w:r>
      <w:r w:rsidRPr="0066048C">
        <w:rPr>
          <w:rFonts w:eastAsia="Times New Roman" w:cs="Times New Roman"/>
          <w:b/>
          <w:bCs/>
          <w:rtl/>
          <w:lang w:eastAsia="de-DE"/>
        </w:rPr>
        <w:t>חטאת</w:t>
      </w:r>
      <w:r w:rsidRPr="0066048C">
        <w:rPr>
          <w:rFonts w:eastAsia="Times New Roman" w:cs="Times New Roman"/>
          <w:lang w:eastAsia="de-DE"/>
        </w:rPr>
        <w:t>-Blut nicht ins Allerheiligste kam, hätte das Fleisch gegessen, nicht verbrannt werden müssen.</w:t>
      </w:r>
    </w:p>
    <w:p w14:paraId="5AAD18C7"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t>Leviticus 10,19</w:t>
      </w:r>
    </w:p>
    <w:p w14:paraId="3D9C6C1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וַיְדַבֵּ֨ר אַהֲרֹ֜ן אֶל־מֹשֶׁ֗ה הֵ֣ן הַ֠יּוֹם הִקְרִ֨יבוּ אֶת־חַטָּאתָ֤ם וְאֶת־עֹֽלָתָם֙ לִפְנֵ֣י יְהוָ֔ה וַתִּקְרֶ֥אנָה אֹתִ֖י כָּאֵ֑לֶּה וְאָכַ֤לְתִּי חַטָּאת֙ הַיּ֔וֹם הַיִּיטַ֖ב בְּעֵינֵ֥י יְהוָֽה׃</w:t>
      </w:r>
    </w:p>
    <w:p w14:paraId="34EAF05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Aaron redete zu Mosche, sagend: Siehe, heute haben sie ihr Sündopfer und ihr Aufsteigeopfer vor dem Ewigen dargebracht, und solches ist mir widerfahren; und hätte ich heute das Sündopfer gegessen, wäre es gut in den Augen des Ewigen gewesen?</w:t>
      </w:r>
    </w:p>
    <w:p w14:paraId="34121DFB"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2373673C">
          <v:rect id="_x0000_i1275" style="width:0;height:1.5pt" o:hralign="center" o:hrstd="t" o:hr="t" fillcolor="#a0a0a0" stroked="f"/>
        </w:pict>
      </w:r>
    </w:p>
    <w:p w14:paraId="3614F5C2" w14:textId="2C211BB5"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וידבר אהרן אל־משה הן היום הקריבו את־חטאתם ואת־עלתם לפני יהוה</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דבר</w:t>
      </w:r>
      <w:r w:rsidRPr="0066048C">
        <w:rPr>
          <w:rFonts w:eastAsia="Times New Roman" w:cs="Times New Roman"/>
          <w:rtl/>
          <w:lang w:eastAsia="de-DE"/>
        </w:rPr>
        <w:t xml:space="preserve"> </w:t>
      </w:r>
      <w:r w:rsidRPr="0066048C">
        <w:rPr>
          <w:rFonts w:eastAsia="Times New Roman" w:cs="Times New Roman"/>
          <w:lang w:eastAsia="de-DE"/>
        </w:rPr>
        <w:t xml:space="preserve">(reden) im Piel-Imperfekt mit Waw-Konsekutiv. </w:t>
      </w:r>
      <w:r w:rsidRPr="0066048C">
        <w:rPr>
          <w:rFonts w:eastAsia="Times New Roman" w:cs="Times New Roman"/>
          <w:b/>
          <w:bCs/>
          <w:rtl/>
          <w:lang w:eastAsia="de-DE"/>
        </w:rPr>
        <w:t>אהרן אל־משה</w:t>
      </w:r>
      <w:r w:rsidRPr="0066048C">
        <w:rPr>
          <w:rFonts w:eastAsia="Times New Roman" w:cs="Times New Roman"/>
          <w:rtl/>
          <w:lang w:eastAsia="de-DE"/>
        </w:rPr>
        <w:t xml:space="preserve"> </w:t>
      </w:r>
      <w:r w:rsidRPr="0066048C">
        <w:rPr>
          <w:rFonts w:eastAsia="Times New Roman" w:cs="Times New Roman"/>
          <w:lang w:eastAsia="de-DE"/>
        </w:rPr>
        <w:t xml:space="preserve">- Aaron antwortet direkt Moses. </w:t>
      </w: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(siehe) entspricht Moses </w:t>
      </w: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aus V. 18. </w:t>
      </w:r>
      <w:r w:rsidRPr="0066048C">
        <w:rPr>
          <w:rFonts w:eastAsia="Times New Roman" w:cs="Times New Roman"/>
          <w:b/>
          <w:bCs/>
          <w:rtl/>
          <w:lang w:eastAsia="de-DE"/>
        </w:rPr>
        <w:t>היום</w:t>
      </w:r>
      <w:r w:rsidRPr="0066048C">
        <w:rPr>
          <w:rFonts w:eastAsia="Times New Roman" w:cs="Times New Roman"/>
          <w:rtl/>
          <w:lang w:eastAsia="de-DE"/>
        </w:rPr>
        <w:t xml:space="preserve"> </w:t>
      </w:r>
      <w:r w:rsidRPr="0066048C">
        <w:rPr>
          <w:rFonts w:eastAsia="Times New Roman" w:cs="Times New Roman"/>
          <w:lang w:eastAsia="de-DE"/>
        </w:rPr>
        <w:t xml:space="preserve">(heute) betont die Besonderheit des Tages. </w:t>
      </w:r>
      <w:r w:rsidRPr="0066048C">
        <w:rPr>
          <w:rFonts w:eastAsia="Times New Roman" w:cs="Times New Roman"/>
          <w:b/>
          <w:bCs/>
          <w:rtl/>
          <w:lang w:eastAsia="de-DE"/>
        </w:rPr>
        <w:t>הקריבו</w:t>
      </w:r>
      <w:r w:rsidRPr="0066048C">
        <w:rPr>
          <w:rFonts w:eastAsia="Times New Roman" w:cs="Times New Roman"/>
          <w:rtl/>
          <w:lang w:eastAsia="de-DE"/>
        </w:rPr>
        <w:t xml:space="preserve"> </w:t>
      </w:r>
      <w:r w:rsidRPr="0066048C">
        <w:rPr>
          <w:rFonts w:eastAsia="Times New Roman" w:cs="Times New Roman"/>
          <w:lang w:eastAsia="de-DE"/>
        </w:rPr>
        <w:t xml:space="preserve">(sie haben dargebracht) im Hifil-Perfekt 3. Person maskulin Plural referenziert seine Söhne. </w:t>
      </w:r>
      <w:r w:rsidRPr="0066048C">
        <w:rPr>
          <w:rFonts w:eastAsia="Times New Roman" w:cs="Times New Roman"/>
          <w:b/>
          <w:bCs/>
          <w:rtl/>
          <w:lang w:eastAsia="de-DE"/>
        </w:rPr>
        <w:t>את־חטאתם ואת־עלתם</w:t>
      </w:r>
      <w:r w:rsidRPr="0066048C">
        <w:rPr>
          <w:rFonts w:eastAsia="Times New Roman" w:cs="Times New Roman"/>
          <w:rtl/>
          <w:lang w:eastAsia="de-DE"/>
        </w:rPr>
        <w:t xml:space="preserve"> </w:t>
      </w:r>
      <w:r w:rsidRPr="0066048C">
        <w:rPr>
          <w:rFonts w:eastAsia="Times New Roman" w:cs="Times New Roman"/>
          <w:lang w:eastAsia="de-DE"/>
        </w:rPr>
        <w:t xml:space="preserve">(ihr Sündopfer und ihr </w:t>
      </w:r>
      <w:r w:rsidR="00CF10E7">
        <w:rPr>
          <w:rFonts w:eastAsia="Times New Roman" w:cs="Times New Roman"/>
          <w:lang w:eastAsia="de-DE"/>
        </w:rPr>
        <w:t>Aufsteigeopfer</w:t>
      </w:r>
      <w:r w:rsidRPr="0066048C">
        <w:rPr>
          <w:rFonts w:eastAsia="Times New Roman" w:cs="Times New Roman"/>
          <w:lang w:eastAsia="de-DE"/>
        </w:rPr>
        <w:t xml:space="preserve">) referenziert die persönlichen Opfer. </w:t>
      </w:r>
      <w:r w:rsidRPr="0066048C">
        <w:rPr>
          <w:rFonts w:eastAsia="Times New Roman" w:cs="Times New Roman"/>
          <w:b/>
          <w:bCs/>
          <w:rtl/>
          <w:lang w:eastAsia="de-DE"/>
        </w:rPr>
        <w:t>לפני יהוה</w:t>
      </w:r>
      <w:r w:rsidRPr="0066048C">
        <w:rPr>
          <w:rFonts w:eastAsia="Times New Roman" w:cs="Times New Roman"/>
          <w:rtl/>
          <w:lang w:eastAsia="de-DE"/>
        </w:rPr>
        <w:t xml:space="preserve"> </w:t>
      </w:r>
      <w:r w:rsidRPr="0066048C">
        <w:rPr>
          <w:rFonts w:eastAsia="Times New Roman" w:cs="Times New Roman"/>
          <w:lang w:eastAsia="de-DE"/>
        </w:rPr>
        <w:t>(vor JHWH) zeigt ordnungsgemäße Darbringung.</w:t>
      </w:r>
    </w:p>
    <w:p w14:paraId="5D24E991"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ותקראנה אתי כאלה</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קרה</w:t>
      </w:r>
      <w:r w:rsidRPr="0066048C">
        <w:rPr>
          <w:rFonts w:eastAsia="Times New Roman" w:cs="Times New Roman"/>
          <w:rtl/>
          <w:lang w:eastAsia="de-DE"/>
        </w:rPr>
        <w:t xml:space="preserve"> </w:t>
      </w:r>
      <w:r w:rsidRPr="0066048C">
        <w:rPr>
          <w:rFonts w:eastAsia="Times New Roman" w:cs="Times New Roman"/>
          <w:lang w:eastAsia="de-DE"/>
        </w:rPr>
        <w:t xml:space="preserve">(begegnen/widerfahren) im Qal-Imperfekt 3. Person feminin Plural mit Waw-Konsekutiv. </w:t>
      </w:r>
      <w:r w:rsidRPr="0066048C">
        <w:rPr>
          <w:rFonts w:eastAsia="Times New Roman" w:cs="Times New Roman"/>
          <w:b/>
          <w:bCs/>
          <w:rtl/>
          <w:lang w:eastAsia="de-DE"/>
        </w:rPr>
        <w:t>ותקראנה</w:t>
      </w:r>
      <w:r w:rsidRPr="0066048C">
        <w:rPr>
          <w:rFonts w:eastAsia="Times New Roman" w:cs="Times New Roman"/>
          <w:rtl/>
          <w:lang w:eastAsia="de-DE"/>
        </w:rPr>
        <w:t xml:space="preserve"> </w:t>
      </w:r>
      <w:r w:rsidRPr="0066048C">
        <w:rPr>
          <w:rFonts w:eastAsia="Times New Roman" w:cs="Times New Roman"/>
          <w:lang w:eastAsia="de-DE"/>
        </w:rPr>
        <w:t xml:space="preserve">mit feminin Plural-Subjekt könnte sich auf die Ereignisse beziehen. </w:t>
      </w:r>
      <w:r w:rsidRPr="0066048C">
        <w:rPr>
          <w:rFonts w:eastAsia="Times New Roman" w:cs="Times New Roman"/>
          <w:b/>
          <w:bCs/>
          <w:rtl/>
          <w:lang w:eastAsia="de-DE"/>
        </w:rPr>
        <w:t>אתי</w:t>
      </w:r>
      <w:r w:rsidRPr="0066048C">
        <w:rPr>
          <w:rFonts w:eastAsia="Times New Roman" w:cs="Times New Roman"/>
          <w:rtl/>
          <w:lang w:eastAsia="de-DE"/>
        </w:rPr>
        <w:t xml:space="preserve"> </w:t>
      </w:r>
      <w:r w:rsidRPr="0066048C">
        <w:rPr>
          <w:rFonts w:eastAsia="Times New Roman" w:cs="Times New Roman"/>
          <w:lang w:eastAsia="de-DE"/>
        </w:rPr>
        <w:t xml:space="preserve">(mir) als direktes Objekt. </w:t>
      </w:r>
      <w:r w:rsidRPr="0066048C">
        <w:rPr>
          <w:rFonts w:eastAsia="Times New Roman" w:cs="Times New Roman"/>
          <w:b/>
          <w:bCs/>
          <w:rtl/>
          <w:lang w:eastAsia="de-DE"/>
        </w:rPr>
        <w:t>כאלה</w:t>
      </w:r>
      <w:r w:rsidRPr="0066048C">
        <w:rPr>
          <w:rFonts w:eastAsia="Times New Roman" w:cs="Times New Roman"/>
          <w:rtl/>
          <w:lang w:eastAsia="de-DE"/>
        </w:rPr>
        <w:t xml:space="preserve"> </w:t>
      </w:r>
      <w:r w:rsidRPr="0066048C">
        <w:rPr>
          <w:rFonts w:eastAsia="Times New Roman" w:cs="Times New Roman"/>
          <w:lang w:eastAsia="de-DE"/>
        </w:rPr>
        <w:t>(wie diese) referenziert die tragischen Ereignisse des Tages.</w:t>
      </w:r>
    </w:p>
    <w:p w14:paraId="6C21549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ואכלתי חטאת היום היטב בעיני יהוה</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אכל</w:t>
      </w:r>
      <w:r w:rsidRPr="0066048C">
        <w:rPr>
          <w:rFonts w:eastAsia="Times New Roman" w:cs="Times New Roman"/>
          <w:rtl/>
          <w:lang w:eastAsia="de-DE"/>
        </w:rPr>
        <w:t xml:space="preserve"> </w:t>
      </w:r>
      <w:r w:rsidRPr="0066048C">
        <w:rPr>
          <w:rFonts w:eastAsia="Times New Roman" w:cs="Times New Roman"/>
          <w:lang w:eastAsia="de-DE"/>
        </w:rPr>
        <w:t xml:space="preserve">(essen) im Qal-Perfekt 1. Person Singular mit Waw-Konsekutiv als irrealen Konditionalsatz. </w:t>
      </w:r>
      <w:r w:rsidRPr="0066048C">
        <w:rPr>
          <w:rFonts w:eastAsia="Times New Roman" w:cs="Times New Roman"/>
          <w:b/>
          <w:bCs/>
          <w:rtl/>
          <w:lang w:eastAsia="de-DE"/>
        </w:rPr>
        <w:t>חטאת היום</w:t>
      </w:r>
      <w:r w:rsidRPr="0066048C">
        <w:rPr>
          <w:rFonts w:eastAsia="Times New Roman" w:cs="Times New Roman"/>
          <w:rtl/>
          <w:lang w:eastAsia="de-DE"/>
        </w:rPr>
        <w:t xml:space="preserve"> </w:t>
      </w:r>
      <w:r w:rsidRPr="0066048C">
        <w:rPr>
          <w:rFonts w:eastAsia="Times New Roman" w:cs="Times New Roman"/>
          <w:lang w:eastAsia="de-DE"/>
        </w:rPr>
        <w:t>(das Sündopfer des heutigen Tages) spezifiziert das Volks-</w:t>
      </w:r>
      <w:r w:rsidRPr="0066048C">
        <w:rPr>
          <w:rFonts w:eastAsia="Times New Roman" w:cs="Times New Roman"/>
          <w:b/>
          <w:bCs/>
          <w:rtl/>
          <w:lang w:eastAsia="de-DE"/>
        </w:rPr>
        <w:t>חטאת</w:t>
      </w:r>
      <w:r w:rsidRPr="0066048C">
        <w:rPr>
          <w:rFonts w:eastAsia="Times New Roman" w:cs="Times New Roman"/>
          <w:lang w:eastAsia="de-DE"/>
        </w:rPr>
        <w:t xml:space="preserve">. </w:t>
      </w:r>
      <w:r w:rsidRPr="0066048C">
        <w:rPr>
          <w:rFonts w:eastAsia="Times New Roman" w:cs="Times New Roman"/>
          <w:b/>
          <w:bCs/>
          <w:rtl/>
          <w:lang w:eastAsia="de-DE"/>
        </w:rPr>
        <w:t>היטב בעיני יהוה</w:t>
      </w:r>
      <w:r w:rsidRPr="0066048C">
        <w:rPr>
          <w:rFonts w:eastAsia="Times New Roman" w:cs="Times New Roman"/>
          <w:rtl/>
          <w:lang w:eastAsia="de-DE"/>
        </w:rPr>
        <w:t xml:space="preserve"> </w:t>
      </w:r>
      <w:r w:rsidRPr="0066048C">
        <w:rPr>
          <w:rFonts w:eastAsia="Times New Roman" w:cs="Times New Roman"/>
          <w:lang w:eastAsia="de-DE"/>
        </w:rPr>
        <w:t xml:space="preserve">(wäre es gut in den Augen JHWHs gewesen) - </w:t>
      </w:r>
      <w:r w:rsidRPr="0066048C">
        <w:rPr>
          <w:rFonts w:eastAsia="Times New Roman" w:cs="Times New Roman"/>
          <w:b/>
          <w:bCs/>
          <w:rtl/>
          <w:lang w:eastAsia="de-DE"/>
        </w:rPr>
        <w:t>יטב</w:t>
      </w:r>
      <w:r w:rsidRPr="0066048C">
        <w:rPr>
          <w:rFonts w:eastAsia="Times New Roman" w:cs="Times New Roman"/>
          <w:rtl/>
          <w:lang w:eastAsia="de-DE"/>
        </w:rPr>
        <w:t xml:space="preserve"> </w:t>
      </w:r>
      <w:r w:rsidRPr="0066048C">
        <w:rPr>
          <w:rFonts w:eastAsia="Times New Roman" w:cs="Times New Roman"/>
          <w:lang w:eastAsia="de-DE"/>
        </w:rPr>
        <w:t>(gut sein) im Hifil-Imperfekt als rhetorische Frage.</w:t>
      </w:r>
    </w:p>
    <w:p w14:paraId="55B5FFF0"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הן היום</w:t>
      </w:r>
      <w:r w:rsidRPr="0066048C">
        <w:rPr>
          <w:rFonts w:eastAsia="Times New Roman" w:cs="Times New Roman"/>
          <w:rtl/>
          <w:lang w:eastAsia="de-DE"/>
        </w:rPr>
        <w:t xml:space="preserve"> </w:t>
      </w:r>
      <w:r w:rsidRPr="0066048C">
        <w:rPr>
          <w:rFonts w:eastAsia="Times New Roman" w:cs="Times New Roman"/>
          <w:lang w:eastAsia="de-DE"/>
        </w:rPr>
        <w:t xml:space="preserve">stellt Moses </w:t>
      </w:r>
      <w:r w:rsidRPr="0066048C">
        <w:rPr>
          <w:rFonts w:eastAsia="Times New Roman" w:cs="Times New Roman"/>
          <w:b/>
          <w:bCs/>
          <w:rtl/>
          <w:lang w:eastAsia="de-DE"/>
        </w:rPr>
        <w:t>הן</w:t>
      </w:r>
      <w:r w:rsidRPr="0066048C">
        <w:rPr>
          <w:rFonts w:eastAsia="Times New Roman" w:cs="Times New Roman"/>
          <w:rtl/>
          <w:lang w:eastAsia="de-DE"/>
        </w:rPr>
        <w:t xml:space="preserve"> </w:t>
      </w:r>
      <w:r w:rsidRPr="0066048C">
        <w:rPr>
          <w:rFonts w:eastAsia="Times New Roman" w:cs="Times New Roman"/>
          <w:lang w:eastAsia="de-DE"/>
        </w:rPr>
        <w:t xml:space="preserve">gegenüber und zeigt die außergewöhnlichen Umstände des Tages. </w:t>
      </w:r>
      <w:r w:rsidRPr="0066048C">
        <w:rPr>
          <w:rFonts w:eastAsia="Times New Roman" w:cs="Times New Roman"/>
          <w:b/>
          <w:bCs/>
          <w:rtl/>
          <w:lang w:eastAsia="de-DE"/>
        </w:rPr>
        <w:t>הקריבו את־חטאתם ואת־עלתם</w:t>
      </w:r>
      <w:r w:rsidRPr="0066048C">
        <w:rPr>
          <w:rFonts w:eastAsia="Times New Roman" w:cs="Times New Roman"/>
          <w:rtl/>
          <w:lang w:eastAsia="de-DE"/>
        </w:rPr>
        <w:t xml:space="preserve"> </w:t>
      </w:r>
      <w:r w:rsidRPr="0066048C">
        <w:rPr>
          <w:rFonts w:eastAsia="Times New Roman" w:cs="Times New Roman"/>
          <w:lang w:eastAsia="de-DE"/>
        </w:rPr>
        <w:t>zeigt, dass der reguläre Opferdienst trotz der Tragödie fortgesetzt wurde.</w:t>
      </w:r>
    </w:p>
    <w:p w14:paraId="42287C1E"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ותקראנה אתי כאלה</w:t>
      </w:r>
      <w:r w:rsidRPr="0066048C">
        <w:rPr>
          <w:rFonts w:eastAsia="Times New Roman" w:cs="Times New Roman"/>
          <w:rtl/>
          <w:lang w:eastAsia="de-DE"/>
        </w:rPr>
        <w:t xml:space="preserve"> </w:t>
      </w:r>
      <w:r w:rsidRPr="0066048C">
        <w:rPr>
          <w:rFonts w:eastAsia="Times New Roman" w:cs="Times New Roman"/>
          <w:lang w:eastAsia="de-DE"/>
        </w:rPr>
        <w:t xml:space="preserve">referenziert den Tod der beiden Söhne als "solche Dinge". </w:t>
      </w:r>
      <w:r w:rsidRPr="0066048C">
        <w:rPr>
          <w:rFonts w:eastAsia="Times New Roman" w:cs="Times New Roman"/>
          <w:b/>
          <w:bCs/>
          <w:rtl/>
          <w:lang w:eastAsia="de-DE"/>
        </w:rPr>
        <w:t>ואכלתי חטאת היום</w:t>
      </w:r>
      <w:r w:rsidRPr="0066048C">
        <w:rPr>
          <w:rFonts w:eastAsia="Times New Roman" w:cs="Times New Roman"/>
          <w:rtl/>
          <w:lang w:eastAsia="de-DE"/>
        </w:rPr>
        <w:t xml:space="preserve"> </w:t>
      </w:r>
      <w:r w:rsidRPr="0066048C">
        <w:rPr>
          <w:rFonts w:eastAsia="Times New Roman" w:cs="Times New Roman"/>
          <w:lang w:eastAsia="de-DE"/>
        </w:rPr>
        <w:t xml:space="preserve">als irrealer Konditionalsatz: "und wenn ich gegessen hätte". </w:t>
      </w:r>
      <w:r w:rsidRPr="0066048C">
        <w:rPr>
          <w:rFonts w:eastAsia="Times New Roman" w:cs="Times New Roman"/>
          <w:b/>
          <w:bCs/>
          <w:rtl/>
          <w:lang w:eastAsia="de-DE"/>
        </w:rPr>
        <w:t>היטב בעיני יהוה</w:t>
      </w:r>
      <w:r w:rsidRPr="0066048C">
        <w:rPr>
          <w:rFonts w:eastAsia="Times New Roman" w:cs="Times New Roman"/>
          <w:rtl/>
          <w:lang w:eastAsia="de-DE"/>
        </w:rPr>
        <w:t xml:space="preserve"> </w:t>
      </w:r>
      <w:r w:rsidRPr="0066048C">
        <w:rPr>
          <w:rFonts w:eastAsia="Times New Roman" w:cs="Times New Roman"/>
          <w:lang w:eastAsia="de-DE"/>
        </w:rPr>
        <w:t>fragt rhetorisch, ob Gott Essakt trotz der Trauer gebilligt hätte.</w:t>
      </w:r>
    </w:p>
    <w:p w14:paraId="262E7440" w14:textId="7C6D36EC"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w:t>
      </w:r>
      <w:r w:rsidR="00571E11">
        <w:t xml:space="preserve">übersetzt </w:t>
      </w:r>
      <w:r w:rsidR="00571E11">
        <w:rPr>
          <w:rtl/>
        </w:rPr>
        <w:t>ותקראנה אתי כאלה</w:t>
      </w:r>
      <w:r w:rsidR="00571E11">
        <w:t xml:space="preserve"> (</w:t>
      </w:r>
      <w:proofErr w:type="spellStart"/>
      <w:r w:rsidR="00571E11">
        <w:t>wetiqre'na</w:t>
      </w:r>
      <w:proofErr w:type="spellEnd"/>
      <w:r w:rsidR="00571E11">
        <w:t xml:space="preserve"> </w:t>
      </w:r>
      <w:proofErr w:type="spellStart"/>
      <w:r w:rsidR="00571E11">
        <w:t>oti</w:t>
      </w:r>
      <w:proofErr w:type="spellEnd"/>
      <w:r w:rsidR="00571E11">
        <w:t xml:space="preserve"> </w:t>
      </w:r>
      <w:proofErr w:type="spellStart"/>
      <w:r w:rsidR="00571E11">
        <w:t>ka'elle</w:t>
      </w:r>
      <w:proofErr w:type="spellEnd"/>
      <w:r w:rsidR="00571E11">
        <w:t xml:space="preserve"> - "und es begegneten mir solche Dinge") als καὶ </w:t>
      </w:r>
      <w:proofErr w:type="spellStart"/>
      <w:r w:rsidR="00571E11">
        <w:t>συμ</w:t>
      </w:r>
      <w:proofErr w:type="spellEnd"/>
      <w:r w:rsidR="00571E11">
        <w:t xml:space="preserve">βέβηκέν </w:t>
      </w:r>
      <w:proofErr w:type="spellStart"/>
      <w:r w:rsidR="00571E11">
        <w:t>μοι</w:t>
      </w:r>
      <w:proofErr w:type="spellEnd"/>
      <w:r w:rsidR="00571E11">
        <w:t xml:space="preserve"> τα</w:t>
      </w:r>
      <w:proofErr w:type="spellStart"/>
      <w:r w:rsidR="00571E11">
        <w:t>ῦτ</w:t>
      </w:r>
      <w:proofErr w:type="spellEnd"/>
      <w:r w:rsidR="00571E11">
        <w:t>α (und diese Dinge sind mir widerfahren), was eine klarere Ausdrucksweise für das Unglück verwendet.</w:t>
      </w:r>
    </w:p>
    <w:p w14:paraId="5F2E7D8F"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Verteidigung mit drei Argumenten: Subjekt + Verb + Adressat + drei koordinierte Argumente: ordnungsgemäße Opfer + tragische Ereignisse + rhetorische Frage über göttliche Billigung. Die Struktur zeigt Aarons durchdachte Rechtfertigung.</w:t>
      </w:r>
    </w:p>
    <w:p w14:paraId="1593CDA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Dieser Vers zeigt Aarons respektvolle, aber überzeugende Verteidigung: angesichts der Tragödie wäre Verzehr des </w:t>
      </w:r>
      <w:r w:rsidRPr="0066048C">
        <w:rPr>
          <w:rFonts w:eastAsia="Times New Roman" w:cs="Times New Roman"/>
          <w:b/>
          <w:bCs/>
          <w:rtl/>
          <w:lang w:eastAsia="de-DE"/>
        </w:rPr>
        <w:t>חטאת</w:t>
      </w:r>
      <w:r w:rsidRPr="0066048C">
        <w:rPr>
          <w:rFonts w:eastAsia="Times New Roman" w:cs="Times New Roman"/>
          <w:rtl/>
          <w:lang w:eastAsia="de-DE"/>
        </w:rPr>
        <w:t xml:space="preserve"> </w:t>
      </w:r>
      <w:r w:rsidRPr="0066048C">
        <w:rPr>
          <w:rFonts w:eastAsia="Times New Roman" w:cs="Times New Roman"/>
          <w:lang w:eastAsia="de-DE"/>
        </w:rPr>
        <w:t>unangemessen gewesen.</w:t>
      </w:r>
    </w:p>
    <w:p w14:paraId="6244B543" w14:textId="77777777" w:rsidR="0066048C" w:rsidRPr="0066048C" w:rsidRDefault="0066048C" w:rsidP="0066048C">
      <w:pPr>
        <w:spacing w:before="100" w:beforeAutospacing="1" w:after="100" w:afterAutospacing="1" w:line="240" w:lineRule="auto"/>
        <w:outlineLvl w:val="1"/>
        <w:rPr>
          <w:rFonts w:eastAsia="Times New Roman" w:cs="Times New Roman"/>
          <w:b/>
          <w:bCs/>
          <w:sz w:val="36"/>
          <w:szCs w:val="36"/>
          <w:lang w:eastAsia="de-DE"/>
        </w:rPr>
      </w:pPr>
      <w:r w:rsidRPr="0066048C">
        <w:rPr>
          <w:rFonts w:eastAsia="Times New Roman" w:cs="Times New Roman"/>
          <w:b/>
          <w:bCs/>
          <w:sz w:val="36"/>
          <w:szCs w:val="36"/>
          <w:lang w:eastAsia="de-DE"/>
        </w:rPr>
        <w:lastRenderedPageBreak/>
        <w:t>Leviticus 10,20</w:t>
      </w:r>
    </w:p>
    <w:p w14:paraId="00EABD63"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Hebräisch:</w:t>
      </w:r>
      <w:r w:rsidRPr="0066048C">
        <w:rPr>
          <w:rFonts w:eastAsia="Times New Roman" w:cs="Times New Roman"/>
          <w:lang w:eastAsia="de-DE"/>
        </w:rPr>
        <w:t xml:space="preserve"> </w:t>
      </w:r>
      <w:r w:rsidRPr="0066048C">
        <w:rPr>
          <w:rFonts w:eastAsia="Times New Roman" w:cs="Times New Roman"/>
          <w:rtl/>
          <w:lang w:eastAsia="de-DE"/>
        </w:rPr>
        <w:t>וַיִּשְׁמַ֣ע מֹשֶׁ֔ה וַיִּיטַ֖ב בְּעֵינָֽיו׃</w:t>
      </w:r>
    </w:p>
    <w:p w14:paraId="48701D9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Deutsch:</w:t>
      </w:r>
      <w:r w:rsidRPr="0066048C">
        <w:rPr>
          <w:rFonts w:eastAsia="Times New Roman" w:cs="Times New Roman"/>
          <w:lang w:eastAsia="de-DE"/>
        </w:rPr>
        <w:t xml:space="preserve"> Und Mosche hörte es, und es war gut in seinen Augen.</w:t>
      </w:r>
    </w:p>
    <w:p w14:paraId="102CCEAE" w14:textId="77777777" w:rsidR="0066048C" w:rsidRPr="0066048C" w:rsidRDefault="00A57720" w:rsidP="0066048C">
      <w:pPr>
        <w:spacing w:after="0" w:line="240" w:lineRule="auto"/>
        <w:rPr>
          <w:rFonts w:eastAsia="Times New Roman" w:cs="Times New Roman"/>
          <w:lang w:eastAsia="de-DE"/>
        </w:rPr>
      </w:pPr>
      <w:r>
        <w:rPr>
          <w:rFonts w:eastAsia="Times New Roman" w:cs="Times New Roman"/>
          <w:noProof/>
          <w:lang w:eastAsia="de-DE"/>
        </w:rPr>
        <w:pict w14:anchorId="1D4C22CB">
          <v:rect id="_x0000_i1276" style="width:0;height:1.5pt" o:hralign="center" o:hrstd="t" o:hr="t" fillcolor="#a0a0a0" stroked="f"/>
        </w:pict>
      </w:r>
    </w:p>
    <w:p w14:paraId="2201A275"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Kommentar:</w:t>
      </w:r>
      <w:r w:rsidRPr="0066048C">
        <w:rPr>
          <w:rFonts w:eastAsia="Times New Roman" w:cs="Times New Roman"/>
          <w:lang w:eastAsia="de-DE"/>
        </w:rPr>
        <w:t xml:space="preserve"> </w:t>
      </w:r>
      <w:r w:rsidRPr="0066048C">
        <w:rPr>
          <w:rFonts w:eastAsia="Times New Roman" w:cs="Times New Roman"/>
          <w:b/>
          <w:bCs/>
          <w:rtl/>
          <w:lang w:eastAsia="de-DE"/>
        </w:rPr>
        <w:t>וישמע משה ויטב בעיניו</w:t>
      </w:r>
      <w:r w:rsidRPr="0066048C">
        <w:rPr>
          <w:rFonts w:eastAsia="Times New Roman" w:cs="Times New Roman"/>
          <w:rtl/>
          <w:lang w:eastAsia="de-DE"/>
        </w:rPr>
        <w:t xml:space="preserve"> </w:t>
      </w:r>
      <w:r w:rsidRPr="0066048C">
        <w:rPr>
          <w:rFonts w:eastAsia="Times New Roman" w:cs="Times New Roman"/>
          <w:lang w:eastAsia="de-DE"/>
        </w:rPr>
        <w:t xml:space="preserve">zeigt </w:t>
      </w:r>
      <w:r w:rsidRPr="0066048C">
        <w:rPr>
          <w:rFonts w:eastAsia="Times New Roman" w:cs="Times New Roman"/>
          <w:b/>
          <w:bCs/>
          <w:rtl/>
          <w:lang w:eastAsia="de-DE"/>
        </w:rPr>
        <w:t>שמע</w:t>
      </w:r>
      <w:r w:rsidRPr="0066048C">
        <w:rPr>
          <w:rFonts w:eastAsia="Times New Roman" w:cs="Times New Roman"/>
          <w:rtl/>
          <w:lang w:eastAsia="de-DE"/>
        </w:rPr>
        <w:t xml:space="preserve"> </w:t>
      </w:r>
      <w:r w:rsidRPr="0066048C">
        <w:rPr>
          <w:rFonts w:eastAsia="Times New Roman" w:cs="Times New Roman"/>
          <w:lang w:eastAsia="de-DE"/>
        </w:rPr>
        <w:t xml:space="preserve">(hören) im Qal-Imperfekt 3. Person maskulin Singular mit Waw-Konsekutiv, gefolgt von </w:t>
      </w:r>
      <w:r w:rsidRPr="0066048C">
        <w:rPr>
          <w:rFonts w:eastAsia="Times New Roman" w:cs="Times New Roman"/>
          <w:b/>
          <w:bCs/>
          <w:rtl/>
          <w:lang w:eastAsia="de-DE"/>
        </w:rPr>
        <w:t>יטב</w:t>
      </w:r>
      <w:r w:rsidRPr="0066048C">
        <w:rPr>
          <w:rFonts w:eastAsia="Times New Roman" w:cs="Times New Roman"/>
          <w:rtl/>
          <w:lang w:eastAsia="de-DE"/>
        </w:rPr>
        <w:t xml:space="preserve"> </w:t>
      </w:r>
      <w:r w:rsidRPr="0066048C">
        <w:rPr>
          <w:rFonts w:eastAsia="Times New Roman" w:cs="Times New Roman"/>
          <w:lang w:eastAsia="de-DE"/>
        </w:rPr>
        <w:t xml:space="preserve">(gut sein) im Qal-Imperfekt 3. Person maskulin Singular mit Waw-Konsekutiv. </w:t>
      </w:r>
      <w:r w:rsidRPr="0066048C">
        <w:rPr>
          <w:rFonts w:eastAsia="Times New Roman" w:cs="Times New Roman"/>
          <w:b/>
          <w:bCs/>
          <w:rtl/>
          <w:lang w:eastAsia="de-DE"/>
        </w:rPr>
        <w:t>בעיניו</w:t>
      </w:r>
      <w:r w:rsidRPr="0066048C">
        <w:rPr>
          <w:rFonts w:eastAsia="Times New Roman" w:cs="Times New Roman"/>
          <w:rtl/>
          <w:lang w:eastAsia="de-DE"/>
        </w:rPr>
        <w:t xml:space="preserve"> </w:t>
      </w:r>
      <w:r w:rsidRPr="0066048C">
        <w:rPr>
          <w:rFonts w:eastAsia="Times New Roman" w:cs="Times New Roman"/>
          <w:lang w:eastAsia="de-DE"/>
        </w:rPr>
        <w:t>(in seinen Augen) mit Possessivsuffix 3. Person maskulin Singular referenziert Mosche.</w:t>
      </w:r>
    </w:p>
    <w:p w14:paraId="33C233A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וישמע</w:t>
      </w:r>
      <w:r w:rsidRPr="0066048C">
        <w:rPr>
          <w:rFonts w:eastAsia="Times New Roman" w:cs="Times New Roman"/>
          <w:rtl/>
          <w:lang w:eastAsia="de-DE"/>
        </w:rPr>
        <w:t xml:space="preserve"> </w:t>
      </w:r>
      <w:r w:rsidRPr="0066048C">
        <w:rPr>
          <w:rFonts w:eastAsia="Times New Roman" w:cs="Times New Roman"/>
          <w:lang w:eastAsia="de-DE"/>
        </w:rPr>
        <w:t xml:space="preserve">zeigt nicht nur physisches Hören, sondern Verstehen und Akzeptieren von Aarons Argumentation. </w:t>
      </w:r>
      <w:r w:rsidRPr="0066048C">
        <w:rPr>
          <w:rFonts w:eastAsia="Times New Roman" w:cs="Times New Roman"/>
          <w:b/>
          <w:bCs/>
          <w:rtl/>
          <w:lang w:eastAsia="de-DE"/>
        </w:rPr>
        <w:t>ויטב בעיניו</w:t>
      </w:r>
      <w:r w:rsidRPr="0066048C">
        <w:rPr>
          <w:rFonts w:eastAsia="Times New Roman" w:cs="Times New Roman"/>
          <w:rtl/>
          <w:lang w:eastAsia="de-DE"/>
        </w:rPr>
        <w:t xml:space="preserve"> </w:t>
      </w:r>
      <w:r w:rsidRPr="0066048C">
        <w:rPr>
          <w:rFonts w:eastAsia="Times New Roman" w:cs="Times New Roman"/>
          <w:lang w:eastAsia="de-DE"/>
        </w:rPr>
        <w:t>zeigt Moses Zustimmung zu Aarons Rechtfertigung.</w:t>
      </w:r>
    </w:p>
    <w:p w14:paraId="3C445CA5"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 knappe Formulierung steht im Kontrast zu Moses vorherigem ausführlichen Zorn. </w:t>
      </w:r>
      <w:r w:rsidRPr="0066048C">
        <w:rPr>
          <w:rFonts w:eastAsia="Times New Roman" w:cs="Times New Roman"/>
          <w:b/>
          <w:bCs/>
          <w:rtl/>
          <w:lang w:eastAsia="de-DE"/>
        </w:rPr>
        <w:t>שמע</w:t>
      </w:r>
      <w:r w:rsidRPr="0066048C">
        <w:rPr>
          <w:rFonts w:eastAsia="Times New Roman" w:cs="Times New Roman"/>
          <w:rtl/>
          <w:lang w:eastAsia="de-DE"/>
        </w:rPr>
        <w:t xml:space="preserve"> </w:t>
      </w:r>
      <w:r w:rsidRPr="0066048C">
        <w:rPr>
          <w:rFonts w:eastAsia="Times New Roman" w:cs="Times New Roman"/>
          <w:lang w:eastAsia="de-DE"/>
        </w:rPr>
        <w:t>oft mit der Bedeutung "verstehen/akzeptieren" zeigt, dass Moses die Berechtigung von Aarons Argumenten erkennt.</w:t>
      </w:r>
    </w:p>
    <w:p w14:paraId="25A2EAA7"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rtl/>
          <w:lang w:eastAsia="de-DE"/>
        </w:rPr>
        <w:t>בעיניו</w:t>
      </w:r>
      <w:r w:rsidRPr="0066048C">
        <w:rPr>
          <w:rFonts w:eastAsia="Times New Roman" w:cs="Times New Roman"/>
          <w:rtl/>
          <w:lang w:eastAsia="de-DE"/>
        </w:rPr>
        <w:t xml:space="preserve"> </w:t>
      </w:r>
      <w:r w:rsidRPr="0066048C">
        <w:rPr>
          <w:rFonts w:eastAsia="Times New Roman" w:cs="Times New Roman"/>
          <w:lang w:eastAsia="de-DE"/>
        </w:rPr>
        <w:t xml:space="preserve">verwendet dieselbe Formulierung wie Aarons rhetorische Frage </w:t>
      </w:r>
      <w:r w:rsidRPr="0066048C">
        <w:rPr>
          <w:rFonts w:eastAsia="Times New Roman" w:cs="Times New Roman"/>
          <w:b/>
          <w:bCs/>
          <w:rtl/>
          <w:lang w:eastAsia="de-DE"/>
        </w:rPr>
        <w:t>בעיני יהוה</w:t>
      </w:r>
      <w:r w:rsidRPr="0066048C">
        <w:rPr>
          <w:rFonts w:eastAsia="Times New Roman" w:cs="Times New Roman"/>
          <w:rtl/>
          <w:lang w:eastAsia="de-DE"/>
        </w:rPr>
        <w:t xml:space="preserve"> </w:t>
      </w:r>
      <w:r w:rsidRPr="0066048C">
        <w:rPr>
          <w:rFonts w:eastAsia="Times New Roman" w:cs="Times New Roman"/>
          <w:lang w:eastAsia="de-DE"/>
        </w:rPr>
        <w:t>und zeigt Moses Übereinstimmung mit Aarons Einschätzung.</w:t>
      </w:r>
    </w:p>
    <w:p w14:paraId="7610D1C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 xml:space="preserve">Diese Wendung zeigt Moses Größe als Führer: er kann seine Position ändern, wenn überzeugende Argumente vorgebracht werden. </w:t>
      </w:r>
      <w:r w:rsidRPr="0066048C">
        <w:rPr>
          <w:rFonts w:eastAsia="Times New Roman" w:cs="Times New Roman"/>
          <w:b/>
          <w:bCs/>
          <w:rtl/>
          <w:lang w:eastAsia="de-DE"/>
        </w:rPr>
        <w:t>ויטב</w:t>
      </w:r>
      <w:r w:rsidRPr="0066048C">
        <w:rPr>
          <w:rFonts w:eastAsia="Times New Roman" w:cs="Times New Roman"/>
          <w:rtl/>
          <w:lang w:eastAsia="de-DE"/>
        </w:rPr>
        <w:t xml:space="preserve"> </w:t>
      </w:r>
      <w:r w:rsidRPr="0066048C">
        <w:rPr>
          <w:rFonts w:eastAsia="Times New Roman" w:cs="Times New Roman"/>
          <w:lang w:eastAsia="de-DE"/>
        </w:rPr>
        <w:t>zeigt mehr als Akzeptanz - Moses erkennt die Weisheit von Aarons Handeln.</w:t>
      </w:r>
    </w:p>
    <w:p w14:paraId="7E4D63BC"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LXX</w:t>
      </w:r>
      <w:r w:rsidRPr="0066048C">
        <w:rPr>
          <w:rFonts w:eastAsia="Times New Roman" w:cs="Times New Roman"/>
          <w:lang w:eastAsia="de-DE"/>
        </w:rPr>
        <w:t xml:space="preserve"> übersetzt </w:t>
      </w:r>
      <w:r w:rsidRPr="0066048C">
        <w:rPr>
          <w:rFonts w:eastAsia="Times New Roman" w:cs="Times New Roman"/>
          <w:b/>
          <w:bCs/>
          <w:rtl/>
          <w:lang w:eastAsia="de-DE"/>
        </w:rPr>
        <w:t>וישמע</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ἤκουσεν</w:t>
      </w:r>
      <w:proofErr w:type="spellEnd"/>
      <w:r w:rsidRPr="0066048C">
        <w:rPr>
          <w:rFonts w:eastAsia="Times New Roman" w:cs="Times New Roman"/>
          <w:lang w:eastAsia="de-DE"/>
        </w:rPr>
        <w:t xml:space="preserve"> (er hörte) und </w:t>
      </w:r>
      <w:r w:rsidRPr="0066048C">
        <w:rPr>
          <w:rFonts w:eastAsia="Times New Roman" w:cs="Times New Roman"/>
          <w:b/>
          <w:bCs/>
          <w:rtl/>
          <w:lang w:eastAsia="de-DE"/>
        </w:rPr>
        <w:t>ויטב בעיניו</w:t>
      </w:r>
      <w:r w:rsidRPr="0066048C">
        <w:rPr>
          <w:rFonts w:eastAsia="Times New Roman" w:cs="Times New Roman"/>
          <w:rtl/>
          <w:lang w:eastAsia="de-DE"/>
        </w:rPr>
        <w:t xml:space="preserve"> </w:t>
      </w:r>
      <w:r w:rsidRPr="0066048C">
        <w:rPr>
          <w:rFonts w:eastAsia="Times New Roman" w:cs="Times New Roman"/>
          <w:lang w:eastAsia="de-DE"/>
        </w:rPr>
        <w:t xml:space="preserve">mit </w:t>
      </w:r>
      <w:proofErr w:type="spellStart"/>
      <w:r w:rsidRPr="0066048C">
        <w:rPr>
          <w:rFonts w:eastAsia="Times New Roman" w:cs="Times New Roman"/>
          <w:lang w:eastAsia="de-DE"/>
        </w:rPr>
        <w:t>ἤρεσεν</w:t>
      </w:r>
      <w:proofErr w:type="spellEnd"/>
      <w:r w:rsidRPr="0066048C">
        <w:rPr>
          <w:rFonts w:eastAsia="Times New Roman" w:cs="Times New Roman"/>
          <w:lang w:eastAsia="de-DE"/>
        </w:rPr>
        <w:t xml:space="preserve"> α</w:t>
      </w:r>
      <w:proofErr w:type="spellStart"/>
      <w:r w:rsidRPr="0066048C">
        <w:rPr>
          <w:rFonts w:eastAsia="Times New Roman" w:cs="Times New Roman"/>
          <w:lang w:eastAsia="de-DE"/>
        </w:rPr>
        <w:t>ὐτῷ</w:t>
      </w:r>
      <w:proofErr w:type="spellEnd"/>
      <w:r w:rsidRPr="0066048C">
        <w:rPr>
          <w:rFonts w:eastAsia="Times New Roman" w:cs="Times New Roman"/>
          <w:lang w:eastAsia="de-DE"/>
        </w:rPr>
        <w:t xml:space="preserve"> (es gefiel ihm).</w:t>
      </w:r>
    </w:p>
    <w:p w14:paraId="79F82166" w14:textId="77777777"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b/>
          <w:bCs/>
          <w:lang w:eastAsia="de-DE"/>
        </w:rPr>
        <w:t>Die Satzstruktur:</w:t>
      </w:r>
      <w:r w:rsidRPr="0066048C">
        <w:rPr>
          <w:rFonts w:eastAsia="Times New Roman" w:cs="Times New Roman"/>
          <w:lang w:eastAsia="de-DE"/>
        </w:rPr>
        <w:t xml:space="preserve"> zeigt zwei koordinierte Hauptsätze: Verb + Subjekt + Verb + Modalangabe. Die knappe Struktur kontrastiert mit der vorherigen Ausführlichkeit und zeigt Moses sofortige Akzeptanz.</w:t>
      </w:r>
    </w:p>
    <w:p w14:paraId="38AD3762" w14:textId="41E4A8B2" w:rsidR="0066048C" w:rsidRPr="0066048C" w:rsidRDefault="0066048C" w:rsidP="0066048C">
      <w:pPr>
        <w:spacing w:before="100" w:beforeAutospacing="1" w:after="100" w:afterAutospacing="1" w:line="240" w:lineRule="auto"/>
        <w:rPr>
          <w:rFonts w:eastAsia="Times New Roman" w:cs="Times New Roman"/>
          <w:lang w:eastAsia="de-DE"/>
        </w:rPr>
      </w:pPr>
      <w:r w:rsidRPr="0066048C">
        <w:rPr>
          <w:rFonts w:eastAsia="Times New Roman" w:cs="Times New Roman"/>
          <w:lang w:eastAsia="de-DE"/>
        </w:rPr>
        <w:t>Dieser abschließende Vers zeigt Moses weise Akzeptanz von Aarons überzeugender Rechtfertigung und beendet die Kontroverse.</w:t>
      </w:r>
    </w:p>
    <w:p w14:paraId="10B3C4F3" w14:textId="77777777" w:rsidR="005A7045" w:rsidRDefault="0066048C" w:rsidP="005A7045">
      <w:pPr>
        <w:pStyle w:val="KeinLeerraum"/>
      </w:pPr>
      <w:r>
        <w:t xml:space="preserve">Kapitel 10 zeigt die dramatische Kehrseite des göttlichen Segens aus Kapitel 9 durch das Gericht über kultischen Ungehorsam und seine Konsequenzen. </w:t>
      </w:r>
    </w:p>
    <w:p w14:paraId="3DACEB4C" w14:textId="4656F2F7" w:rsidR="005A7045" w:rsidRDefault="0066048C" w:rsidP="005A7045">
      <w:pPr>
        <w:pStyle w:val="KeinLeerraum"/>
      </w:pPr>
      <w:r>
        <w:t xml:space="preserve">Die Struktur zeigt: </w:t>
      </w:r>
    </w:p>
    <w:p w14:paraId="0533453A" w14:textId="77777777" w:rsidR="00E35C31" w:rsidRDefault="00E35C31" w:rsidP="005A7045">
      <w:pPr>
        <w:pStyle w:val="KeinLeerraum"/>
        <w:rPr>
          <w:b/>
          <w:bCs/>
        </w:rPr>
      </w:pPr>
    </w:p>
    <w:p w14:paraId="717FA274" w14:textId="3CD9A8F3" w:rsidR="005A7045" w:rsidRDefault="0066048C" w:rsidP="005A7045">
      <w:pPr>
        <w:pStyle w:val="KeinLeerraum"/>
      </w:pPr>
      <w:r w:rsidRPr="00E35C31">
        <w:rPr>
          <w:b/>
          <w:bCs/>
        </w:rPr>
        <w:t>1)</w:t>
      </w:r>
      <w:r>
        <w:t xml:space="preserve"> Nadabs und Abihus Verfehlung (V. 1-2): Darbringung von "fremdem Feuer" ohne göttlichen Befehl, sofortiger Tod durch göttliches Feuer; </w:t>
      </w:r>
    </w:p>
    <w:p w14:paraId="0961687E" w14:textId="77777777" w:rsidR="00E35C31" w:rsidRDefault="00E35C31" w:rsidP="005A7045">
      <w:pPr>
        <w:pStyle w:val="KeinLeerraum"/>
        <w:rPr>
          <w:b/>
          <w:bCs/>
        </w:rPr>
      </w:pPr>
    </w:p>
    <w:p w14:paraId="291340AC" w14:textId="1AF37879" w:rsidR="005A7045" w:rsidRDefault="0066048C" w:rsidP="005A7045">
      <w:pPr>
        <w:pStyle w:val="KeinLeerraum"/>
      </w:pPr>
      <w:r w:rsidRPr="00E35C31">
        <w:rPr>
          <w:b/>
          <w:bCs/>
        </w:rPr>
        <w:t>2)</w:t>
      </w:r>
      <w:r>
        <w:t xml:space="preserve"> Bewältigung der Krise (V. 3-7): Moses theologische Deutung, Beseitigung der Leichen durch Verwandte, Trauerverbote für die amtierenden Priester, Betonung kultischer Disziplin; </w:t>
      </w:r>
    </w:p>
    <w:p w14:paraId="03C81F3F" w14:textId="77777777" w:rsidR="00E35C31" w:rsidRDefault="00E35C31" w:rsidP="005A7045">
      <w:pPr>
        <w:pStyle w:val="KeinLeerraum"/>
        <w:rPr>
          <w:b/>
          <w:bCs/>
        </w:rPr>
      </w:pPr>
    </w:p>
    <w:p w14:paraId="67562351" w14:textId="78F25587" w:rsidR="005A7045" w:rsidRDefault="0066048C" w:rsidP="005A7045">
      <w:pPr>
        <w:pStyle w:val="KeinLeerraum"/>
      </w:pPr>
      <w:r w:rsidRPr="00E35C31">
        <w:rPr>
          <w:b/>
          <w:bCs/>
        </w:rPr>
        <w:t>3)</w:t>
      </w:r>
      <w:r>
        <w:t xml:space="preserve"> Direkte göttliche Anweisung an Aaron (V. 8-11): Alkoholverbot für Priester im Dienst zur Erhaltung der Unterscheidungsfähigkeit und Lehrfunktion; </w:t>
      </w:r>
    </w:p>
    <w:p w14:paraId="13D1A8D7" w14:textId="77777777" w:rsidR="00E35C31" w:rsidRDefault="00E35C31" w:rsidP="005A7045">
      <w:pPr>
        <w:pStyle w:val="KeinLeerraum"/>
        <w:rPr>
          <w:b/>
          <w:bCs/>
        </w:rPr>
      </w:pPr>
    </w:p>
    <w:p w14:paraId="04DA50B5" w14:textId="2F636976" w:rsidR="005A7045" w:rsidRDefault="0066048C" w:rsidP="005A7045">
      <w:pPr>
        <w:pStyle w:val="KeinLeerraum"/>
      </w:pPr>
      <w:r w:rsidRPr="00E35C31">
        <w:rPr>
          <w:b/>
          <w:bCs/>
        </w:rPr>
        <w:t>4)</w:t>
      </w:r>
      <w:r>
        <w:t xml:space="preserve"> Fortsetzung des Opferdienstes (V. 12-15): Anweisungen zum ordnungsgemäßen Verzehr der </w:t>
      </w:r>
      <w:r>
        <w:rPr>
          <w:rStyle w:val="Fett"/>
          <w:rtl/>
        </w:rPr>
        <w:t>מנחה</w:t>
      </w:r>
      <w:r>
        <w:rPr>
          <w:rtl/>
        </w:rPr>
        <w:t xml:space="preserve"> </w:t>
      </w:r>
      <w:r>
        <w:t xml:space="preserve">und </w:t>
      </w:r>
      <w:r>
        <w:rPr>
          <w:rStyle w:val="Fett"/>
          <w:rtl/>
        </w:rPr>
        <w:t>שלמים</w:t>
      </w:r>
      <w:r>
        <w:t xml:space="preserve">-Anteile trotz der Tragödie; </w:t>
      </w:r>
    </w:p>
    <w:p w14:paraId="55DEAE18" w14:textId="77777777" w:rsidR="00E35C31" w:rsidRDefault="00E35C31" w:rsidP="00205A8C">
      <w:pPr>
        <w:pStyle w:val="KeinLeerraum"/>
        <w:rPr>
          <w:b/>
          <w:bCs/>
        </w:rPr>
      </w:pPr>
    </w:p>
    <w:p w14:paraId="6310578E" w14:textId="50F40A6F" w:rsidR="0098037E" w:rsidRDefault="0066048C" w:rsidP="00205A8C">
      <w:pPr>
        <w:pStyle w:val="KeinLeerraum"/>
      </w:pPr>
      <w:r w:rsidRPr="00E35C31">
        <w:rPr>
          <w:b/>
          <w:bCs/>
        </w:rPr>
        <w:t>5)</w:t>
      </w:r>
      <w:r>
        <w:t xml:space="preserve"> Kontroverse um das Volks-</w:t>
      </w:r>
      <w:r>
        <w:rPr>
          <w:rStyle w:val="Fett"/>
          <w:rtl/>
        </w:rPr>
        <w:t>חטאת</w:t>
      </w:r>
      <w:r>
        <w:rPr>
          <w:rtl/>
        </w:rPr>
        <w:t xml:space="preserve"> </w:t>
      </w:r>
      <w:r>
        <w:t>(V. 16-20): Moses Zorn über die Verbrennung statt des Verzehrs, Aarons überzeugende Rechtfertigung aufgrund der außergewöhnlichen Umstände, Moses weise Akzeptanz der Begründung.</w:t>
      </w:r>
      <w:r w:rsidR="005A7045">
        <w:t xml:space="preserve"> </w:t>
      </w:r>
    </w:p>
    <w:p w14:paraId="3D41146C" w14:textId="04B953BF" w:rsidR="00571E11" w:rsidRDefault="00571E11" w:rsidP="00205A8C">
      <w:pPr>
        <w:pStyle w:val="KeinLeerraum"/>
      </w:pPr>
    </w:p>
    <w:p w14:paraId="4206837F" w14:textId="7F7E5F0D" w:rsidR="00205A8C" w:rsidRDefault="00571E11" w:rsidP="00571E11">
      <w:pPr>
        <w:pStyle w:val="KeinLeerraum"/>
      </w:pPr>
      <w:r>
        <w:rPr>
          <w:rStyle w:val="Fett"/>
        </w:rPr>
        <w:t>Textkritische Beobachtung</w:t>
      </w:r>
      <w:r>
        <w:t>: Die LXX zeigt durchgängige Tendenz zur emotionalen und liturgischen Präzisierung, wobei besonders die Trauervorschriften und Priesterbestimmungen an griechische Kultpraktiken angepasst werden.</w:t>
      </w:r>
    </w:p>
    <w:p w14:paraId="2E116D62" w14:textId="77777777" w:rsidR="00571E11" w:rsidRDefault="00571E11" w:rsidP="00571E11">
      <w:pPr>
        <w:pStyle w:val="KeinLeerraum"/>
      </w:pPr>
    </w:p>
    <w:p w14:paraId="7B05051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w:t>
      </w:r>
    </w:p>
    <w:p w14:paraId="0AA027B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וַיְדַבֵּ֧ר יְהוָ֛ה אֶל־מֹשֶׁ֥ה וְאֶֽל־אַהֲרֹ֖ן לֵאמֹ֥ר אֲלֵהֶֽם׃</w:t>
      </w:r>
    </w:p>
    <w:p w14:paraId="3D21009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der Ewige redete zu Mosche und zu Aaron und sprach zu ihnen:</w:t>
      </w:r>
    </w:p>
    <w:p w14:paraId="36203131"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3606224">
          <v:rect id="_x0000_i1277" style="width:0;height:1.5pt" o:hralign="center" o:hrstd="t" o:hr="t" fillcolor="#a0a0a0" stroked="f"/>
        </w:pict>
      </w:r>
    </w:p>
    <w:p w14:paraId="0C0BEF3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וידבר יהוה אל־משה ואל־אהרן לאמר אלהם</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דבר</w:t>
      </w:r>
      <w:r w:rsidRPr="00F75E3B">
        <w:rPr>
          <w:rFonts w:eastAsia="Times New Roman" w:cs="Times New Roman"/>
          <w:rtl/>
          <w:lang w:eastAsia="de-DE"/>
        </w:rPr>
        <w:t xml:space="preserve"> </w:t>
      </w:r>
      <w:r w:rsidRPr="00F75E3B">
        <w:rPr>
          <w:rFonts w:eastAsia="Times New Roman" w:cs="Times New Roman"/>
          <w:lang w:eastAsia="de-DE"/>
        </w:rPr>
        <w:t xml:space="preserve">(reden) im Piel-Imperfekt 3. Person maskulin Singular mit Waw-Konsekutiv. </w:t>
      </w:r>
      <w:r w:rsidRPr="00F75E3B">
        <w:rPr>
          <w:rFonts w:eastAsia="Times New Roman" w:cs="Times New Roman"/>
          <w:b/>
          <w:bCs/>
          <w:rtl/>
          <w:lang w:eastAsia="de-DE"/>
        </w:rPr>
        <w:t>יהוה</w:t>
      </w:r>
      <w:r w:rsidRPr="00F75E3B">
        <w:rPr>
          <w:rFonts w:eastAsia="Times New Roman" w:cs="Times New Roman"/>
          <w:rtl/>
          <w:lang w:eastAsia="de-DE"/>
        </w:rPr>
        <w:t xml:space="preserve"> </w:t>
      </w:r>
      <w:r w:rsidRPr="00F75E3B">
        <w:rPr>
          <w:rFonts w:eastAsia="Times New Roman" w:cs="Times New Roman"/>
          <w:lang w:eastAsia="de-DE"/>
        </w:rPr>
        <w:t xml:space="preserve">als Subjekt richtet sich an beide Führer: </w:t>
      </w:r>
      <w:r w:rsidRPr="00F75E3B">
        <w:rPr>
          <w:rFonts w:eastAsia="Times New Roman" w:cs="Times New Roman"/>
          <w:b/>
          <w:bCs/>
          <w:rtl/>
          <w:lang w:eastAsia="de-DE"/>
        </w:rPr>
        <w:t>אל־משה ואל־אהרן</w:t>
      </w:r>
      <w:r w:rsidRPr="00F75E3B">
        <w:rPr>
          <w:rFonts w:eastAsia="Times New Roman" w:cs="Times New Roman"/>
          <w:rtl/>
          <w:lang w:eastAsia="de-DE"/>
        </w:rPr>
        <w:t xml:space="preserve"> </w:t>
      </w:r>
      <w:r w:rsidRPr="00F75E3B">
        <w:rPr>
          <w:rFonts w:eastAsia="Times New Roman" w:cs="Times New Roman"/>
          <w:lang w:eastAsia="de-DE"/>
        </w:rPr>
        <w:t xml:space="preserve">mit doppelter Präposition </w:t>
      </w:r>
      <w:r w:rsidRPr="00F75E3B">
        <w:rPr>
          <w:rFonts w:eastAsia="Times New Roman" w:cs="Times New Roman"/>
          <w:b/>
          <w:bCs/>
          <w:rtl/>
          <w:lang w:eastAsia="de-DE"/>
        </w:rPr>
        <w:t>אל</w:t>
      </w:r>
      <w:r w:rsidRPr="00F75E3B">
        <w:rPr>
          <w:rFonts w:eastAsia="Times New Roman" w:cs="Times New Roman"/>
          <w:lang w:eastAsia="de-DE"/>
        </w:rPr>
        <w:t xml:space="preserve">. </w:t>
      </w:r>
      <w:r w:rsidRPr="00F75E3B">
        <w:rPr>
          <w:rFonts w:eastAsia="Times New Roman" w:cs="Times New Roman"/>
          <w:b/>
          <w:bCs/>
          <w:rtl/>
          <w:lang w:eastAsia="de-DE"/>
        </w:rPr>
        <w:t>לאמר אלהם</w:t>
      </w:r>
      <w:r w:rsidRPr="00F75E3B">
        <w:rPr>
          <w:rFonts w:eastAsia="Times New Roman" w:cs="Times New Roman"/>
          <w:rtl/>
          <w:lang w:eastAsia="de-DE"/>
        </w:rPr>
        <w:t xml:space="preserve"> </w:t>
      </w:r>
      <w:r w:rsidRPr="00F75E3B">
        <w:rPr>
          <w:rFonts w:eastAsia="Times New Roman" w:cs="Times New Roman"/>
          <w:lang w:eastAsia="de-DE"/>
        </w:rPr>
        <w:t xml:space="preserve">(sagend zu ihnen) erweitert die Standardformel </w:t>
      </w:r>
      <w:r w:rsidRPr="00F75E3B">
        <w:rPr>
          <w:rFonts w:eastAsia="Times New Roman" w:cs="Times New Roman"/>
          <w:b/>
          <w:bCs/>
          <w:rtl/>
          <w:lang w:eastAsia="de-DE"/>
        </w:rPr>
        <w:t>לאמר</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אלהם</w:t>
      </w:r>
      <w:r w:rsidRPr="00F75E3B">
        <w:rPr>
          <w:rFonts w:eastAsia="Times New Roman" w:cs="Times New Roman"/>
          <w:rtl/>
          <w:lang w:eastAsia="de-DE"/>
        </w:rPr>
        <w:t xml:space="preserve"> </w:t>
      </w:r>
      <w:r w:rsidRPr="00F75E3B">
        <w:rPr>
          <w:rFonts w:eastAsia="Times New Roman" w:cs="Times New Roman"/>
          <w:lang w:eastAsia="de-DE"/>
        </w:rPr>
        <w:t>(zu ihnen), was die gemeinsame Adressierung betont.</w:t>
      </w:r>
    </w:p>
    <w:p w14:paraId="40E485E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Einbeziehung Aarons neben Mosche ist bemerkenswert und zeigt seine etablierte Autorität nach den Ereignissen der Kapitel 8-10. </w:t>
      </w:r>
      <w:r w:rsidRPr="00F75E3B">
        <w:rPr>
          <w:rFonts w:eastAsia="Times New Roman" w:cs="Times New Roman"/>
          <w:b/>
          <w:bCs/>
          <w:rtl/>
          <w:lang w:eastAsia="de-DE"/>
        </w:rPr>
        <w:t>לאמר אלהם</w:t>
      </w:r>
      <w:r w:rsidRPr="00F75E3B">
        <w:rPr>
          <w:rFonts w:eastAsia="Times New Roman" w:cs="Times New Roman"/>
          <w:rtl/>
          <w:lang w:eastAsia="de-DE"/>
        </w:rPr>
        <w:t xml:space="preserve"> </w:t>
      </w:r>
      <w:r w:rsidRPr="00F75E3B">
        <w:rPr>
          <w:rFonts w:eastAsia="Times New Roman" w:cs="Times New Roman"/>
          <w:lang w:eastAsia="de-DE"/>
        </w:rPr>
        <w:t>mit der Wiederholung des Personalpronomens unterstreicht, dass beide gleichberechtigt die folgende Botschaft erhalten.</w:t>
      </w:r>
    </w:p>
    <w:p w14:paraId="19F15A2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וידבר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ἐλάλησεν</w:t>
      </w:r>
      <w:proofErr w:type="spellEnd"/>
      <w:r w:rsidRPr="00F75E3B">
        <w:rPr>
          <w:rFonts w:eastAsia="Times New Roman" w:cs="Times New Roman"/>
          <w:lang w:eastAsia="de-DE"/>
        </w:rPr>
        <w:t xml:space="preserve"> (er sprach), </w:t>
      </w:r>
      <w:r w:rsidRPr="00F75E3B">
        <w:rPr>
          <w:rFonts w:eastAsia="Times New Roman" w:cs="Times New Roman"/>
          <w:b/>
          <w:bCs/>
          <w:rtl/>
          <w:lang w:eastAsia="de-DE"/>
        </w:rPr>
        <w:t>אל־משה ואל־אהרן</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ρὸς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Μωυσῆν</w:t>
      </w:r>
      <w:proofErr w:type="spellEnd"/>
      <w:r w:rsidRPr="00F75E3B">
        <w:rPr>
          <w:rFonts w:eastAsia="Times New Roman" w:cs="Times New Roman"/>
          <w:lang w:eastAsia="de-DE"/>
        </w:rPr>
        <w:t xml:space="preserve"> καὶ Αα</w:t>
      </w:r>
      <w:proofErr w:type="spellStart"/>
      <w:r w:rsidRPr="00F75E3B">
        <w:rPr>
          <w:rFonts w:eastAsia="Times New Roman" w:cs="Times New Roman"/>
          <w:lang w:eastAsia="de-DE"/>
        </w:rPr>
        <w:t>ρων</w:t>
      </w:r>
      <w:proofErr w:type="spellEnd"/>
      <w:r w:rsidRPr="00F75E3B">
        <w:rPr>
          <w:rFonts w:eastAsia="Times New Roman" w:cs="Times New Roman"/>
          <w:lang w:eastAsia="de-DE"/>
        </w:rPr>
        <w:t xml:space="preserve"> (zu Mosche und Aaron) und </w:t>
      </w:r>
      <w:r w:rsidRPr="00F75E3B">
        <w:rPr>
          <w:rFonts w:eastAsia="Times New Roman" w:cs="Times New Roman"/>
          <w:b/>
          <w:bCs/>
          <w:rtl/>
          <w:lang w:eastAsia="de-DE"/>
        </w:rPr>
        <w:t>לאמר אלהם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λέγων</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ὐτοῖς</w:t>
      </w:r>
      <w:proofErr w:type="spellEnd"/>
      <w:r w:rsidRPr="00F75E3B">
        <w:rPr>
          <w:rFonts w:eastAsia="Times New Roman" w:cs="Times New Roman"/>
          <w:lang w:eastAsia="de-DE"/>
        </w:rPr>
        <w:t xml:space="preserve"> (sagend zu ihnen).</w:t>
      </w:r>
    </w:p>
    <w:p w14:paraId="5B1CCB0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die erweiterte Einleitungsformel: Verb + göttliches Subjekt + doppelter Adressat + erweiterte Redeeinleitung. Die Struktur betont die gemeinsame Autorität beider Führer.</w:t>
      </w:r>
    </w:p>
    <w:p w14:paraId="7AA5E09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 erweiterte Einleitungsformel markiert einen neuen Hauptabschnitt und etabliert sowohl Mosche als auch Aaron als Übermittler der folgenden Speisegesetze.</w:t>
      </w:r>
    </w:p>
    <w:p w14:paraId="48A54C1B"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w:t>
      </w:r>
    </w:p>
    <w:p w14:paraId="0865867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דַּבְּר֛וּ אֶל־בְּנֵ֥י יִשְׂרָאֵ֖ל לֵאמֹ֑ר זֹ֤את הַֽחַיָּה֙ אֲשֶׁ֣ר תֹּאכְל֔וּ מִכָּל־הַבְּהֵמָ֖ה אֲשֶׁ֥ר עַל־הָאָֽרֶץ׃</w:t>
      </w:r>
    </w:p>
    <w:p w14:paraId="39E386B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Redet zu den Söhnen Israels, sagend: Dies sind die Tiere, die ihr essen dürft von allen Tieren, die auf der Erde sind:</w:t>
      </w:r>
    </w:p>
    <w:p w14:paraId="68B35F3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3A1E787">
          <v:rect id="_x0000_i1278" style="width:0;height:1.5pt" o:hralign="center" o:hrstd="t" o:hr="t" fillcolor="#a0a0a0" stroked="f"/>
        </w:pict>
      </w:r>
    </w:p>
    <w:p w14:paraId="445880D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דברו אל־בני ישראל לאמר</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דבר</w:t>
      </w:r>
      <w:r w:rsidRPr="00F75E3B">
        <w:rPr>
          <w:rFonts w:eastAsia="Times New Roman" w:cs="Times New Roman"/>
          <w:rtl/>
          <w:lang w:eastAsia="de-DE"/>
        </w:rPr>
        <w:t xml:space="preserve"> </w:t>
      </w:r>
      <w:r w:rsidRPr="00F75E3B">
        <w:rPr>
          <w:rFonts w:eastAsia="Times New Roman" w:cs="Times New Roman"/>
          <w:lang w:eastAsia="de-DE"/>
        </w:rPr>
        <w:t xml:space="preserve">(reden) im Piel-Imperativ maskulin Plural, gerichtet an beide Adressaten aus V. 1. </w:t>
      </w:r>
      <w:r w:rsidRPr="00F75E3B">
        <w:rPr>
          <w:rFonts w:eastAsia="Times New Roman" w:cs="Times New Roman"/>
          <w:b/>
          <w:bCs/>
          <w:rtl/>
          <w:lang w:eastAsia="de-DE"/>
        </w:rPr>
        <w:t>אל־בני ישראל</w:t>
      </w:r>
      <w:r w:rsidRPr="00F75E3B">
        <w:rPr>
          <w:rFonts w:eastAsia="Times New Roman" w:cs="Times New Roman"/>
          <w:rtl/>
          <w:lang w:eastAsia="de-DE"/>
        </w:rPr>
        <w:t xml:space="preserve"> </w:t>
      </w:r>
      <w:r w:rsidRPr="00F75E3B">
        <w:rPr>
          <w:rFonts w:eastAsia="Times New Roman" w:cs="Times New Roman"/>
          <w:lang w:eastAsia="de-DE"/>
        </w:rPr>
        <w:t xml:space="preserve">(zu den Söhnen Israels) erweitert die Botschaft auf das ganze Volk. </w:t>
      </w:r>
      <w:r w:rsidRPr="00F75E3B">
        <w:rPr>
          <w:rFonts w:eastAsia="Times New Roman" w:cs="Times New Roman"/>
          <w:b/>
          <w:bCs/>
          <w:rtl/>
          <w:lang w:eastAsia="de-DE"/>
        </w:rPr>
        <w:t>לאמר</w:t>
      </w:r>
      <w:r w:rsidRPr="00F75E3B">
        <w:rPr>
          <w:rFonts w:eastAsia="Times New Roman" w:cs="Times New Roman"/>
          <w:rtl/>
          <w:lang w:eastAsia="de-DE"/>
        </w:rPr>
        <w:t xml:space="preserve"> </w:t>
      </w:r>
      <w:r w:rsidRPr="00F75E3B">
        <w:rPr>
          <w:rFonts w:eastAsia="Times New Roman" w:cs="Times New Roman"/>
          <w:lang w:eastAsia="de-DE"/>
        </w:rPr>
        <w:t>(sagend) leitet die direkte Botschaft an das Volk ein.</w:t>
      </w:r>
    </w:p>
    <w:p w14:paraId="1252C8D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זאת החיה אשר תאכלו מכל־הבהמה אשר על־הארץ</w:t>
      </w:r>
      <w:r w:rsidRPr="00F75E3B">
        <w:rPr>
          <w:rFonts w:eastAsia="Times New Roman" w:cs="Times New Roman"/>
          <w:rtl/>
          <w:lang w:eastAsia="de-DE"/>
        </w:rPr>
        <w:t xml:space="preserve"> </w:t>
      </w:r>
      <w:r w:rsidRPr="00F75E3B">
        <w:rPr>
          <w:rFonts w:eastAsia="Times New Roman" w:cs="Times New Roman"/>
          <w:lang w:eastAsia="de-DE"/>
        </w:rPr>
        <w:t xml:space="preserve">definiert die erlaubten Landtiere. </w:t>
      </w:r>
      <w:r w:rsidRPr="00F75E3B">
        <w:rPr>
          <w:rFonts w:eastAsia="Times New Roman" w:cs="Times New Roman"/>
          <w:b/>
          <w:bCs/>
          <w:rtl/>
          <w:lang w:eastAsia="de-DE"/>
        </w:rPr>
        <w:t>זאת החיה</w:t>
      </w:r>
      <w:r w:rsidRPr="00F75E3B">
        <w:rPr>
          <w:rFonts w:eastAsia="Times New Roman" w:cs="Times New Roman"/>
          <w:rtl/>
          <w:lang w:eastAsia="de-DE"/>
        </w:rPr>
        <w:t xml:space="preserve"> </w:t>
      </w:r>
      <w:r w:rsidRPr="00F75E3B">
        <w:rPr>
          <w:rFonts w:eastAsia="Times New Roman" w:cs="Times New Roman"/>
          <w:lang w:eastAsia="de-DE"/>
        </w:rPr>
        <w:t xml:space="preserve">(dies sind die Tiere) mit Demonstrativpronomen </w:t>
      </w:r>
      <w:r w:rsidRPr="00F75E3B">
        <w:rPr>
          <w:rFonts w:eastAsia="Times New Roman" w:cs="Times New Roman"/>
          <w:b/>
          <w:bCs/>
          <w:rtl/>
          <w:lang w:eastAsia="de-DE"/>
        </w:rPr>
        <w:t>זאת</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חיה</w:t>
      </w:r>
      <w:r w:rsidRPr="00F75E3B">
        <w:rPr>
          <w:rFonts w:eastAsia="Times New Roman" w:cs="Times New Roman"/>
          <w:rtl/>
          <w:lang w:eastAsia="de-DE"/>
        </w:rPr>
        <w:t xml:space="preserve"> </w:t>
      </w:r>
      <w:r w:rsidRPr="00F75E3B">
        <w:rPr>
          <w:rFonts w:eastAsia="Times New Roman" w:cs="Times New Roman"/>
          <w:lang w:eastAsia="de-DE"/>
        </w:rPr>
        <w:t xml:space="preserve">(lebende Wesen/Tiere). </w:t>
      </w:r>
      <w:r w:rsidRPr="00F75E3B">
        <w:rPr>
          <w:rFonts w:eastAsia="Times New Roman" w:cs="Times New Roman"/>
          <w:b/>
          <w:bCs/>
          <w:rtl/>
          <w:lang w:eastAsia="de-DE"/>
        </w:rPr>
        <w:t>אשר תאכלו</w:t>
      </w:r>
      <w:r w:rsidRPr="00F75E3B">
        <w:rPr>
          <w:rFonts w:eastAsia="Times New Roman" w:cs="Times New Roman"/>
          <w:rtl/>
          <w:lang w:eastAsia="de-DE"/>
        </w:rPr>
        <w:t xml:space="preserve"> </w:t>
      </w:r>
      <w:r w:rsidRPr="00F75E3B">
        <w:rPr>
          <w:rFonts w:eastAsia="Times New Roman" w:cs="Times New Roman"/>
          <w:lang w:eastAsia="de-DE"/>
        </w:rPr>
        <w:t xml:space="preserve">(die ihr essen dürft) im Qal-Imperfekt 2. Person maskulin Plural. </w:t>
      </w:r>
      <w:r w:rsidRPr="00F75E3B">
        <w:rPr>
          <w:rFonts w:eastAsia="Times New Roman" w:cs="Times New Roman"/>
          <w:b/>
          <w:bCs/>
          <w:rtl/>
          <w:lang w:eastAsia="de-DE"/>
        </w:rPr>
        <w:t>מכל־הבהמה</w:t>
      </w:r>
      <w:r w:rsidRPr="00F75E3B">
        <w:rPr>
          <w:rFonts w:eastAsia="Times New Roman" w:cs="Times New Roman"/>
          <w:rtl/>
          <w:lang w:eastAsia="de-DE"/>
        </w:rPr>
        <w:t xml:space="preserve"> </w:t>
      </w:r>
      <w:r w:rsidRPr="00F75E3B">
        <w:rPr>
          <w:rFonts w:eastAsia="Times New Roman" w:cs="Times New Roman"/>
          <w:lang w:eastAsia="de-DE"/>
        </w:rPr>
        <w:t xml:space="preserve">(von allen Tieren) mit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partitiv - nicht alle Tiere sind erlaubt. </w:t>
      </w:r>
      <w:r w:rsidRPr="00F75E3B">
        <w:rPr>
          <w:rFonts w:eastAsia="Times New Roman" w:cs="Times New Roman"/>
          <w:b/>
          <w:bCs/>
          <w:rtl/>
          <w:lang w:eastAsia="de-DE"/>
        </w:rPr>
        <w:t>אשר על־הארץ</w:t>
      </w:r>
      <w:r w:rsidRPr="00F75E3B">
        <w:rPr>
          <w:rFonts w:eastAsia="Times New Roman" w:cs="Times New Roman"/>
          <w:rtl/>
          <w:lang w:eastAsia="de-DE"/>
        </w:rPr>
        <w:t xml:space="preserve"> </w:t>
      </w:r>
      <w:r w:rsidRPr="00F75E3B">
        <w:rPr>
          <w:rFonts w:eastAsia="Times New Roman" w:cs="Times New Roman"/>
          <w:lang w:eastAsia="de-DE"/>
        </w:rPr>
        <w:t>(die auf der Erde sind) spezifiziert Landtiere im Unterschied zu Wasser- und Lufttieren.</w:t>
      </w:r>
    </w:p>
    <w:p w14:paraId="0CEF9DB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דברו</w:t>
      </w:r>
      <w:r w:rsidRPr="00F75E3B">
        <w:rPr>
          <w:rFonts w:eastAsia="Times New Roman" w:cs="Times New Roman"/>
          <w:rtl/>
          <w:lang w:eastAsia="de-DE"/>
        </w:rPr>
        <w:t xml:space="preserve"> </w:t>
      </w:r>
      <w:r w:rsidRPr="00F75E3B">
        <w:rPr>
          <w:rFonts w:eastAsia="Times New Roman" w:cs="Times New Roman"/>
          <w:lang w:eastAsia="de-DE"/>
        </w:rPr>
        <w:t xml:space="preserve">im Plural zeigt, dass sowohl Mosche als auch Aaron diese Gesetze verkünden sollen. </w:t>
      </w:r>
      <w:r w:rsidRPr="00F75E3B">
        <w:rPr>
          <w:rFonts w:eastAsia="Times New Roman" w:cs="Times New Roman"/>
          <w:b/>
          <w:bCs/>
          <w:rtl/>
          <w:lang w:eastAsia="de-DE"/>
        </w:rPr>
        <w:t>החיה</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הבהמה</w:t>
      </w:r>
      <w:r w:rsidRPr="00F75E3B">
        <w:rPr>
          <w:rFonts w:eastAsia="Times New Roman" w:cs="Times New Roman"/>
          <w:rtl/>
          <w:lang w:eastAsia="de-DE"/>
        </w:rPr>
        <w:t xml:space="preserve"> </w:t>
      </w:r>
      <w:r w:rsidRPr="00F75E3B">
        <w:rPr>
          <w:rFonts w:eastAsia="Times New Roman" w:cs="Times New Roman"/>
          <w:lang w:eastAsia="de-DE"/>
        </w:rPr>
        <w:t xml:space="preserve">werden hier synonym für Landtiere verwendet. </w:t>
      </w:r>
      <w:r w:rsidRPr="00F75E3B">
        <w:rPr>
          <w:rFonts w:eastAsia="Times New Roman" w:cs="Times New Roman"/>
          <w:b/>
          <w:bCs/>
          <w:rtl/>
          <w:lang w:eastAsia="de-DE"/>
        </w:rPr>
        <w:t>מכל־הבהמה</w:t>
      </w:r>
      <w:r w:rsidRPr="00F75E3B">
        <w:rPr>
          <w:rFonts w:eastAsia="Times New Roman" w:cs="Times New Roman"/>
          <w:rtl/>
          <w:lang w:eastAsia="de-DE"/>
        </w:rPr>
        <w:t xml:space="preserve"> </w:t>
      </w:r>
      <w:r w:rsidRPr="00F75E3B">
        <w:rPr>
          <w:rFonts w:eastAsia="Times New Roman" w:cs="Times New Roman"/>
          <w:lang w:eastAsia="de-DE"/>
        </w:rPr>
        <w:t xml:space="preserve">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zeigt, dass nur ein Teil aller Landtiere zum Verzehr erlaubt ist.</w:t>
      </w:r>
    </w:p>
    <w:p w14:paraId="5F819B5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דברו</w:t>
      </w:r>
      <w:r w:rsidRPr="00F75E3B">
        <w:rPr>
          <w:rFonts w:eastAsia="Times New Roman" w:cs="Times New Roman"/>
          <w:rtl/>
          <w:lang w:eastAsia="de-DE"/>
        </w:rPr>
        <w:t xml:space="preserve"> </w:t>
      </w:r>
      <w:r w:rsidRPr="00F75E3B">
        <w:rPr>
          <w:rFonts w:eastAsia="Times New Roman" w:cs="Times New Roman"/>
          <w:lang w:eastAsia="de-DE"/>
        </w:rPr>
        <w:t>mit λα</w:t>
      </w:r>
      <w:proofErr w:type="spellStart"/>
      <w:r w:rsidRPr="00F75E3B">
        <w:rPr>
          <w:rFonts w:eastAsia="Times New Roman" w:cs="Times New Roman"/>
          <w:lang w:eastAsia="de-DE"/>
        </w:rPr>
        <w:t>λήσ</w:t>
      </w:r>
      <w:proofErr w:type="spellEnd"/>
      <w:r w:rsidRPr="00F75E3B">
        <w:rPr>
          <w:rFonts w:eastAsia="Times New Roman" w:cs="Times New Roman"/>
          <w:lang w:eastAsia="de-DE"/>
        </w:rPr>
        <w:t xml:space="preserve">ατε (redet), </w:t>
      </w:r>
      <w:r w:rsidRPr="00F75E3B">
        <w:rPr>
          <w:rFonts w:eastAsia="Times New Roman" w:cs="Times New Roman"/>
          <w:b/>
          <w:bCs/>
          <w:rtl/>
          <w:lang w:eastAsia="de-DE"/>
        </w:rPr>
        <w:t>החיה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κτήνη</w:t>
      </w:r>
      <w:proofErr w:type="spellEnd"/>
      <w:r w:rsidRPr="00F75E3B">
        <w:rPr>
          <w:rFonts w:eastAsia="Times New Roman" w:cs="Times New Roman"/>
          <w:lang w:eastAsia="de-DE"/>
        </w:rPr>
        <w:t xml:space="preserve"> (Vieh), </w:t>
      </w:r>
      <w:r w:rsidRPr="00F75E3B">
        <w:rPr>
          <w:rFonts w:eastAsia="Times New Roman" w:cs="Times New Roman"/>
          <w:b/>
          <w:bCs/>
          <w:rtl/>
          <w:lang w:eastAsia="de-DE"/>
        </w:rPr>
        <w:t>תאכלו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φάγεσθε</w:t>
      </w:r>
      <w:proofErr w:type="spellEnd"/>
      <w:r w:rsidRPr="00F75E3B">
        <w:rPr>
          <w:rFonts w:eastAsia="Times New Roman" w:cs="Times New Roman"/>
          <w:lang w:eastAsia="de-DE"/>
        </w:rPr>
        <w:t xml:space="preserve"> (ihr werdet essen) und </w:t>
      </w:r>
      <w:r w:rsidRPr="00F75E3B">
        <w:rPr>
          <w:rFonts w:eastAsia="Times New Roman" w:cs="Times New Roman"/>
          <w:b/>
          <w:bCs/>
          <w:rtl/>
          <w:lang w:eastAsia="de-DE"/>
        </w:rPr>
        <w:t>על־הארץ</w:t>
      </w:r>
      <w:r w:rsidRPr="00F75E3B">
        <w:rPr>
          <w:rFonts w:eastAsia="Times New Roman" w:cs="Times New Roman"/>
          <w:rtl/>
          <w:lang w:eastAsia="de-DE"/>
        </w:rPr>
        <w:t xml:space="preserve"> </w:t>
      </w:r>
      <w:r w:rsidRPr="00F75E3B">
        <w:rPr>
          <w:rFonts w:eastAsia="Times New Roman" w:cs="Times New Roman"/>
          <w:lang w:eastAsia="de-DE"/>
        </w:rPr>
        <w:t xml:space="preserve">mit ἐπὶ </w:t>
      </w:r>
      <w:proofErr w:type="spellStart"/>
      <w:r w:rsidRPr="00F75E3B">
        <w:rPr>
          <w:rFonts w:eastAsia="Times New Roman" w:cs="Times New Roman"/>
          <w:lang w:eastAsia="de-DE"/>
        </w:rPr>
        <w:t>τῆς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γῆς</w:t>
      </w:r>
      <w:proofErr w:type="spellEnd"/>
      <w:r w:rsidRPr="00F75E3B">
        <w:rPr>
          <w:rFonts w:eastAsia="Times New Roman" w:cs="Times New Roman"/>
          <w:lang w:eastAsia="de-DE"/>
        </w:rPr>
        <w:t xml:space="preserve"> (auf der Erde).</w:t>
      </w:r>
    </w:p>
    <w:p w14:paraId="0A31451B" w14:textId="6D9E2596" w:rsid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Verkündigungsauftrag plus Inhaltsdefinition: Imperativ + Adressat + Redeeinleitung + demonstrative Einführung + Relativsatz + partitive Quelle + lokale Spezifikation. Die Struktur führt das System der Speisegesetze ein.</w:t>
      </w:r>
    </w:p>
    <w:p w14:paraId="6714D54A" w14:textId="731758F1" w:rsidR="00571E11" w:rsidRPr="00F75E3B" w:rsidRDefault="00571E11" w:rsidP="00F75E3B">
      <w:pPr>
        <w:spacing w:before="100" w:beforeAutospacing="1" w:after="100" w:afterAutospacing="1" w:line="240" w:lineRule="auto"/>
        <w:rPr>
          <w:rFonts w:eastAsia="Times New Roman" w:cs="Times New Roman"/>
          <w:lang w:eastAsia="de-DE"/>
        </w:rPr>
      </w:pPr>
      <w:r>
        <w:rPr>
          <w:rStyle w:val="Fett"/>
        </w:rPr>
        <w:t>Die LXX</w:t>
      </w:r>
      <w:r>
        <w:t xml:space="preserve"> übersetzt die hebräischen Begriffe für gespaltene Hufe sehr detailliert: </w:t>
      </w:r>
      <w:r>
        <w:rPr>
          <w:rtl/>
        </w:rPr>
        <w:t>מפרסת פרסה ושסעת שסע פרסות</w:t>
      </w:r>
      <w:r>
        <w:t xml:space="preserve"> wird als </w:t>
      </w:r>
      <w:proofErr w:type="spellStart"/>
      <w:r>
        <w:t>διχηλοῦν</w:t>
      </w:r>
      <w:proofErr w:type="spellEnd"/>
      <w:r>
        <w:t xml:space="preserve"> ὁπ</w:t>
      </w:r>
      <w:proofErr w:type="spellStart"/>
      <w:r>
        <w:t>λὴν</w:t>
      </w:r>
      <w:proofErr w:type="spellEnd"/>
      <w:r>
        <w:t xml:space="preserve"> καὶ </w:t>
      </w:r>
      <w:proofErr w:type="spellStart"/>
      <w:r>
        <w:t>ὀνυχιστῆρ</w:t>
      </w:r>
      <w:proofErr w:type="spellEnd"/>
      <w:r>
        <w:t xml:space="preserve">ας </w:t>
      </w:r>
      <w:proofErr w:type="spellStart"/>
      <w:r>
        <w:t>ὀνυχίζον</w:t>
      </w:r>
      <w:proofErr w:type="spellEnd"/>
      <w:r>
        <w:t xml:space="preserve"> </w:t>
      </w:r>
      <w:proofErr w:type="spellStart"/>
      <w:r>
        <w:t>δύο</w:t>
      </w:r>
      <w:proofErr w:type="spellEnd"/>
      <w:r>
        <w:t xml:space="preserve"> </w:t>
      </w:r>
      <w:proofErr w:type="spellStart"/>
      <w:r>
        <w:t>χηλῶν</w:t>
      </w:r>
      <w:proofErr w:type="spellEnd"/>
      <w:r>
        <w:t xml:space="preserve"> (spaltend den Huf und Krallen krallend mit zwei Klauen) wiedergegeben, was eine präzisere anatomische Beschreibung darstellt.</w:t>
      </w:r>
    </w:p>
    <w:p w14:paraId="1F34D0E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leitet die Speisegesetze ein und gibt den Verkündigungsauftrag an beide Führer für die Definition erlaubter Landtiere.</w:t>
      </w:r>
    </w:p>
    <w:p w14:paraId="483E512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w:t>
      </w:r>
    </w:p>
    <w:p w14:paraId="19BC4A5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כֹּ֣ל׀ מַפְרֶ֣סֶת פַּרְסָ֗ה וְשֹׁסַ֤עַת שֶׁ֨סַע֙ פְּרָסֹ֔ת מַעֲלַ֥ת גֵּרָ֖ה בַּבְּהֵמָ֑ה אֹתָ֖הּ תֹּאכֵֽלוּ׃</w:t>
      </w:r>
    </w:p>
    <w:p w14:paraId="677BD6A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Alles, was gespaltenen Huf hat und den Huf ganz durchgespalten hat und wiederkäut unter den Tieren, das dürft ihr essen.</w:t>
      </w:r>
    </w:p>
    <w:p w14:paraId="14E67440"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53C07D3">
          <v:rect id="_x0000_i1279" style="width:0;height:1.5pt" o:hralign="center" o:hrstd="t" o:hr="t" fillcolor="#a0a0a0" stroked="f"/>
        </w:pict>
      </w:r>
    </w:p>
    <w:p w14:paraId="68067BD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כל מפרסת פרסה ושסעת שסע פרסות מעלת גרה בבהמה</w:t>
      </w:r>
      <w:r w:rsidRPr="00F75E3B">
        <w:rPr>
          <w:rFonts w:eastAsia="Times New Roman" w:cs="Times New Roman"/>
          <w:rtl/>
          <w:lang w:eastAsia="de-DE"/>
        </w:rPr>
        <w:t xml:space="preserve"> </w:t>
      </w:r>
      <w:r w:rsidRPr="00F75E3B">
        <w:rPr>
          <w:rFonts w:eastAsia="Times New Roman" w:cs="Times New Roman"/>
          <w:lang w:eastAsia="de-DE"/>
        </w:rPr>
        <w:t xml:space="preserve">definiert die beiden Kriterien für erlaubte Landtiere. </w:t>
      </w:r>
      <w:r w:rsidRPr="00F75E3B">
        <w:rPr>
          <w:rFonts w:eastAsia="Times New Roman" w:cs="Times New Roman"/>
          <w:b/>
          <w:bCs/>
          <w:rtl/>
          <w:lang w:eastAsia="de-DE"/>
        </w:rPr>
        <w:t>כל</w:t>
      </w:r>
      <w:r w:rsidRPr="00F75E3B">
        <w:rPr>
          <w:rFonts w:eastAsia="Times New Roman" w:cs="Times New Roman"/>
          <w:rtl/>
          <w:lang w:eastAsia="de-DE"/>
        </w:rPr>
        <w:t xml:space="preserve"> </w:t>
      </w:r>
      <w:r w:rsidRPr="00F75E3B">
        <w:rPr>
          <w:rFonts w:eastAsia="Times New Roman" w:cs="Times New Roman"/>
          <w:lang w:eastAsia="de-DE"/>
        </w:rPr>
        <w:t xml:space="preserve">(alles) zeigt universelle Anwendung der folgenden Kriterien. </w:t>
      </w:r>
      <w:r w:rsidRPr="00F75E3B">
        <w:rPr>
          <w:rFonts w:eastAsia="Times New Roman" w:cs="Times New Roman"/>
          <w:b/>
          <w:bCs/>
          <w:rtl/>
          <w:lang w:eastAsia="de-DE"/>
        </w:rPr>
        <w:t>מפרסת פרסה</w:t>
      </w:r>
      <w:r w:rsidRPr="00F75E3B">
        <w:rPr>
          <w:rFonts w:eastAsia="Times New Roman" w:cs="Times New Roman"/>
          <w:rtl/>
          <w:lang w:eastAsia="de-DE"/>
        </w:rPr>
        <w:t xml:space="preserve"> </w:t>
      </w:r>
      <w:r w:rsidRPr="00F75E3B">
        <w:rPr>
          <w:rFonts w:eastAsia="Times New Roman" w:cs="Times New Roman"/>
          <w:lang w:eastAsia="de-DE"/>
        </w:rPr>
        <w:t xml:space="preserve">(gespaltenen Huf habend) - </w:t>
      </w:r>
      <w:r w:rsidRPr="00F75E3B">
        <w:rPr>
          <w:rFonts w:eastAsia="Times New Roman" w:cs="Times New Roman"/>
          <w:b/>
          <w:bCs/>
          <w:rtl/>
          <w:lang w:eastAsia="de-DE"/>
        </w:rPr>
        <w:t>פרס</w:t>
      </w:r>
      <w:r w:rsidRPr="00F75E3B">
        <w:rPr>
          <w:rFonts w:eastAsia="Times New Roman" w:cs="Times New Roman"/>
          <w:rtl/>
          <w:lang w:eastAsia="de-DE"/>
        </w:rPr>
        <w:t xml:space="preserve"> </w:t>
      </w:r>
      <w:r w:rsidRPr="00F75E3B">
        <w:rPr>
          <w:rFonts w:eastAsia="Times New Roman" w:cs="Times New Roman"/>
          <w:lang w:eastAsia="de-DE"/>
        </w:rPr>
        <w:t xml:space="preserve">(spalten) im Hifil-Partizip feminin Singular mit </w:t>
      </w:r>
      <w:r w:rsidRPr="00F75E3B">
        <w:rPr>
          <w:rFonts w:eastAsia="Times New Roman" w:cs="Times New Roman"/>
          <w:b/>
          <w:bCs/>
          <w:rtl/>
          <w:lang w:eastAsia="de-DE"/>
        </w:rPr>
        <w:t>פרסה</w:t>
      </w:r>
      <w:r w:rsidRPr="00F75E3B">
        <w:rPr>
          <w:rFonts w:eastAsia="Times New Roman" w:cs="Times New Roman"/>
          <w:rtl/>
          <w:lang w:eastAsia="de-DE"/>
        </w:rPr>
        <w:t xml:space="preserve"> </w:t>
      </w:r>
      <w:r w:rsidRPr="00F75E3B">
        <w:rPr>
          <w:rFonts w:eastAsia="Times New Roman" w:cs="Times New Roman"/>
          <w:lang w:eastAsia="de-DE"/>
        </w:rPr>
        <w:t xml:space="preserve">(Huf) als cognate accusative. </w:t>
      </w:r>
      <w:r w:rsidRPr="00F75E3B">
        <w:rPr>
          <w:rFonts w:eastAsia="Times New Roman" w:cs="Times New Roman"/>
          <w:b/>
          <w:bCs/>
          <w:rtl/>
          <w:lang w:eastAsia="de-DE"/>
        </w:rPr>
        <w:t>ושסעת שסע פרסות</w:t>
      </w:r>
      <w:r w:rsidRPr="00F75E3B">
        <w:rPr>
          <w:rFonts w:eastAsia="Times New Roman" w:cs="Times New Roman"/>
          <w:rtl/>
          <w:lang w:eastAsia="de-DE"/>
        </w:rPr>
        <w:t xml:space="preserve"> </w:t>
      </w:r>
      <w:r w:rsidRPr="00F75E3B">
        <w:rPr>
          <w:rFonts w:eastAsia="Times New Roman" w:cs="Times New Roman"/>
          <w:lang w:eastAsia="de-DE"/>
        </w:rPr>
        <w:t xml:space="preserve">(und den Huf ganz durchspaltend) verstärkt das erste Kriterium - </w:t>
      </w:r>
      <w:r w:rsidRPr="00F75E3B">
        <w:rPr>
          <w:rFonts w:eastAsia="Times New Roman" w:cs="Times New Roman"/>
          <w:b/>
          <w:bCs/>
          <w:rtl/>
          <w:lang w:eastAsia="de-DE"/>
        </w:rPr>
        <w:t>שסע</w:t>
      </w:r>
      <w:r w:rsidRPr="00F75E3B">
        <w:rPr>
          <w:rFonts w:eastAsia="Times New Roman" w:cs="Times New Roman"/>
          <w:rtl/>
          <w:lang w:eastAsia="de-DE"/>
        </w:rPr>
        <w:t xml:space="preserve"> </w:t>
      </w:r>
      <w:r w:rsidRPr="00F75E3B">
        <w:rPr>
          <w:rFonts w:eastAsia="Times New Roman" w:cs="Times New Roman"/>
          <w:lang w:eastAsia="de-DE"/>
        </w:rPr>
        <w:t xml:space="preserve">(spalten) im Qal-Partizip feminin Singular mit </w:t>
      </w:r>
      <w:r w:rsidRPr="00F75E3B">
        <w:rPr>
          <w:rFonts w:eastAsia="Times New Roman" w:cs="Times New Roman"/>
          <w:b/>
          <w:bCs/>
          <w:rtl/>
          <w:lang w:eastAsia="de-DE"/>
        </w:rPr>
        <w:t>שסע פרסות</w:t>
      </w:r>
      <w:r w:rsidRPr="00F75E3B">
        <w:rPr>
          <w:rFonts w:eastAsia="Times New Roman" w:cs="Times New Roman"/>
          <w:rtl/>
          <w:lang w:eastAsia="de-DE"/>
        </w:rPr>
        <w:t xml:space="preserve"> </w:t>
      </w:r>
      <w:r w:rsidRPr="00F75E3B">
        <w:rPr>
          <w:rFonts w:eastAsia="Times New Roman" w:cs="Times New Roman"/>
          <w:lang w:eastAsia="de-DE"/>
        </w:rPr>
        <w:t>als cognate accusative.</w:t>
      </w:r>
    </w:p>
    <w:p w14:paraId="5BC9B09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מעלת גרה</w:t>
      </w:r>
      <w:r w:rsidRPr="00F75E3B">
        <w:rPr>
          <w:rFonts w:eastAsia="Times New Roman" w:cs="Times New Roman"/>
          <w:rtl/>
          <w:lang w:eastAsia="de-DE"/>
        </w:rPr>
        <w:t xml:space="preserve"> </w:t>
      </w:r>
      <w:r w:rsidRPr="00F75E3B">
        <w:rPr>
          <w:rFonts w:eastAsia="Times New Roman" w:cs="Times New Roman"/>
          <w:lang w:eastAsia="de-DE"/>
        </w:rPr>
        <w:t xml:space="preserve">(wiederkäuend) zeigt das zweite Kriterium - </w:t>
      </w:r>
      <w:r w:rsidRPr="00F75E3B">
        <w:rPr>
          <w:rFonts w:eastAsia="Times New Roman" w:cs="Times New Roman"/>
          <w:b/>
          <w:bCs/>
          <w:rtl/>
          <w:lang w:eastAsia="de-DE"/>
        </w:rPr>
        <w:t>עלה</w:t>
      </w:r>
      <w:r w:rsidRPr="00F75E3B">
        <w:rPr>
          <w:rFonts w:eastAsia="Times New Roman" w:cs="Times New Roman"/>
          <w:rtl/>
          <w:lang w:eastAsia="de-DE"/>
        </w:rPr>
        <w:t xml:space="preserve"> </w:t>
      </w:r>
      <w:r w:rsidRPr="00F75E3B">
        <w:rPr>
          <w:rFonts w:eastAsia="Times New Roman" w:cs="Times New Roman"/>
          <w:lang w:eastAsia="de-DE"/>
        </w:rPr>
        <w:t xml:space="preserve">(hinaufbringen) im Hifil-Partizip feminin Singular mit </w:t>
      </w:r>
      <w:r w:rsidRPr="00F75E3B">
        <w:rPr>
          <w:rFonts w:eastAsia="Times New Roman" w:cs="Times New Roman"/>
          <w:b/>
          <w:bCs/>
          <w:rtl/>
          <w:lang w:eastAsia="de-DE"/>
        </w:rPr>
        <w:t>גרה</w:t>
      </w:r>
      <w:r w:rsidRPr="00F75E3B">
        <w:rPr>
          <w:rFonts w:eastAsia="Times New Roman" w:cs="Times New Roman"/>
          <w:rtl/>
          <w:lang w:eastAsia="de-DE"/>
        </w:rPr>
        <w:t xml:space="preserve"> </w:t>
      </w:r>
      <w:r w:rsidRPr="00F75E3B">
        <w:rPr>
          <w:rFonts w:eastAsia="Times New Roman" w:cs="Times New Roman"/>
          <w:lang w:eastAsia="de-DE"/>
        </w:rPr>
        <w:t>(Wiedergekäutes/</w:t>
      </w:r>
      <w:proofErr w:type="spellStart"/>
      <w:r w:rsidRPr="00F75E3B">
        <w:rPr>
          <w:rFonts w:eastAsia="Times New Roman" w:cs="Times New Roman"/>
          <w:lang w:eastAsia="de-DE"/>
        </w:rPr>
        <w:t>Kud</w:t>
      </w:r>
      <w:proofErr w:type="spellEnd"/>
      <w:r w:rsidRPr="00F75E3B">
        <w:rPr>
          <w:rFonts w:eastAsia="Times New Roman" w:cs="Times New Roman"/>
          <w:lang w:eastAsia="de-DE"/>
        </w:rPr>
        <w:t xml:space="preserve">). </w:t>
      </w:r>
      <w:r w:rsidRPr="00F75E3B">
        <w:rPr>
          <w:rFonts w:eastAsia="Times New Roman" w:cs="Times New Roman"/>
          <w:b/>
          <w:bCs/>
          <w:rtl/>
          <w:lang w:eastAsia="de-DE"/>
        </w:rPr>
        <w:t>בבהמה</w:t>
      </w:r>
      <w:r w:rsidRPr="00F75E3B">
        <w:rPr>
          <w:rFonts w:eastAsia="Times New Roman" w:cs="Times New Roman"/>
          <w:rtl/>
          <w:lang w:eastAsia="de-DE"/>
        </w:rPr>
        <w:t xml:space="preserve"> </w:t>
      </w:r>
      <w:r w:rsidRPr="00F75E3B">
        <w:rPr>
          <w:rFonts w:eastAsia="Times New Roman" w:cs="Times New Roman"/>
          <w:lang w:eastAsia="de-DE"/>
        </w:rPr>
        <w:t xml:space="preserve">(unter den Tieren) spezifiziert die Kategorie. </w:t>
      </w:r>
      <w:r w:rsidRPr="00F75E3B">
        <w:rPr>
          <w:rFonts w:eastAsia="Times New Roman" w:cs="Times New Roman"/>
          <w:b/>
          <w:bCs/>
          <w:rtl/>
          <w:lang w:eastAsia="de-DE"/>
        </w:rPr>
        <w:t>אתה תאכלו</w:t>
      </w:r>
      <w:r w:rsidRPr="00F75E3B">
        <w:rPr>
          <w:rFonts w:eastAsia="Times New Roman" w:cs="Times New Roman"/>
          <w:rtl/>
          <w:lang w:eastAsia="de-DE"/>
        </w:rPr>
        <w:t xml:space="preserve"> </w:t>
      </w:r>
      <w:r w:rsidRPr="00F75E3B">
        <w:rPr>
          <w:rFonts w:eastAsia="Times New Roman" w:cs="Times New Roman"/>
          <w:lang w:eastAsia="de-DE"/>
        </w:rPr>
        <w:t xml:space="preserve">(das dürft ihr essen) mit </w:t>
      </w:r>
      <w:r w:rsidRPr="00F75E3B">
        <w:rPr>
          <w:rFonts w:eastAsia="Times New Roman" w:cs="Times New Roman"/>
          <w:b/>
          <w:bCs/>
          <w:rtl/>
          <w:lang w:eastAsia="de-DE"/>
        </w:rPr>
        <w:t>אתה</w:t>
      </w:r>
      <w:r w:rsidRPr="00F75E3B">
        <w:rPr>
          <w:rFonts w:eastAsia="Times New Roman" w:cs="Times New Roman"/>
          <w:rtl/>
          <w:lang w:eastAsia="de-DE"/>
        </w:rPr>
        <w:t xml:space="preserve"> </w:t>
      </w:r>
      <w:r w:rsidRPr="00F75E3B">
        <w:rPr>
          <w:rFonts w:eastAsia="Times New Roman" w:cs="Times New Roman"/>
          <w:lang w:eastAsia="de-DE"/>
        </w:rPr>
        <w:t>(das) referenziert alle Tiere, die beide Kriterien erfüllen.</w:t>
      </w:r>
    </w:p>
    <w:p w14:paraId="638931C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lastRenderedPageBreak/>
        <w:t>מפרסת פרסה ושסעת שסע פרסות</w:t>
      </w:r>
      <w:r w:rsidRPr="00F75E3B">
        <w:rPr>
          <w:rFonts w:eastAsia="Times New Roman" w:cs="Times New Roman"/>
          <w:rtl/>
          <w:lang w:eastAsia="de-DE"/>
        </w:rPr>
        <w:t xml:space="preserve"> </w:t>
      </w:r>
      <w:r w:rsidRPr="00F75E3B">
        <w:rPr>
          <w:rFonts w:eastAsia="Times New Roman" w:cs="Times New Roman"/>
          <w:lang w:eastAsia="de-DE"/>
        </w:rPr>
        <w:t xml:space="preserve">mit doppelter Betonung der Hufspaltung zeigt, dass vollständige Spaltung erforderlich ist. </w:t>
      </w:r>
      <w:r w:rsidRPr="00F75E3B">
        <w:rPr>
          <w:rFonts w:eastAsia="Times New Roman" w:cs="Times New Roman"/>
          <w:b/>
          <w:bCs/>
          <w:rtl/>
          <w:lang w:eastAsia="de-DE"/>
        </w:rPr>
        <w:t>מעלת גרה</w:t>
      </w:r>
      <w:r w:rsidRPr="00F75E3B">
        <w:rPr>
          <w:rFonts w:eastAsia="Times New Roman" w:cs="Times New Roman"/>
          <w:rtl/>
          <w:lang w:eastAsia="de-DE"/>
        </w:rPr>
        <w:t xml:space="preserve"> </w:t>
      </w:r>
      <w:r w:rsidRPr="00F75E3B">
        <w:rPr>
          <w:rFonts w:eastAsia="Times New Roman" w:cs="Times New Roman"/>
          <w:lang w:eastAsia="de-DE"/>
        </w:rPr>
        <w:t xml:space="preserve">beschreibt den Wiederkauvorgang: das Hinaufbringen bereits verschluckter Nahrung zur erneuten </w:t>
      </w:r>
      <w:proofErr w:type="spellStart"/>
      <w:r w:rsidRPr="00F75E3B">
        <w:rPr>
          <w:rFonts w:eastAsia="Times New Roman" w:cs="Times New Roman"/>
          <w:lang w:eastAsia="de-DE"/>
        </w:rPr>
        <w:t>Kauung</w:t>
      </w:r>
      <w:proofErr w:type="spellEnd"/>
      <w:r w:rsidRPr="00F75E3B">
        <w:rPr>
          <w:rFonts w:eastAsia="Times New Roman" w:cs="Times New Roman"/>
          <w:lang w:eastAsia="de-DE"/>
        </w:rPr>
        <w:t>.</w:t>
      </w:r>
    </w:p>
    <w:p w14:paraId="214788B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מפרסת פרסה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διχηλοῦν</w:t>
      </w:r>
      <w:proofErr w:type="spellEnd"/>
      <w:r w:rsidRPr="00F75E3B">
        <w:rPr>
          <w:rFonts w:eastAsia="Times New Roman" w:cs="Times New Roman"/>
          <w:lang w:eastAsia="de-DE"/>
        </w:rPr>
        <w:t xml:space="preserve"> ὁπ</w:t>
      </w:r>
      <w:proofErr w:type="spellStart"/>
      <w:r w:rsidRPr="00F75E3B">
        <w:rPr>
          <w:rFonts w:eastAsia="Times New Roman" w:cs="Times New Roman"/>
          <w:lang w:eastAsia="de-DE"/>
        </w:rPr>
        <w:t>λήν</w:t>
      </w:r>
      <w:proofErr w:type="spellEnd"/>
      <w:r w:rsidRPr="00F75E3B">
        <w:rPr>
          <w:rFonts w:eastAsia="Times New Roman" w:cs="Times New Roman"/>
          <w:lang w:eastAsia="de-DE"/>
        </w:rPr>
        <w:t xml:space="preserve"> (gespaltenen Huf habend), </w:t>
      </w:r>
      <w:r w:rsidRPr="00F75E3B">
        <w:rPr>
          <w:rFonts w:eastAsia="Times New Roman" w:cs="Times New Roman"/>
          <w:b/>
          <w:bCs/>
          <w:rtl/>
          <w:lang w:eastAsia="de-DE"/>
        </w:rPr>
        <w:t>ושסעת שסע</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ὀνυχιστῆρ</w:t>
      </w:r>
      <w:proofErr w:type="spellEnd"/>
      <w:r w:rsidRPr="00F75E3B">
        <w:rPr>
          <w:rFonts w:eastAsia="Times New Roman" w:cs="Times New Roman"/>
          <w:lang w:eastAsia="de-DE"/>
        </w:rPr>
        <w:t xml:space="preserve">ας </w:t>
      </w:r>
      <w:proofErr w:type="spellStart"/>
      <w:r w:rsidRPr="00F75E3B">
        <w:rPr>
          <w:rFonts w:eastAsia="Times New Roman" w:cs="Times New Roman"/>
          <w:lang w:eastAsia="de-DE"/>
        </w:rPr>
        <w:t>ὀνυχίζον</w:t>
      </w:r>
      <w:proofErr w:type="spellEnd"/>
      <w:r w:rsidRPr="00F75E3B">
        <w:rPr>
          <w:rFonts w:eastAsia="Times New Roman" w:cs="Times New Roman"/>
          <w:lang w:eastAsia="de-DE"/>
        </w:rPr>
        <w:t xml:space="preserve"> (Klauen spaltend) und </w:t>
      </w:r>
      <w:r w:rsidRPr="00F75E3B">
        <w:rPr>
          <w:rFonts w:eastAsia="Times New Roman" w:cs="Times New Roman"/>
          <w:b/>
          <w:bCs/>
          <w:rtl/>
          <w:lang w:eastAsia="de-DE"/>
        </w:rPr>
        <w:t>מעלת גרה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ἀν</w:t>
      </w:r>
      <w:proofErr w:type="spellEnd"/>
      <w:r w:rsidRPr="00F75E3B">
        <w:rPr>
          <w:rFonts w:eastAsia="Times New Roman" w:cs="Times New Roman"/>
          <w:lang w:eastAsia="de-DE"/>
        </w:rPr>
        <w:t xml:space="preserve">αγόμενον </w:t>
      </w:r>
      <w:proofErr w:type="spellStart"/>
      <w:r w:rsidRPr="00F75E3B">
        <w:rPr>
          <w:rFonts w:eastAsia="Times New Roman" w:cs="Times New Roman"/>
          <w:lang w:eastAsia="de-DE"/>
        </w:rPr>
        <w:t>μηρυκισμόν</w:t>
      </w:r>
      <w:proofErr w:type="spellEnd"/>
      <w:r w:rsidRPr="00F75E3B">
        <w:rPr>
          <w:rFonts w:eastAsia="Times New Roman" w:cs="Times New Roman"/>
          <w:lang w:eastAsia="de-DE"/>
        </w:rPr>
        <w:t xml:space="preserve"> (hinaufbringend Wiederkäuen).</w:t>
      </w:r>
    </w:p>
    <w:p w14:paraId="5054C41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universelle Regel mit drei Kriterien: Totalitätspartikel + erstes Kriterium + verstärkendes zweites Kriterium + drittes Kriterium + Kategoriespezifikation + Erlaubnisformel. Die Struktur etabliert die beiden notwendigen Bedingungen für erlaubte Landtiere.</w:t>
      </w:r>
    </w:p>
    <w:p w14:paraId="5EF4CBD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etabliert die beiden fundamentalen Kriterien für erlaubte Landtiere: gespaltener Huf und Wiederkäuen - beide Bedingungen müssen erfüllt sein.</w:t>
      </w:r>
    </w:p>
    <w:p w14:paraId="2727B4B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אַ֤ךְ אֶת־זֶה֙ לֹ֣א תֹֽאכְל֔וּ מִֽמַּעֲלֵי֙ הַגֵּרָ֔ה וּמִמַּפְרִיסֵ֖י הַפַּרְסָ֑ה אֶֽת־הַ֠גָּמָל כִּֽי־מַעֲלֵ֨ה גֵרָ֜ה ה֗וּא וּפַרְסָה֙ אֵינֶ֣נּוּ מַפְרִ֔יס טָמֵ֥א ה֖וּא לָכֶֽם׃</w:t>
      </w:r>
    </w:p>
    <w:p w14:paraId="394B964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Nur diese sollt ihr nicht essen von den wiederkäuenden und von denen, die gespaltenen Huf haben: das Kamel, denn es käut wieder, hat aber keinen gespaltenen Huf: unrein ist es für euch;</w:t>
      </w:r>
    </w:p>
    <w:p w14:paraId="23D139E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9EE81EA">
          <v:rect id="_x0000_i1280" style="width:0;height:1.5pt" o:hralign="center" o:hrstd="t" o:hr="t" fillcolor="#a0a0a0" stroked="f"/>
        </w:pict>
      </w:r>
    </w:p>
    <w:p w14:paraId="2CA6FC0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אך את־זה לא תאכלו ממעלי הגרה וממפריסי הפרסה</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אך</w:t>
      </w:r>
      <w:r w:rsidRPr="00F75E3B">
        <w:rPr>
          <w:rFonts w:eastAsia="Times New Roman" w:cs="Times New Roman"/>
          <w:rtl/>
          <w:lang w:eastAsia="de-DE"/>
        </w:rPr>
        <w:t xml:space="preserve"> </w:t>
      </w:r>
      <w:r w:rsidRPr="00F75E3B">
        <w:rPr>
          <w:rFonts w:eastAsia="Times New Roman" w:cs="Times New Roman"/>
          <w:lang w:eastAsia="de-DE"/>
        </w:rPr>
        <w:t xml:space="preserve">(nur/jedoch) als einschränkende Partikel. </w:t>
      </w:r>
      <w:r w:rsidRPr="00F75E3B">
        <w:rPr>
          <w:rFonts w:eastAsia="Times New Roman" w:cs="Times New Roman"/>
          <w:b/>
          <w:bCs/>
          <w:rtl/>
          <w:lang w:eastAsia="de-DE"/>
        </w:rPr>
        <w:t>את־זה לא תאכלו</w:t>
      </w:r>
      <w:r w:rsidRPr="00F75E3B">
        <w:rPr>
          <w:rFonts w:eastAsia="Times New Roman" w:cs="Times New Roman"/>
          <w:rtl/>
          <w:lang w:eastAsia="de-DE"/>
        </w:rPr>
        <w:t xml:space="preserve"> </w:t>
      </w:r>
      <w:r w:rsidRPr="00F75E3B">
        <w:rPr>
          <w:rFonts w:eastAsia="Times New Roman" w:cs="Times New Roman"/>
          <w:lang w:eastAsia="de-DE"/>
        </w:rPr>
        <w:t xml:space="preserve">(diese sollt ihr nicht essen) mit Negation </w:t>
      </w:r>
      <w:r w:rsidRPr="00F75E3B">
        <w:rPr>
          <w:rFonts w:eastAsia="Times New Roman" w:cs="Times New Roman"/>
          <w:b/>
          <w:bCs/>
          <w:rtl/>
          <w:lang w:eastAsia="de-DE"/>
        </w:rPr>
        <w:t>לא</w:t>
      </w:r>
      <w:r w:rsidRPr="00F75E3B">
        <w:rPr>
          <w:rFonts w:eastAsia="Times New Roman" w:cs="Times New Roman"/>
          <w:lang w:eastAsia="de-DE"/>
        </w:rPr>
        <w:t xml:space="preserve">. </w:t>
      </w:r>
      <w:r w:rsidRPr="00F75E3B">
        <w:rPr>
          <w:rFonts w:eastAsia="Times New Roman" w:cs="Times New Roman"/>
          <w:b/>
          <w:bCs/>
          <w:rtl/>
          <w:lang w:eastAsia="de-DE"/>
        </w:rPr>
        <w:t>ממעלי הגרה</w:t>
      </w:r>
      <w:r w:rsidRPr="00F75E3B">
        <w:rPr>
          <w:rFonts w:eastAsia="Times New Roman" w:cs="Times New Roman"/>
          <w:rtl/>
          <w:lang w:eastAsia="de-DE"/>
        </w:rPr>
        <w:t xml:space="preserve"> </w:t>
      </w:r>
      <w:r w:rsidRPr="00F75E3B">
        <w:rPr>
          <w:rFonts w:eastAsia="Times New Roman" w:cs="Times New Roman"/>
          <w:lang w:eastAsia="de-DE"/>
        </w:rPr>
        <w:t xml:space="preserve">(von den Wiederkäuenden) und </w:t>
      </w:r>
      <w:r w:rsidRPr="00F75E3B">
        <w:rPr>
          <w:rFonts w:eastAsia="Times New Roman" w:cs="Times New Roman"/>
          <w:b/>
          <w:bCs/>
          <w:rtl/>
          <w:lang w:eastAsia="de-DE"/>
        </w:rPr>
        <w:t>וממפריסי הפרסה</w:t>
      </w:r>
      <w:r w:rsidRPr="00F75E3B">
        <w:rPr>
          <w:rFonts w:eastAsia="Times New Roman" w:cs="Times New Roman"/>
          <w:rtl/>
          <w:lang w:eastAsia="de-DE"/>
        </w:rPr>
        <w:t xml:space="preserve"> </w:t>
      </w:r>
      <w:r w:rsidRPr="00F75E3B">
        <w:rPr>
          <w:rFonts w:eastAsia="Times New Roman" w:cs="Times New Roman"/>
          <w:lang w:eastAsia="de-DE"/>
        </w:rPr>
        <w:t xml:space="preserve">(und von denen mit gespaltenem Huf) - beide mit partitivem </w:t>
      </w:r>
      <w:r w:rsidRPr="00F75E3B">
        <w:rPr>
          <w:rFonts w:eastAsia="Times New Roman" w:cs="Times New Roman"/>
          <w:b/>
          <w:bCs/>
          <w:rtl/>
          <w:lang w:eastAsia="de-DE"/>
        </w:rPr>
        <w:t>מן</w:t>
      </w:r>
      <w:r w:rsidRPr="00F75E3B">
        <w:rPr>
          <w:rFonts w:eastAsia="Times New Roman" w:cs="Times New Roman"/>
          <w:lang w:eastAsia="de-DE"/>
        </w:rPr>
        <w:t xml:space="preserve">. </w:t>
      </w:r>
      <w:r w:rsidRPr="00F75E3B">
        <w:rPr>
          <w:rFonts w:eastAsia="Times New Roman" w:cs="Times New Roman"/>
          <w:b/>
          <w:bCs/>
          <w:rtl/>
          <w:lang w:eastAsia="de-DE"/>
        </w:rPr>
        <w:t>מעלי</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מפריסי</w:t>
      </w:r>
      <w:r w:rsidRPr="00F75E3B">
        <w:rPr>
          <w:rFonts w:eastAsia="Times New Roman" w:cs="Times New Roman"/>
          <w:rtl/>
          <w:lang w:eastAsia="de-DE"/>
        </w:rPr>
        <w:t xml:space="preserve"> </w:t>
      </w:r>
      <w:r w:rsidRPr="00F75E3B">
        <w:rPr>
          <w:rFonts w:eastAsia="Times New Roman" w:cs="Times New Roman"/>
          <w:lang w:eastAsia="de-DE"/>
        </w:rPr>
        <w:t>sind Hifil-Partizipien Plural.</w:t>
      </w:r>
    </w:p>
    <w:p w14:paraId="1D20743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את־הגמל כי־מעלה גרה הוא ופרסה איננו מפריס 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spezifiziert das erste Beispiel. </w:t>
      </w:r>
      <w:r w:rsidRPr="00F75E3B">
        <w:rPr>
          <w:rFonts w:eastAsia="Times New Roman" w:cs="Times New Roman"/>
          <w:b/>
          <w:bCs/>
          <w:rtl/>
          <w:lang w:eastAsia="de-DE"/>
        </w:rPr>
        <w:t>את־הגמל</w:t>
      </w:r>
      <w:r w:rsidRPr="00F75E3B">
        <w:rPr>
          <w:rFonts w:eastAsia="Times New Roman" w:cs="Times New Roman"/>
          <w:rtl/>
          <w:lang w:eastAsia="de-DE"/>
        </w:rPr>
        <w:t xml:space="preserve"> </w:t>
      </w:r>
      <w:r w:rsidRPr="00F75E3B">
        <w:rPr>
          <w:rFonts w:eastAsia="Times New Roman" w:cs="Times New Roman"/>
          <w:lang w:eastAsia="de-DE"/>
        </w:rPr>
        <w:t xml:space="preserve">(das Kamel) als direktes Objekt. </w:t>
      </w:r>
      <w:r w:rsidRPr="00F75E3B">
        <w:rPr>
          <w:rFonts w:eastAsia="Times New Roman" w:cs="Times New Roman"/>
          <w:b/>
          <w:bCs/>
          <w:rtl/>
          <w:lang w:eastAsia="de-DE"/>
        </w:rPr>
        <w:t>כי־מעלה גרה הוא</w:t>
      </w:r>
      <w:r w:rsidRPr="00F75E3B">
        <w:rPr>
          <w:rFonts w:eastAsia="Times New Roman" w:cs="Times New Roman"/>
          <w:rtl/>
          <w:lang w:eastAsia="de-DE"/>
        </w:rPr>
        <w:t xml:space="preserve"> </w:t>
      </w:r>
      <w:r w:rsidRPr="00F75E3B">
        <w:rPr>
          <w:rFonts w:eastAsia="Times New Roman" w:cs="Times New Roman"/>
          <w:lang w:eastAsia="de-DE"/>
        </w:rPr>
        <w:t xml:space="preserve">(denn es käut wieder) - </w:t>
      </w:r>
      <w:r w:rsidRPr="00F75E3B">
        <w:rPr>
          <w:rFonts w:eastAsia="Times New Roman" w:cs="Times New Roman"/>
          <w:b/>
          <w:bCs/>
          <w:rtl/>
          <w:lang w:eastAsia="de-DE"/>
        </w:rPr>
        <w:t>מעלה גרה</w:t>
      </w:r>
      <w:r w:rsidRPr="00F75E3B">
        <w:rPr>
          <w:rFonts w:eastAsia="Times New Roman" w:cs="Times New Roman"/>
          <w:rtl/>
          <w:lang w:eastAsia="de-DE"/>
        </w:rPr>
        <w:t xml:space="preserve"> </w:t>
      </w:r>
      <w:r w:rsidRPr="00F75E3B">
        <w:rPr>
          <w:rFonts w:eastAsia="Times New Roman" w:cs="Times New Roman"/>
          <w:lang w:eastAsia="de-DE"/>
        </w:rPr>
        <w:t xml:space="preserve">als Hifil-Partizip mit </w:t>
      </w:r>
      <w:r w:rsidRPr="00F75E3B">
        <w:rPr>
          <w:rFonts w:eastAsia="Times New Roman" w:cs="Times New Roman"/>
          <w:b/>
          <w:bCs/>
          <w:rtl/>
          <w:lang w:eastAsia="de-DE"/>
        </w:rPr>
        <w:t>הוא</w:t>
      </w:r>
      <w:r w:rsidRPr="00F75E3B">
        <w:rPr>
          <w:rFonts w:eastAsia="Times New Roman" w:cs="Times New Roman"/>
          <w:rtl/>
          <w:lang w:eastAsia="de-DE"/>
        </w:rPr>
        <w:t xml:space="preserve"> </w:t>
      </w:r>
      <w:r w:rsidRPr="00F75E3B">
        <w:rPr>
          <w:rFonts w:eastAsia="Times New Roman" w:cs="Times New Roman"/>
          <w:lang w:eastAsia="de-DE"/>
        </w:rPr>
        <w:t xml:space="preserve">emphatisch. </w:t>
      </w:r>
      <w:r w:rsidRPr="00F75E3B">
        <w:rPr>
          <w:rFonts w:eastAsia="Times New Roman" w:cs="Times New Roman"/>
          <w:b/>
          <w:bCs/>
          <w:rtl/>
          <w:lang w:eastAsia="de-DE"/>
        </w:rPr>
        <w:t>ופרסה איננו מפריס</w:t>
      </w:r>
      <w:r w:rsidRPr="00F75E3B">
        <w:rPr>
          <w:rFonts w:eastAsia="Times New Roman" w:cs="Times New Roman"/>
          <w:rtl/>
          <w:lang w:eastAsia="de-DE"/>
        </w:rPr>
        <w:t xml:space="preserve"> </w:t>
      </w:r>
      <w:r w:rsidRPr="00F75E3B">
        <w:rPr>
          <w:rFonts w:eastAsia="Times New Roman" w:cs="Times New Roman"/>
          <w:lang w:eastAsia="de-DE"/>
        </w:rPr>
        <w:t xml:space="preserve">(aber den Huf spaltet es nicht) - </w:t>
      </w:r>
      <w:r w:rsidRPr="00F75E3B">
        <w:rPr>
          <w:rFonts w:eastAsia="Times New Roman" w:cs="Times New Roman"/>
          <w:b/>
          <w:bCs/>
          <w:rtl/>
          <w:lang w:eastAsia="de-DE"/>
        </w:rPr>
        <w:t>איננו</w:t>
      </w:r>
      <w:r w:rsidRPr="00F75E3B">
        <w:rPr>
          <w:rFonts w:eastAsia="Times New Roman" w:cs="Times New Roman"/>
          <w:rtl/>
          <w:lang w:eastAsia="de-DE"/>
        </w:rPr>
        <w:t xml:space="preserve"> </w:t>
      </w:r>
      <w:r w:rsidRPr="00F75E3B">
        <w:rPr>
          <w:rFonts w:eastAsia="Times New Roman" w:cs="Times New Roman"/>
          <w:lang w:eastAsia="de-DE"/>
        </w:rPr>
        <w:t xml:space="preserve">(er ist nicht) mit </w:t>
      </w:r>
      <w:r w:rsidRPr="00F75E3B">
        <w:rPr>
          <w:rFonts w:eastAsia="Times New Roman" w:cs="Times New Roman"/>
          <w:b/>
          <w:bCs/>
          <w:rtl/>
          <w:lang w:eastAsia="de-DE"/>
        </w:rPr>
        <w:t>מפריס</w:t>
      </w:r>
      <w:r w:rsidRPr="00F75E3B">
        <w:rPr>
          <w:rFonts w:eastAsia="Times New Roman" w:cs="Times New Roman"/>
          <w:rtl/>
          <w:lang w:eastAsia="de-DE"/>
        </w:rPr>
        <w:t xml:space="preserve"> </w:t>
      </w:r>
      <w:r w:rsidRPr="00F75E3B">
        <w:rPr>
          <w:rFonts w:eastAsia="Times New Roman" w:cs="Times New Roman"/>
          <w:lang w:eastAsia="de-DE"/>
        </w:rPr>
        <w:t xml:space="preserve">(spaltend). </w:t>
      </w:r>
      <w:r w:rsidRPr="00F75E3B">
        <w:rPr>
          <w:rFonts w:eastAsia="Times New Roman" w:cs="Times New Roman"/>
          <w:b/>
          <w:bCs/>
          <w:rtl/>
          <w:lang w:eastAsia="de-DE"/>
        </w:rPr>
        <w:t>טמא הוא לכם</w:t>
      </w:r>
      <w:r w:rsidRPr="00F75E3B">
        <w:rPr>
          <w:rFonts w:eastAsia="Times New Roman" w:cs="Times New Roman"/>
          <w:rtl/>
          <w:lang w:eastAsia="de-DE"/>
        </w:rPr>
        <w:t xml:space="preserve"> </w:t>
      </w:r>
      <w:r w:rsidRPr="00F75E3B">
        <w:rPr>
          <w:rFonts w:eastAsia="Times New Roman" w:cs="Times New Roman"/>
          <w:lang w:eastAsia="de-DE"/>
        </w:rPr>
        <w:t>(unrein ist es für euch) als Klassifikation.</w:t>
      </w:r>
    </w:p>
    <w:p w14:paraId="01170E4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אך</w:t>
      </w:r>
      <w:r w:rsidRPr="00F75E3B">
        <w:rPr>
          <w:rFonts w:eastAsia="Times New Roman" w:cs="Times New Roman"/>
          <w:rtl/>
          <w:lang w:eastAsia="de-DE"/>
        </w:rPr>
        <w:t xml:space="preserve"> </w:t>
      </w:r>
      <w:r w:rsidRPr="00F75E3B">
        <w:rPr>
          <w:rFonts w:eastAsia="Times New Roman" w:cs="Times New Roman"/>
          <w:lang w:eastAsia="de-DE"/>
        </w:rPr>
        <w:t xml:space="preserve">leitet Ausnahmen zur Regel aus V. 3 ein. </w:t>
      </w:r>
      <w:r w:rsidRPr="00F75E3B">
        <w:rPr>
          <w:rFonts w:eastAsia="Times New Roman" w:cs="Times New Roman"/>
          <w:b/>
          <w:bCs/>
          <w:rtl/>
          <w:lang w:eastAsia="de-DE"/>
        </w:rPr>
        <w:t>ממעלי הגרה וממפריסי הפרסה</w:t>
      </w:r>
      <w:r w:rsidRPr="00F75E3B">
        <w:rPr>
          <w:rFonts w:eastAsia="Times New Roman" w:cs="Times New Roman"/>
          <w:rtl/>
          <w:lang w:eastAsia="de-DE"/>
        </w:rPr>
        <w:t xml:space="preserve"> </w:t>
      </w:r>
      <w:r w:rsidRPr="00F75E3B">
        <w:rPr>
          <w:rFonts w:eastAsia="Times New Roman" w:cs="Times New Roman"/>
          <w:lang w:eastAsia="de-DE"/>
        </w:rPr>
        <w:t xml:space="preserve">zeigt Tiere, die nur eines der beiden Kriterien erfüllen. </w:t>
      </w:r>
      <w:r w:rsidRPr="00F75E3B">
        <w:rPr>
          <w:rFonts w:eastAsia="Times New Roman" w:cs="Times New Roman"/>
          <w:b/>
          <w:bCs/>
          <w:rtl/>
          <w:lang w:eastAsia="de-DE"/>
        </w:rPr>
        <w:t>הגמל</w:t>
      </w:r>
      <w:r w:rsidRPr="00F75E3B">
        <w:rPr>
          <w:rFonts w:eastAsia="Times New Roman" w:cs="Times New Roman"/>
          <w:rtl/>
          <w:lang w:eastAsia="de-DE"/>
        </w:rPr>
        <w:t xml:space="preserve"> </w:t>
      </w:r>
      <w:r w:rsidRPr="00F75E3B">
        <w:rPr>
          <w:rFonts w:eastAsia="Times New Roman" w:cs="Times New Roman"/>
          <w:lang w:eastAsia="de-DE"/>
        </w:rPr>
        <w:t>(Kamel) ist das erste Beispiel eines Tieres, das wiederkäut aber keinen gespaltenen Huf hat.</w:t>
      </w:r>
    </w:p>
    <w:p w14:paraId="6C8B079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אך</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λὴν</w:t>
      </w:r>
      <w:proofErr w:type="spellEnd"/>
      <w:r w:rsidRPr="00F75E3B">
        <w:rPr>
          <w:rFonts w:eastAsia="Times New Roman" w:cs="Times New Roman"/>
          <w:lang w:eastAsia="de-DE"/>
        </w:rPr>
        <w:t xml:space="preserve"> (außer), </w:t>
      </w:r>
      <w:r w:rsidRPr="00F75E3B">
        <w:rPr>
          <w:rFonts w:eastAsia="Times New Roman" w:cs="Times New Roman"/>
          <w:b/>
          <w:bCs/>
          <w:rtl/>
          <w:lang w:eastAsia="de-DE"/>
        </w:rPr>
        <w:t>הגמל</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κάμηλον</w:t>
      </w:r>
      <w:proofErr w:type="spellEnd"/>
      <w:r w:rsidRPr="00F75E3B">
        <w:rPr>
          <w:rFonts w:eastAsia="Times New Roman" w:cs="Times New Roman"/>
          <w:lang w:eastAsia="de-DE"/>
        </w:rPr>
        <w:t xml:space="preserve"> (Kamel), </w:t>
      </w:r>
      <w:r w:rsidRPr="00F75E3B">
        <w:rPr>
          <w:rFonts w:eastAsia="Times New Roman" w:cs="Times New Roman"/>
          <w:b/>
          <w:bCs/>
          <w:rtl/>
          <w:lang w:eastAsia="de-DE"/>
        </w:rPr>
        <w:t>מעלה גרה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ἀν</w:t>
      </w:r>
      <w:proofErr w:type="spellEnd"/>
      <w:r w:rsidRPr="00F75E3B">
        <w:rPr>
          <w:rFonts w:eastAsia="Times New Roman" w:cs="Times New Roman"/>
          <w:lang w:eastAsia="de-DE"/>
        </w:rPr>
        <w:t xml:space="preserve">αγόμενον </w:t>
      </w:r>
      <w:proofErr w:type="spellStart"/>
      <w:r w:rsidRPr="00F75E3B">
        <w:rPr>
          <w:rFonts w:eastAsia="Times New Roman" w:cs="Times New Roman"/>
          <w:lang w:eastAsia="de-DE"/>
        </w:rPr>
        <w:t>μηρυκισμόν</w:t>
      </w:r>
      <w:proofErr w:type="spellEnd"/>
      <w:r w:rsidRPr="00F75E3B">
        <w:rPr>
          <w:rFonts w:eastAsia="Times New Roman" w:cs="Times New Roman"/>
          <w:lang w:eastAsia="de-DE"/>
        </w:rPr>
        <w:t xml:space="preserve"> (hinaufbringend Wiederkäuen) und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mit ἀκάθαρτον (unrein).</w:t>
      </w:r>
    </w:p>
    <w:p w14:paraId="2CAF113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Ausnahmeregel mit Beispiel: Einschränkungspartikel + Verbot + zwei partitive Quellen + spezifisches Beispiel + Begründung mit zwei Kriterien + Unreinheitsklassifikation. Die Struktur demonstriert unvollständige Erfüllung der Kriterien.</w:t>
      </w:r>
    </w:p>
    <w:p w14:paraId="5335070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beginnt die Auflistung verbotener Tiere mit dem Kamel als Beispiel für unvollständige Kriterienerfüllung (nur Wiederkäuen, kein gespaltener Huf).</w:t>
      </w:r>
    </w:p>
    <w:p w14:paraId="345BAEC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lastRenderedPageBreak/>
        <w:t>Leviticus 11,5</w:t>
      </w:r>
    </w:p>
    <w:p w14:paraId="3C4BC45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וְאֶת־הַשָּׁפָ֗ן כִּֽי־מַעֲלֵ֤ה גֵרָה֙ ה֔וּא וּפַרְסָ֖ה לֹ֣א יַפְרִ֑יס טָמֵ֥א ה֖וּא לָכֶֽם׃</w:t>
      </w:r>
    </w:p>
    <w:p w14:paraId="41B8B14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den Klippdachs, denn er käut wieder, hat aber keinen gespaltenen Huf: unrein ist er für euch;</w:t>
      </w:r>
    </w:p>
    <w:p w14:paraId="65759894"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DFAD39D">
          <v:rect id="_x0000_i1281" style="width:0;height:1.5pt" o:hralign="center" o:hrstd="t" o:hr="t" fillcolor="#a0a0a0" stroked="f"/>
        </w:pict>
      </w:r>
    </w:p>
    <w:p w14:paraId="6B6B50E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ואת־השפן כי־מעלה גרה הוא ופרסה לא יפריס 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השפן</w:t>
      </w:r>
      <w:r w:rsidRPr="00F75E3B">
        <w:rPr>
          <w:rFonts w:eastAsia="Times New Roman" w:cs="Times New Roman"/>
          <w:rtl/>
          <w:lang w:eastAsia="de-DE"/>
        </w:rPr>
        <w:t xml:space="preserve"> </w:t>
      </w:r>
      <w:r w:rsidRPr="00F75E3B">
        <w:rPr>
          <w:rFonts w:eastAsia="Times New Roman" w:cs="Times New Roman"/>
          <w:lang w:eastAsia="de-DE"/>
        </w:rPr>
        <w:t xml:space="preserve">(Klippdachs) als zweites Beispiel. Die Struktur entspricht exakt V. 4: </w:t>
      </w:r>
      <w:r w:rsidRPr="00F75E3B">
        <w:rPr>
          <w:rFonts w:eastAsia="Times New Roman" w:cs="Times New Roman"/>
          <w:b/>
          <w:bCs/>
          <w:rtl/>
          <w:lang w:eastAsia="de-DE"/>
        </w:rPr>
        <w:t>כי־מעלה גרה הוא</w:t>
      </w:r>
      <w:r w:rsidRPr="00F75E3B">
        <w:rPr>
          <w:rFonts w:eastAsia="Times New Roman" w:cs="Times New Roman"/>
          <w:rtl/>
          <w:lang w:eastAsia="de-DE"/>
        </w:rPr>
        <w:t xml:space="preserve"> </w:t>
      </w:r>
      <w:r w:rsidRPr="00F75E3B">
        <w:rPr>
          <w:rFonts w:eastAsia="Times New Roman" w:cs="Times New Roman"/>
          <w:lang w:eastAsia="de-DE"/>
        </w:rPr>
        <w:t xml:space="preserve">(denn er käut wieder) mit emphatischem </w:t>
      </w:r>
      <w:r w:rsidRPr="00F75E3B">
        <w:rPr>
          <w:rFonts w:eastAsia="Times New Roman" w:cs="Times New Roman"/>
          <w:b/>
          <w:bCs/>
          <w:rtl/>
          <w:lang w:eastAsia="de-DE"/>
        </w:rPr>
        <w:t>הוא</w:t>
      </w:r>
      <w:r w:rsidRPr="00F75E3B">
        <w:rPr>
          <w:rFonts w:eastAsia="Times New Roman" w:cs="Times New Roman"/>
          <w:lang w:eastAsia="de-DE"/>
        </w:rPr>
        <w:t xml:space="preserve">, </w:t>
      </w:r>
      <w:r w:rsidRPr="00F75E3B">
        <w:rPr>
          <w:rFonts w:eastAsia="Times New Roman" w:cs="Times New Roman"/>
          <w:b/>
          <w:bCs/>
          <w:rtl/>
          <w:lang w:eastAsia="de-DE"/>
        </w:rPr>
        <w:t>ופרסה לא יפריס</w:t>
      </w:r>
      <w:r w:rsidRPr="00F75E3B">
        <w:rPr>
          <w:rFonts w:eastAsia="Times New Roman" w:cs="Times New Roman"/>
          <w:rtl/>
          <w:lang w:eastAsia="de-DE"/>
        </w:rPr>
        <w:t xml:space="preserve"> </w:t>
      </w:r>
      <w:r w:rsidRPr="00F75E3B">
        <w:rPr>
          <w:rFonts w:eastAsia="Times New Roman" w:cs="Times New Roman"/>
          <w:lang w:eastAsia="de-DE"/>
        </w:rPr>
        <w:t xml:space="preserve">(aber den Huf spaltet er nicht) mit </w:t>
      </w:r>
      <w:r w:rsidRPr="00F75E3B">
        <w:rPr>
          <w:rFonts w:eastAsia="Times New Roman" w:cs="Times New Roman"/>
          <w:b/>
          <w:bCs/>
          <w:rtl/>
          <w:lang w:eastAsia="de-DE"/>
        </w:rPr>
        <w:t>לא יפריס</w:t>
      </w:r>
      <w:r w:rsidRPr="00F75E3B">
        <w:rPr>
          <w:rFonts w:eastAsia="Times New Roman" w:cs="Times New Roman"/>
          <w:rtl/>
          <w:lang w:eastAsia="de-DE"/>
        </w:rPr>
        <w:t xml:space="preserve"> </w:t>
      </w:r>
      <w:r w:rsidRPr="00F75E3B">
        <w:rPr>
          <w:rFonts w:eastAsia="Times New Roman" w:cs="Times New Roman"/>
          <w:lang w:eastAsia="de-DE"/>
        </w:rPr>
        <w:t>(er spaltet nicht) im Hifil-Imperfekt.</w:t>
      </w:r>
    </w:p>
    <w:p w14:paraId="0F0BF11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השפן</w:t>
      </w:r>
      <w:r w:rsidRPr="00F75E3B">
        <w:rPr>
          <w:rFonts w:eastAsia="Times New Roman" w:cs="Times New Roman"/>
          <w:rtl/>
          <w:lang w:eastAsia="de-DE"/>
        </w:rPr>
        <w:t xml:space="preserve"> </w:t>
      </w:r>
      <w:r w:rsidRPr="00F75E3B">
        <w:rPr>
          <w:rFonts w:eastAsia="Times New Roman" w:cs="Times New Roman"/>
          <w:lang w:eastAsia="de-DE"/>
        </w:rPr>
        <w:t>(Klippdachs/Hyrax) ist ein kleines Säugetier, das in Felsspalten lebt. Wie das Kamel erfüllt es nur eines der beiden Kriterien: Wiederkäuen, aber kein gespaltener Huf.</w:t>
      </w:r>
    </w:p>
    <w:p w14:paraId="582D796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השפן</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χοιρογρύλλιον</w:t>
      </w:r>
      <w:proofErr w:type="spellEnd"/>
      <w:r w:rsidRPr="00F75E3B">
        <w:rPr>
          <w:rFonts w:eastAsia="Times New Roman" w:cs="Times New Roman"/>
          <w:lang w:eastAsia="de-DE"/>
        </w:rPr>
        <w:t xml:space="preserve"> (eine Art Nagetier) und behält die identische Struktur bei.</w:t>
      </w:r>
    </w:p>
    <w:p w14:paraId="6396D056" w14:textId="0EA2F30C" w:rsid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entspricht V. 4: koordiniertes Objekt + Begründung mit zwei Kriterien + Unreinheitsklassifikation. Die parallele Struktur betont die konsistente Anwendung der Kriterien.</w:t>
      </w:r>
    </w:p>
    <w:p w14:paraId="1C52CF01" w14:textId="5EC32794" w:rsidR="00571E11" w:rsidRPr="00F75E3B" w:rsidRDefault="00571E11" w:rsidP="00F75E3B">
      <w:pPr>
        <w:spacing w:before="100" w:beforeAutospacing="1" w:after="100" w:afterAutospacing="1" w:line="240" w:lineRule="auto"/>
        <w:rPr>
          <w:rFonts w:eastAsia="Times New Roman" w:cs="Times New Roman"/>
          <w:lang w:eastAsia="de-DE"/>
        </w:rPr>
      </w:pPr>
      <w:r>
        <w:rPr>
          <w:rStyle w:val="Fett"/>
        </w:rPr>
        <w:t>Verse 5-6</w:t>
      </w:r>
      <w:r>
        <w:t xml:space="preserve">: </w:t>
      </w:r>
      <w:r>
        <w:rPr>
          <w:rStyle w:val="Fett"/>
        </w:rPr>
        <w:t>Die LXX</w:t>
      </w:r>
      <w:r>
        <w:t xml:space="preserve"> interpretiert </w:t>
      </w:r>
      <w:r>
        <w:rPr>
          <w:rtl/>
        </w:rPr>
        <w:t>שפן</w:t>
      </w:r>
      <w:r>
        <w:t xml:space="preserve"> (</w:t>
      </w:r>
      <w:proofErr w:type="spellStart"/>
      <w:r>
        <w:t>shafan</w:t>
      </w:r>
      <w:proofErr w:type="spellEnd"/>
      <w:r>
        <w:t xml:space="preserve"> - "Klippdachs") als δα</w:t>
      </w:r>
      <w:proofErr w:type="spellStart"/>
      <w:r>
        <w:t>σύ</w:t>
      </w:r>
      <w:proofErr w:type="spellEnd"/>
      <w:r>
        <w:t xml:space="preserve">ποδα (Feldhase) und </w:t>
      </w:r>
      <w:r>
        <w:rPr>
          <w:rtl/>
        </w:rPr>
        <w:t>ארנבת</w:t>
      </w:r>
      <w:r>
        <w:t xml:space="preserve"> (</w:t>
      </w:r>
      <w:proofErr w:type="spellStart"/>
      <w:r>
        <w:t>arnevet</w:t>
      </w:r>
      <w:proofErr w:type="spellEnd"/>
      <w:r>
        <w:t xml:space="preserve"> - "Hase") als </w:t>
      </w:r>
      <w:proofErr w:type="spellStart"/>
      <w:r>
        <w:t>χοιρογρύλλιον</w:t>
      </w:r>
      <w:proofErr w:type="spellEnd"/>
      <w:r>
        <w:t xml:space="preserve"> (Stachelschwein), was bedeutende zoologische Fehlidentifikationen zeigt.</w:t>
      </w:r>
    </w:p>
    <w:p w14:paraId="2BC3595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führt den Klippdachs als zweites Beispiel für unvollständige Kriterienerfüllung an.</w:t>
      </w:r>
    </w:p>
    <w:p w14:paraId="00485B1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11,6</w:t>
      </w:r>
    </w:p>
    <w:p w14:paraId="72DB696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וְאֶת־הָאַרְנֶ֗בֶת כִּֽי־מַעֲלַ֤ת גֵּרָה֙ הִ֔וא וּפַרְסָ֖ה לֹ֣א הִפְרִ֑יסָה טְמֵאָ֥ה הִ֖וא לָכֶֽם׃</w:t>
      </w:r>
    </w:p>
    <w:p w14:paraId="6668864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den Hasen, denn er käut wieder, hat aber keinen gespaltenen Huf: unrein ist er für euch;</w:t>
      </w:r>
    </w:p>
    <w:p w14:paraId="52F3B6BE"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A94ED34">
          <v:rect id="_x0000_i1282" style="width:0;height:1.5pt" o:hralign="center" o:hrstd="t" o:hr="t" fillcolor="#a0a0a0" stroked="f"/>
        </w:pict>
      </w:r>
    </w:p>
    <w:p w14:paraId="6AB6814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ואת־הארנבת כי־מעלת גרה הוא ופרסה לא הפריסה טמאה הוא לכם</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הארנבת</w:t>
      </w:r>
      <w:r w:rsidRPr="00F75E3B">
        <w:rPr>
          <w:rFonts w:eastAsia="Times New Roman" w:cs="Times New Roman"/>
          <w:rtl/>
          <w:lang w:eastAsia="de-DE"/>
        </w:rPr>
        <w:t xml:space="preserve"> </w:t>
      </w:r>
      <w:r w:rsidRPr="00F75E3B">
        <w:rPr>
          <w:rFonts w:eastAsia="Times New Roman" w:cs="Times New Roman"/>
          <w:lang w:eastAsia="de-DE"/>
        </w:rPr>
        <w:t xml:space="preserve">(Hase) als drittes Beispiel. </w:t>
      </w:r>
      <w:r w:rsidRPr="00F75E3B">
        <w:rPr>
          <w:rFonts w:eastAsia="Times New Roman" w:cs="Times New Roman"/>
          <w:b/>
          <w:bCs/>
          <w:rtl/>
          <w:lang w:eastAsia="de-DE"/>
        </w:rPr>
        <w:t>מעלת</w:t>
      </w:r>
      <w:r w:rsidRPr="00F75E3B">
        <w:rPr>
          <w:rFonts w:eastAsia="Times New Roman" w:cs="Times New Roman"/>
          <w:rtl/>
          <w:lang w:eastAsia="de-DE"/>
        </w:rPr>
        <w:t xml:space="preserve"> </w:t>
      </w:r>
      <w:r w:rsidRPr="00F75E3B">
        <w:rPr>
          <w:rFonts w:eastAsia="Times New Roman" w:cs="Times New Roman"/>
          <w:lang w:eastAsia="de-DE"/>
        </w:rPr>
        <w:t xml:space="preserve">(käuend) als feminin Partizip entsprechend dem femininen </w:t>
      </w:r>
      <w:r w:rsidRPr="00F75E3B">
        <w:rPr>
          <w:rFonts w:eastAsia="Times New Roman" w:cs="Times New Roman"/>
          <w:b/>
          <w:bCs/>
          <w:rtl/>
          <w:lang w:eastAsia="de-DE"/>
        </w:rPr>
        <w:t>ארנבת</w:t>
      </w:r>
      <w:r w:rsidRPr="00F75E3B">
        <w:rPr>
          <w:rFonts w:eastAsia="Times New Roman" w:cs="Times New Roman"/>
          <w:lang w:eastAsia="de-DE"/>
        </w:rPr>
        <w:t xml:space="preserve">. </w:t>
      </w:r>
      <w:r w:rsidRPr="00F75E3B">
        <w:rPr>
          <w:rFonts w:eastAsia="Times New Roman" w:cs="Times New Roman"/>
          <w:b/>
          <w:bCs/>
          <w:rtl/>
          <w:lang w:eastAsia="de-DE"/>
        </w:rPr>
        <w:t>לא הפריסה</w:t>
      </w:r>
      <w:r w:rsidRPr="00F75E3B">
        <w:rPr>
          <w:rFonts w:eastAsia="Times New Roman" w:cs="Times New Roman"/>
          <w:rtl/>
          <w:lang w:eastAsia="de-DE"/>
        </w:rPr>
        <w:t xml:space="preserve"> </w:t>
      </w:r>
      <w:r w:rsidRPr="00F75E3B">
        <w:rPr>
          <w:rFonts w:eastAsia="Times New Roman" w:cs="Times New Roman"/>
          <w:lang w:eastAsia="de-DE"/>
        </w:rPr>
        <w:t xml:space="preserve">(sie hat nicht gespalten) im Hifil-Perfekt feminin entsprechend dem Geschlecht. </w:t>
      </w:r>
      <w:r w:rsidRPr="00F75E3B">
        <w:rPr>
          <w:rFonts w:eastAsia="Times New Roman" w:cs="Times New Roman"/>
          <w:b/>
          <w:bCs/>
          <w:rtl/>
          <w:lang w:eastAsia="de-DE"/>
        </w:rPr>
        <w:t>טמאה הוא</w:t>
      </w:r>
      <w:r w:rsidRPr="00F75E3B">
        <w:rPr>
          <w:rFonts w:eastAsia="Times New Roman" w:cs="Times New Roman"/>
          <w:rtl/>
          <w:lang w:eastAsia="de-DE"/>
        </w:rPr>
        <w:t xml:space="preserve"> </w:t>
      </w:r>
      <w:r w:rsidRPr="00F75E3B">
        <w:rPr>
          <w:rFonts w:eastAsia="Times New Roman" w:cs="Times New Roman"/>
          <w:lang w:eastAsia="de-DE"/>
        </w:rPr>
        <w:t>(unrein ist sie) mit femininer Adjektivform.</w:t>
      </w:r>
    </w:p>
    <w:p w14:paraId="768A23A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הארנבת</w:t>
      </w:r>
      <w:r w:rsidRPr="00F75E3B">
        <w:rPr>
          <w:rFonts w:eastAsia="Times New Roman" w:cs="Times New Roman"/>
          <w:rtl/>
          <w:lang w:eastAsia="de-DE"/>
        </w:rPr>
        <w:t xml:space="preserve"> </w:t>
      </w:r>
      <w:r w:rsidRPr="00F75E3B">
        <w:rPr>
          <w:rFonts w:eastAsia="Times New Roman" w:cs="Times New Roman"/>
          <w:lang w:eastAsia="de-DE"/>
        </w:rPr>
        <w:t>(Hase) komplettiert die Tiere, die nur wiederkäuen ohne gespaltenen Huf. Die grammatische Kongruenz aller Formen zeigt sorgfältige sprachliche Beachtung der Genera.</w:t>
      </w:r>
    </w:p>
    <w:p w14:paraId="2C85E97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LXX</w:t>
      </w:r>
      <w:r w:rsidRPr="00F75E3B">
        <w:rPr>
          <w:rFonts w:eastAsia="Times New Roman" w:cs="Times New Roman"/>
          <w:lang w:eastAsia="de-DE"/>
        </w:rPr>
        <w:t xml:space="preserve"> übersetzt </w:t>
      </w:r>
      <w:r w:rsidRPr="00F75E3B">
        <w:rPr>
          <w:rFonts w:eastAsia="Times New Roman" w:cs="Times New Roman"/>
          <w:b/>
          <w:bCs/>
          <w:rtl/>
          <w:lang w:eastAsia="de-DE"/>
        </w:rPr>
        <w:t>הארנבת</w:t>
      </w:r>
      <w:r w:rsidRPr="00F75E3B">
        <w:rPr>
          <w:rFonts w:eastAsia="Times New Roman" w:cs="Times New Roman"/>
          <w:rtl/>
          <w:lang w:eastAsia="de-DE"/>
        </w:rPr>
        <w:t xml:space="preserve"> </w:t>
      </w:r>
      <w:r w:rsidRPr="00F75E3B">
        <w:rPr>
          <w:rFonts w:eastAsia="Times New Roman" w:cs="Times New Roman"/>
          <w:lang w:eastAsia="de-DE"/>
        </w:rPr>
        <w:t>mit δα</w:t>
      </w:r>
      <w:proofErr w:type="spellStart"/>
      <w:r w:rsidRPr="00F75E3B">
        <w:rPr>
          <w:rFonts w:eastAsia="Times New Roman" w:cs="Times New Roman"/>
          <w:lang w:eastAsia="de-DE"/>
        </w:rPr>
        <w:t>σύ</w:t>
      </w:r>
      <w:proofErr w:type="spellEnd"/>
      <w:r w:rsidRPr="00F75E3B">
        <w:rPr>
          <w:rFonts w:eastAsia="Times New Roman" w:cs="Times New Roman"/>
          <w:lang w:eastAsia="de-DE"/>
        </w:rPr>
        <w:t>πουν (Hase) und zeigt entsprechende feminine Kongruenz.</w:t>
      </w:r>
    </w:p>
    <w:p w14:paraId="2859B45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entspricht V. 4-5 mit femininen Formen: koordiniertes Objekt + Begründung mit geschlechtskongruenten Formen + Unreinheitsklassifikation. Die Struktur zeigt grammatische Präzision.</w:t>
      </w:r>
    </w:p>
    <w:p w14:paraId="14679BF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komplettiert die Tiere, die nur wiederkäuen, mit dem Hasen als drittem Beispiel.</w:t>
      </w:r>
    </w:p>
    <w:p w14:paraId="65D5FA1C"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11,7</w:t>
      </w:r>
    </w:p>
    <w:p w14:paraId="5CE8FFA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וְאֶת־הַ֠חֲזִיר כִּֽי־מַפְרִ֨יס פַּרְסָ֜ה ה֗וּא וְשֹׁסַ֥ע שֶׁ֨סַע֙ פַּרְסָ֔ה וְה֖וּא גֵּרָ֣ה לֹֽא־יִגָּ֑ר טָמֵ֥א ה֖וּא לָכֶֽם׃</w:t>
      </w:r>
    </w:p>
    <w:p w14:paraId="71A490B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das Schwein, denn es hat gespaltenen Huf und den Huf ganz durchgespalten, käut aber nicht wieder: unrein ist es für euch.</w:t>
      </w:r>
    </w:p>
    <w:p w14:paraId="514FCD23"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E5C9C17">
          <v:rect id="_x0000_i1283" style="width:0;height:1.5pt" o:hralign="center" o:hrstd="t" o:hr="t" fillcolor="#a0a0a0" stroked="f"/>
        </w:pict>
      </w:r>
    </w:p>
    <w:p w14:paraId="7D7D94D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ואת־החזיר כי־מפריס פרסה הוא ושסע שסע פרסה והוא גרה לא־יגר 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החזיר</w:t>
      </w:r>
      <w:r w:rsidRPr="00F75E3B">
        <w:rPr>
          <w:rFonts w:eastAsia="Times New Roman" w:cs="Times New Roman"/>
          <w:rtl/>
          <w:lang w:eastAsia="de-DE"/>
        </w:rPr>
        <w:t xml:space="preserve"> </w:t>
      </w:r>
      <w:r w:rsidRPr="00F75E3B">
        <w:rPr>
          <w:rFonts w:eastAsia="Times New Roman" w:cs="Times New Roman"/>
          <w:lang w:eastAsia="de-DE"/>
        </w:rPr>
        <w:t xml:space="preserve">(Schwein) als umgekehrtes Beispiel. </w:t>
      </w:r>
      <w:r w:rsidRPr="00F75E3B">
        <w:rPr>
          <w:rFonts w:eastAsia="Times New Roman" w:cs="Times New Roman"/>
          <w:b/>
          <w:bCs/>
          <w:rtl/>
          <w:lang w:eastAsia="de-DE"/>
        </w:rPr>
        <w:t>כי־מפריס פרסה הוא ושסע שסע פרסה</w:t>
      </w:r>
      <w:r w:rsidRPr="00F75E3B">
        <w:rPr>
          <w:rFonts w:eastAsia="Times New Roman" w:cs="Times New Roman"/>
          <w:rtl/>
          <w:lang w:eastAsia="de-DE"/>
        </w:rPr>
        <w:t xml:space="preserve"> </w:t>
      </w:r>
      <w:r w:rsidRPr="00F75E3B">
        <w:rPr>
          <w:rFonts w:eastAsia="Times New Roman" w:cs="Times New Roman"/>
          <w:lang w:eastAsia="de-DE"/>
        </w:rPr>
        <w:t xml:space="preserve">(denn es spaltet den Huf und spaltet ganz den Huf) - doppelte Betonung der vollständigen Hufspaltung entsprechend V. 3. </w:t>
      </w:r>
      <w:r w:rsidRPr="00F75E3B">
        <w:rPr>
          <w:rFonts w:eastAsia="Times New Roman" w:cs="Times New Roman"/>
          <w:b/>
          <w:bCs/>
          <w:rtl/>
          <w:lang w:eastAsia="de-DE"/>
        </w:rPr>
        <w:t>והוא גרה לא־יגר</w:t>
      </w:r>
      <w:r w:rsidRPr="00F75E3B">
        <w:rPr>
          <w:rFonts w:eastAsia="Times New Roman" w:cs="Times New Roman"/>
          <w:rtl/>
          <w:lang w:eastAsia="de-DE"/>
        </w:rPr>
        <w:t xml:space="preserve"> </w:t>
      </w:r>
      <w:r w:rsidRPr="00F75E3B">
        <w:rPr>
          <w:rFonts w:eastAsia="Times New Roman" w:cs="Times New Roman"/>
          <w:lang w:eastAsia="de-DE"/>
        </w:rPr>
        <w:t xml:space="preserve">(aber es käut nicht wieder) - </w:t>
      </w:r>
      <w:r w:rsidRPr="00F75E3B">
        <w:rPr>
          <w:rFonts w:eastAsia="Times New Roman" w:cs="Times New Roman"/>
          <w:b/>
          <w:bCs/>
          <w:rtl/>
          <w:lang w:eastAsia="de-DE"/>
        </w:rPr>
        <w:t>יגר</w:t>
      </w:r>
      <w:r w:rsidRPr="00F75E3B">
        <w:rPr>
          <w:rFonts w:eastAsia="Times New Roman" w:cs="Times New Roman"/>
          <w:rtl/>
          <w:lang w:eastAsia="de-DE"/>
        </w:rPr>
        <w:t xml:space="preserve"> </w:t>
      </w:r>
      <w:r w:rsidRPr="00F75E3B">
        <w:rPr>
          <w:rFonts w:eastAsia="Times New Roman" w:cs="Times New Roman"/>
          <w:lang w:eastAsia="de-DE"/>
        </w:rPr>
        <w:t xml:space="preserve">(kauen) im Qal-Imperfekt mit Negation </w:t>
      </w:r>
      <w:r w:rsidRPr="00F75E3B">
        <w:rPr>
          <w:rFonts w:eastAsia="Times New Roman" w:cs="Times New Roman"/>
          <w:b/>
          <w:bCs/>
          <w:rtl/>
          <w:lang w:eastAsia="de-DE"/>
        </w:rPr>
        <w:t>לא</w:t>
      </w:r>
      <w:r w:rsidRPr="00F75E3B">
        <w:rPr>
          <w:rFonts w:eastAsia="Times New Roman" w:cs="Times New Roman"/>
          <w:lang w:eastAsia="de-DE"/>
        </w:rPr>
        <w:t>.</w:t>
      </w:r>
    </w:p>
    <w:p w14:paraId="55C4409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החזיר</w:t>
      </w:r>
      <w:r w:rsidRPr="00F75E3B">
        <w:rPr>
          <w:rFonts w:eastAsia="Times New Roman" w:cs="Times New Roman"/>
          <w:rtl/>
          <w:lang w:eastAsia="de-DE"/>
        </w:rPr>
        <w:t xml:space="preserve"> </w:t>
      </w:r>
      <w:r w:rsidRPr="00F75E3B">
        <w:rPr>
          <w:rFonts w:eastAsia="Times New Roman" w:cs="Times New Roman"/>
          <w:lang w:eastAsia="de-DE"/>
        </w:rPr>
        <w:t xml:space="preserve">(Schwein) erfüllt das erste Kriterium vollständig (gespaltener Huf), aber das zweite nicht (kein Wiederkäuen). </w:t>
      </w:r>
      <w:r w:rsidRPr="00F75E3B">
        <w:rPr>
          <w:rFonts w:eastAsia="Times New Roman" w:cs="Times New Roman"/>
          <w:b/>
          <w:bCs/>
          <w:rtl/>
          <w:lang w:eastAsia="de-DE"/>
        </w:rPr>
        <w:t>יגר</w:t>
      </w:r>
      <w:r w:rsidRPr="00F75E3B">
        <w:rPr>
          <w:rFonts w:eastAsia="Times New Roman" w:cs="Times New Roman"/>
          <w:rtl/>
          <w:lang w:eastAsia="de-DE"/>
        </w:rPr>
        <w:t xml:space="preserve"> </w:t>
      </w:r>
      <w:r w:rsidRPr="00F75E3B">
        <w:rPr>
          <w:rFonts w:eastAsia="Times New Roman" w:cs="Times New Roman"/>
          <w:lang w:eastAsia="de-DE"/>
        </w:rPr>
        <w:t xml:space="preserve">ist eine seltene Form für "wiederkäuen" statt des üblichen </w:t>
      </w:r>
      <w:r w:rsidRPr="00F75E3B">
        <w:rPr>
          <w:rFonts w:eastAsia="Times New Roman" w:cs="Times New Roman"/>
          <w:b/>
          <w:bCs/>
          <w:rtl/>
          <w:lang w:eastAsia="de-DE"/>
        </w:rPr>
        <w:t>מעלה גרה</w:t>
      </w:r>
      <w:r w:rsidRPr="00F75E3B">
        <w:rPr>
          <w:rFonts w:eastAsia="Times New Roman" w:cs="Times New Roman"/>
          <w:lang w:eastAsia="de-DE"/>
        </w:rPr>
        <w:t>.</w:t>
      </w:r>
    </w:p>
    <w:p w14:paraId="64EDDEB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החזיר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ὗν</w:t>
      </w:r>
      <w:proofErr w:type="spellEnd"/>
      <w:r w:rsidRPr="00F75E3B">
        <w:rPr>
          <w:rFonts w:eastAsia="Times New Roman" w:cs="Times New Roman"/>
          <w:lang w:eastAsia="de-DE"/>
        </w:rPr>
        <w:t xml:space="preserve"> (Schwein) und </w:t>
      </w:r>
      <w:r w:rsidRPr="00F75E3B">
        <w:rPr>
          <w:rFonts w:eastAsia="Times New Roman" w:cs="Times New Roman"/>
          <w:b/>
          <w:bCs/>
          <w:rtl/>
          <w:lang w:eastAsia="de-DE"/>
        </w:rPr>
        <w:t>לא־יגר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οὐ</w:t>
      </w:r>
      <w:proofErr w:type="spellEnd"/>
      <w:r w:rsidRPr="00F75E3B">
        <w:rPr>
          <w:rFonts w:eastAsia="Times New Roman" w:cs="Times New Roman"/>
          <w:lang w:eastAsia="de-DE"/>
        </w:rPr>
        <w:t xml:space="preserve"> μα</w:t>
      </w:r>
      <w:proofErr w:type="spellStart"/>
      <w:r w:rsidRPr="00F75E3B">
        <w:rPr>
          <w:rFonts w:eastAsia="Times New Roman" w:cs="Times New Roman"/>
          <w:lang w:eastAsia="de-DE"/>
        </w:rPr>
        <w:t>ρυκᾶτ</w:t>
      </w:r>
      <w:proofErr w:type="spellEnd"/>
      <w:r w:rsidRPr="00F75E3B">
        <w:rPr>
          <w:rFonts w:eastAsia="Times New Roman" w:cs="Times New Roman"/>
          <w:lang w:eastAsia="de-DE"/>
        </w:rPr>
        <w:t>αι (käut nicht wieder).</w:t>
      </w:r>
    </w:p>
    <w:p w14:paraId="14858C0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umgekehrte Kriterienerfüllung: koordiniertes Objekt + vollständige Erfüllung des ersten Kriteriums + Negation des zweiten Kriteriums + Unreinheitsklassifikation. Die Struktur demonstriert den umgekehrten Fall unvollständiger Erfüllung.</w:t>
      </w:r>
    </w:p>
    <w:p w14:paraId="625A1DA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zeigt das Schwein als Beispiel für umgekehrte unvollständige Kriterienerfüllung: gespaltener Huf, aber kein Wiederkäuen.</w:t>
      </w:r>
    </w:p>
    <w:p w14:paraId="36301DC1"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11,8</w:t>
      </w:r>
    </w:p>
    <w:p w14:paraId="6EF254A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מִבְּשָׂרָם֙ לֹ֣א תֹאכֵ֔לוּ וּבְנִבְלָתָ֖ם לֹ֣א תִגָּ֑עוּ טְמֵאִ֥ים הֵ֖ם לָכֶֽם׃</w:t>
      </w:r>
    </w:p>
    <w:p w14:paraId="61A62E7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Von ihrem Fleisch sollt ihr nicht essen und ihr Aas nicht berühren: unrein sind sie für euch.</w:t>
      </w:r>
    </w:p>
    <w:p w14:paraId="3F521E4B"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1DCDAAD">
          <v:rect id="_x0000_i1284" style="width:0;height:1.5pt" o:hralign="center" o:hrstd="t" o:hr="t" fillcolor="#a0a0a0" stroked="f"/>
        </w:pict>
      </w:r>
    </w:p>
    <w:p w14:paraId="4C60F58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מבשרם לא תאכלו ובנבלתם לא תגעו טמאים הם לכם</w:t>
      </w:r>
      <w:r w:rsidRPr="00F75E3B">
        <w:rPr>
          <w:rFonts w:eastAsia="Times New Roman" w:cs="Times New Roman"/>
          <w:rtl/>
          <w:lang w:eastAsia="de-DE"/>
        </w:rPr>
        <w:t xml:space="preserve"> </w:t>
      </w:r>
      <w:r w:rsidRPr="00F75E3B">
        <w:rPr>
          <w:rFonts w:eastAsia="Times New Roman" w:cs="Times New Roman"/>
          <w:lang w:eastAsia="de-DE"/>
        </w:rPr>
        <w:t xml:space="preserve">zeigt zwei Verbote für die genannten Tiere. </w:t>
      </w:r>
      <w:r w:rsidRPr="00F75E3B">
        <w:rPr>
          <w:rFonts w:eastAsia="Times New Roman" w:cs="Times New Roman"/>
          <w:b/>
          <w:bCs/>
          <w:rtl/>
          <w:lang w:eastAsia="de-DE"/>
        </w:rPr>
        <w:t>מבשרם לא תאכלו</w:t>
      </w:r>
      <w:r w:rsidRPr="00F75E3B">
        <w:rPr>
          <w:rFonts w:eastAsia="Times New Roman" w:cs="Times New Roman"/>
          <w:rtl/>
          <w:lang w:eastAsia="de-DE"/>
        </w:rPr>
        <w:t xml:space="preserve"> </w:t>
      </w:r>
      <w:r w:rsidRPr="00F75E3B">
        <w:rPr>
          <w:rFonts w:eastAsia="Times New Roman" w:cs="Times New Roman"/>
          <w:lang w:eastAsia="de-DE"/>
        </w:rPr>
        <w:t xml:space="preserve">(von ihrem Fleisch sollt ihr nicht essen) - </w:t>
      </w:r>
      <w:r w:rsidRPr="00F75E3B">
        <w:rPr>
          <w:rFonts w:eastAsia="Times New Roman" w:cs="Times New Roman"/>
          <w:b/>
          <w:bCs/>
          <w:rtl/>
          <w:lang w:eastAsia="de-DE"/>
        </w:rPr>
        <w:t>מבשרם</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lang w:eastAsia="de-DE"/>
        </w:rPr>
        <w:lastRenderedPageBreak/>
        <w:t xml:space="preserve">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und Possessivsuffix 3. Person maskulin Plural, </w:t>
      </w:r>
      <w:r w:rsidRPr="00F75E3B">
        <w:rPr>
          <w:rFonts w:eastAsia="Times New Roman" w:cs="Times New Roman"/>
          <w:b/>
          <w:bCs/>
          <w:rtl/>
          <w:lang w:eastAsia="de-DE"/>
        </w:rPr>
        <w:t>לא תאכלו</w:t>
      </w:r>
      <w:r w:rsidRPr="00F75E3B">
        <w:rPr>
          <w:rFonts w:eastAsia="Times New Roman" w:cs="Times New Roman"/>
          <w:rtl/>
          <w:lang w:eastAsia="de-DE"/>
        </w:rPr>
        <w:t xml:space="preserve"> </w:t>
      </w:r>
      <w:r w:rsidRPr="00F75E3B">
        <w:rPr>
          <w:rFonts w:eastAsia="Times New Roman" w:cs="Times New Roman"/>
          <w:lang w:eastAsia="de-DE"/>
        </w:rPr>
        <w:t>(ihr sollt nicht essen) im Qal-Imperfekt mit Negation.</w:t>
      </w:r>
    </w:p>
    <w:p w14:paraId="3EB7B3B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ובנבלתם לא תגעו</w:t>
      </w:r>
      <w:r w:rsidRPr="00F75E3B">
        <w:rPr>
          <w:rFonts w:eastAsia="Times New Roman" w:cs="Times New Roman"/>
          <w:rtl/>
          <w:lang w:eastAsia="de-DE"/>
        </w:rPr>
        <w:t xml:space="preserve"> </w:t>
      </w:r>
      <w:r w:rsidRPr="00F75E3B">
        <w:rPr>
          <w:rFonts w:eastAsia="Times New Roman" w:cs="Times New Roman"/>
          <w:lang w:eastAsia="de-DE"/>
        </w:rPr>
        <w:t xml:space="preserve">(und ihr Aas sollt ihr nicht berühren) - </w:t>
      </w:r>
      <w:r w:rsidRPr="00F75E3B">
        <w:rPr>
          <w:rFonts w:eastAsia="Times New Roman" w:cs="Times New Roman"/>
          <w:b/>
          <w:bCs/>
          <w:rtl/>
          <w:lang w:eastAsia="de-DE"/>
        </w:rPr>
        <w:t>נבלה</w:t>
      </w:r>
      <w:r w:rsidRPr="00F75E3B">
        <w:rPr>
          <w:rFonts w:eastAsia="Times New Roman" w:cs="Times New Roman"/>
          <w:rtl/>
          <w:lang w:eastAsia="de-DE"/>
        </w:rPr>
        <w:t xml:space="preserve"> </w:t>
      </w:r>
      <w:r w:rsidRPr="00F75E3B">
        <w:rPr>
          <w:rFonts w:eastAsia="Times New Roman" w:cs="Times New Roman"/>
          <w:lang w:eastAsia="de-DE"/>
        </w:rPr>
        <w:t xml:space="preserve">(Aas/Kadaver) mit Possessivsuffix, </w:t>
      </w:r>
      <w:r w:rsidRPr="00F75E3B">
        <w:rPr>
          <w:rFonts w:eastAsia="Times New Roman" w:cs="Times New Roman"/>
          <w:b/>
          <w:bCs/>
          <w:rtl/>
          <w:lang w:eastAsia="de-DE"/>
        </w:rPr>
        <w:t>לא תגעו</w:t>
      </w:r>
      <w:r w:rsidRPr="00F75E3B">
        <w:rPr>
          <w:rFonts w:eastAsia="Times New Roman" w:cs="Times New Roman"/>
          <w:rtl/>
          <w:lang w:eastAsia="de-DE"/>
        </w:rPr>
        <w:t xml:space="preserve"> </w:t>
      </w:r>
      <w:r w:rsidRPr="00F75E3B">
        <w:rPr>
          <w:rFonts w:eastAsia="Times New Roman" w:cs="Times New Roman"/>
          <w:lang w:eastAsia="de-DE"/>
        </w:rPr>
        <w:t xml:space="preserve">(ihr sollt nicht berühren) im Qal-Imperfekt mit Negation. </w:t>
      </w:r>
      <w:r w:rsidRPr="00F75E3B">
        <w:rPr>
          <w:rFonts w:eastAsia="Times New Roman" w:cs="Times New Roman"/>
          <w:b/>
          <w:bCs/>
          <w:rtl/>
          <w:lang w:eastAsia="de-DE"/>
        </w:rPr>
        <w:t>טמאים הם לכם</w:t>
      </w:r>
      <w:r w:rsidRPr="00F75E3B">
        <w:rPr>
          <w:rFonts w:eastAsia="Times New Roman" w:cs="Times New Roman"/>
          <w:rtl/>
          <w:lang w:eastAsia="de-DE"/>
        </w:rPr>
        <w:t xml:space="preserve"> </w:t>
      </w:r>
      <w:r w:rsidRPr="00F75E3B">
        <w:rPr>
          <w:rFonts w:eastAsia="Times New Roman" w:cs="Times New Roman"/>
          <w:lang w:eastAsia="de-DE"/>
        </w:rPr>
        <w:t xml:space="preserve">(unrein sind sie für euch) als abschließende Klassifikation mit emphatischem </w:t>
      </w:r>
      <w:r w:rsidRPr="00F75E3B">
        <w:rPr>
          <w:rFonts w:eastAsia="Times New Roman" w:cs="Times New Roman"/>
          <w:b/>
          <w:bCs/>
          <w:rtl/>
          <w:lang w:eastAsia="de-DE"/>
        </w:rPr>
        <w:t>הם</w:t>
      </w:r>
      <w:r w:rsidRPr="00F75E3B">
        <w:rPr>
          <w:rFonts w:eastAsia="Times New Roman" w:cs="Times New Roman"/>
          <w:lang w:eastAsia="de-DE"/>
        </w:rPr>
        <w:t>.</w:t>
      </w:r>
    </w:p>
    <w:p w14:paraId="2876BA3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מבשרם</w:t>
      </w:r>
      <w:r w:rsidRPr="00F75E3B">
        <w:rPr>
          <w:rFonts w:eastAsia="Times New Roman" w:cs="Times New Roman"/>
          <w:rtl/>
          <w:lang w:eastAsia="de-DE"/>
        </w:rPr>
        <w:t xml:space="preserve"> </w:t>
      </w:r>
      <w:r w:rsidRPr="00F75E3B">
        <w:rPr>
          <w:rFonts w:eastAsia="Times New Roman" w:cs="Times New Roman"/>
          <w:lang w:eastAsia="de-DE"/>
        </w:rPr>
        <w:t xml:space="preserve">verbietet den Verzehr lebender Tiere, </w:t>
      </w:r>
      <w:r w:rsidRPr="00F75E3B">
        <w:rPr>
          <w:rFonts w:eastAsia="Times New Roman" w:cs="Times New Roman"/>
          <w:b/>
          <w:bCs/>
          <w:rtl/>
          <w:lang w:eastAsia="de-DE"/>
        </w:rPr>
        <w:t>ובנבלתם</w:t>
      </w:r>
      <w:r w:rsidRPr="00F75E3B">
        <w:rPr>
          <w:rFonts w:eastAsia="Times New Roman" w:cs="Times New Roman"/>
          <w:rtl/>
          <w:lang w:eastAsia="de-DE"/>
        </w:rPr>
        <w:t xml:space="preserve"> </w:t>
      </w:r>
      <w:r w:rsidRPr="00F75E3B">
        <w:rPr>
          <w:rFonts w:eastAsia="Times New Roman" w:cs="Times New Roman"/>
          <w:lang w:eastAsia="de-DE"/>
        </w:rPr>
        <w:t xml:space="preserve">verbietet Berührung toter Tiere. </w:t>
      </w:r>
      <w:r w:rsidRPr="00F75E3B">
        <w:rPr>
          <w:rFonts w:eastAsia="Times New Roman" w:cs="Times New Roman"/>
          <w:b/>
          <w:bCs/>
          <w:rtl/>
          <w:lang w:eastAsia="de-DE"/>
        </w:rPr>
        <w:t>טמאים הם</w:t>
      </w:r>
      <w:r w:rsidRPr="00F75E3B">
        <w:rPr>
          <w:rFonts w:eastAsia="Times New Roman" w:cs="Times New Roman"/>
          <w:rtl/>
          <w:lang w:eastAsia="de-DE"/>
        </w:rPr>
        <w:t xml:space="preserve"> </w:t>
      </w:r>
      <w:r w:rsidRPr="00F75E3B">
        <w:rPr>
          <w:rFonts w:eastAsia="Times New Roman" w:cs="Times New Roman"/>
          <w:lang w:eastAsia="de-DE"/>
        </w:rPr>
        <w:t xml:space="preserve">klassifiziert alle vier genannten Tiere als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(unrein).</w:t>
      </w:r>
    </w:p>
    <w:p w14:paraId="6DD1B88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מבשרם</w:t>
      </w:r>
      <w:r w:rsidRPr="00F75E3B">
        <w:rPr>
          <w:rFonts w:eastAsia="Times New Roman" w:cs="Times New Roman"/>
          <w:rtl/>
          <w:lang w:eastAsia="de-DE"/>
        </w:rPr>
        <w:t xml:space="preserve"> </w:t>
      </w:r>
      <w:r w:rsidRPr="00F75E3B">
        <w:rPr>
          <w:rFonts w:eastAsia="Times New Roman" w:cs="Times New Roman"/>
          <w:lang w:eastAsia="de-DE"/>
        </w:rPr>
        <w:t xml:space="preserve">mit ἀπὸ </w:t>
      </w:r>
      <w:proofErr w:type="spellStart"/>
      <w:r w:rsidRPr="00F75E3B">
        <w:rPr>
          <w:rFonts w:eastAsia="Times New Roman" w:cs="Times New Roman"/>
          <w:lang w:eastAsia="de-DE"/>
        </w:rPr>
        <w:t>τῶν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κρεῶν</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ὐτῶν</w:t>
      </w:r>
      <w:proofErr w:type="spellEnd"/>
      <w:r w:rsidRPr="00F75E3B">
        <w:rPr>
          <w:rFonts w:eastAsia="Times New Roman" w:cs="Times New Roman"/>
          <w:lang w:eastAsia="de-DE"/>
        </w:rPr>
        <w:t xml:space="preserve"> (von ihrem Fleisch), </w:t>
      </w:r>
      <w:r w:rsidRPr="00F75E3B">
        <w:rPr>
          <w:rFonts w:eastAsia="Times New Roman" w:cs="Times New Roman"/>
          <w:b/>
          <w:bCs/>
          <w:rtl/>
          <w:lang w:eastAsia="de-DE"/>
        </w:rPr>
        <w:t>נבלתם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θνησιμ</w:t>
      </w:r>
      <w:proofErr w:type="spellEnd"/>
      <w:r w:rsidRPr="00F75E3B">
        <w:rPr>
          <w:rFonts w:eastAsia="Times New Roman" w:cs="Times New Roman"/>
          <w:lang w:eastAsia="de-DE"/>
        </w:rPr>
        <w:t>αίων α</w:t>
      </w:r>
      <w:proofErr w:type="spellStart"/>
      <w:r w:rsidRPr="00F75E3B">
        <w:rPr>
          <w:rFonts w:eastAsia="Times New Roman" w:cs="Times New Roman"/>
          <w:lang w:eastAsia="de-DE"/>
        </w:rPr>
        <w:t>ὐτῶν</w:t>
      </w:r>
      <w:proofErr w:type="spellEnd"/>
      <w:r w:rsidRPr="00F75E3B">
        <w:rPr>
          <w:rFonts w:eastAsia="Times New Roman" w:cs="Times New Roman"/>
          <w:lang w:eastAsia="de-DE"/>
        </w:rPr>
        <w:t xml:space="preserve"> (von ihren Kadavern) und </w:t>
      </w:r>
      <w:r w:rsidRPr="00F75E3B">
        <w:rPr>
          <w:rFonts w:eastAsia="Times New Roman" w:cs="Times New Roman"/>
          <w:b/>
          <w:bCs/>
          <w:rtl/>
          <w:lang w:eastAsia="de-DE"/>
        </w:rPr>
        <w:t>טמאים</w:t>
      </w:r>
      <w:r w:rsidRPr="00F75E3B">
        <w:rPr>
          <w:rFonts w:eastAsia="Times New Roman" w:cs="Times New Roman"/>
          <w:rtl/>
          <w:lang w:eastAsia="de-DE"/>
        </w:rPr>
        <w:t xml:space="preserve"> </w:t>
      </w:r>
      <w:r w:rsidRPr="00F75E3B">
        <w:rPr>
          <w:rFonts w:eastAsia="Times New Roman" w:cs="Times New Roman"/>
          <w:lang w:eastAsia="de-DE"/>
        </w:rPr>
        <w:t>mit ἀκάθα</w:t>
      </w:r>
      <w:proofErr w:type="spellStart"/>
      <w:r w:rsidRPr="00F75E3B">
        <w:rPr>
          <w:rFonts w:eastAsia="Times New Roman" w:cs="Times New Roman"/>
          <w:lang w:eastAsia="de-DE"/>
        </w:rPr>
        <w:t>ρτ</w:t>
      </w:r>
      <w:proofErr w:type="spellEnd"/>
      <w:r w:rsidRPr="00F75E3B">
        <w:rPr>
          <w:rFonts w:eastAsia="Times New Roman" w:cs="Times New Roman"/>
          <w:lang w:eastAsia="de-DE"/>
        </w:rPr>
        <w:t>α (unrein).</w:t>
      </w:r>
    </w:p>
    <w:p w14:paraId="21A1CF6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doppeltes Verbot plus Klassifikation: partitives Essverbot + Berührungsverbot für Kadaver + zusammenfassende Unreinheitsklassifikation. Die Struktur erweitert das Verbot über den Verzehr hinaus.</w:t>
      </w:r>
    </w:p>
    <w:p w14:paraId="579E04F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erweitert die Verbote auf Berührung der Kadaver und klassifiziert alle genannten Tiere als grundsätzlich unrein.</w:t>
      </w:r>
    </w:p>
    <w:p w14:paraId="64318F89"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11,9</w:t>
      </w:r>
    </w:p>
    <w:p w14:paraId="5C5C54C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אֶת־זֶה֙ תֹּֽאכְל֔וּ מִכֹּ֖ל אֲשֶׁ֣ר בַּמָּ֑יִם כֹּ֣ל אֲשֶׁר־לוֹ֩ סְנַפִּ֨יר וְקַשְׂקֶ֜שֶׂת בַּמַּ֗יִם בַּיַּמִּ֛ים וּבַנְּחָלִ֖ים אֹתָ֥ם תֹּאכֵֽלוּ׃</w:t>
      </w:r>
    </w:p>
    <w:p w14:paraId="5D2C761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Dies dürft ihr essen von allem, was im Wasser ist: Alles, was Flossen und Schuppen hat im Wasser, in den Meeren und in den Flüssen, das dürft ihr essen.</w:t>
      </w:r>
    </w:p>
    <w:p w14:paraId="0DBAFB25"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0BDDACA">
          <v:rect id="_x0000_i1285" style="width:0;height:1.5pt" o:hralign="center" o:hrstd="t" o:hr="t" fillcolor="#a0a0a0" stroked="f"/>
        </w:pict>
      </w:r>
    </w:p>
    <w:p w14:paraId="5941630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את־זה תאכלו מכל אשר במים</w:t>
      </w:r>
      <w:r w:rsidRPr="00F75E3B">
        <w:rPr>
          <w:rFonts w:eastAsia="Times New Roman" w:cs="Times New Roman"/>
          <w:rtl/>
          <w:lang w:eastAsia="de-DE"/>
        </w:rPr>
        <w:t xml:space="preserve"> </w:t>
      </w:r>
      <w:r w:rsidRPr="00F75E3B">
        <w:rPr>
          <w:rFonts w:eastAsia="Times New Roman" w:cs="Times New Roman"/>
          <w:lang w:eastAsia="de-DE"/>
        </w:rPr>
        <w:t xml:space="preserve">leitet die Wassertiereregeln ein. </w:t>
      </w:r>
      <w:r w:rsidRPr="00F75E3B">
        <w:rPr>
          <w:rFonts w:eastAsia="Times New Roman" w:cs="Times New Roman"/>
          <w:b/>
          <w:bCs/>
          <w:rtl/>
          <w:lang w:eastAsia="de-DE"/>
        </w:rPr>
        <w:t>את־זה תאכלו</w:t>
      </w:r>
      <w:r w:rsidRPr="00F75E3B">
        <w:rPr>
          <w:rFonts w:eastAsia="Times New Roman" w:cs="Times New Roman"/>
          <w:rtl/>
          <w:lang w:eastAsia="de-DE"/>
        </w:rPr>
        <w:t xml:space="preserve"> </w:t>
      </w:r>
      <w:r w:rsidRPr="00F75E3B">
        <w:rPr>
          <w:rFonts w:eastAsia="Times New Roman" w:cs="Times New Roman"/>
          <w:lang w:eastAsia="de-DE"/>
        </w:rPr>
        <w:t xml:space="preserve">(dies dürft ihr essen) entspricht V. 2, </w:t>
      </w:r>
      <w:r w:rsidRPr="00F75E3B">
        <w:rPr>
          <w:rFonts w:eastAsia="Times New Roman" w:cs="Times New Roman"/>
          <w:b/>
          <w:bCs/>
          <w:rtl/>
          <w:lang w:eastAsia="de-DE"/>
        </w:rPr>
        <w:t>מכל אשר במים</w:t>
      </w:r>
      <w:r w:rsidRPr="00F75E3B">
        <w:rPr>
          <w:rFonts w:eastAsia="Times New Roman" w:cs="Times New Roman"/>
          <w:rtl/>
          <w:lang w:eastAsia="de-DE"/>
        </w:rPr>
        <w:t xml:space="preserve"> </w:t>
      </w:r>
      <w:r w:rsidRPr="00F75E3B">
        <w:rPr>
          <w:rFonts w:eastAsia="Times New Roman" w:cs="Times New Roman"/>
          <w:lang w:eastAsia="de-DE"/>
        </w:rPr>
        <w:t xml:space="preserve">(von allem, was im Wasser ist) 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zeigt, dass nicht alle Wassertiere erlaubt sind.</w:t>
      </w:r>
    </w:p>
    <w:p w14:paraId="3C81D4C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 אשר־לו סנפיר וקשקשת במים בימים ובנחלים אתם תאכלו</w:t>
      </w:r>
      <w:r w:rsidRPr="00F75E3B">
        <w:rPr>
          <w:rFonts w:eastAsia="Times New Roman" w:cs="Times New Roman"/>
          <w:rtl/>
          <w:lang w:eastAsia="de-DE"/>
        </w:rPr>
        <w:t xml:space="preserve"> </w:t>
      </w:r>
      <w:r w:rsidRPr="00F75E3B">
        <w:rPr>
          <w:rFonts w:eastAsia="Times New Roman" w:cs="Times New Roman"/>
          <w:lang w:eastAsia="de-DE"/>
        </w:rPr>
        <w:t xml:space="preserve">definiert die Kriterien für Wassertiere. </w:t>
      </w:r>
      <w:r w:rsidRPr="00F75E3B">
        <w:rPr>
          <w:rFonts w:eastAsia="Times New Roman" w:cs="Times New Roman"/>
          <w:b/>
          <w:bCs/>
          <w:rtl/>
          <w:lang w:eastAsia="de-DE"/>
        </w:rPr>
        <w:t>כל אשר־לו סנפיר וקשקשת</w:t>
      </w:r>
      <w:r w:rsidRPr="00F75E3B">
        <w:rPr>
          <w:rFonts w:eastAsia="Times New Roman" w:cs="Times New Roman"/>
          <w:rtl/>
          <w:lang w:eastAsia="de-DE"/>
        </w:rPr>
        <w:t xml:space="preserve"> </w:t>
      </w:r>
      <w:r w:rsidRPr="00F75E3B">
        <w:rPr>
          <w:rFonts w:eastAsia="Times New Roman" w:cs="Times New Roman"/>
          <w:lang w:eastAsia="de-DE"/>
        </w:rPr>
        <w:t xml:space="preserve">(alles, was Flossen und Schuppen hat) - </w:t>
      </w:r>
      <w:r w:rsidRPr="00F75E3B">
        <w:rPr>
          <w:rFonts w:eastAsia="Times New Roman" w:cs="Times New Roman"/>
          <w:b/>
          <w:bCs/>
          <w:rtl/>
          <w:lang w:eastAsia="de-DE"/>
        </w:rPr>
        <w:t>סנפיר</w:t>
      </w:r>
      <w:r w:rsidRPr="00F75E3B">
        <w:rPr>
          <w:rFonts w:eastAsia="Times New Roman" w:cs="Times New Roman"/>
          <w:rtl/>
          <w:lang w:eastAsia="de-DE"/>
        </w:rPr>
        <w:t xml:space="preserve"> </w:t>
      </w:r>
      <w:r w:rsidRPr="00F75E3B">
        <w:rPr>
          <w:rFonts w:eastAsia="Times New Roman" w:cs="Times New Roman"/>
          <w:lang w:eastAsia="de-DE"/>
        </w:rPr>
        <w:t xml:space="preserve">(Flossen) und </w:t>
      </w:r>
      <w:r w:rsidRPr="00F75E3B">
        <w:rPr>
          <w:rFonts w:eastAsia="Times New Roman" w:cs="Times New Roman"/>
          <w:b/>
          <w:bCs/>
          <w:rtl/>
          <w:lang w:eastAsia="de-DE"/>
        </w:rPr>
        <w:t>קשקשת</w:t>
      </w:r>
      <w:r w:rsidRPr="00F75E3B">
        <w:rPr>
          <w:rFonts w:eastAsia="Times New Roman" w:cs="Times New Roman"/>
          <w:rtl/>
          <w:lang w:eastAsia="de-DE"/>
        </w:rPr>
        <w:t xml:space="preserve"> </w:t>
      </w:r>
      <w:r w:rsidRPr="00F75E3B">
        <w:rPr>
          <w:rFonts w:eastAsia="Times New Roman" w:cs="Times New Roman"/>
          <w:lang w:eastAsia="de-DE"/>
        </w:rPr>
        <w:t xml:space="preserve">(Schuppen) sind die beiden erforderlichen Merkmale. </w:t>
      </w:r>
      <w:r w:rsidRPr="00F75E3B">
        <w:rPr>
          <w:rFonts w:eastAsia="Times New Roman" w:cs="Times New Roman"/>
          <w:b/>
          <w:bCs/>
          <w:rtl/>
          <w:lang w:eastAsia="de-DE"/>
        </w:rPr>
        <w:t>במים בימים ובנחלים</w:t>
      </w:r>
      <w:r w:rsidRPr="00F75E3B">
        <w:rPr>
          <w:rFonts w:eastAsia="Times New Roman" w:cs="Times New Roman"/>
          <w:rtl/>
          <w:lang w:eastAsia="de-DE"/>
        </w:rPr>
        <w:t xml:space="preserve"> </w:t>
      </w:r>
      <w:r w:rsidRPr="00F75E3B">
        <w:rPr>
          <w:rFonts w:eastAsia="Times New Roman" w:cs="Times New Roman"/>
          <w:lang w:eastAsia="de-DE"/>
        </w:rPr>
        <w:t xml:space="preserve">(im Wasser, in den Meeren und in den Flüssen) spezifiziert verschiedene Wasserarten. </w:t>
      </w:r>
      <w:r w:rsidRPr="00F75E3B">
        <w:rPr>
          <w:rFonts w:eastAsia="Times New Roman" w:cs="Times New Roman"/>
          <w:b/>
          <w:bCs/>
          <w:rtl/>
          <w:lang w:eastAsia="de-DE"/>
        </w:rPr>
        <w:t>אתם תאכלו</w:t>
      </w:r>
      <w:r w:rsidRPr="00F75E3B">
        <w:rPr>
          <w:rFonts w:eastAsia="Times New Roman" w:cs="Times New Roman"/>
          <w:rtl/>
          <w:lang w:eastAsia="de-DE"/>
        </w:rPr>
        <w:t xml:space="preserve"> </w:t>
      </w:r>
      <w:r w:rsidRPr="00F75E3B">
        <w:rPr>
          <w:rFonts w:eastAsia="Times New Roman" w:cs="Times New Roman"/>
          <w:lang w:eastAsia="de-DE"/>
        </w:rPr>
        <w:t xml:space="preserve">(diese dürft ihr essen) mit </w:t>
      </w:r>
      <w:r w:rsidRPr="00F75E3B">
        <w:rPr>
          <w:rFonts w:eastAsia="Times New Roman" w:cs="Times New Roman"/>
          <w:b/>
          <w:bCs/>
          <w:rtl/>
          <w:lang w:eastAsia="de-DE"/>
        </w:rPr>
        <w:t>אתם</w:t>
      </w:r>
      <w:r w:rsidRPr="00F75E3B">
        <w:rPr>
          <w:rFonts w:eastAsia="Times New Roman" w:cs="Times New Roman"/>
          <w:rtl/>
          <w:lang w:eastAsia="de-DE"/>
        </w:rPr>
        <w:t xml:space="preserve"> </w:t>
      </w:r>
      <w:r w:rsidRPr="00F75E3B">
        <w:rPr>
          <w:rFonts w:eastAsia="Times New Roman" w:cs="Times New Roman"/>
          <w:lang w:eastAsia="de-DE"/>
        </w:rPr>
        <w:t>referenzierend.</w:t>
      </w:r>
    </w:p>
    <w:p w14:paraId="5BCD5F3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סנפיר וקשקשת</w:t>
      </w:r>
      <w:r w:rsidRPr="00F75E3B">
        <w:rPr>
          <w:rFonts w:eastAsia="Times New Roman" w:cs="Times New Roman"/>
          <w:rtl/>
          <w:lang w:eastAsia="de-DE"/>
        </w:rPr>
        <w:t xml:space="preserve"> </w:t>
      </w:r>
      <w:r w:rsidRPr="00F75E3B">
        <w:rPr>
          <w:rFonts w:eastAsia="Times New Roman" w:cs="Times New Roman"/>
          <w:lang w:eastAsia="de-DE"/>
        </w:rPr>
        <w:t xml:space="preserve">sind die beiden notwendigen Kriterien für erlaubte Wassertiere, analog zu gespaltenen Hufen und Wiederkäuen bei Landtieren. </w:t>
      </w:r>
      <w:r w:rsidRPr="00F75E3B">
        <w:rPr>
          <w:rFonts w:eastAsia="Times New Roman" w:cs="Times New Roman"/>
          <w:b/>
          <w:bCs/>
          <w:rtl/>
          <w:lang w:eastAsia="de-DE"/>
        </w:rPr>
        <w:t>בימים ובנחלים</w:t>
      </w:r>
      <w:r w:rsidRPr="00F75E3B">
        <w:rPr>
          <w:rFonts w:eastAsia="Times New Roman" w:cs="Times New Roman"/>
          <w:rtl/>
          <w:lang w:eastAsia="de-DE"/>
        </w:rPr>
        <w:t xml:space="preserve"> </w:t>
      </w:r>
      <w:r w:rsidRPr="00F75E3B">
        <w:rPr>
          <w:rFonts w:eastAsia="Times New Roman" w:cs="Times New Roman"/>
          <w:lang w:eastAsia="de-DE"/>
        </w:rPr>
        <w:t>umfasst Salz- und Süßwasser.</w:t>
      </w:r>
    </w:p>
    <w:p w14:paraId="70CB8BC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סנפיר</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τερύγι</w:t>
      </w:r>
      <w:proofErr w:type="spellEnd"/>
      <w:r w:rsidRPr="00F75E3B">
        <w:rPr>
          <w:rFonts w:eastAsia="Times New Roman" w:cs="Times New Roman"/>
          <w:lang w:eastAsia="de-DE"/>
        </w:rPr>
        <w:t xml:space="preserve">α (Flügel/Flossen), </w:t>
      </w:r>
      <w:r w:rsidRPr="00F75E3B">
        <w:rPr>
          <w:rFonts w:eastAsia="Times New Roman" w:cs="Times New Roman"/>
          <w:b/>
          <w:bCs/>
          <w:rtl/>
          <w:lang w:eastAsia="de-DE"/>
        </w:rPr>
        <w:t>קשקשת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λε</w:t>
      </w:r>
      <w:proofErr w:type="spellEnd"/>
      <w:r w:rsidRPr="00F75E3B">
        <w:rPr>
          <w:rFonts w:eastAsia="Times New Roman" w:cs="Times New Roman"/>
          <w:lang w:eastAsia="de-DE"/>
        </w:rPr>
        <w:t xml:space="preserve">πίδας (Schuppen) und </w:t>
      </w:r>
      <w:r w:rsidRPr="00F75E3B">
        <w:rPr>
          <w:rFonts w:eastAsia="Times New Roman" w:cs="Times New Roman"/>
          <w:b/>
          <w:bCs/>
          <w:rtl/>
          <w:lang w:eastAsia="de-DE"/>
        </w:rPr>
        <w:t>בימים ובנחלים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ἐν</w:t>
      </w:r>
      <w:proofErr w:type="spellEnd"/>
      <w:r w:rsidRPr="00F75E3B">
        <w:rPr>
          <w:rFonts w:eastAsia="Times New Roman" w:cs="Times New Roman"/>
          <w:lang w:eastAsia="de-DE"/>
        </w:rPr>
        <w:t xml:space="preserve"> τα</w:t>
      </w:r>
      <w:proofErr w:type="spellStart"/>
      <w:r w:rsidRPr="00F75E3B">
        <w:rPr>
          <w:rFonts w:eastAsia="Times New Roman" w:cs="Times New Roman"/>
          <w:lang w:eastAsia="de-DE"/>
        </w:rPr>
        <w:t>ῖς</w:t>
      </w:r>
      <w:proofErr w:type="spellEnd"/>
      <w:r w:rsidRPr="00F75E3B">
        <w:rPr>
          <w:rFonts w:eastAsia="Times New Roman" w:cs="Times New Roman"/>
          <w:lang w:eastAsia="de-DE"/>
        </w:rPr>
        <w:t xml:space="preserve"> θα</w:t>
      </w:r>
      <w:proofErr w:type="spellStart"/>
      <w:r w:rsidRPr="00F75E3B">
        <w:rPr>
          <w:rFonts w:eastAsia="Times New Roman" w:cs="Times New Roman"/>
          <w:lang w:eastAsia="de-DE"/>
        </w:rPr>
        <w:t>λάσσ</w:t>
      </w:r>
      <w:proofErr w:type="spellEnd"/>
      <w:r w:rsidRPr="00F75E3B">
        <w:rPr>
          <w:rFonts w:eastAsia="Times New Roman" w:cs="Times New Roman"/>
          <w:lang w:eastAsia="de-DE"/>
        </w:rPr>
        <w:t xml:space="preserve">αις καὶ </w:t>
      </w:r>
      <w:proofErr w:type="spellStart"/>
      <w:r w:rsidRPr="00F75E3B">
        <w:rPr>
          <w:rFonts w:eastAsia="Times New Roman" w:cs="Times New Roman"/>
          <w:lang w:eastAsia="de-DE"/>
        </w:rPr>
        <w:t>ἐν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τοῖς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χειμάρροις</w:t>
      </w:r>
      <w:proofErr w:type="spellEnd"/>
      <w:r w:rsidRPr="00F75E3B">
        <w:rPr>
          <w:rFonts w:eastAsia="Times New Roman" w:cs="Times New Roman"/>
          <w:lang w:eastAsia="de-DE"/>
        </w:rPr>
        <w:t xml:space="preserve"> (in den Meeren und in den Strömen).</w:t>
      </w:r>
    </w:p>
    <w:p w14:paraId="4BBE9C0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Erlaubnisregel für Wassertiere: demonstrative Einleitung + partitive Quelle + universelle Regel mit zwei Kriterien + Gewässerspezifikation + Erlaubnisformel. Die Struktur etabliert die Wassertierkriterien.</w:t>
      </w:r>
    </w:p>
    <w:p w14:paraId="6A75664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etabliert die beiden notwendigen Kriterien für erlaubte Wassertiere: Flossen und Schuppen, gültig für alle Gewässerarten.</w:t>
      </w:r>
    </w:p>
    <w:p w14:paraId="34E19D8A"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11,10</w:t>
      </w:r>
    </w:p>
    <w:p w14:paraId="4E65989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 אֲשֶׁ֨ר אֵֽין־לוֹ֜ סְנַפִּ֣יר וְקַשְׂקֶ֗שֶׂת בַּיַּמִּים֙ וּבַנְּחָלִ֔ים מִכֹּל֙ שֶׁ֣רֶץ הַמַּ֔יִם וּמִכֹּ֛ל נֶ֥פֶשׁ הַחַיָּ֖ה אֲשֶׁ֣ר בַּמָּ֑יִם שֶׁ֥קֶץ הֵ֖ם לָכֶֽם׃</w:t>
      </w:r>
    </w:p>
    <w:p w14:paraId="2A9CA4F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Aber alles, was keine Flossen und Schuppen hat in den Meeren und in den Flüssen, von allem Gewimmel des Wassers und von allen lebenden Wesen, die im Wasser sind, sie sind ein Gräuel für euch.</w:t>
      </w:r>
    </w:p>
    <w:p w14:paraId="56706639"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E7F5D35">
          <v:rect id="_x0000_i1286" style="width:0;height:1.5pt" o:hralign="center" o:hrstd="t" o:hr="t" fillcolor="#a0a0a0" stroked="f"/>
        </w:pict>
      </w:r>
    </w:p>
    <w:p w14:paraId="310E8D2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 אשר אין־לו סנפיר וקשקשת בימים ובנחלים</w:t>
      </w:r>
      <w:r w:rsidRPr="00F75E3B">
        <w:rPr>
          <w:rFonts w:eastAsia="Times New Roman" w:cs="Times New Roman"/>
          <w:rtl/>
          <w:lang w:eastAsia="de-DE"/>
        </w:rPr>
        <w:t xml:space="preserve"> </w:t>
      </w:r>
      <w:r w:rsidRPr="00F75E3B">
        <w:rPr>
          <w:rFonts w:eastAsia="Times New Roman" w:cs="Times New Roman"/>
          <w:lang w:eastAsia="de-DE"/>
        </w:rPr>
        <w:t xml:space="preserve">zeigt die Negation der Kriterien aus V. 9. </w:t>
      </w:r>
      <w:r w:rsidRPr="00F75E3B">
        <w:rPr>
          <w:rFonts w:eastAsia="Times New Roman" w:cs="Times New Roman"/>
          <w:b/>
          <w:bCs/>
          <w:rtl/>
          <w:lang w:eastAsia="de-DE"/>
        </w:rPr>
        <w:t>אין־לו</w:t>
      </w:r>
      <w:r w:rsidRPr="00F75E3B">
        <w:rPr>
          <w:rFonts w:eastAsia="Times New Roman" w:cs="Times New Roman"/>
          <w:rtl/>
          <w:lang w:eastAsia="de-DE"/>
        </w:rPr>
        <w:t xml:space="preserve"> </w:t>
      </w:r>
      <w:r w:rsidRPr="00F75E3B">
        <w:rPr>
          <w:rFonts w:eastAsia="Times New Roman" w:cs="Times New Roman"/>
          <w:lang w:eastAsia="de-DE"/>
        </w:rPr>
        <w:t xml:space="preserve">(es hat nicht) mit </w:t>
      </w:r>
      <w:r w:rsidRPr="00F75E3B">
        <w:rPr>
          <w:rFonts w:eastAsia="Times New Roman" w:cs="Times New Roman"/>
          <w:b/>
          <w:bCs/>
          <w:rtl/>
          <w:lang w:eastAsia="de-DE"/>
        </w:rPr>
        <w:t>סנפיר וקשקשת</w:t>
      </w:r>
      <w:r w:rsidRPr="00F75E3B">
        <w:rPr>
          <w:rFonts w:eastAsia="Times New Roman" w:cs="Times New Roman"/>
          <w:rtl/>
          <w:lang w:eastAsia="de-DE"/>
        </w:rPr>
        <w:t xml:space="preserve"> </w:t>
      </w:r>
      <w:r w:rsidRPr="00F75E3B">
        <w:rPr>
          <w:rFonts w:eastAsia="Times New Roman" w:cs="Times New Roman"/>
          <w:lang w:eastAsia="de-DE"/>
        </w:rPr>
        <w:t xml:space="preserve">(Flossen und Schuppen). </w:t>
      </w:r>
      <w:r w:rsidRPr="00F75E3B">
        <w:rPr>
          <w:rFonts w:eastAsia="Times New Roman" w:cs="Times New Roman"/>
          <w:b/>
          <w:bCs/>
          <w:rtl/>
          <w:lang w:eastAsia="de-DE"/>
        </w:rPr>
        <w:t>בימים ובנחלים</w:t>
      </w:r>
      <w:r w:rsidRPr="00F75E3B">
        <w:rPr>
          <w:rFonts w:eastAsia="Times New Roman" w:cs="Times New Roman"/>
          <w:rtl/>
          <w:lang w:eastAsia="de-DE"/>
        </w:rPr>
        <w:t xml:space="preserve"> </w:t>
      </w:r>
      <w:r w:rsidRPr="00F75E3B">
        <w:rPr>
          <w:rFonts w:eastAsia="Times New Roman" w:cs="Times New Roman"/>
          <w:lang w:eastAsia="de-DE"/>
        </w:rPr>
        <w:t>wiederholt die Gewässerspezifikation.</w:t>
      </w:r>
    </w:p>
    <w:p w14:paraId="1649A8A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מכל שרץ המים ומכל נפש החיה אשר במים שקץ הם לכם</w:t>
      </w:r>
      <w:r w:rsidRPr="00F75E3B">
        <w:rPr>
          <w:rFonts w:eastAsia="Times New Roman" w:cs="Times New Roman"/>
          <w:rtl/>
          <w:lang w:eastAsia="de-DE"/>
        </w:rPr>
        <w:t xml:space="preserve"> </w:t>
      </w:r>
      <w:r w:rsidRPr="00F75E3B">
        <w:rPr>
          <w:rFonts w:eastAsia="Times New Roman" w:cs="Times New Roman"/>
          <w:lang w:eastAsia="de-DE"/>
        </w:rPr>
        <w:t xml:space="preserve">klassifiziert diese Tiere. </w:t>
      </w:r>
      <w:r w:rsidRPr="00F75E3B">
        <w:rPr>
          <w:rFonts w:eastAsia="Times New Roman" w:cs="Times New Roman"/>
          <w:b/>
          <w:bCs/>
          <w:rtl/>
          <w:lang w:eastAsia="de-DE"/>
        </w:rPr>
        <w:t>מכל שרץ המים</w:t>
      </w:r>
      <w:r w:rsidRPr="00F75E3B">
        <w:rPr>
          <w:rFonts w:eastAsia="Times New Roman" w:cs="Times New Roman"/>
          <w:rtl/>
          <w:lang w:eastAsia="de-DE"/>
        </w:rPr>
        <w:t xml:space="preserve"> </w:t>
      </w:r>
      <w:r w:rsidRPr="00F75E3B">
        <w:rPr>
          <w:rFonts w:eastAsia="Times New Roman" w:cs="Times New Roman"/>
          <w:lang w:eastAsia="de-DE"/>
        </w:rPr>
        <w:t xml:space="preserve">(von allem Gewimmel des Wassers) - </w:t>
      </w:r>
      <w:r w:rsidRPr="00F75E3B">
        <w:rPr>
          <w:rFonts w:eastAsia="Times New Roman" w:cs="Times New Roman"/>
          <w:b/>
          <w:bCs/>
          <w:rtl/>
          <w:lang w:eastAsia="de-DE"/>
        </w:rPr>
        <w:t>שרץ</w:t>
      </w:r>
      <w:r w:rsidRPr="00F75E3B">
        <w:rPr>
          <w:rFonts w:eastAsia="Times New Roman" w:cs="Times New Roman"/>
          <w:rtl/>
          <w:lang w:eastAsia="de-DE"/>
        </w:rPr>
        <w:t xml:space="preserve"> </w:t>
      </w:r>
      <w:r w:rsidRPr="00F75E3B">
        <w:rPr>
          <w:rFonts w:eastAsia="Times New Roman" w:cs="Times New Roman"/>
          <w:lang w:eastAsia="de-DE"/>
        </w:rPr>
        <w:t xml:space="preserve">(Gewimmel/Kleingetier) bezeichnet kleine Wassertiere. </w:t>
      </w:r>
      <w:r w:rsidRPr="00F75E3B">
        <w:rPr>
          <w:rFonts w:eastAsia="Times New Roman" w:cs="Times New Roman"/>
          <w:b/>
          <w:bCs/>
          <w:rtl/>
          <w:lang w:eastAsia="de-DE"/>
        </w:rPr>
        <w:t>ומכל נפש החיה אשר במים</w:t>
      </w:r>
      <w:r w:rsidRPr="00F75E3B">
        <w:rPr>
          <w:rFonts w:eastAsia="Times New Roman" w:cs="Times New Roman"/>
          <w:rtl/>
          <w:lang w:eastAsia="de-DE"/>
        </w:rPr>
        <w:t xml:space="preserve"> </w:t>
      </w:r>
      <w:r w:rsidRPr="00F75E3B">
        <w:rPr>
          <w:rFonts w:eastAsia="Times New Roman" w:cs="Times New Roman"/>
          <w:lang w:eastAsia="de-DE"/>
        </w:rPr>
        <w:t xml:space="preserve">(und von allen lebenden Wesen, die im Wasser sind) erweitert auf alle Wasserlebewesen. </w:t>
      </w:r>
      <w:r w:rsidRPr="00F75E3B">
        <w:rPr>
          <w:rFonts w:eastAsia="Times New Roman" w:cs="Times New Roman"/>
          <w:b/>
          <w:bCs/>
          <w:rtl/>
          <w:lang w:eastAsia="de-DE"/>
        </w:rPr>
        <w:t>שקץ הם לכם</w:t>
      </w:r>
      <w:r w:rsidRPr="00F75E3B">
        <w:rPr>
          <w:rFonts w:eastAsia="Times New Roman" w:cs="Times New Roman"/>
          <w:rtl/>
          <w:lang w:eastAsia="de-DE"/>
        </w:rPr>
        <w:t xml:space="preserve"> </w:t>
      </w:r>
      <w:r w:rsidRPr="00F75E3B">
        <w:rPr>
          <w:rFonts w:eastAsia="Times New Roman" w:cs="Times New Roman"/>
          <w:lang w:eastAsia="de-DE"/>
        </w:rPr>
        <w:t xml:space="preserve">(sie sind ein Gräuel für euch) -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 xml:space="preserve">(Gräuel/Abscheu) ist stärker als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(unrein).</w:t>
      </w:r>
    </w:p>
    <w:p w14:paraId="22D6AFF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שרץ המים</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נפש החיה אשר במים</w:t>
      </w:r>
      <w:r w:rsidRPr="00F75E3B">
        <w:rPr>
          <w:rFonts w:eastAsia="Times New Roman" w:cs="Times New Roman"/>
          <w:rtl/>
          <w:lang w:eastAsia="de-DE"/>
        </w:rPr>
        <w:t xml:space="preserve"> </w:t>
      </w:r>
      <w:r w:rsidRPr="00F75E3B">
        <w:rPr>
          <w:rFonts w:eastAsia="Times New Roman" w:cs="Times New Roman"/>
          <w:lang w:eastAsia="de-DE"/>
        </w:rPr>
        <w:t xml:space="preserve">umfassen alle Wassertiere ohne Flossen und Schuppen.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als schärfste Klassifikation zeigt besonderen Abscheu vor diesen Tieren.</w:t>
      </w:r>
    </w:p>
    <w:p w14:paraId="212A105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אין־לו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μὴ</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ἔστιν</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ὐτοῖς</w:t>
      </w:r>
      <w:proofErr w:type="spellEnd"/>
      <w:r w:rsidRPr="00F75E3B">
        <w:rPr>
          <w:rFonts w:eastAsia="Times New Roman" w:cs="Times New Roman"/>
          <w:lang w:eastAsia="de-DE"/>
        </w:rPr>
        <w:t xml:space="preserve"> (sie haben nicht), </w:t>
      </w:r>
      <w:r w:rsidRPr="00F75E3B">
        <w:rPr>
          <w:rFonts w:eastAsia="Times New Roman" w:cs="Times New Roman"/>
          <w:b/>
          <w:bCs/>
          <w:rtl/>
          <w:lang w:eastAsia="de-DE"/>
        </w:rPr>
        <w:t>שרץ המים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ἑρ</w:t>
      </w:r>
      <w:proofErr w:type="spellEnd"/>
      <w:r w:rsidRPr="00F75E3B">
        <w:rPr>
          <w:rFonts w:eastAsia="Times New Roman" w:cs="Times New Roman"/>
          <w:lang w:eastAsia="de-DE"/>
        </w:rPr>
        <w:t xml:space="preserve">πετῶν </w:t>
      </w:r>
      <w:proofErr w:type="spellStart"/>
      <w:r w:rsidRPr="00F75E3B">
        <w:rPr>
          <w:rFonts w:eastAsia="Times New Roman" w:cs="Times New Roman"/>
          <w:lang w:eastAsia="de-DE"/>
        </w:rPr>
        <w:t>τῶν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ὑδάτων</w:t>
      </w:r>
      <w:proofErr w:type="spellEnd"/>
      <w:r w:rsidRPr="00F75E3B">
        <w:rPr>
          <w:rFonts w:eastAsia="Times New Roman" w:cs="Times New Roman"/>
          <w:lang w:eastAsia="de-DE"/>
        </w:rPr>
        <w:t xml:space="preserve"> (Kriechtiere der Wasser) und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δέλυγμ</w:t>
      </w:r>
      <w:proofErr w:type="spellEnd"/>
      <w:r w:rsidRPr="00F75E3B">
        <w:rPr>
          <w:rFonts w:eastAsia="Times New Roman" w:cs="Times New Roman"/>
          <w:lang w:eastAsia="de-DE"/>
        </w:rPr>
        <w:t>α (Gräuel).</w:t>
      </w:r>
    </w:p>
    <w:p w14:paraId="65C0CEF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umfassende Verbotsregel: universelles Subjekt mit negierte Kriterien + Gewässerspezifikation + zwei partitive Kategorien + Gräuelklassifikation. Die Struktur zeigt die Schärfe des </w:t>
      </w:r>
      <w:proofErr w:type="spellStart"/>
      <w:r w:rsidRPr="00F75E3B">
        <w:rPr>
          <w:rFonts w:eastAsia="Times New Roman" w:cs="Times New Roman"/>
          <w:lang w:eastAsia="de-DE"/>
        </w:rPr>
        <w:t>Wassertiererverbots</w:t>
      </w:r>
      <w:proofErr w:type="spellEnd"/>
      <w:r w:rsidRPr="00F75E3B">
        <w:rPr>
          <w:rFonts w:eastAsia="Times New Roman" w:cs="Times New Roman"/>
          <w:lang w:eastAsia="de-DE"/>
        </w:rPr>
        <w:t>.</w:t>
      </w:r>
    </w:p>
    <w:p w14:paraId="30D1986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verbietet alle Wassertiere ohne Flossen und Schuppen und klassifiziert sie als "Gräuel" - die schärfste Ablehnungskategorie.</w:t>
      </w:r>
    </w:p>
    <w:p w14:paraId="58F9B75C"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11,11</w:t>
      </w:r>
    </w:p>
    <w:p w14:paraId="7EFC30B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וְשֶׁ֖קֶץ יִהְי֣וּ לָכֶ֑ם מִבְּשָׂרָם֙ לֹ֣א תֹאכֵ֔לוּ וְאֶת־נִבְלָתָ֖ם תְּשַׁקֵּֽצוּ׃</w:t>
      </w:r>
    </w:p>
    <w:p w14:paraId="2BE4E23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ein Gräuel sollen sie für euch sein: von ihrem Fleisch sollt ihr nicht essen, und ihr Aas sollt ihr verabscheuen.</w:t>
      </w:r>
    </w:p>
    <w:p w14:paraId="06C6879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41DB6C5">
          <v:rect id="_x0000_i1287" style="width:0;height:1.5pt" o:hralign="center" o:hrstd="t" o:hr="t" fillcolor="#a0a0a0" stroked="f"/>
        </w:pict>
      </w:r>
    </w:p>
    <w:p w14:paraId="094C3CC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ושקץ יהיו לכם מבשרם לא תאכלו ואת־נבלתם תשקצו</w:t>
      </w:r>
      <w:r w:rsidRPr="00F75E3B">
        <w:rPr>
          <w:rFonts w:eastAsia="Times New Roman" w:cs="Times New Roman"/>
          <w:rtl/>
          <w:lang w:eastAsia="de-DE"/>
        </w:rPr>
        <w:t xml:space="preserve"> </w:t>
      </w:r>
      <w:r w:rsidRPr="00F75E3B">
        <w:rPr>
          <w:rFonts w:eastAsia="Times New Roman" w:cs="Times New Roman"/>
          <w:lang w:eastAsia="de-DE"/>
        </w:rPr>
        <w:t xml:space="preserve">verstärkt die Klassifikation aus V. 10. </w:t>
      </w:r>
      <w:r w:rsidRPr="00F75E3B">
        <w:rPr>
          <w:rFonts w:eastAsia="Times New Roman" w:cs="Times New Roman"/>
          <w:b/>
          <w:bCs/>
          <w:rtl/>
          <w:lang w:eastAsia="de-DE"/>
        </w:rPr>
        <w:t>ושקץ יהיו לכם</w:t>
      </w:r>
      <w:r w:rsidRPr="00F75E3B">
        <w:rPr>
          <w:rFonts w:eastAsia="Times New Roman" w:cs="Times New Roman"/>
          <w:rtl/>
          <w:lang w:eastAsia="de-DE"/>
        </w:rPr>
        <w:t xml:space="preserve"> </w:t>
      </w:r>
      <w:r w:rsidRPr="00F75E3B">
        <w:rPr>
          <w:rFonts w:eastAsia="Times New Roman" w:cs="Times New Roman"/>
          <w:lang w:eastAsia="de-DE"/>
        </w:rPr>
        <w:t xml:space="preserve">(und ein Gräuel sollen sie sein für euch) -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 xml:space="preserve">als Prädikatsnomen mit </w:t>
      </w:r>
      <w:r w:rsidRPr="00F75E3B">
        <w:rPr>
          <w:rFonts w:eastAsia="Times New Roman" w:cs="Times New Roman"/>
          <w:b/>
          <w:bCs/>
          <w:rtl/>
          <w:lang w:eastAsia="de-DE"/>
        </w:rPr>
        <w:t>יהיו</w:t>
      </w:r>
      <w:r w:rsidRPr="00F75E3B">
        <w:rPr>
          <w:rFonts w:eastAsia="Times New Roman" w:cs="Times New Roman"/>
          <w:rtl/>
          <w:lang w:eastAsia="de-DE"/>
        </w:rPr>
        <w:t xml:space="preserve"> </w:t>
      </w:r>
      <w:r w:rsidRPr="00F75E3B">
        <w:rPr>
          <w:rFonts w:eastAsia="Times New Roman" w:cs="Times New Roman"/>
          <w:lang w:eastAsia="de-DE"/>
        </w:rPr>
        <w:t xml:space="preserve">(sie sollen sein) im Qal-Imperfekt. </w:t>
      </w:r>
      <w:r w:rsidRPr="00F75E3B">
        <w:rPr>
          <w:rFonts w:eastAsia="Times New Roman" w:cs="Times New Roman"/>
          <w:b/>
          <w:bCs/>
          <w:rtl/>
          <w:lang w:eastAsia="de-DE"/>
        </w:rPr>
        <w:t>מבשרם לא תאכלו</w:t>
      </w:r>
      <w:r w:rsidRPr="00F75E3B">
        <w:rPr>
          <w:rFonts w:eastAsia="Times New Roman" w:cs="Times New Roman"/>
          <w:rtl/>
          <w:lang w:eastAsia="de-DE"/>
        </w:rPr>
        <w:t xml:space="preserve"> </w:t>
      </w:r>
      <w:r w:rsidRPr="00F75E3B">
        <w:rPr>
          <w:rFonts w:eastAsia="Times New Roman" w:cs="Times New Roman"/>
          <w:lang w:eastAsia="de-DE"/>
        </w:rPr>
        <w:t xml:space="preserve">(von ihrem Fleisch sollt ihr nicht essen) entspricht V. 8. </w:t>
      </w:r>
      <w:r w:rsidRPr="00F75E3B">
        <w:rPr>
          <w:rFonts w:eastAsia="Times New Roman" w:cs="Times New Roman"/>
          <w:b/>
          <w:bCs/>
          <w:rtl/>
          <w:lang w:eastAsia="de-DE"/>
        </w:rPr>
        <w:t>ואת־נבלתם תשקצו</w:t>
      </w:r>
      <w:r w:rsidRPr="00F75E3B">
        <w:rPr>
          <w:rFonts w:eastAsia="Times New Roman" w:cs="Times New Roman"/>
          <w:rtl/>
          <w:lang w:eastAsia="de-DE"/>
        </w:rPr>
        <w:t xml:space="preserve"> </w:t>
      </w:r>
      <w:r w:rsidRPr="00F75E3B">
        <w:rPr>
          <w:rFonts w:eastAsia="Times New Roman" w:cs="Times New Roman"/>
          <w:lang w:eastAsia="de-DE"/>
        </w:rPr>
        <w:t xml:space="preserve">(und ihr Aas sollt ihr verabscheuen) führt das Verb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(verabscheuen) im Piel-Imperfekt ein.</w:t>
      </w:r>
    </w:p>
    <w:p w14:paraId="4CC4ED2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יהיו</w:t>
      </w:r>
      <w:r w:rsidRPr="00F75E3B">
        <w:rPr>
          <w:rFonts w:eastAsia="Times New Roman" w:cs="Times New Roman"/>
          <w:rtl/>
          <w:lang w:eastAsia="de-DE"/>
        </w:rPr>
        <w:t xml:space="preserve"> </w:t>
      </w:r>
      <w:r w:rsidRPr="00F75E3B">
        <w:rPr>
          <w:rFonts w:eastAsia="Times New Roman" w:cs="Times New Roman"/>
          <w:lang w:eastAsia="de-DE"/>
        </w:rPr>
        <w:t xml:space="preserve">als Futur zeigt anhaltende Geltung der </w:t>
      </w:r>
      <w:r w:rsidRPr="00F75E3B">
        <w:rPr>
          <w:rFonts w:eastAsia="Times New Roman" w:cs="Times New Roman"/>
          <w:b/>
          <w:bCs/>
          <w:rtl/>
          <w:lang w:eastAsia="de-DE"/>
        </w:rPr>
        <w:t>שקץ</w:t>
      </w:r>
      <w:r w:rsidRPr="00F75E3B">
        <w:rPr>
          <w:rFonts w:eastAsia="Times New Roman" w:cs="Times New Roman"/>
          <w:lang w:eastAsia="de-DE"/>
        </w:rPr>
        <w:t xml:space="preserve">-Klassifikation. </w:t>
      </w:r>
      <w:r w:rsidRPr="00F75E3B">
        <w:rPr>
          <w:rFonts w:eastAsia="Times New Roman" w:cs="Times New Roman"/>
          <w:b/>
          <w:bCs/>
          <w:rtl/>
          <w:lang w:eastAsia="de-DE"/>
        </w:rPr>
        <w:t>תשקצו</w:t>
      </w:r>
      <w:r w:rsidRPr="00F75E3B">
        <w:rPr>
          <w:rFonts w:eastAsia="Times New Roman" w:cs="Times New Roman"/>
          <w:rtl/>
          <w:lang w:eastAsia="de-DE"/>
        </w:rPr>
        <w:t xml:space="preserve"> </w:t>
      </w:r>
      <w:r w:rsidRPr="00F75E3B">
        <w:rPr>
          <w:rFonts w:eastAsia="Times New Roman" w:cs="Times New Roman"/>
          <w:lang w:eastAsia="de-DE"/>
        </w:rPr>
        <w:t>intensiviert über das bloße Berührungsverbot aus V. 8 hinaus zur aktiven Abscheu.</w:t>
      </w:r>
    </w:p>
    <w:p w14:paraId="39CB780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δέλυγμ</w:t>
      </w:r>
      <w:proofErr w:type="spellEnd"/>
      <w:r w:rsidRPr="00F75E3B">
        <w:rPr>
          <w:rFonts w:eastAsia="Times New Roman" w:cs="Times New Roman"/>
          <w:lang w:eastAsia="de-DE"/>
        </w:rPr>
        <w:t xml:space="preserve">α (Gräuel), </w:t>
      </w:r>
      <w:r w:rsidRPr="00F75E3B">
        <w:rPr>
          <w:rFonts w:eastAsia="Times New Roman" w:cs="Times New Roman"/>
          <w:b/>
          <w:bCs/>
          <w:rtl/>
          <w:lang w:eastAsia="de-DE"/>
        </w:rPr>
        <w:t>יהיו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ἔσοντ</w:t>
      </w:r>
      <w:proofErr w:type="spellEnd"/>
      <w:r w:rsidRPr="00F75E3B">
        <w:rPr>
          <w:rFonts w:eastAsia="Times New Roman" w:cs="Times New Roman"/>
          <w:lang w:eastAsia="de-DE"/>
        </w:rPr>
        <w:t xml:space="preserve">αι (sie werden sein) und </w:t>
      </w:r>
      <w:r w:rsidRPr="00F75E3B">
        <w:rPr>
          <w:rFonts w:eastAsia="Times New Roman" w:cs="Times New Roman"/>
          <w:b/>
          <w:bCs/>
          <w:rtl/>
          <w:lang w:eastAsia="de-DE"/>
        </w:rPr>
        <w:t>תשקצו</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δελύξεσθε</w:t>
      </w:r>
      <w:proofErr w:type="spellEnd"/>
      <w:r w:rsidRPr="00F75E3B">
        <w:rPr>
          <w:rFonts w:eastAsia="Times New Roman" w:cs="Times New Roman"/>
          <w:lang w:eastAsia="de-DE"/>
        </w:rPr>
        <w:t xml:space="preserve"> (ihr werdet verabscheuen).</w:t>
      </w:r>
    </w:p>
    <w:p w14:paraId="4DC812C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Verstärkung der Verbote: Klassifikation + Essverbot + aktives Abscheugebot. Die Struktur intensiviert die Ablehnung der verbotenen Wassertiere.</w:t>
      </w:r>
    </w:p>
    <w:p w14:paraId="0F8580F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verstärkt das Verbot der Wassertiere ohne Flossen und Schuppen durch die </w:t>
      </w:r>
      <w:r w:rsidRPr="00F75E3B">
        <w:rPr>
          <w:rFonts w:eastAsia="Times New Roman" w:cs="Times New Roman"/>
          <w:b/>
          <w:bCs/>
          <w:rtl/>
          <w:lang w:eastAsia="de-DE"/>
        </w:rPr>
        <w:t>שקץ</w:t>
      </w:r>
      <w:r w:rsidRPr="00F75E3B">
        <w:rPr>
          <w:rFonts w:eastAsia="Times New Roman" w:cs="Times New Roman"/>
          <w:lang w:eastAsia="de-DE"/>
        </w:rPr>
        <w:t>-Klassifikation und aktive Abscheu.</w:t>
      </w:r>
    </w:p>
    <w:p w14:paraId="0FB226D5"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11,12</w:t>
      </w:r>
    </w:p>
    <w:p w14:paraId="4088605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כֹּ֣ל אֲשֶׁ֥ר אֵֽין־לוֹ֛ סְנַפִּ֥יר וְקַשְׂקֶ֖שֶׂת בַּמָּ֑יִם שֶׁ֥קֶץ ה֖וּא לָכֶֽם׃</w:t>
      </w:r>
    </w:p>
    <w:p w14:paraId="4AE4D4D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Alles, was keine Flossen und Schuppen hat im Wasser, sei ein Gräuel für euch.</w:t>
      </w:r>
    </w:p>
    <w:p w14:paraId="47C5A015"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2F957F2">
          <v:rect id="_x0000_i1288" style="width:0;height:1.5pt" o:hralign="center" o:hrstd="t" o:hr="t" fillcolor="#a0a0a0" stroked="f"/>
        </w:pict>
      </w:r>
    </w:p>
    <w:p w14:paraId="039B220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כל אשר אין־לו סנפיר וקשקשת במים שקץ הוא לכם</w:t>
      </w:r>
      <w:r w:rsidRPr="00F75E3B">
        <w:rPr>
          <w:rFonts w:eastAsia="Times New Roman" w:cs="Times New Roman"/>
          <w:rtl/>
          <w:lang w:eastAsia="de-DE"/>
        </w:rPr>
        <w:t xml:space="preserve"> </w:t>
      </w:r>
      <w:r w:rsidRPr="00F75E3B">
        <w:rPr>
          <w:rFonts w:eastAsia="Times New Roman" w:cs="Times New Roman"/>
          <w:lang w:eastAsia="de-DE"/>
        </w:rPr>
        <w:t xml:space="preserve">wiederholt und fasst die </w:t>
      </w:r>
      <w:proofErr w:type="spellStart"/>
      <w:r w:rsidRPr="00F75E3B">
        <w:rPr>
          <w:rFonts w:eastAsia="Times New Roman" w:cs="Times New Roman"/>
          <w:lang w:eastAsia="de-DE"/>
        </w:rPr>
        <w:t>Wassertiererregel</w:t>
      </w:r>
      <w:proofErr w:type="spellEnd"/>
      <w:r w:rsidRPr="00F75E3B">
        <w:rPr>
          <w:rFonts w:eastAsia="Times New Roman" w:cs="Times New Roman"/>
          <w:lang w:eastAsia="de-DE"/>
        </w:rPr>
        <w:t xml:space="preserve"> zusammen. </w:t>
      </w:r>
      <w:r w:rsidRPr="00F75E3B">
        <w:rPr>
          <w:rFonts w:eastAsia="Times New Roman" w:cs="Times New Roman"/>
          <w:b/>
          <w:bCs/>
          <w:rtl/>
          <w:lang w:eastAsia="de-DE"/>
        </w:rPr>
        <w:t>כל אשר אין־לו סנפיר וקשקשת</w:t>
      </w:r>
      <w:r w:rsidRPr="00F75E3B">
        <w:rPr>
          <w:rFonts w:eastAsia="Times New Roman" w:cs="Times New Roman"/>
          <w:rtl/>
          <w:lang w:eastAsia="de-DE"/>
        </w:rPr>
        <w:t xml:space="preserve"> </w:t>
      </w:r>
      <w:r w:rsidRPr="00F75E3B">
        <w:rPr>
          <w:rFonts w:eastAsia="Times New Roman" w:cs="Times New Roman"/>
          <w:lang w:eastAsia="de-DE"/>
        </w:rPr>
        <w:t xml:space="preserve">(alles, was keine Flossen und Schuppen hat) entspricht V. 10. </w:t>
      </w:r>
      <w:r w:rsidRPr="00F75E3B">
        <w:rPr>
          <w:rFonts w:eastAsia="Times New Roman" w:cs="Times New Roman"/>
          <w:b/>
          <w:bCs/>
          <w:rtl/>
          <w:lang w:eastAsia="de-DE"/>
        </w:rPr>
        <w:t>במים</w:t>
      </w:r>
      <w:r w:rsidRPr="00F75E3B">
        <w:rPr>
          <w:rFonts w:eastAsia="Times New Roman" w:cs="Times New Roman"/>
          <w:rtl/>
          <w:lang w:eastAsia="de-DE"/>
        </w:rPr>
        <w:t xml:space="preserve"> </w:t>
      </w:r>
      <w:r w:rsidRPr="00F75E3B">
        <w:rPr>
          <w:rFonts w:eastAsia="Times New Roman" w:cs="Times New Roman"/>
          <w:lang w:eastAsia="de-DE"/>
        </w:rPr>
        <w:t xml:space="preserve">(im Wasser) ohne die Spezifikation </w:t>
      </w:r>
      <w:r w:rsidRPr="00F75E3B">
        <w:rPr>
          <w:rFonts w:eastAsia="Times New Roman" w:cs="Times New Roman"/>
          <w:b/>
          <w:bCs/>
          <w:rtl/>
          <w:lang w:eastAsia="de-DE"/>
        </w:rPr>
        <w:t>בימים ובנחלים</w:t>
      </w:r>
      <w:r w:rsidRPr="00F75E3B">
        <w:rPr>
          <w:rFonts w:eastAsia="Times New Roman" w:cs="Times New Roman"/>
          <w:rtl/>
          <w:lang w:eastAsia="de-DE"/>
        </w:rPr>
        <w:t xml:space="preserve"> </w:t>
      </w:r>
      <w:r w:rsidRPr="00F75E3B">
        <w:rPr>
          <w:rFonts w:eastAsia="Times New Roman" w:cs="Times New Roman"/>
          <w:lang w:eastAsia="de-DE"/>
        </w:rPr>
        <w:t xml:space="preserve">umfasst alle Gewässer. </w:t>
      </w:r>
      <w:r w:rsidRPr="00F75E3B">
        <w:rPr>
          <w:rFonts w:eastAsia="Times New Roman" w:cs="Times New Roman"/>
          <w:b/>
          <w:bCs/>
          <w:rtl/>
          <w:lang w:eastAsia="de-DE"/>
        </w:rPr>
        <w:t>שקץ הוא לכם</w:t>
      </w:r>
      <w:r w:rsidRPr="00F75E3B">
        <w:rPr>
          <w:rFonts w:eastAsia="Times New Roman" w:cs="Times New Roman"/>
          <w:rtl/>
          <w:lang w:eastAsia="de-DE"/>
        </w:rPr>
        <w:t xml:space="preserve"> </w:t>
      </w:r>
      <w:r w:rsidRPr="00F75E3B">
        <w:rPr>
          <w:rFonts w:eastAsia="Times New Roman" w:cs="Times New Roman"/>
          <w:lang w:eastAsia="de-DE"/>
        </w:rPr>
        <w:t xml:space="preserve">(ein Gräuel ist es für euch) mit emphatischem </w:t>
      </w:r>
      <w:r w:rsidRPr="00F75E3B">
        <w:rPr>
          <w:rFonts w:eastAsia="Times New Roman" w:cs="Times New Roman"/>
          <w:b/>
          <w:bCs/>
          <w:rtl/>
          <w:lang w:eastAsia="de-DE"/>
        </w:rPr>
        <w:t>הוא</w:t>
      </w:r>
      <w:r w:rsidRPr="00F75E3B">
        <w:rPr>
          <w:rFonts w:eastAsia="Times New Roman" w:cs="Times New Roman"/>
          <w:lang w:eastAsia="de-DE"/>
        </w:rPr>
        <w:t>.</w:t>
      </w:r>
    </w:p>
    <w:p w14:paraId="7174CBD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knappe Wiederholung dient als abschließende Zusammenfassung der Wassertierregeln.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als finale Klassifikation betont die Endgültigkeit des Verbots.</w:t>
      </w:r>
    </w:p>
    <w:p w14:paraId="28BDEA6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entsprechend V. 10 mit β</w:t>
      </w:r>
      <w:proofErr w:type="spellStart"/>
      <w:r w:rsidRPr="00F75E3B">
        <w:rPr>
          <w:rFonts w:eastAsia="Times New Roman" w:cs="Times New Roman"/>
          <w:lang w:eastAsia="de-DE"/>
        </w:rPr>
        <w:t>δέλυγμ</w:t>
      </w:r>
      <w:proofErr w:type="spellEnd"/>
      <w:r w:rsidRPr="00F75E3B">
        <w:rPr>
          <w:rFonts w:eastAsia="Times New Roman" w:cs="Times New Roman"/>
          <w:lang w:eastAsia="de-DE"/>
        </w:rPr>
        <w:t xml:space="preserve">α </w:t>
      </w:r>
      <w:proofErr w:type="spellStart"/>
      <w:r w:rsidRPr="00F75E3B">
        <w:rPr>
          <w:rFonts w:eastAsia="Times New Roman" w:cs="Times New Roman"/>
          <w:lang w:eastAsia="de-DE"/>
        </w:rPr>
        <w:t>ἐστὶν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ὑμῖν</w:t>
      </w:r>
      <w:proofErr w:type="spellEnd"/>
      <w:r w:rsidRPr="00F75E3B">
        <w:rPr>
          <w:rFonts w:eastAsia="Times New Roman" w:cs="Times New Roman"/>
          <w:lang w:eastAsia="de-DE"/>
        </w:rPr>
        <w:t xml:space="preserve"> (ein Gräuel ist es für euch).</w:t>
      </w:r>
    </w:p>
    <w:p w14:paraId="18D53FE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zusammenfassende Regel: universelles Subjekt + negierte Kriterien + Ortsangabe + Gräuelklassifikation. Die knappe Struktur dient als Merkformel.</w:t>
      </w:r>
    </w:p>
    <w:p w14:paraId="4801C21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schließt die Wassertierbestimmungen mit einer prägnanten Zusammenfassung ab.</w:t>
      </w:r>
    </w:p>
    <w:p w14:paraId="067F83D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11,13</w:t>
      </w:r>
    </w:p>
    <w:p w14:paraId="64F0706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וְאֶת־אֵ֨לֶּה֙ תְּשַׁקְּצ֣וּ מִן־הָע֔וֹף לֹ֥א יֵאָכְל֖וּ שֶׁ֣קֶץ הֵ֑ם אֶת־הַנֶּ֨שֶׁר֙ וְאֶת־הַפֶּ֔רֶס וְאֵ֖ת הָעָזְנִיָּֽה׃</w:t>
      </w:r>
    </w:p>
    <w:p w14:paraId="7715990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diese sollt ihr verabscheuen unter den Vögeln; sie sollen nicht gegessen werden, ein Gräuel sind sie: den Adler und den Gänsegeier und den Mönchsgeier</w:t>
      </w:r>
    </w:p>
    <w:p w14:paraId="129B96EE"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2AF911E">
          <v:rect id="_x0000_i1289" style="width:0;height:1.5pt" o:hralign="center" o:hrstd="t" o:hr="t" fillcolor="#a0a0a0" stroked="f"/>
        </w:pict>
      </w:r>
    </w:p>
    <w:p w14:paraId="75F9DAB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ואת־אלה תשקצו מן־העוף לא יאכלו שקץ הם</w:t>
      </w:r>
      <w:r w:rsidRPr="00F75E3B">
        <w:rPr>
          <w:rFonts w:eastAsia="Times New Roman" w:cs="Times New Roman"/>
          <w:rtl/>
          <w:lang w:eastAsia="de-DE"/>
        </w:rPr>
        <w:t xml:space="preserve"> </w:t>
      </w:r>
      <w:r w:rsidRPr="00F75E3B">
        <w:rPr>
          <w:rFonts w:eastAsia="Times New Roman" w:cs="Times New Roman"/>
          <w:lang w:eastAsia="de-DE"/>
        </w:rPr>
        <w:t xml:space="preserve">leitet die Vogelliste ein. </w:t>
      </w:r>
      <w:r w:rsidRPr="00F75E3B">
        <w:rPr>
          <w:rFonts w:eastAsia="Times New Roman" w:cs="Times New Roman"/>
          <w:b/>
          <w:bCs/>
          <w:rtl/>
          <w:lang w:eastAsia="de-DE"/>
        </w:rPr>
        <w:t>ואת־אלה תשקצו</w:t>
      </w:r>
      <w:r w:rsidRPr="00F75E3B">
        <w:rPr>
          <w:rFonts w:eastAsia="Times New Roman" w:cs="Times New Roman"/>
          <w:rtl/>
          <w:lang w:eastAsia="de-DE"/>
        </w:rPr>
        <w:t xml:space="preserve"> </w:t>
      </w:r>
      <w:r w:rsidRPr="00F75E3B">
        <w:rPr>
          <w:rFonts w:eastAsia="Times New Roman" w:cs="Times New Roman"/>
          <w:lang w:eastAsia="de-DE"/>
        </w:rPr>
        <w:t xml:space="preserve">(und diese sollt ihr verabscheuen) mit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 xml:space="preserve">im Piel-Imperfekt entsprechend V. 11. </w:t>
      </w:r>
      <w:r w:rsidRPr="00F75E3B">
        <w:rPr>
          <w:rFonts w:eastAsia="Times New Roman" w:cs="Times New Roman"/>
          <w:b/>
          <w:bCs/>
          <w:rtl/>
          <w:lang w:eastAsia="de-DE"/>
        </w:rPr>
        <w:t>מן־העוף</w:t>
      </w:r>
      <w:r w:rsidRPr="00F75E3B">
        <w:rPr>
          <w:rFonts w:eastAsia="Times New Roman" w:cs="Times New Roman"/>
          <w:rtl/>
          <w:lang w:eastAsia="de-DE"/>
        </w:rPr>
        <w:t xml:space="preserve"> </w:t>
      </w:r>
      <w:r w:rsidRPr="00F75E3B">
        <w:rPr>
          <w:rFonts w:eastAsia="Times New Roman" w:cs="Times New Roman"/>
          <w:lang w:eastAsia="de-DE"/>
        </w:rPr>
        <w:t xml:space="preserve">(unter den Vögeln) zeigt die neue Kategorie. </w:t>
      </w:r>
      <w:r w:rsidRPr="00F75E3B">
        <w:rPr>
          <w:rFonts w:eastAsia="Times New Roman" w:cs="Times New Roman"/>
          <w:b/>
          <w:bCs/>
          <w:rtl/>
          <w:lang w:eastAsia="de-DE"/>
        </w:rPr>
        <w:t>לא יאכלו</w:t>
      </w:r>
      <w:r w:rsidRPr="00F75E3B">
        <w:rPr>
          <w:rFonts w:eastAsia="Times New Roman" w:cs="Times New Roman"/>
          <w:rtl/>
          <w:lang w:eastAsia="de-DE"/>
        </w:rPr>
        <w:t xml:space="preserve"> </w:t>
      </w:r>
      <w:r w:rsidRPr="00F75E3B">
        <w:rPr>
          <w:rFonts w:eastAsia="Times New Roman" w:cs="Times New Roman"/>
          <w:lang w:eastAsia="de-DE"/>
        </w:rPr>
        <w:t xml:space="preserve">(sie sollen nicht gegessen werden) im Nifal-Imperfekt zeigt passivische Konstruktion. </w:t>
      </w:r>
      <w:r w:rsidRPr="00F75E3B">
        <w:rPr>
          <w:rFonts w:eastAsia="Times New Roman" w:cs="Times New Roman"/>
          <w:b/>
          <w:bCs/>
          <w:rtl/>
          <w:lang w:eastAsia="de-DE"/>
        </w:rPr>
        <w:t>שקץ הם</w:t>
      </w:r>
      <w:r w:rsidRPr="00F75E3B">
        <w:rPr>
          <w:rFonts w:eastAsia="Times New Roman" w:cs="Times New Roman"/>
          <w:rtl/>
          <w:lang w:eastAsia="de-DE"/>
        </w:rPr>
        <w:t xml:space="preserve"> </w:t>
      </w:r>
      <w:r w:rsidRPr="00F75E3B">
        <w:rPr>
          <w:rFonts w:eastAsia="Times New Roman" w:cs="Times New Roman"/>
          <w:lang w:eastAsia="de-DE"/>
        </w:rPr>
        <w:t>(ein Gräuel sind sie) klassifiziert alle folgenden Vögel.</w:t>
      </w:r>
    </w:p>
    <w:p w14:paraId="0D4959E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את־הנשר ואת־הפרס ואת העזניה</w:t>
      </w:r>
      <w:r w:rsidRPr="00F75E3B">
        <w:rPr>
          <w:rFonts w:eastAsia="Times New Roman" w:cs="Times New Roman"/>
          <w:rtl/>
          <w:lang w:eastAsia="de-DE"/>
        </w:rPr>
        <w:t xml:space="preserve"> </w:t>
      </w:r>
      <w:r w:rsidRPr="00F75E3B">
        <w:rPr>
          <w:rFonts w:eastAsia="Times New Roman" w:cs="Times New Roman"/>
          <w:lang w:eastAsia="de-DE"/>
        </w:rPr>
        <w:t xml:space="preserve">beginnt die spezifische Liste. </w:t>
      </w:r>
      <w:r w:rsidRPr="00F75E3B">
        <w:rPr>
          <w:rFonts w:eastAsia="Times New Roman" w:cs="Times New Roman"/>
          <w:b/>
          <w:bCs/>
          <w:rtl/>
          <w:lang w:eastAsia="de-DE"/>
        </w:rPr>
        <w:t>נשר</w:t>
      </w:r>
      <w:r w:rsidRPr="00F75E3B">
        <w:rPr>
          <w:rFonts w:eastAsia="Times New Roman" w:cs="Times New Roman"/>
          <w:rtl/>
          <w:lang w:eastAsia="de-DE"/>
        </w:rPr>
        <w:t xml:space="preserve"> </w:t>
      </w:r>
      <w:r w:rsidRPr="00F75E3B">
        <w:rPr>
          <w:rFonts w:eastAsia="Times New Roman" w:cs="Times New Roman"/>
          <w:lang w:eastAsia="de-DE"/>
        </w:rPr>
        <w:t xml:space="preserve">(Adler), </w:t>
      </w:r>
      <w:r w:rsidRPr="00F75E3B">
        <w:rPr>
          <w:rFonts w:eastAsia="Times New Roman" w:cs="Times New Roman"/>
          <w:b/>
          <w:bCs/>
          <w:rtl/>
          <w:lang w:eastAsia="de-DE"/>
        </w:rPr>
        <w:t>פרס</w:t>
      </w:r>
      <w:r w:rsidRPr="00F75E3B">
        <w:rPr>
          <w:rFonts w:eastAsia="Times New Roman" w:cs="Times New Roman"/>
          <w:rtl/>
          <w:lang w:eastAsia="de-DE"/>
        </w:rPr>
        <w:t xml:space="preserve"> </w:t>
      </w:r>
      <w:r w:rsidRPr="00F75E3B">
        <w:rPr>
          <w:rFonts w:eastAsia="Times New Roman" w:cs="Times New Roman"/>
          <w:lang w:eastAsia="de-DE"/>
        </w:rPr>
        <w:t xml:space="preserve">(Gänsegeier), </w:t>
      </w:r>
      <w:r w:rsidRPr="00F75E3B">
        <w:rPr>
          <w:rFonts w:eastAsia="Times New Roman" w:cs="Times New Roman"/>
          <w:b/>
          <w:bCs/>
          <w:rtl/>
          <w:lang w:eastAsia="de-DE"/>
        </w:rPr>
        <w:t>עזניה</w:t>
      </w:r>
      <w:r w:rsidRPr="00F75E3B">
        <w:rPr>
          <w:rFonts w:eastAsia="Times New Roman" w:cs="Times New Roman"/>
          <w:rtl/>
          <w:lang w:eastAsia="de-DE"/>
        </w:rPr>
        <w:t xml:space="preserve"> </w:t>
      </w:r>
      <w:r w:rsidRPr="00F75E3B">
        <w:rPr>
          <w:rFonts w:eastAsia="Times New Roman" w:cs="Times New Roman"/>
          <w:lang w:eastAsia="de-DE"/>
        </w:rPr>
        <w:t>(Mönchsgeier) sind große Raubvögel und Aasfresser.</w:t>
      </w:r>
    </w:p>
    <w:p w14:paraId="520BCE3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תשקצו</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δελύξεσθε</w:t>
      </w:r>
      <w:proofErr w:type="spellEnd"/>
      <w:r w:rsidRPr="00F75E3B">
        <w:rPr>
          <w:rFonts w:eastAsia="Times New Roman" w:cs="Times New Roman"/>
          <w:lang w:eastAsia="de-DE"/>
        </w:rPr>
        <w:t xml:space="preserve"> (ihr werdet verabscheuen), </w:t>
      </w:r>
      <w:r w:rsidRPr="00F75E3B">
        <w:rPr>
          <w:rFonts w:eastAsia="Times New Roman" w:cs="Times New Roman"/>
          <w:b/>
          <w:bCs/>
          <w:rtl/>
          <w:lang w:eastAsia="de-DE"/>
        </w:rPr>
        <w:t>נשר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ἀετόν</w:t>
      </w:r>
      <w:proofErr w:type="spellEnd"/>
      <w:r w:rsidRPr="00F75E3B">
        <w:rPr>
          <w:rFonts w:eastAsia="Times New Roman" w:cs="Times New Roman"/>
          <w:lang w:eastAsia="de-DE"/>
        </w:rPr>
        <w:t xml:space="preserve"> (Adler), </w:t>
      </w:r>
      <w:r w:rsidRPr="00F75E3B">
        <w:rPr>
          <w:rFonts w:eastAsia="Times New Roman" w:cs="Times New Roman"/>
          <w:b/>
          <w:bCs/>
          <w:rtl/>
          <w:lang w:eastAsia="de-DE"/>
        </w:rPr>
        <w:t>פרס</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γρύ</w:t>
      </w:r>
      <w:proofErr w:type="spellEnd"/>
      <w:r w:rsidRPr="00F75E3B">
        <w:rPr>
          <w:rFonts w:eastAsia="Times New Roman" w:cs="Times New Roman"/>
          <w:lang w:eastAsia="de-DE"/>
        </w:rPr>
        <w:t xml:space="preserve">πα (Gänsegeier) und </w:t>
      </w:r>
      <w:r w:rsidRPr="00F75E3B">
        <w:rPr>
          <w:rFonts w:eastAsia="Times New Roman" w:cs="Times New Roman"/>
          <w:b/>
          <w:bCs/>
          <w:rtl/>
          <w:lang w:eastAsia="de-DE"/>
        </w:rPr>
        <w:t>עזניה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ἁλι</w:t>
      </w:r>
      <w:proofErr w:type="spellEnd"/>
      <w:r w:rsidRPr="00F75E3B">
        <w:rPr>
          <w:rFonts w:eastAsia="Times New Roman" w:cs="Times New Roman"/>
          <w:lang w:eastAsia="de-DE"/>
        </w:rPr>
        <w:t>αίετον (Seeadler).</w:t>
      </w:r>
    </w:p>
    <w:p w14:paraId="29F2C3C9" w14:textId="703455F9" w:rsid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Listeneinleitung plus erste Einträge: demonstrative Einleitung + Verbotsverb + Kategorie + passive Formulierung + Klassifikation + drei spezifische Beispiele. Die Struktur beginnt eine detaillierte Aufzählung.</w:t>
      </w:r>
    </w:p>
    <w:p w14:paraId="22D31C75" w14:textId="4CC23E08" w:rsidR="00571E11" w:rsidRPr="00F75E3B" w:rsidRDefault="00571E11" w:rsidP="00F75E3B">
      <w:pPr>
        <w:spacing w:before="100" w:beforeAutospacing="1" w:after="100" w:afterAutospacing="1" w:line="240" w:lineRule="auto"/>
        <w:rPr>
          <w:rFonts w:eastAsia="Times New Roman" w:cs="Times New Roman"/>
          <w:lang w:eastAsia="de-DE"/>
        </w:rPr>
      </w:pPr>
      <w:r>
        <w:rPr>
          <w:rStyle w:val="Fett"/>
        </w:rPr>
        <w:t>Verse 13-19</w:t>
      </w:r>
      <w:r>
        <w:t xml:space="preserve">: </w:t>
      </w:r>
      <w:r>
        <w:rPr>
          <w:rStyle w:val="Fett"/>
        </w:rPr>
        <w:t>Die LXX</w:t>
      </w:r>
      <w:r>
        <w:t xml:space="preserve"> bietet spezifische griechische Vogelnamen, die oft nicht genau den hebräischen entsprechen. Zum Beispiel wird </w:t>
      </w:r>
      <w:r>
        <w:rPr>
          <w:rtl/>
        </w:rPr>
        <w:t>נשר</w:t>
      </w:r>
      <w:r>
        <w:t xml:space="preserve"> (</w:t>
      </w:r>
      <w:proofErr w:type="spellStart"/>
      <w:r>
        <w:t>nesher</w:t>
      </w:r>
      <w:proofErr w:type="spellEnd"/>
      <w:r>
        <w:t xml:space="preserve"> - "Adler") als </w:t>
      </w:r>
      <w:proofErr w:type="spellStart"/>
      <w:r>
        <w:t>ἀετόν</w:t>
      </w:r>
      <w:proofErr w:type="spellEnd"/>
      <w:r>
        <w:t xml:space="preserve"> wiedergegeben, aber viele andere Identifikationen sind unsicher oder abweichend.</w:t>
      </w:r>
    </w:p>
    <w:p w14:paraId="614DCB8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leitet die Liste verbotener Vögel ein und nennt drei große Raubvögel als erste Beispiele.</w:t>
      </w:r>
    </w:p>
    <w:p w14:paraId="00854419"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11,14</w:t>
      </w:r>
    </w:p>
    <w:p w14:paraId="13922EF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וְאֶת־הַ֨דָּאָ֔ה וְאֶת־הָאַיָּ֖ה לְמִינָֽהּ׃</w:t>
      </w:r>
    </w:p>
    <w:p w14:paraId="6A1FFF2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die Gabelweihe und die Königsweihe nach ihrer Art,</w:t>
      </w:r>
    </w:p>
    <w:p w14:paraId="688BC568"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45EFA34">
          <v:rect id="_x0000_i1290" style="width:0;height:1.5pt" o:hralign="center" o:hrstd="t" o:hr="t" fillcolor="#a0a0a0" stroked="f"/>
        </w:pict>
      </w:r>
    </w:p>
    <w:p w14:paraId="5521074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ואת־הדאה ואת־האיה למינה</w:t>
      </w:r>
      <w:r w:rsidRPr="00F75E3B">
        <w:rPr>
          <w:rFonts w:eastAsia="Times New Roman" w:cs="Times New Roman"/>
          <w:rtl/>
          <w:lang w:eastAsia="de-DE"/>
        </w:rPr>
        <w:t xml:space="preserve"> </w:t>
      </w:r>
      <w:r w:rsidRPr="00F75E3B">
        <w:rPr>
          <w:rFonts w:eastAsia="Times New Roman" w:cs="Times New Roman"/>
          <w:lang w:eastAsia="de-DE"/>
        </w:rPr>
        <w:t xml:space="preserve">setzt die Vogelliste fort. </w:t>
      </w:r>
      <w:r w:rsidRPr="00F75E3B">
        <w:rPr>
          <w:rFonts w:eastAsia="Times New Roman" w:cs="Times New Roman"/>
          <w:b/>
          <w:bCs/>
          <w:rtl/>
          <w:lang w:eastAsia="de-DE"/>
        </w:rPr>
        <w:t>הדאה</w:t>
      </w:r>
      <w:r w:rsidRPr="00F75E3B">
        <w:rPr>
          <w:rFonts w:eastAsia="Times New Roman" w:cs="Times New Roman"/>
          <w:rtl/>
          <w:lang w:eastAsia="de-DE"/>
        </w:rPr>
        <w:t xml:space="preserve"> </w:t>
      </w:r>
      <w:r w:rsidRPr="00F75E3B">
        <w:rPr>
          <w:rFonts w:eastAsia="Times New Roman" w:cs="Times New Roman"/>
          <w:lang w:eastAsia="de-DE"/>
        </w:rPr>
        <w:t xml:space="preserve">(Gabelweihe) und </w:t>
      </w:r>
      <w:r w:rsidRPr="00F75E3B">
        <w:rPr>
          <w:rFonts w:eastAsia="Times New Roman" w:cs="Times New Roman"/>
          <w:b/>
          <w:bCs/>
          <w:rtl/>
          <w:lang w:eastAsia="de-DE"/>
        </w:rPr>
        <w:t>האיה</w:t>
      </w:r>
      <w:r w:rsidRPr="00F75E3B">
        <w:rPr>
          <w:rFonts w:eastAsia="Times New Roman" w:cs="Times New Roman"/>
          <w:rtl/>
          <w:lang w:eastAsia="de-DE"/>
        </w:rPr>
        <w:t xml:space="preserve"> </w:t>
      </w:r>
      <w:r w:rsidRPr="00F75E3B">
        <w:rPr>
          <w:rFonts w:eastAsia="Times New Roman" w:cs="Times New Roman"/>
          <w:lang w:eastAsia="de-DE"/>
        </w:rPr>
        <w:t xml:space="preserve">(Königsweihe/Milan) sind weitere Raubvögel. </w:t>
      </w:r>
      <w:r w:rsidRPr="00F75E3B">
        <w:rPr>
          <w:rFonts w:eastAsia="Times New Roman" w:cs="Times New Roman"/>
          <w:b/>
          <w:bCs/>
          <w:rtl/>
          <w:lang w:eastAsia="de-DE"/>
        </w:rPr>
        <w:t>למינה</w:t>
      </w:r>
      <w:r w:rsidRPr="00F75E3B">
        <w:rPr>
          <w:rFonts w:eastAsia="Times New Roman" w:cs="Times New Roman"/>
          <w:rtl/>
          <w:lang w:eastAsia="de-DE"/>
        </w:rPr>
        <w:t xml:space="preserve"> </w:t>
      </w:r>
      <w:r w:rsidRPr="00F75E3B">
        <w:rPr>
          <w:rFonts w:eastAsia="Times New Roman" w:cs="Times New Roman"/>
          <w:lang w:eastAsia="de-DE"/>
        </w:rPr>
        <w:t xml:space="preserve">(nach ihrer Art) zeigt, dass die ganze Gattung </w:t>
      </w:r>
      <w:r w:rsidRPr="00F75E3B">
        <w:rPr>
          <w:rFonts w:eastAsia="Times New Roman" w:cs="Times New Roman"/>
          <w:b/>
          <w:bCs/>
          <w:rtl/>
          <w:lang w:eastAsia="de-DE"/>
        </w:rPr>
        <w:t>איה</w:t>
      </w:r>
      <w:r w:rsidRPr="00F75E3B">
        <w:rPr>
          <w:rFonts w:eastAsia="Times New Roman" w:cs="Times New Roman"/>
          <w:rtl/>
          <w:lang w:eastAsia="de-DE"/>
        </w:rPr>
        <w:t xml:space="preserve"> </w:t>
      </w:r>
      <w:r w:rsidRPr="00F75E3B">
        <w:rPr>
          <w:rFonts w:eastAsia="Times New Roman" w:cs="Times New Roman"/>
          <w:lang w:eastAsia="de-DE"/>
        </w:rPr>
        <w:t>gemeint ist, nicht nur eine spezifische Art.</w:t>
      </w:r>
    </w:p>
    <w:p w14:paraId="6F2179E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למינה</w:t>
      </w:r>
      <w:r w:rsidRPr="00F75E3B">
        <w:rPr>
          <w:rFonts w:eastAsia="Times New Roman" w:cs="Times New Roman"/>
          <w:rtl/>
          <w:lang w:eastAsia="de-DE"/>
        </w:rPr>
        <w:t xml:space="preserve"> </w:t>
      </w:r>
      <w:r w:rsidRPr="00F75E3B">
        <w:rPr>
          <w:rFonts w:eastAsia="Times New Roman" w:cs="Times New Roman"/>
          <w:lang w:eastAsia="de-DE"/>
        </w:rPr>
        <w:t>erweitert das Verbot auf alle verwandten Arten, was bei der Vogelidentifikation praktisch wichtig ist.</w:t>
      </w:r>
    </w:p>
    <w:p w14:paraId="724F3CF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דאה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ἴκτιν</w:t>
      </w:r>
      <w:proofErr w:type="spellEnd"/>
      <w:r w:rsidRPr="00F75E3B">
        <w:rPr>
          <w:rFonts w:eastAsia="Times New Roman" w:cs="Times New Roman"/>
          <w:lang w:eastAsia="de-DE"/>
        </w:rPr>
        <w:t xml:space="preserve">α (Weihe) und </w:t>
      </w:r>
      <w:r w:rsidRPr="00F75E3B">
        <w:rPr>
          <w:rFonts w:eastAsia="Times New Roman" w:cs="Times New Roman"/>
          <w:b/>
          <w:bCs/>
          <w:rtl/>
          <w:lang w:eastAsia="de-DE"/>
        </w:rPr>
        <w:t>איה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γύ</w:t>
      </w:r>
      <w:proofErr w:type="spellEnd"/>
      <w:r w:rsidRPr="00F75E3B">
        <w:rPr>
          <w:rFonts w:eastAsia="Times New Roman" w:cs="Times New Roman"/>
          <w:lang w:eastAsia="de-DE"/>
        </w:rPr>
        <w:t>πα (Geier).</w:t>
      </w:r>
    </w:p>
    <w:p w14:paraId="64E358E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Listenerweiterung: zwei koordinierte Vögel + Gattungserweiterung. Die Struktur zeigt sowohl spezifische als auch kategorische Verbote.</w:t>
      </w:r>
    </w:p>
    <w:p w14:paraId="00D6692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erweitert die Liste um zwei Weihenarten und führt die </w:t>
      </w:r>
      <w:r w:rsidRPr="00F75E3B">
        <w:rPr>
          <w:rFonts w:eastAsia="Times New Roman" w:cs="Times New Roman"/>
          <w:b/>
          <w:bCs/>
          <w:rtl/>
          <w:lang w:eastAsia="de-DE"/>
        </w:rPr>
        <w:t>למינה</w:t>
      </w:r>
      <w:r w:rsidRPr="00F75E3B">
        <w:rPr>
          <w:rFonts w:eastAsia="Times New Roman" w:cs="Times New Roman"/>
          <w:lang w:eastAsia="de-DE"/>
        </w:rPr>
        <w:t>-Formel ein.</w:t>
      </w:r>
    </w:p>
    <w:p w14:paraId="3C8D428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11,15</w:t>
      </w:r>
    </w:p>
    <w:p w14:paraId="123E1FD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אֵ֥ת כָּל־עֹרֵ֖ב לְמִינֹֽו׃</w:t>
      </w:r>
    </w:p>
    <w:p w14:paraId="7457740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Deutsch:</w:t>
      </w:r>
      <w:r w:rsidRPr="00F75E3B">
        <w:rPr>
          <w:rFonts w:eastAsia="Times New Roman" w:cs="Times New Roman"/>
          <w:lang w:eastAsia="de-DE"/>
        </w:rPr>
        <w:t xml:space="preserve"> jeden Raben nach seiner Art,</w:t>
      </w:r>
    </w:p>
    <w:p w14:paraId="5A0A5DD2"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AB16041">
          <v:rect id="_x0000_i1291" style="width:0;height:1.5pt" o:hralign="center" o:hrstd="t" o:hr="t" fillcolor="#a0a0a0" stroked="f"/>
        </w:pict>
      </w:r>
    </w:p>
    <w:p w14:paraId="5ABE2D1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את כל־ערב למינו</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כל־ערב</w:t>
      </w:r>
      <w:r w:rsidRPr="00F75E3B">
        <w:rPr>
          <w:rFonts w:eastAsia="Times New Roman" w:cs="Times New Roman"/>
          <w:rtl/>
          <w:lang w:eastAsia="de-DE"/>
        </w:rPr>
        <w:t xml:space="preserve"> </w:t>
      </w:r>
      <w:r w:rsidRPr="00F75E3B">
        <w:rPr>
          <w:rFonts w:eastAsia="Times New Roman" w:cs="Times New Roman"/>
          <w:lang w:eastAsia="de-DE"/>
        </w:rPr>
        <w:t xml:space="preserve">(jeden Raben) mit Totalitätspartikel </w:t>
      </w:r>
      <w:r w:rsidRPr="00F75E3B">
        <w:rPr>
          <w:rFonts w:eastAsia="Times New Roman" w:cs="Times New Roman"/>
          <w:b/>
          <w:bCs/>
          <w:rtl/>
          <w:lang w:eastAsia="de-DE"/>
        </w:rPr>
        <w:t>כל</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למינו</w:t>
      </w:r>
      <w:r w:rsidRPr="00F75E3B">
        <w:rPr>
          <w:rFonts w:eastAsia="Times New Roman" w:cs="Times New Roman"/>
          <w:rtl/>
          <w:lang w:eastAsia="de-DE"/>
        </w:rPr>
        <w:t xml:space="preserve"> </w:t>
      </w:r>
      <w:r w:rsidRPr="00F75E3B">
        <w:rPr>
          <w:rFonts w:eastAsia="Times New Roman" w:cs="Times New Roman"/>
          <w:lang w:eastAsia="de-DE"/>
        </w:rPr>
        <w:t xml:space="preserve">(nach seiner Art) mit maskulinem Suffix entsprechend </w:t>
      </w:r>
      <w:r w:rsidRPr="00F75E3B">
        <w:rPr>
          <w:rFonts w:eastAsia="Times New Roman" w:cs="Times New Roman"/>
          <w:b/>
          <w:bCs/>
          <w:rtl/>
          <w:lang w:eastAsia="de-DE"/>
        </w:rPr>
        <w:t>ערב</w:t>
      </w:r>
      <w:r w:rsidRPr="00F75E3B">
        <w:rPr>
          <w:rFonts w:eastAsia="Times New Roman" w:cs="Times New Roman"/>
          <w:lang w:eastAsia="de-DE"/>
        </w:rPr>
        <w:t xml:space="preserve">. Die </w:t>
      </w:r>
      <w:r w:rsidRPr="00F75E3B">
        <w:rPr>
          <w:rFonts w:eastAsia="Times New Roman" w:cs="Times New Roman"/>
          <w:b/>
          <w:bCs/>
          <w:rtl/>
          <w:lang w:eastAsia="de-DE"/>
        </w:rPr>
        <w:t>כל</w:t>
      </w:r>
      <w:r w:rsidRPr="00F75E3B">
        <w:rPr>
          <w:rFonts w:eastAsia="Times New Roman" w:cs="Times New Roman"/>
          <w:lang w:eastAsia="de-DE"/>
        </w:rPr>
        <w:t xml:space="preserve">-Formulierung mit </w:t>
      </w:r>
      <w:r w:rsidRPr="00F75E3B">
        <w:rPr>
          <w:rFonts w:eastAsia="Times New Roman" w:cs="Times New Roman"/>
          <w:b/>
          <w:bCs/>
          <w:rtl/>
          <w:lang w:eastAsia="de-DE"/>
        </w:rPr>
        <w:t>למינו</w:t>
      </w:r>
      <w:r w:rsidRPr="00F75E3B">
        <w:rPr>
          <w:rFonts w:eastAsia="Times New Roman" w:cs="Times New Roman"/>
          <w:rtl/>
          <w:lang w:eastAsia="de-DE"/>
        </w:rPr>
        <w:t xml:space="preserve"> </w:t>
      </w:r>
      <w:r w:rsidRPr="00F75E3B">
        <w:rPr>
          <w:rFonts w:eastAsia="Times New Roman" w:cs="Times New Roman"/>
          <w:lang w:eastAsia="de-DE"/>
        </w:rPr>
        <w:t>macht das Rabenverbot besonders umfassend.</w:t>
      </w:r>
    </w:p>
    <w:p w14:paraId="4CD5739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ערב</w:t>
      </w:r>
      <w:r w:rsidRPr="00F75E3B">
        <w:rPr>
          <w:rFonts w:eastAsia="Times New Roman" w:cs="Times New Roman"/>
          <w:rtl/>
          <w:lang w:eastAsia="de-DE"/>
        </w:rPr>
        <w:t xml:space="preserve"> </w:t>
      </w:r>
      <w:r w:rsidRPr="00F75E3B">
        <w:rPr>
          <w:rFonts w:eastAsia="Times New Roman" w:cs="Times New Roman"/>
          <w:lang w:eastAsia="de-DE"/>
        </w:rPr>
        <w:t xml:space="preserve">(Rabe) als Aasfresser gehört zu den stark verpönten Vögeln. </w:t>
      </w:r>
      <w:r w:rsidRPr="00F75E3B">
        <w:rPr>
          <w:rFonts w:eastAsia="Times New Roman" w:cs="Times New Roman"/>
          <w:b/>
          <w:bCs/>
          <w:rtl/>
          <w:lang w:eastAsia="de-DE"/>
        </w:rPr>
        <w:t>כל־ערב למינו</w:t>
      </w:r>
      <w:r w:rsidRPr="00F75E3B">
        <w:rPr>
          <w:rFonts w:eastAsia="Times New Roman" w:cs="Times New Roman"/>
          <w:rtl/>
          <w:lang w:eastAsia="de-DE"/>
        </w:rPr>
        <w:t xml:space="preserve"> </w:t>
      </w:r>
      <w:r w:rsidRPr="00F75E3B">
        <w:rPr>
          <w:rFonts w:eastAsia="Times New Roman" w:cs="Times New Roman"/>
          <w:lang w:eastAsia="de-DE"/>
        </w:rPr>
        <w:t>schließt alle Rabenvögel ein: Raben, Krähen, Elstern, Häher.</w:t>
      </w:r>
    </w:p>
    <w:p w14:paraId="33C17C8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כל־ערב</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άντ</w:t>
      </w:r>
      <w:proofErr w:type="spellEnd"/>
      <w:r w:rsidRPr="00F75E3B">
        <w:rPr>
          <w:rFonts w:eastAsia="Times New Roman" w:cs="Times New Roman"/>
          <w:lang w:eastAsia="de-DE"/>
        </w:rPr>
        <w:t xml:space="preserve">α </w:t>
      </w:r>
      <w:proofErr w:type="spellStart"/>
      <w:r w:rsidRPr="00F75E3B">
        <w:rPr>
          <w:rFonts w:eastAsia="Times New Roman" w:cs="Times New Roman"/>
          <w:lang w:eastAsia="de-DE"/>
        </w:rPr>
        <w:t>κόρ</w:t>
      </w:r>
      <w:proofErr w:type="spellEnd"/>
      <w:r w:rsidRPr="00F75E3B">
        <w:rPr>
          <w:rFonts w:eastAsia="Times New Roman" w:cs="Times New Roman"/>
          <w:lang w:eastAsia="de-DE"/>
        </w:rPr>
        <w:t xml:space="preserve">ακα (jeden Raben) und </w:t>
      </w:r>
      <w:r w:rsidRPr="00F75E3B">
        <w:rPr>
          <w:rFonts w:eastAsia="Times New Roman" w:cs="Times New Roman"/>
          <w:b/>
          <w:bCs/>
          <w:rtl/>
          <w:lang w:eastAsia="de-DE"/>
        </w:rPr>
        <w:t>למינו</w:t>
      </w:r>
      <w:r w:rsidRPr="00F75E3B">
        <w:rPr>
          <w:rFonts w:eastAsia="Times New Roman" w:cs="Times New Roman"/>
          <w:rtl/>
          <w:lang w:eastAsia="de-DE"/>
        </w:rPr>
        <w:t xml:space="preserve"> </w:t>
      </w:r>
      <w:r w:rsidRPr="00F75E3B">
        <w:rPr>
          <w:rFonts w:eastAsia="Times New Roman" w:cs="Times New Roman"/>
          <w:lang w:eastAsia="de-DE"/>
        </w:rPr>
        <w:t>mit κα</w:t>
      </w:r>
      <w:proofErr w:type="spellStart"/>
      <w:r w:rsidRPr="00F75E3B">
        <w:rPr>
          <w:rFonts w:eastAsia="Times New Roman" w:cs="Times New Roman"/>
          <w:lang w:eastAsia="de-DE"/>
        </w:rPr>
        <w:t>τὰ</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γένος</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ὐτοῦ</w:t>
      </w:r>
      <w:proofErr w:type="spellEnd"/>
      <w:r w:rsidRPr="00F75E3B">
        <w:rPr>
          <w:rFonts w:eastAsia="Times New Roman" w:cs="Times New Roman"/>
          <w:lang w:eastAsia="de-DE"/>
        </w:rPr>
        <w:t xml:space="preserve"> (nach seinem Geschlecht).</w:t>
      </w:r>
    </w:p>
    <w:p w14:paraId="20D3BBE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totales Gattungsverbot: Totalitätspartikel + Vogelart + Gattungserweiterung. Die Struktur zeigt das umfassendste Einzelverbot.</w:t>
      </w:r>
    </w:p>
    <w:p w14:paraId="75DCA43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verbietet alle Rabenvögel als Gattung mit der stärksten Formulierung.</w:t>
      </w:r>
    </w:p>
    <w:p w14:paraId="2C94081A"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11,16</w:t>
      </w:r>
    </w:p>
    <w:p w14:paraId="4607A3B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 בַּ֣ת הַֽיַּעֲנָ֔ה וְאֶת־הַתַּחְמָ֖ס וְאֶת־הַשָּׁ֑חַף וְאֶת־הַנֵּ֖ץ לְמִינֵֽהוּ׃</w:t>
      </w:r>
    </w:p>
    <w:p w14:paraId="2E1F736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den Strauß und die Eule und die Möwe und den Falken nach seiner Art</w:t>
      </w:r>
    </w:p>
    <w:p w14:paraId="079AEF71"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1C65C68">
          <v:rect id="_x0000_i1292" style="width:0;height:1.5pt" o:hralign="center" o:hrstd="t" o:hr="t" fillcolor="#a0a0a0" stroked="f"/>
        </w:pict>
      </w:r>
    </w:p>
    <w:p w14:paraId="5DE07E4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 בת היענה ואת־התחמס ואת־השחף ואת־הנץ למינהו</w:t>
      </w:r>
      <w:r w:rsidRPr="00F75E3B">
        <w:rPr>
          <w:rFonts w:eastAsia="Times New Roman" w:cs="Times New Roman"/>
          <w:rtl/>
          <w:lang w:eastAsia="de-DE"/>
        </w:rPr>
        <w:t xml:space="preserve"> </w:t>
      </w:r>
      <w:r w:rsidRPr="00F75E3B">
        <w:rPr>
          <w:rFonts w:eastAsia="Times New Roman" w:cs="Times New Roman"/>
          <w:lang w:eastAsia="de-DE"/>
        </w:rPr>
        <w:t xml:space="preserve">listet vier weitere Vogelarten auf. </w:t>
      </w:r>
      <w:r w:rsidRPr="00F75E3B">
        <w:rPr>
          <w:rFonts w:eastAsia="Times New Roman" w:cs="Times New Roman"/>
          <w:b/>
          <w:bCs/>
          <w:rtl/>
          <w:lang w:eastAsia="de-DE"/>
        </w:rPr>
        <w:t>בת היענה</w:t>
      </w:r>
      <w:r w:rsidRPr="00F75E3B">
        <w:rPr>
          <w:rFonts w:eastAsia="Times New Roman" w:cs="Times New Roman"/>
          <w:rtl/>
          <w:lang w:eastAsia="de-DE"/>
        </w:rPr>
        <w:t xml:space="preserve"> </w:t>
      </w:r>
      <w:r w:rsidRPr="00F75E3B">
        <w:rPr>
          <w:rFonts w:eastAsia="Times New Roman" w:cs="Times New Roman"/>
          <w:lang w:eastAsia="de-DE"/>
        </w:rPr>
        <w:t xml:space="preserve">(Tochter des Straußes = Strauß) ist eine idiomatische Bezeichnung. </w:t>
      </w:r>
      <w:r w:rsidRPr="00F75E3B">
        <w:rPr>
          <w:rFonts w:eastAsia="Times New Roman" w:cs="Times New Roman"/>
          <w:b/>
          <w:bCs/>
          <w:rtl/>
          <w:lang w:eastAsia="de-DE"/>
        </w:rPr>
        <w:t>תחמס</w:t>
      </w:r>
      <w:r w:rsidRPr="00F75E3B">
        <w:rPr>
          <w:rFonts w:eastAsia="Times New Roman" w:cs="Times New Roman"/>
          <w:rtl/>
          <w:lang w:eastAsia="de-DE"/>
        </w:rPr>
        <w:t xml:space="preserve"> </w:t>
      </w:r>
      <w:r w:rsidRPr="00F75E3B">
        <w:rPr>
          <w:rFonts w:eastAsia="Times New Roman" w:cs="Times New Roman"/>
          <w:lang w:eastAsia="de-DE"/>
        </w:rPr>
        <w:t xml:space="preserve">(Eule), </w:t>
      </w:r>
      <w:r w:rsidRPr="00F75E3B">
        <w:rPr>
          <w:rFonts w:eastAsia="Times New Roman" w:cs="Times New Roman"/>
          <w:b/>
          <w:bCs/>
          <w:rtl/>
          <w:lang w:eastAsia="de-DE"/>
        </w:rPr>
        <w:t>שחף</w:t>
      </w:r>
      <w:r w:rsidRPr="00F75E3B">
        <w:rPr>
          <w:rFonts w:eastAsia="Times New Roman" w:cs="Times New Roman"/>
          <w:rtl/>
          <w:lang w:eastAsia="de-DE"/>
        </w:rPr>
        <w:t xml:space="preserve"> </w:t>
      </w:r>
      <w:r w:rsidRPr="00F75E3B">
        <w:rPr>
          <w:rFonts w:eastAsia="Times New Roman" w:cs="Times New Roman"/>
          <w:lang w:eastAsia="de-DE"/>
        </w:rPr>
        <w:t xml:space="preserve">(Möwe), </w:t>
      </w:r>
      <w:r w:rsidRPr="00F75E3B">
        <w:rPr>
          <w:rFonts w:eastAsia="Times New Roman" w:cs="Times New Roman"/>
          <w:b/>
          <w:bCs/>
          <w:rtl/>
          <w:lang w:eastAsia="de-DE"/>
        </w:rPr>
        <w:t>נץ</w:t>
      </w:r>
      <w:r w:rsidRPr="00F75E3B">
        <w:rPr>
          <w:rFonts w:eastAsia="Times New Roman" w:cs="Times New Roman"/>
          <w:rtl/>
          <w:lang w:eastAsia="de-DE"/>
        </w:rPr>
        <w:t xml:space="preserve"> </w:t>
      </w:r>
      <w:r w:rsidRPr="00F75E3B">
        <w:rPr>
          <w:rFonts w:eastAsia="Times New Roman" w:cs="Times New Roman"/>
          <w:lang w:eastAsia="de-DE"/>
        </w:rPr>
        <w:t xml:space="preserve">(Falke/Habicht) decken verschiedene Lebensräume ab. </w:t>
      </w:r>
      <w:r w:rsidRPr="00F75E3B">
        <w:rPr>
          <w:rFonts w:eastAsia="Times New Roman" w:cs="Times New Roman"/>
          <w:b/>
          <w:bCs/>
          <w:rtl/>
          <w:lang w:eastAsia="de-DE"/>
        </w:rPr>
        <w:t>למינהו</w:t>
      </w:r>
      <w:r w:rsidRPr="00F75E3B">
        <w:rPr>
          <w:rFonts w:eastAsia="Times New Roman" w:cs="Times New Roman"/>
          <w:rtl/>
          <w:lang w:eastAsia="de-DE"/>
        </w:rPr>
        <w:t xml:space="preserve"> </w:t>
      </w:r>
      <w:r w:rsidRPr="00F75E3B">
        <w:rPr>
          <w:rFonts w:eastAsia="Times New Roman" w:cs="Times New Roman"/>
          <w:lang w:eastAsia="de-DE"/>
        </w:rPr>
        <w:t xml:space="preserve">(nach seiner Art) mit maskulinem Suffix bezieht sich auf </w:t>
      </w:r>
      <w:r w:rsidRPr="00F75E3B">
        <w:rPr>
          <w:rFonts w:eastAsia="Times New Roman" w:cs="Times New Roman"/>
          <w:b/>
          <w:bCs/>
          <w:rtl/>
          <w:lang w:eastAsia="de-DE"/>
        </w:rPr>
        <w:t>נץ</w:t>
      </w:r>
      <w:r w:rsidRPr="00F75E3B">
        <w:rPr>
          <w:rFonts w:eastAsia="Times New Roman" w:cs="Times New Roman"/>
          <w:lang w:eastAsia="de-DE"/>
        </w:rPr>
        <w:t>.</w:t>
      </w:r>
    </w:p>
    <w:p w14:paraId="0859DE9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בת היענה</w:t>
      </w:r>
      <w:r w:rsidRPr="00F75E3B">
        <w:rPr>
          <w:rFonts w:eastAsia="Times New Roman" w:cs="Times New Roman"/>
          <w:rtl/>
          <w:lang w:eastAsia="de-DE"/>
        </w:rPr>
        <w:t xml:space="preserve"> </w:t>
      </w:r>
      <w:r w:rsidRPr="00F75E3B">
        <w:rPr>
          <w:rFonts w:eastAsia="Times New Roman" w:cs="Times New Roman"/>
          <w:lang w:eastAsia="de-DE"/>
        </w:rPr>
        <w:t>als poetische Bezeichnung für den Strauß zeigt die literarische Qualität der Vogelnamen. Die vier Arten repräsentieren Land-, Nacht- und Wasservögel.</w:t>
      </w:r>
    </w:p>
    <w:p w14:paraId="7ABCE41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בת היענה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στρουθόν</w:t>
      </w:r>
      <w:proofErr w:type="spellEnd"/>
      <w:r w:rsidRPr="00F75E3B">
        <w:rPr>
          <w:rFonts w:eastAsia="Times New Roman" w:cs="Times New Roman"/>
          <w:lang w:eastAsia="de-DE"/>
        </w:rPr>
        <w:t xml:space="preserve"> (Strauß), </w:t>
      </w:r>
      <w:r w:rsidRPr="00F75E3B">
        <w:rPr>
          <w:rFonts w:eastAsia="Times New Roman" w:cs="Times New Roman"/>
          <w:b/>
          <w:bCs/>
          <w:rtl/>
          <w:lang w:eastAsia="de-DE"/>
        </w:rPr>
        <w:t>תחמס</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γλ</w:t>
      </w:r>
      <w:proofErr w:type="spellEnd"/>
      <w:r w:rsidRPr="00F75E3B">
        <w:rPr>
          <w:rFonts w:eastAsia="Times New Roman" w:cs="Times New Roman"/>
          <w:lang w:eastAsia="de-DE"/>
        </w:rPr>
        <w:t xml:space="preserve">αῦκα (Eule), </w:t>
      </w:r>
      <w:r w:rsidRPr="00F75E3B">
        <w:rPr>
          <w:rFonts w:eastAsia="Times New Roman" w:cs="Times New Roman"/>
          <w:b/>
          <w:bCs/>
          <w:rtl/>
          <w:lang w:eastAsia="de-DE"/>
        </w:rPr>
        <w:t>שחף</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λάρον</w:t>
      </w:r>
      <w:proofErr w:type="spellEnd"/>
      <w:r w:rsidRPr="00F75E3B">
        <w:rPr>
          <w:rFonts w:eastAsia="Times New Roman" w:cs="Times New Roman"/>
          <w:lang w:eastAsia="de-DE"/>
        </w:rPr>
        <w:t xml:space="preserve"> (Möwe) und </w:t>
      </w:r>
      <w:r w:rsidRPr="00F75E3B">
        <w:rPr>
          <w:rFonts w:eastAsia="Times New Roman" w:cs="Times New Roman"/>
          <w:b/>
          <w:bCs/>
          <w:rtl/>
          <w:lang w:eastAsia="de-DE"/>
        </w:rPr>
        <w:t>נץ</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ἱέρ</w:t>
      </w:r>
      <w:proofErr w:type="spellEnd"/>
      <w:r w:rsidRPr="00F75E3B">
        <w:rPr>
          <w:rFonts w:eastAsia="Times New Roman" w:cs="Times New Roman"/>
          <w:lang w:eastAsia="de-DE"/>
        </w:rPr>
        <w:t>ακα (Falke).</w:t>
      </w:r>
    </w:p>
    <w:p w14:paraId="3B86A6F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vier koordinierte Vögel mit Gattungserweiterung beim letzten: vier mit </w:t>
      </w:r>
      <w:r w:rsidRPr="00F75E3B">
        <w:rPr>
          <w:rFonts w:eastAsia="Times New Roman" w:cs="Times New Roman"/>
          <w:b/>
          <w:bCs/>
          <w:rtl/>
          <w:lang w:eastAsia="de-DE"/>
        </w:rPr>
        <w:t>ואת</w:t>
      </w:r>
      <w:r w:rsidRPr="00F75E3B">
        <w:rPr>
          <w:rFonts w:eastAsia="Times New Roman" w:cs="Times New Roman"/>
          <w:rtl/>
          <w:lang w:eastAsia="de-DE"/>
        </w:rPr>
        <w:t xml:space="preserve"> </w:t>
      </w:r>
      <w:r w:rsidRPr="00F75E3B">
        <w:rPr>
          <w:rFonts w:eastAsia="Times New Roman" w:cs="Times New Roman"/>
          <w:lang w:eastAsia="de-DE"/>
        </w:rPr>
        <w:t>koordinierte Arten + Gattungsklausel. Die Struktur zeigt Vielfalt der verbotenen Vögel.</w:t>
      </w:r>
    </w:p>
    <w:p w14:paraId="37C0012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erweitert die Liste um vier diverse Vogelarten aus verschiedenen Lebensräumen.</w:t>
      </w:r>
    </w:p>
    <w:p w14:paraId="5BF95AE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11,17</w:t>
      </w:r>
    </w:p>
    <w:p w14:paraId="08216E6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וְאֶת־הַכּ֥וֹס וְאֶת־הַשָּׁלָ֖ךְ וְאֶת־הַיַּנְשֽׁוּף׃</w:t>
      </w:r>
    </w:p>
    <w:p w14:paraId="0594D2B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den Steinkauz und den Kormoran und den Uhu</w:t>
      </w:r>
    </w:p>
    <w:p w14:paraId="3963740B"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lastRenderedPageBreak/>
        <w:pict w14:anchorId="51D3BD80">
          <v:rect id="_x0000_i1293" style="width:0;height:1.5pt" o:hralign="center" o:hrstd="t" o:hr="t" fillcolor="#a0a0a0" stroked="f"/>
        </w:pict>
      </w:r>
    </w:p>
    <w:p w14:paraId="3767962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ואת־הכוס ואת־השלך ואת־הינשוף</w:t>
      </w:r>
      <w:r w:rsidRPr="00F75E3B">
        <w:rPr>
          <w:rFonts w:eastAsia="Times New Roman" w:cs="Times New Roman"/>
          <w:rtl/>
          <w:lang w:eastAsia="de-DE"/>
        </w:rPr>
        <w:t xml:space="preserve"> </w:t>
      </w:r>
      <w:r w:rsidRPr="00F75E3B">
        <w:rPr>
          <w:rFonts w:eastAsia="Times New Roman" w:cs="Times New Roman"/>
          <w:lang w:eastAsia="de-DE"/>
        </w:rPr>
        <w:t xml:space="preserve">zeigt drei weitere Vögel ohne </w:t>
      </w:r>
      <w:r w:rsidRPr="00F75E3B">
        <w:rPr>
          <w:rFonts w:eastAsia="Times New Roman" w:cs="Times New Roman"/>
          <w:b/>
          <w:bCs/>
          <w:rtl/>
          <w:lang w:eastAsia="de-DE"/>
        </w:rPr>
        <w:t>למינו</w:t>
      </w:r>
      <w:r w:rsidRPr="00F75E3B">
        <w:rPr>
          <w:rFonts w:eastAsia="Times New Roman" w:cs="Times New Roman"/>
          <w:lang w:eastAsia="de-DE"/>
        </w:rPr>
        <w:t xml:space="preserve">-Klausel. </w:t>
      </w:r>
      <w:r w:rsidRPr="00F75E3B">
        <w:rPr>
          <w:rFonts w:eastAsia="Times New Roman" w:cs="Times New Roman"/>
          <w:b/>
          <w:bCs/>
          <w:rtl/>
          <w:lang w:eastAsia="de-DE"/>
        </w:rPr>
        <w:t>כוס</w:t>
      </w:r>
      <w:r w:rsidRPr="00F75E3B">
        <w:rPr>
          <w:rFonts w:eastAsia="Times New Roman" w:cs="Times New Roman"/>
          <w:rtl/>
          <w:lang w:eastAsia="de-DE"/>
        </w:rPr>
        <w:t xml:space="preserve"> </w:t>
      </w:r>
      <w:r w:rsidRPr="00F75E3B">
        <w:rPr>
          <w:rFonts w:eastAsia="Times New Roman" w:cs="Times New Roman"/>
          <w:lang w:eastAsia="de-DE"/>
        </w:rPr>
        <w:t xml:space="preserve">(Steinkauz), </w:t>
      </w:r>
      <w:r w:rsidRPr="00F75E3B">
        <w:rPr>
          <w:rFonts w:eastAsia="Times New Roman" w:cs="Times New Roman"/>
          <w:b/>
          <w:bCs/>
          <w:rtl/>
          <w:lang w:eastAsia="de-DE"/>
        </w:rPr>
        <w:t>שלך</w:t>
      </w:r>
      <w:r w:rsidRPr="00F75E3B">
        <w:rPr>
          <w:rFonts w:eastAsia="Times New Roman" w:cs="Times New Roman"/>
          <w:rtl/>
          <w:lang w:eastAsia="de-DE"/>
        </w:rPr>
        <w:t xml:space="preserve"> </w:t>
      </w:r>
      <w:r w:rsidRPr="00F75E3B">
        <w:rPr>
          <w:rFonts w:eastAsia="Times New Roman" w:cs="Times New Roman"/>
          <w:lang w:eastAsia="de-DE"/>
        </w:rPr>
        <w:t xml:space="preserve">(Kormoran), </w:t>
      </w:r>
      <w:r w:rsidRPr="00F75E3B">
        <w:rPr>
          <w:rFonts w:eastAsia="Times New Roman" w:cs="Times New Roman"/>
          <w:b/>
          <w:bCs/>
          <w:rtl/>
          <w:lang w:eastAsia="de-DE"/>
        </w:rPr>
        <w:t>ינשוף</w:t>
      </w:r>
      <w:r w:rsidRPr="00F75E3B">
        <w:rPr>
          <w:rFonts w:eastAsia="Times New Roman" w:cs="Times New Roman"/>
          <w:rtl/>
          <w:lang w:eastAsia="de-DE"/>
        </w:rPr>
        <w:t xml:space="preserve"> </w:t>
      </w:r>
      <w:r w:rsidRPr="00F75E3B">
        <w:rPr>
          <w:rFonts w:eastAsia="Times New Roman" w:cs="Times New Roman"/>
          <w:lang w:eastAsia="de-DE"/>
        </w:rPr>
        <w:t>(Uhu/Käuzchen) sind nächtliche oder Wasservögel.</w:t>
      </w:r>
    </w:p>
    <w:p w14:paraId="1BF7121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 drei Arten werden ohne Gattungserweiterung aufgeführt, was auf spezifischere Identifikation hindeutet.</w:t>
      </w:r>
    </w:p>
    <w:p w14:paraId="707D7BE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כוס</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νυκτικόρ</w:t>
      </w:r>
      <w:proofErr w:type="spellEnd"/>
      <w:r w:rsidRPr="00F75E3B">
        <w:rPr>
          <w:rFonts w:eastAsia="Times New Roman" w:cs="Times New Roman"/>
          <w:lang w:eastAsia="de-DE"/>
        </w:rPr>
        <w:t xml:space="preserve">ακα (Nachtrabe), </w:t>
      </w:r>
      <w:r w:rsidRPr="00F75E3B">
        <w:rPr>
          <w:rFonts w:eastAsia="Times New Roman" w:cs="Times New Roman"/>
          <w:b/>
          <w:bCs/>
          <w:rtl/>
          <w:lang w:eastAsia="de-DE"/>
        </w:rPr>
        <w:t>שלך</w:t>
      </w:r>
      <w:r w:rsidRPr="00F75E3B">
        <w:rPr>
          <w:rFonts w:eastAsia="Times New Roman" w:cs="Times New Roman"/>
          <w:rtl/>
          <w:lang w:eastAsia="de-DE"/>
        </w:rPr>
        <w:t xml:space="preserve"> </w:t>
      </w:r>
      <w:r w:rsidRPr="00F75E3B">
        <w:rPr>
          <w:rFonts w:eastAsia="Times New Roman" w:cs="Times New Roman"/>
          <w:lang w:eastAsia="de-DE"/>
        </w:rPr>
        <w:t>mit κατα</w:t>
      </w:r>
      <w:proofErr w:type="spellStart"/>
      <w:r w:rsidRPr="00F75E3B">
        <w:rPr>
          <w:rFonts w:eastAsia="Times New Roman" w:cs="Times New Roman"/>
          <w:lang w:eastAsia="de-DE"/>
        </w:rPr>
        <w:t>ρράκτην</w:t>
      </w:r>
      <w:proofErr w:type="spellEnd"/>
      <w:r w:rsidRPr="00F75E3B">
        <w:rPr>
          <w:rFonts w:eastAsia="Times New Roman" w:cs="Times New Roman"/>
          <w:lang w:eastAsia="de-DE"/>
        </w:rPr>
        <w:t xml:space="preserve"> (Sturzflieger) und </w:t>
      </w:r>
      <w:r w:rsidRPr="00F75E3B">
        <w:rPr>
          <w:rFonts w:eastAsia="Times New Roman" w:cs="Times New Roman"/>
          <w:b/>
          <w:bCs/>
          <w:rtl/>
          <w:lang w:eastAsia="de-DE"/>
        </w:rPr>
        <w:t>ינשוף</w:t>
      </w:r>
      <w:r w:rsidRPr="00F75E3B">
        <w:rPr>
          <w:rFonts w:eastAsia="Times New Roman" w:cs="Times New Roman"/>
          <w:rtl/>
          <w:lang w:eastAsia="de-DE"/>
        </w:rPr>
        <w:t xml:space="preserve"> </w:t>
      </w:r>
      <w:r w:rsidRPr="00F75E3B">
        <w:rPr>
          <w:rFonts w:eastAsia="Times New Roman" w:cs="Times New Roman"/>
          <w:lang w:eastAsia="de-DE"/>
        </w:rPr>
        <w:t>mit ἶβ</w:t>
      </w:r>
      <w:proofErr w:type="spellStart"/>
      <w:r w:rsidRPr="00F75E3B">
        <w:rPr>
          <w:rFonts w:eastAsia="Times New Roman" w:cs="Times New Roman"/>
          <w:lang w:eastAsia="de-DE"/>
        </w:rPr>
        <w:t>ιν</w:t>
      </w:r>
      <w:proofErr w:type="spellEnd"/>
      <w:r w:rsidRPr="00F75E3B">
        <w:rPr>
          <w:rFonts w:eastAsia="Times New Roman" w:cs="Times New Roman"/>
          <w:lang w:eastAsia="de-DE"/>
        </w:rPr>
        <w:t xml:space="preserve"> (Ibis).</w:t>
      </w:r>
    </w:p>
    <w:p w14:paraId="190749A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drei koordinierte spezifische Arten: drei mit </w:t>
      </w:r>
      <w:r w:rsidRPr="00F75E3B">
        <w:rPr>
          <w:rFonts w:eastAsia="Times New Roman" w:cs="Times New Roman"/>
          <w:b/>
          <w:bCs/>
          <w:rtl/>
          <w:lang w:eastAsia="de-DE"/>
        </w:rPr>
        <w:t>ואת</w:t>
      </w:r>
      <w:r w:rsidRPr="00F75E3B">
        <w:rPr>
          <w:rFonts w:eastAsia="Times New Roman" w:cs="Times New Roman"/>
          <w:rtl/>
          <w:lang w:eastAsia="de-DE"/>
        </w:rPr>
        <w:t xml:space="preserve"> </w:t>
      </w:r>
      <w:r w:rsidRPr="00F75E3B">
        <w:rPr>
          <w:rFonts w:eastAsia="Times New Roman" w:cs="Times New Roman"/>
          <w:lang w:eastAsia="de-DE"/>
        </w:rPr>
        <w:t>koordinierte Vögel ohne Gattungsklausel. Die Struktur zeigt spezifische Artverbote.</w:t>
      </w:r>
    </w:p>
    <w:p w14:paraId="47A235F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fügt drei weitere spezifische Vogelarten zur Verbotsliste hinzu.</w:t>
      </w:r>
    </w:p>
    <w:p w14:paraId="34FCD61D"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11,18</w:t>
      </w:r>
    </w:p>
    <w:p w14:paraId="62AEF5C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וְאֶת־הַתִּנְשֶׁ֥מֶת וְאֶת־הַקָּאָ֖ת וְאֶת־הָרָחָֽם׃</w:t>
      </w:r>
    </w:p>
    <w:p w14:paraId="6D175B3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die Schleiereule und den Pelikan und den Aasgeier</w:t>
      </w:r>
    </w:p>
    <w:p w14:paraId="3413F061"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319A86C">
          <v:rect id="_x0000_i1294" style="width:0;height:1.5pt" o:hralign="center" o:hrstd="t" o:hr="t" fillcolor="#a0a0a0" stroked="f"/>
        </w:pict>
      </w:r>
    </w:p>
    <w:p w14:paraId="7BF97C2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ואת־התנשמת ואת־הקאת ואת־הרחם</w:t>
      </w:r>
      <w:r w:rsidRPr="00F75E3B">
        <w:rPr>
          <w:rFonts w:eastAsia="Times New Roman" w:cs="Times New Roman"/>
          <w:rtl/>
          <w:lang w:eastAsia="de-DE"/>
        </w:rPr>
        <w:t xml:space="preserve"> </w:t>
      </w:r>
      <w:r w:rsidRPr="00F75E3B">
        <w:rPr>
          <w:rFonts w:eastAsia="Times New Roman" w:cs="Times New Roman"/>
          <w:lang w:eastAsia="de-DE"/>
        </w:rPr>
        <w:t xml:space="preserve">setzt die spezifische Vogelliste fort. </w:t>
      </w:r>
      <w:r w:rsidRPr="00F75E3B">
        <w:rPr>
          <w:rFonts w:eastAsia="Times New Roman" w:cs="Times New Roman"/>
          <w:b/>
          <w:bCs/>
          <w:rtl/>
          <w:lang w:eastAsia="de-DE"/>
        </w:rPr>
        <w:t>תנשמת</w:t>
      </w:r>
      <w:r w:rsidRPr="00F75E3B">
        <w:rPr>
          <w:rFonts w:eastAsia="Times New Roman" w:cs="Times New Roman"/>
          <w:rtl/>
          <w:lang w:eastAsia="de-DE"/>
        </w:rPr>
        <w:t xml:space="preserve"> </w:t>
      </w:r>
      <w:r w:rsidRPr="00F75E3B">
        <w:rPr>
          <w:rFonts w:eastAsia="Times New Roman" w:cs="Times New Roman"/>
          <w:lang w:eastAsia="de-DE"/>
        </w:rPr>
        <w:t xml:space="preserve">(Schleiereule), </w:t>
      </w:r>
      <w:r w:rsidRPr="00F75E3B">
        <w:rPr>
          <w:rFonts w:eastAsia="Times New Roman" w:cs="Times New Roman"/>
          <w:b/>
          <w:bCs/>
          <w:rtl/>
          <w:lang w:eastAsia="de-DE"/>
        </w:rPr>
        <w:t>קאת</w:t>
      </w:r>
      <w:r w:rsidRPr="00F75E3B">
        <w:rPr>
          <w:rFonts w:eastAsia="Times New Roman" w:cs="Times New Roman"/>
          <w:rtl/>
          <w:lang w:eastAsia="de-DE"/>
        </w:rPr>
        <w:t xml:space="preserve"> </w:t>
      </w:r>
      <w:r w:rsidRPr="00F75E3B">
        <w:rPr>
          <w:rFonts w:eastAsia="Times New Roman" w:cs="Times New Roman"/>
          <w:lang w:eastAsia="de-DE"/>
        </w:rPr>
        <w:t xml:space="preserve">(Pelikan), </w:t>
      </w:r>
      <w:r w:rsidRPr="00F75E3B">
        <w:rPr>
          <w:rFonts w:eastAsia="Times New Roman" w:cs="Times New Roman"/>
          <w:b/>
          <w:bCs/>
          <w:rtl/>
          <w:lang w:eastAsia="de-DE"/>
        </w:rPr>
        <w:t>רחם</w:t>
      </w:r>
      <w:r w:rsidRPr="00F75E3B">
        <w:rPr>
          <w:rFonts w:eastAsia="Times New Roman" w:cs="Times New Roman"/>
          <w:rtl/>
          <w:lang w:eastAsia="de-DE"/>
        </w:rPr>
        <w:t xml:space="preserve"> </w:t>
      </w:r>
      <w:r w:rsidRPr="00F75E3B">
        <w:rPr>
          <w:rFonts w:eastAsia="Times New Roman" w:cs="Times New Roman"/>
          <w:lang w:eastAsia="de-DE"/>
        </w:rPr>
        <w:t>(Aasgeier) sind weitere große Vögel verschiedener Lebensräume.</w:t>
      </w:r>
    </w:p>
    <w:p w14:paraId="2D1C9F8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רחם</w:t>
      </w:r>
      <w:r w:rsidRPr="00F75E3B">
        <w:rPr>
          <w:rFonts w:eastAsia="Times New Roman" w:cs="Times New Roman"/>
          <w:rtl/>
          <w:lang w:eastAsia="de-DE"/>
        </w:rPr>
        <w:t xml:space="preserve"> </w:t>
      </w:r>
      <w:r w:rsidRPr="00F75E3B">
        <w:rPr>
          <w:rFonts w:eastAsia="Times New Roman" w:cs="Times New Roman"/>
          <w:lang w:eastAsia="de-DE"/>
        </w:rPr>
        <w:t>als Aasgeier schließt an die Raubvögel vom Listenbeginn an und zeigt das Muster der Aasfresser-Verbote.</w:t>
      </w:r>
    </w:p>
    <w:p w14:paraId="3E20390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תנשמת</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ορφυρίων</w:t>
      </w:r>
      <w:proofErr w:type="spellEnd"/>
      <w:r w:rsidRPr="00F75E3B">
        <w:rPr>
          <w:rFonts w:eastAsia="Times New Roman" w:cs="Times New Roman"/>
          <w:lang w:eastAsia="de-DE"/>
        </w:rPr>
        <w:t xml:space="preserve">α (Purpurhuhn), </w:t>
      </w:r>
      <w:r w:rsidRPr="00F75E3B">
        <w:rPr>
          <w:rFonts w:eastAsia="Times New Roman" w:cs="Times New Roman"/>
          <w:b/>
          <w:bCs/>
          <w:rtl/>
          <w:lang w:eastAsia="de-DE"/>
        </w:rPr>
        <w:t>קאת</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ελεκᾶν</w:t>
      </w:r>
      <w:proofErr w:type="spellEnd"/>
      <w:r w:rsidRPr="00F75E3B">
        <w:rPr>
          <w:rFonts w:eastAsia="Times New Roman" w:cs="Times New Roman"/>
          <w:lang w:eastAsia="de-DE"/>
        </w:rPr>
        <w:t xml:space="preserve">α (Pelikan) und </w:t>
      </w:r>
      <w:r w:rsidRPr="00F75E3B">
        <w:rPr>
          <w:rFonts w:eastAsia="Times New Roman" w:cs="Times New Roman"/>
          <w:b/>
          <w:bCs/>
          <w:rtl/>
          <w:lang w:eastAsia="de-DE"/>
        </w:rPr>
        <w:t>רחם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κύκνον</w:t>
      </w:r>
      <w:proofErr w:type="spellEnd"/>
      <w:r w:rsidRPr="00F75E3B">
        <w:rPr>
          <w:rFonts w:eastAsia="Times New Roman" w:cs="Times New Roman"/>
          <w:lang w:eastAsia="de-DE"/>
        </w:rPr>
        <w:t xml:space="preserve"> (Schwan).</w:t>
      </w:r>
    </w:p>
    <w:p w14:paraId="7538DCF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entspricht V. 17: drei koordinierte spezifische Arten ohne Gattungsklausel. Die Struktur zeigt die Fortsetzung spezifischer Verbote.</w:t>
      </w:r>
    </w:p>
    <w:p w14:paraId="2180FF1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fügt drei weitere große Vogelarten zur Verbotsliste hinzu.</w:t>
      </w:r>
    </w:p>
    <w:p w14:paraId="6CC7D539"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11,19</w:t>
      </w:r>
    </w:p>
    <w:p w14:paraId="494BD5C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וְאֵת֙ הַחֲסִידָ֔ה הָאֲנָפָ֖ה לְמִינָ֑הּ וְאֶת־הַדּוּכִיפַ֖ת וְאֶת־הָעֲטַלֵּֽף׃</w:t>
      </w:r>
    </w:p>
    <w:p w14:paraId="7D56217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den Storch, den Reiher nach seiner Art und den Wiedehopf und die Fledermaus.</w:t>
      </w:r>
    </w:p>
    <w:p w14:paraId="6C4EC611"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A5F17AB">
          <v:rect id="_x0000_i1295" style="width:0;height:1.5pt" o:hralign="center" o:hrstd="t" o:hr="t" fillcolor="#a0a0a0" stroked="f"/>
        </w:pict>
      </w:r>
    </w:p>
    <w:p w14:paraId="2511737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ואת החסידה האנפה למינה ואת־הדוכיפת ואת־העטלף</w:t>
      </w:r>
      <w:r w:rsidRPr="00F75E3B">
        <w:rPr>
          <w:rFonts w:eastAsia="Times New Roman" w:cs="Times New Roman"/>
          <w:rtl/>
          <w:lang w:eastAsia="de-DE"/>
        </w:rPr>
        <w:t xml:space="preserve"> </w:t>
      </w:r>
      <w:r w:rsidRPr="00F75E3B">
        <w:rPr>
          <w:rFonts w:eastAsia="Times New Roman" w:cs="Times New Roman"/>
          <w:lang w:eastAsia="de-DE"/>
        </w:rPr>
        <w:t xml:space="preserve">schließt die Vogelliste ab. </w:t>
      </w:r>
      <w:r w:rsidRPr="00F75E3B">
        <w:rPr>
          <w:rFonts w:eastAsia="Times New Roman" w:cs="Times New Roman"/>
          <w:b/>
          <w:bCs/>
          <w:rtl/>
          <w:lang w:eastAsia="de-DE"/>
        </w:rPr>
        <w:t>החסידה</w:t>
      </w:r>
      <w:r w:rsidRPr="00F75E3B">
        <w:rPr>
          <w:rFonts w:eastAsia="Times New Roman" w:cs="Times New Roman"/>
          <w:rtl/>
          <w:lang w:eastAsia="de-DE"/>
        </w:rPr>
        <w:t xml:space="preserve"> </w:t>
      </w:r>
      <w:r w:rsidRPr="00F75E3B">
        <w:rPr>
          <w:rFonts w:eastAsia="Times New Roman" w:cs="Times New Roman"/>
          <w:lang w:eastAsia="de-DE"/>
        </w:rPr>
        <w:t xml:space="preserve">(Storch), </w:t>
      </w:r>
      <w:r w:rsidRPr="00F75E3B">
        <w:rPr>
          <w:rFonts w:eastAsia="Times New Roman" w:cs="Times New Roman"/>
          <w:b/>
          <w:bCs/>
          <w:rtl/>
          <w:lang w:eastAsia="de-DE"/>
        </w:rPr>
        <w:t>האנפה למינה</w:t>
      </w:r>
      <w:r w:rsidRPr="00F75E3B">
        <w:rPr>
          <w:rFonts w:eastAsia="Times New Roman" w:cs="Times New Roman"/>
          <w:rtl/>
          <w:lang w:eastAsia="de-DE"/>
        </w:rPr>
        <w:t xml:space="preserve"> </w:t>
      </w:r>
      <w:r w:rsidRPr="00F75E3B">
        <w:rPr>
          <w:rFonts w:eastAsia="Times New Roman" w:cs="Times New Roman"/>
          <w:lang w:eastAsia="de-DE"/>
        </w:rPr>
        <w:t xml:space="preserve">(Reiher nach seiner Art), </w:t>
      </w:r>
      <w:r w:rsidRPr="00F75E3B">
        <w:rPr>
          <w:rFonts w:eastAsia="Times New Roman" w:cs="Times New Roman"/>
          <w:b/>
          <w:bCs/>
          <w:rtl/>
          <w:lang w:eastAsia="de-DE"/>
        </w:rPr>
        <w:t>הדוכיפת</w:t>
      </w:r>
      <w:r w:rsidRPr="00F75E3B">
        <w:rPr>
          <w:rFonts w:eastAsia="Times New Roman" w:cs="Times New Roman"/>
          <w:rtl/>
          <w:lang w:eastAsia="de-DE"/>
        </w:rPr>
        <w:t xml:space="preserve"> </w:t>
      </w:r>
      <w:r w:rsidRPr="00F75E3B">
        <w:rPr>
          <w:rFonts w:eastAsia="Times New Roman" w:cs="Times New Roman"/>
          <w:lang w:eastAsia="de-DE"/>
        </w:rPr>
        <w:t xml:space="preserve">(Wiedehopf), </w:t>
      </w:r>
      <w:r w:rsidRPr="00F75E3B">
        <w:rPr>
          <w:rFonts w:eastAsia="Times New Roman" w:cs="Times New Roman"/>
          <w:b/>
          <w:bCs/>
          <w:rtl/>
          <w:lang w:eastAsia="de-DE"/>
        </w:rPr>
        <w:t>העטלף</w:t>
      </w:r>
      <w:r w:rsidRPr="00F75E3B">
        <w:rPr>
          <w:rFonts w:eastAsia="Times New Roman" w:cs="Times New Roman"/>
          <w:rtl/>
          <w:lang w:eastAsia="de-DE"/>
        </w:rPr>
        <w:t xml:space="preserve"> </w:t>
      </w:r>
      <w:r w:rsidRPr="00F75E3B">
        <w:rPr>
          <w:rFonts w:eastAsia="Times New Roman" w:cs="Times New Roman"/>
          <w:lang w:eastAsia="de-DE"/>
        </w:rPr>
        <w:t xml:space="preserve">(Fledermaus). </w:t>
      </w:r>
      <w:r w:rsidRPr="00F75E3B">
        <w:rPr>
          <w:rFonts w:eastAsia="Times New Roman" w:cs="Times New Roman"/>
          <w:b/>
          <w:bCs/>
          <w:rtl/>
          <w:lang w:eastAsia="de-DE"/>
        </w:rPr>
        <w:t>האנפה למינה</w:t>
      </w:r>
      <w:r w:rsidRPr="00F75E3B">
        <w:rPr>
          <w:rFonts w:eastAsia="Times New Roman" w:cs="Times New Roman"/>
          <w:rtl/>
          <w:lang w:eastAsia="de-DE"/>
        </w:rPr>
        <w:t xml:space="preserve"> </w:t>
      </w:r>
      <w:r w:rsidRPr="00F75E3B">
        <w:rPr>
          <w:rFonts w:eastAsia="Times New Roman" w:cs="Times New Roman"/>
          <w:lang w:eastAsia="de-DE"/>
        </w:rPr>
        <w:t>mit Gattungsklausel, die anderen spezifisch.</w:t>
      </w:r>
    </w:p>
    <w:p w14:paraId="298838E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העטלף</w:t>
      </w:r>
      <w:r w:rsidRPr="00F75E3B">
        <w:rPr>
          <w:rFonts w:eastAsia="Times New Roman" w:cs="Times New Roman"/>
          <w:rtl/>
          <w:lang w:eastAsia="de-DE"/>
        </w:rPr>
        <w:t xml:space="preserve"> </w:t>
      </w:r>
      <w:r w:rsidRPr="00F75E3B">
        <w:rPr>
          <w:rFonts w:eastAsia="Times New Roman" w:cs="Times New Roman"/>
          <w:lang w:eastAsia="de-DE"/>
        </w:rPr>
        <w:t>(Fledermaus) ist biologisch kein Vogel, wird aber hier zu den Flugtieren gezählt. Dies zeigt die phänomenologische statt biologische Klassifikation.</w:t>
      </w:r>
    </w:p>
    <w:p w14:paraId="69FB11F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חסידה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ἐρωδιόν</w:t>
      </w:r>
      <w:proofErr w:type="spellEnd"/>
      <w:r w:rsidRPr="00F75E3B">
        <w:rPr>
          <w:rFonts w:eastAsia="Times New Roman" w:cs="Times New Roman"/>
          <w:lang w:eastAsia="de-DE"/>
        </w:rPr>
        <w:t xml:space="preserve"> (Reiher), </w:t>
      </w:r>
      <w:r w:rsidRPr="00F75E3B">
        <w:rPr>
          <w:rFonts w:eastAsia="Times New Roman" w:cs="Times New Roman"/>
          <w:b/>
          <w:bCs/>
          <w:rtl/>
          <w:lang w:eastAsia="de-DE"/>
        </w:rPr>
        <w:t>אנפה</w:t>
      </w:r>
      <w:r w:rsidRPr="00F75E3B">
        <w:rPr>
          <w:rFonts w:eastAsia="Times New Roman" w:cs="Times New Roman"/>
          <w:rtl/>
          <w:lang w:eastAsia="de-DE"/>
        </w:rPr>
        <w:t xml:space="preserve"> </w:t>
      </w:r>
      <w:r w:rsidRPr="00F75E3B">
        <w:rPr>
          <w:rFonts w:eastAsia="Times New Roman" w:cs="Times New Roman"/>
          <w:lang w:eastAsia="de-DE"/>
        </w:rPr>
        <w:t>mit χαρα</w:t>
      </w:r>
      <w:proofErr w:type="spellStart"/>
      <w:r w:rsidRPr="00F75E3B">
        <w:rPr>
          <w:rFonts w:eastAsia="Times New Roman" w:cs="Times New Roman"/>
          <w:lang w:eastAsia="de-DE"/>
        </w:rPr>
        <w:t>δριόν</w:t>
      </w:r>
      <w:proofErr w:type="spellEnd"/>
      <w:r w:rsidRPr="00F75E3B">
        <w:rPr>
          <w:rFonts w:eastAsia="Times New Roman" w:cs="Times New Roman"/>
          <w:lang w:eastAsia="de-DE"/>
        </w:rPr>
        <w:t xml:space="preserve"> (Regenpfeifer), </w:t>
      </w:r>
      <w:r w:rsidRPr="00F75E3B">
        <w:rPr>
          <w:rFonts w:eastAsia="Times New Roman" w:cs="Times New Roman"/>
          <w:b/>
          <w:bCs/>
          <w:rtl/>
          <w:lang w:eastAsia="de-DE"/>
        </w:rPr>
        <w:t>דוכיפת</w:t>
      </w:r>
      <w:r w:rsidRPr="00F75E3B">
        <w:rPr>
          <w:rFonts w:eastAsia="Times New Roman" w:cs="Times New Roman"/>
          <w:rtl/>
          <w:lang w:eastAsia="de-DE"/>
        </w:rPr>
        <w:t xml:space="preserve"> </w:t>
      </w:r>
      <w:r w:rsidRPr="00F75E3B">
        <w:rPr>
          <w:rFonts w:eastAsia="Times New Roman" w:cs="Times New Roman"/>
          <w:lang w:eastAsia="de-DE"/>
        </w:rPr>
        <w:t xml:space="preserve">mit ἔποπα (Wiedehopf) und </w:t>
      </w:r>
      <w:r w:rsidRPr="00F75E3B">
        <w:rPr>
          <w:rFonts w:eastAsia="Times New Roman" w:cs="Times New Roman"/>
          <w:b/>
          <w:bCs/>
          <w:rtl/>
          <w:lang w:eastAsia="de-DE"/>
        </w:rPr>
        <w:t>עטלף</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νυκτερίδ</w:t>
      </w:r>
      <w:proofErr w:type="spellEnd"/>
      <w:r w:rsidRPr="00F75E3B">
        <w:rPr>
          <w:rFonts w:eastAsia="Times New Roman" w:cs="Times New Roman"/>
          <w:lang w:eastAsia="de-DE"/>
        </w:rPr>
        <w:t>α (Fledermaus).</w:t>
      </w:r>
    </w:p>
    <w:p w14:paraId="5FECFEB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gemischte Verbote: Storch + Reiher mit Gattungsklausel + zwei spezifische Arten. Die Struktur schließt mit einer ungewöhnlichen Inklusion (Fledermaus).</w:t>
      </w:r>
    </w:p>
    <w:p w14:paraId="21F5292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schließt die Vogelliste mit vier verschiedenen Arten ab, einschließlich der biologisch ungewöhnlichen Fledermaus.</w:t>
      </w:r>
    </w:p>
    <w:p w14:paraId="553848C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11,20</w:t>
      </w:r>
    </w:p>
    <w:p w14:paraId="6B4D006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כֹּ֚ל שֶׁ֣רֶץ הָע֔וֹף הַהֹלֵ֖ךְ עַל־אַרְבַּ֑ע שֶׁ֥קֶץ ה֖וּא לָכֶֽם׃</w:t>
      </w:r>
    </w:p>
    <w:p w14:paraId="0415C19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Alles geflügelte Kleingetier, das auf Vieren geht, ist ein Gräuel für euch.</w:t>
      </w:r>
    </w:p>
    <w:p w14:paraId="51B0AB0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D1BCC32">
          <v:rect id="_x0000_i1296" style="width:0;height:1.5pt" o:hralign="center" o:hrstd="t" o:hr="t" fillcolor="#a0a0a0" stroked="f"/>
        </w:pict>
      </w:r>
    </w:p>
    <w:p w14:paraId="019DF7F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כל שרץ העוף ההלך על־ארבע שקץ הוא לכם</w:t>
      </w:r>
      <w:r w:rsidRPr="00F75E3B">
        <w:rPr>
          <w:rFonts w:eastAsia="Times New Roman" w:cs="Times New Roman"/>
          <w:rtl/>
          <w:lang w:eastAsia="de-DE"/>
        </w:rPr>
        <w:t xml:space="preserve"> </w:t>
      </w:r>
      <w:r w:rsidRPr="00F75E3B">
        <w:rPr>
          <w:rFonts w:eastAsia="Times New Roman" w:cs="Times New Roman"/>
          <w:lang w:eastAsia="de-DE"/>
        </w:rPr>
        <w:t xml:space="preserve">führt eine neue Kategorie ein. </w:t>
      </w:r>
      <w:r w:rsidRPr="00F75E3B">
        <w:rPr>
          <w:rFonts w:eastAsia="Times New Roman" w:cs="Times New Roman"/>
          <w:b/>
          <w:bCs/>
          <w:rtl/>
          <w:lang w:eastAsia="de-DE"/>
        </w:rPr>
        <w:t>כל שרץ העוף</w:t>
      </w:r>
      <w:r w:rsidRPr="00F75E3B">
        <w:rPr>
          <w:rFonts w:eastAsia="Times New Roman" w:cs="Times New Roman"/>
          <w:rtl/>
          <w:lang w:eastAsia="de-DE"/>
        </w:rPr>
        <w:t xml:space="preserve"> </w:t>
      </w:r>
      <w:r w:rsidRPr="00F75E3B">
        <w:rPr>
          <w:rFonts w:eastAsia="Times New Roman" w:cs="Times New Roman"/>
          <w:lang w:eastAsia="de-DE"/>
        </w:rPr>
        <w:t xml:space="preserve">(alles geflügelte Kleingetier) - </w:t>
      </w:r>
      <w:r w:rsidRPr="00F75E3B">
        <w:rPr>
          <w:rFonts w:eastAsia="Times New Roman" w:cs="Times New Roman"/>
          <w:b/>
          <w:bCs/>
          <w:rtl/>
          <w:lang w:eastAsia="de-DE"/>
        </w:rPr>
        <w:t>שרץ</w:t>
      </w:r>
      <w:r w:rsidRPr="00F75E3B">
        <w:rPr>
          <w:rFonts w:eastAsia="Times New Roman" w:cs="Times New Roman"/>
          <w:rtl/>
          <w:lang w:eastAsia="de-DE"/>
        </w:rPr>
        <w:t xml:space="preserve"> </w:t>
      </w:r>
      <w:r w:rsidRPr="00F75E3B">
        <w:rPr>
          <w:rFonts w:eastAsia="Times New Roman" w:cs="Times New Roman"/>
          <w:lang w:eastAsia="de-DE"/>
        </w:rPr>
        <w:t xml:space="preserve">(Kleingetier/Gewimmel) mit </w:t>
      </w:r>
      <w:r w:rsidRPr="00F75E3B">
        <w:rPr>
          <w:rFonts w:eastAsia="Times New Roman" w:cs="Times New Roman"/>
          <w:b/>
          <w:bCs/>
          <w:rtl/>
          <w:lang w:eastAsia="de-DE"/>
        </w:rPr>
        <w:t>העוף</w:t>
      </w:r>
      <w:r w:rsidRPr="00F75E3B">
        <w:rPr>
          <w:rFonts w:eastAsia="Times New Roman" w:cs="Times New Roman"/>
          <w:rtl/>
          <w:lang w:eastAsia="de-DE"/>
        </w:rPr>
        <w:t xml:space="preserve"> </w:t>
      </w:r>
      <w:r w:rsidRPr="00F75E3B">
        <w:rPr>
          <w:rFonts w:eastAsia="Times New Roman" w:cs="Times New Roman"/>
          <w:lang w:eastAsia="de-DE"/>
        </w:rPr>
        <w:t xml:space="preserve">(des Fluges/geflügelt) als Genitivkonstruktion. </w:t>
      </w:r>
      <w:r w:rsidRPr="00F75E3B">
        <w:rPr>
          <w:rFonts w:eastAsia="Times New Roman" w:cs="Times New Roman"/>
          <w:b/>
          <w:bCs/>
          <w:rtl/>
          <w:lang w:eastAsia="de-DE"/>
        </w:rPr>
        <w:t>ההלך על־ארבע</w:t>
      </w:r>
      <w:r w:rsidRPr="00F75E3B">
        <w:rPr>
          <w:rFonts w:eastAsia="Times New Roman" w:cs="Times New Roman"/>
          <w:rtl/>
          <w:lang w:eastAsia="de-DE"/>
        </w:rPr>
        <w:t xml:space="preserve"> </w:t>
      </w:r>
      <w:r w:rsidRPr="00F75E3B">
        <w:rPr>
          <w:rFonts w:eastAsia="Times New Roman" w:cs="Times New Roman"/>
          <w:lang w:eastAsia="de-DE"/>
        </w:rPr>
        <w:t xml:space="preserve">(das auf Vieren geht) als Partizip mit Präpositionalphrase. </w:t>
      </w:r>
      <w:r w:rsidRPr="00F75E3B">
        <w:rPr>
          <w:rFonts w:eastAsia="Times New Roman" w:cs="Times New Roman"/>
          <w:b/>
          <w:bCs/>
          <w:rtl/>
          <w:lang w:eastAsia="de-DE"/>
        </w:rPr>
        <w:t>שקץ הוא לכם</w:t>
      </w:r>
      <w:r w:rsidRPr="00F75E3B">
        <w:rPr>
          <w:rFonts w:eastAsia="Times New Roman" w:cs="Times New Roman"/>
          <w:rtl/>
          <w:lang w:eastAsia="de-DE"/>
        </w:rPr>
        <w:t xml:space="preserve"> </w:t>
      </w:r>
      <w:r w:rsidRPr="00F75E3B">
        <w:rPr>
          <w:rFonts w:eastAsia="Times New Roman" w:cs="Times New Roman"/>
          <w:lang w:eastAsia="de-DE"/>
        </w:rPr>
        <w:t>klassifiziert diese als Gräuel.</w:t>
      </w:r>
    </w:p>
    <w:p w14:paraId="243EC96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שרץ העוף</w:t>
      </w:r>
      <w:r w:rsidRPr="00F75E3B">
        <w:rPr>
          <w:rFonts w:eastAsia="Times New Roman" w:cs="Times New Roman"/>
          <w:rtl/>
          <w:lang w:eastAsia="de-DE"/>
        </w:rPr>
        <w:t xml:space="preserve"> </w:t>
      </w:r>
      <w:r w:rsidRPr="00F75E3B">
        <w:rPr>
          <w:rFonts w:eastAsia="Times New Roman" w:cs="Times New Roman"/>
          <w:lang w:eastAsia="de-DE"/>
        </w:rPr>
        <w:t xml:space="preserve">bezeichnet fliegende Insekten. </w:t>
      </w:r>
      <w:r w:rsidRPr="00F75E3B">
        <w:rPr>
          <w:rFonts w:eastAsia="Times New Roman" w:cs="Times New Roman"/>
          <w:b/>
          <w:bCs/>
          <w:rtl/>
          <w:lang w:eastAsia="de-DE"/>
        </w:rPr>
        <w:t>על־ארבע</w:t>
      </w:r>
      <w:r w:rsidRPr="00F75E3B">
        <w:rPr>
          <w:rFonts w:eastAsia="Times New Roman" w:cs="Times New Roman"/>
          <w:rtl/>
          <w:lang w:eastAsia="de-DE"/>
        </w:rPr>
        <w:t xml:space="preserve"> </w:t>
      </w:r>
      <w:r w:rsidRPr="00F75E3B">
        <w:rPr>
          <w:rFonts w:eastAsia="Times New Roman" w:cs="Times New Roman"/>
          <w:lang w:eastAsia="de-DE"/>
        </w:rPr>
        <w:t xml:space="preserve">(auf vier Beinen) beschreibt die normale Insektenbewegung am Boden. Die Kombination Fliegen + Vierbeinigkeit macht diese Tiere zu </w:t>
      </w:r>
      <w:r w:rsidRPr="00F75E3B">
        <w:rPr>
          <w:rFonts w:eastAsia="Times New Roman" w:cs="Times New Roman"/>
          <w:b/>
          <w:bCs/>
          <w:rtl/>
          <w:lang w:eastAsia="de-DE"/>
        </w:rPr>
        <w:t>שקץ</w:t>
      </w:r>
      <w:r w:rsidRPr="00F75E3B">
        <w:rPr>
          <w:rFonts w:eastAsia="Times New Roman" w:cs="Times New Roman"/>
          <w:lang w:eastAsia="de-DE"/>
        </w:rPr>
        <w:t>.</w:t>
      </w:r>
    </w:p>
    <w:p w14:paraId="17C2166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שרץ העוף</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ἑρ</w:t>
      </w:r>
      <w:proofErr w:type="spellEnd"/>
      <w:r w:rsidRPr="00F75E3B">
        <w:rPr>
          <w:rFonts w:eastAsia="Times New Roman" w:cs="Times New Roman"/>
          <w:lang w:eastAsia="de-DE"/>
        </w:rPr>
        <w:t>πετὰ π</w:t>
      </w:r>
      <w:proofErr w:type="spellStart"/>
      <w:r w:rsidRPr="00F75E3B">
        <w:rPr>
          <w:rFonts w:eastAsia="Times New Roman" w:cs="Times New Roman"/>
          <w:lang w:eastAsia="de-DE"/>
        </w:rPr>
        <w:t>ετεινῶν</w:t>
      </w:r>
      <w:proofErr w:type="spellEnd"/>
      <w:r w:rsidRPr="00F75E3B">
        <w:rPr>
          <w:rFonts w:eastAsia="Times New Roman" w:cs="Times New Roman"/>
          <w:lang w:eastAsia="de-DE"/>
        </w:rPr>
        <w:t xml:space="preserve"> (Kriechtiere der Vögel), </w:t>
      </w:r>
      <w:r w:rsidRPr="00F75E3B">
        <w:rPr>
          <w:rFonts w:eastAsia="Times New Roman" w:cs="Times New Roman"/>
          <w:b/>
          <w:bCs/>
          <w:rtl/>
          <w:lang w:eastAsia="de-DE"/>
        </w:rPr>
        <w:t>ההלך על־ארבע</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ορευόμεν</w:t>
      </w:r>
      <w:proofErr w:type="spellEnd"/>
      <w:r w:rsidRPr="00F75E3B">
        <w:rPr>
          <w:rFonts w:eastAsia="Times New Roman" w:cs="Times New Roman"/>
          <w:lang w:eastAsia="de-DE"/>
        </w:rPr>
        <w:t xml:space="preserve">α ἐπὶ </w:t>
      </w:r>
      <w:proofErr w:type="spellStart"/>
      <w:r w:rsidRPr="00F75E3B">
        <w:rPr>
          <w:rFonts w:eastAsia="Times New Roman" w:cs="Times New Roman"/>
          <w:lang w:eastAsia="de-DE"/>
        </w:rPr>
        <w:t>τέσσ</w:t>
      </w:r>
      <w:proofErr w:type="spellEnd"/>
      <w:r w:rsidRPr="00F75E3B">
        <w:rPr>
          <w:rFonts w:eastAsia="Times New Roman" w:cs="Times New Roman"/>
          <w:lang w:eastAsia="de-DE"/>
        </w:rPr>
        <w:t xml:space="preserve">αρα (gehend auf vier) und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δέλυγμ</w:t>
      </w:r>
      <w:proofErr w:type="spellEnd"/>
      <w:r w:rsidRPr="00F75E3B">
        <w:rPr>
          <w:rFonts w:eastAsia="Times New Roman" w:cs="Times New Roman"/>
          <w:lang w:eastAsia="de-DE"/>
        </w:rPr>
        <w:t>α (Gräuel).</w:t>
      </w:r>
    </w:p>
    <w:p w14:paraId="0BE1DDB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kategorische Regel: universelles Subjekt + Partizip mit Bewegungsart + Gräuelklassifikation. Die Struktur etabliert ein neues Verbot für Fluginsekten.</w:t>
      </w:r>
    </w:p>
    <w:p w14:paraId="7303C6C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verbietet alle geflügelten Insekten, die auf vier Beinen gehen, als Gräuel.</w:t>
      </w:r>
    </w:p>
    <w:p w14:paraId="72EE9EB1"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11,21</w:t>
      </w:r>
    </w:p>
    <w:p w14:paraId="474AEA6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אַ֤ךְ אֶת־זֶה֙ תֹּֽאכְל֔וּ מִכֹּל֙ שֶׁ֣רֶץ הָע֔וֹף הַהֹלֵ֖ךְ עַל־אַרְבַּ֑ע אֲשֶׁר־לֹא כְרָעַ֨יִם֙ מִמַּ֣עַל לְרַגְלָ֔יו לְנַתֵּ֥ר בָּהֵ֖ן עַל־הָאָֽרֶץ׃</w:t>
      </w:r>
    </w:p>
    <w:p w14:paraId="200F663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Nur dieses dürft ihr essen von allem geflügelten Kleingetier, das auf Vieren geht: Was Springbeine hat über seinen Füßen, um damit auf der Erde zu hüpfen.</w:t>
      </w:r>
    </w:p>
    <w:p w14:paraId="09D1C618"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lastRenderedPageBreak/>
        <w:pict w14:anchorId="6E75622B">
          <v:rect id="_x0000_i1297" style="width:0;height:1.5pt" o:hralign="center" o:hrstd="t" o:hr="t" fillcolor="#a0a0a0" stroked="f"/>
        </w:pict>
      </w:r>
    </w:p>
    <w:p w14:paraId="4FA9465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אך את־זה תאכלו מכל שרץ העוף ההלך על־ארבע</w:t>
      </w:r>
      <w:r w:rsidRPr="00F75E3B">
        <w:rPr>
          <w:rFonts w:eastAsia="Times New Roman" w:cs="Times New Roman"/>
          <w:rtl/>
          <w:lang w:eastAsia="de-DE"/>
        </w:rPr>
        <w:t xml:space="preserve"> </w:t>
      </w:r>
      <w:r w:rsidRPr="00F75E3B">
        <w:rPr>
          <w:rFonts w:eastAsia="Times New Roman" w:cs="Times New Roman"/>
          <w:lang w:eastAsia="de-DE"/>
        </w:rPr>
        <w:t xml:space="preserve">zeigt </w:t>
      </w:r>
      <w:r w:rsidRPr="00F75E3B">
        <w:rPr>
          <w:rFonts w:eastAsia="Times New Roman" w:cs="Times New Roman"/>
          <w:b/>
          <w:bCs/>
          <w:rtl/>
          <w:lang w:eastAsia="de-DE"/>
        </w:rPr>
        <w:t>אך</w:t>
      </w:r>
      <w:r w:rsidRPr="00F75E3B">
        <w:rPr>
          <w:rFonts w:eastAsia="Times New Roman" w:cs="Times New Roman"/>
          <w:rtl/>
          <w:lang w:eastAsia="de-DE"/>
        </w:rPr>
        <w:t xml:space="preserve"> </w:t>
      </w:r>
      <w:r w:rsidRPr="00F75E3B">
        <w:rPr>
          <w:rFonts w:eastAsia="Times New Roman" w:cs="Times New Roman"/>
          <w:lang w:eastAsia="de-DE"/>
        </w:rPr>
        <w:t xml:space="preserve">(nur/jedoch) als Ausnahme zu V. 20. </w:t>
      </w:r>
      <w:r w:rsidRPr="00F75E3B">
        <w:rPr>
          <w:rFonts w:eastAsia="Times New Roman" w:cs="Times New Roman"/>
          <w:b/>
          <w:bCs/>
          <w:rtl/>
          <w:lang w:eastAsia="de-DE"/>
        </w:rPr>
        <w:t>את־זה תאכלו</w:t>
      </w:r>
      <w:r w:rsidRPr="00F75E3B">
        <w:rPr>
          <w:rFonts w:eastAsia="Times New Roman" w:cs="Times New Roman"/>
          <w:rtl/>
          <w:lang w:eastAsia="de-DE"/>
        </w:rPr>
        <w:t xml:space="preserve"> </w:t>
      </w:r>
      <w:r w:rsidRPr="00F75E3B">
        <w:rPr>
          <w:rFonts w:eastAsia="Times New Roman" w:cs="Times New Roman"/>
          <w:lang w:eastAsia="de-DE"/>
        </w:rPr>
        <w:t xml:space="preserve">(dieses dürft ihr essen) erlaubt bestimmte Fluginsekten. </w:t>
      </w:r>
      <w:r w:rsidRPr="00F75E3B">
        <w:rPr>
          <w:rFonts w:eastAsia="Times New Roman" w:cs="Times New Roman"/>
          <w:b/>
          <w:bCs/>
          <w:rtl/>
          <w:lang w:eastAsia="de-DE"/>
        </w:rPr>
        <w:t>מכל שרץ העוף ההלך על־ארבע</w:t>
      </w:r>
      <w:r w:rsidRPr="00F75E3B">
        <w:rPr>
          <w:rFonts w:eastAsia="Times New Roman" w:cs="Times New Roman"/>
          <w:rtl/>
          <w:lang w:eastAsia="de-DE"/>
        </w:rPr>
        <w:t xml:space="preserve"> </w:t>
      </w:r>
      <w:r w:rsidRPr="00F75E3B">
        <w:rPr>
          <w:rFonts w:eastAsia="Times New Roman" w:cs="Times New Roman"/>
          <w:lang w:eastAsia="de-DE"/>
        </w:rPr>
        <w:t>wiederholt die Kategorie aus V. 20.</w:t>
      </w:r>
    </w:p>
    <w:p w14:paraId="2BFC0CE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אשר־לו כרעים ממעל לרגליו לנתר בהן על־הארץ</w:t>
      </w:r>
      <w:r w:rsidRPr="00F75E3B">
        <w:rPr>
          <w:rFonts w:eastAsia="Times New Roman" w:cs="Times New Roman"/>
          <w:rtl/>
          <w:lang w:eastAsia="de-DE"/>
        </w:rPr>
        <w:t xml:space="preserve"> </w:t>
      </w:r>
      <w:r w:rsidRPr="00F75E3B">
        <w:rPr>
          <w:rFonts w:eastAsia="Times New Roman" w:cs="Times New Roman"/>
          <w:lang w:eastAsia="de-DE"/>
        </w:rPr>
        <w:t xml:space="preserve">definiert das Ausnahmekriterium. </w:t>
      </w:r>
      <w:r w:rsidRPr="00F75E3B">
        <w:rPr>
          <w:rFonts w:eastAsia="Times New Roman" w:cs="Times New Roman"/>
          <w:b/>
          <w:bCs/>
          <w:rtl/>
          <w:lang w:eastAsia="de-DE"/>
        </w:rPr>
        <w:t>אשר־לו כרעים</w:t>
      </w:r>
      <w:r w:rsidRPr="00F75E3B">
        <w:rPr>
          <w:rFonts w:eastAsia="Times New Roman" w:cs="Times New Roman"/>
          <w:rtl/>
          <w:lang w:eastAsia="de-DE"/>
        </w:rPr>
        <w:t xml:space="preserve"> </w:t>
      </w:r>
      <w:r w:rsidRPr="00F75E3B">
        <w:rPr>
          <w:rFonts w:eastAsia="Times New Roman" w:cs="Times New Roman"/>
          <w:lang w:eastAsia="de-DE"/>
        </w:rPr>
        <w:t xml:space="preserve">(was Sprungbeine hat) - </w:t>
      </w:r>
      <w:r w:rsidRPr="00F75E3B">
        <w:rPr>
          <w:rFonts w:eastAsia="Times New Roman" w:cs="Times New Roman"/>
          <w:b/>
          <w:bCs/>
          <w:rtl/>
          <w:lang w:eastAsia="de-DE"/>
        </w:rPr>
        <w:t>כרעים</w:t>
      </w:r>
      <w:r w:rsidRPr="00F75E3B">
        <w:rPr>
          <w:rFonts w:eastAsia="Times New Roman" w:cs="Times New Roman"/>
          <w:rtl/>
          <w:lang w:eastAsia="de-DE"/>
        </w:rPr>
        <w:t xml:space="preserve"> </w:t>
      </w:r>
      <w:r w:rsidRPr="00F75E3B">
        <w:rPr>
          <w:rFonts w:eastAsia="Times New Roman" w:cs="Times New Roman"/>
          <w:lang w:eastAsia="de-DE"/>
        </w:rPr>
        <w:t xml:space="preserve">(Sprungbeine) von </w:t>
      </w:r>
      <w:r w:rsidRPr="00F75E3B">
        <w:rPr>
          <w:rFonts w:eastAsia="Times New Roman" w:cs="Times New Roman"/>
          <w:b/>
          <w:bCs/>
          <w:rtl/>
          <w:lang w:eastAsia="de-DE"/>
        </w:rPr>
        <w:t>כרע</w:t>
      </w:r>
      <w:r w:rsidRPr="00F75E3B">
        <w:rPr>
          <w:rFonts w:eastAsia="Times New Roman" w:cs="Times New Roman"/>
          <w:rtl/>
          <w:lang w:eastAsia="de-DE"/>
        </w:rPr>
        <w:t xml:space="preserve"> </w:t>
      </w:r>
      <w:r w:rsidRPr="00F75E3B">
        <w:rPr>
          <w:rFonts w:eastAsia="Times New Roman" w:cs="Times New Roman"/>
          <w:lang w:eastAsia="de-DE"/>
        </w:rPr>
        <w:t xml:space="preserve">(niederknien/springen). </w:t>
      </w:r>
      <w:r w:rsidRPr="00F75E3B">
        <w:rPr>
          <w:rFonts w:eastAsia="Times New Roman" w:cs="Times New Roman"/>
          <w:b/>
          <w:bCs/>
          <w:rtl/>
          <w:lang w:eastAsia="de-DE"/>
        </w:rPr>
        <w:t>ממעל לרגליו</w:t>
      </w:r>
      <w:r w:rsidRPr="00F75E3B">
        <w:rPr>
          <w:rFonts w:eastAsia="Times New Roman" w:cs="Times New Roman"/>
          <w:rtl/>
          <w:lang w:eastAsia="de-DE"/>
        </w:rPr>
        <w:t xml:space="preserve"> </w:t>
      </w:r>
      <w:r w:rsidRPr="00F75E3B">
        <w:rPr>
          <w:rFonts w:eastAsia="Times New Roman" w:cs="Times New Roman"/>
          <w:lang w:eastAsia="de-DE"/>
        </w:rPr>
        <w:t xml:space="preserve">(oberhalb seiner Füße) zeigt die anatomische Position. </w:t>
      </w:r>
      <w:r w:rsidRPr="00F75E3B">
        <w:rPr>
          <w:rFonts w:eastAsia="Times New Roman" w:cs="Times New Roman"/>
          <w:b/>
          <w:bCs/>
          <w:rtl/>
          <w:lang w:eastAsia="de-DE"/>
        </w:rPr>
        <w:t>לנתר בהן על־הארץ</w:t>
      </w:r>
      <w:r w:rsidRPr="00F75E3B">
        <w:rPr>
          <w:rFonts w:eastAsia="Times New Roman" w:cs="Times New Roman"/>
          <w:rtl/>
          <w:lang w:eastAsia="de-DE"/>
        </w:rPr>
        <w:t xml:space="preserve"> </w:t>
      </w:r>
      <w:r w:rsidRPr="00F75E3B">
        <w:rPr>
          <w:rFonts w:eastAsia="Times New Roman" w:cs="Times New Roman"/>
          <w:lang w:eastAsia="de-DE"/>
        </w:rPr>
        <w:t xml:space="preserve">(um damit auf der Erde zu hüpfen) - </w:t>
      </w:r>
      <w:r w:rsidRPr="00F75E3B">
        <w:rPr>
          <w:rFonts w:eastAsia="Times New Roman" w:cs="Times New Roman"/>
          <w:b/>
          <w:bCs/>
          <w:rtl/>
          <w:lang w:eastAsia="de-DE"/>
        </w:rPr>
        <w:t>נתר</w:t>
      </w:r>
      <w:r w:rsidRPr="00F75E3B">
        <w:rPr>
          <w:rFonts w:eastAsia="Times New Roman" w:cs="Times New Roman"/>
          <w:rtl/>
          <w:lang w:eastAsia="de-DE"/>
        </w:rPr>
        <w:t xml:space="preserve"> </w:t>
      </w:r>
      <w:r w:rsidRPr="00F75E3B">
        <w:rPr>
          <w:rFonts w:eastAsia="Times New Roman" w:cs="Times New Roman"/>
          <w:lang w:eastAsia="de-DE"/>
        </w:rPr>
        <w:t xml:space="preserve">(hüpfen/springen) im Piel-Infinitiv zeigt den Zweck der </w:t>
      </w:r>
      <w:r w:rsidRPr="00F75E3B">
        <w:rPr>
          <w:rFonts w:eastAsia="Times New Roman" w:cs="Times New Roman"/>
          <w:b/>
          <w:bCs/>
          <w:rtl/>
          <w:lang w:eastAsia="de-DE"/>
        </w:rPr>
        <w:t>כרעים</w:t>
      </w:r>
      <w:r w:rsidRPr="00F75E3B">
        <w:rPr>
          <w:rFonts w:eastAsia="Times New Roman" w:cs="Times New Roman"/>
          <w:lang w:eastAsia="de-DE"/>
        </w:rPr>
        <w:t>.</w:t>
      </w:r>
    </w:p>
    <w:p w14:paraId="7F872A6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כרעים ממעל לרגליו</w:t>
      </w:r>
      <w:r w:rsidRPr="00F75E3B">
        <w:rPr>
          <w:rFonts w:eastAsia="Times New Roman" w:cs="Times New Roman"/>
          <w:rtl/>
          <w:lang w:eastAsia="de-DE"/>
        </w:rPr>
        <w:t xml:space="preserve"> </w:t>
      </w:r>
      <w:r w:rsidRPr="00F75E3B">
        <w:rPr>
          <w:rFonts w:eastAsia="Times New Roman" w:cs="Times New Roman"/>
          <w:lang w:eastAsia="de-DE"/>
        </w:rPr>
        <w:t xml:space="preserve">beschreibt die verlängerten Hinterbeine der Heuschrecken. </w:t>
      </w:r>
      <w:r w:rsidRPr="00F75E3B">
        <w:rPr>
          <w:rFonts w:eastAsia="Times New Roman" w:cs="Times New Roman"/>
          <w:b/>
          <w:bCs/>
          <w:rtl/>
          <w:lang w:eastAsia="de-DE"/>
        </w:rPr>
        <w:t>לנתר</w:t>
      </w:r>
      <w:r w:rsidRPr="00F75E3B">
        <w:rPr>
          <w:rFonts w:eastAsia="Times New Roman" w:cs="Times New Roman"/>
          <w:rtl/>
          <w:lang w:eastAsia="de-DE"/>
        </w:rPr>
        <w:t xml:space="preserve"> </w:t>
      </w:r>
      <w:r w:rsidRPr="00F75E3B">
        <w:rPr>
          <w:rFonts w:eastAsia="Times New Roman" w:cs="Times New Roman"/>
          <w:lang w:eastAsia="de-DE"/>
        </w:rPr>
        <w:t xml:space="preserve">zeigt die charakteristische Sprungbewegung, die diese Insekten von anderen </w:t>
      </w:r>
      <w:r w:rsidRPr="00F75E3B">
        <w:rPr>
          <w:rFonts w:eastAsia="Times New Roman" w:cs="Times New Roman"/>
          <w:b/>
          <w:bCs/>
          <w:rtl/>
          <w:lang w:eastAsia="de-DE"/>
        </w:rPr>
        <w:t>שרץ העוף</w:t>
      </w:r>
      <w:r w:rsidRPr="00F75E3B">
        <w:rPr>
          <w:rFonts w:eastAsia="Times New Roman" w:cs="Times New Roman"/>
          <w:rtl/>
          <w:lang w:eastAsia="de-DE"/>
        </w:rPr>
        <w:t xml:space="preserve"> </w:t>
      </w:r>
      <w:r w:rsidRPr="00F75E3B">
        <w:rPr>
          <w:rFonts w:eastAsia="Times New Roman" w:cs="Times New Roman"/>
          <w:lang w:eastAsia="de-DE"/>
        </w:rPr>
        <w:t>unterscheidet.</w:t>
      </w:r>
    </w:p>
    <w:p w14:paraId="7F732F6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כרעים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σκέλη</w:t>
      </w:r>
      <w:proofErr w:type="spellEnd"/>
      <w:r w:rsidRPr="00F75E3B">
        <w:rPr>
          <w:rFonts w:eastAsia="Times New Roman" w:cs="Times New Roman"/>
          <w:lang w:eastAsia="de-DE"/>
        </w:rPr>
        <w:t xml:space="preserve"> (Beine), </w:t>
      </w:r>
      <w:r w:rsidRPr="00F75E3B">
        <w:rPr>
          <w:rFonts w:eastAsia="Times New Roman" w:cs="Times New Roman"/>
          <w:b/>
          <w:bCs/>
          <w:rtl/>
          <w:lang w:eastAsia="de-DE"/>
        </w:rPr>
        <w:t>ממעל לרגליו</w:t>
      </w:r>
      <w:r w:rsidRPr="00F75E3B">
        <w:rPr>
          <w:rFonts w:eastAsia="Times New Roman" w:cs="Times New Roman"/>
          <w:rtl/>
          <w:lang w:eastAsia="de-DE"/>
        </w:rPr>
        <w:t xml:space="preserve"> </w:t>
      </w:r>
      <w:r w:rsidRPr="00F75E3B">
        <w:rPr>
          <w:rFonts w:eastAsia="Times New Roman" w:cs="Times New Roman"/>
          <w:lang w:eastAsia="de-DE"/>
        </w:rPr>
        <w:t>mit ἐπ</w:t>
      </w:r>
      <w:proofErr w:type="spellStart"/>
      <w:r w:rsidRPr="00F75E3B">
        <w:rPr>
          <w:rFonts w:eastAsia="Times New Roman" w:cs="Times New Roman"/>
          <w:lang w:eastAsia="de-DE"/>
        </w:rPr>
        <w:t>άνω</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τῶν</w:t>
      </w:r>
      <w:proofErr w:type="spellEnd"/>
      <w:r w:rsidRPr="00F75E3B">
        <w:rPr>
          <w:rFonts w:eastAsia="Times New Roman" w:cs="Times New Roman"/>
          <w:lang w:eastAsia="de-DE"/>
        </w:rPr>
        <w:t xml:space="preserve"> π</w:t>
      </w:r>
      <w:proofErr w:type="spellStart"/>
      <w:r w:rsidRPr="00F75E3B">
        <w:rPr>
          <w:rFonts w:eastAsia="Times New Roman" w:cs="Times New Roman"/>
          <w:lang w:eastAsia="de-DE"/>
        </w:rPr>
        <w:t>οδῶν</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ὐτοῦ</w:t>
      </w:r>
      <w:proofErr w:type="spellEnd"/>
      <w:r w:rsidRPr="00F75E3B">
        <w:rPr>
          <w:rFonts w:eastAsia="Times New Roman" w:cs="Times New Roman"/>
          <w:lang w:eastAsia="de-DE"/>
        </w:rPr>
        <w:t xml:space="preserve"> (oberhalb seiner Füße) und </w:t>
      </w:r>
      <w:r w:rsidRPr="00F75E3B">
        <w:rPr>
          <w:rFonts w:eastAsia="Times New Roman" w:cs="Times New Roman"/>
          <w:b/>
          <w:bCs/>
          <w:rtl/>
          <w:lang w:eastAsia="de-DE"/>
        </w:rPr>
        <w:t>לנתר</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ηδᾶν</w:t>
      </w:r>
      <w:proofErr w:type="spellEnd"/>
      <w:r w:rsidRPr="00F75E3B">
        <w:rPr>
          <w:rFonts w:eastAsia="Times New Roman" w:cs="Times New Roman"/>
          <w:lang w:eastAsia="de-DE"/>
        </w:rPr>
        <w:t xml:space="preserve"> (zu springen).</w:t>
      </w:r>
    </w:p>
    <w:p w14:paraId="00EF397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Ausnahmeregel mit anatomischem Kriterium: Ausnahepartikel + Erlaubnis + Kategorie + Relativsatz mit anatomischer Spezifikation + Zweckangabe. Die Struktur macht eine präzise Ausnahme vom allgemeinen Verbot.</w:t>
      </w:r>
    </w:p>
    <w:p w14:paraId="747BA3F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macht eine Ausnahme vom Fluginsektenverbot für Heuschreckenarten mit Sprungbeinen.</w:t>
      </w:r>
    </w:p>
    <w:p w14:paraId="464DA3CE"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11,22</w:t>
      </w:r>
    </w:p>
    <w:p w14:paraId="2B91E4E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אֶת־אֵ֤לֶּה מֵהֶם֙ תֹּאכֵ֔לוּ אֶת־הָֽאַרְבֶּ֣ה לְמִינֹ֔ו וְאֶת־הַסָּלְעָ֖ם לְמִינֵ֑הוּ וְאֶת־הַחַרְגֹּ֣ל לְמִינֵ֔הוּ וְאֶת־הֶחָגָ֖ב לְמִינֵֽהוּ׃</w:t>
      </w:r>
    </w:p>
    <w:p w14:paraId="1706A42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Diese dürft ihr von ihnen essen: die Wanderheuschrecke nach ihrer Art und die Solam-Heuschrecke nach ihrer Art und die Chargol-Heuschrecke nach ihrer Art und die Chagav-Heuschrecke nach ihrer Art.</w:t>
      </w:r>
    </w:p>
    <w:p w14:paraId="74D3E473"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843FAD1">
          <v:rect id="_x0000_i1298" style="width:0;height:1.5pt" o:hralign="center" o:hrstd="t" o:hr="t" fillcolor="#a0a0a0" stroked="f"/>
        </w:pict>
      </w:r>
    </w:p>
    <w:p w14:paraId="7FEFF4C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את־אלה מהם תאכלו</w:t>
      </w:r>
      <w:r w:rsidRPr="00F75E3B">
        <w:rPr>
          <w:rFonts w:eastAsia="Times New Roman" w:cs="Times New Roman"/>
          <w:rtl/>
          <w:lang w:eastAsia="de-DE"/>
        </w:rPr>
        <w:t xml:space="preserve"> </w:t>
      </w:r>
      <w:r w:rsidRPr="00F75E3B">
        <w:rPr>
          <w:rFonts w:eastAsia="Times New Roman" w:cs="Times New Roman"/>
          <w:lang w:eastAsia="de-DE"/>
        </w:rPr>
        <w:t xml:space="preserve">(diese dürft ihr von ihnen essen) spezifiziert die erlaubten Heuschreckenarten. </w:t>
      </w:r>
      <w:r w:rsidRPr="00F75E3B">
        <w:rPr>
          <w:rFonts w:eastAsia="Times New Roman" w:cs="Times New Roman"/>
          <w:b/>
          <w:bCs/>
          <w:rtl/>
          <w:lang w:eastAsia="de-DE"/>
        </w:rPr>
        <w:t>מהם</w:t>
      </w:r>
      <w:r w:rsidRPr="00F75E3B">
        <w:rPr>
          <w:rFonts w:eastAsia="Times New Roman" w:cs="Times New Roman"/>
          <w:rtl/>
          <w:lang w:eastAsia="de-DE"/>
        </w:rPr>
        <w:t xml:space="preserve"> </w:t>
      </w:r>
      <w:r w:rsidRPr="00F75E3B">
        <w:rPr>
          <w:rFonts w:eastAsia="Times New Roman" w:cs="Times New Roman"/>
          <w:lang w:eastAsia="de-DE"/>
        </w:rPr>
        <w:t xml:space="preserve">(von ihnen) 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referenziert die </w:t>
      </w:r>
      <w:r w:rsidRPr="00F75E3B">
        <w:rPr>
          <w:rFonts w:eastAsia="Times New Roman" w:cs="Times New Roman"/>
          <w:b/>
          <w:bCs/>
          <w:rtl/>
          <w:lang w:eastAsia="de-DE"/>
        </w:rPr>
        <w:t>שרץ העוף</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כרעים</w:t>
      </w:r>
      <w:r w:rsidRPr="00F75E3B">
        <w:rPr>
          <w:rFonts w:eastAsia="Times New Roman" w:cs="Times New Roman"/>
          <w:rtl/>
          <w:lang w:eastAsia="de-DE"/>
        </w:rPr>
        <w:t xml:space="preserve"> </w:t>
      </w:r>
      <w:r w:rsidRPr="00F75E3B">
        <w:rPr>
          <w:rFonts w:eastAsia="Times New Roman" w:cs="Times New Roman"/>
          <w:lang w:eastAsia="de-DE"/>
        </w:rPr>
        <w:t>aus V. 21.</w:t>
      </w:r>
    </w:p>
    <w:p w14:paraId="338E70C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את־הארבה למינו ואת־הסלעם למינהו ואת־החרגל למינהו ואת־החגב למינהו</w:t>
      </w:r>
      <w:r w:rsidRPr="00F75E3B">
        <w:rPr>
          <w:rFonts w:eastAsia="Times New Roman" w:cs="Times New Roman"/>
          <w:rtl/>
          <w:lang w:eastAsia="de-DE"/>
        </w:rPr>
        <w:t xml:space="preserve"> </w:t>
      </w:r>
      <w:r w:rsidRPr="00F75E3B">
        <w:rPr>
          <w:rFonts w:eastAsia="Times New Roman" w:cs="Times New Roman"/>
          <w:lang w:eastAsia="de-DE"/>
        </w:rPr>
        <w:t xml:space="preserve">listet vier Heuschreckenarten auf. </w:t>
      </w:r>
      <w:r w:rsidRPr="00F75E3B">
        <w:rPr>
          <w:rFonts w:eastAsia="Times New Roman" w:cs="Times New Roman"/>
          <w:b/>
          <w:bCs/>
          <w:rtl/>
          <w:lang w:eastAsia="de-DE"/>
        </w:rPr>
        <w:t>ארבה</w:t>
      </w:r>
      <w:r w:rsidRPr="00F75E3B">
        <w:rPr>
          <w:rFonts w:eastAsia="Times New Roman" w:cs="Times New Roman"/>
          <w:rtl/>
          <w:lang w:eastAsia="de-DE"/>
        </w:rPr>
        <w:t xml:space="preserve"> </w:t>
      </w:r>
      <w:r w:rsidRPr="00F75E3B">
        <w:rPr>
          <w:rFonts w:eastAsia="Times New Roman" w:cs="Times New Roman"/>
          <w:lang w:eastAsia="de-DE"/>
        </w:rPr>
        <w:t xml:space="preserve">(Wanderheuschrecke), </w:t>
      </w:r>
      <w:r w:rsidRPr="00F75E3B">
        <w:rPr>
          <w:rFonts w:eastAsia="Times New Roman" w:cs="Times New Roman"/>
          <w:b/>
          <w:bCs/>
          <w:rtl/>
          <w:lang w:eastAsia="de-DE"/>
        </w:rPr>
        <w:t>סלעם</w:t>
      </w:r>
      <w:r w:rsidRPr="00F75E3B">
        <w:rPr>
          <w:rFonts w:eastAsia="Times New Roman" w:cs="Times New Roman"/>
          <w:rtl/>
          <w:lang w:eastAsia="de-DE"/>
        </w:rPr>
        <w:t xml:space="preserve"> </w:t>
      </w:r>
      <w:r w:rsidRPr="00F75E3B">
        <w:rPr>
          <w:rFonts w:eastAsia="Times New Roman" w:cs="Times New Roman"/>
          <w:lang w:eastAsia="de-DE"/>
        </w:rPr>
        <w:t xml:space="preserve">(Solam-Heuschrecke), </w:t>
      </w:r>
      <w:r w:rsidRPr="00F75E3B">
        <w:rPr>
          <w:rFonts w:eastAsia="Times New Roman" w:cs="Times New Roman"/>
          <w:b/>
          <w:bCs/>
          <w:rtl/>
          <w:lang w:eastAsia="de-DE"/>
        </w:rPr>
        <w:t>חרגל</w:t>
      </w:r>
      <w:r w:rsidRPr="00F75E3B">
        <w:rPr>
          <w:rFonts w:eastAsia="Times New Roman" w:cs="Times New Roman"/>
          <w:rtl/>
          <w:lang w:eastAsia="de-DE"/>
        </w:rPr>
        <w:t xml:space="preserve"> </w:t>
      </w:r>
      <w:r w:rsidRPr="00F75E3B">
        <w:rPr>
          <w:rFonts w:eastAsia="Times New Roman" w:cs="Times New Roman"/>
          <w:lang w:eastAsia="de-DE"/>
        </w:rPr>
        <w:t xml:space="preserve">(Chargol-Heuschrecke), </w:t>
      </w:r>
      <w:r w:rsidRPr="00F75E3B">
        <w:rPr>
          <w:rFonts w:eastAsia="Times New Roman" w:cs="Times New Roman"/>
          <w:b/>
          <w:bCs/>
          <w:rtl/>
          <w:lang w:eastAsia="de-DE"/>
        </w:rPr>
        <w:t>חגב</w:t>
      </w:r>
      <w:r w:rsidRPr="00F75E3B">
        <w:rPr>
          <w:rFonts w:eastAsia="Times New Roman" w:cs="Times New Roman"/>
          <w:rtl/>
          <w:lang w:eastAsia="de-DE"/>
        </w:rPr>
        <w:t xml:space="preserve"> </w:t>
      </w:r>
      <w:r w:rsidRPr="00F75E3B">
        <w:rPr>
          <w:rFonts w:eastAsia="Times New Roman" w:cs="Times New Roman"/>
          <w:lang w:eastAsia="de-DE"/>
        </w:rPr>
        <w:t xml:space="preserve">(Chagav-Heuschrecke). Jede Art mit </w:t>
      </w:r>
      <w:r w:rsidRPr="00F75E3B">
        <w:rPr>
          <w:rFonts w:eastAsia="Times New Roman" w:cs="Times New Roman"/>
          <w:b/>
          <w:bCs/>
          <w:rtl/>
          <w:lang w:eastAsia="de-DE"/>
        </w:rPr>
        <w:t>למינו/למינהו</w:t>
      </w:r>
      <w:r w:rsidRPr="00F75E3B">
        <w:rPr>
          <w:rFonts w:eastAsia="Times New Roman" w:cs="Times New Roman"/>
          <w:rtl/>
          <w:lang w:eastAsia="de-DE"/>
        </w:rPr>
        <w:t xml:space="preserve"> </w:t>
      </w:r>
      <w:r w:rsidRPr="00F75E3B">
        <w:rPr>
          <w:rFonts w:eastAsia="Times New Roman" w:cs="Times New Roman"/>
          <w:lang w:eastAsia="de-DE"/>
        </w:rPr>
        <w:t>(nach seiner/ihrer Art) zeigt, dass ganze Gattungen erlaubt sind.</w:t>
      </w:r>
    </w:p>
    <w:p w14:paraId="7A8A41B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vier </w:t>
      </w:r>
      <w:r w:rsidRPr="00F75E3B">
        <w:rPr>
          <w:rFonts w:eastAsia="Times New Roman" w:cs="Times New Roman"/>
          <w:b/>
          <w:bCs/>
          <w:rtl/>
          <w:lang w:eastAsia="de-DE"/>
        </w:rPr>
        <w:t>למינו</w:t>
      </w:r>
      <w:r w:rsidRPr="00F75E3B">
        <w:rPr>
          <w:rFonts w:eastAsia="Times New Roman" w:cs="Times New Roman"/>
          <w:lang w:eastAsia="de-DE"/>
        </w:rPr>
        <w:t xml:space="preserve">-Klauseln zeigen die Großzügigkeit der Heuschreckenerlaubnis im Kontrast zu den restriktiven Tiergesetzen. </w:t>
      </w:r>
      <w:r w:rsidRPr="00F75E3B">
        <w:rPr>
          <w:rFonts w:eastAsia="Times New Roman" w:cs="Times New Roman"/>
          <w:b/>
          <w:bCs/>
          <w:rtl/>
          <w:lang w:eastAsia="de-DE"/>
        </w:rPr>
        <w:t>ארבה</w:t>
      </w:r>
      <w:r w:rsidRPr="00F75E3B">
        <w:rPr>
          <w:rFonts w:eastAsia="Times New Roman" w:cs="Times New Roman"/>
          <w:rtl/>
          <w:lang w:eastAsia="de-DE"/>
        </w:rPr>
        <w:t xml:space="preserve"> </w:t>
      </w:r>
      <w:r w:rsidRPr="00F75E3B">
        <w:rPr>
          <w:rFonts w:eastAsia="Times New Roman" w:cs="Times New Roman"/>
          <w:lang w:eastAsia="de-DE"/>
        </w:rPr>
        <w:t>ist die bekannteste Heuschrecke, die anderen sind schwer zu identifizieren.</w:t>
      </w:r>
    </w:p>
    <w:p w14:paraId="2507C9C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LXX</w:t>
      </w:r>
      <w:r w:rsidRPr="00F75E3B">
        <w:rPr>
          <w:rFonts w:eastAsia="Times New Roman" w:cs="Times New Roman"/>
          <w:lang w:eastAsia="de-DE"/>
        </w:rPr>
        <w:t xml:space="preserve"> übersetzt </w:t>
      </w:r>
      <w:r w:rsidRPr="00F75E3B">
        <w:rPr>
          <w:rFonts w:eastAsia="Times New Roman" w:cs="Times New Roman"/>
          <w:b/>
          <w:bCs/>
          <w:rtl/>
          <w:lang w:eastAsia="de-DE"/>
        </w:rPr>
        <w:t>ארבה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ἀκρίδ</w:t>
      </w:r>
      <w:proofErr w:type="spellEnd"/>
      <w:r w:rsidRPr="00F75E3B">
        <w:rPr>
          <w:rFonts w:eastAsia="Times New Roman" w:cs="Times New Roman"/>
          <w:lang w:eastAsia="de-DE"/>
        </w:rPr>
        <w:t xml:space="preserve">α (Heuschrecke), </w:t>
      </w:r>
      <w:r w:rsidRPr="00F75E3B">
        <w:rPr>
          <w:rFonts w:eastAsia="Times New Roman" w:cs="Times New Roman"/>
          <w:b/>
          <w:bCs/>
          <w:rtl/>
          <w:lang w:eastAsia="de-DE"/>
        </w:rPr>
        <w:t>סלעם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ἀττάκην</w:t>
      </w:r>
      <w:proofErr w:type="spellEnd"/>
      <w:r w:rsidRPr="00F75E3B">
        <w:rPr>
          <w:rFonts w:eastAsia="Times New Roman" w:cs="Times New Roman"/>
          <w:lang w:eastAsia="de-DE"/>
        </w:rPr>
        <w:t xml:space="preserve"> (eine Heuschreckenart), </w:t>
      </w:r>
      <w:r w:rsidRPr="00F75E3B">
        <w:rPr>
          <w:rFonts w:eastAsia="Times New Roman" w:cs="Times New Roman"/>
          <w:b/>
          <w:bCs/>
          <w:rtl/>
          <w:lang w:eastAsia="de-DE"/>
        </w:rPr>
        <w:t>חרגל</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ὀφιομάχην</w:t>
      </w:r>
      <w:proofErr w:type="spellEnd"/>
      <w:r w:rsidRPr="00F75E3B">
        <w:rPr>
          <w:rFonts w:eastAsia="Times New Roman" w:cs="Times New Roman"/>
          <w:lang w:eastAsia="de-DE"/>
        </w:rPr>
        <w:t xml:space="preserve"> (Schlangenkämpfer) und </w:t>
      </w:r>
      <w:r w:rsidRPr="00F75E3B">
        <w:rPr>
          <w:rFonts w:eastAsia="Times New Roman" w:cs="Times New Roman"/>
          <w:b/>
          <w:bCs/>
          <w:rtl/>
          <w:lang w:eastAsia="de-DE"/>
        </w:rPr>
        <w:t>חגב</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ἀκρίδ</w:t>
      </w:r>
      <w:proofErr w:type="spellEnd"/>
      <w:r w:rsidRPr="00F75E3B">
        <w:rPr>
          <w:rFonts w:eastAsia="Times New Roman" w:cs="Times New Roman"/>
          <w:lang w:eastAsia="de-DE"/>
        </w:rPr>
        <w:t>α (Heuschrecke).</w:t>
      </w:r>
    </w:p>
    <w:p w14:paraId="36D45EB6" w14:textId="44A3CD8E" w:rsid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spezifische Erlaubnisliste: demonstrative Einleitung + vier koordinierte Heuschreckenarten mit jeweiliger Gattungsklausel. Die Struktur zeigt großzügige Ausnahme vom Insektenverbot.</w:t>
      </w:r>
    </w:p>
    <w:p w14:paraId="5B119361" w14:textId="5CC7FC93" w:rsidR="00571E11" w:rsidRPr="00F75E3B" w:rsidRDefault="00571E11" w:rsidP="00F75E3B">
      <w:pPr>
        <w:spacing w:before="100" w:beforeAutospacing="1" w:after="100" w:afterAutospacing="1" w:line="240" w:lineRule="auto"/>
        <w:rPr>
          <w:rFonts w:eastAsia="Times New Roman" w:cs="Times New Roman"/>
          <w:lang w:eastAsia="de-DE"/>
        </w:rPr>
      </w:pPr>
      <w:r>
        <w:rPr>
          <w:rStyle w:val="Fett"/>
        </w:rPr>
        <w:t>Die LXX</w:t>
      </w:r>
      <w:r>
        <w:t xml:space="preserve"> übersetzt die hebräischen Heuschreckennamen: </w:t>
      </w:r>
      <w:r>
        <w:rPr>
          <w:rtl/>
        </w:rPr>
        <w:t>ארבה</w:t>
      </w:r>
      <w:r>
        <w:t xml:space="preserve"> als β</w:t>
      </w:r>
      <w:proofErr w:type="spellStart"/>
      <w:r>
        <w:t>ροῦχον</w:t>
      </w:r>
      <w:proofErr w:type="spellEnd"/>
      <w:r>
        <w:t xml:space="preserve">, </w:t>
      </w:r>
      <w:r>
        <w:rPr>
          <w:rtl/>
        </w:rPr>
        <w:t>סלעם</w:t>
      </w:r>
      <w:r>
        <w:t xml:space="preserve"> als </w:t>
      </w:r>
      <w:proofErr w:type="spellStart"/>
      <w:r>
        <w:t>ἀττάκην</w:t>
      </w:r>
      <w:proofErr w:type="spellEnd"/>
      <w:r>
        <w:t xml:space="preserve">, </w:t>
      </w:r>
      <w:r>
        <w:rPr>
          <w:rtl/>
        </w:rPr>
        <w:t>חרגל</w:t>
      </w:r>
      <w:r>
        <w:t xml:space="preserve"> als </w:t>
      </w:r>
      <w:proofErr w:type="spellStart"/>
      <w:r>
        <w:t>ἀκρίδ</w:t>
      </w:r>
      <w:proofErr w:type="spellEnd"/>
      <w:r>
        <w:t xml:space="preserve">α, und </w:t>
      </w:r>
      <w:r>
        <w:rPr>
          <w:rtl/>
        </w:rPr>
        <w:t>חגב</w:t>
      </w:r>
      <w:r>
        <w:t xml:space="preserve"> als </w:t>
      </w:r>
      <w:proofErr w:type="spellStart"/>
      <w:r>
        <w:t>ὀφιομάχην</w:t>
      </w:r>
      <w:proofErr w:type="spellEnd"/>
      <w:r>
        <w:t>, was spezifische griechische entomologische Terminologie verwendet.</w:t>
      </w:r>
    </w:p>
    <w:p w14:paraId="0C42454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spezifiziert vier erlaubte Heuschreckenarten als Ausnahme vom allgemeinen Fluginsektenverbot.</w:t>
      </w:r>
    </w:p>
    <w:p w14:paraId="6568BAD6"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11,23</w:t>
      </w:r>
    </w:p>
    <w:p w14:paraId="7DD4A23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 שֶׁ֣רֶץ הָע֔וֹף אֲשֶׁר־לוֹ֖ אַרְבַּ֣ע רַגְלָ֑יִם שֶׁ֥קֶץ ה֖וּא לָכֶֽם׃</w:t>
      </w:r>
    </w:p>
    <w:p w14:paraId="61602F8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Aber alles geflügelte Kleingetier, das vier Füße hat, ist ein Gräuel für euch.</w:t>
      </w:r>
    </w:p>
    <w:p w14:paraId="420D6C79"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2F9ECAE">
          <v:rect id="_x0000_i1299" style="width:0;height:1.5pt" o:hralign="center" o:hrstd="t" o:hr="t" fillcolor="#a0a0a0" stroked="f"/>
        </w:pict>
      </w:r>
    </w:p>
    <w:p w14:paraId="18072A8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 שרץ העוף אשר־לו ארבע רגלים שקץ הוא לכם</w:t>
      </w:r>
      <w:r w:rsidRPr="00F75E3B">
        <w:rPr>
          <w:rFonts w:eastAsia="Times New Roman" w:cs="Times New Roman"/>
          <w:rtl/>
          <w:lang w:eastAsia="de-DE"/>
        </w:rPr>
        <w:t xml:space="preserve"> </w:t>
      </w:r>
      <w:r w:rsidRPr="00F75E3B">
        <w:rPr>
          <w:rFonts w:eastAsia="Times New Roman" w:cs="Times New Roman"/>
          <w:lang w:eastAsia="de-DE"/>
        </w:rPr>
        <w:t xml:space="preserve">bekräftigt das allgemeine Verbot aus V. 20. </w:t>
      </w:r>
      <w:r w:rsidRPr="00F75E3B">
        <w:rPr>
          <w:rFonts w:eastAsia="Times New Roman" w:cs="Times New Roman"/>
          <w:b/>
          <w:bCs/>
          <w:rtl/>
          <w:lang w:eastAsia="de-DE"/>
        </w:rPr>
        <w:t>וכל שרץ העוף</w:t>
      </w:r>
      <w:r w:rsidRPr="00F75E3B">
        <w:rPr>
          <w:rFonts w:eastAsia="Times New Roman" w:cs="Times New Roman"/>
          <w:rtl/>
          <w:lang w:eastAsia="de-DE"/>
        </w:rPr>
        <w:t xml:space="preserve"> </w:t>
      </w:r>
      <w:r w:rsidRPr="00F75E3B">
        <w:rPr>
          <w:rFonts w:eastAsia="Times New Roman" w:cs="Times New Roman"/>
          <w:lang w:eastAsia="de-DE"/>
        </w:rPr>
        <w:t xml:space="preserve">(und alles geflügelte Kleingetier) entspricht V. 20. </w:t>
      </w:r>
      <w:r w:rsidRPr="00F75E3B">
        <w:rPr>
          <w:rFonts w:eastAsia="Times New Roman" w:cs="Times New Roman"/>
          <w:b/>
          <w:bCs/>
          <w:rtl/>
          <w:lang w:eastAsia="de-DE"/>
        </w:rPr>
        <w:t>אשר־לו ארבע רגלים</w:t>
      </w:r>
      <w:r w:rsidRPr="00F75E3B">
        <w:rPr>
          <w:rFonts w:eastAsia="Times New Roman" w:cs="Times New Roman"/>
          <w:rtl/>
          <w:lang w:eastAsia="de-DE"/>
        </w:rPr>
        <w:t xml:space="preserve"> </w:t>
      </w:r>
      <w:r w:rsidRPr="00F75E3B">
        <w:rPr>
          <w:rFonts w:eastAsia="Times New Roman" w:cs="Times New Roman"/>
          <w:lang w:eastAsia="de-DE"/>
        </w:rPr>
        <w:t xml:space="preserve">(das vier Füße hat) im Unterschied zu den </w:t>
      </w:r>
      <w:r w:rsidRPr="00F75E3B">
        <w:rPr>
          <w:rFonts w:eastAsia="Times New Roman" w:cs="Times New Roman"/>
          <w:b/>
          <w:bCs/>
          <w:rtl/>
          <w:lang w:eastAsia="de-DE"/>
        </w:rPr>
        <w:t>כרעים</w:t>
      </w:r>
      <w:r w:rsidRPr="00F75E3B">
        <w:rPr>
          <w:rFonts w:eastAsia="Times New Roman" w:cs="Times New Roman"/>
          <w:rtl/>
          <w:lang w:eastAsia="de-DE"/>
        </w:rPr>
        <w:t xml:space="preserve"> </w:t>
      </w:r>
      <w:r w:rsidRPr="00F75E3B">
        <w:rPr>
          <w:rFonts w:eastAsia="Times New Roman" w:cs="Times New Roman"/>
          <w:lang w:eastAsia="de-DE"/>
        </w:rPr>
        <w:t xml:space="preserve">der Heuschrecken. </w:t>
      </w:r>
      <w:r w:rsidRPr="00F75E3B">
        <w:rPr>
          <w:rFonts w:eastAsia="Times New Roman" w:cs="Times New Roman"/>
          <w:b/>
          <w:bCs/>
          <w:rtl/>
          <w:lang w:eastAsia="de-DE"/>
        </w:rPr>
        <w:t>שקץ הוא לכם</w:t>
      </w:r>
      <w:r w:rsidRPr="00F75E3B">
        <w:rPr>
          <w:rFonts w:eastAsia="Times New Roman" w:cs="Times New Roman"/>
          <w:rtl/>
          <w:lang w:eastAsia="de-DE"/>
        </w:rPr>
        <w:t xml:space="preserve"> </w:t>
      </w:r>
      <w:r w:rsidRPr="00F75E3B">
        <w:rPr>
          <w:rFonts w:eastAsia="Times New Roman" w:cs="Times New Roman"/>
          <w:lang w:eastAsia="de-DE"/>
        </w:rPr>
        <w:t>(ein Gräuel ist es für euch) wiederholt die Klassifikation.</w:t>
      </w:r>
    </w:p>
    <w:p w14:paraId="65F795A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ארבע רגלים</w:t>
      </w:r>
      <w:r w:rsidRPr="00F75E3B">
        <w:rPr>
          <w:rFonts w:eastAsia="Times New Roman" w:cs="Times New Roman"/>
          <w:rtl/>
          <w:lang w:eastAsia="de-DE"/>
        </w:rPr>
        <w:t xml:space="preserve"> </w:t>
      </w:r>
      <w:r w:rsidRPr="00F75E3B">
        <w:rPr>
          <w:rFonts w:eastAsia="Times New Roman" w:cs="Times New Roman"/>
          <w:lang w:eastAsia="de-DE"/>
        </w:rPr>
        <w:t xml:space="preserve">(vier Füße) im Unterschied zu </w:t>
      </w:r>
      <w:r w:rsidRPr="00F75E3B">
        <w:rPr>
          <w:rFonts w:eastAsia="Times New Roman" w:cs="Times New Roman"/>
          <w:b/>
          <w:bCs/>
          <w:rtl/>
          <w:lang w:eastAsia="de-DE"/>
        </w:rPr>
        <w:t>כרעים ממעל לרגליו</w:t>
      </w:r>
      <w:r w:rsidRPr="00F75E3B">
        <w:rPr>
          <w:rFonts w:eastAsia="Times New Roman" w:cs="Times New Roman"/>
          <w:rtl/>
          <w:lang w:eastAsia="de-DE"/>
        </w:rPr>
        <w:t xml:space="preserve"> </w:t>
      </w:r>
      <w:r w:rsidRPr="00F75E3B">
        <w:rPr>
          <w:rFonts w:eastAsia="Times New Roman" w:cs="Times New Roman"/>
          <w:lang w:eastAsia="de-DE"/>
        </w:rPr>
        <w:t xml:space="preserve">zeigt, dass nur normale Vierbeinigkeit ohne Sprungbeine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macht. Die Wiederholung nach der Heuschreckenausnahme betont die Begrenztheit der Erlaubnis.</w:t>
      </w:r>
    </w:p>
    <w:p w14:paraId="6635C16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ארבע רגלים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τέσσ</w:t>
      </w:r>
      <w:proofErr w:type="spellEnd"/>
      <w:r w:rsidRPr="00F75E3B">
        <w:rPr>
          <w:rFonts w:eastAsia="Times New Roman" w:cs="Times New Roman"/>
          <w:lang w:eastAsia="de-DE"/>
        </w:rPr>
        <w:t>αρας π</w:t>
      </w:r>
      <w:proofErr w:type="spellStart"/>
      <w:r w:rsidRPr="00F75E3B">
        <w:rPr>
          <w:rFonts w:eastAsia="Times New Roman" w:cs="Times New Roman"/>
          <w:lang w:eastAsia="de-DE"/>
        </w:rPr>
        <w:t>όδ</w:t>
      </w:r>
      <w:proofErr w:type="spellEnd"/>
      <w:r w:rsidRPr="00F75E3B">
        <w:rPr>
          <w:rFonts w:eastAsia="Times New Roman" w:cs="Times New Roman"/>
          <w:lang w:eastAsia="de-DE"/>
        </w:rPr>
        <w:t xml:space="preserve">ας (vier Füße) und behält die </w:t>
      </w:r>
      <w:r w:rsidRPr="00F75E3B">
        <w:rPr>
          <w:rFonts w:eastAsia="Times New Roman" w:cs="Times New Roman"/>
          <w:b/>
          <w:bCs/>
          <w:rtl/>
          <w:lang w:eastAsia="de-DE"/>
        </w:rPr>
        <w:t>שקץ</w:t>
      </w:r>
      <w:r w:rsidRPr="00F75E3B">
        <w:rPr>
          <w:rFonts w:eastAsia="Times New Roman" w:cs="Times New Roman"/>
          <w:lang w:eastAsia="de-DE"/>
        </w:rPr>
        <w:t>-Klassifikation bei.</w:t>
      </w:r>
    </w:p>
    <w:p w14:paraId="37493EB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bekräftigende Wiederholung: universelles Subjekt + anatomische Spezifikation + Gräuelklassifikation. Die Struktur betont die Begrenztheit der Heuschreckenausnahme.</w:t>
      </w:r>
    </w:p>
    <w:p w14:paraId="0FF707F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bekräftigt das allgemeine Verbot für alle anderen geflügelten Vierbeiner außer den spezifizierten Heuschrecken.</w:t>
      </w:r>
    </w:p>
    <w:p w14:paraId="7AB1CD22"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11,24</w:t>
      </w:r>
    </w:p>
    <w:p w14:paraId="1217856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וּלְאֵ֖לֶּה תִּטַּמָּ֑אוּ כָּל־הַנֹּגֵ֥עַ בְּנִבְלָתָ֖ם יִטְמָ֥א עַד־הָעָֽרֶב׃</w:t>
      </w:r>
    </w:p>
    <w:p w14:paraId="2B661B4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durch diese werdet ihr euch verunreinigen; jeder, der ihr Aas berührt, wird unrein sein bis zum Abend;</w:t>
      </w:r>
    </w:p>
    <w:p w14:paraId="073188F4"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lastRenderedPageBreak/>
        <w:pict w14:anchorId="6B95D084">
          <v:rect id="_x0000_i1300" style="width:0;height:1.5pt" o:hralign="center" o:hrstd="t" o:hr="t" fillcolor="#a0a0a0" stroked="f"/>
        </w:pict>
      </w:r>
    </w:p>
    <w:p w14:paraId="125FAC6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ולאלה תטמאו כל־הנגע בנבלתם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leitet die Unreinheitsbestimmungen ein. </w:t>
      </w:r>
      <w:r w:rsidRPr="00F75E3B">
        <w:rPr>
          <w:rFonts w:eastAsia="Times New Roman" w:cs="Times New Roman"/>
          <w:b/>
          <w:bCs/>
          <w:rtl/>
          <w:lang w:eastAsia="de-DE"/>
        </w:rPr>
        <w:t>ולאלה תטמאו</w:t>
      </w:r>
      <w:r w:rsidRPr="00F75E3B">
        <w:rPr>
          <w:rFonts w:eastAsia="Times New Roman" w:cs="Times New Roman"/>
          <w:rtl/>
          <w:lang w:eastAsia="de-DE"/>
        </w:rPr>
        <w:t xml:space="preserve"> </w:t>
      </w:r>
      <w:r w:rsidRPr="00F75E3B">
        <w:rPr>
          <w:rFonts w:eastAsia="Times New Roman" w:cs="Times New Roman"/>
          <w:lang w:eastAsia="de-DE"/>
        </w:rPr>
        <w:t xml:space="preserve">(und durch diese werdet ihr euch verunreinigen) -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 xml:space="preserve">im Nifal-Imperfekt 2. Person maskulin Plural zeigt, dass Unreinheit durch Kontakt entsteht. </w:t>
      </w:r>
      <w:r w:rsidRPr="00F75E3B">
        <w:rPr>
          <w:rFonts w:eastAsia="Times New Roman" w:cs="Times New Roman"/>
          <w:b/>
          <w:bCs/>
          <w:rtl/>
          <w:lang w:eastAsia="de-DE"/>
        </w:rPr>
        <w:t>אלה</w:t>
      </w:r>
      <w:r w:rsidRPr="00F75E3B">
        <w:rPr>
          <w:rFonts w:eastAsia="Times New Roman" w:cs="Times New Roman"/>
          <w:rtl/>
          <w:lang w:eastAsia="de-DE"/>
        </w:rPr>
        <w:t xml:space="preserve"> </w:t>
      </w:r>
      <w:r w:rsidRPr="00F75E3B">
        <w:rPr>
          <w:rFonts w:eastAsia="Times New Roman" w:cs="Times New Roman"/>
          <w:lang w:eastAsia="de-DE"/>
        </w:rPr>
        <w:t>(diese) referenziert die zuvor genannten verbotenen Tiere.</w:t>
      </w:r>
    </w:p>
    <w:p w14:paraId="7B664C0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כל־הנגע בנבלתם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spezifiziert die Unreinheitsübertragung. </w:t>
      </w:r>
      <w:r w:rsidRPr="00F75E3B">
        <w:rPr>
          <w:rFonts w:eastAsia="Times New Roman" w:cs="Times New Roman"/>
          <w:b/>
          <w:bCs/>
          <w:rtl/>
          <w:lang w:eastAsia="de-DE"/>
        </w:rPr>
        <w:t>כל־הנגע</w:t>
      </w:r>
      <w:r w:rsidRPr="00F75E3B">
        <w:rPr>
          <w:rFonts w:eastAsia="Times New Roman" w:cs="Times New Roman"/>
          <w:rtl/>
          <w:lang w:eastAsia="de-DE"/>
        </w:rPr>
        <w:t xml:space="preserve"> </w:t>
      </w:r>
      <w:r w:rsidRPr="00F75E3B">
        <w:rPr>
          <w:rFonts w:eastAsia="Times New Roman" w:cs="Times New Roman"/>
          <w:lang w:eastAsia="de-DE"/>
        </w:rPr>
        <w:t xml:space="preserve">(jeder, der berührt) - </w:t>
      </w:r>
      <w:r w:rsidRPr="00F75E3B">
        <w:rPr>
          <w:rFonts w:eastAsia="Times New Roman" w:cs="Times New Roman"/>
          <w:b/>
          <w:bCs/>
          <w:rtl/>
          <w:lang w:eastAsia="de-DE"/>
        </w:rPr>
        <w:t>נגע</w:t>
      </w:r>
      <w:r w:rsidRPr="00F75E3B">
        <w:rPr>
          <w:rFonts w:eastAsia="Times New Roman" w:cs="Times New Roman"/>
          <w:rtl/>
          <w:lang w:eastAsia="de-DE"/>
        </w:rPr>
        <w:t xml:space="preserve"> </w:t>
      </w:r>
      <w:r w:rsidRPr="00F75E3B">
        <w:rPr>
          <w:rFonts w:eastAsia="Times New Roman" w:cs="Times New Roman"/>
          <w:lang w:eastAsia="de-DE"/>
        </w:rPr>
        <w:t xml:space="preserve">(berühren) im Qal-Partizip. </w:t>
      </w:r>
      <w:r w:rsidRPr="00F75E3B">
        <w:rPr>
          <w:rFonts w:eastAsia="Times New Roman" w:cs="Times New Roman"/>
          <w:b/>
          <w:bCs/>
          <w:rtl/>
          <w:lang w:eastAsia="de-DE"/>
        </w:rPr>
        <w:t>בנבלתם</w:t>
      </w:r>
      <w:r w:rsidRPr="00F75E3B">
        <w:rPr>
          <w:rFonts w:eastAsia="Times New Roman" w:cs="Times New Roman"/>
          <w:rtl/>
          <w:lang w:eastAsia="de-DE"/>
        </w:rPr>
        <w:t xml:space="preserve"> </w:t>
      </w:r>
      <w:r w:rsidRPr="00F75E3B">
        <w:rPr>
          <w:rFonts w:eastAsia="Times New Roman" w:cs="Times New Roman"/>
          <w:lang w:eastAsia="de-DE"/>
        </w:rPr>
        <w:t xml:space="preserve">(ihr Aas) mit Possessivsuffix 3. Person maskulin Plural. </w:t>
      </w:r>
      <w:r w:rsidRPr="00F75E3B">
        <w:rPr>
          <w:rFonts w:eastAsia="Times New Roman" w:cs="Times New Roman"/>
          <w:b/>
          <w:bCs/>
          <w:rtl/>
          <w:lang w:eastAsia="de-DE"/>
        </w:rPr>
        <w:t>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(wird unrein bis zum Abend) -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 xml:space="preserve">im Qal-Imperfekt,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(bis zum Abend) zeigt temporäre Unreinheit.</w:t>
      </w:r>
    </w:p>
    <w:p w14:paraId="1E807DF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תטמאו</w:t>
      </w:r>
      <w:r w:rsidRPr="00F75E3B">
        <w:rPr>
          <w:rFonts w:eastAsia="Times New Roman" w:cs="Times New Roman"/>
          <w:rtl/>
          <w:lang w:eastAsia="de-DE"/>
        </w:rPr>
        <w:t xml:space="preserve"> </w:t>
      </w:r>
      <w:r w:rsidRPr="00F75E3B">
        <w:rPr>
          <w:rFonts w:eastAsia="Times New Roman" w:cs="Times New Roman"/>
          <w:lang w:eastAsia="de-DE"/>
        </w:rPr>
        <w:t xml:space="preserve">im Nifal zeigt, dass Unreinheit durch äußeren Kontakt entsteht, nicht durch innere Entscheidung.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etabliert ein Zeitlimit für die Unreinheit - sie endet automatisch bei Sonnenuntergang.</w:t>
      </w:r>
    </w:p>
    <w:p w14:paraId="426E491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תטמאו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μι</w:t>
      </w:r>
      <w:proofErr w:type="spellEnd"/>
      <w:r w:rsidRPr="00F75E3B">
        <w:rPr>
          <w:rFonts w:eastAsia="Times New Roman" w:cs="Times New Roman"/>
          <w:lang w:eastAsia="de-DE"/>
        </w:rPr>
        <w:t xml:space="preserve">ανθήσεσθε (ihr werdet verunreinigt werden), </w:t>
      </w:r>
      <w:r w:rsidRPr="00F75E3B">
        <w:rPr>
          <w:rFonts w:eastAsia="Times New Roman" w:cs="Times New Roman"/>
          <w:b/>
          <w:bCs/>
          <w:rtl/>
          <w:lang w:eastAsia="de-DE"/>
        </w:rPr>
        <w:t>הנגע</w:t>
      </w:r>
      <w:r w:rsidRPr="00F75E3B">
        <w:rPr>
          <w:rFonts w:eastAsia="Times New Roman" w:cs="Times New Roman"/>
          <w:rtl/>
          <w:lang w:eastAsia="de-DE"/>
        </w:rPr>
        <w:t xml:space="preserve"> </w:t>
      </w:r>
      <w:r w:rsidRPr="00F75E3B">
        <w:rPr>
          <w:rFonts w:eastAsia="Times New Roman" w:cs="Times New Roman"/>
          <w:lang w:eastAsia="de-DE"/>
        </w:rPr>
        <w:t>mit ἁπ</w:t>
      </w:r>
      <w:proofErr w:type="spellStart"/>
      <w:r w:rsidRPr="00F75E3B">
        <w:rPr>
          <w:rFonts w:eastAsia="Times New Roman" w:cs="Times New Roman"/>
          <w:lang w:eastAsia="de-DE"/>
        </w:rPr>
        <w:t>τόμενος</w:t>
      </w:r>
      <w:proofErr w:type="spellEnd"/>
      <w:r w:rsidRPr="00F75E3B">
        <w:rPr>
          <w:rFonts w:eastAsia="Times New Roman" w:cs="Times New Roman"/>
          <w:lang w:eastAsia="de-DE"/>
        </w:rPr>
        <w:t xml:space="preserve"> (der berührende) und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ἕως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ἑσ</w:t>
      </w:r>
      <w:proofErr w:type="spellEnd"/>
      <w:r w:rsidRPr="00F75E3B">
        <w:rPr>
          <w:rFonts w:eastAsia="Times New Roman" w:cs="Times New Roman"/>
          <w:lang w:eastAsia="de-DE"/>
        </w:rPr>
        <w:t>πέρας (bis zum Abend).</w:t>
      </w:r>
    </w:p>
    <w:p w14:paraId="1BF6228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Unreinheitsregel: Einleitung + universelle Regel mit Partizip + temporäre Begrenzung. Die Struktur etabliert das System ritueller Unreinheit.</w:t>
      </w:r>
    </w:p>
    <w:p w14:paraId="4C97CA4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leitet die Unreinheitsbestimmungen für Kontakt mit toten verbotenen Tieren ein und etabliert temporäre Unreinheit bis zum Abend.</w:t>
      </w:r>
    </w:p>
    <w:p w14:paraId="763887FE"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11,25</w:t>
      </w:r>
    </w:p>
    <w:p w14:paraId="71C618E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וְכָל־הַנֹּשֵׂ֖א מִנִּבְלָתָ֑ם יְכַבֵּ֥ס בְּגָדָ֖יו וְטָמֵ֥א עַד־הָעָֽרֶב׃</w:t>
      </w:r>
    </w:p>
    <w:p w14:paraId="57B72D7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jeder, der von ihrem Aas aufhebt, soll seine Kleider waschen und wird unrein sein bis zum Abend.</w:t>
      </w:r>
    </w:p>
    <w:p w14:paraId="29580154"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D6D4D23">
          <v:rect id="_x0000_i1301" style="width:0;height:1.5pt" o:hralign="center" o:hrstd="t" o:hr="t" fillcolor="#a0a0a0" stroked="f"/>
        </w:pict>
      </w:r>
    </w:p>
    <w:p w14:paraId="3037B7D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וכל־הנשא מנבלתם 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 xml:space="preserve">zeigt intensiveren Kontakt als bloße Berührung. </w:t>
      </w:r>
      <w:r w:rsidRPr="00F75E3B">
        <w:rPr>
          <w:rFonts w:eastAsia="Times New Roman" w:cs="Times New Roman"/>
          <w:b/>
          <w:bCs/>
          <w:rtl/>
          <w:lang w:eastAsia="de-DE"/>
        </w:rPr>
        <w:t>וכל־הנשא</w:t>
      </w:r>
      <w:r w:rsidRPr="00F75E3B">
        <w:rPr>
          <w:rFonts w:eastAsia="Times New Roman" w:cs="Times New Roman"/>
          <w:rtl/>
          <w:lang w:eastAsia="de-DE"/>
        </w:rPr>
        <w:t xml:space="preserve"> </w:t>
      </w:r>
      <w:r w:rsidRPr="00F75E3B">
        <w:rPr>
          <w:rFonts w:eastAsia="Times New Roman" w:cs="Times New Roman"/>
          <w:lang w:eastAsia="de-DE"/>
        </w:rPr>
        <w:t xml:space="preserve">(und jeder, der aufhebt/trägt) - </w:t>
      </w:r>
      <w:r w:rsidRPr="00F75E3B">
        <w:rPr>
          <w:rFonts w:eastAsia="Times New Roman" w:cs="Times New Roman"/>
          <w:b/>
          <w:bCs/>
          <w:rtl/>
          <w:lang w:eastAsia="de-DE"/>
        </w:rPr>
        <w:t>נשא</w:t>
      </w:r>
      <w:r w:rsidRPr="00F75E3B">
        <w:rPr>
          <w:rFonts w:eastAsia="Times New Roman" w:cs="Times New Roman"/>
          <w:rtl/>
          <w:lang w:eastAsia="de-DE"/>
        </w:rPr>
        <w:t xml:space="preserve"> </w:t>
      </w:r>
      <w:r w:rsidRPr="00F75E3B">
        <w:rPr>
          <w:rFonts w:eastAsia="Times New Roman" w:cs="Times New Roman"/>
          <w:lang w:eastAsia="de-DE"/>
        </w:rPr>
        <w:t xml:space="preserve">(tragen/aufheben) im Qal-Partizip zeigt aktivere Handlung als </w:t>
      </w:r>
      <w:r w:rsidRPr="00F75E3B">
        <w:rPr>
          <w:rFonts w:eastAsia="Times New Roman" w:cs="Times New Roman"/>
          <w:b/>
          <w:bCs/>
          <w:rtl/>
          <w:lang w:eastAsia="de-DE"/>
        </w:rPr>
        <w:t>נגע</w:t>
      </w:r>
      <w:r w:rsidRPr="00F75E3B">
        <w:rPr>
          <w:rFonts w:eastAsia="Times New Roman" w:cs="Times New Roman"/>
          <w:rtl/>
          <w:lang w:eastAsia="de-DE"/>
        </w:rPr>
        <w:t xml:space="preserve"> </w:t>
      </w:r>
      <w:r w:rsidRPr="00F75E3B">
        <w:rPr>
          <w:rFonts w:eastAsia="Times New Roman" w:cs="Times New Roman"/>
          <w:lang w:eastAsia="de-DE"/>
        </w:rPr>
        <w:t xml:space="preserve">aus V. 24. </w:t>
      </w:r>
      <w:r w:rsidRPr="00F75E3B">
        <w:rPr>
          <w:rFonts w:eastAsia="Times New Roman" w:cs="Times New Roman"/>
          <w:b/>
          <w:bCs/>
          <w:rtl/>
          <w:lang w:eastAsia="de-DE"/>
        </w:rPr>
        <w:t>מנבלתם</w:t>
      </w:r>
      <w:r w:rsidRPr="00F75E3B">
        <w:rPr>
          <w:rFonts w:eastAsia="Times New Roman" w:cs="Times New Roman"/>
          <w:rtl/>
          <w:lang w:eastAsia="de-DE"/>
        </w:rPr>
        <w:t xml:space="preserve"> </w:t>
      </w:r>
      <w:r w:rsidRPr="00F75E3B">
        <w:rPr>
          <w:rFonts w:eastAsia="Times New Roman" w:cs="Times New Roman"/>
          <w:lang w:eastAsia="de-DE"/>
        </w:rPr>
        <w:t xml:space="preserve">(von ihrem Aas) mit partitivem </w:t>
      </w:r>
      <w:r w:rsidRPr="00F75E3B">
        <w:rPr>
          <w:rFonts w:eastAsia="Times New Roman" w:cs="Times New Roman"/>
          <w:b/>
          <w:bCs/>
          <w:rtl/>
          <w:lang w:eastAsia="de-DE"/>
        </w:rPr>
        <w:t>מן</w:t>
      </w:r>
      <w:r w:rsidRPr="00F75E3B">
        <w:rPr>
          <w:rFonts w:eastAsia="Times New Roman" w:cs="Times New Roman"/>
          <w:lang w:eastAsia="de-DE"/>
        </w:rPr>
        <w:t>.</w:t>
      </w:r>
    </w:p>
    <w:p w14:paraId="6494F2D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 xml:space="preserve">zeigt die Konsequenzen. </w:t>
      </w:r>
      <w:r w:rsidRPr="00F75E3B">
        <w:rPr>
          <w:rFonts w:eastAsia="Times New Roman" w:cs="Times New Roman"/>
          <w:b/>
          <w:bCs/>
          <w:rtl/>
          <w:lang w:eastAsia="de-DE"/>
        </w:rPr>
        <w:t>יכבס בגדיו</w:t>
      </w:r>
      <w:r w:rsidRPr="00F75E3B">
        <w:rPr>
          <w:rFonts w:eastAsia="Times New Roman" w:cs="Times New Roman"/>
          <w:rtl/>
          <w:lang w:eastAsia="de-DE"/>
        </w:rPr>
        <w:t xml:space="preserve"> </w:t>
      </w:r>
      <w:r w:rsidRPr="00F75E3B">
        <w:rPr>
          <w:rFonts w:eastAsia="Times New Roman" w:cs="Times New Roman"/>
          <w:lang w:eastAsia="de-DE"/>
        </w:rPr>
        <w:t xml:space="preserve">(er soll seine Kleider waschen) - </w:t>
      </w:r>
      <w:r w:rsidRPr="00F75E3B">
        <w:rPr>
          <w:rFonts w:eastAsia="Times New Roman" w:cs="Times New Roman"/>
          <w:b/>
          <w:bCs/>
          <w:rtl/>
          <w:lang w:eastAsia="de-DE"/>
        </w:rPr>
        <w:t>כבס</w:t>
      </w:r>
      <w:r w:rsidRPr="00F75E3B">
        <w:rPr>
          <w:rFonts w:eastAsia="Times New Roman" w:cs="Times New Roman"/>
          <w:rtl/>
          <w:lang w:eastAsia="de-DE"/>
        </w:rPr>
        <w:t xml:space="preserve"> </w:t>
      </w:r>
      <w:r w:rsidRPr="00F75E3B">
        <w:rPr>
          <w:rFonts w:eastAsia="Times New Roman" w:cs="Times New Roman"/>
          <w:lang w:eastAsia="de-DE"/>
        </w:rPr>
        <w:t xml:space="preserve">(waschen) im Piel-Imperfekt, </w:t>
      </w:r>
      <w:r w:rsidRPr="00F75E3B">
        <w:rPr>
          <w:rFonts w:eastAsia="Times New Roman" w:cs="Times New Roman"/>
          <w:b/>
          <w:bCs/>
          <w:rtl/>
          <w:lang w:eastAsia="de-DE"/>
        </w:rPr>
        <w:t>בגדיו</w:t>
      </w:r>
      <w:r w:rsidRPr="00F75E3B">
        <w:rPr>
          <w:rFonts w:eastAsia="Times New Roman" w:cs="Times New Roman"/>
          <w:rtl/>
          <w:lang w:eastAsia="de-DE"/>
        </w:rPr>
        <w:t xml:space="preserve"> </w:t>
      </w:r>
      <w:r w:rsidRPr="00F75E3B">
        <w:rPr>
          <w:rFonts w:eastAsia="Times New Roman" w:cs="Times New Roman"/>
          <w:lang w:eastAsia="de-DE"/>
        </w:rPr>
        <w:t xml:space="preserve">(seine Kleider) mit Possessivsuffix. </w:t>
      </w:r>
      <w:r w:rsidRPr="00F75E3B">
        <w:rPr>
          <w:rFonts w:eastAsia="Times New Roman" w:cs="Times New Roman"/>
          <w:b/>
          <w:bCs/>
          <w:rtl/>
          <w:lang w:eastAsia="de-DE"/>
        </w:rPr>
        <w:t>וטמא עד־הערב</w:t>
      </w:r>
      <w:r w:rsidRPr="00F75E3B">
        <w:rPr>
          <w:rFonts w:eastAsia="Times New Roman" w:cs="Times New Roman"/>
          <w:rtl/>
          <w:lang w:eastAsia="de-DE"/>
        </w:rPr>
        <w:t xml:space="preserve"> </w:t>
      </w:r>
      <w:r w:rsidRPr="00F75E3B">
        <w:rPr>
          <w:rFonts w:eastAsia="Times New Roman" w:cs="Times New Roman"/>
          <w:lang w:eastAsia="de-DE"/>
        </w:rPr>
        <w:t>(und wird unrein bis zum Abend) entspricht V. 24.</w:t>
      </w:r>
    </w:p>
    <w:p w14:paraId="413541B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נשא</w:t>
      </w:r>
      <w:r w:rsidRPr="00F75E3B">
        <w:rPr>
          <w:rFonts w:eastAsia="Times New Roman" w:cs="Times New Roman"/>
          <w:rtl/>
          <w:lang w:eastAsia="de-DE"/>
        </w:rPr>
        <w:t xml:space="preserve"> </w:t>
      </w:r>
      <w:r w:rsidRPr="00F75E3B">
        <w:rPr>
          <w:rFonts w:eastAsia="Times New Roman" w:cs="Times New Roman"/>
          <w:lang w:eastAsia="de-DE"/>
        </w:rPr>
        <w:t xml:space="preserve">als intensiverer Kontakt erfordert zusätzlich Kleiderwaschen. </w:t>
      </w:r>
      <w:r w:rsidRPr="00F75E3B">
        <w:rPr>
          <w:rFonts w:eastAsia="Times New Roman" w:cs="Times New Roman"/>
          <w:b/>
          <w:bCs/>
          <w:rtl/>
          <w:lang w:eastAsia="de-DE"/>
        </w:rPr>
        <w:t>יכבס בגדיו</w:t>
      </w:r>
      <w:r w:rsidRPr="00F75E3B">
        <w:rPr>
          <w:rFonts w:eastAsia="Times New Roman" w:cs="Times New Roman"/>
          <w:rtl/>
          <w:lang w:eastAsia="de-DE"/>
        </w:rPr>
        <w:t xml:space="preserve"> </w:t>
      </w:r>
      <w:r w:rsidRPr="00F75E3B">
        <w:rPr>
          <w:rFonts w:eastAsia="Times New Roman" w:cs="Times New Roman"/>
          <w:lang w:eastAsia="de-DE"/>
        </w:rPr>
        <w:t>zeigt, dass die Kleider die Unreinheit aufgenommen haben und Reinigung brauchen.</w:t>
      </w:r>
    </w:p>
    <w:p w14:paraId="33266C2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הנשא</w:t>
      </w:r>
      <w:r w:rsidRPr="00F75E3B">
        <w:rPr>
          <w:rFonts w:eastAsia="Times New Roman" w:cs="Times New Roman"/>
          <w:rtl/>
          <w:lang w:eastAsia="de-DE"/>
        </w:rPr>
        <w:t xml:space="preserve"> </w:t>
      </w:r>
      <w:r w:rsidRPr="00F75E3B">
        <w:rPr>
          <w:rFonts w:eastAsia="Times New Roman" w:cs="Times New Roman"/>
          <w:lang w:eastAsia="de-DE"/>
        </w:rPr>
        <w:t>mit α</w:t>
      </w:r>
      <w:proofErr w:type="spellStart"/>
      <w:r w:rsidRPr="00F75E3B">
        <w:rPr>
          <w:rFonts w:eastAsia="Times New Roman" w:cs="Times New Roman"/>
          <w:lang w:eastAsia="de-DE"/>
        </w:rPr>
        <w:t>ἴρων</w:t>
      </w:r>
      <w:proofErr w:type="spellEnd"/>
      <w:r w:rsidRPr="00F75E3B">
        <w:rPr>
          <w:rFonts w:eastAsia="Times New Roman" w:cs="Times New Roman"/>
          <w:lang w:eastAsia="de-DE"/>
        </w:rPr>
        <w:t xml:space="preserve"> (der aufhebende), </w:t>
      </w:r>
      <w:r w:rsidRPr="00F75E3B">
        <w:rPr>
          <w:rFonts w:eastAsia="Times New Roman" w:cs="Times New Roman"/>
          <w:b/>
          <w:bCs/>
          <w:rtl/>
          <w:lang w:eastAsia="de-DE"/>
        </w:rPr>
        <w:t>יכבס</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λυνεῖ</w:t>
      </w:r>
      <w:proofErr w:type="spellEnd"/>
      <w:r w:rsidRPr="00F75E3B">
        <w:rPr>
          <w:rFonts w:eastAsia="Times New Roman" w:cs="Times New Roman"/>
          <w:lang w:eastAsia="de-DE"/>
        </w:rPr>
        <w:t xml:space="preserve"> (er wird waschen) und </w:t>
      </w:r>
      <w:r w:rsidRPr="00F75E3B">
        <w:rPr>
          <w:rFonts w:eastAsia="Times New Roman" w:cs="Times New Roman"/>
          <w:b/>
          <w:bCs/>
          <w:rtl/>
          <w:lang w:eastAsia="de-DE"/>
        </w:rPr>
        <w:t>בגדיו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τὰ</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ἱμάτι</w:t>
      </w:r>
      <w:proofErr w:type="spellEnd"/>
      <w:r w:rsidRPr="00F75E3B">
        <w:rPr>
          <w:rFonts w:eastAsia="Times New Roman" w:cs="Times New Roman"/>
          <w:lang w:eastAsia="de-DE"/>
        </w:rPr>
        <w:t>α α</w:t>
      </w:r>
      <w:proofErr w:type="spellStart"/>
      <w:r w:rsidRPr="00F75E3B">
        <w:rPr>
          <w:rFonts w:eastAsia="Times New Roman" w:cs="Times New Roman"/>
          <w:lang w:eastAsia="de-DE"/>
        </w:rPr>
        <w:t>ὐτοῦ</w:t>
      </w:r>
      <w:proofErr w:type="spellEnd"/>
      <w:r w:rsidRPr="00F75E3B">
        <w:rPr>
          <w:rFonts w:eastAsia="Times New Roman" w:cs="Times New Roman"/>
          <w:lang w:eastAsia="de-DE"/>
        </w:rPr>
        <w:t xml:space="preserve"> (seine Kleider).</w:t>
      </w:r>
    </w:p>
    <w:p w14:paraId="6411201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gesteigerte Unreinheit: universelles Subjekt + intensivere Handlung + Reinigungsgebot + temporäre Unreinheit. Die Struktur zeigt abgestufte Konsequenzen.</w:t>
      </w:r>
    </w:p>
    <w:p w14:paraId="0008E41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zeigt, dass intensiverer Kontakt (Tragen/Aufheben) zusätzlich Kleiderwaschen erfordert neben der temporären Unreinheit.</w:t>
      </w:r>
    </w:p>
    <w:p w14:paraId="702399CD"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11,26</w:t>
      </w:r>
    </w:p>
    <w:p w14:paraId="20D03DF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לְֽכָל־הַבְּהֵמָ֡ה אֲשֶׁ֣ר הִוא֩ מַפְרֶ֨סֶת פַּרְסָ֜ה וְשֶׁ֣סַע׀ אֵינֶ֣נָּה שֹׁסַ֗עַת וְגֵרָה֙ אֵינֶ֣נָּה מַעֲלָ֔ה טְמֵאִ֥ים הֵ֖ם לָכֶ֑ם כָּל־הַנֹּגֵ֥עַ בָּהֶ֖ם יִטְמָֽא׃</w:t>
      </w:r>
    </w:p>
    <w:p w14:paraId="6FE5206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Jedes Tier, das gespaltenen Huf hat, aber den Huf nicht ganz durchgespalten hat und nicht wiederkäut: unrein sind sie für euch; jeder, der sie berührt, wird unrein sein.</w:t>
      </w:r>
    </w:p>
    <w:p w14:paraId="44186E00"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5353B38">
          <v:rect id="_x0000_i1302" style="width:0;height:1.5pt" o:hralign="center" o:hrstd="t" o:hr="t" fillcolor="#a0a0a0" stroked="f"/>
        </w:pict>
      </w:r>
    </w:p>
    <w:p w14:paraId="7840CF8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לכל־הבהמה אשר הוא מפרסת פרסה ושסע איננה שסעת וגרה איננה מעלה</w:t>
      </w:r>
      <w:r w:rsidRPr="00F75E3B">
        <w:rPr>
          <w:rFonts w:eastAsia="Times New Roman" w:cs="Times New Roman"/>
          <w:rtl/>
          <w:lang w:eastAsia="de-DE"/>
        </w:rPr>
        <w:t xml:space="preserve"> </w:t>
      </w:r>
      <w:r w:rsidRPr="00F75E3B">
        <w:rPr>
          <w:rFonts w:eastAsia="Times New Roman" w:cs="Times New Roman"/>
          <w:lang w:eastAsia="de-DE"/>
        </w:rPr>
        <w:t xml:space="preserve">definiert eine umfassende Kategorie unerlaubter Tiere. </w:t>
      </w:r>
      <w:r w:rsidRPr="00F75E3B">
        <w:rPr>
          <w:rFonts w:eastAsia="Times New Roman" w:cs="Times New Roman"/>
          <w:b/>
          <w:bCs/>
          <w:rtl/>
          <w:lang w:eastAsia="de-DE"/>
        </w:rPr>
        <w:t>לכל־הבהמה</w:t>
      </w:r>
      <w:r w:rsidRPr="00F75E3B">
        <w:rPr>
          <w:rFonts w:eastAsia="Times New Roman" w:cs="Times New Roman"/>
          <w:rtl/>
          <w:lang w:eastAsia="de-DE"/>
        </w:rPr>
        <w:t xml:space="preserve"> </w:t>
      </w:r>
      <w:r w:rsidRPr="00F75E3B">
        <w:rPr>
          <w:rFonts w:eastAsia="Times New Roman" w:cs="Times New Roman"/>
          <w:lang w:eastAsia="de-DE"/>
        </w:rPr>
        <w:t xml:space="preserve">(für jedes Tier) mit </w:t>
      </w:r>
      <w:r w:rsidRPr="00F75E3B">
        <w:rPr>
          <w:rFonts w:eastAsia="Times New Roman" w:cs="Times New Roman"/>
          <w:b/>
          <w:bCs/>
          <w:rtl/>
          <w:lang w:eastAsia="de-DE"/>
        </w:rPr>
        <w:t>ל</w:t>
      </w:r>
      <w:r w:rsidRPr="00F75E3B">
        <w:rPr>
          <w:rFonts w:eastAsia="Times New Roman" w:cs="Times New Roman"/>
          <w:rtl/>
          <w:lang w:eastAsia="de-DE"/>
        </w:rPr>
        <w:t xml:space="preserve"> </w:t>
      </w:r>
      <w:r w:rsidRPr="00F75E3B">
        <w:rPr>
          <w:rFonts w:eastAsia="Times New Roman" w:cs="Times New Roman"/>
          <w:lang w:eastAsia="de-DE"/>
        </w:rPr>
        <w:t xml:space="preserve">und Totalitätspartikel </w:t>
      </w:r>
      <w:r w:rsidRPr="00F75E3B">
        <w:rPr>
          <w:rFonts w:eastAsia="Times New Roman" w:cs="Times New Roman"/>
          <w:b/>
          <w:bCs/>
          <w:rtl/>
          <w:lang w:eastAsia="de-DE"/>
        </w:rPr>
        <w:t>כל</w:t>
      </w:r>
      <w:r w:rsidRPr="00F75E3B">
        <w:rPr>
          <w:rFonts w:eastAsia="Times New Roman" w:cs="Times New Roman"/>
          <w:lang w:eastAsia="de-DE"/>
        </w:rPr>
        <w:t xml:space="preserve">. </w:t>
      </w:r>
      <w:r w:rsidRPr="00F75E3B">
        <w:rPr>
          <w:rFonts w:eastAsia="Times New Roman" w:cs="Times New Roman"/>
          <w:b/>
          <w:bCs/>
          <w:rtl/>
          <w:lang w:eastAsia="de-DE"/>
        </w:rPr>
        <w:t>אשר הוא מפרסת פרסה</w:t>
      </w:r>
      <w:r w:rsidRPr="00F75E3B">
        <w:rPr>
          <w:rFonts w:eastAsia="Times New Roman" w:cs="Times New Roman"/>
          <w:rtl/>
          <w:lang w:eastAsia="de-DE"/>
        </w:rPr>
        <w:t xml:space="preserve"> </w:t>
      </w:r>
      <w:r w:rsidRPr="00F75E3B">
        <w:rPr>
          <w:rFonts w:eastAsia="Times New Roman" w:cs="Times New Roman"/>
          <w:lang w:eastAsia="de-DE"/>
        </w:rPr>
        <w:t xml:space="preserve">(das gespaltenen Huf hat) - </w:t>
      </w:r>
      <w:r w:rsidRPr="00F75E3B">
        <w:rPr>
          <w:rFonts w:eastAsia="Times New Roman" w:cs="Times New Roman"/>
          <w:b/>
          <w:bCs/>
          <w:rtl/>
          <w:lang w:eastAsia="de-DE"/>
        </w:rPr>
        <w:t>מפרסת</w:t>
      </w:r>
      <w:r w:rsidRPr="00F75E3B">
        <w:rPr>
          <w:rFonts w:eastAsia="Times New Roman" w:cs="Times New Roman"/>
          <w:rtl/>
          <w:lang w:eastAsia="de-DE"/>
        </w:rPr>
        <w:t xml:space="preserve"> </w:t>
      </w:r>
      <w:r w:rsidRPr="00F75E3B">
        <w:rPr>
          <w:rFonts w:eastAsia="Times New Roman" w:cs="Times New Roman"/>
          <w:lang w:eastAsia="de-DE"/>
        </w:rPr>
        <w:t xml:space="preserve">als feminin Partizip entsprechend </w:t>
      </w:r>
      <w:r w:rsidRPr="00F75E3B">
        <w:rPr>
          <w:rFonts w:eastAsia="Times New Roman" w:cs="Times New Roman"/>
          <w:b/>
          <w:bCs/>
          <w:rtl/>
          <w:lang w:eastAsia="de-DE"/>
        </w:rPr>
        <w:t>בהמה</w:t>
      </w:r>
      <w:r w:rsidRPr="00F75E3B">
        <w:rPr>
          <w:rFonts w:eastAsia="Times New Roman" w:cs="Times New Roman"/>
          <w:lang w:eastAsia="de-DE"/>
        </w:rPr>
        <w:t>.</w:t>
      </w:r>
    </w:p>
    <w:p w14:paraId="6966BD4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ושסע איננה שסעת וגרה איננה מעלה</w:t>
      </w:r>
      <w:r w:rsidRPr="00F75E3B">
        <w:rPr>
          <w:rFonts w:eastAsia="Times New Roman" w:cs="Times New Roman"/>
          <w:rtl/>
          <w:lang w:eastAsia="de-DE"/>
        </w:rPr>
        <w:t xml:space="preserve"> </w:t>
      </w:r>
      <w:r w:rsidRPr="00F75E3B">
        <w:rPr>
          <w:rFonts w:eastAsia="Times New Roman" w:cs="Times New Roman"/>
          <w:lang w:eastAsia="de-DE"/>
        </w:rPr>
        <w:t xml:space="preserve">zeigt die beiden unvollständigen Kriterien. </w:t>
      </w:r>
      <w:r w:rsidRPr="00F75E3B">
        <w:rPr>
          <w:rFonts w:eastAsia="Times New Roman" w:cs="Times New Roman"/>
          <w:b/>
          <w:bCs/>
          <w:rtl/>
          <w:lang w:eastAsia="de-DE"/>
        </w:rPr>
        <w:t>ושסע איננה שסעת</w:t>
      </w:r>
      <w:r w:rsidRPr="00F75E3B">
        <w:rPr>
          <w:rFonts w:eastAsia="Times New Roman" w:cs="Times New Roman"/>
          <w:rtl/>
          <w:lang w:eastAsia="de-DE"/>
        </w:rPr>
        <w:t xml:space="preserve"> </w:t>
      </w:r>
      <w:r w:rsidRPr="00F75E3B">
        <w:rPr>
          <w:rFonts w:eastAsia="Times New Roman" w:cs="Times New Roman"/>
          <w:lang w:eastAsia="de-DE"/>
        </w:rPr>
        <w:t xml:space="preserve">(aber den Huf nicht ganz durchspaltet) - </w:t>
      </w:r>
      <w:r w:rsidRPr="00F75E3B">
        <w:rPr>
          <w:rFonts w:eastAsia="Times New Roman" w:cs="Times New Roman"/>
          <w:b/>
          <w:bCs/>
          <w:rtl/>
          <w:lang w:eastAsia="de-DE"/>
        </w:rPr>
        <w:t>איננה שסעת</w:t>
      </w:r>
      <w:r w:rsidRPr="00F75E3B">
        <w:rPr>
          <w:rFonts w:eastAsia="Times New Roman" w:cs="Times New Roman"/>
          <w:rtl/>
          <w:lang w:eastAsia="de-DE"/>
        </w:rPr>
        <w:t xml:space="preserve"> </w:t>
      </w:r>
      <w:r w:rsidRPr="00F75E3B">
        <w:rPr>
          <w:rFonts w:eastAsia="Times New Roman" w:cs="Times New Roman"/>
          <w:lang w:eastAsia="de-DE"/>
        </w:rPr>
        <w:t xml:space="preserve">(sie spaltet nicht) mit femininer Negation entsprechend </w:t>
      </w:r>
      <w:r w:rsidRPr="00F75E3B">
        <w:rPr>
          <w:rFonts w:eastAsia="Times New Roman" w:cs="Times New Roman"/>
          <w:b/>
          <w:bCs/>
          <w:rtl/>
          <w:lang w:eastAsia="de-DE"/>
        </w:rPr>
        <w:t>בהמה</w:t>
      </w:r>
      <w:r w:rsidRPr="00F75E3B">
        <w:rPr>
          <w:rFonts w:eastAsia="Times New Roman" w:cs="Times New Roman"/>
          <w:lang w:eastAsia="de-DE"/>
        </w:rPr>
        <w:t xml:space="preserve">. </w:t>
      </w:r>
      <w:r w:rsidRPr="00F75E3B">
        <w:rPr>
          <w:rFonts w:eastAsia="Times New Roman" w:cs="Times New Roman"/>
          <w:b/>
          <w:bCs/>
          <w:rtl/>
          <w:lang w:eastAsia="de-DE"/>
        </w:rPr>
        <w:t>וגרה איננה מעלה</w:t>
      </w:r>
      <w:r w:rsidRPr="00F75E3B">
        <w:rPr>
          <w:rFonts w:eastAsia="Times New Roman" w:cs="Times New Roman"/>
          <w:rtl/>
          <w:lang w:eastAsia="de-DE"/>
        </w:rPr>
        <w:t xml:space="preserve"> </w:t>
      </w:r>
      <w:r w:rsidRPr="00F75E3B">
        <w:rPr>
          <w:rFonts w:eastAsia="Times New Roman" w:cs="Times New Roman"/>
          <w:lang w:eastAsia="de-DE"/>
        </w:rPr>
        <w:t xml:space="preserve">(und nicht wiederkäut) - </w:t>
      </w:r>
      <w:r w:rsidRPr="00F75E3B">
        <w:rPr>
          <w:rFonts w:eastAsia="Times New Roman" w:cs="Times New Roman"/>
          <w:b/>
          <w:bCs/>
          <w:rtl/>
          <w:lang w:eastAsia="de-DE"/>
        </w:rPr>
        <w:t>איננה מעלה</w:t>
      </w:r>
      <w:r w:rsidRPr="00F75E3B">
        <w:rPr>
          <w:rFonts w:eastAsia="Times New Roman" w:cs="Times New Roman"/>
          <w:rtl/>
          <w:lang w:eastAsia="de-DE"/>
        </w:rPr>
        <w:t xml:space="preserve"> </w:t>
      </w:r>
      <w:r w:rsidRPr="00F75E3B">
        <w:rPr>
          <w:rFonts w:eastAsia="Times New Roman" w:cs="Times New Roman"/>
          <w:lang w:eastAsia="de-DE"/>
        </w:rPr>
        <w:t>(sie bringt nicht hinauf) ebenfalls feminin.</w:t>
      </w:r>
    </w:p>
    <w:p w14:paraId="2578D04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טמאים הם לכם כל־הנגע בהם יטמא</w:t>
      </w:r>
      <w:r w:rsidRPr="00F75E3B">
        <w:rPr>
          <w:rFonts w:eastAsia="Times New Roman" w:cs="Times New Roman"/>
          <w:rtl/>
          <w:lang w:eastAsia="de-DE"/>
        </w:rPr>
        <w:t xml:space="preserve"> </w:t>
      </w:r>
      <w:r w:rsidRPr="00F75E3B">
        <w:rPr>
          <w:rFonts w:eastAsia="Times New Roman" w:cs="Times New Roman"/>
          <w:lang w:eastAsia="de-DE"/>
        </w:rPr>
        <w:t xml:space="preserve">klassifiziert und regelt Kontakt. </w:t>
      </w:r>
      <w:r w:rsidRPr="00F75E3B">
        <w:rPr>
          <w:rFonts w:eastAsia="Times New Roman" w:cs="Times New Roman"/>
          <w:b/>
          <w:bCs/>
          <w:rtl/>
          <w:lang w:eastAsia="de-DE"/>
        </w:rPr>
        <w:t>טמאים הם לכם</w:t>
      </w:r>
      <w:r w:rsidRPr="00F75E3B">
        <w:rPr>
          <w:rFonts w:eastAsia="Times New Roman" w:cs="Times New Roman"/>
          <w:rtl/>
          <w:lang w:eastAsia="de-DE"/>
        </w:rPr>
        <w:t xml:space="preserve"> </w:t>
      </w:r>
      <w:r w:rsidRPr="00F75E3B">
        <w:rPr>
          <w:rFonts w:eastAsia="Times New Roman" w:cs="Times New Roman"/>
          <w:lang w:eastAsia="de-DE"/>
        </w:rPr>
        <w:t xml:space="preserve">(unrein sind sie für euch) mit emphatischem </w:t>
      </w:r>
      <w:r w:rsidRPr="00F75E3B">
        <w:rPr>
          <w:rFonts w:eastAsia="Times New Roman" w:cs="Times New Roman"/>
          <w:b/>
          <w:bCs/>
          <w:rtl/>
          <w:lang w:eastAsia="de-DE"/>
        </w:rPr>
        <w:t>הם</w:t>
      </w:r>
      <w:r w:rsidRPr="00F75E3B">
        <w:rPr>
          <w:rFonts w:eastAsia="Times New Roman" w:cs="Times New Roman"/>
          <w:lang w:eastAsia="de-DE"/>
        </w:rPr>
        <w:t xml:space="preserve">. </w:t>
      </w:r>
      <w:r w:rsidRPr="00F75E3B">
        <w:rPr>
          <w:rFonts w:eastAsia="Times New Roman" w:cs="Times New Roman"/>
          <w:b/>
          <w:bCs/>
          <w:rtl/>
          <w:lang w:eastAsia="de-DE"/>
        </w:rPr>
        <w:t>כל־הנגע בהם יטמא</w:t>
      </w:r>
      <w:r w:rsidRPr="00F75E3B">
        <w:rPr>
          <w:rFonts w:eastAsia="Times New Roman" w:cs="Times New Roman"/>
          <w:rtl/>
          <w:lang w:eastAsia="de-DE"/>
        </w:rPr>
        <w:t xml:space="preserve"> </w:t>
      </w:r>
      <w:r w:rsidRPr="00F75E3B">
        <w:rPr>
          <w:rFonts w:eastAsia="Times New Roman" w:cs="Times New Roman"/>
          <w:lang w:eastAsia="de-DE"/>
        </w:rPr>
        <w:t>(jeder, der sie berührt, wird unrein) ohne Zeitbegrenzung, im Unterschied zu V. 24.</w:t>
      </w:r>
    </w:p>
    <w:p w14:paraId="26DAC1B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 Regel erfasst alle Tiere, die nur eines oder keines der beiden Kriterien aus V. 3 erfüllen. Die fehlende Zeitbegrenzung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könnte bedeuten, dass lebende unreine Tiere schwerere Unreinheit verursachen als tote.</w:t>
      </w:r>
    </w:p>
    <w:p w14:paraId="3146F48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מפרסת פרסה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διχηλοῦν</w:t>
      </w:r>
      <w:proofErr w:type="spellEnd"/>
      <w:r w:rsidRPr="00F75E3B">
        <w:rPr>
          <w:rFonts w:eastAsia="Times New Roman" w:cs="Times New Roman"/>
          <w:lang w:eastAsia="de-DE"/>
        </w:rPr>
        <w:t xml:space="preserve"> ὁπ</w:t>
      </w:r>
      <w:proofErr w:type="spellStart"/>
      <w:r w:rsidRPr="00F75E3B">
        <w:rPr>
          <w:rFonts w:eastAsia="Times New Roman" w:cs="Times New Roman"/>
          <w:lang w:eastAsia="de-DE"/>
        </w:rPr>
        <w:t>λήν</w:t>
      </w:r>
      <w:proofErr w:type="spellEnd"/>
      <w:r w:rsidRPr="00F75E3B">
        <w:rPr>
          <w:rFonts w:eastAsia="Times New Roman" w:cs="Times New Roman"/>
          <w:lang w:eastAsia="de-DE"/>
        </w:rPr>
        <w:t xml:space="preserve"> (gespaltenen Huf habend), </w:t>
      </w:r>
      <w:r w:rsidRPr="00F75E3B">
        <w:rPr>
          <w:rFonts w:eastAsia="Times New Roman" w:cs="Times New Roman"/>
          <w:b/>
          <w:bCs/>
          <w:rtl/>
          <w:lang w:eastAsia="de-DE"/>
        </w:rPr>
        <w:t>איננה שסעת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οὐχὶ</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διχηλεῖ</w:t>
      </w:r>
      <w:proofErr w:type="spellEnd"/>
      <w:r w:rsidRPr="00F75E3B">
        <w:rPr>
          <w:rFonts w:eastAsia="Times New Roman" w:cs="Times New Roman"/>
          <w:lang w:eastAsia="de-DE"/>
        </w:rPr>
        <w:t xml:space="preserve"> (spaltet nicht) und </w:t>
      </w:r>
      <w:r w:rsidRPr="00F75E3B">
        <w:rPr>
          <w:rFonts w:eastAsia="Times New Roman" w:cs="Times New Roman"/>
          <w:b/>
          <w:bCs/>
          <w:rtl/>
          <w:lang w:eastAsia="de-DE"/>
        </w:rPr>
        <w:t>טמאים</w:t>
      </w:r>
      <w:r w:rsidRPr="00F75E3B">
        <w:rPr>
          <w:rFonts w:eastAsia="Times New Roman" w:cs="Times New Roman"/>
          <w:rtl/>
          <w:lang w:eastAsia="de-DE"/>
        </w:rPr>
        <w:t xml:space="preserve"> </w:t>
      </w:r>
      <w:r w:rsidRPr="00F75E3B">
        <w:rPr>
          <w:rFonts w:eastAsia="Times New Roman" w:cs="Times New Roman"/>
          <w:lang w:eastAsia="de-DE"/>
        </w:rPr>
        <w:t>mit ἀκάθα</w:t>
      </w:r>
      <w:proofErr w:type="spellStart"/>
      <w:r w:rsidRPr="00F75E3B">
        <w:rPr>
          <w:rFonts w:eastAsia="Times New Roman" w:cs="Times New Roman"/>
          <w:lang w:eastAsia="de-DE"/>
        </w:rPr>
        <w:t>ρτ</w:t>
      </w:r>
      <w:proofErr w:type="spellEnd"/>
      <w:r w:rsidRPr="00F75E3B">
        <w:rPr>
          <w:rFonts w:eastAsia="Times New Roman" w:cs="Times New Roman"/>
          <w:lang w:eastAsia="de-DE"/>
        </w:rPr>
        <w:t>α (unrein).</w:t>
      </w:r>
    </w:p>
    <w:p w14:paraId="0A1FD7D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umfassende Regel: universelles Subjekt + unvollständige Kriterienerfüllung + Unreinheitsklassifikation + Kontaktverbot. Die Struktur verallgemeinert die Einzelverbote.</w:t>
      </w:r>
    </w:p>
    <w:p w14:paraId="02A7B25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verallgemeinert die Landtierverbote auf alle Tiere mit unvollständiger Kriterienerfüllung und regelt ihre Berührung.</w:t>
      </w:r>
    </w:p>
    <w:p w14:paraId="76726529"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11,27</w:t>
      </w:r>
    </w:p>
    <w:p w14:paraId="1D9FCBC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 הוֹלֵ֣ךְ עַל־כַּפָּ֗יו בְּכָל־הַֽחַיָּה֙ הַהֹלֶ֣כֶת עַל־אַרְבַּ֔ע טְמֵאִ֥ים הֵ֖ם לָכֶ֑ם כָּל־הַנֹּגֵ֥עַ בְּנִבְלָתָ֖ם יִטְמָ֥א עַד־הָעָֽרֶב׃</w:t>
      </w:r>
    </w:p>
    <w:p w14:paraId="1658B79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Deutsch:</w:t>
      </w:r>
      <w:r w:rsidRPr="00F75E3B">
        <w:rPr>
          <w:rFonts w:eastAsia="Times New Roman" w:cs="Times New Roman"/>
          <w:lang w:eastAsia="de-DE"/>
        </w:rPr>
        <w:t xml:space="preserve"> Und alles, was auf seinen Tatzen geht, unter allen Tieren, die auf Vieren gehen, sie sind unrein für euch; jeder, der ihr Aas berührt, wird bis zum Abend unrein sein.</w:t>
      </w:r>
    </w:p>
    <w:p w14:paraId="64887EE3"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62D7E6E">
          <v:rect id="_x0000_i1303" style="width:0;height:1.5pt" o:hralign="center" o:hrstd="t" o:hr="t" fillcolor="#a0a0a0" stroked="f"/>
        </w:pict>
      </w:r>
    </w:p>
    <w:p w14:paraId="6378B28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 הולך על־כפיו בכל־החיה ההלכת על־ארבע טמאים הם לכם</w:t>
      </w:r>
      <w:r w:rsidRPr="00F75E3B">
        <w:rPr>
          <w:rFonts w:eastAsia="Times New Roman" w:cs="Times New Roman"/>
          <w:rtl/>
          <w:lang w:eastAsia="de-DE"/>
        </w:rPr>
        <w:t xml:space="preserve"> </w:t>
      </w:r>
      <w:r w:rsidRPr="00F75E3B">
        <w:rPr>
          <w:rFonts w:eastAsia="Times New Roman" w:cs="Times New Roman"/>
          <w:lang w:eastAsia="de-DE"/>
        </w:rPr>
        <w:t xml:space="preserve">definiert eine weitere Kategorie unreiner Tiere. </w:t>
      </w:r>
      <w:r w:rsidRPr="00F75E3B">
        <w:rPr>
          <w:rFonts w:eastAsia="Times New Roman" w:cs="Times New Roman"/>
          <w:b/>
          <w:bCs/>
          <w:rtl/>
          <w:lang w:eastAsia="de-DE"/>
        </w:rPr>
        <w:t>וכל הולך על־כפיו</w:t>
      </w:r>
      <w:r w:rsidRPr="00F75E3B">
        <w:rPr>
          <w:rFonts w:eastAsia="Times New Roman" w:cs="Times New Roman"/>
          <w:rtl/>
          <w:lang w:eastAsia="de-DE"/>
        </w:rPr>
        <w:t xml:space="preserve"> </w:t>
      </w:r>
      <w:r w:rsidRPr="00F75E3B">
        <w:rPr>
          <w:rFonts w:eastAsia="Times New Roman" w:cs="Times New Roman"/>
          <w:lang w:eastAsia="de-DE"/>
        </w:rPr>
        <w:t xml:space="preserve">(und alles, was auf seinen Tatzen geht) - </w:t>
      </w:r>
      <w:r w:rsidRPr="00F75E3B">
        <w:rPr>
          <w:rFonts w:eastAsia="Times New Roman" w:cs="Times New Roman"/>
          <w:b/>
          <w:bCs/>
          <w:rtl/>
          <w:lang w:eastAsia="de-DE"/>
        </w:rPr>
        <w:t>הולך</w:t>
      </w:r>
      <w:r w:rsidRPr="00F75E3B">
        <w:rPr>
          <w:rFonts w:eastAsia="Times New Roman" w:cs="Times New Roman"/>
          <w:rtl/>
          <w:lang w:eastAsia="de-DE"/>
        </w:rPr>
        <w:t xml:space="preserve"> </w:t>
      </w:r>
      <w:r w:rsidRPr="00F75E3B">
        <w:rPr>
          <w:rFonts w:eastAsia="Times New Roman" w:cs="Times New Roman"/>
          <w:lang w:eastAsia="de-DE"/>
        </w:rPr>
        <w:t xml:space="preserve">(gehend) als Partizip, </w:t>
      </w:r>
      <w:r w:rsidRPr="00F75E3B">
        <w:rPr>
          <w:rFonts w:eastAsia="Times New Roman" w:cs="Times New Roman"/>
          <w:b/>
          <w:bCs/>
          <w:rtl/>
          <w:lang w:eastAsia="de-DE"/>
        </w:rPr>
        <w:t>על־כפיו</w:t>
      </w:r>
      <w:r w:rsidRPr="00F75E3B">
        <w:rPr>
          <w:rFonts w:eastAsia="Times New Roman" w:cs="Times New Roman"/>
          <w:rtl/>
          <w:lang w:eastAsia="de-DE"/>
        </w:rPr>
        <w:t xml:space="preserve"> </w:t>
      </w:r>
      <w:r w:rsidRPr="00F75E3B">
        <w:rPr>
          <w:rFonts w:eastAsia="Times New Roman" w:cs="Times New Roman"/>
          <w:lang w:eastAsia="de-DE"/>
        </w:rPr>
        <w:t xml:space="preserve">(auf seinen Tatzen) mit </w:t>
      </w:r>
      <w:r w:rsidRPr="00F75E3B">
        <w:rPr>
          <w:rFonts w:eastAsia="Times New Roman" w:cs="Times New Roman"/>
          <w:b/>
          <w:bCs/>
          <w:rtl/>
          <w:lang w:eastAsia="de-DE"/>
        </w:rPr>
        <w:t>כף</w:t>
      </w:r>
      <w:r w:rsidRPr="00F75E3B">
        <w:rPr>
          <w:rFonts w:eastAsia="Times New Roman" w:cs="Times New Roman"/>
          <w:rtl/>
          <w:lang w:eastAsia="de-DE"/>
        </w:rPr>
        <w:t xml:space="preserve"> </w:t>
      </w:r>
      <w:r w:rsidRPr="00F75E3B">
        <w:rPr>
          <w:rFonts w:eastAsia="Times New Roman" w:cs="Times New Roman"/>
          <w:lang w:eastAsia="de-DE"/>
        </w:rPr>
        <w:t xml:space="preserve">(Handfläche/Tatze) im Plural. </w:t>
      </w:r>
      <w:r w:rsidRPr="00F75E3B">
        <w:rPr>
          <w:rFonts w:eastAsia="Times New Roman" w:cs="Times New Roman"/>
          <w:b/>
          <w:bCs/>
          <w:rtl/>
          <w:lang w:eastAsia="de-DE"/>
        </w:rPr>
        <w:t>בכל־החיה ההלכת על־ארבע</w:t>
      </w:r>
      <w:r w:rsidRPr="00F75E3B">
        <w:rPr>
          <w:rFonts w:eastAsia="Times New Roman" w:cs="Times New Roman"/>
          <w:rtl/>
          <w:lang w:eastAsia="de-DE"/>
        </w:rPr>
        <w:t xml:space="preserve"> </w:t>
      </w:r>
      <w:r w:rsidRPr="00F75E3B">
        <w:rPr>
          <w:rFonts w:eastAsia="Times New Roman" w:cs="Times New Roman"/>
          <w:lang w:eastAsia="de-DE"/>
        </w:rPr>
        <w:t>(unter allen Tieren, die auf Vieren gehen) spezifiziert vierbeinige Tiere.</w:t>
      </w:r>
    </w:p>
    <w:p w14:paraId="28663D7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כל־הנגע בנבלתם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entspricht V. 24. </w:t>
      </w:r>
      <w:r w:rsidRPr="00F75E3B">
        <w:rPr>
          <w:rFonts w:eastAsia="Times New Roman" w:cs="Times New Roman"/>
          <w:b/>
          <w:bCs/>
          <w:rtl/>
          <w:lang w:eastAsia="de-DE"/>
        </w:rPr>
        <w:t>כל־הנגע בנבלתם</w:t>
      </w:r>
      <w:r w:rsidRPr="00F75E3B">
        <w:rPr>
          <w:rFonts w:eastAsia="Times New Roman" w:cs="Times New Roman"/>
          <w:rtl/>
          <w:lang w:eastAsia="de-DE"/>
        </w:rPr>
        <w:t xml:space="preserve"> </w:t>
      </w:r>
      <w:r w:rsidRPr="00F75E3B">
        <w:rPr>
          <w:rFonts w:eastAsia="Times New Roman" w:cs="Times New Roman"/>
          <w:lang w:eastAsia="de-DE"/>
        </w:rPr>
        <w:t xml:space="preserve">(jeder, der ihr Aas berührt) mit </w:t>
      </w:r>
      <w:r w:rsidRPr="00F75E3B">
        <w:rPr>
          <w:rFonts w:eastAsia="Times New Roman" w:cs="Times New Roman"/>
          <w:b/>
          <w:bCs/>
          <w:rtl/>
          <w:lang w:eastAsia="de-DE"/>
        </w:rPr>
        <w:t>נבלתם</w:t>
      </w:r>
      <w:r w:rsidRPr="00F75E3B">
        <w:rPr>
          <w:rFonts w:eastAsia="Times New Roman" w:cs="Times New Roman"/>
          <w:rtl/>
          <w:lang w:eastAsia="de-DE"/>
        </w:rPr>
        <w:t xml:space="preserve"> </w:t>
      </w:r>
      <w:r w:rsidRPr="00F75E3B">
        <w:rPr>
          <w:rFonts w:eastAsia="Times New Roman" w:cs="Times New Roman"/>
          <w:lang w:eastAsia="de-DE"/>
        </w:rPr>
        <w:t xml:space="preserve">(ihr Aas). </w:t>
      </w:r>
      <w:r w:rsidRPr="00F75E3B">
        <w:rPr>
          <w:rFonts w:eastAsia="Times New Roman" w:cs="Times New Roman"/>
          <w:b/>
          <w:bCs/>
          <w:rtl/>
          <w:lang w:eastAsia="de-DE"/>
        </w:rPr>
        <w:t>יטמא עד־הערב</w:t>
      </w:r>
      <w:r w:rsidRPr="00F75E3B">
        <w:rPr>
          <w:rFonts w:eastAsia="Times New Roman" w:cs="Times New Roman"/>
          <w:rtl/>
          <w:lang w:eastAsia="de-DE"/>
        </w:rPr>
        <w:t xml:space="preserve"> </w:t>
      </w:r>
      <w:r w:rsidRPr="00F75E3B">
        <w:rPr>
          <w:rFonts w:eastAsia="Times New Roman" w:cs="Times New Roman"/>
          <w:lang w:eastAsia="de-DE"/>
        </w:rPr>
        <w:t>(wird unrein bis zum Abend) restituiert die Zeitbegrenzung.</w:t>
      </w:r>
    </w:p>
    <w:p w14:paraId="754FBB5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הולך על־כפיו</w:t>
      </w:r>
      <w:r w:rsidRPr="00F75E3B">
        <w:rPr>
          <w:rFonts w:eastAsia="Times New Roman" w:cs="Times New Roman"/>
          <w:rtl/>
          <w:lang w:eastAsia="de-DE"/>
        </w:rPr>
        <w:t xml:space="preserve"> </w:t>
      </w:r>
      <w:r w:rsidRPr="00F75E3B">
        <w:rPr>
          <w:rFonts w:eastAsia="Times New Roman" w:cs="Times New Roman"/>
          <w:lang w:eastAsia="de-DE"/>
        </w:rPr>
        <w:t xml:space="preserve">bezeichnet Raubtiere mit Tatzen/Pfoten im Unterschied zu Huftieren. Diese anatomische Unterscheidung klassifiziert Fleischfresser als unrein.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kehrt zur temporären Unreinheit zurück.</w:t>
      </w:r>
    </w:p>
    <w:p w14:paraId="0ED2E7A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הולך על־כפיו</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ορευόμεν</w:t>
      </w:r>
      <w:proofErr w:type="spellEnd"/>
      <w:r w:rsidRPr="00F75E3B">
        <w:rPr>
          <w:rFonts w:eastAsia="Times New Roman" w:cs="Times New Roman"/>
          <w:lang w:eastAsia="de-DE"/>
        </w:rPr>
        <w:t xml:space="preserve">α ἐπὶ </w:t>
      </w:r>
      <w:proofErr w:type="spellStart"/>
      <w:r w:rsidRPr="00F75E3B">
        <w:rPr>
          <w:rFonts w:eastAsia="Times New Roman" w:cs="Times New Roman"/>
          <w:lang w:eastAsia="de-DE"/>
        </w:rPr>
        <w:t>χειρῶν</w:t>
      </w:r>
      <w:proofErr w:type="spellEnd"/>
      <w:r w:rsidRPr="00F75E3B">
        <w:rPr>
          <w:rFonts w:eastAsia="Times New Roman" w:cs="Times New Roman"/>
          <w:lang w:eastAsia="de-DE"/>
        </w:rPr>
        <w:t xml:space="preserve"> (gehend auf Händen), </w:t>
      </w:r>
      <w:r w:rsidRPr="00F75E3B">
        <w:rPr>
          <w:rFonts w:eastAsia="Times New Roman" w:cs="Times New Roman"/>
          <w:b/>
          <w:bCs/>
          <w:rtl/>
          <w:lang w:eastAsia="de-DE"/>
        </w:rPr>
        <w:t>החיה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θηρίων</w:t>
      </w:r>
      <w:proofErr w:type="spellEnd"/>
      <w:r w:rsidRPr="00F75E3B">
        <w:rPr>
          <w:rFonts w:eastAsia="Times New Roman" w:cs="Times New Roman"/>
          <w:lang w:eastAsia="de-DE"/>
        </w:rPr>
        <w:t xml:space="preserve"> (wilde Tiere) und </w:t>
      </w:r>
      <w:r w:rsidRPr="00F75E3B">
        <w:rPr>
          <w:rFonts w:eastAsia="Times New Roman" w:cs="Times New Roman"/>
          <w:b/>
          <w:bCs/>
          <w:rtl/>
          <w:lang w:eastAsia="de-DE"/>
        </w:rPr>
        <w:t>על־ארבע</w:t>
      </w:r>
      <w:r w:rsidRPr="00F75E3B">
        <w:rPr>
          <w:rFonts w:eastAsia="Times New Roman" w:cs="Times New Roman"/>
          <w:rtl/>
          <w:lang w:eastAsia="de-DE"/>
        </w:rPr>
        <w:t xml:space="preserve"> </w:t>
      </w:r>
      <w:r w:rsidRPr="00F75E3B">
        <w:rPr>
          <w:rFonts w:eastAsia="Times New Roman" w:cs="Times New Roman"/>
          <w:lang w:eastAsia="de-DE"/>
        </w:rPr>
        <w:t xml:space="preserve">mit ἐπὶ </w:t>
      </w:r>
      <w:proofErr w:type="spellStart"/>
      <w:r w:rsidRPr="00F75E3B">
        <w:rPr>
          <w:rFonts w:eastAsia="Times New Roman" w:cs="Times New Roman"/>
          <w:lang w:eastAsia="de-DE"/>
        </w:rPr>
        <w:t>τέσσ</w:t>
      </w:r>
      <w:proofErr w:type="spellEnd"/>
      <w:r w:rsidRPr="00F75E3B">
        <w:rPr>
          <w:rFonts w:eastAsia="Times New Roman" w:cs="Times New Roman"/>
          <w:lang w:eastAsia="de-DE"/>
        </w:rPr>
        <w:t>αρα (auf vier).</w:t>
      </w:r>
    </w:p>
    <w:p w14:paraId="4C0DACA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anatomische Klassifikation: universelles Subjekt + anatomisches Merkmal + übergeordnete Kategorie + Unreinheitsklassifikation + Kontaktregel. Die Struktur unterscheidet Tatzen- von Hufenträger.</w:t>
      </w:r>
    </w:p>
    <w:p w14:paraId="43A4C12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klassifiziert alle Tatzengänger (Raubtiere) als unrein und regelt Unreinheit durch Kontakt mit ihren Kadavern.</w:t>
      </w:r>
    </w:p>
    <w:p w14:paraId="2293E4FE"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11,28</w:t>
      </w:r>
    </w:p>
    <w:p w14:paraId="1EC4B19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וְהַנֹּשֵׂא֙ אֶת־נִבְלָתָ֔ם יְכַבֵּ֥ס בְּגָדָ֖יו וְטָמֵ֣א עַד־הָעָ֑רֶב טְמֵאִ֥ים הֵ֖מָּה לָכֶֽם׃</w:t>
      </w:r>
    </w:p>
    <w:p w14:paraId="7ADE25C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wer ihr Aas aufhebt, soll seine Kleider waschen und wird unrein sein bis zum Abend; unrein sind sie für euch.</w:t>
      </w:r>
    </w:p>
    <w:p w14:paraId="375D26E7"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A580673">
          <v:rect id="_x0000_i1304" style="width:0;height:1.5pt" o:hralign="center" o:hrstd="t" o:hr="t" fillcolor="#a0a0a0" stroked="f"/>
        </w:pict>
      </w:r>
    </w:p>
    <w:p w14:paraId="0BAA487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והנשא את־נבלתם יכבס בגדיו וטמא עד־הערב טמאים המה לכם</w:t>
      </w:r>
      <w:r w:rsidRPr="00F75E3B">
        <w:rPr>
          <w:rFonts w:eastAsia="Times New Roman" w:cs="Times New Roman"/>
          <w:rtl/>
          <w:lang w:eastAsia="de-DE"/>
        </w:rPr>
        <w:t xml:space="preserve"> </w:t>
      </w:r>
      <w:r w:rsidRPr="00F75E3B">
        <w:rPr>
          <w:rFonts w:eastAsia="Times New Roman" w:cs="Times New Roman"/>
          <w:lang w:eastAsia="de-DE"/>
        </w:rPr>
        <w:t xml:space="preserve">entspricht V. 25 für die Tatzengänger. </w:t>
      </w:r>
      <w:r w:rsidRPr="00F75E3B">
        <w:rPr>
          <w:rFonts w:eastAsia="Times New Roman" w:cs="Times New Roman"/>
          <w:b/>
          <w:bCs/>
          <w:rtl/>
          <w:lang w:eastAsia="de-DE"/>
        </w:rPr>
        <w:t>והנשא את־נבלתם</w:t>
      </w:r>
      <w:r w:rsidRPr="00F75E3B">
        <w:rPr>
          <w:rFonts w:eastAsia="Times New Roman" w:cs="Times New Roman"/>
          <w:rtl/>
          <w:lang w:eastAsia="de-DE"/>
        </w:rPr>
        <w:t xml:space="preserve"> </w:t>
      </w:r>
      <w:r w:rsidRPr="00F75E3B">
        <w:rPr>
          <w:rFonts w:eastAsia="Times New Roman" w:cs="Times New Roman"/>
          <w:lang w:eastAsia="de-DE"/>
        </w:rPr>
        <w:t xml:space="preserve">(und wer ihr Aas aufhebt) - </w:t>
      </w:r>
      <w:r w:rsidRPr="00F75E3B">
        <w:rPr>
          <w:rFonts w:eastAsia="Times New Roman" w:cs="Times New Roman"/>
          <w:b/>
          <w:bCs/>
          <w:rtl/>
          <w:lang w:eastAsia="de-DE"/>
        </w:rPr>
        <w:t>נשא</w:t>
      </w:r>
      <w:r w:rsidRPr="00F75E3B">
        <w:rPr>
          <w:rFonts w:eastAsia="Times New Roman" w:cs="Times New Roman"/>
          <w:rtl/>
          <w:lang w:eastAsia="de-DE"/>
        </w:rPr>
        <w:t xml:space="preserve"> </w:t>
      </w:r>
      <w:r w:rsidRPr="00F75E3B">
        <w:rPr>
          <w:rFonts w:eastAsia="Times New Roman" w:cs="Times New Roman"/>
          <w:lang w:eastAsia="de-DE"/>
        </w:rPr>
        <w:t xml:space="preserve">(tragen/aufheben) mit direktem Objekt </w:t>
      </w:r>
      <w:r w:rsidRPr="00F75E3B">
        <w:rPr>
          <w:rFonts w:eastAsia="Times New Roman" w:cs="Times New Roman"/>
          <w:b/>
          <w:bCs/>
          <w:rtl/>
          <w:lang w:eastAsia="de-DE"/>
        </w:rPr>
        <w:t>את־נבלתם</w:t>
      </w:r>
      <w:r w:rsidRPr="00F75E3B">
        <w:rPr>
          <w:rFonts w:eastAsia="Times New Roman" w:cs="Times New Roman"/>
          <w:lang w:eastAsia="de-DE"/>
        </w:rPr>
        <w:t xml:space="preserve">. </w:t>
      </w:r>
      <w:r w:rsidRPr="00F75E3B">
        <w:rPr>
          <w:rFonts w:eastAsia="Times New Roman" w:cs="Times New Roman"/>
          <w:b/>
          <w:bCs/>
          <w:rtl/>
          <w:lang w:eastAsia="de-DE"/>
        </w:rPr>
        <w:t>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(soll seine Kleider waschen und wird unrein bis zum Abend) entspricht exakt V. 25.</w:t>
      </w:r>
    </w:p>
    <w:p w14:paraId="1EAA707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טמאים המה לכם</w:t>
      </w:r>
      <w:r w:rsidRPr="00F75E3B">
        <w:rPr>
          <w:rFonts w:eastAsia="Times New Roman" w:cs="Times New Roman"/>
          <w:rtl/>
          <w:lang w:eastAsia="de-DE"/>
        </w:rPr>
        <w:t xml:space="preserve"> </w:t>
      </w:r>
      <w:r w:rsidRPr="00F75E3B">
        <w:rPr>
          <w:rFonts w:eastAsia="Times New Roman" w:cs="Times New Roman"/>
          <w:lang w:eastAsia="de-DE"/>
        </w:rPr>
        <w:t xml:space="preserve">(unrein sind sie für euch) bekräftigt die Klassifikation mit emphatischem </w:t>
      </w:r>
      <w:r w:rsidRPr="00F75E3B">
        <w:rPr>
          <w:rFonts w:eastAsia="Times New Roman" w:cs="Times New Roman"/>
          <w:b/>
          <w:bCs/>
          <w:rtl/>
          <w:lang w:eastAsia="de-DE"/>
        </w:rPr>
        <w:t>המה</w:t>
      </w:r>
      <w:r w:rsidRPr="00F75E3B">
        <w:rPr>
          <w:rFonts w:eastAsia="Times New Roman" w:cs="Times New Roman"/>
          <w:rtl/>
          <w:lang w:eastAsia="de-DE"/>
        </w:rPr>
        <w:t xml:space="preserve"> </w:t>
      </w:r>
      <w:r w:rsidRPr="00F75E3B">
        <w:rPr>
          <w:rFonts w:eastAsia="Times New Roman" w:cs="Times New Roman"/>
          <w:lang w:eastAsia="de-DE"/>
        </w:rPr>
        <w:t>(sie). Diese Wiederholung nach der Kontaktregel betont die grundsätzliche Unreinheit der Tatzengänger.</w:t>
      </w:r>
    </w:p>
    <w:p w14:paraId="0BAA704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identische Formulierung zu V. 25 zeigt, dass Tatzengänger dieselben Unreinheitsregeln haben wie andere verbotene Tiere. </w:t>
      </w:r>
      <w:r w:rsidRPr="00F75E3B">
        <w:rPr>
          <w:rFonts w:eastAsia="Times New Roman" w:cs="Times New Roman"/>
          <w:b/>
          <w:bCs/>
          <w:rtl/>
          <w:lang w:eastAsia="de-DE"/>
        </w:rPr>
        <w:t>המה</w:t>
      </w:r>
      <w:r w:rsidRPr="00F75E3B">
        <w:rPr>
          <w:rFonts w:eastAsia="Times New Roman" w:cs="Times New Roman"/>
          <w:rtl/>
          <w:lang w:eastAsia="de-DE"/>
        </w:rPr>
        <w:t xml:space="preserve"> </w:t>
      </w:r>
      <w:r w:rsidRPr="00F75E3B">
        <w:rPr>
          <w:rFonts w:eastAsia="Times New Roman" w:cs="Times New Roman"/>
          <w:lang w:eastAsia="de-DE"/>
        </w:rPr>
        <w:t xml:space="preserve">statt </w:t>
      </w:r>
      <w:r w:rsidRPr="00F75E3B">
        <w:rPr>
          <w:rFonts w:eastAsia="Times New Roman" w:cs="Times New Roman"/>
          <w:b/>
          <w:bCs/>
          <w:rtl/>
          <w:lang w:eastAsia="de-DE"/>
        </w:rPr>
        <w:t>הם</w:t>
      </w:r>
      <w:r w:rsidRPr="00F75E3B">
        <w:rPr>
          <w:rFonts w:eastAsia="Times New Roman" w:cs="Times New Roman"/>
          <w:rtl/>
          <w:lang w:eastAsia="de-DE"/>
        </w:rPr>
        <w:t xml:space="preserve"> </w:t>
      </w:r>
      <w:r w:rsidRPr="00F75E3B">
        <w:rPr>
          <w:rFonts w:eastAsia="Times New Roman" w:cs="Times New Roman"/>
          <w:lang w:eastAsia="de-DE"/>
        </w:rPr>
        <w:t>zeigt möglicherweise verstärkte Betonung.</w:t>
      </w:r>
    </w:p>
    <w:p w14:paraId="24A16FB1" w14:textId="4AA27471"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LXX</w:t>
      </w:r>
      <w:r w:rsidRPr="00F75E3B">
        <w:rPr>
          <w:rFonts w:eastAsia="Times New Roman" w:cs="Times New Roman"/>
          <w:lang w:eastAsia="de-DE"/>
        </w:rPr>
        <w:t xml:space="preserve"> übersetzt entsprechend V. 25 und fügt </w:t>
      </w:r>
      <w:r w:rsidRPr="00F75E3B">
        <w:rPr>
          <w:rFonts w:eastAsia="Times New Roman" w:cs="Times New Roman"/>
          <w:b/>
          <w:bCs/>
          <w:lang w:eastAsia="de-DE"/>
        </w:rPr>
        <w:t>ἀκάθα</w:t>
      </w:r>
      <w:proofErr w:type="spellStart"/>
      <w:r w:rsidRPr="00F75E3B">
        <w:rPr>
          <w:rFonts w:eastAsia="Times New Roman" w:cs="Times New Roman"/>
          <w:b/>
          <w:bCs/>
          <w:lang w:eastAsia="de-DE"/>
        </w:rPr>
        <w:t>ρτά</w:t>
      </w:r>
      <w:proofErr w:type="spellEnd"/>
      <w:r w:rsidRPr="00F75E3B">
        <w:rPr>
          <w:rFonts w:eastAsia="Times New Roman" w:cs="Times New Roman"/>
          <w:b/>
          <w:bCs/>
          <w:lang w:eastAsia="de-DE"/>
        </w:rPr>
        <w:t xml:space="preserve"> </w:t>
      </w:r>
      <w:proofErr w:type="spellStart"/>
      <w:r w:rsidRPr="00F75E3B">
        <w:rPr>
          <w:rFonts w:eastAsia="Times New Roman" w:cs="Times New Roman"/>
          <w:b/>
          <w:bCs/>
          <w:lang w:eastAsia="de-DE"/>
        </w:rPr>
        <w:t>ἐστιν</w:t>
      </w:r>
      <w:proofErr w:type="spellEnd"/>
      <w:r w:rsidRPr="00F75E3B">
        <w:rPr>
          <w:rFonts w:eastAsia="Times New Roman" w:cs="Times New Roman"/>
          <w:b/>
          <w:bCs/>
          <w:lang w:eastAsia="de-DE"/>
        </w:rPr>
        <w:t xml:space="preserve"> </w:t>
      </w:r>
      <w:proofErr w:type="spellStart"/>
      <w:r w:rsidRPr="00F75E3B">
        <w:rPr>
          <w:rFonts w:eastAsia="Times New Roman" w:cs="Times New Roman"/>
          <w:b/>
          <w:bCs/>
          <w:lang w:eastAsia="de-DE"/>
        </w:rPr>
        <w:t>ὑμῖν</w:t>
      </w:r>
      <w:proofErr w:type="spellEnd"/>
      <w:r w:rsidRPr="00F75E3B">
        <w:rPr>
          <w:rFonts w:eastAsia="Times New Roman" w:cs="Times New Roman"/>
          <w:lang w:eastAsia="de-DE"/>
        </w:rPr>
        <w:t xml:space="preserve"> (unrein sind sie für euch) hinzu.</w:t>
      </w:r>
      <w:r w:rsidR="00571E11">
        <w:rPr>
          <w:rFonts w:eastAsia="Times New Roman" w:cs="Times New Roman"/>
          <w:lang w:eastAsia="de-DE"/>
        </w:rPr>
        <w:t xml:space="preserve"> Die </w:t>
      </w:r>
      <w:r w:rsidR="00571E11">
        <w:rPr>
          <w:rStyle w:val="Fett"/>
        </w:rPr>
        <w:t>Verse 29-30</w:t>
      </w:r>
      <w:r w:rsidR="00571E11">
        <w:t xml:space="preserve"> identifizieren die kleinen Landtiere unterschiedlich: </w:t>
      </w:r>
      <w:r w:rsidR="00571E11">
        <w:rPr>
          <w:rtl/>
        </w:rPr>
        <w:t>חלד</w:t>
      </w:r>
      <w:r w:rsidR="00571E11">
        <w:t xml:space="preserve"> als γα</w:t>
      </w:r>
      <w:proofErr w:type="spellStart"/>
      <w:r w:rsidR="00571E11">
        <w:t>λῆ</w:t>
      </w:r>
      <w:proofErr w:type="spellEnd"/>
      <w:r w:rsidR="00571E11">
        <w:t xml:space="preserve"> (Wiesel), </w:t>
      </w:r>
      <w:r w:rsidR="00571E11">
        <w:rPr>
          <w:rtl/>
        </w:rPr>
        <w:t>עכבר</w:t>
      </w:r>
      <w:r w:rsidR="00571E11">
        <w:t xml:space="preserve"> als </w:t>
      </w:r>
      <w:proofErr w:type="spellStart"/>
      <w:r w:rsidR="00571E11">
        <w:t>μῦς</w:t>
      </w:r>
      <w:proofErr w:type="spellEnd"/>
      <w:r w:rsidR="00571E11">
        <w:t xml:space="preserve"> (Maus), </w:t>
      </w:r>
      <w:r w:rsidR="00571E11">
        <w:rPr>
          <w:rtl/>
        </w:rPr>
        <w:t>צב</w:t>
      </w:r>
      <w:r w:rsidR="00571E11">
        <w:t xml:space="preserve"> als </w:t>
      </w:r>
      <w:proofErr w:type="spellStart"/>
      <w:r w:rsidR="00571E11">
        <w:t>κροκόδιλος</w:t>
      </w:r>
      <w:proofErr w:type="spellEnd"/>
      <w:r w:rsidR="00571E11">
        <w:t xml:space="preserve"> ὁ </w:t>
      </w:r>
      <w:proofErr w:type="spellStart"/>
      <w:r w:rsidR="00571E11">
        <w:t>χερσ</w:t>
      </w:r>
      <w:proofErr w:type="spellEnd"/>
      <w:r w:rsidR="00571E11">
        <w:t>αῖος (Landkrokodil), was teilweise von modernen zoologischen Identifikationen abweicht.</w:t>
      </w:r>
    </w:p>
    <w:p w14:paraId="6046995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entspricht V. 25: intensiver Kontakt + Reinigungsgebot + temporäre Unreinheit + bekräftigende Klassifikation. Die Struktur zeigt konsistente Anwendung der Unreinheitsregeln.</w:t>
      </w:r>
    </w:p>
    <w:p w14:paraId="0F766A3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wendet die intensiven Kontaktregeln auf Tatzengänger an und bekräftigt ihre grundsätzliche Unreinheit.</w:t>
      </w:r>
    </w:p>
    <w:p w14:paraId="4CD67DC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11,29</w:t>
      </w:r>
    </w:p>
    <w:p w14:paraId="5BA3158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וְזֶ֤ה לָכֶם֙ הַטָּמֵ֔א בַּשֶּׁ֖רֶץ הַשֹּׁרֵ֣ץ עַל־הָאָ֑רֶץ הַחֹ֥לֶד וְהָעַכְבָּ֖ר וְהַצָּ֥ב לְמִינֵֽהוּ׃</w:t>
      </w:r>
    </w:p>
    <w:p w14:paraId="1A7EA42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dies ist für euch das Unreine unter dem Kleingetier, das auf der Erde wimmelt: der Wiesel und die Maus und die Landkröte nach ihrer Art</w:t>
      </w:r>
    </w:p>
    <w:p w14:paraId="076C5585"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DFC1E00">
          <v:rect id="_x0000_i1305" style="width:0;height:1.5pt" o:hralign="center" o:hrstd="t" o:hr="t" fillcolor="#a0a0a0" stroked="f"/>
        </w:pict>
      </w:r>
    </w:p>
    <w:p w14:paraId="621991A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וזה לכם הטמא בשרץ השרץ על־הארץ</w:t>
      </w:r>
      <w:r w:rsidRPr="00F75E3B">
        <w:rPr>
          <w:rFonts w:eastAsia="Times New Roman" w:cs="Times New Roman"/>
          <w:rtl/>
          <w:lang w:eastAsia="de-DE"/>
        </w:rPr>
        <w:t xml:space="preserve"> </w:t>
      </w:r>
      <w:r w:rsidRPr="00F75E3B">
        <w:rPr>
          <w:rFonts w:eastAsia="Times New Roman" w:cs="Times New Roman"/>
          <w:lang w:eastAsia="de-DE"/>
        </w:rPr>
        <w:t xml:space="preserve">leitet eine neue Kategorie ein. </w:t>
      </w:r>
      <w:r w:rsidRPr="00F75E3B">
        <w:rPr>
          <w:rFonts w:eastAsia="Times New Roman" w:cs="Times New Roman"/>
          <w:b/>
          <w:bCs/>
          <w:rtl/>
          <w:lang w:eastAsia="de-DE"/>
        </w:rPr>
        <w:t>וזה לכם הטמא</w:t>
      </w:r>
      <w:r w:rsidRPr="00F75E3B">
        <w:rPr>
          <w:rFonts w:eastAsia="Times New Roman" w:cs="Times New Roman"/>
          <w:rtl/>
          <w:lang w:eastAsia="de-DE"/>
        </w:rPr>
        <w:t xml:space="preserve"> </w:t>
      </w:r>
      <w:r w:rsidRPr="00F75E3B">
        <w:rPr>
          <w:rFonts w:eastAsia="Times New Roman" w:cs="Times New Roman"/>
          <w:lang w:eastAsia="de-DE"/>
        </w:rPr>
        <w:t xml:space="preserve">(und dies ist für euch das Unreine) mit Demonstrativpronomen </w:t>
      </w:r>
      <w:r w:rsidRPr="00F75E3B">
        <w:rPr>
          <w:rFonts w:eastAsia="Times New Roman" w:cs="Times New Roman"/>
          <w:b/>
          <w:bCs/>
          <w:rtl/>
          <w:lang w:eastAsia="de-DE"/>
        </w:rPr>
        <w:t>זה</w:t>
      </w:r>
      <w:r w:rsidRPr="00F75E3B">
        <w:rPr>
          <w:rFonts w:eastAsia="Times New Roman" w:cs="Times New Roman"/>
          <w:lang w:eastAsia="de-DE"/>
        </w:rPr>
        <w:t xml:space="preserve">. </w:t>
      </w:r>
      <w:r w:rsidRPr="00F75E3B">
        <w:rPr>
          <w:rFonts w:eastAsia="Times New Roman" w:cs="Times New Roman"/>
          <w:b/>
          <w:bCs/>
          <w:rtl/>
          <w:lang w:eastAsia="de-DE"/>
        </w:rPr>
        <w:t>בשרץ השרץ על־הארץ</w:t>
      </w:r>
      <w:r w:rsidRPr="00F75E3B">
        <w:rPr>
          <w:rFonts w:eastAsia="Times New Roman" w:cs="Times New Roman"/>
          <w:rtl/>
          <w:lang w:eastAsia="de-DE"/>
        </w:rPr>
        <w:t xml:space="preserve"> </w:t>
      </w:r>
      <w:r w:rsidRPr="00F75E3B">
        <w:rPr>
          <w:rFonts w:eastAsia="Times New Roman" w:cs="Times New Roman"/>
          <w:lang w:eastAsia="de-DE"/>
        </w:rPr>
        <w:t xml:space="preserve">(unter dem Kleingetier, das auf der Erde wimmelt) - </w:t>
      </w:r>
      <w:r w:rsidRPr="00F75E3B">
        <w:rPr>
          <w:rFonts w:eastAsia="Times New Roman" w:cs="Times New Roman"/>
          <w:b/>
          <w:bCs/>
          <w:rtl/>
          <w:lang w:eastAsia="de-DE"/>
        </w:rPr>
        <w:t>שרץ</w:t>
      </w:r>
      <w:r w:rsidRPr="00F75E3B">
        <w:rPr>
          <w:rFonts w:eastAsia="Times New Roman" w:cs="Times New Roman"/>
          <w:rtl/>
          <w:lang w:eastAsia="de-DE"/>
        </w:rPr>
        <w:t xml:space="preserve"> </w:t>
      </w:r>
      <w:r w:rsidRPr="00F75E3B">
        <w:rPr>
          <w:rFonts w:eastAsia="Times New Roman" w:cs="Times New Roman"/>
          <w:lang w:eastAsia="de-DE"/>
        </w:rPr>
        <w:t xml:space="preserve">(Kleingetier/Gewimmel) mit verstärkender Wiederholung </w:t>
      </w:r>
      <w:r w:rsidRPr="00F75E3B">
        <w:rPr>
          <w:rFonts w:eastAsia="Times New Roman" w:cs="Times New Roman"/>
          <w:b/>
          <w:bCs/>
          <w:rtl/>
          <w:lang w:eastAsia="de-DE"/>
        </w:rPr>
        <w:t>השרץ</w:t>
      </w:r>
      <w:r w:rsidRPr="00F75E3B">
        <w:rPr>
          <w:rFonts w:eastAsia="Times New Roman" w:cs="Times New Roman"/>
          <w:lang w:eastAsia="de-DE"/>
        </w:rPr>
        <w:t xml:space="preserve">, </w:t>
      </w:r>
      <w:r w:rsidRPr="00F75E3B">
        <w:rPr>
          <w:rFonts w:eastAsia="Times New Roman" w:cs="Times New Roman"/>
          <w:b/>
          <w:bCs/>
          <w:rtl/>
          <w:lang w:eastAsia="de-DE"/>
        </w:rPr>
        <w:t>על־הארץ</w:t>
      </w:r>
      <w:r w:rsidRPr="00F75E3B">
        <w:rPr>
          <w:rFonts w:eastAsia="Times New Roman" w:cs="Times New Roman"/>
          <w:rtl/>
          <w:lang w:eastAsia="de-DE"/>
        </w:rPr>
        <w:t xml:space="preserve"> </w:t>
      </w:r>
      <w:r w:rsidRPr="00F75E3B">
        <w:rPr>
          <w:rFonts w:eastAsia="Times New Roman" w:cs="Times New Roman"/>
          <w:lang w:eastAsia="de-DE"/>
        </w:rPr>
        <w:t>(auf der Erde) spezifiziert Landtiere.</w:t>
      </w:r>
    </w:p>
    <w:p w14:paraId="09F49DD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החלד והעכבר והצב למינהו</w:t>
      </w:r>
      <w:r w:rsidRPr="00F75E3B">
        <w:rPr>
          <w:rFonts w:eastAsia="Times New Roman" w:cs="Times New Roman"/>
          <w:rtl/>
          <w:lang w:eastAsia="de-DE"/>
        </w:rPr>
        <w:t xml:space="preserve"> </w:t>
      </w:r>
      <w:r w:rsidRPr="00F75E3B">
        <w:rPr>
          <w:rFonts w:eastAsia="Times New Roman" w:cs="Times New Roman"/>
          <w:lang w:eastAsia="de-DE"/>
        </w:rPr>
        <w:t xml:space="preserve">beginnt die spezifische Liste. </w:t>
      </w:r>
      <w:r w:rsidRPr="00F75E3B">
        <w:rPr>
          <w:rFonts w:eastAsia="Times New Roman" w:cs="Times New Roman"/>
          <w:b/>
          <w:bCs/>
          <w:rtl/>
          <w:lang w:eastAsia="de-DE"/>
        </w:rPr>
        <w:t>החלד</w:t>
      </w:r>
      <w:r w:rsidRPr="00F75E3B">
        <w:rPr>
          <w:rFonts w:eastAsia="Times New Roman" w:cs="Times New Roman"/>
          <w:rtl/>
          <w:lang w:eastAsia="de-DE"/>
        </w:rPr>
        <w:t xml:space="preserve"> </w:t>
      </w:r>
      <w:r w:rsidRPr="00F75E3B">
        <w:rPr>
          <w:rFonts w:eastAsia="Times New Roman" w:cs="Times New Roman"/>
          <w:lang w:eastAsia="de-DE"/>
        </w:rPr>
        <w:t xml:space="preserve">(Wiesel), </w:t>
      </w:r>
      <w:r w:rsidRPr="00F75E3B">
        <w:rPr>
          <w:rFonts w:eastAsia="Times New Roman" w:cs="Times New Roman"/>
          <w:b/>
          <w:bCs/>
          <w:rtl/>
          <w:lang w:eastAsia="de-DE"/>
        </w:rPr>
        <w:t>והעכבר</w:t>
      </w:r>
      <w:r w:rsidRPr="00F75E3B">
        <w:rPr>
          <w:rFonts w:eastAsia="Times New Roman" w:cs="Times New Roman"/>
          <w:rtl/>
          <w:lang w:eastAsia="de-DE"/>
        </w:rPr>
        <w:t xml:space="preserve"> </w:t>
      </w:r>
      <w:r w:rsidRPr="00F75E3B">
        <w:rPr>
          <w:rFonts w:eastAsia="Times New Roman" w:cs="Times New Roman"/>
          <w:lang w:eastAsia="de-DE"/>
        </w:rPr>
        <w:t xml:space="preserve">(und die Maus), </w:t>
      </w:r>
      <w:r w:rsidRPr="00F75E3B">
        <w:rPr>
          <w:rFonts w:eastAsia="Times New Roman" w:cs="Times New Roman"/>
          <w:b/>
          <w:bCs/>
          <w:rtl/>
          <w:lang w:eastAsia="de-DE"/>
        </w:rPr>
        <w:t>והצב למינהו</w:t>
      </w:r>
      <w:r w:rsidRPr="00F75E3B">
        <w:rPr>
          <w:rFonts w:eastAsia="Times New Roman" w:cs="Times New Roman"/>
          <w:rtl/>
          <w:lang w:eastAsia="de-DE"/>
        </w:rPr>
        <w:t xml:space="preserve"> </w:t>
      </w:r>
      <w:r w:rsidRPr="00F75E3B">
        <w:rPr>
          <w:rFonts w:eastAsia="Times New Roman" w:cs="Times New Roman"/>
          <w:lang w:eastAsia="de-DE"/>
        </w:rPr>
        <w:t xml:space="preserve">(und die Landkröte nach ihrer Art) - </w:t>
      </w:r>
      <w:r w:rsidRPr="00F75E3B">
        <w:rPr>
          <w:rFonts w:eastAsia="Times New Roman" w:cs="Times New Roman"/>
          <w:b/>
          <w:bCs/>
          <w:rtl/>
          <w:lang w:eastAsia="de-DE"/>
        </w:rPr>
        <w:t>צב</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למינהו</w:t>
      </w:r>
      <w:r w:rsidRPr="00F75E3B">
        <w:rPr>
          <w:rFonts w:eastAsia="Times New Roman" w:cs="Times New Roman"/>
          <w:rtl/>
          <w:lang w:eastAsia="de-DE"/>
        </w:rPr>
        <w:t xml:space="preserve"> </w:t>
      </w:r>
      <w:r w:rsidRPr="00F75E3B">
        <w:rPr>
          <w:rFonts w:eastAsia="Times New Roman" w:cs="Times New Roman"/>
          <w:lang w:eastAsia="de-DE"/>
        </w:rPr>
        <w:t>(nach seiner Art) zeigt, dass die ganze Gattung gemeint ist.</w:t>
      </w:r>
    </w:p>
    <w:p w14:paraId="0857039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שרץ השרץ</w:t>
      </w:r>
      <w:r w:rsidRPr="00F75E3B">
        <w:rPr>
          <w:rFonts w:eastAsia="Times New Roman" w:cs="Times New Roman"/>
          <w:rtl/>
          <w:lang w:eastAsia="de-DE"/>
        </w:rPr>
        <w:t xml:space="preserve"> </w:t>
      </w:r>
      <w:r w:rsidRPr="00F75E3B">
        <w:rPr>
          <w:rFonts w:eastAsia="Times New Roman" w:cs="Times New Roman"/>
          <w:lang w:eastAsia="de-DE"/>
        </w:rPr>
        <w:t xml:space="preserve">mit Wiederholung betont das wimmelnde, kriechende Verhalten. </w:t>
      </w:r>
      <w:r w:rsidRPr="00F75E3B">
        <w:rPr>
          <w:rFonts w:eastAsia="Times New Roman" w:cs="Times New Roman"/>
          <w:b/>
          <w:bCs/>
          <w:rtl/>
          <w:lang w:eastAsia="de-DE"/>
        </w:rPr>
        <w:t>למינהו</w:t>
      </w:r>
      <w:r w:rsidRPr="00F75E3B">
        <w:rPr>
          <w:rFonts w:eastAsia="Times New Roman" w:cs="Times New Roman"/>
          <w:rtl/>
          <w:lang w:eastAsia="de-DE"/>
        </w:rPr>
        <w:t xml:space="preserve"> </w:t>
      </w:r>
      <w:r w:rsidRPr="00F75E3B">
        <w:rPr>
          <w:rFonts w:eastAsia="Times New Roman" w:cs="Times New Roman"/>
          <w:lang w:eastAsia="de-DE"/>
        </w:rPr>
        <w:t xml:space="preserve">bei </w:t>
      </w:r>
      <w:r w:rsidRPr="00F75E3B">
        <w:rPr>
          <w:rFonts w:eastAsia="Times New Roman" w:cs="Times New Roman"/>
          <w:b/>
          <w:bCs/>
          <w:rtl/>
          <w:lang w:eastAsia="de-DE"/>
        </w:rPr>
        <w:t>צב</w:t>
      </w:r>
      <w:r w:rsidRPr="00F75E3B">
        <w:rPr>
          <w:rFonts w:eastAsia="Times New Roman" w:cs="Times New Roman"/>
          <w:rtl/>
          <w:lang w:eastAsia="de-DE"/>
        </w:rPr>
        <w:t xml:space="preserve"> </w:t>
      </w:r>
      <w:r w:rsidRPr="00F75E3B">
        <w:rPr>
          <w:rFonts w:eastAsia="Times New Roman" w:cs="Times New Roman"/>
          <w:lang w:eastAsia="de-DE"/>
        </w:rPr>
        <w:t xml:space="preserve">erweitert das Verbot auf alle </w:t>
      </w:r>
      <w:proofErr w:type="spellStart"/>
      <w:r w:rsidRPr="00F75E3B">
        <w:rPr>
          <w:rFonts w:eastAsia="Times New Roman" w:cs="Times New Roman"/>
          <w:lang w:eastAsia="de-DE"/>
        </w:rPr>
        <w:t>krotenartigen</w:t>
      </w:r>
      <w:proofErr w:type="spellEnd"/>
      <w:r w:rsidRPr="00F75E3B">
        <w:rPr>
          <w:rFonts w:eastAsia="Times New Roman" w:cs="Times New Roman"/>
          <w:lang w:eastAsia="de-DE"/>
        </w:rPr>
        <w:t xml:space="preserve"> Tiere.</w:t>
      </w:r>
    </w:p>
    <w:p w14:paraId="0D3269B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שרץ השרץ</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ἑρ</w:t>
      </w:r>
      <w:proofErr w:type="spellEnd"/>
      <w:r w:rsidRPr="00F75E3B">
        <w:rPr>
          <w:rFonts w:eastAsia="Times New Roman" w:cs="Times New Roman"/>
          <w:lang w:eastAsia="de-DE"/>
        </w:rPr>
        <w:t xml:space="preserve">πετῶν </w:t>
      </w:r>
      <w:proofErr w:type="spellStart"/>
      <w:r w:rsidRPr="00F75E3B">
        <w:rPr>
          <w:rFonts w:eastAsia="Times New Roman" w:cs="Times New Roman"/>
          <w:lang w:eastAsia="de-DE"/>
        </w:rPr>
        <w:t>τῶν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ἑρ</w:t>
      </w:r>
      <w:proofErr w:type="spellEnd"/>
      <w:r w:rsidRPr="00F75E3B">
        <w:rPr>
          <w:rFonts w:eastAsia="Times New Roman" w:cs="Times New Roman"/>
          <w:lang w:eastAsia="de-DE"/>
        </w:rPr>
        <w:t xml:space="preserve">πόντων (Kriechtiere der Kriechenden), </w:t>
      </w:r>
      <w:r w:rsidRPr="00F75E3B">
        <w:rPr>
          <w:rFonts w:eastAsia="Times New Roman" w:cs="Times New Roman"/>
          <w:b/>
          <w:bCs/>
          <w:rtl/>
          <w:lang w:eastAsia="de-DE"/>
        </w:rPr>
        <w:t>חלד</w:t>
      </w:r>
      <w:r w:rsidRPr="00F75E3B">
        <w:rPr>
          <w:rFonts w:eastAsia="Times New Roman" w:cs="Times New Roman"/>
          <w:rtl/>
          <w:lang w:eastAsia="de-DE"/>
        </w:rPr>
        <w:t xml:space="preserve"> </w:t>
      </w:r>
      <w:r w:rsidRPr="00F75E3B">
        <w:rPr>
          <w:rFonts w:eastAsia="Times New Roman" w:cs="Times New Roman"/>
          <w:lang w:eastAsia="de-DE"/>
        </w:rPr>
        <w:t>mit γα</w:t>
      </w:r>
      <w:proofErr w:type="spellStart"/>
      <w:r w:rsidRPr="00F75E3B">
        <w:rPr>
          <w:rFonts w:eastAsia="Times New Roman" w:cs="Times New Roman"/>
          <w:lang w:eastAsia="de-DE"/>
        </w:rPr>
        <w:t>λῆν</w:t>
      </w:r>
      <w:proofErr w:type="spellEnd"/>
      <w:r w:rsidRPr="00F75E3B">
        <w:rPr>
          <w:rFonts w:eastAsia="Times New Roman" w:cs="Times New Roman"/>
          <w:lang w:eastAsia="de-DE"/>
        </w:rPr>
        <w:t xml:space="preserve"> (Wiesel), </w:t>
      </w:r>
      <w:r w:rsidRPr="00F75E3B">
        <w:rPr>
          <w:rFonts w:eastAsia="Times New Roman" w:cs="Times New Roman"/>
          <w:b/>
          <w:bCs/>
          <w:rtl/>
          <w:lang w:eastAsia="de-DE"/>
        </w:rPr>
        <w:t>עכבר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μῦν</w:t>
      </w:r>
      <w:proofErr w:type="spellEnd"/>
      <w:r w:rsidRPr="00F75E3B">
        <w:rPr>
          <w:rFonts w:eastAsia="Times New Roman" w:cs="Times New Roman"/>
          <w:lang w:eastAsia="de-DE"/>
        </w:rPr>
        <w:t xml:space="preserve"> (Maus) und </w:t>
      </w:r>
      <w:r w:rsidRPr="00F75E3B">
        <w:rPr>
          <w:rFonts w:eastAsia="Times New Roman" w:cs="Times New Roman"/>
          <w:b/>
          <w:bCs/>
          <w:rtl/>
          <w:lang w:eastAsia="de-DE"/>
        </w:rPr>
        <w:t>צב</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κροκόδειλον</w:t>
      </w:r>
      <w:proofErr w:type="spellEnd"/>
      <w:r w:rsidRPr="00F75E3B">
        <w:rPr>
          <w:rFonts w:eastAsia="Times New Roman" w:cs="Times New Roman"/>
          <w:lang w:eastAsia="de-DE"/>
        </w:rPr>
        <w:t xml:space="preserve"> (Krokodil).</w:t>
      </w:r>
    </w:p>
    <w:p w14:paraId="620E567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neue Kategorie mit ersten Beispielen: demonstrative Einleitung + Kategoriespezifikation + drei koordinierte Arten mit Gattungsklausel. Die Struktur führt eine neue Unreinheitsklasse ein.</w:t>
      </w:r>
    </w:p>
    <w:p w14:paraId="5B18DE6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leitet die Liste unreiner Kriechtiere ein und nennt drei erste Beispiele: Wiesel, Maus und Landkröte.</w:t>
      </w:r>
    </w:p>
    <w:p w14:paraId="64195CA7"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11,30</w:t>
      </w:r>
    </w:p>
    <w:p w14:paraId="3C044BD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וְהָאֲנָקָ֥ה וְהַכֹּ֖חַ וְהַלְּטָאָ֑ה וְהַחֹ֖מֶט וְהַתִּנְשָֽׁמֶת׃</w:t>
      </w:r>
    </w:p>
    <w:p w14:paraId="0BDE0A1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der Gecko und die Koach-Eidechse und die Letaah-Eidechse und die Chomet-Eidechse und das Chamäleon.</w:t>
      </w:r>
    </w:p>
    <w:p w14:paraId="6034DFED"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lastRenderedPageBreak/>
        <w:pict w14:anchorId="7C17D6FD">
          <v:rect id="_x0000_i1306" style="width:0;height:1.5pt" o:hralign="center" o:hrstd="t" o:hr="t" fillcolor="#a0a0a0" stroked="f"/>
        </w:pict>
      </w:r>
    </w:p>
    <w:p w14:paraId="677F785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והאנקה והכח והלטאה והחמט והתנשמת</w:t>
      </w:r>
      <w:r w:rsidRPr="00F75E3B">
        <w:rPr>
          <w:rFonts w:eastAsia="Times New Roman" w:cs="Times New Roman"/>
          <w:rtl/>
          <w:lang w:eastAsia="de-DE"/>
        </w:rPr>
        <w:t xml:space="preserve"> </w:t>
      </w:r>
      <w:r w:rsidRPr="00F75E3B">
        <w:rPr>
          <w:rFonts w:eastAsia="Times New Roman" w:cs="Times New Roman"/>
          <w:lang w:eastAsia="de-DE"/>
        </w:rPr>
        <w:t xml:space="preserve">führt fünf weitere Kriechtiere auf. </w:t>
      </w:r>
      <w:r w:rsidRPr="00F75E3B">
        <w:rPr>
          <w:rFonts w:eastAsia="Times New Roman" w:cs="Times New Roman"/>
          <w:b/>
          <w:bCs/>
          <w:rtl/>
          <w:lang w:eastAsia="de-DE"/>
        </w:rPr>
        <w:t>אנקה</w:t>
      </w:r>
      <w:r w:rsidRPr="00F75E3B">
        <w:rPr>
          <w:rFonts w:eastAsia="Times New Roman" w:cs="Times New Roman"/>
          <w:rtl/>
          <w:lang w:eastAsia="de-DE"/>
        </w:rPr>
        <w:t xml:space="preserve"> </w:t>
      </w:r>
      <w:r w:rsidRPr="00F75E3B">
        <w:rPr>
          <w:rFonts w:eastAsia="Times New Roman" w:cs="Times New Roman"/>
          <w:lang w:eastAsia="de-DE"/>
        </w:rPr>
        <w:t xml:space="preserve">(Gecko), </w:t>
      </w:r>
      <w:r w:rsidRPr="00F75E3B">
        <w:rPr>
          <w:rFonts w:eastAsia="Times New Roman" w:cs="Times New Roman"/>
          <w:b/>
          <w:bCs/>
          <w:rtl/>
          <w:lang w:eastAsia="de-DE"/>
        </w:rPr>
        <w:t>כח</w:t>
      </w:r>
      <w:r w:rsidRPr="00F75E3B">
        <w:rPr>
          <w:rFonts w:eastAsia="Times New Roman" w:cs="Times New Roman"/>
          <w:rtl/>
          <w:lang w:eastAsia="de-DE"/>
        </w:rPr>
        <w:t xml:space="preserve"> </w:t>
      </w:r>
      <w:r w:rsidRPr="00F75E3B">
        <w:rPr>
          <w:rFonts w:eastAsia="Times New Roman" w:cs="Times New Roman"/>
          <w:lang w:eastAsia="de-DE"/>
        </w:rPr>
        <w:t xml:space="preserve">(Koach-Eidechse), </w:t>
      </w:r>
      <w:r w:rsidRPr="00F75E3B">
        <w:rPr>
          <w:rFonts w:eastAsia="Times New Roman" w:cs="Times New Roman"/>
          <w:b/>
          <w:bCs/>
          <w:rtl/>
          <w:lang w:eastAsia="de-DE"/>
        </w:rPr>
        <w:t>לטאה</w:t>
      </w:r>
      <w:r w:rsidRPr="00F75E3B">
        <w:rPr>
          <w:rFonts w:eastAsia="Times New Roman" w:cs="Times New Roman"/>
          <w:rtl/>
          <w:lang w:eastAsia="de-DE"/>
        </w:rPr>
        <w:t xml:space="preserve"> </w:t>
      </w:r>
      <w:r w:rsidRPr="00F75E3B">
        <w:rPr>
          <w:rFonts w:eastAsia="Times New Roman" w:cs="Times New Roman"/>
          <w:lang w:eastAsia="de-DE"/>
        </w:rPr>
        <w:t xml:space="preserve">(Letaah-Eidechse), </w:t>
      </w:r>
      <w:r w:rsidRPr="00F75E3B">
        <w:rPr>
          <w:rFonts w:eastAsia="Times New Roman" w:cs="Times New Roman"/>
          <w:b/>
          <w:bCs/>
          <w:rtl/>
          <w:lang w:eastAsia="de-DE"/>
        </w:rPr>
        <w:t>חמט</w:t>
      </w:r>
      <w:r w:rsidRPr="00F75E3B">
        <w:rPr>
          <w:rFonts w:eastAsia="Times New Roman" w:cs="Times New Roman"/>
          <w:rtl/>
          <w:lang w:eastAsia="de-DE"/>
        </w:rPr>
        <w:t xml:space="preserve"> </w:t>
      </w:r>
      <w:r w:rsidRPr="00F75E3B">
        <w:rPr>
          <w:rFonts w:eastAsia="Times New Roman" w:cs="Times New Roman"/>
          <w:lang w:eastAsia="de-DE"/>
        </w:rPr>
        <w:t xml:space="preserve">(Chomet-Eidechse), </w:t>
      </w:r>
      <w:r w:rsidRPr="00F75E3B">
        <w:rPr>
          <w:rFonts w:eastAsia="Times New Roman" w:cs="Times New Roman"/>
          <w:b/>
          <w:bCs/>
          <w:rtl/>
          <w:lang w:eastAsia="de-DE"/>
        </w:rPr>
        <w:t>תנשמת</w:t>
      </w:r>
      <w:r w:rsidRPr="00F75E3B">
        <w:rPr>
          <w:rFonts w:eastAsia="Times New Roman" w:cs="Times New Roman"/>
          <w:rtl/>
          <w:lang w:eastAsia="de-DE"/>
        </w:rPr>
        <w:t xml:space="preserve"> </w:t>
      </w:r>
      <w:r w:rsidRPr="00F75E3B">
        <w:rPr>
          <w:rFonts w:eastAsia="Times New Roman" w:cs="Times New Roman"/>
          <w:lang w:eastAsia="de-DE"/>
        </w:rPr>
        <w:t xml:space="preserve">(Chamäleon). Alle fünf mit koordinierendem </w:t>
      </w:r>
      <w:r w:rsidRPr="00F75E3B">
        <w:rPr>
          <w:rFonts w:eastAsia="Times New Roman" w:cs="Times New Roman"/>
          <w:b/>
          <w:bCs/>
          <w:rtl/>
          <w:lang w:eastAsia="de-DE"/>
        </w:rPr>
        <w:t>ו</w:t>
      </w:r>
      <w:r w:rsidRPr="00F75E3B">
        <w:rPr>
          <w:rFonts w:eastAsia="Times New Roman" w:cs="Times New Roman"/>
          <w:rtl/>
          <w:lang w:eastAsia="de-DE"/>
        </w:rPr>
        <w:t xml:space="preserve"> </w:t>
      </w:r>
      <w:r w:rsidRPr="00F75E3B">
        <w:rPr>
          <w:rFonts w:eastAsia="Times New Roman" w:cs="Times New Roman"/>
          <w:lang w:eastAsia="de-DE"/>
        </w:rPr>
        <w:t>verbunden.</w:t>
      </w:r>
    </w:p>
    <w:p w14:paraId="2037808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 fünf Arten sind schwer identifizierbare Echsen und Geckos. </w:t>
      </w:r>
      <w:r w:rsidRPr="00F75E3B">
        <w:rPr>
          <w:rFonts w:eastAsia="Times New Roman" w:cs="Times New Roman"/>
          <w:b/>
          <w:bCs/>
          <w:rtl/>
          <w:lang w:eastAsia="de-DE"/>
        </w:rPr>
        <w:t>תנשמת</w:t>
      </w:r>
      <w:r w:rsidRPr="00F75E3B">
        <w:rPr>
          <w:rFonts w:eastAsia="Times New Roman" w:cs="Times New Roman"/>
          <w:rtl/>
          <w:lang w:eastAsia="de-DE"/>
        </w:rPr>
        <w:t xml:space="preserve"> </w:t>
      </w:r>
      <w:r w:rsidRPr="00F75E3B">
        <w:rPr>
          <w:rFonts w:eastAsia="Times New Roman" w:cs="Times New Roman"/>
          <w:lang w:eastAsia="de-DE"/>
        </w:rPr>
        <w:t>erscheint auch in der Vogelliste (V. 18), was auf verschiedene Bedeutungen des Wortes hindeutet.</w:t>
      </w:r>
    </w:p>
    <w:p w14:paraId="0C49E73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אנקה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ἀν</w:t>
      </w:r>
      <w:proofErr w:type="spellEnd"/>
      <w:r w:rsidRPr="00F75E3B">
        <w:rPr>
          <w:rFonts w:eastAsia="Times New Roman" w:cs="Times New Roman"/>
          <w:lang w:eastAsia="de-DE"/>
        </w:rPr>
        <w:t xml:space="preserve">αβολέα (eine Echsenart), </w:t>
      </w:r>
      <w:r w:rsidRPr="00F75E3B">
        <w:rPr>
          <w:rFonts w:eastAsia="Times New Roman" w:cs="Times New Roman"/>
          <w:b/>
          <w:bCs/>
          <w:rtl/>
          <w:lang w:eastAsia="de-DE"/>
        </w:rPr>
        <w:t>כח</w:t>
      </w:r>
      <w:r w:rsidRPr="00F75E3B">
        <w:rPr>
          <w:rFonts w:eastAsia="Times New Roman" w:cs="Times New Roman"/>
          <w:rtl/>
          <w:lang w:eastAsia="de-DE"/>
        </w:rPr>
        <w:t xml:space="preserve"> </w:t>
      </w:r>
      <w:r w:rsidRPr="00F75E3B">
        <w:rPr>
          <w:rFonts w:eastAsia="Times New Roman" w:cs="Times New Roman"/>
          <w:lang w:eastAsia="de-DE"/>
        </w:rPr>
        <w:t>mit χαμα</w:t>
      </w:r>
      <w:proofErr w:type="spellStart"/>
      <w:r w:rsidRPr="00F75E3B">
        <w:rPr>
          <w:rFonts w:eastAsia="Times New Roman" w:cs="Times New Roman"/>
          <w:lang w:eastAsia="de-DE"/>
        </w:rPr>
        <w:t>ιλέοντ</w:t>
      </w:r>
      <w:proofErr w:type="spellEnd"/>
      <w:r w:rsidRPr="00F75E3B">
        <w:rPr>
          <w:rFonts w:eastAsia="Times New Roman" w:cs="Times New Roman"/>
          <w:lang w:eastAsia="de-DE"/>
        </w:rPr>
        <w:t xml:space="preserve">α (Chamäleon), </w:t>
      </w:r>
      <w:r w:rsidRPr="00F75E3B">
        <w:rPr>
          <w:rFonts w:eastAsia="Times New Roman" w:cs="Times New Roman"/>
          <w:b/>
          <w:bCs/>
          <w:rtl/>
          <w:lang w:eastAsia="de-DE"/>
        </w:rPr>
        <w:t>לטאה</w:t>
      </w:r>
      <w:r w:rsidRPr="00F75E3B">
        <w:rPr>
          <w:rFonts w:eastAsia="Times New Roman" w:cs="Times New Roman"/>
          <w:rtl/>
          <w:lang w:eastAsia="de-DE"/>
        </w:rPr>
        <w:t xml:space="preserve"> </w:t>
      </w:r>
      <w:r w:rsidRPr="00F75E3B">
        <w:rPr>
          <w:rFonts w:eastAsia="Times New Roman" w:cs="Times New Roman"/>
          <w:lang w:eastAsia="de-DE"/>
        </w:rPr>
        <w:t>mit καλαβ</w:t>
      </w:r>
      <w:proofErr w:type="spellStart"/>
      <w:r w:rsidRPr="00F75E3B">
        <w:rPr>
          <w:rFonts w:eastAsia="Times New Roman" w:cs="Times New Roman"/>
          <w:lang w:eastAsia="de-DE"/>
        </w:rPr>
        <w:t>ώτην</w:t>
      </w:r>
      <w:proofErr w:type="spellEnd"/>
      <w:r w:rsidRPr="00F75E3B">
        <w:rPr>
          <w:rFonts w:eastAsia="Times New Roman" w:cs="Times New Roman"/>
          <w:lang w:eastAsia="de-DE"/>
        </w:rPr>
        <w:t xml:space="preserve"> (eine Echsenart), </w:t>
      </w:r>
      <w:r w:rsidRPr="00F75E3B">
        <w:rPr>
          <w:rFonts w:eastAsia="Times New Roman" w:cs="Times New Roman"/>
          <w:b/>
          <w:bCs/>
          <w:rtl/>
          <w:lang w:eastAsia="de-DE"/>
        </w:rPr>
        <w:t>חמט</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στελλίων</w:t>
      </w:r>
      <w:proofErr w:type="spellEnd"/>
      <w:r w:rsidRPr="00F75E3B">
        <w:rPr>
          <w:rFonts w:eastAsia="Times New Roman" w:cs="Times New Roman"/>
          <w:lang w:eastAsia="de-DE"/>
        </w:rPr>
        <w:t xml:space="preserve">α (Gecko) und </w:t>
      </w:r>
      <w:r w:rsidRPr="00F75E3B">
        <w:rPr>
          <w:rFonts w:eastAsia="Times New Roman" w:cs="Times New Roman"/>
          <w:b/>
          <w:bCs/>
          <w:rtl/>
          <w:lang w:eastAsia="de-DE"/>
        </w:rPr>
        <w:t>תנשמת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ἀσ</w:t>
      </w:r>
      <w:proofErr w:type="spellEnd"/>
      <w:r w:rsidRPr="00F75E3B">
        <w:rPr>
          <w:rFonts w:eastAsia="Times New Roman" w:cs="Times New Roman"/>
          <w:lang w:eastAsia="de-DE"/>
        </w:rPr>
        <w:t>πάλακα (Maulwurf).</w:t>
      </w:r>
    </w:p>
    <w:p w14:paraId="0A375F8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fünf koordinierte Arten ohne weitere Spezifikation. Die einfache Koordination listet verwandte Echsenarten auf.</w:t>
      </w:r>
    </w:p>
    <w:p w14:paraId="09597DC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komplettiert die Liste unreiner Kriechtiere mit fünf Echsen- und </w:t>
      </w:r>
      <w:proofErr w:type="spellStart"/>
      <w:r w:rsidRPr="00F75E3B">
        <w:rPr>
          <w:rFonts w:eastAsia="Times New Roman" w:cs="Times New Roman"/>
          <w:lang w:eastAsia="de-DE"/>
        </w:rPr>
        <w:t>Geckoarten</w:t>
      </w:r>
      <w:proofErr w:type="spellEnd"/>
      <w:r w:rsidRPr="00F75E3B">
        <w:rPr>
          <w:rFonts w:eastAsia="Times New Roman" w:cs="Times New Roman"/>
          <w:lang w:eastAsia="de-DE"/>
        </w:rPr>
        <w:t>.</w:t>
      </w:r>
    </w:p>
    <w:p w14:paraId="493A7E0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11,31</w:t>
      </w:r>
    </w:p>
    <w:p w14:paraId="6400AFD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אֵ֛לֶּה הַטְּמֵאִ֥ים לָכֶ֖ם בְּכָל־הַשָּׁ֑רֶץ כָּל־הַנֹּגֵ֧עַ בָּהֶ֛ם בְּמֹתָ֖ם יִטְמָ֥א עַד־הָעָֽרֶב׃</w:t>
      </w:r>
    </w:p>
    <w:p w14:paraId="0967F11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Diese sind für euch die Unreinen unter allem Kleingetier; jeder, der sie berührt, wenn sie tot sind, wird bis zum Abend unrein sein.</w:t>
      </w:r>
    </w:p>
    <w:p w14:paraId="73994C48"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99FA4D1">
          <v:rect id="_x0000_i1307" style="width:0;height:1.5pt" o:hralign="center" o:hrstd="t" o:hr="t" fillcolor="#a0a0a0" stroked="f"/>
        </w:pict>
      </w:r>
    </w:p>
    <w:p w14:paraId="5B105E3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אלה הטמאים לכם בכל־השרץ כל־הנגע בהם במתם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klassifiziert und regelt Kontakt. </w:t>
      </w:r>
      <w:r w:rsidRPr="00F75E3B">
        <w:rPr>
          <w:rFonts w:eastAsia="Times New Roman" w:cs="Times New Roman"/>
          <w:b/>
          <w:bCs/>
          <w:rtl/>
          <w:lang w:eastAsia="de-DE"/>
        </w:rPr>
        <w:t>אלה הטמאים לכם</w:t>
      </w:r>
      <w:r w:rsidRPr="00F75E3B">
        <w:rPr>
          <w:rFonts w:eastAsia="Times New Roman" w:cs="Times New Roman"/>
          <w:rtl/>
          <w:lang w:eastAsia="de-DE"/>
        </w:rPr>
        <w:t xml:space="preserve"> </w:t>
      </w:r>
      <w:r w:rsidRPr="00F75E3B">
        <w:rPr>
          <w:rFonts w:eastAsia="Times New Roman" w:cs="Times New Roman"/>
          <w:lang w:eastAsia="de-DE"/>
        </w:rPr>
        <w:t xml:space="preserve">(diese sind die Unreinen für euch) mit Demonstrativpronomen </w:t>
      </w:r>
      <w:r w:rsidRPr="00F75E3B">
        <w:rPr>
          <w:rFonts w:eastAsia="Times New Roman" w:cs="Times New Roman"/>
          <w:b/>
          <w:bCs/>
          <w:rtl/>
          <w:lang w:eastAsia="de-DE"/>
        </w:rPr>
        <w:t>אלה</w:t>
      </w:r>
      <w:r w:rsidRPr="00F75E3B">
        <w:rPr>
          <w:rFonts w:eastAsia="Times New Roman" w:cs="Times New Roman"/>
          <w:rtl/>
          <w:lang w:eastAsia="de-DE"/>
        </w:rPr>
        <w:t xml:space="preserve"> </w:t>
      </w:r>
      <w:r w:rsidRPr="00F75E3B">
        <w:rPr>
          <w:rFonts w:eastAsia="Times New Roman" w:cs="Times New Roman"/>
          <w:lang w:eastAsia="de-DE"/>
        </w:rPr>
        <w:t xml:space="preserve">referenziert die acht genannten Arten. </w:t>
      </w:r>
      <w:r w:rsidRPr="00F75E3B">
        <w:rPr>
          <w:rFonts w:eastAsia="Times New Roman" w:cs="Times New Roman"/>
          <w:b/>
          <w:bCs/>
          <w:rtl/>
          <w:lang w:eastAsia="de-DE"/>
        </w:rPr>
        <w:t>בכל־השרץ</w:t>
      </w:r>
      <w:r w:rsidRPr="00F75E3B">
        <w:rPr>
          <w:rFonts w:eastAsia="Times New Roman" w:cs="Times New Roman"/>
          <w:rtl/>
          <w:lang w:eastAsia="de-DE"/>
        </w:rPr>
        <w:t xml:space="preserve"> </w:t>
      </w:r>
      <w:r w:rsidRPr="00F75E3B">
        <w:rPr>
          <w:rFonts w:eastAsia="Times New Roman" w:cs="Times New Roman"/>
          <w:lang w:eastAsia="de-DE"/>
        </w:rPr>
        <w:t xml:space="preserve">(unter allem Kleingetier) mit Totalitätspartikel </w:t>
      </w:r>
      <w:r w:rsidRPr="00F75E3B">
        <w:rPr>
          <w:rFonts w:eastAsia="Times New Roman" w:cs="Times New Roman"/>
          <w:b/>
          <w:bCs/>
          <w:rtl/>
          <w:lang w:eastAsia="de-DE"/>
        </w:rPr>
        <w:t>כל</w:t>
      </w:r>
      <w:r w:rsidRPr="00F75E3B">
        <w:rPr>
          <w:rFonts w:eastAsia="Times New Roman" w:cs="Times New Roman"/>
          <w:rtl/>
          <w:lang w:eastAsia="de-DE"/>
        </w:rPr>
        <w:t xml:space="preserve"> </w:t>
      </w:r>
      <w:r w:rsidRPr="00F75E3B">
        <w:rPr>
          <w:rFonts w:eastAsia="Times New Roman" w:cs="Times New Roman"/>
          <w:lang w:eastAsia="de-DE"/>
        </w:rPr>
        <w:t xml:space="preserve">zeigt, dass nicht alle </w:t>
      </w:r>
      <w:r w:rsidRPr="00F75E3B">
        <w:rPr>
          <w:rFonts w:eastAsia="Times New Roman" w:cs="Times New Roman"/>
          <w:b/>
          <w:bCs/>
          <w:rtl/>
          <w:lang w:eastAsia="de-DE"/>
        </w:rPr>
        <w:t>שרץ</w:t>
      </w:r>
      <w:r w:rsidRPr="00F75E3B">
        <w:rPr>
          <w:rFonts w:eastAsia="Times New Roman" w:cs="Times New Roman"/>
          <w:rtl/>
          <w:lang w:eastAsia="de-DE"/>
        </w:rPr>
        <w:t xml:space="preserve"> </w:t>
      </w:r>
      <w:r w:rsidRPr="00F75E3B">
        <w:rPr>
          <w:rFonts w:eastAsia="Times New Roman" w:cs="Times New Roman"/>
          <w:lang w:eastAsia="de-DE"/>
        </w:rPr>
        <w:t>unrein sind.</w:t>
      </w:r>
    </w:p>
    <w:p w14:paraId="1DFA575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כל־הנגע בהם במתם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spezifiziert die Kontaktregeln. </w:t>
      </w:r>
      <w:r w:rsidRPr="00F75E3B">
        <w:rPr>
          <w:rFonts w:eastAsia="Times New Roman" w:cs="Times New Roman"/>
          <w:b/>
          <w:bCs/>
          <w:rtl/>
          <w:lang w:eastAsia="de-DE"/>
        </w:rPr>
        <w:t>כל־הנגע בהם</w:t>
      </w:r>
      <w:r w:rsidRPr="00F75E3B">
        <w:rPr>
          <w:rFonts w:eastAsia="Times New Roman" w:cs="Times New Roman"/>
          <w:rtl/>
          <w:lang w:eastAsia="de-DE"/>
        </w:rPr>
        <w:t xml:space="preserve"> </w:t>
      </w:r>
      <w:r w:rsidRPr="00F75E3B">
        <w:rPr>
          <w:rFonts w:eastAsia="Times New Roman" w:cs="Times New Roman"/>
          <w:lang w:eastAsia="de-DE"/>
        </w:rPr>
        <w:t xml:space="preserve">(jeder, der sie berührt) mit </w:t>
      </w:r>
      <w:r w:rsidRPr="00F75E3B">
        <w:rPr>
          <w:rFonts w:eastAsia="Times New Roman" w:cs="Times New Roman"/>
          <w:b/>
          <w:bCs/>
          <w:rtl/>
          <w:lang w:eastAsia="de-DE"/>
        </w:rPr>
        <w:t>בהם</w:t>
      </w:r>
      <w:r w:rsidRPr="00F75E3B">
        <w:rPr>
          <w:rFonts w:eastAsia="Times New Roman" w:cs="Times New Roman"/>
          <w:rtl/>
          <w:lang w:eastAsia="de-DE"/>
        </w:rPr>
        <w:t xml:space="preserve"> </w:t>
      </w:r>
      <w:r w:rsidRPr="00F75E3B">
        <w:rPr>
          <w:rFonts w:eastAsia="Times New Roman" w:cs="Times New Roman"/>
          <w:lang w:eastAsia="de-DE"/>
        </w:rPr>
        <w:t xml:space="preserve">(sie) referenziert die acht Arten. </w:t>
      </w:r>
      <w:r w:rsidRPr="00F75E3B">
        <w:rPr>
          <w:rFonts w:eastAsia="Times New Roman" w:cs="Times New Roman"/>
          <w:b/>
          <w:bCs/>
          <w:rtl/>
          <w:lang w:eastAsia="de-DE"/>
        </w:rPr>
        <w:t>במתם</w:t>
      </w:r>
      <w:r w:rsidRPr="00F75E3B">
        <w:rPr>
          <w:rFonts w:eastAsia="Times New Roman" w:cs="Times New Roman"/>
          <w:rtl/>
          <w:lang w:eastAsia="de-DE"/>
        </w:rPr>
        <w:t xml:space="preserve"> </w:t>
      </w:r>
      <w:r w:rsidRPr="00F75E3B">
        <w:rPr>
          <w:rFonts w:eastAsia="Times New Roman" w:cs="Times New Roman"/>
          <w:lang w:eastAsia="de-DE"/>
        </w:rPr>
        <w:t xml:space="preserve">(wenn sie tot sind/in ihrem Tod) spezifiziert den Zustand - </w:t>
      </w:r>
      <w:r w:rsidRPr="00F75E3B">
        <w:rPr>
          <w:rFonts w:eastAsia="Times New Roman" w:cs="Times New Roman"/>
          <w:b/>
          <w:bCs/>
          <w:rtl/>
          <w:lang w:eastAsia="de-DE"/>
        </w:rPr>
        <w:t>מות</w:t>
      </w:r>
      <w:r w:rsidRPr="00F75E3B">
        <w:rPr>
          <w:rFonts w:eastAsia="Times New Roman" w:cs="Times New Roman"/>
          <w:rtl/>
          <w:lang w:eastAsia="de-DE"/>
        </w:rPr>
        <w:t xml:space="preserve"> </w:t>
      </w:r>
      <w:r w:rsidRPr="00F75E3B">
        <w:rPr>
          <w:rFonts w:eastAsia="Times New Roman" w:cs="Times New Roman"/>
          <w:lang w:eastAsia="de-DE"/>
        </w:rPr>
        <w:t xml:space="preserve">(Tod) mit Possessivsuffix 3. Person maskulin Plural. </w:t>
      </w:r>
      <w:r w:rsidRPr="00F75E3B">
        <w:rPr>
          <w:rFonts w:eastAsia="Times New Roman" w:cs="Times New Roman"/>
          <w:b/>
          <w:bCs/>
          <w:rtl/>
          <w:lang w:eastAsia="de-DE"/>
        </w:rPr>
        <w:t>יטמא עד־הערב</w:t>
      </w:r>
      <w:r w:rsidRPr="00F75E3B">
        <w:rPr>
          <w:rFonts w:eastAsia="Times New Roman" w:cs="Times New Roman"/>
          <w:rtl/>
          <w:lang w:eastAsia="de-DE"/>
        </w:rPr>
        <w:t xml:space="preserve"> </w:t>
      </w:r>
      <w:r w:rsidRPr="00F75E3B">
        <w:rPr>
          <w:rFonts w:eastAsia="Times New Roman" w:cs="Times New Roman"/>
          <w:lang w:eastAsia="de-DE"/>
        </w:rPr>
        <w:t>(wird unrein bis zum Abend) entspricht V. 24.</w:t>
      </w:r>
    </w:p>
    <w:p w14:paraId="27F580C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במתם</w:t>
      </w:r>
      <w:r w:rsidRPr="00F75E3B">
        <w:rPr>
          <w:rFonts w:eastAsia="Times New Roman" w:cs="Times New Roman"/>
          <w:rtl/>
          <w:lang w:eastAsia="de-DE"/>
        </w:rPr>
        <w:t xml:space="preserve"> </w:t>
      </w:r>
      <w:r w:rsidRPr="00F75E3B">
        <w:rPr>
          <w:rFonts w:eastAsia="Times New Roman" w:cs="Times New Roman"/>
          <w:lang w:eastAsia="de-DE"/>
        </w:rPr>
        <w:t xml:space="preserve">ist wichtig: nur tote Kriechtiere übertragen Unreinheit, lebende nicht. </w:t>
      </w:r>
      <w:r w:rsidRPr="00F75E3B">
        <w:rPr>
          <w:rFonts w:eastAsia="Times New Roman" w:cs="Times New Roman"/>
          <w:b/>
          <w:bCs/>
          <w:rtl/>
          <w:lang w:eastAsia="de-DE"/>
        </w:rPr>
        <w:t>עד־הערב</w:t>
      </w:r>
      <w:r w:rsidRPr="00F75E3B">
        <w:rPr>
          <w:rFonts w:eastAsia="Times New Roman" w:cs="Times New Roman"/>
          <w:rtl/>
          <w:lang w:eastAsia="de-DE"/>
        </w:rPr>
        <w:t xml:space="preserve"> </w:t>
      </w:r>
      <w:r w:rsidRPr="00F75E3B">
        <w:rPr>
          <w:rFonts w:eastAsia="Times New Roman" w:cs="Times New Roman"/>
          <w:lang w:eastAsia="de-DE"/>
        </w:rPr>
        <w:t xml:space="preserve">zeigt temporäre Unreinheit wie bei anderen </w:t>
      </w:r>
      <w:r w:rsidRPr="00F75E3B">
        <w:rPr>
          <w:rFonts w:eastAsia="Times New Roman" w:cs="Times New Roman"/>
          <w:b/>
          <w:bCs/>
          <w:rtl/>
          <w:lang w:eastAsia="de-DE"/>
        </w:rPr>
        <w:t>נבלה</w:t>
      </w:r>
      <w:r w:rsidRPr="00F75E3B">
        <w:rPr>
          <w:rFonts w:eastAsia="Times New Roman" w:cs="Times New Roman"/>
          <w:lang w:eastAsia="de-DE"/>
        </w:rPr>
        <w:t>.</w:t>
      </w:r>
    </w:p>
    <w:p w14:paraId="1059C91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הטמאים</w:t>
      </w:r>
      <w:r w:rsidRPr="00F75E3B">
        <w:rPr>
          <w:rFonts w:eastAsia="Times New Roman" w:cs="Times New Roman"/>
          <w:rtl/>
          <w:lang w:eastAsia="de-DE"/>
        </w:rPr>
        <w:t xml:space="preserve"> </w:t>
      </w:r>
      <w:r w:rsidRPr="00F75E3B">
        <w:rPr>
          <w:rFonts w:eastAsia="Times New Roman" w:cs="Times New Roman"/>
          <w:lang w:eastAsia="de-DE"/>
        </w:rPr>
        <w:t>mit ἀκάθα</w:t>
      </w:r>
      <w:proofErr w:type="spellStart"/>
      <w:r w:rsidRPr="00F75E3B">
        <w:rPr>
          <w:rFonts w:eastAsia="Times New Roman" w:cs="Times New Roman"/>
          <w:lang w:eastAsia="de-DE"/>
        </w:rPr>
        <w:t>ρτ</w:t>
      </w:r>
      <w:proofErr w:type="spellEnd"/>
      <w:r w:rsidRPr="00F75E3B">
        <w:rPr>
          <w:rFonts w:eastAsia="Times New Roman" w:cs="Times New Roman"/>
          <w:lang w:eastAsia="de-DE"/>
        </w:rPr>
        <w:t xml:space="preserve">α (unrein), </w:t>
      </w:r>
      <w:r w:rsidRPr="00F75E3B">
        <w:rPr>
          <w:rFonts w:eastAsia="Times New Roman" w:cs="Times New Roman"/>
          <w:b/>
          <w:bCs/>
          <w:rtl/>
          <w:lang w:eastAsia="de-DE"/>
        </w:rPr>
        <w:t>בכל־השרץ</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ἐν</w:t>
      </w:r>
      <w:proofErr w:type="spellEnd"/>
      <w:r w:rsidRPr="00F75E3B">
        <w:rPr>
          <w:rFonts w:eastAsia="Times New Roman" w:cs="Times New Roman"/>
          <w:lang w:eastAsia="de-DE"/>
        </w:rPr>
        <w:t xml:space="preserve"> π</w:t>
      </w:r>
      <w:proofErr w:type="spellStart"/>
      <w:r w:rsidRPr="00F75E3B">
        <w:rPr>
          <w:rFonts w:eastAsia="Times New Roman" w:cs="Times New Roman"/>
          <w:lang w:eastAsia="de-DE"/>
        </w:rPr>
        <w:t>ᾶσιν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τοῖς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ἑρ</w:t>
      </w:r>
      <w:proofErr w:type="spellEnd"/>
      <w:r w:rsidRPr="00F75E3B">
        <w:rPr>
          <w:rFonts w:eastAsia="Times New Roman" w:cs="Times New Roman"/>
          <w:lang w:eastAsia="de-DE"/>
        </w:rPr>
        <w:t xml:space="preserve">πετοῖς (unter allen Kriechtieren) und </w:t>
      </w:r>
      <w:r w:rsidRPr="00F75E3B">
        <w:rPr>
          <w:rFonts w:eastAsia="Times New Roman" w:cs="Times New Roman"/>
          <w:b/>
          <w:bCs/>
          <w:rtl/>
          <w:lang w:eastAsia="de-DE"/>
        </w:rPr>
        <w:t>במתם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τετελευτηκότων</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ὐτῶν</w:t>
      </w:r>
      <w:proofErr w:type="spellEnd"/>
      <w:r w:rsidRPr="00F75E3B">
        <w:rPr>
          <w:rFonts w:eastAsia="Times New Roman" w:cs="Times New Roman"/>
          <w:lang w:eastAsia="de-DE"/>
        </w:rPr>
        <w:t xml:space="preserve"> (wenn sie gestorben sind).</w:t>
      </w:r>
    </w:p>
    <w:p w14:paraId="5F83D0F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abschließende Klassifikation plus Kontaktregel: demonstrative Klassifikation + universelle Einordnung + Kontaktregel mit Zustandsspezifikation + temporäre Unreinheit. Die Struktur schließt die Kriechtierliste ab.</w:t>
      </w:r>
    </w:p>
    <w:p w14:paraId="5EF57A1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klassifiziert die acht genannten Kriechtiere als unrein und regelt Unreinheit durch Berührung ihrer Kadaver.</w:t>
      </w:r>
    </w:p>
    <w:p w14:paraId="0A5A7C36"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lastRenderedPageBreak/>
        <w:t>Leviticus 11,32</w:t>
      </w:r>
    </w:p>
    <w:p w14:paraId="4C5BD6A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 אֲשֶׁר־יִפֹּל־עָלָיו֩ מֵהֶ֨ם׀ בְּמֹתָ֜ם יִטְמָ֗א מִכָּל־כְּלִי־עֵץ֙ א֣וֹ בֶ֤גֶד אוֹ־עוֹר֙ א֣וֹ שָׂ֔ק כָּל־כְּלִ֕י אֲשֶׁר־יֵעָשֶׂ֥ה מְלָאכָ֖ה בָּהֶ֑ם בַּמַּ֧יִם יוּבָ֛א וְטָמֵ֥א עַד־הָעֶ֖רֶב וְטָהֵֽר׃</w:t>
      </w:r>
    </w:p>
    <w:p w14:paraId="7A46462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alles, woraufhin eines von ihnen fällt, wenn sie tot sind, wird unrein sein: jedes Holzgerät oder Kleid oder Fell oder Sack, jedes Gerät, womit eine Arbeit verrichtet wird, soll ins Wasser getan werden und wird unrein sein bis zum Abend; dann wird es rein sein.</w:t>
      </w:r>
    </w:p>
    <w:p w14:paraId="74FEAB5F"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C82B7F9">
          <v:rect id="_x0000_i1308" style="width:0;height:1.5pt" o:hralign="center" o:hrstd="t" o:hr="t" fillcolor="#a0a0a0" stroked="f"/>
        </w:pict>
      </w:r>
    </w:p>
    <w:p w14:paraId="69014DE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 אשר־יפל־עליו מהם במתם יטמא</w:t>
      </w:r>
      <w:r w:rsidRPr="00F75E3B">
        <w:rPr>
          <w:rFonts w:eastAsia="Times New Roman" w:cs="Times New Roman"/>
          <w:rtl/>
          <w:lang w:eastAsia="de-DE"/>
        </w:rPr>
        <w:t xml:space="preserve"> </w:t>
      </w:r>
      <w:r w:rsidRPr="00F75E3B">
        <w:rPr>
          <w:rFonts w:eastAsia="Times New Roman" w:cs="Times New Roman"/>
          <w:lang w:eastAsia="de-DE"/>
        </w:rPr>
        <w:t xml:space="preserve">regelt Gegenstandsverunreinigung. </w:t>
      </w:r>
      <w:r w:rsidRPr="00F75E3B">
        <w:rPr>
          <w:rFonts w:eastAsia="Times New Roman" w:cs="Times New Roman"/>
          <w:b/>
          <w:bCs/>
          <w:rtl/>
          <w:lang w:eastAsia="de-DE"/>
        </w:rPr>
        <w:t>וכל אשר־יפל־עליו</w:t>
      </w:r>
      <w:r w:rsidRPr="00F75E3B">
        <w:rPr>
          <w:rFonts w:eastAsia="Times New Roman" w:cs="Times New Roman"/>
          <w:rtl/>
          <w:lang w:eastAsia="de-DE"/>
        </w:rPr>
        <w:t xml:space="preserve"> </w:t>
      </w:r>
      <w:r w:rsidRPr="00F75E3B">
        <w:rPr>
          <w:rFonts w:eastAsia="Times New Roman" w:cs="Times New Roman"/>
          <w:lang w:eastAsia="de-DE"/>
        </w:rPr>
        <w:t xml:space="preserve">(und alles, worauf fällt) - </w:t>
      </w:r>
      <w:r w:rsidRPr="00F75E3B">
        <w:rPr>
          <w:rFonts w:eastAsia="Times New Roman" w:cs="Times New Roman"/>
          <w:b/>
          <w:bCs/>
          <w:rtl/>
          <w:lang w:eastAsia="de-DE"/>
        </w:rPr>
        <w:t>נפל</w:t>
      </w:r>
      <w:r w:rsidRPr="00F75E3B">
        <w:rPr>
          <w:rFonts w:eastAsia="Times New Roman" w:cs="Times New Roman"/>
          <w:rtl/>
          <w:lang w:eastAsia="de-DE"/>
        </w:rPr>
        <w:t xml:space="preserve"> </w:t>
      </w:r>
      <w:r w:rsidRPr="00F75E3B">
        <w:rPr>
          <w:rFonts w:eastAsia="Times New Roman" w:cs="Times New Roman"/>
          <w:lang w:eastAsia="de-DE"/>
        </w:rPr>
        <w:t xml:space="preserve">(fallen) im Qal-Imperfekt mit </w:t>
      </w:r>
      <w:r w:rsidRPr="00F75E3B">
        <w:rPr>
          <w:rFonts w:eastAsia="Times New Roman" w:cs="Times New Roman"/>
          <w:b/>
          <w:bCs/>
          <w:rtl/>
          <w:lang w:eastAsia="de-DE"/>
        </w:rPr>
        <w:t>עליו</w:t>
      </w:r>
      <w:r w:rsidRPr="00F75E3B">
        <w:rPr>
          <w:rFonts w:eastAsia="Times New Roman" w:cs="Times New Roman"/>
          <w:rtl/>
          <w:lang w:eastAsia="de-DE"/>
        </w:rPr>
        <w:t xml:space="preserve"> </w:t>
      </w:r>
      <w:r w:rsidRPr="00F75E3B">
        <w:rPr>
          <w:rFonts w:eastAsia="Times New Roman" w:cs="Times New Roman"/>
          <w:lang w:eastAsia="de-DE"/>
        </w:rPr>
        <w:t xml:space="preserve">(auf es). </w:t>
      </w:r>
      <w:r w:rsidRPr="00F75E3B">
        <w:rPr>
          <w:rFonts w:eastAsia="Times New Roman" w:cs="Times New Roman"/>
          <w:b/>
          <w:bCs/>
          <w:rtl/>
          <w:lang w:eastAsia="de-DE"/>
        </w:rPr>
        <w:t>מהם במתם</w:t>
      </w:r>
      <w:r w:rsidRPr="00F75E3B">
        <w:rPr>
          <w:rFonts w:eastAsia="Times New Roman" w:cs="Times New Roman"/>
          <w:rtl/>
          <w:lang w:eastAsia="de-DE"/>
        </w:rPr>
        <w:t xml:space="preserve"> </w:t>
      </w:r>
      <w:r w:rsidRPr="00F75E3B">
        <w:rPr>
          <w:rFonts w:eastAsia="Times New Roman" w:cs="Times New Roman"/>
          <w:lang w:eastAsia="de-DE"/>
        </w:rPr>
        <w:t xml:space="preserve">(eines von ihnen, wenn sie tot sind) 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במתם</w:t>
      </w:r>
      <w:r w:rsidRPr="00F75E3B">
        <w:rPr>
          <w:rFonts w:eastAsia="Times New Roman" w:cs="Times New Roman"/>
          <w:rtl/>
          <w:lang w:eastAsia="de-DE"/>
        </w:rPr>
        <w:t xml:space="preserve"> </w:t>
      </w:r>
      <w:r w:rsidRPr="00F75E3B">
        <w:rPr>
          <w:rFonts w:eastAsia="Times New Roman" w:cs="Times New Roman"/>
          <w:lang w:eastAsia="de-DE"/>
        </w:rPr>
        <w:t xml:space="preserve">entsprechend V. 31. </w:t>
      </w:r>
      <w:r w:rsidRPr="00F75E3B">
        <w:rPr>
          <w:rFonts w:eastAsia="Times New Roman" w:cs="Times New Roman"/>
          <w:b/>
          <w:bCs/>
          <w:rtl/>
          <w:lang w:eastAsia="de-DE"/>
        </w:rPr>
        <w:t>יטמא</w:t>
      </w:r>
      <w:r w:rsidRPr="00F75E3B">
        <w:rPr>
          <w:rFonts w:eastAsia="Times New Roman" w:cs="Times New Roman"/>
          <w:rtl/>
          <w:lang w:eastAsia="de-DE"/>
        </w:rPr>
        <w:t xml:space="preserve"> </w:t>
      </w:r>
      <w:r w:rsidRPr="00F75E3B">
        <w:rPr>
          <w:rFonts w:eastAsia="Times New Roman" w:cs="Times New Roman"/>
          <w:lang w:eastAsia="de-DE"/>
        </w:rPr>
        <w:t>(wird unrein) ohne Subjektsspezifikation.</w:t>
      </w:r>
    </w:p>
    <w:p w14:paraId="7217650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מכל־כלי־עץ או בגד או־עור או שק</w:t>
      </w:r>
      <w:r w:rsidRPr="00F75E3B">
        <w:rPr>
          <w:rFonts w:eastAsia="Times New Roman" w:cs="Times New Roman"/>
          <w:rtl/>
          <w:lang w:eastAsia="de-DE"/>
        </w:rPr>
        <w:t xml:space="preserve"> </w:t>
      </w:r>
      <w:r w:rsidRPr="00F75E3B">
        <w:rPr>
          <w:rFonts w:eastAsia="Times New Roman" w:cs="Times New Roman"/>
          <w:lang w:eastAsia="de-DE"/>
        </w:rPr>
        <w:t xml:space="preserve">listet reinigbare Materialien auf. </w:t>
      </w:r>
      <w:r w:rsidRPr="00F75E3B">
        <w:rPr>
          <w:rFonts w:eastAsia="Times New Roman" w:cs="Times New Roman"/>
          <w:b/>
          <w:bCs/>
          <w:rtl/>
          <w:lang w:eastAsia="de-DE"/>
        </w:rPr>
        <w:t>מכל־כלי־עץ</w:t>
      </w:r>
      <w:r w:rsidRPr="00F75E3B">
        <w:rPr>
          <w:rFonts w:eastAsia="Times New Roman" w:cs="Times New Roman"/>
          <w:rtl/>
          <w:lang w:eastAsia="de-DE"/>
        </w:rPr>
        <w:t xml:space="preserve"> </w:t>
      </w:r>
      <w:r w:rsidRPr="00F75E3B">
        <w:rPr>
          <w:rFonts w:eastAsia="Times New Roman" w:cs="Times New Roman"/>
          <w:lang w:eastAsia="de-DE"/>
        </w:rPr>
        <w:t xml:space="preserve">(von jedem Holzgerät), </w:t>
      </w:r>
      <w:r w:rsidRPr="00F75E3B">
        <w:rPr>
          <w:rFonts w:eastAsia="Times New Roman" w:cs="Times New Roman"/>
          <w:b/>
          <w:bCs/>
          <w:rtl/>
          <w:lang w:eastAsia="de-DE"/>
        </w:rPr>
        <w:t>או בגד</w:t>
      </w:r>
      <w:r w:rsidRPr="00F75E3B">
        <w:rPr>
          <w:rFonts w:eastAsia="Times New Roman" w:cs="Times New Roman"/>
          <w:rtl/>
          <w:lang w:eastAsia="de-DE"/>
        </w:rPr>
        <w:t xml:space="preserve"> </w:t>
      </w:r>
      <w:r w:rsidRPr="00F75E3B">
        <w:rPr>
          <w:rFonts w:eastAsia="Times New Roman" w:cs="Times New Roman"/>
          <w:lang w:eastAsia="de-DE"/>
        </w:rPr>
        <w:t xml:space="preserve">(oder Kleid), </w:t>
      </w:r>
      <w:r w:rsidRPr="00F75E3B">
        <w:rPr>
          <w:rFonts w:eastAsia="Times New Roman" w:cs="Times New Roman"/>
          <w:b/>
          <w:bCs/>
          <w:rtl/>
          <w:lang w:eastAsia="de-DE"/>
        </w:rPr>
        <w:t>או־עור</w:t>
      </w:r>
      <w:r w:rsidRPr="00F75E3B">
        <w:rPr>
          <w:rFonts w:eastAsia="Times New Roman" w:cs="Times New Roman"/>
          <w:rtl/>
          <w:lang w:eastAsia="de-DE"/>
        </w:rPr>
        <w:t xml:space="preserve"> </w:t>
      </w:r>
      <w:r w:rsidRPr="00F75E3B">
        <w:rPr>
          <w:rFonts w:eastAsia="Times New Roman" w:cs="Times New Roman"/>
          <w:lang w:eastAsia="de-DE"/>
        </w:rPr>
        <w:t xml:space="preserve">(oder Fell), </w:t>
      </w:r>
      <w:r w:rsidRPr="00F75E3B">
        <w:rPr>
          <w:rFonts w:eastAsia="Times New Roman" w:cs="Times New Roman"/>
          <w:b/>
          <w:bCs/>
          <w:rtl/>
          <w:lang w:eastAsia="de-DE"/>
        </w:rPr>
        <w:t>או שק</w:t>
      </w:r>
      <w:r w:rsidRPr="00F75E3B">
        <w:rPr>
          <w:rFonts w:eastAsia="Times New Roman" w:cs="Times New Roman"/>
          <w:rtl/>
          <w:lang w:eastAsia="de-DE"/>
        </w:rPr>
        <w:t xml:space="preserve"> </w:t>
      </w:r>
      <w:r w:rsidRPr="00F75E3B">
        <w:rPr>
          <w:rFonts w:eastAsia="Times New Roman" w:cs="Times New Roman"/>
          <w:lang w:eastAsia="de-DE"/>
        </w:rPr>
        <w:t xml:space="preserve">(oder Sack). </w:t>
      </w:r>
      <w:r w:rsidRPr="00F75E3B">
        <w:rPr>
          <w:rFonts w:eastAsia="Times New Roman" w:cs="Times New Roman"/>
          <w:b/>
          <w:bCs/>
          <w:rtl/>
          <w:lang w:eastAsia="de-DE"/>
        </w:rPr>
        <w:t>כל־כלי אשר־יעשה מלאכה בהם</w:t>
      </w:r>
      <w:r w:rsidRPr="00F75E3B">
        <w:rPr>
          <w:rFonts w:eastAsia="Times New Roman" w:cs="Times New Roman"/>
          <w:rtl/>
          <w:lang w:eastAsia="de-DE"/>
        </w:rPr>
        <w:t xml:space="preserve"> </w:t>
      </w:r>
      <w:r w:rsidRPr="00F75E3B">
        <w:rPr>
          <w:rFonts w:eastAsia="Times New Roman" w:cs="Times New Roman"/>
          <w:lang w:eastAsia="de-DE"/>
        </w:rPr>
        <w:t>(jedes Gerät, womit Arbeit verrichtet wird) definiert Gebrauchsgegenstände.</w:t>
      </w:r>
    </w:p>
    <w:p w14:paraId="068B6E8D" w14:textId="20C21836"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במים יובא וטמא עד־הערב וטהר</w:t>
      </w:r>
      <w:r w:rsidRPr="00F75E3B">
        <w:rPr>
          <w:rFonts w:eastAsia="Times New Roman" w:cs="Times New Roman"/>
          <w:rtl/>
          <w:lang w:eastAsia="de-DE"/>
        </w:rPr>
        <w:t xml:space="preserve"> </w:t>
      </w:r>
      <w:r w:rsidRPr="00F75E3B">
        <w:rPr>
          <w:rFonts w:eastAsia="Times New Roman" w:cs="Times New Roman"/>
          <w:lang w:eastAsia="de-DE"/>
        </w:rPr>
        <w:t xml:space="preserve">zeigt die Reinigungsprozedur. </w:t>
      </w:r>
      <w:r w:rsidRPr="00F75E3B">
        <w:rPr>
          <w:rFonts w:eastAsia="Times New Roman" w:cs="Times New Roman"/>
          <w:b/>
          <w:bCs/>
          <w:rtl/>
          <w:lang w:eastAsia="de-DE"/>
        </w:rPr>
        <w:t>במים יובא</w:t>
      </w:r>
      <w:r w:rsidRPr="00F75E3B">
        <w:rPr>
          <w:rFonts w:eastAsia="Times New Roman" w:cs="Times New Roman"/>
          <w:rtl/>
          <w:lang w:eastAsia="de-DE"/>
        </w:rPr>
        <w:t xml:space="preserve"> </w:t>
      </w:r>
      <w:r w:rsidRPr="00F75E3B">
        <w:rPr>
          <w:rFonts w:eastAsia="Times New Roman" w:cs="Times New Roman"/>
          <w:lang w:eastAsia="de-DE"/>
        </w:rPr>
        <w:t xml:space="preserve">(soll ins Wasser gebracht werden) - </w:t>
      </w:r>
      <w:r w:rsidRPr="00F75E3B">
        <w:rPr>
          <w:rFonts w:eastAsia="Times New Roman" w:cs="Times New Roman"/>
          <w:b/>
          <w:bCs/>
          <w:rtl/>
          <w:lang w:eastAsia="de-DE"/>
        </w:rPr>
        <w:t>בוא</w:t>
      </w:r>
      <w:r w:rsidRPr="00F75E3B">
        <w:rPr>
          <w:rFonts w:eastAsia="Times New Roman" w:cs="Times New Roman"/>
          <w:rtl/>
          <w:lang w:eastAsia="de-DE"/>
        </w:rPr>
        <w:t xml:space="preserve"> </w:t>
      </w:r>
      <w:r w:rsidRPr="00F75E3B">
        <w:rPr>
          <w:rFonts w:eastAsia="Times New Roman" w:cs="Times New Roman"/>
          <w:lang w:eastAsia="de-DE"/>
        </w:rPr>
        <w:t xml:space="preserve">im </w:t>
      </w:r>
      <w:r w:rsidR="00AB1706">
        <w:rPr>
          <w:rFonts w:eastAsia="Times New Roman" w:cs="Times New Roman"/>
          <w:lang w:eastAsia="de-DE"/>
        </w:rPr>
        <w:t>Hofal</w:t>
      </w:r>
      <w:r w:rsidRPr="00F75E3B">
        <w:rPr>
          <w:rFonts w:eastAsia="Times New Roman" w:cs="Times New Roman"/>
          <w:lang w:eastAsia="de-DE"/>
        </w:rPr>
        <w:t xml:space="preserve">-Imperfekt. </w:t>
      </w:r>
      <w:r w:rsidRPr="00F75E3B">
        <w:rPr>
          <w:rFonts w:eastAsia="Times New Roman" w:cs="Times New Roman"/>
          <w:b/>
          <w:bCs/>
          <w:rtl/>
          <w:lang w:eastAsia="de-DE"/>
        </w:rPr>
        <w:t>וטמא עד־הערב</w:t>
      </w:r>
      <w:r w:rsidRPr="00F75E3B">
        <w:rPr>
          <w:rFonts w:eastAsia="Times New Roman" w:cs="Times New Roman"/>
          <w:rtl/>
          <w:lang w:eastAsia="de-DE"/>
        </w:rPr>
        <w:t xml:space="preserve"> </w:t>
      </w:r>
      <w:r w:rsidRPr="00F75E3B">
        <w:rPr>
          <w:rFonts w:eastAsia="Times New Roman" w:cs="Times New Roman"/>
          <w:lang w:eastAsia="de-DE"/>
        </w:rPr>
        <w:t xml:space="preserve">(und wird unrein bis zum Abend), </w:t>
      </w:r>
      <w:r w:rsidRPr="00F75E3B">
        <w:rPr>
          <w:rFonts w:eastAsia="Times New Roman" w:cs="Times New Roman"/>
          <w:b/>
          <w:bCs/>
          <w:rtl/>
          <w:lang w:eastAsia="de-DE"/>
        </w:rPr>
        <w:t>וטהר</w:t>
      </w:r>
      <w:r w:rsidRPr="00F75E3B">
        <w:rPr>
          <w:rFonts w:eastAsia="Times New Roman" w:cs="Times New Roman"/>
          <w:rtl/>
          <w:lang w:eastAsia="de-DE"/>
        </w:rPr>
        <w:t xml:space="preserve"> </w:t>
      </w:r>
      <w:r w:rsidRPr="00F75E3B">
        <w:rPr>
          <w:rFonts w:eastAsia="Times New Roman" w:cs="Times New Roman"/>
          <w:lang w:eastAsia="de-DE"/>
        </w:rPr>
        <w:t>(und wird rein) im Qal-Perfekt zeigt die abschließende Reinheit.</w:t>
      </w:r>
    </w:p>
    <w:p w14:paraId="2E1CC2E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יפל־עליו</w:t>
      </w:r>
      <w:r w:rsidRPr="00F75E3B">
        <w:rPr>
          <w:rFonts w:eastAsia="Times New Roman" w:cs="Times New Roman"/>
          <w:rtl/>
          <w:lang w:eastAsia="de-DE"/>
        </w:rPr>
        <w:t xml:space="preserve"> </w:t>
      </w:r>
      <w:r w:rsidRPr="00F75E3B">
        <w:rPr>
          <w:rFonts w:eastAsia="Times New Roman" w:cs="Times New Roman"/>
          <w:lang w:eastAsia="de-DE"/>
        </w:rPr>
        <w:t xml:space="preserve">zeigt unbeabsichtigten Kontakt im Unterschied zu aktiver Berührung. </w:t>
      </w:r>
      <w:r w:rsidRPr="00F75E3B">
        <w:rPr>
          <w:rFonts w:eastAsia="Times New Roman" w:cs="Times New Roman"/>
          <w:b/>
          <w:bCs/>
          <w:rtl/>
          <w:lang w:eastAsia="de-DE"/>
        </w:rPr>
        <w:t>במים יובא</w:t>
      </w:r>
      <w:r w:rsidRPr="00F75E3B">
        <w:rPr>
          <w:rFonts w:eastAsia="Times New Roman" w:cs="Times New Roman"/>
          <w:rtl/>
          <w:lang w:eastAsia="de-DE"/>
        </w:rPr>
        <w:t xml:space="preserve"> </w:t>
      </w:r>
      <w:r w:rsidRPr="00F75E3B">
        <w:rPr>
          <w:rFonts w:eastAsia="Times New Roman" w:cs="Times New Roman"/>
          <w:lang w:eastAsia="de-DE"/>
        </w:rPr>
        <w:t xml:space="preserve">ermöglicht Wiederverwendung nach Reinigung. </w:t>
      </w:r>
      <w:r w:rsidRPr="00F75E3B">
        <w:rPr>
          <w:rFonts w:eastAsia="Times New Roman" w:cs="Times New Roman"/>
          <w:b/>
          <w:bCs/>
          <w:rtl/>
          <w:lang w:eastAsia="de-DE"/>
        </w:rPr>
        <w:t>וטהר</w:t>
      </w:r>
      <w:r w:rsidRPr="00F75E3B">
        <w:rPr>
          <w:rFonts w:eastAsia="Times New Roman" w:cs="Times New Roman"/>
          <w:rtl/>
          <w:lang w:eastAsia="de-DE"/>
        </w:rPr>
        <w:t xml:space="preserve"> </w:t>
      </w:r>
      <w:r w:rsidRPr="00F75E3B">
        <w:rPr>
          <w:rFonts w:eastAsia="Times New Roman" w:cs="Times New Roman"/>
          <w:lang w:eastAsia="de-DE"/>
        </w:rPr>
        <w:t>zeigt vollständige Wiederherstellung der Reinheit.</w:t>
      </w:r>
    </w:p>
    <w:p w14:paraId="206E142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יפל־עליו</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έσῃ</w:t>
      </w:r>
      <w:proofErr w:type="spellEnd"/>
      <w:r w:rsidRPr="00F75E3B">
        <w:rPr>
          <w:rFonts w:eastAsia="Times New Roman" w:cs="Times New Roman"/>
          <w:lang w:eastAsia="de-DE"/>
        </w:rPr>
        <w:t xml:space="preserve"> ἐπ᾽ α</w:t>
      </w:r>
      <w:proofErr w:type="spellStart"/>
      <w:r w:rsidRPr="00F75E3B">
        <w:rPr>
          <w:rFonts w:eastAsia="Times New Roman" w:cs="Times New Roman"/>
          <w:lang w:eastAsia="de-DE"/>
        </w:rPr>
        <w:t>ὐτό</w:t>
      </w:r>
      <w:proofErr w:type="spellEnd"/>
      <w:r w:rsidRPr="00F75E3B">
        <w:rPr>
          <w:rFonts w:eastAsia="Times New Roman" w:cs="Times New Roman"/>
          <w:lang w:eastAsia="de-DE"/>
        </w:rPr>
        <w:t xml:space="preserve"> (fällt auf es), </w:t>
      </w:r>
      <w:r w:rsidRPr="00F75E3B">
        <w:rPr>
          <w:rFonts w:eastAsia="Times New Roman" w:cs="Times New Roman"/>
          <w:b/>
          <w:bCs/>
          <w:rtl/>
          <w:lang w:eastAsia="de-DE"/>
        </w:rPr>
        <w:t>כלי־עץ</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σκεῦος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ξύλινον</w:t>
      </w:r>
      <w:proofErr w:type="spellEnd"/>
      <w:r w:rsidRPr="00F75E3B">
        <w:rPr>
          <w:rFonts w:eastAsia="Times New Roman" w:cs="Times New Roman"/>
          <w:lang w:eastAsia="de-DE"/>
        </w:rPr>
        <w:t xml:space="preserve"> (hölzernes Gerät) und </w:t>
      </w:r>
      <w:r w:rsidRPr="00F75E3B">
        <w:rPr>
          <w:rFonts w:eastAsia="Times New Roman" w:cs="Times New Roman"/>
          <w:b/>
          <w:bCs/>
          <w:rtl/>
          <w:lang w:eastAsia="de-DE"/>
        </w:rPr>
        <w:t>במים יובא</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εἰς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ὕδωρ</w:t>
      </w:r>
      <w:proofErr w:type="spellEnd"/>
      <w:r w:rsidRPr="00F75E3B">
        <w:rPr>
          <w:rFonts w:eastAsia="Times New Roman" w:cs="Times New Roman"/>
          <w:lang w:eastAsia="de-DE"/>
        </w:rPr>
        <w:t xml:space="preserve"> β</w:t>
      </w:r>
      <w:proofErr w:type="spellStart"/>
      <w:r w:rsidRPr="00F75E3B">
        <w:rPr>
          <w:rFonts w:eastAsia="Times New Roman" w:cs="Times New Roman"/>
          <w:lang w:eastAsia="de-DE"/>
        </w:rPr>
        <w:t>ληθήσετ</w:t>
      </w:r>
      <w:proofErr w:type="spellEnd"/>
      <w:r w:rsidRPr="00F75E3B">
        <w:rPr>
          <w:rFonts w:eastAsia="Times New Roman" w:cs="Times New Roman"/>
          <w:lang w:eastAsia="de-DE"/>
        </w:rPr>
        <w:t>αι (wird in Wasser geworfen werden).</w:t>
      </w:r>
    </w:p>
    <w:p w14:paraId="3A07D5C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komplexe Reinigungsregeln: Fallregel + Materialaufzählung + Nutzungsspezifikation + Reinigungsprozedur + temporäre Unreinheit + Wiederherstellung. Die Struktur zeigt abgestufte Behandlung verschiedener Materialien.</w:t>
      </w:r>
    </w:p>
    <w:p w14:paraId="59A1740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regelt Verunreinigung von Gebrauchsgegenständen durch fallende tote Kriechtiere und deren Reinigung durch Wasserbad.</w:t>
      </w:r>
    </w:p>
    <w:p w14:paraId="21EC5176"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11,33</w:t>
      </w:r>
    </w:p>
    <w:p w14:paraId="01FDE27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וְכָל־כְּלִי־חֶ֔רֶשׂ אֲשֶׁר־יִפֹּ֥ל מֵהֶ֖ם אֶל־תּוֹכֹ֑ו כֹּ֣ל אֲשֶׁ֧ר בְּתוֹכֹ֛ו יִטְמָ֖א וְאֹתוֹ֥ תִשְׁבֹּֽרוּ׃</w:t>
      </w:r>
    </w:p>
    <w:p w14:paraId="03E533A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jedes irdene Gefäß, in das eines von ihnen hineinfällt: alles, was darin ist, wird unrein sein, und ihr sollt es zerbrechen.</w:t>
      </w:r>
    </w:p>
    <w:p w14:paraId="0AFBCB18"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7DD8A152">
          <v:rect id="_x0000_i1309" style="width:0;height:1.5pt" o:hralign="center" o:hrstd="t" o:hr="t" fillcolor="#a0a0a0" stroked="f"/>
        </w:pict>
      </w:r>
    </w:p>
    <w:p w14:paraId="78AB030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וכל־כלי־חרש אשר־יפל מהם אל־תוכו</w:t>
      </w:r>
      <w:r w:rsidRPr="00F75E3B">
        <w:rPr>
          <w:rFonts w:eastAsia="Times New Roman" w:cs="Times New Roman"/>
          <w:rtl/>
          <w:lang w:eastAsia="de-DE"/>
        </w:rPr>
        <w:t xml:space="preserve"> </w:t>
      </w:r>
      <w:r w:rsidRPr="00F75E3B">
        <w:rPr>
          <w:rFonts w:eastAsia="Times New Roman" w:cs="Times New Roman"/>
          <w:lang w:eastAsia="de-DE"/>
        </w:rPr>
        <w:t xml:space="preserve">behandelt Tongefäße anders als andere Materialien. </w:t>
      </w:r>
      <w:r w:rsidRPr="00F75E3B">
        <w:rPr>
          <w:rFonts w:eastAsia="Times New Roman" w:cs="Times New Roman"/>
          <w:b/>
          <w:bCs/>
          <w:rtl/>
          <w:lang w:eastAsia="de-DE"/>
        </w:rPr>
        <w:t>וכל־כלי־חרש</w:t>
      </w:r>
      <w:r w:rsidRPr="00F75E3B">
        <w:rPr>
          <w:rFonts w:eastAsia="Times New Roman" w:cs="Times New Roman"/>
          <w:rtl/>
          <w:lang w:eastAsia="de-DE"/>
        </w:rPr>
        <w:t xml:space="preserve"> </w:t>
      </w:r>
      <w:r w:rsidRPr="00F75E3B">
        <w:rPr>
          <w:rFonts w:eastAsia="Times New Roman" w:cs="Times New Roman"/>
          <w:lang w:eastAsia="de-DE"/>
        </w:rPr>
        <w:t xml:space="preserve">(und jedes irdene Gefäß) - </w:t>
      </w:r>
      <w:r w:rsidRPr="00F75E3B">
        <w:rPr>
          <w:rFonts w:eastAsia="Times New Roman" w:cs="Times New Roman"/>
          <w:b/>
          <w:bCs/>
          <w:rtl/>
          <w:lang w:eastAsia="de-DE"/>
        </w:rPr>
        <w:t>חרש</w:t>
      </w:r>
      <w:r w:rsidRPr="00F75E3B">
        <w:rPr>
          <w:rFonts w:eastAsia="Times New Roman" w:cs="Times New Roman"/>
          <w:rtl/>
          <w:lang w:eastAsia="de-DE"/>
        </w:rPr>
        <w:t xml:space="preserve"> </w:t>
      </w:r>
      <w:r w:rsidRPr="00F75E3B">
        <w:rPr>
          <w:rFonts w:eastAsia="Times New Roman" w:cs="Times New Roman"/>
          <w:lang w:eastAsia="de-DE"/>
        </w:rPr>
        <w:t xml:space="preserve">(Ton/Keramik) im Unterschied zu </w:t>
      </w:r>
      <w:r w:rsidRPr="00F75E3B">
        <w:rPr>
          <w:rFonts w:eastAsia="Times New Roman" w:cs="Times New Roman"/>
          <w:lang w:eastAsia="de-DE"/>
        </w:rPr>
        <w:lastRenderedPageBreak/>
        <w:t xml:space="preserve">den Materialien aus V. 32. </w:t>
      </w:r>
      <w:r w:rsidRPr="00F75E3B">
        <w:rPr>
          <w:rFonts w:eastAsia="Times New Roman" w:cs="Times New Roman"/>
          <w:b/>
          <w:bCs/>
          <w:rtl/>
          <w:lang w:eastAsia="de-DE"/>
        </w:rPr>
        <w:t>אשר־יפל מהם אל־תוכו</w:t>
      </w:r>
      <w:r w:rsidRPr="00F75E3B">
        <w:rPr>
          <w:rFonts w:eastAsia="Times New Roman" w:cs="Times New Roman"/>
          <w:rtl/>
          <w:lang w:eastAsia="de-DE"/>
        </w:rPr>
        <w:t xml:space="preserve"> </w:t>
      </w:r>
      <w:r w:rsidRPr="00F75E3B">
        <w:rPr>
          <w:rFonts w:eastAsia="Times New Roman" w:cs="Times New Roman"/>
          <w:lang w:eastAsia="de-DE"/>
        </w:rPr>
        <w:t xml:space="preserve">(in das eines von ihnen hineinfällt) - </w:t>
      </w:r>
      <w:r w:rsidRPr="00F75E3B">
        <w:rPr>
          <w:rFonts w:eastAsia="Times New Roman" w:cs="Times New Roman"/>
          <w:b/>
          <w:bCs/>
          <w:rtl/>
          <w:lang w:eastAsia="de-DE"/>
        </w:rPr>
        <w:t>אל־תוכו</w:t>
      </w:r>
      <w:r w:rsidRPr="00F75E3B">
        <w:rPr>
          <w:rFonts w:eastAsia="Times New Roman" w:cs="Times New Roman"/>
          <w:rtl/>
          <w:lang w:eastAsia="de-DE"/>
        </w:rPr>
        <w:t xml:space="preserve"> </w:t>
      </w:r>
      <w:r w:rsidRPr="00F75E3B">
        <w:rPr>
          <w:rFonts w:eastAsia="Times New Roman" w:cs="Times New Roman"/>
          <w:lang w:eastAsia="de-DE"/>
        </w:rPr>
        <w:t>(in sein Inneres) zeigt innere Verunreinigung.</w:t>
      </w:r>
    </w:p>
    <w:p w14:paraId="539FA0F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 אשר בתוכו יטמא ואתו תשברו</w:t>
      </w:r>
      <w:r w:rsidRPr="00F75E3B">
        <w:rPr>
          <w:rFonts w:eastAsia="Times New Roman" w:cs="Times New Roman"/>
          <w:rtl/>
          <w:lang w:eastAsia="de-DE"/>
        </w:rPr>
        <w:t xml:space="preserve"> </w:t>
      </w:r>
      <w:r w:rsidRPr="00F75E3B">
        <w:rPr>
          <w:rFonts w:eastAsia="Times New Roman" w:cs="Times New Roman"/>
          <w:lang w:eastAsia="de-DE"/>
        </w:rPr>
        <w:t xml:space="preserve">zeigt die drastischen Konsequenzen. </w:t>
      </w:r>
      <w:r w:rsidRPr="00F75E3B">
        <w:rPr>
          <w:rFonts w:eastAsia="Times New Roman" w:cs="Times New Roman"/>
          <w:b/>
          <w:bCs/>
          <w:rtl/>
          <w:lang w:eastAsia="de-DE"/>
        </w:rPr>
        <w:t>כל אשר בתוכו יטמא</w:t>
      </w:r>
      <w:r w:rsidRPr="00F75E3B">
        <w:rPr>
          <w:rFonts w:eastAsia="Times New Roman" w:cs="Times New Roman"/>
          <w:rtl/>
          <w:lang w:eastAsia="de-DE"/>
        </w:rPr>
        <w:t xml:space="preserve"> </w:t>
      </w:r>
      <w:r w:rsidRPr="00F75E3B">
        <w:rPr>
          <w:rFonts w:eastAsia="Times New Roman" w:cs="Times New Roman"/>
          <w:lang w:eastAsia="de-DE"/>
        </w:rPr>
        <w:t xml:space="preserve">(alles, was darin ist, wird unrein) mit Totalitätspartikel </w:t>
      </w:r>
      <w:r w:rsidRPr="00F75E3B">
        <w:rPr>
          <w:rFonts w:eastAsia="Times New Roman" w:cs="Times New Roman"/>
          <w:b/>
          <w:bCs/>
          <w:rtl/>
          <w:lang w:eastAsia="de-DE"/>
        </w:rPr>
        <w:t>כל</w:t>
      </w:r>
      <w:r w:rsidRPr="00F75E3B">
        <w:rPr>
          <w:rFonts w:eastAsia="Times New Roman" w:cs="Times New Roman"/>
          <w:rtl/>
          <w:lang w:eastAsia="de-DE"/>
        </w:rPr>
        <w:t xml:space="preserve"> </w:t>
      </w:r>
      <w:r w:rsidRPr="00F75E3B">
        <w:rPr>
          <w:rFonts w:eastAsia="Times New Roman" w:cs="Times New Roman"/>
          <w:lang w:eastAsia="de-DE"/>
        </w:rPr>
        <w:t xml:space="preserve">- der gesamte Inhalt wird unrein. </w:t>
      </w:r>
      <w:r w:rsidRPr="00F75E3B">
        <w:rPr>
          <w:rFonts w:eastAsia="Times New Roman" w:cs="Times New Roman"/>
          <w:b/>
          <w:bCs/>
          <w:rtl/>
          <w:lang w:eastAsia="de-DE"/>
        </w:rPr>
        <w:t>ואתו תשברו</w:t>
      </w:r>
      <w:r w:rsidRPr="00F75E3B">
        <w:rPr>
          <w:rFonts w:eastAsia="Times New Roman" w:cs="Times New Roman"/>
          <w:rtl/>
          <w:lang w:eastAsia="de-DE"/>
        </w:rPr>
        <w:t xml:space="preserve"> </w:t>
      </w:r>
      <w:r w:rsidRPr="00F75E3B">
        <w:rPr>
          <w:rFonts w:eastAsia="Times New Roman" w:cs="Times New Roman"/>
          <w:lang w:eastAsia="de-DE"/>
        </w:rPr>
        <w:t xml:space="preserve">(und es sollt ihr zerbrechen) - </w:t>
      </w:r>
      <w:r w:rsidRPr="00F75E3B">
        <w:rPr>
          <w:rFonts w:eastAsia="Times New Roman" w:cs="Times New Roman"/>
          <w:b/>
          <w:bCs/>
          <w:rtl/>
          <w:lang w:eastAsia="de-DE"/>
        </w:rPr>
        <w:t>שבר</w:t>
      </w:r>
      <w:r w:rsidRPr="00F75E3B">
        <w:rPr>
          <w:rFonts w:eastAsia="Times New Roman" w:cs="Times New Roman"/>
          <w:rtl/>
          <w:lang w:eastAsia="de-DE"/>
        </w:rPr>
        <w:t xml:space="preserve"> </w:t>
      </w:r>
      <w:r w:rsidRPr="00F75E3B">
        <w:rPr>
          <w:rFonts w:eastAsia="Times New Roman" w:cs="Times New Roman"/>
          <w:lang w:eastAsia="de-DE"/>
        </w:rPr>
        <w:t xml:space="preserve">(zerbrechen) im Qal-Imperfekt 2. Person maskulin Plural. </w:t>
      </w:r>
      <w:r w:rsidRPr="00F75E3B">
        <w:rPr>
          <w:rFonts w:eastAsia="Times New Roman" w:cs="Times New Roman"/>
          <w:b/>
          <w:bCs/>
          <w:rtl/>
          <w:lang w:eastAsia="de-DE"/>
        </w:rPr>
        <w:t>אתו</w:t>
      </w:r>
      <w:r w:rsidRPr="00F75E3B">
        <w:rPr>
          <w:rFonts w:eastAsia="Times New Roman" w:cs="Times New Roman"/>
          <w:rtl/>
          <w:lang w:eastAsia="de-DE"/>
        </w:rPr>
        <w:t xml:space="preserve"> </w:t>
      </w:r>
      <w:r w:rsidRPr="00F75E3B">
        <w:rPr>
          <w:rFonts w:eastAsia="Times New Roman" w:cs="Times New Roman"/>
          <w:lang w:eastAsia="de-DE"/>
        </w:rPr>
        <w:t>(es) referenziert das Tongefäß.</w:t>
      </w:r>
    </w:p>
    <w:p w14:paraId="2DEE5DD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כלי־חרש</w:t>
      </w:r>
      <w:r w:rsidRPr="00F75E3B">
        <w:rPr>
          <w:rFonts w:eastAsia="Times New Roman" w:cs="Times New Roman"/>
          <w:rtl/>
          <w:lang w:eastAsia="de-DE"/>
        </w:rPr>
        <w:t xml:space="preserve"> </w:t>
      </w:r>
      <w:r w:rsidRPr="00F75E3B">
        <w:rPr>
          <w:rFonts w:eastAsia="Times New Roman" w:cs="Times New Roman"/>
          <w:lang w:eastAsia="de-DE"/>
        </w:rPr>
        <w:t xml:space="preserve">als poröses Material kann nicht gereinigt werden wie die Materialien aus V. 32. </w:t>
      </w:r>
      <w:r w:rsidRPr="00F75E3B">
        <w:rPr>
          <w:rFonts w:eastAsia="Times New Roman" w:cs="Times New Roman"/>
          <w:b/>
          <w:bCs/>
          <w:rtl/>
          <w:lang w:eastAsia="de-DE"/>
        </w:rPr>
        <w:t>אל־תוכו</w:t>
      </w:r>
      <w:r w:rsidRPr="00F75E3B">
        <w:rPr>
          <w:rFonts w:eastAsia="Times New Roman" w:cs="Times New Roman"/>
          <w:rtl/>
          <w:lang w:eastAsia="de-DE"/>
        </w:rPr>
        <w:t xml:space="preserve"> </w:t>
      </w:r>
      <w:r w:rsidRPr="00F75E3B">
        <w:rPr>
          <w:rFonts w:eastAsia="Times New Roman" w:cs="Times New Roman"/>
          <w:lang w:eastAsia="de-DE"/>
        </w:rPr>
        <w:t xml:space="preserve">zeigt, dass innere Verunreinigung schwerwiegender ist als äußere. </w:t>
      </w:r>
      <w:r w:rsidRPr="00F75E3B">
        <w:rPr>
          <w:rFonts w:eastAsia="Times New Roman" w:cs="Times New Roman"/>
          <w:b/>
          <w:bCs/>
          <w:rtl/>
          <w:lang w:eastAsia="de-DE"/>
        </w:rPr>
        <w:t>תשברו</w:t>
      </w:r>
      <w:r w:rsidRPr="00F75E3B">
        <w:rPr>
          <w:rFonts w:eastAsia="Times New Roman" w:cs="Times New Roman"/>
          <w:rtl/>
          <w:lang w:eastAsia="de-DE"/>
        </w:rPr>
        <w:t xml:space="preserve"> </w:t>
      </w:r>
      <w:r w:rsidRPr="00F75E3B">
        <w:rPr>
          <w:rFonts w:eastAsia="Times New Roman" w:cs="Times New Roman"/>
          <w:lang w:eastAsia="de-DE"/>
        </w:rPr>
        <w:t>als einzige Lösung zeigt die Endgültigkeit der Verunreinigung.</w:t>
      </w:r>
    </w:p>
    <w:p w14:paraId="2C922F6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כלי־חרש</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σκεῦος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ὀστράκινον</w:t>
      </w:r>
      <w:proofErr w:type="spellEnd"/>
      <w:r w:rsidRPr="00F75E3B">
        <w:rPr>
          <w:rFonts w:eastAsia="Times New Roman" w:cs="Times New Roman"/>
          <w:lang w:eastAsia="de-DE"/>
        </w:rPr>
        <w:t xml:space="preserve"> (töpfernes Gefäß), </w:t>
      </w:r>
      <w:r w:rsidRPr="00F75E3B">
        <w:rPr>
          <w:rFonts w:eastAsia="Times New Roman" w:cs="Times New Roman"/>
          <w:b/>
          <w:bCs/>
          <w:rtl/>
          <w:lang w:eastAsia="de-DE"/>
        </w:rPr>
        <w:t>אל־תוכו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εἰς</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ὐτό</w:t>
      </w:r>
      <w:proofErr w:type="spellEnd"/>
      <w:r w:rsidRPr="00F75E3B">
        <w:rPr>
          <w:rFonts w:eastAsia="Times New Roman" w:cs="Times New Roman"/>
          <w:lang w:eastAsia="de-DE"/>
        </w:rPr>
        <w:t xml:space="preserve"> (in es hinein) und </w:t>
      </w:r>
      <w:r w:rsidRPr="00F75E3B">
        <w:rPr>
          <w:rFonts w:eastAsia="Times New Roman" w:cs="Times New Roman"/>
          <w:b/>
          <w:bCs/>
          <w:rtl/>
          <w:lang w:eastAsia="de-DE"/>
        </w:rPr>
        <w:t>תשברו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συντρίψετε</w:t>
      </w:r>
      <w:proofErr w:type="spellEnd"/>
      <w:r w:rsidRPr="00F75E3B">
        <w:rPr>
          <w:rFonts w:eastAsia="Times New Roman" w:cs="Times New Roman"/>
          <w:lang w:eastAsia="de-DE"/>
        </w:rPr>
        <w:t xml:space="preserve"> (ihr werdet zerbrechen).</w:t>
      </w:r>
    </w:p>
    <w:p w14:paraId="7F328F9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unumkehrbare Verunreinigung: spezifisches Material + innere Verunreinigung + totale Inhaltsverunreinigung + Zerstörungsgebot. Die Struktur zeigt die Besonderheit poröser Materialien.</w:t>
      </w:r>
    </w:p>
    <w:p w14:paraId="51BC4F2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zeigt, dass Tongefäße bei innerer Verunreinigung durch tote Kriechtiere irreparabel verunreinigt sind und zerbrochen werden müssen.</w:t>
      </w:r>
    </w:p>
    <w:p w14:paraId="07FBB013"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11,34</w:t>
      </w:r>
    </w:p>
    <w:p w14:paraId="5D9E846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מִכָּל־הָאֹ֜כֶל אֲשֶׁ֣ר יֵאָכֵ֗ל אֲשֶׁ֨ר יָב֥וֹא עָלָ֛יו מַ֖יִם יִטְמָ֑א וְכָל־מַשְׁקֶה֙ אֲשֶׁ֣ר יִשָּׁתֶ֔ה בְּכָל־כְּלִ֖י יִטְמָֽא׃</w:t>
      </w:r>
    </w:p>
    <w:p w14:paraId="2549F91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Alle Speise, die gegessen wird, auf die Wasser kommt, wird unrein sein; und alles Getränk, das getrunken wird, wird in jedem Gefäß unrein sein.</w:t>
      </w:r>
    </w:p>
    <w:p w14:paraId="21E5145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6ADCD1C">
          <v:rect id="_x0000_i1310" style="width:0;height:1.5pt" o:hralign="center" o:hrstd="t" o:hr="t" fillcolor="#a0a0a0" stroked="f"/>
        </w:pict>
      </w:r>
    </w:p>
    <w:p w14:paraId="6C49F73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מכל־האכל אשר יאכל אשר יבוא עליו מים יטמא</w:t>
      </w:r>
      <w:r w:rsidRPr="00F75E3B">
        <w:rPr>
          <w:rFonts w:eastAsia="Times New Roman" w:cs="Times New Roman"/>
          <w:rtl/>
          <w:lang w:eastAsia="de-DE"/>
        </w:rPr>
        <w:t xml:space="preserve"> </w:t>
      </w:r>
      <w:r w:rsidRPr="00F75E3B">
        <w:rPr>
          <w:rFonts w:eastAsia="Times New Roman" w:cs="Times New Roman"/>
          <w:lang w:eastAsia="de-DE"/>
        </w:rPr>
        <w:t xml:space="preserve">regelt Nahrungsmittelverunreinigung. </w:t>
      </w:r>
      <w:r w:rsidRPr="00F75E3B">
        <w:rPr>
          <w:rFonts w:eastAsia="Times New Roman" w:cs="Times New Roman"/>
          <w:b/>
          <w:bCs/>
          <w:rtl/>
          <w:lang w:eastAsia="de-DE"/>
        </w:rPr>
        <w:t>מכל־האכל אשר יאכל</w:t>
      </w:r>
      <w:r w:rsidRPr="00F75E3B">
        <w:rPr>
          <w:rFonts w:eastAsia="Times New Roman" w:cs="Times New Roman"/>
          <w:rtl/>
          <w:lang w:eastAsia="de-DE"/>
        </w:rPr>
        <w:t xml:space="preserve"> </w:t>
      </w:r>
      <w:r w:rsidRPr="00F75E3B">
        <w:rPr>
          <w:rFonts w:eastAsia="Times New Roman" w:cs="Times New Roman"/>
          <w:lang w:eastAsia="de-DE"/>
        </w:rPr>
        <w:t xml:space="preserve">(von aller Speise, die gegessen wird) 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יאכל</w:t>
      </w:r>
      <w:r w:rsidRPr="00F75E3B">
        <w:rPr>
          <w:rFonts w:eastAsia="Times New Roman" w:cs="Times New Roman"/>
          <w:rtl/>
          <w:lang w:eastAsia="de-DE"/>
        </w:rPr>
        <w:t xml:space="preserve"> </w:t>
      </w:r>
      <w:r w:rsidRPr="00F75E3B">
        <w:rPr>
          <w:rFonts w:eastAsia="Times New Roman" w:cs="Times New Roman"/>
          <w:lang w:eastAsia="de-DE"/>
        </w:rPr>
        <w:t xml:space="preserve">(gegessen wird) im Nifal-Imperfekt. </w:t>
      </w:r>
      <w:r w:rsidRPr="00F75E3B">
        <w:rPr>
          <w:rFonts w:eastAsia="Times New Roman" w:cs="Times New Roman"/>
          <w:b/>
          <w:bCs/>
          <w:rtl/>
          <w:lang w:eastAsia="de-DE"/>
        </w:rPr>
        <w:t>אשר יבוא עליו מים</w:t>
      </w:r>
      <w:r w:rsidRPr="00F75E3B">
        <w:rPr>
          <w:rFonts w:eastAsia="Times New Roman" w:cs="Times New Roman"/>
          <w:rtl/>
          <w:lang w:eastAsia="de-DE"/>
        </w:rPr>
        <w:t xml:space="preserve"> </w:t>
      </w:r>
      <w:r w:rsidRPr="00F75E3B">
        <w:rPr>
          <w:rFonts w:eastAsia="Times New Roman" w:cs="Times New Roman"/>
          <w:lang w:eastAsia="de-DE"/>
        </w:rPr>
        <w:t xml:space="preserve">(auf die Wasser kommt) - </w:t>
      </w:r>
      <w:r w:rsidRPr="00F75E3B">
        <w:rPr>
          <w:rFonts w:eastAsia="Times New Roman" w:cs="Times New Roman"/>
          <w:b/>
          <w:bCs/>
          <w:rtl/>
          <w:lang w:eastAsia="de-DE"/>
        </w:rPr>
        <w:t>בוא</w:t>
      </w:r>
      <w:r w:rsidRPr="00F75E3B">
        <w:rPr>
          <w:rFonts w:eastAsia="Times New Roman" w:cs="Times New Roman"/>
          <w:rtl/>
          <w:lang w:eastAsia="de-DE"/>
        </w:rPr>
        <w:t xml:space="preserve"> </w:t>
      </w:r>
      <w:r w:rsidRPr="00F75E3B">
        <w:rPr>
          <w:rFonts w:eastAsia="Times New Roman" w:cs="Times New Roman"/>
          <w:lang w:eastAsia="de-DE"/>
        </w:rPr>
        <w:t xml:space="preserve">(kommen) im Qal-Imperfekt mit </w:t>
      </w:r>
      <w:r w:rsidRPr="00F75E3B">
        <w:rPr>
          <w:rFonts w:eastAsia="Times New Roman" w:cs="Times New Roman"/>
          <w:b/>
          <w:bCs/>
          <w:rtl/>
          <w:lang w:eastAsia="de-DE"/>
        </w:rPr>
        <w:t>מים</w:t>
      </w:r>
      <w:r w:rsidRPr="00F75E3B">
        <w:rPr>
          <w:rFonts w:eastAsia="Times New Roman" w:cs="Times New Roman"/>
          <w:rtl/>
          <w:lang w:eastAsia="de-DE"/>
        </w:rPr>
        <w:t xml:space="preserve"> </w:t>
      </w:r>
      <w:r w:rsidRPr="00F75E3B">
        <w:rPr>
          <w:rFonts w:eastAsia="Times New Roman" w:cs="Times New Roman"/>
          <w:lang w:eastAsia="de-DE"/>
        </w:rPr>
        <w:t xml:space="preserve">(Wasser) als Subjekt. </w:t>
      </w:r>
      <w:r w:rsidRPr="00F75E3B">
        <w:rPr>
          <w:rFonts w:eastAsia="Times New Roman" w:cs="Times New Roman"/>
          <w:b/>
          <w:bCs/>
          <w:rtl/>
          <w:lang w:eastAsia="de-DE"/>
        </w:rPr>
        <w:t>יטמא</w:t>
      </w:r>
      <w:r w:rsidRPr="00F75E3B">
        <w:rPr>
          <w:rFonts w:eastAsia="Times New Roman" w:cs="Times New Roman"/>
          <w:rtl/>
          <w:lang w:eastAsia="de-DE"/>
        </w:rPr>
        <w:t xml:space="preserve"> </w:t>
      </w:r>
      <w:r w:rsidRPr="00F75E3B">
        <w:rPr>
          <w:rFonts w:eastAsia="Times New Roman" w:cs="Times New Roman"/>
          <w:lang w:eastAsia="de-DE"/>
        </w:rPr>
        <w:t xml:space="preserve">(wird unrein) bezieht sich auf die </w:t>
      </w:r>
      <w:r w:rsidRPr="00F75E3B">
        <w:rPr>
          <w:rFonts w:eastAsia="Times New Roman" w:cs="Times New Roman"/>
          <w:b/>
          <w:bCs/>
          <w:rtl/>
          <w:lang w:eastAsia="de-DE"/>
        </w:rPr>
        <w:t>אכל</w:t>
      </w:r>
      <w:r w:rsidRPr="00F75E3B">
        <w:rPr>
          <w:rFonts w:eastAsia="Times New Roman" w:cs="Times New Roman"/>
          <w:lang w:eastAsia="de-DE"/>
        </w:rPr>
        <w:t>.</w:t>
      </w:r>
    </w:p>
    <w:p w14:paraId="6C9CE55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וכל־משקה אשר ישתה בכל־כלי יטמא</w:t>
      </w:r>
      <w:r w:rsidRPr="00F75E3B">
        <w:rPr>
          <w:rFonts w:eastAsia="Times New Roman" w:cs="Times New Roman"/>
          <w:rtl/>
          <w:lang w:eastAsia="de-DE"/>
        </w:rPr>
        <w:t xml:space="preserve"> </w:t>
      </w:r>
      <w:r w:rsidRPr="00F75E3B">
        <w:rPr>
          <w:rFonts w:eastAsia="Times New Roman" w:cs="Times New Roman"/>
          <w:lang w:eastAsia="de-DE"/>
        </w:rPr>
        <w:t xml:space="preserve">erweitert auf Getränke. </w:t>
      </w:r>
      <w:r w:rsidRPr="00F75E3B">
        <w:rPr>
          <w:rFonts w:eastAsia="Times New Roman" w:cs="Times New Roman"/>
          <w:b/>
          <w:bCs/>
          <w:rtl/>
          <w:lang w:eastAsia="de-DE"/>
        </w:rPr>
        <w:t>וכל־משקה</w:t>
      </w:r>
      <w:r w:rsidRPr="00F75E3B">
        <w:rPr>
          <w:rFonts w:eastAsia="Times New Roman" w:cs="Times New Roman"/>
          <w:rtl/>
          <w:lang w:eastAsia="de-DE"/>
        </w:rPr>
        <w:t xml:space="preserve"> </w:t>
      </w:r>
      <w:r w:rsidRPr="00F75E3B">
        <w:rPr>
          <w:rFonts w:eastAsia="Times New Roman" w:cs="Times New Roman"/>
          <w:lang w:eastAsia="de-DE"/>
        </w:rPr>
        <w:t xml:space="preserve">(und alles Getränk) mit Totalitätspartikel </w:t>
      </w:r>
      <w:r w:rsidRPr="00F75E3B">
        <w:rPr>
          <w:rFonts w:eastAsia="Times New Roman" w:cs="Times New Roman"/>
          <w:b/>
          <w:bCs/>
          <w:rtl/>
          <w:lang w:eastAsia="de-DE"/>
        </w:rPr>
        <w:t>כל</w:t>
      </w:r>
      <w:r w:rsidRPr="00F75E3B">
        <w:rPr>
          <w:rFonts w:eastAsia="Times New Roman" w:cs="Times New Roman"/>
          <w:lang w:eastAsia="de-DE"/>
        </w:rPr>
        <w:t xml:space="preserve">. </w:t>
      </w:r>
      <w:r w:rsidRPr="00F75E3B">
        <w:rPr>
          <w:rFonts w:eastAsia="Times New Roman" w:cs="Times New Roman"/>
          <w:b/>
          <w:bCs/>
          <w:rtl/>
          <w:lang w:eastAsia="de-DE"/>
        </w:rPr>
        <w:t>אשר ישתה</w:t>
      </w:r>
      <w:r w:rsidRPr="00F75E3B">
        <w:rPr>
          <w:rFonts w:eastAsia="Times New Roman" w:cs="Times New Roman"/>
          <w:rtl/>
          <w:lang w:eastAsia="de-DE"/>
        </w:rPr>
        <w:t xml:space="preserve"> </w:t>
      </w:r>
      <w:r w:rsidRPr="00F75E3B">
        <w:rPr>
          <w:rFonts w:eastAsia="Times New Roman" w:cs="Times New Roman"/>
          <w:lang w:eastAsia="de-DE"/>
        </w:rPr>
        <w:t xml:space="preserve">(das getrunken wird) im Nifal-Imperfekt. </w:t>
      </w:r>
      <w:r w:rsidRPr="00F75E3B">
        <w:rPr>
          <w:rFonts w:eastAsia="Times New Roman" w:cs="Times New Roman"/>
          <w:b/>
          <w:bCs/>
          <w:rtl/>
          <w:lang w:eastAsia="de-DE"/>
        </w:rPr>
        <w:t>בכל־כלי</w:t>
      </w:r>
      <w:r w:rsidRPr="00F75E3B">
        <w:rPr>
          <w:rFonts w:eastAsia="Times New Roman" w:cs="Times New Roman"/>
          <w:rtl/>
          <w:lang w:eastAsia="de-DE"/>
        </w:rPr>
        <w:t xml:space="preserve"> </w:t>
      </w:r>
      <w:r w:rsidRPr="00F75E3B">
        <w:rPr>
          <w:rFonts w:eastAsia="Times New Roman" w:cs="Times New Roman"/>
          <w:lang w:eastAsia="de-DE"/>
        </w:rPr>
        <w:t xml:space="preserve">(in jedem Gefäß) mit </w:t>
      </w:r>
      <w:r w:rsidRPr="00F75E3B">
        <w:rPr>
          <w:rFonts w:eastAsia="Times New Roman" w:cs="Times New Roman"/>
          <w:b/>
          <w:bCs/>
          <w:rtl/>
          <w:lang w:eastAsia="de-DE"/>
        </w:rPr>
        <w:t>כל</w:t>
      </w:r>
      <w:r w:rsidRPr="00F75E3B">
        <w:rPr>
          <w:rFonts w:eastAsia="Times New Roman" w:cs="Times New Roman"/>
          <w:rtl/>
          <w:lang w:eastAsia="de-DE"/>
        </w:rPr>
        <w:t xml:space="preserve"> </w:t>
      </w:r>
      <w:r w:rsidRPr="00F75E3B">
        <w:rPr>
          <w:rFonts w:eastAsia="Times New Roman" w:cs="Times New Roman"/>
          <w:lang w:eastAsia="de-DE"/>
        </w:rPr>
        <w:t xml:space="preserve">- jedes Gefäß, das verunreinigt wurde. </w:t>
      </w:r>
      <w:r w:rsidRPr="00F75E3B">
        <w:rPr>
          <w:rFonts w:eastAsia="Times New Roman" w:cs="Times New Roman"/>
          <w:b/>
          <w:bCs/>
          <w:rtl/>
          <w:lang w:eastAsia="de-DE"/>
        </w:rPr>
        <w:t>יטמא</w:t>
      </w:r>
      <w:r w:rsidRPr="00F75E3B">
        <w:rPr>
          <w:rFonts w:eastAsia="Times New Roman" w:cs="Times New Roman"/>
          <w:rtl/>
          <w:lang w:eastAsia="de-DE"/>
        </w:rPr>
        <w:t xml:space="preserve"> </w:t>
      </w:r>
      <w:r w:rsidRPr="00F75E3B">
        <w:rPr>
          <w:rFonts w:eastAsia="Times New Roman" w:cs="Times New Roman"/>
          <w:lang w:eastAsia="de-DE"/>
        </w:rPr>
        <w:t xml:space="preserve">(wird unrein) bezieht sich auf das </w:t>
      </w:r>
      <w:r w:rsidRPr="00F75E3B">
        <w:rPr>
          <w:rFonts w:eastAsia="Times New Roman" w:cs="Times New Roman"/>
          <w:b/>
          <w:bCs/>
          <w:rtl/>
          <w:lang w:eastAsia="de-DE"/>
        </w:rPr>
        <w:t>משקה</w:t>
      </w:r>
      <w:r w:rsidRPr="00F75E3B">
        <w:rPr>
          <w:rFonts w:eastAsia="Times New Roman" w:cs="Times New Roman"/>
          <w:lang w:eastAsia="de-DE"/>
        </w:rPr>
        <w:t>.</w:t>
      </w:r>
    </w:p>
    <w:p w14:paraId="5A184DF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יבוא עליו מים</w:t>
      </w:r>
      <w:r w:rsidRPr="00F75E3B">
        <w:rPr>
          <w:rFonts w:eastAsia="Times New Roman" w:cs="Times New Roman"/>
          <w:rtl/>
          <w:lang w:eastAsia="de-DE"/>
        </w:rPr>
        <w:t xml:space="preserve"> </w:t>
      </w:r>
      <w:r w:rsidRPr="00F75E3B">
        <w:rPr>
          <w:rFonts w:eastAsia="Times New Roman" w:cs="Times New Roman"/>
          <w:lang w:eastAsia="de-DE"/>
        </w:rPr>
        <w:t xml:space="preserve">zeigt, dass Wasser aus verunreinigten Gefäßen die Speise verunreinigt. </w:t>
      </w:r>
      <w:r w:rsidRPr="00F75E3B">
        <w:rPr>
          <w:rFonts w:eastAsia="Times New Roman" w:cs="Times New Roman"/>
          <w:b/>
          <w:bCs/>
          <w:rtl/>
          <w:lang w:eastAsia="de-DE"/>
        </w:rPr>
        <w:t>בכל־כלי</w:t>
      </w:r>
      <w:r w:rsidRPr="00F75E3B">
        <w:rPr>
          <w:rFonts w:eastAsia="Times New Roman" w:cs="Times New Roman"/>
          <w:rtl/>
          <w:lang w:eastAsia="de-DE"/>
        </w:rPr>
        <w:t xml:space="preserve"> </w:t>
      </w:r>
      <w:r w:rsidRPr="00F75E3B">
        <w:rPr>
          <w:rFonts w:eastAsia="Times New Roman" w:cs="Times New Roman"/>
          <w:lang w:eastAsia="de-DE"/>
        </w:rPr>
        <w:t>ohne Materialspezifikation umfasst alle Gefäßarten. Die Regel zeigt, wie sich Unreinheit über Wasser überträgt.</w:t>
      </w:r>
    </w:p>
    <w:p w14:paraId="71730E0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האכל אשר יאכל</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άντ</w:t>
      </w:r>
      <w:proofErr w:type="spellEnd"/>
      <w:r w:rsidRPr="00F75E3B">
        <w:rPr>
          <w:rFonts w:eastAsia="Times New Roman" w:cs="Times New Roman"/>
          <w:lang w:eastAsia="de-DE"/>
        </w:rPr>
        <w:t>α β</w:t>
      </w:r>
      <w:proofErr w:type="spellStart"/>
      <w:r w:rsidRPr="00F75E3B">
        <w:rPr>
          <w:rFonts w:eastAsia="Times New Roman" w:cs="Times New Roman"/>
          <w:lang w:eastAsia="de-DE"/>
        </w:rPr>
        <w:t>ρώμ</w:t>
      </w:r>
      <w:proofErr w:type="spellEnd"/>
      <w:r w:rsidRPr="00F75E3B">
        <w:rPr>
          <w:rFonts w:eastAsia="Times New Roman" w:cs="Times New Roman"/>
          <w:lang w:eastAsia="de-DE"/>
        </w:rPr>
        <w:t xml:space="preserve">ατα ἃ </w:t>
      </w:r>
      <w:proofErr w:type="spellStart"/>
      <w:r w:rsidRPr="00F75E3B">
        <w:rPr>
          <w:rFonts w:eastAsia="Times New Roman" w:cs="Times New Roman"/>
          <w:lang w:eastAsia="de-DE"/>
        </w:rPr>
        <w:t>ἐσθίετ</w:t>
      </w:r>
      <w:proofErr w:type="spellEnd"/>
      <w:r w:rsidRPr="00F75E3B">
        <w:rPr>
          <w:rFonts w:eastAsia="Times New Roman" w:cs="Times New Roman"/>
          <w:lang w:eastAsia="de-DE"/>
        </w:rPr>
        <w:t xml:space="preserve">αι (alle Speisen, die gegessen werden), </w:t>
      </w:r>
      <w:r w:rsidRPr="00F75E3B">
        <w:rPr>
          <w:rFonts w:eastAsia="Times New Roman" w:cs="Times New Roman"/>
          <w:b/>
          <w:bCs/>
          <w:rtl/>
          <w:lang w:eastAsia="de-DE"/>
        </w:rPr>
        <w:t>יבוא עליו מים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ἐλθῃ</w:t>
      </w:r>
      <w:proofErr w:type="spellEnd"/>
      <w:r w:rsidRPr="00F75E3B">
        <w:rPr>
          <w:rFonts w:eastAsia="Times New Roman" w:cs="Times New Roman"/>
          <w:lang w:eastAsia="de-DE"/>
        </w:rPr>
        <w:t xml:space="preserve"> ἐπ᾽ α</w:t>
      </w:r>
      <w:proofErr w:type="spellStart"/>
      <w:r w:rsidRPr="00F75E3B">
        <w:rPr>
          <w:rFonts w:eastAsia="Times New Roman" w:cs="Times New Roman"/>
          <w:lang w:eastAsia="de-DE"/>
        </w:rPr>
        <w:t>ὐτὸ</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ὕδωρ</w:t>
      </w:r>
      <w:proofErr w:type="spellEnd"/>
      <w:r w:rsidRPr="00F75E3B">
        <w:rPr>
          <w:rFonts w:eastAsia="Times New Roman" w:cs="Times New Roman"/>
          <w:lang w:eastAsia="de-DE"/>
        </w:rPr>
        <w:t xml:space="preserve"> (Wasser kommt auf es) und </w:t>
      </w:r>
      <w:r w:rsidRPr="00F75E3B">
        <w:rPr>
          <w:rFonts w:eastAsia="Times New Roman" w:cs="Times New Roman"/>
          <w:b/>
          <w:bCs/>
          <w:rtl/>
          <w:lang w:eastAsia="de-DE"/>
        </w:rPr>
        <w:t>משקה</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όμ</w:t>
      </w:r>
      <w:proofErr w:type="spellEnd"/>
      <w:r w:rsidRPr="00F75E3B">
        <w:rPr>
          <w:rFonts w:eastAsia="Times New Roman" w:cs="Times New Roman"/>
          <w:lang w:eastAsia="de-DE"/>
        </w:rPr>
        <w:t>α (Getränk).</w:t>
      </w:r>
    </w:p>
    <w:p w14:paraId="65EF4AC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erweiterte Verunreinigungsregeln: Nahrungsmittel + Wasserübertragung + Unreinheit // Getränke + Gefäßverunreinigung + Unreinheit. Die Struktur zeigt die Übertragungswege der Unreinheit.</w:t>
      </w:r>
    </w:p>
    <w:p w14:paraId="2814EC3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regelt die Verunreinigung von Nahrungsmitteln und Getränken durch kontaminiertes Wasser aus verunreinigten Gefäßen.</w:t>
      </w:r>
    </w:p>
    <w:p w14:paraId="45B7DD97"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11,35</w:t>
      </w:r>
    </w:p>
    <w:p w14:paraId="39BCC63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 אֲשֶׁר־יִפֹּ֨ל מִנִּבְלָתָ֥ם׀ עָלָיו֮ יִטְמָא֒ תַּנּ֧וּר וְכִירַ֛יִם יֻתָּ֖ץ טְמֵאִ֣ים הֵ֑ם וּטְמֵאִ֖ים יִהְי֥וּ לָכֶֽם׃</w:t>
      </w:r>
    </w:p>
    <w:p w14:paraId="1A0E10F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alles, woraufhin von ihrem Aas fällt, wird unrein sein; Ofen und Herd sollen eingerissen werden, sie sind unrein und sollen euch unrein sein.</w:t>
      </w:r>
    </w:p>
    <w:p w14:paraId="28ACADEA"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74A27E57">
          <v:rect id="_x0000_i1311" style="width:0;height:1.5pt" o:hralign="center" o:hrstd="t" o:hr="t" fillcolor="#a0a0a0" stroked="f"/>
        </w:pict>
      </w:r>
    </w:p>
    <w:p w14:paraId="0398C4F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 אשר־יפל מנבלתם עליו יטמא</w:t>
      </w:r>
      <w:r w:rsidRPr="00F75E3B">
        <w:rPr>
          <w:rFonts w:eastAsia="Times New Roman" w:cs="Times New Roman"/>
          <w:rtl/>
          <w:lang w:eastAsia="de-DE"/>
        </w:rPr>
        <w:t xml:space="preserve"> </w:t>
      </w:r>
      <w:r w:rsidRPr="00F75E3B">
        <w:rPr>
          <w:rFonts w:eastAsia="Times New Roman" w:cs="Times New Roman"/>
          <w:lang w:eastAsia="de-DE"/>
        </w:rPr>
        <w:t xml:space="preserve">wiederholt die Fallregel aus V. 32. </w:t>
      </w:r>
      <w:r w:rsidRPr="00F75E3B">
        <w:rPr>
          <w:rFonts w:eastAsia="Times New Roman" w:cs="Times New Roman"/>
          <w:b/>
          <w:bCs/>
          <w:rtl/>
          <w:lang w:eastAsia="de-DE"/>
        </w:rPr>
        <w:t>וכל אשר־יפל</w:t>
      </w:r>
      <w:r w:rsidRPr="00F75E3B">
        <w:rPr>
          <w:rFonts w:eastAsia="Times New Roman" w:cs="Times New Roman"/>
          <w:rtl/>
          <w:lang w:eastAsia="de-DE"/>
        </w:rPr>
        <w:t xml:space="preserve"> </w:t>
      </w:r>
      <w:r w:rsidRPr="00F75E3B">
        <w:rPr>
          <w:rFonts w:eastAsia="Times New Roman" w:cs="Times New Roman"/>
          <w:lang w:eastAsia="de-DE"/>
        </w:rPr>
        <w:t xml:space="preserve">(und alles, worauf fällt) entspricht V. 32. </w:t>
      </w:r>
      <w:r w:rsidRPr="00F75E3B">
        <w:rPr>
          <w:rFonts w:eastAsia="Times New Roman" w:cs="Times New Roman"/>
          <w:b/>
          <w:bCs/>
          <w:rtl/>
          <w:lang w:eastAsia="de-DE"/>
        </w:rPr>
        <w:t>מנבלתם עליו</w:t>
      </w:r>
      <w:r w:rsidRPr="00F75E3B">
        <w:rPr>
          <w:rFonts w:eastAsia="Times New Roman" w:cs="Times New Roman"/>
          <w:rtl/>
          <w:lang w:eastAsia="de-DE"/>
        </w:rPr>
        <w:t xml:space="preserve"> </w:t>
      </w:r>
      <w:r w:rsidRPr="00F75E3B">
        <w:rPr>
          <w:rFonts w:eastAsia="Times New Roman" w:cs="Times New Roman"/>
          <w:lang w:eastAsia="de-DE"/>
        </w:rPr>
        <w:t xml:space="preserve">(von ihrem Aas auf es) mit partitivem </w:t>
      </w:r>
      <w:r w:rsidRPr="00F75E3B">
        <w:rPr>
          <w:rFonts w:eastAsia="Times New Roman" w:cs="Times New Roman"/>
          <w:b/>
          <w:bCs/>
          <w:rtl/>
          <w:lang w:eastAsia="de-DE"/>
        </w:rPr>
        <w:t>מן</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נבלתם</w:t>
      </w:r>
      <w:r w:rsidRPr="00F75E3B">
        <w:rPr>
          <w:rFonts w:eastAsia="Times New Roman" w:cs="Times New Roman"/>
          <w:rtl/>
          <w:lang w:eastAsia="de-DE"/>
        </w:rPr>
        <w:t xml:space="preserve"> </w:t>
      </w:r>
      <w:r w:rsidRPr="00F75E3B">
        <w:rPr>
          <w:rFonts w:eastAsia="Times New Roman" w:cs="Times New Roman"/>
          <w:lang w:eastAsia="de-DE"/>
        </w:rPr>
        <w:t xml:space="preserve">(ihr Aas) statt </w:t>
      </w:r>
      <w:r w:rsidRPr="00F75E3B">
        <w:rPr>
          <w:rFonts w:eastAsia="Times New Roman" w:cs="Times New Roman"/>
          <w:b/>
          <w:bCs/>
          <w:rtl/>
          <w:lang w:eastAsia="de-DE"/>
        </w:rPr>
        <w:t>מהם</w:t>
      </w:r>
      <w:r w:rsidRPr="00F75E3B">
        <w:rPr>
          <w:rFonts w:eastAsia="Times New Roman" w:cs="Times New Roman"/>
          <w:rtl/>
          <w:lang w:eastAsia="de-DE"/>
        </w:rPr>
        <w:t xml:space="preserve"> </w:t>
      </w:r>
      <w:r w:rsidRPr="00F75E3B">
        <w:rPr>
          <w:rFonts w:eastAsia="Times New Roman" w:cs="Times New Roman"/>
          <w:lang w:eastAsia="de-DE"/>
        </w:rPr>
        <w:t xml:space="preserve">aus V. 32. </w:t>
      </w:r>
      <w:r w:rsidRPr="00F75E3B">
        <w:rPr>
          <w:rFonts w:eastAsia="Times New Roman" w:cs="Times New Roman"/>
          <w:b/>
          <w:bCs/>
          <w:rtl/>
          <w:lang w:eastAsia="de-DE"/>
        </w:rPr>
        <w:t>יטמא</w:t>
      </w:r>
      <w:r w:rsidRPr="00F75E3B">
        <w:rPr>
          <w:rFonts w:eastAsia="Times New Roman" w:cs="Times New Roman"/>
          <w:rtl/>
          <w:lang w:eastAsia="de-DE"/>
        </w:rPr>
        <w:t xml:space="preserve"> </w:t>
      </w:r>
      <w:r w:rsidRPr="00F75E3B">
        <w:rPr>
          <w:rFonts w:eastAsia="Times New Roman" w:cs="Times New Roman"/>
          <w:lang w:eastAsia="de-DE"/>
        </w:rPr>
        <w:t>(wird unrein) ohne weitere Spezifikation.</w:t>
      </w:r>
    </w:p>
    <w:p w14:paraId="16C94B9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תנור וכירים יתץ טמאים הם וטמאים יהיו לכם</w:t>
      </w:r>
      <w:r w:rsidRPr="00F75E3B">
        <w:rPr>
          <w:rFonts w:eastAsia="Times New Roman" w:cs="Times New Roman"/>
          <w:rtl/>
          <w:lang w:eastAsia="de-DE"/>
        </w:rPr>
        <w:t xml:space="preserve"> </w:t>
      </w:r>
      <w:r w:rsidRPr="00F75E3B">
        <w:rPr>
          <w:rFonts w:eastAsia="Times New Roman" w:cs="Times New Roman"/>
          <w:lang w:eastAsia="de-DE"/>
        </w:rPr>
        <w:t xml:space="preserve">behandelt große Küchengeräte. </w:t>
      </w:r>
      <w:r w:rsidRPr="00F75E3B">
        <w:rPr>
          <w:rFonts w:eastAsia="Times New Roman" w:cs="Times New Roman"/>
          <w:b/>
          <w:bCs/>
          <w:rtl/>
          <w:lang w:eastAsia="de-DE"/>
        </w:rPr>
        <w:t>תנור וכירים</w:t>
      </w:r>
      <w:r w:rsidRPr="00F75E3B">
        <w:rPr>
          <w:rFonts w:eastAsia="Times New Roman" w:cs="Times New Roman"/>
          <w:rtl/>
          <w:lang w:eastAsia="de-DE"/>
        </w:rPr>
        <w:t xml:space="preserve"> </w:t>
      </w:r>
      <w:r w:rsidRPr="00F75E3B">
        <w:rPr>
          <w:rFonts w:eastAsia="Times New Roman" w:cs="Times New Roman"/>
          <w:lang w:eastAsia="de-DE"/>
        </w:rPr>
        <w:t xml:space="preserve">(Ofen und Herd) - </w:t>
      </w:r>
      <w:r w:rsidRPr="00F75E3B">
        <w:rPr>
          <w:rFonts w:eastAsia="Times New Roman" w:cs="Times New Roman"/>
          <w:b/>
          <w:bCs/>
          <w:rtl/>
          <w:lang w:eastAsia="de-DE"/>
        </w:rPr>
        <w:t>תנור</w:t>
      </w:r>
      <w:r w:rsidRPr="00F75E3B">
        <w:rPr>
          <w:rFonts w:eastAsia="Times New Roman" w:cs="Times New Roman"/>
          <w:rtl/>
          <w:lang w:eastAsia="de-DE"/>
        </w:rPr>
        <w:t xml:space="preserve"> </w:t>
      </w:r>
      <w:r w:rsidRPr="00F75E3B">
        <w:rPr>
          <w:rFonts w:eastAsia="Times New Roman" w:cs="Times New Roman"/>
          <w:lang w:eastAsia="de-DE"/>
        </w:rPr>
        <w:t xml:space="preserve">(Backofen) und </w:t>
      </w:r>
      <w:r w:rsidRPr="00F75E3B">
        <w:rPr>
          <w:rFonts w:eastAsia="Times New Roman" w:cs="Times New Roman"/>
          <w:b/>
          <w:bCs/>
          <w:rtl/>
          <w:lang w:eastAsia="de-DE"/>
        </w:rPr>
        <w:t>כירים</w:t>
      </w:r>
      <w:r w:rsidRPr="00F75E3B">
        <w:rPr>
          <w:rFonts w:eastAsia="Times New Roman" w:cs="Times New Roman"/>
          <w:rtl/>
          <w:lang w:eastAsia="de-DE"/>
        </w:rPr>
        <w:t xml:space="preserve"> </w:t>
      </w:r>
      <w:r w:rsidRPr="00F75E3B">
        <w:rPr>
          <w:rFonts w:eastAsia="Times New Roman" w:cs="Times New Roman"/>
          <w:lang w:eastAsia="de-DE"/>
        </w:rPr>
        <w:t xml:space="preserve">(Kochherd). </w:t>
      </w:r>
      <w:r w:rsidRPr="00F75E3B">
        <w:rPr>
          <w:rFonts w:eastAsia="Times New Roman" w:cs="Times New Roman"/>
          <w:b/>
          <w:bCs/>
          <w:rtl/>
          <w:lang w:eastAsia="de-DE"/>
        </w:rPr>
        <w:t>יתץ</w:t>
      </w:r>
      <w:r w:rsidRPr="00F75E3B">
        <w:rPr>
          <w:rFonts w:eastAsia="Times New Roman" w:cs="Times New Roman"/>
          <w:rtl/>
          <w:lang w:eastAsia="de-DE"/>
        </w:rPr>
        <w:t xml:space="preserve"> </w:t>
      </w:r>
      <w:r w:rsidRPr="00F75E3B">
        <w:rPr>
          <w:rFonts w:eastAsia="Times New Roman" w:cs="Times New Roman"/>
          <w:lang w:eastAsia="de-DE"/>
        </w:rPr>
        <w:t xml:space="preserve">(sollen eingerissen werden) im Nifal-Imperfekt - </w:t>
      </w:r>
      <w:r w:rsidRPr="00F75E3B">
        <w:rPr>
          <w:rFonts w:eastAsia="Times New Roman" w:cs="Times New Roman"/>
          <w:b/>
          <w:bCs/>
          <w:rtl/>
          <w:lang w:eastAsia="de-DE"/>
        </w:rPr>
        <w:t>נתץ</w:t>
      </w:r>
      <w:r w:rsidRPr="00F75E3B">
        <w:rPr>
          <w:rFonts w:eastAsia="Times New Roman" w:cs="Times New Roman"/>
          <w:rtl/>
          <w:lang w:eastAsia="de-DE"/>
        </w:rPr>
        <w:t xml:space="preserve"> </w:t>
      </w:r>
      <w:r w:rsidRPr="00F75E3B">
        <w:rPr>
          <w:rFonts w:eastAsia="Times New Roman" w:cs="Times New Roman"/>
          <w:lang w:eastAsia="de-DE"/>
        </w:rPr>
        <w:t xml:space="preserve">(einreißen/zerstören). </w:t>
      </w:r>
      <w:r w:rsidRPr="00F75E3B">
        <w:rPr>
          <w:rFonts w:eastAsia="Times New Roman" w:cs="Times New Roman"/>
          <w:b/>
          <w:bCs/>
          <w:rtl/>
          <w:lang w:eastAsia="de-DE"/>
        </w:rPr>
        <w:t>טמאים הם</w:t>
      </w:r>
      <w:r w:rsidRPr="00F75E3B">
        <w:rPr>
          <w:rFonts w:eastAsia="Times New Roman" w:cs="Times New Roman"/>
          <w:rtl/>
          <w:lang w:eastAsia="de-DE"/>
        </w:rPr>
        <w:t xml:space="preserve"> </w:t>
      </w:r>
      <w:r w:rsidRPr="00F75E3B">
        <w:rPr>
          <w:rFonts w:eastAsia="Times New Roman" w:cs="Times New Roman"/>
          <w:lang w:eastAsia="de-DE"/>
        </w:rPr>
        <w:t xml:space="preserve">(unrein sind sie) mit emphatischem </w:t>
      </w:r>
      <w:r w:rsidRPr="00F75E3B">
        <w:rPr>
          <w:rFonts w:eastAsia="Times New Roman" w:cs="Times New Roman"/>
          <w:b/>
          <w:bCs/>
          <w:rtl/>
          <w:lang w:eastAsia="de-DE"/>
        </w:rPr>
        <w:t>הם</w:t>
      </w:r>
      <w:r w:rsidRPr="00F75E3B">
        <w:rPr>
          <w:rFonts w:eastAsia="Times New Roman" w:cs="Times New Roman"/>
          <w:lang w:eastAsia="de-DE"/>
        </w:rPr>
        <w:t xml:space="preserve">. </w:t>
      </w:r>
      <w:r w:rsidRPr="00F75E3B">
        <w:rPr>
          <w:rFonts w:eastAsia="Times New Roman" w:cs="Times New Roman"/>
          <w:b/>
          <w:bCs/>
          <w:rtl/>
          <w:lang w:eastAsia="de-DE"/>
        </w:rPr>
        <w:t>וטמאים יהיו לכם</w:t>
      </w:r>
      <w:r w:rsidRPr="00F75E3B">
        <w:rPr>
          <w:rFonts w:eastAsia="Times New Roman" w:cs="Times New Roman"/>
          <w:rtl/>
          <w:lang w:eastAsia="de-DE"/>
        </w:rPr>
        <w:t xml:space="preserve"> </w:t>
      </w:r>
      <w:r w:rsidRPr="00F75E3B">
        <w:rPr>
          <w:rFonts w:eastAsia="Times New Roman" w:cs="Times New Roman"/>
          <w:lang w:eastAsia="de-DE"/>
        </w:rPr>
        <w:t>(und unrein sollen sie für euch sein) verstärkt die Klassifikation.</w:t>
      </w:r>
    </w:p>
    <w:p w14:paraId="4364BB9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מנבלתם</w:t>
      </w:r>
      <w:r w:rsidRPr="00F75E3B">
        <w:rPr>
          <w:rFonts w:eastAsia="Times New Roman" w:cs="Times New Roman"/>
          <w:rtl/>
          <w:lang w:eastAsia="de-DE"/>
        </w:rPr>
        <w:t xml:space="preserve"> </w:t>
      </w:r>
      <w:r w:rsidRPr="00F75E3B">
        <w:rPr>
          <w:rFonts w:eastAsia="Times New Roman" w:cs="Times New Roman"/>
          <w:lang w:eastAsia="de-DE"/>
        </w:rPr>
        <w:t xml:space="preserve">statt </w:t>
      </w:r>
      <w:r w:rsidRPr="00F75E3B">
        <w:rPr>
          <w:rFonts w:eastAsia="Times New Roman" w:cs="Times New Roman"/>
          <w:b/>
          <w:bCs/>
          <w:rtl/>
          <w:lang w:eastAsia="de-DE"/>
        </w:rPr>
        <w:t>מהם</w:t>
      </w:r>
      <w:r w:rsidRPr="00F75E3B">
        <w:rPr>
          <w:rFonts w:eastAsia="Times New Roman" w:cs="Times New Roman"/>
          <w:rtl/>
          <w:lang w:eastAsia="de-DE"/>
        </w:rPr>
        <w:t xml:space="preserve"> </w:t>
      </w:r>
      <w:r w:rsidRPr="00F75E3B">
        <w:rPr>
          <w:rFonts w:eastAsia="Times New Roman" w:cs="Times New Roman"/>
          <w:lang w:eastAsia="de-DE"/>
        </w:rPr>
        <w:t xml:space="preserve">betont den toten Zustand. </w:t>
      </w:r>
      <w:r w:rsidRPr="00F75E3B">
        <w:rPr>
          <w:rFonts w:eastAsia="Times New Roman" w:cs="Times New Roman"/>
          <w:b/>
          <w:bCs/>
          <w:rtl/>
          <w:lang w:eastAsia="de-DE"/>
        </w:rPr>
        <w:t>תנור וכירים</w:t>
      </w:r>
      <w:r w:rsidRPr="00F75E3B">
        <w:rPr>
          <w:rFonts w:eastAsia="Times New Roman" w:cs="Times New Roman"/>
          <w:rtl/>
          <w:lang w:eastAsia="de-DE"/>
        </w:rPr>
        <w:t xml:space="preserve"> </w:t>
      </w:r>
      <w:r w:rsidRPr="00F75E3B">
        <w:rPr>
          <w:rFonts w:eastAsia="Times New Roman" w:cs="Times New Roman"/>
          <w:lang w:eastAsia="de-DE"/>
        </w:rPr>
        <w:t xml:space="preserve">als große, fest installierte Küchengeräte können nicht ins Wasser gelegt werden wie in V. 32. </w:t>
      </w:r>
      <w:r w:rsidRPr="00F75E3B">
        <w:rPr>
          <w:rFonts w:eastAsia="Times New Roman" w:cs="Times New Roman"/>
          <w:b/>
          <w:bCs/>
          <w:rtl/>
          <w:lang w:eastAsia="de-DE"/>
        </w:rPr>
        <w:t>יתץ</w:t>
      </w:r>
      <w:r w:rsidRPr="00F75E3B">
        <w:rPr>
          <w:rFonts w:eastAsia="Times New Roman" w:cs="Times New Roman"/>
          <w:rtl/>
          <w:lang w:eastAsia="de-DE"/>
        </w:rPr>
        <w:t xml:space="preserve"> </w:t>
      </w:r>
      <w:r w:rsidRPr="00F75E3B">
        <w:rPr>
          <w:rFonts w:eastAsia="Times New Roman" w:cs="Times New Roman"/>
          <w:lang w:eastAsia="de-DE"/>
        </w:rPr>
        <w:t xml:space="preserve">zeigt dieselbe radikale Lösung wie </w:t>
      </w:r>
      <w:r w:rsidRPr="00F75E3B">
        <w:rPr>
          <w:rFonts w:eastAsia="Times New Roman" w:cs="Times New Roman"/>
          <w:b/>
          <w:bCs/>
          <w:rtl/>
          <w:lang w:eastAsia="de-DE"/>
        </w:rPr>
        <w:t>תשברו</w:t>
      </w:r>
      <w:r w:rsidRPr="00F75E3B">
        <w:rPr>
          <w:rFonts w:eastAsia="Times New Roman" w:cs="Times New Roman"/>
          <w:rtl/>
          <w:lang w:eastAsia="de-DE"/>
        </w:rPr>
        <w:t xml:space="preserve"> </w:t>
      </w:r>
      <w:r w:rsidRPr="00F75E3B">
        <w:rPr>
          <w:rFonts w:eastAsia="Times New Roman" w:cs="Times New Roman"/>
          <w:lang w:eastAsia="de-DE"/>
        </w:rPr>
        <w:t>für Tongefäße in V. 33.</w:t>
      </w:r>
    </w:p>
    <w:p w14:paraId="0A7E49E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תנור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κλί</w:t>
      </w:r>
      <w:proofErr w:type="spellEnd"/>
      <w:r w:rsidRPr="00F75E3B">
        <w:rPr>
          <w:rFonts w:eastAsia="Times New Roman" w:cs="Times New Roman"/>
          <w:lang w:eastAsia="de-DE"/>
        </w:rPr>
        <w:t xml:space="preserve">βανος (Ofen), </w:t>
      </w:r>
      <w:r w:rsidRPr="00F75E3B">
        <w:rPr>
          <w:rFonts w:eastAsia="Times New Roman" w:cs="Times New Roman"/>
          <w:b/>
          <w:bCs/>
          <w:rtl/>
          <w:lang w:eastAsia="de-DE"/>
        </w:rPr>
        <w:t>כירים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κυθρό</w:t>
      </w:r>
      <w:proofErr w:type="spellEnd"/>
      <w:r w:rsidRPr="00F75E3B">
        <w:rPr>
          <w:rFonts w:eastAsia="Times New Roman" w:cs="Times New Roman"/>
          <w:lang w:eastAsia="de-DE"/>
        </w:rPr>
        <w:t xml:space="preserve">πους (Kochtöpfe), </w:t>
      </w:r>
      <w:r w:rsidRPr="00F75E3B">
        <w:rPr>
          <w:rFonts w:eastAsia="Times New Roman" w:cs="Times New Roman"/>
          <w:b/>
          <w:bCs/>
          <w:rtl/>
          <w:lang w:eastAsia="de-DE"/>
        </w:rPr>
        <w:t>יתץ</w:t>
      </w:r>
      <w:r w:rsidRPr="00F75E3B">
        <w:rPr>
          <w:rFonts w:eastAsia="Times New Roman" w:cs="Times New Roman"/>
          <w:rtl/>
          <w:lang w:eastAsia="de-DE"/>
        </w:rPr>
        <w:t xml:space="preserve"> </w:t>
      </w:r>
      <w:r w:rsidRPr="00F75E3B">
        <w:rPr>
          <w:rFonts w:eastAsia="Times New Roman" w:cs="Times New Roman"/>
          <w:lang w:eastAsia="de-DE"/>
        </w:rPr>
        <w:t>mit καθα</w:t>
      </w:r>
      <w:proofErr w:type="spellStart"/>
      <w:r w:rsidRPr="00F75E3B">
        <w:rPr>
          <w:rFonts w:eastAsia="Times New Roman" w:cs="Times New Roman"/>
          <w:lang w:eastAsia="de-DE"/>
        </w:rPr>
        <w:t>ιρεθήσετ</w:t>
      </w:r>
      <w:proofErr w:type="spellEnd"/>
      <w:r w:rsidRPr="00F75E3B">
        <w:rPr>
          <w:rFonts w:eastAsia="Times New Roman" w:cs="Times New Roman"/>
          <w:lang w:eastAsia="de-DE"/>
        </w:rPr>
        <w:t xml:space="preserve">αι (wird niedergerissen werden) und </w:t>
      </w:r>
      <w:r w:rsidRPr="00F75E3B">
        <w:rPr>
          <w:rFonts w:eastAsia="Times New Roman" w:cs="Times New Roman"/>
          <w:b/>
          <w:bCs/>
          <w:rtl/>
          <w:lang w:eastAsia="de-DE"/>
        </w:rPr>
        <w:t>טמאים</w:t>
      </w:r>
      <w:r w:rsidRPr="00F75E3B">
        <w:rPr>
          <w:rFonts w:eastAsia="Times New Roman" w:cs="Times New Roman"/>
          <w:rtl/>
          <w:lang w:eastAsia="de-DE"/>
        </w:rPr>
        <w:t xml:space="preserve"> </w:t>
      </w:r>
      <w:r w:rsidRPr="00F75E3B">
        <w:rPr>
          <w:rFonts w:eastAsia="Times New Roman" w:cs="Times New Roman"/>
          <w:lang w:eastAsia="de-DE"/>
        </w:rPr>
        <w:t>mit ἀκάθα</w:t>
      </w:r>
      <w:proofErr w:type="spellStart"/>
      <w:r w:rsidRPr="00F75E3B">
        <w:rPr>
          <w:rFonts w:eastAsia="Times New Roman" w:cs="Times New Roman"/>
          <w:lang w:eastAsia="de-DE"/>
        </w:rPr>
        <w:t>ρτ</w:t>
      </w:r>
      <w:proofErr w:type="spellEnd"/>
      <w:r w:rsidRPr="00F75E3B">
        <w:rPr>
          <w:rFonts w:eastAsia="Times New Roman" w:cs="Times New Roman"/>
          <w:lang w:eastAsia="de-DE"/>
        </w:rPr>
        <w:t>α (unrein).</w:t>
      </w:r>
    </w:p>
    <w:p w14:paraId="29E5206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drastische Maßnahmen für große Geräte: Fallregel + spezifische große Geräte + Zerstörungsgebot + doppelte Unreinheitsklassifikation. Die Struktur zeigt die Schwere der Verunreinigung großer Küchengeräte.</w:t>
      </w:r>
    </w:p>
    <w:p w14:paraId="56188C7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regelt die Verunreinigung großer Küchengeräte und verlangt deren komplette Zerstörung.</w:t>
      </w:r>
    </w:p>
    <w:p w14:paraId="06D2BAC2"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11,36</w:t>
      </w:r>
    </w:p>
    <w:p w14:paraId="5D53570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אַ֣ךְ מַעְיָ֥ן וּב֛וֹר מִקְוֵה־מַ֖יִם יִהְיֶ֣ה טָה֑וֹר וְנֹגֵ֥עַ בְּנִבְלָתָ֖ם יִטְמָֽא׃</w:t>
      </w:r>
    </w:p>
    <w:p w14:paraId="613F7ED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Doch Quelle und Zisterne, Wasseransammlungen, werden rein sein; wer aber ihr Aas berührt, wird unrein sein.</w:t>
      </w:r>
    </w:p>
    <w:p w14:paraId="5BF2C8C3"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8D5CCC7">
          <v:rect id="_x0000_i1312" style="width:0;height:1.5pt" o:hralign="center" o:hrstd="t" o:hr="t" fillcolor="#a0a0a0" stroked="f"/>
        </w:pict>
      </w:r>
    </w:p>
    <w:p w14:paraId="0C0CD0F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אך מעין ובור מקוה־מים יהיה טהור</w:t>
      </w:r>
      <w:r w:rsidRPr="00F75E3B">
        <w:rPr>
          <w:rFonts w:eastAsia="Times New Roman" w:cs="Times New Roman"/>
          <w:rtl/>
          <w:lang w:eastAsia="de-DE"/>
        </w:rPr>
        <w:t xml:space="preserve"> </w:t>
      </w:r>
      <w:r w:rsidRPr="00F75E3B">
        <w:rPr>
          <w:rFonts w:eastAsia="Times New Roman" w:cs="Times New Roman"/>
          <w:lang w:eastAsia="de-DE"/>
        </w:rPr>
        <w:t xml:space="preserve">macht eine wichtige Ausnahme. </w:t>
      </w:r>
      <w:r w:rsidRPr="00F75E3B">
        <w:rPr>
          <w:rFonts w:eastAsia="Times New Roman" w:cs="Times New Roman"/>
          <w:b/>
          <w:bCs/>
          <w:rtl/>
          <w:lang w:eastAsia="de-DE"/>
        </w:rPr>
        <w:t>אך</w:t>
      </w:r>
      <w:r w:rsidRPr="00F75E3B">
        <w:rPr>
          <w:rFonts w:eastAsia="Times New Roman" w:cs="Times New Roman"/>
          <w:rtl/>
          <w:lang w:eastAsia="de-DE"/>
        </w:rPr>
        <w:t xml:space="preserve"> </w:t>
      </w:r>
      <w:r w:rsidRPr="00F75E3B">
        <w:rPr>
          <w:rFonts w:eastAsia="Times New Roman" w:cs="Times New Roman"/>
          <w:lang w:eastAsia="de-DE"/>
        </w:rPr>
        <w:t xml:space="preserve">(doch/jedoch) als Ausnahmepartikel. </w:t>
      </w:r>
      <w:r w:rsidRPr="00F75E3B">
        <w:rPr>
          <w:rFonts w:eastAsia="Times New Roman" w:cs="Times New Roman"/>
          <w:b/>
          <w:bCs/>
          <w:rtl/>
          <w:lang w:eastAsia="de-DE"/>
        </w:rPr>
        <w:t>מעין ובור מקוה־מים</w:t>
      </w:r>
      <w:r w:rsidRPr="00F75E3B">
        <w:rPr>
          <w:rFonts w:eastAsia="Times New Roman" w:cs="Times New Roman"/>
          <w:rtl/>
          <w:lang w:eastAsia="de-DE"/>
        </w:rPr>
        <w:t xml:space="preserve"> </w:t>
      </w:r>
      <w:r w:rsidRPr="00F75E3B">
        <w:rPr>
          <w:rFonts w:eastAsia="Times New Roman" w:cs="Times New Roman"/>
          <w:lang w:eastAsia="de-DE"/>
        </w:rPr>
        <w:t xml:space="preserve">(Quelle und Zisterne, Wasseransammlungen) - </w:t>
      </w:r>
      <w:r w:rsidRPr="00F75E3B">
        <w:rPr>
          <w:rFonts w:eastAsia="Times New Roman" w:cs="Times New Roman"/>
          <w:b/>
          <w:bCs/>
          <w:rtl/>
          <w:lang w:eastAsia="de-DE"/>
        </w:rPr>
        <w:t>מעין</w:t>
      </w:r>
      <w:r w:rsidRPr="00F75E3B">
        <w:rPr>
          <w:rFonts w:eastAsia="Times New Roman" w:cs="Times New Roman"/>
          <w:rtl/>
          <w:lang w:eastAsia="de-DE"/>
        </w:rPr>
        <w:t xml:space="preserve"> </w:t>
      </w:r>
      <w:r w:rsidRPr="00F75E3B">
        <w:rPr>
          <w:rFonts w:eastAsia="Times New Roman" w:cs="Times New Roman"/>
          <w:lang w:eastAsia="de-DE"/>
        </w:rPr>
        <w:t xml:space="preserve">(Quelle), </w:t>
      </w:r>
      <w:r w:rsidRPr="00F75E3B">
        <w:rPr>
          <w:rFonts w:eastAsia="Times New Roman" w:cs="Times New Roman"/>
          <w:b/>
          <w:bCs/>
          <w:rtl/>
          <w:lang w:eastAsia="de-DE"/>
        </w:rPr>
        <w:t>ובור</w:t>
      </w:r>
      <w:r w:rsidRPr="00F75E3B">
        <w:rPr>
          <w:rFonts w:eastAsia="Times New Roman" w:cs="Times New Roman"/>
          <w:rtl/>
          <w:lang w:eastAsia="de-DE"/>
        </w:rPr>
        <w:t xml:space="preserve"> </w:t>
      </w:r>
      <w:r w:rsidRPr="00F75E3B">
        <w:rPr>
          <w:rFonts w:eastAsia="Times New Roman" w:cs="Times New Roman"/>
          <w:lang w:eastAsia="de-DE"/>
        </w:rPr>
        <w:t xml:space="preserve">(und Zisterne), </w:t>
      </w:r>
      <w:r w:rsidRPr="00F75E3B">
        <w:rPr>
          <w:rFonts w:eastAsia="Times New Roman" w:cs="Times New Roman"/>
          <w:b/>
          <w:bCs/>
          <w:rtl/>
          <w:lang w:eastAsia="de-DE"/>
        </w:rPr>
        <w:t>מקוה־מים</w:t>
      </w:r>
      <w:r w:rsidRPr="00F75E3B">
        <w:rPr>
          <w:rFonts w:eastAsia="Times New Roman" w:cs="Times New Roman"/>
          <w:rtl/>
          <w:lang w:eastAsia="de-DE"/>
        </w:rPr>
        <w:t xml:space="preserve"> </w:t>
      </w:r>
      <w:r w:rsidRPr="00F75E3B">
        <w:rPr>
          <w:rFonts w:eastAsia="Times New Roman" w:cs="Times New Roman"/>
          <w:lang w:eastAsia="de-DE"/>
        </w:rPr>
        <w:t xml:space="preserve">(Wasseransammlung) als Genitivkonstruktion. </w:t>
      </w:r>
      <w:r w:rsidRPr="00F75E3B">
        <w:rPr>
          <w:rFonts w:eastAsia="Times New Roman" w:cs="Times New Roman"/>
          <w:b/>
          <w:bCs/>
          <w:rtl/>
          <w:lang w:eastAsia="de-DE"/>
        </w:rPr>
        <w:t>יהיה טהור</w:t>
      </w:r>
      <w:r w:rsidRPr="00F75E3B">
        <w:rPr>
          <w:rFonts w:eastAsia="Times New Roman" w:cs="Times New Roman"/>
          <w:rtl/>
          <w:lang w:eastAsia="de-DE"/>
        </w:rPr>
        <w:t xml:space="preserve"> </w:t>
      </w:r>
      <w:r w:rsidRPr="00F75E3B">
        <w:rPr>
          <w:rFonts w:eastAsia="Times New Roman" w:cs="Times New Roman"/>
          <w:lang w:eastAsia="de-DE"/>
        </w:rPr>
        <w:t>(wird rein sein) im Qal-Imperfekt - große Wassermengen bleiben rein.</w:t>
      </w:r>
    </w:p>
    <w:p w14:paraId="62B8307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ונגע בנבלתם יטמא</w:t>
      </w:r>
      <w:r w:rsidRPr="00F75E3B">
        <w:rPr>
          <w:rFonts w:eastAsia="Times New Roman" w:cs="Times New Roman"/>
          <w:rtl/>
          <w:lang w:eastAsia="de-DE"/>
        </w:rPr>
        <w:t xml:space="preserve"> </w:t>
      </w:r>
      <w:r w:rsidRPr="00F75E3B">
        <w:rPr>
          <w:rFonts w:eastAsia="Times New Roman" w:cs="Times New Roman"/>
          <w:lang w:eastAsia="de-DE"/>
        </w:rPr>
        <w:t xml:space="preserve">zeigt die Begrenzung der Ausnahme. </w:t>
      </w:r>
      <w:r w:rsidRPr="00F75E3B">
        <w:rPr>
          <w:rFonts w:eastAsia="Times New Roman" w:cs="Times New Roman"/>
          <w:b/>
          <w:bCs/>
          <w:rtl/>
          <w:lang w:eastAsia="de-DE"/>
        </w:rPr>
        <w:t>ונגע בנבלתם</w:t>
      </w:r>
      <w:r w:rsidRPr="00F75E3B">
        <w:rPr>
          <w:rFonts w:eastAsia="Times New Roman" w:cs="Times New Roman"/>
          <w:rtl/>
          <w:lang w:eastAsia="de-DE"/>
        </w:rPr>
        <w:t xml:space="preserve"> </w:t>
      </w:r>
      <w:r w:rsidRPr="00F75E3B">
        <w:rPr>
          <w:rFonts w:eastAsia="Times New Roman" w:cs="Times New Roman"/>
          <w:lang w:eastAsia="de-DE"/>
        </w:rPr>
        <w:t xml:space="preserve">(und wer ihr Aas berührt) - </w:t>
      </w:r>
      <w:r w:rsidRPr="00F75E3B">
        <w:rPr>
          <w:rFonts w:eastAsia="Times New Roman" w:cs="Times New Roman"/>
          <w:b/>
          <w:bCs/>
          <w:rtl/>
          <w:lang w:eastAsia="de-DE"/>
        </w:rPr>
        <w:t>נגע</w:t>
      </w:r>
      <w:r w:rsidRPr="00F75E3B">
        <w:rPr>
          <w:rFonts w:eastAsia="Times New Roman" w:cs="Times New Roman"/>
          <w:rtl/>
          <w:lang w:eastAsia="de-DE"/>
        </w:rPr>
        <w:t xml:space="preserve"> </w:t>
      </w:r>
      <w:r w:rsidRPr="00F75E3B">
        <w:rPr>
          <w:rFonts w:eastAsia="Times New Roman" w:cs="Times New Roman"/>
          <w:lang w:eastAsia="de-DE"/>
        </w:rPr>
        <w:t xml:space="preserve">(berührend) als Partizip mit </w:t>
      </w:r>
      <w:r w:rsidRPr="00F75E3B">
        <w:rPr>
          <w:rFonts w:eastAsia="Times New Roman" w:cs="Times New Roman"/>
          <w:b/>
          <w:bCs/>
          <w:rtl/>
          <w:lang w:eastAsia="de-DE"/>
        </w:rPr>
        <w:t>בנבלתם</w:t>
      </w:r>
      <w:r w:rsidRPr="00F75E3B">
        <w:rPr>
          <w:rFonts w:eastAsia="Times New Roman" w:cs="Times New Roman"/>
          <w:rtl/>
          <w:lang w:eastAsia="de-DE"/>
        </w:rPr>
        <w:t xml:space="preserve"> </w:t>
      </w:r>
      <w:r w:rsidRPr="00F75E3B">
        <w:rPr>
          <w:rFonts w:eastAsia="Times New Roman" w:cs="Times New Roman"/>
          <w:lang w:eastAsia="de-DE"/>
        </w:rPr>
        <w:t xml:space="preserve">(ihr Aas). </w:t>
      </w:r>
      <w:r w:rsidRPr="00F75E3B">
        <w:rPr>
          <w:rFonts w:eastAsia="Times New Roman" w:cs="Times New Roman"/>
          <w:b/>
          <w:bCs/>
          <w:rtl/>
          <w:lang w:eastAsia="de-DE"/>
        </w:rPr>
        <w:t>יטמא</w:t>
      </w:r>
      <w:r w:rsidRPr="00F75E3B">
        <w:rPr>
          <w:rFonts w:eastAsia="Times New Roman" w:cs="Times New Roman"/>
          <w:rtl/>
          <w:lang w:eastAsia="de-DE"/>
        </w:rPr>
        <w:t xml:space="preserve"> </w:t>
      </w:r>
      <w:r w:rsidRPr="00F75E3B">
        <w:rPr>
          <w:rFonts w:eastAsia="Times New Roman" w:cs="Times New Roman"/>
          <w:lang w:eastAsia="de-DE"/>
        </w:rPr>
        <w:t>(wird unrein) - direkte Berührung überträgt weiterhin Unreinheit.</w:t>
      </w:r>
    </w:p>
    <w:p w14:paraId="4F286F0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מעין ובור מקוה־מים</w:t>
      </w:r>
      <w:r w:rsidRPr="00F75E3B">
        <w:rPr>
          <w:rFonts w:eastAsia="Times New Roman" w:cs="Times New Roman"/>
          <w:rtl/>
          <w:lang w:eastAsia="de-DE"/>
        </w:rPr>
        <w:t xml:space="preserve"> </w:t>
      </w:r>
      <w:r w:rsidRPr="00F75E3B">
        <w:rPr>
          <w:rFonts w:eastAsia="Times New Roman" w:cs="Times New Roman"/>
          <w:lang w:eastAsia="de-DE"/>
        </w:rPr>
        <w:t xml:space="preserve">zeigt drei Arten großer Wasservorkommen. </w:t>
      </w:r>
      <w:r w:rsidRPr="00F75E3B">
        <w:rPr>
          <w:rFonts w:eastAsia="Times New Roman" w:cs="Times New Roman"/>
          <w:b/>
          <w:bCs/>
          <w:rtl/>
          <w:lang w:eastAsia="de-DE"/>
        </w:rPr>
        <w:t>יהיה טהור</w:t>
      </w:r>
      <w:r w:rsidRPr="00F75E3B">
        <w:rPr>
          <w:rFonts w:eastAsia="Times New Roman" w:cs="Times New Roman"/>
          <w:rtl/>
          <w:lang w:eastAsia="de-DE"/>
        </w:rPr>
        <w:t xml:space="preserve"> </w:t>
      </w:r>
      <w:r w:rsidRPr="00F75E3B">
        <w:rPr>
          <w:rFonts w:eastAsia="Times New Roman" w:cs="Times New Roman"/>
          <w:lang w:eastAsia="de-DE"/>
        </w:rPr>
        <w:t xml:space="preserve">bedeutet, dass das Wasser selbst nicht verunreinigt wird. </w:t>
      </w:r>
      <w:r w:rsidRPr="00F75E3B">
        <w:rPr>
          <w:rFonts w:eastAsia="Times New Roman" w:cs="Times New Roman"/>
          <w:b/>
          <w:bCs/>
          <w:rtl/>
          <w:lang w:eastAsia="de-DE"/>
        </w:rPr>
        <w:t>ונגע בנבלתם יטמא</w:t>
      </w:r>
      <w:r w:rsidRPr="00F75E3B">
        <w:rPr>
          <w:rFonts w:eastAsia="Times New Roman" w:cs="Times New Roman"/>
          <w:rtl/>
          <w:lang w:eastAsia="de-DE"/>
        </w:rPr>
        <w:t xml:space="preserve"> </w:t>
      </w:r>
      <w:r w:rsidRPr="00F75E3B">
        <w:rPr>
          <w:rFonts w:eastAsia="Times New Roman" w:cs="Times New Roman"/>
          <w:lang w:eastAsia="de-DE"/>
        </w:rPr>
        <w:t>begrenzt die Ausnahme auf das Wasser, nicht auf die Person.</w:t>
      </w:r>
    </w:p>
    <w:p w14:paraId="5D37DD3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מעין</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ηγή</w:t>
      </w:r>
      <w:proofErr w:type="spellEnd"/>
      <w:r w:rsidRPr="00F75E3B">
        <w:rPr>
          <w:rFonts w:eastAsia="Times New Roman" w:cs="Times New Roman"/>
          <w:lang w:eastAsia="de-DE"/>
        </w:rPr>
        <w:t xml:space="preserve"> (Quelle), </w:t>
      </w:r>
      <w:r w:rsidRPr="00F75E3B">
        <w:rPr>
          <w:rFonts w:eastAsia="Times New Roman" w:cs="Times New Roman"/>
          <w:b/>
          <w:bCs/>
          <w:rtl/>
          <w:lang w:eastAsia="de-DE"/>
        </w:rPr>
        <w:t>בור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λάκκος</w:t>
      </w:r>
      <w:proofErr w:type="spellEnd"/>
      <w:r w:rsidRPr="00F75E3B">
        <w:rPr>
          <w:rFonts w:eastAsia="Times New Roman" w:cs="Times New Roman"/>
          <w:lang w:eastAsia="de-DE"/>
        </w:rPr>
        <w:t xml:space="preserve"> (Zisterne), </w:t>
      </w:r>
      <w:r w:rsidRPr="00F75E3B">
        <w:rPr>
          <w:rFonts w:eastAsia="Times New Roman" w:cs="Times New Roman"/>
          <w:b/>
          <w:bCs/>
          <w:rtl/>
          <w:lang w:eastAsia="de-DE"/>
        </w:rPr>
        <w:t>מקוה־מים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συν</w:t>
      </w:r>
      <w:proofErr w:type="spellEnd"/>
      <w:r w:rsidRPr="00F75E3B">
        <w:rPr>
          <w:rFonts w:eastAsia="Times New Roman" w:cs="Times New Roman"/>
          <w:lang w:eastAsia="de-DE"/>
        </w:rPr>
        <w:t xml:space="preserve">αγωγὴ </w:t>
      </w:r>
      <w:proofErr w:type="spellStart"/>
      <w:r w:rsidRPr="00F75E3B">
        <w:rPr>
          <w:rFonts w:eastAsia="Times New Roman" w:cs="Times New Roman"/>
          <w:lang w:eastAsia="de-DE"/>
        </w:rPr>
        <w:t>ὕδ</w:t>
      </w:r>
      <w:proofErr w:type="spellEnd"/>
      <w:r w:rsidRPr="00F75E3B">
        <w:rPr>
          <w:rFonts w:eastAsia="Times New Roman" w:cs="Times New Roman"/>
          <w:lang w:eastAsia="de-DE"/>
        </w:rPr>
        <w:t xml:space="preserve">ατος (Wassersammlung) und </w:t>
      </w:r>
      <w:r w:rsidRPr="00F75E3B">
        <w:rPr>
          <w:rFonts w:eastAsia="Times New Roman" w:cs="Times New Roman"/>
          <w:b/>
          <w:bCs/>
          <w:rtl/>
          <w:lang w:eastAsia="de-DE"/>
        </w:rPr>
        <w:t>טהור</w:t>
      </w:r>
      <w:r w:rsidRPr="00F75E3B">
        <w:rPr>
          <w:rFonts w:eastAsia="Times New Roman" w:cs="Times New Roman"/>
          <w:rtl/>
          <w:lang w:eastAsia="de-DE"/>
        </w:rPr>
        <w:t xml:space="preserve"> </w:t>
      </w:r>
      <w:r w:rsidRPr="00F75E3B">
        <w:rPr>
          <w:rFonts w:eastAsia="Times New Roman" w:cs="Times New Roman"/>
          <w:lang w:eastAsia="de-DE"/>
        </w:rPr>
        <w:t>mit καθα</w:t>
      </w:r>
      <w:proofErr w:type="spellStart"/>
      <w:r w:rsidRPr="00F75E3B">
        <w:rPr>
          <w:rFonts w:eastAsia="Times New Roman" w:cs="Times New Roman"/>
          <w:lang w:eastAsia="de-DE"/>
        </w:rPr>
        <w:t>ρόν</w:t>
      </w:r>
      <w:proofErr w:type="spellEnd"/>
      <w:r w:rsidRPr="00F75E3B">
        <w:rPr>
          <w:rFonts w:eastAsia="Times New Roman" w:cs="Times New Roman"/>
          <w:lang w:eastAsia="de-DE"/>
        </w:rPr>
        <w:t xml:space="preserve"> (rein).</w:t>
      </w:r>
    </w:p>
    <w:p w14:paraId="432E955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wichtige Ausnahme mit Begrenzung: Ausnahmepartikel + drei Wasserarten + Reinheitsbewahrung + Begrenzung auf direkte Berührung. Die Struktur zeigt praktische Weisheit bei großen Wasservorkommen.</w:t>
      </w:r>
    </w:p>
    <w:p w14:paraId="6D242F4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macht eine praktisch wichtige Ausnahme: große Wasservorkommen bleiben rein, aber direkte Berührung der Kadaver überträgt weiterhin Unreinheit.</w:t>
      </w:r>
    </w:p>
    <w:p w14:paraId="2037911D"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11,37</w:t>
      </w:r>
    </w:p>
    <w:p w14:paraId="0EC6CDF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וְכִ֤י יִפֹּל֙ מִנִּבְלָתָ֔ם עַל־כָּל־זֶ֥רַע זֵר֖וּעַ אֲשֶׁ֣ר יִזָּרֵ֑עַ טָה֖וּר הֽוּא׃</w:t>
      </w:r>
    </w:p>
    <w:p w14:paraId="7BD9558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wenn von ihrem Aas auf irgendeinen Saatsamen fällt, der gesät wird, so ist er rein.</w:t>
      </w:r>
    </w:p>
    <w:p w14:paraId="5BB3D89D"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D1D9F38">
          <v:rect id="_x0000_i1313" style="width:0;height:1.5pt" o:hralign="center" o:hrstd="t" o:hr="t" fillcolor="#a0a0a0" stroked="f"/>
        </w:pict>
      </w:r>
    </w:p>
    <w:p w14:paraId="1D89E98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וכי יפל מנבלתם על־כל־זרע זרוע אשר יזרע טהור הוא</w:t>
      </w:r>
      <w:r w:rsidRPr="00F75E3B">
        <w:rPr>
          <w:rFonts w:eastAsia="Times New Roman" w:cs="Times New Roman"/>
          <w:rtl/>
          <w:lang w:eastAsia="de-DE"/>
        </w:rPr>
        <w:t xml:space="preserve"> </w:t>
      </w:r>
      <w:r w:rsidRPr="00F75E3B">
        <w:rPr>
          <w:rFonts w:eastAsia="Times New Roman" w:cs="Times New Roman"/>
          <w:lang w:eastAsia="de-DE"/>
        </w:rPr>
        <w:t xml:space="preserve">regelt Saatgutverunreinigung. </w:t>
      </w:r>
      <w:r w:rsidRPr="00F75E3B">
        <w:rPr>
          <w:rFonts w:eastAsia="Times New Roman" w:cs="Times New Roman"/>
          <w:b/>
          <w:bCs/>
          <w:rtl/>
          <w:lang w:eastAsia="de-DE"/>
        </w:rPr>
        <w:t>וכי יפל</w:t>
      </w:r>
      <w:r w:rsidRPr="00F75E3B">
        <w:rPr>
          <w:rFonts w:eastAsia="Times New Roman" w:cs="Times New Roman"/>
          <w:rtl/>
          <w:lang w:eastAsia="de-DE"/>
        </w:rPr>
        <w:t xml:space="preserve"> </w:t>
      </w:r>
      <w:r w:rsidRPr="00F75E3B">
        <w:rPr>
          <w:rFonts w:eastAsia="Times New Roman" w:cs="Times New Roman"/>
          <w:lang w:eastAsia="de-DE"/>
        </w:rPr>
        <w:t xml:space="preserve">(und wenn fällt) mit </w:t>
      </w:r>
      <w:r w:rsidRPr="00F75E3B">
        <w:rPr>
          <w:rFonts w:eastAsia="Times New Roman" w:cs="Times New Roman"/>
          <w:b/>
          <w:bCs/>
          <w:rtl/>
          <w:lang w:eastAsia="de-DE"/>
        </w:rPr>
        <w:t>כי</w:t>
      </w:r>
      <w:r w:rsidRPr="00F75E3B">
        <w:rPr>
          <w:rFonts w:eastAsia="Times New Roman" w:cs="Times New Roman"/>
          <w:rtl/>
          <w:lang w:eastAsia="de-DE"/>
        </w:rPr>
        <w:t xml:space="preserve"> </w:t>
      </w:r>
      <w:r w:rsidRPr="00F75E3B">
        <w:rPr>
          <w:rFonts w:eastAsia="Times New Roman" w:cs="Times New Roman"/>
          <w:lang w:eastAsia="de-DE"/>
        </w:rPr>
        <w:t xml:space="preserve">als Konditionalspartikel. </w:t>
      </w:r>
      <w:r w:rsidRPr="00F75E3B">
        <w:rPr>
          <w:rFonts w:eastAsia="Times New Roman" w:cs="Times New Roman"/>
          <w:b/>
          <w:bCs/>
          <w:rtl/>
          <w:lang w:eastAsia="de-DE"/>
        </w:rPr>
        <w:t>מנבלתם</w:t>
      </w:r>
      <w:r w:rsidRPr="00F75E3B">
        <w:rPr>
          <w:rFonts w:eastAsia="Times New Roman" w:cs="Times New Roman"/>
          <w:rtl/>
          <w:lang w:eastAsia="de-DE"/>
        </w:rPr>
        <w:t xml:space="preserve"> </w:t>
      </w:r>
      <w:r w:rsidRPr="00F75E3B">
        <w:rPr>
          <w:rFonts w:eastAsia="Times New Roman" w:cs="Times New Roman"/>
          <w:lang w:eastAsia="de-DE"/>
        </w:rPr>
        <w:t xml:space="preserve">(von ihrem Aas) entspricht V. 35. </w:t>
      </w:r>
      <w:r w:rsidRPr="00F75E3B">
        <w:rPr>
          <w:rFonts w:eastAsia="Times New Roman" w:cs="Times New Roman"/>
          <w:b/>
          <w:bCs/>
          <w:rtl/>
          <w:lang w:eastAsia="de-DE"/>
        </w:rPr>
        <w:t>על־כל־זרע זרוע</w:t>
      </w:r>
      <w:r w:rsidRPr="00F75E3B">
        <w:rPr>
          <w:rFonts w:eastAsia="Times New Roman" w:cs="Times New Roman"/>
          <w:rtl/>
          <w:lang w:eastAsia="de-DE"/>
        </w:rPr>
        <w:t xml:space="preserve"> </w:t>
      </w:r>
      <w:r w:rsidRPr="00F75E3B">
        <w:rPr>
          <w:rFonts w:eastAsia="Times New Roman" w:cs="Times New Roman"/>
          <w:lang w:eastAsia="de-DE"/>
        </w:rPr>
        <w:t xml:space="preserve">(auf irgendeinen Saatsamen) - </w:t>
      </w:r>
      <w:r w:rsidRPr="00F75E3B">
        <w:rPr>
          <w:rFonts w:eastAsia="Times New Roman" w:cs="Times New Roman"/>
          <w:b/>
          <w:bCs/>
          <w:rtl/>
          <w:lang w:eastAsia="de-DE"/>
        </w:rPr>
        <w:t>זרע זרוע</w:t>
      </w:r>
      <w:r w:rsidRPr="00F75E3B">
        <w:rPr>
          <w:rFonts w:eastAsia="Times New Roman" w:cs="Times New Roman"/>
          <w:rtl/>
          <w:lang w:eastAsia="de-DE"/>
        </w:rPr>
        <w:t xml:space="preserve"> </w:t>
      </w:r>
      <w:r w:rsidRPr="00F75E3B">
        <w:rPr>
          <w:rFonts w:eastAsia="Times New Roman" w:cs="Times New Roman"/>
          <w:lang w:eastAsia="de-DE"/>
        </w:rPr>
        <w:t xml:space="preserve">mit cognate accusative verstärkt "Saatsamen". </w:t>
      </w:r>
      <w:r w:rsidRPr="00F75E3B">
        <w:rPr>
          <w:rFonts w:eastAsia="Times New Roman" w:cs="Times New Roman"/>
          <w:b/>
          <w:bCs/>
          <w:rtl/>
          <w:lang w:eastAsia="de-DE"/>
        </w:rPr>
        <w:t>אשר יזרע</w:t>
      </w:r>
      <w:r w:rsidRPr="00F75E3B">
        <w:rPr>
          <w:rFonts w:eastAsia="Times New Roman" w:cs="Times New Roman"/>
          <w:rtl/>
          <w:lang w:eastAsia="de-DE"/>
        </w:rPr>
        <w:t xml:space="preserve"> </w:t>
      </w:r>
      <w:r w:rsidRPr="00F75E3B">
        <w:rPr>
          <w:rFonts w:eastAsia="Times New Roman" w:cs="Times New Roman"/>
          <w:lang w:eastAsia="de-DE"/>
        </w:rPr>
        <w:t xml:space="preserve">(der gesät wird) im Nifal-Imperfekt. </w:t>
      </w:r>
      <w:r w:rsidRPr="00F75E3B">
        <w:rPr>
          <w:rFonts w:eastAsia="Times New Roman" w:cs="Times New Roman"/>
          <w:b/>
          <w:bCs/>
          <w:rtl/>
          <w:lang w:eastAsia="de-DE"/>
        </w:rPr>
        <w:t>טהור הוא</w:t>
      </w:r>
      <w:r w:rsidRPr="00F75E3B">
        <w:rPr>
          <w:rFonts w:eastAsia="Times New Roman" w:cs="Times New Roman"/>
          <w:rtl/>
          <w:lang w:eastAsia="de-DE"/>
        </w:rPr>
        <w:t xml:space="preserve"> </w:t>
      </w:r>
      <w:r w:rsidRPr="00F75E3B">
        <w:rPr>
          <w:rFonts w:eastAsia="Times New Roman" w:cs="Times New Roman"/>
          <w:lang w:eastAsia="de-DE"/>
        </w:rPr>
        <w:t xml:space="preserve">(rein ist er) mit emphatischem </w:t>
      </w:r>
      <w:r w:rsidRPr="00F75E3B">
        <w:rPr>
          <w:rFonts w:eastAsia="Times New Roman" w:cs="Times New Roman"/>
          <w:b/>
          <w:bCs/>
          <w:rtl/>
          <w:lang w:eastAsia="de-DE"/>
        </w:rPr>
        <w:t>הוא</w:t>
      </w:r>
      <w:r w:rsidRPr="00F75E3B">
        <w:rPr>
          <w:rFonts w:eastAsia="Times New Roman" w:cs="Times New Roman"/>
          <w:lang w:eastAsia="de-DE"/>
        </w:rPr>
        <w:t>.</w:t>
      </w:r>
    </w:p>
    <w:p w14:paraId="4ECFFE5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זרע זרוע</w:t>
      </w:r>
      <w:r w:rsidRPr="00F75E3B">
        <w:rPr>
          <w:rFonts w:eastAsia="Times New Roman" w:cs="Times New Roman"/>
          <w:rtl/>
          <w:lang w:eastAsia="de-DE"/>
        </w:rPr>
        <w:t xml:space="preserve"> </w:t>
      </w:r>
      <w:r w:rsidRPr="00F75E3B">
        <w:rPr>
          <w:rFonts w:eastAsia="Times New Roman" w:cs="Times New Roman"/>
          <w:lang w:eastAsia="de-DE"/>
        </w:rPr>
        <w:t xml:space="preserve">bezeichnet trockenen Saatsamen im Unterschied zu befeuchtetem. </w:t>
      </w:r>
      <w:r w:rsidRPr="00F75E3B">
        <w:rPr>
          <w:rFonts w:eastAsia="Times New Roman" w:cs="Times New Roman"/>
          <w:b/>
          <w:bCs/>
          <w:rtl/>
          <w:lang w:eastAsia="de-DE"/>
        </w:rPr>
        <w:t>אשר יזרע</w:t>
      </w:r>
      <w:r w:rsidRPr="00F75E3B">
        <w:rPr>
          <w:rFonts w:eastAsia="Times New Roman" w:cs="Times New Roman"/>
          <w:rtl/>
          <w:lang w:eastAsia="de-DE"/>
        </w:rPr>
        <w:t xml:space="preserve"> </w:t>
      </w:r>
      <w:r w:rsidRPr="00F75E3B">
        <w:rPr>
          <w:rFonts w:eastAsia="Times New Roman" w:cs="Times New Roman"/>
          <w:lang w:eastAsia="de-DE"/>
        </w:rPr>
        <w:t xml:space="preserve">zeigt den Zweck des Samens. </w:t>
      </w:r>
      <w:r w:rsidRPr="00F75E3B">
        <w:rPr>
          <w:rFonts w:eastAsia="Times New Roman" w:cs="Times New Roman"/>
          <w:b/>
          <w:bCs/>
          <w:rtl/>
          <w:lang w:eastAsia="de-DE"/>
        </w:rPr>
        <w:t>טהור הוא</w:t>
      </w:r>
      <w:r w:rsidRPr="00F75E3B">
        <w:rPr>
          <w:rFonts w:eastAsia="Times New Roman" w:cs="Times New Roman"/>
          <w:rtl/>
          <w:lang w:eastAsia="de-DE"/>
        </w:rPr>
        <w:t xml:space="preserve"> </w:t>
      </w:r>
      <w:r w:rsidRPr="00F75E3B">
        <w:rPr>
          <w:rFonts w:eastAsia="Times New Roman" w:cs="Times New Roman"/>
          <w:lang w:eastAsia="de-DE"/>
        </w:rPr>
        <w:t>ist überraschend, da andere Gegenstände durch Kontakt unrein werden.</w:t>
      </w:r>
    </w:p>
    <w:p w14:paraId="1C5D087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Ausnahme für trockenen Saatsamen ist praktisch wichtig für die Landwirtschaft. </w:t>
      </w:r>
      <w:r w:rsidRPr="00F75E3B">
        <w:rPr>
          <w:rFonts w:eastAsia="Times New Roman" w:cs="Times New Roman"/>
          <w:b/>
          <w:bCs/>
          <w:rtl/>
          <w:lang w:eastAsia="de-DE"/>
        </w:rPr>
        <w:t>טהור הוא</w:t>
      </w:r>
      <w:r w:rsidRPr="00F75E3B">
        <w:rPr>
          <w:rFonts w:eastAsia="Times New Roman" w:cs="Times New Roman"/>
          <w:rtl/>
          <w:lang w:eastAsia="de-DE"/>
        </w:rPr>
        <w:t xml:space="preserve"> </w:t>
      </w:r>
      <w:r w:rsidRPr="00F75E3B">
        <w:rPr>
          <w:rFonts w:eastAsia="Times New Roman" w:cs="Times New Roman"/>
          <w:lang w:eastAsia="de-DE"/>
        </w:rPr>
        <w:t>zeigt, dass trockene Samen nicht dieselbe Absorptionsfähigkeit haben wie andere Materialien.</w:t>
      </w:r>
    </w:p>
    <w:p w14:paraId="381B04F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זרע זרוע</w:t>
      </w:r>
      <w:r w:rsidRPr="00F75E3B">
        <w:rPr>
          <w:rFonts w:eastAsia="Times New Roman" w:cs="Times New Roman"/>
          <w:rtl/>
          <w:lang w:eastAsia="de-DE"/>
        </w:rPr>
        <w:t xml:space="preserve"> </w:t>
      </w:r>
      <w:r w:rsidRPr="00F75E3B">
        <w:rPr>
          <w:rFonts w:eastAsia="Times New Roman" w:cs="Times New Roman"/>
          <w:lang w:eastAsia="de-DE"/>
        </w:rPr>
        <w:t>mit σπ</w:t>
      </w:r>
      <w:proofErr w:type="spellStart"/>
      <w:r w:rsidRPr="00F75E3B">
        <w:rPr>
          <w:rFonts w:eastAsia="Times New Roman" w:cs="Times New Roman"/>
          <w:lang w:eastAsia="de-DE"/>
        </w:rPr>
        <w:t>έρμ</w:t>
      </w:r>
      <w:proofErr w:type="spellEnd"/>
      <w:r w:rsidRPr="00F75E3B">
        <w:rPr>
          <w:rFonts w:eastAsia="Times New Roman" w:cs="Times New Roman"/>
          <w:lang w:eastAsia="de-DE"/>
        </w:rPr>
        <w:t>α σπ</w:t>
      </w:r>
      <w:proofErr w:type="spellStart"/>
      <w:r w:rsidRPr="00F75E3B">
        <w:rPr>
          <w:rFonts w:eastAsia="Times New Roman" w:cs="Times New Roman"/>
          <w:lang w:eastAsia="de-DE"/>
        </w:rPr>
        <w:t>όριμον</w:t>
      </w:r>
      <w:proofErr w:type="spellEnd"/>
      <w:r w:rsidRPr="00F75E3B">
        <w:rPr>
          <w:rFonts w:eastAsia="Times New Roman" w:cs="Times New Roman"/>
          <w:lang w:eastAsia="de-DE"/>
        </w:rPr>
        <w:t xml:space="preserve"> (Saatsamen), </w:t>
      </w:r>
      <w:r w:rsidRPr="00F75E3B">
        <w:rPr>
          <w:rFonts w:eastAsia="Times New Roman" w:cs="Times New Roman"/>
          <w:b/>
          <w:bCs/>
          <w:rtl/>
          <w:lang w:eastAsia="de-DE"/>
        </w:rPr>
        <w:t>יזרע</w:t>
      </w:r>
      <w:r w:rsidRPr="00F75E3B">
        <w:rPr>
          <w:rFonts w:eastAsia="Times New Roman" w:cs="Times New Roman"/>
          <w:rtl/>
          <w:lang w:eastAsia="de-DE"/>
        </w:rPr>
        <w:t xml:space="preserve"> </w:t>
      </w:r>
      <w:r w:rsidRPr="00F75E3B">
        <w:rPr>
          <w:rFonts w:eastAsia="Times New Roman" w:cs="Times New Roman"/>
          <w:lang w:eastAsia="de-DE"/>
        </w:rPr>
        <w:t>mit σπα</w:t>
      </w:r>
      <w:proofErr w:type="spellStart"/>
      <w:r w:rsidRPr="00F75E3B">
        <w:rPr>
          <w:rFonts w:eastAsia="Times New Roman" w:cs="Times New Roman"/>
          <w:lang w:eastAsia="de-DE"/>
        </w:rPr>
        <w:t>ρήσετ</w:t>
      </w:r>
      <w:proofErr w:type="spellEnd"/>
      <w:r w:rsidRPr="00F75E3B">
        <w:rPr>
          <w:rFonts w:eastAsia="Times New Roman" w:cs="Times New Roman"/>
          <w:lang w:eastAsia="de-DE"/>
        </w:rPr>
        <w:t xml:space="preserve">αι (wird gesät werden) und </w:t>
      </w:r>
      <w:r w:rsidRPr="00F75E3B">
        <w:rPr>
          <w:rFonts w:eastAsia="Times New Roman" w:cs="Times New Roman"/>
          <w:b/>
          <w:bCs/>
          <w:rtl/>
          <w:lang w:eastAsia="de-DE"/>
        </w:rPr>
        <w:t>טהור</w:t>
      </w:r>
      <w:r w:rsidRPr="00F75E3B">
        <w:rPr>
          <w:rFonts w:eastAsia="Times New Roman" w:cs="Times New Roman"/>
          <w:rtl/>
          <w:lang w:eastAsia="de-DE"/>
        </w:rPr>
        <w:t xml:space="preserve"> </w:t>
      </w:r>
      <w:r w:rsidRPr="00F75E3B">
        <w:rPr>
          <w:rFonts w:eastAsia="Times New Roman" w:cs="Times New Roman"/>
          <w:lang w:eastAsia="de-DE"/>
        </w:rPr>
        <w:t>mit καθα</w:t>
      </w:r>
      <w:proofErr w:type="spellStart"/>
      <w:r w:rsidRPr="00F75E3B">
        <w:rPr>
          <w:rFonts w:eastAsia="Times New Roman" w:cs="Times New Roman"/>
          <w:lang w:eastAsia="de-DE"/>
        </w:rPr>
        <w:t>ρόν</w:t>
      </w:r>
      <w:proofErr w:type="spellEnd"/>
      <w:r w:rsidRPr="00F75E3B">
        <w:rPr>
          <w:rFonts w:eastAsia="Times New Roman" w:cs="Times New Roman"/>
          <w:lang w:eastAsia="de-DE"/>
        </w:rPr>
        <w:t xml:space="preserve"> (rein).</w:t>
      </w:r>
    </w:p>
    <w:p w14:paraId="7F9B417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landwirtschaftliche Ausnahme: Konditionalsatz + Saatgutspezifikation + Zweckangabe + Reinheitsbewahrung. Die Struktur zeigt praktische Rücksicht auf die Landwirtschaft.</w:t>
      </w:r>
    </w:p>
    <w:p w14:paraId="022C419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macht eine wichtige Ausnahme für trockenen Saatsamen, der trotz Kontakt mit toten Kriechtieren rein bleibt.</w:t>
      </w:r>
    </w:p>
    <w:p w14:paraId="76DDD86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11,38</w:t>
      </w:r>
    </w:p>
    <w:p w14:paraId="37C40CB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וְכִ֤י יֻתַּן־מַ֨יִם֙ עַל־זֶ֔רַע וְנָפַ֥ל מִנִּבְלָתָ֖ם עָלָ֑יו טָמֵ֥א ה֖וּא לָכֶֽם׃</w:t>
      </w:r>
    </w:p>
    <w:p w14:paraId="7728877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Wenn aber Wasser auf den Samen getan wurde und es von ihrem Aas darauf fällt, so ist er unrein für euch.</w:t>
      </w:r>
    </w:p>
    <w:p w14:paraId="68E2E3C2"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47218A2">
          <v:rect id="_x0000_i1314" style="width:0;height:1.5pt" o:hralign="center" o:hrstd="t" o:hr="t" fillcolor="#a0a0a0" stroked="f"/>
        </w:pict>
      </w:r>
    </w:p>
    <w:p w14:paraId="6348746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וכי יתן־מים על־זרע ונפל מנבלתם עליו 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zeigt die Begrenzung der Ausnahme aus V. 37. </w:t>
      </w:r>
      <w:r w:rsidRPr="00F75E3B">
        <w:rPr>
          <w:rFonts w:eastAsia="Times New Roman" w:cs="Times New Roman"/>
          <w:b/>
          <w:bCs/>
          <w:rtl/>
          <w:lang w:eastAsia="de-DE"/>
        </w:rPr>
        <w:t>וכי יתן־מים על־זרע</w:t>
      </w:r>
      <w:r w:rsidRPr="00F75E3B">
        <w:rPr>
          <w:rFonts w:eastAsia="Times New Roman" w:cs="Times New Roman"/>
          <w:rtl/>
          <w:lang w:eastAsia="de-DE"/>
        </w:rPr>
        <w:t xml:space="preserve"> </w:t>
      </w:r>
      <w:r w:rsidRPr="00F75E3B">
        <w:rPr>
          <w:rFonts w:eastAsia="Times New Roman" w:cs="Times New Roman"/>
          <w:lang w:eastAsia="de-DE"/>
        </w:rPr>
        <w:t xml:space="preserve">(wenn aber Wasser auf den Samen getan wurde) - </w:t>
      </w:r>
      <w:r w:rsidRPr="00F75E3B">
        <w:rPr>
          <w:rFonts w:eastAsia="Times New Roman" w:cs="Times New Roman"/>
          <w:b/>
          <w:bCs/>
          <w:rtl/>
          <w:lang w:eastAsia="de-DE"/>
        </w:rPr>
        <w:t>נתן</w:t>
      </w:r>
      <w:r w:rsidRPr="00F75E3B">
        <w:rPr>
          <w:rFonts w:eastAsia="Times New Roman" w:cs="Times New Roman"/>
          <w:rtl/>
          <w:lang w:eastAsia="de-DE"/>
        </w:rPr>
        <w:t xml:space="preserve"> </w:t>
      </w:r>
      <w:r w:rsidRPr="00F75E3B">
        <w:rPr>
          <w:rFonts w:eastAsia="Times New Roman" w:cs="Times New Roman"/>
          <w:lang w:eastAsia="de-DE"/>
        </w:rPr>
        <w:t xml:space="preserve">(geben) im Nifal-Perfekt zeigt passivische Konstruktion. </w:t>
      </w:r>
      <w:r w:rsidRPr="00F75E3B">
        <w:rPr>
          <w:rFonts w:eastAsia="Times New Roman" w:cs="Times New Roman"/>
          <w:b/>
          <w:bCs/>
          <w:rtl/>
          <w:lang w:eastAsia="de-DE"/>
        </w:rPr>
        <w:t>על־זרע</w:t>
      </w:r>
      <w:r w:rsidRPr="00F75E3B">
        <w:rPr>
          <w:rFonts w:eastAsia="Times New Roman" w:cs="Times New Roman"/>
          <w:rtl/>
          <w:lang w:eastAsia="de-DE"/>
        </w:rPr>
        <w:t xml:space="preserve"> </w:t>
      </w:r>
      <w:r w:rsidRPr="00F75E3B">
        <w:rPr>
          <w:rFonts w:eastAsia="Times New Roman" w:cs="Times New Roman"/>
          <w:lang w:eastAsia="de-DE"/>
        </w:rPr>
        <w:t xml:space="preserve">(auf den Samen) ohne die Verstärkung </w:t>
      </w:r>
      <w:r w:rsidRPr="00F75E3B">
        <w:rPr>
          <w:rFonts w:eastAsia="Times New Roman" w:cs="Times New Roman"/>
          <w:b/>
          <w:bCs/>
          <w:rtl/>
          <w:lang w:eastAsia="de-DE"/>
        </w:rPr>
        <w:t>זרוע</w:t>
      </w:r>
      <w:r w:rsidRPr="00F75E3B">
        <w:rPr>
          <w:rFonts w:eastAsia="Times New Roman" w:cs="Times New Roman"/>
          <w:rtl/>
          <w:lang w:eastAsia="de-DE"/>
        </w:rPr>
        <w:t xml:space="preserve"> </w:t>
      </w:r>
      <w:r w:rsidRPr="00F75E3B">
        <w:rPr>
          <w:rFonts w:eastAsia="Times New Roman" w:cs="Times New Roman"/>
          <w:lang w:eastAsia="de-DE"/>
        </w:rPr>
        <w:t>aus V. 37.</w:t>
      </w:r>
    </w:p>
    <w:p w14:paraId="6DA64E9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ונפל מנבלתם עליו 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zeigt die Konsequenz. </w:t>
      </w:r>
      <w:r w:rsidRPr="00F75E3B">
        <w:rPr>
          <w:rFonts w:eastAsia="Times New Roman" w:cs="Times New Roman"/>
          <w:b/>
          <w:bCs/>
          <w:rtl/>
          <w:lang w:eastAsia="de-DE"/>
        </w:rPr>
        <w:t>ונפל מנבלתם עליו</w:t>
      </w:r>
      <w:r w:rsidRPr="00F75E3B">
        <w:rPr>
          <w:rFonts w:eastAsia="Times New Roman" w:cs="Times New Roman"/>
          <w:rtl/>
          <w:lang w:eastAsia="de-DE"/>
        </w:rPr>
        <w:t xml:space="preserve"> </w:t>
      </w:r>
      <w:r w:rsidRPr="00F75E3B">
        <w:rPr>
          <w:rFonts w:eastAsia="Times New Roman" w:cs="Times New Roman"/>
          <w:lang w:eastAsia="de-DE"/>
        </w:rPr>
        <w:t xml:space="preserve">(und es fällt von ihrem Aas darauf) mit </w:t>
      </w:r>
      <w:r w:rsidRPr="00F75E3B">
        <w:rPr>
          <w:rFonts w:eastAsia="Times New Roman" w:cs="Times New Roman"/>
          <w:b/>
          <w:bCs/>
          <w:rtl/>
          <w:lang w:eastAsia="de-DE"/>
        </w:rPr>
        <w:t>נפל</w:t>
      </w:r>
      <w:r w:rsidRPr="00F75E3B">
        <w:rPr>
          <w:rFonts w:eastAsia="Times New Roman" w:cs="Times New Roman"/>
          <w:rtl/>
          <w:lang w:eastAsia="de-DE"/>
        </w:rPr>
        <w:t xml:space="preserve"> </w:t>
      </w:r>
      <w:r w:rsidRPr="00F75E3B">
        <w:rPr>
          <w:rFonts w:eastAsia="Times New Roman" w:cs="Times New Roman"/>
          <w:lang w:eastAsia="de-DE"/>
        </w:rPr>
        <w:t xml:space="preserve">(fallen) im Qal-Perfekt. </w:t>
      </w:r>
      <w:r w:rsidRPr="00F75E3B">
        <w:rPr>
          <w:rFonts w:eastAsia="Times New Roman" w:cs="Times New Roman"/>
          <w:b/>
          <w:bCs/>
          <w:rtl/>
          <w:lang w:eastAsia="de-DE"/>
        </w:rPr>
        <w:t>טמא הוא לכם</w:t>
      </w:r>
      <w:r w:rsidRPr="00F75E3B">
        <w:rPr>
          <w:rFonts w:eastAsia="Times New Roman" w:cs="Times New Roman"/>
          <w:rtl/>
          <w:lang w:eastAsia="de-DE"/>
        </w:rPr>
        <w:t xml:space="preserve"> </w:t>
      </w:r>
      <w:r w:rsidRPr="00F75E3B">
        <w:rPr>
          <w:rFonts w:eastAsia="Times New Roman" w:cs="Times New Roman"/>
          <w:lang w:eastAsia="de-DE"/>
        </w:rPr>
        <w:t xml:space="preserve">(unrein ist er für euch) im Kontrast zu </w:t>
      </w:r>
      <w:r w:rsidRPr="00F75E3B">
        <w:rPr>
          <w:rFonts w:eastAsia="Times New Roman" w:cs="Times New Roman"/>
          <w:b/>
          <w:bCs/>
          <w:rtl/>
          <w:lang w:eastAsia="de-DE"/>
        </w:rPr>
        <w:t>טהור הוא</w:t>
      </w:r>
      <w:r w:rsidRPr="00F75E3B">
        <w:rPr>
          <w:rFonts w:eastAsia="Times New Roman" w:cs="Times New Roman"/>
          <w:rtl/>
          <w:lang w:eastAsia="de-DE"/>
        </w:rPr>
        <w:t xml:space="preserve"> </w:t>
      </w:r>
      <w:r w:rsidRPr="00F75E3B">
        <w:rPr>
          <w:rFonts w:eastAsia="Times New Roman" w:cs="Times New Roman"/>
          <w:lang w:eastAsia="de-DE"/>
        </w:rPr>
        <w:t>aus V. 37.</w:t>
      </w:r>
    </w:p>
    <w:p w14:paraId="2022A38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יתן־מים</w:t>
      </w:r>
      <w:r w:rsidRPr="00F75E3B">
        <w:rPr>
          <w:rFonts w:eastAsia="Times New Roman" w:cs="Times New Roman"/>
          <w:rtl/>
          <w:lang w:eastAsia="de-DE"/>
        </w:rPr>
        <w:t xml:space="preserve"> </w:t>
      </w:r>
      <w:r w:rsidRPr="00F75E3B">
        <w:rPr>
          <w:rFonts w:eastAsia="Times New Roman" w:cs="Times New Roman"/>
          <w:lang w:eastAsia="de-DE"/>
        </w:rPr>
        <w:t xml:space="preserve">zeigt absichtliche Befeuchtung des Samens. </w:t>
      </w:r>
      <w:r w:rsidRPr="00F75E3B">
        <w:rPr>
          <w:rFonts w:eastAsia="Times New Roman" w:cs="Times New Roman"/>
          <w:b/>
          <w:bCs/>
          <w:rtl/>
          <w:lang w:eastAsia="de-DE"/>
        </w:rPr>
        <w:t>עליו</w:t>
      </w:r>
      <w:r w:rsidRPr="00F75E3B">
        <w:rPr>
          <w:rFonts w:eastAsia="Times New Roman" w:cs="Times New Roman"/>
          <w:rtl/>
          <w:lang w:eastAsia="de-DE"/>
        </w:rPr>
        <w:t xml:space="preserve"> </w:t>
      </w:r>
      <w:r w:rsidRPr="00F75E3B">
        <w:rPr>
          <w:rFonts w:eastAsia="Times New Roman" w:cs="Times New Roman"/>
          <w:lang w:eastAsia="de-DE"/>
        </w:rPr>
        <w:t xml:space="preserve">referenziert den befeuchteten </w:t>
      </w:r>
      <w:r w:rsidRPr="00F75E3B">
        <w:rPr>
          <w:rFonts w:eastAsia="Times New Roman" w:cs="Times New Roman"/>
          <w:b/>
          <w:bCs/>
          <w:rtl/>
          <w:lang w:eastAsia="de-DE"/>
        </w:rPr>
        <w:t>זרע</w:t>
      </w:r>
      <w:r w:rsidRPr="00F75E3B">
        <w:rPr>
          <w:rFonts w:eastAsia="Times New Roman" w:cs="Times New Roman"/>
          <w:lang w:eastAsia="de-DE"/>
        </w:rPr>
        <w:t>. Die Feuchtigkeit macht den Samen empfänglich für Unreinheit, während trockener Samen geschützt bleibt.</w:t>
      </w:r>
    </w:p>
    <w:p w14:paraId="6BE8E27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יתן־מים</w:t>
      </w:r>
      <w:r w:rsidRPr="00F75E3B">
        <w:rPr>
          <w:rFonts w:eastAsia="Times New Roman" w:cs="Times New Roman"/>
          <w:rtl/>
          <w:lang w:eastAsia="de-DE"/>
        </w:rPr>
        <w:t xml:space="preserve"> </w:t>
      </w:r>
      <w:r w:rsidRPr="00F75E3B">
        <w:rPr>
          <w:rFonts w:eastAsia="Times New Roman" w:cs="Times New Roman"/>
          <w:lang w:eastAsia="de-DE"/>
        </w:rPr>
        <w:t>mit ἐπ</w:t>
      </w:r>
      <w:proofErr w:type="spellStart"/>
      <w:r w:rsidRPr="00F75E3B">
        <w:rPr>
          <w:rFonts w:eastAsia="Times New Roman" w:cs="Times New Roman"/>
          <w:lang w:eastAsia="de-DE"/>
        </w:rPr>
        <w:t>ιχυθῇ</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ὕδωρ</w:t>
      </w:r>
      <w:proofErr w:type="spellEnd"/>
      <w:r w:rsidRPr="00F75E3B">
        <w:rPr>
          <w:rFonts w:eastAsia="Times New Roman" w:cs="Times New Roman"/>
          <w:lang w:eastAsia="de-DE"/>
        </w:rPr>
        <w:t xml:space="preserve"> (Wasser wird aufgegossen), </w:t>
      </w:r>
      <w:r w:rsidRPr="00F75E3B">
        <w:rPr>
          <w:rFonts w:eastAsia="Times New Roman" w:cs="Times New Roman"/>
          <w:b/>
          <w:bCs/>
          <w:rtl/>
          <w:lang w:eastAsia="de-DE"/>
        </w:rPr>
        <w:t>ונפל</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έσῃ</w:t>
      </w:r>
      <w:proofErr w:type="spellEnd"/>
      <w:r w:rsidRPr="00F75E3B">
        <w:rPr>
          <w:rFonts w:eastAsia="Times New Roman" w:cs="Times New Roman"/>
          <w:lang w:eastAsia="de-DE"/>
        </w:rPr>
        <w:t xml:space="preserve"> (es fällt) und </w:t>
      </w:r>
      <w:r w:rsidRPr="00F75E3B">
        <w:rPr>
          <w:rFonts w:eastAsia="Times New Roman" w:cs="Times New Roman"/>
          <w:b/>
          <w:bCs/>
          <w:rtl/>
          <w:lang w:eastAsia="de-DE"/>
        </w:rPr>
        <w:t>טמא הוא</w:t>
      </w:r>
      <w:r w:rsidRPr="00F75E3B">
        <w:rPr>
          <w:rFonts w:eastAsia="Times New Roman" w:cs="Times New Roman"/>
          <w:rtl/>
          <w:lang w:eastAsia="de-DE"/>
        </w:rPr>
        <w:t xml:space="preserve"> </w:t>
      </w:r>
      <w:r w:rsidRPr="00F75E3B">
        <w:rPr>
          <w:rFonts w:eastAsia="Times New Roman" w:cs="Times New Roman"/>
          <w:lang w:eastAsia="de-DE"/>
        </w:rPr>
        <w:t>mit ἀκάθα</w:t>
      </w:r>
      <w:proofErr w:type="spellStart"/>
      <w:r w:rsidRPr="00F75E3B">
        <w:rPr>
          <w:rFonts w:eastAsia="Times New Roman" w:cs="Times New Roman"/>
          <w:lang w:eastAsia="de-DE"/>
        </w:rPr>
        <w:t>ρτόν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ἐστιν</w:t>
      </w:r>
      <w:proofErr w:type="spellEnd"/>
      <w:r w:rsidRPr="00F75E3B">
        <w:rPr>
          <w:rFonts w:eastAsia="Times New Roman" w:cs="Times New Roman"/>
          <w:lang w:eastAsia="de-DE"/>
        </w:rPr>
        <w:t xml:space="preserve"> (unrein ist es).</w:t>
      </w:r>
    </w:p>
    <w:p w14:paraId="6045AAD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kontrastierende Bedingung: Konditionalsatz mit Befeuchtung + Fallvorgang + Unreinheitsklassifikation. Die Struktur zeigt den entscheidenden Unterschied der Feuchtigkeit.</w:t>
      </w:r>
    </w:p>
    <w:p w14:paraId="6BB7638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begrenzt die Saatgutausnahme: befeuchteter Samen wird durch Kontakt mit toten Kriechtieren unrein.</w:t>
      </w:r>
    </w:p>
    <w:p w14:paraId="7572FE92"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11,39</w:t>
      </w:r>
    </w:p>
    <w:p w14:paraId="579D2C0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וְכִ֤י יָמוּת֙ מִן־הַבְּהֵמָ֔ה אֲשֶׁר־הִ֥יא לָכֶ֖ם לְאָכְלָ֑ה הַנֹּגֵ֥עַ בְּנִבְלָתָ֖הּ יִטְמָ֥א עַד־הָעָֽרֶב׃</w:t>
      </w:r>
    </w:p>
    <w:p w14:paraId="43AF3EF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wenn eines von dem Vieh stirbt, das euch zur Nahrung ist: Wer sein Aas berührt, wird unrein sein bis zum Abend.</w:t>
      </w:r>
    </w:p>
    <w:p w14:paraId="35107B6D"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827F145">
          <v:rect id="_x0000_i1315" style="width:0;height:1.5pt" o:hralign="center" o:hrstd="t" o:hr="t" fillcolor="#a0a0a0" stroked="f"/>
        </w:pict>
      </w:r>
    </w:p>
    <w:p w14:paraId="545BE6A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וכי ימות מן־הבהמה אשר־היא לכם לאכלה</w:t>
      </w:r>
      <w:r w:rsidRPr="00F75E3B">
        <w:rPr>
          <w:rFonts w:eastAsia="Times New Roman" w:cs="Times New Roman"/>
          <w:rtl/>
          <w:lang w:eastAsia="de-DE"/>
        </w:rPr>
        <w:t xml:space="preserve"> </w:t>
      </w:r>
      <w:r w:rsidRPr="00F75E3B">
        <w:rPr>
          <w:rFonts w:eastAsia="Times New Roman" w:cs="Times New Roman"/>
          <w:lang w:eastAsia="de-DE"/>
        </w:rPr>
        <w:t xml:space="preserve">regelt natürlichen Tod erlaubter Tiere. </w:t>
      </w:r>
      <w:r w:rsidRPr="00F75E3B">
        <w:rPr>
          <w:rFonts w:eastAsia="Times New Roman" w:cs="Times New Roman"/>
          <w:b/>
          <w:bCs/>
          <w:rtl/>
          <w:lang w:eastAsia="de-DE"/>
        </w:rPr>
        <w:t>וכי ימות</w:t>
      </w:r>
      <w:r w:rsidRPr="00F75E3B">
        <w:rPr>
          <w:rFonts w:eastAsia="Times New Roman" w:cs="Times New Roman"/>
          <w:rtl/>
          <w:lang w:eastAsia="de-DE"/>
        </w:rPr>
        <w:t xml:space="preserve"> </w:t>
      </w:r>
      <w:r w:rsidRPr="00F75E3B">
        <w:rPr>
          <w:rFonts w:eastAsia="Times New Roman" w:cs="Times New Roman"/>
          <w:lang w:eastAsia="de-DE"/>
        </w:rPr>
        <w:t xml:space="preserve">(und wenn stirbt) mit </w:t>
      </w:r>
      <w:r w:rsidRPr="00F75E3B">
        <w:rPr>
          <w:rFonts w:eastAsia="Times New Roman" w:cs="Times New Roman"/>
          <w:b/>
          <w:bCs/>
          <w:rtl/>
          <w:lang w:eastAsia="de-DE"/>
        </w:rPr>
        <w:t>מות</w:t>
      </w:r>
      <w:r w:rsidRPr="00F75E3B">
        <w:rPr>
          <w:rFonts w:eastAsia="Times New Roman" w:cs="Times New Roman"/>
          <w:rtl/>
          <w:lang w:eastAsia="de-DE"/>
        </w:rPr>
        <w:t xml:space="preserve"> </w:t>
      </w:r>
      <w:r w:rsidRPr="00F75E3B">
        <w:rPr>
          <w:rFonts w:eastAsia="Times New Roman" w:cs="Times New Roman"/>
          <w:lang w:eastAsia="de-DE"/>
        </w:rPr>
        <w:t xml:space="preserve">(sterben) im Qal-Imperfekt. </w:t>
      </w:r>
      <w:r w:rsidRPr="00F75E3B">
        <w:rPr>
          <w:rFonts w:eastAsia="Times New Roman" w:cs="Times New Roman"/>
          <w:b/>
          <w:bCs/>
          <w:rtl/>
          <w:lang w:eastAsia="de-DE"/>
        </w:rPr>
        <w:t>מן־הבהמה אשר־היא לכם לאכלה</w:t>
      </w:r>
      <w:r w:rsidRPr="00F75E3B">
        <w:rPr>
          <w:rFonts w:eastAsia="Times New Roman" w:cs="Times New Roman"/>
          <w:rtl/>
          <w:lang w:eastAsia="de-DE"/>
        </w:rPr>
        <w:t xml:space="preserve"> </w:t>
      </w:r>
      <w:r w:rsidRPr="00F75E3B">
        <w:rPr>
          <w:rFonts w:eastAsia="Times New Roman" w:cs="Times New Roman"/>
          <w:lang w:eastAsia="de-DE"/>
        </w:rPr>
        <w:t xml:space="preserve">(von dem Vieh, das euch zur Nahrung ist) - </w:t>
      </w:r>
      <w:r w:rsidRPr="00F75E3B">
        <w:rPr>
          <w:rFonts w:eastAsia="Times New Roman" w:cs="Times New Roman"/>
          <w:b/>
          <w:bCs/>
          <w:rtl/>
          <w:lang w:eastAsia="de-DE"/>
        </w:rPr>
        <w:t>אשר־היא לכם לאכלה</w:t>
      </w:r>
      <w:r w:rsidRPr="00F75E3B">
        <w:rPr>
          <w:rFonts w:eastAsia="Times New Roman" w:cs="Times New Roman"/>
          <w:rtl/>
          <w:lang w:eastAsia="de-DE"/>
        </w:rPr>
        <w:t xml:space="preserve"> </w:t>
      </w:r>
      <w:r w:rsidRPr="00F75E3B">
        <w:rPr>
          <w:rFonts w:eastAsia="Times New Roman" w:cs="Times New Roman"/>
          <w:lang w:eastAsia="de-DE"/>
        </w:rPr>
        <w:t>(das für euch zum Essen ist) zeigt, dass es sich um grundsätzlich erlaubte Tiere handelt.</w:t>
      </w:r>
    </w:p>
    <w:p w14:paraId="64AD722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הנגע בנבלתה יטמא עד־הערב</w:t>
      </w:r>
      <w:r w:rsidRPr="00F75E3B">
        <w:rPr>
          <w:rFonts w:eastAsia="Times New Roman" w:cs="Times New Roman"/>
          <w:rtl/>
          <w:lang w:eastAsia="de-DE"/>
        </w:rPr>
        <w:t xml:space="preserve"> </w:t>
      </w:r>
      <w:r w:rsidRPr="00F75E3B">
        <w:rPr>
          <w:rFonts w:eastAsia="Times New Roman" w:cs="Times New Roman"/>
          <w:lang w:eastAsia="de-DE"/>
        </w:rPr>
        <w:t xml:space="preserve">zeigt die Unreinheitsübertragung. </w:t>
      </w:r>
      <w:r w:rsidRPr="00F75E3B">
        <w:rPr>
          <w:rFonts w:eastAsia="Times New Roman" w:cs="Times New Roman"/>
          <w:b/>
          <w:bCs/>
          <w:rtl/>
          <w:lang w:eastAsia="de-DE"/>
        </w:rPr>
        <w:t>הנגע בנבלתה</w:t>
      </w:r>
      <w:r w:rsidRPr="00F75E3B">
        <w:rPr>
          <w:rFonts w:eastAsia="Times New Roman" w:cs="Times New Roman"/>
          <w:rtl/>
          <w:lang w:eastAsia="de-DE"/>
        </w:rPr>
        <w:t xml:space="preserve"> </w:t>
      </w:r>
      <w:r w:rsidRPr="00F75E3B">
        <w:rPr>
          <w:rFonts w:eastAsia="Times New Roman" w:cs="Times New Roman"/>
          <w:lang w:eastAsia="de-DE"/>
        </w:rPr>
        <w:t xml:space="preserve">(wer sein Aas berührt) - </w:t>
      </w:r>
      <w:r w:rsidRPr="00F75E3B">
        <w:rPr>
          <w:rFonts w:eastAsia="Times New Roman" w:cs="Times New Roman"/>
          <w:b/>
          <w:bCs/>
          <w:rtl/>
          <w:lang w:eastAsia="de-DE"/>
        </w:rPr>
        <w:t>נגע</w:t>
      </w:r>
      <w:r w:rsidRPr="00F75E3B">
        <w:rPr>
          <w:rFonts w:eastAsia="Times New Roman" w:cs="Times New Roman"/>
          <w:rtl/>
          <w:lang w:eastAsia="de-DE"/>
        </w:rPr>
        <w:t xml:space="preserve"> </w:t>
      </w:r>
      <w:r w:rsidRPr="00F75E3B">
        <w:rPr>
          <w:rFonts w:eastAsia="Times New Roman" w:cs="Times New Roman"/>
          <w:lang w:eastAsia="de-DE"/>
        </w:rPr>
        <w:t xml:space="preserve">(berührend) als Partizip mit </w:t>
      </w:r>
      <w:r w:rsidRPr="00F75E3B">
        <w:rPr>
          <w:rFonts w:eastAsia="Times New Roman" w:cs="Times New Roman"/>
          <w:b/>
          <w:bCs/>
          <w:rtl/>
          <w:lang w:eastAsia="de-DE"/>
        </w:rPr>
        <w:t>בנבלתה</w:t>
      </w:r>
      <w:r w:rsidRPr="00F75E3B">
        <w:rPr>
          <w:rFonts w:eastAsia="Times New Roman" w:cs="Times New Roman"/>
          <w:rtl/>
          <w:lang w:eastAsia="de-DE"/>
        </w:rPr>
        <w:t xml:space="preserve"> </w:t>
      </w:r>
      <w:r w:rsidRPr="00F75E3B">
        <w:rPr>
          <w:rFonts w:eastAsia="Times New Roman" w:cs="Times New Roman"/>
          <w:lang w:eastAsia="de-DE"/>
        </w:rPr>
        <w:t xml:space="preserve">(sein Aas) mit feminin Suffix entsprechend </w:t>
      </w:r>
      <w:r w:rsidRPr="00F75E3B">
        <w:rPr>
          <w:rFonts w:eastAsia="Times New Roman" w:cs="Times New Roman"/>
          <w:b/>
          <w:bCs/>
          <w:rtl/>
          <w:lang w:eastAsia="de-DE"/>
        </w:rPr>
        <w:t>בהמה</w:t>
      </w:r>
      <w:r w:rsidRPr="00F75E3B">
        <w:rPr>
          <w:rFonts w:eastAsia="Times New Roman" w:cs="Times New Roman"/>
          <w:lang w:eastAsia="de-DE"/>
        </w:rPr>
        <w:t xml:space="preserve">. </w:t>
      </w:r>
      <w:r w:rsidRPr="00F75E3B">
        <w:rPr>
          <w:rFonts w:eastAsia="Times New Roman" w:cs="Times New Roman"/>
          <w:b/>
          <w:bCs/>
          <w:rtl/>
          <w:lang w:eastAsia="de-DE"/>
        </w:rPr>
        <w:t>יטמא עד־הערב</w:t>
      </w:r>
      <w:r w:rsidRPr="00F75E3B">
        <w:rPr>
          <w:rFonts w:eastAsia="Times New Roman" w:cs="Times New Roman"/>
          <w:rtl/>
          <w:lang w:eastAsia="de-DE"/>
        </w:rPr>
        <w:t xml:space="preserve"> </w:t>
      </w:r>
      <w:r w:rsidRPr="00F75E3B">
        <w:rPr>
          <w:rFonts w:eastAsia="Times New Roman" w:cs="Times New Roman"/>
          <w:lang w:eastAsia="de-DE"/>
        </w:rPr>
        <w:t>(wird unrein bis zum Abend) entspricht den temporären Unreinheitsregeln.</w:t>
      </w:r>
    </w:p>
    <w:p w14:paraId="6D0062C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לכם לאכלה</w:t>
      </w:r>
      <w:r w:rsidRPr="00F75E3B">
        <w:rPr>
          <w:rFonts w:eastAsia="Times New Roman" w:cs="Times New Roman"/>
          <w:rtl/>
          <w:lang w:eastAsia="de-DE"/>
        </w:rPr>
        <w:t xml:space="preserve"> </w:t>
      </w:r>
      <w:r w:rsidRPr="00F75E3B">
        <w:rPr>
          <w:rFonts w:eastAsia="Times New Roman" w:cs="Times New Roman"/>
          <w:lang w:eastAsia="de-DE"/>
        </w:rPr>
        <w:t xml:space="preserve">zeigt, dass selbst erlaubte Tiere bei natürlichem Tod Unreinheit übertragen. </w:t>
      </w:r>
      <w:r w:rsidRPr="00F75E3B">
        <w:rPr>
          <w:rFonts w:eastAsia="Times New Roman" w:cs="Times New Roman"/>
          <w:b/>
          <w:bCs/>
          <w:rtl/>
          <w:lang w:eastAsia="de-DE"/>
        </w:rPr>
        <w:t>נבלתה</w:t>
      </w:r>
      <w:r w:rsidRPr="00F75E3B">
        <w:rPr>
          <w:rFonts w:eastAsia="Times New Roman" w:cs="Times New Roman"/>
          <w:rtl/>
          <w:lang w:eastAsia="de-DE"/>
        </w:rPr>
        <w:t xml:space="preserve"> </w:t>
      </w:r>
      <w:r w:rsidRPr="00F75E3B">
        <w:rPr>
          <w:rFonts w:eastAsia="Times New Roman" w:cs="Times New Roman"/>
          <w:lang w:eastAsia="de-DE"/>
        </w:rPr>
        <w:t>(ihr Aas) zeigt, dass nur ordnungsgemäß geschlachtete Tiere zum Verzehr geeignet sind.</w:t>
      </w:r>
    </w:p>
    <w:p w14:paraId="42DA8A1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ימות</w:t>
      </w:r>
      <w:r w:rsidRPr="00F75E3B">
        <w:rPr>
          <w:rFonts w:eastAsia="Times New Roman" w:cs="Times New Roman"/>
          <w:rtl/>
          <w:lang w:eastAsia="de-DE"/>
        </w:rPr>
        <w:t xml:space="preserve"> </w:t>
      </w:r>
      <w:r w:rsidRPr="00F75E3B">
        <w:rPr>
          <w:rFonts w:eastAsia="Times New Roman" w:cs="Times New Roman"/>
          <w:lang w:eastAsia="de-DE"/>
        </w:rPr>
        <w:t>mit ἀπ</w:t>
      </w:r>
      <w:proofErr w:type="spellStart"/>
      <w:r w:rsidRPr="00F75E3B">
        <w:rPr>
          <w:rFonts w:eastAsia="Times New Roman" w:cs="Times New Roman"/>
          <w:lang w:eastAsia="de-DE"/>
        </w:rPr>
        <w:t>οθάνῃ</w:t>
      </w:r>
      <w:proofErr w:type="spellEnd"/>
      <w:r w:rsidRPr="00F75E3B">
        <w:rPr>
          <w:rFonts w:eastAsia="Times New Roman" w:cs="Times New Roman"/>
          <w:lang w:eastAsia="de-DE"/>
        </w:rPr>
        <w:t xml:space="preserve"> (stirbt), </w:t>
      </w:r>
      <w:r w:rsidRPr="00F75E3B">
        <w:rPr>
          <w:rFonts w:eastAsia="Times New Roman" w:cs="Times New Roman"/>
          <w:b/>
          <w:bCs/>
          <w:rtl/>
          <w:lang w:eastAsia="de-DE"/>
        </w:rPr>
        <w:t>לאכלה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εἰς</w:t>
      </w:r>
      <w:proofErr w:type="spellEnd"/>
      <w:r w:rsidRPr="00F75E3B">
        <w:rPr>
          <w:rFonts w:eastAsia="Times New Roman" w:cs="Times New Roman"/>
          <w:lang w:eastAsia="de-DE"/>
        </w:rPr>
        <w:t xml:space="preserve"> β</w:t>
      </w:r>
      <w:proofErr w:type="spellStart"/>
      <w:r w:rsidRPr="00F75E3B">
        <w:rPr>
          <w:rFonts w:eastAsia="Times New Roman" w:cs="Times New Roman"/>
          <w:lang w:eastAsia="de-DE"/>
        </w:rPr>
        <w:t>ρῶσιν</w:t>
      </w:r>
      <w:proofErr w:type="spellEnd"/>
      <w:r w:rsidRPr="00F75E3B">
        <w:rPr>
          <w:rFonts w:eastAsia="Times New Roman" w:cs="Times New Roman"/>
          <w:lang w:eastAsia="de-DE"/>
        </w:rPr>
        <w:t xml:space="preserve"> (zum Essen) und </w:t>
      </w:r>
      <w:r w:rsidRPr="00F75E3B">
        <w:rPr>
          <w:rFonts w:eastAsia="Times New Roman" w:cs="Times New Roman"/>
          <w:b/>
          <w:bCs/>
          <w:rtl/>
          <w:lang w:eastAsia="de-DE"/>
        </w:rPr>
        <w:t>בנבלתה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θνησιμ</w:t>
      </w:r>
      <w:proofErr w:type="spellEnd"/>
      <w:r w:rsidRPr="00F75E3B">
        <w:rPr>
          <w:rFonts w:eastAsia="Times New Roman" w:cs="Times New Roman"/>
          <w:lang w:eastAsia="de-DE"/>
        </w:rPr>
        <w:t>αίου α</w:t>
      </w:r>
      <w:proofErr w:type="spellStart"/>
      <w:r w:rsidRPr="00F75E3B">
        <w:rPr>
          <w:rFonts w:eastAsia="Times New Roman" w:cs="Times New Roman"/>
          <w:lang w:eastAsia="de-DE"/>
        </w:rPr>
        <w:t>ὐτοῦ</w:t>
      </w:r>
      <w:proofErr w:type="spellEnd"/>
      <w:r w:rsidRPr="00F75E3B">
        <w:rPr>
          <w:rFonts w:eastAsia="Times New Roman" w:cs="Times New Roman"/>
          <w:lang w:eastAsia="de-DE"/>
        </w:rPr>
        <w:t xml:space="preserve"> (seines Kadavers).</w:t>
      </w:r>
    </w:p>
    <w:p w14:paraId="54F082E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Regel für erlaubte Tiere: Konditionalsatz + Tierspezifikation + Berührungsregel + temporäre Unreinheit. Die Struktur zeigt, dass auch erlaubte Tiere bei natürlichem Tod problematisch sind.</w:t>
      </w:r>
    </w:p>
    <w:p w14:paraId="29D9A22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regelt, dass selbst grundsätzlich erlaubte Tiere bei natürlichem Tod durch Berührung temporäre Unreinheit übertragen.</w:t>
      </w:r>
    </w:p>
    <w:p w14:paraId="1D2E25F5"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11,40</w:t>
      </w:r>
    </w:p>
    <w:p w14:paraId="0E72EA8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וְהָֽאֹכֵל֙ מִנִּבְלָתָ֔הּ יְכַבֵּ֥ס בְּגָדָ֖יו וְטָמֵ֣א עַד־הָעָ֑רֶב וְהַנֹּשֵׂא֙ אֶת־נִבְלָתָ֔הּ יְכַבֵּ֥ס בְּגָדָ֖יו וְטָמֵ֥א עַד־הָעָֽרֶב׃</w:t>
      </w:r>
    </w:p>
    <w:p w14:paraId="699C955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wer von seinem Aas isst, soll seine Kleider waschen und wird bis zum Abend unrein sein. Und wer sein Aas aufhebt, soll seine Kleider waschen und wird bis zum Abend unrein sein.</w:t>
      </w:r>
    </w:p>
    <w:p w14:paraId="371AD379"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6F5FA58D">
          <v:rect id="_x0000_i1316" style="width:0;height:1.5pt" o:hralign="center" o:hrstd="t" o:hr="t" fillcolor="#a0a0a0" stroked="f"/>
        </w:pict>
      </w:r>
    </w:p>
    <w:p w14:paraId="1B2F95C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והאכל מנבלתה 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 xml:space="preserve">regelt Verzehr von </w:t>
      </w:r>
      <w:r w:rsidRPr="00F75E3B">
        <w:rPr>
          <w:rFonts w:eastAsia="Times New Roman" w:cs="Times New Roman"/>
          <w:b/>
          <w:bCs/>
          <w:rtl/>
          <w:lang w:eastAsia="de-DE"/>
        </w:rPr>
        <w:t>נבלה</w:t>
      </w:r>
      <w:r w:rsidRPr="00F75E3B">
        <w:rPr>
          <w:rFonts w:eastAsia="Times New Roman" w:cs="Times New Roman"/>
          <w:lang w:eastAsia="de-DE"/>
        </w:rPr>
        <w:t xml:space="preserve">. </w:t>
      </w:r>
      <w:r w:rsidRPr="00F75E3B">
        <w:rPr>
          <w:rFonts w:eastAsia="Times New Roman" w:cs="Times New Roman"/>
          <w:b/>
          <w:bCs/>
          <w:rtl/>
          <w:lang w:eastAsia="de-DE"/>
        </w:rPr>
        <w:t>והאכל מנבלתה</w:t>
      </w:r>
      <w:r w:rsidRPr="00F75E3B">
        <w:rPr>
          <w:rFonts w:eastAsia="Times New Roman" w:cs="Times New Roman"/>
          <w:rtl/>
          <w:lang w:eastAsia="de-DE"/>
        </w:rPr>
        <w:t xml:space="preserve"> </w:t>
      </w:r>
      <w:r w:rsidRPr="00F75E3B">
        <w:rPr>
          <w:rFonts w:eastAsia="Times New Roman" w:cs="Times New Roman"/>
          <w:lang w:eastAsia="de-DE"/>
        </w:rPr>
        <w:t xml:space="preserve">(und wer von seinem Aas isst) - </w:t>
      </w:r>
      <w:r w:rsidRPr="00F75E3B">
        <w:rPr>
          <w:rFonts w:eastAsia="Times New Roman" w:cs="Times New Roman"/>
          <w:b/>
          <w:bCs/>
          <w:rtl/>
          <w:lang w:eastAsia="de-DE"/>
        </w:rPr>
        <w:t>אכל</w:t>
      </w:r>
      <w:r w:rsidRPr="00F75E3B">
        <w:rPr>
          <w:rFonts w:eastAsia="Times New Roman" w:cs="Times New Roman"/>
          <w:rtl/>
          <w:lang w:eastAsia="de-DE"/>
        </w:rPr>
        <w:t xml:space="preserve"> </w:t>
      </w:r>
      <w:r w:rsidRPr="00F75E3B">
        <w:rPr>
          <w:rFonts w:eastAsia="Times New Roman" w:cs="Times New Roman"/>
          <w:lang w:eastAsia="de-DE"/>
        </w:rPr>
        <w:t xml:space="preserve">(essend) als Partizip mit partitivem </w:t>
      </w:r>
      <w:r w:rsidRPr="00F75E3B">
        <w:rPr>
          <w:rFonts w:eastAsia="Times New Roman" w:cs="Times New Roman"/>
          <w:b/>
          <w:bCs/>
          <w:rtl/>
          <w:lang w:eastAsia="de-DE"/>
        </w:rPr>
        <w:t>מן</w:t>
      </w:r>
      <w:r w:rsidRPr="00F75E3B">
        <w:rPr>
          <w:rFonts w:eastAsia="Times New Roman" w:cs="Times New Roman"/>
          <w:lang w:eastAsia="de-DE"/>
        </w:rPr>
        <w:t xml:space="preserve">. </w:t>
      </w:r>
      <w:r w:rsidRPr="00F75E3B">
        <w:rPr>
          <w:rFonts w:eastAsia="Times New Roman" w:cs="Times New Roman"/>
          <w:b/>
          <w:bCs/>
          <w:rtl/>
          <w:lang w:eastAsia="de-DE"/>
        </w:rPr>
        <w:t>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(soll seine Kleider waschen und wird unrein bis zum Abend) entspricht V. 25.</w:t>
      </w:r>
    </w:p>
    <w:p w14:paraId="0B91144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והנשא את־נבלתה 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 xml:space="preserve">wiederholt die Trageregel. </w:t>
      </w:r>
      <w:r w:rsidRPr="00F75E3B">
        <w:rPr>
          <w:rFonts w:eastAsia="Times New Roman" w:cs="Times New Roman"/>
          <w:b/>
          <w:bCs/>
          <w:rtl/>
          <w:lang w:eastAsia="de-DE"/>
        </w:rPr>
        <w:t>והנשא את־נבלתה</w:t>
      </w:r>
      <w:r w:rsidRPr="00F75E3B">
        <w:rPr>
          <w:rFonts w:eastAsia="Times New Roman" w:cs="Times New Roman"/>
          <w:rtl/>
          <w:lang w:eastAsia="de-DE"/>
        </w:rPr>
        <w:t xml:space="preserve"> </w:t>
      </w:r>
      <w:r w:rsidRPr="00F75E3B">
        <w:rPr>
          <w:rFonts w:eastAsia="Times New Roman" w:cs="Times New Roman"/>
          <w:lang w:eastAsia="de-DE"/>
        </w:rPr>
        <w:t xml:space="preserve">(und wer sein Aas aufhebt) entspricht V. 25. </w:t>
      </w:r>
      <w:r w:rsidRPr="00F75E3B">
        <w:rPr>
          <w:rFonts w:eastAsia="Times New Roman" w:cs="Times New Roman"/>
          <w:b/>
          <w:bCs/>
          <w:rtl/>
          <w:lang w:eastAsia="de-DE"/>
        </w:rPr>
        <w:t>יכבס בגדיו וטמא עד־הערב</w:t>
      </w:r>
      <w:r w:rsidRPr="00F75E3B">
        <w:rPr>
          <w:rFonts w:eastAsia="Times New Roman" w:cs="Times New Roman"/>
          <w:rtl/>
          <w:lang w:eastAsia="de-DE"/>
        </w:rPr>
        <w:t xml:space="preserve"> </w:t>
      </w:r>
      <w:r w:rsidRPr="00F75E3B">
        <w:rPr>
          <w:rFonts w:eastAsia="Times New Roman" w:cs="Times New Roman"/>
          <w:lang w:eastAsia="de-DE"/>
        </w:rPr>
        <w:t>(soll seine Kleider waschen und wird unrein bis zum Abend) ist identisch mit der ersten Hälfte.</w:t>
      </w:r>
    </w:p>
    <w:p w14:paraId="57C4021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האכל מנבלתה</w:t>
      </w:r>
      <w:r w:rsidRPr="00F75E3B">
        <w:rPr>
          <w:rFonts w:eastAsia="Times New Roman" w:cs="Times New Roman"/>
          <w:rtl/>
          <w:lang w:eastAsia="de-DE"/>
        </w:rPr>
        <w:t xml:space="preserve"> </w:t>
      </w:r>
      <w:r w:rsidRPr="00F75E3B">
        <w:rPr>
          <w:rFonts w:eastAsia="Times New Roman" w:cs="Times New Roman"/>
          <w:lang w:eastAsia="de-DE"/>
        </w:rPr>
        <w:t xml:space="preserve">zeigt, dass selbst der Verzehr erlaubter Tiere bei natürlichem Tod Unreinheit verursacht. Die identische Behandlung von Essen und Tragen zeigt die Schwere des </w:t>
      </w:r>
      <w:r w:rsidRPr="00F75E3B">
        <w:rPr>
          <w:rFonts w:eastAsia="Times New Roman" w:cs="Times New Roman"/>
          <w:b/>
          <w:bCs/>
          <w:rtl/>
          <w:lang w:eastAsia="de-DE"/>
        </w:rPr>
        <w:t>נבלה</w:t>
      </w:r>
      <w:r w:rsidRPr="00F75E3B">
        <w:rPr>
          <w:rFonts w:eastAsia="Times New Roman" w:cs="Times New Roman"/>
          <w:lang w:eastAsia="de-DE"/>
        </w:rPr>
        <w:t>-Kontakts.</w:t>
      </w:r>
    </w:p>
    <w:p w14:paraId="12FEB279" w14:textId="77777777" w:rsidR="00571E11" w:rsidRDefault="00571E11" w:rsidP="00F75E3B">
      <w:pPr>
        <w:spacing w:before="100" w:beforeAutospacing="1" w:after="100" w:afterAutospacing="1" w:line="240" w:lineRule="auto"/>
      </w:pPr>
      <w:r>
        <w:rPr>
          <w:rStyle w:val="Fett"/>
        </w:rPr>
        <w:t>Die LXX</w:t>
      </w:r>
      <w:r>
        <w:t xml:space="preserve"> fügt καὶ </w:t>
      </w:r>
      <w:proofErr w:type="spellStart"/>
      <w:r>
        <w:t>λούσετ</w:t>
      </w:r>
      <w:proofErr w:type="spellEnd"/>
      <w:r>
        <w:t xml:space="preserve">αι </w:t>
      </w:r>
      <w:proofErr w:type="spellStart"/>
      <w:r>
        <w:t>ὕδ</w:t>
      </w:r>
      <w:proofErr w:type="spellEnd"/>
      <w:r>
        <w:t>ατι (und er soll sich mit Wasser waschen) hinzu, was im hebräischen Text nicht steht, aber eine logische Ergänzung der Reinigungsvorschriften darstellt.</w:t>
      </w:r>
    </w:p>
    <w:p w14:paraId="5AE5E90A" w14:textId="7AE08942"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parallele Unreinheitsregeln: Essendes Partizip + Kleiderwaschen + temporäre Unreinheit // Tragendes Partizip + identische Konsequenzen. Die Struktur zeigt gleichwertige Behandlung verschiedener Kontaktarten.</w:t>
      </w:r>
    </w:p>
    <w:p w14:paraId="412A022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zeigt, dass sowohl Verzehr als auch Transport von </w:t>
      </w:r>
      <w:r w:rsidRPr="00F75E3B">
        <w:rPr>
          <w:rFonts w:eastAsia="Times New Roman" w:cs="Times New Roman"/>
          <w:b/>
          <w:bCs/>
          <w:rtl/>
          <w:lang w:eastAsia="de-DE"/>
        </w:rPr>
        <w:t>נבלה</w:t>
      </w:r>
      <w:r w:rsidRPr="00F75E3B">
        <w:rPr>
          <w:rFonts w:eastAsia="Times New Roman" w:cs="Times New Roman"/>
          <w:rtl/>
          <w:lang w:eastAsia="de-DE"/>
        </w:rPr>
        <w:t xml:space="preserve"> </w:t>
      </w:r>
      <w:r w:rsidRPr="00F75E3B">
        <w:rPr>
          <w:rFonts w:eastAsia="Times New Roman" w:cs="Times New Roman"/>
          <w:lang w:eastAsia="de-DE"/>
        </w:rPr>
        <w:t>erlaubter Tiere identische Unreinheitskonsequenzen haben.</w:t>
      </w:r>
    </w:p>
    <w:p w14:paraId="03A1134C"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11,41</w:t>
      </w:r>
    </w:p>
    <w:p w14:paraId="556DF38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וְכָל־הַשֶּׁ֖רֶץ הַשֹּׁרֵ֣ץ עַל־הָאָ֑רֶץ שֶׁ֥קֶץ ה֖וּא לֹ֥א יֵאָכֵֽל׃</w:t>
      </w:r>
    </w:p>
    <w:p w14:paraId="762415E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alles Kleingetier, das auf der Erde wimmelt, ist ein Gräuel; es soll nicht gegessen werden.</w:t>
      </w:r>
    </w:p>
    <w:p w14:paraId="6168F790"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35F08FC">
          <v:rect id="_x0000_i1317" style="width:0;height:1.5pt" o:hralign="center" o:hrstd="t" o:hr="t" fillcolor="#a0a0a0" stroked="f"/>
        </w:pict>
      </w:r>
    </w:p>
    <w:p w14:paraId="12EE357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וכל־השרץ השרץ על־הארץ שקץ הוא לא יאכל</w:t>
      </w:r>
      <w:r w:rsidRPr="00F75E3B">
        <w:rPr>
          <w:rFonts w:eastAsia="Times New Roman" w:cs="Times New Roman"/>
          <w:rtl/>
          <w:lang w:eastAsia="de-DE"/>
        </w:rPr>
        <w:t xml:space="preserve"> </w:t>
      </w:r>
      <w:r w:rsidRPr="00F75E3B">
        <w:rPr>
          <w:rFonts w:eastAsia="Times New Roman" w:cs="Times New Roman"/>
          <w:lang w:eastAsia="de-DE"/>
        </w:rPr>
        <w:t xml:space="preserve">verallgemeinert das </w:t>
      </w:r>
      <w:proofErr w:type="spellStart"/>
      <w:r w:rsidRPr="00F75E3B">
        <w:rPr>
          <w:rFonts w:eastAsia="Times New Roman" w:cs="Times New Roman"/>
          <w:lang w:eastAsia="de-DE"/>
        </w:rPr>
        <w:t>Kriechtiererverbot</w:t>
      </w:r>
      <w:proofErr w:type="spellEnd"/>
      <w:r w:rsidRPr="00F75E3B">
        <w:rPr>
          <w:rFonts w:eastAsia="Times New Roman" w:cs="Times New Roman"/>
          <w:lang w:eastAsia="de-DE"/>
        </w:rPr>
        <w:t xml:space="preserve">. </w:t>
      </w:r>
      <w:r w:rsidRPr="00F75E3B">
        <w:rPr>
          <w:rFonts w:eastAsia="Times New Roman" w:cs="Times New Roman"/>
          <w:b/>
          <w:bCs/>
          <w:rtl/>
          <w:lang w:eastAsia="de-DE"/>
        </w:rPr>
        <w:t>וכל־השרץ השרץ</w:t>
      </w:r>
      <w:r w:rsidRPr="00F75E3B">
        <w:rPr>
          <w:rFonts w:eastAsia="Times New Roman" w:cs="Times New Roman"/>
          <w:rtl/>
          <w:lang w:eastAsia="de-DE"/>
        </w:rPr>
        <w:t xml:space="preserve"> </w:t>
      </w:r>
      <w:r w:rsidRPr="00F75E3B">
        <w:rPr>
          <w:rFonts w:eastAsia="Times New Roman" w:cs="Times New Roman"/>
          <w:lang w:eastAsia="de-DE"/>
        </w:rPr>
        <w:t xml:space="preserve">(und alles Kleingetier, das wimmelt) mit verstärkender Wiederholung </w:t>
      </w:r>
      <w:r w:rsidRPr="00F75E3B">
        <w:rPr>
          <w:rFonts w:eastAsia="Times New Roman" w:cs="Times New Roman"/>
          <w:b/>
          <w:bCs/>
          <w:rtl/>
          <w:lang w:eastAsia="de-DE"/>
        </w:rPr>
        <w:t>השרץ</w:t>
      </w:r>
      <w:r w:rsidRPr="00F75E3B">
        <w:rPr>
          <w:rFonts w:eastAsia="Times New Roman" w:cs="Times New Roman"/>
          <w:lang w:eastAsia="de-DE"/>
        </w:rPr>
        <w:t xml:space="preserve">. </w:t>
      </w:r>
      <w:r w:rsidRPr="00F75E3B">
        <w:rPr>
          <w:rFonts w:eastAsia="Times New Roman" w:cs="Times New Roman"/>
          <w:b/>
          <w:bCs/>
          <w:rtl/>
          <w:lang w:eastAsia="de-DE"/>
        </w:rPr>
        <w:t>על־הארץ</w:t>
      </w:r>
      <w:r w:rsidRPr="00F75E3B">
        <w:rPr>
          <w:rFonts w:eastAsia="Times New Roman" w:cs="Times New Roman"/>
          <w:rtl/>
          <w:lang w:eastAsia="de-DE"/>
        </w:rPr>
        <w:t xml:space="preserve"> </w:t>
      </w:r>
      <w:r w:rsidRPr="00F75E3B">
        <w:rPr>
          <w:rFonts w:eastAsia="Times New Roman" w:cs="Times New Roman"/>
          <w:lang w:eastAsia="de-DE"/>
        </w:rPr>
        <w:t xml:space="preserve">(auf der Erde) entspricht V. 29. </w:t>
      </w:r>
      <w:r w:rsidRPr="00F75E3B">
        <w:rPr>
          <w:rFonts w:eastAsia="Times New Roman" w:cs="Times New Roman"/>
          <w:b/>
          <w:bCs/>
          <w:rtl/>
          <w:lang w:eastAsia="de-DE"/>
        </w:rPr>
        <w:t>שקץ הוא</w:t>
      </w:r>
      <w:r w:rsidRPr="00F75E3B">
        <w:rPr>
          <w:rFonts w:eastAsia="Times New Roman" w:cs="Times New Roman"/>
          <w:rtl/>
          <w:lang w:eastAsia="de-DE"/>
        </w:rPr>
        <w:t xml:space="preserve"> </w:t>
      </w:r>
      <w:r w:rsidRPr="00F75E3B">
        <w:rPr>
          <w:rFonts w:eastAsia="Times New Roman" w:cs="Times New Roman"/>
          <w:lang w:eastAsia="de-DE"/>
        </w:rPr>
        <w:t xml:space="preserve">(ein Gräuel ist es) mit emphatischem </w:t>
      </w:r>
      <w:r w:rsidRPr="00F75E3B">
        <w:rPr>
          <w:rFonts w:eastAsia="Times New Roman" w:cs="Times New Roman"/>
          <w:b/>
          <w:bCs/>
          <w:rtl/>
          <w:lang w:eastAsia="de-DE"/>
        </w:rPr>
        <w:t>הוא</w:t>
      </w:r>
      <w:r w:rsidRPr="00F75E3B">
        <w:rPr>
          <w:rFonts w:eastAsia="Times New Roman" w:cs="Times New Roman"/>
          <w:lang w:eastAsia="de-DE"/>
        </w:rPr>
        <w:t xml:space="preserve">. </w:t>
      </w:r>
      <w:r w:rsidRPr="00F75E3B">
        <w:rPr>
          <w:rFonts w:eastAsia="Times New Roman" w:cs="Times New Roman"/>
          <w:b/>
          <w:bCs/>
          <w:rtl/>
          <w:lang w:eastAsia="de-DE"/>
        </w:rPr>
        <w:t>לא יאכל</w:t>
      </w:r>
      <w:r w:rsidRPr="00F75E3B">
        <w:rPr>
          <w:rFonts w:eastAsia="Times New Roman" w:cs="Times New Roman"/>
          <w:rtl/>
          <w:lang w:eastAsia="de-DE"/>
        </w:rPr>
        <w:t xml:space="preserve"> </w:t>
      </w:r>
      <w:r w:rsidRPr="00F75E3B">
        <w:rPr>
          <w:rFonts w:eastAsia="Times New Roman" w:cs="Times New Roman"/>
          <w:lang w:eastAsia="de-DE"/>
        </w:rPr>
        <w:t>(es soll nicht gegessen werden) im Nifal-Imperfekt.</w:t>
      </w:r>
    </w:p>
    <w:p w14:paraId="5784F9A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השרץ השרץ</w:t>
      </w:r>
      <w:r w:rsidRPr="00F75E3B">
        <w:rPr>
          <w:rFonts w:eastAsia="Times New Roman" w:cs="Times New Roman"/>
          <w:rtl/>
          <w:lang w:eastAsia="de-DE"/>
        </w:rPr>
        <w:t xml:space="preserve"> </w:t>
      </w:r>
      <w:r w:rsidRPr="00F75E3B">
        <w:rPr>
          <w:rFonts w:eastAsia="Times New Roman" w:cs="Times New Roman"/>
          <w:lang w:eastAsia="de-DE"/>
        </w:rPr>
        <w:t xml:space="preserve">mit Wiederholung betont das wimmelnde Verhalten. </w:t>
      </w:r>
      <w:r w:rsidRPr="00F75E3B">
        <w:rPr>
          <w:rFonts w:eastAsia="Times New Roman" w:cs="Times New Roman"/>
          <w:b/>
          <w:bCs/>
          <w:rtl/>
          <w:lang w:eastAsia="de-DE"/>
        </w:rPr>
        <w:t>שקץ הוא</w:t>
      </w:r>
      <w:r w:rsidRPr="00F75E3B">
        <w:rPr>
          <w:rFonts w:eastAsia="Times New Roman" w:cs="Times New Roman"/>
          <w:rtl/>
          <w:lang w:eastAsia="de-DE"/>
        </w:rPr>
        <w:t xml:space="preserve"> </w:t>
      </w:r>
      <w:r w:rsidRPr="00F75E3B">
        <w:rPr>
          <w:rFonts w:eastAsia="Times New Roman" w:cs="Times New Roman"/>
          <w:lang w:eastAsia="de-DE"/>
        </w:rPr>
        <w:t xml:space="preserve">als stärkste Ablehnungsklassifikation. </w:t>
      </w:r>
      <w:r w:rsidRPr="00F75E3B">
        <w:rPr>
          <w:rFonts w:eastAsia="Times New Roman" w:cs="Times New Roman"/>
          <w:b/>
          <w:bCs/>
          <w:rtl/>
          <w:lang w:eastAsia="de-DE"/>
        </w:rPr>
        <w:t>לא יאכל</w:t>
      </w:r>
      <w:r w:rsidRPr="00F75E3B">
        <w:rPr>
          <w:rFonts w:eastAsia="Times New Roman" w:cs="Times New Roman"/>
          <w:rtl/>
          <w:lang w:eastAsia="de-DE"/>
        </w:rPr>
        <w:t xml:space="preserve"> </w:t>
      </w:r>
      <w:r w:rsidRPr="00F75E3B">
        <w:rPr>
          <w:rFonts w:eastAsia="Times New Roman" w:cs="Times New Roman"/>
          <w:lang w:eastAsia="de-DE"/>
        </w:rPr>
        <w:t>als absolutes Verbot ohne Ausnahmen.</w:t>
      </w:r>
    </w:p>
    <w:p w14:paraId="23697D9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Verallgemeinerung erfasst alle Kriechtiere, nicht nur die acht spezifizierten aus V. 29-30.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zeigt die besondere Abscheu vor kriechenden Bewegungen.</w:t>
      </w:r>
    </w:p>
    <w:p w14:paraId="2102E29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השרץ השרץ</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άντ</w:t>
      </w:r>
      <w:proofErr w:type="spellEnd"/>
      <w:r w:rsidRPr="00F75E3B">
        <w:rPr>
          <w:rFonts w:eastAsia="Times New Roman" w:cs="Times New Roman"/>
          <w:lang w:eastAsia="de-DE"/>
        </w:rPr>
        <w:t xml:space="preserve">α </w:t>
      </w:r>
      <w:proofErr w:type="spellStart"/>
      <w:r w:rsidRPr="00F75E3B">
        <w:rPr>
          <w:rFonts w:eastAsia="Times New Roman" w:cs="Times New Roman"/>
          <w:lang w:eastAsia="de-DE"/>
        </w:rPr>
        <w:t>ἑρ</w:t>
      </w:r>
      <w:proofErr w:type="spellEnd"/>
      <w:r w:rsidRPr="00F75E3B">
        <w:rPr>
          <w:rFonts w:eastAsia="Times New Roman" w:cs="Times New Roman"/>
          <w:lang w:eastAsia="de-DE"/>
        </w:rPr>
        <w:t xml:space="preserve">πετὰ </w:t>
      </w:r>
      <w:proofErr w:type="spellStart"/>
      <w:r w:rsidRPr="00F75E3B">
        <w:rPr>
          <w:rFonts w:eastAsia="Times New Roman" w:cs="Times New Roman"/>
          <w:lang w:eastAsia="de-DE"/>
        </w:rPr>
        <w:t>τὰ</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ἕρ</w:t>
      </w:r>
      <w:proofErr w:type="spellEnd"/>
      <w:r w:rsidRPr="00F75E3B">
        <w:rPr>
          <w:rFonts w:eastAsia="Times New Roman" w:cs="Times New Roman"/>
          <w:lang w:eastAsia="de-DE"/>
        </w:rPr>
        <w:t xml:space="preserve">ποντα (alle Kriechtiere, die kriechen),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δέλυγμ</w:t>
      </w:r>
      <w:proofErr w:type="spellEnd"/>
      <w:r w:rsidRPr="00F75E3B">
        <w:rPr>
          <w:rFonts w:eastAsia="Times New Roman" w:cs="Times New Roman"/>
          <w:lang w:eastAsia="de-DE"/>
        </w:rPr>
        <w:t xml:space="preserve">α (Gräuel) und </w:t>
      </w:r>
      <w:r w:rsidRPr="00F75E3B">
        <w:rPr>
          <w:rFonts w:eastAsia="Times New Roman" w:cs="Times New Roman"/>
          <w:b/>
          <w:bCs/>
          <w:rtl/>
          <w:lang w:eastAsia="de-DE"/>
        </w:rPr>
        <w:t>לא יאכל</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οὐ</w:t>
      </w:r>
      <w:proofErr w:type="spellEnd"/>
      <w:r w:rsidRPr="00F75E3B">
        <w:rPr>
          <w:rFonts w:eastAsia="Times New Roman" w:cs="Times New Roman"/>
          <w:lang w:eastAsia="de-DE"/>
        </w:rPr>
        <w:t xml:space="preserve"> β</w:t>
      </w:r>
      <w:proofErr w:type="spellStart"/>
      <w:r w:rsidRPr="00F75E3B">
        <w:rPr>
          <w:rFonts w:eastAsia="Times New Roman" w:cs="Times New Roman"/>
          <w:lang w:eastAsia="de-DE"/>
        </w:rPr>
        <w:t>ρωθήσετ</w:t>
      </w:r>
      <w:proofErr w:type="spellEnd"/>
      <w:r w:rsidRPr="00F75E3B">
        <w:rPr>
          <w:rFonts w:eastAsia="Times New Roman" w:cs="Times New Roman"/>
          <w:lang w:eastAsia="de-DE"/>
        </w:rPr>
        <w:t>αι (wird nicht gegessen werden).</w:t>
      </w:r>
    </w:p>
    <w:p w14:paraId="06BC910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universelles Verbot: universelles Subjekt + verstärkende Wiederholung + Ortsangabe + Gräuelklassifikation + absolutes Essverbot. Die Struktur etabliert ein umfassendes </w:t>
      </w:r>
      <w:proofErr w:type="spellStart"/>
      <w:r w:rsidRPr="00F75E3B">
        <w:rPr>
          <w:rFonts w:eastAsia="Times New Roman" w:cs="Times New Roman"/>
          <w:lang w:eastAsia="de-DE"/>
        </w:rPr>
        <w:t>Kriechtiererverbot</w:t>
      </w:r>
      <w:proofErr w:type="spellEnd"/>
      <w:r w:rsidRPr="00F75E3B">
        <w:rPr>
          <w:rFonts w:eastAsia="Times New Roman" w:cs="Times New Roman"/>
          <w:lang w:eastAsia="de-DE"/>
        </w:rPr>
        <w:t>.</w:t>
      </w:r>
    </w:p>
    <w:p w14:paraId="0B158EC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etabliert ein universelles Verbot aller kriechenden Landtiere als Gräuel.</w:t>
      </w:r>
    </w:p>
    <w:p w14:paraId="5512D662"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11,42</w:t>
      </w:r>
    </w:p>
    <w:p w14:paraId="4EB75DF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כֹּל֩ הוֹלֵ֨ךְ עַל־גָּח֜וֹן וְכֹ֣ל׀ הוֹלֵ֣ךְ עַל־אַרְבַּ֗ע עַ֚ד כָּל־מַרְבֵּ֣ה רַגְלַ֔יִם לְכָל־הַשֶּׁ֖רֶץ הַשֹּׁרֵ֣ץ עַל־הָאָ֑רֶץ לֹ֥א תֹאכְל֖וּם כִּי־שֶׁ֥קֶץ הֵֽם׃</w:t>
      </w:r>
    </w:p>
    <w:p w14:paraId="6B9DC4C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Alles, was auf dem Bauch geht, und alles, was auf Vieren geht, bis zu allem Vielfüßigen unter allem Kleingetier, das auf der Erde wimmelt: ihr sollt sie nicht essen, denn sie sind ein Gräuel.</w:t>
      </w:r>
    </w:p>
    <w:p w14:paraId="1E9392B0"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FE881A4">
          <v:rect id="_x0000_i1318" style="width:0;height:1.5pt" o:hralign="center" o:hrstd="t" o:hr="t" fillcolor="#a0a0a0" stroked="f"/>
        </w:pict>
      </w:r>
    </w:p>
    <w:p w14:paraId="1E6F35F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כל הולך על־גחון וכל הולך על־ארבע עד כל־מרבה רגלים</w:t>
      </w:r>
      <w:r w:rsidRPr="00F75E3B">
        <w:rPr>
          <w:rFonts w:eastAsia="Times New Roman" w:cs="Times New Roman"/>
          <w:rtl/>
          <w:lang w:eastAsia="de-DE"/>
        </w:rPr>
        <w:t xml:space="preserve"> </w:t>
      </w:r>
      <w:r w:rsidRPr="00F75E3B">
        <w:rPr>
          <w:rFonts w:eastAsia="Times New Roman" w:cs="Times New Roman"/>
          <w:lang w:eastAsia="de-DE"/>
        </w:rPr>
        <w:t xml:space="preserve">spezifiziert verschiedene Fortbewegungsarten. </w:t>
      </w:r>
      <w:r w:rsidRPr="00F75E3B">
        <w:rPr>
          <w:rFonts w:eastAsia="Times New Roman" w:cs="Times New Roman"/>
          <w:b/>
          <w:bCs/>
          <w:rtl/>
          <w:lang w:eastAsia="de-DE"/>
        </w:rPr>
        <w:t>כל הולך על־גחון</w:t>
      </w:r>
      <w:r w:rsidRPr="00F75E3B">
        <w:rPr>
          <w:rFonts w:eastAsia="Times New Roman" w:cs="Times New Roman"/>
          <w:rtl/>
          <w:lang w:eastAsia="de-DE"/>
        </w:rPr>
        <w:t xml:space="preserve"> </w:t>
      </w:r>
      <w:r w:rsidRPr="00F75E3B">
        <w:rPr>
          <w:rFonts w:eastAsia="Times New Roman" w:cs="Times New Roman"/>
          <w:lang w:eastAsia="de-DE"/>
        </w:rPr>
        <w:t xml:space="preserve">(alles, was auf dem Bauch geht) - </w:t>
      </w:r>
      <w:r w:rsidRPr="00F75E3B">
        <w:rPr>
          <w:rFonts w:eastAsia="Times New Roman" w:cs="Times New Roman"/>
          <w:b/>
          <w:bCs/>
          <w:rtl/>
          <w:lang w:eastAsia="de-DE"/>
        </w:rPr>
        <w:t>גחון</w:t>
      </w:r>
      <w:r w:rsidRPr="00F75E3B">
        <w:rPr>
          <w:rFonts w:eastAsia="Times New Roman" w:cs="Times New Roman"/>
          <w:rtl/>
          <w:lang w:eastAsia="de-DE"/>
        </w:rPr>
        <w:t xml:space="preserve"> </w:t>
      </w:r>
      <w:r w:rsidRPr="00F75E3B">
        <w:rPr>
          <w:rFonts w:eastAsia="Times New Roman" w:cs="Times New Roman"/>
          <w:lang w:eastAsia="de-DE"/>
        </w:rPr>
        <w:t xml:space="preserve">(Bauch) zeigt </w:t>
      </w:r>
      <w:r w:rsidRPr="00F75E3B">
        <w:rPr>
          <w:rFonts w:eastAsia="Times New Roman" w:cs="Times New Roman"/>
          <w:lang w:eastAsia="de-DE"/>
        </w:rPr>
        <w:lastRenderedPageBreak/>
        <w:t xml:space="preserve">schlangenartige Bewegung. </w:t>
      </w:r>
      <w:r w:rsidRPr="00F75E3B">
        <w:rPr>
          <w:rFonts w:eastAsia="Times New Roman" w:cs="Times New Roman"/>
          <w:b/>
          <w:bCs/>
          <w:rtl/>
          <w:lang w:eastAsia="de-DE"/>
        </w:rPr>
        <w:t>וכל הולך על־ארבע</w:t>
      </w:r>
      <w:r w:rsidRPr="00F75E3B">
        <w:rPr>
          <w:rFonts w:eastAsia="Times New Roman" w:cs="Times New Roman"/>
          <w:rtl/>
          <w:lang w:eastAsia="de-DE"/>
        </w:rPr>
        <w:t xml:space="preserve"> </w:t>
      </w:r>
      <w:r w:rsidRPr="00F75E3B">
        <w:rPr>
          <w:rFonts w:eastAsia="Times New Roman" w:cs="Times New Roman"/>
          <w:lang w:eastAsia="de-DE"/>
        </w:rPr>
        <w:t xml:space="preserve">(und alles, was auf Vieren geht) entspricht V. 20. </w:t>
      </w:r>
      <w:r w:rsidRPr="00F75E3B">
        <w:rPr>
          <w:rFonts w:eastAsia="Times New Roman" w:cs="Times New Roman"/>
          <w:b/>
          <w:bCs/>
          <w:rtl/>
          <w:lang w:eastAsia="de-DE"/>
        </w:rPr>
        <w:t>עד כל־מרבה רגלים</w:t>
      </w:r>
      <w:r w:rsidRPr="00F75E3B">
        <w:rPr>
          <w:rFonts w:eastAsia="Times New Roman" w:cs="Times New Roman"/>
          <w:rtl/>
          <w:lang w:eastAsia="de-DE"/>
        </w:rPr>
        <w:t xml:space="preserve"> </w:t>
      </w:r>
      <w:r w:rsidRPr="00F75E3B">
        <w:rPr>
          <w:rFonts w:eastAsia="Times New Roman" w:cs="Times New Roman"/>
          <w:lang w:eastAsia="de-DE"/>
        </w:rPr>
        <w:t xml:space="preserve">(bis zu allem Vielfüßigen) - </w:t>
      </w:r>
      <w:r w:rsidRPr="00F75E3B">
        <w:rPr>
          <w:rFonts w:eastAsia="Times New Roman" w:cs="Times New Roman"/>
          <w:b/>
          <w:bCs/>
          <w:rtl/>
          <w:lang w:eastAsia="de-DE"/>
        </w:rPr>
        <w:t>מרבה רגלים</w:t>
      </w:r>
      <w:r w:rsidRPr="00F75E3B">
        <w:rPr>
          <w:rFonts w:eastAsia="Times New Roman" w:cs="Times New Roman"/>
          <w:rtl/>
          <w:lang w:eastAsia="de-DE"/>
        </w:rPr>
        <w:t xml:space="preserve"> </w:t>
      </w:r>
      <w:r w:rsidRPr="00F75E3B">
        <w:rPr>
          <w:rFonts w:eastAsia="Times New Roman" w:cs="Times New Roman"/>
          <w:lang w:eastAsia="de-DE"/>
        </w:rPr>
        <w:t>(viele Beine habend) zeigt Insekten und Tausendfüßer.</w:t>
      </w:r>
    </w:p>
    <w:p w14:paraId="2B7712C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לכל־השרץ השרץ על־הארץ לא תאכלום כי־שקץ הם</w:t>
      </w:r>
      <w:r w:rsidRPr="00F75E3B">
        <w:rPr>
          <w:rFonts w:eastAsia="Times New Roman" w:cs="Times New Roman"/>
          <w:rtl/>
          <w:lang w:eastAsia="de-DE"/>
        </w:rPr>
        <w:t xml:space="preserve"> </w:t>
      </w:r>
      <w:r w:rsidRPr="00F75E3B">
        <w:rPr>
          <w:rFonts w:eastAsia="Times New Roman" w:cs="Times New Roman"/>
          <w:lang w:eastAsia="de-DE"/>
        </w:rPr>
        <w:t xml:space="preserve">bekräftigt das Verbot. </w:t>
      </w:r>
      <w:r w:rsidRPr="00F75E3B">
        <w:rPr>
          <w:rFonts w:eastAsia="Times New Roman" w:cs="Times New Roman"/>
          <w:b/>
          <w:bCs/>
          <w:rtl/>
          <w:lang w:eastAsia="de-DE"/>
        </w:rPr>
        <w:t>לכל־השרץ השרץ על־הארץ</w:t>
      </w:r>
      <w:r w:rsidRPr="00F75E3B">
        <w:rPr>
          <w:rFonts w:eastAsia="Times New Roman" w:cs="Times New Roman"/>
          <w:rtl/>
          <w:lang w:eastAsia="de-DE"/>
        </w:rPr>
        <w:t xml:space="preserve"> </w:t>
      </w:r>
      <w:r w:rsidRPr="00F75E3B">
        <w:rPr>
          <w:rFonts w:eastAsia="Times New Roman" w:cs="Times New Roman"/>
          <w:lang w:eastAsia="de-DE"/>
        </w:rPr>
        <w:t xml:space="preserve">(für alles Kleingetier, das auf der Erde wimmelt) entspricht V. 41. </w:t>
      </w:r>
      <w:r w:rsidRPr="00F75E3B">
        <w:rPr>
          <w:rFonts w:eastAsia="Times New Roman" w:cs="Times New Roman"/>
          <w:b/>
          <w:bCs/>
          <w:rtl/>
          <w:lang w:eastAsia="de-DE"/>
        </w:rPr>
        <w:t>לא תאכלום</w:t>
      </w:r>
      <w:r w:rsidRPr="00F75E3B">
        <w:rPr>
          <w:rFonts w:eastAsia="Times New Roman" w:cs="Times New Roman"/>
          <w:rtl/>
          <w:lang w:eastAsia="de-DE"/>
        </w:rPr>
        <w:t xml:space="preserve"> </w:t>
      </w:r>
      <w:r w:rsidRPr="00F75E3B">
        <w:rPr>
          <w:rFonts w:eastAsia="Times New Roman" w:cs="Times New Roman"/>
          <w:lang w:eastAsia="de-DE"/>
        </w:rPr>
        <w:t xml:space="preserve">(ihr sollt sie nicht essen) im Qal-Imperfekt 2. Person maskulin Plural mit Objektsuffix. </w:t>
      </w:r>
      <w:r w:rsidRPr="00F75E3B">
        <w:rPr>
          <w:rFonts w:eastAsia="Times New Roman" w:cs="Times New Roman"/>
          <w:b/>
          <w:bCs/>
          <w:rtl/>
          <w:lang w:eastAsia="de-DE"/>
        </w:rPr>
        <w:t>כי־שקץ הם</w:t>
      </w:r>
      <w:r w:rsidRPr="00F75E3B">
        <w:rPr>
          <w:rFonts w:eastAsia="Times New Roman" w:cs="Times New Roman"/>
          <w:rtl/>
          <w:lang w:eastAsia="de-DE"/>
        </w:rPr>
        <w:t xml:space="preserve"> </w:t>
      </w:r>
      <w:r w:rsidRPr="00F75E3B">
        <w:rPr>
          <w:rFonts w:eastAsia="Times New Roman" w:cs="Times New Roman"/>
          <w:lang w:eastAsia="de-DE"/>
        </w:rPr>
        <w:t xml:space="preserve">(denn ein Gräuel sind sie) mit emphatischem </w:t>
      </w:r>
      <w:r w:rsidRPr="00F75E3B">
        <w:rPr>
          <w:rFonts w:eastAsia="Times New Roman" w:cs="Times New Roman"/>
          <w:b/>
          <w:bCs/>
          <w:rtl/>
          <w:lang w:eastAsia="de-DE"/>
        </w:rPr>
        <w:t>הם</w:t>
      </w:r>
      <w:r w:rsidRPr="00F75E3B">
        <w:rPr>
          <w:rFonts w:eastAsia="Times New Roman" w:cs="Times New Roman"/>
          <w:lang w:eastAsia="de-DE"/>
        </w:rPr>
        <w:t>.</w:t>
      </w:r>
    </w:p>
    <w:p w14:paraId="1217933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על־גחון...על־ארבע...מרבה רגלים</w:t>
      </w:r>
      <w:r w:rsidRPr="00F75E3B">
        <w:rPr>
          <w:rFonts w:eastAsia="Times New Roman" w:cs="Times New Roman"/>
          <w:rtl/>
          <w:lang w:eastAsia="de-DE"/>
        </w:rPr>
        <w:t xml:space="preserve"> </w:t>
      </w:r>
      <w:r w:rsidRPr="00F75E3B">
        <w:rPr>
          <w:rFonts w:eastAsia="Times New Roman" w:cs="Times New Roman"/>
          <w:lang w:eastAsia="de-DE"/>
        </w:rPr>
        <w:t xml:space="preserve">zeigt das Spektrum kriechender Fortbewegung. </w:t>
      </w:r>
      <w:r w:rsidRPr="00F75E3B">
        <w:rPr>
          <w:rFonts w:eastAsia="Times New Roman" w:cs="Times New Roman"/>
          <w:b/>
          <w:bCs/>
          <w:rtl/>
          <w:lang w:eastAsia="de-DE"/>
        </w:rPr>
        <w:t>לא תאכלום</w:t>
      </w:r>
      <w:r w:rsidRPr="00F75E3B">
        <w:rPr>
          <w:rFonts w:eastAsia="Times New Roman" w:cs="Times New Roman"/>
          <w:rtl/>
          <w:lang w:eastAsia="de-DE"/>
        </w:rPr>
        <w:t xml:space="preserve"> </w:t>
      </w:r>
      <w:r w:rsidRPr="00F75E3B">
        <w:rPr>
          <w:rFonts w:eastAsia="Times New Roman" w:cs="Times New Roman"/>
          <w:lang w:eastAsia="de-DE"/>
        </w:rPr>
        <w:t xml:space="preserve">mit Objektsuffix referenziert alle genannten Arten. </w:t>
      </w:r>
      <w:r w:rsidRPr="00F75E3B">
        <w:rPr>
          <w:rFonts w:eastAsia="Times New Roman" w:cs="Times New Roman"/>
          <w:b/>
          <w:bCs/>
          <w:rtl/>
          <w:lang w:eastAsia="de-DE"/>
        </w:rPr>
        <w:t>שקץ הם</w:t>
      </w:r>
      <w:r w:rsidRPr="00F75E3B">
        <w:rPr>
          <w:rFonts w:eastAsia="Times New Roman" w:cs="Times New Roman"/>
          <w:rtl/>
          <w:lang w:eastAsia="de-DE"/>
        </w:rPr>
        <w:t xml:space="preserve"> </w:t>
      </w:r>
      <w:r w:rsidRPr="00F75E3B">
        <w:rPr>
          <w:rFonts w:eastAsia="Times New Roman" w:cs="Times New Roman"/>
          <w:lang w:eastAsia="de-DE"/>
        </w:rPr>
        <w:t>bekräftigt die Gräuelklassifikation.</w:t>
      </w:r>
    </w:p>
    <w:p w14:paraId="2D78612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הולך על־גחון</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ορευόμεν</w:t>
      </w:r>
      <w:proofErr w:type="spellEnd"/>
      <w:r w:rsidRPr="00F75E3B">
        <w:rPr>
          <w:rFonts w:eastAsia="Times New Roman" w:cs="Times New Roman"/>
          <w:lang w:eastAsia="de-DE"/>
        </w:rPr>
        <w:t xml:space="preserve">α ἐπὶ </w:t>
      </w:r>
      <w:proofErr w:type="spellStart"/>
      <w:r w:rsidRPr="00F75E3B">
        <w:rPr>
          <w:rFonts w:eastAsia="Times New Roman" w:cs="Times New Roman"/>
          <w:lang w:eastAsia="de-DE"/>
        </w:rPr>
        <w:t>κοιλί</w:t>
      </w:r>
      <w:proofErr w:type="spellEnd"/>
      <w:r w:rsidRPr="00F75E3B">
        <w:rPr>
          <w:rFonts w:eastAsia="Times New Roman" w:cs="Times New Roman"/>
          <w:lang w:eastAsia="de-DE"/>
        </w:rPr>
        <w:t xml:space="preserve">ας (gehend auf dem Bauch), </w:t>
      </w:r>
      <w:r w:rsidRPr="00F75E3B">
        <w:rPr>
          <w:rFonts w:eastAsia="Times New Roman" w:cs="Times New Roman"/>
          <w:b/>
          <w:bCs/>
          <w:rtl/>
          <w:lang w:eastAsia="de-DE"/>
        </w:rPr>
        <w:t>מרבה רגלים</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ολύ</w:t>
      </w:r>
      <w:proofErr w:type="spellEnd"/>
      <w:r w:rsidRPr="00F75E3B">
        <w:rPr>
          <w:rFonts w:eastAsia="Times New Roman" w:cs="Times New Roman"/>
          <w:lang w:eastAsia="de-DE"/>
        </w:rPr>
        <w:t xml:space="preserve">πουν (vielfüßig) und </w:t>
      </w:r>
      <w:r w:rsidRPr="00F75E3B">
        <w:rPr>
          <w:rFonts w:eastAsia="Times New Roman" w:cs="Times New Roman"/>
          <w:b/>
          <w:bCs/>
          <w:rtl/>
          <w:lang w:eastAsia="de-DE"/>
        </w:rPr>
        <w:t>תאכלום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φάγεσθε</w:t>
      </w:r>
      <w:proofErr w:type="spellEnd"/>
      <w:r w:rsidRPr="00F75E3B">
        <w:rPr>
          <w:rFonts w:eastAsia="Times New Roman" w:cs="Times New Roman"/>
          <w:lang w:eastAsia="de-DE"/>
        </w:rPr>
        <w:t xml:space="preserve"> α</w:t>
      </w:r>
      <w:proofErr w:type="spellStart"/>
      <w:r w:rsidRPr="00F75E3B">
        <w:rPr>
          <w:rFonts w:eastAsia="Times New Roman" w:cs="Times New Roman"/>
          <w:lang w:eastAsia="de-DE"/>
        </w:rPr>
        <w:t>ὐτά</w:t>
      </w:r>
      <w:proofErr w:type="spellEnd"/>
      <w:r w:rsidRPr="00F75E3B">
        <w:rPr>
          <w:rFonts w:eastAsia="Times New Roman" w:cs="Times New Roman"/>
          <w:lang w:eastAsia="de-DE"/>
        </w:rPr>
        <w:t xml:space="preserve"> (ihr werdet sie essen).</w:t>
      </w:r>
    </w:p>
    <w:p w14:paraId="7E34E94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umfassende Fortbewegungsklassifikation: drei Bewegungsarten + übergeordnete Kategorie + direktes Verbot + Begründung. Die Struktur erfasst alle kriechenden Bewegungsformen.</w:t>
      </w:r>
    </w:p>
    <w:p w14:paraId="4EE5C17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spezifiziert alle Arten kriechender Fortbewegung und bekräftigt das absolute Verbot mit Gräuelklassifikation.</w:t>
      </w:r>
    </w:p>
    <w:p w14:paraId="5F3B3A6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11,43</w:t>
      </w:r>
    </w:p>
    <w:p w14:paraId="7E3C9B9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אַל־תְּשַׁקְּצוּ֙ אֶת־נַפְשֹׁ֣תֵיכֶ֔ם בְּכָל־הַשֶּׁ֖רֶץ הַשֹּׁרֵ֑ץ וְלֹ֤א תִֽטַּמְּאוּ֙ בָּהֶ֔ם וְנִטְמֵתֶ֖ם בָּֽם׃</w:t>
      </w:r>
    </w:p>
    <w:p w14:paraId="762AF58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Macht euch nicht zum Gräuel durch alles wimmelnde Kleingetier, und verunreinigt euch nicht durch sie, dass ihr dadurch unrein werdet.</w:t>
      </w:r>
    </w:p>
    <w:p w14:paraId="691B3DD9"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5C23F1B">
          <v:rect id="_x0000_i1319" style="width:0;height:1.5pt" o:hralign="center" o:hrstd="t" o:hr="t" fillcolor="#a0a0a0" stroked="f"/>
        </w:pict>
      </w:r>
    </w:p>
    <w:p w14:paraId="5520920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אל־תשקצו את־נפשתיכם בכל־השרץ השרץ</w:t>
      </w:r>
      <w:r w:rsidRPr="00F75E3B">
        <w:rPr>
          <w:rFonts w:eastAsia="Times New Roman" w:cs="Times New Roman"/>
          <w:rtl/>
          <w:lang w:eastAsia="de-DE"/>
        </w:rPr>
        <w:t xml:space="preserve"> </w:t>
      </w:r>
      <w:r w:rsidRPr="00F75E3B">
        <w:rPr>
          <w:rFonts w:eastAsia="Times New Roman" w:cs="Times New Roman"/>
          <w:lang w:eastAsia="de-DE"/>
        </w:rPr>
        <w:t xml:space="preserve">warnt vor Selbstverunreinigung. </w:t>
      </w:r>
      <w:r w:rsidRPr="00F75E3B">
        <w:rPr>
          <w:rFonts w:eastAsia="Times New Roman" w:cs="Times New Roman"/>
          <w:b/>
          <w:bCs/>
          <w:rtl/>
          <w:lang w:eastAsia="de-DE"/>
        </w:rPr>
        <w:t>אל־תשקצו</w:t>
      </w:r>
      <w:r w:rsidRPr="00F75E3B">
        <w:rPr>
          <w:rFonts w:eastAsia="Times New Roman" w:cs="Times New Roman"/>
          <w:rtl/>
          <w:lang w:eastAsia="de-DE"/>
        </w:rPr>
        <w:t xml:space="preserve"> </w:t>
      </w:r>
      <w:r w:rsidRPr="00F75E3B">
        <w:rPr>
          <w:rFonts w:eastAsia="Times New Roman" w:cs="Times New Roman"/>
          <w:lang w:eastAsia="de-DE"/>
        </w:rPr>
        <w:t xml:space="preserve">(macht nicht zum Gräuel) -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 xml:space="preserve">im Piel-Imperfekt 2. Person maskulin Plural mit Negation </w:t>
      </w:r>
      <w:r w:rsidRPr="00F75E3B">
        <w:rPr>
          <w:rFonts w:eastAsia="Times New Roman" w:cs="Times New Roman"/>
          <w:b/>
          <w:bCs/>
          <w:rtl/>
          <w:lang w:eastAsia="de-DE"/>
        </w:rPr>
        <w:t>אל</w:t>
      </w:r>
      <w:r w:rsidRPr="00F75E3B">
        <w:rPr>
          <w:rFonts w:eastAsia="Times New Roman" w:cs="Times New Roman"/>
          <w:lang w:eastAsia="de-DE"/>
        </w:rPr>
        <w:t xml:space="preserve">. </w:t>
      </w:r>
      <w:r w:rsidRPr="00F75E3B">
        <w:rPr>
          <w:rFonts w:eastAsia="Times New Roman" w:cs="Times New Roman"/>
          <w:b/>
          <w:bCs/>
          <w:rtl/>
          <w:lang w:eastAsia="de-DE"/>
        </w:rPr>
        <w:t>את־נפשתיכם</w:t>
      </w:r>
      <w:r w:rsidRPr="00F75E3B">
        <w:rPr>
          <w:rFonts w:eastAsia="Times New Roman" w:cs="Times New Roman"/>
          <w:rtl/>
          <w:lang w:eastAsia="de-DE"/>
        </w:rPr>
        <w:t xml:space="preserve"> </w:t>
      </w:r>
      <w:r w:rsidRPr="00F75E3B">
        <w:rPr>
          <w:rFonts w:eastAsia="Times New Roman" w:cs="Times New Roman"/>
          <w:lang w:eastAsia="de-DE"/>
        </w:rPr>
        <w:t xml:space="preserve">(eure Seelen/euch selbst) mit Possessivsuffix 2. Person maskulin Plural. </w:t>
      </w:r>
      <w:r w:rsidRPr="00F75E3B">
        <w:rPr>
          <w:rFonts w:eastAsia="Times New Roman" w:cs="Times New Roman"/>
          <w:b/>
          <w:bCs/>
          <w:rtl/>
          <w:lang w:eastAsia="de-DE"/>
        </w:rPr>
        <w:t>בכל־השרץ השרץ</w:t>
      </w:r>
      <w:r w:rsidRPr="00F75E3B">
        <w:rPr>
          <w:rFonts w:eastAsia="Times New Roman" w:cs="Times New Roman"/>
          <w:rtl/>
          <w:lang w:eastAsia="de-DE"/>
        </w:rPr>
        <w:t xml:space="preserve"> </w:t>
      </w:r>
      <w:r w:rsidRPr="00F75E3B">
        <w:rPr>
          <w:rFonts w:eastAsia="Times New Roman" w:cs="Times New Roman"/>
          <w:lang w:eastAsia="de-DE"/>
        </w:rPr>
        <w:t>(durch alles wimmelnde Kleingetier) entspricht V. 41-42.</w:t>
      </w:r>
    </w:p>
    <w:p w14:paraId="5D8E514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ולא תטמאו בהם ונטמתם בם</w:t>
      </w:r>
      <w:r w:rsidRPr="00F75E3B">
        <w:rPr>
          <w:rFonts w:eastAsia="Times New Roman" w:cs="Times New Roman"/>
          <w:rtl/>
          <w:lang w:eastAsia="de-DE"/>
        </w:rPr>
        <w:t xml:space="preserve"> </w:t>
      </w:r>
      <w:r w:rsidRPr="00F75E3B">
        <w:rPr>
          <w:rFonts w:eastAsia="Times New Roman" w:cs="Times New Roman"/>
          <w:lang w:eastAsia="de-DE"/>
        </w:rPr>
        <w:t xml:space="preserve">zeigt die Konsequenz. </w:t>
      </w:r>
      <w:r w:rsidRPr="00F75E3B">
        <w:rPr>
          <w:rFonts w:eastAsia="Times New Roman" w:cs="Times New Roman"/>
          <w:b/>
          <w:bCs/>
          <w:rtl/>
          <w:lang w:eastAsia="de-DE"/>
        </w:rPr>
        <w:t>ולא תטמאו בהם</w:t>
      </w:r>
      <w:r w:rsidRPr="00F75E3B">
        <w:rPr>
          <w:rFonts w:eastAsia="Times New Roman" w:cs="Times New Roman"/>
          <w:rtl/>
          <w:lang w:eastAsia="de-DE"/>
        </w:rPr>
        <w:t xml:space="preserve"> </w:t>
      </w:r>
      <w:r w:rsidRPr="00F75E3B">
        <w:rPr>
          <w:rFonts w:eastAsia="Times New Roman" w:cs="Times New Roman"/>
          <w:lang w:eastAsia="de-DE"/>
        </w:rPr>
        <w:t xml:space="preserve">(und verunreinigt euch nicht durch sie) -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 xml:space="preserve">im Nifal-Imperfekt mit Negation. </w:t>
      </w:r>
      <w:r w:rsidRPr="00F75E3B">
        <w:rPr>
          <w:rFonts w:eastAsia="Times New Roman" w:cs="Times New Roman"/>
          <w:b/>
          <w:bCs/>
          <w:rtl/>
          <w:lang w:eastAsia="de-DE"/>
        </w:rPr>
        <w:t>ונטמתם בם</w:t>
      </w:r>
      <w:r w:rsidRPr="00F75E3B">
        <w:rPr>
          <w:rFonts w:eastAsia="Times New Roman" w:cs="Times New Roman"/>
          <w:rtl/>
          <w:lang w:eastAsia="de-DE"/>
        </w:rPr>
        <w:t xml:space="preserve"> </w:t>
      </w:r>
      <w:r w:rsidRPr="00F75E3B">
        <w:rPr>
          <w:rFonts w:eastAsia="Times New Roman" w:cs="Times New Roman"/>
          <w:lang w:eastAsia="de-DE"/>
        </w:rPr>
        <w:t xml:space="preserve">(dass ihr dadurch unrein werdet) -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im Nifal-Perfekt mit Waw-Konsekutiv zeigt die unweigerliche Folge.</w:t>
      </w:r>
    </w:p>
    <w:p w14:paraId="37D223D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תשקצו את־נפשתיכם</w:t>
      </w:r>
      <w:r w:rsidRPr="00F75E3B">
        <w:rPr>
          <w:rFonts w:eastAsia="Times New Roman" w:cs="Times New Roman"/>
          <w:rtl/>
          <w:lang w:eastAsia="de-DE"/>
        </w:rPr>
        <w:t xml:space="preserve"> </w:t>
      </w:r>
      <w:r w:rsidRPr="00F75E3B">
        <w:rPr>
          <w:rFonts w:eastAsia="Times New Roman" w:cs="Times New Roman"/>
          <w:lang w:eastAsia="de-DE"/>
        </w:rPr>
        <w:t xml:space="preserve">zeigt, dass Übertretung die ganze Person zum </w:t>
      </w:r>
      <w:r w:rsidRPr="00F75E3B">
        <w:rPr>
          <w:rFonts w:eastAsia="Times New Roman" w:cs="Times New Roman"/>
          <w:b/>
          <w:bCs/>
          <w:rtl/>
          <w:lang w:eastAsia="de-DE"/>
        </w:rPr>
        <w:t>שקץ</w:t>
      </w:r>
      <w:r w:rsidRPr="00F75E3B">
        <w:rPr>
          <w:rFonts w:eastAsia="Times New Roman" w:cs="Times New Roman"/>
          <w:rtl/>
          <w:lang w:eastAsia="de-DE"/>
        </w:rPr>
        <w:t xml:space="preserve"> </w:t>
      </w:r>
      <w:r w:rsidRPr="00F75E3B">
        <w:rPr>
          <w:rFonts w:eastAsia="Times New Roman" w:cs="Times New Roman"/>
          <w:lang w:eastAsia="de-DE"/>
        </w:rPr>
        <w:t xml:space="preserve">macht. </w:t>
      </w:r>
      <w:r w:rsidRPr="00F75E3B">
        <w:rPr>
          <w:rFonts w:eastAsia="Times New Roman" w:cs="Times New Roman"/>
          <w:b/>
          <w:bCs/>
          <w:rtl/>
          <w:lang w:eastAsia="de-DE"/>
        </w:rPr>
        <w:t>נטמתם בם</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בם</w:t>
      </w:r>
      <w:r w:rsidRPr="00F75E3B">
        <w:rPr>
          <w:rFonts w:eastAsia="Times New Roman" w:cs="Times New Roman"/>
          <w:rtl/>
          <w:lang w:eastAsia="de-DE"/>
        </w:rPr>
        <w:t xml:space="preserve"> </w:t>
      </w:r>
      <w:r w:rsidRPr="00F75E3B">
        <w:rPr>
          <w:rFonts w:eastAsia="Times New Roman" w:cs="Times New Roman"/>
          <w:lang w:eastAsia="de-DE"/>
        </w:rPr>
        <w:t>(durch sie) zeigt die Übertragung der Unreinheit auf die Person.</w:t>
      </w:r>
    </w:p>
    <w:p w14:paraId="13B57DF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תשקצו</w:t>
      </w:r>
      <w:r w:rsidRPr="00F75E3B">
        <w:rPr>
          <w:rFonts w:eastAsia="Times New Roman" w:cs="Times New Roman"/>
          <w:rtl/>
          <w:lang w:eastAsia="de-DE"/>
        </w:rPr>
        <w:t xml:space="preserve"> </w:t>
      </w:r>
      <w:r w:rsidRPr="00F75E3B">
        <w:rPr>
          <w:rFonts w:eastAsia="Times New Roman" w:cs="Times New Roman"/>
          <w:lang w:eastAsia="de-DE"/>
        </w:rPr>
        <w:t>mit β</w:t>
      </w:r>
      <w:proofErr w:type="spellStart"/>
      <w:r w:rsidRPr="00F75E3B">
        <w:rPr>
          <w:rFonts w:eastAsia="Times New Roman" w:cs="Times New Roman"/>
          <w:lang w:eastAsia="de-DE"/>
        </w:rPr>
        <w:t>δελύξητε</w:t>
      </w:r>
      <w:proofErr w:type="spellEnd"/>
      <w:r w:rsidRPr="00F75E3B">
        <w:rPr>
          <w:rFonts w:eastAsia="Times New Roman" w:cs="Times New Roman"/>
          <w:lang w:eastAsia="de-DE"/>
        </w:rPr>
        <w:t xml:space="preserve"> (ihr werdet verabscheuen), </w:t>
      </w:r>
      <w:r w:rsidRPr="00F75E3B">
        <w:rPr>
          <w:rFonts w:eastAsia="Times New Roman" w:cs="Times New Roman"/>
          <w:b/>
          <w:bCs/>
          <w:rtl/>
          <w:lang w:eastAsia="de-DE"/>
        </w:rPr>
        <w:t>נפשתיכם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ψυχὰς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ὑμῶν</w:t>
      </w:r>
      <w:proofErr w:type="spellEnd"/>
      <w:r w:rsidRPr="00F75E3B">
        <w:rPr>
          <w:rFonts w:eastAsia="Times New Roman" w:cs="Times New Roman"/>
          <w:lang w:eastAsia="de-DE"/>
        </w:rPr>
        <w:t xml:space="preserve"> (eure Seelen) und </w:t>
      </w:r>
      <w:r w:rsidRPr="00F75E3B">
        <w:rPr>
          <w:rFonts w:eastAsia="Times New Roman" w:cs="Times New Roman"/>
          <w:b/>
          <w:bCs/>
          <w:rtl/>
          <w:lang w:eastAsia="de-DE"/>
        </w:rPr>
        <w:t>תטמאו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μι</w:t>
      </w:r>
      <w:proofErr w:type="spellEnd"/>
      <w:r w:rsidRPr="00F75E3B">
        <w:rPr>
          <w:rFonts w:eastAsia="Times New Roman" w:cs="Times New Roman"/>
          <w:lang w:eastAsia="de-DE"/>
        </w:rPr>
        <w:t>ανθῆτε (ihr werdet verunreinigt werden).</w:t>
      </w:r>
    </w:p>
    <w:p w14:paraId="34AD5F0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Warnung vor Selbstverunreinigung: Verbot der Selbst-</w:t>
      </w:r>
      <w:r w:rsidRPr="00F75E3B">
        <w:rPr>
          <w:rFonts w:eastAsia="Times New Roman" w:cs="Times New Roman"/>
          <w:b/>
          <w:bCs/>
          <w:rtl/>
          <w:lang w:eastAsia="de-DE"/>
        </w:rPr>
        <w:t>שקץ</w:t>
      </w:r>
      <w:r w:rsidRPr="00F75E3B">
        <w:rPr>
          <w:rFonts w:eastAsia="Times New Roman" w:cs="Times New Roman"/>
          <w:lang w:eastAsia="de-DE"/>
        </w:rPr>
        <w:t>-Machung + Verbot der Selbstverunreinigung + unvermeidliche Konsequenz. Die Struktur zeigt die Schwere der Übertretung.</w:t>
      </w:r>
    </w:p>
    <w:p w14:paraId="7A23F05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lastRenderedPageBreak/>
        <w:t>Dieser Vers warnt davor, durch Verzehr verbotener Kriechtiere sich selbst zum Gräuel zu machen und unrein zu werden.</w:t>
      </w:r>
    </w:p>
    <w:p w14:paraId="0BD4E289"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11,44</w:t>
      </w:r>
    </w:p>
    <w:p w14:paraId="01034FE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כִּ֣י אֲנִ֣י יְהוָה֮ אֱלֹֽהֵיכֶם֒ וְהִתְקַדִּשְׁתֶּם֙ וִהְיִיתֶ֣ם קְדֹשִׁ֔ים כִּ֥י קָד֖וֹשׁ אָ֑נִי וְלֹ֤א תְטַמְּאוּ֙ אֶת־נַפְשֹׁ֣תֵיכֶ֔ם בְּכָל־הַשֶּׁ֖רֶץ הָרֹמֵ֥שׂ עַל־הָאָֽרֶץ׃</w:t>
      </w:r>
    </w:p>
    <w:p w14:paraId="771E0CB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Denn ich bin der Ewige, euer Gott; so heiligt euch und seid heilig, denn ich bin heilig. Und ihr sollt euch nicht verunreinigen durch alles Kleingetier, das sich auf der Erde kriecht.</w:t>
      </w:r>
    </w:p>
    <w:p w14:paraId="56DBA01A"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41B6DD9">
          <v:rect id="_x0000_i1320" style="width:0;height:1.5pt" o:hralign="center" o:hrstd="t" o:hr="t" fillcolor="#a0a0a0" stroked="f"/>
        </w:pict>
      </w:r>
    </w:p>
    <w:p w14:paraId="4299EAF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כי אני יהוה אלהיכם והתקדשתם והייתם קדשים כי קדוש אני</w:t>
      </w:r>
      <w:r w:rsidRPr="00F75E3B">
        <w:rPr>
          <w:rFonts w:eastAsia="Times New Roman" w:cs="Times New Roman"/>
          <w:rtl/>
          <w:lang w:eastAsia="de-DE"/>
        </w:rPr>
        <w:t xml:space="preserve"> </w:t>
      </w:r>
      <w:r w:rsidRPr="00F75E3B">
        <w:rPr>
          <w:rFonts w:eastAsia="Times New Roman" w:cs="Times New Roman"/>
          <w:lang w:eastAsia="de-DE"/>
        </w:rPr>
        <w:t xml:space="preserve">zeigt die theologische Begründung. </w:t>
      </w:r>
      <w:r w:rsidRPr="00F75E3B">
        <w:rPr>
          <w:rFonts w:eastAsia="Times New Roman" w:cs="Times New Roman"/>
          <w:b/>
          <w:bCs/>
          <w:rtl/>
          <w:lang w:eastAsia="de-DE"/>
        </w:rPr>
        <w:t>כי אני יהוה אלהיכם</w:t>
      </w:r>
      <w:r w:rsidRPr="00F75E3B">
        <w:rPr>
          <w:rFonts w:eastAsia="Times New Roman" w:cs="Times New Roman"/>
          <w:rtl/>
          <w:lang w:eastAsia="de-DE"/>
        </w:rPr>
        <w:t xml:space="preserve"> </w:t>
      </w:r>
      <w:r w:rsidRPr="00F75E3B">
        <w:rPr>
          <w:rFonts w:eastAsia="Times New Roman" w:cs="Times New Roman"/>
          <w:lang w:eastAsia="de-DE"/>
        </w:rPr>
        <w:t xml:space="preserve">(denn ich bin JHWH, euer Gott) - </w:t>
      </w:r>
      <w:r w:rsidRPr="00F75E3B">
        <w:rPr>
          <w:rFonts w:eastAsia="Times New Roman" w:cs="Times New Roman"/>
          <w:b/>
          <w:bCs/>
          <w:rtl/>
          <w:lang w:eastAsia="de-DE"/>
        </w:rPr>
        <w:t>אני</w:t>
      </w:r>
      <w:r w:rsidRPr="00F75E3B">
        <w:rPr>
          <w:rFonts w:eastAsia="Times New Roman" w:cs="Times New Roman"/>
          <w:rtl/>
          <w:lang w:eastAsia="de-DE"/>
        </w:rPr>
        <w:t xml:space="preserve"> </w:t>
      </w:r>
      <w:r w:rsidRPr="00F75E3B">
        <w:rPr>
          <w:rFonts w:eastAsia="Times New Roman" w:cs="Times New Roman"/>
          <w:lang w:eastAsia="de-DE"/>
        </w:rPr>
        <w:t xml:space="preserve">emphatisch mit Gottesname und Besitzverhältnis. </w:t>
      </w:r>
      <w:r w:rsidRPr="00F75E3B">
        <w:rPr>
          <w:rFonts w:eastAsia="Times New Roman" w:cs="Times New Roman"/>
          <w:b/>
          <w:bCs/>
          <w:rtl/>
          <w:lang w:eastAsia="de-DE"/>
        </w:rPr>
        <w:t>והתקדשתם והייתם קדשים</w:t>
      </w:r>
      <w:r w:rsidRPr="00F75E3B">
        <w:rPr>
          <w:rFonts w:eastAsia="Times New Roman" w:cs="Times New Roman"/>
          <w:rtl/>
          <w:lang w:eastAsia="de-DE"/>
        </w:rPr>
        <w:t xml:space="preserve"> </w:t>
      </w:r>
      <w:r w:rsidRPr="00F75E3B">
        <w:rPr>
          <w:rFonts w:eastAsia="Times New Roman" w:cs="Times New Roman"/>
          <w:lang w:eastAsia="de-DE"/>
        </w:rPr>
        <w:t xml:space="preserve">(und heiligt euch und seid heilig) - </w:t>
      </w:r>
      <w:r w:rsidRPr="00F75E3B">
        <w:rPr>
          <w:rFonts w:eastAsia="Times New Roman" w:cs="Times New Roman"/>
          <w:b/>
          <w:bCs/>
          <w:rtl/>
          <w:lang w:eastAsia="de-DE"/>
        </w:rPr>
        <w:t>קדש</w:t>
      </w:r>
      <w:r w:rsidRPr="00F75E3B">
        <w:rPr>
          <w:rFonts w:eastAsia="Times New Roman" w:cs="Times New Roman"/>
          <w:rtl/>
          <w:lang w:eastAsia="de-DE"/>
        </w:rPr>
        <w:t xml:space="preserve"> </w:t>
      </w:r>
      <w:r w:rsidRPr="00F75E3B">
        <w:rPr>
          <w:rFonts w:eastAsia="Times New Roman" w:cs="Times New Roman"/>
          <w:lang w:eastAsia="de-DE"/>
        </w:rPr>
        <w:t xml:space="preserve">im Hitpael-Perfekt (reflexive Heiligung) und </w:t>
      </w:r>
      <w:r w:rsidRPr="00F75E3B">
        <w:rPr>
          <w:rFonts w:eastAsia="Times New Roman" w:cs="Times New Roman"/>
          <w:b/>
          <w:bCs/>
          <w:rtl/>
          <w:lang w:eastAsia="de-DE"/>
        </w:rPr>
        <w:t>היה</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קדשים</w:t>
      </w:r>
      <w:r w:rsidRPr="00F75E3B">
        <w:rPr>
          <w:rFonts w:eastAsia="Times New Roman" w:cs="Times New Roman"/>
          <w:rtl/>
          <w:lang w:eastAsia="de-DE"/>
        </w:rPr>
        <w:t xml:space="preserve"> </w:t>
      </w:r>
      <w:r w:rsidRPr="00F75E3B">
        <w:rPr>
          <w:rFonts w:eastAsia="Times New Roman" w:cs="Times New Roman"/>
          <w:lang w:eastAsia="de-DE"/>
        </w:rPr>
        <w:t xml:space="preserve">(heilig) als Prädikat. </w:t>
      </w:r>
      <w:r w:rsidRPr="00F75E3B">
        <w:rPr>
          <w:rFonts w:eastAsia="Times New Roman" w:cs="Times New Roman"/>
          <w:b/>
          <w:bCs/>
          <w:rtl/>
          <w:lang w:eastAsia="de-DE"/>
        </w:rPr>
        <w:t>כי קדוש אני</w:t>
      </w:r>
      <w:r w:rsidRPr="00F75E3B">
        <w:rPr>
          <w:rFonts w:eastAsia="Times New Roman" w:cs="Times New Roman"/>
          <w:rtl/>
          <w:lang w:eastAsia="de-DE"/>
        </w:rPr>
        <w:t xml:space="preserve"> </w:t>
      </w:r>
      <w:r w:rsidRPr="00F75E3B">
        <w:rPr>
          <w:rFonts w:eastAsia="Times New Roman" w:cs="Times New Roman"/>
          <w:lang w:eastAsia="de-DE"/>
        </w:rPr>
        <w:t xml:space="preserve">(denn heilig bin ich) mit emphatischem </w:t>
      </w:r>
      <w:r w:rsidRPr="00F75E3B">
        <w:rPr>
          <w:rFonts w:eastAsia="Times New Roman" w:cs="Times New Roman"/>
          <w:b/>
          <w:bCs/>
          <w:rtl/>
          <w:lang w:eastAsia="de-DE"/>
        </w:rPr>
        <w:t>אני</w:t>
      </w:r>
      <w:r w:rsidRPr="00F75E3B">
        <w:rPr>
          <w:rFonts w:eastAsia="Times New Roman" w:cs="Times New Roman"/>
          <w:lang w:eastAsia="de-DE"/>
        </w:rPr>
        <w:t>.</w:t>
      </w:r>
    </w:p>
    <w:p w14:paraId="25D8310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ולא תטמאו את־נפשתיכם בכל־השרץ הרמש על־הארץ</w:t>
      </w:r>
      <w:r w:rsidRPr="00F75E3B">
        <w:rPr>
          <w:rFonts w:eastAsia="Times New Roman" w:cs="Times New Roman"/>
          <w:rtl/>
          <w:lang w:eastAsia="de-DE"/>
        </w:rPr>
        <w:t xml:space="preserve"> </w:t>
      </w:r>
      <w:r w:rsidRPr="00F75E3B">
        <w:rPr>
          <w:rFonts w:eastAsia="Times New Roman" w:cs="Times New Roman"/>
          <w:lang w:eastAsia="de-DE"/>
        </w:rPr>
        <w:t xml:space="preserve">wendet die Heiligkeitsforderung an. </w:t>
      </w:r>
      <w:r w:rsidRPr="00F75E3B">
        <w:rPr>
          <w:rFonts w:eastAsia="Times New Roman" w:cs="Times New Roman"/>
          <w:b/>
          <w:bCs/>
          <w:rtl/>
          <w:lang w:eastAsia="de-DE"/>
        </w:rPr>
        <w:t>ולא תטמאו את־נפשתיכם</w:t>
      </w:r>
      <w:r w:rsidRPr="00F75E3B">
        <w:rPr>
          <w:rFonts w:eastAsia="Times New Roman" w:cs="Times New Roman"/>
          <w:rtl/>
          <w:lang w:eastAsia="de-DE"/>
        </w:rPr>
        <w:t xml:space="preserve"> </w:t>
      </w:r>
      <w:r w:rsidRPr="00F75E3B">
        <w:rPr>
          <w:rFonts w:eastAsia="Times New Roman" w:cs="Times New Roman"/>
          <w:lang w:eastAsia="de-DE"/>
        </w:rPr>
        <w:t xml:space="preserve">(und ihr sollt euch nicht verunreinigen) entspricht V. 43. </w:t>
      </w:r>
      <w:r w:rsidRPr="00F75E3B">
        <w:rPr>
          <w:rFonts w:eastAsia="Times New Roman" w:cs="Times New Roman"/>
          <w:b/>
          <w:bCs/>
          <w:rtl/>
          <w:lang w:eastAsia="de-DE"/>
        </w:rPr>
        <w:t>בכל־השרץ הרמש על־הארץ</w:t>
      </w:r>
      <w:r w:rsidRPr="00F75E3B">
        <w:rPr>
          <w:rFonts w:eastAsia="Times New Roman" w:cs="Times New Roman"/>
          <w:rtl/>
          <w:lang w:eastAsia="de-DE"/>
        </w:rPr>
        <w:t xml:space="preserve"> </w:t>
      </w:r>
      <w:r w:rsidRPr="00F75E3B">
        <w:rPr>
          <w:rFonts w:eastAsia="Times New Roman" w:cs="Times New Roman"/>
          <w:lang w:eastAsia="de-DE"/>
        </w:rPr>
        <w:t xml:space="preserve">(durch alles Kleingetier, das sich auf der Erde kriecht) - </w:t>
      </w:r>
      <w:r w:rsidRPr="00F75E3B">
        <w:rPr>
          <w:rFonts w:eastAsia="Times New Roman" w:cs="Times New Roman"/>
          <w:b/>
          <w:bCs/>
          <w:rtl/>
          <w:lang w:eastAsia="de-DE"/>
        </w:rPr>
        <w:t>רמש</w:t>
      </w:r>
      <w:r w:rsidRPr="00F75E3B">
        <w:rPr>
          <w:rFonts w:eastAsia="Times New Roman" w:cs="Times New Roman"/>
          <w:rtl/>
          <w:lang w:eastAsia="de-DE"/>
        </w:rPr>
        <w:t xml:space="preserve"> </w:t>
      </w:r>
      <w:r w:rsidRPr="00F75E3B">
        <w:rPr>
          <w:rFonts w:eastAsia="Times New Roman" w:cs="Times New Roman"/>
          <w:lang w:eastAsia="de-DE"/>
        </w:rPr>
        <w:t>(kriechen) als Partizip zeigt kontinuierliche Bewegung.</w:t>
      </w:r>
    </w:p>
    <w:p w14:paraId="71DD492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התקדשתם והייתם קדשים</w:t>
      </w:r>
      <w:r w:rsidRPr="00F75E3B">
        <w:rPr>
          <w:rFonts w:eastAsia="Times New Roman" w:cs="Times New Roman"/>
          <w:rtl/>
          <w:lang w:eastAsia="de-DE"/>
        </w:rPr>
        <w:t xml:space="preserve"> </w:t>
      </w:r>
      <w:r w:rsidRPr="00F75E3B">
        <w:rPr>
          <w:rFonts w:eastAsia="Times New Roman" w:cs="Times New Roman"/>
          <w:lang w:eastAsia="de-DE"/>
        </w:rPr>
        <w:t xml:space="preserve">zeigt aktive Heiligung und resultierenden Zustand. </w:t>
      </w:r>
      <w:r w:rsidRPr="00F75E3B">
        <w:rPr>
          <w:rFonts w:eastAsia="Times New Roman" w:cs="Times New Roman"/>
          <w:b/>
          <w:bCs/>
          <w:rtl/>
          <w:lang w:eastAsia="de-DE"/>
        </w:rPr>
        <w:t>כי קדוש אני</w:t>
      </w:r>
      <w:r w:rsidRPr="00F75E3B">
        <w:rPr>
          <w:rFonts w:eastAsia="Times New Roman" w:cs="Times New Roman"/>
          <w:rtl/>
          <w:lang w:eastAsia="de-DE"/>
        </w:rPr>
        <w:t xml:space="preserve"> </w:t>
      </w:r>
      <w:r w:rsidRPr="00F75E3B">
        <w:rPr>
          <w:rFonts w:eastAsia="Times New Roman" w:cs="Times New Roman"/>
          <w:lang w:eastAsia="de-DE"/>
        </w:rPr>
        <w:t xml:space="preserve">begründet die Heiligkeitsforderung durch göttliche Natur. </w:t>
      </w:r>
      <w:r w:rsidRPr="00F75E3B">
        <w:rPr>
          <w:rFonts w:eastAsia="Times New Roman" w:cs="Times New Roman"/>
          <w:b/>
          <w:bCs/>
          <w:rtl/>
          <w:lang w:eastAsia="de-DE"/>
        </w:rPr>
        <w:t>הרמש על־הארץ</w:t>
      </w:r>
      <w:r w:rsidRPr="00F75E3B">
        <w:rPr>
          <w:rFonts w:eastAsia="Times New Roman" w:cs="Times New Roman"/>
          <w:rtl/>
          <w:lang w:eastAsia="de-DE"/>
        </w:rPr>
        <w:t xml:space="preserve"> </w:t>
      </w:r>
      <w:r w:rsidRPr="00F75E3B">
        <w:rPr>
          <w:rFonts w:eastAsia="Times New Roman" w:cs="Times New Roman"/>
          <w:lang w:eastAsia="de-DE"/>
        </w:rPr>
        <w:t>variiert die Beschreibung der Kriechtiere.</w:t>
      </w:r>
    </w:p>
    <w:p w14:paraId="514B7FA8" w14:textId="39FEF635"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571E11">
        <w:t xml:space="preserve">erweitert </w:t>
      </w:r>
      <w:r w:rsidR="00571E11">
        <w:rPr>
          <w:rtl/>
        </w:rPr>
        <w:t>אני יהוה אלהיכם</w:t>
      </w:r>
      <w:r w:rsidR="00571E11">
        <w:t xml:space="preserve"> (ani YHWH </w:t>
      </w:r>
      <w:proofErr w:type="spellStart"/>
      <w:r w:rsidR="00571E11">
        <w:t>eloheichem</w:t>
      </w:r>
      <w:proofErr w:type="spellEnd"/>
      <w:r w:rsidR="00571E11">
        <w:t xml:space="preserve">) zu </w:t>
      </w:r>
      <w:proofErr w:type="spellStart"/>
      <w:r w:rsidR="00571E11">
        <w:t>ἐγώ</w:t>
      </w:r>
      <w:proofErr w:type="spellEnd"/>
      <w:r w:rsidR="00571E11">
        <w:t xml:space="preserve"> </w:t>
      </w:r>
      <w:proofErr w:type="spellStart"/>
      <w:r w:rsidR="00571E11">
        <w:t>εἰμι</w:t>
      </w:r>
      <w:proofErr w:type="spellEnd"/>
      <w:r w:rsidR="00571E11">
        <w:t xml:space="preserve"> </w:t>
      </w:r>
      <w:proofErr w:type="spellStart"/>
      <w:r w:rsidR="00571E11">
        <w:t>κύριος</w:t>
      </w:r>
      <w:proofErr w:type="spellEnd"/>
      <w:r w:rsidR="00571E11">
        <w:t xml:space="preserve"> ὁ </w:t>
      </w:r>
      <w:proofErr w:type="spellStart"/>
      <w:r w:rsidR="00571E11">
        <w:t>θεὸς</w:t>
      </w:r>
      <w:proofErr w:type="spellEnd"/>
      <w:r w:rsidR="00571E11">
        <w:t xml:space="preserve"> </w:t>
      </w:r>
      <w:proofErr w:type="spellStart"/>
      <w:r w:rsidR="00571E11">
        <w:t>ὑμῶν</w:t>
      </w:r>
      <w:proofErr w:type="spellEnd"/>
      <w:r w:rsidR="00571E11">
        <w:t>, wobei sie das Gottesattribut verstärkt.</w:t>
      </w:r>
    </w:p>
    <w:p w14:paraId="586D35D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theologische Begründung: göttliche Selbstvorstellung + Heiligungsgebot + doppelte Begründung + angewandte Heiligkeitsforderung. Die Struktur verbindet göttliche Heiligkeit mit praktischen Speisegesetzen.</w:t>
      </w:r>
    </w:p>
    <w:p w14:paraId="70B80CF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begründet die Speisegesetze theologisch durch göttliche Heiligkeit und fordert entsprechende menschliche Heiligung.</w:t>
      </w:r>
    </w:p>
    <w:p w14:paraId="5FD73E7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11,45</w:t>
      </w:r>
    </w:p>
    <w:p w14:paraId="5F84657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כִּ֣י׀ אֲנִ֣י יְהוָ֗ה הַֽמַּעֲלֶ֤ה אֶתְכֶם֙ מֵאֶ֣רֶץ מִצְרַ֔יִם לִהְיֹ֥ת לָכֶ֖ם לֵאלֹהִ֑ים וִהְיִיתֶ֣ם קְדֹשִׁ֔ים כִּ֥י קָד֖וֹשׁ אָֽנִי׃</w:t>
      </w:r>
    </w:p>
    <w:p w14:paraId="7535B1A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Denn ich bin der Ewige, der euch aus dem Land Ägypten heraufgeführt hat, um euer Gott zu sein: So sollt ihr heilig sein, denn ich bin heilig.</w:t>
      </w:r>
    </w:p>
    <w:p w14:paraId="27EDB760"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B51EC0F">
          <v:rect id="_x0000_i1321" style="width:0;height:1.5pt" o:hralign="center" o:hrstd="t" o:hr="t" fillcolor="#a0a0a0" stroked="f"/>
        </w:pict>
      </w:r>
    </w:p>
    <w:p w14:paraId="65A0B803" w14:textId="07242FBD"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Kommentar:</w:t>
      </w:r>
      <w:r w:rsidRPr="00F75E3B">
        <w:rPr>
          <w:rFonts w:eastAsia="Times New Roman" w:cs="Times New Roman"/>
          <w:lang w:eastAsia="de-DE"/>
        </w:rPr>
        <w:t xml:space="preserve"> </w:t>
      </w:r>
      <w:r w:rsidRPr="00F75E3B">
        <w:rPr>
          <w:rFonts w:eastAsia="Times New Roman" w:cs="Times New Roman"/>
          <w:b/>
          <w:bCs/>
          <w:rtl/>
          <w:lang w:eastAsia="de-DE"/>
        </w:rPr>
        <w:t>כי אני יהוה המעלה אתכם מארץ מצרים להיות לכם לאלהים</w:t>
      </w:r>
      <w:r w:rsidRPr="00F75E3B">
        <w:rPr>
          <w:rFonts w:eastAsia="Times New Roman" w:cs="Times New Roman"/>
          <w:rtl/>
          <w:lang w:eastAsia="de-DE"/>
        </w:rPr>
        <w:t xml:space="preserve"> </w:t>
      </w:r>
      <w:r w:rsidRPr="00F75E3B">
        <w:rPr>
          <w:rFonts w:eastAsia="Times New Roman" w:cs="Times New Roman"/>
          <w:lang w:eastAsia="de-DE"/>
        </w:rPr>
        <w:t xml:space="preserve">erweitert die göttliche Selbstvorstellung. </w:t>
      </w:r>
      <w:r w:rsidRPr="00F75E3B">
        <w:rPr>
          <w:rFonts w:eastAsia="Times New Roman" w:cs="Times New Roman"/>
          <w:b/>
          <w:bCs/>
          <w:rtl/>
          <w:lang w:eastAsia="de-DE"/>
        </w:rPr>
        <w:t>כי אני יהוה המעלה אתכם</w:t>
      </w:r>
      <w:r w:rsidRPr="00F75E3B">
        <w:rPr>
          <w:rFonts w:eastAsia="Times New Roman" w:cs="Times New Roman"/>
          <w:rtl/>
          <w:lang w:eastAsia="de-DE"/>
        </w:rPr>
        <w:t xml:space="preserve"> </w:t>
      </w:r>
      <w:r w:rsidRPr="00F75E3B">
        <w:rPr>
          <w:rFonts w:eastAsia="Times New Roman" w:cs="Times New Roman"/>
          <w:lang w:eastAsia="de-DE"/>
        </w:rPr>
        <w:t xml:space="preserve">(denn ich bin JHWH, der euch heraufgeführt hat) - </w:t>
      </w:r>
      <w:r w:rsidRPr="00F75E3B">
        <w:rPr>
          <w:rFonts w:eastAsia="Times New Roman" w:cs="Times New Roman"/>
          <w:b/>
          <w:bCs/>
          <w:rtl/>
          <w:lang w:eastAsia="de-DE"/>
        </w:rPr>
        <w:t>מעלה</w:t>
      </w:r>
      <w:r w:rsidRPr="00F75E3B">
        <w:rPr>
          <w:rFonts w:eastAsia="Times New Roman" w:cs="Times New Roman"/>
          <w:rtl/>
          <w:lang w:eastAsia="de-DE"/>
        </w:rPr>
        <w:t xml:space="preserve"> </w:t>
      </w:r>
      <w:r w:rsidRPr="00F75E3B">
        <w:rPr>
          <w:rFonts w:eastAsia="Times New Roman" w:cs="Times New Roman"/>
          <w:lang w:eastAsia="de-DE"/>
        </w:rPr>
        <w:t xml:space="preserve">(heraufführend) als Hifil-Partizip zeigt kontinuierliche Gültigkeit der Befreiung. </w:t>
      </w:r>
      <w:r w:rsidRPr="00F75E3B">
        <w:rPr>
          <w:rFonts w:eastAsia="Times New Roman" w:cs="Times New Roman"/>
          <w:b/>
          <w:bCs/>
          <w:rtl/>
          <w:lang w:eastAsia="de-DE"/>
        </w:rPr>
        <w:t>מארץ מצרים</w:t>
      </w:r>
      <w:r w:rsidRPr="00F75E3B">
        <w:rPr>
          <w:rFonts w:eastAsia="Times New Roman" w:cs="Times New Roman"/>
          <w:rtl/>
          <w:lang w:eastAsia="de-DE"/>
        </w:rPr>
        <w:t xml:space="preserve"> </w:t>
      </w:r>
      <w:r w:rsidRPr="00F75E3B">
        <w:rPr>
          <w:rFonts w:eastAsia="Times New Roman" w:cs="Times New Roman"/>
          <w:lang w:eastAsia="de-DE"/>
        </w:rPr>
        <w:t xml:space="preserve">(aus dem Land Ägypten) referenziert den Exodus. </w:t>
      </w:r>
      <w:r w:rsidRPr="00F75E3B">
        <w:rPr>
          <w:rFonts w:eastAsia="Times New Roman" w:cs="Times New Roman"/>
          <w:b/>
          <w:bCs/>
          <w:rtl/>
          <w:lang w:eastAsia="de-DE"/>
        </w:rPr>
        <w:t>להיות לכם לאלהים</w:t>
      </w:r>
      <w:r w:rsidRPr="00F75E3B">
        <w:rPr>
          <w:rFonts w:eastAsia="Times New Roman" w:cs="Times New Roman"/>
          <w:rtl/>
          <w:lang w:eastAsia="de-DE"/>
        </w:rPr>
        <w:t xml:space="preserve"> </w:t>
      </w:r>
      <w:r w:rsidRPr="00F75E3B">
        <w:rPr>
          <w:rFonts w:eastAsia="Times New Roman" w:cs="Times New Roman"/>
          <w:lang w:eastAsia="de-DE"/>
        </w:rPr>
        <w:t xml:space="preserve">(um euer Gott zu sein) - </w:t>
      </w:r>
      <w:r w:rsidRPr="00F75E3B">
        <w:rPr>
          <w:rFonts w:eastAsia="Times New Roman" w:cs="Times New Roman"/>
          <w:b/>
          <w:bCs/>
          <w:rtl/>
          <w:lang w:eastAsia="de-DE"/>
        </w:rPr>
        <w:t>היה</w:t>
      </w:r>
      <w:r w:rsidRPr="00F75E3B">
        <w:rPr>
          <w:rFonts w:eastAsia="Times New Roman" w:cs="Times New Roman"/>
          <w:rtl/>
          <w:lang w:eastAsia="de-DE"/>
        </w:rPr>
        <w:t xml:space="preserve"> </w:t>
      </w:r>
      <w:r w:rsidRPr="00F75E3B">
        <w:rPr>
          <w:rFonts w:eastAsia="Times New Roman" w:cs="Times New Roman"/>
          <w:lang w:eastAsia="de-DE"/>
        </w:rPr>
        <w:t>als Infinitiv-</w:t>
      </w:r>
      <w:r w:rsidR="005407E2">
        <w:rPr>
          <w:rFonts w:eastAsia="Times New Roman" w:cs="Times New Roman"/>
          <w:lang w:eastAsia="de-DE"/>
        </w:rPr>
        <w:t>Constructus</w:t>
      </w:r>
      <w:r w:rsidRPr="00F75E3B">
        <w:rPr>
          <w:rFonts w:eastAsia="Times New Roman" w:cs="Times New Roman"/>
          <w:lang w:eastAsia="de-DE"/>
        </w:rPr>
        <w:t xml:space="preserve"> mit doppeltem </w:t>
      </w:r>
      <w:r w:rsidRPr="00F75E3B">
        <w:rPr>
          <w:rFonts w:eastAsia="Times New Roman" w:cs="Times New Roman"/>
          <w:b/>
          <w:bCs/>
          <w:rtl/>
          <w:lang w:eastAsia="de-DE"/>
        </w:rPr>
        <w:t>ל</w:t>
      </w:r>
      <w:r w:rsidRPr="00F75E3B">
        <w:rPr>
          <w:rFonts w:eastAsia="Times New Roman" w:cs="Times New Roman"/>
          <w:rtl/>
          <w:lang w:eastAsia="de-DE"/>
        </w:rPr>
        <w:t xml:space="preserve"> </w:t>
      </w:r>
      <w:r w:rsidRPr="00F75E3B">
        <w:rPr>
          <w:rFonts w:eastAsia="Times New Roman" w:cs="Times New Roman"/>
          <w:lang w:eastAsia="de-DE"/>
        </w:rPr>
        <w:t>zeigt Zweck der Befreiung.</w:t>
      </w:r>
    </w:p>
    <w:p w14:paraId="61C038A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והייתם קדשים כי קדוש אני</w:t>
      </w:r>
      <w:r w:rsidRPr="00F75E3B">
        <w:rPr>
          <w:rFonts w:eastAsia="Times New Roman" w:cs="Times New Roman"/>
          <w:rtl/>
          <w:lang w:eastAsia="de-DE"/>
        </w:rPr>
        <w:t xml:space="preserve"> </w:t>
      </w:r>
      <w:r w:rsidRPr="00F75E3B">
        <w:rPr>
          <w:rFonts w:eastAsia="Times New Roman" w:cs="Times New Roman"/>
          <w:lang w:eastAsia="de-DE"/>
        </w:rPr>
        <w:t xml:space="preserve">wiederholt die Heiligkeitsforderung aus V. 44. </w:t>
      </w:r>
      <w:r w:rsidRPr="00F75E3B">
        <w:rPr>
          <w:rFonts w:eastAsia="Times New Roman" w:cs="Times New Roman"/>
          <w:b/>
          <w:bCs/>
          <w:rtl/>
          <w:lang w:eastAsia="de-DE"/>
        </w:rPr>
        <w:t>והייתם קדשים</w:t>
      </w:r>
      <w:r w:rsidRPr="00F75E3B">
        <w:rPr>
          <w:rFonts w:eastAsia="Times New Roman" w:cs="Times New Roman"/>
          <w:rtl/>
          <w:lang w:eastAsia="de-DE"/>
        </w:rPr>
        <w:t xml:space="preserve"> </w:t>
      </w:r>
      <w:r w:rsidRPr="00F75E3B">
        <w:rPr>
          <w:rFonts w:eastAsia="Times New Roman" w:cs="Times New Roman"/>
          <w:lang w:eastAsia="de-DE"/>
        </w:rPr>
        <w:t xml:space="preserve">(und ihr sollt heilig sein) im Qal-Perfekt mit Waw-Konsekutiv. </w:t>
      </w:r>
      <w:r w:rsidRPr="00F75E3B">
        <w:rPr>
          <w:rFonts w:eastAsia="Times New Roman" w:cs="Times New Roman"/>
          <w:b/>
          <w:bCs/>
          <w:rtl/>
          <w:lang w:eastAsia="de-DE"/>
        </w:rPr>
        <w:t>כי קדוש אני</w:t>
      </w:r>
      <w:r w:rsidRPr="00F75E3B">
        <w:rPr>
          <w:rFonts w:eastAsia="Times New Roman" w:cs="Times New Roman"/>
          <w:rtl/>
          <w:lang w:eastAsia="de-DE"/>
        </w:rPr>
        <w:t xml:space="preserve"> </w:t>
      </w:r>
      <w:r w:rsidRPr="00F75E3B">
        <w:rPr>
          <w:rFonts w:eastAsia="Times New Roman" w:cs="Times New Roman"/>
          <w:lang w:eastAsia="de-DE"/>
        </w:rPr>
        <w:t xml:space="preserve">(denn heilig bin ich) mit emphatischem </w:t>
      </w:r>
      <w:r w:rsidRPr="00F75E3B">
        <w:rPr>
          <w:rFonts w:eastAsia="Times New Roman" w:cs="Times New Roman"/>
          <w:b/>
          <w:bCs/>
          <w:rtl/>
          <w:lang w:eastAsia="de-DE"/>
        </w:rPr>
        <w:t>אני</w:t>
      </w:r>
      <w:r w:rsidRPr="00F75E3B">
        <w:rPr>
          <w:rFonts w:eastAsia="Times New Roman" w:cs="Times New Roman"/>
          <w:rtl/>
          <w:lang w:eastAsia="de-DE"/>
        </w:rPr>
        <w:t xml:space="preserve"> </w:t>
      </w:r>
      <w:r w:rsidRPr="00F75E3B">
        <w:rPr>
          <w:rFonts w:eastAsia="Times New Roman" w:cs="Times New Roman"/>
          <w:lang w:eastAsia="de-DE"/>
        </w:rPr>
        <w:t>bekräftigt die Begründung.</w:t>
      </w:r>
    </w:p>
    <w:p w14:paraId="26498E1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המעלה אתכם מארץ מצרים</w:t>
      </w:r>
      <w:r w:rsidRPr="00F75E3B">
        <w:rPr>
          <w:rFonts w:eastAsia="Times New Roman" w:cs="Times New Roman"/>
          <w:rtl/>
          <w:lang w:eastAsia="de-DE"/>
        </w:rPr>
        <w:t xml:space="preserve"> </w:t>
      </w:r>
      <w:r w:rsidRPr="00F75E3B">
        <w:rPr>
          <w:rFonts w:eastAsia="Times New Roman" w:cs="Times New Roman"/>
          <w:lang w:eastAsia="de-DE"/>
        </w:rPr>
        <w:t xml:space="preserve">zeigt die historische Grundlage der Bundesbeziehung. </w:t>
      </w:r>
      <w:r w:rsidRPr="00F75E3B">
        <w:rPr>
          <w:rFonts w:eastAsia="Times New Roman" w:cs="Times New Roman"/>
          <w:b/>
          <w:bCs/>
          <w:rtl/>
          <w:lang w:eastAsia="de-DE"/>
        </w:rPr>
        <w:t>להיות לכם לאלהים</w:t>
      </w:r>
      <w:r w:rsidRPr="00F75E3B">
        <w:rPr>
          <w:rFonts w:eastAsia="Times New Roman" w:cs="Times New Roman"/>
          <w:rtl/>
          <w:lang w:eastAsia="de-DE"/>
        </w:rPr>
        <w:t xml:space="preserve"> </w:t>
      </w:r>
      <w:r w:rsidRPr="00F75E3B">
        <w:rPr>
          <w:rFonts w:eastAsia="Times New Roman" w:cs="Times New Roman"/>
          <w:lang w:eastAsia="de-DE"/>
        </w:rPr>
        <w:t xml:space="preserve">macht den Zweck der Befreiung explizit: Etablierung der Gottesbeziehung. </w:t>
      </w:r>
      <w:r w:rsidRPr="00F75E3B">
        <w:rPr>
          <w:rFonts w:eastAsia="Times New Roman" w:cs="Times New Roman"/>
          <w:b/>
          <w:bCs/>
          <w:rtl/>
          <w:lang w:eastAsia="de-DE"/>
        </w:rPr>
        <w:t>קדוש אני</w:t>
      </w:r>
      <w:r w:rsidRPr="00F75E3B">
        <w:rPr>
          <w:rFonts w:eastAsia="Times New Roman" w:cs="Times New Roman"/>
          <w:rtl/>
          <w:lang w:eastAsia="de-DE"/>
        </w:rPr>
        <w:t xml:space="preserve"> </w:t>
      </w:r>
      <w:r w:rsidRPr="00F75E3B">
        <w:rPr>
          <w:rFonts w:eastAsia="Times New Roman" w:cs="Times New Roman"/>
          <w:lang w:eastAsia="de-DE"/>
        </w:rPr>
        <w:t>als abschließende Begründung.</w:t>
      </w:r>
    </w:p>
    <w:p w14:paraId="6EDE0AF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המעלה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ἀν</w:t>
      </w:r>
      <w:proofErr w:type="spellEnd"/>
      <w:r w:rsidRPr="00F75E3B">
        <w:rPr>
          <w:rFonts w:eastAsia="Times New Roman" w:cs="Times New Roman"/>
          <w:lang w:eastAsia="de-DE"/>
        </w:rPr>
        <w:t xml:space="preserve">αγαγών (heraufgeführt habend), </w:t>
      </w:r>
      <w:r w:rsidRPr="00F75E3B">
        <w:rPr>
          <w:rFonts w:eastAsia="Times New Roman" w:cs="Times New Roman"/>
          <w:b/>
          <w:bCs/>
          <w:rtl/>
          <w:lang w:eastAsia="de-DE"/>
        </w:rPr>
        <w:t>מארץ מצרים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ἐκ</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γῆς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Αἰγύ</w:t>
      </w:r>
      <w:proofErr w:type="spellEnd"/>
      <w:r w:rsidRPr="00F75E3B">
        <w:rPr>
          <w:rFonts w:eastAsia="Times New Roman" w:cs="Times New Roman"/>
          <w:lang w:eastAsia="de-DE"/>
        </w:rPr>
        <w:t xml:space="preserve">πτου (aus dem Land Ägypten) und </w:t>
      </w:r>
      <w:r w:rsidRPr="00F75E3B">
        <w:rPr>
          <w:rFonts w:eastAsia="Times New Roman" w:cs="Times New Roman"/>
          <w:b/>
          <w:bCs/>
          <w:rtl/>
          <w:lang w:eastAsia="de-DE"/>
        </w:rPr>
        <w:t>להיות לכם לאלהים</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εἶν</w:t>
      </w:r>
      <w:proofErr w:type="spellEnd"/>
      <w:r w:rsidRPr="00F75E3B">
        <w:rPr>
          <w:rFonts w:eastAsia="Times New Roman" w:cs="Times New Roman"/>
          <w:lang w:eastAsia="de-DE"/>
        </w:rPr>
        <w:t xml:space="preserve">αι </w:t>
      </w:r>
      <w:proofErr w:type="spellStart"/>
      <w:r w:rsidRPr="00F75E3B">
        <w:rPr>
          <w:rFonts w:eastAsia="Times New Roman" w:cs="Times New Roman"/>
          <w:lang w:eastAsia="de-DE"/>
        </w:rPr>
        <w:t>ὑμῶν</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θεός</w:t>
      </w:r>
      <w:proofErr w:type="spellEnd"/>
      <w:r w:rsidRPr="00F75E3B">
        <w:rPr>
          <w:rFonts w:eastAsia="Times New Roman" w:cs="Times New Roman"/>
          <w:lang w:eastAsia="de-DE"/>
        </w:rPr>
        <w:t xml:space="preserve"> (euer Gott zu sein).</w:t>
      </w:r>
    </w:p>
    <w:p w14:paraId="5758499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heilsgeschichtliche Begründung: göttliche Selbstvorstellung + Exodus-Referenz + </w:t>
      </w:r>
      <w:proofErr w:type="spellStart"/>
      <w:r w:rsidRPr="00F75E3B">
        <w:rPr>
          <w:rFonts w:eastAsia="Times New Roman" w:cs="Times New Roman"/>
          <w:lang w:eastAsia="de-DE"/>
        </w:rPr>
        <w:t>Bundesziελ</w:t>
      </w:r>
      <w:proofErr w:type="spellEnd"/>
      <w:r w:rsidRPr="00F75E3B">
        <w:rPr>
          <w:rFonts w:eastAsia="Times New Roman" w:cs="Times New Roman"/>
          <w:lang w:eastAsia="de-DE"/>
        </w:rPr>
        <w:t xml:space="preserve"> + wiederholte Heiligkeitsforderung + Begründung. Die Struktur verbindet Befreiungsgeschichte mit Heiligkeitsethik.</w:t>
      </w:r>
    </w:p>
    <w:p w14:paraId="710B791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begründet die Heiligkeitsforderung durch die Exodusbefreiung und das etablierte Bundesverhältnis.</w:t>
      </w:r>
    </w:p>
    <w:p w14:paraId="6032899B"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11,46</w:t>
      </w:r>
    </w:p>
    <w:p w14:paraId="0DD5D62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זֹ֣את תּוֹרַ֤ת הַבְּהֵמָה֙ וְהָע֔וֹף וְכֹל֙ נֶ֣פֶשׁ הַֽחַיָּ֔ה הָרֹמֶ֖שֶׂת בַּמָּ֑יִם וּלְכָל־נֶ֖פֶשׁ הַשֹּׁרֶ֥צֶת עַל־הָאָֽרֶץ׃</w:t>
      </w:r>
    </w:p>
    <w:p w14:paraId="5F855DA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Das ist die Torah des Tieres und des Vogels und jeder lebenden Seele, die sich im Wasser regt, und jeder Seele, die auf der Erde wimmelt;</w:t>
      </w:r>
    </w:p>
    <w:p w14:paraId="1A668E16"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0D9C734">
          <v:rect id="_x0000_i1322" style="width:0;height:1.5pt" o:hralign="center" o:hrstd="t" o:hr="t" fillcolor="#a0a0a0" stroked="f"/>
        </w:pict>
      </w:r>
    </w:p>
    <w:p w14:paraId="6B65A13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זאת תורת הבהמה והעוף וכל נפש החיה הרמשת במים ולכל־נפש השרצת על־הארץ</w:t>
      </w:r>
      <w:r w:rsidRPr="00F75E3B">
        <w:rPr>
          <w:rFonts w:eastAsia="Times New Roman" w:cs="Times New Roman"/>
          <w:rtl/>
          <w:lang w:eastAsia="de-DE"/>
        </w:rPr>
        <w:t xml:space="preserve"> </w:t>
      </w:r>
      <w:proofErr w:type="spellStart"/>
      <w:r w:rsidRPr="00F75E3B">
        <w:rPr>
          <w:rFonts w:eastAsia="Times New Roman" w:cs="Times New Roman"/>
          <w:lang w:eastAsia="de-DE"/>
        </w:rPr>
        <w:t>fasst</w:t>
      </w:r>
      <w:proofErr w:type="spellEnd"/>
      <w:r w:rsidRPr="00F75E3B">
        <w:rPr>
          <w:rFonts w:eastAsia="Times New Roman" w:cs="Times New Roman"/>
          <w:lang w:eastAsia="de-DE"/>
        </w:rPr>
        <w:t xml:space="preserve"> alle behandelten Tierkategorien zusammen. </w:t>
      </w:r>
      <w:r w:rsidRPr="00F75E3B">
        <w:rPr>
          <w:rFonts w:eastAsia="Times New Roman" w:cs="Times New Roman"/>
          <w:b/>
          <w:bCs/>
          <w:rtl/>
          <w:lang w:eastAsia="de-DE"/>
        </w:rPr>
        <w:t>זאת תורת</w:t>
      </w:r>
      <w:r w:rsidRPr="00F75E3B">
        <w:rPr>
          <w:rFonts w:eastAsia="Times New Roman" w:cs="Times New Roman"/>
          <w:rtl/>
          <w:lang w:eastAsia="de-DE"/>
        </w:rPr>
        <w:t xml:space="preserve"> </w:t>
      </w:r>
      <w:r w:rsidRPr="00F75E3B">
        <w:rPr>
          <w:rFonts w:eastAsia="Times New Roman" w:cs="Times New Roman"/>
          <w:lang w:eastAsia="de-DE"/>
        </w:rPr>
        <w:t xml:space="preserve">(das ist die Torah/Lehre) als abschließende Formel. </w:t>
      </w:r>
      <w:r w:rsidRPr="00F75E3B">
        <w:rPr>
          <w:rFonts w:eastAsia="Times New Roman" w:cs="Times New Roman"/>
          <w:b/>
          <w:bCs/>
          <w:rtl/>
          <w:lang w:eastAsia="de-DE"/>
        </w:rPr>
        <w:t>הבהמה והעוף</w:t>
      </w:r>
      <w:r w:rsidRPr="00F75E3B">
        <w:rPr>
          <w:rFonts w:eastAsia="Times New Roman" w:cs="Times New Roman"/>
          <w:rtl/>
          <w:lang w:eastAsia="de-DE"/>
        </w:rPr>
        <w:t xml:space="preserve"> </w:t>
      </w:r>
      <w:r w:rsidRPr="00F75E3B">
        <w:rPr>
          <w:rFonts w:eastAsia="Times New Roman" w:cs="Times New Roman"/>
          <w:lang w:eastAsia="de-DE"/>
        </w:rPr>
        <w:t>(des Tieres und des Vogels) referenziert Land- und Lufttiere aus V. 2-23.</w:t>
      </w:r>
    </w:p>
    <w:p w14:paraId="34E739F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וכל נפש החיה הרמשת במים</w:t>
      </w:r>
      <w:r w:rsidRPr="00F75E3B">
        <w:rPr>
          <w:rFonts w:eastAsia="Times New Roman" w:cs="Times New Roman"/>
          <w:rtl/>
          <w:lang w:eastAsia="de-DE"/>
        </w:rPr>
        <w:t xml:space="preserve"> </w:t>
      </w:r>
      <w:r w:rsidRPr="00F75E3B">
        <w:rPr>
          <w:rFonts w:eastAsia="Times New Roman" w:cs="Times New Roman"/>
          <w:lang w:eastAsia="de-DE"/>
        </w:rPr>
        <w:t xml:space="preserve">(und jeder lebenden Seele, die sich im Wasser regt) - </w:t>
      </w:r>
      <w:r w:rsidRPr="00F75E3B">
        <w:rPr>
          <w:rFonts w:eastAsia="Times New Roman" w:cs="Times New Roman"/>
          <w:b/>
          <w:bCs/>
          <w:rtl/>
          <w:lang w:eastAsia="de-DE"/>
        </w:rPr>
        <w:t>נפש החיה</w:t>
      </w:r>
      <w:r w:rsidRPr="00F75E3B">
        <w:rPr>
          <w:rFonts w:eastAsia="Times New Roman" w:cs="Times New Roman"/>
          <w:rtl/>
          <w:lang w:eastAsia="de-DE"/>
        </w:rPr>
        <w:t xml:space="preserve"> </w:t>
      </w:r>
      <w:r w:rsidRPr="00F75E3B">
        <w:rPr>
          <w:rFonts w:eastAsia="Times New Roman" w:cs="Times New Roman"/>
          <w:lang w:eastAsia="de-DE"/>
        </w:rPr>
        <w:t xml:space="preserve">(lebende Seele) zeigt Wassertiere als belebte Wesen. </w:t>
      </w:r>
      <w:r w:rsidRPr="00F75E3B">
        <w:rPr>
          <w:rFonts w:eastAsia="Times New Roman" w:cs="Times New Roman"/>
          <w:b/>
          <w:bCs/>
          <w:rtl/>
          <w:lang w:eastAsia="de-DE"/>
        </w:rPr>
        <w:t>הרמשת במים</w:t>
      </w:r>
      <w:r w:rsidRPr="00F75E3B">
        <w:rPr>
          <w:rFonts w:eastAsia="Times New Roman" w:cs="Times New Roman"/>
          <w:rtl/>
          <w:lang w:eastAsia="de-DE"/>
        </w:rPr>
        <w:t xml:space="preserve"> </w:t>
      </w:r>
      <w:r w:rsidRPr="00F75E3B">
        <w:rPr>
          <w:rFonts w:eastAsia="Times New Roman" w:cs="Times New Roman"/>
          <w:lang w:eastAsia="de-DE"/>
        </w:rPr>
        <w:t xml:space="preserve">(die sich im Wasser regt) - </w:t>
      </w:r>
      <w:r w:rsidRPr="00F75E3B">
        <w:rPr>
          <w:rFonts w:eastAsia="Times New Roman" w:cs="Times New Roman"/>
          <w:b/>
          <w:bCs/>
          <w:rtl/>
          <w:lang w:eastAsia="de-DE"/>
        </w:rPr>
        <w:t>רמש</w:t>
      </w:r>
      <w:r w:rsidRPr="00F75E3B">
        <w:rPr>
          <w:rFonts w:eastAsia="Times New Roman" w:cs="Times New Roman"/>
          <w:rtl/>
          <w:lang w:eastAsia="de-DE"/>
        </w:rPr>
        <w:t xml:space="preserve"> </w:t>
      </w:r>
      <w:r w:rsidRPr="00F75E3B">
        <w:rPr>
          <w:rFonts w:eastAsia="Times New Roman" w:cs="Times New Roman"/>
          <w:lang w:eastAsia="de-DE"/>
        </w:rPr>
        <w:t>(sich regen/bewegen) als Partizip feminin.</w:t>
      </w:r>
    </w:p>
    <w:p w14:paraId="25A7710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ולכל־נפש השרצת על־הארץ</w:t>
      </w:r>
      <w:r w:rsidRPr="00F75E3B">
        <w:rPr>
          <w:rFonts w:eastAsia="Times New Roman" w:cs="Times New Roman"/>
          <w:rtl/>
          <w:lang w:eastAsia="de-DE"/>
        </w:rPr>
        <w:t xml:space="preserve"> </w:t>
      </w:r>
      <w:r w:rsidRPr="00F75E3B">
        <w:rPr>
          <w:rFonts w:eastAsia="Times New Roman" w:cs="Times New Roman"/>
          <w:lang w:eastAsia="de-DE"/>
        </w:rPr>
        <w:t xml:space="preserve">(und jeder Seele, die auf der Erde wimmelt) - </w:t>
      </w:r>
      <w:r w:rsidRPr="00F75E3B">
        <w:rPr>
          <w:rFonts w:eastAsia="Times New Roman" w:cs="Times New Roman"/>
          <w:b/>
          <w:bCs/>
          <w:rtl/>
          <w:lang w:eastAsia="de-DE"/>
        </w:rPr>
        <w:t>השרצת על־הארץ</w:t>
      </w:r>
      <w:r w:rsidRPr="00F75E3B">
        <w:rPr>
          <w:rFonts w:eastAsia="Times New Roman" w:cs="Times New Roman"/>
          <w:rtl/>
          <w:lang w:eastAsia="de-DE"/>
        </w:rPr>
        <w:t xml:space="preserve"> </w:t>
      </w:r>
      <w:r w:rsidRPr="00F75E3B">
        <w:rPr>
          <w:rFonts w:eastAsia="Times New Roman" w:cs="Times New Roman"/>
          <w:lang w:eastAsia="de-DE"/>
        </w:rPr>
        <w:t xml:space="preserve">(die auf der Erde wimmelt) entspricht den Kriechtieren. </w:t>
      </w:r>
      <w:r w:rsidRPr="00F75E3B">
        <w:rPr>
          <w:rFonts w:eastAsia="Times New Roman" w:cs="Times New Roman"/>
          <w:b/>
          <w:bCs/>
          <w:rtl/>
          <w:lang w:eastAsia="de-DE"/>
        </w:rPr>
        <w:t>נפש</w:t>
      </w:r>
      <w:r w:rsidRPr="00F75E3B">
        <w:rPr>
          <w:rFonts w:eastAsia="Times New Roman" w:cs="Times New Roman"/>
          <w:rtl/>
          <w:lang w:eastAsia="de-DE"/>
        </w:rPr>
        <w:t xml:space="preserve"> </w:t>
      </w:r>
      <w:r w:rsidRPr="00F75E3B">
        <w:rPr>
          <w:rFonts w:eastAsia="Times New Roman" w:cs="Times New Roman"/>
          <w:lang w:eastAsia="de-DE"/>
        </w:rPr>
        <w:t>für alle Tierkategorien zeigt sie als belebte Geschöpfe.</w:t>
      </w:r>
    </w:p>
    <w:p w14:paraId="23A6F6A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תורת</w:t>
      </w:r>
      <w:r w:rsidRPr="00F75E3B">
        <w:rPr>
          <w:rFonts w:eastAsia="Times New Roman" w:cs="Times New Roman"/>
          <w:rtl/>
          <w:lang w:eastAsia="de-DE"/>
        </w:rPr>
        <w:t xml:space="preserve"> </w:t>
      </w:r>
      <w:r w:rsidRPr="00F75E3B">
        <w:rPr>
          <w:rFonts w:eastAsia="Times New Roman" w:cs="Times New Roman"/>
          <w:lang w:eastAsia="de-DE"/>
        </w:rPr>
        <w:t xml:space="preserve">zeigt den Lehrcharakter der Bestimmungen. </w:t>
      </w:r>
      <w:r w:rsidRPr="00F75E3B">
        <w:rPr>
          <w:rFonts w:eastAsia="Times New Roman" w:cs="Times New Roman"/>
          <w:b/>
          <w:bCs/>
          <w:rtl/>
          <w:lang w:eastAsia="de-DE"/>
        </w:rPr>
        <w:t>נפש החיה</w:t>
      </w:r>
      <w:r w:rsidRPr="00F75E3B">
        <w:rPr>
          <w:rFonts w:eastAsia="Times New Roman" w:cs="Times New Roman"/>
          <w:rtl/>
          <w:lang w:eastAsia="de-DE"/>
        </w:rPr>
        <w:t xml:space="preserve"> </w:t>
      </w:r>
      <w:r w:rsidRPr="00F75E3B">
        <w:rPr>
          <w:rFonts w:eastAsia="Times New Roman" w:cs="Times New Roman"/>
          <w:lang w:eastAsia="de-DE"/>
        </w:rPr>
        <w:t xml:space="preserve">und </w:t>
      </w:r>
      <w:r w:rsidRPr="00F75E3B">
        <w:rPr>
          <w:rFonts w:eastAsia="Times New Roman" w:cs="Times New Roman"/>
          <w:b/>
          <w:bCs/>
          <w:rtl/>
          <w:lang w:eastAsia="de-DE"/>
        </w:rPr>
        <w:t>נפש השרצת</w:t>
      </w:r>
      <w:r w:rsidRPr="00F75E3B">
        <w:rPr>
          <w:rFonts w:eastAsia="Times New Roman" w:cs="Times New Roman"/>
          <w:rtl/>
          <w:lang w:eastAsia="de-DE"/>
        </w:rPr>
        <w:t xml:space="preserve"> </w:t>
      </w:r>
      <w:r w:rsidRPr="00F75E3B">
        <w:rPr>
          <w:rFonts w:eastAsia="Times New Roman" w:cs="Times New Roman"/>
          <w:lang w:eastAsia="de-DE"/>
        </w:rPr>
        <w:t>betonen die Beseeltheit aller Tiere. Die vier Kategorien umfassen alle behandelten Tierbereiche.</w:t>
      </w:r>
    </w:p>
    <w:p w14:paraId="57511C7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LXX</w:t>
      </w:r>
      <w:r w:rsidRPr="00F75E3B">
        <w:rPr>
          <w:rFonts w:eastAsia="Times New Roman" w:cs="Times New Roman"/>
          <w:lang w:eastAsia="de-DE"/>
        </w:rPr>
        <w:t xml:space="preserve"> übersetzt </w:t>
      </w:r>
      <w:r w:rsidRPr="00F75E3B">
        <w:rPr>
          <w:rFonts w:eastAsia="Times New Roman" w:cs="Times New Roman"/>
          <w:b/>
          <w:bCs/>
          <w:rtl/>
          <w:lang w:eastAsia="de-DE"/>
        </w:rPr>
        <w:t>תורת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νόμος</w:t>
      </w:r>
      <w:proofErr w:type="spellEnd"/>
      <w:r w:rsidRPr="00F75E3B">
        <w:rPr>
          <w:rFonts w:eastAsia="Times New Roman" w:cs="Times New Roman"/>
          <w:lang w:eastAsia="de-DE"/>
        </w:rPr>
        <w:t xml:space="preserve"> (Gesetz), </w:t>
      </w:r>
      <w:r w:rsidRPr="00F75E3B">
        <w:rPr>
          <w:rFonts w:eastAsia="Times New Roman" w:cs="Times New Roman"/>
          <w:b/>
          <w:bCs/>
          <w:rtl/>
          <w:lang w:eastAsia="de-DE"/>
        </w:rPr>
        <w:t>נפש החיה</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ψυχῆς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ζώσης</w:t>
      </w:r>
      <w:proofErr w:type="spellEnd"/>
      <w:r w:rsidRPr="00F75E3B">
        <w:rPr>
          <w:rFonts w:eastAsia="Times New Roman" w:cs="Times New Roman"/>
          <w:lang w:eastAsia="de-DE"/>
        </w:rPr>
        <w:t xml:space="preserve"> (lebende Seele), </w:t>
      </w:r>
      <w:r w:rsidRPr="00F75E3B">
        <w:rPr>
          <w:rFonts w:eastAsia="Times New Roman" w:cs="Times New Roman"/>
          <w:b/>
          <w:bCs/>
          <w:rtl/>
          <w:lang w:eastAsia="de-DE"/>
        </w:rPr>
        <w:t>הרמשת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κινουμένης</w:t>
      </w:r>
      <w:proofErr w:type="spellEnd"/>
      <w:r w:rsidRPr="00F75E3B">
        <w:rPr>
          <w:rFonts w:eastAsia="Times New Roman" w:cs="Times New Roman"/>
          <w:lang w:eastAsia="de-DE"/>
        </w:rPr>
        <w:t xml:space="preserve"> (sich bewegende) und </w:t>
      </w:r>
      <w:r w:rsidRPr="00F75E3B">
        <w:rPr>
          <w:rFonts w:eastAsia="Times New Roman" w:cs="Times New Roman"/>
          <w:b/>
          <w:bCs/>
          <w:rtl/>
          <w:lang w:eastAsia="de-DE"/>
        </w:rPr>
        <w:t>השרצת</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ἑρ</w:t>
      </w:r>
      <w:proofErr w:type="spellEnd"/>
      <w:r w:rsidRPr="00F75E3B">
        <w:rPr>
          <w:rFonts w:eastAsia="Times New Roman" w:cs="Times New Roman"/>
          <w:lang w:eastAsia="de-DE"/>
        </w:rPr>
        <w:t>πούσης (kriechende).</w:t>
      </w:r>
    </w:p>
    <w:p w14:paraId="5DBECD9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umfassende Zusammenfassung: demonstrative Formel + vier Tierkategorien mit charakteristischen Bewegungsformen. Die Struktur schließt alle behandelten Bereiche ein.</w:t>
      </w:r>
    </w:p>
    <w:p w14:paraId="7BE2D09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fasst alle behandelten Tierkategorien in einer abschließenden </w:t>
      </w:r>
      <w:r w:rsidRPr="00F75E3B">
        <w:rPr>
          <w:rFonts w:eastAsia="Times New Roman" w:cs="Times New Roman"/>
          <w:b/>
          <w:bCs/>
          <w:rtl/>
          <w:lang w:eastAsia="de-DE"/>
        </w:rPr>
        <w:t>תורת</w:t>
      </w:r>
      <w:r w:rsidRPr="00F75E3B">
        <w:rPr>
          <w:rFonts w:eastAsia="Times New Roman" w:cs="Times New Roman"/>
          <w:lang w:eastAsia="de-DE"/>
        </w:rPr>
        <w:t>-Formel zusammen.</w:t>
      </w:r>
    </w:p>
    <w:p w14:paraId="4768C815"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11,47</w:t>
      </w:r>
    </w:p>
    <w:p w14:paraId="19D0B37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לְהַבְדִּ֕יל בֵּ֥ין הַטָּמֵ֖א וּבֵ֣ין הַטָּהֹ֑ר וּבֵ֤ין הַֽחַיָּה֙ הַֽנֶּאֱכֶ֔לֶת וּבֵין֙ הַֽחַיָּ֔ה אֲשֶׁ֖ר לֹ֥א תֵאָכֵֽל׃</w:t>
      </w:r>
    </w:p>
    <w:p w14:paraId="7681639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um zu unterscheiden zwischen dem Unreinen und dem Reinen, und zwischen den Tieren, die gegessen werden dürfen, und den Tieren, die nicht gegessen werden dürfen.</w:t>
      </w:r>
    </w:p>
    <w:p w14:paraId="5CD5D099"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DBBE1DE">
          <v:rect id="_x0000_i1323" style="width:0;height:1.5pt" o:hralign="center" o:hrstd="t" o:hr="t" fillcolor="#a0a0a0" stroked="f"/>
        </w:pict>
      </w:r>
    </w:p>
    <w:p w14:paraId="11B0617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להבדיל בין הטמא ובין הטהר ובין החיה הנאכלת ובין החיה אשר לא תאכל</w:t>
      </w:r>
      <w:r w:rsidRPr="00F75E3B">
        <w:rPr>
          <w:rFonts w:eastAsia="Times New Roman" w:cs="Times New Roman"/>
          <w:rtl/>
          <w:lang w:eastAsia="de-DE"/>
        </w:rPr>
        <w:t xml:space="preserve"> </w:t>
      </w:r>
      <w:r w:rsidRPr="00F75E3B">
        <w:rPr>
          <w:rFonts w:eastAsia="Times New Roman" w:cs="Times New Roman"/>
          <w:lang w:eastAsia="de-DE"/>
        </w:rPr>
        <w:t xml:space="preserve">zeigt den Zweck der </w:t>
      </w:r>
      <w:r w:rsidRPr="00F75E3B">
        <w:rPr>
          <w:rFonts w:eastAsia="Times New Roman" w:cs="Times New Roman"/>
          <w:b/>
          <w:bCs/>
          <w:rtl/>
          <w:lang w:eastAsia="de-DE"/>
        </w:rPr>
        <w:t>תורת</w:t>
      </w:r>
      <w:r w:rsidRPr="00F75E3B">
        <w:rPr>
          <w:rFonts w:eastAsia="Times New Roman" w:cs="Times New Roman"/>
          <w:lang w:eastAsia="de-DE"/>
        </w:rPr>
        <w:t xml:space="preserve">. </w:t>
      </w:r>
      <w:r w:rsidRPr="00F75E3B">
        <w:rPr>
          <w:rFonts w:eastAsia="Times New Roman" w:cs="Times New Roman"/>
          <w:b/>
          <w:bCs/>
          <w:rtl/>
          <w:lang w:eastAsia="de-DE"/>
        </w:rPr>
        <w:t>להבדיל</w:t>
      </w:r>
      <w:r w:rsidRPr="00F75E3B">
        <w:rPr>
          <w:rFonts w:eastAsia="Times New Roman" w:cs="Times New Roman"/>
          <w:rtl/>
          <w:lang w:eastAsia="de-DE"/>
        </w:rPr>
        <w:t xml:space="preserve"> </w:t>
      </w:r>
      <w:r w:rsidRPr="00F75E3B">
        <w:rPr>
          <w:rFonts w:eastAsia="Times New Roman" w:cs="Times New Roman"/>
          <w:lang w:eastAsia="de-DE"/>
        </w:rPr>
        <w:t xml:space="preserve">(um zu unterscheiden) - </w:t>
      </w:r>
      <w:r w:rsidRPr="00F75E3B">
        <w:rPr>
          <w:rFonts w:eastAsia="Times New Roman" w:cs="Times New Roman"/>
          <w:b/>
          <w:bCs/>
          <w:rtl/>
          <w:lang w:eastAsia="de-DE"/>
        </w:rPr>
        <w:t>בדל</w:t>
      </w:r>
      <w:r w:rsidRPr="00F75E3B">
        <w:rPr>
          <w:rFonts w:eastAsia="Times New Roman" w:cs="Times New Roman"/>
          <w:rtl/>
          <w:lang w:eastAsia="de-DE"/>
        </w:rPr>
        <w:t xml:space="preserve"> </w:t>
      </w:r>
      <w:r w:rsidRPr="00F75E3B">
        <w:rPr>
          <w:rFonts w:eastAsia="Times New Roman" w:cs="Times New Roman"/>
          <w:lang w:eastAsia="de-DE"/>
        </w:rPr>
        <w:t xml:space="preserve">im Hifil-Infinitiv mit </w:t>
      </w:r>
      <w:r w:rsidRPr="00F75E3B">
        <w:rPr>
          <w:rFonts w:eastAsia="Times New Roman" w:cs="Times New Roman"/>
          <w:b/>
          <w:bCs/>
          <w:rtl/>
          <w:lang w:eastAsia="de-DE"/>
        </w:rPr>
        <w:t>ל</w:t>
      </w:r>
      <w:r w:rsidRPr="00F75E3B">
        <w:rPr>
          <w:rFonts w:eastAsia="Times New Roman" w:cs="Times New Roman"/>
          <w:rtl/>
          <w:lang w:eastAsia="de-DE"/>
        </w:rPr>
        <w:t xml:space="preserve"> </w:t>
      </w:r>
      <w:r w:rsidRPr="00F75E3B">
        <w:rPr>
          <w:rFonts w:eastAsia="Times New Roman" w:cs="Times New Roman"/>
          <w:lang w:eastAsia="de-DE"/>
        </w:rPr>
        <w:t xml:space="preserve">zur Zweckangabe entspricht 10,10. </w:t>
      </w:r>
      <w:r w:rsidRPr="00F75E3B">
        <w:rPr>
          <w:rFonts w:eastAsia="Times New Roman" w:cs="Times New Roman"/>
          <w:b/>
          <w:bCs/>
          <w:rtl/>
          <w:lang w:eastAsia="de-DE"/>
        </w:rPr>
        <w:t>בין הטמא ובין הטהר</w:t>
      </w:r>
      <w:r w:rsidRPr="00F75E3B">
        <w:rPr>
          <w:rFonts w:eastAsia="Times New Roman" w:cs="Times New Roman"/>
          <w:rtl/>
          <w:lang w:eastAsia="de-DE"/>
        </w:rPr>
        <w:t xml:space="preserve"> </w:t>
      </w:r>
      <w:r w:rsidRPr="00F75E3B">
        <w:rPr>
          <w:rFonts w:eastAsia="Times New Roman" w:cs="Times New Roman"/>
          <w:lang w:eastAsia="de-DE"/>
        </w:rPr>
        <w:t>(zwischen dem Unreinen und dem Reinen) entspricht der ersten Unterscheidung aus 10,10.</w:t>
      </w:r>
    </w:p>
    <w:p w14:paraId="3697CA9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ובין החיה הנאכלת ובין החיה אשר לא תאכל</w:t>
      </w:r>
      <w:r w:rsidRPr="00F75E3B">
        <w:rPr>
          <w:rFonts w:eastAsia="Times New Roman" w:cs="Times New Roman"/>
          <w:rtl/>
          <w:lang w:eastAsia="de-DE"/>
        </w:rPr>
        <w:t xml:space="preserve"> </w:t>
      </w:r>
      <w:r w:rsidRPr="00F75E3B">
        <w:rPr>
          <w:rFonts w:eastAsia="Times New Roman" w:cs="Times New Roman"/>
          <w:lang w:eastAsia="de-DE"/>
        </w:rPr>
        <w:t xml:space="preserve">spezifiziert für Tiere. </w:t>
      </w:r>
      <w:r w:rsidRPr="00F75E3B">
        <w:rPr>
          <w:rFonts w:eastAsia="Times New Roman" w:cs="Times New Roman"/>
          <w:b/>
          <w:bCs/>
          <w:rtl/>
          <w:lang w:eastAsia="de-DE"/>
        </w:rPr>
        <w:t>ובין החיה הנאכלת</w:t>
      </w:r>
      <w:r w:rsidRPr="00F75E3B">
        <w:rPr>
          <w:rFonts w:eastAsia="Times New Roman" w:cs="Times New Roman"/>
          <w:rtl/>
          <w:lang w:eastAsia="de-DE"/>
        </w:rPr>
        <w:t xml:space="preserve"> </w:t>
      </w:r>
      <w:r w:rsidRPr="00F75E3B">
        <w:rPr>
          <w:rFonts w:eastAsia="Times New Roman" w:cs="Times New Roman"/>
          <w:lang w:eastAsia="de-DE"/>
        </w:rPr>
        <w:t xml:space="preserve">(und zwischen den Tieren, die gegessen werden) - </w:t>
      </w:r>
      <w:r w:rsidRPr="00F75E3B">
        <w:rPr>
          <w:rFonts w:eastAsia="Times New Roman" w:cs="Times New Roman"/>
          <w:b/>
          <w:bCs/>
          <w:rtl/>
          <w:lang w:eastAsia="de-DE"/>
        </w:rPr>
        <w:t>נאכלת</w:t>
      </w:r>
      <w:r w:rsidRPr="00F75E3B">
        <w:rPr>
          <w:rFonts w:eastAsia="Times New Roman" w:cs="Times New Roman"/>
          <w:rtl/>
          <w:lang w:eastAsia="de-DE"/>
        </w:rPr>
        <w:t xml:space="preserve"> </w:t>
      </w:r>
      <w:r w:rsidRPr="00F75E3B">
        <w:rPr>
          <w:rFonts w:eastAsia="Times New Roman" w:cs="Times New Roman"/>
          <w:lang w:eastAsia="de-DE"/>
        </w:rPr>
        <w:t xml:space="preserve">(gegessen werdend) im Nifal-Partizip feminin entsprechend </w:t>
      </w:r>
      <w:r w:rsidRPr="00F75E3B">
        <w:rPr>
          <w:rFonts w:eastAsia="Times New Roman" w:cs="Times New Roman"/>
          <w:b/>
          <w:bCs/>
          <w:rtl/>
          <w:lang w:eastAsia="de-DE"/>
        </w:rPr>
        <w:t>חיה</w:t>
      </w:r>
      <w:r w:rsidRPr="00F75E3B">
        <w:rPr>
          <w:rFonts w:eastAsia="Times New Roman" w:cs="Times New Roman"/>
          <w:lang w:eastAsia="de-DE"/>
        </w:rPr>
        <w:t xml:space="preserve">. </w:t>
      </w:r>
      <w:r w:rsidRPr="00F75E3B">
        <w:rPr>
          <w:rFonts w:eastAsia="Times New Roman" w:cs="Times New Roman"/>
          <w:b/>
          <w:bCs/>
          <w:rtl/>
          <w:lang w:eastAsia="de-DE"/>
        </w:rPr>
        <w:t>ובין החיה אשר לא תאכל</w:t>
      </w:r>
      <w:r w:rsidRPr="00F75E3B">
        <w:rPr>
          <w:rFonts w:eastAsia="Times New Roman" w:cs="Times New Roman"/>
          <w:rtl/>
          <w:lang w:eastAsia="de-DE"/>
        </w:rPr>
        <w:t xml:space="preserve"> </w:t>
      </w:r>
      <w:r w:rsidRPr="00F75E3B">
        <w:rPr>
          <w:rFonts w:eastAsia="Times New Roman" w:cs="Times New Roman"/>
          <w:lang w:eastAsia="de-DE"/>
        </w:rPr>
        <w:t xml:space="preserve">(und zwischen den Tieren, die nicht gegessen werden) - </w:t>
      </w:r>
      <w:r w:rsidRPr="00F75E3B">
        <w:rPr>
          <w:rFonts w:eastAsia="Times New Roman" w:cs="Times New Roman"/>
          <w:b/>
          <w:bCs/>
          <w:rtl/>
          <w:lang w:eastAsia="de-DE"/>
        </w:rPr>
        <w:t>לא תאכל</w:t>
      </w:r>
      <w:r w:rsidRPr="00F75E3B">
        <w:rPr>
          <w:rFonts w:eastAsia="Times New Roman" w:cs="Times New Roman"/>
          <w:rtl/>
          <w:lang w:eastAsia="de-DE"/>
        </w:rPr>
        <w:t xml:space="preserve"> </w:t>
      </w:r>
      <w:r w:rsidRPr="00F75E3B">
        <w:rPr>
          <w:rFonts w:eastAsia="Times New Roman" w:cs="Times New Roman"/>
          <w:lang w:eastAsia="de-DE"/>
        </w:rPr>
        <w:t>(nicht gegessen werden) im Nifal-Imperfekt mit Negation.</w:t>
      </w:r>
    </w:p>
    <w:p w14:paraId="78435A0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להבדיל</w:t>
      </w:r>
      <w:r w:rsidRPr="00F75E3B">
        <w:rPr>
          <w:rFonts w:eastAsia="Times New Roman" w:cs="Times New Roman"/>
          <w:rtl/>
          <w:lang w:eastAsia="de-DE"/>
        </w:rPr>
        <w:t xml:space="preserve"> </w:t>
      </w:r>
      <w:r w:rsidRPr="00F75E3B">
        <w:rPr>
          <w:rFonts w:eastAsia="Times New Roman" w:cs="Times New Roman"/>
          <w:lang w:eastAsia="de-DE"/>
        </w:rPr>
        <w:t xml:space="preserve">referenziert die priesterliche Aufgabe aus 10,10. </w:t>
      </w:r>
      <w:r w:rsidRPr="00F75E3B">
        <w:rPr>
          <w:rFonts w:eastAsia="Times New Roman" w:cs="Times New Roman"/>
          <w:b/>
          <w:bCs/>
          <w:rtl/>
          <w:lang w:eastAsia="de-DE"/>
        </w:rPr>
        <w:t>הטמא ובין הטהר</w:t>
      </w:r>
      <w:r w:rsidRPr="00F75E3B">
        <w:rPr>
          <w:rFonts w:eastAsia="Times New Roman" w:cs="Times New Roman"/>
          <w:rtl/>
          <w:lang w:eastAsia="de-DE"/>
        </w:rPr>
        <w:t xml:space="preserve"> </w:t>
      </w:r>
      <w:r w:rsidRPr="00F75E3B">
        <w:rPr>
          <w:rFonts w:eastAsia="Times New Roman" w:cs="Times New Roman"/>
          <w:lang w:eastAsia="de-DE"/>
        </w:rPr>
        <w:t xml:space="preserve">zeigt die grundlegenden Reinheitskategorien. </w:t>
      </w:r>
      <w:r w:rsidRPr="00F75E3B">
        <w:rPr>
          <w:rFonts w:eastAsia="Times New Roman" w:cs="Times New Roman"/>
          <w:b/>
          <w:bCs/>
          <w:rtl/>
          <w:lang w:eastAsia="de-DE"/>
        </w:rPr>
        <w:t>הנאכלת...אשר לא תאכל</w:t>
      </w:r>
      <w:r w:rsidRPr="00F75E3B">
        <w:rPr>
          <w:rFonts w:eastAsia="Times New Roman" w:cs="Times New Roman"/>
          <w:rtl/>
          <w:lang w:eastAsia="de-DE"/>
        </w:rPr>
        <w:t xml:space="preserve"> </w:t>
      </w:r>
      <w:r w:rsidRPr="00F75E3B">
        <w:rPr>
          <w:rFonts w:eastAsia="Times New Roman" w:cs="Times New Roman"/>
          <w:lang w:eastAsia="de-DE"/>
        </w:rPr>
        <w:t>übersetzt die Reinheitskategorien in praktische Speiseregeln.</w:t>
      </w:r>
    </w:p>
    <w:p w14:paraId="4AE14BE1" w14:textId="1243B6EA"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571E11">
        <w:t xml:space="preserve">übersetzt </w:t>
      </w:r>
      <w:r w:rsidR="00571E11">
        <w:rPr>
          <w:rtl/>
        </w:rPr>
        <w:t>החיה הנאכלת</w:t>
      </w:r>
      <w:r w:rsidR="00571E11">
        <w:t xml:space="preserve"> (</w:t>
      </w:r>
      <w:proofErr w:type="spellStart"/>
      <w:r w:rsidR="00571E11">
        <w:t>hachayya</w:t>
      </w:r>
      <w:proofErr w:type="spellEnd"/>
      <w:r w:rsidR="00571E11">
        <w:t xml:space="preserve"> </w:t>
      </w:r>
      <w:proofErr w:type="spellStart"/>
      <w:r w:rsidR="00571E11">
        <w:t>hanne'echelet</w:t>
      </w:r>
      <w:proofErr w:type="spellEnd"/>
      <w:r w:rsidR="00571E11">
        <w:t xml:space="preserve"> - "das Tier, das gegessen wird") als </w:t>
      </w:r>
      <w:proofErr w:type="spellStart"/>
      <w:r w:rsidR="00571E11">
        <w:t>τῶν</w:t>
      </w:r>
      <w:proofErr w:type="spellEnd"/>
      <w:r w:rsidR="00571E11">
        <w:t xml:space="preserve"> </w:t>
      </w:r>
      <w:proofErr w:type="spellStart"/>
      <w:r w:rsidR="00571E11">
        <w:t>ζωογονούντων</w:t>
      </w:r>
      <w:proofErr w:type="spellEnd"/>
      <w:r w:rsidR="00571E11">
        <w:t xml:space="preserve"> </w:t>
      </w:r>
      <w:proofErr w:type="spellStart"/>
      <w:r w:rsidR="00571E11">
        <w:t>τὰ</w:t>
      </w:r>
      <w:proofErr w:type="spellEnd"/>
      <w:r w:rsidR="00571E11">
        <w:t xml:space="preserve"> </w:t>
      </w:r>
      <w:proofErr w:type="spellStart"/>
      <w:r w:rsidR="00571E11">
        <w:t>ἐσθιόμεν</w:t>
      </w:r>
      <w:proofErr w:type="spellEnd"/>
      <w:r w:rsidR="00571E11">
        <w:t>α (der Lebewesen, die gegessen werden), was eine funktionalere Beschreibung verwendet.</w:t>
      </w:r>
    </w:p>
    <w:p w14:paraId="4028DD7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doppelten Zweck: Infinitiv + erste Unterscheidung + zweite spezifizierte Unterscheidung. Die Struktur verbindet allgemeine Reinheitslehre mit praktischen Speisegesetzen.</w:t>
      </w:r>
    </w:p>
    <w:p w14:paraId="7AC4F93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abschließende Vers definiert den Zweck aller Speisegesetze: Befähigung zur Unterscheidung zwischen rein und unrein, erlaubt und verboten.</w:t>
      </w:r>
    </w:p>
    <w:p w14:paraId="0704EA1C" w14:textId="77777777" w:rsidR="00F75E3B" w:rsidRDefault="00F75E3B" w:rsidP="00F75E3B">
      <w:pPr>
        <w:pStyle w:val="KeinLeerraum"/>
      </w:pPr>
      <w:r>
        <w:t>Kapitel 11 etabliert ein umfassendes System von Speisegesetzen (</w:t>
      </w:r>
      <w:r>
        <w:rPr>
          <w:rStyle w:val="Fett"/>
          <w:rtl/>
        </w:rPr>
        <w:t>כשרות</w:t>
      </w:r>
      <w:r>
        <w:t xml:space="preserve">), das alle Lebensbereiche der Israeliten regelt. Die Struktur zeigt: </w:t>
      </w:r>
    </w:p>
    <w:p w14:paraId="61E56BA4" w14:textId="77777777" w:rsidR="00125C26" w:rsidRDefault="00125C26" w:rsidP="00F75E3B">
      <w:pPr>
        <w:pStyle w:val="KeinLeerraum"/>
        <w:rPr>
          <w:b/>
          <w:bCs/>
        </w:rPr>
      </w:pPr>
    </w:p>
    <w:p w14:paraId="4B4AFE02" w14:textId="4CAE9DB8" w:rsidR="00F75E3B" w:rsidRDefault="00F75E3B" w:rsidP="00F75E3B">
      <w:pPr>
        <w:pStyle w:val="KeinLeerraum"/>
      </w:pPr>
      <w:r w:rsidRPr="00125C26">
        <w:rPr>
          <w:b/>
          <w:bCs/>
        </w:rPr>
        <w:t>1)</w:t>
      </w:r>
      <w:r>
        <w:t xml:space="preserve"> </w:t>
      </w:r>
      <w:r>
        <w:rPr>
          <w:rStyle w:val="Fett"/>
        </w:rPr>
        <w:t>Landtiere</w:t>
      </w:r>
      <w:r>
        <w:t xml:space="preserve"> (V. 1-8): Erlaubt sind nur Tiere mit gespaltenen Hufen UND Wiederkäuen; vier Beispiele unvollständiger Kriterienerfüllung werden explizit verboten. </w:t>
      </w:r>
    </w:p>
    <w:p w14:paraId="55EB0182" w14:textId="77777777" w:rsidR="00E35C31" w:rsidRDefault="00E35C31" w:rsidP="00F75E3B">
      <w:pPr>
        <w:pStyle w:val="KeinLeerraum"/>
        <w:rPr>
          <w:b/>
          <w:bCs/>
        </w:rPr>
      </w:pPr>
    </w:p>
    <w:p w14:paraId="6098A0F9" w14:textId="07A166A2" w:rsidR="00F75E3B" w:rsidRDefault="00F75E3B" w:rsidP="00F75E3B">
      <w:pPr>
        <w:pStyle w:val="KeinLeerraum"/>
      </w:pPr>
      <w:r w:rsidRPr="00E35C31">
        <w:rPr>
          <w:b/>
          <w:bCs/>
        </w:rPr>
        <w:t>2)</w:t>
      </w:r>
      <w:r>
        <w:t xml:space="preserve"> </w:t>
      </w:r>
      <w:r>
        <w:rPr>
          <w:rStyle w:val="Fett"/>
        </w:rPr>
        <w:t>Wassertiere</w:t>
      </w:r>
      <w:r>
        <w:t xml:space="preserve"> (V. 9-12): Nur Tiere mit Flossen UND Schuppen sind erlaubt; alle anderen sind </w:t>
      </w:r>
      <w:r>
        <w:rPr>
          <w:rStyle w:val="Fett"/>
          <w:rtl/>
        </w:rPr>
        <w:t>שקץ</w:t>
      </w:r>
      <w:r>
        <w:rPr>
          <w:rtl/>
        </w:rPr>
        <w:t xml:space="preserve"> </w:t>
      </w:r>
      <w:r>
        <w:t xml:space="preserve">(Gräuel). </w:t>
      </w:r>
    </w:p>
    <w:p w14:paraId="782876C6" w14:textId="77777777" w:rsidR="00E35C31" w:rsidRDefault="00E35C31" w:rsidP="00F75E3B">
      <w:pPr>
        <w:pStyle w:val="KeinLeerraum"/>
        <w:rPr>
          <w:b/>
          <w:bCs/>
        </w:rPr>
      </w:pPr>
    </w:p>
    <w:p w14:paraId="597C7DFD" w14:textId="33A5BBF5" w:rsidR="00F75E3B" w:rsidRDefault="00F75E3B" w:rsidP="00F75E3B">
      <w:pPr>
        <w:pStyle w:val="KeinLeerraum"/>
      </w:pPr>
      <w:r w:rsidRPr="00125C26">
        <w:rPr>
          <w:b/>
          <w:bCs/>
        </w:rPr>
        <w:t>3)</w:t>
      </w:r>
      <w:r>
        <w:t xml:space="preserve"> </w:t>
      </w:r>
      <w:r>
        <w:rPr>
          <w:rStyle w:val="Fett"/>
        </w:rPr>
        <w:t>Vögel</w:t>
      </w:r>
      <w:r>
        <w:t xml:space="preserve"> (V. 13-23): Eine Liste von 20 verbotenen Arten (meist Raubvögel und Aasfresser) ohne positive Kriterien; Ausnahme für vier Heuschreckenarten mit Sprungbeinen. </w:t>
      </w:r>
    </w:p>
    <w:p w14:paraId="0EE358C7" w14:textId="77777777" w:rsidR="00E35C31" w:rsidRDefault="00E35C31" w:rsidP="00F75E3B">
      <w:pPr>
        <w:pStyle w:val="KeinLeerraum"/>
        <w:rPr>
          <w:b/>
          <w:bCs/>
        </w:rPr>
      </w:pPr>
    </w:p>
    <w:p w14:paraId="75E0D8E8" w14:textId="436182CA" w:rsidR="00F75E3B" w:rsidRDefault="00F75E3B" w:rsidP="00F75E3B">
      <w:pPr>
        <w:pStyle w:val="KeinLeerraum"/>
      </w:pPr>
      <w:r w:rsidRPr="00125C26">
        <w:rPr>
          <w:b/>
          <w:bCs/>
        </w:rPr>
        <w:t>4)</w:t>
      </w:r>
      <w:r>
        <w:t xml:space="preserve"> </w:t>
      </w:r>
      <w:r>
        <w:rPr>
          <w:rStyle w:val="Fett"/>
        </w:rPr>
        <w:t>Unreinheitsübertragung</w:t>
      </w:r>
      <w:r>
        <w:t xml:space="preserve"> (V. 24-40): Komplexe Regeln für temporäre Unreinheit durch Berührung, Transport oder Verzehr toter Tiere; unterschiedliche Behandlung verschiedener Materialien bei Kontamination. </w:t>
      </w:r>
    </w:p>
    <w:p w14:paraId="78153448" w14:textId="77777777" w:rsidR="00E35C31" w:rsidRDefault="00E35C31" w:rsidP="00F75E3B">
      <w:pPr>
        <w:pStyle w:val="KeinLeerraum"/>
        <w:rPr>
          <w:b/>
          <w:bCs/>
        </w:rPr>
      </w:pPr>
    </w:p>
    <w:p w14:paraId="47625511" w14:textId="42D17228" w:rsidR="00F75E3B" w:rsidRDefault="00F75E3B" w:rsidP="00F75E3B">
      <w:pPr>
        <w:pStyle w:val="KeinLeerraum"/>
      </w:pPr>
      <w:r w:rsidRPr="00125C26">
        <w:rPr>
          <w:b/>
          <w:bCs/>
        </w:rPr>
        <w:t>5)</w:t>
      </w:r>
      <w:r>
        <w:t xml:space="preserve"> </w:t>
      </w:r>
      <w:r>
        <w:rPr>
          <w:rStyle w:val="Fett"/>
        </w:rPr>
        <w:t>Kriechtiere</w:t>
      </w:r>
      <w:r>
        <w:t xml:space="preserve"> (V. 41-43): Absolutes Verbot aller kriechenden Landtiere als </w:t>
      </w:r>
      <w:r>
        <w:rPr>
          <w:rStyle w:val="Fett"/>
          <w:rtl/>
        </w:rPr>
        <w:t>שקץ</w:t>
      </w:r>
      <w:r>
        <w:t xml:space="preserve">. </w:t>
      </w:r>
    </w:p>
    <w:p w14:paraId="34B1092B" w14:textId="77777777" w:rsidR="00E35C31" w:rsidRDefault="00E35C31" w:rsidP="00F75E3B">
      <w:pPr>
        <w:pStyle w:val="KeinLeerraum"/>
        <w:rPr>
          <w:b/>
          <w:bCs/>
        </w:rPr>
      </w:pPr>
    </w:p>
    <w:p w14:paraId="49C4CA5B" w14:textId="6083A07F" w:rsidR="00F75E3B" w:rsidRDefault="00F75E3B" w:rsidP="00F75E3B">
      <w:pPr>
        <w:pStyle w:val="KeinLeerraum"/>
      </w:pPr>
      <w:r w:rsidRPr="00125C26">
        <w:rPr>
          <w:b/>
          <w:bCs/>
        </w:rPr>
        <w:t>6)</w:t>
      </w:r>
      <w:r>
        <w:t xml:space="preserve"> </w:t>
      </w:r>
      <w:r>
        <w:rPr>
          <w:rStyle w:val="Fett"/>
        </w:rPr>
        <w:t>Theologische Begründung</w:t>
      </w:r>
      <w:r>
        <w:t xml:space="preserve"> (V. 44-45): Heiligkeitsforderung basierend auf göttlicher Heiligkeit und Exodusbefreiung. </w:t>
      </w:r>
    </w:p>
    <w:p w14:paraId="193261AB" w14:textId="77777777" w:rsidR="00E35C31" w:rsidRDefault="00E35C31" w:rsidP="00F75E3B">
      <w:pPr>
        <w:pStyle w:val="KeinLeerraum"/>
        <w:rPr>
          <w:b/>
          <w:bCs/>
        </w:rPr>
      </w:pPr>
    </w:p>
    <w:p w14:paraId="54985101" w14:textId="06B99915" w:rsidR="00F75E3B" w:rsidRDefault="00F75E3B" w:rsidP="00F75E3B">
      <w:pPr>
        <w:pStyle w:val="KeinLeerraum"/>
      </w:pPr>
      <w:r w:rsidRPr="00125C26">
        <w:rPr>
          <w:b/>
          <w:bCs/>
        </w:rPr>
        <w:t>7)</w:t>
      </w:r>
      <w:r>
        <w:t xml:space="preserve"> </w:t>
      </w:r>
      <w:r>
        <w:rPr>
          <w:rStyle w:val="Fett"/>
        </w:rPr>
        <w:t>Abschließende Zusammenfassung</w:t>
      </w:r>
      <w:r>
        <w:t xml:space="preserve"> (V. 46-47): Definition des Zwecks aller Bestimmungen als Unterscheidungslehre.</w:t>
      </w:r>
    </w:p>
    <w:p w14:paraId="726871C5" w14:textId="5E974EFA" w:rsidR="00F75E3B" w:rsidRDefault="00F75E3B" w:rsidP="00F75E3B">
      <w:pPr>
        <w:pStyle w:val="whitespace-normal"/>
      </w:pPr>
      <w:r>
        <w:t xml:space="preserve">Das Kapitel verknüpft praktische Lebensführung mit theologischen Prinzipien und etabliert die Speisegesetze als fundamentalen Ausdruck israelitischer Identität und Heiligkeit. Die </w:t>
      </w:r>
      <w:r>
        <w:rPr>
          <w:rStyle w:val="Fett"/>
          <w:rtl/>
        </w:rPr>
        <w:t>טמא</w:t>
      </w:r>
      <w:r>
        <w:t>/</w:t>
      </w:r>
      <w:r>
        <w:rPr>
          <w:rStyle w:val="Fett"/>
          <w:rtl/>
        </w:rPr>
        <w:t>טהור</w:t>
      </w:r>
      <w:r>
        <w:t>-Unterscheidungen werden zur konkreten Lebenspraxis, die das Volk Israel von anderen Völkern unterscheidet und ihre besondere Beziehung zu JHWH ausdrückt.</w:t>
      </w:r>
    </w:p>
    <w:p w14:paraId="6DBDAC5A" w14:textId="1FE0DC51" w:rsidR="007660B2" w:rsidRDefault="007660B2" w:rsidP="00F75E3B">
      <w:pPr>
        <w:pStyle w:val="whitespace-normal"/>
      </w:pPr>
      <w:r>
        <w:rPr>
          <w:rStyle w:val="Fett"/>
        </w:rPr>
        <w:t>Textkritische Schlussfolgerung</w:t>
      </w:r>
      <w:r>
        <w:t>: Die Speisegesetze zeigen in der LXX erhebliche zoologische Neuinterpretationen, die teils auf unterschiedlicher Fauna im hellenistischen Kontext, teils auf Übersetzungsschwierigkeiten bei der Tieridentifikation beruhen.</w:t>
      </w:r>
    </w:p>
    <w:p w14:paraId="645961E5"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12,1</w:t>
      </w:r>
    </w:p>
    <w:p w14:paraId="540D7E9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וַיְדַבֵּ֥ר יְהוָ֖ה אֶל־מֹשֶׁ֥ה לֵּאמֹֽר׃</w:t>
      </w:r>
    </w:p>
    <w:p w14:paraId="24BE05A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der Ewige redete zu Mosche, sagend:</w:t>
      </w:r>
    </w:p>
    <w:p w14:paraId="28EBA43F"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58F9389">
          <v:rect id="_x0000_i1324" style="width:0;height:1.5pt" o:hralign="center" o:hrstd="t" o:hr="t" fillcolor="#a0a0a0" stroked="f"/>
        </w:pict>
      </w:r>
    </w:p>
    <w:p w14:paraId="7308D0C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וידבר יהוה אל־משה לאמר</w:t>
      </w:r>
      <w:r w:rsidRPr="00F75E3B">
        <w:rPr>
          <w:rFonts w:eastAsia="Times New Roman" w:cs="Times New Roman"/>
          <w:rtl/>
          <w:lang w:eastAsia="de-DE"/>
        </w:rPr>
        <w:t xml:space="preserve"> </w:t>
      </w:r>
      <w:r w:rsidRPr="00F75E3B">
        <w:rPr>
          <w:rFonts w:eastAsia="Times New Roman" w:cs="Times New Roman"/>
          <w:lang w:eastAsia="de-DE"/>
        </w:rPr>
        <w:t xml:space="preserve">zeigt die Standardeinleitungsformel für göttliche Offenbarung. </w:t>
      </w:r>
      <w:r w:rsidRPr="00F75E3B">
        <w:rPr>
          <w:rFonts w:eastAsia="Times New Roman" w:cs="Times New Roman"/>
          <w:b/>
          <w:bCs/>
          <w:rtl/>
          <w:lang w:eastAsia="de-DE"/>
        </w:rPr>
        <w:t>וידבר</w:t>
      </w:r>
      <w:r w:rsidRPr="00F75E3B">
        <w:rPr>
          <w:rFonts w:eastAsia="Times New Roman" w:cs="Times New Roman"/>
          <w:rtl/>
          <w:lang w:eastAsia="de-DE"/>
        </w:rPr>
        <w:t xml:space="preserve"> </w:t>
      </w:r>
      <w:r w:rsidRPr="00F75E3B">
        <w:rPr>
          <w:rFonts w:eastAsia="Times New Roman" w:cs="Times New Roman"/>
          <w:lang w:eastAsia="de-DE"/>
        </w:rPr>
        <w:t xml:space="preserve">(und er redete) - </w:t>
      </w:r>
      <w:r w:rsidRPr="00F75E3B">
        <w:rPr>
          <w:rFonts w:eastAsia="Times New Roman" w:cs="Times New Roman"/>
          <w:b/>
          <w:bCs/>
          <w:rtl/>
          <w:lang w:eastAsia="de-DE"/>
        </w:rPr>
        <w:t>דבר</w:t>
      </w:r>
      <w:r w:rsidRPr="00F75E3B">
        <w:rPr>
          <w:rFonts w:eastAsia="Times New Roman" w:cs="Times New Roman"/>
          <w:rtl/>
          <w:lang w:eastAsia="de-DE"/>
        </w:rPr>
        <w:t xml:space="preserve"> </w:t>
      </w:r>
      <w:r w:rsidRPr="00F75E3B">
        <w:rPr>
          <w:rFonts w:eastAsia="Times New Roman" w:cs="Times New Roman"/>
          <w:lang w:eastAsia="de-DE"/>
        </w:rPr>
        <w:t xml:space="preserve">im Piel-Imperfekt 3. Person maskulin Singular mit Waw-Konsekutiv. </w:t>
      </w:r>
      <w:r w:rsidRPr="00F75E3B">
        <w:rPr>
          <w:rFonts w:eastAsia="Times New Roman" w:cs="Times New Roman"/>
          <w:b/>
          <w:bCs/>
          <w:rtl/>
          <w:lang w:eastAsia="de-DE"/>
        </w:rPr>
        <w:t>יהוה</w:t>
      </w:r>
      <w:r w:rsidRPr="00F75E3B">
        <w:rPr>
          <w:rFonts w:eastAsia="Times New Roman" w:cs="Times New Roman"/>
          <w:rtl/>
          <w:lang w:eastAsia="de-DE"/>
        </w:rPr>
        <w:t xml:space="preserve"> </w:t>
      </w:r>
      <w:r w:rsidRPr="00F75E3B">
        <w:rPr>
          <w:rFonts w:eastAsia="Times New Roman" w:cs="Times New Roman"/>
          <w:lang w:eastAsia="de-DE"/>
        </w:rPr>
        <w:t xml:space="preserve">als göttliches Subjekt richtet sich </w:t>
      </w:r>
      <w:r w:rsidRPr="00F75E3B">
        <w:rPr>
          <w:rFonts w:eastAsia="Times New Roman" w:cs="Times New Roman"/>
          <w:b/>
          <w:bCs/>
          <w:rtl/>
          <w:lang w:eastAsia="de-DE"/>
        </w:rPr>
        <w:t>אל־משה</w:t>
      </w:r>
      <w:r w:rsidRPr="00F75E3B">
        <w:rPr>
          <w:rFonts w:eastAsia="Times New Roman" w:cs="Times New Roman"/>
          <w:rtl/>
          <w:lang w:eastAsia="de-DE"/>
        </w:rPr>
        <w:t xml:space="preserve"> </w:t>
      </w:r>
      <w:r w:rsidRPr="00F75E3B">
        <w:rPr>
          <w:rFonts w:eastAsia="Times New Roman" w:cs="Times New Roman"/>
          <w:lang w:eastAsia="de-DE"/>
        </w:rPr>
        <w:t xml:space="preserve">(zu Mosche) als alleinigem Empfänger. </w:t>
      </w:r>
      <w:r w:rsidRPr="00F75E3B">
        <w:rPr>
          <w:rFonts w:eastAsia="Times New Roman" w:cs="Times New Roman"/>
          <w:b/>
          <w:bCs/>
          <w:rtl/>
          <w:lang w:eastAsia="de-DE"/>
        </w:rPr>
        <w:t>לאמר</w:t>
      </w:r>
      <w:r w:rsidRPr="00F75E3B">
        <w:rPr>
          <w:rFonts w:eastAsia="Times New Roman" w:cs="Times New Roman"/>
          <w:rtl/>
          <w:lang w:eastAsia="de-DE"/>
        </w:rPr>
        <w:t xml:space="preserve"> </w:t>
      </w:r>
      <w:r w:rsidRPr="00F75E3B">
        <w:rPr>
          <w:rFonts w:eastAsia="Times New Roman" w:cs="Times New Roman"/>
          <w:lang w:eastAsia="de-DE"/>
        </w:rPr>
        <w:t>(sagend) leitet die direkte göttliche Rede ein.</w:t>
      </w:r>
    </w:p>
    <w:p w14:paraId="343EAF4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 Rückkehr zur einfachen Mose-Adressierung nach der Doppel-Adressierung in 11,1 zeigt einen neuen thematischen Abschnitt. Das Fehlen Aarons als Mitempfänger deutet auf eine weniger kultisch-technische, mehr allgemein-gesetzliche Materie hin.</w:t>
      </w:r>
    </w:p>
    <w:p w14:paraId="63D7CF3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וידבר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ἐλάλησεν</w:t>
      </w:r>
      <w:proofErr w:type="spellEnd"/>
      <w:r w:rsidRPr="00F75E3B">
        <w:rPr>
          <w:rFonts w:eastAsia="Times New Roman" w:cs="Times New Roman"/>
          <w:lang w:eastAsia="de-DE"/>
        </w:rPr>
        <w:t xml:space="preserve"> (er sprach), </w:t>
      </w:r>
      <w:r w:rsidRPr="00F75E3B">
        <w:rPr>
          <w:rFonts w:eastAsia="Times New Roman" w:cs="Times New Roman"/>
          <w:b/>
          <w:bCs/>
          <w:rtl/>
          <w:lang w:eastAsia="de-DE"/>
        </w:rPr>
        <w:t>אל־משה</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ρὸς</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Μωυσῆν</w:t>
      </w:r>
      <w:proofErr w:type="spellEnd"/>
      <w:r w:rsidRPr="00F75E3B">
        <w:rPr>
          <w:rFonts w:eastAsia="Times New Roman" w:cs="Times New Roman"/>
          <w:lang w:eastAsia="de-DE"/>
        </w:rPr>
        <w:t xml:space="preserve"> (zu Mosche) und </w:t>
      </w:r>
      <w:r w:rsidRPr="00F75E3B">
        <w:rPr>
          <w:rFonts w:eastAsia="Times New Roman" w:cs="Times New Roman"/>
          <w:b/>
          <w:bCs/>
          <w:rtl/>
          <w:lang w:eastAsia="de-DE"/>
        </w:rPr>
        <w:t>לאמר</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λέγων</w:t>
      </w:r>
      <w:proofErr w:type="spellEnd"/>
      <w:r w:rsidRPr="00F75E3B">
        <w:rPr>
          <w:rFonts w:eastAsia="Times New Roman" w:cs="Times New Roman"/>
          <w:lang w:eastAsia="de-DE"/>
        </w:rPr>
        <w:t xml:space="preserve"> (sagend).</w:t>
      </w:r>
    </w:p>
    <w:p w14:paraId="69369F8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Die Satzstruktur:</w:t>
      </w:r>
      <w:r w:rsidRPr="00F75E3B">
        <w:rPr>
          <w:rFonts w:eastAsia="Times New Roman" w:cs="Times New Roman"/>
          <w:lang w:eastAsia="de-DE"/>
        </w:rPr>
        <w:t xml:space="preserve"> zeigt die klassische Offenbarungsformel: Verb + göttliches Subjekt + Empfänger + Redeeinleitung. Die Struktur markiert einen neuen Gesetzesabschnitt.</w:t>
      </w:r>
    </w:p>
    <w:p w14:paraId="6F927FE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 Einleitungsformel leitet ein neues Thema ein: Unreinheit und Reinigung nach Geburt.</w:t>
      </w:r>
    </w:p>
    <w:p w14:paraId="6242229A"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12,2</w:t>
      </w:r>
    </w:p>
    <w:p w14:paraId="1E364BA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דַּבֵּ֞ר אֶל־בְּנֵ֤י יִשְׂרָאֵל֙ לֵאמֹ֔ר אִשָּׁה֙ כִּ֣י תַזְרִ֔יעַ וְיָלְדָ֖ה זָכָ֑ר וְטָֽמְאָה֙ שִׁבְעַ֣ת יָמִ֔ים כִּימֵ֛י נִדַּ֥ת דְּוֹתָ֖הּ תִּטְמָֽא׃</w:t>
      </w:r>
    </w:p>
    <w:p w14:paraId="240234F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Rede zu den Söhnen Israels: Eine Frau, wenn sie empfängt und einen Männlichen gebiert, so ist sie sieben Tage unrein; wie in den Tagen der Unreinheit ihrer Kränkung ist sie unrein.</w:t>
      </w:r>
    </w:p>
    <w:p w14:paraId="03B6D102"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01BCDC8">
          <v:rect id="_x0000_i1325" style="width:0;height:1.5pt" o:hralign="center" o:hrstd="t" o:hr="t" fillcolor="#a0a0a0" stroked="f"/>
        </w:pict>
      </w:r>
    </w:p>
    <w:p w14:paraId="177CF51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דבר אל־בני ישראל לאמר</w:t>
      </w:r>
      <w:r w:rsidRPr="00F75E3B">
        <w:rPr>
          <w:rFonts w:eastAsia="Times New Roman" w:cs="Times New Roman"/>
          <w:rtl/>
          <w:lang w:eastAsia="de-DE"/>
        </w:rPr>
        <w:t xml:space="preserve"> </w:t>
      </w:r>
      <w:r w:rsidRPr="00F75E3B">
        <w:rPr>
          <w:rFonts w:eastAsia="Times New Roman" w:cs="Times New Roman"/>
          <w:lang w:eastAsia="de-DE"/>
        </w:rPr>
        <w:t xml:space="preserve">zeigt den Verkündigungsauftrag. </w:t>
      </w:r>
      <w:r w:rsidRPr="00F75E3B">
        <w:rPr>
          <w:rFonts w:eastAsia="Times New Roman" w:cs="Times New Roman"/>
          <w:b/>
          <w:bCs/>
          <w:rtl/>
          <w:lang w:eastAsia="de-DE"/>
        </w:rPr>
        <w:t>דבר</w:t>
      </w:r>
      <w:r w:rsidRPr="00F75E3B">
        <w:rPr>
          <w:rFonts w:eastAsia="Times New Roman" w:cs="Times New Roman"/>
          <w:rtl/>
          <w:lang w:eastAsia="de-DE"/>
        </w:rPr>
        <w:t xml:space="preserve"> </w:t>
      </w:r>
      <w:r w:rsidRPr="00F75E3B">
        <w:rPr>
          <w:rFonts w:eastAsia="Times New Roman" w:cs="Times New Roman"/>
          <w:lang w:eastAsia="de-DE"/>
        </w:rPr>
        <w:t xml:space="preserve">(rede) im Piel-Imperativ an Mosche gerichtet. </w:t>
      </w:r>
      <w:r w:rsidRPr="00F75E3B">
        <w:rPr>
          <w:rFonts w:eastAsia="Times New Roman" w:cs="Times New Roman"/>
          <w:b/>
          <w:bCs/>
          <w:rtl/>
          <w:lang w:eastAsia="de-DE"/>
        </w:rPr>
        <w:t>אל־בני ישראל</w:t>
      </w:r>
      <w:r w:rsidRPr="00F75E3B">
        <w:rPr>
          <w:rFonts w:eastAsia="Times New Roman" w:cs="Times New Roman"/>
          <w:rtl/>
          <w:lang w:eastAsia="de-DE"/>
        </w:rPr>
        <w:t xml:space="preserve"> </w:t>
      </w:r>
      <w:r w:rsidRPr="00F75E3B">
        <w:rPr>
          <w:rFonts w:eastAsia="Times New Roman" w:cs="Times New Roman"/>
          <w:lang w:eastAsia="de-DE"/>
        </w:rPr>
        <w:t xml:space="preserve">(zu den Söhnen Israels) erweitert die Botschaft auf das ganze Volk. </w:t>
      </w:r>
      <w:r w:rsidRPr="00F75E3B">
        <w:rPr>
          <w:rFonts w:eastAsia="Times New Roman" w:cs="Times New Roman"/>
          <w:b/>
          <w:bCs/>
          <w:rtl/>
          <w:lang w:eastAsia="de-DE"/>
        </w:rPr>
        <w:t>לאמר</w:t>
      </w:r>
      <w:r w:rsidRPr="00F75E3B">
        <w:rPr>
          <w:rFonts w:eastAsia="Times New Roman" w:cs="Times New Roman"/>
          <w:rtl/>
          <w:lang w:eastAsia="de-DE"/>
        </w:rPr>
        <w:t xml:space="preserve"> </w:t>
      </w:r>
      <w:r w:rsidRPr="00F75E3B">
        <w:rPr>
          <w:rFonts w:eastAsia="Times New Roman" w:cs="Times New Roman"/>
          <w:lang w:eastAsia="de-DE"/>
        </w:rPr>
        <w:t>(sagend) leitet den Inhalt ein.</w:t>
      </w:r>
    </w:p>
    <w:p w14:paraId="2FD287F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אשה כי תזריע וילדה זכר וטמאה שבעת ימים</w:t>
      </w:r>
      <w:r w:rsidRPr="00F75E3B">
        <w:rPr>
          <w:rFonts w:eastAsia="Times New Roman" w:cs="Times New Roman"/>
          <w:rtl/>
          <w:lang w:eastAsia="de-DE"/>
        </w:rPr>
        <w:t xml:space="preserve"> </w:t>
      </w:r>
      <w:r w:rsidRPr="00F75E3B">
        <w:rPr>
          <w:rFonts w:eastAsia="Times New Roman" w:cs="Times New Roman"/>
          <w:lang w:eastAsia="de-DE"/>
        </w:rPr>
        <w:t xml:space="preserve">definiert den ersten Fall. </w:t>
      </w:r>
      <w:r w:rsidRPr="00F75E3B">
        <w:rPr>
          <w:rFonts w:eastAsia="Times New Roman" w:cs="Times New Roman"/>
          <w:b/>
          <w:bCs/>
          <w:rtl/>
          <w:lang w:eastAsia="de-DE"/>
        </w:rPr>
        <w:t>אשה</w:t>
      </w:r>
      <w:r w:rsidRPr="00F75E3B">
        <w:rPr>
          <w:rFonts w:eastAsia="Times New Roman" w:cs="Times New Roman"/>
          <w:rtl/>
          <w:lang w:eastAsia="de-DE"/>
        </w:rPr>
        <w:t xml:space="preserve"> </w:t>
      </w:r>
      <w:r w:rsidRPr="00F75E3B">
        <w:rPr>
          <w:rFonts w:eastAsia="Times New Roman" w:cs="Times New Roman"/>
          <w:lang w:eastAsia="de-DE"/>
        </w:rPr>
        <w:t xml:space="preserve">(eine Frau) als Subjekt. </w:t>
      </w:r>
      <w:r w:rsidRPr="00F75E3B">
        <w:rPr>
          <w:rFonts w:eastAsia="Times New Roman" w:cs="Times New Roman"/>
          <w:b/>
          <w:bCs/>
          <w:rtl/>
          <w:lang w:eastAsia="de-DE"/>
        </w:rPr>
        <w:t>כי תזריע</w:t>
      </w:r>
      <w:r w:rsidRPr="00F75E3B">
        <w:rPr>
          <w:rFonts w:eastAsia="Times New Roman" w:cs="Times New Roman"/>
          <w:rtl/>
          <w:lang w:eastAsia="de-DE"/>
        </w:rPr>
        <w:t xml:space="preserve"> </w:t>
      </w:r>
      <w:r w:rsidRPr="00F75E3B">
        <w:rPr>
          <w:rFonts w:eastAsia="Times New Roman" w:cs="Times New Roman"/>
          <w:lang w:eastAsia="de-DE"/>
        </w:rPr>
        <w:t xml:space="preserve">(wenn sie empfängt) - </w:t>
      </w:r>
      <w:r w:rsidRPr="00F75E3B">
        <w:rPr>
          <w:rFonts w:eastAsia="Times New Roman" w:cs="Times New Roman"/>
          <w:b/>
          <w:bCs/>
          <w:rtl/>
          <w:lang w:eastAsia="de-DE"/>
        </w:rPr>
        <w:t>זרע</w:t>
      </w:r>
      <w:r w:rsidRPr="00F75E3B">
        <w:rPr>
          <w:rFonts w:eastAsia="Times New Roman" w:cs="Times New Roman"/>
          <w:rtl/>
          <w:lang w:eastAsia="de-DE"/>
        </w:rPr>
        <w:t xml:space="preserve"> </w:t>
      </w:r>
      <w:r w:rsidRPr="00F75E3B">
        <w:rPr>
          <w:rFonts w:eastAsia="Times New Roman" w:cs="Times New Roman"/>
          <w:lang w:eastAsia="de-DE"/>
        </w:rPr>
        <w:t xml:space="preserve">(säen/empfangen) im Hifil-Imperfekt mit </w:t>
      </w:r>
      <w:r w:rsidRPr="00F75E3B">
        <w:rPr>
          <w:rFonts w:eastAsia="Times New Roman" w:cs="Times New Roman"/>
          <w:b/>
          <w:bCs/>
          <w:rtl/>
          <w:lang w:eastAsia="de-DE"/>
        </w:rPr>
        <w:t>כי</w:t>
      </w:r>
      <w:r w:rsidRPr="00F75E3B">
        <w:rPr>
          <w:rFonts w:eastAsia="Times New Roman" w:cs="Times New Roman"/>
          <w:rtl/>
          <w:lang w:eastAsia="de-DE"/>
        </w:rPr>
        <w:t xml:space="preserve"> </w:t>
      </w:r>
      <w:r w:rsidRPr="00F75E3B">
        <w:rPr>
          <w:rFonts w:eastAsia="Times New Roman" w:cs="Times New Roman"/>
          <w:lang w:eastAsia="de-DE"/>
        </w:rPr>
        <w:t xml:space="preserve">als Konditionalspartikel. </w:t>
      </w:r>
      <w:r w:rsidRPr="00F75E3B">
        <w:rPr>
          <w:rFonts w:eastAsia="Times New Roman" w:cs="Times New Roman"/>
          <w:b/>
          <w:bCs/>
          <w:rtl/>
          <w:lang w:eastAsia="de-DE"/>
        </w:rPr>
        <w:t>וילדה זכר</w:t>
      </w:r>
      <w:r w:rsidRPr="00F75E3B">
        <w:rPr>
          <w:rFonts w:eastAsia="Times New Roman" w:cs="Times New Roman"/>
          <w:rtl/>
          <w:lang w:eastAsia="de-DE"/>
        </w:rPr>
        <w:t xml:space="preserve"> </w:t>
      </w:r>
      <w:r w:rsidRPr="00F75E3B">
        <w:rPr>
          <w:rFonts w:eastAsia="Times New Roman" w:cs="Times New Roman"/>
          <w:lang w:eastAsia="de-DE"/>
        </w:rPr>
        <w:t xml:space="preserve">(und sie gebiert einen Männlichen) - </w:t>
      </w:r>
      <w:r w:rsidRPr="00F75E3B">
        <w:rPr>
          <w:rFonts w:eastAsia="Times New Roman" w:cs="Times New Roman"/>
          <w:b/>
          <w:bCs/>
          <w:rtl/>
          <w:lang w:eastAsia="de-DE"/>
        </w:rPr>
        <w:t>ילד</w:t>
      </w:r>
      <w:r w:rsidRPr="00F75E3B">
        <w:rPr>
          <w:rFonts w:eastAsia="Times New Roman" w:cs="Times New Roman"/>
          <w:rtl/>
          <w:lang w:eastAsia="de-DE"/>
        </w:rPr>
        <w:t xml:space="preserve"> </w:t>
      </w:r>
      <w:r w:rsidRPr="00F75E3B">
        <w:rPr>
          <w:rFonts w:eastAsia="Times New Roman" w:cs="Times New Roman"/>
          <w:lang w:eastAsia="de-DE"/>
        </w:rPr>
        <w:t xml:space="preserve">(gebären) im Qal-Perfekt mit Waw-Konsekutiv, </w:t>
      </w:r>
      <w:r w:rsidRPr="00F75E3B">
        <w:rPr>
          <w:rFonts w:eastAsia="Times New Roman" w:cs="Times New Roman"/>
          <w:b/>
          <w:bCs/>
          <w:rtl/>
          <w:lang w:eastAsia="de-DE"/>
        </w:rPr>
        <w:t>זכר</w:t>
      </w:r>
      <w:r w:rsidRPr="00F75E3B">
        <w:rPr>
          <w:rFonts w:eastAsia="Times New Roman" w:cs="Times New Roman"/>
          <w:rtl/>
          <w:lang w:eastAsia="de-DE"/>
        </w:rPr>
        <w:t xml:space="preserve"> </w:t>
      </w:r>
      <w:r w:rsidRPr="00F75E3B">
        <w:rPr>
          <w:rFonts w:eastAsia="Times New Roman" w:cs="Times New Roman"/>
          <w:lang w:eastAsia="de-DE"/>
        </w:rPr>
        <w:t xml:space="preserve">(Männlicher/Junge) als direktes Objekt. </w:t>
      </w:r>
      <w:r w:rsidRPr="00F75E3B">
        <w:rPr>
          <w:rFonts w:eastAsia="Times New Roman" w:cs="Times New Roman"/>
          <w:b/>
          <w:bCs/>
          <w:rtl/>
          <w:lang w:eastAsia="de-DE"/>
        </w:rPr>
        <w:t>וטמאה שבעת ימים</w:t>
      </w:r>
      <w:r w:rsidRPr="00F75E3B">
        <w:rPr>
          <w:rFonts w:eastAsia="Times New Roman" w:cs="Times New Roman"/>
          <w:rtl/>
          <w:lang w:eastAsia="de-DE"/>
        </w:rPr>
        <w:t xml:space="preserve"> </w:t>
      </w:r>
      <w:r w:rsidRPr="00F75E3B">
        <w:rPr>
          <w:rFonts w:eastAsia="Times New Roman" w:cs="Times New Roman"/>
          <w:lang w:eastAsia="de-DE"/>
        </w:rPr>
        <w:t xml:space="preserve">(und sie ist unrein sieben Tage) - </w:t>
      </w:r>
      <w:r w:rsidRPr="00F75E3B">
        <w:rPr>
          <w:rFonts w:eastAsia="Times New Roman" w:cs="Times New Roman"/>
          <w:b/>
          <w:bCs/>
          <w:rtl/>
          <w:lang w:eastAsia="de-DE"/>
        </w:rPr>
        <w:t>טמא</w:t>
      </w:r>
      <w:r w:rsidRPr="00F75E3B">
        <w:rPr>
          <w:rFonts w:eastAsia="Times New Roman" w:cs="Times New Roman"/>
          <w:rtl/>
          <w:lang w:eastAsia="de-DE"/>
        </w:rPr>
        <w:t xml:space="preserve"> </w:t>
      </w:r>
      <w:r w:rsidRPr="00F75E3B">
        <w:rPr>
          <w:rFonts w:eastAsia="Times New Roman" w:cs="Times New Roman"/>
          <w:lang w:eastAsia="de-DE"/>
        </w:rPr>
        <w:t>als Adjektiv feminin mit Zeitangabe.</w:t>
      </w:r>
    </w:p>
    <w:p w14:paraId="3AB79D3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כימי נדת דותה תטמא</w:t>
      </w:r>
      <w:r w:rsidRPr="00F75E3B">
        <w:rPr>
          <w:rFonts w:eastAsia="Times New Roman" w:cs="Times New Roman"/>
          <w:rtl/>
          <w:lang w:eastAsia="de-DE"/>
        </w:rPr>
        <w:t xml:space="preserve"> </w:t>
      </w:r>
      <w:r w:rsidRPr="00F75E3B">
        <w:rPr>
          <w:rFonts w:eastAsia="Times New Roman" w:cs="Times New Roman"/>
          <w:lang w:eastAsia="de-DE"/>
        </w:rPr>
        <w:t xml:space="preserve">zeigt den Vergleichsmaßstab. </w:t>
      </w:r>
      <w:r w:rsidRPr="00F75E3B">
        <w:rPr>
          <w:rFonts w:eastAsia="Times New Roman" w:cs="Times New Roman"/>
          <w:b/>
          <w:bCs/>
          <w:rtl/>
          <w:lang w:eastAsia="de-DE"/>
        </w:rPr>
        <w:t>כימי נדת דותה</w:t>
      </w:r>
      <w:r w:rsidRPr="00F75E3B">
        <w:rPr>
          <w:rFonts w:eastAsia="Times New Roman" w:cs="Times New Roman"/>
          <w:rtl/>
          <w:lang w:eastAsia="de-DE"/>
        </w:rPr>
        <w:t xml:space="preserve"> </w:t>
      </w:r>
      <w:r w:rsidRPr="00F75E3B">
        <w:rPr>
          <w:rFonts w:eastAsia="Times New Roman" w:cs="Times New Roman"/>
          <w:lang w:eastAsia="de-DE"/>
        </w:rPr>
        <w:t xml:space="preserve">(wie in den Tagen der Unreinheit ihrer Kränkung) - </w:t>
      </w:r>
      <w:r w:rsidRPr="00F75E3B">
        <w:rPr>
          <w:rFonts w:eastAsia="Times New Roman" w:cs="Times New Roman"/>
          <w:b/>
          <w:bCs/>
          <w:rtl/>
          <w:lang w:eastAsia="de-DE"/>
        </w:rPr>
        <w:t>נדה</w:t>
      </w:r>
      <w:r w:rsidRPr="00F75E3B">
        <w:rPr>
          <w:rFonts w:eastAsia="Times New Roman" w:cs="Times New Roman"/>
          <w:rtl/>
          <w:lang w:eastAsia="de-DE"/>
        </w:rPr>
        <w:t xml:space="preserve"> </w:t>
      </w:r>
      <w:r w:rsidRPr="00F75E3B">
        <w:rPr>
          <w:rFonts w:eastAsia="Times New Roman" w:cs="Times New Roman"/>
          <w:lang w:eastAsia="de-DE"/>
        </w:rPr>
        <w:t xml:space="preserve">(Unreinheit/Menstruation) mit </w:t>
      </w:r>
      <w:r w:rsidRPr="00F75E3B">
        <w:rPr>
          <w:rFonts w:eastAsia="Times New Roman" w:cs="Times New Roman"/>
          <w:b/>
          <w:bCs/>
          <w:rtl/>
          <w:lang w:eastAsia="de-DE"/>
        </w:rPr>
        <w:t>דוה</w:t>
      </w:r>
      <w:r w:rsidRPr="00F75E3B">
        <w:rPr>
          <w:rFonts w:eastAsia="Times New Roman" w:cs="Times New Roman"/>
          <w:rtl/>
          <w:lang w:eastAsia="de-DE"/>
        </w:rPr>
        <w:t xml:space="preserve"> </w:t>
      </w:r>
      <w:r w:rsidRPr="00F75E3B">
        <w:rPr>
          <w:rFonts w:eastAsia="Times New Roman" w:cs="Times New Roman"/>
          <w:lang w:eastAsia="de-DE"/>
        </w:rPr>
        <w:t xml:space="preserve">(Kränkung/Krankheit) als Genitivkonstruktion. </w:t>
      </w:r>
      <w:r w:rsidRPr="00F75E3B">
        <w:rPr>
          <w:rFonts w:eastAsia="Times New Roman" w:cs="Times New Roman"/>
          <w:b/>
          <w:bCs/>
          <w:rtl/>
          <w:lang w:eastAsia="de-DE"/>
        </w:rPr>
        <w:t>תטמא</w:t>
      </w:r>
      <w:r w:rsidRPr="00F75E3B">
        <w:rPr>
          <w:rFonts w:eastAsia="Times New Roman" w:cs="Times New Roman"/>
          <w:rtl/>
          <w:lang w:eastAsia="de-DE"/>
        </w:rPr>
        <w:t xml:space="preserve"> </w:t>
      </w:r>
      <w:r w:rsidRPr="00F75E3B">
        <w:rPr>
          <w:rFonts w:eastAsia="Times New Roman" w:cs="Times New Roman"/>
          <w:lang w:eastAsia="de-DE"/>
        </w:rPr>
        <w:t>(sie ist unrein) im Qal-Imperfekt bekräftigt den Zustand.</w:t>
      </w:r>
    </w:p>
    <w:p w14:paraId="311762E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תזריע</w:t>
      </w:r>
      <w:r w:rsidRPr="00F75E3B">
        <w:rPr>
          <w:rFonts w:eastAsia="Times New Roman" w:cs="Times New Roman"/>
          <w:rtl/>
          <w:lang w:eastAsia="de-DE"/>
        </w:rPr>
        <w:t xml:space="preserve"> </w:t>
      </w:r>
      <w:r w:rsidRPr="00F75E3B">
        <w:rPr>
          <w:rFonts w:eastAsia="Times New Roman" w:cs="Times New Roman"/>
          <w:lang w:eastAsia="de-DE"/>
        </w:rPr>
        <w:t xml:space="preserve">zeigt Empfängnis, </w:t>
      </w:r>
      <w:r w:rsidRPr="00F75E3B">
        <w:rPr>
          <w:rFonts w:eastAsia="Times New Roman" w:cs="Times New Roman"/>
          <w:b/>
          <w:bCs/>
          <w:rtl/>
          <w:lang w:eastAsia="de-DE"/>
        </w:rPr>
        <w:t>וילדה</w:t>
      </w:r>
      <w:r w:rsidRPr="00F75E3B">
        <w:rPr>
          <w:rFonts w:eastAsia="Times New Roman" w:cs="Times New Roman"/>
          <w:rtl/>
          <w:lang w:eastAsia="de-DE"/>
        </w:rPr>
        <w:t xml:space="preserve"> </w:t>
      </w:r>
      <w:r w:rsidRPr="00F75E3B">
        <w:rPr>
          <w:rFonts w:eastAsia="Times New Roman" w:cs="Times New Roman"/>
          <w:lang w:eastAsia="de-DE"/>
        </w:rPr>
        <w:t xml:space="preserve">die Geburt als zusammengehörigen Prozess. </w:t>
      </w:r>
      <w:r w:rsidRPr="00F75E3B">
        <w:rPr>
          <w:rFonts w:eastAsia="Times New Roman" w:cs="Times New Roman"/>
          <w:b/>
          <w:bCs/>
          <w:rtl/>
          <w:lang w:eastAsia="de-DE"/>
        </w:rPr>
        <w:t>שבעת ימים</w:t>
      </w:r>
      <w:r w:rsidRPr="00F75E3B">
        <w:rPr>
          <w:rFonts w:eastAsia="Times New Roman" w:cs="Times New Roman"/>
          <w:rtl/>
          <w:lang w:eastAsia="de-DE"/>
        </w:rPr>
        <w:t xml:space="preserve"> </w:t>
      </w:r>
      <w:r w:rsidRPr="00F75E3B">
        <w:rPr>
          <w:rFonts w:eastAsia="Times New Roman" w:cs="Times New Roman"/>
          <w:lang w:eastAsia="de-DE"/>
        </w:rPr>
        <w:t xml:space="preserve">als erste Unreinheitsperiode. </w:t>
      </w:r>
      <w:r w:rsidRPr="00F75E3B">
        <w:rPr>
          <w:rFonts w:eastAsia="Times New Roman" w:cs="Times New Roman"/>
          <w:b/>
          <w:bCs/>
          <w:rtl/>
          <w:lang w:eastAsia="de-DE"/>
        </w:rPr>
        <w:t>נדת דותה</w:t>
      </w:r>
      <w:r w:rsidRPr="00F75E3B">
        <w:rPr>
          <w:rFonts w:eastAsia="Times New Roman" w:cs="Times New Roman"/>
          <w:rtl/>
          <w:lang w:eastAsia="de-DE"/>
        </w:rPr>
        <w:t xml:space="preserve"> </w:t>
      </w:r>
      <w:r w:rsidRPr="00F75E3B">
        <w:rPr>
          <w:rFonts w:eastAsia="Times New Roman" w:cs="Times New Roman"/>
          <w:lang w:eastAsia="de-DE"/>
        </w:rPr>
        <w:t>referenziert die bekannten Menstruationsgesetze als Vergleichsmaßstab.</w:t>
      </w:r>
    </w:p>
    <w:p w14:paraId="693A37E5" w14:textId="47F573F9"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כי תזריע</w:t>
      </w:r>
      <w:r w:rsidR="007660B2">
        <w:t xml:space="preserve"> (ki </w:t>
      </w:r>
      <w:proofErr w:type="spellStart"/>
      <w:r w:rsidR="007660B2">
        <w:t>tazria</w:t>
      </w:r>
      <w:proofErr w:type="spellEnd"/>
      <w:r w:rsidR="007660B2">
        <w:t xml:space="preserve"> - "wenn sie schwanger wird/empfängt") als </w:t>
      </w:r>
      <w:proofErr w:type="spellStart"/>
      <w:r w:rsidR="007660B2">
        <w:t>ἥτις</w:t>
      </w:r>
      <w:proofErr w:type="spellEnd"/>
      <w:r w:rsidR="007660B2">
        <w:t xml:space="preserve"> </w:t>
      </w:r>
      <w:proofErr w:type="spellStart"/>
      <w:r w:rsidR="007660B2">
        <w:t>ἂν</w:t>
      </w:r>
      <w:proofErr w:type="spellEnd"/>
      <w:r w:rsidR="007660B2">
        <w:t xml:space="preserve"> σπ</w:t>
      </w:r>
      <w:proofErr w:type="spellStart"/>
      <w:r w:rsidR="007660B2">
        <w:t>ερμ</w:t>
      </w:r>
      <w:proofErr w:type="spellEnd"/>
      <w:r w:rsidR="007660B2">
        <w:t xml:space="preserve">ατισθῇ (die befruchtet wird), was eine passivere und medizinisch präzisere Ausdrucksweise verwendet. Das hebräische </w:t>
      </w:r>
      <w:r w:rsidR="007660B2">
        <w:rPr>
          <w:rtl/>
        </w:rPr>
        <w:t>נדת דותה</w:t>
      </w:r>
      <w:r w:rsidR="007660B2">
        <w:t xml:space="preserve"> (</w:t>
      </w:r>
      <w:proofErr w:type="spellStart"/>
      <w:r w:rsidR="007660B2">
        <w:t>niddat</w:t>
      </w:r>
      <w:proofErr w:type="spellEnd"/>
      <w:r w:rsidR="007660B2">
        <w:t xml:space="preserve"> </w:t>
      </w:r>
      <w:proofErr w:type="spellStart"/>
      <w:r w:rsidR="007660B2">
        <w:t>devatah</w:t>
      </w:r>
      <w:proofErr w:type="spellEnd"/>
      <w:r w:rsidR="007660B2">
        <w:t xml:space="preserve"> - "Unreinheit ihrer Krankheit/Menstruation") wird als </w:t>
      </w:r>
      <w:proofErr w:type="spellStart"/>
      <w:r w:rsidR="007660B2">
        <w:t>χωρισμοῦ</w:t>
      </w:r>
      <w:proofErr w:type="spellEnd"/>
      <w:r w:rsidR="007660B2">
        <w:t xml:space="preserve"> </w:t>
      </w:r>
      <w:proofErr w:type="spellStart"/>
      <w:r w:rsidR="007660B2">
        <w:t>τῆς</w:t>
      </w:r>
      <w:proofErr w:type="spellEnd"/>
      <w:r w:rsidR="007660B2">
        <w:t xml:space="preserve"> </w:t>
      </w:r>
      <w:proofErr w:type="spellStart"/>
      <w:r w:rsidR="007660B2">
        <w:t>ἀφέδρου</w:t>
      </w:r>
      <w:proofErr w:type="spellEnd"/>
      <w:r w:rsidR="007660B2">
        <w:t xml:space="preserve"> (Absonderung der monatlichen Regel) wiedergegeben.</w:t>
      </w:r>
    </w:p>
    <w:p w14:paraId="797F2F5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Verkündigungsauftrag plus Regelung: Imperativ + Adressat + Konditionalsatz mit Empfängnis und Geburt + Unreinheitsdauer + Vergleichsmaßstab. Die Struktur etabliert das System der Geburtsunreinheit.</w:t>
      </w:r>
    </w:p>
    <w:p w14:paraId="1F47428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etabliert die siebentägige Unreinheitsperiode für Frauen nach der Geburt eines Jungen, vergleichbar der Menstruationsunreinheit.</w:t>
      </w:r>
    </w:p>
    <w:p w14:paraId="0BD09BC0"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12,3</w:t>
      </w:r>
    </w:p>
    <w:p w14:paraId="5CF3D2A4"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וּבַיּ֖וֹם הַשְּׁמִינִ֑י יִמּ֖וֹל בְּשַׂ֥ר עָרְלָתוֹ׃</w:t>
      </w:r>
    </w:p>
    <w:p w14:paraId="10E4B8C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Deutsch:</w:t>
      </w:r>
      <w:r w:rsidRPr="00F75E3B">
        <w:rPr>
          <w:rFonts w:eastAsia="Times New Roman" w:cs="Times New Roman"/>
          <w:lang w:eastAsia="de-DE"/>
        </w:rPr>
        <w:t xml:space="preserve"> Und am achten Tag soll das Fleisch seiner Vorhaut beschnitten werden.</w:t>
      </w:r>
    </w:p>
    <w:p w14:paraId="31911337"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35B2316C">
          <v:rect id="_x0000_i1326" style="width:0;height:1.5pt" o:hralign="center" o:hrstd="t" o:hr="t" fillcolor="#a0a0a0" stroked="f"/>
        </w:pict>
      </w:r>
    </w:p>
    <w:p w14:paraId="259B00E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וביום השמיני ימול בשר ערלתו</w:t>
      </w:r>
      <w:r w:rsidRPr="00F75E3B">
        <w:rPr>
          <w:rFonts w:eastAsia="Times New Roman" w:cs="Times New Roman"/>
          <w:rtl/>
          <w:lang w:eastAsia="de-DE"/>
        </w:rPr>
        <w:t xml:space="preserve"> </w:t>
      </w:r>
      <w:r w:rsidRPr="00F75E3B">
        <w:rPr>
          <w:rFonts w:eastAsia="Times New Roman" w:cs="Times New Roman"/>
          <w:lang w:eastAsia="de-DE"/>
        </w:rPr>
        <w:t xml:space="preserve">regelt die Beschneidung des neugeborenen Jungen. </w:t>
      </w:r>
      <w:r w:rsidRPr="00F75E3B">
        <w:rPr>
          <w:rFonts w:eastAsia="Times New Roman" w:cs="Times New Roman"/>
          <w:b/>
          <w:bCs/>
          <w:rtl/>
          <w:lang w:eastAsia="de-DE"/>
        </w:rPr>
        <w:t>וביום השמיני</w:t>
      </w:r>
      <w:r w:rsidRPr="00F75E3B">
        <w:rPr>
          <w:rFonts w:eastAsia="Times New Roman" w:cs="Times New Roman"/>
          <w:rtl/>
          <w:lang w:eastAsia="de-DE"/>
        </w:rPr>
        <w:t xml:space="preserve"> </w:t>
      </w:r>
      <w:r w:rsidRPr="00F75E3B">
        <w:rPr>
          <w:rFonts w:eastAsia="Times New Roman" w:cs="Times New Roman"/>
          <w:lang w:eastAsia="de-DE"/>
        </w:rPr>
        <w:t xml:space="preserve">(und am achten Tag) mit </w:t>
      </w:r>
      <w:r w:rsidRPr="00F75E3B">
        <w:rPr>
          <w:rFonts w:eastAsia="Times New Roman" w:cs="Times New Roman"/>
          <w:b/>
          <w:bCs/>
          <w:rtl/>
          <w:lang w:eastAsia="de-DE"/>
        </w:rPr>
        <w:t>ביום</w:t>
      </w:r>
      <w:r w:rsidRPr="00F75E3B">
        <w:rPr>
          <w:rFonts w:eastAsia="Times New Roman" w:cs="Times New Roman"/>
          <w:rtl/>
          <w:lang w:eastAsia="de-DE"/>
        </w:rPr>
        <w:t xml:space="preserve"> </w:t>
      </w:r>
      <w:r w:rsidRPr="00F75E3B">
        <w:rPr>
          <w:rFonts w:eastAsia="Times New Roman" w:cs="Times New Roman"/>
          <w:lang w:eastAsia="de-DE"/>
        </w:rPr>
        <w:t xml:space="preserve">(am Tag) und Ordinalzahl </w:t>
      </w:r>
      <w:r w:rsidRPr="00F75E3B">
        <w:rPr>
          <w:rFonts w:eastAsia="Times New Roman" w:cs="Times New Roman"/>
          <w:b/>
          <w:bCs/>
          <w:rtl/>
          <w:lang w:eastAsia="de-DE"/>
        </w:rPr>
        <w:t>השמיני</w:t>
      </w:r>
      <w:r w:rsidRPr="00F75E3B">
        <w:rPr>
          <w:rFonts w:eastAsia="Times New Roman" w:cs="Times New Roman"/>
          <w:rtl/>
          <w:lang w:eastAsia="de-DE"/>
        </w:rPr>
        <w:t xml:space="preserve"> </w:t>
      </w:r>
      <w:r w:rsidRPr="00F75E3B">
        <w:rPr>
          <w:rFonts w:eastAsia="Times New Roman" w:cs="Times New Roman"/>
          <w:lang w:eastAsia="de-DE"/>
        </w:rPr>
        <w:t xml:space="preserve">(der achte). </w:t>
      </w:r>
      <w:r w:rsidRPr="00F75E3B">
        <w:rPr>
          <w:rFonts w:eastAsia="Times New Roman" w:cs="Times New Roman"/>
          <w:b/>
          <w:bCs/>
          <w:rtl/>
          <w:lang w:eastAsia="de-DE"/>
        </w:rPr>
        <w:t>ימול</w:t>
      </w:r>
      <w:r w:rsidRPr="00F75E3B">
        <w:rPr>
          <w:rFonts w:eastAsia="Times New Roman" w:cs="Times New Roman"/>
          <w:rtl/>
          <w:lang w:eastAsia="de-DE"/>
        </w:rPr>
        <w:t xml:space="preserve"> </w:t>
      </w:r>
      <w:r w:rsidRPr="00F75E3B">
        <w:rPr>
          <w:rFonts w:eastAsia="Times New Roman" w:cs="Times New Roman"/>
          <w:lang w:eastAsia="de-DE"/>
        </w:rPr>
        <w:t xml:space="preserve">(soll beschnitten werden) - </w:t>
      </w:r>
      <w:r w:rsidRPr="00F75E3B">
        <w:rPr>
          <w:rFonts w:eastAsia="Times New Roman" w:cs="Times New Roman"/>
          <w:b/>
          <w:bCs/>
          <w:rtl/>
          <w:lang w:eastAsia="de-DE"/>
        </w:rPr>
        <w:t>מול</w:t>
      </w:r>
      <w:r w:rsidRPr="00F75E3B">
        <w:rPr>
          <w:rFonts w:eastAsia="Times New Roman" w:cs="Times New Roman"/>
          <w:rtl/>
          <w:lang w:eastAsia="de-DE"/>
        </w:rPr>
        <w:t xml:space="preserve"> </w:t>
      </w:r>
      <w:r w:rsidRPr="00F75E3B">
        <w:rPr>
          <w:rFonts w:eastAsia="Times New Roman" w:cs="Times New Roman"/>
          <w:lang w:eastAsia="de-DE"/>
        </w:rPr>
        <w:t xml:space="preserve">(beschneiden) im Nifal-Imperfekt 3. Person maskulin Singular. </w:t>
      </w:r>
      <w:r w:rsidRPr="00F75E3B">
        <w:rPr>
          <w:rFonts w:eastAsia="Times New Roman" w:cs="Times New Roman"/>
          <w:b/>
          <w:bCs/>
          <w:rtl/>
          <w:lang w:eastAsia="de-DE"/>
        </w:rPr>
        <w:t>בשר ערלתו</w:t>
      </w:r>
      <w:r w:rsidRPr="00F75E3B">
        <w:rPr>
          <w:rFonts w:eastAsia="Times New Roman" w:cs="Times New Roman"/>
          <w:rtl/>
          <w:lang w:eastAsia="de-DE"/>
        </w:rPr>
        <w:t xml:space="preserve"> </w:t>
      </w:r>
      <w:r w:rsidRPr="00F75E3B">
        <w:rPr>
          <w:rFonts w:eastAsia="Times New Roman" w:cs="Times New Roman"/>
          <w:lang w:eastAsia="de-DE"/>
        </w:rPr>
        <w:t xml:space="preserve">(das Fleisch seiner Vorhaut) - </w:t>
      </w:r>
      <w:r w:rsidRPr="00F75E3B">
        <w:rPr>
          <w:rFonts w:eastAsia="Times New Roman" w:cs="Times New Roman"/>
          <w:b/>
          <w:bCs/>
          <w:rtl/>
          <w:lang w:eastAsia="de-DE"/>
        </w:rPr>
        <w:t>בשר</w:t>
      </w:r>
      <w:r w:rsidRPr="00F75E3B">
        <w:rPr>
          <w:rFonts w:eastAsia="Times New Roman" w:cs="Times New Roman"/>
          <w:rtl/>
          <w:lang w:eastAsia="de-DE"/>
        </w:rPr>
        <w:t xml:space="preserve"> </w:t>
      </w:r>
      <w:r w:rsidRPr="00F75E3B">
        <w:rPr>
          <w:rFonts w:eastAsia="Times New Roman" w:cs="Times New Roman"/>
          <w:lang w:eastAsia="de-DE"/>
        </w:rPr>
        <w:t xml:space="preserve">(Fleisch) mit </w:t>
      </w:r>
      <w:r w:rsidRPr="00F75E3B">
        <w:rPr>
          <w:rFonts w:eastAsia="Times New Roman" w:cs="Times New Roman"/>
          <w:b/>
          <w:bCs/>
          <w:rtl/>
          <w:lang w:eastAsia="de-DE"/>
        </w:rPr>
        <w:t>ערלה</w:t>
      </w:r>
      <w:r w:rsidRPr="00F75E3B">
        <w:rPr>
          <w:rFonts w:eastAsia="Times New Roman" w:cs="Times New Roman"/>
          <w:rtl/>
          <w:lang w:eastAsia="de-DE"/>
        </w:rPr>
        <w:t xml:space="preserve"> </w:t>
      </w:r>
      <w:r w:rsidRPr="00F75E3B">
        <w:rPr>
          <w:rFonts w:eastAsia="Times New Roman" w:cs="Times New Roman"/>
          <w:lang w:eastAsia="de-DE"/>
        </w:rPr>
        <w:t>(Vorhaut) und Possessivsuffix 3. Person maskulin Singular.</w:t>
      </w:r>
    </w:p>
    <w:p w14:paraId="467F0C5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ביום השמיני</w:t>
      </w:r>
      <w:r w:rsidRPr="00F75E3B">
        <w:rPr>
          <w:rFonts w:eastAsia="Times New Roman" w:cs="Times New Roman"/>
          <w:rtl/>
          <w:lang w:eastAsia="de-DE"/>
        </w:rPr>
        <w:t xml:space="preserve"> </w:t>
      </w:r>
      <w:r w:rsidRPr="00F75E3B">
        <w:rPr>
          <w:rFonts w:eastAsia="Times New Roman" w:cs="Times New Roman"/>
          <w:lang w:eastAsia="de-DE"/>
        </w:rPr>
        <w:t xml:space="preserve">zeigt den Tag nach der siebentägigen Unreinheitsperiode. </w:t>
      </w:r>
      <w:r w:rsidRPr="00F75E3B">
        <w:rPr>
          <w:rFonts w:eastAsia="Times New Roman" w:cs="Times New Roman"/>
          <w:b/>
          <w:bCs/>
          <w:rtl/>
          <w:lang w:eastAsia="de-DE"/>
        </w:rPr>
        <w:t>ימול</w:t>
      </w:r>
      <w:r w:rsidRPr="00F75E3B">
        <w:rPr>
          <w:rFonts w:eastAsia="Times New Roman" w:cs="Times New Roman"/>
          <w:rtl/>
          <w:lang w:eastAsia="de-DE"/>
        </w:rPr>
        <w:t xml:space="preserve"> </w:t>
      </w:r>
      <w:r w:rsidRPr="00F75E3B">
        <w:rPr>
          <w:rFonts w:eastAsia="Times New Roman" w:cs="Times New Roman"/>
          <w:lang w:eastAsia="de-DE"/>
        </w:rPr>
        <w:t xml:space="preserve">im Nifal zeigt passivische Konstruktion - das Kind wird beschnitten. </w:t>
      </w:r>
      <w:r w:rsidRPr="00F75E3B">
        <w:rPr>
          <w:rFonts w:eastAsia="Times New Roman" w:cs="Times New Roman"/>
          <w:b/>
          <w:bCs/>
          <w:rtl/>
          <w:lang w:eastAsia="de-DE"/>
        </w:rPr>
        <w:t>בשר ערלתו</w:t>
      </w:r>
      <w:r w:rsidRPr="00F75E3B">
        <w:rPr>
          <w:rFonts w:eastAsia="Times New Roman" w:cs="Times New Roman"/>
          <w:rtl/>
          <w:lang w:eastAsia="de-DE"/>
        </w:rPr>
        <w:t xml:space="preserve"> </w:t>
      </w:r>
      <w:r w:rsidRPr="00F75E3B">
        <w:rPr>
          <w:rFonts w:eastAsia="Times New Roman" w:cs="Times New Roman"/>
          <w:lang w:eastAsia="de-DE"/>
        </w:rPr>
        <w:t>als anatomisch präzise Bezeichnung.</w:t>
      </w:r>
    </w:p>
    <w:p w14:paraId="13093EB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 Beschneidung am achten Tag erfolgt trotz der mütterlichen Unreinheit und zeigt die Wichtigkeit dieses Bundeszeichens. </w:t>
      </w:r>
      <w:r w:rsidRPr="00F75E3B">
        <w:rPr>
          <w:rFonts w:eastAsia="Times New Roman" w:cs="Times New Roman"/>
          <w:b/>
          <w:bCs/>
          <w:rtl/>
          <w:lang w:eastAsia="de-DE"/>
        </w:rPr>
        <w:t>השמיני</w:t>
      </w:r>
      <w:r w:rsidRPr="00F75E3B">
        <w:rPr>
          <w:rFonts w:eastAsia="Times New Roman" w:cs="Times New Roman"/>
          <w:rtl/>
          <w:lang w:eastAsia="de-DE"/>
        </w:rPr>
        <w:t xml:space="preserve"> </w:t>
      </w:r>
      <w:r w:rsidRPr="00F75E3B">
        <w:rPr>
          <w:rFonts w:eastAsia="Times New Roman" w:cs="Times New Roman"/>
          <w:lang w:eastAsia="de-DE"/>
        </w:rPr>
        <w:t>als fester Termin unabhängig von anderen Umständen.</w:t>
      </w:r>
    </w:p>
    <w:p w14:paraId="64B70B6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übersetzt </w:t>
      </w:r>
      <w:r w:rsidRPr="00F75E3B">
        <w:rPr>
          <w:rFonts w:eastAsia="Times New Roman" w:cs="Times New Roman"/>
          <w:b/>
          <w:bCs/>
          <w:rtl/>
          <w:lang w:eastAsia="de-DE"/>
        </w:rPr>
        <w:t>ביום השמיני</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τῇ</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ἡμέρᾳ</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τῇ</w:t>
      </w:r>
      <w:proofErr w:type="spellEnd"/>
      <w:r w:rsidRPr="00F75E3B">
        <w:rPr>
          <w:rFonts w:eastAsia="Times New Roman" w:cs="Times New Roman"/>
          <w:lang w:eastAsia="de-DE"/>
        </w:rPr>
        <w:t xml:space="preserve"> </w:t>
      </w:r>
      <w:proofErr w:type="spellStart"/>
      <w:r w:rsidRPr="00F75E3B">
        <w:rPr>
          <w:rFonts w:eastAsia="Times New Roman" w:cs="Times New Roman"/>
          <w:lang w:eastAsia="de-DE"/>
        </w:rPr>
        <w:t>ὀγδόῃ</w:t>
      </w:r>
      <w:proofErr w:type="spellEnd"/>
      <w:r w:rsidRPr="00F75E3B">
        <w:rPr>
          <w:rFonts w:eastAsia="Times New Roman" w:cs="Times New Roman"/>
          <w:lang w:eastAsia="de-DE"/>
        </w:rPr>
        <w:t xml:space="preserve"> (am achten Tag), </w:t>
      </w:r>
      <w:r w:rsidRPr="00F75E3B">
        <w:rPr>
          <w:rFonts w:eastAsia="Times New Roman" w:cs="Times New Roman"/>
          <w:b/>
          <w:bCs/>
          <w:rtl/>
          <w:lang w:eastAsia="de-DE"/>
        </w:rPr>
        <w:t>ימול</w:t>
      </w:r>
      <w:r w:rsidRPr="00F75E3B">
        <w:rPr>
          <w:rFonts w:eastAsia="Times New Roman" w:cs="Times New Roman"/>
          <w:rtl/>
          <w:lang w:eastAsia="de-DE"/>
        </w:rPr>
        <w:t xml:space="preserve"> </w:t>
      </w:r>
      <w:r w:rsidRPr="00F75E3B">
        <w:rPr>
          <w:rFonts w:eastAsia="Times New Roman" w:cs="Times New Roman"/>
          <w:lang w:eastAsia="de-DE"/>
        </w:rPr>
        <w:t>mit π</w:t>
      </w:r>
      <w:proofErr w:type="spellStart"/>
      <w:r w:rsidRPr="00F75E3B">
        <w:rPr>
          <w:rFonts w:eastAsia="Times New Roman" w:cs="Times New Roman"/>
          <w:lang w:eastAsia="de-DE"/>
        </w:rPr>
        <w:t>εριτμηθήσετ</w:t>
      </w:r>
      <w:proofErr w:type="spellEnd"/>
      <w:r w:rsidRPr="00F75E3B">
        <w:rPr>
          <w:rFonts w:eastAsia="Times New Roman" w:cs="Times New Roman"/>
          <w:lang w:eastAsia="de-DE"/>
        </w:rPr>
        <w:t xml:space="preserve">αι (wird beschnitten werden) und </w:t>
      </w:r>
      <w:r w:rsidRPr="00F75E3B">
        <w:rPr>
          <w:rFonts w:eastAsia="Times New Roman" w:cs="Times New Roman"/>
          <w:b/>
          <w:bCs/>
          <w:rtl/>
          <w:lang w:eastAsia="de-DE"/>
        </w:rPr>
        <w:t>ערלתו</w:t>
      </w:r>
      <w:r w:rsidRPr="00F75E3B">
        <w:rPr>
          <w:rFonts w:eastAsia="Times New Roman" w:cs="Times New Roman"/>
          <w:rtl/>
          <w:lang w:eastAsia="de-DE"/>
        </w:rPr>
        <w:t xml:space="preserve"> </w:t>
      </w:r>
      <w:r w:rsidRPr="00F75E3B">
        <w:rPr>
          <w:rFonts w:eastAsia="Times New Roman" w:cs="Times New Roman"/>
          <w:lang w:eastAsia="de-DE"/>
        </w:rPr>
        <w:t xml:space="preserve">mit </w:t>
      </w:r>
      <w:proofErr w:type="spellStart"/>
      <w:r w:rsidRPr="00F75E3B">
        <w:rPr>
          <w:rFonts w:eastAsia="Times New Roman" w:cs="Times New Roman"/>
          <w:lang w:eastAsia="de-DE"/>
        </w:rPr>
        <w:t>ἀκρο</w:t>
      </w:r>
      <w:proofErr w:type="spellEnd"/>
      <w:r w:rsidRPr="00F75E3B">
        <w:rPr>
          <w:rFonts w:eastAsia="Times New Roman" w:cs="Times New Roman"/>
          <w:lang w:eastAsia="de-DE"/>
        </w:rPr>
        <w:t>βυστίας α</w:t>
      </w:r>
      <w:proofErr w:type="spellStart"/>
      <w:r w:rsidRPr="00F75E3B">
        <w:rPr>
          <w:rFonts w:eastAsia="Times New Roman" w:cs="Times New Roman"/>
          <w:lang w:eastAsia="de-DE"/>
        </w:rPr>
        <w:t>ὐτοῦ</w:t>
      </w:r>
      <w:proofErr w:type="spellEnd"/>
      <w:r w:rsidRPr="00F75E3B">
        <w:rPr>
          <w:rFonts w:eastAsia="Times New Roman" w:cs="Times New Roman"/>
          <w:lang w:eastAsia="de-DE"/>
        </w:rPr>
        <w:t xml:space="preserve"> (seiner Vorhaut).</w:t>
      </w:r>
    </w:p>
    <w:p w14:paraId="5D3C6479"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präzise Zeitangabe plus Vorschrift: Zeitangabe + passivisches Verb + anatomisches Objekt. Die knappe Struktur betont die Klarheit der Anweisung.</w:t>
      </w:r>
    </w:p>
    <w:p w14:paraId="70E766CC"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regelt die Beschneidung männlicher Neugeborener am achten Tag als fundamentales Bundeszeichen.</w:t>
      </w:r>
    </w:p>
    <w:p w14:paraId="785F8F13"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12,4</w:t>
      </w:r>
    </w:p>
    <w:p w14:paraId="0500CC8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וּשְׁלֹשִׁ֥ים יוֹם֙ וּשְׁלֹ֣שֶׁת יָמִ֔ים תֵּשֵׁ֖ב בִּדְמֵ֣י טָהֳרָ֑ה בְּכָל־קֹ֣דֶשׁ לֹֽא־תִגָּ֗ע וְאֶל־הַמִּקְדָּשׁ֙ לֹ֣א תָבֹ֔א עַד־מְלֹ֖את יְמֵ֥י טָהֳרָֽהּ׃</w:t>
      </w:r>
    </w:p>
    <w:p w14:paraId="0AB438C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33 Tage soll sie in den Bluten der Reinigung bleiben; alles Heiliges soll sie nicht berühren, und zum Heiligtum soll sie nicht kommen, bis die Tage ihrer Reinigung erfüllt sind.</w:t>
      </w:r>
    </w:p>
    <w:p w14:paraId="3EF3184A"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101EC5D1">
          <v:rect id="_x0000_i1327" style="width:0;height:1.5pt" o:hralign="center" o:hrstd="t" o:hr="t" fillcolor="#a0a0a0" stroked="f"/>
        </w:pict>
      </w:r>
    </w:p>
    <w:p w14:paraId="0EF79B3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ושלשים יום ושלשת ימים תשב בדמי טהרה</w:t>
      </w:r>
      <w:r w:rsidRPr="00F75E3B">
        <w:rPr>
          <w:rFonts w:eastAsia="Times New Roman" w:cs="Times New Roman"/>
          <w:rtl/>
          <w:lang w:eastAsia="de-DE"/>
        </w:rPr>
        <w:t xml:space="preserve"> </w:t>
      </w:r>
      <w:r w:rsidRPr="00F75E3B">
        <w:rPr>
          <w:rFonts w:eastAsia="Times New Roman" w:cs="Times New Roman"/>
          <w:lang w:eastAsia="de-DE"/>
        </w:rPr>
        <w:t xml:space="preserve">zeigt die zweite Reinigungsphase. </w:t>
      </w:r>
      <w:r w:rsidRPr="00F75E3B">
        <w:rPr>
          <w:rFonts w:eastAsia="Times New Roman" w:cs="Times New Roman"/>
          <w:b/>
          <w:bCs/>
          <w:rtl/>
          <w:lang w:eastAsia="de-DE"/>
        </w:rPr>
        <w:t>ושלשים יום ושלשת ימים</w:t>
      </w:r>
      <w:r w:rsidRPr="00F75E3B">
        <w:rPr>
          <w:rFonts w:eastAsia="Times New Roman" w:cs="Times New Roman"/>
          <w:rtl/>
          <w:lang w:eastAsia="de-DE"/>
        </w:rPr>
        <w:t xml:space="preserve"> </w:t>
      </w:r>
      <w:r w:rsidRPr="00F75E3B">
        <w:rPr>
          <w:rFonts w:eastAsia="Times New Roman" w:cs="Times New Roman"/>
          <w:lang w:eastAsia="de-DE"/>
        </w:rPr>
        <w:t xml:space="preserve">(und dreißig Tage und drei Tage = 33 Tage) als additive Zeitangabe. </w:t>
      </w:r>
      <w:r w:rsidRPr="00F75E3B">
        <w:rPr>
          <w:rFonts w:eastAsia="Times New Roman" w:cs="Times New Roman"/>
          <w:b/>
          <w:bCs/>
          <w:rtl/>
          <w:lang w:eastAsia="de-DE"/>
        </w:rPr>
        <w:t>תשב</w:t>
      </w:r>
      <w:r w:rsidRPr="00F75E3B">
        <w:rPr>
          <w:rFonts w:eastAsia="Times New Roman" w:cs="Times New Roman"/>
          <w:rtl/>
          <w:lang w:eastAsia="de-DE"/>
        </w:rPr>
        <w:t xml:space="preserve"> </w:t>
      </w:r>
      <w:r w:rsidRPr="00F75E3B">
        <w:rPr>
          <w:rFonts w:eastAsia="Times New Roman" w:cs="Times New Roman"/>
          <w:lang w:eastAsia="de-DE"/>
        </w:rPr>
        <w:t xml:space="preserve">(sie soll bleiben/sitzen) im Qal-Imperfekt. </w:t>
      </w:r>
      <w:r w:rsidRPr="00F75E3B">
        <w:rPr>
          <w:rFonts w:eastAsia="Times New Roman" w:cs="Times New Roman"/>
          <w:b/>
          <w:bCs/>
          <w:rtl/>
          <w:lang w:eastAsia="de-DE"/>
        </w:rPr>
        <w:t>בדמי טהרה</w:t>
      </w:r>
      <w:r w:rsidRPr="00F75E3B">
        <w:rPr>
          <w:rFonts w:eastAsia="Times New Roman" w:cs="Times New Roman"/>
          <w:rtl/>
          <w:lang w:eastAsia="de-DE"/>
        </w:rPr>
        <w:t xml:space="preserve"> </w:t>
      </w:r>
      <w:r w:rsidRPr="00F75E3B">
        <w:rPr>
          <w:rFonts w:eastAsia="Times New Roman" w:cs="Times New Roman"/>
          <w:lang w:eastAsia="de-DE"/>
        </w:rPr>
        <w:t xml:space="preserve">(in den Bluten der Reinigung) - </w:t>
      </w:r>
      <w:r w:rsidRPr="00F75E3B">
        <w:rPr>
          <w:rFonts w:eastAsia="Times New Roman" w:cs="Times New Roman"/>
          <w:b/>
          <w:bCs/>
          <w:rtl/>
          <w:lang w:eastAsia="de-DE"/>
        </w:rPr>
        <w:t>דמי</w:t>
      </w:r>
      <w:r w:rsidRPr="00F75E3B">
        <w:rPr>
          <w:rFonts w:eastAsia="Times New Roman" w:cs="Times New Roman"/>
          <w:rtl/>
          <w:lang w:eastAsia="de-DE"/>
        </w:rPr>
        <w:t xml:space="preserve"> </w:t>
      </w:r>
      <w:r w:rsidRPr="00F75E3B">
        <w:rPr>
          <w:rFonts w:eastAsia="Times New Roman" w:cs="Times New Roman"/>
          <w:lang w:eastAsia="de-DE"/>
        </w:rPr>
        <w:t xml:space="preserve">(Blute) im Plural von </w:t>
      </w:r>
      <w:r w:rsidRPr="00F75E3B">
        <w:rPr>
          <w:rFonts w:eastAsia="Times New Roman" w:cs="Times New Roman"/>
          <w:b/>
          <w:bCs/>
          <w:rtl/>
          <w:lang w:eastAsia="de-DE"/>
        </w:rPr>
        <w:t>דם</w:t>
      </w:r>
      <w:r w:rsidRPr="00F75E3B">
        <w:rPr>
          <w:rFonts w:eastAsia="Times New Roman" w:cs="Times New Roman"/>
          <w:rtl/>
          <w:lang w:eastAsia="de-DE"/>
        </w:rPr>
        <w:t xml:space="preserve"> </w:t>
      </w:r>
      <w:r w:rsidRPr="00F75E3B">
        <w:rPr>
          <w:rFonts w:eastAsia="Times New Roman" w:cs="Times New Roman"/>
          <w:lang w:eastAsia="de-DE"/>
        </w:rPr>
        <w:t xml:space="preserve">mit </w:t>
      </w:r>
      <w:r w:rsidRPr="00F75E3B">
        <w:rPr>
          <w:rFonts w:eastAsia="Times New Roman" w:cs="Times New Roman"/>
          <w:b/>
          <w:bCs/>
          <w:rtl/>
          <w:lang w:eastAsia="de-DE"/>
        </w:rPr>
        <w:t>טהרה</w:t>
      </w:r>
      <w:r w:rsidRPr="00F75E3B">
        <w:rPr>
          <w:rFonts w:eastAsia="Times New Roman" w:cs="Times New Roman"/>
          <w:rtl/>
          <w:lang w:eastAsia="de-DE"/>
        </w:rPr>
        <w:t xml:space="preserve"> </w:t>
      </w:r>
      <w:r w:rsidRPr="00F75E3B">
        <w:rPr>
          <w:rFonts w:eastAsia="Times New Roman" w:cs="Times New Roman"/>
          <w:lang w:eastAsia="de-DE"/>
        </w:rPr>
        <w:t>(Reinigung) als Genitivkonstruktion.</w:t>
      </w:r>
    </w:p>
    <w:p w14:paraId="4C0B2A2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בכל־קדש לא־תגע ואל־המקדש לא תבא</w:t>
      </w:r>
      <w:r w:rsidRPr="00F75E3B">
        <w:rPr>
          <w:rFonts w:eastAsia="Times New Roman" w:cs="Times New Roman"/>
          <w:rtl/>
          <w:lang w:eastAsia="de-DE"/>
        </w:rPr>
        <w:t xml:space="preserve"> </w:t>
      </w:r>
      <w:r w:rsidRPr="00F75E3B">
        <w:rPr>
          <w:rFonts w:eastAsia="Times New Roman" w:cs="Times New Roman"/>
          <w:lang w:eastAsia="de-DE"/>
        </w:rPr>
        <w:t xml:space="preserve">zeigt die Beschränkungen. </w:t>
      </w:r>
      <w:r w:rsidRPr="00F75E3B">
        <w:rPr>
          <w:rFonts w:eastAsia="Times New Roman" w:cs="Times New Roman"/>
          <w:b/>
          <w:bCs/>
          <w:rtl/>
          <w:lang w:eastAsia="de-DE"/>
        </w:rPr>
        <w:t>בכל־קדש לא־תגע</w:t>
      </w:r>
      <w:r w:rsidRPr="00F75E3B">
        <w:rPr>
          <w:rFonts w:eastAsia="Times New Roman" w:cs="Times New Roman"/>
          <w:rtl/>
          <w:lang w:eastAsia="de-DE"/>
        </w:rPr>
        <w:t xml:space="preserve"> </w:t>
      </w:r>
      <w:r w:rsidRPr="00F75E3B">
        <w:rPr>
          <w:rFonts w:eastAsia="Times New Roman" w:cs="Times New Roman"/>
          <w:lang w:eastAsia="de-DE"/>
        </w:rPr>
        <w:t xml:space="preserve">(alles Heiliges soll sie nicht berühren) - </w:t>
      </w:r>
      <w:r w:rsidRPr="00F75E3B">
        <w:rPr>
          <w:rFonts w:eastAsia="Times New Roman" w:cs="Times New Roman"/>
          <w:b/>
          <w:bCs/>
          <w:rtl/>
          <w:lang w:eastAsia="de-DE"/>
        </w:rPr>
        <w:t>כל־קדש</w:t>
      </w:r>
      <w:r w:rsidRPr="00F75E3B">
        <w:rPr>
          <w:rFonts w:eastAsia="Times New Roman" w:cs="Times New Roman"/>
          <w:rtl/>
          <w:lang w:eastAsia="de-DE"/>
        </w:rPr>
        <w:t xml:space="preserve"> </w:t>
      </w:r>
      <w:r w:rsidRPr="00F75E3B">
        <w:rPr>
          <w:rFonts w:eastAsia="Times New Roman" w:cs="Times New Roman"/>
          <w:lang w:eastAsia="de-DE"/>
        </w:rPr>
        <w:t xml:space="preserve">(alles Heilige) mit Totalitätspartikel </w:t>
      </w:r>
      <w:r w:rsidRPr="00F75E3B">
        <w:rPr>
          <w:rFonts w:eastAsia="Times New Roman" w:cs="Times New Roman"/>
          <w:b/>
          <w:bCs/>
          <w:rtl/>
          <w:lang w:eastAsia="de-DE"/>
        </w:rPr>
        <w:t>כל</w:t>
      </w:r>
      <w:r w:rsidRPr="00F75E3B">
        <w:rPr>
          <w:rFonts w:eastAsia="Times New Roman" w:cs="Times New Roman"/>
          <w:lang w:eastAsia="de-DE"/>
        </w:rPr>
        <w:t xml:space="preserve">, </w:t>
      </w:r>
      <w:r w:rsidRPr="00F75E3B">
        <w:rPr>
          <w:rFonts w:eastAsia="Times New Roman" w:cs="Times New Roman"/>
          <w:b/>
          <w:bCs/>
          <w:rtl/>
          <w:lang w:eastAsia="de-DE"/>
        </w:rPr>
        <w:t>לא־תגע</w:t>
      </w:r>
      <w:r w:rsidRPr="00F75E3B">
        <w:rPr>
          <w:rFonts w:eastAsia="Times New Roman" w:cs="Times New Roman"/>
          <w:rtl/>
          <w:lang w:eastAsia="de-DE"/>
        </w:rPr>
        <w:t xml:space="preserve"> </w:t>
      </w:r>
      <w:r w:rsidRPr="00F75E3B">
        <w:rPr>
          <w:rFonts w:eastAsia="Times New Roman" w:cs="Times New Roman"/>
          <w:lang w:eastAsia="de-DE"/>
        </w:rPr>
        <w:t xml:space="preserve">(sie soll nicht berühren) mit Negation. </w:t>
      </w:r>
      <w:r w:rsidRPr="00F75E3B">
        <w:rPr>
          <w:rFonts w:eastAsia="Times New Roman" w:cs="Times New Roman"/>
          <w:b/>
          <w:bCs/>
          <w:rtl/>
          <w:lang w:eastAsia="de-DE"/>
        </w:rPr>
        <w:t>ואל־המקדש לא תבא</w:t>
      </w:r>
      <w:r w:rsidRPr="00F75E3B">
        <w:rPr>
          <w:rFonts w:eastAsia="Times New Roman" w:cs="Times New Roman"/>
          <w:rtl/>
          <w:lang w:eastAsia="de-DE"/>
        </w:rPr>
        <w:t xml:space="preserve"> </w:t>
      </w:r>
      <w:r w:rsidRPr="00F75E3B">
        <w:rPr>
          <w:rFonts w:eastAsia="Times New Roman" w:cs="Times New Roman"/>
          <w:lang w:eastAsia="de-DE"/>
        </w:rPr>
        <w:t xml:space="preserve">(und zum Heiligtum soll sie nicht kommen) - </w:t>
      </w:r>
      <w:r w:rsidRPr="00F75E3B">
        <w:rPr>
          <w:rFonts w:eastAsia="Times New Roman" w:cs="Times New Roman"/>
          <w:b/>
          <w:bCs/>
          <w:rtl/>
          <w:lang w:eastAsia="de-DE"/>
        </w:rPr>
        <w:t>אל־המקדש</w:t>
      </w:r>
      <w:r w:rsidRPr="00F75E3B">
        <w:rPr>
          <w:rFonts w:eastAsia="Times New Roman" w:cs="Times New Roman"/>
          <w:rtl/>
          <w:lang w:eastAsia="de-DE"/>
        </w:rPr>
        <w:t xml:space="preserve"> </w:t>
      </w:r>
      <w:r w:rsidRPr="00F75E3B">
        <w:rPr>
          <w:rFonts w:eastAsia="Times New Roman" w:cs="Times New Roman"/>
          <w:lang w:eastAsia="de-DE"/>
        </w:rPr>
        <w:t xml:space="preserve">(zum Heiligtum), </w:t>
      </w:r>
      <w:r w:rsidRPr="00F75E3B">
        <w:rPr>
          <w:rFonts w:eastAsia="Times New Roman" w:cs="Times New Roman"/>
          <w:b/>
          <w:bCs/>
          <w:rtl/>
          <w:lang w:eastAsia="de-DE"/>
        </w:rPr>
        <w:t>לא תבא</w:t>
      </w:r>
      <w:r w:rsidRPr="00F75E3B">
        <w:rPr>
          <w:rFonts w:eastAsia="Times New Roman" w:cs="Times New Roman"/>
          <w:rtl/>
          <w:lang w:eastAsia="de-DE"/>
        </w:rPr>
        <w:t xml:space="preserve"> </w:t>
      </w:r>
      <w:r w:rsidRPr="00F75E3B">
        <w:rPr>
          <w:rFonts w:eastAsia="Times New Roman" w:cs="Times New Roman"/>
          <w:lang w:eastAsia="de-DE"/>
        </w:rPr>
        <w:t>(sie soll nicht kommen) im Qal-Imperfekt mit Negation.</w:t>
      </w:r>
    </w:p>
    <w:p w14:paraId="635D26CE" w14:textId="74BF5C74"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lastRenderedPageBreak/>
        <w:t>עד־מלאת ימי טהרה</w:t>
      </w:r>
      <w:r w:rsidRPr="00F75E3B">
        <w:rPr>
          <w:rFonts w:eastAsia="Times New Roman" w:cs="Times New Roman"/>
          <w:rtl/>
          <w:lang w:eastAsia="de-DE"/>
        </w:rPr>
        <w:t xml:space="preserve"> </w:t>
      </w:r>
      <w:r w:rsidRPr="00F75E3B">
        <w:rPr>
          <w:rFonts w:eastAsia="Times New Roman" w:cs="Times New Roman"/>
          <w:lang w:eastAsia="de-DE"/>
        </w:rPr>
        <w:t xml:space="preserve">zeigt die Zeitbegrenzung. </w:t>
      </w:r>
      <w:r w:rsidRPr="00F75E3B">
        <w:rPr>
          <w:rFonts w:eastAsia="Times New Roman" w:cs="Times New Roman"/>
          <w:b/>
          <w:bCs/>
          <w:rtl/>
          <w:lang w:eastAsia="de-DE"/>
        </w:rPr>
        <w:t>עד־מלאת</w:t>
      </w:r>
      <w:r w:rsidRPr="00F75E3B">
        <w:rPr>
          <w:rFonts w:eastAsia="Times New Roman" w:cs="Times New Roman"/>
          <w:rtl/>
          <w:lang w:eastAsia="de-DE"/>
        </w:rPr>
        <w:t xml:space="preserve"> </w:t>
      </w:r>
      <w:r w:rsidRPr="00F75E3B">
        <w:rPr>
          <w:rFonts w:eastAsia="Times New Roman" w:cs="Times New Roman"/>
          <w:lang w:eastAsia="de-DE"/>
        </w:rPr>
        <w:t xml:space="preserve">(bis zur Erfüllung) - </w:t>
      </w:r>
      <w:r w:rsidRPr="00F75E3B">
        <w:rPr>
          <w:rFonts w:eastAsia="Times New Roman" w:cs="Times New Roman"/>
          <w:b/>
          <w:bCs/>
          <w:rtl/>
          <w:lang w:eastAsia="de-DE"/>
        </w:rPr>
        <w:t>מלא</w:t>
      </w:r>
      <w:r w:rsidRPr="00F75E3B">
        <w:rPr>
          <w:rFonts w:eastAsia="Times New Roman" w:cs="Times New Roman"/>
          <w:rtl/>
          <w:lang w:eastAsia="de-DE"/>
        </w:rPr>
        <w:t xml:space="preserve"> </w:t>
      </w:r>
      <w:r w:rsidRPr="00F75E3B">
        <w:rPr>
          <w:rFonts w:eastAsia="Times New Roman" w:cs="Times New Roman"/>
          <w:lang w:eastAsia="de-DE"/>
        </w:rPr>
        <w:t>(erfüllen) als Infinitiv-</w:t>
      </w:r>
      <w:r w:rsidR="005407E2">
        <w:rPr>
          <w:rFonts w:eastAsia="Times New Roman" w:cs="Times New Roman"/>
          <w:lang w:eastAsia="de-DE"/>
        </w:rPr>
        <w:t>Constructus</w:t>
      </w:r>
      <w:r w:rsidRPr="00F75E3B">
        <w:rPr>
          <w:rFonts w:eastAsia="Times New Roman" w:cs="Times New Roman"/>
          <w:lang w:eastAsia="de-DE"/>
        </w:rPr>
        <w:t xml:space="preserve">. </w:t>
      </w:r>
      <w:r w:rsidRPr="00F75E3B">
        <w:rPr>
          <w:rFonts w:eastAsia="Times New Roman" w:cs="Times New Roman"/>
          <w:b/>
          <w:bCs/>
          <w:rtl/>
          <w:lang w:eastAsia="de-DE"/>
        </w:rPr>
        <w:t>ימי טהרה</w:t>
      </w:r>
      <w:r w:rsidRPr="00F75E3B">
        <w:rPr>
          <w:rFonts w:eastAsia="Times New Roman" w:cs="Times New Roman"/>
          <w:rtl/>
          <w:lang w:eastAsia="de-DE"/>
        </w:rPr>
        <w:t xml:space="preserve"> </w:t>
      </w:r>
      <w:r w:rsidRPr="00F75E3B">
        <w:rPr>
          <w:rFonts w:eastAsia="Times New Roman" w:cs="Times New Roman"/>
          <w:lang w:eastAsia="de-DE"/>
        </w:rPr>
        <w:t xml:space="preserve">(Tage der Reinigung) entspricht </w:t>
      </w:r>
      <w:r w:rsidRPr="00F75E3B">
        <w:rPr>
          <w:rFonts w:eastAsia="Times New Roman" w:cs="Times New Roman"/>
          <w:b/>
          <w:bCs/>
          <w:rtl/>
          <w:lang w:eastAsia="de-DE"/>
        </w:rPr>
        <w:t>דמי טהרה</w:t>
      </w:r>
      <w:r w:rsidRPr="00F75E3B">
        <w:rPr>
          <w:rFonts w:eastAsia="Times New Roman" w:cs="Times New Roman"/>
          <w:lang w:eastAsia="de-DE"/>
        </w:rPr>
        <w:t>.</w:t>
      </w:r>
    </w:p>
    <w:p w14:paraId="07A6AAB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דמי טהרה</w:t>
      </w:r>
      <w:r w:rsidRPr="00F75E3B">
        <w:rPr>
          <w:rFonts w:eastAsia="Times New Roman" w:cs="Times New Roman"/>
          <w:rtl/>
          <w:lang w:eastAsia="de-DE"/>
        </w:rPr>
        <w:t xml:space="preserve"> </w:t>
      </w:r>
      <w:r w:rsidRPr="00F75E3B">
        <w:rPr>
          <w:rFonts w:eastAsia="Times New Roman" w:cs="Times New Roman"/>
          <w:lang w:eastAsia="de-DE"/>
        </w:rPr>
        <w:t xml:space="preserve">im Unterschied zu </w:t>
      </w:r>
      <w:r w:rsidRPr="00F75E3B">
        <w:rPr>
          <w:rFonts w:eastAsia="Times New Roman" w:cs="Times New Roman"/>
          <w:b/>
          <w:bCs/>
          <w:rtl/>
          <w:lang w:eastAsia="de-DE"/>
        </w:rPr>
        <w:t>נדת דותה</w:t>
      </w:r>
      <w:r w:rsidRPr="00F75E3B">
        <w:rPr>
          <w:rFonts w:eastAsia="Times New Roman" w:cs="Times New Roman"/>
          <w:rtl/>
          <w:lang w:eastAsia="de-DE"/>
        </w:rPr>
        <w:t xml:space="preserve"> </w:t>
      </w:r>
      <w:r w:rsidRPr="00F75E3B">
        <w:rPr>
          <w:rFonts w:eastAsia="Times New Roman" w:cs="Times New Roman"/>
          <w:lang w:eastAsia="de-DE"/>
        </w:rPr>
        <w:t xml:space="preserve">zeigt eine andere Art der Unreinheit. </w:t>
      </w:r>
      <w:r w:rsidRPr="00F75E3B">
        <w:rPr>
          <w:rFonts w:eastAsia="Times New Roman" w:cs="Times New Roman"/>
          <w:b/>
          <w:bCs/>
          <w:rtl/>
          <w:lang w:eastAsia="de-DE"/>
        </w:rPr>
        <w:t>כל־קדש</w:t>
      </w:r>
      <w:r w:rsidRPr="00F75E3B">
        <w:rPr>
          <w:rFonts w:eastAsia="Times New Roman" w:cs="Times New Roman"/>
          <w:rtl/>
          <w:lang w:eastAsia="de-DE"/>
        </w:rPr>
        <w:t xml:space="preserve"> </w:t>
      </w:r>
      <w:r w:rsidRPr="00F75E3B">
        <w:rPr>
          <w:rFonts w:eastAsia="Times New Roman" w:cs="Times New Roman"/>
          <w:lang w:eastAsia="de-DE"/>
        </w:rPr>
        <w:t xml:space="preserve">umfasst alle heiligen Gegenstände. </w:t>
      </w:r>
      <w:r w:rsidRPr="00F75E3B">
        <w:rPr>
          <w:rFonts w:eastAsia="Times New Roman" w:cs="Times New Roman"/>
          <w:b/>
          <w:bCs/>
          <w:rtl/>
          <w:lang w:eastAsia="de-DE"/>
        </w:rPr>
        <w:t>המקדש</w:t>
      </w:r>
      <w:r w:rsidRPr="00F75E3B">
        <w:rPr>
          <w:rFonts w:eastAsia="Times New Roman" w:cs="Times New Roman"/>
          <w:rtl/>
          <w:lang w:eastAsia="de-DE"/>
        </w:rPr>
        <w:t xml:space="preserve"> </w:t>
      </w:r>
      <w:r w:rsidRPr="00F75E3B">
        <w:rPr>
          <w:rFonts w:eastAsia="Times New Roman" w:cs="Times New Roman"/>
          <w:lang w:eastAsia="de-DE"/>
        </w:rPr>
        <w:t>als heiliger Ort ist völlig tabu.</w:t>
      </w:r>
    </w:p>
    <w:p w14:paraId="1FF00E51" w14:textId="565F11E4"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בדמי טהרה</w:t>
      </w:r>
      <w:r w:rsidR="007660B2">
        <w:t xml:space="preserve"> (</w:t>
      </w:r>
      <w:proofErr w:type="spellStart"/>
      <w:r w:rsidR="007660B2">
        <w:t>bidmei</w:t>
      </w:r>
      <w:proofErr w:type="spellEnd"/>
      <w:r w:rsidR="007660B2">
        <w:t xml:space="preserve"> </w:t>
      </w:r>
      <w:proofErr w:type="spellStart"/>
      <w:r w:rsidR="007660B2">
        <w:t>tahara</w:t>
      </w:r>
      <w:proofErr w:type="spellEnd"/>
      <w:r w:rsidR="007660B2">
        <w:t xml:space="preserve"> - "im Blut der Reinigung") als </w:t>
      </w:r>
      <w:proofErr w:type="spellStart"/>
      <w:r w:rsidR="007660B2">
        <w:t>ἐν</w:t>
      </w:r>
      <w:proofErr w:type="spellEnd"/>
      <w:r w:rsidR="007660B2">
        <w:t xml:space="preserve"> α</w:t>
      </w:r>
      <w:proofErr w:type="spellStart"/>
      <w:r w:rsidR="007660B2">
        <w:t>ἵμ</w:t>
      </w:r>
      <w:proofErr w:type="spellEnd"/>
      <w:r w:rsidR="007660B2">
        <w:t xml:space="preserve">ατι </w:t>
      </w:r>
      <w:proofErr w:type="spellStart"/>
      <w:r w:rsidR="007660B2">
        <w:t>ἀκ</w:t>
      </w:r>
      <w:proofErr w:type="spellEnd"/>
      <w:r w:rsidR="007660B2">
        <w:t xml:space="preserve">αθάρτῳ (in unreinem Blut), was das hebräische Konzept der "Reinigungsblutung" durch "unreines Blut" ersetzt - eine bedeutende konzeptionelle Umkehrung. </w:t>
      </w:r>
      <w:r w:rsidR="007660B2">
        <w:rPr>
          <w:rtl/>
        </w:rPr>
        <w:t>המקדש</w:t>
      </w:r>
      <w:r w:rsidR="007660B2">
        <w:t xml:space="preserve"> (</w:t>
      </w:r>
      <w:proofErr w:type="spellStart"/>
      <w:r w:rsidR="007660B2">
        <w:t>hammiqdash</w:t>
      </w:r>
      <w:proofErr w:type="spellEnd"/>
      <w:r w:rsidR="007660B2">
        <w:t xml:space="preserve"> - "das Heiligtum") wird als </w:t>
      </w:r>
      <w:proofErr w:type="spellStart"/>
      <w:r w:rsidR="007660B2">
        <w:t>τὸ</w:t>
      </w:r>
      <w:proofErr w:type="spellEnd"/>
      <w:r w:rsidR="007660B2">
        <w:t xml:space="preserve"> </w:t>
      </w:r>
      <w:proofErr w:type="spellStart"/>
      <w:r w:rsidR="007660B2">
        <w:t>ἁγι</w:t>
      </w:r>
      <w:proofErr w:type="spellEnd"/>
      <w:r w:rsidR="007660B2">
        <w:t>αστήριον (das Allerheiligste) spezifiziert.</w:t>
      </w:r>
    </w:p>
    <w:p w14:paraId="5761F91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erweiterte Reinigungsperiode mit Beschränkungen: Zeitangabe + Zustandsverb + zwei Verbote + Zeitbegrenzung. Die Struktur zeigt die abgestufte Reinigung.</w:t>
      </w:r>
    </w:p>
    <w:p w14:paraId="649EB68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etabliert eine 33-tägige Reinigungsperiode mit Beschränkungen für heilige Bereiche nach der ersten Unreinheitsphase.</w:t>
      </w:r>
    </w:p>
    <w:p w14:paraId="37CC856D"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12,5</w:t>
      </w:r>
    </w:p>
    <w:p w14:paraId="3C27652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וְאִם־נְקֵבָ֣ה תֵלֵ֔ד וְטָמְאָ֥ה שְׁבֻעַ֖יִם כְּנִדָּתָ֑הּ וְשִׁשִּׁ֥ים יוֹם֙ וְשֵׁ֣שֶׁת יָמִ֔ים תֵּשֵׁ֖ב עַל־דְּמֵ֥י טָהֳרָֽה׃</w:t>
      </w:r>
    </w:p>
    <w:p w14:paraId="4E60C96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wenn sie ein Weibliches gebiert, so ist sie zwei Wochen unrein wie in ihrer Unreinheit; und 66 Tage soll sie in den Bluten der Reinigung bleiben.</w:t>
      </w:r>
    </w:p>
    <w:p w14:paraId="721C849B"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0797A4A4">
          <v:rect id="_x0000_i1328" style="width:0;height:1.5pt" o:hralign="center" o:hrstd="t" o:hr="t" fillcolor="#a0a0a0" stroked="f"/>
        </w:pict>
      </w:r>
    </w:p>
    <w:p w14:paraId="4B1833FB"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ואם־נקבה תלד וטמאה שבעים כנדתה</w:t>
      </w:r>
      <w:r w:rsidRPr="00F75E3B">
        <w:rPr>
          <w:rFonts w:eastAsia="Times New Roman" w:cs="Times New Roman"/>
          <w:rtl/>
          <w:lang w:eastAsia="de-DE"/>
        </w:rPr>
        <w:t xml:space="preserve"> </w:t>
      </w:r>
      <w:r w:rsidRPr="00F75E3B">
        <w:rPr>
          <w:rFonts w:eastAsia="Times New Roman" w:cs="Times New Roman"/>
          <w:lang w:eastAsia="de-DE"/>
        </w:rPr>
        <w:t xml:space="preserve">zeigt den Fall weiblicher Geburt. </w:t>
      </w:r>
      <w:r w:rsidRPr="00F75E3B">
        <w:rPr>
          <w:rFonts w:eastAsia="Times New Roman" w:cs="Times New Roman"/>
          <w:b/>
          <w:bCs/>
          <w:rtl/>
          <w:lang w:eastAsia="de-DE"/>
        </w:rPr>
        <w:t>ואם־נקבה תלד</w:t>
      </w:r>
      <w:r w:rsidRPr="00F75E3B">
        <w:rPr>
          <w:rFonts w:eastAsia="Times New Roman" w:cs="Times New Roman"/>
          <w:rtl/>
          <w:lang w:eastAsia="de-DE"/>
        </w:rPr>
        <w:t xml:space="preserve"> </w:t>
      </w:r>
      <w:r w:rsidRPr="00F75E3B">
        <w:rPr>
          <w:rFonts w:eastAsia="Times New Roman" w:cs="Times New Roman"/>
          <w:lang w:eastAsia="de-DE"/>
        </w:rPr>
        <w:t xml:space="preserve">(und wenn sie ein Weibliches gebiert) - </w:t>
      </w:r>
      <w:r w:rsidRPr="00F75E3B">
        <w:rPr>
          <w:rFonts w:eastAsia="Times New Roman" w:cs="Times New Roman"/>
          <w:b/>
          <w:bCs/>
          <w:rtl/>
          <w:lang w:eastAsia="de-DE"/>
        </w:rPr>
        <w:t>אם</w:t>
      </w:r>
      <w:r w:rsidRPr="00F75E3B">
        <w:rPr>
          <w:rFonts w:eastAsia="Times New Roman" w:cs="Times New Roman"/>
          <w:rtl/>
          <w:lang w:eastAsia="de-DE"/>
        </w:rPr>
        <w:t xml:space="preserve"> </w:t>
      </w:r>
      <w:r w:rsidRPr="00F75E3B">
        <w:rPr>
          <w:rFonts w:eastAsia="Times New Roman" w:cs="Times New Roman"/>
          <w:lang w:eastAsia="de-DE"/>
        </w:rPr>
        <w:t xml:space="preserve">als Konditionalspartikel, </w:t>
      </w:r>
      <w:r w:rsidRPr="00F75E3B">
        <w:rPr>
          <w:rFonts w:eastAsia="Times New Roman" w:cs="Times New Roman"/>
          <w:b/>
          <w:bCs/>
          <w:rtl/>
          <w:lang w:eastAsia="de-DE"/>
        </w:rPr>
        <w:t>נקבה</w:t>
      </w:r>
      <w:r w:rsidRPr="00F75E3B">
        <w:rPr>
          <w:rFonts w:eastAsia="Times New Roman" w:cs="Times New Roman"/>
          <w:rtl/>
          <w:lang w:eastAsia="de-DE"/>
        </w:rPr>
        <w:t xml:space="preserve"> </w:t>
      </w:r>
      <w:r w:rsidRPr="00F75E3B">
        <w:rPr>
          <w:rFonts w:eastAsia="Times New Roman" w:cs="Times New Roman"/>
          <w:lang w:eastAsia="de-DE"/>
        </w:rPr>
        <w:t xml:space="preserve">(Weibliches/Mädchen) als direktes Objekt, </w:t>
      </w:r>
      <w:r w:rsidRPr="00F75E3B">
        <w:rPr>
          <w:rFonts w:eastAsia="Times New Roman" w:cs="Times New Roman"/>
          <w:b/>
          <w:bCs/>
          <w:rtl/>
          <w:lang w:eastAsia="de-DE"/>
        </w:rPr>
        <w:t>תלד</w:t>
      </w:r>
      <w:r w:rsidRPr="00F75E3B">
        <w:rPr>
          <w:rFonts w:eastAsia="Times New Roman" w:cs="Times New Roman"/>
          <w:rtl/>
          <w:lang w:eastAsia="de-DE"/>
        </w:rPr>
        <w:t xml:space="preserve"> </w:t>
      </w:r>
      <w:r w:rsidRPr="00F75E3B">
        <w:rPr>
          <w:rFonts w:eastAsia="Times New Roman" w:cs="Times New Roman"/>
          <w:lang w:eastAsia="de-DE"/>
        </w:rPr>
        <w:t xml:space="preserve">(sie gebiert) im Qal-Imperfekt. </w:t>
      </w:r>
      <w:r w:rsidRPr="00F75E3B">
        <w:rPr>
          <w:rFonts w:eastAsia="Times New Roman" w:cs="Times New Roman"/>
          <w:b/>
          <w:bCs/>
          <w:rtl/>
          <w:lang w:eastAsia="de-DE"/>
        </w:rPr>
        <w:t>וטמאה שבעים</w:t>
      </w:r>
      <w:r w:rsidRPr="00F75E3B">
        <w:rPr>
          <w:rFonts w:eastAsia="Times New Roman" w:cs="Times New Roman"/>
          <w:rtl/>
          <w:lang w:eastAsia="de-DE"/>
        </w:rPr>
        <w:t xml:space="preserve"> </w:t>
      </w:r>
      <w:r w:rsidRPr="00F75E3B">
        <w:rPr>
          <w:rFonts w:eastAsia="Times New Roman" w:cs="Times New Roman"/>
          <w:lang w:eastAsia="de-DE"/>
        </w:rPr>
        <w:t xml:space="preserve">(und sie ist unrein zwei Wochen) - </w:t>
      </w:r>
      <w:r w:rsidRPr="00F75E3B">
        <w:rPr>
          <w:rFonts w:eastAsia="Times New Roman" w:cs="Times New Roman"/>
          <w:b/>
          <w:bCs/>
          <w:rtl/>
          <w:lang w:eastAsia="de-DE"/>
        </w:rPr>
        <w:t>שבעים</w:t>
      </w:r>
      <w:r w:rsidRPr="00F75E3B">
        <w:rPr>
          <w:rFonts w:eastAsia="Times New Roman" w:cs="Times New Roman"/>
          <w:rtl/>
          <w:lang w:eastAsia="de-DE"/>
        </w:rPr>
        <w:t xml:space="preserve"> </w:t>
      </w:r>
      <w:r w:rsidRPr="00F75E3B">
        <w:rPr>
          <w:rFonts w:eastAsia="Times New Roman" w:cs="Times New Roman"/>
          <w:lang w:eastAsia="de-DE"/>
        </w:rPr>
        <w:t xml:space="preserve">(zwei Wochen) als Dual von </w:t>
      </w:r>
      <w:r w:rsidRPr="00F75E3B">
        <w:rPr>
          <w:rFonts w:eastAsia="Times New Roman" w:cs="Times New Roman"/>
          <w:b/>
          <w:bCs/>
          <w:rtl/>
          <w:lang w:eastAsia="de-DE"/>
        </w:rPr>
        <w:t>שבוע</w:t>
      </w:r>
      <w:r w:rsidRPr="00F75E3B">
        <w:rPr>
          <w:rFonts w:eastAsia="Times New Roman" w:cs="Times New Roman"/>
          <w:lang w:eastAsia="de-DE"/>
        </w:rPr>
        <w:t xml:space="preserve">. </w:t>
      </w:r>
      <w:r w:rsidRPr="00F75E3B">
        <w:rPr>
          <w:rFonts w:eastAsia="Times New Roman" w:cs="Times New Roman"/>
          <w:b/>
          <w:bCs/>
          <w:rtl/>
          <w:lang w:eastAsia="de-DE"/>
        </w:rPr>
        <w:t>כנדתה</w:t>
      </w:r>
      <w:r w:rsidRPr="00F75E3B">
        <w:rPr>
          <w:rFonts w:eastAsia="Times New Roman" w:cs="Times New Roman"/>
          <w:rtl/>
          <w:lang w:eastAsia="de-DE"/>
        </w:rPr>
        <w:t xml:space="preserve"> </w:t>
      </w:r>
      <w:r w:rsidRPr="00F75E3B">
        <w:rPr>
          <w:rFonts w:eastAsia="Times New Roman" w:cs="Times New Roman"/>
          <w:lang w:eastAsia="de-DE"/>
        </w:rPr>
        <w:t>(wie in ihrer Unreinheit) entspricht V. 2.</w:t>
      </w:r>
    </w:p>
    <w:p w14:paraId="7A8EFFD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ושישים יום ושש ימים תשב על־דמי טהרה</w:t>
      </w:r>
      <w:r w:rsidRPr="00F75E3B">
        <w:rPr>
          <w:rFonts w:eastAsia="Times New Roman" w:cs="Times New Roman"/>
          <w:rtl/>
          <w:lang w:eastAsia="de-DE"/>
        </w:rPr>
        <w:t xml:space="preserve"> </w:t>
      </w:r>
      <w:r w:rsidRPr="00F75E3B">
        <w:rPr>
          <w:rFonts w:eastAsia="Times New Roman" w:cs="Times New Roman"/>
          <w:lang w:eastAsia="de-DE"/>
        </w:rPr>
        <w:t xml:space="preserve">zeigt die verlängerte Reinigungsperiode. </w:t>
      </w:r>
      <w:r w:rsidRPr="00F75E3B">
        <w:rPr>
          <w:rFonts w:eastAsia="Times New Roman" w:cs="Times New Roman"/>
          <w:b/>
          <w:bCs/>
          <w:rtl/>
          <w:lang w:eastAsia="de-DE"/>
        </w:rPr>
        <w:t>ושישים יום ושש ימים</w:t>
      </w:r>
      <w:r w:rsidRPr="00F75E3B">
        <w:rPr>
          <w:rFonts w:eastAsia="Times New Roman" w:cs="Times New Roman"/>
          <w:rtl/>
          <w:lang w:eastAsia="de-DE"/>
        </w:rPr>
        <w:t xml:space="preserve"> </w:t>
      </w:r>
      <w:r w:rsidRPr="00F75E3B">
        <w:rPr>
          <w:rFonts w:eastAsia="Times New Roman" w:cs="Times New Roman"/>
          <w:lang w:eastAsia="de-DE"/>
        </w:rPr>
        <w:t xml:space="preserve">(und sechzig Tage und sechs Tage = 66 Tage) als additive Zeitangabe. </w:t>
      </w:r>
      <w:r w:rsidRPr="00F75E3B">
        <w:rPr>
          <w:rFonts w:eastAsia="Times New Roman" w:cs="Times New Roman"/>
          <w:b/>
          <w:bCs/>
          <w:rtl/>
          <w:lang w:eastAsia="de-DE"/>
        </w:rPr>
        <w:t>תשב על־דמי טהרה</w:t>
      </w:r>
      <w:r w:rsidRPr="00F75E3B">
        <w:rPr>
          <w:rFonts w:eastAsia="Times New Roman" w:cs="Times New Roman"/>
          <w:rtl/>
          <w:lang w:eastAsia="de-DE"/>
        </w:rPr>
        <w:t xml:space="preserve"> </w:t>
      </w:r>
      <w:r w:rsidRPr="00F75E3B">
        <w:rPr>
          <w:rFonts w:eastAsia="Times New Roman" w:cs="Times New Roman"/>
          <w:lang w:eastAsia="de-DE"/>
        </w:rPr>
        <w:t xml:space="preserve">(sie soll bleiben in den Bluten der Reinigung) mit </w:t>
      </w:r>
      <w:r w:rsidRPr="00F75E3B">
        <w:rPr>
          <w:rFonts w:eastAsia="Times New Roman" w:cs="Times New Roman"/>
          <w:b/>
          <w:bCs/>
          <w:rtl/>
          <w:lang w:eastAsia="de-DE"/>
        </w:rPr>
        <w:t>על</w:t>
      </w:r>
      <w:r w:rsidRPr="00F75E3B">
        <w:rPr>
          <w:rFonts w:eastAsia="Times New Roman" w:cs="Times New Roman"/>
          <w:rtl/>
          <w:lang w:eastAsia="de-DE"/>
        </w:rPr>
        <w:t xml:space="preserve"> </w:t>
      </w:r>
      <w:r w:rsidRPr="00F75E3B">
        <w:rPr>
          <w:rFonts w:eastAsia="Times New Roman" w:cs="Times New Roman"/>
          <w:lang w:eastAsia="de-DE"/>
        </w:rPr>
        <w:t xml:space="preserve">statt </w:t>
      </w:r>
      <w:r w:rsidRPr="00F75E3B">
        <w:rPr>
          <w:rFonts w:eastAsia="Times New Roman" w:cs="Times New Roman"/>
          <w:b/>
          <w:bCs/>
          <w:rtl/>
          <w:lang w:eastAsia="de-DE"/>
        </w:rPr>
        <w:t>ב</w:t>
      </w:r>
      <w:r w:rsidRPr="00F75E3B">
        <w:rPr>
          <w:rFonts w:eastAsia="Times New Roman" w:cs="Times New Roman"/>
          <w:rtl/>
          <w:lang w:eastAsia="de-DE"/>
        </w:rPr>
        <w:t xml:space="preserve"> </w:t>
      </w:r>
      <w:r w:rsidRPr="00F75E3B">
        <w:rPr>
          <w:rFonts w:eastAsia="Times New Roman" w:cs="Times New Roman"/>
          <w:lang w:eastAsia="de-DE"/>
        </w:rPr>
        <w:t>aus V. 4.</w:t>
      </w:r>
    </w:p>
    <w:p w14:paraId="5AF8FAB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שבעים</w:t>
      </w:r>
      <w:r w:rsidRPr="00F75E3B">
        <w:rPr>
          <w:rFonts w:eastAsia="Times New Roman" w:cs="Times New Roman"/>
          <w:rtl/>
          <w:lang w:eastAsia="de-DE"/>
        </w:rPr>
        <w:t xml:space="preserve"> </w:t>
      </w:r>
      <w:r w:rsidRPr="00F75E3B">
        <w:rPr>
          <w:rFonts w:eastAsia="Times New Roman" w:cs="Times New Roman"/>
          <w:lang w:eastAsia="de-DE"/>
        </w:rPr>
        <w:t xml:space="preserve">(zwei Wochen) verdoppelt die erste Unreinheitsperiode von V. 2. </w:t>
      </w:r>
      <w:r w:rsidRPr="00F75E3B">
        <w:rPr>
          <w:rFonts w:eastAsia="Times New Roman" w:cs="Times New Roman"/>
          <w:b/>
          <w:bCs/>
          <w:rtl/>
          <w:lang w:eastAsia="de-DE"/>
        </w:rPr>
        <w:t>ושישים יום ושש ימים</w:t>
      </w:r>
      <w:r w:rsidRPr="00F75E3B">
        <w:rPr>
          <w:rFonts w:eastAsia="Times New Roman" w:cs="Times New Roman"/>
          <w:rtl/>
          <w:lang w:eastAsia="de-DE"/>
        </w:rPr>
        <w:t xml:space="preserve"> </w:t>
      </w:r>
      <w:r w:rsidRPr="00F75E3B">
        <w:rPr>
          <w:rFonts w:eastAsia="Times New Roman" w:cs="Times New Roman"/>
          <w:lang w:eastAsia="de-DE"/>
        </w:rPr>
        <w:t>(66 Tage) verdoppelt die Reinigungsperiode von V. 4. Die systematische Verdoppelung bei weiblicher Geburt ist bemerkenswert.</w:t>
      </w:r>
    </w:p>
    <w:p w14:paraId="1CB85B1D" w14:textId="1569BB25"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שבעים</w:t>
      </w:r>
      <w:r w:rsidR="007660B2">
        <w:t xml:space="preserve"> (</w:t>
      </w:r>
      <w:proofErr w:type="spellStart"/>
      <w:r w:rsidR="007660B2">
        <w:t>shavu'ayim</w:t>
      </w:r>
      <w:proofErr w:type="spellEnd"/>
      <w:r w:rsidR="007660B2">
        <w:t xml:space="preserve"> - "zwei Wochen") als </w:t>
      </w:r>
      <w:proofErr w:type="spellStart"/>
      <w:r w:rsidR="007660B2">
        <w:t>δὶς</w:t>
      </w:r>
      <w:proofErr w:type="spellEnd"/>
      <w:r w:rsidR="007660B2">
        <w:t xml:space="preserve"> ἑπ</w:t>
      </w:r>
      <w:proofErr w:type="spellStart"/>
      <w:r w:rsidR="007660B2">
        <w:t>τὰ</w:t>
      </w:r>
      <w:proofErr w:type="spellEnd"/>
      <w:r w:rsidR="007660B2">
        <w:t xml:space="preserve"> </w:t>
      </w:r>
      <w:proofErr w:type="spellStart"/>
      <w:r w:rsidR="007660B2">
        <w:t>ἡμέρ</w:t>
      </w:r>
      <w:proofErr w:type="spellEnd"/>
      <w:r w:rsidR="007660B2">
        <w:t xml:space="preserve">ας (zweimal sieben Tage), was eine klarere Zeitangabe darstellt, aber </w:t>
      </w:r>
      <w:r w:rsidR="007660B2">
        <w:rPr>
          <w:rtl/>
        </w:rPr>
        <w:t>על־דמי טהרה</w:t>
      </w:r>
      <w:r w:rsidR="007660B2">
        <w:t xml:space="preserve"> wieder als </w:t>
      </w:r>
      <w:proofErr w:type="spellStart"/>
      <w:r w:rsidR="007660B2">
        <w:t>ἐν</w:t>
      </w:r>
      <w:proofErr w:type="spellEnd"/>
      <w:r w:rsidR="007660B2">
        <w:t xml:space="preserve"> α</w:t>
      </w:r>
      <w:proofErr w:type="spellStart"/>
      <w:r w:rsidR="007660B2">
        <w:t>ἵμ</w:t>
      </w:r>
      <w:proofErr w:type="spellEnd"/>
      <w:r w:rsidR="007660B2">
        <w:t xml:space="preserve">ατι </w:t>
      </w:r>
      <w:proofErr w:type="spellStart"/>
      <w:r w:rsidR="007660B2">
        <w:t>ἀκ</w:t>
      </w:r>
      <w:proofErr w:type="spellEnd"/>
      <w:r w:rsidR="007660B2">
        <w:t>αθάρτῳ wiedergibt.</w:t>
      </w:r>
    </w:p>
    <w:p w14:paraId="678C2653"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parallele Regelung mit Verdoppelung: Konditionalsatz + verdoppelte erste Unreinheit + verdoppelte Reinigungsperiode. Die Struktur zeigt die systematische Differenzierung nach Geschlecht.</w:t>
      </w:r>
    </w:p>
    <w:p w14:paraId="06A7203D"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lastRenderedPageBreak/>
        <w:t>Dieser Vers etabliert für weibliche Geburten die doppelten Zeitperioden: zwei Wochen Unreinheit und 66 Tage Reinigung.</w:t>
      </w:r>
    </w:p>
    <w:p w14:paraId="548C6EB8"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12,6</w:t>
      </w:r>
    </w:p>
    <w:p w14:paraId="2A806947"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וּבִמְלֹ֣את׀ יְמֵ֣י טָהֳרָ֗הּ לְבֵן֮ א֣וֹ לְבַת֒ תָּבִ֞יא כֶּ֤בֶשׂ בֶּן־שְׁנָתוֹ֙ לְעֹלָ֔ה וּבֶן־יוֹנָ֥ה אוֹ־תֹ֖ר לְחַטָּ֑את אֶל־פֶּ֥תַח אֹֽהֶל־מוֹעֵ֖ד אֶל־הַכֹּהֵֽן׃</w:t>
      </w:r>
    </w:p>
    <w:p w14:paraId="1B5399DE" w14:textId="1FB52D1F"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wenn die Tage ihrer Reinigung für einen Sohn oder für eine Tochter erfüllt sind, soll sie ein einjähriges Lamm zum </w:t>
      </w:r>
      <w:r w:rsidR="00CF10E7">
        <w:rPr>
          <w:rFonts w:eastAsia="Times New Roman" w:cs="Times New Roman"/>
          <w:lang w:eastAsia="de-DE"/>
        </w:rPr>
        <w:t>Aufsteigeopfer</w:t>
      </w:r>
      <w:r w:rsidRPr="00F75E3B">
        <w:rPr>
          <w:rFonts w:eastAsia="Times New Roman" w:cs="Times New Roman"/>
          <w:lang w:eastAsia="de-DE"/>
        </w:rPr>
        <w:t xml:space="preserve"> und eine junge Taube oder eine Turteltaube zum Sündopfer bringen an den Eingang des Zeltes der Begegnung zum Priester.</w:t>
      </w:r>
    </w:p>
    <w:p w14:paraId="7142A1A7"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5F93E684">
          <v:rect id="_x0000_i1329" style="width:0;height:1.5pt" o:hralign="center" o:hrstd="t" o:hr="t" fillcolor="#a0a0a0" stroked="f"/>
        </w:pict>
      </w:r>
    </w:p>
    <w:p w14:paraId="244072DD" w14:textId="09640FA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ובמלאת ימי טהרה לבן או לבת</w:t>
      </w:r>
      <w:r w:rsidRPr="00F75E3B">
        <w:rPr>
          <w:rFonts w:eastAsia="Times New Roman" w:cs="Times New Roman"/>
          <w:rtl/>
          <w:lang w:eastAsia="de-DE"/>
        </w:rPr>
        <w:t xml:space="preserve"> </w:t>
      </w:r>
      <w:r w:rsidRPr="00F75E3B">
        <w:rPr>
          <w:rFonts w:eastAsia="Times New Roman" w:cs="Times New Roman"/>
          <w:lang w:eastAsia="de-DE"/>
        </w:rPr>
        <w:t xml:space="preserve">zeigt das Ende der Reinigungsperiode. </w:t>
      </w:r>
      <w:r w:rsidRPr="00F75E3B">
        <w:rPr>
          <w:rFonts w:eastAsia="Times New Roman" w:cs="Times New Roman"/>
          <w:b/>
          <w:bCs/>
          <w:rtl/>
          <w:lang w:eastAsia="de-DE"/>
        </w:rPr>
        <w:t>ובמלאת</w:t>
      </w:r>
      <w:r w:rsidRPr="00F75E3B">
        <w:rPr>
          <w:rFonts w:eastAsia="Times New Roman" w:cs="Times New Roman"/>
          <w:rtl/>
          <w:lang w:eastAsia="de-DE"/>
        </w:rPr>
        <w:t xml:space="preserve"> </w:t>
      </w:r>
      <w:r w:rsidRPr="00F75E3B">
        <w:rPr>
          <w:rFonts w:eastAsia="Times New Roman" w:cs="Times New Roman"/>
          <w:lang w:eastAsia="de-DE"/>
        </w:rPr>
        <w:t xml:space="preserve">(und bei der Erfüllung) - </w:t>
      </w:r>
      <w:r w:rsidRPr="00F75E3B">
        <w:rPr>
          <w:rFonts w:eastAsia="Times New Roman" w:cs="Times New Roman"/>
          <w:b/>
          <w:bCs/>
          <w:rtl/>
          <w:lang w:eastAsia="de-DE"/>
        </w:rPr>
        <w:t>מלא</w:t>
      </w:r>
      <w:r w:rsidRPr="00F75E3B">
        <w:rPr>
          <w:rFonts w:eastAsia="Times New Roman" w:cs="Times New Roman"/>
          <w:rtl/>
          <w:lang w:eastAsia="de-DE"/>
        </w:rPr>
        <w:t xml:space="preserve"> </w:t>
      </w:r>
      <w:r w:rsidRPr="00F75E3B">
        <w:rPr>
          <w:rFonts w:eastAsia="Times New Roman" w:cs="Times New Roman"/>
          <w:lang w:eastAsia="de-DE"/>
        </w:rPr>
        <w:t>(erfüllen) als Infinitiv-</w:t>
      </w:r>
      <w:r w:rsidR="005407E2">
        <w:rPr>
          <w:rFonts w:eastAsia="Times New Roman" w:cs="Times New Roman"/>
          <w:lang w:eastAsia="de-DE"/>
        </w:rPr>
        <w:t>Constructus</w:t>
      </w:r>
      <w:r w:rsidRPr="00F75E3B">
        <w:rPr>
          <w:rFonts w:eastAsia="Times New Roman" w:cs="Times New Roman"/>
          <w:lang w:eastAsia="de-DE"/>
        </w:rPr>
        <w:t xml:space="preserve"> mit </w:t>
      </w:r>
      <w:r w:rsidRPr="00F75E3B">
        <w:rPr>
          <w:rFonts w:eastAsia="Times New Roman" w:cs="Times New Roman"/>
          <w:b/>
          <w:bCs/>
          <w:rtl/>
          <w:lang w:eastAsia="de-DE"/>
        </w:rPr>
        <w:t>ב</w:t>
      </w:r>
      <w:r w:rsidRPr="00F75E3B">
        <w:rPr>
          <w:rFonts w:eastAsia="Times New Roman" w:cs="Times New Roman"/>
          <w:lang w:eastAsia="de-DE"/>
        </w:rPr>
        <w:t xml:space="preserve">. </w:t>
      </w:r>
      <w:r w:rsidRPr="00F75E3B">
        <w:rPr>
          <w:rFonts w:eastAsia="Times New Roman" w:cs="Times New Roman"/>
          <w:b/>
          <w:bCs/>
          <w:rtl/>
          <w:lang w:eastAsia="de-DE"/>
        </w:rPr>
        <w:t>ימי טהרה</w:t>
      </w:r>
      <w:r w:rsidRPr="00F75E3B">
        <w:rPr>
          <w:rFonts w:eastAsia="Times New Roman" w:cs="Times New Roman"/>
          <w:rtl/>
          <w:lang w:eastAsia="de-DE"/>
        </w:rPr>
        <w:t xml:space="preserve"> </w:t>
      </w:r>
      <w:r w:rsidRPr="00F75E3B">
        <w:rPr>
          <w:rFonts w:eastAsia="Times New Roman" w:cs="Times New Roman"/>
          <w:lang w:eastAsia="de-DE"/>
        </w:rPr>
        <w:t xml:space="preserve">(Tage der Reinigung) entspricht V. 4-5. </w:t>
      </w:r>
      <w:r w:rsidRPr="00F75E3B">
        <w:rPr>
          <w:rFonts w:eastAsia="Times New Roman" w:cs="Times New Roman"/>
          <w:b/>
          <w:bCs/>
          <w:rtl/>
          <w:lang w:eastAsia="de-DE"/>
        </w:rPr>
        <w:t>לבן או לבת</w:t>
      </w:r>
      <w:r w:rsidRPr="00F75E3B">
        <w:rPr>
          <w:rFonts w:eastAsia="Times New Roman" w:cs="Times New Roman"/>
          <w:rtl/>
          <w:lang w:eastAsia="de-DE"/>
        </w:rPr>
        <w:t xml:space="preserve"> </w:t>
      </w:r>
      <w:r w:rsidRPr="00F75E3B">
        <w:rPr>
          <w:rFonts w:eastAsia="Times New Roman" w:cs="Times New Roman"/>
          <w:lang w:eastAsia="de-DE"/>
        </w:rPr>
        <w:t>(für einen Sohn oder für eine Tochter) zeigt, dass die folgende Opferregelung für beide Geschlechter gilt.</w:t>
      </w:r>
    </w:p>
    <w:p w14:paraId="5783510A" w14:textId="1D87E7B9"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תביא כבש בן־שנתו לעלה ובן־יונה או־תר לחטאת</w:t>
      </w:r>
      <w:r w:rsidRPr="00F75E3B">
        <w:rPr>
          <w:rFonts w:eastAsia="Times New Roman" w:cs="Times New Roman"/>
          <w:rtl/>
          <w:lang w:eastAsia="de-DE"/>
        </w:rPr>
        <w:t xml:space="preserve"> </w:t>
      </w:r>
      <w:r w:rsidRPr="00F75E3B">
        <w:rPr>
          <w:rFonts w:eastAsia="Times New Roman" w:cs="Times New Roman"/>
          <w:lang w:eastAsia="de-DE"/>
        </w:rPr>
        <w:t xml:space="preserve">spezifiziert die erforderlichen Opfer. </w:t>
      </w:r>
      <w:r w:rsidRPr="00F75E3B">
        <w:rPr>
          <w:rFonts w:eastAsia="Times New Roman" w:cs="Times New Roman"/>
          <w:b/>
          <w:bCs/>
          <w:rtl/>
          <w:lang w:eastAsia="de-DE"/>
        </w:rPr>
        <w:t>תביא</w:t>
      </w:r>
      <w:r w:rsidRPr="00F75E3B">
        <w:rPr>
          <w:rFonts w:eastAsia="Times New Roman" w:cs="Times New Roman"/>
          <w:rtl/>
          <w:lang w:eastAsia="de-DE"/>
        </w:rPr>
        <w:t xml:space="preserve"> </w:t>
      </w:r>
      <w:r w:rsidRPr="00F75E3B">
        <w:rPr>
          <w:rFonts w:eastAsia="Times New Roman" w:cs="Times New Roman"/>
          <w:lang w:eastAsia="de-DE"/>
        </w:rPr>
        <w:t xml:space="preserve">(sie soll bringen) im Hifil-Imperfekt. </w:t>
      </w:r>
      <w:r w:rsidRPr="00F75E3B">
        <w:rPr>
          <w:rFonts w:eastAsia="Times New Roman" w:cs="Times New Roman"/>
          <w:b/>
          <w:bCs/>
          <w:rtl/>
          <w:lang w:eastAsia="de-DE"/>
        </w:rPr>
        <w:t>כבש בן־שנתו לעלה</w:t>
      </w:r>
      <w:r w:rsidRPr="00F75E3B">
        <w:rPr>
          <w:rFonts w:eastAsia="Times New Roman" w:cs="Times New Roman"/>
          <w:rtl/>
          <w:lang w:eastAsia="de-DE"/>
        </w:rPr>
        <w:t xml:space="preserve"> </w:t>
      </w:r>
      <w:r w:rsidRPr="00F75E3B">
        <w:rPr>
          <w:rFonts w:eastAsia="Times New Roman" w:cs="Times New Roman"/>
          <w:lang w:eastAsia="de-DE"/>
        </w:rPr>
        <w:t xml:space="preserve">(ein einjähriges Lamm zum </w:t>
      </w:r>
      <w:r w:rsidR="00CF10E7">
        <w:rPr>
          <w:rFonts w:eastAsia="Times New Roman" w:cs="Times New Roman"/>
          <w:lang w:eastAsia="de-DE"/>
        </w:rPr>
        <w:t>Aufsteigeopfer</w:t>
      </w:r>
      <w:r w:rsidRPr="00F75E3B">
        <w:rPr>
          <w:rFonts w:eastAsia="Times New Roman" w:cs="Times New Roman"/>
          <w:lang w:eastAsia="de-DE"/>
        </w:rPr>
        <w:t xml:space="preserve">) - </w:t>
      </w:r>
      <w:r w:rsidRPr="00F75E3B">
        <w:rPr>
          <w:rFonts w:eastAsia="Times New Roman" w:cs="Times New Roman"/>
          <w:b/>
          <w:bCs/>
          <w:rtl/>
          <w:lang w:eastAsia="de-DE"/>
        </w:rPr>
        <w:t>כבש</w:t>
      </w:r>
      <w:r w:rsidRPr="00F75E3B">
        <w:rPr>
          <w:rFonts w:eastAsia="Times New Roman" w:cs="Times New Roman"/>
          <w:rtl/>
          <w:lang w:eastAsia="de-DE"/>
        </w:rPr>
        <w:t xml:space="preserve"> </w:t>
      </w:r>
      <w:r w:rsidRPr="00F75E3B">
        <w:rPr>
          <w:rFonts w:eastAsia="Times New Roman" w:cs="Times New Roman"/>
          <w:lang w:eastAsia="de-DE"/>
        </w:rPr>
        <w:t xml:space="preserve">(Lamm), </w:t>
      </w:r>
      <w:r w:rsidRPr="00F75E3B">
        <w:rPr>
          <w:rFonts w:eastAsia="Times New Roman" w:cs="Times New Roman"/>
          <w:b/>
          <w:bCs/>
          <w:rtl/>
          <w:lang w:eastAsia="de-DE"/>
        </w:rPr>
        <w:t>בן־שנתו</w:t>
      </w:r>
      <w:r w:rsidRPr="00F75E3B">
        <w:rPr>
          <w:rFonts w:eastAsia="Times New Roman" w:cs="Times New Roman"/>
          <w:rtl/>
          <w:lang w:eastAsia="de-DE"/>
        </w:rPr>
        <w:t xml:space="preserve"> </w:t>
      </w:r>
      <w:r w:rsidRPr="00F75E3B">
        <w:rPr>
          <w:rFonts w:eastAsia="Times New Roman" w:cs="Times New Roman"/>
          <w:lang w:eastAsia="de-DE"/>
        </w:rPr>
        <w:t xml:space="preserve">(Sohn seines Jahres = einjährig), </w:t>
      </w:r>
      <w:r w:rsidRPr="00F75E3B">
        <w:rPr>
          <w:rFonts w:eastAsia="Times New Roman" w:cs="Times New Roman"/>
          <w:b/>
          <w:bCs/>
          <w:rtl/>
          <w:lang w:eastAsia="de-DE"/>
        </w:rPr>
        <w:t>לעלה</w:t>
      </w:r>
      <w:r w:rsidRPr="00F75E3B">
        <w:rPr>
          <w:rFonts w:eastAsia="Times New Roman" w:cs="Times New Roman"/>
          <w:rtl/>
          <w:lang w:eastAsia="de-DE"/>
        </w:rPr>
        <w:t xml:space="preserve"> </w:t>
      </w:r>
      <w:r w:rsidRPr="00F75E3B">
        <w:rPr>
          <w:rFonts w:eastAsia="Times New Roman" w:cs="Times New Roman"/>
          <w:lang w:eastAsia="de-DE"/>
        </w:rPr>
        <w:t xml:space="preserve">(zum </w:t>
      </w:r>
      <w:r w:rsidR="00CF10E7">
        <w:rPr>
          <w:rFonts w:eastAsia="Times New Roman" w:cs="Times New Roman"/>
          <w:lang w:eastAsia="de-DE"/>
        </w:rPr>
        <w:t>Aufsteigeopfer</w:t>
      </w:r>
      <w:r w:rsidRPr="00F75E3B">
        <w:rPr>
          <w:rFonts w:eastAsia="Times New Roman" w:cs="Times New Roman"/>
          <w:lang w:eastAsia="de-DE"/>
        </w:rPr>
        <w:t xml:space="preserve">). </w:t>
      </w:r>
      <w:r w:rsidRPr="00F75E3B">
        <w:rPr>
          <w:rFonts w:eastAsia="Times New Roman" w:cs="Times New Roman"/>
          <w:b/>
          <w:bCs/>
          <w:rtl/>
          <w:lang w:eastAsia="de-DE"/>
        </w:rPr>
        <w:t>ובן־יונה או־תר לחטאת</w:t>
      </w:r>
      <w:r w:rsidRPr="00F75E3B">
        <w:rPr>
          <w:rFonts w:eastAsia="Times New Roman" w:cs="Times New Roman"/>
          <w:rtl/>
          <w:lang w:eastAsia="de-DE"/>
        </w:rPr>
        <w:t xml:space="preserve"> </w:t>
      </w:r>
      <w:r w:rsidRPr="00F75E3B">
        <w:rPr>
          <w:rFonts w:eastAsia="Times New Roman" w:cs="Times New Roman"/>
          <w:lang w:eastAsia="de-DE"/>
        </w:rPr>
        <w:t xml:space="preserve">(und eine junge Taube oder eine Turteltaube zum Sündopfer) - </w:t>
      </w:r>
      <w:r w:rsidRPr="00F75E3B">
        <w:rPr>
          <w:rFonts w:eastAsia="Times New Roman" w:cs="Times New Roman"/>
          <w:b/>
          <w:bCs/>
          <w:rtl/>
          <w:lang w:eastAsia="de-DE"/>
        </w:rPr>
        <w:t>בן־יונה</w:t>
      </w:r>
      <w:r w:rsidRPr="00F75E3B">
        <w:rPr>
          <w:rFonts w:eastAsia="Times New Roman" w:cs="Times New Roman"/>
          <w:rtl/>
          <w:lang w:eastAsia="de-DE"/>
        </w:rPr>
        <w:t xml:space="preserve"> </w:t>
      </w:r>
      <w:r w:rsidRPr="00F75E3B">
        <w:rPr>
          <w:rFonts w:eastAsia="Times New Roman" w:cs="Times New Roman"/>
          <w:lang w:eastAsia="de-DE"/>
        </w:rPr>
        <w:t xml:space="preserve">(junge Taube), </w:t>
      </w:r>
      <w:r w:rsidRPr="00F75E3B">
        <w:rPr>
          <w:rFonts w:eastAsia="Times New Roman" w:cs="Times New Roman"/>
          <w:b/>
          <w:bCs/>
          <w:rtl/>
          <w:lang w:eastAsia="de-DE"/>
        </w:rPr>
        <w:t>או־תר</w:t>
      </w:r>
      <w:r w:rsidRPr="00F75E3B">
        <w:rPr>
          <w:rFonts w:eastAsia="Times New Roman" w:cs="Times New Roman"/>
          <w:rtl/>
          <w:lang w:eastAsia="de-DE"/>
        </w:rPr>
        <w:t xml:space="preserve"> </w:t>
      </w:r>
      <w:r w:rsidRPr="00F75E3B">
        <w:rPr>
          <w:rFonts w:eastAsia="Times New Roman" w:cs="Times New Roman"/>
          <w:lang w:eastAsia="de-DE"/>
        </w:rPr>
        <w:t xml:space="preserve">(oder Turteltaube), </w:t>
      </w:r>
      <w:r w:rsidRPr="00F75E3B">
        <w:rPr>
          <w:rFonts w:eastAsia="Times New Roman" w:cs="Times New Roman"/>
          <w:b/>
          <w:bCs/>
          <w:rtl/>
          <w:lang w:eastAsia="de-DE"/>
        </w:rPr>
        <w:t>לחטאת</w:t>
      </w:r>
      <w:r w:rsidRPr="00F75E3B">
        <w:rPr>
          <w:rFonts w:eastAsia="Times New Roman" w:cs="Times New Roman"/>
          <w:rtl/>
          <w:lang w:eastAsia="de-DE"/>
        </w:rPr>
        <w:t xml:space="preserve"> </w:t>
      </w:r>
      <w:r w:rsidRPr="00F75E3B">
        <w:rPr>
          <w:rFonts w:eastAsia="Times New Roman" w:cs="Times New Roman"/>
          <w:lang w:eastAsia="de-DE"/>
        </w:rPr>
        <w:t>(zum Sündopfer).</w:t>
      </w:r>
    </w:p>
    <w:p w14:paraId="63C8D4C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אל־פתח אהל־מועד אל־הכהן</w:t>
      </w:r>
      <w:r w:rsidRPr="00F75E3B">
        <w:rPr>
          <w:rFonts w:eastAsia="Times New Roman" w:cs="Times New Roman"/>
          <w:rtl/>
          <w:lang w:eastAsia="de-DE"/>
        </w:rPr>
        <w:t xml:space="preserve"> </w:t>
      </w:r>
      <w:r w:rsidRPr="00F75E3B">
        <w:rPr>
          <w:rFonts w:eastAsia="Times New Roman" w:cs="Times New Roman"/>
          <w:lang w:eastAsia="de-DE"/>
        </w:rPr>
        <w:t xml:space="preserve">zeigt Ort und Empfänger. </w:t>
      </w:r>
      <w:r w:rsidRPr="00F75E3B">
        <w:rPr>
          <w:rFonts w:eastAsia="Times New Roman" w:cs="Times New Roman"/>
          <w:b/>
          <w:bCs/>
          <w:rtl/>
          <w:lang w:eastAsia="de-DE"/>
        </w:rPr>
        <w:t>אל־פתח אהל־מועד</w:t>
      </w:r>
      <w:r w:rsidRPr="00F75E3B">
        <w:rPr>
          <w:rFonts w:eastAsia="Times New Roman" w:cs="Times New Roman"/>
          <w:rtl/>
          <w:lang w:eastAsia="de-DE"/>
        </w:rPr>
        <w:t xml:space="preserve"> </w:t>
      </w:r>
      <w:r w:rsidRPr="00F75E3B">
        <w:rPr>
          <w:rFonts w:eastAsia="Times New Roman" w:cs="Times New Roman"/>
          <w:lang w:eastAsia="de-DE"/>
        </w:rPr>
        <w:t xml:space="preserve">(an den Eingang des Zeltes der Begegnung) entspricht der Standardopferlokalisation. </w:t>
      </w:r>
      <w:r w:rsidRPr="00F75E3B">
        <w:rPr>
          <w:rFonts w:eastAsia="Times New Roman" w:cs="Times New Roman"/>
          <w:b/>
          <w:bCs/>
          <w:rtl/>
          <w:lang w:eastAsia="de-DE"/>
        </w:rPr>
        <w:t>אל־הכהן</w:t>
      </w:r>
      <w:r w:rsidRPr="00F75E3B">
        <w:rPr>
          <w:rFonts w:eastAsia="Times New Roman" w:cs="Times New Roman"/>
          <w:rtl/>
          <w:lang w:eastAsia="de-DE"/>
        </w:rPr>
        <w:t xml:space="preserve"> </w:t>
      </w:r>
      <w:r w:rsidRPr="00F75E3B">
        <w:rPr>
          <w:rFonts w:eastAsia="Times New Roman" w:cs="Times New Roman"/>
          <w:lang w:eastAsia="de-DE"/>
        </w:rPr>
        <w:t>(zum Priester) zeigt die notwendige priesterliche Vermittlung.</w:t>
      </w:r>
    </w:p>
    <w:p w14:paraId="2A97E8E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לבן או לבת</w:t>
      </w:r>
      <w:r w:rsidRPr="00F75E3B">
        <w:rPr>
          <w:rFonts w:eastAsia="Times New Roman" w:cs="Times New Roman"/>
          <w:rtl/>
          <w:lang w:eastAsia="de-DE"/>
        </w:rPr>
        <w:t xml:space="preserve"> </w:t>
      </w:r>
      <w:r w:rsidRPr="00F75E3B">
        <w:rPr>
          <w:rFonts w:eastAsia="Times New Roman" w:cs="Times New Roman"/>
          <w:lang w:eastAsia="de-DE"/>
        </w:rPr>
        <w:t xml:space="preserve">zeigt, dass trotz unterschiedlicher Reinigungszeiten die Opfer gleich sind. </w:t>
      </w:r>
      <w:r w:rsidRPr="00F75E3B">
        <w:rPr>
          <w:rFonts w:eastAsia="Times New Roman" w:cs="Times New Roman"/>
          <w:b/>
          <w:bCs/>
          <w:rtl/>
          <w:lang w:eastAsia="de-DE"/>
        </w:rPr>
        <w:t>כבש בן־שנתו</w:t>
      </w:r>
      <w:r w:rsidRPr="00F75E3B">
        <w:rPr>
          <w:rFonts w:eastAsia="Times New Roman" w:cs="Times New Roman"/>
          <w:rtl/>
          <w:lang w:eastAsia="de-DE"/>
        </w:rPr>
        <w:t xml:space="preserve"> </w:t>
      </w:r>
      <w:r w:rsidRPr="00F75E3B">
        <w:rPr>
          <w:rFonts w:eastAsia="Times New Roman" w:cs="Times New Roman"/>
          <w:lang w:eastAsia="de-DE"/>
        </w:rPr>
        <w:t xml:space="preserve">als wertvolleres </w:t>
      </w:r>
      <w:r w:rsidRPr="00F75E3B">
        <w:rPr>
          <w:rFonts w:eastAsia="Times New Roman" w:cs="Times New Roman"/>
          <w:b/>
          <w:bCs/>
          <w:rtl/>
          <w:lang w:eastAsia="de-DE"/>
        </w:rPr>
        <w:t>עלה</w:t>
      </w:r>
      <w:r w:rsidRPr="00F75E3B">
        <w:rPr>
          <w:rFonts w:eastAsia="Times New Roman" w:cs="Times New Roman"/>
          <w:lang w:eastAsia="de-DE"/>
        </w:rPr>
        <w:t xml:space="preserve">, </w:t>
      </w:r>
      <w:r w:rsidRPr="00F75E3B">
        <w:rPr>
          <w:rFonts w:eastAsia="Times New Roman" w:cs="Times New Roman"/>
          <w:b/>
          <w:bCs/>
          <w:rtl/>
          <w:lang w:eastAsia="de-DE"/>
        </w:rPr>
        <w:t>בן־יונה או־תר</w:t>
      </w:r>
      <w:r w:rsidRPr="00F75E3B">
        <w:rPr>
          <w:rFonts w:eastAsia="Times New Roman" w:cs="Times New Roman"/>
          <w:rtl/>
          <w:lang w:eastAsia="de-DE"/>
        </w:rPr>
        <w:t xml:space="preserve"> </w:t>
      </w:r>
      <w:r w:rsidRPr="00F75E3B">
        <w:rPr>
          <w:rFonts w:eastAsia="Times New Roman" w:cs="Times New Roman"/>
          <w:lang w:eastAsia="de-DE"/>
        </w:rPr>
        <w:t xml:space="preserve">als günstigeres </w:t>
      </w:r>
      <w:r w:rsidRPr="00F75E3B">
        <w:rPr>
          <w:rFonts w:eastAsia="Times New Roman" w:cs="Times New Roman"/>
          <w:b/>
          <w:bCs/>
          <w:rtl/>
          <w:lang w:eastAsia="de-DE"/>
        </w:rPr>
        <w:t>חטאת</w:t>
      </w:r>
      <w:r w:rsidRPr="00F75E3B">
        <w:rPr>
          <w:rFonts w:eastAsia="Times New Roman" w:cs="Times New Roman"/>
          <w:lang w:eastAsia="de-DE"/>
        </w:rPr>
        <w:t>.</w:t>
      </w:r>
    </w:p>
    <w:p w14:paraId="20CFB7FF" w14:textId="0D0C6D43"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כבש בן־שנתו</w:t>
      </w:r>
      <w:r w:rsidR="007660B2">
        <w:t xml:space="preserve"> (</w:t>
      </w:r>
      <w:proofErr w:type="spellStart"/>
      <w:r w:rsidR="007660B2">
        <w:t>keves</w:t>
      </w:r>
      <w:proofErr w:type="spellEnd"/>
      <w:r w:rsidR="007660B2">
        <w:t xml:space="preserve"> ben-</w:t>
      </w:r>
      <w:proofErr w:type="spellStart"/>
      <w:r w:rsidR="007660B2">
        <w:t>shenato</w:t>
      </w:r>
      <w:proofErr w:type="spellEnd"/>
      <w:r w:rsidR="007660B2">
        <w:t xml:space="preserve"> - "ein einjähriges Lamm") als </w:t>
      </w:r>
      <w:proofErr w:type="spellStart"/>
      <w:r w:rsidR="007660B2">
        <w:t>ἀμνὸν</w:t>
      </w:r>
      <w:proofErr w:type="spellEnd"/>
      <w:r w:rsidR="007660B2">
        <w:t xml:space="preserve"> </w:t>
      </w:r>
      <w:proofErr w:type="spellStart"/>
      <w:r w:rsidR="007660B2">
        <w:t>ἐνι</w:t>
      </w:r>
      <w:proofErr w:type="spellEnd"/>
      <w:r w:rsidR="007660B2">
        <w:t xml:space="preserve">αύσιον </w:t>
      </w:r>
      <w:proofErr w:type="spellStart"/>
      <w:r w:rsidR="007660B2">
        <w:t>ἄμωμον</w:t>
      </w:r>
      <w:proofErr w:type="spellEnd"/>
      <w:r w:rsidR="007660B2">
        <w:t xml:space="preserve"> (ein einjähriges makelloses Lamm), wobei sie das Attribut "makellos" hinzufügt, das im hebräischen Text nicht steht.</w:t>
      </w:r>
    </w:p>
    <w:p w14:paraId="5BD27AB1"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Opferregelung nach Reinigung: Zeitpunkt + Geschlechtsunabhängigkeit + zwei Opferarten mit Spezifikationen + Ort + Empfänger. Die Struktur zeigt den Abschluss der Reinigung durch Opfer.</w:t>
      </w:r>
    </w:p>
    <w:p w14:paraId="34B9B5F6" w14:textId="59E6862C"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 xml:space="preserve">Dieser Vers regelt die abschließenden Reinigungsopfer nach Erfüllung der Reinigungszeit: </w:t>
      </w:r>
      <w:r w:rsidR="00CF10E7">
        <w:rPr>
          <w:rFonts w:eastAsia="Times New Roman" w:cs="Times New Roman"/>
          <w:lang w:eastAsia="de-DE"/>
        </w:rPr>
        <w:t>Aufsteigeopfer</w:t>
      </w:r>
      <w:r w:rsidRPr="00F75E3B">
        <w:rPr>
          <w:rFonts w:eastAsia="Times New Roman" w:cs="Times New Roman"/>
          <w:lang w:eastAsia="de-DE"/>
        </w:rPr>
        <w:t xml:space="preserve"> und Sündopfer.</w:t>
      </w:r>
    </w:p>
    <w:p w14:paraId="53867A27"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12,7</w:t>
      </w:r>
    </w:p>
    <w:p w14:paraId="6909179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וְהִקְרִיבֹ֞ו לִפְנֵ֤י יְהוָה֙ וְכִפֶּ֣ר עָלֶ֔יהָ וְטָהֲרָ֖ה מִמְּקֹ֣ר דָּמֶ֑יהָ זֹ֤את תּוֹרַת֙ הַיֹּלֶ֔דֶת לַזָּכָ֖ר א֥וֹ לַנְּקֵבָֽה׃</w:t>
      </w:r>
    </w:p>
    <w:p w14:paraId="1CD9D0A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lastRenderedPageBreak/>
        <w:t>Deutsch:</w:t>
      </w:r>
      <w:r w:rsidRPr="00F75E3B">
        <w:rPr>
          <w:rFonts w:eastAsia="Times New Roman" w:cs="Times New Roman"/>
          <w:lang w:eastAsia="de-DE"/>
        </w:rPr>
        <w:t xml:space="preserve"> Und er soll es vor dem Ewigen darbringen und Sühne für sie erwirken, und sie wird rein sein von der Quelle ihres Blutes. Dies ist die Torah für die Gebärende, bei einem männlichen oder einem weiblichen Kind.</w:t>
      </w:r>
    </w:p>
    <w:p w14:paraId="6B2621E8"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47FF45F9">
          <v:rect id="_x0000_i1330" style="width:0;height:1.5pt" o:hralign="center" o:hrstd="t" o:hr="t" fillcolor="#a0a0a0" stroked="f"/>
        </w:pict>
      </w:r>
    </w:p>
    <w:p w14:paraId="30EFA490"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והקריבו לפני יהוה וכפר עליה וטהרה ממקור דמיה</w:t>
      </w:r>
      <w:r w:rsidRPr="00F75E3B">
        <w:rPr>
          <w:rFonts w:eastAsia="Times New Roman" w:cs="Times New Roman"/>
          <w:rtl/>
          <w:lang w:eastAsia="de-DE"/>
        </w:rPr>
        <w:t xml:space="preserve"> </w:t>
      </w:r>
      <w:r w:rsidRPr="00F75E3B">
        <w:rPr>
          <w:rFonts w:eastAsia="Times New Roman" w:cs="Times New Roman"/>
          <w:lang w:eastAsia="de-DE"/>
        </w:rPr>
        <w:t xml:space="preserve">zeigt die priesterliche Handlung und Wirkung. </w:t>
      </w:r>
      <w:r w:rsidRPr="00F75E3B">
        <w:rPr>
          <w:rFonts w:eastAsia="Times New Roman" w:cs="Times New Roman"/>
          <w:b/>
          <w:bCs/>
          <w:rtl/>
          <w:lang w:eastAsia="de-DE"/>
        </w:rPr>
        <w:t>והקריבו לפני יהוה</w:t>
      </w:r>
      <w:r w:rsidRPr="00F75E3B">
        <w:rPr>
          <w:rFonts w:eastAsia="Times New Roman" w:cs="Times New Roman"/>
          <w:rtl/>
          <w:lang w:eastAsia="de-DE"/>
        </w:rPr>
        <w:t xml:space="preserve"> </w:t>
      </w:r>
      <w:r w:rsidRPr="00F75E3B">
        <w:rPr>
          <w:rFonts w:eastAsia="Times New Roman" w:cs="Times New Roman"/>
          <w:lang w:eastAsia="de-DE"/>
        </w:rPr>
        <w:t xml:space="preserve">(und er soll es darbringen vor JHWH) - </w:t>
      </w:r>
      <w:r w:rsidRPr="00F75E3B">
        <w:rPr>
          <w:rFonts w:eastAsia="Times New Roman" w:cs="Times New Roman"/>
          <w:b/>
          <w:bCs/>
          <w:rtl/>
          <w:lang w:eastAsia="de-DE"/>
        </w:rPr>
        <w:t>קרב</w:t>
      </w:r>
      <w:r w:rsidRPr="00F75E3B">
        <w:rPr>
          <w:rFonts w:eastAsia="Times New Roman" w:cs="Times New Roman"/>
          <w:rtl/>
          <w:lang w:eastAsia="de-DE"/>
        </w:rPr>
        <w:t xml:space="preserve"> </w:t>
      </w:r>
      <w:r w:rsidRPr="00F75E3B">
        <w:rPr>
          <w:rFonts w:eastAsia="Times New Roman" w:cs="Times New Roman"/>
          <w:lang w:eastAsia="de-DE"/>
        </w:rPr>
        <w:t xml:space="preserve">im Hifil-Perfekt mit Waw-Konsekutiv, </w:t>
      </w:r>
      <w:r w:rsidRPr="00F75E3B">
        <w:rPr>
          <w:rFonts w:eastAsia="Times New Roman" w:cs="Times New Roman"/>
          <w:b/>
          <w:bCs/>
          <w:rtl/>
          <w:lang w:eastAsia="de-DE"/>
        </w:rPr>
        <w:t>לפני יהוה</w:t>
      </w:r>
      <w:r w:rsidRPr="00F75E3B">
        <w:rPr>
          <w:rFonts w:eastAsia="Times New Roman" w:cs="Times New Roman"/>
          <w:rtl/>
          <w:lang w:eastAsia="de-DE"/>
        </w:rPr>
        <w:t xml:space="preserve"> </w:t>
      </w:r>
      <w:r w:rsidRPr="00F75E3B">
        <w:rPr>
          <w:rFonts w:eastAsia="Times New Roman" w:cs="Times New Roman"/>
          <w:lang w:eastAsia="de-DE"/>
        </w:rPr>
        <w:t xml:space="preserve">(vor JHWH) als sakraler Rahmen. </w:t>
      </w:r>
      <w:r w:rsidRPr="00F75E3B">
        <w:rPr>
          <w:rFonts w:eastAsia="Times New Roman" w:cs="Times New Roman"/>
          <w:b/>
          <w:bCs/>
          <w:rtl/>
          <w:lang w:eastAsia="de-DE"/>
        </w:rPr>
        <w:t>וכפר עליה</w:t>
      </w:r>
      <w:r w:rsidRPr="00F75E3B">
        <w:rPr>
          <w:rFonts w:eastAsia="Times New Roman" w:cs="Times New Roman"/>
          <w:rtl/>
          <w:lang w:eastAsia="de-DE"/>
        </w:rPr>
        <w:t xml:space="preserve"> </w:t>
      </w:r>
      <w:r w:rsidRPr="00F75E3B">
        <w:rPr>
          <w:rFonts w:eastAsia="Times New Roman" w:cs="Times New Roman"/>
          <w:lang w:eastAsia="de-DE"/>
        </w:rPr>
        <w:t xml:space="preserve">(und er soll Sühne erwirken für sie) - </w:t>
      </w:r>
      <w:r w:rsidRPr="00F75E3B">
        <w:rPr>
          <w:rFonts w:eastAsia="Times New Roman" w:cs="Times New Roman"/>
          <w:b/>
          <w:bCs/>
          <w:rtl/>
          <w:lang w:eastAsia="de-DE"/>
        </w:rPr>
        <w:t>כפר</w:t>
      </w:r>
      <w:r w:rsidRPr="00F75E3B">
        <w:rPr>
          <w:rFonts w:eastAsia="Times New Roman" w:cs="Times New Roman"/>
          <w:rtl/>
          <w:lang w:eastAsia="de-DE"/>
        </w:rPr>
        <w:t xml:space="preserve"> </w:t>
      </w:r>
      <w:r w:rsidRPr="00F75E3B">
        <w:rPr>
          <w:rFonts w:eastAsia="Times New Roman" w:cs="Times New Roman"/>
          <w:lang w:eastAsia="de-DE"/>
        </w:rPr>
        <w:t xml:space="preserve">(sühnen) im Piel-Perfekt mit Waw-Konsekutiv. </w:t>
      </w:r>
      <w:r w:rsidRPr="00F75E3B">
        <w:rPr>
          <w:rFonts w:eastAsia="Times New Roman" w:cs="Times New Roman"/>
          <w:b/>
          <w:bCs/>
          <w:rtl/>
          <w:lang w:eastAsia="de-DE"/>
        </w:rPr>
        <w:t>וטהרה ממקור דמיה</w:t>
      </w:r>
      <w:r w:rsidRPr="00F75E3B">
        <w:rPr>
          <w:rFonts w:eastAsia="Times New Roman" w:cs="Times New Roman"/>
          <w:rtl/>
          <w:lang w:eastAsia="de-DE"/>
        </w:rPr>
        <w:t xml:space="preserve"> </w:t>
      </w:r>
      <w:r w:rsidRPr="00F75E3B">
        <w:rPr>
          <w:rFonts w:eastAsia="Times New Roman" w:cs="Times New Roman"/>
          <w:lang w:eastAsia="de-DE"/>
        </w:rPr>
        <w:t xml:space="preserve">(und sie wird rein von der Quelle ihres Blutes) - </w:t>
      </w:r>
      <w:r w:rsidRPr="00F75E3B">
        <w:rPr>
          <w:rFonts w:eastAsia="Times New Roman" w:cs="Times New Roman"/>
          <w:b/>
          <w:bCs/>
          <w:rtl/>
          <w:lang w:eastAsia="de-DE"/>
        </w:rPr>
        <w:t>טהר</w:t>
      </w:r>
      <w:r w:rsidRPr="00F75E3B">
        <w:rPr>
          <w:rFonts w:eastAsia="Times New Roman" w:cs="Times New Roman"/>
          <w:rtl/>
          <w:lang w:eastAsia="de-DE"/>
        </w:rPr>
        <w:t xml:space="preserve"> </w:t>
      </w:r>
      <w:r w:rsidRPr="00F75E3B">
        <w:rPr>
          <w:rFonts w:eastAsia="Times New Roman" w:cs="Times New Roman"/>
          <w:lang w:eastAsia="de-DE"/>
        </w:rPr>
        <w:t xml:space="preserve">(rein werden) im Qal-Perfekt mit Waw-Konsekutiv, </w:t>
      </w:r>
      <w:r w:rsidRPr="00F75E3B">
        <w:rPr>
          <w:rFonts w:eastAsia="Times New Roman" w:cs="Times New Roman"/>
          <w:b/>
          <w:bCs/>
          <w:rtl/>
          <w:lang w:eastAsia="de-DE"/>
        </w:rPr>
        <w:t>ממקור דמיה</w:t>
      </w:r>
      <w:r w:rsidRPr="00F75E3B">
        <w:rPr>
          <w:rFonts w:eastAsia="Times New Roman" w:cs="Times New Roman"/>
          <w:rtl/>
          <w:lang w:eastAsia="de-DE"/>
        </w:rPr>
        <w:t xml:space="preserve"> </w:t>
      </w:r>
      <w:r w:rsidRPr="00F75E3B">
        <w:rPr>
          <w:rFonts w:eastAsia="Times New Roman" w:cs="Times New Roman"/>
          <w:lang w:eastAsia="de-DE"/>
        </w:rPr>
        <w:t xml:space="preserve">(von der Quelle ihres Blutes) mit </w:t>
      </w:r>
      <w:r w:rsidRPr="00F75E3B">
        <w:rPr>
          <w:rFonts w:eastAsia="Times New Roman" w:cs="Times New Roman"/>
          <w:b/>
          <w:bCs/>
          <w:rtl/>
          <w:lang w:eastAsia="de-DE"/>
        </w:rPr>
        <w:t>מקור</w:t>
      </w:r>
      <w:r w:rsidRPr="00F75E3B">
        <w:rPr>
          <w:rFonts w:eastAsia="Times New Roman" w:cs="Times New Roman"/>
          <w:rtl/>
          <w:lang w:eastAsia="de-DE"/>
        </w:rPr>
        <w:t xml:space="preserve"> </w:t>
      </w:r>
      <w:r w:rsidRPr="00F75E3B">
        <w:rPr>
          <w:rFonts w:eastAsia="Times New Roman" w:cs="Times New Roman"/>
          <w:lang w:eastAsia="de-DE"/>
        </w:rPr>
        <w:t>(Quelle) und Possessivsuffix.</w:t>
      </w:r>
    </w:p>
    <w:p w14:paraId="7488F5B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זאת תורת הילדת לזכר או לנקבה</w:t>
      </w:r>
      <w:r w:rsidRPr="00F75E3B">
        <w:rPr>
          <w:rFonts w:eastAsia="Times New Roman" w:cs="Times New Roman"/>
          <w:rtl/>
          <w:lang w:eastAsia="de-DE"/>
        </w:rPr>
        <w:t xml:space="preserve"> </w:t>
      </w:r>
      <w:r w:rsidRPr="00F75E3B">
        <w:rPr>
          <w:rFonts w:eastAsia="Times New Roman" w:cs="Times New Roman"/>
          <w:lang w:eastAsia="de-DE"/>
        </w:rPr>
        <w:t xml:space="preserve">ist die abschließende Formel. </w:t>
      </w:r>
      <w:r w:rsidRPr="00F75E3B">
        <w:rPr>
          <w:rFonts w:eastAsia="Times New Roman" w:cs="Times New Roman"/>
          <w:b/>
          <w:bCs/>
          <w:rtl/>
          <w:lang w:eastAsia="de-DE"/>
        </w:rPr>
        <w:t>זאת תורת הילדת</w:t>
      </w:r>
      <w:r w:rsidRPr="00F75E3B">
        <w:rPr>
          <w:rFonts w:eastAsia="Times New Roman" w:cs="Times New Roman"/>
          <w:rtl/>
          <w:lang w:eastAsia="de-DE"/>
        </w:rPr>
        <w:t xml:space="preserve"> </w:t>
      </w:r>
      <w:r w:rsidRPr="00F75E3B">
        <w:rPr>
          <w:rFonts w:eastAsia="Times New Roman" w:cs="Times New Roman"/>
          <w:lang w:eastAsia="de-DE"/>
        </w:rPr>
        <w:t xml:space="preserve">(dies ist die Torah der Gebärenden) - </w:t>
      </w:r>
      <w:r w:rsidRPr="00F75E3B">
        <w:rPr>
          <w:rFonts w:eastAsia="Times New Roman" w:cs="Times New Roman"/>
          <w:b/>
          <w:bCs/>
          <w:rtl/>
          <w:lang w:eastAsia="de-DE"/>
        </w:rPr>
        <w:t>תורת</w:t>
      </w:r>
      <w:r w:rsidRPr="00F75E3B">
        <w:rPr>
          <w:rFonts w:eastAsia="Times New Roman" w:cs="Times New Roman"/>
          <w:rtl/>
          <w:lang w:eastAsia="de-DE"/>
        </w:rPr>
        <w:t xml:space="preserve"> </w:t>
      </w:r>
      <w:r w:rsidRPr="00F75E3B">
        <w:rPr>
          <w:rFonts w:eastAsia="Times New Roman" w:cs="Times New Roman"/>
          <w:lang w:eastAsia="de-DE"/>
        </w:rPr>
        <w:t xml:space="preserve">(Torah/Lehre) mit </w:t>
      </w:r>
      <w:r w:rsidRPr="00F75E3B">
        <w:rPr>
          <w:rFonts w:eastAsia="Times New Roman" w:cs="Times New Roman"/>
          <w:b/>
          <w:bCs/>
          <w:rtl/>
          <w:lang w:eastAsia="de-DE"/>
        </w:rPr>
        <w:t>הילדת</w:t>
      </w:r>
      <w:r w:rsidRPr="00F75E3B">
        <w:rPr>
          <w:rFonts w:eastAsia="Times New Roman" w:cs="Times New Roman"/>
          <w:rtl/>
          <w:lang w:eastAsia="de-DE"/>
        </w:rPr>
        <w:t xml:space="preserve"> </w:t>
      </w:r>
      <w:r w:rsidRPr="00F75E3B">
        <w:rPr>
          <w:rFonts w:eastAsia="Times New Roman" w:cs="Times New Roman"/>
          <w:lang w:eastAsia="de-DE"/>
        </w:rPr>
        <w:t xml:space="preserve">(die Gebärende) als Partizip feminin. </w:t>
      </w:r>
      <w:r w:rsidRPr="00F75E3B">
        <w:rPr>
          <w:rFonts w:eastAsia="Times New Roman" w:cs="Times New Roman"/>
          <w:b/>
          <w:bCs/>
          <w:rtl/>
          <w:lang w:eastAsia="de-DE"/>
        </w:rPr>
        <w:t>לזכר או לנקבה</w:t>
      </w:r>
      <w:r w:rsidRPr="00F75E3B">
        <w:rPr>
          <w:rFonts w:eastAsia="Times New Roman" w:cs="Times New Roman"/>
          <w:rtl/>
          <w:lang w:eastAsia="de-DE"/>
        </w:rPr>
        <w:t xml:space="preserve"> </w:t>
      </w:r>
      <w:r w:rsidRPr="00F75E3B">
        <w:rPr>
          <w:rFonts w:eastAsia="Times New Roman" w:cs="Times New Roman"/>
          <w:lang w:eastAsia="de-DE"/>
        </w:rPr>
        <w:t>(für einen männlichen oder für ein weibliches Kind) zeigt die Geltung für beide Geschlechter.</w:t>
      </w:r>
    </w:p>
    <w:p w14:paraId="4547394F"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ממקור דמיה</w:t>
      </w:r>
      <w:r w:rsidRPr="00F75E3B">
        <w:rPr>
          <w:rFonts w:eastAsia="Times New Roman" w:cs="Times New Roman"/>
          <w:rtl/>
          <w:lang w:eastAsia="de-DE"/>
        </w:rPr>
        <w:t xml:space="preserve"> </w:t>
      </w:r>
      <w:r w:rsidRPr="00F75E3B">
        <w:rPr>
          <w:rFonts w:eastAsia="Times New Roman" w:cs="Times New Roman"/>
          <w:lang w:eastAsia="de-DE"/>
        </w:rPr>
        <w:t xml:space="preserve">zeigt, dass die Unreinheit mit der Blutung der Geburt zusammenhängt. </w:t>
      </w:r>
      <w:r w:rsidRPr="00F75E3B">
        <w:rPr>
          <w:rFonts w:eastAsia="Times New Roman" w:cs="Times New Roman"/>
          <w:b/>
          <w:bCs/>
          <w:rtl/>
          <w:lang w:eastAsia="de-DE"/>
        </w:rPr>
        <w:t>כפר עליה</w:t>
      </w:r>
      <w:r w:rsidRPr="00F75E3B">
        <w:rPr>
          <w:rFonts w:eastAsia="Times New Roman" w:cs="Times New Roman"/>
          <w:rtl/>
          <w:lang w:eastAsia="de-DE"/>
        </w:rPr>
        <w:t xml:space="preserve"> </w:t>
      </w:r>
      <w:r w:rsidRPr="00F75E3B">
        <w:rPr>
          <w:rFonts w:eastAsia="Times New Roman" w:cs="Times New Roman"/>
          <w:lang w:eastAsia="de-DE"/>
        </w:rPr>
        <w:t xml:space="preserve">als notwendige Sühne für die Wiederherstellung der Reinheit. </w:t>
      </w:r>
      <w:r w:rsidRPr="00F75E3B">
        <w:rPr>
          <w:rFonts w:eastAsia="Times New Roman" w:cs="Times New Roman"/>
          <w:b/>
          <w:bCs/>
          <w:rtl/>
          <w:lang w:eastAsia="de-DE"/>
        </w:rPr>
        <w:t>תורת הילדת</w:t>
      </w:r>
      <w:r w:rsidRPr="00F75E3B">
        <w:rPr>
          <w:rFonts w:eastAsia="Times New Roman" w:cs="Times New Roman"/>
          <w:rtl/>
          <w:lang w:eastAsia="de-DE"/>
        </w:rPr>
        <w:t xml:space="preserve"> </w:t>
      </w:r>
      <w:r w:rsidRPr="00F75E3B">
        <w:rPr>
          <w:rFonts w:eastAsia="Times New Roman" w:cs="Times New Roman"/>
          <w:lang w:eastAsia="de-DE"/>
        </w:rPr>
        <w:t>als zusammenfassende Bezeichnung.</w:t>
      </w:r>
    </w:p>
    <w:p w14:paraId="586E5EA5" w14:textId="5DA75A33"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ממקר דמיה</w:t>
      </w:r>
      <w:r w:rsidR="007660B2">
        <w:t xml:space="preserve"> (</w:t>
      </w:r>
      <w:proofErr w:type="spellStart"/>
      <w:r w:rsidR="007660B2">
        <w:t>mimeqor</w:t>
      </w:r>
      <w:proofErr w:type="spellEnd"/>
      <w:r w:rsidR="007660B2">
        <w:t xml:space="preserve"> </w:t>
      </w:r>
      <w:proofErr w:type="spellStart"/>
      <w:r w:rsidR="007660B2">
        <w:t>dameha</w:t>
      </w:r>
      <w:proofErr w:type="spellEnd"/>
      <w:r w:rsidR="007660B2">
        <w:t xml:space="preserve"> - "von der Quelle ihres Blutes") als ἀπὸ </w:t>
      </w:r>
      <w:proofErr w:type="spellStart"/>
      <w:r w:rsidR="007660B2">
        <w:t>τῆς</w:t>
      </w:r>
      <w:proofErr w:type="spellEnd"/>
      <w:r w:rsidR="007660B2">
        <w:t xml:space="preserve"> π</w:t>
      </w:r>
      <w:proofErr w:type="spellStart"/>
      <w:r w:rsidR="007660B2">
        <w:t>ηγῆς</w:t>
      </w:r>
      <w:proofErr w:type="spellEnd"/>
      <w:r w:rsidR="007660B2">
        <w:t xml:space="preserve"> </w:t>
      </w:r>
      <w:proofErr w:type="spellStart"/>
      <w:r w:rsidR="007660B2">
        <w:t>τοῦ</w:t>
      </w:r>
      <w:proofErr w:type="spellEnd"/>
      <w:r w:rsidR="007660B2">
        <w:t xml:space="preserve"> α</w:t>
      </w:r>
      <w:proofErr w:type="spellStart"/>
      <w:r w:rsidR="007660B2">
        <w:t>ἵμ</w:t>
      </w:r>
      <w:proofErr w:type="spellEnd"/>
      <w:r w:rsidR="007660B2">
        <w:t>ατος α</w:t>
      </w:r>
      <w:proofErr w:type="spellStart"/>
      <w:r w:rsidR="007660B2">
        <w:t>ὐτῆς</w:t>
      </w:r>
      <w:proofErr w:type="spellEnd"/>
      <w:r w:rsidR="007660B2">
        <w:t xml:space="preserve"> (von der Quelle ihres Blutes), was eine direkte Entsprechung darstellt.</w:t>
      </w:r>
    </w:p>
    <w:p w14:paraId="1D31BCB5"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Opferwirkung plus Zusammenfassung: priesterliche Darbringung + Sühne + Reinigung mit Quellenangabe + Torah-Formel + Geltungsbereich. Die Struktur schließt das Reinigungssystem ab.</w:t>
      </w:r>
    </w:p>
    <w:p w14:paraId="18211A4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Vers zeigt die sühnende Wirkung der Opfer und schließt mit einer zusammenfassenden Torah-Formel für beide Geschlechter ab.</w:t>
      </w:r>
    </w:p>
    <w:p w14:paraId="48FA34A4" w14:textId="77777777" w:rsidR="00F75E3B" w:rsidRPr="00F75E3B" w:rsidRDefault="00F75E3B" w:rsidP="00F75E3B">
      <w:pPr>
        <w:spacing w:before="100" w:beforeAutospacing="1" w:after="100" w:afterAutospacing="1" w:line="240" w:lineRule="auto"/>
        <w:outlineLvl w:val="1"/>
        <w:rPr>
          <w:rFonts w:eastAsia="Times New Roman" w:cs="Times New Roman"/>
          <w:b/>
          <w:bCs/>
          <w:sz w:val="36"/>
          <w:szCs w:val="36"/>
          <w:lang w:eastAsia="de-DE"/>
        </w:rPr>
      </w:pPr>
      <w:r w:rsidRPr="00F75E3B">
        <w:rPr>
          <w:rFonts w:eastAsia="Times New Roman" w:cs="Times New Roman"/>
          <w:b/>
          <w:bCs/>
          <w:sz w:val="36"/>
          <w:szCs w:val="36"/>
          <w:lang w:eastAsia="de-DE"/>
        </w:rPr>
        <w:t>Leviticus 12,8</w:t>
      </w:r>
    </w:p>
    <w:p w14:paraId="41C2546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Hebräisch:</w:t>
      </w:r>
      <w:r w:rsidRPr="00F75E3B">
        <w:rPr>
          <w:rFonts w:eastAsia="Times New Roman" w:cs="Times New Roman"/>
          <w:lang w:eastAsia="de-DE"/>
        </w:rPr>
        <w:t xml:space="preserve"> </w:t>
      </w:r>
      <w:r w:rsidRPr="00F75E3B">
        <w:rPr>
          <w:rFonts w:eastAsia="Times New Roman" w:cs="Times New Roman"/>
          <w:rtl/>
          <w:lang w:eastAsia="de-DE"/>
        </w:rPr>
        <w:t>וְאִם־לֹ֨א תִמְצָ֣א יָדָהּ֮ דֵּ֣י שֶׂה֒ וְלָקְחָ֣ה שְׁתֵּֽי־תֹרִ֗ים א֤וֹ שְׁנֵי֙ בְּנֵ֣י יוֹנָ֔ה אֶחָ֥ד לְעֹלָ֖ה וְאֶחָ֣ד לְחַטָּ֑את וְכִפֶּ֥ר עָלֶ֛יהָ הַכֹּהֵ֖ן וְטָהֵֽרָה׃</w:t>
      </w:r>
    </w:p>
    <w:p w14:paraId="572D425E" w14:textId="16EF734F"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Deutsch:</w:t>
      </w:r>
      <w:r w:rsidRPr="00F75E3B">
        <w:rPr>
          <w:rFonts w:eastAsia="Times New Roman" w:cs="Times New Roman"/>
          <w:lang w:eastAsia="de-DE"/>
        </w:rPr>
        <w:t xml:space="preserve"> Und wenn ihre Hand nicht Genüge eines Schafes findet, so soll sie zwei Turteltauben oder zwei junge Tauben nehmen, eine zum </w:t>
      </w:r>
      <w:r w:rsidR="00CF10E7">
        <w:rPr>
          <w:rFonts w:eastAsia="Times New Roman" w:cs="Times New Roman"/>
          <w:lang w:eastAsia="de-DE"/>
        </w:rPr>
        <w:t>Aufsteigeopfer</w:t>
      </w:r>
      <w:r w:rsidRPr="00F75E3B">
        <w:rPr>
          <w:rFonts w:eastAsia="Times New Roman" w:cs="Times New Roman"/>
          <w:lang w:eastAsia="de-DE"/>
        </w:rPr>
        <w:t xml:space="preserve"> und eine zum Sündopfer; und der Priester soll Sühne für sie erwirken, und sie wird rein sein.</w:t>
      </w:r>
    </w:p>
    <w:p w14:paraId="7E580482" w14:textId="77777777" w:rsidR="00F75E3B" w:rsidRPr="00F75E3B" w:rsidRDefault="00A57720" w:rsidP="00F75E3B">
      <w:pPr>
        <w:spacing w:after="0" w:line="240" w:lineRule="auto"/>
        <w:rPr>
          <w:rFonts w:eastAsia="Times New Roman" w:cs="Times New Roman"/>
          <w:lang w:eastAsia="de-DE"/>
        </w:rPr>
      </w:pPr>
      <w:r>
        <w:rPr>
          <w:rFonts w:eastAsia="Times New Roman" w:cs="Times New Roman"/>
          <w:noProof/>
          <w:lang w:eastAsia="de-DE"/>
        </w:rPr>
        <w:pict w14:anchorId="272C2A24">
          <v:rect id="_x0000_i1331" style="width:0;height:1.5pt" o:hralign="center" o:hrstd="t" o:hr="t" fillcolor="#a0a0a0" stroked="f"/>
        </w:pict>
      </w:r>
    </w:p>
    <w:p w14:paraId="11B1F2CE"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Kommentar:</w:t>
      </w:r>
      <w:r w:rsidRPr="00F75E3B">
        <w:rPr>
          <w:rFonts w:eastAsia="Times New Roman" w:cs="Times New Roman"/>
          <w:lang w:eastAsia="de-DE"/>
        </w:rPr>
        <w:t xml:space="preserve"> </w:t>
      </w:r>
      <w:r w:rsidRPr="00F75E3B">
        <w:rPr>
          <w:rFonts w:eastAsia="Times New Roman" w:cs="Times New Roman"/>
          <w:b/>
          <w:bCs/>
          <w:rtl/>
          <w:lang w:eastAsia="de-DE"/>
        </w:rPr>
        <w:t>ואם־לא תמצא ידה די שה</w:t>
      </w:r>
      <w:r w:rsidRPr="00F75E3B">
        <w:rPr>
          <w:rFonts w:eastAsia="Times New Roman" w:cs="Times New Roman"/>
          <w:rtl/>
          <w:lang w:eastAsia="de-DE"/>
        </w:rPr>
        <w:t xml:space="preserve"> </w:t>
      </w:r>
      <w:r w:rsidRPr="00F75E3B">
        <w:rPr>
          <w:rFonts w:eastAsia="Times New Roman" w:cs="Times New Roman"/>
          <w:lang w:eastAsia="de-DE"/>
        </w:rPr>
        <w:t xml:space="preserve">zeigt die Armenprovision. </w:t>
      </w:r>
      <w:r w:rsidRPr="00F75E3B">
        <w:rPr>
          <w:rFonts w:eastAsia="Times New Roman" w:cs="Times New Roman"/>
          <w:b/>
          <w:bCs/>
          <w:rtl/>
          <w:lang w:eastAsia="de-DE"/>
        </w:rPr>
        <w:t>ואם־לא תמצא ידה</w:t>
      </w:r>
      <w:r w:rsidRPr="00F75E3B">
        <w:rPr>
          <w:rFonts w:eastAsia="Times New Roman" w:cs="Times New Roman"/>
          <w:rtl/>
          <w:lang w:eastAsia="de-DE"/>
        </w:rPr>
        <w:t xml:space="preserve"> </w:t>
      </w:r>
      <w:r w:rsidRPr="00F75E3B">
        <w:rPr>
          <w:rFonts w:eastAsia="Times New Roman" w:cs="Times New Roman"/>
          <w:lang w:eastAsia="de-DE"/>
        </w:rPr>
        <w:t xml:space="preserve">(und wenn ihre Hand nicht findet) - </w:t>
      </w:r>
      <w:r w:rsidRPr="00F75E3B">
        <w:rPr>
          <w:rFonts w:eastAsia="Times New Roman" w:cs="Times New Roman"/>
          <w:b/>
          <w:bCs/>
          <w:rtl/>
          <w:lang w:eastAsia="de-DE"/>
        </w:rPr>
        <w:t>אם</w:t>
      </w:r>
      <w:r w:rsidRPr="00F75E3B">
        <w:rPr>
          <w:rFonts w:eastAsia="Times New Roman" w:cs="Times New Roman"/>
          <w:rtl/>
          <w:lang w:eastAsia="de-DE"/>
        </w:rPr>
        <w:t xml:space="preserve"> </w:t>
      </w:r>
      <w:r w:rsidRPr="00F75E3B">
        <w:rPr>
          <w:rFonts w:eastAsia="Times New Roman" w:cs="Times New Roman"/>
          <w:lang w:eastAsia="de-DE"/>
        </w:rPr>
        <w:t xml:space="preserve">als Konditionalspartikel, </w:t>
      </w:r>
      <w:r w:rsidRPr="00F75E3B">
        <w:rPr>
          <w:rFonts w:eastAsia="Times New Roman" w:cs="Times New Roman"/>
          <w:b/>
          <w:bCs/>
          <w:rtl/>
          <w:lang w:eastAsia="de-DE"/>
        </w:rPr>
        <w:t>לא תמצא</w:t>
      </w:r>
      <w:r w:rsidRPr="00F75E3B">
        <w:rPr>
          <w:rFonts w:eastAsia="Times New Roman" w:cs="Times New Roman"/>
          <w:rtl/>
          <w:lang w:eastAsia="de-DE"/>
        </w:rPr>
        <w:t xml:space="preserve"> </w:t>
      </w:r>
      <w:r w:rsidRPr="00F75E3B">
        <w:rPr>
          <w:rFonts w:eastAsia="Times New Roman" w:cs="Times New Roman"/>
          <w:lang w:eastAsia="de-DE"/>
        </w:rPr>
        <w:t xml:space="preserve">(nicht findet) im Qal-Imperfekt mit Negation, </w:t>
      </w:r>
      <w:r w:rsidRPr="00F75E3B">
        <w:rPr>
          <w:rFonts w:eastAsia="Times New Roman" w:cs="Times New Roman"/>
          <w:b/>
          <w:bCs/>
          <w:rtl/>
          <w:lang w:eastAsia="de-DE"/>
        </w:rPr>
        <w:t>ידה</w:t>
      </w:r>
      <w:r w:rsidRPr="00F75E3B">
        <w:rPr>
          <w:rFonts w:eastAsia="Times New Roman" w:cs="Times New Roman"/>
          <w:rtl/>
          <w:lang w:eastAsia="de-DE"/>
        </w:rPr>
        <w:t xml:space="preserve"> </w:t>
      </w:r>
      <w:r w:rsidRPr="00F75E3B">
        <w:rPr>
          <w:rFonts w:eastAsia="Times New Roman" w:cs="Times New Roman"/>
          <w:lang w:eastAsia="de-DE"/>
        </w:rPr>
        <w:t xml:space="preserve">(ihre Hand) als idiomatische Bezeichnung für finanzielle Mittel. </w:t>
      </w:r>
      <w:r w:rsidRPr="00F75E3B">
        <w:rPr>
          <w:rFonts w:eastAsia="Times New Roman" w:cs="Times New Roman"/>
          <w:b/>
          <w:bCs/>
          <w:rtl/>
          <w:lang w:eastAsia="de-DE"/>
        </w:rPr>
        <w:t>די שה</w:t>
      </w:r>
      <w:r w:rsidRPr="00F75E3B">
        <w:rPr>
          <w:rFonts w:eastAsia="Times New Roman" w:cs="Times New Roman"/>
          <w:rtl/>
          <w:lang w:eastAsia="de-DE"/>
        </w:rPr>
        <w:t xml:space="preserve"> </w:t>
      </w:r>
      <w:r w:rsidRPr="00F75E3B">
        <w:rPr>
          <w:rFonts w:eastAsia="Times New Roman" w:cs="Times New Roman"/>
          <w:lang w:eastAsia="de-DE"/>
        </w:rPr>
        <w:t xml:space="preserve">(Genüge eines Schafes) - </w:t>
      </w:r>
      <w:r w:rsidRPr="00F75E3B">
        <w:rPr>
          <w:rFonts w:eastAsia="Times New Roman" w:cs="Times New Roman"/>
          <w:b/>
          <w:bCs/>
          <w:rtl/>
          <w:lang w:eastAsia="de-DE"/>
        </w:rPr>
        <w:t>די</w:t>
      </w:r>
      <w:r w:rsidRPr="00F75E3B">
        <w:rPr>
          <w:rFonts w:eastAsia="Times New Roman" w:cs="Times New Roman"/>
          <w:rtl/>
          <w:lang w:eastAsia="de-DE"/>
        </w:rPr>
        <w:t xml:space="preserve"> </w:t>
      </w:r>
      <w:r w:rsidRPr="00F75E3B">
        <w:rPr>
          <w:rFonts w:eastAsia="Times New Roman" w:cs="Times New Roman"/>
          <w:lang w:eastAsia="de-DE"/>
        </w:rPr>
        <w:t xml:space="preserve">(Genüge/ausreichend) mit </w:t>
      </w:r>
      <w:r w:rsidRPr="00F75E3B">
        <w:rPr>
          <w:rFonts w:eastAsia="Times New Roman" w:cs="Times New Roman"/>
          <w:b/>
          <w:bCs/>
          <w:rtl/>
          <w:lang w:eastAsia="de-DE"/>
        </w:rPr>
        <w:t>שה</w:t>
      </w:r>
      <w:r w:rsidRPr="00F75E3B">
        <w:rPr>
          <w:rFonts w:eastAsia="Times New Roman" w:cs="Times New Roman"/>
          <w:rtl/>
          <w:lang w:eastAsia="de-DE"/>
        </w:rPr>
        <w:t xml:space="preserve"> </w:t>
      </w:r>
      <w:r w:rsidRPr="00F75E3B">
        <w:rPr>
          <w:rFonts w:eastAsia="Times New Roman" w:cs="Times New Roman"/>
          <w:lang w:eastAsia="de-DE"/>
        </w:rPr>
        <w:t>(Schaf).</w:t>
      </w:r>
    </w:p>
    <w:p w14:paraId="72BC7ACF" w14:textId="3205531E"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lastRenderedPageBreak/>
        <w:t>ולקחה שתי־תרים או שני בני יונה אחד לעלה ואחד לחטאת</w:t>
      </w:r>
      <w:r w:rsidRPr="00F75E3B">
        <w:rPr>
          <w:rFonts w:eastAsia="Times New Roman" w:cs="Times New Roman"/>
          <w:rtl/>
          <w:lang w:eastAsia="de-DE"/>
        </w:rPr>
        <w:t xml:space="preserve"> </w:t>
      </w:r>
      <w:r w:rsidRPr="00F75E3B">
        <w:rPr>
          <w:rFonts w:eastAsia="Times New Roman" w:cs="Times New Roman"/>
          <w:lang w:eastAsia="de-DE"/>
        </w:rPr>
        <w:t xml:space="preserve">spezifiziert die Alternativopfer. </w:t>
      </w:r>
      <w:r w:rsidRPr="00F75E3B">
        <w:rPr>
          <w:rFonts w:eastAsia="Times New Roman" w:cs="Times New Roman"/>
          <w:b/>
          <w:bCs/>
          <w:rtl/>
          <w:lang w:eastAsia="de-DE"/>
        </w:rPr>
        <w:t>ולקחה</w:t>
      </w:r>
      <w:r w:rsidRPr="00F75E3B">
        <w:rPr>
          <w:rFonts w:eastAsia="Times New Roman" w:cs="Times New Roman"/>
          <w:rtl/>
          <w:lang w:eastAsia="de-DE"/>
        </w:rPr>
        <w:t xml:space="preserve"> </w:t>
      </w:r>
      <w:r w:rsidRPr="00F75E3B">
        <w:rPr>
          <w:rFonts w:eastAsia="Times New Roman" w:cs="Times New Roman"/>
          <w:lang w:eastAsia="de-DE"/>
        </w:rPr>
        <w:t xml:space="preserve">(und sie soll nehmen) im Qal-Perfekt mit Waw-Konsekutiv. </w:t>
      </w:r>
      <w:r w:rsidRPr="00F75E3B">
        <w:rPr>
          <w:rFonts w:eastAsia="Times New Roman" w:cs="Times New Roman"/>
          <w:b/>
          <w:bCs/>
          <w:rtl/>
          <w:lang w:eastAsia="de-DE"/>
        </w:rPr>
        <w:t>שתי־תרים או שני בני יונה</w:t>
      </w:r>
      <w:r w:rsidRPr="00F75E3B">
        <w:rPr>
          <w:rFonts w:eastAsia="Times New Roman" w:cs="Times New Roman"/>
          <w:rtl/>
          <w:lang w:eastAsia="de-DE"/>
        </w:rPr>
        <w:t xml:space="preserve"> </w:t>
      </w:r>
      <w:r w:rsidRPr="00F75E3B">
        <w:rPr>
          <w:rFonts w:eastAsia="Times New Roman" w:cs="Times New Roman"/>
          <w:lang w:eastAsia="de-DE"/>
        </w:rPr>
        <w:t xml:space="preserve">(zwei Turteltauben oder zwei junge Tauben) - </w:t>
      </w:r>
      <w:r w:rsidRPr="00F75E3B">
        <w:rPr>
          <w:rFonts w:eastAsia="Times New Roman" w:cs="Times New Roman"/>
          <w:b/>
          <w:bCs/>
          <w:rtl/>
          <w:lang w:eastAsia="de-DE"/>
        </w:rPr>
        <w:t>שתי־תרים</w:t>
      </w:r>
      <w:r w:rsidRPr="00F75E3B">
        <w:rPr>
          <w:rFonts w:eastAsia="Times New Roman" w:cs="Times New Roman"/>
          <w:rtl/>
          <w:lang w:eastAsia="de-DE"/>
        </w:rPr>
        <w:t xml:space="preserve"> </w:t>
      </w:r>
      <w:r w:rsidRPr="00F75E3B">
        <w:rPr>
          <w:rFonts w:eastAsia="Times New Roman" w:cs="Times New Roman"/>
          <w:lang w:eastAsia="de-DE"/>
        </w:rPr>
        <w:t xml:space="preserve">(zwei Turteltauben), </w:t>
      </w:r>
      <w:r w:rsidRPr="00F75E3B">
        <w:rPr>
          <w:rFonts w:eastAsia="Times New Roman" w:cs="Times New Roman"/>
          <w:b/>
          <w:bCs/>
          <w:rtl/>
          <w:lang w:eastAsia="de-DE"/>
        </w:rPr>
        <w:t>או שני בני יונה</w:t>
      </w:r>
      <w:r w:rsidRPr="00F75E3B">
        <w:rPr>
          <w:rFonts w:eastAsia="Times New Roman" w:cs="Times New Roman"/>
          <w:rtl/>
          <w:lang w:eastAsia="de-DE"/>
        </w:rPr>
        <w:t xml:space="preserve"> </w:t>
      </w:r>
      <w:r w:rsidRPr="00F75E3B">
        <w:rPr>
          <w:rFonts w:eastAsia="Times New Roman" w:cs="Times New Roman"/>
          <w:lang w:eastAsia="de-DE"/>
        </w:rPr>
        <w:t xml:space="preserve">(oder zwei junge Tauben). </w:t>
      </w:r>
      <w:r w:rsidRPr="00F75E3B">
        <w:rPr>
          <w:rFonts w:eastAsia="Times New Roman" w:cs="Times New Roman"/>
          <w:b/>
          <w:bCs/>
          <w:rtl/>
          <w:lang w:eastAsia="de-DE"/>
        </w:rPr>
        <w:t>אחד לעלה ואחד לחטאת</w:t>
      </w:r>
      <w:r w:rsidRPr="00F75E3B">
        <w:rPr>
          <w:rFonts w:eastAsia="Times New Roman" w:cs="Times New Roman"/>
          <w:rtl/>
          <w:lang w:eastAsia="de-DE"/>
        </w:rPr>
        <w:t xml:space="preserve"> </w:t>
      </w:r>
      <w:r w:rsidRPr="00F75E3B">
        <w:rPr>
          <w:rFonts w:eastAsia="Times New Roman" w:cs="Times New Roman"/>
          <w:lang w:eastAsia="de-DE"/>
        </w:rPr>
        <w:t xml:space="preserve">(eine zum </w:t>
      </w:r>
      <w:r w:rsidR="00CF10E7">
        <w:rPr>
          <w:rFonts w:eastAsia="Times New Roman" w:cs="Times New Roman"/>
          <w:lang w:eastAsia="de-DE"/>
        </w:rPr>
        <w:t>Aufsteigeopfer</w:t>
      </w:r>
      <w:r w:rsidRPr="00F75E3B">
        <w:rPr>
          <w:rFonts w:eastAsia="Times New Roman" w:cs="Times New Roman"/>
          <w:lang w:eastAsia="de-DE"/>
        </w:rPr>
        <w:t xml:space="preserve"> und eine zum Sündopfer) zeigt die Aufteilung.</w:t>
      </w:r>
    </w:p>
    <w:p w14:paraId="43C05D52"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וכפר עליה הכהן וטהרה</w:t>
      </w:r>
      <w:r w:rsidRPr="00F75E3B">
        <w:rPr>
          <w:rFonts w:eastAsia="Times New Roman" w:cs="Times New Roman"/>
          <w:rtl/>
          <w:lang w:eastAsia="de-DE"/>
        </w:rPr>
        <w:t xml:space="preserve"> </w:t>
      </w:r>
      <w:r w:rsidRPr="00F75E3B">
        <w:rPr>
          <w:rFonts w:eastAsia="Times New Roman" w:cs="Times New Roman"/>
          <w:lang w:eastAsia="de-DE"/>
        </w:rPr>
        <w:t xml:space="preserve">zeigt die identische Wirkung. </w:t>
      </w:r>
      <w:r w:rsidRPr="00F75E3B">
        <w:rPr>
          <w:rFonts w:eastAsia="Times New Roman" w:cs="Times New Roman"/>
          <w:b/>
          <w:bCs/>
          <w:rtl/>
          <w:lang w:eastAsia="de-DE"/>
        </w:rPr>
        <w:t>וכפר עליה הכהן</w:t>
      </w:r>
      <w:r w:rsidRPr="00F75E3B">
        <w:rPr>
          <w:rFonts w:eastAsia="Times New Roman" w:cs="Times New Roman"/>
          <w:rtl/>
          <w:lang w:eastAsia="de-DE"/>
        </w:rPr>
        <w:t xml:space="preserve"> </w:t>
      </w:r>
      <w:r w:rsidRPr="00F75E3B">
        <w:rPr>
          <w:rFonts w:eastAsia="Times New Roman" w:cs="Times New Roman"/>
          <w:lang w:eastAsia="de-DE"/>
        </w:rPr>
        <w:t xml:space="preserve">(und der Priester soll Sühne für sie erwirken) entspricht V. 7. </w:t>
      </w:r>
      <w:r w:rsidRPr="00F75E3B">
        <w:rPr>
          <w:rFonts w:eastAsia="Times New Roman" w:cs="Times New Roman"/>
          <w:b/>
          <w:bCs/>
          <w:rtl/>
          <w:lang w:eastAsia="de-DE"/>
        </w:rPr>
        <w:t>וטהרה</w:t>
      </w:r>
      <w:r w:rsidRPr="00F75E3B">
        <w:rPr>
          <w:rFonts w:eastAsia="Times New Roman" w:cs="Times New Roman"/>
          <w:rtl/>
          <w:lang w:eastAsia="de-DE"/>
        </w:rPr>
        <w:t xml:space="preserve"> </w:t>
      </w:r>
      <w:r w:rsidRPr="00F75E3B">
        <w:rPr>
          <w:rFonts w:eastAsia="Times New Roman" w:cs="Times New Roman"/>
          <w:lang w:eastAsia="de-DE"/>
        </w:rPr>
        <w:t>(und sie wird rein) im Qal-Perfekt zeigt dieselbe Reinigung wie bei den teureren Opfern.</w:t>
      </w:r>
    </w:p>
    <w:p w14:paraId="45C8F206"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rtl/>
          <w:lang w:eastAsia="de-DE"/>
        </w:rPr>
        <w:t>לא תמצא ידה די שה</w:t>
      </w:r>
      <w:r w:rsidRPr="00F75E3B">
        <w:rPr>
          <w:rFonts w:eastAsia="Times New Roman" w:cs="Times New Roman"/>
          <w:rtl/>
          <w:lang w:eastAsia="de-DE"/>
        </w:rPr>
        <w:t xml:space="preserve"> </w:t>
      </w:r>
      <w:r w:rsidRPr="00F75E3B">
        <w:rPr>
          <w:rFonts w:eastAsia="Times New Roman" w:cs="Times New Roman"/>
          <w:lang w:eastAsia="de-DE"/>
        </w:rPr>
        <w:t xml:space="preserve">zeigt soziale Rücksichtnahme auf Armut. Die Alternativopfer haben dieselbe sühnende Wirkung wie die Standardopfer. </w:t>
      </w:r>
      <w:r w:rsidRPr="00F75E3B">
        <w:rPr>
          <w:rFonts w:eastAsia="Times New Roman" w:cs="Times New Roman"/>
          <w:b/>
          <w:bCs/>
          <w:rtl/>
          <w:lang w:eastAsia="de-DE"/>
        </w:rPr>
        <w:t>שתי־תרים או שני בני יונה</w:t>
      </w:r>
      <w:r w:rsidRPr="00F75E3B">
        <w:rPr>
          <w:rFonts w:eastAsia="Times New Roman" w:cs="Times New Roman"/>
          <w:rtl/>
          <w:lang w:eastAsia="de-DE"/>
        </w:rPr>
        <w:t xml:space="preserve"> </w:t>
      </w:r>
      <w:r w:rsidRPr="00F75E3B">
        <w:rPr>
          <w:rFonts w:eastAsia="Times New Roman" w:cs="Times New Roman"/>
          <w:lang w:eastAsia="de-DE"/>
        </w:rPr>
        <w:t xml:space="preserve">sind erheblich günstiger als </w:t>
      </w:r>
      <w:r w:rsidRPr="00F75E3B">
        <w:rPr>
          <w:rFonts w:eastAsia="Times New Roman" w:cs="Times New Roman"/>
          <w:b/>
          <w:bCs/>
          <w:rtl/>
          <w:lang w:eastAsia="de-DE"/>
        </w:rPr>
        <w:t>כבש בן־שנתו</w:t>
      </w:r>
      <w:r w:rsidRPr="00F75E3B">
        <w:rPr>
          <w:rFonts w:eastAsia="Times New Roman" w:cs="Times New Roman"/>
          <w:lang w:eastAsia="de-DE"/>
        </w:rPr>
        <w:t>.</w:t>
      </w:r>
    </w:p>
    <w:p w14:paraId="48F9A4D9" w14:textId="509D7801"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LXX</w:t>
      </w:r>
      <w:r w:rsidRPr="00F75E3B">
        <w:rPr>
          <w:rFonts w:eastAsia="Times New Roman" w:cs="Times New Roman"/>
          <w:lang w:eastAsia="de-DE"/>
        </w:rPr>
        <w:t xml:space="preserve"> </w:t>
      </w:r>
      <w:r w:rsidR="007660B2">
        <w:t xml:space="preserve">übersetzt </w:t>
      </w:r>
      <w:r w:rsidR="007660B2">
        <w:rPr>
          <w:rtl/>
        </w:rPr>
        <w:t>אם־לא תמצא ידה</w:t>
      </w:r>
      <w:r w:rsidR="007660B2">
        <w:t xml:space="preserve"> (im-lo </w:t>
      </w:r>
      <w:proofErr w:type="spellStart"/>
      <w:r w:rsidR="007660B2">
        <w:t>timtza</w:t>
      </w:r>
      <w:proofErr w:type="spellEnd"/>
      <w:r w:rsidR="007660B2">
        <w:t xml:space="preserve"> </w:t>
      </w:r>
      <w:proofErr w:type="spellStart"/>
      <w:r w:rsidR="007660B2">
        <w:t>yada</w:t>
      </w:r>
      <w:proofErr w:type="spellEnd"/>
      <w:r w:rsidR="007660B2">
        <w:t xml:space="preserve"> - "wenn ihre Hand nicht findet/reicht") als </w:t>
      </w:r>
      <w:proofErr w:type="spellStart"/>
      <w:r w:rsidR="007660B2">
        <w:t>ἐὰν</w:t>
      </w:r>
      <w:proofErr w:type="spellEnd"/>
      <w:r w:rsidR="007660B2">
        <w:t xml:space="preserve"> </w:t>
      </w:r>
      <w:proofErr w:type="spellStart"/>
      <w:r w:rsidR="007660B2">
        <w:t>δὲ</w:t>
      </w:r>
      <w:proofErr w:type="spellEnd"/>
      <w:r w:rsidR="007660B2">
        <w:t xml:space="preserve"> </w:t>
      </w:r>
      <w:proofErr w:type="spellStart"/>
      <w:r w:rsidR="007660B2">
        <w:t>μὴ</w:t>
      </w:r>
      <w:proofErr w:type="spellEnd"/>
      <w:r w:rsidR="007660B2">
        <w:t xml:space="preserve"> </w:t>
      </w:r>
      <w:proofErr w:type="spellStart"/>
      <w:r w:rsidR="007660B2">
        <w:t>εὑρίσκῃ</w:t>
      </w:r>
      <w:proofErr w:type="spellEnd"/>
      <w:r w:rsidR="007660B2">
        <w:t xml:space="preserve"> ἡ </w:t>
      </w:r>
      <w:proofErr w:type="spellStart"/>
      <w:r w:rsidR="007660B2">
        <w:t>χεὶρ</w:t>
      </w:r>
      <w:proofErr w:type="spellEnd"/>
      <w:r w:rsidR="007660B2">
        <w:t xml:space="preserve"> α</w:t>
      </w:r>
      <w:proofErr w:type="spellStart"/>
      <w:r w:rsidR="007660B2">
        <w:t>ὐτῆς</w:t>
      </w:r>
      <w:proofErr w:type="spellEnd"/>
      <w:r w:rsidR="007660B2">
        <w:t xml:space="preserve"> (wenn ihre Hand nicht findet), was eine präzise Wiedergabe der idiomatischen Wendung für wirtschaftliche Unfähigkeit ist.</w:t>
      </w:r>
    </w:p>
    <w:p w14:paraId="2C35FC6A"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b/>
          <w:bCs/>
          <w:lang w:eastAsia="de-DE"/>
        </w:rPr>
        <w:t>Die Satzstruktur:</w:t>
      </w:r>
      <w:r w:rsidRPr="00F75E3B">
        <w:rPr>
          <w:rFonts w:eastAsia="Times New Roman" w:cs="Times New Roman"/>
          <w:lang w:eastAsia="de-DE"/>
        </w:rPr>
        <w:t xml:space="preserve"> zeigt Armenprovision: Konditionalsatz mit Mittellosigkeit + Alternativopfer + Aufteilung + identische priesterliche Sühne + identische Reinigung. Die Struktur zeigt soziale Gerechtigkeit im Opfersystem.</w:t>
      </w:r>
    </w:p>
    <w:p w14:paraId="2E213158" w14:textId="77777777" w:rsidR="00F75E3B" w:rsidRPr="00F75E3B" w:rsidRDefault="00F75E3B" w:rsidP="00F75E3B">
      <w:pPr>
        <w:spacing w:before="100" w:beforeAutospacing="1" w:after="100" w:afterAutospacing="1" w:line="240" w:lineRule="auto"/>
        <w:rPr>
          <w:rFonts w:eastAsia="Times New Roman" w:cs="Times New Roman"/>
          <w:lang w:eastAsia="de-DE"/>
        </w:rPr>
      </w:pPr>
      <w:r w:rsidRPr="00F75E3B">
        <w:rPr>
          <w:rFonts w:eastAsia="Times New Roman" w:cs="Times New Roman"/>
          <w:lang w:eastAsia="de-DE"/>
        </w:rPr>
        <w:t>Dieser abschließende Vers regelt günstigere Alternativopfer für ärmere Frauen mit derselben sühnenden Wirkung.</w:t>
      </w:r>
    </w:p>
    <w:p w14:paraId="4F21B8E4" w14:textId="77777777" w:rsidR="00F75E3B" w:rsidRDefault="00F75E3B" w:rsidP="00F75E3B">
      <w:pPr>
        <w:pStyle w:val="KeinLeerraum"/>
      </w:pPr>
      <w:r>
        <w:t xml:space="preserve">Kapitel 12 regelt die rituellen Unreinheitsbestimmungen nach Geburt und etabliert ein differenziertes System zeitlicher Reinigung. Die Struktur zeigt: </w:t>
      </w:r>
    </w:p>
    <w:p w14:paraId="431323D5" w14:textId="77777777" w:rsidR="00125C26" w:rsidRDefault="00125C26" w:rsidP="00F75E3B">
      <w:pPr>
        <w:pStyle w:val="KeinLeerraum"/>
        <w:rPr>
          <w:b/>
          <w:bCs/>
        </w:rPr>
      </w:pPr>
    </w:p>
    <w:p w14:paraId="45C53681" w14:textId="0A56E81C" w:rsidR="00F75E3B" w:rsidRDefault="00F75E3B" w:rsidP="00F75E3B">
      <w:pPr>
        <w:pStyle w:val="KeinLeerraum"/>
      </w:pPr>
      <w:r w:rsidRPr="00125C26">
        <w:rPr>
          <w:b/>
          <w:bCs/>
        </w:rPr>
        <w:t>1)</w:t>
      </w:r>
      <w:r>
        <w:t xml:space="preserve"> </w:t>
      </w:r>
      <w:r>
        <w:rPr>
          <w:rStyle w:val="Fett"/>
        </w:rPr>
        <w:t>Grundsätzliche Regelung</w:t>
      </w:r>
      <w:r>
        <w:t xml:space="preserve"> (V. 1-4): Sieben Tage Unreinheit nach Knabengeburt (vergleichbar der Menstruation), Beschneidung am achten Tag, 33 weitere Tage Reinigungsblutung mit Beschränkungen für heilige Bereiche. </w:t>
      </w:r>
    </w:p>
    <w:p w14:paraId="09904DB2" w14:textId="77777777" w:rsidR="00125C26" w:rsidRDefault="00125C26" w:rsidP="00F75E3B">
      <w:pPr>
        <w:pStyle w:val="KeinLeerraum"/>
        <w:rPr>
          <w:b/>
          <w:bCs/>
        </w:rPr>
      </w:pPr>
    </w:p>
    <w:p w14:paraId="0E5CBC9B" w14:textId="50528A4B" w:rsidR="00F75E3B" w:rsidRDefault="00F75E3B" w:rsidP="00F75E3B">
      <w:pPr>
        <w:pStyle w:val="KeinLeerraum"/>
      </w:pPr>
      <w:r w:rsidRPr="00125C26">
        <w:rPr>
          <w:b/>
          <w:bCs/>
        </w:rPr>
        <w:t>2)</w:t>
      </w:r>
      <w:r>
        <w:t xml:space="preserve"> </w:t>
      </w:r>
      <w:r>
        <w:rPr>
          <w:rStyle w:val="Fett"/>
        </w:rPr>
        <w:t>Erweiterte Regelung für Frauen</w:t>
      </w:r>
      <w:r>
        <w:t xml:space="preserve"> (V. 5): Verdoppelung aller Zeiträume - 14 Tage Unreinheit, 66 Tage Reinigungsblutung. </w:t>
      </w:r>
    </w:p>
    <w:p w14:paraId="4D445D14" w14:textId="77777777" w:rsidR="00125C26" w:rsidRDefault="00125C26" w:rsidP="00F75E3B">
      <w:pPr>
        <w:pStyle w:val="KeinLeerraum"/>
        <w:rPr>
          <w:b/>
          <w:bCs/>
        </w:rPr>
      </w:pPr>
    </w:p>
    <w:p w14:paraId="4E0A454E" w14:textId="260F3AEB" w:rsidR="00F75E3B" w:rsidRDefault="00F75E3B" w:rsidP="00F75E3B">
      <w:pPr>
        <w:pStyle w:val="KeinLeerraum"/>
      </w:pPr>
      <w:r w:rsidRPr="00125C26">
        <w:rPr>
          <w:b/>
          <w:bCs/>
        </w:rPr>
        <w:t>3)</w:t>
      </w:r>
      <w:r>
        <w:t xml:space="preserve"> </w:t>
      </w:r>
      <w:r>
        <w:rPr>
          <w:rStyle w:val="Fett"/>
        </w:rPr>
        <w:t>Abschließende Reinigungsopfer</w:t>
      </w:r>
      <w:r>
        <w:t xml:space="preserve"> (V. 6-7): </w:t>
      </w:r>
      <w:r w:rsidR="00CF10E7">
        <w:t>Aufsteigeopfer</w:t>
      </w:r>
      <w:r>
        <w:t xml:space="preserve"> (einjähriges Lamm) und Sündopfer (Taube/Turteltaube) für beide Geschlechter, priesterliche Sühne zur vollständigen Reinigung "von der Quelle ihres Blutes". </w:t>
      </w:r>
    </w:p>
    <w:p w14:paraId="52922BFE" w14:textId="77777777" w:rsidR="00125C26" w:rsidRDefault="00125C26" w:rsidP="00F75E3B">
      <w:pPr>
        <w:pStyle w:val="KeinLeerraum"/>
        <w:rPr>
          <w:b/>
          <w:bCs/>
        </w:rPr>
      </w:pPr>
    </w:p>
    <w:p w14:paraId="51B23477" w14:textId="52B3B0CB" w:rsidR="00F75E3B" w:rsidRDefault="00F75E3B" w:rsidP="00F75E3B">
      <w:pPr>
        <w:pStyle w:val="KeinLeerraum"/>
      </w:pPr>
      <w:r w:rsidRPr="00125C26">
        <w:rPr>
          <w:b/>
          <w:bCs/>
        </w:rPr>
        <w:t>4)</w:t>
      </w:r>
      <w:r>
        <w:t xml:space="preserve"> </w:t>
      </w:r>
      <w:r>
        <w:rPr>
          <w:rStyle w:val="Fett"/>
        </w:rPr>
        <w:t>Soziale Rücksichtnahme</w:t>
      </w:r>
      <w:r>
        <w:t xml:space="preserve"> (V. 8): Alternativopfer (zwei Tauben statt Lamm + Taube) für ärmere Frauen mit derselben sühnenden Wirkung.</w:t>
      </w:r>
    </w:p>
    <w:p w14:paraId="3C938835" w14:textId="0892DA5F" w:rsidR="00F75E3B" w:rsidRDefault="00F75E3B" w:rsidP="00F75E3B">
      <w:pPr>
        <w:pStyle w:val="whitespace-normal"/>
      </w:pPr>
      <w:r>
        <w:t xml:space="preserve">Das Kapitel verbindet biologische Realitäten mit ritueller Ordnung und zeigt bemerkenswerte Differenzierung: die systematische Verdoppelung der Zeiten bei weiblicher Geburt ist kulturhistorisch einzigartig dokumentiert. Die Beschneidung am achten Tag trotz mütterlicher Unreinheit unterstreicht die Priorität des Bundeszeichens. Die Kombination aus Zeitabläufen, räumlichen Beschränkungen und abschließenden Opfern etabliert ein vollständiges Reinigungssystem, das sowohl rituelle Ordnung als auch soziale Gerechtigkeit berücksichtigt. Die </w:t>
      </w:r>
      <w:r>
        <w:rPr>
          <w:rStyle w:val="Fett"/>
          <w:rtl/>
        </w:rPr>
        <w:t>תורת הילדת</w:t>
      </w:r>
      <w:r>
        <w:rPr>
          <w:rtl/>
        </w:rPr>
        <w:t xml:space="preserve"> </w:t>
      </w:r>
      <w:r>
        <w:t>(Torah der Gebärenden) wird zu einem fundamentalen Bestandteil israelitischer Familienpraxis.</w:t>
      </w:r>
    </w:p>
    <w:p w14:paraId="04D02763" w14:textId="1968ACA0" w:rsidR="007660B2" w:rsidRDefault="007660B2" w:rsidP="00F75E3B">
      <w:pPr>
        <w:pStyle w:val="whitespace-normal"/>
      </w:pPr>
      <w:r>
        <w:rPr>
          <w:rStyle w:val="Fett"/>
        </w:rPr>
        <w:lastRenderedPageBreak/>
        <w:t>Textkritische Beobachtung</w:t>
      </w:r>
      <w:r>
        <w:t>: Die bedeutendste Abweichung liegt in Vers 4 und 5, wo die LXX das hebräische "Blut der Reinigung" systematisch als "unreines Blut" interpretiert. Dies könnte auf unterschiedliche rituelle Konzepte oder eine bewusste Vereinfachung der komplexen hebräischen Reinheitsvorstellungen hindeuten, bei denen derselbe Zustand sowohl unrein als auch reinigend sein kann.</w:t>
      </w:r>
    </w:p>
    <w:p w14:paraId="11353688"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w:t>
      </w:r>
    </w:p>
    <w:p w14:paraId="4179AFE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וַיְדַבֵּ֣ר יְהוָ֔ה אֶל־מֹשֶׁ֥ה וְאֶֽל־אַהֲרֹ֖ן לֵאמֹֽר׃</w:t>
      </w:r>
    </w:p>
    <w:p w14:paraId="745D5EF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Ewige redete zu Mosche und zu Aaron, sagend:</w:t>
      </w:r>
    </w:p>
    <w:p w14:paraId="3D104EB1"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74D6726">
          <v:rect id="_x0000_i1332" style="width:0;height:1.5pt" o:hralign="center" o:hrstd="t" o:hr="t" fillcolor="#a0a0a0" stroked="f"/>
        </w:pict>
      </w:r>
    </w:p>
    <w:p w14:paraId="35A7C1F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וידבר יהוה אל־משה ואל־אהרן לאמר</w:t>
      </w:r>
      <w:r w:rsidRPr="009A13B9">
        <w:rPr>
          <w:rFonts w:eastAsia="Times New Roman" w:cs="Times New Roman"/>
          <w:rtl/>
          <w:lang w:eastAsia="de-DE"/>
        </w:rPr>
        <w:t xml:space="preserve"> </w:t>
      </w:r>
      <w:r w:rsidRPr="009A13B9">
        <w:rPr>
          <w:rFonts w:eastAsia="Times New Roman" w:cs="Times New Roman"/>
          <w:lang w:eastAsia="de-DE"/>
        </w:rPr>
        <w:t xml:space="preserve">zeigt die erweiterte Einleitungsformel. </w:t>
      </w:r>
      <w:r w:rsidRPr="009A13B9">
        <w:rPr>
          <w:rFonts w:eastAsia="Times New Roman" w:cs="Times New Roman"/>
          <w:b/>
          <w:bCs/>
          <w:rtl/>
          <w:lang w:eastAsia="de-DE"/>
        </w:rPr>
        <w:t>וידבר</w:t>
      </w:r>
      <w:r w:rsidRPr="009A13B9">
        <w:rPr>
          <w:rFonts w:eastAsia="Times New Roman" w:cs="Times New Roman"/>
          <w:rtl/>
          <w:lang w:eastAsia="de-DE"/>
        </w:rPr>
        <w:t xml:space="preserve"> </w:t>
      </w:r>
      <w:r w:rsidRPr="009A13B9">
        <w:rPr>
          <w:rFonts w:eastAsia="Times New Roman" w:cs="Times New Roman"/>
          <w:lang w:eastAsia="de-DE"/>
        </w:rPr>
        <w:t xml:space="preserve">(und er redete) - </w:t>
      </w:r>
      <w:r w:rsidRPr="009A13B9">
        <w:rPr>
          <w:rFonts w:eastAsia="Times New Roman" w:cs="Times New Roman"/>
          <w:b/>
          <w:bCs/>
          <w:rtl/>
          <w:lang w:eastAsia="de-DE"/>
        </w:rPr>
        <w:t>דבר</w:t>
      </w:r>
      <w:r w:rsidRPr="009A13B9">
        <w:rPr>
          <w:rFonts w:eastAsia="Times New Roman" w:cs="Times New Roman"/>
          <w:rtl/>
          <w:lang w:eastAsia="de-DE"/>
        </w:rPr>
        <w:t xml:space="preserve"> </w:t>
      </w:r>
      <w:r w:rsidRPr="009A13B9">
        <w:rPr>
          <w:rFonts w:eastAsia="Times New Roman" w:cs="Times New Roman"/>
          <w:lang w:eastAsia="de-DE"/>
        </w:rPr>
        <w:t xml:space="preserve">im Piel-Imperfekt 3. Person maskulin Singular mit Waw-Konsekutiv. </w:t>
      </w:r>
      <w:r w:rsidRPr="009A13B9">
        <w:rPr>
          <w:rFonts w:eastAsia="Times New Roman" w:cs="Times New Roman"/>
          <w:b/>
          <w:bCs/>
          <w:rtl/>
          <w:lang w:eastAsia="de-DE"/>
        </w:rPr>
        <w:t>יהוה</w:t>
      </w:r>
      <w:r w:rsidRPr="009A13B9">
        <w:rPr>
          <w:rFonts w:eastAsia="Times New Roman" w:cs="Times New Roman"/>
          <w:rtl/>
          <w:lang w:eastAsia="de-DE"/>
        </w:rPr>
        <w:t xml:space="preserve"> </w:t>
      </w:r>
      <w:r w:rsidRPr="009A13B9">
        <w:rPr>
          <w:rFonts w:eastAsia="Times New Roman" w:cs="Times New Roman"/>
          <w:lang w:eastAsia="de-DE"/>
        </w:rPr>
        <w:t xml:space="preserve">als göttliches Subjekt richtet sich an beide Führer: </w:t>
      </w:r>
      <w:r w:rsidRPr="009A13B9">
        <w:rPr>
          <w:rFonts w:eastAsia="Times New Roman" w:cs="Times New Roman"/>
          <w:b/>
          <w:bCs/>
          <w:rtl/>
          <w:lang w:eastAsia="de-DE"/>
        </w:rPr>
        <w:t>אל־משה ואל־אהרן</w:t>
      </w:r>
      <w:r w:rsidRPr="009A13B9">
        <w:rPr>
          <w:rFonts w:eastAsia="Times New Roman" w:cs="Times New Roman"/>
          <w:rtl/>
          <w:lang w:eastAsia="de-DE"/>
        </w:rPr>
        <w:t xml:space="preserve"> </w:t>
      </w:r>
      <w:r w:rsidRPr="009A13B9">
        <w:rPr>
          <w:rFonts w:eastAsia="Times New Roman" w:cs="Times New Roman"/>
          <w:lang w:eastAsia="de-DE"/>
        </w:rPr>
        <w:t xml:space="preserve">mit doppelter Präposition </w:t>
      </w:r>
      <w:r w:rsidRPr="009A13B9">
        <w:rPr>
          <w:rFonts w:eastAsia="Times New Roman" w:cs="Times New Roman"/>
          <w:b/>
          <w:bCs/>
          <w:rtl/>
          <w:lang w:eastAsia="de-DE"/>
        </w:rPr>
        <w:t>אל</w:t>
      </w:r>
      <w:r w:rsidRPr="009A13B9">
        <w:rPr>
          <w:rFonts w:eastAsia="Times New Roman" w:cs="Times New Roman"/>
          <w:lang w:eastAsia="de-DE"/>
        </w:rPr>
        <w:t xml:space="preserve">. </w:t>
      </w:r>
      <w:r w:rsidRPr="009A13B9">
        <w:rPr>
          <w:rFonts w:eastAsia="Times New Roman" w:cs="Times New Roman"/>
          <w:b/>
          <w:bCs/>
          <w:rtl/>
          <w:lang w:eastAsia="de-DE"/>
        </w:rPr>
        <w:t>לאמר</w:t>
      </w:r>
      <w:r w:rsidRPr="009A13B9">
        <w:rPr>
          <w:rFonts w:eastAsia="Times New Roman" w:cs="Times New Roman"/>
          <w:rtl/>
          <w:lang w:eastAsia="de-DE"/>
        </w:rPr>
        <w:t xml:space="preserve"> </w:t>
      </w:r>
      <w:r w:rsidRPr="009A13B9">
        <w:rPr>
          <w:rFonts w:eastAsia="Times New Roman" w:cs="Times New Roman"/>
          <w:lang w:eastAsia="de-DE"/>
        </w:rPr>
        <w:t>(sagend) leitet die göttliche Rede ein.</w:t>
      </w:r>
    </w:p>
    <w:p w14:paraId="7FC9805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 Doppel-Adressierung entspricht 11,1 und zeigt die Wichtigkeit des folgenden Themas für beide Autoritäten. Aarons Einbeziehung als Priester ist für die medizinisch-kultischen Diagnosen besonders relevant.</w:t>
      </w:r>
    </w:p>
    <w:p w14:paraId="704C7DD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וידבר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ἐλάλησεν</w:t>
      </w:r>
      <w:proofErr w:type="spellEnd"/>
      <w:r w:rsidRPr="009A13B9">
        <w:rPr>
          <w:rFonts w:eastAsia="Times New Roman" w:cs="Times New Roman"/>
          <w:lang w:eastAsia="de-DE"/>
        </w:rPr>
        <w:t xml:space="preserve"> (er sprach), </w:t>
      </w:r>
      <w:r w:rsidRPr="009A13B9">
        <w:rPr>
          <w:rFonts w:eastAsia="Times New Roman" w:cs="Times New Roman"/>
          <w:b/>
          <w:bCs/>
          <w:rtl/>
          <w:lang w:eastAsia="de-DE"/>
        </w:rPr>
        <w:t>אל־משה ואל־אהרן</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ρὸς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Μωυσῆν</w:t>
      </w:r>
      <w:proofErr w:type="spellEnd"/>
      <w:r w:rsidRPr="009A13B9">
        <w:rPr>
          <w:rFonts w:eastAsia="Times New Roman" w:cs="Times New Roman"/>
          <w:lang w:eastAsia="de-DE"/>
        </w:rPr>
        <w:t xml:space="preserve"> καὶ Αα</w:t>
      </w:r>
      <w:proofErr w:type="spellStart"/>
      <w:r w:rsidRPr="009A13B9">
        <w:rPr>
          <w:rFonts w:eastAsia="Times New Roman" w:cs="Times New Roman"/>
          <w:lang w:eastAsia="de-DE"/>
        </w:rPr>
        <w:t>ρων</w:t>
      </w:r>
      <w:proofErr w:type="spellEnd"/>
      <w:r w:rsidRPr="009A13B9">
        <w:rPr>
          <w:rFonts w:eastAsia="Times New Roman" w:cs="Times New Roman"/>
          <w:lang w:eastAsia="de-DE"/>
        </w:rPr>
        <w:t xml:space="preserve"> (zu Mosche und Aaron) und </w:t>
      </w:r>
      <w:r w:rsidRPr="009A13B9">
        <w:rPr>
          <w:rFonts w:eastAsia="Times New Roman" w:cs="Times New Roman"/>
          <w:b/>
          <w:bCs/>
          <w:rtl/>
          <w:lang w:eastAsia="de-DE"/>
        </w:rPr>
        <w:t>לאמר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λέγων</w:t>
      </w:r>
      <w:proofErr w:type="spellEnd"/>
      <w:r w:rsidRPr="009A13B9">
        <w:rPr>
          <w:rFonts w:eastAsia="Times New Roman" w:cs="Times New Roman"/>
          <w:lang w:eastAsia="de-DE"/>
        </w:rPr>
        <w:t xml:space="preserve"> (sagend).</w:t>
      </w:r>
    </w:p>
    <w:p w14:paraId="41856A6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die erweiterte Offenbarungsformel: Verb + göttliches Subjekt + doppelter Adressat + Redeeinleitung. Die Struktur markiert einen wichtigen neuen Gesetzesabschnitt.</w:t>
      </w:r>
    </w:p>
    <w:p w14:paraId="36504A5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 erweiterte Einleitungsformel leitet das komplexe Thema der </w:t>
      </w:r>
      <w:r w:rsidRPr="009A13B9">
        <w:rPr>
          <w:rFonts w:eastAsia="Times New Roman" w:cs="Times New Roman"/>
          <w:b/>
          <w:bCs/>
          <w:rtl/>
          <w:lang w:eastAsia="de-DE"/>
        </w:rPr>
        <w:t>צרעת</w:t>
      </w:r>
      <w:r w:rsidRPr="009A13B9">
        <w:rPr>
          <w:rFonts w:eastAsia="Times New Roman" w:cs="Times New Roman"/>
          <w:lang w:eastAsia="de-DE"/>
        </w:rPr>
        <w:t>-Diagnose ein, das sowohl Moses rechtliche als auch Aarons priesterlich-medizinische Autorität erfordert.</w:t>
      </w:r>
    </w:p>
    <w:p w14:paraId="41409950"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w:t>
      </w:r>
    </w:p>
    <w:p w14:paraId="6646644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אָדָ֗ם כִּֽי־יִהְיֶ֤ה בְעוֹר־בְּשָׂרוֹ֙ שְׂאֵ֤ת אֽוֹ־סַפַּ֨חַת֙ א֣וֹ בַהֶ֔רֶת וְהָיָ֥ה בְעוֹר־בְּשָׂרֹ֖ו לְנֶ֣גַע צָרָ֑עַת וְהוּבָא֙ אֶל־אַהֲרֹ֣ן הַכֹּהֵ֔ן א֛וֹ אֶל־אַחַ֥ד מִבָּנָ֖יו הַכֹּהֲנִֽים׃</w:t>
      </w:r>
    </w:p>
    <w:p w14:paraId="35811BC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Ein Mensch, wenn auf der Haut seines Fleisches eine Erhebung oder ein Ausschlag oder ein heller Fleck ist, und es wird auf der Haut seines Fleisches zu einem Aussatzmal, so soll er zu Aaron, dem Priester, gebracht werden oder zu einem seiner Söhne, den Priestern.</w:t>
      </w:r>
    </w:p>
    <w:p w14:paraId="35139F6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F7AEC4D">
          <v:rect id="_x0000_i1333" style="width:0;height:1.5pt" o:hralign="center" o:hrstd="t" o:hr="t" fillcolor="#a0a0a0" stroked="f"/>
        </w:pict>
      </w:r>
    </w:p>
    <w:p w14:paraId="4CD6DA6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אדם כי־יהיה בעור־בשרו שאת או־ספחת או בהרת</w:t>
      </w:r>
      <w:r w:rsidRPr="009A13B9">
        <w:rPr>
          <w:rFonts w:eastAsia="Times New Roman" w:cs="Times New Roman"/>
          <w:rtl/>
          <w:lang w:eastAsia="de-DE"/>
        </w:rPr>
        <w:t xml:space="preserve"> </w:t>
      </w:r>
      <w:r w:rsidRPr="009A13B9">
        <w:rPr>
          <w:rFonts w:eastAsia="Times New Roman" w:cs="Times New Roman"/>
          <w:lang w:eastAsia="de-DE"/>
        </w:rPr>
        <w:t xml:space="preserve">definiert die drei Grundformen von Hautveränderungen. </w:t>
      </w:r>
      <w:r w:rsidRPr="009A13B9">
        <w:rPr>
          <w:rFonts w:eastAsia="Times New Roman" w:cs="Times New Roman"/>
          <w:b/>
          <w:bCs/>
          <w:rtl/>
          <w:lang w:eastAsia="de-DE"/>
        </w:rPr>
        <w:t>אדם</w:t>
      </w:r>
      <w:r w:rsidRPr="009A13B9">
        <w:rPr>
          <w:rFonts w:eastAsia="Times New Roman" w:cs="Times New Roman"/>
          <w:rtl/>
          <w:lang w:eastAsia="de-DE"/>
        </w:rPr>
        <w:t xml:space="preserve"> </w:t>
      </w:r>
      <w:r w:rsidRPr="009A13B9">
        <w:rPr>
          <w:rFonts w:eastAsia="Times New Roman" w:cs="Times New Roman"/>
          <w:lang w:eastAsia="de-DE"/>
        </w:rPr>
        <w:t xml:space="preserve">(ein Mensch) als universelles Subjekt. </w:t>
      </w:r>
      <w:r w:rsidRPr="009A13B9">
        <w:rPr>
          <w:rFonts w:eastAsia="Times New Roman" w:cs="Times New Roman"/>
          <w:b/>
          <w:bCs/>
          <w:rtl/>
          <w:lang w:eastAsia="de-DE"/>
        </w:rPr>
        <w:t>כי־יהיה בעור־בשרו</w:t>
      </w:r>
      <w:r w:rsidRPr="009A13B9">
        <w:rPr>
          <w:rFonts w:eastAsia="Times New Roman" w:cs="Times New Roman"/>
          <w:rtl/>
          <w:lang w:eastAsia="de-DE"/>
        </w:rPr>
        <w:t xml:space="preserve"> </w:t>
      </w:r>
      <w:r w:rsidRPr="009A13B9">
        <w:rPr>
          <w:rFonts w:eastAsia="Times New Roman" w:cs="Times New Roman"/>
          <w:lang w:eastAsia="de-DE"/>
        </w:rPr>
        <w:t xml:space="preserve">(wenn auf der Haut seines Fleisches sein wird) - </w:t>
      </w:r>
      <w:r w:rsidRPr="009A13B9">
        <w:rPr>
          <w:rFonts w:eastAsia="Times New Roman" w:cs="Times New Roman"/>
          <w:b/>
          <w:bCs/>
          <w:rtl/>
          <w:lang w:eastAsia="de-DE"/>
        </w:rPr>
        <w:t>עור־בשר</w:t>
      </w:r>
      <w:r w:rsidRPr="009A13B9">
        <w:rPr>
          <w:rFonts w:eastAsia="Times New Roman" w:cs="Times New Roman"/>
          <w:rtl/>
          <w:lang w:eastAsia="de-DE"/>
        </w:rPr>
        <w:t xml:space="preserve"> </w:t>
      </w:r>
      <w:r w:rsidRPr="009A13B9">
        <w:rPr>
          <w:rFonts w:eastAsia="Times New Roman" w:cs="Times New Roman"/>
          <w:lang w:eastAsia="de-DE"/>
        </w:rPr>
        <w:t xml:space="preserve">(Haut des Fleisches) als Genitivkonstruktion. </w:t>
      </w:r>
      <w:r w:rsidRPr="009A13B9">
        <w:rPr>
          <w:rFonts w:eastAsia="Times New Roman" w:cs="Times New Roman"/>
          <w:b/>
          <w:bCs/>
          <w:rtl/>
          <w:lang w:eastAsia="de-DE"/>
        </w:rPr>
        <w:t>שאת או־ספחת או בהרת</w:t>
      </w:r>
      <w:r w:rsidRPr="009A13B9">
        <w:rPr>
          <w:rFonts w:eastAsia="Times New Roman" w:cs="Times New Roman"/>
          <w:rtl/>
          <w:lang w:eastAsia="de-DE"/>
        </w:rPr>
        <w:t xml:space="preserve"> </w:t>
      </w:r>
      <w:r w:rsidRPr="009A13B9">
        <w:rPr>
          <w:rFonts w:eastAsia="Times New Roman" w:cs="Times New Roman"/>
          <w:lang w:eastAsia="de-DE"/>
        </w:rPr>
        <w:t>(Erhebung oder Ausschlag oder heller Fleck) - drei koordinierte Begriffe für verschiedene Hautveränderungen.</w:t>
      </w:r>
    </w:p>
    <w:p w14:paraId="698687A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והיה בעור־בשרו לנגע צרעת</w:t>
      </w:r>
      <w:r w:rsidRPr="009A13B9">
        <w:rPr>
          <w:rFonts w:eastAsia="Times New Roman" w:cs="Times New Roman"/>
          <w:rtl/>
          <w:lang w:eastAsia="de-DE"/>
        </w:rPr>
        <w:t xml:space="preserve"> </w:t>
      </w:r>
      <w:r w:rsidRPr="009A13B9">
        <w:rPr>
          <w:rFonts w:eastAsia="Times New Roman" w:cs="Times New Roman"/>
          <w:lang w:eastAsia="de-DE"/>
        </w:rPr>
        <w:t xml:space="preserve">zeigt die potenzielle Entwicklung. </w:t>
      </w:r>
      <w:r w:rsidRPr="009A13B9">
        <w:rPr>
          <w:rFonts w:eastAsia="Times New Roman" w:cs="Times New Roman"/>
          <w:b/>
          <w:bCs/>
          <w:rtl/>
          <w:lang w:eastAsia="de-DE"/>
        </w:rPr>
        <w:t>והיה</w:t>
      </w:r>
      <w:r w:rsidRPr="009A13B9">
        <w:rPr>
          <w:rFonts w:eastAsia="Times New Roman" w:cs="Times New Roman"/>
          <w:rtl/>
          <w:lang w:eastAsia="de-DE"/>
        </w:rPr>
        <w:t xml:space="preserve"> </w:t>
      </w:r>
      <w:r w:rsidRPr="009A13B9">
        <w:rPr>
          <w:rFonts w:eastAsia="Times New Roman" w:cs="Times New Roman"/>
          <w:lang w:eastAsia="de-DE"/>
        </w:rPr>
        <w:t xml:space="preserve">(und es wird) im Qal-Perfekt mit Waw-Konsekutiv. </w:t>
      </w:r>
      <w:r w:rsidRPr="009A13B9">
        <w:rPr>
          <w:rFonts w:eastAsia="Times New Roman" w:cs="Times New Roman"/>
          <w:b/>
          <w:bCs/>
          <w:rtl/>
          <w:lang w:eastAsia="de-DE"/>
        </w:rPr>
        <w:t>בעור־בשרו</w:t>
      </w:r>
      <w:r w:rsidRPr="009A13B9">
        <w:rPr>
          <w:rFonts w:eastAsia="Times New Roman" w:cs="Times New Roman"/>
          <w:rtl/>
          <w:lang w:eastAsia="de-DE"/>
        </w:rPr>
        <w:t xml:space="preserve"> </w:t>
      </w:r>
      <w:r w:rsidRPr="009A13B9">
        <w:rPr>
          <w:rFonts w:eastAsia="Times New Roman" w:cs="Times New Roman"/>
          <w:lang w:eastAsia="de-DE"/>
        </w:rPr>
        <w:t xml:space="preserve">wiederholt die Lokalisation. </w:t>
      </w:r>
      <w:r w:rsidRPr="009A13B9">
        <w:rPr>
          <w:rFonts w:eastAsia="Times New Roman" w:cs="Times New Roman"/>
          <w:b/>
          <w:bCs/>
          <w:rtl/>
          <w:lang w:eastAsia="de-DE"/>
        </w:rPr>
        <w:t>לנגע צרעת</w:t>
      </w:r>
      <w:r w:rsidRPr="009A13B9">
        <w:rPr>
          <w:rFonts w:eastAsia="Times New Roman" w:cs="Times New Roman"/>
          <w:rtl/>
          <w:lang w:eastAsia="de-DE"/>
        </w:rPr>
        <w:t xml:space="preserve"> </w:t>
      </w:r>
      <w:r w:rsidRPr="009A13B9">
        <w:rPr>
          <w:rFonts w:eastAsia="Times New Roman" w:cs="Times New Roman"/>
          <w:lang w:eastAsia="de-DE"/>
        </w:rPr>
        <w:t xml:space="preserve">(zu einem Aussatzmal) - </w:t>
      </w:r>
      <w:r w:rsidRPr="009A13B9">
        <w:rPr>
          <w:rFonts w:eastAsia="Times New Roman" w:cs="Times New Roman"/>
          <w:b/>
          <w:bCs/>
          <w:rtl/>
          <w:lang w:eastAsia="de-DE"/>
        </w:rPr>
        <w:t>נגע</w:t>
      </w:r>
      <w:r w:rsidRPr="009A13B9">
        <w:rPr>
          <w:rFonts w:eastAsia="Times New Roman" w:cs="Times New Roman"/>
          <w:rtl/>
          <w:lang w:eastAsia="de-DE"/>
        </w:rPr>
        <w:t xml:space="preserve"> </w:t>
      </w:r>
      <w:r w:rsidRPr="009A13B9">
        <w:rPr>
          <w:rFonts w:eastAsia="Times New Roman" w:cs="Times New Roman"/>
          <w:lang w:eastAsia="de-DE"/>
        </w:rPr>
        <w:t xml:space="preserve">(Mal/Plage) mit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als Genitivkonstruktion.</w:t>
      </w:r>
    </w:p>
    <w:p w14:paraId="690ED567" w14:textId="2172558E"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והובא אל־אהרן הכהן או אל־אחד מבניו הכהנים</w:t>
      </w:r>
      <w:r w:rsidRPr="009A13B9">
        <w:rPr>
          <w:rFonts w:eastAsia="Times New Roman" w:cs="Times New Roman"/>
          <w:rtl/>
          <w:lang w:eastAsia="de-DE"/>
        </w:rPr>
        <w:t xml:space="preserve"> </w:t>
      </w:r>
      <w:r w:rsidRPr="009A13B9">
        <w:rPr>
          <w:rFonts w:eastAsia="Times New Roman" w:cs="Times New Roman"/>
          <w:lang w:eastAsia="de-DE"/>
        </w:rPr>
        <w:t xml:space="preserve">regelt die diagnostische Zuständigkeit. </w:t>
      </w:r>
      <w:r w:rsidRPr="009A13B9">
        <w:rPr>
          <w:rFonts w:eastAsia="Times New Roman" w:cs="Times New Roman"/>
          <w:b/>
          <w:bCs/>
          <w:rtl/>
          <w:lang w:eastAsia="de-DE"/>
        </w:rPr>
        <w:t>והובא</w:t>
      </w:r>
      <w:r w:rsidRPr="009A13B9">
        <w:rPr>
          <w:rFonts w:eastAsia="Times New Roman" w:cs="Times New Roman"/>
          <w:rtl/>
          <w:lang w:eastAsia="de-DE"/>
        </w:rPr>
        <w:t xml:space="preserve"> </w:t>
      </w:r>
      <w:r w:rsidRPr="009A13B9">
        <w:rPr>
          <w:rFonts w:eastAsia="Times New Roman" w:cs="Times New Roman"/>
          <w:lang w:eastAsia="de-DE"/>
        </w:rPr>
        <w:t xml:space="preserve">(und er soll gebracht werden) - </w:t>
      </w:r>
      <w:r w:rsidRPr="009A13B9">
        <w:rPr>
          <w:rFonts w:eastAsia="Times New Roman" w:cs="Times New Roman"/>
          <w:b/>
          <w:bCs/>
          <w:rtl/>
          <w:lang w:eastAsia="de-DE"/>
        </w:rPr>
        <w:t>בוא</w:t>
      </w:r>
      <w:r w:rsidRPr="009A13B9">
        <w:rPr>
          <w:rFonts w:eastAsia="Times New Roman" w:cs="Times New Roman"/>
          <w:rtl/>
          <w:lang w:eastAsia="de-DE"/>
        </w:rPr>
        <w:t xml:space="preserve"> </w:t>
      </w:r>
      <w:r w:rsidRPr="009A13B9">
        <w:rPr>
          <w:rFonts w:eastAsia="Times New Roman" w:cs="Times New Roman"/>
          <w:lang w:eastAsia="de-DE"/>
        </w:rPr>
        <w:t xml:space="preserve">im </w:t>
      </w:r>
      <w:r w:rsidR="00AB1706">
        <w:rPr>
          <w:rFonts w:eastAsia="Times New Roman" w:cs="Times New Roman"/>
          <w:lang w:eastAsia="de-DE"/>
        </w:rPr>
        <w:t>Hofal</w:t>
      </w:r>
      <w:r w:rsidRPr="009A13B9">
        <w:rPr>
          <w:rFonts w:eastAsia="Times New Roman" w:cs="Times New Roman"/>
          <w:lang w:eastAsia="de-DE"/>
        </w:rPr>
        <w:t xml:space="preserve">-Perfekt mit Waw-Konsekutiv zeigt passive Konstruktion. </w:t>
      </w:r>
      <w:r w:rsidRPr="009A13B9">
        <w:rPr>
          <w:rFonts w:eastAsia="Times New Roman" w:cs="Times New Roman"/>
          <w:b/>
          <w:bCs/>
          <w:rtl/>
          <w:lang w:eastAsia="de-DE"/>
        </w:rPr>
        <w:t>אל־אהרן הכהן או אל־אחד מבניו הכהנים</w:t>
      </w:r>
      <w:r w:rsidRPr="009A13B9">
        <w:rPr>
          <w:rFonts w:eastAsia="Times New Roman" w:cs="Times New Roman"/>
          <w:rtl/>
          <w:lang w:eastAsia="de-DE"/>
        </w:rPr>
        <w:t xml:space="preserve"> </w:t>
      </w:r>
      <w:r w:rsidRPr="009A13B9">
        <w:rPr>
          <w:rFonts w:eastAsia="Times New Roman" w:cs="Times New Roman"/>
          <w:lang w:eastAsia="de-DE"/>
        </w:rPr>
        <w:t>(zu Aaron, dem Priester, oder zu einem seiner Söhne, den Priestern) zeigt die priesterliche Diagnose-Autorität.</w:t>
      </w:r>
    </w:p>
    <w:p w14:paraId="791DB20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שאת</w:t>
      </w:r>
      <w:r w:rsidRPr="009A13B9">
        <w:rPr>
          <w:rFonts w:eastAsia="Times New Roman" w:cs="Times New Roman"/>
          <w:rtl/>
          <w:lang w:eastAsia="de-DE"/>
        </w:rPr>
        <w:t xml:space="preserve"> </w:t>
      </w:r>
      <w:r w:rsidRPr="009A13B9">
        <w:rPr>
          <w:rFonts w:eastAsia="Times New Roman" w:cs="Times New Roman"/>
          <w:lang w:eastAsia="de-DE"/>
        </w:rPr>
        <w:t xml:space="preserve">(Erhebung), </w:t>
      </w:r>
      <w:r w:rsidRPr="009A13B9">
        <w:rPr>
          <w:rFonts w:eastAsia="Times New Roman" w:cs="Times New Roman"/>
          <w:b/>
          <w:bCs/>
          <w:rtl/>
          <w:lang w:eastAsia="de-DE"/>
        </w:rPr>
        <w:t>ספחת</w:t>
      </w:r>
      <w:r w:rsidRPr="009A13B9">
        <w:rPr>
          <w:rFonts w:eastAsia="Times New Roman" w:cs="Times New Roman"/>
          <w:rtl/>
          <w:lang w:eastAsia="de-DE"/>
        </w:rPr>
        <w:t xml:space="preserve"> </w:t>
      </w:r>
      <w:r w:rsidRPr="009A13B9">
        <w:rPr>
          <w:rFonts w:eastAsia="Times New Roman" w:cs="Times New Roman"/>
          <w:lang w:eastAsia="de-DE"/>
        </w:rPr>
        <w:t xml:space="preserve">(Ausschlag), </w:t>
      </w:r>
      <w:r w:rsidRPr="009A13B9">
        <w:rPr>
          <w:rFonts w:eastAsia="Times New Roman" w:cs="Times New Roman"/>
          <w:b/>
          <w:bCs/>
          <w:rtl/>
          <w:lang w:eastAsia="de-DE"/>
        </w:rPr>
        <w:t>בהרת</w:t>
      </w:r>
      <w:r w:rsidRPr="009A13B9">
        <w:rPr>
          <w:rFonts w:eastAsia="Times New Roman" w:cs="Times New Roman"/>
          <w:rtl/>
          <w:lang w:eastAsia="de-DE"/>
        </w:rPr>
        <w:t xml:space="preserve"> </w:t>
      </w:r>
      <w:r w:rsidRPr="009A13B9">
        <w:rPr>
          <w:rFonts w:eastAsia="Times New Roman" w:cs="Times New Roman"/>
          <w:lang w:eastAsia="de-DE"/>
        </w:rPr>
        <w:t xml:space="preserve">(heller Fleck) sind die drei Grundkategorien verdächtiger Hautveränderungen.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wird oft mit "Aussatz" übersetzt, umfasst aber verschiedene Hauterkrankungen. </w:t>
      </w:r>
      <w:r w:rsidRPr="009A13B9">
        <w:rPr>
          <w:rFonts w:eastAsia="Times New Roman" w:cs="Times New Roman"/>
          <w:b/>
          <w:bCs/>
          <w:rtl/>
          <w:lang w:eastAsia="de-DE"/>
        </w:rPr>
        <w:t>והובא</w:t>
      </w:r>
      <w:r w:rsidRPr="009A13B9">
        <w:rPr>
          <w:rFonts w:eastAsia="Times New Roman" w:cs="Times New Roman"/>
          <w:rtl/>
          <w:lang w:eastAsia="de-DE"/>
        </w:rPr>
        <w:t xml:space="preserve"> </w:t>
      </w:r>
      <w:r w:rsidRPr="009A13B9">
        <w:rPr>
          <w:rFonts w:eastAsia="Times New Roman" w:cs="Times New Roman"/>
          <w:lang w:eastAsia="de-DE"/>
        </w:rPr>
        <w:t>zeigt, dass die Diagnose nicht vom Betroffenen selbst gestellt wird.</w:t>
      </w:r>
    </w:p>
    <w:p w14:paraId="03446A34" w14:textId="45C79DB4"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die hebräischen Hauterscheinungen sehr spezifisch: </w:t>
      </w:r>
      <w:r w:rsidR="007660B2">
        <w:rPr>
          <w:rtl/>
        </w:rPr>
        <w:t>שאת</w:t>
      </w:r>
      <w:r w:rsidR="007660B2">
        <w:t xml:space="preserve"> als </w:t>
      </w:r>
      <w:proofErr w:type="spellStart"/>
      <w:r w:rsidR="007660B2">
        <w:t>οὐλή</w:t>
      </w:r>
      <w:proofErr w:type="spellEnd"/>
      <w:r w:rsidR="007660B2">
        <w:t xml:space="preserve"> (Narbe), </w:t>
      </w:r>
      <w:r w:rsidR="007660B2">
        <w:rPr>
          <w:rtl/>
        </w:rPr>
        <w:t>ספחת</w:t>
      </w:r>
      <w:r w:rsidR="007660B2">
        <w:t xml:space="preserve"> als </w:t>
      </w:r>
      <w:proofErr w:type="spellStart"/>
      <w:r w:rsidR="007660B2">
        <w:t>σημ</w:t>
      </w:r>
      <w:proofErr w:type="spellEnd"/>
      <w:r w:rsidR="007660B2">
        <w:t xml:space="preserve">ασίας (Zeichen/Male), und </w:t>
      </w:r>
      <w:r w:rsidR="007660B2">
        <w:rPr>
          <w:rtl/>
        </w:rPr>
        <w:t>בהרת</w:t>
      </w:r>
      <w:r w:rsidR="007660B2">
        <w:t xml:space="preserve"> als </w:t>
      </w:r>
      <w:proofErr w:type="spellStart"/>
      <w:r w:rsidR="007660B2">
        <w:t>τηλ</w:t>
      </w:r>
      <w:proofErr w:type="spellEnd"/>
      <w:r w:rsidR="007660B2">
        <w:t xml:space="preserve">αυγής (glänzende Stelle). Das hebräische </w:t>
      </w:r>
      <w:r w:rsidR="007660B2">
        <w:rPr>
          <w:rtl/>
        </w:rPr>
        <w:t>נגע צרעת</w:t>
      </w:r>
      <w:r w:rsidR="007660B2">
        <w:t xml:space="preserve"> wird als </w:t>
      </w:r>
      <w:proofErr w:type="spellStart"/>
      <w:r w:rsidR="007660B2">
        <w:t>ἁφὴ</w:t>
      </w:r>
      <w:proofErr w:type="spellEnd"/>
      <w:r w:rsidR="007660B2">
        <w:t xml:space="preserve"> </w:t>
      </w:r>
      <w:proofErr w:type="spellStart"/>
      <w:r w:rsidR="007660B2">
        <w:t>λέ</w:t>
      </w:r>
      <w:proofErr w:type="spellEnd"/>
      <w:r w:rsidR="007660B2">
        <w:t>πρας (Berührung der Lepra) wiedergegeben.</w:t>
      </w:r>
    </w:p>
    <w:p w14:paraId="72AAF97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Falldefinition plus Verfahrensregelung: universelles Subjekt + Konditionalsatz mit drei Hautveränderungen + Entwicklungsmöglichkeit + passive Zuführung zur priesterlichen Diagnose. Die Struktur etabliert das System der </w:t>
      </w:r>
      <w:r w:rsidRPr="009A13B9">
        <w:rPr>
          <w:rFonts w:eastAsia="Times New Roman" w:cs="Times New Roman"/>
          <w:b/>
          <w:bCs/>
          <w:rtl/>
          <w:lang w:eastAsia="de-DE"/>
        </w:rPr>
        <w:t>צרעת</w:t>
      </w:r>
      <w:r w:rsidRPr="009A13B9">
        <w:rPr>
          <w:rFonts w:eastAsia="Times New Roman" w:cs="Times New Roman"/>
          <w:lang w:eastAsia="de-DE"/>
        </w:rPr>
        <w:t>-Diagnose.</w:t>
      </w:r>
    </w:p>
    <w:p w14:paraId="243173B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definiert drei grundlegende Hautveränderungen und etabliert die priesterliche Diagnose-Autorität für potenzielle </w:t>
      </w:r>
      <w:r w:rsidRPr="009A13B9">
        <w:rPr>
          <w:rFonts w:eastAsia="Times New Roman" w:cs="Times New Roman"/>
          <w:b/>
          <w:bCs/>
          <w:rtl/>
          <w:lang w:eastAsia="de-DE"/>
        </w:rPr>
        <w:t>צרעת</w:t>
      </w:r>
      <w:r w:rsidRPr="009A13B9">
        <w:rPr>
          <w:rFonts w:eastAsia="Times New Roman" w:cs="Times New Roman"/>
          <w:lang w:eastAsia="de-DE"/>
        </w:rPr>
        <w:t>-Fälle.</w:t>
      </w:r>
    </w:p>
    <w:p w14:paraId="183145D1"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w:t>
      </w:r>
    </w:p>
    <w:p w14:paraId="355032F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אֶת־הַנֶּ֣גַע בְּעֽוֹר־הַ֠בָּשָׂר וְשֵׂעָ֨ר בַּנֶּ֜גַע הָפַ֣ךְ׀ לָבָ֗ן וּמַרְאֵ֤ה הַנֶּ֨גַע֙ עָמֹק֙ מֵע֣וֹר בְּשָׂרֹ֔ו נֶ֥גַע צָרַ֖עַת ה֑וּא וְרָאָ֥הוּ הַכֹּהֵ֖ן וְטִמֵּ֥א אֹתוֹ׃</w:t>
      </w:r>
    </w:p>
    <w:p w14:paraId="60BF6DD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das Mal sieht auf der Haut des Fleisches und das Haar in dem Mal hat sich in Weiß verwandelt und das Aussehen des Mals ist tiefer als die Haut seines Fleisches, so ist es ein Aussatzmal; und wenn der Priester es sieht, so soll er ihn für unrein erklären.</w:t>
      </w:r>
    </w:p>
    <w:p w14:paraId="2AE4C717"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9C83B77">
          <v:rect id="_x0000_i1334" style="width:0;height:1.5pt" o:hralign="center" o:hrstd="t" o:hr="t" fillcolor="#a0a0a0" stroked="f"/>
        </w:pict>
      </w:r>
    </w:p>
    <w:p w14:paraId="25B680D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את־הנגע בעור־הבשר</w:t>
      </w:r>
      <w:r w:rsidRPr="009A13B9">
        <w:rPr>
          <w:rFonts w:eastAsia="Times New Roman" w:cs="Times New Roman"/>
          <w:rtl/>
          <w:lang w:eastAsia="de-DE"/>
        </w:rPr>
        <w:t xml:space="preserve"> </w:t>
      </w:r>
      <w:r w:rsidRPr="009A13B9">
        <w:rPr>
          <w:rFonts w:eastAsia="Times New Roman" w:cs="Times New Roman"/>
          <w:lang w:eastAsia="de-DE"/>
        </w:rPr>
        <w:t xml:space="preserve">zeigt die priesterliche Untersuchung.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sehen) -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 xml:space="preserve">(sehen) im Qal-Perfekt mit Waw-Konsekutiv. </w:t>
      </w:r>
      <w:r w:rsidRPr="009A13B9">
        <w:rPr>
          <w:rFonts w:eastAsia="Times New Roman" w:cs="Times New Roman"/>
          <w:b/>
          <w:bCs/>
          <w:rtl/>
          <w:lang w:eastAsia="de-DE"/>
        </w:rPr>
        <w:t>את־הנגע בעור־הבשר</w:t>
      </w:r>
      <w:r w:rsidRPr="009A13B9">
        <w:rPr>
          <w:rFonts w:eastAsia="Times New Roman" w:cs="Times New Roman"/>
          <w:rtl/>
          <w:lang w:eastAsia="de-DE"/>
        </w:rPr>
        <w:t xml:space="preserve"> </w:t>
      </w:r>
      <w:r w:rsidRPr="009A13B9">
        <w:rPr>
          <w:rFonts w:eastAsia="Times New Roman" w:cs="Times New Roman"/>
          <w:lang w:eastAsia="de-DE"/>
        </w:rPr>
        <w:t>(das Mal auf der Haut des Fleisches) entspricht V. 2.</w:t>
      </w:r>
    </w:p>
    <w:p w14:paraId="657A916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ושער בנגע הפך לבן ומראה הנגע עמק מעור בשרו</w:t>
      </w:r>
      <w:r w:rsidRPr="009A13B9">
        <w:rPr>
          <w:rFonts w:eastAsia="Times New Roman" w:cs="Times New Roman"/>
          <w:rtl/>
          <w:lang w:eastAsia="de-DE"/>
        </w:rPr>
        <w:t xml:space="preserve"> </w:t>
      </w:r>
      <w:r w:rsidRPr="009A13B9">
        <w:rPr>
          <w:rFonts w:eastAsia="Times New Roman" w:cs="Times New Roman"/>
          <w:lang w:eastAsia="de-DE"/>
        </w:rPr>
        <w:t xml:space="preserve">definiert zwei Diagnosekriterien. </w:t>
      </w:r>
      <w:r w:rsidRPr="009A13B9">
        <w:rPr>
          <w:rFonts w:eastAsia="Times New Roman" w:cs="Times New Roman"/>
          <w:b/>
          <w:bCs/>
          <w:rtl/>
          <w:lang w:eastAsia="de-DE"/>
        </w:rPr>
        <w:t>ושער בנגע הפך לבן</w:t>
      </w:r>
      <w:r w:rsidRPr="009A13B9">
        <w:rPr>
          <w:rFonts w:eastAsia="Times New Roman" w:cs="Times New Roman"/>
          <w:rtl/>
          <w:lang w:eastAsia="de-DE"/>
        </w:rPr>
        <w:t xml:space="preserve"> </w:t>
      </w:r>
      <w:r w:rsidRPr="009A13B9">
        <w:rPr>
          <w:rFonts w:eastAsia="Times New Roman" w:cs="Times New Roman"/>
          <w:lang w:eastAsia="de-DE"/>
        </w:rPr>
        <w:t xml:space="preserve">(und das Haar in dem Mal hat sich in Weiß verwandelt) - </w:t>
      </w:r>
      <w:r w:rsidRPr="009A13B9">
        <w:rPr>
          <w:rFonts w:eastAsia="Times New Roman" w:cs="Times New Roman"/>
          <w:b/>
          <w:bCs/>
          <w:rtl/>
          <w:lang w:eastAsia="de-DE"/>
        </w:rPr>
        <w:t>שער</w:t>
      </w:r>
      <w:r w:rsidRPr="009A13B9">
        <w:rPr>
          <w:rFonts w:eastAsia="Times New Roman" w:cs="Times New Roman"/>
          <w:rtl/>
          <w:lang w:eastAsia="de-DE"/>
        </w:rPr>
        <w:t xml:space="preserve"> </w:t>
      </w:r>
      <w:r w:rsidRPr="009A13B9">
        <w:rPr>
          <w:rFonts w:eastAsia="Times New Roman" w:cs="Times New Roman"/>
          <w:lang w:eastAsia="de-DE"/>
        </w:rPr>
        <w:t xml:space="preserve">(Haar) mit </w:t>
      </w:r>
      <w:r w:rsidRPr="009A13B9">
        <w:rPr>
          <w:rFonts w:eastAsia="Times New Roman" w:cs="Times New Roman"/>
          <w:b/>
          <w:bCs/>
          <w:rtl/>
          <w:lang w:eastAsia="de-DE"/>
        </w:rPr>
        <w:t>הפך לבן</w:t>
      </w:r>
      <w:r w:rsidRPr="009A13B9">
        <w:rPr>
          <w:rFonts w:eastAsia="Times New Roman" w:cs="Times New Roman"/>
          <w:rtl/>
          <w:lang w:eastAsia="de-DE"/>
        </w:rPr>
        <w:t xml:space="preserve"> </w:t>
      </w:r>
      <w:r w:rsidRPr="009A13B9">
        <w:rPr>
          <w:rFonts w:eastAsia="Times New Roman" w:cs="Times New Roman"/>
          <w:lang w:eastAsia="de-DE"/>
        </w:rPr>
        <w:t xml:space="preserve">(hat sich in Weiß verwandelt). </w:t>
      </w:r>
      <w:r w:rsidRPr="009A13B9">
        <w:rPr>
          <w:rFonts w:eastAsia="Times New Roman" w:cs="Times New Roman"/>
          <w:b/>
          <w:bCs/>
          <w:rtl/>
          <w:lang w:eastAsia="de-DE"/>
        </w:rPr>
        <w:t>ומראה הנגע עמק מעור בשרו</w:t>
      </w:r>
      <w:r w:rsidRPr="009A13B9">
        <w:rPr>
          <w:rFonts w:eastAsia="Times New Roman" w:cs="Times New Roman"/>
          <w:rtl/>
          <w:lang w:eastAsia="de-DE"/>
        </w:rPr>
        <w:t xml:space="preserve"> </w:t>
      </w:r>
      <w:r w:rsidRPr="009A13B9">
        <w:rPr>
          <w:rFonts w:eastAsia="Times New Roman" w:cs="Times New Roman"/>
          <w:lang w:eastAsia="de-DE"/>
        </w:rPr>
        <w:t xml:space="preserve">(und das Aussehen des Mals ist tiefer als die Haut seines Fleisches) - </w:t>
      </w:r>
      <w:r w:rsidRPr="009A13B9">
        <w:rPr>
          <w:rFonts w:eastAsia="Times New Roman" w:cs="Times New Roman"/>
          <w:b/>
          <w:bCs/>
          <w:rtl/>
          <w:lang w:eastAsia="de-DE"/>
        </w:rPr>
        <w:t>מראה</w:t>
      </w:r>
      <w:r w:rsidRPr="009A13B9">
        <w:rPr>
          <w:rFonts w:eastAsia="Times New Roman" w:cs="Times New Roman"/>
          <w:rtl/>
          <w:lang w:eastAsia="de-DE"/>
        </w:rPr>
        <w:t xml:space="preserve"> </w:t>
      </w:r>
      <w:r w:rsidRPr="009A13B9">
        <w:rPr>
          <w:rFonts w:eastAsia="Times New Roman" w:cs="Times New Roman"/>
          <w:lang w:eastAsia="de-DE"/>
        </w:rPr>
        <w:t xml:space="preserve">(Aussehen) mit </w:t>
      </w:r>
      <w:r w:rsidRPr="009A13B9">
        <w:rPr>
          <w:rFonts w:eastAsia="Times New Roman" w:cs="Times New Roman"/>
          <w:b/>
          <w:bCs/>
          <w:rtl/>
          <w:lang w:eastAsia="de-DE"/>
        </w:rPr>
        <w:t>עמק</w:t>
      </w:r>
      <w:r w:rsidRPr="009A13B9">
        <w:rPr>
          <w:rFonts w:eastAsia="Times New Roman" w:cs="Times New Roman"/>
          <w:rtl/>
          <w:lang w:eastAsia="de-DE"/>
        </w:rPr>
        <w:t xml:space="preserve"> </w:t>
      </w:r>
      <w:r w:rsidRPr="009A13B9">
        <w:rPr>
          <w:rFonts w:eastAsia="Times New Roman" w:cs="Times New Roman"/>
          <w:lang w:eastAsia="de-DE"/>
        </w:rPr>
        <w:t>(tief/vertieft) als Adjektiv.</w:t>
      </w:r>
    </w:p>
    <w:p w14:paraId="2A27E9B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נגע צרעת הוא וראהו הכהן וטמא אתו</w:t>
      </w:r>
      <w:r w:rsidRPr="009A13B9">
        <w:rPr>
          <w:rFonts w:eastAsia="Times New Roman" w:cs="Times New Roman"/>
          <w:rtl/>
          <w:lang w:eastAsia="de-DE"/>
        </w:rPr>
        <w:t xml:space="preserve"> </w:t>
      </w:r>
      <w:r w:rsidRPr="009A13B9">
        <w:rPr>
          <w:rFonts w:eastAsia="Times New Roman" w:cs="Times New Roman"/>
          <w:lang w:eastAsia="de-DE"/>
        </w:rPr>
        <w:t xml:space="preserve">zeigt Diagnose und Konsequenz. </w:t>
      </w:r>
      <w:r w:rsidRPr="009A13B9">
        <w:rPr>
          <w:rFonts w:eastAsia="Times New Roman" w:cs="Times New Roman"/>
          <w:b/>
          <w:bCs/>
          <w:rtl/>
          <w:lang w:eastAsia="de-DE"/>
        </w:rPr>
        <w:t>נגע צרעת הוא</w:t>
      </w:r>
      <w:r w:rsidRPr="009A13B9">
        <w:rPr>
          <w:rFonts w:eastAsia="Times New Roman" w:cs="Times New Roman"/>
          <w:rtl/>
          <w:lang w:eastAsia="de-DE"/>
        </w:rPr>
        <w:t xml:space="preserve"> </w:t>
      </w:r>
      <w:r w:rsidRPr="009A13B9">
        <w:rPr>
          <w:rFonts w:eastAsia="Times New Roman" w:cs="Times New Roman"/>
          <w:lang w:eastAsia="de-DE"/>
        </w:rPr>
        <w:t xml:space="preserve">(ein Aussatzmal ist es)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וראהו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es) mit </w:t>
      </w:r>
      <w:r w:rsidRPr="009A13B9">
        <w:rPr>
          <w:rFonts w:eastAsia="Times New Roman" w:cs="Times New Roman"/>
          <w:lang w:eastAsia="de-DE"/>
        </w:rPr>
        <w:lastRenderedPageBreak/>
        <w:t xml:space="preserve">Objektsuffix. </w:t>
      </w:r>
      <w:r w:rsidRPr="009A13B9">
        <w:rPr>
          <w:rFonts w:eastAsia="Times New Roman" w:cs="Times New Roman"/>
          <w:b/>
          <w:bCs/>
          <w:rtl/>
          <w:lang w:eastAsia="de-DE"/>
        </w:rPr>
        <w:t>וטמא אתו</w:t>
      </w:r>
      <w:r w:rsidRPr="009A13B9">
        <w:rPr>
          <w:rFonts w:eastAsia="Times New Roman" w:cs="Times New Roman"/>
          <w:rtl/>
          <w:lang w:eastAsia="de-DE"/>
        </w:rPr>
        <w:t xml:space="preserve"> </w:t>
      </w:r>
      <w:r w:rsidRPr="009A13B9">
        <w:rPr>
          <w:rFonts w:eastAsia="Times New Roman" w:cs="Times New Roman"/>
          <w:lang w:eastAsia="de-DE"/>
        </w:rPr>
        <w:t xml:space="preserve">(und er soll ihn für unrein erklären) - </w:t>
      </w:r>
      <w:r w:rsidRPr="009A13B9">
        <w:rPr>
          <w:rFonts w:eastAsia="Times New Roman" w:cs="Times New Roman"/>
          <w:b/>
          <w:bCs/>
          <w:rtl/>
          <w:lang w:eastAsia="de-DE"/>
        </w:rPr>
        <w:t>טמא</w:t>
      </w:r>
      <w:r w:rsidRPr="009A13B9">
        <w:rPr>
          <w:rFonts w:eastAsia="Times New Roman" w:cs="Times New Roman"/>
          <w:rtl/>
          <w:lang w:eastAsia="de-DE"/>
        </w:rPr>
        <w:t xml:space="preserve"> </w:t>
      </w:r>
      <w:r w:rsidRPr="009A13B9">
        <w:rPr>
          <w:rFonts w:eastAsia="Times New Roman" w:cs="Times New Roman"/>
          <w:lang w:eastAsia="de-DE"/>
        </w:rPr>
        <w:t>(unrein erklären) im Piel-Perfekt mit Waw-Konsekutiv.</w:t>
      </w:r>
    </w:p>
    <w:p w14:paraId="583DE32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הפך לבן</w:t>
      </w:r>
      <w:r w:rsidRPr="009A13B9">
        <w:rPr>
          <w:rFonts w:eastAsia="Times New Roman" w:cs="Times New Roman"/>
          <w:rtl/>
          <w:lang w:eastAsia="de-DE"/>
        </w:rPr>
        <w:t xml:space="preserve"> </w:t>
      </w:r>
      <w:r w:rsidRPr="009A13B9">
        <w:rPr>
          <w:rFonts w:eastAsia="Times New Roman" w:cs="Times New Roman"/>
          <w:lang w:eastAsia="de-DE"/>
        </w:rPr>
        <w:t xml:space="preserve">(sich in Weiß verwandelt) und </w:t>
      </w:r>
      <w:r w:rsidRPr="009A13B9">
        <w:rPr>
          <w:rFonts w:eastAsia="Times New Roman" w:cs="Times New Roman"/>
          <w:b/>
          <w:bCs/>
          <w:rtl/>
          <w:lang w:eastAsia="de-DE"/>
        </w:rPr>
        <w:t>עמק מעור בשרו</w:t>
      </w:r>
      <w:r w:rsidRPr="009A13B9">
        <w:rPr>
          <w:rFonts w:eastAsia="Times New Roman" w:cs="Times New Roman"/>
          <w:rtl/>
          <w:lang w:eastAsia="de-DE"/>
        </w:rPr>
        <w:t xml:space="preserve"> </w:t>
      </w:r>
      <w:r w:rsidRPr="009A13B9">
        <w:rPr>
          <w:rFonts w:eastAsia="Times New Roman" w:cs="Times New Roman"/>
          <w:lang w:eastAsia="de-DE"/>
        </w:rPr>
        <w:t xml:space="preserve">(tiefer als die Haut) sind die beiden entscheidenden Kriterien für definitive </w:t>
      </w:r>
      <w:r w:rsidRPr="009A13B9">
        <w:rPr>
          <w:rFonts w:eastAsia="Times New Roman" w:cs="Times New Roman"/>
          <w:b/>
          <w:bCs/>
          <w:rtl/>
          <w:lang w:eastAsia="de-DE"/>
        </w:rPr>
        <w:t>צרעת</w:t>
      </w:r>
      <w:r w:rsidRPr="009A13B9">
        <w:rPr>
          <w:rFonts w:eastAsia="Times New Roman" w:cs="Times New Roman"/>
          <w:lang w:eastAsia="de-DE"/>
        </w:rPr>
        <w:t xml:space="preserve">-Diagnose. </w:t>
      </w:r>
      <w:r w:rsidRPr="009A13B9">
        <w:rPr>
          <w:rFonts w:eastAsia="Times New Roman" w:cs="Times New Roman"/>
          <w:b/>
          <w:bCs/>
          <w:rtl/>
          <w:lang w:eastAsia="de-DE"/>
        </w:rPr>
        <w:t>וטמא אתו</w:t>
      </w:r>
      <w:r w:rsidRPr="009A13B9">
        <w:rPr>
          <w:rFonts w:eastAsia="Times New Roman" w:cs="Times New Roman"/>
          <w:rtl/>
          <w:lang w:eastAsia="de-DE"/>
        </w:rPr>
        <w:t xml:space="preserve"> </w:t>
      </w:r>
      <w:r w:rsidRPr="009A13B9">
        <w:rPr>
          <w:rFonts w:eastAsia="Times New Roman" w:cs="Times New Roman"/>
          <w:lang w:eastAsia="de-DE"/>
        </w:rPr>
        <w:t>zeigt die kultische Konsequenz der Diagnose.</w:t>
      </w:r>
    </w:p>
    <w:p w14:paraId="5940288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השער הפך לבן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μετέ</w:t>
      </w:r>
      <w:proofErr w:type="spellEnd"/>
      <w:r w:rsidRPr="009A13B9">
        <w:rPr>
          <w:rFonts w:eastAsia="Times New Roman" w:cs="Times New Roman"/>
          <w:lang w:eastAsia="de-DE"/>
        </w:rPr>
        <w:t xml:space="preserve">βαλεν </w:t>
      </w:r>
      <w:proofErr w:type="spellStart"/>
      <w:r w:rsidRPr="009A13B9">
        <w:rPr>
          <w:rFonts w:eastAsia="Times New Roman" w:cs="Times New Roman"/>
          <w:lang w:eastAsia="de-DE"/>
        </w:rPr>
        <w:t>λευκή</w:t>
      </w:r>
      <w:proofErr w:type="spellEnd"/>
      <w:r w:rsidRPr="009A13B9">
        <w:rPr>
          <w:rFonts w:eastAsia="Times New Roman" w:cs="Times New Roman"/>
          <w:lang w:eastAsia="de-DE"/>
        </w:rPr>
        <w:t xml:space="preserve"> (Haar verwandelte sich weiß), </w:t>
      </w:r>
      <w:r w:rsidRPr="009A13B9">
        <w:rPr>
          <w:rFonts w:eastAsia="Times New Roman" w:cs="Times New Roman"/>
          <w:b/>
          <w:bCs/>
          <w:rtl/>
          <w:lang w:eastAsia="de-DE"/>
        </w:rPr>
        <w:t>עמק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κοῖλον</w:t>
      </w:r>
      <w:proofErr w:type="spellEnd"/>
      <w:r w:rsidRPr="009A13B9">
        <w:rPr>
          <w:rFonts w:eastAsia="Times New Roman" w:cs="Times New Roman"/>
          <w:lang w:eastAsia="de-DE"/>
        </w:rPr>
        <w:t xml:space="preserve"> (hohl),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λέ</w:t>
      </w:r>
      <w:proofErr w:type="spellEnd"/>
      <w:r w:rsidRPr="009A13B9">
        <w:rPr>
          <w:rFonts w:eastAsia="Times New Roman" w:cs="Times New Roman"/>
          <w:lang w:eastAsia="de-DE"/>
        </w:rPr>
        <w:t xml:space="preserve">πρα (Lepra) und </w:t>
      </w:r>
      <w:r w:rsidRPr="009A13B9">
        <w:rPr>
          <w:rFonts w:eastAsia="Times New Roman" w:cs="Times New Roman"/>
          <w:b/>
          <w:bCs/>
          <w:rtl/>
          <w:lang w:eastAsia="de-DE"/>
        </w:rPr>
        <w:t>וטמא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μι</w:t>
      </w:r>
      <w:proofErr w:type="spellEnd"/>
      <w:r w:rsidRPr="009A13B9">
        <w:rPr>
          <w:rFonts w:eastAsia="Times New Roman" w:cs="Times New Roman"/>
          <w:lang w:eastAsia="de-DE"/>
        </w:rPr>
        <w:t>ανεῖ (er wird verunreinigen).</w:t>
      </w:r>
    </w:p>
    <w:p w14:paraId="0D60C42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Diagnosekriterien plus Konsequenz: priesterliche Untersuchung + zwei koordinierte Kriterien + definitive Diagnose + wiederholte Untersuchung + Unreinheitserklärung. Die Struktur zeigt das systematische Diagnoseverfahren.</w:t>
      </w:r>
    </w:p>
    <w:p w14:paraId="5452BE1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etabliert die beiden Hauptkriterien für definitive </w:t>
      </w:r>
      <w:r w:rsidRPr="009A13B9">
        <w:rPr>
          <w:rFonts w:eastAsia="Times New Roman" w:cs="Times New Roman"/>
          <w:b/>
          <w:bCs/>
          <w:rtl/>
          <w:lang w:eastAsia="de-DE"/>
        </w:rPr>
        <w:t>צרעת</w:t>
      </w:r>
      <w:r w:rsidRPr="009A13B9">
        <w:rPr>
          <w:rFonts w:eastAsia="Times New Roman" w:cs="Times New Roman"/>
          <w:lang w:eastAsia="de-DE"/>
        </w:rPr>
        <w:t>-Diagnose: weißes Haar und vertiefte Erscheinung.</w:t>
      </w:r>
    </w:p>
    <w:p w14:paraId="0553B76D"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w:t>
      </w:r>
    </w:p>
    <w:p w14:paraId="77B08B1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וְאִם־בַּהֶרֶת֩ לְבָנָ֨ה הִ֜וא בְּע֣וֹר בְּשָׂרֹ֗ו וְעָמֹק֙ אֵין־מַרְאֶ֣הָ מִן־הָע֔וֹר וּשְׂעָרָ֖ה לֹא־הָפַ֣ךְ לָבָ֑ן וְהִסְגִּ֧יר הַכֹּהֵ֛ן אֶת־הַנֶּ֖גַע שִׁבְעַ֥ת יָמִֽים׃</w:t>
      </w:r>
    </w:p>
    <w:p w14:paraId="4AD5D26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ein weißer Fleck ist auf der Haut seines Fleisches, und sein Aussehen nicht tiefer als die Haut ist, und sein Haar hat sich nicht in Weiß verwandelt, so soll der Priester den, der das Mal hat, sieben Tage einschließen.</w:t>
      </w:r>
    </w:p>
    <w:p w14:paraId="07F62885"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19DF083">
          <v:rect id="_x0000_i1335" style="width:0;height:1.5pt" o:hralign="center" o:hrstd="t" o:hr="t" fillcolor="#a0a0a0" stroked="f"/>
        </w:pict>
      </w:r>
    </w:p>
    <w:p w14:paraId="097D1B0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ואם־בהרת לבנה הוא בעור בשרו</w:t>
      </w:r>
      <w:r w:rsidRPr="009A13B9">
        <w:rPr>
          <w:rFonts w:eastAsia="Times New Roman" w:cs="Times New Roman"/>
          <w:rtl/>
          <w:lang w:eastAsia="de-DE"/>
        </w:rPr>
        <w:t xml:space="preserve"> </w:t>
      </w:r>
      <w:r w:rsidRPr="009A13B9">
        <w:rPr>
          <w:rFonts w:eastAsia="Times New Roman" w:cs="Times New Roman"/>
          <w:lang w:eastAsia="de-DE"/>
        </w:rPr>
        <w:t xml:space="preserve">zeigt den Alternativfall. </w:t>
      </w:r>
      <w:r w:rsidRPr="009A13B9">
        <w:rPr>
          <w:rFonts w:eastAsia="Times New Roman" w:cs="Times New Roman"/>
          <w:b/>
          <w:bCs/>
          <w:rtl/>
          <w:lang w:eastAsia="de-DE"/>
        </w:rPr>
        <w:t>ואם־בהרת לבנה הוא</w:t>
      </w:r>
      <w:r w:rsidRPr="009A13B9">
        <w:rPr>
          <w:rFonts w:eastAsia="Times New Roman" w:cs="Times New Roman"/>
          <w:rtl/>
          <w:lang w:eastAsia="de-DE"/>
        </w:rPr>
        <w:t xml:space="preserve"> </w:t>
      </w:r>
      <w:r w:rsidRPr="009A13B9">
        <w:rPr>
          <w:rFonts w:eastAsia="Times New Roman" w:cs="Times New Roman"/>
          <w:lang w:eastAsia="de-DE"/>
        </w:rPr>
        <w:t xml:space="preserve">(und wenn ein weißer Fleck ist) - </w:t>
      </w:r>
      <w:r w:rsidRPr="009A13B9">
        <w:rPr>
          <w:rFonts w:eastAsia="Times New Roman" w:cs="Times New Roman"/>
          <w:b/>
          <w:bCs/>
          <w:rtl/>
          <w:lang w:eastAsia="de-DE"/>
        </w:rPr>
        <w:t>אם</w:t>
      </w:r>
      <w:r w:rsidRPr="009A13B9">
        <w:rPr>
          <w:rFonts w:eastAsia="Times New Roman" w:cs="Times New Roman"/>
          <w:rtl/>
          <w:lang w:eastAsia="de-DE"/>
        </w:rPr>
        <w:t xml:space="preserve"> </w:t>
      </w:r>
      <w:r w:rsidRPr="009A13B9">
        <w:rPr>
          <w:rFonts w:eastAsia="Times New Roman" w:cs="Times New Roman"/>
          <w:lang w:eastAsia="de-DE"/>
        </w:rPr>
        <w:t xml:space="preserve">als Konditionalspartikel, </w:t>
      </w:r>
      <w:r w:rsidRPr="009A13B9">
        <w:rPr>
          <w:rFonts w:eastAsia="Times New Roman" w:cs="Times New Roman"/>
          <w:b/>
          <w:bCs/>
          <w:rtl/>
          <w:lang w:eastAsia="de-DE"/>
        </w:rPr>
        <w:t>בהרת לבנה</w:t>
      </w:r>
      <w:r w:rsidRPr="009A13B9">
        <w:rPr>
          <w:rFonts w:eastAsia="Times New Roman" w:cs="Times New Roman"/>
          <w:rtl/>
          <w:lang w:eastAsia="de-DE"/>
        </w:rPr>
        <w:t xml:space="preserve"> </w:t>
      </w:r>
      <w:r w:rsidRPr="009A13B9">
        <w:rPr>
          <w:rFonts w:eastAsia="Times New Roman" w:cs="Times New Roman"/>
          <w:lang w:eastAsia="de-DE"/>
        </w:rPr>
        <w:t xml:space="preserve">(weißer Fleck)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בעור בשרו</w:t>
      </w:r>
      <w:r w:rsidRPr="009A13B9">
        <w:rPr>
          <w:rFonts w:eastAsia="Times New Roman" w:cs="Times New Roman"/>
          <w:rtl/>
          <w:lang w:eastAsia="de-DE"/>
        </w:rPr>
        <w:t xml:space="preserve"> </w:t>
      </w:r>
      <w:r w:rsidRPr="009A13B9">
        <w:rPr>
          <w:rFonts w:eastAsia="Times New Roman" w:cs="Times New Roman"/>
          <w:lang w:eastAsia="de-DE"/>
        </w:rPr>
        <w:t>(auf der Haut seines Fleisches) entspricht V. 3.</w:t>
      </w:r>
    </w:p>
    <w:p w14:paraId="1F82DBE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ועמק אין־מראה מן־העור ושערה לא־הפך לבן</w:t>
      </w:r>
      <w:r w:rsidRPr="009A13B9">
        <w:rPr>
          <w:rFonts w:eastAsia="Times New Roman" w:cs="Times New Roman"/>
          <w:rtl/>
          <w:lang w:eastAsia="de-DE"/>
        </w:rPr>
        <w:t xml:space="preserve"> </w:t>
      </w:r>
      <w:r w:rsidRPr="009A13B9">
        <w:rPr>
          <w:rFonts w:eastAsia="Times New Roman" w:cs="Times New Roman"/>
          <w:lang w:eastAsia="de-DE"/>
        </w:rPr>
        <w:t xml:space="preserve">negiert beide Kriterien aus V. 3. </w:t>
      </w:r>
      <w:r w:rsidRPr="009A13B9">
        <w:rPr>
          <w:rFonts w:eastAsia="Times New Roman" w:cs="Times New Roman"/>
          <w:b/>
          <w:bCs/>
          <w:rtl/>
          <w:lang w:eastAsia="de-DE"/>
        </w:rPr>
        <w:t>ועמק אין־מראה מן־העור</w:t>
      </w:r>
      <w:r w:rsidRPr="009A13B9">
        <w:rPr>
          <w:rFonts w:eastAsia="Times New Roman" w:cs="Times New Roman"/>
          <w:rtl/>
          <w:lang w:eastAsia="de-DE"/>
        </w:rPr>
        <w:t xml:space="preserve"> </w:t>
      </w:r>
      <w:r w:rsidRPr="009A13B9">
        <w:rPr>
          <w:rFonts w:eastAsia="Times New Roman" w:cs="Times New Roman"/>
          <w:lang w:eastAsia="de-DE"/>
        </w:rPr>
        <w:t xml:space="preserve">(und tief ist nicht sein Aussehen als die Haut) - </w:t>
      </w:r>
      <w:r w:rsidRPr="009A13B9">
        <w:rPr>
          <w:rFonts w:eastAsia="Times New Roman" w:cs="Times New Roman"/>
          <w:b/>
          <w:bCs/>
          <w:rtl/>
          <w:lang w:eastAsia="de-DE"/>
        </w:rPr>
        <w:t>עמק אין־מראה</w:t>
      </w:r>
      <w:r w:rsidRPr="009A13B9">
        <w:rPr>
          <w:rFonts w:eastAsia="Times New Roman" w:cs="Times New Roman"/>
          <w:rtl/>
          <w:lang w:eastAsia="de-DE"/>
        </w:rPr>
        <w:t xml:space="preserve"> </w:t>
      </w:r>
      <w:r w:rsidRPr="009A13B9">
        <w:rPr>
          <w:rFonts w:eastAsia="Times New Roman" w:cs="Times New Roman"/>
          <w:lang w:eastAsia="de-DE"/>
        </w:rPr>
        <w:t xml:space="preserve">mit Negation </w:t>
      </w:r>
      <w:r w:rsidRPr="009A13B9">
        <w:rPr>
          <w:rFonts w:eastAsia="Times New Roman" w:cs="Times New Roman"/>
          <w:b/>
          <w:bCs/>
          <w:rtl/>
          <w:lang w:eastAsia="de-DE"/>
        </w:rPr>
        <w:t>אין</w:t>
      </w:r>
      <w:r w:rsidRPr="009A13B9">
        <w:rPr>
          <w:rFonts w:eastAsia="Times New Roman" w:cs="Times New Roman"/>
          <w:lang w:eastAsia="de-DE"/>
        </w:rPr>
        <w:t xml:space="preserve">. </w:t>
      </w:r>
      <w:r w:rsidRPr="009A13B9">
        <w:rPr>
          <w:rFonts w:eastAsia="Times New Roman" w:cs="Times New Roman"/>
          <w:b/>
          <w:bCs/>
          <w:rtl/>
          <w:lang w:eastAsia="de-DE"/>
        </w:rPr>
        <w:t>ושערה לא־הפך לבן</w:t>
      </w:r>
      <w:r w:rsidRPr="009A13B9">
        <w:rPr>
          <w:rFonts w:eastAsia="Times New Roman" w:cs="Times New Roman"/>
          <w:rtl/>
          <w:lang w:eastAsia="de-DE"/>
        </w:rPr>
        <w:t xml:space="preserve"> </w:t>
      </w:r>
      <w:r w:rsidRPr="009A13B9">
        <w:rPr>
          <w:rFonts w:eastAsia="Times New Roman" w:cs="Times New Roman"/>
          <w:lang w:eastAsia="de-DE"/>
        </w:rPr>
        <w:t xml:space="preserve">(und sein Haar hat sich nicht in Weiß verwandelt) mit Negation </w:t>
      </w:r>
      <w:r w:rsidRPr="009A13B9">
        <w:rPr>
          <w:rFonts w:eastAsia="Times New Roman" w:cs="Times New Roman"/>
          <w:b/>
          <w:bCs/>
          <w:rtl/>
          <w:lang w:eastAsia="de-DE"/>
        </w:rPr>
        <w:t>לא</w:t>
      </w:r>
      <w:r w:rsidRPr="009A13B9">
        <w:rPr>
          <w:rFonts w:eastAsia="Times New Roman" w:cs="Times New Roman"/>
          <w:lang w:eastAsia="de-DE"/>
        </w:rPr>
        <w:t>.</w:t>
      </w:r>
    </w:p>
    <w:p w14:paraId="7A3ABFC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והסגיר הכהן את־הנגע שבעת ימים</w:t>
      </w:r>
      <w:r w:rsidRPr="009A13B9">
        <w:rPr>
          <w:rFonts w:eastAsia="Times New Roman" w:cs="Times New Roman"/>
          <w:rtl/>
          <w:lang w:eastAsia="de-DE"/>
        </w:rPr>
        <w:t xml:space="preserve"> </w:t>
      </w:r>
      <w:r w:rsidRPr="009A13B9">
        <w:rPr>
          <w:rFonts w:eastAsia="Times New Roman" w:cs="Times New Roman"/>
          <w:lang w:eastAsia="de-DE"/>
        </w:rPr>
        <w:t xml:space="preserve">zeigt das Verfahren bei unklaren Fällen. </w:t>
      </w:r>
      <w:r w:rsidRPr="009A13B9">
        <w:rPr>
          <w:rFonts w:eastAsia="Times New Roman" w:cs="Times New Roman"/>
          <w:b/>
          <w:bCs/>
          <w:rtl/>
          <w:lang w:eastAsia="de-DE"/>
        </w:rPr>
        <w:t>והסגיר</w:t>
      </w:r>
      <w:r w:rsidRPr="009A13B9">
        <w:rPr>
          <w:rFonts w:eastAsia="Times New Roman" w:cs="Times New Roman"/>
          <w:rtl/>
          <w:lang w:eastAsia="de-DE"/>
        </w:rPr>
        <w:t xml:space="preserve"> </w:t>
      </w:r>
      <w:r w:rsidRPr="009A13B9">
        <w:rPr>
          <w:rFonts w:eastAsia="Times New Roman" w:cs="Times New Roman"/>
          <w:lang w:eastAsia="de-DE"/>
        </w:rPr>
        <w:t xml:space="preserve">(und er soll einschließen) - </w:t>
      </w:r>
      <w:r w:rsidRPr="009A13B9">
        <w:rPr>
          <w:rFonts w:eastAsia="Times New Roman" w:cs="Times New Roman"/>
          <w:b/>
          <w:bCs/>
          <w:rtl/>
          <w:lang w:eastAsia="de-DE"/>
        </w:rPr>
        <w:t>סגר</w:t>
      </w:r>
      <w:r w:rsidRPr="009A13B9">
        <w:rPr>
          <w:rFonts w:eastAsia="Times New Roman" w:cs="Times New Roman"/>
          <w:rtl/>
          <w:lang w:eastAsia="de-DE"/>
        </w:rPr>
        <w:t xml:space="preserve"> </w:t>
      </w:r>
      <w:r w:rsidRPr="009A13B9">
        <w:rPr>
          <w:rFonts w:eastAsia="Times New Roman" w:cs="Times New Roman"/>
          <w:lang w:eastAsia="de-DE"/>
        </w:rPr>
        <w:t xml:space="preserve">(einschließen) im Hifil-Perfekt mit Waw-Konsekutiv. </w:t>
      </w:r>
      <w:r w:rsidRPr="009A13B9">
        <w:rPr>
          <w:rFonts w:eastAsia="Times New Roman" w:cs="Times New Roman"/>
          <w:b/>
          <w:bCs/>
          <w:rtl/>
          <w:lang w:eastAsia="de-DE"/>
        </w:rPr>
        <w:t>הכהן את־הנגע</w:t>
      </w:r>
      <w:r w:rsidRPr="009A13B9">
        <w:rPr>
          <w:rFonts w:eastAsia="Times New Roman" w:cs="Times New Roman"/>
          <w:rtl/>
          <w:lang w:eastAsia="de-DE"/>
        </w:rPr>
        <w:t xml:space="preserve"> </w:t>
      </w:r>
      <w:r w:rsidRPr="009A13B9">
        <w:rPr>
          <w:rFonts w:eastAsia="Times New Roman" w:cs="Times New Roman"/>
          <w:lang w:eastAsia="de-DE"/>
        </w:rPr>
        <w:t xml:space="preserve">(der Priester den, der das Mal hat) - </w:t>
      </w:r>
      <w:r w:rsidRPr="009A13B9">
        <w:rPr>
          <w:rFonts w:eastAsia="Times New Roman" w:cs="Times New Roman"/>
          <w:b/>
          <w:bCs/>
          <w:rtl/>
          <w:lang w:eastAsia="de-DE"/>
        </w:rPr>
        <w:t>נגע</w:t>
      </w:r>
      <w:r w:rsidRPr="009A13B9">
        <w:rPr>
          <w:rFonts w:eastAsia="Times New Roman" w:cs="Times New Roman"/>
          <w:rtl/>
          <w:lang w:eastAsia="de-DE"/>
        </w:rPr>
        <w:t xml:space="preserve"> </w:t>
      </w:r>
      <w:r w:rsidRPr="009A13B9">
        <w:rPr>
          <w:rFonts w:eastAsia="Times New Roman" w:cs="Times New Roman"/>
          <w:lang w:eastAsia="de-DE"/>
        </w:rPr>
        <w:t xml:space="preserve">metonymisch für die betroffene Person.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(sieben Tage) als Beobachtungszeit.</w:t>
      </w:r>
    </w:p>
    <w:p w14:paraId="3ADCEC9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בהרת לבנה</w:t>
      </w:r>
      <w:r w:rsidRPr="009A13B9">
        <w:rPr>
          <w:rFonts w:eastAsia="Times New Roman" w:cs="Times New Roman"/>
          <w:rtl/>
          <w:lang w:eastAsia="de-DE"/>
        </w:rPr>
        <w:t xml:space="preserve"> </w:t>
      </w:r>
      <w:r w:rsidRPr="009A13B9">
        <w:rPr>
          <w:rFonts w:eastAsia="Times New Roman" w:cs="Times New Roman"/>
          <w:lang w:eastAsia="de-DE"/>
        </w:rPr>
        <w:t xml:space="preserve">(weißer Fleck) referenziert eine der drei Kategorien aus V. 2. Die Negation beider Kriterien aus V. 3 führt nicht zu sofortiger Reinheitserklärung, sondern zu </w:t>
      </w:r>
      <w:r w:rsidRPr="009A13B9">
        <w:rPr>
          <w:rFonts w:eastAsia="Times New Roman" w:cs="Times New Roman"/>
          <w:b/>
          <w:bCs/>
          <w:rtl/>
          <w:lang w:eastAsia="de-DE"/>
        </w:rPr>
        <w:t>הסגיר</w:t>
      </w:r>
      <w:r w:rsidRPr="009A13B9">
        <w:rPr>
          <w:rFonts w:eastAsia="Times New Roman" w:cs="Times New Roman"/>
          <w:rtl/>
          <w:lang w:eastAsia="de-DE"/>
        </w:rPr>
        <w:t xml:space="preserve"> </w:t>
      </w:r>
      <w:r w:rsidRPr="009A13B9">
        <w:rPr>
          <w:rFonts w:eastAsia="Times New Roman" w:cs="Times New Roman"/>
          <w:lang w:eastAsia="de-DE"/>
        </w:rPr>
        <w:t xml:space="preserve">(Quarantäne).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als Standardbeobachtungszeit.</w:t>
      </w:r>
    </w:p>
    <w:p w14:paraId="486E5ED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בהרת לבנה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τηλ</w:t>
      </w:r>
      <w:proofErr w:type="spellEnd"/>
      <w:r w:rsidRPr="009A13B9">
        <w:rPr>
          <w:rFonts w:eastAsia="Times New Roman" w:cs="Times New Roman"/>
          <w:lang w:eastAsia="de-DE"/>
        </w:rPr>
        <w:t xml:space="preserve">αυγὲς </w:t>
      </w:r>
      <w:proofErr w:type="spellStart"/>
      <w:r w:rsidRPr="009A13B9">
        <w:rPr>
          <w:rFonts w:eastAsia="Times New Roman" w:cs="Times New Roman"/>
          <w:lang w:eastAsia="de-DE"/>
        </w:rPr>
        <w:t>λευκόν</w:t>
      </w:r>
      <w:proofErr w:type="spellEnd"/>
      <w:r w:rsidRPr="009A13B9">
        <w:rPr>
          <w:rFonts w:eastAsia="Times New Roman" w:cs="Times New Roman"/>
          <w:lang w:eastAsia="de-DE"/>
        </w:rPr>
        <w:t xml:space="preserve"> (weißer leuchtender Fleck), </w:t>
      </w:r>
      <w:r w:rsidRPr="009A13B9">
        <w:rPr>
          <w:rFonts w:eastAsia="Times New Roman" w:cs="Times New Roman"/>
          <w:b/>
          <w:bCs/>
          <w:rtl/>
          <w:lang w:eastAsia="de-DE"/>
        </w:rPr>
        <w:t>אין־מראה עמק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κοῖλον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τὸ</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εἶδος</w:t>
      </w:r>
      <w:proofErr w:type="spellEnd"/>
      <w:r w:rsidRPr="009A13B9">
        <w:rPr>
          <w:rFonts w:eastAsia="Times New Roman" w:cs="Times New Roman"/>
          <w:lang w:eastAsia="de-DE"/>
        </w:rPr>
        <w:t xml:space="preserve"> (nicht hohl das Aussehen), </w:t>
      </w:r>
      <w:r w:rsidRPr="009A13B9">
        <w:rPr>
          <w:rFonts w:eastAsia="Times New Roman" w:cs="Times New Roman"/>
          <w:b/>
          <w:bCs/>
          <w:rtl/>
          <w:lang w:eastAsia="de-DE"/>
        </w:rPr>
        <w:t>והסגיר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ἀφοριεῖ</w:t>
      </w:r>
      <w:proofErr w:type="spellEnd"/>
      <w:r w:rsidRPr="009A13B9">
        <w:rPr>
          <w:rFonts w:eastAsia="Times New Roman" w:cs="Times New Roman"/>
          <w:lang w:eastAsia="de-DE"/>
        </w:rPr>
        <w:t xml:space="preserve"> (er wird absondern) und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mit ἑπ</w:t>
      </w:r>
      <w:proofErr w:type="spellStart"/>
      <w:r w:rsidRPr="009A13B9">
        <w:rPr>
          <w:rFonts w:eastAsia="Times New Roman" w:cs="Times New Roman"/>
          <w:lang w:eastAsia="de-DE"/>
        </w:rPr>
        <w:t>τὰ</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ἡμέρ</w:t>
      </w:r>
      <w:proofErr w:type="spellEnd"/>
      <w:r w:rsidRPr="009A13B9">
        <w:rPr>
          <w:rFonts w:eastAsia="Times New Roman" w:cs="Times New Roman"/>
          <w:lang w:eastAsia="de-DE"/>
        </w:rPr>
        <w:t>ας (sieben Tage).</w:t>
      </w:r>
    </w:p>
    <w:p w14:paraId="4D381D3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Alternativverfahren: Konditionalsatz mit weißem Fleck + Negation beider Kriterien + Quarantäneverfahren mit Zeitangabe. Die Struktur zeigt vorsichtiges Abwarten bei unklaren Fällen.</w:t>
      </w:r>
    </w:p>
    <w:p w14:paraId="7CC6988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regelt das Quarantäneverfahren für unklare Fälle, die weder definitiv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noch eindeutig harmlos sind.</w:t>
      </w:r>
    </w:p>
    <w:p w14:paraId="69D67E68"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w:t>
      </w:r>
    </w:p>
    <w:p w14:paraId="64BC564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וְרָאָ֣הוּ הַכֹּהֵן֮ בַּיּ֣וֹם הַשְּׁבִיעִי֒ וְהִנֵּ֤ה הַנֶּ֨גַע֙ עָמַ֣ד בְּעֵינָ֔יו לֹֽא־פָשָׂ֥ה הַנֶּ֖גַע בָּע֑וֹר וְהִסְגִּירֹ֧ו הַכֹּהֵ֛ן שִׁבְעַ֥ת יָמִ֖ים שֵׁנִֽית׃</w:t>
      </w:r>
    </w:p>
    <w:p w14:paraId="28472E0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soll es am siebten Tag sehen; und siehe, wenn das Mal in seinen Augen stehengeblieben ist, das Mal hat auf der Haut nicht ausgebreitet, so soll der Priester ihn zum zweiten Mal sieben Tage einschließen.</w:t>
      </w:r>
    </w:p>
    <w:p w14:paraId="4DBE620B"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320B8D8">
          <v:rect id="_x0000_i1336" style="width:0;height:1.5pt" o:hralign="center" o:hrstd="t" o:hr="t" fillcolor="#a0a0a0" stroked="f"/>
        </w:pict>
      </w:r>
    </w:p>
    <w:p w14:paraId="1BC4181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וראהו הכהן ביום השביעי</w:t>
      </w:r>
      <w:r w:rsidRPr="009A13B9">
        <w:rPr>
          <w:rFonts w:eastAsia="Times New Roman" w:cs="Times New Roman"/>
          <w:rtl/>
          <w:lang w:eastAsia="de-DE"/>
        </w:rPr>
        <w:t xml:space="preserve"> </w:t>
      </w:r>
      <w:r w:rsidRPr="009A13B9">
        <w:rPr>
          <w:rFonts w:eastAsia="Times New Roman" w:cs="Times New Roman"/>
          <w:lang w:eastAsia="de-DE"/>
        </w:rPr>
        <w:t xml:space="preserve">zeigt die erste Nachuntersuchung. </w:t>
      </w:r>
      <w:r w:rsidRPr="009A13B9">
        <w:rPr>
          <w:rFonts w:eastAsia="Times New Roman" w:cs="Times New Roman"/>
          <w:b/>
          <w:bCs/>
          <w:rtl/>
          <w:lang w:eastAsia="de-DE"/>
        </w:rPr>
        <w:t>וראהו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es sehen) mit Objektsuffix 3. Person maskulin Singular. </w:t>
      </w:r>
      <w:r w:rsidRPr="009A13B9">
        <w:rPr>
          <w:rFonts w:eastAsia="Times New Roman" w:cs="Times New Roman"/>
          <w:b/>
          <w:bCs/>
          <w:rtl/>
          <w:lang w:eastAsia="de-DE"/>
        </w:rPr>
        <w:t>ביום השביעי</w:t>
      </w:r>
      <w:r w:rsidRPr="009A13B9">
        <w:rPr>
          <w:rFonts w:eastAsia="Times New Roman" w:cs="Times New Roman"/>
          <w:rtl/>
          <w:lang w:eastAsia="de-DE"/>
        </w:rPr>
        <w:t xml:space="preserve"> </w:t>
      </w:r>
      <w:r w:rsidRPr="009A13B9">
        <w:rPr>
          <w:rFonts w:eastAsia="Times New Roman" w:cs="Times New Roman"/>
          <w:lang w:eastAsia="de-DE"/>
        </w:rPr>
        <w:t>(am siebten Tag) als festgelegter Untersuchungstermin.</w:t>
      </w:r>
    </w:p>
    <w:p w14:paraId="4CDDDB6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והנה הנגע עמד בעיניו לא־פשה הנגע בעור</w:t>
      </w:r>
      <w:r w:rsidRPr="009A13B9">
        <w:rPr>
          <w:rFonts w:eastAsia="Times New Roman" w:cs="Times New Roman"/>
          <w:rtl/>
          <w:lang w:eastAsia="de-DE"/>
        </w:rPr>
        <w:t xml:space="preserve"> </w:t>
      </w:r>
      <w:r w:rsidRPr="009A13B9">
        <w:rPr>
          <w:rFonts w:eastAsia="Times New Roman" w:cs="Times New Roman"/>
          <w:lang w:eastAsia="de-DE"/>
        </w:rPr>
        <w:t xml:space="preserve">beschreibt den Befund. </w:t>
      </w:r>
      <w:r w:rsidRPr="009A13B9">
        <w:rPr>
          <w:rFonts w:eastAsia="Times New Roman" w:cs="Times New Roman"/>
          <w:b/>
          <w:bCs/>
          <w:rtl/>
          <w:lang w:eastAsia="de-DE"/>
        </w:rPr>
        <w:t>והנה הנגע עמד בעיניו</w:t>
      </w:r>
      <w:r w:rsidRPr="009A13B9">
        <w:rPr>
          <w:rFonts w:eastAsia="Times New Roman" w:cs="Times New Roman"/>
          <w:rtl/>
          <w:lang w:eastAsia="de-DE"/>
        </w:rPr>
        <w:t xml:space="preserve"> </w:t>
      </w:r>
      <w:r w:rsidRPr="009A13B9">
        <w:rPr>
          <w:rFonts w:eastAsia="Times New Roman" w:cs="Times New Roman"/>
          <w:lang w:eastAsia="de-DE"/>
        </w:rPr>
        <w:t xml:space="preserve">(und siehe, das Mal ist stehengeblieben in seinen Augen) - </w:t>
      </w:r>
      <w:r w:rsidRPr="009A13B9">
        <w:rPr>
          <w:rFonts w:eastAsia="Times New Roman" w:cs="Times New Roman"/>
          <w:b/>
          <w:bCs/>
          <w:rtl/>
          <w:lang w:eastAsia="de-DE"/>
        </w:rPr>
        <w:t>עמד בעיניו</w:t>
      </w:r>
      <w:r w:rsidRPr="009A13B9">
        <w:rPr>
          <w:rFonts w:eastAsia="Times New Roman" w:cs="Times New Roman"/>
          <w:rtl/>
          <w:lang w:eastAsia="de-DE"/>
        </w:rPr>
        <w:t xml:space="preserve"> </w:t>
      </w:r>
      <w:r w:rsidRPr="009A13B9">
        <w:rPr>
          <w:rFonts w:eastAsia="Times New Roman" w:cs="Times New Roman"/>
          <w:lang w:eastAsia="de-DE"/>
        </w:rPr>
        <w:t xml:space="preserve">(stehengeblieben in seinen Augen) zeigt subjektive priesterliche Einschätzung. </w:t>
      </w:r>
      <w:r w:rsidRPr="009A13B9">
        <w:rPr>
          <w:rFonts w:eastAsia="Times New Roman" w:cs="Times New Roman"/>
          <w:b/>
          <w:bCs/>
          <w:rtl/>
          <w:lang w:eastAsia="de-DE"/>
        </w:rPr>
        <w:t>לא־פשה הנגע בעור</w:t>
      </w:r>
      <w:r w:rsidRPr="009A13B9">
        <w:rPr>
          <w:rFonts w:eastAsia="Times New Roman" w:cs="Times New Roman"/>
          <w:rtl/>
          <w:lang w:eastAsia="de-DE"/>
        </w:rPr>
        <w:t xml:space="preserve"> </w:t>
      </w:r>
      <w:r w:rsidRPr="009A13B9">
        <w:rPr>
          <w:rFonts w:eastAsia="Times New Roman" w:cs="Times New Roman"/>
          <w:lang w:eastAsia="de-DE"/>
        </w:rPr>
        <w:t xml:space="preserve">(das Mal hat sich nicht auf der Haut ausgebreitet) - </w:t>
      </w:r>
      <w:r w:rsidRPr="009A13B9">
        <w:rPr>
          <w:rFonts w:eastAsia="Times New Roman" w:cs="Times New Roman"/>
          <w:b/>
          <w:bCs/>
          <w:rtl/>
          <w:lang w:eastAsia="de-DE"/>
        </w:rPr>
        <w:t>פשה</w:t>
      </w:r>
      <w:r w:rsidRPr="009A13B9">
        <w:rPr>
          <w:rFonts w:eastAsia="Times New Roman" w:cs="Times New Roman"/>
          <w:rtl/>
          <w:lang w:eastAsia="de-DE"/>
        </w:rPr>
        <w:t xml:space="preserve"> </w:t>
      </w:r>
      <w:r w:rsidRPr="009A13B9">
        <w:rPr>
          <w:rFonts w:eastAsia="Times New Roman" w:cs="Times New Roman"/>
          <w:lang w:eastAsia="de-DE"/>
        </w:rPr>
        <w:t xml:space="preserve">(sich ausbreiten) im Qal-Perfekt mit Negation </w:t>
      </w:r>
      <w:r w:rsidRPr="009A13B9">
        <w:rPr>
          <w:rFonts w:eastAsia="Times New Roman" w:cs="Times New Roman"/>
          <w:b/>
          <w:bCs/>
          <w:rtl/>
          <w:lang w:eastAsia="de-DE"/>
        </w:rPr>
        <w:t>לא</w:t>
      </w:r>
      <w:r w:rsidRPr="009A13B9">
        <w:rPr>
          <w:rFonts w:eastAsia="Times New Roman" w:cs="Times New Roman"/>
          <w:lang w:eastAsia="de-DE"/>
        </w:rPr>
        <w:t>.</w:t>
      </w:r>
    </w:p>
    <w:p w14:paraId="7636506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והסגירו הכהן שבעת ימים שנית</w:t>
      </w:r>
      <w:r w:rsidRPr="009A13B9">
        <w:rPr>
          <w:rFonts w:eastAsia="Times New Roman" w:cs="Times New Roman"/>
          <w:rtl/>
          <w:lang w:eastAsia="de-DE"/>
        </w:rPr>
        <w:t xml:space="preserve"> </w:t>
      </w:r>
      <w:r w:rsidRPr="009A13B9">
        <w:rPr>
          <w:rFonts w:eastAsia="Times New Roman" w:cs="Times New Roman"/>
          <w:lang w:eastAsia="de-DE"/>
        </w:rPr>
        <w:t xml:space="preserve">zeigt das erweiterte Verfahren. </w:t>
      </w:r>
      <w:r w:rsidRPr="009A13B9">
        <w:rPr>
          <w:rFonts w:eastAsia="Times New Roman" w:cs="Times New Roman"/>
          <w:b/>
          <w:bCs/>
          <w:rtl/>
          <w:lang w:eastAsia="de-DE"/>
        </w:rPr>
        <w:t>והסגירו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einschließen) entspricht V. 4. </w:t>
      </w:r>
      <w:r w:rsidRPr="009A13B9">
        <w:rPr>
          <w:rFonts w:eastAsia="Times New Roman" w:cs="Times New Roman"/>
          <w:b/>
          <w:bCs/>
          <w:rtl/>
          <w:lang w:eastAsia="de-DE"/>
        </w:rPr>
        <w:t>שבעת ימים שנית</w:t>
      </w:r>
      <w:r w:rsidRPr="009A13B9">
        <w:rPr>
          <w:rFonts w:eastAsia="Times New Roman" w:cs="Times New Roman"/>
          <w:rtl/>
          <w:lang w:eastAsia="de-DE"/>
        </w:rPr>
        <w:t xml:space="preserve"> </w:t>
      </w:r>
      <w:r w:rsidRPr="009A13B9">
        <w:rPr>
          <w:rFonts w:eastAsia="Times New Roman" w:cs="Times New Roman"/>
          <w:lang w:eastAsia="de-DE"/>
        </w:rPr>
        <w:t>(sieben Tage zum zweiten Mal) verlängert die Beobachtungszeit.</w:t>
      </w:r>
    </w:p>
    <w:p w14:paraId="1CB7B81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עמד בעיניו</w:t>
      </w:r>
      <w:r w:rsidRPr="009A13B9">
        <w:rPr>
          <w:rFonts w:eastAsia="Times New Roman" w:cs="Times New Roman"/>
          <w:rtl/>
          <w:lang w:eastAsia="de-DE"/>
        </w:rPr>
        <w:t xml:space="preserve"> </w:t>
      </w:r>
      <w:r w:rsidRPr="009A13B9">
        <w:rPr>
          <w:rFonts w:eastAsia="Times New Roman" w:cs="Times New Roman"/>
          <w:lang w:eastAsia="de-DE"/>
        </w:rPr>
        <w:t xml:space="preserve">(stehengeblieben in seinen Augen) zeigt keine Verschlechterung. </w:t>
      </w:r>
      <w:r w:rsidRPr="009A13B9">
        <w:rPr>
          <w:rFonts w:eastAsia="Times New Roman" w:cs="Times New Roman"/>
          <w:b/>
          <w:bCs/>
          <w:rtl/>
          <w:lang w:eastAsia="de-DE"/>
        </w:rPr>
        <w:t>לא־פשה בעור</w:t>
      </w:r>
      <w:r w:rsidRPr="009A13B9">
        <w:rPr>
          <w:rFonts w:eastAsia="Times New Roman" w:cs="Times New Roman"/>
          <w:rtl/>
          <w:lang w:eastAsia="de-DE"/>
        </w:rPr>
        <w:t xml:space="preserve"> </w:t>
      </w:r>
      <w:r w:rsidRPr="009A13B9">
        <w:rPr>
          <w:rFonts w:eastAsia="Times New Roman" w:cs="Times New Roman"/>
          <w:lang w:eastAsia="de-DE"/>
        </w:rPr>
        <w:t xml:space="preserve">(nicht ausgebreitet auf der Haut) als wichtiges negatives Kriterium.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(zum zweiten Mal) zeigt systematische Verlängerung der Beobachtung.</w:t>
      </w:r>
    </w:p>
    <w:p w14:paraId="4F1F26F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עמד בעיניו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ἔστηκεν</w:t>
      </w:r>
      <w:proofErr w:type="spellEnd"/>
      <w:r w:rsidRPr="009A13B9">
        <w:rPr>
          <w:rFonts w:eastAsia="Times New Roman" w:cs="Times New Roman"/>
          <w:lang w:eastAsia="de-DE"/>
        </w:rPr>
        <w:t xml:space="preserve"> ἡ </w:t>
      </w:r>
      <w:proofErr w:type="spellStart"/>
      <w:r w:rsidRPr="009A13B9">
        <w:rPr>
          <w:rFonts w:eastAsia="Times New Roman" w:cs="Times New Roman"/>
          <w:lang w:eastAsia="de-DE"/>
        </w:rPr>
        <w:t>ἁφή</w:t>
      </w:r>
      <w:proofErr w:type="spellEnd"/>
      <w:r w:rsidRPr="009A13B9">
        <w:rPr>
          <w:rFonts w:eastAsia="Times New Roman" w:cs="Times New Roman"/>
          <w:lang w:eastAsia="de-DE"/>
        </w:rPr>
        <w:t xml:space="preserve"> (das Mal steht),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nicht aus) und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δεύτερον</w:t>
      </w:r>
      <w:proofErr w:type="spellEnd"/>
      <w:r w:rsidRPr="009A13B9">
        <w:rPr>
          <w:rFonts w:eastAsia="Times New Roman" w:cs="Times New Roman"/>
          <w:lang w:eastAsia="de-DE"/>
        </w:rPr>
        <w:t xml:space="preserve"> (zum zweiten Mal).</w:t>
      </w:r>
    </w:p>
    <w:p w14:paraId="7927E52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systematische Nachuntersuchung: terminierte Untersuchung + Sichtbefund mit zwei negativen Kriterien + erweiterte Quarantäne. Die Struktur zeigt vorsichtige mehrstufige Beobachtung.</w:t>
      </w:r>
    </w:p>
    <w:p w14:paraId="0A8E947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 erweiterte Quarantäneverfahren bei unveränderten, aber weiterhin unklaren Hautveränderungen.</w:t>
      </w:r>
    </w:p>
    <w:p w14:paraId="1AE31D02"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13,6</w:t>
      </w:r>
    </w:p>
    <w:p w14:paraId="15DCA5E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אֹתוֹ֜ בַּיּ֣וֹם הַשְּׁבִיעִי֮ שֵׁנִית֒ וְהִנֵּה֙ כֵּהָ֣ה הַנֶּ֔גַע וְלֹא־פָשָׂ֥ה הַנֶּ֖גַע בָּע֑וֹר וְטִהֲרֹ֤ו הַכֹּהֵן֙ מִסְפַּ֣חַת הִ֔יא וְכִבֶּ֥ס בְּגָדָ֖יו וְטָהֵֽר׃</w:t>
      </w:r>
    </w:p>
    <w:p w14:paraId="4CD5500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Und der Priester soll es am siebten Tag zum zweiten Mal sehen; und siehe, wenn das Mal dunkel geworden ist und das Mal hat sich auf der Haut nicht ausgebreitet, so soll der Priester ihn für rein erklären: es ist ein Ausschlag; und er soll seine Kleider waschen, und er ist rein.</w:t>
      </w:r>
    </w:p>
    <w:p w14:paraId="2E6C16D4"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195FF57C">
          <v:rect id="_x0000_i1337" style="width:0;height:1.5pt" o:hralign="center" o:hrstd="t" o:hr="t" fillcolor="#a0a0a0" stroked="f"/>
        </w:pict>
      </w:r>
    </w:p>
    <w:p w14:paraId="03B4874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אתו ביום השביעי שנית</w:t>
      </w:r>
      <w:r w:rsidRPr="009A13B9">
        <w:rPr>
          <w:rFonts w:eastAsia="Times New Roman" w:cs="Times New Roman"/>
          <w:rtl/>
          <w:lang w:eastAsia="de-DE"/>
        </w:rPr>
        <w:t xml:space="preserve"> </w:t>
      </w:r>
      <w:r w:rsidRPr="009A13B9">
        <w:rPr>
          <w:rFonts w:eastAsia="Times New Roman" w:cs="Times New Roman"/>
          <w:lang w:eastAsia="de-DE"/>
        </w:rPr>
        <w:t xml:space="preserve">zeigt die zweite Nachuntersuchung. </w:t>
      </w:r>
      <w:r w:rsidRPr="009A13B9">
        <w:rPr>
          <w:rFonts w:eastAsia="Times New Roman" w:cs="Times New Roman"/>
          <w:b/>
          <w:bCs/>
          <w:rtl/>
          <w:lang w:eastAsia="de-DE"/>
        </w:rPr>
        <w:t>וראה הכהן אתו</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sehen) mit direktem Objekt </w:t>
      </w:r>
      <w:r w:rsidRPr="009A13B9">
        <w:rPr>
          <w:rFonts w:eastAsia="Times New Roman" w:cs="Times New Roman"/>
          <w:b/>
          <w:bCs/>
          <w:rtl/>
          <w:lang w:eastAsia="de-DE"/>
        </w:rPr>
        <w:t>אתו</w:t>
      </w:r>
      <w:r w:rsidRPr="009A13B9">
        <w:rPr>
          <w:rFonts w:eastAsia="Times New Roman" w:cs="Times New Roman"/>
          <w:lang w:eastAsia="de-DE"/>
        </w:rPr>
        <w:t xml:space="preserve">. </w:t>
      </w:r>
      <w:r w:rsidRPr="009A13B9">
        <w:rPr>
          <w:rFonts w:eastAsia="Times New Roman" w:cs="Times New Roman"/>
          <w:b/>
          <w:bCs/>
          <w:rtl/>
          <w:lang w:eastAsia="de-DE"/>
        </w:rPr>
        <w:t>ביום השביעי שנית</w:t>
      </w:r>
      <w:r w:rsidRPr="009A13B9">
        <w:rPr>
          <w:rFonts w:eastAsia="Times New Roman" w:cs="Times New Roman"/>
          <w:rtl/>
          <w:lang w:eastAsia="de-DE"/>
        </w:rPr>
        <w:t xml:space="preserve"> </w:t>
      </w:r>
      <w:r w:rsidRPr="009A13B9">
        <w:rPr>
          <w:rFonts w:eastAsia="Times New Roman" w:cs="Times New Roman"/>
          <w:lang w:eastAsia="de-DE"/>
        </w:rPr>
        <w:t>(am siebten Tag zum zweiten Mal) zeigt den zweiten Sieben-Tage-Zyklus.</w:t>
      </w:r>
    </w:p>
    <w:p w14:paraId="3FB6747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והנה כהה הנגע ולא־פשה הנגע בעור</w:t>
      </w:r>
      <w:r w:rsidRPr="009A13B9">
        <w:rPr>
          <w:rFonts w:eastAsia="Times New Roman" w:cs="Times New Roman"/>
          <w:rtl/>
          <w:lang w:eastAsia="de-DE"/>
        </w:rPr>
        <w:t xml:space="preserve"> </w:t>
      </w:r>
      <w:r w:rsidRPr="009A13B9">
        <w:rPr>
          <w:rFonts w:eastAsia="Times New Roman" w:cs="Times New Roman"/>
          <w:lang w:eastAsia="de-DE"/>
        </w:rPr>
        <w:t xml:space="preserve">beschreibt den positiven Befund. </w:t>
      </w:r>
      <w:r w:rsidRPr="009A13B9">
        <w:rPr>
          <w:rFonts w:eastAsia="Times New Roman" w:cs="Times New Roman"/>
          <w:b/>
          <w:bCs/>
          <w:rtl/>
          <w:lang w:eastAsia="de-DE"/>
        </w:rPr>
        <w:t>והנה כהה הנגע</w:t>
      </w:r>
      <w:r w:rsidRPr="009A13B9">
        <w:rPr>
          <w:rFonts w:eastAsia="Times New Roman" w:cs="Times New Roman"/>
          <w:rtl/>
          <w:lang w:eastAsia="de-DE"/>
        </w:rPr>
        <w:t xml:space="preserve"> </w:t>
      </w:r>
      <w:r w:rsidRPr="009A13B9">
        <w:rPr>
          <w:rFonts w:eastAsia="Times New Roman" w:cs="Times New Roman"/>
          <w:lang w:eastAsia="de-DE"/>
        </w:rPr>
        <w:t xml:space="preserve">(und siehe, das Mal ist dunkel geworden) - </w:t>
      </w:r>
      <w:r w:rsidRPr="009A13B9">
        <w:rPr>
          <w:rFonts w:eastAsia="Times New Roman" w:cs="Times New Roman"/>
          <w:b/>
          <w:bCs/>
          <w:rtl/>
          <w:lang w:eastAsia="de-DE"/>
        </w:rPr>
        <w:t>כהה</w:t>
      </w:r>
      <w:r w:rsidRPr="009A13B9">
        <w:rPr>
          <w:rFonts w:eastAsia="Times New Roman" w:cs="Times New Roman"/>
          <w:rtl/>
          <w:lang w:eastAsia="de-DE"/>
        </w:rPr>
        <w:t xml:space="preserve"> </w:t>
      </w:r>
      <w:r w:rsidRPr="009A13B9">
        <w:rPr>
          <w:rFonts w:eastAsia="Times New Roman" w:cs="Times New Roman"/>
          <w:lang w:eastAsia="de-DE"/>
        </w:rPr>
        <w:t xml:space="preserve">(dunkel werden/verblassen) im Qal-Perfekt zeigt Besserung. </w:t>
      </w:r>
      <w:r w:rsidRPr="009A13B9">
        <w:rPr>
          <w:rFonts w:eastAsia="Times New Roman" w:cs="Times New Roman"/>
          <w:b/>
          <w:bCs/>
          <w:rtl/>
          <w:lang w:eastAsia="de-DE"/>
        </w:rPr>
        <w:t>ולא־פשה הנגע בעור</w:t>
      </w:r>
      <w:r w:rsidRPr="009A13B9">
        <w:rPr>
          <w:rFonts w:eastAsia="Times New Roman" w:cs="Times New Roman"/>
          <w:rtl/>
          <w:lang w:eastAsia="de-DE"/>
        </w:rPr>
        <w:t xml:space="preserve"> </w:t>
      </w:r>
      <w:r w:rsidRPr="009A13B9">
        <w:rPr>
          <w:rFonts w:eastAsia="Times New Roman" w:cs="Times New Roman"/>
          <w:lang w:eastAsia="de-DE"/>
        </w:rPr>
        <w:t>(und das Mal hat sich nicht auf der Haut ausgebreitet) wiederholt das negative Kriterium aus V. 5.</w:t>
      </w:r>
    </w:p>
    <w:p w14:paraId="559F435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וטהרו הכהן מספחת היא וכבס בגדיו וטהר</w:t>
      </w:r>
      <w:r w:rsidRPr="009A13B9">
        <w:rPr>
          <w:rFonts w:eastAsia="Times New Roman" w:cs="Times New Roman"/>
          <w:rtl/>
          <w:lang w:eastAsia="de-DE"/>
        </w:rPr>
        <w:t xml:space="preserve"> </w:t>
      </w:r>
      <w:r w:rsidRPr="009A13B9">
        <w:rPr>
          <w:rFonts w:eastAsia="Times New Roman" w:cs="Times New Roman"/>
          <w:lang w:eastAsia="de-DE"/>
        </w:rPr>
        <w:t xml:space="preserve">zeigt Diagnose und Reinigungsverfahren.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rein erklären) - </w:t>
      </w:r>
      <w:r w:rsidRPr="009A13B9">
        <w:rPr>
          <w:rFonts w:eastAsia="Times New Roman" w:cs="Times New Roman"/>
          <w:b/>
          <w:bCs/>
          <w:rtl/>
          <w:lang w:eastAsia="de-DE"/>
        </w:rPr>
        <w:t>טהר</w:t>
      </w:r>
      <w:r w:rsidRPr="009A13B9">
        <w:rPr>
          <w:rFonts w:eastAsia="Times New Roman" w:cs="Times New Roman"/>
          <w:rtl/>
          <w:lang w:eastAsia="de-DE"/>
        </w:rPr>
        <w:t xml:space="preserve"> </w:t>
      </w:r>
      <w:r w:rsidRPr="009A13B9">
        <w:rPr>
          <w:rFonts w:eastAsia="Times New Roman" w:cs="Times New Roman"/>
          <w:lang w:eastAsia="de-DE"/>
        </w:rPr>
        <w:t xml:space="preserve">(rein erklären) im Piel-Perfekt mit Waw-Konsekutiv. </w:t>
      </w:r>
      <w:r w:rsidRPr="009A13B9">
        <w:rPr>
          <w:rFonts w:eastAsia="Times New Roman" w:cs="Times New Roman"/>
          <w:b/>
          <w:bCs/>
          <w:rtl/>
          <w:lang w:eastAsia="de-DE"/>
        </w:rPr>
        <w:t>מספחת היא</w:t>
      </w:r>
      <w:r w:rsidRPr="009A13B9">
        <w:rPr>
          <w:rFonts w:eastAsia="Times New Roman" w:cs="Times New Roman"/>
          <w:rtl/>
          <w:lang w:eastAsia="de-DE"/>
        </w:rPr>
        <w:t xml:space="preserve"> </w:t>
      </w:r>
      <w:r w:rsidRPr="009A13B9">
        <w:rPr>
          <w:rFonts w:eastAsia="Times New Roman" w:cs="Times New Roman"/>
          <w:lang w:eastAsia="de-DE"/>
        </w:rPr>
        <w:t xml:space="preserve">(ein Ausschlag ist es) - </w:t>
      </w:r>
      <w:r w:rsidRPr="009A13B9">
        <w:rPr>
          <w:rFonts w:eastAsia="Times New Roman" w:cs="Times New Roman"/>
          <w:b/>
          <w:bCs/>
          <w:rtl/>
          <w:lang w:eastAsia="de-DE"/>
        </w:rPr>
        <w:t>מספחת</w:t>
      </w:r>
      <w:r w:rsidRPr="009A13B9">
        <w:rPr>
          <w:rFonts w:eastAsia="Times New Roman" w:cs="Times New Roman"/>
          <w:rtl/>
          <w:lang w:eastAsia="de-DE"/>
        </w:rPr>
        <w:t xml:space="preserve"> </w:t>
      </w:r>
      <w:r w:rsidRPr="009A13B9">
        <w:rPr>
          <w:rFonts w:eastAsia="Times New Roman" w:cs="Times New Roman"/>
          <w:lang w:eastAsia="de-DE"/>
        </w:rPr>
        <w:t xml:space="preserve">aus V. 2 als harmlose Diagnose. </w:t>
      </w:r>
      <w:r w:rsidRPr="009A13B9">
        <w:rPr>
          <w:rFonts w:eastAsia="Times New Roman" w:cs="Times New Roman"/>
          <w:b/>
          <w:bCs/>
          <w:rtl/>
          <w:lang w:eastAsia="de-DE"/>
        </w:rPr>
        <w:t>וכבס בגדיו וטהר</w:t>
      </w:r>
      <w:r w:rsidRPr="009A13B9">
        <w:rPr>
          <w:rFonts w:eastAsia="Times New Roman" w:cs="Times New Roman"/>
          <w:rtl/>
          <w:lang w:eastAsia="de-DE"/>
        </w:rPr>
        <w:t xml:space="preserve"> </w:t>
      </w:r>
      <w:r w:rsidRPr="009A13B9">
        <w:rPr>
          <w:rFonts w:eastAsia="Times New Roman" w:cs="Times New Roman"/>
          <w:lang w:eastAsia="de-DE"/>
        </w:rPr>
        <w:t>(und er soll seine Kleider waschen, und er ist rein) zeigt das Reinigungsritual.</w:t>
      </w:r>
    </w:p>
    <w:p w14:paraId="59E6297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כהה הנגע</w:t>
      </w:r>
      <w:r w:rsidRPr="009A13B9">
        <w:rPr>
          <w:rFonts w:eastAsia="Times New Roman" w:cs="Times New Roman"/>
          <w:rtl/>
          <w:lang w:eastAsia="de-DE"/>
        </w:rPr>
        <w:t xml:space="preserve"> </w:t>
      </w:r>
      <w:r w:rsidRPr="009A13B9">
        <w:rPr>
          <w:rFonts w:eastAsia="Times New Roman" w:cs="Times New Roman"/>
          <w:lang w:eastAsia="de-DE"/>
        </w:rPr>
        <w:t xml:space="preserve">(das Mal ist dunkel geworden) zeigt Rückgang der Entzündung. </w:t>
      </w:r>
      <w:r w:rsidRPr="009A13B9">
        <w:rPr>
          <w:rFonts w:eastAsia="Times New Roman" w:cs="Times New Roman"/>
          <w:b/>
          <w:bCs/>
          <w:rtl/>
          <w:lang w:eastAsia="de-DE"/>
        </w:rPr>
        <w:t>מספחת</w:t>
      </w:r>
      <w:r w:rsidRPr="009A13B9">
        <w:rPr>
          <w:rFonts w:eastAsia="Times New Roman" w:cs="Times New Roman"/>
          <w:rtl/>
          <w:lang w:eastAsia="de-DE"/>
        </w:rPr>
        <w:t xml:space="preserve"> </w:t>
      </w:r>
      <w:r w:rsidRPr="009A13B9">
        <w:rPr>
          <w:rFonts w:eastAsia="Times New Roman" w:cs="Times New Roman"/>
          <w:lang w:eastAsia="de-DE"/>
        </w:rPr>
        <w:t xml:space="preserve">als endgültige harmlose Diagnose im Unterschied zu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וכבס בגדיו</w:t>
      </w:r>
      <w:r w:rsidRPr="009A13B9">
        <w:rPr>
          <w:rFonts w:eastAsia="Times New Roman" w:cs="Times New Roman"/>
          <w:rtl/>
          <w:lang w:eastAsia="de-DE"/>
        </w:rPr>
        <w:t xml:space="preserve"> </w:t>
      </w:r>
      <w:r w:rsidRPr="009A13B9">
        <w:rPr>
          <w:rFonts w:eastAsia="Times New Roman" w:cs="Times New Roman"/>
          <w:lang w:eastAsia="de-DE"/>
        </w:rPr>
        <w:t>als symbolische Reinigung nach der Quarantäne.</w:t>
      </w:r>
    </w:p>
    <w:p w14:paraId="6DD2303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כהה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ἀμ</w:t>
      </w:r>
      <w:proofErr w:type="spellEnd"/>
      <w:r w:rsidRPr="009A13B9">
        <w:rPr>
          <w:rFonts w:eastAsia="Times New Roman" w:cs="Times New Roman"/>
          <w:lang w:eastAsia="de-DE"/>
        </w:rPr>
        <w:t xml:space="preserve">αυρὰ </w:t>
      </w:r>
      <w:proofErr w:type="spellStart"/>
      <w:r w:rsidRPr="009A13B9">
        <w:rPr>
          <w:rFonts w:eastAsia="Times New Roman" w:cs="Times New Roman"/>
          <w:lang w:eastAsia="de-DE"/>
        </w:rPr>
        <w:t>ἐγένετο</w:t>
      </w:r>
      <w:proofErr w:type="spellEnd"/>
      <w:r w:rsidRPr="009A13B9">
        <w:rPr>
          <w:rFonts w:eastAsia="Times New Roman" w:cs="Times New Roman"/>
          <w:lang w:eastAsia="de-DE"/>
        </w:rPr>
        <w:t xml:space="preserve"> (dunkel wurde), </w:t>
      </w:r>
      <w:r w:rsidRPr="009A13B9">
        <w:rPr>
          <w:rFonts w:eastAsia="Times New Roman" w:cs="Times New Roman"/>
          <w:b/>
          <w:bCs/>
          <w:rtl/>
          <w:lang w:eastAsia="de-DE"/>
        </w:rPr>
        <w:t>מספחת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σημ</w:t>
      </w:r>
      <w:proofErr w:type="spellEnd"/>
      <w:r w:rsidRPr="009A13B9">
        <w:rPr>
          <w:rFonts w:eastAsia="Times New Roman" w:cs="Times New Roman"/>
          <w:lang w:eastAsia="de-DE"/>
        </w:rPr>
        <w:t xml:space="preserve">ασία (Zeichen), </w:t>
      </w:r>
      <w:r w:rsidRPr="009A13B9">
        <w:rPr>
          <w:rFonts w:eastAsia="Times New Roman" w:cs="Times New Roman"/>
          <w:b/>
          <w:bCs/>
          <w:rtl/>
          <w:lang w:eastAsia="de-DE"/>
        </w:rPr>
        <w:t>וטהרו</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ριεῖ</w:t>
      </w:r>
      <w:proofErr w:type="spellEnd"/>
      <w:r w:rsidRPr="009A13B9">
        <w:rPr>
          <w:rFonts w:eastAsia="Times New Roman" w:cs="Times New Roman"/>
          <w:lang w:eastAsia="de-DE"/>
        </w:rPr>
        <w:t xml:space="preserve"> (er wird reinigen) und </w:t>
      </w:r>
      <w:r w:rsidRPr="009A13B9">
        <w:rPr>
          <w:rFonts w:eastAsia="Times New Roman" w:cs="Times New Roman"/>
          <w:b/>
          <w:bCs/>
          <w:rtl/>
          <w:lang w:eastAsia="de-DE"/>
        </w:rPr>
        <w:t>וכבס</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λυνεῖ</w:t>
      </w:r>
      <w:proofErr w:type="spellEnd"/>
      <w:r w:rsidRPr="009A13B9">
        <w:rPr>
          <w:rFonts w:eastAsia="Times New Roman" w:cs="Times New Roman"/>
          <w:lang w:eastAsia="de-DE"/>
        </w:rPr>
        <w:t xml:space="preserve"> (er wird waschen).</w:t>
      </w:r>
    </w:p>
    <w:p w14:paraId="3390BAB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positive Diagnose: zweite terminierte Untersuchung + positiver Befund mit zwei Kriterien + Reinheitserklärung + Diagnose + Reinigungsritual + Reinheitsbestätigung. Die Struktur zeigt den Abschluss des Quarantäneverfahrens.</w:t>
      </w:r>
    </w:p>
    <w:p w14:paraId="52571D4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 positive Ende des Quarantäneverfahrens: Besserung führt zu harmloser Diagnose und Reinheitserklärung.</w:t>
      </w:r>
    </w:p>
    <w:p w14:paraId="730BD641"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13,7</w:t>
      </w:r>
    </w:p>
    <w:p w14:paraId="2827802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וְאִם־פָּשֹׂ֨ה תִפְשֶׂ֤ה הַמִּסְפַּ֨חַת֙ בָּע֔וֹר אַחֲרֵ֧י הֵרָאֹתוֹ֛ אֶל־הַכֹּהֵ֖ן לְטָהֳרָתוֹ֑ וְנִרְאָ֥ה שֵׁנִ֖ית אֶל־הַכֹּהֵֽן׃</w:t>
      </w:r>
    </w:p>
    <w:p w14:paraId="0E6C8B2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Wenn aber der Ausschlag auf der Haut sich tatsächlich ausbreitet, nachdem er sich dem Priester zu seiner Reinigung gezeigt hat, so soll er sich dem Priester ein zweites Mal zeigen.</w:t>
      </w:r>
    </w:p>
    <w:p w14:paraId="7523EE7F"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115966AD">
          <v:rect id="_x0000_i1338" style="width:0;height:1.5pt" o:hralign="center" o:hrstd="t" o:hr="t" fillcolor="#a0a0a0" stroked="f"/>
        </w:pict>
      </w:r>
    </w:p>
    <w:p w14:paraId="7E81845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ואם־פשה תפשה המספחת בעור</w:t>
      </w:r>
      <w:r w:rsidRPr="009A13B9">
        <w:rPr>
          <w:rFonts w:eastAsia="Times New Roman" w:cs="Times New Roman"/>
          <w:rtl/>
          <w:lang w:eastAsia="de-DE"/>
        </w:rPr>
        <w:t xml:space="preserve"> </w:t>
      </w:r>
      <w:r w:rsidRPr="009A13B9">
        <w:rPr>
          <w:rFonts w:eastAsia="Times New Roman" w:cs="Times New Roman"/>
          <w:lang w:eastAsia="de-DE"/>
        </w:rPr>
        <w:t xml:space="preserve">zeigt verschlechternde Entwicklung. </w:t>
      </w:r>
      <w:r w:rsidRPr="009A13B9">
        <w:rPr>
          <w:rFonts w:eastAsia="Times New Roman" w:cs="Times New Roman"/>
          <w:b/>
          <w:bCs/>
          <w:rtl/>
          <w:lang w:eastAsia="de-DE"/>
        </w:rPr>
        <w:t>ואם־פשה תפשה</w:t>
      </w:r>
      <w:r w:rsidRPr="009A13B9">
        <w:rPr>
          <w:rFonts w:eastAsia="Times New Roman" w:cs="Times New Roman"/>
          <w:rtl/>
          <w:lang w:eastAsia="de-DE"/>
        </w:rPr>
        <w:t xml:space="preserve"> </w:t>
      </w:r>
      <w:r w:rsidRPr="009A13B9">
        <w:rPr>
          <w:rFonts w:eastAsia="Times New Roman" w:cs="Times New Roman"/>
          <w:lang w:eastAsia="de-DE"/>
        </w:rPr>
        <w:t xml:space="preserve">(und wenn sich ausbreitend ausbreitet) - </w:t>
      </w:r>
      <w:r w:rsidRPr="009A13B9">
        <w:rPr>
          <w:rFonts w:eastAsia="Times New Roman" w:cs="Times New Roman"/>
          <w:b/>
          <w:bCs/>
          <w:rtl/>
          <w:lang w:eastAsia="de-DE"/>
        </w:rPr>
        <w:t>פשה</w:t>
      </w:r>
      <w:r w:rsidRPr="009A13B9">
        <w:rPr>
          <w:rFonts w:eastAsia="Times New Roman" w:cs="Times New Roman"/>
          <w:rtl/>
          <w:lang w:eastAsia="de-DE"/>
        </w:rPr>
        <w:t xml:space="preserve"> </w:t>
      </w:r>
      <w:r w:rsidRPr="009A13B9">
        <w:rPr>
          <w:rFonts w:eastAsia="Times New Roman" w:cs="Times New Roman"/>
          <w:lang w:eastAsia="de-DE"/>
        </w:rPr>
        <w:t xml:space="preserve">(sich ausbreiten) mit Infinitiv absolut + finite Verbform zur Verstärkung. </w:t>
      </w:r>
      <w:r w:rsidRPr="009A13B9">
        <w:rPr>
          <w:rFonts w:eastAsia="Times New Roman" w:cs="Times New Roman"/>
          <w:b/>
          <w:bCs/>
          <w:rtl/>
          <w:lang w:eastAsia="de-DE"/>
        </w:rPr>
        <w:t>המספחת בעור</w:t>
      </w:r>
      <w:r w:rsidRPr="009A13B9">
        <w:rPr>
          <w:rFonts w:eastAsia="Times New Roman" w:cs="Times New Roman"/>
          <w:rtl/>
          <w:lang w:eastAsia="de-DE"/>
        </w:rPr>
        <w:t xml:space="preserve"> </w:t>
      </w:r>
      <w:r w:rsidRPr="009A13B9">
        <w:rPr>
          <w:rFonts w:eastAsia="Times New Roman" w:cs="Times New Roman"/>
          <w:lang w:eastAsia="de-DE"/>
        </w:rPr>
        <w:t>(der Ausschlag auf der Haut) referenziert die harmlose Diagnose aus V. 6.</w:t>
      </w:r>
    </w:p>
    <w:p w14:paraId="49BE9702" w14:textId="0355DB7A"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אחרי הראתו אל־הכהן לטהרתו</w:t>
      </w:r>
      <w:r w:rsidRPr="009A13B9">
        <w:rPr>
          <w:rFonts w:eastAsia="Times New Roman" w:cs="Times New Roman"/>
          <w:rtl/>
          <w:lang w:eastAsia="de-DE"/>
        </w:rPr>
        <w:t xml:space="preserve"> </w:t>
      </w:r>
      <w:r w:rsidRPr="009A13B9">
        <w:rPr>
          <w:rFonts w:eastAsia="Times New Roman" w:cs="Times New Roman"/>
          <w:lang w:eastAsia="de-DE"/>
        </w:rPr>
        <w:t xml:space="preserve">zeigt den Zeitpunkt. </w:t>
      </w:r>
      <w:r w:rsidRPr="009A13B9">
        <w:rPr>
          <w:rFonts w:eastAsia="Times New Roman" w:cs="Times New Roman"/>
          <w:b/>
          <w:bCs/>
          <w:rtl/>
          <w:lang w:eastAsia="de-DE"/>
        </w:rPr>
        <w:t>אחרי הראתו</w:t>
      </w:r>
      <w:r w:rsidRPr="009A13B9">
        <w:rPr>
          <w:rFonts w:eastAsia="Times New Roman" w:cs="Times New Roman"/>
          <w:rtl/>
          <w:lang w:eastAsia="de-DE"/>
        </w:rPr>
        <w:t xml:space="preserve"> </w:t>
      </w:r>
      <w:r w:rsidRPr="009A13B9">
        <w:rPr>
          <w:rFonts w:eastAsia="Times New Roman" w:cs="Times New Roman"/>
          <w:lang w:eastAsia="de-DE"/>
        </w:rPr>
        <w:t xml:space="preserve">(nachdem er sich gezeigt hat) -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im Nifal-Infinitiv-</w:t>
      </w:r>
      <w:r w:rsidR="005407E2">
        <w:rPr>
          <w:rFonts w:eastAsia="Times New Roman" w:cs="Times New Roman"/>
          <w:lang w:eastAsia="de-DE"/>
        </w:rPr>
        <w:t>Constructus</w:t>
      </w:r>
      <w:r w:rsidRPr="009A13B9">
        <w:rPr>
          <w:rFonts w:eastAsia="Times New Roman" w:cs="Times New Roman"/>
          <w:lang w:eastAsia="de-DE"/>
        </w:rPr>
        <w:t xml:space="preserve"> mit Possessivsuffix. </w:t>
      </w:r>
      <w:r w:rsidRPr="009A13B9">
        <w:rPr>
          <w:rFonts w:eastAsia="Times New Roman" w:cs="Times New Roman"/>
          <w:b/>
          <w:bCs/>
          <w:rtl/>
          <w:lang w:eastAsia="de-DE"/>
        </w:rPr>
        <w:t>אל־הכהן לטהרתו</w:t>
      </w:r>
      <w:r w:rsidRPr="009A13B9">
        <w:rPr>
          <w:rFonts w:eastAsia="Times New Roman" w:cs="Times New Roman"/>
          <w:rtl/>
          <w:lang w:eastAsia="de-DE"/>
        </w:rPr>
        <w:t xml:space="preserve"> </w:t>
      </w:r>
      <w:r w:rsidRPr="009A13B9">
        <w:rPr>
          <w:rFonts w:eastAsia="Times New Roman" w:cs="Times New Roman"/>
          <w:lang w:eastAsia="de-DE"/>
        </w:rPr>
        <w:t xml:space="preserve">(dem Priester zu seiner Reinigung) - </w:t>
      </w:r>
      <w:r w:rsidRPr="009A13B9">
        <w:rPr>
          <w:rFonts w:eastAsia="Times New Roman" w:cs="Times New Roman"/>
          <w:b/>
          <w:bCs/>
          <w:rtl/>
          <w:lang w:eastAsia="de-DE"/>
        </w:rPr>
        <w:t>לטהרתו</w:t>
      </w:r>
      <w:r w:rsidRPr="009A13B9">
        <w:rPr>
          <w:rFonts w:eastAsia="Times New Roman" w:cs="Times New Roman"/>
          <w:rtl/>
          <w:lang w:eastAsia="de-DE"/>
        </w:rPr>
        <w:t xml:space="preserve"> </w:t>
      </w:r>
      <w:r w:rsidRPr="009A13B9">
        <w:rPr>
          <w:rFonts w:eastAsia="Times New Roman" w:cs="Times New Roman"/>
          <w:lang w:eastAsia="de-DE"/>
        </w:rPr>
        <w:t>(zu seiner Reinigung) zeigt den Zweck der ersten Untersuchung.</w:t>
      </w:r>
    </w:p>
    <w:p w14:paraId="2FB3F16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ונראה שנית אל־הכהן</w:t>
      </w:r>
      <w:r w:rsidRPr="009A13B9">
        <w:rPr>
          <w:rFonts w:eastAsia="Times New Roman" w:cs="Times New Roman"/>
          <w:rtl/>
          <w:lang w:eastAsia="de-DE"/>
        </w:rPr>
        <w:t xml:space="preserve"> </w:t>
      </w:r>
      <w:r w:rsidRPr="009A13B9">
        <w:rPr>
          <w:rFonts w:eastAsia="Times New Roman" w:cs="Times New Roman"/>
          <w:lang w:eastAsia="de-DE"/>
        </w:rPr>
        <w:t xml:space="preserve">regelt das erneute Verfahren. </w:t>
      </w:r>
      <w:r w:rsidRPr="009A13B9">
        <w:rPr>
          <w:rFonts w:eastAsia="Times New Roman" w:cs="Times New Roman"/>
          <w:b/>
          <w:bCs/>
          <w:rtl/>
          <w:lang w:eastAsia="de-DE"/>
        </w:rPr>
        <w:t>ונראה שנית</w:t>
      </w:r>
      <w:r w:rsidRPr="009A13B9">
        <w:rPr>
          <w:rFonts w:eastAsia="Times New Roman" w:cs="Times New Roman"/>
          <w:rtl/>
          <w:lang w:eastAsia="de-DE"/>
        </w:rPr>
        <w:t xml:space="preserve"> </w:t>
      </w:r>
      <w:r w:rsidRPr="009A13B9">
        <w:rPr>
          <w:rFonts w:eastAsia="Times New Roman" w:cs="Times New Roman"/>
          <w:lang w:eastAsia="de-DE"/>
        </w:rPr>
        <w:t xml:space="preserve">(und er soll sich zum zweiten Mal zeigen) -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 xml:space="preserve">im Nifal-Perfekt mit Waw-Konsekutiv. </w:t>
      </w:r>
      <w:r w:rsidRPr="009A13B9">
        <w:rPr>
          <w:rFonts w:eastAsia="Times New Roman" w:cs="Times New Roman"/>
          <w:b/>
          <w:bCs/>
          <w:rtl/>
          <w:lang w:eastAsia="de-DE"/>
        </w:rPr>
        <w:t>אל־הכהן</w:t>
      </w:r>
      <w:r w:rsidRPr="009A13B9">
        <w:rPr>
          <w:rFonts w:eastAsia="Times New Roman" w:cs="Times New Roman"/>
          <w:rtl/>
          <w:lang w:eastAsia="de-DE"/>
        </w:rPr>
        <w:t xml:space="preserve"> </w:t>
      </w:r>
      <w:r w:rsidRPr="009A13B9">
        <w:rPr>
          <w:rFonts w:eastAsia="Times New Roman" w:cs="Times New Roman"/>
          <w:lang w:eastAsia="de-DE"/>
        </w:rPr>
        <w:t>(dem Priester) entspricht der ersten Untersuchung.</w:t>
      </w:r>
    </w:p>
    <w:p w14:paraId="2540054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 xml:space="preserve">mit verstärkender Wiederholung zeigt besorgniserregende Entwicklung. </w:t>
      </w:r>
      <w:r w:rsidRPr="009A13B9">
        <w:rPr>
          <w:rFonts w:eastAsia="Times New Roman" w:cs="Times New Roman"/>
          <w:b/>
          <w:bCs/>
          <w:rtl/>
          <w:lang w:eastAsia="de-DE"/>
        </w:rPr>
        <w:t>לטהרתו</w:t>
      </w:r>
      <w:r w:rsidRPr="009A13B9">
        <w:rPr>
          <w:rFonts w:eastAsia="Times New Roman" w:cs="Times New Roman"/>
          <w:rtl/>
          <w:lang w:eastAsia="de-DE"/>
        </w:rPr>
        <w:t xml:space="preserve"> </w:t>
      </w:r>
      <w:r w:rsidRPr="009A13B9">
        <w:rPr>
          <w:rFonts w:eastAsia="Times New Roman" w:cs="Times New Roman"/>
          <w:lang w:eastAsia="de-DE"/>
        </w:rPr>
        <w:t xml:space="preserve">zeigt, dass die erste Untersuchung zur Reinigung führte.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(zum zweiten Mal) zeigt Revision der ursprünglichen Diagnose.</w:t>
      </w:r>
    </w:p>
    <w:p w14:paraId="24177C5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αχέοντι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αχεῖται (sich ausbreitend breitet sich aus), </w:t>
      </w:r>
      <w:r w:rsidRPr="009A13B9">
        <w:rPr>
          <w:rFonts w:eastAsia="Times New Roman" w:cs="Times New Roman"/>
          <w:b/>
          <w:bCs/>
          <w:rtl/>
          <w:lang w:eastAsia="de-DE"/>
        </w:rPr>
        <w:t>הראתו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ὀφθῆν</w:t>
      </w:r>
      <w:proofErr w:type="spellEnd"/>
      <w:r w:rsidRPr="009A13B9">
        <w:rPr>
          <w:rFonts w:eastAsia="Times New Roman" w:cs="Times New Roman"/>
          <w:lang w:eastAsia="de-DE"/>
        </w:rPr>
        <w:t>αι α</w:t>
      </w:r>
      <w:proofErr w:type="spellStart"/>
      <w:r w:rsidRPr="009A13B9">
        <w:rPr>
          <w:rFonts w:eastAsia="Times New Roman" w:cs="Times New Roman"/>
          <w:lang w:eastAsia="de-DE"/>
        </w:rPr>
        <w:t>ὐτὸν</w:t>
      </w:r>
      <w:proofErr w:type="spellEnd"/>
      <w:r w:rsidRPr="009A13B9">
        <w:rPr>
          <w:rFonts w:eastAsia="Times New Roman" w:cs="Times New Roman"/>
          <w:lang w:eastAsia="de-DE"/>
        </w:rPr>
        <w:t xml:space="preserve"> (sich zeigen zu lassen) und </w:t>
      </w:r>
      <w:r w:rsidRPr="009A13B9">
        <w:rPr>
          <w:rFonts w:eastAsia="Times New Roman" w:cs="Times New Roman"/>
          <w:b/>
          <w:bCs/>
          <w:rtl/>
          <w:lang w:eastAsia="de-DE"/>
        </w:rPr>
        <w:t>לטהרתו</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ρισμοῦ</w:t>
      </w:r>
      <w:proofErr w:type="spellEnd"/>
      <w:r w:rsidRPr="009A13B9">
        <w:rPr>
          <w:rFonts w:eastAsia="Times New Roman" w:cs="Times New Roman"/>
          <w:lang w:eastAsia="de-DE"/>
        </w:rPr>
        <w:t xml:space="preserve"> α</w:t>
      </w:r>
      <w:proofErr w:type="spellStart"/>
      <w:r w:rsidRPr="009A13B9">
        <w:rPr>
          <w:rFonts w:eastAsia="Times New Roman" w:cs="Times New Roman"/>
          <w:lang w:eastAsia="de-DE"/>
        </w:rPr>
        <w:t>ὐτοῦ</w:t>
      </w:r>
      <w:proofErr w:type="spellEnd"/>
      <w:r w:rsidRPr="009A13B9">
        <w:rPr>
          <w:rFonts w:eastAsia="Times New Roman" w:cs="Times New Roman"/>
          <w:lang w:eastAsia="de-DE"/>
        </w:rPr>
        <w:t xml:space="preserve"> (seiner Reinigung).</w:t>
      </w:r>
    </w:p>
    <w:p w14:paraId="3409DFA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Revisionsverfahren: Konditionalsatz mit verstärkter Verschlechterung + Zeitangabe mit Zweckangabe + erneute Untersuchungsanordnung. Die Struktur zeigt die Notwendigkeit der Verlaufskontrolle.</w:t>
      </w:r>
    </w:p>
    <w:p w14:paraId="79D5355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regelt die Revision der Diagnose bei nachträglicher Verschlechterung trotz ursprünglicher Reinheitserklärung.</w:t>
      </w:r>
    </w:p>
    <w:p w14:paraId="036D7075"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13,8</w:t>
      </w:r>
    </w:p>
    <w:p w14:paraId="187FDE3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וְהִנֵּ֛ה פָּשְׂתָ֥ה הַמִּסְפַּ֖חַת בָּע֑וֹר וְטִמְּאֹ֥ו הַכֹּהֵ֖ן צָרַ֥עַת הִֽוא׃</w:t>
      </w:r>
    </w:p>
    <w:p w14:paraId="7C7BE5A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sieht, und siehe, der Ausschlag hat sich auf der Haut ausgebreitet, so soll der Priester ihn für unrein erklären: es ist Aussatz.</w:t>
      </w:r>
    </w:p>
    <w:p w14:paraId="38260811"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DC4B00C">
          <v:rect id="_x0000_i1339" style="width:0;height:1.5pt" o:hralign="center" o:hrstd="t" o:hr="t" fillcolor="#a0a0a0" stroked="f"/>
        </w:pict>
      </w:r>
    </w:p>
    <w:p w14:paraId="26104A4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והנה פשתה המספחת בעור</w:t>
      </w:r>
      <w:r w:rsidRPr="009A13B9">
        <w:rPr>
          <w:rFonts w:eastAsia="Times New Roman" w:cs="Times New Roman"/>
          <w:rtl/>
          <w:lang w:eastAsia="de-DE"/>
        </w:rPr>
        <w:t xml:space="preserve"> </w:t>
      </w:r>
      <w:r w:rsidRPr="009A13B9">
        <w:rPr>
          <w:rFonts w:eastAsia="Times New Roman" w:cs="Times New Roman"/>
          <w:lang w:eastAsia="de-DE"/>
        </w:rPr>
        <w:t xml:space="preserve">bestätigt die Verschlechterung.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entspricht dem Revisionsverfahren aus V. 7. </w:t>
      </w:r>
      <w:r w:rsidRPr="009A13B9">
        <w:rPr>
          <w:rFonts w:eastAsia="Times New Roman" w:cs="Times New Roman"/>
          <w:b/>
          <w:bCs/>
          <w:rtl/>
          <w:lang w:eastAsia="de-DE"/>
        </w:rPr>
        <w:t>והנה פשתה המספחת בעור</w:t>
      </w:r>
      <w:r w:rsidRPr="009A13B9">
        <w:rPr>
          <w:rFonts w:eastAsia="Times New Roman" w:cs="Times New Roman"/>
          <w:rtl/>
          <w:lang w:eastAsia="de-DE"/>
        </w:rPr>
        <w:t xml:space="preserve"> </w:t>
      </w:r>
      <w:r w:rsidRPr="009A13B9">
        <w:rPr>
          <w:rFonts w:eastAsia="Times New Roman" w:cs="Times New Roman"/>
          <w:lang w:eastAsia="de-DE"/>
        </w:rPr>
        <w:t xml:space="preserve">(und siehe, der Ausschlag hat sich auf der Haut ausgebreitet) - </w:t>
      </w:r>
      <w:r w:rsidRPr="009A13B9">
        <w:rPr>
          <w:rFonts w:eastAsia="Times New Roman" w:cs="Times New Roman"/>
          <w:b/>
          <w:bCs/>
          <w:rtl/>
          <w:lang w:eastAsia="de-DE"/>
        </w:rPr>
        <w:t>פשתה</w:t>
      </w:r>
      <w:r w:rsidRPr="009A13B9">
        <w:rPr>
          <w:rFonts w:eastAsia="Times New Roman" w:cs="Times New Roman"/>
          <w:rtl/>
          <w:lang w:eastAsia="de-DE"/>
        </w:rPr>
        <w:t xml:space="preserve"> </w:t>
      </w:r>
      <w:r w:rsidRPr="009A13B9">
        <w:rPr>
          <w:rFonts w:eastAsia="Times New Roman" w:cs="Times New Roman"/>
          <w:lang w:eastAsia="de-DE"/>
        </w:rPr>
        <w:t>(hat sich ausgebreitet) im Qal-Perfekt bestätigt die Befürchtung aus V. 7.</w:t>
      </w:r>
    </w:p>
    <w:p w14:paraId="59FE079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וטמאו הכהן צרעת הוא</w:t>
      </w:r>
      <w:r w:rsidRPr="009A13B9">
        <w:rPr>
          <w:rFonts w:eastAsia="Times New Roman" w:cs="Times New Roman"/>
          <w:rtl/>
          <w:lang w:eastAsia="de-DE"/>
        </w:rPr>
        <w:t xml:space="preserve"> </w:t>
      </w:r>
      <w:r w:rsidRPr="009A13B9">
        <w:rPr>
          <w:rFonts w:eastAsia="Times New Roman" w:cs="Times New Roman"/>
          <w:lang w:eastAsia="de-DE"/>
        </w:rPr>
        <w:t xml:space="preserve">zeigt die revidierte Diagnose. </w:t>
      </w:r>
      <w:r w:rsidRPr="009A13B9">
        <w:rPr>
          <w:rFonts w:eastAsia="Times New Roman" w:cs="Times New Roman"/>
          <w:b/>
          <w:bCs/>
          <w:rtl/>
          <w:lang w:eastAsia="de-DE"/>
        </w:rPr>
        <w:t>וטמאו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 </w:t>
      </w:r>
      <w:r w:rsidRPr="009A13B9">
        <w:rPr>
          <w:rFonts w:eastAsia="Times New Roman" w:cs="Times New Roman"/>
          <w:b/>
          <w:bCs/>
          <w:rtl/>
          <w:lang w:eastAsia="de-DE"/>
        </w:rPr>
        <w:t>טמא</w:t>
      </w:r>
      <w:r w:rsidRPr="009A13B9">
        <w:rPr>
          <w:rFonts w:eastAsia="Times New Roman" w:cs="Times New Roman"/>
          <w:rtl/>
          <w:lang w:eastAsia="de-DE"/>
        </w:rPr>
        <w:t xml:space="preserve"> </w:t>
      </w:r>
      <w:r w:rsidRPr="009A13B9">
        <w:rPr>
          <w:rFonts w:eastAsia="Times New Roman" w:cs="Times New Roman"/>
          <w:lang w:eastAsia="de-DE"/>
        </w:rPr>
        <w:t xml:space="preserve">(unrein erklären) im Piel-Perfekt mit Waw-Konsekutiv entspricht V. 3. </w:t>
      </w:r>
      <w:r w:rsidRPr="009A13B9">
        <w:rPr>
          <w:rFonts w:eastAsia="Times New Roman" w:cs="Times New Roman"/>
          <w:b/>
          <w:bCs/>
          <w:rtl/>
          <w:lang w:eastAsia="de-DE"/>
        </w:rPr>
        <w:t>צרעת הוא</w:t>
      </w:r>
      <w:r w:rsidRPr="009A13B9">
        <w:rPr>
          <w:rFonts w:eastAsia="Times New Roman" w:cs="Times New Roman"/>
          <w:rtl/>
          <w:lang w:eastAsia="de-DE"/>
        </w:rPr>
        <w:t xml:space="preserve"> </w:t>
      </w:r>
      <w:r w:rsidRPr="009A13B9">
        <w:rPr>
          <w:rFonts w:eastAsia="Times New Roman" w:cs="Times New Roman"/>
          <w:lang w:eastAsia="de-DE"/>
        </w:rPr>
        <w:t xml:space="preserve">(Aussatz ist es) mit emphatischem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 xml:space="preserve">revidiert die </w:t>
      </w:r>
      <w:r w:rsidRPr="009A13B9">
        <w:rPr>
          <w:rFonts w:eastAsia="Times New Roman" w:cs="Times New Roman"/>
          <w:b/>
          <w:bCs/>
          <w:rtl/>
          <w:lang w:eastAsia="de-DE"/>
        </w:rPr>
        <w:t>מספחת</w:t>
      </w:r>
      <w:r w:rsidRPr="009A13B9">
        <w:rPr>
          <w:rFonts w:eastAsia="Times New Roman" w:cs="Times New Roman"/>
          <w:lang w:eastAsia="de-DE"/>
        </w:rPr>
        <w:t>-Diagnose aus V. 6.</w:t>
      </w:r>
    </w:p>
    <w:p w14:paraId="0176137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פשתה המספחת</w:t>
      </w:r>
      <w:r w:rsidRPr="009A13B9">
        <w:rPr>
          <w:rFonts w:eastAsia="Times New Roman" w:cs="Times New Roman"/>
          <w:rtl/>
          <w:lang w:eastAsia="de-DE"/>
        </w:rPr>
        <w:t xml:space="preserve"> </w:t>
      </w:r>
      <w:r w:rsidRPr="009A13B9">
        <w:rPr>
          <w:rFonts w:eastAsia="Times New Roman" w:cs="Times New Roman"/>
          <w:lang w:eastAsia="de-DE"/>
        </w:rPr>
        <w:t xml:space="preserve">zeigt, dass sich selbst als harmlos diagnostizierte </w:t>
      </w:r>
      <w:r w:rsidRPr="009A13B9">
        <w:rPr>
          <w:rFonts w:eastAsia="Times New Roman" w:cs="Times New Roman"/>
          <w:b/>
          <w:bCs/>
          <w:rtl/>
          <w:lang w:eastAsia="de-DE"/>
        </w:rPr>
        <w:t>מספחת</w:t>
      </w:r>
      <w:r w:rsidRPr="009A13B9">
        <w:rPr>
          <w:rFonts w:eastAsia="Times New Roman" w:cs="Times New Roman"/>
          <w:rtl/>
          <w:lang w:eastAsia="de-DE"/>
        </w:rPr>
        <w:t xml:space="preserve"> </w:t>
      </w:r>
      <w:r w:rsidRPr="009A13B9">
        <w:rPr>
          <w:rFonts w:eastAsia="Times New Roman" w:cs="Times New Roman"/>
          <w:lang w:eastAsia="de-DE"/>
        </w:rPr>
        <w:t xml:space="preserve">zu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entwickeln kann. </w:t>
      </w:r>
      <w:r w:rsidRPr="009A13B9">
        <w:rPr>
          <w:rFonts w:eastAsia="Times New Roman" w:cs="Times New Roman"/>
          <w:b/>
          <w:bCs/>
          <w:rtl/>
          <w:lang w:eastAsia="de-DE"/>
        </w:rPr>
        <w:t>צרעת הוא</w:t>
      </w:r>
      <w:r w:rsidRPr="009A13B9">
        <w:rPr>
          <w:rFonts w:eastAsia="Times New Roman" w:cs="Times New Roman"/>
          <w:rtl/>
          <w:lang w:eastAsia="de-DE"/>
        </w:rPr>
        <w:t xml:space="preserve"> </w:t>
      </w:r>
      <w:r w:rsidRPr="009A13B9">
        <w:rPr>
          <w:rFonts w:eastAsia="Times New Roman" w:cs="Times New Roman"/>
          <w:lang w:eastAsia="de-DE"/>
        </w:rPr>
        <w:t>als definitive Diagnose zeigt die Endgültigkeit der Revision. Das System erweist sich als dynamisch und verlaufsorientiert.</w:t>
      </w:r>
    </w:p>
    <w:p w14:paraId="29D6378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פשתה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aus), </w:t>
      </w:r>
      <w:r w:rsidRPr="009A13B9">
        <w:rPr>
          <w:rFonts w:eastAsia="Times New Roman" w:cs="Times New Roman"/>
          <w:b/>
          <w:bCs/>
          <w:rtl/>
          <w:lang w:eastAsia="de-DE"/>
        </w:rPr>
        <w:t>וטמאו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μι</w:t>
      </w:r>
      <w:proofErr w:type="spellEnd"/>
      <w:r w:rsidRPr="009A13B9">
        <w:rPr>
          <w:rFonts w:eastAsia="Times New Roman" w:cs="Times New Roman"/>
          <w:lang w:eastAsia="de-DE"/>
        </w:rPr>
        <w:t xml:space="preserve">ανεῖ (er wird verunreinigen) und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λέ</w:t>
      </w:r>
      <w:proofErr w:type="spellEnd"/>
      <w:r w:rsidRPr="009A13B9">
        <w:rPr>
          <w:rFonts w:eastAsia="Times New Roman" w:cs="Times New Roman"/>
          <w:lang w:eastAsia="de-DE"/>
        </w:rPr>
        <w:t>πρα (Lepra).</w:t>
      </w:r>
    </w:p>
    <w:p w14:paraId="1A1D8B8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definitive Revision: priesterliche Untersuchung + bestätigte Verschlechterung + Unreinheitserklärung + revidierte Diagnose. Die Struktur zeigt die Endgültigkeit der Revisionsdiagnose.</w:t>
      </w:r>
    </w:p>
    <w:p w14:paraId="7A7E18E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die Revision von </w:t>
      </w:r>
      <w:r w:rsidRPr="009A13B9">
        <w:rPr>
          <w:rFonts w:eastAsia="Times New Roman" w:cs="Times New Roman"/>
          <w:b/>
          <w:bCs/>
          <w:rtl/>
          <w:lang w:eastAsia="de-DE"/>
        </w:rPr>
        <w:t>מספחת</w:t>
      </w:r>
      <w:r w:rsidRPr="009A13B9">
        <w:rPr>
          <w:rFonts w:eastAsia="Times New Roman" w:cs="Times New Roman"/>
          <w:rtl/>
          <w:lang w:eastAsia="de-DE"/>
        </w:rPr>
        <w:t xml:space="preserve"> </w:t>
      </w:r>
      <w:r w:rsidRPr="009A13B9">
        <w:rPr>
          <w:rFonts w:eastAsia="Times New Roman" w:cs="Times New Roman"/>
          <w:lang w:eastAsia="de-DE"/>
        </w:rPr>
        <w:t xml:space="preserve">zu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bei nachgewiesener Ausbreitung und etabliert die Dynamik der Diagnose.</w:t>
      </w:r>
    </w:p>
    <w:p w14:paraId="528D9B10"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13,9</w:t>
      </w:r>
    </w:p>
    <w:p w14:paraId="1D8287E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נֶ֣גַע צָרַ֔עַת כִּ֥י תִהְיֶ֖ה בְּאָדָ֑ם וְהוּבָ֖א אֶל־הַכֹּהֵֽן׃</w:t>
      </w:r>
    </w:p>
    <w:p w14:paraId="33A4B9F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Wenn ein Aussatzmal an einem Menschen ist, so soll er zum Priester gebracht werden.</w:t>
      </w:r>
    </w:p>
    <w:p w14:paraId="517F9ED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DA294D9">
          <v:rect id="_x0000_i1340" style="width:0;height:1.5pt" o:hralign="center" o:hrstd="t" o:hr="t" fillcolor="#a0a0a0" stroked="f"/>
        </w:pict>
      </w:r>
    </w:p>
    <w:p w14:paraId="27FD4A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נגע צרעת כי תהיה באדם והובא אל־הכהן</w:t>
      </w:r>
      <w:r w:rsidRPr="009A13B9">
        <w:rPr>
          <w:rFonts w:eastAsia="Times New Roman" w:cs="Times New Roman"/>
          <w:rtl/>
          <w:lang w:eastAsia="de-DE"/>
        </w:rPr>
        <w:t xml:space="preserve"> </w:t>
      </w:r>
      <w:r w:rsidRPr="009A13B9">
        <w:rPr>
          <w:rFonts w:eastAsia="Times New Roman" w:cs="Times New Roman"/>
          <w:lang w:eastAsia="de-DE"/>
        </w:rPr>
        <w:t xml:space="preserve">leitet einen neuen Abschnitt ein. </w:t>
      </w:r>
      <w:r w:rsidRPr="009A13B9">
        <w:rPr>
          <w:rFonts w:eastAsia="Times New Roman" w:cs="Times New Roman"/>
          <w:b/>
          <w:bCs/>
          <w:rtl/>
          <w:lang w:eastAsia="de-DE"/>
        </w:rPr>
        <w:t>נגע צרעת</w:t>
      </w:r>
      <w:r w:rsidRPr="009A13B9">
        <w:rPr>
          <w:rFonts w:eastAsia="Times New Roman" w:cs="Times New Roman"/>
          <w:rtl/>
          <w:lang w:eastAsia="de-DE"/>
        </w:rPr>
        <w:t xml:space="preserve"> </w:t>
      </w:r>
      <w:r w:rsidRPr="009A13B9">
        <w:rPr>
          <w:rFonts w:eastAsia="Times New Roman" w:cs="Times New Roman"/>
          <w:lang w:eastAsia="de-DE"/>
        </w:rPr>
        <w:t xml:space="preserve">(ein Aussatzmal) als Genitivkonstruktion. </w:t>
      </w:r>
      <w:r w:rsidRPr="009A13B9">
        <w:rPr>
          <w:rFonts w:eastAsia="Times New Roman" w:cs="Times New Roman"/>
          <w:b/>
          <w:bCs/>
          <w:rtl/>
          <w:lang w:eastAsia="de-DE"/>
        </w:rPr>
        <w:t>כי תהיה באדם</w:t>
      </w:r>
      <w:r w:rsidRPr="009A13B9">
        <w:rPr>
          <w:rFonts w:eastAsia="Times New Roman" w:cs="Times New Roman"/>
          <w:rtl/>
          <w:lang w:eastAsia="de-DE"/>
        </w:rPr>
        <w:t xml:space="preserve"> </w:t>
      </w:r>
      <w:r w:rsidRPr="009A13B9">
        <w:rPr>
          <w:rFonts w:eastAsia="Times New Roman" w:cs="Times New Roman"/>
          <w:lang w:eastAsia="de-DE"/>
        </w:rPr>
        <w:t xml:space="preserve">(wenn es an einem Menschen ist) - </w:t>
      </w:r>
      <w:r w:rsidRPr="009A13B9">
        <w:rPr>
          <w:rFonts w:eastAsia="Times New Roman" w:cs="Times New Roman"/>
          <w:b/>
          <w:bCs/>
          <w:rtl/>
          <w:lang w:eastAsia="de-DE"/>
        </w:rPr>
        <w:t>כי</w:t>
      </w:r>
      <w:r w:rsidRPr="009A13B9">
        <w:rPr>
          <w:rFonts w:eastAsia="Times New Roman" w:cs="Times New Roman"/>
          <w:rtl/>
          <w:lang w:eastAsia="de-DE"/>
        </w:rPr>
        <w:t xml:space="preserve"> </w:t>
      </w:r>
      <w:r w:rsidRPr="009A13B9">
        <w:rPr>
          <w:rFonts w:eastAsia="Times New Roman" w:cs="Times New Roman"/>
          <w:lang w:eastAsia="de-DE"/>
        </w:rPr>
        <w:t xml:space="preserve">als Konditionalspartikel, </w:t>
      </w:r>
      <w:r w:rsidRPr="009A13B9">
        <w:rPr>
          <w:rFonts w:eastAsia="Times New Roman" w:cs="Times New Roman"/>
          <w:b/>
          <w:bCs/>
          <w:rtl/>
          <w:lang w:eastAsia="de-DE"/>
        </w:rPr>
        <w:t>תהיה</w:t>
      </w:r>
      <w:r w:rsidRPr="009A13B9">
        <w:rPr>
          <w:rFonts w:eastAsia="Times New Roman" w:cs="Times New Roman"/>
          <w:rtl/>
          <w:lang w:eastAsia="de-DE"/>
        </w:rPr>
        <w:t xml:space="preserve"> </w:t>
      </w:r>
      <w:r w:rsidRPr="009A13B9">
        <w:rPr>
          <w:rFonts w:eastAsia="Times New Roman" w:cs="Times New Roman"/>
          <w:lang w:eastAsia="de-DE"/>
        </w:rPr>
        <w:t xml:space="preserve">(es ist/wird sein) im Qal-Imperfekt, </w:t>
      </w:r>
      <w:r w:rsidRPr="009A13B9">
        <w:rPr>
          <w:rFonts w:eastAsia="Times New Roman" w:cs="Times New Roman"/>
          <w:b/>
          <w:bCs/>
          <w:rtl/>
          <w:lang w:eastAsia="de-DE"/>
        </w:rPr>
        <w:t>באדם</w:t>
      </w:r>
      <w:r w:rsidRPr="009A13B9">
        <w:rPr>
          <w:rFonts w:eastAsia="Times New Roman" w:cs="Times New Roman"/>
          <w:rtl/>
          <w:lang w:eastAsia="de-DE"/>
        </w:rPr>
        <w:t xml:space="preserve"> </w:t>
      </w:r>
      <w:r w:rsidRPr="009A13B9">
        <w:rPr>
          <w:rFonts w:eastAsia="Times New Roman" w:cs="Times New Roman"/>
          <w:lang w:eastAsia="de-DE"/>
        </w:rPr>
        <w:t xml:space="preserve">(an einem Menschen). </w:t>
      </w:r>
      <w:r w:rsidRPr="009A13B9">
        <w:rPr>
          <w:rFonts w:eastAsia="Times New Roman" w:cs="Times New Roman"/>
          <w:b/>
          <w:bCs/>
          <w:rtl/>
          <w:lang w:eastAsia="de-DE"/>
        </w:rPr>
        <w:t>והובא אל־הכהן</w:t>
      </w:r>
      <w:r w:rsidRPr="009A13B9">
        <w:rPr>
          <w:rFonts w:eastAsia="Times New Roman" w:cs="Times New Roman"/>
          <w:rtl/>
          <w:lang w:eastAsia="de-DE"/>
        </w:rPr>
        <w:t xml:space="preserve"> </w:t>
      </w:r>
      <w:r w:rsidRPr="009A13B9">
        <w:rPr>
          <w:rFonts w:eastAsia="Times New Roman" w:cs="Times New Roman"/>
          <w:lang w:eastAsia="de-DE"/>
        </w:rPr>
        <w:t>(und er soll zum Priester gebracht werden) entspricht V. 2.</w:t>
      </w:r>
    </w:p>
    <w:p w14:paraId="68DF9A88" w14:textId="4756889F" w:rsidR="009A13B9" w:rsidRDefault="009A13B9" w:rsidP="009A13B9">
      <w:pPr>
        <w:pStyle w:val="whitespace-normal"/>
      </w:pPr>
      <w:r w:rsidRPr="009A13B9">
        <w:t xml:space="preserve">Die knappe Formulierung dient als Übergangsformel zu spezifischen </w:t>
      </w:r>
      <w:r w:rsidRPr="009A13B9">
        <w:rPr>
          <w:b/>
          <w:bCs/>
          <w:rtl/>
        </w:rPr>
        <w:t>צרעת</w:t>
      </w:r>
      <w:r w:rsidRPr="009A13B9">
        <w:t xml:space="preserve">-Fällen. </w:t>
      </w:r>
      <w:r w:rsidRPr="009A13B9">
        <w:rPr>
          <w:b/>
          <w:bCs/>
          <w:rtl/>
        </w:rPr>
        <w:t>נגע צר</w:t>
      </w:r>
      <w:r w:rsidRPr="009A13B9">
        <w:rPr>
          <w:rStyle w:val="Fett"/>
          <w:rtl/>
        </w:rPr>
        <w:t>עת</w:t>
      </w:r>
      <w:r w:rsidRPr="009A13B9">
        <w:rPr>
          <w:b/>
          <w:bCs/>
          <w:rtl/>
        </w:rPr>
        <w:t xml:space="preserve"> </w:t>
      </w:r>
      <w:r>
        <w:t xml:space="preserve">im Unterschied zu den vorherigen differenzierten Kategorien zeigt hier definitive </w:t>
      </w:r>
      <w:r>
        <w:rPr>
          <w:rStyle w:val="Fett"/>
          <w:rtl/>
        </w:rPr>
        <w:t>צרעת</w:t>
      </w:r>
      <w:r>
        <w:t xml:space="preserve">. </w:t>
      </w:r>
      <w:r>
        <w:rPr>
          <w:rStyle w:val="Fett"/>
          <w:rtl/>
        </w:rPr>
        <w:t>והובא אל־הכהן</w:t>
      </w:r>
      <w:r>
        <w:rPr>
          <w:rtl/>
        </w:rPr>
        <w:t xml:space="preserve"> </w:t>
      </w:r>
      <w:r>
        <w:t>wiederholt die fundamentale Regel priesterlicher Diagnose-Autorität.</w:t>
      </w:r>
    </w:p>
    <w:p w14:paraId="65383F4D" w14:textId="77777777" w:rsidR="009A13B9" w:rsidRDefault="009A13B9" w:rsidP="009A13B9">
      <w:pPr>
        <w:pStyle w:val="whitespace-normal"/>
      </w:pPr>
      <w:r>
        <w:rPr>
          <w:rStyle w:val="Fett"/>
        </w:rPr>
        <w:t>Die LXX</w:t>
      </w:r>
      <w:r>
        <w:t xml:space="preserve"> übersetzt </w:t>
      </w:r>
      <w:r>
        <w:rPr>
          <w:rStyle w:val="Fett"/>
          <w:rtl/>
        </w:rPr>
        <w:t>נגע צרעת</w:t>
      </w:r>
      <w:r>
        <w:rPr>
          <w:rtl/>
        </w:rPr>
        <w:t xml:space="preserve"> </w:t>
      </w:r>
      <w:r>
        <w:t xml:space="preserve">mit </w:t>
      </w:r>
      <w:proofErr w:type="spellStart"/>
      <w:r>
        <w:t>ἁφὴ</w:t>
      </w:r>
      <w:proofErr w:type="spellEnd"/>
      <w:r>
        <w:t xml:space="preserve"> </w:t>
      </w:r>
      <w:proofErr w:type="spellStart"/>
      <w:r>
        <w:t>λέ</w:t>
      </w:r>
      <w:proofErr w:type="spellEnd"/>
      <w:r>
        <w:t xml:space="preserve">πρας (Mal der Lepra) und </w:t>
      </w:r>
      <w:r>
        <w:rPr>
          <w:rStyle w:val="Fett"/>
          <w:rtl/>
        </w:rPr>
        <w:t>והובא</w:t>
      </w:r>
      <w:r>
        <w:rPr>
          <w:rtl/>
        </w:rPr>
        <w:t xml:space="preserve"> </w:t>
      </w:r>
      <w:r>
        <w:t>mit π</w:t>
      </w:r>
      <w:proofErr w:type="spellStart"/>
      <w:r>
        <w:t>ροσ</w:t>
      </w:r>
      <w:proofErr w:type="spellEnd"/>
      <w:r>
        <w:t>αχθήσεται (er wird herbeigebracht werden).</w:t>
      </w:r>
    </w:p>
    <w:p w14:paraId="39E15C64" w14:textId="77777777" w:rsidR="009A13B9" w:rsidRDefault="009A13B9" w:rsidP="009A13B9">
      <w:pPr>
        <w:pStyle w:val="whitespace-normal"/>
      </w:pPr>
      <w:r>
        <w:rPr>
          <w:rStyle w:val="Fett"/>
        </w:rPr>
        <w:t>Die Satzstruktur:</w:t>
      </w:r>
      <w:r>
        <w:t xml:space="preserve"> zeigt kompakte Übergangsregel: definitive Zustandsangabe + Konditionalsatz + Standardverfahren. Die Struktur leitet spezifische </w:t>
      </w:r>
      <w:r>
        <w:rPr>
          <w:rStyle w:val="Fett"/>
          <w:rtl/>
        </w:rPr>
        <w:t>צרעת</w:t>
      </w:r>
      <w:r>
        <w:t>-Fälle ein.</w:t>
      </w:r>
    </w:p>
    <w:p w14:paraId="15A245FE" w14:textId="77777777" w:rsidR="009A13B9" w:rsidRDefault="009A13B9" w:rsidP="009A13B9">
      <w:pPr>
        <w:pStyle w:val="whitespace-normal"/>
      </w:pPr>
      <w:r>
        <w:t xml:space="preserve">Dieser Vers dient als Übergangsformel und bekräftigt das Grundprinzip priesterlicher Diagnose bei allen </w:t>
      </w:r>
      <w:r>
        <w:rPr>
          <w:rStyle w:val="Fett"/>
          <w:rtl/>
        </w:rPr>
        <w:t>צרעת</w:t>
      </w:r>
      <w:r>
        <w:t>-Verdachtsfällen.</w:t>
      </w:r>
    </w:p>
    <w:p w14:paraId="44696BFE"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13,10</w:t>
      </w:r>
    </w:p>
    <w:p w14:paraId="1B60C41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וְהִנֵּ֤ה שְׂאֵת־לְבָנָה֙ בָּע֔וֹר וְהִ֕יא הָפְכָ֖ה שֵׂעָ֣ר לָבָ֑ן וּמִֽחְיַ֛ת בָּשָׂ֥ר חַ֖י בַּשְׂאֵֽת׃</w:t>
      </w:r>
    </w:p>
    <w:p w14:paraId="6A4F97D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sieht, und siehe, es ist eine weiße Erhebung auf der Haut, und sie hat das Haar in Weiß verwandelt, und eine Wiederbelebung von lebendigem Fleisch ist in der Erhebung,</w:t>
      </w:r>
    </w:p>
    <w:p w14:paraId="0A8226F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F51BDD2">
          <v:rect id="_x0000_i1341" style="width:0;height:1.5pt" o:hralign="center" o:hrstd="t" o:hr="t" fillcolor="#a0a0a0" stroked="f"/>
        </w:pict>
      </w:r>
    </w:p>
    <w:p w14:paraId="3E1DD39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והנה שאת־לבנה בעור</w:t>
      </w:r>
      <w:r w:rsidRPr="009A13B9">
        <w:rPr>
          <w:rFonts w:eastAsia="Times New Roman" w:cs="Times New Roman"/>
          <w:rtl/>
          <w:lang w:eastAsia="de-DE"/>
        </w:rPr>
        <w:t xml:space="preserve"> </w:t>
      </w:r>
      <w:r w:rsidRPr="009A13B9">
        <w:rPr>
          <w:rFonts w:eastAsia="Times New Roman" w:cs="Times New Roman"/>
          <w:lang w:eastAsia="de-DE"/>
        </w:rPr>
        <w:t xml:space="preserve">zeigt spezifische </w:t>
      </w:r>
      <w:r w:rsidRPr="009A13B9">
        <w:rPr>
          <w:rFonts w:eastAsia="Times New Roman" w:cs="Times New Roman"/>
          <w:b/>
          <w:bCs/>
          <w:rtl/>
          <w:lang w:eastAsia="de-DE"/>
        </w:rPr>
        <w:t>צרעת</w:t>
      </w:r>
      <w:r w:rsidRPr="009A13B9">
        <w:rPr>
          <w:rFonts w:eastAsia="Times New Roman" w:cs="Times New Roman"/>
          <w:lang w:eastAsia="de-DE"/>
        </w:rPr>
        <w:t xml:space="preserve">-Merkmale.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entspricht dem Standardverfahren. </w:t>
      </w:r>
      <w:r w:rsidRPr="009A13B9">
        <w:rPr>
          <w:rFonts w:eastAsia="Times New Roman" w:cs="Times New Roman"/>
          <w:b/>
          <w:bCs/>
          <w:rtl/>
          <w:lang w:eastAsia="de-DE"/>
        </w:rPr>
        <w:t>והנה שאת־לבנה בעור</w:t>
      </w:r>
      <w:r w:rsidRPr="009A13B9">
        <w:rPr>
          <w:rFonts w:eastAsia="Times New Roman" w:cs="Times New Roman"/>
          <w:rtl/>
          <w:lang w:eastAsia="de-DE"/>
        </w:rPr>
        <w:t xml:space="preserve"> </w:t>
      </w:r>
      <w:r w:rsidRPr="009A13B9">
        <w:rPr>
          <w:rFonts w:eastAsia="Times New Roman" w:cs="Times New Roman"/>
          <w:lang w:eastAsia="de-DE"/>
        </w:rPr>
        <w:t xml:space="preserve">(und siehe, eine weiße Erhebung auf der Haut) - </w:t>
      </w:r>
      <w:r w:rsidRPr="009A13B9">
        <w:rPr>
          <w:rFonts w:eastAsia="Times New Roman" w:cs="Times New Roman"/>
          <w:b/>
          <w:bCs/>
          <w:rtl/>
          <w:lang w:eastAsia="de-DE"/>
        </w:rPr>
        <w:t>שאת־לבנה</w:t>
      </w:r>
      <w:r w:rsidRPr="009A13B9">
        <w:rPr>
          <w:rFonts w:eastAsia="Times New Roman" w:cs="Times New Roman"/>
          <w:rtl/>
          <w:lang w:eastAsia="de-DE"/>
        </w:rPr>
        <w:t xml:space="preserve"> </w:t>
      </w:r>
      <w:r w:rsidRPr="009A13B9">
        <w:rPr>
          <w:rFonts w:eastAsia="Times New Roman" w:cs="Times New Roman"/>
          <w:lang w:eastAsia="de-DE"/>
        </w:rPr>
        <w:t xml:space="preserve">(weiße Erhebung) spezifiziert die </w:t>
      </w:r>
      <w:r w:rsidRPr="009A13B9">
        <w:rPr>
          <w:rFonts w:eastAsia="Times New Roman" w:cs="Times New Roman"/>
          <w:b/>
          <w:bCs/>
          <w:rtl/>
          <w:lang w:eastAsia="de-DE"/>
        </w:rPr>
        <w:t>שאת</w:t>
      </w:r>
      <w:r w:rsidRPr="009A13B9">
        <w:rPr>
          <w:rFonts w:eastAsia="Times New Roman" w:cs="Times New Roman"/>
          <w:rtl/>
          <w:lang w:eastAsia="de-DE"/>
        </w:rPr>
        <w:t xml:space="preserve"> </w:t>
      </w:r>
      <w:r w:rsidRPr="009A13B9">
        <w:rPr>
          <w:rFonts w:eastAsia="Times New Roman" w:cs="Times New Roman"/>
          <w:lang w:eastAsia="de-DE"/>
        </w:rPr>
        <w:t>aus V. 2.</w:t>
      </w:r>
    </w:p>
    <w:p w14:paraId="194ACCA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והיא הפכה שער לבן ומחית בשר חי בשאת</w:t>
      </w:r>
      <w:r w:rsidRPr="009A13B9">
        <w:rPr>
          <w:rFonts w:eastAsia="Times New Roman" w:cs="Times New Roman"/>
          <w:rtl/>
          <w:lang w:eastAsia="de-DE"/>
        </w:rPr>
        <w:t xml:space="preserve"> </w:t>
      </w:r>
      <w:r w:rsidRPr="009A13B9">
        <w:rPr>
          <w:rFonts w:eastAsia="Times New Roman" w:cs="Times New Roman"/>
          <w:lang w:eastAsia="de-DE"/>
        </w:rPr>
        <w:t xml:space="preserve">zeigt zwei weitere Kriterien. </w:t>
      </w:r>
      <w:r w:rsidRPr="009A13B9">
        <w:rPr>
          <w:rFonts w:eastAsia="Times New Roman" w:cs="Times New Roman"/>
          <w:b/>
          <w:bCs/>
          <w:rtl/>
          <w:lang w:eastAsia="de-DE"/>
        </w:rPr>
        <w:t>והיא הפכה שער לבן</w:t>
      </w:r>
      <w:r w:rsidRPr="009A13B9">
        <w:rPr>
          <w:rFonts w:eastAsia="Times New Roman" w:cs="Times New Roman"/>
          <w:rtl/>
          <w:lang w:eastAsia="de-DE"/>
        </w:rPr>
        <w:t xml:space="preserve"> </w:t>
      </w:r>
      <w:r w:rsidRPr="009A13B9">
        <w:rPr>
          <w:rFonts w:eastAsia="Times New Roman" w:cs="Times New Roman"/>
          <w:lang w:eastAsia="de-DE"/>
        </w:rPr>
        <w:t xml:space="preserve">(und sie hat das Haar in Weiß verwandelt) entspricht V. 3. </w:t>
      </w:r>
      <w:r w:rsidRPr="009A13B9">
        <w:rPr>
          <w:rFonts w:eastAsia="Times New Roman" w:cs="Times New Roman"/>
          <w:b/>
          <w:bCs/>
          <w:rtl/>
          <w:lang w:eastAsia="de-DE"/>
        </w:rPr>
        <w:t>ומחית בשר חי בשאת</w:t>
      </w:r>
      <w:r w:rsidRPr="009A13B9">
        <w:rPr>
          <w:rFonts w:eastAsia="Times New Roman" w:cs="Times New Roman"/>
          <w:rtl/>
          <w:lang w:eastAsia="de-DE"/>
        </w:rPr>
        <w:t xml:space="preserve"> </w:t>
      </w:r>
      <w:r w:rsidRPr="009A13B9">
        <w:rPr>
          <w:rFonts w:eastAsia="Times New Roman" w:cs="Times New Roman"/>
          <w:lang w:eastAsia="de-DE"/>
        </w:rPr>
        <w:t xml:space="preserve">(und Wiederbelebung von lebendigem Fleisch in der Erhebung) - </w:t>
      </w:r>
      <w:r w:rsidRPr="009A13B9">
        <w:rPr>
          <w:rFonts w:eastAsia="Times New Roman" w:cs="Times New Roman"/>
          <w:b/>
          <w:bCs/>
          <w:rtl/>
          <w:lang w:eastAsia="de-DE"/>
        </w:rPr>
        <w:t>מחית</w:t>
      </w:r>
      <w:r w:rsidRPr="009A13B9">
        <w:rPr>
          <w:rFonts w:eastAsia="Times New Roman" w:cs="Times New Roman"/>
          <w:rtl/>
          <w:lang w:eastAsia="de-DE"/>
        </w:rPr>
        <w:t xml:space="preserve"> </w:t>
      </w:r>
      <w:r w:rsidRPr="009A13B9">
        <w:rPr>
          <w:rFonts w:eastAsia="Times New Roman" w:cs="Times New Roman"/>
          <w:lang w:eastAsia="de-DE"/>
        </w:rPr>
        <w:t xml:space="preserve">(Wiederbelebung/Leben) mit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(lebendiges Fleisch) zeigt rohe, ungeheilte Stellen.</w:t>
      </w:r>
    </w:p>
    <w:p w14:paraId="6599EE1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שאת־לבנה</w:t>
      </w:r>
      <w:r w:rsidRPr="009A13B9">
        <w:rPr>
          <w:rFonts w:eastAsia="Times New Roman" w:cs="Times New Roman"/>
          <w:rtl/>
          <w:lang w:eastAsia="de-DE"/>
        </w:rPr>
        <w:t xml:space="preserve"> </w:t>
      </w:r>
      <w:r w:rsidRPr="009A13B9">
        <w:rPr>
          <w:rFonts w:eastAsia="Times New Roman" w:cs="Times New Roman"/>
          <w:lang w:eastAsia="de-DE"/>
        </w:rPr>
        <w:t xml:space="preserve">als spezifische Form der </w:t>
      </w:r>
      <w:r w:rsidRPr="009A13B9">
        <w:rPr>
          <w:rFonts w:eastAsia="Times New Roman" w:cs="Times New Roman"/>
          <w:b/>
          <w:bCs/>
          <w:rtl/>
          <w:lang w:eastAsia="de-DE"/>
        </w:rPr>
        <w:t>שאת</w:t>
      </w:r>
      <w:r w:rsidRPr="009A13B9">
        <w:rPr>
          <w:rFonts w:eastAsia="Times New Roman" w:cs="Times New Roman"/>
          <w:rtl/>
          <w:lang w:eastAsia="de-DE"/>
        </w:rPr>
        <w:t xml:space="preserve"> </w:t>
      </w:r>
      <w:r w:rsidRPr="009A13B9">
        <w:rPr>
          <w:rFonts w:eastAsia="Times New Roman" w:cs="Times New Roman"/>
          <w:lang w:eastAsia="de-DE"/>
        </w:rPr>
        <w:t xml:space="preserve">aus V. 2. </w:t>
      </w:r>
      <w:r w:rsidRPr="009A13B9">
        <w:rPr>
          <w:rFonts w:eastAsia="Times New Roman" w:cs="Times New Roman"/>
          <w:b/>
          <w:bCs/>
          <w:rtl/>
          <w:lang w:eastAsia="de-DE"/>
        </w:rPr>
        <w:t>הפכה שער לבן</w:t>
      </w:r>
      <w:r w:rsidRPr="009A13B9">
        <w:rPr>
          <w:rFonts w:eastAsia="Times New Roman" w:cs="Times New Roman"/>
          <w:rtl/>
          <w:lang w:eastAsia="de-DE"/>
        </w:rPr>
        <w:t xml:space="preserve"> </w:t>
      </w:r>
      <w:r w:rsidRPr="009A13B9">
        <w:rPr>
          <w:rFonts w:eastAsia="Times New Roman" w:cs="Times New Roman"/>
          <w:lang w:eastAsia="de-DE"/>
        </w:rPr>
        <w:t xml:space="preserve">wiederholt das Kriterium aus V. 3. </w:t>
      </w:r>
      <w:r w:rsidRPr="009A13B9">
        <w:rPr>
          <w:rFonts w:eastAsia="Times New Roman" w:cs="Times New Roman"/>
          <w:b/>
          <w:bCs/>
          <w:rtl/>
          <w:lang w:eastAsia="de-DE"/>
        </w:rPr>
        <w:t>מחית בשר חי</w:t>
      </w:r>
      <w:r w:rsidRPr="009A13B9">
        <w:rPr>
          <w:rFonts w:eastAsia="Times New Roman" w:cs="Times New Roman"/>
          <w:rtl/>
          <w:lang w:eastAsia="de-DE"/>
        </w:rPr>
        <w:t xml:space="preserve"> </w:t>
      </w:r>
      <w:r w:rsidRPr="009A13B9">
        <w:rPr>
          <w:rFonts w:eastAsia="Times New Roman" w:cs="Times New Roman"/>
          <w:lang w:eastAsia="de-DE"/>
        </w:rPr>
        <w:t>als drittes, zusätzliches Kriterium zeigt offene, nicht heilende Wunden innerhalb der Erhebung.</w:t>
      </w:r>
    </w:p>
    <w:p w14:paraId="5D50F1BA" w14:textId="669DCAB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w:t>
      </w:r>
      <w:r w:rsidR="007660B2">
        <w:rPr>
          <w:rtl/>
        </w:rPr>
        <w:t>מחית בשר חי</w:t>
      </w:r>
      <w:r w:rsidR="007660B2">
        <w:t xml:space="preserve"> (</w:t>
      </w:r>
      <w:proofErr w:type="spellStart"/>
      <w:r w:rsidR="007660B2">
        <w:t>michyat</w:t>
      </w:r>
      <w:proofErr w:type="spellEnd"/>
      <w:r w:rsidR="007660B2">
        <w:t xml:space="preserve"> </w:t>
      </w:r>
      <w:proofErr w:type="spellStart"/>
      <w:r w:rsidR="007660B2">
        <w:t>basar</w:t>
      </w:r>
      <w:proofErr w:type="spellEnd"/>
      <w:r w:rsidR="007660B2">
        <w:t xml:space="preserve"> </w:t>
      </w:r>
      <w:proofErr w:type="spellStart"/>
      <w:r w:rsidR="007660B2">
        <w:t>chai</w:t>
      </w:r>
      <w:proofErr w:type="spellEnd"/>
      <w:r w:rsidR="007660B2">
        <w:t xml:space="preserve"> - "lebendiges rohes Fleisch") als ἀπὸ </w:t>
      </w:r>
      <w:proofErr w:type="spellStart"/>
      <w:r w:rsidR="007660B2">
        <w:t>τοῦ</w:t>
      </w:r>
      <w:proofErr w:type="spellEnd"/>
      <w:r w:rsidR="007660B2">
        <w:t xml:space="preserve"> </w:t>
      </w:r>
      <w:proofErr w:type="spellStart"/>
      <w:r w:rsidR="007660B2">
        <w:t>ὑγιοῦς</w:t>
      </w:r>
      <w:proofErr w:type="spellEnd"/>
      <w:r w:rsidR="007660B2">
        <w:t xml:space="preserve"> </w:t>
      </w:r>
      <w:proofErr w:type="spellStart"/>
      <w:r w:rsidR="007660B2">
        <w:t>τῆς</w:t>
      </w:r>
      <w:proofErr w:type="spellEnd"/>
      <w:r w:rsidR="007660B2">
        <w:t xml:space="preserve"> σα</w:t>
      </w:r>
      <w:proofErr w:type="spellStart"/>
      <w:r w:rsidR="007660B2">
        <w:t>ρκὸς</w:t>
      </w:r>
      <w:proofErr w:type="spellEnd"/>
      <w:r w:rsidR="007660B2">
        <w:t xml:space="preserve"> </w:t>
      </w:r>
      <w:proofErr w:type="spellStart"/>
      <w:r w:rsidR="007660B2">
        <w:t>τῆς</w:t>
      </w:r>
      <w:proofErr w:type="spellEnd"/>
      <w:r w:rsidR="007660B2">
        <w:t xml:space="preserve"> </w:t>
      </w:r>
      <w:proofErr w:type="spellStart"/>
      <w:r w:rsidR="007660B2">
        <w:t>ζώσης</w:t>
      </w:r>
      <w:proofErr w:type="spellEnd"/>
      <w:r w:rsidR="007660B2">
        <w:t xml:space="preserve"> (von dem gesunden lebenden Fleisch), was eine medizinisch präzisere Beschreibung darstellt.</w:t>
      </w:r>
    </w:p>
    <w:p w14:paraId="05565DF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erweiterte Diagnosekriterien: priesterliche Untersuchung + spezifische Hautveränderung + erstes Kriterium + zusätzliches Kriterium. Die Struktur baut auf V. 3 auf und erweitert die Kriterien.</w:t>
      </w:r>
    </w:p>
    <w:p w14:paraId="5D5E933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erweitert die </w:t>
      </w:r>
      <w:r w:rsidRPr="009A13B9">
        <w:rPr>
          <w:rFonts w:eastAsia="Times New Roman" w:cs="Times New Roman"/>
          <w:b/>
          <w:bCs/>
          <w:rtl/>
          <w:lang w:eastAsia="de-DE"/>
        </w:rPr>
        <w:t>צרעת</w:t>
      </w:r>
      <w:r w:rsidRPr="009A13B9">
        <w:rPr>
          <w:rFonts w:eastAsia="Times New Roman" w:cs="Times New Roman"/>
          <w:lang w:eastAsia="de-DE"/>
        </w:rPr>
        <w:t>-Kriterien um das Merkmal "lebendigen Fleisches" in der weißen Erhebung.</w:t>
      </w:r>
    </w:p>
    <w:p w14:paraId="10423BFD"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13,11</w:t>
      </w:r>
    </w:p>
    <w:p w14:paraId="580403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צָרַ֨עַת נוֹשֶׁ֤נֶת הִוא֙ בְּע֣וֹר בְּשָׂרֹ֔ו וְטִמְּאֹ֖ו הַכֹּהֵ֑ן לֹ֣א יַסְגִּרֶ֔נּוּ כִּ֥י טָמֵ֖א הֽוּא׃</w:t>
      </w:r>
    </w:p>
    <w:p w14:paraId="2D00334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so ist es ein alter Aussatz auf der Haut seines Fleisches, und der Priester soll ihn für unrein erklären; er soll ihn nicht einschließen, denn er ist unrein.</w:t>
      </w:r>
    </w:p>
    <w:p w14:paraId="7BBC50D5"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DEC1188">
          <v:rect id="_x0000_i1342" style="width:0;height:1.5pt" o:hralign="center" o:hrstd="t" o:hr="t" fillcolor="#a0a0a0" stroked="f"/>
        </w:pict>
      </w:r>
    </w:p>
    <w:p w14:paraId="0275E90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צרעת נושנת הוא בעור בשרו וטמאו הכהן</w:t>
      </w:r>
      <w:r w:rsidRPr="009A13B9">
        <w:rPr>
          <w:rFonts w:eastAsia="Times New Roman" w:cs="Times New Roman"/>
          <w:rtl/>
          <w:lang w:eastAsia="de-DE"/>
        </w:rPr>
        <w:t xml:space="preserve"> </w:t>
      </w:r>
      <w:r w:rsidRPr="009A13B9">
        <w:rPr>
          <w:rFonts w:eastAsia="Times New Roman" w:cs="Times New Roman"/>
          <w:lang w:eastAsia="de-DE"/>
        </w:rPr>
        <w:t xml:space="preserve">zeigt die definitive Diagnose. </w:t>
      </w:r>
      <w:r w:rsidRPr="009A13B9">
        <w:rPr>
          <w:rFonts w:eastAsia="Times New Roman" w:cs="Times New Roman"/>
          <w:b/>
          <w:bCs/>
          <w:rtl/>
          <w:lang w:eastAsia="de-DE"/>
        </w:rPr>
        <w:t>צרעת נושנת</w:t>
      </w:r>
      <w:r w:rsidRPr="009A13B9">
        <w:rPr>
          <w:rFonts w:eastAsia="Times New Roman" w:cs="Times New Roman"/>
          <w:rtl/>
          <w:lang w:eastAsia="de-DE"/>
        </w:rPr>
        <w:t xml:space="preserve"> </w:t>
      </w:r>
      <w:r w:rsidRPr="009A13B9">
        <w:rPr>
          <w:rFonts w:eastAsia="Times New Roman" w:cs="Times New Roman"/>
          <w:lang w:eastAsia="de-DE"/>
        </w:rPr>
        <w:t xml:space="preserve">(alter Aussatz) - </w:t>
      </w:r>
      <w:r w:rsidRPr="009A13B9">
        <w:rPr>
          <w:rFonts w:eastAsia="Times New Roman" w:cs="Times New Roman"/>
          <w:b/>
          <w:bCs/>
          <w:rtl/>
          <w:lang w:eastAsia="de-DE"/>
        </w:rPr>
        <w:t>נושנת</w:t>
      </w:r>
      <w:r w:rsidRPr="009A13B9">
        <w:rPr>
          <w:rFonts w:eastAsia="Times New Roman" w:cs="Times New Roman"/>
          <w:rtl/>
          <w:lang w:eastAsia="de-DE"/>
        </w:rPr>
        <w:t xml:space="preserve"> </w:t>
      </w:r>
      <w:r w:rsidRPr="009A13B9">
        <w:rPr>
          <w:rFonts w:eastAsia="Times New Roman" w:cs="Times New Roman"/>
          <w:lang w:eastAsia="de-DE"/>
        </w:rPr>
        <w:t xml:space="preserve">(alt/chronisch) als feminin Partizip von </w:t>
      </w:r>
      <w:r w:rsidRPr="009A13B9">
        <w:rPr>
          <w:rFonts w:eastAsia="Times New Roman" w:cs="Times New Roman"/>
          <w:b/>
          <w:bCs/>
          <w:rtl/>
          <w:lang w:eastAsia="de-DE"/>
        </w:rPr>
        <w:t>ישן</w:t>
      </w:r>
      <w:r w:rsidRPr="009A13B9">
        <w:rPr>
          <w:rFonts w:eastAsia="Times New Roman" w:cs="Times New Roman"/>
          <w:rtl/>
          <w:lang w:eastAsia="de-DE"/>
        </w:rPr>
        <w:t xml:space="preserve"> </w:t>
      </w:r>
      <w:r w:rsidRPr="009A13B9">
        <w:rPr>
          <w:rFonts w:eastAsia="Times New Roman" w:cs="Times New Roman"/>
          <w:lang w:eastAsia="de-DE"/>
        </w:rPr>
        <w:t xml:space="preserve">(alt werden). </w:t>
      </w:r>
      <w:r w:rsidRPr="009A13B9">
        <w:rPr>
          <w:rFonts w:eastAsia="Times New Roman" w:cs="Times New Roman"/>
          <w:b/>
          <w:bCs/>
          <w:rtl/>
          <w:lang w:eastAsia="de-DE"/>
        </w:rPr>
        <w:t>הוא בעור בשרו</w:t>
      </w:r>
      <w:r w:rsidRPr="009A13B9">
        <w:rPr>
          <w:rFonts w:eastAsia="Times New Roman" w:cs="Times New Roman"/>
          <w:rtl/>
          <w:lang w:eastAsia="de-DE"/>
        </w:rPr>
        <w:t xml:space="preserve"> </w:t>
      </w:r>
      <w:r w:rsidRPr="009A13B9">
        <w:rPr>
          <w:rFonts w:eastAsia="Times New Roman" w:cs="Times New Roman"/>
          <w:lang w:eastAsia="de-DE"/>
        </w:rPr>
        <w:t xml:space="preserve">(es ist auf der Haut seines Fleisches)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וטמאו הכהן</w:t>
      </w:r>
      <w:r w:rsidRPr="009A13B9">
        <w:rPr>
          <w:rFonts w:eastAsia="Times New Roman" w:cs="Times New Roman"/>
          <w:rtl/>
          <w:lang w:eastAsia="de-DE"/>
        </w:rPr>
        <w:t xml:space="preserve"> </w:t>
      </w:r>
      <w:r w:rsidRPr="009A13B9">
        <w:rPr>
          <w:rFonts w:eastAsia="Times New Roman" w:cs="Times New Roman"/>
          <w:lang w:eastAsia="de-DE"/>
        </w:rPr>
        <w:t>(und der Priester soll ihn für unrein erklären) entspricht V. 3.</w:t>
      </w:r>
    </w:p>
    <w:p w14:paraId="007874F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לא יסגירנו כי טמא הוא</w:t>
      </w:r>
      <w:r w:rsidRPr="009A13B9">
        <w:rPr>
          <w:rFonts w:eastAsia="Times New Roman" w:cs="Times New Roman"/>
          <w:rtl/>
          <w:lang w:eastAsia="de-DE"/>
        </w:rPr>
        <w:t xml:space="preserve"> </w:t>
      </w:r>
      <w:r w:rsidRPr="009A13B9">
        <w:rPr>
          <w:rFonts w:eastAsia="Times New Roman" w:cs="Times New Roman"/>
          <w:lang w:eastAsia="de-DE"/>
        </w:rPr>
        <w:t xml:space="preserve">zeigt das besondere Verfahren. </w:t>
      </w:r>
      <w:r w:rsidRPr="009A13B9">
        <w:rPr>
          <w:rFonts w:eastAsia="Times New Roman" w:cs="Times New Roman"/>
          <w:b/>
          <w:bCs/>
          <w:rtl/>
          <w:lang w:eastAsia="de-DE"/>
        </w:rPr>
        <w:t>לא יסגירנו</w:t>
      </w:r>
      <w:r w:rsidRPr="009A13B9">
        <w:rPr>
          <w:rFonts w:eastAsia="Times New Roman" w:cs="Times New Roman"/>
          <w:rtl/>
          <w:lang w:eastAsia="de-DE"/>
        </w:rPr>
        <w:t xml:space="preserve"> </w:t>
      </w:r>
      <w:r w:rsidRPr="009A13B9">
        <w:rPr>
          <w:rFonts w:eastAsia="Times New Roman" w:cs="Times New Roman"/>
          <w:lang w:eastAsia="de-DE"/>
        </w:rPr>
        <w:t xml:space="preserve">(er soll ihn nicht einschließen) - </w:t>
      </w:r>
      <w:r w:rsidRPr="009A13B9">
        <w:rPr>
          <w:rFonts w:eastAsia="Times New Roman" w:cs="Times New Roman"/>
          <w:b/>
          <w:bCs/>
          <w:rtl/>
          <w:lang w:eastAsia="de-DE"/>
        </w:rPr>
        <w:t>סגר</w:t>
      </w:r>
      <w:r w:rsidRPr="009A13B9">
        <w:rPr>
          <w:rFonts w:eastAsia="Times New Roman" w:cs="Times New Roman"/>
          <w:rtl/>
          <w:lang w:eastAsia="de-DE"/>
        </w:rPr>
        <w:t xml:space="preserve"> </w:t>
      </w:r>
      <w:r w:rsidRPr="009A13B9">
        <w:rPr>
          <w:rFonts w:eastAsia="Times New Roman" w:cs="Times New Roman"/>
          <w:lang w:eastAsia="de-DE"/>
        </w:rPr>
        <w:t xml:space="preserve">(einschließen) im Hifil-Imperfekt mit Negation </w:t>
      </w:r>
      <w:r w:rsidRPr="009A13B9">
        <w:rPr>
          <w:rFonts w:eastAsia="Times New Roman" w:cs="Times New Roman"/>
          <w:b/>
          <w:bCs/>
          <w:rtl/>
          <w:lang w:eastAsia="de-DE"/>
        </w:rPr>
        <w:t>לא</w:t>
      </w:r>
      <w:r w:rsidRPr="009A13B9">
        <w:rPr>
          <w:rFonts w:eastAsia="Times New Roman" w:cs="Times New Roman"/>
          <w:rtl/>
          <w:lang w:eastAsia="de-DE"/>
        </w:rPr>
        <w:t xml:space="preserve"> </w:t>
      </w:r>
      <w:r w:rsidRPr="009A13B9">
        <w:rPr>
          <w:rFonts w:eastAsia="Times New Roman" w:cs="Times New Roman"/>
          <w:lang w:eastAsia="de-DE"/>
        </w:rPr>
        <w:t xml:space="preserve">und Objektsuffix. </w:t>
      </w:r>
      <w:r w:rsidRPr="009A13B9">
        <w:rPr>
          <w:rFonts w:eastAsia="Times New Roman" w:cs="Times New Roman"/>
          <w:b/>
          <w:bCs/>
          <w:rtl/>
          <w:lang w:eastAsia="de-DE"/>
        </w:rPr>
        <w:t>כי טמא הוא</w:t>
      </w:r>
      <w:r w:rsidRPr="009A13B9">
        <w:rPr>
          <w:rFonts w:eastAsia="Times New Roman" w:cs="Times New Roman"/>
          <w:rtl/>
          <w:lang w:eastAsia="de-DE"/>
        </w:rPr>
        <w:t xml:space="preserve"> </w:t>
      </w:r>
      <w:r w:rsidRPr="009A13B9">
        <w:rPr>
          <w:rFonts w:eastAsia="Times New Roman" w:cs="Times New Roman"/>
          <w:lang w:eastAsia="de-DE"/>
        </w:rPr>
        <w:t>(denn unrein ist er) begründet das Verfahren.</w:t>
      </w:r>
    </w:p>
    <w:p w14:paraId="282B60D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צרעת נושנת</w:t>
      </w:r>
      <w:r w:rsidRPr="009A13B9">
        <w:rPr>
          <w:rFonts w:eastAsia="Times New Roman" w:cs="Times New Roman"/>
          <w:rtl/>
          <w:lang w:eastAsia="de-DE"/>
        </w:rPr>
        <w:t xml:space="preserve"> </w:t>
      </w:r>
      <w:r w:rsidRPr="009A13B9">
        <w:rPr>
          <w:rFonts w:eastAsia="Times New Roman" w:cs="Times New Roman"/>
          <w:lang w:eastAsia="de-DE"/>
        </w:rPr>
        <w:t xml:space="preserve">zeigt chronische, etablierte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im Unterschied zu beginnenden Fällen. </w:t>
      </w:r>
      <w:r w:rsidRPr="009A13B9">
        <w:rPr>
          <w:rFonts w:eastAsia="Times New Roman" w:cs="Times New Roman"/>
          <w:b/>
          <w:bCs/>
          <w:rtl/>
          <w:lang w:eastAsia="de-DE"/>
        </w:rPr>
        <w:t>לא יסגירנו</w:t>
      </w:r>
      <w:r w:rsidRPr="009A13B9">
        <w:rPr>
          <w:rFonts w:eastAsia="Times New Roman" w:cs="Times New Roman"/>
          <w:rtl/>
          <w:lang w:eastAsia="de-DE"/>
        </w:rPr>
        <w:t xml:space="preserve"> </w:t>
      </w:r>
      <w:r w:rsidRPr="009A13B9">
        <w:rPr>
          <w:rFonts w:eastAsia="Times New Roman" w:cs="Times New Roman"/>
          <w:lang w:eastAsia="de-DE"/>
        </w:rPr>
        <w:t xml:space="preserve">zeigt, dass bei offensichtlicher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keine Quarantäne nötig ist. </w:t>
      </w:r>
      <w:r w:rsidRPr="009A13B9">
        <w:rPr>
          <w:rFonts w:eastAsia="Times New Roman" w:cs="Times New Roman"/>
          <w:b/>
          <w:bCs/>
          <w:rtl/>
          <w:lang w:eastAsia="de-DE"/>
        </w:rPr>
        <w:t>כי טמא הוא</w:t>
      </w:r>
      <w:r w:rsidRPr="009A13B9">
        <w:rPr>
          <w:rFonts w:eastAsia="Times New Roman" w:cs="Times New Roman"/>
          <w:rtl/>
          <w:lang w:eastAsia="de-DE"/>
        </w:rPr>
        <w:t xml:space="preserve"> </w:t>
      </w:r>
      <w:r w:rsidRPr="009A13B9">
        <w:rPr>
          <w:rFonts w:eastAsia="Times New Roman" w:cs="Times New Roman"/>
          <w:lang w:eastAsia="de-DE"/>
        </w:rPr>
        <w:t>begründet die sofortige Unreinheitserklärung.</w:t>
      </w:r>
    </w:p>
    <w:p w14:paraId="232F5C1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צרעת נושנת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λέ</w:t>
      </w:r>
      <w:proofErr w:type="spellEnd"/>
      <w:r w:rsidRPr="009A13B9">
        <w:rPr>
          <w:rFonts w:eastAsia="Times New Roman" w:cs="Times New Roman"/>
          <w:lang w:eastAsia="de-DE"/>
        </w:rPr>
        <w:t>πρα παλα</w:t>
      </w:r>
      <w:proofErr w:type="spellStart"/>
      <w:r w:rsidRPr="009A13B9">
        <w:rPr>
          <w:rFonts w:eastAsia="Times New Roman" w:cs="Times New Roman"/>
          <w:lang w:eastAsia="de-DE"/>
        </w:rPr>
        <w:t>ιουμένη</w:t>
      </w:r>
      <w:proofErr w:type="spellEnd"/>
      <w:r w:rsidRPr="009A13B9">
        <w:rPr>
          <w:rFonts w:eastAsia="Times New Roman" w:cs="Times New Roman"/>
          <w:lang w:eastAsia="de-DE"/>
        </w:rPr>
        <w:t xml:space="preserve"> (alternde Lepra), </w:t>
      </w:r>
      <w:r w:rsidRPr="009A13B9">
        <w:rPr>
          <w:rFonts w:eastAsia="Times New Roman" w:cs="Times New Roman"/>
          <w:b/>
          <w:bCs/>
          <w:rtl/>
          <w:lang w:eastAsia="de-DE"/>
        </w:rPr>
        <w:t>יסגירנו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ἀφοριεῖ</w:t>
      </w:r>
      <w:proofErr w:type="spellEnd"/>
      <w:r w:rsidRPr="009A13B9">
        <w:rPr>
          <w:rFonts w:eastAsia="Times New Roman" w:cs="Times New Roman"/>
          <w:lang w:eastAsia="de-DE"/>
        </w:rPr>
        <w:t xml:space="preserve"> α</w:t>
      </w:r>
      <w:proofErr w:type="spellStart"/>
      <w:r w:rsidRPr="009A13B9">
        <w:rPr>
          <w:rFonts w:eastAsia="Times New Roman" w:cs="Times New Roman"/>
          <w:lang w:eastAsia="de-DE"/>
        </w:rPr>
        <w:t>ὐτόν</w:t>
      </w:r>
      <w:proofErr w:type="spellEnd"/>
      <w:r w:rsidRPr="009A13B9">
        <w:rPr>
          <w:rFonts w:eastAsia="Times New Roman" w:cs="Times New Roman"/>
          <w:lang w:eastAsia="de-DE"/>
        </w:rPr>
        <w:t xml:space="preserve"> (er wird ihn absondern) und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mit ἀκάθα</w:t>
      </w:r>
      <w:proofErr w:type="spellStart"/>
      <w:r w:rsidRPr="009A13B9">
        <w:rPr>
          <w:rFonts w:eastAsia="Times New Roman" w:cs="Times New Roman"/>
          <w:lang w:eastAsia="de-DE"/>
        </w:rPr>
        <w:t>ρτός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ἐστιν</w:t>
      </w:r>
      <w:proofErr w:type="spellEnd"/>
      <w:r w:rsidRPr="009A13B9">
        <w:rPr>
          <w:rFonts w:eastAsia="Times New Roman" w:cs="Times New Roman"/>
          <w:lang w:eastAsia="de-DE"/>
        </w:rPr>
        <w:t xml:space="preserve"> (unrein ist er).</w:t>
      </w:r>
    </w:p>
    <w:p w14:paraId="6AED91D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sofortige Diagnose: definitive Klassifikation + Unreinheitserklärung + negatives Verfahren + Begründung. Die Struktur zeigt das verkürzte Verfahren bei offensichtlichen Fällen.</w:t>
      </w:r>
    </w:p>
    <w:p w14:paraId="3700203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lastRenderedPageBreak/>
        <w:t xml:space="preserve">Dieser Vers zeigt, dass chronische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mit den Merkmalen aus V. 10 sofortige Unreinheitserklärung ohne Quarantäne zur Folge hat.</w:t>
      </w:r>
    </w:p>
    <w:p w14:paraId="6FFD6C95"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13,12</w:t>
      </w:r>
    </w:p>
    <w:p w14:paraId="683B738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וְאִם־פָּר֨וֹחַ תִּפְרַ֤ח הַצָּרַ֨עַת֙ בָּע֔וֹר וְכִסְּתָ֣ה הַצָּרַ֗עַת אֵ֚ת כָּל־ע֣וֹר הַנֶּ֔גַע מֵרֹאשֹׁ֖ו וְעַד־רַגְלָ֑יו לְכָל־מַרְאֵ֖ה עֵינֵ֥י הַכֹּהֵֽן׃</w:t>
      </w:r>
    </w:p>
    <w:p w14:paraId="4BCD104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Wenn aber der Aussatz auf der Haut wirklich ausbricht und der Aussatz die ganze Haut dessen, der das Mal hat, bedeckt, von seinem Kopf bis zu seinen Füßen, wohin auch die Augen des Priesters blicken,</w:t>
      </w:r>
    </w:p>
    <w:p w14:paraId="14F6AA7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12CECF1">
          <v:rect id="_x0000_i1343" style="width:0;height:1.5pt" o:hralign="center" o:hrstd="t" o:hr="t" fillcolor="#a0a0a0" stroked="f"/>
        </w:pict>
      </w:r>
    </w:p>
    <w:p w14:paraId="55F6914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ואם־פרוח תפרח הצרעת בעור</w:t>
      </w:r>
      <w:r w:rsidRPr="009A13B9">
        <w:rPr>
          <w:rFonts w:eastAsia="Times New Roman" w:cs="Times New Roman"/>
          <w:rtl/>
          <w:lang w:eastAsia="de-DE"/>
        </w:rPr>
        <w:t xml:space="preserve"> </w:t>
      </w:r>
      <w:r w:rsidRPr="009A13B9">
        <w:rPr>
          <w:rFonts w:eastAsia="Times New Roman" w:cs="Times New Roman"/>
          <w:lang w:eastAsia="de-DE"/>
        </w:rPr>
        <w:t xml:space="preserve">zeigt verstärkte Ausbreitung. </w:t>
      </w:r>
      <w:r w:rsidRPr="009A13B9">
        <w:rPr>
          <w:rFonts w:eastAsia="Times New Roman" w:cs="Times New Roman"/>
          <w:b/>
          <w:bCs/>
          <w:rtl/>
          <w:lang w:eastAsia="de-DE"/>
        </w:rPr>
        <w:t>ואם־פרוח תפרח</w:t>
      </w:r>
      <w:r w:rsidRPr="009A13B9">
        <w:rPr>
          <w:rFonts w:eastAsia="Times New Roman" w:cs="Times New Roman"/>
          <w:rtl/>
          <w:lang w:eastAsia="de-DE"/>
        </w:rPr>
        <w:t xml:space="preserve"> </w:t>
      </w:r>
      <w:r w:rsidRPr="009A13B9">
        <w:rPr>
          <w:rFonts w:eastAsia="Times New Roman" w:cs="Times New Roman"/>
          <w:lang w:eastAsia="de-DE"/>
        </w:rPr>
        <w:t xml:space="preserve">(und wenn ausbrechend ausbricht) - </w:t>
      </w:r>
      <w:r w:rsidRPr="009A13B9">
        <w:rPr>
          <w:rFonts w:eastAsia="Times New Roman" w:cs="Times New Roman"/>
          <w:b/>
          <w:bCs/>
          <w:rtl/>
          <w:lang w:eastAsia="de-DE"/>
        </w:rPr>
        <w:t>פרח</w:t>
      </w:r>
      <w:r w:rsidRPr="009A13B9">
        <w:rPr>
          <w:rFonts w:eastAsia="Times New Roman" w:cs="Times New Roman"/>
          <w:rtl/>
          <w:lang w:eastAsia="de-DE"/>
        </w:rPr>
        <w:t xml:space="preserve"> </w:t>
      </w:r>
      <w:r w:rsidRPr="009A13B9">
        <w:rPr>
          <w:rFonts w:eastAsia="Times New Roman" w:cs="Times New Roman"/>
          <w:lang w:eastAsia="de-DE"/>
        </w:rPr>
        <w:t xml:space="preserve">(ausbrechen/aufblühen) mit Infinitiv absolut + finite Verbform zur Intensivierung. </w:t>
      </w:r>
      <w:r w:rsidRPr="009A13B9">
        <w:rPr>
          <w:rFonts w:eastAsia="Times New Roman" w:cs="Times New Roman"/>
          <w:b/>
          <w:bCs/>
          <w:rtl/>
          <w:lang w:eastAsia="de-DE"/>
        </w:rPr>
        <w:t>הצרעת בעור</w:t>
      </w:r>
      <w:r w:rsidRPr="009A13B9">
        <w:rPr>
          <w:rFonts w:eastAsia="Times New Roman" w:cs="Times New Roman"/>
          <w:rtl/>
          <w:lang w:eastAsia="de-DE"/>
        </w:rPr>
        <w:t xml:space="preserve"> </w:t>
      </w:r>
      <w:r w:rsidRPr="009A13B9">
        <w:rPr>
          <w:rFonts w:eastAsia="Times New Roman" w:cs="Times New Roman"/>
          <w:lang w:eastAsia="de-DE"/>
        </w:rPr>
        <w:t>(der Aussatz auf der Haut) zeigt die betroffene Stelle.</w:t>
      </w:r>
    </w:p>
    <w:p w14:paraId="6F30999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וכסתה הצרעת את כל־עור הנגע מראשו ועד־רגליו</w:t>
      </w:r>
      <w:r w:rsidRPr="009A13B9">
        <w:rPr>
          <w:rFonts w:eastAsia="Times New Roman" w:cs="Times New Roman"/>
          <w:rtl/>
          <w:lang w:eastAsia="de-DE"/>
        </w:rPr>
        <w:t xml:space="preserve"> </w:t>
      </w:r>
      <w:r w:rsidRPr="009A13B9">
        <w:rPr>
          <w:rFonts w:eastAsia="Times New Roman" w:cs="Times New Roman"/>
          <w:lang w:eastAsia="de-DE"/>
        </w:rPr>
        <w:t xml:space="preserve">beschreibt totale Bedeckung. </w:t>
      </w:r>
      <w:r w:rsidRPr="009A13B9">
        <w:rPr>
          <w:rFonts w:eastAsia="Times New Roman" w:cs="Times New Roman"/>
          <w:b/>
          <w:bCs/>
          <w:rtl/>
          <w:lang w:eastAsia="de-DE"/>
        </w:rPr>
        <w:t>וכסתה הצרעת</w:t>
      </w:r>
      <w:r w:rsidRPr="009A13B9">
        <w:rPr>
          <w:rFonts w:eastAsia="Times New Roman" w:cs="Times New Roman"/>
          <w:rtl/>
          <w:lang w:eastAsia="de-DE"/>
        </w:rPr>
        <w:t xml:space="preserve"> </w:t>
      </w:r>
      <w:r w:rsidRPr="009A13B9">
        <w:rPr>
          <w:rFonts w:eastAsia="Times New Roman" w:cs="Times New Roman"/>
          <w:lang w:eastAsia="de-DE"/>
        </w:rPr>
        <w:t xml:space="preserve">(und der Aussatz hat bedeckt) - </w:t>
      </w:r>
      <w:r w:rsidRPr="009A13B9">
        <w:rPr>
          <w:rFonts w:eastAsia="Times New Roman" w:cs="Times New Roman"/>
          <w:b/>
          <w:bCs/>
          <w:rtl/>
          <w:lang w:eastAsia="de-DE"/>
        </w:rPr>
        <w:t>כסה</w:t>
      </w:r>
      <w:r w:rsidRPr="009A13B9">
        <w:rPr>
          <w:rFonts w:eastAsia="Times New Roman" w:cs="Times New Roman"/>
          <w:rtl/>
          <w:lang w:eastAsia="de-DE"/>
        </w:rPr>
        <w:t xml:space="preserve"> </w:t>
      </w:r>
      <w:r w:rsidRPr="009A13B9">
        <w:rPr>
          <w:rFonts w:eastAsia="Times New Roman" w:cs="Times New Roman"/>
          <w:lang w:eastAsia="de-DE"/>
        </w:rPr>
        <w:t xml:space="preserve">(bedecken) im Piel-Perfekt mit Waw-Konsekutiv. </w:t>
      </w:r>
      <w:r w:rsidRPr="009A13B9">
        <w:rPr>
          <w:rFonts w:eastAsia="Times New Roman" w:cs="Times New Roman"/>
          <w:b/>
          <w:bCs/>
          <w:rtl/>
          <w:lang w:eastAsia="de-DE"/>
        </w:rPr>
        <w:t>את כל־עור הנגע</w:t>
      </w:r>
      <w:r w:rsidRPr="009A13B9">
        <w:rPr>
          <w:rFonts w:eastAsia="Times New Roman" w:cs="Times New Roman"/>
          <w:rtl/>
          <w:lang w:eastAsia="de-DE"/>
        </w:rPr>
        <w:t xml:space="preserve"> </w:t>
      </w:r>
      <w:r w:rsidRPr="009A13B9">
        <w:rPr>
          <w:rFonts w:eastAsia="Times New Roman" w:cs="Times New Roman"/>
          <w:lang w:eastAsia="de-DE"/>
        </w:rPr>
        <w:t xml:space="preserve">(die ganze Haut dessen mit dem Mal) mit Totalitätspartikel </w:t>
      </w:r>
      <w:r w:rsidRPr="009A13B9">
        <w:rPr>
          <w:rFonts w:eastAsia="Times New Roman" w:cs="Times New Roman"/>
          <w:b/>
          <w:bCs/>
          <w:rtl/>
          <w:lang w:eastAsia="de-DE"/>
        </w:rPr>
        <w:t>כל</w:t>
      </w:r>
      <w:r w:rsidRPr="009A13B9">
        <w:rPr>
          <w:rFonts w:eastAsia="Times New Roman" w:cs="Times New Roman"/>
          <w:lang w:eastAsia="de-DE"/>
        </w:rPr>
        <w:t xml:space="preserve">. </w:t>
      </w:r>
      <w:r w:rsidRPr="009A13B9">
        <w:rPr>
          <w:rFonts w:eastAsia="Times New Roman" w:cs="Times New Roman"/>
          <w:b/>
          <w:bCs/>
          <w:rtl/>
          <w:lang w:eastAsia="de-DE"/>
        </w:rPr>
        <w:t>מראשו ועד־רגליו</w:t>
      </w:r>
      <w:r w:rsidRPr="009A13B9">
        <w:rPr>
          <w:rFonts w:eastAsia="Times New Roman" w:cs="Times New Roman"/>
          <w:rtl/>
          <w:lang w:eastAsia="de-DE"/>
        </w:rPr>
        <w:t xml:space="preserve"> </w:t>
      </w:r>
      <w:r w:rsidRPr="009A13B9">
        <w:rPr>
          <w:rFonts w:eastAsia="Times New Roman" w:cs="Times New Roman"/>
          <w:lang w:eastAsia="de-DE"/>
        </w:rPr>
        <w:t>(von seinem Kopf bis zu seinen Füßen) zeigt vollständige Ausbreitung von oben bis unten.</w:t>
      </w:r>
    </w:p>
    <w:p w14:paraId="36817AF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לכל־מראה עיני הכהן</w:t>
      </w:r>
      <w:r w:rsidRPr="009A13B9">
        <w:rPr>
          <w:rFonts w:eastAsia="Times New Roman" w:cs="Times New Roman"/>
          <w:rtl/>
          <w:lang w:eastAsia="de-DE"/>
        </w:rPr>
        <w:t xml:space="preserve"> </w:t>
      </w:r>
      <w:r w:rsidRPr="009A13B9">
        <w:rPr>
          <w:rFonts w:eastAsia="Times New Roman" w:cs="Times New Roman"/>
          <w:lang w:eastAsia="de-DE"/>
        </w:rPr>
        <w:t xml:space="preserve">spezifiziert die Sichtbarkeit. </w:t>
      </w:r>
      <w:r w:rsidRPr="009A13B9">
        <w:rPr>
          <w:rFonts w:eastAsia="Times New Roman" w:cs="Times New Roman"/>
          <w:b/>
          <w:bCs/>
          <w:rtl/>
          <w:lang w:eastAsia="de-DE"/>
        </w:rPr>
        <w:t>לכל־מראה עיני הכהן</w:t>
      </w:r>
      <w:r w:rsidRPr="009A13B9">
        <w:rPr>
          <w:rFonts w:eastAsia="Times New Roman" w:cs="Times New Roman"/>
          <w:rtl/>
          <w:lang w:eastAsia="de-DE"/>
        </w:rPr>
        <w:t xml:space="preserve"> </w:t>
      </w:r>
      <w:r w:rsidRPr="009A13B9">
        <w:rPr>
          <w:rFonts w:eastAsia="Times New Roman" w:cs="Times New Roman"/>
          <w:lang w:eastAsia="de-DE"/>
        </w:rPr>
        <w:t xml:space="preserve">(für alles Sehen der Augen des Priesters) - </w:t>
      </w:r>
      <w:r w:rsidRPr="009A13B9">
        <w:rPr>
          <w:rFonts w:eastAsia="Times New Roman" w:cs="Times New Roman"/>
          <w:b/>
          <w:bCs/>
          <w:rtl/>
          <w:lang w:eastAsia="de-DE"/>
        </w:rPr>
        <w:t>מראה</w:t>
      </w:r>
      <w:r w:rsidRPr="009A13B9">
        <w:rPr>
          <w:rFonts w:eastAsia="Times New Roman" w:cs="Times New Roman"/>
          <w:rtl/>
          <w:lang w:eastAsia="de-DE"/>
        </w:rPr>
        <w:t xml:space="preserve"> </w:t>
      </w:r>
      <w:r w:rsidRPr="009A13B9">
        <w:rPr>
          <w:rFonts w:eastAsia="Times New Roman" w:cs="Times New Roman"/>
          <w:lang w:eastAsia="de-DE"/>
        </w:rPr>
        <w:t xml:space="preserve">(Sehen/Anblick) mit </w:t>
      </w:r>
      <w:r w:rsidRPr="009A13B9">
        <w:rPr>
          <w:rFonts w:eastAsia="Times New Roman" w:cs="Times New Roman"/>
          <w:b/>
          <w:bCs/>
          <w:rtl/>
          <w:lang w:eastAsia="de-DE"/>
        </w:rPr>
        <w:t>עיני הכהן</w:t>
      </w:r>
      <w:r w:rsidRPr="009A13B9">
        <w:rPr>
          <w:rFonts w:eastAsia="Times New Roman" w:cs="Times New Roman"/>
          <w:rtl/>
          <w:lang w:eastAsia="de-DE"/>
        </w:rPr>
        <w:t xml:space="preserve"> </w:t>
      </w:r>
      <w:r w:rsidRPr="009A13B9">
        <w:rPr>
          <w:rFonts w:eastAsia="Times New Roman" w:cs="Times New Roman"/>
          <w:lang w:eastAsia="de-DE"/>
        </w:rPr>
        <w:t>(Augen des Priesters) zeigt vollständige Sichtbarkeit für die priesterliche Diagnose.</w:t>
      </w:r>
    </w:p>
    <w:p w14:paraId="2058383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פרוח תפרח</w:t>
      </w:r>
      <w:r w:rsidRPr="009A13B9">
        <w:rPr>
          <w:rFonts w:eastAsia="Times New Roman" w:cs="Times New Roman"/>
          <w:rtl/>
          <w:lang w:eastAsia="de-DE"/>
        </w:rPr>
        <w:t xml:space="preserve"> </w:t>
      </w:r>
      <w:r w:rsidRPr="009A13B9">
        <w:rPr>
          <w:rFonts w:eastAsia="Times New Roman" w:cs="Times New Roman"/>
          <w:lang w:eastAsia="de-DE"/>
        </w:rPr>
        <w:t xml:space="preserve">mit verstärkender Wiederholung betont die dramatische Ausbreitung. </w:t>
      </w:r>
      <w:r w:rsidRPr="009A13B9">
        <w:rPr>
          <w:rFonts w:eastAsia="Times New Roman" w:cs="Times New Roman"/>
          <w:b/>
          <w:bCs/>
          <w:rtl/>
          <w:lang w:eastAsia="de-DE"/>
        </w:rPr>
        <w:t>כל־עור</w:t>
      </w:r>
      <w:r w:rsidRPr="009A13B9">
        <w:rPr>
          <w:rFonts w:eastAsia="Times New Roman" w:cs="Times New Roman"/>
          <w:rtl/>
          <w:lang w:eastAsia="de-DE"/>
        </w:rPr>
        <w:t xml:space="preserve"> </w:t>
      </w:r>
      <w:r w:rsidRPr="009A13B9">
        <w:rPr>
          <w:rFonts w:eastAsia="Times New Roman" w:cs="Times New Roman"/>
          <w:lang w:eastAsia="de-DE"/>
        </w:rPr>
        <w:t xml:space="preserve">(ganze Haut) zeigt totale Bedeckung. </w:t>
      </w:r>
      <w:r w:rsidRPr="009A13B9">
        <w:rPr>
          <w:rFonts w:eastAsia="Times New Roman" w:cs="Times New Roman"/>
          <w:b/>
          <w:bCs/>
          <w:rtl/>
          <w:lang w:eastAsia="de-DE"/>
        </w:rPr>
        <w:t>מראשו ועד־רגליו</w:t>
      </w:r>
      <w:r w:rsidRPr="009A13B9">
        <w:rPr>
          <w:rFonts w:eastAsia="Times New Roman" w:cs="Times New Roman"/>
          <w:rtl/>
          <w:lang w:eastAsia="de-DE"/>
        </w:rPr>
        <w:t xml:space="preserve"> </w:t>
      </w:r>
      <w:r w:rsidRPr="009A13B9">
        <w:rPr>
          <w:rFonts w:eastAsia="Times New Roman" w:cs="Times New Roman"/>
          <w:lang w:eastAsia="de-DE"/>
        </w:rPr>
        <w:t xml:space="preserve">als </w:t>
      </w:r>
      <w:proofErr w:type="spellStart"/>
      <w:r w:rsidRPr="009A13B9">
        <w:rPr>
          <w:rFonts w:eastAsia="Times New Roman" w:cs="Times New Roman"/>
          <w:lang w:eastAsia="de-DE"/>
        </w:rPr>
        <w:t>merism</w:t>
      </w:r>
      <w:proofErr w:type="spellEnd"/>
      <w:r w:rsidRPr="009A13B9">
        <w:rPr>
          <w:rFonts w:eastAsia="Times New Roman" w:cs="Times New Roman"/>
          <w:lang w:eastAsia="de-DE"/>
        </w:rPr>
        <w:t xml:space="preserve"> für den ganzen Körper. </w:t>
      </w:r>
      <w:r w:rsidRPr="009A13B9">
        <w:rPr>
          <w:rFonts w:eastAsia="Times New Roman" w:cs="Times New Roman"/>
          <w:b/>
          <w:bCs/>
          <w:rtl/>
          <w:lang w:eastAsia="de-DE"/>
        </w:rPr>
        <w:t>לכל־מראה עיני הכהן</w:t>
      </w:r>
      <w:r w:rsidRPr="009A13B9">
        <w:rPr>
          <w:rFonts w:eastAsia="Times New Roman" w:cs="Times New Roman"/>
          <w:rtl/>
          <w:lang w:eastAsia="de-DE"/>
        </w:rPr>
        <w:t xml:space="preserve"> </w:t>
      </w:r>
      <w:r w:rsidRPr="009A13B9">
        <w:rPr>
          <w:rFonts w:eastAsia="Times New Roman" w:cs="Times New Roman"/>
          <w:lang w:eastAsia="de-DE"/>
        </w:rPr>
        <w:t>betont, dass nichts der priesterlichen Sicht verborgen bleibt.</w:t>
      </w:r>
    </w:p>
    <w:p w14:paraId="73717CE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פרוח תפרח</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ἐξ</w:t>
      </w:r>
      <w:proofErr w:type="spellEnd"/>
      <w:r w:rsidRPr="009A13B9">
        <w:rPr>
          <w:rFonts w:eastAsia="Times New Roman" w:cs="Times New Roman"/>
          <w:lang w:eastAsia="de-DE"/>
        </w:rPr>
        <w:t xml:space="preserve">ανθοῦσα </w:t>
      </w:r>
      <w:proofErr w:type="spellStart"/>
      <w:r w:rsidRPr="009A13B9">
        <w:rPr>
          <w:rFonts w:eastAsia="Times New Roman" w:cs="Times New Roman"/>
          <w:lang w:eastAsia="de-DE"/>
        </w:rPr>
        <w:t>ἐξ</w:t>
      </w:r>
      <w:proofErr w:type="spellEnd"/>
      <w:r w:rsidRPr="009A13B9">
        <w:rPr>
          <w:rFonts w:eastAsia="Times New Roman" w:cs="Times New Roman"/>
          <w:lang w:eastAsia="de-DE"/>
        </w:rPr>
        <w:t xml:space="preserve">ανθήσῃ (aufblühend aufblüht), </w:t>
      </w:r>
      <w:r w:rsidRPr="009A13B9">
        <w:rPr>
          <w:rFonts w:eastAsia="Times New Roman" w:cs="Times New Roman"/>
          <w:b/>
          <w:bCs/>
          <w:rtl/>
          <w:lang w:eastAsia="de-DE"/>
        </w:rPr>
        <w:t>כסתה</w:t>
      </w:r>
      <w:r w:rsidRPr="009A13B9">
        <w:rPr>
          <w:rFonts w:eastAsia="Times New Roman" w:cs="Times New Roman"/>
          <w:rtl/>
          <w:lang w:eastAsia="de-DE"/>
        </w:rPr>
        <w:t xml:space="preserve"> </w:t>
      </w:r>
      <w:r w:rsidRPr="009A13B9">
        <w:rPr>
          <w:rFonts w:eastAsia="Times New Roman" w:cs="Times New Roman"/>
          <w:lang w:eastAsia="de-DE"/>
        </w:rPr>
        <w:t>mit κα</w:t>
      </w:r>
      <w:proofErr w:type="spellStart"/>
      <w:r w:rsidRPr="009A13B9">
        <w:rPr>
          <w:rFonts w:eastAsia="Times New Roman" w:cs="Times New Roman"/>
          <w:lang w:eastAsia="de-DE"/>
        </w:rPr>
        <w:t>λύψῃ</w:t>
      </w:r>
      <w:proofErr w:type="spellEnd"/>
      <w:r w:rsidRPr="009A13B9">
        <w:rPr>
          <w:rFonts w:eastAsia="Times New Roman" w:cs="Times New Roman"/>
          <w:lang w:eastAsia="de-DE"/>
        </w:rPr>
        <w:t xml:space="preserve"> (bedeckt) und </w:t>
      </w:r>
      <w:r w:rsidRPr="009A13B9">
        <w:rPr>
          <w:rFonts w:eastAsia="Times New Roman" w:cs="Times New Roman"/>
          <w:b/>
          <w:bCs/>
          <w:rtl/>
          <w:lang w:eastAsia="de-DE"/>
        </w:rPr>
        <w:t>מראשו ועד־רגליו</w:t>
      </w:r>
      <w:r w:rsidRPr="009A13B9">
        <w:rPr>
          <w:rFonts w:eastAsia="Times New Roman" w:cs="Times New Roman"/>
          <w:rtl/>
          <w:lang w:eastAsia="de-DE"/>
        </w:rPr>
        <w:t xml:space="preserve"> </w:t>
      </w:r>
      <w:r w:rsidRPr="009A13B9">
        <w:rPr>
          <w:rFonts w:eastAsia="Times New Roman" w:cs="Times New Roman"/>
          <w:lang w:eastAsia="de-DE"/>
        </w:rPr>
        <w:t xml:space="preserve">mit ἀπὸ </w:t>
      </w:r>
      <w:proofErr w:type="spellStart"/>
      <w:r w:rsidRPr="009A13B9">
        <w:rPr>
          <w:rFonts w:eastAsia="Times New Roman" w:cs="Times New Roman"/>
          <w:lang w:eastAsia="de-DE"/>
        </w:rPr>
        <w:t>κεφ</w:t>
      </w:r>
      <w:proofErr w:type="spellEnd"/>
      <w:r w:rsidRPr="009A13B9">
        <w:rPr>
          <w:rFonts w:eastAsia="Times New Roman" w:cs="Times New Roman"/>
          <w:lang w:eastAsia="de-DE"/>
        </w:rPr>
        <w:t xml:space="preserve">αλῆς </w:t>
      </w:r>
      <w:proofErr w:type="spellStart"/>
      <w:r w:rsidRPr="009A13B9">
        <w:rPr>
          <w:rFonts w:eastAsia="Times New Roman" w:cs="Times New Roman"/>
          <w:lang w:eastAsia="de-DE"/>
        </w:rPr>
        <w:t>ἕως</w:t>
      </w:r>
      <w:proofErr w:type="spellEnd"/>
      <w:r w:rsidRPr="009A13B9">
        <w:rPr>
          <w:rFonts w:eastAsia="Times New Roman" w:cs="Times New Roman"/>
          <w:lang w:eastAsia="de-DE"/>
        </w:rPr>
        <w:t xml:space="preserve"> π</w:t>
      </w:r>
      <w:proofErr w:type="spellStart"/>
      <w:r w:rsidRPr="009A13B9">
        <w:rPr>
          <w:rFonts w:eastAsia="Times New Roman" w:cs="Times New Roman"/>
          <w:lang w:eastAsia="de-DE"/>
        </w:rPr>
        <w:t>οδῶν</w:t>
      </w:r>
      <w:proofErr w:type="spellEnd"/>
      <w:r w:rsidRPr="009A13B9">
        <w:rPr>
          <w:rFonts w:eastAsia="Times New Roman" w:cs="Times New Roman"/>
          <w:lang w:eastAsia="de-DE"/>
        </w:rPr>
        <w:t xml:space="preserve"> (von Kopf bis Füße).</w:t>
      </w:r>
    </w:p>
    <w:p w14:paraId="63D2A65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paradoxe Wendung: Konditionalsatz mit verstärkter Ausbreitung + totale Bedeckung + anatomische Vollständigkeit + Sichtbarkeitsbestätigung. Die Struktur bereitet das Paradox der Reinheit durch totale Ausbreitung vor.</w:t>
      </w:r>
    </w:p>
    <w:p w14:paraId="2343C5B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beschreibt die paradoxe Situation totaler </w:t>
      </w:r>
      <w:r w:rsidRPr="009A13B9">
        <w:rPr>
          <w:rFonts w:eastAsia="Times New Roman" w:cs="Times New Roman"/>
          <w:b/>
          <w:bCs/>
          <w:rtl/>
          <w:lang w:eastAsia="de-DE"/>
        </w:rPr>
        <w:t>צרעת</w:t>
      </w:r>
      <w:r w:rsidRPr="009A13B9">
        <w:rPr>
          <w:rFonts w:eastAsia="Times New Roman" w:cs="Times New Roman"/>
          <w:lang w:eastAsia="de-DE"/>
        </w:rPr>
        <w:t>-Ausbreitung über den ganzen Körper, die zur unerwarteten Wendung in V. 13 führt.</w:t>
      </w:r>
    </w:p>
    <w:p w14:paraId="7A042E0E"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13,13</w:t>
      </w:r>
    </w:p>
    <w:p w14:paraId="0D67BA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וְהִנֵּ֨ה כִסְּתָ֤ה הַצָּרַ֨עַת֙ אֶת־כָּל־בְּשָׂרֹ֔ו וְטִהַ֖ר אֶת־הַנָּ֑גַע כֻּלֹּ֛ו הָפַ֥ךְ לָבָ֖ן טָה֥וֹר הֽוּא׃</w:t>
      </w:r>
    </w:p>
    <w:p w14:paraId="5F6EBF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sieht, und siehe, der Aussatz hat sein ganzes Fleisch bedeckt, so soll er den, der das Mal hat, für rein erklären; es hat sich ganz in Weiß verwandelt, er ist rein.</w:t>
      </w:r>
    </w:p>
    <w:p w14:paraId="36AEA60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lastRenderedPageBreak/>
        <w:pict w14:anchorId="738ABEB3">
          <v:rect id="_x0000_i1344" style="width:0;height:1.5pt" o:hralign="center" o:hrstd="t" o:hr="t" fillcolor="#a0a0a0" stroked="f"/>
        </w:pict>
      </w:r>
    </w:p>
    <w:p w14:paraId="652409F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והנה כסתה הצרעת את־כל־בשרו</w:t>
      </w:r>
      <w:r w:rsidRPr="009A13B9">
        <w:rPr>
          <w:rFonts w:eastAsia="Times New Roman" w:cs="Times New Roman"/>
          <w:rtl/>
          <w:lang w:eastAsia="de-DE"/>
        </w:rPr>
        <w:t xml:space="preserve"> </w:t>
      </w:r>
      <w:r w:rsidRPr="009A13B9">
        <w:rPr>
          <w:rFonts w:eastAsia="Times New Roman" w:cs="Times New Roman"/>
          <w:lang w:eastAsia="de-DE"/>
        </w:rPr>
        <w:t xml:space="preserve">bestätigt die totale Bedeckung.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zeigt die diagnostische Untersuchung. </w:t>
      </w:r>
      <w:r w:rsidRPr="009A13B9">
        <w:rPr>
          <w:rFonts w:eastAsia="Times New Roman" w:cs="Times New Roman"/>
          <w:b/>
          <w:bCs/>
          <w:rtl/>
          <w:lang w:eastAsia="de-DE"/>
        </w:rPr>
        <w:t>והנה כסתה הצרעת את־כל־בשרו</w:t>
      </w:r>
      <w:r w:rsidRPr="009A13B9">
        <w:rPr>
          <w:rFonts w:eastAsia="Times New Roman" w:cs="Times New Roman"/>
          <w:rtl/>
          <w:lang w:eastAsia="de-DE"/>
        </w:rPr>
        <w:t xml:space="preserve"> </w:t>
      </w:r>
      <w:r w:rsidRPr="009A13B9">
        <w:rPr>
          <w:rFonts w:eastAsia="Times New Roman" w:cs="Times New Roman"/>
          <w:lang w:eastAsia="de-DE"/>
        </w:rPr>
        <w:t xml:space="preserve">(und siehe, der Aussatz hat sein ganzes Fleisch bedeckt) - </w:t>
      </w:r>
      <w:r w:rsidRPr="009A13B9">
        <w:rPr>
          <w:rFonts w:eastAsia="Times New Roman" w:cs="Times New Roman"/>
          <w:b/>
          <w:bCs/>
          <w:rtl/>
          <w:lang w:eastAsia="de-DE"/>
        </w:rPr>
        <w:t>כסתה</w:t>
      </w:r>
      <w:r w:rsidRPr="009A13B9">
        <w:rPr>
          <w:rFonts w:eastAsia="Times New Roman" w:cs="Times New Roman"/>
          <w:rtl/>
          <w:lang w:eastAsia="de-DE"/>
        </w:rPr>
        <w:t xml:space="preserve"> </w:t>
      </w:r>
      <w:r w:rsidRPr="009A13B9">
        <w:rPr>
          <w:rFonts w:eastAsia="Times New Roman" w:cs="Times New Roman"/>
          <w:lang w:eastAsia="de-DE"/>
        </w:rPr>
        <w:t xml:space="preserve">(hat bedeckt) im Piel-Perfekt, </w:t>
      </w:r>
      <w:r w:rsidRPr="009A13B9">
        <w:rPr>
          <w:rFonts w:eastAsia="Times New Roman" w:cs="Times New Roman"/>
          <w:b/>
          <w:bCs/>
          <w:rtl/>
          <w:lang w:eastAsia="de-DE"/>
        </w:rPr>
        <w:t>את־כל־בשרו</w:t>
      </w:r>
      <w:r w:rsidRPr="009A13B9">
        <w:rPr>
          <w:rFonts w:eastAsia="Times New Roman" w:cs="Times New Roman"/>
          <w:rtl/>
          <w:lang w:eastAsia="de-DE"/>
        </w:rPr>
        <w:t xml:space="preserve"> </w:t>
      </w:r>
      <w:r w:rsidRPr="009A13B9">
        <w:rPr>
          <w:rFonts w:eastAsia="Times New Roman" w:cs="Times New Roman"/>
          <w:lang w:eastAsia="de-DE"/>
        </w:rPr>
        <w:t xml:space="preserve">(sein ganzes Fleisch) mit Totalitätspartikel </w:t>
      </w:r>
      <w:r w:rsidRPr="009A13B9">
        <w:rPr>
          <w:rFonts w:eastAsia="Times New Roman" w:cs="Times New Roman"/>
          <w:b/>
          <w:bCs/>
          <w:rtl/>
          <w:lang w:eastAsia="de-DE"/>
        </w:rPr>
        <w:t>כל</w:t>
      </w:r>
      <w:r w:rsidRPr="009A13B9">
        <w:rPr>
          <w:rFonts w:eastAsia="Times New Roman" w:cs="Times New Roman"/>
          <w:lang w:eastAsia="de-DE"/>
        </w:rPr>
        <w:t>.</w:t>
      </w:r>
    </w:p>
    <w:p w14:paraId="329F6E7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וטהר את־הנגע כלו הפך לבן טהור הוא</w:t>
      </w:r>
      <w:r w:rsidRPr="009A13B9">
        <w:rPr>
          <w:rFonts w:eastAsia="Times New Roman" w:cs="Times New Roman"/>
          <w:rtl/>
          <w:lang w:eastAsia="de-DE"/>
        </w:rPr>
        <w:t xml:space="preserve"> </w:t>
      </w:r>
      <w:r w:rsidRPr="009A13B9">
        <w:rPr>
          <w:rFonts w:eastAsia="Times New Roman" w:cs="Times New Roman"/>
          <w:lang w:eastAsia="de-DE"/>
        </w:rPr>
        <w:t xml:space="preserve">zeigt die überraschende Diagnose. </w:t>
      </w:r>
      <w:r w:rsidRPr="009A13B9">
        <w:rPr>
          <w:rFonts w:eastAsia="Times New Roman" w:cs="Times New Roman"/>
          <w:b/>
          <w:bCs/>
          <w:rtl/>
          <w:lang w:eastAsia="de-DE"/>
        </w:rPr>
        <w:t>וטהר את־הנגע</w:t>
      </w:r>
      <w:r w:rsidRPr="009A13B9">
        <w:rPr>
          <w:rFonts w:eastAsia="Times New Roman" w:cs="Times New Roman"/>
          <w:rtl/>
          <w:lang w:eastAsia="de-DE"/>
        </w:rPr>
        <w:t xml:space="preserve"> </w:t>
      </w:r>
      <w:r w:rsidRPr="009A13B9">
        <w:rPr>
          <w:rFonts w:eastAsia="Times New Roman" w:cs="Times New Roman"/>
          <w:lang w:eastAsia="de-DE"/>
        </w:rPr>
        <w:t xml:space="preserve">(und er soll das Mal für rein erklären) - </w:t>
      </w:r>
      <w:r w:rsidRPr="009A13B9">
        <w:rPr>
          <w:rFonts w:eastAsia="Times New Roman" w:cs="Times New Roman"/>
          <w:b/>
          <w:bCs/>
          <w:rtl/>
          <w:lang w:eastAsia="de-DE"/>
        </w:rPr>
        <w:t>טהר</w:t>
      </w:r>
      <w:r w:rsidRPr="009A13B9">
        <w:rPr>
          <w:rFonts w:eastAsia="Times New Roman" w:cs="Times New Roman"/>
          <w:rtl/>
          <w:lang w:eastAsia="de-DE"/>
        </w:rPr>
        <w:t xml:space="preserve"> </w:t>
      </w:r>
      <w:r w:rsidRPr="009A13B9">
        <w:rPr>
          <w:rFonts w:eastAsia="Times New Roman" w:cs="Times New Roman"/>
          <w:lang w:eastAsia="de-DE"/>
        </w:rPr>
        <w:t xml:space="preserve">(rein erklären) im Piel-Perfekt mit Waw-Konsekutiv ist paradox nach der totalen Ausbreitung. </w:t>
      </w:r>
      <w:r w:rsidRPr="009A13B9">
        <w:rPr>
          <w:rFonts w:eastAsia="Times New Roman" w:cs="Times New Roman"/>
          <w:b/>
          <w:bCs/>
          <w:rtl/>
          <w:lang w:eastAsia="de-DE"/>
        </w:rPr>
        <w:t>כלו הפך לבן</w:t>
      </w:r>
      <w:r w:rsidRPr="009A13B9">
        <w:rPr>
          <w:rFonts w:eastAsia="Times New Roman" w:cs="Times New Roman"/>
          <w:rtl/>
          <w:lang w:eastAsia="de-DE"/>
        </w:rPr>
        <w:t xml:space="preserve"> </w:t>
      </w:r>
      <w:r w:rsidRPr="009A13B9">
        <w:rPr>
          <w:rFonts w:eastAsia="Times New Roman" w:cs="Times New Roman"/>
          <w:lang w:eastAsia="de-DE"/>
        </w:rPr>
        <w:t xml:space="preserve">(es ist ganz weiß geworden) - </w:t>
      </w:r>
      <w:r w:rsidRPr="009A13B9">
        <w:rPr>
          <w:rFonts w:eastAsia="Times New Roman" w:cs="Times New Roman"/>
          <w:b/>
          <w:bCs/>
          <w:rtl/>
          <w:lang w:eastAsia="de-DE"/>
        </w:rPr>
        <w:t>כלו</w:t>
      </w:r>
      <w:r w:rsidRPr="009A13B9">
        <w:rPr>
          <w:rFonts w:eastAsia="Times New Roman" w:cs="Times New Roman"/>
          <w:rtl/>
          <w:lang w:eastAsia="de-DE"/>
        </w:rPr>
        <w:t xml:space="preserve"> </w:t>
      </w:r>
      <w:r w:rsidRPr="009A13B9">
        <w:rPr>
          <w:rFonts w:eastAsia="Times New Roman" w:cs="Times New Roman"/>
          <w:lang w:eastAsia="de-DE"/>
        </w:rPr>
        <w:t xml:space="preserve">(ganz/völlig) mit </w:t>
      </w:r>
      <w:r w:rsidRPr="009A13B9">
        <w:rPr>
          <w:rFonts w:eastAsia="Times New Roman" w:cs="Times New Roman"/>
          <w:b/>
          <w:bCs/>
          <w:rtl/>
          <w:lang w:eastAsia="de-DE"/>
        </w:rPr>
        <w:t>הפך לבן</w:t>
      </w:r>
      <w:r w:rsidRPr="009A13B9">
        <w:rPr>
          <w:rFonts w:eastAsia="Times New Roman" w:cs="Times New Roman"/>
          <w:rtl/>
          <w:lang w:eastAsia="de-DE"/>
        </w:rPr>
        <w:t xml:space="preserve"> </w:t>
      </w:r>
      <w:r w:rsidRPr="009A13B9">
        <w:rPr>
          <w:rFonts w:eastAsia="Times New Roman" w:cs="Times New Roman"/>
          <w:lang w:eastAsia="de-DE"/>
        </w:rPr>
        <w:t xml:space="preserve">(hat sich in Weiß verwandelt).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 xml:space="preserve">(rein ist er) mit emphatischem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bekräftigt die Reinheit.</w:t>
      </w:r>
    </w:p>
    <w:p w14:paraId="295DE9B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כסתה הצרעת את־כל־בשרו</w:t>
      </w:r>
      <w:r w:rsidRPr="009A13B9">
        <w:rPr>
          <w:rFonts w:eastAsia="Times New Roman" w:cs="Times New Roman"/>
          <w:rtl/>
          <w:lang w:eastAsia="de-DE"/>
        </w:rPr>
        <w:t xml:space="preserve"> </w:t>
      </w:r>
      <w:r w:rsidRPr="009A13B9">
        <w:rPr>
          <w:rFonts w:eastAsia="Times New Roman" w:cs="Times New Roman"/>
          <w:lang w:eastAsia="de-DE"/>
        </w:rPr>
        <w:t xml:space="preserve">wiederholt die Totalität aus V. 12. </w:t>
      </w:r>
      <w:r w:rsidRPr="009A13B9">
        <w:rPr>
          <w:rFonts w:eastAsia="Times New Roman" w:cs="Times New Roman"/>
          <w:b/>
          <w:bCs/>
          <w:rtl/>
          <w:lang w:eastAsia="de-DE"/>
        </w:rPr>
        <w:t>וטהר את־הנגע</w:t>
      </w:r>
      <w:r w:rsidRPr="009A13B9">
        <w:rPr>
          <w:rFonts w:eastAsia="Times New Roman" w:cs="Times New Roman"/>
          <w:rtl/>
          <w:lang w:eastAsia="de-DE"/>
        </w:rPr>
        <w:t xml:space="preserve"> </w:t>
      </w:r>
      <w:r w:rsidRPr="009A13B9">
        <w:rPr>
          <w:rFonts w:eastAsia="Times New Roman" w:cs="Times New Roman"/>
          <w:lang w:eastAsia="de-DE"/>
        </w:rPr>
        <w:t xml:space="preserve">als überraschende Wendung - totale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führt zu Reinheitserklärung. </w:t>
      </w:r>
      <w:r w:rsidRPr="009A13B9">
        <w:rPr>
          <w:rFonts w:eastAsia="Times New Roman" w:cs="Times New Roman"/>
          <w:b/>
          <w:bCs/>
          <w:rtl/>
          <w:lang w:eastAsia="de-DE"/>
        </w:rPr>
        <w:t>כלו הפך לבן</w:t>
      </w:r>
      <w:r w:rsidRPr="009A13B9">
        <w:rPr>
          <w:rFonts w:eastAsia="Times New Roman" w:cs="Times New Roman"/>
          <w:rtl/>
          <w:lang w:eastAsia="de-DE"/>
        </w:rPr>
        <w:t xml:space="preserve"> </w:t>
      </w:r>
      <w:r w:rsidRPr="009A13B9">
        <w:rPr>
          <w:rFonts w:eastAsia="Times New Roman" w:cs="Times New Roman"/>
          <w:lang w:eastAsia="de-DE"/>
        </w:rPr>
        <w:t xml:space="preserve">begründet das Paradox: vollständige Weißfärbung wird als Heilung interpretiert.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bekräftigt die endgültige Reinheit.</w:t>
      </w:r>
    </w:p>
    <w:p w14:paraId="12DB7EC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כסתה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ἐκάλυψεν</w:t>
      </w:r>
      <w:proofErr w:type="spellEnd"/>
      <w:r w:rsidRPr="009A13B9">
        <w:rPr>
          <w:rFonts w:eastAsia="Times New Roman" w:cs="Times New Roman"/>
          <w:lang w:eastAsia="de-DE"/>
        </w:rPr>
        <w:t xml:space="preserve"> (bedeckte), </w:t>
      </w:r>
      <w:r w:rsidRPr="009A13B9">
        <w:rPr>
          <w:rFonts w:eastAsia="Times New Roman" w:cs="Times New Roman"/>
          <w:b/>
          <w:bCs/>
          <w:rtl/>
          <w:lang w:eastAsia="de-DE"/>
        </w:rPr>
        <w:t>וטהר</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ριεῖ</w:t>
      </w:r>
      <w:proofErr w:type="spellEnd"/>
      <w:r w:rsidRPr="009A13B9">
        <w:rPr>
          <w:rFonts w:eastAsia="Times New Roman" w:cs="Times New Roman"/>
          <w:lang w:eastAsia="de-DE"/>
        </w:rPr>
        <w:t xml:space="preserve"> (er wird reinigen), </w:t>
      </w:r>
      <w:r w:rsidRPr="009A13B9">
        <w:rPr>
          <w:rFonts w:eastAsia="Times New Roman" w:cs="Times New Roman"/>
          <w:b/>
          <w:bCs/>
          <w:rtl/>
          <w:lang w:eastAsia="de-DE"/>
        </w:rPr>
        <w:t>הפך לבן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μετέ</w:t>
      </w:r>
      <w:proofErr w:type="spellEnd"/>
      <w:r w:rsidRPr="009A13B9">
        <w:rPr>
          <w:rFonts w:eastAsia="Times New Roman" w:cs="Times New Roman"/>
          <w:lang w:eastAsia="de-DE"/>
        </w:rPr>
        <w:t xml:space="preserve">βαλεν </w:t>
      </w:r>
      <w:proofErr w:type="spellStart"/>
      <w:r w:rsidRPr="009A13B9">
        <w:rPr>
          <w:rFonts w:eastAsia="Times New Roman" w:cs="Times New Roman"/>
          <w:lang w:eastAsia="de-DE"/>
        </w:rPr>
        <w:t>λευκόν</w:t>
      </w:r>
      <w:proofErr w:type="spellEnd"/>
      <w:r w:rsidRPr="009A13B9">
        <w:rPr>
          <w:rFonts w:eastAsia="Times New Roman" w:cs="Times New Roman"/>
          <w:lang w:eastAsia="de-DE"/>
        </w:rPr>
        <w:t xml:space="preserve"> (verwandelte sich weiß) und </w:t>
      </w:r>
      <w:r w:rsidRPr="009A13B9">
        <w:rPr>
          <w:rFonts w:eastAsia="Times New Roman" w:cs="Times New Roman"/>
          <w:b/>
          <w:bCs/>
          <w:rtl/>
          <w:lang w:eastAsia="de-DE"/>
        </w:rPr>
        <w:t>טהור</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ρός</w:t>
      </w:r>
      <w:proofErr w:type="spellEnd"/>
      <w:r w:rsidRPr="009A13B9">
        <w:rPr>
          <w:rFonts w:eastAsia="Times New Roman" w:cs="Times New Roman"/>
          <w:lang w:eastAsia="de-DE"/>
        </w:rPr>
        <w:t xml:space="preserve"> (rein).</w:t>
      </w:r>
    </w:p>
    <w:p w14:paraId="099A55D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medizinisches Paradox: priesterliche Untersuchung + bestätigte Totalität + überraschende Reinheitserklärung + Begründung durch totale Farbveränderung + bekräftigende Reinheitsaussage. Die Struktur enthüllt das medizinische Paradox.</w:t>
      </w:r>
    </w:p>
    <w:p w14:paraId="00DC7EB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offenbart das bemerkenswerte Paradox: totale </w:t>
      </w:r>
      <w:r w:rsidRPr="009A13B9">
        <w:rPr>
          <w:rFonts w:eastAsia="Times New Roman" w:cs="Times New Roman"/>
          <w:b/>
          <w:bCs/>
          <w:rtl/>
          <w:lang w:eastAsia="de-DE"/>
        </w:rPr>
        <w:t>צרעת</w:t>
      </w:r>
      <w:r w:rsidRPr="009A13B9">
        <w:rPr>
          <w:rFonts w:eastAsia="Times New Roman" w:cs="Times New Roman"/>
          <w:lang w:eastAsia="de-DE"/>
        </w:rPr>
        <w:t>-Ausbreitung mit vollständiger Weißfärbung gilt als Heilung und führt zur Reinheitserklärung.</w:t>
      </w:r>
    </w:p>
    <w:p w14:paraId="25F4EE65"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13,14</w:t>
      </w:r>
    </w:p>
    <w:p w14:paraId="406A64F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וּבְי֨וֹם הֵרָא֥וֹת בּוֹ֛ בָּשָׂ֥ר חַ֖י יִטְמָֽא׃</w:t>
      </w:r>
    </w:p>
    <w:p w14:paraId="4CB05FF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Aber an dem Tag, da lebendiges Fleisch an ihm gesehen wird, wird er unrein sein.</w:t>
      </w:r>
    </w:p>
    <w:p w14:paraId="255F3FA2"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CC2E179">
          <v:rect id="_x0000_i1345" style="width:0;height:1.5pt" o:hralign="center" o:hrstd="t" o:hr="t" fillcolor="#a0a0a0" stroked="f"/>
        </w:pict>
      </w:r>
    </w:p>
    <w:p w14:paraId="5218F1B5" w14:textId="73F78F1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וביום הראות בו בשר חי יטמא</w:t>
      </w:r>
      <w:r w:rsidRPr="009A13B9">
        <w:rPr>
          <w:rFonts w:eastAsia="Times New Roman" w:cs="Times New Roman"/>
          <w:rtl/>
          <w:lang w:eastAsia="de-DE"/>
        </w:rPr>
        <w:t xml:space="preserve"> </w:t>
      </w:r>
      <w:r w:rsidRPr="009A13B9">
        <w:rPr>
          <w:rFonts w:eastAsia="Times New Roman" w:cs="Times New Roman"/>
          <w:lang w:eastAsia="de-DE"/>
        </w:rPr>
        <w:t xml:space="preserve">zeigt die entscheidende Ausnahme zur Reinheitsregel aus V. 13. </w:t>
      </w:r>
      <w:r w:rsidRPr="009A13B9">
        <w:rPr>
          <w:rFonts w:eastAsia="Times New Roman" w:cs="Times New Roman"/>
          <w:b/>
          <w:bCs/>
          <w:rtl/>
          <w:lang w:eastAsia="de-DE"/>
        </w:rPr>
        <w:t>וביום הראות</w:t>
      </w:r>
      <w:r w:rsidRPr="009A13B9">
        <w:rPr>
          <w:rFonts w:eastAsia="Times New Roman" w:cs="Times New Roman"/>
          <w:rtl/>
          <w:lang w:eastAsia="de-DE"/>
        </w:rPr>
        <w:t xml:space="preserve"> </w:t>
      </w:r>
      <w:r w:rsidRPr="009A13B9">
        <w:rPr>
          <w:rFonts w:eastAsia="Times New Roman" w:cs="Times New Roman"/>
          <w:lang w:eastAsia="de-DE"/>
        </w:rPr>
        <w:t xml:space="preserve">(und am Tag des Gesehen-Werdens) - </w:t>
      </w:r>
      <w:r w:rsidRPr="009A13B9">
        <w:rPr>
          <w:rFonts w:eastAsia="Times New Roman" w:cs="Times New Roman"/>
          <w:b/>
          <w:bCs/>
          <w:rtl/>
          <w:lang w:eastAsia="de-DE"/>
        </w:rPr>
        <w:t>יום</w:t>
      </w:r>
      <w:r w:rsidRPr="009A13B9">
        <w:rPr>
          <w:rFonts w:eastAsia="Times New Roman" w:cs="Times New Roman"/>
          <w:rtl/>
          <w:lang w:eastAsia="de-DE"/>
        </w:rPr>
        <w:t xml:space="preserve"> </w:t>
      </w:r>
      <w:r w:rsidRPr="009A13B9">
        <w:rPr>
          <w:rFonts w:eastAsia="Times New Roman" w:cs="Times New Roman"/>
          <w:lang w:eastAsia="de-DE"/>
        </w:rPr>
        <w:t xml:space="preserve">(Tag) mit </w:t>
      </w:r>
      <w:r w:rsidRPr="009A13B9">
        <w:rPr>
          <w:rFonts w:eastAsia="Times New Roman" w:cs="Times New Roman"/>
          <w:b/>
          <w:bCs/>
          <w:rtl/>
          <w:lang w:eastAsia="de-DE"/>
        </w:rPr>
        <w:t>הראות</w:t>
      </w:r>
      <w:r w:rsidRPr="009A13B9">
        <w:rPr>
          <w:rFonts w:eastAsia="Times New Roman" w:cs="Times New Roman"/>
          <w:rtl/>
          <w:lang w:eastAsia="de-DE"/>
        </w:rPr>
        <w:t xml:space="preserve"> </w:t>
      </w:r>
      <w:r w:rsidRPr="009A13B9">
        <w:rPr>
          <w:rFonts w:eastAsia="Times New Roman" w:cs="Times New Roman"/>
          <w:lang w:eastAsia="de-DE"/>
        </w:rPr>
        <w:t>als Nifal-Infinitiv-</w:t>
      </w:r>
      <w:r w:rsidR="005407E2">
        <w:rPr>
          <w:rFonts w:eastAsia="Times New Roman" w:cs="Times New Roman"/>
          <w:lang w:eastAsia="de-DE"/>
        </w:rPr>
        <w:t>Constructus</w:t>
      </w:r>
      <w:r w:rsidRPr="009A13B9">
        <w:rPr>
          <w:rFonts w:eastAsia="Times New Roman" w:cs="Times New Roman"/>
          <w:lang w:eastAsia="de-DE"/>
        </w:rPr>
        <w:t xml:space="preserve"> von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 xml:space="preserve">(sehen). </w:t>
      </w:r>
      <w:r w:rsidRPr="009A13B9">
        <w:rPr>
          <w:rFonts w:eastAsia="Times New Roman" w:cs="Times New Roman"/>
          <w:b/>
          <w:bCs/>
          <w:rtl/>
          <w:lang w:eastAsia="de-DE"/>
        </w:rPr>
        <w:t>בו בשר חי</w:t>
      </w:r>
      <w:r w:rsidRPr="009A13B9">
        <w:rPr>
          <w:rFonts w:eastAsia="Times New Roman" w:cs="Times New Roman"/>
          <w:rtl/>
          <w:lang w:eastAsia="de-DE"/>
        </w:rPr>
        <w:t xml:space="preserve"> </w:t>
      </w:r>
      <w:r w:rsidRPr="009A13B9">
        <w:rPr>
          <w:rFonts w:eastAsia="Times New Roman" w:cs="Times New Roman"/>
          <w:lang w:eastAsia="de-DE"/>
        </w:rPr>
        <w:t xml:space="preserve">(an ihm lebendiges Fleisch) -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(lebendiges Fleisch) bezeichnet rohe, ungeheilte Hautstellen. </w:t>
      </w:r>
      <w:r w:rsidRPr="009A13B9">
        <w:rPr>
          <w:rFonts w:eastAsia="Times New Roman" w:cs="Times New Roman"/>
          <w:b/>
          <w:bCs/>
          <w:rtl/>
          <w:lang w:eastAsia="de-DE"/>
        </w:rPr>
        <w:t>יטמא</w:t>
      </w:r>
      <w:r w:rsidRPr="009A13B9">
        <w:rPr>
          <w:rFonts w:eastAsia="Times New Roman" w:cs="Times New Roman"/>
          <w:rtl/>
          <w:lang w:eastAsia="de-DE"/>
        </w:rPr>
        <w:t xml:space="preserve"> </w:t>
      </w:r>
      <w:r w:rsidRPr="009A13B9">
        <w:rPr>
          <w:rFonts w:eastAsia="Times New Roman" w:cs="Times New Roman"/>
          <w:lang w:eastAsia="de-DE"/>
        </w:rPr>
        <w:t>(er wird unrein) im Qal-Imperfekt zeigt automatische Unreinheit.</w:t>
      </w:r>
    </w:p>
    <w:p w14:paraId="21FD8E0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הראות בו</w:t>
      </w:r>
      <w:r w:rsidRPr="009A13B9">
        <w:rPr>
          <w:rFonts w:eastAsia="Times New Roman" w:cs="Times New Roman"/>
          <w:rtl/>
          <w:lang w:eastAsia="de-DE"/>
        </w:rPr>
        <w:t xml:space="preserve"> </w:t>
      </w:r>
      <w:r w:rsidRPr="009A13B9">
        <w:rPr>
          <w:rFonts w:eastAsia="Times New Roman" w:cs="Times New Roman"/>
          <w:lang w:eastAsia="de-DE"/>
        </w:rPr>
        <w:t xml:space="preserve">zeigt sichtbares Auftreten der Hautveränderung.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als medizinischer Terminus für offene, nicht verheilte Wunden oder rohe Fleischstellen. </w:t>
      </w:r>
      <w:r w:rsidRPr="009A13B9">
        <w:rPr>
          <w:rFonts w:eastAsia="Times New Roman" w:cs="Times New Roman"/>
          <w:b/>
          <w:bCs/>
          <w:rtl/>
          <w:lang w:eastAsia="de-DE"/>
        </w:rPr>
        <w:t>יטמא</w:t>
      </w:r>
      <w:r w:rsidRPr="009A13B9">
        <w:rPr>
          <w:rFonts w:eastAsia="Times New Roman" w:cs="Times New Roman"/>
          <w:rtl/>
          <w:lang w:eastAsia="de-DE"/>
        </w:rPr>
        <w:t xml:space="preserve"> </w:t>
      </w:r>
      <w:r w:rsidRPr="009A13B9">
        <w:rPr>
          <w:rFonts w:eastAsia="Times New Roman" w:cs="Times New Roman"/>
          <w:lang w:eastAsia="de-DE"/>
        </w:rPr>
        <w:t>zeigt automatische Unreinheit ohne weitere priesterliche Ermessensentscheidung.</w:t>
      </w:r>
    </w:p>
    <w:p w14:paraId="173DDA1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Das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(lebendige Fleisch) hebt die Reinheit der totalen Weißfärbung aus V. 13 sofort auf. </w:t>
      </w:r>
      <w:r w:rsidRPr="009A13B9">
        <w:rPr>
          <w:rFonts w:eastAsia="Times New Roman" w:cs="Times New Roman"/>
          <w:b/>
          <w:bCs/>
          <w:rtl/>
          <w:lang w:eastAsia="de-DE"/>
        </w:rPr>
        <w:t>ביום</w:t>
      </w:r>
      <w:r w:rsidRPr="009A13B9">
        <w:rPr>
          <w:rFonts w:eastAsia="Times New Roman" w:cs="Times New Roman"/>
          <w:rtl/>
          <w:lang w:eastAsia="de-DE"/>
        </w:rPr>
        <w:t xml:space="preserve"> </w:t>
      </w:r>
      <w:r w:rsidRPr="009A13B9">
        <w:rPr>
          <w:rFonts w:eastAsia="Times New Roman" w:cs="Times New Roman"/>
          <w:lang w:eastAsia="de-DE"/>
        </w:rPr>
        <w:t>(am Tag) zeigt die Unmittelbarkeit der Unreinheitserklärung. Dies zeigt, dass die Reinheit bei totaler Weißfärbung nur bei vollständiger Verheilung gilt.</w:t>
      </w:r>
    </w:p>
    <w:p w14:paraId="3AE4656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LXX</w:t>
      </w:r>
      <w:r w:rsidRPr="009A13B9">
        <w:rPr>
          <w:rFonts w:eastAsia="Times New Roman" w:cs="Times New Roman"/>
          <w:lang w:eastAsia="de-DE"/>
        </w:rPr>
        <w:t xml:space="preserve"> übersetzt </w:t>
      </w:r>
      <w:r w:rsidRPr="009A13B9">
        <w:rPr>
          <w:rFonts w:eastAsia="Times New Roman" w:cs="Times New Roman"/>
          <w:b/>
          <w:bCs/>
          <w:rtl/>
          <w:lang w:eastAsia="de-DE"/>
        </w:rPr>
        <w:t>ביום הראות</w:t>
      </w:r>
      <w:r w:rsidRPr="009A13B9">
        <w:rPr>
          <w:rFonts w:eastAsia="Times New Roman" w:cs="Times New Roman"/>
          <w:rtl/>
          <w:lang w:eastAsia="de-DE"/>
        </w:rPr>
        <w:t xml:space="preserve"> </w:t>
      </w:r>
      <w:r w:rsidRPr="009A13B9">
        <w:rPr>
          <w:rFonts w:eastAsia="Times New Roman" w:cs="Times New Roman"/>
          <w:lang w:eastAsia="de-DE"/>
        </w:rPr>
        <w:t xml:space="preserve">mit ᾗ </w:t>
      </w:r>
      <w:proofErr w:type="spellStart"/>
      <w:r w:rsidRPr="009A13B9">
        <w:rPr>
          <w:rFonts w:eastAsia="Times New Roman" w:cs="Times New Roman"/>
          <w:lang w:eastAsia="de-DE"/>
        </w:rPr>
        <w:t>ἂν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ἡμέρᾳ</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ὀφθῇ</w:t>
      </w:r>
      <w:proofErr w:type="spellEnd"/>
      <w:r w:rsidRPr="009A13B9">
        <w:rPr>
          <w:rFonts w:eastAsia="Times New Roman" w:cs="Times New Roman"/>
          <w:lang w:eastAsia="de-DE"/>
        </w:rPr>
        <w:t xml:space="preserve"> (an welchem Tag auch immer gesehen wird),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σὰρξ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ζῶσ</w:t>
      </w:r>
      <w:proofErr w:type="spellEnd"/>
      <w:r w:rsidRPr="009A13B9">
        <w:rPr>
          <w:rFonts w:eastAsia="Times New Roman" w:cs="Times New Roman"/>
          <w:lang w:eastAsia="de-DE"/>
        </w:rPr>
        <w:t xml:space="preserve">α (lebendiges Fleisch) und </w:t>
      </w:r>
      <w:r w:rsidRPr="009A13B9">
        <w:rPr>
          <w:rFonts w:eastAsia="Times New Roman" w:cs="Times New Roman"/>
          <w:b/>
          <w:bCs/>
          <w:rtl/>
          <w:lang w:eastAsia="de-DE"/>
        </w:rPr>
        <w:t>יטמא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ἀκ</w:t>
      </w:r>
      <w:proofErr w:type="spellEnd"/>
      <w:r w:rsidRPr="009A13B9">
        <w:rPr>
          <w:rFonts w:eastAsia="Times New Roman" w:cs="Times New Roman"/>
          <w:lang w:eastAsia="de-DE"/>
        </w:rPr>
        <w:t>αθαρισθήσεται (wird unrein werden).</w:t>
      </w:r>
    </w:p>
    <w:p w14:paraId="6712A0A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kritische Ausnahme: temporale Klausel + Sichtbarkeit des kritischen Merkmals + automatische Unreinheit. Die knappe Struktur betont die Absolutheit der Ausnahme.</w:t>
      </w:r>
    </w:p>
    <w:p w14:paraId="50A9A2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etabliert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als kritisches Kriterium, das die Reinheit der totalen Weißfärbung sofort aufhebt.</w:t>
      </w:r>
    </w:p>
    <w:p w14:paraId="16C50F77"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13,15</w:t>
      </w:r>
    </w:p>
    <w:p w14:paraId="20EEFC6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אֶת־הַבָּשָׂ֥ר הַחַ֖י וְטִמְּאֹ֑ו הַבָּשָׂ֥ר הַחַ֛י טָמֵ֥א ה֖וּא צָרַ֥עַת הֽוּא׃</w:t>
      </w:r>
    </w:p>
    <w:p w14:paraId="0B54FF4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das lebendige Fleisch sieht, so soll er ihn für unrein erklären; das lebendige Fleisch ist unrein: es ist Aussatz.</w:t>
      </w:r>
    </w:p>
    <w:p w14:paraId="56D18801"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B50AFF4">
          <v:rect id="_x0000_i1346" style="width:0;height:1.5pt" o:hralign="center" o:hrstd="t" o:hr="t" fillcolor="#a0a0a0" stroked="f"/>
        </w:pict>
      </w:r>
    </w:p>
    <w:p w14:paraId="3F5B5FF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את־הבשר החי וטמאו</w:t>
      </w:r>
      <w:r w:rsidRPr="009A13B9">
        <w:rPr>
          <w:rFonts w:eastAsia="Times New Roman" w:cs="Times New Roman"/>
          <w:rtl/>
          <w:lang w:eastAsia="de-DE"/>
        </w:rPr>
        <w:t xml:space="preserve"> </w:t>
      </w:r>
      <w:r w:rsidRPr="009A13B9">
        <w:rPr>
          <w:rFonts w:eastAsia="Times New Roman" w:cs="Times New Roman"/>
          <w:lang w:eastAsia="de-DE"/>
        </w:rPr>
        <w:t xml:space="preserve">zeigt die priesterliche Bestätigung.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entspricht der diagnostischen Untersuchung. </w:t>
      </w:r>
      <w:r w:rsidRPr="009A13B9">
        <w:rPr>
          <w:rFonts w:eastAsia="Times New Roman" w:cs="Times New Roman"/>
          <w:b/>
          <w:bCs/>
          <w:rtl/>
          <w:lang w:eastAsia="de-DE"/>
        </w:rPr>
        <w:t>את־הבשר החי</w:t>
      </w:r>
      <w:r w:rsidRPr="009A13B9">
        <w:rPr>
          <w:rFonts w:eastAsia="Times New Roman" w:cs="Times New Roman"/>
          <w:rtl/>
          <w:lang w:eastAsia="de-DE"/>
        </w:rPr>
        <w:t xml:space="preserve"> </w:t>
      </w:r>
      <w:r w:rsidRPr="009A13B9">
        <w:rPr>
          <w:rFonts w:eastAsia="Times New Roman" w:cs="Times New Roman"/>
          <w:lang w:eastAsia="de-DE"/>
        </w:rPr>
        <w:t xml:space="preserve">(das lebendige Fleisch) als direktes Objekt der Untersuchung. </w:t>
      </w:r>
      <w:r w:rsidRPr="009A13B9">
        <w:rPr>
          <w:rFonts w:eastAsia="Times New Roman" w:cs="Times New Roman"/>
          <w:b/>
          <w:bCs/>
          <w:rtl/>
          <w:lang w:eastAsia="de-DE"/>
        </w:rPr>
        <w:t>וטמאו</w:t>
      </w:r>
      <w:r w:rsidRPr="009A13B9">
        <w:rPr>
          <w:rFonts w:eastAsia="Times New Roman" w:cs="Times New Roman"/>
          <w:rtl/>
          <w:lang w:eastAsia="de-DE"/>
        </w:rPr>
        <w:t xml:space="preserve"> </w:t>
      </w:r>
      <w:r w:rsidRPr="009A13B9">
        <w:rPr>
          <w:rFonts w:eastAsia="Times New Roman" w:cs="Times New Roman"/>
          <w:lang w:eastAsia="de-DE"/>
        </w:rPr>
        <w:t xml:space="preserve">(und er soll ihn für unrein erklären) - </w:t>
      </w:r>
      <w:r w:rsidRPr="009A13B9">
        <w:rPr>
          <w:rFonts w:eastAsia="Times New Roman" w:cs="Times New Roman"/>
          <w:b/>
          <w:bCs/>
          <w:rtl/>
          <w:lang w:eastAsia="de-DE"/>
        </w:rPr>
        <w:t>טמא</w:t>
      </w:r>
      <w:r w:rsidRPr="009A13B9">
        <w:rPr>
          <w:rFonts w:eastAsia="Times New Roman" w:cs="Times New Roman"/>
          <w:rtl/>
          <w:lang w:eastAsia="de-DE"/>
        </w:rPr>
        <w:t xml:space="preserve"> </w:t>
      </w:r>
      <w:r w:rsidRPr="009A13B9">
        <w:rPr>
          <w:rFonts w:eastAsia="Times New Roman" w:cs="Times New Roman"/>
          <w:lang w:eastAsia="de-DE"/>
        </w:rPr>
        <w:t>(unrein erklären) im Piel-Perfekt mit Waw-Konsekutiv und Objektsuffix 3. Person maskulin Singular.</w:t>
      </w:r>
    </w:p>
    <w:p w14:paraId="2F7D32CA" w14:textId="3BD43B0C"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הבשר החי טמא הוא צרעת הוא</w:t>
      </w:r>
      <w:r w:rsidRPr="009A13B9">
        <w:rPr>
          <w:rFonts w:eastAsia="Times New Roman" w:cs="Times New Roman"/>
          <w:rtl/>
          <w:lang w:eastAsia="de-DE"/>
        </w:rPr>
        <w:t xml:space="preserve"> </w:t>
      </w:r>
      <w:r w:rsidRPr="009A13B9">
        <w:rPr>
          <w:rFonts w:eastAsia="Times New Roman" w:cs="Times New Roman"/>
          <w:lang w:eastAsia="de-DE"/>
        </w:rPr>
        <w:t xml:space="preserve">bekräftigt die Diagnose mit doppelter </w:t>
      </w:r>
      <w:r w:rsidR="0047575E" w:rsidRPr="009A13B9">
        <w:rPr>
          <w:rFonts w:eastAsia="Times New Roman" w:cs="Times New Roman"/>
          <w:lang w:eastAsia="de-DE"/>
        </w:rPr>
        <w:t>Emphase</w:t>
      </w:r>
      <w:r w:rsidRPr="009A13B9">
        <w:rPr>
          <w:rFonts w:eastAsia="Times New Roman" w:cs="Times New Roman"/>
          <w:lang w:eastAsia="de-DE"/>
        </w:rPr>
        <w:t xml:space="preserve">. </w:t>
      </w:r>
      <w:r w:rsidRPr="009A13B9">
        <w:rPr>
          <w:rFonts w:eastAsia="Times New Roman" w:cs="Times New Roman"/>
          <w:b/>
          <w:bCs/>
          <w:rtl/>
          <w:lang w:eastAsia="de-DE"/>
        </w:rPr>
        <w:t>הבשר החי טמא הוא</w:t>
      </w:r>
      <w:r w:rsidRPr="009A13B9">
        <w:rPr>
          <w:rFonts w:eastAsia="Times New Roman" w:cs="Times New Roman"/>
          <w:rtl/>
          <w:lang w:eastAsia="de-DE"/>
        </w:rPr>
        <w:t xml:space="preserve"> </w:t>
      </w:r>
      <w:r w:rsidRPr="009A13B9">
        <w:rPr>
          <w:rFonts w:eastAsia="Times New Roman" w:cs="Times New Roman"/>
          <w:lang w:eastAsia="de-DE"/>
        </w:rPr>
        <w:t xml:space="preserve">(das lebendige Fleisch ist unrein)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צרעת הוא</w:t>
      </w:r>
      <w:r w:rsidRPr="009A13B9">
        <w:rPr>
          <w:rFonts w:eastAsia="Times New Roman" w:cs="Times New Roman"/>
          <w:rtl/>
          <w:lang w:eastAsia="de-DE"/>
        </w:rPr>
        <w:t xml:space="preserve"> </w:t>
      </w:r>
      <w:r w:rsidRPr="009A13B9">
        <w:rPr>
          <w:rFonts w:eastAsia="Times New Roman" w:cs="Times New Roman"/>
          <w:lang w:eastAsia="de-DE"/>
        </w:rPr>
        <w:t xml:space="preserve">(Aussatz ist es) mit erneutem emphatischem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 xml:space="preserve">bekräftigt die definitive </w:t>
      </w:r>
      <w:r w:rsidRPr="009A13B9">
        <w:rPr>
          <w:rFonts w:eastAsia="Times New Roman" w:cs="Times New Roman"/>
          <w:b/>
          <w:bCs/>
          <w:rtl/>
          <w:lang w:eastAsia="de-DE"/>
        </w:rPr>
        <w:t>צרעת</w:t>
      </w:r>
      <w:r w:rsidRPr="009A13B9">
        <w:rPr>
          <w:rFonts w:eastAsia="Times New Roman" w:cs="Times New Roman"/>
          <w:lang w:eastAsia="de-DE"/>
        </w:rPr>
        <w:t>-Diagnose.</w:t>
      </w:r>
    </w:p>
    <w:p w14:paraId="711241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וראה הכהן את־הבשר החי</w:t>
      </w:r>
      <w:r w:rsidRPr="009A13B9">
        <w:rPr>
          <w:rFonts w:eastAsia="Times New Roman" w:cs="Times New Roman"/>
          <w:rtl/>
          <w:lang w:eastAsia="de-DE"/>
        </w:rPr>
        <w:t xml:space="preserve"> </w:t>
      </w:r>
      <w:r w:rsidRPr="009A13B9">
        <w:rPr>
          <w:rFonts w:eastAsia="Times New Roman" w:cs="Times New Roman"/>
          <w:lang w:eastAsia="de-DE"/>
        </w:rPr>
        <w:t xml:space="preserve">zeigt, dass auch bei totaler Weißfärbung weiterhin priesterliche Untersuchung erforderlich ist. </w:t>
      </w:r>
      <w:r w:rsidRPr="009A13B9">
        <w:rPr>
          <w:rFonts w:eastAsia="Times New Roman" w:cs="Times New Roman"/>
          <w:b/>
          <w:bCs/>
          <w:rtl/>
          <w:lang w:eastAsia="de-DE"/>
        </w:rPr>
        <w:t>הבשר החי טמא הוא</w:t>
      </w:r>
      <w:r w:rsidRPr="009A13B9">
        <w:rPr>
          <w:rFonts w:eastAsia="Times New Roman" w:cs="Times New Roman"/>
          <w:rtl/>
          <w:lang w:eastAsia="de-DE"/>
        </w:rPr>
        <w:t xml:space="preserve"> </w:t>
      </w:r>
      <w:r w:rsidRPr="009A13B9">
        <w:rPr>
          <w:rFonts w:eastAsia="Times New Roman" w:cs="Times New Roman"/>
          <w:lang w:eastAsia="de-DE"/>
        </w:rPr>
        <w:t xml:space="preserve">kategorisiert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als grundsätzlich unrein. </w:t>
      </w:r>
      <w:r w:rsidRPr="009A13B9">
        <w:rPr>
          <w:rFonts w:eastAsia="Times New Roman" w:cs="Times New Roman"/>
          <w:b/>
          <w:bCs/>
          <w:rtl/>
          <w:lang w:eastAsia="de-DE"/>
        </w:rPr>
        <w:t>צרעת הוא</w:t>
      </w:r>
      <w:r w:rsidRPr="009A13B9">
        <w:rPr>
          <w:rFonts w:eastAsia="Times New Roman" w:cs="Times New Roman"/>
          <w:rtl/>
          <w:lang w:eastAsia="de-DE"/>
        </w:rPr>
        <w:t xml:space="preserve"> </w:t>
      </w:r>
      <w:r w:rsidRPr="009A13B9">
        <w:rPr>
          <w:rFonts w:eastAsia="Times New Roman" w:cs="Times New Roman"/>
          <w:lang w:eastAsia="de-DE"/>
        </w:rPr>
        <w:t xml:space="preserve">klassifiziert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als eindeutiges </w:t>
      </w:r>
      <w:r w:rsidRPr="009A13B9">
        <w:rPr>
          <w:rFonts w:eastAsia="Times New Roman" w:cs="Times New Roman"/>
          <w:b/>
          <w:bCs/>
          <w:rtl/>
          <w:lang w:eastAsia="de-DE"/>
        </w:rPr>
        <w:t>צרעת</w:t>
      </w:r>
      <w:r w:rsidRPr="009A13B9">
        <w:rPr>
          <w:rFonts w:eastAsia="Times New Roman" w:cs="Times New Roman"/>
          <w:lang w:eastAsia="de-DE"/>
        </w:rPr>
        <w:t>-Zeichen.</w:t>
      </w:r>
    </w:p>
    <w:p w14:paraId="64706E4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את־הבשר החי</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τὴν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σάρκ</w:t>
      </w:r>
      <w:proofErr w:type="spellEnd"/>
      <w:r w:rsidRPr="009A13B9">
        <w:rPr>
          <w:rFonts w:eastAsia="Times New Roman" w:cs="Times New Roman"/>
          <w:lang w:eastAsia="de-DE"/>
        </w:rPr>
        <w:t xml:space="preserve">α </w:t>
      </w:r>
      <w:proofErr w:type="spellStart"/>
      <w:r w:rsidRPr="009A13B9">
        <w:rPr>
          <w:rFonts w:eastAsia="Times New Roman" w:cs="Times New Roman"/>
          <w:lang w:eastAsia="de-DE"/>
        </w:rPr>
        <w:t>τὴν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ζῶσ</w:t>
      </w:r>
      <w:proofErr w:type="spellEnd"/>
      <w:r w:rsidRPr="009A13B9">
        <w:rPr>
          <w:rFonts w:eastAsia="Times New Roman" w:cs="Times New Roman"/>
          <w:lang w:eastAsia="de-DE"/>
        </w:rPr>
        <w:t xml:space="preserve">αν (das lebendige Fleisch), </w:t>
      </w:r>
      <w:r w:rsidRPr="009A13B9">
        <w:rPr>
          <w:rFonts w:eastAsia="Times New Roman" w:cs="Times New Roman"/>
          <w:b/>
          <w:bCs/>
          <w:rtl/>
          <w:lang w:eastAsia="de-DE"/>
        </w:rPr>
        <w:t>וטמאו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μι</w:t>
      </w:r>
      <w:proofErr w:type="spellEnd"/>
      <w:r w:rsidRPr="009A13B9">
        <w:rPr>
          <w:rFonts w:eastAsia="Times New Roman" w:cs="Times New Roman"/>
          <w:lang w:eastAsia="de-DE"/>
        </w:rPr>
        <w:t>ανεῖ α</w:t>
      </w:r>
      <w:proofErr w:type="spellStart"/>
      <w:r w:rsidRPr="009A13B9">
        <w:rPr>
          <w:rFonts w:eastAsia="Times New Roman" w:cs="Times New Roman"/>
          <w:lang w:eastAsia="de-DE"/>
        </w:rPr>
        <w:t>ὐτόν</w:t>
      </w:r>
      <w:proofErr w:type="spellEnd"/>
      <w:r w:rsidRPr="009A13B9">
        <w:rPr>
          <w:rFonts w:eastAsia="Times New Roman" w:cs="Times New Roman"/>
          <w:lang w:eastAsia="de-DE"/>
        </w:rPr>
        <w:t xml:space="preserve"> (er wird ihn verunreinigen) und </w:t>
      </w:r>
      <w:r w:rsidRPr="009A13B9">
        <w:rPr>
          <w:rFonts w:eastAsia="Times New Roman" w:cs="Times New Roman"/>
          <w:b/>
          <w:bCs/>
          <w:rtl/>
          <w:lang w:eastAsia="de-DE"/>
        </w:rPr>
        <w:t>צרעת הוא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λέ</w:t>
      </w:r>
      <w:proofErr w:type="spellEnd"/>
      <w:r w:rsidRPr="009A13B9">
        <w:rPr>
          <w:rFonts w:eastAsia="Times New Roman" w:cs="Times New Roman"/>
          <w:lang w:eastAsia="de-DE"/>
        </w:rPr>
        <w:t xml:space="preserve">πρα </w:t>
      </w:r>
      <w:proofErr w:type="spellStart"/>
      <w:r w:rsidRPr="009A13B9">
        <w:rPr>
          <w:rFonts w:eastAsia="Times New Roman" w:cs="Times New Roman"/>
          <w:lang w:eastAsia="de-DE"/>
        </w:rPr>
        <w:t>ἐστίν</w:t>
      </w:r>
      <w:proofErr w:type="spellEnd"/>
      <w:r w:rsidRPr="009A13B9">
        <w:rPr>
          <w:rFonts w:eastAsia="Times New Roman" w:cs="Times New Roman"/>
          <w:lang w:eastAsia="de-DE"/>
        </w:rPr>
        <w:t xml:space="preserve"> (Lepra ist es).</w:t>
      </w:r>
    </w:p>
    <w:p w14:paraId="4844C2B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kategorische Klassifikation: priesterliche Untersuchung + Unreinheitserklärung + doppelte bekräftigende Klassifikation. Die Struktur betont die Eindeutigkeit des </w:t>
      </w:r>
      <w:r w:rsidRPr="009A13B9">
        <w:rPr>
          <w:rFonts w:eastAsia="Times New Roman" w:cs="Times New Roman"/>
          <w:b/>
          <w:bCs/>
          <w:rtl/>
          <w:lang w:eastAsia="de-DE"/>
        </w:rPr>
        <w:t>בשר חי</w:t>
      </w:r>
      <w:r w:rsidRPr="009A13B9">
        <w:rPr>
          <w:rFonts w:eastAsia="Times New Roman" w:cs="Times New Roman"/>
          <w:lang w:eastAsia="de-DE"/>
        </w:rPr>
        <w:t>-Kriteriums.</w:t>
      </w:r>
    </w:p>
    <w:p w14:paraId="10EE9D2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bekräftigt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 xml:space="preserve">als eindeutiges </w:t>
      </w:r>
      <w:r w:rsidRPr="009A13B9">
        <w:rPr>
          <w:rFonts w:eastAsia="Times New Roman" w:cs="Times New Roman"/>
          <w:b/>
          <w:bCs/>
          <w:rtl/>
          <w:lang w:eastAsia="de-DE"/>
        </w:rPr>
        <w:t>צרעת</w:t>
      </w:r>
      <w:r w:rsidRPr="009A13B9">
        <w:rPr>
          <w:rFonts w:eastAsia="Times New Roman" w:cs="Times New Roman"/>
          <w:lang w:eastAsia="de-DE"/>
        </w:rPr>
        <w:t>-Zeichen, das jede andere Reinheitsbeurteilung überstimmt.</w:t>
      </w:r>
    </w:p>
    <w:p w14:paraId="2D10B81E"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13,16</w:t>
      </w:r>
    </w:p>
    <w:p w14:paraId="7574188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א֣וֹ כִ֥י יָשׁ֛וּב הַבָּשָׂ֥ר הַחַ֖י וְנֶהְפַּ֣ךְ לְלָבָ֑ן וּבָ֖א אֶל־הַכֹּהֵֽן׃</w:t>
      </w:r>
    </w:p>
    <w:p w14:paraId="01DE1E1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Oder wenn das lebendige Fleisch zurückkehrt und in Weiß verwandelt wird, so soll er zum Priester kommen.</w:t>
      </w:r>
    </w:p>
    <w:p w14:paraId="4135BFA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717B0B0A">
          <v:rect id="_x0000_i1347" style="width:0;height:1.5pt" o:hralign="center" o:hrstd="t" o:hr="t" fillcolor="#a0a0a0" stroked="f"/>
        </w:pict>
      </w:r>
    </w:p>
    <w:p w14:paraId="460685A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או כי ישוב הבשר החי ונהפך ללבן ובא אל־הכהן</w:t>
      </w:r>
      <w:r w:rsidRPr="009A13B9">
        <w:rPr>
          <w:rFonts w:eastAsia="Times New Roman" w:cs="Times New Roman"/>
          <w:rtl/>
          <w:lang w:eastAsia="de-DE"/>
        </w:rPr>
        <w:t xml:space="preserve"> </w:t>
      </w:r>
      <w:r w:rsidRPr="009A13B9">
        <w:rPr>
          <w:rFonts w:eastAsia="Times New Roman" w:cs="Times New Roman"/>
          <w:lang w:eastAsia="de-DE"/>
        </w:rPr>
        <w:t xml:space="preserve">zeigt die Heilungsmöglichkeit. </w:t>
      </w:r>
      <w:r w:rsidRPr="009A13B9">
        <w:rPr>
          <w:rFonts w:eastAsia="Times New Roman" w:cs="Times New Roman"/>
          <w:b/>
          <w:bCs/>
          <w:rtl/>
          <w:lang w:eastAsia="de-DE"/>
        </w:rPr>
        <w:t>או כי ישוב</w:t>
      </w:r>
      <w:r w:rsidRPr="009A13B9">
        <w:rPr>
          <w:rFonts w:eastAsia="Times New Roman" w:cs="Times New Roman"/>
          <w:rtl/>
          <w:lang w:eastAsia="de-DE"/>
        </w:rPr>
        <w:t xml:space="preserve"> </w:t>
      </w:r>
      <w:r w:rsidRPr="009A13B9">
        <w:rPr>
          <w:rFonts w:eastAsia="Times New Roman" w:cs="Times New Roman"/>
          <w:lang w:eastAsia="de-DE"/>
        </w:rPr>
        <w:t xml:space="preserve">(oder wenn zurückkehrt) - </w:t>
      </w:r>
      <w:r w:rsidRPr="009A13B9">
        <w:rPr>
          <w:rFonts w:eastAsia="Times New Roman" w:cs="Times New Roman"/>
          <w:b/>
          <w:bCs/>
          <w:rtl/>
          <w:lang w:eastAsia="de-DE"/>
        </w:rPr>
        <w:t>או</w:t>
      </w:r>
      <w:r w:rsidRPr="009A13B9">
        <w:rPr>
          <w:rFonts w:eastAsia="Times New Roman" w:cs="Times New Roman"/>
          <w:rtl/>
          <w:lang w:eastAsia="de-DE"/>
        </w:rPr>
        <w:t xml:space="preserve"> </w:t>
      </w:r>
      <w:r w:rsidRPr="009A13B9">
        <w:rPr>
          <w:rFonts w:eastAsia="Times New Roman" w:cs="Times New Roman"/>
          <w:lang w:eastAsia="de-DE"/>
        </w:rPr>
        <w:t xml:space="preserve">(oder) als alternative Entwicklung, </w:t>
      </w:r>
      <w:r w:rsidRPr="009A13B9">
        <w:rPr>
          <w:rFonts w:eastAsia="Times New Roman" w:cs="Times New Roman"/>
          <w:b/>
          <w:bCs/>
          <w:rtl/>
          <w:lang w:eastAsia="de-DE"/>
        </w:rPr>
        <w:t>ישוב</w:t>
      </w:r>
      <w:r w:rsidRPr="009A13B9">
        <w:rPr>
          <w:rFonts w:eastAsia="Times New Roman" w:cs="Times New Roman"/>
          <w:rtl/>
          <w:lang w:eastAsia="de-DE"/>
        </w:rPr>
        <w:t xml:space="preserve"> </w:t>
      </w:r>
      <w:r w:rsidRPr="009A13B9">
        <w:rPr>
          <w:rFonts w:eastAsia="Times New Roman" w:cs="Times New Roman"/>
          <w:lang w:eastAsia="de-DE"/>
        </w:rPr>
        <w:t xml:space="preserve">(zurückkehrt/sich wendet) im Qal-Imperfekt von </w:t>
      </w:r>
      <w:r w:rsidRPr="009A13B9">
        <w:rPr>
          <w:rFonts w:eastAsia="Times New Roman" w:cs="Times New Roman"/>
          <w:b/>
          <w:bCs/>
          <w:rtl/>
          <w:lang w:eastAsia="de-DE"/>
        </w:rPr>
        <w:t>שוב</w:t>
      </w:r>
      <w:r w:rsidRPr="009A13B9">
        <w:rPr>
          <w:rFonts w:eastAsia="Times New Roman" w:cs="Times New Roman"/>
          <w:lang w:eastAsia="de-DE"/>
        </w:rPr>
        <w:t xml:space="preserve">. </w:t>
      </w:r>
      <w:r w:rsidRPr="009A13B9">
        <w:rPr>
          <w:rFonts w:eastAsia="Times New Roman" w:cs="Times New Roman"/>
          <w:b/>
          <w:bCs/>
          <w:rtl/>
          <w:lang w:eastAsia="de-DE"/>
        </w:rPr>
        <w:t>הבשר החי</w:t>
      </w:r>
      <w:r w:rsidRPr="009A13B9">
        <w:rPr>
          <w:rFonts w:eastAsia="Times New Roman" w:cs="Times New Roman"/>
          <w:rtl/>
          <w:lang w:eastAsia="de-DE"/>
        </w:rPr>
        <w:t xml:space="preserve"> </w:t>
      </w:r>
      <w:r w:rsidRPr="009A13B9">
        <w:rPr>
          <w:rFonts w:eastAsia="Times New Roman" w:cs="Times New Roman"/>
          <w:lang w:eastAsia="de-DE"/>
        </w:rPr>
        <w:t xml:space="preserve">(das lebendige Fleisch) aus V. 14-15. </w:t>
      </w:r>
      <w:r w:rsidRPr="009A13B9">
        <w:rPr>
          <w:rFonts w:eastAsia="Times New Roman" w:cs="Times New Roman"/>
          <w:b/>
          <w:bCs/>
          <w:rtl/>
          <w:lang w:eastAsia="de-DE"/>
        </w:rPr>
        <w:t>ונהפך ללבן</w:t>
      </w:r>
      <w:r w:rsidRPr="009A13B9">
        <w:rPr>
          <w:rFonts w:eastAsia="Times New Roman" w:cs="Times New Roman"/>
          <w:rtl/>
          <w:lang w:eastAsia="de-DE"/>
        </w:rPr>
        <w:t xml:space="preserve"> </w:t>
      </w:r>
      <w:r w:rsidRPr="009A13B9">
        <w:rPr>
          <w:rFonts w:eastAsia="Times New Roman" w:cs="Times New Roman"/>
          <w:lang w:eastAsia="de-DE"/>
        </w:rPr>
        <w:t xml:space="preserve">(und verwandelt wird zu Weiß) - </w:t>
      </w:r>
      <w:r w:rsidRPr="009A13B9">
        <w:rPr>
          <w:rFonts w:eastAsia="Times New Roman" w:cs="Times New Roman"/>
          <w:b/>
          <w:bCs/>
          <w:rtl/>
          <w:lang w:eastAsia="de-DE"/>
        </w:rPr>
        <w:t>נהפך</w:t>
      </w:r>
      <w:r w:rsidRPr="009A13B9">
        <w:rPr>
          <w:rFonts w:eastAsia="Times New Roman" w:cs="Times New Roman"/>
          <w:rtl/>
          <w:lang w:eastAsia="de-DE"/>
        </w:rPr>
        <w:t xml:space="preserve"> </w:t>
      </w:r>
      <w:r w:rsidRPr="009A13B9">
        <w:rPr>
          <w:rFonts w:eastAsia="Times New Roman" w:cs="Times New Roman"/>
          <w:lang w:eastAsia="de-DE"/>
        </w:rPr>
        <w:t xml:space="preserve">(verwandelt wird) im Nifal-Perfekt mit Waw-Konsekutiv, </w:t>
      </w:r>
      <w:r w:rsidRPr="009A13B9">
        <w:rPr>
          <w:rFonts w:eastAsia="Times New Roman" w:cs="Times New Roman"/>
          <w:b/>
          <w:bCs/>
          <w:rtl/>
          <w:lang w:eastAsia="de-DE"/>
        </w:rPr>
        <w:t>ללבן</w:t>
      </w:r>
      <w:r w:rsidRPr="009A13B9">
        <w:rPr>
          <w:rFonts w:eastAsia="Times New Roman" w:cs="Times New Roman"/>
          <w:rtl/>
          <w:lang w:eastAsia="de-DE"/>
        </w:rPr>
        <w:t xml:space="preserve"> </w:t>
      </w:r>
      <w:r w:rsidRPr="009A13B9">
        <w:rPr>
          <w:rFonts w:eastAsia="Times New Roman" w:cs="Times New Roman"/>
          <w:lang w:eastAsia="de-DE"/>
        </w:rPr>
        <w:t xml:space="preserve">(zu Weiß) mit Präposition </w:t>
      </w:r>
      <w:r w:rsidRPr="009A13B9">
        <w:rPr>
          <w:rFonts w:eastAsia="Times New Roman" w:cs="Times New Roman"/>
          <w:b/>
          <w:bCs/>
          <w:rtl/>
          <w:lang w:eastAsia="de-DE"/>
        </w:rPr>
        <w:t>ל</w:t>
      </w:r>
      <w:r w:rsidRPr="009A13B9">
        <w:rPr>
          <w:rFonts w:eastAsia="Times New Roman" w:cs="Times New Roman"/>
          <w:lang w:eastAsia="de-DE"/>
        </w:rPr>
        <w:t>.</w:t>
      </w:r>
    </w:p>
    <w:p w14:paraId="0342E8B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ובא אל־הכהן</w:t>
      </w:r>
      <w:r w:rsidRPr="009A13B9">
        <w:rPr>
          <w:rFonts w:eastAsia="Times New Roman" w:cs="Times New Roman"/>
          <w:rtl/>
          <w:lang w:eastAsia="de-DE"/>
        </w:rPr>
        <w:t xml:space="preserve"> </w:t>
      </w:r>
      <w:r w:rsidRPr="009A13B9">
        <w:rPr>
          <w:rFonts w:eastAsia="Times New Roman" w:cs="Times New Roman"/>
          <w:lang w:eastAsia="de-DE"/>
        </w:rPr>
        <w:t xml:space="preserve">regelt das Verfahren bei Besserung. </w:t>
      </w:r>
      <w:r w:rsidRPr="009A13B9">
        <w:rPr>
          <w:rFonts w:eastAsia="Times New Roman" w:cs="Times New Roman"/>
          <w:b/>
          <w:bCs/>
          <w:rtl/>
          <w:lang w:eastAsia="de-DE"/>
        </w:rPr>
        <w:t>ובא אל־הכהן</w:t>
      </w:r>
      <w:r w:rsidRPr="009A13B9">
        <w:rPr>
          <w:rFonts w:eastAsia="Times New Roman" w:cs="Times New Roman"/>
          <w:rtl/>
          <w:lang w:eastAsia="de-DE"/>
        </w:rPr>
        <w:t xml:space="preserve"> </w:t>
      </w:r>
      <w:r w:rsidRPr="009A13B9">
        <w:rPr>
          <w:rFonts w:eastAsia="Times New Roman" w:cs="Times New Roman"/>
          <w:lang w:eastAsia="de-DE"/>
        </w:rPr>
        <w:t xml:space="preserve">(und er soll zum Priester kommen) - </w:t>
      </w:r>
      <w:r w:rsidRPr="009A13B9">
        <w:rPr>
          <w:rFonts w:eastAsia="Times New Roman" w:cs="Times New Roman"/>
          <w:b/>
          <w:bCs/>
          <w:rtl/>
          <w:lang w:eastAsia="de-DE"/>
        </w:rPr>
        <w:t>בוא</w:t>
      </w:r>
      <w:r w:rsidRPr="009A13B9">
        <w:rPr>
          <w:rFonts w:eastAsia="Times New Roman" w:cs="Times New Roman"/>
          <w:rtl/>
          <w:lang w:eastAsia="de-DE"/>
        </w:rPr>
        <w:t xml:space="preserve"> </w:t>
      </w:r>
      <w:r w:rsidRPr="009A13B9">
        <w:rPr>
          <w:rFonts w:eastAsia="Times New Roman" w:cs="Times New Roman"/>
          <w:lang w:eastAsia="de-DE"/>
        </w:rPr>
        <w:t>(kommen) im Qal-Perfekt mit Waw-Konsekutiv zeigt die Initiative zur erneuten Untersuchung.</w:t>
      </w:r>
    </w:p>
    <w:p w14:paraId="38E63DB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ישוב הבשר החי</w:t>
      </w:r>
      <w:r w:rsidRPr="009A13B9">
        <w:rPr>
          <w:rFonts w:eastAsia="Times New Roman" w:cs="Times New Roman"/>
          <w:rtl/>
          <w:lang w:eastAsia="de-DE"/>
        </w:rPr>
        <w:t xml:space="preserve"> </w:t>
      </w:r>
      <w:r w:rsidRPr="009A13B9">
        <w:rPr>
          <w:rFonts w:eastAsia="Times New Roman" w:cs="Times New Roman"/>
          <w:lang w:eastAsia="de-DE"/>
        </w:rPr>
        <w:t xml:space="preserve">zeigt Rückbildung der aktiven Entzündung oder Heilung der rohen Stellen. </w:t>
      </w:r>
      <w:r w:rsidRPr="009A13B9">
        <w:rPr>
          <w:rFonts w:eastAsia="Times New Roman" w:cs="Times New Roman"/>
          <w:b/>
          <w:bCs/>
          <w:rtl/>
          <w:lang w:eastAsia="de-DE"/>
        </w:rPr>
        <w:t>ונהפך ללבן</w:t>
      </w:r>
      <w:r w:rsidRPr="009A13B9">
        <w:rPr>
          <w:rFonts w:eastAsia="Times New Roman" w:cs="Times New Roman"/>
          <w:rtl/>
          <w:lang w:eastAsia="de-DE"/>
        </w:rPr>
        <w:t xml:space="preserve"> </w:t>
      </w:r>
      <w:r w:rsidRPr="009A13B9">
        <w:rPr>
          <w:rFonts w:eastAsia="Times New Roman" w:cs="Times New Roman"/>
          <w:lang w:eastAsia="de-DE"/>
        </w:rPr>
        <w:t xml:space="preserve">zeigt Farbveränderung als Heilungszeichen entsprechend der positiven Weißfärbung aus V. 13. </w:t>
      </w:r>
      <w:r w:rsidRPr="009A13B9">
        <w:rPr>
          <w:rFonts w:eastAsia="Times New Roman" w:cs="Times New Roman"/>
          <w:b/>
          <w:bCs/>
          <w:rtl/>
          <w:lang w:eastAsia="de-DE"/>
        </w:rPr>
        <w:t>ובא אל־הכהן</w:t>
      </w:r>
      <w:r w:rsidRPr="009A13B9">
        <w:rPr>
          <w:rFonts w:eastAsia="Times New Roman" w:cs="Times New Roman"/>
          <w:rtl/>
          <w:lang w:eastAsia="de-DE"/>
        </w:rPr>
        <w:t xml:space="preserve"> </w:t>
      </w:r>
      <w:r w:rsidRPr="009A13B9">
        <w:rPr>
          <w:rFonts w:eastAsia="Times New Roman" w:cs="Times New Roman"/>
          <w:lang w:eastAsia="de-DE"/>
        </w:rPr>
        <w:t>zeigt, dass Verbesserung zur erneuten priesterlichen Bewertung führen soll.</w:t>
      </w:r>
    </w:p>
    <w:p w14:paraId="73D9BC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ישוב</w:t>
      </w:r>
      <w:r w:rsidRPr="009A13B9">
        <w:rPr>
          <w:rFonts w:eastAsia="Times New Roman" w:cs="Times New Roman"/>
          <w:rtl/>
          <w:lang w:eastAsia="de-DE"/>
        </w:rPr>
        <w:t xml:space="preserve"> </w:t>
      </w:r>
      <w:r w:rsidRPr="009A13B9">
        <w:rPr>
          <w:rFonts w:eastAsia="Times New Roman" w:cs="Times New Roman"/>
          <w:lang w:eastAsia="de-DE"/>
        </w:rPr>
        <w:t>mit ἀπ</w:t>
      </w:r>
      <w:proofErr w:type="spellStart"/>
      <w:r w:rsidRPr="009A13B9">
        <w:rPr>
          <w:rFonts w:eastAsia="Times New Roman" w:cs="Times New Roman"/>
          <w:lang w:eastAsia="de-DE"/>
        </w:rPr>
        <w:t>οστρ</w:t>
      </w:r>
      <w:proofErr w:type="spellEnd"/>
      <w:r w:rsidRPr="009A13B9">
        <w:rPr>
          <w:rFonts w:eastAsia="Times New Roman" w:cs="Times New Roman"/>
          <w:lang w:eastAsia="de-DE"/>
        </w:rPr>
        <w:t xml:space="preserve">αφῇ (sich wegwenden), </w:t>
      </w:r>
      <w:r w:rsidRPr="009A13B9">
        <w:rPr>
          <w:rFonts w:eastAsia="Times New Roman" w:cs="Times New Roman"/>
          <w:b/>
          <w:bCs/>
          <w:rtl/>
          <w:lang w:eastAsia="de-DE"/>
        </w:rPr>
        <w:t>ונהפך ללבן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μετ</w:t>
      </w:r>
      <w:proofErr w:type="spellEnd"/>
      <w:r w:rsidRPr="009A13B9">
        <w:rPr>
          <w:rFonts w:eastAsia="Times New Roman" w:cs="Times New Roman"/>
          <w:lang w:eastAsia="de-DE"/>
        </w:rPr>
        <w:t xml:space="preserve">αβάλῃ </w:t>
      </w:r>
      <w:proofErr w:type="spellStart"/>
      <w:r w:rsidRPr="009A13B9">
        <w:rPr>
          <w:rFonts w:eastAsia="Times New Roman" w:cs="Times New Roman"/>
          <w:lang w:eastAsia="de-DE"/>
        </w:rPr>
        <w:t>λευκή</w:t>
      </w:r>
      <w:proofErr w:type="spellEnd"/>
      <w:r w:rsidRPr="009A13B9">
        <w:rPr>
          <w:rFonts w:eastAsia="Times New Roman" w:cs="Times New Roman"/>
          <w:lang w:eastAsia="de-DE"/>
        </w:rPr>
        <w:t xml:space="preserve"> (verwandle sich weiß) und </w:t>
      </w:r>
      <w:r w:rsidRPr="009A13B9">
        <w:rPr>
          <w:rFonts w:eastAsia="Times New Roman" w:cs="Times New Roman"/>
          <w:b/>
          <w:bCs/>
          <w:rtl/>
          <w:lang w:eastAsia="de-DE"/>
        </w:rPr>
        <w:t>ובא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ἥξει</w:t>
      </w:r>
      <w:proofErr w:type="spellEnd"/>
      <w:r w:rsidRPr="009A13B9">
        <w:rPr>
          <w:rFonts w:eastAsia="Times New Roman" w:cs="Times New Roman"/>
          <w:lang w:eastAsia="de-DE"/>
        </w:rPr>
        <w:t xml:space="preserve"> (er wird kommen).</w:t>
      </w:r>
    </w:p>
    <w:p w14:paraId="0325D9E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Heilungsverfahren: alternative Entwicklung + Rückbildung des kritischen Merkmals + positive Farbveränderung + erneute Untersuchungsanordnung. Die Struktur zeigt die Reversibilität der Unreinheit.</w:t>
      </w:r>
    </w:p>
    <w:p w14:paraId="5E2571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Heilung des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mit Weißfärbung zur erneuten priesterlichen Untersuchung führen soll.</w:t>
      </w:r>
    </w:p>
    <w:p w14:paraId="5D79410A"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13,17</w:t>
      </w:r>
    </w:p>
    <w:p w14:paraId="0FC0FCD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וְרָאָ֨הוּ֙ הַכֹּהֵ֔ן וְהִנֵּ֛ה נֶהְפַּ֥ךְ הַנֶּ֖גַע לְלָבָ֑ן וְטִהַ֧ר הַכֹּהֵ֛ן אֶת־הַנֶּ֖גַע טָה֥וֹר הֽוּא׃</w:t>
      </w:r>
    </w:p>
    <w:p w14:paraId="79B0A6A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ihn sieht, und siehe, das Mal ist in Weiß verwandelt, so soll der Priester den, der das Mal hat, für rein erklären: er ist rein.</w:t>
      </w:r>
    </w:p>
    <w:p w14:paraId="08F58F9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186371F3">
          <v:rect id="_x0000_i1348" style="width:0;height:1.5pt" o:hralign="center" o:hrstd="t" o:hr="t" fillcolor="#a0a0a0" stroked="f"/>
        </w:pict>
      </w:r>
    </w:p>
    <w:p w14:paraId="4F92355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וראהו הכהן והנה נהפך הנגע ללבן</w:t>
      </w:r>
      <w:r w:rsidRPr="009A13B9">
        <w:rPr>
          <w:rFonts w:eastAsia="Times New Roman" w:cs="Times New Roman"/>
          <w:rtl/>
          <w:lang w:eastAsia="de-DE"/>
        </w:rPr>
        <w:t xml:space="preserve"> </w:t>
      </w:r>
      <w:r w:rsidRPr="009A13B9">
        <w:rPr>
          <w:rFonts w:eastAsia="Times New Roman" w:cs="Times New Roman"/>
          <w:lang w:eastAsia="de-DE"/>
        </w:rPr>
        <w:t xml:space="preserve">bestätigt die Heilung. </w:t>
      </w:r>
      <w:r w:rsidRPr="009A13B9">
        <w:rPr>
          <w:rFonts w:eastAsia="Times New Roman" w:cs="Times New Roman"/>
          <w:b/>
          <w:bCs/>
          <w:rtl/>
          <w:lang w:eastAsia="de-DE"/>
        </w:rPr>
        <w:t>וראהו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ihn) mit Objektsuffix 3. Person maskulin Singular zeigt die erneute Untersuchung. </w:t>
      </w:r>
      <w:r w:rsidRPr="009A13B9">
        <w:rPr>
          <w:rFonts w:eastAsia="Times New Roman" w:cs="Times New Roman"/>
          <w:b/>
          <w:bCs/>
          <w:rtl/>
          <w:lang w:eastAsia="de-DE"/>
        </w:rPr>
        <w:t>והנה נהפך הנגע ללבן</w:t>
      </w:r>
      <w:r w:rsidRPr="009A13B9">
        <w:rPr>
          <w:rFonts w:eastAsia="Times New Roman" w:cs="Times New Roman"/>
          <w:rtl/>
          <w:lang w:eastAsia="de-DE"/>
        </w:rPr>
        <w:t xml:space="preserve"> </w:t>
      </w:r>
      <w:r w:rsidRPr="009A13B9">
        <w:rPr>
          <w:rFonts w:eastAsia="Times New Roman" w:cs="Times New Roman"/>
          <w:lang w:eastAsia="de-DE"/>
        </w:rPr>
        <w:t xml:space="preserve">(und siehe, das Mal ist verwandelt zu Weiß) - </w:t>
      </w:r>
      <w:r w:rsidRPr="009A13B9">
        <w:rPr>
          <w:rFonts w:eastAsia="Times New Roman" w:cs="Times New Roman"/>
          <w:b/>
          <w:bCs/>
          <w:rtl/>
          <w:lang w:eastAsia="de-DE"/>
        </w:rPr>
        <w:t>נהפך</w:t>
      </w:r>
      <w:r w:rsidRPr="009A13B9">
        <w:rPr>
          <w:rFonts w:eastAsia="Times New Roman" w:cs="Times New Roman"/>
          <w:rtl/>
          <w:lang w:eastAsia="de-DE"/>
        </w:rPr>
        <w:t xml:space="preserve"> </w:t>
      </w:r>
      <w:r w:rsidRPr="009A13B9">
        <w:rPr>
          <w:rFonts w:eastAsia="Times New Roman" w:cs="Times New Roman"/>
          <w:lang w:eastAsia="de-DE"/>
        </w:rPr>
        <w:t xml:space="preserve">(ist verwandelt) im Nifal-Perfekt, </w:t>
      </w:r>
      <w:r w:rsidRPr="009A13B9">
        <w:rPr>
          <w:rFonts w:eastAsia="Times New Roman" w:cs="Times New Roman"/>
          <w:b/>
          <w:bCs/>
          <w:rtl/>
          <w:lang w:eastAsia="de-DE"/>
        </w:rPr>
        <w:t>הנגע</w:t>
      </w:r>
      <w:r w:rsidRPr="009A13B9">
        <w:rPr>
          <w:rFonts w:eastAsia="Times New Roman" w:cs="Times New Roman"/>
          <w:rtl/>
          <w:lang w:eastAsia="de-DE"/>
        </w:rPr>
        <w:t xml:space="preserve"> </w:t>
      </w:r>
      <w:r w:rsidRPr="009A13B9">
        <w:rPr>
          <w:rFonts w:eastAsia="Times New Roman" w:cs="Times New Roman"/>
          <w:lang w:eastAsia="de-DE"/>
        </w:rPr>
        <w:t xml:space="preserve">(das Mal) als Subjekt, </w:t>
      </w:r>
      <w:r w:rsidRPr="009A13B9">
        <w:rPr>
          <w:rFonts w:eastAsia="Times New Roman" w:cs="Times New Roman"/>
          <w:b/>
          <w:bCs/>
          <w:rtl/>
          <w:lang w:eastAsia="de-DE"/>
        </w:rPr>
        <w:t>ללבן</w:t>
      </w:r>
      <w:r w:rsidRPr="009A13B9">
        <w:rPr>
          <w:rFonts w:eastAsia="Times New Roman" w:cs="Times New Roman"/>
          <w:rtl/>
          <w:lang w:eastAsia="de-DE"/>
        </w:rPr>
        <w:t xml:space="preserve"> </w:t>
      </w:r>
      <w:r w:rsidRPr="009A13B9">
        <w:rPr>
          <w:rFonts w:eastAsia="Times New Roman" w:cs="Times New Roman"/>
          <w:lang w:eastAsia="de-DE"/>
        </w:rPr>
        <w:t>(zu Weiß).</w:t>
      </w:r>
    </w:p>
    <w:p w14:paraId="3715789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וטהר הכהן את־הנגע טהור הוא</w:t>
      </w:r>
      <w:r w:rsidRPr="009A13B9">
        <w:rPr>
          <w:rFonts w:eastAsia="Times New Roman" w:cs="Times New Roman"/>
          <w:rtl/>
          <w:lang w:eastAsia="de-DE"/>
        </w:rPr>
        <w:t xml:space="preserve"> </w:t>
      </w:r>
      <w:r w:rsidRPr="009A13B9">
        <w:rPr>
          <w:rFonts w:eastAsia="Times New Roman" w:cs="Times New Roman"/>
          <w:lang w:eastAsia="de-DE"/>
        </w:rPr>
        <w:t xml:space="preserve">zeigt die Reinheitserklärung. </w:t>
      </w:r>
      <w:r w:rsidRPr="009A13B9">
        <w:rPr>
          <w:rFonts w:eastAsia="Times New Roman" w:cs="Times New Roman"/>
          <w:b/>
          <w:bCs/>
          <w:rtl/>
          <w:lang w:eastAsia="de-DE"/>
        </w:rPr>
        <w:t>וטהר הכהן את־הנגע</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das Mal für rein erklären) - </w:t>
      </w:r>
      <w:r w:rsidRPr="009A13B9">
        <w:rPr>
          <w:rFonts w:eastAsia="Times New Roman" w:cs="Times New Roman"/>
          <w:b/>
          <w:bCs/>
          <w:rtl/>
          <w:lang w:eastAsia="de-DE"/>
        </w:rPr>
        <w:t>טהר</w:t>
      </w:r>
      <w:r w:rsidRPr="009A13B9">
        <w:rPr>
          <w:rFonts w:eastAsia="Times New Roman" w:cs="Times New Roman"/>
          <w:rtl/>
          <w:lang w:eastAsia="de-DE"/>
        </w:rPr>
        <w:t xml:space="preserve"> </w:t>
      </w:r>
      <w:r w:rsidRPr="009A13B9">
        <w:rPr>
          <w:rFonts w:eastAsia="Times New Roman" w:cs="Times New Roman"/>
          <w:lang w:eastAsia="de-DE"/>
        </w:rPr>
        <w:t xml:space="preserve">(rein erklären) im Piel-Perfekt mit Waw-Konsekutiv.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 xml:space="preserve">(rein ist er) mit emphatischem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bekräftigt die vollständige Reinheit.</w:t>
      </w:r>
    </w:p>
    <w:p w14:paraId="4DC009D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נהפך הנגע ללבן</w:t>
      </w:r>
      <w:r w:rsidRPr="009A13B9">
        <w:rPr>
          <w:rFonts w:eastAsia="Times New Roman" w:cs="Times New Roman"/>
          <w:rtl/>
          <w:lang w:eastAsia="de-DE"/>
        </w:rPr>
        <w:t xml:space="preserve"> </w:t>
      </w:r>
      <w:r w:rsidRPr="009A13B9">
        <w:rPr>
          <w:rFonts w:eastAsia="Times New Roman" w:cs="Times New Roman"/>
          <w:lang w:eastAsia="de-DE"/>
        </w:rPr>
        <w:t xml:space="preserve">zeigt vollständige Heilung durch Weißfärbung entsprechend V. 13 und 16. </w:t>
      </w:r>
      <w:r w:rsidRPr="009A13B9">
        <w:rPr>
          <w:rFonts w:eastAsia="Times New Roman" w:cs="Times New Roman"/>
          <w:b/>
          <w:bCs/>
          <w:rtl/>
          <w:lang w:eastAsia="de-DE"/>
        </w:rPr>
        <w:t>וטהר הכהן את־הנגע</w:t>
      </w:r>
      <w:r w:rsidRPr="009A13B9">
        <w:rPr>
          <w:rFonts w:eastAsia="Times New Roman" w:cs="Times New Roman"/>
          <w:rtl/>
          <w:lang w:eastAsia="de-DE"/>
        </w:rPr>
        <w:t xml:space="preserve"> </w:t>
      </w:r>
      <w:r w:rsidRPr="009A13B9">
        <w:rPr>
          <w:rFonts w:eastAsia="Times New Roman" w:cs="Times New Roman"/>
          <w:lang w:eastAsia="de-DE"/>
        </w:rPr>
        <w:t xml:space="preserve">zeigt positive priesterliche Beurteilung.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bekräftigt die endgültige Reinheit nach der Heilung.</w:t>
      </w:r>
    </w:p>
    <w:p w14:paraId="5B46D79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וראהו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ὄψετ</w:t>
      </w:r>
      <w:proofErr w:type="spellEnd"/>
      <w:r w:rsidRPr="009A13B9">
        <w:rPr>
          <w:rFonts w:eastAsia="Times New Roman" w:cs="Times New Roman"/>
          <w:lang w:eastAsia="de-DE"/>
        </w:rPr>
        <w:t>αι α</w:t>
      </w:r>
      <w:proofErr w:type="spellStart"/>
      <w:r w:rsidRPr="009A13B9">
        <w:rPr>
          <w:rFonts w:eastAsia="Times New Roman" w:cs="Times New Roman"/>
          <w:lang w:eastAsia="de-DE"/>
        </w:rPr>
        <w:t>ὐτόν</w:t>
      </w:r>
      <w:proofErr w:type="spellEnd"/>
      <w:r w:rsidRPr="009A13B9">
        <w:rPr>
          <w:rFonts w:eastAsia="Times New Roman" w:cs="Times New Roman"/>
          <w:lang w:eastAsia="de-DE"/>
        </w:rPr>
        <w:t xml:space="preserve"> (er wird ihn sehen), </w:t>
      </w:r>
      <w:r w:rsidRPr="009A13B9">
        <w:rPr>
          <w:rFonts w:eastAsia="Times New Roman" w:cs="Times New Roman"/>
          <w:b/>
          <w:bCs/>
          <w:rtl/>
          <w:lang w:eastAsia="de-DE"/>
        </w:rPr>
        <w:t>נהפך ללבן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μετέ</w:t>
      </w:r>
      <w:proofErr w:type="spellEnd"/>
      <w:r w:rsidRPr="009A13B9">
        <w:rPr>
          <w:rFonts w:eastAsia="Times New Roman" w:cs="Times New Roman"/>
          <w:lang w:eastAsia="de-DE"/>
        </w:rPr>
        <w:t xml:space="preserve">βαλεν </w:t>
      </w:r>
      <w:proofErr w:type="spellStart"/>
      <w:r w:rsidRPr="009A13B9">
        <w:rPr>
          <w:rFonts w:eastAsia="Times New Roman" w:cs="Times New Roman"/>
          <w:lang w:eastAsia="de-DE"/>
        </w:rPr>
        <w:t>λευκόν</w:t>
      </w:r>
      <w:proofErr w:type="spellEnd"/>
      <w:r w:rsidRPr="009A13B9">
        <w:rPr>
          <w:rFonts w:eastAsia="Times New Roman" w:cs="Times New Roman"/>
          <w:lang w:eastAsia="de-DE"/>
        </w:rPr>
        <w:t xml:space="preserve"> (verwandelte sich weiß) und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ρός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ἐστιν</w:t>
      </w:r>
      <w:proofErr w:type="spellEnd"/>
      <w:r w:rsidRPr="009A13B9">
        <w:rPr>
          <w:rFonts w:eastAsia="Times New Roman" w:cs="Times New Roman"/>
          <w:lang w:eastAsia="de-DE"/>
        </w:rPr>
        <w:t xml:space="preserve"> (rein ist er).</w:t>
      </w:r>
    </w:p>
    <w:p w14:paraId="47C9D58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positive Diagnose: priesterliche Untersuchung + bestätigte Heilung + Reinheitserklärung + bekräftigende Reinheitsaussage. Die Struktur zeigt die Vollendung des Heilungsprozesses.</w:t>
      </w:r>
    </w:p>
    <w:p w14:paraId="2511B12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schließt den Heilungszyklus ab: Weißfärbung des geheilten </w:t>
      </w:r>
      <w:r w:rsidRPr="009A13B9">
        <w:rPr>
          <w:rFonts w:eastAsia="Times New Roman" w:cs="Times New Roman"/>
          <w:b/>
          <w:bCs/>
          <w:rtl/>
          <w:lang w:eastAsia="de-DE"/>
        </w:rPr>
        <w:t>בשר חי</w:t>
      </w:r>
      <w:r w:rsidRPr="009A13B9">
        <w:rPr>
          <w:rFonts w:eastAsia="Times New Roman" w:cs="Times New Roman"/>
          <w:rtl/>
          <w:lang w:eastAsia="de-DE"/>
        </w:rPr>
        <w:t xml:space="preserve"> </w:t>
      </w:r>
      <w:r w:rsidRPr="009A13B9">
        <w:rPr>
          <w:rFonts w:eastAsia="Times New Roman" w:cs="Times New Roman"/>
          <w:lang w:eastAsia="de-DE"/>
        </w:rPr>
        <w:t>führt zur endgültigen Reinheitserklärung.</w:t>
      </w:r>
    </w:p>
    <w:p w14:paraId="32C5EA7A"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13,18</w:t>
      </w:r>
    </w:p>
    <w:p w14:paraId="6DC124D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וּבָשָׂ֕ר כִּֽי־יִהְיֶ֥ה בוֹֽ־בְעֹרֹ֖ו שְׁחִ֑ין וְנִרְפָּֽא׃</w:t>
      </w:r>
    </w:p>
    <w:p w14:paraId="25AEE96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im Fleisch, an seiner Haut, ein Geschwür ist und es ist geheilt,</w:t>
      </w:r>
    </w:p>
    <w:p w14:paraId="423CEF28"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A173FBC">
          <v:rect id="_x0000_i1349" style="width:0;height:1.5pt" o:hralign="center" o:hrstd="t" o:hr="t" fillcolor="#a0a0a0" stroked="f"/>
        </w:pict>
      </w:r>
    </w:p>
    <w:p w14:paraId="36AFAA1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ובשר כי־יהיה בו־בעורו שחין ונרפא</w:t>
      </w:r>
      <w:r w:rsidRPr="009A13B9">
        <w:rPr>
          <w:rFonts w:eastAsia="Times New Roman" w:cs="Times New Roman"/>
          <w:rtl/>
          <w:lang w:eastAsia="de-DE"/>
        </w:rPr>
        <w:t xml:space="preserve"> </w:t>
      </w:r>
      <w:r w:rsidRPr="009A13B9">
        <w:rPr>
          <w:rFonts w:eastAsia="Times New Roman" w:cs="Times New Roman"/>
          <w:lang w:eastAsia="de-DE"/>
        </w:rPr>
        <w:t xml:space="preserve">leitet einen neuen Abschnitt über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in geheilten Geschwüren ein. </w:t>
      </w:r>
      <w:r w:rsidRPr="009A13B9">
        <w:rPr>
          <w:rFonts w:eastAsia="Times New Roman" w:cs="Times New Roman"/>
          <w:b/>
          <w:bCs/>
          <w:rtl/>
          <w:lang w:eastAsia="de-DE"/>
        </w:rPr>
        <w:t>ובשר</w:t>
      </w:r>
      <w:r w:rsidRPr="009A13B9">
        <w:rPr>
          <w:rFonts w:eastAsia="Times New Roman" w:cs="Times New Roman"/>
          <w:rtl/>
          <w:lang w:eastAsia="de-DE"/>
        </w:rPr>
        <w:t xml:space="preserve"> </w:t>
      </w:r>
      <w:r w:rsidRPr="009A13B9">
        <w:rPr>
          <w:rFonts w:eastAsia="Times New Roman" w:cs="Times New Roman"/>
          <w:lang w:eastAsia="de-DE"/>
        </w:rPr>
        <w:t xml:space="preserve">(und Fleisch) als neues Thema. </w:t>
      </w:r>
      <w:r w:rsidRPr="009A13B9">
        <w:rPr>
          <w:rFonts w:eastAsia="Times New Roman" w:cs="Times New Roman"/>
          <w:b/>
          <w:bCs/>
          <w:rtl/>
          <w:lang w:eastAsia="de-DE"/>
        </w:rPr>
        <w:t>כי־יהיה בו־בעורו שחין</w:t>
      </w:r>
      <w:r w:rsidRPr="009A13B9">
        <w:rPr>
          <w:rFonts w:eastAsia="Times New Roman" w:cs="Times New Roman"/>
          <w:rtl/>
          <w:lang w:eastAsia="de-DE"/>
        </w:rPr>
        <w:t xml:space="preserve"> </w:t>
      </w:r>
      <w:r w:rsidRPr="009A13B9">
        <w:rPr>
          <w:rFonts w:eastAsia="Times New Roman" w:cs="Times New Roman"/>
          <w:lang w:eastAsia="de-DE"/>
        </w:rPr>
        <w:t xml:space="preserve">(wenn an ihm, an seiner Haut, ein Geschwür ist) - </w:t>
      </w:r>
      <w:r w:rsidRPr="009A13B9">
        <w:rPr>
          <w:rFonts w:eastAsia="Times New Roman" w:cs="Times New Roman"/>
          <w:b/>
          <w:bCs/>
          <w:rtl/>
          <w:lang w:eastAsia="de-DE"/>
        </w:rPr>
        <w:t>כי</w:t>
      </w:r>
      <w:r w:rsidRPr="009A13B9">
        <w:rPr>
          <w:rFonts w:eastAsia="Times New Roman" w:cs="Times New Roman"/>
          <w:rtl/>
          <w:lang w:eastAsia="de-DE"/>
        </w:rPr>
        <w:t xml:space="preserve"> </w:t>
      </w:r>
      <w:r w:rsidRPr="009A13B9">
        <w:rPr>
          <w:rFonts w:eastAsia="Times New Roman" w:cs="Times New Roman"/>
          <w:lang w:eastAsia="de-DE"/>
        </w:rPr>
        <w:t xml:space="preserve">als Konditionalspartikel, </w:t>
      </w:r>
      <w:r w:rsidRPr="009A13B9">
        <w:rPr>
          <w:rFonts w:eastAsia="Times New Roman" w:cs="Times New Roman"/>
          <w:b/>
          <w:bCs/>
          <w:rtl/>
          <w:lang w:eastAsia="de-DE"/>
        </w:rPr>
        <w:t>יהיה</w:t>
      </w:r>
      <w:r w:rsidRPr="009A13B9">
        <w:rPr>
          <w:rFonts w:eastAsia="Times New Roman" w:cs="Times New Roman"/>
          <w:rtl/>
          <w:lang w:eastAsia="de-DE"/>
        </w:rPr>
        <w:t xml:space="preserve"> </w:t>
      </w:r>
      <w:r w:rsidRPr="009A13B9">
        <w:rPr>
          <w:rFonts w:eastAsia="Times New Roman" w:cs="Times New Roman"/>
          <w:lang w:eastAsia="de-DE"/>
        </w:rPr>
        <w:t xml:space="preserve">(es ist/wird sein), </w:t>
      </w:r>
      <w:r w:rsidRPr="009A13B9">
        <w:rPr>
          <w:rFonts w:eastAsia="Times New Roman" w:cs="Times New Roman"/>
          <w:b/>
          <w:bCs/>
          <w:rtl/>
          <w:lang w:eastAsia="de-DE"/>
        </w:rPr>
        <w:t>בו־בעורו</w:t>
      </w:r>
      <w:r w:rsidRPr="009A13B9">
        <w:rPr>
          <w:rFonts w:eastAsia="Times New Roman" w:cs="Times New Roman"/>
          <w:rtl/>
          <w:lang w:eastAsia="de-DE"/>
        </w:rPr>
        <w:t xml:space="preserve"> </w:t>
      </w:r>
      <w:r w:rsidRPr="009A13B9">
        <w:rPr>
          <w:rFonts w:eastAsia="Times New Roman" w:cs="Times New Roman"/>
          <w:lang w:eastAsia="de-DE"/>
        </w:rPr>
        <w:t xml:space="preserve">(an ihm, an seiner Haut) mit doppelter Lokalisation, </w:t>
      </w:r>
      <w:r w:rsidRPr="009A13B9">
        <w:rPr>
          <w:rFonts w:eastAsia="Times New Roman" w:cs="Times New Roman"/>
          <w:b/>
          <w:bCs/>
          <w:rtl/>
          <w:lang w:eastAsia="de-DE"/>
        </w:rPr>
        <w:t>שחין</w:t>
      </w:r>
      <w:r w:rsidRPr="009A13B9">
        <w:rPr>
          <w:rFonts w:eastAsia="Times New Roman" w:cs="Times New Roman"/>
          <w:rtl/>
          <w:lang w:eastAsia="de-DE"/>
        </w:rPr>
        <w:t xml:space="preserve"> </w:t>
      </w:r>
      <w:r w:rsidRPr="009A13B9">
        <w:rPr>
          <w:rFonts w:eastAsia="Times New Roman" w:cs="Times New Roman"/>
          <w:lang w:eastAsia="de-DE"/>
        </w:rPr>
        <w:t>(Geschwür/Beule).</w:t>
      </w:r>
    </w:p>
    <w:p w14:paraId="0C1D4F6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ונרפא</w:t>
      </w:r>
      <w:r w:rsidRPr="009A13B9">
        <w:rPr>
          <w:rFonts w:eastAsia="Times New Roman" w:cs="Times New Roman"/>
          <w:rtl/>
          <w:lang w:eastAsia="de-DE"/>
        </w:rPr>
        <w:t xml:space="preserve"> </w:t>
      </w:r>
      <w:r w:rsidRPr="009A13B9">
        <w:rPr>
          <w:rFonts w:eastAsia="Times New Roman" w:cs="Times New Roman"/>
          <w:lang w:eastAsia="de-DE"/>
        </w:rPr>
        <w:t xml:space="preserve">(und es ist geheilt) - </w:t>
      </w:r>
      <w:r w:rsidRPr="009A13B9">
        <w:rPr>
          <w:rFonts w:eastAsia="Times New Roman" w:cs="Times New Roman"/>
          <w:b/>
          <w:bCs/>
          <w:rtl/>
          <w:lang w:eastAsia="de-DE"/>
        </w:rPr>
        <w:t>רפא</w:t>
      </w:r>
      <w:r w:rsidRPr="009A13B9">
        <w:rPr>
          <w:rFonts w:eastAsia="Times New Roman" w:cs="Times New Roman"/>
          <w:rtl/>
          <w:lang w:eastAsia="de-DE"/>
        </w:rPr>
        <w:t xml:space="preserve"> </w:t>
      </w:r>
      <w:r w:rsidRPr="009A13B9">
        <w:rPr>
          <w:rFonts w:eastAsia="Times New Roman" w:cs="Times New Roman"/>
          <w:lang w:eastAsia="de-DE"/>
        </w:rPr>
        <w:t>(heilen) im Nifal-Perfekt mit Waw-Konsekutiv zeigt abgeschlossene Heilung.</w:t>
      </w:r>
    </w:p>
    <w:p w14:paraId="5B7B35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שחין</w:t>
      </w:r>
      <w:r w:rsidRPr="009A13B9">
        <w:rPr>
          <w:rFonts w:eastAsia="Times New Roman" w:cs="Times New Roman"/>
          <w:rtl/>
          <w:lang w:eastAsia="de-DE"/>
        </w:rPr>
        <w:t xml:space="preserve"> </w:t>
      </w:r>
      <w:r w:rsidRPr="009A13B9">
        <w:rPr>
          <w:rFonts w:eastAsia="Times New Roman" w:cs="Times New Roman"/>
          <w:lang w:eastAsia="de-DE"/>
        </w:rPr>
        <w:t xml:space="preserve">als spezifische Art von Hautläsion, unterschiedlich von den allgemeinen Kategorien aus V. 2. </w:t>
      </w:r>
      <w:r w:rsidRPr="009A13B9">
        <w:rPr>
          <w:rFonts w:eastAsia="Times New Roman" w:cs="Times New Roman"/>
          <w:b/>
          <w:bCs/>
          <w:rtl/>
          <w:lang w:eastAsia="de-DE"/>
        </w:rPr>
        <w:t>בו־בעורו</w:t>
      </w:r>
      <w:r w:rsidRPr="009A13B9">
        <w:rPr>
          <w:rFonts w:eastAsia="Times New Roman" w:cs="Times New Roman"/>
          <w:rtl/>
          <w:lang w:eastAsia="de-DE"/>
        </w:rPr>
        <w:t xml:space="preserve"> </w:t>
      </w:r>
      <w:r w:rsidRPr="009A13B9">
        <w:rPr>
          <w:rFonts w:eastAsia="Times New Roman" w:cs="Times New Roman"/>
          <w:lang w:eastAsia="de-DE"/>
        </w:rPr>
        <w:t xml:space="preserve">mit doppelter Lokalisation betont die genaue Stelle. </w:t>
      </w:r>
      <w:r w:rsidRPr="009A13B9">
        <w:rPr>
          <w:rFonts w:eastAsia="Times New Roman" w:cs="Times New Roman"/>
          <w:b/>
          <w:bCs/>
          <w:rtl/>
          <w:lang w:eastAsia="de-DE"/>
        </w:rPr>
        <w:t>ונרפא</w:t>
      </w:r>
      <w:r w:rsidRPr="009A13B9">
        <w:rPr>
          <w:rFonts w:eastAsia="Times New Roman" w:cs="Times New Roman"/>
          <w:rtl/>
          <w:lang w:eastAsia="de-DE"/>
        </w:rPr>
        <w:t xml:space="preserve"> </w:t>
      </w:r>
      <w:r w:rsidRPr="009A13B9">
        <w:rPr>
          <w:rFonts w:eastAsia="Times New Roman" w:cs="Times New Roman"/>
          <w:lang w:eastAsia="de-DE"/>
        </w:rPr>
        <w:t>zeigt, dass es sich um geheilte, nicht aktive Geschwüre handelt.</w:t>
      </w:r>
    </w:p>
    <w:p w14:paraId="20B9790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בשר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σάρξ</w:t>
      </w:r>
      <w:proofErr w:type="spellEnd"/>
      <w:r w:rsidRPr="009A13B9">
        <w:rPr>
          <w:rFonts w:eastAsia="Times New Roman" w:cs="Times New Roman"/>
          <w:lang w:eastAsia="de-DE"/>
        </w:rPr>
        <w:t xml:space="preserve"> (Fleisch), </w:t>
      </w:r>
      <w:r w:rsidRPr="009A13B9">
        <w:rPr>
          <w:rFonts w:eastAsia="Times New Roman" w:cs="Times New Roman"/>
          <w:b/>
          <w:bCs/>
          <w:rtl/>
          <w:lang w:eastAsia="de-DE"/>
        </w:rPr>
        <w:t>שחין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ἕλκος</w:t>
      </w:r>
      <w:proofErr w:type="spellEnd"/>
      <w:r w:rsidRPr="009A13B9">
        <w:rPr>
          <w:rFonts w:eastAsia="Times New Roman" w:cs="Times New Roman"/>
          <w:lang w:eastAsia="de-DE"/>
        </w:rPr>
        <w:t xml:space="preserve"> (Geschwür) und </w:t>
      </w:r>
      <w:r w:rsidRPr="009A13B9">
        <w:rPr>
          <w:rFonts w:eastAsia="Times New Roman" w:cs="Times New Roman"/>
          <w:b/>
          <w:bCs/>
          <w:rtl/>
          <w:lang w:eastAsia="de-DE"/>
        </w:rPr>
        <w:t>ונרפא</w:t>
      </w:r>
      <w:r w:rsidRPr="009A13B9">
        <w:rPr>
          <w:rFonts w:eastAsia="Times New Roman" w:cs="Times New Roman"/>
          <w:rtl/>
          <w:lang w:eastAsia="de-DE"/>
        </w:rPr>
        <w:t xml:space="preserve"> </w:t>
      </w:r>
      <w:r w:rsidRPr="009A13B9">
        <w:rPr>
          <w:rFonts w:eastAsia="Times New Roman" w:cs="Times New Roman"/>
          <w:lang w:eastAsia="de-DE"/>
        </w:rPr>
        <w:t>mit ἰα</w:t>
      </w:r>
      <w:proofErr w:type="spellStart"/>
      <w:r w:rsidRPr="009A13B9">
        <w:rPr>
          <w:rFonts w:eastAsia="Times New Roman" w:cs="Times New Roman"/>
          <w:lang w:eastAsia="de-DE"/>
        </w:rPr>
        <w:t>θῇ</w:t>
      </w:r>
      <w:proofErr w:type="spellEnd"/>
      <w:r w:rsidRPr="009A13B9">
        <w:rPr>
          <w:rFonts w:eastAsia="Times New Roman" w:cs="Times New Roman"/>
          <w:lang w:eastAsia="de-DE"/>
        </w:rPr>
        <w:t xml:space="preserve"> (geheilt wird).</w:t>
      </w:r>
    </w:p>
    <w:p w14:paraId="066422F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neue Fallkategorie: neues Thema + Konditionalsatz mit Lokalisation + Geschwürspezifikation + Heilungszustand. Die Struktur leitet die Behandlung sekundärer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ein.</w:t>
      </w:r>
    </w:p>
    <w:p w14:paraId="4A9EEE8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leitet die Regelung für </w:t>
      </w:r>
      <w:r w:rsidRPr="009A13B9">
        <w:rPr>
          <w:rFonts w:eastAsia="Times New Roman" w:cs="Times New Roman"/>
          <w:b/>
          <w:bCs/>
          <w:rtl/>
          <w:lang w:eastAsia="de-DE"/>
        </w:rPr>
        <w:t>צרעת</w:t>
      </w:r>
      <w:r w:rsidRPr="009A13B9">
        <w:rPr>
          <w:rFonts w:eastAsia="Times New Roman" w:cs="Times New Roman"/>
          <w:lang w:eastAsia="de-DE"/>
        </w:rPr>
        <w:t>-Entwicklung in geheilten Geschwüren ein.</w:t>
      </w:r>
    </w:p>
    <w:p w14:paraId="4E3231E6"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13,19</w:t>
      </w:r>
    </w:p>
    <w:p w14:paraId="76B1118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וְהָיָ֞ה בִּמְק֤וֹם הַשְּׁחִין֙ שְׂאֵ֣ת לְבָנָ֔ה א֥וֹ בַהֶ֖רֶת לְבָנָ֣ה אֲדַמְדָּ֑מֶת וְנִרְאָ֖ה אֶל־הַכֹּהֵֽן׃</w:t>
      </w:r>
    </w:p>
    <w:p w14:paraId="01F970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es entsteht an der Stelle des Geschwürs eine weiße Erhebung oder ein weißrötlicher Fleck, so soll er sich dem Priester zeigen.</w:t>
      </w:r>
    </w:p>
    <w:p w14:paraId="5961D621"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lastRenderedPageBreak/>
        <w:pict w14:anchorId="28F4DB93">
          <v:rect id="_x0000_i1350" style="width:0;height:1.5pt" o:hralign="center" o:hrstd="t" o:hr="t" fillcolor="#a0a0a0" stroked="f"/>
        </w:pict>
      </w:r>
    </w:p>
    <w:p w14:paraId="196098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והיה במקום השחין שאת לבנה או בהרת 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zeigt verdächtige Entwicklung in der Geschwürsstelle. </w:t>
      </w:r>
      <w:r w:rsidRPr="009A13B9">
        <w:rPr>
          <w:rFonts w:eastAsia="Times New Roman" w:cs="Times New Roman"/>
          <w:b/>
          <w:bCs/>
          <w:rtl/>
          <w:lang w:eastAsia="de-DE"/>
        </w:rPr>
        <w:t>והיה</w:t>
      </w:r>
      <w:r w:rsidRPr="009A13B9">
        <w:rPr>
          <w:rFonts w:eastAsia="Times New Roman" w:cs="Times New Roman"/>
          <w:rtl/>
          <w:lang w:eastAsia="de-DE"/>
        </w:rPr>
        <w:t xml:space="preserve"> </w:t>
      </w:r>
      <w:r w:rsidRPr="009A13B9">
        <w:rPr>
          <w:rFonts w:eastAsia="Times New Roman" w:cs="Times New Roman"/>
          <w:lang w:eastAsia="de-DE"/>
        </w:rPr>
        <w:t xml:space="preserve">(und es wird/entsteht) im Qal-Perfekt mit Waw-Konsekutiv. </w:t>
      </w:r>
      <w:r w:rsidRPr="009A13B9">
        <w:rPr>
          <w:rFonts w:eastAsia="Times New Roman" w:cs="Times New Roman"/>
          <w:b/>
          <w:bCs/>
          <w:rtl/>
          <w:lang w:eastAsia="de-DE"/>
        </w:rPr>
        <w:t>במקום השחין</w:t>
      </w:r>
      <w:r w:rsidRPr="009A13B9">
        <w:rPr>
          <w:rFonts w:eastAsia="Times New Roman" w:cs="Times New Roman"/>
          <w:rtl/>
          <w:lang w:eastAsia="de-DE"/>
        </w:rPr>
        <w:t xml:space="preserve"> </w:t>
      </w:r>
      <w:r w:rsidRPr="009A13B9">
        <w:rPr>
          <w:rFonts w:eastAsia="Times New Roman" w:cs="Times New Roman"/>
          <w:lang w:eastAsia="de-DE"/>
        </w:rPr>
        <w:t xml:space="preserve">(an der Stelle des Geschwürs) - </w:t>
      </w:r>
      <w:r w:rsidRPr="009A13B9">
        <w:rPr>
          <w:rFonts w:eastAsia="Times New Roman" w:cs="Times New Roman"/>
          <w:b/>
          <w:bCs/>
          <w:rtl/>
          <w:lang w:eastAsia="de-DE"/>
        </w:rPr>
        <w:t>מקום</w:t>
      </w:r>
      <w:r w:rsidRPr="009A13B9">
        <w:rPr>
          <w:rFonts w:eastAsia="Times New Roman" w:cs="Times New Roman"/>
          <w:rtl/>
          <w:lang w:eastAsia="de-DE"/>
        </w:rPr>
        <w:t xml:space="preserve"> </w:t>
      </w:r>
      <w:r w:rsidRPr="009A13B9">
        <w:rPr>
          <w:rFonts w:eastAsia="Times New Roman" w:cs="Times New Roman"/>
          <w:lang w:eastAsia="de-DE"/>
        </w:rPr>
        <w:t xml:space="preserve">(Ort/Stelle) mit </w:t>
      </w:r>
      <w:r w:rsidRPr="009A13B9">
        <w:rPr>
          <w:rFonts w:eastAsia="Times New Roman" w:cs="Times New Roman"/>
          <w:b/>
          <w:bCs/>
          <w:rtl/>
          <w:lang w:eastAsia="de-DE"/>
        </w:rPr>
        <w:t>השחין</w:t>
      </w:r>
      <w:r w:rsidRPr="009A13B9">
        <w:rPr>
          <w:rFonts w:eastAsia="Times New Roman" w:cs="Times New Roman"/>
          <w:rtl/>
          <w:lang w:eastAsia="de-DE"/>
        </w:rPr>
        <w:t xml:space="preserve"> </w:t>
      </w:r>
      <w:r w:rsidRPr="009A13B9">
        <w:rPr>
          <w:rFonts w:eastAsia="Times New Roman" w:cs="Times New Roman"/>
          <w:lang w:eastAsia="de-DE"/>
        </w:rPr>
        <w:t xml:space="preserve">aus V. 18. </w:t>
      </w:r>
      <w:r w:rsidRPr="009A13B9">
        <w:rPr>
          <w:rFonts w:eastAsia="Times New Roman" w:cs="Times New Roman"/>
          <w:b/>
          <w:bCs/>
          <w:rtl/>
          <w:lang w:eastAsia="de-DE"/>
        </w:rPr>
        <w:t>שאת לבנה או בהרת 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(weiße Erhebung oder weißrötlicher Fleck) - </w:t>
      </w:r>
      <w:r w:rsidRPr="009A13B9">
        <w:rPr>
          <w:rFonts w:eastAsia="Times New Roman" w:cs="Times New Roman"/>
          <w:b/>
          <w:bCs/>
          <w:rtl/>
          <w:lang w:eastAsia="de-DE"/>
        </w:rPr>
        <w:t>שאת לבנה</w:t>
      </w:r>
      <w:r w:rsidRPr="009A13B9">
        <w:rPr>
          <w:rFonts w:eastAsia="Times New Roman" w:cs="Times New Roman"/>
          <w:rtl/>
          <w:lang w:eastAsia="de-DE"/>
        </w:rPr>
        <w:t xml:space="preserve"> </w:t>
      </w:r>
      <w:r w:rsidRPr="009A13B9">
        <w:rPr>
          <w:rFonts w:eastAsia="Times New Roman" w:cs="Times New Roman"/>
          <w:lang w:eastAsia="de-DE"/>
        </w:rPr>
        <w:t xml:space="preserve">(weiße Erhebung) und </w:t>
      </w:r>
      <w:r w:rsidRPr="009A13B9">
        <w:rPr>
          <w:rFonts w:eastAsia="Times New Roman" w:cs="Times New Roman"/>
          <w:b/>
          <w:bCs/>
          <w:rtl/>
          <w:lang w:eastAsia="de-DE"/>
        </w:rPr>
        <w:t>בהרת לבנה אדמדמת</w:t>
      </w:r>
      <w:r w:rsidRPr="009A13B9">
        <w:rPr>
          <w:rFonts w:eastAsia="Times New Roman" w:cs="Times New Roman"/>
          <w:rtl/>
          <w:lang w:eastAsia="de-DE"/>
        </w:rPr>
        <w:t xml:space="preserve"> </w:t>
      </w:r>
      <w:r w:rsidRPr="009A13B9">
        <w:rPr>
          <w:rFonts w:eastAsia="Times New Roman" w:cs="Times New Roman"/>
          <w:lang w:eastAsia="de-DE"/>
        </w:rPr>
        <w:t>(weißrötlicher Fleck) als zwei alternative Erscheinungsformen.</w:t>
      </w:r>
    </w:p>
    <w:p w14:paraId="29C4F97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ונראה אל־הכהן</w:t>
      </w:r>
      <w:r w:rsidRPr="009A13B9">
        <w:rPr>
          <w:rFonts w:eastAsia="Times New Roman" w:cs="Times New Roman"/>
          <w:rtl/>
          <w:lang w:eastAsia="de-DE"/>
        </w:rPr>
        <w:t xml:space="preserve"> </w:t>
      </w:r>
      <w:r w:rsidRPr="009A13B9">
        <w:rPr>
          <w:rFonts w:eastAsia="Times New Roman" w:cs="Times New Roman"/>
          <w:lang w:eastAsia="de-DE"/>
        </w:rPr>
        <w:t xml:space="preserve">regelt das Verfahren. </w:t>
      </w:r>
      <w:r w:rsidRPr="009A13B9">
        <w:rPr>
          <w:rFonts w:eastAsia="Times New Roman" w:cs="Times New Roman"/>
          <w:b/>
          <w:bCs/>
          <w:rtl/>
          <w:lang w:eastAsia="de-DE"/>
        </w:rPr>
        <w:t>ונראה אל־הכהן</w:t>
      </w:r>
      <w:r w:rsidRPr="009A13B9">
        <w:rPr>
          <w:rFonts w:eastAsia="Times New Roman" w:cs="Times New Roman"/>
          <w:rtl/>
          <w:lang w:eastAsia="de-DE"/>
        </w:rPr>
        <w:t xml:space="preserve"> </w:t>
      </w:r>
      <w:r w:rsidRPr="009A13B9">
        <w:rPr>
          <w:rFonts w:eastAsia="Times New Roman" w:cs="Times New Roman"/>
          <w:lang w:eastAsia="de-DE"/>
        </w:rPr>
        <w:t xml:space="preserve">(und er soll sich dem Priester zeigen) -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im Nifal-Perfekt mit Waw-Konsekutiv zeigt die Pflicht zur Untersuchung.</w:t>
      </w:r>
    </w:p>
    <w:p w14:paraId="04A3694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במקום השחין</w:t>
      </w:r>
      <w:r w:rsidRPr="009A13B9">
        <w:rPr>
          <w:rFonts w:eastAsia="Times New Roman" w:cs="Times New Roman"/>
          <w:rtl/>
          <w:lang w:eastAsia="de-DE"/>
        </w:rPr>
        <w:t xml:space="preserve"> </w:t>
      </w:r>
      <w:r w:rsidRPr="009A13B9">
        <w:rPr>
          <w:rFonts w:eastAsia="Times New Roman" w:cs="Times New Roman"/>
          <w:lang w:eastAsia="de-DE"/>
        </w:rPr>
        <w:t xml:space="preserve">zeigt, dass die Hautveränderung genau an der Stelle des geheilten Geschwürs auftritt. </w:t>
      </w:r>
      <w:r w:rsidRPr="009A13B9">
        <w:rPr>
          <w:rFonts w:eastAsia="Times New Roman" w:cs="Times New Roman"/>
          <w:b/>
          <w:bCs/>
          <w:rtl/>
          <w:lang w:eastAsia="de-DE"/>
        </w:rPr>
        <w:t>שאת לבנה או בהרת 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entspricht den Grundkategorien aus V. 2, aber in spezifischer Lokalisation. </w:t>
      </w:r>
      <w:r w:rsidRPr="009A13B9">
        <w:rPr>
          <w:rFonts w:eastAsia="Times New Roman" w:cs="Times New Roman"/>
          <w:b/>
          <w:bCs/>
          <w:rtl/>
          <w:lang w:eastAsia="de-DE"/>
        </w:rPr>
        <w:t>אדמדמת</w:t>
      </w:r>
      <w:r w:rsidRPr="009A13B9">
        <w:rPr>
          <w:rFonts w:eastAsia="Times New Roman" w:cs="Times New Roman"/>
          <w:rtl/>
          <w:lang w:eastAsia="de-DE"/>
        </w:rPr>
        <w:t xml:space="preserve"> </w:t>
      </w:r>
      <w:r w:rsidRPr="009A13B9">
        <w:rPr>
          <w:rFonts w:eastAsia="Times New Roman" w:cs="Times New Roman"/>
          <w:lang w:eastAsia="de-DE"/>
        </w:rPr>
        <w:t>(rötlich) als Farbvariante zur reinen Weißfärbung.</w:t>
      </w:r>
    </w:p>
    <w:p w14:paraId="0C0BA0B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במקום השחין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τῷ</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τό</w:t>
      </w:r>
      <w:proofErr w:type="spellEnd"/>
      <w:r w:rsidRPr="009A13B9">
        <w:rPr>
          <w:rFonts w:eastAsia="Times New Roman" w:cs="Times New Roman"/>
          <w:lang w:eastAsia="de-DE"/>
        </w:rPr>
        <w:t xml:space="preserve">πῳ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ἕλκους</w:t>
      </w:r>
      <w:proofErr w:type="spellEnd"/>
      <w:r w:rsidRPr="009A13B9">
        <w:rPr>
          <w:rFonts w:eastAsia="Times New Roman" w:cs="Times New Roman"/>
          <w:lang w:eastAsia="de-DE"/>
        </w:rPr>
        <w:t xml:space="preserve"> (an der Stelle des Geschwürs), </w:t>
      </w:r>
      <w:r w:rsidRPr="009A13B9">
        <w:rPr>
          <w:rFonts w:eastAsia="Times New Roman" w:cs="Times New Roman"/>
          <w:b/>
          <w:bCs/>
          <w:rtl/>
          <w:lang w:eastAsia="de-DE"/>
        </w:rPr>
        <w:t>שאת לבנה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οὐλὴ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λευκή</w:t>
      </w:r>
      <w:proofErr w:type="spellEnd"/>
      <w:r w:rsidRPr="009A13B9">
        <w:rPr>
          <w:rFonts w:eastAsia="Times New Roman" w:cs="Times New Roman"/>
          <w:lang w:eastAsia="de-DE"/>
        </w:rPr>
        <w:t xml:space="preserve"> (weiße Narbe) und </w:t>
      </w:r>
      <w:r w:rsidRPr="009A13B9">
        <w:rPr>
          <w:rFonts w:eastAsia="Times New Roman" w:cs="Times New Roman"/>
          <w:b/>
          <w:bCs/>
          <w:rtl/>
          <w:lang w:eastAsia="de-DE"/>
        </w:rPr>
        <w:t>אדמדמת</w:t>
      </w:r>
      <w:r w:rsidRPr="009A13B9">
        <w:rPr>
          <w:rFonts w:eastAsia="Times New Roman" w:cs="Times New Roman"/>
          <w:rtl/>
          <w:lang w:eastAsia="de-DE"/>
        </w:rPr>
        <w:t xml:space="preserve"> </w:t>
      </w:r>
      <w:r w:rsidRPr="009A13B9">
        <w:rPr>
          <w:rFonts w:eastAsia="Times New Roman" w:cs="Times New Roman"/>
          <w:lang w:eastAsia="de-DE"/>
        </w:rPr>
        <w:t>mit ὑπ</w:t>
      </w:r>
      <w:proofErr w:type="spellStart"/>
      <w:r w:rsidRPr="009A13B9">
        <w:rPr>
          <w:rFonts w:eastAsia="Times New Roman" w:cs="Times New Roman"/>
          <w:lang w:eastAsia="de-DE"/>
        </w:rPr>
        <w:t>έρυθρος</w:t>
      </w:r>
      <w:proofErr w:type="spellEnd"/>
      <w:r w:rsidRPr="009A13B9">
        <w:rPr>
          <w:rFonts w:eastAsia="Times New Roman" w:cs="Times New Roman"/>
          <w:lang w:eastAsia="de-DE"/>
        </w:rPr>
        <w:t xml:space="preserve"> (rötlich).</w:t>
      </w:r>
    </w:p>
    <w:p w14:paraId="35215BF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Entwicklungsfall: Entstehung + lokale Spezifikation + zwei alternative Erscheinungsformen + Untersuchungsanordnung. Die Struktur zeigt sekundäre </w:t>
      </w:r>
      <w:r w:rsidRPr="009A13B9">
        <w:rPr>
          <w:rFonts w:eastAsia="Times New Roman" w:cs="Times New Roman"/>
          <w:b/>
          <w:bCs/>
          <w:rtl/>
          <w:lang w:eastAsia="de-DE"/>
        </w:rPr>
        <w:t>צרעת</w:t>
      </w:r>
      <w:r w:rsidRPr="009A13B9">
        <w:rPr>
          <w:rFonts w:eastAsia="Times New Roman" w:cs="Times New Roman"/>
          <w:lang w:eastAsia="de-DE"/>
        </w:rPr>
        <w:t>-Entwicklung.</w:t>
      </w:r>
    </w:p>
    <w:p w14:paraId="5BD27B4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regelt verdächtige Hautveränderungen an geheilten Geschwürsstellen und ordnet priesterliche Untersuchung an.</w:t>
      </w:r>
    </w:p>
    <w:p w14:paraId="34D1585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13,20</w:t>
      </w:r>
    </w:p>
    <w:p w14:paraId="5E370F3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וְהִנֵּ֤ה מַרְאֶ֨הָ֙ שָׁפָ֣ל מִן־הָע֔וֹר וּשְׂעָרָ֖הּ הָפַ֣ךְ לָבָ֑ן וְטִמְּאֹ֧ו הַכֹּהֵ֛ן נֶֽגַע־צָרַ֥עַת הִ֖יא בַּשְּׁחִ֥ין פָּרָֽחָה׃</w:t>
      </w:r>
    </w:p>
    <w:p w14:paraId="014FBC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es sieht, und siehe, sein Aussehen ist niedriger als die Haut, und sein Haar hat sich in Weiß verwandelt, so soll der Priester ihn für unrein erklären; es ist ein Aussatzmal, es ist in dem Geschwür ausgebrochen.</w:t>
      </w:r>
    </w:p>
    <w:p w14:paraId="6B07D5D4"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4986CCB">
          <v:rect id="_x0000_i1351" style="width:0;height:1.5pt" o:hralign="center" o:hrstd="t" o:hr="t" fillcolor="#a0a0a0" stroked="f"/>
        </w:pict>
      </w:r>
    </w:p>
    <w:p w14:paraId="26A310F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והנה מראה שפל מן־העור ושערה הפך לבן</w:t>
      </w:r>
      <w:r w:rsidRPr="009A13B9">
        <w:rPr>
          <w:rFonts w:eastAsia="Times New Roman" w:cs="Times New Roman"/>
          <w:rtl/>
          <w:lang w:eastAsia="de-DE"/>
        </w:rPr>
        <w:t xml:space="preserve"> </w:t>
      </w:r>
      <w:r w:rsidRPr="009A13B9">
        <w:rPr>
          <w:rFonts w:eastAsia="Times New Roman" w:cs="Times New Roman"/>
          <w:lang w:eastAsia="de-DE"/>
        </w:rPr>
        <w:t xml:space="preserve">zeigt die Diagnosekriterien.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entspricht der angeordneten Untersuchung aus V. 19. </w:t>
      </w:r>
      <w:r w:rsidRPr="009A13B9">
        <w:rPr>
          <w:rFonts w:eastAsia="Times New Roman" w:cs="Times New Roman"/>
          <w:b/>
          <w:bCs/>
          <w:rtl/>
          <w:lang w:eastAsia="de-DE"/>
        </w:rPr>
        <w:t>והנה מראה שפל מן־העור</w:t>
      </w:r>
      <w:r w:rsidRPr="009A13B9">
        <w:rPr>
          <w:rFonts w:eastAsia="Times New Roman" w:cs="Times New Roman"/>
          <w:rtl/>
          <w:lang w:eastAsia="de-DE"/>
        </w:rPr>
        <w:t xml:space="preserve"> </w:t>
      </w:r>
      <w:r w:rsidRPr="009A13B9">
        <w:rPr>
          <w:rFonts w:eastAsia="Times New Roman" w:cs="Times New Roman"/>
          <w:lang w:eastAsia="de-DE"/>
        </w:rPr>
        <w:t xml:space="preserve">(und siehe, sein Aussehen ist niedriger als die Haut) - </w:t>
      </w:r>
      <w:r w:rsidRPr="009A13B9">
        <w:rPr>
          <w:rFonts w:eastAsia="Times New Roman" w:cs="Times New Roman"/>
          <w:b/>
          <w:bCs/>
          <w:rtl/>
          <w:lang w:eastAsia="de-DE"/>
        </w:rPr>
        <w:t>מראה שפל</w:t>
      </w:r>
      <w:r w:rsidRPr="009A13B9">
        <w:rPr>
          <w:rFonts w:eastAsia="Times New Roman" w:cs="Times New Roman"/>
          <w:rtl/>
          <w:lang w:eastAsia="de-DE"/>
        </w:rPr>
        <w:t xml:space="preserve"> </w:t>
      </w:r>
      <w:r w:rsidRPr="009A13B9">
        <w:rPr>
          <w:rFonts w:eastAsia="Times New Roman" w:cs="Times New Roman"/>
          <w:lang w:eastAsia="de-DE"/>
        </w:rPr>
        <w:t xml:space="preserve">(niedriges Aussehen) entspricht </w:t>
      </w:r>
      <w:r w:rsidRPr="009A13B9">
        <w:rPr>
          <w:rFonts w:eastAsia="Times New Roman" w:cs="Times New Roman"/>
          <w:b/>
          <w:bCs/>
          <w:rtl/>
          <w:lang w:eastAsia="de-DE"/>
        </w:rPr>
        <w:t>עמק</w:t>
      </w:r>
      <w:r w:rsidRPr="009A13B9">
        <w:rPr>
          <w:rFonts w:eastAsia="Times New Roman" w:cs="Times New Roman"/>
          <w:rtl/>
          <w:lang w:eastAsia="de-DE"/>
        </w:rPr>
        <w:t xml:space="preserve"> </w:t>
      </w:r>
      <w:r w:rsidRPr="009A13B9">
        <w:rPr>
          <w:rFonts w:eastAsia="Times New Roman" w:cs="Times New Roman"/>
          <w:lang w:eastAsia="de-DE"/>
        </w:rPr>
        <w:t xml:space="preserve">aus V. 3. </w:t>
      </w:r>
      <w:r w:rsidRPr="009A13B9">
        <w:rPr>
          <w:rFonts w:eastAsia="Times New Roman" w:cs="Times New Roman"/>
          <w:b/>
          <w:bCs/>
          <w:rtl/>
          <w:lang w:eastAsia="de-DE"/>
        </w:rPr>
        <w:t>ושערה הפך לבן</w:t>
      </w:r>
      <w:r w:rsidRPr="009A13B9">
        <w:rPr>
          <w:rFonts w:eastAsia="Times New Roman" w:cs="Times New Roman"/>
          <w:rtl/>
          <w:lang w:eastAsia="de-DE"/>
        </w:rPr>
        <w:t xml:space="preserve"> </w:t>
      </w:r>
      <w:r w:rsidRPr="009A13B9">
        <w:rPr>
          <w:rFonts w:eastAsia="Times New Roman" w:cs="Times New Roman"/>
          <w:lang w:eastAsia="de-DE"/>
        </w:rPr>
        <w:t>(und sein Haar hat sich in Weiß verwandelt) entspricht dem Kriterium aus V. 3.</w:t>
      </w:r>
    </w:p>
    <w:p w14:paraId="58CDB45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וטמאו הכהן נגע־צרעת היא בשחין פרחה</w:t>
      </w:r>
      <w:r w:rsidRPr="009A13B9">
        <w:rPr>
          <w:rFonts w:eastAsia="Times New Roman" w:cs="Times New Roman"/>
          <w:rtl/>
          <w:lang w:eastAsia="de-DE"/>
        </w:rPr>
        <w:t xml:space="preserve"> </w:t>
      </w:r>
      <w:r w:rsidRPr="009A13B9">
        <w:rPr>
          <w:rFonts w:eastAsia="Times New Roman" w:cs="Times New Roman"/>
          <w:lang w:eastAsia="de-DE"/>
        </w:rPr>
        <w:t xml:space="preserve">zeigt Diagnose und Erklärung. </w:t>
      </w:r>
      <w:r w:rsidRPr="009A13B9">
        <w:rPr>
          <w:rFonts w:eastAsia="Times New Roman" w:cs="Times New Roman"/>
          <w:b/>
          <w:bCs/>
          <w:rtl/>
          <w:lang w:eastAsia="de-DE"/>
        </w:rPr>
        <w:t>וטמאו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entspricht V. 3. </w:t>
      </w:r>
      <w:r w:rsidRPr="009A13B9">
        <w:rPr>
          <w:rFonts w:eastAsia="Times New Roman" w:cs="Times New Roman"/>
          <w:b/>
          <w:bCs/>
          <w:rtl/>
          <w:lang w:eastAsia="de-DE"/>
        </w:rPr>
        <w:t>נגע־צרעת היא</w:t>
      </w:r>
      <w:r w:rsidRPr="009A13B9">
        <w:rPr>
          <w:rFonts w:eastAsia="Times New Roman" w:cs="Times New Roman"/>
          <w:rtl/>
          <w:lang w:eastAsia="de-DE"/>
        </w:rPr>
        <w:t xml:space="preserve"> </w:t>
      </w:r>
      <w:r w:rsidRPr="009A13B9">
        <w:rPr>
          <w:rFonts w:eastAsia="Times New Roman" w:cs="Times New Roman"/>
          <w:lang w:eastAsia="de-DE"/>
        </w:rPr>
        <w:t xml:space="preserve">(ein Aussatzmal ist es) als definitive Diagnose. </w:t>
      </w:r>
      <w:r w:rsidRPr="009A13B9">
        <w:rPr>
          <w:rFonts w:eastAsia="Times New Roman" w:cs="Times New Roman"/>
          <w:b/>
          <w:bCs/>
          <w:rtl/>
          <w:lang w:eastAsia="de-DE"/>
        </w:rPr>
        <w:t>בשחין פרחה</w:t>
      </w:r>
      <w:r w:rsidRPr="009A13B9">
        <w:rPr>
          <w:rFonts w:eastAsia="Times New Roman" w:cs="Times New Roman"/>
          <w:rtl/>
          <w:lang w:eastAsia="de-DE"/>
        </w:rPr>
        <w:t xml:space="preserve"> </w:t>
      </w:r>
      <w:r w:rsidRPr="009A13B9">
        <w:rPr>
          <w:rFonts w:eastAsia="Times New Roman" w:cs="Times New Roman"/>
          <w:lang w:eastAsia="de-DE"/>
        </w:rPr>
        <w:t xml:space="preserve">(in dem Geschwür ist es ausgebrochen) - </w:t>
      </w:r>
      <w:r w:rsidRPr="009A13B9">
        <w:rPr>
          <w:rFonts w:eastAsia="Times New Roman" w:cs="Times New Roman"/>
          <w:b/>
          <w:bCs/>
          <w:rtl/>
          <w:lang w:eastAsia="de-DE"/>
        </w:rPr>
        <w:t>פרחה</w:t>
      </w:r>
      <w:r w:rsidRPr="009A13B9">
        <w:rPr>
          <w:rFonts w:eastAsia="Times New Roman" w:cs="Times New Roman"/>
          <w:rtl/>
          <w:lang w:eastAsia="de-DE"/>
        </w:rPr>
        <w:t xml:space="preserve"> </w:t>
      </w:r>
      <w:r w:rsidRPr="009A13B9">
        <w:rPr>
          <w:rFonts w:eastAsia="Times New Roman" w:cs="Times New Roman"/>
          <w:lang w:eastAsia="de-DE"/>
        </w:rPr>
        <w:t xml:space="preserve">(ist ausgebrochen) im Qal-Perfekt feminin entsprechend </w:t>
      </w:r>
      <w:r w:rsidRPr="009A13B9">
        <w:rPr>
          <w:rFonts w:eastAsia="Times New Roman" w:cs="Times New Roman"/>
          <w:b/>
          <w:bCs/>
          <w:rtl/>
          <w:lang w:eastAsia="de-DE"/>
        </w:rPr>
        <w:t>צרעת</w:t>
      </w:r>
      <w:r w:rsidRPr="009A13B9">
        <w:rPr>
          <w:rFonts w:eastAsia="Times New Roman" w:cs="Times New Roman"/>
          <w:lang w:eastAsia="de-DE"/>
        </w:rPr>
        <w:t>.</w:t>
      </w:r>
    </w:p>
    <w:p w14:paraId="668CF9D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מראה שפל מן־העור</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שערה הפך לבן</w:t>
      </w:r>
      <w:r w:rsidRPr="009A13B9">
        <w:rPr>
          <w:rFonts w:eastAsia="Times New Roman" w:cs="Times New Roman"/>
          <w:rtl/>
          <w:lang w:eastAsia="de-DE"/>
        </w:rPr>
        <w:t xml:space="preserve"> </w:t>
      </w:r>
      <w:r w:rsidRPr="009A13B9">
        <w:rPr>
          <w:rFonts w:eastAsia="Times New Roman" w:cs="Times New Roman"/>
          <w:lang w:eastAsia="de-DE"/>
        </w:rPr>
        <w:t xml:space="preserve">sind dieselben Kriterien wie bei primärer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aus V. 3. </w:t>
      </w:r>
      <w:r w:rsidRPr="009A13B9">
        <w:rPr>
          <w:rFonts w:eastAsia="Times New Roman" w:cs="Times New Roman"/>
          <w:b/>
          <w:bCs/>
          <w:rtl/>
          <w:lang w:eastAsia="de-DE"/>
        </w:rPr>
        <w:t>נגע־צרעת היא</w:t>
      </w:r>
      <w:r w:rsidRPr="009A13B9">
        <w:rPr>
          <w:rFonts w:eastAsia="Times New Roman" w:cs="Times New Roman"/>
          <w:rtl/>
          <w:lang w:eastAsia="de-DE"/>
        </w:rPr>
        <w:t xml:space="preserve"> </w:t>
      </w:r>
      <w:r w:rsidRPr="009A13B9">
        <w:rPr>
          <w:rFonts w:eastAsia="Times New Roman" w:cs="Times New Roman"/>
          <w:lang w:eastAsia="de-DE"/>
        </w:rPr>
        <w:t xml:space="preserve">zeigt, dass sekundäre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dieselbe Klassifikation erhält. </w:t>
      </w:r>
      <w:r w:rsidRPr="009A13B9">
        <w:rPr>
          <w:rFonts w:eastAsia="Times New Roman" w:cs="Times New Roman"/>
          <w:b/>
          <w:bCs/>
          <w:rtl/>
          <w:lang w:eastAsia="de-DE"/>
        </w:rPr>
        <w:t>בשחין פרחה</w:t>
      </w:r>
      <w:r w:rsidRPr="009A13B9">
        <w:rPr>
          <w:rFonts w:eastAsia="Times New Roman" w:cs="Times New Roman"/>
          <w:rtl/>
          <w:lang w:eastAsia="de-DE"/>
        </w:rPr>
        <w:t xml:space="preserve"> </w:t>
      </w:r>
      <w:r w:rsidRPr="009A13B9">
        <w:rPr>
          <w:rFonts w:eastAsia="Times New Roman" w:cs="Times New Roman"/>
          <w:lang w:eastAsia="de-DE"/>
        </w:rPr>
        <w:t>erklärt die Entstehung in der Geschwürsstelle.</w:t>
      </w:r>
    </w:p>
    <w:p w14:paraId="4959DE2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LXX</w:t>
      </w:r>
      <w:r w:rsidRPr="009A13B9">
        <w:rPr>
          <w:rFonts w:eastAsia="Times New Roman" w:cs="Times New Roman"/>
          <w:lang w:eastAsia="de-DE"/>
        </w:rPr>
        <w:t xml:space="preserve"> übersetzt </w:t>
      </w:r>
      <w:r w:rsidRPr="009A13B9">
        <w:rPr>
          <w:rFonts w:eastAsia="Times New Roman" w:cs="Times New Roman"/>
          <w:b/>
          <w:bCs/>
          <w:rtl/>
          <w:lang w:eastAsia="de-DE"/>
        </w:rPr>
        <w:t>מראה שפל</w:t>
      </w:r>
      <w:r w:rsidRPr="009A13B9">
        <w:rPr>
          <w:rFonts w:eastAsia="Times New Roman" w:cs="Times New Roman"/>
          <w:rtl/>
          <w:lang w:eastAsia="de-DE"/>
        </w:rPr>
        <w:t xml:space="preserve"> </w:t>
      </w:r>
      <w:r w:rsidRPr="009A13B9">
        <w:rPr>
          <w:rFonts w:eastAsia="Times New Roman" w:cs="Times New Roman"/>
          <w:lang w:eastAsia="de-DE"/>
        </w:rPr>
        <w:t xml:space="preserve">mit ἡ </w:t>
      </w:r>
      <w:proofErr w:type="spellStart"/>
      <w:r w:rsidRPr="009A13B9">
        <w:rPr>
          <w:rFonts w:eastAsia="Times New Roman" w:cs="Times New Roman"/>
          <w:lang w:eastAsia="de-DE"/>
        </w:rPr>
        <w:t>ὄψις</w:t>
      </w:r>
      <w:proofErr w:type="spellEnd"/>
      <w:r w:rsidRPr="009A13B9">
        <w:rPr>
          <w:rFonts w:eastAsia="Times New Roman" w:cs="Times New Roman"/>
          <w:lang w:eastAsia="de-DE"/>
        </w:rPr>
        <w:t xml:space="preserve"> ταπ</w:t>
      </w:r>
      <w:proofErr w:type="spellStart"/>
      <w:r w:rsidRPr="009A13B9">
        <w:rPr>
          <w:rFonts w:eastAsia="Times New Roman" w:cs="Times New Roman"/>
          <w:lang w:eastAsia="de-DE"/>
        </w:rPr>
        <w:t>εινή</w:t>
      </w:r>
      <w:proofErr w:type="spellEnd"/>
      <w:r w:rsidRPr="009A13B9">
        <w:rPr>
          <w:rFonts w:eastAsia="Times New Roman" w:cs="Times New Roman"/>
          <w:lang w:eastAsia="de-DE"/>
        </w:rPr>
        <w:t xml:space="preserve"> (das Aussehen niedrig), </w:t>
      </w:r>
      <w:r w:rsidRPr="009A13B9">
        <w:rPr>
          <w:rFonts w:eastAsia="Times New Roman" w:cs="Times New Roman"/>
          <w:b/>
          <w:bCs/>
          <w:rtl/>
          <w:lang w:eastAsia="de-DE"/>
        </w:rPr>
        <w:t>ושערה הפך לבן</w:t>
      </w:r>
      <w:r w:rsidRPr="009A13B9">
        <w:rPr>
          <w:rFonts w:eastAsia="Times New Roman" w:cs="Times New Roman"/>
          <w:rtl/>
          <w:lang w:eastAsia="de-DE"/>
        </w:rPr>
        <w:t xml:space="preserve"> </w:t>
      </w:r>
      <w:r w:rsidRPr="009A13B9">
        <w:rPr>
          <w:rFonts w:eastAsia="Times New Roman" w:cs="Times New Roman"/>
          <w:lang w:eastAsia="de-DE"/>
        </w:rPr>
        <w:t xml:space="preserve">mit ἡ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μετέ</w:t>
      </w:r>
      <w:proofErr w:type="spellEnd"/>
      <w:r w:rsidRPr="009A13B9">
        <w:rPr>
          <w:rFonts w:eastAsia="Times New Roman" w:cs="Times New Roman"/>
          <w:lang w:eastAsia="de-DE"/>
        </w:rPr>
        <w:t xml:space="preserve">βαλεν </w:t>
      </w:r>
      <w:proofErr w:type="spellStart"/>
      <w:r w:rsidRPr="009A13B9">
        <w:rPr>
          <w:rFonts w:eastAsia="Times New Roman" w:cs="Times New Roman"/>
          <w:lang w:eastAsia="de-DE"/>
        </w:rPr>
        <w:t>λευκή</w:t>
      </w:r>
      <w:proofErr w:type="spellEnd"/>
      <w:r w:rsidRPr="009A13B9">
        <w:rPr>
          <w:rFonts w:eastAsia="Times New Roman" w:cs="Times New Roman"/>
          <w:lang w:eastAsia="de-DE"/>
        </w:rPr>
        <w:t xml:space="preserve"> (das Haar verwandelte sich weiß) und </w:t>
      </w:r>
      <w:r w:rsidRPr="009A13B9">
        <w:rPr>
          <w:rFonts w:eastAsia="Times New Roman" w:cs="Times New Roman"/>
          <w:b/>
          <w:bCs/>
          <w:rtl/>
          <w:lang w:eastAsia="de-DE"/>
        </w:rPr>
        <w:t>פרחה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ἐξήνθησεν</w:t>
      </w:r>
      <w:proofErr w:type="spellEnd"/>
      <w:r w:rsidRPr="009A13B9">
        <w:rPr>
          <w:rFonts w:eastAsia="Times New Roman" w:cs="Times New Roman"/>
          <w:lang w:eastAsia="de-DE"/>
        </w:rPr>
        <w:t xml:space="preserve"> (ist aufgeblüht).</w:t>
      </w:r>
    </w:p>
    <w:p w14:paraId="17ACAD0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definitive Diagnose: priesterliche Untersuchung + zwei bestätigte Kriterien + Unreinheitserklärung + Diagnose + Entstehungserklärung. Die Struktur zeigt identische Kriterien bei sekundärer </w:t>
      </w:r>
      <w:r w:rsidRPr="009A13B9">
        <w:rPr>
          <w:rFonts w:eastAsia="Times New Roman" w:cs="Times New Roman"/>
          <w:b/>
          <w:bCs/>
          <w:rtl/>
          <w:lang w:eastAsia="de-DE"/>
        </w:rPr>
        <w:t>צרעת</w:t>
      </w:r>
      <w:r w:rsidRPr="009A13B9">
        <w:rPr>
          <w:rFonts w:eastAsia="Times New Roman" w:cs="Times New Roman"/>
          <w:lang w:eastAsia="de-DE"/>
        </w:rPr>
        <w:t>.</w:t>
      </w:r>
    </w:p>
    <w:p w14:paraId="5677A3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in Geschwürsstellen mit denselben Kriterien diagnostiziert wird wie primäre </w:t>
      </w:r>
      <w:r w:rsidRPr="009A13B9">
        <w:rPr>
          <w:rFonts w:eastAsia="Times New Roman" w:cs="Times New Roman"/>
          <w:b/>
          <w:bCs/>
          <w:rtl/>
          <w:lang w:eastAsia="de-DE"/>
        </w:rPr>
        <w:t>צרעת</w:t>
      </w:r>
      <w:r w:rsidRPr="009A13B9">
        <w:rPr>
          <w:rFonts w:eastAsia="Times New Roman" w:cs="Times New Roman"/>
          <w:lang w:eastAsia="de-DE"/>
        </w:rPr>
        <w:t>.</w:t>
      </w:r>
    </w:p>
    <w:p w14:paraId="46CC9A5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13,21</w:t>
      </w:r>
    </w:p>
    <w:p w14:paraId="324A19C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 יִרְאֶ֣נָּה הַכֹּהֵ֗ן וְהִנֵּ֤ה אֵֽין־בָּהּ֙ שֵׂעָ֣ר לָבָ֔ן וּשְׁפָלָ֥ה אֵינֶ֛נָּה מִן־הָע֖וֹר וְהִ֣יא כֵהָ֑ה וְהִסְגִּירֹ֥ו הַכֹּהֵ֖ן שִׁבְעַ֥ת יָמִֽים׃</w:t>
      </w:r>
    </w:p>
    <w:p w14:paraId="5FCBD22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es sieht, und siehe, es ist kein weißes Haar darin, und es ist nicht niedriger als die Haut und ist dunkel, so soll der Priester ihn sieben Tage einschließen.</w:t>
      </w:r>
    </w:p>
    <w:p w14:paraId="294989AB"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76929224">
          <v:rect id="_x0000_i1352" style="width:0;height:1.5pt" o:hralign="center" o:hrstd="t" o:hr="t" fillcolor="#a0a0a0" stroked="f"/>
        </w:pict>
      </w:r>
    </w:p>
    <w:p w14:paraId="0B8995CA" w14:textId="77777777" w:rsidR="009A13B9" w:rsidRDefault="009A13B9" w:rsidP="009A13B9">
      <w:pPr>
        <w:pStyle w:val="whitespace-normal"/>
      </w:pPr>
      <w:r w:rsidRPr="009A13B9">
        <w:rPr>
          <w:b/>
          <w:bCs/>
        </w:rPr>
        <w:t>Kommentar:</w:t>
      </w:r>
      <w:r w:rsidRPr="009A13B9">
        <w:t xml:space="preserve"> </w:t>
      </w:r>
      <w:r w:rsidRPr="009A13B9">
        <w:rPr>
          <w:b/>
          <w:bCs/>
          <w:rtl/>
        </w:rPr>
        <w:t>ואם יראנה הכהן והנה אין־בה שער לבן ושפלה איננה מן־העור והיא כהה</w:t>
      </w:r>
      <w:r w:rsidRPr="009A13B9">
        <w:rPr>
          <w:rtl/>
        </w:rPr>
        <w:t xml:space="preserve"> </w:t>
      </w:r>
      <w:r w:rsidRPr="009A13B9">
        <w:t>zeigt unklare Fälle.</w:t>
      </w:r>
      <w:r>
        <w:t xml:space="preserve"> </w:t>
      </w:r>
      <w:r>
        <w:rPr>
          <w:rStyle w:val="Fett"/>
          <w:rtl/>
        </w:rPr>
        <w:t>ואם יראנה הכהן והנה אין־בה שער לבן ושפלה איננה מן־העור והיא כהה</w:t>
      </w:r>
      <w:r>
        <w:rPr>
          <w:rtl/>
        </w:rPr>
        <w:t xml:space="preserve"> </w:t>
      </w:r>
      <w:r>
        <w:t xml:space="preserve">zeigt unklare Fälle. </w:t>
      </w:r>
      <w:r>
        <w:rPr>
          <w:rStyle w:val="Fett"/>
          <w:rtl/>
        </w:rPr>
        <w:t>ואם יראנה הכהן</w:t>
      </w:r>
      <w:r>
        <w:rPr>
          <w:rtl/>
        </w:rPr>
        <w:t xml:space="preserve"> </w:t>
      </w:r>
      <w:r>
        <w:t xml:space="preserve">(und wenn der Priester es sieht) mit feminin Objektsuffix entsprechend </w:t>
      </w:r>
      <w:r>
        <w:rPr>
          <w:rStyle w:val="Fett"/>
          <w:rtl/>
        </w:rPr>
        <w:t>שאת</w:t>
      </w:r>
      <w:r>
        <w:rPr>
          <w:rtl/>
        </w:rPr>
        <w:t xml:space="preserve"> </w:t>
      </w:r>
      <w:r>
        <w:t xml:space="preserve">oder </w:t>
      </w:r>
      <w:r>
        <w:rPr>
          <w:rStyle w:val="Fett"/>
          <w:rtl/>
        </w:rPr>
        <w:t>בהרת</w:t>
      </w:r>
      <w:r>
        <w:rPr>
          <w:rtl/>
        </w:rPr>
        <w:t xml:space="preserve"> </w:t>
      </w:r>
      <w:r>
        <w:t xml:space="preserve">aus V. 19. </w:t>
      </w:r>
      <w:r>
        <w:rPr>
          <w:rStyle w:val="Fett"/>
          <w:rtl/>
        </w:rPr>
        <w:t>והנה אין־בה שער לבן</w:t>
      </w:r>
      <w:r>
        <w:rPr>
          <w:rtl/>
        </w:rPr>
        <w:t xml:space="preserve"> </w:t>
      </w:r>
      <w:r>
        <w:t xml:space="preserve">(und siehe, es ist kein weißes Haar darin) negiert das erste Kriterium aus V. 20. </w:t>
      </w:r>
      <w:r>
        <w:rPr>
          <w:rStyle w:val="Fett"/>
          <w:rtl/>
        </w:rPr>
        <w:t>ושפלה איננה מן־העור</w:t>
      </w:r>
      <w:r>
        <w:rPr>
          <w:rtl/>
        </w:rPr>
        <w:t xml:space="preserve"> </w:t>
      </w:r>
      <w:r>
        <w:t xml:space="preserve">(und niedrig ist es nicht als die Haut) - </w:t>
      </w:r>
      <w:r>
        <w:rPr>
          <w:rStyle w:val="Fett"/>
          <w:rtl/>
        </w:rPr>
        <w:t>שפלה איננה</w:t>
      </w:r>
      <w:r>
        <w:rPr>
          <w:rtl/>
        </w:rPr>
        <w:t xml:space="preserve"> </w:t>
      </w:r>
      <w:r>
        <w:t xml:space="preserve">(niedrig ist es nicht) mit doppelter Negation entspricht </w:t>
      </w:r>
      <w:r>
        <w:rPr>
          <w:rStyle w:val="Fett"/>
          <w:rtl/>
        </w:rPr>
        <w:t>לא עמק</w:t>
      </w:r>
      <w:r>
        <w:rPr>
          <w:rtl/>
        </w:rPr>
        <w:t xml:space="preserve"> </w:t>
      </w:r>
      <w:r>
        <w:t xml:space="preserve">aus V. 4. </w:t>
      </w:r>
      <w:r>
        <w:rPr>
          <w:rStyle w:val="Fett"/>
          <w:rtl/>
        </w:rPr>
        <w:t>והיא כהה</w:t>
      </w:r>
      <w:r>
        <w:rPr>
          <w:rtl/>
        </w:rPr>
        <w:t xml:space="preserve"> </w:t>
      </w:r>
      <w:r>
        <w:t>(und es ist dunkel) zeigt Verblassung statt Intensivierung.</w:t>
      </w:r>
    </w:p>
    <w:p w14:paraId="38442AA5" w14:textId="77777777" w:rsidR="009A13B9" w:rsidRDefault="009A13B9" w:rsidP="009A13B9">
      <w:pPr>
        <w:pStyle w:val="whitespace-normal"/>
      </w:pPr>
      <w:r>
        <w:rPr>
          <w:rStyle w:val="Fett"/>
          <w:rtl/>
        </w:rPr>
        <w:t>והסגירו הכהן שבעת ימים</w:t>
      </w:r>
      <w:r>
        <w:rPr>
          <w:rtl/>
        </w:rPr>
        <w:t xml:space="preserve"> </w:t>
      </w:r>
      <w:r>
        <w:t xml:space="preserve">zeigt das Quarantäneverfahren. </w:t>
      </w:r>
      <w:r>
        <w:rPr>
          <w:rStyle w:val="Fett"/>
          <w:rtl/>
        </w:rPr>
        <w:t>והסגירו הכהן</w:t>
      </w:r>
      <w:r>
        <w:rPr>
          <w:rtl/>
        </w:rPr>
        <w:t xml:space="preserve"> </w:t>
      </w:r>
      <w:r>
        <w:t xml:space="preserve">(und der Priester soll ihn einschließen) entspricht V. 4. </w:t>
      </w:r>
      <w:r>
        <w:rPr>
          <w:rStyle w:val="Fett"/>
          <w:rtl/>
        </w:rPr>
        <w:t>שבעת ימים</w:t>
      </w:r>
      <w:r>
        <w:rPr>
          <w:rtl/>
        </w:rPr>
        <w:t xml:space="preserve"> </w:t>
      </w:r>
      <w:r>
        <w:t>(sieben Tage) als Standardbeobachtungszeit.</w:t>
      </w:r>
    </w:p>
    <w:p w14:paraId="2A24C1A0" w14:textId="77777777" w:rsidR="009A13B9" w:rsidRDefault="009A13B9" w:rsidP="009A13B9">
      <w:pPr>
        <w:pStyle w:val="whitespace-normal"/>
      </w:pPr>
      <w:r>
        <w:rPr>
          <w:rStyle w:val="Fett"/>
          <w:rtl/>
        </w:rPr>
        <w:t>אין־בה שער לבן</w:t>
      </w:r>
      <w:r>
        <w:rPr>
          <w:rtl/>
        </w:rPr>
        <w:t xml:space="preserve"> </w:t>
      </w:r>
      <w:r>
        <w:t xml:space="preserve">und </w:t>
      </w:r>
      <w:r>
        <w:rPr>
          <w:rStyle w:val="Fett"/>
          <w:rtl/>
        </w:rPr>
        <w:t>שפלה איננה מן־העור</w:t>
      </w:r>
      <w:r>
        <w:rPr>
          <w:rtl/>
        </w:rPr>
        <w:t xml:space="preserve"> </w:t>
      </w:r>
      <w:r>
        <w:t xml:space="preserve">negieren beide Hauptkriterien aus V. 20. </w:t>
      </w:r>
      <w:r>
        <w:rPr>
          <w:rStyle w:val="Fett"/>
          <w:rtl/>
        </w:rPr>
        <w:t>והיא כהה</w:t>
      </w:r>
      <w:r>
        <w:rPr>
          <w:rtl/>
        </w:rPr>
        <w:t xml:space="preserve"> </w:t>
      </w:r>
      <w:r>
        <w:t xml:space="preserve">zeigt Besserung statt Verschlechterung. </w:t>
      </w:r>
      <w:r>
        <w:rPr>
          <w:rStyle w:val="Fett"/>
          <w:rtl/>
        </w:rPr>
        <w:t>והסגירו</w:t>
      </w:r>
      <w:r>
        <w:rPr>
          <w:rtl/>
        </w:rPr>
        <w:t xml:space="preserve"> </w:t>
      </w:r>
      <w:r>
        <w:t>zeigt vorsichtiges Abwarten bei unklaren Fällen entsprechend dem Grundverfahren.</w:t>
      </w:r>
    </w:p>
    <w:p w14:paraId="5F24EE1D" w14:textId="77777777" w:rsidR="009A13B9" w:rsidRDefault="009A13B9" w:rsidP="009A13B9">
      <w:pPr>
        <w:pStyle w:val="whitespace-normal"/>
      </w:pPr>
      <w:r>
        <w:rPr>
          <w:rStyle w:val="Fett"/>
        </w:rPr>
        <w:t>Die LXX</w:t>
      </w:r>
      <w:r>
        <w:t xml:space="preserve"> übersetzt </w:t>
      </w:r>
      <w:r>
        <w:rPr>
          <w:rStyle w:val="Fett"/>
          <w:rtl/>
        </w:rPr>
        <w:t>יראנה</w:t>
      </w:r>
      <w:r>
        <w:rPr>
          <w:rtl/>
        </w:rPr>
        <w:t xml:space="preserve"> </w:t>
      </w:r>
      <w:r>
        <w:t xml:space="preserve">mit </w:t>
      </w:r>
      <w:proofErr w:type="spellStart"/>
      <w:r>
        <w:t>ἴδῃ</w:t>
      </w:r>
      <w:proofErr w:type="spellEnd"/>
      <w:r>
        <w:t xml:space="preserve"> α</w:t>
      </w:r>
      <w:proofErr w:type="spellStart"/>
      <w:r>
        <w:t>ὐτήν</w:t>
      </w:r>
      <w:proofErr w:type="spellEnd"/>
      <w:r>
        <w:t xml:space="preserve"> (er sieht es), </w:t>
      </w:r>
      <w:r>
        <w:rPr>
          <w:rStyle w:val="Fett"/>
          <w:rtl/>
        </w:rPr>
        <w:t>אין־בה שער לבן</w:t>
      </w:r>
      <w:r>
        <w:rPr>
          <w:rtl/>
        </w:rPr>
        <w:t xml:space="preserve"> </w:t>
      </w:r>
      <w:r>
        <w:t xml:space="preserve">mit </w:t>
      </w:r>
      <w:proofErr w:type="spellStart"/>
      <w:r>
        <w:t>οὐκ</w:t>
      </w:r>
      <w:proofErr w:type="spellEnd"/>
      <w:r>
        <w:t xml:space="preserve"> </w:t>
      </w:r>
      <w:proofErr w:type="spellStart"/>
      <w:r>
        <w:t>ἔστιν</w:t>
      </w:r>
      <w:proofErr w:type="spellEnd"/>
      <w:r>
        <w:t xml:space="preserve"> </w:t>
      </w:r>
      <w:proofErr w:type="spellStart"/>
      <w:r>
        <w:t>ἐν</w:t>
      </w:r>
      <w:proofErr w:type="spellEnd"/>
      <w:r>
        <w:t xml:space="preserve"> α</w:t>
      </w:r>
      <w:proofErr w:type="spellStart"/>
      <w:r>
        <w:t>ὐτῇ</w:t>
      </w:r>
      <w:proofErr w:type="spellEnd"/>
      <w:r>
        <w:t xml:space="preserve"> </w:t>
      </w:r>
      <w:proofErr w:type="spellStart"/>
      <w:r>
        <w:t>θρὶξ</w:t>
      </w:r>
      <w:proofErr w:type="spellEnd"/>
      <w:r>
        <w:t xml:space="preserve"> </w:t>
      </w:r>
      <w:proofErr w:type="spellStart"/>
      <w:r>
        <w:t>λευκή</w:t>
      </w:r>
      <w:proofErr w:type="spellEnd"/>
      <w:r>
        <w:t xml:space="preserve"> (es ist kein weißes Haar darin) und </w:t>
      </w:r>
      <w:r>
        <w:rPr>
          <w:rStyle w:val="Fett"/>
          <w:rtl/>
        </w:rPr>
        <w:t>כהה</w:t>
      </w:r>
      <w:r>
        <w:rPr>
          <w:rtl/>
        </w:rPr>
        <w:t xml:space="preserve"> </w:t>
      </w:r>
      <w:r>
        <w:t xml:space="preserve">mit </w:t>
      </w:r>
      <w:proofErr w:type="spellStart"/>
      <w:r>
        <w:t>ἀμ</w:t>
      </w:r>
      <w:proofErr w:type="spellEnd"/>
      <w:r>
        <w:t>αυρά (dunkel).</w:t>
      </w:r>
    </w:p>
    <w:p w14:paraId="26CFCA52" w14:textId="77777777" w:rsidR="009A13B9" w:rsidRDefault="009A13B9" w:rsidP="009A13B9">
      <w:pPr>
        <w:pStyle w:val="whitespace-normal"/>
      </w:pPr>
      <w:r>
        <w:rPr>
          <w:rStyle w:val="Fett"/>
        </w:rPr>
        <w:t>Die Satzstruktur:</w:t>
      </w:r>
      <w:r>
        <w:t xml:space="preserve"> zeigt Alternativverfahren: Konditionalsatz + drei negative Befunde + Quarantäneanordnung. Die Struktur zeigt vorsichtiges Verfahren bei unklaren Fällen.</w:t>
      </w:r>
    </w:p>
    <w:p w14:paraId="0C9161F7" w14:textId="77777777" w:rsidR="009A13B9" w:rsidRDefault="009A13B9" w:rsidP="009A13B9">
      <w:pPr>
        <w:pStyle w:val="whitespace-normal"/>
      </w:pPr>
      <w:r>
        <w:t>Dieser Vers regelt das Quarantäneverfahren für unklare Fälle von Hautveränderungen in Geschwürsstellen.</w:t>
      </w:r>
    </w:p>
    <w:p w14:paraId="2A0AA084"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13,22</w:t>
      </w:r>
    </w:p>
    <w:p w14:paraId="74BCB2C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וְאִם־פָּשֹׂ֥ה תִפְשֶׂ֖ה בָּע֑וֹר וְטִמֵּ֧א הַכֹּהֵ֛ן אֹתוֹ֖ נֶ֥גַע הִֽוא׃</w:t>
      </w:r>
    </w:p>
    <w:p w14:paraId="0624744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Wenn es aber auf der Haut sich ausbreitend ausbreitet, so soll der Priester ihn für unrein erklären: es ist ein Mal.</w:t>
      </w:r>
    </w:p>
    <w:p w14:paraId="3F8DDA47"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E69EEFF">
          <v:rect id="_x0000_i1353" style="width:0;height:1.5pt" o:hralign="center" o:hrstd="t" o:hr="t" fillcolor="#a0a0a0" stroked="f"/>
        </w:pict>
      </w:r>
    </w:p>
    <w:p w14:paraId="3FFBB3C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ואם־פשה תפשה בעור וטמא הכהן אתו נגע הוא</w:t>
      </w:r>
      <w:r w:rsidRPr="009A13B9">
        <w:rPr>
          <w:rFonts w:eastAsia="Times New Roman" w:cs="Times New Roman"/>
          <w:rtl/>
          <w:lang w:eastAsia="de-DE"/>
        </w:rPr>
        <w:t xml:space="preserve"> </w:t>
      </w:r>
      <w:r w:rsidRPr="009A13B9">
        <w:rPr>
          <w:rFonts w:eastAsia="Times New Roman" w:cs="Times New Roman"/>
          <w:lang w:eastAsia="de-DE"/>
        </w:rPr>
        <w:t xml:space="preserve">zeigt das Kriterium für </w:t>
      </w:r>
      <w:r w:rsidRPr="009A13B9">
        <w:rPr>
          <w:rFonts w:eastAsia="Times New Roman" w:cs="Times New Roman"/>
          <w:b/>
          <w:bCs/>
          <w:rtl/>
          <w:lang w:eastAsia="de-DE"/>
        </w:rPr>
        <w:t>צרעת</w:t>
      </w:r>
      <w:r w:rsidRPr="009A13B9">
        <w:rPr>
          <w:rFonts w:eastAsia="Times New Roman" w:cs="Times New Roman"/>
          <w:lang w:eastAsia="de-DE"/>
        </w:rPr>
        <w:t xml:space="preserve">-Diagnose. </w:t>
      </w:r>
      <w:r w:rsidRPr="009A13B9">
        <w:rPr>
          <w:rFonts w:eastAsia="Times New Roman" w:cs="Times New Roman"/>
          <w:b/>
          <w:bCs/>
          <w:rtl/>
          <w:lang w:eastAsia="de-DE"/>
        </w:rPr>
        <w:t>ואם־פשה תפשה בעור</w:t>
      </w:r>
      <w:r w:rsidRPr="009A13B9">
        <w:rPr>
          <w:rFonts w:eastAsia="Times New Roman" w:cs="Times New Roman"/>
          <w:rtl/>
          <w:lang w:eastAsia="de-DE"/>
        </w:rPr>
        <w:t xml:space="preserve"> </w:t>
      </w:r>
      <w:r w:rsidRPr="009A13B9">
        <w:rPr>
          <w:rFonts w:eastAsia="Times New Roman" w:cs="Times New Roman"/>
          <w:lang w:eastAsia="de-DE"/>
        </w:rPr>
        <w:t xml:space="preserve">(und wenn sich ausbreitend ausbreitet auf der Haut) - </w:t>
      </w: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 xml:space="preserve">mit Infinitiv absolut + finite Verbform zur Verstärkung entspricht V. 7-8. </w:t>
      </w:r>
      <w:r w:rsidRPr="009A13B9">
        <w:rPr>
          <w:rFonts w:eastAsia="Times New Roman" w:cs="Times New Roman"/>
          <w:b/>
          <w:bCs/>
          <w:rtl/>
          <w:lang w:eastAsia="de-DE"/>
        </w:rPr>
        <w:t>בעור</w:t>
      </w:r>
      <w:r w:rsidRPr="009A13B9">
        <w:rPr>
          <w:rFonts w:eastAsia="Times New Roman" w:cs="Times New Roman"/>
          <w:rtl/>
          <w:lang w:eastAsia="de-DE"/>
        </w:rPr>
        <w:t xml:space="preserve"> </w:t>
      </w:r>
      <w:r w:rsidRPr="009A13B9">
        <w:rPr>
          <w:rFonts w:eastAsia="Times New Roman" w:cs="Times New Roman"/>
          <w:lang w:eastAsia="de-DE"/>
        </w:rPr>
        <w:t>(auf der Haut) zeigt die Ausbreitungsrichtung.</w:t>
      </w:r>
    </w:p>
    <w:p w14:paraId="362BC46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וטמא הכהן אתו נגע הוא</w:t>
      </w:r>
      <w:r w:rsidRPr="009A13B9">
        <w:rPr>
          <w:rFonts w:eastAsia="Times New Roman" w:cs="Times New Roman"/>
          <w:rtl/>
          <w:lang w:eastAsia="de-DE"/>
        </w:rPr>
        <w:t xml:space="preserve"> </w:t>
      </w:r>
      <w:r w:rsidRPr="009A13B9">
        <w:rPr>
          <w:rFonts w:eastAsia="Times New Roman" w:cs="Times New Roman"/>
          <w:lang w:eastAsia="de-DE"/>
        </w:rPr>
        <w:t xml:space="preserve">zeigt die Konsequenz. </w:t>
      </w:r>
      <w:r w:rsidRPr="009A13B9">
        <w:rPr>
          <w:rFonts w:eastAsia="Times New Roman" w:cs="Times New Roman"/>
          <w:b/>
          <w:bCs/>
          <w:rtl/>
          <w:lang w:eastAsia="de-DE"/>
        </w:rPr>
        <w:t>וטמא הכהן אתו</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entspricht V. 8. </w:t>
      </w:r>
      <w:r w:rsidRPr="009A13B9">
        <w:rPr>
          <w:rFonts w:eastAsia="Times New Roman" w:cs="Times New Roman"/>
          <w:b/>
          <w:bCs/>
          <w:rtl/>
          <w:lang w:eastAsia="de-DE"/>
        </w:rPr>
        <w:t>נגע הוא</w:t>
      </w:r>
      <w:r w:rsidRPr="009A13B9">
        <w:rPr>
          <w:rFonts w:eastAsia="Times New Roman" w:cs="Times New Roman"/>
          <w:rtl/>
          <w:lang w:eastAsia="de-DE"/>
        </w:rPr>
        <w:t xml:space="preserve"> </w:t>
      </w:r>
      <w:r w:rsidRPr="009A13B9">
        <w:rPr>
          <w:rFonts w:eastAsia="Times New Roman" w:cs="Times New Roman"/>
          <w:lang w:eastAsia="de-DE"/>
        </w:rPr>
        <w:t>(</w:t>
      </w:r>
      <w:proofErr w:type="spellStart"/>
      <w:r w:rsidRPr="009A13B9">
        <w:rPr>
          <w:rFonts w:eastAsia="Times New Roman" w:cs="Times New Roman"/>
          <w:lang w:eastAsia="de-DE"/>
        </w:rPr>
        <w:t>ein Mal</w:t>
      </w:r>
      <w:proofErr w:type="spellEnd"/>
      <w:r w:rsidRPr="009A13B9">
        <w:rPr>
          <w:rFonts w:eastAsia="Times New Roman" w:cs="Times New Roman"/>
          <w:lang w:eastAsia="de-DE"/>
        </w:rPr>
        <w:t xml:space="preserve"> ist es) mit emphatischem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 xml:space="preserve">- hier steht </w:t>
      </w:r>
      <w:r w:rsidRPr="009A13B9">
        <w:rPr>
          <w:rFonts w:eastAsia="Times New Roman" w:cs="Times New Roman"/>
          <w:b/>
          <w:bCs/>
          <w:rtl/>
          <w:lang w:eastAsia="de-DE"/>
        </w:rPr>
        <w:t>נגע</w:t>
      </w:r>
      <w:r w:rsidRPr="009A13B9">
        <w:rPr>
          <w:rFonts w:eastAsia="Times New Roman" w:cs="Times New Roman"/>
          <w:rtl/>
          <w:lang w:eastAsia="de-DE"/>
        </w:rPr>
        <w:t xml:space="preserve"> </w:t>
      </w:r>
      <w:r w:rsidRPr="009A13B9">
        <w:rPr>
          <w:rFonts w:eastAsia="Times New Roman" w:cs="Times New Roman"/>
          <w:lang w:eastAsia="de-DE"/>
        </w:rPr>
        <w:t xml:space="preserve">(Mal) statt </w:t>
      </w:r>
      <w:r w:rsidRPr="009A13B9">
        <w:rPr>
          <w:rFonts w:eastAsia="Times New Roman" w:cs="Times New Roman"/>
          <w:b/>
          <w:bCs/>
          <w:rtl/>
          <w:lang w:eastAsia="de-DE"/>
        </w:rPr>
        <w:t>צרעת</w:t>
      </w:r>
      <w:r w:rsidRPr="009A13B9">
        <w:rPr>
          <w:rFonts w:eastAsia="Times New Roman" w:cs="Times New Roman"/>
          <w:lang w:eastAsia="de-DE"/>
        </w:rPr>
        <w:t>, aber die Unreinheitserklärung zeigt die praktische Gleichstellung.</w:t>
      </w:r>
    </w:p>
    <w:p w14:paraId="481ACD0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 xml:space="preserve">als entscheidendes Kriterium entspricht dem allgemeinen Verfahren aus V. 7-8. </w:t>
      </w:r>
      <w:r w:rsidRPr="009A13B9">
        <w:rPr>
          <w:rFonts w:eastAsia="Times New Roman" w:cs="Times New Roman"/>
          <w:b/>
          <w:bCs/>
          <w:rtl/>
          <w:lang w:eastAsia="de-DE"/>
        </w:rPr>
        <w:t>נגע הוא</w:t>
      </w:r>
      <w:r w:rsidRPr="009A13B9">
        <w:rPr>
          <w:rFonts w:eastAsia="Times New Roman" w:cs="Times New Roman"/>
          <w:rtl/>
          <w:lang w:eastAsia="de-DE"/>
        </w:rPr>
        <w:t xml:space="preserve"> </w:t>
      </w:r>
      <w:r w:rsidRPr="009A13B9">
        <w:rPr>
          <w:rFonts w:eastAsia="Times New Roman" w:cs="Times New Roman"/>
          <w:lang w:eastAsia="de-DE"/>
        </w:rPr>
        <w:t xml:space="preserve">als Diagnose zeigt, dass Ausbreitung auch bei sekundärer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zur Unreinheit führt.</w:t>
      </w:r>
    </w:p>
    <w:p w14:paraId="473974E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αχέοντι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αχεῖται (sich ausbreitend breitet sich aus) und </w:t>
      </w:r>
      <w:r w:rsidRPr="009A13B9">
        <w:rPr>
          <w:rFonts w:eastAsia="Times New Roman" w:cs="Times New Roman"/>
          <w:b/>
          <w:bCs/>
          <w:rtl/>
          <w:lang w:eastAsia="de-DE"/>
        </w:rPr>
        <w:t>נגע הוא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ἁφή</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ἐστιν</w:t>
      </w:r>
      <w:proofErr w:type="spellEnd"/>
      <w:r w:rsidRPr="009A13B9">
        <w:rPr>
          <w:rFonts w:eastAsia="Times New Roman" w:cs="Times New Roman"/>
          <w:lang w:eastAsia="de-DE"/>
        </w:rPr>
        <w:t xml:space="preserve"> (ein Mal ist es).</w:t>
      </w:r>
    </w:p>
    <w:p w14:paraId="0247254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Ausbreitungsdiagnose: Konditionalsatz mit verstärkter Ausbreitung + Unreinheitserklärung + Diagnose. Die Struktur entspricht dem Standardverfahren.</w:t>
      </w:r>
    </w:p>
    <w:p w14:paraId="7E6CE5D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Ausbreitung von Hautveränderungen in Geschwürsstellen zur </w:t>
      </w:r>
      <w:r w:rsidRPr="009A13B9">
        <w:rPr>
          <w:rFonts w:eastAsia="Times New Roman" w:cs="Times New Roman"/>
          <w:b/>
          <w:bCs/>
          <w:rtl/>
          <w:lang w:eastAsia="de-DE"/>
        </w:rPr>
        <w:t>נגע</w:t>
      </w:r>
      <w:r w:rsidRPr="009A13B9">
        <w:rPr>
          <w:rFonts w:eastAsia="Times New Roman" w:cs="Times New Roman"/>
          <w:lang w:eastAsia="de-DE"/>
        </w:rPr>
        <w:t>-Diagnose und Unreinheit führt.</w:t>
      </w:r>
    </w:p>
    <w:p w14:paraId="32BA1791"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13,23</w:t>
      </w:r>
    </w:p>
    <w:p w14:paraId="2826D18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וְאִם־תַּחְתֶּ֜יהָ תַּעֲמֹ֤ד הַבַּהֶ֨רֶת֙ לֹ֣א פָשָׂ֔תָה צָרֶ֥בֶת הַשְּׁחִ֖ין הִ֑וא וְטִהֲרֹ֖ו הַכֹּהֵֽן׃</w:t>
      </w:r>
    </w:p>
    <w:p w14:paraId="7441A05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Fleck an seiner Stelle stehenbleibt, hat sich nicht ausgebreitet, ist es die Narbe des Geschwürs; und der Priester soll ihn für rein erklären.</w:t>
      </w:r>
    </w:p>
    <w:p w14:paraId="14B19B41"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102941D">
          <v:rect id="_x0000_i1354" style="width:0;height:1.5pt" o:hralign="center" o:hrstd="t" o:hr="t" fillcolor="#a0a0a0" stroked="f"/>
        </w:pict>
      </w:r>
    </w:p>
    <w:p w14:paraId="7C9DB82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ואם־תחתיה תעמד הבהרת לא פשתה</w:t>
      </w:r>
      <w:r w:rsidRPr="009A13B9">
        <w:rPr>
          <w:rFonts w:eastAsia="Times New Roman" w:cs="Times New Roman"/>
          <w:rtl/>
          <w:lang w:eastAsia="de-DE"/>
        </w:rPr>
        <w:t xml:space="preserve"> </w:t>
      </w:r>
      <w:r w:rsidRPr="009A13B9">
        <w:rPr>
          <w:rFonts w:eastAsia="Times New Roman" w:cs="Times New Roman"/>
          <w:lang w:eastAsia="de-DE"/>
        </w:rPr>
        <w:t xml:space="preserve">zeigt das positive Kriterium. </w:t>
      </w:r>
      <w:r w:rsidRPr="009A13B9">
        <w:rPr>
          <w:rFonts w:eastAsia="Times New Roman" w:cs="Times New Roman"/>
          <w:b/>
          <w:bCs/>
          <w:rtl/>
          <w:lang w:eastAsia="de-DE"/>
        </w:rPr>
        <w:t>ואם־תחתיה תעמד</w:t>
      </w:r>
      <w:r w:rsidRPr="009A13B9">
        <w:rPr>
          <w:rFonts w:eastAsia="Times New Roman" w:cs="Times New Roman"/>
          <w:rtl/>
          <w:lang w:eastAsia="de-DE"/>
        </w:rPr>
        <w:t xml:space="preserve"> </w:t>
      </w:r>
      <w:r w:rsidRPr="009A13B9">
        <w:rPr>
          <w:rFonts w:eastAsia="Times New Roman" w:cs="Times New Roman"/>
          <w:lang w:eastAsia="de-DE"/>
        </w:rPr>
        <w:t xml:space="preserve">(und wenn an ihrer Stelle stehenbleibt) - </w:t>
      </w:r>
      <w:r w:rsidRPr="009A13B9">
        <w:rPr>
          <w:rFonts w:eastAsia="Times New Roman" w:cs="Times New Roman"/>
          <w:b/>
          <w:bCs/>
          <w:rtl/>
          <w:lang w:eastAsia="de-DE"/>
        </w:rPr>
        <w:t>תחתיה</w:t>
      </w:r>
      <w:r w:rsidRPr="009A13B9">
        <w:rPr>
          <w:rFonts w:eastAsia="Times New Roman" w:cs="Times New Roman"/>
          <w:rtl/>
          <w:lang w:eastAsia="de-DE"/>
        </w:rPr>
        <w:t xml:space="preserve"> </w:t>
      </w:r>
      <w:r w:rsidRPr="009A13B9">
        <w:rPr>
          <w:rFonts w:eastAsia="Times New Roman" w:cs="Times New Roman"/>
          <w:lang w:eastAsia="de-DE"/>
        </w:rPr>
        <w:t xml:space="preserve">(an ihrer Stelle) mit </w:t>
      </w:r>
      <w:r w:rsidRPr="009A13B9">
        <w:rPr>
          <w:rFonts w:eastAsia="Times New Roman" w:cs="Times New Roman"/>
          <w:b/>
          <w:bCs/>
          <w:rtl/>
          <w:lang w:eastAsia="de-DE"/>
        </w:rPr>
        <w:t>תעמד</w:t>
      </w:r>
      <w:r w:rsidRPr="009A13B9">
        <w:rPr>
          <w:rFonts w:eastAsia="Times New Roman" w:cs="Times New Roman"/>
          <w:rtl/>
          <w:lang w:eastAsia="de-DE"/>
        </w:rPr>
        <w:t xml:space="preserve"> </w:t>
      </w:r>
      <w:r w:rsidRPr="009A13B9">
        <w:rPr>
          <w:rFonts w:eastAsia="Times New Roman" w:cs="Times New Roman"/>
          <w:lang w:eastAsia="de-DE"/>
        </w:rPr>
        <w:t xml:space="preserve">(stehenbleibt) im Qal-Imperfekt zeigt Stillstand. </w:t>
      </w:r>
      <w:r w:rsidRPr="009A13B9">
        <w:rPr>
          <w:rFonts w:eastAsia="Times New Roman" w:cs="Times New Roman"/>
          <w:b/>
          <w:bCs/>
          <w:rtl/>
          <w:lang w:eastAsia="de-DE"/>
        </w:rPr>
        <w:t>הבהרת</w:t>
      </w:r>
      <w:r w:rsidRPr="009A13B9">
        <w:rPr>
          <w:rFonts w:eastAsia="Times New Roman" w:cs="Times New Roman"/>
          <w:rtl/>
          <w:lang w:eastAsia="de-DE"/>
        </w:rPr>
        <w:t xml:space="preserve"> </w:t>
      </w:r>
      <w:r w:rsidRPr="009A13B9">
        <w:rPr>
          <w:rFonts w:eastAsia="Times New Roman" w:cs="Times New Roman"/>
          <w:lang w:eastAsia="de-DE"/>
        </w:rPr>
        <w:t xml:space="preserve">(der Fleck) aus V. 19. </w:t>
      </w:r>
      <w:r w:rsidRPr="009A13B9">
        <w:rPr>
          <w:rFonts w:eastAsia="Times New Roman" w:cs="Times New Roman"/>
          <w:b/>
          <w:bCs/>
          <w:rtl/>
          <w:lang w:eastAsia="de-DE"/>
        </w:rPr>
        <w:t>לא פשתה</w:t>
      </w:r>
      <w:r w:rsidRPr="009A13B9">
        <w:rPr>
          <w:rFonts w:eastAsia="Times New Roman" w:cs="Times New Roman"/>
          <w:rtl/>
          <w:lang w:eastAsia="de-DE"/>
        </w:rPr>
        <w:t xml:space="preserve"> </w:t>
      </w:r>
      <w:r w:rsidRPr="009A13B9">
        <w:rPr>
          <w:rFonts w:eastAsia="Times New Roman" w:cs="Times New Roman"/>
          <w:lang w:eastAsia="de-DE"/>
        </w:rPr>
        <w:t xml:space="preserve">(hat sich nicht ausgebreitet) mit Negation </w:t>
      </w:r>
      <w:r w:rsidRPr="009A13B9">
        <w:rPr>
          <w:rFonts w:eastAsia="Times New Roman" w:cs="Times New Roman"/>
          <w:b/>
          <w:bCs/>
          <w:rtl/>
          <w:lang w:eastAsia="de-DE"/>
        </w:rPr>
        <w:t>לא</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פשתה</w:t>
      </w:r>
      <w:r w:rsidRPr="009A13B9">
        <w:rPr>
          <w:rFonts w:eastAsia="Times New Roman" w:cs="Times New Roman"/>
          <w:rtl/>
          <w:lang w:eastAsia="de-DE"/>
        </w:rPr>
        <w:t xml:space="preserve"> </w:t>
      </w:r>
      <w:r w:rsidRPr="009A13B9">
        <w:rPr>
          <w:rFonts w:eastAsia="Times New Roman" w:cs="Times New Roman"/>
          <w:lang w:eastAsia="de-DE"/>
        </w:rPr>
        <w:t>(hat sich ausgebreitet) im Qal-Perfekt.</w:t>
      </w:r>
    </w:p>
    <w:p w14:paraId="49AE51B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צרבת השחין הוא וטהרו הכהן</w:t>
      </w:r>
      <w:r w:rsidRPr="009A13B9">
        <w:rPr>
          <w:rFonts w:eastAsia="Times New Roman" w:cs="Times New Roman"/>
          <w:rtl/>
          <w:lang w:eastAsia="de-DE"/>
        </w:rPr>
        <w:t xml:space="preserve"> </w:t>
      </w:r>
      <w:r w:rsidRPr="009A13B9">
        <w:rPr>
          <w:rFonts w:eastAsia="Times New Roman" w:cs="Times New Roman"/>
          <w:lang w:eastAsia="de-DE"/>
        </w:rPr>
        <w:t xml:space="preserve">zeigt Diagnose und Reinheit. </w:t>
      </w:r>
      <w:r w:rsidRPr="009A13B9">
        <w:rPr>
          <w:rFonts w:eastAsia="Times New Roman" w:cs="Times New Roman"/>
          <w:b/>
          <w:bCs/>
          <w:rtl/>
          <w:lang w:eastAsia="de-DE"/>
        </w:rPr>
        <w:t>צרבת השחין הוא</w:t>
      </w:r>
      <w:r w:rsidRPr="009A13B9">
        <w:rPr>
          <w:rFonts w:eastAsia="Times New Roman" w:cs="Times New Roman"/>
          <w:rtl/>
          <w:lang w:eastAsia="de-DE"/>
        </w:rPr>
        <w:t xml:space="preserve"> </w:t>
      </w:r>
      <w:r w:rsidRPr="009A13B9">
        <w:rPr>
          <w:rFonts w:eastAsia="Times New Roman" w:cs="Times New Roman"/>
          <w:lang w:eastAsia="de-DE"/>
        </w:rPr>
        <w:t xml:space="preserve">(die Narbe des Geschwürs ist es) - </w:t>
      </w:r>
      <w:r w:rsidRPr="009A13B9">
        <w:rPr>
          <w:rFonts w:eastAsia="Times New Roman" w:cs="Times New Roman"/>
          <w:b/>
          <w:bCs/>
          <w:rtl/>
          <w:lang w:eastAsia="de-DE"/>
        </w:rPr>
        <w:t>צרבת</w:t>
      </w:r>
      <w:r w:rsidRPr="009A13B9">
        <w:rPr>
          <w:rFonts w:eastAsia="Times New Roman" w:cs="Times New Roman"/>
          <w:rtl/>
          <w:lang w:eastAsia="de-DE"/>
        </w:rPr>
        <w:t xml:space="preserve"> </w:t>
      </w:r>
      <w:r w:rsidRPr="009A13B9">
        <w:rPr>
          <w:rFonts w:eastAsia="Times New Roman" w:cs="Times New Roman"/>
          <w:lang w:eastAsia="de-DE"/>
        </w:rPr>
        <w:t xml:space="preserve">(Narbe/Brand) mit </w:t>
      </w:r>
      <w:r w:rsidRPr="009A13B9">
        <w:rPr>
          <w:rFonts w:eastAsia="Times New Roman" w:cs="Times New Roman"/>
          <w:b/>
          <w:bCs/>
          <w:rtl/>
          <w:lang w:eastAsia="de-DE"/>
        </w:rPr>
        <w:t>השחין</w:t>
      </w:r>
      <w:r w:rsidRPr="009A13B9">
        <w:rPr>
          <w:rFonts w:eastAsia="Times New Roman" w:cs="Times New Roman"/>
          <w:rtl/>
          <w:lang w:eastAsia="de-DE"/>
        </w:rPr>
        <w:t xml:space="preserve"> </w:t>
      </w:r>
      <w:r w:rsidRPr="009A13B9">
        <w:rPr>
          <w:rFonts w:eastAsia="Times New Roman" w:cs="Times New Roman"/>
          <w:lang w:eastAsia="de-DE"/>
        </w:rPr>
        <w:t xml:space="preserve">(des Geschwürs) als Genitivkonstruktion, </w:t>
      </w:r>
      <w:r w:rsidRPr="009A13B9">
        <w:rPr>
          <w:rFonts w:eastAsia="Times New Roman" w:cs="Times New Roman"/>
          <w:b/>
          <w:bCs/>
          <w:rtl/>
          <w:lang w:eastAsia="de-DE"/>
        </w:rPr>
        <w:t>הוא</w:t>
      </w:r>
      <w:r w:rsidRPr="009A13B9">
        <w:rPr>
          <w:rFonts w:eastAsia="Times New Roman" w:cs="Times New Roman"/>
          <w:rtl/>
          <w:lang w:eastAsia="de-DE"/>
        </w:rPr>
        <w:t xml:space="preserve"> </w:t>
      </w:r>
      <w:r w:rsidRPr="009A13B9">
        <w:rPr>
          <w:rFonts w:eastAsia="Times New Roman" w:cs="Times New Roman"/>
          <w:lang w:eastAsia="de-DE"/>
        </w:rPr>
        <w:t xml:space="preserve">emphatisch.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rein erklären) - </w:t>
      </w:r>
      <w:r w:rsidRPr="009A13B9">
        <w:rPr>
          <w:rFonts w:eastAsia="Times New Roman" w:cs="Times New Roman"/>
          <w:b/>
          <w:bCs/>
          <w:rtl/>
          <w:lang w:eastAsia="de-DE"/>
        </w:rPr>
        <w:t>טהר</w:t>
      </w:r>
      <w:r w:rsidRPr="009A13B9">
        <w:rPr>
          <w:rFonts w:eastAsia="Times New Roman" w:cs="Times New Roman"/>
          <w:rtl/>
          <w:lang w:eastAsia="de-DE"/>
        </w:rPr>
        <w:t xml:space="preserve"> </w:t>
      </w:r>
      <w:r w:rsidRPr="009A13B9">
        <w:rPr>
          <w:rFonts w:eastAsia="Times New Roman" w:cs="Times New Roman"/>
          <w:lang w:eastAsia="de-DE"/>
        </w:rPr>
        <w:t>(rein erklären) im Piel-Perfekt mit Waw-Konsekutiv.</w:t>
      </w:r>
    </w:p>
    <w:p w14:paraId="3F82818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תחתיה תעמד</w:t>
      </w:r>
      <w:r w:rsidRPr="009A13B9">
        <w:rPr>
          <w:rFonts w:eastAsia="Times New Roman" w:cs="Times New Roman"/>
          <w:rtl/>
          <w:lang w:eastAsia="de-DE"/>
        </w:rPr>
        <w:t xml:space="preserve"> </w:t>
      </w:r>
      <w:r w:rsidRPr="009A13B9">
        <w:rPr>
          <w:rFonts w:eastAsia="Times New Roman" w:cs="Times New Roman"/>
          <w:lang w:eastAsia="de-DE"/>
        </w:rPr>
        <w:t xml:space="preserve">zeigt keine Veränderung der ursprünglichen Stelle. </w:t>
      </w:r>
      <w:r w:rsidRPr="009A13B9">
        <w:rPr>
          <w:rFonts w:eastAsia="Times New Roman" w:cs="Times New Roman"/>
          <w:b/>
          <w:bCs/>
          <w:rtl/>
          <w:lang w:eastAsia="de-DE"/>
        </w:rPr>
        <w:t>לא פשתה</w:t>
      </w:r>
      <w:r w:rsidRPr="009A13B9">
        <w:rPr>
          <w:rFonts w:eastAsia="Times New Roman" w:cs="Times New Roman"/>
          <w:rtl/>
          <w:lang w:eastAsia="de-DE"/>
        </w:rPr>
        <w:t xml:space="preserve"> </w:t>
      </w:r>
      <w:r w:rsidRPr="009A13B9">
        <w:rPr>
          <w:rFonts w:eastAsia="Times New Roman" w:cs="Times New Roman"/>
          <w:lang w:eastAsia="de-DE"/>
        </w:rPr>
        <w:t xml:space="preserve">als negatives, aber hier positives Kriterium. </w:t>
      </w:r>
      <w:r w:rsidRPr="009A13B9">
        <w:rPr>
          <w:rFonts w:eastAsia="Times New Roman" w:cs="Times New Roman"/>
          <w:b/>
          <w:bCs/>
          <w:rtl/>
          <w:lang w:eastAsia="de-DE"/>
        </w:rPr>
        <w:t>צרבת השחין</w:t>
      </w:r>
      <w:r w:rsidRPr="009A13B9">
        <w:rPr>
          <w:rFonts w:eastAsia="Times New Roman" w:cs="Times New Roman"/>
          <w:rtl/>
          <w:lang w:eastAsia="de-DE"/>
        </w:rPr>
        <w:t xml:space="preserve"> </w:t>
      </w:r>
      <w:r w:rsidRPr="009A13B9">
        <w:rPr>
          <w:rFonts w:eastAsia="Times New Roman" w:cs="Times New Roman"/>
          <w:lang w:eastAsia="de-DE"/>
        </w:rPr>
        <w:t xml:space="preserve">als harmlose Diagnose einer Narbe statt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zeigt endgültige Reinheitserklärung.</w:t>
      </w:r>
    </w:p>
    <w:p w14:paraId="0CAFBE8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LXX</w:t>
      </w:r>
      <w:r w:rsidRPr="009A13B9">
        <w:rPr>
          <w:rFonts w:eastAsia="Times New Roman" w:cs="Times New Roman"/>
          <w:lang w:eastAsia="de-DE"/>
        </w:rPr>
        <w:t xml:space="preserve"> übersetzt </w:t>
      </w:r>
      <w:r w:rsidRPr="009A13B9">
        <w:rPr>
          <w:rFonts w:eastAsia="Times New Roman" w:cs="Times New Roman"/>
          <w:b/>
          <w:bCs/>
          <w:rtl/>
          <w:lang w:eastAsia="de-DE"/>
        </w:rPr>
        <w:t>תחתיה תעמד</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τῷ</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τό</w:t>
      </w:r>
      <w:proofErr w:type="spellEnd"/>
      <w:r w:rsidRPr="009A13B9">
        <w:rPr>
          <w:rFonts w:eastAsia="Times New Roman" w:cs="Times New Roman"/>
          <w:lang w:eastAsia="de-DE"/>
        </w:rPr>
        <w:t>πῳ α</w:t>
      </w:r>
      <w:proofErr w:type="spellStart"/>
      <w:r w:rsidRPr="009A13B9">
        <w:rPr>
          <w:rFonts w:eastAsia="Times New Roman" w:cs="Times New Roman"/>
          <w:lang w:eastAsia="de-DE"/>
        </w:rPr>
        <w:t>ὐτῆς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στῇ</w:t>
      </w:r>
      <w:proofErr w:type="spellEnd"/>
      <w:r w:rsidRPr="009A13B9">
        <w:rPr>
          <w:rFonts w:eastAsia="Times New Roman" w:cs="Times New Roman"/>
          <w:lang w:eastAsia="de-DE"/>
        </w:rPr>
        <w:t xml:space="preserve"> (an ihrem Ort steht), </w:t>
      </w:r>
      <w:r w:rsidRPr="009A13B9">
        <w:rPr>
          <w:rFonts w:eastAsia="Times New Roman" w:cs="Times New Roman"/>
          <w:b/>
          <w:bCs/>
          <w:rtl/>
          <w:lang w:eastAsia="de-DE"/>
        </w:rPr>
        <w:t>צרבת השחין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οὐλὴ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ἕλκους</w:t>
      </w:r>
      <w:proofErr w:type="spellEnd"/>
      <w:r w:rsidRPr="009A13B9">
        <w:rPr>
          <w:rFonts w:eastAsia="Times New Roman" w:cs="Times New Roman"/>
          <w:lang w:eastAsia="de-DE"/>
        </w:rPr>
        <w:t xml:space="preserve"> (Narbe des Geschwürs) und </w:t>
      </w:r>
      <w:r w:rsidRPr="009A13B9">
        <w:rPr>
          <w:rFonts w:eastAsia="Times New Roman" w:cs="Times New Roman"/>
          <w:b/>
          <w:bCs/>
          <w:rtl/>
          <w:lang w:eastAsia="de-DE"/>
        </w:rPr>
        <w:t>וטהרו</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ριεῖ</w:t>
      </w:r>
      <w:proofErr w:type="spellEnd"/>
      <w:r w:rsidRPr="009A13B9">
        <w:rPr>
          <w:rFonts w:eastAsia="Times New Roman" w:cs="Times New Roman"/>
          <w:lang w:eastAsia="de-DE"/>
        </w:rPr>
        <w:t xml:space="preserve"> (er wird reinigen).</w:t>
      </w:r>
    </w:p>
    <w:p w14:paraId="4D2E355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positive Diagnose: Konditionalsatz mit Stillstand + negative Ausbreitung + harmlose Diagnose + Reinheitserklärung. Die Struktur zeigt das positive Ende des Quarantäneverfahrens.</w:t>
      </w:r>
    </w:p>
    <w:p w14:paraId="00C1FA3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dass Stillstand von Hautveränderungen in Geschwürsstellen zu harmloser Narbendiagnose und Reinheit führt.</w:t>
      </w:r>
    </w:p>
    <w:p w14:paraId="2CA8EA1F"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13,24</w:t>
      </w:r>
    </w:p>
    <w:p w14:paraId="672A6E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א֣וֹ בָשָׂ֔ר כִּֽי־יִהְיֶ֥ה בְעֹרֹ֖ו מִכְוַת־אֵ֑שׁ וְֽהָיְתָ֞ה מִֽחְיַ֣ת הַמִּכְוָ֗ה בַּהֶ֛רֶת לְבָנָ֥ה אֲדַמְדֶּ֖מֶת א֥וֹ לְבָנָֽה׃</w:t>
      </w:r>
    </w:p>
    <w:p w14:paraId="61DBDFD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Oder wenn im Fleisch seiner Haut eine Feuerbrandwunde ist, und die Heilung der Brandwunde wird zu einem weißrötlichen oder weißen Fleck,</w:t>
      </w:r>
    </w:p>
    <w:p w14:paraId="4B2659B3"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AF8F074">
          <v:rect id="_x0000_i1355" style="width:0;height:1.5pt" o:hralign="center" o:hrstd="t" o:hr="t" fillcolor="#a0a0a0" stroked="f"/>
        </w:pict>
      </w:r>
    </w:p>
    <w:p w14:paraId="194BFCC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או בשר כי־יהיה בערו מכות־אש</w:t>
      </w:r>
      <w:r w:rsidRPr="009A13B9">
        <w:rPr>
          <w:rFonts w:eastAsia="Times New Roman" w:cs="Times New Roman"/>
          <w:rtl/>
          <w:lang w:eastAsia="de-DE"/>
        </w:rPr>
        <w:t xml:space="preserve"> </w:t>
      </w:r>
      <w:r w:rsidRPr="009A13B9">
        <w:rPr>
          <w:rFonts w:eastAsia="Times New Roman" w:cs="Times New Roman"/>
          <w:lang w:eastAsia="de-DE"/>
        </w:rPr>
        <w:t xml:space="preserve">leitet einen neuen Abschnitt über Brandwunden ein. </w:t>
      </w:r>
      <w:r w:rsidRPr="009A13B9">
        <w:rPr>
          <w:rFonts w:eastAsia="Times New Roman" w:cs="Times New Roman"/>
          <w:b/>
          <w:bCs/>
          <w:rtl/>
          <w:lang w:eastAsia="de-DE"/>
        </w:rPr>
        <w:t>או בשר</w:t>
      </w:r>
      <w:r w:rsidRPr="009A13B9">
        <w:rPr>
          <w:rFonts w:eastAsia="Times New Roman" w:cs="Times New Roman"/>
          <w:rtl/>
          <w:lang w:eastAsia="de-DE"/>
        </w:rPr>
        <w:t xml:space="preserve"> </w:t>
      </w:r>
      <w:r w:rsidRPr="009A13B9">
        <w:rPr>
          <w:rFonts w:eastAsia="Times New Roman" w:cs="Times New Roman"/>
          <w:lang w:eastAsia="de-DE"/>
        </w:rPr>
        <w:t xml:space="preserve">(oder Fleisch) als alternative Kategorie zu </w:t>
      </w:r>
      <w:r w:rsidRPr="009A13B9">
        <w:rPr>
          <w:rFonts w:eastAsia="Times New Roman" w:cs="Times New Roman"/>
          <w:b/>
          <w:bCs/>
          <w:rtl/>
          <w:lang w:eastAsia="de-DE"/>
        </w:rPr>
        <w:t>שחין</w:t>
      </w:r>
      <w:r w:rsidRPr="009A13B9">
        <w:rPr>
          <w:rFonts w:eastAsia="Times New Roman" w:cs="Times New Roman"/>
          <w:lang w:eastAsia="de-DE"/>
        </w:rPr>
        <w:t xml:space="preserve">. </w:t>
      </w:r>
      <w:r w:rsidRPr="009A13B9">
        <w:rPr>
          <w:rFonts w:eastAsia="Times New Roman" w:cs="Times New Roman"/>
          <w:b/>
          <w:bCs/>
          <w:rtl/>
          <w:lang w:eastAsia="de-DE"/>
        </w:rPr>
        <w:t>כי־יהיה בערו מכות־אש</w:t>
      </w:r>
      <w:r w:rsidRPr="009A13B9">
        <w:rPr>
          <w:rFonts w:eastAsia="Times New Roman" w:cs="Times New Roman"/>
          <w:rtl/>
          <w:lang w:eastAsia="de-DE"/>
        </w:rPr>
        <w:t xml:space="preserve"> </w:t>
      </w:r>
      <w:r w:rsidRPr="009A13B9">
        <w:rPr>
          <w:rFonts w:eastAsia="Times New Roman" w:cs="Times New Roman"/>
          <w:lang w:eastAsia="de-DE"/>
        </w:rPr>
        <w:t xml:space="preserve">(wenn in seiner Haut eine Feuerbrandwunde ist) - </w:t>
      </w:r>
      <w:r w:rsidRPr="009A13B9">
        <w:rPr>
          <w:rFonts w:eastAsia="Times New Roman" w:cs="Times New Roman"/>
          <w:b/>
          <w:bCs/>
          <w:rtl/>
          <w:lang w:eastAsia="de-DE"/>
        </w:rPr>
        <w:t>מכות־אש</w:t>
      </w:r>
      <w:r w:rsidRPr="009A13B9">
        <w:rPr>
          <w:rFonts w:eastAsia="Times New Roman" w:cs="Times New Roman"/>
          <w:rtl/>
          <w:lang w:eastAsia="de-DE"/>
        </w:rPr>
        <w:t xml:space="preserve"> </w:t>
      </w:r>
      <w:r w:rsidRPr="009A13B9">
        <w:rPr>
          <w:rFonts w:eastAsia="Times New Roman" w:cs="Times New Roman"/>
          <w:lang w:eastAsia="de-DE"/>
        </w:rPr>
        <w:t>(Brandwunde durch Feuer) als Genitivkonstruktion.</w:t>
      </w:r>
    </w:p>
    <w:p w14:paraId="132CFC1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והיתה מחית המכוה בהרת לבנה אדמדמת או לבנה</w:t>
      </w:r>
      <w:r w:rsidRPr="009A13B9">
        <w:rPr>
          <w:rFonts w:eastAsia="Times New Roman" w:cs="Times New Roman"/>
          <w:rtl/>
          <w:lang w:eastAsia="de-DE"/>
        </w:rPr>
        <w:t xml:space="preserve"> </w:t>
      </w:r>
      <w:r w:rsidRPr="009A13B9">
        <w:rPr>
          <w:rFonts w:eastAsia="Times New Roman" w:cs="Times New Roman"/>
          <w:lang w:eastAsia="de-DE"/>
        </w:rPr>
        <w:t xml:space="preserve">beschreibt die verdächtige Entwicklung. </w:t>
      </w:r>
      <w:r w:rsidRPr="009A13B9">
        <w:rPr>
          <w:rFonts w:eastAsia="Times New Roman" w:cs="Times New Roman"/>
          <w:b/>
          <w:bCs/>
          <w:rtl/>
          <w:lang w:eastAsia="de-DE"/>
        </w:rPr>
        <w:t>והיתה מחית המכוה</w:t>
      </w:r>
      <w:r w:rsidRPr="009A13B9">
        <w:rPr>
          <w:rFonts w:eastAsia="Times New Roman" w:cs="Times New Roman"/>
          <w:rtl/>
          <w:lang w:eastAsia="de-DE"/>
        </w:rPr>
        <w:t xml:space="preserve"> </w:t>
      </w:r>
      <w:r w:rsidRPr="009A13B9">
        <w:rPr>
          <w:rFonts w:eastAsia="Times New Roman" w:cs="Times New Roman"/>
          <w:lang w:eastAsia="de-DE"/>
        </w:rPr>
        <w:t xml:space="preserve">(und die Heilung der Brandwunde wird) - </w:t>
      </w:r>
      <w:r w:rsidRPr="009A13B9">
        <w:rPr>
          <w:rFonts w:eastAsia="Times New Roman" w:cs="Times New Roman"/>
          <w:b/>
          <w:bCs/>
          <w:rtl/>
          <w:lang w:eastAsia="de-DE"/>
        </w:rPr>
        <w:t>מחית</w:t>
      </w:r>
      <w:r w:rsidRPr="009A13B9">
        <w:rPr>
          <w:rFonts w:eastAsia="Times New Roman" w:cs="Times New Roman"/>
          <w:rtl/>
          <w:lang w:eastAsia="de-DE"/>
        </w:rPr>
        <w:t xml:space="preserve"> </w:t>
      </w:r>
      <w:r w:rsidRPr="009A13B9">
        <w:rPr>
          <w:rFonts w:eastAsia="Times New Roman" w:cs="Times New Roman"/>
          <w:lang w:eastAsia="de-DE"/>
        </w:rPr>
        <w:t xml:space="preserve">(Heilung/Leben) entspricht </w:t>
      </w:r>
      <w:r w:rsidRPr="009A13B9">
        <w:rPr>
          <w:rFonts w:eastAsia="Times New Roman" w:cs="Times New Roman"/>
          <w:b/>
          <w:bCs/>
          <w:rtl/>
          <w:lang w:eastAsia="de-DE"/>
        </w:rPr>
        <w:t>מחית בשר חי</w:t>
      </w:r>
      <w:r w:rsidRPr="009A13B9">
        <w:rPr>
          <w:rFonts w:eastAsia="Times New Roman" w:cs="Times New Roman"/>
          <w:rtl/>
          <w:lang w:eastAsia="de-DE"/>
        </w:rPr>
        <w:t xml:space="preserve"> </w:t>
      </w:r>
      <w:r w:rsidRPr="009A13B9">
        <w:rPr>
          <w:rFonts w:eastAsia="Times New Roman" w:cs="Times New Roman"/>
          <w:lang w:eastAsia="de-DE"/>
        </w:rPr>
        <w:t xml:space="preserve">aus V. 10. </w:t>
      </w:r>
      <w:r w:rsidRPr="009A13B9">
        <w:rPr>
          <w:rFonts w:eastAsia="Times New Roman" w:cs="Times New Roman"/>
          <w:b/>
          <w:bCs/>
          <w:rtl/>
          <w:lang w:eastAsia="de-DE"/>
        </w:rPr>
        <w:t>בהרת לבנה אדמדמת או לבנה</w:t>
      </w:r>
      <w:r w:rsidRPr="009A13B9">
        <w:rPr>
          <w:rFonts w:eastAsia="Times New Roman" w:cs="Times New Roman"/>
          <w:rtl/>
          <w:lang w:eastAsia="de-DE"/>
        </w:rPr>
        <w:t xml:space="preserve"> </w:t>
      </w:r>
      <w:r w:rsidRPr="009A13B9">
        <w:rPr>
          <w:rFonts w:eastAsia="Times New Roman" w:cs="Times New Roman"/>
          <w:lang w:eastAsia="de-DE"/>
        </w:rPr>
        <w:t>(zu einem weißrötlichen oder weißen Fleck) entspricht V. 19.</w:t>
      </w:r>
    </w:p>
    <w:p w14:paraId="3FD0C99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מכות־אש</w:t>
      </w:r>
      <w:r w:rsidRPr="009A13B9">
        <w:rPr>
          <w:rFonts w:eastAsia="Times New Roman" w:cs="Times New Roman"/>
          <w:rtl/>
          <w:lang w:eastAsia="de-DE"/>
        </w:rPr>
        <w:t xml:space="preserve"> </w:t>
      </w:r>
      <w:r w:rsidRPr="009A13B9">
        <w:rPr>
          <w:rFonts w:eastAsia="Times New Roman" w:cs="Times New Roman"/>
          <w:lang w:eastAsia="de-DE"/>
        </w:rPr>
        <w:t xml:space="preserve">als spezifische Verletzungsart unterschiedlich von </w:t>
      </w:r>
      <w:r w:rsidRPr="009A13B9">
        <w:rPr>
          <w:rFonts w:eastAsia="Times New Roman" w:cs="Times New Roman"/>
          <w:b/>
          <w:bCs/>
          <w:rtl/>
          <w:lang w:eastAsia="de-DE"/>
        </w:rPr>
        <w:t>שחין</w:t>
      </w:r>
      <w:r w:rsidRPr="009A13B9">
        <w:rPr>
          <w:rFonts w:eastAsia="Times New Roman" w:cs="Times New Roman"/>
          <w:lang w:eastAsia="de-DE"/>
        </w:rPr>
        <w:t xml:space="preserve">. </w:t>
      </w:r>
      <w:r w:rsidRPr="009A13B9">
        <w:rPr>
          <w:rFonts w:eastAsia="Times New Roman" w:cs="Times New Roman"/>
          <w:b/>
          <w:bCs/>
          <w:rtl/>
          <w:lang w:eastAsia="de-DE"/>
        </w:rPr>
        <w:t>מחית המכוה</w:t>
      </w:r>
      <w:r w:rsidRPr="009A13B9">
        <w:rPr>
          <w:rFonts w:eastAsia="Times New Roman" w:cs="Times New Roman"/>
          <w:rtl/>
          <w:lang w:eastAsia="de-DE"/>
        </w:rPr>
        <w:t xml:space="preserve"> </w:t>
      </w:r>
      <w:r w:rsidRPr="009A13B9">
        <w:rPr>
          <w:rFonts w:eastAsia="Times New Roman" w:cs="Times New Roman"/>
          <w:lang w:eastAsia="de-DE"/>
        </w:rPr>
        <w:t xml:space="preserve">zeigt den Heilungsprozess der Brandwunde. </w:t>
      </w:r>
      <w:r w:rsidRPr="009A13B9">
        <w:rPr>
          <w:rFonts w:eastAsia="Times New Roman" w:cs="Times New Roman"/>
          <w:b/>
          <w:bCs/>
          <w:rtl/>
          <w:lang w:eastAsia="de-DE"/>
        </w:rPr>
        <w:t>בהרת לבנה אדמדמת או לבנה</w:t>
      </w:r>
      <w:r w:rsidRPr="009A13B9">
        <w:rPr>
          <w:rFonts w:eastAsia="Times New Roman" w:cs="Times New Roman"/>
          <w:rtl/>
          <w:lang w:eastAsia="de-DE"/>
        </w:rPr>
        <w:t xml:space="preserve"> </w:t>
      </w:r>
      <w:r w:rsidRPr="009A13B9">
        <w:rPr>
          <w:rFonts w:eastAsia="Times New Roman" w:cs="Times New Roman"/>
          <w:lang w:eastAsia="de-DE"/>
        </w:rPr>
        <w:t>zeigt dieselben verdächtigen Farbveränderungen wie bei Geschwüren.</w:t>
      </w:r>
    </w:p>
    <w:p w14:paraId="47D3672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מכות־אש</w:t>
      </w:r>
      <w:r w:rsidRPr="009A13B9">
        <w:rPr>
          <w:rFonts w:eastAsia="Times New Roman" w:cs="Times New Roman"/>
          <w:rtl/>
          <w:lang w:eastAsia="de-DE"/>
        </w:rPr>
        <w:t xml:space="preserve"> </w:t>
      </w:r>
      <w:r w:rsidRPr="009A13B9">
        <w:rPr>
          <w:rFonts w:eastAsia="Times New Roman" w:cs="Times New Roman"/>
          <w:lang w:eastAsia="de-DE"/>
        </w:rPr>
        <w:t>mit κα</w:t>
      </w:r>
      <w:proofErr w:type="spellStart"/>
      <w:r w:rsidRPr="009A13B9">
        <w:rPr>
          <w:rFonts w:eastAsia="Times New Roman" w:cs="Times New Roman"/>
          <w:lang w:eastAsia="de-DE"/>
        </w:rPr>
        <w:t>τάκ</w:t>
      </w:r>
      <w:proofErr w:type="spellEnd"/>
      <w:r w:rsidRPr="009A13B9">
        <w:rPr>
          <w:rFonts w:eastAsia="Times New Roman" w:cs="Times New Roman"/>
          <w:lang w:eastAsia="de-DE"/>
        </w:rPr>
        <w:t>αυμα π</w:t>
      </w:r>
      <w:proofErr w:type="spellStart"/>
      <w:r w:rsidRPr="009A13B9">
        <w:rPr>
          <w:rFonts w:eastAsia="Times New Roman" w:cs="Times New Roman"/>
          <w:lang w:eastAsia="de-DE"/>
        </w:rPr>
        <w:t>υρός</w:t>
      </w:r>
      <w:proofErr w:type="spellEnd"/>
      <w:r w:rsidRPr="009A13B9">
        <w:rPr>
          <w:rFonts w:eastAsia="Times New Roman" w:cs="Times New Roman"/>
          <w:lang w:eastAsia="de-DE"/>
        </w:rPr>
        <w:t xml:space="preserve"> (Verbrennung durch Feuer), </w:t>
      </w:r>
      <w:r w:rsidRPr="009A13B9">
        <w:rPr>
          <w:rFonts w:eastAsia="Times New Roman" w:cs="Times New Roman"/>
          <w:b/>
          <w:bCs/>
          <w:rtl/>
          <w:lang w:eastAsia="de-DE"/>
        </w:rPr>
        <w:t>מחית המכוה</w:t>
      </w:r>
      <w:r w:rsidRPr="009A13B9">
        <w:rPr>
          <w:rFonts w:eastAsia="Times New Roman" w:cs="Times New Roman"/>
          <w:rtl/>
          <w:lang w:eastAsia="de-DE"/>
        </w:rPr>
        <w:t xml:space="preserve"> </w:t>
      </w:r>
      <w:r w:rsidRPr="009A13B9">
        <w:rPr>
          <w:rFonts w:eastAsia="Times New Roman" w:cs="Times New Roman"/>
          <w:lang w:eastAsia="de-DE"/>
        </w:rPr>
        <w:t xml:space="preserve">mit ἡ </w:t>
      </w:r>
      <w:proofErr w:type="spellStart"/>
      <w:r w:rsidRPr="009A13B9">
        <w:rPr>
          <w:rFonts w:eastAsia="Times New Roman" w:cs="Times New Roman"/>
          <w:lang w:eastAsia="de-DE"/>
        </w:rPr>
        <w:t>ζωὴ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κατακα</w:t>
      </w:r>
      <w:proofErr w:type="spellStart"/>
      <w:r w:rsidRPr="009A13B9">
        <w:rPr>
          <w:rFonts w:eastAsia="Times New Roman" w:cs="Times New Roman"/>
          <w:lang w:eastAsia="de-DE"/>
        </w:rPr>
        <w:t>ύμ</w:t>
      </w:r>
      <w:proofErr w:type="spellEnd"/>
      <w:r w:rsidRPr="009A13B9">
        <w:rPr>
          <w:rFonts w:eastAsia="Times New Roman" w:cs="Times New Roman"/>
          <w:lang w:eastAsia="de-DE"/>
        </w:rPr>
        <w:t xml:space="preserve">ατος (das Leben der Verbrennung) und </w:t>
      </w:r>
      <w:r w:rsidRPr="009A13B9">
        <w:rPr>
          <w:rFonts w:eastAsia="Times New Roman" w:cs="Times New Roman"/>
          <w:b/>
          <w:bCs/>
          <w:rtl/>
          <w:lang w:eastAsia="de-DE"/>
        </w:rPr>
        <w:t>אדמדמת</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υρρίζουσ</w:t>
      </w:r>
      <w:proofErr w:type="spellEnd"/>
      <w:r w:rsidRPr="009A13B9">
        <w:rPr>
          <w:rFonts w:eastAsia="Times New Roman" w:cs="Times New Roman"/>
          <w:lang w:eastAsia="de-DE"/>
        </w:rPr>
        <w:t>α (rötlich).</w:t>
      </w:r>
    </w:p>
    <w:p w14:paraId="1428F1D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neue Kategorie: alternative Einleitung + spezifische Verletzungsart + Entwicklung während der Heilung + Farbvarianten. Die Struktur zeigt parallele Behandlung zu Geschwüren.</w:t>
      </w:r>
    </w:p>
    <w:p w14:paraId="01D2F1E5" w14:textId="3A293D03"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leitet die Regelung für </w:t>
      </w:r>
      <w:r w:rsidRPr="009A13B9">
        <w:rPr>
          <w:rFonts w:eastAsia="Times New Roman" w:cs="Times New Roman"/>
          <w:b/>
          <w:bCs/>
          <w:rtl/>
          <w:lang w:eastAsia="de-DE"/>
        </w:rPr>
        <w:t>צרעת</w:t>
      </w:r>
      <w:r w:rsidRPr="009A13B9">
        <w:rPr>
          <w:rFonts w:eastAsia="Times New Roman" w:cs="Times New Roman"/>
          <w:lang w:eastAsia="de-DE"/>
        </w:rPr>
        <w:t xml:space="preserve">-Entwicklung in Brandwunden ein, parallel zu den </w:t>
      </w:r>
      <w:r w:rsidR="0047575E" w:rsidRPr="009A13B9">
        <w:rPr>
          <w:rFonts w:eastAsia="Times New Roman" w:cs="Times New Roman"/>
          <w:lang w:eastAsia="de-DE"/>
        </w:rPr>
        <w:t>Geschwürs Bestimmungen</w:t>
      </w:r>
      <w:r w:rsidRPr="009A13B9">
        <w:rPr>
          <w:rFonts w:eastAsia="Times New Roman" w:cs="Times New Roman"/>
          <w:lang w:eastAsia="de-DE"/>
        </w:rPr>
        <w:t>.</w:t>
      </w:r>
    </w:p>
    <w:p w14:paraId="14968C6D"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13,25</w:t>
      </w:r>
    </w:p>
    <w:p w14:paraId="6E95E7D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אֹתָ֣הּ הַכֹּהֵ֡ן וְהִנֵּ֣ה נֶהְפַּךְ֩ שֵׂעָ֨ר לָבָ֜ן בַּבַּהֶ֗רֶת וּמַרְאֶ֨הָ֙ עָמֹ֣ק מִן־הָע֔וֹר צָרַ֣עַת הִ֔וא בַּמִּכְוָ֖ה פָּרָ֑חָה וְטִמֵּ֤א אֹתוֹ֙ הַכֹּהֵ֔ן נֶ֥גַע צָרַ֖עַת הִֽוא׃</w:t>
      </w:r>
    </w:p>
    <w:p w14:paraId="07EC4DC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und der Priester sieht ihn, und siehe, das Haar hat sich in dem Fleck in Weiß verwandelt, und sein Aussehen ist tiefer als die Haut, so ist es Aussatz; er ist in der Brandwunde ausgebrochen, und der Priester soll ihn für unrein erklären: es ist ein Aussatzmal.</w:t>
      </w:r>
    </w:p>
    <w:p w14:paraId="0F713632"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B2D7CC3">
          <v:rect id="_x0000_i1356" style="width:0;height:1.5pt" o:hralign="center" o:hrstd="t" o:hr="t" fillcolor="#a0a0a0" stroked="f"/>
        </w:pict>
      </w:r>
    </w:p>
    <w:p w14:paraId="0538E0A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אתה הכהן והנה נהפך שער לבן בבהרת ומראה עמק מן־העור</w:t>
      </w:r>
      <w:r w:rsidRPr="009A13B9">
        <w:rPr>
          <w:rFonts w:eastAsia="Times New Roman" w:cs="Times New Roman"/>
          <w:rtl/>
          <w:lang w:eastAsia="de-DE"/>
        </w:rPr>
        <w:t xml:space="preserve"> </w:t>
      </w:r>
      <w:r w:rsidRPr="009A13B9">
        <w:rPr>
          <w:rFonts w:eastAsia="Times New Roman" w:cs="Times New Roman"/>
          <w:lang w:eastAsia="de-DE"/>
        </w:rPr>
        <w:t>zeigt die Diagnosekriterien für Brandwunden-</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וראה אתה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es) mit feminin Objektsuffix entsprechend </w:t>
      </w:r>
      <w:r w:rsidRPr="009A13B9">
        <w:rPr>
          <w:rFonts w:eastAsia="Times New Roman" w:cs="Times New Roman"/>
          <w:b/>
          <w:bCs/>
          <w:rtl/>
          <w:lang w:eastAsia="de-DE"/>
        </w:rPr>
        <w:t>בהרת</w:t>
      </w:r>
      <w:r w:rsidRPr="009A13B9">
        <w:rPr>
          <w:rFonts w:eastAsia="Times New Roman" w:cs="Times New Roman"/>
          <w:lang w:eastAsia="de-DE"/>
        </w:rPr>
        <w:t xml:space="preserve">. </w:t>
      </w:r>
      <w:r w:rsidRPr="009A13B9">
        <w:rPr>
          <w:rFonts w:eastAsia="Times New Roman" w:cs="Times New Roman"/>
          <w:b/>
          <w:bCs/>
          <w:rtl/>
          <w:lang w:eastAsia="de-DE"/>
        </w:rPr>
        <w:t>והנה נהפך שער לבן בבהרת</w:t>
      </w:r>
      <w:r w:rsidRPr="009A13B9">
        <w:rPr>
          <w:rFonts w:eastAsia="Times New Roman" w:cs="Times New Roman"/>
          <w:rtl/>
          <w:lang w:eastAsia="de-DE"/>
        </w:rPr>
        <w:t xml:space="preserve"> </w:t>
      </w:r>
      <w:r w:rsidRPr="009A13B9">
        <w:rPr>
          <w:rFonts w:eastAsia="Times New Roman" w:cs="Times New Roman"/>
          <w:lang w:eastAsia="de-DE"/>
        </w:rPr>
        <w:t xml:space="preserve">(und siehe, das Haar hat sich weiß verwandelt in dem Fleck) - </w:t>
      </w:r>
      <w:r w:rsidRPr="009A13B9">
        <w:rPr>
          <w:rFonts w:eastAsia="Times New Roman" w:cs="Times New Roman"/>
          <w:b/>
          <w:bCs/>
          <w:rtl/>
          <w:lang w:eastAsia="de-DE"/>
        </w:rPr>
        <w:t>בבהרת</w:t>
      </w:r>
      <w:r w:rsidRPr="009A13B9">
        <w:rPr>
          <w:rFonts w:eastAsia="Times New Roman" w:cs="Times New Roman"/>
          <w:rtl/>
          <w:lang w:eastAsia="de-DE"/>
        </w:rPr>
        <w:t xml:space="preserve"> </w:t>
      </w:r>
      <w:r w:rsidRPr="009A13B9">
        <w:rPr>
          <w:rFonts w:eastAsia="Times New Roman" w:cs="Times New Roman"/>
          <w:lang w:eastAsia="de-DE"/>
        </w:rPr>
        <w:t xml:space="preserve">(in dem Fleck) lokalisiert die Haarveränderung. </w:t>
      </w:r>
      <w:r w:rsidRPr="009A13B9">
        <w:rPr>
          <w:rFonts w:eastAsia="Times New Roman" w:cs="Times New Roman"/>
          <w:b/>
          <w:bCs/>
          <w:rtl/>
          <w:lang w:eastAsia="de-DE"/>
        </w:rPr>
        <w:t>ומראה עמק מן־העור</w:t>
      </w:r>
      <w:r w:rsidRPr="009A13B9">
        <w:rPr>
          <w:rFonts w:eastAsia="Times New Roman" w:cs="Times New Roman"/>
          <w:rtl/>
          <w:lang w:eastAsia="de-DE"/>
        </w:rPr>
        <w:t xml:space="preserve"> </w:t>
      </w:r>
      <w:r w:rsidRPr="009A13B9">
        <w:rPr>
          <w:rFonts w:eastAsia="Times New Roman" w:cs="Times New Roman"/>
          <w:lang w:eastAsia="de-DE"/>
        </w:rPr>
        <w:t>(und sein Aussehen ist tiefer als die Haut) entspricht V. 3.</w:t>
      </w:r>
    </w:p>
    <w:p w14:paraId="720F1AE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צרעת הוא במכוה פרחה וטמא אתו הכהן נגע צרעת הוא</w:t>
      </w:r>
      <w:r w:rsidRPr="009A13B9">
        <w:rPr>
          <w:rFonts w:eastAsia="Times New Roman" w:cs="Times New Roman"/>
          <w:rtl/>
          <w:lang w:eastAsia="de-DE"/>
        </w:rPr>
        <w:t xml:space="preserve"> </w:t>
      </w:r>
      <w:r w:rsidRPr="009A13B9">
        <w:rPr>
          <w:rFonts w:eastAsia="Times New Roman" w:cs="Times New Roman"/>
          <w:lang w:eastAsia="de-DE"/>
        </w:rPr>
        <w:t xml:space="preserve">zeigt die definitive Diagnose. </w:t>
      </w:r>
      <w:r w:rsidRPr="009A13B9">
        <w:rPr>
          <w:rFonts w:eastAsia="Times New Roman" w:cs="Times New Roman"/>
          <w:b/>
          <w:bCs/>
          <w:rtl/>
          <w:lang w:eastAsia="de-DE"/>
        </w:rPr>
        <w:t>צרעת הוא במכוה פרחה</w:t>
      </w:r>
      <w:r w:rsidRPr="009A13B9">
        <w:rPr>
          <w:rFonts w:eastAsia="Times New Roman" w:cs="Times New Roman"/>
          <w:rtl/>
          <w:lang w:eastAsia="de-DE"/>
        </w:rPr>
        <w:t xml:space="preserve"> </w:t>
      </w:r>
      <w:r w:rsidRPr="009A13B9">
        <w:rPr>
          <w:rFonts w:eastAsia="Times New Roman" w:cs="Times New Roman"/>
          <w:lang w:eastAsia="de-DE"/>
        </w:rPr>
        <w:t xml:space="preserve">(Aussatz ist es, in der Brandwunde ist es ausgebrochen) - </w:t>
      </w:r>
      <w:r w:rsidRPr="009A13B9">
        <w:rPr>
          <w:rFonts w:eastAsia="Times New Roman" w:cs="Times New Roman"/>
          <w:b/>
          <w:bCs/>
          <w:rtl/>
          <w:lang w:eastAsia="de-DE"/>
        </w:rPr>
        <w:t>פרחה</w:t>
      </w:r>
      <w:r w:rsidRPr="009A13B9">
        <w:rPr>
          <w:rFonts w:eastAsia="Times New Roman" w:cs="Times New Roman"/>
          <w:rtl/>
          <w:lang w:eastAsia="de-DE"/>
        </w:rPr>
        <w:t xml:space="preserve"> </w:t>
      </w:r>
      <w:r w:rsidRPr="009A13B9">
        <w:rPr>
          <w:rFonts w:eastAsia="Times New Roman" w:cs="Times New Roman"/>
          <w:lang w:eastAsia="de-DE"/>
        </w:rPr>
        <w:t xml:space="preserve">(ist ausgebrochen) im Qal-Perfekt feminin entsprechend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וטמא אתו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w:t>
      </w:r>
      <w:r w:rsidRPr="009A13B9">
        <w:rPr>
          <w:rFonts w:eastAsia="Times New Roman" w:cs="Times New Roman"/>
          <w:b/>
          <w:bCs/>
          <w:rtl/>
          <w:lang w:eastAsia="de-DE"/>
        </w:rPr>
        <w:t>נגע צרעת הוא</w:t>
      </w:r>
      <w:r w:rsidRPr="009A13B9">
        <w:rPr>
          <w:rFonts w:eastAsia="Times New Roman" w:cs="Times New Roman"/>
          <w:rtl/>
          <w:lang w:eastAsia="de-DE"/>
        </w:rPr>
        <w:t xml:space="preserve"> </w:t>
      </w:r>
      <w:r w:rsidRPr="009A13B9">
        <w:rPr>
          <w:rFonts w:eastAsia="Times New Roman" w:cs="Times New Roman"/>
          <w:lang w:eastAsia="de-DE"/>
        </w:rPr>
        <w:t>(ein Aussatzmal ist es) bekräftigt die Diagnose.</w:t>
      </w:r>
    </w:p>
    <w:p w14:paraId="48878DD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נהפך שער לבן בבהרת</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מראה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sind dieselben Kriterien wie bei primärer und sekundärer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במכוה פרחה</w:t>
      </w:r>
      <w:r w:rsidRPr="009A13B9">
        <w:rPr>
          <w:rFonts w:eastAsia="Times New Roman" w:cs="Times New Roman"/>
          <w:rtl/>
          <w:lang w:eastAsia="de-DE"/>
        </w:rPr>
        <w:t xml:space="preserve"> </w:t>
      </w:r>
      <w:r w:rsidRPr="009A13B9">
        <w:rPr>
          <w:rFonts w:eastAsia="Times New Roman" w:cs="Times New Roman"/>
          <w:lang w:eastAsia="de-DE"/>
        </w:rPr>
        <w:t xml:space="preserve">erklärt die Entstehung in der Brandwunde entsprechend </w:t>
      </w:r>
      <w:r w:rsidRPr="009A13B9">
        <w:rPr>
          <w:rFonts w:eastAsia="Times New Roman" w:cs="Times New Roman"/>
          <w:b/>
          <w:bCs/>
          <w:rtl/>
          <w:lang w:eastAsia="de-DE"/>
        </w:rPr>
        <w:t>בשחין פרחה</w:t>
      </w:r>
      <w:r w:rsidRPr="009A13B9">
        <w:rPr>
          <w:rFonts w:eastAsia="Times New Roman" w:cs="Times New Roman"/>
          <w:rtl/>
          <w:lang w:eastAsia="de-DE"/>
        </w:rPr>
        <w:t xml:space="preserve"> </w:t>
      </w:r>
      <w:r w:rsidRPr="009A13B9">
        <w:rPr>
          <w:rFonts w:eastAsia="Times New Roman" w:cs="Times New Roman"/>
          <w:lang w:eastAsia="de-DE"/>
        </w:rPr>
        <w:t>aus V. 20.</w:t>
      </w:r>
    </w:p>
    <w:p w14:paraId="135887D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נהפך שער לבן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μετέ</w:t>
      </w:r>
      <w:proofErr w:type="spellEnd"/>
      <w:r w:rsidRPr="009A13B9">
        <w:rPr>
          <w:rFonts w:eastAsia="Times New Roman" w:cs="Times New Roman"/>
          <w:lang w:eastAsia="de-DE"/>
        </w:rPr>
        <w:t xml:space="preserve">βαλεν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λευκή</w:t>
      </w:r>
      <w:proofErr w:type="spellEnd"/>
      <w:r w:rsidRPr="009A13B9">
        <w:rPr>
          <w:rFonts w:eastAsia="Times New Roman" w:cs="Times New Roman"/>
          <w:lang w:eastAsia="de-DE"/>
        </w:rPr>
        <w:t xml:space="preserve"> (Haar verwandelte sich weiß), </w:t>
      </w:r>
      <w:r w:rsidRPr="009A13B9">
        <w:rPr>
          <w:rFonts w:eastAsia="Times New Roman" w:cs="Times New Roman"/>
          <w:b/>
          <w:bCs/>
          <w:rtl/>
          <w:lang w:eastAsia="de-DE"/>
        </w:rPr>
        <w:t>עמק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κοῖλον</w:t>
      </w:r>
      <w:proofErr w:type="spellEnd"/>
      <w:r w:rsidRPr="009A13B9">
        <w:rPr>
          <w:rFonts w:eastAsia="Times New Roman" w:cs="Times New Roman"/>
          <w:lang w:eastAsia="de-DE"/>
        </w:rPr>
        <w:t xml:space="preserve"> (hohl) und </w:t>
      </w:r>
      <w:r w:rsidRPr="009A13B9">
        <w:rPr>
          <w:rFonts w:eastAsia="Times New Roman" w:cs="Times New Roman"/>
          <w:b/>
          <w:bCs/>
          <w:rtl/>
          <w:lang w:eastAsia="de-DE"/>
        </w:rPr>
        <w:t>פרחה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ἐξήνθησεν</w:t>
      </w:r>
      <w:proofErr w:type="spellEnd"/>
      <w:r w:rsidRPr="009A13B9">
        <w:rPr>
          <w:rFonts w:eastAsia="Times New Roman" w:cs="Times New Roman"/>
          <w:lang w:eastAsia="de-DE"/>
        </w:rPr>
        <w:t xml:space="preserve"> (blühte auf).</w:t>
      </w:r>
    </w:p>
    <w:p w14:paraId="465FC85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parallele Diagnose: priesterliche Untersuchung + zwei bestätigte Kriterien + Diagnose + Entstehungserklärung + Unreinheitserklärung + bekräftigende Diagnose. Die Struktur entspricht exakt V. 20.</w:t>
      </w:r>
    </w:p>
    <w:p w14:paraId="6395F39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identische </w:t>
      </w:r>
      <w:r w:rsidRPr="009A13B9">
        <w:rPr>
          <w:rFonts w:eastAsia="Times New Roman" w:cs="Times New Roman"/>
          <w:b/>
          <w:bCs/>
          <w:rtl/>
          <w:lang w:eastAsia="de-DE"/>
        </w:rPr>
        <w:t>צרעת</w:t>
      </w:r>
      <w:r w:rsidRPr="009A13B9">
        <w:rPr>
          <w:rFonts w:eastAsia="Times New Roman" w:cs="Times New Roman"/>
          <w:lang w:eastAsia="de-DE"/>
        </w:rPr>
        <w:t>-Kriterien und -Diagnose für Brandwunden wie für Geschwüre.</w:t>
      </w:r>
    </w:p>
    <w:p w14:paraId="0AAEF254"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13,26</w:t>
      </w:r>
    </w:p>
    <w:p w14:paraId="7493276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 יִרְאֶ֣נָּה הַכֹּהֵ֗ן וְהִנֵּ֤ה אֵֽין־בַּבֶּהֶ֨רֶת֙ שֵׂעָ֣ר לָבָ֔ן וּשְׁפָלָ֥ה אֵינֶ֛נָּה מִן־הָע֖וֹר וְהִ֣וא כֵהָ֑ה וְהִסְגִּירֹ֥ו הַכֹּהֵ֖ן שִׁבְעַ֥ת יָמִֽים׃</w:t>
      </w:r>
    </w:p>
    <w:p w14:paraId="4C5B7EA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es sieht, und siehe, es ist kein weißes Haar in dem Fleck, und er ist nicht niedriger als die Haut und ist dunkel, so soll der Priester ihn sieben Tage einschließen.</w:t>
      </w:r>
    </w:p>
    <w:p w14:paraId="6D1767D2"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B1830F6">
          <v:rect id="_x0000_i1357" style="width:0;height:1.5pt" o:hralign="center" o:hrstd="t" o:hr="t" fillcolor="#a0a0a0" stroked="f"/>
        </w:pict>
      </w:r>
    </w:p>
    <w:p w14:paraId="35F6CD3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 יראנה הכהן והנה אין־בבהרת שער לבן ושפלה איננה מן־העור והוא כהה</w:t>
      </w:r>
      <w:r w:rsidRPr="009A13B9">
        <w:rPr>
          <w:rFonts w:eastAsia="Times New Roman" w:cs="Times New Roman"/>
          <w:rtl/>
          <w:lang w:eastAsia="de-DE"/>
        </w:rPr>
        <w:t xml:space="preserve"> </w:t>
      </w:r>
      <w:r w:rsidRPr="009A13B9">
        <w:rPr>
          <w:rFonts w:eastAsia="Times New Roman" w:cs="Times New Roman"/>
          <w:lang w:eastAsia="de-DE"/>
        </w:rPr>
        <w:t xml:space="preserve">entspricht exakt V. 21 für Geschwüre. </w:t>
      </w:r>
      <w:r w:rsidRPr="009A13B9">
        <w:rPr>
          <w:rFonts w:eastAsia="Times New Roman" w:cs="Times New Roman"/>
          <w:b/>
          <w:bCs/>
          <w:rtl/>
          <w:lang w:eastAsia="de-DE"/>
        </w:rPr>
        <w:t>ואם יראנה הכהן</w:t>
      </w:r>
      <w:r w:rsidRPr="009A13B9">
        <w:rPr>
          <w:rFonts w:eastAsia="Times New Roman" w:cs="Times New Roman"/>
          <w:rtl/>
          <w:lang w:eastAsia="de-DE"/>
        </w:rPr>
        <w:t xml:space="preserve"> </w:t>
      </w:r>
      <w:r w:rsidRPr="009A13B9">
        <w:rPr>
          <w:rFonts w:eastAsia="Times New Roman" w:cs="Times New Roman"/>
          <w:lang w:eastAsia="de-DE"/>
        </w:rPr>
        <w:t xml:space="preserve">(und wenn der Priester es sieht) mit feminin Objektsuffix. </w:t>
      </w:r>
      <w:r w:rsidRPr="009A13B9">
        <w:rPr>
          <w:rFonts w:eastAsia="Times New Roman" w:cs="Times New Roman"/>
          <w:b/>
          <w:bCs/>
          <w:rtl/>
          <w:lang w:eastAsia="de-DE"/>
        </w:rPr>
        <w:t>והנה אין־בבהרת שער לבן</w:t>
      </w:r>
      <w:r w:rsidRPr="009A13B9">
        <w:rPr>
          <w:rFonts w:eastAsia="Times New Roman" w:cs="Times New Roman"/>
          <w:rtl/>
          <w:lang w:eastAsia="de-DE"/>
        </w:rPr>
        <w:t xml:space="preserve"> </w:t>
      </w:r>
      <w:r w:rsidRPr="009A13B9">
        <w:rPr>
          <w:rFonts w:eastAsia="Times New Roman" w:cs="Times New Roman"/>
          <w:lang w:eastAsia="de-DE"/>
        </w:rPr>
        <w:t xml:space="preserve">(und siehe, es ist kein weißes Haar in dem Fleck) - </w:t>
      </w:r>
      <w:r w:rsidRPr="009A13B9">
        <w:rPr>
          <w:rFonts w:eastAsia="Times New Roman" w:cs="Times New Roman"/>
          <w:b/>
          <w:bCs/>
          <w:rtl/>
          <w:lang w:eastAsia="de-DE"/>
        </w:rPr>
        <w:t>בבהרת</w:t>
      </w:r>
      <w:r w:rsidRPr="009A13B9">
        <w:rPr>
          <w:rFonts w:eastAsia="Times New Roman" w:cs="Times New Roman"/>
          <w:rtl/>
          <w:lang w:eastAsia="de-DE"/>
        </w:rPr>
        <w:t xml:space="preserve"> </w:t>
      </w:r>
      <w:r w:rsidRPr="009A13B9">
        <w:rPr>
          <w:rFonts w:eastAsia="Times New Roman" w:cs="Times New Roman"/>
          <w:lang w:eastAsia="de-DE"/>
        </w:rPr>
        <w:t xml:space="preserve">(in dem Fleck) lokalisiert spezifisch. </w:t>
      </w:r>
      <w:r w:rsidRPr="009A13B9">
        <w:rPr>
          <w:rFonts w:eastAsia="Times New Roman" w:cs="Times New Roman"/>
          <w:b/>
          <w:bCs/>
          <w:rtl/>
          <w:lang w:eastAsia="de-DE"/>
        </w:rPr>
        <w:t>ושפלה איננה מן־העור</w:t>
      </w:r>
      <w:r w:rsidRPr="009A13B9">
        <w:rPr>
          <w:rFonts w:eastAsia="Times New Roman" w:cs="Times New Roman"/>
          <w:rtl/>
          <w:lang w:eastAsia="de-DE"/>
        </w:rPr>
        <w:t xml:space="preserve"> </w:t>
      </w:r>
      <w:r w:rsidRPr="009A13B9">
        <w:rPr>
          <w:rFonts w:eastAsia="Times New Roman" w:cs="Times New Roman"/>
          <w:lang w:eastAsia="de-DE"/>
        </w:rPr>
        <w:t xml:space="preserve">(und niedrig ist es nicht als die Haut) negiert das Tiefenkriterium. </w:t>
      </w:r>
      <w:r w:rsidRPr="009A13B9">
        <w:rPr>
          <w:rFonts w:eastAsia="Times New Roman" w:cs="Times New Roman"/>
          <w:b/>
          <w:bCs/>
          <w:rtl/>
          <w:lang w:eastAsia="de-DE"/>
        </w:rPr>
        <w:t>והוא כהה</w:t>
      </w:r>
      <w:r w:rsidRPr="009A13B9">
        <w:rPr>
          <w:rFonts w:eastAsia="Times New Roman" w:cs="Times New Roman"/>
          <w:rtl/>
          <w:lang w:eastAsia="de-DE"/>
        </w:rPr>
        <w:t xml:space="preserve"> </w:t>
      </w:r>
      <w:r w:rsidRPr="009A13B9">
        <w:rPr>
          <w:rFonts w:eastAsia="Times New Roman" w:cs="Times New Roman"/>
          <w:lang w:eastAsia="de-DE"/>
        </w:rPr>
        <w:t>(und es ist dunkel) zeigt Verblassung.</w:t>
      </w:r>
    </w:p>
    <w:p w14:paraId="582C710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והסגירו הכהן שבעת ימים</w:t>
      </w:r>
      <w:r w:rsidRPr="009A13B9">
        <w:rPr>
          <w:rFonts w:eastAsia="Times New Roman" w:cs="Times New Roman"/>
          <w:rtl/>
          <w:lang w:eastAsia="de-DE"/>
        </w:rPr>
        <w:t xml:space="preserve"> </w:t>
      </w:r>
      <w:r w:rsidRPr="009A13B9">
        <w:rPr>
          <w:rFonts w:eastAsia="Times New Roman" w:cs="Times New Roman"/>
          <w:lang w:eastAsia="de-DE"/>
        </w:rPr>
        <w:t xml:space="preserve">entspricht dem Standardquarantäneverfahren. </w:t>
      </w:r>
      <w:r w:rsidRPr="009A13B9">
        <w:rPr>
          <w:rFonts w:eastAsia="Times New Roman" w:cs="Times New Roman"/>
          <w:b/>
          <w:bCs/>
          <w:rtl/>
          <w:lang w:eastAsia="de-DE"/>
        </w:rPr>
        <w:t>והסגירו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einschließen).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(sieben Tage).</w:t>
      </w:r>
    </w:p>
    <w:p w14:paraId="3BF817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 identische Formulierung zu V. 21 zeigt, dass Brandwunden-</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denselben diagnostischen Kriterien und Verfahren folgt wie Geschwürs-</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אין־בבהרת שער לבן</w:t>
      </w:r>
      <w:r w:rsidRPr="009A13B9">
        <w:rPr>
          <w:rFonts w:eastAsia="Times New Roman" w:cs="Times New Roman"/>
          <w:rtl/>
          <w:lang w:eastAsia="de-DE"/>
        </w:rPr>
        <w:t xml:space="preserve"> </w:t>
      </w:r>
      <w:r w:rsidRPr="009A13B9">
        <w:rPr>
          <w:rFonts w:eastAsia="Times New Roman" w:cs="Times New Roman"/>
          <w:lang w:eastAsia="de-DE"/>
        </w:rPr>
        <w:t xml:space="preserve">negiert das Haarkriterium, </w:t>
      </w:r>
      <w:r w:rsidRPr="009A13B9">
        <w:rPr>
          <w:rFonts w:eastAsia="Times New Roman" w:cs="Times New Roman"/>
          <w:b/>
          <w:bCs/>
          <w:rtl/>
          <w:lang w:eastAsia="de-DE"/>
        </w:rPr>
        <w:t>ושפלה איננה</w:t>
      </w:r>
      <w:r w:rsidRPr="009A13B9">
        <w:rPr>
          <w:rFonts w:eastAsia="Times New Roman" w:cs="Times New Roman"/>
          <w:rtl/>
          <w:lang w:eastAsia="de-DE"/>
        </w:rPr>
        <w:t xml:space="preserve"> </w:t>
      </w:r>
      <w:r w:rsidRPr="009A13B9">
        <w:rPr>
          <w:rFonts w:eastAsia="Times New Roman" w:cs="Times New Roman"/>
          <w:lang w:eastAsia="de-DE"/>
        </w:rPr>
        <w:t>das Tiefenkriterium.</w:t>
      </w:r>
    </w:p>
    <w:p w14:paraId="3797E49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entsprechend V. 21 mit identischen griechischen Begriffen.</w:t>
      </w:r>
    </w:p>
    <w:p w14:paraId="592A7E6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entspricht exakt V. 21: Konditionalsatz + drei negative Befunde + Quarantäneanordnung. Die parallele Struktur zeigt systematische Anwendung derselben Kriterien.</w:t>
      </w:r>
    </w:p>
    <w:p w14:paraId="4E3F282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identisches Quarantäneverfahren für unklare Brandwunden-Fälle wie für Geschwüre.</w:t>
      </w:r>
    </w:p>
    <w:p w14:paraId="67F5377D"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13,27</w:t>
      </w:r>
    </w:p>
    <w:p w14:paraId="455E9AE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וְרָאָ֥הוּ הַכֹּהֵ֖ן בַּיּ֣וֹם הַשְּׁבִיעִ֑י אִם־פָּשֹׂ֤ה תִפְשֶׂה֙ בָּע֔וֹר וְטִמֵּ֤א הַכֹּהֵן֙ אֹתוֹ֔ נֶ֥גַע צָרַ֖עַת הִֽוא׃</w:t>
      </w:r>
    </w:p>
    <w:p w14:paraId="5968E68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soll ihn am siebten Tag sehen; wenn es sich ausbreitend ausbreitet auf der Haut, so soll der Priester ihn für unrein erklären: es ist ein Aussatzmal.</w:t>
      </w:r>
    </w:p>
    <w:p w14:paraId="2861CB9A"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7A1B2B66">
          <v:rect id="_x0000_i1358" style="width:0;height:1.5pt" o:hralign="center" o:hrstd="t" o:hr="t" fillcolor="#a0a0a0" stroked="f"/>
        </w:pict>
      </w:r>
    </w:p>
    <w:p w14:paraId="4ACC89A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וראהו הכהן ביום השביעי אם־פשה תפשה בעור וטמא הכהן אתו נגע צרעת הוא</w:t>
      </w:r>
      <w:r w:rsidRPr="009A13B9">
        <w:rPr>
          <w:rFonts w:eastAsia="Times New Roman" w:cs="Times New Roman"/>
          <w:rtl/>
          <w:lang w:eastAsia="de-DE"/>
        </w:rPr>
        <w:t xml:space="preserve"> </w:t>
      </w:r>
      <w:r w:rsidRPr="009A13B9">
        <w:rPr>
          <w:rFonts w:eastAsia="Times New Roman" w:cs="Times New Roman"/>
          <w:lang w:eastAsia="de-DE"/>
        </w:rPr>
        <w:t xml:space="preserve">entspricht exakt V. 22 für Geschwüre. </w:t>
      </w:r>
      <w:r w:rsidRPr="009A13B9">
        <w:rPr>
          <w:rFonts w:eastAsia="Times New Roman" w:cs="Times New Roman"/>
          <w:b/>
          <w:bCs/>
          <w:rtl/>
          <w:lang w:eastAsia="de-DE"/>
        </w:rPr>
        <w:t>וראהו הכהן ביום השביעי</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am siebten Tag sehen) zeigt die terminierte Nachuntersuchung. </w:t>
      </w:r>
      <w:r w:rsidRPr="009A13B9">
        <w:rPr>
          <w:rFonts w:eastAsia="Times New Roman" w:cs="Times New Roman"/>
          <w:b/>
          <w:bCs/>
          <w:rtl/>
          <w:lang w:eastAsia="de-DE"/>
        </w:rPr>
        <w:t>אם־פשה תפשה בעור</w:t>
      </w:r>
      <w:r w:rsidRPr="009A13B9">
        <w:rPr>
          <w:rFonts w:eastAsia="Times New Roman" w:cs="Times New Roman"/>
          <w:rtl/>
          <w:lang w:eastAsia="de-DE"/>
        </w:rPr>
        <w:t xml:space="preserve"> </w:t>
      </w:r>
      <w:r w:rsidRPr="009A13B9">
        <w:rPr>
          <w:rFonts w:eastAsia="Times New Roman" w:cs="Times New Roman"/>
          <w:lang w:eastAsia="de-DE"/>
        </w:rPr>
        <w:t xml:space="preserve">(wenn sich ausbreitend ausbreitet auf der Haut) mit verstärkender Wiederholung. </w:t>
      </w:r>
      <w:r w:rsidRPr="009A13B9">
        <w:rPr>
          <w:rFonts w:eastAsia="Times New Roman" w:cs="Times New Roman"/>
          <w:b/>
          <w:bCs/>
          <w:rtl/>
          <w:lang w:eastAsia="de-DE"/>
        </w:rPr>
        <w:t>וטמא הכהן אתו</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w:t>
      </w:r>
      <w:r w:rsidRPr="009A13B9">
        <w:rPr>
          <w:rFonts w:eastAsia="Times New Roman" w:cs="Times New Roman"/>
          <w:b/>
          <w:bCs/>
          <w:rtl/>
          <w:lang w:eastAsia="de-DE"/>
        </w:rPr>
        <w:t>נגע צרעת הוא</w:t>
      </w:r>
      <w:r w:rsidRPr="009A13B9">
        <w:rPr>
          <w:rFonts w:eastAsia="Times New Roman" w:cs="Times New Roman"/>
          <w:rtl/>
          <w:lang w:eastAsia="de-DE"/>
        </w:rPr>
        <w:t xml:space="preserve"> </w:t>
      </w:r>
      <w:r w:rsidRPr="009A13B9">
        <w:rPr>
          <w:rFonts w:eastAsia="Times New Roman" w:cs="Times New Roman"/>
          <w:lang w:eastAsia="de-DE"/>
        </w:rPr>
        <w:t xml:space="preserve">(ein Aussatzmal ist es) mit emphatischem </w:t>
      </w:r>
      <w:r w:rsidRPr="009A13B9">
        <w:rPr>
          <w:rFonts w:eastAsia="Times New Roman" w:cs="Times New Roman"/>
          <w:b/>
          <w:bCs/>
          <w:rtl/>
          <w:lang w:eastAsia="de-DE"/>
        </w:rPr>
        <w:t>הוא</w:t>
      </w:r>
      <w:r w:rsidRPr="009A13B9">
        <w:rPr>
          <w:rFonts w:eastAsia="Times New Roman" w:cs="Times New Roman"/>
          <w:lang w:eastAsia="de-DE"/>
        </w:rPr>
        <w:t>.</w:t>
      </w:r>
    </w:p>
    <w:p w14:paraId="23C9495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 vollständige Parallelität zu V. 22 zeigt die systematische Anwendung identischer Diagnosekriterien für verschiedene Entstehungsarten von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פשה תפשה</w:t>
      </w:r>
      <w:r w:rsidRPr="009A13B9">
        <w:rPr>
          <w:rFonts w:eastAsia="Times New Roman" w:cs="Times New Roman"/>
          <w:rtl/>
          <w:lang w:eastAsia="de-DE"/>
        </w:rPr>
        <w:t xml:space="preserve"> </w:t>
      </w:r>
      <w:r w:rsidRPr="009A13B9">
        <w:rPr>
          <w:rFonts w:eastAsia="Times New Roman" w:cs="Times New Roman"/>
          <w:lang w:eastAsia="de-DE"/>
        </w:rPr>
        <w:t>als entscheidendes Ausbreitungskriterium.</w:t>
      </w:r>
    </w:p>
    <w:p w14:paraId="7C0F9CF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identisch zu V. 22.</w:t>
      </w:r>
    </w:p>
    <w:p w14:paraId="7E05B46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entspricht exakt V. 22: terminierte Untersuchung + Konditionalsatz mit verstärkter Ausbreitung + Unreinheitserklärung + </w:t>
      </w:r>
      <w:r w:rsidRPr="009A13B9">
        <w:rPr>
          <w:rFonts w:eastAsia="Times New Roman" w:cs="Times New Roman"/>
          <w:b/>
          <w:bCs/>
          <w:rtl/>
          <w:lang w:eastAsia="de-DE"/>
        </w:rPr>
        <w:t>צרעת</w:t>
      </w:r>
      <w:r w:rsidRPr="009A13B9">
        <w:rPr>
          <w:rFonts w:eastAsia="Times New Roman" w:cs="Times New Roman"/>
          <w:lang w:eastAsia="de-DE"/>
        </w:rPr>
        <w:t>-Diagnose. Die parallele Struktur unterstreicht die Systematik.</w:t>
      </w:r>
    </w:p>
    <w:p w14:paraId="3BE7ADD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identische Ausbreitungsdiagnose für Brandwunden wie für Geschwüre.</w:t>
      </w:r>
    </w:p>
    <w:p w14:paraId="4203D3E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13,28</w:t>
      </w:r>
    </w:p>
    <w:p w14:paraId="27E5793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וְאִם־תַּחְתֶּיהָ֩ תַעֲמֹ֨ד הַבַּהֶ֜רֶת לֹא־פָשְׂתָ֤ה בָעוֹר֙ וְהִ֣וא כֵהָ֔ה שְׂאֵ֥ת הַמִּכְוָ֖ה הִ֑וא וְטִֽהֲרוֹ֙ הַכֹּהֵ֔ן כִּֽי־צָרֶ֥בֶת הַמִּכְוָ֖ה הִֽוא׃</w:t>
      </w:r>
    </w:p>
    <w:p w14:paraId="29674E0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Und wenn der Fleck an seiner Stelle stehenbleibt, hat sich nicht auf der Haut ausgebreitet und ist dunkel, so ist es die Erhebung der Brandwunde; und der Priester soll ihn für rein erklären, denn es ist die Narbe der Brandwunde.</w:t>
      </w:r>
    </w:p>
    <w:p w14:paraId="7B2A2F3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7F5CE6AE">
          <v:rect id="_x0000_i1359" style="width:0;height:1.5pt" o:hralign="center" o:hrstd="t" o:hr="t" fillcolor="#a0a0a0" stroked="f"/>
        </w:pict>
      </w:r>
    </w:p>
    <w:p w14:paraId="1C628A2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ואם־תחתיה תעמד הבהרת לא־פשתה בעור והוא כהה</w:t>
      </w:r>
      <w:r w:rsidRPr="009A13B9">
        <w:rPr>
          <w:rFonts w:eastAsia="Times New Roman" w:cs="Times New Roman"/>
          <w:rtl/>
          <w:lang w:eastAsia="de-DE"/>
        </w:rPr>
        <w:t xml:space="preserve"> </w:t>
      </w:r>
      <w:r w:rsidRPr="009A13B9">
        <w:rPr>
          <w:rFonts w:eastAsia="Times New Roman" w:cs="Times New Roman"/>
          <w:lang w:eastAsia="de-DE"/>
        </w:rPr>
        <w:t xml:space="preserve">entspricht V. 23 für Geschwüre. </w:t>
      </w:r>
      <w:r w:rsidRPr="009A13B9">
        <w:rPr>
          <w:rFonts w:eastAsia="Times New Roman" w:cs="Times New Roman"/>
          <w:b/>
          <w:bCs/>
          <w:rtl/>
          <w:lang w:eastAsia="de-DE"/>
        </w:rPr>
        <w:t>ואם־תחתיה תעמד הבהרת</w:t>
      </w:r>
      <w:r w:rsidRPr="009A13B9">
        <w:rPr>
          <w:rFonts w:eastAsia="Times New Roman" w:cs="Times New Roman"/>
          <w:rtl/>
          <w:lang w:eastAsia="de-DE"/>
        </w:rPr>
        <w:t xml:space="preserve"> </w:t>
      </w:r>
      <w:r w:rsidRPr="009A13B9">
        <w:rPr>
          <w:rFonts w:eastAsia="Times New Roman" w:cs="Times New Roman"/>
          <w:lang w:eastAsia="de-DE"/>
        </w:rPr>
        <w:t xml:space="preserve">(und wenn an ihrer Stelle stehenbleibt der Fleck) zeigt Stillstand. </w:t>
      </w:r>
      <w:r w:rsidRPr="009A13B9">
        <w:rPr>
          <w:rFonts w:eastAsia="Times New Roman" w:cs="Times New Roman"/>
          <w:b/>
          <w:bCs/>
          <w:rtl/>
          <w:lang w:eastAsia="de-DE"/>
        </w:rPr>
        <w:t>לא־פשתה בעור</w:t>
      </w:r>
      <w:r w:rsidRPr="009A13B9">
        <w:rPr>
          <w:rFonts w:eastAsia="Times New Roman" w:cs="Times New Roman"/>
          <w:rtl/>
          <w:lang w:eastAsia="de-DE"/>
        </w:rPr>
        <w:t xml:space="preserve"> </w:t>
      </w:r>
      <w:r w:rsidRPr="009A13B9">
        <w:rPr>
          <w:rFonts w:eastAsia="Times New Roman" w:cs="Times New Roman"/>
          <w:lang w:eastAsia="de-DE"/>
        </w:rPr>
        <w:t xml:space="preserve">(hat sich nicht auf der Haut ausgebreitet) negiert das Ausbreitungskriterium. </w:t>
      </w:r>
      <w:r w:rsidRPr="009A13B9">
        <w:rPr>
          <w:rFonts w:eastAsia="Times New Roman" w:cs="Times New Roman"/>
          <w:b/>
          <w:bCs/>
          <w:rtl/>
          <w:lang w:eastAsia="de-DE"/>
        </w:rPr>
        <w:t>והוא כהה</w:t>
      </w:r>
      <w:r w:rsidRPr="009A13B9">
        <w:rPr>
          <w:rFonts w:eastAsia="Times New Roman" w:cs="Times New Roman"/>
          <w:rtl/>
          <w:lang w:eastAsia="de-DE"/>
        </w:rPr>
        <w:t xml:space="preserve"> </w:t>
      </w:r>
      <w:r w:rsidRPr="009A13B9">
        <w:rPr>
          <w:rFonts w:eastAsia="Times New Roman" w:cs="Times New Roman"/>
          <w:lang w:eastAsia="de-DE"/>
        </w:rPr>
        <w:t>(und es ist dunkel) zeigt Verblassung.</w:t>
      </w:r>
    </w:p>
    <w:p w14:paraId="0B59E78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שאת המכוה הוא וטהרו הכהן כי־צרבת המכוה הוא</w:t>
      </w:r>
      <w:r w:rsidRPr="009A13B9">
        <w:rPr>
          <w:rFonts w:eastAsia="Times New Roman" w:cs="Times New Roman"/>
          <w:rtl/>
          <w:lang w:eastAsia="de-DE"/>
        </w:rPr>
        <w:t xml:space="preserve"> </w:t>
      </w:r>
      <w:r w:rsidRPr="009A13B9">
        <w:rPr>
          <w:rFonts w:eastAsia="Times New Roman" w:cs="Times New Roman"/>
          <w:lang w:eastAsia="de-DE"/>
        </w:rPr>
        <w:t xml:space="preserve">zeigt die harmlose Diagnose. </w:t>
      </w:r>
      <w:r w:rsidRPr="009A13B9">
        <w:rPr>
          <w:rFonts w:eastAsia="Times New Roman" w:cs="Times New Roman"/>
          <w:b/>
          <w:bCs/>
          <w:rtl/>
          <w:lang w:eastAsia="de-DE"/>
        </w:rPr>
        <w:t>שאת המכוה הוא</w:t>
      </w:r>
      <w:r w:rsidRPr="009A13B9">
        <w:rPr>
          <w:rFonts w:eastAsia="Times New Roman" w:cs="Times New Roman"/>
          <w:rtl/>
          <w:lang w:eastAsia="de-DE"/>
        </w:rPr>
        <w:t xml:space="preserve"> </w:t>
      </w:r>
      <w:r w:rsidRPr="009A13B9">
        <w:rPr>
          <w:rFonts w:eastAsia="Times New Roman" w:cs="Times New Roman"/>
          <w:lang w:eastAsia="de-DE"/>
        </w:rPr>
        <w:t xml:space="preserve">(die Erhebung der Brandwunde ist es) - </w:t>
      </w:r>
      <w:r w:rsidRPr="009A13B9">
        <w:rPr>
          <w:rFonts w:eastAsia="Times New Roman" w:cs="Times New Roman"/>
          <w:b/>
          <w:bCs/>
          <w:rtl/>
          <w:lang w:eastAsia="de-DE"/>
        </w:rPr>
        <w:t>שאת</w:t>
      </w:r>
      <w:r w:rsidRPr="009A13B9">
        <w:rPr>
          <w:rFonts w:eastAsia="Times New Roman" w:cs="Times New Roman"/>
          <w:rtl/>
          <w:lang w:eastAsia="de-DE"/>
        </w:rPr>
        <w:t xml:space="preserve"> </w:t>
      </w:r>
      <w:r w:rsidRPr="009A13B9">
        <w:rPr>
          <w:rFonts w:eastAsia="Times New Roman" w:cs="Times New Roman"/>
          <w:lang w:eastAsia="de-DE"/>
        </w:rPr>
        <w:t xml:space="preserve">(Erhebung) aus V. 2, </w:t>
      </w:r>
      <w:r w:rsidRPr="009A13B9">
        <w:rPr>
          <w:rFonts w:eastAsia="Times New Roman" w:cs="Times New Roman"/>
          <w:b/>
          <w:bCs/>
          <w:rtl/>
          <w:lang w:eastAsia="de-DE"/>
        </w:rPr>
        <w:t>המכוה</w:t>
      </w:r>
      <w:r w:rsidRPr="009A13B9">
        <w:rPr>
          <w:rFonts w:eastAsia="Times New Roman" w:cs="Times New Roman"/>
          <w:rtl/>
          <w:lang w:eastAsia="de-DE"/>
        </w:rPr>
        <w:t xml:space="preserve"> </w:t>
      </w:r>
      <w:r w:rsidRPr="009A13B9">
        <w:rPr>
          <w:rFonts w:eastAsia="Times New Roman" w:cs="Times New Roman"/>
          <w:lang w:eastAsia="de-DE"/>
        </w:rPr>
        <w:t xml:space="preserve">(der Brandwunde) lokalisiert.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rein erklären). </w:t>
      </w:r>
      <w:r w:rsidRPr="009A13B9">
        <w:rPr>
          <w:rFonts w:eastAsia="Times New Roman" w:cs="Times New Roman"/>
          <w:b/>
          <w:bCs/>
          <w:rtl/>
          <w:lang w:eastAsia="de-DE"/>
        </w:rPr>
        <w:t>כי־צרבת המכוה הוא</w:t>
      </w:r>
      <w:r w:rsidRPr="009A13B9">
        <w:rPr>
          <w:rFonts w:eastAsia="Times New Roman" w:cs="Times New Roman"/>
          <w:rtl/>
          <w:lang w:eastAsia="de-DE"/>
        </w:rPr>
        <w:t xml:space="preserve"> </w:t>
      </w:r>
      <w:r w:rsidRPr="009A13B9">
        <w:rPr>
          <w:rFonts w:eastAsia="Times New Roman" w:cs="Times New Roman"/>
          <w:lang w:eastAsia="de-DE"/>
        </w:rPr>
        <w:t xml:space="preserve">(denn die Narbe der Brandwunde ist es) - </w:t>
      </w:r>
      <w:r w:rsidRPr="009A13B9">
        <w:rPr>
          <w:rFonts w:eastAsia="Times New Roman" w:cs="Times New Roman"/>
          <w:b/>
          <w:bCs/>
          <w:rtl/>
          <w:lang w:eastAsia="de-DE"/>
        </w:rPr>
        <w:t>צרבת המכוה</w:t>
      </w:r>
      <w:r w:rsidRPr="009A13B9">
        <w:rPr>
          <w:rFonts w:eastAsia="Times New Roman" w:cs="Times New Roman"/>
          <w:rtl/>
          <w:lang w:eastAsia="de-DE"/>
        </w:rPr>
        <w:t xml:space="preserve"> </w:t>
      </w:r>
      <w:r w:rsidRPr="009A13B9">
        <w:rPr>
          <w:rFonts w:eastAsia="Times New Roman" w:cs="Times New Roman"/>
          <w:lang w:eastAsia="de-DE"/>
        </w:rPr>
        <w:t xml:space="preserve">(Narbe der Brandwunde) entspricht </w:t>
      </w:r>
      <w:r w:rsidRPr="009A13B9">
        <w:rPr>
          <w:rFonts w:eastAsia="Times New Roman" w:cs="Times New Roman"/>
          <w:b/>
          <w:bCs/>
          <w:rtl/>
          <w:lang w:eastAsia="de-DE"/>
        </w:rPr>
        <w:t>צרבת השחין</w:t>
      </w:r>
      <w:r w:rsidRPr="009A13B9">
        <w:rPr>
          <w:rFonts w:eastAsia="Times New Roman" w:cs="Times New Roman"/>
          <w:rtl/>
          <w:lang w:eastAsia="de-DE"/>
        </w:rPr>
        <w:t xml:space="preserve"> </w:t>
      </w:r>
      <w:r w:rsidRPr="009A13B9">
        <w:rPr>
          <w:rFonts w:eastAsia="Times New Roman" w:cs="Times New Roman"/>
          <w:lang w:eastAsia="de-DE"/>
        </w:rPr>
        <w:t>aus V. 23.</w:t>
      </w:r>
    </w:p>
    <w:p w14:paraId="13143A8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שאת המכוה</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צרבת המכוה</w:t>
      </w:r>
      <w:r w:rsidRPr="009A13B9">
        <w:rPr>
          <w:rFonts w:eastAsia="Times New Roman" w:cs="Times New Roman"/>
          <w:rtl/>
          <w:lang w:eastAsia="de-DE"/>
        </w:rPr>
        <w:t xml:space="preserve"> </w:t>
      </w:r>
      <w:r w:rsidRPr="009A13B9">
        <w:rPr>
          <w:rFonts w:eastAsia="Times New Roman" w:cs="Times New Roman"/>
          <w:lang w:eastAsia="de-DE"/>
        </w:rPr>
        <w:t xml:space="preserve">als zwei Begriffe für harmlose Brandnarben.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 xml:space="preserve">zeigt endgültige Reinheitserklärung. </w:t>
      </w:r>
      <w:r w:rsidRPr="009A13B9">
        <w:rPr>
          <w:rFonts w:eastAsia="Times New Roman" w:cs="Times New Roman"/>
          <w:b/>
          <w:bCs/>
          <w:rtl/>
          <w:lang w:eastAsia="de-DE"/>
        </w:rPr>
        <w:t>כי־צרבת המכוה הוא</w:t>
      </w:r>
      <w:r w:rsidRPr="009A13B9">
        <w:rPr>
          <w:rFonts w:eastAsia="Times New Roman" w:cs="Times New Roman"/>
          <w:rtl/>
          <w:lang w:eastAsia="de-DE"/>
        </w:rPr>
        <w:t xml:space="preserve"> </w:t>
      </w:r>
      <w:r w:rsidRPr="009A13B9">
        <w:rPr>
          <w:rFonts w:eastAsia="Times New Roman" w:cs="Times New Roman"/>
          <w:lang w:eastAsia="de-DE"/>
        </w:rPr>
        <w:t>begründet die Harmlosigkeit.</w:t>
      </w:r>
    </w:p>
    <w:p w14:paraId="0A170D8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שאת המכוה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οὐλὴ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κατακα</w:t>
      </w:r>
      <w:proofErr w:type="spellStart"/>
      <w:r w:rsidRPr="009A13B9">
        <w:rPr>
          <w:rFonts w:eastAsia="Times New Roman" w:cs="Times New Roman"/>
          <w:lang w:eastAsia="de-DE"/>
        </w:rPr>
        <w:t>ύμ</w:t>
      </w:r>
      <w:proofErr w:type="spellEnd"/>
      <w:r w:rsidRPr="009A13B9">
        <w:rPr>
          <w:rFonts w:eastAsia="Times New Roman" w:cs="Times New Roman"/>
          <w:lang w:eastAsia="de-DE"/>
        </w:rPr>
        <w:t xml:space="preserve">ατος (Narbe der Verbrennung) und </w:t>
      </w:r>
      <w:r w:rsidRPr="009A13B9">
        <w:rPr>
          <w:rFonts w:eastAsia="Times New Roman" w:cs="Times New Roman"/>
          <w:b/>
          <w:bCs/>
          <w:rtl/>
          <w:lang w:eastAsia="de-DE"/>
        </w:rPr>
        <w:t>צרבת המכוה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οὐλὴ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κατακα</w:t>
      </w:r>
      <w:proofErr w:type="spellStart"/>
      <w:r w:rsidRPr="009A13B9">
        <w:rPr>
          <w:rFonts w:eastAsia="Times New Roman" w:cs="Times New Roman"/>
          <w:lang w:eastAsia="de-DE"/>
        </w:rPr>
        <w:t>ύμ</w:t>
      </w:r>
      <w:proofErr w:type="spellEnd"/>
      <w:r w:rsidRPr="009A13B9">
        <w:rPr>
          <w:rFonts w:eastAsia="Times New Roman" w:cs="Times New Roman"/>
          <w:lang w:eastAsia="de-DE"/>
        </w:rPr>
        <w:t>ατος (Narbe der Verbrennung).</w:t>
      </w:r>
    </w:p>
    <w:p w14:paraId="316E2FB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entspricht V. 23: Konditionalsatz mit drei positiven Kriterien + harmlose Diagnose + Reinheitserklärung + begründende Diagnose. Die parallele Struktur zeigt systematische Behandlung.</w:t>
      </w:r>
    </w:p>
    <w:p w14:paraId="6B2919C7" w14:textId="0126153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schließt die Brandwunden-Regelung mit harmlosen Narbendiagnosen und Reinheitserklärung ab, parallel zu den Geschwürbestimmungen.</w:t>
      </w:r>
    </w:p>
    <w:p w14:paraId="2D0C95F4"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13,29</w:t>
      </w:r>
    </w:p>
    <w:p w14:paraId="56E16C2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וְאִישׁ֙ א֣וֹ אִשָּׁ֔ה כִּֽי־יִהְיֶ֥ה בוֹ֖ נָ֑גַע בְּרֹ֖אשׁ א֥וֹ בְזָקָֽן׃</w:t>
      </w:r>
    </w:p>
    <w:p w14:paraId="20FF356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ein Mann oder eine Frau ein Mal am Kopf oder am Bart hat,</w:t>
      </w:r>
    </w:p>
    <w:p w14:paraId="79B0F92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81B0B10">
          <v:rect id="_x0000_i1360" style="width:0;height:1.5pt" o:hralign="center" o:hrstd="t" o:hr="t" fillcolor="#a0a0a0" stroked="f"/>
        </w:pict>
      </w:r>
    </w:p>
    <w:p w14:paraId="1553184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ואיש או אשה כי־יהיה בו נגע בראש או בזקן</w:t>
      </w:r>
      <w:r w:rsidRPr="009A13B9">
        <w:rPr>
          <w:rFonts w:eastAsia="Times New Roman" w:cs="Times New Roman"/>
          <w:rtl/>
          <w:lang w:eastAsia="de-DE"/>
        </w:rPr>
        <w:t xml:space="preserve"> </w:t>
      </w:r>
      <w:r w:rsidRPr="009A13B9">
        <w:rPr>
          <w:rFonts w:eastAsia="Times New Roman" w:cs="Times New Roman"/>
          <w:lang w:eastAsia="de-DE"/>
        </w:rPr>
        <w:t>leitet einen neuen Abschnitt über Kopf- und Bart-</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ein. </w:t>
      </w:r>
      <w:r w:rsidRPr="009A13B9">
        <w:rPr>
          <w:rFonts w:eastAsia="Times New Roman" w:cs="Times New Roman"/>
          <w:b/>
          <w:bCs/>
          <w:rtl/>
          <w:lang w:eastAsia="de-DE"/>
        </w:rPr>
        <w:t>ואיש או אשה</w:t>
      </w:r>
      <w:r w:rsidRPr="009A13B9">
        <w:rPr>
          <w:rFonts w:eastAsia="Times New Roman" w:cs="Times New Roman"/>
          <w:rtl/>
          <w:lang w:eastAsia="de-DE"/>
        </w:rPr>
        <w:t xml:space="preserve"> </w:t>
      </w:r>
      <w:r w:rsidRPr="009A13B9">
        <w:rPr>
          <w:rFonts w:eastAsia="Times New Roman" w:cs="Times New Roman"/>
          <w:lang w:eastAsia="de-DE"/>
        </w:rPr>
        <w:t xml:space="preserve">(und ein Mann oder eine Frau) zeigt universelle Anwendung für beide Geschlechter. </w:t>
      </w:r>
      <w:r w:rsidRPr="009A13B9">
        <w:rPr>
          <w:rFonts w:eastAsia="Times New Roman" w:cs="Times New Roman"/>
          <w:b/>
          <w:bCs/>
          <w:rtl/>
          <w:lang w:eastAsia="de-DE"/>
        </w:rPr>
        <w:t>כי־יהיה בו נגע</w:t>
      </w:r>
      <w:r w:rsidRPr="009A13B9">
        <w:rPr>
          <w:rFonts w:eastAsia="Times New Roman" w:cs="Times New Roman"/>
          <w:rtl/>
          <w:lang w:eastAsia="de-DE"/>
        </w:rPr>
        <w:t xml:space="preserve"> </w:t>
      </w:r>
      <w:r w:rsidRPr="009A13B9">
        <w:rPr>
          <w:rFonts w:eastAsia="Times New Roman" w:cs="Times New Roman"/>
          <w:lang w:eastAsia="de-DE"/>
        </w:rPr>
        <w:t xml:space="preserve">(wenn an ihm ein Mal ist) entspricht der allgemeinen Formulierung. </w:t>
      </w:r>
      <w:r w:rsidRPr="009A13B9">
        <w:rPr>
          <w:rFonts w:eastAsia="Times New Roman" w:cs="Times New Roman"/>
          <w:b/>
          <w:bCs/>
          <w:rtl/>
          <w:lang w:eastAsia="de-DE"/>
        </w:rPr>
        <w:t>בראש או בזקן</w:t>
      </w:r>
      <w:r w:rsidRPr="009A13B9">
        <w:rPr>
          <w:rFonts w:eastAsia="Times New Roman" w:cs="Times New Roman"/>
          <w:rtl/>
          <w:lang w:eastAsia="de-DE"/>
        </w:rPr>
        <w:t xml:space="preserve"> </w:t>
      </w:r>
      <w:r w:rsidRPr="009A13B9">
        <w:rPr>
          <w:rFonts w:eastAsia="Times New Roman" w:cs="Times New Roman"/>
          <w:lang w:eastAsia="de-DE"/>
        </w:rPr>
        <w:t>(am Kopf oder am Bart) spezifiziert die betroffenen Körperteile.</w:t>
      </w:r>
    </w:p>
    <w:p w14:paraId="2FD6030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איש או אשה</w:t>
      </w:r>
      <w:r w:rsidRPr="009A13B9">
        <w:rPr>
          <w:rFonts w:eastAsia="Times New Roman" w:cs="Times New Roman"/>
          <w:rtl/>
          <w:lang w:eastAsia="de-DE"/>
        </w:rPr>
        <w:t xml:space="preserve"> </w:t>
      </w:r>
      <w:r w:rsidRPr="009A13B9">
        <w:rPr>
          <w:rFonts w:eastAsia="Times New Roman" w:cs="Times New Roman"/>
          <w:lang w:eastAsia="de-DE"/>
        </w:rPr>
        <w:t xml:space="preserve">zeigt, dass sowohl Männer als auch Frauen betroffen sein können, obwohl </w:t>
      </w:r>
      <w:r w:rsidRPr="009A13B9">
        <w:rPr>
          <w:rFonts w:eastAsia="Times New Roman" w:cs="Times New Roman"/>
          <w:b/>
          <w:bCs/>
          <w:rtl/>
          <w:lang w:eastAsia="de-DE"/>
        </w:rPr>
        <w:t>זקן</w:t>
      </w:r>
      <w:r w:rsidRPr="009A13B9">
        <w:rPr>
          <w:rFonts w:eastAsia="Times New Roman" w:cs="Times New Roman"/>
          <w:rtl/>
          <w:lang w:eastAsia="de-DE"/>
        </w:rPr>
        <w:t xml:space="preserve"> </w:t>
      </w:r>
      <w:r w:rsidRPr="009A13B9">
        <w:rPr>
          <w:rFonts w:eastAsia="Times New Roman" w:cs="Times New Roman"/>
          <w:lang w:eastAsia="de-DE"/>
        </w:rPr>
        <w:t xml:space="preserve">(Bart) primär männlich ist. </w:t>
      </w:r>
      <w:r w:rsidRPr="009A13B9">
        <w:rPr>
          <w:rFonts w:eastAsia="Times New Roman" w:cs="Times New Roman"/>
          <w:b/>
          <w:bCs/>
          <w:rtl/>
          <w:lang w:eastAsia="de-DE"/>
        </w:rPr>
        <w:t>נגע</w:t>
      </w:r>
      <w:r w:rsidRPr="009A13B9">
        <w:rPr>
          <w:rFonts w:eastAsia="Times New Roman" w:cs="Times New Roman"/>
          <w:rtl/>
          <w:lang w:eastAsia="de-DE"/>
        </w:rPr>
        <w:t xml:space="preserve"> </w:t>
      </w:r>
      <w:r w:rsidRPr="009A13B9">
        <w:rPr>
          <w:rFonts w:eastAsia="Times New Roman" w:cs="Times New Roman"/>
          <w:lang w:eastAsia="de-DE"/>
        </w:rPr>
        <w:t xml:space="preserve">als allgemeiner Begriff für verdächtige Hautveränderung. </w:t>
      </w:r>
      <w:r w:rsidRPr="009A13B9">
        <w:rPr>
          <w:rFonts w:eastAsia="Times New Roman" w:cs="Times New Roman"/>
          <w:b/>
          <w:bCs/>
          <w:rtl/>
          <w:lang w:eastAsia="de-DE"/>
        </w:rPr>
        <w:t>בראש או בזקן</w:t>
      </w:r>
      <w:r w:rsidRPr="009A13B9">
        <w:rPr>
          <w:rFonts w:eastAsia="Times New Roman" w:cs="Times New Roman"/>
          <w:rtl/>
          <w:lang w:eastAsia="de-DE"/>
        </w:rPr>
        <w:t xml:space="preserve"> </w:t>
      </w:r>
      <w:r w:rsidRPr="009A13B9">
        <w:rPr>
          <w:rFonts w:eastAsia="Times New Roman" w:cs="Times New Roman"/>
          <w:lang w:eastAsia="de-DE"/>
        </w:rPr>
        <w:t>als spezifische Lokalisationen, die besondere Diagnosekriterien erfordern.</w:t>
      </w:r>
    </w:p>
    <w:p w14:paraId="403EEA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איש או אשה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ἀνὴρ</w:t>
      </w:r>
      <w:proofErr w:type="spellEnd"/>
      <w:r w:rsidRPr="009A13B9">
        <w:rPr>
          <w:rFonts w:eastAsia="Times New Roman" w:cs="Times New Roman"/>
          <w:lang w:eastAsia="de-DE"/>
        </w:rPr>
        <w:t xml:space="preserve"> ἢ </w:t>
      </w:r>
      <w:proofErr w:type="spellStart"/>
      <w:r w:rsidRPr="009A13B9">
        <w:rPr>
          <w:rFonts w:eastAsia="Times New Roman" w:cs="Times New Roman"/>
          <w:lang w:eastAsia="de-DE"/>
        </w:rPr>
        <w:t>γυνή</w:t>
      </w:r>
      <w:proofErr w:type="spellEnd"/>
      <w:r w:rsidRPr="009A13B9">
        <w:rPr>
          <w:rFonts w:eastAsia="Times New Roman" w:cs="Times New Roman"/>
          <w:lang w:eastAsia="de-DE"/>
        </w:rPr>
        <w:t xml:space="preserve"> (Mann oder Frau), </w:t>
      </w:r>
      <w:r w:rsidRPr="009A13B9">
        <w:rPr>
          <w:rFonts w:eastAsia="Times New Roman" w:cs="Times New Roman"/>
          <w:b/>
          <w:bCs/>
          <w:rtl/>
          <w:lang w:eastAsia="de-DE"/>
        </w:rPr>
        <w:t>נגע</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ἁφή</w:t>
      </w:r>
      <w:proofErr w:type="spellEnd"/>
      <w:r w:rsidRPr="009A13B9">
        <w:rPr>
          <w:rFonts w:eastAsia="Times New Roman" w:cs="Times New Roman"/>
          <w:lang w:eastAsia="de-DE"/>
        </w:rPr>
        <w:t xml:space="preserve"> (Mal) und </w:t>
      </w:r>
      <w:r w:rsidRPr="009A13B9">
        <w:rPr>
          <w:rFonts w:eastAsia="Times New Roman" w:cs="Times New Roman"/>
          <w:b/>
          <w:bCs/>
          <w:rtl/>
          <w:lang w:eastAsia="de-DE"/>
        </w:rPr>
        <w:t>בזקן</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τῷ</w:t>
      </w:r>
      <w:proofErr w:type="spellEnd"/>
      <w:r w:rsidRPr="009A13B9">
        <w:rPr>
          <w:rFonts w:eastAsia="Times New Roman" w:cs="Times New Roman"/>
          <w:lang w:eastAsia="de-DE"/>
        </w:rPr>
        <w:t xml:space="preserve"> π</w:t>
      </w:r>
      <w:proofErr w:type="spellStart"/>
      <w:r w:rsidRPr="009A13B9">
        <w:rPr>
          <w:rFonts w:eastAsia="Times New Roman" w:cs="Times New Roman"/>
          <w:lang w:eastAsia="de-DE"/>
        </w:rPr>
        <w:t>ώγωνι</w:t>
      </w:r>
      <w:proofErr w:type="spellEnd"/>
      <w:r w:rsidRPr="009A13B9">
        <w:rPr>
          <w:rFonts w:eastAsia="Times New Roman" w:cs="Times New Roman"/>
          <w:lang w:eastAsia="de-DE"/>
        </w:rPr>
        <w:t xml:space="preserve"> (im Bart).</w:t>
      </w:r>
    </w:p>
    <w:p w14:paraId="48BFAA7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neue Kategorie: Geschlechtsspezifikation + Konditionalsatz + spezifische Lokalisationen. Die Struktur leitet die Behandlung von Kopf-/Bart-</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ein.</w:t>
      </w:r>
    </w:p>
    <w:p w14:paraId="7BFBDA0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leitet die spezielle Regelung für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am Kopf oder Bart für beide Geschlechter ein.</w:t>
      </w:r>
    </w:p>
    <w:p w14:paraId="07E8BC07"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13,30</w:t>
      </w:r>
    </w:p>
    <w:p w14:paraId="06821EE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אֶת־הַנֶּ֗גַע וְהִנֵּ֤ה מַרְאֵ֨הוּ֙ עָמֹ֣ק מִן־הָע֔וֹר וּבוֹ֛ שֵׂעָ֥ר צָהֹ֖ב דָּ֑ק וְטִמֵּ֨א אֹתוֹ֤ הַכֹּהֵן֙ נֶ֣תֶק ה֔וּא צָרַ֧עַת הָרֹ֛אשׁ א֥וֹ הַזָּקָ֖ן הֽוּא׃</w:t>
      </w:r>
    </w:p>
    <w:p w14:paraId="48E84CE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sieht das Mal, und siehe, sein Aussehen ist tiefer als die Haut, und gelbes dünnes Haar ist darin, so soll der Priester ihn für unrein erklären: es ist Schorf, es ist Aussatz des Kopfes oder des Bartes.</w:t>
      </w:r>
    </w:p>
    <w:p w14:paraId="12DAEA40"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0843EA8">
          <v:rect id="_x0000_i1361" style="width:0;height:1.5pt" o:hralign="center" o:hrstd="t" o:hr="t" fillcolor="#a0a0a0" stroked="f"/>
        </w:pict>
      </w:r>
    </w:p>
    <w:p w14:paraId="735952C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את־הנגע והנה מראהו עמק מן־העור ובו שער צהב דק</w:t>
      </w:r>
      <w:r w:rsidRPr="009A13B9">
        <w:rPr>
          <w:rFonts w:eastAsia="Times New Roman" w:cs="Times New Roman"/>
          <w:rtl/>
          <w:lang w:eastAsia="de-DE"/>
        </w:rPr>
        <w:t xml:space="preserve"> </w:t>
      </w:r>
      <w:r w:rsidRPr="009A13B9">
        <w:rPr>
          <w:rFonts w:eastAsia="Times New Roman" w:cs="Times New Roman"/>
          <w:lang w:eastAsia="de-DE"/>
        </w:rPr>
        <w:t>zeigt die spezifischen Diagnosekriterien für Kopf-/Bart-</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וראה הכהן את־הנגע</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das Mal) entspricht der Standarduntersuchung. </w:t>
      </w:r>
      <w:r w:rsidRPr="009A13B9">
        <w:rPr>
          <w:rFonts w:eastAsia="Times New Roman" w:cs="Times New Roman"/>
          <w:b/>
          <w:bCs/>
          <w:rtl/>
          <w:lang w:eastAsia="de-DE"/>
        </w:rPr>
        <w:t>והנה מראהו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(und siehe, sein Aussehen ist tiefer als die Haut) entspricht V. 3. </w:t>
      </w:r>
      <w:r w:rsidRPr="009A13B9">
        <w:rPr>
          <w:rFonts w:eastAsia="Times New Roman" w:cs="Times New Roman"/>
          <w:b/>
          <w:bCs/>
          <w:rtl/>
          <w:lang w:eastAsia="de-DE"/>
        </w:rPr>
        <w:t>ובו שער צהב דק</w:t>
      </w:r>
      <w:r w:rsidRPr="009A13B9">
        <w:rPr>
          <w:rFonts w:eastAsia="Times New Roman" w:cs="Times New Roman"/>
          <w:rtl/>
          <w:lang w:eastAsia="de-DE"/>
        </w:rPr>
        <w:t xml:space="preserve"> </w:t>
      </w:r>
      <w:r w:rsidRPr="009A13B9">
        <w:rPr>
          <w:rFonts w:eastAsia="Times New Roman" w:cs="Times New Roman"/>
          <w:lang w:eastAsia="de-DE"/>
        </w:rPr>
        <w:t xml:space="preserve">(und darin gelbes dünnes Haar) - </w:t>
      </w:r>
      <w:r w:rsidRPr="009A13B9">
        <w:rPr>
          <w:rFonts w:eastAsia="Times New Roman" w:cs="Times New Roman"/>
          <w:b/>
          <w:bCs/>
          <w:rtl/>
          <w:lang w:eastAsia="de-DE"/>
        </w:rPr>
        <w:t>שער צהב דק</w:t>
      </w:r>
      <w:r w:rsidRPr="009A13B9">
        <w:rPr>
          <w:rFonts w:eastAsia="Times New Roman" w:cs="Times New Roman"/>
          <w:rtl/>
          <w:lang w:eastAsia="de-DE"/>
        </w:rPr>
        <w:t xml:space="preserve"> </w:t>
      </w:r>
      <w:r w:rsidRPr="009A13B9">
        <w:rPr>
          <w:rFonts w:eastAsia="Times New Roman" w:cs="Times New Roman"/>
          <w:lang w:eastAsia="de-DE"/>
        </w:rPr>
        <w:t xml:space="preserve">(gelbes dünnes Haar) ersetzt das </w:t>
      </w:r>
      <w:r w:rsidRPr="009A13B9">
        <w:rPr>
          <w:rFonts w:eastAsia="Times New Roman" w:cs="Times New Roman"/>
          <w:b/>
          <w:bCs/>
          <w:rtl/>
          <w:lang w:eastAsia="de-DE"/>
        </w:rPr>
        <w:t>שער לבן</w:t>
      </w:r>
      <w:r w:rsidRPr="009A13B9">
        <w:rPr>
          <w:rFonts w:eastAsia="Times New Roman" w:cs="Times New Roman"/>
          <w:rtl/>
          <w:lang w:eastAsia="de-DE"/>
        </w:rPr>
        <w:t xml:space="preserve"> </w:t>
      </w:r>
      <w:r w:rsidRPr="009A13B9">
        <w:rPr>
          <w:rFonts w:eastAsia="Times New Roman" w:cs="Times New Roman"/>
          <w:lang w:eastAsia="de-DE"/>
        </w:rPr>
        <w:t xml:space="preserve">(weißes Haar) der anderen </w:t>
      </w:r>
      <w:r w:rsidRPr="009A13B9">
        <w:rPr>
          <w:rFonts w:eastAsia="Times New Roman" w:cs="Times New Roman"/>
          <w:b/>
          <w:bCs/>
          <w:rtl/>
          <w:lang w:eastAsia="de-DE"/>
        </w:rPr>
        <w:t>צרעת</w:t>
      </w:r>
      <w:r w:rsidRPr="009A13B9">
        <w:rPr>
          <w:rFonts w:eastAsia="Times New Roman" w:cs="Times New Roman"/>
          <w:lang w:eastAsia="de-DE"/>
        </w:rPr>
        <w:t>-Formen.</w:t>
      </w:r>
    </w:p>
    <w:p w14:paraId="44CA22C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וטמא אתו הכהן נתק הוא צרעת הראש או הזקן הוא</w:t>
      </w:r>
      <w:r w:rsidRPr="009A13B9">
        <w:rPr>
          <w:rFonts w:eastAsia="Times New Roman" w:cs="Times New Roman"/>
          <w:rtl/>
          <w:lang w:eastAsia="de-DE"/>
        </w:rPr>
        <w:t xml:space="preserve"> </w:t>
      </w:r>
      <w:r w:rsidRPr="009A13B9">
        <w:rPr>
          <w:rFonts w:eastAsia="Times New Roman" w:cs="Times New Roman"/>
          <w:lang w:eastAsia="de-DE"/>
        </w:rPr>
        <w:t xml:space="preserve">zeigt die spezifische Diagnose. </w:t>
      </w:r>
      <w:r w:rsidRPr="009A13B9">
        <w:rPr>
          <w:rFonts w:eastAsia="Times New Roman" w:cs="Times New Roman"/>
          <w:b/>
          <w:bCs/>
          <w:rtl/>
          <w:lang w:eastAsia="de-DE"/>
        </w:rPr>
        <w:t>וטמא אתו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unrein erklären). </w:t>
      </w:r>
      <w:r w:rsidRPr="009A13B9">
        <w:rPr>
          <w:rFonts w:eastAsia="Times New Roman" w:cs="Times New Roman"/>
          <w:b/>
          <w:bCs/>
          <w:rtl/>
          <w:lang w:eastAsia="de-DE"/>
        </w:rPr>
        <w:t>נתק הוא</w:t>
      </w:r>
      <w:r w:rsidRPr="009A13B9">
        <w:rPr>
          <w:rFonts w:eastAsia="Times New Roman" w:cs="Times New Roman"/>
          <w:rtl/>
          <w:lang w:eastAsia="de-DE"/>
        </w:rPr>
        <w:t xml:space="preserve"> </w:t>
      </w:r>
      <w:r w:rsidRPr="009A13B9">
        <w:rPr>
          <w:rFonts w:eastAsia="Times New Roman" w:cs="Times New Roman"/>
          <w:lang w:eastAsia="de-DE"/>
        </w:rPr>
        <w:t xml:space="preserve">(Schorf ist es) - </w:t>
      </w:r>
      <w:r w:rsidRPr="009A13B9">
        <w:rPr>
          <w:rFonts w:eastAsia="Times New Roman" w:cs="Times New Roman"/>
          <w:b/>
          <w:bCs/>
          <w:rtl/>
          <w:lang w:eastAsia="de-DE"/>
        </w:rPr>
        <w:t>נתק</w:t>
      </w:r>
      <w:r w:rsidRPr="009A13B9">
        <w:rPr>
          <w:rFonts w:eastAsia="Times New Roman" w:cs="Times New Roman"/>
          <w:rtl/>
          <w:lang w:eastAsia="de-DE"/>
        </w:rPr>
        <w:t xml:space="preserve"> </w:t>
      </w:r>
      <w:r w:rsidRPr="009A13B9">
        <w:rPr>
          <w:rFonts w:eastAsia="Times New Roman" w:cs="Times New Roman"/>
          <w:lang w:eastAsia="de-DE"/>
        </w:rPr>
        <w:t>als spezifischer Begriff für Kopf-/Bart-</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צרעת הראש או הזקן הוא</w:t>
      </w:r>
      <w:r w:rsidRPr="009A13B9">
        <w:rPr>
          <w:rFonts w:eastAsia="Times New Roman" w:cs="Times New Roman"/>
          <w:rtl/>
          <w:lang w:eastAsia="de-DE"/>
        </w:rPr>
        <w:t xml:space="preserve"> </w:t>
      </w:r>
      <w:r w:rsidRPr="009A13B9">
        <w:rPr>
          <w:rFonts w:eastAsia="Times New Roman" w:cs="Times New Roman"/>
          <w:lang w:eastAsia="de-DE"/>
        </w:rPr>
        <w:t xml:space="preserve">(Aussatz des Kopfes oder des Bartes ist es) mit emphatischem </w:t>
      </w:r>
      <w:r w:rsidRPr="009A13B9">
        <w:rPr>
          <w:rFonts w:eastAsia="Times New Roman" w:cs="Times New Roman"/>
          <w:b/>
          <w:bCs/>
          <w:rtl/>
          <w:lang w:eastAsia="de-DE"/>
        </w:rPr>
        <w:t>הוא</w:t>
      </w:r>
      <w:r w:rsidRPr="009A13B9">
        <w:rPr>
          <w:rFonts w:eastAsia="Times New Roman" w:cs="Times New Roman"/>
          <w:lang w:eastAsia="de-DE"/>
        </w:rPr>
        <w:t>.</w:t>
      </w:r>
    </w:p>
    <w:p w14:paraId="19A49E2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מראהו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behält das Tiefenkriterium bei. </w:t>
      </w:r>
      <w:r w:rsidRPr="009A13B9">
        <w:rPr>
          <w:rFonts w:eastAsia="Times New Roman" w:cs="Times New Roman"/>
          <w:b/>
          <w:bCs/>
          <w:rtl/>
          <w:lang w:eastAsia="de-DE"/>
        </w:rPr>
        <w:t>שער צהב דק</w:t>
      </w:r>
      <w:r w:rsidRPr="009A13B9">
        <w:rPr>
          <w:rFonts w:eastAsia="Times New Roman" w:cs="Times New Roman"/>
          <w:rtl/>
          <w:lang w:eastAsia="de-DE"/>
        </w:rPr>
        <w:t xml:space="preserve"> </w:t>
      </w:r>
      <w:r w:rsidRPr="009A13B9">
        <w:rPr>
          <w:rFonts w:eastAsia="Times New Roman" w:cs="Times New Roman"/>
          <w:lang w:eastAsia="de-DE"/>
        </w:rPr>
        <w:t xml:space="preserve">(gelbes dünnes Haar) statt </w:t>
      </w:r>
      <w:r w:rsidRPr="009A13B9">
        <w:rPr>
          <w:rFonts w:eastAsia="Times New Roman" w:cs="Times New Roman"/>
          <w:b/>
          <w:bCs/>
          <w:rtl/>
          <w:lang w:eastAsia="de-DE"/>
        </w:rPr>
        <w:t>שער לבן</w:t>
      </w:r>
      <w:r w:rsidRPr="009A13B9">
        <w:rPr>
          <w:rFonts w:eastAsia="Times New Roman" w:cs="Times New Roman"/>
          <w:rtl/>
          <w:lang w:eastAsia="de-DE"/>
        </w:rPr>
        <w:t xml:space="preserve"> </w:t>
      </w:r>
      <w:r w:rsidRPr="009A13B9">
        <w:rPr>
          <w:rFonts w:eastAsia="Times New Roman" w:cs="Times New Roman"/>
          <w:lang w:eastAsia="de-DE"/>
        </w:rPr>
        <w:t xml:space="preserve">zeigt angepasste Kriterien für behaarte Körperteile. </w:t>
      </w:r>
      <w:r w:rsidRPr="009A13B9">
        <w:rPr>
          <w:rFonts w:eastAsia="Times New Roman" w:cs="Times New Roman"/>
          <w:b/>
          <w:bCs/>
          <w:rtl/>
          <w:lang w:eastAsia="de-DE"/>
        </w:rPr>
        <w:t>נתק</w:t>
      </w:r>
      <w:r w:rsidRPr="009A13B9">
        <w:rPr>
          <w:rFonts w:eastAsia="Times New Roman" w:cs="Times New Roman"/>
          <w:rtl/>
          <w:lang w:eastAsia="de-DE"/>
        </w:rPr>
        <w:t xml:space="preserve"> </w:t>
      </w:r>
      <w:r w:rsidRPr="009A13B9">
        <w:rPr>
          <w:rFonts w:eastAsia="Times New Roman" w:cs="Times New Roman"/>
          <w:lang w:eastAsia="de-DE"/>
        </w:rPr>
        <w:t xml:space="preserve">als Fachbegriff für diese spezifische </w:t>
      </w:r>
      <w:r w:rsidRPr="009A13B9">
        <w:rPr>
          <w:rFonts w:eastAsia="Times New Roman" w:cs="Times New Roman"/>
          <w:b/>
          <w:bCs/>
          <w:rtl/>
          <w:lang w:eastAsia="de-DE"/>
        </w:rPr>
        <w:t>צרעת</w:t>
      </w:r>
      <w:r w:rsidRPr="009A13B9">
        <w:rPr>
          <w:rFonts w:eastAsia="Times New Roman" w:cs="Times New Roman"/>
          <w:lang w:eastAsia="de-DE"/>
        </w:rPr>
        <w:t>-Form.</w:t>
      </w:r>
    </w:p>
    <w:p w14:paraId="5B534B87" w14:textId="595AA4CE"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w:t>
      </w:r>
      <w:r w:rsidR="007660B2">
        <w:rPr>
          <w:rtl/>
        </w:rPr>
        <w:t>שער צהב דק</w:t>
      </w:r>
      <w:r w:rsidR="007660B2">
        <w:t xml:space="preserve"> (</w:t>
      </w:r>
      <w:proofErr w:type="spellStart"/>
      <w:r w:rsidR="007660B2">
        <w:t>se'ar</w:t>
      </w:r>
      <w:proofErr w:type="spellEnd"/>
      <w:r w:rsidR="007660B2">
        <w:t xml:space="preserve"> </w:t>
      </w:r>
      <w:proofErr w:type="spellStart"/>
      <w:r w:rsidR="007660B2">
        <w:t>tzahov</w:t>
      </w:r>
      <w:proofErr w:type="spellEnd"/>
      <w:r w:rsidR="007660B2">
        <w:t xml:space="preserve"> </w:t>
      </w:r>
      <w:proofErr w:type="spellStart"/>
      <w:r w:rsidR="007660B2">
        <w:t>daq</w:t>
      </w:r>
      <w:proofErr w:type="spellEnd"/>
      <w:r w:rsidR="007660B2">
        <w:t xml:space="preserve"> - "gelbes dünnes Haar") als </w:t>
      </w:r>
      <w:proofErr w:type="spellStart"/>
      <w:r w:rsidR="007660B2">
        <w:t>θρὶξ</w:t>
      </w:r>
      <w:proofErr w:type="spellEnd"/>
      <w:r w:rsidR="007660B2">
        <w:t xml:space="preserve"> ξα</w:t>
      </w:r>
      <w:proofErr w:type="spellStart"/>
      <w:r w:rsidR="007660B2">
        <w:t>νθίζουσ</w:t>
      </w:r>
      <w:proofErr w:type="spellEnd"/>
      <w:r w:rsidR="007660B2">
        <w:t xml:space="preserve">α </w:t>
      </w:r>
      <w:proofErr w:type="spellStart"/>
      <w:r w:rsidR="007660B2">
        <w:t>λε</w:t>
      </w:r>
      <w:proofErr w:type="spellEnd"/>
      <w:r w:rsidR="007660B2">
        <w:t xml:space="preserve">πτή (gelbliches dünnes Haar), und </w:t>
      </w:r>
      <w:r w:rsidR="007660B2">
        <w:rPr>
          <w:rtl/>
        </w:rPr>
        <w:t>נתק</w:t>
      </w:r>
      <w:r w:rsidR="007660B2">
        <w:t xml:space="preserve"> (</w:t>
      </w:r>
      <w:proofErr w:type="spellStart"/>
      <w:r w:rsidR="007660B2">
        <w:t>neteq</w:t>
      </w:r>
      <w:proofErr w:type="spellEnd"/>
      <w:r w:rsidR="007660B2">
        <w:t xml:space="preserve"> - spezielle Hautkrankheit) als </w:t>
      </w:r>
      <w:proofErr w:type="spellStart"/>
      <w:r w:rsidR="007660B2">
        <w:t>θρ</w:t>
      </w:r>
      <w:proofErr w:type="spellEnd"/>
      <w:r w:rsidR="007660B2">
        <w:t>αῦσμα (Bruch/Geschwür).</w:t>
      </w:r>
    </w:p>
    <w:p w14:paraId="2585575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angepasste Diagnose: priesterliche Untersuchung + Tiefenkriterium + modifiziertes Haarkriterium + Unreinheitserklärung + spezifische Diagnose + Lokalisationsspezifikation. Die Struktur zeigt angepasste Kriterien für behaarte Bereiche.</w:t>
      </w:r>
    </w:p>
    <w:p w14:paraId="077410D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etabliert </w:t>
      </w:r>
      <w:r w:rsidRPr="009A13B9">
        <w:rPr>
          <w:rFonts w:eastAsia="Times New Roman" w:cs="Times New Roman"/>
          <w:b/>
          <w:bCs/>
          <w:rtl/>
          <w:lang w:eastAsia="de-DE"/>
        </w:rPr>
        <w:t>נתק</w:t>
      </w:r>
      <w:r w:rsidRPr="009A13B9">
        <w:rPr>
          <w:rFonts w:eastAsia="Times New Roman" w:cs="Times New Roman"/>
          <w:rtl/>
          <w:lang w:eastAsia="de-DE"/>
        </w:rPr>
        <w:t xml:space="preserve"> </w:t>
      </w:r>
      <w:r w:rsidRPr="009A13B9">
        <w:rPr>
          <w:rFonts w:eastAsia="Times New Roman" w:cs="Times New Roman"/>
          <w:lang w:eastAsia="de-DE"/>
        </w:rPr>
        <w:t>mit gelb-dünnem Haar als spezifische Form der Kopf-/Bart-</w:t>
      </w:r>
      <w:r w:rsidRPr="009A13B9">
        <w:rPr>
          <w:rFonts w:eastAsia="Times New Roman" w:cs="Times New Roman"/>
          <w:b/>
          <w:bCs/>
          <w:rtl/>
          <w:lang w:eastAsia="de-DE"/>
        </w:rPr>
        <w:t>צרעת</w:t>
      </w:r>
      <w:r w:rsidRPr="009A13B9">
        <w:rPr>
          <w:rFonts w:eastAsia="Times New Roman" w:cs="Times New Roman"/>
          <w:lang w:eastAsia="de-DE"/>
        </w:rPr>
        <w:t>.</w:t>
      </w:r>
    </w:p>
    <w:p w14:paraId="0AB64A4B"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13,31</w:t>
      </w:r>
    </w:p>
    <w:p w14:paraId="0E4CD85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וְכִֽי־יִרְאֶ֨ה הַכֹּהֵ֜ן אֶת־נֶ֣גַע הַנֶּ֗תֶק וְהִנֵּ֤ה אֵין־מַרְאֵ֨הוּ֙ עָמֹ֣ק מִן־הָע֔וֹר וְשֵׂעָ֥ר שָׁחֹ֖ר אֵ֣ין בּוֹ֑ וְהִסְגִּ֧יר הַכֹּהֵ֛ן אֶת־נֶ֥גַע הַנֶּ֖תֶק שִׁבְעַ֥ת יָמִֽים׃</w:t>
      </w:r>
    </w:p>
    <w:p w14:paraId="35146B2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Und wenn der Priester das Mal des Schorfs sieht, und siehe, sein Aussehen ist nicht tiefer als die Haut, und es ist kein schwarzes Haar darin, so soll der Priester den, der das Mal des Schorfs hat, sieben Tage einschließen.</w:t>
      </w:r>
    </w:p>
    <w:p w14:paraId="6B609AED"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C645E56">
          <v:rect id="_x0000_i1362" style="width:0;height:1.5pt" o:hralign="center" o:hrstd="t" o:hr="t" fillcolor="#a0a0a0" stroked="f"/>
        </w:pict>
      </w:r>
    </w:p>
    <w:p w14:paraId="7424606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וכי־יראה הכהן את־נגע הנתק והנה אין־מראהו עמק מן־העור ושער שחר אין בו</w:t>
      </w:r>
      <w:r w:rsidRPr="009A13B9">
        <w:rPr>
          <w:rFonts w:eastAsia="Times New Roman" w:cs="Times New Roman"/>
          <w:rtl/>
          <w:lang w:eastAsia="de-DE"/>
        </w:rPr>
        <w:t xml:space="preserve"> </w:t>
      </w:r>
      <w:r w:rsidRPr="009A13B9">
        <w:rPr>
          <w:rFonts w:eastAsia="Times New Roman" w:cs="Times New Roman"/>
          <w:lang w:eastAsia="de-DE"/>
        </w:rPr>
        <w:t xml:space="preserve">zeigt unklare </w:t>
      </w:r>
      <w:r w:rsidRPr="009A13B9">
        <w:rPr>
          <w:rFonts w:eastAsia="Times New Roman" w:cs="Times New Roman"/>
          <w:b/>
          <w:bCs/>
          <w:rtl/>
          <w:lang w:eastAsia="de-DE"/>
        </w:rPr>
        <w:t>נתק</w:t>
      </w:r>
      <w:r w:rsidRPr="009A13B9">
        <w:rPr>
          <w:rFonts w:eastAsia="Times New Roman" w:cs="Times New Roman"/>
          <w:lang w:eastAsia="de-DE"/>
        </w:rPr>
        <w:t xml:space="preserve">-Fälle. </w:t>
      </w:r>
      <w:r w:rsidRPr="009A13B9">
        <w:rPr>
          <w:rFonts w:eastAsia="Times New Roman" w:cs="Times New Roman"/>
          <w:b/>
          <w:bCs/>
          <w:rtl/>
          <w:lang w:eastAsia="de-DE"/>
        </w:rPr>
        <w:t>וכי־יראה הכהן את־נגע הנתק</w:t>
      </w:r>
      <w:r w:rsidRPr="009A13B9">
        <w:rPr>
          <w:rFonts w:eastAsia="Times New Roman" w:cs="Times New Roman"/>
          <w:rtl/>
          <w:lang w:eastAsia="de-DE"/>
        </w:rPr>
        <w:t xml:space="preserve"> </w:t>
      </w:r>
      <w:r w:rsidRPr="009A13B9">
        <w:rPr>
          <w:rFonts w:eastAsia="Times New Roman" w:cs="Times New Roman"/>
          <w:lang w:eastAsia="de-DE"/>
        </w:rPr>
        <w:t xml:space="preserve">(und wenn der Priester das Mal des Schorfs sieht) - </w:t>
      </w:r>
      <w:r w:rsidRPr="009A13B9">
        <w:rPr>
          <w:rFonts w:eastAsia="Times New Roman" w:cs="Times New Roman"/>
          <w:b/>
          <w:bCs/>
          <w:rtl/>
          <w:lang w:eastAsia="de-DE"/>
        </w:rPr>
        <w:t>נגע הנתק</w:t>
      </w:r>
      <w:r w:rsidRPr="009A13B9">
        <w:rPr>
          <w:rFonts w:eastAsia="Times New Roman" w:cs="Times New Roman"/>
          <w:rtl/>
          <w:lang w:eastAsia="de-DE"/>
        </w:rPr>
        <w:t xml:space="preserve"> </w:t>
      </w:r>
      <w:r w:rsidRPr="009A13B9">
        <w:rPr>
          <w:rFonts w:eastAsia="Times New Roman" w:cs="Times New Roman"/>
          <w:lang w:eastAsia="de-DE"/>
        </w:rPr>
        <w:t xml:space="preserve">als Genitivkonstruktion. </w:t>
      </w:r>
      <w:r w:rsidRPr="009A13B9">
        <w:rPr>
          <w:rFonts w:eastAsia="Times New Roman" w:cs="Times New Roman"/>
          <w:b/>
          <w:bCs/>
          <w:rtl/>
          <w:lang w:eastAsia="de-DE"/>
        </w:rPr>
        <w:t>והנה אין־מראהו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(und siehe, sein Aussehen ist nicht tiefer als die Haut) negiert das Tiefenkriterium aus V. 30. </w:t>
      </w:r>
      <w:r w:rsidRPr="009A13B9">
        <w:rPr>
          <w:rFonts w:eastAsia="Times New Roman" w:cs="Times New Roman"/>
          <w:b/>
          <w:bCs/>
          <w:rtl/>
          <w:lang w:eastAsia="de-DE"/>
        </w:rPr>
        <w:t>ושער שחר אין בו</w:t>
      </w:r>
      <w:r w:rsidRPr="009A13B9">
        <w:rPr>
          <w:rFonts w:eastAsia="Times New Roman" w:cs="Times New Roman"/>
          <w:rtl/>
          <w:lang w:eastAsia="de-DE"/>
        </w:rPr>
        <w:t xml:space="preserve"> </w:t>
      </w:r>
      <w:r w:rsidRPr="009A13B9">
        <w:rPr>
          <w:rFonts w:eastAsia="Times New Roman" w:cs="Times New Roman"/>
          <w:lang w:eastAsia="de-DE"/>
        </w:rPr>
        <w:t xml:space="preserve">(und schwarzes Haar ist nicht darin) - </w:t>
      </w:r>
      <w:r w:rsidRPr="009A13B9">
        <w:rPr>
          <w:rFonts w:eastAsia="Times New Roman" w:cs="Times New Roman"/>
          <w:b/>
          <w:bCs/>
          <w:rtl/>
          <w:lang w:eastAsia="de-DE"/>
        </w:rPr>
        <w:t>שער שחר</w:t>
      </w:r>
      <w:r w:rsidRPr="009A13B9">
        <w:rPr>
          <w:rFonts w:eastAsia="Times New Roman" w:cs="Times New Roman"/>
          <w:rtl/>
          <w:lang w:eastAsia="de-DE"/>
        </w:rPr>
        <w:t xml:space="preserve"> </w:t>
      </w:r>
      <w:r w:rsidRPr="009A13B9">
        <w:rPr>
          <w:rFonts w:eastAsia="Times New Roman" w:cs="Times New Roman"/>
          <w:lang w:eastAsia="de-DE"/>
        </w:rPr>
        <w:t xml:space="preserve">(schwarzes Haar) als Zeichen von Gesundheit, </w:t>
      </w:r>
      <w:r w:rsidRPr="009A13B9">
        <w:rPr>
          <w:rFonts w:eastAsia="Times New Roman" w:cs="Times New Roman"/>
          <w:b/>
          <w:bCs/>
          <w:rtl/>
          <w:lang w:eastAsia="de-DE"/>
        </w:rPr>
        <w:t>אין בו</w:t>
      </w:r>
      <w:r w:rsidRPr="009A13B9">
        <w:rPr>
          <w:rFonts w:eastAsia="Times New Roman" w:cs="Times New Roman"/>
          <w:rtl/>
          <w:lang w:eastAsia="de-DE"/>
        </w:rPr>
        <w:t xml:space="preserve"> </w:t>
      </w:r>
      <w:r w:rsidRPr="009A13B9">
        <w:rPr>
          <w:rFonts w:eastAsia="Times New Roman" w:cs="Times New Roman"/>
          <w:lang w:eastAsia="de-DE"/>
        </w:rPr>
        <w:t>negiert dessen Vorhandensein.</w:t>
      </w:r>
    </w:p>
    <w:p w14:paraId="3293DF7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והסגיר הכהן את־נגע הנתק שבעת ימים</w:t>
      </w:r>
      <w:r w:rsidRPr="009A13B9">
        <w:rPr>
          <w:rFonts w:eastAsia="Times New Roman" w:cs="Times New Roman"/>
          <w:rtl/>
          <w:lang w:eastAsia="de-DE"/>
        </w:rPr>
        <w:t xml:space="preserve"> </w:t>
      </w:r>
      <w:r w:rsidRPr="009A13B9">
        <w:rPr>
          <w:rFonts w:eastAsia="Times New Roman" w:cs="Times New Roman"/>
          <w:lang w:eastAsia="de-DE"/>
        </w:rPr>
        <w:t xml:space="preserve">zeigt das Quarantäneverfahren. </w:t>
      </w:r>
      <w:r w:rsidRPr="009A13B9">
        <w:rPr>
          <w:rFonts w:eastAsia="Times New Roman" w:cs="Times New Roman"/>
          <w:b/>
          <w:bCs/>
          <w:rtl/>
          <w:lang w:eastAsia="de-DE"/>
        </w:rPr>
        <w:t>והסגיר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einschließen). </w:t>
      </w:r>
      <w:r w:rsidRPr="009A13B9">
        <w:rPr>
          <w:rFonts w:eastAsia="Times New Roman" w:cs="Times New Roman"/>
          <w:b/>
          <w:bCs/>
          <w:rtl/>
          <w:lang w:eastAsia="de-DE"/>
        </w:rPr>
        <w:t>את־נגע הנתק</w:t>
      </w:r>
      <w:r w:rsidRPr="009A13B9">
        <w:rPr>
          <w:rFonts w:eastAsia="Times New Roman" w:cs="Times New Roman"/>
          <w:rtl/>
          <w:lang w:eastAsia="de-DE"/>
        </w:rPr>
        <w:t xml:space="preserve"> </w:t>
      </w:r>
      <w:r w:rsidRPr="009A13B9">
        <w:rPr>
          <w:rFonts w:eastAsia="Times New Roman" w:cs="Times New Roman"/>
          <w:lang w:eastAsia="de-DE"/>
        </w:rPr>
        <w:t xml:space="preserve">(den mit dem Schorfmal).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(sieben Tage).</w:t>
      </w:r>
    </w:p>
    <w:p w14:paraId="6DF1603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אין־מראהו עמק</w:t>
      </w:r>
      <w:r w:rsidRPr="009A13B9">
        <w:rPr>
          <w:rFonts w:eastAsia="Times New Roman" w:cs="Times New Roman"/>
          <w:rtl/>
          <w:lang w:eastAsia="de-DE"/>
        </w:rPr>
        <w:t xml:space="preserve"> </w:t>
      </w:r>
      <w:r w:rsidRPr="009A13B9">
        <w:rPr>
          <w:rFonts w:eastAsia="Times New Roman" w:cs="Times New Roman"/>
          <w:lang w:eastAsia="de-DE"/>
        </w:rPr>
        <w:t xml:space="preserve">negiert das Tiefenkriterium. </w:t>
      </w:r>
      <w:r w:rsidRPr="009A13B9">
        <w:rPr>
          <w:rFonts w:eastAsia="Times New Roman" w:cs="Times New Roman"/>
          <w:b/>
          <w:bCs/>
          <w:rtl/>
          <w:lang w:eastAsia="de-DE"/>
        </w:rPr>
        <w:t>ושער שחר אין בו</w:t>
      </w:r>
      <w:r w:rsidRPr="009A13B9">
        <w:rPr>
          <w:rFonts w:eastAsia="Times New Roman" w:cs="Times New Roman"/>
          <w:rtl/>
          <w:lang w:eastAsia="de-DE"/>
        </w:rPr>
        <w:t xml:space="preserve"> </w:t>
      </w:r>
      <w:r w:rsidRPr="009A13B9">
        <w:rPr>
          <w:rFonts w:eastAsia="Times New Roman" w:cs="Times New Roman"/>
          <w:lang w:eastAsia="de-DE"/>
        </w:rPr>
        <w:t xml:space="preserve">zeigt, dass das Fehlen gesunden schwarzen Haars verdächtig ist, aber nicht das Vorhandensein kranken gelben Haars. </w:t>
      </w:r>
      <w:r w:rsidRPr="009A13B9">
        <w:rPr>
          <w:rFonts w:eastAsia="Times New Roman" w:cs="Times New Roman"/>
          <w:b/>
          <w:bCs/>
          <w:rtl/>
          <w:lang w:eastAsia="de-DE"/>
        </w:rPr>
        <w:t>נגע הנתק</w:t>
      </w:r>
      <w:r w:rsidRPr="009A13B9">
        <w:rPr>
          <w:rFonts w:eastAsia="Times New Roman" w:cs="Times New Roman"/>
          <w:rtl/>
          <w:lang w:eastAsia="de-DE"/>
        </w:rPr>
        <w:t xml:space="preserve"> </w:t>
      </w:r>
      <w:r w:rsidRPr="009A13B9">
        <w:rPr>
          <w:rFonts w:eastAsia="Times New Roman" w:cs="Times New Roman"/>
          <w:lang w:eastAsia="de-DE"/>
        </w:rPr>
        <w:t>als spezifische Terminologie.</w:t>
      </w:r>
    </w:p>
    <w:p w14:paraId="600481A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נגע הנתק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ἁφὴν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τοῦ</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θρ</w:t>
      </w:r>
      <w:proofErr w:type="spellEnd"/>
      <w:r w:rsidRPr="009A13B9">
        <w:rPr>
          <w:rFonts w:eastAsia="Times New Roman" w:cs="Times New Roman"/>
          <w:lang w:eastAsia="de-DE"/>
        </w:rPr>
        <w:t xml:space="preserve">αύσματος (Mal des Bruchs), </w:t>
      </w:r>
      <w:r w:rsidRPr="009A13B9">
        <w:rPr>
          <w:rFonts w:eastAsia="Times New Roman" w:cs="Times New Roman"/>
          <w:b/>
          <w:bCs/>
          <w:rtl/>
          <w:lang w:eastAsia="de-DE"/>
        </w:rPr>
        <w:t>שער שחר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μέλ</w:t>
      </w:r>
      <w:proofErr w:type="spellEnd"/>
      <w:r w:rsidRPr="009A13B9">
        <w:rPr>
          <w:rFonts w:eastAsia="Times New Roman" w:cs="Times New Roman"/>
          <w:lang w:eastAsia="de-DE"/>
        </w:rPr>
        <w:t xml:space="preserve">αινα (schwarzes Haar) und </w:t>
      </w:r>
      <w:r w:rsidRPr="009A13B9">
        <w:rPr>
          <w:rFonts w:eastAsia="Times New Roman" w:cs="Times New Roman"/>
          <w:b/>
          <w:bCs/>
          <w:rtl/>
          <w:lang w:eastAsia="de-DE"/>
        </w:rPr>
        <w:t>והסגיר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ἀφοριεῖ</w:t>
      </w:r>
      <w:proofErr w:type="spellEnd"/>
      <w:r w:rsidRPr="009A13B9">
        <w:rPr>
          <w:rFonts w:eastAsia="Times New Roman" w:cs="Times New Roman"/>
          <w:lang w:eastAsia="de-DE"/>
        </w:rPr>
        <w:t xml:space="preserve"> (er wird absondern).</w:t>
      </w:r>
    </w:p>
    <w:p w14:paraId="27EEF10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Quarantäneverfahren: Konditionalsatz + negiertes Tiefenkriterium + fehlendes Gesundheitszeichen + Quarantäneanordnung. Die Struktur zeigt vorsichtiges Verfahren bei unklaren </w:t>
      </w:r>
      <w:r w:rsidRPr="009A13B9">
        <w:rPr>
          <w:rFonts w:eastAsia="Times New Roman" w:cs="Times New Roman"/>
          <w:b/>
          <w:bCs/>
          <w:rtl/>
          <w:lang w:eastAsia="de-DE"/>
        </w:rPr>
        <w:t>נתק</w:t>
      </w:r>
      <w:r w:rsidRPr="009A13B9">
        <w:rPr>
          <w:rFonts w:eastAsia="Times New Roman" w:cs="Times New Roman"/>
          <w:lang w:eastAsia="de-DE"/>
        </w:rPr>
        <w:t>-Fällen.</w:t>
      </w:r>
    </w:p>
    <w:p w14:paraId="14A29CE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regelt Quarantäne für unklare </w:t>
      </w:r>
      <w:r w:rsidRPr="009A13B9">
        <w:rPr>
          <w:rFonts w:eastAsia="Times New Roman" w:cs="Times New Roman"/>
          <w:b/>
          <w:bCs/>
          <w:rtl/>
          <w:lang w:eastAsia="de-DE"/>
        </w:rPr>
        <w:t>נתק</w:t>
      </w:r>
      <w:r w:rsidRPr="009A13B9">
        <w:rPr>
          <w:rFonts w:eastAsia="Times New Roman" w:cs="Times New Roman"/>
          <w:lang w:eastAsia="de-DE"/>
        </w:rPr>
        <w:t>-Fälle ohne definitive Kriterien.</w:t>
      </w:r>
    </w:p>
    <w:p w14:paraId="3D6AE6B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13,32</w:t>
      </w:r>
    </w:p>
    <w:p w14:paraId="49220AA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אֶת־הַנֶּגַע֮ בַּיּ֣וֹם הַשְּׁבִיעִי֒ וְהִנֵּה֙ לֹא־פָשָׂ֣ה הַנֶּ֔תֶק וְלֹא־הָ֥יָה בוֹ֖ שֵׂעָ֣ר צָהֹ֑ב וּמַרְאֵ֣ה הַנֶּ֔תֶק אֵ֥ין עָמֹ֖ק מִן־הָעֽוֹר׃</w:t>
      </w:r>
    </w:p>
    <w:p w14:paraId="39FF21B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sieht der Priester das Mal am siebten Tag, und siehe, der Schorf hat sich nicht ausgebreitet, und es ist kein gelbes Haar darin, und das Aussehen des Schorfs ist nicht tiefer als die Haut,</w:t>
      </w:r>
    </w:p>
    <w:p w14:paraId="0BBCADFE"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18408FF">
          <v:rect id="_x0000_i1363" style="width:0;height:1.5pt" o:hralign="center" o:hrstd="t" o:hr="t" fillcolor="#a0a0a0" stroked="f"/>
        </w:pict>
      </w:r>
    </w:p>
    <w:p w14:paraId="606B943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את־הנגע ביום השביעי והנה לא־פשה הנתק ולא־היה בו שער צהב ומראה הנתק אין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zeigt die erste Nachuntersuchung. </w:t>
      </w:r>
      <w:r w:rsidRPr="009A13B9">
        <w:rPr>
          <w:rFonts w:eastAsia="Times New Roman" w:cs="Times New Roman"/>
          <w:b/>
          <w:bCs/>
          <w:rtl/>
          <w:lang w:eastAsia="de-DE"/>
        </w:rPr>
        <w:t>וראה הכהן את־הנגע ביום השביעי</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das Mal am siebten Tag) entspricht dem Standardverfahren. </w:t>
      </w:r>
      <w:r w:rsidRPr="009A13B9">
        <w:rPr>
          <w:rFonts w:eastAsia="Times New Roman" w:cs="Times New Roman"/>
          <w:b/>
          <w:bCs/>
          <w:rtl/>
          <w:lang w:eastAsia="de-DE"/>
        </w:rPr>
        <w:t>והנה לא־פשה הנתק</w:t>
      </w:r>
      <w:r w:rsidRPr="009A13B9">
        <w:rPr>
          <w:rFonts w:eastAsia="Times New Roman" w:cs="Times New Roman"/>
          <w:rtl/>
          <w:lang w:eastAsia="de-DE"/>
        </w:rPr>
        <w:t xml:space="preserve"> </w:t>
      </w:r>
      <w:r w:rsidRPr="009A13B9">
        <w:rPr>
          <w:rFonts w:eastAsia="Times New Roman" w:cs="Times New Roman"/>
          <w:lang w:eastAsia="de-DE"/>
        </w:rPr>
        <w:t xml:space="preserve">(und siehe, der Schorf hat sich nicht ausgebreitet) -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(hat sich nicht ausgebreitet) als positives Zeichen.</w:t>
      </w:r>
    </w:p>
    <w:p w14:paraId="1A21922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ולא־היה בו שער צהב</w:t>
      </w:r>
      <w:r w:rsidRPr="009A13B9">
        <w:rPr>
          <w:rFonts w:eastAsia="Times New Roman" w:cs="Times New Roman"/>
          <w:rtl/>
          <w:lang w:eastAsia="de-DE"/>
        </w:rPr>
        <w:t xml:space="preserve"> </w:t>
      </w:r>
      <w:r w:rsidRPr="009A13B9">
        <w:rPr>
          <w:rFonts w:eastAsia="Times New Roman" w:cs="Times New Roman"/>
          <w:lang w:eastAsia="de-DE"/>
        </w:rPr>
        <w:t xml:space="preserve">(und es ist kein gelbes Haar darin) negiert das Krankheitskriterium aus V. 30. </w:t>
      </w:r>
      <w:r w:rsidRPr="009A13B9">
        <w:rPr>
          <w:rFonts w:eastAsia="Times New Roman" w:cs="Times New Roman"/>
          <w:b/>
          <w:bCs/>
          <w:rtl/>
          <w:lang w:eastAsia="de-DE"/>
        </w:rPr>
        <w:t>ומראה הנתק אין עמק מן־העור</w:t>
      </w:r>
      <w:r w:rsidRPr="009A13B9">
        <w:rPr>
          <w:rFonts w:eastAsia="Times New Roman" w:cs="Times New Roman"/>
          <w:rtl/>
          <w:lang w:eastAsia="de-DE"/>
        </w:rPr>
        <w:t xml:space="preserve"> </w:t>
      </w:r>
      <w:r w:rsidRPr="009A13B9">
        <w:rPr>
          <w:rFonts w:eastAsia="Times New Roman" w:cs="Times New Roman"/>
          <w:lang w:eastAsia="de-DE"/>
        </w:rPr>
        <w:t>(und das Aussehen des Schorfs ist nicht tiefer als die Haut) bestätigt das Fehlen des Tiefenkriteriums.</w:t>
      </w:r>
    </w:p>
    <w:p w14:paraId="14F1381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לא־פשה הנתק</w:t>
      </w:r>
      <w:r w:rsidRPr="009A13B9">
        <w:rPr>
          <w:rFonts w:eastAsia="Times New Roman" w:cs="Times New Roman"/>
          <w:rtl/>
          <w:lang w:eastAsia="de-DE"/>
        </w:rPr>
        <w:t xml:space="preserve"> </w:t>
      </w:r>
      <w:r w:rsidRPr="009A13B9">
        <w:rPr>
          <w:rFonts w:eastAsia="Times New Roman" w:cs="Times New Roman"/>
          <w:lang w:eastAsia="de-DE"/>
        </w:rPr>
        <w:t xml:space="preserve">zeigt keine Verschlechterung. </w:t>
      </w:r>
      <w:r w:rsidRPr="009A13B9">
        <w:rPr>
          <w:rFonts w:eastAsia="Times New Roman" w:cs="Times New Roman"/>
          <w:b/>
          <w:bCs/>
          <w:rtl/>
          <w:lang w:eastAsia="de-DE"/>
        </w:rPr>
        <w:t>לא־היה בו שער צהב</w:t>
      </w:r>
      <w:r w:rsidRPr="009A13B9">
        <w:rPr>
          <w:rFonts w:eastAsia="Times New Roman" w:cs="Times New Roman"/>
          <w:rtl/>
          <w:lang w:eastAsia="de-DE"/>
        </w:rPr>
        <w:t xml:space="preserve"> </w:t>
      </w:r>
      <w:r w:rsidRPr="009A13B9">
        <w:rPr>
          <w:rFonts w:eastAsia="Times New Roman" w:cs="Times New Roman"/>
          <w:lang w:eastAsia="de-DE"/>
        </w:rPr>
        <w:t xml:space="preserve">zeigt Abwesenheit des spezifischen </w:t>
      </w:r>
      <w:r w:rsidRPr="009A13B9">
        <w:rPr>
          <w:rFonts w:eastAsia="Times New Roman" w:cs="Times New Roman"/>
          <w:b/>
          <w:bCs/>
          <w:rtl/>
          <w:lang w:eastAsia="de-DE"/>
        </w:rPr>
        <w:t>נתק</w:t>
      </w:r>
      <w:r w:rsidRPr="009A13B9">
        <w:rPr>
          <w:rFonts w:eastAsia="Times New Roman" w:cs="Times New Roman"/>
          <w:lang w:eastAsia="de-DE"/>
        </w:rPr>
        <w:t xml:space="preserve">-Kriteriums. </w:t>
      </w:r>
      <w:r w:rsidRPr="009A13B9">
        <w:rPr>
          <w:rFonts w:eastAsia="Times New Roman" w:cs="Times New Roman"/>
          <w:b/>
          <w:bCs/>
          <w:rtl/>
          <w:lang w:eastAsia="de-DE"/>
        </w:rPr>
        <w:t>מראה הנתק אין עמק</w:t>
      </w:r>
      <w:r w:rsidRPr="009A13B9">
        <w:rPr>
          <w:rFonts w:eastAsia="Times New Roman" w:cs="Times New Roman"/>
          <w:rtl/>
          <w:lang w:eastAsia="de-DE"/>
        </w:rPr>
        <w:t xml:space="preserve"> </w:t>
      </w:r>
      <w:r w:rsidRPr="009A13B9">
        <w:rPr>
          <w:rFonts w:eastAsia="Times New Roman" w:cs="Times New Roman"/>
          <w:lang w:eastAsia="de-DE"/>
        </w:rPr>
        <w:t>bestätigt oberflächliche Erscheinung.</w:t>
      </w:r>
    </w:p>
    <w:p w14:paraId="0501943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nicht aus), </w:t>
      </w:r>
      <w:r w:rsidRPr="009A13B9">
        <w:rPr>
          <w:rFonts w:eastAsia="Times New Roman" w:cs="Times New Roman"/>
          <w:b/>
          <w:bCs/>
          <w:rtl/>
          <w:lang w:eastAsia="de-DE"/>
        </w:rPr>
        <w:t>שער צהב</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ξα</w:t>
      </w:r>
      <w:proofErr w:type="spellStart"/>
      <w:r w:rsidRPr="009A13B9">
        <w:rPr>
          <w:rFonts w:eastAsia="Times New Roman" w:cs="Times New Roman"/>
          <w:lang w:eastAsia="de-DE"/>
        </w:rPr>
        <w:t>νθή</w:t>
      </w:r>
      <w:proofErr w:type="spellEnd"/>
      <w:r w:rsidRPr="009A13B9">
        <w:rPr>
          <w:rFonts w:eastAsia="Times New Roman" w:cs="Times New Roman"/>
          <w:lang w:eastAsia="de-DE"/>
        </w:rPr>
        <w:t xml:space="preserve"> (gelbes Haar) und </w:t>
      </w:r>
      <w:r w:rsidRPr="009A13B9">
        <w:rPr>
          <w:rFonts w:eastAsia="Times New Roman" w:cs="Times New Roman"/>
          <w:b/>
          <w:bCs/>
          <w:rtl/>
          <w:lang w:eastAsia="de-DE"/>
        </w:rPr>
        <w:t>אין עמק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κοῖλον</w:t>
      </w:r>
      <w:proofErr w:type="spellEnd"/>
      <w:r w:rsidRPr="009A13B9">
        <w:rPr>
          <w:rFonts w:eastAsia="Times New Roman" w:cs="Times New Roman"/>
          <w:lang w:eastAsia="de-DE"/>
        </w:rPr>
        <w:t xml:space="preserve"> (nicht hohl).</w:t>
      </w:r>
    </w:p>
    <w:p w14:paraId="28A09F6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positive Zwischenbefunde: terminierte Untersuchung + drei negative Befunde. Die unvollständige Struktur führt zu V. 33.</w:t>
      </w:r>
    </w:p>
    <w:p w14:paraId="350F476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positive Zwischenbefunde nach der ersten Quarantänewoche für </w:t>
      </w:r>
      <w:r w:rsidRPr="009A13B9">
        <w:rPr>
          <w:rFonts w:eastAsia="Times New Roman" w:cs="Times New Roman"/>
          <w:b/>
          <w:bCs/>
          <w:rtl/>
          <w:lang w:eastAsia="de-DE"/>
        </w:rPr>
        <w:t>נתק</w:t>
      </w:r>
      <w:r w:rsidRPr="009A13B9">
        <w:rPr>
          <w:rFonts w:eastAsia="Times New Roman" w:cs="Times New Roman"/>
          <w:lang w:eastAsia="de-DE"/>
        </w:rPr>
        <w:t>-Fälle.</w:t>
      </w:r>
    </w:p>
    <w:p w14:paraId="2633C564"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13,33</w:t>
      </w:r>
    </w:p>
    <w:p w14:paraId="2B2847E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וְהִ֨תְגַּלָּ֔ח וְאֶת־הַנֶּ֖תֶק לֹ֣א יְגַלֵּ֑חַ וְהִסְגִּ֨יר הַכֹּהֵ֧ן אֶת־הַנֶּ֛תֶק שִׁבְעַ֥ת יָמִ֖ים שֵׁנִֽית׃</w:t>
      </w:r>
    </w:p>
    <w:p w14:paraId="435C043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So soll er sich scheren, aber den Schorf soll er nicht scheren; und der Priester schließe den, der den Schorf hat, zum zweiten Mal sieben Tage ein.</w:t>
      </w:r>
    </w:p>
    <w:p w14:paraId="3C1AD03B"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159F87A">
          <v:rect id="_x0000_i1364" style="width:0;height:1.5pt" o:hralign="center" o:hrstd="t" o:hr="t" fillcolor="#a0a0a0" stroked="f"/>
        </w:pict>
      </w:r>
    </w:p>
    <w:p w14:paraId="6BB332E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והתגלח ואת־הנתק לא יגלח והסגיר הכהן את־הנתק שבעת ימים שנית</w:t>
      </w:r>
      <w:r w:rsidRPr="009A13B9">
        <w:rPr>
          <w:rFonts w:eastAsia="Times New Roman" w:cs="Times New Roman"/>
          <w:rtl/>
          <w:lang w:eastAsia="de-DE"/>
        </w:rPr>
        <w:t xml:space="preserve"> </w:t>
      </w:r>
      <w:r w:rsidRPr="009A13B9">
        <w:rPr>
          <w:rFonts w:eastAsia="Times New Roman" w:cs="Times New Roman"/>
          <w:lang w:eastAsia="de-DE"/>
        </w:rPr>
        <w:t xml:space="preserve">zeigt das spezielle Verfahren für </w:t>
      </w:r>
      <w:r w:rsidRPr="009A13B9">
        <w:rPr>
          <w:rFonts w:eastAsia="Times New Roman" w:cs="Times New Roman"/>
          <w:b/>
          <w:bCs/>
          <w:rtl/>
          <w:lang w:eastAsia="de-DE"/>
        </w:rPr>
        <w:t>נתק</w:t>
      </w:r>
      <w:r w:rsidRPr="009A13B9">
        <w:rPr>
          <w:rFonts w:eastAsia="Times New Roman" w:cs="Times New Roman"/>
          <w:lang w:eastAsia="de-DE"/>
        </w:rPr>
        <w:t xml:space="preserve">. </w:t>
      </w:r>
      <w:r w:rsidRPr="009A13B9">
        <w:rPr>
          <w:rFonts w:eastAsia="Times New Roman" w:cs="Times New Roman"/>
          <w:b/>
          <w:bCs/>
          <w:rtl/>
          <w:lang w:eastAsia="de-DE"/>
        </w:rPr>
        <w:t>והתגלח</w:t>
      </w:r>
      <w:r w:rsidRPr="009A13B9">
        <w:rPr>
          <w:rFonts w:eastAsia="Times New Roman" w:cs="Times New Roman"/>
          <w:rtl/>
          <w:lang w:eastAsia="de-DE"/>
        </w:rPr>
        <w:t xml:space="preserve"> </w:t>
      </w:r>
      <w:r w:rsidRPr="009A13B9">
        <w:rPr>
          <w:rFonts w:eastAsia="Times New Roman" w:cs="Times New Roman"/>
          <w:lang w:eastAsia="de-DE"/>
        </w:rPr>
        <w:t xml:space="preserve">(und er soll sich scheren) - </w:t>
      </w:r>
      <w:r w:rsidRPr="009A13B9">
        <w:rPr>
          <w:rFonts w:eastAsia="Times New Roman" w:cs="Times New Roman"/>
          <w:b/>
          <w:bCs/>
          <w:rtl/>
          <w:lang w:eastAsia="de-DE"/>
        </w:rPr>
        <w:t>גלח</w:t>
      </w:r>
      <w:r w:rsidRPr="009A13B9">
        <w:rPr>
          <w:rFonts w:eastAsia="Times New Roman" w:cs="Times New Roman"/>
          <w:rtl/>
          <w:lang w:eastAsia="de-DE"/>
        </w:rPr>
        <w:t xml:space="preserve"> </w:t>
      </w:r>
      <w:r w:rsidRPr="009A13B9">
        <w:rPr>
          <w:rFonts w:eastAsia="Times New Roman" w:cs="Times New Roman"/>
          <w:lang w:eastAsia="de-DE"/>
        </w:rPr>
        <w:t xml:space="preserve">(scheren) im Hitpael-Perfekt mit Waw-Konsekutiv zeigt reflexive Handlung. </w:t>
      </w:r>
      <w:r w:rsidRPr="009A13B9">
        <w:rPr>
          <w:rFonts w:eastAsia="Times New Roman" w:cs="Times New Roman"/>
          <w:b/>
          <w:bCs/>
          <w:rtl/>
          <w:lang w:eastAsia="de-DE"/>
        </w:rPr>
        <w:t>ואת־הנתק לא יגלח</w:t>
      </w:r>
      <w:r w:rsidRPr="009A13B9">
        <w:rPr>
          <w:rFonts w:eastAsia="Times New Roman" w:cs="Times New Roman"/>
          <w:rtl/>
          <w:lang w:eastAsia="de-DE"/>
        </w:rPr>
        <w:t xml:space="preserve"> </w:t>
      </w:r>
      <w:r w:rsidRPr="009A13B9">
        <w:rPr>
          <w:rFonts w:eastAsia="Times New Roman" w:cs="Times New Roman"/>
          <w:lang w:eastAsia="de-DE"/>
        </w:rPr>
        <w:t xml:space="preserve">(aber den Schorf soll er nicht scheren) - </w:t>
      </w:r>
      <w:r w:rsidRPr="009A13B9">
        <w:rPr>
          <w:rFonts w:eastAsia="Times New Roman" w:cs="Times New Roman"/>
          <w:b/>
          <w:bCs/>
          <w:rtl/>
          <w:lang w:eastAsia="de-DE"/>
        </w:rPr>
        <w:t>לא יגלח</w:t>
      </w:r>
      <w:r w:rsidRPr="009A13B9">
        <w:rPr>
          <w:rFonts w:eastAsia="Times New Roman" w:cs="Times New Roman"/>
          <w:rtl/>
          <w:lang w:eastAsia="de-DE"/>
        </w:rPr>
        <w:t xml:space="preserve"> </w:t>
      </w:r>
      <w:r w:rsidRPr="009A13B9">
        <w:rPr>
          <w:rFonts w:eastAsia="Times New Roman" w:cs="Times New Roman"/>
          <w:lang w:eastAsia="de-DE"/>
        </w:rPr>
        <w:t>(er soll nicht scheren) im Piel-Imperfekt mit Negation.</w:t>
      </w:r>
    </w:p>
    <w:p w14:paraId="54B404E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והסגיר הכהן את־הנתק שבעת ימים שנית</w:t>
      </w:r>
      <w:r w:rsidRPr="009A13B9">
        <w:rPr>
          <w:rFonts w:eastAsia="Times New Roman" w:cs="Times New Roman"/>
          <w:rtl/>
          <w:lang w:eastAsia="de-DE"/>
        </w:rPr>
        <w:t xml:space="preserve"> </w:t>
      </w:r>
      <w:r w:rsidRPr="009A13B9">
        <w:rPr>
          <w:rFonts w:eastAsia="Times New Roman" w:cs="Times New Roman"/>
          <w:lang w:eastAsia="de-DE"/>
        </w:rPr>
        <w:t xml:space="preserve">zeigt die erweiterte Quarantäne. </w:t>
      </w:r>
      <w:r w:rsidRPr="009A13B9">
        <w:rPr>
          <w:rFonts w:eastAsia="Times New Roman" w:cs="Times New Roman"/>
          <w:b/>
          <w:bCs/>
          <w:rtl/>
          <w:lang w:eastAsia="de-DE"/>
        </w:rPr>
        <w:t>והסגיר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einschließen). </w:t>
      </w:r>
      <w:r w:rsidRPr="009A13B9">
        <w:rPr>
          <w:rFonts w:eastAsia="Times New Roman" w:cs="Times New Roman"/>
          <w:b/>
          <w:bCs/>
          <w:rtl/>
          <w:lang w:eastAsia="de-DE"/>
        </w:rPr>
        <w:t>את־הנתק</w:t>
      </w:r>
      <w:r w:rsidRPr="009A13B9">
        <w:rPr>
          <w:rFonts w:eastAsia="Times New Roman" w:cs="Times New Roman"/>
          <w:rtl/>
          <w:lang w:eastAsia="de-DE"/>
        </w:rPr>
        <w:t xml:space="preserve"> </w:t>
      </w:r>
      <w:r w:rsidRPr="009A13B9">
        <w:rPr>
          <w:rFonts w:eastAsia="Times New Roman" w:cs="Times New Roman"/>
          <w:lang w:eastAsia="de-DE"/>
        </w:rPr>
        <w:t xml:space="preserve">(den mit dem Schorf). </w:t>
      </w:r>
      <w:r w:rsidRPr="009A13B9">
        <w:rPr>
          <w:rFonts w:eastAsia="Times New Roman" w:cs="Times New Roman"/>
          <w:b/>
          <w:bCs/>
          <w:rtl/>
          <w:lang w:eastAsia="de-DE"/>
        </w:rPr>
        <w:t>שבעת ימים שנית</w:t>
      </w:r>
      <w:r w:rsidRPr="009A13B9">
        <w:rPr>
          <w:rFonts w:eastAsia="Times New Roman" w:cs="Times New Roman"/>
          <w:rtl/>
          <w:lang w:eastAsia="de-DE"/>
        </w:rPr>
        <w:t xml:space="preserve"> </w:t>
      </w:r>
      <w:r w:rsidRPr="009A13B9">
        <w:rPr>
          <w:rFonts w:eastAsia="Times New Roman" w:cs="Times New Roman"/>
          <w:lang w:eastAsia="de-DE"/>
        </w:rPr>
        <w:t>(sieben Tage zum zweiten Mal).</w:t>
      </w:r>
    </w:p>
    <w:p w14:paraId="192E0FF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והתגלח</w:t>
      </w:r>
      <w:r w:rsidRPr="009A13B9">
        <w:rPr>
          <w:rFonts w:eastAsia="Times New Roman" w:cs="Times New Roman"/>
          <w:rtl/>
          <w:lang w:eastAsia="de-DE"/>
        </w:rPr>
        <w:t xml:space="preserve"> </w:t>
      </w:r>
      <w:r w:rsidRPr="009A13B9">
        <w:rPr>
          <w:rFonts w:eastAsia="Times New Roman" w:cs="Times New Roman"/>
          <w:lang w:eastAsia="de-DE"/>
        </w:rPr>
        <w:t xml:space="preserve">ermöglicht bessere Beobachtung der Kopfhaut. </w:t>
      </w:r>
      <w:r w:rsidRPr="009A13B9">
        <w:rPr>
          <w:rFonts w:eastAsia="Times New Roman" w:cs="Times New Roman"/>
          <w:b/>
          <w:bCs/>
          <w:rtl/>
          <w:lang w:eastAsia="de-DE"/>
        </w:rPr>
        <w:t>ואת־הנתק לא יגלח</w:t>
      </w:r>
      <w:r w:rsidRPr="009A13B9">
        <w:rPr>
          <w:rFonts w:eastAsia="Times New Roman" w:cs="Times New Roman"/>
          <w:rtl/>
          <w:lang w:eastAsia="de-DE"/>
        </w:rPr>
        <w:t xml:space="preserve"> </w:t>
      </w:r>
      <w:r w:rsidRPr="009A13B9">
        <w:rPr>
          <w:rFonts w:eastAsia="Times New Roman" w:cs="Times New Roman"/>
          <w:lang w:eastAsia="de-DE"/>
        </w:rPr>
        <w:t xml:space="preserve">verhindert Störung der verdächtigen Stelle.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zeigt systematische Verlängerung der Beobachtung entsprechend V. 5.</w:t>
      </w:r>
    </w:p>
    <w:p w14:paraId="1727CAC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והתגלח</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ξυρηθήσετ</w:t>
      </w:r>
      <w:proofErr w:type="spellEnd"/>
      <w:r w:rsidRPr="009A13B9">
        <w:rPr>
          <w:rFonts w:eastAsia="Times New Roman" w:cs="Times New Roman"/>
          <w:lang w:eastAsia="de-DE"/>
        </w:rPr>
        <w:t xml:space="preserve">αι (er wird sich rasieren), </w:t>
      </w:r>
      <w:r w:rsidRPr="009A13B9">
        <w:rPr>
          <w:rFonts w:eastAsia="Times New Roman" w:cs="Times New Roman"/>
          <w:b/>
          <w:bCs/>
          <w:rtl/>
          <w:lang w:eastAsia="de-DE"/>
        </w:rPr>
        <w:t>לא יגלח</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ξυρήσει</w:t>
      </w:r>
      <w:proofErr w:type="spellEnd"/>
      <w:r w:rsidRPr="009A13B9">
        <w:rPr>
          <w:rFonts w:eastAsia="Times New Roman" w:cs="Times New Roman"/>
          <w:lang w:eastAsia="de-DE"/>
        </w:rPr>
        <w:t xml:space="preserve"> (er wird nicht rasieren) und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δεύτερον</w:t>
      </w:r>
      <w:proofErr w:type="spellEnd"/>
      <w:r w:rsidRPr="009A13B9">
        <w:rPr>
          <w:rFonts w:eastAsia="Times New Roman" w:cs="Times New Roman"/>
          <w:lang w:eastAsia="de-DE"/>
        </w:rPr>
        <w:t xml:space="preserve"> (zum zweiten Mal).</w:t>
      </w:r>
    </w:p>
    <w:p w14:paraId="6C9B0FC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spezielles Verfahren: Rasiergebot + Ausnahme für betroffene Stelle + erweiterte Quarantäne. Die Struktur zeigt angepasstes Verfahren für behaarte Bereiche.</w:t>
      </w:r>
    </w:p>
    <w:p w14:paraId="13B93D2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etabliert das spezielle </w:t>
      </w:r>
      <w:proofErr w:type="spellStart"/>
      <w:r w:rsidRPr="009A13B9">
        <w:rPr>
          <w:rFonts w:eastAsia="Times New Roman" w:cs="Times New Roman"/>
          <w:lang w:eastAsia="de-DE"/>
        </w:rPr>
        <w:t>Rasurverfahren</w:t>
      </w:r>
      <w:proofErr w:type="spellEnd"/>
      <w:r w:rsidRPr="009A13B9">
        <w:rPr>
          <w:rFonts w:eastAsia="Times New Roman" w:cs="Times New Roman"/>
          <w:lang w:eastAsia="de-DE"/>
        </w:rPr>
        <w:t xml:space="preserve"> für </w:t>
      </w:r>
      <w:r w:rsidRPr="009A13B9">
        <w:rPr>
          <w:rFonts w:eastAsia="Times New Roman" w:cs="Times New Roman"/>
          <w:b/>
          <w:bCs/>
          <w:rtl/>
          <w:lang w:eastAsia="de-DE"/>
        </w:rPr>
        <w:t>נתק</w:t>
      </w:r>
      <w:r w:rsidRPr="009A13B9">
        <w:rPr>
          <w:rFonts w:eastAsia="Times New Roman" w:cs="Times New Roman"/>
          <w:lang w:eastAsia="de-DE"/>
        </w:rPr>
        <w:t>-Fälle mit partieller Rasur und zweiter Quarantänewoche.</w:t>
      </w:r>
    </w:p>
    <w:p w14:paraId="446CD92A"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13,34</w:t>
      </w:r>
    </w:p>
    <w:p w14:paraId="1ED3F6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אֶת־הַנֶּ֜תֶק בַּיּ֣וֹם הַשְּׁבִיעִ֗י וְ֠הִנֵּה לֹא־פָשָׂ֤ה הַנֶּ֨תֶק֙ בָּע֔וֹר וּמַרְאֵ֕הוּ אֵינֶ֥נּוּ עָמֹ֖ק מִן־הָע֑וֹר וְטִהַ֤ר אֹתוֹ֙ הַכֹּהֵ֔ן וְכִבֶּ֥ס בְּגָדָ֖יו וְטָהֵֽר׃</w:t>
      </w:r>
    </w:p>
    <w:p w14:paraId="44AD089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Deutsch:</w:t>
      </w:r>
      <w:r w:rsidRPr="009A13B9">
        <w:rPr>
          <w:rFonts w:eastAsia="Times New Roman" w:cs="Times New Roman"/>
          <w:lang w:eastAsia="de-DE"/>
        </w:rPr>
        <w:t xml:space="preserve"> Und sieht der Priester den Schorf am siebten Tag, und siehe, der Schorf hat sich auf der Haut nicht ausgebreitet, und sein Aussehen ist nicht tiefer als die Haut, so soll der Priester ihn für rein erklären; und er soll seine Kleider waschen, und er ist rein.</w:t>
      </w:r>
    </w:p>
    <w:p w14:paraId="3D2EC26C"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139E31FF">
          <v:rect id="_x0000_i1365" style="width:0;height:1.5pt" o:hralign="center" o:hrstd="t" o:hr="t" fillcolor="#a0a0a0" stroked="f"/>
        </w:pict>
      </w:r>
    </w:p>
    <w:p w14:paraId="45E58CF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את־הנתק ביום השביעי והנה לא־פשה הנתק בעור ומראהו איננו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zeigt die zweite Nachuntersuchung. </w:t>
      </w:r>
      <w:r w:rsidRPr="009A13B9">
        <w:rPr>
          <w:rFonts w:eastAsia="Times New Roman" w:cs="Times New Roman"/>
          <w:b/>
          <w:bCs/>
          <w:rtl/>
          <w:lang w:eastAsia="de-DE"/>
        </w:rPr>
        <w:t>וראה הכהן את־הנתק ביום השביעי</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den Schorf am siebten Tag) zeigt die terminierte Untersuchung nach der zweiten Quarantänewoche. </w:t>
      </w:r>
      <w:r w:rsidRPr="009A13B9">
        <w:rPr>
          <w:rFonts w:eastAsia="Times New Roman" w:cs="Times New Roman"/>
          <w:b/>
          <w:bCs/>
          <w:rtl/>
          <w:lang w:eastAsia="de-DE"/>
        </w:rPr>
        <w:t>והנה לא־פשה הנתק בעור</w:t>
      </w:r>
      <w:r w:rsidRPr="009A13B9">
        <w:rPr>
          <w:rFonts w:eastAsia="Times New Roman" w:cs="Times New Roman"/>
          <w:rtl/>
          <w:lang w:eastAsia="de-DE"/>
        </w:rPr>
        <w:t xml:space="preserve"> </w:t>
      </w:r>
      <w:r w:rsidRPr="009A13B9">
        <w:rPr>
          <w:rFonts w:eastAsia="Times New Roman" w:cs="Times New Roman"/>
          <w:lang w:eastAsia="de-DE"/>
        </w:rPr>
        <w:t xml:space="preserve">(und siehe, der Schorf hat sich auf der Haut nicht ausgebreitet). </w:t>
      </w:r>
      <w:r w:rsidRPr="009A13B9">
        <w:rPr>
          <w:rFonts w:eastAsia="Times New Roman" w:cs="Times New Roman"/>
          <w:b/>
          <w:bCs/>
          <w:rtl/>
          <w:lang w:eastAsia="de-DE"/>
        </w:rPr>
        <w:t>ומראהו איננו עמק מן־העור</w:t>
      </w:r>
      <w:r w:rsidRPr="009A13B9">
        <w:rPr>
          <w:rFonts w:eastAsia="Times New Roman" w:cs="Times New Roman"/>
          <w:rtl/>
          <w:lang w:eastAsia="de-DE"/>
        </w:rPr>
        <w:t xml:space="preserve"> </w:t>
      </w:r>
      <w:r w:rsidRPr="009A13B9">
        <w:rPr>
          <w:rFonts w:eastAsia="Times New Roman" w:cs="Times New Roman"/>
          <w:lang w:eastAsia="de-DE"/>
        </w:rPr>
        <w:t xml:space="preserve">(und sein Aussehen ist nicht tiefer als die Haut) - </w:t>
      </w:r>
      <w:r w:rsidRPr="009A13B9">
        <w:rPr>
          <w:rFonts w:eastAsia="Times New Roman" w:cs="Times New Roman"/>
          <w:b/>
          <w:bCs/>
          <w:rtl/>
          <w:lang w:eastAsia="de-DE"/>
        </w:rPr>
        <w:t>איננו עמק</w:t>
      </w:r>
      <w:r w:rsidRPr="009A13B9">
        <w:rPr>
          <w:rFonts w:eastAsia="Times New Roman" w:cs="Times New Roman"/>
          <w:rtl/>
          <w:lang w:eastAsia="de-DE"/>
        </w:rPr>
        <w:t xml:space="preserve"> </w:t>
      </w:r>
      <w:r w:rsidRPr="009A13B9">
        <w:rPr>
          <w:rFonts w:eastAsia="Times New Roman" w:cs="Times New Roman"/>
          <w:lang w:eastAsia="de-DE"/>
        </w:rPr>
        <w:t>(ist nicht tief) bestätigt oberflächliche Erscheinung.</w:t>
      </w:r>
    </w:p>
    <w:p w14:paraId="125DB08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וטהר אתו הכהן וכבס בגדיו וטהר</w:t>
      </w:r>
      <w:r w:rsidRPr="009A13B9">
        <w:rPr>
          <w:rFonts w:eastAsia="Times New Roman" w:cs="Times New Roman"/>
          <w:rtl/>
          <w:lang w:eastAsia="de-DE"/>
        </w:rPr>
        <w:t xml:space="preserve"> </w:t>
      </w:r>
      <w:r w:rsidRPr="009A13B9">
        <w:rPr>
          <w:rFonts w:eastAsia="Times New Roman" w:cs="Times New Roman"/>
          <w:lang w:eastAsia="de-DE"/>
        </w:rPr>
        <w:t xml:space="preserve">zeigt die Reinheitserklärung und das Reinigungsritual. </w:t>
      </w:r>
      <w:r w:rsidRPr="009A13B9">
        <w:rPr>
          <w:rFonts w:eastAsia="Times New Roman" w:cs="Times New Roman"/>
          <w:b/>
          <w:bCs/>
          <w:rtl/>
          <w:lang w:eastAsia="de-DE"/>
        </w:rPr>
        <w:t>וטהר אתו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ihn für rein erklären). </w:t>
      </w:r>
      <w:r w:rsidRPr="009A13B9">
        <w:rPr>
          <w:rFonts w:eastAsia="Times New Roman" w:cs="Times New Roman"/>
          <w:b/>
          <w:bCs/>
          <w:rtl/>
          <w:lang w:eastAsia="de-DE"/>
        </w:rPr>
        <w:t>וכבס בגדיו וטהר</w:t>
      </w:r>
      <w:r w:rsidRPr="009A13B9">
        <w:rPr>
          <w:rFonts w:eastAsia="Times New Roman" w:cs="Times New Roman"/>
          <w:rtl/>
          <w:lang w:eastAsia="de-DE"/>
        </w:rPr>
        <w:t xml:space="preserve"> </w:t>
      </w:r>
      <w:r w:rsidRPr="009A13B9">
        <w:rPr>
          <w:rFonts w:eastAsia="Times New Roman" w:cs="Times New Roman"/>
          <w:lang w:eastAsia="de-DE"/>
        </w:rPr>
        <w:t>(und er soll seine Kleider waschen, und er ist rein) entspricht V. 6.</w:t>
      </w:r>
    </w:p>
    <w:p w14:paraId="2F49175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לא־פשה הנתק בעור</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איננו עמק</w:t>
      </w:r>
      <w:r w:rsidRPr="009A13B9">
        <w:rPr>
          <w:rFonts w:eastAsia="Times New Roman" w:cs="Times New Roman"/>
          <w:rtl/>
          <w:lang w:eastAsia="de-DE"/>
        </w:rPr>
        <w:t xml:space="preserve"> </w:t>
      </w:r>
      <w:r w:rsidRPr="009A13B9">
        <w:rPr>
          <w:rFonts w:eastAsia="Times New Roman" w:cs="Times New Roman"/>
          <w:lang w:eastAsia="de-DE"/>
        </w:rPr>
        <w:t xml:space="preserve">zeigen anhaltend positive Befunde. </w:t>
      </w:r>
      <w:r w:rsidRPr="009A13B9">
        <w:rPr>
          <w:rFonts w:eastAsia="Times New Roman" w:cs="Times New Roman"/>
          <w:b/>
          <w:bCs/>
          <w:rtl/>
          <w:lang w:eastAsia="de-DE"/>
        </w:rPr>
        <w:t>וטהר אתו הכהן</w:t>
      </w:r>
      <w:r w:rsidRPr="009A13B9">
        <w:rPr>
          <w:rFonts w:eastAsia="Times New Roman" w:cs="Times New Roman"/>
          <w:rtl/>
          <w:lang w:eastAsia="de-DE"/>
        </w:rPr>
        <w:t xml:space="preserve"> </w:t>
      </w:r>
      <w:r w:rsidRPr="009A13B9">
        <w:rPr>
          <w:rFonts w:eastAsia="Times New Roman" w:cs="Times New Roman"/>
          <w:lang w:eastAsia="de-DE"/>
        </w:rPr>
        <w:t xml:space="preserve">zeigt endgültige Reinheitserklärung. </w:t>
      </w:r>
      <w:r w:rsidRPr="009A13B9">
        <w:rPr>
          <w:rFonts w:eastAsia="Times New Roman" w:cs="Times New Roman"/>
          <w:b/>
          <w:bCs/>
          <w:rtl/>
          <w:lang w:eastAsia="de-DE"/>
        </w:rPr>
        <w:t>וכבס בגדיו וטהר</w:t>
      </w:r>
      <w:r w:rsidRPr="009A13B9">
        <w:rPr>
          <w:rFonts w:eastAsia="Times New Roman" w:cs="Times New Roman"/>
          <w:rtl/>
          <w:lang w:eastAsia="de-DE"/>
        </w:rPr>
        <w:t xml:space="preserve"> </w:t>
      </w:r>
      <w:r w:rsidRPr="009A13B9">
        <w:rPr>
          <w:rFonts w:eastAsia="Times New Roman" w:cs="Times New Roman"/>
          <w:lang w:eastAsia="de-DE"/>
        </w:rPr>
        <w:t>als Reinigungsritual nach der Quarantäne.</w:t>
      </w:r>
    </w:p>
    <w:p w14:paraId="2211FDB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nicht aus), </w:t>
      </w:r>
      <w:r w:rsidRPr="009A13B9">
        <w:rPr>
          <w:rFonts w:eastAsia="Times New Roman" w:cs="Times New Roman"/>
          <w:b/>
          <w:bCs/>
          <w:rtl/>
          <w:lang w:eastAsia="de-DE"/>
        </w:rPr>
        <w:t>איננו עמק</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οὐκ</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ἔστιν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κοῖλον</w:t>
      </w:r>
      <w:proofErr w:type="spellEnd"/>
      <w:r w:rsidRPr="009A13B9">
        <w:rPr>
          <w:rFonts w:eastAsia="Times New Roman" w:cs="Times New Roman"/>
          <w:lang w:eastAsia="de-DE"/>
        </w:rPr>
        <w:t xml:space="preserve"> (ist nicht hohl) und </w:t>
      </w:r>
      <w:r w:rsidRPr="009A13B9">
        <w:rPr>
          <w:rFonts w:eastAsia="Times New Roman" w:cs="Times New Roman"/>
          <w:b/>
          <w:bCs/>
          <w:rtl/>
          <w:lang w:eastAsia="de-DE"/>
        </w:rPr>
        <w:t>וכבס</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λυνεῖ</w:t>
      </w:r>
      <w:proofErr w:type="spellEnd"/>
      <w:r w:rsidRPr="009A13B9">
        <w:rPr>
          <w:rFonts w:eastAsia="Times New Roman" w:cs="Times New Roman"/>
          <w:lang w:eastAsia="de-DE"/>
        </w:rPr>
        <w:t xml:space="preserve"> (er wird waschen).</w:t>
      </w:r>
    </w:p>
    <w:p w14:paraId="274002E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positive Diagnose: zweite terminierte Untersuchung + zwei bestätigte negative Befunde + Reinheitserklärung + Reinigungsritual + Reinheitsbestätigung. Die Struktur entspricht V. 6.</w:t>
      </w:r>
    </w:p>
    <w:p w14:paraId="5DBCC13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schließt das positive </w:t>
      </w:r>
      <w:r w:rsidRPr="009A13B9">
        <w:rPr>
          <w:rFonts w:eastAsia="Times New Roman" w:cs="Times New Roman"/>
          <w:b/>
          <w:bCs/>
          <w:rtl/>
          <w:lang w:eastAsia="de-DE"/>
        </w:rPr>
        <w:t>נתק</w:t>
      </w:r>
      <w:r w:rsidRPr="009A13B9">
        <w:rPr>
          <w:rFonts w:eastAsia="Times New Roman" w:cs="Times New Roman"/>
          <w:lang w:eastAsia="de-DE"/>
        </w:rPr>
        <w:t>-Quarantäneverfahren mit Reinheitserklärung und Reinigungsritual ab.</w:t>
      </w:r>
    </w:p>
    <w:p w14:paraId="2D4E597E"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13,35</w:t>
      </w:r>
    </w:p>
    <w:p w14:paraId="31CBF4D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וְאִם־פָּשֹׂ֥ה יִפְשֶׂ֛ה הַנֶּ֖תֶק בָּע֑וֹר אַחֲרֵ֖י טָהֳרָתוֹֽ׃</w:t>
      </w:r>
    </w:p>
    <w:p w14:paraId="787BB8A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Wenn aber, nach seiner Reinigung, der Schorf auf der Haut tatsächlich um sich greift,</w:t>
      </w:r>
    </w:p>
    <w:p w14:paraId="3D690BB5"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6F0B6AA">
          <v:rect id="_x0000_i1366" style="width:0;height:1.5pt" o:hralign="center" o:hrstd="t" o:hr="t" fillcolor="#a0a0a0" stroked="f"/>
        </w:pict>
      </w:r>
    </w:p>
    <w:p w14:paraId="01F2FB9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ואם־פשה יפשה הנתק בעור אחרי טהרתו</w:t>
      </w:r>
      <w:r w:rsidRPr="009A13B9">
        <w:rPr>
          <w:rFonts w:eastAsia="Times New Roman" w:cs="Times New Roman"/>
          <w:rtl/>
          <w:lang w:eastAsia="de-DE"/>
        </w:rPr>
        <w:t xml:space="preserve"> </w:t>
      </w:r>
      <w:r w:rsidRPr="009A13B9">
        <w:rPr>
          <w:rFonts w:eastAsia="Times New Roman" w:cs="Times New Roman"/>
          <w:lang w:eastAsia="de-DE"/>
        </w:rPr>
        <w:t xml:space="preserve">zeigt nachträgliche Verschlechterung entsprechend V. 7. </w:t>
      </w:r>
      <w:r w:rsidRPr="009A13B9">
        <w:rPr>
          <w:rFonts w:eastAsia="Times New Roman" w:cs="Times New Roman"/>
          <w:b/>
          <w:bCs/>
          <w:rtl/>
          <w:lang w:eastAsia="de-DE"/>
        </w:rPr>
        <w:t>ואם־פשה יפשה</w:t>
      </w:r>
      <w:r w:rsidRPr="009A13B9">
        <w:rPr>
          <w:rFonts w:eastAsia="Times New Roman" w:cs="Times New Roman"/>
          <w:rtl/>
          <w:lang w:eastAsia="de-DE"/>
        </w:rPr>
        <w:t xml:space="preserve"> </w:t>
      </w:r>
      <w:r w:rsidRPr="009A13B9">
        <w:rPr>
          <w:rFonts w:eastAsia="Times New Roman" w:cs="Times New Roman"/>
          <w:lang w:eastAsia="de-DE"/>
        </w:rPr>
        <w:t xml:space="preserve">(und wenn sich ausbreitend ausbreitet) mit verstärkender Wiederholung. </w:t>
      </w:r>
      <w:r w:rsidRPr="009A13B9">
        <w:rPr>
          <w:rFonts w:eastAsia="Times New Roman" w:cs="Times New Roman"/>
          <w:b/>
          <w:bCs/>
          <w:rtl/>
          <w:lang w:eastAsia="de-DE"/>
        </w:rPr>
        <w:t>הנתק בעור</w:t>
      </w:r>
      <w:r w:rsidRPr="009A13B9">
        <w:rPr>
          <w:rFonts w:eastAsia="Times New Roman" w:cs="Times New Roman"/>
          <w:rtl/>
          <w:lang w:eastAsia="de-DE"/>
        </w:rPr>
        <w:t xml:space="preserve"> </w:t>
      </w:r>
      <w:r w:rsidRPr="009A13B9">
        <w:rPr>
          <w:rFonts w:eastAsia="Times New Roman" w:cs="Times New Roman"/>
          <w:lang w:eastAsia="de-DE"/>
        </w:rPr>
        <w:t xml:space="preserve">(der Schorf auf der Haut). </w:t>
      </w:r>
      <w:r w:rsidRPr="009A13B9">
        <w:rPr>
          <w:rFonts w:eastAsia="Times New Roman" w:cs="Times New Roman"/>
          <w:b/>
          <w:bCs/>
          <w:rtl/>
          <w:lang w:eastAsia="de-DE"/>
        </w:rPr>
        <w:t>אחרי טהרתו</w:t>
      </w:r>
      <w:r w:rsidRPr="009A13B9">
        <w:rPr>
          <w:rFonts w:eastAsia="Times New Roman" w:cs="Times New Roman"/>
          <w:rtl/>
          <w:lang w:eastAsia="de-DE"/>
        </w:rPr>
        <w:t xml:space="preserve"> </w:t>
      </w:r>
      <w:r w:rsidRPr="009A13B9">
        <w:rPr>
          <w:rFonts w:eastAsia="Times New Roman" w:cs="Times New Roman"/>
          <w:lang w:eastAsia="de-DE"/>
        </w:rPr>
        <w:t>(nach seiner Reinigung) zeigt den Zeitpunkt nach der Reinheitserklärung aus V. 34.</w:t>
      </w:r>
    </w:p>
    <w:p w14:paraId="61AAABB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פשה יפשה</w:t>
      </w:r>
      <w:r w:rsidRPr="009A13B9">
        <w:rPr>
          <w:rFonts w:eastAsia="Times New Roman" w:cs="Times New Roman"/>
          <w:rtl/>
          <w:lang w:eastAsia="de-DE"/>
        </w:rPr>
        <w:t xml:space="preserve"> </w:t>
      </w:r>
      <w:r w:rsidRPr="009A13B9">
        <w:rPr>
          <w:rFonts w:eastAsia="Times New Roman" w:cs="Times New Roman"/>
          <w:lang w:eastAsia="de-DE"/>
        </w:rPr>
        <w:t xml:space="preserve">entspricht der verstärkenden Formulierung aus V. 7-8. </w:t>
      </w:r>
      <w:r w:rsidRPr="009A13B9">
        <w:rPr>
          <w:rFonts w:eastAsia="Times New Roman" w:cs="Times New Roman"/>
          <w:b/>
          <w:bCs/>
          <w:rtl/>
          <w:lang w:eastAsia="de-DE"/>
        </w:rPr>
        <w:t>אחרי טהרתו</w:t>
      </w:r>
      <w:r w:rsidRPr="009A13B9">
        <w:rPr>
          <w:rFonts w:eastAsia="Times New Roman" w:cs="Times New Roman"/>
          <w:rtl/>
          <w:lang w:eastAsia="de-DE"/>
        </w:rPr>
        <w:t xml:space="preserve"> </w:t>
      </w:r>
      <w:r w:rsidRPr="009A13B9">
        <w:rPr>
          <w:rFonts w:eastAsia="Times New Roman" w:cs="Times New Roman"/>
          <w:lang w:eastAsia="de-DE"/>
        </w:rPr>
        <w:t xml:space="preserve">zeigt, dass selbst abgeschlossene </w:t>
      </w:r>
      <w:r w:rsidRPr="009A13B9">
        <w:rPr>
          <w:rFonts w:eastAsia="Times New Roman" w:cs="Times New Roman"/>
          <w:b/>
          <w:bCs/>
          <w:rtl/>
          <w:lang w:eastAsia="de-DE"/>
        </w:rPr>
        <w:t>נתק</w:t>
      </w:r>
      <w:r w:rsidRPr="009A13B9">
        <w:rPr>
          <w:rFonts w:eastAsia="Times New Roman" w:cs="Times New Roman"/>
          <w:lang w:eastAsia="de-DE"/>
        </w:rPr>
        <w:t>-Fälle einer Verlaufskontrolle bedürfen.</w:t>
      </w:r>
    </w:p>
    <w:p w14:paraId="6B8A7FD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פשה יפשה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αχέοντι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αχεῖται (sich ausbreitend breitet sich aus) und </w:t>
      </w:r>
      <w:r w:rsidRPr="009A13B9">
        <w:rPr>
          <w:rFonts w:eastAsia="Times New Roman" w:cs="Times New Roman"/>
          <w:b/>
          <w:bCs/>
          <w:rtl/>
          <w:lang w:eastAsia="de-DE"/>
        </w:rPr>
        <w:t>אחרי טהרתו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μετὰ</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τὸ</w:t>
      </w:r>
      <w:proofErr w:type="spellEnd"/>
      <w:r w:rsidRPr="009A13B9">
        <w:rPr>
          <w:rFonts w:eastAsia="Times New Roman" w:cs="Times New Roman"/>
          <w:lang w:eastAsia="de-DE"/>
        </w:rPr>
        <w:t xml:space="preserve"> καθα</w:t>
      </w:r>
      <w:proofErr w:type="spellStart"/>
      <w:r w:rsidRPr="009A13B9">
        <w:rPr>
          <w:rFonts w:eastAsia="Times New Roman" w:cs="Times New Roman"/>
          <w:lang w:eastAsia="de-DE"/>
        </w:rPr>
        <w:t>ρισθῆν</w:t>
      </w:r>
      <w:proofErr w:type="spellEnd"/>
      <w:r w:rsidRPr="009A13B9">
        <w:rPr>
          <w:rFonts w:eastAsia="Times New Roman" w:cs="Times New Roman"/>
          <w:lang w:eastAsia="de-DE"/>
        </w:rPr>
        <w:t>αι α</w:t>
      </w:r>
      <w:proofErr w:type="spellStart"/>
      <w:r w:rsidRPr="009A13B9">
        <w:rPr>
          <w:rFonts w:eastAsia="Times New Roman" w:cs="Times New Roman"/>
          <w:lang w:eastAsia="de-DE"/>
        </w:rPr>
        <w:t>ὐτόν</w:t>
      </w:r>
      <w:proofErr w:type="spellEnd"/>
      <w:r w:rsidRPr="009A13B9">
        <w:rPr>
          <w:rFonts w:eastAsia="Times New Roman" w:cs="Times New Roman"/>
          <w:lang w:eastAsia="de-DE"/>
        </w:rPr>
        <w:t xml:space="preserve"> (nachdem er gereinigt wurde).</w:t>
      </w:r>
    </w:p>
    <w:p w14:paraId="3B5775A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Revisionsfall: Konditionalsatz mit verstärkter Verschlechterung + Zeitangabe nach Reinigung. Die unvollständige Struktur führt zu V. 36.</w:t>
      </w:r>
    </w:p>
    <w:p w14:paraId="254A89E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leitet die Revision der </w:t>
      </w:r>
      <w:r w:rsidRPr="009A13B9">
        <w:rPr>
          <w:rFonts w:eastAsia="Times New Roman" w:cs="Times New Roman"/>
          <w:b/>
          <w:bCs/>
          <w:rtl/>
          <w:lang w:eastAsia="de-DE"/>
        </w:rPr>
        <w:t>נתק</w:t>
      </w:r>
      <w:r w:rsidRPr="009A13B9">
        <w:rPr>
          <w:rFonts w:eastAsia="Times New Roman" w:cs="Times New Roman"/>
          <w:lang w:eastAsia="de-DE"/>
        </w:rPr>
        <w:t>-Diagnose bei nachträglicher Verschlechterung ein.</w:t>
      </w:r>
    </w:p>
    <w:p w14:paraId="379A0A4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13,36</w:t>
      </w:r>
    </w:p>
    <w:p w14:paraId="2B896D6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וְרָאָ֨הוּ֙ הַכֹּהֵ֔ן וְהִנֵּ֛ה פָּשָׂ֥ה הַנֶּ֖תֶק בָּע֑וֹר לֹֽא־יְבַקֵּ֧ר הַכֹּהֵ֛ן לַשֵּׂעָ֥ר הַצָּהֹ֖ב טָמֵ֥א הֽוּא׃</w:t>
      </w:r>
    </w:p>
    <w:p w14:paraId="5237154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besieht ihn, und siehe, der Schorf hat auf der Haut um sich gegriffen, so soll der Priester nicht nach dem goldgelben Haar suchen; er ist unrein.</w:t>
      </w:r>
    </w:p>
    <w:p w14:paraId="26385794"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B9C65FC">
          <v:rect id="_x0000_i1367" style="width:0;height:1.5pt" o:hralign="center" o:hrstd="t" o:hr="t" fillcolor="#a0a0a0" stroked="f"/>
        </w:pict>
      </w:r>
    </w:p>
    <w:p w14:paraId="5A849C3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וראהו הכהן והנה פשה הנתק בעור</w:t>
      </w:r>
      <w:r w:rsidRPr="009A13B9">
        <w:rPr>
          <w:rFonts w:eastAsia="Times New Roman" w:cs="Times New Roman"/>
          <w:rtl/>
          <w:lang w:eastAsia="de-DE"/>
        </w:rPr>
        <w:t xml:space="preserve"> </w:t>
      </w:r>
      <w:r w:rsidRPr="009A13B9">
        <w:rPr>
          <w:rFonts w:eastAsia="Times New Roman" w:cs="Times New Roman"/>
          <w:lang w:eastAsia="de-DE"/>
        </w:rPr>
        <w:t xml:space="preserve">bestätigt die Verschlechterung. </w:t>
      </w:r>
      <w:r w:rsidRPr="009A13B9">
        <w:rPr>
          <w:rFonts w:eastAsia="Times New Roman" w:cs="Times New Roman"/>
          <w:b/>
          <w:bCs/>
          <w:rtl/>
          <w:lang w:eastAsia="de-DE"/>
        </w:rPr>
        <w:t>וראהו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ihn) zeigt die Revisionsuntersuchung. </w:t>
      </w:r>
      <w:r w:rsidRPr="009A13B9">
        <w:rPr>
          <w:rFonts w:eastAsia="Times New Roman" w:cs="Times New Roman"/>
          <w:b/>
          <w:bCs/>
          <w:rtl/>
          <w:lang w:eastAsia="de-DE"/>
        </w:rPr>
        <w:t>והנה פשה הנתק בעור</w:t>
      </w:r>
      <w:r w:rsidRPr="009A13B9">
        <w:rPr>
          <w:rFonts w:eastAsia="Times New Roman" w:cs="Times New Roman"/>
          <w:rtl/>
          <w:lang w:eastAsia="de-DE"/>
        </w:rPr>
        <w:t xml:space="preserve"> </w:t>
      </w:r>
      <w:r w:rsidRPr="009A13B9">
        <w:rPr>
          <w:rFonts w:eastAsia="Times New Roman" w:cs="Times New Roman"/>
          <w:lang w:eastAsia="de-DE"/>
        </w:rPr>
        <w:t>(und siehe, der Schorf hat sich auf der Haut ausgebreitet) bestätigt die Befürchtung aus V. 35.</w:t>
      </w:r>
    </w:p>
    <w:p w14:paraId="2C6A90F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לא־יבקר הכהן לשער הצהב טמא הוא</w:t>
      </w:r>
      <w:r w:rsidRPr="009A13B9">
        <w:rPr>
          <w:rFonts w:eastAsia="Times New Roman" w:cs="Times New Roman"/>
          <w:rtl/>
          <w:lang w:eastAsia="de-DE"/>
        </w:rPr>
        <w:t xml:space="preserve"> </w:t>
      </w:r>
      <w:r w:rsidRPr="009A13B9">
        <w:rPr>
          <w:rFonts w:eastAsia="Times New Roman" w:cs="Times New Roman"/>
          <w:lang w:eastAsia="de-DE"/>
        </w:rPr>
        <w:t xml:space="preserve">zeigt vereinfachte Diagnose. </w:t>
      </w:r>
      <w:r w:rsidRPr="009A13B9">
        <w:rPr>
          <w:rFonts w:eastAsia="Times New Roman" w:cs="Times New Roman"/>
          <w:b/>
          <w:bCs/>
          <w:rtl/>
          <w:lang w:eastAsia="de-DE"/>
        </w:rPr>
        <w:t>לא־יבקר הכהן לשער הצהב</w:t>
      </w:r>
      <w:r w:rsidRPr="009A13B9">
        <w:rPr>
          <w:rFonts w:eastAsia="Times New Roman" w:cs="Times New Roman"/>
          <w:rtl/>
          <w:lang w:eastAsia="de-DE"/>
        </w:rPr>
        <w:t xml:space="preserve"> </w:t>
      </w:r>
      <w:r w:rsidRPr="009A13B9">
        <w:rPr>
          <w:rFonts w:eastAsia="Times New Roman" w:cs="Times New Roman"/>
          <w:lang w:eastAsia="de-DE"/>
        </w:rPr>
        <w:t xml:space="preserve">(der Priester soll nicht nach dem gelben Haar suchen) - </w:t>
      </w:r>
      <w:r w:rsidRPr="009A13B9">
        <w:rPr>
          <w:rFonts w:eastAsia="Times New Roman" w:cs="Times New Roman"/>
          <w:b/>
          <w:bCs/>
          <w:rtl/>
          <w:lang w:eastAsia="de-DE"/>
        </w:rPr>
        <w:t>בקר</w:t>
      </w:r>
      <w:r w:rsidRPr="009A13B9">
        <w:rPr>
          <w:rFonts w:eastAsia="Times New Roman" w:cs="Times New Roman"/>
          <w:rtl/>
          <w:lang w:eastAsia="de-DE"/>
        </w:rPr>
        <w:t xml:space="preserve"> </w:t>
      </w:r>
      <w:r w:rsidRPr="009A13B9">
        <w:rPr>
          <w:rFonts w:eastAsia="Times New Roman" w:cs="Times New Roman"/>
          <w:lang w:eastAsia="de-DE"/>
        </w:rPr>
        <w:t xml:space="preserve">(suchen/untersuchen) im Piel-Imperfekt mit Negation, </w:t>
      </w:r>
      <w:r w:rsidRPr="009A13B9">
        <w:rPr>
          <w:rFonts w:eastAsia="Times New Roman" w:cs="Times New Roman"/>
          <w:b/>
          <w:bCs/>
          <w:rtl/>
          <w:lang w:eastAsia="de-DE"/>
        </w:rPr>
        <w:t>שער הצהב</w:t>
      </w:r>
      <w:r w:rsidRPr="009A13B9">
        <w:rPr>
          <w:rFonts w:eastAsia="Times New Roman" w:cs="Times New Roman"/>
          <w:rtl/>
          <w:lang w:eastAsia="de-DE"/>
        </w:rPr>
        <w:t xml:space="preserve"> </w:t>
      </w:r>
      <w:r w:rsidRPr="009A13B9">
        <w:rPr>
          <w:rFonts w:eastAsia="Times New Roman" w:cs="Times New Roman"/>
          <w:lang w:eastAsia="de-DE"/>
        </w:rPr>
        <w:t xml:space="preserve">(das gelbe Haar) aus V. 30.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(unrein ist er) als automatische Diagnose.</w:t>
      </w:r>
    </w:p>
    <w:p w14:paraId="0F487ED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פשה הנתק בעור</w:t>
      </w:r>
      <w:r w:rsidRPr="009A13B9">
        <w:rPr>
          <w:rFonts w:eastAsia="Times New Roman" w:cs="Times New Roman"/>
          <w:rtl/>
          <w:lang w:eastAsia="de-DE"/>
        </w:rPr>
        <w:t xml:space="preserve"> </w:t>
      </w:r>
      <w:r w:rsidRPr="009A13B9">
        <w:rPr>
          <w:rFonts w:eastAsia="Times New Roman" w:cs="Times New Roman"/>
          <w:lang w:eastAsia="de-DE"/>
        </w:rPr>
        <w:t xml:space="preserve">als ausreichendes Kriterium für </w:t>
      </w:r>
      <w:r w:rsidRPr="009A13B9">
        <w:rPr>
          <w:rFonts w:eastAsia="Times New Roman" w:cs="Times New Roman"/>
          <w:b/>
          <w:bCs/>
          <w:rtl/>
          <w:lang w:eastAsia="de-DE"/>
        </w:rPr>
        <w:t>צרעת</w:t>
      </w:r>
      <w:r w:rsidRPr="009A13B9">
        <w:rPr>
          <w:rFonts w:eastAsia="Times New Roman" w:cs="Times New Roman"/>
          <w:lang w:eastAsia="de-DE"/>
        </w:rPr>
        <w:t xml:space="preserve">-Diagnose. </w:t>
      </w:r>
      <w:r w:rsidRPr="009A13B9">
        <w:rPr>
          <w:rFonts w:eastAsia="Times New Roman" w:cs="Times New Roman"/>
          <w:b/>
          <w:bCs/>
          <w:rtl/>
          <w:lang w:eastAsia="de-DE"/>
        </w:rPr>
        <w:t>לא־יבקר לשער הצהב</w:t>
      </w:r>
      <w:r w:rsidRPr="009A13B9">
        <w:rPr>
          <w:rFonts w:eastAsia="Times New Roman" w:cs="Times New Roman"/>
          <w:rtl/>
          <w:lang w:eastAsia="de-DE"/>
        </w:rPr>
        <w:t xml:space="preserve"> </w:t>
      </w:r>
      <w:r w:rsidRPr="009A13B9">
        <w:rPr>
          <w:rFonts w:eastAsia="Times New Roman" w:cs="Times New Roman"/>
          <w:lang w:eastAsia="de-DE"/>
        </w:rPr>
        <w:t xml:space="preserve">zeigt, dass Ausbreitung allein zur Unreinheit führt, ohne weitere Kriterienprüfung.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als definitive Unreinheitserklärung.</w:t>
      </w:r>
    </w:p>
    <w:p w14:paraId="6B37DF6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aus), </w:t>
      </w:r>
      <w:r w:rsidRPr="009A13B9">
        <w:rPr>
          <w:rFonts w:eastAsia="Times New Roman" w:cs="Times New Roman"/>
          <w:b/>
          <w:bCs/>
          <w:rtl/>
          <w:lang w:eastAsia="de-DE"/>
        </w:rPr>
        <w:t>יבקר</w:t>
      </w:r>
      <w:r w:rsidRPr="009A13B9">
        <w:rPr>
          <w:rFonts w:eastAsia="Times New Roman" w:cs="Times New Roman"/>
          <w:rtl/>
          <w:lang w:eastAsia="de-DE"/>
        </w:rPr>
        <w:t xml:space="preserve"> </w:t>
      </w:r>
      <w:r w:rsidRPr="009A13B9">
        <w:rPr>
          <w:rFonts w:eastAsia="Times New Roman" w:cs="Times New Roman"/>
          <w:lang w:eastAsia="de-DE"/>
        </w:rPr>
        <w:t>mit ἐπ</w:t>
      </w:r>
      <w:proofErr w:type="spellStart"/>
      <w:r w:rsidRPr="009A13B9">
        <w:rPr>
          <w:rFonts w:eastAsia="Times New Roman" w:cs="Times New Roman"/>
          <w:lang w:eastAsia="de-DE"/>
        </w:rPr>
        <w:t>ισκέψετ</w:t>
      </w:r>
      <w:proofErr w:type="spellEnd"/>
      <w:r w:rsidRPr="009A13B9">
        <w:rPr>
          <w:rFonts w:eastAsia="Times New Roman" w:cs="Times New Roman"/>
          <w:lang w:eastAsia="de-DE"/>
        </w:rPr>
        <w:t xml:space="preserve">αι (wird untersuchen) und </w:t>
      </w:r>
      <w:r w:rsidRPr="009A13B9">
        <w:rPr>
          <w:rFonts w:eastAsia="Times New Roman" w:cs="Times New Roman"/>
          <w:b/>
          <w:bCs/>
          <w:rtl/>
          <w:lang w:eastAsia="de-DE"/>
        </w:rPr>
        <w:t>שער הצהב</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τρίχ</w:t>
      </w:r>
      <w:proofErr w:type="spellEnd"/>
      <w:r w:rsidRPr="009A13B9">
        <w:rPr>
          <w:rFonts w:eastAsia="Times New Roman" w:cs="Times New Roman"/>
          <w:lang w:eastAsia="de-DE"/>
        </w:rPr>
        <w:t>α ξα</w:t>
      </w:r>
      <w:proofErr w:type="spellStart"/>
      <w:r w:rsidRPr="009A13B9">
        <w:rPr>
          <w:rFonts w:eastAsia="Times New Roman" w:cs="Times New Roman"/>
          <w:lang w:eastAsia="de-DE"/>
        </w:rPr>
        <w:t>νθήν</w:t>
      </w:r>
      <w:proofErr w:type="spellEnd"/>
      <w:r w:rsidRPr="009A13B9">
        <w:rPr>
          <w:rFonts w:eastAsia="Times New Roman" w:cs="Times New Roman"/>
          <w:lang w:eastAsia="de-DE"/>
        </w:rPr>
        <w:t xml:space="preserve"> (gelbes Haar).</w:t>
      </w:r>
    </w:p>
    <w:p w14:paraId="5981E9E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vereinfachte Revision: priesterliche Untersuchung + bestätigte Ausbreitung + negierte weitere Untersuchung + automatische Unreinheit. Die Struktur zeigt, dass Ausbreitung allein entscheidend ist.</w:t>
      </w:r>
    </w:p>
    <w:p w14:paraId="67F61B9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Ausbreitung von </w:t>
      </w:r>
      <w:r w:rsidRPr="009A13B9">
        <w:rPr>
          <w:rFonts w:eastAsia="Times New Roman" w:cs="Times New Roman"/>
          <w:b/>
          <w:bCs/>
          <w:rtl/>
          <w:lang w:eastAsia="de-DE"/>
        </w:rPr>
        <w:t>נתק</w:t>
      </w:r>
      <w:r w:rsidRPr="009A13B9">
        <w:rPr>
          <w:rFonts w:eastAsia="Times New Roman" w:cs="Times New Roman"/>
          <w:rtl/>
          <w:lang w:eastAsia="de-DE"/>
        </w:rPr>
        <w:t xml:space="preserve"> </w:t>
      </w:r>
      <w:r w:rsidRPr="009A13B9">
        <w:rPr>
          <w:rFonts w:eastAsia="Times New Roman" w:cs="Times New Roman"/>
          <w:lang w:eastAsia="de-DE"/>
        </w:rPr>
        <w:t>zur automatischen Unreinheitserklärung führt, ohne weitere Kriterienprüfung.</w:t>
      </w:r>
    </w:p>
    <w:p w14:paraId="678DCBFE"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13,37</w:t>
      </w:r>
    </w:p>
    <w:p w14:paraId="45D7C27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וְאִם־בְּעֵינָיו֩ עָמַ֨ד הַנֶּ֜תֶק וְשֵׂעָ֨ר שָׁחֹ֧ר צָֽמַח־בּוֹ֛ נִרְפָּ֥א הַנֶּ֖תֶק טָה֣וֹר ה֑וּא וְטִהֲרֹ֖ו הַכֹּהֵֽן׃</w:t>
      </w:r>
    </w:p>
    <w:p w14:paraId="014B238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Wenn aber in seinen Augen der Schorf stehen geblieben ist und schwarzes Haar darin gewachsen ist, so ist der Schorf geheilt: er ist rein, und der Priester soll ihn für rein erklären.</w:t>
      </w:r>
    </w:p>
    <w:p w14:paraId="3A9D8CB0"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A01404D">
          <v:rect id="_x0000_i1368" style="width:0;height:1.5pt" o:hralign="center" o:hrstd="t" o:hr="t" fillcolor="#a0a0a0" stroked="f"/>
        </w:pict>
      </w:r>
    </w:p>
    <w:p w14:paraId="492B15B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ואם־בעיניו עמד הנתק ושער שחר צמח־בו נרפא הנתק טהור הוא וטהרו הכהן</w:t>
      </w:r>
      <w:r w:rsidRPr="009A13B9">
        <w:rPr>
          <w:rFonts w:eastAsia="Times New Roman" w:cs="Times New Roman"/>
          <w:rtl/>
          <w:lang w:eastAsia="de-DE"/>
        </w:rPr>
        <w:t xml:space="preserve"> </w:t>
      </w:r>
      <w:r w:rsidRPr="009A13B9">
        <w:rPr>
          <w:rFonts w:eastAsia="Times New Roman" w:cs="Times New Roman"/>
          <w:lang w:eastAsia="de-DE"/>
        </w:rPr>
        <w:t xml:space="preserve">zeigt die positive Entwicklung. </w:t>
      </w:r>
      <w:r w:rsidRPr="009A13B9">
        <w:rPr>
          <w:rFonts w:eastAsia="Times New Roman" w:cs="Times New Roman"/>
          <w:b/>
          <w:bCs/>
          <w:rtl/>
          <w:lang w:eastAsia="de-DE"/>
        </w:rPr>
        <w:t>ואם־בעיניו עמד הנתק</w:t>
      </w:r>
      <w:r w:rsidRPr="009A13B9">
        <w:rPr>
          <w:rFonts w:eastAsia="Times New Roman" w:cs="Times New Roman"/>
          <w:rtl/>
          <w:lang w:eastAsia="de-DE"/>
        </w:rPr>
        <w:t xml:space="preserve"> </w:t>
      </w:r>
      <w:r w:rsidRPr="009A13B9">
        <w:rPr>
          <w:rFonts w:eastAsia="Times New Roman" w:cs="Times New Roman"/>
          <w:lang w:eastAsia="de-DE"/>
        </w:rPr>
        <w:t xml:space="preserve">(und wenn in seinen Augen der Schorf </w:t>
      </w:r>
      <w:r w:rsidRPr="009A13B9">
        <w:rPr>
          <w:rFonts w:eastAsia="Times New Roman" w:cs="Times New Roman"/>
          <w:lang w:eastAsia="de-DE"/>
        </w:rPr>
        <w:lastRenderedPageBreak/>
        <w:t xml:space="preserve">stehengeblieben ist) - </w:t>
      </w:r>
      <w:r w:rsidRPr="009A13B9">
        <w:rPr>
          <w:rFonts w:eastAsia="Times New Roman" w:cs="Times New Roman"/>
          <w:b/>
          <w:bCs/>
          <w:rtl/>
          <w:lang w:eastAsia="de-DE"/>
        </w:rPr>
        <w:t>בעיניו</w:t>
      </w:r>
      <w:r w:rsidRPr="009A13B9">
        <w:rPr>
          <w:rFonts w:eastAsia="Times New Roman" w:cs="Times New Roman"/>
          <w:rtl/>
          <w:lang w:eastAsia="de-DE"/>
        </w:rPr>
        <w:t xml:space="preserve"> </w:t>
      </w:r>
      <w:r w:rsidRPr="009A13B9">
        <w:rPr>
          <w:rFonts w:eastAsia="Times New Roman" w:cs="Times New Roman"/>
          <w:lang w:eastAsia="de-DE"/>
        </w:rPr>
        <w:t xml:space="preserve">(in seinen Augen) zeigt subjektive priesterliche Einschätzung, </w:t>
      </w:r>
      <w:r w:rsidRPr="009A13B9">
        <w:rPr>
          <w:rFonts w:eastAsia="Times New Roman" w:cs="Times New Roman"/>
          <w:b/>
          <w:bCs/>
          <w:rtl/>
          <w:lang w:eastAsia="de-DE"/>
        </w:rPr>
        <w:t>עמד</w:t>
      </w:r>
      <w:r w:rsidRPr="009A13B9">
        <w:rPr>
          <w:rFonts w:eastAsia="Times New Roman" w:cs="Times New Roman"/>
          <w:rtl/>
          <w:lang w:eastAsia="de-DE"/>
        </w:rPr>
        <w:t xml:space="preserve"> </w:t>
      </w:r>
      <w:r w:rsidRPr="009A13B9">
        <w:rPr>
          <w:rFonts w:eastAsia="Times New Roman" w:cs="Times New Roman"/>
          <w:lang w:eastAsia="de-DE"/>
        </w:rPr>
        <w:t xml:space="preserve">(stehengeblieben) im Qal-Perfekt zeigt Stillstand. </w:t>
      </w:r>
      <w:r w:rsidRPr="009A13B9">
        <w:rPr>
          <w:rFonts w:eastAsia="Times New Roman" w:cs="Times New Roman"/>
          <w:b/>
          <w:bCs/>
          <w:rtl/>
          <w:lang w:eastAsia="de-DE"/>
        </w:rPr>
        <w:t>ושער שחר צמח־בו</w:t>
      </w:r>
      <w:r w:rsidRPr="009A13B9">
        <w:rPr>
          <w:rFonts w:eastAsia="Times New Roman" w:cs="Times New Roman"/>
          <w:rtl/>
          <w:lang w:eastAsia="de-DE"/>
        </w:rPr>
        <w:t xml:space="preserve"> </w:t>
      </w:r>
      <w:r w:rsidRPr="009A13B9">
        <w:rPr>
          <w:rFonts w:eastAsia="Times New Roman" w:cs="Times New Roman"/>
          <w:lang w:eastAsia="de-DE"/>
        </w:rPr>
        <w:t xml:space="preserve">(und schwarzes Haar ist darin gewachsen) - </w:t>
      </w:r>
      <w:r w:rsidRPr="009A13B9">
        <w:rPr>
          <w:rFonts w:eastAsia="Times New Roman" w:cs="Times New Roman"/>
          <w:b/>
          <w:bCs/>
          <w:rtl/>
          <w:lang w:eastAsia="de-DE"/>
        </w:rPr>
        <w:t>שער שחר</w:t>
      </w:r>
      <w:r w:rsidRPr="009A13B9">
        <w:rPr>
          <w:rFonts w:eastAsia="Times New Roman" w:cs="Times New Roman"/>
          <w:rtl/>
          <w:lang w:eastAsia="de-DE"/>
        </w:rPr>
        <w:t xml:space="preserve"> </w:t>
      </w:r>
      <w:r w:rsidRPr="009A13B9">
        <w:rPr>
          <w:rFonts w:eastAsia="Times New Roman" w:cs="Times New Roman"/>
          <w:lang w:eastAsia="de-DE"/>
        </w:rPr>
        <w:t xml:space="preserve">(schwarzes Haar) als Gesundheitszeichen, </w:t>
      </w:r>
      <w:r w:rsidRPr="009A13B9">
        <w:rPr>
          <w:rFonts w:eastAsia="Times New Roman" w:cs="Times New Roman"/>
          <w:b/>
          <w:bCs/>
          <w:rtl/>
          <w:lang w:eastAsia="de-DE"/>
        </w:rPr>
        <w:t>צמח־בו</w:t>
      </w:r>
      <w:r w:rsidRPr="009A13B9">
        <w:rPr>
          <w:rFonts w:eastAsia="Times New Roman" w:cs="Times New Roman"/>
          <w:rtl/>
          <w:lang w:eastAsia="de-DE"/>
        </w:rPr>
        <w:t xml:space="preserve"> </w:t>
      </w:r>
      <w:r w:rsidRPr="009A13B9">
        <w:rPr>
          <w:rFonts w:eastAsia="Times New Roman" w:cs="Times New Roman"/>
          <w:lang w:eastAsia="de-DE"/>
        </w:rPr>
        <w:t>(ist gewachsen darin) im Qal-Perfekt.</w:t>
      </w:r>
    </w:p>
    <w:p w14:paraId="14EC709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נרפא הנתק טהור הוא וטהרו הכהן</w:t>
      </w:r>
      <w:r w:rsidRPr="009A13B9">
        <w:rPr>
          <w:rFonts w:eastAsia="Times New Roman" w:cs="Times New Roman"/>
          <w:rtl/>
          <w:lang w:eastAsia="de-DE"/>
        </w:rPr>
        <w:t xml:space="preserve"> </w:t>
      </w:r>
      <w:r w:rsidRPr="009A13B9">
        <w:rPr>
          <w:rFonts w:eastAsia="Times New Roman" w:cs="Times New Roman"/>
          <w:lang w:eastAsia="de-DE"/>
        </w:rPr>
        <w:t xml:space="preserve">zeigt Heilung und Reinheit. </w:t>
      </w:r>
      <w:r w:rsidRPr="009A13B9">
        <w:rPr>
          <w:rFonts w:eastAsia="Times New Roman" w:cs="Times New Roman"/>
          <w:b/>
          <w:bCs/>
          <w:rtl/>
          <w:lang w:eastAsia="de-DE"/>
        </w:rPr>
        <w:t>נרפא הנתק</w:t>
      </w:r>
      <w:r w:rsidRPr="009A13B9">
        <w:rPr>
          <w:rFonts w:eastAsia="Times New Roman" w:cs="Times New Roman"/>
          <w:rtl/>
          <w:lang w:eastAsia="de-DE"/>
        </w:rPr>
        <w:t xml:space="preserve"> </w:t>
      </w:r>
      <w:r w:rsidRPr="009A13B9">
        <w:rPr>
          <w:rFonts w:eastAsia="Times New Roman" w:cs="Times New Roman"/>
          <w:lang w:eastAsia="de-DE"/>
        </w:rPr>
        <w:t xml:space="preserve">(der Schorf ist geheilt) - </w:t>
      </w:r>
      <w:r w:rsidRPr="009A13B9">
        <w:rPr>
          <w:rFonts w:eastAsia="Times New Roman" w:cs="Times New Roman"/>
          <w:b/>
          <w:bCs/>
          <w:rtl/>
          <w:lang w:eastAsia="de-DE"/>
        </w:rPr>
        <w:t>רפא</w:t>
      </w:r>
      <w:r w:rsidRPr="009A13B9">
        <w:rPr>
          <w:rFonts w:eastAsia="Times New Roman" w:cs="Times New Roman"/>
          <w:rtl/>
          <w:lang w:eastAsia="de-DE"/>
        </w:rPr>
        <w:t xml:space="preserve"> </w:t>
      </w:r>
      <w:r w:rsidRPr="009A13B9">
        <w:rPr>
          <w:rFonts w:eastAsia="Times New Roman" w:cs="Times New Roman"/>
          <w:lang w:eastAsia="de-DE"/>
        </w:rPr>
        <w:t xml:space="preserve">(heilen) im Nifal-Perfekt.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 xml:space="preserve">(rein ist er). </w:t>
      </w:r>
      <w:r w:rsidRPr="009A13B9">
        <w:rPr>
          <w:rFonts w:eastAsia="Times New Roman" w:cs="Times New Roman"/>
          <w:b/>
          <w:bCs/>
          <w:rtl/>
          <w:lang w:eastAsia="de-DE"/>
        </w:rPr>
        <w:t>וטהרו הכהן</w:t>
      </w:r>
      <w:r w:rsidRPr="009A13B9">
        <w:rPr>
          <w:rFonts w:eastAsia="Times New Roman" w:cs="Times New Roman"/>
          <w:rtl/>
          <w:lang w:eastAsia="de-DE"/>
        </w:rPr>
        <w:t xml:space="preserve"> </w:t>
      </w:r>
      <w:r w:rsidRPr="009A13B9">
        <w:rPr>
          <w:rFonts w:eastAsia="Times New Roman" w:cs="Times New Roman"/>
          <w:lang w:eastAsia="de-DE"/>
        </w:rPr>
        <w:t>(und der Priester soll ihn für rein erklären).</w:t>
      </w:r>
    </w:p>
    <w:p w14:paraId="4DA6F3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בעיניו עמד</w:t>
      </w:r>
      <w:r w:rsidRPr="009A13B9">
        <w:rPr>
          <w:rFonts w:eastAsia="Times New Roman" w:cs="Times New Roman"/>
          <w:rtl/>
          <w:lang w:eastAsia="de-DE"/>
        </w:rPr>
        <w:t xml:space="preserve"> </w:t>
      </w:r>
      <w:r w:rsidRPr="009A13B9">
        <w:rPr>
          <w:rFonts w:eastAsia="Times New Roman" w:cs="Times New Roman"/>
          <w:lang w:eastAsia="de-DE"/>
        </w:rPr>
        <w:t xml:space="preserve">zeigt keine Ausbreitung. </w:t>
      </w:r>
      <w:r w:rsidRPr="009A13B9">
        <w:rPr>
          <w:rFonts w:eastAsia="Times New Roman" w:cs="Times New Roman"/>
          <w:b/>
          <w:bCs/>
          <w:rtl/>
          <w:lang w:eastAsia="de-DE"/>
        </w:rPr>
        <w:t>שער שחר צמח־בו</w:t>
      </w:r>
      <w:r w:rsidRPr="009A13B9">
        <w:rPr>
          <w:rFonts w:eastAsia="Times New Roman" w:cs="Times New Roman"/>
          <w:rtl/>
          <w:lang w:eastAsia="de-DE"/>
        </w:rPr>
        <w:t xml:space="preserve"> </w:t>
      </w:r>
      <w:r w:rsidRPr="009A13B9">
        <w:rPr>
          <w:rFonts w:eastAsia="Times New Roman" w:cs="Times New Roman"/>
          <w:lang w:eastAsia="de-DE"/>
        </w:rPr>
        <w:t xml:space="preserve">als definitives Heilungszeichen - schwarzes Haar zeigt gesunde Haarfollikel. </w:t>
      </w:r>
      <w:r w:rsidRPr="009A13B9">
        <w:rPr>
          <w:rFonts w:eastAsia="Times New Roman" w:cs="Times New Roman"/>
          <w:b/>
          <w:bCs/>
          <w:rtl/>
          <w:lang w:eastAsia="de-DE"/>
        </w:rPr>
        <w:t>נרפא הנתק</w:t>
      </w:r>
      <w:r w:rsidRPr="009A13B9">
        <w:rPr>
          <w:rFonts w:eastAsia="Times New Roman" w:cs="Times New Roman"/>
          <w:rtl/>
          <w:lang w:eastAsia="de-DE"/>
        </w:rPr>
        <w:t xml:space="preserve"> </w:t>
      </w:r>
      <w:r w:rsidRPr="009A13B9">
        <w:rPr>
          <w:rFonts w:eastAsia="Times New Roman" w:cs="Times New Roman"/>
          <w:lang w:eastAsia="de-DE"/>
        </w:rPr>
        <w:t>als medizinische Heilungsdiagnose.</w:t>
      </w:r>
    </w:p>
    <w:p w14:paraId="18D6198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בעיניו עמד</w:t>
      </w:r>
      <w:r w:rsidRPr="009A13B9">
        <w:rPr>
          <w:rFonts w:eastAsia="Times New Roman" w:cs="Times New Roman"/>
          <w:rtl/>
          <w:lang w:eastAsia="de-DE"/>
        </w:rPr>
        <w:t xml:space="preserve"> </w:t>
      </w:r>
      <w:r w:rsidRPr="009A13B9">
        <w:rPr>
          <w:rFonts w:eastAsia="Times New Roman" w:cs="Times New Roman"/>
          <w:lang w:eastAsia="de-DE"/>
        </w:rPr>
        <w:t>mit κα</w:t>
      </w:r>
      <w:proofErr w:type="spellStart"/>
      <w:r w:rsidRPr="009A13B9">
        <w:rPr>
          <w:rFonts w:eastAsia="Times New Roman" w:cs="Times New Roman"/>
          <w:lang w:eastAsia="de-DE"/>
        </w:rPr>
        <w:t>τὰ</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ὄψιν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ἔστηκεν</w:t>
      </w:r>
      <w:proofErr w:type="spellEnd"/>
      <w:r w:rsidRPr="009A13B9">
        <w:rPr>
          <w:rFonts w:eastAsia="Times New Roman" w:cs="Times New Roman"/>
          <w:lang w:eastAsia="de-DE"/>
        </w:rPr>
        <w:t xml:space="preserve"> (dem Anschein nach steht), </w:t>
      </w:r>
      <w:r w:rsidRPr="009A13B9">
        <w:rPr>
          <w:rFonts w:eastAsia="Times New Roman" w:cs="Times New Roman"/>
          <w:b/>
          <w:bCs/>
          <w:rtl/>
          <w:lang w:eastAsia="de-DE"/>
        </w:rPr>
        <w:t>שער שחר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θρὶξ</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μέλ</w:t>
      </w:r>
      <w:proofErr w:type="spellEnd"/>
      <w:r w:rsidRPr="009A13B9">
        <w:rPr>
          <w:rFonts w:eastAsia="Times New Roman" w:cs="Times New Roman"/>
          <w:lang w:eastAsia="de-DE"/>
        </w:rPr>
        <w:t xml:space="preserve">αινα (schwarzes Haar) und </w:t>
      </w:r>
      <w:r w:rsidRPr="009A13B9">
        <w:rPr>
          <w:rFonts w:eastAsia="Times New Roman" w:cs="Times New Roman"/>
          <w:b/>
          <w:bCs/>
          <w:rtl/>
          <w:lang w:eastAsia="de-DE"/>
        </w:rPr>
        <w:t>נרפא</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ἰάθη</w:t>
      </w:r>
      <w:proofErr w:type="spellEnd"/>
      <w:r w:rsidRPr="009A13B9">
        <w:rPr>
          <w:rFonts w:eastAsia="Times New Roman" w:cs="Times New Roman"/>
          <w:lang w:eastAsia="de-DE"/>
        </w:rPr>
        <w:t xml:space="preserve"> (ist geheilt).</w:t>
      </w:r>
    </w:p>
    <w:p w14:paraId="689F3ED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Heilungsdiagnose: Konditionalsatz + Stillstand + Heilungszeichen + Heilungsdiagnose + Reinheitsaussage + priesterliche Bestätigung. Die Struktur zeigt vollständige Heilung.</w:t>
      </w:r>
    </w:p>
    <w:p w14:paraId="4039B6C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dass Stillstand mit schwarzem Haarwuchs zur Heilungsdiagnose und endgültigen Reinheitserklärung führt.</w:t>
      </w:r>
    </w:p>
    <w:p w14:paraId="13EA55F3"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13,38</w:t>
      </w:r>
    </w:p>
    <w:p w14:paraId="1FF00F3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וְאִישׁ֙ אֽוֹ־אִשָּׁ֔ה כִּֽי־יִהְיֶ֥ה בְעוֹר־בְּשָׂרָ֖ם בֶּהָרֹ֑ת בֶּהָרֹ֖ת לְבָנֹֽת׃</w:t>
      </w:r>
    </w:p>
    <w:p w14:paraId="5785675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ein Mann oder eine Frau auf der Haut ihres Fleisches Flecken bekommt, weiße Flecken,</w:t>
      </w:r>
    </w:p>
    <w:p w14:paraId="33DA0F5B"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94D9E56">
          <v:rect id="_x0000_i1369" style="width:0;height:1.5pt" o:hralign="center" o:hrstd="t" o:hr="t" fillcolor="#a0a0a0" stroked="f"/>
        </w:pict>
      </w:r>
    </w:p>
    <w:p w14:paraId="4F8BE9F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ואיש או־אשה כי־יהיה בעור־בשרם בהרת בהרת לבנת</w:t>
      </w:r>
      <w:r w:rsidRPr="009A13B9">
        <w:rPr>
          <w:rFonts w:eastAsia="Times New Roman" w:cs="Times New Roman"/>
          <w:rtl/>
          <w:lang w:eastAsia="de-DE"/>
        </w:rPr>
        <w:t xml:space="preserve"> </w:t>
      </w:r>
      <w:r w:rsidRPr="009A13B9">
        <w:rPr>
          <w:rFonts w:eastAsia="Times New Roman" w:cs="Times New Roman"/>
          <w:lang w:eastAsia="de-DE"/>
        </w:rPr>
        <w:t xml:space="preserve">leitet einen neuen Abschnitt über harmlose weiße Flecken ein. </w:t>
      </w:r>
      <w:r w:rsidRPr="009A13B9">
        <w:rPr>
          <w:rFonts w:eastAsia="Times New Roman" w:cs="Times New Roman"/>
          <w:b/>
          <w:bCs/>
          <w:rtl/>
          <w:lang w:eastAsia="de-DE"/>
        </w:rPr>
        <w:t>ואיש או־אשה</w:t>
      </w:r>
      <w:r w:rsidRPr="009A13B9">
        <w:rPr>
          <w:rFonts w:eastAsia="Times New Roman" w:cs="Times New Roman"/>
          <w:rtl/>
          <w:lang w:eastAsia="de-DE"/>
        </w:rPr>
        <w:t xml:space="preserve"> </w:t>
      </w:r>
      <w:r w:rsidRPr="009A13B9">
        <w:rPr>
          <w:rFonts w:eastAsia="Times New Roman" w:cs="Times New Roman"/>
          <w:lang w:eastAsia="de-DE"/>
        </w:rPr>
        <w:t xml:space="preserve">(und ein Mann oder eine Frau) zeigt universelle Anwendung. </w:t>
      </w:r>
      <w:r w:rsidRPr="009A13B9">
        <w:rPr>
          <w:rFonts w:eastAsia="Times New Roman" w:cs="Times New Roman"/>
          <w:b/>
          <w:bCs/>
          <w:rtl/>
          <w:lang w:eastAsia="de-DE"/>
        </w:rPr>
        <w:t>כי־יהיה בעור־בשרם</w:t>
      </w:r>
      <w:r w:rsidRPr="009A13B9">
        <w:rPr>
          <w:rFonts w:eastAsia="Times New Roman" w:cs="Times New Roman"/>
          <w:rtl/>
          <w:lang w:eastAsia="de-DE"/>
        </w:rPr>
        <w:t xml:space="preserve"> </w:t>
      </w:r>
      <w:r w:rsidRPr="009A13B9">
        <w:rPr>
          <w:rFonts w:eastAsia="Times New Roman" w:cs="Times New Roman"/>
          <w:lang w:eastAsia="de-DE"/>
        </w:rPr>
        <w:t xml:space="preserve">(wenn auf der Haut ihres Fleisches ist) mit Plural </w:t>
      </w:r>
      <w:r w:rsidRPr="009A13B9">
        <w:rPr>
          <w:rFonts w:eastAsia="Times New Roman" w:cs="Times New Roman"/>
          <w:b/>
          <w:bCs/>
          <w:rtl/>
          <w:lang w:eastAsia="de-DE"/>
        </w:rPr>
        <w:t>בשרם</w:t>
      </w:r>
      <w:r w:rsidRPr="009A13B9">
        <w:rPr>
          <w:rFonts w:eastAsia="Times New Roman" w:cs="Times New Roman"/>
          <w:rtl/>
          <w:lang w:eastAsia="de-DE"/>
        </w:rPr>
        <w:t xml:space="preserve"> </w:t>
      </w:r>
      <w:r w:rsidRPr="009A13B9">
        <w:rPr>
          <w:rFonts w:eastAsia="Times New Roman" w:cs="Times New Roman"/>
          <w:lang w:eastAsia="de-DE"/>
        </w:rPr>
        <w:t xml:space="preserve">entsprechend </w:t>
      </w:r>
      <w:r w:rsidRPr="009A13B9">
        <w:rPr>
          <w:rFonts w:eastAsia="Times New Roman" w:cs="Times New Roman"/>
          <w:b/>
          <w:bCs/>
          <w:rtl/>
          <w:lang w:eastAsia="de-DE"/>
        </w:rPr>
        <w:t>איש או־אשה</w:t>
      </w:r>
      <w:r w:rsidRPr="009A13B9">
        <w:rPr>
          <w:rFonts w:eastAsia="Times New Roman" w:cs="Times New Roman"/>
          <w:lang w:eastAsia="de-DE"/>
        </w:rPr>
        <w:t xml:space="preserve">. </w:t>
      </w:r>
      <w:r w:rsidRPr="009A13B9">
        <w:rPr>
          <w:rFonts w:eastAsia="Times New Roman" w:cs="Times New Roman"/>
          <w:b/>
          <w:bCs/>
          <w:rtl/>
          <w:lang w:eastAsia="de-DE"/>
        </w:rPr>
        <w:t>בהרת בהרת לבנת</w:t>
      </w:r>
      <w:r w:rsidRPr="009A13B9">
        <w:rPr>
          <w:rFonts w:eastAsia="Times New Roman" w:cs="Times New Roman"/>
          <w:rtl/>
          <w:lang w:eastAsia="de-DE"/>
        </w:rPr>
        <w:t xml:space="preserve"> </w:t>
      </w:r>
      <w:r w:rsidRPr="009A13B9">
        <w:rPr>
          <w:rFonts w:eastAsia="Times New Roman" w:cs="Times New Roman"/>
          <w:lang w:eastAsia="de-DE"/>
        </w:rPr>
        <w:t xml:space="preserve">(Flecken, weiße Flecken) - </w:t>
      </w:r>
      <w:r w:rsidRPr="009A13B9">
        <w:rPr>
          <w:rFonts w:eastAsia="Times New Roman" w:cs="Times New Roman"/>
          <w:b/>
          <w:bCs/>
          <w:rtl/>
          <w:lang w:eastAsia="de-DE"/>
        </w:rPr>
        <w:t>בהרת</w:t>
      </w:r>
      <w:r w:rsidRPr="009A13B9">
        <w:rPr>
          <w:rFonts w:eastAsia="Times New Roman" w:cs="Times New Roman"/>
          <w:rtl/>
          <w:lang w:eastAsia="de-DE"/>
        </w:rPr>
        <w:t xml:space="preserve"> </w:t>
      </w:r>
      <w:r w:rsidRPr="009A13B9">
        <w:rPr>
          <w:rFonts w:eastAsia="Times New Roman" w:cs="Times New Roman"/>
          <w:lang w:eastAsia="de-DE"/>
        </w:rPr>
        <w:t xml:space="preserve">(Flecken) aus V. 2 mit verstärkender Wiederholung und </w:t>
      </w:r>
      <w:r w:rsidRPr="009A13B9">
        <w:rPr>
          <w:rFonts w:eastAsia="Times New Roman" w:cs="Times New Roman"/>
          <w:b/>
          <w:bCs/>
          <w:rtl/>
          <w:lang w:eastAsia="de-DE"/>
        </w:rPr>
        <w:t>לבנת</w:t>
      </w:r>
      <w:r w:rsidRPr="009A13B9">
        <w:rPr>
          <w:rFonts w:eastAsia="Times New Roman" w:cs="Times New Roman"/>
          <w:rtl/>
          <w:lang w:eastAsia="de-DE"/>
        </w:rPr>
        <w:t xml:space="preserve"> </w:t>
      </w:r>
      <w:r w:rsidRPr="009A13B9">
        <w:rPr>
          <w:rFonts w:eastAsia="Times New Roman" w:cs="Times New Roman"/>
          <w:lang w:eastAsia="de-DE"/>
        </w:rPr>
        <w:t>(weiße) als feminin Plural.</w:t>
      </w:r>
    </w:p>
    <w:p w14:paraId="459C06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בהרת בהרת</w:t>
      </w:r>
      <w:r w:rsidRPr="009A13B9">
        <w:rPr>
          <w:rFonts w:eastAsia="Times New Roman" w:cs="Times New Roman"/>
          <w:rtl/>
          <w:lang w:eastAsia="de-DE"/>
        </w:rPr>
        <w:t xml:space="preserve"> </w:t>
      </w:r>
      <w:r w:rsidRPr="009A13B9">
        <w:rPr>
          <w:rFonts w:eastAsia="Times New Roman" w:cs="Times New Roman"/>
          <w:lang w:eastAsia="de-DE"/>
        </w:rPr>
        <w:t xml:space="preserve">mit Wiederholung betont die Häufigkeit oder Vielzahl der Flecken. </w:t>
      </w:r>
      <w:r w:rsidRPr="009A13B9">
        <w:rPr>
          <w:rFonts w:eastAsia="Times New Roman" w:cs="Times New Roman"/>
          <w:b/>
          <w:bCs/>
          <w:rtl/>
          <w:lang w:eastAsia="de-DE"/>
        </w:rPr>
        <w:t>לבנת</w:t>
      </w:r>
      <w:r w:rsidRPr="009A13B9">
        <w:rPr>
          <w:rFonts w:eastAsia="Times New Roman" w:cs="Times New Roman"/>
          <w:rtl/>
          <w:lang w:eastAsia="de-DE"/>
        </w:rPr>
        <w:t xml:space="preserve"> </w:t>
      </w:r>
      <w:r w:rsidRPr="009A13B9">
        <w:rPr>
          <w:rFonts w:eastAsia="Times New Roman" w:cs="Times New Roman"/>
          <w:lang w:eastAsia="de-DE"/>
        </w:rPr>
        <w:t>spezifiziert die weiße Farbe im Unterschied zu den weißrötlichen Varianten früherer Verse.</w:t>
      </w:r>
    </w:p>
    <w:p w14:paraId="0DB0091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בעור־בשרם</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δέρμ</w:t>
      </w:r>
      <w:proofErr w:type="spellEnd"/>
      <w:r w:rsidRPr="009A13B9">
        <w:rPr>
          <w:rFonts w:eastAsia="Times New Roman" w:cs="Times New Roman"/>
          <w:lang w:eastAsia="de-DE"/>
        </w:rPr>
        <w:t>ατι σα</w:t>
      </w:r>
      <w:proofErr w:type="spellStart"/>
      <w:r w:rsidRPr="009A13B9">
        <w:rPr>
          <w:rFonts w:eastAsia="Times New Roman" w:cs="Times New Roman"/>
          <w:lang w:eastAsia="de-DE"/>
        </w:rPr>
        <w:t>ρκὸς</w:t>
      </w:r>
      <w:proofErr w:type="spellEnd"/>
      <w:r w:rsidRPr="009A13B9">
        <w:rPr>
          <w:rFonts w:eastAsia="Times New Roman" w:cs="Times New Roman"/>
          <w:lang w:eastAsia="de-DE"/>
        </w:rPr>
        <w:t xml:space="preserve"> α</w:t>
      </w:r>
      <w:proofErr w:type="spellStart"/>
      <w:r w:rsidRPr="009A13B9">
        <w:rPr>
          <w:rFonts w:eastAsia="Times New Roman" w:cs="Times New Roman"/>
          <w:lang w:eastAsia="de-DE"/>
        </w:rPr>
        <w:t>ὐτῶν</w:t>
      </w:r>
      <w:proofErr w:type="spellEnd"/>
      <w:r w:rsidRPr="009A13B9">
        <w:rPr>
          <w:rFonts w:eastAsia="Times New Roman" w:cs="Times New Roman"/>
          <w:lang w:eastAsia="de-DE"/>
        </w:rPr>
        <w:t xml:space="preserve"> (auf der Haut ihres Fleisches) und </w:t>
      </w:r>
      <w:r w:rsidRPr="009A13B9">
        <w:rPr>
          <w:rFonts w:eastAsia="Times New Roman" w:cs="Times New Roman"/>
          <w:b/>
          <w:bCs/>
          <w:rtl/>
          <w:lang w:eastAsia="de-DE"/>
        </w:rPr>
        <w:t>בהרת לבנת</w:t>
      </w:r>
      <w:r w:rsidRPr="009A13B9">
        <w:rPr>
          <w:rFonts w:eastAsia="Times New Roman" w:cs="Times New Roman"/>
          <w:rtl/>
          <w:lang w:eastAsia="de-DE"/>
        </w:rPr>
        <w:t xml:space="preserve"> </w:t>
      </w:r>
      <w:r w:rsidRPr="009A13B9">
        <w:rPr>
          <w:rFonts w:eastAsia="Times New Roman" w:cs="Times New Roman"/>
          <w:lang w:eastAsia="de-DE"/>
        </w:rPr>
        <w:t>mit α</w:t>
      </w:r>
      <w:proofErr w:type="spellStart"/>
      <w:r w:rsidRPr="009A13B9">
        <w:rPr>
          <w:rFonts w:eastAsia="Times New Roman" w:cs="Times New Roman"/>
          <w:lang w:eastAsia="de-DE"/>
        </w:rPr>
        <w:t>ὐγάζοντ</w:t>
      </w:r>
      <w:proofErr w:type="spellEnd"/>
      <w:r w:rsidRPr="009A13B9">
        <w:rPr>
          <w:rFonts w:eastAsia="Times New Roman" w:cs="Times New Roman"/>
          <w:lang w:eastAsia="de-DE"/>
        </w:rPr>
        <w:t xml:space="preserve">α </w:t>
      </w:r>
      <w:proofErr w:type="spellStart"/>
      <w:r w:rsidRPr="009A13B9">
        <w:rPr>
          <w:rFonts w:eastAsia="Times New Roman" w:cs="Times New Roman"/>
          <w:lang w:eastAsia="de-DE"/>
        </w:rPr>
        <w:t>λευκά</w:t>
      </w:r>
      <w:proofErr w:type="spellEnd"/>
      <w:r w:rsidRPr="009A13B9">
        <w:rPr>
          <w:rFonts w:eastAsia="Times New Roman" w:cs="Times New Roman"/>
          <w:lang w:eastAsia="de-DE"/>
        </w:rPr>
        <w:t xml:space="preserve"> (leuchtende weiße).</w:t>
      </w:r>
    </w:p>
    <w:p w14:paraId="3559DB1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neue Kategorie: Geschlechtsspezifikation + Konditionalsatz + lokale Spezifikation + verstärkte Fleckenbezeichnung. Die Struktur leitet harmlose Hautveränderungen ein.</w:t>
      </w:r>
    </w:p>
    <w:p w14:paraId="53363D5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leitet die Behandlung harmloser weißer Hautflecken für beide Geschlechter ein.</w:t>
      </w:r>
    </w:p>
    <w:p w14:paraId="62DB4F53"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lastRenderedPageBreak/>
        <w:t>Leviticus 13,39</w:t>
      </w:r>
    </w:p>
    <w:p w14:paraId="127F098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וְהִנֵּ֧ה בְעוֹר־בְּשָׂרָ֛ם בֶּהָרֹ֖ת כֵּה֣וֹת לְבָנֹ֑ת בֹּ֥הַק ה֛וּא פָּרַ֥ח בָּע֖וֹר טָה֥וֹר הֽוּא׃</w:t>
      </w:r>
    </w:p>
    <w:p w14:paraId="2E9C785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sieht es, und siehe, auf der Haut ihres Fleisches sind dunkle weiße Flecken, so ist es ein Ausschlag, der auf der Haut ausgebrochen ist: er ist rein.</w:t>
      </w:r>
    </w:p>
    <w:p w14:paraId="43C1CA0B"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41C01A64">
          <v:rect id="_x0000_i1370" style="width:0;height:1.5pt" o:hralign="center" o:hrstd="t" o:hr="t" fillcolor="#a0a0a0" stroked="f"/>
        </w:pict>
      </w:r>
    </w:p>
    <w:p w14:paraId="7C70EE6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והנה בעור־בשרם בהרת כהות לבנת</w:t>
      </w:r>
      <w:r w:rsidRPr="009A13B9">
        <w:rPr>
          <w:rFonts w:eastAsia="Times New Roman" w:cs="Times New Roman"/>
          <w:rtl/>
          <w:lang w:eastAsia="de-DE"/>
        </w:rPr>
        <w:t xml:space="preserve"> </w:t>
      </w:r>
      <w:r w:rsidRPr="009A13B9">
        <w:rPr>
          <w:rFonts w:eastAsia="Times New Roman" w:cs="Times New Roman"/>
          <w:lang w:eastAsia="de-DE"/>
        </w:rPr>
        <w:t xml:space="preserve">zeigt die priesterliche Diagnose. </w:t>
      </w:r>
      <w:r w:rsidRPr="009A13B9">
        <w:rPr>
          <w:rFonts w:eastAsia="Times New Roman" w:cs="Times New Roman"/>
          <w:b/>
          <w:bCs/>
          <w:rtl/>
          <w:lang w:eastAsia="de-DE"/>
        </w:rPr>
        <w:t>וראה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entspricht der Standarduntersuchung. </w:t>
      </w:r>
      <w:r w:rsidRPr="009A13B9">
        <w:rPr>
          <w:rFonts w:eastAsia="Times New Roman" w:cs="Times New Roman"/>
          <w:b/>
          <w:bCs/>
          <w:rtl/>
          <w:lang w:eastAsia="de-DE"/>
        </w:rPr>
        <w:t>והנה בעור־בשרם בהרת כהות לבנת</w:t>
      </w:r>
      <w:r w:rsidRPr="009A13B9">
        <w:rPr>
          <w:rFonts w:eastAsia="Times New Roman" w:cs="Times New Roman"/>
          <w:rtl/>
          <w:lang w:eastAsia="de-DE"/>
        </w:rPr>
        <w:t xml:space="preserve"> </w:t>
      </w:r>
      <w:r w:rsidRPr="009A13B9">
        <w:rPr>
          <w:rFonts w:eastAsia="Times New Roman" w:cs="Times New Roman"/>
          <w:lang w:eastAsia="de-DE"/>
        </w:rPr>
        <w:t xml:space="preserve">(und siehe, auf der Haut ihres Fleisches sind dunkle weiße Flecken) - </w:t>
      </w:r>
      <w:r w:rsidRPr="009A13B9">
        <w:rPr>
          <w:rFonts w:eastAsia="Times New Roman" w:cs="Times New Roman"/>
          <w:b/>
          <w:bCs/>
          <w:rtl/>
          <w:lang w:eastAsia="de-DE"/>
        </w:rPr>
        <w:t>כהות לבנת</w:t>
      </w:r>
      <w:r w:rsidRPr="009A13B9">
        <w:rPr>
          <w:rFonts w:eastAsia="Times New Roman" w:cs="Times New Roman"/>
          <w:rtl/>
          <w:lang w:eastAsia="de-DE"/>
        </w:rPr>
        <w:t xml:space="preserve"> </w:t>
      </w:r>
      <w:r w:rsidRPr="009A13B9">
        <w:rPr>
          <w:rFonts w:eastAsia="Times New Roman" w:cs="Times New Roman"/>
          <w:lang w:eastAsia="de-DE"/>
        </w:rPr>
        <w:t>(dunkle weiße) zeigt gedämpfte, nicht leuchtende Weißfärbung.</w:t>
      </w:r>
    </w:p>
    <w:p w14:paraId="13778AB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בהק הוא פרח בעור טהור הוא</w:t>
      </w:r>
      <w:r w:rsidRPr="009A13B9">
        <w:rPr>
          <w:rFonts w:eastAsia="Times New Roman" w:cs="Times New Roman"/>
          <w:rtl/>
          <w:lang w:eastAsia="de-DE"/>
        </w:rPr>
        <w:t xml:space="preserve"> </w:t>
      </w:r>
      <w:r w:rsidRPr="009A13B9">
        <w:rPr>
          <w:rFonts w:eastAsia="Times New Roman" w:cs="Times New Roman"/>
          <w:lang w:eastAsia="de-DE"/>
        </w:rPr>
        <w:t xml:space="preserve">zeigt die harmlose Diagnose. </w:t>
      </w:r>
      <w:r w:rsidRPr="009A13B9">
        <w:rPr>
          <w:rFonts w:eastAsia="Times New Roman" w:cs="Times New Roman"/>
          <w:b/>
          <w:bCs/>
          <w:rtl/>
          <w:lang w:eastAsia="de-DE"/>
        </w:rPr>
        <w:t>בהק הוא</w:t>
      </w:r>
      <w:r w:rsidRPr="009A13B9">
        <w:rPr>
          <w:rFonts w:eastAsia="Times New Roman" w:cs="Times New Roman"/>
          <w:rtl/>
          <w:lang w:eastAsia="de-DE"/>
        </w:rPr>
        <w:t xml:space="preserve"> </w:t>
      </w:r>
      <w:r w:rsidRPr="009A13B9">
        <w:rPr>
          <w:rFonts w:eastAsia="Times New Roman" w:cs="Times New Roman"/>
          <w:lang w:eastAsia="de-DE"/>
        </w:rPr>
        <w:t xml:space="preserve">(ein Ausschlag ist es) - </w:t>
      </w:r>
      <w:r w:rsidRPr="009A13B9">
        <w:rPr>
          <w:rFonts w:eastAsia="Times New Roman" w:cs="Times New Roman"/>
          <w:b/>
          <w:bCs/>
          <w:rtl/>
          <w:lang w:eastAsia="de-DE"/>
        </w:rPr>
        <w:t>בהק</w:t>
      </w:r>
      <w:r w:rsidRPr="009A13B9">
        <w:rPr>
          <w:rFonts w:eastAsia="Times New Roman" w:cs="Times New Roman"/>
          <w:rtl/>
          <w:lang w:eastAsia="de-DE"/>
        </w:rPr>
        <w:t xml:space="preserve"> </w:t>
      </w:r>
      <w:r w:rsidRPr="009A13B9">
        <w:rPr>
          <w:rFonts w:eastAsia="Times New Roman" w:cs="Times New Roman"/>
          <w:lang w:eastAsia="de-DE"/>
        </w:rPr>
        <w:t xml:space="preserve">als spezifischer Begriff für harmlose weiße Flecken. </w:t>
      </w:r>
      <w:r w:rsidRPr="009A13B9">
        <w:rPr>
          <w:rFonts w:eastAsia="Times New Roman" w:cs="Times New Roman"/>
          <w:b/>
          <w:bCs/>
          <w:rtl/>
          <w:lang w:eastAsia="de-DE"/>
        </w:rPr>
        <w:t>פרח בעור</w:t>
      </w:r>
      <w:r w:rsidRPr="009A13B9">
        <w:rPr>
          <w:rFonts w:eastAsia="Times New Roman" w:cs="Times New Roman"/>
          <w:rtl/>
          <w:lang w:eastAsia="de-DE"/>
        </w:rPr>
        <w:t xml:space="preserve"> </w:t>
      </w:r>
      <w:r w:rsidRPr="009A13B9">
        <w:rPr>
          <w:rFonts w:eastAsia="Times New Roman" w:cs="Times New Roman"/>
          <w:lang w:eastAsia="de-DE"/>
        </w:rPr>
        <w:t xml:space="preserve">(ist auf der Haut ausgebrochen) - </w:t>
      </w:r>
      <w:r w:rsidRPr="009A13B9">
        <w:rPr>
          <w:rFonts w:eastAsia="Times New Roman" w:cs="Times New Roman"/>
          <w:b/>
          <w:bCs/>
          <w:rtl/>
          <w:lang w:eastAsia="de-DE"/>
        </w:rPr>
        <w:t>פרח</w:t>
      </w:r>
      <w:r w:rsidRPr="009A13B9">
        <w:rPr>
          <w:rFonts w:eastAsia="Times New Roman" w:cs="Times New Roman"/>
          <w:rtl/>
          <w:lang w:eastAsia="de-DE"/>
        </w:rPr>
        <w:t xml:space="preserve"> </w:t>
      </w:r>
      <w:r w:rsidRPr="009A13B9">
        <w:rPr>
          <w:rFonts w:eastAsia="Times New Roman" w:cs="Times New Roman"/>
          <w:lang w:eastAsia="de-DE"/>
        </w:rPr>
        <w:t xml:space="preserve">(ausbrechen/aufblühen) im Qal-Perfekt.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 xml:space="preserve">(rein ist er) mit emphatischem </w:t>
      </w:r>
      <w:r w:rsidRPr="009A13B9">
        <w:rPr>
          <w:rFonts w:eastAsia="Times New Roman" w:cs="Times New Roman"/>
          <w:b/>
          <w:bCs/>
          <w:rtl/>
          <w:lang w:eastAsia="de-DE"/>
        </w:rPr>
        <w:t>הוא</w:t>
      </w:r>
      <w:r w:rsidRPr="009A13B9">
        <w:rPr>
          <w:rFonts w:eastAsia="Times New Roman" w:cs="Times New Roman"/>
          <w:lang w:eastAsia="de-DE"/>
        </w:rPr>
        <w:t>.</w:t>
      </w:r>
    </w:p>
    <w:p w14:paraId="6C1059A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כהות לבנת</w:t>
      </w:r>
      <w:r w:rsidRPr="009A13B9">
        <w:rPr>
          <w:rFonts w:eastAsia="Times New Roman" w:cs="Times New Roman"/>
          <w:rtl/>
          <w:lang w:eastAsia="de-DE"/>
        </w:rPr>
        <w:t xml:space="preserve"> </w:t>
      </w:r>
      <w:r w:rsidRPr="009A13B9">
        <w:rPr>
          <w:rFonts w:eastAsia="Times New Roman" w:cs="Times New Roman"/>
          <w:lang w:eastAsia="de-DE"/>
        </w:rPr>
        <w:t xml:space="preserve">(dunkle weiße) als diagnostisches Kriterium - gedämpfte statt leuchtende Weißfärbung unterscheidet </w:t>
      </w:r>
      <w:r w:rsidRPr="009A13B9">
        <w:rPr>
          <w:rFonts w:eastAsia="Times New Roman" w:cs="Times New Roman"/>
          <w:b/>
          <w:bCs/>
          <w:rtl/>
          <w:lang w:eastAsia="de-DE"/>
        </w:rPr>
        <w:t>בהק</w:t>
      </w:r>
      <w:r w:rsidRPr="009A13B9">
        <w:rPr>
          <w:rFonts w:eastAsia="Times New Roman" w:cs="Times New Roman"/>
          <w:rtl/>
          <w:lang w:eastAsia="de-DE"/>
        </w:rPr>
        <w:t xml:space="preserve"> </w:t>
      </w:r>
      <w:r w:rsidRPr="009A13B9">
        <w:rPr>
          <w:rFonts w:eastAsia="Times New Roman" w:cs="Times New Roman"/>
          <w:lang w:eastAsia="de-DE"/>
        </w:rPr>
        <w:t xml:space="preserve">von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בהק</w:t>
      </w:r>
      <w:r w:rsidRPr="009A13B9">
        <w:rPr>
          <w:rFonts w:eastAsia="Times New Roman" w:cs="Times New Roman"/>
          <w:rtl/>
          <w:lang w:eastAsia="de-DE"/>
        </w:rPr>
        <w:t xml:space="preserve"> </w:t>
      </w:r>
      <w:r w:rsidRPr="009A13B9">
        <w:rPr>
          <w:rFonts w:eastAsia="Times New Roman" w:cs="Times New Roman"/>
          <w:lang w:eastAsia="de-DE"/>
        </w:rPr>
        <w:t xml:space="preserve">als medizinischer Terminus für harmlose Depigmentierung.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zeigt sofortige Reinheitserklärung ohne Quarantäne.</w:t>
      </w:r>
    </w:p>
    <w:p w14:paraId="4A4D3696" w14:textId="0019ED5F"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identifiziert </w:t>
      </w:r>
      <w:r w:rsidR="007660B2">
        <w:rPr>
          <w:rtl/>
        </w:rPr>
        <w:t>בהק</w:t>
      </w:r>
      <w:r w:rsidR="007660B2">
        <w:t xml:space="preserve"> (</w:t>
      </w:r>
      <w:proofErr w:type="spellStart"/>
      <w:r w:rsidR="007660B2">
        <w:t>bohaq</w:t>
      </w:r>
      <w:proofErr w:type="spellEnd"/>
      <w:r w:rsidR="007660B2">
        <w:t xml:space="preserve"> - eine spezielle Hauterkrankung) als </w:t>
      </w:r>
      <w:proofErr w:type="spellStart"/>
      <w:r w:rsidR="007660B2">
        <w:t>ἀλφός</w:t>
      </w:r>
      <w:proofErr w:type="spellEnd"/>
      <w:r w:rsidR="007660B2">
        <w:t>, was im Griechischen eine bekannte, harmlose Hautverfärbung bezeichnet.</w:t>
      </w:r>
    </w:p>
    <w:p w14:paraId="0F33F25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sofortige harmlose Diagnose: priesterliche Untersuchung + charakteristische Erscheinung + harmlose Diagnose + Entstehungsangabe + Reinheitsaussage. Die Struktur zeigt einfache Differentialdiagnose.</w:t>
      </w:r>
    </w:p>
    <w:p w14:paraId="56E4788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etabliert </w:t>
      </w:r>
      <w:r w:rsidRPr="009A13B9">
        <w:rPr>
          <w:rFonts w:eastAsia="Times New Roman" w:cs="Times New Roman"/>
          <w:b/>
          <w:bCs/>
          <w:rtl/>
          <w:lang w:eastAsia="de-DE"/>
        </w:rPr>
        <w:t>בהק</w:t>
      </w:r>
      <w:r w:rsidRPr="009A13B9">
        <w:rPr>
          <w:rFonts w:eastAsia="Times New Roman" w:cs="Times New Roman"/>
          <w:rtl/>
          <w:lang w:eastAsia="de-DE"/>
        </w:rPr>
        <w:t xml:space="preserve"> </w:t>
      </w:r>
      <w:r w:rsidRPr="009A13B9">
        <w:rPr>
          <w:rFonts w:eastAsia="Times New Roman" w:cs="Times New Roman"/>
          <w:lang w:eastAsia="de-DE"/>
        </w:rPr>
        <w:t>als harmlose weiße Flecken mit sofortiger Reinheitserklärung, unterschieden durch gedämpfte Weißfärbung.</w:t>
      </w:r>
    </w:p>
    <w:p w14:paraId="15F1929D"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13,40</w:t>
      </w:r>
    </w:p>
    <w:p w14:paraId="6F925F4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וְאִ֕ישׁ כִּ֥י יִמָּרֵ֖ט רֹאשֹׁ֑ו קֵרֵ֥חַ ה֖וּא טָה֥וֹר הֽוּא׃</w:t>
      </w:r>
    </w:p>
    <w:p w14:paraId="5D5D591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einem Mann das Haupthaar ausfällt, ist er kahlköpfig: er ist rein.</w:t>
      </w:r>
    </w:p>
    <w:p w14:paraId="612FB9C5"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1C13D4F">
          <v:rect id="_x0000_i1371" style="width:0;height:1.5pt" o:hralign="center" o:hrstd="t" o:hr="t" fillcolor="#a0a0a0" stroked="f"/>
        </w:pict>
      </w:r>
    </w:p>
    <w:p w14:paraId="7EF6A26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ואיש כי ימרט ראשו קרח הוא טהור הוא</w:t>
      </w:r>
      <w:r w:rsidRPr="009A13B9">
        <w:rPr>
          <w:rFonts w:eastAsia="Times New Roman" w:cs="Times New Roman"/>
          <w:rtl/>
          <w:lang w:eastAsia="de-DE"/>
        </w:rPr>
        <w:t xml:space="preserve"> </w:t>
      </w:r>
      <w:r w:rsidRPr="009A13B9">
        <w:rPr>
          <w:rFonts w:eastAsia="Times New Roman" w:cs="Times New Roman"/>
          <w:lang w:eastAsia="de-DE"/>
        </w:rPr>
        <w:t xml:space="preserve">regelt natürliche Kahlheit. </w:t>
      </w:r>
      <w:r w:rsidRPr="009A13B9">
        <w:rPr>
          <w:rFonts w:eastAsia="Times New Roman" w:cs="Times New Roman"/>
          <w:b/>
          <w:bCs/>
          <w:rtl/>
          <w:lang w:eastAsia="de-DE"/>
        </w:rPr>
        <w:t>ואיש כי ימרט ראשו</w:t>
      </w:r>
      <w:r w:rsidRPr="009A13B9">
        <w:rPr>
          <w:rFonts w:eastAsia="Times New Roman" w:cs="Times New Roman"/>
          <w:rtl/>
          <w:lang w:eastAsia="de-DE"/>
        </w:rPr>
        <w:t xml:space="preserve"> </w:t>
      </w:r>
      <w:r w:rsidRPr="009A13B9">
        <w:rPr>
          <w:rFonts w:eastAsia="Times New Roman" w:cs="Times New Roman"/>
          <w:lang w:eastAsia="de-DE"/>
        </w:rPr>
        <w:t xml:space="preserve">(und wenn einem Mann das Haupthaar ausfällt) - </w:t>
      </w:r>
      <w:r w:rsidRPr="009A13B9">
        <w:rPr>
          <w:rFonts w:eastAsia="Times New Roman" w:cs="Times New Roman"/>
          <w:b/>
          <w:bCs/>
          <w:rtl/>
          <w:lang w:eastAsia="de-DE"/>
        </w:rPr>
        <w:t>ימרט</w:t>
      </w:r>
      <w:r w:rsidRPr="009A13B9">
        <w:rPr>
          <w:rFonts w:eastAsia="Times New Roman" w:cs="Times New Roman"/>
          <w:rtl/>
          <w:lang w:eastAsia="de-DE"/>
        </w:rPr>
        <w:t xml:space="preserve"> </w:t>
      </w:r>
      <w:r w:rsidRPr="009A13B9">
        <w:rPr>
          <w:rFonts w:eastAsia="Times New Roman" w:cs="Times New Roman"/>
          <w:lang w:eastAsia="de-DE"/>
        </w:rPr>
        <w:t xml:space="preserve">(ausfällt) im Nifal-Imperfekt von </w:t>
      </w:r>
      <w:r w:rsidRPr="009A13B9">
        <w:rPr>
          <w:rFonts w:eastAsia="Times New Roman" w:cs="Times New Roman"/>
          <w:b/>
          <w:bCs/>
          <w:rtl/>
          <w:lang w:eastAsia="de-DE"/>
        </w:rPr>
        <w:t>מרט</w:t>
      </w:r>
      <w:r w:rsidRPr="009A13B9">
        <w:rPr>
          <w:rFonts w:eastAsia="Times New Roman" w:cs="Times New Roman"/>
          <w:rtl/>
          <w:lang w:eastAsia="de-DE"/>
        </w:rPr>
        <w:t xml:space="preserve"> </w:t>
      </w:r>
      <w:r w:rsidRPr="009A13B9">
        <w:rPr>
          <w:rFonts w:eastAsia="Times New Roman" w:cs="Times New Roman"/>
          <w:lang w:eastAsia="de-DE"/>
        </w:rPr>
        <w:t xml:space="preserve">(ausreißen/ausfallen), </w:t>
      </w:r>
      <w:r w:rsidRPr="009A13B9">
        <w:rPr>
          <w:rFonts w:eastAsia="Times New Roman" w:cs="Times New Roman"/>
          <w:b/>
          <w:bCs/>
          <w:rtl/>
          <w:lang w:eastAsia="de-DE"/>
        </w:rPr>
        <w:t>ראשו</w:t>
      </w:r>
      <w:r w:rsidRPr="009A13B9">
        <w:rPr>
          <w:rFonts w:eastAsia="Times New Roman" w:cs="Times New Roman"/>
          <w:rtl/>
          <w:lang w:eastAsia="de-DE"/>
        </w:rPr>
        <w:t xml:space="preserve"> </w:t>
      </w:r>
      <w:r w:rsidRPr="009A13B9">
        <w:rPr>
          <w:rFonts w:eastAsia="Times New Roman" w:cs="Times New Roman"/>
          <w:lang w:eastAsia="de-DE"/>
        </w:rPr>
        <w:t xml:space="preserve">(sein Haupthaar). </w:t>
      </w:r>
      <w:r w:rsidRPr="009A13B9">
        <w:rPr>
          <w:rFonts w:eastAsia="Times New Roman" w:cs="Times New Roman"/>
          <w:b/>
          <w:bCs/>
          <w:rtl/>
          <w:lang w:eastAsia="de-DE"/>
        </w:rPr>
        <w:t>קרח הוא טהור הוא</w:t>
      </w:r>
      <w:r w:rsidRPr="009A13B9">
        <w:rPr>
          <w:rFonts w:eastAsia="Times New Roman" w:cs="Times New Roman"/>
          <w:rtl/>
          <w:lang w:eastAsia="de-DE"/>
        </w:rPr>
        <w:t xml:space="preserve"> </w:t>
      </w:r>
      <w:r w:rsidRPr="009A13B9">
        <w:rPr>
          <w:rFonts w:eastAsia="Times New Roman" w:cs="Times New Roman"/>
          <w:lang w:eastAsia="de-DE"/>
        </w:rPr>
        <w:t xml:space="preserve">(kahlköpfig ist er, rein ist er) -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 xml:space="preserve">(kahlköpfig) als neutraler Begriff,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 xml:space="preserve">mit emphatischem </w:t>
      </w:r>
      <w:r w:rsidRPr="009A13B9">
        <w:rPr>
          <w:rFonts w:eastAsia="Times New Roman" w:cs="Times New Roman"/>
          <w:b/>
          <w:bCs/>
          <w:rtl/>
          <w:lang w:eastAsia="de-DE"/>
        </w:rPr>
        <w:t>הוא</w:t>
      </w:r>
      <w:r w:rsidRPr="009A13B9">
        <w:rPr>
          <w:rFonts w:eastAsia="Times New Roman" w:cs="Times New Roman"/>
          <w:lang w:eastAsia="de-DE"/>
        </w:rPr>
        <w:t>.</w:t>
      </w:r>
    </w:p>
    <w:p w14:paraId="56C1B34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ימרט ראשו</w:t>
      </w:r>
      <w:r w:rsidRPr="009A13B9">
        <w:rPr>
          <w:rFonts w:eastAsia="Times New Roman" w:cs="Times New Roman"/>
          <w:rtl/>
          <w:lang w:eastAsia="de-DE"/>
        </w:rPr>
        <w:t xml:space="preserve"> </w:t>
      </w:r>
      <w:r w:rsidRPr="009A13B9">
        <w:rPr>
          <w:rFonts w:eastAsia="Times New Roman" w:cs="Times New Roman"/>
          <w:lang w:eastAsia="de-DE"/>
        </w:rPr>
        <w:t xml:space="preserve">beschreibt natürlichen Haarausfall.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 xml:space="preserve">als medizinisch-beschreibender Begriff ohne negative Konnotation.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stellt klar, dass natürliche Kahlheit keine Unreinheit bedeutet.</w:t>
      </w:r>
    </w:p>
    <w:p w14:paraId="6007342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LXX</w:t>
      </w:r>
      <w:r w:rsidRPr="009A13B9">
        <w:rPr>
          <w:rFonts w:eastAsia="Times New Roman" w:cs="Times New Roman"/>
          <w:lang w:eastAsia="de-DE"/>
        </w:rPr>
        <w:t xml:space="preserve"> übersetzt </w:t>
      </w:r>
      <w:r w:rsidRPr="009A13B9">
        <w:rPr>
          <w:rFonts w:eastAsia="Times New Roman" w:cs="Times New Roman"/>
          <w:b/>
          <w:bCs/>
          <w:rtl/>
          <w:lang w:eastAsia="de-DE"/>
        </w:rPr>
        <w:t>ימרט</w:t>
      </w:r>
      <w:r w:rsidRPr="009A13B9">
        <w:rPr>
          <w:rFonts w:eastAsia="Times New Roman" w:cs="Times New Roman"/>
          <w:rtl/>
          <w:lang w:eastAsia="de-DE"/>
        </w:rPr>
        <w:t xml:space="preserve"> </w:t>
      </w:r>
      <w:r w:rsidRPr="009A13B9">
        <w:rPr>
          <w:rFonts w:eastAsia="Times New Roman" w:cs="Times New Roman"/>
          <w:lang w:eastAsia="de-DE"/>
        </w:rPr>
        <w:t>mit μα</w:t>
      </w:r>
      <w:proofErr w:type="spellStart"/>
      <w:r w:rsidRPr="009A13B9">
        <w:rPr>
          <w:rFonts w:eastAsia="Times New Roman" w:cs="Times New Roman"/>
          <w:lang w:eastAsia="de-DE"/>
        </w:rPr>
        <w:t>δήσῃ</w:t>
      </w:r>
      <w:proofErr w:type="spellEnd"/>
      <w:r w:rsidRPr="009A13B9">
        <w:rPr>
          <w:rFonts w:eastAsia="Times New Roman" w:cs="Times New Roman"/>
          <w:lang w:eastAsia="de-DE"/>
        </w:rPr>
        <w:t xml:space="preserve"> (ausfällt),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mit φαλα</w:t>
      </w:r>
      <w:proofErr w:type="spellStart"/>
      <w:r w:rsidRPr="009A13B9">
        <w:rPr>
          <w:rFonts w:eastAsia="Times New Roman" w:cs="Times New Roman"/>
          <w:lang w:eastAsia="de-DE"/>
        </w:rPr>
        <w:t>κρός</w:t>
      </w:r>
      <w:proofErr w:type="spellEnd"/>
      <w:r w:rsidRPr="009A13B9">
        <w:rPr>
          <w:rFonts w:eastAsia="Times New Roman" w:cs="Times New Roman"/>
          <w:lang w:eastAsia="de-DE"/>
        </w:rPr>
        <w:t xml:space="preserve"> (kahl) und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ρός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ἐστιν</w:t>
      </w:r>
      <w:proofErr w:type="spellEnd"/>
      <w:r w:rsidRPr="009A13B9">
        <w:rPr>
          <w:rFonts w:eastAsia="Times New Roman" w:cs="Times New Roman"/>
          <w:lang w:eastAsia="de-DE"/>
        </w:rPr>
        <w:t xml:space="preserve"> (rein ist er).</w:t>
      </w:r>
    </w:p>
    <w:p w14:paraId="0F68D76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einfache Klassifikation: Konditionalsatz + deskriptive Klassifikation + Reinheitsaussage. Die knappe Struktur zeigt die Selbstverständlichkeit der Reinheit.</w:t>
      </w:r>
    </w:p>
    <w:p w14:paraId="441D0B7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stellt klar, dass natürliche männliche Kahlheit als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(kahlköpfig) klassifiziert und als rein betrachtet wird.</w:t>
      </w:r>
    </w:p>
    <w:p w14:paraId="294EE8FF"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13,41</w:t>
      </w:r>
    </w:p>
    <w:p w14:paraId="534D3AA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 מִפְּאַ֣ת פָּנָ֔יו יִמָּרֵ֖ט רֹאשֹׁ֑ו גִּבֵּ֥חַ ה֖וּא טָה֥וֹר הֽוּא׃</w:t>
      </w:r>
    </w:p>
    <w:p w14:paraId="54D0057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ihm das Haupthaar von der Seite seines Angesichts ausfällt, so ist er stirnkahl: er ist rein.</w:t>
      </w:r>
    </w:p>
    <w:p w14:paraId="4B6E762E"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D599E0B">
          <v:rect id="_x0000_i1372" style="width:0;height:1.5pt" o:hralign="center" o:hrstd="t" o:hr="t" fillcolor="#a0a0a0" stroked="f"/>
        </w:pict>
      </w:r>
    </w:p>
    <w:p w14:paraId="67B8954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 מפאת פניו ימרט ראשו גבח הוא טהור הוא</w:t>
      </w:r>
      <w:r w:rsidRPr="009A13B9">
        <w:rPr>
          <w:rFonts w:eastAsia="Times New Roman" w:cs="Times New Roman"/>
          <w:rtl/>
          <w:lang w:eastAsia="de-DE"/>
        </w:rPr>
        <w:t xml:space="preserve"> </w:t>
      </w:r>
      <w:r w:rsidRPr="009A13B9">
        <w:rPr>
          <w:rFonts w:eastAsia="Times New Roman" w:cs="Times New Roman"/>
          <w:lang w:eastAsia="de-DE"/>
        </w:rPr>
        <w:t xml:space="preserve">spezifiziert frontale Kahlheit. </w:t>
      </w:r>
      <w:r w:rsidRPr="009A13B9">
        <w:rPr>
          <w:rFonts w:eastAsia="Times New Roman" w:cs="Times New Roman"/>
          <w:b/>
          <w:bCs/>
          <w:rtl/>
          <w:lang w:eastAsia="de-DE"/>
        </w:rPr>
        <w:t>ואם מפאת פניו ימרט ראשו</w:t>
      </w:r>
      <w:r w:rsidRPr="009A13B9">
        <w:rPr>
          <w:rFonts w:eastAsia="Times New Roman" w:cs="Times New Roman"/>
          <w:rtl/>
          <w:lang w:eastAsia="de-DE"/>
        </w:rPr>
        <w:t xml:space="preserve"> </w:t>
      </w:r>
      <w:r w:rsidRPr="009A13B9">
        <w:rPr>
          <w:rFonts w:eastAsia="Times New Roman" w:cs="Times New Roman"/>
          <w:lang w:eastAsia="de-DE"/>
        </w:rPr>
        <w:t xml:space="preserve">(und wenn von der Seite seines Angesichts das Haupthaar ausfällt) - </w:t>
      </w:r>
      <w:r w:rsidRPr="009A13B9">
        <w:rPr>
          <w:rFonts w:eastAsia="Times New Roman" w:cs="Times New Roman"/>
          <w:b/>
          <w:bCs/>
          <w:rtl/>
          <w:lang w:eastAsia="de-DE"/>
        </w:rPr>
        <w:t>מפאת פניו</w:t>
      </w:r>
      <w:r w:rsidRPr="009A13B9">
        <w:rPr>
          <w:rFonts w:eastAsia="Times New Roman" w:cs="Times New Roman"/>
          <w:rtl/>
          <w:lang w:eastAsia="de-DE"/>
        </w:rPr>
        <w:t xml:space="preserve"> </w:t>
      </w:r>
      <w:r w:rsidRPr="009A13B9">
        <w:rPr>
          <w:rFonts w:eastAsia="Times New Roman" w:cs="Times New Roman"/>
          <w:lang w:eastAsia="de-DE"/>
        </w:rPr>
        <w:t xml:space="preserve">(von der Seite seines Angesichts) spezifiziert frontalen Haarausfall, </w:t>
      </w:r>
      <w:r w:rsidRPr="009A13B9">
        <w:rPr>
          <w:rFonts w:eastAsia="Times New Roman" w:cs="Times New Roman"/>
          <w:b/>
          <w:bCs/>
          <w:rtl/>
          <w:lang w:eastAsia="de-DE"/>
        </w:rPr>
        <w:t>ימרט ראשו</w:t>
      </w:r>
      <w:r w:rsidRPr="009A13B9">
        <w:rPr>
          <w:rFonts w:eastAsia="Times New Roman" w:cs="Times New Roman"/>
          <w:rtl/>
          <w:lang w:eastAsia="de-DE"/>
        </w:rPr>
        <w:t xml:space="preserve"> </w:t>
      </w:r>
      <w:r w:rsidRPr="009A13B9">
        <w:rPr>
          <w:rFonts w:eastAsia="Times New Roman" w:cs="Times New Roman"/>
          <w:lang w:eastAsia="de-DE"/>
        </w:rPr>
        <w:t xml:space="preserve">entspricht V. 40. </w:t>
      </w:r>
      <w:r w:rsidRPr="009A13B9">
        <w:rPr>
          <w:rFonts w:eastAsia="Times New Roman" w:cs="Times New Roman"/>
          <w:b/>
          <w:bCs/>
          <w:rtl/>
          <w:lang w:eastAsia="de-DE"/>
        </w:rPr>
        <w:t>גבח הוא טהור הוא</w:t>
      </w:r>
      <w:r w:rsidRPr="009A13B9">
        <w:rPr>
          <w:rFonts w:eastAsia="Times New Roman" w:cs="Times New Roman"/>
          <w:rtl/>
          <w:lang w:eastAsia="de-DE"/>
        </w:rPr>
        <w:t xml:space="preserve"> </w:t>
      </w:r>
      <w:r w:rsidRPr="009A13B9">
        <w:rPr>
          <w:rFonts w:eastAsia="Times New Roman" w:cs="Times New Roman"/>
          <w:lang w:eastAsia="de-DE"/>
        </w:rPr>
        <w:t xml:space="preserve">(stirnkahl ist er, rein ist er) - </w:t>
      </w:r>
      <w:r w:rsidRPr="009A13B9">
        <w:rPr>
          <w:rFonts w:eastAsia="Times New Roman" w:cs="Times New Roman"/>
          <w:b/>
          <w:bCs/>
          <w:rtl/>
          <w:lang w:eastAsia="de-DE"/>
        </w:rPr>
        <w:t>גבח</w:t>
      </w:r>
      <w:r w:rsidRPr="009A13B9">
        <w:rPr>
          <w:rFonts w:eastAsia="Times New Roman" w:cs="Times New Roman"/>
          <w:rtl/>
          <w:lang w:eastAsia="de-DE"/>
        </w:rPr>
        <w:t xml:space="preserve"> </w:t>
      </w:r>
      <w:r w:rsidRPr="009A13B9">
        <w:rPr>
          <w:rFonts w:eastAsia="Times New Roman" w:cs="Times New Roman"/>
          <w:lang w:eastAsia="de-DE"/>
        </w:rPr>
        <w:t>(stirnkahl) als spezifischer Begriff für frontale Kahlheit.</w:t>
      </w:r>
    </w:p>
    <w:p w14:paraId="2F43CB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מפאת פניו</w:t>
      </w:r>
      <w:r w:rsidRPr="009A13B9">
        <w:rPr>
          <w:rFonts w:eastAsia="Times New Roman" w:cs="Times New Roman"/>
          <w:rtl/>
          <w:lang w:eastAsia="de-DE"/>
        </w:rPr>
        <w:t xml:space="preserve"> </w:t>
      </w:r>
      <w:r w:rsidRPr="009A13B9">
        <w:rPr>
          <w:rFonts w:eastAsia="Times New Roman" w:cs="Times New Roman"/>
          <w:lang w:eastAsia="de-DE"/>
        </w:rPr>
        <w:t xml:space="preserve">zeigt Haarausfall im Stirnbereich. </w:t>
      </w:r>
      <w:r w:rsidRPr="009A13B9">
        <w:rPr>
          <w:rFonts w:eastAsia="Times New Roman" w:cs="Times New Roman"/>
          <w:b/>
          <w:bCs/>
          <w:rtl/>
          <w:lang w:eastAsia="de-DE"/>
        </w:rPr>
        <w:t>גבח</w:t>
      </w:r>
      <w:r w:rsidRPr="009A13B9">
        <w:rPr>
          <w:rFonts w:eastAsia="Times New Roman" w:cs="Times New Roman"/>
          <w:rtl/>
          <w:lang w:eastAsia="de-DE"/>
        </w:rPr>
        <w:t xml:space="preserve"> </w:t>
      </w:r>
      <w:r w:rsidRPr="009A13B9">
        <w:rPr>
          <w:rFonts w:eastAsia="Times New Roman" w:cs="Times New Roman"/>
          <w:lang w:eastAsia="de-DE"/>
        </w:rPr>
        <w:t xml:space="preserve">im Unterschied zu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 xml:space="preserve">spezifiziert die Art der Kahlheit. </w:t>
      </w:r>
      <w:r w:rsidRPr="009A13B9">
        <w:rPr>
          <w:rFonts w:eastAsia="Times New Roman" w:cs="Times New Roman"/>
          <w:b/>
          <w:bCs/>
          <w:rtl/>
          <w:lang w:eastAsia="de-DE"/>
        </w:rPr>
        <w:t>טהור הוא</w:t>
      </w:r>
      <w:r w:rsidRPr="009A13B9">
        <w:rPr>
          <w:rFonts w:eastAsia="Times New Roman" w:cs="Times New Roman"/>
          <w:rtl/>
          <w:lang w:eastAsia="de-DE"/>
        </w:rPr>
        <w:t xml:space="preserve"> </w:t>
      </w:r>
      <w:r w:rsidRPr="009A13B9">
        <w:rPr>
          <w:rFonts w:eastAsia="Times New Roman" w:cs="Times New Roman"/>
          <w:lang w:eastAsia="de-DE"/>
        </w:rPr>
        <w:t>wiederholt die Reinheitsaussage aus V. 40.</w:t>
      </w:r>
    </w:p>
    <w:p w14:paraId="56E0712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מפאת פניו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ἐκ</w:t>
      </w:r>
      <w:proofErr w:type="spellEnd"/>
      <w:r w:rsidRPr="009A13B9">
        <w:rPr>
          <w:rFonts w:eastAsia="Times New Roman" w:cs="Times New Roman"/>
          <w:lang w:eastAsia="de-DE"/>
        </w:rPr>
        <w:t xml:space="preserve"> π</w:t>
      </w:r>
      <w:proofErr w:type="spellStart"/>
      <w:r w:rsidRPr="009A13B9">
        <w:rPr>
          <w:rFonts w:eastAsia="Times New Roman" w:cs="Times New Roman"/>
          <w:lang w:eastAsia="de-DE"/>
        </w:rPr>
        <w:t>ροσώ</w:t>
      </w:r>
      <w:proofErr w:type="spellEnd"/>
      <w:r w:rsidRPr="009A13B9">
        <w:rPr>
          <w:rFonts w:eastAsia="Times New Roman" w:cs="Times New Roman"/>
          <w:lang w:eastAsia="de-DE"/>
        </w:rPr>
        <w:t>που α</w:t>
      </w:r>
      <w:proofErr w:type="spellStart"/>
      <w:r w:rsidRPr="009A13B9">
        <w:rPr>
          <w:rFonts w:eastAsia="Times New Roman" w:cs="Times New Roman"/>
          <w:lang w:eastAsia="de-DE"/>
        </w:rPr>
        <w:t>ὐτοῦ</w:t>
      </w:r>
      <w:proofErr w:type="spellEnd"/>
      <w:r w:rsidRPr="009A13B9">
        <w:rPr>
          <w:rFonts w:eastAsia="Times New Roman" w:cs="Times New Roman"/>
          <w:lang w:eastAsia="de-DE"/>
        </w:rPr>
        <w:t xml:space="preserve"> (von seinem Angesicht) und </w:t>
      </w:r>
      <w:r w:rsidRPr="009A13B9">
        <w:rPr>
          <w:rFonts w:eastAsia="Times New Roman" w:cs="Times New Roman"/>
          <w:b/>
          <w:bCs/>
          <w:rtl/>
          <w:lang w:eastAsia="de-DE"/>
        </w:rPr>
        <w:t>גבח</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ἀν</w:t>
      </w:r>
      <w:proofErr w:type="spellEnd"/>
      <w:r w:rsidRPr="009A13B9">
        <w:rPr>
          <w:rFonts w:eastAsia="Times New Roman" w:cs="Times New Roman"/>
          <w:lang w:eastAsia="de-DE"/>
        </w:rPr>
        <w:t>αφάλαντος (kahlstirnig).</w:t>
      </w:r>
    </w:p>
    <w:p w14:paraId="7B630EA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entspricht V. 40: Konditionalsatz mit lokaler Spezifikation + deskriptive Klassifikation + Reinheitsaussage. Die parallele Struktur zeigt systematische Behandlung verschiedener Kahlheitsarten.</w:t>
      </w:r>
    </w:p>
    <w:p w14:paraId="22373E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ergänzt V. 40 um frontale Kahlheit als </w:t>
      </w:r>
      <w:r w:rsidRPr="009A13B9">
        <w:rPr>
          <w:rFonts w:eastAsia="Times New Roman" w:cs="Times New Roman"/>
          <w:b/>
          <w:bCs/>
          <w:rtl/>
          <w:lang w:eastAsia="de-DE"/>
        </w:rPr>
        <w:t>גבח</w:t>
      </w:r>
      <w:r w:rsidRPr="009A13B9">
        <w:rPr>
          <w:rFonts w:eastAsia="Times New Roman" w:cs="Times New Roman"/>
          <w:rtl/>
          <w:lang w:eastAsia="de-DE"/>
        </w:rPr>
        <w:t xml:space="preserve"> </w:t>
      </w:r>
      <w:r w:rsidRPr="009A13B9">
        <w:rPr>
          <w:rFonts w:eastAsia="Times New Roman" w:cs="Times New Roman"/>
          <w:lang w:eastAsia="de-DE"/>
        </w:rPr>
        <w:t>(stirnkahl) mit derselben Reinheitsbeurteilung.</w:t>
      </w:r>
    </w:p>
    <w:p w14:paraId="3C5315C4"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13,42</w:t>
      </w:r>
    </w:p>
    <w:p w14:paraId="5A76D2C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וְכִֽי־יִהְיֶ֤ה בַקָּרַ֨חַת֙ א֣וֹ בַגַּבַּ֔חַת נֶ֖גַע לָבָ֣ן אֲדַמְדָּ֑ם צָרַ֤עַת פֹּרַ֨חַת֙ הִ֔וא בְּקָרַחְתּוֹ֖ א֥וֹ בְגַבַּחְתּוֹֽ׃</w:t>
      </w:r>
    </w:p>
    <w:p w14:paraId="1B80D63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an der Kahlkopfglatze oder an der Stirnglatze ein weißrötliches Mal ist, so ist es Aussatz, der an seiner Kahlkopfglatze oder an seiner Stirnglatze ausgebrochen ist.</w:t>
      </w:r>
    </w:p>
    <w:p w14:paraId="38A6BF1E"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210FB7E">
          <v:rect id="_x0000_i1373" style="width:0;height:1.5pt" o:hralign="center" o:hrstd="t" o:hr="t" fillcolor="#a0a0a0" stroked="f"/>
        </w:pict>
      </w:r>
    </w:p>
    <w:p w14:paraId="6FFEB22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וכי־יהיה בקרחת או בגבחת נגע לבן אדמדם</w:t>
      </w:r>
      <w:r w:rsidRPr="009A13B9">
        <w:rPr>
          <w:rFonts w:eastAsia="Times New Roman" w:cs="Times New Roman"/>
          <w:rtl/>
          <w:lang w:eastAsia="de-DE"/>
        </w:rPr>
        <w:t xml:space="preserve"> </w:t>
      </w:r>
      <w:r w:rsidRPr="009A13B9">
        <w:rPr>
          <w:rFonts w:eastAsia="Times New Roman" w:cs="Times New Roman"/>
          <w:lang w:eastAsia="de-DE"/>
        </w:rPr>
        <w:t xml:space="preserve">zeigt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in Kahlheitsstellen. </w:t>
      </w:r>
      <w:r w:rsidRPr="009A13B9">
        <w:rPr>
          <w:rFonts w:eastAsia="Times New Roman" w:cs="Times New Roman"/>
          <w:b/>
          <w:bCs/>
          <w:rtl/>
          <w:lang w:eastAsia="de-DE"/>
        </w:rPr>
        <w:t>וכי־יהיה בקרחת או בגבחת</w:t>
      </w:r>
      <w:r w:rsidRPr="009A13B9">
        <w:rPr>
          <w:rFonts w:eastAsia="Times New Roman" w:cs="Times New Roman"/>
          <w:rtl/>
          <w:lang w:eastAsia="de-DE"/>
        </w:rPr>
        <w:t xml:space="preserve"> </w:t>
      </w:r>
      <w:r w:rsidRPr="009A13B9">
        <w:rPr>
          <w:rFonts w:eastAsia="Times New Roman" w:cs="Times New Roman"/>
          <w:lang w:eastAsia="de-DE"/>
        </w:rPr>
        <w:t xml:space="preserve">(und wenn an der Kahlkopfglatze oder an der Stirnglatze ist) - </w:t>
      </w:r>
      <w:r w:rsidRPr="009A13B9">
        <w:rPr>
          <w:rFonts w:eastAsia="Times New Roman" w:cs="Times New Roman"/>
          <w:b/>
          <w:bCs/>
          <w:rtl/>
          <w:lang w:eastAsia="de-DE"/>
        </w:rPr>
        <w:t>בקרחת</w:t>
      </w:r>
      <w:r w:rsidRPr="009A13B9">
        <w:rPr>
          <w:rFonts w:eastAsia="Times New Roman" w:cs="Times New Roman"/>
          <w:rtl/>
          <w:lang w:eastAsia="de-DE"/>
        </w:rPr>
        <w:t xml:space="preserve"> </w:t>
      </w:r>
      <w:r w:rsidRPr="009A13B9">
        <w:rPr>
          <w:rFonts w:eastAsia="Times New Roman" w:cs="Times New Roman"/>
          <w:lang w:eastAsia="de-DE"/>
        </w:rPr>
        <w:t xml:space="preserve">(an der </w:t>
      </w:r>
      <w:r w:rsidRPr="009A13B9">
        <w:rPr>
          <w:rFonts w:eastAsia="Times New Roman" w:cs="Times New Roman"/>
          <w:lang w:eastAsia="de-DE"/>
        </w:rPr>
        <w:lastRenderedPageBreak/>
        <w:t xml:space="preserve">Kahlkopfglatze) von </w:t>
      </w:r>
      <w:r w:rsidRPr="009A13B9">
        <w:rPr>
          <w:rFonts w:eastAsia="Times New Roman" w:cs="Times New Roman"/>
          <w:b/>
          <w:bCs/>
          <w:rtl/>
          <w:lang w:eastAsia="de-DE"/>
        </w:rPr>
        <w:t>קרח</w:t>
      </w:r>
      <w:r w:rsidRPr="009A13B9">
        <w:rPr>
          <w:rFonts w:eastAsia="Times New Roman" w:cs="Times New Roman"/>
          <w:rtl/>
          <w:lang w:eastAsia="de-DE"/>
        </w:rPr>
        <w:t xml:space="preserve"> </w:t>
      </w:r>
      <w:r w:rsidRPr="009A13B9">
        <w:rPr>
          <w:rFonts w:eastAsia="Times New Roman" w:cs="Times New Roman"/>
          <w:lang w:eastAsia="de-DE"/>
        </w:rPr>
        <w:t xml:space="preserve">aus V. 40, </w:t>
      </w:r>
      <w:r w:rsidRPr="009A13B9">
        <w:rPr>
          <w:rFonts w:eastAsia="Times New Roman" w:cs="Times New Roman"/>
          <w:b/>
          <w:bCs/>
          <w:rtl/>
          <w:lang w:eastAsia="de-DE"/>
        </w:rPr>
        <w:t>בגבחת</w:t>
      </w:r>
      <w:r w:rsidRPr="009A13B9">
        <w:rPr>
          <w:rFonts w:eastAsia="Times New Roman" w:cs="Times New Roman"/>
          <w:rtl/>
          <w:lang w:eastAsia="de-DE"/>
        </w:rPr>
        <w:t xml:space="preserve"> </w:t>
      </w:r>
      <w:r w:rsidRPr="009A13B9">
        <w:rPr>
          <w:rFonts w:eastAsia="Times New Roman" w:cs="Times New Roman"/>
          <w:lang w:eastAsia="de-DE"/>
        </w:rPr>
        <w:t xml:space="preserve">(an der Stirnglatze) von </w:t>
      </w:r>
      <w:r w:rsidRPr="009A13B9">
        <w:rPr>
          <w:rFonts w:eastAsia="Times New Roman" w:cs="Times New Roman"/>
          <w:b/>
          <w:bCs/>
          <w:rtl/>
          <w:lang w:eastAsia="de-DE"/>
        </w:rPr>
        <w:t>גבח</w:t>
      </w:r>
      <w:r w:rsidRPr="009A13B9">
        <w:rPr>
          <w:rFonts w:eastAsia="Times New Roman" w:cs="Times New Roman"/>
          <w:rtl/>
          <w:lang w:eastAsia="de-DE"/>
        </w:rPr>
        <w:t xml:space="preserve"> </w:t>
      </w:r>
      <w:r w:rsidRPr="009A13B9">
        <w:rPr>
          <w:rFonts w:eastAsia="Times New Roman" w:cs="Times New Roman"/>
          <w:lang w:eastAsia="de-DE"/>
        </w:rPr>
        <w:t xml:space="preserve">aus V. 41. </w:t>
      </w:r>
      <w:r w:rsidRPr="009A13B9">
        <w:rPr>
          <w:rFonts w:eastAsia="Times New Roman" w:cs="Times New Roman"/>
          <w:b/>
          <w:bCs/>
          <w:rtl/>
          <w:lang w:eastAsia="de-DE"/>
        </w:rPr>
        <w:t>נגע לבן אדמדם</w:t>
      </w:r>
      <w:r w:rsidRPr="009A13B9">
        <w:rPr>
          <w:rFonts w:eastAsia="Times New Roman" w:cs="Times New Roman"/>
          <w:rtl/>
          <w:lang w:eastAsia="de-DE"/>
        </w:rPr>
        <w:t xml:space="preserve"> </w:t>
      </w:r>
      <w:r w:rsidRPr="009A13B9">
        <w:rPr>
          <w:rFonts w:eastAsia="Times New Roman" w:cs="Times New Roman"/>
          <w:lang w:eastAsia="de-DE"/>
        </w:rPr>
        <w:t>(ein weißrötliches Mal) entspricht V. 19, 24.</w:t>
      </w:r>
    </w:p>
    <w:p w14:paraId="190523E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צרעת פרחת הוא בקרחתו או בגבחתו</w:t>
      </w:r>
      <w:r w:rsidRPr="009A13B9">
        <w:rPr>
          <w:rFonts w:eastAsia="Times New Roman" w:cs="Times New Roman"/>
          <w:rtl/>
          <w:lang w:eastAsia="de-DE"/>
        </w:rPr>
        <w:t xml:space="preserve"> </w:t>
      </w:r>
      <w:r w:rsidRPr="009A13B9">
        <w:rPr>
          <w:rFonts w:eastAsia="Times New Roman" w:cs="Times New Roman"/>
          <w:lang w:eastAsia="de-DE"/>
        </w:rPr>
        <w:t xml:space="preserve">zeigt die </w:t>
      </w:r>
      <w:r w:rsidRPr="009A13B9">
        <w:rPr>
          <w:rFonts w:eastAsia="Times New Roman" w:cs="Times New Roman"/>
          <w:b/>
          <w:bCs/>
          <w:rtl/>
          <w:lang w:eastAsia="de-DE"/>
        </w:rPr>
        <w:t>צרעת</w:t>
      </w:r>
      <w:r w:rsidRPr="009A13B9">
        <w:rPr>
          <w:rFonts w:eastAsia="Times New Roman" w:cs="Times New Roman"/>
          <w:lang w:eastAsia="de-DE"/>
        </w:rPr>
        <w:t xml:space="preserve">-Diagnose. </w:t>
      </w:r>
      <w:r w:rsidRPr="009A13B9">
        <w:rPr>
          <w:rFonts w:eastAsia="Times New Roman" w:cs="Times New Roman"/>
          <w:b/>
          <w:bCs/>
          <w:rtl/>
          <w:lang w:eastAsia="de-DE"/>
        </w:rPr>
        <w:t>צרעת פרחת הוא</w:t>
      </w:r>
      <w:r w:rsidRPr="009A13B9">
        <w:rPr>
          <w:rFonts w:eastAsia="Times New Roman" w:cs="Times New Roman"/>
          <w:rtl/>
          <w:lang w:eastAsia="de-DE"/>
        </w:rPr>
        <w:t xml:space="preserve"> </w:t>
      </w:r>
      <w:r w:rsidRPr="009A13B9">
        <w:rPr>
          <w:rFonts w:eastAsia="Times New Roman" w:cs="Times New Roman"/>
          <w:lang w:eastAsia="de-DE"/>
        </w:rPr>
        <w:t xml:space="preserve">(ausbrechender Aussatz ist es) - </w:t>
      </w:r>
      <w:r w:rsidRPr="009A13B9">
        <w:rPr>
          <w:rFonts w:eastAsia="Times New Roman" w:cs="Times New Roman"/>
          <w:b/>
          <w:bCs/>
          <w:rtl/>
          <w:lang w:eastAsia="de-DE"/>
        </w:rPr>
        <w:t>פרחת</w:t>
      </w:r>
      <w:r w:rsidRPr="009A13B9">
        <w:rPr>
          <w:rFonts w:eastAsia="Times New Roman" w:cs="Times New Roman"/>
          <w:rtl/>
          <w:lang w:eastAsia="de-DE"/>
        </w:rPr>
        <w:t xml:space="preserve"> </w:t>
      </w:r>
      <w:r w:rsidRPr="009A13B9">
        <w:rPr>
          <w:rFonts w:eastAsia="Times New Roman" w:cs="Times New Roman"/>
          <w:lang w:eastAsia="de-DE"/>
        </w:rPr>
        <w:t xml:space="preserve">(ausbrechend) als feminin Partizip entsprechend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בקרחתו או בגבחתו</w:t>
      </w:r>
      <w:r w:rsidRPr="009A13B9">
        <w:rPr>
          <w:rFonts w:eastAsia="Times New Roman" w:cs="Times New Roman"/>
          <w:rtl/>
          <w:lang w:eastAsia="de-DE"/>
        </w:rPr>
        <w:t xml:space="preserve"> </w:t>
      </w:r>
      <w:r w:rsidRPr="009A13B9">
        <w:rPr>
          <w:rFonts w:eastAsia="Times New Roman" w:cs="Times New Roman"/>
          <w:lang w:eastAsia="de-DE"/>
        </w:rPr>
        <w:t>(an seiner Kahlkopfglatze oder an seiner Stirnglatze) mit Possessivsuffixen.</w:t>
      </w:r>
    </w:p>
    <w:p w14:paraId="753E8B6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נגע לבן אדמדם</w:t>
      </w:r>
      <w:r w:rsidRPr="009A13B9">
        <w:rPr>
          <w:rFonts w:eastAsia="Times New Roman" w:cs="Times New Roman"/>
          <w:rtl/>
          <w:lang w:eastAsia="de-DE"/>
        </w:rPr>
        <w:t xml:space="preserve"> </w:t>
      </w:r>
      <w:r w:rsidRPr="009A13B9">
        <w:rPr>
          <w:rFonts w:eastAsia="Times New Roman" w:cs="Times New Roman"/>
          <w:lang w:eastAsia="de-DE"/>
        </w:rPr>
        <w:t xml:space="preserve">in Kahlheitsstellen zeigt </w:t>
      </w:r>
      <w:r w:rsidRPr="009A13B9">
        <w:rPr>
          <w:rFonts w:eastAsia="Times New Roman" w:cs="Times New Roman"/>
          <w:b/>
          <w:bCs/>
          <w:rtl/>
          <w:lang w:eastAsia="de-DE"/>
        </w:rPr>
        <w:t>צרעת</w:t>
      </w:r>
      <w:r w:rsidRPr="009A13B9">
        <w:rPr>
          <w:rFonts w:eastAsia="Times New Roman" w:cs="Times New Roman"/>
          <w:lang w:eastAsia="de-DE"/>
        </w:rPr>
        <w:t xml:space="preserve">-Potential trotz natürlicher Kahlheit. </w:t>
      </w:r>
      <w:r w:rsidRPr="009A13B9">
        <w:rPr>
          <w:rFonts w:eastAsia="Times New Roman" w:cs="Times New Roman"/>
          <w:b/>
          <w:bCs/>
          <w:rtl/>
          <w:lang w:eastAsia="de-DE"/>
        </w:rPr>
        <w:t>צרעת פרחת</w:t>
      </w:r>
      <w:r w:rsidRPr="009A13B9">
        <w:rPr>
          <w:rFonts w:eastAsia="Times New Roman" w:cs="Times New Roman"/>
          <w:rtl/>
          <w:lang w:eastAsia="de-DE"/>
        </w:rPr>
        <w:t xml:space="preserve"> </w:t>
      </w:r>
      <w:r w:rsidRPr="009A13B9">
        <w:rPr>
          <w:rFonts w:eastAsia="Times New Roman" w:cs="Times New Roman"/>
          <w:lang w:eastAsia="de-DE"/>
        </w:rPr>
        <w:t xml:space="preserve">betont die aktive Ausbreitung. </w:t>
      </w:r>
      <w:r w:rsidRPr="009A13B9">
        <w:rPr>
          <w:rFonts w:eastAsia="Times New Roman" w:cs="Times New Roman"/>
          <w:b/>
          <w:bCs/>
          <w:rtl/>
          <w:lang w:eastAsia="de-DE"/>
        </w:rPr>
        <w:t>בקרחתו או בגבחתו</w:t>
      </w:r>
      <w:r w:rsidRPr="009A13B9">
        <w:rPr>
          <w:rFonts w:eastAsia="Times New Roman" w:cs="Times New Roman"/>
          <w:rtl/>
          <w:lang w:eastAsia="de-DE"/>
        </w:rPr>
        <w:t xml:space="preserve"> </w:t>
      </w:r>
      <w:r w:rsidRPr="009A13B9">
        <w:rPr>
          <w:rFonts w:eastAsia="Times New Roman" w:cs="Times New Roman"/>
          <w:lang w:eastAsia="de-DE"/>
        </w:rPr>
        <w:t>lokalisiert spezifisch in den kahlen Bereichen.</w:t>
      </w:r>
    </w:p>
    <w:p w14:paraId="7B77341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בקרחת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τῇ</w:t>
      </w:r>
      <w:proofErr w:type="spellEnd"/>
      <w:r w:rsidRPr="009A13B9">
        <w:rPr>
          <w:rFonts w:eastAsia="Times New Roman" w:cs="Times New Roman"/>
          <w:lang w:eastAsia="de-DE"/>
        </w:rPr>
        <w:t xml:space="preserve"> φαλα</w:t>
      </w:r>
      <w:proofErr w:type="spellStart"/>
      <w:r w:rsidRPr="009A13B9">
        <w:rPr>
          <w:rFonts w:eastAsia="Times New Roman" w:cs="Times New Roman"/>
          <w:lang w:eastAsia="de-DE"/>
        </w:rPr>
        <w:t>κρώσει</w:t>
      </w:r>
      <w:proofErr w:type="spellEnd"/>
      <w:r w:rsidRPr="009A13B9">
        <w:rPr>
          <w:rFonts w:eastAsia="Times New Roman" w:cs="Times New Roman"/>
          <w:lang w:eastAsia="de-DE"/>
        </w:rPr>
        <w:t xml:space="preserve"> (in der Kahlheit), </w:t>
      </w:r>
      <w:r w:rsidRPr="009A13B9">
        <w:rPr>
          <w:rFonts w:eastAsia="Times New Roman" w:cs="Times New Roman"/>
          <w:b/>
          <w:bCs/>
          <w:rtl/>
          <w:lang w:eastAsia="de-DE"/>
        </w:rPr>
        <w:t>בגבחת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τῇ</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ἀν</w:t>
      </w:r>
      <w:proofErr w:type="spellEnd"/>
      <w:r w:rsidRPr="009A13B9">
        <w:rPr>
          <w:rFonts w:eastAsia="Times New Roman" w:cs="Times New Roman"/>
          <w:lang w:eastAsia="de-DE"/>
        </w:rPr>
        <w:t xml:space="preserve">αφαλαντώσει (in der Stirnkahlheit) und </w:t>
      </w:r>
      <w:r w:rsidRPr="009A13B9">
        <w:rPr>
          <w:rFonts w:eastAsia="Times New Roman" w:cs="Times New Roman"/>
          <w:b/>
          <w:bCs/>
          <w:rtl/>
          <w:lang w:eastAsia="de-DE"/>
        </w:rPr>
        <w:t>פרחת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ἐξ</w:t>
      </w:r>
      <w:proofErr w:type="spellEnd"/>
      <w:r w:rsidRPr="009A13B9">
        <w:rPr>
          <w:rFonts w:eastAsia="Times New Roman" w:cs="Times New Roman"/>
          <w:lang w:eastAsia="de-DE"/>
        </w:rPr>
        <w:t>ανθοῦσα (aufblühend).</w:t>
      </w:r>
    </w:p>
    <w:p w14:paraId="2715C3B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trotz Kahlheit: Konditionalsatz mit zwei Lokalisationen + charakteristisches Mal + </w:t>
      </w:r>
      <w:r w:rsidRPr="009A13B9">
        <w:rPr>
          <w:rFonts w:eastAsia="Times New Roman" w:cs="Times New Roman"/>
          <w:b/>
          <w:bCs/>
          <w:rtl/>
          <w:lang w:eastAsia="de-DE"/>
        </w:rPr>
        <w:t>צרעת</w:t>
      </w:r>
      <w:r w:rsidRPr="009A13B9">
        <w:rPr>
          <w:rFonts w:eastAsia="Times New Roman" w:cs="Times New Roman"/>
          <w:lang w:eastAsia="de-DE"/>
        </w:rPr>
        <w:t xml:space="preserve">-Diagnose + Lokalisationswiederholung. Die Struktur zeigt, dass Kahlheit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nicht ausschließt.</w:t>
      </w:r>
    </w:p>
    <w:p w14:paraId="09017B2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weißrötliche Male in natürlichen Kahlheitsstellen als ausbrechende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diagnostiziert werden.</w:t>
      </w:r>
    </w:p>
    <w:p w14:paraId="18DF3C53"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13,43</w:t>
      </w:r>
    </w:p>
    <w:p w14:paraId="471A00D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אֹתוֹ֜ הַכֹּהֵ֗ן וְהִנֵּ֤ה שְׂאֵת־הַנֶּ֨גַע֙ לְבָנָ֣ה אֲדַמְדֶּ֔מֶת בְּקָרַחְתּוֹ֖ א֣וֹ בְגַבַּחְתּוֹ֑ כְּמַרְאֵ֥ה צָרַ֖עַת ע֥וֹר בָּשָֽׂר׃</w:t>
      </w:r>
    </w:p>
    <w:p w14:paraId="4B9FE76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ihn sieht, und siehe, die Erhebung des Mals ist weißrötlich an seiner Kahlkopfglatze oder an seiner Stirnglatze, wie das Aussehen des Aussatzes auf der Haut des Fleisches,</w:t>
      </w:r>
    </w:p>
    <w:p w14:paraId="507DB223"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08CE61F">
          <v:rect id="_x0000_i1374" style="width:0;height:1.5pt" o:hralign="center" o:hrstd="t" o:hr="t" fillcolor="#a0a0a0" stroked="f"/>
        </w:pict>
      </w:r>
    </w:p>
    <w:p w14:paraId="0127C06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אתו הכהן והנה שאת־הנגע לבנה אדמדמת בקרחתו או בגבחתו</w:t>
      </w:r>
      <w:r w:rsidRPr="009A13B9">
        <w:rPr>
          <w:rFonts w:eastAsia="Times New Roman" w:cs="Times New Roman"/>
          <w:rtl/>
          <w:lang w:eastAsia="de-DE"/>
        </w:rPr>
        <w:t xml:space="preserve"> </w:t>
      </w:r>
      <w:r w:rsidRPr="009A13B9">
        <w:rPr>
          <w:rFonts w:eastAsia="Times New Roman" w:cs="Times New Roman"/>
          <w:lang w:eastAsia="de-DE"/>
        </w:rPr>
        <w:t xml:space="preserve">zeigt die priesterliche Untersuchung. </w:t>
      </w:r>
      <w:r w:rsidRPr="009A13B9">
        <w:rPr>
          <w:rFonts w:eastAsia="Times New Roman" w:cs="Times New Roman"/>
          <w:b/>
          <w:bCs/>
          <w:rtl/>
          <w:lang w:eastAsia="de-DE"/>
        </w:rPr>
        <w:t>וראה אתו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ihn) entspricht der Standarduntersuchung. </w:t>
      </w:r>
      <w:r w:rsidRPr="009A13B9">
        <w:rPr>
          <w:rFonts w:eastAsia="Times New Roman" w:cs="Times New Roman"/>
          <w:b/>
          <w:bCs/>
          <w:rtl/>
          <w:lang w:eastAsia="de-DE"/>
        </w:rPr>
        <w:t>והנה שאת־הנגע 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(und siehe, die Erhebung des Mals ist weißrötlich) - </w:t>
      </w:r>
      <w:r w:rsidRPr="009A13B9">
        <w:rPr>
          <w:rFonts w:eastAsia="Times New Roman" w:cs="Times New Roman"/>
          <w:b/>
          <w:bCs/>
          <w:rtl/>
          <w:lang w:eastAsia="de-DE"/>
        </w:rPr>
        <w:t>שאת־הנגע</w:t>
      </w:r>
      <w:r w:rsidRPr="009A13B9">
        <w:rPr>
          <w:rFonts w:eastAsia="Times New Roman" w:cs="Times New Roman"/>
          <w:rtl/>
          <w:lang w:eastAsia="de-DE"/>
        </w:rPr>
        <w:t xml:space="preserve"> </w:t>
      </w:r>
      <w:r w:rsidRPr="009A13B9">
        <w:rPr>
          <w:rFonts w:eastAsia="Times New Roman" w:cs="Times New Roman"/>
          <w:lang w:eastAsia="de-DE"/>
        </w:rPr>
        <w:t xml:space="preserve">(Erhebung des Mals) als Genitivkonstruktion, </w:t>
      </w:r>
      <w:r w:rsidRPr="009A13B9">
        <w:rPr>
          <w:rFonts w:eastAsia="Times New Roman" w:cs="Times New Roman"/>
          <w:b/>
          <w:bCs/>
          <w:rtl/>
          <w:lang w:eastAsia="de-DE"/>
        </w:rPr>
        <w:t>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(weißrötlich) entspricht V. 42. </w:t>
      </w:r>
      <w:r w:rsidRPr="009A13B9">
        <w:rPr>
          <w:rFonts w:eastAsia="Times New Roman" w:cs="Times New Roman"/>
          <w:b/>
          <w:bCs/>
          <w:rtl/>
          <w:lang w:eastAsia="de-DE"/>
        </w:rPr>
        <w:t>בקרחתו או בגבחתו</w:t>
      </w:r>
      <w:r w:rsidRPr="009A13B9">
        <w:rPr>
          <w:rFonts w:eastAsia="Times New Roman" w:cs="Times New Roman"/>
          <w:rtl/>
          <w:lang w:eastAsia="de-DE"/>
        </w:rPr>
        <w:t xml:space="preserve"> </w:t>
      </w:r>
      <w:r w:rsidRPr="009A13B9">
        <w:rPr>
          <w:rFonts w:eastAsia="Times New Roman" w:cs="Times New Roman"/>
          <w:lang w:eastAsia="de-DE"/>
        </w:rPr>
        <w:t>(an seiner Kahlkopfglatze oder an seiner Stirnglatze) lokalisiert spezifisch.</w:t>
      </w:r>
    </w:p>
    <w:p w14:paraId="6D0C370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כמראה צרעת עור בשר</w:t>
      </w:r>
      <w:r w:rsidRPr="009A13B9">
        <w:rPr>
          <w:rFonts w:eastAsia="Times New Roman" w:cs="Times New Roman"/>
          <w:rtl/>
          <w:lang w:eastAsia="de-DE"/>
        </w:rPr>
        <w:t xml:space="preserve"> </w:t>
      </w:r>
      <w:r w:rsidRPr="009A13B9">
        <w:rPr>
          <w:rFonts w:eastAsia="Times New Roman" w:cs="Times New Roman"/>
          <w:lang w:eastAsia="de-DE"/>
        </w:rPr>
        <w:t xml:space="preserve">zeigt den Vergleichsmaßstab. </w:t>
      </w:r>
      <w:r w:rsidRPr="009A13B9">
        <w:rPr>
          <w:rFonts w:eastAsia="Times New Roman" w:cs="Times New Roman"/>
          <w:b/>
          <w:bCs/>
          <w:rtl/>
          <w:lang w:eastAsia="de-DE"/>
        </w:rPr>
        <w:t>כמראה צרעת עור בשר</w:t>
      </w:r>
      <w:r w:rsidRPr="009A13B9">
        <w:rPr>
          <w:rFonts w:eastAsia="Times New Roman" w:cs="Times New Roman"/>
          <w:rtl/>
          <w:lang w:eastAsia="de-DE"/>
        </w:rPr>
        <w:t xml:space="preserve"> </w:t>
      </w:r>
      <w:r w:rsidRPr="009A13B9">
        <w:rPr>
          <w:rFonts w:eastAsia="Times New Roman" w:cs="Times New Roman"/>
          <w:lang w:eastAsia="de-DE"/>
        </w:rPr>
        <w:t xml:space="preserve">(wie das Aussehen des Aussatzes auf der Haut des Fleisches) - </w:t>
      </w:r>
      <w:r w:rsidRPr="009A13B9">
        <w:rPr>
          <w:rFonts w:eastAsia="Times New Roman" w:cs="Times New Roman"/>
          <w:b/>
          <w:bCs/>
          <w:rtl/>
          <w:lang w:eastAsia="de-DE"/>
        </w:rPr>
        <w:t>כמראה</w:t>
      </w:r>
      <w:r w:rsidRPr="009A13B9">
        <w:rPr>
          <w:rFonts w:eastAsia="Times New Roman" w:cs="Times New Roman"/>
          <w:rtl/>
          <w:lang w:eastAsia="de-DE"/>
        </w:rPr>
        <w:t xml:space="preserve"> </w:t>
      </w:r>
      <w:r w:rsidRPr="009A13B9">
        <w:rPr>
          <w:rFonts w:eastAsia="Times New Roman" w:cs="Times New Roman"/>
          <w:lang w:eastAsia="de-DE"/>
        </w:rPr>
        <w:t>(wie das Aussehen) zeigt Vergleich mit normaler Haut-</w:t>
      </w:r>
      <w:r w:rsidRPr="009A13B9">
        <w:rPr>
          <w:rFonts w:eastAsia="Times New Roman" w:cs="Times New Roman"/>
          <w:b/>
          <w:bCs/>
          <w:rtl/>
          <w:lang w:eastAsia="de-DE"/>
        </w:rPr>
        <w:t>צרעת</w:t>
      </w:r>
      <w:r w:rsidRPr="009A13B9">
        <w:rPr>
          <w:rFonts w:eastAsia="Times New Roman" w:cs="Times New Roman"/>
          <w:lang w:eastAsia="de-DE"/>
        </w:rPr>
        <w:t>.</w:t>
      </w:r>
    </w:p>
    <w:p w14:paraId="08A7258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שאת־הנגע 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entspricht den Standardkriterien für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כמראה צרעת עור בשר</w:t>
      </w:r>
      <w:r w:rsidRPr="009A13B9">
        <w:rPr>
          <w:rFonts w:eastAsia="Times New Roman" w:cs="Times New Roman"/>
          <w:rtl/>
          <w:lang w:eastAsia="de-DE"/>
        </w:rPr>
        <w:t xml:space="preserve"> </w:t>
      </w:r>
      <w:r w:rsidRPr="009A13B9">
        <w:rPr>
          <w:rFonts w:eastAsia="Times New Roman" w:cs="Times New Roman"/>
          <w:lang w:eastAsia="de-DE"/>
        </w:rPr>
        <w:t>stellt fest, dass Kahlheits-</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identisch mit normaler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erscheint.</w:t>
      </w:r>
    </w:p>
    <w:p w14:paraId="0F57EE0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שאת־הנגע</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οὐλὴ</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ἁφῆς</w:t>
      </w:r>
      <w:proofErr w:type="spellEnd"/>
      <w:r w:rsidRPr="009A13B9">
        <w:rPr>
          <w:rFonts w:eastAsia="Times New Roman" w:cs="Times New Roman"/>
          <w:lang w:eastAsia="de-DE"/>
        </w:rPr>
        <w:t xml:space="preserve"> (Narbe des Mals), </w:t>
      </w:r>
      <w:r w:rsidRPr="009A13B9">
        <w:rPr>
          <w:rFonts w:eastAsia="Times New Roman" w:cs="Times New Roman"/>
          <w:b/>
          <w:bCs/>
          <w:rtl/>
          <w:lang w:eastAsia="de-DE"/>
        </w:rPr>
        <w:t>לבנה אדמדמת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λευκὴ</w:t>
      </w:r>
      <w:proofErr w:type="spellEnd"/>
      <w:r w:rsidRPr="009A13B9">
        <w:rPr>
          <w:rFonts w:eastAsia="Times New Roman" w:cs="Times New Roman"/>
          <w:lang w:eastAsia="de-DE"/>
        </w:rPr>
        <w:t xml:space="preserve"> π</w:t>
      </w:r>
      <w:proofErr w:type="spellStart"/>
      <w:r w:rsidRPr="009A13B9">
        <w:rPr>
          <w:rFonts w:eastAsia="Times New Roman" w:cs="Times New Roman"/>
          <w:lang w:eastAsia="de-DE"/>
        </w:rPr>
        <w:t>υρρίζουσ</w:t>
      </w:r>
      <w:proofErr w:type="spellEnd"/>
      <w:r w:rsidRPr="009A13B9">
        <w:rPr>
          <w:rFonts w:eastAsia="Times New Roman" w:cs="Times New Roman"/>
          <w:lang w:eastAsia="de-DE"/>
        </w:rPr>
        <w:t xml:space="preserve">α (weiß rötlich) und </w:t>
      </w:r>
      <w:r w:rsidRPr="009A13B9">
        <w:rPr>
          <w:rFonts w:eastAsia="Times New Roman" w:cs="Times New Roman"/>
          <w:b/>
          <w:bCs/>
          <w:rtl/>
          <w:lang w:eastAsia="de-DE"/>
        </w:rPr>
        <w:t>כמראה צרעת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ὡς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εἶδος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λέ</w:t>
      </w:r>
      <w:proofErr w:type="spellEnd"/>
      <w:r w:rsidRPr="009A13B9">
        <w:rPr>
          <w:rFonts w:eastAsia="Times New Roman" w:cs="Times New Roman"/>
          <w:lang w:eastAsia="de-DE"/>
        </w:rPr>
        <w:t>πρας (wie Aussehen der Lepra).</w:t>
      </w:r>
    </w:p>
    <w:p w14:paraId="3B538D0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Vergleichsdiagnose: priesterliche Untersuchung + charakteristische Erhebung mit Farbe + Lokalisation + Vergleichsmaßstab. Die unvollständige Struktur führt zu V. 44.</w:t>
      </w:r>
    </w:p>
    <w:p w14:paraId="0F55795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in Kahlheitsstellen dasselbe Aussehen hat wie normale Haut-</w:t>
      </w:r>
      <w:r w:rsidRPr="009A13B9">
        <w:rPr>
          <w:rFonts w:eastAsia="Times New Roman" w:cs="Times New Roman"/>
          <w:b/>
          <w:bCs/>
          <w:rtl/>
          <w:lang w:eastAsia="de-DE"/>
        </w:rPr>
        <w:t>צרעת</w:t>
      </w:r>
      <w:r w:rsidRPr="009A13B9">
        <w:rPr>
          <w:rFonts w:eastAsia="Times New Roman" w:cs="Times New Roman"/>
          <w:lang w:eastAsia="de-DE"/>
        </w:rPr>
        <w:t>.</w:t>
      </w:r>
    </w:p>
    <w:p w14:paraId="5D1CE2DC"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13,44</w:t>
      </w:r>
    </w:p>
    <w:p w14:paraId="3837ED1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אִישׁ־צָר֥וּעַ ה֖וּא טָמֵ֣א ה֑וּא טַמֵּ֧א יְטַמְּאֶ֛נּוּ הַכֹּהֵ֖ן בְּרֹאשֹׁ֥ו נִגְעֹֽו׃</w:t>
      </w:r>
    </w:p>
    <w:p w14:paraId="5490272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so ist er ein aussätziger Mann: Er ist unrein; der Priester soll ihn gewiss für unrein erklären; an seinem Kopf ist sein Mal.</w:t>
      </w:r>
    </w:p>
    <w:p w14:paraId="393C1203"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864E278">
          <v:rect id="_x0000_i1375" style="width:0;height:1.5pt" o:hralign="center" o:hrstd="t" o:hr="t" fillcolor="#a0a0a0" stroked="f"/>
        </w:pict>
      </w:r>
    </w:p>
    <w:p w14:paraId="508BD20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איש־צרוע הוא טמא הוא טמא יטמאנו הכהן בראשו נגעו</w:t>
      </w:r>
      <w:r w:rsidRPr="009A13B9">
        <w:rPr>
          <w:rFonts w:eastAsia="Times New Roman" w:cs="Times New Roman"/>
          <w:rtl/>
          <w:lang w:eastAsia="de-DE"/>
        </w:rPr>
        <w:t xml:space="preserve"> </w:t>
      </w:r>
      <w:r w:rsidRPr="009A13B9">
        <w:rPr>
          <w:rFonts w:eastAsia="Times New Roman" w:cs="Times New Roman"/>
          <w:lang w:eastAsia="de-DE"/>
        </w:rPr>
        <w:t xml:space="preserve">zeigt die definitive Diagnose und Unreinheit. </w:t>
      </w:r>
      <w:r w:rsidRPr="009A13B9">
        <w:rPr>
          <w:rFonts w:eastAsia="Times New Roman" w:cs="Times New Roman"/>
          <w:b/>
          <w:bCs/>
          <w:rtl/>
          <w:lang w:eastAsia="de-DE"/>
        </w:rPr>
        <w:t>איש־צרוע הוא</w:t>
      </w:r>
      <w:r w:rsidRPr="009A13B9">
        <w:rPr>
          <w:rFonts w:eastAsia="Times New Roman" w:cs="Times New Roman"/>
          <w:rtl/>
          <w:lang w:eastAsia="de-DE"/>
        </w:rPr>
        <w:t xml:space="preserve"> </w:t>
      </w:r>
      <w:r w:rsidRPr="009A13B9">
        <w:rPr>
          <w:rFonts w:eastAsia="Times New Roman" w:cs="Times New Roman"/>
          <w:lang w:eastAsia="de-DE"/>
        </w:rPr>
        <w:t xml:space="preserve">(ein aussätziger Mann ist er) - </w:t>
      </w:r>
      <w:r w:rsidRPr="009A13B9">
        <w:rPr>
          <w:rFonts w:eastAsia="Times New Roman" w:cs="Times New Roman"/>
          <w:b/>
          <w:bCs/>
          <w:rtl/>
          <w:lang w:eastAsia="de-DE"/>
        </w:rPr>
        <w:t>איש־צרוע</w:t>
      </w:r>
      <w:r w:rsidRPr="009A13B9">
        <w:rPr>
          <w:rFonts w:eastAsia="Times New Roman" w:cs="Times New Roman"/>
          <w:rtl/>
          <w:lang w:eastAsia="de-DE"/>
        </w:rPr>
        <w:t xml:space="preserve"> </w:t>
      </w:r>
      <w:r w:rsidRPr="009A13B9">
        <w:rPr>
          <w:rFonts w:eastAsia="Times New Roman" w:cs="Times New Roman"/>
          <w:lang w:eastAsia="de-DE"/>
        </w:rPr>
        <w:t xml:space="preserve">als Kompositum für einen Mann mit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 xml:space="preserve">(unrein ist er)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טמא יטמאנו הכהן</w:t>
      </w:r>
      <w:r w:rsidRPr="009A13B9">
        <w:rPr>
          <w:rFonts w:eastAsia="Times New Roman" w:cs="Times New Roman"/>
          <w:rtl/>
          <w:lang w:eastAsia="de-DE"/>
        </w:rPr>
        <w:t xml:space="preserve"> </w:t>
      </w:r>
      <w:r w:rsidRPr="009A13B9">
        <w:rPr>
          <w:rFonts w:eastAsia="Times New Roman" w:cs="Times New Roman"/>
          <w:lang w:eastAsia="de-DE"/>
        </w:rPr>
        <w:t xml:space="preserve">(unrein soll der Priester ihn erklären) - </w:t>
      </w:r>
      <w:r w:rsidRPr="009A13B9">
        <w:rPr>
          <w:rFonts w:eastAsia="Times New Roman" w:cs="Times New Roman"/>
          <w:b/>
          <w:bCs/>
          <w:rtl/>
          <w:lang w:eastAsia="de-DE"/>
        </w:rPr>
        <w:t>טמא</w:t>
      </w:r>
      <w:r w:rsidRPr="009A13B9">
        <w:rPr>
          <w:rFonts w:eastAsia="Times New Roman" w:cs="Times New Roman"/>
          <w:rtl/>
          <w:lang w:eastAsia="de-DE"/>
        </w:rPr>
        <w:t xml:space="preserve"> </w:t>
      </w:r>
      <w:r w:rsidRPr="009A13B9">
        <w:rPr>
          <w:rFonts w:eastAsia="Times New Roman" w:cs="Times New Roman"/>
          <w:lang w:eastAsia="de-DE"/>
        </w:rPr>
        <w:t xml:space="preserve">(unrein) als Infinitiv absolut + </w:t>
      </w:r>
      <w:r w:rsidRPr="009A13B9">
        <w:rPr>
          <w:rFonts w:eastAsia="Times New Roman" w:cs="Times New Roman"/>
          <w:b/>
          <w:bCs/>
          <w:rtl/>
          <w:lang w:eastAsia="de-DE"/>
        </w:rPr>
        <w:t>יטמאנו</w:t>
      </w:r>
      <w:r w:rsidRPr="009A13B9">
        <w:rPr>
          <w:rFonts w:eastAsia="Times New Roman" w:cs="Times New Roman"/>
          <w:rtl/>
          <w:lang w:eastAsia="de-DE"/>
        </w:rPr>
        <w:t xml:space="preserve"> </w:t>
      </w:r>
      <w:r w:rsidRPr="009A13B9">
        <w:rPr>
          <w:rFonts w:eastAsia="Times New Roman" w:cs="Times New Roman"/>
          <w:lang w:eastAsia="de-DE"/>
        </w:rPr>
        <w:t xml:space="preserve">(er soll ihn unrein erklären) im Piel-Imperfekt zur Verstärkung. </w:t>
      </w:r>
      <w:r w:rsidRPr="009A13B9">
        <w:rPr>
          <w:rFonts w:eastAsia="Times New Roman" w:cs="Times New Roman"/>
          <w:b/>
          <w:bCs/>
          <w:rtl/>
          <w:lang w:eastAsia="de-DE"/>
        </w:rPr>
        <w:t>בראשו נגעו</w:t>
      </w:r>
      <w:r w:rsidRPr="009A13B9">
        <w:rPr>
          <w:rFonts w:eastAsia="Times New Roman" w:cs="Times New Roman"/>
          <w:rtl/>
          <w:lang w:eastAsia="de-DE"/>
        </w:rPr>
        <w:t xml:space="preserve"> </w:t>
      </w:r>
      <w:r w:rsidRPr="009A13B9">
        <w:rPr>
          <w:rFonts w:eastAsia="Times New Roman" w:cs="Times New Roman"/>
          <w:lang w:eastAsia="de-DE"/>
        </w:rPr>
        <w:t xml:space="preserve">(an seinem Kopf ist sein Mal) lokalisiert das </w:t>
      </w:r>
      <w:r w:rsidRPr="009A13B9">
        <w:rPr>
          <w:rFonts w:eastAsia="Times New Roman" w:cs="Times New Roman"/>
          <w:b/>
          <w:bCs/>
          <w:rtl/>
          <w:lang w:eastAsia="de-DE"/>
        </w:rPr>
        <w:t>נגע</w:t>
      </w:r>
      <w:r w:rsidRPr="009A13B9">
        <w:rPr>
          <w:rFonts w:eastAsia="Times New Roman" w:cs="Times New Roman"/>
          <w:lang w:eastAsia="de-DE"/>
        </w:rPr>
        <w:t>.</w:t>
      </w:r>
    </w:p>
    <w:p w14:paraId="1F06628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איש־צרוע</w:t>
      </w:r>
      <w:r w:rsidRPr="009A13B9">
        <w:rPr>
          <w:rFonts w:eastAsia="Times New Roman" w:cs="Times New Roman"/>
          <w:rtl/>
          <w:lang w:eastAsia="de-DE"/>
        </w:rPr>
        <w:t xml:space="preserve"> </w:t>
      </w:r>
      <w:r w:rsidRPr="009A13B9">
        <w:rPr>
          <w:rFonts w:eastAsia="Times New Roman" w:cs="Times New Roman"/>
          <w:lang w:eastAsia="de-DE"/>
        </w:rPr>
        <w:t xml:space="preserve">als zusammengesetzter Begriff für einen definitiv </w:t>
      </w:r>
      <w:r w:rsidRPr="009A13B9">
        <w:rPr>
          <w:rFonts w:eastAsia="Times New Roman" w:cs="Times New Roman"/>
          <w:b/>
          <w:bCs/>
          <w:rtl/>
          <w:lang w:eastAsia="de-DE"/>
        </w:rPr>
        <w:t>צרעת</w:t>
      </w:r>
      <w:r w:rsidRPr="009A13B9">
        <w:rPr>
          <w:rFonts w:eastAsia="Times New Roman" w:cs="Times New Roman"/>
          <w:lang w:eastAsia="de-DE"/>
        </w:rPr>
        <w:t xml:space="preserve">-kranken Mann. </w:t>
      </w:r>
      <w:r w:rsidRPr="009A13B9">
        <w:rPr>
          <w:rFonts w:eastAsia="Times New Roman" w:cs="Times New Roman"/>
          <w:b/>
          <w:bCs/>
          <w:rtl/>
          <w:lang w:eastAsia="de-DE"/>
        </w:rPr>
        <w:t>טמא הוא טמא יטמאנו</w:t>
      </w:r>
      <w:r w:rsidRPr="009A13B9">
        <w:rPr>
          <w:rFonts w:eastAsia="Times New Roman" w:cs="Times New Roman"/>
          <w:rtl/>
          <w:lang w:eastAsia="de-DE"/>
        </w:rPr>
        <w:t xml:space="preserve"> </w:t>
      </w:r>
      <w:r w:rsidRPr="009A13B9">
        <w:rPr>
          <w:rFonts w:eastAsia="Times New Roman" w:cs="Times New Roman"/>
          <w:lang w:eastAsia="de-DE"/>
        </w:rPr>
        <w:t xml:space="preserve">mit dreifacher </w:t>
      </w:r>
      <w:r w:rsidRPr="009A13B9">
        <w:rPr>
          <w:rFonts w:eastAsia="Times New Roman" w:cs="Times New Roman"/>
          <w:b/>
          <w:bCs/>
          <w:rtl/>
          <w:lang w:eastAsia="de-DE"/>
        </w:rPr>
        <w:t>טמא</w:t>
      </w:r>
      <w:r w:rsidRPr="009A13B9">
        <w:rPr>
          <w:rFonts w:eastAsia="Times New Roman" w:cs="Times New Roman"/>
          <w:lang w:eastAsia="de-DE"/>
        </w:rPr>
        <w:t xml:space="preserve">-Verwendung betont die Eindeutigkeit der Unreinheit. </w:t>
      </w:r>
      <w:r w:rsidRPr="009A13B9">
        <w:rPr>
          <w:rFonts w:eastAsia="Times New Roman" w:cs="Times New Roman"/>
          <w:b/>
          <w:bCs/>
          <w:rtl/>
          <w:lang w:eastAsia="de-DE"/>
        </w:rPr>
        <w:t>בראשו נגעו</w:t>
      </w:r>
      <w:r w:rsidRPr="009A13B9">
        <w:rPr>
          <w:rFonts w:eastAsia="Times New Roman" w:cs="Times New Roman"/>
          <w:rtl/>
          <w:lang w:eastAsia="de-DE"/>
        </w:rPr>
        <w:t xml:space="preserve"> </w:t>
      </w:r>
      <w:r w:rsidRPr="009A13B9">
        <w:rPr>
          <w:rFonts w:eastAsia="Times New Roman" w:cs="Times New Roman"/>
          <w:lang w:eastAsia="de-DE"/>
        </w:rPr>
        <w:t>erklärt die Kopflokalisierung.</w:t>
      </w:r>
    </w:p>
    <w:p w14:paraId="52FF20D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איש־צרוע</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ἄνθρω</w:t>
      </w:r>
      <w:proofErr w:type="spellEnd"/>
      <w:r w:rsidRPr="009A13B9">
        <w:rPr>
          <w:rFonts w:eastAsia="Times New Roman" w:cs="Times New Roman"/>
          <w:lang w:eastAsia="de-DE"/>
        </w:rPr>
        <w:t xml:space="preserve">πος </w:t>
      </w:r>
      <w:proofErr w:type="spellStart"/>
      <w:r w:rsidRPr="009A13B9">
        <w:rPr>
          <w:rFonts w:eastAsia="Times New Roman" w:cs="Times New Roman"/>
          <w:lang w:eastAsia="de-DE"/>
        </w:rPr>
        <w:t>λε</w:t>
      </w:r>
      <w:proofErr w:type="spellEnd"/>
      <w:r w:rsidRPr="009A13B9">
        <w:rPr>
          <w:rFonts w:eastAsia="Times New Roman" w:cs="Times New Roman"/>
          <w:lang w:eastAsia="de-DE"/>
        </w:rPr>
        <w:t xml:space="preserve">πρός (lepröser Mann), </w:t>
      </w:r>
      <w:r w:rsidRPr="009A13B9">
        <w:rPr>
          <w:rFonts w:eastAsia="Times New Roman" w:cs="Times New Roman"/>
          <w:b/>
          <w:bCs/>
          <w:rtl/>
          <w:lang w:eastAsia="de-DE"/>
        </w:rPr>
        <w:t>טמא יטמאנו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ἀκ</w:t>
      </w:r>
      <w:proofErr w:type="spellEnd"/>
      <w:r w:rsidRPr="009A13B9">
        <w:rPr>
          <w:rFonts w:eastAsia="Times New Roman" w:cs="Times New Roman"/>
          <w:lang w:eastAsia="de-DE"/>
        </w:rPr>
        <w:t xml:space="preserve">αθαρσίᾳ </w:t>
      </w:r>
      <w:proofErr w:type="spellStart"/>
      <w:r w:rsidRPr="009A13B9">
        <w:rPr>
          <w:rFonts w:eastAsia="Times New Roman" w:cs="Times New Roman"/>
          <w:lang w:eastAsia="de-DE"/>
        </w:rPr>
        <w:t>μι</w:t>
      </w:r>
      <w:proofErr w:type="spellEnd"/>
      <w:r w:rsidRPr="009A13B9">
        <w:rPr>
          <w:rFonts w:eastAsia="Times New Roman" w:cs="Times New Roman"/>
          <w:lang w:eastAsia="de-DE"/>
        </w:rPr>
        <w:t xml:space="preserve">ανεῖ (mit Unreinheit wird er verunreinigen) und </w:t>
      </w:r>
      <w:r w:rsidRPr="009A13B9">
        <w:rPr>
          <w:rFonts w:eastAsia="Times New Roman" w:cs="Times New Roman"/>
          <w:b/>
          <w:bCs/>
          <w:rtl/>
          <w:lang w:eastAsia="de-DE"/>
        </w:rPr>
        <w:t>בראשו נגעו</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τῇ</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κεφ</w:t>
      </w:r>
      <w:proofErr w:type="spellEnd"/>
      <w:r w:rsidRPr="009A13B9">
        <w:rPr>
          <w:rFonts w:eastAsia="Times New Roman" w:cs="Times New Roman"/>
          <w:lang w:eastAsia="de-DE"/>
        </w:rPr>
        <w:t>αλῇ α</w:t>
      </w:r>
      <w:proofErr w:type="spellStart"/>
      <w:r w:rsidRPr="009A13B9">
        <w:rPr>
          <w:rFonts w:eastAsia="Times New Roman" w:cs="Times New Roman"/>
          <w:lang w:eastAsia="de-DE"/>
        </w:rPr>
        <w:t>ὐτοῦ</w:t>
      </w:r>
      <w:proofErr w:type="spellEnd"/>
      <w:r w:rsidRPr="009A13B9">
        <w:rPr>
          <w:rFonts w:eastAsia="Times New Roman" w:cs="Times New Roman"/>
          <w:lang w:eastAsia="de-DE"/>
        </w:rPr>
        <w:t xml:space="preserve"> ἡ </w:t>
      </w:r>
      <w:proofErr w:type="spellStart"/>
      <w:r w:rsidRPr="009A13B9">
        <w:rPr>
          <w:rFonts w:eastAsia="Times New Roman" w:cs="Times New Roman"/>
          <w:lang w:eastAsia="de-DE"/>
        </w:rPr>
        <w:t>ἁφὴ</w:t>
      </w:r>
      <w:proofErr w:type="spellEnd"/>
      <w:r w:rsidRPr="009A13B9">
        <w:rPr>
          <w:rFonts w:eastAsia="Times New Roman" w:cs="Times New Roman"/>
          <w:lang w:eastAsia="de-DE"/>
        </w:rPr>
        <w:t xml:space="preserve"> α</w:t>
      </w:r>
      <w:proofErr w:type="spellStart"/>
      <w:r w:rsidRPr="009A13B9">
        <w:rPr>
          <w:rFonts w:eastAsia="Times New Roman" w:cs="Times New Roman"/>
          <w:lang w:eastAsia="de-DE"/>
        </w:rPr>
        <w:t>ὐτοῦ</w:t>
      </w:r>
      <w:proofErr w:type="spellEnd"/>
      <w:r w:rsidRPr="009A13B9">
        <w:rPr>
          <w:rFonts w:eastAsia="Times New Roman" w:cs="Times New Roman"/>
          <w:lang w:eastAsia="de-DE"/>
        </w:rPr>
        <w:t xml:space="preserve"> (an seinem Kopf ist sein Mal).</w:t>
      </w:r>
    </w:p>
    <w:p w14:paraId="209C011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definitive Diagnose: zusammengesetzte Personenbezeichnung + Unreinheitsaussage + verstärkte priesterliche Unreinheitserklärung + Lokalisationsangabe. Die Struktur betont die Endgültigkeit der Diagnose.</w:t>
      </w:r>
    </w:p>
    <w:p w14:paraId="1BE1DA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klassifiziert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in Kahlheitsstellen als </w:t>
      </w:r>
      <w:r w:rsidRPr="009A13B9">
        <w:rPr>
          <w:rFonts w:eastAsia="Times New Roman" w:cs="Times New Roman"/>
          <w:b/>
          <w:bCs/>
          <w:rtl/>
          <w:lang w:eastAsia="de-DE"/>
        </w:rPr>
        <w:t>איש־צרוע</w:t>
      </w:r>
      <w:r w:rsidRPr="009A13B9">
        <w:rPr>
          <w:rFonts w:eastAsia="Times New Roman" w:cs="Times New Roman"/>
          <w:rtl/>
          <w:lang w:eastAsia="de-DE"/>
        </w:rPr>
        <w:t xml:space="preserve"> </w:t>
      </w:r>
      <w:r w:rsidRPr="009A13B9">
        <w:rPr>
          <w:rFonts w:eastAsia="Times New Roman" w:cs="Times New Roman"/>
          <w:lang w:eastAsia="de-DE"/>
        </w:rPr>
        <w:t>mit verstärkter Unreinheitserklärung.</w:t>
      </w:r>
    </w:p>
    <w:p w14:paraId="4275BA6C"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13,45</w:t>
      </w:r>
    </w:p>
    <w:p w14:paraId="397D9B7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וְהַצָּר֜וּעַ אֲשֶׁר־בּוֹ֣ הַנֶּ֗גַע בְּגָדָ֞יו יִהְי֤וּ פְרֻמִים֙ וְרֹאשׁוֹ֙ יִהְיֶ֣ה פָר֔וּעַ וְעַל־שָׂפָ֖ם יַעְטֶ֑ה וְטָמֵ֥א׀ טָמֵ֖א יִקְרָֽא׃</w:t>
      </w:r>
    </w:p>
    <w:p w14:paraId="22C158E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Aussätzige, an dem das Mal ist - seine Kleider sollen zerrissen sein und sein Haupthaar soll frei wachsen gelassen sein, und den oberen Bart soll er verhüllen und rufen: Unrein, unrein!</w:t>
      </w:r>
    </w:p>
    <w:p w14:paraId="6E7D673E"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1150D9B5">
          <v:rect id="_x0000_i1376" style="width:0;height:1.5pt" o:hralign="center" o:hrstd="t" o:hr="t" fillcolor="#a0a0a0" stroked="f"/>
        </w:pict>
      </w:r>
    </w:p>
    <w:p w14:paraId="5BEEABF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Kommentar:</w:t>
      </w:r>
      <w:r w:rsidRPr="009A13B9">
        <w:rPr>
          <w:rFonts w:eastAsia="Times New Roman" w:cs="Times New Roman"/>
          <w:lang w:eastAsia="de-DE"/>
        </w:rPr>
        <w:t xml:space="preserve"> </w:t>
      </w:r>
      <w:r w:rsidRPr="009A13B9">
        <w:rPr>
          <w:rFonts w:eastAsia="Times New Roman" w:cs="Times New Roman"/>
          <w:b/>
          <w:bCs/>
          <w:rtl/>
          <w:lang w:eastAsia="de-DE"/>
        </w:rPr>
        <w:t>והצרוע אשר־בו הנגע בגדיו יהיו פרמים וראשו יהיה פרוע ועל־שפם יעטה וטמא טמא יקרא</w:t>
      </w:r>
      <w:r w:rsidRPr="009A13B9">
        <w:rPr>
          <w:rFonts w:eastAsia="Times New Roman" w:cs="Times New Roman"/>
          <w:rtl/>
          <w:lang w:eastAsia="de-DE"/>
        </w:rPr>
        <w:t xml:space="preserve"> </w:t>
      </w:r>
      <w:r w:rsidRPr="009A13B9">
        <w:rPr>
          <w:rFonts w:eastAsia="Times New Roman" w:cs="Times New Roman"/>
          <w:lang w:eastAsia="de-DE"/>
        </w:rPr>
        <w:t xml:space="preserve">regelt das Erscheinungsbild von </w:t>
      </w:r>
      <w:r w:rsidRPr="009A13B9">
        <w:rPr>
          <w:rFonts w:eastAsia="Times New Roman" w:cs="Times New Roman"/>
          <w:b/>
          <w:bCs/>
          <w:rtl/>
          <w:lang w:eastAsia="de-DE"/>
        </w:rPr>
        <w:t>צרעת</w:t>
      </w:r>
      <w:r w:rsidRPr="009A13B9">
        <w:rPr>
          <w:rFonts w:eastAsia="Times New Roman" w:cs="Times New Roman"/>
          <w:lang w:eastAsia="de-DE"/>
        </w:rPr>
        <w:t xml:space="preserve">-Kranken. </w:t>
      </w:r>
      <w:r w:rsidRPr="009A13B9">
        <w:rPr>
          <w:rFonts w:eastAsia="Times New Roman" w:cs="Times New Roman"/>
          <w:b/>
          <w:bCs/>
          <w:rtl/>
          <w:lang w:eastAsia="de-DE"/>
        </w:rPr>
        <w:t>והצרוע אשר־בו הנגע</w:t>
      </w:r>
      <w:r w:rsidRPr="009A13B9">
        <w:rPr>
          <w:rFonts w:eastAsia="Times New Roman" w:cs="Times New Roman"/>
          <w:rtl/>
          <w:lang w:eastAsia="de-DE"/>
        </w:rPr>
        <w:t xml:space="preserve"> </w:t>
      </w:r>
      <w:r w:rsidRPr="009A13B9">
        <w:rPr>
          <w:rFonts w:eastAsia="Times New Roman" w:cs="Times New Roman"/>
          <w:lang w:eastAsia="de-DE"/>
        </w:rPr>
        <w:t xml:space="preserve">(und der Aussätzige, an dem das Mal ist) spezifiziert Personen mit bestätigter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בגדיו יהיו פרמים</w:t>
      </w:r>
      <w:r w:rsidRPr="009A13B9">
        <w:rPr>
          <w:rFonts w:eastAsia="Times New Roman" w:cs="Times New Roman"/>
          <w:rtl/>
          <w:lang w:eastAsia="de-DE"/>
        </w:rPr>
        <w:t xml:space="preserve"> </w:t>
      </w:r>
      <w:r w:rsidRPr="009A13B9">
        <w:rPr>
          <w:rFonts w:eastAsia="Times New Roman" w:cs="Times New Roman"/>
          <w:lang w:eastAsia="de-DE"/>
        </w:rPr>
        <w:t xml:space="preserve">(seine Kleider sollen zerrissen sein) - </w:t>
      </w:r>
      <w:r w:rsidRPr="009A13B9">
        <w:rPr>
          <w:rFonts w:eastAsia="Times New Roman" w:cs="Times New Roman"/>
          <w:b/>
          <w:bCs/>
          <w:rtl/>
          <w:lang w:eastAsia="de-DE"/>
        </w:rPr>
        <w:t>פרמים</w:t>
      </w:r>
      <w:r w:rsidRPr="009A13B9">
        <w:rPr>
          <w:rFonts w:eastAsia="Times New Roman" w:cs="Times New Roman"/>
          <w:rtl/>
          <w:lang w:eastAsia="de-DE"/>
        </w:rPr>
        <w:t xml:space="preserve"> </w:t>
      </w:r>
      <w:r w:rsidRPr="009A13B9">
        <w:rPr>
          <w:rFonts w:eastAsia="Times New Roman" w:cs="Times New Roman"/>
          <w:lang w:eastAsia="de-DE"/>
        </w:rPr>
        <w:t>(zerrissen) im Qal-Passiv-Partizip Plural.</w:t>
      </w:r>
    </w:p>
    <w:p w14:paraId="6E48C32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וראשו יהיה פרוע</w:t>
      </w:r>
      <w:r w:rsidRPr="009A13B9">
        <w:rPr>
          <w:rFonts w:eastAsia="Times New Roman" w:cs="Times New Roman"/>
          <w:rtl/>
          <w:lang w:eastAsia="de-DE"/>
        </w:rPr>
        <w:t xml:space="preserve"> </w:t>
      </w:r>
      <w:r w:rsidRPr="009A13B9">
        <w:rPr>
          <w:rFonts w:eastAsia="Times New Roman" w:cs="Times New Roman"/>
          <w:lang w:eastAsia="de-DE"/>
        </w:rPr>
        <w:t xml:space="preserve">(und sein Haupthaar soll frei wachsen gelassen sein) - </w:t>
      </w:r>
      <w:r w:rsidRPr="009A13B9">
        <w:rPr>
          <w:rFonts w:eastAsia="Times New Roman" w:cs="Times New Roman"/>
          <w:b/>
          <w:bCs/>
          <w:rtl/>
          <w:lang w:eastAsia="de-DE"/>
        </w:rPr>
        <w:t>פרוע</w:t>
      </w:r>
      <w:r w:rsidRPr="009A13B9">
        <w:rPr>
          <w:rFonts w:eastAsia="Times New Roman" w:cs="Times New Roman"/>
          <w:rtl/>
          <w:lang w:eastAsia="de-DE"/>
        </w:rPr>
        <w:t xml:space="preserve"> </w:t>
      </w:r>
      <w:r w:rsidRPr="009A13B9">
        <w:rPr>
          <w:rFonts w:eastAsia="Times New Roman" w:cs="Times New Roman"/>
          <w:lang w:eastAsia="de-DE"/>
        </w:rPr>
        <w:t xml:space="preserve">(aufgelöst/ungepflegt) zeigt ungepflegtes Aussehen. </w:t>
      </w:r>
      <w:r w:rsidRPr="009A13B9">
        <w:rPr>
          <w:rFonts w:eastAsia="Times New Roman" w:cs="Times New Roman"/>
          <w:b/>
          <w:bCs/>
          <w:rtl/>
          <w:lang w:eastAsia="de-DE"/>
        </w:rPr>
        <w:t>ועל־שפם יעטה</w:t>
      </w:r>
      <w:r w:rsidRPr="009A13B9">
        <w:rPr>
          <w:rFonts w:eastAsia="Times New Roman" w:cs="Times New Roman"/>
          <w:rtl/>
          <w:lang w:eastAsia="de-DE"/>
        </w:rPr>
        <w:t xml:space="preserve"> </w:t>
      </w:r>
      <w:r w:rsidRPr="009A13B9">
        <w:rPr>
          <w:rFonts w:eastAsia="Times New Roman" w:cs="Times New Roman"/>
          <w:lang w:eastAsia="de-DE"/>
        </w:rPr>
        <w:t xml:space="preserve">(und den oberen Bart soll er verhüllen) - </w:t>
      </w:r>
      <w:r w:rsidRPr="009A13B9">
        <w:rPr>
          <w:rFonts w:eastAsia="Times New Roman" w:cs="Times New Roman"/>
          <w:b/>
          <w:bCs/>
          <w:rtl/>
          <w:lang w:eastAsia="de-DE"/>
        </w:rPr>
        <w:t>שפם</w:t>
      </w:r>
      <w:r w:rsidRPr="009A13B9">
        <w:rPr>
          <w:rFonts w:eastAsia="Times New Roman" w:cs="Times New Roman"/>
          <w:rtl/>
          <w:lang w:eastAsia="de-DE"/>
        </w:rPr>
        <w:t xml:space="preserve"> </w:t>
      </w:r>
      <w:r w:rsidRPr="009A13B9">
        <w:rPr>
          <w:rFonts w:eastAsia="Times New Roman" w:cs="Times New Roman"/>
          <w:lang w:eastAsia="de-DE"/>
        </w:rPr>
        <w:t xml:space="preserve">(oberer Bart/Schnurrbart), </w:t>
      </w:r>
      <w:r w:rsidRPr="009A13B9">
        <w:rPr>
          <w:rFonts w:eastAsia="Times New Roman" w:cs="Times New Roman"/>
          <w:b/>
          <w:bCs/>
          <w:rtl/>
          <w:lang w:eastAsia="de-DE"/>
        </w:rPr>
        <w:t>יעטה</w:t>
      </w:r>
      <w:r w:rsidRPr="009A13B9">
        <w:rPr>
          <w:rFonts w:eastAsia="Times New Roman" w:cs="Times New Roman"/>
          <w:rtl/>
          <w:lang w:eastAsia="de-DE"/>
        </w:rPr>
        <w:t xml:space="preserve"> </w:t>
      </w:r>
      <w:r w:rsidRPr="009A13B9">
        <w:rPr>
          <w:rFonts w:eastAsia="Times New Roman" w:cs="Times New Roman"/>
          <w:lang w:eastAsia="de-DE"/>
        </w:rPr>
        <w:t xml:space="preserve">(er soll verhüllen) im Qal-Imperfekt. </w:t>
      </w:r>
      <w:r w:rsidRPr="009A13B9">
        <w:rPr>
          <w:rFonts w:eastAsia="Times New Roman" w:cs="Times New Roman"/>
          <w:b/>
          <w:bCs/>
          <w:rtl/>
          <w:lang w:eastAsia="de-DE"/>
        </w:rPr>
        <w:t>וטמא טמא יקרא</w:t>
      </w:r>
      <w:r w:rsidRPr="009A13B9">
        <w:rPr>
          <w:rFonts w:eastAsia="Times New Roman" w:cs="Times New Roman"/>
          <w:rtl/>
          <w:lang w:eastAsia="de-DE"/>
        </w:rPr>
        <w:t xml:space="preserve"> </w:t>
      </w:r>
      <w:r w:rsidRPr="009A13B9">
        <w:rPr>
          <w:rFonts w:eastAsia="Times New Roman" w:cs="Times New Roman"/>
          <w:lang w:eastAsia="de-DE"/>
        </w:rPr>
        <w:t xml:space="preserve">(und "unrein, unrein" soll er rufen) - </w:t>
      </w:r>
      <w:r w:rsidRPr="009A13B9">
        <w:rPr>
          <w:rFonts w:eastAsia="Times New Roman" w:cs="Times New Roman"/>
          <w:b/>
          <w:bCs/>
          <w:rtl/>
          <w:lang w:eastAsia="de-DE"/>
        </w:rPr>
        <w:t>טמא טמא</w:t>
      </w:r>
      <w:r w:rsidRPr="009A13B9">
        <w:rPr>
          <w:rFonts w:eastAsia="Times New Roman" w:cs="Times New Roman"/>
          <w:rtl/>
          <w:lang w:eastAsia="de-DE"/>
        </w:rPr>
        <w:t xml:space="preserve"> </w:t>
      </w:r>
      <w:r w:rsidRPr="009A13B9">
        <w:rPr>
          <w:rFonts w:eastAsia="Times New Roman" w:cs="Times New Roman"/>
          <w:lang w:eastAsia="de-DE"/>
        </w:rPr>
        <w:t xml:space="preserve">(unrein, unrein) als </w:t>
      </w:r>
      <w:proofErr w:type="spellStart"/>
      <w:r w:rsidRPr="009A13B9">
        <w:rPr>
          <w:rFonts w:eastAsia="Times New Roman" w:cs="Times New Roman"/>
          <w:lang w:eastAsia="de-DE"/>
        </w:rPr>
        <w:t>Warnnruf</w:t>
      </w:r>
      <w:proofErr w:type="spellEnd"/>
      <w:r w:rsidRPr="009A13B9">
        <w:rPr>
          <w:rFonts w:eastAsia="Times New Roman" w:cs="Times New Roman"/>
          <w:lang w:eastAsia="de-DE"/>
        </w:rPr>
        <w:t xml:space="preserve">, </w:t>
      </w:r>
      <w:r w:rsidRPr="009A13B9">
        <w:rPr>
          <w:rFonts w:eastAsia="Times New Roman" w:cs="Times New Roman"/>
          <w:b/>
          <w:bCs/>
          <w:rtl/>
          <w:lang w:eastAsia="de-DE"/>
        </w:rPr>
        <w:t>יקרא</w:t>
      </w:r>
      <w:r w:rsidRPr="009A13B9">
        <w:rPr>
          <w:rFonts w:eastAsia="Times New Roman" w:cs="Times New Roman"/>
          <w:rtl/>
          <w:lang w:eastAsia="de-DE"/>
        </w:rPr>
        <w:t xml:space="preserve"> </w:t>
      </w:r>
      <w:r w:rsidRPr="009A13B9">
        <w:rPr>
          <w:rFonts w:eastAsia="Times New Roman" w:cs="Times New Roman"/>
          <w:lang w:eastAsia="de-DE"/>
        </w:rPr>
        <w:t>(er soll rufen) im Qal-Imperfekt.</w:t>
      </w:r>
    </w:p>
    <w:p w14:paraId="7872A7F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בגדיו פרמים</w:t>
      </w:r>
      <w:r w:rsidRPr="009A13B9">
        <w:rPr>
          <w:rFonts w:eastAsia="Times New Roman" w:cs="Times New Roman"/>
          <w:rtl/>
          <w:lang w:eastAsia="de-DE"/>
        </w:rPr>
        <w:t xml:space="preserve"> </w:t>
      </w:r>
      <w:r w:rsidRPr="009A13B9">
        <w:rPr>
          <w:rFonts w:eastAsia="Times New Roman" w:cs="Times New Roman"/>
          <w:lang w:eastAsia="de-DE"/>
        </w:rPr>
        <w:t xml:space="preserve">als Trauerzeichen entsprechend sozialer Trauer. </w:t>
      </w:r>
      <w:r w:rsidRPr="009A13B9">
        <w:rPr>
          <w:rFonts w:eastAsia="Times New Roman" w:cs="Times New Roman"/>
          <w:b/>
          <w:bCs/>
          <w:rtl/>
          <w:lang w:eastAsia="de-DE"/>
        </w:rPr>
        <w:t>פרוע</w:t>
      </w:r>
      <w:r w:rsidRPr="009A13B9">
        <w:rPr>
          <w:rFonts w:eastAsia="Times New Roman" w:cs="Times New Roman"/>
          <w:rtl/>
          <w:lang w:eastAsia="de-DE"/>
        </w:rPr>
        <w:t xml:space="preserve"> </w:t>
      </w:r>
      <w:r w:rsidRPr="009A13B9">
        <w:rPr>
          <w:rFonts w:eastAsia="Times New Roman" w:cs="Times New Roman"/>
          <w:lang w:eastAsia="de-DE"/>
        </w:rPr>
        <w:t xml:space="preserve">zeigt Vernachlässigung der normalen Körperpflege. </w:t>
      </w:r>
      <w:r w:rsidRPr="009A13B9">
        <w:rPr>
          <w:rFonts w:eastAsia="Times New Roman" w:cs="Times New Roman"/>
          <w:b/>
          <w:bCs/>
          <w:rtl/>
          <w:lang w:eastAsia="de-DE"/>
        </w:rPr>
        <w:t>ועל־שפם יעטה</w:t>
      </w:r>
      <w:r w:rsidRPr="009A13B9">
        <w:rPr>
          <w:rFonts w:eastAsia="Times New Roman" w:cs="Times New Roman"/>
          <w:rtl/>
          <w:lang w:eastAsia="de-DE"/>
        </w:rPr>
        <w:t xml:space="preserve"> </w:t>
      </w:r>
      <w:r w:rsidRPr="009A13B9">
        <w:rPr>
          <w:rFonts w:eastAsia="Times New Roman" w:cs="Times New Roman"/>
          <w:lang w:eastAsia="de-DE"/>
        </w:rPr>
        <w:t xml:space="preserve">als Verhüllung des Atembereichs. </w:t>
      </w:r>
      <w:r w:rsidRPr="009A13B9">
        <w:rPr>
          <w:rFonts w:eastAsia="Times New Roman" w:cs="Times New Roman"/>
          <w:b/>
          <w:bCs/>
          <w:rtl/>
          <w:lang w:eastAsia="de-DE"/>
        </w:rPr>
        <w:t>טמא טמא יקרא</w:t>
      </w:r>
      <w:r w:rsidRPr="009A13B9">
        <w:rPr>
          <w:rFonts w:eastAsia="Times New Roman" w:cs="Times New Roman"/>
          <w:rtl/>
          <w:lang w:eastAsia="de-DE"/>
        </w:rPr>
        <w:t xml:space="preserve"> </w:t>
      </w:r>
      <w:r w:rsidRPr="009A13B9">
        <w:rPr>
          <w:rFonts w:eastAsia="Times New Roman" w:cs="Times New Roman"/>
          <w:lang w:eastAsia="de-DE"/>
        </w:rPr>
        <w:t>als öffentliche Warnung vor Ansteckung.</w:t>
      </w:r>
    </w:p>
    <w:p w14:paraId="61A3C7C3" w14:textId="6E22FB49"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w:t>
      </w:r>
      <w:r w:rsidR="007660B2">
        <w:rPr>
          <w:rtl/>
        </w:rPr>
        <w:t>פרמים</w:t>
      </w:r>
      <w:r w:rsidR="007660B2">
        <w:t xml:space="preserve"> (</w:t>
      </w:r>
      <w:proofErr w:type="spellStart"/>
      <w:r w:rsidR="007660B2">
        <w:t>prumim</w:t>
      </w:r>
      <w:proofErr w:type="spellEnd"/>
      <w:r w:rsidR="007660B2">
        <w:t xml:space="preserve"> - "zerrissen") als παρα</w:t>
      </w:r>
      <w:proofErr w:type="spellStart"/>
      <w:r w:rsidR="007660B2">
        <w:t>λελυμέν</w:t>
      </w:r>
      <w:proofErr w:type="spellEnd"/>
      <w:r w:rsidR="007660B2">
        <w:t xml:space="preserve">α (gelockert/aufgelöst) und </w:t>
      </w:r>
      <w:r w:rsidR="007660B2">
        <w:rPr>
          <w:rtl/>
        </w:rPr>
        <w:t>פרוע</w:t>
      </w:r>
      <w:r w:rsidR="007660B2">
        <w:t xml:space="preserve"> (</w:t>
      </w:r>
      <w:proofErr w:type="spellStart"/>
      <w:r w:rsidR="007660B2">
        <w:t>parua</w:t>
      </w:r>
      <w:proofErr w:type="spellEnd"/>
      <w:r w:rsidR="007660B2">
        <w:t xml:space="preserve"> - "entblößt") als </w:t>
      </w:r>
      <w:proofErr w:type="spellStart"/>
      <w:r w:rsidR="007660B2">
        <w:t>ἀκ</w:t>
      </w:r>
      <w:proofErr w:type="spellEnd"/>
      <w:r w:rsidR="007660B2">
        <w:t xml:space="preserve">ατακάλυπτος (unbedeckt). Das hebräische </w:t>
      </w:r>
      <w:r w:rsidR="007660B2">
        <w:rPr>
          <w:rtl/>
        </w:rPr>
        <w:t>ועל־שפם יעטה</w:t>
      </w:r>
      <w:r w:rsidR="007660B2">
        <w:t xml:space="preserve"> (</w:t>
      </w:r>
      <w:proofErr w:type="spellStart"/>
      <w:r w:rsidR="007660B2">
        <w:t>we'al-safam</w:t>
      </w:r>
      <w:proofErr w:type="spellEnd"/>
      <w:r w:rsidR="007660B2">
        <w:t xml:space="preserve"> </w:t>
      </w:r>
      <w:proofErr w:type="spellStart"/>
      <w:r w:rsidR="007660B2">
        <w:t>ya'teh</w:t>
      </w:r>
      <w:proofErr w:type="spellEnd"/>
      <w:r w:rsidR="007660B2">
        <w:t xml:space="preserve"> - "und über den Mund soll er verhüllen") wird als π</w:t>
      </w:r>
      <w:proofErr w:type="spellStart"/>
      <w:r w:rsidR="007660B2">
        <w:t>ερὶ</w:t>
      </w:r>
      <w:proofErr w:type="spellEnd"/>
      <w:r w:rsidR="007660B2">
        <w:t xml:space="preserve"> </w:t>
      </w:r>
      <w:proofErr w:type="spellStart"/>
      <w:r w:rsidR="007660B2">
        <w:t>τὸ</w:t>
      </w:r>
      <w:proofErr w:type="spellEnd"/>
      <w:r w:rsidR="007660B2">
        <w:t xml:space="preserve"> </w:t>
      </w:r>
      <w:proofErr w:type="spellStart"/>
      <w:r w:rsidR="007660B2">
        <w:t>στόμ</w:t>
      </w:r>
      <w:proofErr w:type="spellEnd"/>
      <w:r w:rsidR="007660B2">
        <w:t>α α</w:t>
      </w:r>
      <w:proofErr w:type="spellStart"/>
      <w:r w:rsidR="007660B2">
        <w:t>ὐτοῦ</w:t>
      </w:r>
      <w:proofErr w:type="spellEnd"/>
      <w:r w:rsidR="007660B2">
        <w:t xml:space="preserve"> π</w:t>
      </w:r>
      <w:proofErr w:type="spellStart"/>
      <w:r w:rsidR="007660B2">
        <w:t>ερι</w:t>
      </w:r>
      <w:proofErr w:type="spellEnd"/>
      <w:r w:rsidR="007660B2">
        <w:t>βαλλέσθω wiedergegeben.</w:t>
      </w:r>
    </w:p>
    <w:p w14:paraId="633373D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umfassende Kennzeichnung: Personenspezifikation + vier äußere Kennzeichen als Imperative/Pflichten + Warnruf. Die Struktur etabliert totale äußere Kennzeichnung.</w:t>
      </w:r>
    </w:p>
    <w:p w14:paraId="47F0879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regelt die äußere Kennzeichnung von </w:t>
      </w:r>
      <w:r w:rsidRPr="009A13B9">
        <w:rPr>
          <w:rFonts w:eastAsia="Times New Roman" w:cs="Times New Roman"/>
          <w:b/>
          <w:bCs/>
          <w:rtl/>
          <w:lang w:eastAsia="de-DE"/>
        </w:rPr>
        <w:t>צרעת</w:t>
      </w:r>
      <w:r w:rsidRPr="009A13B9">
        <w:rPr>
          <w:rFonts w:eastAsia="Times New Roman" w:cs="Times New Roman"/>
          <w:lang w:eastAsia="de-DE"/>
        </w:rPr>
        <w:t>-Kranken durch zerrissene Kleider, ungepflegtes Haar, Bartverhüllung und Warnrufe.</w:t>
      </w:r>
    </w:p>
    <w:p w14:paraId="718F0020"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13,46</w:t>
      </w:r>
    </w:p>
    <w:p w14:paraId="1604BC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כָּל־יְמֵ֞י אֲשֶׁ֨ר הַנֶּ֥גַע בּוֹ֛ יִטְמָ֖א טָמֵ֣א ה֑וּא בָּדָ֣ד יֵשֵׁ֔ב מִח֥וּץ לַֽמַּחֲנֶ֖ה מוֹשָׁבוֹֽ׃</w:t>
      </w:r>
    </w:p>
    <w:p w14:paraId="4EADD0F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Alle Tage, da das Mal an ihm ist, soll er unrein sein; er ist unrein: allein soll er sitzen, außerhalb des Lagers soll sein Sitz sein.</w:t>
      </w:r>
    </w:p>
    <w:p w14:paraId="7D36D365"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5BCB7F6">
          <v:rect id="_x0000_i1377" style="width:0;height:1.5pt" o:hralign="center" o:hrstd="t" o:hr="t" fillcolor="#a0a0a0" stroked="f"/>
        </w:pict>
      </w:r>
    </w:p>
    <w:p w14:paraId="3B58BBF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כל־ימי אשר הנגע בו יטמא טמא הוא בדד ישב מחוץ למחנה מושבו</w:t>
      </w:r>
      <w:r w:rsidRPr="009A13B9">
        <w:rPr>
          <w:rFonts w:eastAsia="Times New Roman" w:cs="Times New Roman"/>
          <w:rtl/>
          <w:lang w:eastAsia="de-DE"/>
        </w:rPr>
        <w:t xml:space="preserve"> </w:t>
      </w:r>
      <w:r w:rsidRPr="009A13B9">
        <w:rPr>
          <w:rFonts w:eastAsia="Times New Roman" w:cs="Times New Roman"/>
          <w:lang w:eastAsia="de-DE"/>
        </w:rPr>
        <w:t xml:space="preserve">regelt die zeitliche und räumliche Isolation. </w:t>
      </w:r>
      <w:r w:rsidRPr="009A13B9">
        <w:rPr>
          <w:rFonts w:eastAsia="Times New Roman" w:cs="Times New Roman"/>
          <w:b/>
          <w:bCs/>
          <w:rtl/>
          <w:lang w:eastAsia="de-DE"/>
        </w:rPr>
        <w:t>כל־ימי אשר הנגע בו יטמא</w:t>
      </w:r>
      <w:r w:rsidRPr="009A13B9">
        <w:rPr>
          <w:rFonts w:eastAsia="Times New Roman" w:cs="Times New Roman"/>
          <w:rtl/>
          <w:lang w:eastAsia="de-DE"/>
        </w:rPr>
        <w:t xml:space="preserve"> </w:t>
      </w:r>
      <w:r w:rsidRPr="009A13B9">
        <w:rPr>
          <w:rFonts w:eastAsia="Times New Roman" w:cs="Times New Roman"/>
          <w:lang w:eastAsia="de-DE"/>
        </w:rPr>
        <w:t xml:space="preserve">(alle Tage, da das Mal an ihm ist, soll er unrein sein) - </w:t>
      </w:r>
      <w:r w:rsidRPr="009A13B9">
        <w:rPr>
          <w:rFonts w:eastAsia="Times New Roman" w:cs="Times New Roman"/>
          <w:b/>
          <w:bCs/>
          <w:rtl/>
          <w:lang w:eastAsia="de-DE"/>
        </w:rPr>
        <w:t>כל־ימי</w:t>
      </w:r>
      <w:r w:rsidRPr="009A13B9">
        <w:rPr>
          <w:rFonts w:eastAsia="Times New Roman" w:cs="Times New Roman"/>
          <w:rtl/>
          <w:lang w:eastAsia="de-DE"/>
        </w:rPr>
        <w:t xml:space="preserve"> </w:t>
      </w:r>
      <w:r w:rsidRPr="009A13B9">
        <w:rPr>
          <w:rFonts w:eastAsia="Times New Roman" w:cs="Times New Roman"/>
          <w:lang w:eastAsia="de-DE"/>
        </w:rPr>
        <w:t xml:space="preserve">(alle Tage) mit </w:t>
      </w:r>
      <w:r w:rsidRPr="009A13B9">
        <w:rPr>
          <w:rFonts w:eastAsia="Times New Roman" w:cs="Times New Roman"/>
          <w:b/>
          <w:bCs/>
          <w:rtl/>
          <w:lang w:eastAsia="de-DE"/>
        </w:rPr>
        <w:t>אשר הנגע בו</w:t>
      </w:r>
      <w:r w:rsidRPr="009A13B9">
        <w:rPr>
          <w:rFonts w:eastAsia="Times New Roman" w:cs="Times New Roman"/>
          <w:rtl/>
          <w:lang w:eastAsia="de-DE"/>
        </w:rPr>
        <w:t xml:space="preserve"> </w:t>
      </w:r>
      <w:r w:rsidRPr="009A13B9">
        <w:rPr>
          <w:rFonts w:eastAsia="Times New Roman" w:cs="Times New Roman"/>
          <w:lang w:eastAsia="de-DE"/>
        </w:rPr>
        <w:t xml:space="preserve">(da das Mal an ihm ist) zeigt Dauer der Unreinheit.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(unrein ist er) bekräftigt den Zustand.</w:t>
      </w:r>
    </w:p>
    <w:p w14:paraId="562F7FF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בדד ישב מחוץ למחנה מושבו</w:t>
      </w:r>
      <w:r w:rsidRPr="009A13B9">
        <w:rPr>
          <w:rFonts w:eastAsia="Times New Roman" w:cs="Times New Roman"/>
          <w:rtl/>
          <w:lang w:eastAsia="de-DE"/>
        </w:rPr>
        <w:t xml:space="preserve"> </w:t>
      </w:r>
      <w:r w:rsidRPr="009A13B9">
        <w:rPr>
          <w:rFonts w:eastAsia="Times New Roman" w:cs="Times New Roman"/>
          <w:lang w:eastAsia="de-DE"/>
        </w:rPr>
        <w:t xml:space="preserve">regelt die räumliche Isolation. </w:t>
      </w:r>
      <w:r w:rsidRPr="009A13B9">
        <w:rPr>
          <w:rFonts w:eastAsia="Times New Roman" w:cs="Times New Roman"/>
          <w:b/>
          <w:bCs/>
          <w:rtl/>
          <w:lang w:eastAsia="de-DE"/>
        </w:rPr>
        <w:t>בדד ישב</w:t>
      </w:r>
      <w:r w:rsidRPr="009A13B9">
        <w:rPr>
          <w:rFonts w:eastAsia="Times New Roman" w:cs="Times New Roman"/>
          <w:rtl/>
          <w:lang w:eastAsia="de-DE"/>
        </w:rPr>
        <w:t xml:space="preserve"> </w:t>
      </w:r>
      <w:r w:rsidRPr="009A13B9">
        <w:rPr>
          <w:rFonts w:eastAsia="Times New Roman" w:cs="Times New Roman"/>
          <w:lang w:eastAsia="de-DE"/>
        </w:rPr>
        <w:t xml:space="preserve">(allein soll er sitzen) - </w:t>
      </w:r>
      <w:r w:rsidRPr="009A13B9">
        <w:rPr>
          <w:rFonts w:eastAsia="Times New Roman" w:cs="Times New Roman"/>
          <w:b/>
          <w:bCs/>
          <w:rtl/>
          <w:lang w:eastAsia="de-DE"/>
        </w:rPr>
        <w:t>בדד</w:t>
      </w:r>
      <w:r w:rsidRPr="009A13B9">
        <w:rPr>
          <w:rFonts w:eastAsia="Times New Roman" w:cs="Times New Roman"/>
          <w:rtl/>
          <w:lang w:eastAsia="de-DE"/>
        </w:rPr>
        <w:t xml:space="preserve"> </w:t>
      </w:r>
      <w:r w:rsidRPr="009A13B9">
        <w:rPr>
          <w:rFonts w:eastAsia="Times New Roman" w:cs="Times New Roman"/>
          <w:lang w:eastAsia="de-DE"/>
        </w:rPr>
        <w:t xml:space="preserve">(allein/isoliert) zeigt soziale Trennung. </w:t>
      </w:r>
      <w:r w:rsidRPr="009A13B9">
        <w:rPr>
          <w:rFonts w:eastAsia="Times New Roman" w:cs="Times New Roman"/>
          <w:b/>
          <w:bCs/>
          <w:rtl/>
          <w:lang w:eastAsia="de-DE"/>
        </w:rPr>
        <w:t>מחוץ למחנה מושבו</w:t>
      </w:r>
      <w:r w:rsidRPr="009A13B9">
        <w:rPr>
          <w:rFonts w:eastAsia="Times New Roman" w:cs="Times New Roman"/>
          <w:rtl/>
          <w:lang w:eastAsia="de-DE"/>
        </w:rPr>
        <w:t xml:space="preserve"> </w:t>
      </w:r>
      <w:r w:rsidRPr="009A13B9">
        <w:rPr>
          <w:rFonts w:eastAsia="Times New Roman" w:cs="Times New Roman"/>
          <w:lang w:eastAsia="de-DE"/>
        </w:rPr>
        <w:t xml:space="preserve">(außerhalb des Lagers soll sein Sitz sein) - </w:t>
      </w:r>
      <w:r w:rsidRPr="009A13B9">
        <w:rPr>
          <w:rFonts w:eastAsia="Times New Roman" w:cs="Times New Roman"/>
          <w:b/>
          <w:bCs/>
          <w:rtl/>
          <w:lang w:eastAsia="de-DE"/>
        </w:rPr>
        <w:t>מחוץ למחנה</w:t>
      </w:r>
      <w:r w:rsidRPr="009A13B9">
        <w:rPr>
          <w:rFonts w:eastAsia="Times New Roman" w:cs="Times New Roman"/>
          <w:rtl/>
          <w:lang w:eastAsia="de-DE"/>
        </w:rPr>
        <w:t xml:space="preserve"> </w:t>
      </w:r>
      <w:r w:rsidRPr="009A13B9">
        <w:rPr>
          <w:rFonts w:eastAsia="Times New Roman" w:cs="Times New Roman"/>
          <w:lang w:eastAsia="de-DE"/>
        </w:rPr>
        <w:t xml:space="preserve">(außerhalb des Lagers) zeigt räumliche Trennung, </w:t>
      </w:r>
      <w:r w:rsidRPr="009A13B9">
        <w:rPr>
          <w:rFonts w:eastAsia="Times New Roman" w:cs="Times New Roman"/>
          <w:b/>
          <w:bCs/>
          <w:rtl/>
          <w:lang w:eastAsia="de-DE"/>
        </w:rPr>
        <w:t>מושבו</w:t>
      </w:r>
      <w:r w:rsidRPr="009A13B9">
        <w:rPr>
          <w:rFonts w:eastAsia="Times New Roman" w:cs="Times New Roman"/>
          <w:rtl/>
          <w:lang w:eastAsia="de-DE"/>
        </w:rPr>
        <w:t xml:space="preserve"> </w:t>
      </w:r>
      <w:r w:rsidRPr="009A13B9">
        <w:rPr>
          <w:rFonts w:eastAsia="Times New Roman" w:cs="Times New Roman"/>
          <w:lang w:eastAsia="de-DE"/>
        </w:rPr>
        <w:t>(sein Sitz/Wohnsitz) zeigt permanente Ansiedlung.</w:t>
      </w:r>
    </w:p>
    <w:p w14:paraId="774E12E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כל־ימי אשר הנגע בו</w:t>
      </w:r>
      <w:r w:rsidRPr="009A13B9">
        <w:rPr>
          <w:rFonts w:eastAsia="Times New Roman" w:cs="Times New Roman"/>
          <w:rtl/>
          <w:lang w:eastAsia="de-DE"/>
        </w:rPr>
        <w:t xml:space="preserve"> </w:t>
      </w:r>
      <w:r w:rsidRPr="009A13B9">
        <w:rPr>
          <w:rFonts w:eastAsia="Times New Roman" w:cs="Times New Roman"/>
          <w:lang w:eastAsia="de-DE"/>
        </w:rPr>
        <w:t xml:space="preserve">zeigt anhaltende Unreinheit solange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besteht. </w:t>
      </w:r>
      <w:r w:rsidRPr="009A13B9">
        <w:rPr>
          <w:rFonts w:eastAsia="Times New Roman" w:cs="Times New Roman"/>
          <w:b/>
          <w:bCs/>
          <w:rtl/>
          <w:lang w:eastAsia="de-DE"/>
        </w:rPr>
        <w:t>בדד ישב</w:t>
      </w:r>
      <w:r w:rsidRPr="009A13B9">
        <w:rPr>
          <w:rFonts w:eastAsia="Times New Roman" w:cs="Times New Roman"/>
          <w:rtl/>
          <w:lang w:eastAsia="de-DE"/>
        </w:rPr>
        <w:t xml:space="preserve"> </w:t>
      </w:r>
      <w:r w:rsidRPr="009A13B9">
        <w:rPr>
          <w:rFonts w:eastAsia="Times New Roman" w:cs="Times New Roman"/>
          <w:lang w:eastAsia="de-DE"/>
        </w:rPr>
        <w:t xml:space="preserve">verhindert soziale Kontakte. </w:t>
      </w:r>
      <w:r w:rsidRPr="009A13B9">
        <w:rPr>
          <w:rFonts w:eastAsia="Times New Roman" w:cs="Times New Roman"/>
          <w:b/>
          <w:bCs/>
          <w:rtl/>
          <w:lang w:eastAsia="de-DE"/>
        </w:rPr>
        <w:t>מחוץ למחנה מושבו</w:t>
      </w:r>
      <w:r w:rsidRPr="009A13B9">
        <w:rPr>
          <w:rFonts w:eastAsia="Times New Roman" w:cs="Times New Roman"/>
          <w:rtl/>
          <w:lang w:eastAsia="de-DE"/>
        </w:rPr>
        <w:t xml:space="preserve"> </w:t>
      </w:r>
      <w:r w:rsidRPr="009A13B9">
        <w:rPr>
          <w:rFonts w:eastAsia="Times New Roman" w:cs="Times New Roman"/>
          <w:lang w:eastAsia="de-DE"/>
        </w:rPr>
        <w:t>etabliert dauerhafte Siedlung außerhalb der Gemeinschaft.</w:t>
      </w:r>
    </w:p>
    <w:p w14:paraId="0937394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LXX</w:t>
      </w:r>
      <w:r w:rsidRPr="009A13B9">
        <w:rPr>
          <w:rFonts w:eastAsia="Times New Roman" w:cs="Times New Roman"/>
          <w:lang w:eastAsia="de-DE"/>
        </w:rPr>
        <w:t xml:space="preserve"> übersetzt </w:t>
      </w:r>
      <w:r w:rsidRPr="009A13B9">
        <w:rPr>
          <w:rFonts w:eastAsia="Times New Roman" w:cs="Times New Roman"/>
          <w:b/>
          <w:bCs/>
          <w:rtl/>
          <w:lang w:eastAsia="de-DE"/>
        </w:rPr>
        <w:t>כל־ימי</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άσ</w:t>
      </w:r>
      <w:proofErr w:type="spellEnd"/>
      <w:r w:rsidRPr="009A13B9">
        <w:rPr>
          <w:rFonts w:eastAsia="Times New Roman" w:cs="Times New Roman"/>
          <w:lang w:eastAsia="de-DE"/>
        </w:rPr>
        <w:t xml:space="preserve">ας </w:t>
      </w:r>
      <w:proofErr w:type="spellStart"/>
      <w:r w:rsidRPr="009A13B9">
        <w:rPr>
          <w:rFonts w:eastAsia="Times New Roman" w:cs="Times New Roman"/>
          <w:lang w:eastAsia="de-DE"/>
        </w:rPr>
        <w:t>τὰς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ἡμέρ</w:t>
      </w:r>
      <w:proofErr w:type="spellEnd"/>
      <w:r w:rsidRPr="009A13B9">
        <w:rPr>
          <w:rFonts w:eastAsia="Times New Roman" w:cs="Times New Roman"/>
          <w:lang w:eastAsia="de-DE"/>
        </w:rPr>
        <w:t xml:space="preserve">ας (alle Tage), </w:t>
      </w:r>
      <w:r w:rsidRPr="009A13B9">
        <w:rPr>
          <w:rFonts w:eastAsia="Times New Roman" w:cs="Times New Roman"/>
          <w:b/>
          <w:bCs/>
          <w:rtl/>
          <w:lang w:eastAsia="de-DE"/>
        </w:rPr>
        <w:t>בדד ישב</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μόνος</w:t>
      </w:r>
      <w:proofErr w:type="spellEnd"/>
      <w:r w:rsidRPr="009A13B9">
        <w:rPr>
          <w:rFonts w:eastAsia="Times New Roman" w:cs="Times New Roman"/>
          <w:lang w:eastAsia="de-DE"/>
        </w:rPr>
        <w:t xml:space="preserve"> κα</w:t>
      </w:r>
      <w:proofErr w:type="spellStart"/>
      <w:r w:rsidRPr="009A13B9">
        <w:rPr>
          <w:rFonts w:eastAsia="Times New Roman" w:cs="Times New Roman"/>
          <w:lang w:eastAsia="de-DE"/>
        </w:rPr>
        <w:t>θήσετ</w:t>
      </w:r>
      <w:proofErr w:type="spellEnd"/>
      <w:r w:rsidRPr="009A13B9">
        <w:rPr>
          <w:rFonts w:eastAsia="Times New Roman" w:cs="Times New Roman"/>
          <w:lang w:eastAsia="de-DE"/>
        </w:rPr>
        <w:t xml:space="preserve">αι (allein wird er sitzen) und </w:t>
      </w:r>
      <w:r w:rsidRPr="009A13B9">
        <w:rPr>
          <w:rFonts w:eastAsia="Times New Roman" w:cs="Times New Roman"/>
          <w:b/>
          <w:bCs/>
          <w:rtl/>
          <w:lang w:eastAsia="de-DE"/>
        </w:rPr>
        <w:t>מחוץ למחנה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ἔξω</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τῆς</w:t>
      </w:r>
      <w:proofErr w:type="spellEnd"/>
      <w:r w:rsidRPr="009A13B9">
        <w:rPr>
          <w:rFonts w:eastAsia="Times New Roman" w:cs="Times New Roman"/>
          <w:lang w:eastAsia="de-DE"/>
        </w:rPr>
        <w:t xml:space="preserve"> πα</w:t>
      </w:r>
      <w:proofErr w:type="spellStart"/>
      <w:r w:rsidRPr="009A13B9">
        <w:rPr>
          <w:rFonts w:eastAsia="Times New Roman" w:cs="Times New Roman"/>
          <w:lang w:eastAsia="de-DE"/>
        </w:rPr>
        <w:t>ρεμ</w:t>
      </w:r>
      <w:proofErr w:type="spellEnd"/>
      <w:r w:rsidRPr="009A13B9">
        <w:rPr>
          <w:rFonts w:eastAsia="Times New Roman" w:cs="Times New Roman"/>
          <w:lang w:eastAsia="de-DE"/>
        </w:rPr>
        <w:t>βολῆς (außerhalb des Lagers).</w:t>
      </w:r>
    </w:p>
    <w:p w14:paraId="269C1B4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totale Isolation: zeitliche Dauer + Unreinheitsbestätigung + soziale Isolation + räumliche Trennung + Wohnsitzregelung. Die Struktur etabliert vollständige Quarantäne.</w:t>
      </w:r>
    </w:p>
    <w:p w14:paraId="4DD024A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regelt die totale zeitliche und räumliche Isolation von </w:t>
      </w:r>
      <w:r w:rsidRPr="009A13B9">
        <w:rPr>
          <w:rFonts w:eastAsia="Times New Roman" w:cs="Times New Roman"/>
          <w:b/>
          <w:bCs/>
          <w:rtl/>
          <w:lang w:eastAsia="de-DE"/>
        </w:rPr>
        <w:t>צרעת</w:t>
      </w:r>
      <w:r w:rsidRPr="009A13B9">
        <w:rPr>
          <w:rFonts w:eastAsia="Times New Roman" w:cs="Times New Roman"/>
          <w:lang w:eastAsia="de-DE"/>
        </w:rPr>
        <w:t>-Kranken außerhalb der Gemeinschaft.</w:t>
      </w:r>
    </w:p>
    <w:p w14:paraId="429BE123"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13,47</w:t>
      </w:r>
    </w:p>
    <w:p w14:paraId="7118D72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וְהַבֶּ֕גֶד כִּֽי־יִהְיֶ֥ה בוֹ֖ נֶ֣גַע צָרָ֑עַת בְּבֶ֣גֶד צֶ֔מֶר א֖וֹ בְּבֶ֥גֶד פִּשְׁתִּֽים׃</w:t>
      </w:r>
    </w:p>
    <w:p w14:paraId="6101D78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an einem Kleid ein Aussatzmal ist, an einem Wollkleid oder an einem Leinenkleid,</w:t>
      </w:r>
    </w:p>
    <w:p w14:paraId="1EB6BF2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B715333">
          <v:rect id="_x0000_i1378" style="width:0;height:1.5pt" o:hralign="center" o:hrstd="t" o:hr="t" fillcolor="#a0a0a0" stroked="f"/>
        </w:pict>
      </w:r>
    </w:p>
    <w:p w14:paraId="63CFCB8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והבגד כי־יהיה בו נגע צרעת בבגד צמר או בבגד פשתים</w:t>
      </w:r>
      <w:r w:rsidRPr="009A13B9">
        <w:rPr>
          <w:rFonts w:eastAsia="Times New Roman" w:cs="Times New Roman"/>
          <w:rtl/>
          <w:lang w:eastAsia="de-DE"/>
        </w:rPr>
        <w:t xml:space="preserve"> </w:t>
      </w:r>
      <w:r w:rsidRPr="009A13B9">
        <w:rPr>
          <w:rFonts w:eastAsia="Times New Roman" w:cs="Times New Roman"/>
          <w:lang w:eastAsia="de-DE"/>
        </w:rPr>
        <w:t xml:space="preserve">leitet einen neuen Abschnitt über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an Textilien ein. </w:t>
      </w:r>
      <w:r w:rsidRPr="009A13B9">
        <w:rPr>
          <w:rFonts w:eastAsia="Times New Roman" w:cs="Times New Roman"/>
          <w:b/>
          <w:bCs/>
          <w:rtl/>
          <w:lang w:eastAsia="de-DE"/>
        </w:rPr>
        <w:t>והבגד</w:t>
      </w:r>
      <w:r w:rsidRPr="009A13B9">
        <w:rPr>
          <w:rFonts w:eastAsia="Times New Roman" w:cs="Times New Roman"/>
          <w:rtl/>
          <w:lang w:eastAsia="de-DE"/>
        </w:rPr>
        <w:t xml:space="preserve"> </w:t>
      </w:r>
      <w:r w:rsidRPr="009A13B9">
        <w:rPr>
          <w:rFonts w:eastAsia="Times New Roman" w:cs="Times New Roman"/>
          <w:lang w:eastAsia="de-DE"/>
        </w:rPr>
        <w:t xml:space="preserve">(und das Kleid) als neues Thema. </w:t>
      </w:r>
      <w:r w:rsidRPr="009A13B9">
        <w:rPr>
          <w:rFonts w:eastAsia="Times New Roman" w:cs="Times New Roman"/>
          <w:b/>
          <w:bCs/>
          <w:rtl/>
          <w:lang w:eastAsia="de-DE"/>
        </w:rPr>
        <w:t>כי־יהיה בו נגע צרעת</w:t>
      </w:r>
      <w:r w:rsidRPr="009A13B9">
        <w:rPr>
          <w:rFonts w:eastAsia="Times New Roman" w:cs="Times New Roman"/>
          <w:rtl/>
          <w:lang w:eastAsia="de-DE"/>
        </w:rPr>
        <w:t xml:space="preserve"> </w:t>
      </w:r>
      <w:r w:rsidRPr="009A13B9">
        <w:rPr>
          <w:rFonts w:eastAsia="Times New Roman" w:cs="Times New Roman"/>
          <w:lang w:eastAsia="de-DE"/>
        </w:rPr>
        <w:t xml:space="preserve">(wenn an ihm ein Aussatzmal ist) - </w:t>
      </w:r>
      <w:r w:rsidRPr="009A13B9">
        <w:rPr>
          <w:rFonts w:eastAsia="Times New Roman" w:cs="Times New Roman"/>
          <w:b/>
          <w:bCs/>
          <w:rtl/>
          <w:lang w:eastAsia="de-DE"/>
        </w:rPr>
        <w:t>נגע צרעת</w:t>
      </w:r>
      <w:r w:rsidRPr="009A13B9">
        <w:rPr>
          <w:rFonts w:eastAsia="Times New Roman" w:cs="Times New Roman"/>
          <w:rtl/>
          <w:lang w:eastAsia="de-DE"/>
        </w:rPr>
        <w:t xml:space="preserve"> </w:t>
      </w:r>
      <w:r w:rsidRPr="009A13B9">
        <w:rPr>
          <w:rFonts w:eastAsia="Times New Roman" w:cs="Times New Roman"/>
          <w:lang w:eastAsia="de-DE"/>
        </w:rPr>
        <w:t xml:space="preserve">als Genitivkonstruktion zeigt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an unbelebten Objekten. </w:t>
      </w:r>
      <w:r w:rsidRPr="009A13B9">
        <w:rPr>
          <w:rFonts w:eastAsia="Times New Roman" w:cs="Times New Roman"/>
          <w:b/>
          <w:bCs/>
          <w:rtl/>
          <w:lang w:eastAsia="de-DE"/>
        </w:rPr>
        <w:t>בבגד צמר או בבגד פשתים</w:t>
      </w:r>
      <w:r w:rsidRPr="009A13B9">
        <w:rPr>
          <w:rFonts w:eastAsia="Times New Roman" w:cs="Times New Roman"/>
          <w:rtl/>
          <w:lang w:eastAsia="de-DE"/>
        </w:rPr>
        <w:t xml:space="preserve"> </w:t>
      </w:r>
      <w:r w:rsidRPr="009A13B9">
        <w:rPr>
          <w:rFonts w:eastAsia="Times New Roman" w:cs="Times New Roman"/>
          <w:lang w:eastAsia="de-DE"/>
        </w:rPr>
        <w:t xml:space="preserve">(an einem Wollkleid oder an einem Leinenkleid) - </w:t>
      </w:r>
      <w:r w:rsidRPr="009A13B9">
        <w:rPr>
          <w:rFonts w:eastAsia="Times New Roman" w:cs="Times New Roman"/>
          <w:b/>
          <w:bCs/>
          <w:rtl/>
          <w:lang w:eastAsia="de-DE"/>
        </w:rPr>
        <w:t>בגד צמר</w:t>
      </w:r>
      <w:r w:rsidRPr="009A13B9">
        <w:rPr>
          <w:rFonts w:eastAsia="Times New Roman" w:cs="Times New Roman"/>
          <w:rtl/>
          <w:lang w:eastAsia="de-DE"/>
        </w:rPr>
        <w:t xml:space="preserve"> </w:t>
      </w:r>
      <w:r w:rsidRPr="009A13B9">
        <w:rPr>
          <w:rFonts w:eastAsia="Times New Roman" w:cs="Times New Roman"/>
          <w:lang w:eastAsia="de-DE"/>
        </w:rPr>
        <w:t xml:space="preserve">(Wollkleid) und </w:t>
      </w:r>
      <w:r w:rsidRPr="009A13B9">
        <w:rPr>
          <w:rFonts w:eastAsia="Times New Roman" w:cs="Times New Roman"/>
          <w:b/>
          <w:bCs/>
          <w:rtl/>
          <w:lang w:eastAsia="de-DE"/>
        </w:rPr>
        <w:t>בגד פשתים</w:t>
      </w:r>
      <w:r w:rsidRPr="009A13B9">
        <w:rPr>
          <w:rFonts w:eastAsia="Times New Roman" w:cs="Times New Roman"/>
          <w:rtl/>
          <w:lang w:eastAsia="de-DE"/>
        </w:rPr>
        <w:t xml:space="preserve"> </w:t>
      </w:r>
      <w:r w:rsidRPr="009A13B9">
        <w:rPr>
          <w:rFonts w:eastAsia="Times New Roman" w:cs="Times New Roman"/>
          <w:lang w:eastAsia="de-DE"/>
        </w:rPr>
        <w:t>(Leinenkleid) als zwei Haupttextilarten.</w:t>
      </w:r>
    </w:p>
    <w:p w14:paraId="35BEDE4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נגע צרעת</w:t>
      </w:r>
      <w:r w:rsidRPr="009A13B9">
        <w:rPr>
          <w:rFonts w:eastAsia="Times New Roman" w:cs="Times New Roman"/>
          <w:rtl/>
          <w:lang w:eastAsia="de-DE"/>
        </w:rPr>
        <w:t xml:space="preserve"> </w:t>
      </w:r>
      <w:r w:rsidRPr="009A13B9">
        <w:rPr>
          <w:rFonts w:eastAsia="Times New Roman" w:cs="Times New Roman"/>
          <w:lang w:eastAsia="de-DE"/>
        </w:rPr>
        <w:t xml:space="preserve">an Textilien zeigt, dass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nicht nur Menschen, sondern auch Gegenstände befallen kann. </w:t>
      </w:r>
      <w:r w:rsidRPr="009A13B9">
        <w:rPr>
          <w:rFonts w:eastAsia="Times New Roman" w:cs="Times New Roman"/>
          <w:b/>
          <w:bCs/>
          <w:rtl/>
          <w:lang w:eastAsia="de-DE"/>
        </w:rPr>
        <w:t>צמר</w:t>
      </w:r>
      <w:r w:rsidRPr="009A13B9">
        <w:rPr>
          <w:rFonts w:eastAsia="Times New Roman" w:cs="Times New Roman"/>
          <w:rtl/>
          <w:lang w:eastAsia="de-DE"/>
        </w:rPr>
        <w:t xml:space="preserve"> </w:t>
      </w:r>
      <w:r w:rsidRPr="009A13B9">
        <w:rPr>
          <w:rFonts w:eastAsia="Times New Roman" w:cs="Times New Roman"/>
          <w:lang w:eastAsia="de-DE"/>
        </w:rPr>
        <w:t xml:space="preserve">(Wolle) und </w:t>
      </w:r>
      <w:r w:rsidRPr="009A13B9">
        <w:rPr>
          <w:rFonts w:eastAsia="Times New Roman" w:cs="Times New Roman"/>
          <w:b/>
          <w:bCs/>
          <w:rtl/>
          <w:lang w:eastAsia="de-DE"/>
        </w:rPr>
        <w:t>פשתים</w:t>
      </w:r>
      <w:r w:rsidRPr="009A13B9">
        <w:rPr>
          <w:rFonts w:eastAsia="Times New Roman" w:cs="Times New Roman"/>
          <w:rtl/>
          <w:lang w:eastAsia="de-DE"/>
        </w:rPr>
        <w:t xml:space="preserve"> </w:t>
      </w:r>
      <w:r w:rsidRPr="009A13B9">
        <w:rPr>
          <w:rFonts w:eastAsia="Times New Roman" w:cs="Times New Roman"/>
          <w:lang w:eastAsia="de-DE"/>
        </w:rPr>
        <w:t>(Leinen/Flachs) als die beiden wichtigsten Textilfasern der Zeit.</w:t>
      </w:r>
    </w:p>
    <w:p w14:paraId="7661BEB3" w14:textId="32B4E4C7" w:rsidR="009A13B9" w:rsidRPr="009A13B9" w:rsidRDefault="007660B2" w:rsidP="009A13B9">
      <w:pPr>
        <w:spacing w:before="100" w:beforeAutospacing="1" w:after="100" w:afterAutospacing="1" w:line="240" w:lineRule="auto"/>
        <w:rPr>
          <w:rFonts w:eastAsia="Times New Roman" w:cs="Times New Roman"/>
          <w:lang w:eastAsia="de-DE"/>
        </w:rPr>
      </w:pPr>
      <w:r>
        <w:rPr>
          <w:rStyle w:val="Fett"/>
        </w:rPr>
        <w:t>Vers 47-48</w:t>
      </w:r>
      <w:r>
        <w:t xml:space="preserve">: </w:t>
      </w:r>
      <w:r>
        <w:rPr>
          <w:rStyle w:val="Fett"/>
        </w:rPr>
        <w:t>Die LXX</w:t>
      </w:r>
      <w:r>
        <w:t xml:space="preserve"> übersetzt die Textilbegriffe: </w:t>
      </w:r>
      <w:r>
        <w:rPr>
          <w:rtl/>
        </w:rPr>
        <w:t>צמר</w:t>
      </w:r>
      <w:r>
        <w:t xml:space="preserve"> als </w:t>
      </w:r>
      <w:proofErr w:type="spellStart"/>
      <w:r>
        <w:t>ἐρεῷ</w:t>
      </w:r>
      <w:proofErr w:type="spellEnd"/>
      <w:r>
        <w:t xml:space="preserve"> (Woll-), </w:t>
      </w:r>
      <w:r>
        <w:rPr>
          <w:rtl/>
        </w:rPr>
        <w:t>פשתים</w:t>
      </w:r>
      <w:r>
        <w:t xml:space="preserve"> als </w:t>
      </w:r>
      <w:proofErr w:type="spellStart"/>
      <w:r>
        <w:t>στι</w:t>
      </w:r>
      <w:proofErr w:type="spellEnd"/>
      <w:r>
        <w:t xml:space="preserve">ππυίνῳ (Lein-), </w:t>
      </w:r>
      <w:r>
        <w:rPr>
          <w:rtl/>
        </w:rPr>
        <w:t>שתי</w:t>
      </w:r>
      <w:r>
        <w:t xml:space="preserve"> als </w:t>
      </w:r>
      <w:proofErr w:type="spellStart"/>
      <w:r>
        <w:t>στήμονι</w:t>
      </w:r>
      <w:proofErr w:type="spellEnd"/>
      <w:r>
        <w:t xml:space="preserve"> (Kette), und </w:t>
      </w:r>
      <w:r>
        <w:rPr>
          <w:rtl/>
        </w:rPr>
        <w:t>ערב</w:t>
      </w:r>
      <w:r>
        <w:t xml:space="preserve"> als </w:t>
      </w:r>
      <w:proofErr w:type="spellStart"/>
      <w:r>
        <w:t>κρόκῃ</w:t>
      </w:r>
      <w:proofErr w:type="spellEnd"/>
      <w:r>
        <w:t xml:space="preserve"> (Einschlag).</w:t>
      </w:r>
    </w:p>
    <w:p w14:paraId="1EDDDD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neue Kategorie: neues Thema + Konditionalsatz + zwei Materialspezifikationen. Die Struktur leitet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ein.</w:t>
      </w:r>
    </w:p>
    <w:p w14:paraId="408FF66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leitet die Regelung für </w:t>
      </w:r>
      <w:r w:rsidRPr="009A13B9">
        <w:rPr>
          <w:rFonts w:eastAsia="Times New Roman" w:cs="Times New Roman"/>
          <w:b/>
          <w:bCs/>
          <w:rtl/>
          <w:lang w:eastAsia="de-DE"/>
        </w:rPr>
        <w:t>צרעת</w:t>
      </w:r>
      <w:r w:rsidRPr="009A13B9">
        <w:rPr>
          <w:rFonts w:eastAsia="Times New Roman" w:cs="Times New Roman"/>
          <w:lang w:eastAsia="de-DE"/>
        </w:rPr>
        <w:t>-Befall an Woll- und Leinenkleidern ein.</w:t>
      </w:r>
    </w:p>
    <w:p w14:paraId="6DED5C82"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13,48</w:t>
      </w:r>
    </w:p>
    <w:p w14:paraId="4602C7C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א֤וֹ בִֽשְׁתִי֙ א֣וֹ בְעֵ֔רֶב לַפִּשְׁתִּ֖ים וְלַצָּ֑מֶר א֣וֹ בְע֔וֹר א֖וֹ בְּכָל־מְלֶ֥אכֶת עֽוֹר׃</w:t>
      </w:r>
    </w:p>
    <w:p w14:paraId="73B82F4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oder an Kette oder an Einschlag von Leinen oder von Wolle, oder an einem Fell oder an irgendeiner Arbeit von Fell,</w:t>
      </w:r>
    </w:p>
    <w:p w14:paraId="7BFACA40"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5919A21">
          <v:rect id="_x0000_i1379" style="width:0;height:1.5pt" o:hralign="center" o:hrstd="t" o:hr="t" fillcolor="#a0a0a0" stroked="f"/>
        </w:pict>
      </w:r>
    </w:p>
    <w:p w14:paraId="5F2DE51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או בשתי או בערב לפשתים ולצמר או בעור או בכל־מלאכת עור</w:t>
      </w:r>
      <w:r w:rsidRPr="009A13B9">
        <w:rPr>
          <w:rFonts w:eastAsia="Times New Roman" w:cs="Times New Roman"/>
          <w:rtl/>
          <w:lang w:eastAsia="de-DE"/>
        </w:rPr>
        <w:t xml:space="preserve"> </w:t>
      </w:r>
      <w:r w:rsidRPr="009A13B9">
        <w:rPr>
          <w:rFonts w:eastAsia="Times New Roman" w:cs="Times New Roman"/>
          <w:lang w:eastAsia="de-DE"/>
        </w:rPr>
        <w:t xml:space="preserve">erweitert die Materialien und Verarbeitungsformen. </w:t>
      </w:r>
      <w:r w:rsidRPr="009A13B9">
        <w:rPr>
          <w:rFonts w:eastAsia="Times New Roman" w:cs="Times New Roman"/>
          <w:b/>
          <w:bCs/>
          <w:rtl/>
          <w:lang w:eastAsia="de-DE"/>
        </w:rPr>
        <w:t>או בשתי או בערב</w:t>
      </w:r>
      <w:r w:rsidRPr="009A13B9">
        <w:rPr>
          <w:rFonts w:eastAsia="Times New Roman" w:cs="Times New Roman"/>
          <w:rtl/>
          <w:lang w:eastAsia="de-DE"/>
        </w:rPr>
        <w:t xml:space="preserve"> </w:t>
      </w:r>
      <w:r w:rsidRPr="009A13B9">
        <w:rPr>
          <w:rFonts w:eastAsia="Times New Roman" w:cs="Times New Roman"/>
          <w:lang w:eastAsia="de-DE"/>
        </w:rPr>
        <w:t xml:space="preserve">(oder an Kette oder an Einschlag) - </w:t>
      </w:r>
      <w:r w:rsidRPr="009A13B9">
        <w:rPr>
          <w:rFonts w:eastAsia="Times New Roman" w:cs="Times New Roman"/>
          <w:b/>
          <w:bCs/>
          <w:rtl/>
          <w:lang w:eastAsia="de-DE"/>
        </w:rPr>
        <w:t>שתי</w:t>
      </w:r>
      <w:r w:rsidRPr="009A13B9">
        <w:rPr>
          <w:rFonts w:eastAsia="Times New Roman" w:cs="Times New Roman"/>
          <w:rtl/>
          <w:lang w:eastAsia="de-DE"/>
        </w:rPr>
        <w:t xml:space="preserve"> </w:t>
      </w:r>
      <w:r w:rsidRPr="009A13B9">
        <w:rPr>
          <w:rFonts w:eastAsia="Times New Roman" w:cs="Times New Roman"/>
          <w:lang w:eastAsia="de-DE"/>
        </w:rPr>
        <w:t xml:space="preserve">(Kette/Längsfäden) und </w:t>
      </w:r>
      <w:r w:rsidRPr="009A13B9">
        <w:rPr>
          <w:rFonts w:eastAsia="Times New Roman" w:cs="Times New Roman"/>
          <w:b/>
          <w:bCs/>
          <w:rtl/>
          <w:lang w:eastAsia="de-DE"/>
        </w:rPr>
        <w:t>ערב</w:t>
      </w:r>
      <w:r w:rsidRPr="009A13B9">
        <w:rPr>
          <w:rFonts w:eastAsia="Times New Roman" w:cs="Times New Roman"/>
          <w:rtl/>
          <w:lang w:eastAsia="de-DE"/>
        </w:rPr>
        <w:t xml:space="preserve"> </w:t>
      </w:r>
      <w:r w:rsidRPr="009A13B9">
        <w:rPr>
          <w:rFonts w:eastAsia="Times New Roman" w:cs="Times New Roman"/>
          <w:lang w:eastAsia="de-DE"/>
        </w:rPr>
        <w:t xml:space="preserve">(Einschlag/Querfäden) sind die beiden Grundkomponenten </w:t>
      </w:r>
      <w:r w:rsidRPr="009A13B9">
        <w:rPr>
          <w:rFonts w:eastAsia="Times New Roman" w:cs="Times New Roman"/>
          <w:lang w:eastAsia="de-DE"/>
        </w:rPr>
        <w:lastRenderedPageBreak/>
        <w:t xml:space="preserve">des Webens. </w:t>
      </w:r>
      <w:r w:rsidRPr="009A13B9">
        <w:rPr>
          <w:rFonts w:eastAsia="Times New Roman" w:cs="Times New Roman"/>
          <w:b/>
          <w:bCs/>
          <w:rtl/>
          <w:lang w:eastAsia="de-DE"/>
        </w:rPr>
        <w:t>לפשתים ולצמר</w:t>
      </w:r>
      <w:r w:rsidRPr="009A13B9">
        <w:rPr>
          <w:rFonts w:eastAsia="Times New Roman" w:cs="Times New Roman"/>
          <w:rtl/>
          <w:lang w:eastAsia="de-DE"/>
        </w:rPr>
        <w:t xml:space="preserve"> </w:t>
      </w:r>
      <w:r w:rsidRPr="009A13B9">
        <w:rPr>
          <w:rFonts w:eastAsia="Times New Roman" w:cs="Times New Roman"/>
          <w:lang w:eastAsia="de-DE"/>
        </w:rPr>
        <w:t>(von Leinen und von Wolle) zeigt, dass beide Faserarten betroffen sein können.</w:t>
      </w:r>
    </w:p>
    <w:p w14:paraId="7EB9CC0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או בעור או בכל־מלאכת עור</w:t>
      </w:r>
      <w:r w:rsidRPr="009A13B9">
        <w:rPr>
          <w:rFonts w:eastAsia="Times New Roman" w:cs="Times New Roman"/>
          <w:rtl/>
          <w:lang w:eastAsia="de-DE"/>
        </w:rPr>
        <w:t xml:space="preserve"> </w:t>
      </w:r>
      <w:r w:rsidRPr="009A13B9">
        <w:rPr>
          <w:rFonts w:eastAsia="Times New Roman" w:cs="Times New Roman"/>
          <w:lang w:eastAsia="de-DE"/>
        </w:rPr>
        <w:t xml:space="preserve">(oder an einem Fell oder an irgendeiner Arbeit von Fell) erweitert auf Lederprodukte. </w:t>
      </w:r>
      <w:r w:rsidRPr="009A13B9">
        <w:rPr>
          <w:rFonts w:eastAsia="Times New Roman" w:cs="Times New Roman"/>
          <w:b/>
          <w:bCs/>
          <w:rtl/>
          <w:lang w:eastAsia="de-DE"/>
        </w:rPr>
        <w:t>עור</w:t>
      </w:r>
      <w:r w:rsidRPr="009A13B9">
        <w:rPr>
          <w:rFonts w:eastAsia="Times New Roman" w:cs="Times New Roman"/>
          <w:rtl/>
          <w:lang w:eastAsia="de-DE"/>
        </w:rPr>
        <w:t xml:space="preserve"> </w:t>
      </w:r>
      <w:r w:rsidRPr="009A13B9">
        <w:rPr>
          <w:rFonts w:eastAsia="Times New Roman" w:cs="Times New Roman"/>
          <w:lang w:eastAsia="de-DE"/>
        </w:rPr>
        <w:t xml:space="preserve">(Fell/Leder) als drittes Material. </w:t>
      </w:r>
      <w:r w:rsidRPr="009A13B9">
        <w:rPr>
          <w:rFonts w:eastAsia="Times New Roman" w:cs="Times New Roman"/>
          <w:b/>
          <w:bCs/>
          <w:rtl/>
          <w:lang w:eastAsia="de-DE"/>
        </w:rPr>
        <w:t>כל־מלאכת עור</w:t>
      </w:r>
      <w:r w:rsidRPr="009A13B9">
        <w:rPr>
          <w:rFonts w:eastAsia="Times New Roman" w:cs="Times New Roman"/>
          <w:rtl/>
          <w:lang w:eastAsia="de-DE"/>
        </w:rPr>
        <w:t xml:space="preserve"> </w:t>
      </w:r>
      <w:r w:rsidRPr="009A13B9">
        <w:rPr>
          <w:rFonts w:eastAsia="Times New Roman" w:cs="Times New Roman"/>
          <w:lang w:eastAsia="de-DE"/>
        </w:rPr>
        <w:t>(jede Arbeit von Fell) umfasst alle Ledererzeugnisse.</w:t>
      </w:r>
    </w:p>
    <w:p w14:paraId="38D66A9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שתי</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ערב</w:t>
      </w:r>
      <w:r w:rsidRPr="009A13B9">
        <w:rPr>
          <w:rFonts w:eastAsia="Times New Roman" w:cs="Times New Roman"/>
          <w:rtl/>
          <w:lang w:eastAsia="de-DE"/>
        </w:rPr>
        <w:t xml:space="preserve"> </w:t>
      </w:r>
      <w:r w:rsidRPr="009A13B9">
        <w:rPr>
          <w:rFonts w:eastAsia="Times New Roman" w:cs="Times New Roman"/>
          <w:lang w:eastAsia="de-DE"/>
        </w:rPr>
        <w:t xml:space="preserve">zeigen, dass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sowohl fertige Gewebe als auch einzelne Fäden befallen kann. </w:t>
      </w:r>
      <w:r w:rsidRPr="009A13B9">
        <w:rPr>
          <w:rFonts w:eastAsia="Times New Roman" w:cs="Times New Roman"/>
          <w:b/>
          <w:bCs/>
          <w:rtl/>
          <w:lang w:eastAsia="de-DE"/>
        </w:rPr>
        <w:t>מלאכת עור</w:t>
      </w:r>
      <w:r w:rsidRPr="009A13B9">
        <w:rPr>
          <w:rFonts w:eastAsia="Times New Roman" w:cs="Times New Roman"/>
          <w:rtl/>
          <w:lang w:eastAsia="de-DE"/>
        </w:rPr>
        <w:t xml:space="preserve"> </w:t>
      </w:r>
      <w:r w:rsidRPr="009A13B9">
        <w:rPr>
          <w:rFonts w:eastAsia="Times New Roman" w:cs="Times New Roman"/>
          <w:lang w:eastAsia="de-DE"/>
        </w:rPr>
        <w:t>umfasst alle handwerklichen Lederprodukte wie Riemen, Taschen, Schuhe.</w:t>
      </w:r>
    </w:p>
    <w:p w14:paraId="14C2EDC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שתי</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στήμονι</w:t>
      </w:r>
      <w:proofErr w:type="spellEnd"/>
      <w:r w:rsidRPr="009A13B9">
        <w:rPr>
          <w:rFonts w:eastAsia="Times New Roman" w:cs="Times New Roman"/>
          <w:lang w:eastAsia="de-DE"/>
        </w:rPr>
        <w:t xml:space="preserve"> (Kette), </w:t>
      </w:r>
      <w:r w:rsidRPr="009A13B9">
        <w:rPr>
          <w:rFonts w:eastAsia="Times New Roman" w:cs="Times New Roman"/>
          <w:b/>
          <w:bCs/>
          <w:rtl/>
          <w:lang w:eastAsia="de-DE"/>
        </w:rPr>
        <w:t>ערב</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κρόκῃ</w:t>
      </w:r>
      <w:proofErr w:type="spellEnd"/>
      <w:r w:rsidRPr="009A13B9">
        <w:rPr>
          <w:rFonts w:eastAsia="Times New Roman" w:cs="Times New Roman"/>
          <w:lang w:eastAsia="de-DE"/>
        </w:rPr>
        <w:t xml:space="preserve"> (Einschlag), </w:t>
      </w:r>
      <w:r w:rsidRPr="009A13B9">
        <w:rPr>
          <w:rFonts w:eastAsia="Times New Roman" w:cs="Times New Roman"/>
          <w:b/>
          <w:bCs/>
          <w:rtl/>
          <w:lang w:eastAsia="de-DE"/>
        </w:rPr>
        <w:t>עור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δέρμ</w:t>
      </w:r>
      <w:proofErr w:type="spellEnd"/>
      <w:r w:rsidRPr="009A13B9">
        <w:rPr>
          <w:rFonts w:eastAsia="Times New Roman" w:cs="Times New Roman"/>
          <w:lang w:eastAsia="de-DE"/>
        </w:rPr>
        <w:t xml:space="preserve">ατι (Fell) und </w:t>
      </w:r>
      <w:r w:rsidRPr="009A13B9">
        <w:rPr>
          <w:rFonts w:eastAsia="Times New Roman" w:cs="Times New Roman"/>
          <w:b/>
          <w:bCs/>
          <w:rtl/>
          <w:lang w:eastAsia="de-DE"/>
        </w:rPr>
        <w:t>מלאכת עור</w:t>
      </w:r>
      <w:r w:rsidRPr="009A13B9">
        <w:rPr>
          <w:rFonts w:eastAsia="Times New Roman" w:cs="Times New Roman"/>
          <w:rtl/>
          <w:lang w:eastAsia="de-DE"/>
        </w:rPr>
        <w:t xml:space="preserve"> </w:t>
      </w:r>
      <w:r w:rsidRPr="009A13B9">
        <w:rPr>
          <w:rFonts w:eastAsia="Times New Roman" w:cs="Times New Roman"/>
          <w:lang w:eastAsia="de-DE"/>
        </w:rPr>
        <w:t>mit πα</w:t>
      </w:r>
      <w:proofErr w:type="spellStart"/>
      <w:r w:rsidRPr="009A13B9">
        <w:rPr>
          <w:rFonts w:eastAsia="Times New Roman" w:cs="Times New Roman"/>
          <w:lang w:eastAsia="de-DE"/>
        </w:rPr>
        <w:t>ντὶ</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ἔργῳ</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δερμ</w:t>
      </w:r>
      <w:proofErr w:type="spellEnd"/>
      <w:r w:rsidRPr="009A13B9">
        <w:rPr>
          <w:rFonts w:eastAsia="Times New Roman" w:cs="Times New Roman"/>
          <w:lang w:eastAsia="de-DE"/>
        </w:rPr>
        <w:t>ατίνῳ (jeder Lederarbeit).</w:t>
      </w:r>
    </w:p>
    <w:p w14:paraId="1527DDF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Materialerweiterung: vier alternative Materialformen + Faserspezifikation + Lederkategorie + umfassende Lederarbeiten. Die Struktur umfasst alle Textil- und Ledermaterialien.</w:t>
      </w:r>
    </w:p>
    <w:p w14:paraId="357BA9F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erweitert die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auf alle Webkomponenten und Lederprodukte.</w:t>
      </w:r>
    </w:p>
    <w:p w14:paraId="64355DDF"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13,49</w:t>
      </w:r>
    </w:p>
    <w:p w14:paraId="6E5F23B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וְהָיָ֨ה הַנֶּ֜גַע יְרַקְרַ֣ק׀ א֣וֹ אֲדַמְדָּ֗ם בַּבֶּגֶד֩ א֨וֹ בָע֜וֹר אֽוֹ־בַשְּׁתִ֤י אוֹ־בָעֵ֨רֶב֙ א֣וֹ בְכָל־כְּלִי־ע֔וֹר נֶ֥גַע צָרַ֖עַת ה֑וּא וְהָרְאָ֖ה אֶת־הַכֹּהֵֽן׃</w:t>
      </w:r>
    </w:p>
    <w:p w14:paraId="52EA901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das Mal ist grünlich oder rötlich am Kleid oder am Fell oder an Kette oder am Einschlag oder an irgendeinem Gegenstand von Fell, so ist es ein Aussatzmal, und man soll es dem Priester zeigen.</w:t>
      </w:r>
    </w:p>
    <w:p w14:paraId="0BA72744"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DD2AC38">
          <v:rect id="_x0000_i1380" style="width:0;height:1.5pt" o:hralign="center" o:hrstd="t" o:hr="t" fillcolor="#a0a0a0" stroked="f"/>
        </w:pict>
      </w:r>
    </w:p>
    <w:p w14:paraId="269A0BC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והיה הנגע ירקרק או אדמדם בבגד או בעור או־בשתי או־בערב או בכל־כלי־עור</w:t>
      </w:r>
      <w:r w:rsidRPr="009A13B9">
        <w:rPr>
          <w:rFonts w:eastAsia="Times New Roman" w:cs="Times New Roman"/>
          <w:rtl/>
          <w:lang w:eastAsia="de-DE"/>
        </w:rPr>
        <w:t xml:space="preserve"> </w:t>
      </w:r>
      <w:r w:rsidRPr="009A13B9">
        <w:rPr>
          <w:rFonts w:eastAsia="Times New Roman" w:cs="Times New Roman"/>
          <w:lang w:eastAsia="de-DE"/>
        </w:rPr>
        <w:t>zeigt die charakteristischen Farben der Textil-</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והיה הנגע ירקרק או אדמדם</w:t>
      </w:r>
      <w:r w:rsidRPr="009A13B9">
        <w:rPr>
          <w:rFonts w:eastAsia="Times New Roman" w:cs="Times New Roman"/>
          <w:rtl/>
          <w:lang w:eastAsia="de-DE"/>
        </w:rPr>
        <w:t xml:space="preserve"> </w:t>
      </w:r>
      <w:r w:rsidRPr="009A13B9">
        <w:rPr>
          <w:rFonts w:eastAsia="Times New Roman" w:cs="Times New Roman"/>
          <w:lang w:eastAsia="de-DE"/>
        </w:rPr>
        <w:t xml:space="preserve">(und das Mal ist grünlich oder rötlich) - </w:t>
      </w:r>
      <w:r w:rsidRPr="009A13B9">
        <w:rPr>
          <w:rFonts w:eastAsia="Times New Roman" w:cs="Times New Roman"/>
          <w:b/>
          <w:bCs/>
          <w:rtl/>
          <w:lang w:eastAsia="de-DE"/>
        </w:rPr>
        <w:t>ירקרק</w:t>
      </w:r>
      <w:r w:rsidRPr="009A13B9">
        <w:rPr>
          <w:rFonts w:eastAsia="Times New Roman" w:cs="Times New Roman"/>
          <w:rtl/>
          <w:lang w:eastAsia="de-DE"/>
        </w:rPr>
        <w:t xml:space="preserve"> </w:t>
      </w:r>
      <w:r w:rsidRPr="009A13B9">
        <w:rPr>
          <w:rFonts w:eastAsia="Times New Roman" w:cs="Times New Roman"/>
          <w:lang w:eastAsia="de-DE"/>
        </w:rPr>
        <w:t xml:space="preserve">(grünlich) und </w:t>
      </w:r>
      <w:r w:rsidRPr="009A13B9">
        <w:rPr>
          <w:rFonts w:eastAsia="Times New Roman" w:cs="Times New Roman"/>
          <w:b/>
          <w:bCs/>
          <w:rtl/>
          <w:lang w:eastAsia="de-DE"/>
        </w:rPr>
        <w:t>אדמדם</w:t>
      </w:r>
      <w:r w:rsidRPr="009A13B9">
        <w:rPr>
          <w:rFonts w:eastAsia="Times New Roman" w:cs="Times New Roman"/>
          <w:rtl/>
          <w:lang w:eastAsia="de-DE"/>
        </w:rPr>
        <w:t xml:space="preserve"> </w:t>
      </w:r>
      <w:r w:rsidRPr="009A13B9">
        <w:rPr>
          <w:rFonts w:eastAsia="Times New Roman" w:cs="Times New Roman"/>
          <w:lang w:eastAsia="de-DE"/>
        </w:rPr>
        <w:t xml:space="preserve">(rötlich) als charakteristische Verfärbungen. Die folgenden </w:t>
      </w:r>
      <w:r w:rsidRPr="009A13B9">
        <w:rPr>
          <w:rFonts w:eastAsia="Times New Roman" w:cs="Times New Roman"/>
          <w:b/>
          <w:bCs/>
          <w:rtl/>
          <w:lang w:eastAsia="de-DE"/>
        </w:rPr>
        <w:t>או</w:t>
      </w:r>
      <w:r w:rsidRPr="009A13B9">
        <w:rPr>
          <w:rFonts w:eastAsia="Times New Roman" w:cs="Times New Roman"/>
          <w:lang w:eastAsia="de-DE"/>
        </w:rPr>
        <w:t>-Glieder listen alle Materialien aus V. 47-48 auf.</w:t>
      </w:r>
    </w:p>
    <w:p w14:paraId="7EC3CF3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נגע צרעת הוא והראה את־הכהן</w:t>
      </w:r>
      <w:r w:rsidRPr="009A13B9">
        <w:rPr>
          <w:rFonts w:eastAsia="Times New Roman" w:cs="Times New Roman"/>
          <w:rtl/>
          <w:lang w:eastAsia="de-DE"/>
        </w:rPr>
        <w:t xml:space="preserve"> </w:t>
      </w:r>
      <w:r w:rsidRPr="009A13B9">
        <w:rPr>
          <w:rFonts w:eastAsia="Times New Roman" w:cs="Times New Roman"/>
          <w:lang w:eastAsia="de-DE"/>
        </w:rPr>
        <w:t xml:space="preserve">zeigt Diagnose und Verfahren. </w:t>
      </w:r>
      <w:r w:rsidRPr="009A13B9">
        <w:rPr>
          <w:rFonts w:eastAsia="Times New Roman" w:cs="Times New Roman"/>
          <w:b/>
          <w:bCs/>
          <w:rtl/>
          <w:lang w:eastAsia="de-DE"/>
        </w:rPr>
        <w:t>נגע צרעת הוא</w:t>
      </w:r>
      <w:r w:rsidRPr="009A13B9">
        <w:rPr>
          <w:rFonts w:eastAsia="Times New Roman" w:cs="Times New Roman"/>
          <w:rtl/>
          <w:lang w:eastAsia="de-DE"/>
        </w:rPr>
        <w:t xml:space="preserve"> </w:t>
      </w:r>
      <w:r w:rsidRPr="009A13B9">
        <w:rPr>
          <w:rFonts w:eastAsia="Times New Roman" w:cs="Times New Roman"/>
          <w:lang w:eastAsia="de-DE"/>
        </w:rPr>
        <w:t xml:space="preserve">(ein Aussatzmal ist es) mit emphatischem </w:t>
      </w:r>
      <w:r w:rsidRPr="009A13B9">
        <w:rPr>
          <w:rFonts w:eastAsia="Times New Roman" w:cs="Times New Roman"/>
          <w:b/>
          <w:bCs/>
          <w:rtl/>
          <w:lang w:eastAsia="de-DE"/>
        </w:rPr>
        <w:t>הוא</w:t>
      </w:r>
      <w:r w:rsidRPr="009A13B9">
        <w:rPr>
          <w:rFonts w:eastAsia="Times New Roman" w:cs="Times New Roman"/>
          <w:lang w:eastAsia="de-DE"/>
        </w:rPr>
        <w:t xml:space="preserve">. </w:t>
      </w:r>
      <w:r w:rsidRPr="009A13B9">
        <w:rPr>
          <w:rFonts w:eastAsia="Times New Roman" w:cs="Times New Roman"/>
          <w:b/>
          <w:bCs/>
          <w:rtl/>
          <w:lang w:eastAsia="de-DE"/>
        </w:rPr>
        <w:t>והראה את־הכהן</w:t>
      </w:r>
      <w:r w:rsidRPr="009A13B9">
        <w:rPr>
          <w:rFonts w:eastAsia="Times New Roman" w:cs="Times New Roman"/>
          <w:rtl/>
          <w:lang w:eastAsia="de-DE"/>
        </w:rPr>
        <w:t xml:space="preserve"> </w:t>
      </w:r>
      <w:r w:rsidRPr="009A13B9">
        <w:rPr>
          <w:rFonts w:eastAsia="Times New Roman" w:cs="Times New Roman"/>
          <w:lang w:eastAsia="de-DE"/>
        </w:rPr>
        <w:t xml:space="preserve">(und man soll es dem Priester zeigen) - </w:t>
      </w:r>
      <w:r w:rsidRPr="009A13B9">
        <w:rPr>
          <w:rFonts w:eastAsia="Times New Roman" w:cs="Times New Roman"/>
          <w:b/>
          <w:bCs/>
          <w:rtl/>
          <w:lang w:eastAsia="de-DE"/>
        </w:rPr>
        <w:t>ראה</w:t>
      </w:r>
      <w:r w:rsidRPr="009A13B9">
        <w:rPr>
          <w:rFonts w:eastAsia="Times New Roman" w:cs="Times New Roman"/>
          <w:rtl/>
          <w:lang w:eastAsia="de-DE"/>
        </w:rPr>
        <w:t xml:space="preserve"> </w:t>
      </w:r>
      <w:r w:rsidRPr="009A13B9">
        <w:rPr>
          <w:rFonts w:eastAsia="Times New Roman" w:cs="Times New Roman"/>
          <w:lang w:eastAsia="de-DE"/>
        </w:rPr>
        <w:t>im Hifil-Perfekt mit Waw-Konsekutiv zeigt die Pflicht zur priesterlichen Begutachtung.</w:t>
      </w:r>
    </w:p>
    <w:p w14:paraId="38F0D0E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ירקרק או אדמדם</w:t>
      </w:r>
      <w:r w:rsidRPr="009A13B9">
        <w:rPr>
          <w:rFonts w:eastAsia="Times New Roman" w:cs="Times New Roman"/>
          <w:rtl/>
          <w:lang w:eastAsia="de-DE"/>
        </w:rPr>
        <w:t xml:space="preserve"> </w:t>
      </w:r>
      <w:r w:rsidRPr="009A13B9">
        <w:rPr>
          <w:rFonts w:eastAsia="Times New Roman" w:cs="Times New Roman"/>
          <w:lang w:eastAsia="de-DE"/>
        </w:rPr>
        <w:t>als spezifische Farbkriterien für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im Unterschied zu den weißlichen Farben bei Haut-</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והראה את־הכהן</w:t>
      </w:r>
      <w:r w:rsidRPr="009A13B9">
        <w:rPr>
          <w:rFonts w:eastAsia="Times New Roman" w:cs="Times New Roman"/>
          <w:rtl/>
          <w:lang w:eastAsia="de-DE"/>
        </w:rPr>
        <w:t xml:space="preserve"> </w:t>
      </w:r>
      <w:r w:rsidRPr="009A13B9">
        <w:rPr>
          <w:rFonts w:eastAsia="Times New Roman" w:cs="Times New Roman"/>
          <w:lang w:eastAsia="de-DE"/>
        </w:rPr>
        <w:t>entspricht dem Grundprinzip priesterlicher Diagnose-Autorität.</w:t>
      </w:r>
    </w:p>
    <w:p w14:paraId="098B5E61" w14:textId="06EC88C6"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w:t>
      </w:r>
      <w:r w:rsidR="007660B2">
        <w:rPr>
          <w:rtl/>
        </w:rPr>
        <w:t>ירקרק</w:t>
      </w:r>
      <w:r w:rsidR="007660B2">
        <w:t xml:space="preserve"> (</w:t>
      </w:r>
      <w:proofErr w:type="spellStart"/>
      <w:r w:rsidR="007660B2">
        <w:t>yeraqa</w:t>
      </w:r>
      <w:proofErr w:type="spellEnd"/>
      <w:r w:rsidR="007660B2">
        <w:t xml:space="preserve"> - "grünlich") als </w:t>
      </w:r>
      <w:proofErr w:type="spellStart"/>
      <w:r w:rsidR="007660B2">
        <w:t>χλωρίζουσ</w:t>
      </w:r>
      <w:proofErr w:type="spellEnd"/>
      <w:r w:rsidR="007660B2">
        <w:t xml:space="preserve">α (grünend) und </w:t>
      </w:r>
      <w:r w:rsidR="007660B2">
        <w:rPr>
          <w:rtl/>
        </w:rPr>
        <w:t>אדמדם</w:t>
      </w:r>
      <w:r w:rsidR="007660B2">
        <w:t xml:space="preserve"> (</w:t>
      </w:r>
      <w:proofErr w:type="spellStart"/>
      <w:r w:rsidR="007660B2">
        <w:t>adamdam</w:t>
      </w:r>
      <w:proofErr w:type="spellEnd"/>
      <w:r w:rsidR="007660B2">
        <w:t xml:space="preserve"> - "rötlich") als π</w:t>
      </w:r>
      <w:proofErr w:type="spellStart"/>
      <w:r w:rsidR="007660B2">
        <w:t>υρρίζουσ</w:t>
      </w:r>
      <w:proofErr w:type="spellEnd"/>
      <w:r w:rsidR="007660B2">
        <w:t>α (rötend).</w:t>
      </w:r>
    </w:p>
    <w:p w14:paraId="42B059A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Farbkriterien und Verfahren: Farbspezifikation + vollständige Materialaufzählung + </w:t>
      </w:r>
      <w:r w:rsidRPr="009A13B9">
        <w:rPr>
          <w:rFonts w:eastAsia="Times New Roman" w:cs="Times New Roman"/>
          <w:b/>
          <w:bCs/>
          <w:rtl/>
          <w:lang w:eastAsia="de-DE"/>
        </w:rPr>
        <w:t>צרעת</w:t>
      </w:r>
      <w:r w:rsidRPr="009A13B9">
        <w:rPr>
          <w:rFonts w:eastAsia="Times New Roman" w:cs="Times New Roman"/>
          <w:lang w:eastAsia="de-DE"/>
        </w:rPr>
        <w:t>-Diagnose + Untersuchungsanordnung. Die Struktur etabliert Textil-</w:t>
      </w:r>
      <w:r w:rsidRPr="009A13B9">
        <w:rPr>
          <w:rFonts w:eastAsia="Times New Roman" w:cs="Times New Roman"/>
          <w:b/>
          <w:bCs/>
          <w:rtl/>
          <w:lang w:eastAsia="de-DE"/>
        </w:rPr>
        <w:t>צרעת</w:t>
      </w:r>
      <w:r w:rsidRPr="009A13B9">
        <w:rPr>
          <w:rFonts w:eastAsia="Times New Roman" w:cs="Times New Roman"/>
          <w:lang w:eastAsia="de-DE"/>
        </w:rPr>
        <w:t>-Kriterien.</w:t>
      </w:r>
    </w:p>
    <w:p w14:paraId="026C07C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lastRenderedPageBreak/>
        <w:t>Dieser Vers etabliert grünliche oder rötliche Verfärbung als Kriterium für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und ordnet priesterliche Begutachtung an.</w:t>
      </w:r>
    </w:p>
    <w:p w14:paraId="05741CCB"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13,50</w:t>
      </w:r>
    </w:p>
    <w:p w14:paraId="528138A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אֶת־הַנָּ֑גַע וְהִסְגִּ֥יר אֶת־הַנֶּ֖גַע שִׁבְעַ֥ת יָמִֽים׃</w:t>
      </w:r>
    </w:p>
    <w:p w14:paraId="4266D27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der Priester soll das Mal sehen und das, woran das Mal ist, sieben Tage einschließen.</w:t>
      </w:r>
    </w:p>
    <w:p w14:paraId="7DA43906"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0625BE15">
          <v:rect id="_x0000_i1381" style="width:0;height:1.5pt" o:hralign="center" o:hrstd="t" o:hr="t" fillcolor="#a0a0a0" stroked="f"/>
        </w:pict>
      </w:r>
    </w:p>
    <w:p w14:paraId="202CA4A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את־הנגע והסגיר את־הנגע שבעת ימים</w:t>
      </w:r>
      <w:r w:rsidRPr="009A13B9">
        <w:rPr>
          <w:rFonts w:eastAsia="Times New Roman" w:cs="Times New Roman"/>
          <w:rtl/>
          <w:lang w:eastAsia="de-DE"/>
        </w:rPr>
        <w:t xml:space="preserve"> </w:t>
      </w:r>
      <w:r w:rsidRPr="009A13B9">
        <w:rPr>
          <w:rFonts w:eastAsia="Times New Roman" w:cs="Times New Roman"/>
          <w:lang w:eastAsia="de-DE"/>
        </w:rPr>
        <w:t xml:space="preserve">zeigt das Quarantäneverfahren für Textilien. </w:t>
      </w:r>
      <w:r w:rsidRPr="009A13B9">
        <w:rPr>
          <w:rFonts w:eastAsia="Times New Roman" w:cs="Times New Roman"/>
          <w:b/>
          <w:bCs/>
          <w:rtl/>
          <w:lang w:eastAsia="de-DE"/>
        </w:rPr>
        <w:t>וראה הכהן את־הנגע</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das Mal sehen) entspricht der angeordneten Untersuchung aus V. 49. </w:t>
      </w:r>
      <w:r w:rsidRPr="009A13B9">
        <w:rPr>
          <w:rFonts w:eastAsia="Times New Roman" w:cs="Times New Roman"/>
          <w:b/>
          <w:bCs/>
          <w:rtl/>
          <w:lang w:eastAsia="de-DE"/>
        </w:rPr>
        <w:t>והסגיר את־הנגע שבעת ימים</w:t>
      </w:r>
      <w:r w:rsidRPr="009A13B9">
        <w:rPr>
          <w:rFonts w:eastAsia="Times New Roman" w:cs="Times New Roman"/>
          <w:rtl/>
          <w:lang w:eastAsia="de-DE"/>
        </w:rPr>
        <w:t xml:space="preserve"> </w:t>
      </w:r>
      <w:r w:rsidRPr="009A13B9">
        <w:rPr>
          <w:rFonts w:eastAsia="Times New Roman" w:cs="Times New Roman"/>
          <w:lang w:eastAsia="de-DE"/>
        </w:rPr>
        <w:t xml:space="preserve">(und er soll das Mal sieben Tage einschließen) - </w:t>
      </w:r>
      <w:r w:rsidRPr="009A13B9">
        <w:rPr>
          <w:rFonts w:eastAsia="Times New Roman" w:cs="Times New Roman"/>
          <w:b/>
          <w:bCs/>
          <w:rtl/>
          <w:lang w:eastAsia="de-DE"/>
        </w:rPr>
        <w:t>הסגיר</w:t>
      </w:r>
      <w:r w:rsidRPr="009A13B9">
        <w:rPr>
          <w:rFonts w:eastAsia="Times New Roman" w:cs="Times New Roman"/>
          <w:rtl/>
          <w:lang w:eastAsia="de-DE"/>
        </w:rPr>
        <w:t xml:space="preserve"> </w:t>
      </w:r>
      <w:r w:rsidRPr="009A13B9">
        <w:rPr>
          <w:rFonts w:eastAsia="Times New Roman" w:cs="Times New Roman"/>
          <w:lang w:eastAsia="de-DE"/>
        </w:rPr>
        <w:t xml:space="preserve">(einschließen) im Hifil-Perfekt, </w:t>
      </w:r>
      <w:r w:rsidRPr="009A13B9">
        <w:rPr>
          <w:rFonts w:eastAsia="Times New Roman" w:cs="Times New Roman"/>
          <w:b/>
          <w:bCs/>
          <w:rtl/>
          <w:lang w:eastAsia="de-DE"/>
        </w:rPr>
        <w:t>את־הנגע</w:t>
      </w:r>
      <w:r w:rsidRPr="009A13B9">
        <w:rPr>
          <w:rFonts w:eastAsia="Times New Roman" w:cs="Times New Roman"/>
          <w:rtl/>
          <w:lang w:eastAsia="de-DE"/>
        </w:rPr>
        <w:t xml:space="preserve"> </w:t>
      </w:r>
      <w:r w:rsidRPr="009A13B9">
        <w:rPr>
          <w:rFonts w:eastAsia="Times New Roman" w:cs="Times New Roman"/>
          <w:lang w:eastAsia="de-DE"/>
        </w:rPr>
        <w:t>metonymisch für den betroffenen Gegenstand.</w:t>
      </w:r>
    </w:p>
    <w:p w14:paraId="6BB6404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את־הנגע</w:t>
      </w:r>
      <w:r w:rsidRPr="009A13B9">
        <w:rPr>
          <w:rFonts w:eastAsia="Times New Roman" w:cs="Times New Roman"/>
          <w:rtl/>
          <w:lang w:eastAsia="de-DE"/>
        </w:rPr>
        <w:t xml:space="preserve"> </w:t>
      </w:r>
      <w:r w:rsidRPr="009A13B9">
        <w:rPr>
          <w:rFonts w:eastAsia="Times New Roman" w:cs="Times New Roman"/>
          <w:lang w:eastAsia="de-DE"/>
        </w:rPr>
        <w:t xml:space="preserve">in beiden Vershälften metonymisch für das befallene Textil oder Leder. </w:t>
      </w:r>
      <w:r w:rsidRPr="009A13B9">
        <w:rPr>
          <w:rFonts w:eastAsia="Times New Roman" w:cs="Times New Roman"/>
          <w:b/>
          <w:bCs/>
          <w:rtl/>
          <w:lang w:eastAsia="de-DE"/>
        </w:rPr>
        <w:t>שבעת ימים</w:t>
      </w:r>
      <w:r w:rsidRPr="009A13B9">
        <w:rPr>
          <w:rFonts w:eastAsia="Times New Roman" w:cs="Times New Roman"/>
          <w:rtl/>
          <w:lang w:eastAsia="de-DE"/>
        </w:rPr>
        <w:t xml:space="preserve"> </w:t>
      </w:r>
      <w:r w:rsidRPr="009A13B9">
        <w:rPr>
          <w:rFonts w:eastAsia="Times New Roman" w:cs="Times New Roman"/>
          <w:lang w:eastAsia="de-DE"/>
        </w:rPr>
        <w:t>als Standardquarantänezeit entsprechend den Hautfällen.</w:t>
      </w:r>
    </w:p>
    <w:p w14:paraId="49CE112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וראה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ὄψετ</w:t>
      </w:r>
      <w:proofErr w:type="spellEnd"/>
      <w:r w:rsidRPr="009A13B9">
        <w:rPr>
          <w:rFonts w:eastAsia="Times New Roman" w:cs="Times New Roman"/>
          <w:lang w:eastAsia="de-DE"/>
        </w:rPr>
        <w:t xml:space="preserve">αι (er wird sehen) und </w:t>
      </w:r>
      <w:r w:rsidRPr="009A13B9">
        <w:rPr>
          <w:rFonts w:eastAsia="Times New Roman" w:cs="Times New Roman"/>
          <w:b/>
          <w:bCs/>
          <w:rtl/>
          <w:lang w:eastAsia="de-DE"/>
        </w:rPr>
        <w:t>והסגיר</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ἀφοριεῖ</w:t>
      </w:r>
      <w:proofErr w:type="spellEnd"/>
      <w:r w:rsidRPr="009A13B9">
        <w:rPr>
          <w:rFonts w:eastAsia="Times New Roman" w:cs="Times New Roman"/>
          <w:lang w:eastAsia="de-DE"/>
        </w:rPr>
        <w:t xml:space="preserve"> (er wird absondern).</w:t>
      </w:r>
    </w:p>
    <w:p w14:paraId="017417B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Standardverfahren: priesterliche Untersuchung + Quarantäneanordnung. Die knappe Struktur entspricht dem etablierten Verfahren.</w:t>
      </w:r>
    </w:p>
    <w:p w14:paraId="5DBDF96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etabliert das siebentägige Quarantäneverfahren für verdächtige Textilien und Lederprodukte.</w:t>
      </w:r>
    </w:p>
    <w:p w14:paraId="5C15DA48"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13,51</w:t>
      </w:r>
    </w:p>
    <w:p w14:paraId="4D63D6B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אֶת־הַנֶּ֜גַע בַּיּ֣וֹם הַשְּׁבִיעִ֗י כִּֽי־פָשָׂ֤ה הַנֶּ֨גַע֙ בַּ֠בֶּגֶד אֽוֹ־בַשְּׁתִ֤י אֽוֹ־בָעֵ֨רֶב֙ א֣וֹ בָע֔וֹר לְכֹ֛ל אֲשֶׁר־יֵעָשֶׂ֥ה הָע֖וֹר לִמְלָאכָ֑ה צָרַ֧עַת מַמְאֶ֛רֶת הַנֶּ֖גַע טָמֵ֥א הֽוּא׃</w:t>
      </w:r>
    </w:p>
    <w:p w14:paraId="0A3228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er das Mal sieht am siebten Tag, dass das Mal sich ausgebreitet hat am Kleid oder an Kette oder am Einschlag oder am Fell, an allem, was aus Fell gemacht wird zur Arbeit, so ist das Mal ein fressender Aussatz: es ist unrein.</w:t>
      </w:r>
    </w:p>
    <w:p w14:paraId="4135F7FF"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70F9E805">
          <v:rect id="_x0000_i1382" style="width:0;height:1.5pt" o:hralign="center" o:hrstd="t" o:hr="t" fillcolor="#a0a0a0" stroked="f"/>
        </w:pict>
      </w:r>
    </w:p>
    <w:p w14:paraId="4E77C39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את־הנגע ביום השביעי כי־פשה הנגע בבגד או־בשתי או־בערב או בעור לכל אשר־יעשה העור למלאכה</w:t>
      </w:r>
      <w:r w:rsidRPr="009A13B9">
        <w:rPr>
          <w:rFonts w:eastAsia="Times New Roman" w:cs="Times New Roman"/>
          <w:rtl/>
          <w:lang w:eastAsia="de-DE"/>
        </w:rPr>
        <w:t xml:space="preserve"> </w:t>
      </w:r>
      <w:r w:rsidRPr="009A13B9">
        <w:rPr>
          <w:rFonts w:eastAsia="Times New Roman" w:cs="Times New Roman"/>
          <w:lang w:eastAsia="de-DE"/>
        </w:rPr>
        <w:t xml:space="preserve">zeigt die Nachuntersuchung mit Ausbreitungskriterium. </w:t>
      </w:r>
      <w:r w:rsidRPr="009A13B9">
        <w:rPr>
          <w:rFonts w:eastAsia="Times New Roman" w:cs="Times New Roman"/>
          <w:b/>
          <w:bCs/>
          <w:rtl/>
          <w:lang w:eastAsia="de-DE"/>
        </w:rPr>
        <w:t>וראה את־הנגע ביום השביעי</w:t>
      </w:r>
      <w:r w:rsidRPr="009A13B9">
        <w:rPr>
          <w:rFonts w:eastAsia="Times New Roman" w:cs="Times New Roman"/>
          <w:rtl/>
          <w:lang w:eastAsia="de-DE"/>
        </w:rPr>
        <w:t xml:space="preserve"> </w:t>
      </w:r>
      <w:r w:rsidRPr="009A13B9">
        <w:rPr>
          <w:rFonts w:eastAsia="Times New Roman" w:cs="Times New Roman"/>
          <w:lang w:eastAsia="de-DE"/>
        </w:rPr>
        <w:t xml:space="preserve">(und er sieht das Mal am siebten Tag) entspricht dem Standardverfahren. </w:t>
      </w:r>
      <w:r w:rsidRPr="009A13B9">
        <w:rPr>
          <w:rFonts w:eastAsia="Times New Roman" w:cs="Times New Roman"/>
          <w:b/>
          <w:bCs/>
          <w:rtl/>
          <w:lang w:eastAsia="de-DE"/>
        </w:rPr>
        <w:t>כי־פשה הנגע</w:t>
      </w:r>
      <w:r w:rsidRPr="009A13B9">
        <w:rPr>
          <w:rFonts w:eastAsia="Times New Roman" w:cs="Times New Roman"/>
          <w:rtl/>
          <w:lang w:eastAsia="de-DE"/>
        </w:rPr>
        <w:t xml:space="preserve"> </w:t>
      </w:r>
      <w:r w:rsidRPr="009A13B9">
        <w:rPr>
          <w:rFonts w:eastAsia="Times New Roman" w:cs="Times New Roman"/>
          <w:lang w:eastAsia="de-DE"/>
        </w:rPr>
        <w:t xml:space="preserve">(dass das Mal sich ausgebreitet hat) - </w:t>
      </w:r>
      <w:r w:rsidRPr="009A13B9">
        <w:rPr>
          <w:rFonts w:eastAsia="Times New Roman" w:cs="Times New Roman"/>
          <w:b/>
          <w:bCs/>
          <w:rtl/>
          <w:lang w:eastAsia="de-DE"/>
        </w:rPr>
        <w:t>פשה</w:t>
      </w:r>
      <w:r w:rsidRPr="009A13B9">
        <w:rPr>
          <w:rFonts w:eastAsia="Times New Roman" w:cs="Times New Roman"/>
          <w:rtl/>
          <w:lang w:eastAsia="de-DE"/>
        </w:rPr>
        <w:t xml:space="preserve"> </w:t>
      </w:r>
      <w:r w:rsidRPr="009A13B9">
        <w:rPr>
          <w:rFonts w:eastAsia="Times New Roman" w:cs="Times New Roman"/>
          <w:lang w:eastAsia="de-DE"/>
        </w:rPr>
        <w:t xml:space="preserve">(sich ausbreiten) als entscheidendes Kriterium. Die Materialaufzählung entspricht V. 48-49. </w:t>
      </w:r>
      <w:r w:rsidRPr="009A13B9">
        <w:rPr>
          <w:rFonts w:eastAsia="Times New Roman" w:cs="Times New Roman"/>
          <w:b/>
          <w:bCs/>
          <w:rtl/>
          <w:lang w:eastAsia="de-DE"/>
        </w:rPr>
        <w:t>לכל אשר־יעשה העור למלאכה</w:t>
      </w:r>
      <w:r w:rsidRPr="009A13B9">
        <w:rPr>
          <w:rFonts w:eastAsia="Times New Roman" w:cs="Times New Roman"/>
          <w:rtl/>
          <w:lang w:eastAsia="de-DE"/>
        </w:rPr>
        <w:t xml:space="preserve"> </w:t>
      </w:r>
      <w:r w:rsidRPr="009A13B9">
        <w:rPr>
          <w:rFonts w:eastAsia="Times New Roman" w:cs="Times New Roman"/>
          <w:lang w:eastAsia="de-DE"/>
        </w:rPr>
        <w:t>(an allem, was aus Fell zur Arbeit gemacht wird) umfasst alle Ledererzeugnisse.</w:t>
      </w:r>
    </w:p>
    <w:p w14:paraId="6398069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צרעת מאמרת הנגע טמא הוא</w:t>
      </w:r>
      <w:r w:rsidRPr="009A13B9">
        <w:rPr>
          <w:rFonts w:eastAsia="Times New Roman" w:cs="Times New Roman"/>
          <w:rtl/>
          <w:lang w:eastAsia="de-DE"/>
        </w:rPr>
        <w:t xml:space="preserve"> </w:t>
      </w:r>
      <w:r w:rsidRPr="009A13B9">
        <w:rPr>
          <w:rFonts w:eastAsia="Times New Roman" w:cs="Times New Roman"/>
          <w:lang w:eastAsia="de-DE"/>
        </w:rPr>
        <w:t xml:space="preserve">zeigt die spezifische Diagnose. </w:t>
      </w:r>
      <w:r w:rsidRPr="009A13B9">
        <w:rPr>
          <w:rFonts w:eastAsia="Times New Roman" w:cs="Times New Roman"/>
          <w:b/>
          <w:bCs/>
          <w:rtl/>
          <w:lang w:eastAsia="de-DE"/>
        </w:rPr>
        <w:t>צרעת מאמרת</w:t>
      </w:r>
      <w:r w:rsidRPr="009A13B9">
        <w:rPr>
          <w:rFonts w:eastAsia="Times New Roman" w:cs="Times New Roman"/>
          <w:rtl/>
          <w:lang w:eastAsia="de-DE"/>
        </w:rPr>
        <w:t xml:space="preserve"> </w:t>
      </w:r>
      <w:r w:rsidRPr="009A13B9">
        <w:rPr>
          <w:rFonts w:eastAsia="Times New Roman" w:cs="Times New Roman"/>
          <w:lang w:eastAsia="de-DE"/>
        </w:rPr>
        <w:t xml:space="preserve">(fressender Aussatz) - </w:t>
      </w:r>
      <w:r w:rsidRPr="009A13B9">
        <w:rPr>
          <w:rFonts w:eastAsia="Times New Roman" w:cs="Times New Roman"/>
          <w:b/>
          <w:bCs/>
          <w:rtl/>
          <w:lang w:eastAsia="de-DE"/>
        </w:rPr>
        <w:t>מאמרת</w:t>
      </w:r>
      <w:r w:rsidRPr="009A13B9">
        <w:rPr>
          <w:rFonts w:eastAsia="Times New Roman" w:cs="Times New Roman"/>
          <w:rtl/>
          <w:lang w:eastAsia="de-DE"/>
        </w:rPr>
        <w:t xml:space="preserve"> </w:t>
      </w:r>
      <w:r w:rsidRPr="009A13B9">
        <w:rPr>
          <w:rFonts w:eastAsia="Times New Roman" w:cs="Times New Roman"/>
          <w:lang w:eastAsia="de-DE"/>
        </w:rPr>
        <w:t xml:space="preserve">(fressend) als Partizip feminin von </w:t>
      </w:r>
      <w:r w:rsidRPr="009A13B9">
        <w:rPr>
          <w:rFonts w:eastAsia="Times New Roman" w:cs="Times New Roman"/>
          <w:b/>
          <w:bCs/>
          <w:rtl/>
          <w:lang w:eastAsia="de-DE"/>
        </w:rPr>
        <w:t>מאר</w:t>
      </w:r>
      <w:r w:rsidRPr="009A13B9">
        <w:rPr>
          <w:rFonts w:eastAsia="Times New Roman" w:cs="Times New Roman"/>
          <w:rtl/>
          <w:lang w:eastAsia="de-DE"/>
        </w:rPr>
        <w:t xml:space="preserve"> </w:t>
      </w:r>
      <w:r w:rsidRPr="009A13B9">
        <w:rPr>
          <w:rFonts w:eastAsia="Times New Roman" w:cs="Times New Roman"/>
          <w:lang w:eastAsia="de-DE"/>
        </w:rPr>
        <w:t xml:space="preserve">(bitter machen/fressen). </w:t>
      </w:r>
      <w:r w:rsidRPr="009A13B9">
        <w:rPr>
          <w:rFonts w:eastAsia="Times New Roman" w:cs="Times New Roman"/>
          <w:b/>
          <w:bCs/>
          <w:rtl/>
          <w:lang w:eastAsia="de-DE"/>
        </w:rPr>
        <w:t>הנגע טמא הוא</w:t>
      </w:r>
      <w:r w:rsidRPr="009A13B9">
        <w:rPr>
          <w:rFonts w:eastAsia="Times New Roman" w:cs="Times New Roman"/>
          <w:rtl/>
          <w:lang w:eastAsia="de-DE"/>
        </w:rPr>
        <w:t xml:space="preserve"> </w:t>
      </w:r>
      <w:r w:rsidRPr="009A13B9">
        <w:rPr>
          <w:rFonts w:eastAsia="Times New Roman" w:cs="Times New Roman"/>
          <w:lang w:eastAsia="de-DE"/>
        </w:rPr>
        <w:t xml:space="preserve">(das Mal ist unrein) mit emphatischem </w:t>
      </w:r>
      <w:r w:rsidRPr="009A13B9">
        <w:rPr>
          <w:rFonts w:eastAsia="Times New Roman" w:cs="Times New Roman"/>
          <w:b/>
          <w:bCs/>
          <w:rtl/>
          <w:lang w:eastAsia="de-DE"/>
        </w:rPr>
        <w:t>הוא</w:t>
      </w:r>
      <w:r w:rsidRPr="009A13B9">
        <w:rPr>
          <w:rFonts w:eastAsia="Times New Roman" w:cs="Times New Roman"/>
          <w:lang w:eastAsia="de-DE"/>
        </w:rPr>
        <w:t>.</w:t>
      </w:r>
    </w:p>
    <w:p w14:paraId="5A40F32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פשה הנגע</w:t>
      </w:r>
      <w:r w:rsidRPr="009A13B9">
        <w:rPr>
          <w:rFonts w:eastAsia="Times New Roman" w:cs="Times New Roman"/>
          <w:rtl/>
          <w:lang w:eastAsia="de-DE"/>
        </w:rPr>
        <w:t xml:space="preserve"> </w:t>
      </w:r>
      <w:r w:rsidRPr="009A13B9">
        <w:rPr>
          <w:rFonts w:eastAsia="Times New Roman" w:cs="Times New Roman"/>
          <w:lang w:eastAsia="de-DE"/>
        </w:rPr>
        <w:t xml:space="preserve">als entscheidendes Kriterium entsprechend den Hautfällen. </w:t>
      </w:r>
      <w:r w:rsidRPr="009A13B9">
        <w:rPr>
          <w:rFonts w:eastAsia="Times New Roman" w:cs="Times New Roman"/>
          <w:b/>
          <w:bCs/>
          <w:rtl/>
          <w:lang w:eastAsia="de-DE"/>
        </w:rPr>
        <w:t>צרעת מאמרת</w:t>
      </w:r>
      <w:r w:rsidRPr="009A13B9">
        <w:rPr>
          <w:rFonts w:eastAsia="Times New Roman" w:cs="Times New Roman"/>
          <w:rtl/>
          <w:lang w:eastAsia="de-DE"/>
        </w:rPr>
        <w:t xml:space="preserve"> </w:t>
      </w:r>
      <w:r w:rsidRPr="009A13B9">
        <w:rPr>
          <w:rFonts w:eastAsia="Times New Roman" w:cs="Times New Roman"/>
          <w:lang w:eastAsia="de-DE"/>
        </w:rPr>
        <w:t>als spezifischer Begriff für aggressive Textil-</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zeigt kultische Unreinheit auch bei unbelebten Objekten.</w:t>
      </w:r>
    </w:p>
    <w:p w14:paraId="08BC9FB2" w14:textId="7465A731"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übersetzt </w:t>
      </w:r>
      <w:r w:rsidR="007660B2">
        <w:rPr>
          <w:rtl/>
        </w:rPr>
        <w:t>צרעת ממארת</w:t>
      </w:r>
      <w:r w:rsidR="007660B2">
        <w:t xml:space="preserve"> (</w:t>
      </w:r>
      <w:proofErr w:type="spellStart"/>
      <w:r w:rsidR="007660B2">
        <w:t>tzara'at</w:t>
      </w:r>
      <w:proofErr w:type="spellEnd"/>
      <w:r w:rsidR="007660B2">
        <w:t xml:space="preserve"> </w:t>
      </w:r>
      <w:proofErr w:type="spellStart"/>
      <w:r w:rsidR="007660B2">
        <w:t>mam'eret</w:t>
      </w:r>
      <w:proofErr w:type="spellEnd"/>
      <w:r w:rsidR="007660B2">
        <w:t xml:space="preserve"> - "fressende Lepra") als </w:t>
      </w:r>
      <w:proofErr w:type="spellStart"/>
      <w:r w:rsidR="007660B2">
        <w:t>λέ</w:t>
      </w:r>
      <w:proofErr w:type="spellEnd"/>
      <w:r w:rsidR="007660B2">
        <w:t xml:space="preserve">πρα </w:t>
      </w:r>
      <w:proofErr w:type="spellStart"/>
      <w:r w:rsidR="007660B2">
        <w:t>ἔμμονός</w:t>
      </w:r>
      <w:proofErr w:type="spellEnd"/>
      <w:r w:rsidR="007660B2">
        <w:t xml:space="preserve"> (hartnäckige Lepra).</w:t>
      </w:r>
    </w:p>
    <w:p w14:paraId="47472D8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Diagnosekriterium: terminierte Untersuchung + Ausbreitungsnachweis + vollständige Materialaufzählung + spezifische </w:t>
      </w:r>
      <w:r w:rsidRPr="009A13B9">
        <w:rPr>
          <w:rFonts w:eastAsia="Times New Roman" w:cs="Times New Roman"/>
          <w:b/>
          <w:bCs/>
          <w:rtl/>
          <w:lang w:eastAsia="de-DE"/>
        </w:rPr>
        <w:t>צרעת</w:t>
      </w:r>
      <w:r w:rsidRPr="009A13B9">
        <w:rPr>
          <w:rFonts w:eastAsia="Times New Roman" w:cs="Times New Roman"/>
          <w:lang w:eastAsia="de-DE"/>
        </w:rPr>
        <w:t>-Diagnose + Unreinheitsklassifikation. Die Struktur zeigt definitive negative Diagnose.</w:t>
      </w:r>
    </w:p>
    <w:p w14:paraId="10AB7BC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diagnostiziert ausgebreitete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als </w:t>
      </w:r>
      <w:r w:rsidRPr="009A13B9">
        <w:rPr>
          <w:rFonts w:eastAsia="Times New Roman" w:cs="Times New Roman"/>
          <w:b/>
          <w:bCs/>
          <w:rtl/>
          <w:lang w:eastAsia="de-DE"/>
        </w:rPr>
        <w:t>צרעת מאמרת</w:t>
      </w:r>
      <w:r w:rsidRPr="009A13B9">
        <w:rPr>
          <w:rFonts w:eastAsia="Times New Roman" w:cs="Times New Roman"/>
          <w:rtl/>
          <w:lang w:eastAsia="de-DE"/>
        </w:rPr>
        <w:t xml:space="preserve"> </w:t>
      </w:r>
      <w:r w:rsidRPr="009A13B9">
        <w:rPr>
          <w:rFonts w:eastAsia="Times New Roman" w:cs="Times New Roman"/>
          <w:lang w:eastAsia="de-DE"/>
        </w:rPr>
        <w:t>(fressender Aussatz) mit Unreinheitsklassifikation.</w:t>
      </w:r>
    </w:p>
    <w:p w14:paraId="1DB836F2"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13,52</w:t>
      </w:r>
    </w:p>
    <w:p w14:paraId="3F20977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וְשָׂרַ֨ף אֶת־הַבֶּ֜גֶד א֥וֹ אֶֽת־הַשְּׁתִ֣י׀ א֣וֹ אֶת־הָעֵ֗רֶב בַּצֶּ֨מֶר֙ א֣וֹ בַפִּשְׁתִּ֔ים א֚וֹ אֶת־כָּל־כְּלִ֣י הָע֔וֹר אֲשֶׁר־יִהְיֶ֥ה בוֹ֖ הַנָּ֑גַע כִּֽי־צָרַ֤עַת מַמְאֶ֨רֶת֙ הִ֔וא בָּאֵ֖שׁ תִּשָּׂרֵֽף׃</w:t>
      </w:r>
    </w:p>
    <w:p w14:paraId="60606B6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man soll das Kleid oder die Kette oder den Einschlag von Wolle oder von Leinen oder jedes Gerät von Fell, woran das Mal ist, verbrennen; denn es ist ein fressender Aussatz: Es soll mit Feuer verbrannt werden.</w:t>
      </w:r>
    </w:p>
    <w:p w14:paraId="6E044153"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E46F117">
          <v:rect id="_x0000_i1383" style="width:0;height:1.5pt" o:hralign="center" o:hrstd="t" o:hr="t" fillcolor="#a0a0a0" stroked="f"/>
        </w:pict>
      </w:r>
    </w:p>
    <w:p w14:paraId="344B0C3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ושרף את־הבגד או את־השתי או את־הערב בצמר או בפשתים או את־כל־כלי העור אשר־יהיה בו הנגע</w:t>
      </w:r>
      <w:r w:rsidRPr="009A13B9">
        <w:rPr>
          <w:rFonts w:eastAsia="Times New Roman" w:cs="Times New Roman"/>
          <w:rtl/>
          <w:lang w:eastAsia="de-DE"/>
        </w:rPr>
        <w:t xml:space="preserve"> </w:t>
      </w:r>
      <w:r w:rsidRPr="009A13B9">
        <w:rPr>
          <w:rFonts w:eastAsia="Times New Roman" w:cs="Times New Roman"/>
          <w:lang w:eastAsia="de-DE"/>
        </w:rPr>
        <w:t xml:space="preserve">zeigt die drastische Behandlung. </w:t>
      </w:r>
      <w:r w:rsidRPr="009A13B9">
        <w:rPr>
          <w:rFonts w:eastAsia="Times New Roman" w:cs="Times New Roman"/>
          <w:b/>
          <w:bCs/>
          <w:rtl/>
          <w:lang w:eastAsia="de-DE"/>
        </w:rPr>
        <w:t>ושרף</w:t>
      </w:r>
      <w:r w:rsidRPr="009A13B9">
        <w:rPr>
          <w:rFonts w:eastAsia="Times New Roman" w:cs="Times New Roman"/>
          <w:rtl/>
          <w:lang w:eastAsia="de-DE"/>
        </w:rPr>
        <w:t xml:space="preserve"> </w:t>
      </w:r>
      <w:r w:rsidRPr="009A13B9">
        <w:rPr>
          <w:rFonts w:eastAsia="Times New Roman" w:cs="Times New Roman"/>
          <w:lang w:eastAsia="de-DE"/>
        </w:rPr>
        <w:t xml:space="preserve">(und man soll verbrennen) - </w:t>
      </w:r>
      <w:r w:rsidRPr="009A13B9">
        <w:rPr>
          <w:rFonts w:eastAsia="Times New Roman" w:cs="Times New Roman"/>
          <w:b/>
          <w:bCs/>
          <w:rtl/>
          <w:lang w:eastAsia="de-DE"/>
        </w:rPr>
        <w:t>שרף</w:t>
      </w:r>
      <w:r w:rsidRPr="009A13B9">
        <w:rPr>
          <w:rFonts w:eastAsia="Times New Roman" w:cs="Times New Roman"/>
          <w:rtl/>
          <w:lang w:eastAsia="de-DE"/>
        </w:rPr>
        <w:t xml:space="preserve"> </w:t>
      </w:r>
      <w:r w:rsidRPr="009A13B9">
        <w:rPr>
          <w:rFonts w:eastAsia="Times New Roman" w:cs="Times New Roman"/>
          <w:lang w:eastAsia="de-DE"/>
        </w:rPr>
        <w:t xml:space="preserve">(verbrennen) im Qal-Perfekt mit Waw-Konsekutiv. Die vollständige Materialaufzählung entspricht V. 47-49. </w:t>
      </w:r>
      <w:r w:rsidRPr="009A13B9">
        <w:rPr>
          <w:rFonts w:eastAsia="Times New Roman" w:cs="Times New Roman"/>
          <w:b/>
          <w:bCs/>
          <w:rtl/>
          <w:lang w:eastAsia="de-DE"/>
        </w:rPr>
        <w:t>אשר־יהיה בו הנגע</w:t>
      </w:r>
      <w:r w:rsidRPr="009A13B9">
        <w:rPr>
          <w:rFonts w:eastAsia="Times New Roman" w:cs="Times New Roman"/>
          <w:rtl/>
          <w:lang w:eastAsia="de-DE"/>
        </w:rPr>
        <w:t xml:space="preserve"> </w:t>
      </w:r>
      <w:r w:rsidRPr="009A13B9">
        <w:rPr>
          <w:rFonts w:eastAsia="Times New Roman" w:cs="Times New Roman"/>
          <w:lang w:eastAsia="de-DE"/>
        </w:rPr>
        <w:t>(woran das Mal ist) spezifiziert die betroffenen Gegenstände.</w:t>
      </w:r>
    </w:p>
    <w:p w14:paraId="3E210FA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כי־צרעת מאמרת הוא באש תשרף</w:t>
      </w:r>
      <w:r w:rsidRPr="009A13B9">
        <w:rPr>
          <w:rFonts w:eastAsia="Times New Roman" w:cs="Times New Roman"/>
          <w:rtl/>
          <w:lang w:eastAsia="de-DE"/>
        </w:rPr>
        <w:t xml:space="preserve"> </w:t>
      </w:r>
      <w:r w:rsidRPr="009A13B9">
        <w:rPr>
          <w:rFonts w:eastAsia="Times New Roman" w:cs="Times New Roman"/>
          <w:lang w:eastAsia="de-DE"/>
        </w:rPr>
        <w:t xml:space="preserve">begründet und verstärkt die Anweisung. </w:t>
      </w:r>
      <w:r w:rsidRPr="009A13B9">
        <w:rPr>
          <w:rFonts w:eastAsia="Times New Roman" w:cs="Times New Roman"/>
          <w:b/>
          <w:bCs/>
          <w:rtl/>
          <w:lang w:eastAsia="de-DE"/>
        </w:rPr>
        <w:t>כי־צרעת מאמרת הוא</w:t>
      </w:r>
      <w:r w:rsidRPr="009A13B9">
        <w:rPr>
          <w:rFonts w:eastAsia="Times New Roman" w:cs="Times New Roman"/>
          <w:rtl/>
          <w:lang w:eastAsia="de-DE"/>
        </w:rPr>
        <w:t xml:space="preserve"> </w:t>
      </w:r>
      <w:r w:rsidRPr="009A13B9">
        <w:rPr>
          <w:rFonts w:eastAsia="Times New Roman" w:cs="Times New Roman"/>
          <w:lang w:eastAsia="de-DE"/>
        </w:rPr>
        <w:t xml:space="preserve">(denn fressender Aussatz ist es) begründet die Verbrennung. </w:t>
      </w:r>
      <w:r w:rsidRPr="009A13B9">
        <w:rPr>
          <w:rFonts w:eastAsia="Times New Roman" w:cs="Times New Roman"/>
          <w:b/>
          <w:bCs/>
          <w:rtl/>
          <w:lang w:eastAsia="de-DE"/>
        </w:rPr>
        <w:t>באש תשרף</w:t>
      </w:r>
      <w:r w:rsidRPr="009A13B9">
        <w:rPr>
          <w:rFonts w:eastAsia="Times New Roman" w:cs="Times New Roman"/>
          <w:rtl/>
          <w:lang w:eastAsia="de-DE"/>
        </w:rPr>
        <w:t xml:space="preserve"> </w:t>
      </w:r>
      <w:r w:rsidRPr="009A13B9">
        <w:rPr>
          <w:rFonts w:eastAsia="Times New Roman" w:cs="Times New Roman"/>
          <w:lang w:eastAsia="de-DE"/>
        </w:rPr>
        <w:t xml:space="preserve">(mit Feuer soll es verbrannt werden) - </w:t>
      </w:r>
      <w:r w:rsidRPr="009A13B9">
        <w:rPr>
          <w:rFonts w:eastAsia="Times New Roman" w:cs="Times New Roman"/>
          <w:b/>
          <w:bCs/>
          <w:rtl/>
          <w:lang w:eastAsia="de-DE"/>
        </w:rPr>
        <w:t>שרף</w:t>
      </w:r>
      <w:r w:rsidRPr="009A13B9">
        <w:rPr>
          <w:rFonts w:eastAsia="Times New Roman" w:cs="Times New Roman"/>
          <w:rtl/>
          <w:lang w:eastAsia="de-DE"/>
        </w:rPr>
        <w:t xml:space="preserve"> </w:t>
      </w:r>
      <w:r w:rsidRPr="009A13B9">
        <w:rPr>
          <w:rFonts w:eastAsia="Times New Roman" w:cs="Times New Roman"/>
          <w:lang w:eastAsia="de-DE"/>
        </w:rPr>
        <w:t>im Nifal-Imperfekt verstärkt die Verbrennungsanweisung.</w:t>
      </w:r>
    </w:p>
    <w:p w14:paraId="156303F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ושרף</w:t>
      </w:r>
      <w:r w:rsidRPr="009A13B9">
        <w:rPr>
          <w:rFonts w:eastAsia="Times New Roman" w:cs="Times New Roman"/>
          <w:rtl/>
          <w:lang w:eastAsia="de-DE"/>
        </w:rPr>
        <w:t xml:space="preserve"> </w:t>
      </w:r>
      <w:r w:rsidRPr="009A13B9">
        <w:rPr>
          <w:rFonts w:eastAsia="Times New Roman" w:cs="Times New Roman"/>
          <w:lang w:eastAsia="de-DE"/>
        </w:rPr>
        <w:t xml:space="preserve">zeigt totale Vernichtung als einzige Lösung bei </w:t>
      </w:r>
      <w:r w:rsidRPr="009A13B9">
        <w:rPr>
          <w:rFonts w:eastAsia="Times New Roman" w:cs="Times New Roman"/>
          <w:b/>
          <w:bCs/>
          <w:rtl/>
          <w:lang w:eastAsia="de-DE"/>
        </w:rPr>
        <w:t>צרעת מאמרת</w:t>
      </w:r>
      <w:r w:rsidRPr="009A13B9">
        <w:rPr>
          <w:rFonts w:eastAsia="Times New Roman" w:cs="Times New Roman"/>
          <w:lang w:eastAsia="de-DE"/>
        </w:rPr>
        <w:t xml:space="preserve">. </w:t>
      </w:r>
      <w:r w:rsidRPr="009A13B9">
        <w:rPr>
          <w:rFonts w:eastAsia="Times New Roman" w:cs="Times New Roman"/>
          <w:b/>
          <w:bCs/>
          <w:rtl/>
          <w:lang w:eastAsia="de-DE"/>
        </w:rPr>
        <w:t>כי־צרעת מאמרת הוא</w:t>
      </w:r>
      <w:r w:rsidRPr="009A13B9">
        <w:rPr>
          <w:rFonts w:eastAsia="Times New Roman" w:cs="Times New Roman"/>
          <w:rtl/>
          <w:lang w:eastAsia="de-DE"/>
        </w:rPr>
        <w:t xml:space="preserve"> </w:t>
      </w:r>
      <w:r w:rsidRPr="009A13B9">
        <w:rPr>
          <w:rFonts w:eastAsia="Times New Roman" w:cs="Times New Roman"/>
          <w:lang w:eastAsia="de-DE"/>
        </w:rPr>
        <w:t xml:space="preserve">begründet die Drastik der Maßnahme. </w:t>
      </w:r>
      <w:r w:rsidRPr="009A13B9">
        <w:rPr>
          <w:rFonts w:eastAsia="Times New Roman" w:cs="Times New Roman"/>
          <w:b/>
          <w:bCs/>
          <w:rtl/>
          <w:lang w:eastAsia="de-DE"/>
        </w:rPr>
        <w:t>באש תשרף</w:t>
      </w:r>
      <w:r w:rsidRPr="009A13B9">
        <w:rPr>
          <w:rFonts w:eastAsia="Times New Roman" w:cs="Times New Roman"/>
          <w:rtl/>
          <w:lang w:eastAsia="de-DE"/>
        </w:rPr>
        <w:t xml:space="preserve"> </w:t>
      </w:r>
      <w:r w:rsidRPr="009A13B9">
        <w:rPr>
          <w:rFonts w:eastAsia="Times New Roman" w:cs="Times New Roman"/>
          <w:lang w:eastAsia="de-DE"/>
        </w:rPr>
        <w:t>verstärkt die Verbrennungsanweisung.</w:t>
      </w:r>
    </w:p>
    <w:p w14:paraId="129BE35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ושרף</w:t>
      </w:r>
      <w:r w:rsidRPr="009A13B9">
        <w:rPr>
          <w:rFonts w:eastAsia="Times New Roman" w:cs="Times New Roman"/>
          <w:rtl/>
          <w:lang w:eastAsia="de-DE"/>
        </w:rPr>
        <w:t xml:space="preserve"> </w:t>
      </w:r>
      <w:r w:rsidRPr="009A13B9">
        <w:rPr>
          <w:rFonts w:eastAsia="Times New Roman" w:cs="Times New Roman"/>
          <w:lang w:eastAsia="de-DE"/>
        </w:rPr>
        <w:t>mit κατακα</w:t>
      </w:r>
      <w:proofErr w:type="spellStart"/>
      <w:r w:rsidRPr="009A13B9">
        <w:rPr>
          <w:rFonts w:eastAsia="Times New Roman" w:cs="Times New Roman"/>
          <w:lang w:eastAsia="de-DE"/>
        </w:rPr>
        <w:t>υθήσετ</w:t>
      </w:r>
      <w:proofErr w:type="spellEnd"/>
      <w:r w:rsidRPr="009A13B9">
        <w:rPr>
          <w:rFonts w:eastAsia="Times New Roman" w:cs="Times New Roman"/>
          <w:lang w:eastAsia="de-DE"/>
        </w:rPr>
        <w:t xml:space="preserve">αι (wird verbrannt werden), </w:t>
      </w:r>
      <w:r w:rsidRPr="009A13B9">
        <w:rPr>
          <w:rFonts w:eastAsia="Times New Roman" w:cs="Times New Roman"/>
          <w:b/>
          <w:bCs/>
          <w:rtl/>
          <w:lang w:eastAsia="de-DE"/>
        </w:rPr>
        <w:t>מאמרת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δι</w:t>
      </w:r>
      <w:proofErr w:type="spellEnd"/>
      <w:r w:rsidRPr="009A13B9">
        <w:rPr>
          <w:rFonts w:eastAsia="Times New Roman" w:cs="Times New Roman"/>
          <w:lang w:eastAsia="de-DE"/>
        </w:rPr>
        <w:t xml:space="preserve">αβιβρώσκουσα (durchfressend) und </w:t>
      </w:r>
      <w:r w:rsidRPr="009A13B9">
        <w:rPr>
          <w:rFonts w:eastAsia="Times New Roman" w:cs="Times New Roman"/>
          <w:b/>
          <w:bCs/>
          <w:rtl/>
          <w:lang w:eastAsia="de-DE"/>
        </w:rPr>
        <w:t>באש תשרף</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υρὶ</w:t>
      </w:r>
      <w:proofErr w:type="spellEnd"/>
      <w:r w:rsidRPr="009A13B9">
        <w:rPr>
          <w:rFonts w:eastAsia="Times New Roman" w:cs="Times New Roman"/>
          <w:lang w:eastAsia="de-DE"/>
        </w:rPr>
        <w:t xml:space="preserve"> κατακα</w:t>
      </w:r>
      <w:proofErr w:type="spellStart"/>
      <w:r w:rsidRPr="009A13B9">
        <w:rPr>
          <w:rFonts w:eastAsia="Times New Roman" w:cs="Times New Roman"/>
          <w:lang w:eastAsia="de-DE"/>
        </w:rPr>
        <w:t>υθήσετ</w:t>
      </w:r>
      <w:proofErr w:type="spellEnd"/>
      <w:r w:rsidRPr="009A13B9">
        <w:rPr>
          <w:rFonts w:eastAsia="Times New Roman" w:cs="Times New Roman"/>
          <w:lang w:eastAsia="de-DE"/>
        </w:rPr>
        <w:t>αι (mit Feuer wird es verbrannt werden).</w:t>
      </w:r>
    </w:p>
    <w:p w14:paraId="016D347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drastische Maßnahme: Verbrennungsanweisung + vollständige Materialaufzählung + Begründung + verstärkte Verbrennungsanweisung. Die Struktur betont die Totalität der Vernichtung.</w:t>
      </w:r>
    </w:p>
    <w:p w14:paraId="55823AA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lastRenderedPageBreak/>
        <w:t xml:space="preserve">Dieser Vers ordnet die vollständige Verbrennung aller von </w:t>
      </w:r>
      <w:r w:rsidRPr="009A13B9">
        <w:rPr>
          <w:rFonts w:eastAsia="Times New Roman" w:cs="Times New Roman"/>
          <w:b/>
          <w:bCs/>
          <w:rtl/>
          <w:lang w:eastAsia="de-DE"/>
        </w:rPr>
        <w:t>צרעת מאמרת</w:t>
      </w:r>
      <w:r w:rsidRPr="009A13B9">
        <w:rPr>
          <w:rFonts w:eastAsia="Times New Roman" w:cs="Times New Roman"/>
          <w:rtl/>
          <w:lang w:eastAsia="de-DE"/>
        </w:rPr>
        <w:t xml:space="preserve"> </w:t>
      </w:r>
      <w:r w:rsidRPr="009A13B9">
        <w:rPr>
          <w:rFonts w:eastAsia="Times New Roman" w:cs="Times New Roman"/>
          <w:lang w:eastAsia="de-DE"/>
        </w:rPr>
        <w:t>befallenen Textilien und Lederprodukte an.</w:t>
      </w:r>
    </w:p>
    <w:p w14:paraId="4FB6E2D3"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13,53</w:t>
      </w:r>
    </w:p>
    <w:p w14:paraId="3628A30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 יִרְאֶ֣ה הַכֹּהֵן֒ וְהִנֵּה֙ לֹא־פָשָׂ֣ה הַנֶּ֔גַע בַּבֶּ֕גֶד א֥וֹ בַשְּׁתִ֖י א֣וֹ בָעֵ֑רֶב א֖וֹ בְּכָל־כְּלִי־עֽוֹר׃</w:t>
      </w:r>
    </w:p>
    <w:p w14:paraId="500400D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sieht, und siehe, das Mal hat sich nicht ausgebreitet am Kleid oder an Kette oder am Einschlag oder an irgendeinem Gerät von Fell,</w:t>
      </w:r>
    </w:p>
    <w:p w14:paraId="44A201A4"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1D360EF">
          <v:rect id="_x0000_i1384" style="width:0;height:1.5pt" o:hralign="center" o:hrstd="t" o:hr="t" fillcolor="#a0a0a0" stroked="f"/>
        </w:pict>
      </w:r>
    </w:p>
    <w:p w14:paraId="1625C4E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 יראה הכהן והנה לא־פשה הנגע בבגד או בשתי או בערב או בכל־כלי־עור</w:t>
      </w:r>
      <w:r w:rsidRPr="009A13B9">
        <w:rPr>
          <w:rFonts w:eastAsia="Times New Roman" w:cs="Times New Roman"/>
          <w:rtl/>
          <w:lang w:eastAsia="de-DE"/>
        </w:rPr>
        <w:t xml:space="preserve"> </w:t>
      </w:r>
      <w:r w:rsidRPr="009A13B9">
        <w:rPr>
          <w:rFonts w:eastAsia="Times New Roman" w:cs="Times New Roman"/>
          <w:lang w:eastAsia="de-DE"/>
        </w:rPr>
        <w:t xml:space="preserve">zeigt den alternativen Befund. </w:t>
      </w:r>
      <w:r w:rsidRPr="009A13B9">
        <w:rPr>
          <w:rFonts w:eastAsia="Times New Roman" w:cs="Times New Roman"/>
          <w:b/>
          <w:bCs/>
          <w:rtl/>
          <w:lang w:eastAsia="de-DE"/>
        </w:rPr>
        <w:t>ואם יראה הכהן</w:t>
      </w:r>
      <w:r w:rsidRPr="009A13B9">
        <w:rPr>
          <w:rFonts w:eastAsia="Times New Roman" w:cs="Times New Roman"/>
          <w:rtl/>
          <w:lang w:eastAsia="de-DE"/>
        </w:rPr>
        <w:t xml:space="preserve"> </w:t>
      </w:r>
      <w:r w:rsidRPr="009A13B9">
        <w:rPr>
          <w:rFonts w:eastAsia="Times New Roman" w:cs="Times New Roman"/>
          <w:lang w:eastAsia="de-DE"/>
        </w:rPr>
        <w:t xml:space="preserve">(und wenn der Priester sieht) entspricht der Nachuntersuchung am siebten Tag. </w:t>
      </w:r>
      <w:r w:rsidRPr="009A13B9">
        <w:rPr>
          <w:rFonts w:eastAsia="Times New Roman" w:cs="Times New Roman"/>
          <w:b/>
          <w:bCs/>
          <w:rtl/>
          <w:lang w:eastAsia="de-DE"/>
        </w:rPr>
        <w:t>והנה לא־פשה הנגע</w:t>
      </w:r>
      <w:r w:rsidRPr="009A13B9">
        <w:rPr>
          <w:rFonts w:eastAsia="Times New Roman" w:cs="Times New Roman"/>
          <w:rtl/>
          <w:lang w:eastAsia="de-DE"/>
        </w:rPr>
        <w:t xml:space="preserve"> </w:t>
      </w:r>
      <w:r w:rsidRPr="009A13B9">
        <w:rPr>
          <w:rFonts w:eastAsia="Times New Roman" w:cs="Times New Roman"/>
          <w:lang w:eastAsia="de-DE"/>
        </w:rPr>
        <w:t xml:space="preserve">(und siehe, das Mal hat sich nicht ausgebreitet) -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(hat sich nicht ausgebreitet) als positives Zeichen im Gegensatz zu V. 51. Die Materialaufzählung entspricht den vorherigen Versen.</w:t>
      </w:r>
    </w:p>
    <w:p w14:paraId="41FE861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לא־פשה הנגע</w:t>
      </w:r>
      <w:r w:rsidRPr="009A13B9">
        <w:rPr>
          <w:rFonts w:eastAsia="Times New Roman" w:cs="Times New Roman"/>
          <w:rtl/>
          <w:lang w:eastAsia="de-DE"/>
        </w:rPr>
        <w:t xml:space="preserve"> </w:t>
      </w:r>
      <w:r w:rsidRPr="009A13B9">
        <w:rPr>
          <w:rFonts w:eastAsia="Times New Roman" w:cs="Times New Roman"/>
          <w:lang w:eastAsia="de-DE"/>
        </w:rPr>
        <w:t>zeigt Stillstand der Verfärbung als positives Kriterium. Die vollständige Materialaufzählung zeigt systematische Anwendung auf alle Textilarten.</w:t>
      </w:r>
    </w:p>
    <w:p w14:paraId="5C6BDDF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לא־פשה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οὐ</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διεχύθη</w:t>
      </w:r>
      <w:proofErr w:type="spellEnd"/>
      <w:r w:rsidRPr="009A13B9">
        <w:rPr>
          <w:rFonts w:eastAsia="Times New Roman" w:cs="Times New Roman"/>
          <w:lang w:eastAsia="de-DE"/>
        </w:rPr>
        <w:t xml:space="preserve"> (breitete sich nicht aus) und </w:t>
      </w:r>
      <w:r w:rsidRPr="009A13B9">
        <w:rPr>
          <w:rFonts w:eastAsia="Times New Roman" w:cs="Times New Roman"/>
          <w:b/>
          <w:bCs/>
          <w:rtl/>
          <w:lang w:eastAsia="de-DE"/>
        </w:rPr>
        <w:t>כל־כלי־עור</w:t>
      </w:r>
      <w:r w:rsidRPr="009A13B9">
        <w:rPr>
          <w:rFonts w:eastAsia="Times New Roman" w:cs="Times New Roman"/>
          <w:rtl/>
          <w:lang w:eastAsia="de-DE"/>
        </w:rPr>
        <w:t xml:space="preserve"> </w:t>
      </w:r>
      <w:r w:rsidRPr="009A13B9">
        <w:rPr>
          <w:rFonts w:eastAsia="Times New Roman" w:cs="Times New Roman"/>
          <w:lang w:eastAsia="de-DE"/>
        </w:rPr>
        <w:t>mit πα</w:t>
      </w:r>
      <w:proofErr w:type="spellStart"/>
      <w:r w:rsidRPr="009A13B9">
        <w:rPr>
          <w:rFonts w:eastAsia="Times New Roman" w:cs="Times New Roman"/>
          <w:lang w:eastAsia="de-DE"/>
        </w:rPr>
        <w:t>ντὶ</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σκεύει</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δερμ</w:t>
      </w:r>
      <w:proofErr w:type="spellEnd"/>
      <w:r w:rsidRPr="009A13B9">
        <w:rPr>
          <w:rFonts w:eastAsia="Times New Roman" w:cs="Times New Roman"/>
          <w:lang w:eastAsia="de-DE"/>
        </w:rPr>
        <w:t>ατίνῳ (jedem Ledergerät).</w:t>
      </w:r>
    </w:p>
    <w:p w14:paraId="312F98B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alternative Entwicklung: Konditionalsatz mit priesterlicher Untersuchung + negatives Ausbreitungskriterium + vollständige Materialaufzählung. Die unvollständige Struktur führt zu V. 54.</w:t>
      </w:r>
    </w:p>
    <w:p w14:paraId="0A015BC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den positiven Fall ohne Ausbreitung bei der Nachuntersuchung von Textil-</w:t>
      </w:r>
      <w:r w:rsidRPr="009A13B9">
        <w:rPr>
          <w:rFonts w:eastAsia="Times New Roman" w:cs="Times New Roman"/>
          <w:b/>
          <w:bCs/>
          <w:rtl/>
          <w:lang w:eastAsia="de-DE"/>
        </w:rPr>
        <w:t>צרעת</w:t>
      </w:r>
      <w:r w:rsidRPr="009A13B9">
        <w:rPr>
          <w:rFonts w:eastAsia="Times New Roman" w:cs="Times New Roman"/>
          <w:lang w:eastAsia="de-DE"/>
        </w:rPr>
        <w:t>.</w:t>
      </w:r>
    </w:p>
    <w:p w14:paraId="712996FC"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13,54</w:t>
      </w:r>
    </w:p>
    <w:p w14:paraId="6392314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וְצִוָּה֙ הַכֹּהֵ֔ן וְכִ֨בְּס֔וּ אֵ֥ת אֲשֶׁר־בּוֹ֖ הַנָּ֑גַע וְהִסְגִּירֹ֥ו שִׁבְעַת־יָמִ֖ים שֵׁנִֽית׃</w:t>
      </w:r>
    </w:p>
    <w:p w14:paraId="7A78D0F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So soll der Priester gebieten, dass man wäscht, woran das Mal ist; und er soll es zum zweiten Mal sieben Tage einschließen.</w:t>
      </w:r>
    </w:p>
    <w:p w14:paraId="07F4CC8D"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53A8DE3">
          <v:rect id="_x0000_i1385" style="width:0;height:1.5pt" o:hralign="center" o:hrstd="t" o:hr="t" fillcolor="#a0a0a0" stroked="f"/>
        </w:pict>
      </w:r>
    </w:p>
    <w:p w14:paraId="555801C8"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וצוה הכהן וכבסו את אשר־בו הנגע והסגירו שבעת־ימים שנית</w:t>
      </w:r>
      <w:r w:rsidRPr="009A13B9">
        <w:rPr>
          <w:rFonts w:eastAsia="Times New Roman" w:cs="Times New Roman"/>
          <w:rtl/>
          <w:lang w:eastAsia="de-DE"/>
        </w:rPr>
        <w:t xml:space="preserve"> </w:t>
      </w:r>
      <w:r w:rsidRPr="009A13B9">
        <w:rPr>
          <w:rFonts w:eastAsia="Times New Roman" w:cs="Times New Roman"/>
          <w:lang w:eastAsia="de-DE"/>
        </w:rPr>
        <w:t xml:space="preserve">zeigt das erweiterte Verfahren bei Nicht-Ausbreitung. </w:t>
      </w:r>
      <w:r w:rsidRPr="009A13B9">
        <w:rPr>
          <w:rFonts w:eastAsia="Times New Roman" w:cs="Times New Roman"/>
          <w:b/>
          <w:bCs/>
          <w:rtl/>
          <w:lang w:eastAsia="de-DE"/>
        </w:rPr>
        <w:t>וצוה הכהן</w:t>
      </w:r>
      <w:r w:rsidRPr="009A13B9">
        <w:rPr>
          <w:rFonts w:eastAsia="Times New Roman" w:cs="Times New Roman"/>
          <w:rtl/>
          <w:lang w:eastAsia="de-DE"/>
        </w:rPr>
        <w:t xml:space="preserve"> </w:t>
      </w:r>
      <w:r w:rsidRPr="009A13B9">
        <w:rPr>
          <w:rFonts w:eastAsia="Times New Roman" w:cs="Times New Roman"/>
          <w:lang w:eastAsia="de-DE"/>
        </w:rPr>
        <w:t xml:space="preserve">(und der Priester soll gebieten) - </w:t>
      </w:r>
      <w:r w:rsidRPr="009A13B9">
        <w:rPr>
          <w:rFonts w:eastAsia="Times New Roman" w:cs="Times New Roman"/>
          <w:b/>
          <w:bCs/>
          <w:rtl/>
          <w:lang w:eastAsia="de-DE"/>
        </w:rPr>
        <w:t>צוה</w:t>
      </w:r>
      <w:r w:rsidRPr="009A13B9">
        <w:rPr>
          <w:rFonts w:eastAsia="Times New Roman" w:cs="Times New Roman"/>
          <w:rtl/>
          <w:lang w:eastAsia="de-DE"/>
        </w:rPr>
        <w:t xml:space="preserve"> </w:t>
      </w:r>
      <w:r w:rsidRPr="009A13B9">
        <w:rPr>
          <w:rFonts w:eastAsia="Times New Roman" w:cs="Times New Roman"/>
          <w:lang w:eastAsia="de-DE"/>
        </w:rPr>
        <w:t xml:space="preserve">(gebieten) im Piel-Perfekt mit Waw-Konsekutiv zeigt priesterliche Anweisung. </w:t>
      </w:r>
      <w:r w:rsidRPr="009A13B9">
        <w:rPr>
          <w:rFonts w:eastAsia="Times New Roman" w:cs="Times New Roman"/>
          <w:b/>
          <w:bCs/>
          <w:rtl/>
          <w:lang w:eastAsia="de-DE"/>
        </w:rPr>
        <w:t>וכבסו את אשר־בו הנגע</w:t>
      </w:r>
      <w:r w:rsidRPr="009A13B9">
        <w:rPr>
          <w:rFonts w:eastAsia="Times New Roman" w:cs="Times New Roman"/>
          <w:rtl/>
          <w:lang w:eastAsia="de-DE"/>
        </w:rPr>
        <w:t xml:space="preserve"> </w:t>
      </w:r>
      <w:r w:rsidRPr="009A13B9">
        <w:rPr>
          <w:rFonts w:eastAsia="Times New Roman" w:cs="Times New Roman"/>
          <w:lang w:eastAsia="de-DE"/>
        </w:rPr>
        <w:t xml:space="preserve">(und man soll waschen, woran das Mal ist) - </w:t>
      </w:r>
      <w:r w:rsidRPr="009A13B9">
        <w:rPr>
          <w:rFonts w:eastAsia="Times New Roman" w:cs="Times New Roman"/>
          <w:b/>
          <w:bCs/>
          <w:rtl/>
          <w:lang w:eastAsia="de-DE"/>
        </w:rPr>
        <w:t>כבס</w:t>
      </w:r>
      <w:r w:rsidRPr="009A13B9">
        <w:rPr>
          <w:rFonts w:eastAsia="Times New Roman" w:cs="Times New Roman"/>
          <w:rtl/>
          <w:lang w:eastAsia="de-DE"/>
        </w:rPr>
        <w:t xml:space="preserve"> </w:t>
      </w:r>
      <w:r w:rsidRPr="009A13B9">
        <w:rPr>
          <w:rFonts w:eastAsia="Times New Roman" w:cs="Times New Roman"/>
          <w:lang w:eastAsia="de-DE"/>
        </w:rPr>
        <w:t xml:space="preserve">(waschen) im Piel-Perfekt mit Waw-Konsekutiv, </w:t>
      </w:r>
      <w:r w:rsidRPr="009A13B9">
        <w:rPr>
          <w:rFonts w:eastAsia="Times New Roman" w:cs="Times New Roman"/>
          <w:b/>
          <w:bCs/>
          <w:rtl/>
          <w:lang w:eastAsia="de-DE"/>
        </w:rPr>
        <w:t>את אשר־בו הנגע</w:t>
      </w:r>
      <w:r w:rsidRPr="009A13B9">
        <w:rPr>
          <w:rFonts w:eastAsia="Times New Roman" w:cs="Times New Roman"/>
          <w:rtl/>
          <w:lang w:eastAsia="de-DE"/>
        </w:rPr>
        <w:t xml:space="preserve"> </w:t>
      </w:r>
      <w:r w:rsidRPr="009A13B9">
        <w:rPr>
          <w:rFonts w:eastAsia="Times New Roman" w:cs="Times New Roman"/>
          <w:lang w:eastAsia="de-DE"/>
        </w:rPr>
        <w:t>(das, woran das Mal ist) bezeichnet den betroffenen Gegenstand.</w:t>
      </w:r>
    </w:p>
    <w:p w14:paraId="2C49373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והסגירו שבעת־ימים שנית</w:t>
      </w:r>
      <w:r w:rsidRPr="009A13B9">
        <w:rPr>
          <w:rFonts w:eastAsia="Times New Roman" w:cs="Times New Roman"/>
          <w:rtl/>
          <w:lang w:eastAsia="de-DE"/>
        </w:rPr>
        <w:t xml:space="preserve"> </w:t>
      </w:r>
      <w:r w:rsidRPr="009A13B9">
        <w:rPr>
          <w:rFonts w:eastAsia="Times New Roman" w:cs="Times New Roman"/>
          <w:lang w:eastAsia="de-DE"/>
        </w:rPr>
        <w:t xml:space="preserve">zeigt erweiterte Quarantäne. </w:t>
      </w:r>
      <w:r w:rsidRPr="009A13B9">
        <w:rPr>
          <w:rFonts w:eastAsia="Times New Roman" w:cs="Times New Roman"/>
          <w:b/>
          <w:bCs/>
          <w:rtl/>
          <w:lang w:eastAsia="de-DE"/>
        </w:rPr>
        <w:t>והסגירו</w:t>
      </w:r>
      <w:r w:rsidRPr="009A13B9">
        <w:rPr>
          <w:rFonts w:eastAsia="Times New Roman" w:cs="Times New Roman"/>
          <w:rtl/>
          <w:lang w:eastAsia="de-DE"/>
        </w:rPr>
        <w:t xml:space="preserve"> </w:t>
      </w:r>
      <w:r w:rsidRPr="009A13B9">
        <w:rPr>
          <w:rFonts w:eastAsia="Times New Roman" w:cs="Times New Roman"/>
          <w:lang w:eastAsia="de-DE"/>
        </w:rPr>
        <w:t xml:space="preserve">(und er soll es einschließen) entspricht V. 50. </w:t>
      </w:r>
      <w:r w:rsidRPr="009A13B9">
        <w:rPr>
          <w:rFonts w:eastAsia="Times New Roman" w:cs="Times New Roman"/>
          <w:b/>
          <w:bCs/>
          <w:rtl/>
          <w:lang w:eastAsia="de-DE"/>
        </w:rPr>
        <w:t>שבעת־ימים שנית</w:t>
      </w:r>
      <w:r w:rsidRPr="009A13B9">
        <w:rPr>
          <w:rFonts w:eastAsia="Times New Roman" w:cs="Times New Roman"/>
          <w:rtl/>
          <w:lang w:eastAsia="de-DE"/>
        </w:rPr>
        <w:t xml:space="preserve"> </w:t>
      </w:r>
      <w:r w:rsidRPr="009A13B9">
        <w:rPr>
          <w:rFonts w:eastAsia="Times New Roman" w:cs="Times New Roman"/>
          <w:lang w:eastAsia="de-DE"/>
        </w:rPr>
        <w:t>(sieben Tage zum zweiten Mal) entspricht dem Verfahren bei Hautfällen.</w:t>
      </w:r>
    </w:p>
    <w:p w14:paraId="0FD7FF7E"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lastRenderedPageBreak/>
        <w:t>וצוה הכהן</w:t>
      </w:r>
      <w:r w:rsidRPr="009A13B9">
        <w:rPr>
          <w:rFonts w:eastAsia="Times New Roman" w:cs="Times New Roman"/>
          <w:rtl/>
          <w:lang w:eastAsia="de-DE"/>
        </w:rPr>
        <w:t xml:space="preserve"> </w:t>
      </w:r>
      <w:r w:rsidRPr="009A13B9">
        <w:rPr>
          <w:rFonts w:eastAsia="Times New Roman" w:cs="Times New Roman"/>
          <w:lang w:eastAsia="de-DE"/>
        </w:rPr>
        <w:t xml:space="preserve">zeigt aktive priesterliche Anweisung. </w:t>
      </w:r>
      <w:r w:rsidRPr="009A13B9">
        <w:rPr>
          <w:rFonts w:eastAsia="Times New Roman" w:cs="Times New Roman"/>
          <w:b/>
          <w:bCs/>
          <w:rtl/>
          <w:lang w:eastAsia="de-DE"/>
        </w:rPr>
        <w:t>וכבסו</w:t>
      </w:r>
      <w:r w:rsidRPr="009A13B9">
        <w:rPr>
          <w:rFonts w:eastAsia="Times New Roman" w:cs="Times New Roman"/>
          <w:rtl/>
          <w:lang w:eastAsia="de-DE"/>
        </w:rPr>
        <w:t xml:space="preserve"> </w:t>
      </w:r>
      <w:r w:rsidRPr="009A13B9">
        <w:rPr>
          <w:rFonts w:eastAsia="Times New Roman" w:cs="Times New Roman"/>
          <w:lang w:eastAsia="de-DE"/>
        </w:rPr>
        <w:t xml:space="preserve">als Reinigungsversuch vor erneuter Beobachtung.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zeigt systematische Verlängerung der Beobachtungszeit.</w:t>
      </w:r>
    </w:p>
    <w:p w14:paraId="6C71355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וצוה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συντάξει</w:t>
      </w:r>
      <w:proofErr w:type="spellEnd"/>
      <w:r w:rsidRPr="009A13B9">
        <w:rPr>
          <w:rFonts w:eastAsia="Times New Roman" w:cs="Times New Roman"/>
          <w:lang w:eastAsia="de-DE"/>
        </w:rPr>
        <w:t xml:space="preserve"> (er wird anordnen), </w:t>
      </w:r>
      <w:r w:rsidRPr="009A13B9">
        <w:rPr>
          <w:rFonts w:eastAsia="Times New Roman" w:cs="Times New Roman"/>
          <w:b/>
          <w:bCs/>
          <w:rtl/>
          <w:lang w:eastAsia="de-DE"/>
        </w:rPr>
        <w:t>וכבסו</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λυθήσετ</w:t>
      </w:r>
      <w:proofErr w:type="spellEnd"/>
      <w:r w:rsidRPr="009A13B9">
        <w:rPr>
          <w:rFonts w:eastAsia="Times New Roman" w:cs="Times New Roman"/>
          <w:lang w:eastAsia="de-DE"/>
        </w:rPr>
        <w:t xml:space="preserve">αι (es wird gewaschen werden) und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δεύτερον</w:t>
      </w:r>
      <w:proofErr w:type="spellEnd"/>
      <w:r w:rsidRPr="009A13B9">
        <w:rPr>
          <w:rFonts w:eastAsia="Times New Roman" w:cs="Times New Roman"/>
          <w:lang w:eastAsia="de-DE"/>
        </w:rPr>
        <w:t xml:space="preserve"> (zum zweiten Mal).</w:t>
      </w:r>
    </w:p>
    <w:p w14:paraId="4E17A5F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erweiterte Behandlung: priesterliche Anweisung + Waschgebot + erweiterte Quarantäne. Die Struktur zeigt vorsichtiges Verfahren mit Reinigungsversuch.</w:t>
      </w:r>
    </w:p>
    <w:p w14:paraId="7C46D57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ordnet Waschen und zweite Quarantänewoche für nicht-ausgebreitete Textil-</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an.</w:t>
      </w:r>
    </w:p>
    <w:p w14:paraId="4477FCD0"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13,55</w:t>
      </w:r>
    </w:p>
    <w:p w14:paraId="4A2A959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וְרָאָ֨ה הַכֹּהֵ֜ן אַחֲרֵ֣י׀ הֻכַּבֵּ֣ס אֶת־הַנֶּ֗גַע וְ֠הִנֵּה לֹֽא־הָפַ֨ךְ הַנֶּ֤גַע אֶת־עֵינוֹ֙ וְהַנֶּ֣גַע לֹֽא־פָשָׂ֔ה טָמֵ֣א ה֔וּא בָּאֵ֖שׁ תִּשְׂרְפֶ֑נּוּ פְּחֶ֣תֶת הִ֔וא בְּקָרַחְתּוֹ֖ א֥וֹ בְגַבַּחְתּוֹֽ׃</w:t>
      </w:r>
    </w:p>
    <w:p w14:paraId="5EB9E6D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sieht nach dem Waschen des Mals, und siehe, das Mal hat sein Aussehen nicht verändert, und das Mal hat sich nicht ausgebreitet, so ist es unrein; im Feuer sollst du es verbrennen. Es ist eine Vertiefung auf seiner Rückseite oder auf seiner Vorderseite.</w:t>
      </w:r>
    </w:p>
    <w:p w14:paraId="1CD9EBA0"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26207DF">
          <v:rect id="_x0000_i1386" style="width:0;height:1.5pt" o:hralign="center" o:hrstd="t" o:hr="t" fillcolor="#a0a0a0" stroked="f"/>
        </w:pict>
      </w:r>
    </w:p>
    <w:p w14:paraId="6F3115F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וראה הכהן אחרי הכבס את־הנגע והנה לא־הפך הנגע את־עינו והנגע לא־פשה טמא הוא באש תשרפנו</w:t>
      </w:r>
      <w:r w:rsidRPr="009A13B9">
        <w:rPr>
          <w:rFonts w:eastAsia="Times New Roman" w:cs="Times New Roman"/>
          <w:rtl/>
          <w:lang w:eastAsia="de-DE"/>
        </w:rPr>
        <w:t xml:space="preserve"> </w:t>
      </w:r>
      <w:r w:rsidRPr="009A13B9">
        <w:rPr>
          <w:rFonts w:eastAsia="Times New Roman" w:cs="Times New Roman"/>
          <w:lang w:eastAsia="de-DE"/>
        </w:rPr>
        <w:t xml:space="preserve">zeigt die Nachuntersuchung nach dem Waschen. </w:t>
      </w:r>
      <w:r w:rsidRPr="009A13B9">
        <w:rPr>
          <w:rFonts w:eastAsia="Times New Roman" w:cs="Times New Roman"/>
          <w:b/>
          <w:bCs/>
          <w:rtl/>
          <w:lang w:eastAsia="de-DE"/>
        </w:rPr>
        <w:t>וראה הכהן אחרי הכבס את־הנגע</w:t>
      </w:r>
      <w:r w:rsidRPr="009A13B9">
        <w:rPr>
          <w:rFonts w:eastAsia="Times New Roman" w:cs="Times New Roman"/>
          <w:rtl/>
          <w:lang w:eastAsia="de-DE"/>
        </w:rPr>
        <w:t xml:space="preserve"> </w:t>
      </w:r>
      <w:r w:rsidRPr="009A13B9">
        <w:rPr>
          <w:rFonts w:eastAsia="Times New Roman" w:cs="Times New Roman"/>
          <w:lang w:eastAsia="de-DE"/>
        </w:rPr>
        <w:t xml:space="preserve">(und der Priester sieht nach dem Waschen das Mal) - </w:t>
      </w:r>
      <w:r w:rsidRPr="009A13B9">
        <w:rPr>
          <w:rFonts w:eastAsia="Times New Roman" w:cs="Times New Roman"/>
          <w:b/>
          <w:bCs/>
          <w:rtl/>
          <w:lang w:eastAsia="de-DE"/>
        </w:rPr>
        <w:t>אחרי הכבס</w:t>
      </w:r>
      <w:r w:rsidRPr="009A13B9">
        <w:rPr>
          <w:rFonts w:eastAsia="Times New Roman" w:cs="Times New Roman"/>
          <w:rtl/>
          <w:lang w:eastAsia="de-DE"/>
        </w:rPr>
        <w:t xml:space="preserve"> </w:t>
      </w:r>
      <w:r w:rsidRPr="009A13B9">
        <w:rPr>
          <w:rFonts w:eastAsia="Times New Roman" w:cs="Times New Roman"/>
          <w:lang w:eastAsia="de-DE"/>
        </w:rPr>
        <w:t xml:space="preserve">(nach dem Waschen) zeigt den Zeitpunkt. </w:t>
      </w:r>
      <w:r w:rsidRPr="009A13B9">
        <w:rPr>
          <w:rFonts w:eastAsia="Times New Roman" w:cs="Times New Roman"/>
          <w:b/>
          <w:bCs/>
          <w:rtl/>
          <w:lang w:eastAsia="de-DE"/>
        </w:rPr>
        <w:t>והנה לא־הפך הנגע את־עינו</w:t>
      </w:r>
      <w:r w:rsidRPr="009A13B9">
        <w:rPr>
          <w:rFonts w:eastAsia="Times New Roman" w:cs="Times New Roman"/>
          <w:rtl/>
          <w:lang w:eastAsia="de-DE"/>
        </w:rPr>
        <w:t xml:space="preserve"> </w:t>
      </w:r>
      <w:r w:rsidRPr="009A13B9">
        <w:rPr>
          <w:rFonts w:eastAsia="Times New Roman" w:cs="Times New Roman"/>
          <w:lang w:eastAsia="de-DE"/>
        </w:rPr>
        <w:t xml:space="preserve">(und siehe, das Mal hat sein Aussehen nicht verändert) - </w:t>
      </w:r>
      <w:r w:rsidRPr="009A13B9">
        <w:rPr>
          <w:rFonts w:eastAsia="Times New Roman" w:cs="Times New Roman"/>
          <w:b/>
          <w:bCs/>
          <w:rtl/>
          <w:lang w:eastAsia="de-DE"/>
        </w:rPr>
        <w:t>לא־הפך את־עינו</w:t>
      </w:r>
      <w:r w:rsidRPr="009A13B9">
        <w:rPr>
          <w:rFonts w:eastAsia="Times New Roman" w:cs="Times New Roman"/>
          <w:rtl/>
          <w:lang w:eastAsia="de-DE"/>
        </w:rPr>
        <w:t xml:space="preserve"> </w:t>
      </w:r>
      <w:r w:rsidRPr="009A13B9">
        <w:rPr>
          <w:rFonts w:eastAsia="Times New Roman" w:cs="Times New Roman"/>
          <w:lang w:eastAsia="de-DE"/>
        </w:rPr>
        <w:t xml:space="preserve">(hat sein Aussehen nicht verändert) zeigt Persistenz der Verfärbung. </w:t>
      </w:r>
      <w:r w:rsidRPr="009A13B9">
        <w:rPr>
          <w:rFonts w:eastAsia="Times New Roman" w:cs="Times New Roman"/>
          <w:b/>
          <w:bCs/>
          <w:rtl/>
          <w:lang w:eastAsia="de-DE"/>
        </w:rPr>
        <w:t>והנגע לא־פשה</w:t>
      </w:r>
      <w:r w:rsidRPr="009A13B9">
        <w:rPr>
          <w:rFonts w:eastAsia="Times New Roman" w:cs="Times New Roman"/>
          <w:rtl/>
          <w:lang w:eastAsia="de-DE"/>
        </w:rPr>
        <w:t xml:space="preserve"> </w:t>
      </w:r>
      <w:r w:rsidRPr="009A13B9">
        <w:rPr>
          <w:rFonts w:eastAsia="Times New Roman" w:cs="Times New Roman"/>
          <w:lang w:eastAsia="de-DE"/>
        </w:rPr>
        <w:t>(und das Mal hat sich nicht ausgebreitet) bestätigt Stillstand.</w:t>
      </w:r>
    </w:p>
    <w:p w14:paraId="4924917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טמא הוא באש תשרפנו פחתת הוא בקרחתו או בגבחתו</w:t>
      </w:r>
      <w:r w:rsidRPr="009A13B9">
        <w:rPr>
          <w:rFonts w:eastAsia="Times New Roman" w:cs="Times New Roman"/>
          <w:rtl/>
          <w:lang w:eastAsia="de-DE"/>
        </w:rPr>
        <w:t xml:space="preserve"> </w:t>
      </w:r>
      <w:r w:rsidRPr="009A13B9">
        <w:rPr>
          <w:rFonts w:eastAsia="Times New Roman" w:cs="Times New Roman"/>
          <w:lang w:eastAsia="de-DE"/>
        </w:rPr>
        <w:t xml:space="preserve">zeigt die Diagnose. </w:t>
      </w:r>
      <w:r w:rsidRPr="009A13B9">
        <w:rPr>
          <w:rFonts w:eastAsia="Times New Roman" w:cs="Times New Roman"/>
          <w:b/>
          <w:bCs/>
          <w:rtl/>
          <w:lang w:eastAsia="de-DE"/>
        </w:rPr>
        <w:t>טמא הוא</w:t>
      </w:r>
      <w:r w:rsidRPr="009A13B9">
        <w:rPr>
          <w:rFonts w:eastAsia="Times New Roman" w:cs="Times New Roman"/>
          <w:rtl/>
          <w:lang w:eastAsia="de-DE"/>
        </w:rPr>
        <w:t xml:space="preserve"> </w:t>
      </w:r>
      <w:r w:rsidRPr="009A13B9">
        <w:rPr>
          <w:rFonts w:eastAsia="Times New Roman" w:cs="Times New Roman"/>
          <w:lang w:eastAsia="de-DE"/>
        </w:rPr>
        <w:t xml:space="preserve">(unrein ist es) trotz Nicht-Ausbreitung. </w:t>
      </w:r>
      <w:r w:rsidRPr="009A13B9">
        <w:rPr>
          <w:rFonts w:eastAsia="Times New Roman" w:cs="Times New Roman"/>
          <w:b/>
          <w:bCs/>
          <w:rtl/>
          <w:lang w:eastAsia="de-DE"/>
        </w:rPr>
        <w:t>באש תשרפנו</w:t>
      </w:r>
      <w:r w:rsidRPr="009A13B9">
        <w:rPr>
          <w:rFonts w:eastAsia="Times New Roman" w:cs="Times New Roman"/>
          <w:rtl/>
          <w:lang w:eastAsia="de-DE"/>
        </w:rPr>
        <w:t xml:space="preserve"> </w:t>
      </w:r>
      <w:r w:rsidRPr="009A13B9">
        <w:rPr>
          <w:rFonts w:eastAsia="Times New Roman" w:cs="Times New Roman"/>
          <w:lang w:eastAsia="de-DE"/>
        </w:rPr>
        <w:t xml:space="preserve">(mit Feuer sollst du es verbrennen). </w:t>
      </w:r>
      <w:r w:rsidRPr="009A13B9">
        <w:rPr>
          <w:rFonts w:eastAsia="Times New Roman" w:cs="Times New Roman"/>
          <w:b/>
          <w:bCs/>
          <w:rtl/>
          <w:lang w:eastAsia="de-DE"/>
        </w:rPr>
        <w:t>פחתת הוא בקרחתו או בגבחתו</w:t>
      </w:r>
      <w:r w:rsidRPr="009A13B9">
        <w:rPr>
          <w:rFonts w:eastAsia="Times New Roman" w:cs="Times New Roman"/>
          <w:rtl/>
          <w:lang w:eastAsia="de-DE"/>
        </w:rPr>
        <w:t xml:space="preserve"> </w:t>
      </w:r>
      <w:r w:rsidRPr="009A13B9">
        <w:rPr>
          <w:rFonts w:eastAsia="Times New Roman" w:cs="Times New Roman"/>
          <w:lang w:eastAsia="de-DE"/>
        </w:rPr>
        <w:t xml:space="preserve">(eine Vertiefung ist es auf seiner Rückseite oder auf seiner Vorderseite) - </w:t>
      </w:r>
      <w:r w:rsidRPr="009A13B9">
        <w:rPr>
          <w:rFonts w:eastAsia="Times New Roman" w:cs="Times New Roman"/>
          <w:b/>
          <w:bCs/>
          <w:rtl/>
          <w:lang w:eastAsia="de-DE"/>
        </w:rPr>
        <w:t>פחתת</w:t>
      </w:r>
      <w:r w:rsidRPr="009A13B9">
        <w:rPr>
          <w:rFonts w:eastAsia="Times New Roman" w:cs="Times New Roman"/>
          <w:rtl/>
          <w:lang w:eastAsia="de-DE"/>
        </w:rPr>
        <w:t xml:space="preserve"> </w:t>
      </w:r>
      <w:r w:rsidRPr="009A13B9">
        <w:rPr>
          <w:rFonts w:eastAsia="Times New Roman" w:cs="Times New Roman"/>
          <w:lang w:eastAsia="de-DE"/>
        </w:rPr>
        <w:t xml:space="preserve">(Vertiefung/Fraß), </w:t>
      </w:r>
      <w:r w:rsidRPr="009A13B9">
        <w:rPr>
          <w:rFonts w:eastAsia="Times New Roman" w:cs="Times New Roman"/>
          <w:b/>
          <w:bCs/>
          <w:rtl/>
          <w:lang w:eastAsia="de-DE"/>
        </w:rPr>
        <w:t>קרחתו</w:t>
      </w:r>
      <w:r w:rsidRPr="009A13B9">
        <w:rPr>
          <w:rFonts w:eastAsia="Times New Roman" w:cs="Times New Roman"/>
          <w:rtl/>
          <w:lang w:eastAsia="de-DE"/>
        </w:rPr>
        <w:t xml:space="preserve"> </w:t>
      </w:r>
      <w:r w:rsidRPr="009A13B9">
        <w:rPr>
          <w:rFonts w:eastAsia="Times New Roman" w:cs="Times New Roman"/>
          <w:lang w:eastAsia="de-DE"/>
        </w:rPr>
        <w:t xml:space="preserve">(seiner Rückseite), </w:t>
      </w:r>
      <w:r w:rsidRPr="009A13B9">
        <w:rPr>
          <w:rFonts w:eastAsia="Times New Roman" w:cs="Times New Roman"/>
          <w:b/>
          <w:bCs/>
          <w:rtl/>
          <w:lang w:eastAsia="de-DE"/>
        </w:rPr>
        <w:t>גבחתו</w:t>
      </w:r>
      <w:r w:rsidRPr="009A13B9">
        <w:rPr>
          <w:rFonts w:eastAsia="Times New Roman" w:cs="Times New Roman"/>
          <w:rtl/>
          <w:lang w:eastAsia="de-DE"/>
        </w:rPr>
        <w:t xml:space="preserve"> </w:t>
      </w:r>
      <w:r w:rsidRPr="009A13B9">
        <w:rPr>
          <w:rFonts w:eastAsia="Times New Roman" w:cs="Times New Roman"/>
          <w:lang w:eastAsia="de-DE"/>
        </w:rPr>
        <w:t>(seiner Vorderseite).</w:t>
      </w:r>
    </w:p>
    <w:p w14:paraId="1AECD83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לא־הפך את־עינו</w:t>
      </w:r>
      <w:r w:rsidRPr="009A13B9">
        <w:rPr>
          <w:rFonts w:eastAsia="Times New Roman" w:cs="Times New Roman"/>
          <w:rtl/>
          <w:lang w:eastAsia="de-DE"/>
        </w:rPr>
        <w:t xml:space="preserve"> </w:t>
      </w:r>
      <w:r w:rsidRPr="009A13B9">
        <w:rPr>
          <w:rFonts w:eastAsia="Times New Roman" w:cs="Times New Roman"/>
          <w:lang w:eastAsia="de-DE"/>
        </w:rPr>
        <w:t xml:space="preserve">zeigt, dass Waschen die Verfärbung nicht entfernt hat. </w:t>
      </w:r>
      <w:r w:rsidRPr="009A13B9">
        <w:rPr>
          <w:rFonts w:eastAsia="Times New Roman" w:cs="Times New Roman"/>
          <w:b/>
          <w:bCs/>
          <w:rtl/>
          <w:lang w:eastAsia="de-DE"/>
        </w:rPr>
        <w:t>פחתת</w:t>
      </w:r>
      <w:r w:rsidRPr="009A13B9">
        <w:rPr>
          <w:rFonts w:eastAsia="Times New Roman" w:cs="Times New Roman"/>
          <w:rtl/>
          <w:lang w:eastAsia="de-DE"/>
        </w:rPr>
        <w:t xml:space="preserve"> </w:t>
      </w:r>
      <w:r w:rsidRPr="009A13B9">
        <w:rPr>
          <w:rFonts w:eastAsia="Times New Roman" w:cs="Times New Roman"/>
          <w:lang w:eastAsia="de-DE"/>
        </w:rPr>
        <w:t xml:space="preserve">als spezifischer Begriff für eingeätzte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בקרחתו או בגבחתו</w:t>
      </w:r>
      <w:r w:rsidRPr="009A13B9">
        <w:rPr>
          <w:rFonts w:eastAsia="Times New Roman" w:cs="Times New Roman"/>
          <w:rtl/>
          <w:lang w:eastAsia="de-DE"/>
        </w:rPr>
        <w:t xml:space="preserve"> </w:t>
      </w:r>
      <w:r w:rsidRPr="009A13B9">
        <w:rPr>
          <w:rFonts w:eastAsia="Times New Roman" w:cs="Times New Roman"/>
          <w:lang w:eastAsia="de-DE"/>
        </w:rPr>
        <w:t>verwendet die Kahlheitsterminologie metaphorisch für Textilien.</w:t>
      </w:r>
    </w:p>
    <w:p w14:paraId="0B2ED3D4" w14:textId="4BCDE3FD"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w:t>
      </w:r>
      <w:r w:rsidR="007660B2">
        <w:t xml:space="preserve">interpretiert </w:t>
      </w:r>
      <w:r w:rsidR="007660B2">
        <w:rPr>
          <w:rtl/>
        </w:rPr>
        <w:t>פחתת</w:t>
      </w:r>
      <w:r w:rsidR="007660B2">
        <w:t xml:space="preserve"> (</w:t>
      </w:r>
      <w:proofErr w:type="spellStart"/>
      <w:r w:rsidR="007660B2">
        <w:t>pechetat</w:t>
      </w:r>
      <w:proofErr w:type="spellEnd"/>
      <w:r w:rsidR="007660B2">
        <w:t xml:space="preserve"> - "Vertiefung/Loch") und die anatomischen Begriffe </w:t>
      </w:r>
      <w:r w:rsidR="007660B2">
        <w:rPr>
          <w:rtl/>
        </w:rPr>
        <w:t>קרחתו/גבחתו</w:t>
      </w:r>
      <w:r w:rsidR="007660B2">
        <w:t xml:space="preserve"> als </w:t>
      </w:r>
      <w:proofErr w:type="spellStart"/>
      <w:r w:rsidR="007660B2">
        <w:t>ἐστήρικτ</w:t>
      </w:r>
      <w:proofErr w:type="spellEnd"/>
      <w:r w:rsidR="007660B2">
        <w:t>αι (es ist fest eingewurzelt), was eine andere Interpretation der Textilschäden darstellt.</w:t>
      </w:r>
    </w:p>
    <w:p w14:paraId="1E81217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negative Diagnose: Untersuchung nach Behandlung + zwei negative Kriterien + Unreinheitsklassifikation + Verbrennungsanweisung + spezifische Diagnose mit Lokalisation. Die Struktur zeigt, dass Hartnäckigkeit zur Vernichtung führt.</w:t>
      </w:r>
    </w:p>
    <w:p w14:paraId="5AECB31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lastRenderedPageBreak/>
        <w:t xml:space="preserve">Dieser Vers zeigt, dass persistierende Verfärbung trotz Waschens als </w:t>
      </w:r>
      <w:r w:rsidRPr="009A13B9">
        <w:rPr>
          <w:rFonts w:eastAsia="Times New Roman" w:cs="Times New Roman"/>
          <w:b/>
          <w:bCs/>
          <w:rtl/>
          <w:lang w:eastAsia="de-DE"/>
        </w:rPr>
        <w:t>פחתת</w:t>
      </w:r>
      <w:r w:rsidRPr="009A13B9">
        <w:rPr>
          <w:rFonts w:eastAsia="Times New Roman" w:cs="Times New Roman"/>
          <w:rtl/>
          <w:lang w:eastAsia="de-DE"/>
        </w:rPr>
        <w:t xml:space="preserve"> </w:t>
      </w:r>
      <w:r w:rsidRPr="009A13B9">
        <w:rPr>
          <w:rFonts w:eastAsia="Times New Roman" w:cs="Times New Roman"/>
          <w:lang w:eastAsia="de-DE"/>
        </w:rPr>
        <w:t>(Vertiefung/Fraß) zur Verbrennung führt.</w:t>
      </w:r>
    </w:p>
    <w:p w14:paraId="459F0DF6"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13,56</w:t>
      </w:r>
    </w:p>
    <w:p w14:paraId="01E76E56"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 רָאָ֣ה הַכֹּהֵן֒ וְהִנֵּה֙ כֵּהָ֣ה הַנֶּ֔גַע אַחֲרֵ֖י הֻכַּבֵּ֣ס אֹתוֹ֑ וְקָרַ֣ע אֹתוֹ֗ מִן־הַבֶּ֨גֶד֙ א֣וֹ מִן־הָע֔וֹר א֥וֹ מִן־הַשְּׁתִ֖י א֥וֹ מִן־הָעֵֽרֶב׃</w:t>
      </w:r>
    </w:p>
    <w:p w14:paraId="2680962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der Priester sieht, und siehe, das Mal ist dunkel geworden nach dem Waschen, so soll er es abreißen vom Kleid oder vom Fell oder von Kette oder vom Einschlag.</w:t>
      </w:r>
    </w:p>
    <w:p w14:paraId="2E0D703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25D4B7A7">
          <v:rect id="_x0000_i1387" style="width:0;height:1.5pt" o:hralign="center" o:hrstd="t" o:hr="t" fillcolor="#a0a0a0" stroked="f"/>
        </w:pict>
      </w:r>
    </w:p>
    <w:p w14:paraId="5497169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ואם ראה הכהן והנה כהה הנגע אחרי הכבס אתו וקרע אתו מן־הבגד או מן־העור או מן־השתי או מן־הערב</w:t>
      </w:r>
      <w:r w:rsidRPr="009A13B9">
        <w:rPr>
          <w:rFonts w:eastAsia="Times New Roman" w:cs="Times New Roman"/>
          <w:rtl/>
          <w:lang w:eastAsia="de-DE"/>
        </w:rPr>
        <w:t xml:space="preserve"> </w:t>
      </w:r>
      <w:r w:rsidRPr="009A13B9">
        <w:rPr>
          <w:rFonts w:eastAsia="Times New Roman" w:cs="Times New Roman"/>
          <w:lang w:eastAsia="de-DE"/>
        </w:rPr>
        <w:t xml:space="preserve">zeigt die positive Alternative. </w:t>
      </w:r>
      <w:r w:rsidRPr="009A13B9">
        <w:rPr>
          <w:rFonts w:eastAsia="Times New Roman" w:cs="Times New Roman"/>
          <w:b/>
          <w:bCs/>
          <w:rtl/>
          <w:lang w:eastAsia="de-DE"/>
        </w:rPr>
        <w:t>ואם ראה הכהן והנה כהה הנגע</w:t>
      </w:r>
      <w:r w:rsidRPr="009A13B9">
        <w:rPr>
          <w:rFonts w:eastAsia="Times New Roman" w:cs="Times New Roman"/>
          <w:rtl/>
          <w:lang w:eastAsia="de-DE"/>
        </w:rPr>
        <w:t xml:space="preserve"> </w:t>
      </w:r>
      <w:r w:rsidRPr="009A13B9">
        <w:rPr>
          <w:rFonts w:eastAsia="Times New Roman" w:cs="Times New Roman"/>
          <w:lang w:eastAsia="de-DE"/>
        </w:rPr>
        <w:t xml:space="preserve">(und wenn der Priester sieht, und siehe, das Mal ist dunkel geworden) - </w:t>
      </w:r>
      <w:r w:rsidRPr="009A13B9">
        <w:rPr>
          <w:rFonts w:eastAsia="Times New Roman" w:cs="Times New Roman"/>
          <w:b/>
          <w:bCs/>
          <w:rtl/>
          <w:lang w:eastAsia="de-DE"/>
        </w:rPr>
        <w:t>כהה</w:t>
      </w:r>
      <w:r w:rsidRPr="009A13B9">
        <w:rPr>
          <w:rFonts w:eastAsia="Times New Roman" w:cs="Times New Roman"/>
          <w:rtl/>
          <w:lang w:eastAsia="de-DE"/>
        </w:rPr>
        <w:t xml:space="preserve"> </w:t>
      </w:r>
      <w:r w:rsidRPr="009A13B9">
        <w:rPr>
          <w:rFonts w:eastAsia="Times New Roman" w:cs="Times New Roman"/>
          <w:lang w:eastAsia="de-DE"/>
        </w:rPr>
        <w:t xml:space="preserve">(dunkel geworden/verblasst) im Qal-Perfekt zeigt Besserung. </w:t>
      </w:r>
      <w:r w:rsidRPr="009A13B9">
        <w:rPr>
          <w:rFonts w:eastAsia="Times New Roman" w:cs="Times New Roman"/>
          <w:b/>
          <w:bCs/>
          <w:rtl/>
          <w:lang w:eastAsia="de-DE"/>
        </w:rPr>
        <w:t>אחרי הכבס אתו</w:t>
      </w:r>
      <w:r w:rsidRPr="009A13B9">
        <w:rPr>
          <w:rFonts w:eastAsia="Times New Roman" w:cs="Times New Roman"/>
          <w:rtl/>
          <w:lang w:eastAsia="de-DE"/>
        </w:rPr>
        <w:t xml:space="preserve"> </w:t>
      </w:r>
      <w:r w:rsidRPr="009A13B9">
        <w:rPr>
          <w:rFonts w:eastAsia="Times New Roman" w:cs="Times New Roman"/>
          <w:lang w:eastAsia="de-DE"/>
        </w:rPr>
        <w:t>(nach dem Waschen es) bestätigt den Zeitpunkt.</w:t>
      </w:r>
    </w:p>
    <w:p w14:paraId="4349AD0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וקרע אתו</w:t>
      </w:r>
      <w:r w:rsidRPr="009A13B9">
        <w:rPr>
          <w:rFonts w:eastAsia="Times New Roman" w:cs="Times New Roman"/>
          <w:rtl/>
          <w:lang w:eastAsia="de-DE"/>
        </w:rPr>
        <w:t xml:space="preserve"> </w:t>
      </w:r>
      <w:r w:rsidRPr="009A13B9">
        <w:rPr>
          <w:rFonts w:eastAsia="Times New Roman" w:cs="Times New Roman"/>
          <w:lang w:eastAsia="de-DE"/>
        </w:rPr>
        <w:t xml:space="preserve">(und er soll es abreißen) - </w:t>
      </w:r>
      <w:r w:rsidRPr="009A13B9">
        <w:rPr>
          <w:rFonts w:eastAsia="Times New Roman" w:cs="Times New Roman"/>
          <w:b/>
          <w:bCs/>
          <w:rtl/>
          <w:lang w:eastAsia="de-DE"/>
        </w:rPr>
        <w:t>קרע</w:t>
      </w:r>
      <w:r w:rsidRPr="009A13B9">
        <w:rPr>
          <w:rFonts w:eastAsia="Times New Roman" w:cs="Times New Roman"/>
          <w:rtl/>
          <w:lang w:eastAsia="de-DE"/>
        </w:rPr>
        <w:t xml:space="preserve"> </w:t>
      </w:r>
      <w:r w:rsidRPr="009A13B9">
        <w:rPr>
          <w:rFonts w:eastAsia="Times New Roman" w:cs="Times New Roman"/>
          <w:lang w:eastAsia="de-DE"/>
        </w:rPr>
        <w:t xml:space="preserve">(reißen/abreißen) im Qal-Perfekt mit Waw-Konsekutiv zeigt partielle Entfernung. </w:t>
      </w:r>
      <w:r w:rsidRPr="009A13B9">
        <w:rPr>
          <w:rFonts w:eastAsia="Times New Roman" w:cs="Times New Roman"/>
          <w:b/>
          <w:bCs/>
          <w:rtl/>
          <w:lang w:eastAsia="de-DE"/>
        </w:rPr>
        <w:t>מן־הבגד או מן־העור או מן־השתי או מן־הערב</w:t>
      </w:r>
      <w:r w:rsidRPr="009A13B9">
        <w:rPr>
          <w:rFonts w:eastAsia="Times New Roman" w:cs="Times New Roman"/>
          <w:rtl/>
          <w:lang w:eastAsia="de-DE"/>
        </w:rPr>
        <w:t xml:space="preserve"> </w:t>
      </w:r>
      <w:r w:rsidRPr="009A13B9">
        <w:rPr>
          <w:rFonts w:eastAsia="Times New Roman" w:cs="Times New Roman"/>
          <w:lang w:eastAsia="de-DE"/>
        </w:rPr>
        <w:t xml:space="preserve">(vom Kleid oder vom Fell oder von Kette oder vom Einschlag) mit partitivem </w:t>
      </w:r>
      <w:r w:rsidRPr="009A13B9">
        <w:rPr>
          <w:rFonts w:eastAsia="Times New Roman" w:cs="Times New Roman"/>
          <w:b/>
          <w:bCs/>
          <w:rtl/>
          <w:lang w:eastAsia="de-DE"/>
        </w:rPr>
        <w:t>מן</w:t>
      </w:r>
      <w:r w:rsidRPr="009A13B9">
        <w:rPr>
          <w:rFonts w:eastAsia="Times New Roman" w:cs="Times New Roman"/>
          <w:rtl/>
          <w:lang w:eastAsia="de-DE"/>
        </w:rPr>
        <w:t xml:space="preserve"> </w:t>
      </w:r>
      <w:r w:rsidRPr="009A13B9">
        <w:rPr>
          <w:rFonts w:eastAsia="Times New Roman" w:cs="Times New Roman"/>
          <w:lang w:eastAsia="de-DE"/>
        </w:rPr>
        <w:t>zeigt, dass nur der betroffene Teil entfernt wird.</w:t>
      </w:r>
    </w:p>
    <w:p w14:paraId="7C8035D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כהה הנגע</w:t>
      </w:r>
      <w:r w:rsidRPr="009A13B9">
        <w:rPr>
          <w:rFonts w:eastAsia="Times New Roman" w:cs="Times New Roman"/>
          <w:rtl/>
          <w:lang w:eastAsia="de-DE"/>
        </w:rPr>
        <w:t xml:space="preserve"> </w:t>
      </w:r>
      <w:r w:rsidRPr="009A13B9">
        <w:rPr>
          <w:rFonts w:eastAsia="Times New Roman" w:cs="Times New Roman"/>
          <w:lang w:eastAsia="de-DE"/>
        </w:rPr>
        <w:t xml:space="preserve">zeigt erfolgreiche Behandlung durch Waschen. </w:t>
      </w:r>
      <w:r w:rsidRPr="009A13B9">
        <w:rPr>
          <w:rFonts w:eastAsia="Times New Roman" w:cs="Times New Roman"/>
          <w:b/>
          <w:bCs/>
          <w:rtl/>
          <w:lang w:eastAsia="de-DE"/>
        </w:rPr>
        <w:t>וקרע אתו</w:t>
      </w:r>
      <w:r w:rsidRPr="009A13B9">
        <w:rPr>
          <w:rFonts w:eastAsia="Times New Roman" w:cs="Times New Roman"/>
          <w:rtl/>
          <w:lang w:eastAsia="de-DE"/>
        </w:rPr>
        <w:t xml:space="preserve"> </w:t>
      </w:r>
      <w:r w:rsidRPr="009A13B9">
        <w:rPr>
          <w:rFonts w:eastAsia="Times New Roman" w:cs="Times New Roman"/>
          <w:lang w:eastAsia="de-DE"/>
        </w:rPr>
        <w:t xml:space="preserve">als partielle Lösung - nur der betroffene Bereich wird entfernt. Die </w:t>
      </w:r>
      <w:r w:rsidRPr="009A13B9">
        <w:rPr>
          <w:rFonts w:eastAsia="Times New Roman" w:cs="Times New Roman"/>
          <w:b/>
          <w:bCs/>
          <w:rtl/>
          <w:lang w:eastAsia="de-DE"/>
        </w:rPr>
        <w:t>מן</w:t>
      </w:r>
      <w:r w:rsidRPr="009A13B9">
        <w:rPr>
          <w:rFonts w:eastAsia="Times New Roman" w:cs="Times New Roman"/>
          <w:lang w:eastAsia="de-DE"/>
        </w:rPr>
        <w:t>-Konstruktionen zeigen, dass der Rest des Materials gerettet werden kann.</w:t>
      </w:r>
    </w:p>
    <w:p w14:paraId="5D9E77C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כהה</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ἠμ</w:t>
      </w:r>
      <w:proofErr w:type="spellEnd"/>
      <w:r w:rsidRPr="009A13B9">
        <w:rPr>
          <w:rFonts w:eastAsia="Times New Roman" w:cs="Times New Roman"/>
          <w:lang w:eastAsia="de-DE"/>
        </w:rPr>
        <w:t xml:space="preserve">αύρωται (ist dunkel geworden), </w:t>
      </w:r>
      <w:r w:rsidRPr="009A13B9">
        <w:rPr>
          <w:rFonts w:eastAsia="Times New Roman" w:cs="Times New Roman"/>
          <w:b/>
          <w:bCs/>
          <w:rtl/>
          <w:lang w:eastAsia="de-DE"/>
        </w:rPr>
        <w:t>וקרע</w:t>
      </w:r>
      <w:r w:rsidRPr="009A13B9">
        <w:rPr>
          <w:rFonts w:eastAsia="Times New Roman" w:cs="Times New Roman"/>
          <w:rtl/>
          <w:lang w:eastAsia="de-DE"/>
        </w:rPr>
        <w:t xml:space="preserve"> </w:t>
      </w:r>
      <w:r w:rsidRPr="009A13B9">
        <w:rPr>
          <w:rFonts w:eastAsia="Times New Roman" w:cs="Times New Roman"/>
          <w:lang w:eastAsia="de-DE"/>
        </w:rPr>
        <w:t>mit π</w:t>
      </w:r>
      <w:proofErr w:type="spellStart"/>
      <w:r w:rsidRPr="009A13B9">
        <w:rPr>
          <w:rFonts w:eastAsia="Times New Roman" w:cs="Times New Roman"/>
          <w:lang w:eastAsia="de-DE"/>
        </w:rPr>
        <w:t>εριελεῖ</w:t>
      </w:r>
      <w:proofErr w:type="spellEnd"/>
      <w:r w:rsidRPr="009A13B9">
        <w:rPr>
          <w:rFonts w:eastAsia="Times New Roman" w:cs="Times New Roman"/>
          <w:lang w:eastAsia="de-DE"/>
        </w:rPr>
        <w:t xml:space="preserve"> (er wird entfernen) und die </w:t>
      </w:r>
      <w:r w:rsidRPr="009A13B9">
        <w:rPr>
          <w:rFonts w:eastAsia="Times New Roman" w:cs="Times New Roman"/>
          <w:b/>
          <w:bCs/>
          <w:rtl/>
          <w:lang w:eastAsia="de-DE"/>
        </w:rPr>
        <w:t>מן</w:t>
      </w:r>
      <w:r w:rsidRPr="009A13B9">
        <w:rPr>
          <w:rFonts w:eastAsia="Times New Roman" w:cs="Times New Roman"/>
          <w:lang w:eastAsia="de-DE"/>
        </w:rPr>
        <w:t>-Konstruktionen mit entsprechenden Ablativen.</w:t>
      </w:r>
    </w:p>
    <w:p w14:paraId="23672009"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partielle Lösung: Konditionalsatz mit positiver Veränderung + Zeitangabe + partielle Entfernung + Materialaufzählung. Die Struktur zeigt Materialschonung bei Besserung.</w:t>
      </w:r>
    </w:p>
    <w:p w14:paraId="4644B8F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dass Verblassung nach dem Waschen zur partiellen Entfernung des betroffenen Bereichs führt.</w:t>
      </w:r>
    </w:p>
    <w:p w14:paraId="557877FA"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13,57</w:t>
      </w:r>
    </w:p>
    <w:p w14:paraId="099F9E0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וְאִם־תֵּרָאֶ֨ה ע֜וֹד בַּ֠בֶּגֶד אֽוֹ־בַשְּׁתִ֤י אֽוֹ־בָעֵ֨רֶב֙ א֣וֹ בְכָל־כְּלִי־ע֔וֹר פֹּרַ֖חַת הִ֑וא בָּאֵ֣שׁ תִּשְׂרְפֶ֔נּוּ אֵ֥ת אֲשֶׁר־בּוֹ֖ הַנָּֽגַע׃</w:t>
      </w:r>
    </w:p>
    <w:p w14:paraId="4B7DE46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wenn es noch erscheint im Kleid oder in Kette oder in Einschlag oder in irgendeinem Gerät aus Fell, so ist es ausbrechend; im Feuer sollst du das, woran das Mal ist, verbrennen.</w:t>
      </w:r>
    </w:p>
    <w:p w14:paraId="37AF50C7"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6C9639A3">
          <v:rect id="_x0000_i1388" style="width:0;height:1.5pt" o:hralign="center" o:hrstd="t" o:hr="t" fillcolor="#a0a0a0" stroked="f"/>
        </w:pict>
      </w:r>
    </w:p>
    <w:p w14:paraId="5BBABF9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Kommentar:</w:t>
      </w:r>
      <w:r w:rsidRPr="009A13B9">
        <w:rPr>
          <w:rFonts w:eastAsia="Times New Roman" w:cs="Times New Roman"/>
          <w:lang w:eastAsia="de-DE"/>
        </w:rPr>
        <w:t xml:space="preserve"> </w:t>
      </w:r>
      <w:r w:rsidRPr="009A13B9">
        <w:rPr>
          <w:rFonts w:eastAsia="Times New Roman" w:cs="Times New Roman"/>
          <w:b/>
          <w:bCs/>
          <w:rtl/>
          <w:lang w:eastAsia="de-DE"/>
        </w:rPr>
        <w:t>ואם־תראה עוד בבגד או־בשתי או־בערב או בכל־כלי־עור פרחת הוא באש תשרפנו את אשר־בו הנגע</w:t>
      </w:r>
      <w:r w:rsidRPr="009A13B9">
        <w:rPr>
          <w:rFonts w:eastAsia="Times New Roman" w:cs="Times New Roman"/>
          <w:rtl/>
          <w:lang w:eastAsia="de-DE"/>
        </w:rPr>
        <w:t xml:space="preserve"> </w:t>
      </w:r>
      <w:r w:rsidRPr="009A13B9">
        <w:rPr>
          <w:rFonts w:eastAsia="Times New Roman" w:cs="Times New Roman"/>
          <w:lang w:eastAsia="de-DE"/>
        </w:rPr>
        <w:t xml:space="preserve">zeigt Wiederauftreten nach partieller Entfernung. </w:t>
      </w:r>
      <w:r w:rsidRPr="009A13B9">
        <w:rPr>
          <w:rFonts w:eastAsia="Times New Roman" w:cs="Times New Roman"/>
          <w:b/>
          <w:bCs/>
          <w:rtl/>
          <w:lang w:eastAsia="de-DE"/>
        </w:rPr>
        <w:t>ואם־תראה עוד</w:t>
      </w:r>
      <w:r w:rsidRPr="009A13B9">
        <w:rPr>
          <w:rFonts w:eastAsia="Times New Roman" w:cs="Times New Roman"/>
          <w:rtl/>
          <w:lang w:eastAsia="de-DE"/>
        </w:rPr>
        <w:t xml:space="preserve"> </w:t>
      </w:r>
      <w:r w:rsidRPr="009A13B9">
        <w:rPr>
          <w:rFonts w:eastAsia="Times New Roman" w:cs="Times New Roman"/>
          <w:lang w:eastAsia="de-DE"/>
        </w:rPr>
        <w:t xml:space="preserve">(und wenn es noch erscheint) - </w:t>
      </w:r>
      <w:r w:rsidRPr="009A13B9">
        <w:rPr>
          <w:rFonts w:eastAsia="Times New Roman" w:cs="Times New Roman"/>
          <w:b/>
          <w:bCs/>
          <w:rtl/>
          <w:lang w:eastAsia="de-DE"/>
        </w:rPr>
        <w:t>תראה</w:t>
      </w:r>
      <w:r w:rsidRPr="009A13B9">
        <w:rPr>
          <w:rFonts w:eastAsia="Times New Roman" w:cs="Times New Roman"/>
          <w:rtl/>
          <w:lang w:eastAsia="de-DE"/>
        </w:rPr>
        <w:t xml:space="preserve"> </w:t>
      </w:r>
      <w:r w:rsidRPr="009A13B9">
        <w:rPr>
          <w:rFonts w:eastAsia="Times New Roman" w:cs="Times New Roman"/>
          <w:lang w:eastAsia="de-DE"/>
        </w:rPr>
        <w:t xml:space="preserve">(erscheint) im Nifal-Imperfekt, </w:t>
      </w:r>
      <w:r w:rsidRPr="009A13B9">
        <w:rPr>
          <w:rFonts w:eastAsia="Times New Roman" w:cs="Times New Roman"/>
          <w:b/>
          <w:bCs/>
          <w:rtl/>
          <w:lang w:eastAsia="de-DE"/>
        </w:rPr>
        <w:t>עוד</w:t>
      </w:r>
      <w:r w:rsidRPr="009A13B9">
        <w:rPr>
          <w:rFonts w:eastAsia="Times New Roman" w:cs="Times New Roman"/>
          <w:rtl/>
          <w:lang w:eastAsia="de-DE"/>
        </w:rPr>
        <w:t xml:space="preserve"> </w:t>
      </w:r>
      <w:r w:rsidRPr="009A13B9">
        <w:rPr>
          <w:rFonts w:eastAsia="Times New Roman" w:cs="Times New Roman"/>
          <w:lang w:eastAsia="de-DE"/>
        </w:rPr>
        <w:t>(noch/wieder) zeigt erneutes Auftreten. Die Materialaufzählung entspricht den vorherigen Versen.</w:t>
      </w:r>
    </w:p>
    <w:p w14:paraId="2654701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פרחת הוא באש תשרפנו את אשר־בו הנגע</w:t>
      </w:r>
      <w:r w:rsidRPr="009A13B9">
        <w:rPr>
          <w:rFonts w:eastAsia="Times New Roman" w:cs="Times New Roman"/>
          <w:rtl/>
          <w:lang w:eastAsia="de-DE"/>
        </w:rPr>
        <w:t xml:space="preserve"> </w:t>
      </w:r>
      <w:r w:rsidRPr="009A13B9">
        <w:rPr>
          <w:rFonts w:eastAsia="Times New Roman" w:cs="Times New Roman"/>
          <w:lang w:eastAsia="de-DE"/>
        </w:rPr>
        <w:t xml:space="preserve">zeigt die drastische Konsequenz. </w:t>
      </w:r>
      <w:r w:rsidRPr="009A13B9">
        <w:rPr>
          <w:rFonts w:eastAsia="Times New Roman" w:cs="Times New Roman"/>
          <w:b/>
          <w:bCs/>
          <w:rtl/>
          <w:lang w:eastAsia="de-DE"/>
        </w:rPr>
        <w:t>פרחת הוא</w:t>
      </w:r>
      <w:r w:rsidRPr="009A13B9">
        <w:rPr>
          <w:rFonts w:eastAsia="Times New Roman" w:cs="Times New Roman"/>
          <w:rtl/>
          <w:lang w:eastAsia="de-DE"/>
        </w:rPr>
        <w:t xml:space="preserve"> </w:t>
      </w:r>
      <w:r w:rsidRPr="009A13B9">
        <w:rPr>
          <w:rFonts w:eastAsia="Times New Roman" w:cs="Times New Roman"/>
          <w:lang w:eastAsia="de-DE"/>
        </w:rPr>
        <w:t xml:space="preserve">(ausbrechend ist es) - </w:t>
      </w:r>
      <w:r w:rsidRPr="009A13B9">
        <w:rPr>
          <w:rFonts w:eastAsia="Times New Roman" w:cs="Times New Roman"/>
          <w:b/>
          <w:bCs/>
          <w:rtl/>
          <w:lang w:eastAsia="de-DE"/>
        </w:rPr>
        <w:t>פרחת</w:t>
      </w:r>
      <w:r w:rsidRPr="009A13B9">
        <w:rPr>
          <w:rFonts w:eastAsia="Times New Roman" w:cs="Times New Roman"/>
          <w:rtl/>
          <w:lang w:eastAsia="de-DE"/>
        </w:rPr>
        <w:t xml:space="preserve"> </w:t>
      </w:r>
      <w:r w:rsidRPr="009A13B9">
        <w:rPr>
          <w:rFonts w:eastAsia="Times New Roman" w:cs="Times New Roman"/>
          <w:lang w:eastAsia="de-DE"/>
        </w:rPr>
        <w:t xml:space="preserve">(ausbrechend) als feminin Partizip zeigt aktive Ausbreitung. </w:t>
      </w:r>
      <w:r w:rsidRPr="009A13B9">
        <w:rPr>
          <w:rFonts w:eastAsia="Times New Roman" w:cs="Times New Roman"/>
          <w:b/>
          <w:bCs/>
          <w:rtl/>
          <w:lang w:eastAsia="de-DE"/>
        </w:rPr>
        <w:t>באש תשרפנו</w:t>
      </w:r>
      <w:r w:rsidRPr="009A13B9">
        <w:rPr>
          <w:rFonts w:eastAsia="Times New Roman" w:cs="Times New Roman"/>
          <w:rtl/>
          <w:lang w:eastAsia="de-DE"/>
        </w:rPr>
        <w:t xml:space="preserve"> </w:t>
      </w:r>
      <w:r w:rsidRPr="009A13B9">
        <w:rPr>
          <w:rFonts w:eastAsia="Times New Roman" w:cs="Times New Roman"/>
          <w:lang w:eastAsia="de-DE"/>
        </w:rPr>
        <w:t xml:space="preserve">(mit Feuer sollst du es verbrennen). </w:t>
      </w:r>
      <w:r w:rsidRPr="009A13B9">
        <w:rPr>
          <w:rFonts w:eastAsia="Times New Roman" w:cs="Times New Roman"/>
          <w:b/>
          <w:bCs/>
          <w:rtl/>
          <w:lang w:eastAsia="de-DE"/>
        </w:rPr>
        <w:t>את אשר־בו הנגע</w:t>
      </w:r>
      <w:r w:rsidRPr="009A13B9">
        <w:rPr>
          <w:rFonts w:eastAsia="Times New Roman" w:cs="Times New Roman"/>
          <w:rtl/>
          <w:lang w:eastAsia="de-DE"/>
        </w:rPr>
        <w:t xml:space="preserve"> </w:t>
      </w:r>
      <w:r w:rsidRPr="009A13B9">
        <w:rPr>
          <w:rFonts w:eastAsia="Times New Roman" w:cs="Times New Roman"/>
          <w:lang w:eastAsia="de-DE"/>
        </w:rPr>
        <w:t>(das, woran das Mal ist) spezifiziert den gesamten betroffenen Gegenstand.</w:t>
      </w:r>
    </w:p>
    <w:p w14:paraId="105C648B"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תראה עוד</w:t>
      </w:r>
      <w:r w:rsidRPr="009A13B9">
        <w:rPr>
          <w:rFonts w:eastAsia="Times New Roman" w:cs="Times New Roman"/>
          <w:rtl/>
          <w:lang w:eastAsia="de-DE"/>
        </w:rPr>
        <w:t xml:space="preserve"> </w:t>
      </w:r>
      <w:r w:rsidRPr="009A13B9">
        <w:rPr>
          <w:rFonts w:eastAsia="Times New Roman" w:cs="Times New Roman"/>
          <w:lang w:eastAsia="de-DE"/>
        </w:rPr>
        <w:t xml:space="preserve">zeigt, dass partielle Entfernung nicht erfolgreich war. </w:t>
      </w:r>
      <w:r w:rsidRPr="009A13B9">
        <w:rPr>
          <w:rFonts w:eastAsia="Times New Roman" w:cs="Times New Roman"/>
          <w:b/>
          <w:bCs/>
          <w:rtl/>
          <w:lang w:eastAsia="de-DE"/>
        </w:rPr>
        <w:t>פרחת</w:t>
      </w:r>
      <w:r w:rsidRPr="009A13B9">
        <w:rPr>
          <w:rFonts w:eastAsia="Times New Roman" w:cs="Times New Roman"/>
          <w:rtl/>
          <w:lang w:eastAsia="de-DE"/>
        </w:rPr>
        <w:t xml:space="preserve"> </w:t>
      </w:r>
      <w:r w:rsidRPr="009A13B9">
        <w:rPr>
          <w:rFonts w:eastAsia="Times New Roman" w:cs="Times New Roman"/>
          <w:lang w:eastAsia="de-DE"/>
        </w:rPr>
        <w:t xml:space="preserve">zeigt aktive, aggressive </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את אשר־בו הנגע</w:t>
      </w:r>
      <w:r w:rsidRPr="009A13B9">
        <w:rPr>
          <w:rFonts w:eastAsia="Times New Roman" w:cs="Times New Roman"/>
          <w:rtl/>
          <w:lang w:eastAsia="de-DE"/>
        </w:rPr>
        <w:t xml:space="preserve"> </w:t>
      </w:r>
      <w:r w:rsidRPr="009A13B9">
        <w:rPr>
          <w:rFonts w:eastAsia="Times New Roman" w:cs="Times New Roman"/>
          <w:lang w:eastAsia="de-DE"/>
        </w:rPr>
        <w:t>zeigt totale Vernichtung des befallenen Gegenstands.</w:t>
      </w:r>
    </w:p>
    <w:p w14:paraId="4389E19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תראה עוד</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ὀφθῇ</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ἔτι</w:t>
      </w:r>
      <w:proofErr w:type="spellEnd"/>
      <w:r w:rsidRPr="009A13B9">
        <w:rPr>
          <w:rFonts w:eastAsia="Times New Roman" w:cs="Times New Roman"/>
          <w:lang w:eastAsia="de-DE"/>
        </w:rPr>
        <w:t xml:space="preserve"> (noch gesehen wird), </w:t>
      </w:r>
      <w:r w:rsidRPr="009A13B9">
        <w:rPr>
          <w:rFonts w:eastAsia="Times New Roman" w:cs="Times New Roman"/>
          <w:b/>
          <w:bCs/>
          <w:rtl/>
          <w:lang w:eastAsia="de-DE"/>
        </w:rPr>
        <w:t>פרחת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ἐξ</w:t>
      </w:r>
      <w:proofErr w:type="spellEnd"/>
      <w:r w:rsidRPr="009A13B9">
        <w:rPr>
          <w:rFonts w:eastAsia="Times New Roman" w:cs="Times New Roman"/>
          <w:lang w:eastAsia="de-DE"/>
        </w:rPr>
        <w:t xml:space="preserve">ανθοῦσα (aufblühend) und </w:t>
      </w:r>
      <w:r w:rsidRPr="009A13B9">
        <w:rPr>
          <w:rFonts w:eastAsia="Times New Roman" w:cs="Times New Roman"/>
          <w:b/>
          <w:bCs/>
          <w:rtl/>
          <w:lang w:eastAsia="de-DE"/>
        </w:rPr>
        <w:t>תשרפנו</w:t>
      </w:r>
      <w:r w:rsidRPr="009A13B9">
        <w:rPr>
          <w:rFonts w:eastAsia="Times New Roman" w:cs="Times New Roman"/>
          <w:rtl/>
          <w:lang w:eastAsia="de-DE"/>
        </w:rPr>
        <w:t xml:space="preserve"> </w:t>
      </w:r>
      <w:r w:rsidRPr="009A13B9">
        <w:rPr>
          <w:rFonts w:eastAsia="Times New Roman" w:cs="Times New Roman"/>
          <w:lang w:eastAsia="de-DE"/>
        </w:rPr>
        <w:t>mit κατακα</w:t>
      </w:r>
      <w:proofErr w:type="spellStart"/>
      <w:r w:rsidRPr="009A13B9">
        <w:rPr>
          <w:rFonts w:eastAsia="Times New Roman" w:cs="Times New Roman"/>
          <w:lang w:eastAsia="de-DE"/>
        </w:rPr>
        <w:t>ύσεις</w:t>
      </w:r>
      <w:proofErr w:type="spellEnd"/>
      <w:r w:rsidRPr="009A13B9">
        <w:rPr>
          <w:rFonts w:eastAsia="Times New Roman" w:cs="Times New Roman"/>
          <w:lang w:eastAsia="de-DE"/>
        </w:rPr>
        <w:t xml:space="preserve"> α</w:t>
      </w:r>
      <w:proofErr w:type="spellStart"/>
      <w:r w:rsidRPr="009A13B9">
        <w:rPr>
          <w:rFonts w:eastAsia="Times New Roman" w:cs="Times New Roman"/>
          <w:lang w:eastAsia="de-DE"/>
        </w:rPr>
        <w:t>ὐτό</w:t>
      </w:r>
      <w:proofErr w:type="spellEnd"/>
      <w:r w:rsidRPr="009A13B9">
        <w:rPr>
          <w:rFonts w:eastAsia="Times New Roman" w:cs="Times New Roman"/>
          <w:lang w:eastAsia="de-DE"/>
        </w:rPr>
        <w:t xml:space="preserve"> (du wirst es verbrennen).</w:t>
      </w:r>
    </w:p>
    <w:p w14:paraId="1BA0476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endgültige Lösung: Konditionalsatz mit Wiederauftreten + aktive Ausbreitung + totale Verbrennungsanweisung. Die Struktur zeigt, dass Wiederauftreten zur kompletten Vernichtung führt.</w:t>
      </w:r>
    </w:p>
    <w:p w14:paraId="6EE11E2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Dieser Vers zeigt, dass Wiederauftreten von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nach partieller Entfernung zur totalen Verbrennung des Gegenstands führt.</w:t>
      </w:r>
    </w:p>
    <w:p w14:paraId="4D4F8EAC"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13,58</w:t>
      </w:r>
    </w:p>
    <w:p w14:paraId="00212CBD"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וְהַבֶּ֡גֶד אֽוֹ־הַשְּׁתִ֨י אוֹ־הָעֵ֜רֶב אֽוֹ־כָל־כְּלִ֤י הָעוֹר֙ אֲשֶׁ֣ר תְּכַבֵּ֔ס וְסָ֥ר מֵהֶ֖ם הַנָּ֑גַע וְכֻבַּ֥ס שֵׁנִ֖ית וְטָהֵֽר׃</w:t>
      </w:r>
    </w:p>
    <w:p w14:paraId="13BDF06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Und das Kleid oder Kette oder Einschlag oder jedes Gerät aus Fell, das du wäschst und von dem das Mal weicht, der soll zum zweiten Mal gewaschen werden, und er wird rein sein.</w:t>
      </w:r>
    </w:p>
    <w:p w14:paraId="78BB8909"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5A2E165A">
          <v:rect id="_x0000_i1389" style="width:0;height:1.5pt" o:hralign="center" o:hrstd="t" o:hr="t" fillcolor="#a0a0a0" stroked="f"/>
        </w:pict>
      </w:r>
    </w:p>
    <w:p w14:paraId="4D8517A2"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והבגד או־השתי או־הערב או־כל־כלי העור אשר תכבס וסר מהם הנגע וכבס שנית וטהר</w:t>
      </w:r>
      <w:r w:rsidRPr="009A13B9">
        <w:rPr>
          <w:rFonts w:eastAsia="Times New Roman" w:cs="Times New Roman"/>
          <w:rtl/>
          <w:lang w:eastAsia="de-DE"/>
        </w:rPr>
        <w:t xml:space="preserve"> </w:t>
      </w:r>
      <w:r w:rsidRPr="009A13B9">
        <w:rPr>
          <w:rFonts w:eastAsia="Times New Roman" w:cs="Times New Roman"/>
          <w:lang w:eastAsia="de-DE"/>
        </w:rPr>
        <w:t xml:space="preserve">zeigt das positive Ende des Waschverfahrens. </w:t>
      </w:r>
      <w:r w:rsidRPr="009A13B9">
        <w:rPr>
          <w:rFonts w:eastAsia="Times New Roman" w:cs="Times New Roman"/>
          <w:b/>
          <w:bCs/>
          <w:rtl/>
          <w:lang w:eastAsia="de-DE"/>
        </w:rPr>
        <w:t>והבגד או־השתי או־הערב או־כל־כלי העור</w:t>
      </w:r>
      <w:r w:rsidRPr="009A13B9">
        <w:rPr>
          <w:rFonts w:eastAsia="Times New Roman" w:cs="Times New Roman"/>
          <w:rtl/>
          <w:lang w:eastAsia="de-DE"/>
        </w:rPr>
        <w:t xml:space="preserve"> </w:t>
      </w:r>
      <w:r w:rsidRPr="009A13B9">
        <w:rPr>
          <w:rFonts w:eastAsia="Times New Roman" w:cs="Times New Roman"/>
          <w:lang w:eastAsia="de-DE"/>
        </w:rPr>
        <w:t xml:space="preserve">(und das Kleid oder Kette oder Einschlag oder jedes Gerät aus Fell) mit vollständiger Materialaufzählung. </w:t>
      </w:r>
      <w:r w:rsidRPr="009A13B9">
        <w:rPr>
          <w:rFonts w:eastAsia="Times New Roman" w:cs="Times New Roman"/>
          <w:b/>
          <w:bCs/>
          <w:rtl/>
          <w:lang w:eastAsia="de-DE"/>
        </w:rPr>
        <w:t>אשר תכבס וסר מהם הנגע</w:t>
      </w:r>
      <w:r w:rsidRPr="009A13B9">
        <w:rPr>
          <w:rFonts w:eastAsia="Times New Roman" w:cs="Times New Roman"/>
          <w:rtl/>
          <w:lang w:eastAsia="de-DE"/>
        </w:rPr>
        <w:t xml:space="preserve"> </w:t>
      </w:r>
      <w:r w:rsidRPr="009A13B9">
        <w:rPr>
          <w:rFonts w:eastAsia="Times New Roman" w:cs="Times New Roman"/>
          <w:lang w:eastAsia="de-DE"/>
        </w:rPr>
        <w:t xml:space="preserve">(das du wäschst und von dem das Mal weicht) - </w:t>
      </w:r>
      <w:r w:rsidRPr="009A13B9">
        <w:rPr>
          <w:rFonts w:eastAsia="Times New Roman" w:cs="Times New Roman"/>
          <w:b/>
          <w:bCs/>
          <w:rtl/>
          <w:lang w:eastAsia="de-DE"/>
        </w:rPr>
        <w:t>תכבס</w:t>
      </w:r>
      <w:r w:rsidRPr="009A13B9">
        <w:rPr>
          <w:rFonts w:eastAsia="Times New Roman" w:cs="Times New Roman"/>
          <w:rtl/>
          <w:lang w:eastAsia="de-DE"/>
        </w:rPr>
        <w:t xml:space="preserve"> </w:t>
      </w:r>
      <w:r w:rsidRPr="009A13B9">
        <w:rPr>
          <w:rFonts w:eastAsia="Times New Roman" w:cs="Times New Roman"/>
          <w:lang w:eastAsia="de-DE"/>
        </w:rPr>
        <w:t xml:space="preserve">(du wäschst) im Piel-Imperfekt, </w:t>
      </w:r>
      <w:r w:rsidRPr="009A13B9">
        <w:rPr>
          <w:rFonts w:eastAsia="Times New Roman" w:cs="Times New Roman"/>
          <w:b/>
          <w:bCs/>
          <w:rtl/>
          <w:lang w:eastAsia="de-DE"/>
        </w:rPr>
        <w:t>וסר מהם הנגע</w:t>
      </w:r>
      <w:r w:rsidRPr="009A13B9">
        <w:rPr>
          <w:rFonts w:eastAsia="Times New Roman" w:cs="Times New Roman"/>
          <w:rtl/>
          <w:lang w:eastAsia="de-DE"/>
        </w:rPr>
        <w:t xml:space="preserve"> </w:t>
      </w:r>
      <w:r w:rsidRPr="009A13B9">
        <w:rPr>
          <w:rFonts w:eastAsia="Times New Roman" w:cs="Times New Roman"/>
          <w:lang w:eastAsia="de-DE"/>
        </w:rPr>
        <w:t xml:space="preserve">(und das Mal weicht von ihnen) - </w:t>
      </w:r>
      <w:r w:rsidRPr="009A13B9">
        <w:rPr>
          <w:rFonts w:eastAsia="Times New Roman" w:cs="Times New Roman"/>
          <w:b/>
          <w:bCs/>
          <w:rtl/>
          <w:lang w:eastAsia="de-DE"/>
        </w:rPr>
        <w:t>סר</w:t>
      </w:r>
      <w:r w:rsidRPr="009A13B9">
        <w:rPr>
          <w:rFonts w:eastAsia="Times New Roman" w:cs="Times New Roman"/>
          <w:rtl/>
          <w:lang w:eastAsia="de-DE"/>
        </w:rPr>
        <w:t xml:space="preserve"> </w:t>
      </w:r>
      <w:r w:rsidRPr="009A13B9">
        <w:rPr>
          <w:rFonts w:eastAsia="Times New Roman" w:cs="Times New Roman"/>
          <w:lang w:eastAsia="de-DE"/>
        </w:rPr>
        <w:t>(weichen) im Qal-Perfekt.</w:t>
      </w:r>
    </w:p>
    <w:p w14:paraId="05E88D8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וכבס שנית וטהר</w:t>
      </w:r>
      <w:r w:rsidRPr="009A13B9">
        <w:rPr>
          <w:rFonts w:eastAsia="Times New Roman" w:cs="Times New Roman"/>
          <w:rtl/>
          <w:lang w:eastAsia="de-DE"/>
        </w:rPr>
        <w:t xml:space="preserve"> </w:t>
      </w:r>
      <w:r w:rsidRPr="009A13B9">
        <w:rPr>
          <w:rFonts w:eastAsia="Times New Roman" w:cs="Times New Roman"/>
          <w:lang w:eastAsia="de-DE"/>
        </w:rPr>
        <w:t xml:space="preserve">zeigt das abschließende Reinigungsritual. </w:t>
      </w:r>
      <w:r w:rsidRPr="009A13B9">
        <w:rPr>
          <w:rFonts w:eastAsia="Times New Roman" w:cs="Times New Roman"/>
          <w:b/>
          <w:bCs/>
          <w:rtl/>
          <w:lang w:eastAsia="de-DE"/>
        </w:rPr>
        <w:t>וכבס שנית</w:t>
      </w:r>
      <w:r w:rsidRPr="009A13B9">
        <w:rPr>
          <w:rFonts w:eastAsia="Times New Roman" w:cs="Times New Roman"/>
          <w:rtl/>
          <w:lang w:eastAsia="de-DE"/>
        </w:rPr>
        <w:t xml:space="preserve"> </w:t>
      </w:r>
      <w:r w:rsidRPr="009A13B9">
        <w:rPr>
          <w:rFonts w:eastAsia="Times New Roman" w:cs="Times New Roman"/>
          <w:lang w:eastAsia="de-DE"/>
        </w:rPr>
        <w:t xml:space="preserve">(und es soll zum zweiten Mal gewaschen werden) - </w:t>
      </w:r>
      <w:r w:rsidRPr="009A13B9">
        <w:rPr>
          <w:rFonts w:eastAsia="Times New Roman" w:cs="Times New Roman"/>
          <w:b/>
          <w:bCs/>
          <w:rtl/>
          <w:lang w:eastAsia="de-DE"/>
        </w:rPr>
        <w:t>כבס</w:t>
      </w:r>
      <w:r w:rsidRPr="009A13B9">
        <w:rPr>
          <w:rFonts w:eastAsia="Times New Roman" w:cs="Times New Roman"/>
          <w:rtl/>
          <w:lang w:eastAsia="de-DE"/>
        </w:rPr>
        <w:t xml:space="preserve"> </w:t>
      </w:r>
      <w:r w:rsidRPr="009A13B9">
        <w:rPr>
          <w:rFonts w:eastAsia="Times New Roman" w:cs="Times New Roman"/>
          <w:lang w:eastAsia="de-DE"/>
        </w:rPr>
        <w:t xml:space="preserve">im Nifal-Perfekt mit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 xml:space="preserve">(zum zweiten Mal). </w:t>
      </w:r>
      <w:r w:rsidRPr="009A13B9">
        <w:rPr>
          <w:rFonts w:eastAsia="Times New Roman" w:cs="Times New Roman"/>
          <w:b/>
          <w:bCs/>
          <w:rtl/>
          <w:lang w:eastAsia="de-DE"/>
        </w:rPr>
        <w:t>וטהר</w:t>
      </w:r>
      <w:r w:rsidRPr="009A13B9">
        <w:rPr>
          <w:rFonts w:eastAsia="Times New Roman" w:cs="Times New Roman"/>
          <w:rtl/>
          <w:lang w:eastAsia="de-DE"/>
        </w:rPr>
        <w:t xml:space="preserve"> </w:t>
      </w:r>
      <w:r w:rsidRPr="009A13B9">
        <w:rPr>
          <w:rFonts w:eastAsia="Times New Roman" w:cs="Times New Roman"/>
          <w:lang w:eastAsia="de-DE"/>
        </w:rPr>
        <w:t>(und es wird rein sein) im Qal-Perfekt.</w:t>
      </w:r>
    </w:p>
    <w:p w14:paraId="458A283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וסר מהם הנגע</w:t>
      </w:r>
      <w:r w:rsidRPr="009A13B9">
        <w:rPr>
          <w:rFonts w:eastAsia="Times New Roman" w:cs="Times New Roman"/>
          <w:rtl/>
          <w:lang w:eastAsia="de-DE"/>
        </w:rPr>
        <w:t xml:space="preserve"> </w:t>
      </w:r>
      <w:r w:rsidRPr="009A13B9">
        <w:rPr>
          <w:rFonts w:eastAsia="Times New Roman" w:cs="Times New Roman"/>
          <w:lang w:eastAsia="de-DE"/>
        </w:rPr>
        <w:t xml:space="preserve">zeigt erfolgreiche Entfernung der </w:t>
      </w:r>
      <w:r w:rsidRPr="009A13B9">
        <w:rPr>
          <w:rFonts w:eastAsia="Times New Roman" w:cs="Times New Roman"/>
          <w:b/>
          <w:bCs/>
          <w:rtl/>
          <w:lang w:eastAsia="de-DE"/>
        </w:rPr>
        <w:t>צרעת</w:t>
      </w:r>
      <w:r w:rsidRPr="009A13B9">
        <w:rPr>
          <w:rFonts w:eastAsia="Times New Roman" w:cs="Times New Roman"/>
          <w:rtl/>
          <w:lang w:eastAsia="de-DE"/>
        </w:rPr>
        <w:t xml:space="preserve"> </w:t>
      </w:r>
      <w:r w:rsidRPr="009A13B9">
        <w:rPr>
          <w:rFonts w:eastAsia="Times New Roman" w:cs="Times New Roman"/>
          <w:lang w:eastAsia="de-DE"/>
        </w:rPr>
        <w:t xml:space="preserve">durch Waschen. </w:t>
      </w:r>
      <w:r w:rsidRPr="009A13B9">
        <w:rPr>
          <w:rFonts w:eastAsia="Times New Roman" w:cs="Times New Roman"/>
          <w:b/>
          <w:bCs/>
          <w:rtl/>
          <w:lang w:eastAsia="de-DE"/>
        </w:rPr>
        <w:t>וכבס שנית</w:t>
      </w:r>
      <w:r w:rsidRPr="009A13B9">
        <w:rPr>
          <w:rFonts w:eastAsia="Times New Roman" w:cs="Times New Roman"/>
          <w:rtl/>
          <w:lang w:eastAsia="de-DE"/>
        </w:rPr>
        <w:t xml:space="preserve"> </w:t>
      </w:r>
      <w:r w:rsidRPr="009A13B9">
        <w:rPr>
          <w:rFonts w:eastAsia="Times New Roman" w:cs="Times New Roman"/>
          <w:lang w:eastAsia="de-DE"/>
        </w:rPr>
        <w:t xml:space="preserve">als abschließende Reinigung entsprechend ritueller Praxis. </w:t>
      </w:r>
      <w:r w:rsidRPr="009A13B9">
        <w:rPr>
          <w:rFonts w:eastAsia="Times New Roman" w:cs="Times New Roman"/>
          <w:b/>
          <w:bCs/>
          <w:rtl/>
          <w:lang w:eastAsia="de-DE"/>
        </w:rPr>
        <w:t>וטהר</w:t>
      </w:r>
      <w:r w:rsidRPr="009A13B9">
        <w:rPr>
          <w:rFonts w:eastAsia="Times New Roman" w:cs="Times New Roman"/>
          <w:rtl/>
          <w:lang w:eastAsia="de-DE"/>
        </w:rPr>
        <w:t xml:space="preserve"> </w:t>
      </w:r>
      <w:r w:rsidRPr="009A13B9">
        <w:rPr>
          <w:rFonts w:eastAsia="Times New Roman" w:cs="Times New Roman"/>
          <w:lang w:eastAsia="de-DE"/>
        </w:rPr>
        <w:t>zeigt endgültige Reinheit.</w:t>
      </w:r>
    </w:p>
    <w:p w14:paraId="6034C9D3"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וסר מהם</w:t>
      </w:r>
      <w:r w:rsidRPr="009A13B9">
        <w:rPr>
          <w:rFonts w:eastAsia="Times New Roman" w:cs="Times New Roman"/>
          <w:rtl/>
          <w:lang w:eastAsia="de-DE"/>
        </w:rPr>
        <w:t xml:space="preserve"> </w:t>
      </w:r>
      <w:r w:rsidRPr="009A13B9">
        <w:rPr>
          <w:rFonts w:eastAsia="Times New Roman" w:cs="Times New Roman"/>
          <w:lang w:eastAsia="de-DE"/>
        </w:rPr>
        <w:t>mit ἀπ</w:t>
      </w:r>
      <w:proofErr w:type="spellStart"/>
      <w:r w:rsidRPr="009A13B9">
        <w:rPr>
          <w:rFonts w:eastAsia="Times New Roman" w:cs="Times New Roman"/>
          <w:lang w:eastAsia="de-DE"/>
        </w:rPr>
        <w:t>οστῇ</w:t>
      </w:r>
      <w:proofErr w:type="spellEnd"/>
      <w:r w:rsidRPr="009A13B9">
        <w:rPr>
          <w:rFonts w:eastAsia="Times New Roman" w:cs="Times New Roman"/>
          <w:lang w:eastAsia="de-DE"/>
        </w:rPr>
        <w:t xml:space="preserve"> ἀπ᾽ α</w:t>
      </w:r>
      <w:proofErr w:type="spellStart"/>
      <w:r w:rsidRPr="009A13B9">
        <w:rPr>
          <w:rFonts w:eastAsia="Times New Roman" w:cs="Times New Roman"/>
          <w:lang w:eastAsia="de-DE"/>
        </w:rPr>
        <w:t>ὐτῶν</w:t>
      </w:r>
      <w:proofErr w:type="spellEnd"/>
      <w:r w:rsidRPr="009A13B9">
        <w:rPr>
          <w:rFonts w:eastAsia="Times New Roman" w:cs="Times New Roman"/>
          <w:lang w:eastAsia="de-DE"/>
        </w:rPr>
        <w:t xml:space="preserve"> (weicht von ihnen), </w:t>
      </w:r>
      <w:r w:rsidRPr="009A13B9">
        <w:rPr>
          <w:rFonts w:eastAsia="Times New Roman" w:cs="Times New Roman"/>
          <w:b/>
          <w:bCs/>
          <w:rtl/>
          <w:lang w:eastAsia="de-DE"/>
        </w:rPr>
        <w:t>שנית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δεύτερον</w:t>
      </w:r>
      <w:proofErr w:type="spellEnd"/>
      <w:r w:rsidRPr="009A13B9">
        <w:rPr>
          <w:rFonts w:eastAsia="Times New Roman" w:cs="Times New Roman"/>
          <w:lang w:eastAsia="de-DE"/>
        </w:rPr>
        <w:t xml:space="preserve"> (zum zweiten Mal) und </w:t>
      </w:r>
      <w:r w:rsidRPr="009A13B9">
        <w:rPr>
          <w:rFonts w:eastAsia="Times New Roman" w:cs="Times New Roman"/>
          <w:b/>
          <w:bCs/>
          <w:rtl/>
          <w:lang w:eastAsia="de-DE"/>
        </w:rPr>
        <w:t>וטהר</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ρὸν</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ἔστ</w:t>
      </w:r>
      <w:proofErr w:type="spellEnd"/>
      <w:r w:rsidRPr="009A13B9">
        <w:rPr>
          <w:rFonts w:eastAsia="Times New Roman" w:cs="Times New Roman"/>
          <w:lang w:eastAsia="de-DE"/>
        </w:rPr>
        <w:t>αι (rein wird es sein).</w:t>
      </w:r>
    </w:p>
    <w:p w14:paraId="642F7E5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lastRenderedPageBreak/>
        <w:t>Die Satzstruktur:</w:t>
      </w:r>
      <w:r w:rsidRPr="009A13B9">
        <w:rPr>
          <w:rFonts w:eastAsia="Times New Roman" w:cs="Times New Roman"/>
          <w:lang w:eastAsia="de-DE"/>
        </w:rPr>
        <w:t xml:space="preserve"> zeigt positive Lösung: vollständige Materialaufzählung + erfolgreiche Behandlung + abschließende Reinigung + Reinheitsbestätigung. Die Struktur zeigt den vollständigen Reinigungsprozess.</w:t>
      </w:r>
    </w:p>
    <w:p w14:paraId="0D0DBB07"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Vers zeigt das positive Ende: erfolgreich gewaschene Textilien werden nach zweiter Wäsche als rein erklärt.</w:t>
      </w:r>
    </w:p>
    <w:p w14:paraId="62CCA799" w14:textId="77777777" w:rsidR="009A13B9" w:rsidRPr="009A13B9" w:rsidRDefault="009A13B9" w:rsidP="009A13B9">
      <w:pPr>
        <w:spacing w:before="100" w:beforeAutospacing="1" w:after="100" w:afterAutospacing="1" w:line="240" w:lineRule="auto"/>
        <w:outlineLvl w:val="1"/>
        <w:rPr>
          <w:rFonts w:eastAsia="Times New Roman" w:cs="Times New Roman"/>
          <w:b/>
          <w:bCs/>
          <w:sz w:val="36"/>
          <w:szCs w:val="36"/>
          <w:lang w:eastAsia="de-DE"/>
        </w:rPr>
      </w:pPr>
      <w:r w:rsidRPr="009A13B9">
        <w:rPr>
          <w:rFonts w:eastAsia="Times New Roman" w:cs="Times New Roman"/>
          <w:b/>
          <w:bCs/>
          <w:sz w:val="36"/>
          <w:szCs w:val="36"/>
          <w:lang w:eastAsia="de-DE"/>
        </w:rPr>
        <w:t>Leviticus 13,59</w:t>
      </w:r>
    </w:p>
    <w:p w14:paraId="6046914A"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Hebräisch:</w:t>
      </w:r>
      <w:r w:rsidRPr="009A13B9">
        <w:rPr>
          <w:rFonts w:eastAsia="Times New Roman" w:cs="Times New Roman"/>
          <w:lang w:eastAsia="de-DE"/>
        </w:rPr>
        <w:t xml:space="preserve"> </w:t>
      </w:r>
      <w:r w:rsidRPr="009A13B9">
        <w:rPr>
          <w:rFonts w:eastAsia="Times New Roman" w:cs="Times New Roman"/>
          <w:rtl/>
          <w:lang w:eastAsia="de-DE"/>
        </w:rPr>
        <w:t>זֹ֠את תּוֹרַ֨ת נֶֽגַע־צָרַ֜עַת בֶּ֥גֶד הַצֶּ֣מֶר׀ א֣וֹ הַפִּשְׁתִּ֗ים א֤וֹ הַשְּׁתִי֙ א֣וֹ הָעֵ֔רֶב א֖וֹ כָּל־כְּלִי־ע֑וֹר לְטַהֲרֹ֖ו א֥וֹ לְטַמְּאֹֽו׃</w:t>
      </w:r>
    </w:p>
    <w:p w14:paraId="0E40B5A1"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Deutsch:</w:t>
      </w:r>
      <w:r w:rsidRPr="009A13B9">
        <w:rPr>
          <w:rFonts w:eastAsia="Times New Roman" w:cs="Times New Roman"/>
          <w:lang w:eastAsia="de-DE"/>
        </w:rPr>
        <w:t xml:space="preserve"> Dies ist die Torah des Aussatzmals an einem Kleid aus Wolle oder aus Leinen oder an Kette oder an Einschlag oder an jedem Gerät aus Fell, es für rein oder für unrein zu erklären.</w:t>
      </w:r>
    </w:p>
    <w:p w14:paraId="63848A9F" w14:textId="77777777" w:rsidR="009A13B9" w:rsidRPr="009A13B9" w:rsidRDefault="00A57720" w:rsidP="009A13B9">
      <w:pPr>
        <w:spacing w:after="0" w:line="240" w:lineRule="auto"/>
        <w:rPr>
          <w:rFonts w:eastAsia="Times New Roman" w:cs="Times New Roman"/>
          <w:lang w:eastAsia="de-DE"/>
        </w:rPr>
      </w:pPr>
      <w:r>
        <w:rPr>
          <w:rFonts w:eastAsia="Times New Roman" w:cs="Times New Roman"/>
          <w:noProof/>
          <w:lang w:eastAsia="de-DE"/>
        </w:rPr>
        <w:pict w14:anchorId="351C6984">
          <v:rect id="_x0000_i1390" style="width:0;height:1.5pt" o:hralign="center" o:hrstd="t" o:hr="t" fillcolor="#a0a0a0" stroked="f"/>
        </w:pict>
      </w:r>
    </w:p>
    <w:p w14:paraId="6EC6EB3F"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Kommentar:</w:t>
      </w:r>
      <w:r w:rsidRPr="009A13B9">
        <w:rPr>
          <w:rFonts w:eastAsia="Times New Roman" w:cs="Times New Roman"/>
          <w:lang w:eastAsia="de-DE"/>
        </w:rPr>
        <w:t xml:space="preserve"> </w:t>
      </w:r>
      <w:r w:rsidRPr="009A13B9">
        <w:rPr>
          <w:rFonts w:eastAsia="Times New Roman" w:cs="Times New Roman"/>
          <w:b/>
          <w:bCs/>
          <w:rtl/>
          <w:lang w:eastAsia="de-DE"/>
        </w:rPr>
        <w:t>זאת תורת נגע־צרעת בגד הצמר או הפשתים או השתי או הערב או כל־כלי־עור לטהרו או לטמאו</w:t>
      </w:r>
      <w:r w:rsidRPr="009A13B9">
        <w:rPr>
          <w:rFonts w:eastAsia="Times New Roman" w:cs="Times New Roman"/>
          <w:rtl/>
          <w:lang w:eastAsia="de-DE"/>
        </w:rPr>
        <w:t xml:space="preserve"> </w:t>
      </w:r>
      <w:r w:rsidRPr="009A13B9">
        <w:rPr>
          <w:rFonts w:eastAsia="Times New Roman" w:cs="Times New Roman"/>
          <w:lang w:eastAsia="de-DE"/>
        </w:rPr>
        <w:t xml:space="preserve">ist die abschließende </w:t>
      </w:r>
      <w:r w:rsidRPr="009A13B9">
        <w:rPr>
          <w:rFonts w:eastAsia="Times New Roman" w:cs="Times New Roman"/>
          <w:b/>
          <w:bCs/>
          <w:rtl/>
          <w:lang w:eastAsia="de-DE"/>
        </w:rPr>
        <w:t>תורת</w:t>
      </w:r>
      <w:r w:rsidRPr="009A13B9">
        <w:rPr>
          <w:rFonts w:eastAsia="Times New Roman" w:cs="Times New Roman"/>
          <w:lang w:eastAsia="de-DE"/>
        </w:rPr>
        <w:t>-Formel für Textil-</w:t>
      </w:r>
      <w:r w:rsidRPr="009A13B9">
        <w:rPr>
          <w:rFonts w:eastAsia="Times New Roman" w:cs="Times New Roman"/>
          <w:b/>
          <w:bCs/>
          <w:rtl/>
          <w:lang w:eastAsia="de-DE"/>
        </w:rPr>
        <w:t>צרעת</w:t>
      </w:r>
      <w:r w:rsidRPr="009A13B9">
        <w:rPr>
          <w:rFonts w:eastAsia="Times New Roman" w:cs="Times New Roman"/>
          <w:lang w:eastAsia="de-DE"/>
        </w:rPr>
        <w:t xml:space="preserve">. </w:t>
      </w:r>
      <w:r w:rsidRPr="009A13B9">
        <w:rPr>
          <w:rFonts w:eastAsia="Times New Roman" w:cs="Times New Roman"/>
          <w:b/>
          <w:bCs/>
          <w:rtl/>
          <w:lang w:eastAsia="de-DE"/>
        </w:rPr>
        <w:t>זאת תורת נגע־צרעת</w:t>
      </w:r>
      <w:r w:rsidRPr="009A13B9">
        <w:rPr>
          <w:rFonts w:eastAsia="Times New Roman" w:cs="Times New Roman"/>
          <w:rtl/>
          <w:lang w:eastAsia="de-DE"/>
        </w:rPr>
        <w:t xml:space="preserve"> </w:t>
      </w:r>
      <w:r w:rsidRPr="009A13B9">
        <w:rPr>
          <w:rFonts w:eastAsia="Times New Roman" w:cs="Times New Roman"/>
          <w:lang w:eastAsia="de-DE"/>
        </w:rPr>
        <w:t xml:space="preserve">(dies ist die Torah des Aussatzmals) entspricht den anderen </w:t>
      </w:r>
      <w:r w:rsidRPr="009A13B9">
        <w:rPr>
          <w:rFonts w:eastAsia="Times New Roman" w:cs="Times New Roman"/>
          <w:b/>
          <w:bCs/>
          <w:rtl/>
          <w:lang w:eastAsia="de-DE"/>
        </w:rPr>
        <w:t>תורת</w:t>
      </w:r>
      <w:r w:rsidRPr="009A13B9">
        <w:rPr>
          <w:rFonts w:eastAsia="Times New Roman" w:cs="Times New Roman"/>
          <w:lang w:eastAsia="de-DE"/>
        </w:rPr>
        <w:t xml:space="preserve">-Formeln. </w:t>
      </w:r>
      <w:r w:rsidRPr="009A13B9">
        <w:rPr>
          <w:rFonts w:eastAsia="Times New Roman" w:cs="Times New Roman"/>
          <w:b/>
          <w:bCs/>
          <w:rtl/>
          <w:lang w:eastAsia="de-DE"/>
        </w:rPr>
        <w:t>בגד הצמר או הפשתים</w:t>
      </w:r>
      <w:r w:rsidRPr="009A13B9">
        <w:rPr>
          <w:rFonts w:eastAsia="Times New Roman" w:cs="Times New Roman"/>
          <w:rtl/>
          <w:lang w:eastAsia="de-DE"/>
        </w:rPr>
        <w:t xml:space="preserve"> </w:t>
      </w:r>
      <w:r w:rsidRPr="009A13B9">
        <w:rPr>
          <w:rFonts w:eastAsia="Times New Roman" w:cs="Times New Roman"/>
          <w:lang w:eastAsia="de-DE"/>
        </w:rPr>
        <w:t xml:space="preserve">(Kleid aus Wolle oder aus Leinen) mit </w:t>
      </w:r>
      <w:r w:rsidRPr="009A13B9">
        <w:rPr>
          <w:rFonts w:eastAsia="Times New Roman" w:cs="Times New Roman"/>
          <w:b/>
          <w:bCs/>
          <w:rtl/>
          <w:lang w:eastAsia="de-DE"/>
        </w:rPr>
        <w:t>הצמר</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הפשתים</w:t>
      </w:r>
      <w:r w:rsidRPr="009A13B9">
        <w:rPr>
          <w:rFonts w:eastAsia="Times New Roman" w:cs="Times New Roman"/>
          <w:rtl/>
          <w:lang w:eastAsia="de-DE"/>
        </w:rPr>
        <w:t xml:space="preserve"> </w:t>
      </w:r>
      <w:r w:rsidRPr="009A13B9">
        <w:rPr>
          <w:rFonts w:eastAsia="Times New Roman" w:cs="Times New Roman"/>
          <w:lang w:eastAsia="de-DE"/>
        </w:rPr>
        <w:t xml:space="preserve">als definite Formen. </w:t>
      </w:r>
      <w:r w:rsidRPr="009A13B9">
        <w:rPr>
          <w:rFonts w:eastAsia="Times New Roman" w:cs="Times New Roman"/>
          <w:b/>
          <w:bCs/>
          <w:rtl/>
          <w:lang w:eastAsia="de-DE"/>
        </w:rPr>
        <w:t>או השתי או הערב או כל־כלי־עור</w:t>
      </w:r>
      <w:r w:rsidRPr="009A13B9">
        <w:rPr>
          <w:rFonts w:eastAsia="Times New Roman" w:cs="Times New Roman"/>
          <w:rtl/>
          <w:lang w:eastAsia="de-DE"/>
        </w:rPr>
        <w:t xml:space="preserve"> </w:t>
      </w:r>
      <w:r w:rsidRPr="009A13B9">
        <w:rPr>
          <w:rFonts w:eastAsia="Times New Roman" w:cs="Times New Roman"/>
          <w:lang w:eastAsia="de-DE"/>
        </w:rPr>
        <w:t>erweitert auf alle behandelten Materialien.</w:t>
      </w:r>
    </w:p>
    <w:p w14:paraId="603BC8E5"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לטהרו או לטמאו</w:t>
      </w:r>
      <w:r w:rsidRPr="009A13B9">
        <w:rPr>
          <w:rFonts w:eastAsia="Times New Roman" w:cs="Times New Roman"/>
          <w:rtl/>
          <w:lang w:eastAsia="de-DE"/>
        </w:rPr>
        <w:t xml:space="preserve"> </w:t>
      </w:r>
      <w:r w:rsidRPr="009A13B9">
        <w:rPr>
          <w:rFonts w:eastAsia="Times New Roman" w:cs="Times New Roman"/>
          <w:lang w:eastAsia="de-DE"/>
        </w:rPr>
        <w:t xml:space="preserve">zeigt den Zweck der </w:t>
      </w:r>
      <w:r w:rsidRPr="009A13B9">
        <w:rPr>
          <w:rFonts w:eastAsia="Times New Roman" w:cs="Times New Roman"/>
          <w:b/>
          <w:bCs/>
          <w:rtl/>
          <w:lang w:eastAsia="de-DE"/>
        </w:rPr>
        <w:t>תורת</w:t>
      </w:r>
      <w:r w:rsidRPr="009A13B9">
        <w:rPr>
          <w:rFonts w:eastAsia="Times New Roman" w:cs="Times New Roman"/>
          <w:lang w:eastAsia="de-DE"/>
        </w:rPr>
        <w:t xml:space="preserve">. </w:t>
      </w:r>
      <w:r w:rsidRPr="009A13B9">
        <w:rPr>
          <w:rFonts w:eastAsia="Times New Roman" w:cs="Times New Roman"/>
          <w:b/>
          <w:bCs/>
          <w:rtl/>
          <w:lang w:eastAsia="de-DE"/>
        </w:rPr>
        <w:t>לטהרו או לטמאו</w:t>
      </w:r>
      <w:r w:rsidRPr="009A13B9">
        <w:rPr>
          <w:rFonts w:eastAsia="Times New Roman" w:cs="Times New Roman"/>
          <w:rtl/>
          <w:lang w:eastAsia="de-DE"/>
        </w:rPr>
        <w:t xml:space="preserve"> </w:t>
      </w:r>
      <w:r w:rsidRPr="009A13B9">
        <w:rPr>
          <w:rFonts w:eastAsia="Times New Roman" w:cs="Times New Roman"/>
          <w:lang w:eastAsia="de-DE"/>
        </w:rPr>
        <w:t xml:space="preserve">(es für rein oder für unrein zu erklären) - </w:t>
      </w:r>
      <w:r w:rsidRPr="009A13B9">
        <w:rPr>
          <w:rFonts w:eastAsia="Times New Roman" w:cs="Times New Roman"/>
          <w:b/>
          <w:bCs/>
          <w:rtl/>
          <w:lang w:eastAsia="de-DE"/>
        </w:rPr>
        <w:t>טהר</w:t>
      </w:r>
      <w:r w:rsidRPr="009A13B9">
        <w:rPr>
          <w:rFonts w:eastAsia="Times New Roman" w:cs="Times New Roman"/>
          <w:rtl/>
          <w:lang w:eastAsia="de-DE"/>
        </w:rPr>
        <w:t xml:space="preserve"> </w:t>
      </w:r>
      <w:r w:rsidRPr="009A13B9">
        <w:rPr>
          <w:rFonts w:eastAsia="Times New Roman" w:cs="Times New Roman"/>
          <w:lang w:eastAsia="de-DE"/>
        </w:rPr>
        <w:t xml:space="preserve">und </w:t>
      </w:r>
      <w:r w:rsidRPr="009A13B9">
        <w:rPr>
          <w:rFonts w:eastAsia="Times New Roman" w:cs="Times New Roman"/>
          <w:b/>
          <w:bCs/>
          <w:rtl/>
          <w:lang w:eastAsia="de-DE"/>
        </w:rPr>
        <w:t>טמא</w:t>
      </w:r>
      <w:r w:rsidRPr="009A13B9">
        <w:rPr>
          <w:rFonts w:eastAsia="Times New Roman" w:cs="Times New Roman"/>
          <w:rtl/>
          <w:lang w:eastAsia="de-DE"/>
        </w:rPr>
        <w:t xml:space="preserve"> </w:t>
      </w:r>
      <w:r w:rsidRPr="009A13B9">
        <w:rPr>
          <w:rFonts w:eastAsia="Times New Roman" w:cs="Times New Roman"/>
          <w:lang w:eastAsia="de-DE"/>
        </w:rPr>
        <w:t xml:space="preserve">im Piel-Infinitiv mit </w:t>
      </w:r>
      <w:r w:rsidRPr="009A13B9">
        <w:rPr>
          <w:rFonts w:eastAsia="Times New Roman" w:cs="Times New Roman"/>
          <w:b/>
          <w:bCs/>
          <w:rtl/>
          <w:lang w:eastAsia="de-DE"/>
        </w:rPr>
        <w:t>ל</w:t>
      </w:r>
      <w:r w:rsidRPr="009A13B9">
        <w:rPr>
          <w:rFonts w:eastAsia="Times New Roman" w:cs="Times New Roman"/>
          <w:rtl/>
          <w:lang w:eastAsia="de-DE"/>
        </w:rPr>
        <w:t xml:space="preserve"> </w:t>
      </w:r>
      <w:r w:rsidRPr="009A13B9">
        <w:rPr>
          <w:rFonts w:eastAsia="Times New Roman" w:cs="Times New Roman"/>
          <w:lang w:eastAsia="de-DE"/>
        </w:rPr>
        <w:t>zur Zweckangabe zeigen die beiden möglichen priesterlichen Entscheidungen.</w:t>
      </w:r>
    </w:p>
    <w:p w14:paraId="7096E084"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rtl/>
          <w:lang w:eastAsia="de-DE"/>
        </w:rPr>
        <w:t>תורת נגע־צרעת</w:t>
      </w:r>
      <w:r w:rsidRPr="009A13B9">
        <w:rPr>
          <w:rFonts w:eastAsia="Times New Roman" w:cs="Times New Roman"/>
          <w:rtl/>
          <w:lang w:eastAsia="de-DE"/>
        </w:rPr>
        <w:t xml:space="preserve"> </w:t>
      </w:r>
      <w:proofErr w:type="spellStart"/>
      <w:r w:rsidRPr="009A13B9">
        <w:rPr>
          <w:rFonts w:eastAsia="Times New Roman" w:cs="Times New Roman"/>
          <w:lang w:eastAsia="de-DE"/>
        </w:rPr>
        <w:t>fasst</w:t>
      </w:r>
      <w:proofErr w:type="spellEnd"/>
      <w:r w:rsidRPr="009A13B9">
        <w:rPr>
          <w:rFonts w:eastAsia="Times New Roman" w:cs="Times New Roman"/>
          <w:lang w:eastAsia="de-DE"/>
        </w:rPr>
        <w:t xml:space="preserve"> alle Textil-</w:t>
      </w:r>
      <w:r w:rsidRPr="009A13B9">
        <w:rPr>
          <w:rFonts w:eastAsia="Times New Roman" w:cs="Times New Roman"/>
          <w:b/>
          <w:bCs/>
          <w:rtl/>
          <w:lang w:eastAsia="de-DE"/>
        </w:rPr>
        <w:t>צרעת</w:t>
      </w:r>
      <w:r w:rsidRPr="009A13B9">
        <w:rPr>
          <w:rFonts w:eastAsia="Times New Roman" w:cs="Times New Roman"/>
          <w:lang w:eastAsia="de-DE"/>
        </w:rPr>
        <w:t xml:space="preserve">-Bestimmungen zusammen. </w:t>
      </w:r>
      <w:r w:rsidRPr="009A13B9">
        <w:rPr>
          <w:rFonts w:eastAsia="Times New Roman" w:cs="Times New Roman"/>
          <w:b/>
          <w:bCs/>
          <w:rtl/>
          <w:lang w:eastAsia="de-DE"/>
        </w:rPr>
        <w:t>לטהרו או לטמאו</w:t>
      </w:r>
      <w:r w:rsidRPr="009A13B9">
        <w:rPr>
          <w:rFonts w:eastAsia="Times New Roman" w:cs="Times New Roman"/>
          <w:rtl/>
          <w:lang w:eastAsia="de-DE"/>
        </w:rPr>
        <w:t xml:space="preserve"> </w:t>
      </w:r>
      <w:r w:rsidRPr="009A13B9">
        <w:rPr>
          <w:rFonts w:eastAsia="Times New Roman" w:cs="Times New Roman"/>
          <w:lang w:eastAsia="de-DE"/>
        </w:rPr>
        <w:t>zeigt den binären Entscheidungscharakter der priesterlichen Diagnose.</w:t>
      </w:r>
    </w:p>
    <w:p w14:paraId="6730144C"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LXX</w:t>
      </w:r>
      <w:r w:rsidRPr="009A13B9">
        <w:rPr>
          <w:rFonts w:eastAsia="Times New Roman" w:cs="Times New Roman"/>
          <w:lang w:eastAsia="de-DE"/>
        </w:rPr>
        <w:t xml:space="preserve"> übersetzt </w:t>
      </w:r>
      <w:r w:rsidRPr="009A13B9">
        <w:rPr>
          <w:rFonts w:eastAsia="Times New Roman" w:cs="Times New Roman"/>
          <w:b/>
          <w:bCs/>
          <w:rtl/>
          <w:lang w:eastAsia="de-DE"/>
        </w:rPr>
        <w:t>תורת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νόμος</w:t>
      </w:r>
      <w:proofErr w:type="spellEnd"/>
      <w:r w:rsidRPr="009A13B9">
        <w:rPr>
          <w:rFonts w:eastAsia="Times New Roman" w:cs="Times New Roman"/>
          <w:lang w:eastAsia="de-DE"/>
        </w:rPr>
        <w:t xml:space="preserve"> (Gesetz), </w:t>
      </w:r>
      <w:r w:rsidRPr="009A13B9">
        <w:rPr>
          <w:rFonts w:eastAsia="Times New Roman" w:cs="Times New Roman"/>
          <w:b/>
          <w:bCs/>
          <w:rtl/>
          <w:lang w:eastAsia="de-DE"/>
        </w:rPr>
        <w:t>נגע־צרעת</w:t>
      </w:r>
      <w:r w:rsidRPr="009A13B9">
        <w:rPr>
          <w:rFonts w:eastAsia="Times New Roman" w:cs="Times New Roman"/>
          <w:rtl/>
          <w:lang w:eastAsia="de-DE"/>
        </w:rPr>
        <w:t xml:space="preserve"> </w:t>
      </w:r>
      <w:r w:rsidRPr="009A13B9">
        <w:rPr>
          <w:rFonts w:eastAsia="Times New Roman" w:cs="Times New Roman"/>
          <w:lang w:eastAsia="de-DE"/>
        </w:rPr>
        <w:t xml:space="preserve">mit </w:t>
      </w:r>
      <w:proofErr w:type="spellStart"/>
      <w:r w:rsidRPr="009A13B9">
        <w:rPr>
          <w:rFonts w:eastAsia="Times New Roman" w:cs="Times New Roman"/>
          <w:lang w:eastAsia="de-DE"/>
        </w:rPr>
        <w:t>ἁφῆς</w:t>
      </w:r>
      <w:proofErr w:type="spellEnd"/>
      <w:r w:rsidRPr="009A13B9">
        <w:rPr>
          <w:rFonts w:eastAsia="Times New Roman" w:cs="Times New Roman"/>
          <w:lang w:eastAsia="de-DE"/>
        </w:rPr>
        <w:t xml:space="preserve"> </w:t>
      </w:r>
      <w:proofErr w:type="spellStart"/>
      <w:r w:rsidRPr="009A13B9">
        <w:rPr>
          <w:rFonts w:eastAsia="Times New Roman" w:cs="Times New Roman"/>
          <w:lang w:eastAsia="de-DE"/>
        </w:rPr>
        <w:t>λέ</w:t>
      </w:r>
      <w:proofErr w:type="spellEnd"/>
      <w:r w:rsidRPr="009A13B9">
        <w:rPr>
          <w:rFonts w:eastAsia="Times New Roman" w:cs="Times New Roman"/>
          <w:lang w:eastAsia="de-DE"/>
        </w:rPr>
        <w:t xml:space="preserve">πρας (Mal der Lepra) und </w:t>
      </w:r>
      <w:r w:rsidRPr="009A13B9">
        <w:rPr>
          <w:rFonts w:eastAsia="Times New Roman" w:cs="Times New Roman"/>
          <w:b/>
          <w:bCs/>
          <w:rtl/>
          <w:lang w:eastAsia="de-DE"/>
        </w:rPr>
        <w:t>לטהרו או לטמאו</w:t>
      </w:r>
      <w:r w:rsidRPr="009A13B9">
        <w:rPr>
          <w:rFonts w:eastAsia="Times New Roman" w:cs="Times New Roman"/>
          <w:rtl/>
          <w:lang w:eastAsia="de-DE"/>
        </w:rPr>
        <w:t xml:space="preserve"> </w:t>
      </w:r>
      <w:r w:rsidRPr="009A13B9">
        <w:rPr>
          <w:rFonts w:eastAsia="Times New Roman" w:cs="Times New Roman"/>
          <w:lang w:eastAsia="de-DE"/>
        </w:rPr>
        <w:t>mit καθα</w:t>
      </w:r>
      <w:proofErr w:type="spellStart"/>
      <w:r w:rsidRPr="009A13B9">
        <w:rPr>
          <w:rFonts w:eastAsia="Times New Roman" w:cs="Times New Roman"/>
          <w:lang w:eastAsia="de-DE"/>
        </w:rPr>
        <w:t>ρίσ</w:t>
      </w:r>
      <w:proofErr w:type="spellEnd"/>
      <w:r w:rsidRPr="009A13B9">
        <w:rPr>
          <w:rFonts w:eastAsia="Times New Roman" w:cs="Times New Roman"/>
          <w:lang w:eastAsia="de-DE"/>
        </w:rPr>
        <w:t>αι α</w:t>
      </w:r>
      <w:proofErr w:type="spellStart"/>
      <w:r w:rsidRPr="009A13B9">
        <w:rPr>
          <w:rFonts w:eastAsia="Times New Roman" w:cs="Times New Roman"/>
          <w:lang w:eastAsia="de-DE"/>
        </w:rPr>
        <w:t>ὐτὸ</w:t>
      </w:r>
      <w:proofErr w:type="spellEnd"/>
      <w:r w:rsidRPr="009A13B9">
        <w:rPr>
          <w:rFonts w:eastAsia="Times New Roman" w:cs="Times New Roman"/>
          <w:lang w:eastAsia="de-DE"/>
        </w:rPr>
        <w:t xml:space="preserve"> ἢ </w:t>
      </w:r>
      <w:proofErr w:type="spellStart"/>
      <w:r w:rsidRPr="009A13B9">
        <w:rPr>
          <w:rFonts w:eastAsia="Times New Roman" w:cs="Times New Roman"/>
          <w:lang w:eastAsia="de-DE"/>
        </w:rPr>
        <w:t>μιᾶν</w:t>
      </w:r>
      <w:proofErr w:type="spellEnd"/>
      <w:r w:rsidRPr="009A13B9">
        <w:rPr>
          <w:rFonts w:eastAsia="Times New Roman" w:cs="Times New Roman"/>
          <w:lang w:eastAsia="de-DE"/>
        </w:rPr>
        <w:t>αι α</w:t>
      </w:r>
      <w:proofErr w:type="spellStart"/>
      <w:r w:rsidRPr="009A13B9">
        <w:rPr>
          <w:rFonts w:eastAsia="Times New Roman" w:cs="Times New Roman"/>
          <w:lang w:eastAsia="de-DE"/>
        </w:rPr>
        <w:t>ὐτό</w:t>
      </w:r>
      <w:proofErr w:type="spellEnd"/>
      <w:r w:rsidRPr="009A13B9">
        <w:rPr>
          <w:rFonts w:eastAsia="Times New Roman" w:cs="Times New Roman"/>
          <w:lang w:eastAsia="de-DE"/>
        </w:rPr>
        <w:t xml:space="preserve"> (es zu reinigen oder zu verunreinigen).</w:t>
      </w:r>
    </w:p>
    <w:p w14:paraId="3A879AA0" w14:textId="77777777" w:rsidR="009A13B9" w:rsidRP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b/>
          <w:bCs/>
          <w:lang w:eastAsia="de-DE"/>
        </w:rPr>
        <w:t>Die Satzstruktur:</w:t>
      </w:r>
      <w:r w:rsidRPr="009A13B9">
        <w:rPr>
          <w:rFonts w:eastAsia="Times New Roman" w:cs="Times New Roman"/>
          <w:lang w:eastAsia="de-DE"/>
        </w:rPr>
        <w:t xml:space="preserve"> zeigt abschließende Zusammenfassung: </w:t>
      </w:r>
      <w:r w:rsidRPr="009A13B9">
        <w:rPr>
          <w:rFonts w:eastAsia="Times New Roman" w:cs="Times New Roman"/>
          <w:b/>
          <w:bCs/>
          <w:rtl/>
          <w:lang w:eastAsia="de-DE"/>
        </w:rPr>
        <w:t>תורת</w:t>
      </w:r>
      <w:r w:rsidRPr="009A13B9">
        <w:rPr>
          <w:rFonts w:eastAsia="Times New Roman" w:cs="Times New Roman"/>
          <w:lang w:eastAsia="de-DE"/>
        </w:rPr>
        <w:t>-Formel + vollständige Materialaufzählung + binärer Entscheidungszweck. Die Struktur schließt die Textil-</w:t>
      </w:r>
      <w:r w:rsidRPr="009A13B9">
        <w:rPr>
          <w:rFonts w:eastAsia="Times New Roman" w:cs="Times New Roman"/>
          <w:b/>
          <w:bCs/>
          <w:rtl/>
          <w:lang w:eastAsia="de-DE"/>
        </w:rPr>
        <w:t>צרעת</w:t>
      </w:r>
      <w:r w:rsidRPr="009A13B9">
        <w:rPr>
          <w:rFonts w:eastAsia="Times New Roman" w:cs="Times New Roman"/>
          <w:lang w:eastAsia="de-DE"/>
        </w:rPr>
        <w:t>-Bestimmungen ab.</w:t>
      </w:r>
    </w:p>
    <w:p w14:paraId="5465E3D0" w14:textId="77777777" w:rsidR="00195E02" w:rsidRDefault="009A13B9" w:rsidP="00195E02">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Dieser abschließende Vers fasst alle Textil-</w:t>
      </w:r>
      <w:r w:rsidRPr="009A13B9">
        <w:rPr>
          <w:rFonts w:eastAsia="Times New Roman" w:cs="Times New Roman"/>
          <w:b/>
          <w:bCs/>
          <w:rtl/>
          <w:lang w:eastAsia="de-DE"/>
        </w:rPr>
        <w:t>צרעת</w:t>
      </w:r>
      <w:r w:rsidRPr="009A13B9">
        <w:rPr>
          <w:rFonts w:eastAsia="Times New Roman" w:cs="Times New Roman"/>
          <w:lang w:eastAsia="de-DE"/>
        </w:rPr>
        <w:t xml:space="preserve">-Bestimmungen als </w:t>
      </w:r>
      <w:r w:rsidRPr="009A13B9">
        <w:rPr>
          <w:rFonts w:eastAsia="Times New Roman" w:cs="Times New Roman"/>
          <w:b/>
          <w:bCs/>
          <w:rtl/>
          <w:lang w:eastAsia="de-DE"/>
        </w:rPr>
        <w:t>תורת</w:t>
      </w:r>
      <w:r w:rsidRPr="009A13B9">
        <w:rPr>
          <w:rFonts w:eastAsia="Times New Roman" w:cs="Times New Roman"/>
          <w:rtl/>
          <w:lang w:eastAsia="de-DE"/>
        </w:rPr>
        <w:t xml:space="preserve"> </w:t>
      </w:r>
      <w:r w:rsidRPr="009A13B9">
        <w:rPr>
          <w:rFonts w:eastAsia="Times New Roman" w:cs="Times New Roman"/>
          <w:lang w:eastAsia="de-DE"/>
        </w:rPr>
        <w:t>zusammen und definiert deren Zweck als binäre Reinheits-/Unreinheitsentscheidung.</w:t>
      </w:r>
    </w:p>
    <w:p w14:paraId="27B4165F" w14:textId="593EAC53" w:rsidR="009A13B9" w:rsidRDefault="009A13B9" w:rsidP="00195E02">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Kapitel 13 etabliert ein umfassendes medizinisch-kultisches Diagnosesystem für </w:t>
      </w:r>
      <w:r w:rsidRPr="009A13B9">
        <w:rPr>
          <w:rFonts w:eastAsia="Times New Roman" w:cs="Times New Roman"/>
          <w:b/>
          <w:bCs/>
          <w:rtl/>
          <w:lang w:eastAsia="de-DE"/>
        </w:rPr>
        <w:t>צרעת</w:t>
      </w:r>
      <w:r w:rsidRPr="009A13B9">
        <w:rPr>
          <w:rFonts w:eastAsia="Times New Roman" w:cs="Times New Roman"/>
          <w:lang w:eastAsia="de-DE"/>
        </w:rPr>
        <w:t xml:space="preserve">, das Menschen, Kleidung und Gegenstände umfasst. Die Struktur zeigt: </w:t>
      </w:r>
    </w:p>
    <w:p w14:paraId="5CE427C9" w14:textId="77777777" w:rsidR="00195E02" w:rsidRDefault="009A13B9" w:rsidP="00195E02">
      <w:pPr>
        <w:pStyle w:val="KeinLeerraum"/>
        <w:rPr>
          <w:lang w:eastAsia="de-DE"/>
        </w:rPr>
      </w:pPr>
      <w:r w:rsidRPr="00125C26">
        <w:rPr>
          <w:b/>
          <w:bCs/>
          <w:lang w:eastAsia="de-DE"/>
        </w:rPr>
        <w:t>1)</w:t>
      </w:r>
      <w:r w:rsidRPr="009A13B9">
        <w:rPr>
          <w:lang w:eastAsia="de-DE"/>
        </w:rPr>
        <w:t xml:space="preserve"> </w:t>
      </w:r>
      <w:r w:rsidRPr="009A13B9">
        <w:rPr>
          <w:b/>
          <w:bCs/>
          <w:lang w:eastAsia="de-DE"/>
        </w:rPr>
        <w:t>Grundlegende Hautdiagnose</w:t>
      </w:r>
      <w:r w:rsidRPr="009A13B9">
        <w:rPr>
          <w:lang w:eastAsia="de-DE"/>
        </w:rPr>
        <w:t xml:space="preserve"> (V. 1-8): Drei Grundformen von Hautveränderungen, zwei Hauptkriterien (weißes Haar, vertiefte Erscheinung), systematisches Quarantäneverfahren, Verlaufskontrolle mit möglicher Diagnoserevision. </w:t>
      </w:r>
    </w:p>
    <w:p w14:paraId="39D00B27" w14:textId="77777777" w:rsidR="00125C26" w:rsidRDefault="00125C26" w:rsidP="00195E02">
      <w:pPr>
        <w:pStyle w:val="KeinLeerraum"/>
        <w:rPr>
          <w:b/>
          <w:bCs/>
          <w:lang w:eastAsia="de-DE"/>
        </w:rPr>
      </w:pPr>
    </w:p>
    <w:p w14:paraId="157E26BF" w14:textId="29F51269" w:rsidR="00195E02" w:rsidRDefault="009A13B9" w:rsidP="00195E02">
      <w:pPr>
        <w:pStyle w:val="KeinLeerraum"/>
        <w:rPr>
          <w:lang w:eastAsia="de-DE"/>
        </w:rPr>
      </w:pPr>
      <w:r w:rsidRPr="00125C26">
        <w:rPr>
          <w:b/>
          <w:bCs/>
          <w:lang w:eastAsia="de-DE"/>
        </w:rPr>
        <w:lastRenderedPageBreak/>
        <w:t>2)</w:t>
      </w:r>
      <w:r w:rsidRPr="009A13B9">
        <w:rPr>
          <w:lang w:eastAsia="de-DE"/>
        </w:rPr>
        <w:t xml:space="preserve"> </w:t>
      </w:r>
      <w:r w:rsidRPr="009A13B9">
        <w:rPr>
          <w:b/>
          <w:bCs/>
          <w:lang w:eastAsia="de-DE"/>
        </w:rPr>
        <w:t>Spezielle Hautformen</w:t>
      </w:r>
      <w:r w:rsidRPr="009A13B9">
        <w:rPr>
          <w:lang w:eastAsia="de-DE"/>
        </w:rPr>
        <w:t xml:space="preserve"> (V. 9-17): Chronische </w:t>
      </w:r>
      <w:r w:rsidRPr="009A13B9">
        <w:rPr>
          <w:b/>
          <w:bCs/>
          <w:rtl/>
          <w:lang w:eastAsia="de-DE"/>
        </w:rPr>
        <w:t>צרעת</w:t>
      </w:r>
      <w:r w:rsidRPr="009A13B9">
        <w:rPr>
          <w:rtl/>
          <w:lang w:eastAsia="de-DE"/>
        </w:rPr>
        <w:t xml:space="preserve"> </w:t>
      </w:r>
      <w:r w:rsidRPr="009A13B9">
        <w:rPr>
          <w:lang w:eastAsia="de-DE"/>
        </w:rPr>
        <w:t xml:space="preserve">mit sofortiger Diagnose, paradoxe Reinheit bei totaler Weißfärbung, </w:t>
      </w:r>
      <w:r w:rsidRPr="009A13B9">
        <w:rPr>
          <w:b/>
          <w:bCs/>
          <w:rtl/>
          <w:lang w:eastAsia="de-DE"/>
        </w:rPr>
        <w:t>בשר חי</w:t>
      </w:r>
      <w:r w:rsidRPr="009A13B9">
        <w:rPr>
          <w:rtl/>
          <w:lang w:eastAsia="de-DE"/>
        </w:rPr>
        <w:t xml:space="preserve"> </w:t>
      </w:r>
      <w:r w:rsidRPr="009A13B9">
        <w:rPr>
          <w:lang w:eastAsia="de-DE"/>
        </w:rPr>
        <w:t xml:space="preserve">als kritisches Unreinheitskriterium, Heilungsreversibilität. </w:t>
      </w:r>
    </w:p>
    <w:p w14:paraId="6A67B820" w14:textId="77777777" w:rsidR="00125C26" w:rsidRDefault="00125C26" w:rsidP="00195E02">
      <w:pPr>
        <w:pStyle w:val="KeinLeerraum"/>
        <w:rPr>
          <w:b/>
          <w:bCs/>
          <w:lang w:eastAsia="de-DE"/>
        </w:rPr>
      </w:pPr>
    </w:p>
    <w:p w14:paraId="760C6040" w14:textId="7D48BC2B" w:rsidR="00195E02" w:rsidRDefault="009A13B9" w:rsidP="00195E02">
      <w:pPr>
        <w:pStyle w:val="KeinLeerraum"/>
        <w:rPr>
          <w:lang w:eastAsia="de-DE"/>
        </w:rPr>
      </w:pPr>
      <w:r w:rsidRPr="00125C26">
        <w:rPr>
          <w:b/>
          <w:bCs/>
          <w:lang w:eastAsia="de-DE"/>
        </w:rPr>
        <w:t>3)</w:t>
      </w:r>
      <w:r w:rsidRPr="009A13B9">
        <w:rPr>
          <w:lang w:eastAsia="de-DE"/>
        </w:rPr>
        <w:t xml:space="preserve"> </w:t>
      </w:r>
      <w:r w:rsidRPr="009A13B9">
        <w:rPr>
          <w:b/>
          <w:bCs/>
          <w:lang w:eastAsia="de-DE"/>
        </w:rPr>
        <w:t xml:space="preserve">Sekundäre </w:t>
      </w:r>
      <w:r w:rsidRPr="009A13B9">
        <w:rPr>
          <w:b/>
          <w:bCs/>
          <w:rtl/>
          <w:lang w:eastAsia="de-DE"/>
        </w:rPr>
        <w:t>צרעת</w:t>
      </w:r>
      <w:r w:rsidRPr="009A13B9">
        <w:rPr>
          <w:rtl/>
          <w:lang w:eastAsia="de-DE"/>
        </w:rPr>
        <w:t xml:space="preserve"> </w:t>
      </w:r>
      <w:r w:rsidRPr="009A13B9">
        <w:rPr>
          <w:lang w:eastAsia="de-DE"/>
        </w:rPr>
        <w:t xml:space="preserve">(V. 18-28): </w:t>
      </w:r>
      <w:r w:rsidRPr="009A13B9">
        <w:rPr>
          <w:b/>
          <w:bCs/>
          <w:rtl/>
          <w:lang w:eastAsia="de-DE"/>
        </w:rPr>
        <w:t>צרעת</w:t>
      </w:r>
      <w:r w:rsidRPr="009A13B9">
        <w:rPr>
          <w:rtl/>
          <w:lang w:eastAsia="de-DE"/>
        </w:rPr>
        <w:t xml:space="preserve"> </w:t>
      </w:r>
      <w:r w:rsidRPr="009A13B9">
        <w:rPr>
          <w:lang w:eastAsia="de-DE"/>
        </w:rPr>
        <w:t xml:space="preserve">in geheilten Geschwüren und Brandwunden mit identischen Diagnosekriterien. </w:t>
      </w:r>
    </w:p>
    <w:p w14:paraId="7AF5CEB8" w14:textId="77777777" w:rsidR="00125C26" w:rsidRDefault="00125C26" w:rsidP="00195E02">
      <w:pPr>
        <w:pStyle w:val="KeinLeerraum"/>
        <w:rPr>
          <w:b/>
          <w:bCs/>
          <w:lang w:eastAsia="de-DE"/>
        </w:rPr>
      </w:pPr>
    </w:p>
    <w:p w14:paraId="33D28D32" w14:textId="77777777" w:rsidR="00125C26" w:rsidRDefault="00125C26" w:rsidP="00195E02">
      <w:pPr>
        <w:pStyle w:val="KeinLeerraum"/>
        <w:rPr>
          <w:b/>
          <w:bCs/>
          <w:lang w:eastAsia="de-DE"/>
        </w:rPr>
      </w:pPr>
    </w:p>
    <w:p w14:paraId="3C970E72" w14:textId="602D07C6" w:rsidR="00195E02" w:rsidRDefault="009A13B9" w:rsidP="00195E02">
      <w:pPr>
        <w:pStyle w:val="KeinLeerraum"/>
        <w:rPr>
          <w:lang w:eastAsia="de-DE"/>
        </w:rPr>
      </w:pPr>
      <w:r w:rsidRPr="00125C26">
        <w:rPr>
          <w:b/>
          <w:bCs/>
          <w:lang w:eastAsia="de-DE"/>
        </w:rPr>
        <w:t>4)</w:t>
      </w:r>
      <w:r w:rsidRPr="009A13B9">
        <w:rPr>
          <w:lang w:eastAsia="de-DE"/>
        </w:rPr>
        <w:t xml:space="preserve"> </w:t>
      </w:r>
      <w:r w:rsidRPr="009A13B9">
        <w:rPr>
          <w:b/>
          <w:bCs/>
          <w:lang w:eastAsia="de-DE"/>
        </w:rPr>
        <w:t>Kopf-/Bart-</w:t>
      </w:r>
      <w:r w:rsidRPr="009A13B9">
        <w:rPr>
          <w:b/>
          <w:bCs/>
          <w:rtl/>
          <w:lang w:eastAsia="de-DE"/>
        </w:rPr>
        <w:t>צרעת</w:t>
      </w:r>
      <w:r w:rsidRPr="009A13B9">
        <w:rPr>
          <w:rtl/>
          <w:lang w:eastAsia="de-DE"/>
        </w:rPr>
        <w:t xml:space="preserve"> </w:t>
      </w:r>
      <w:r w:rsidRPr="009A13B9">
        <w:rPr>
          <w:lang w:eastAsia="de-DE"/>
        </w:rPr>
        <w:t xml:space="preserve">(V. 29-37): </w:t>
      </w:r>
      <w:r w:rsidRPr="009A13B9">
        <w:rPr>
          <w:b/>
          <w:bCs/>
          <w:rtl/>
          <w:lang w:eastAsia="de-DE"/>
        </w:rPr>
        <w:t>נתק</w:t>
      </w:r>
      <w:r w:rsidRPr="009A13B9">
        <w:rPr>
          <w:rtl/>
          <w:lang w:eastAsia="de-DE"/>
        </w:rPr>
        <w:t xml:space="preserve"> </w:t>
      </w:r>
      <w:r w:rsidRPr="009A13B9">
        <w:rPr>
          <w:lang w:eastAsia="de-DE"/>
        </w:rPr>
        <w:t xml:space="preserve">mit angepassten Kriterien (gelbes dünnes Haar), </w:t>
      </w:r>
      <w:r w:rsidR="0047575E" w:rsidRPr="009A13B9">
        <w:rPr>
          <w:lang w:eastAsia="de-DE"/>
        </w:rPr>
        <w:t>Rasur Verfahren</w:t>
      </w:r>
      <w:r w:rsidRPr="009A13B9">
        <w:rPr>
          <w:lang w:eastAsia="de-DE"/>
        </w:rPr>
        <w:t xml:space="preserve">, Heilungszeichen durch schwarzen Haarwuchs. </w:t>
      </w:r>
    </w:p>
    <w:p w14:paraId="4952A2E9" w14:textId="77777777" w:rsidR="00125C26" w:rsidRDefault="00125C26" w:rsidP="00195E02">
      <w:pPr>
        <w:pStyle w:val="KeinLeerraum"/>
        <w:rPr>
          <w:b/>
          <w:bCs/>
          <w:lang w:eastAsia="de-DE"/>
        </w:rPr>
      </w:pPr>
    </w:p>
    <w:p w14:paraId="6CD12947" w14:textId="2F7F7FB2" w:rsidR="00195E02" w:rsidRDefault="009A13B9" w:rsidP="00195E02">
      <w:pPr>
        <w:pStyle w:val="KeinLeerraum"/>
        <w:rPr>
          <w:lang w:eastAsia="de-DE"/>
        </w:rPr>
      </w:pPr>
      <w:r w:rsidRPr="00125C26">
        <w:rPr>
          <w:b/>
          <w:bCs/>
          <w:lang w:eastAsia="de-DE"/>
        </w:rPr>
        <w:t>5)</w:t>
      </w:r>
      <w:r w:rsidRPr="009A13B9">
        <w:rPr>
          <w:lang w:eastAsia="de-DE"/>
        </w:rPr>
        <w:t xml:space="preserve"> </w:t>
      </w:r>
      <w:r w:rsidRPr="009A13B9">
        <w:rPr>
          <w:b/>
          <w:bCs/>
          <w:lang w:eastAsia="de-DE"/>
        </w:rPr>
        <w:t>Differentialdiagnosen</w:t>
      </w:r>
      <w:r w:rsidRPr="009A13B9">
        <w:rPr>
          <w:lang w:eastAsia="de-DE"/>
        </w:rPr>
        <w:t xml:space="preserve"> (V. 38-44): </w:t>
      </w:r>
      <w:r w:rsidRPr="009A13B9">
        <w:rPr>
          <w:b/>
          <w:bCs/>
          <w:rtl/>
          <w:lang w:eastAsia="de-DE"/>
        </w:rPr>
        <w:t>בהק</w:t>
      </w:r>
      <w:r w:rsidRPr="009A13B9">
        <w:rPr>
          <w:rtl/>
          <w:lang w:eastAsia="de-DE"/>
        </w:rPr>
        <w:t xml:space="preserve"> </w:t>
      </w:r>
      <w:r w:rsidRPr="009A13B9">
        <w:rPr>
          <w:lang w:eastAsia="de-DE"/>
        </w:rPr>
        <w:t xml:space="preserve">als harmlose weiße Flecken, natürliche Kahlheit, </w:t>
      </w:r>
      <w:r w:rsidRPr="009A13B9">
        <w:rPr>
          <w:b/>
          <w:bCs/>
          <w:rtl/>
          <w:lang w:eastAsia="de-DE"/>
        </w:rPr>
        <w:t>צרעת</w:t>
      </w:r>
      <w:r w:rsidRPr="009A13B9">
        <w:rPr>
          <w:rtl/>
          <w:lang w:eastAsia="de-DE"/>
        </w:rPr>
        <w:t xml:space="preserve"> </w:t>
      </w:r>
      <w:r w:rsidRPr="009A13B9">
        <w:rPr>
          <w:lang w:eastAsia="de-DE"/>
        </w:rPr>
        <w:t xml:space="preserve">in Kahlheitsstellen. </w:t>
      </w:r>
    </w:p>
    <w:p w14:paraId="02EA79C9" w14:textId="77777777" w:rsidR="00125C26" w:rsidRDefault="00125C26" w:rsidP="00195E02">
      <w:pPr>
        <w:pStyle w:val="KeinLeerraum"/>
        <w:rPr>
          <w:b/>
          <w:bCs/>
          <w:lang w:eastAsia="de-DE"/>
        </w:rPr>
      </w:pPr>
    </w:p>
    <w:p w14:paraId="67B5CD97" w14:textId="024096EB" w:rsidR="00195E02" w:rsidRDefault="009A13B9" w:rsidP="00195E02">
      <w:pPr>
        <w:pStyle w:val="KeinLeerraum"/>
        <w:rPr>
          <w:lang w:eastAsia="de-DE"/>
        </w:rPr>
      </w:pPr>
      <w:r w:rsidRPr="00125C26">
        <w:rPr>
          <w:b/>
          <w:bCs/>
          <w:lang w:eastAsia="de-DE"/>
        </w:rPr>
        <w:t>6)</w:t>
      </w:r>
      <w:r w:rsidRPr="009A13B9">
        <w:rPr>
          <w:lang w:eastAsia="de-DE"/>
        </w:rPr>
        <w:t xml:space="preserve"> </w:t>
      </w:r>
      <w:r w:rsidRPr="009A13B9">
        <w:rPr>
          <w:b/>
          <w:bCs/>
          <w:lang w:eastAsia="de-DE"/>
        </w:rPr>
        <w:t>Soziale Konsequenzen</w:t>
      </w:r>
      <w:r w:rsidRPr="009A13B9">
        <w:rPr>
          <w:lang w:eastAsia="de-DE"/>
        </w:rPr>
        <w:t xml:space="preserve"> (V. 45-46): Totale Isolation durch äußere Kennzeichnung, Warnrufe, Lagerausschluss. </w:t>
      </w:r>
    </w:p>
    <w:p w14:paraId="0059A68C" w14:textId="77777777" w:rsidR="00125C26" w:rsidRDefault="00125C26" w:rsidP="00195E02">
      <w:pPr>
        <w:pStyle w:val="KeinLeerraum"/>
        <w:rPr>
          <w:b/>
          <w:bCs/>
          <w:lang w:eastAsia="de-DE"/>
        </w:rPr>
      </w:pPr>
    </w:p>
    <w:p w14:paraId="5107CE70" w14:textId="784EC147" w:rsidR="009A13B9" w:rsidRPr="009A13B9" w:rsidRDefault="009A13B9" w:rsidP="00195E02">
      <w:pPr>
        <w:pStyle w:val="KeinLeerraum"/>
        <w:rPr>
          <w:lang w:eastAsia="de-DE"/>
        </w:rPr>
      </w:pPr>
      <w:r w:rsidRPr="00125C26">
        <w:rPr>
          <w:b/>
          <w:bCs/>
          <w:lang w:eastAsia="de-DE"/>
        </w:rPr>
        <w:t>7)</w:t>
      </w:r>
      <w:r w:rsidRPr="009A13B9">
        <w:rPr>
          <w:lang w:eastAsia="de-DE"/>
        </w:rPr>
        <w:t xml:space="preserve"> </w:t>
      </w:r>
      <w:r w:rsidRPr="009A13B9">
        <w:rPr>
          <w:b/>
          <w:bCs/>
          <w:lang w:eastAsia="de-DE"/>
        </w:rPr>
        <w:t>Textil-</w:t>
      </w:r>
      <w:r w:rsidRPr="009A13B9">
        <w:rPr>
          <w:b/>
          <w:bCs/>
          <w:rtl/>
          <w:lang w:eastAsia="de-DE"/>
        </w:rPr>
        <w:t>צרעת</w:t>
      </w:r>
      <w:r w:rsidRPr="009A13B9">
        <w:rPr>
          <w:rtl/>
          <w:lang w:eastAsia="de-DE"/>
        </w:rPr>
        <w:t xml:space="preserve"> </w:t>
      </w:r>
      <w:r w:rsidRPr="009A13B9">
        <w:rPr>
          <w:lang w:eastAsia="de-DE"/>
        </w:rPr>
        <w:t xml:space="preserve">(V. 47-59): </w:t>
      </w:r>
      <w:r w:rsidRPr="009A13B9">
        <w:rPr>
          <w:b/>
          <w:bCs/>
          <w:rtl/>
          <w:lang w:eastAsia="de-DE"/>
        </w:rPr>
        <w:t>צרעת</w:t>
      </w:r>
      <w:r w:rsidRPr="009A13B9">
        <w:rPr>
          <w:rtl/>
          <w:lang w:eastAsia="de-DE"/>
        </w:rPr>
        <w:t xml:space="preserve"> </w:t>
      </w:r>
      <w:r w:rsidRPr="009A13B9">
        <w:rPr>
          <w:lang w:eastAsia="de-DE"/>
        </w:rPr>
        <w:t xml:space="preserve">an Textilien und Leder mit grünlich-rötlichen Verfärbungen, Quarantäne-, Wasch- und Verbrennungsverfahren, </w:t>
      </w:r>
      <w:r w:rsidRPr="009A13B9">
        <w:rPr>
          <w:b/>
          <w:bCs/>
          <w:rtl/>
          <w:lang w:eastAsia="de-DE"/>
        </w:rPr>
        <w:t>צרעת מאמרת</w:t>
      </w:r>
      <w:r w:rsidRPr="009A13B9">
        <w:rPr>
          <w:rtl/>
          <w:lang w:eastAsia="de-DE"/>
        </w:rPr>
        <w:t xml:space="preserve"> </w:t>
      </w:r>
      <w:r w:rsidRPr="009A13B9">
        <w:rPr>
          <w:lang w:eastAsia="de-DE"/>
        </w:rPr>
        <w:t>als aggressive Form.</w:t>
      </w:r>
    </w:p>
    <w:p w14:paraId="33877AED" w14:textId="7E74F090" w:rsidR="009A13B9" w:rsidRDefault="009A13B9" w:rsidP="009A13B9">
      <w:pPr>
        <w:spacing w:before="100" w:beforeAutospacing="1" w:after="100" w:afterAutospacing="1" w:line="240" w:lineRule="auto"/>
        <w:rPr>
          <w:rFonts w:eastAsia="Times New Roman" w:cs="Times New Roman"/>
          <w:lang w:eastAsia="de-DE"/>
        </w:rPr>
      </w:pPr>
      <w:r w:rsidRPr="009A13B9">
        <w:rPr>
          <w:rFonts w:eastAsia="Times New Roman" w:cs="Times New Roman"/>
          <w:lang w:eastAsia="de-DE"/>
        </w:rPr>
        <w:t xml:space="preserve">Das Kapitel verbindet medizinische Beobachtung mit kultischer Praxis und sozialer Kontrolle. Das System zeigt bemerkenswerte Differenziertheit in Diagnosekriterien, Verlaufsbeobachtung und abgestuften Behandlungsverfahren. Die Übertragung des </w:t>
      </w:r>
      <w:r w:rsidRPr="009A13B9">
        <w:rPr>
          <w:rFonts w:eastAsia="Times New Roman" w:cs="Times New Roman"/>
          <w:b/>
          <w:bCs/>
          <w:rtl/>
          <w:lang w:eastAsia="de-DE"/>
        </w:rPr>
        <w:t>צרעת</w:t>
      </w:r>
      <w:r w:rsidRPr="009A13B9">
        <w:rPr>
          <w:rFonts w:eastAsia="Times New Roman" w:cs="Times New Roman"/>
          <w:lang w:eastAsia="de-DE"/>
        </w:rPr>
        <w:t>-Konzepts auf Textilien zeigt die Ausdehnung ritueller Reinheitsvorstellungen auf materielle Kultur.</w:t>
      </w:r>
    </w:p>
    <w:p w14:paraId="673DBB99" w14:textId="66A8F696" w:rsidR="007660B2" w:rsidRPr="009A13B9" w:rsidRDefault="007660B2" w:rsidP="009A13B9">
      <w:pPr>
        <w:spacing w:before="100" w:beforeAutospacing="1" w:after="100" w:afterAutospacing="1" w:line="240" w:lineRule="auto"/>
        <w:rPr>
          <w:rFonts w:eastAsia="Times New Roman" w:cs="Times New Roman"/>
          <w:lang w:eastAsia="de-DE"/>
        </w:rPr>
      </w:pPr>
      <w:r>
        <w:rPr>
          <w:rStyle w:val="Fett"/>
        </w:rPr>
        <w:t>Textkritische Beobachtung</w:t>
      </w:r>
      <w:r>
        <w:t>: Levitikus 13 zeigt in der LXX eine bemerkenswerte medizinische und technische Präzisierung. Die griechischen Übersetzer verwendeten spezifische medizinische Terminologie für Hautkrankheiten und Textilschäden, was darauf hindeutet, dass sie mit ähnlichen Krankheitsbildern und handwerklichen Prozessen in der hellenistischen Welt vertraut waren. Die Konsistenz der Übersetzungen deutet auf eine systematische Anpassung an griechische medizinische und handwerkliche Fachsprache hin.</w:t>
      </w:r>
    </w:p>
    <w:p w14:paraId="3CCF5C3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w:t>
      </w:r>
    </w:p>
    <w:p w14:paraId="7A1111E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וַיְדַבֵּ֥ר יְהוָ֖ה אֶל־מֹשֶׁ֥ה לֵּאמֹֽר׃</w:t>
      </w:r>
    </w:p>
    <w:p w14:paraId="7BE9A588" w14:textId="1638ED3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w:t>
      </w:r>
      <w:r w:rsidR="004603C6">
        <w:rPr>
          <w:rFonts w:eastAsia="Times New Roman" w:cs="Times New Roman"/>
          <w:lang w:eastAsia="de-DE"/>
        </w:rPr>
        <w:t>Ewige</w:t>
      </w:r>
      <w:r w:rsidRPr="00195E02">
        <w:rPr>
          <w:rFonts w:eastAsia="Times New Roman" w:cs="Times New Roman"/>
          <w:lang w:eastAsia="de-DE"/>
        </w:rPr>
        <w:t xml:space="preserve"> redete zu Mose, sagend:</w:t>
      </w:r>
    </w:p>
    <w:p w14:paraId="4D805D1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0CE4081">
          <v:rect id="_x0000_i1391" style="width:0;height:1.5pt" o:hralign="center" o:hrstd="t" o:hr="t" fillcolor="#a0a0a0" stroked="f"/>
        </w:pict>
      </w:r>
    </w:p>
    <w:p w14:paraId="50806A50" w14:textId="44C152C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וידבר יהוה אל־משה לאמר</w:t>
      </w:r>
      <w:r w:rsidRPr="00195E02">
        <w:rPr>
          <w:rFonts w:eastAsia="Times New Roman" w:cs="Times New Roman"/>
          <w:rtl/>
          <w:lang w:eastAsia="de-DE"/>
        </w:rPr>
        <w:t xml:space="preserve"> </w:t>
      </w:r>
      <w:r w:rsidRPr="00195E02">
        <w:rPr>
          <w:rFonts w:eastAsia="Times New Roman" w:cs="Times New Roman"/>
          <w:lang w:eastAsia="de-DE"/>
        </w:rPr>
        <w:t xml:space="preserve">ist die Standardeinleitungsformel für göttliche Rede. </w:t>
      </w:r>
      <w:r w:rsidRPr="00195E02">
        <w:rPr>
          <w:rFonts w:eastAsia="Times New Roman" w:cs="Times New Roman"/>
          <w:b/>
          <w:bCs/>
          <w:rtl/>
          <w:lang w:eastAsia="de-DE"/>
        </w:rPr>
        <w:t>וידבר יהוה</w:t>
      </w:r>
      <w:r w:rsidRPr="00195E02">
        <w:rPr>
          <w:rFonts w:eastAsia="Times New Roman" w:cs="Times New Roman"/>
          <w:rtl/>
          <w:lang w:eastAsia="de-DE"/>
        </w:rPr>
        <w:t xml:space="preserve"> </w:t>
      </w:r>
      <w:r w:rsidRPr="00195E02">
        <w:rPr>
          <w:rFonts w:eastAsia="Times New Roman" w:cs="Times New Roman"/>
          <w:lang w:eastAsia="de-DE"/>
        </w:rPr>
        <w:t xml:space="preserve">(und der </w:t>
      </w:r>
      <w:r w:rsidR="004603C6">
        <w:rPr>
          <w:rFonts w:eastAsia="Times New Roman" w:cs="Times New Roman"/>
          <w:lang w:eastAsia="de-DE"/>
        </w:rPr>
        <w:t>Ewige</w:t>
      </w:r>
      <w:r w:rsidRPr="00195E02">
        <w:rPr>
          <w:rFonts w:eastAsia="Times New Roman" w:cs="Times New Roman"/>
          <w:lang w:eastAsia="de-DE"/>
        </w:rPr>
        <w:t xml:space="preserve"> redete) im Piel-Imperfekt mit Waw-Konsekutiv zeigt direkte göttliche Kommunikation. </w:t>
      </w:r>
      <w:r w:rsidRPr="00195E02">
        <w:rPr>
          <w:rFonts w:eastAsia="Times New Roman" w:cs="Times New Roman"/>
          <w:b/>
          <w:bCs/>
          <w:rtl/>
          <w:lang w:eastAsia="de-DE"/>
        </w:rPr>
        <w:t>אל־משה</w:t>
      </w:r>
      <w:r w:rsidRPr="00195E02">
        <w:rPr>
          <w:rFonts w:eastAsia="Times New Roman" w:cs="Times New Roman"/>
          <w:rtl/>
          <w:lang w:eastAsia="de-DE"/>
        </w:rPr>
        <w:t xml:space="preserve"> </w:t>
      </w:r>
      <w:r w:rsidRPr="00195E02">
        <w:rPr>
          <w:rFonts w:eastAsia="Times New Roman" w:cs="Times New Roman"/>
          <w:lang w:eastAsia="de-DE"/>
        </w:rPr>
        <w:t xml:space="preserve">(zu Mose) spezifiziert den Empfänger. </w:t>
      </w:r>
      <w:r w:rsidRPr="00195E02">
        <w:rPr>
          <w:rFonts w:eastAsia="Times New Roman" w:cs="Times New Roman"/>
          <w:b/>
          <w:bCs/>
          <w:rtl/>
          <w:lang w:eastAsia="de-DE"/>
        </w:rPr>
        <w:t>לאמר</w:t>
      </w:r>
      <w:r w:rsidRPr="00195E02">
        <w:rPr>
          <w:rFonts w:eastAsia="Times New Roman" w:cs="Times New Roman"/>
          <w:rtl/>
          <w:lang w:eastAsia="de-DE"/>
        </w:rPr>
        <w:t xml:space="preserve"> </w:t>
      </w:r>
      <w:r w:rsidRPr="00195E02">
        <w:rPr>
          <w:rFonts w:eastAsia="Times New Roman" w:cs="Times New Roman"/>
          <w:lang w:eastAsia="de-DE"/>
        </w:rPr>
        <w:t xml:space="preserve">(sagend) als Infinitiv von </w:t>
      </w:r>
      <w:r w:rsidRPr="00195E02">
        <w:rPr>
          <w:rFonts w:eastAsia="Times New Roman" w:cs="Times New Roman"/>
          <w:b/>
          <w:bCs/>
          <w:rtl/>
          <w:lang w:eastAsia="de-DE"/>
        </w:rPr>
        <w:t>אמר</w:t>
      </w:r>
      <w:r w:rsidRPr="00195E02">
        <w:rPr>
          <w:rFonts w:eastAsia="Times New Roman" w:cs="Times New Roman"/>
          <w:rtl/>
          <w:lang w:eastAsia="de-DE"/>
        </w:rPr>
        <w:t xml:space="preserve"> </w:t>
      </w:r>
      <w:r w:rsidRPr="00195E02">
        <w:rPr>
          <w:rFonts w:eastAsia="Times New Roman" w:cs="Times New Roman"/>
          <w:lang w:eastAsia="de-DE"/>
        </w:rPr>
        <w:t>leitet die folgende Rede ein.</w:t>
      </w:r>
    </w:p>
    <w:p w14:paraId="697B5DE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 Formel leitet Kap. 14 als neue Offenbarungseinheit ein, die sich von den Diagnosebestimmungen in Kap. 13 zu den Reinigungsritualen wendet.</w:t>
      </w:r>
    </w:p>
    <w:p w14:paraId="3CCEFEE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übersetzt </w:t>
      </w:r>
      <w:r w:rsidRPr="00195E02">
        <w:rPr>
          <w:rFonts w:eastAsia="Times New Roman" w:cs="Times New Roman"/>
          <w:b/>
          <w:bCs/>
          <w:rtl/>
          <w:lang w:eastAsia="de-DE"/>
        </w:rPr>
        <w:t>וידבר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ἐλάλησεν</w:t>
      </w:r>
      <w:proofErr w:type="spellEnd"/>
      <w:r w:rsidRPr="00195E02">
        <w:rPr>
          <w:rFonts w:eastAsia="Times New Roman" w:cs="Times New Roman"/>
          <w:lang w:eastAsia="de-DE"/>
        </w:rPr>
        <w:t xml:space="preserve"> (sprach) und </w:t>
      </w:r>
      <w:r w:rsidRPr="00195E02">
        <w:rPr>
          <w:rFonts w:eastAsia="Times New Roman" w:cs="Times New Roman"/>
          <w:b/>
          <w:bCs/>
          <w:rtl/>
          <w:lang w:eastAsia="de-DE"/>
        </w:rPr>
        <w:t>לאמר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λέγων</w:t>
      </w:r>
      <w:proofErr w:type="spellEnd"/>
      <w:r w:rsidRPr="00195E02">
        <w:rPr>
          <w:rFonts w:eastAsia="Times New Roman" w:cs="Times New Roman"/>
          <w:lang w:eastAsia="de-DE"/>
        </w:rPr>
        <w:t xml:space="preserve"> (sagend).</w:t>
      </w:r>
    </w:p>
    <w:p w14:paraId="6C169BE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Offenbarungseinleitung: göttlicher Sprecher + Empfänger + Redeankündigung. Die Struktur markiert den Übergang zu neuen Bestimmungen.</w:t>
      </w:r>
    </w:p>
    <w:p w14:paraId="3A686DB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leitet die </w:t>
      </w:r>
      <w:r w:rsidRPr="00195E02">
        <w:rPr>
          <w:rFonts w:eastAsia="Times New Roman" w:cs="Times New Roman"/>
          <w:b/>
          <w:bCs/>
          <w:rtl/>
          <w:lang w:eastAsia="de-DE"/>
        </w:rPr>
        <w:t>תורת המצרע</w:t>
      </w:r>
      <w:r w:rsidRPr="00195E02">
        <w:rPr>
          <w:rFonts w:eastAsia="Times New Roman" w:cs="Times New Roman"/>
          <w:rtl/>
          <w:lang w:eastAsia="de-DE"/>
        </w:rPr>
        <w:t xml:space="preserve"> </w:t>
      </w:r>
      <w:r w:rsidRPr="00195E02">
        <w:rPr>
          <w:rFonts w:eastAsia="Times New Roman" w:cs="Times New Roman"/>
          <w:lang w:eastAsia="de-DE"/>
        </w:rPr>
        <w:t>(Torah des Aussätzigen) für Reinigungsrituale ein.</w:t>
      </w:r>
    </w:p>
    <w:p w14:paraId="5345321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w:t>
      </w:r>
    </w:p>
    <w:p w14:paraId="209F497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זֹ֤את תִּֽהְיֶה֙ תּוֹרַ֣ת הַמְּצֹרָ֔ע בְּי֖וֹם טָהֳרָתוֹ֑ וְהוּבָ֖א אֶל־הַכֹּהֵֽן׃</w:t>
      </w:r>
    </w:p>
    <w:p w14:paraId="19D21B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Dies soll die Torah des Aussätzigen sein am Tag seiner Reinigung, und er soll zum Priester gebracht werden.</w:t>
      </w:r>
    </w:p>
    <w:p w14:paraId="2C64536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38D51C7">
          <v:rect id="_x0000_i1392" style="width:0;height:1.5pt" o:hralign="center" o:hrstd="t" o:hr="t" fillcolor="#a0a0a0" stroked="f"/>
        </w:pict>
      </w:r>
    </w:p>
    <w:p w14:paraId="1FE0918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זאת תהיה תורת המצרע ביום טהרתו והובא אל־הכהן</w:t>
      </w:r>
      <w:r w:rsidRPr="00195E02">
        <w:rPr>
          <w:rFonts w:eastAsia="Times New Roman" w:cs="Times New Roman"/>
          <w:rtl/>
          <w:lang w:eastAsia="de-DE"/>
        </w:rPr>
        <w:t xml:space="preserve"> </w:t>
      </w:r>
      <w:r w:rsidRPr="00195E02">
        <w:rPr>
          <w:rFonts w:eastAsia="Times New Roman" w:cs="Times New Roman"/>
          <w:lang w:eastAsia="de-DE"/>
        </w:rPr>
        <w:t xml:space="preserve">etabliert das Reinigungsritual. </w:t>
      </w:r>
      <w:r w:rsidRPr="00195E02">
        <w:rPr>
          <w:rFonts w:eastAsia="Times New Roman" w:cs="Times New Roman"/>
          <w:b/>
          <w:bCs/>
          <w:rtl/>
          <w:lang w:eastAsia="de-DE"/>
        </w:rPr>
        <w:t>זאת תהיה תורת המצרע</w:t>
      </w:r>
      <w:r w:rsidRPr="00195E02">
        <w:rPr>
          <w:rFonts w:eastAsia="Times New Roman" w:cs="Times New Roman"/>
          <w:rtl/>
          <w:lang w:eastAsia="de-DE"/>
        </w:rPr>
        <w:t xml:space="preserve"> </w:t>
      </w:r>
      <w:r w:rsidRPr="00195E02">
        <w:rPr>
          <w:rFonts w:eastAsia="Times New Roman" w:cs="Times New Roman"/>
          <w:lang w:eastAsia="de-DE"/>
        </w:rPr>
        <w:t xml:space="preserve">(dies soll die Torah des Aussätzigen sein) - </w:t>
      </w:r>
      <w:r w:rsidRPr="00195E02">
        <w:rPr>
          <w:rFonts w:eastAsia="Times New Roman" w:cs="Times New Roman"/>
          <w:b/>
          <w:bCs/>
          <w:rtl/>
          <w:lang w:eastAsia="de-DE"/>
        </w:rPr>
        <w:t>תורת המצרע</w:t>
      </w:r>
      <w:r w:rsidRPr="00195E02">
        <w:rPr>
          <w:rFonts w:eastAsia="Times New Roman" w:cs="Times New Roman"/>
          <w:rtl/>
          <w:lang w:eastAsia="de-DE"/>
        </w:rPr>
        <w:t xml:space="preserve"> </w:t>
      </w:r>
      <w:r w:rsidRPr="00195E02">
        <w:rPr>
          <w:rFonts w:eastAsia="Times New Roman" w:cs="Times New Roman"/>
          <w:lang w:eastAsia="de-DE"/>
        </w:rPr>
        <w:t xml:space="preserve">als Genitivkonstruktion für die Reinigungsvorschriften. </w:t>
      </w:r>
      <w:r w:rsidRPr="00195E02">
        <w:rPr>
          <w:rFonts w:eastAsia="Times New Roman" w:cs="Times New Roman"/>
          <w:b/>
          <w:bCs/>
          <w:rtl/>
          <w:lang w:eastAsia="de-DE"/>
        </w:rPr>
        <w:t>ביום טהרתו</w:t>
      </w:r>
      <w:r w:rsidRPr="00195E02">
        <w:rPr>
          <w:rFonts w:eastAsia="Times New Roman" w:cs="Times New Roman"/>
          <w:rtl/>
          <w:lang w:eastAsia="de-DE"/>
        </w:rPr>
        <w:t xml:space="preserve"> </w:t>
      </w:r>
      <w:r w:rsidRPr="00195E02">
        <w:rPr>
          <w:rFonts w:eastAsia="Times New Roman" w:cs="Times New Roman"/>
          <w:lang w:eastAsia="de-DE"/>
        </w:rPr>
        <w:t xml:space="preserve">(am Tag seiner Reinigung) - </w:t>
      </w:r>
      <w:r w:rsidRPr="00195E02">
        <w:rPr>
          <w:rFonts w:eastAsia="Times New Roman" w:cs="Times New Roman"/>
          <w:b/>
          <w:bCs/>
          <w:rtl/>
          <w:lang w:eastAsia="de-DE"/>
        </w:rPr>
        <w:t>יום טהרתו</w:t>
      </w:r>
      <w:r w:rsidRPr="00195E02">
        <w:rPr>
          <w:rFonts w:eastAsia="Times New Roman" w:cs="Times New Roman"/>
          <w:rtl/>
          <w:lang w:eastAsia="de-DE"/>
        </w:rPr>
        <w:t xml:space="preserve"> </w:t>
      </w:r>
      <w:r w:rsidRPr="00195E02">
        <w:rPr>
          <w:rFonts w:eastAsia="Times New Roman" w:cs="Times New Roman"/>
          <w:lang w:eastAsia="de-DE"/>
        </w:rPr>
        <w:t xml:space="preserve">mit </w:t>
      </w:r>
      <w:r w:rsidRPr="00195E02">
        <w:rPr>
          <w:rFonts w:eastAsia="Times New Roman" w:cs="Times New Roman"/>
          <w:b/>
          <w:bCs/>
          <w:rtl/>
          <w:lang w:eastAsia="de-DE"/>
        </w:rPr>
        <w:t>טהרה</w:t>
      </w:r>
      <w:r w:rsidRPr="00195E02">
        <w:rPr>
          <w:rFonts w:eastAsia="Times New Roman" w:cs="Times New Roman"/>
          <w:rtl/>
          <w:lang w:eastAsia="de-DE"/>
        </w:rPr>
        <w:t xml:space="preserve"> </w:t>
      </w:r>
      <w:r w:rsidRPr="00195E02">
        <w:rPr>
          <w:rFonts w:eastAsia="Times New Roman" w:cs="Times New Roman"/>
          <w:lang w:eastAsia="de-DE"/>
        </w:rPr>
        <w:t>(Reinigung) als abstrakter Begriff für den Reinigungsprozess.</w:t>
      </w:r>
    </w:p>
    <w:p w14:paraId="053BAC3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והובא אל־הכהן</w:t>
      </w:r>
      <w:r w:rsidRPr="00195E02">
        <w:rPr>
          <w:rFonts w:eastAsia="Times New Roman" w:cs="Times New Roman"/>
          <w:rtl/>
          <w:lang w:eastAsia="de-DE"/>
        </w:rPr>
        <w:t xml:space="preserve"> </w:t>
      </w:r>
      <w:r w:rsidRPr="00195E02">
        <w:rPr>
          <w:rFonts w:eastAsia="Times New Roman" w:cs="Times New Roman"/>
          <w:lang w:eastAsia="de-DE"/>
        </w:rPr>
        <w:t xml:space="preserve">(und er soll zum Priester gebracht werden) - </w:t>
      </w:r>
      <w:r w:rsidRPr="00195E02">
        <w:rPr>
          <w:rFonts w:eastAsia="Times New Roman" w:cs="Times New Roman"/>
          <w:b/>
          <w:bCs/>
          <w:rtl/>
          <w:lang w:eastAsia="de-DE"/>
        </w:rPr>
        <w:t>הובא</w:t>
      </w:r>
      <w:r w:rsidRPr="00195E02">
        <w:rPr>
          <w:rFonts w:eastAsia="Times New Roman" w:cs="Times New Roman"/>
          <w:rtl/>
          <w:lang w:eastAsia="de-DE"/>
        </w:rPr>
        <w:t xml:space="preserve"> </w:t>
      </w:r>
      <w:r w:rsidRPr="00195E02">
        <w:rPr>
          <w:rFonts w:eastAsia="Times New Roman" w:cs="Times New Roman"/>
          <w:lang w:eastAsia="de-DE"/>
        </w:rPr>
        <w:t>(er soll gebracht werden) im Hofal-Perfekt mit Waw-Konsekutiv zeigt passive Zuführung zum Priester.</w:t>
      </w:r>
    </w:p>
    <w:p w14:paraId="5D4B122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תורת המצרע</w:t>
      </w:r>
      <w:r w:rsidRPr="00195E02">
        <w:rPr>
          <w:rFonts w:eastAsia="Times New Roman" w:cs="Times New Roman"/>
          <w:rtl/>
          <w:lang w:eastAsia="de-DE"/>
        </w:rPr>
        <w:t xml:space="preserve"> </w:t>
      </w:r>
      <w:r w:rsidRPr="00195E02">
        <w:rPr>
          <w:rFonts w:eastAsia="Times New Roman" w:cs="Times New Roman"/>
          <w:lang w:eastAsia="de-DE"/>
        </w:rPr>
        <w:t xml:space="preserve">unterscheidet sich von </w:t>
      </w:r>
      <w:r w:rsidRPr="00195E02">
        <w:rPr>
          <w:rFonts w:eastAsia="Times New Roman" w:cs="Times New Roman"/>
          <w:b/>
          <w:bCs/>
          <w:rtl/>
          <w:lang w:eastAsia="de-DE"/>
        </w:rPr>
        <w:t>תורת נגע צרעת</w:t>
      </w:r>
      <w:r w:rsidRPr="00195E02">
        <w:rPr>
          <w:rFonts w:eastAsia="Times New Roman" w:cs="Times New Roman"/>
          <w:rtl/>
          <w:lang w:eastAsia="de-DE"/>
        </w:rPr>
        <w:t xml:space="preserve"> </w:t>
      </w:r>
      <w:r w:rsidRPr="00195E02">
        <w:rPr>
          <w:rFonts w:eastAsia="Times New Roman" w:cs="Times New Roman"/>
          <w:lang w:eastAsia="de-DE"/>
        </w:rPr>
        <w:t xml:space="preserve">aus 13,59 durch Fokus auf Reinigung statt Diagnose. </w:t>
      </w:r>
      <w:r w:rsidRPr="00195E02">
        <w:rPr>
          <w:rFonts w:eastAsia="Times New Roman" w:cs="Times New Roman"/>
          <w:b/>
          <w:bCs/>
          <w:rtl/>
          <w:lang w:eastAsia="de-DE"/>
        </w:rPr>
        <w:t>ביום טהרתו</w:t>
      </w:r>
      <w:r w:rsidRPr="00195E02">
        <w:rPr>
          <w:rFonts w:eastAsia="Times New Roman" w:cs="Times New Roman"/>
          <w:rtl/>
          <w:lang w:eastAsia="de-DE"/>
        </w:rPr>
        <w:t xml:space="preserve"> </w:t>
      </w:r>
      <w:r w:rsidRPr="00195E02">
        <w:rPr>
          <w:rFonts w:eastAsia="Times New Roman" w:cs="Times New Roman"/>
          <w:lang w:eastAsia="de-DE"/>
        </w:rPr>
        <w:t xml:space="preserve">zeigt den spezifischen Anlass. </w:t>
      </w:r>
      <w:r w:rsidRPr="00195E02">
        <w:rPr>
          <w:rFonts w:eastAsia="Times New Roman" w:cs="Times New Roman"/>
          <w:b/>
          <w:bCs/>
          <w:rtl/>
          <w:lang w:eastAsia="de-DE"/>
        </w:rPr>
        <w:t>והובא אל־הכהן</w:t>
      </w:r>
      <w:r w:rsidRPr="00195E02">
        <w:rPr>
          <w:rFonts w:eastAsia="Times New Roman" w:cs="Times New Roman"/>
          <w:rtl/>
          <w:lang w:eastAsia="de-DE"/>
        </w:rPr>
        <w:t xml:space="preserve"> </w:t>
      </w:r>
      <w:r w:rsidRPr="00195E02">
        <w:rPr>
          <w:rFonts w:eastAsia="Times New Roman" w:cs="Times New Roman"/>
          <w:lang w:eastAsia="de-DE"/>
        </w:rPr>
        <w:t>zeigt priesterliche Kontrolle über den Reinigungsprozess.</w:t>
      </w:r>
    </w:p>
    <w:p w14:paraId="240416E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תורת המצרע</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νόμος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λε</w:t>
      </w:r>
      <w:proofErr w:type="spellEnd"/>
      <w:r w:rsidRPr="00195E02">
        <w:rPr>
          <w:rFonts w:eastAsia="Times New Roman" w:cs="Times New Roman"/>
          <w:lang w:eastAsia="de-DE"/>
        </w:rPr>
        <w:t xml:space="preserve">προῦ (Gesetz des Leprösen), </w:t>
      </w:r>
      <w:r w:rsidRPr="00195E02">
        <w:rPr>
          <w:rFonts w:eastAsia="Times New Roman" w:cs="Times New Roman"/>
          <w:b/>
          <w:bCs/>
          <w:rtl/>
          <w:lang w:eastAsia="de-DE"/>
        </w:rPr>
        <w:t>ביום טהרתו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ἡμέρᾳ</w:t>
      </w:r>
      <w:proofErr w:type="spellEnd"/>
      <w:r w:rsidRPr="00195E02">
        <w:rPr>
          <w:rFonts w:eastAsia="Times New Roman" w:cs="Times New Roman"/>
          <w:lang w:eastAsia="de-DE"/>
        </w:rPr>
        <w:t xml:space="preserve"> καθα</w:t>
      </w:r>
      <w:proofErr w:type="spellStart"/>
      <w:r w:rsidRPr="00195E02">
        <w:rPr>
          <w:rFonts w:eastAsia="Times New Roman" w:cs="Times New Roman"/>
          <w:lang w:eastAsia="de-DE"/>
        </w:rPr>
        <w:t>ρισμοῦ</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(am Tag seiner Reinigung) und </w:t>
      </w:r>
      <w:r w:rsidRPr="00195E02">
        <w:rPr>
          <w:rFonts w:eastAsia="Times New Roman" w:cs="Times New Roman"/>
          <w:b/>
          <w:bCs/>
          <w:rtl/>
          <w:lang w:eastAsia="de-DE"/>
        </w:rPr>
        <w:t>והובא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ἀχθήσετ</w:t>
      </w:r>
      <w:proofErr w:type="spellEnd"/>
      <w:r w:rsidRPr="00195E02">
        <w:rPr>
          <w:rFonts w:eastAsia="Times New Roman" w:cs="Times New Roman"/>
          <w:lang w:eastAsia="de-DE"/>
        </w:rPr>
        <w:t>αι (er wird gebracht werden).</w:t>
      </w:r>
    </w:p>
    <w:p w14:paraId="4BF00A6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Ritualeinleitung: </w:t>
      </w:r>
      <w:r w:rsidRPr="00195E02">
        <w:rPr>
          <w:rFonts w:eastAsia="Times New Roman" w:cs="Times New Roman"/>
          <w:b/>
          <w:bCs/>
          <w:rtl/>
          <w:lang w:eastAsia="de-DE"/>
        </w:rPr>
        <w:t>תורת</w:t>
      </w:r>
      <w:r w:rsidRPr="00195E02">
        <w:rPr>
          <w:rFonts w:eastAsia="Times New Roman" w:cs="Times New Roman"/>
          <w:lang w:eastAsia="de-DE"/>
        </w:rPr>
        <w:t>-Formel + zeitliche Spezifikation + Verfahrensanweisung. Die Struktur etabliert den Übergang von Isolation zu Reinigung.</w:t>
      </w:r>
    </w:p>
    <w:p w14:paraId="52CC649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etabliert das Reinigungsritual als </w:t>
      </w:r>
      <w:r w:rsidRPr="00195E02">
        <w:rPr>
          <w:rFonts w:eastAsia="Times New Roman" w:cs="Times New Roman"/>
          <w:b/>
          <w:bCs/>
          <w:rtl/>
          <w:lang w:eastAsia="de-DE"/>
        </w:rPr>
        <w:t>תורת המצרע</w:t>
      </w:r>
      <w:r w:rsidRPr="00195E02">
        <w:rPr>
          <w:rFonts w:eastAsia="Times New Roman" w:cs="Times New Roman"/>
          <w:rtl/>
          <w:lang w:eastAsia="de-DE"/>
        </w:rPr>
        <w:t xml:space="preserve"> </w:t>
      </w:r>
      <w:r w:rsidRPr="00195E02">
        <w:rPr>
          <w:rFonts w:eastAsia="Times New Roman" w:cs="Times New Roman"/>
          <w:lang w:eastAsia="de-DE"/>
        </w:rPr>
        <w:t>und ordnet die Zuführung zum Priester an.</w:t>
      </w:r>
    </w:p>
    <w:p w14:paraId="063AE34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w:t>
      </w:r>
    </w:p>
    <w:p w14:paraId="1C2DAAA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וְיָצָא֙ הַכֹּהֵ֔ן אֶל־מִח֖וּץ לַֽמַּחֲנֶ֑ה וְרָאָה֙ הַכֹּהֵ֔ן וְהִנֵּ֛ה נִרְפָּ֥א נֶֽגַע־הַצָּרַ֖עַת מִן־הַצָּרֽוּעַ׃</w:t>
      </w:r>
    </w:p>
    <w:p w14:paraId="1EF99C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hinausgehen außerhalb des Lagers, und der Priester soll sehen, und siehe, das Aussatzmal ist vom Aussätzigen geheilt.</w:t>
      </w:r>
    </w:p>
    <w:p w14:paraId="68E8F7F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F8732FC">
          <v:rect id="_x0000_i1393" style="width:0;height:1.5pt" o:hralign="center" o:hrstd="t" o:hr="t" fillcolor="#a0a0a0" stroked="f"/>
        </w:pict>
      </w:r>
    </w:p>
    <w:p w14:paraId="4C7E5AA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ויצא הכהן אל־מחוץ למחנה וראה הכהן והנה נרפא נגע־הצרעת מן־הצרוע</w:t>
      </w:r>
      <w:r w:rsidRPr="00195E02">
        <w:rPr>
          <w:rFonts w:eastAsia="Times New Roman" w:cs="Times New Roman"/>
          <w:rtl/>
          <w:lang w:eastAsia="de-DE"/>
        </w:rPr>
        <w:t xml:space="preserve"> </w:t>
      </w:r>
      <w:r w:rsidRPr="00195E02">
        <w:rPr>
          <w:rFonts w:eastAsia="Times New Roman" w:cs="Times New Roman"/>
          <w:lang w:eastAsia="de-DE"/>
        </w:rPr>
        <w:t xml:space="preserve">zeigt die priesterliche Heilungsbestätigung. </w:t>
      </w:r>
      <w:r w:rsidRPr="00195E02">
        <w:rPr>
          <w:rFonts w:eastAsia="Times New Roman" w:cs="Times New Roman"/>
          <w:b/>
          <w:bCs/>
          <w:rtl/>
          <w:lang w:eastAsia="de-DE"/>
        </w:rPr>
        <w:t>ויצא הכהן אל־מחוץ למחנה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hinausgehen </w:t>
      </w:r>
      <w:r w:rsidRPr="00195E02">
        <w:rPr>
          <w:rFonts w:eastAsia="Times New Roman" w:cs="Times New Roman"/>
          <w:lang w:eastAsia="de-DE"/>
        </w:rPr>
        <w:lastRenderedPageBreak/>
        <w:t xml:space="preserve">außerhalb des Lagers) - </w:t>
      </w:r>
      <w:r w:rsidRPr="00195E02">
        <w:rPr>
          <w:rFonts w:eastAsia="Times New Roman" w:cs="Times New Roman"/>
          <w:b/>
          <w:bCs/>
          <w:rtl/>
          <w:lang w:eastAsia="de-DE"/>
        </w:rPr>
        <w:t>יצא</w:t>
      </w:r>
      <w:r w:rsidRPr="00195E02">
        <w:rPr>
          <w:rFonts w:eastAsia="Times New Roman" w:cs="Times New Roman"/>
          <w:rtl/>
          <w:lang w:eastAsia="de-DE"/>
        </w:rPr>
        <w:t xml:space="preserve"> </w:t>
      </w:r>
      <w:r w:rsidRPr="00195E02">
        <w:rPr>
          <w:rFonts w:eastAsia="Times New Roman" w:cs="Times New Roman"/>
          <w:lang w:eastAsia="de-DE"/>
        </w:rPr>
        <w:t xml:space="preserve">(hinausgehen) im Qal-Perfekt mit Waw-Konsekutiv, </w:t>
      </w:r>
      <w:r w:rsidRPr="00195E02">
        <w:rPr>
          <w:rFonts w:eastAsia="Times New Roman" w:cs="Times New Roman"/>
          <w:b/>
          <w:bCs/>
          <w:rtl/>
          <w:lang w:eastAsia="de-DE"/>
        </w:rPr>
        <w:t>אל־מחוץ למחנה</w:t>
      </w:r>
      <w:r w:rsidRPr="00195E02">
        <w:rPr>
          <w:rFonts w:eastAsia="Times New Roman" w:cs="Times New Roman"/>
          <w:rtl/>
          <w:lang w:eastAsia="de-DE"/>
        </w:rPr>
        <w:t xml:space="preserve"> </w:t>
      </w:r>
      <w:r w:rsidRPr="00195E02">
        <w:rPr>
          <w:rFonts w:eastAsia="Times New Roman" w:cs="Times New Roman"/>
          <w:lang w:eastAsia="de-DE"/>
        </w:rPr>
        <w:t>entspricht dem Isolationsort aus 13,46.</w:t>
      </w:r>
    </w:p>
    <w:p w14:paraId="2667DBC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וראה הכהן והנה נרפא נגע־הצרעת מן־הצרוע</w:t>
      </w:r>
      <w:r w:rsidRPr="00195E02">
        <w:rPr>
          <w:rFonts w:eastAsia="Times New Roman" w:cs="Times New Roman"/>
          <w:rtl/>
          <w:lang w:eastAsia="de-DE"/>
        </w:rPr>
        <w:t xml:space="preserve"> </w:t>
      </w:r>
      <w:r w:rsidRPr="00195E02">
        <w:rPr>
          <w:rFonts w:eastAsia="Times New Roman" w:cs="Times New Roman"/>
          <w:lang w:eastAsia="de-DE"/>
        </w:rPr>
        <w:t xml:space="preserve">zeigt die Heilungsdiagnose. </w:t>
      </w:r>
      <w:r w:rsidRPr="00195E02">
        <w:rPr>
          <w:rFonts w:eastAsia="Times New Roman" w:cs="Times New Roman"/>
          <w:b/>
          <w:bCs/>
          <w:rtl/>
          <w:lang w:eastAsia="de-DE"/>
        </w:rPr>
        <w:t>וראה הכהן</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sehen) entspricht der diagnostischen Autorität. </w:t>
      </w:r>
      <w:r w:rsidRPr="00195E02">
        <w:rPr>
          <w:rFonts w:eastAsia="Times New Roman" w:cs="Times New Roman"/>
          <w:b/>
          <w:bCs/>
          <w:rtl/>
          <w:lang w:eastAsia="de-DE"/>
        </w:rPr>
        <w:t>והנה נרפא נגע־הצרעת</w:t>
      </w:r>
      <w:r w:rsidRPr="00195E02">
        <w:rPr>
          <w:rFonts w:eastAsia="Times New Roman" w:cs="Times New Roman"/>
          <w:rtl/>
          <w:lang w:eastAsia="de-DE"/>
        </w:rPr>
        <w:t xml:space="preserve"> </w:t>
      </w:r>
      <w:r w:rsidRPr="00195E02">
        <w:rPr>
          <w:rFonts w:eastAsia="Times New Roman" w:cs="Times New Roman"/>
          <w:lang w:eastAsia="de-DE"/>
        </w:rPr>
        <w:t xml:space="preserve">(und siehe, das Aussatzmal ist geheilt) - </w:t>
      </w:r>
      <w:r w:rsidRPr="00195E02">
        <w:rPr>
          <w:rFonts w:eastAsia="Times New Roman" w:cs="Times New Roman"/>
          <w:b/>
          <w:bCs/>
          <w:rtl/>
          <w:lang w:eastAsia="de-DE"/>
        </w:rPr>
        <w:t>נרפא</w:t>
      </w:r>
      <w:r w:rsidRPr="00195E02">
        <w:rPr>
          <w:rFonts w:eastAsia="Times New Roman" w:cs="Times New Roman"/>
          <w:rtl/>
          <w:lang w:eastAsia="de-DE"/>
        </w:rPr>
        <w:t xml:space="preserve"> </w:t>
      </w:r>
      <w:r w:rsidRPr="00195E02">
        <w:rPr>
          <w:rFonts w:eastAsia="Times New Roman" w:cs="Times New Roman"/>
          <w:lang w:eastAsia="de-DE"/>
        </w:rPr>
        <w:t xml:space="preserve">(ist geheilt) im Nifal-Perfekt von </w:t>
      </w:r>
      <w:r w:rsidRPr="00195E02">
        <w:rPr>
          <w:rFonts w:eastAsia="Times New Roman" w:cs="Times New Roman"/>
          <w:b/>
          <w:bCs/>
          <w:rtl/>
          <w:lang w:eastAsia="de-DE"/>
        </w:rPr>
        <w:t>רפא</w:t>
      </w:r>
      <w:r w:rsidRPr="00195E02">
        <w:rPr>
          <w:rFonts w:eastAsia="Times New Roman" w:cs="Times New Roman"/>
          <w:lang w:eastAsia="de-DE"/>
        </w:rPr>
        <w:t xml:space="preserve">. </w:t>
      </w:r>
      <w:r w:rsidRPr="00195E02">
        <w:rPr>
          <w:rFonts w:eastAsia="Times New Roman" w:cs="Times New Roman"/>
          <w:b/>
          <w:bCs/>
          <w:rtl/>
          <w:lang w:eastAsia="de-DE"/>
        </w:rPr>
        <w:t>מן־הצרוע</w:t>
      </w:r>
      <w:r w:rsidRPr="00195E02">
        <w:rPr>
          <w:rFonts w:eastAsia="Times New Roman" w:cs="Times New Roman"/>
          <w:rtl/>
          <w:lang w:eastAsia="de-DE"/>
        </w:rPr>
        <w:t xml:space="preserve"> </w:t>
      </w:r>
      <w:r w:rsidRPr="00195E02">
        <w:rPr>
          <w:rFonts w:eastAsia="Times New Roman" w:cs="Times New Roman"/>
          <w:lang w:eastAsia="de-DE"/>
        </w:rPr>
        <w:t>(vom Aussätzigen) zeigt die vollständige Heilung.</w:t>
      </w:r>
    </w:p>
    <w:p w14:paraId="7966725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ויצא הכהן</w:t>
      </w:r>
      <w:r w:rsidRPr="00195E02">
        <w:rPr>
          <w:rFonts w:eastAsia="Times New Roman" w:cs="Times New Roman"/>
          <w:rtl/>
          <w:lang w:eastAsia="de-DE"/>
        </w:rPr>
        <w:t xml:space="preserve"> </w:t>
      </w:r>
      <w:r w:rsidRPr="00195E02">
        <w:rPr>
          <w:rFonts w:eastAsia="Times New Roman" w:cs="Times New Roman"/>
          <w:lang w:eastAsia="de-DE"/>
        </w:rPr>
        <w:t xml:space="preserve">zeigt, dass der Priester zum Kranken kommt, nicht umgekehrt. </w:t>
      </w:r>
      <w:r w:rsidRPr="00195E02">
        <w:rPr>
          <w:rFonts w:eastAsia="Times New Roman" w:cs="Times New Roman"/>
          <w:b/>
          <w:bCs/>
          <w:rtl/>
          <w:lang w:eastAsia="de-DE"/>
        </w:rPr>
        <w:t>נרפא נגע־הצרעת</w:t>
      </w:r>
      <w:r w:rsidRPr="00195E02">
        <w:rPr>
          <w:rFonts w:eastAsia="Times New Roman" w:cs="Times New Roman"/>
          <w:rtl/>
          <w:lang w:eastAsia="de-DE"/>
        </w:rPr>
        <w:t xml:space="preserve"> </w:t>
      </w:r>
      <w:r w:rsidRPr="00195E02">
        <w:rPr>
          <w:rFonts w:eastAsia="Times New Roman" w:cs="Times New Roman"/>
          <w:lang w:eastAsia="de-DE"/>
        </w:rPr>
        <w:t xml:space="preserve">zeigt vollständige Heilung als Voraussetzung für Reinigung. </w:t>
      </w:r>
      <w:r w:rsidRPr="00195E02">
        <w:rPr>
          <w:rFonts w:eastAsia="Times New Roman" w:cs="Times New Roman"/>
          <w:b/>
          <w:bCs/>
          <w:rtl/>
          <w:lang w:eastAsia="de-DE"/>
        </w:rPr>
        <w:t>מן־הצרוע</w:t>
      </w:r>
      <w:r w:rsidRPr="00195E02">
        <w:rPr>
          <w:rFonts w:eastAsia="Times New Roman" w:cs="Times New Roman"/>
          <w:rtl/>
          <w:lang w:eastAsia="de-DE"/>
        </w:rPr>
        <w:t xml:space="preserve"> </w:t>
      </w:r>
      <w:r w:rsidRPr="00195E02">
        <w:rPr>
          <w:rFonts w:eastAsia="Times New Roman" w:cs="Times New Roman"/>
          <w:lang w:eastAsia="de-DE"/>
        </w:rPr>
        <w:t xml:space="preserve">betont die Trennung der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von der Person.</w:t>
      </w:r>
    </w:p>
    <w:p w14:paraId="6A3CB39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ויצא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ἐξελεύσετ</w:t>
      </w:r>
      <w:proofErr w:type="spellEnd"/>
      <w:r w:rsidRPr="00195E02">
        <w:rPr>
          <w:rFonts w:eastAsia="Times New Roman" w:cs="Times New Roman"/>
          <w:lang w:eastAsia="de-DE"/>
        </w:rPr>
        <w:t xml:space="preserve">αι (er wird hinausgehen), </w:t>
      </w:r>
      <w:r w:rsidRPr="00195E02">
        <w:rPr>
          <w:rFonts w:eastAsia="Times New Roman" w:cs="Times New Roman"/>
          <w:b/>
          <w:bCs/>
          <w:rtl/>
          <w:lang w:eastAsia="de-DE"/>
        </w:rPr>
        <w:t>מחוץ למחנה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ἔξω</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πα</w:t>
      </w:r>
      <w:proofErr w:type="spellStart"/>
      <w:r w:rsidRPr="00195E02">
        <w:rPr>
          <w:rFonts w:eastAsia="Times New Roman" w:cs="Times New Roman"/>
          <w:lang w:eastAsia="de-DE"/>
        </w:rPr>
        <w:t>ρεμ</w:t>
      </w:r>
      <w:proofErr w:type="spellEnd"/>
      <w:r w:rsidRPr="00195E02">
        <w:rPr>
          <w:rFonts w:eastAsia="Times New Roman" w:cs="Times New Roman"/>
          <w:lang w:eastAsia="de-DE"/>
        </w:rPr>
        <w:t xml:space="preserve">βολῆς (außerhalb des Lagers) und </w:t>
      </w:r>
      <w:r w:rsidRPr="00195E02">
        <w:rPr>
          <w:rFonts w:eastAsia="Times New Roman" w:cs="Times New Roman"/>
          <w:b/>
          <w:bCs/>
          <w:rtl/>
          <w:lang w:eastAsia="de-DE"/>
        </w:rPr>
        <w:t>נרפא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ἰάθη</w:t>
      </w:r>
      <w:proofErr w:type="spellEnd"/>
      <w:r w:rsidRPr="00195E02">
        <w:rPr>
          <w:rFonts w:eastAsia="Times New Roman" w:cs="Times New Roman"/>
          <w:lang w:eastAsia="de-DE"/>
        </w:rPr>
        <w:t xml:space="preserve"> (ist geheilt worden).</w:t>
      </w:r>
    </w:p>
    <w:p w14:paraId="35C389B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Heilungsverifikation: priesterlicher Gang zum Isolationsort + diagnostische Untersuchung + bestätigte Heilung. Die Struktur zeigt den ersten Schritt des Reinigungsverfahrens.</w:t>
      </w:r>
    </w:p>
    <w:p w14:paraId="2988139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priesterliche Heilungsbestätigung außerhalb des Lagers als Voraussetzung für die Reinigungsrituale.</w:t>
      </w:r>
    </w:p>
    <w:p w14:paraId="6464725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w:t>
      </w:r>
    </w:p>
    <w:p w14:paraId="7C82DE9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וְצִוָּה֙ הַכֹּהֵ֔ן וְלָקַ֧ח לַמִּטַּהֵ֛ר שְׁתֵּֽי־צִפֳּרִ֥ים חַיּ֖וֹת טְהֹר֑וֹת וְעֵ֣ץ אֶ֔רֶז וּשְׁנִ֥י תוֹלַ֖עַת וְאֵזֹֽב׃</w:t>
      </w:r>
    </w:p>
    <w:p w14:paraId="43A37F5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So soll der Priester gebieten, und man soll für den sich Reinigenden nehmen zwei lebendige, reine Vögel und Zedernholz und Karmesinwolle und Ysop.</w:t>
      </w:r>
    </w:p>
    <w:p w14:paraId="7259C12A"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0BBB268">
          <v:rect id="_x0000_i1394" style="width:0;height:1.5pt" o:hralign="center" o:hrstd="t" o:hr="t" fillcolor="#a0a0a0" stroked="f"/>
        </w:pict>
      </w:r>
    </w:p>
    <w:p w14:paraId="785452C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וצוה הכהן ולקח למטהר שתי־צפרים חיות טהרות ועץ ארז ושני תולעת ואזב</w:t>
      </w:r>
      <w:r w:rsidRPr="00195E02">
        <w:rPr>
          <w:rFonts w:eastAsia="Times New Roman" w:cs="Times New Roman"/>
          <w:rtl/>
          <w:lang w:eastAsia="de-DE"/>
        </w:rPr>
        <w:t xml:space="preserve"> </w:t>
      </w:r>
      <w:r w:rsidRPr="00195E02">
        <w:rPr>
          <w:rFonts w:eastAsia="Times New Roman" w:cs="Times New Roman"/>
          <w:lang w:eastAsia="de-DE"/>
        </w:rPr>
        <w:t xml:space="preserve">listet die Reinigungsutensilien auf. </w:t>
      </w:r>
      <w:r w:rsidRPr="00195E02">
        <w:rPr>
          <w:rFonts w:eastAsia="Times New Roman" w:cs="Times New Roman"/>
          <w:b/>
          <w:bCs/>
          <w:rtl/>
          <w:lang w:eastAsia="de-DE"/>
        </w:rPr>
        <w:t>וצוה הכהן</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gebieten) - </w:t>
      </w:r>
      <w:r w:rsidRPr="00195E02">
        <w:rPr>
          <w:rFonts w:eastAsia="Times New Roman" w:cs="Times New Roman"/>
          <w:b/>
          <w:bCs/>
          <w:rtl/>
          <w:lang w:eastAsia="de-DE"/>
        </w:rPr>
        <w:t>צוה</w:t>
      </w:r>
      <w:r w:rsidRPr="00195E02">
        <w:rPr>
          <w:rFonts w:eastAsia="Times New Roman" w:cs="Times New Roman"/>
          <w:rtl/>
          <w:lang w:eastAsia="de-DE"/>
        </w:rPr>
        <w:t xml:space="preserve"> </w:t>
      </w:r>
      <w:r w:rsidRPr="00195E02">
        <w:rPr>
          <w:rFonts w:eastAsia="Times New Roman" w:cs="Times New Roman"/>
          <w:lang w:eastAsia="de-DE"/>
        </w:rPr>
        <w:t xml:space="preserve">(gebieten) im Piel-Perfekt mit Waw-Konsekutiv zeigt priesterliche Anweisung. </w:t>
      </w:r>
      <w:r w:rsidRPr="00195E02">
        <w:rPr>
          <w:rFonts w:eastAsia="Times New Roman" w:cs="Times New Roman"/>
          <w:b/>
          <w:bCs/>
          <w:rtl/>
          <w:lang w:eastAsia="de-DE"/>
        </w:rPr>
        <w:t>ולקח למטהר</w:t>
      </w:r>
      <w:r w:rsidRPr="00195E02">
        <w:rPr>
          <w:rFonts w:eastAsia="Times New Roman" w:cs="Times New Roman"/>
          <w:rtl/>
          <w:lang w:eastAsia="de-DE"/>
        </w:rPr>
        <w:t xml:space="preserve"> </w:t>
      </w:r>
      <w:r w:rsidRPr="00195E02">
        <w:rPr>
          <w:rFonts w:eastAsia="Times New Roman" w:cs="Times New Roman"/>
          <w:lang w:eastAsia="de-DE"/>
        </w:rPr>
        <w:t xml:space="preserve">(und man soll für den sich Reinigenden nehmen) - </w:t>
      </w:r>
      <w:r w:rsidRPr="00195E02">
        <w:rPr>
          <w:rFonts w:eastAsia="Times New Roman" w:cs="Times New Roman"/>
          <w:b/>
          <w:bCs/>
          <w:rtl/>
          <w:lang w:eastAsia="de-DE"/>
        </w:rPr>
        <w:t>למטהר</w:t>
      </w:r>
      <w:r w:rsidRPr="00195E02">
        <w:rPr>
          <w:rFonts w:eastAsia="Times New Roman" w:cs="Times New Roman"/>
          <w:rtl/>
          <w:lang w:eastAsia="de-DE"/>
        </w:rPr>
        <w:t xml:space="preserve"> </w:t>
      </w:r>
      <w:r w:rsidRPr="00195E02">
        <w:rPr>
          <w:rFonts w:eastAsia="Times New Roman" w:cs="Times New Roman"/>
          <w:lang w:eastAsia="de-DE"/>
        </w:rPr>
        <w:t xml:space="preserve">als Partizip mit </w:t>
      </w:r>
      <w:r w:rsidRPr="00195E02">
        <w:rPr>
          <w:rFonts w:eastAsia="Times New Roman" w:cs="Times New Roman"/>
          <w:b/>
          <w:bCs/>
          <w:rtl/>
          <w:lang w:eastAsia="de-DE"/>
        </w:rPr>
        <w:t>ל</w:t>
      </w:r>
      <w:r w:rsidRPr="00195E02">
        <w:rPr>
          <w:rFonts w:eastAsia="Times New Roman" w:cs="Times New Roman"/>
          <w:rtl/>
          <w:lang w:eastAsia="de-DE"/>
        </w:rPr>
        <w:t xml:space="preserve"> </w:t>
      </w:r>
      <w:r w:rsidRPr="00195E02">
        <w:rPr>
          <w:rFonts w:eastAsia="Times New Roman" w:cs="Times New Roman"/>
          <w:lang w:eastAsia="de-DE"/>
        </w:rPr>
        <w:t>zeigt den Begünstigten.</w:t>
      </w:r>
    </w:p>
    <w:p w14:paraId="55F98E1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שתי־צפרים חיות טהרות</w:t>
      </w:r>
      <w:r w:rsidRPr="00195E02">
        <w:rPr>
          <w:rFonts w:eastAsia="Times New Roman" w:cs="Times New Roman"/>
          <w:rtl/>
          <w:lang w:eastAsia="de-DE"/>
        </w:rPr>
        <w:t xml:space="preserve"> </w:t>
      </w:r>
      <w:r w:rsidRPr="00195E02">
        <w:rPr>
          <w:rFonts w:eastAsia="Times New Roman" w:cs="Times New Roman"/>
          <w:lang w:eastAsia="de-DE"/>
        </w:rPr>
        <w:t xml:space="preserve">(zwei lebendige, reine Vögel) - </w:t>
      </w:r>
      <w:r w:rsidRPr="00195E02">
        <w:rPr>
          <w:rFonts w:eastAsia="Times New Roman" w:cs="Times New Roman"/>
          <w:b/>
          <w:bCs/>
          <w:rtl/>
          <w:lang w:eastAsia="de-DE"/>
        </w:rPr>
        <w:t>שתי־צפרים</w:t>
      </w:r>
      <w:r w:rsidRPr="00195E02">
        <w:rPr>
          <w:rFonts w:eastAsia="Times New Roman" w:cs="Times New Roman"/>
          <w:rtl/>
          <w:lang w:eastAsia="de-DE"/>
        </w:rPr>
        <w:t xml:space="preserve"> </w:t>
      </w:r>
      <w:r w:rsidRPr="00195E02">
        <w:rPr>
          <w:rFonts w:eastAsia="Times New Roman" w:cs="Times New Roman"/>
          <w:lang w:eastAsia="de-DE"/>
        </w:rPr>
        <w:t xml:space="preserve">(zwei Vögel) mit </w:t>
      </w:r>
      <w:r w:rsidRPr="00195E02">
        <w:rPr>
          <w:rFonts w:eastAsia="Times New Roman" w:cs="Times New Roman"/>
          <w:b/>
          <w:bCs/>
          <w:rtl/>
          <w:lang w:eastAsia="de-DE"/>
        </w:rPr>
        <w:t>חיות</w:t>
      </w:r>
      <w:r w:rsidRPr="00195E02">
        <w:rPr>
          <w:rFonts w:eastAsia="Times New Roman" w:cs="Times New Roman"/>
          <w:rtl/>
          <w:lang w:eastAsia="de-DE"/>
        </w:rPr>
        <w:t xml:space="preserve"> </w:t>
      </w:r>
      <w:r w:rsidRPr="00195E02">
        <w:rPr>
          <w:rFonts w:eastAsia="Times New Roman" w:cs="Times New Roman"/>
          <w:lang w:eastAsia="de-DE"/>
        </w:rPr>
        <w:t xml:space="preserve">(lebendige) und </w:t>
      </w:r>
      <w:r w:rsidRPr="00195E02">
        <w:rPr>
          <w:rFonts w:eastAsia="Times New Roman" w:cs="Times New Roman"/>
          <w:b/>
          <w:bCs/>
          <w:rtl/>
          <w:lang w:eastAsia="de-DE"/>
        </w:rPr>
        <w:t>טהרות</w:t>
      </w:r>
      <w:r w:rsidRPr="00195E02">
        <w:rPr>
          <w:rFonts w:eastAsia="Times New Roman" w:cs="Times New Roman"/>
          <w:rtl/>
          <w:lang w:eastAsia="de-DE"/>
        </w:rPr>
        <w:t xml:space="preserve"> </w:t>
      </w:r>
      <w:r w:rsidRPr="00195E02">
        <w:rPr>
          <w:rFonts w:eastAsia="Times New Roman" w:cs="Times New Roman"/>
          <w:lang w:eastAsia="de-DE"/>
        </w:rPr>
        <w:t xml:space="preserve">(reine) als Qualitätsangaben. </w:t>
      </w:r>
      <w:r w:rsidRPr="00195E02">
        <w:rPr>
          <w:rFonts w:eastAsia="Times New Roman" w:cs="Times New Roman"/>
          <w:b/>
          <w:bCs/>
          <w:rtl/>
          <w:lang w:eastAsia="de-DE"/>
        </w:rPr>
        <w:t>ועץ ארז ושני תולעת ואזב</w:t>
      </w:r>
      <w:r w:rsidRPr="00195E02">
        <w:rPr>
          <w:rFonts w:eastAsia="Times New Roman" w:cs="Times New Roman"/>
          <w:rtl/>
          <w:lang w:eastAsia="de-DE"/>
        </w:rPr>
        <w:t xml:space="preserve"> </w:t>
      </w:r>
      <w:r w:rsidRPr="00195E02">
        <w:rPr>
          <w:rFonts w:eastAsia="Times New Roman" w:cs="Times New Roman"/>
          <w:lang w:eastAsia="de-DE"/>
        </w:rPr>
        <w:t xml:space="preserve">(und Zedernholz und Karmesinwolle und Ysop) - </w:t>
      </w:r>
      <w:r w:rsidRPr="00195E02">
        <w:rPr>
          <w:rFonts w:eastAsia="Times New Roman" w:cs="Times New Roman"/>
          <w:b/>
          <w:bCs/>
          <w:rtl/>
          <w:lang w:eastAsia="de-DE"/>
        </w:rPr>
        <w:t>עץ ארז</w:t>
      </w:r>
      <w:r w:rsidRPr="00195E02">
        <w:rPr>
          <w:rFonts w:eastAsia="Times New Roman" w:cs="Times New Roman"/>
          <w:rtl/>
          <w:lang w:eastAsia="de-DE"/>
        </w:rPr>
        <w:t xml:space="preserve"> </w:t>
      </w:r>
      <w:r w:rsidRPr="00195E02">
        <w:rPr>
          <w:rFonts w:eastAsia="Times New Roman" w:cs="Times New Roman"/>
          <w:lang w:eastAsia="de-DE"/>
        </w:rPr>
        <w:t xml:space="preserve">(Zedernholz), </w:t>
      </w:r>
      <w:r w:rsidRPr="00195E02">
        <w:rPr>
          <w:rFonts w:eastAsia="Times New Roman" w:cs="Times New Roman"/>
          <w:b/>
          <w:bCs/>
          <w:rtl/>
          <w:lang w:eastAsia="de-DE"/>
        </w:rPr>
        <w:t>שני תולעת</w:t>
      </w:r>
      <w:r w:rsidRPr="00195E02">
        <w:rPr>
          <w:rFonts w:eastAsia="Times New Roman" w:cs="Times New Roman"/>
          <w:rtl/>
          <w:lang w:eastAsia="de-DE"/>
        </w:rPr>
        <w:t xml:space="preserve"> </w:t>
      </w:r>
      <w:r w:rsidRPr="00195E02">
        <w:rPr>
          <w:rFonts w:eastAsia="Times New Roman" w:cs="Times New Roman"/>
          <w:lang w:eastAsia="de-DE"/>
        </w:rPr>
        <w:t xml:space="preserve">(Karmesinwolle), </w:t>
      </w:r>
      <w:r w:rsidRPr="00195E02">
        <w:rPr>
          <w:rFonts w:eastAsia="Times New Roman" w:cs="Times New Roman"/>
          <w:b/>
          <w:bCs/>
          <w:rtl/>
          <w:lang w:eastAsia="de-DE"/>
        </w:rPr>
        <w:t>אזב</w:t>
      </w:r>
      <w:r w:rsidRPr="00195E02">
        <w:rPr>
          <w:rFonts w:eastAsia="Times New Roman" w:cs="Times New Roman"/>
          <w:rtl/>
          <w:lang w:eastAsia="de-DE"/>
        </w:rPr>
        <w:t xml:space="preserve"> </w:t>
      </w:r>
      <w:r w:rsidRPr="00195E02">
        <w:rPr>
          <w:rFonts w:eastAsia="Times New Roman" w:cs="Times New Roman"/>
          <w:lang w:eastAsia="de-DE"/>
        </w:rPr>
        <w:t>(Ysop) als pflanzliche und textile Materialien.</w:t>
      </w:r>
    </w:p>
    <w:p w14:paraId="61CBE4E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שתי־צפרים</w:t>
      </w:r>
      <w:r w:rsidRPr="00195E02">
        <w:rPr>
          <w:rFonts w:eastAsia="Times New Roman" w:cs="Times New Roman"/>
          <w:rtl/>
          <w:lang w:eastAsia="de-DE"/>
        </w:rPr>
        <w:t xml:space="preserve"> </w:t>
      </w:r>
      <w:r w:rsidRPr="00195E02">
        <w:rPr>
          <w:rFonts w:eastAsia="Times New Roman" w:cs="Times New Roman"/>
          <w:lang w:eastAsia="de-DE"/>
        </w:rPr>
        <w:t xml:space="preserve">für das doppelte Vogelritual. </w:t>
      </w:r>
      <w:r w:rsidRPr="00195E02">
        <w:rPr>
          <w:rFonts w:eastAsia="Times New Roman" w:cs="Times New Roman"/>
          <w:b/>
          <w:bCs/>
          <w:rtl/>
          <w:lang w:eastAsia="de-DE"/>
        </w:rPr>
        <w:t>חיות טהרות</w:t>
      </w:r>
      <w:r w:rsidRPr="00195E02">
        <w:rPr>
          <w:rFonts w:eastAsia="Times New Roman" w:cs="Times New Roman"/>
          <w:rtl/>
          <w:lang w:eastAsia="de-DE"/>
        </w:rPr>
        <w:t xml:space="preserve"> </w:t>
      </w:r>
      <w:r w:rsidRPr="00195E02">
        <w:rPr>
          <w:rFonts w:eastAsia="Times New Roman" w:cs="Times New Roman"/>
          <w:lang w:eastAsia="de-DE"/>
        </w:rPr>
        <w:t xml:space="preserve">betont Vitalität und kultische Reinheit. </w:t>
      </w:r>
      <w:r w:rsidRPr="00195E02">
        <w:rPr>
          <w:rFonts w:eastAsia="Times New Roman" w:cs="Times New Roman"/>
          <w:b/>
          <w:bCs/>
          <w:rtl/>
          <w:lang w:eastAsia="de-DE"/>
        </w:rPr>
        <w:t>עץ ארז ושני תולעת ואזב</w:t>
      </w:r>
      <w:r w:rsidRPr="00195E02">
        <w:rPr>
          <w:rFonts w:eastAsia="Times New Roman" w:cs="Times New Roman"/>
          <w:rtl/>
          <w:lang w:eastAsia="de-DE"/>
        </w:rPr>
        <w:t xml:space="preserve"> </w:t>
      </w:r>
      <w:r w:rsidRPr="00195E02">
        <w:rPr>
          <w:rFonts w:eastAsia="Times New Roman" w:cs="Times New Roman"/>
          <w:lang w:eastAsia="de-DE"/>
        </w:rPr>
        <w:t>als symbolische Materialien mit unterschiedlicher Herkunft (Baum, Tier, Pflanze).</w:t>
      </w:r>
    </w:p>
    <w:p w14:paraId="661A9EF5" w14:textId="15D032A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שני תולעת</w:t>
      </w:r>
      <w:r w:rsidR="00523826">
        <w:t xml:space="preserve"> (scheni </w:t>
      </w:r>
      <w:proofErr w:type="spellStart"/>
      <w:r w:rsidR="00523826">
        <w:t>tola'at</w:t>
      </w:r>
      <w:proofErr w:type="spellEnd"/>
      <w:r w:rsidR="00523826">
        <w:t xml:space="preserve"> - "Karmesinwolle") als </w:t>
      </w:r>
      <w:proofErr w:type="spellStart"/>
      <w:r w:rsidR="00523826">
        <w:t>κεκλωσμένον</w:t>
      </w:r>
      <w:proofErr w:type="spellEnd"/>
      <w:r w:rsidR="00523826">
        <w:t xml:space="preserve"> </w:t>
      </w:r>
      <w:proofErr w:type="spellStart"/>
      <w:r w:rsidR="00523826">
        <w:t>κόκκινον</w:t>
      </w:r>
      <w:proofErr w:type="spellEnd"/>
      <w:r w:rsidR="00523826">
        <w:t xml:space="preserve"> (gesponnener Purpur), was eine technischere Beschreibung des Textilmaterials darstellt.</w:t>
      </w:r>
    </w:p>
    <w:p w14:paraId="2650F9B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Materialbeschaffung: priesterliche Anweisung + Materialaufzählung mit Qualitätsangaben. Die Struktur zeigt die Vorbereitung des komplexen Reinigungsrituals.</w:t>
      </w:r>
    </w:p>
    <w:p w14:paraId="0B87C93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listet die fünf Materialien für das erste Reinigungsritual auf: zwei lebendige reine Vögel, Zedernholz, Karmesinwolle und Ysop.</w:t>
      </w:r>
    </w:p>
    <w:p w14:paraId="733F8C4F"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w:t>
      </w:r>
    </w:p>
    <w:p w14:paraId="67F6B58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וְצִוָּה֙ הַכֹּהֵ֔ן וְשָׁחַ֖ט אֶת־הַצִּפּ֣וֹר הָאֶחָ֑ת אֶל־כְּלִי־חֶ֖רֶשׂ עַל־מַ֥יִם חַיִּֽים׃</w:t>
      </w:r>
    </w:p>
    <w:p w14:paraId="7E9EB53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gebieten, und man soll den einen Vogel schlachten in einem irdenen Gefäß über lebendigem Wasser.</w:t>
      </w:r>
    </w:p>
    <w:p w14:paraId="299AC92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BB816D9">
          <v:rect id="_x0000_i1395" style="width:0;height:1.5pt" o:hralign="center" o:hrstd="t" o:hr="t" fillcolor="#a0a0a0" stroked="f"/>
        </w:pict>
      </w:r>
    </w:p>
    <w:p w14:paraId="3223FD2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וצוה הכהן ושחט את־הצפור האחת אל־כלי־חרש על־מים חיים</w:t>
      </w:r>
      <w:r w:rsidRPr="00195E02">
        <w:rPr>
          <w:rFonts w:eastAsia="Times New Roman" w:cs="Times New Roman"/>
          <w:rtl/>
          <w:lang w:eastAsia="de-DE"/>
        </w:rPr>
        <w:t xml:space="preserve"> </w:t>
      </w:r>
      <w:r w:rsidRPr="00195E02">
        <w:rPr>
          <w:rFonts w:eastAsia="Times New Roman" w:cs="Times New Roman"/>
          <w:lang w:eastAsia="de-DE"/>
        </w:rPr>
        <w:t xml:space="preserve">zeigt das erste Vogelritual. </w:t>
      </w:r>
      <w:r w:rsidRPr="00195E02">
        <w:rPr>
          <w:rFonts w:eastAsia="Times New Roman" w:cs="Times New Roman"/>
          <w:b/>
          <w:bCs/>
          <w:rtl/>
          <w:lang w:eastAsia="de-DE"/>
        </w:rPr>
        <w:t>וצוה הכהן</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gebieten) entspricht V. 4. </w:t>
      </w:r>
      <w:r w:rsidRPr="00195E02">
        <w:rPr>
          <w:rFonts w:eastAsia="Times New Roman" w:cs="Times New Roman"/>
          <w:b/>
          <w:bCs/>
          <w:rtl/>
          <w:lang w:eastAsia="de-DE"/>
        </w:rPr>
        <w:t>ושחט את־הצפור האחת</w:t>
      </w:r>
      <w:r w:rsidRPr="00195E02">
        <w:rPr>
          <w:rFonts w:eastAsia="Times New Roman" w:cs="Times New Roman"/>
          <w:rtl/>
          <w:lang w:eastAsia="de-DE"/>
        </w:rPr>
        <w:t xml:space="preserve"> </w:t>
      </w:r>
      <w:r w:rsidRPr="00195E02">
        <w:rPr>
          <w:rFonts w:eastAsia="Times New Roman" w:cs="Times New Roman"/>
          <w:lang w:eastAsia="de-DE"/>
        </w:rPr>
        <w:t xml:space="preserve">(und man soll den einen Vogel schlachten) - </w:t>
      </w:r>
      <w:r w:rsidRPr="00195E02">
        <w:rPr>
          <w:rFonts w:eastAsia="Times New Roman" w:cs="Times New Roman"/>
          <w:b/>
          <w:bCs/>
          <w:rtl/>
          <w:lang w:eastAsia="de-DE"/>
        </w:rPr>
        <w:t>שחט</w:t>
      </w:r>
      <w:r w:rsidRPr="00195E02">
        <w:rPr>
          <w:rFonts w:eastAsia="Times New Roman" w:cs="Times New Roman"/>
          <w:rtl/>
          <w:lang w:eastAsia="de-DE"/>
        </w:rPr>
        <w:t xml:space="preserve"> </w:t>
      </w:r>
      <w:r w:rsidRPr="00195E02">
        <w:rPr>
          <w:rFonts w:eastAsia="Times New Roman" w:cs="Times New Roman"/>
          <w:lang w:eastAsia="de-DE"/>
        </w:rPr>
        <w:t xml:space="preserve">(schlachten) im Qal-Perfekt mit Waw-Konsekutiv, </w:t>
      </w:r>
      <w:r w:rsidRPr="00195E02">
        <w:rPr>
          <w:rFonts w:eastAsia="Times New Roman" w:cs="Times New Roman"/>
          <w:b/>
          <w:bCs/>
          <w:rtl/>
          <w:lang w:eastAsia="de-DE"/>
        </w:rPr>
        <w:t>הצפור האחת</w:t>
      </w:r>
      <w:r w:rsidRPr="00195E02">
        <w:rPr>
          <w:rFonts w:eastAsia="Times New Roman" w:cs="Times New Roman"/>
          <w:rtl/>
          <w:lang w:eastAsia="de-DE"/>
        </w:rPr>
        <w:t xml:space="preserve"> </w:t>
      </w:r>
      <w:r w:rsidRPr="00195E02">
        <w:rPr>
          <w:rFonts w:eastAsia="Times New Roman" w:cs="Times New Roman"/>
          <w:lang w:eastAsia="de-DE"/>
        </w:rPr>
        <w:t>(den einen Vogel) zeigt die Auswahl eines der beiden Vögel.</w:t>
      </w:r>
    </w:p>
    <w:p w14:paraId="29B3205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אל־כלי־חרש על־מים חיים</w:t>
      </w:r>
      <w:r w:rsidRPr="00195E02">
        <w:rPr>
          <w:rFonts w:eastAsia="Times New Roman" w:cs="Times New Roman"/>
          <w:rtl/>
          <w:lang w:eastAsia="de-DE"/>
        </w:rPr>
        <w:t xml:space="preserve"> </w:t>
      </w:r>
      <w:r w:rsidRPr="00195E02">
        <w:rPr>
          <w:rFonts w:eastAsia="Times New Roman" w:cs="Times New Roman"/>
          <w:lang w:eastAsia="de-DE"/>
        </w:rPr>
        <w:t xml:space="preserve">spezifiziert Gefäß und Medium. </w:t>
      </w:r>
      <w:r w:rsidRPr="00195E02">
        <w:rPr>
          <w:rFonts w:eastAsia="Times New Roman" w:cs="Times New Roman"/>
          <w:b/>
          <w:bCs/>
          <w:rtl/>
          <w:lang w:eastAsia="de-DE"/>
        </w:rPr>
        <w:t>אל־כלי־חרש</w:t>
      </w:r>
      <w:r w:rsidRPr="00195E02">
        <w:rPr>
          <w:rFonts w:eastAsia="Times New Roman" w:cs="Times New Roman"/>
          <w:rtl/>
          <w:lang w:eastAsia="de-DE"/>
        </w:rPr>
        <w:t xml:space="preserve"> </w:t>
      </w:r>
      <w:r w:rsidRPr="00195E02">
        <w:rPr>
          <w:rFonts w:eastAsia="Times New Roman" w:cs="Times New Roman"/>
          <w:lang w:eastAsia="de-DE"/>
        </w:rPr>
        <w:t xml:space="preserve">(in einem irdenen Gefäß) - </w:t>
      </w: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(irdenes Gefäß) als unglasiertes Tongeschirr. </w:t>
      </w:r>
      <w:r w:rsidRPr="00195E02">
        <w:rPr>
          <w:rFonts w:eastAsia="Times New Roman" w:cs="Times New Roman"/>
          <w:b/>
          <w:bCs/>
          <w:rtl/>
          <w:lang w:eastAsia="de-DE"/>
        </w:rPr>
        <w:t>על־מים חיים</w:t>
      </w:r>
      <w:r w:rsidRPr="00195E02">
        <w:rPr>
          <w:rFonts w:eastAsia="Times New Roman" w:cs="Times New Roman"/>
          <w:rtl/>
          <w:lang w:eastAsia="de-DE"/>
        </w:rPr>
        <w:t xml:space="preserve"> </w:t>
      </w:r>
      <w:r w:rsidRPr="00195E02">
        <w:rPr>
          <w:rFonts w:eastAsia="Times New Roman" w:cs="Times New Roman"/>
          <w:lang w:eastAsia="de-DE"/>
        </w:rPr>
        <w:t xml:space="preserve">(über lebendigem Wasser) - </w:t>
      </w:r>
      <w:r w:rsidRPr="00195E02">
        <w:rPr>
          <w:rFonts w:eastAsia="Times New Roman" w:cs="Times New Roman"/>
          <w:b/>
          <w:bCs/>
          <w:rtl/>
          <w:lang w:eastAsia="de-DE"/>
        </w:rPr>
        <w:t>מים חיים</w:t>
      </w:r>
      <w:r w:rsidRPr="00195E02">
        <w:rPr>
          <w:rFonts w:eastAsia="Times New Roman" w:cs="Times New Roman"/>
          <w:rtl/>
          <w:lang w:eastAsia="de-DE"/>
        </w:rPr>
        <w:t xml:space="preserve"> </w:t>
      </w:r>
      <w:r w:rsidRPr="00195E02">
        <w:rPr>
          <w:rFonts w:eastAsia="Times New Roman" w:cs="Times New Roman"/>
          <w:lang w:eastAsia="de-DE"/>
        </w:rPr>
        <w:t>(lebendiges Wasser) als fließendes oder Quellwasser.</w:t>
      </w:r>
    </w:p>
    <w:p w14:paraId="57ECE11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שחט את־הצפור האחת</w:t>
      </w:r>
      <w:r w:rsidRPr="00195E02">
        <w:rPr>
          <w:rFonts w:eastAsia="Times New Roman" w:cs="Times New Roman"/>
          <w:rtl/>
          <w:lang w:eastAsia="de-DE"/>
        </w:rPr>
        <w:t xml:space="preserve"> </w:t>
      </w:r>
      <w:r w:rsidRPr="00195E02">
        <w:rPr>
          <w:rFonts w:eastAsia="Times New Roman" w:cs="Times New Roman"/>
          <w:lang w:eastAsia="de-DE"/>
        </w:rPr>
        <w:t xml:space="preserve">zeigt Opferung ohne Altarbezug. </w:t>
      </w: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als neutrales, ungeweihtes Gefäß. </w:t>
      </w:r>
      <w:r w:rsidRPr="00195E02">
        <w:rPr>
          <w:rFonts w:eastAsia="Times New Roman" w:cs="Times New Roman"/>
          <w:b/>
          <w:bCs/>
          <w:rtl/>
          <w:lang w:eastAsia="de-DE"/>
        </w:rPr>
        <w:t>על־מים חיים</w:t>
      </w:r>
      <w:r w:rsidRPr="00195E02">
        <w:rPr>
          <w:rFonts w:eastAsia="Times New Roman" w:cs="Times New Roman"/>
          <w:rtl/>
          <w:lang w:eastAsia="de-DE"/>
        </w:rPr>
        <w:t xml:space="preserve"> </w:t>
      </w:r>
      <w:r w:rsidRPr="00195E02">
        <w:rPr>
          <w:rFonts w:eastAsia="Times New Roman" w:cs="Times New Roman"/>
          <w:lang w:eastAsia="de-DE"/>
        </w:rPr>
        <w:t>zeigt, dass das Blut mit lebendigem Wasser vermischt wird.</w:t>
      </w:r>
    </w:p>
    <w:p w14:paraId="35849C6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ושחט</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σφάξει</w:t>
      </w:r>
      <w:proofErr w:type="spellEnd"/>
      <w:r w:rsidRPr="00195E02">
        <w:rPr>
          <w:rFonts w:eastAsia="Times New Roman" w:cs="Times New Roman"/>
          <w:lang w:eastAsia="de-DE"/>
        </w:rPr>
        <w:t xml:space="preserve"> (er wird schlachten), </w:t>
      </w: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σκεῦος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ὀστράκινον</w:t>
      </w:r>
      <w:proofErr w:type="spellEnd"/>
      <w:r w:rsidRPr="00195E02">
        <w:rPr>
          <w:rFonts w:eastAsia="Times New Roman" w:cs="Times New Roman"/>
          <w:lang w:eastAsia="de-DE"/>
        </w:rPr>
        <w:t xml:space="preserve"> (irdenes Gefäß) und </w:t>
      </w:r>
      <w:r w:rsidRPr="00195E02">
        <w:rPr>
          <w:rFonts w:eastAsia="Times New Roman" w:cs="Times New Roman"/>
          <w:b/>
          <w:bCs/>
          <w:rtl/>
          <w:lang w:eastAsia="de-DE"/>
        </w:rPr>
        <w:t>מים חיים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ὕδωρ</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ζῶν</w:t>
      </w:r>
      <w:proofErr w:type="spellEnd"/>
      <w:r w:rsidRPr="00195E02">
        <w:rPr>
          <w:rFonts w:eastAsia="Times New Roman" w:cs="Times New Roman"/>
          <w:lang w:eastAsia="de-DE"/>
        </w:rPr>
        <w:t xml:space="preserve"> (lebendiges Wasser).</w:t>
      </w:r>
    </w:p>
    <w:p w14:paraId="3B71F6B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rituellen Akt: priesterliche Anweisung + Schlachtung + Gefäßspezifikation + Wassermedium. Die Struktur zeigt präzise Ritualanweisung.</w:t>
      </w:r>
    </w:p>
    <w:p w14:paraId="1E127A4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ordnet die Schlachtung des ersten Vogels in einem irdenen Gefäß über lebendigem Wasser an.</w:t>
      </w:r>
    </w:p>
    <w:p w14:paraId="45EA180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14,6</w:t>
      </w:r>
    </w:p>
    <w:p w14:paraId="40A80E9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אֶת־הַצִּפֹּ֤ר הַֽחַיָּה֙ יִקַּ֣ח אֹתָ֔הּ וְאֶת־עֵ֥ץ הָאֶ֛רֶז וְאֶת־שְׁנִ֥י הַתּוֹלַ֖עַת וְאֶת־הָאֵזֹ֑ב וְטָבַ֨ל אוֹתָ֜ם וְאֵ֣ת׀ הַצִּפֹּ֣ר הַֽחַיָּ֗ה בְּדַם֙ הַצִּפֹּ֣ר הַשְּׁחֻטָ֔ה עַ֖ל הַמַּ֥יִם הַֽחַיִּֽים׃</w:t>
      </w:r>
    </w:p>
    <w:p w14:paraId="0A44BF7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Den lebendigen Vogel soll er nehmen, und das Zedernholz und die Karmesinwolle und den Ysop, und soll sie und den lebendigen Vogel eintauchen in das Blut des geschlachteten Vogels über dem lebendigen Wasser.</w:t>
      </w:r>
    </w:p>
    <w:p w14:paraId="0A717DA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0515F37">
          <v:rect id="_x0000_i1396" style="width:0;height:1.5pt" o:hralign="center" o:hrstd="t" o:hr="t" fillcolor="#a0a0a0" stroked="f"/>
        </w:pict>
      </w:r>
    </w:p>
    <w:p w14:paraId="3EEDAE6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את־הצפר החיה יקח אתה ואת־עץ הארז ואת־שני התולעת ואת־האזב וטבל אותם ואת הצפר החיה בדם הצפר השחטה על המים החיים</w:t>
      </w:r>
      <w:r w:rsidRPr="00195E02">
        <w:rPr>
          <w:rFonts w:eastAsia="Times New Roman" w:cs="Times New Roman"/>
          <w:rtl/>
          <w:lang w:eastAsia="de-DE"/>
        </w:rPr>
        <w:t xml:space="preserve"> </w:t>
      </w:r>
      <w:r w:rsidRPr="00195E02">
        <w:rPr>
          <w:rFonts w:eastAsia="Times New Roman" w:cs="Times New Roman"/>
          <w:lang w:eastAsia="de-DE"/>
        </w:rPr>
        <w:t xml:space="preserve">zeigt das Eintauchungsritual. </w:t>
      </w:r>
      <w:r w:rsidRPr="00195E02">
        <w:rPr>
          <w:rFonts w:eastAsia="Times New Roman" w:cs="Times New Roman"/>
          <w:b/>
          <w:bCs/>
          <w:rtl/>
          <w:lang w:eastAsia="de-DE"/>
        </w:rPr>
        <w:t>את־הצפר החיה יקח אתה</w:t>
      </w:r>
      <w:r w:rsidRPr="00195E02">
        <w:rPr>
          <w:rFonts w:eastAsia="Times New Roman" w:cs="Times New Roman"/>
          <w:rtl/>
          <w:lang w:eastAsia="de-DE"/>
        </w:rPr>
        <w:t xml:space="preserve"> </w:t>
      </w:r>
      <w:r w:rsidRPr="00195E02">
        <w:rPr>
          <w:rFonts w:eastAsia="Times New Roman" w:cs="Times New Roman"/>
          <w:lang w:eastAsia="de-DE"/>
        </w:rPr>
        <w:lastRenderedPageBreak/>
        <w:t xml:space="preserve">(den lebendigen Vogel soll er nehmen) - </w:t>
      </w:r>
      <w:r w:rsidRPr="00195E02">
        <w:rPr>
          <w:rFonts w:eastAsia="Times New Roman" w:cs="Times New Roman"/>
          <w:b/>
          <w:bCs/>
          <w:rtl/>
          <w:lang w:eastAsia="de-DE"/>
        </w:rPr>
        <w:t>הצפר החיה</w:t>
      </w:r>
      <w:r w:rsidRPr="00195E02">
        <w:rPr>
          <w:rFonts w:eastAsia="Times New Roman" w:cs="Times New Roman"/>
          <w:rtl/>
          <w:lang w:eastAsia="de-DE"/>
        </w:rPr>
        <w:t xml:space="preserve"> </w:t>
      </w:r>
      <w:r w:rsidRPr="00195E02">
        <w:rPr>
          <w:rFonts w:eastAsia="Times New Roman" w:cs="Times New Roman"/>
          <w:lang w:eastAsia="de-DE"/>
        </w:rPr>
        <w:t>(den lebendigen Vogel) im Gegensatz zum geschlachteten. Die weiteren Materialien entsprechen V. 4.</w:t>
      </w:r>
    </w:p>
    <w:p w14:paraId="3F489D9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וטבל אותם ואת הצפר החיה בדם הצפר השחטה על המים החיים</w:t>
      </w:r>
      <w:r w:rsidRPr="00195E02">
        <w:rPr>
          <w:rFonts w:eastAsia="Times New Roman" w:cs="Times New Roman"/>
          <w:rtl/>
          <w:lang w:eastAsia="de-DE"/>
        </w:rPr>
        <w:t xml:space="preserve"> </w:t>
      </w:r>
      <w:r w:rsidRPr="00195E02">
        <w:rPr>
          <w:rFonts w:eastAsia="Times New Roman" w:cs="Times New Roman"/>
          <w:lang w:eastAsia="de-DE"/>
        </w:rPr>
        <w:t xml:space="preserve">zeigt das Eintauchen. </w:t>
      </w:r>
      <w:r w:rsidRPr="00195E02">
        <w:rPr>
          <w:rFonts w:eastAsia="Times New Roman" w:cs="Times New Roman"/>
          <w:b/>
          <w:bCs/>
          <w:rtl/>
          <w:lang w:eastAsia="de-DE"/>
        </w:rPr>
        <w:t>וטבל אותם</w:t>
      </w:r>
      <w:r w:rsidRPr="00195E02">
        <w:rPr>
          <w:rFonts w:eastAsia="Times New Roman" w:cs="Times New Roman"/>
          <w:rtl/>
          <w:lang w:eastAsia="de-DE"/>
        </w:rPr>
        <w:t xml:space="preserve"> </w:t>
      </w:r>
      <w:r w:rsidRPr="00195E02">
        <w:rPr>
          <w:rFonts w:eastAsia="Times New Roman" w:cs="Times New Roman"/>
          <w:lang w:eastAsia="de-DE"/>
        </w:rPr>
        <w:t xml:space="preserve">(und er soll sie eintauchen) - </w:t>
      </w:r>
      <w:r w:rsidRPr="00195E02">
        <w:rPr>
          <w:rFonts w:eastAsia="Times New Roman" w:cs="Times New Roman"/>
          <w:b/>
          <w:bCs/>
          <w:rtl/>
          <w:lang w:eastAsia="de-DE"/>
        </w:rPr>
        <w:t>טבל</w:t>
      </w:r>
      <w:r w:rsidRPr="00195E02">
        <w:rPr>
          <w:rFonts w:eastAsia="Times New Roman" w:cs="Times New Roman"/>
          <w:rtl/>
          <w:lang w:eastAsia="de-DE"/>
        </w:rPr>
        <w:t xml:space="preserve"> </w:t>
      </w:r>
      <w:r w:rsidRPr="00195E02">
        <w:rPr>
          <w:rFonts w:eastAsia="Times New Roman" w:cs="Times New Roman"/>
          <w:lang w:eastAsia="de-DE"/>
        </w:rPr>
        <w:t xml:space="preserve">(eintauchen) im Qal-Perfekt mit Waw-Konsekutiv. </w:t>
      </w:r>
      <w:r w:rsidRPr="00195E02">
        <w:rPr>
          <w:rFonts w:eastAsia="Times New Roman" w:cs="Times New Roman"/>
          <w:b/>
          <w:bCs/>
          <w:rtl/>
          <w:lang w:eastAsia="de-DE"/>
        </w:rPr>
        <w:t>בדם הצפר השחטה</w:t>
      </w:r>
      <w:r w:rsidRPr="00195E02">
        <w:rPr>
          <w:rFonts w:eastAsia="Times New Roman" w:cs="Times New Roman"/>
          <w:rtl/>
          <w:lang w:eastAsia="de-DE"/>
        </w:rPr>
        <w:t xml:space="preserve"> </w:t>
      </w:r>
      <w:r w:rsidRPr="00195E02">
        <w:rPr>
          <w:rFonts w:eastAsia="Times New Roman" w:cs="Times New Roman"/>
          <w:lang w:eastAsia="de-DE"/>
        </w:rPr>
        <w:t xml:space="preserve">(in das Blut des geschlachteten Vogels) mit </w:t>
      </w:r>
      <w:r w:rsidRPr="00195E02">
        <w:rPr>
          <w:rFonts w:eastAsia="Times New Roman" w:cs="Times New Roman"/>
          <w:b/>
          <w:bCs/>
          <w:rtl/>
          <w:lang w:eastAsia="de-DE"/>
        </w:rPr>
        <w:t>השחטה</w:t>
      </w:r>
      <w:r w:rsidRPr="00195E02">
        <w:rPr>
          <w:rFonts w:eastAsia="Times New Roman" w:cs="Times New Roman"/>
          <w:rtl/>
          <w:lang w:eastAsia="de-DE"/>
        </w:rPr>
        <w:t xml:space="preserve"> </w:t>
      </w:r>
      <w:r w:rsidRPr="00195E02">
        <w:rPr>
          <w:rFonts w:eastAsia="Times New Roman" w:cs="Times New Roman"/>
          <w:lang w:eastAsia="de-DE"/>
        </w:rPr>
        <w:t xml:space="preserve">als feminin Partizip passiv. </w:t>
      </w:r>
      <w:r w:rsidRPr="00195E02">
        <w:rPr>
          <w:rFonts w:eastAsia="Times New Roman" w:cs="Times New Roman"/>
          <w:b/>
          <w:bCs/>
          <w:rtl/>
          <w:lang w:eastAsia="de-DE"/>
        </w:rPr>
        <w:t>על המים החיים</w:t>
      </w:r>
      <w:r w:rsidRPr="00195E02">
        <w:rPr>
          <w:rFonts w:eastAsia="Times New Roman" w:cs="Times New Roman"/>
          <w:rtl/>
          <w:lang w:eastAsia="de-DE"/>
        </w:rPr>
        <w:t xml:space="preserve"> </w:t>
      </w:r>
      <w:r w:rsidRPr="00195E02">
        <w:rPr>
          <w:rFonts w:eastAsia="Times New Roman" w:cs="Times New Roman"/>
          <w:lang w:eastAsia="de-DE"/>
        </w:rPr>
        <w:t>(über dem lebendigen Wasser) aus V. 5.</w:t>
      </w:r>
    </w:p>
    <w:p w14:paraId="5FD3044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הצפר החיה</w:t>
      </w:r>
      <w:r w:rsidRPr="00195E02">
        <w:rPr>
          <w:rFonts w:eastAsia="Times New Roman" w:cs="Times New Roman"/>
          <w:rtl/>
          <w:lang w:eastAsia="de-DE"/>
        </w:rPr>
        <w:t xml:space="preserve"> </w:t>
      </w:r>
      <w:r w:rsidRPr="00195E02">
        <w:rPr>
          <w:rFonts w:eastAsia="Times New Roman" w:cs="Times New Roman"/>
          <w:lang w:eastAsia="de-DE"/>
        </w:rPr>
        <w:t xml:space="preserve">wird sowohl als Objekt des Nehmens als auch des Eintauchens genannt. </w:t>
      </w:r>
      <w:r w:rsidRPr="00195E02">
        <w:rPr>
          <w:rFonts w:eastAsia="Times New Roman" w:cs="Times New Roman"/>
          <w:b/>
          <w:bCs/>
          <w:rtl/>
          <w:lang w:eastAsia="de-DE"/>
        </w:rPr>
        <w:t>טבל אותם ואת הצפר החיה</w:t>
      </w:r>
      <w:r w:rsidRPr="00195E02">
        <w:rPr>
          <w:rFonts w:eastAsia="Times New Roman" w:cs="Times New Roman"/>
          <w:rtl/>
          <w:lang w:eastAsia="de-DE"/>
        </w:rPr>
        <w:t xml:space="preserve"> </w:t>
      </w:r>
      <w:r w:rsidRPr="00195E02">
        <w:rPr>
          <w:rFonts w:eastAsia="Times New Roman" w:cs="Times New Roman"/>
          <w:lang w:eastAsia="de-DE"/>
        </w:rPr>
        <w:t xml:space="preserve">zeigt, dass alle Materialien einschließlich des lebendigen Vogels eingetaucht werden. </w:t>
      </w:r>
      <w:r w:rsidRPr="00195E02">
        <w:rPr>
          <w:rFonts w:eastAsia="Times New Roman" w:cs="Times New Roman"/>
          <w:b/>
          <w:bCs/>
          <w:rtl/>
          <w:lang w:eastAsia="de-DE"/>
        </w:rPr>
        <w:t>בדם הצפר השחטה על המים החיים</w:t>
      </w:r>
      <w:r w:rsidRPr="00195E02">
        <w:rPr>
          <w:rFonts w:eastAsia="Times New Roman" w:cs="Times New Roman"/>
          <w:rtl/>
          <w:lang w:eastAsia="de-DE"/>
        </w:rPr>
        <w:t xml:space="preserve"> </w:t>
      </w:r>
      <w:r w:rsidRPr="00195E02">
        <w:rPr>
          <w:rFonts w:eastAsia="Times New Roman" w:cs="Times New Roman"/>
          <w:lang w:eastAsia="de-DE"/>
        </w:rPr>
        <w:t>zeigt die Blut-Wasser-Mischung.</w:t>
      </w:r>
    </w:p>
    <w:p w14:paraId="3D57B76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הצפר החיה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στρουθίον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ζῶν</w:t>
      </w:r>
      <w:proofErr w:type="spellEnd"/>
      <w:r w:rsidRPr="00195E02">
        <w:rPr>
          <w:rFonts w:eastAsia="Times New Roman" w:cs="Times New Roman"/>
          <w:lang w:eastAsia="de-DE"/>
        </w:rPr>
        <w:t xml:space="preserve"> (den lebendigen Vogel), </w:t>
      </w:r>
      <w:r w:rsidRPr="00195E02">
        <w:rPr>
          <w:rFonts w:eastAsia="Times New Roman" w:cs="Times New Roman"/>
          <w:b/>
          <w:bCs/>
          <w:rtl/>
          <w:lang w:eastAsia="de-DE"/>
        </w:rPr>
        <w:t>וטבל</w:t>
      </w:r>
      <w:r w:rsidRPr="00195E02">
        <w:rPr>
          <w:rFonts w:eastAsia="Times New Roman" w:cs="Times New Roman"/>
          <w:rtl/>
          <w:lang w:eastAsia="de-DE"/>
        </w:rPr>
        <w:t xml:space="preserve"> </w:t>
      </w:r>
      <w:r w:rsidRPr="00195E02">
        <w:rPr>
          <w:rFonts w:eastAsia="Times New Roman" w:cs="Times New Roman"/>
          <w:lang w:eastAsia="de-DE"/>
        </w:rPr>
        <w:t>mit β</w:t>
      </w:r>
      <w:proofErr w:type="spellStart"/>
      <w:r w:rsidRPr="00195E02">
        <w:rPr>
          <w:rFonts w:eastAsia="Times New Roman" w:cs="Times New Roman"/>
          <w:lang w:eastAsia="de-DE"/>
        </w:rPr>
        <w:t>άψει</w:t>
      </w:r>
      <w:proofErr w:type="spellEnd"/>
      <w:r w:rsidRPr="00195E02">
        <w:rPr>
          <w:rFonts w:eastAsia="Times New Roman" w:cs="Times New Roman"/>
          <w:lang w:eastAsia="de-DE"/>
        </w:rPr>
        <w:t xml:space="preserve"> (er wird eintauchen) und </w:t>
      </w:r>
      <w:r w:rsidRPr="00195E02">
        <w:rPr>
          <w:rFonts w:eastAsia="Times New Roman" w:cs="Times New Roman"/>
          <w:b/>
          <w:bCs/>
          <w:rtl/>
          <w:lang w:eastAsia="de-DE"/>
        </w:rPr>
        <w:t>השחטה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ἐσφ</w:t>
      </w:r>
      <w:proofErr w:type="spellEnd"/>
      <w:r w:rsidRPr="00195E02">
        <w:rPr>
          <w:rFonts w:eastAsia="Times New Roman" w:cs="Times New Roman"/>
          <w:lang w:eastAsia="de-DE"/>
        </w:rPr>
        <w:t>αγμένου (des geschlachteten).</w:t>
      </w:r>
    </w:p>
    <w:p w14:paraId="69242A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Eintauchungsritual: Materialaufnahme + Eintauchung aller Elemente + Spezifikation des Blut-Wasser-Mediums. Die Struktur zeigt komplexe Materialvereinigung.</w:t>
      </w:r>
    </w:p>
    <w:p w14:paraId="2B6C7A0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ordnet das Eintauchen aller Materialien einschließlich des lebendigen Vogels in das Blut-Wasser-Gemisch an.</w:t>
      </w:r>
    </w:p>
    <w:p w14:paraId="7B92163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14,7</w:t>
      </w:r>
    </w:p>
    <w:p w14:paraId="2E6B143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וְהִזָּ֗ה עַ֧ל הַמִּטַּהֵ֛ר מִן־הַצָּרַ֖עַת שֶׁ֣בַע פְּעָמִ֑ים וְטִ֣הֲרֹ֔ו וְשִׁלַּ֛ח אֶת־הַצִּפֹּ֥ר הַֽחַיָּ֖ה עַל־פְּנֵ֥י הַשָּׂדֶֽה׃</w:t>
      </w:r>
    </w:p>
    <w:p w14:paraId="5CF48DD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sprengen auf den sich von der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Reinigenden siebenmal, und ihn für rein erklären, und den lebendigen Vogel freilassen über das Angesicht des Feldes.</w:t>
      </w:r>
    </w:p>
    <w:p w14:paraId="2CF1C8C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CBEBFC1">
          <v:rect id="_x0000_i1397" style="width:0;height:1.5pt" o:hralign="center" o:hrstd="t" o:hr="t" fillcolor="#a0a0a0" stroked="f"/>
        </w:pict>
      </w:r>
    </w:p>
    <w:p w14:paraId="52B0F83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והזה על המטהר מן־הצרעת שבע פעמים וטהרו ושלח את־הצפר החיה על־פני השדה</w:t>
      </w:r>
      <w:r w:rsidRPr="00195E02">
        <w:rPr>
          <w:rFonts w:eastAsia="Times New Roman" w:cs="Times New Roman"/>
          <w:rtl/>
          <w:lang w:eastAsia="de-DE"/>
        </w:rPr>
        <w:t xml:space="preserve"> </w:t>
      </w:r>
      <w:r w:rsidRPr="00195E02">
        <w:rPr>
          <w:rFonts w:eastAsia="Times New Roman" w:cs="Times New Roman"/>
          <w:lang w:eastAsia="de-DE"/>
        </w:rPr>
        <w:t xml:space="preserve">zeigt Besprengung, Reinheitserklärung und Vogelfreilassung. </w:t>
      </w:r>
      <w:r w:rsidRPr="00195E02">
        <w:rPr>
          <w:rFonts w:eastAsia="Times New Roman" w:cs="Times New Roman"/>
          <w:b/>
          <w:bCs/>
          <w:rtl/>
          <w:lang w:eastAsia="de-DE"/>
        </w:rPr>
        <w:t>והזה על המטהר מן־הצרעת</w:t>
      </w:r>
      <w:r w:rsidRPr="00195E02">
        <w:rPr>
          <w:rFonts w:eastAsia="Times New Roman" w:cs="Times New Roman"/>
          <w:rtl/>
          <w:lang w:eastAsia="de-DE"/>
        </w:rPr>
        <w:t xml:space="preserve"> </w:t>
      </w:r>
      <w:r w:rsidRPr="00195E02">
        <w:rPr>
          <w:rFonts w:eastAsia="Times New Roman" w:cs="Times New Roman"/>
          <w:lang w:eastAsia="de-DE"/>
        </w:rPr>
        <w:t xml:space="preserve">(und er soll sprengen auf den sich von der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Reinigenden) - </w:t>
      </w:r>
      <w:r w:rsidRPr="00195E02">
        <w:rPr>
          <w:rFonts w:eastAsia="Times New Roman" w:cs="Times New Roman"/>
          <w:b/>
          <w:bCs/>
          <w:rtl/>
          <w:lang w:eastAsia="de-DE"/>
        </w:rPr>
        <w:t>הזה</w:t>
      </w:r>
      <w:r w:rsidRPr="00195E02">
        <w:rPr>
          <w:rFonts w:eastAsia="Times New Roman" w:cs="Times New Roman"/>
          <w:rtl/>
          <w:lang w:eastAsia="de-DE"/>
        </w:rPr>
        <w:t xml:space="preserve"> </w:t>
      </w:r>
      <w:r w:rsidRPr="00195E02">
        <w:rPr>
          <w:rFonts w:eastAsia="Times New Roman" w:cs="Times New Roman"/>
          <w:lang w:eastAsia="de-DE"/>
        </w:rPr>
        <w:t xml:space="preserve">(sprengen) im Hifil-Perfekt mit Waw-Konsekutiv, </w:t>
      </w:r>
      <w:r w:rsidRPr="00195E02">
        <w:rPr>
          <w:rFonts w:eastAsia="Times New Roman" w:cs="Times New Roman"/>
          <w:b/>
          <w:bCs/>
          <w:rtl/>
          <w:lang w:eastAsia="de-DE"/>
        </w:rPr>
        <w:t>המטהר מן־הצרעת</w:t>
      </w:r>
      <w:r w:rsidRPr="00195E02">
        <w:rPr>
          <w:rFonts w:eastAsia="Times New Roman" w:cs="Times New Roman"/>
          <w:rtl/>
          <w:lang w:eastAsia="de-DE"/>
        </w:rPr>
        <w:t xml:space="preserve"> </w:t>
      </w:r>
      <w:r w:rsidRPr="00195E02">
        <w:rPr>
          <w:rFonts w:eastAsia="Times New Roman" w:cs="Times New Roman"/>
          <w:lang w:eastAsia="de-DE"/>
        </w:rPr>
        <w:t xml:space="preserve">(den sich von der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Reinigenden) zeigt den Empfänger der Besprengung.</w:t>
      </w:r>
    </w:p>
    <w:p w14:paraId="6A2F92C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שבע פעמים וטהרו</w:t>
      </w:r>
      <w:r w:rsidRPr="00195E02">
        <w:rPr>
          <w:rFonts w:eastAsia="Times New Roman" w:cs="Times New Roman"/>
          <w:rtl/>
          <w:lang w:eastAsia="de-DE"/>
        </w:rPr>
        <w:t xml:space="preserve"> </w:t>
      </w:r>
      <w:r w:rsidRPr="00195E02">
        <w:rPr>
          <w:rFonts w:eastAsia="Times New Roman" w:cs="Times New Roman"/>
          <w:lang w:eastAsia="de-DE"/>
        </w:rPr>
        <w:t xml:space="preserve">zeigt Häufigkeit und Konsequenz.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 xml:space="preserve">(siebenmal) als rituell vollständige Zahl. </w:t>
      </w:r>
      <w:r w:rsidRPr="00195E02">
        <w:rPr>
          <w:rFonts w:eastAsia="Times New Roman" w:cs="Times New Roman"/>
          <w:b/>
          <w:bCs/>
          <w:rtl/>
          <w:lang w:eastAsia="de-DE"/>
        </w:rPr>
        <w:t>וטהרו</w:t>
      </w:r>
      <w:r w:rsidRPr="00195E02">
        <w:rPr>
          <w:rFonts w:eastAsia="Times New Roman" w:cs="Times New Roman"/>
          <w:rtl/>
          <w:lang w:eastAsia="de-DE"/>
        </w:rPr>
        <w:t xml:space="preserve"> </w:t>
      </w:r>
      <w:r w:rsidRPr="00195E02">
        <w:rPr>
          <w:rFonts w:eastAsia="Times New Roman" w:cs="Times New Roman"/>
          <w:lang w:eastAsia="de-DE"/>
        </w:rPr>
        <w:t xml:space="preserve">(und er soll ihn für rein erklären) - </w:t>
      </w:r>
      <w:r w:rsidRPr="00195E02">
        <w:rPr>
          <w:rFonts w:eastAsia="Times New Roman" w:cs="Times New Roman"/>
          <w:b/>
          <w:bCs/>
          <w:rtl/>
          <w:lang w:eastAsia="de-DE"/>
        </w:rPr>
        <w:t>טהר</w:t>
      </w:r>
      <w:r w:rsidRPr="00195E02">
        <w:rPr>
          <w:rFonts w:eastAsia="Times New Roman" w:cs="Times New Roman"/>
          <w:rtl/>
          <w:lang w:eastAsia="de-DE"/>
        </w:rPr>
        <w:t xml:space="preserve"> </w:t>
      </w:r>
      <w:r w:rsidRPr="00195E02">
        <w:rPr>
          <w:rFonts w:eastAsia="Times New Roman" w:cs="Times New Roman"/>
          <w:lang w:eastAsia="de-DE"/>
        </w:rPr>
        <w:t>(rein erklären) im Piel-Perfekt mit Waw-Konsekutiv.</w:t>
      </w:r>
    </w:p>
    <w:p w14:paraId="3E1F92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ושלח את־הצפר החיה על־פני השדה</w:t>
      </w:r>
      <w:r w:rsidRPr="00195E02">
        <w:rPr>
          <w:rFonts w:eastAsia="Times New Roman" w:cs="Times New Roman"/>
          <w:rtl/>
          <w:lang w:eastAsia="de-DE"/>
        </w:rPr>
        <w:t xml:space="preserve"> </w:t>
      </w:r>
      <w:r w:rsidRPr="00195E02">
        <w:rPr>
          <w:rFonts w:eastAsia="Times New Roman" w:cs="Times New Roman"/>
          <w:lang w:eastAsia="de-DE"/>
        </w:rPr>
        <w:t xml:space="preserve">zeigt die Vogelfreilassung. </w:t>
      </w:r>
      <w:r w:rsidRPr="00195E02">
        <w:rPr>
          <w:rFonts w:eastAsia="Times New Roman" w:cs="Times New Roman"/>
          <w:b/>
          <w:bCs/>
          <w:rtl/>
          <w:lang w:eastAsia="de-DE"/>
        </w:rPr>
        <w:t>ושלח</w:t>
      </w:r>
      <w:r w:rsidRPr="00195E02">
        <w:rPr>
          <w:rFonts w:eastAsia="Times New Roman" w:cs="Times New Roman"/>
          <w:rtl/>
          <w:lang w:eastAsia="de-DE"/>
        </w:rPr>
        <w:t xml:space="preserve"> </w:t>
      </w:r>
      <w:r w:rsidRPr="00195E02">
        <w:rPr>
          <w:rFonts w:eastAsia="Times New Roman" w:cs="Times New Roman"/>
          <w:lang w:eastAsia="de-DE"/>
        </w:rPr>
        <w:t xml:space="preserve">(und er soll freilassen) - </w:t>
      </w:r>
      <w:r w:rsidRPr="00195E02">
        <w:rPr>
          <w:rFonts w:eastAsia="Times New Roman" w:cs="Times New Roman"/>
          <w:b/>
          <w:bCs/>
          <w:rtl/>
          <w:lang w:eastAsia="de-DE"/>
        </w:rPr>
        <w:t>שלח</w:t>
      </w:r>
      <w:r w:rsidRPr="00195E02">
        <w:rPr>
          <w:rFonts w:eastAsia="Times New Roman" w:cs="Times New Roman"/>
          <w:rtl/>
          <w:lang w:eastAsia="de-DE"/>
        </w:rPr>
        <w:t xml:space="preserve"> </w:t>
      </w:r>
      <w:r w:rsidRPr="00195E02">
        <w:rPr>
          <w:rFonts w:eastAsia="Times New Roman" w:cs="Times New Roman"/>
          <w:lang w:eastAsia="de-DE"/>
        </w:rPr>
        <w:t xml:space="preserve">(senden/freilassen) im Piel-Perfekt. </w:t>
      </w:r>
      <w:r w:rsidRPr="00195E02">
        <w:rPr>
          <w:rFonts w:eastAsia="Times New Roman" w:cs="Times New Roman"/>
          <w:b/>
          <w:bCs/>
          <w:rtl/>
          <w:lang w:eastAsia="de-DE"/>
        </w:rPr>
        <w:t>על־פני השדה</w:t>
      </w:r>
      <w:r w:rsidRPr="00195E02">
        <w:rPr>
          <w:rFonts w:eastAsia="Times New Roman" w:cs="Times New Roman"/>
          <w:rtl/>
          <w:lang w:eastAsia="de-DE"/>
        </w:rPr>
        <w:t xml:space="preserve"> </w:t>
      </w:r>
      <w:r w:rsidRPr="00195E02">
        <w:rPr>
          <w:rFonts w:eastAsia="Times New Roman" w:cs="Times New Roman"/>
          <w:lang w:eastAsia="de-DE"/>
        </w:rPr>
        <w:t>(über das Angesicht des Feldes) zeigt die Richtung ins Freie.</w:t>
      </w:r>
    </w:p>
    <w:p w14:paraId="5C358C5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 xml:space="preserve">als rituelle Vollzahl entsprechend anderen Besprengungsritualen. </w:t>
      </w:r>
      <w:r w:rsidRPr="00195E02">
        <w:rPr>
          <w:rFonts w:eastAsia="Times New Roman" w:cs="Times New Roman"/>
          <w:b/>
          <w:bCs/>
          <w:rtl/>
          <w:lang w:eastAsia="de-DE"/>
        </w:rPr>
        <w:t>וטהרו</w:t>
      </w:r>
      <w:r w:rsidRPr="00195E02">
        <w:rPr>
          <w:rFonts w:eastAsia="Times New Roman" w:cs="Times New Roman"/>
          <w:rtl/>
          <w:lang w:eastAsia="de-DE"/>
        </w:rPr>
        <w:t xml:space="preserve"> </w:t>
      </w:r>
      <w:r w:rsidRPr="00195E02">
        <w:rPr>
          <w:rFonts w:eastAsia="Times New Roman" w:cs="Times New Roman"/>
          <w:lang w:eastAsia="de-DE"/>
        </w:rPr>
        <w:t xml:space="preserve">zeigt die erste Reinheitserklärung. </w:t>
      </w:r>
      <w:r w:rsidRPr="00195E02">
        <w:rPr>
          <w:rFonts w:eastAsia="Times New Roman" w:cs="Times New Roman"/>
          <w:b/>
          <w:bCs/>
          <w:rtl/>
          <w:lang w:eastAsia="de-DE"/>
        </w:rPr>
        <w:t>על־פני השדה</w:t>
      </w:r>
      <w:r w:rsidRPr="00195E02">
        <w:rPr>
          <w:rFonts w:eastAsia="Times New Roman" w:cs="Times New Roman"/>
          <w:rtl/>
          <w:lang w:eastAsia="de-DE"/>
        </w:rPr>
        <w:t xml:space="preserve"> </w:t>
      </w:r>
      <w:r w:rsidRPr="00195E02">
        <w:rPr>
          <w:rFonts w:eastAsia="Times New Roman" w:cs="Times New Roman"/>
          <w:lang w:eastAsia="de-DE"/>
        </w:rPr>
        <w:t>zeigt Rückkehr des lebendigen Vogels zur Natur.</w:t>
      </w:r>
    </w:p>
    <w:p w14:paraId="0D55168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והזה</w:t>
      </w:r>
      <w:r w:rsidRPr="00195E02">
        <w:rPr>
          <w:rFonts w:eastAsia="Times New Roman" w:cs="Times New Roman"/>
          <w:rtl/>
          <w:lang w:eastAsia="de-DE"/>
        </w:rPr>
        <w:t xml:space="preserve"> </w:t>
      </w:r>
      <w:r w:rsidRPr="00195E02">
        <w:rPr>
          <w:rFonts w:eastAsia="Times New Roman" w:cs="Times New Roman"/>
          <w:lang w:eastAsia="de-DE"/>
        </w:rPr>
        <w:t>mit ῥα</w:t>
      </w:r>
      <w:proofErr w:type="spellStart"/>
      <w:r w:rsidRPr="00195E02">
        <w:rPr>
          <w:rFonts w:eastAsia="Times New Roman" w:cs="Times New Roman"/>
          <w:lang w:eastAsia="de-DE"/>
        </w:rPr>
        <w:t>νεῖ</w:t>
      </w:r>
      <w:proofErr w:type="spellEnd"/>
      <w:r w:rsidRPr="00195E02">
        <w:rPr>
          <w:rFonts w:eastAsia="Times New Roman" w:cs="Times New Roman"/>
          <w:lang w:eastAsia="de-DE"/>
        </w:rPr>
        <w:t xml:space="preserve"> (er wird sprengen),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mit ἑπ</w:t>
      </w:r>
      <w:proofErr w:type="spellStart"/>
      <w:r w:rsidRPr="00195E02">
        <w:rPr>
          <w:rFonts w:eastAsia="Times New Roman" w:cs="Times New Roman"/>
          <w:lang w:eastAsia="de-DE"/>
        </w:rPr>
        <w:t>τάκις</w:t>
      </w:r>
      <w:proofErr w:type="spellEnd"/>
      <w:r w:rsidRPr="00195E02">
        <w:rPr>
          <w:rFonts w:eastAsia="Times New Roman" w:cs="Times New Roman"/>
          <w:lang w:eastAsia="de-DE"/>
        </w:rPr>
        <w:t xml:space="preserve"> (siebenmal), </w:t>
      </w:r>
      <w:r w:rsidRPr="00195E02">
        <w:rPr>
          <w:rFonts w:eastAsia="Times New Roman" w:cs="Times New Roman"/>
          <w:b/>
          <w:bCs/>
          <w:rtl/>
          <w:lang w:eastAsia="de-DE"/>
        </w:rPr>
        <w:t>וטהרו</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ριεῖ</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ὐτόν</w:t>
      </w:r>
      <w:proofErr w:type="spellEnd"/>
      <w:r w:rsidRPr="00195E02">
        <w:rPr>
          <w:rFonts w:eastAsia="Times New Roman" w:cs="Times New Roman"/>
          <w:lang w:eastAsia="de-DE"/>
        </w:rPr>
        <w:t xml:space="preserve"> (er wird ihn reinigen) und </w:t>
      </w:r>
      <w:r w:rsidRPr="00195E02">
        <w:rPr>
          <w:rFonts w:eastAsia="Times New Roman" w:cs="Times New Roman"/>
          <w:b/>
          <w:bCs/>
          <w:rtl/>
          <w:lang w:eastAsia="de-DE"/>
        </w:rPr>
        <w:t>על־פני השדה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εἰς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εδίον</w:t>
      </w:r>
      <w:proofErr w:type="spellEnd"/>
      <w:r w:rsidRPr="00195E02">
        <w:rPr>
          <w:rFonts w:eastAsia="Times New Roman" w:cs="Times New Roman"/>
          <w:lang w:eastAsia="de-DE"/>
        </w:rPr>
        <w:t xml:space="preserve"> (ins Feld).</w:t>
      </w:r>
    </w:p>
    <w:p w14:paraId="144F2D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Ritualabschluss: Besprengung mit Häufigkeitsangabe + erste Reinheitserklärung + symbolische Freilassung. Die Struktur zeigt den Abschluss des ersten Reinigungsrituals.</w:t>
      </w:r>
    </w:p>
    <w:p w14:paraId="3C94B1D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siebenmalige Besprengung, erste Reinheitserklärung und symbolische Freilassung des lebendigen Vogels.</w:t>
      </w:r>
    </w:p>
    <w:p w14:paraId="25CB98E1"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14,8</w:t>
      </w:r>
    </w:p>
    <w:p w14:paraId="0EB4B3A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וְכִבֶּס֩ הַמִּטַּהֵ֨ר אֶת־בְּגָדָ֜יו וְגִלַּ֣ח אֶת־כָּל־שְׂעָרֹ֗ו וְרָחַ֤ץ בַּמַּ֨יִם֙ וְטָהֵ֔ר וְאַחַ֖ר יָב֣וֹא אֶל־הַֽמַּחֲנֶ֑ה וְיָשַׁ֛ב מִח֥וּץ לְאָהֳלֹ֖ו שִׁבְעַ֥ת יָמִֽים׃</w:t>
      </w:r>
    </w:p>
    <w:p w14:paraId="455BCA5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sich Reinigende soll seine Kleider waschen und all sein Haar scheren und in Wasser baden, und er ist rein. Und danach soll er ins Lager kommen, aber er soll sieben Tage außerhalb seines Zeltes bleiben.</w:t>
      </w:r>
    </w:p>
    <w:p w14:paraId="6D6DE41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6A8161C">
          <v:rect id="_x0000_i1398" style="width:0;height:1.5pt" o:hralign="center" o:hrstd="t" o:hr="t" fillcolor="#a0a0a0" stroked="f"/>
        </w:pict>
      </w:r>
    </w:p>
    <w:p w14:paraId="2BD5001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וכבס המטהר את־בגדיו וגלח את־כל־שערו ורחץ במים וטהר ואחר יבוא אל־המחנה וישב מחוץ לאהלו שבעת ימים</w:t>
      </w:r>
      <w:r w:rsidRPr="00195E02">
        <w:rPr>
          <w:rFonts w:eastAsia="Times New Roman" w:cs="Times New Roman"/>
          <w:rtl/>
          <w:lang w:eastAsia="de-DE"/>
        </w:rPr>
        <w:t xml:space="preserve"> </w:t>
      </w:r>
      <w:r w:rsidRPr="00195E02">
        <w:rPr>
          <w:rFonts w:eastAsia="Times New Roman" w:cs="Times New Roman"/>
          <w:lang w:eastAsia="de-DE"/>
        </w:rPr>
        <w:t xml:space="preserve">zeigt die körperliche Reinigung und schrittweise Reintegration. </w:t>
      </w:r>
      <w:r w:rsidRPr="00195E02">
        <w:rPr>
          <w:rFonts w:eastAsia="Times New Roman" w:cs="Times New Roman"/>
          <w:b/>
          <w:bCs/>
          <w:rtl/>
          <w:lang w:eastAsia="de-DE"/>
        </w:rPr>
        <w:t>וכבס המטהר את־בגדיו</w:t>
      </w:r>
      <w:r w:rsidRPr="00195E02">
        <w:rPr>
          <w:rFonts w:eastAsia="Times New Roman" w:cs="Times New Roman"/>
          <w:rtl/>
          <w:lang w:eastAsia="de-DE"/>
        </w:rPr>
        <w:t xml:space="preserve"> </w:t>
      </w:r>
      <w:r w:rsidRPr="00195E02">
        <w:rPr>
          <w:rFonts w:eastAsia="Times New Roman" w:cs="Times New Roman"/>
          <w:lang w:eastAsia="de-DE"/>
        </w:rPr>
        <w:t xml:space="preserve">(und der sich Reinigende soll seine Kleider waschen) - </w:t>
      </w:r>
      <w:r w:rsidRPr="00195E02">
        <w:rPr>
          <w:rFonts w:eastAsia="Times New Roman" w:cs="Times New Roman"/>
          <w:b/>
          <w:bCs/>
          <w:rtl/>
          <w:lang w:eastAsia="de-DE"/>
        </w:rPr>
        <w:t>כבס</w:t>
      </w:r>
      <w:r w:rsidRPr="00195E02">
        <w:rPr>
          <w:rFonts w:eastAsia="Times New Roman" w:cs="Times New Roman"/>
          <w:rtl/>
          <w:lang w:eastAsia="de-DE"/>
        </w:rPr>
        <w:t xml:space="preserve"> </w:t>
      </w:r>
      <w:r w:rsidRPr="00195E02">
        <w:rPr>
          <w:rFonts w:eastAsia="Times New Roman" w:cs="Times New Roman"/>
          <w:lang w:eastAsia="de-DE"/>
        </w:rPr>
        <w:t xml:space="preserve">(waschen) im Piel-Perfekt mit Waw-Konsekutiv. </w:t>
      </w:r>
      <w:r w:rsidRPr="00195E02">
        <w:rPr>
          <w:rFonts w:eastAsia="Times New Roman" w:cs="Times New Roman"/>
          <w:b/>
          <w:bCs/>
          <w:rtl/>
          <w:lang w:eastAsia="de-DE"/>
        </w:rPr>
        <w:t>וגלח את־כל־שערו</w:t>
      </w:r>
      <w:r w:rsidRPr="00195E02">
        <w:rPr>
          <w:rFonts w:eastAsia="Times New Roman" w:cs="Times New Roman"/>
          <w:rtl/>
          <w:lang w:eastAsia="de-DE"/>
        </w:rPr>
        <w:t xml:space="preserve"> </w:t>
      </w:r>
      <w:r w:rsidRPr="00195E02">
        <w:rPr>
          <w:rFonts w:eastAsia="Times New Roman" w:cs="Times New Roman"/>
          <w:lang w:eastAsia="de-DE"/>
        </w:rPr>
        <w:t xml:space="preserve">(und all sein Haar scheren) - </w:t>
      </w:r>
      <w:r w:rsidRPr="00195E02">
        <w:rPr>
          <w:rFonts w:eastAsia="Times New Roman" w:cs="Times New Roman"/>
          <w:b/>
          <w:bCs/>
          <w:rtl/>
          <w:lang w:eastAsia="de-DE"/>
        </w:rPr>
        <w:t>גלח</w:t>
      </w:r>
      <w:r w:rsidRPr="00195E02">
        <w:rPr>
          <w:rFonts w:eastAsia="Times New Roman" w:cs="Times New Roman"/>
          <w:rtl/>
          <w:lang w:eastAsia="de-DE"/>
        </w:rPr>
        <w:t xml:space="preserve"> </w:t>
      </w:r>
      <w:r w:rsidRPr="00195E02">
        <w:rPr>
          <w:rFonts w:eastAsia="Times New Roman" w:cs="Times New Roman"/>
          <w:lang w:eastAsia="de-DE"/>
        </w:rPr>
        <w:t xml:space="preserve">(scheren) im Piel-Perfekt, </w:t>
      </w:r>
      <w:r w:rsidRPr="00195E02">
        <w:rPr>
          <w:rFonts w:eastAsia="Times New Roman" w:cs="Times New Roman"/>
          <w:b/>
          <w:bCs/>
          <w:rtl/>
          <w:lang w:eastAsia="de-DE"/>
        </w:rPr>
        <w:t>כל־שערו</w:t>
      </w:r>
      <w:r w:rsidRPr="00195E02">
        <w:rPr>
          <w:rFonts w:eastAsia="Times New Roman" w:cs="Times New Roman"/>
          <w:rtl/>
          <w:lang w:eastAsia="de-DE"/>
        </w:rPr>
        <w:t xml:space="preserve"> </w:t>
      </w:r>
      <w:r w:rsidRPr="00195E02">
        <w:rPr>
          <w:rFonts w:eastAsia="Times New Roman" w:cs="Times New Roman"/>
          <w:lang w:eastAsia="de-DE"/>
        </w:rPr>
        <w:t>(all sein Haar) zeigt totale Haarentfernung.</w:t>
      </w:r>
    </w:p>
    <w:p w14:paraId="2570ED7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ורחץ במים וטהר</w:t>
      </w:r>
      <w:r w:rsidRPr="00195E02">
        <w:rPr>
          <w:rFonts w:eastAsia="Times New Roman" w:cs="Times New Roman"/>
          <w:rtl/>
          <w:lang w:eastAsia="de-DE"/>
        </w:rPr>
        <w:t xml:space="preserve"> </w:t>
      </w:r>
      <w:r w:rsidRPr="00195E02">
        <w:rPr>
          <w:rFonts w:eastAsia="Times New Roman" w:cs="Times New Roman"/>
          <w:lang w:eastAsia="de-DE"/>
        </w:rPr>
        <w:t xml:space="preserve">(und in Wasser baden, und er ist rein) - </w:t>
      </w:r>
      <w:r w:rsidRPr="00195E02">
        <w:rPr>
          <w:rFonts w:eastAsia="Times New Roman" w:cs="Times New Roman"/>
          <w:b/>
          <w:bCs/>
          <w:rtl/>
          <w:lang w:eastAsia="de-DE"/>
        </w:rPr>
        <w:t>רחץ</w:t>
      </w:r>
      <w:r w:rsidRPr="00195E02">
        <w:rPr>
          <w:rFonts w:eastAsia="Times New Roman" w:cs="Times New Roman"/>
          <w:rtl/>
          <w:lang w:eastAsia="de-DE"/>
        </w:rPr>
        <w:t xml:space="preserve"> </w:t>
      </w:r>
      <w:r w:rsidRPr="00195E02">
        <w:rPr>
          <w:rFonts w:eastAsia="Times New Roman" w:cs="Times New Roman"/>
          <w:lang w:eastAsia="de-DE"/>
        </w:rPr>
        <w:t xml:space="preserve">(baden) im Qal-Perfekt.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(und er ist rein) zeigt zweite Reinheitserklärung nach V. 7.</w:t>
      </w:r>
    </w:p>
    <w:p w14:paraId="78538F4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ואחר יבוא אל־המחנה וישב מחוץ לאהלו שבעת ימים</w:t>
      </w:r>
      <w:r w:rsidRPr="00195E02">
        <w:rPr>
          <w:rFonts w:eastAsia="Times New Roman" w:cs="Times New Roman"/>
          <w:rtl/>
          <w:lang w:eastAsia="de-DE"/>
        </w:rPr>
        <w:t xml:space="preserve"> </w:t>
      </w:r>
      <w:r w:rsidRPr="00195E02">
        <w:rPr>
          <w:rFonts w:eastAsia="Times New Roman" w:cs="Times New Roman"/>
          <w:lang w:eastAsia="de-DE"/>
        </w:rPr>
        <w:t xml:space="preserve">zeigt begrenzte Reintegration. </w:t>
      </w:r>
      <w:r w:rsidRPr="00195E02">
        <w:rPr>
          <w:rFonts w:eastAsia="Times New Roman" w:cs="Times New Roman"/>
          <w:b/>
          <w:bCs/>
          <w:rtl/>
          <w:lang w:eastAsia="de-DE"/>
        </w:rPr>
        <w:t>ואחר יבוא אל־המחנה</w:t>
      </w:r>
      <w:r w:rsidRPr="00195E02">
        <w:rPr>
          <w:rFonts w:eastAsia="Times New Roman" w:cs="Times New Roman"/>
          <w:rtl/>
          <w:lang w:eastAsia="de-DE"/>
        </w:rPr>
        <w:t xml:space="preserve"> </w:t>
      </w:r>
      <w:r w:rsidRPr="00195E02">
        <w:rPr>
          <w:rFonts w:eastAsia="Times New Roman" w:cs="Times New Roman"/>
          <w:lang w:eastAsia="de-DE"/>
        </w:rPr>
        <w:t xml:space="preserve">(und danach soll er ins Lager kommen) zeigt Ende der totalen Isolation. </w:t>
      </w:r>
      <w:r w:rsidRPr="00195E02">
        <w:rPr>
          <w:rFonts w:eastAsia="Times New Roman" w:cs="Times New Roman"/>
          <w:b/>
          <w:bCs/>
          <w:rtl/>
          <w:lang w:eastAsia="de-DE"/>
        </w:rPr>
        <w:t>וישב מחוץ לאהלו שבעת ימים</w:t>
      </w:r>
      <w:r w:rsidRPr="00195E02">
        <w:rPr>
          <w:rFonts w:eastAsia="Times New Roman" w:cs="Times New Roman"/>
          <w:rtl/>
          <w:lang w:eastAsia="de-DE"/>
        </w:rPr>
        <w:t xml:space="preserve"> </w:t>
      </w:r>
      <w:r w:rsidRPr="00195E02">
        <w:rPr>
          <w:rFonts w:eastAsia="Times New Roman" w:cs="Times New Roman"/>
          <w:lang w:eastAsia="de-DE"/>
        </w:rPr>
        <w:t>(aber er soll sieben Tage außerhalb seines Zeltes bleiben) zeigt Zwischenstatus.</w:t>
      </w:r>
    </w:p>
    <w:p w14:paraId="38AD745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כבס את־בגדיו וגלח את־כל־שערו ורחץ במים</w:t>
      </w:r>
      <w:r w:rsidRPr="00195E02">
        <w:rPr>
          <w:rFonts w:eastAsia="Times New Roman" w:cs="Times New Roman"/>
          <w:rtl/>
          <w:lang w:eastAsia="de-DE"/>
        </w:rPr>
        <w:t xml:space="preserve"> </w:t>
      </w:r>
      <w:r w:rsidRPr="00195E02">
        <w:rPr>
          <w:rFonts w:eastAsia="Times New Roman" w:cs="Times New Roman"/>
          <w:lang w:eastAsia="de-DE"/>
        </w:rPr>
        <w:t xml:space="preserve">als dreifache körperliche Reinigung.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 xml:space="preserve">als zweite Reinheitsbestätigung. </w:t>
      </w:r>
      <w:r w:rsidRPr="00195E02">
        <w:rPr>
          <w:rFonts w:eastAsia="Times New Roman" w:cs="Times New Roman"/>
          <w:b/>
          <w:bCs/>
          <w:rtl/>
          <w:lang w:eastAsia="de-DE"/>
        </w:rPr>
        <w:t>יבוא אל־המחנה</w:t>
      </w:r>
      <w:r w:rsidRPr="00195E02">
        <w:rPr>
          <w:rFonts w:eastAsia="Times New Roman" w:cs="Times New Roman"/>
          <w:rtl/>
          <w:lang w:eastAsia="de-DE"/>
        </w:rPr>
        <w:t xml:space="preserve"> </w:t>
      </w:r>
      <w:r w:rsidRPr="00195E02">
        <w:rPr>
          <w:rFonts w:eastAsia="Times New Roman" w:cs="Times New Roman"/>
          <w:lang w:eastAsia="de-DE"/>
        </w:rPr>
        <w:t xml:space="preserve">aber </w:t>
      </w:r>
      <w:r w:rsidRPr="00195E02">
        <w:rPr>
          <w:rFonts w:eastAsia="Times New Roman" w:cs="Times New Roman"/>
          <w:b/>
          <w:bCs/>
          <w:rtl/>
          <w:lang w:eastAsia="de-DE"/>
        </w:rPr>
        <w:t>מחוץ לאהלו</w:t>
      </w:r>
      <w:r w:rsidRPr="00195E02">
        <w:rPr>
          <w:rFonts w:eastAsia="Times New Roman" w:cs="Times New Roman"/>
          <w:rtl/>
          <w:lang w:eastAsia="de-DE"/>
        </w:rPr>
        <w:t xml:space="preserve"> </w:t>
      </w:r>
      <w:r w:rsidRPr="00195E02">
        <w:rPr>
          <w:rFonts w:eastAsia="Times New Roman" w:cs="Times New Roman"/>
          <w:lang w:eastAsia="de-DE"/>
        </w:rPr>
        <w:t>zeigt graduellen Reintegrationsprozess.</w:t>
      </w:r>
    </w:p>
    <w:p w14:paraId="7154C85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וכבס</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λυνεῖ</w:t>
      </w:r>
      <w:proofErr w:type="spellEnd"/>
      <w:r w:rsidRPr="00195E02">
        <w:rPr>
          <w:rFonts w:eastAsia="Times New Roman" w:cs="Times New Roman"/>
          <w:lang w:eastAsia="de-DE"/>
        </w:rPr>
        <w:t xml:space="preserve"> (er wird waschen), </w:t>
      </w:r>
      <w:r w:rsidRPr="00195E02">
        <w:rPr>
          <w:rFonts w:eastAsia="Times New Roman" w:cs="Times New Roman"/>
          <w:b/>
          <w:bCs/>
          <w:rtl/>
          <w:lang w:eastAsia="de-DE"/>
        </w:rPr>
        <w:t>וגלח</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ξυρήσει</w:t>
      </w:r>
      <w:proofErr w:type="spellEnd"/>
      <w:r w:rsidRPr="00195E02">
        <w:rPr>
          <w:rFonts w:eastAsia="Times New Roman" w:cs="Times New Roman"/>
          <w:lang w:eastAsia="de-DE"/>
        </w:rPr>
        <w:t xml:space="preserve"> (er wird scheren), </w:t>
      </w:r>
      <w:r w:rsidRPr="00195E02">
        <w:rPr>
          <w:rFonts w:eastAsia="Times New Roman" w:cs="Times New Roman"/>
          <w:b/>
          <w:bCs/>
          <w:rtl/>
          <w:lang w:eastAsia="de-DE"/>
        </w:rPr>
        <w:t>ורחץ</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λούσετ</w:t>
      </w:r>
      <w:proofErr w:type="spellEnd"/>
      <w:r w:rsidRPr="00195E02">
        <w:rPr>
          <w:rFonts w:eastAsia="Times New Roman" w:cs="Times New Roman"/>
          <w:lang w:eastAsia="de-DE"/>
        </w:rPr>
        <w:t xml:space="preserve">αι (er wird baden) und </w:t>
      </w:r>
      <w:r w:rsidRPr="00195E02">
        <w:rPr>
          <w:rFonts w:eastAsia="Times New Roman" w:cs="Times New Roman"/>
          <w:b/>
          <w:bCs/>
          <w:rtl/>
          <w:lang w:eastAsia="de-DE"/>
        </w:rPr>
        <w:t>מחוץ לאהלו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ἔξω</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οἰκί</w:t>
      </w:r>
      <w:proofErr w:type="spellEnd"/>
      <w:r w:rsidRPr="00195E02">
        <w:rPr>
          <w:rFonts w:eastAsia="Times New Roman" w:cs="Times New Roman"/>
          <w:lang w:eastAsia="de-DE"/>
        </w:rPr>
        <w:t>ας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(außerhalb seines Hauses).</w:t>
      </w:r>
    </w:p>
    <w:p w14:paraId="5C971EF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Übergangsphase: dreifache körperliche Reinigung + zweite Reinheitsbestätigung + eingeschränkte Rückkehr + Zwischenquarantäne. Die Struktur zeigt gestuften Reintegrationsprozess.</w:t>
      </w:r>
    </w:p>
    <w:p w14:paraId="2C8C477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Übergangsphase: körperliche Reinigung, Rückkehr ins Lager, aber siebentägige Zeltisolation.</w:t>
      </w:r>
    </w:p>
    <w:p w14:paraId="1C9DA61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14,9</w:t>
      </w:r>
    </w:p>
    <w:p w14:paraId="66F9E41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וְהָיָה֩ בַיּ֨וֹם הַשְּׁבִיעִ֜י יְגַלַּ֣ח אֶת־כָּל־שְׂעָרֹ֗ו אֶת־רֹאשֹׁ֤ו וְאֶת־זְקָנוֹ֙ וְאֵת֙ גַּבֹּ֣ת עֵינָ֔יו וְאֶת־כָּל־שְׂעָרֹ֖ו יְגַלֵּ֑חַ וְכִבֶּ֣ס אֶת־בְּגָדָ֗יו וְרָחַ֧ץ אֶת־בְּשָׂרֹ֛ו בַּמַּ֖יִם וְטָהֵֽר׃</w:t>
      </w:r>
    </w:p>
    <w:p w14:paraId="1BAF82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es soll sein am siebten Tag: er soll all sein Haar scheren, seinen Kopf und seinen Bart und seine Augenbrauen; all sein Haar soll er scheren. Und er soll seine Kleider waschen und seinen Körper in Wasser baden, und er ist rein.</w:t>
      </w:r>
    </w:p>
    <w:p w14:paraId="3727605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965084B">
          <v:rect id="_x0000_i1399" style="width:0;height:1.5pt" o:hralign="center" o:hrstd="t" o:hr="t" fillcolor="#a0a0a0" stroked="f"/>
        </w:pict>
      </w:r>
    </w:p>
    <w:p w14:paraId="7CA7368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והיה ביום השביעי יגלח את־כל־שערו את־ראשו ואת־זקנו ואת גבת עיניו ואת־כל־שערו יגלח וכבס את־בגדיו ורחץ את־בשרו במים וטהר</w:t>
      </w:r>
      <w:r w:rsidRPr="00195E02">
        <w:rPr>
          <w:rFonts w:eastAsia="Times New Roman" w:cs="Times New Roman"/>
          <w:rtl/>
          <w:lang w:eastAsia="de-DE"/>
        </w:rPr>
        <w:t xml:space="preserve"> </w:t>
      </w:r>
      <w:r w:rsidRPr="00195E02">
        <w:rPr>
          <w:rFonts w:eastAsia="Times New Roman" w:cs="Times New Roman"/>
          <w:lang w:eastAsia="de-DE"/>
        </w:rPr>
        <w:t xml:space="preserve">zeigt die zweite umfassende Reinigung. </w:t>
      </w:r>
      <w:r w:rsidRPr="00195E02">
        <w:rPr>
          <w:rFonts w:eastAsia="Times New Roman" w:cs="Times New Roman"/>
          <w:b/>
          <w:bCs/>
          <w:rtl/>
          <w:lang w:eastAsia="de-DE"/>
        </w:rPr>
        <w:t>והיה ביום השביעי</w:t>
      </w:r>
      <w:r w:rsidRPr="00195E02">
        <w:rPr>
          <w:rFonts w:eastAsia="Times New Roman" w:cs="Times New Roman"/>
          <w:rtl/>
          <w:lang w:eastAsia="de-DE"/>
        </w:rPr>
        <w:t xml:space="preserve"> </w:t>
      </w:r>
      <w:r w:rsidRPr="00195E02">
        <w:rPr>
          <w:rFonts w:eastAsia="Times New Roman" w:cs="Times New Roman"/>
          <w:lang w:eastAsia="de-DE"/>
        </w:rPr>
        <w:t xml:space="preserve">(und es soll sein am siebten Tag) nach der Zeltisolation. </w:t>
      </w:r>
      <w:r w:rsidRPr="00195E02">
        <w:rPr>
          <w:rFonts w:eastAsia="Times New Roman" w:cs="Times New Roman"/>
          <w:b/>
          <w:bCs/>
          <w:rtl/>
          <w:lang w:eastAsia="de-DE"/>
        </w:rPr>
        <w:t>יגלח את־כל־שערו</w:t>
      </w:r>
      <w:r w:rsidRPr="00195E02">
        <w:rPr>
          <w:rFonts w:eastAsia="Times New Roman" w:cs="Times New Roman"/>
          <w:rtl/>
          <w:lang w:eastAsia="de-DE"/>
        </w:rPr>
        <w:t xml:space="preserve"> </w:t>
      </w:r>
      <w:r w:rsidRPr="00195E02">
        <w:rPr>
          <w:rFonts w:eastAsia="Times New Roman" w:cs="Times New Roman"/>
          <w:lang w:eastAsia="de-DE"/>
        </w:rPr>
        <w:t>(er soll all sein Haar scheren) wiederholt V. 8.</w:t>
      </w:r>
    </w:p>
    <w:p w14:paraId="35E2D15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את־ראשו ואת־זקנו ואת גבת עיניו</w:t>
      </w:r>
      <w:r w:rsidRPr="00195E02">
        <w:rPr>
          <w:rFonts w:eastAsia="Times New Roman" w:cs="Times New Roman"/>
          <w:rtl/>
          <w:lang w:eastAsia="de-DE"/>
        </w:rPr>
        <w:t xml:space="preserve"> </w:t>
      </w:r>
      <w:r w:rsidRPr="00195E02">
        <w:rPr>
          <w:rFonts w:eastAsia="Times New Roman" w:cs="Times New Roman"/>
          <w:lang w:eastAsia="de-DE"/>
        </w:rPr>
        <w:t xml:space="preserve">spezifiziert detailliert. </w:t>
      </w:r>
      <w:r w:rsidRPr="00195E02">
        <w:rPr>
          <w:rFonts w:eastAsia="Times New Roman" w:cs="Times New Roman"/>
          <w:b/>
          <w:bCs/>
          <w:rtl/>
          <w:lang w:eastAsia="de-DE"/>
        </w:rPr>
        <w:t>את־ראשו</w:t>
      </w:r>
      <w:r w:rsidRPr="00195E02">
        <w:rPr>
          <w:rFonts w:eastAsia="Times New Roman" w:cs="Times New Roman"/>
          <w:rtl/>
          <w:lang w:eastAsia="de-DE"/>
        </w:rPr>
        <w:t xml:space="preserve"> </w:t>
      </w:r>
      <w:r w:rsidRPr="00195E02">
        <w:rPr>
          <w:rFonts w:eastAsia="Times New Roman" w:cs="Times New Roman"/>
          <w:lang w:eastAsia="de-DE"/>
        </w:rPr>
        <w:t xml:space="preserve">(seinen Kopf), </w:t>
      </w:r>
      <w:r w:rsidRPr="00195E02">
        <w:rPr>
          <w:rFonts w:eastAsia="Times New Roman" w:cs="Times New Roman"/>
          <w:b/>
          <w:bCs/>
          <w:rtl/>
          <w:lang w:eastAsia="de-DE"/>
        </w:rPr>
        <w:t>ואת־זקנו</w:t>
      </w:r>
      <w:r w:rsidRPr="00195E02">
        <w:rPr>
          <w:rFonts w:eastAsia="Times New Roman" w:cs="Times New Roman"/>
          <w:rtl/>
          <w:lang w:eastAsia="de-DE"/>
        </w:rPr>
        <w:t xml:space="preserve"> </w:t>
      </w:r>
      <w:r w:rsidRPr="00195E02">
        <w:rPr>
          <w:rFonts w:eastAsia="Times New Roman" w:cs="Times New Roman"/>
          <w:lang w:eastAsia="de-DE"/>
        </w:rPr>
        <w:t xml:space="preserve">(und seinen Bart), </w:t>
      </w:r>
      <w:r w:rsidRPr="00195E02">
        <w:rPr>
          <w:rFonts w:eastAsia="Times New Roman" w:cs="Times New Roman"/>
          <w:b/>
          <w:bCs/>
          <w:rtl/>
          <w:lang w:eastAsia="de-DE"/>
        </w:rPr>
        <w:t>ואת גבת עיניו</w:t>
      </w:r>
      <w:r w:rsidRPr="00195E02">
        <w:rPr>
          <w:rFonts w:eastAsia="Times New Roman" w:cs="Times New Roman"/>
          <w:rtl/>
          <w:lang w:eastAsia="de-DE"/>
        </w:rPr>
        <w:t xml:space="preserve"> </w:t>
      </w:r>
      <w:r w:rsidRPr="00195E02">
        <w:rPr>
          <w:rFonts w:eastAsia="Times New Roman" w:cs="Times New Roman"/>
          <w:lang w:eastAsia="de-DE"/>
        </w:rPr>
        <w:t xml:space="preserve">(und seine Augenbrauen) - </w:t>
      </w:r>
      <w:r w:rsidRPr="00195E02">
        <w:rPr>
          <w:rFonts w:eastAsia="Times New Roman" w:cs="Times New Roman"/>
          <w:b/>
          <w:bCs/>
          <w:rtl/>
          <w:lang w:eastAsia="de-DE"/>
        </w:rPr>
        <w:t>גבת עיניו</w:t>
      </w:r>
      <w:r w:rsidRPr="00195E02">
        <w:rPr>
          <w:rFonts w:eastAsia="Times New Roman" w:cs="Times New Roman"/>
          <w:rtl/>
          <w:lang w:eastAsia="de-DE"/>
        </w:rPr>
        <w:t xml:space="preserve"> </w:t>
      </w:r>
      <w:r w:rsidRPr="00195E02">
        <w:rPr>
          <w:rFonts w:eastAsia="Times New Roman" w:cs="Times New Roman"/>
          <w:lang w:eastAsia="de-DE"/>
        </w:rPr>
        <w:t xml:space="preserve">(Augenbrauen) als spezielle Körperbehaarung. </w:t>
      </w:r>
      <w:r w:rsidRPr="00195E02">
        <w:rPr>
          <w:rFonts w:eastAsia="Times New Roman" w:cs="Times New Roman"/>
          <w:b/>
          <w:bCs/>
          <w:rtl/>
          <w:lang w:eastAsia="de-DE"/>
        </w:rPr>
        <w:t>ואת־כל־שערו יגלח</w:t>
      </w:r>
      <w:r w:rsidRPr="00195E02">
        <w:rPr>
          <w:rFonts w:eastAsia="Times New Roman" w:cs="Times New Roman"/>
          <w:rtl/>
          <w:lang w:eastAsia="de-DE"/>
        </w:rPr>
        <w:t xml:space="preserve"> </w:t>
      </w:r>
      <w:r w:rsidRPr="00195E02">
        <w:rPr>
          <w:rFonts w:eastAsia="Times New Roman" w:cs="Times New Roman"/>
          <w:lang w:eastAsia="de-DE"/>
        </w:rPr>
        <w:t>(und all sein Haar soll er scheren) bekräftigt die Totalität.</w:t>
      </w:r>
    </w:p>
    <w:p w14:paraId="59861F1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וכבס את־בגדיו ורחץ את־בשרו במים וטהר</w:t>
      </w:r>
      <w:r w:rsidRPr="00195E02">
        <w:rPr>
          <w:rFonts w:eastAsia="Times New Roman" w:cs="Times New Roman"/>
          <w:rtl/>
          <w:lang w:eastAsia="de-DE"/>
        </w:rPr>
        <w:t xml:space="preserve"> </w:t>
      </w:r>
      <w:r w:rsidRPr="00195E02">
        <w:rPr>
          <w:rFonts w:eastAsia="Times New Roman" w:cs="Times New Roman"/>
          <w:lang w:eastAsia="de-DE"/>
        </w:rPr>
        <w:t xml:space="preserve">wiederholt die Reinigungsakte aus V. 8. </w:t>
      </w:r>
      <w:r w:rsidRPr="00195E02">
        <w:rPr>
          <w:rFonts w:eastAsia="Times New Roman" w:cs="Times New Roman"/>
          <w:b/>
          <w:bCs/>
          <w:rtl/>
          <w:lang w:eastAsia="de-DE"/>
        </w:rPr>
        <w:t>ורחץ את־בשרו</w:t>
      </w:r>
      <w:r w:rsidRPr="00195E02">
        <w:rPr>
          <w:rFonts w:eastAsia="Times New Roman" w:cs="Times New Roman"/>
          <w:rtl/>
          <w:lang w:eastAsia="de-DE"/>
        </w:rPr>
        <w:t xml:space="preserve"> </w:t>
      </w:r>
      <w:r w:rsidRPr="00195E02">
        <w:rPr>
          <w:rFonts w:eastAsia="Times New Roman" w:cs="Times New Roman"/>
          <w:lang w:eastAsia="de-DE"/>
        </w:rPr>
        <w:t xml:space="preserve">(und seinen Körper baden) mit expliziter Nennung von </w:t>
      </w:r>
      <w:r w:rsidRPr="00195E02">
        <w:rPr>
          <w:rFonts w:eastAsia="Times New Roman" w:cs="Times New Roman"/>
          <w:b/>
          <w:bCs/>
          <w:rtl/>
          <w:lang w:eastAsia="de-DE"/>
        </w:rPr>
        <w:t>בשרו</w:t>
      </w:r>
      <w:r w:rsidRPr="00195E02">
        <w:rPr>
          <w:rFonts w:eastAsia="Times New Roman" w:cs="Times New Roman"/>
          <w:rtl/>
          <w:lang w:eastAsia="de-DE"/>
        </w:rPr>
        <w:t xml:space="preserve"> </w:t>
      </w:r>
      <w:r w:rsidRPr="00195E02">
        <w:rPr>
          <w:rFonts w:eastAsia="Times New Roman" w:cs="Times New Roman"/>
          <w:lang w:eastAsia="de-DE"/>
        </w:rPr>
        <w:t>(sein Körper/Fleisch).</w:t>
      </w:r>
    </w:p>
    <w:p w14:paraId="0964AF4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יגלח את־כל־שערו</w:t>
      </w:r>
      <w:r w:rsidRPr="00195E02">
        <w:rPr>
          <w:rFonts w:eastAsia="Times New Roman" w:cs="Times New Roman"/>
          <w:rtl/>
          <w:lang w:eastAsia="de-DE"/>
        </w:rPr>
        <w:t xml:space="preserve"> </w:t>
      </w:r>
      <w:r w:rsidRPr="00195E02">
        <w:rPr>
          <w:rFonts w:eastAsia="Times New Roman" w:cs="Times New Roman"/>
          <w:lang w:eastAsia="de-DE"/>
        </w:rPr>
        <w:t xml:space="preserve">mit detaillierter Aufzählung zeigt totale Haarentfernung. </w:t>
      </w:r>
      <w:r w:rsidRPr="00195E02">
        <w:rPr>
          <w:rFonts w:eastAsia="Times New Roman" w:cs="Times New Roman"/>
          <w:b/>
          <w:bCs/>
          <w:rtl/>
          <w:lang w:eastAsia="de-DE"/>
        </w:rPr>
        <w:t>גבת עיניו</w:t>
      </w:r>
      <w:r w:rsidRPr="00195E02">
        <w:rPr>
          <w:rFonts w:eastAsia="Times New Roman" w:cs="Times New Roman"/>
          <w:rtl/>
          <w:lang w:eastAsia="de-DE"/>
        </w:rPr>
        <w:t xml:space="preserve"> </w:t>
      </w:r>
      <w:r w:rsidRPr="00195E02">
        <w:rPr>
          <w:rFonts w:eastAsia="Times New Roman" w:cs="Times New Roman"/>
          <w:lang w:eastAsia="de-DE"/>
        </w:rPr>
        <w:t xml:space="preserve">als spezifische Nennung der Augenbrauen.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als dritte Reinheitsbestätigung nach umfassender Reinigung.</w:t>
      </w:r>
    </w:p>
    <w:p w14:paraId="76A5B193" w14:textId="31BA5FE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spezifiziert </w:t>
      </w:r>
      <w:r w:rsidR="00523826">
        <w:rPr>
          <w:rtl/>
        </w:rPr>
        <w:t>גבת עיניו</w:t>
      </w:r>
      <w:r w:rsidR="00523826">
        <w:t xml:space="preserve"> (</w:t>
      </w:r>
      <w:proofErr w:type="spellStart"/>
      <w:r w:rsidR="00523826">
        <w:t>gabbot</w:t>
      </w:r>
      <w:proofErr w:type="spellEnd"/>
      <w:r w:rsidR="00523826">
        <w:t xml:space="preserve"> </w:t>
      </w:r>
      <w:proofErr w:type="spellStart"/>
      <w:r w:rsidR="00523826">
        <w:t>einav</w:t>
      </w:r>
      <w:proofErr w:type="spellEnd"/>
      <w:r w:rsidR="00523826">
        <w:t xml:space="preserve"> - "Augenbrauen") als </w:t>
      </w:r>
      <w:proofErr w:type="spellStart"/>
      <w:r w:rsidR="00523826">
        <w:t>τὰς</w:t>
      </w:r>
      <w:proofErr w:type="spellEnd"/>
      <w:r w:rsidR="00523826">
        <w:t xml:space="preserve"> </w:t>
      </w:r>
      <w:proofErr w:type="spellStart"/>
      <w:r w:rsidR="00523826">
        <w:t>ὀφρύ</w:t>
      </w:r>
      <w:proofErr w:type="spellEnd"/>
      <w:r w:rsidR="00523826">
        <w:t>ας, was eine präzise anatomische Identifikation zeigt.</w:t>
      </w:r>
    </w:p>
    <w:p w14:paraId="4D9A52B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abschließende Reinigung: zeitliche Spezifikation + detaillierte Haarentfernung + bekräftigende Wiederholung + körperliche Reinigung + dritte Reinheitsbestätigung. Die Struktur zeigt die Gründlichkeit der finalen Reinigung.</w:t>
      </w:r>
    </w:p>
    <w:p w14:paraId="3464B35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umfassende zweite Reinigung am siebten Tag mit detaillierter Haarentfernung und dritter Reinheitsbestätigung.</w:t>
      </w:r>
    </w:p>
    <w:p w14:paraId="1641D20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14,10</w:t>
      </w:r>
    </w:p>
    <w:p w14:paraId="7623F95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וּבַיּ֣וֹם הַשְּׁמִינִ֗י יִקַּ֤ח שְׁנֵֽי־כְבָשִׂים֙ תְּמִימִ֔ים וְכַבְשָׂ֥ה אַחַ֛ת בַּת־שְׁנָתָ֖הּ תְּמִימָ֑ה וּשְׁלֹשָׁ֣ה עֶשְׂרֹנִ֗ים סֹ֤לֶת מִנְחָה֙ בְּלוּלָ֣ה בַשֶּׁ֔מֶן וְלֹ֥ג אֶחָ֖ד שָֽׁמֶן׃</w:t>
      </w:r>
    </w:p>
    <w:p w14:paraId="5D21566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am achten Tag soll er nehmen zwei fehlerlose Lämmer und ein fehlerloses einjähriges weibliches Lamm und drei Zehntel Feinmehl als Speisopfer, mit Öl vermengt, und ein Log Öl.</w:t>
      </w:r>
    </w:p>
    <w:p w14:paraId="62FD429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3FBC9BD">
          <v:rect id="_x0000_i1400" style="width:0;height:1.5pt" o:hralign="center" o:hrstd="t" o:hr="t" fillcolor="#a0a0a0" stroked="f"/>
        </w:pict>
      </w:r>
    </w:p>
    <w:p w14:paraId="28EFFD5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וביום השמיני יקח שני־כבשים תמימים וכבשה אחת בת־שנתה תמימה ושלשה עשרנים סלת מנחה בלולה בשמן ולג אחד שמן</w:t>
      </w:r>
      <w:r w:rsidRPr="00195E02">
        <w:rPr>
          <w:rFonts w:eastAsia="Times New Roman" w:cs="Times New Roman"/>
          <w:rtl/>
          <w:lang w:eastAsia="de-DE"/>
        </w:rPr>
        <w:t xml:space="preserve"> </w:t>
      </w:r>
      <w:r w:rsidRPr="00195E02">
        <w:rPr>
          <w:rFonts w:eastAsia="Times New Roman" w:cs="Times New Roman"/>
          <w:lang w:eastAsia="de-DE"/>
        </w:rPr>
        <w:t xml:space="preserve">zeigt die Opfermaterialien für das finale Reinigungsritual. </w:t>
      </w:r>
      <w:r w:rsidRPr="00195E02">
        <w:rPr>
          <w:rFonts w:eastAsia="Times New Roman" w:cs="Times New Roman"/>
          <w:b/>
          <w:bCs/>
          <w:rtl/>
          <w:lang w:eastAsia="de-DE"/>
        </w:rPr>
        <w:t>וביום השמיני</w:t>
      </w:r>
      <w:r w:rsidRPr="00195E02">
        <w:rPr>
          <w:rFonts w:eastAsia="Times New Roman" w:cs="Times New Roman"/>
          <w:rtl/>
          <w:lang w:eastAsia="de-DE"/>
        </w:rPr>
        <w:t xml:space="preserve"> </w:t>
      </w:r>
      <w:r w:rsidRPr="00195E02">
        <w:rPr>
          <w:rFonts w:eastAsia="Times New Roman" w:cs="Times New Roman"/>
          <w:lang w:eastAsia="de-DE"/>
        </w:rPr>
        <w:t>(und am achten Tag) zeigt den Tag nach der siebentägigen Zwischenisolation.</w:t>
      </w:r>
    </w:p>
    <w:p w14:paraId="19D6905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יקח שני־כבשים תמימים וכבשה אחת בת־שנתה תמימה</w:t>
      </w:r>
      <w:r w:rsidRPr="00195E02">
        <w:rPr>
          <w:rFonts w:eastAsia="Times New Roman" w:cs="Times New Roman"/>
          <w:rtl/>
          <w:lang w:eastAsia="de-DE"/>
        </w:rPr>
        <w:t xml:space="preserve"> </w:t>
      </w:r>
      <w:r w:rsidRPr="00195E02">
        <w:rPr>
          <w:rFonts w:eastAsia="Times New Roman" w:cs="Times New Roman"/>
          <w:lang w:eastAsia="de-DE"/>
        </w:rPr>
        <w:t xml:space="preserve">spezifiziert die Opfertiere. </w:t>
      </w:r>
      <w:r w:rsidRPr="00195E02">
        <w:rPr>
          <w:rFonts w:eastAsia="Times New Roman" w:cs="Times New Roman"/>
          <w:b/>
          <w:bCs/>
          <w:rtl/>
          <w:lang w:eastAsia="de-DE"/>
        </w:rPr>
        <w:t>שני־כבשים תמימים</w:t>
      </w:r>
      <w:r w:rsidRPr="00195E02">
        <w:rPr>
          <w:rFonts w:eastAsia="Times New Roman" w:cs="Times New Roman"/>
          <w:rtl/>
          <w:lang w:eastAsia="de-DE"/>
        </w:rPr>
        <w:t xml:space="preserve"> </w:t>
      </w:r>
      <w:r w:rsidRPr="00195E02">
        <w:rPr>
          <w:rFonts w:eastAsia="Times New Roman" w:cs="Times New Roman"/>
          <w:lang w:eastAsia="de-DE"/>
        </w:rPr>
        <w:t xml:space="preserve">(zwei fehlerlose Lämmer) - </w:t>
      </w:r>
      <w:r w:rsidRPr="00195E02">
        <w:rPr>
          <w:rFonts w:eastAsia="Times New Roman" w:cs="Times New Roman"/>
          <w:b/>
          <w:bCs/>
          <w:rtl/>
          <w:lang w:eastAsia="de-DE"/>
        </w:rPr>
        <w:t>תמימים</w:t>
      </w:r>
      <w:r w:rsidRPr="00195E02">
        <w:rPr>
          <w:rFonts w:eastAsia="Times New Roman" w:cs="Times New Roman"/>
          <w:rtl/>
          <w:lang w:eastAsia="de-DE"/>
        </w:rPr>
        <w:t xml:space="preserve"> </w:t>
      </w:r>
      <w:r w:rsidRPr="00195E02">
        <w:rPr>
          <w:rFonts w:eastAsia="Times New Roman" w:cs="Times New Roman"/>
          <w:lang w:eastAsia="de-DE"/>
        </w:rPr>
        <w:t xml:space="preserve">(fehlerlos) als Qualitätsanforderung. </w:t>
      </w:r>
      <w:r w:rsidRPr="00195E02">
        <w:rPr>
          <w:rFonts w:eastAsia="Times New Roman" w:cs="Times New Roman"/>
          <w:b/>
          <w:bCs/>
          <w:rtl/>
          <w:lang w:eastAsia="de-DE"/>
        </w:rPr>
        <w:t>וכבשה אחת בת־שנתה תמימה</w:t>
      </w:r>
      <w:r w:rsidRPr="00195E02">
        <w:rPr>
          <w:rFonts w:eastAsia="Times New Roman" w:cs="Times New Roman"/>
          <w:rtl/>
          <w:lang w:eastAsia="de-DE"/>
        </w:rPr>
        <w:t xml:space="preserve"> </w:t>
      </w:r>
      <w:r w:rsidRPr="00195E02">
        <w:rPr>
          <w:rFonts w:eastAsia="Times New Roman" w:cs="Times New Roman"/>
          <w:lang w:eastAsia="de-DE"/>
        </w:rPr>
        <w:t xml:space="preserve">(und ein fehlerloses einjähriges weibliches Lamm) - </w:t>
      </w:r>
      <w:r w:rsidRPr="00195E02">
        <w:rPr>
          <w:rFonts w:eastAsia="Times New Roman" w:cs="Times New Roman"/>
          <w:b/>
          <w:bCs/>
          <w:rtl/>
          <w:lang w:eastAsia="de-DE"/>
        </w:rPr>
        <w:t>בת־שנתה</w:t>
      </w:r>
      <w:r w:rsidRPr="00195E02">
        <w:rPr>
          <w:rFonts w:eastAsia="Times New Roman" w:cs="Times New Roman"/>
          <w:rtl/>
          <w:lang w:eastAsia="de-DE"/>
        </w:rPr>
        <w:t xml:space="preserve"> </w:t>
      </w:r>
      <w:r w:rsidRPr="00195E02">
        <w:rPr>
          <w:rFonts w:eastAsia="Times New Roman" w:cs="Times New Roman"/>
          <w:lang w:eastAsia="de-DE"/>
        </w:rPr>
        <w:t xml:space="preserve">(einjährig) zeigt Altersangabe, </w:t>
      </w:r>
      <w:r w:rsidRPr="00195E02">
        <w:rPr>
          <w:rFonts w:eastAsia="Times New Roman" w:cs="Times New Roman"/>
          <w:b/>
          <w:bCs/>
          <w:rtl/>
          <w:lang w:eastAsia="de-DE"/>
        </w:rPr>
        <w:t>תמימה</w:t>
      </w:r>
      <w:r w:rsidRPr="00195E02">
        <w:rPr>
          <w:rFonts w:eastAsia="Times New Roman" w:cs="Times New Roman"/>
          <w:rtl/>
          <w:lang w:eastAsia="de-DE"/>
        </w:rPr>
        <w:t xml:space="preserve"> </w:t>
      </w:r>
      <w:r w:rsidRPr="00195E02">
        <w:rPr>
          <w:rFonts w:eastAsia="Times New Roman" w:cs="Times New Roman"/>
          <w:lang w:eastAsia="de-DE"/>
        </w:rPr>
        <w:t>wiederholt die Fehlerlosigkeit.</w:t>
      </w:r>
    </w:p>
    <w:p w14:paraId="576CAAC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ושלשה עשרנים סלת מנחה בלולה בשמן ולג אחד שמן</w:t>
      </w:r>
      <w:r w:rsidRPr="00195E02">
        <w:rPr>
          <w:rFonts w:eastAsia="Times New Roman" w:cs="Times New Roman"/>
          <w:rtl/>
          <w:lang w:eastAsia="de-DE"/>
        </w:rPr>
        <w:t xml:space="preserve"> </w:t>
      </w:r>
      <w:r w:rsidRPr="00195E02">
        <w:rPr>
          <w:rFonts w:eastAsia="Times New Roman" w:cs="Times New Roman"/>
          <w:lang w:eastAsia="de-DE"/>
        </w:rPr>
        <w:t xml:space="preserve">zeigt die Beigaben. </w:t>
      </w:r>
      <w:r w:rsidRPr="00195E02">
        <w:rPr>
          <w:rFonts w:eastAsia="Times New Roman" w:cs="Times New Roman"/>
          <w:b/>
          <w:bCs/>
          <w:rtl/>
          <w:lang w:eastAsia="de-DE"/>
        </w:rPr>
        <w:t>שלשה עשרנים</w:t>
      </w:r>
      <w:r w:rsidRPr="00195E02">
        <w:rPr>
          <w:rFonts w:eastAsia="Times New Roman" w:cs="Times New Roman"/>
          <w:rtl/>
          <w:lang w:eastAsia="de-DE"/>
        </w:rPr>
        <w:t xml:space="preserve"> </w:t>
      </w:r>
      <w:r w:rsidRPr="00195E02">
        <w:rPr>
          <w:rFonts w:eastAsia="Times New Roman" w:cs="Times New Roman"/>
          <w:lang w:eastAsia="de-DE"/>
        </w:rPr>
        <w:t xml:space="preserve">(drei Zehntel) als Mengenangabe, </w:t>
      </w:r>
      <w:r w:rsidRPr="00195E02">
        <w:rPr>
          <w:rFonts w:eastAsia="Times New Roman" w:cs="Times New Roman"/>
          <w:b/>
          <w:bCs/>
          <w:rtl/>
          <w:lang w:eastAsia="de-DE"/>
        </w:rPr>
        <w:t>סלת מנחה בלולה בשמן</w:t>
      </w:r>
      <w:r w:rsidRPr="00195E02">
        <w:rPr>
          <w:rFonts w:eastAsia="Times New Roman" w:cs="Times New Roman"/>
          <w:rtl/>
          <w:lang w:eastAsia="de-DE"/>
        </w:rPr>
        <w:t xml:space="preserve"> </w:t>
      </w:r>
      <w:r w:rsidRPr="00195E02">
        <w:rPr>
          <w:rFonts w:eastAsia="Times New Roman" w:cs="Times New Roman"/>
          <w:lang w:eastAsia="de-DE"/>
        </w:rPr>
        <w:t xml:space="preserve">(Feinmehl als Speisopfer, mit Öl vermengt). </w:t>
      </w:r>
      <w:r w:rsidRPr="00195E02">
        <w:rPr>
          <w:rFonts w:eastAsia="Times New Roman" w:cs="Times New Roman"/>
          <w:b/>
          <w:bCs/>
          <w:rtl/>
          <w:lang w:eastAsia="de-DE"/>
        </w:rPr>
        <w:t>ולג אחד שמן</w:t>
      </w:r>
      <w:r w:rsidRPr="00195E02">
        <w:rPr>
          <w:rFonts w:eastAsia="Times New Roman" w:cs="Times New Roman"/>
          <w:rtl/>
          <w:lang w:eastAsia="de-DE"/>
        </w:rPr>
        <w:t xml:space="preserve"> </w:t>
      </w:r>
      <w:r w:rsidRPr="00195E02">
        <w:rPr>
          <w:rFonts w:eastAsia="Times New Roman" w:cs="Times New Roman"/>
          <w:lang w:eastAsia="de-DE"/>
        </w:rPr>
        <w:t xml:space="preserve">(und ein Log Öl) - </w:t>
      </w:r>
      <w:r w:rsidRPr="00195E02">
        <w:rPr>
          <w:rFonts w:eastAsia="Times New Roman" w:cs="Times New Roman"/>
          <w:b/>
          <w:bCs/>
          <w:rtl/>
          <w:lang w:eastAsia="de-DE"/>
        </w:rPr>
        <w:t>לג</w:t>
      </w:r>
      <w:r w:rsidRPr="00195E02">
        <w:rPr>
          <w:rFonts w:eastAsia="Times New Roman" w:cs="Times New Roman"/>
          <w:rtl/>
          <w:lang w:eastAsia="de-DE"/>
        </w:rPr>
        <w:t xml:space="preserve"> </w:t>
      </w:r>
      <w:r w:rsidRPr="00195E02">
        <w:rPr>
          <w:rFonts w:eastAsia="Times New Roman" w:cs="Times New Roman"/>
          <w:lang w:eastAsia="de-DE"/>
        </w:rPr>
        <w:t>als Hohlmaß.</w:t>
      </w:r>
    </w:p>
    <w:p w14:paraId="7EE1801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שני־כבשים</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כבשה אחת</w:t>
      </w:r>
      <w:r w:rsidRPr="00195E02">
        <w:rPr>
          <w:rFonts w:eastAsia="Times New Roman" w:cs="Times New Roman"/>
          <w:rtl/>
          <w:lang w:eastAsia="de-DE"/>
        </w:rPr>
        <w:t xml:space="preserve"> </w:t>
      </w:r>
      <w:r w:rsidRPr="00195E02">
        <w:rPr>
          <w:rFonts w:eastAsia="Times New Roman" w:cs="Times New Roman"/>
          <w:lang w:eastAsia="de-DE"/>
        </w:rPr>
        <w:t xml:space="preserve">zeigen drei Tiere für verschiedene Opferarten. </w:t>
      </w:r>
      <w:r w:rsidRPr="00195E02">
        <w:rPr>
          <w:rFonts w:eastAsia="Times New Roman" w:cs="Times New Roman"/>
          <w:b/>
          <w:bCs/>
          <w:rtl/>
          <w:lang w:eastAsia="de-DE"/>
        </w:rPr>
        <w:t>תמימים</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תמימה</w:t>
      </w:r>
      <w:r w:rsidRPr="00195E02">
        <w:rPr>
          <w:rFonts w:eastAsia="Times New Roman" w:cs="Times New Roman"/>
          <w:rtl/>
          <w:lang w:eastAsia="de-DE"/>
        </w:rPr>
        <w:t xml:space="preserve"> </w:t>
      </w:r>
      <w:r w:rsidRPr="00195E02">
        <w:rPr>
          <w:rFonts w:eastAsia="Times New Roman" w:cs="Times New Roman"/>
          <w:lang w:eastAsia="de-DE"/>
        </w:rPr>
        <w:t xml:space="preserve">betonen kultische Perfektion. </w:t>
      </w:r>
      <w:r w:rsidRPr="00195E02">
        <w:rPr>
          <w:rFonts w:eastAsia="Times New Roman" w:cs="Times New Roman"/>
          <w:b/>
          <w:bCs/>
          <w:rtl/>
          <w:lang w:eastAsia="de-DE"/>
        </w:rPr>
        <w:t>שלשה עשרנים</w:t>
      </w:r>
      <w:r w:rsidRPr="00195E02">
        <w:rPr>
          <w:rFonts w:eastAsia="Times New Roman" w:cs="Times New Roman"/>
          <w:rtl/>
          <w:lang w:eastAsia="de-DE"/>
        </w:rPr>
        <w:t xml:space="preserve"> </w:t>
      </w:r>
      <w:r w:rsidRPr="00195E02">
        <w:rPr>
          <w:rFonts w:eastAsia="Times New Roman" w:cs="Times New Roman"/>
          <w:lang w:eastAsia="de-DE"/>
        </w:rPr>
        <w:t xml:space="preserve">als große Menge Mehl. </w:t>
      </w:r>
      <w:r w:rsidRPr="00195E02">
        <w:rPr>
          <w:rFonts w:eastAsia="Times New Roman" w:cs="Times New Roman"/>
          <w:b/>
          <w:bCs/>
          <w:rtl/>
          <w:lang w:eastAsia="de-DE"/>
        </w:rPr>
        <w:t>לג אחד שמן</w:t>
      </w:r>
      <w:r w:rsidRPr="00195E02">
        <w:rPr>
          <w:rFonts w:eastAsia="Times New Roman" w:cs="Times New Roman"/>
          <w:rtl/>
          <w:lang w:eastAsia="de-DE"/>
        </w:rPr>
        <w:t xml:space="preserve"> </w:t>
      </w:r>
      <w:r w:rsidRPr="00195E02">
        <w:rPr>
          <w:rFonts w:eastAsia="Times New Roman" w:cs="Times New Roman"/>
          <w:lang w:eastAsia="de-DE"/>
        </w:rPr>
        <w:t>als zusätzliches Öl für spezielle Riten.</w:t>
      </w:r>
    </w:p>
    <w:p w14:paraId="2BFB0736" w14:textId="135E829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לג</w:t>
      </w:r>
      <w:r w:rsidR="00523826">
        <w:t xml:space="preserve"> (log - hebräisches Hohlmaß) als </w:t>
      </w:r>
      <w:proofErr w:type="spellStart"/>
      <w:r w:rsidR="00523826">
        <w:t>κοτύλην</w:t>
      </w:r>
      <w:proofErr w:type="spellEnd"/>
      <w:r w:rsidR="00523826">
        <w:t xml:space="preserve"> (</w:t>
      </w:r>
      <w:proofErr w:type="spellStart"/>
      <w:r w:rsidR="00523826">
        <w:t>kotyle</w:t>
      </w:r>
      <w:proofErr w:type="spellEnd"/>
      <w:r w:rsidR="00523826">
        <w:t xml:space="preserve"> - griechisches Hohlmaß), was etwa einem halben Liter entspricht.</w:t>
      </w:r>
    </w:p>
    <w:p w14:paraId="58505FF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Opfervorbereitung: zeitliche Spezifikation + drei Opfertiere mit Qualitätsangaben + Speisopfer-Beigaben + zusätzliches Öl. Die Struktur zeigt umfassende Opfervorbereitung.</w:t>
      </w:r>
    </w:p>
    <w:p w14:paraId="1E7F175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umfangreichen Opfermaterialien für das finale Reinigungsritual am achten Tag: drei Lämmer, Speisopfer und zusätzliches Öl.</w:t>
      </w:r>
    </w:p>
    <w:p w14:paraId="0CAE774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14,11</w:t>
      </w:r>
    </w:p>
    <w:p w14:paraId="1C2304D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וְהֶעֱמִ֞יד הַכֹּהֵ֣ן הַֽמְטַהֵ֗ר אֵ֛ת הָאִ֥ישׁ הַמִּטַּהֵ֖ר וְאֹתָ֑ם לִפְנֵ֣י יְהוָ֔ה פֶּ֖תַח אֹ֥הֶל מוֹעֵֽד׃</w:t>
      </w:r>
    </w:p>
    <w:p w14:paraId="067D4D01" w14:textId="5B1DCAA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reinigende Priester soll den Mann, der sich reinigt, und diese (Dinge) vor den </w:t>
      </w:r>
      <w:r w:rsidR="004603C6">
        <w:rPr>
          <w:rFonts w:eastAsia="Times New Roman" w:cs="Times New Roman"/>
          <w:lang w:eastAsia="de-DE"/>
        </w:rPr>
        <w:t>Ewigen</w:t>
      </w:r>
      <w:r w:rsidRPr="00195E02">
        <w:rPr>
          <w:rFonts w:eastAsia="Times New Roman" w:cs="Times New Roman"/>
          <w:lang w:eastAsia="de-DE"/>
        </w:rPr>
        <w:t xml:space="preserve"> stellen am Eingang des Zeltes der Begegnung.</w:t>
      </w:r>
    </w:p>
    <w:p w14:paraId="0FFFC8E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D771CBE">
          <v:rect id="_x0000_i1401" style="width:0;height:1.5pt" o:hralign="center" o:hrstd="t" o:hr="t" fillcolor="#a0a0a0" stroked="f"/>
        </w:pict>
      </w:r>
    </w:p>
    <w:p w14:paraId="62CA04F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והעמיד הכהן המטהר את האיש המטהר ואתם לפני יהוה 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zeigt die Präsentation vor JHWH. </w:t>
      </w:r>
      <w:r w:rsidRPr="00195E02">
        <w:rPr>
          <w:rFonts w:eastAsia="Times New Roman" w:cs="Times New Roman"/>
          <w:b/>
          <w:bCs/>
          <w:rtl/>
          <w:lang w:eastAsia="de-DE"/>
        </w:rPr>
        <w:t>והעמיד הכהן המטהר</w:t>
      </w:r>
      <w:r w:rsidRPr="00195E02">
        <w:rPr>
          <w:rFonts w:eastAsia="Times New Roman" w:cs="Times New Roman"/>
          <w:rtl/>
          <w:lang w:eastAsia="de-DE"/>
        </w:rPr>
        <w:t xml:space="preserve"> </w:t>
      </w:r>
      <w:r w:rsidRPr="00195E02">
        <w:rPr>
          <w:rFonts w:eastAsia="Times New Roman" w:cs="Times New Roman"/>
          <w:lang w:eastAsia="de-DE"/>
        </w:rPr>
        <w:t xml:space="preserve">(und der reinigende Priester soll stellen) - </w:t>
      </w:r>
      <w:r w:rsidRPr="00195E02">
        <w:rPr>
          <w:rFonts w:eastAsia="Times New Roman" w:cs="Times New Roman"/>
          <w:b/>
          <w:bCs/>
          <w:rtl/>
          <w:lang w:eastAsia="de-DE"/>
        </w:rPr>
        <w:t>העמיד</w:t>
      </w:r>
      <w:r w:rsidRPr="00195E02">
        <w:rPr>
          <w:rFonts w:eastAsia="Times New Roman" w:cs="Times New Roman"/>
          <w:rtl/>
          <w:lang w:eastAsia="de-DE"/>
        </w:rPr>
        <w:t xml:space="preserve"> </w:t>
      </w:r>
      <w:r w:rsidRPr="00195E02">
        <w:rPr>
          <w:rFonts w:eastAsia="Times New Roman" w:cs="Times New Roman"/>
          <w:lang w:eastAsia="de-DE"/>
        </w:rPr>
        <w:t xml:space="preserve">(stellen) im Hifil-Perfekt mit Waw-Konsekutiv, </w:t>
      </w:r>
      <w:r w:rsidRPr="00195E02">
        <w:rPr>
          <w:rFonts w:eastAsia="Times New Roman" w:cs="Times New Roman"/>
          <w:b/>
          <w:bCs/>
          <w:rtl/>
          <w:lang w:eastAsia="de-DE"/>
        </w:rPr>
        <w:t>הכהן המטהר</w:t>
      </w:r>
      <w:r w:rsidRPr="00195E02">
        <w:rPr>
          <w:rFonts w:eastAsia="Times New Roman" w:cs="Times New Roman"/>
          <w:rtl/>
          <w:lang w:eastAsia="de-DE"/>
        </w:rPr>
        <w:t xml:space="preserve"> </w:t>
      </w:r>
      <w:r w:rsidRPr="00195E02">
        <w:rPr>
          <w:rFonts w:eastAsia="Times New Roman" w:cs="Times New Roman"/>
          <w:lang w:eastAsia="de-DE"/>
        </w:rPr>
        <w:t>(der reinigende Priester) als Partizip.</w:t>
      </w:r>
    </w:p>
    <w:p w14:paraId="7B2DCF3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 האיש המטהר ואתם</w:t>
      </w:r>
      <w:r w:rsidRPr="00195E02">
        <w:rPr>
          <w:rFonts w:eastAsia="Times New Roman" w:cs="Times New Roman"/>
          <w:rtl/>
          <w:lang w:eastAsia="de-DE"/>
        </w:rPr>
        <w:t xml:space="preserve"> </w:t>
      </w:r>
      <w:r w:rsidRPr="00195E02">
        <w:rPr>
          <w:rFonts w:eastAsia="Times New Roman" w:cs="Times New Roman"/>
          <w:lang w:eastAsia="de-DE"/>
        </w:rPr>
        <w:t xml:space="preserve">zeigt Person und Materialien. </w:t>
      </w:r>
      <w:r w:rsidRPr="00195E02">
        <w:rPr>
          <w:rFonts w:eastAsia="Times New Roman" w:cs="Times New Roman"/>
          <w:b/>
          <w:bCs/>
          <w:rtl/>
          <w:lang w:eastAsia="de-DE"/>
        </w:rPr>
        <w:t>את האיש המטהר</w:t>
      </w:r>
      <w:r w:rsidRPr="00195E02">
        <w:rPr>
          <w:rFonts w:eastAsia="Times New Roman" w:cs="Times New Roman"/>
          <w:rtl/>
          <w:lang w:eastAsia="de-DE"/>
        </w:rPr>
        <w:t xml:space="preserve"> </w:t>
      </w:r>
      <w:r w:rsidRPr="00195E02">
        <w:rPr>
          <w:rFonts w:eastAsia="Times New Roman" w:cs="Times New Roman"/>
          <w:lang w:eastAsia="de-DE"/>
        </w:rPr>
        <w:t xml:space="preserve">(den Mann, der sich reinigt) - </w:t>
      </w:r>
      <w:r w:rsidRPr="00195E02">
        <w:rPr>
          <w:rFonts w:eastAsia="Times New Roman" w:cs="Times New Roman"/>
          <w:b/>
          <w:bCs/>
          <w:rtl/>
          <w:lang w:eastAsia="de-DE"/>
        </w:rPr>
        <w:t>המטהר</w:t>
      </w:r>
      <w:r w:rsidRPr="00195E02">
        <w:rPr>
          <w:rFonts w:eastAsia="Times New Roman" w:cs="Times New Roman"/>
          <w:rtl/>
          <w:lang w:eastAsia="de-DE"/>
        </w:rPr>
        <w:t xml:space="preserve"> </w:t>
      </w:r>
      <w:r w:rsidRPr="00195E02">
        <w:rPr>
          <w:rFonts w:eastAsia="Times New Roman" w:cs="Times New Roman"/>
          <w:lang w:eastAsia="de-DE"/>
        </w:rPr>
        <w:t xml:space="preserve">(der sich reinigt) als Partizip entsprechend </w:t>
      </w:r>
      <w:r w:rsidRPr="00195E02">
        <w:rPr>
          <w:rFonts w:eastAsia="Times New Roman" w:cs="Times New Roman"/>
          <w:b/>
          <w:bCs/>
          <w:rtl/>
          <w:lang w:eastAsia="de-DE"/>
        </w:rPr>
        <w:t>הכהן המטהר</w:t>
      </w:r>
      <w:r w:rsidRPr="00195E02">
        <w:rPr>
          <w:rFonts w:eastAsia="Times New Roman" w:cs="Times New Roman"/>
          <w:lang w:eastAsia="de-DE"/>
        </w:rPr>
        <w:t xml:space="preserve">. </w:t>
      </w:r>
      <w:r w:rsidRPr="00195E02">
        <w:rPr>
          <w:rFonts w:eastAsia="Times New Roman" w:cs="Times New Roman"/>
          <w:b/>
          <w:bCs/>
          <w:rtl/>
          <w:lang w:eastAsia="de-DE"/>
        </w:rPr>
        <w:t>ואתם</w:t>
      </w:r>
      <w:r w:rsidRPr="00195E02">
        <w:rPr>
          <w:rFonts w:eastAsia="Times New Roman" w:cs="Times New Roman"/>
          <w:rtl/>
          <w:lang w:eastAsia="de-DE"/>
        </w:rPr>
        <w:t xml:space="preserve"> </w:t>
      </w:r>
      <w:r w:rsidRPr="00195E02">
        <w:rPr>
          <w:rFonts w:eastAsia="Times New Roman" w:cs="Times New Roman"/>
          <w:lang w:eastAsia="de-DE"/>
        </w:rPr>
        <w:t>(und diese) bezieht sich auf die Opfermaterialien aus V. 10.</w:t>
      </w:r>
    </w:p>
    <w:p w14:paraId="2773A6D5" w14:textId="2ED45D1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לפני יהוה 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spezifiziert den heiligen Ort. </w:t>
      </w:r>
      <w:r w:rsidRPr="00195E02">
        <w:rPr>
          <w:rFonts w:eastAsia="Times New Roman" w:cs="Times New Roman"/>
          <w:b/>
          <w:bCs/>
          <w:rtl/>
          <w:lang w:eastAsia="de-DE"/>
        </w:rPr>
        <w:t>לפני יהוה</w:t>
      </w:r>
      <w:r w:rsidRPr="00195E02">
        <w:rPr>
          <w:rFonts w:eastAsia="Times New Roman" w:cs="Times New Roman"/>
          <w:rtl/>
          <w:lang w:eastAsia="de-DE"/>
        </w:rPr>
        <w:t xml:space="preserve"> </w:t>
      </w:r>
      <w:r w:rsidRPr="00195E02">
        <w:rPr>
          <w:rFonts w:eastAsia="Times New Roman" w:cs="Times New Roman"/>
          <w:lang w:eastAsia="de-DE"/>
        </w:rPr>
        <w:t xml:space="preserve">(vor den </w:t>
      </w:r>
      <w:r w:rsidR="004603C6">
        <w:rPr>
          <w:rFonts w:eastAsia="Times New Roman" w:cs="Times New Roman"/>
          <w:lang w:eastAsia="de-DE"/>
        </w:rPr>
        <w:t>Ewigen</w:t>
      </w:r>
      <w:r w:rsidRPr="00195E02">
        <w:rPr>
          <w:rFonts w:eastAsia="Times New Roman" w:cs="Times New Roman"/>
          <w:lang w:eastAsia="de-DE"/>
        </w:rPr>
        <w:t xml:space="preserve">) zeigt göttliche Präsenz.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(am Eingang des Zeltes der Begegnung) als Übergangsbereich zwischen profanem und heiligem Raum.</w:t>
      </w:r>
    </w:p>
    <w:p w14:paraId="1AD40D3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הכהן המטהר</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האיש המטהר</w:t>
      </w:r>
      <w:r w:rsidRPr="00195E02">
        <w:rPr>
          <w:rFonts w:eastAsia="Times New Roman" w:cs="Times New Roman"/>
          <w:rtl/>
          <w:lang w:eastAsia="de-DE"/>
        </w:rPr>
        <w:t xml:space="preserve"> </w:t>
      </w:r>
      <w:r w:rsidRPr="00195E02">
        <w:rPr>
          <w:rFonts w:eastAsia="Times New Roman" w:cs="Times New Roman"/>
          <w:lang w:eastAsia="de-DE"/>
        </w:rPr>
        <w:t xml:space="preserve">als parallele Partizipien betonen beide Rollen im Reinigungsprozess. </w:t>
      </w:r>
      <w:r w:rsidRPr="00195E02">
        <w:rPr>
          <w:rFonts w:eastAsia="Times New Roman" w:cs="Times New Roman"/>
          <w:b/>
          <w:bCs/>
          <w:rtl/>
          <w:lang w:eastAsia="de-DE"/>
        </w:rPr>
        <w:t>ואתם</w:t>
      </w:r>
      <w:r w:rsidRPr="00195E02">
        <w:rPr>
          <w:rFonts w:eastAsia="Times New Roman" w:cs="Times New Roman"/>
          <w:rtl/>
          <w:lang w:eastAsia="de-DE"/>
        </w:rPr>
        <w:t xml:space="preserve"> </w:t>
      </w:r>
      <w:r w:rsidRPr="00195E02">
        <w:rPr>
          <w:rFonts w:eastAsia="Times New Roman" w:cs="Times New Roman"/>
          <w:lang w:eastAsia="de-DE"/>
        </w:rPr>
        <w:t xml:space="preserve">umfasst alle Opfermaterialien.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als ritueller Ort für Übergangsriten.</w:t>
      </w:r>
    </w:p>
    <w:p w14:paraId="540C275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übersetzt </w:t>
      </w:r>
      <w:r w:rsidRPr="00195E02">
        <w:rPr>
          <w:rFonts w:eastAsia="Times New Roman" w:cs="Times New Roman"/>
          <w:b/>
          <w:bCs/>
          <w:rtl/>
          <w:lang w:eastAsia="de-DE"/>
        </w:rPr>
        <w:t>הכהן המטהר</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ἱερεὺς</w:t>
      </w:r>
      <w:proofErr w:type="spellEnd"/>
      <w:r w:rsidRPr="00195E02">
        <w:rPr>
          <w:rFonts w:eastAsia="Times New Roman" w:cs="Times New Roman"/>
          <w:lang w:eastAsia="de-DE"/>
        </w:rPr>
        <w:t xml:space="preserve"> ὁ καθα</w:t>
      </w:r>
      <w:proofErr w:type="spellStart"/>
      <w:r w:rsidRPr="00195E02">
        <w:rPr>
          <w:rFonts w:eastAsia="Times New Roman" w:cs="Times New Roman"/>
          <w:lang w:eastAsia="de-DE"/>
        </w:rPr>
        <w:t>ρίζων</w:t>
      </w:r>
      <w:proofErr w:type="spellEnd"/>
      <w:r w:rsidRPr="00195E02">
        <w:rPr>
          <w:rFonts w:eastAsia="Times New Roman" w:cs="Times New Roman"/>
          <w:lang w:eastAsia="de-DE"/>
        </w:rPr>
        <w:t xml:space="preserve"> (der reinigende Priester), </w:t>
      </w:r>
      <w:r w:rsidRPr="00195E02">
        <w:rPr>
          <w:rFonts w:eastAsia="Times New Roman" w:cs="Times New Roman"/>
          <w:b/>
          <w:bCs/>
          <w:rtl/>
          <w:lang w:eastAsia="de-DE"/>
        </w:rPr>
        <w:t>המטהר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καθα</w:t>
      </w:r>
      <w:proofErr w:type="spellStart"/>
      <w:r w:rsidRPr="00195E02">
        <w:rPr>
          <w:rFonts w:eastAsia="Times New Roman" w:cs="Times New Roman"/>
          <w:lang w:eastAsia="de-DE"/>
        </w:rPr>
        <w:t>ριζόμενον</w:t>
      </w:r>
      <w:proofErr w:type="spellEnd"/>
      <w:r w:rsidRPr="00195E02">
        <w:rPr>
          <w:rFonts w:eastAsia="Times New Roman" w:cs="Times New Roman"/>
          <w:lang w:eastAsia="de-DE"/>
        </w:rPr>
        <w:t xml:space="preserve"> (den sich Reinigenden) und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mit πα</w:t>
      </w:r>
      <w:proofErr w:type="spellStart"/>
      <w:r w:rsidRPr="00195E02">
        <w:rPr>
          <w:rFonts w:eastAsia="Times New Roman" w:cs="Times New Roman"/>
          <w:lang w:eastAsia="de-DE"/>
        </w:rPr>
        <w:t>ρὰ</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θύρ</w:t>
      </w:r>
      <w:proofErr w:type="spellEnd"/>
      <w:r w:rsidRPr="00195E02">
        <w:rPr>
          <w:rFonts w:eastAsia="Times New Roman" w:cs="Times New Roman"/>
          <w:lang w:eastAsia="de-DE"/>
        </w:rPr>
        <w:t xml:space="preserve">αν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σκηνῆς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μα</w:t>
      </w:r>
      <w:proofErr w:type="spellStart"/>
      <w:r w:rsidRPr="00195E02">
        <w:rPr>
          <w:rFonts w:eastAsia="Times New Roman" w:cs="Times New Roman"/>
          <w:lang w:eastAsia="de-DE"/>
        </w:rPr>
        <w:t>ρτυρίου</w:t>
      </w:r>
      <w:proofErr w:type="spellEnd"/>
      <w:r w:rsidRPr="00195E02">
        <w:rPr>
          <w:rFonts w:eastAsia="Times New Roman" w:cs="Times New Roman"/>
          <w:lang w:eastAsia="de-DE"/>
        </w:rPr>
        <w:t xml:space="preserve"> (bei der Tür des Zeltes des Zeugnisses).</w:t>
      </w:r>
    </w:p>
    <w:p w14:paraId="714EE49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Ritualpräsentation: Priesterrolle + Personenpräsentation + Materialpräsentation + göttliche Präsenz + heiliger Ort. Die Struktur zeigt formelle Präsentation vor JHWH.</w:t>
      </w:r>
    </w:p>
    <w:p w14:paraId="7AA44B7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formelle Präsentation des Gereinigten und aller Opfermaterialien vor JHWH am Heiligtum.</w:t>
      </w:r>
    </w:p>
    <w:p w14:paraId="0BF039E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14,12</w:t>
      </w:r>
    </w:p>
    <w:p w14:paraId="19E9F76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הַכֹּהֵ֜ן אֶת־הַכֶּ֣בֶשׂ הָאֶחָ֗ד וְהִקְרִ֥יב אֹתוֹ֛ לְאָשָׁ֖ם וְאֶת־לֹ֣ג הַשָּׁ֑מֶן וְהֵנִ֥יף אֹתָ֛ם תְּנוּפָ֖ה לִפְנֵ֥י יְהוָֽה׃</w:t>
      </w:r>
    </w:p>
    <w:p w14:paraId="3FC53C3B" w14:textId="69ABB76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nehmen das eine Lamm und es als Schuldopfer darbringen und das Log Öl, und soll sie schwingen als Schwingopfer vor dem </w:t>
      </w:r>
      <w:r w:rsidR="004603C6">
        <w:rPr>
          <w:rFonts w:eastAsia="Times New Roman" w:cs="Times New Roman"/>
          <w:lang w:eastAsia="de-DE"/>
        </w:rPr>
        <w:t>Ewigen</w:t>
      </w:r>
      <w:r w:rsidRPr="00195E02">
        <w:rPr>
          <w:rFonts w:eastAsia="Times New Roman" w:cs="Times New Roman"/>
          <w:lang w:eastAsia="de-DE"/>
        </w:rPr>
        <w:t>.</w:t>
      </w:r>
    </w:p>
    <w:p w14:paraId="0CA4690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D969100">
          <v:rect id="_x0000_i1402" style="width:0;height:1.5pt" o:hralign="center" o:hrstd="t" o:hr="t" fillcolor="#a0a0a0" stroked="f"/>
        </w:pict>
      </w:r>
    </w:p>
    <w:p w14:paraId="1A5E9B0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הכהן את־הכבש האחד והקריב אתו לאשם ואת־לג השמן והניף אתם תנופה 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das erste Opferritual. </w:t>
      </w:r>
      <w:r w:rsidRPr="00195E02">
        <w:rPr>
          <w:rFonts w:eastAsia="Times New Roman" w:cs="Times New Roman"/>
          <w:b/>
          <w:bCs/>
          <w:rtl/>
          <w:lang w:eastAsia="de-DE"/>
        </w:rPr>
        <w:t>ולקח הכהן את־הכבש האחד</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nehmen das eine Lamm) aus den drei Lämmern aus V. 10. </w:t>
      </w:r>
      <w:r w:rsidRPr="00195E02">
        <w:rPr>
          <w:rFonts w:eastAsia="Times New Roman" w:cs="Times New Roman"/>
          <w:b/>
          <w:bCs/>
          <w:rtl/>
          <w:lang w:eastAsia="de-DE"/>
        </w:rPr>
        <w:t>והקריב אתו לאשם</w:t>
      </w:r>
      <w:r w:rsidRPr="00195E02">
        <w:rPr>
          <w:rFonts w:eastAsia="Times New Roman" w:cs="Times New Roman"/>
          <w:rtl/>
          <w:lang w:eastAsia="de-DE"/>
        </w:rPr>
        <w:t xml:space="preserve"> </w:t>
      </w:r>
      <w:r w:rsidRPr="00195E02">
        <w:rPr>
          <w:rFonts w:eastAsia="Times New Roman" w:cs="Times New Roman"/>
          <w:lang w:eastAsia="de-DE"/>
        </w:rPr>
        <w:t xml:space="preserve">(und es als Schuldopfer darbringen) - </w:t>
      </w:r>
      <w:r w:rsidRPr="00195E02">
        <w:rPr>
          <w:rFonts w:eastAsia="Times New Roman" w:cs="Times New Roman"/>
          <w:b/>
          <w:bCs/>
          <w:rtl/>
          <w:lang w:eastAsia="de-DE"/>
        </w:rPr>
        <w:t>אשם</w:t>
      </w:r>
      <w:r w:rsidRPr="00195E02">
        <w:rPr>
          <w:rFonts w:eastAsia="Times New Roman" w:cs="Times New Roman"/>
          <w:rtl/>
          <w:lang w:eastAsia="de-DE"/>
        </w:rPr>
        <w:t xml:space="preserve"> </w:t>
      </w:r>
      <w:r w:rsidRPr="00195E02">
        <w:rPr>
          <w:rFonts w:eastAsia="Times New Roman" w:cs="Times New Roman"/>
          <w:lang w:eastAsia="de-DE"/>
        </w:rPr>
        <w:t>(Schuldopfer) als spezifische Opferart.</w:t>
      </w:r>
    </w:p>
    <w:p w14:paraId="3A6DE85B" w14:textId="743F832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ואת־לג השמן</w:t>
      </w:r>
      <w:r w:rsidRPr="00195E02">
        <w:rPr>
          <w:rFonts w:eastAsia="Times New Roman" w:cs="Times New Roman"/>
          <w:rtl/>
          <w:lang w:eastAsia="de-DE"/>
        </w:rPr>
        <w:t xml:space="preserve"> </w:t>
      </w:r>
      <w:r w:rsidRPr="00195E02">
        <w:rPr>
          <w:rFonts w:eastAsia="Times New Roman" w:cs="Times New Roman"/>
          <w:lang w:eastAsia="de-DE"/>
        </w:rPr>
        <w:t xml:space="preserve">(und das Log Öl) aus V. 10. </w:t>
      </w:r>
      <w:r w:rsidRPr="00195E02">
        <w:rPr>
          <w:rFonts w:eastAsia="Times New Roman" w:cs="Times New Roman"/>
          <w:b/>
          <w:bCs/>
          <w:rtl/>
          <w:lang w:eastAsia="de-DE"/>
        </w:rPr>
        <w:t>והניף אתם תנופה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soll sie schwingen als Schwingopfer vor dem </w:t>
      </w:r>
      <w:r w:rsidR="004603C6">
        <w:rPr>
          <w:rFonts w:eastAsia="Times New Roman" w:cs="Times New Roman"/>
          <w:lang w:eastAsia="de-DE"/>
        </w:rPr>
        <w:t>Ewigen</w:t>
      </w:r>
      <w:r w:rsidRPr="00195E02">
        <w:rPr>
          <w:rFonts w:eastAsia="Times New Roman" w:cs="Times New Roman"/>
          <w:lang w:eastAsia="de-DE"/>
        </w:rPr>
        <w:t xml:space="preserve">) - </w:t>
      </w:r>
      <w:r w:rsidRPr="00195E02">
        <w:rPr>
          <w:rFonts w:eastAsia="Times New Roman" w:cs="Times New Roman"/>
          <w:b/>
          <w:bCs/>
          <w:rtl/>
          <w:lang w:eastAsia="de-DE"/>
        </w:rPr>
        <w:t>הניף</w:t>
      </w:r>
      <w:r w:rsidRPr="00195E02">
        <w:rPr>
          <w:rFonts w:eastAsia="Times New Roman" w:cs="Times New Roman"/>
          <w:rtl/>
          <w:lang w:eastAsia="de-DE"/>
        </w:rPr>
        <w:t xml:space="preserve"> </w:t>
      </w:r>
      <w:r w:rsidRPr="00195E02">
        <w:rPr>
          <w:rFonts w:eastAsia="Times New Roman" w:cs="Times New Roman"/>
          <w:lang w:eastAsia="de-DE"/>
        </w:rPr>
        <w:t xml:space="preserve">(schwingen) im Hifil-Perfekt, </w:t>
      </w:r>
      <w:r w:rsidRPr="00195E02">
        <w:rPr>
          <w:rFonts w:eastAsia="Times New Roman" w:cs="Times New Roman"/>
          <w:b/>
          <w:bCs/>
          <w:rtl/>
          <w:lang w:eastAsia="de-DE"/>
        </w:rPr>
        <w:t>תנופה</w:t>
      </w:r>
      <w:r w:rsidRPr="00195E02">
        <w:rPr>
          <w:rFonts w:eastAsia="Times New Roman" w:cs="Times New Roman"/>
          <w:rtl/>
          <w:lang w:eastAsia="de-DE"/>
        </w:rPr>
        <w:t xml:space="preserve"> </w:t>
      </w:r>
      <w:r w:rsidRPr="00195E02">
        <w:rPr>
          <w:rFonts w:eastAsia="Times New Roman" w:cs="Times New Roman"/>
          <w:lang w:eastAsia="de-DE"/>
        </w:rPr>
        <w:t xml:space="preserve">(Schwingopfer) als ritueller Akt, </w:t>
      </w:r>
      <w:r w:rsidRPr="00195E02">
        <w:rPr>
          <w:rFonts w:eastAsia="Times New Roman" w:cs="Times New Roman"/>
          <w:b/>
          <w:bCs/>
          <w:rtl/>
          <w:lang w:eastAsia="de-DE"/>
        </w:rPr>
        <w:t>אתם</w:t>
      </w:r>
      <w:r w:rsidRPr="00195E02">
        <w:rPr>
          <w:rFonts w:eastAsia="Times New Roman" w:cs="Times New Roman"/>
          <w:rtl/>
          <w:lang w:eastAsia="de-DE"/>
        </w:rPr>
        <w:t xml:space="preserve"> </w:t>
      </w:r>
      <w:r w:rsidRPr="00195E02">
        <w:rPr>
          <w:rFonts w:eastAsia="Times New Roman" w:cs="Times New Roman"/>
          <w:lang w:eastAsia="de-DE"/>
        </w:rPr>
        <w:t>bezieht sich auf Lamm und Öl.</w:t>
      </w:r>
    </w:p>
    <w:p w14:paraId="2577C73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הכבש האחד</w:t>
      </w:r>
      <w:r w:rsidRPr="00195E02">
        <w:rPr>
          <w:rFonts w:eastAsia="Times New Roman" w:cs="Times New Roman"/>
          <w:rtl/>
          <w:lang w:eastAsia="de-DE"/>
        </w:rPr>
        <w:t xml:space="preserve"> </w:t>
      </w:r>
      <w:r w:rsidRPr="00195E02">
        <w:rPr>
          <w:rFonts w:eastAsia="Times New Roman" w:cs="Times New Roman"/>
          <w:lang w:eastAsia="de-DE"/>
        </w:rPr>
        <w:t xml:space="preserve">zeigt Auswahl eines der beiden männlichen Lämmer. </w:t>
      </w:r>
      <w:r w:rsidRPr="00195E02">
        <w:rPr>
          <w:rFonts w:eastAsia="Times New Roman" w:cs="Times New Roman"/>
          <w:b/>
          <w:bCs/>
          <w:rtl/>
          <w:lang w:eastAsia="de-DE"/>
        </w:rPr>
        <w:t>לאשם</w:t>
      </w:r>
      <w:r w:rsidRPr="00195E02">
        <w:rPr>
          <w:rFonts w:eastAsia="Times New Roman" w:cs="Times New Roman"/>
          <w:rtl/>
          <w:lang w:eastAsia="de-DE"/>
        </w:rPr>
        <w:t xml:space="preserve"> </w:t>
      </w:r>
      <w:r w:rsidRPr="00195E02">
        <w:rPr>
          <w:rFonts w:eastAsia="Times New Roman" w:cs="Times New Roman"/>
          <w:lang w:eastAsia="de-DE"/>
        </w:rPr>
        <w:t xml:space="preserve">klassifiziert das Opfer als Schuldopfer. </w:t>
      </w:r>
      <w:r w:rsidRPr="00195E02">
        <w:rPr>
          <w:rFonts w:eastAsia="Times New Roman" w:cs="Times New Roman"/>
          <w:b/>
          <w:bCs/>
          <w:rtl/>
          <w:lang w:eastAsia="de-DE"/>
        </w:rPr>
        <w:t>תנופה לפני יהוה</w:t>
      </w:r>
      <w:r w:rsidRPr="00195E02">
        <w:rPr>
          <w:rFonts w:eastAsia="Times New Roman" w:cs="Times New Roman"/>
          <w:rtl/>
          <w:lang w:eastAsia="de-DE"/>
        </w:rPr>
        <w:t xml:space="preserve"> </w:t>
      </w:r>
      <w:r w:rsidRPr="00195E02">
        <w:rPr>
          <w:rFonts w:eastAsia="Times New Roman" w:cs="Times New Roman"/>
          <w:lang w:eastAsia="de-DE"/>
        </w:rPr>
        <w:t>zeigt das Schwingungsritual als Präsentationsakt vor JHWH.</w:t>
      </w:r>
    </w:p>
    <w:p w14:paraId="7F22993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לאשם</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λημμελεί</w:t>
      </w:r>
      <w:proofErr w:type="spellEnd"/>
      <w:r w:rsidRPr="00195E02">
        <w:rPr>
          <w:rFonts w:eastAsia="Times New Roman" w:cs="Times New Roman"/>
          <w:lang w:eastAsia="de-DE"/>
        </w:rPr>
        <w:t xml:space="preserve">ας (bezüglich der Verfehlung), </w:t>
      </w:r>
      <w:r w:rsidRPr="00195E02">
        <w:rPr>
          <w:rFonts w:eastAsia="Times New Roman" w:cs="Times New Roman"/>
          <w:b/>
          <w:bCs/>
          <w:rtl/>
          <w:lang w:eastAsia="de-DE"/>
        </w:rPr>
        <w:t>תנופה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ἀφ</w:t>
      </w:r>
      <w:proofErr w:type="spellEnd"/>
      <w:r w:rsidRPr="00195E02">
        <w:rPr>
          <w:rFonts w:eastAsia="Times New Roman" w:cs="Times New Roman"/>
          <w:lang w:eastAsia="de-DE"/>
        </w:rPr>
        <w:t xml:space="preserve">αίρεμα (Abhebung) und </w:t>
      </w:r>
      <w:r w:rsidRPr="00195E02">
        <w:rPr>
          <w:rFonts w:eastAsia="Times New Roman" w:cs="Times New Roman"/>
          <w:b/>
          <w:bCs/>
          <w:rtl/>
          <w:lang w:eastAsia="de-DE"/>
        </w:rPr>
        <w:t>והניף</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ἀνοίσει</w:t>
      </w:r>
      <w:proofErr w:type="spellEnd"/>
      <w:r w:rsidRPr="00195E02">
        <w:rPr>
          <w:rFonts w:eastAsia="Times New Roman" w:cs="Times New Roman"/>
          <w:lang w:eastAsia="de-DE"/>
        </w:rPr>
        <w:t xml:space="preserve"> (er wird darbringen).</w:t>
      </w:r>
    </w:p>
    <w:p w14:paraId="6D5CC61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Opferbeginn: Materialauswahl + Opferklassifikation + zusätzliches Element + Schwingungsritual. Die Struktur zeigt den Beginn der komplexen Opfersequenz.</w:t>
      </w:r>
    </w:p>
    <w:p w14:paraId="1B277A6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Auswahl und Präsentation des ersten Lamms als Schuldopfer zusammen mit dem Öl als Schwingopfer.</w:t>
      </w:r>
    </w:p>
    <w:p w14:paraId="548EACF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14,13</w:t>
      </w:r>
    </w:p>
    <w:p w14:paraId="008F1FE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וְשָׁחַ֣ט אֶת־הַכֶּ֗בֶשׂ בִּ֠מְקוֹם אֲשֶׁ֨ר יִשְׁחַ֧ט אֶת־הַֽחַטָּ֛את וְאֶת־הָעֹלָ֖ה בִּמְק֣וֹם הַקֹּ֑דֶשׁ כִּ֡י כַּ֠חַטָּאת הָאָשָׁ֥ם הוּא֙ לַכֹּהֵ֔ן קֹ֥דֶשׁ קָֽדָשִׁ֖ים הֽוּא׃</w:t>
      </w:r>
    </w:p>
    <w:p w14:paraId="0DC7D164" w14:textId="01FA75C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das Lamm schlachten an dem Ort, wo man das Sündopfer und das </w:t>
      </w:r>
      <w:r w:rsidR="00CF10E7">
        <w:rPr>
          <w:rFonts w:eastAsia="Times New Roman" w:cs="Times New Roman"/>
          <w:lang w:eastAsia="de-DE"/>
        </w:rPr>
        <w:t>Aufsteigeopfer</w:t>
      </w:r>
      <w:r w:rsidRPr="00195E02">
        <w:rPr>
          <w:rFonts w:eastAsia="Times New Roman" w:cs="Times New Roman"/>
          <w:lang w:eastAsia="de-DE"/>
        </w:rPr>
        <w:t xml:space="preserve"> schlachtet, an heiliger Stätte; denn wie das Sündopfer gehört das Schuldopfer dem Priester: es ist hochheilig.</w:t>
      </w:r>
    </w:p>
    <w:p w14:paraId="45B88F1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lastRenderedPageBreak/>
        <w:pict w14:anchorId="644556BC">
          <v:rect id="_x0000_i1403" style="width:0;height:1.5pt" o:hralign="center" o:hrstd="t" o:hr="t" fillcolor="#a0a0a0" stroked="f"/>
        </w:pict>
      </w:r>
    </w:p>
    <w:p w14:paraId="54565FAD" w14:textId="725A19F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ושחט את־הכבש במקום אשר ישחט את־החטאת ואת־העלה במקום הקדש כי כחטאת האשם הוא לכהן קדש קדשים הוא</w:t>
      </w:r>
      <w:r w:rsidRPr="00195E02">
        <w:rPr>
          <w:rFonts w:eastAsia="Times New Roman" w:cs="Times New Roman"/>
          <w:rtl/>
          <w:lang w:eastAsia="de-DE"/>
        </w:rPr>
        <w:t xml:space="preserve"> </w:t>
      </w:r>
      <w:r w:rsidRPr="00195E02">
        <w:rPr>
          <w:rFonts w:eastAsia="Times New Roman" w:cs="Times New Roman"/>
          <w:lang w:eastAsia="de-DE"/>
        </w:rPr>
        <w:t xml:space="preserve">spezifiziert Schlachtungsort und priesterliche Berechtigung. </w:t>
      </w:r>
      <w:r w:rsidRPr="00195E02">
        <w:rPr>
          <w:rFonts w:eastAsia="Times New Roman" w:cs="Times New Roman"/>
          <w:b/>
          <w:bCs/>
          <w:rtl/>
          <w:lang w:eastAsia="de-DE"/>
        </w:rPr>
        <w:t>ושחט את־הכבש במקום אשר ישחט את־החטאת ואת־העלה</w:t>
      </w:r>
      <w:r w:rsidRPr="00195E02">
        <w:rPr>
          <w:rFonts w:eastAsia="Times New Roman" w:cs="Times New Roman"/>
          <w:rtl/>
          <w:lang w:eastAsia="de-DE"/>
        </w:rPr>
        <w:t xml:space="preserve"> </w:t>
      </w:r>
      <w:r w:rsidRPr="00195E02">
        <w:rPr>
          <w:rFonts w:eastAsia="Times New Roman" w:cs="Times New Roman"/>
          <w:lang w:eastAsia="de-DE"/>
        </w:rPr>
        <w:t xml:space="preserve">(und er soll das Lamm schlachten an dem Ort, wo man das Sündopfer und das </w:t>
      </w:r>
      <w:r w:rsidR="00CF10E7">
        <w:rPr>
          <w:rFonts w:eastAsia="Times New Roman" w:cs="Times New Roman"/>
          <w:lang w:eastAsia="de-DE"/>
        </w:rPr>
        <w:t>Aufsteigeopfer</w:t>
      </w:r>
      <w:r w:rsidRPr="00195E02">
        <w:rPr>
          <w:rFonts w:eastAsia="Times New Roman" w:cs="Times New Roman"/>
          <w:lang w:eastAsia="de-DE"/>
        </w:rPr>
        <w:t xml:space="preserve"> schlachtet) zeigt den Standardort für Opferschlachtungen. </w:t>
      </w:r>
      <w:r w:rsidRPr="00195E02">
        <w:rPr>
          <w:rFonts w:eastAsia="Times New Roman" w:cs="Times New Roman"/>
          <w:b/>
          <w:bCs/>
          <w:rtl/>
          <w:lang w:eastAsia="de-DE"/>
        </w:rPr>
        <w:t>במקום הקדש</w:t>
      </w:r>
      <w:r w:rsidRPr="00195E02">
        <w:rPr>
          <w:rFonts w:eastAsia="Times New Roman" w:cs="Times New Roman"/>
          <w:rtl/>
          <w:lang w:eastAsia="de-DE"/>
        </w:rPr>
        <w:t xml:space="preserve"> </w:t>
      </w:r>
      <w:r w:rsidRPr="00195E02">
        <w:rPr>
          <w:rFonts w:eastAsia="Times New Roman" w:cs="Times New Roman"/>
          <w:lang w:eastAsia="de-DE"/>
        </w:rPr>
        <w:t>(an heiliger Stätte) bekräftigt die Heiligkeit.</w:t>
      </w:r>
    </w:p>
    <w:p w14:paraId="10A14AD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כי כחטאת האשם הוא לכהן קדש קדשים הוא</w:t>
      </w:r>
      <w:r w:rsidRPr="00195E02">
        <w:rPr>
          <w:rFonts w:eastAsia="Times New Roman" w:cs="Times New Roman"/>
          <w:rtl/>
          <w:lang w:eastAsia="de-DE"/>
        </w:rPr>
        <w:t xml:space="preserve"> </w:t>
      </w:r>
      <w:r w:rsidRPr="00195E02">
        <w:rPr>
          <w:rFonts w:eastAsia="Times New Roman" w:cs="Times New Roman"/>
          <w:lang w:eastAsia="de-DE"/>
        </w:rPr>
        <w:t xml:space="preserve">erklärt den Status. </w:t>
      </w:r>
      <w:r w:rsidRPr="00195E02">
        <w:rPr>
          <w:rFonts w:eastAsia="Times New Roman" w:cs="Times New Roman"/>
          <w:b/>
          <w:bCs/>
          <w:rtl/>
          <w:lang w:eastAsia="de-DE"/>
        </w:rPr>
        <w:t>כי כחטאת האשם הוא לכהן</w:t>
      </w:r>
      <w:r w:rsidRPr="00195E02">
        <w:rPr>
          <w:rFonts w:eastAsia="Times New Roman" w:cs="Times New Roman"/>
          <w:rtl/>
          <w:lang w:eastAsia="de-DE"/>
        </w:rPr>
        <w:t xml:space="preserve"> </w:t>
      </w:r>
      <w:r w:rsidRPr="00195E02">
        <w:rPr>
          <w:rFonts w:eastAsia="Times New Roman" w:cs="Times New Roman"/>
          <w:lang w:eastAsia="de-DE"/>
        </w:rPr>
        <w:t xml:space="preserve">(denn wie das Sündopfer gehört das Schuldopfer dem Priester) - </w:t>
      </w:r>
      <w:r w:rsidRPr="00195E02">
        <w:rPr>
          <w:rFonts w:eastAsia="Times New Roman" w:cs="Times New Roman"/>
          <w:b/>
          <w:bCs/>
          <w:rtl/>
          <w:lang w:eastAsia="de-DE"/>
        </w:rPr>
        <w:t>כחטאת</w:t>
      </w:r>
      <w:r w:rsidRPr="00195E02">
        <w:rPr>
          <w:rFonts w:eastAsia="Times New Roman" w:cs="Times New Roman"/>
          <w:rtl/>
          <w:lang w:eastAsia="de-DE"/>
        </w:rPr>
        <w:t xml:space="preserve"> </w:t>
      </w:r>
      <w:r w:rsidRPr="00195E02">
        <w:rPr>
          <w:rFonts w:eastAsia="Times New Roman" w:cs="Times New Roman"/>
          <w:lang w:eastAsia="de-DE"/>
        </w:rPr>
        <w:t xml:space="preserve">(wie das Sündopfer) zeigt Parallele, </w:t>
      </w:r>
      <w:r w:rsidRPr="00195E02">
        <w:rPr>
          <w:rFonts w:eastAsia="Times New Roman" w:cs="Times New Roman"/>
          <w:b/>
          <w:bCs/>
          <w:rtl/>
          <w:lang w:eastAsia="de-DE"/>
        </w:rPr>
        <w:t>לכהן</w:t>
      </w:r>
      <w:r w:rsidRPr="00195E02">
        <w:rPr>
          <w:rFonts w:eastAsia="Times New Roman" w:cs="Times New Roman"/>
          <w:rtl/>
          <w:lang w:eastAsia="de-DE"/>
        </w:rPr>
        <w:t xml:space="preserve"> </w:t>
      </w:r>
      <w:r w:rsidRPr="00195E02">
        <w:rPr>
          <w:rFonts w:eastAsia="Times New Roman" w:cs="Times New Roman"/>
          <w:lang w:eastAsia="de-DE"/>
        </w:rPr>
        <w:t xml:space="preserve">(dem Priester) zeigt priesterlichen Anteil. </w:t>
      </w:r>
      <w:r w:rsidRPr="00195E02">
        <w:rPr>
          <w:rFonts w:eastAsia="Times New Roman" w:cs="Times New Roman"/>
          <w:b/>
          <w:bCs/>
          <w:rtl/>
          <w:lang w:eastAsia="de-DE"/>
        </w:rPr>
        <w:t>קדש קדשים הוא</w:t>
      </w:r>
      <w:r w:rsidRPr="00195E02">
        <w:rPr>
          <w:rFonts w:eastAsia="Times New Roman" w:cs="Times New Roman"/>
          <w:rtl/>
          <w:lang w:eastAsia="de-DE"/>
        </w:rPr>
        <w:t xml:space="preserve"> </w:t>
      </w:r>
      <w:r w:rsidRPr="00195E02">
        <w:rPr>
          <w:rFonts w:eastAsia="Times New Roman" w:cs="Times New Roman"/>
          <w:lang w:eastAsia="de-DE"/>
        </w:rPr>
        <w:t xml:space="preserve">(hochheilig ist es) mit emphatischem </w:t>
      </w:r>
      <w:r w:rsidRPr="00195E02">
        <w:rPr>
          <w:rFonts w:eastAsia="Times New Roman" w:cs="Times New Roman"/>
          <w:b/>
          <w:bCs/>
          <w:rtl/>
          <w:lang w:eastAsia="de-DE"/>
        </w:rPr>
        <w:t>הוא</w:t>
      </w:r>
      <w:r w:rsidRPr="00195E02">
        <w:rPr>
          <w:rFonts w:eastAsia="Times New Roman" w:cs="Times New Roman"/>
          <w:lang w:eastAsia="de-DE"/>
        </w:rPr>
        <w:t>.</w:t>
      </w:r>
    </w:p>
    <w:p w14:paraId="16BFD4A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במקום אשר ישחט את־החטאת ואת־העלה</w:t>
      </w:r>
      <w:r w:rsidRPr="00195E02">
        <w:rPr>
          <w:rFonts w:eastAsia="Times New Roman" w:cs="Times New Roman"/>
          <w:rtl/>
          <w:lang w:eastAsia="de-DE"/>
        </w:rPr>
        <w:t xml:space="preserve"> </w:t>
      </w:r>
      <w:r w:rsidRPr="00195E02">
        <w:rPr>
          <w:rFonts w:eastAsia="Times New Roman" w:cs="Times New Roman"/>
          <w:lang w:eastAsia="de-DE"/>
        </w:rPr>
        <w:t xml:space="preserve">zeigt Standardverfahren für alle Hauptopfer. </w:t>
      </w:r>
      <w:r w:rsidRPr="00195E02">
        <w:rPr>
          <w:rFonts w:eastAsia="Times New Roman" w:cs="Times New Roman"/>
          <w:b/>
          <w:bCs/>
          <w:rtl/>
          <w:lang w:eastAsia="de-DE"/>
        </w:rPr>
        <w:t>כחטאת האשם</w:t>
      </w:r>
      <w:r w:rsidRPr="00195E02">
        <w:rPr>
          <w:rFonts w:eastAsia="Times New Roman" w:cs="Times New Roman"/>
          <w:rtl/>
          <w:lang w:eastAsia="de-DE"/>
        </w:rPr>
        <w:t xml:space="preserve"> </w:t>
      </w:r>
      <w:r w:rsidRPr="00195E02">
        <w:rPr>
          <w:rFonts w:eastAsia="Times New Roman" w:cs="Times New Roman"/>
          <w:lang w:eastAsia="de-DE"/>
        </w:rPr>
        <w:t xml:space="preserve">stellt </w:t>
      </w:r>
      <w:r w:rsidRPr="00195E02">
        <w:rPr>
          <w:rFonts w:eastAsia="Times New Roman" w:cs="Times New Roman"/>
          <w:b/>
          <w:bCs/>
          <w:rtl/>
          <w:lang w:eastAsia="de-DE"/>
        </w:rPr>
        <w:t>אשם</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חטאת</w:t>
      </w:r>
      <w:r w:rsidRPr="00195E02">
        <w:rPr>
          <w:rFonts w:eastAsia="Times New Roman" w:cs="Times New Roman"/>
          <w:rtl/>
          <w:lang w:eastAsia="de-DE"/>
        </w:rPr>
        <w:t xml:space="preserve"> </w:t>
      </w:r>
      <w:r w:rsidRPr="00195E02">
        <w:rPr>
          <w:rFonts w:eastAsia="Times New Roman" w:cs="Times New Roman"/>
          <w:lang w:eastAsia="de-DE"/>
        </w:rPr>
        <w:t xml:space="preserve">als gleichwertige priesterliche Opfer dar. </w:t>
      </w:r>
      <w:r w:rsidRPr="00195E02">
        <w:rPr>
          <w:rFonts w:eastAsia="Times New Roman" w:cs="Times New Roman"/>
          <w:b/>
          <w:bCs/>
          <w:rtl/>
          <w:lang w:eastAsia="de-DE"/>
        </w:rPr>
        <w:t>קדש קדשים</w:t>
      </w:r>
      <w:r w:rsidRPr="00195E02">
        <w:rPr>
          <w:rFonts w:eastAsia="Times New Roman" w:cs="Times New Roman"/>
          <w:rtl/>
          <w:lang w:eastAsia="de-DE"/>
        </w:rPr>
        <w:t xml:space="preserve"> </w:t>
      </w:r>
      <w:r w:rsidRPr="00195E02">
        <w:rPr>
          <w:rFonts w:eastAsia="Times New Roman" w:cs="Times New Roman"/>
          <w:lang w:eastAsia="de-DE"/>
        </w:rPr>
        <w:t>als höchste Heiligkeitsstufe.</w:t>
      </w:r>
    </w:p>
    <w:p w14:paraId="584E8C6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במקום הקדש</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τό</w:t>
      </w:r>
      <w:proofErr w:type="spellEnd"/>
      <w:r w:rsidRPr="00195E02">
        <w:rPr>
          <w:rFonts w:eastAsia="Times New Roman" w:cs="Times New Roman"/>
          <w:lang w:eastAsia="de-DE"/>
        </w:rPr>
        <w:t xml:space="preserve">πῳ </w:t>
      </w:r>
      <w:proofErr w:type="spellStart"/>
      <w:r w:rsidRPr="00195E02">
        <w:rPr>
          <w:rFonts w:eastAsia="Times New Roman" w:cs="Times New Roman"/>
          <w:lang w:eastAsia="de-DE"/>
        </w:rPr>
        <w:t>ἁγίῳ</w:t>
      </w:r>
      <w:proofErr w:type="spellEnd"/>
      <w:r w:rsidRPr="00195E02">
        <w:rPr>
          <w:rFonts w:eastAsia="Times New Roman" w:cs="Times New Roman"/>
          <w:lang w:eastAsia="de-DE"/>
        </w:rPr>
        <w:t xml:space="preserve"> (an heiligem Ort), </w:t>
      </w:r>
      <w:r w:rsidRPr="00195E02">
        <w:rPr>
          <w:rFonts w:eastAsia="Times New Roman" w:cs="Times New Roman"/>
          <w:b/>
          <w:bCs/>
          <w:rtl/>
          <w:lang w:eastAsia="de-DE"/>
        </w:rPr>
        <w:t>כחטאת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ὡς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(wie das wegen der Sünde) und </w:t>
      </w:r>
      <w:r w:rsidRPr="00195E02">
        <w:rPr>
          <w:rFonts w:eastAsia="Times New Roman" w:cs="Times New Roman"/>
          <w:b/>
          <w:bCs/>
          <w:rtl/>
          <w:lang w:eastAsia="de-DE"/>
        </w:rPr>
        <w:t>קדש קדשים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ἅγι</w:t>
      </w:r>
      <w:proofErr w:type="spellEnd"/>
      <w:r w:rsidRPr="00195E02">
        <w:rPr>
          <w:rFonts w:eastAsia="Times New Roman" w:cs="Times New Roman"/>
          <w:lang w:eastAsia="de-DE"/>
        </w:rPr>
        <w:t xml:space="preserve">α </w:t>
      </w:r>
      <w:proofErr w:type="spellStart"/>
      <w:r w:rsidRPr="00195E02">
        <w:rPr>
          <w:rFonts w:eastAsia="Times New Roman" w:cs="Times New Roman"/>
          <w:lang w:eastAsia="de-DE"/>
        </w:rPr>
        <w:t>ἁγίων</w:t>
      </w:r>
      <w:proofErr w:type="spellEnd"/>
      <w:r w:rsidRPr="00195E02">
        <w:rPr>
          <w:rFonts w:eastAsia="Times New Roman" w:cs="Times New Roman"/>
          <w:lang w:eastAsia="de-DE"/>
        </w:rPr>
        <w:t xml:space="preserve"> (Allerheiligstes).</w:t>
      </w:r>
    </w:p>
    <w:p w14:paraId="586DDF1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Opferverfahren: Schlachtungsanweisung + Ortsangabe + Vergleich mit anderen Opfern + priesterliche Berechtigung + Heiligkeitsstatus. Die Struktur zeigt die Integration des </w:t>
      </w:r>
      <w:r w:rsidRPr="00195E02">
        <w:rPr>
          <w:rFonts w:eastAsia="Times New Roman" w:cs="Times New Roman"/>
          <w:b/>
          <w:bCs/>
          <w:rtl/>
          <w:lang w:eastAsia="de-DE"/>
        </w:rPr>
        <w:t>אשם</w:t>
      </w:r>
      <w:r w:rsidRPr="00195E02">
        <w:rPr>
          <w:rFonts w:eastAsia="Times New Roman" w:cs="Times New Roman"/>
          <w:rtl/>
          <w:lang w:eastAsia="de-DE"/>
        </w:rPr>
        <w:t xml:space="preserve"> </w:t>
      </w:r>
      <w:r w:rsidRPr="00195E02">
        <w:rPr>
          <w:rFonts w:eastAsia="Times New Roman" w:cs="Times New Roman"/>
          <w:lang w:eastAsia="de-DE"/>
        </w:rPr>
        <w:t>in das Opfersystem.</w:t>
      </w:r>
    </w:p>
    <w:p w14:paraId="0A13E5E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Schlachtung des Schuldopfers am heiligen Ort und etabliert dessen Status als hochheiliges priesterliches Opfer.</w:t>
      </w:r>
    </w:p>
    <w:p w14:paraId="3868588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14,14</w:t>
      </w:r>
    </w:p>
    <w:p w14:paraId="16197C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הַכֹּהֵן֮ מִדַּ֣ם הָאָשָׁם֒ וְנָתַן֙ הַכֹּהֵ֔ן עַל־תְּנ֛וּךְ אֹ֥זֶן הַמִּטַּהֵ֖ר הַיְמָנִ֑ית וְעַל־בֹּ֤הֶן יָדוֹ֙ הַיְמָנִ֔ית וְעַל־בֹּ֥הֶן רַגְלֹ֖ו הַיְמָנִֽית׃</w:t>
      </w:r>
    </w:p>
    <w:p w14:paraId="6AD3AAB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nehmen von dem Blut des Schuldopfers, und der Priester soll es geben auf das Ohrläppchen des sich Reinigenden, das rechte, und auf den Daumen seiner rechten Hand und auf die große Zehe seines rechten Fußes.</w:t>
      </w:r>
    </w:p>
    <w:p w14:paraId="5548131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31D4ACE">
          <v:rect id="_x0000_i1404" style="width:0;height:1.5pt" o:hralign="center" o:hrstd="t" o:hr="t" fillcolor="#a0a0a0" stroked="f"/>
        </w:pict>
      </w:r>
    </w:p>
    <w:p w14:paraId="4910CAE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הכהן מדם האשם ונתן הכהן על־תנוך אזן המטהר הימנית ועל־בהן ידו הימנית ועל־בהן רגלו הימנית</w:t>
      </w:r>
      <w:r w:rsidRPr="00195E02">
        <w:rPr>
          <w:rFonts w:eastAsia="Times New Roman" w:cs="Times New Roman"/>
          <w:rtl/>
          <w:lang w:eastAsia="de-DE"/>
        </w:rPr>
        <w:t xml:space="preserve"> </w:t>
      </w:r>
      <w:r w:rsidRPr="00195E02">
        <w:rPr>
          <w:rFonts w:eastAsia="Times New Roman" w:cs="Times New Roman"/>
          <w:lang w:eastAsia="de-DE"/>
        </w:rPr>
        <w:t xml:space="preserve">zeigt das spezielle Blutapplikationsritual. </w:t>
      </w:r>
      <w:r w:rsidRPr="00195E02">
        <w:rPr>
          <w:rFonts w:eastAsia="Times New Roman" w:cs="Times New Roman"/>
          <w:b/>
          <w:bCs/>
          <w:rtl/>
          <w:lang w:eastAsia="de-DE"/>
        </w:rPr>
        <w:t>ולקח הכהן מדם האשם</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nehmen von dem Blut des Schuldopfers) zeigt partielle Blutverwendung. </w:t>
      </w:r>
      <w:r w:rsidRPr="00195E02">
        <w:rPr>
          <w:rFonts w:eastAsia="Times New Roman" w:cs="Times New Roman"/>
          <w:b/>
          <w:bCs/>
          <w:rtl/>
          <w:lang w:eastAsia="de-DE"/>
        </w:rPr>
        <w:t>ונתן הכהן</w:t>
      </w:r>
      <w:r w:rsidRPr="00195E02">
        <w:rPr>
          <w:rFonts w:eastAsia="Times New Roman" w:cs="Times New Roman"/>
          <w:rtl/>
          <w:lang w:eastAsia="de-DE"/>
        </w:rPr>
        <w:t xml:space="preserve"> </w:t>
      </w:r>
      <w:r w:rsidRPr="00195E02">
        <w:rPr>
          <w:rFonts w:eastAsia="Times New Roman" w:cs="Times New Roman"/>
          <w:lang w:eastAsia="de-DE"/>
        </w:rPr>
        <w:t>(und der Priester soll geben) mit expliziter Priesternennung.</w:t>
      </w:r>
    </w:p>
    <w:p w14:paraId="24448AD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על־תנוך אזן המטהר הימנית</w:t>
      </w:r>
      <w:r w:rsidRPr="00195E02">
        <w:rPr>
          <w:rFonts w:eastAsia="Times New Roman" w:cs="Times New Roman"/>
          <w:rtl/>
          <w:lang w:eastAsia="de-DE"/>
        </w:rPr>
        <w:t xml:space="preserve"> </w:t>
      </w:r>
      <w:r w:rsidRPr="00195E02">
        <w:rPr>
          <w:rFonts w:eastAsia="Times New Roman" w:cs="Times New Roman"/>
          <w:lang w:eastAsia="de-DE"/>
        </w:rPr>
        <w:t xml:space="preserve">(auf das Ohrläppchen des sich Reinigenden, das rechte) - </w:t>
      </w:r>
      <w:r w:rsidRPr="00195E02">
        <w:rPr>
          <w:rFonts w:eastAsia="Times New Roman" w:cs="Times New Roman"/>
          <w:b/>
          <w:bCs/>
          <w:rtl/>
          <w:lang w:eastAsia="de-DE"/>
        </w:rPr>
        <w:t>תנוך אזן</w:t>
      </w:r>
      <w:r w:rsidRPr="00195E02">
        <w:rPr>
          <w:rFonts w:eastAsia="Times New Roman" w:cs="Times New Roman"/>
          <w:rtl/>
          <w:lang w:eastAsia="de-DE"/>
        </w:rPr>
        <w:t xml:space="preserve"> </w:t>
      </w:r>
      <w:r w:rsidRPr="00195E02">
        <w:rPr>
          <w:rFonts w:eastAsia="Times New Roman" w:cs="Times New Roman"/>
          <w:lang w:eastAsia="de-DE"/>
        </w:rPr>
        <w:t xml:space="preserve">(Ohrläppchen) als spezifischer Körperteil, </w:t>
      </w:r>
      <w:r w:rsidRPr="00195E02">
        <w:rPr>
          <w:rFonts w:eastAsia="Times New Roman" w:cs="Times New Roman"/>
          <w:b/>
          <w:bCs/>
          <w:rtl/>
          <w:lang w:eastAsia="de-DE"/>
        </w:rPr>
        <w:t>הימנית</w:t>
      </w:r>
      <w:r w:rsidRPr="00195E02">
        <w:rPr>
          <w:rFonts w:eastAsia="Times New Roman" w:cs="Times New Roman"/>
          <w:rtl/>
          <w:lang w:eastAsia="de-DE"/>
        </w:rPr>
        <w:t xml:space="preserve"> </w:t>
      </w:r>
      <w:r w:rsidRPr="00195E02">
        <w:rPr>
          <w:rFonts w:eastAsia="Times New Roman" w:cs="Times New Roman"/>
          <w:lang w:eastAsia="de-DE"/>
        </w:rPr>
        <w:t xml:space="preserve">(das rechte) zeigt Seitenpräferenz. </w:t>
      </w:r>
      <w:r w:rsidRPr="00195E02">
        <w:rPr>
          <w:rFonts w:eastAsia="Times New Roman" w:cs="Times New Roman"/>
          <w:b/>
          <w:bCs/>
          <w:rtl/>
          <w:lang w:eastAsia="de-DE"/>
        </w:rPr>
        <w:t>ועל־בהן ידו הימנית ועל־בהן רגלו הימנית</w:t>
      </w:r>
      <w:r w:rsidRPr="00195E02">
        <w:rPr>
          <w:rFonts w:eastAsia="Times New Roman" w:cs="Times New Roman"/>
          <w:rtl/>
          <w:lang w:eastAsia="de-DE"/>
        </w:rPr>
        <w:t xml:space="preserve"> </w:t>
      </w:r>
      <w:r w:rsidRPr="00195E02">
        <w:rPr>
          <w:rFonts w:eastAsia="Times New Roman" w:cs="Times New Roman"/>
          <w:lang w:eastAsia="de-DE"/>
        </w:rPr>
        <w:t xml:space="preserve">(und auf den Daumen seiner rechten Hand und auf die große Zehe seines rechten Fußes) - </w:t>
      </w:r>
      <w:r w:rsidRPr="00195E02">
        <w:rPr>
          <w:rFonts w:eastAsia="Times New Roman" w:cs="Times New Roman"/>
          <w:b/>
          <w:bCs/>
          <w:rtl/>
          <w:lang w:eastAsia="de-DE"/>
        </w:rPr>
        <w:t>בהן</w:t>
      </w:r>
      <w:r w:rsidRPr="00195E02">
        <w:rPr>
          <w:rFonts w:eastAsia="Times New Roman" w:cs="Times New Roman"/>
          <w:rtl/>
          <w:lang w:eastAsia="de-DE"/>
        </w:rPr>
        <w:t xml:space="preserve"> </w:t>
      </w:r>
      <w:r w:rsidRPr="00195E02">
        <w:rPr>
          <w:rFonts w:eastAsia="Times New Roman" w:cs="Times New Roman"/>
          <w:lang w:eastAsia="de-DE"/>
        </w:rPr>
        <w:t>(Daumen/große Zehe) an den Extremitäten.</w:t>
      </w:r>
    </w:p>
    <w:p w14:paraId="748FE1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מדם האשם</w:t>
      </w:r>
      <w:r w:rsidRPr="00195E02">
        <w:rPr>
          <w:rFonts w:eastAsia="Times New Roman" w:cs="Times New Roman"/>
          <w:rtl/>
          <w:lang w:eastAsia="de-DE"/>
        </w:rPr>
        <w:t xml:space="preserve"> </w:t>
      </w:r>
      <w:r w:rsidRPr="00195E02">
        <w:rPr>
          <w:rFonts w:eastAsia="Times New Roman" w:cs="Times New Roman"/>
          <w:lang w:eastAsia="de-DE"/>
        </w:rPr>
        <w:t xml:space="preserve">zeigt spezielle Verwendung des Schuldopferbluts. </w:t>
      </w:r>
      <w:r w:rsidRPr="00195E02">
        <w:rPr>
          <w:rFonts w:eastAsia="Times New Roman" w:cs="Times New Roman"/>
          <w:b/>
          <w:bCs/>
          <w:rtl/>
          <w:lang w:eastAsia="de-DE"/>
        </w:rPr>
        <w:t>תנוך אזן הימנית</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בהן ידו הימנית</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בהן רגלו הימנית</w:t>
      </w:r>
      <w:r w:rsidRPr="00195E02">
        <w:rPr>
          <w:rFonts w:eastAsia="Times New Roman" w:cs="Times New Roman"/>
          <w:rtl/>
          <w:lang w:eastAsia="de-DE"/>
        </w:rPr>
        <w:t xml:space="preserve"> </w:t>
      </w:r>
      <w:r w:rsidRPr="00195E02">
        <w:rPr>
          <w:rFonts w:eastAsia="Times New Roman" w:cs="Times New Roman"/>
          <w:lang w:eastAsia="de-DE"/>
        </w:rPr>
        <w:t>als drei Punkte am rechten Körperrand. Die Applikation erfolgt an Kopf, Hand und Fuß als Repräsentation des ganzen Menschen.</w:t>
      </w:r>
    </w:p>
    <w:p w14:paraId="4EC43153" w14:textId="5971C23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תנוך אזן</w:t>
      </w:r>
      <w:r w:rsidR="00523826">
        <w:t xml:space="preserve"> (</w:t>
      </w:r>
      <w:proofErr w:type="spellStart"/>
      <w:r w:rsidR="00523826">
        <w:t>tenuch</w:t>
      </w:r>
      <w:proofErr w:type="spellEnd"/>
      <w:r w:rsidR="00523826">
        <w:t xml:space="preserve"> </w:t>
      </w:r>
      <w:proofErr w:type="spellStart"/>
      <w:r w:rsidR="00523826">
        <w:t>ozen</w:t>
      </w:r>
      <w:proofErr w:type="spellEnd"/>
      <w:r w:rsidR="00523826">
        <w:t xml:space="preserve"> - "Ohrläppchen") als </w:t>
      </w:r>
      <w:proofErr w:type="spellStart"/>
      <w:r w:rsidR="00523826">
        <w:t>λο</w:t>
      </w:r>
      <w:proofErr w:type="spellEnd"/>
      <w:r w:rsidR="00523826">
        <w:t xml:space="preserve">βὸς </w:t>
      </w:r>
      <w:proofErr w:type="spellStart"/>
      <w:r w:rsidR="00523826">
        <w:t>τοῦ</w:t>
      </w:r>
      <w:proofErr w:type="spellEnd"/>
      <w:r w:rsidR="00523826">
        <w:t xml:space="preserve"> </w:t>
      </w:r>
      <w:proofErr w:type="spellStart"/>
      <w:r w:rsidR="00523826">
        <w:t>ὠτός</w:t>
      </w:r>
      <w:proofErr w:type="spellEnd"/>
      <w:r w:rsidR="00523826">
        <w:t xml:space="preserve"> (Ohrlappen), was medizinisch präziser ist.</w:t>
      </w:r>
    </w:p>
    <w:p w14:paraId="57A526E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rituelles Markieren: Blutentnahme + drei spezifische Applikationspunkte am rechten Körperrand. Die Struktur zeigt systematische Körperweihung.</w:t>
      </w:r>
    </w:p>
    <w:p w14:paraId="75D1448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rituelle Blutapplikation an drei Punkten der rechten Körperseite: Ohr, Hand und Fuß.</w:t>
      </w:r>
    </w:p>
    <w:p w14:paraId="3DA4011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14,15</w:t>
      </w:r>
    </w:p>
    <w:p w14:paraId="57CAD9F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הַכֹּהֵ֖ן מִלֹּ֣ג הַשָּׁ֑מֶן וְיָצַ֛ק עַל־כַּ֥ף הַכֹּהֵ֖ן הַשְּׂמָאלִֽית׃</w:t>
      </w:r>
    </w:p>
    <w:p w14:paraId="1C1900A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nehmen von dem Log Öl und es gießen auf die linke Handfläche des Priesters.</w:t>
      </w:r>
    </w:p>
    <w:p w14:paraId="063A95F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4F2C43E">
          <v:rect id="_x0000_i1405" style="width:0;height:1.5pt" o:hralign="center" o:hrstd="t" o:hr="t" fillcolor="#a0a0a0" stroked="f"/>
        </w:pict>
      </w:r>
    </w:p>
    <w:p w14:paraId="10978D9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הכהן מלג השמן ויצק על־כף הכהן השמאלית</w:t>
      </w:r>
      <w:r w:rsidRPr="00195E02">
        <w:rPr>
          <w:rFonts w:eastAsia="Times New Roman" w:cs="Times New Roman"/>
          <w:rtl/>
          <w:lang w:eastAsia="de-DE"/>
        </w:rPr>
        <w:t xml:space="preserve"> </w:t>
      </w:r>
      <w:r w:rsidRPr="00195E02">
        <w:rPr>
          <w:rFonts w:eastAsia="Times New Roman" w:cs="Times New Roman"/>
          <w:lang w:eastAsia="de-DE"/>
        </w:rPr>
        <w:t xml:space="preserve">zeigt die Ölvorbereitung. </w:t>
      </w:r>
      <w:r w:rsidRPr="00195E02">
        <w:rPr>
          <w:rFonts w:eastAsia="Times New Roman" w:cs="Times New Roman"/>
          <w:b/>
          <w:bCs/>
          <w:rtl/>
          <w:lang w:eastAsia="de-DE"/>
        </w:rPr>
        <w:t>ולקח הכהן מלג השמן</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nehmen von dem Log Öl) - </w:t>
      </w:r>
      <w:r w:rsidRPr="00195E02">
        <w:rPr>
          <w:rFonts w:eastAsia="Times New Roman" w:cs="Times New Roman"/>
          <w:b/>
          <w:bCs/>
          <w:rtl/>
          <w:lang w:eastAsia="de-DE"/>
        </w:rPr>
        <w:t>מלג השמן</w:t>
      </w:r>
      <w:r w:rsidRPr="00195E02">
        <w:rPr>
          <w:rFonts w:eastAsia="Times New Roman" w:cs="Times New Roman"/>
          <w:rtl/>
          <w:lang w:eastAsia="de-DE"/>
        </w:rPr>
        <w:t xml:space="preserve"> </w:t>
      </w:r>
      <w:r w:rsidRPr="00195E02">
        <w:rPr>
          <w:rFonts w:eastAsia="Times New Roman" w:cs="Times New Roman"/>
          <w:lang w:eastAsia="de-DE"/>
        </w:rPr>
        <w:t xml:space="preserve">(von dem Log Öl) aus V. 10 und 12. </w:t>
      </w:r>
      <w:r w:rsidRPr="00195E02">
        <w:rPr>
          <w:rFonts w:eastAsia="Times New Roman" w:cs="Times New Roman"/>
          <w:b/>
          <w:bCs/>
          <w:rtl/>
          <w:lang w:eastAsia="de-DE"/>
        </w:rPr>
        <w:t>ויצק על־כף הכהן השמאלית</w:t>
      </w:r>
      <w:r w:rsidRPr="00195E02">
        <w:rPr>
          <w:rFonts w:eastAsia="Times New Roman" w:cs="Times New Roman"/>
          <w:rtl/>
          <w:lang w:eastAsia="de-DE"/>
        </w:rPr>
        <w:t xml:space="preserve"> </w:t>
      </w:r>
      <w:r w:rsidRPr="00195E02">
        <w:rPr>
          <w:rFonts w:eastAsia="Times New Roman" w:cs="Times New Roman"/>
          <w:lang w:eastAsia="de-DE"/>
        </w:rPr>
        <w:t xml:space="preserve">(und es gießen auf die linke Handfläche des Priesters) - </w:t>
      </w:r>
      <w:r w:rsidRPr="00195E02">
        <w:rPr>
          <w:rFonts w:eastAsia="Times New Roman" w:cs="Times New Roman"/>
          <w:b/>
          <w:bCs/>
          <w:rtl/>
          <w:lang w:eastAsia="de-DE"/>
        </w:rPr>
        <w:t>יצק</w:t>
      </w:r>
      <w:r w:rsidRPr="00195E02">
        <w:rPr>
          <w:rFonts w:eastAsia="Times New Roman" w:cs="Times New Roman"/>
          <w:rtl/>
          <w:lang w:eastAsia="de-DE"/>
        </w:rPr>
        <w:t xml:space="preserve"> </w:t>
      </w:r>
      <w:r w:rsidRPr="00195E02">
        <w:rPr>
          <w:rFonts w:eastAsia="Times New Roman" w:cs="Times New Roman"/>
          <w:lang w:eastAsia="de-DE"/>
        </w:rPr>
        <w:t xml:space="preserve">(gießen) im Qal-Perfekt mit Waw-Konsekutiv, </w:t>
      </w:r>
      <w:r w:rsidRPr="00195E02">
        <w:rPr>
          <w:rFonts w:eastAsia="Times New Roman" w:cs="Times New Roman"/>
          <w:b/>
          <w:bCs/>
          <w:rtl/>
          <w:lang w:eastAsia="de-DE"/>
        </w:rPr>
        <w:t>כף הכהן השמאלית</w:t>
      </w:r>
      <w:r w:rsidRPr="00195E02">
        <w:rPr>
          <w:rFonts w:eastAsia="Times New Roman" w:cs="Times New Roman"/>
          <w:rtl/>
          <w:lang w:eastAsia="de-DE"/>
        </w:rPr>
        <w:t xml:space="preserve"> </w:t>
      </w:r>
      <w:r w:rsidRPr="00195E02">
        <w:rPr>
          <w:rFonts w:eastAsia="Times New Roman" w:cs="Times New Roman"/>
          <w:lang w:eastAsia="de-DE"/>
        </w:rPr>
        <w:t>(die linke Handfläche des Priesters) im Gegensatz zur rechten Hand für die Applikation.</w:t>
      </w:r>
    </w:p>
    <w:p w14:paraId="211F3BB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מלג השמן</w:t>
      </w:r>
      <w:r w:rsidRPr="00195E02">
        <w:rPr>
          <w:rFonts w:eastAsia="Times New Roman" w:cs="Times New Roman"/>
          <w:rtl/>
          <w:lang w:eastAsia="de-DE"/>
        </w:rPr>
        <w:t xml:space="preserve"> </w:t>
      </w:r>
      <w:r w:rsidRPr="00195E02">
        <w:rPr>
          <w:rFonts w:eastAsia="Times New Roman" w:cs="Times New Roman"/>
          <w:lang w:eastAsia="de-DE"/>
        </w:rPr>
        <w:t xml:space="preserve">zeigt partielle Verwendung des Öls. </w:t>
      </w:r>
      <w:r w:rsidRPr="00195E02">
        <w:rPr>
          <w:rFonts w:eastAsia="Times New Roman" w:cs="Times New Roman"/>
          <w:b/>
          <w:bCs/>
          <w:rtl/>
          <w:lang w:eastAsia="de-DE"/>
        </w:rPr>
        <w:t>כף הכהן השמאלית</w:t>
      </w:r>
      <w:r w:rsidRPr="00195E02">
        <w:rPr>
          <w:rFonts w:eastAsia="Times New Roman" w:cs="Times New Roman"/>
          <w:rtl/>
          <w:lang w:eastAsia="de-DE"/>
        </w:rPr>
        <w:t xml:space="preserve"> </w:t>
      </w:r>
      <w:r w:rsidRPr="00195E02">
        <w:rPr>
          <w:rFonts w:eastAsia="Times New Roman" w:cs="Times New Roman"/>
          <w:lang w:eastAsia="de-DE"/>
        </w:rPr>
        <w:t xml:space="preserve">zeigt, dass der Priester seine eigene Hand als Ölbehälter verwendet. </w:t>
      </w:r>
      <w:r w:rsidRPr="00195E02">
        <w:rPr>
          <w:rFonts w:eastAsia="Times New Roman" w:cs="Times New Roman"/>
          <w:b/>
          <w:bCs/>
          <w:rtl/>
          <w:lang w:eastAsia="de-DE"/>
        </w:rPr>
        <w:t>השמאלית</w:t>
      </w:r>
      <w:r w:rsidRPr="00195E02">
        <w:rPr>
          <w:rFonts w:eastAsia="Times New Roman" w:cs="Times New Roman"/>
          <w:rtl/>
          <w:lang w:eastAsia="de-DE"/>
        </w:rPr>
        <w:t xml:space="preserve"> </w:t>
      </w:r>
      <w:r w:rsidRPr="00195E02">
        <w:rPr>
          <w:rFonts w:eastAsia="Times New Roman" w:cs="Times New Roman"/>
          <w:lang w:eastAsia="de-DE"/>
        </w:rPr>
        <w:t>(die linke) bereitet die rechte Hand für die Applikation vor.</w:t>
      </w:r>
    </w:p>
    <w:p w14:paraId="4643746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מלג השמן</w:t>
      </w:r>
      <w:r w:rsidRPr="00195E02">
        <w:rPr>
          <w:rFonts w:eastAsia="Times New Roman" w:cs="Times New Roman"/>
          <w:rtl/>
          <w:lang w:eastAsia="de-DE"/>
        </w:rPr>
        <w:t xml:space="preserve"> </w:t>
      </w:r>
      <w:r w:rsidRPr="00195E02">
        <w:rPr>
          <w:rFonts w:eastAsia="Times New Roman" w:cs="Times New Roman"/>
          <w:lang w:eastAsia="de-DE"/>
        </w:rPr>
        <w:t xml:space="preserve">mit ἀπὸ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κοτύλης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ἐλ</w:t>
      </w:r>
      <w:proofErr w:type="spellEnd"/>
      <w:r w:rsidRPr="00195E02">
        <w:rPr>
          <w:rFonts w:eastAsia="Times New Roman" w:cs="Times New Roman"/>
          <w:lang w:eastAsia="de-DE"/>
        </w:rPr>
        <w:t xml:space="preserve">αίου (von der </w:t>
      </w:r>
      <w:proofErr w:type="spellStart"/>
      <w:r w:rsidRPr="00195E02">
        <w:rPr>
          <w:rFonts w:eastAsia="Times New Roman" w:cs="Times New Roman"/>
          <w:lang w:eastAsia="de-DE"/>
        </w:rPr>
        <w:t>Kotyle</w:t>
      </w:r>
      <w:proofErr w:type="spellEnd"/>
      <w:r w:rsidRPr="00195E02">
        <w:rPr>
          <w:rFonts w:eastAsia="Times New Roman" w:cs="Times New Roman"/>
          <w:lang w:eastAsia="de-DE"/>
        </w:rPr>
        <w:t xml:space="preserve"> des Öls) und </w:t>
      </w:r>
      <w:r w:rsidRPr="00195E02">
        <w:rPr>
          <w:rFonts w:eastAsia="Times New Roman" w:cs="Times New Roman"/>
          <w:b/>
          <w:bCs/>
          <w:rtl/>
          <w:lang w:eastAsia="de-DE"/>
        </w:rPr>
        <w:t>כף השמאלית</w:t>
      </w:r>
      <w:r w:rsidRPr="00195E02">
        <w:rPr>
          <w:rFonts w:eastAsia="Times New Roman" w:cs="Times New Roman"/>
          <w:rtl/>
          <w:lang w:eastAsia="de-DE"/>
        </w:rPr>
        <w:t xml:space="preserve"> </w:t>
      </w:r>
      <w:r w:rsidRPr="00195E02">
        <w:rPr>
          <w:rFonts w:eastAsia="Times New Roman" w:cs="Times New Roman"/>
          <w:lang w:eastAsia="de-DE"/>
        </w:rPr>
        <w:t xml:space="preserve">mit ἐπὶ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χεῖρ</w:t>
      </w:r>
      <w:proofErr w:type="spellEnd"/>
      <w:r w:rsidRPr="00195E02">
        <w:rPr>
          <w:rFonts w:eastAsia="Times New Roman" w:cs="Times New Roman"/>
          <w:lang w:eastAsia="de-DE"/>
        </w:rPr>
        <w:t xml:space="preserve">α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ἀριστεράν</w:t>
      </w:r>
      <w:proofErr w:type="spellEnd"/>
      <w:r w:rsidRPr="00195E02">
        <w:rPr>
          <w:rFonts w:eastAsia="Times New Roman" w:cs="Times New Roman"/>
          <w:lang w:eastAsia="de-DE"/>
        </w:rPr>
        <w:t xml:space="preserve"> (auf die linke Hand).</w:t>
      </w:r>
    </w:p>
    <w:p w14:paraId="24D4D2A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Ölvorbereitung: Entnahme aus dem Log + Gießen auf priesterliche Handfläche mit Seitenspezifikation. Die knappe Struktur zeigt einfache Vorbereitung für komplexes Ritual.</w:t>
      </w:r>
    </w:p>
    <w:p w14:paraId="13A3397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Vorbereitung des Öls durch Gießen auf die linke Priesterhand.</w:t>
      </w:r>
    </w:p>
    <w:p w14:paraId="77DFBB41"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14,16</w:t>
      </w:r>
    </w:p>
    <w:p w14:paraId="5D1F9B9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וְטָבַ֤ל הַכֹּהֵן֙ אֶת־אֶצְבָּעֹ֣ו הַיְמָנִ֔ית מִן־הַשֶּׁ֕מֶן אֲשֶׁ֥ר עַל־כַּפֹּ֖ו הַשְּׂמָאלִ֑ית וְהִזָּ֨ה מִן־הַשֶּׁ֧מֶן בְּאֶצְבָּעֹ֛ו שֶׁ֥בַע פְּעָמִ֖ים לִפְנֵ֥י יְהוָֽה׃</w:t>
      </w:r>
    </w:p>
    <w:p w14:paraId="20A07D6B" w14:textId="31A73F5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seinen rechten Finger eintauchen in das Öl, das auf seiner linken Handfläche ist, und soll sprengen von dem Öl mit seinem Finger siebenmal vor dem </w:t>
      </w:r>
      <w:r w:rsidR="004603C6">
        <w:rPr>
          <w:rFonts w:eastAsia="Times New Roman" w:cs="Times New Roman"/>
          <w:lang w:eastAsia="de-DE"/>
        </w:rPr>
        <w:t>Ewigen</w:t>
      </w:r>
      <w:r w:rsidRPr="00195E02">
        <w:rPr>
          <w:rFonts w:eastAsia="Times New Roman" w:cs="Times New Roman"/>
          <w:lang w:eastAsia="de-DE"/>
        </w:rPr>
        <w:t>.</w:t>
      </w:r>
    </w:p>
    <w:p w14:paraId="47F846F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lastRenderedPageBreak/>
        <w:pict w14:anchorId="405F4927">
          <v:rect id="_x0000_i1406" style="width:0;height:1.5pt" o:hralign="center" o:hrstd="t" o:hr="t" fillcolor="#a0a0a0" stroked="f"/>
        </w:pict>
      </w:r>
    </w:p>
    <w:p w14:paraId="1AC83EF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וטבל הכהן את־אצבעו הימנית מן־השמן אשר על־כפו השמאלית והזה מן־השמן באצבעו שבע פעמים 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das Ölsprengungsritual. </w:t>
      </w:r>
      <w:r w:rsidRPr="00195E02">
        <w:rPr>
          <w:rFonts w:eastAsia="Times New Roman" w:cs="Times New Roman"/>
          <w:b/>
          <w:bCs/>
          <w:rtl/>
          <w:lang w:eastAsia="de-DE"/>
        </w:rPr>
        <w:t>וטבל הכהן את־אצבעו הימנית</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seinen rechten Finger eintauchen) - </w:t>
      </w:r>
      <w:r w:rsidRPr="00195E02">
        <w:rPr>
          <w:rFonts w:eastAsia="Times New Roman" w:cs="Times New Roman"/>
          <w:b/>
          <w:bCs/>
          <w:rtl/>
          <w:lang w:eastAsia="de-DE"/>
        </w:rPr>
        <w:t>טבל</w:t>
      </w:r>
      <w:r w:rsidRPr="00195E02">
        <w:rPr>
          <w:rFonts w:eastAsia="Times New Roman" w:cs="Times New Roman"/>
          <w:rtl/>
          <w:lang w:eastAsia="de-DE"/>
        </w:rPr>
        <w:t xml:space="preserve"> </w:t>
      </w:r>
      <w:r w:rsidRPr="00195E02">
        <w:rPr>
          <w:rFonts w:eastAsia="Times New Roman" w:cs="Times New Roman"/>
          <w:lang w:eastAsia="de-DE"/>
        </w:rPr>
        <w:t xml:space="preserve">(eintauchen) entspricht V. 6, </w:t>
      </w:r>
      <w:r w:rsidRPr="00195E02">
        <w:rPr>
          <w:rFonts w:eastAsia="Times New Roman" w:cs="Times New Roman"/>
          <w:b/>
          <w:bCs/>
          <w:rtl/>
          <w:lang w:eastAsia="de-DE"/>
        </w:rPr>
        <w:t>אצבעו הימנית</w:t>
      </w:r>
      <w:r w:rsidRPr="00195E02">
        <w:rPr>
          <w:rFonts w:eastAsia="Times New Roman" w:cs="Times New Roman"/>
          <w:rtl/>
          <w:lang w:eastAsia="de-DE"/>
        </w:rPr>
        <w:t xml:space="preserve"> </w:t>
      </w:r>
      <w:r w:rsidRPr="00195E02">
        <w:rPr>
          <w:rFonts w:eastAsia="Times New Roman" w:cs="Times New Roman"/>
          <w:lang w:eastAsia="de-DE"/>
        </w:rPr>
        <w:t>(seinen rechten Finger) komplementär zur linken Hand.</w:t>
      </w:r>
    </w:p>
    <w:p w14:paraId="0F234DAA" w14:textId="45F0483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מן־השמן אשר על־כפו השמאלית</w:t>
      </w:r>
      <w:r w:rsidRPr="00195E02">
        <w:rPr>
          <w:rFonts w:eastAsia="Times New Roman" w:cs="Times New Roman"/>
          <w:rtl/>
          <w:lang w:eastAsia="de-DE"/>
        </w:rPr>
        <w:t xml:space="preserve"> </w:t>
      </w:r>
      <w:r w:rsidRPr="00195E02">
        <w:rPr>
          <w:rFonts w:eastAsia="Times New Roman" w:cs="Times New Roman"/>
          <w:lang w:eastAsia="de-DE"/>
        </w:rPr>
        <w:t xml:space="preserve">(in das Öl, das auf seiner linken Handfläche ist) bezieht sich auf V. 15. </w:t>
      </w:r>
      <w:r w:rsidRPr="00195E02">
        <w:rPr>
          <w:rFonts w:eastAsia="Times New Roman" w:cs="Times New Roman"/>
          <w:b/>
          <w:bCs/>
          <w:rtl/>
          <w:lang w:eastAsia="de-DE"/>
        </w:rPr>
        <w:t>והזה מן־השמן באצבעו שבע פעמים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soll sprengen von dem Öl mit seinem Finger siebenmal vor dem </w:t>
      </w:r>
      <w:r w:rsidR="004603C6">
        <w:rPr>
          <w:rFonts w:eastAsia="Times New Roman" w:cs="Times New Roman"/>
          <w:lang w:eastAsia="de-DE"/>
        </w:rPr>
        <w:t>Ewigen</w:t>
      </w:r>
      <w:r w:rsidRPr="00195E02">
        <w:rPr>
          <w:rFonts w:eastAsia="Times New Roman" w:cs="Times New Roman"/>
          <w:lang w:eastAsia="de-DE"/>
        </w:rPr>
        <w:t xml:space="preserve">) - </w:t>
      </w:r>
      <w:r w:rsidRPr="00195E02">
        <w:rPr>
          <w:rFonts w:eastAsia="Times New Roman" w:cs="Times New Roman"/>
          <w:b/>
          <w:bCs/>
          <w:rtl/>
          <w:lang w:eastAsia="de-DE"/>
        </w:rPr>
        <w:t>הזה</w:t>
      </w:r>
      <w:r w:rsidRPr="00195E02">
        <w:rPr>
          <w:rFonts w:eastAsia="Times New Roman" w:cs="Times New Roman"/>
          <w:rtl/>
          <w:lang w:eastAsia="de-DE"/>
        </w:rPr>
        <w:t xml:space="preserve"> </w:t>
      </w:r>
      <w:r w:rsidRPr="00195E02">
        <w:rPr>
          <w:rFonts w:eastAsia="Times New Roman" w:cs="Times New Roman"/>
          <w:lang w:eastAsia="de-DE"/>
        </w:rPr>
        <w:t xml:space="preserve">(sprengen) entspricht V. 7,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(siebenmal) als rituelle Vollzahl.</w:t>
      </w:r>
    </w:p>
    <w:p w14:paraId="5867296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אצבעו הימנית</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כפו השמאלית</w:t>
      </w:r>
      <w:r w:rsidRPr="00195E02">
        <w:rPr>
          <w:rFonts w:eastAsia="Times New Roman" w:cs="Times New Roman"/>
          <w:rtl/>
          <w:lang w:eastAsia="de-DE"/>
        </w:rPr>
        <w:t xml:space="preserve"> </w:t>
      </w:r>
      <w:r w:rsidRPr="00195E02">
        <w:rPr>
          <w:rFonts w:eastAsia="Times New Roman" w:cs="Times New Roman"/>
          <w:lang w:eastAsia="de-DE"/>
        </w:rPr>
        <w:t xml:space="preserve">zeigen koordinierte Handbewegung. </w:t>
      </w:r>
      <w:r w:rsidRPr="00195E02">
        <w:rPr>
          <w:rFonts w:eastAsia="Times New Roman" w:cs="Times New Roman"/>
          <w:b/>
          <w:bCs/>
          <w:rtl/>
          <w:lang w:eastAsia="de-DE"/>
        </w:rPr>
        <w:t>שבע פעמים לפני יהוה</w:t>
      </w:r>
      <w:r w:rsidRPr="00195E02">
        <w:rPr>
          <w:rFonts w:eastAsia="Times New Roman" w:cs="Times New Roman"/>
          <w:rtl/>
          <w:lang w:eastAsia="de-DE"/>
        </w:rPr>
        <w:t xml:space="preserve"> </w:t>
      </w:r>
      <w:r w:rsidRPr="00195E02">
        <w:rPr>
          <w:rFonts w:eastAsia="Times New Roman" w:cs="Times New Roman"/>
          <w:lang w:eastAsia="de-DE"/>
        </w:rPr>
        <w:t>entspricht der Blutbesprengung aus V. 7 und anderen Reinigungsritualen.</w:t>
      </w:r>
    </w:p>
    <w:p w14:paraId="08AB580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וטבל</w:t>
      </w:r>
      <w:r w:rsidRPr="00195E02">
        <w:rPr>
          <w:rFonts w:eastAsia="Times New Roman" w:cs="Times New Roman"/>
          <w:rtl/>
          <w:lang w:eastAsia="de-DE"/>
        </w:rPr>
        <w:t xml:space="preserve"> </w:t>
      </w:r>
      <w:r w:rsidRPr="00195E02">
        <w:rPr>
          <w:rFonts w:eastAsia="Times New Roman" w:cs="Times New Roman"/>
          <w:lang w:eastAsia="de-DE"/>
        </w:rPr>
        <w:t>mit β</w:t>
      </w:r>
      <w:proofErr w:type="spellStart"/>
      <w:r w:rsidRPr="00195E02">
        <w:rPr>
          <w:rFonts w:eastAsia="Times New Roman" w:cs="Times New Roman"/>
          <w:lang w:eastAsia="de-DE"/>
        </w:rPr>
        <w:t>άψει</w:t>
      </w:r>
      <w:proofErr w:type="spellEnd"/>
      <w:r w:rsidRPr="00195E02">
        <w:rPr>
          <w:rFonts w:eastAsia="Times New Roman" w:cs="Times New Roman"/>
          <w:lang w:eastAsia="de-DE"/>
        </w:rPr>
        <w:t xml:space="preserve"> (er wird eintauchen), </w:t>
      </w:r>
      <w:r w:rsidRPr="00195E02">
        <w:rPr>
          <w:rFonts w:eastAsia="Times New Roman" w:cs="Times New Roman"/>
          <w:b/>
          <w:bCs/>
          <w:rtl/>
          <w:lang w:eastAsia="de-DE"/>
        </w:rPr>
        <w:t>אצבעו הימנית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δάκτυλον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δεξιόν</w:t>
      </w:r>
      <w:proofErr w:type="spellEnd"/>
      <w:r w:rsidRPr="00195E02">
        <w:rPr>
          <w:rFonts w:eastAsia="Times New Roman" w:cs="Times New Roman"/>
          <w:lang w:eastAsia="de-DE"/>
        </w:rPr>
        <w:t xml:space="preserve"> (den rechten Finger) und </w:t>
      </w:r>
      <w:r w:rsidRPr="00195E02">
        <w:rPr>
          <w:rFonts w:eastAsia="Times New Roman" w:cs="Times New Roman"/>
          <w:b/>
          <w:bCs/>
          <w:rtl/>
          <w:lang w:eastAsia="de-DE"/>
        </w:rPr>
        <w:t>והזה</w:t>
      </w:r>
      <w:r w:rsidRPr="00195E02">
        <w:rPr>
          <w:rFonts w:eastAsia="Times New Roman" w:cs="Times New Roman"/>
          <w:rtl/>
          <w:lang w:eastAsia="de-DE"/>
        </w:rPr>
        <w:t xml:space="preserve"> </w:t>
      </w:r>
      <w:r w:rsidRPr="00195E02">
        <w:rPr>
          <w:rFonts w:eastAsia="Times New Roman" w:cs="Times New Roman"/>
          <w:lang w:eastAsia="de-DE"/>
        </w:rPr>
        <w:t>mit ῥα</w:t>
      </w:r>
      <w:proofErr w:type="spellStart"/>
      <w:r w:rsidRPr="00195E02">
        <w:rPr>
          <w:rFonts w:eastAsia="Times New Roman" w:cs="Times New Roman"/>
          <w:lang w:eastAsia="de-DE"/>
        </w:rPr>
        <w:t>νεῖ</w:t>
      </w:r>
      <w:proofErr w:type="spellEnd"/>
      <w:r w:rsidRPr="00195E02">
        <w:rPr>
          <w:rFonts w:eastAsia="Times New Roman" w:cs="Times New Roman"/>
          <w:lang w:eastAsia="de-DE"/>
        </w:rPr>
        <w:t xml:space="preserve"> (er wird sprengen).</w:t>
      </w:r>
    </w:p>
    <w:p w14:paraId="305D3D6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Ölsprengung: Fingereintauchung mit Seitenkoordination + Quellenspezifikation + Sprengung mit Häufigkeitsangabe vor JHWH. Die Struktur zeigt präzise rituelle Koordination.</w:t>
      </w:r>
    </w:p>
    <w:p w14:paraId="0409034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siebenmalige Ölsprengung vor JHWH durch Eintauchen des rechten Fingers in das Öl der linken Hand.</w:t>
      </w:r>
    </w:p>
    <w:p w14:paraId="68CFFF2E"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14,17</w:t>
      </w:r>
    </w:p>
    <w:p w14:paraId="0E7D64A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וּמִיֶּ֨תֶר הַשֶּׁ֜מֶן אֲשֶׁ֣ר עַל־כַּפֹּ֗ו יִתֵּ֤ן הַכֹּהֵן֙ עַל־תְּנ֞וּךְ אֹ֤זֶן הַמִּטַּהֵר֙ הַיְמָנִ֔ית וְעַל־בֹּ֤הֶן יָדוֹ֙ הַיְמָנִ֔ית וְעַל־בֹּ֥הֶן רַגְלֹ֖ו הַיְמָנִ֑ית עַ֖ל דַּ֥ם הָאָשָֽׁם׃</w:t>
      </w:r>
    </w:p>
    <w:p w14:paraId="7B8A0A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von dem übrigen Öl, das auf seiner Handfläche ist, soll der Priester geben auf das rechte Ohrläppchen des sich Reinigenden und auf den Daumen seiner rechten Hand und auf die große Zehe seines rechten Fußes, auf das Blut des Schuldopfers.</w:t>
      </w:r>
    </w:p>
    <w:p w14:paraId="79C5331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28633B6">
          <v:rect id="_x0000_i1407" style="width:0;height:1.5pt" o:hralign="center" o:hrstd="t" o:hr="t" fillcolor="#a0a0a0" stroked="f"/>
        </w:pict>
      </w:r>
    </w:p>
    <w:p w14:paraId="1D4623D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ומיתר השמן אשר על־כפו יתן הכהן על־תנוך אזן המטהר הימנית ועל־בהן ידו הימנית ועל־בהן רגלו הימנית על דם האשם</w:t>
      </w:r>
      <w:r w:rsidRPr="00195E02">
        <w:rPr>
          <w:rFonts w:eastAsia="Times New Roman" w:cs="Times New Roman"/>
          <w:rtl/>
          <w:lang w:eastAsia="de-DE"/>
        </w:rPr>
        <w:t xml:space="preserve"> </w:t>
      </w:r>
      <w:r w:rsidRPr="00195E02">
        <w:rPr>
          <w:rFonts w:eastAsia="Times New Roman" w:cs="Times New Roman"/>
          <w:lang w:eastAsia="de-DE"/>
        </w:rPr>
        <w:t xml:space="preserve">zeigt die Ölapplikation über dem Blut. </w:t>
      </w:r>
      <w:r w:rsidRPr="00195E02">
        <w:rPr>
          <w:rFonts w:eastAsia="Times New Roman" w:cs="Times New Roman"/>
          <w:b/>
          <w:bCs/>
          <w:rtl/>
          <w:lang w:eastAsia="de-DE"/>
        </w:rPr>
        <w:t>ומיתר השמן אשר על־כפו</w:t>
      </w:r>
      <w:r w:rsidRPr="00195E02">
        <w:rPr>
          <w:rFonts w:eastAsia="Times New Roman" w:cs="Times New Roman"/>
          <w:rtl/>
          <w:lang w:eastAsia="de-DE"/>
        </w:rPr>
        <w:t xml:space="preserve"> </w:t>
      </w:r>
      <w:r w:rsidRPr="00195E02">
        <w:rPr>
          <w:rFonts w:eastAsia="Times New Roman" w:cs="Times New Roman"/>
          <w:lang w:eastAsia="de-DE"/>
        </w:rPr>
        <w:t xml:space="preserve">(und von dem übrigen Öl, das auf seiner Handfläche ist) - </w:t>
      </w:r>
      <w:r w:rsidRPr="00195E02">
        <w:rPr>
          <w:rFonts w:eastAsia="Times New Roman" w:cs="Times New Roman"/>
          <w:b/>
          <w:bCs/>
          <w:rtl/>
          <w:lang w:eastAsia="de-DE"/>
        </w:rPr>
        <w:t>יתר</w:t>
      </w:r>
      <w:r w:rsidRPr="00195E02">
        <w:rPr>
          <w:rFonts w:eastAsia="Times New Roman" w:cs="Times New Roman"/>
          <w:rtl/>
          <w:lang w:eastAsia="de-DE"/>
        </w:rPr>
        <w:t xml:space="preserve"> </w:t>
      </w:r>
      <w:r w:rsidRPr="00195E02">
        <w:rPr>
          <w:rFonts w:eastAsia="Times New Roman" w:cs="Times New Roman"/>
          <w:lang w:eastAsia="de-DE"/>
        </w:rPr>
        <w:t>(Übrige/Rest) nach der Sprengung aus V. 16.</w:t>
      </w:r>
    </w:p>
    <w:p w14:paraId="26D8EBC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יתן הכהן על־תנוך אזן המטהר הימנית ועל־בהן ידו הימנית ועל־בהן רגלו הימנית</w:t>
      </w:r>
      <w:r w:rsidRPr="00195E02">
        <w:rPr>
          <w:rFonts w:eastAsia="Times New Roman" w:cs="Times New Roman"/>
          <w:rtl/>
          <w:lang w:eastAsia="de-DE"/>
        </w:rPr>
        <w:t xml:space="preserve"> </w:t>
      </w:r>
      <w:r w:rsidRPr="00195E02">
        <w:rPr>
          <w:rFonts w:eastAsia="Times New Roman" w:cs="Times New Roman"/>
          <w:lang w:eastAsia="de-DE"/>
        </w:rPr>
        <w:t>(soll der Priester geben auf das rechte Ohrläppchen des sich Reinigenden und auf den Daumen seiner rechten Hand und auf die große Zehe seines rechten Fußes) entspricht exakt den Blutstellen aus V. 14.</w:t>
      </w:r>
    </w:p>
    <w:p w14:paraId="6AD93B5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 דם האשם</w:t>
      </w:r>
      <w:r w:rsidRPr="00195E02">
        <w:rPr>
          <w:rFonts w:eastAsia="Times New Roman" w:cs="Times New Roman"/>
          <w:rtl/>
          <w:lang w:eastAsia="de-DE"/>
        </w:rPr>
        <w:t xml:space="preserve"> </w:t>
      </w:r>
      <w:r w:rsidRPr="00195E02">
        <w:rPr>
          <w:rFonts w:eastAsia="Times New Roman" w:cs="Times New Roman"/>
          <w:lang w:eastAsia="de-DE"/>
        </w:rPr>
        <w:t>(auf das Blut des Schuldopfers) zeigt, dass das Öl über das bereits applizierte Blut gegeben wird. Dies schafft eine doppelte Markierung derselben Körperstellen.</w:t>
      </w:r>
    </w:p>
    <w:p w14:paraId="2AC6EFA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יתר השמן</w:t>
      </w:r>
      <w:r w:rsidRPr="00195E02">
        <w:rPr>
          <w:rFonts w:eastAsia="Times New Roman" w:cs="Times New Roman"/>
          <w:rtl/>
          <w:lang w:eastAsia="de-DE"/>
        </w:rPr>
        <w:t xml:space="preserve"> </w:t>
      </w:r>
      <w:r w:rsidRPr="00195E02">
        <w:rPr>
          <w:rFonts w:eastAsia="Times New Roman" w:cs="Times New Roman"/>
          <w:lang w:eastAsia="de-DE"/>
        </w:rPr>
        <w:t xml:space="preserve">zeigt ökonomische Verwendung des Öls. Die identischen Körperstellen wie in V. 14 zeigen systematische Überlagerung von Blut und Öl. </w:t>
      </w:r>
      <w:r w:rsidRPr="00195E02">
        <w:rPr>
          <w:rFonts w:eastAsia="Times New Roman" w:cs="Times New Roman"/>
          <w:b/>
          <w:bCs/>
          <w:rtl/>
          <w:lang w:eastAsia="de-DE"/>
        </w:rPr>
        <w:t>על דם האשם</w:t>
      </w:r>
      <w:r w:rsidRPr="00195E02">
        <w:rPr>
          <w:rFonts w:eastAsia="Times New Roman" w:cs="Times New Roman"/>
          <w:rtl/>
          <w:lang w:eastAsia="de-DE"/>
        </w:rPr>
        <w:t xml:space="preserve"> </w:t>
      </w:r>
      <w:r w:rsidRPr="00195E02">
        <w:rPr>
          <w:rFonts w:eastAsia="Times New Roman" w:cs="Times New Roman"/>
          <w:lang w:eastAsia="de-DE"/>
        </w:rPr>
        <w:t>betont die Kombination beider Substanzen.</w:t>
      </w:r>
    </w:p>
    <w:p w14:paraId="2CE461D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יתר השמן</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κατα</w:t>
      </w:r>
      <w:proofErr w:type="spellStart"/>
      <w:r w:rsidRPr="00195E02">
        <w:rPr>
          <w:rFonts w:eastAsia="Times New Roman" w:cs="Times New Roman"/>
          <w:lang w:eastAsia="de-DE"/>
        </w:rPr>
        <w:t>λειφθὲν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ἔλ</w:t>
      </w:r>
      <w:proofErr w:type="spellEnd"/>
      <w:r w:rsidRPr="00195E02">
        <w:rPr>
          <w:rFonts w:eastAsia="Times New Roman" w:cs="Times New Roman"/>
          <w:lang w:eastAsia="de-DE"/>
        </w:rPr>
        <w:t xml:space="preserve">αιον (das übriggebliebene Öl) und </w:t>
      </w:r>
      <w:r w:rsidRPr="00195E02">
        <w:rPr>
          <w:rFonts w:eastAsia="Times New Roman" w:cs="Times New Roman"/>
          <w:b/>
          <w:bCs/>
          <w:rtl/>
          <w:lang w:eastAsia="de-DE"/>
        </w:rPr>
        <w:t>על דם האשם</w:t>
      </w:r>
      <w:r w:rsidRPr="00195E02">
        <w:rPr>
          <w:rFonts w:eastAsia="Times New Roman" w:cs="Times New Roman"/>
          <w:rtl/>
          <w:lang w:eastAsia="de-DE"/>
        </w:rPr>
        <w:t xml:space="preserve"> </w:t>
      </w:r>
      <w:r w:rsidRPr="00195E02">
        <w:rPr>
          <w:rFonts w:eastAsia="Times New Roman" w:cs="Times New Roman"/>
          <w:lang w:eastAsia="de-DE"/>
        </w:rPr>
        <w:t xml:space="preserve">mit ἐπὶ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ἷμ</w:t>
      </w:r>
      <w:proofErr w:type="spellEnd"/>
      <w:r w:rsidRPr="00195E02">
        <w:rPr>
          <w:rFonts w:eastAsia="Times New Roman" w:cs="Times New Roman"/>
          <w:lang w:eastAsia="de-DE"/>
        </w:rPr>
        <w:t xml:space="preserve">α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λημμελεί</w:t>
      </w:r>
      <w:proofErr w:type="spellEnd"/>
      <w:r w:rsidRPr="00195E02">
        <w:rPr>
          <w:rFonts w:eastAsia="Times New Roman" w:cs="Times New Roman"/>
          <w:lang w:eastAsia="de-DE"/>
        </w:rPr>
        <w:t>ας (auf das Blut der Verfehlung).</w:t>
      </w:r>
    </w:p>
    <w:p w14:paraId="508A20D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Ölüberlagerung: Restölverwendung + identische Applikationsstellen + Überlagerungsangabe. Die Struktur zeigt systematische Doppelmarkierung.</w:t>
      </w:r>
    </w:p>
    <w:p w14:paraId="5E1B9B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Applikation des restlichen Öls auf dieselben drei Körperstellen, über das bereits applizierte Schuldopferblut.</w:t>
      </w:r>
    </w:p>
    <w:p w14:paraId="641AD01F"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14,18</w:t>
      </w:r>
    </w:p>
    <w:p w14:paraId="73AF299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וְהַנּוֹתָ֗ר בַּשֶּׁ֨מֶן֙ אֲשֶׁר֙ עַל־כַּ֣ף הַכֹּהֵ֔ן יִתֵּ֖ן עַל־רֹ֣אשׁ הַמִּטַּהֵ֑ר וְכִפֶּ֥ר עָלָ֛יו הַכֹּהֵ֖ן לִפְנֵ֥י יְהוָֽה׃</w:t>
      </w:r>
    </w:p>
    <w:p w14:paraId="21DCBC57" w14:textId="12ACC20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das Übrige von dem Öl, das auf der Handfläche des Priesters ist, soll er geben auf den Kopf des sich Reinigenden; und der Priester soll Sühne für ihn erwirken vor dem </w:t>
      </w:r>
      <w:r w:rsidR="004603C6">
        <w:rPr>
          <w:rFonts w:eastAsia="Times New Roman" w:cs="Times New Roman"/>
          <w:lang w:eastAsia="de-DE"/>
        </w:rPr>
        <w:t>Ewigen</w:t>
      </w:r>
      <w:r w:rsidRPr="00195E02">
        <w:rPr>
          <w:rFonts w:eastAsia="Times New Roman" w:cs="Times New Roman"/>
          <w:lang w:eastAsia="de-DE"/>
        </w:rPr>
        <w:t>.</w:t>
      </w:r>
    </w:p>
    <w:p w14:paraId="2C32079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17A9F18">
          <v:rect id="_x0000_i1408" style="width:0;height:1.5pt" o:hralign="center" o:hrstd="t" o:hr="t" fillcolor="#a0a0a0" stroked="f"/>
        </w:pict>
      </w:r>
    </w:p>
    <w:p w14:paraId="1659BEE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והנותר בשמן אשר על־כף הכהן יתן על־ראש המטהר וכפר עליו הכהן 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die finale Ölverwendung und Sühnewirkung. </w:t>
      </w:r>
      <w:r w:rsidRPr="00195E02">
        <w:rPr>
          <w:rFonts w:eastAsia="Times New Roman" w:cs="Times New Roman"/>
          <w:b/>
          <w:bCs/>
          <w:rtl/>
          <w:lang w:eastAsia="de-DE"/>
        </w:rPr>
        <w:t>והנותר בשמן אשר על־כף הכהן</w:t>
      </w:r>
      <w:r w:rsidRPr="00195E02">
        <w:rPr>
          <w:rFonts w:eastAsia="Times New Roman" w:cs="Times New Roman"/>
          <w:rtl/>
          <w:lang w:eastAsia="de-DE"/>
        </w:rPr>
        <w:t xml:space="preserve"> </w:t>
      </w:r>
      <w:r w:rsidRPr="00195E02">
        <w:rPr>
          <w:rFonts w:eastAsia="Times New Roman" w:cs="Times New Roman"/>
          <w:lang w:eastAsia="de-DE"/>
        </w:rPr>
        <w:t xml:space="preserve">(und das Übrige von dem Öl, das auf der Handfläche des Priesters ist) - </w:t>
      </w:r>
      <w:r w:rsidRPr="00195E02">
        <w:rPr>
          <w:rFonts w:eastAsia="Times New Roman" w:cs="Times New Roman"/>
          <w:b/>
          <w:bCs/>
          <w:rtl/>
          <w:lang w:eastAsia="de-DE"/>
        </w:rPr>
        <w:t>הנותר</w:t>
      </w:r>
      <w:r w:rsidRPr="00195E02">
        <w:rPr>
          <w:rFonts w:eastAsia="Times New Roman" w:cs="Times New Roman"/>
          <w:rtl/>
          <w:lang w:eastAsia="de-DE"/>
        </w:rPr>
        <w:t xml:space="preserve"> </w:t>
      </w:r>
      <w:r w:rsidRPr="00195E02">
        <w:rPr>
          <w:rFonts w:eastAsia="Times New Roman" w:cs="Times New Roman"/>
          <w:lang w:eastAsia="de-DE"/>
        </w:rPr>
        <w:t>(das Übrige) zeigt das nach V. 17 verbleibende Öl.</w:t>
      </w:r>
    </w:p>
    <w:p w14:paraId="0BFCE98D" w14:textId="1E45654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יתן על־ראש המטהר</w:t>
      </w:r>
      <w:r w:rsidRPr="00195E02">
        <w:rPr>
          <w:rFonts w:eastAsia="Times New Roman" w:cs="Times New Roman"/>
          <w:rtl/>
          <w:lang w:eastAsia="de-DE"/>
        </w:rPr>
        <w:t xml:space="preserve"> </w:t>
      </w:r>
      <w:r w:rsidRPr="00195E02">
        <w:rPr>
          <w:rFonts w:eastAsia="Times New Roman" w:cs="Times New Roman"/>
          <w:lang w:eastAsia="de-DE"/>
        </w:rPr>
        <w:t xml:space="preserve">(soll er geben auf den Kopf des sich Reinigenden) zeigt eine neue Applikationsstelle am Kopf als Zentrum der Person. </w:t>
      </w:r>
      <w:r w:rsidRPr="00195E02">
        <w:rPr>
          <w:rFonts w:eastAsia="Times New Roman" w:cs="Times New Roman"/>
          <w:b/>
          <w:bCs/>
          <w:rtl/>
          <w:lang w:eastAsia="de-DE"/>
        </w:rPr>
        <w:t>וכפר עליו הכהן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Sühne für ihn erwirken vor dem </w:t>
      </w:r>
      <w:r w:rsidR="004603C6">
        <w:rPr>
          <w:rFonts w:eastAsia="Times New Roman" w:cs="Times New Roman"/>
          <w:lang w:eastAsia="de-DE"/>
        </w:rPr>
        <w:t>Ewigen</w:t>
      </w:r>
      <w:r w:rsidRPr="00195E02">
        <w:rPr>
          <w:rFonts w:eastAsia="Times New Roman" w:cs="Times New Roman"/>
          <w:lang w:eastAsia="de-DE"/>
        </w:rPr>
        <w:t xml:space="preserve">) - </w:t>
      </w:r>
      <w:r w:rsidRPr="00195E02">
        <w:rPr>
          <w:rFonts w:eastAsia="Times New Roman" w:cs="Times New Roman"/>
          <w:b/>
          <w:bCs/>
          <w:rtl/>
          <w:lang w:eastAsia="de-DE"/>
        </w:rPr>
        <w:t>כפר</w:t>
      </w:r>
      <w:r w:rsidRPr="00195E02">
        <w:rPr>
          <w:rFonts w:eastAsia="Times New Roman" w:cs="Times New Roman"/>
          <w:rtl/>
          <w:lang w:eastAsia="de-DE"/>
        </w:rPr>
        <w:t xml:space="preserve"> </w:t>
      </w:r>
      <w:r w:rsidRPr="00195E02">
        <w:rPr>
          <w:rFonts w:eastAsia="Times New Roman" w:cs="Times New Roman"/>
          <w:lang w:eastAsia="de-DE"/>
        </w:rPr>
        <w:t>(Sühne erwirken) im Piel-Perfekt mit Waw-Konsekutiv zeigt den Zweck des gesamten Ölrituals.</w:t>
      </w:r>
    </w:p>
    <w:p w14:paraId="00988CF6" w14:textId="6DB4C6CC"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הנותר בשמן</w:t>
      </w:r>
      <w:r w:rsidRPr="00195E02">
        <w:rPr>
          <w:rFonts w:eastAsia="Times New Roman" w:cs="Times New Roman"/>
          <w:rtl/>
          <w:lang w:eastAsia="de-DE"/>
        </w:rPr>
        <w:t xml:space="preserve"> </w:t>
      </w:r>
      <w:r w:rsidRPr="00195E02">
        <w:rPr>
          <w:rFonts w:eastAsia="Times New Roman" w:cs="Times New Roman"/>
          <w:lang w:eastAsia="de-DE"/>
        </w:rPr>
        <w:t xml:space="preserve">zeigt vollständige Ölverwendung. </w:t>
      </w:r>
      <w:r w:rsidRPr="00195E02">
        <w:rPr>
          <w:rFonts w:eastAsia="Times New Roman" w:cs="Times New Roman"/>
          <w:b/>
          <w:bCs/>
          <w:rtl/>
          <w:lang w:eastAsia="de-DE"/>
        </w:rPr>
        <w:t>על־ראש המטהר</w:t>
      </w:r>
      <w:r w:rsidRPr="00195E02">
        <w:rPr>
          <w:rFonts w:eastAsia="Times New Roman" w:cs="Times New Roman"/>
          <w:rtl/>
          <w:lang w:eastAsia="de-DE"/>
        </w:rPr>
        <w:t xml:space="preserve"> </w:t>
      </w:r>
      <w:r w:rsidRPr="00195E02">
        <w:rPr>
          <w:rFonts w:eastAsia="Times New Roman" w:cs="Times New Roman"/>
          <w:lang w:eastAsia="de-DE"/>
        </w:rPr>
        <w:t xml:space="preserve">als finale und zentrale Salbung. </w:t>
      </w:r>
      <w:r w:rsidRPr="00195E02">
        <w:rPr>
          <w:rFonts w:eastAsia="Times New Roman" w:cs="Times New Roman"/>
          <w:b/>
          <w:bCs/>
          <w:rtl/>
          <w:lang w:eastAsia="de-DE"/>
        </w:rPr>
        <w:t>וכפר עליו</w:t>
      </w:r>
      <w:r w:rsidRPr="00195E02">
        <w:rPr>
          <w:rFonts w:eastAsia="Times New Roman" w:cs="Times New Roman"/>
          <w:rtl/>
          <w:lang w:eastAsia="de-DE"/>
        </w:rPr>
        <w:t xml:space="preserve"> </w:t>
      </w:r>
      <w:r w:rsidRPr="00195E02">
        <w:rPr>
          <w:rFonts w:eastAsia="Times New Roman" w:cs="Times New Roman"/>
          <w:lang w:eastAsia="de-DE"/>
        </w:rPr>
        <w:t xml:space="preserve">zeigt, dass das </w:t>
      </w:r>
      <w:r w:rsidR="0047575E" w:rsidRPr="00195E02">
        <w:rPr>
          <w:rFonts w:eastAsia="Times New Roman" w:cs="Times New Roman"/>
          <w:lang w:eastAsia="de-DE"/>
        </w:rPr>
        <w:t>Öl Ritual</w:t>
      </w:r>
      <w:r w:rsidRPr="00195E02">
        <w:rPr>
          <w:rFonts w:eastAsia="Times New Roman" w:cs="Times New Roman"/>
          <w:lang w:eastAsia="de-DE"/>
        </w:rPr>
        <w:t xml:space="preserve"> Sühnewirkung hat, </w:t>
      </w:r>
      <w:r w:rsidRPr="00195E02">
        <w:rPr>
          <w:rFonts w:eastAsia="Times New Roman" w:cs="Times New Roman"/>
          <w:b/>
          <w:bCs/>
          <w:rtl/>
          <w:lang w:eastAsia="de-DE"/>
        </w:rPr>
        <w:t>לפני יהוה</w:t>
      </w:r>
      <w:r w:rsidRPr="00195E02">
        <w:rPr>
          <w:rFonts w:eastAsia="Times New Roman" w:cs="Times New Roman"/>
          <w:rtl/>
          <w:lang w:eastAsia="de-DE"/>
        </w:rPr>
        <w:t xml:space="preserve"> </w:t>
      </w:r>
      <w:r w:rsidRPr="00195E02">
        <w:rPr>
          <w:rFonts w:eastAsia="Times New Roman" w:cs="Times New Roman"/>
          <w:lang w:eastAsia="de-DE"/>
        </w:rPr>
        <w:t>betont die göttliche Akzeptanz.</w:t>
      </w:r>
    </w:p>
    <w:p w14:paraId="7764587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הנותר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ερισσεῦον</w:t>
      </w:r>
      <w:proofErr w:type="spellEnd"/>
      <w:r w:rsidRPr="00195E02">
        <w:rPr>
          <w:rFonts w:eastAsia="Times New Roman" w:cs="Times New Roman"/>
          <w:lang w:eastAsia="de-DE"/>
        </w:rPr>
        <w:t xml:space="preserve"> (das Überschüssige), </w:t>
      </w:r>
      <w:r w:rsidRPr="00195E02">
        <w:rPr>
          <w:rFonts w:eastAsia="Times New Roman" w:cs="Times New Roman"/>
          <w:b/>
          <w:bCs/>
          <w:rtl/>
          <w:lang w:eastAsia="de-DE"/>
        </w:rPr>
        <w:t>על־ראש</w:t>
      </w:r>
      <w:r w:rsidRPr="00195E02">
        <w:rPr>
          <w:rFonts w:eastAsia="Times New Roman" w:cs="Times New Roman"/>
          <w:rtl/>
          <w:lang w:eastAsia="de-DE"/>
        </w:rPr>
        <w:t xml:space="preserve"> </w:t>
      </w:r>
      <w:r w:rsidRPr="00195E02">
        <w:rPr>
          <w:rFonts w:eastAsia="Times New Roman" w:cs="Times New Roman"/>
          <w:lang w:eastAsia="de-DE"/>
        </w:rPr>
        <w:t xml:space="preserve">mit ἐπὶ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κεφ</w:t>
      </w:r>
      <w:proofErr w:type="spellEnd"/>
      <w:r w:rsidRPr="00195E02">
        <w:rPr>
          <w:rFonts w:eastAsia="Times New Roman" w:cs="Times New Roman"/>
          <w:lang w:eastAsia="de-DE"/>
        </w:rPr>
        <w:t xml:space="preserve">αλήν (auf den Kopf) und </w:t>
      </w:r>
      <w:r w:rsidRPr="00195E02">
        <w:rPr>
          <w:rFonts w:eastAsia="Times New Roman" w:cs="Times New Roman"/>
          <w:b/>
          <w:bCs/>
          <w:rtl/>
          <w:lang w:eastAsia="de-DE"/>
        </w:rPr>
        <w:t>וכפר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ἐξιλάσετ</w:t>
      </w:r>
      <w:proofErr w:type="spellEnd"/>
      <w:r w:rsidRPr="00195E02">
        <w:rPr>
          <w:rFonts w:eastAsia="Times New Roman" w:cs="Times New Roman"/>
          <w:lang w:eastAsia="de-DE"/>
        </w:rPr>
        <w:t>αι (er wird entsühnen).</w:t>
      </w:r>
    </w:p>
    <w:p w14:paraId="5FA28F5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Ritualabschluss: finale Ölverwendung + zentrale Kopfsalbung + Sühneerklärung vor JHWH. Die Struktur zeigt den Höhepunkt des Ölrituals.</w:t>
      </w:r>
    </w:p>
    <w:p w14:paraId="7A6103B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abschließende Kopfsalbung mit dem restlichen Öl und die daraus resultierende Sühnewirkung.</w:t>
      </w:r>
    </w:p>
    <w:p w14:paraId="76D990BF"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14,19</w:t>
      </w:r>
    </w:p>
    <w:p w14:paraId="1392F1F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וְעָשָׂ֤ה הַכֹּהֵן֙ אֶת־הַ֣חַטָּ֔את וְכִפֶּ֕ר עַל־הַמִּטַּהֵ֖ר מִטֻּמְאָתוֹ֑ וְאַחַ֖ר יִשְׁחַ֥ט אֶת־הָעֹלָֽה׃</w:t>
      </w:r>
    </w:p>
    <w:p w14:paraId="075A4178" w14:textId="07F3126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Und der Priester soll das Sündopfer bereiten und Sühne erwirken für den sich von seiner Unreinheit Reinigenden; und danach soll er das </w:t>
      </w:r>
      <w:r w:rsidR="00CF10E7">
        <w:rPr>
          <w:rFonts w:eastAsia="Times New Roman" w:cs="Times New Roman"/>
          <w:lang w:eastAsia="de-DE"/>
        </w:rPr>
        <w:t>Aufsteigeopfer</w:t>
      </w:r>
      <w:r w:rsidRPr="00195E02">
        <w:rPr>
          <w:rFonts w:eastAsia="Times New Roman" w:cs="Times New Roman"/>
          <w:lang w:eastAsia="de-DE"/>
        </w:rPr>
        <w:t xml:space="preserve"> schlachten.</w:t>
      </w:r>
    </w:p>
    <w:p w14:paraId="2C8E41CE"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8360442">
          <v:rect id="_x0000_i1409" style="width:0;height:1.5pt" o:hralign="center" o:hrstd="t" o:hr="t" fillcolor="#a0a0a0" stroked="f"/>
        </w:pict>
      </w:r>
    </w:p>
    <w:p w14:paraId="687F51E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ועשה הכהן את־החטאת וכפר על־המטהר מטמאתו ואחר ישחט את־העלה</w:t>
      </w:r>
      <w:r w:rsidRPr="00195E02">
        <w:rPr>
          <w:rFonts w:eastAsia="Times New Roman" w:cs="Times New Roman"/>
          <w:rtl/>
          <w:lang w:eastAsia="de-DE"/>
        </w:rPr>
        <w:t xml:space="preserve"> </w:t>
      </w:r>
      <w:r w:rsidRPr="00195E02">
        <w:rPr>
          <w:rFonts w:eastAsia="Times New Roman" w:cs="Times New Roman"/>
          <w:lang w:eastAsia="de-DE"/>
        </w:rPr>
        <w:t xml:space="preserve">zeigt die Fortsetzung der Opfersequenz. </w:t>
      </w:r>
      <w:r w:rsidRPr="00195E02">
        <w:rPr>
          <w:rFonts w:eastAsia="Times New Roman" w:cs="Times New Roman"/>
          <w:b/>
          <w:bCs/>
          <w:rtl/>
          <w:lang w:eastAsia="de-DE"/>
        </w:rPr>
        <w:t>ועשה הכהן את־החטאת</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das Sündopfer bereiten) - </w:t>
      </w:r>
      <w:r w:rsidRPr="00195E02">
        <w:rPr>
          <w:rFonts w:eastAsia="Times New Roman" w:cs="Times New Roman"/>
          <w:b/>
          <w:bCs/>
          <w:rtl/>
          <w:lang w:eastAsia="de-DE"/>
        </w:rPr>
        <w:t>עשה</w:t>
      </w:r>
      <w:r w:rsidRPr="00195E02">
        <w:rPr>
          <w:rFonts w:eastAsia="Times New Roman" w:cs="Times New Roman"/>
          <w:rtl/>
          <w:lang w:eastAsia="de-DE"/>
        </w:rPr>
        <w:t xml:space="preserve"> </w:t>
      </w:r>
      <w:r w:rsidRPr="00195E02">
        <w:rPr>
          <w:rFonts w:eastAsia="Times New Roman" w:cs="Times New Roman"/>
          <w:lang w:eastAsia="de-DE"/>
        </w:rPr>
        <w:t xml:space="preserve">(bereiten/machen) im Qal-Perfekt mit Waw-Konsekutiv, </w:t>
      </w:r>
      <w:r w:rsidRPr="00195E02">
        <w:rPr>
          <w:rFonts w:eastAsia="Times New Roman" w:cs="Times New Roman"/>
          <w:b/>
          <w:bCs/>
          <w:rtl/>
          <w:lang w:eastAsia="de-DE"/>
        </w:rPr>
        <w:t>החטאת</w:t>
      </w:r>
      <w:r w:rsidRPr="00195E02">
        <w:rPr>
          <w:rFonts w:eastAsia="Times New Roman" w:cs="Times New Roman"/>
          <w:rtl/>
          <w:lang w:eastAsia="de-DE"/>
        </w:rPr>
        <w:t xml:space="preserve"> </w:t>
      </w:r>
      <w:r w:rsidRPr="00195E02">
        <w:rPr>
          <w:rFonts w:eastAsia="Times New Roman" w:cs="Times New Roman"/>
          <w:lang w:eastAsia="de-DE"/>
        </w:rPr>
        <w:t>aus dem weiblichen Lamm aus V. 10.</w:t>
      </w:r>
    </w:p>
    <w:p w14:paraId="7776E5FC" w14:textId="67C4CEE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על־המטהר מטמאתו</w:t>
      </w:r>
      <w:r w:rsidRPr="00195E02">
        <w:rPr>
          <w:rFonts w:eastAsia="Times New Roman" w:cs="Times New Roman"/>
          <w:rtl/>
          <w:lang w:eastAsia="de-DE"/>
        </w:rPr>
        <w:t xml:space="preserve"> </w:t>
      </w:r>
      <w:r w:rsidRPr="00195E02">
        <w:rPr>
          <w:rFonts w:eastAsia="Times New Roman" w:cs="Times New Roman"/>
          <w:lang w:eastAsia="de-DE"/>
        </w:rPr>
        <w:t xml:space="preserve">(und Sühne erwirken für den sich von seiner Unreinheit Reinigenden) - </w:t>
      </w:r>
      <w:r w:rsidRPr="00195E02">
        <w:rPr>
          <w:rFonts w:eastAsia="Times New Roman" w:cs="Times New Roman"/>
          <w:b/>
          <w:bCs/>
          <w:rtl/>
          <w:lang w:eastAsia="de-DE"/>
        </w:rPr>
        <w:t>כפר</w:t>
      </w:r>
      <w:r w:rsidRPr="00195E02">
        <w:rPr>
          <w:rFonts w:eastAsia="Times New Roman" w:cs="Times New Roman"/>
          <w:rtl/>
          <w:lang w:eastAsia="de-DE"/>
        </w:rPr>
        <w:t xml:space="preserve"> </w:t>
      </w:r>
      <w:r w:rsidRPr="00195E02">
        <w:rPr>
          <w:rFonts w:eastAsia="Times New Roman" w:cs="Times New Roman"/>
          <w:lang w:eastAsia="de-DE"/>
        </w:rPr>
        <w:t xml:space="preserve">(Sühne erwirken) entspricht V. 18, </w:t>
      </w:r>
      <w:r w:rsidRPr="00195E02">
        <w:rPr>
          <w:rFonts w:eastAsia="Times New Roman" w:cs="Times New Roman"/>
          <w:b/>
          <w:bCs/>
          <w:rtl/>
          <w:lang w:eastAsia="de-DE"/>
        </w:rPr>
        <w:t>מטמאתו</w:t>
      </w:r>
      <w:r w:rsidRPr="00195E02">
        <w:rPr>
          <w:rFonts w:eastAsia="Times New Roman" w:cs="Times New Roman"/>
          <w:rtl/>
          <w:lang w:eastAsia="de-DE"/>
        </w:rPr>
        <w:t xml:space="preserve"> </w:t>
      </w:r>
      <w:r w:rsidRPr="00195E02">
        <w:rPr>
          <w:rFonts w:eastAsia="Times New Roman" w:cs="Times New Roman"/>
          <w:lang w:eastAsia="de-DE"/>
        </w:rPr>
        <w:t xml:space="preserve">(von seiner Unreinheit) zeigt den spezifischen Anlass. </w:t>
      </w:r>
      <w:r w:rsidRPr="00195E02">
        <w:rPr>
          <w:rFonts w:eastAsia="Times New Roman" w:cs="Times New Roman"/>
          <w:b/>
          <w:bCs/>
          <w:rtl/>
          <w:lang w:eastAsia="de-DE"/>
        </w:rPr>
        <w:t>ואחר ישחט את־העלה</w:t>
      </w:r>
      <w:r w:rsidRPr="00195E02">
        <w:rPr>
          <w:rFonts w:eastAsia="Times New Roman" w:cs="Times New Roman"/>
          <w:rtl/>
          <w:lang w:eastAsia="de-DE"/>
        </w:rPr>
        <w:t xml:space="preserve"> </w:t>
      </w:r>
      <w:r w:rsidRPr="00195E02">
        <w:rPr>
          <w:rFonts w:eastAsia="Times New Roman" w:cs="Times New Roman"/>
          <w:lang w:eastAsia="de-DE"/>
        </w:rPr>
        <w:t xml:space="preserve">(und danach soll er das </w:t>
      </w:r>
      <w:r w:rsidR="00CF10E7">
        <w:rPr>
          <w:rFonts w:eastAsia="Times New Roman" w:cs="Times New Roman"/>
          <w:lang w:eastAsia="de-DE"/>
        </w:rPr>
        <w:t>Aufsteigeopfer</w:t>
      </w:r>
      <w:r w:rsidRPr="00195E02">
        <w:rPr>
          <w:rFonts w:eastAsia="Times New Roman" w:cs="Times New Roman"/>
          <w:lang w:eastAsia="de-DE"/>
        </w:rPr>
        <w:t xml:space="preserve"> schlachten) zeigt die Reihenfolge: erst Sündopfer, dann </w:t>
      </w:r>
      <w:r w:rsidR="00CF10E7">
        <w:rPr>
          <w:rFonts w:eastAsia="Times New Roman" w:cs="Times New Roman"/>
          <w:lang w:eastAsia="de-DE"/>
        </w:rPr>
        <w:t>Aufsteigeopfer</w:t>
      </w:r>
      <w:r w:rsidRPr="00195E02">
        <w:rPr>
          <w:rFonts w:eastAsia="Times New Roman" w:cs="Times New Roman"/>
          <w:lang w:eastAsia="de-DE"/>
        </w:rPr>
        <w:t>.</w:t>
      </w:r>
    </w:p>
    <w:p w14:paraId="2761DC2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את־החטאת</w:t>
      </w:r>
      <w:r w:rsidRPr="00195E02">
        <w:rPr>
          <w:rFonts w:eastAsia="Times New Roman" w:cs="Times New Roman"/>
          <w:rtl/>
          <w:lang w:eastAsia="de-DE"/>
        </w:rPr>
        <w:t xml:space="preserve"> </w:t>
      </w:r>
      <w:r w:rsidRPr="00195E02">
        <w:rPr>
          <w:rFonts w:eastAsia="Times New Roman" w:cs="Times New Roman"/>
          <w:lang w:eastAsia="de-DE"/>
        </w:rPr>
        <w:t xml:space="preserve">zeigt das zweite der drei Opfer. </w:t>
      </w:r>
      <w:r w:rsidRPr="00195E02">
        <w:rPr>
          <w:rFonts w:eastAsia="Times New Roman" w:cs="Times New Roman"/>
          <w:b/>
          <w:bCs/>
          <w:rtl/>
          <w:lang w:eastAsia="de-DE"/>
        </w:rPr>
        <w:t>מטמאתו</w:t>
      </w:r>
      <w:r w:rsidRPr="00195E02">
        <w:rPr>
          <w:rFonts w:eastAsia="Times New Roman" w:cs="Times New Roman"/>
          <w:rtl/>
          <w:lang w:eastAsia="de-DE"/>
        </w:rPr>
        <w:t xml:space="preserve"> </w:t>
      </w:r>
      <w:r w:rsidRPr="00195E02">
        <w:rPr>
          <w:rFonts w:eastAsia="Times New Roman" w:cs="Times New Roman"/>
          <w:lang w:eastAsia="de-DE"/>
        </w:rPr>
        <w:t xml:space="preserve">spezifiziert die </w:t>
      </w:r>
      <w:r w:rsidRPr="00195E02">
        <w:rPr>
          <w:rFonts w:eastAsia="Times New Roman" w:cs="Times New Roman"/>
          <w:b/>
          <w:bCs/>
          <w:rtl/>
          <w:lang w:eastAsia="de-DE"/>
        </w:rPr>
        <w:t>צרעת</w:t>
      </w:r>
      <w:r w:rsidRPr="00195E02">
        <w:rPr>
          <w:rFonts w:eastAsia="Times New Roman" w:cs="Times New Roman"/>
          <w:lang w:eastAsia="de-DE"/>
        </w:rPr>
        <w:t xml:space="preserve">-Unreinheit. </w:t>
      </w:r>
      <w:r w:rsidRPr="00195E02">
        <w:rPr>
          <w:rFonts w:eastAsia="Times New Roman" w:cs="Times New Roman"/>
          <w:b/>
          <w:bCs/>
          <w:rtl/>
          <w:lang w:eastAsia="de-DE"/>
        </w:rPr>
        <w:t>ואחר</w:t>
      </w:r>
      <w:r w:rsidRPr="00195E02">
        <w:rPr>
          <w:rFonts w:eastAsia="Times New Roman" w:cs="Times New Roman"/>
          <w:rtl/>
          <w:lang w:eastAsia="de-DE"/>
        </w:rPr>
        <w:t xml:space="preserve"> </w:t>
      </w:r>
      <w:r w:rsidRPr="00195E02">
        <w:rPr>
          <w:rFonts w:eastAsia="Times New Roman" w:cs="Times New Roman"/>
          <w:lang w:eastAsia="de-DE"/>
        </w:rPr>
        <w:t>zeigt klare zeitliche Abfolge der Opfer.</w:t>
      </w:r>
    </w:p>
    <w:p w14:paraId="704865E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ועשה</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οιήσει</w:t>
      </w:r>
      <w:proofErr w:type="spellEnd"/>
      <w:r w:rsidRPr="00195E02">
        <w:rPr>
          <w:rFonts w:eastAsia="Times New Roman" w:cs="Times New Roman"/>
          <w:lang w:eastAsia="de-DE"/>
        </w:rPr>
        <w:t xml:space="preserve"> (er wird machen), </w:t>
      </w:r>
      <w:r w:rsidRPr="00195E02">
        <w:rPr>
          <w:rFonts w:eastAsia="Times New Roman" w:cs="Times New Roman"/>
          <w:b/>
          <w:bCs/>
          <w:rtl/>
          <w:lang w:eastAsia="de-DE"/>
        </w:rPr>
        <w:t>החטאת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(das wegen der Sünde) und </w:t>
      </w:r>
      <w:r w:rsidRPr="00195E02">
        <w:rPr>
          <w:rFonts w:eastAsia="Times New Roman" w:cs="Times New Roman"/>
          <w:b/>
          <w:bCs/>
          <w:rtl/>
          <w:lang w:eastAsia="de-DE"/>
        </w:rPr>
        <w:t>מטמאתו</w:t>
      </w:r>
      <w:r w:rsidRPr="00195E02">
        <w:rPr>
          <w:rFonts w:eastAsia="Times New Roman" w:cs="Times New Roman"/>
          <w:rtl/>
          <w:lang w:eastAsia="de-DE"/>
        </w:rPr>
        <w:t xml:space="preserve"> </w:t>
      </w:r>
      <w:r w:rsidRPr="00195E02">
        <w:rPr>
          <w:rFonts w:eastAsia="Times New Roman" w:cs="Times New Roman"/>
          <w:lang w:eastAsia="de-DE"/>
        </w:rPr>
        <w:t xml:space="preserve">mit ἀπὸ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ἀκ</w:t>
      </w:r>
      <w:proofErr w:type="spellEnd"/>
      <w:r w:rsidRPr="00195E02">
        <w:rPr>
          <w:rFonts w:eastAsia="Times New Roman" w:cs="Times New Roman"/>
          <w:lang w:eastAsia="de-DE"/>
        </w:rPr>
        <w:t>αθαρσίας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(von seiner Unreinheit).</w:t>
      </w:r>
    </w:p>
    <w:p w14:paraId="247AAB5C" w14:textId="7D2FA55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Opfersequenz: Sündopferbereitung + Sühnezweck + zeitliche Abfolge zum </w:t>
      </w:r>
      <w:r w:rsidR="00CF10E7">
        <w:rPr>
          <w:rFonts w:eastAsia="Times New Roman" w:cs="Times New Roman"/>
          <w:lang w:eastAsia="de-DE"/>
        </w:rPr>
        <w:t>Aufsteigeopfer</w:t>
      </w:r>
      <w:r w:rsidRPr="00195E02">
        <w:rPr>
          <w:rFonts w:eastAsia="Times New Roman" w:cs="Times New Roman"/>
          <w:lang w:eastAsia="de-DE"/>
        </w:rPr>
        <w:t>. Die Struktur zeigt die systematische Opferreihenfolge.</w:t>
      </w:r>
    </w:p>
    <w:p w14:paraId="110CAAE3" w14:textId="6EE9A1E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Sündopfer mit Sühnewirkung gegen die </w:t>
      </w:r>
      <w:r w:rsidRPr="00195E02">
        <w:rPr>
          <w:rFonts w:eastAsia="Times New Roman" w:cs="Times New Roman"/>
          <w:b/>
          <w:bCs/>
          <w:rtl/>
          <w:lang w:eastAsia="de-DE"/>
        </w:rPr>
        <w:t>צרעת</w:t>
      </w:r>
      <w:r w:rsidRPr="00195E02">
        <w:rPr>
          <w:rFonts w:eastAsia="Times New Roman" w:cs="Times New Roman"/>
          <w:lang w:eastAsia="de-DE"/>
        </w:rPr>
        <w:t xml:space="preserve">-Unreinheit und leitet zum </w:t>
      </w:r>
      <w:r w:rsidR="00CF10E7">
        <w:rPr>
          <w:rFonts w:eastAsia="Times New Roman" w:cs="Times New Roman"/>
          <w:lang w:eastAsia="de-DE"/>
        </w:rPr>
        <w:t>Aufsteigeopfer</w:t>
      </w:r>
      <w:r w:rsidRPr="00195E02">
        <w:rPr>
          <w:rFonts w:eastAsia="Times New Roman" w:cs="Times New Roman"/>
          <w:lang w:eastAsia="de-DE"/>
        </w:rPr>
        <w:t xml:space="preserve"> über.</w:t>
      </w:r>
    </w:p>
    <w:p w14:paraId="2E047E5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14,20</w:t>
      </w:r>
    </w:p>
    <w:p w14:paraId="7D707C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וְהֶעֱלָ֧ה הַכֹּהֵ֛ן אֶת־הָעֹלָ֥ה וְאֶת־הַמִּנְחָ֖ה הַמִּזְבֵּ֑חָה וְכִפֶּ֥ר עָלָ֛יו הַכֹּהֵ֖ן וְטָהֵֽר׃</w:t>
      </w:r>
    </w:p>
    <w:p w14:paraId="5F689FA5" w14:textId="5FBC575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das </w:t>
      </w:r>
      <w:r w:rsidR="00CF10E7">
        <w:rPr>
          <w:rFonts w:eastAsia="Times New Roman" w:cs="Times New Roman"/>
          <w:lang w:eastAsia="de-DE"/>
        </w:rPr>
        <w:t>Aufsteigeopfer</w:t>
      </w:r>
      <w:r w:rsidRPr="00195E02">
        <w:rPr>
          <w:rFonts w:eastAsia="Times New Roman" w:cs="Times New Roman"/>
          <w:lang w:eastAsia="de-DE"/>
        </w:rPr>
        <w:t xml:space="preserve"> und das Speisopfer auf dem Altar darbringen; und der Priester soll Sühne für ihn erwirken, und er ist rein.</w:t>
      </w:r>
    </w:p>
    <w:p w14:paraId="4BC1614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B4E15B8">
          <v:rect id="_x0000_i1410" style="width:0;height:1.5pt" o:hralign="center" o:hrstd="t" o:hr="t" fillcolor="#a0a0a0" stroked="f"/>
        </w:pict>
      </w:r>
    </w:p>
    <w:p w14:paraId="54BD7639" w14:textId="1A0C440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והעלה הכהן את־העלה ואת־המנחה המזבחה וכפר עליו הכהן וטהר</w:t>
      </w:r>
      <w:r w:rsidRPr="00195E02">
        <w:rPr>
          <w:rFonts w:eastAsia="Times New Roman" w:cs="Times New Roman"/>
          <w:rtl/>
          <w:lang w:eastAsia="de-DE"/>
        </w:rPr>
        <w:t xml:space="preserve"> </w:t>
      </w:r>
      <w:r w:rsidRPr="00195E02">
        <w:rPr>
          <w:rFonts w:eastAsia="Times New Roman" w:cs="Times New Roman"/>
          <w:lang w:eastAsia="de-DE"/>
        </w:rPr>
        <w:t xml:space="preserve">zeigt den Abschluss der Opfersequenz. </w:t>
      </w:r>
      <w:r w:rsidRPr="00195E02">
        <w:rPr>
          <w:rFonts w:eastAsia="Times New Roman" w:cs="Times New Roman"/>
          <w:b/>
          <w:bCs/>
          <w:rtl/>
          <w:lang w:eastAsia="de-DE"/>
        </w:rPr>
        <w:t>והעלה הכהן את־העלה ואת־המנחה המזבחה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das </w:t>
      </w:r>
      <w:r w:rsidR="00CF10E7">
        <w:rPr>
          <w:rFonts w:eastAsia="Times New Roman" w:cs="Times New Roman"/>
          <w:lang w:eastAsia="de-DE"/>
        </w:rPr>
        <w:t>Aufsteigeopfer</w:t>
      </w:r>
      <w:r w:rsidRPr="00195E02">
        <w:rPr>
          <w:rFonts w:eastAsia="Times New Roman" w:cs="Times New Roman"/>
          <w:lang w:eastAsia="de-DE"/>
        </w:rPr>
        <w:t xml:space="preserve"> und das Speisopfer auf dem Altar darbringen) - </w:t>
      </w:r>
      <w:r w:rsidRPr="00195E02">
        <w:rPr>
          <w:rFonts w:eastAsia="Times New Roman" w:cs="Times New Roman"/>
          <w:b/>
          <w:bCs/>
          <w:rtl/>
          <w:lang w:eastAsia="de-DE"/>
        </w:rPr>
        <w:t>העלה</w:t>
      </w:r>
      <w:r w:rsidRPr="00195E02">
        <w:rPr>
          <w:rFonts w:eastAsia="Times New Roman" w:cs="Times New Roman"/>
          <w:rtl/>
          <w:lang w:eastAsia="de-DE"/>
        </w:rPr>
        <w:t xml:space="preserve"> </w:t>
      </w:r>
      <w:r w:rsidRPr="00195E02">
        <w:rPr>
          <w:rFonts w:eastAsia="Times New Roman" w:cs="Times New Roman"/>
          <w:lang w:eastAsia="de-DE"/>
        </w:rPr>
        <w:t xml:space="preserve">(darbringen) im Hifil-Perfekt mit Waw-Konsekutiv, </w:t>
      </w:r>
      <w:r w:rsidRPr="00195E02">
        <w:rPr>
          <w:rFonts w:eastAsia="Times New Roman" w:cs="Times New Roman"/>
          <w:b/>
          <w:bCs/>
          <w:rtl/>
          <w:lang w:eastAsia="de-DE"/>
        </w:rPr>
        <w:t>המנחה</w:t>
      </w:r>
      <w:r w:rsidRPr="00195E02">
        <w:rPr>
          <w:rFonts w:eastAsia="Times New Roman" w:cs="Times New Roman"/>
          <w:rtl/>
          <w:lang w:eastAsia="de-DE"/>
        </w:rPr>
        <w:t xml:space="preserve"> </w:t>
      </w:r>
      <w:r w:rsidRPr="00195E02">
        <w:rPr>
          <w:rFonts w:eastAsia="Times New Roman" w:cs="Times New Roman"/>
          <w:lang w:eastAsia="de-DE"/>
        </w:rPr>
        <w:t xml:space="preserve">(das Speisopfer) aus V. 10 wird mit dem </w:t>
      </w:r>
      <w:r w:rsidR="00CF10E7">
        <w:rPr>
          <w:rFonts w:eastAsia="Times New Roman" w:cs="Times New Roman"/>
          <w:lang w:eastAsia="de-DE"/>
        </w:rPr>
        <w:t>Aufsteigeopfer</w:t>
      </w:r>
      <w:r w:rsidRPr="00195E02">
        <w:rPr>
          <w:rFonts w:eastAsia="Times New Roman" w:cs="Times New Roman"/>
          <w:lang w:eastAsia="de-DE"/>
        </w:rPr>
        <w:t xml:space="preserve"> kombiniert.</w:t>
      </w:r>
    </w:p>
    <w:p w14:paraId="036D409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עליו הכהן וטהר</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Sühne für ihn erwirken, und er ist rein) zeigt das finale Ergebnis. </w:t>
      </w:r>
      <w:r w:rsidRPr="00195E02">
        <w:rPr>
          <w:rFonts w:eastAsia="Times New Roman" w:cs="Times New Roman"/>
          <w:b/>
          <w:bCs/>
          <w:rtl/>
          <w:lang w:eastAsia="de-DE"/>
        </w:rPr>
        <w:t>כפר</w:t>
      </w:r>
      <w:r w:rsidRPr="00195E02">
        <w:rPr>
          <w:rFonts w:eastAsia="Times New Roman" w:cs="Times New Roman"/>
          <w:rtl/>
          <w:lang w:eastAsia="de-DE"/>
        </w:rPr>
        <w:t xml:space="preserve"> </w:t>
      </w:r>
      <w:r w:rsidRPr="00195E02">
        <w:rPr>
          <w:rFonts w:eastAsia="Times New Roman" w:cs="Times New Roman"/>
          <w:lang w:eastAsia="de-DE"/>
        </w:rPr>
        <w:t xml:space="preserve">(Sühne erwirken) als dritte Sühneerklärung nach V. 18 und 19.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(und er ist rein) als abschließende und endgültige Reinheitserklärung.</w:t>
      </w:r>
    </w:p>
    <w:p w14:paraId="115409E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את־העלה ואת־המנחה</w:t>
      </w:r>
      <w:r w:rsidRPr="00195E02">
        <w:rPr>
          <w:rFonts w:eastAsia="Times New Roman" w:cs="Times New Roman"/>
          <w:rtl/>
          <w:lang w:eastAsia="de-DE"/>
        </w:rPr>
        <w:t xml:space="preserve"> </w:t>
      </w:r>
      <w:r w:rsidRPr="00195E02">
        <w:rPr>
          <w:rFonts w:eastAsia="Times New Roman" w:cs="Times New Roman"/>
          <w:lang w:eastAsia="de-DE"/>
        </w:rPr>
        <w:t xml:space="preserve">zeigt die Kombination der beiden letzten Opfer. </w:t>
      </w:r>
      <w:r w:rsidRPr="00195E02">
        <w:rPr>
          <w:rFonts w:eastAsia="Times New Roman" w:cs="Times New Roman"/>
          <w:b/>
          <w:bCs/>
          <w:rtl/>
          <w:lang w:eastAsia="de-DE"/>
        </w:rPr>
        <w:t>המזבחה</w:t>
      </w:r>
      <w:r w:rsidRPr="00195E02">
        <w:rPr>
          <w:rFonts w:eastAsia="Times New Roman" w:cs="Times New Roman"/>
          <w:rtl/>
          <w:lang w:eastAsia="de-DE"/>
        </w:rPr>
        <w:t xml:space="preserve"> </w:t>
      </w:r>
      <w:r w:rsidRPr="00195E02">
        <w:rPr>
          <w:rFonts w:eastAsia="Times New Roman" w:cs="Times New Roman"/>
          <w:lang w:eastAsia="de-DE"/>
        </w:rPr>
        <w:t xml:space="preserve">betont die Altardarbringung im Gegensatz zu den vorherigen besonderen Riten.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als vierte und finale Reinheitserklärung nach V. 7, 8, 9.</w:t>
      </w:r>
    </w:p>
    <w:p w14:paraId="600C67A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übersetzt </w:t>
      </w:r>
      <w:r w:rsidRPr="00195E02">
        <w:rPr>
          <w:rFonts w:eastAsia="Times New Roman" w:cs="Times New Roman"/>
          <w:b/>
          <w:bCs/>
          <w:rtl/>
          <w:lang w:eastAsia="de-DE"/>
        </w:rPr>
        <w:t>והעלה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ἀνοίσει</w:t>
      </w:r>
      <w:proofErr w:type="spellEnd"/>
      <w:r w:rsidRPr="00195E02">
        <w:rPr>
          <w:rFonts w:eastAsia="Times New Roman" w:cs="Times New Roman"/>
          <w:lang w:eastAsia="de-DE"/>
        </w:rPr>
        <w:t xml:space="preserve"> (er wird darbringen), </w:t>
      </w:r>
      <w:r w:rsidRPr="00195E02">
        <w:rPr>
          <w:rFonts w:eastAsia="Times New Roman" w:cs="Times New Roman"/>
          <w:b/>
          <w:bCs/>
          <w:rtl/>
          <w:lang w:eastAsia="de-DE"/>
        </w:rPr>
        <w:t>המזבחה</w:t>
      </w:r>
      <w:r w:rsidRPr="00195E02">
        <w:rPr>
          <w:rFonts w:eastAsia="Times New Roman" w:cs="Times New Roman"/>
          <w:rtl/>
          <w:lang w:eastAsia="de-DE"/>
        </w:rPr>
        <w:t xml:space="preserve"> </w:t>
      </w:r>
      <w:r w:rsidRPr="00195E02">
        <w:rPr>
          <w:rFonts w:eastAsia="Times New Roman" w:cs="Times New Roman"/>
          <w:lang w:eastAsia="de-DE"/>
        </w:rPr>
        <w:t xml:space="preserve">mit ἐπὶ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θυσι</w:t>
      </w:r>
      <w:proofErr w:type="spellEnd"/>
      <w:r w:rsidRPr="00195E02">
        <w:rPr>
          <w:rFonts w:eastAsia="Times New Roman" w:cs="Times New Roman"/>
          <w:lang w:eastAsia="de-DE"/>
        </w:rPr>
        <w:t xml:space="preserve">αστήριον (auf den Altar) und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ρὸς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ἔστ</w:t>
      </w:r>
      <w:proofErr w:type="spellEnd"/>
      <w:r w:rsidRPr="00195E02">
        <w:rPr>
          <w:rFonts w:eastAsia="Times New Roman" w:cs="Times New Roman"/>
          <w:lang w:eastAsia="de-DE"/>
        </w:rPr>
        <w:t>αι (rein wird er sein).</w:t>
      </w:r>
    </w:p>
    <w:p w14:paraId="56F0C31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Ritualabschluss: kombinierte Altardarbringung + finale Sühneerklärung + endgültige Reinheit. Die Struktur zeigt den Höhepunkt und Abschluss des gesamten Reinigungsverfahrens.</w:t>
      </w:r>
    </w:p>
    <w:p w14:paraId="6D781766" w14:textId="12DAFA3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die finale Altardarbringung von </w:t>
      </w:r>
      <w:r w:rsidR="00CF10E7">
        <w:rPr>
          <w:rFonts w:eastAsia="Times New Roman" w:cs="Times New Roman"/>
          <w:lang w:eastAsia="de-DE"/>
        </w:rPr>
        <w:t>Aufsteigeopfer</w:t>
      </w:r>
      <w:r w:rsidRPr="00195E02">
        <w:rPr>
          <w:rFonts w:eastAsia="Times New Roman" w:cs="Times New Roman"/>
          <w:lang w:eastAsia="de-DE"/>
        </w:rPr>
        <w:t xml:space="preserve"> und Speisopfer mit abschließender Sühneerklärung und endgültiger Reinheitserklärung.</w:t>
      </w:r>
    </w:p>
    <w:p w14:paraId="1F9C987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14,21</w:t>
      </w:r>
    </w:p>
    <w:p w14:paraId="5591D75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וְאִם־דַּ֣ל ה֗וּא וְאֵ֣ין יָדוֹ֮ מַשֶּׂגֶת֒ וְ֠לָקַח כֶּ֣בֶשׂ אֶחָ֥ד אָשָׁ֛ם לִתְנוּפָ֖ה לְכַפֵּ֣ר עָלָ֑יו וְעִשָּׂר֨וֹן סֹ֜לֶת אֶחָ֨ד בָּל֥וּל בַּשֶּׁ֛מֶן לְמִנְחָ֖ה וְלֹ֥ג שָֽׁמֶן׃</w:t>
      </w:r>
    </w:p>
    <w:p w14:paraId="56FED8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wenn er arm ist und seine Hand es nicht aufbringt, so soll er nehmen ein Lamm als Schuldopfer zur Schwingung, um Sühne für ihn zu erwirken, und ein Zehntel Feinmehl, mit Öl vermengt, als Speisopfer, und ein Log Öl,</w:t>
      </w:r>
    </w:p>
    <w:p w14:paraId="09CE4E2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102FE72">
          <v:rect id="_x0000_i1411" style="width:0;height:1.5pt" o:hralign="center" o:hrstd="t" o:hr="t" fillcolor="#a0a0a0" stroked="f"/>
        </w:pict>
      </w:r>
    </w:p>
    <w:p w14:paraId="4A986F6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ואם־דל הוא ואין ידו משגת ולקח כבש אחד אשם לתנופה לכפר עליו ועשרון סלת אחד בלול בשמן למנחה ולג שמן</w:t>
      </w:r>
      <w:r w:rsidRPr="00195E02">
        <w:rPr>
          <w:rFonts w:eastAsia="Times New Roman" w:cs="Times New Roman"/>
          <w:rtl/>
          <w:lang w:eastAsia="de-DE"/>
        </w:rPr>
        <w:t xml:space="preserve"> </w:t>
      </w:r>
      <w:r w:rsidRPr="00195E02">
        <w:rPr>
          <w:rFonts w:eastAsia="Times New Roman" w:cs="Times New Roman"/>
          <w:lang w:eastAsia="de-DE"/>
        </w:rPr>
        <w:t xml:space="preserve">leitet die Armenbestimmungen ein. </w:t>
      </w:r>
      <w:r w:rsidRPr="00195E02">
        <w:rPr>
          <w:rFonts w:eastAsia="Times New Roman" w:cs="Times New Roman"/>
          <w:b/>
          <w:bCs/>
          <w:rtl/>
          <w:lang w:eastAsia="de-DE"/>
        </w:rPr>
        <w:t>ואם־דל הוא ואין ידו משגת</w:t>
      </w:r>
      <w:r w:rsidRPr="00195E02">
        <w:rPr>
          <w:rFonts w:eastAsia="Times New Roman" w:cs="Times New Roman"/>
          <w:rtl/>
          <w:lang w:eastAsia="de-DE"/>
        </w:rPr>
        <w:t xml:space="preserve"> </w:t>
      </w:r>
      <w:r w:rsidRPr="00195E02">
        <w:rPr>
          <w:rFonts w:eastAsia="Times New Roman" w:cs="Times New Roman"/>
          <w:lang w:eastAsia="de-DE"/>
        </w:rPr>
        <w:t xml:space="preserve">(und wenn er arm ist und seine Hand es nicht aufbringt) - </w:t>
      </w:r>
      <w:r w:rsidRPr="00195E02">
        <w:rPr>
          <w:rFonts w:eastAsia="Times New Roman" w:cs="Times New Roman"/>
          <w:b/>
          <w:bCs/>
          <w:rtl/>
          <w:lang w:eastAsia="de-DE"/>
        </w:rPr>
        <w:t>דל</w:t>
      </w:r>
      <w:r w:rsidRPr="00195E02">
        <w:rPr>
          <w:rFonts w:eastAsia="Times New Roman" w:cs="Times New Roman"/>
          <w:rtl/>
          <w:lang w:eastAsia="de-DE"/>
        </w:rPr>
        <w:t xml:space="preserve"> </w:t>
      </w:r>
      <w:r w:rsidRPr="00195E02">
        <w:rPr>
          <w:rFonts w:eastAsia="Times New Roman" w:cs="Times New Roman"/>
          <w:lang w:eastAsia="de-DE"/>
        </w:rPr>
        <w:t xml:space="preserve">(arm), </w:t>
      </w:r>
      <w:r w:rsidRPr="00195E02">
        <w:rPr>
          <w:rFonts w:eastAsia="Times New Roman" w:cs="Times New Roman"/>
          <w:b/>
          <w:bCs/>
          <w:rtl/>
          <w:lang w:eastAsia="de-DE"/>
        </w:rPr>
        <w:t>ואין ידו משגת</w:t>
      </w:r>
      <w:r w:rsidRPr="00195E02">
        <w:rPr>
          <w:rFonts w:eastAsia="Times New Roman" w:cs="Times New Roman"/>
          <w:rtl/>
          <w:lang w:eastAsia="de-DE"/>
        </w:rPr>
        <w:t xml:space="preserve"> </w:t>
      </w:r>
      <w:r w:rsidRPr="00195E02">
        <w:rPr>
          <w:rFonts w:eastAsia="Times New Roman" w:cs="Times New Roman"/>
          <w:lang w:eastAsia="de-DE"/>
        </w:rPr>
        <w:t>(und seine Hand bringt es nicht auf) als idiomatischer Ausdruck für mangelnde finanzielle Mittel.</w:t>
      </w:r>
    </w:p>
    <w:p w14:paraId="54F5ADD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ולקח כבש אחד אשם לתנופה לכפר עליו</w:t>
      </w:r>
      <w:r w:rsidRPr="00195E02">
        <w:rPr>
          <w:rFonts w:eastAsia="Times New Roman" w:cs="Times New Roman"/>
          <w:rtl/>
          <w:lang w:eastAsia="de-DE"/>
        </w:rPr>
        <w:t xml:space="preserve"> </w:t>
      </w:r>
      <w:r w:rsidRPr="00195E02">
        <w:rPr>
          <w:rFonts w:eastAsia="Times New Roman" w:cs="Times New Roman"/>
          <w:lang w:eastAsia="de-DE"/>
        </w:rPr>
        <w:t xml:space="preserve">(so soll er nehmen ein Lamm als Schuldopfer zur Schwingung, um Sühne für ihn zu erwirken) zeigt die Reduktion von drei auf ein Lamm. </w:t>
      </w:r>
      <w:r w:rsidRPr="00195E02">
        <w:rPr>
          <w:rFonts w:eastAsia="Times New Roman" w:cs="Times New Roman"/>
          <w:b/>
          <w:bCs/>
          <w:rtl/>
          <w:lang w:eastAsia="de-DE"/>
        </w:rPr>
        <w:t>לתנופה</w:t>
      </w:r>
      <w:r w:rsidRPr="00195E02">
        <w:rPr>
          <w:rFonts w:eastAsia="Times New Roman" w:cs="Times New Roman"/>
          <w:rtl/>
          <w:lang w:eastAsia="de-DE"/>
        </w:rPr>
        <w:t xml:space="preserve"> </w:t>
      </w:r>
      <w:r w:rsidRPr="00195E02">
        <w:rPr>
          <w:rFonts w:eastAsia="Times New Roman" w:cs="Times New Roman"/>
          <w:lang w:eastAsia="de-DE"/>
        </w:rPr>
        <w:t xml:space="preserve">(zur Schwingung) entspricht V. 12. </w:t>
      </w:r>
      <w:r w:rsidRPr="00195E02">
        <w:rPr>
          <w:rFonts w:eastAsia="Times New Roman" w:cs="Times New Roman"/>
          <w:b/>
          <w:bCs/>
          <w:rtl/>
          <w:lang w:eastAsia="de-DE"/>
        </w:rPr>
        <w:t>ועשרון סלת אחד בלול בשמן למנחה ולג שמן</w:t>
      </w:r>
      <w:r w:rsidRPr="00195E02">
        <w:rPr>
          <w:rFonts w:eastAsia="Times New Roman" w:cs="Times New Roman"/>
          <w:rtl/>
          <w:lang w:eastAsia="de-DE"/>
        </w:rPr>
        <w:t xml:space="preserve"> </w:t>
      </w:r>
      <w:r w:rsidRPr="00195E02">
        <w:rPr>
          <w:rFonts w:eastAsia="Times New Roman" w:cs="Times New Roman"/>
          <w:lang w:eastAsia="de-DE"/>
        </w:rPr>
        <w:t>(und ein Zehntel Feinmehl, mit Öl vermengt, als Speisopfer, und ein Log Öl) reduziert das Speisopfer von drei Zehnteln auf eines.</w:t>
      </w:r>
    </w:p>
    <w:p w14:paraId="701ABD2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דל</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אין ידו משגת</w:t>
      </w:r>
      <w:r w:rsidRPr="00195E02">
        <w:rPr>
          <w:rFonts w:eastAsia="Times New Roman" w:cs="Times New Roman"/>
          <w:rtl/>
          <w:lang w:eastAsia="de-DE"/>
        </w:rPr>
        <w:t xml:space="preserve"> </w:t>
      </w:r>
      <w:r w:rsidRPr="00195E02">
        <w:rPr>
          <w:rFonts w:eastAsia="Times New Roman" w:cs="Times New Roman"/>
          <w:lang w:eastAsia="de-DE"/>
        </w:rPr>
        <w:t xml:space="preserve">zeigen soziale Rücksichtnahme. </w:t>
      </w:r>
      <w:r w:rsidRPr="00195E02">
        <w:rPr>
          <w:rFonts w:eastAsia="Times New Roman" w:cs="Times New Roman"/>
          <w:b/>
          <w:bCs/>
          <w:rtl/>
          <w:lang w:eastAsia="de-DE"/>
        </w:rPr>
        <w:t>כבש אחד אשם</w:t>
      </w:r>
      <w:r w:rsidRPr="00195E02">
        <w:rPr>
          <w:rFonts w:eastAsia="Times New Roman" w:cs="Times New Roman"/>
          <w:rtl/>
          <w:lang w:eastAsia="de-DE"/>
        </w:rPr>
        <w:t xml:space="preserve"> </w:t>
      </w:r>
      <w:r w:rsidRPr="00195E02">
        <w:rPr>
          <w:rFonts w:eastAsia="Times New Roman" w:cs="Times New Roman"/>
          <w:lang w:eastAsia="de-DE"/>
        </w:rPr>
        <w:t xml:space="preserve">statt drei Lämmer zeigt drastische Reduktion bei Beibehaltung des essentiellen Schuldopfers. </w:t>
      </w:r>
      <w:r w:rsidRPr="00195E02">
        <w:rPr>
          <w:rFonts w:eastAsia="Times New Roman" w:cs="Times New Roman"/>
          <w:b/>
          <w:bCs/>
          <w:rtl/>
          <w:lang w:eastAsia="de-DE"/>
        </w:rPr>
        <w:t>עשרון אחד</w:t>
      </w:r>
      <w:r w:rsidRPr="00195E02">
        <w:rPr>
          <w:rFonts w:eastAsia="Times New Roman" w:cs="Times New Roman"/>
          <w:rtl/>
          <w:lang w:eastAsia="de-DE"/>
        </w:rPr>
        <w:t xml:space="preserve"> </w:t>
      </w:r>
      <w:r w:rsidRPr="00195E02">
        <w:rPr>
          <w:rFonts w:eastAsia="Times New Roman" w:cs="Times New Roman"/>
          <w:lang w:eastAsia="de-DE"/>
        </w:rPr>
        <w:t xml:space="preserve">statt </w:t>
      </w:r>
      <w:r w:rsidRPr="00195E02">
        <w:rPr>
          <w:rFonts w:eastAsia="Times New Roman" w:cs="Times New Roman"/>
          <w:b/>
          <w:bCs/>
          <w:rtl/>
          <w:lang w:eastAsia="de-DE"/>
        </w:rPr>
        <w:t>שלשה עשרנים</w:t>
      </w:r>
      <w:r w:rsidRPr="00195E02">
        <w:rPr>
          <w:rFonts w:eastAsia="Times New Roman" w:cs="Times New Roman"/>
          <w:rtl/>
          <w:lang w:eastAsia="de-DE"/>
        </w:rPr>
        <w:t xml:space="preserve"> </w:t>
      </w:r>
      <w:r w:rsidRPr="00195E02">
        <w:rPr>
          <w:rFonts w:eastAsia="Times New Roman" w:cs="Times New Roman"/>
          <w:lang w:eastAsia="de-DE"/>
        </w:rPr>
        <w:t>aus V. 10.</w:t>
      </w:r>
    </w:p>
    <w:p w14:paraId="4CD7C69B" w14:textId="49C5E55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אם־דל הוא</w:t>
      </w:r>
      <w:r w:rsidR="00523826">
        <w:t xml:space="preserve"> (im-</w:t>
      </w:r>
      <w:proofErr w:type="spellStart"/>
      <w:r w:rsidR="00523826">
        <w:t>dal</w:t>
      </w:r>
      <w:proofErr w:type="spellEnd"/>
      <w:r w:rsidR="00523826">
        <w:t xml:space="preserve"> hu - "wenn er arm ist") als </w:t>
      </w:r>
      <w:proofErr w:type="spellStart"/>
      <w:r w:rsidR="00523826">
        <w:t>ἐὰν</w:t>
      </w:r>
      <w:proofErr w:type="spellEnd"/>
      <w:r w:rsidR="00523826">
        <w:t xml:space="preserve"> </w:t>
      </w:r>
      <w:proofErr w:type="spellStart"/>
      <w:r w:rsidR="00523826">
        <w:t>δὲ</w:t>
      </w:r>
      <w:proofErr w:type="spellEnd"/>
      <w:r w:rsidR="00523826">
        <w:t xml:space="preserve"> π</w:t>
      </w:r>
      <w:proofErr w:type="spellStart"/>
      <w:r w:rsidR="00523826">
        <w:t>ένητ</w:t>
      </w:r>
      <w:proofErr w:type="spellEnd"/>
      <w:r w:rsidR="00523826">
        <w:t xml:space="preserve">αι (wenn er aber arm ist), aber fügt zur Klarstellung hinzu: καὶ ἡ </w:t>
      </w:r>
      <w:proofErr w:type="spellStart"/>
      <w:r w:rsidR="00523826">
        <w:t>χεὶρ</w:t>
      </w:r>
      <w:proofErr w:type="spellEnd"/>
      <w:r w:rsidR="00523826">
        <w:t xml:space="preserve"> α</w:t>
      </w:r>
      <w:proofErr w:type="spellStart"/>
      <w:r w:rsidR="00523826">
        <w:t>ὐτοῦ</w:t>
      </w:r>
      <w:proofErr w:type="spellEnd"/>
      <w:r w:rsidR="00523826">
        <w:t xml:space="preserve"> </w:t>
      </w:r>
      <w:proofErr w:type="spellStart"/>
      <w:r w:rsidR="00523826">
        <w:t>μὴ</w:t>
      </w:r>
      <w:proofErr w:type="spellEnd"/>
      <w:r w:rsidR="00523826">
        <w:t xml:space="preserve"> </w:t>
      </w:r>
      <w:proofErr w:type="spellStart"/>
      <w:r w:rsidR="00523826">
        <w:t>εὑρίσκῃ</w:t>
      </w:r>
      <w:proofErr w:type="spellEnd"/>
      <w:r w:rsidR="00523826">
        <w:t xml:space="preserve"> (und seine Hand nicht findet), was die idiomatische Wendung für wirtschaftliche Unfähigkeit erklärt.</w:t>
      </w:r>
    </w:p>
    <w:p w14:paraId="0CEAF3C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Sozialbestimmung: Armutsbedingung + reduzierte Opferausstattung + Zweckangabe. Die Struktur zeigt Anpassung an wirtschaftliche Verhältnisse.</w:t>
      </w:r>
    </w:p>
    <w:p w14:paraId="2C96564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leitet die Armenbestimmungen mit reduzierten Opfergaben ein: ein statt drei Lämmer, ein statt drei Zehntel Mehl.</w:t>
      </w:r>
    </w:p>
    <w:p w14:paraId="1E79DFB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14,22</w:t>
      </w:r>
    </w:p>
    <w:p w14:paraId="4487CF6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וּשְׁתֵּ֣י תֹרִ֗ים א֤וֹ שְׁנֵי֙ בְּנֵ֣י יוֹנָ֔ה אֲשֶׁ֥ר תַּשִּׂ֖יג יָדֹ֑ו וְהָיָ֤ה אֶחָד֙ חַטָּ֔את וְהָאֶחָ֖ד עֹלָֽה׃</w:t>
      </w:r>
    </w:p>
    <w:p w14:paraId="292CD2E0" w14:textId="663D441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und zwei Turteltauben oder zwei junge Tauben, was seine Hand aufbringt; und es soll sein die eine als Sündopfer und die andere als </w:t>
      </w:r>
      <w:r w:rsidR="00CF10E7">
        <w:rPr>
          <w:rFonts w:eastAsia="Times New Roman" w:cs="Times New Roman"/>
          <w:lang w:eastAsia="de-DE"/>
        </w:rPr>
        <w:t>Aufsteigeopfer</w:t>
      </w:r>
      <w:r w:rsidRPr="00195E02">
        <w:rPr>
          <w:rFonts w:eastAsia="Times New Roman" w:cs="Times New Roman"/>
          <w:lang w:eastAsia="de-DE"/>
        </w:rPr>
        <w:t>.</w:t>
      </w:r>
    </w:p>
    <w:p w14:paraId="37A2AC2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AE84BF5">
          <v:rect id="_x0000_i1412" style="width:0;height:1.5pt" o:hralign="center" o:hrstd="t" o:hr="t" fillcolor="#a0a0a0" stroked="f"/>
        </w:pict>
      </w:r>
    </w:p>
    <w:p w14:paraId="76B3004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ושתי תרים או שני בני יונה אשר תשיג ידו והיה אחד חטאת והאחד עלה</w:t>
      </w:r>
      <w:r w:rsidRPr="00195E02">
        <w:rPr>
          <w:rFonts w:eastAsia="Times New Roman" w:cs="Times New Roman"/>
          <w:rtl/>
          <w:lang w:eastAsia="de-DE"/>
        </w:rPr>
        <w:t xml:space="preserve"> </w:t>
      </w:r>
      <w:r w:rsidRPr="00195E02">
        <w:rPr>
          <w:rFonts w:eastAsia="Times New Roman" w:cs="Times New Roman"/>
          <w:lang w:eastAsia="de-DE"/>
        </w:rPr>
        <w:t xml:space="preserve">zeigt den Ersatz der beiden anderen Lämmer durch Tauben. </w:t>
      </w:r>
      <w:r w:rsidRPr="00195E02">
        <w:rPr>
          <w:rFonts w:eastAsia="Times New Roman" w:cs="Times New Roman"/>
          <w:b/>
          <w:bCs/>
          <w:rtl/>
          <w:lang w:eastAsia="de-DE"/>
        </w:rPr>
        <w:t>ושתי תרים או שני בני יונה</w:t>
      </w:r>
      <w:r w:rsidRPr="00195E02">
        <w:rPr>
          <w:rFonts w:eastAsia="Times New Roman" w:cs="Times New Roman"/>
          <w:rtl/>
          <w:lang w:eastAsia="de-DE"/>
        </w:rPr>
        <w:t xml:space="preserve"> </w:t>
      </w:r>
      <w:r w:rsidRPr="00195E02">
        <w:rPr>
          <w:rFonts w:eastAsia="Times New Roman" w:cs="Times New Roman"/>
          <w:lang w:eastAsia="de-DE"/>
        </w:rPr>
        <w:t xml:space="preserve">(und zwei Turteltauben oder zwei junge Tauben) als alternative Vogelarten entsprechend Lev 1,14; 5,7. </w:t>
      </w:r>
      <w:r w:rsidRPr="00195E02">
        <w:rPr>
          <w:rFonts w:eastAsia="Times New Roman" w:cs="Times New Roman"/>
          <w:b/>
          <w:bCs/>
          <w:rtl/>
          <w:lang w:eastAsia="de-DE"/>
        </w:rPr>
        <w:t>אשר תשיג ידו</w:t>
      </w:r>
      <w:r w:rsidRPr="00195E02">
        <w:rPr>
          <w:rFonts w:eastAsia="Times New Roman" w:cs="Times New Roman"/>
          <w:rtl/>
          <w:lang w:eastAsia="de-DE"/>
        </w:rPr>
        <w:t xml:space="preserve"> </w:t>
      </w:r>
      <w:r w:rsidRPr="00195E02">
        <w:rPr>
          <w:rFonts w:eastAsia="Times New Roman" w:cs="Times New Roman"/>
          <w:lang w:eastAsia="de-DE"/>
        </w:rPr>
        <w:t>(was seine Hand aufbringt) entspricht der Armutsklausel aus V. 21.</w:t>
      </w:r>
    </w:p>
    <w:p w14:paraId="4C1F6349" w14:textId="2585BAD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והיה אחד חטאת והאחד עלה</w:t>
      </w:r>
      <w:r w:rsidRPr="00195E02">
        <w:rPr>
          <w:rFonts w:eastAsia="Times New Roman" w:cs="Times New Roman"/>
          <w:rtl/>
          <w:lang w:eastAsia="de-DE"/>
        </w:rPr>
        <w:t xml:space="preserve"> </w:t>
      </w:r>
      <w:r w:rsidRPr="00195E02">
        <w:rPr>
          <w:rFonts w:eastAsia="Times New Roman" w:cs="Times New Roman"/>
          <w:lang w:eastAsia="de-DE"/>
        </w:rPr>
        <w:t xml:space="preserve">(und es soll sein die eine als Sündopfer und die andere als </w:t>
      </w:r>
      <w:r w:rsidR="00CF10E7">
        <w:rPr>
          <w:rFonts w:eastAsia="Times New Roman" w:cs="Times New Roman"/>
          <w:lang w:eastAsia="de-DE"/>
        </w:rPr>
        <w:t>Aufsteigeopfer</w:t>
      </w:r>
      <w:r w:rsidRPr="00195E02">
        <w:rPr>
          <w:rFonts w:eastAsia="Times New Roman" w:cs="Times New Roman"/>
          <w:lang w:eastAsia="de-DE"/>
        </w:rPr>
        <w:t>) zeigt die Aufteilung der beiden Tauben für die zwei Opferarten, die in V. 10 durch Lämmer repräsentiert waren.</w:t>
      </w:r>
    </w:p>
    <w:p w14:paraId="6B30D52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תרים או בני יונה</w:t>
      </w:r>
      <w:r w:rsidRPr="00195E02">
        <w:rPr>
          <w:rFonts w:eastAsia="Times New Roman" w:cs="Times New Roman"/>
          <w:rtl/>
          <w:lang w:eastAsia="de-DE"/>
        </w:rPr>
        <w:t xml:space="preserve"> </w:t>
      </w:r>
      <w:r w:rsidRPr="00195E02">
        <w:rPr>
          <w:rFonts w:eastAsia="Times New Roman" w:cs="Times New Roman"/>
          <w:lang w:eastAsia="de-DE"/>
        </w:rPr>
        <w:t xml:space="preserve">als Standardersatz für teure Opfertiere in Armenbestimmungen. </w:t>
      </w:r>
      <w:r w:rsidRPr="00195E02">
        <w:rPr>
          <w:rFonts w:eastAsia="Times New Roman" w:cs="Times New Roman"/>
          <w:b/>
          <w:bCs/>
          <w:rtl/>
          <w:lang w:eastAsia="de-DE"/>
        </w:rPr>
        <w:t>אשר תשיג ידו</w:t>
      </w:r>
      <w:r w:rsidRPr="00195E02">
        <w:rPr>
          <w:rFonts w:eastAsia="Times New Roman" w:cs="Times New Roman"/>
          <w:rtl/>
          <w:lang w:eastAsia="de-DE"/>
        </w:rPr>
        <w:t xml:space="preserve"> </w:t>
      </w:r>
      <w:r w:rsidRPr="00195E02">
        <w:rPr>
          <w:rFonts w:eastAsia="Times New Roman" w:cs="Times New Roman"/>
          <w:lang w:eastAsia="de-DE"/>
        </w:rPr>
        <w:t xml:space="preserve">als Flexibilitätsklausel entsprechend finanzieller Möglichkeiten. </w:t>
      </w:r>
      <w:r w:rsidRPr="00195E02">
        <w:rPr>
          <w:rFonts w:eastAsia="Times New Roman" w:cs="Times New Roman"/>
          <w:b/>
          <w:bCs/>
          <w:rtl/>
          <w:lang w:eastAsia="de-DE"/>
        </w:rPr>
        <w:t>אחד חטאת והאחד עלה</w:t>
      </w:r>
      <w:r w:rsidRPr="00195E02">
        <w:rPr>
          <w:rFonts w:eastAsia="Times New Roman" w:cs="Times New Roman"/>
          <w:rtl/>
          <w:lang w:eastAsia="de-DE"/>
        </w:rPr>
        <w:t xml:space="preserve"> </w:t>
      </w:r>
      <w:r w:rsidRPr="00195E02">
        <w:rPr>
          <w:rFonts w:eastAsia="Times New Roman" w:cs="Times New Roman"/>
          <w:lang w:eastAsia="de-DE"/>
        </w:rPr>
        <w:t>zeigt, dass die Opferarten beibehalten werden.</w:t>
      </w:r>
    </w:p>
    <w:p w14:paraId="4B6D95F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תרים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τρυγόν</w:t>
      </w:r>
      <w:proofErr w:type="spellEnd"/>
      <w:r w:rsidRPr="00195E02">
        <w:rPr>
          <w:rFonts w:eastAsia="Times New Roman" w:cs="Times New Roman"/>
          <w:lang w:eastAsia="de-DE"/>
        </w:rPr>
        <w:t xml:space="preserve">ας (Turteltauben), </w:t>
      </w:r>
      <w:r w:rsidRPr="00195E02">
        <w:rPr>
          <w:rFonts w:eastAsia="Times New Roman" w:cs="Times New Roman"/>
          <w:b/>
          <w:bCs/>
          <w:rtl/>
          <w:lang w:eastAsia="de-DE"/>
        </w:rPr>
        <w:t>בני יונה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νεοσσοὺς</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εριστερῶν</w:t>
      </w:r>
      <w:proofErr w:type="spellEnd"/>
      <w:r w:rsidRPr="00195E02">
        <w:rPr>
          <w:rFonts w:eastAsia="Times New Roman" w:cs="Times New Roman"/>
          <w:lang w:eastAsia="de-DE"/>
        </w:rPr>
        <w:t xml:space="preserve"> (junge Tauben) und </w:t>
      </w:r>
      <w:r w:rsidRPr="00195E02">
        <w:rPr>
          <w:rFonts w:eastAsia="Times New Roman" w:cs="Times New Roman"/>
          <w:b/>
          <w:bCs/>
          <w:rtl/>
          <w:lang w:eastAsia="de-DE"/>
        </w:rPr>
        <w:t>אשר תשיג ידו</w:t>
      </w:r>
      <w:r w:rsidRPr="00195E02">
        <w:rPr>
          <w:rFonts w:eastAsia="Times New Roman" w:cs="Times New Roman"/>
          <w:rtl/>
          <w:lang w:eastAsia="de-DE"/>
        </w:rPr>
        <w:t xml:space="preserve"> </w:t>
      </w:r>
      <w:r w:rsidRPr="00195E02">
        <w:rPr>
          <w:rFonts w:eastAsia="Times New Roman" w:cs="Times New Roman"/>
          <w:lang w:eastAsia="de-DE"/>
        </w:rPr>
        <w:t xml:space="preserve">mit ἃ </w:t>
      </w:r>
      <w:proofErr w:type="spellStart"/>
      <w:r w:rsidRPr="00195E02">
        <w:rPr>
          <w:rFonts w:eastAsia="Times New Roman" w:cs="Times New Roman"/>
          <w:lang w:eastAsia="de-DE"/>
        </w:rPr>
        <w:t>εὗρεν</w:t>
      </w:r>
      <w:proofErr w:type="spellEnd"/>
      <w:r w:rsidRPr="00195E02">
        <w:rPr>
          <w:rFonts w:eastAsia="Times New Roman" w:cs="Times New Roman"/>
          <w:lang w:eastAsia="de-DE"/>
        </w:rPr>
        <w:t xml:space="preserve"> ἡ </w:t>
      </w:r>
      <w:proofErr w:type="spellStart"/>
      <w:r w:rsidRPr="00195E02">
        <w:rPr>
          <w:rFonts w:eastAsia="Times New Roman" w:cs="Times New Roman"/>
          <w:lang w:eastAsia="de-DE"/>
        </w:rPr>
        <w:t>χεὶρ</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(was seine Hand gefunden hat).</w:t>
      </w:r>
    </w:p>
    <w:p w14:paraId="461E7D6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Ersatzbestimmung: alternative Vogelarten + Flexibilitätsklausel + Opferaufteilung. Die Struktur zeigt soziale Anpassung bei funktionaler Beibehaltung.</w:t>
      </w:r>
    </w:p>
    <w:p w14:paraId="1ABD57AC" w14:textId="3405362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den Ersatz von zwei Lämmern durch zwei Tauben als Sündopfer und </w:t>
      </w:r>
      <w:r w:rsidR="00CF10E7">
        <w:rPr>
          <w:rFonts w:eastAsia="Times New Roman" w:cs="Times New Roman"/>
          <w:lang w:eastAsia="de-DE"/>
        </w:rPr>
        <w:t>Aufsteigeopfer</w:t>
      </w:r>
      <w:r w:rsidRPr="00195E02">
        <w:rPr>
          <w:rFonts w:eastAsia="Times New Roman" w:cs="Times New Roman"/>
          <w:lang w:eastAsia="de-DE"/>
        </w:rPr>
        <w:t>.</w:t>
      </w:r>
    </w:p>
    <w:p w14:paraId="6CD91C00"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14,23</w:t>
      </w:r>
    </w:p>
    <w:p w14:paraId="601426E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וְהֵבִ֨יא אֹתָ֜ם בַּיּ֧וֹם הַשְּׁמִינִ֛י לְטָהֳרָתוֹ֖ אֶל־הַכֹּהֵ֑ן אֶל־פֶּ֥תַח אֹֽהֶל־מוֹעֵ֖ד לִפְנֵ֥י יְהוָֽה׃</w:t>
      </w:r>
    </w:p>
    <w:p w14:paraId="002481C0" w14:textId="503C49F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sie bringen am achten Tag zu seiner Reinigung zum Priester, zum Eingang des Zeltes der Begegnung vor den </w:t>
      </w:r>
      <w:r w:rsidR="004603C6">
        <w:rPr>
          <w:rFonts w:eastAsia="Times New Roman" w:cs="Times New Roman"/>
          <w:lang w:eastAsia="de-DE"/>
        </w:rPr>
        <w:t>Ewigen</w:t>
      </w:r>
      <w:r w:rsidRPr="00195E02">
        <w:rPr>
          <w:rFonts w:eastAsia="Times New Roman" w:cs="Times New Roman"/>
          <w:lang w:eastAsia="de-DE"/>
        </w:rPr>
        <w:t>.</w:t>
      </w:r>
    </w:p>
    <w:p w14:paraId="1392477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CB6C93F">
          <v:rect id="_x0000_i1413" style="width:0;height:1.5pt" o:hralign="center" o:hrstd="t" o:hr="t" fillcolor="#a0a0a0" stroked="f"/>
        </w:pict>
      </w:r>
    </w:p>
    <w:p w14:paraId="6DCC7A3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והביא אתם ביום השמיני לטהרתו אל־הכהן אל־פתח אהל מועד לפני יהוה</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11 für das Standardverfahren. </w:t>
      </w:r>
      <w:r w:rsidRPr="00195E02">
        <w:rPr>
          <w:rFonts w:eastAsia="Times New Roman" w:cs="Times New Roman"/>
          <w:b/>
          <w:bCs/>
          <w:rtl/>
          <w:lang w:eastAsia="de-DE"/>
        </w:rPr>
        <w:t>והביא אתם</w:t>
      </w:r>
      <w:r w:rsidRPr="00195E02">
        <w:rPr>
          <w:rFonts w:eastAsia="Times New Roman" w:cs="Times New Roman"/>
          <w:rtl/>
          <w:lang w:eastAsia="de-DE"/>
        </w:rPr>
        <w:t xml:space="preserve"> </w:t>
      </w:r>
      <w:r w:rsidRPr="00195E02">
        <w:rPr>
          <w:rFonts w:eastAsia="Times New Roman" w:cs="Times New Roman"/>
          <w:lang w:eastAsia="de-DE"/>
        </w:rPr>
        <w:t xml:space="preserve">(und er soll sie bringen) bezieht sich auf die reduzierten Opfergaben aus V. 21-22. </w:t>
      </w:r>
      <w:r w:rsidRPr="00195E02">
        <w:rPr>
          <w:rFonts w:eastAsia="Times New Roman" w:cs="Times New Roman"/>
          <w:b/>
          <w:bCs/>
          <w:rtl/>
          <w:lang w:eastAsia="de-DE"/>
        </w:rPr>
        <w:t>ביום השמיני לטהרתו</w:t>
      </w:r>
      <w:r w:rsidRPr="00195E02">
        <w:rPr>
          <w:rFonts w:eastAsia="Times New Roman" w:cs="Times New Roman"/>
          <w:rtl/>
          <w:lang w:eastAsia="de-DE"/>
        </w:rPr>
        <w:t xml:space="preserve"> </w:t>
      </w:r>
      <w:r w:rsidRPr="00195E02">
        <w:rPr>
          <w:rFonts w:eastAsia="Times New Roman" w:cs="Times New Roman"/>
          <w:lang w:eastAsia="de-DE"/>
        </w:rPr>
        <w:t>(am achten Tag zu seiner Reinigung) entspricht V. 10.</w:t>
      </w:r>
    </w:p>
    <w:p w14:paraId="5879A452" w14:textId="7297C03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אל־הכהן אל־פתח אהל מועד לפני יהוה</w:t>
      </w:r>
      <w:r w:rsidRPr="00195E02">
        <w:rPr>
          <w:rFonts w:eastAsia="Times New Roman" w:cs="Times New Roman"/>
          <w:rtl/>
          <w:lang w:eastAsia="de-DE"/>
        </w:rPr>
        <w:t xml:space="preserve"> </w:t>
      </w:r>
      <w:r w:rsidRPr="00195E02">
        <w:rPr>
          <w:rFonts w:eastAsia="Times New Roman" w:cs="Times New Roman"/>
          <w:lang w:eastAsia="de-DE"/>
        </w:rPr>
        <w:t xml:space="preserve">(zum Priester, zum Eingang des Zeltes der Begegnung vor den </w:t>
      </w:r>
      <w:r w:rsidR="004603C6">
        <w:rPr>
          <w:rFonts w:eastAsia="Times New Roman" w:cs="Times New Roman"/>
          <w:lang w:eastAsia="de-DE"/>
        </w:rPr>
        <w:t>Ewigen</w:t>
      </w:r>
      <w:r w:rsidRPr="00195E02">
        <w:rPr>
          <w:rFonts w:eastAsia="Times New Roman" w:cs="Times New Roman"/>
          <w:lang w:eastAsia="de-DE"/>
        </w:rPr>
        <w:t>) entspricht vollständig V. 11.</w:t>
      </w:r>
    </w:p>
    <w:p w14:paraId="4DA1B21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identische Formulierung zu V. 11 zeigt, dass trotz reduzierter Opfergaben der zeitliche Rahmen, der Ort und die göttliche Präsenz unverändert bleiben. </w:t>
      </w:r>
      <w:r w:rsidRPr="00195E02">
        <w:rPr>
          <w:rFonts w:eastAsia="Times New Roman" w:cs="Times New Roman"/>
          <w:b/>
          <w:bCs/>
          <w:rtl/>
          <w:lang w:eastAsia="de-DE"/>
        </w:rPr>
        <w:t>לטהרתו</w:t>
      </w:r>
      <w:r w:rsidRPr="00195E02">
        <w:rPr>
          <w:rFonts w:eastAsia="Times New Roman" w:cs="Times New Roman"/>
          <w:rtl/>
          <w:lang w:eastAsia="de-DE"/>
        </w:rPr>
        <w:t xml:space="preserve"> </w:t>
      </w:r>
      <w:r w:rsidRPr="00195E02">
        <w:rPr>
          <w:rFonts w:eastAsia="Times New Roman" w:cs="Times New Roman"/>
          <w:lang w:eastAsia="de-DE"/>
        </w:rPr>
        <w:t>betont den individuellen Reinigungszweck.</w:t>
      </w:r>
    </w:p>
    <w:p w14:paraId="4F39B6B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11 mit identischen griechischen Begriffen.</w:t>
      </w:r>
    </w:p>
    <w:p w14:paraId="7423FB5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entspricht exakt V. 11: Bringungsanweisung + zeitliche Spezifikation + Zweckangabe + Empfänger + Ortsangabe + göttliche Präsenz. Die identische Struktur zeigt Gleichbehandlung trotz sozialer Unterschiede.</w:t>
      </w:r>
    </w:p>
    <w:p w14:paraId="236F6AB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dass arme </w:t>
      </w:r>
      <w:r w:rsidRPr="00195E02">
        <w:rPr>
          <w:rFonts w:eastAsia="Times New Roman" w:cs="Times New Roman"/>
          <w:b/>
          <w:bCs/>
          <w:rtl/>
          <w:lang w:eastAsia="de-DE"/>
        </w:rPr>
        <w:t>מצרע</w:t>
      </w:r>
      <w:r w:rsidRPr="00195E02">
        <w:rPr>
          <w:rFonts w:eastAsia="Times New Roman" w:cs="Times New Roman"/>
          <w:rtl/>
          <w:lang w:eastAsia="de-DE"/>
        </w:rPr>
        <w:t xml:space="preserve"> </w:t>
      </w:r>
      <w:r w:rsidRPr="00195E02">
        <w:rPr>
          <w:rFonts w:eastAsia="Times New Roman" w:cs="Times New Roman"/>
          <w:lang w:eastAsia="de-DE"/>
        </w:rPr>
        <w:t>denselben zeitlichen Rahmen und heiligen Ort wie reiche für ihre Reinigung erhalten.</w:t>
      </w:r>
    </w:p>
    <w:p w14:paraId="045EBEF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14,24</w:t>
      </w:r>
    </w:p>
    <w:p w14:paraId="41D199B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הַכֹּהֵ֛ן אֶת־כֶּ֥בֶשׂ הָאָשָׁ֖ם וְאֶת־לֹ֣ג הַשָּׁ֑מֶן וְהֵנִ֨יף אֹתָ֧ם הַכֹּהֵ֛ן תְּנוּפָ֖ה לִפְנֵ֥י יְהוָֽה׃</w:t>
      </w:r>
    </w:p>
    <w:p w14:paraId="21030F52" w14:textId="6C079D7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nehmen das Lamm des Schuldopfers und das Log Öl, und der Priester soll sie schwingen als Schwingopfer vor dem </w:t>
      </w:r>
      <w:r w:rsidR="004603C6">
        <w:rPr>
          <w:rFonts w:eastAsia="Times New Roman" w:cs="Times New Roman"/>
          <w:lang w:eastAsia="de-DE"/>
        </w:rPr>
        <w:t>Ewigen</w:t>
      </w:r>
      <w:r w:rsidRPr="00195E02">
        <w:rPr>
          <w:rFonts w:eastAsia="Times New Roman" w:cs="Times New Roman"/>
          <w:lang w:eastAsia="de-DE"/>
        </w:rPr>
        <w:t>.</w:t>
      </w:r>
    </w:p>
    <w:p w14:paraId="0D6F90B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B536E85">
          <v:rect id="_x0000_i1414" style="width:0;height:1.5pt" o:hralign="center" o:hrstd="t" o:hr="t" fillcolor="#a0a0a0" stroked="f"/>
        </w:pict>
      </w:r>
    </w:p>
    <w:p w14:paraId="0C0F5A6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הכהן את־כבש האשם ואת־לג השמן והניף אתם הכהן תנופה לפני יהוה</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12 für das Standardverfahren. </w:t>
      </w:r>
      <w:r w:rsidRPr="00195E02">
        <w:rPr>
          <w:rFonts w:eastAsia="Times New Roman" w:cs="Times New Roman"/>
          <w:b/>
          <w:bCs/>
          <w:rtl/>
          <w:lang w:eastAsia="de-DE"/>
        </w:rPr>
        <w:t>את־כבש האשם</w:t>
      </w:r>
      <w:r w:rsidRPr="00195E02">
        <w:rPr>
          <w:rFonts w:eastAsia="Times New Roman" w:cs="Times New Roman"/>
          <w:rtl/>
          <w:lang w:eastAsia="de-DE"/>
        </w:rPr>
        <w:t xml:space="preserve"> </w:t>
      </w:r>
      <w:r w:rsidRPr="00195E02">
        <w:rPr>
          <w:rFonts w:eastAsia="Times New Roman" w:cs="Times New Roman"/>
          <w:lang w:eastAsia="de-DE"/>
        </w:rPr>
        <w:t xml:space="preserve">(das Lamm des Schuldopfers) aus V. 21, </w:t>
      </w:r>
      <w:r w:rsidRPr="00195E02">
        <w:rPr>
          <w:rFonts w:eastAsia="Times New Roman" w:cs="Times New Roman"/>
          <w:b/>
          <w:bCs/>
          <w:rtl/>
          <w:lang w:eastAsia="de-DE"/>
        </w:rPr>
        <w:t>ואת־לג השמן</w:t>
      </w:r>
      <w:r w:rsidRPr="00195E02">
        <w:rPr>
          <w:rFonts w:eastAsia="Times New Roman" w:cs="Times New Roman"/>
          <w:rtl/>
          <w:lang w:eastAsia="de-DE"/>
        </w:rPr>
        <w:t xml:space="preserve"> </w:t>
      </w:r>
      <w:r w:rsidRPr="00195E02">
        <w:rPr>
          <w:rFonts w:eastAsia="Times New Roman" w:cs="Times New Roman"/>
          <w:lang w:eastAsia="de-DE"/>
        </w:rPr>
        <w:t>(und das Log Öl) entspricht V. 12.</w:t>
      </w:r>
    </w:p>
    <w:p w14:paraId="440B00EC" w14:textId="1E3969D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והניף אתם הכהן תנופה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sie schwingen als Schwingopfer vor dem </w:t>
      </w:r>
      <w:r w:rsidR="004603C6">
        <w:rPr>
          <w:rFonts w:eastAsia="Times New Roman" w:cs="Times New Roman"/>
          <w:lang w:eastAsia="de-DE"/>
        </w:rPr>
        <w:t>Ewigen</w:t>
      </w:r>
      <w:r w:rsidRPr="00195E02">
        <w:rPr>
          <w:rFonts w:eastAsia="Times New Roman" w:cs="Times New Roman"/>
          <w:lang w:eastAsia="de-DE"/>
        </w:rPr>
        <w:t>) entspricht vollständig V. 12.</w:t>
      </w:r>
    </w:p>
    <w:p w14:paraId="752F34B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identische Formulierung zu V. 12 zeigt, dass das Schuldopfer-Ritual unverändert bleibt, auch bei reduzierten sonstigen Opfergaben. Das </w:t>
      </w:r>
      <w:r w:rsidRPr="00195E02">
        <w:rPr>
          <w:rFonts w:eastAsia="Times New Roman" w:cs="Times New Roman"/>
          <w:b/>
          <w:bCs/>
          <w:rtl/>
          <w:lang w:eastAsia="de-DE"/>
        </w:rPr>
        <w:t>אשם</w:t>
      </w:r>
      <w:r w:rsidRPr="00195E02">
        <w:rPr>
          <w:rFonts w:eastAsia="Times New Roman" w:cs="Times New Roman"/>
          <w:rtl/>
          <w:lang w:eastAsia="de-DE"/>
        </w:rPr>
        <w:t xml:space="preserve"> </w:t>
      </w:r>
      <w:r w:rsidRPr="00195E02">
        <w:rPr>
          <w:rFonts w:eastAsia="Times New Roman" w:cs="Times New Roman"/>
          <w:lang w:eastAsia="de-DE"/>
        </w:rPr>
        <w:t>behält seine zentrale Rolle im Reinigungsverfahren.</w:t>
      </w:r>
    </w:p>
    <w:p w14:paraId="2F0698F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12 mit identischen griechischen Begriffen.</w:t>
      </w:r>
    </w:p>
    <w:p w14:paraId="2B27FE7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12: Materialentnahme + Schwingungsritual vor JHWH. Die identische Struktur zeigt die Unveränderlichkeit des Kernrituals.</w:t>
      </w:r>
    </w:p>
    <w:p w14:paraId="385941C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dass das Schuldopfer-Schwingungsritual auch bei Armenbestimmungen unverändert durchgeführt wird.</w:t>
      </w:r>
    </w:p>
    <w:p w14:paraId="533CDAB0"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14,25</w:t>
      </w:r>
    </w:p>
    <w:p w14:paraId="609E6DA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וְשָׁחַט֮ אֶת־כֶּ֣בֶשׂ הָֽאָשָׁם֒ וְלָקַ֤ח הַכֹּהֵן֙ מִדַּ֣ם הָֽאָשָׁ֔ם וְנָתַ֛ן עַל־תְּנ֥וּךְ אֹֽזֶן־הַמִּטַּהֵ֖ר הַיְמָנִ֑ית וְעַל־בֹּ֤הֶן יָדוֹ֙ הַיְמָנִ֔ית וְעַל־בֹּ֥הֶן רַגְלֹ֖ו הַיְמָנִֽית׃</w:t>
      </w:r>
    </w:p>
    <w:p w14:paraId="38E15FB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das Lamm des Schuldopfers schlachten; und der Priester soll nehmen von dem Blut des Schuldopfers und es geben auf das rechte Ohrläppchen des sich Reinigenden und auf den Daumen seiner rechten Hand und auf die große Zehe seines rechten Fußes.</w:t>
      </w:r>
    </w:p>
    <w:p w14:paraId="39226E6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AC3CF16">
          <v:rect id="_x0000_i1415" style="width:0;height:1.5pt" o:hralign="center" o:hrstd="t" o:hr="t" fillcolor="#a0a0a0" stroked="f"/>
        </w:pict>
      </w:r>
    </w:p>
    <w:p w14:paraId="78F1A38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ושחט את־כבש האשם ולקח הכהן מדם האשם ונתן על־תנוך אזן־המטהר הימנית ועל־בהן ידו הימנית ועל־בהן רגלו הימנית</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13-14. </w:t>
      </w:r>
      <w:r w:rsidRPr="00195E02">
        <w:rPr>
          <w:rFonts w:eastAsia="Times New Roman" w:cs="Times New Roman"/>
          <w:b/>
          <w:bCs/>
          <w:rtl/>
          <w:lang w:eastAsia="de-DE"/>
        </w:rPr>
        <w:t>ושחט את־כבש האשם</w:t>
      </w:r>
      <w:r w:rsidRPr="00195E02">
        <w:rPr>
          <w:rFonts w:eastAsia="Times New Roman" w:cs="Times New Roman"/>
          <w:rtl/>
          <w:lang w:eastAsia="de-DE"/>
        </w:rPr>
        <w:t xml:space="preserve"> </w:t>
      </w:r>
      <w:r w:rsidRPr="00195E02">
        <w:rPr>
          <w:rFonts w:eastAsia="Times New Roman" w:cs="Times New Roman"/>
          <w:lang w:eastAsia="de-DE"/>
        </w:rPr>
        <w:t>(und er soll das Lamm des Schuldopfers schlachten) entspricht V. 13.</w:t>
      </w:r>
    </w:p>
    <w:p w14:paraId="691C656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ולקח הכהן מדם האשם ונתן על־תנוך אזן־המטהר הימנית ועל־בהן ידו הימנית ועל־בהן רגלו הימנית</w:t>
      </w:r>
      <w:r w:rsidRPr="00195E02">
        <w:rPr>
          <w:rFonts w:eastAsia="Times New Roman" w:cs="Times New Roman"/>
          <w:rtl/>
          <w:lang w:eastAsia="de-DE"/>
        </w:rPr>
        <w:t xml:space="preserve"> </w:t>
      </w:r>
      <w:r w:rsidRPr="00195E02">
        <w:rPr>
          <w:rFonts w:eastAsia="Times New Roman" w:cs="Times New Roman"/>
          <w:lang w:eastAsia="de-DE"/>
        </w:rPr>
        <w:t>(und der Priester soll nehmen von dem Blut des Schuldopfers und es geben auf das rechte Ohrläppchen des sich Reinigenden und auf den Daumen seiner rechten Hand und auf die große Zehe seines rechten Fußes) entspricht vollständig V. 14.</w:t>
      </w:r>
    </w:p>
    <w:p w14:paraId="016A68E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exakte Wiederholung von V. 14 zeigt, dass die Blutapplikation an den drei Körperstellen unabhängig vom sozialen Status identisch durchgeführt wird. Das zentrale Reinigungsritual bleibt unverändert.</w:t>
      </w:r>
    </w:p>
    <w:p w14:paraId="6A47028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13-14 mit identischen griechischen Begriffen.</w:t>
      </w:r>
    </w:p>
    <w:p w14:paraId="413950C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13-14: Schlachtung + Blutentnahme + dreifache Körperapplikation. Die identische Struktur unterstreicht die Gleichbehandlung im Kernritual.</w:t>
      </w:r>
    </w:p>
    <w:p w14:paraId="4EDDF0F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dass die Blutapplikation des Schuldopfers auch bei Armenbestimmungen identisch zu V. 14 durchgeführt wird.</w:t>
      </w:r>
    </w:p>
    <w:p w14:paraId="3372E0F1"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14,26</w:t>
      </w:r>
    </w:p>
    <w:p w14:paraId="592C5EE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וּמִן־הַשֶּׁ֖מֶן יִצֹ֣ק הַכֹּהֵ֑ן עַל־כַּ֥ף הַכֹּהֵ֖ן הַשְּׂמָאלִֽית׃</w:t>
      </w:r>
    </w:p>
    <w:p w14:paraId="1640DC1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von dem Öl soll der Priester gießen auf die linke Handfläche des Priesters.</w:t>
      </w:r>
    </w:p>
    <w:p w14:paraId="51475B7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4EC790D">
          <v:rect id="_x0000_i1416" style="width:0;height:1.5pt" o:hralign="center" o:hrstd="t" o:hr="t" fillcolor="#a0a0a0" stroked="f"/>
        </w:pict>
      </w:r>
    </w:p>
    <w:p w14:paraId="398C64D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ומן־השמן יצק הכהן על־כף הכהן השמאלית</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15. </w:t>
      </w:r>
      <w:r w:rsidRPr="00195E02">
        <w:rPr>
          <w:rFonts w:eastAsia="Times New Roman" w:cs="Times New Roman"/>
          <w:b/>
          <w:bCs/>
          <w:rtl/>
          <w:lang w:eastAsia="de-DE"/>
        </w:rPr>
        <w:t>ומן־השמן</w:t>
      </w:r>
      <w:r w:rsidRPr="00195E02">
        <w:rPr>
          <w:rFonts w:eastAsia="Times New Roman" w:cs="Times New Roman"/>
          <w:rtl/>
          <w:lang w:eastAsia="de-DE"/>
        </w:rPr>
        <w:t xml:space="preserve"> </w:t>
      </w:r>
      <w:r w:rsidRPr="00195E02">
        <w:rPr>
          <w:rFonts w:eastAsia="Times New Roman" w:cs="Times New Roman"/>
          <w:lang w:eastAsia="de-DE"/>
        </w:rPr>
        <w:t xml:space="preserve">(und von dem Öl) aus V. 21, </w:t>
      </w:r>
      <w:r w:rsidRPr="00195E02">
        <w:rPr>
          <w:rFonts w:eastAsia="Times New Roman" w:cs="Times New Roman"/>
          <w:b/>
          <w:bCs/>
          <w:rtl/>
          <w:lang w:eastAsia="de-DE"/>
        </w:rPr>
        <w:t>יצק הכהן על־כף הכהן השמאלית</w:t>
      </w:r>
      <w:r w:rsidRPr="00195E02">
        <w:rPr>
          <w:rFonts w:eastAsia="Times New Roman" w:cs="Times New Roman"/>
          <w:rtl/>
          <w:lang w:eastAsia="de-DE"/>
        </w:rPr>
        <w:t xml:space="preserve"> </w:t>
      </w:r>
      <w:r w:rsidRPr="00195E02">
        <w:rPr>
          <w:rFonts w:eastAsia="Times New Roman" w:cs="Times New Roman"/>
          <w:lang w:eastAsia="de-DE"/>
        </w:rPr>
        <w:t>(soll der Priester gießen auf die linke Handfläche des Priesters) entspricht vollständig V. 15.</w:t>
      </w:r>
    </w:p>
    <w:p w14:paraId="5A05043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identische Formulierung zu V. 15 zeigt, dass auch die Ölvorbereitung bei Armenbestimmungen unverändert bleibt. Das </w:t>
      </w:r>
      <w:r w:rsidRPr="00195E02">
        <w:rPr>
          <w:rFonts w:eastAsia="Times New Roman" w:cs="Times New Roman"/>
          <w:b/>
          <w:bCs/>
          <w:rtl/>
          <w:lang w:eastAsia="de-DE"/>
        </w:rPr>
        <w:t>לג שמן</w:t>
      </w:r>
      <w:r w:rsidRPr="00195E02">
        <w:rPr>
          <w:rFonts w:eastAsia="Times New Roman" w:cs="Times New Roman"/>
          <w:rtl/>
          <w:lang w:eastAsia="de-DE"/>
        </w:rPr>
        <w:t xml:space="preserve"> </w:t>
      </w:r>
      <w:r w:rsidRPr="00195E02">
        <w:rPr>
          <w:rFonts w:eastAsia="Times New Roman" w:cs="Times New Roman"/>
          <w:lang w:eastAsia="de-DE"/>
        </w:rPr>
        <w:t>aus V. 21 wird genauso behandelt wie in V. 15.</w:t>
      </w:r>
    </w:p>
    <w:p w14:paraId="0D806F3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15 mit identischen griechischen Begriffen.</w:t>
      </w:r>
    </w:p>
    <w:p w14:paraId="1337E07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15: Ölquelle + Gießungsakt + Handflächen-spezifikation. Die identische Struktur zeigt einheitliches Ritualverfahren.</w:t>
      </w:r>
    </w:p>
    <w:p w14:paraId="61AAC0E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dass die Ölvorbereitung auch bei reduzierten Opfergaben identisch zu V. 15 erfolgt.</w:t>
      </w:r>
    </w:p>
    <w:p w14:paraId="6EB7DE1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14,27</w:t>
      </w:r>
    </w:p>
    <w:p w14:paraId="1ED040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וְהִזָּ֤ה הַכֹּהֵן֙ בְּאֶצְבָּעֹ֣ו הַיְמָנִ֔ית מִן־הַשֶּׁ֕מֶן אֲשֶׁ֥ר עַל־כַּפֹּ֖ו הַשְּׂמָאלִ֑ית שֶׁ֥בַע פְּעָמִ֖ים לִפְנֵ֥י יְהוָֽה׃</w:t>
      </w:r>
    </w:p>
    <w:p w14:paraId="3635D39E" w14:textId="11AB54F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Und der Priester soll sprengen mit seinem rechten Finger von dem Öl, das auf seiner linken Handfläche ist, siebenmal vor dem </w:t>
      </w:r>
      <w:r w:rsidR="004603C6">
        <w:rPr>
          <w:rFonts w:eastAsia="Times New Roman" w:cs="Times New Roman"/>
          <w:lang w:eastAsia="de-DE"/>
        </w:rPr>
        <w:t>Ewigen</w:t>
      </w:r>
      <w:r w:rsidRPr="00195E02">
        <w:rPr>
          <w:rFonts w:eastAsia="Times New Roman" w:cs="Times New Roman"/>
          <w:lang w:eastAsia="de-DE"/>
        </w:rPr>
        <w:t>.</w:t>
      </w:r>
    </w:p>
    <w:p w14:paraId="4A04244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EECBD84">
          <v:rect id="_x0000_i1417" style="width:0;height:1.5pt" o:hralign="center" o:hrstd="t" o:hr="t" fillcolor="#a0a0a0" stroked="f"/>
        </w:pict>
      </w:r>
    </w:p>
    <w:p w14:paraId="1BF05D09" w14:textId="08A0614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והזה הכהן באצבעו הימנית מן־השמן אשר על־כפו השמאלית שבע פעמים לפני יהוה</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16. </w:t>
      </w:r>
      <w:r w:rsidRPr="00195E02">
        <w:rPr>
          <w:rFonts w:eastAsia="Times New Roman" w:cs="Times New Roman"/>
          <w:b/>
          <w:bCs/>
          <w:rtl/>
          <w:lang w:eastAsia="de-DE"/>
        </w:rPr>
        <w:t>והזה הכהן באצבעו הימנית</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sprengen mit seinem rechten Finger), </w:t>
      </w:r>
      <w:r w:rsidRPr="00195E02">
        <w:rPr>
          <w:rFonts w:eastAsia="Times New Roman" w:cs="Times New Roman"/>
          <w:b/>
          <w:bCs/>
          <w:rtl/>
          <w:lang w:eastAsia="de-DE"/>
        </w:rPr>
        <w:t>מן־השמן אשר על־כפו השמאלית</w:t>
      </w:r>
      <w:r w:rsidRPr="00195E02">
        <w:rPr>
          <w:rFonts w:eastAsia="Times New Roman" w:cs="Times New Roman"/>
          <w:rtl/>
          <w:lang w:eastAsia="de-DE"/>
        </w:rPr>
        <w:t xml:space="preserve"> </w:t>
      </w:r>
      <w:r w:rsidRPr="00195E02">
        <w:rPr>
          <w:rFonts w:eastAsia="Times New Roman" w:cs="Times New Roman"/>
          <w:lang w:eastAsia="de-DE"/>
        </w:rPr>
        <w:t xml:space="preserve">(von dem Öl, das auf seiner linken Handfläche ist) und </w:t>
      </w:r>
      <w:r w:rsidRPr="00195E02">
        <w:rPr>
          <w:rFonts w:eastAsia="Times New Roman" w:cs="Times New Roman"/>
          <w:b/>
          <w:bCs/>
          <w:rtl/>
          <w:lang w:eastAsia="de-DE"/>
        </w:rPr>
        <w:t>שבע פעמים לפני יהוה</w:t>
      </w:r>
      <w:r w:rsidRPr="00195E02">
        <w:rPr>
          <w:rFonts w:eastAsia="Times New Roman" w:cs="Times New Roman"/>
          <w:rtl/>
          <w:lang w:eastAsia="de-DE"/>
        </w:rPr>
        <w:t xml:space="preserve"> </w:t>
      </w:r>
      <w:r w:rsidRPr="00195E02">
        <w:rPr>
          <w:rFonts w:eastAsia="Times New Roman" w:cs="Times New Roman"/>
          <w:lang w:eastAsia="de-DE"/>
        </w:rPr>
        <w:t xml:space="preserve">(siebenmal vor dem </w:t>
      </w:r>
      <w:r w:rsidR="004603C6">
        <w:rPr>
          <w:rFonts w:eastAsia="Times New Roman" w:cs="Times New Roman"/>
          <w:lang w:eastAsia="de-DE"/>
        </w:rPr>
        <w:t>Ewigen</w:t>
      </w:r>
      <w:r w:rsidRPr="00195E02">
        <w:rPr>
          <w:rFonts w:eastAsia="Times New Roman" w:cs="Times New Roman"/>
          <w:lang w:eastAsia="de-DE"/>
        </w:rPr>
        <w:t>) entsprechen vollständig V. 16.</w:t>
      </w:r>
    </w:p>
    <w:p w14:paraId="6F2DE04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exakte Wiederholung von V. 16 zeigt, dass auch die siebenmalige Ölsprengung vor JHWH unabhängig vom sozialen Status identisch durchgeführt wird.</w:t>
      </w:r>
    </w:p>
    <w:p w14:paraId="4E031FD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16 mit identischen griechischen Begriffen.</w:t>
      </w:r>
    </w:p>
    <w:p w14:paraId="68E8B57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16: Sprengungsakt + Fingerkoordination + Ölquelle + rituelle Häufigkeit vor JHWH. Die identische Struktur zeigt einheitliche Ritualpraxis.</w:t>
      </w:r>
    </w:p>
    <w:p w14:paraId="4287ACC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identische siebenmalige Ölsprengung vor JHWH auch bei Armenbestimmungen.</w:t>
      </w:r>
    </w:p>
    <w:p w14:paraId="69FCB18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14,28</w:t>
      </w:r>
    </w:p>
    <w:p w14:paraId="1E3444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וְנָתַ֨ן הַכֹּהֵ֜ן מִן־הַשֶּׁ֣מֶן׀ אֲשֶׁ֣ר עַל־כַּפֹּ֗ו עַל־תְּנ֞וּךְ אֹ֤זֶן הַמִּטַּהֵר֙ הַיְמָנִ֔ית וְעַל־בֹּ֤הֶן יָדוֹ֙ הַיְמָנִ֔ית וְעַל־בֹּ֥הֶן רַגְלֹ֖ו הַיְמָנִ֑ית עַל־מְק֖וֹם דַּ֥ם הָאָשָֽׁם׃</w:t>
      </w:r>
    </w:p>
    <w:p w14:paraId="5641C50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geben von dem Öl, das auf seiner Handfläche ist, auf das rechte Ohrläppchen des sich Reinigenden und auf den Daumen seiner rechten Hand und auf die große Zehe seines rechten Fußes, auf die Stelle des Blutes des Schuldopfers.</w:t>
      </w:r>
    </w:p>
    <w:p w14:paraId="3431282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B2F49F8">
          <v:rect id="_x0000_i1418" style="width:0;height:1.5pt" o:hralign="center" o:hrstd="t" o:hr="t" fillcolor="#a0a0a0" stroked="f"/>
        </w:pict>
      </w:r>
    </w:p>
    <w:p w14:paraId="5CDDAB3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ונתן הכהן מן־השמן אשר על־כפו על־תנוך אזן המטהר הימנית ועל־בהן ידו הימנית ועל־בהן רגלו הימנית על־מקום דם האשם</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17. </w:t>
      </w:r>
      <w:r w:rsidRPr="00195E02">
        <w:rPr>
          <w:rFonts w:eastAsia="Times New Roman" w:cs="Times New Roman"/>
          <w:b/>
          <w:bCs/>
          <w:rtl/>
          <w:lang w:eastAsia="de-DE"/>
        </w:rPr>
        <w:t>ונתן הכהן מן־השמן אשר על־כפו</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geben von dem Öl, das auf seiner Handfläche ist), die drei Körperstellen und </w:t>
      </w:r>
      <w:r w:rsidRPr="00195E02">
        <w:rPr>
          <w:rFonts w:eastAsia="Times New Roman" w:cs="Times New Roman"/>
          <w:b/>
          <w:bCs/>
          <w:rtl/>
          <w:lang w:eastAsia="de-DE"/>
        </w:rPr>
        <w:t>על־מקום דם האשם</w:t>
      </w:r>
      <w:r w:rsidRPr="00195E02">
        <w:rPr>
          <w:rFonts w:eastAsia="Times New Roman" w:cs="Times New Roman"/>
          <w:rtl/>
          <w:lang w:eastAsia="de-DE"/>
        </w:rPr>
        <w:t xml:space="preserve"> </w:t>
      </w:r>
      <w:r w:rsidRPr="00195E02">
        <w:rPr>
          <w:rFonts w:eastAsia="Times New Roman" w:cs="Times New Roman"/>
          <w:lang w:eastAsia="de-DE"/>
        </w:rPr>
        <w:t>(auf die Stelle des Blutes des Schuldopfers) entsprechen vollständig V. 17.</w:t>
      </w:r>
    </w:p>
    <w:p w14:paraId="3EFD66E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exakte Wiederholung von V. 17 zeigt, dass die Ölüberlagerung über dem Schuldopferblut auch bei Armenbestimmungen identisch erfolgt. </w:t>
      </w:r>
      <w:r w:rsidRPr="00195E02">
        <w:rPr>
          <w:rFonts w:eastAsia="Times New Roman" w:cs="Times New Roman"/>
          <w:b/>
          <w:bCs/>
          <w:rtl/>
          <w:lang w:eastAsia="de-DE"/>
        </w:rPr>
        <w:t>על־מקום דם האשם</w:t>
      </w:r>
      <w:r w:rsidRPr="00195E02">
        <w:rPr>
          <w:rFonts w:eastAsia="Times New Roman" w:cs="Times New Roman"/>
          <w:rtl/>
          <w:lang w:eastAsia="de-DE"/>
        </w:rPr>
        <w:t xml:space="preserve"> </w:t>
      </w:r>
      <w:r w:rsidRPr="00195E02">
        <w:rPr>
          <w:rFonts w:eastAsia="Times New Roman" w:cs="Times New Roman"/>
          <w:lang w:eastAsia="de-DE"/>
        </w:rPr>
        <w:t>betont die präzise Überlagerung.</w:t>
      </w:r>
    </w:p>
    <w:p w14:paraId="1A612E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17 mit identischen griechischen Begriffen.</w:t>
      </w:r>
    </w:p>
    <w:p w14:paraId="1D4ECB2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17: Ölapplikation + drei Körperstellen + Überlagerungsangabe. Die identische Struktur zeigt einheitliche Doppelmarkierung.</w:t>
      </w:r>
    </w:p>
    <w:p w14:paraId="72D4FB0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identische Ölapplikation über dem Schuldopferblut auch bei reduzierten Opfergaben.</w:t>
      </w:r>
    </w:p>
    <w:p w14:paraId="6FAEFD2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lastRenderedPageBreak/>
        <w:t>Leviticus 14,29</w:t>
      </w:r>
    </w:p>
    <w:p w14:paraId="2733AC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וְהַנּוֹתָ֗ר מִן־הַשֶּׁ֨מֶן֙ אֲשֶׁר֙ עַל־כַּ֣ף הַכֹּהֵ֔ן יִתֵּ֖ן עַל־רֹ֣אשׁ הַמִּטַּהֵ֑ר לְכַפֵּ֥ר עָלָ֖יו לִפְנֵ֥י יְהוָֽה׃</w:t>
      </w:r>
    </w:p>
    <w:p w14:paraId="045C1637" w14:textId="77245FC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das Übrige von dem Öl, das auf der Handfläche des Priesters ist, soll er geben auf den Kopf des sich Reinigenden, um Sühne für ihn zu erwirken vor dem </w:t>
      </w:r>
      <w:r w:rsidR="004603C6">
        <w:rPr>
          <w:rFonts w:eastAsia="Times New Roman" w:cs="Times New Roman"/>
          <w:lang w:eastAsia="de-DE"/>
        </w:rPr>
        <w:t>Ewigen</w:t>
      </w:r>
      <w:r w:rsidRPr="00195E02">
        <w:rPr>
          <w:rFonts w:eastAsia="Times New Roman" w:cs="Times New Roman"/>
          <w:lang w:eastAsia="de-DE"/>
        </w:rPr>
        <w:t>.</w:t>
      </w:r>
    </w:p>
    <w:p w14:paraId="5BCCE4E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03580D8">
          <v:rect id="_x0000_i1419" style="width:0;height:1.5pt" o:hralign="center" o:hrstd="t" o:hr="t" fillcolor="#a0a0a0" stroked="f"/>
        </w:pict>
      </w:r>
    </w:p>
    <w:p w14:paraId="5E75DF69" w14:textId="3F745D4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והנותר מן־השמן אשר על־כף הכהן יתן על־ראש המטהר לכפר עליו לפני יהוה</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18. </w:t>
      </w:r>
      <w:r w:rsidRPr="00195E02">
        <w:rPr>
          <w:rFonts w:eastAsia="Times New Roman" w:cs="Times New Roman"/>
          <w:b/>
          <w:bCs/>
          <w:rtl/>
          <w:lang w:eastAsia="de-DE"/>
        </w:rPr>
        <w:t>והנותר מן־השמן אשר על־כף הכהן</w:t>
      </w:r>
      <w:r w:rsidRPr="00195E02">
        <w:rPr>
          <w:rFonts w:eastAsia="Times New Roman" w:cs="Times New Roman"/>
          <w:rtl/>
          <w:lang w:eastAsia="de-DE"/>
        </w:rPr>
        <w:t xml:space="preserve"> </w:t>
      </w:r>
      <w:r w:rsidRPr="00195E02">
        <w:rPr>
          <w:rFonts w:eastAsia="Times New Roman" w:cs="Times New Roman"/>
          <w:lang w:eastAsia="de-DE"/>
        </w:rPr>
        <w:t xml:space="preserve">(und das Übrige von dem Öl, das auf der Handfläche des Priesters ist), </w:t>
      </w:r>
      <w:r w:rsidRPr="00195E02">
        <w:rPr>
          <w:rFonts w:eastAsia="Times New Roman" w:cs="Times New Roman"/>
          <w:b/>
          <w:bCs/>
          <w:rtl/>
          <w:lang w:eastAsia="de-DE"/>
        </w:rPr>
        <w:t>יתן על־ראש המטהר</w:t>
      </w:r>
      <w:r w:rsidRPr="00195E02">
        <w:rPr>
          <w:rFonts w:eastAsia="Times New Roman" w:cs="Times New Roman"/>
          <w:rtl/>
          <w:lang w:eastAsia="de-DE"/>
        </w:rPr>
        <w:t xml:space="preserve"> </w:t>
      </w:r>
      <w:r w:rsidRPr="00195E02">
        <w:rPr>
          <w:rFonts w:eastAsia="Times New Roman" w:cs="Times New Roman"/>
          <w:lang w:eastAsia="de-DE"/>
        </w:rPr>
        <w:t xml:space="preserve">(soll er geben auf den Kopf des sich Reinigenden) und </w:t>
      </w:r>
      <w:r w:rsidRPr="00195E02">
        <w:rPr>
          <w:rFonts w:eastAsia="Times New Roman" w:cs="Times New Roman"/>
          <w:b/>
          <w:bCs/>
          <w:rtl/>
          <w:lang w:eastAsia="de-DE"/>
        </w:rPr>
        <w:t>לכפר עליו לפני יהוה</w:t>
      </w:r>
      <w:r w:rsidRPr="00195E02">
        <w:rPr>
          <w:rFonts w:eastAsia="Times New Roman" w:cs="Times New Roman"/>
          <w:rtl/>
          <w:lang w:eastAsia="de-DE"/>
        </w:rPr>
        <w:t xml:space="preserve"> </w:t>
      </w:r>
      <w:r w:rsidRPr="00195E02">
        <w:rPr>
          <w:rFonts w:eastAsia="Times New Roman" w:cs="Times New Roman"/>
          <w:lang w:eastAsia="de-DE"/>
        </w:rPr>
        <w:t xml:space="preserve">(um Sühne für ihn zu erwirken vor dem </w:t>
      </w:r>
      <w:r w:rsidR="004603C6">
        <w:rPr>
          <w:rFonts w:eastAsia="Times New Roman" w:cs="Times New Roman"/>
          <w:lang w:eastAsia="de-DE"/>
        </w:rPr>
        <w:t>Ewigen</w:t>
      </w:r>
      <w:r w:rsidRPr="00195E02">
        <w:rPr>
          <w:rFonts w:eastAsia="Times New Roman" w:cs="Times New Roman"/>
          <w:lang w:eastAsia="de-DE"/>
        </w:rPr>
        <w:t>) entsprechen vollständig V. 18.</w:t>
      </w:r>
    </w:p>
    <w:p w14:paraId="6B089E2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exakte Wiederholung von V. 18 zeigt, dass auch die abschließende Kopfsalbung mit Sühnewirkung bei Armenbestimmungen identisch erfolgt. </w:t>
      </w:r>
      <w:r w:rsidRPr="00195E02">
        <w:rPr>
          <w:rFonts w:eastAsia="Times New Roman" w:cs="Times New Roman"/>
          <w:b/>
          <w:bCs/>
          <w:rtl/>
          <w:lang w:eastAsia="de-DE"/>
        </w:rPr>
        <w:t>לכפר עליו לפני יהוה</w:t>
      </w:r>
      <w:r w:rsidRPr="00195E02">
        <w:rPr>
          <w:rFonts w:eastAsia="Times New Roman" w:cs="Times New Roman"/>
          <w:rtl/>
          <w:lang w:eastAsia="de-DE"/>
        </w:rPr>
        <w:t xml:space="preserve"> </w:t>
      </w:r>
      <w:r w:rsidRPr="00195E02">
        <w:rPr>
          <w:rFonts w:eastAsia="Times New Roman" w:cs="Times New Roman"/>
          <w:lang w:eastAsia="de-DE"/>
        </w:rPr>
        <w:t>betont die gleiche Sühnewirkung.</w:t>
      </w:r>
    </w:p>
    <w:p w14:paraId="44A8244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18 mit identischen griechischen Begriffen.</w:t>
      </w:r>
    </w:p>
    <w:p w14:paraId="0185414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18: finale Ölverwendung + Kopfsalbung + Sühnezweck vor JHWH. Die identische Struktur zeigt gleiche Sühnewirkung unabhängig vom sozialen Status.</w:t>
      </w:r>
    </w:p>
    <w:p w14:paraId="7025966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identische abschließende Kopfsalbung mit Sühnewirkung auch bei reduzierten Opfergaben.</w:t>
      </w:r>
    </w:p>
    <w:p w14:paraId="4F6376C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14,30</w:t>
      </w:r>
    </w:p>
    <w:p w14:paraId="35D0CE0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וְעָשָׂ֤ה אֶת־הָֽאֶחָד֙ מִן־הַתֹּרִ֔ים א֖וֹ מִן־בְּנֵ֣י הַיּוֹנָ֑ה מֵאֲשֶׁ֥ר תַּשִּׂ֖יג יָדֹֽו׃</w:t>
      </w:r>
    </w:p>
    <w:p w14:paraId="267C56D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machen die eine von den Turteltauben oder von den jungen Tauben, von dem, was seine Hand aufbringt,</w:t>
      </w:r>
    </w:p>
    <w:p w14:paraId="0B1CDC8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C20F59D">
          <v:rect id="_x0000_i1420" style="width:0;height:1.5pt" o:hralign="center" o:hrstd="t" o:hr="t" fillcolor="#a0a0a0" stroked="f"/>
        </w:pict>
      </w:r>
    </w:p>
    <w:p w14:paraId="6D4455F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ועשה את־האחד מן־התרים או מן־בני היונה מאשר תשיג ידו</w:t>
      </w:r>
      <w:r w:rsidRPr="00195E02">
        <w:rPr>
          <w:rFonts w:eastAsia="Times New Roman" w:cs="Times New Roman"/>
          <w:rtl/>
          <w:lang w:eastAsia="de-DE"/>
        </w:rPr>
        <w:t xml:space="preserve"> </w:t>
      </w:r>
      <w:r w:rsidRPr="00195E02">
        <w:rPr>
          <w:rFonts w:eastAsia="Times New Roman" w:cs="Times New Roman"/>
          <w:lang w:eastAsia="de-DE"/>
        </w:rPr>
        <w:t xml:space="preserve">leitet die Taubenopfer ein. </w:t>
      </w:r>
      <w:r w:rsidRPr="00195E02">
        <w:rPr>
          <w:rFonts w:eastAsia="Times New Roman" w:cs="Times New Roman"/>
          <w:b/>
          <w:bCs/>
          <w:rtl/>
          <w:lang w:eastAsia="de-DE"/>
        </w:rPr>
        <w:t>ועשה את־האחד</w:t>
      </w:r>
      <w:r w:rsidRPr="00195E02">
        <w:rPr>
          <w:rFonts w:eastAsia="Times New Roman" w:cs="Times New Roman"/>
          <w:rtl/>
          <w:lang w:eastAsia="de-DE"/>
        </w:rPr>
        <w:t xml:space="preserve"> </w:t>
      </w:r>
      <w:r w:rsidRPr="00195E02">
        <w:rPr>
          <w:rFonts w:eastAsia="Times New Roman" w:cs="Times New Roman"/>
          <w:lang w:eastAsia="de-DE"/>
        </w:rPr>
        <w:t xml:space="preserve">(und er soll machen die eine) bezieht sich auf eine der beiden Tauben aus V. 22. </w:t>
      </w:r>
      <w:r w:rsidRPr="00195E02">
        <w:rPr>
          <w:rFonts w:eastAsia="Times New Roman" w:cs="Times New Roman"/>
          <w:b/>
          <w:bCs/>
          <w:rtl/>
          <w:lang w:eastAsia="de-DE"/>
        </w:rPr>
        <w:t>מן־התרים או מן־בני היונה</w:t>
      </w:r>
      <w:r w:rsidRPr="00195E02">
        <w:rPr>
          <w:rFonts w:eastAsia="Times New Roman" w:cs="Times New Roman"/>
          <w:rtl/>
          <w:lang w:eastAsia="de-DE"/>
        </w:rPr>
        <w:t xml:space="preserve"> </w:t>
      </w:r>
      <w:r w:rsidRPr="00195E02">
        <w:rPr>
          <w:rFonts w:eastAsia="Times New Roman" w:cs="Times New Roman"/>
          <w:lang w:eastAsia="de-DE"/>
        </w:rPr>
        <w:t xml:space="preserve">(von den Turteltauben oder von den jungen Tauben) entspricht V. 22. </w:t>
      </w:r>
      <w:r w:rsidRPr="00195E02">
        <w:rPr>
          <w:rFonts w:eastAsia="Times New Roman" w:cs="Times New Roman"/>
          <w:b/>
          <w:bCs/>
          <w:rtl/>
          <w:lang w:eastAsia="de-DE"/>
        </w:rPr>
        <w:t>מאשר תשיג ידו</w:t>
      </w:r>
      <w:r w:rsidRPr="00195E02">
        <w:rPr>
          <w:rFonts w:eastAsia="Times New Roman" w:cs="Times New Roman"/>
          <w:rtl/>
          <w:lang w:eastAsia="de-DE"/>
        </w:rPr>
        <w:t xml:space="preserve"> </w:t>
      </w:r>
      <w:r w:rsidRPr="00195E02">
        <w:rPr>
          <w:rFonts w:eastAsia="Times New Roman" w:cs="Times New Roman"/>
          <w:lang w:eastAsia="de-DE"/>
        </w:rPr>
        <w:t>(von dem, was seine Hand aufbringt) wiederholt die Flexibilitätsklausel.</w:t>
      </w:r>
    </w:p>
    <w:p w14:paraId="71A2F6C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את־האחד</w:t>
      </w:r>
      <w:r w:rsidRPr="00195E02">
        <w:rPr>
          <w:rFonts w:eastAsia="Times New Roman" w:cs="Times New Roman"/>
          <w:rtl/>
          <w:lang w:eastAsia="de-DE"/>
        </w:rPr>
        <w:t xml:space="preserve"> </w:t>
      </w:r>
      <w:r w:rsidRPr="00195E02">
        <w:rPr>
          <w:rFonts w:eastAsia="Times New Roman" w:cs="Times New Roman"/>
          <w:lang w:eastAsia="de-DE"/>
        </w:rPr>
        <w:t xml:space="preserve">zeigt die Auswahl einer der beiden Tauben für das erste Opfer. </w:t>
      </w:r>
      <w:r w:rsidRPr="00195E02">
        <w:rPr>
          <w:rFonts w:eastAsia="Times New Roman" w:cs="Times New Roman"/>
          <w:b/>
          <w:bCs/>
          <w:rtl/>
          <w:lang w:eastAsia="de-DE"/>
        </w:rPr>
        <w:t>מאשר תשיג ידו</w:t>
      </w:r>
      <w:r w:rsidRPr="00195E02">
        <w:rPr>
          <w:rFonts w:eastAsia="Times New Roman" w:cs="Times New Roman"/>
          <w:rtl/>
          <w:lang w:eastAsia="de-DE"/>
        </w:rPr>
        <w:t xml:space="preserve"> </w:t>
      </w:r>
      <w:r w:rsidRPr="00195E02">
        <w:rPr>
          <w:rFonts w:eastAsia="Times New Roman" w:cs="Times New Roman"/>
          <w:lang w:eastAsia="de-DE"/>
        </w:rPr>
        <w:t>betont erneut die Anpassung an finanzielle Möglichkeiten.</w:t>
      </w:r>
    </w:p>
    <w:p w14:paraId="13E197C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ועשה</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οιήσει</w:t>
      </w:r>
      <w:proofErr w:type="spellEnd"/>
      <w:r w:rsidRPr="00195E02">
        <w:rPr>
          <w:rFonts w:eastAsia="Times New Roman" w:cs="Times New Roman"/>
          <w:lang w:eastAsia="de-DE"/>
        </w:rPr>
        <w:t xml:space="preserve"> (er wird machen), </w:t>
      </w:r>
      <w:r w:rsidRPr="00195E02">
        <w:rPr>
          <w:rFonts w:eastAsia="Times New Roman" w:cs="Times New Roman"/>
          <w:b/>
          <w:bCs/>
          <w:rtl/>
          <w:lang w:eastAsia="de-DE"/>
        </w:rPr>
        <w:t>התרים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τρυγόνων</w:t>
      </w:r>
      <w:proofErr w:type="spellEnd"/>
      <w:r w:rsidRPr="00195E02">
        <w:rPr>
          <w:rFonts w:eastAsia="Times New Roman" w:cs="Times New Roman"/>
          <w:lang w:eastAsia="de-DE"/>
        </w:rPr>
        <w:t xml:space="preserve"> (Turteltauben) und </w:t>
      </w:r>
      <w:r w:rsidRPr="00195E02">
        <w:rPr>
          <w:rFonts w:eastAsia="Times New Roman" w:cs="Times New Roman"/>
          <w:b/>
          <w:bCs/>
          <w:rtl/>
          <w:lang w:eastAsia="de-DE"/>
        </w:rPr>
        <w:t>מאשר תשיג ידו</w:t>
      </w:r>
      <w:r w:rsidRPr="00195E02">
        <w:rPr>
          <w:rFonts w:eastAsia="Times New Roman" w:cs="Times New Roman"/>
          <w:rtl/>
          <w:lang w:eastAsia="de-DE"/>
        </w:rPr>
        <w:t xml:space="preserve"> </w:t>
      </w:r>
      <w:r w:rsidRPr="00195E02">
        <w:rPr>
          <w:rFonts w:eastAsia="Times New Roman" w:cs="Times New Roman"/>
          <w:lang w:eastAsia="de-DE"/>
        </w:rPr>
        <w:t xml:space="preserve">mit ἀπὸ </w:t>
      </w:r>
      <w:proofErr w:type="spellStart"/>
      <w:r w:rsidRPr="00195E02">
        <w:rPr>
          <w:rFonts w:eastAsia="Times New Roman" w:cs="Times New Roman"/>
          <w:lang w:eastAsia="de-DE"/>
        </w:rPr>
        <w:t>ὧν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εὗρεν</w:t>
      </w:r>
      <w:proofErr w:type="spellEnd"/>
      <w:r w:rsidRPr="00195E02">
        <w:rPr>
          <w:rFonts w:eastAsia="Times New Roman" w:cs="Times New Roman"/>
          <w:lang w:eastAsia="de-DE"/>
        </w:rPr>
        <w:t xml:space="preserve"> ἡ </w:t>
      </w:r>
      <w:proofErr w:type="spellStart"/>
      <w:r w:rsidRPr="00195E02">
        <w:rPr>
          <w:rFonts w:eastAsia="Times New Roman" w:cs="Times New Roman"/>
          <w:lang w:eastAsia="de-DE"/>
        </w:rPr>
        <w:t>χεὶρ</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(von dem, was seine Hand gefunden hat).</w:t>
      </w:r>
    </w:p>
    <w:p w14:paraId="5089117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Opferbeginn: Auswahl + alternative Vogelarten + Flexibilitätsklausel. Die unvollständige Struktur führt zu V. 31.</w:t>
      </w:r>
    </w:p>
    <w:p w14:paraId="356F464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leitet die Darbringung der Taubenopfer als Ersatz für die beiden anderen Lämmer ein.</w:t>
      </w:r>
    </w:p>
    <w:p w14:paraId="08E852B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14,31</w:t>
      </w:r>
    </w:p>
    <w:p w14:paraId="53BAC59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אֵ֣ת אֲשֶׁר־תַּשִּׂ֞יג יָדֹ֗ו אֶת־הָאֶחָ֥ד חַטָּ֛את וְאֶת־הָאֶחָ֥ד עֹלָ֖ה עַל־הַמִּנְחָ֑ה וְכִפֶּ֧ר הַכֹּהֵ֛ן עַ֥ל הַמִּטַּהֵ֖ר לִפְנֵ֥י יְהוָֽה׃</w:t>
      </w:r>
    </w:p>
    <w:p w14:paraId="3F3A529F" w14:textId="42CBEF8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was seine Hand aufbringt, die eine als Sündopfer und die andere als </w:t>
      </w:r>
      <w:r w:rsidR="00CF10E7">
        <w:rPr>
          <w:rFonts w:eastAsia="Times New Roman" w:cs="Times New Roman"/>
          <w:lang w:eastAsia="de-DE"/>
        </w:rPr>
        <w:t>Aufsteigeopfer</w:t>
      </w:r>
      <w:r w:rsidRPr="00195E02">
        <w:rPr>
          <w:rFonts w:eastAsia="Times New Roman" w:cs="Times New Roman"/>
          <w:lang w:eastAsia="de-DE"/>
        </w:rPr>
        <w:t xml:space="preserve">, samt dem Speisopfer. Und der Priester soll Sühne erwirken für den sich Reinigenden vor dem </w:t>
      </w:r>
      <w:r w:rsidR="004603C6">
        <w:rPr>
          <w:rFonts w:eastAsia="Times New Roman" w:cs="Times New Roman"/>
          <w:lang w:eastAsia="de-DE"/>
        </w:rPr>
        <w:t>Ewigen</w:t>
      </w:r>
      <w:r w:rsidRPr="00195E02">
        <w:rPr>
          <w:rFonts w:eastAsia="Times New Roman" w:cs="Times New Roman"/>
          <w:lang w:eastAsia="de-DE"/>
        </w:rPr>
        <w:t>.</w:t>
      </w:r>
    </w:p>
    <w:p w14:paraId="3B807CC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77B713C">
          <v:rect id="_x0000_i1421" style="width:0;height:1.5pt" o:hralign="center" o:hrstd="t" o:hr="t" fillcolor="#a0a0a0" stroked="f"/>
        </w:pict>
      </w:r>
    </w:p>
    <w:p w14:paraId="4B3F77B1" w14:textId="1D3BC6E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את אשר־תשיג ידו את־האחד חטאת ואת־האחד עלה על־המנחה וכפר הכהן על המטהר לפני יהוה</w:t>
      </w:r>
      <w:r w:rsidRPr="00195E02">
        <w:rPr>
          <w:rFonts w:eastAsia="Times New Roman" w:cs="Times New Roman"/>
          <w:rtl/>
          <w:lang w:eastAsia="de-DE"/>
        </w:rPr>
        <w:t xml:space="preserve"> </w:t>
      </w:r>
      <w:r w:rsidRPr="00195E02">
        <w:rPr>
          <w:rFonts w:eastAsia="Times New Roman" w:cs="Times New Roman"/>
          <w:lang w:eastAsia="de-DE"/>
        </w:rPr>
        <w:t xml:space="preserve">vervollständigt die Armenbestimmungen. </w:t>
      </w:r>
      <w:r w:rsidRPr="00195E02">
        <w:rPr>
          <w:rFonts w:eastAsia="Times New Roman" w:cs="Times New Roman"/>
          <w:b/>
          <w:bCs/>
          <w:rtl/>
          <w:lang w:eastAsia="de-DE"/>
        </w:rPr>
        <w:t>את אשר־תשיג ידו</w:t>
      </w:r>
      <w:r w:rsidRPr="00195E02">
        <w:rPr>
          <w:rFonts w:eastAsia="Times New Roman" w:cs="Times New Roman"/>
          <w:rtl/>
          <w:lang w:eastAsia="de-DE"/>
        </w:rPr>
        <w:t xml:space="preserve"> </w:t>
      </w:r>
      <w:r w:rsidRPr="00195E02">
        <w:rPr>
          <w:rFonts w:eastAsia="Times New Roman" w:cs="Times New Roman"/>
          <w:lang w:eastAsia="de-DE"/>
        </w:rPr>
        <w:t xml:space="preserve">(was seine Hand aufbringt) wiederholt die Flexibilitätsklausel. </w:t>
      </w:r>
      <w:r w:rsidRPr="00195E02">
        <w:rPr>
          <w:rFonts w:eastAsia="Times New Roman" w:cs="Times New Roman"/>
          <w:b/>
          <w:bCs/>
          <w:rtl/>
          <w:lang w:eastAsia="de-DE"/>
        </w:rPr>
        <w:t>את־האחד חטאת ואת־האחד עלה</w:t>
      </w:r>
      <w:r w:rsidRPr="00195E02">
        <w:rPr>
          <w:rFonts w:eastAsia="Times New Roman" w:cs="Times New Roman"/>
          <w:rtl/>
          <w:lang w:eastAsia="de-DE"/>
        </w:rPr>
        <w:t xml:space="preserve"> </w:t>
      </w:r>
      <w:r w:rsidRPr="00195E02">
        <w:rPr>
          <w:rFonts w:eastAsia="Times New Roman" w:cs="Times New Roman"/>
          <w:lang w:eastAsia="de-DE"/>
        </w:rPr>
        <w:t xml:space="preserve">(die eine als Sündopfer und die andere als </w:t>
      </w:r>
      <w:r w:rsidR="00CF10E7">
        <w:rPr>
          <w:rFonts w:eastAsia="Times New Roman" w:cs="Times New Roman"/>
          <w:lang w:eastAsia="de-DE"/>
        </w:rPr>
        <w:t>Aufsteigeopfer</w:t>
      </w:r>
      <w:r w:rsidRPr="00195E02">
        <w:rPr>
          <w:rFonts w:eastAsia="Times New Roman" w:cs="Times New Roman"/>
          <w:lang w:eastAsia="de-DE"/>
        </w:rPr>
        <w:t>) entspricht V. 22.</w:t>
      </w:r>
    </w:p>
    <w:p w14:paraId="5CDFB13E" w14:textId="46C0E59E"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על־המנחה</w:t>
      </w:r>
      <w:r w:rsidRPr="00195E02">
        <w:rPr>
          <w:rFonts w:eastAsia="Times New Roman" w:cs="Times New Roman"/>
          <w:rtl/>
          <w:lang w:eastAsia="de-DE"/>
        </w:rPr>
        <w:t xml:space="preserve"> </w:t>
      </w:r>
      <w:r w:rsidRPr="00195E02">
        <w:rPr>
          <w:rFonts w:eastAsia="Times New Roman" w:cs="Times New Roman"/>
          <w:lang w:eastAsia="de-DE"/>
        </w:rPr>
        <w:t xml:space="preserve">(samt dem Speisopfer) bezieht sich auf das reduzierte Speisopfer aus V. 21. </w:t>
      </w:r>
      <w:r w:rsidRPr="00195E02">
        <w:rPr>
          <w:rFonts w:eastAsia="Times New Roman" w:cs="Times New Roman"/>
          <w:b/>
          <w:bCs/>
          <w:rtl/>
          <w:lang w:eastAsia="de-DE"/>
        </w:rPr>
        <w:t>וכפר הכהן על המטהר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Sühne erwirken für den sich Reinigenden vor dem </w:t>
      </w:r>
      <w:r w:rsidR="004603C6">
        <w:rPr>
          <w:rFonts w:eastAsia="Times New Roman" w:cs="Times New Roman"/>
          <w:lang w:eastAsia="de-DE"/>
        </w:rPr>
        <w:t>Ewigen</w:t>
      </w:r>
      <w:r w:rsidRPr="00195E02">
        <w:rPr>
          <w:rFonts w:eastAsia="Times New Roman" w:cs="Times New Roman"/>
          <w:lang w:eastAsia="de-DE"/>
        </w:rPr>
        <w:t>) entspricht V. 18-20.</w:t>
      </w:r>
    </w:p>
    <w:p w14:paraId="0C9F7F9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את־האחד חטאת ואת־האחד עלה</w:t>
      </w:r>
      <w:r w:rsidRPr="00195E02">
        <w:rPr>
          <w:rFonts w:eastAsia="Times New Roman" w:cs="Times New Roman"/>
          <w:rtl/>
          <w:lang w:eastAsia="de-DE"/>
        </w:rPr>
        <w:t xml:space="preserve"> </w:t>
      </w:r>
      <w:r w:rsidRPr="00195E02">
        <w:rPr>
          <w:rFonts w:eastAsia="Times New Roman" w:cs="Times New Roman"/>
          <w:lang w:eastAsia="de-DE"/>
        </w:rPr>
        <w:t xml:space="preserve">zeigt die Funktionsaufteilung der beiden Tauben. </w:t>
      </w:r>
      <w:r w:rsidRPr="00195E02">
        <w:rPr>
          <w:rFonts w:eastAsia="Times New Roman" w:cs="Times New Roman"/>
          <w:b/>
          <w:bCs/>
          <w:rtl/>
          <w:lang w:eastAsia="de-DE"/>
        </w:rPr>
        <w:t>על־המנחה</w:t>
      </w:r>
      <w:r w:rsidRPr="00195E02">
        <w:rPr>
          <w:rFonts w:eastAsia="Times New Roman" w:cs="Times New Roman"/>
          <w:rtl/>
          <w:lang w:eastAsia="de-DE"/>
        </w:rPr>
        <w:t xml:space="preserve"> </w:t>
      </w:r>
      <w:r w:rsidRPr="00195E02">
        <w:rPr>
          <w:rFonts w:eastAsia="Times New Roman" w:cs="Times New Roman"/>
          <w:lang w:eastAsia="de-DE"/>
        </w:rPr>
        <w:t xml:space="preserve">zeigt Kombination mit dem Speisopfer wie in V. 20. </w:t>
      </w:r>
      <w:r w:rsidRPr="00195E02">
        <w:rPr>
          <w:rFonts w:eastAsia="Times New Roman" w:cs="Times New Roman"/>
          <w:b/>
          <w:bCs/>
          <w:rtl/>
          <w:lang w:eastAsia="de-DE"/>
        </w:rPr>
        <w:t>וכפר הכהן</w:t>
      </w:r>
      <w:r w:rsidRPr="00195E02">
        <w:rPr>
          <w:rFonts w:eastAsia="Times New Roman" w:cs="Times New Roman"/>
          <w:rtl/>
          <w:lang w:eastAsia="de-DE"/>
        </w:rPr>
        <w:t xml:space="preserve"> </w:t>
      </w:r>
      <w:r w:rsidRPr="00195E02">
        <w:rPr>
          <w:rFonts w:eastAsia="Times New Roman" w:cs="Times New Roman"/>
          <w:lang w:eastAsia="de-DE"/>
        </w:rPr>
        <w:t>zeigt dieselbe Sühnewirkung trotz reduzierter Opfergaben.</w:t>
      </w:r>
    </w:p>
    <w:p w14:paraId="5DEEF5E2" w14:textId="73BC40C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חטאת</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(wegen der Sünde), </w:t>
      </w:r>
      <w:r w:rsidRPr="00195E02">
        <w:rPr>
          <w:rFonts w:eastAsia="Times New Roman" w:cs="Times New Roman"/>
          <w:b/>
          <w:bCs/>
          <w:rtl/>
          <w:lang w:eastAsia="de-DE"/>
        </w:rPr>
        <w:t>עלה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ὁλοκ</w:t>
      </w:r>
      <w:proofErr w:type="spellEnd"/>
      <w:r w:rsidRPr="00195E02">
        <w:rPr>
          <w:rFonts w:eastAsia="Times New Roman" w:cs="Times New Roman"/>
          <w:lang w:eastAsia="de-DE"/>
        </w:rPr>
        <w:t>αύτωμα (</w:t>
      </w:r>
      <w:r w:rsidR="00CF10E7">
        <w:rPr>
          <w:rFonts w:eastAsia="Times New Roman" w:cs="Times New Roman"/>
          <w:lang w:eastAsia="de-DE"/>
        </w:rPr>
        <w:t>Aufsteigeopfer</w:t>
      </w:r>
      <w:r w:rsidRPr="00195E02">
        <w:rPr>
          <w:rFonts w:eastAsia="Times New Roman" w:cs="Times New Roman"/>
          <w:lang w:eastAsia="de-DE"/>
        </w:rPr>
        <w:t xml:space="preserve">) und </w:t>
      </w:r>
      <w:r w:rsidRPr="00195E02">
        <w:rPr>
          <w:rFonts w:eastAsia="Times New Roman" w:cs="Times New Roman"/>
          <w:b/>
          <w:bCs/>
          <w:rtl/>
          <w:lang w:eastAsia="de-DE"/>
        </w:rPr>
        <w:t>וכפר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ἐξιλάσετ</w:t>
      </w:r>
      <w:proofErr w:type="spellEnd"/>
      <w:r w:rsidRPr="00195E02">
        <w:rPr>
          <w:rFonts w:eastAsia="Times New Roman" w:cs="Times New Roman"/>
          <w:lang w:eastAsia="de-DE"/>
        </w:rPr>
        <w:t>αι (er wird entsühnen).</w:t>
      </w:r>
    </w:p>
    <w:p w14:paraId="335BCF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Opferabschluss: Flexibilitätswiederholung + Opferaufteilung + Speisopferkombination + Sühneerklärung vor JHWH. Die Struktur zeigt funktionale Gleichwertigkeit trotz materieller Reduktion.</w:t>
      </w:r>
    </w:p>
    <w:p w14:paraId="6425A0F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schließt die Armenbestimmungen mit derselben Sühnewirkung wie das Standardverfahren ab.</w:t>
      </w:r>
    </w:p>
    <w:p w14:paraId="129C1EB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14,32</w:t>
      </w:r>
    </w:p>
    <w:p w14:paraId="0A53DC5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זֹ֣את תּוֹרַ֔ת אֲשֶׁר־בּוֹ֖ נֶ֣גַע צָרָ֑עַת אֲשֶׁ֛ר לֹֽא־תַשִּׂ֥יג יָדֹ֖ו בְּטָהֳרָתוֹ׃</w:t>
      </w:r>
    </w:p>
    <w:p w14:paraId="4E3847A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Das ist die Torah dessen, an dem das Aussatzmal ist, dessen Hand nichts aufbringt bei seiner Reinigung.</w:t>
      </w:r>
    </w:p>
    <w:p w14:paraId="6022846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5B3E588">
          <v:rect id="_x0000_i1422" style="width:0;height:1.5pt" o:hralign="center" o:hrstd="t" o:hr="t" fillcolor="#a0a0a0" stroked="f"/>
        </w:pict>
      </w:r>
    </w:p>
    <w:p w14:paraId="273F158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זאת תורת אשר־בו נגע צרעת אשר לא־תשיג ידו בטהרתו</w:t>
      </w:r>
      <w:r w:rsidRPr="00195E02">
        <w:rPr>
          <w:rFonts w:eastAsia="Times New Roman" w:cs="Times New Roman"/>
          <w:rtl/>
          <w:lang w:eastAsia="de-DE"/>
        </w:rPr>
        <w:t xml:space="preserve"> </w:t>
      </w:r>
      <w:r w:rsidRPr="00195E02">
        <w:rPr>
          <w:rFonts w:eastAsia="Times New Roman" w:cs="Times New Roman"/>
          <w:lang w:eastAsia="de-DE"/>
        </w:rPr>
        <w:t xml:space="preserve">ist die abschließende </w:t>
      </w:r>
      <w:r w:rsidRPr="00195E02">
        <w:rPr>
          <w:rFonts w:eastAsia="Times New Roman" w:cs="Times New Roman"/>
          <w:b/>
          <w:bCs/>
          <w:rtl/>
          <w:lang w:eastAsia="de-DE"/>
        </w:rPr>
        <w:t>תורת</w:t>
      </w:r>
      <w:r w:rsidRPr="00195E02">
        <w:rPr>
          <w:rFonts w:eastAsia="Times New Roman" w:cs="Times New Roman"/>
          <w:lang w:eastAsia="de-DE"/>
        </w:rPr>
        <w:t xml:space="preserve">-Formel für die Armenbestimmungen. </w:t>
      </w:r>
      <w:r w:rsidRPr="00195E02">
        <w:rPr>
          <w:rFonts w:eastAsia="Times New Roman" w:cs="Times New Roman"/>
          <w:b/>
          <w:bCs/>
          <w:rtl/>
          <w:lang w:eastAsia="de-DE"/>
        </w:rPr>
        <w:t>זאת תורת</w:t>
      </w:r>
      <w:r w:rsidRPr="00195E02">
        <w:rPr>
          <w:rFonts w:eastAsia="Times New Roman" w:cs="Times New Roman"/>
          <w:rtl/>
          <w:lang w:eastAsia="de-DE"/>
        </w:rPr>
        <w:t xml:space="preserve"> </w:t>
      </w:r>
      <w:r w:rsidRPr="00195E02">
        <w:rPr>
          <w:rFonts w:eastAsia="Times New Roman" w:cs="Times New Roman"/>
          <w:lang w:eastAsia="de-DE"/>
        </w:rPr>
        <w:t xml:space="preserve">(das ist die Torah) entspricht den anderen </w:t>
      </w:r>
      <w:r w:rsidRPr="00195E02">
        <w:rPr>
          <w:rFonts w:eastAsia="Times New Roman" w:cs="Times New Roman"/>
          <w:b/>
          <w:bCs/>
          <w:rtl/>
          <w:lang w:eastAsia="de-DE"/>
        </w:rPr>
        <w:t>תורת</w:t>
      </w:r>
      <w:r w:rsidRPr="00195E02">
        <w:rPr>
          <w:rFonts w:eastAsia="Times New Roman" w:cs="Times New Roman"/>
          <w:lang w:eastAsia="de-DE"/>
        </w:rPr>
        <w:t xml:space="preserve">-Formeln. </w:t>
      </w:r>
      <w:r w:rsidRPr="00195E02">
        <w:rPr>
          <w:rFonts w:eastAsia="Times New Roman" w:cs="Times New Roman"/>
          <w:b/>
          <w:bCs/>
          <w:rtl/>
          <w:lang w:eastAsia="de-DE"/>
        </w:rPr>
        <w:t>אשר־בו נגע צרעת</w:t>
      </w:r>
      <w:r w:rsidRPr="00195E02">
        <w:rPr>
          <w:rFonts w:eastAsia="Times New Roman" w:cs="Times New Roman"/>
          <w:rtl/>
          <w:lang w:eastAsia="de-DE"/>
        </w:rPr>
        <w:t xml:space="preserve"> </w:t>
      </w:r>
      <w:r w:rsidRPr="00195E02">
        <w:rPr>
          <w:rFonts w:eastAsia="Times New Roman" w:cs="Times New Roman"/>
          <w:lang w:eastAsia="de-DE"/>
        </w:rPr>
        <w:t xml:space="preserve">(dessen, an dem das Aussatzmal ist) entspricht </w:t>
      </w:r>
      <w:r w:rsidRPr="00195E02">
        <w:rPr>
          <w:rFonts w:eastAsia="Times New Roman" w:cs="Times New Roman"/>
          <w:b/>
          <w:bCs/>
          <w:rtl/>
          <w:lang w:eastAsia="de-DE"/>
        </w:rPr>
        <w:t>המצרע</w:t>
      </w:r>
      <w:r w:rsidRPr="00195E02">
        <w:rPr>
          <w:rFonts w:eastAsia="Times New Roman" w:cs="Times New Roman"/>
          <w:rtl/>
          <w:lang w:eastAsia="de-DE"/>
        </w:rPr>
        <w:t xml:space="preserve"> </w:t>
      </w:r>
      <w:r w:rsidRPr="00195E02">
        <w:rPr>
          <w:rFonts w:eastAsia="Times New Roman" w:cs="Times New Roman"/>
          <w:lang w:eastAsia="de-DE"/>
        </w:rPr>
        <w:t>aber in relativischer Konstruktion.</w:t>
      </w:r>
    </w:p>
    <w:p w14:paraId="3A28A96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אשר לא־תשיג ידו בטהרתו</w:t>
      </w:r>
      <w:r w:rsidRPr="00195E02">
        <w:rPr>
          <w:rFonts w:eastAsia="Times New Roman" w:cs="Times New Roman"/>
          <w:rtl/>
          <w:lang w:eastAsia="de-DE"/>
        </w:rPr>
        <w:t xml:space="preserve"> </w:t>
      </w:r>
      <w:r w:rsidRPr="00195E02">
        <w:rPr>
          <w:rFonts w:eastAsia="Times New Roman" w:cs="Times New Roman"/>
          <w:lang w:eastAsia="de-DE"/>
        </w:rPr>
        <w:t xml:space="preserve">(dessen Hand nichts aufbringt bei seiner Reinigung) - </w:t>
      </w:r>
      <w:r w:rsidRPr="00195E02">
        <w:rPr>
          <w:rFonts w:eastAsia="Times New Roman" w:cs="Times New Roman"/>
          <w:b/>
          <w:bCs/>
          <w:rtl/>
          <w:lang w:eastAsia="de-DE"/>
        </w:rPr>
        <w:t>לא־תשיג ידו</w:t>
      </w:r>
      <w:r w:rsidRPr="00195E02">
        <w:rPr>
          <w:rFonts w:eastAsia="Times New Roman" w:cs="Times New Roman"/>
          <w:rtl/>
          <w:lang w:eastAsia="de-DE"/>
        </w:rPr>
        <w:t xml:space="preserve"> </w:t>
      </w:r>
      <w:r w:rsidRPr="00195E02">
        <w:rPr>
          <w:rFonts w:eastAsia="Times New Roman" w:cs="Times New Roman"/>
          <w:lang w:eastAsia="de-DE"/>
        </w:rPr>
        <w:t xml:space="preserve">(seine Hand bringt nicht auf) entspricht der Armutsklausel, </w:t>
      </w:r>
      <w:r w:rsidRPr="00195E02">
        <w:rPr>
          <w:rFonts w:eastAsia="Times New Roman" w:cs="Times New Roman"/>
          <w:b/>
          <w:bCs/>
          <w:rtl/>
          <w:lang w:eastAsia="de-DE"/>
        </w:rPr>
        <w:t>בטהרתו</w:t>
      </w:r>
      <w:r w:rsidRPr="00195E02">
        <w:rPr>
          <w:rFonts w:eastAsia="Times New Roman" w:cs="Times New Roman"/>
          <w:rtl/>
          <w:lang w:eastAsia="de-DE"/>
        </w:rPr>
        <w:t xml:space="preserve"> </w:t>
      </w:r>
      <w:r w:rsidRPr="00195E02">
        <w:rPr>
          <w:rFonts w:eastAsia="Times New Roman" w:cs="Times New Roman"/>
          <w:lang w:eastAsia="de-DE"/>
        </w:rPr>
        <w:t>(bei seiner Reinigung) spezifiziert den Kontext.</w:t>
      </w:r>
    </w:p>
    <w:p w14:paraId="44F8202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זאת תורת</w:t>
      </w:r>
      <w:r w:rsidRPr="00195E02">
        <w:rPr>
          <w:rFonts w:eastAsia="Times New Roman" w:cs="Times New Roman"/>
          <w:rtl/>
          <w:lang w:eastAsia="de-DE"/>
        </w:rPr>
        <w:t xml:space="preserve"> </w:t>
      </w:r>
      <w:r w:rsidRPr="00195E02">
        <w:rPr>
          <w:rFonts w:eastAsia="Times New Roman" w:cs="Times New Roman"/>
          <w:lang w:eastAsia="de-DE"/>
        </w:rPr>
        <w:t xml:space="preserve">zeigt separate </w:t>
      </w:r>
      <w:r w:rsidRPr="00195E02">
        <w:rPr>
          <w:rFonts w:eastAsia="Times New Roman" w:cs="Times New Roman"/>
          <w:b/>
          <w:bCs/>
          <w:rtl/>
          <w:lang w:eastAsia="de-DE"/>
        </w:rPr>
        <w:t>תורת</w:t>
      </w:r>
      <w:r w:rsidRPr="00195E02">
        <w:rPr>
          <w:rFonts w:eastAsia="Times New Roman" w:cs="Times New Roman"/>
          <w:rtl/>
          <w:lang w:eastAsia="de-DE"/>
        </w:rPr>
        <w:t xml:space="preserve"> </w:t>
      </w:r>
      <w:r w:rsidRPr="00195E02">
        <w:rPr>
          <w:rFonts w:eastAsia="Times New Roman" w:cs="Times New Roman"/>
          <w:lang w:eastAsia="de-DE"/>
        </w:rPr>
        <w:t xml:space="preserve">für Armenbestimmungen. </w:t>
      </w:r>
      <w:r w:rsidRPr="00195E02">
        <w:rPr>
          <w:rFonts w:eastAsia="Times New Roman" w:cs="Times New Roman"/>
          <w:b/>
          <w:bCs/>
          <w:rtl/>
          <w:lang w:eastAsia="de-DE"/>
        </w:rPr>
        <w:t>אשר לא־תשיג ידו</w:t>
      </w:r>
      <w:r w:rsidRPr="00195E02">
        <w:rPr>
          <w:rFonts w:eastAsia="Times New Roman" w:cs="Times New Roman"/>
          <w:rtl/>
          <w:lang w:eastAsia="de-DE"/>
        </w:rPr>
        <w:t xml:space="preserve"> </w:t>
      </w:r>
      <w:r w:rsidRPr="00195E02">
        <w:rPr>
          <w:rFonts w:eastAsia="Times New Roman" w:cs="Times New Roman"/>
          <w:lang w:eastAsia="de-DE"/>
        </w:rPr>
        <w:t xml:space="preserve">definiert die Zielgruppe durch finanzielle Unfähigkeit. </w:t>
      </w:r>
      <w:r w:rsidRPr="00195E02">
        <w:rPr>
          <w:rFonts w:eastAsia="Times New Roman" w:cs="Times New Roman"/>
          <w:b/>
          <w:bCs/>
          <w:rtl/>
          <w:lang w:eastAsia="de-DE"/>
        </w:rPr>
        <w:t>בטהרתו</w:t>
      </w:r>
      <w:r w:rsidRPr="00195E02">
        <w:rPr>
          <w:rFonts w:eastAsia="Times New Roman" w:cs="Times New Roman"/>
          <w:rtl/>
          <w:lang w:eastAsia="de-DE"/>
        </w:rPr>
        <w:t xml:space="preserve"> </w:t>
      </w:r>
      <w:r w:rsidRPr="00195E02">
        <w:rPr>
          <w:rFonts w:eastAsia="Times New Roman" w:cs="Times New Roman"/>
          <w:lang w:eastAsia="de-DE"/>
        </w:rPr>
        <w:t>betont, dass trotz Armut dieselbe Reinigungswirkung erreicht wird.</w:t>
      </w:r>
    </w:p>
    <w:p w14:paraId="7DF6271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תורת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νόμος</w:t>
      </w:r>
      <w:proofErr w:type="spellEnd"/>
      <w:r w:rsidRPr="00195E02">
        <w:rPr>
          <w:rFonts w:eastAsia="Times New Roman" w:cs="Times New Roman"/>
          <w:lang w:eastAsia="de-DE"/>
        </w:rPr>
        <w:t xml:space="preserve"> (Gesetz), </w:t>
      </w:r>
      <w:r w:rsidRPr="00195E02">
        <w:rPr>
          <w:rFonts w:eastAsia="Times New Roman" w:cs="Times New Roman"/>
          <w:b/>
          <w:bCs/>
          <w:rtl/>
          <w:lang w:eastAsia="de-DE"/>
        </w:rPr>
        <w:t>נגע צרעת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ἁφὴ</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λέ</w:t>
      </w:r>
      <w:proofErr w:type="spellEnd"/>
      <w:r w:rsidRPr="00195E02">
        <w:rPr>
          <w:rFonts w:eastAsia="Times New Roman" w:cs="Times New Roman"/>
          <w:lang w:eastAsia="de-DE"/>
        </w:rPr>
        <w:t xml:space="preserve">πρας (Mal der Lepra) und </w:t>
      </w:r>
      <w:r w:rsidRPr="00195E02">
        <w:rPr>
          <w:rFonts w:eastAsia="Times New Roman" w:cs="Times New Roman"/>
          <w:b/>
          <w:bCs/>
          <w:rtl/>
          <w:lang w:eastAsia="de-DE"/>
        </w:rPr>
        <w:t>לא־תשיג ידו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οὐχ</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εὑρίσκει</w:t>
      </w:r>
      <w:proofErr w:type="spellEnd"/>
      <w:r w:rsidRPr="00195E02">
        <w:rPr>
          <w:rFonts w:eastAsia="Times New Roman" w:cs="Times New Roman"/>
          <w:lang w:eastAsia="de-DE"/>
        </w:rPr>
        <w:t xml:space="preserve"> ἡ </w:t>
      </w:r>
      <w:proofErr w:type="spellStart"/>
      <w:r w:rsidRPr="00195E02">
        <w:rPr>
          <w:rFonts w:eastAsia="Times New Roman" w:cs="Times New Roman"/>
          <w:lang w:eastAsia="de-DE"/>
        </w:rPr>
        <w:t>χεὶρ</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(seine Hand findet nicht).</w:t>
      </w:r>
    </w:p>
    <w:p w14:paraId="6745D28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Armenrecht-Zusammenfassung: </w:t>
      </w:r>
      <w:r w:rsidRPr="00195E02">
        <w:rPr>
          <w:rFonts w:eastAsia="Times New Roman" w:cs="Times New Roman"/>
          <w:b/>
          <w:bCs/>
          <w:rtl/>
          <w:lang w:eastAsia="de-DE"/>
        </w:rPr>
        <w:t>תורת</w:t>
      </w:r>
      <w:r w:rsidRPr="00195E02">
        <w:rPr>
          <w:rFonts w:eastAsia="Times New Roman" w:cs="Times New Roman"/>
          <w:lang w:eastAsia="de-DE"/>
        </w:rPr>
        <w:t>-Formel + Personenspezifikation + Armutsdefinition + Reinigungskontext. Die Struktur etabliert separate aber gleichwertige Rechtsordnung.</w:t>
      </w:r>
    </w:p>
    <w:p w14:paraId="7CA9672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schließt die Armenbestimmungen als eigenständige </w:t>
      </w:r>
      <w:r w:rsidRPr="00195E02">
        <w:rPr>
          <w:rFonts w:eastAsia="Times New Roman" w:cs="Times New Roman"/>
          <w:b/>
          <w:bCs/>
          <w:rtl/>
          <w:lang w:eastAsia="de-DE"/>
        </w:rPr>
        <w:t>תורת</w:t>
      </w:r>
      <w:r w:rsidRPr="00195E02">
        <w:rPr>
          <w:rFonts w:eastAsia="Times New Roman" w:cs="Times New Roman"/>
          <w:rtl/>
          <w:lang w:eastAsia="de-DE"/>
        </w:rPr>
        <w:t xml:space="preserve"> </w:t>
      </w:r>
      <w:r w:rsidRPr="00195E02">
        <w:rPr>
          <w:rFonts w:eastAsia="Times New Roman" w:cs="Times New Roman"/>
          <w:lang w:eastAsia="de-DE"/>
        </w:rPr>
        <w:t>ab und betont die gleichwertige Reinigungswirkung trotz reduzierter Mittel.</w:t>
      </w:r>
    </w:p>
    <w:p w14:paraId="09E7C15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14,33</w:t>
      </w:r>
    </w:p>
    <w:p w14:paraId="1AF06BC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וַיְדַבֵּ֣ר יְהוָ֔ה אֶל־מֹשֶׁ֥ה וְאֶֽל־אַהֲרֹ֖ן לֵאמֹֽר׃</w:t>
      </w:r>
    </w:p>
    <w:p w14:paraId="1463E7AC" w14:textId="5403653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w:t>
      </w:r>
      <w:r w:rsidR="004603C6">
        <w:rPr>
          <w:rFonts w:eastAsia="Times New Roman" w:cs="Times New Roman"/>
          <w:lang w:eastAsia="de-DE"/>
        </w:rPr>
        <w:t>Ewige</w:t>
      </w:r>
      <w:r w:rsidRPr="00195E02">
        <w:rPr>
          <w:rFonts w:eastAsia="Times New Roman" w:cs="Times New Roman"/>
          <w:lang w:eastAsia="de-DE"/>
        </w:rPr>
        <w:t xml:space="preserve"> redete zu Mose und zu Aaron, sagend:</w:t>
      </w:r>
    </w:p>
    <w:p w14:paraId="57BB694E"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1799156">
          <v:rect id="_x0000_i1423" style="width:0;height:1.5pt" o:hralign="center" o:hrstd="t" o:hr="t" fillcolor="#a0a0a0" stroked="f"/>
        </w:pict>
      </w:r>
    </w:p>
    <w:p w14:paraId="4BC3BB8A" w14:textId="5EF228B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וידבר יהוה אל־משה ואל־אהרן לאמר</w:t>
      </w:r>
      <w:r w:rsidRPr="00195E02">
        <w:rPr>
          <w:rFonts w:eastAsia="Times New Roman" w:cs="Times New Roman"/>
          <w:rtl/>
          <w:lang w:eastAsia="de-DE"/>
        </w:rPr>
        <w:t xml:space="preserve"> </w:t>
      </w:r>
      <w:r w:rsidRPr="00195E02">
        <w:rPr>
          <w:rFonts w:eastAsia="Times New Roman" w:cs="Times New Roman"/>
          <w:lang w:eastAsia="de-DE"/>
        </w:rPr>
        <w:t>leitet einen neuen Abschnitt über 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ein. </w:t>
      </w:r>
      <w:r w:rsidRPr="00195E02">
        <w:rPr>
          <w:rFonts w:eastAsia="Times New Roman" w:cs="Times New Roman"/>
          <w:b/>
          <w:bCs/>
          <w:rtl/>
          <w:lang w:eastAsia="de-DE"/>
        </w:rPr>
        <w:t>וידבר יהוה</w:t>
      </w:r>
      <w:r w:rsidRPr="00195E02">
        <w:rPr>
          <w:rFonts w:eastAsia="Times New Roman" w:cs="Times New Roman"/>
          <w:rtl/>
          <w:lang w:eastAsia="de-DE"/>
        </w:rPr>
        <w:t xml:space="preserve"> </w:t>
      </w:r>
      <w:r w:rsidRPr="00195E02">
        <w:rPr>
          <w:rFonts w:eastAsia="Times New Roman" w:cs="Times New Roman"/>
          <w:lang w:eastAsia="de-DE"/>
        </w:rPr>
        <w:t xml:space="preserve">(und der </w:t>
      </w:r>
      <w:r w:rsidR="004603C6">
        <w:rPr>
          <w:rFonts w:eastAsia="Times New Roman" w:cs="Times New Roman"/>
          <w:lang w:eastAsia="de-DE"/>
        </w:rPr>
        <w:t>Ewige</w:t>
      </w:r>
      <w:r w:rsidRPr="00195E02">
        <w:rPr>
          <w:rFonts w:eastAsia="Times New Roman" w:cs="Times New Roman"/>
          <w:lang w:eastAsia="de-DE"/>
        </w:rPr>
        <w:t xml:space="preserve"> redete) entspricht V. 1. </w:t>
      </w:r>
      <w:r w:rsidRPr="00195E02">
        <w:rPr>
          <w:rFonts w:eastAsia="Times New Roman" w:cs="Times New Roman"/>
          <w:b/>
          <w:bCs/>
          <w:rtl/>
          <w:lang w:eastAsia="de-DE"/>
        </w:rPr>
        <w:t>אל־משה ואל־אהרן</w:t>
      </w:r>
      <w:r w:rsidRPr="00195E02">
        <w:rPr>
          <w:rFonts w:eastAsia="Times New Roman" w:cs="Times New Roman"/>
          <w:rtl/>
          <w:lang w:eastAsia="de-DE"/>
        </w:rPr>
        <w:t xml:space="preserve"> </w:t>
      </w:r>
      <w:r w:rsidRPr="00195E02">
        <w:rPr>
          <w:rFonts w:eastAsia="Times New Roman" w:cs="Times New Roman"/>
          <w:lang w:eastAsia="de-DE"/>
        </w:rPr>
        <w:t>(zu Mose und zu Aaron) erweitert die Empfänger um Aaron im Unterschied zu V. 1, wo nur Mose genannt war.</w:t>
      </w:r>
    </w:p>
    <w:p w14:paraId="2EFE6DA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לאמר</w:t>
      </w:r>
      <w:r w:rsidRPr="00195E02">
        <w:rPr>
          <w:rFonts w:eastAsia="Times New Roman" w:cs="Times New Roman"/>
          <w:rtl/>
          <w:lang w:eastAsia="de-DE"/>
        </w:rPr>
        <w:t xml:space="preserve"> </w:t>
      </w:r>
      <w:r w:rsidRPr="00195E02">
        <w:rPr>
          <w:rFonts w:eastAsia="Times New Roman" w:cs="Times New Roman"/>
          <w:lang w:eastAsia="de-DE"/>
        </w:rPr>
        <w:t>(sagend) entspricht V. 1. Die Einbeziehung Aarons zeigt möglicherweise die besondere Relevanz der folgenden Bestimmungen für die priesterliche Praxis.</w:t>
      </w:r>
    </w:p>
    <w:p w14:paraId="71C2902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 mit </w:t>
      </w:r>
      <w:r w:rsidRPr="00195E02">
        <w:rPr>
          <w:rFonts w:eastAsia="Times New Roman" w:cs="Times New Roman"/>
          <w:b/>
          <w:bCs/>
          <w:lang w:eastAsia="de-DE"/>
        </w:rPr>
        <w:t xml:space="preserve">καὶ </w:t>
      </w:r>
      <w:proofErr w:type="spellStart"/>
      <w:r w:rsidRPr="00195E02">
        <w:rPr>
          <w:rFonts w:eastAsia="Times New Roman" w:cs="Times New Roman"/>
          <w:b/>
          <w:bCs/>
          <w:lang w:eastAsia="de-DE"/>
        </w:rPr>
        <w:t>ἐλάλησεν</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κύριος</w:t>
      </w:r>
      <w:proofErr w:type="spellEnd"/>
      <w:r w:rsidRPr="00195E02">
        <w:rPr>
          <w:rFonts w:eastAsia="Times New Roman" w:cs="Times New Roman"/>
          <w:b/>
          <w:bCs/>
          <w:lang w:eastAsia="de-DE"/>
        </w:rPr>
        <w:t xml:space="preserve"> π</w:t>
      </w:r>
      <w:proofErr w:type="spellStart"/>
      <w:r w:rsidRPr="00195E02">
        <w:rPr>
          <w:rFonts w:eastAsia="Times New Roman" w:cs="Times New Roman"/>
          <w:b/>
          <w:bCs/>
          <w:lang w:eastAsia="de-DE"/>
        </w:rPr>
        <w:t>ρὸς</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Μωυσῆν</w:t>
      </w:r>
      <w:proofErr w:type="spellEnd"/>
      <w:r w:rsidRPr="00195E02">
        <w:rPr>
          <w:rFonts w:eastAsia="Times New Roman" w:cs="Times New Roman"/>
          <w:b/>
          <w:bCs/>
          <w:lang w:eastAsia="de-DE"/>
        </w:rPr>
        <w:t xml:space="preserve"> καὶ Ἀα</w:t>
      </w:r>
      <w:proofErr w:type="spellStart"/>
      <w:r w:rsidRPr="00195E02">
        <w:rPr>
          <w:rFonts w:eastAsia="Times New Roman" w:cs="Times New Roman"/>
          <w:b/>
          <w:bCs/>
          <w:lang w:eastAsia="de-DE"/>
        </w:rPr>
        <w:t>ρὼν</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λέγων</w:t>
      </w:r>
      <w:proofErr w:type="spellEnd"/>
      <w:r w:rsidRPr="00195E02">
        <w:rPr>
          <w:rFonts w:eastAsia="Times New Roman" w:cs="Times New Roman"/>
          <w:lang w:eastAsia="de-DE"/>
        </w:rPr>
        <w:t xml:space="preserve"> (und der Herr sprach zu Mose und Aaron, sagend).</w:t>
      </w:r>
    </w:p>
    <w:p w14:paraId="502180E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V. 1 mit Erweiterung um Aaron: göttlicher Sprecher + zwei Empfänger + Redeankündigung. Die Struktur zeigt neue Offenbarungseinheit mit erweitertem Empfängerkreis.</w:t>
      </w:r>
    </w:p>
    <w:p w14:paraId="305C3D6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leitet die Häuser-</w:t>
      </w:r>
      <w:r w:rsidRPr="00195E02">
        <w:rPr>
          <w:rFonts w:eastAsia="Times New Roman" w:cs="Times New Roman"/>
          <w:b/>
          <w:bCs/>
          <w:rtl/>
          <w:lang w:eastAsia="de-DE"/>
        </w:rPr>
        <w:t>צרעת</w:t>
      </w:r>
      <w:r w:rsidRPr="00195E02">
        <w:rPr>
          <w:rFonts w:eastAsia="Times New Roman" w:cs="Times New Roman"/>
          <w:lang w:eastAsia="de-DE"/>
        </w:rPr>
        <w:t>-Bestimmungen als neue Offenbarung an Mose und Aaron ein.</w:t>
      </w:r>
    </w:p>
    <w:p w14:paraId="5DAC2D1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lastRenderedPageBreak/>
        <w:t>Leviticus 14,34</w:t>
      </w:r>
    </w:p>
    <w:p w14:paraId="314AF70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כִּ֤י תָבֹ֨אוּ֙ אֶל־אֶ֣רֶץ כְּנַ֔עַן אֲשֶׁ֥ר אֲנִ֛י נֹתֵ֥ן לָכֶ֖ם לַאֲחֻזָּ֑ה וְנָתַתִּי֙ נֶ֣גַע צָרַ֔עַת בְּבֵ֖ית אֶ֥רֶץ אֲחֻזַּתְכֶֽם׃</w:t>
      </w:r>
    </w:p>
    <w:p w14:paraId="23F3339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Wenn ihr kommt in das Land Kanaan, das ich euch zum Besitztum gebe, und ich gebe einen Aussatzfleck an ein Haus im Land eures Besitztums,</w:t>
      </w:r>
    </w:p>
    <w:p w14:paraId="440FDBB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FC95E8A">
          <v:rect id="_x0000_i1424" style="width:0;height:1.5pt" o:hralign="center" o:hrstd="t" o:hr="t" fillcolor="#a0a0a0" stroked="f"/>
        </w:pict>
      </w:r>
    </w:p>
    <w:p w14:paraId="2F6DA30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כי תבאו אל־ארץ כנען אשר אני נתן לכם לאחזה ונתתי נגע צרעת בבית ארץ אחזתכם</w:t>
      </w:r>
      <w:r w:rsidRPr="00195E02">
        <w:rPr>
          <w:rFonts w:eastAsia="Times New Roman" w:cs="Times New Roman"/>
          <w:rtl/>
          <w:lang w:eastAsia="de-DE"/>
        </w:rPr>
        <w:t xml:space="preserve"> </w:t>
      </w:r>
      <w:r w:rsidRPr="00195E02">
        <w:rPr>
          <w:rFonts w:eastAsia="Times New Roman" w:cs="Times New Roman"/>
          <w:lang w:eastAsia="de-DE"/>
        </w:rPr>
        <w:t xml:space="preserve">zeigt die Zukunftsorientierung und göttliche Verursachung. </w:t>
      </w:r>
      <w:r w:rsidRPr="00195E02">
        <w:rPr>
          <w:rFonts w:eastAsia="Times New Roman" w:cs="Times New Roman"/>
          <w:b/>
          <w:bCs/>
          <w:rtl/>
          <w:lang w:eastAsia="de-DE"/>
        </w:rPr>
        <w:t>כי תבאו אל־ארץ כנען</w:t>
      </w:r>
      <w:r w:rsidRPr="00195E02">
        <w:rPr>
          <w:rFonts w:eastAsia="Times New Roman" w:cs="Times New Roman"/>
          <w:rtl/>
          <w:lang w:eastAsia="de-DE"/>
        </w:rPr>
        <w:t xml:space="preserve"> </w:t>
      </w:r>
      <w:r w:rsidRPr="00195E02">
        <w:rPr>
          <w:rFonts w:eastAsia="Times New Roman" w:cs="Times New Roman"/>
          <w:lang w:eastAsia="de-DE"/>
        </w:rPr>
        <w:t xml:space="preserve">(wenn ihr kommt in das Land Kanaan) zeigt die Voraussetzung der Landnahme. </w:t>
      </w:r>
      <w:r w:rsidRPr="00195E02">
        <w:rPr>
          <w:rFonts w:eastAsia="Times New Roman" w:cs="Times New Roman"/>
          <w:b/>
          <w:bCs/>
          <w:rtl/>
          <w:lang w:eastAsia="de-DE"/>
        </w:rPr>
        <w:t>אשר אני נתן לכם לאחזה</w:t>
      </w:r>
      <w:r w:rsidRPr="00195E02">
        <w:rPr>
          <w:rFonts w:eastAsia="Times New Roman" w:cs="Times New Roman"/>
          <w:rtl/>
          <w:lang w:eastAsia="de-DE"/>
        </w:rPr>
        <w:t xml:space="preserve"> </w:t>
      </w:r>
      <w:r w:rsidRPr="00195E02">
        <w:rPr>
          <w:rFonts w:eastAsia="Times New Roman" w:cs="Times New Roman"/>
          <w:lang w:eastAsia="de-DE"/>
        </w:rPr>
        <w:t>(das ich euch zum Besitztum gebe) betont göttliche Landschenkung.</w:t>
      </w:r>
    </w:p>
    <w:p w14:paraId="1C12F97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ונתתי נגע צרעת בבית ארץ אחזתכם</w:t>
      </w:r>
      <w:r w:rsidRPr="00195E02">
        <w:rPr>
          <w:rFonts w:eastAsia="Times New Roman" w:cs="Times New Roman"/>
          <w:rtl/>
          <w:lang w:eastAsia="de-DE"/>
        </w:rPr>
        <w:t xml:space="preserve"> </w:t>
      </w:r>
      <w:r w:rsidRPr="00195E02">
        <w:rPr>
          <w:rFonts w:eastAsia="Times New Roman" w:cs="Times New Roman"/>
          <w:lang w:eastAsia="de-DE"/>
        </w:rPr>
        <w:t>(und ich gebe einen Aussatzfleck an ein Haus im Land eures Besitztums) zeigt bemerkenswert, dass JHWH selbst als Verursacher der 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genannt wird. </w:t>
      </w:r>
      <w:r w:rsidRPr="00195E02">
        <w:rPr>
          <w:rFonts w:eastAsia="Times New Roman" w:cs="Times New Roman"/>
          <w:b/>
          <w:bCs/>
          <w:rtl/>
          <w:lang w:eastAsia="de-DE"/>
        </w:rPr>
        <w:t>בבית</w:t>
      </w:r>
      <w:r w:rsidRPr="00195E02">
        <w:rPr>
          <w:rFonts w:eastAsia="Times New Roman" w:cs="Times New Roman"/>
          <w:rtl/>
          <w:lang w:eastAsia="de-DE"/>
        </w:rPr>
        <w:t xml:space="preserve"> </w:t>
      </w:r>
      <w:r w:rsidRPr="00195E02">
        <w:rPr>
          <w:rFonts w:eastAsia="Times New Roman" w:cs="Times New Roman"/>
          <w:lang w:eastAsia="de-DE"/>
        </w:rPr>
        <w:t xml:space="preserve">(an ein Haus) als neue </w:t>
      </w:r>
      <w:r w:rsidRPr="00195E02">
        <w:rPr>
          <w:rFonts w:eastAsia="Times New Roman" w:cs="Times New Roman"/>
          <w:b/>
          <w:bCs/>
          <w:rtl/>
          <w:lang w:eastAsia="de-DE"/>
        </w:rPr>
        <w:t>צרעת</w:t>
      </w:r>
      <w:r w:rsidRPr="00195E02">
        <w:rPr>
          <w:rFonts w:eastAsia="Times New Roman" w:cs="Times New Roman"/>
          <w:lang w:eastAsia="de-DE"/>
        </w:rPr>
        <w:t xml:space="preserve">-Kategorie, </w:t>
      </w:r>
      <w:r w:rsidRPr="00195E02">
        <w:rPr>
          <w:rFonts w:eastAsia="Times New Roman" w:cs="Times New Roman"/>
          <w:b/>
          <w:bCs/>
          <w:rtl/>
          <w:lang w:eastAsia="de-DE"/>
        </w:rPr>
        <w:t>ארץ אחזתכם</w:t>
      </w:r>
      <w:r w:rsidRPr="00195E02">
        <w:rPr>
          <w:rFonts w:eastAsia="Times New Roman" w:cs="Times New Roman"/>
          <w:rtl/>
          <w:lang w:eastAsia="de-DE"/>
        </w:rPr>
        <w:t xml:space="preserve"> </w:t>
      </w:r>
      <w:r w:rsidRPr="00195E02">
        <w:rPr>
          <w:rFonts w:eastAsia="Times New Roman" w:cs="Times New Roman"/>
          <w:lang w:eastAsia="de-DE"/>
        </w:rPr>
        <w:t>(im Land eures Besitztums) bekräftigt den Landbesitz.</w:t>
      </w:r>
    </w:p>
    <w:p w14:paraId="1EF9022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תבאו אל־ארץ כנען</w:t>
      </w:r>
      <w:r w:rsidRPr="00195E02">
        <w:rPr>
          <w:rFonts w:eastAsia="Times New Roman" w:cs="Times New Roman"/>
          <w:rtl/>
          <w:lang w:eastAsia="de-DE"/>
        </w:rPr>
        <w:t xml:space="preserve"> </w:t>
      </w:r>
      <w:r w:rsidRPr="00195E02">
        <w:rPr>
          <w:rFonts w:eastAsia="Times New Roman" w:cs="Times New Roman"/>
          <w:lang w:eastAsia="de-DE"/>
        </w:rPr>
        <w:t xml:space="preserve">zeigt, dass diese Bestimmungen erst nach der Landnahme relevant werden. </w:t>
      </w:r>
      <w:r w:rsidRPr="00195E02">
        <w:rPr>
          <w:rFonts w:eastAsia="Times New Roman" w:cs="Times New Roman"/>
          <w:b/>
          <w:bCs/>
          <w:rtl/>
          <w:lang w:eastAsia="de-DE"/>
        </w:rPr>
        <w:t>ונתתי נגע צרעת</w:t>
      </w:r>
      <w:r w:rsidRPr="00195E02">
        <w:rPr>
          <w:rFonts w:eastAsia="Times New Roman" w:cs="Times New Roman"/>
          <w:rtl/>
          <w:lang w:eastAsia="de-DE"/>
        </w:rPr>
        <w:t xml:space="preserve"> </w:t>
      </w:r>
      <w:r w:rsidRPr="00195E02">
        <w:rPr>
          <w:rFonts w:eastAsia="Times New Roman" w:cs="Times New Roman"/>
          <w:lang w:eastAsia="de-DE"/>
        </w:rPr>
        <w:t xml:space="preserve">mit JHWH als Subjekt ist ungewöhnlich - meist wird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als Gegebenheit beschrieben. </w:t>
      </w:r>
      <w:r w:rsidRPr="00195E02">
        <w:rPr>
          <w:rFonts w:eastAsia="Times New Roman" w:cs="Times New Roman"/>
          <w:b/>
          <w:bCs/>
          <w:rtl/>
          <w:lang w:eastAsia="de-DE"/>
        </w:rPr>
        <w:t>אחזה</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אחזתכם</w:t>
      </w:r>
      <w:r w:rsidRPr="00195E02">
        <w:rPr>
          <w:rFonts w:eastAsia="Times New Roman" w:cs="Times New Roman"/>
          <w:rtl/>
          <w:lang w:eastAsia="de-DE"/>
        </w:rPr>
        <w:t xml:space="preserve"> </w:t>
      </w:r>
      <w:r w:rsidRPr="00195E02">
        <w:rPr>
          <w:rFonts w:eastAsia="Times New Roman" w:cs="Times New Roman"/>
          <w:lang w:eastAsia="de-DE"/>
        </w:rPr>
        <w:t>betonen den Besitzcharakter.</w:t>
      </w:r>
    </w:p>
    <w:p w14:paraId="51D372CB" w14:textId="6C1F16C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interpretiert </w:t>
      </w:r>
      <w:r w:rsidR="00523826">
        <w:rPr>
          <w:rtl/>
        </w:rPr>
        <w:t>ונתתי נגע צרעת</w:t>
      </w:r>
      <w:r w:rsidR="00523826">
        <w:t xml:space="preserve"> (</w:t>
      </w:r>
      <w:proofErr w:type="spellStart"/>
      <w:r w:rsidR="00523826">
        <w:t>wenatati</w:t>
      </w:r>
      <w:proofErr w:type="spellEnd"/>
      <w:r w:rsidR="00523826">
        <w:t xml:space="preserve"> </w:t>
      </w:r>
      <w:proofErr w:type="spellStart"/>
      <w:r w:rsidR="00523826">
        <w:t>nega</w:t>
      </w:r>
      <w:proofErr w:type="spellEnd"/>
      <w:r w:rsidR="00523826">
        <w:t xml:space="preserve"> </w:t>
      </w:r>
      <w:proofErr w:type="spellStart"/>
      <w:r w:rsidR="00523826">
        <w:t>tzara'at</w:t>
      </w:r>
      <w:proofErr w:type="spellEnd"/>
      <w:r w:rsidR="00523826">
        <w:t xml:space="preserve"> - "und ich gebe eine Lepra-Plage") als καὶ </w:t>
      </w:r>
      <w:proofErr w:type="spellStart"/>
      <w:r w:rsidR="00523826">
        <w:t>δώσω</w:t>
      </w:r>
      <w:proofErr w:type="spellEnd"/>
      <w:r w:rsidR="00523826">
        <w:t xml:space="preserve"> </w:t>
      </w:r>
      <w:proofErr w:type="spellStart"/>
      <w:r w:rsidR="00523826">
        <w:t>ἁφὴν</w:t>
      </w:r>
      <w:proofErr w:type="spellEnd"/>
      <w:r w:rsidR="00523826">
        <w:t xml:space="preserve"> </w:t>
      </w:r>
      <w:proofErr w:type="spellStart"/>
      <w:r w:rsidR="00523826">
        <w:t>λέ</w:t>
      </w:r>
      <w:proofErr w:type="spellEnd"/>
      <w:r w:rsidR="00523826">
        <w:t>πρας (und ich werde eine Lepra-Berührung geben), wobei sie die göttliche Verursachung beibehält.</w:t>
      </w:r>
    </w:p>
    <w:p w14:paraId="37E7C88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zukunftsbezogene Bestimmung: temporale Bedingung + Landidentifikation + göttliche Schenkung + göttliche Verursachung + neue </w:t>
      </w:r>
      <w:r w:rsidRPr="00195E02">
        <w:rPr>
          <w:rFonts w:eastAsia="Times New Roman" w:cs="Times New Roman"/>
          <w:b/>
          <w:bCs/>
          <w:rtl/>
          <w:lang w:eastAsia="de-DE"/>
        </w:rPr>
        <w:t>צרעת</w:t>
      </w:r>
      <w:r w:rsidRPr="00195E02">
        <w:rPr>
          <w:rFonts w:eastAsia="Times New Roman" w:cs="Times New Roman"/>
          <w:lang w:eastAsia="de-DE"/>
        </w:rPr>
        <w:t>-Kategorie + Besitzkontext. Die Struktur zeigt eschatologische Ausrichtung mit göttlicher Aktivität.</w:t>
      </w:r>
    </w:p>
    <w:p w14:paraId="5205141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Zukunftsorientierung der 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nach der Landnahme und nennt JHWH als Verursacher.</w:t>
      </w:r>
    </w:p>
    <w:p w14:paraId="27E0E53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14,35</w:t>
      </w:r>
    </w:p>
    <w:p w14:paraId="79C72D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וּבָא֙ אֲשֶׁר־לוֹ֣ הַבַּ֔יִת וְהִגִּ֥יד לַכֹּהֵ֖ן לֵאמֹ֑ר כְּנֶ֕גַע נִרְאָ֥ה לִ֖י בַּבָּֽיִת׃</w:t>
      </w:r>
    </w:p>
    <w:p w14:paraId="6918280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so soll kommen der, dem das Haus gehört, und dem Priester melden, sagend: Wie ein Mal erscheint mir im Haus.</w:t>
      </w:r>
    </w:p>
    <w:p w14:paraId="5EC4B2B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B3CCD38">
          <v:rect id="_x0000_i1425" style="width:0;height:1.5pt" o:hralign="center" o:hrstd="t" o:hr="t" fillcolor="#a0a0a0" stroked="f"/>
        </w:pict>
      </w:r>
    </w:p>
    <w:p w14:paraId="3B09015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ובא אשר־לו הבית והגיד לכהן לאמר כנגע נראה לי בבית</w:t>
      </w:r>
      <w:r w:rsidRPr="00195E02">
        <w:rPr>
          <w:rFonts w:eastAsia="Times New Roman" w:cs="Times New Roman"/>
          <w:rtl/>
          <w:lang w:eastAsia="de-DE"/>
        </w:rPr>
        <w:t xml:space="preserve"> </w:t>
      </w:r>
      <w:r w:rsidRPr="00195E02">
        <w:rPr>
          <w:rFonts w:eastAsia="Times New Roman" w:cs="Times New Roman"/>
          <w:lang w:eastAsia="de-DE"/>
        </w:rPr>
        <w:t xml:space="preserve">zeigt das Meldeverfahren. </w:t>
      </w:r>
      <w:r w:rsidRPr="00195E02">
        <w:rPr>
          <w:rFonts w:eastAsia="Times New Roman" w:cs="Times New Roman"/>
          <w:b/>
          <w:bCs/>
          <w:rtl/>
          <w:lang w:eastAsia="de-DE"/>
        </w:rPr>
        <w:t>ובא אשר־לו הבית</w:t>
      </w:r>
      <w:r w:rsidRPr="00195E02">
        <w:rPr>
          <w:rFonts w:eastAsia="Times New Roman" w:cs="Times New Roman"/>
          <w:rtl/>
          <w:lang w:eastAsia="de-DE"/>
        </w:rPr>
        <w:t xml:space="preserve"> </w:t>
      </w:r>
      <w:r w:rsidRPr="00195E02">
        <w:rPr>
          <w:rFonts w:eastAsia="Times New Roman" w:cs="Times New Roman"/>
          <w:lang w:eastAsia="de-DE"/>
        </w:rPr>
        <w:t xml:space="preserve">(so soll kommen der, dem das Haus gehört) definiert den Meldepflichtigen als Hausbesitzer. </w:t>
      </w:r>
      <w:r w:rsidRPr="00195E02">
        <w:rPr>
          <w:rFonts w:eastAsia="Times New Roman" w:cs="Times New Roman"/>
          <w:b/>
          <w:bCs/>
          <w:rtl/>
          <w:lang w:eastAsia="de-DE"/>
        </w:rPr>
        <w:t>והגיד לכהן לאמר</w:t>
      </w:r>
      <w:r w:rsidRPr="00195E02">
        <w:rPr>
          <w:rFonts w:eastAsia="Times New Roman" w:cs="Times New Roman"/>
          <w:rtl/>
          <w:lang w:eastAsia="de-DE"/>
        </w:rPr>
        <w:t xml:space="preserve"> </w:t>
      </w:r>
      <w:r w:rsidRPr="00195E02">
        <w:rPr>
          <w:rFonts w:eastAsia="Times New Roman" w:cs="Times New Roman"/>
          <w:lang w:eastAsia="de-DE"/>
        </w:rPr>
        <w:t>(und dem Priester melden, sagend) zeigt priesterliche Meldestelle.</w:t>
      </w:r>
    </w:p>
    <w:p w14:paraId="6384CE1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כנגע נראה לי בבית</w:t>
      </w:r>
      <w:r w:rsidRPr="00195E02">
        <w:rPr>
          <w:rFonts w:eastAsia="Times New Roman" w:cs="Times New Roman"/>
          <w:rtl/>
          <w:lang w:eastAsia="de-DE"/>
        </w:rPr>
        <w:t xml:space="preserve"> </w:t>
      </w:r>
      <w:r w:rsidRPr="00195E02">
        <w:rPr>
          <w:rFonts w:eastAsia="Times New Roman" w:cs="Times New Roman"/>
          <w:lang w:eastAsia="de-DE"/>
        </w:rPr>
        <w:t xml:space="preserve">(wie ein Mal erscheint mir im Haus) zeigt vorsichtige Formulierung. </w:t>
      </w:r>
      <w:r w:rsidRPr="00195E02">
        <w:rPr>
          <w:rFonts w:eastAsia="Times New Roman" w:cs="Times New Roman"/>
          <w:b/>
          <w:bCs/>
          <w:rtl/>
          <w:lang w:eastAsia="de-DE"/>
        </w:rPr>
        <w:t>כנגע</w:t>
      </w:r>
      <w:r w:rsidRPr="00195E02">
        <w:rPr>
          <w:rFonts w:eastAsia="Times New Roman" w:cs="Times New Roman"/>
          <w:rtl/>
          <w:lang w:eastAsia="de-DE"/>
        </w:rPr>
        <w:t xml:space="preserve"> </w:t>
      </w:r>
      <w:r w:rsidRPr="00195E02">
        <w:rPr>
          <w:rFonts w:eastAsia="Times New Roman" w:cs="Times New Roman"/>
          <w:lang w:eastAsia="de-DE"/>
        </w:rPr>
        <w:t xml:space="preserve">(wie ein Mal) mit </w:t>
      </w:r>
      <w:r w:rsidRPr="00195E02">
        <w:rPr>
          <w:rFonts w:eastAsia="Times New Roman" w:cs="Times New Roman"/>
          <w:b/>
          <w:bCs/>
          <w:rtl/>
          <w:lang w:eastAsia="de-DE"/>
        </w:rPr>
        <w:t>כ</w:t>
      </w:r>
      <w:r w:rsidRPr="00195E02">
        <w:rPr>
          <w:rFonts w:eastAsia="Times New Roman" w:cs="Times New Roman"/>
          <w:rtl/>
          <w:lang w:eastAsia="de-DE"/>
        </w:rPr>
        <w:t xml:space="preserve"> </w:t>
      </w:r>
      <w:r w:rsidRPr="00195E02">
        <w:rPr>
          <w:rFonts w:eastAsia="Times New Roman" w:cs="Times New Roman"/>
          <w:lang w:eastAsia="de-DE"/>
        </w:rPr>
        <w:t xml:space="preserve">der Ähnlichkeit zeigt Unsicherheit des Laien. </w:t>
      </w:r>
      <w:r w:rsidRPr="00195E02">
        <w:rPr>
          <w:rFonts w:eastAsia="Times New Roman" w:cs="Times New Roman"/>
          <w:b/>
          <w:bCs/>
          <w:rtl/>
          <w:lang w:eastAsia="de-DE"/>
        </w:rPr>
        <w:t>נראה לי</w:t>
      </w:r>
      <w:r w:rsidRPr="00195E02">
        <w:rPr>
          <w:rFonts w:eastAsia="Times New Roman" w:cs="Times New Roman"/>
          <w:rtl/>
          <w:lang w:eastAsia="de-DE"/>
        </w:rPr>
        <w:t xml:space="preserve"> </w:t>
      </w:r>
      <w:r w:rsidRPr="00195E02">
        <w:rPr>
          <w:rFonts w:eastAsia="Times New Roman" w:cs="Times New Roman"/>
          <w:lang w:eastAsia="de-DE"/>
        </w:rPr>
        <w:t xml:space="preserve">(erscheint mir) betont subjektive Wahrnehmung. </w:t>
      </w:r>
      <w:r w:rsidRPr="00195E02">
        <w:rPr>
          <w:rFonts w:eastAsia="Times New Roman" w:cs="Times New Roman"/>
          <w:b/>
          <w:bCs/>
          <w:rtl/>
          <w:lang w:eastAsia="de-DE"/>
        </w:rPr>
        <w:t>בבית</w:t>
      </w:r>
      <w:r w:rsidRPr="00195E02">
        <w:rPr>
          <w:rFonts w:eastAsia="Times New Roman" w:cs="Times New Roman"/>
          <w:rtl/>
          <w:lang w:eastAsia="de-DE"/>
        </w:rPr>
        <w:t xml:space="preserve"> </w:t>
      </w:r>
      <w:r w:rsidRPr="00195E02">
        <w:rPr>
          <w:rFonts w:eastAsia="Times New Roman" w:cs="Times New Roman"/>
          <w:lang w:eastAsia="de-DE"/>
        </w:rPr>
        <w:t>(im Haus) lokalisiert das Problem.</w:t>
      </w:r>
    </w:p>
    <w:p w14:paraId="78E3AC6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אשר־לו הבית</w:t>
      </w:r>
      <w:r w:rsidRPr="00195E02">
        <w:rPr>
          <w:rFonts w:eastAsia="Times New Roman" w:cs="Times New Roman"/>
          <w:rtl/>
          <w:lang w:eastAsia="de-DE"/>
        </w:rPr>
        <w:t xml:space="preserve"> </w:t>
      </w:r>
      <w:r w:rsidRPr="00195E02">
        <w:rPr>
          <w:rFonts w:eastAsia="Times New Roman" w:cs="Times New Roman"/>
          <w:lang w:eastAsia="de-DE"/>
        </w:rPr>
        <w:t xml:space="preserve">etabliert Hausbesitzer-Verantwortung. </w:t>
      </w:r>
      <w:r w:rsidRPr="00195E02">
        <w:rPr>
          <w:rFonts w:eastAsia="Times New Roman" w:cs="Times New Roman"/>
          <w:b/>
          <w:bCs/>
          <w:rtl/>
          <w:lang w:eastAsia="de-DE"/>
        </w:rPr>
        <w:t>כנגע</w:t>
      </w:r>
      <w:r w:rsidRPr="00195E02">
        <w:rPr>
          <w:rFonts w:eastAsia="Times New Roman" w:cs="Times New Roman"/>
          <w:rtl/>
          <w:lang w:eastAsia="de-DE"/>
        </w:rPr>
        <w:t xml:space="preserve"> </w:t>
      </w:r>
      <w:r w:rsidRPr="00195E02">
        <w:rPr>
          <w:rFonts w:eastAsia="Times New Roman" w:cs="Times New Roman"/>
          <w:lang w:eastAsia="de-DE"/>
        </w:rPr>
        <w:t xml:space="preserve">zeigt vorsichtige Laiendiagnose ohne definitive Aussage. </w:t>
      </w:r>
      <w:r w:rsidRPr="00195E02">
        <w:rPr>
          <w:rFonts w:eastAsia="Times New Roman" w:cs="Times New Roman"/>
          <w:b/>
          <w:bCs/>
          <w:rtl/>
          <w:lang w:eastAsia="de-DE"/>
        </w:rPr>
        <w:t>נראה לי</w:t>
      </w:r>
      <w:r w:rsidRPr="00195E02">
        <w:rPr>
          <w:rFonts w:eastAsia="Times New Roman" w:cs="Times New Roman"/>
          <w:rtl/>
          <w:lang w:eastAsia="de-DE"/>
        </w:rPr>
        <w:t xml:space="preserve"> </w:t>
      </w:r>
      <w:r w:rsidRPr="00195E02">
        <w:rPr>
          <w:rFonts w:eastAsia="Times New Roman" w:cs="Times New Roman"/>
          <w:lang w:eastAsia="de-DE"/>
        </w:rPr>
        <w:t>betont, dass es nur um Verdacht geht.</w:t>
      </w:r>
    </w:p>
    <w:p w14:paraId="515B1B3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אשר־לו הבית</w:t>
      </w:r>
      <w:r w:rsidRPr="00195E02">
        <w:rPr>
          <w:rFonts w:eastAsia="Times New Roman" w:cs="Times New Roman"/>
          <w:rtl/>
          <w:lang w:eastAsia="de-DE"/>
        </w:rPr>
        <w:t xml:space="preserve"> </w:t>
      </w:r>
      <w:r w:rsidRPr="00195E02">
        <w:rPr>
          <w:rFonts w:eastAsia="Times New Roman" w:cs="Times New Roman"/>
          <w:lang w:eastAsia="de-DE"/>
        </w:rPr>
        <w:t xml:space="preserve">mit ᾧ </w:t>
      </w:r>
      <w:proofErr w:type="spellStart"/>
      <w:r w:rsidRPr="00195E02">
        <w:rPr>
          <w:rFonts w:eastAsia="Times New Roman" w:cs="Times New Roman"/>
          <w:lang w:eastAsia="de-DE"/>
        </w:rPr>
        <w:t>ἐστιν</w:t>
      </w:r>
      <w:proofErr w:type="spellEnd"/>
      <w:r w:rsidRPr="00195E02">
        <w:rPr>
          <w:rFonts w:eastAsia="Times New Roman" w:cs="Times New Roman"/>
          <w:lang w:eastAsia="de-DE"/>
        </w:rPr>
        <w:t xml:space="preserve"> ἡ </w:t>
      </w:r>
      <w:proofErr w:type="spellStart"/>
      <w:r w:rsidRPr="00195E02">
        <w:rPr>
          <w:rFonts w:eastAsia="Times New Roman" w:cs="Times New Roman"/>
          <w:lang w:eastAsia="de-DE"/>
        </w:rPr>
        <w:t>οἰκί</w:t>
      </w:r>
      <w:proofErr w:type="spellEnd"/>
      <w:r w:rsidRPr="00195E02">
        <w:rPr>
          <w:rFonts w:eastAsia="Times New Roman" w:cs="Times New Roman"/>
          <w:lang w:eastAsia="de-DE"/>
        </w:rPr>
        <w:t xml:space="preserve">α (dem das Haus gehört), </w:t>
      </w:r>
      <w:r w:rsidRPr="00195E02">
        <w:rPr>
          <w:rFonts w:eastAsia="Times New Roman" w:cs="Times New Roman"/>
          <w:b/>
          <w:bCs/>
          <w:rtl/>
          <w:lang w:eastAsia="de-DE"/>
        </w:rPr>
        <w:t>והגיד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ἀν</w:t>
      </w:r>
      <w:proofErr w:type="spellEnd"/>
      <w:r w:rsidRPr="00195E02">
        <w:rPr>
          <w:rFonts w:eastAsia="Times New Roman" w:cs="Times New Roman"/>
          <w:lang w:eastAsia="de-DE"/>
        </w:rPr>
        <w:t xml:space="preserve">αγγειλάτω (er soll melden) und </w:t>
      </w:r>
      <w:r w:rsidRPr="00195E02">
        <w:rPr>
          <w:rFonts w:eastAsia="Times New Roman" w:cs="Times New Roman"/>
          <w:b/>
          <w:bCs/>
          <w:rtl/>
          <w:lang w:eastAsia="de-DE"/>
        </w:rPr>
        <w:t>כנגע</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ὡσεὶ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ἁφή</w:t>
      </w:r>
      <w:proofErr w:type="spellEnd"/>
      <w:r w:rsidRPr="00195E02">
        <w:rPr>
          <w:rFonts w:eastAsia="Times New Roman" w:cs="Times New Roman"/>
          <w:lang w:eastAsia="de-DE"/>
        </w:rPr>
        <w:t xml:space="preserve"> (wie ein Mal).</w:t>
      </w:r>
    </w:p>
    <w:p w14:paraId="2F30787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Meldeverfahren: Meldepflichtiger + Meldestelle + vorsichtige Verdachtsäußerung. Die Struktur zeigt zurückhaltende Laiendiagnose.</w:t>
      </w:r>
    </w:p>
    <w:p w14:paraId="718ADC8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Meldepflicht des Hausbesitzers mit vorsichtiger Verdachtsformulierung.</w:t>
      </w:r>
    </w:p>
    <w:p w14:paraId="773BED3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14,36</w:t>
      </w:r>
    </w:p>
    <w:p w14:paraId="5107D7F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וְצִוָּ֨ה הַכֹּהֵ֜ן וּפִנּ֣וּ אֶת־הַבַּ֗יִת בְּטֶ֨רֶם יָבֹ֤א הַכֹּהֵן֙ לִרְא֣וֹת אֶת־הַנֶּ֔גַע וְלֹ֥א יִטְמָ֖א כָּל־אֲשֶׁ֣ר בַּבָּ֑יִת וְאַ֥חַר כֵּ֛ן יָבֹ֥א הַכֹּהֵ֖ן לִרְא֥וֹת אֶת־הַבָּֽיִת׃</w:t>
      </w:r>
    </w:p>
    <w:p w14:paraId="34F4936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gebieten, und sie sollen das Haus ausräumen, bevor der Priester kommt, um das Mal zu sehen, damit nicht unrein wird alles, was im Haus ist; und danach soll der Priester kommen, um das Haus zu sehen.</w:t>
      </w:r>
    </w:p>
    <w:p w14:paraId="25C8394E"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699A534">
          <v:rect id="_x0000_i1426" style="width:0;height:1.5pt" o:hralign="center" o:hrstd="t" o:hr="t" fillcolor="#a0a0a0" stroked="f"/>
        </w:pict>
      </w:r>
    </w:p>
    <w:p w14:paraId="0D4B191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וצוה הכהן ופנו את־הבית בטרם יבא הכהן לראות את־הנגע ולא יטמא כל־אשר בבית ואחר כן יבא הכהן לראות את־הבית</w:t>
      </w:r>
      <w:r w:rsidRPr="00195E02">
        <w:rPr>
          <w:rFonts w:eastAsia="Times New Roman" w:cs="Times New Roman"/>
          <w:rtl/>
          <w:lang w:eastAsia="de-DE"/>
        </w:rPr>
        <w:t xml:space="preserve"> </w:t>
      </w:r>
      <w:r w:rsidRPr="00195E02">
        <w:rPr>
          <w:rFonts w:eastAsia="Times New Roman" w:cs="Times New Roman"/>
          <w:lang w:eastAsia="de-DE"/>
        </w:rPr>
        <w:t xml:space="preserve">zeigt Schutzmaßnahmen vor der Diagnose. </w:t>
      </w:r>
      <w:r w:rsidRPr="00195E02">
        <w:rPr>
          <w:rFonts w:eastAsia="Times New Roman" w:cs="Times New Roman"/>
          <w:b/>
          <w:bCs/>
          <w:rtl/>
          <w:lang w:eastAsia="de-DE"/>
        </w:rPr>
        <w:t>וצוה הכהן ופנו את־הבית</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gebieten, und sie sollen das Haus ausräumen) - </w:t>
      </w:r>
      <w:r w:rsidRPr="00195E02">
        <w:rPr>
          <w:rFonts w:eastAsia="Times New Roman" w:cs="Times New Roman"/>
          <w:b/>
          <w:bCs/>
          <w:rtl/>
          <w:lang w:eastAsia="de-DE"/>
        </w:rPr>
        <w:t>פנו</w:t>
      </w:r>
      <w:r w:rsidRPr="00195E02">
        <w:rPr>
          <w:rFonts w:eastAsia="Times New Roman" w:cs="Times New Roman"/>
          <w:rtl/>
          <w:lang w:eastAsia="de-DE"/>
        </w:rPr>
        <w:t xml:space="preserve"> </w:t>
      </w:r>
      <w:r w:rsidRPr="00195E02">
        <w:rPr>
          <w:rFonts w:eastAsia="Times New Roman" w:cs="Times New Roman"/>
          <w:lang w:eastAsia="de-DE"/>
        </w:rPr>
        <w:t>(ausräumen) im Piel-Perfekt mit Waw-Konsekutiv.</w:t>
      </w:r>
    </w:p>
    <w:p w14:paraId="150F34B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בטרם יבא הכהן לראות את־הנגע</w:t>
      </w:r>
      <w:r w:rsidRPr="00195E02">
        <w:rPr>
          <w:rFonts w:eastAsia="Times New Roman" w:cs="Times New Roman"/>
          <w:rtl/>
          <w:lang w:eastAsia="de-DE"/>
        </w:rPr>
        <w:t xml:space="preserve"> </w:t>
      </w:r>
      <w:r w:rsidRPr="00195E02">
        <w:rPr>
          <w:rFonts w:eastAsia="Times New Roman" w:cs="Times New Roman"/>
          <w:lang w:eastAsia="de-DE"/>
        </w:rPr>
        <w:t xml:space="preserve">(bevor der Priester kommt, um das Mal zu sehen) zeigt präventive Maßnahme. </w:t>
      </w:r>
      <w:r w:rsidRPr="00195E02">
        <w:rPr>
          <w:rFonts w:eastAsia="Times New Roman" w:cs="Times New Roman"/>
          <w:b/>
          <w:bCs/>
          <w:rtl/>
          <w:lang w:eastAsia="de-DE"/>
        </w:rPr>
        <w:t>ולא יטמא כל־אשר בבית</w:t>
      </w:r>
      <w:r w:rsidRPr="00195E02">
        <w:rPr>
          <w:rFonts w:eastAsia="Times New Roman" w:cs="Times New Roman"/>
          <w:rtl/>
          <w:lang w:eastAsia="de-DE"/>
        </w:rPr>
        <w:t xml:space="preserve"> </w:t>
      </w:r>
      <w:r w:rsidRPr="00195E02">
        <w:rPr>
          <w:rFonts w:eastAsia="Times New Roman" w:cs="Times New Roman"/>
          <w:lang w:eastAsia="de-DE"/>
        </w:rPr>
        <w:t>(damit nicht unrein wird alles, was im Haus ist) erklärt den Zweck - Schutz des Hausrats vor Unreinheit.</w:t>
      </w:r>
    </w:p>
    <w:p w14:paraId="03663F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ואחר כן יבא הכהן לראות את־הבית</w:t>
      </w:r>
      <w:r w:rsidRPr="00195E02">
        <w:rPr>
          <w:rFonts w:eastAsia="Times New Roman" w:cs="Times New Roman"/>
          <w:rtl/>
          <w:lang w:eastAsia="de-DE"/>
        </w:rPr>
        <w:t xml:space="preserve"> </w:t>
      </w:r>
      <w:r w:rsidRPr="00195E02">
        <w:rPr>
          <w:rFonts w:eastAsia="Times New Roman" w:cs="Times New Roman"/>
          <w:lang w:eastAsia="de-DE"/>
        </w:rPr>
        <w:t>(und danach soll der Priester kommen, um das Haus zu sehen) zeigt die eigentliche Untersuchung nach der Ausräumung.</w:t>
      </w:r>
    </w:p>
    <w:p w14:paraId="04A8787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ופנו את־הבית</w:t>
      </w:r>
      <w:r w:rsidRPr="00195E02">
        <w:rPr>
          <w:rFonts w:eastAsia="Times New Roman" w:cs="Times New Roman"/>
          <w:rtl/>
          <w:lang w:eastAsia="de-DE"/>
        </w:rPr>
        <w:t xml:space="preserve"> </w:t>
      </w:r>
      <w:r w:rsidRPr="00195E02">
        <w:rPr>
          <w:rFonts w:eastAsia="Times New Roman" w:cs="Times New Roman"/>
          <w:lang w:eastAsia="de-DE"/>
        </w:rPr>
        <w:t xml:space="preserve">zeigt wirtschaftlichen Schutz der Bewohner. </w:t>
      </w:r>
      <w:r w:rsidRPr="00195E02">
        <w:rPr>
          <w:rFonts w:eastAsia="Times New Roman" w:cs="Times New Roman"/>
          <w:b/>
          <w:bCs/>
          <w:rtl/>
          <w:lang w:eastAsia="de-DE"/>
        </w:rPr>
        <w:t>ולא יטמא כל־אשר בבית</w:t>
      </w:r>
      <w:r w:rsidRPr="00195E02">
        <w:rPr>
          <w:rFonts w:eastAsia="Times New Roman" w:cs="Times New Roman"/>
          <w:rtl/>
          <w:lang w:eastAsia="de-DE"/>
        </w:rPr>
        <w:t xml:space="preserve"> </w:t>
      </w:r>
      <w:r w:rsidRPr="00195E02">
        <w:rPr>
          <w:rFonts w:eastAsia="Times New Roman" w:cs="Times New Roman"/>
          <w:lang w:eastAsia="de-DE"/>
        </w:rPr>
        <w:t xml:space="preserve">zeigt, dass Unreinheitsdiagnose automatisch alle Gegenstände erfasst. </w:t>
      </w:r>
      <w:r w:rsidRPr="00195E02">
        <w:rPr>
          <w:rFonts w:eastAsia="Times New Roman" w:cs="Times New Roman"/>
          <w:b/>
          <w:bCs/>
          <w:rtl/>
          <w:lang w:eastAsia="de-DE"/>
        </w:rPr>
        <w:t>ואחר כן</w:t>
      </w:r>
      <w:r w:rsidRPr="00195E02">
        <w:rPr>
          <w:rFonts w:eastAsia="Times New Roman" w:cs="Times New Roman"/>
          <w:rtl/>
          <w:lang w:eastAsia="de-DE"/>
        </w:rPr>
        <w:t xml:space="preserve"> </w:t>
      </w:r>
      <w:r w:rsidRPr="00195E02">
        <w:rPr>
          <w:rFonts w:eastAsia="Times New Roman" w:cs="Times New Roman"/>
          <w:lang w:eastAsia="de-DE"/>
        </w:rPr>
        <w:t>zeigt klare zeitliche Abfolge.</w:t>
      </w:r>
    </w:p>
    <w:p w14:paraId="4E229DF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ופנו</w:t>
      </w:r>
      <w:r w:rsidRPr="00195E02">
        <w:rPr>
          <w:rFonts w:eastAsia="Times New Roman" w:cs="Times New Roman"/>
          <w:rtl/>
          <w:lang w:eastAsia="de-DE"/>
        </w:rPr>
        <w:t xml:space="preserve"> </w:t>
      </w:r>
      <w:r w:rsidRPr="00195E02">
        <w:rPr>
          <w:rFonts w:eastAsia="Times New Roman" w:cs="Times New Roman"/>
          <w:lang w:eastAsia="de-DE"/>
        </w:rPr>
        <w:t xml:space="preserve">mit καὶ </w:t>
      </w:r>
      <w:proofErr w:type="spellStart"/>
      <w:r w:rsidRPr="00195E02">
        <w:rPr>
          <w:rFonts w:eastAsia="Times New Roman" w:cs="Times New Roman"/>
          <w:lang w:eastAsia="de-DE"/>
        </w:rPr>
        <w:t>ἐκκ</w:t>
      </w:r>
      <w:proofErr w:type="spellEnd"/>
      <w:r w:rsidRPr="00195E02">
        <w:rPr>
          <w:rFonts w:eastAsia="Times New Roman" w:cs="Times New Roman"/>
          <w:lang w:eastAsia="de-DE"/>
        </w:rPr>
        <w:t xml:space="preserve">αθαριοῦσιν (und sie werden ausräumen), </w:t>
      </w:r>
      <w:r w:rsidRPr="00195E02">
        <w:rPr>
          <w:rFonts w:eastAsia="Times New Roman" w:cs="Times New Roman"/>
          <w:b/>
          <w:bCs/>
          <w:rtl/>
          <w:lang w:eastAsia="de-DE"/>
        </w:rPr>
        <w:t>בטרם</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ρὶν</w:t>
      </w:r>
      <w:proofErr w:type="spellEnd"/>
      <w:r w:rsidRPr="00195E02">
        <w:rPr>
          <w:rFonts w:eastAsia="Times New Roman" w:cs="Times New Roman"/>
          <w:lang w:eastAsia="de-DE"/>
        </w:rPr>
        <w:t xml:space="preserve"> ἢ (bevor) und </w:t>
      </w:r>
      <w:r w:rsidRPr="00195E02">
        <w:rPr>
          <w:rFonts w:eastAsia="Times New Roman" w:cs="Times New Roman"/>
          <w:b/>
          <w:bCs/>
          <w:rtl/>
          <w:lang w:eastAsia="de-DE"/>
        </w:rPr>
        <w:t>יטמא</w:t>
      </w:r>
      <w:r w:rsidRPr="00195E02">
        <w:rPr>
          <w:rFonts w:eastAsia="Times New Roman" w:cs="Times New Roman"/>
          <w:rtl/>
          <w:lang w:eastAsia="de-DE"/>
        </w:rPr>
        <w:t xml:space="preserve"> </w:t>
      </w:r>
      <w:r w:rsidRPr="00195E02">
        <w:rPr>
          <w:rFonts w:eastAsia="Times New Roman" w:cs="Times New Roman"/>
          <w:lang w:eastAsia="de-DE"/>
        </w:rPr>
        <w:t>mit ἀκάθα</w:t>
      </w:r>
      <w:proofErr w:type="spellStart"/>
      <w:r w:rsidRPr="00195E02">
        <w:rPr>
          <w:rFonts w:eastAsia="Times New Roman" w:cs="Times New Roman"/>
          <w:lang w:eastAsia="de-DE"/>
        </w:rPr>
        <w:t>ρτ</w:t>
      </w:r>
      <w:proofErr w:type="spellEnd"/>
      <w:r w:rsidRPr="00195E02">
        <w:rPr>
          <w:rFonts w:eastAsia="Times New Roman" w:cs="Times New Roman"/>
          <w:lang w:eastAsia="de-DE"/>
        </w:rPr>
        <w:t xml:space="preserve">α </w:t>
      </w:r>
      <w:proofErr w:type="spellStart"/>
      <w:r w:rsidRPr="00195E02">
        <w:rPr>
          <w:rFonts w:eastAsia="Times New Roman" w:cs="Times New Roman"/>
          <w:lang w:eastAsia="de-DE"/>
        </w:rPr>
        <w:t>γένητ</w:t>
      </w:r>
      <w:proofErr w:type="spellEnd"/>
      <w:r w:rsidRPr="00195E02">
        <w:rPr>
          <w:rFonts w:eastAsia="Times New Roman" w:cs="Times New Roman"/>
          <w:lang w:eastAsia="de-DE"/>
        </w:rPr>
        <w:t>αι (unrein werden).</w:t>
      </w:r>
    </w:p>
    <w:p w14:paraId="2113B93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Schutzverfahren: priesterliche Anweisung + Ausräumung + zeitliche Bedingung + Schutzzweck + nachgelagerte Untersuchung. Die Struktur zeigt Rücksicht auf wirtschaftliche Interessen.</w:t>
      </w:r>
    </w:p>
    <w:p w14:paraId="0CB4752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Dieser Vers zeigt das präventive Ausräumen des Hauses zum Schutz des Hausrats vor automatischer Unreinheit.</w:t>
      </w:r>
    </w:p>
    <w:p w14:paraId="6D4C22C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14,37</w:t>
      </w:r>
    </w:p>
    <w:p w14:paraId="1CE0032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וְרָאָ֣ה אֶת־הַנֶּ֗גַע וְהִנֵּ֤ה הַנֶּ֨גַע֙ בְּקִירֹ֣ת הַבַּ֔יִת שְׁקַֽעֲרוּרֹת֙ יְרַקְרַקֹּ֔ת א֖וֹ אֲדַמְדַּמֹּ֑ת וּמַרְאֵיהֶ֥ן שָׁפָ֖ל מִן־הַקִּֽיר׃</w:t>
      </w:r>
    </w:p>
    <w:p w14:paraId="58E6434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das Mal sehen, und siehe, das Mal ist an den Wänden des Hauses: grünliche oder rötliche Vertiefungen, und ihr Aussehen ist tiefer als die Wand,</w:t>
      </w:r>
    </w:p>
    <w:p w14:paraId="14B0505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0B8C130">
          <v:rect id="_x0000_i1427" style="width:0;height:1.5pt" o:hralign="center" o:hrstd="t" o:hr="t" fillcolor="#a0a0a0" stroked="f"/>
        </w:pict>
      </w:r>
    </w:p>
    <w:p w14:paraId="4B06E7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וראה את־הנגע והנה הנגע בקירת הבית שקערורת ירקרקת או אדמדמת ומראיהן שפל מן־הקיר</w:t>
      </w:r>
      <w:r w:rsidRPr="00195E02">
        <w:rPr>
          <w:rFonts w:eastAsia="Times New Roman" w:cs="Times New Roman"/>
          <w:rtl/>
          <w:lang w:eastAsia="de-DE"/>
        </w:rPr>
        <w:t xml:space="preserve"> </w:t>
      </w:r>
      <w:r w:rsidRPr="00195E02">
        <w:rPr>
          <w:rFonts w:eastAsia="Times New Roman" w:cs="Times New Roman"/>
          <w:lang w:eastAsia="de-DE"/>
        </w:rPr>
        <w:t>zeigt die Diagnosekriterien für Häuser-</w:t>
      </w:r>
      <w:r w:rsidRPr="00195E02">
        <w:rPr>
          <w:rFonts w:eastAsia="Times New Roman" w:cs="Times New Roman"/>
          <w:b/>
          <w:bCs/>
          <w:rtl/>
          <w:lang w:eastAsia="de-DE"/>
        </w:rPr>
        <w:t>צרעת</w:t>
      </w:r>
      <w:r w:rsidRPr="00195E02">
        <w:rPr>
          <w:rFonts w:eastAsia="Times New Roman" w:cs="Times New Roman"/>
          <w:lang w:eastAsia="de-DE"/>
        </w:rPr>
        <w:t xml:space="preserve">. </w:t>
      </w:r>
      <w:r w:rsidRPr="00195E02">
        <w:rPr>
          <w:rFonts w:eastAsia="Times New Roman" w:cs="Times New Roman"/>
          <w:b/>
          <w:bCs/>
          <w:rtl/>
          <w:lang w:eastAsia="de-DE"/>
        </w:rPr>
        <w:t>וראה את־הנגע</w:t>
      </w:r>
      <w:r w:rsidRPr="00195E02">
        <w:rPr>
          <w:rFonts w:eastAsia="Times New Roman" w:cs="Times New Roman"/>
          <w:rtl/>
          <w:lang w:eastAsia="de-DE"/>
        </w:rPr>
        <w:t xml:space="preserve"> </w:t>
      </w:r>
      <w:r w:rsidRPr="00195E02">
        <w:rPr>
          <w:rFonts w:eastAsia="Times New Roman" w:cs="Times New Roman"/>
          <w:lang w:eastAsia="de-DE"/>
        </w:rPr>
        <w:t xml:space="preserve">(und er soll das Mal sehen) entspricht der priesterlichen Untersuchung. </w:t>
      </w:r>
      <w:r w:rsidRPr="00195E02">
        <w:rPr>
          <w:rFonts w:eastAsia="Times New Roman" w:cs="Times New Roman"/>
          <w:b/>
          <w:bCs/>
          <w:rtl/>
          <w:lang w:eastAsia="de-DE"/>
        </w:rPr>
        <w:t>והנה הנגע בקירת הבית</w:t>
      </w:r>
      <w:r w:rsidRPr="00195E02">
        <w:rPr>
          <w:rFonts w:eastAsia="Times New Roman" w:cs="Times New Roman"/>
          <w:rtl/>
          <w:lang w:eastAsia="de-DE"/>
        </w:rPr>
        <w:t xml:space="preserve"> </w:t>
      </w:r>
      <w:r w:rsidRPr="00195E02">
        <w:rPr>
          <w:rFonts w:eastAsia="Times New Roman" w:cs="Times New Roman"/>
          <w:lang w:eastAsia="de-DE"/>
        </w:rPr>
        <w:t xml:space="preserve">(und siehe, das Mal ist an den Wänden des Hauses) lokalisiert die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an den Hauswänden.</w:t>
      </w:r>
    </w:p>
    <w:p w14:paraId="62D9038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שקערורת ירקרקת או אדמדמת</w:t>
      </w:r>
      <w:r w:rsidRPr="00195E02">
        <w:rPr>
          <w:rFonts w:eastAsia="Times New Roman" w:cs="Times New Roman"/>
          <w:rtl/>
          <w:lang w:eastAsia="de-DE"/>
        </w:rPr>
        <w:t xml:space="preserve"> </w:t>
      </w:r>
      <w:r w:rsidRPr="00195E02">
        <w:rPr>
          <w:rFonts w:eastAsia="Times New Roman" w:cs="Times New Roman"/>
          <w:lang w:eastAsia="de-DE"/>
        </w:rPr>
        <w:t xml:space="preserve">(grünliche oder rötliche Vertiefungen) zeigt die charakteristischen Merkmale. </w:t>
      </w:r>
      <w:r w:rsidRPr="00195E02">
        <w:rPr>
          <w:rFonts w:eastAsia="Times New Roman" w:cs="Times New Roman"/>
          <w:b/>
          <w:bCs/>
          <w:rtl/>
          <w:lang w:eastAsia="de-DE"/>
        </w:rPr>
        <w:t>שקערורת</w:t>
      </w:r>
      <w:r w:rsidRPr="00195E02">
        <w:rPr>
          <w:rFonts w:eastAsia="Times New Roman" w:cs="Times New Roman"/>
          <w:rtl/>
          <w:lang w:eastAsia="de-DE"/>
        </w:rPr>
        <w:t xml:space="preserve"> </w:t>
      </w:r>
      <w:r w:rsidRPr="00195E02">
        <w:rPr>
          <w:rFonts w:eastAsia="Times New Roman" w:cs="Times New Roman"/>
          <w:lang w:eastAsia="de-DE"/>
        </w:rPr>
        <w:t xml:space="preserve">(Vertiefungen) als feminin Plural von </w:t>
      </w:r>
      <w:r w:rsidRPr="00195E02">
        <w:rPr>
          <w:rFonts w:eastAsia="Times New Roman" w:cs="Times New Roman"/>
          <w:b/>
          <w:bCs/>
          <w:rtl/>
          <w:lang w:eastAsia="de-DE"/>
        </w:rPr>
        <w:t>שקערורה</w:t>
      </w:r>
      <w:r w:rsidRPr="00195E02">
        <w:rPr>
          <w:rFonts w:eastAsia="Times New Roman" w:cs="Times New Roman"/>
          <w:rtl/>
          <w:lang w:eastAsia="de-DE"/>
        </w:rPr>
        <w:t xml:space="preserve"> </w:t>
      </w:r>
      <w:r w:rsidRPr="00195E02">
        <w:rPr>
          <w:rFonts w:eastAsia="Times New Roman" w:cs="Times New Roman"/>
          <w:lang w:eastAsia="de-DE"/>
        </w:rPr>
        <w:t xml:space="preserve">(Vertiefung/Mulde). </w:t>
      </w:r>
      <w:r w:rsidRPr="00195E02">
        <w:rPr>
          <w:rFonts w:eastAsia="Times New Roman" w:cs="Times New Roman"/>
          <w:b/>
          <w:bCs/>
          <w:rtl/>
          <w:lang w:eastAsia="de-DE"/>
        </w:rPr>
        <w:t>ירקרקת או אדמדמת</w:t>
      </w:r>
      <w:r w:rsidRPr="00195E02">
        <w:rPr>
          <w:rFonts w:eastAsia="Times New Roman" w:cs="Times New Roman"/>
          <w:rtl/>
          <w:lang w:eastAsia="de-DE"/>
        </w:rPr>
        <w:t xml:space="preserve"> </w:t>
      </w:r>
      <w:r w:rsidRPr="00195E02">
        <w:rPr>
          <w:rFonts w:eastAsia="Times New Roman" w:cs="Times New Roman"/>
          <w:lang w:eastAsia="de-DE"/>
        </w:rPr>
        <w:t>(grünliche oder rötliche) entspricht den Textil-</w:t>
      </w:r>
      <w:r w:rsidRPr="00195E02">
        <w:rPr>
          <w:rFonts w:eastAsia="Times New Roman" w:cs="Times New Roman"/>
          <w:b/>
          <w:bCs/>
          <w:rtl/>
          <w:lang w:eastAsia="de-DE"/>
        </w:rPr>
        <w:t>צרעת</w:t>
      </w:r>
      <w:r w:rsidRPr="00195E02">
        <w:rPr>
          <w:rFonts w:eastAsia="Times New Roman" w:cs="Times New Roman"/>
          <w:lang w:eastAsia="de-DE"/>
        </w:rPr>
        <w:t>-Farben aus 13,49.</w:t>
      </w:r>
    </w:p>
    <w:p w14:paraId="3A6A318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ומראיהן שפל מן־הקיר</w:t>
      </w:r>
      <w:r w:rsidRPr="00195E02">
        <w:rPr>
          <w:rFonts w:eastAsia="Times New Roman" w:cs="Times New Roman"/>
          <w:rtl/>
          <w:lang w:eastAsia="de-DE"/>
        </w:rPr>
        <w:t xml:space="preserve"> </w:t>
      </w:r>
      <w:r w:rsidRPr="00195E02">
        <w:rPr>
          <w:rFonts w:eastAsia="Times New Roman" w:cs="Times New Roman"/>
          <w:lang w:eastAsia="de-DE"/>
        </w:rPr>
        <w:t xml:space="preserve">(und ihr Aussehen ist tiefer als die Wand) - </w:t>
      </w:r>
      <w:r w:rsidRPr="00195E02">
        <w:rPr>
          <w:rFonts w:eastAsia="Times New Roman" w:cs="Times New Roman"/>
          <w:b/>
          <w:bCs/>
          <w:rtl/>
          <w:lang w:eastAsia="de-DE"/>
        </w:rPr>
        <w:t>מראיהן</w:t>
      </w:r>
      <w:r w:rsidRPr="00195E02">
        <w:rPr>
          <w:rFonts w:eastAsia="Times New Roman" w:cs="Times New Roman"/>
          <w:rtl/>
          <w:lang w:eastAsia="de-DE"/>
        </w:rPr>
        <w:t xml:space="preserve"> </w:t>
      </w:r>
      <w:r w:rsidRPr="00195E02">
        <w:rPr>
          <w:rFonts w:eastAsia="Times New Roman" w:cs="Times New Roman"/>
          <w:lang w:eastAsia="de-DE"/>
        </w:rPr>
        <w:t xml:space="preserve">(ihr Aussehen) mit feminin Plural-Suffix entsprechend </w:t>
      </w:r>
      <w:r w:rsidRPr="00195E02">
        <w:rPr>
          <w:rFonts w:eastAsia="Times New Roman" w:cs="Times New Roman"/>
          <w:b/>
          <w:bCs/>
          <w:rtl/>
          <w:lang w:eastAsia="de-DE"/>
        </w:rPr>
        <w:t>שקערורת</w:t>
      </w:r>
      <w:r w:rsidRPr="00195E02">
        <w:rPr>
          <w:rFonts w:eastAsia="Times New Roman" w:cs="Times New Roman"/>
          <w:lang w:eastAsia="de-DE"/>
        </w:rPr>
        <w:t xml:space="preserve">, </w:t>
      </w:r>
      <w:r w:rsidRPr="00195E02">
        <w:rPr>
          <w:rFonts w:eastAsia="Times New Roman" w:cs="Times New Roman"/>
          <w:b/>
          <w:bCs/>
          <w:rtl/>
          <w:lang w:eastAsia="de-DE"/>
        </w:rPr>
        <w:t>שפל מן־הקיר</w:t>
      </w:r>
      <w:r w:rsidRPr="00195E02">
        <w:rPr>
          <w:rFonts w:eastAsia="Times New Roman" w:cs="Times New Roman"/>
          <w:rtl/>
          <w:lang w:eastAsia="de-DE"/>
        </w:rPr>
        <w:t xml:space="preserve"> </w:t>
      </w:r>
      <w:r w:rsidRPr="00195E02">
        <w:rPr>
          <w:rFonts w:eastAsia="Times New Roman" w:cs="Times New Roman"/>
          <w:lang w:eastAsia="de-DE"/>
        </w:rPr>
        <w:t xml:space="preserve">(tiefer als die Wand) entspricht </w:t>
      </w:r>
      <w:r w:rsidRPr="00195E02">
        <w:rPr>
          <w:rFonts w:eastAsia="Times New Roman" w:cs="Times New Roman"/>
          <w:b/>
          <w:bCs/>
          <w:rtl/>
          <w:lang w:eastAsia="de-DE"/>
        </w:rPr>
        <w:t>עמק מן־העור</w:t>
      </w:r>
      <w:r w:rsidRPr="00195E02">
        <w:rPr>
          <w:rFonts w:eastAsia="Times New Roman" w:cs="Times New Roman"/>
          <w:rtl/>
          <w:lang w:eastAsia="de-DE"/>
        </w:rPr>
        <w:t xml:space="preserve"> </w:t>
      </w:r>
      <w:r w:rsidRPr="00195E02">
        <w:rPr>
          <w:rFonts w:eastAsia="Times New Roman" w:cs="Times New Roman"/>
          <w:lang w:eastAsia="de-DE"/>
        </w:rPr>
        <w:t>bei Haut-</w:t>
      </w:r>
      <w:r w:rsidRPr="00195E02">
        <w:rPr>
          <w:rFonts w:eastAsia="Times New Roman" w:cs="Times New Roman"/>
          <w:b/>
          <w:bCs/>
          <w:rtl/>
          <w:lang w:eastAsia="de-DE"/>
        </w:rPr>
        <w:t>צרעת</w:t>
      </w:r>
      <w:r w:rsidRPr="00195E02">
        <w:rPr>
          <w:rFonts w:eastAsia="Times New Roman" w:cs="Times New Roman"/>
          <w:lang w:eastAsia="de-DE"/>
        </w:rPr>
        <w:t>.</w:t>
      </w:r>
    </w:p>
    <w:p w14:paraId="16FB0B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בקירת הבית</w:t>
      </w:r>
      <w:r w:rsidRPr="00195E02">
        <w:rPr>
          <w:rFonts w:eastAsia="Times New Roman" w:cs="Times New Roman"/>
          <w:rtl/>
          <w:lang w:eastAsia="de-DE"/>
        </w:rPr>
        <w:t xml:space="preserve"> </w:t>
      </w:r>
      <w:r w:rsidRPr="00195E02">
        <w:rPr>
          <w:rFonts w:eastAsia="Times New Roman" w:cs="Times New Roman"/>
          <w:lang w:eastAsia="de-DE"/>
        </w:rPr>
        <w:t xml:space="preserve">zeigt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an Bausubstanz. </w:t>
      </w:r>
      <w:r w:rsidRPr="00195E02">
        <w:rPr>
          <w:rFonts w:eastAsia="Times New Roman" w:cs="Times New Roman"/>
          <w:b/>
          <w:bCs/>
          <w:rtl/>
          <w:lang w:eastAsia="de-DE"/>
        </w:rPr>
        <w:t>שקערורת</w:t>
      </w:r>
      <w:r w:rsidRPr="00195E02">
        <w:rPr>
          <w:rFonts w:eastAsia="Times New Roman" w:cs="Times New Roman"/>
          <w:rtl/>
          <w:lang w:eastAsia="de-DE"/>
        </w:rPr>
        <w:t xml:space="preserve"> </w:t>
      </w:r>
      <w:r w:rsidRPr="00195E02">
        <w:rPr>
          <w:rFonts w:eastAsia="Times New Roman" w:cs="Times New Roman"/>
          <w:lang w:eastAsia="de-DE"/>
        </w:rPr>
        <w:t xml:space="preserve">als muldenförmige Vertiefungen unterschiedlich von Hautvertiefungen. </w:t>
      </w:r>
      <w:r w:rsidRPr="00195E02">
        <w:rPr>
          <w:rFonts w:eastAsia="Times New Roman" w:cs="Times New Roman"/>
          <w:b/>
          <w:bCs/>
          <w:rtl/>
          <w:lang w:eastAsia="de-DE"/>
        </w:rPr>
        <w:t>ירקרקת או אדמדמת</w:t>
      </w:r>
      <w:r w:rsidRPr="00195E02">
        <w:rPr>
          <w:rFonts w:eastAsia="Times New Roman" w:cs="Times New Roman"/>
          <w:rtl/>
          <w:lang w:eastAsia="de-DE"/>
        </w:rPr>
        <w:t xml:space="preserve"> </w:t>
      </w:r>
      <w:r w:rsidRPr="00195E02">
        <w:rPr>
          <w:rFonts w:eastAsia="Times New Roman" w:cs="Times New Roman"/>
          <w:lang w:eastAsia="de-DE"/>
        </w:rPr>
        <w:t>entspricht Textil-</w:t>
      </w:r>
      <w:r w:rsidRPr="00195E02">
        <w:rPr>
          <w:rFonts w:eastAsia="Times New Roman" w:cs="Times New Roman"/>
          <w:b/>
          <w:bCs/>
          <w:rtl/>
          <w:lang w:eastAsia="de-DE"/>
        </w:rPr>
        <w:t>צרעת</w:t>
      </w:r>
      <w:r w:rsidRPr="00195E02">
        <w:rPr>
          <w:rFonts w:eastAsia="Times New Roman" w:cs="Times New Roman"/>
          <w:lang w:eastAsia="de-DE"/>
        </w:rPr>
        <w:t>-Farben, nicht den weißlichen Hauttönen.</w:t>
      </w:r>
    </w:p>
    <w:p w14:paraId="37E84584" w14:textId="52A4A4F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שקעררות</w:t>
      </w:r>
      <w:r w:rsidR="00523826">
        <w:t xml:space="preserve"> (</w:t>
      </w:r>
      <w:proofErr w:type="spellStart"/>
      <w:r w:rsidR="00523826">
        <w:t>sheqa'rurот</w:t>
      </w:r>
      <w:proofErr w:type="spellEnd"/>
      <w:r w:rsidR="00523826">
        <w:t xml:space="preserve"> - "Vertiefungen") als </w:t>
      </w:r>
      <w:proofErr w:type="spellStart"/>
      <w:r w:rsidR="00523826">
        <w:t>κοιλάδ</w:t>
      </w:r>
      <w:proofErr w:type="spellEnd"/>
      <w:r w:rsidR="00523826">
        <w:t xml:space="preserve">ας (Hohlräume), </w:t>
      </w:r>
      <w:r w:rsidR="00523826">
        <w:rPr>
          <w:rtl/>
        </w:rPr>
        <w:t>ירקרקת</w:t>
      </w:r>
      <w:r w:rsidR="00523826">
        <w:t xml:space="preserve"> (</w:t>
      </w:r>
      <w:proofErr w:type="spellStart"/>
      <w:r w:rsidR="00523826">
        <w:t>yeraqqot</w:t>
      </w:r>
      <w:proofErr w:type="spellEnd"/>
      <w:r w:rsidR="00523826">
        <w:t xml:space="preserve"> - "grünlich") als </w:t>
      </w:r>
      <w:proofErr w:type="spellStart"/>
      <w:r w:rsidR="00523826">
        <w:t>χλωριζούσ</w:t>
      </w:r>
      <w:proofErr w:type="spellEnd"/>
      <w:r w:rsidR="00523826">
        <w:t xml:space="preserve">ας (grünend), und </w:t>
      </w:r>
      <w:r w:rsidR="00523826">
        <w:rPr>
          <w:rtl/>
        </w:rPr>
        <w:t>אדמדמת</w:t>
      </w:r>
      <w:r w:rsidR="00523826">
        <w:t xml:space="preserve"> (</w:t>
      </w:r>
      <w:proofErr w:type="spellStart"/>
      <w:r w:rsidR="00523826">
        <w:t>adamdamot</w:t>
      </w:r>
      <w:proofErr w:type="spellEnd"/>
      <w:r w:rsidR="00523826">
        <w:t xml:space="preserve"> - "rötlich") als π</w:t>
      </w:r>
      <w:proofErr w:type="spellStart"/>
      <w:r w:rsidR="00523826">
        <w:t>υρριζούσ</w:t>
      </w:r>
      <w:proofErr w:type="spellEnd"/>
      <w:r w:rsidR="00523826">
        <w:t>ας (rötend).</w:t>
      </w:r>
    </w:p>
    <w:p w14:paraId="64BFAB1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Diagnosebefund: priesterliche Untersuchung + Lokalisierung + charakteristische Vertiefungen mit Farbangaben + Tiefenkriterium. Die Struktur überträgt </w:t>
      </w:r>
      <w:r w:rsidRPr="00195E02">
        <w:rPr>
          <w:rFonts w:eastAsia="Times New Roman" w:cs="Times New Roman"/>
          <w:b/>
          <w:bCs/>
          <w:rtl/>
          <w:lang w:eastAsia="de-DE"/>
        </w:rPr>
        <w:t>צרעת</w:t>
      </w:r>
      <w:r w:rsidRPr="00195E02">
        <w:rPr>
          <w:rFonts w:eastAsia="Times New Roman" w:cs="Times New Roman"/>
          <w:lang w:eastAsia="de-DE"/>
        </w:rPr>
        <w:t>-Kriterien auf Architektur.</w:t>
      </w:r>
    </w:p>
    <w:p w14:paraId="2812D4B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grünlich-rötliche Wandvertiefungen als Diagnosekriterien für Häuser-</w:t>
      </w:r>
      <w:r w:rsidRPr="00195E02">
        <w:rPr>
          <w:rFonts w:eastAsia="Times New Roman" w:cs="Times New Roman"/>
          <w:b/>
          <w:bCs/>
          <w:rtl/>
          <w:lang w:eastAsia="de-DE"/>
        </w:rPr>
        <w:t>צרעת</w:t>
      </w:r>
      <w:r w:rsidRPr="00195E02">
        <w:rPr>
          <w:rFonts w:eastAsia="Times New Roman" w:cs="Times New Roman"/>
          <w:lang w:eastAsia="de-DE"/>
        </w:rPr>
        <w:t>.</w:t>
      </w:r>
    </w:p>
    <w:p w14:paraId="7578328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14,38</w:t>
      </w:r>
    </w:p>
    <w:p w14:paraId="1F370CA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וְיָצָ֧א הַכֹּהֵ֛ן מִן־הַבַּ֖יִת אֶל־פֶּ֣תַח הַבָּ֑יִת וְהִסְגִּ֥יר אֶת־הַבַּ֖יִת שִׁבְעַ֥ת יָמִֽים׃</w:t>
      </w:r>
    </w:p>
    <w:p w14:paraId="1DEE4C8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So soll der Priester aus dem Haus hinausgehen zum Eingang des Hauses und das Haus sieben Tage verschließen.</w:t>
      </w:r>
    </w:p>
    <w:p w14:paraId="59F9837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AD80BBA">
          <v:rect id="_x0000_i1428" style="width:0;height:1.5pt" o:hralign="center" o:hrstd="t" o:hr="t" fillcolor="#a0a0a0" stroked="f"/>
        </w:pict>
      </w:r>
    </w:p>
    <w:p w14:paraId="5434880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ויצא הכהן מן־הבית אל־פתח הבית והסגיר את־הבית שבעת ימים</w:t>
      </w:r>
      <w:r w:rsidRPr="00195E02">
        <w:rPr>
          <w:rFonts w:eastAsia="Times New Roman" w:cs="Times New Roman"/>
          <w:rtl/>
          <w:lang w:eastAsia="de-DE"/>
        </w:rPr>
        <w:t xml:space="preserve"> </w:t>
      </w:r>
      <w:r w:rsidRPr="00195E02">
        <w:rPr>
          <w:rFonts w:eastAsia="Times New Roman" w:cs="Times New Roman"/>
          <w:lang w:eastAsia="de-DE"/>
        </w:rPr>
        <w:t xml:space="preserve">zeigt das Quarantäneverfahren für Häuser. </w:t>
      </w:r>
      <w:r w:rsidRPr="00195E02">
        <w:rPr>
          <w:rFonts w:eastAsia="Times New Roman" w:cs="Times New Roman"/>
          <w:b/>
          <w:bCs/>
          <w:rtl/>
          <w:lang w:eastAsia="de-DE"/>
        </w:rPr>
        <w:t>ויצא הכהן מן־הבית אל־פתח הבית</w:t>
      </w:r>
      <w:r w:rsidRPr="00195E02">
        <w:rPr>
          <w:rFonts w:eastAsia="Times New Roman" w:cs="Times New Roman"/>
          <w:rtl/>
          <w:lang w:eastAsia="de-DE"/>
        </w:rPr>
        <w:t xml:space="preserve"> </w:t>
      </w:r>
      <w:r w:rsidRPr="00195E02">
        <w:rPr>
          <w:rFonts w:eastAsia="Times New Roman" w:cs="Times New Roman"/>
          <w:lang w:eastAsia="de-DE"/>
        </w:rPr>
        <w:t xml:space="preserve">(so soll der Priester aus dem Haus hinausgehen zum Eingang des Hauses) zeigt den Gang vom Inneren zum Eingang. </w:t>
      </w:r>
      <w:r w:rsidRPr="00195E02">
        <w:rPr>
          <w:rFonts w:eastAsia="Times New Roman" w:cs="Times New Roman"/>
          <w:b/>
          <w:bCs/>
          <w:rtl/>
          <w:lang w:eastAsia="de-DE"/>
        </w:rPr>
        <w:t>והסגיר את־הבית שבעת ימים</w:t>
      </w:r>
      <w:r w:rsidRPr="00195E02">
        <w:rPr>
          <w:rFonts w:eastAsia="Times New Roman" w:cs="Times New Roman"/>
          <w:rtl/>
          <w:lang w:eastAsia="de-DE"/>
        </w:rPr>
        <w:t xml:space="preserve"> </w:t>
      </w:r>
      <w:r w:rsidRPr="00195E02">
        <w:rPr>
          <w:rFonts w:eastAsia="Times New Roman" w:cs="Times New Roman"/>
          <w:lang w:eastAsia="de-DE"/>
        </w:rPr>
        <w:t xml:space="preserve">(und das Haus sieben Tage verschließen) - </w:t>
      </w:r>
      <w:r w:rsidRPr="00195E02">
        <w:rPr>
          <w:rFonts w:eastAsia="Times New Roman" w:cs="Times New Roman"/>
          <w:b/>
          <w:bCs/>
          <w:rtl/>
          <w:lang w:eastAsia="de-DE"/>
        </w:rPr>
        <w:t>הסגיר</w:t>
      </w:r>
      <w:r w:rsidRPr="00195E02">
        <w:rPr>
          <w:rFonts w:eastAsia="Times New Roman" w:cs="Times New Roman"/>
          <w:rtl/>
          <w:lang w:eastAsia="de-DE"/>
        </w:rPr>
        <w:t xml:space="preserve"> </w:t>
      </w:r>
      <w:r w:rsidRPr="00195E02">
        <w:rPr>
          <w:rFonts w:eastAsia="Times New Roman" w:cs="Times New Roman"/>
          <w:lang w:eastAsia="de-DE"/>
        </w:rPr>
        <w:t>(verschließen) entspricht der Quarantäne bei Menschen und Textilien.</w:t>
      </w:r>
    </w:p>
    <w:p w14:paraId="7E543A2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מן־הבית אל־פתח הבית</w:t>
      </w:r>
      <w:r w:rsidRPr="00195E02">
        <w:rPr>
          <w:rFonts w:eastAsia="Times New Roman" w:cs="Times New Roman"/>
          <w:rtl/>
          <w:lang w:eastAsia="de-DE"/>
        </w:rPr>
        <w:t xml:space="preserve"> </w:t>
      </w:r>
      <w:r w:rsidRPr="00195E02">
        <w:rPr>
          <w:rFonts w:eastAsia="Times New Roman" w:cs="Times New Roman"/>
          <w:lang w:eastAsia="de-DE"/>
        </w:rPr>
        <w:t xml:space="preserve">zeigt Bewegung vom Inneren zum Eingang als Übergangsbereich. </w:t>
      </w:r>
      <w:r w:rsidRPr="00195E02">
        <w:rPr>
          <w:rFonts w:eastAsia="Times New Roman" w:cs="Times New Roman"/>
          <w:b/>
          <w:bCs/>
          <w:rtl/>
          <w:lang w:eastAsia="de-DE"/>
        </w:rPr>
        <w:t>והסגיר את־הבית</w:t>
      </w:r>
      <w:r w:rsidRPr="00195E02">
        <w:rPr>
          <w:rFonts w:eastAsia="Times New Roman" w:cs="Times New Roman"/>
          <w:rtl/>
          <w:lang w:eastAsia="de-DE"/>
        </w:rPr>
        <w:t xml:space="preserve"> </w:t>
      </w:r>
      <w:r w:rsidRPr="00195E02">
        <w:rPr>
          <w:rFonts w:eastAsia="Times New Roman" w:cs="Times New Roman"/>
          <w:lang w:eastAsia="de-DE"/>
        </w:rPr>
        <w:t xml:space="preserve">zeigt, dass das ganze Haus unter Quarantäne gestellt wird.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als Standardquarantänezeit.</w:t>
      </w:r>
    </w:p>
    <w:p w14:paraId="0048E04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ויצא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ἐξελεύσετ</w:t>
      </w:r>
      <w:proofErr w:type="spellEnd"/>
      <w:r w:rsidRPr="00195E02">
        <w:rPr>
          <w:rFonts w:eastAsia="Times New Roman" w:cs="Times New Roman"/>
          <w:lang w:eastAsia="de-DE"/>
        </w:rPr>
        <w:t xml:space="preserve">αι (er wird hinausgehen), </w:t>
      </w:r>
      <w:r w:rsidRPr="00195E02">
        <w:rPr>
          <w:rFonts w:eastAsia="Times New Roman" w:cs="Times New Roman"/>
          <w:b/>
          <w:bCs/>
          <w:rtl/>
          <w:lang w:eastAsia="de-DE"/>
        </w:rPr>
        <w:t>פתח הבית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θύρ</w:t>
      </w:r>
      <w:proofErr w:type="spellEnd"/>
      <w:r w:rsidRPr="00195E02">
        <w:rPr>
          <w:rFonts w:eastAsia="Times New Roman" w:cs="Times New Roman"/>
          <w:lang w:eastAsia="de-DE"/>
        </w:rPr>
        <w:t xml:space="preserve">αν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οἰκί</w:t>
      </w:r>
      <w:proofErr w:type="spellEnd"/>
      <w:r w:rsidRPr="00195E02">
        <w:rPr>
          <w:rFonts w:eastAsia="Times New Roman" w:cs="Times New Roman"/>
          <w:lang w:eastAsia="de-DE"/>
        </w:rPr>
        <w:t xml:space="preserve">ας (Tür des Hauses) und </w:t>
      </w:r>
      <w:r w:rsidRPr="00195E02">
        <w:rPr>
          <w:rFonts w:eastAsia="Times New Roman" w:cs="Times New Roman"/>
          <w:b/>
          <w:bCs/>
          <w:rtl/>
          <w:lang w:eastAsia="de-DE"/>
        </w:rPr>
        <w:t>והסגיר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ἀφοριεῖ</w:t>
      </w:r>
      <w:proofErr w:type="spellEnd"/>
      <w:r w:rsidRPr="00195E02">
        <w:rPr>
          <w:rFonts w:eastAsia="Times New Roman" w:cs="Times New Roman"/>
          <w:lang w:eastAsia="de-DE"/>
        </w:rPr>
        <w:t xml:space="preserve"> (er wird absondern).</w:t>
      </w:r>
    </w:p>
    <w:p w14:paraId="06D127D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Quarantäneeinleitung: priesterlicher Rückzug + Positionierung am Eingang + Hausverschließung + Standardquarantänezeit. Die Struktur zeigt Übertragung des Quarantäneverfahrens auf Immobilien.</w:t>
      </w:r>
    </w:p>
    <w:p w14:paraId="20F1217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siebentägige Hausquarantäne nach verdächtigen Befunden.</w:t>
      </w:r>
    </w:p>
    <w:p w14:paraId="5D9EB93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14,39</w:t>
      </w:r>
    </w:p>
    <w:p w14:paraId="2D33D3B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וְשָׁ֥ב הַכֹּהֵ֖ן בַּיּ֣וֹם הַשְּׁבִיעִ֑י וְרָאָ֕ה וְהִנֵּ֛ה פָּשָׂ֥ה הַנֶּ֖גַע בְּקִירֹ֥ת הַבָּֽיִת׃</w:t>
      </w:r>
    </w:p>
    <w:p w14:paraId="384D470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soll zurückkehren am siebten Tag und sehen, und siehe, das Mal hat sich ausgebreitet an den Wänden des Hauses,</w:t>
      </w:r>
    </w:p>
    <w:p w14:paraId="07ABB37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D46CEBC">
          <v:rect id="_x0000_i1429" style="width:0;height:1.5pt" o:hralign="center" o:hrstd="t" o:hr="t" fillcolor="#a0a0a0" stroked="f"/>
        </w:pict>
      </w:r>
    </w:p>
    <w:p w14:paraId="610F90E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ושב הכהן ביום השביעי וראה והנה פשה הנגע בקירת הבית</w:t>
      </w:r>
      <w:r w:rsidRPr="00195E02">
        <w:rPr>
          <w:rFonts w:eastAsia="Times New Roman" w:cs="Times New Roman"/>
          <w:rtl/>
          <w:lang w:eastAsia="de-DE"/>
        </w:rPr>
        <w:t xml:space="preserve"> </w:t>
      </w:r>
      <w:r w:rsidRPr="00195E02">
        <w:rPr>
          <w:rFonts w:eastAsia="Times New Roman" w:cs="Times New Roman"/>
          <w:lang w:eastAsia="de-DE"/>
        </w:rPr>
        <w:t xml:space="preserve">zeigt die Nachuntersuchung mit negativem Befund. </w:t>
      </w:r>
      <w:r w:rsidRPr="00195E02">
        <w:rPr>
          <w:rFonts w:eastAsia="Times New Roman" w:cs="Times New Roman"/>
          <w:b/>
          <w:bCs/>
          <w:rtl/>
          <w:lang w:eastAsia="de-DE"/>
        </w:rPr>
        <w:t>ושב הכהן ביום השביעי</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zurückkehren am siebten Tag) entspricht dem Standardverfahren bei Menschen und Textilien. </w:t>
      </w:r>
      <w:r w:rsidRPr="00195E02">
        <w:rPr>
          <w:rFonts w:eastAsia="Times New Roman" w:cs="Times New Roman"/>
          <w:b/>
          <w:bCs/>
          <w:rtl/>
          <w:lang w:eastAsia="de-DE"/>
        </w:rPr>
        <w:t>וראה והנה פשה הנגע בקירת הבית</w:t>
      </w:r>
      <w:r w:rsidRPr="00195E02">
        <w:rPr>
          <w:rFonts w:eastAsia="Times New Roman" w:cs="Times New Roman"/>
          <w:rtl/>
          <w:lang w:eastAsia="de-DE"/>
        </w:rPr>
        <w:t xml:space="preserve"> </w:t>
      </w:r>
      <w:r w:rsidRPr="00195E02">
        <w:rPr>
          <w:rFonts w:eastAsia="Times New Roman" w:cs="Times New Roman"/>
          <w:lang w:eastAsia="de-DE"/>
        </w:rPr>
        <w:t xml:space="preserve">(und sehen, und siehe, das Mal hat sich ausgebreitet an den Wänden des Hauses) - </w:t>
      </w:r>
      <w:r w:rsidRPr="00195E02">
        <w:rPr>
          <w:rFonts w:eastAsia="Times New Roman" w:cs="Times New Roman"/>
          <w:b/>
          <w:bCs/>
          <w:rtl/>
          <w:lang w:eastAsia="de-DE"/>
        </w:rPr>
        <w:t>פשה הנגע</w:t>
      </w:r>
      <w:r w:rsidRPr="00195E02">
        <w:rPr>
          <w:rFonts w:eastAsia="Times New Roman" w:cs="Times New Roman"/>
          <w:rtl/>
          <w:lang w:eastAsia="de-DE"/>
        </w:rPr>
        <w:t xml:space="preserve"> </w:t>
      </w:r>
      <w:r w:rsidRPr="00195E02">
        <w:rPr>
          <w:rFonts w:eastAsia="Times New Roman" w:cs="Times New Roman"/>
          <w:lang w:eastAsia="de-DE"/>
        </w:rPr>
        <w:t>(das Mal hat sich ausgebreitet) als entscheidendes negatives Kriterium.</w:t>
      </w:r>
    </w:p>
    <w:p w14:paraId="2D35BC4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ושב הכהן</w:t>
      </w:r>
      <w:r w:rsidRPr="00195E02">
        <w:rPr>
          <w:rFonts w:eastAsia="Times New Roman" w:cs="Times New Roman"/>
          <w:rtl/>
          <w:lang w:eastAsia="de-DE"/>
        </w:rPr>
        <w:t xml:space="preserve"> </w:t>
      </w:r>
      <w:r w:rsidRPr="00195E02">
        <w:rPr>
          <w:rFonts w:eastAsia="Times New Roman" w:cs="Times New Roman"/>
          <w:lang w:eastAsia="de-DE"/>
        </w:rPr>
        <w:t xml:space="preserve">zeigt Rückkehr zur Untersuchung nach der Quarantänezeit. </w:t>
      </w:r>
      <w:r w:rsidRPr="00195E02">
        <w:rPr>
          <w:rFonts w:eastAsia="Times New Roman" w:cs="Times New Roman"/>
          <w:b/>
          <w:bCs/>
          <w:rtl/>
          <w:lang w:eastAsia="de-DE"/>
        </w:rPr>
        <w:t>פשה הנגע בקירת הבית</w:t>
      </w:r>
      <w:r w:rsidRPr="00195E02">
        <w:rPr>
          <w:rFonts w:eastAsia="Times New Roman" w:cs="Times New Roman"/>
          <w:rtl/>
          <w:lang w:eastAsia="de-DE"/>
        </w:rPr>
        <w:t xml:space="preserve"> </w:t>
      </w:r>
      <w:r w:rsidRPr="00195E02">
        <w:rPr>
          <w:rFonts w:eastAsia="Times New Roman" w:cs="Times New Roman"/>
          <w:lang w:eastAsia="de-DE"/>
        </w:rPr>
        <w:t>zeigt Ausbreitung an der Bausubstanz als Verschlechterung.</w:t>
      </w:r>
    </w:p>
    <w:p w14:paraId="01843CD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ושב</w:t>
      </w:r>
      <w:r w:rsidRPr="00195E02">
        <w:rPr>
          <w:rFonts w:eastAsia="Times New Roman" w:cs="Times New Roman"/>
          <w:rtl/>
          <w:lang w:eastAsia="de-DE"/>
        </w:rPr>
        <w:t xml:space="preserve"> </w:t>
      </w:r>
      <w:r w:rsidRPr="00195E02">
        <w:rPr>
          <w:rFonts w:eastAsia="Times New Roman" w:cs="Times New Roman"/>
          <w:lang w:eastAsia="de-DE"/>
        </w:rPr>
        <w:t>mit ἐπ</w:t>
      </w:r>
      <w:proofErr w:type="spellStart"/>
      <w:r w:rsidRPr="00195E02">
        <w:rPr>
          <w:rFonts w:eastAsia="Times New Roman" w:cs="Times New Roman"/>
          <w:lang w:eastAsia="de-DE"/>
        </w:rPr>
        <w:t>ιστρέψει</w:t>
      </w:r>
      <w:proofErr w:type="spellEnd"/>
      <w:r w:rsidRPr="00195E02">
        <w:rPr>
          <w:rFonts w:eastAsia="Times New Roman" w:cs="Times New Roman"/>
          <w:lang w:eastAsia="de-DE"/>
        </w:rPr>
        <w:t xml:space="preserve"> (er wird zurückkehren), </w:t>
      </w:r>
      <w:r w:rsidRPr="00195E02">
        <w:rPr>
          <w:rFonts w:eastAsia="Times New Roman" w:cs="Times New Roman"/>
          <w:b/>
          <w:bCs/>
          <w:rtl/>
          <w:lang w:eastAsia="de-DE"/>
        </w:rPr>
        <w:t>פשה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διεχύθη</w:t>
      </w:r>
      <w:proofErr w:type="spellEnd"/>
      <w:r w:rsidRPr="00195E02">
        <w:rPr>
          <w:rFonts w:eastAsia="Times New Roman" w:cs="Times New Roman"/>
          <w:lang w:eastAsia="de-DE"/>
        </w:rPr>
        <w:t xml:space="preserve"> (breitete sich aus) und </w:t>
      </w:r>
      <w:r w:rsidRPr="00195E02">
        <w:rPr>
          <w:rFonts w:eastAsia="Times New Roman" w:cs="Times New Roman"/>
          <w:b/>
          <w:bCs/>
          <w:rtl/>
          <w:lang w:eastAsia="de-DE"/>
        </w:rPr>
        <w:t>בקירת הבית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τοῖς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τοίχοις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οἰκί</w:t>
      </w:r>
      <w:proofErr w:type="spellEnd"/>
      <w:r w:rsidRPr="00195E02">
        <w:rPr>
          <w:rFonts w:eastAsia="Times New Roman" w:cs="Times New Roman"/>
          <w:lang w:eastAsia="de-DE"/>
        </w:rPr>
        <w:t>ας (an den Wänden des Hauses).</w:t>
      </w:r>
    </w:p>
    <w:p w14:paraId="491EF08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negative Entwicklung: terminierte Rückkehr + Untersuchung + Ausbreitungsnachweis. Die unvollständige Struktur führt zu den Konsequenzen in V. 40.</w:t>
      </w:r>
    </w:p>
    <w:p w14:paraId="42FE3E8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die Nachuntersuchung mit dem negativen Befund der </w:t>
      </w:r>
      <w:r w:rsidRPr="00195E02">
        <w:rPr>
          <w:rFonts w:eastAsia="Times New Roman" w:cs="Times New Roman"/>
          <w:b/>
          <w:bCs/>
          <w:rtl/>
          <w:lang w:eastAsia="de-DE"/>
        </w:rPr>
        <w:t>צרעת</w:t>
      </w:r>
      <w:r w:rsidRPr="00195E02">
        <w:rPr>
          <w:rFonts w:eastAsia="Times New Roman" w:cs="Times New Roman"/>
          <w:lang w:eastAsia="de-DE"/>
        </w:rPr>
        <w:t>-Ausbreitung an den Hauswänden.</w:t>
      </w:r>
    </w:p>
    <w:p w14:paraId="2EB11A3B"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14,40</w:t>
      </w:r>
    </w:p>
    <w:p w14:paraId="5B481FD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וְצִוָּה֙ הַכֹּהֵ֔ן וְחִלְּצוּ֙ אֶת־הָ֣אֲבָנִ֔ים אֲשֶׁ֥ר בָּהֵ֖ן הַנָּ֑גַע וְהִשְׁלִ֤יכוּ אֶתְהֶן֙ אֶל־מִח֣וּץ לָעִ֔יר אֶל־מָק֖וֹם טָמֵֽא׃</w:t>
      </w:r>
    </w:p>
    <w:p w14:paraId="78F9CC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So soll der Priester gebieten, und sie sollen die Steine herausreißen, an denen das Mal ist, und sie hinauswerfen außerhalb der Stadt an einen unreinen Ort.</w:t>
      </w:r>
    </w:p>
    <w:p w14:paraId="2215E5DE"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075FF5B">
          <v:rect id="_x0000_i1430" style="width:0;height:1.5pt" o:hralign="center" o:hrstd="t" o:hr="t" fillcolor="#a0a0a0" stroked="f"/>
        </w:pict>
      </w:r>
    </w:p>
    <w:p w14:paraId="3D2032B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וצוה הכהן וחלצו את־האבנים אשר בהן הנגע והשליכו אתהן 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 xml:space="preserve">zeigt die erste Sanierungsmaßnahme. </w:t>
      </w:r>
      <w:r w:rsidRPr="00195E02">
        <w:rPr>
          <w:rFonts w:eastAsia="Times New Roman" w:cs="Times New Roman"/>
          <w:b/>
          <w:bCs/>
          <w:rtl/>
          <w:lang w:eastAsia="de-DE"/>
        </w:rPr>
        <w:t>וצוה הכהן וחלצו את־האבנים</w:t>
      </w:r>
      <w:r w:rsidRPr="00195E02">
        <w:rPr>
          <w:rFonts w:eastAsia="Times New Roman" w:cs="Times New Roman"/>
          <w:rtl/>
          <w:lang w:eastAsia="de-DE"/>
        </w:rPr>
        <w:t xml:space="preserve"> </w:t>
      </w:r>
      <w:r w:rsidRPr="00195E02">
        <w:rPr>
          <w:rFonts w:eastAsia="Times New Roman" w:cs="Times New Roman"/>
          <w:lang w:eastAsia="de-DE"/>
        </w:rPr>
        <w:t xml:space="preserve">(so soll der Priester gebieten, und sie sollen die Steine herausreißen) - </w:t>
      </w:r>
      <w:r w:rsidRPr="00195E02">
        <w:rPr>
          <w:rFonts w:eastAsia="Times New Roman" w:cs="Times New Roman"/>
          <w:b/>
          <w:bCs/>
          <w:rtl/>
          <w:lang w:eastAsia="de-DE"/>
        </w:rPr>
        <w:t>חלץ</w:t>
      </w:r>
      <w:r w:rsidRPr="00195E02">
        <w:rPr>
          <w:rFonts w:eastAsia="Times New Roman" w:cs="Times New Roman"/>
          <w:rtl/>
          <w:lang w:eastAsia="de-DE"/>
        </w:rPr>
        <w:t xml:space="preserve"> </w:t>
      </w:r>
      <w:r w:rsidRPr="00195E02">
        <w:rPr>
          <w:rFonts w:eastAsia="Times New Roman" w:cs="Times New Roman"/>
          <w:lang w:eastAsia="de-DE"/>
        </w:rPr>
        <w:t xml:space="preserve">(herausreißen/entfernen) im Qal-Perfekt. </w:t>
      </w:r>
      <w:r w:rsidRPr="00195E02">
        <w:rPr>
          <w:rFonts w:eastAsia="Times New Roman" w:cs="Times New Roman"/>
          <w:b/>
          <w:bCs/>
          <w:rtl/>
          <w:lang w:eastAsia="de-DE"/>
        </w:rPr>
        <w:t>אשר בהן הנגע</w:t>
      </w:r>
      <w:r w:rsidRPr="00195E02">
        <w:rPr>
          <w:rFonts w:eastAsia="Times New Roman" w:cs="Times New Roman"/>
          <w:rtl/>
          <w:lang w:eastAsia="de-DE"/>
        </w:rPr>
        <w:t xml:space="preserve"> </w:t>
      </w:r>
      <w:r w:rsidRPr="00195E02">
        <w:rPr>
          <w:rFonts w:eastAsia="Times New Roman" w:cs="Times New Roman"/>
          <w:lang w:eastAsia="de-DE"/>
        </w:rPr>
        <w:t>(an denen das Mal ist) spezifiziert nur die befallenen Steine.</w:t>
      </w:r>
    </w:p>
    <w:p w14:paraId="174671B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והשליכו אתהן 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 xml:space="preserve">(und sie hinauswerfen außerhalb der Stadt an einen unreinen Ort) - </w:t>
      </w:r>
      <w:r w:rsidRPr="00195E02">
        <w:rPr>
          <w:rFonts w:eastAsia="Times New Roman" w:cs="Times New Roman"/>
          <w:b/>
          <w:bCs/>
          <w:rtl/>
          <w:lang w:eastAsia="de-DE"/>
        </w:rPr>
        <w:t>השליכו</w:t>
      </w:r>
      <w:r w:rsidRPr="00195E02">
        <w:rPr>
          <w:rFonts w:eastAsia="Times New Roman" w:cs="Times New Roman"/>
          <w:rtl/>
          <w:lang w:eastAsia="de-DE"/>
        </w:rPr>
        <w:t xml:space="preserve"> </w:t>
      </w:r>
      <w:r w:rsidRPr="00195E02">
        <w:rPr>
          <w:rFonts w:eastAsia="Times New Roman" w:cs="Times New Roman"/>
          <w:lang w:eastAsia="de-DE"/>
        </w:rPr>
        <w:t xml:space="preserve">(hinauswerfen) im Hifil-Perfekt, </w:t>
      </w:r>
      <w:r w:rsidRPr="00195E02">
        <w:rPr>
          <w:rFonts w:eastAsia="Times New Roman" w:cs="Times New Roman"/>
          <w:b/>
          <w:bCs/>
          <w:rtl/>
          <w:lang w:eastAsia="de-DE"/>
        </w:rPr>
        <w:t>מחוץ לעיר</w:t>
      </w:r>
      <w:r w:rsidRPr="00195E02">
        <w:rPr>
          <w:rFonts w:eastAsia="Times New Roman" w:cs="Times New Roman"/>
          <w:rtl/>
          <w:lang w:eastAsia="de-DE"/>
        </w:rPr>
        <w:t xml:space="preserve"> </w:t>
      </w:r>
      <w:r w:rsidRPr="00195E02">
        <w:rPr>
          <w:rFonts w:eastAsia="Times New Roman" w:cs="Times New Roman"/>
          <w:lang w:eastAsia="de-DE"/>
        </w:rPr>
        <w:t xml:space="preserve">(außerhalb der Stadt) wie bei menschlicher </w:t>
      </w:r>
      <w:r w:rsidRPr="00195E02">
        <w:rPr>
          <w:rFonts w:eastAsia="Times New Roman" w:cs="Times New Roman"/>
          <w:b/>
          <w:bCs/>
          <w:rtl/>
          <w:lang w:eastAsia="de-DE"/>
        </w:rPr>
        <w:t>צרעת</w:t>
      </w:r>
      <w:r w:rsidRPr="00195E02">
        <w:rPr>
          <w:rFonts w:eastAsia="Times New Roman" w:cs="Times New Roman"/>
          <w:lang w:eastAsia="de-DE"/>
        </w:rPr>
        <w:t xml:space="preserve">-Isolation, </w:t>
      </w:r>
      <w:r w:rsidRPr="00195E02">
        <w:rPr>
          <w:rFonts w:eastAsia="Times New Roman" w:cs="Times New Roman"/>
          <w:b/>
          <w:bCs/>
          <w:rtl/>
          <w:lang w:eastAsia="de-DE"/>
        </w:rPr>
        <w:t>מקום טמא</w:t>
      </w:r>
      <w:r w:rsidRPr="00195E02">
        <w:rPr>
          <w:rFonts w:eastAsia="Times New Roman" w:cs="Times New Roman"/>
          <w:rtl/>
          <w:lang w:eastAsia="de-DE"/>
        </w:rPr>
        <w:t xml:space="preserve"> </w:t>
      </w:r>
      <w:r w:rsidRPr="00195E02">
        <w:rPr>
          <w:rFonts w:eastAsia="Times New Roman" w:cs="Times New Roman"/>
          <w:lang w:eastAsia="de-DE"/>
        </w:rPr>
        <w:t>(unreiner Ort) als Endlagerung.</w:t>
      </w:r>
    </w:p>
    <w:p w14:paraId="048669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חלצו את־האבנים</w:t>
      </w:r>
      <w:r w:rsidRPr="00195E02">
        <w:rPr>
          <w:rFonts w:eastAsia="Times New Roman" w:cs="Times New Roman"/>
          <w:rtl/>
          <w:lang w:eastAsia="de-DE"/>
        </w:rPr>
        <w:t xml:space="preserve"> </w:t>
      </w:r>
      <w:r w:rsidRPr="00195E02">
        <w:rPr>
          <w:rFonts w:eastAsia="Times New Roman" w:cs="Times New Roman"/>
          <w:lang w:eastAsia="de-DE"/>
        </w:rPr>
        <w:t xml:space="preserve">zeigt selektive Entfernung nur befallener Teile. </w:t>
      </w:r>
      <w:r w:rsidRPr="00195E02">
        <w:rPr>
          <w:rFonts w:eastAsia="Times New Roman" w:cs="Times New Roman"/>
          <w:b/>
          <w:bCs/>
          <w:rtl/>
          <w:lang w:eastAsia="de-DE"/>
        </w:rPr>
        <w:t>אל־מחוץ לעיר</w:t>
      </w:r>
      <w:r w:rsidRPr="00195E02">
        <w:rPr>
          <w:rFonts w:eastAsia="Times New Roman" w:cs="Times New Roman"/>
          <w:rtl/>
          <w:lang w:eastAsia="de-DE"/>
        </w:rPr>
        <w:t xml:space="preserve"> </w:t>
      </w:r>
      <w:r w:rsidRPr="00195E02">
        <w:rPr>
          <w:rFonts w:eastAsia="Times New Roman" w:cs="Times New Roman"/>
          <w:lang w:eastAsia="de-DE"/>
        </w:rPr>
        <w:t xml:space="preserve">zeigt räumliche Trennung von der Gemeinschaft. </w:t>
      </w:r>
      <w:r w:rsidRPr="00195E02">
        <w:rPr>
          <w:rFonts w:eastAsia="Times New Roman" w:cs="Times New Roman"/>
          <w:b/>
          <w:bCs/>
          <w:rtl/>
          <w:lang w:eastAsia="de-DE"/>
        </w:rPr>
        <w:t>מקום טמא</w:t>
      </w:r>
      <w:r w:rsidRPr="00195E02">
        <w:rPr>
          <w:rFonts w:eastAsia="Times New Roman" w:cs="Times New Roman"/>
          <w:rtl/>
          <w:lang w:eastAsia="de-DE"/>
        </w:rPr>
        <w:t xml:space="preserve"> </w:t>
      </w:r>
      <w:r w:rsidRPr="00195E02">
        <w:rPr>
          <w:rFonts w:eastAsia="Times New Roman" w:cs="Times New Roman"/>
          <w:lang w:eastAsia="de-DE"/>
        </w:rPr>
        <w:t>als spezielle Deponie für kontaminiertes Material.</w:t>
      </w:r>
    </w:p>
    <w:p w14:paraId="3377232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וחלצו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ἐξελοῦσιν</w:t>
      </w:r>
      <w:proofErr w:type="spellEnd"/>
      <w:r w:rsidRPr="00195E02">
        <w:rPr>
          <w:rFonts w:eastAsia="Times New Roman" w:cs="Times New Roman"/>
          <w:lang w:eastAsia="de-DE"/>
        </w:rPr>
        <w:t xml:space="preserve"> (sie werden herausnehmen), </w:t>
      </w:r>
      <w:r w:rsidRPr="00195E02">
        <w:rPr>
          <w:rFonts w:eastAsia="Times New Roman" w:cs="Times New Roman"/>
          <w:b/>
          <w:bCs/>
          <w:rtl/>
          <w:lang w:eastAsia="de-DE"/>
        </w:rPr>
        <w:t>והשליכו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ἐκ</w:t>
      </w:r>
      <w:proofErr w:type="spellEnd"/>
      <w:r w:rsidRPr="00195E02">
        <w:rPr>
          <w:rFonts w:eastAsia="Times New Roman" w:cs="Times New Roman"/>
          <w:lang w:eastAsia="de-DE"/>
        </w:rPr>
        <w:t xml:space="preserve">βαλοῦσιν (sie werden hinauswerfen) und </w:t>
      </w:r>
      <w:r w:rsidRPr="00195E02">
        <w:rPr>
          <w:rFonts w:eastAsia="Times New Roman" w:cs="Times New Roman"/>
          <w:b/>
          <w:bCs/>
          <w:rtl/>
          <w:lang w:eastAsia="de-DE"/>
        </w:rPr>
        <w:t>מקום טמא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τό</w:t>
      </w:r>
      <w:proofErr w:type="spellEnd"/>
      <w:r w:rsidRPr="00195E02">
        <w:rPr>
          <w:rFonts w:eastAsia="Times New Roman" w:cs="Times New Roman"/>
          <w:lang w:eastAsia="de-DE"/>
        </w:rPr>
        <w:t>πον ἀκάθαρτον (unreinen Ort).</w:t>
      </w:r>
    </w:p>
    <w:p w14:paraId="7C8D710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Teilsanierung: priesterliche Anweisung + selektive Steinentfernung + Entsorgung außerhalb der Stadt + kontaminierte Endlagerung. Die Struktur zeigt kontrollierte Sanierung.</w:t>
      </w:r>
    </w:p>
    <w:p w14:paraId="5936FBA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selektive Entfernung befallener Steine und deren Entsorgung an unreinem Ort außerhalb der Stadt.</w:t>
      </w:r>
    </w:p>
    <w:p w14:paraId="2D61204B"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14,41</w:t>
      </w:r>
    </w:p>
    <w:p w14:paraId="0220A2E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וְאֶת־הַבַּ֛יִת יַקְצִ֥עַ מִבַּ֖יִת סָבִ֑יב וְשָׁפְכ֗וּ אֶת־הֶֽעָפָר֙ אֲשֶׁ֣ר הִקְצ֔וּ אֶל־מִח֣וּץ לָעִ֔יר אֶל־מָק֖וֹם טָמֵֽא׃</w:t>
      </w:r>
    </w:p>
    <w:p w14:paraId="39175B7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das Haus soll er innen ringsum abkratzen lassen, und sie sollen den Staub, den sie abgekratzt haben, hinausschütten außerhalb der Stadt an einen unreinen Ort.</w:t>
      </w:r>
    </w:p>
    <w:p w14:paraId="501C469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9D1FFAD">
          <v:rect id="_x0000_i1431" style="width:0;height:1.5pt" o:hralign="center" o:hrstd="t" o:hr="t" fillcolor="#a0a0a0" stroked="f"/>
        </w:pict>
      </w:r>
    </w:p>
    <w:p w14:paraId="67CBCF7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ואת־הבית יקצע מבית סביב ושפכו את־העפר אשר הקצו 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 xml:space="preserve">zeigt umfassende Innenreinigung. </w:t>
      </w:r>
      <w:r w:rsidRPr="00195E02">
        <w:rPr>
          <w:rFonts w:eastAsia="Times New Roman" w:cs="Times New Roman"/>
          <w:b/>
          <w:bCs/>
          <w:rtl/>
          <w:lang w:eastAsia="de-DE"/>
        </w:rPr>
        <w:t>ואת־הבית יקצע מבית סביב</w:t>
      </w:r>
      <w:r w:rsidRPr="00195E02">
        <w:rPr>
          <w:rFonts w:eastAsia="Times New Roman" w:cs="Times New Roman"/>
          <w:rtl/>
          <w:lang w:eastAsia="de-DE"/>
        </w:rPr>
        <w:t xml:space="preserve"> </w:t>
      </w:r>
      <w:r w:rsidRPr="00195E02">
        <w:rPr>
          <w:rFonts w:eastAsia="Times New Roman" w:cs="Times New Roman"/>
          <w:lang w:eastAsia="de-DE"/>
        </w:rPr>
        <w:t xml:space="preserve">(und das Haus soll er innen ringsum abkratzen lassen) - </w:t>
      </w:r>
      <w:r w:rsidRPr="00195E02">
        <w:rPr>
          <w:rFonts w:eastAsia="Times New Roman" w:cs="Times New Roman"/>
          <w:b/>
          <w:bCs/>
          <w:rtl/>
          <w:lang w:eastAsia="de-DE"/>
        </w:rPr>
        <w:t>יקצע</w:t>
      </w:r>
      <w:r w:rsidRPr="00195E02">
        <w:rPr>
          <w:rFonts w:eastAsia="Times New Roman" w:cs="Times New Roman"/>
          <w:rtl/>
          <w:lang w:eastAsia="de-DE"/>
        </w:rPr>
        <w:t xml:space="preserve"> </w:t>
      </w:r>
      <w:r w:rsidRPr="00195E02">
        <w:rPr>
          <w:rFonts w:eastAsia="Times New Roman" w:cs="Times New Roman"/>
          <w:lang w:eastAsia="de-DE"/>
        </w:rPr>
        <w:t xml:space="preserve">(abkratzen lassen) im Hifil-Imperfekt, </w:t>
      </w:r>
      <w:r w:rsidRPr="00195E02">
        <w:rPr>
          <w:rFonts w:eastAsia="Times New Roman" w:cs="Times New Roman"/>
          <w:b/>
          <w:bCs/>
          <w:rtl/>
          <w:lang w:eastAsia="de-DE"/>
        </w:rPr>
        <w:t>מבית</w:t>
      </w:r>
      <w:r w:rsidRPr="00195E02">
        <w:rPr>
          <w:rFonts w:eastAsia="Times New Roman" w:cs="Times New Roman"/>
          <w:rtl/>
          <w:lang w:eastAsia="de-DE"/>
        </w:rPr>
        <w:t xml:space="preserve"> </w:t>
      </w:r>
      <w:r w:rsidRPr="00195E02">
        <w:rPr>
          <w:rFonts w:eastAsia="Times New Roman" w:cs="Times New Roman"/>
          <w:lang w:eastAsia="de-DE"/>
        </w:rPr>
        <w:t xml:space="preserve">(von innen/inwendig), </w:t>
      </w:r>
      <w:r w:rsidRPr="00195E02">
        <w:rPr>
          <w:rFonts w:eastAsia="Times New Roman" w:cs="Times New Roman"/>
          <w:b/>
          <w:bCs/>
          <w:rtl/>
          <w:lang w:eastAsia="de-DE"/>
        </w:rPr>
        <w:t>סביב</w:t>
      </w:r>
      <w:r w:rsidRPr="00195E02">
        <w:rPr>
          <w:rFonts w:eastAsia="Times New Roman" w:cs="Times New Roman"/>
          <w:rtl/>
          <w:lang w:eastAsia="de-DE"/>
        </w:rPr>
        <w:t xml:space="preserve"> </w:t>
      </w:r>
      <w:r w:rsidRPr="00195E02">
        <w:rPr>
          <w:rFonts w:eastAsia="Times New Roman" w:cs="Times New Roman"/>
          <w:lang w:eastAsia="de-DE"/>
        </w:rPr>
        <w:t>(ringsum) zeigt totale Innenbearbeitung.</w:t>
      </w:r>
    </w:p>
    <w:p w14:paraId="10E3CBB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ושפכו את־העפר אשר הקצו</w:t>
      </w:r>
      <w:r w:rsidRPr="00195E02">
        <w:rPr>
          <w:rFonts w:eastAsia="Times New Roman" w:cs="Times New Roman"/>
          <w:rtl/>
          <w:lang w:eastAsia="de-DE"/>
        </w:rPr>
        <w:t xml:space="preserve"> </w:t>
      </w:r>
      <w:r w:rsidRPr="00195E02">
        <w:rPr>
          <w:rFonts w:eastAsia="Times New Roman" w:cs="Times New Roman"/>
          <w:lang w:eastAsia="de-DE"/>
        </w:rPr>
        <w:t xml:space="preserve">(und sie sollen den Staub, den sie abgekratzt haben, hinausschütten) - </w:t>
      </w:r>
      <w:r w:rsidRPr="00195E02">
        <w:rPr>
          <w:rFonts w:eastAsia="Times New Roman" w:cs="Times New Roman"/>
          <w:b/>
          <w:bCs/>
          <w:rtl/>
          <w:lang w:eastAsia="de-DE"/>
        </w:rPr>
        <w:t>שפכו</w:t>
      </w:r>
      <w:r w:rsidRPr="00195E02">
        <w:rPr>
          <w:rFonts w:eastAsia="Times New Roman" w:cs="Times New Roman"/>
          <w:rtl/>
          <w:lang w:eastAsia="de-DE"/>
        </w:rPr>
        <w:t xml:space="preserve"> </w:t>
      </w:r>
      <w:r w:rsidRPr="00195E02">
        <w:rPr>
          <w:rFonts w:eastAsia="Times New Roman" w:cs="Times New Roman"/>
          <w:lang w:eastAsia="de-DE"/>
        </w:rPr>
        <w:t xml:space="preserve">(hinausschütten) im Qal-Perfekt, </w:t>
      </w:r>
      <w:r w:rsidRPr="00195E02">
        <w:rPr>
          <w:rFonts w:eastAsia="Times New Roman" w:cs="Times New Roman"/>
          <w:b/>
          <w:bCs/>
          <w:rtl/>
          <w:lang w:eastAsia="de-DE"/>
        </w:rPr>
        <w:t>העפר</w:t>
      </w:r>
      <w:r w:rsidRPr="00195E02">
        <w:rPr>
          <w:rFonts w:eastAsia="Times New Roman" w:cs="Times New Roman"/>
          <w:rtl/>
          <w:lang w:eastAsia="de-DE"/>
        </w:rPr>
        <w:t xml:space="preserve"> </w:t>
      </w:r>
      <w:r w:rsidRPr="00195E02">
        <w:rPr>
          <w:rFonts w:eastAsia="Times New Roman" w:cs="Times New Roman"/>
          <w:lang w:eastAsia="de-DE"/>
        </w:rPr>
        <w:t xml:space="preserve">(der Staub) als Abkratzungsmaterial. </w:t>
      </w:r>
      <w:r w:rsidRPr="00195E02">
        <w:rPr>
          <w:rFonts w:eastAsia="Times New Roman" w:cs="Times New Roman"/>
          <w:b/>
          <w:bCs/>
          <w:rtl/>
          <w:lang w:eastAsia="de-DE"/>
        </w:rPr>
        <w:t>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entspricht V. 40.</w:t>
      </w:r>
    </w:p>
    <w:p w14:paraId="0E0A4AF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יקצע מבית סביב</w:t>
      </w:r>
      <w:r w:rsidRPr="00195E02">
        <w:rPr>
          <w:rFonts w:eastAsia="Times New Roman" w:cs="Times New Roman"/>
          <w:rtl/>
          <w:lang w:eastAsia="de-DE"/>
        </w:rPr>
        <w:t xml:space="preserve"> </w:t>
      </w:r>
      <w:r w:rsidRPr="00195E02">
        <w:rPr>
          <w:rFonts w:eastAsia="Times New Roman" w:cs="Times New Roman"/>
          <w:lang w:eastAsia="de-DE"/>
        </w:rPr>
        <w:t xml:space="preserve">zeigt umfassende Innenbehandlung über die Steinentfernung hinaus. </w:t>
      </w:r>
      <w:r w:rsidRPr="00195E02">
        <w:rPr>
          <w:rFonts w:eastAsia="Times New Roman" w:cs="Times New Roman"/>
          <w:b/>
          <w:bCs/>
          <w:rtl/>
          <w:lang w:eastAsia="de-DE"/>
        </w:rPr>
        <w:t>העפר אשר הקצו</w:t>
      </w:r>
      <w:r w:rsidRPr="00195E02">
        <w:rPr>
          <w:rFonts w:eastAsia="Times New Roman" w:cs="Times New Roman"/>
          <w:rtl/>
          <w:lang w:eastAsia="de-DE"/>
        </w:rPr>
        <w:t xml:space="preserve"> </w:t>
      </w:r>
      <w:r w:rsidRPr="00195E02">
        <w:rPr>
          <w:rFonts w:eastAsia="Times New Roman" w:cs="Times New Roman"/>
          <w:lang w:eastAsia="de-DE"/>
        </w:rPr>
        <w:t>zeigt Sammlung aller Abkratzungsreste. Die identische Entsorgung wie in V. 40 zeigt einheitliche Kontaminationsbehandlung.</w:t>
      </w:r>
    </w:p>
    <w:p w14:paraId="3BEB0E18" w14:textId="44904DC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יקצע</w:t>
      </w:r>
      <w:r w:rsidR="00523826">
        <w:t xml:space="preserve"> (</w:t>
      </w:r>
      <w:proofErr w:type="spellStart"/>
      <w:r w:rsidR="00523826">
        <w:t>yaqtzi'a</w:t>
      </w:r>
      <w:proofErr w:type="spellEnd"/>
      <w:r w:rsidR="00523826">
        <w:t xml:space="preserve"> - "abschaben/abkratzen") als ἀπ</w:t>
      </w:r>
      <w:proofErr w:type="spellStart"/>
      <w:r w:rsidR="00523826">
        <w:t>οξύσουσιν</w:t>
      </w:r>
      <w:proofErr w:type="spellEnd"/>
      <w:r w:rsidR="00523826">
        <w:t xml:space="preserve"> (sie werden abschaben), was eine präzise handwerkliche Terminologie verwendet.</w:t>
      </w:r>
    </w:p>
    <w:p w14:paraId="43888E2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Gesamtsanierung: umfassende Innenabkratzung + Abfallsammlung + identische Entsorgung. Die Struktur zeigt radikale Dekontamination.</w:t>
      </w:r>
    </w:p>
    <w:p w14:paraId="68C33DE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umfassende Innenabkratzung des ganzen Hauses und Entsorgung aller Materialreste.</w:t>
      </w:r>
    </w:p>
    <w:p w14:paraId="252B5DF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14,42</w:t>
      </w:r>
    </w:p>
    <w:p w14:paraId="0BC01D9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וְלָקְחוּ֙ אֲבָנִ֣ים אֲחֵר֔וֹת וְהֵבִ֖יאוּ אֶל־תַּ֣חַת הָאֲבָנִ֑ים וְעָפָ֥ר אַחֵ֛ר יִקַּ֖ח וְטָ֥ח אֶת־הַבָּֽיִת׃</w:t>
      </w:r>
    </w:p>
    <w:p w14:paraId="643C6D1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sie sollen andere Steine nehmen und sie bringen an die Stelle der Steine, und anderen Staub soll man nehmen und das Haus verputzen.</w:t>
      </w:r>
    </w:p>
    <w:p w14:paraId="7D32FF5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84A83D6">
          <v:rect id="_x0000_i1432" style="width:0;height:1.5pt" o:hralign="center" o:hrstd="t" o:hr="t" fillcolor="#a0a0a0" stroked="f"/>
        </w:pict>
      </w:r>
    </w:p>
    <w:p w14:paraId="287BD9C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ולקחו אבנים אחרות והביאו אל־תחת האבנים ועפר אחר יקח וטח את־הבית</w:t>
      </w:r>
      <w:r w:rsidRPr="00195E02">
        <w:rPr>
          <w:rFonts w:eastAsia="Times New Roman" w:cs="Times New Roman"/>
          <w:rtl/>
          <w:lang w:eastAsia="de-DE"/>
        </w:rPr>
        <w:t xml:space="preserve"> </w:t>
      </w:r>
      <w:r w:rsidRPr="00195E02">
        <w:rPr>
          <w:rFonts w:eastAsia="Times New Roman" w:cs="Times New Roman"/>
          <w:lang w:eastAsia="de-DE"/>
        </w:rPr>
        <w:t xml:space="preserve">zeigt die Wiederherstellungsarbeiten. </w:t>
      </w:r>
      <w:r w:rsidRPr="00195E02">
        <w:rPr>
          <w:rFonts w:eastAsia="Times New Roman" w:cs="Times New Roman"/>
          <w:b/>
          <w:bCs/>
          <w:rtl/>
          <w:lang w:eastAsia="de-DE"/>
        </w:rPr>
        <w:t>ולקחו אבנים אחרות והביאו אל־תחת האבנים</w:t>
      </w:r>
      <w:r w:rsidRPr="00195E02">
        <w:rPr>
          <w:rFonts w:eastAsia="Times New Roman" w:cs="Times New Roman"/>
          <w:rtl/>
          <w:lang w:eastAsia="de-DE"/>
        </w:rPr>
        <w:t xml:space="preserve"> </w:t>
      </w:r>
      <w:r w:rsidRPr="00195E02">
        <w:rPr>
          <w:rFonts w:eastAsia="Times New Roman" w:cs="Times New Roman"/>
          <w:lang w:eastAsia="de-DE"/>
        </w:rPr>
        <w:t xml:space="preserve">(und sie sollen andere Steine nehmen und sie bringen an die Stelle der Steine) - </w:t>
      </w:r>
      <w:r w:rsidRPr="00195E02">
        <w:rPr>
          <w:rFonts w:eastAsia="Times New Roman" w:cs="Times New Roman"/>
          <w:b/>
          <w:bCs/>
          <w:rtl/>
          <w:lang w:eastAsia="de-DE"/>
        </w:rPr>
        <w:t>אבנים אחרות</w:t>
      </w:r>
      <w:r w:rsidRPr="00195E02">
        <w:rPr>
          <w:rFonts w:eastAsia="Times New Roman" w:cs="Times New Roman"/>
          <w:rtl/>
          <w:lang w:eastAsia="de-DE"/>
        </w:rPr>
        <w:t xml:space="preserve"> </w:t>
      </w:r>
      <w:r w:rsidRPr="00195E02">
        <w:rPr>
          <w:rFonts w:eastAsia="Times New Roman" w:cs="Times New Roman"/>
          <w:lang w:eastAsia="de-DE"/>
        </w:rPr>
        <w:t xml:space="preserve">(andere Steine) als Ersatz, </w:t>
      </w:r>
      <w:r w:rsidRPr="00195E02">
        <w:rPr>
          <w:rFonts w:eastAsia="Times New Roman" w:cs="Times New Roman"/>
          <w:b/>
          <w:bCs/>
          <w:rtl/>
          <w:lang w:eastAsia="de-DE"/>
        </w:rPr>
        <w:t>אל־תחת האבנים</w:t>
      </w:r>
      <w:r w:rsidRPr="00195E02">
        <w:rPr>
          <w:rFonts w:eastAsia="Times New Roman" w:cs="Times New Roman"/>
          <w:rtl/>
          <w:lang w:eastAsia="de-DE"/>
        </w:rPr>
        <w:t xml:space="preserve"> </w:t>
      </w:r>
      <w:r w:rsidRPr="00195E02">
        <w:rPr>
          <w:rFonts w:eastAsia="Times New Roman" w:cs="Times New Roman"/>
          <w:lang w:eastAsia="de-DE"/>
        </w:rPr>
        <w:t>(an die Stelle der Steine) zeigt präzisen Ersatz der entfernten Steine.</w:t>
      </w:r>
    </w:p>
    <w:p w14:paraId="325F2B5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ועפר אחר יקח וטח את־הבית</w:t>
      </w:r>
      <w:r w:rsidRPr="00195E02">
        <w:rPr>
          <w:rFonts w:eastAsia="Times New Roman" w:cs="Times New Roman"/>
          <w:rtl/>
          <w:lang w:eastAsia="de-DE"/>
        </w:rPr>
        <w:t xml:space="preserve"> </w:t>
      </w:r>
      <w:r w:rsidRPr="00195E02">
        <w:rPr>
          <w:rFonts w:eastAsia="Times New Roman" w:cs="Times New Roman"/>
          <w:lang w:eastAsia="de-DE"/>
        </w:rPr>
        <w:t xml:space="preserve">(und anderen Staub soll man nehmen und das Haus verputzen) - </w:t>
      </w:r>
      <w:r w:rsidRPr="00195E02">
        <w:rPr>
          <w:rFonts w:eastAsia="Times New Roman" w:cs="Times New Roman"/>
          <w:b/>
          <w:bCs/>
          <w:rtl/>
          <w:lang w:eastAsia="de-DE"/>
        </w:rPr>
        <w:t>עפר אחר</w:t>
      </w:r>
      <w:r w:rsidRPr="00195E02">
        <w:rPr>
          <w:rFonts w:eastAsia="Times New Roman" w:cs="Times New Roman"/>
          <w:rtl/>
          <w:lang w:eastAsia="de-DE"/>
        </w:rPr>
        <w:t xml:space="preserve"> </w:t>
      </w:r>
      <w:r w:rsidRPr="00195E02">
        <w:rPr>
          <w:rFonts w:eastAsia="Times New Roman" w:cs="Times New Roman"/>
          <w:lang w:eastAsia="de-DE"/>
        </w:rPr>
        <w:t xml:space="preserve">(anderen Staub) als neues Verputzmaterial, </w:t>
      </w:r>
      <w:r w:rsidRPr="00195E02">
        <w:rPr>
          <w:rFonts w:eastAsia="Times New Roman" w:cs="Times New Roman"/>
          <w:b/>
          <w:bCs/>
          <w:rtl/>
          <w:lang w:eastAsia="de-DE"/>
        </w:rPr>
        <w:t>וטח את־הבית</w:t>
      </w:r>
      <w:r w:rsidRPr="00195E02">
        <w:rPr>
          <w:rFonts w:eastAsia="Times New Roman" w:cs="Times New Roman"/>
          <w:rtl/>
          <w:lang w:eastAsia="de-DE"/>
        </w:rPr>
        <w:t xml:space="preserve"> </w:t>
      </w:r>
      <w:r w:rsidRPr="00195E02">
        <w:rPr>
          <w:rFonts w:eastAsia="Times New Roman" w:cs="Times New Roman"/>
          <w:lang w:eastAsia="de-DE"/>
        </w:rPr>
        <w:t xml:space="preserve">(und das Haus verputzen) - </w:t>
      </w:r>
      <w:r w:rsidRPr="00195E02">
        <w:rPr>
          <w:rFonts w:eastAsia="Times New Roman" w:cs="Times New Roman"/>
          <w:b/>
          <w:bCs/>
          <w:rtl/>
          <w:lang w:eastAsia="de-DE"/>
        </w:rPr>
        <w:t>טח</w:t>
      </w:r>
      <w:r w:rsidRPr="00195E02">
        <w:rPr>
          <w:rFonts w:eastAsia="Times New Roman" w:cs="Times New Roman"/>
          <w:rtl/>
          <w:lang w:eastAsia="de-DE"/>
        </w:rPr>
        <w:t xml:space="preserve"> </w:t>
      </w:r>
      <w:r w:rsidRPr="00195E02">
        <w:rPr>
          <w:rFonts w:eastAsia="Times New Roman" w:cs="Times New Roman"/>
          <w:lang w:eastAsia="de-DE"/>
        </w:rPr>
        <w:t>(verputzen) im Qal-Perfekt zeigt Wiederherstellung der Wandoberflächen.</w:t>
      </w:r>
    </w:p>
    <w:p w14:paraId="080FA13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אבנים אחרות</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עפר אחר</w:t>
      </w:r>
      <w:r w:rsidRPr="00195E02">
        <w:rPr>
          <w:rFonts w:eastAsia="Times New Roman" w:cs="Times New Roman"/>
          <w:rtl/>
          <w:lang w:eastAsia="de-DE"/>
        </w:rPr>
        <w:t xml:space="preserve"> </w:t>
      </w:r>
      <w:r w:rsidRPr="00195E02">
        <w:rPr>
          <w:rFonts w:eastAsia="Times New Roman" w:cs="Times New Roman"/>
          <w:lang w:eastAsia="de-DE"/>
        </w:rPr>
        <w:t xml:space="preserve">betonen neue, uncontaminierte Materialien. </w:t>
      </w:r>
      <w:r w:rsidRPr="00195E02">
        <w:rPr>
          <w:rFonts w:eastAsia="Times New Roman" w:cs="Times New Roman"/>
          <w:b/>
          <w:bCs/>
          <w:rtl/>
          <w:lang w:eastAsia="de-DE"/>
        </w:rPr>
        <w:t>תחת האבנים</w:t>
      </w:r>
      <w:r w:rsidRPr="00195E02">
        <w:rPr>
          <w:rFonts w:eastAsia="Times New Roman" w:cs="Times New Roman"/>
          <w:rtl/>
          <w:lang w:eastAsia="de-DE"/>
        </w:rPr>
        <w:t xml:space="preserve"> </w:t>
      </w:r>
      <w:r w:rsidRPr="00195E02">
        <w:rPr>
          <w:rFonts w:eastAsia="Times New Roman" w:cs="Times New Roman"/>
          <w:lang w:eastAsia="de-DE"/>
        </w:rPr>
        <w:t xml:space="preserve">zeigt strukturelle Wiederherstellung. </w:t>
      </w:r>
      <w:r w:rsidRPr="00195E02">
        <w:rPr>
          <w:rFonts w:eastAsia="Times New Roman" w:cs="Times New Roman"/>
          <w:b/>
          <w:bCs/>
          <w:rtl/>
          <w:lang w:eastAsia="de-DE"/>
        </w:rPr>
        <w:t>וטח את־הבית</w:t>
      </w:r>
      <w:r w:rsidRPr="00195E02">
        <w:rPr>
          <w:rFonts w:eastAsia="Times New Roman" w:cs="Times New Roman"/>
          <w:rtl/>
          <w:lang w:eastAsia="de-DE"/>
        </w:rPr>
        <w:t xml:space="preserve"> </w:t>
      </w:r>
      <w:r w:rsidRPr="00195E02">
        <w:rPr>
          <w:rFonts w:eastAsia="Times New Roman" w:cs="Times New Roman"/>
          <w:lang w:eastAsia="de-DE"/>
        </w:rPr>
        <w:t>zeigt vollständige Oberflächenerneuerung.</w:t>
      </w:r>
    </w:p>
    <w:p w14:paraId="5AA7D22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אבנים אחרות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λίθους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ἑτέρους</w:t>
      </w:r>
      <w:proofErr w:type="spellEnd"/>
      <w:r w:rsidRPr="00195E02">
        <w:rPr>
          <w:rFonts w:eastAsia="Times New Roman" w:cs="Times New Roman"/>
          <w:lang w:eastAsia="de-DE"/>
        </w:rPr>
        <w:t xml:space="preserve"> (andere Steine), </w:t>
      </w:r>
      <w:r w:rsidRPr="00195E02">
        <w:rPr>
          <w:rFonts w:eastAsia="Times New Roman" w:cs="Times New Roman"/>
          <w:b/>
          <w:bCs/>
          <w:rtl/>
          <w:lang w:eastAsia="de-DE"/>
        </w:rPr>
        <w:t>תחת האבנים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ἀντὶ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τῶν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λίθων</w:t>
      </w:r>
      <w:proofErr w:type="spellEnd"/>
      <w:r w:rsidRPr="00195E02">
        <w:rPr>
          <w:rFonts w:eastAsia="Times New Roman" w:cs="Times New Roman"/>
          <w:lang w:eastAsia="de-DE"/>
        </w:rPr>
        <w:t xml:space="preserve"> (anstelle der Steine), </w:t>
      </w:r>
      <w:r w:rsidRPr="00195E02">
        <w:rPr>
          <w:rFonts w:eastAsia="Times New Roman" w:cs="Times New Roman"/>
          <w:b/>
          <w:bCs/>
          <w:rtl/>
          <w:lang w:eastAsia="de-DE"/>
        </w:rPr>
        <w:t>עפר אחר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κονί</w:t>
      </w:r>
      <w:proofErr w:type="spellEnd"/>
      <w:r w:rsidRPr="00195E02">
        <w:rPr>
          <w:rFonts w:eastAsia="Times New Roman" w:cs="Times New Roman"/>
          <w:lang w:eastAsia="de-DE"/>
        </w:rPr>
        <w:t xml:space="preserve">αμα </w:t>
      </w:r>
      <w:proofErr w:type="spellStart"/>
      <w:r w:rsidRPr="00195E02">
        <w:rPr>
          <w:rFonts w:eastAsia="Times New Roman" w:cs="Times New Roman"/>
          <w:lang w:eastAsia="de-DE"/>
        </w:rPr>
        <w:t>ἕτερον</w:t>
      </w:r>
      <w:proofErr w:type="spellEnd"/>
      <w:r w:rsidRPr="00195E02">
        <w:rPr>
          <w:rFonts w:eastAsia="Times New Roman" w:cs="Times New Roman"/>
          <w:lang w:eastAsia="de-DE"/>
        </w:rPr>
        <w:t xml:space="preserve"> (anderen Mörtel) und </w:t>
      </w:r>
      <w:r w:rsidRPr="00195E02">
        <w:rPr>
          <w:rFonts w:eastAsia="Times New Roman" w:cs="Times New Roman"/>
          <w:b/>
          <w:bCs/>
          <w:rtl/>
          <w:lang w:eastAsia="de-DE"/>
        </w:rPr>
        <w:t>וטח</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κονιάσει</w:t>
      </w:r>
      <w:proofErr w:type="spellEnd"/>
      <w:r w:rsidRPr="00195E02">
        <w:rPr>
          <w:rFonts w:eastAsia="Times New Roman" w:cs="Times New Roman"/>
          <w:lang w:eastAsia="de-DE"/>
        </w:rPr>
        <w:t xml:space="preserve"> (er wird verputzen).</w:t>
      </w:r>
    </w:p>
    <w:p w14:paraId="73361DF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Rekonstruktion: Steinersatz + präzise Positionierung + neue Verputzmaterialien + Gesamtverputzung. Die Struktur zeigt vollständige Sanierung mit neuen Materialien.</w:t>
      </w:r>
    </w:p>
    <w:p w14:paraId="7E27CFC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komplette Rekonstruktion mit neuen Steinen und frischem Verputz.</w:t>
      </w:r>
    </w:p>
    <w:p w14:paraId="585C44F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14,43</w:t>
      </w:r>
    </w:p>
    <w:p w14:paraId="66CF837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וְאִם־יָשׁ֤וּב הַנֶּ֨גַע֙ וּפָרַ֣ח בַּבַּ֔יִת אַחַ֖ר חִלֵּ֣ץ אֶת־הָאֲבָנִ֑ים וְאַחֲרֵ֛י הִקְצ֥וֹת אֶת־הַבַּ֖יִת וְאַחֲרֵ֥י הִטּֽוֹחַ׃</w:t>
      </w:r>
    </w:p>
    <w:p w14:paraId="41F23E3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Und wenn das Mal zurückkehrt und im Haus ausbricht nach dem Herausreißen der Steine und nach dem Abkratzen des Hauses und nach dem Verputzen,</w:t>
      </w:r>
    </w:p>
    <w:p w14:paraId="054AD99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DB0897A">
          <v:rect id="_x0000_i1433" style="width:0;height:1.5pt" o:hralign="center" o:hrstd="t" o:hr="t" fillcolor="#a0a0a0" stroked="f"/>
        </w:pict>
      </w:r>
    </w:p>
    <w:p w14:paraId="238971F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ואם־ישוב הנגע ופרח בבית אחר חלץ את־האבנים ואחרי הקצות את־הבית ואחרי הטוח</w:t>
      </w:r>
      <w:r w:rsidRPr="00195E02">
        <w:rPr>
          <w:rFonts w:eastAsia="Times New Roman" w:cs="Times New Roman"/>
          <w:rtl/>
          <w:lang w:eastAsia="de-DE"/>
        </w:rPr>
        <w:t xml:space="preserve"> </w:t>
      </w:r>
      <w:r w:rsidRPr="00195E02">
        <w:rPr>
          <w:rFonts w:eastAsia="Times New Roman" w:cs="Times New Roman"/>
          <w:lang w:eastAsia="de-DE"/>
        </w:rPr>
        <w:t xml:space="preserve">zeigt das Wiederauftreten nach Sanierung. </w:t>
      </w:r>
      <w:r w:rsidRPr="00195E02">
        <w:rPr>
          <w:rFonts w:eastAsia="Times New Roman" w:cs="Times New Roman"/>
          <w:b/>
          <w:bCs/>
          <w:rtl/>
          <w:lang w:eastAsia="de-DE"/>
        </w:rPr>
        <w:t>ואם־ישוב הנגע ופרח בבית</w:t>
      </w:r>
      <w:r w:rsidRPr="00195E02">
        <w:rPr>
          <w:rFonts w:eastAsia="Times New Roman" w:cs="Times New Roman"/>
          <w:rtl/>
          <w:lang w:eastAsia="de-DE"/>
        </w:rPr>
        <w:t xml:space="preserve"> </w:t>
      </w:r>
      <w:r w:rsidRPr="00195E02">
        <w:rPr>
          <w:rFonts w:eastAsia="Times New Roman" w:cs="Times New Roman"/>
          <w:lang w:eastAsia="de-DE"/>
        </w:rPr>
        <w:t xml:space="preserve">(und wenn das Mal zurückkehrt und im Haus ausbricht) - </w:t>
      </w:r>
      <w:r w:rsidRPr="00195E02">
        <w:rPr>
          <w:rFonts w:eastAsia="Times New Roman" w:cs="Times New Roman"/>
          <w:b/>
          <w:bCs/>
          <w:rtl/>
          <w:lang w:eastAsia="de-DE"/>
        </w:rPr>
        <w:t>ישוב</w:t>
      </w:r>
      <w:r w:rsidRPr="00195E02">
        <w:rPr>
          <w:rFonts w:eastAsia="Times New Roman" w:cs="Times New Roman"/>
          <w:rtl/>
          <w:lang w:eastAsia="de-DE"/>
        </w:rPr>
        <w:t xml:space="preserve"> </w:t>
      </w:r>
      <w:r w:rsidRPr="00195E02">
        <w:rPr>
          <w:rFonts w:eastAsia="Times New Roman" w:cs="Times New Roman"/>
          <w:lang w:eastAsia="de-DE"/>
        </w:rPr>
        <w:t xml:space="preserve">(zurückkehrt) im Qal-Imperfekt, </w:t>
      </w:r>
      <w:r w:rsidRPr="00195E02">
        <w:rPr>
          <w:rFonts w:eastAsia="Times New Roman" w:cs="Times New Roman"/>
          <w:b/>
          <w:bCs/>
          <w:rtl/>
          <w:lang w:eastAsia="de-DE"/>
        </w:rPr>
        <w:t>ופרח</w:t>
      </w:r>
      <w:r w:rsidRPr="00195E02">
        <w:rPr>
          <w:rFonts w:eastAsia="Times New Roman" w:cs="Times New Roman"/>
          <w:rtl/>
          <w:lang w:eastAsia="de-DE"/>
        </w:rPr>
        <w:t xml:space="preserve"> </w:t>
      </w:r>
      <w:r w:rsidRPr="00195E02">
        <w:rPr>
          <w:rFonts w:eastAsia="Times New Roman" w:cs="Times New Roman"/>
          <w:lang w:eastAsia="de-DE"/>
        </w:rPr>
        <w:t>(und ausbricht) im Qal-Perfekt mit Waw-Konsekutiv zeigt erneute Aktivität.</w:t>
      </w:r>
    </w:p>
    <w:p w14:paraId="6AE690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אחר חלץ את־האבנים ואחרי הקצות את־הבית ואחרי הטוח</w:t>
      </w:r>
      <w:r w:rsidRPr="00195E02">
        <w:rPr>
          <w:rFonts w:eastAsia="Times New Roman" w:cs="Times New Roman"/>
          <w:rtl/>
          <w:lang w:eastAsia="de-DE"/>
        </w:rPr>
        <w:t xml:space="preserve"> </w:t>
      </w:r>
      <w:r w:rsidRPr="00195E02">
        <w:rPr>
          <w:rFonts w:eastAsia="Times New Roman" w:cs="Times New Roman"/>
          <w:lang w:eastAsia="de-DE"/>
        </w:rPr>
        <w:t xml:space="preserve">(nach dem Herausreißen der Steine und nach dem Abkratzen des Hauses und nach dem Verputzen) listet alle drei Sanierungsschritte aus V. 40-42 auf. </w:t>
      </w:r>
      <w:r w:rsidRPr="00195E02">
        <w:rPr>
          <w:rFonts w:eastAsia="Times New Roman" w:cs="Times New Roman"/>
          <w:b/>
          <w:bCs/>
          <w:rtl/>
          <w:lang w:eastAsia="de-DE"/>
        </w:rPr>
        <w:t>אחר</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אחרי</w:t>
      </w:r>
      <w:r w:rsidRPr="00195E02">
        <w:rPr>
          <w:rFonts w:eastAsia="Times New Roman" w:cs="Times New Roman"/>
          <w:rtl/>
          <w:lang w:eastAsia="de-DE"/>
        </w:rPr>
        <w:t xml:space="preserve"> </w:t>
      </w:r>
      <w:r w:rsidRPr="00195E02">
        <w:rPr>
          <w:rFonts w:eastAsia="Times New Roman" w:cs="Times New Roman"/>
          <w:lang w:eastAsia="de-DE"/>
        </w:rPr>
        <w:t>(nach) betonen, dass alle Maßnahmen erfolglos waren.</w:t>
      </w:r>
    </w:p>
    <w:p w14:paraId="2A2F972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ישוב הנגע ופרח</w:t>
      </w:r>
      <w:r w:rsidRPr="00195E02">
        <w:rPr>
          <w:rFonts w:eastAsia="Times New Roman" w:cs="Times New Roman"/>
          <w:rtl/>
          <w:lang w:eastAsia="de-DE"/>
        </w:rPr>
        <w:t xml:space="preserve"> </w:t>
      </w:r>
      <w:r w:rsidRPr="00195E02">
        <w:rPr>
          <w:rFonts w:eastAsia="Times New Roman" w:cs="Times New Roman"/>
          <w:lang w:eastAsia="de-DE"/>
        </w:rPr>
        <w:t>zeigt Resistenz gegen Sanierungsmaßnahmen. Die vollständige Aufzählung aller Sanierungsschritte betont deren Vergeblichkeit. Dies führt zur drastischsten Maßnahme.</w:t>
      </w:r>
    </w:p>
    <w:p w14:paraId="7EC6D23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ישוב</w:t>
      </w:r>
      <w:r w:rsidRPr="00195E02">
        <w:rPr>
          <w:rFonts w:eastAsia="Times New Roman" w:cs="Times New Roman"/>
          <w:rtl/>
          <w:lang w:eastAsia="de-DE"/>
        </w:rPr>
        <w:t xml:space="preserve"> </w:t>
      </w:r>
      <w:r w:rsidRPr="00195E02">
        <w:rPr>
          <w:rFonts w:eastAsia="Times New Roman" w:cs="Times New Roman"/>
          <w:lang w:eastAsia="de-DE"/>
        </w:rPr>
        <w:t>mit ἐπ</w:t>
      </w:r>
      <w:proofErr w:type="spellStart"/>
      <w:r w:rsidRPr="00195E02">
        <w:rPr>
          <w:rFonts w:eastAsia="Times New Roman" w:cs="Times New Roman"/>
          <w:lang w:eastAsia="de-DE"/>
        </w:rPr>
        <w:t>ιστρέψῃ</w:t>
      </w:r>
      <w:proofErr w:type="spellEnd"/>
      <w:r w:rsidRPr="00195E02">
        <w:rPr>
          <w:rFonts w:eastAsia="Times New Roman" w:cs="Times New Roman"/>
          <w:lang w:eastAsia="de-DE"/>
        </w:rPr>
        <w:t xml:space="preserve"> (zurückkehrt), </w:t>
      </w:r>
      <w:r w:rsidRPr="00195E02">
        <w:rPr>
          <w:rFonts w:eastAsia="Times New Roman" w:cs="Times New Roman"/>
          <w:b/>
          <w:bCs/>
          <w:rtl/>
          <w:lang w:eastAsia="de-DE"/>
        </w:rPr>
        <w:t>ופרח</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w:t>
      </w:r>
      <w:proofErr w:type="spellEnd"/>
      <w:r w:rsidRPr="00195E02">
        <w:rPr>
          <w:rFonts w:eastAsia="Times New Roman" w:cs="Times New Roman"/>
          <w:lang w:eastAsia="de-DE"/>
        </w:rPr>
        <w:t xml:space="preserve">ανθήσῃ (aufblüht), </w:t>
      </w:r>
      <w:r w:rsidRPr="00195E02">
        <w:rPr>
          <w:rFonts w:eastAsia="Times New Roman" w:cs="Times New Roman"/>
          <w:b/>
          <w:bCs/>
          <w:rtl/>
          <w:lang w:eastAsia="de-DE"/>
        </w:rPr>
        <w:t>חלץ</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ἐξελεῖν</w:t>
      </w:r>
      <w:proofErr w:type="spellEnd"/>
      <w:r w:rsidRPr="00195E02">
        <w:rPr>
          <w:rFonts w:eastAsia="Times New Roman" w:cs="Times New Roman"/>
          <w:lang w:eastAsia="de-DE"/>
        </w:rPr>
        <w:t xml:space="preserve"> (herausnehmen), </w:t>
      </w:r>
      <w:r w:rsidRPr="00195E02">
        <w:rPr>
          <w:rFonts w:eastAsia="Times New Roman" w:cs="Times New Roman"/>
          <w:b/>
          <w:bCs/>
          <w:rtl/>
          <w:lang w:eastAsia="de-DE"/>
        </w:rPr>
        <w:t>הקצות</w:t>
      </w:r>
      <w:r w:rsidRPr="00195E02">
        <w:rPr>
          <w:rFonts w:eastAsia="Times New Roman" w:cs="Times New Roman"/>
          <w:rtl/>
          <w:lang w:eastAsia="de-DE"/>
        </w:rPr>
        <w:t xml:space="preserve"> </w:t>
      </w:r>
      <w:r w:rsidRPr="00195E02">
        <w:rPr>
          <w:rFonts w:eastAsia="Times New Roman" w:cs="Times New Roman"/>
          <w:lang w:eastAsia="de-DE"/>
        </w:rPr>
        <w:t>mit ἀπ</w:t>
      </w:r>
      <w:proofErr w:type="spellStart"/>
      <w:r w:rsidRPr="00195E02">
        <w:rPr>
          <w:rFonts w:eastAsia="Times New Roman" w:cs="Times New Roman"/>
          <w:lang w:eastAsia="de-DE"/>
        </w:rPr>
        <w:t>οξῦσ</w:t>
      </w:r>
      <w:proofErr w:type="spellEnd"/>
      <w:r w:rsidRPr="00195E02">
        <w:rPr>
          <w:rFonts w:eastAsia="Times New Roman" w:cs="Times New Roman"/>
          <w:lang w:eastAsia="de-DE"/>
        </w:rPr>
        <w:t xml:space="preserve">αι (abkratzen) und </w:t>
      </w:r>
      <w:r w:rsidRPr="00195E02">
        <w:rPr>
          <w:rFonts w:eastAsia="Times New Roman" w:cs="Times New Roman"/>
          <w:b/>
          <w:bCs/>
          <w:rtl/>
          <w:lang w:eastAsia="de-DE"/>
        </w:rPr>
        <w:t>הטוח</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κονιάσ</w:t>
      </w:r>
      <w:proofErr w:type="spellEnd"/>
      <w:r w:rsidRPr="00195E02">
        <w:rPr>
          <w:rFonts w:eastAsia="Times New Roman" w:cs="Times New Roman"/>
          <w:lang w:eastAsia="de-DE"/>
        </w:rPr>
        <w:t>αι (verputzen).</w:t>
      </w:r>
    </w:p>
    <w:p w14:paraId="2C7C5FE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Sanierungsversagen: Konditionalsatz + Wiederauftreten + dreifache Maßnahmenaufzählung. Die unvollständige Struktur führt zu V. 44.</w:t>
      </w:r>
    </w:p>
    <w:p w14:paraId="3A77F09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dramatische Wiederauftreten der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trotz aller Sanierungsmaßnahmen.</w:t>
      </w:r>
    </w:p>
    <w:p w14:paraId="2654C7B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14,44</w:t>
      </w:r>
    </w:p>
    <w:p w14:paraId="1D7F681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וּבָא֙ הַכֹּהֵ֔ן וְרָאָ֕ה וְהִנֵּ֛ה פָּשָׂ֥ה הַנֶּ֖גַע בַּבָּ֑יִת צָרַ֨עַת מַמְאֶ֥רֶת הִ֛וא בַּבַּ֖יִת טָמֵ֥א הֽוּא׃</w:t>
      </w:r>
    </w:p>
    <w:p w14:paraId="3BC815D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der Priester kommt und sieht, und siehe, das Mal hat sich im Haus ausgebreitet, so ist es ein fressender Aussatz im Haus: es ist unrein.</w:t>
      </w:r>
    </w:p>
    <w:p w14:paraId="05F9AAE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896D3E8">
          <v:rect id="_x0000_i1434" style="width:0;height:1.5pt" o:hralign="center" o:hrstd="t" o:hr="t" fillcolor="#a0a0a0" stroked="f"/>
        </w:pict>
      </w:r>
    </w:p>
    <w:p w14:paraId="561E075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ובא הכהן וראה והנה פשה הנגע בבית צרעת מאמרת הוא בבית טמא הוא</w:t>
      </w:r>
      <w:r w:rsidRPr="00195E02">
        <w:rPr>
          <w:rFonts w:eastAsia="Times New Roman" w:cs="Times New Roman"/>
          <w:rtl/>
          <w:lang w:eastAsia="de-DE"/>
        </w:rPr>
        <w:t xml:space="preserve"> </w:t>
      </w:r>
      <w:r w:rsidRPr="00195E02">
        <w:rPr>
          <w:rFonts w:eastAsia="Times New Roman" w:cs="Times New Roman"/>
          <w:lang w:eastAsia="de-DE"/>
        </w:rPr>
        <w:t xml:space="preserve">zeigt die definitive negative Diagnose. </w:t>
      </w:r>
      <w:r w:rsidRPr="00195E02">
        <w:rPr>
          <w:rFonts w:eastAsia="Times New Roman" w:cs="Times New Roman"/>
          <w:b/>
          <w:bCs/>
          <w:rtl/>
          <w:lang w:eastAsia="de-DE"/>
        </w:rPr>
        <w:t>ובא הכהן וראה</w:t>
      </w:r>
      <w:r w:rsidRPr="00195E02">
        <w:rPr>
          <w:rFonts w:eastAsia="Times New Roman" w:cs="Times New Roman"/>
          <w:rtl/>
          <w:lang w:eastAsia="de-DE"/>
        </w:rPr>
        <w:t xml:space="preserve"> </w:t>
      </w:r>
      <w:r w:rsidRPr="00195E02">
        <w:rPr>
          <w:rFonts w:eastAsia="Times New Roman" w:cs="Times New Roman"/>
          <w:lang w:eastAsia="de-DE"/>
        </w:rPr>
        <w:t xml:space="preserve">(und der Priester kommt und sieht) entspricht der Nachuntersuchung. </w:t>
      </w:r>
      <w:r w:rsidRPr="00195E02">
        <w:rPr>
          <w:rFonts w:eastAsia="Times New Roman" w:cs="Times New Roman"/>
          <w:b/>
          <w:bCs/>
          <w:rtl/>
          <w:lang w:eastAsia="de-DE"/>
        </w:rPr>
        <w:t>והנה פשה הנגע בבית</w:t>
      </w:r>
      <w:r w:rsidRPr="00195E02">
        <w:rPr>
          <w:rFonts w:eastAsia="Times New Roman" w:cs="Times New Roman"/>
          <w:rtl/>
          <w:lang w:eastAsia="de-DE"/>
        </w:rPr>
        <w:t xml:space="preserve"> </w:t>
      </w:r>
      <w:r w:rsidRPr="00195E02">
        <w:rPr>
          <w:rFonts w:eastAsia="Times New Roman" w:cs="Times New Roman"/>
          <w:lang w:eastAsia="de-DE"/>
        </w:rPr>
        <w:t>(und siehe, das Mal hat sich im Haus ausgebreitet) bestätigt das Wiederauftreten aus V. 43.</w:t>
      </w:r>
    </w:p>
    <w:p w14:paraId="590C102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צרעת מאמרת הוא בבית טמא הוא</w:t>
      </w:r>
      <w:r w:rsidRPr="00195E02">
        <w:rPr>
          <w:rFonts w:eastAsia="Times New Roman" w:cs="Times New Roman"/>
          <w:rtl/>
          <w:lang w:eastAsia="de-DE"/>
        </w:rPr>
        <w:t xml:space="preserve"> </w:t>
      </w:r>
      <w:r w:rsidRPr="00195E02">
        <w:rPr>
          <w:rFonts w:eastAsia="Times New Roman" w:cs="Times New Roman"/>
          <w:lang w:eastAsia="de-DE"/>
        </w:rPr>
        <w:t xml:space="preserve">zeigt die Diagnose. </w:t>
      </w:r>
      <w:r w:rsidRPr="00195E02">
        <w:rPr>
          <w:rFonts w:eastAsia="Times New Roman" w:cs="Times New Roman"/>
          <w:b/>
          <w:bCs/>
          <w:rtl/>
          <w:lang w:eastAsia="de-DE"/>
        </w:rPr>
        <w:t>צרעת מאמרת</w:t>
      </w:r>
      <w:r w:rsidRPr="00195E02">
        <w:rPr>
          <w:rFonts w:eastAsia="Times New Roman" w:cs="Times New Roman"/>
          <w:rtl/>
          <w:lang w:eastAsia="de-DE"/>
        </w:rPr>
        <w:t xml:space="preserve"> </w:t>
      </w:r>
      <w:r w:rsidRPr="00195E02">
        <w:rPr>
          <w:rFonts w:eastAsia="Times New Roman" w:cs="Times New Roman"/>
          <w:lang w:eastAsia="de-DE"/>
        </w:rPr>
        <w:t>(fressender Aussatz) entspricht der Textil-</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aus 13,51. </w:t>
      </w:r>
      <w:r w:rsidRPr="00195E02">
        <w:rPr>
          <w:rFonts w:eastAsia="Times New Roman" w:cs="Times New Roman"/>
          <w:b/>
          <w:bCs/>
          <w:rtl/>
          <w:lang w:eastAsia="de-DE"/>
        </w:rPr>
        <w:t>הוא בבית</w:t>
      </w:r>
      <w:r w:rsidRPr="00195E02">
        <w:rPr>
          <w:rFonts w:eastAsia="Times New Roman" w:cs="Times New Roman"/>
          <w:rtl/>
          <w:lang w:eastAsia="de-DE"/>
        </w:rPr>
        <w:t xml:space="preserve"> </w:t>
      </w:r>
      <w:r w:rsidRPr="00195E02">
        <w:rPr>
          <w:rFonts w:eastAsia="Times New Roman" w:cs="Times New Roman"/>
          <w:lang w:eastAsia="de-DE"/>
        </w:rPr>
        <w:t xml:space="preserve">(es ist im Haus) lokalisiert die Diagnose. </w:t>
      </w:r>
      <w:r w:rsidRPr="00195E02">
        <w:rPr>
          <w:rFonts w:eastAsia="Times New Roman" w:cs="Times New Roman"/>
          <w:b/>
          <w:bCs/>
          <w:rtl/>
          <w:lang w:eastAsia="de-DE"/>
        </w:rPr>
        <w:t>טמא הוא</w:t>
      </w:r>
      <w:r w:rsidRPr="00195E02">
        <w:rPr>
          <w:rFonts w:eastAsia="Times New Roman" w:cs="Times New Roman"/>
          <w:rtl/>
          <w:lang w:eastAsia="de-DE"/>
        </w:rPr>
        <w:t xml:space="preserve"> </w:t>
      </w:r>
      <w:r w:rsidRPr="00195E02">
        <w:rPr>
          <w:rFonts w:eastAsia="Times New Roman" w:cs="Times New Roman"/>
          <w:lang w:eastAsia="de-DE"/>
        </w:rPr>
        <w:t xml:space="preserve">(unrein ist es) mit emphatischem </w:t>
      </w:r>
      <w:r w:rsidRPr="00195E02">
        <w:rPr>
          <w:rFonts w:eastAsia="Times New Roman" w:cs="Times New Roman"/>
          <w:b/>
          <w:bCs/>
          <w:rtl/>
          <w:lang w:eastAsia="de-DE"/>
        </w:rPr>
        <w:t>הוא</w:t>
      </w:r>
      <w:r w:rsidRPr="00195E02">
        <w:rPr>
          <w:rFonts w:eastAsia="Times New Roman" w:cs="Times New Roman"/>
          <w:rtl/>
          <w:lang w:eastAsia="de-DE"/>
        </w:rPr>
        <w:t xml:space="preserve"> </w:t>
      </w:r>
      <w:r w:rsidRPr="00195E02">
        <w:rPr>
          <w:rFonts w:eastAsia="Times New Roman" w:cs="Times New Roman"/>
          <w:lang w:eastAsia="de-DE"/>
        </w:rPr>
        <w:t>erklärt das ganze Haus für unrein.</w:t>
      </w:r>
    </w:p>
    <w:p w14:paraId="3ED5BFC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פשה הנגע בבית</w:t>
      </w:r>
      <w:r w:rsidRPr="00195E02">
        <w:rPr>
          <w:rFonts w:eastAsia="Times New Roman" w:cs="Times New Roman"/>
          <w:rtl/>
          <w:lang w:eastAsia="de-DE"/>
        </w:rPr>
        <w:t xml:space="preserve"> </w:t>
      </w:r>
      <w:r w:rsidRPr="00195E02">
        <w:rPr>
          <w:rFonts w:eastAsia="Times New Roman" w:cs="Times New Roman"/>
          <w:lang w:eastAsia="de-DE"/>
        </w:rPr>
        <w:t xml:space="preserve">nach allen Sanierungsmaßnahmen zeigt unheilbare </w:t>
      </w:r>
      <w:r w:rsidRPr="00195E02">
        <w:rPr>
          <w:rFonts w:eastAsia="Times New Roman" w:cs="Times New Roman"/>
          <w:b/>
          <w:bCs/>
          <w:rtl/>
          <w:lang w:eastAsia="de-DE"/>
        </w:rPr>
        <w:t>צרעת</w:t>
      </w:r>
      <w:r w:rsidRPr="00195E02">
        <w:rPr>
          <w:rFonts w:eastAsia="Times New Roman" w:cs="Times New Roman"/>
          <w:lang w:eastAsia="de-DE"/>
        </w:rPr>
        <w:t xml:space="preserve">. </w:t>
      </w:r>
      <w:r w:rsidRPr="00195E02">
        <w:rPr>
          <w:rFonts w:eastAsia="Times New Roman" w:cs="Times New Roman"/>
          <w:b/>
          <w:bCs/>
          <w:rtl/>
          <w:lang w:eastAsia="de-DE"/>
        </w:rPr>
        <w:t>צרעת מאמרת</w:t>
      </w:r>
      <w:r w:rsidRPr="00195E02">
        <w:rPr>
          <w:rFonts w:eastAsia="Times New Roman" w:cs="Times New Roman"/>
          <w:rtl/>
          <w:lang w:eastAsia="de-DE"/>
        </w:rPr>
        <w:t xml:space="preserve"> </w:t>
      </w:r>
      <w:r w:rsidRPr="00195E02">
        <w:rPr>
          <w:rFonts w:eastAsia="Times New Roman" w:cs="Times New Roman"/>
          <w:lang w:eastAsia="de-DE"/>
        </w:rPr>
        <w:t xml:space="preserve">als aggressivste </w:t>
      </w:r>
      <w:r w:rsidRPr="00195E02">
        <w:rPr>
          <w:rFonts w:eastAsia="Times New Roman" w:cs="Times New Roman"/>
          <w:b/>
          <w:bCs/>
          <w:rtl/>
          <w:lang w:eastAsia="de-DE"/>
        </w:rPr>
        <w:t>צרעת</w:t>
      </w:r>
      <w:r w:rsidRPr="00195E02">
        <w:rPr>
          <w:rFonts w:eastAsia="Times New Roman" w:cs="Times New Roman"/>
          <w:lang w:eastAsia="de-DE"/>
        </w:rPr>
        <w:t xml:space="preserve">-Form entsprechend Textilien. </w:t>
      </w:r>
      <w:r w:rsidRPr="00195E02">
        <w:rPr>
          <w:rFonts w:eastAsia="Times New Roman" w:cs="Times New Roman"/>
          <w:b/>
          <w:bCs/>
          <w:rtl/>
          <w:lang w:eastAsia="de-DE"/>
        </w:rPr>
        <w:t>טמא הוא</w:t>
      </w:r>
      <w:r w:rsidRPr="00195E02">
        <w:rPr>
          <w:rFonts w:eastAsia="Times New Roman" w:cs="Times New Roman"/>
          <w:rtl/>
          <w:lang w:eastAsia="de-DE"/>
        </w:rPr>
        <w:t xml:space="preserve"> </w:t>
      </w:r>
      <w:r w:rsidRPr="00195E02">
        <w:rPr>
          <w:rFonts w:eastAsia="Times New Roman" w:cs="Times New Roman"/>
          <w:lang w:eastAsia="de-DE"/>
        </w:rPr>
        <w:t>klassifiziert das ganze Haus als unrein.</w:t>
      </w:r>
    </w:p>
    <w:p w14:paraId="292B13EE" w14:textId="18B64B2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w:t>
      </w:r>
      <w:r w:rsidR="00523826">
        <w:t xml:space="preserve">übersetzt </w:t>
      </w:r>
      <w:r w:rsidR="00523826">
        <w:rPr>
          <w:rtl/>
        </w:rPr>
        <w:t>צרעת ממארת</w:t>
      </w:r>
      <w:r w:rsidR="00523826">
        <w:t xml:space="preserve"> (</w:t>
      </w:r>
      <w:proofErr w:type="spellStart"/>
      <w:r w:rsidR="00523826">
        <w:t>tzara'at</w:t>
      </w:r>
      <w:proofErr w:type="spellEnd"/>
      <w:r w:rsidR="00523826">
        <w:t xml:space="preserve"> </w:t>
      </w:r>
      <w:proofErr w:type="spellStart"/>
      <w:r w:rsidR="00523826">
        <w:t>mam'eret</w:t>
      </w:r>
      <w:proofErr w:type="spellEnd"/>
      <w:r w:rsidR="00523826">
        <w:t xml:space="preserve"> - "fressende Lepra") als </w:t>
      </w:r>
      <w:proofErr w:type="spellStart"/>
      <w:r w:rsidR="00523826">
        <w:t>λέ</w:t>
      </w:r>
      <w:proofErr w:type="spellEnd"/>
      <w:r w:rsidR="00523826">
        <w:t xml:space="preserve">πρα </w:t>
      </w:r>
      <w:proofErr w:type="spellStart"/>
      <w:r w:rsidR="00523826">
        <w:t>ἔμμονός</w:t>
      </w:r>
      <w:proofErr w:type="spellEnd"/>
      <w:r w:rsidR="00523826">
        <w:t xml:space="preserve"> (hartnäckige Lepra), wie bereits in Kapitel 13.</w:t>
      </w:r>
    </w:p>
    <w:p w14:paraId="74A854B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finale Diagnose: priesterliche Untersuchung + bestätigte Ausbreitung + </w:t>
      </w:r>
      <w:r w:rsidRPr="00195E02">
        <w:rPr>
          <w:rFonts w:eastAsia="Times New Roman" w:cs="Times New Roman"/>
          <w:b/>
          <w:bCs/>
          <w:rtl/>
          <w:lang w:eastAsia="de-DE"/>
        </w:rPr>
        <w:t>צרעת מאמרת</w:t>
      </w:r>
      <w:r w:rsidRPr="00195E02">
        <w:rPr>
          <w:rFonts w:eastAsia="Times New Roman" w:cs="Times New Roman"/>
          <w:lang w:eastAsia="de-DE"/>
        </w:rPr>
        <w:t>-Diagnose + Lokalisierung + Unreinheitsklassifikation. Die Struktur zeigt endgültige Verurteilung.</w:t>
      </w:r>
    </w:p>
    <w:p w14:paraId="78C8019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diagnostiziert das sanierungsresistente Haus als </w:t>
      </w:r>
      <w:r w:rsidRPr="00195E02">
        <w:rPr>
          <w:rFonts w:eastAsia="Times New Roman" w:cs="Times New Roman"/>
          <w:b/>
          <w:bCs/>
          <w:rtl/>
          <w:lang w:eastAsia="de-DE"/>
        </w:rPr>
        <w:t>צרעת מאמרת</w:t>
      </w:r>
      <w:r w:rsidRPr="00195E02">
        <w:rPr>
          <w:rFonts w:eastAsia="Times New Roman" w:cs="Times New Roman"/>
          <w:rtl/>
          <w:lang w:eastAsia="de-DE"/>
        </w:rPr>
        <w:t xml:space="preserve"> </w:t>
      </w:r>
      <w:r w:rsidRPr="00195E02">
        <w:rPr>
          <w:rFonts w:eastAsia="Times New Roman" w:cs="Times New Roman"/>
          <w:lang w:eastAsia="de-DE"/>
        </w:rPr>
        <w:t>mit totaler Unreinheit.</w:t>
      </w:r>
    </w:p>
    <w:p w14:paraId="2EF20AA2"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14,45</w:t>
      </w:r>
    </w:p>
    <w:p w14:paraId="168EC2F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וְנָתַ֣ץ אֶת־הַבַּ֗יִת אֶת־אֲבָנָיו֙ וְאֶת־עֵצָ֔יו וְאֵ֖ת כָּל־עֲפַ֣ר הַבָּ֑יִת וְהוֹצִיא֙ אֶל־מִח֣וּץ לָעִ֔יר אֶל־מָק֖וֹם טָמֵֽא׃</w:t>
      </w:r>
    </w:p>
    <w:p w14:paraId="7DDB517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man soll das Haus niederreißen, seine Steine und sein Holz und allen Staub des Hauses, und man soll es hinausbringen außerhalb der Stadt an einen unreinen Ort.</w:t>
      </w:r>
    </w:p>
    <w:p w14:paraId="61D0BE6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7E5BD87">
          <v:rect id="_x0000_i1435" style="width:0;height:1.5pt" o:hralign="center" o:hrstd="t" o:hr="t" fillcolor="#a0a0a0" stroked="f"/>
        </w:pict>
      </w:r>
    </w:p>
    <w:p w14:paraId="202591F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ונתץ את־הבית את־אבניו ואת־עציו ואת כל־עפר הבית והוציא 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 xml:space="preserve">zeigt die drastischste Maßnahme: totalen Abriss. </w:t>
      </w:r>
      <w:r w:rsidRPr="00195E02">
        <w:rPr>
          <w:rFonts w:eastAsia="Times New Roman" w:cs="Times New Roman"/>
          <w:b/>
          <w:bCs/>
          <w:rtl/>
          <w:lang w:eastAsia="de-DE"/>
        </w:rPr>
        <w:t>ונתץ את־הבית</w:t>
      </w:r>
      <w:r w:rsidRPr="00195E02">
        <w:rPr>
          <w:rFonts w:eastAsia="Times New Roman" w:cs="Times New Roman"/>
          <w:rtl/>
          <w:lang w:eastAsia="de-DE"/>
        </w:rPr>
        <w:t xml:space="preserve"> </w:t>
      </w:r>
      <w:r w:rsidRPr="00195E02">
        <w:rPr>
          <w:rFonts w:eastAsia="Times New Roman" w:cs="Times New Roman"/>
          <w:lang w:eastAsia="de-DE"/>
        </w:rPr>
        <w:t xml:space="preserve">(und man soll das Haus niederreißen) - </w:t>
      </w:r>
      <w:r w:rsidRPr="00195E02">
        <w:rPr>
          <w:rFonts w:eastAsia="Times New Roman" w:cs="Times New Roman"/>
          <w:b/>
          <w:bCs/>
          <w:rtl/>
          <w:lang w:eastAsia="de-DE"/>
        </w:rPr>
        <w:t>נתץ</w:t>
      </w:r>
      <w:r w:rsidRPr="00195E02">
        <w:rPr>
          <w:rFonts w:eastAsia="Times New Roman" w:cs="Times New Roman"/>
          <w:rtl/>
          <w:lang w:eastAsia="de-DE"/>
        </w:rPr>
        <w:t xml:space="preserve"> </w:t>
      </w:r>
      <w:r w:rsidRPr="00195E02">
        <w:rPr>
          <w:rFonts w:eastAsia="Times New Roman" w:cs="Times New Roman"/>
          <w:lang w:eastAsia="de-DE"/>
        </w:rPr>
        <w:t>(niederreißen/zerstören) im Qal-Perfekt mit Waw-Konsekutiv zeigt komplette Zerstörung.</w:t>
      </w:r>
    </w:p>
    <w:p w14:paraId="5C5CB58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את־אבניו ואת־עציו ואת כל־עפר הבית</w:t>
      </w:r>
      <w:r w:rsidRPr="00195E02">
        <w:rPr>
          <w:rFonts w:eastAsia="Times New Roman" w:cs="Times New Roman"/>
          <w:rtl/>
          <w:lang w:eastAsia="de-DE"/>
        </w:rPr>
        <w:t xml:space="preserve"> </w:t>
      </w:r>
      <w:r w:rsidRPr="00195E02">
        <w:rPr>
          <w:rFonts w:eastAsia="Times New Roman" w:cs="Times New Roman"/>
          <w:lang w:eastAsia="de-DE"/>
        </w:rPr>
        <w:t xml:space="preserve">(seine Steine und sein Holz und allen Staub des Hauses) zeigt vollständige Materialaufzählung. </w:t>
      </w:r>
      <w:r w:rsidRPr="00195E02">
        <w:rPr>
          <w:rFonts w:eastAsia="Times New Roman" w:cs="Times New Roman"/>
          <w:b/>
          <w:bCs/>
          <w:rtl/>
          <w:lang w:eastAsia="de-DE"/>
        </w:rPr>
        <w:t>אבניו</w:t>
      </w:r>
      <w:r w:rsidRPr="00195E02">
        <w:rPr>
          <w:rFonts w:eastAsia="Times New Roman" w:cs="Times New Roman"/>
          <w:rtl/>
          <w:lang w:eastAsia="de-DE"/>
        </w:rPr>
        <w:t xml:space="preserve"> </w:t>
      </w:r>
      <w:r w:rsidRPr="00195E02">
        <w:rPr>
          <w:rFonts w:eastAsia="Times New Roman" w:cs="Times New Roman"/>
          <w:lang w:eastAsia="de-DE"/>
        </w:rPr>
        <w:t xml:space="preserve">(seine Steine), </w:t>
      </w:r>
      <w:r w:rsidRPr="00195E02">
        <w:rPr>
          <w:rFonts w:eastAsia="Times New Roman" w:cs="Times New Roman"/>
          <w:b/>
          <w:bCs/>
          <w:rtl/>
          <w:lang w:eastAsia="de-DE"/>
        </w:rPr>
        <w:t>עציו</w:t>
      </w:r>
      <w:r w:rsidRPr="00195E02">
        <w:rPr>
          <w:rFonts w:eastAsia="Times New Roman" w:cs="Times New Roman"/>
          <w:rtl/>
          <w:lang w:eastAsia="de-DE"/>
        </w:rPr>
        <w:t xml:space="preserve"> </w:t>
      </w:r>
      <w:r w:rsidRPr="00195E02">
        <w:rPr>
          <w:rFonts w:eastAsia="Times New Roman" w:cs="Times New Roman"/>
          <w:lang w:eastAsia="de-DE"/>
        </w:rPr>
        <w:t xml:space="preserve">(sein Holz) als Baumaterialien, </w:t>
      </w:r>
      <w:r w:rsidRPr="00195E02">
        <w:rPr>
          <w:rFonts w:eastAsia="Times New Roman" w:cs="Times New Roman"/>
          <w:b/>
          <w:bCs/>
          <w:rtl/>
          <w:lang w:eastAsia="de-DE"/>
        </w:rPr>
        <w:t>כל־עפר הבית</w:t>
      </w:r>
      <w:r w:rsidRPr="00195E02">
        <w:rPr>
          <w:rFonts w:eastAsia="Times New Roman" w:cs="Times New Roman"/>
          <w:rtl/>
          <w:lang w:eastAsia="de-DE"/>
        </w:rPr>
        <w:t xml:space="preserve"> </w:t>
      </w:r>
      <w:r w:rsidRPr="00195E02">
        <w:rPr>
          <w:rFonts w:eastAsia="Times New Roman" w:cs="Times New Roman"/>
          <w:lang w:eastAsia="de-DE"/>
        </w:rPr>
        <w:t>(allen Staub des Hauses) als Verputz und Mörtel.</w:t>
      </w:r>
    </w:p>
    <w:p w14:paraId="6BADA46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והוציא אל־מחוץ לעיר אל־מקום טמא</w:t>
      </w:r>
      <w:r w:rsidRPr="00195E02">
        <w:rPr>
          <w:rFonts w:eastAsia="Times New Roman" w:cs="Times New Roman"/>
          <w:rtl/>
          <w:lang w:eastAsia="de-DE"/>
        </w:rPr>
        <w:t xml:space="preserve"> </w:t>
      </w:r>
      <w:r w:rsidRPr="00195E02">
        <w:rPr>
          <w:rFonts w:eastAsia="Times New Roman" w:cs="Times New Roman"/>
          <w:lang w:eastAsia="de-DE"/>
        </w:rPr>
        <w:t>(und man soll es hinausbringen außerhalb der Stadt an einen unreinen Ort) entspricht V. 40-41 für die Entsorgung aller Materialien.</w:t>
      </w:r>
    </w:p>
    <w:p w14:paraId="7F882C5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ונתץ את־הבית</w:t>
      </w:r>
      <w:r w:rsidRPr="00195E02">
        <w:rPr>
          <w:rFonts w:eastAsia="Times New Roman" w:cs="Times New Roman"/>
          <w:rtl/>
          <w:lang w:eastAsia="de-DE"/>
        </w:rPr>
        <w:t xml:space="preserve"> </w:t>
      </w:r>
      <w:r w:rsidRPr="00195E02">
        <w:rPr>
          <w:rFonts w:eastAsia="Times New Roman" w:cs="Times New Roman"/>
          <w:lang w:eastAsia="de-DE"/>
        </w:rPr>
        <w:t xml:space="preserve">zeigt totale Vernichtung als letzte Lösung. </w:t>
      </w:r>
      <w:r w:rsidRPr="00195E02">
        <w:rPr>
          <w:rFonts w:eastAsia="Times New Roman" w:cs="Times New Roman"/>
          <w:b/>
          <w:bCs/>
          <w:rtl/>
          <w:lang w:eastAsia="de-DE"/>
        </w:rPr>
        <w:t>את־אבניו ואת־עציו ואת כל־עפר</w:t>
      </w:r>
      <w:r w:rsidRPr="00195E02">
        <w:rPr>
          <w:rFonts w:eastAsia="Times New Roman" w:cs="Times New Roman"/>
          <w:rtl/>
          <w:lang w:eastAsia="de-DE"/>
        </w:rPr>
        <w:t xml:space="preserve"> </w:t>
      </w:r>
      <w:r w:rsidRPr="00195E02">
        <w:rPr>
          <w:rFonts w:eastAsia="Times New Roman" w:cs="Times New Roman"/>
          <w:lang w:eastAsia="de-DE"/>
        </w:rPr>
        <w:t xml:space="preserve">umfasst alle Baumaterialien ohne Ausnahme. </w:t>
      </w:r>
      <w:r w:rsidRPr="00195E02">
        <w:rPr>
          <w:rFonts w:eastAsia="Times New Roman" w:cs="Times New Roman"/>
          <w:b/>
          <w:bCs/>
          <w:rtl/>
          <w:lang w:eastAsia="de-DE"/>
        </w:rPr>
        <w:t>אל־מקום טמא</w:t>
      </w:r>
      <w:r w:rsidRPr="00195E02">
        <w:rPr>
          <w:rFonts w:eastAsia="Times New Roman" w:cs="Times New Roman"/>
          <w:rtl/>
          <w:lang w:eastAsia="de-DE"/>
        </w:rPr>
        <w:t xml:space="preserve"> </w:t>
      </w:r>
      <w:r w:rsidRPr="00195E02">
        <w:rPr>
          <w:rFonts w:eastAsia="Times New Roman" w:cs="Times New Roman"/>
          <w:lang w:eastAsia="de-DE"/>
        </w:rPr>
        <w:t>zeigt endgültige Kontamination aller Hausmaterialien.</w:t>
      </w:r>
    </w:p>
    <w:p w14:paraId="261A5023" w14:textId="3027F4F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ונתץ</w:t>
      </w:r>
      <w:r w:rsidR="00523826">
        <w:t xml:space="preserve"> (</w:t>
      </w:r>
      <w:proofErr w:type="spellStart"/>
      <w:r w:rsidR="00523826">
        <w:t>wenatatz</w:t>
      </w:r>
      <w:proofErr w:type="spellEnd"/>
      <w:r w:rsidR="00523826">
        <w:t xml:space="preserve"> - "er soll niederreißen") als καὶ κα</w:t>
      </w:r>
      <w:proofErr w:type="spellStart"/>
      <w:r w:rsidR="00523826">
        <w:t>θελοῦσιν</w:t>
      </w:r>
      <w:proofErr w:type="spellEnd"/>
      <w:r w:rsidR="00523826">
        <w:t xml:space="preserve"> (sie werden niederreißen), wobei sie vom Singular zum Plural wechselt.</w:t>
      </w:r>
    </w:p>
    <w:p w14:paraId="5A8127A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Totalvernichtung: kompletter Abriss + vollständige Materialaufzählung + Entsorgung außerhalb der Stadt + kontaminierte Endlagerung. Die Struktur zeigt die radikalste </w:t>
      </w:r>
      <w:r w:rsidRPr="00195E02">
        <w:rPr>
          <w:rFonts w:eastAsia="Times New Roman" w:cs="Times New Roman"/>
          <w:b/>
          <w:bCs/>
          <w:rtl/>
          <w:lang w:eastAsia="de-DE"/>
        </w:rPr>
        <w:t>צרעת</w:t>
      </w:r>
      <w:r w:rsidRPr="00195E02">
        <w:rPr>
          <w:rFonts w:eastAsia="Times New Roman" w:cs="Times New Roman"/>
          <w:lang w:eastAsia="de-DE"/>
        </w:rPr>
        <w:t>-Maßnahme.</w:t>
      </w:r>
    </w:p>
    <w:p w14:paraId="27DB22D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die totale Hausvernichtung mit Entsorgung aller Materialien als ultima ratio bei </w:t>
      </w:r>
      <w:r w:rsidRPr="00195E02">
        <w:rPr>
          <w:rFonts w:eastAsia="Times New Roman" w:cs="Times New Roman"/>
          <w:b/>
          <w:bCs/>
          <w:rtl/>
          <w:lang w:eastAsia="de-DE"/>
        </w:rPr>
        <w:t>צרעת מאמרת</w:t>
      </w:r>
      <w:r w:rsidRPr="00195E02">
        <w:rPr>
          <w:rFonts w:eastAsia="Times New Roman" w:cs="Times New Roman"/>
          <w:lang w:eastAsia="de-DE"/>
        </w:rPr>
        <w:t>.</w:t>
      </w:r>
    </w:p>
    <w:p w14:paraId="1CD343AE"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14,46</w:t>
      </w:r>
    </w:p>
    <w:p w14:paraId="6FD833F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וְהַבָּא֙ אֶל־הַבַּ֔יִת כָּל־יְמֵ֖י הִסְגִּ֣יר אֹתוֹ֑ יִטְמָ֖א עַד־הָעָֽרֶב׃</w:t>
      </w:r>
    </w:p>
    <w:p w14:paraId="544D743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Und wer in das Haus kommt, alle Tage, die man es verschlossen hat, wird unrein sein bis zum Abend.</w:t>
      </w:r>
    </w:p>
    <w:p w14:paraId="3A6FA5AA"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3A4B185">
          <v:rect id="_x0000_i1436" style="width:0;height:1.5pt" o:hralign="center" o:hrstd="t" o:hr="t" fillcolor="#a0a0a0" stroked="f"/>
        </w:pict>
      </w:r>
    </w:p>
    <w:p w14:paraId="68333C2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והבא אל־הבית כל־ימי הסגיר אתו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regelt die Unreinheit durch Hausbetreten während der Quarantäne. </w:t>
      </w:r>
      <w:r w:rsidRPr="00195E02">
        <w:rPr>
          <w:rFonts w:eastAsia="Times New Roman" w:cs="Times New Roman"/>
          <w:b/>
          <w:bCs/>
          <w:rtl/>
          <w:lang w:eastAsia="de-DE"/>
        </w:rPr>
        <w:t>והבא אל־הבית</w:t>
      </w:r>
      <w:r w:rsidRPr="00195E02">
        <w:rPr>
          <w:rFonts w:eastAsia="Times New Roman" w:cs="Times New Roman"/>
          <w:rtl/>
          <w:lang w:eastAsia="de-DE"/>
        </w:rPr>
        <w:t xml:space="preserve"> </w:t>
      </w:r>
      <w:r w:rsidRPr="00195E02">
        <w:rPr>
          <w:rFonts w:eastAsia="Times New Roman" w:cs="Times New Roman"/>
          <w:lang w:eastAsia="de-DE"/>
        </w:rPr>
        <w:t xml:space="preserve">(und wer in das Haus kommt) als Partizip zeigt jeden Eintretenden. </w:t>
      </w:r>
      <w:r w:rsidRPr="00195E02">
        <w:rPr>
          <w:rFonts w:eastAsia="Times New Roman" w:cs="Times New Roman"/>
          <w:b/>
          <w:bCs/>
          <w:rtl/>
          <w:lang w:eastAsia="de-DE"/>
        </w:rPr>
        <w:t>כל־ימי הסגיר אתו</w:t>
      </w:r>
      <w:r w:rsidRPr="00195E02">
        <w:rPr>
          <w:rFonts w:eastAsia="Times New Roman" w:cs="Times New Roman"/>
          <w:rtl/>
          <w:lang w:eastAsia="de-DE"/>
        </w:rPr>
        <w:t xml:space="preserve"> </w:t>
      </w:r>
      <w:r w:rsidRPr="00195E02">
        <w:rPr>
          <w:rFonts w:eastAsia="Times New Roman" w:cs="Times New Roman"/>
          <w:lang w:eastAsia="de-DE"/>
        </w:rPr>
        <w:t>(alle Tage, die man es verschlossen hat) bezieht sich auf die Quarantänezeit aus V. 38.</w:t>
      </w:r>
    </w:p>
    <w:p w14:paraId="1096A1D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(wird unrein sein bis zum Abend) zeigt temporäre Unreinheit entsprechend anderen </w:t>
      </w:r>
      <w:r w:rsidRPr="00195E02">
        <w:rPr>
          <w:rFonts w:eastAsia="Times New Roman" w:cs="Times New Roman"/>
          <w:b/>
          <w:bCs/>
          <w:rtl/>
          <w:lang w:eastAsia="de-DE"/>
        </w:rPr>
        <w:t>צרעת</w:t>
      </w:r>
      <w:r w:rsidRPr="00195E02">
        <w:rPr>
          <w:rFonts w:eastAsia="Times New Roman" w:cs="Times New Roman"/>
          <w:lang w:eastAsia="de-DE"/>
        </w:rPr>
        <w:t xml:space="preserve">-Kontakten.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als Standard für leichtere Unreinheit.</w:t>
      </w:r>
    </w:p>
    <w:p w14:paraId="7DCCA05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והבא אל־הבית</w:t>
      </w:r>
      <w:r w:rsidRPr="00195E02">
        <w:rPr>
          <w:rFonts w:eastAsia="Times New Roman" w:cs="Times New Roman"/>
          <w:rtl/>
          <w:lang w:eastAsia="de-DE"/>
        </w:rPr>
        <w:t xml:space="preserve"> </w:t>
      </w:r>
      <w:r w:rsidRPr="00195E02">
        <w:rPr>
          <w:rFonts w:eastAsia="Times New Roman" w:cs="Times New Roman"/>
          <w:lang w:eastAsia="de-DE"/>
        </w:rPr>
        <w:t xml:space="preserve">zeigt, dass jeder Zutritt Unreinheit verursacht. </w:t>
      </w:r>
      <w:r w:rsidRPr="00195E02">
        <w:rPr>
          <w:rFonts w:eastAsia="Times New Roman" w:cs="Times New Roman"/>
          <w:b/>
          <w:bCs/>
          <w:rtl/>
          <w:lang w:eastAsia="de-DE"/>
        </w:rPr>
        <w:t>כל־ימי הסגיר אתו</w:t>
      </w:r>
      <w:r w:rsidRPr="00195E02">
        <w:rPr>
          <w:rFonts w:eastAsia="Times New Roman" w:cs="Times New Roman"/>
          <w:rtl/>
          <w:lang w:eastAsia="de-DE"/>
        </w:rPr>
        <w:t xml:space="preserve"> </w:t>
      </w:r>
      <w:r w:rsidRPr="00195E02">
        <w:rPr>
          <w:rFonts w:eastAsia="Times New Roman" w:cs="Times New Roman"/>
          <w:lang w:eastAsia="de-DE"/>
        </w:rPr>
        <w:t xml:space="preserve">zeigt Dauer der Gefahr während der Quarantäne. </w:t>
      </w:r>
      <w:r w:rsidRPr="00195E02">
        <w:rPr>
          <w:rFonts w:eastAsia="Times New Roman" w:cs="Times New Roman"/>
          <w:b/>
          <w:bCs/>
          <w:rtl/>
          <w:lang w:eastAsia="de-DE"/>
        </w:rPr>
        <w:t>יטמא עד־הערב</w:t>
      </w:r>
      <w:r w:rsidRPr="00195E02">
        <w:rPr>
          <w:rFonts w:eastAsia="Times New Roman" w:cs="Times New Roman"/>
          <w:rtl/>
          <w:lang w:eastAsia="de-DE"/>
        </w:rPr>
        <w:t xml:space="preserve"> </w:t>
      </w:r>
      <w:r w:rsidRPr="00195E02">
        <w:rPr>
          <w:rFonts w:eastAsia="Times New Roman" w:cs="Times New Roman"/>
          <w:lang w:eastAsia="de-DE"/>
        </w:rPr>
        <w:t>als leichteste Unreinheitsform - nur bis zum Abend.</w:t>
      </w:r>
    </w:p>
    <w:p w14:paraId="2E30B3A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והבא</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εἰσ</w:t>
      </w:r>
      <w:proofErr w:type="spellEnd"/>
      <w:r w:rsidRPr="00195E02">
        <w:rPr>
          <w:rFonts w:eastAsia="Times New Roman" w:cs="Times New Roman"/>
          <w:lang w:eastAsia="de-DE"/>
        </w:rPr>
        <w:t xml:space="preserve">πορευόμενος (der Eintretende), </w:t>
      </w:r>
      <w:r w:rsidRPr="00195E02">
        <w:rPr>
          <w:rFonts w:eastAsia="Times New Roman" w:cs="Times New Roman"/>
          <w:b/>
          <w:bCs/>
          <w:rtl/>
          <w:lang w:eastAsia="de-DE"/>
        </w:rPr>
        <w:t>הסגיר אתו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ἀφωρισμένη</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ἐστίν</w:t>
      </w:r>
      <w:proofErr w:type="spellEnd"/>
      <w:r w:rsidRPr="00195E02">
        <w:rPr>
          <w:rFonts w:eastAsia="Times New Roman" w:cs="Times New Roman"/>
          <w:lang w:eastAsia="de-DE"/>
        </w:rPr>
        <w:t xml:space="preserve"> (abgesondert ist), </w:t>
      </w:r>
      <w:r w:rsidRPr="00195E02">
        <w:rPr>
          <w:rFonts w:eastAsia="Times New Roman" w:cs="Times New Roman"/>
          <w:b/>
          <w:bCs/>
          <w:rtl/>
          <w:lang w:eastAsia="de-DE"/>
        </w:rPr>
        <w:t>יטמא</w:t>
      </w:r>
      <w:r w:rsidRPr="00195E02">
        <w:rPr>
          <w:rFonts w:eastAsia="Times New Roman" w:cs="Times New Roman"/>
          <w:rtl/>
          <w:lang w:eastAsia="de-DE"/>
        </w:rPr>
        <w:t xml:space="preserve"> </w:t>
      </w:r>
      <w:r w:rsidRPr="00195E02">
        <w:rPr>
          <w:rFonts w:eastAsia="Times New Roman" w:cs="Times New Roman"/>
          <w:lang w:eastAsia="de-DE"/>
        </w:rPr>
        <w:t>mit ἀκάθα</w:t>
      </w:r>
      <w:proofErr w:type="spellStart"/>
      <w:r w:rsidRPr="00195E02">
        <w:rPr>
          <w:rFonts w:eastAsia="Times New Roman" w:cs="Times New Roman"/>
          <w:lang w:eastAsia="de-DE"/>
        </w:rPr>
        <w:t>ρτος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ἔστ</w:t>
      </w:r>
      <w:proofErr w:type="spellEnd"/>
      <w:r w:rsidRPr="00195E02">
        <w:rPr>
          <w:rFonts w:eastAsia="Times New Roman" w:cs="Times New Roman"/>
          <w:lang w:eastAsia="de-DE"/>
        </w:rPr>
        <w:t xml:space="preserve">αι (unrein wird er sein) und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ἕως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ἑσ</w:t>
      </w:r>
      <w:proofErr w:type="spellEnd"/>
      <w:r w:rsidRPr="00195E02">
        <w:rPr>
          <w:rFonts w:eastAsia="Times New Roman" w:cs="Times New Roman"/>
          <w:lang w:eastAsia="de-DE"/>
        </w:rPr>
        <w:t>πέρας (bis zum Abend).</w:t>
      </w:r>
    </w:p>
    <w:p w14:paraId="1D69CDF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Kontaktunreinheit: Eintretender + Quarantänezeitraum + temporäre Unreinheit. Die Struktur zeigt mildere Konsequenzen als direkte </w:t>
      </w:r>
      <w:r w:rsidRPr="00195E02">
        <w:rPr>
          <w:rFonts w:eastAsia="Times New Roman" w:cs="Times New Roman"/>
          <w:b/>
          <w:bCs/>
          <w:rtl/>
          <w:lang w:eastAsia="de-DE"/>
        </w:rPr>
        <w:t>צרעת</w:t>
      </w:r>
      <w:r w:rsidRPr="00195E02">
        <w:rPr>
          <w:rFonts w:eastAsia="Times New Roman" w:cs="Times New Roman"/>
          <w:lang w:eastAsia="de-DE"/>
        </w:rPr>
        <w:t>-Berührung.</w:t>
      </w:r>
    </w:p>
    <w:p w14:paraId="7F102A1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regelt die temporäre Unreinheit durch Betreten des quarantänisierten Hauses.</w:t>
      </w:r>
    </w:p>
    <w:p w14:paraId="2A2BA3A0"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14,47</w:t>
      </w:r>
    </w:p>
    <w:p w14:paraId="673100E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וְהַשֹּׁכֵ֣ב בַּבַּ֔יִת יְכַבֵּ֖ס אֶת־בְּגָדָ֑יו וְהָאֹכֵ֣ל בַּבַּ֔יִת יְכַבֵּ֖ס אֶת־בְּגָדָֽיו׃</w:t>
      </w:r>
    </w:p>
    <w:p w14:paraId="5DFD48B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wer in dem Haus schläft, soll seine Kleider waschen; und wer in dem Haus isst, soll seine Kleider waschen.</w:t>
      </w:r>
    </w:p>
    <w:p w14:paraId="58DC167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03B0E1D">
          <v:rect id="_x0000_i1437" style="width:0;height:1.5pt" o:hralign="center" o:hrstd="t" o:hr="t" fillcolor="#a0a0a0" stroked="f"/>
        </w:pict>
      </w:r>
    </w:p>
    <w:p w14:paraId="0E566F4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והשכב בבית יכבס את־בגדיו והאכל בבית יכבס את־בגדיו</w:t>
      </w:r>
      <w:r w:rsidRPr="00195E02">
        <w:rPr>
          <w:rFonts w:eastAsia="Times New Roman" w:cs="Times New Roman"/>
          <w:rtl/>
          <w:lang w:eastAsia="de-DE"/>
        </w:rPr>
        <w:t xml:space="preserve"> </w:t>
      </w:r>
      <w:r w:rsidRPr="00195E02">
        <w:rPr>
          <w:rFonts w:eastAsia="Times New Roman" w:cs="Times New Roman"/>
          <w:lang w:eastAsia="de-DE"/>
        </w:rPr>
        <w:t xml:space="preserve">zeigt verschärfte Unreinheit bei längerem Aufenthalt. </w:t>
      </w:r>
      <w:r w:rsidRPr="00195E02">
        <w:rPr>
          <w:rFonts w:eastAsia="Times New Roman" w:cs="Times New Roman"/>
          <w:b/>
          <w:bCs/>
          <w:rtl/>
          <w:lang w:eastAsia="de-DE"/>
        </w:rPr>
        <w:t>והשכב בבית</w:t>
      </w:r>
      <w:r w:rsidRPr="00195E02">
        <w:rPr>
          <w:rFonts w:eastAsia="Times New Roman" w:cs="Times New Roman"/>
          <w:rtl/>
          <w:lang w:eastAsia="de-DE"/>
        </w:rPr>
        <w:t xml:space="preserve"> </w:t>
      </w:r>
      <w:r w:rsidRPr="00195E02">
        <w:rPr>
          <w:rFonts w:eastAsia="Times New Roman" w:cs="Times New Roman"/>
          <w:lang w:eastAsia="de-DE"/>
        </w:rPr>
        <w:t xml:space="preserve">(und wer in dem Haus schläft) - </w:t>
      </w:r>
      <w:r w:rsidRPr="00195E02">
        <w:rPr>
          <w:rFonts w:eastAsia="Times New Roman" w:cs="Times New Roman"/>
          <w:b/>
          <w:bCs/>
          <w:rtl/>
          <w:lang w:eastAsia="de-DE"/>
        </w:rPr>
        <w:t>שכב</w:t>
      </w:r>
      <w:r w:rsidRPr="00195E02">
        <w:rPr>
          <w:rFonts w:eastAsia="Times New Roman" w:cs="Times New Roman"/>
          <w:rtl/>
          <w:lang w:eastAsia="de-DE"/>
        </w:rPr>
        <w:t xml:space="preserve"> </w:t>
      </w:r>
      <w:r w:rsidRPr="00195E02">
        <w:rPr>
          <w:rFonts w:eastAsia="Times New Roman" w:cs="Times New Roman"/>
          <w:lang w:eastAsia="de-DE"/>
        </w:rPr>
        <w:t xml:space="preserve">(schlafen/liegen) als Partizip zeigt längeren Aufenthalt. </w:t>
      </w:r>
      <w:r w:rsidRPr="00195E02">
        <w:rPr>
          <w:rFonts w:eastAsia="Times New Roman" w:cs="Times New Roman"/>
          <w:b/>
          <w:bCs/>
          <w:rtl/>
          <w:lang w:eastAsia="de-DE"/>
        </w:rPr>
        <w:t>יכבס את־בגדיו</w:t>
      </w:r>
      <w:r w:rsidRPr="00195E02">
        <w:rPr>
          <w:rFonts w:eastAsia="Times New Roman" w:cs="Times New Roman"/>
          <w:rtl/>
          <w:lang w:eastAsia="de-DE"/>
        </w:rPr>
        <w:t xml:space="preserve"> </w:t>
      </w:r>
      <w:r w:rsidRPr="00195E02">
        <w:rPr>
          <w:rFonts w:eastAsia="Times New Roman" w:cs="Times New Roman"/>
          <w:lang w:eastAsia="de-DE"/>
        </w:rPr>
        <w:t>(soll seine Kleider waschen) zeigt zusätzliche Reinigungsmaßnahme über V. 46 hinaus.</w:t>
      </w:r>
    </w:p>
    <w:p w14:paraId="24F6E7E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והאכל בבית יכבס את־בגדיו</w:t>
      </w:r>
      <w:r w:rsidRPr="00195E02">
        <w:rPr>
          <w:rFonts w:eastAsia="Times New Roman" w:cs="Times New Roman"/>
          <w:rtl/>
          <w:lang w:eastAsia="de-DE"/>
        </w:rPr>
        <w:t xml:space="preserve"> </w:t>
      </w:r>
      <w:r w:rsidRPr="00195E02">
        <w:rPr>
          <w:rFonts w:eastAsia="Times New Roman" w:cs="Times New Roman"/>
          <w:lang w:eastAsia="de-DE"/>
        </w:rPr>
        <w:t xml:space="preserve">(und wer in dem Haus isst, soll seine Kleider waschen) zeigt eine zweite Aktivität mit derselben Konsequenz. </w:t>
      </w:r>
      <w:r w:rsidRPr="00195E02">
        <w:rPr>
          <w:rFonts w:eastAsia="Times New Roman" w:cs="Times New Roman"/>
          <w:b/>
          <w:bCs/>
          <w:rtl/>
          <w:lang w:eastAsia="de-DE"/>
        </w:rPr>
        <w:t>אכל</w:t>
      </w:r>
      <w:r w:rsidRPr="00195E02">
        <w:rPr>
          <w:rFonts w:eastAsia="Times New Roman" w:cs="Times New Roman"/>
          <w:rtl/>
          <w:lang w:eastAsia="de-DE"/>
        </w:rPr>
        <w:t xml:space="preserve"> </w:t>
      </w:r>
      <w:r w:rsidRPr="00195E02">
        <w:rPr>
          <w:rFonts w:eastAsia="Times New Roman" w:cs="Times New Roman"/>
          <w:lang w:eastAsia="de-DE"/>
        </w:rPr>
        <w:t>(essen) als weitere längere Tätigkeit.</w:t>
      </w:r>
    </w:p>
    <w:p w14:paraId="2F2B7A3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השכב</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האכל</w:t>
      </w:r>
      <w:r w:rsidRPr="00195E02">
        <w:rPr>
          <w:rFonts w:eastAsia="Times New Roman" w:cs="Times New Roman"/>
          <w:rtl/>
          <w:lang w:eastAsia="de-DE"/>
        </w:rPr>
        <w:t xml:space="preserve"> </w:t>
      </w:r>
      <w:r w:rsidRPr="00195E02">
        <w:rPr>
          <w:rFonts w:eastAsia="Times New Roman" w:cs="Times New Roman"/>
          <w:lang w:eastAsia="de-DE"/>
        </w:rPr>
        <w:t xml:space="preserve">zeigen längere Aufenthalte als bloßes Betreten. </w:t>
      </w:r>
      <w:r w:rsidRPr="00195E02">
        <w:rPr>
          <w:rFonts w:eastAsia="Times New Roman" w:cs="Times New Roman"/>
          <w:b/>
          <w:bCs/>
          <w:rtl/>
          <w:lang w:eastAsia="de-DE"/>
        </w:rPr>
        <w:t>יכבס את־בגדיו</w:t>
      </w:r>
      <w:r w:rsidRPr="00195E02">
        <w:rPr>
          <w:rFonts w:eastAsia="Times New Roman" w:cs="Times New Roman"/>
          <w:rtl/>
          <w:lang w:eastAsia="de-DE"/>
        </w:rPr>
        <w:t xml:space="preserve"> </w:t>
      </w:r>
      <w:r w:rsidRPr="00195E02">
        <w:rPr>
          <w:rFonts w:eastAsia="Times New Roman" w:cs="Times New Roman"/>
          <w:lang w:eastAsia="de-DE"/>
        </w:rPr>
        <w:t>als zusätzliche Reinigungsmaßnahme über die temporäre Unreinheit aus V. 46 hinaus.</w:t>
      </w:r>
    </w:p>
    <w:p w14:paraId="31FC35A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השכב</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κοιμώμενος</w:t>
      </w:r>
      <w:proofErr w:type="spellEnd"/>
      <w:r w:rsidRPr="00195E02">
        <w:rPr>
          <w:rFonts w:eastAsia="Times New Roman" w:cs="Times New Roman"/>
          <w:lang w:eastAsia="de-DE"/>
        </w:rPr>
        <w:t xml:space="preserve"> (der Schlafende), </w:t>
      </w:r>
      <w:r w:rsidRPr="00195E02">
        <w:rPr>
          <w:rFonts w:eastAsia="Times New Roman" w:cs="Times New Roman"/>
          <w:b/>
          <w:bCs/>
          <w:rtl/>
          <w:lang w:eastAsia="de-DE"/>
        </w:rPr>
        <w:t>האכל</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ἐσθίων</w:t>
      </w:r>
      <w:proofErr w:type="spellEnd"/>
      <w:r w:rsidRPr="00195E02">
        <w:rPr>
          <w:rFonts w:eastAsia="Times New Roman" w:cs="Times New Roman"/>
          <w:lang w:eastAsia="de-DE"/>
        </w:rPr>
        <w:t xml:space="preserve"> (der Essende) und </w:t>
      </w:r>
      <w:r w:rsidRPr="00195E02">
        <w:rPr>
          <w:rFonts w:eastAsia="Times New Roman" w:cs="Times New Roman"/>
          <w:b/>
          <w:bCs/>
          <w:rtl/>
          <w:lang w:eastAsia="de-DE"/>
        </w:rPr>
        <w:t>יכבס</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λυνεῖ</w:t>
      </w:r>
      <w:proofErr w:type="spellEnd"/>
      <w:r w:rsidRPr="00195E02">
        <w:rPr>
          <w:rFonts w:eastAsia="Times New Roman" w:cs="Times New Roman"/>
          <w:lang w:eastAsia="de-DE"/>
        </w:rPr>
        <w:t xml:space="preserve"> (er wird waschen).</w:t>
      </w:r>
    </w:p>
    <w:p w14:paraId="33A3C8F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verstärkte Unreinheit: zwei längere Aktivitäten + jeweils Kleiderwaschung. Die Struktur zeigt Abstufung nach Kontaktintensität.</w:t>
      </w:r>
    </w:p>
    <w:p w14:paraId="2D61C8D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verstärkte Reinigungsmaßnahmen bei längerem Aufenthalt (Schlafen, Essen) im quarantänisierten Haus.</w:t>
      </w:r>
    </w:p>
    <w:p w14:paraId="1B634F9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14,48</w:t>
      </w:r>
    </w:p>
    <w:p w14:paraId="4BF0A85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וְאִם־בֹּ֨א יָבֹ֜א הַכֹּהֵ֗ן וְרָאָה֙ וְ֠הִנֵּה לֹא־פָשָׂ֤ה הַנֶּ֨גַע֙ בַּבַּ֔יִת אַחֲרֵ֖י הִטֹּ֣חַ אֶת־הַבָּ֑יִת וְטִהַ֤ר הַכֹּהֵן֙ אֶת־הַבַּ֔יִת כִּ֥י נִרְפָּ֖א הַנָּֽגַע׃</w:t>
      </w:r>
    </w:p>
    <w:p w14:paraId="6A763D8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Wenn aber der Priester kommt und sieht, und siehe, das Mal hat sich nicht ausgebreitet im Haus nach dem Verputzen des Hauses, so soll der Priester das Haus für rein erklären, denn das Mal ist geheilt.</w:t>
      </w:r>
    </w:p>
    <w:p w14:paraId="5523924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4993D5D">
          <v:rect id="_x0000_i1438" style="width:0;height:1.5pt" o:hralign="center" o:hrstd="t" o:hr="t" fillcolor="#a0a0a0" stroked="f"/>
        </w:pict>
      </w:r>
    </w:p>
    <w:p w14:paraId="50AE872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ואם־בא יבא הכהן וראה והנה לא־פשה הנגע בבית אחרי הטח את־הבית וטהר הכהן את־הבית כי נרפא הנגע</w:t>
      </w:r>
      <w:r w:rsidRPr="00195E02">
        <w:rPr>
          <w:rFonts w:eastAsia="Times New Roman" w:cs="Times New Roman"/>
          <w:rtl/>
          <w:lang w:eastAsia="de-DE"/>
        </w:rPr>
        <w:t xml:space="preserve"> </w:t>
      </w:r>
      <w:r w:rsidRPr="00195E02">
        <w:rPr>
          <w:rFonts w:eastAsia="Times New Roman" w:cs="Times New Roman"/>
          <w:lang w:eastAsia="de-DE"/>
        </w:rPr>
        <w:t xml:space="preserve">zeigt das positive Sanierungsergebnis. </w:t>
      </w:r>
      <w:r w:rsidRPr="00195E02">
        <w:rPr>
          <w:rFonts w:eastAsia="Times New Roman" w:cs="Times New Roman"/>
          <w:b/>
          <w:bCs/>
          <w:rtl/>
          <w:lang w:eastAsia="de-DE"/>
        </w:rPr>
        <w:t>ואם־בא יבא הכהן</w:t>
      </w:r>
      <w:r w:rsidRPr="00195E02">
        <w:rPr>
          <w:rFonts w:eastAsia="Times New Roman" w:cs="Times New Roman"/>
          <w:rtl/>
          <w:lang w:eastAsia="de-DE"/>
        </w:rPr>
        <w:t xml:space="preserve"> </w:t>
      </w:r>
      <w:r w:rsidRPr="00195E02">
        <w:rPr>
          <w:rFonts w:eastAsia="Times New Roman" w:cs="Times New Roman"/>
          <w:lang w:eastAsia="de-DE"/>
        </w:rPr>
        <w:t xml:space="preserve">(wenn aber der Priester kommt) mit verstärkender Wiederholung </w:t>
      </w:r>
      <w:r w:rsidRPr="00195E02">
        <w:rPr>
          <w:rFonts w:eastAsia="Times New Roman" w:cs="Times New Roman"/>
          <w:b/>
          <w:bCs/>
          <w:rtl/>
          <w:lang w:eastAsia="de-DE"/>
        </w:rPr>
        <w:t>בא יבא</w:t>
      </w:r>
      <w:r w:rsidRPr="00195E02">
        <w:rPr>
          <w:rFonts w:eastAsia="Times New Roman" w:cs="Times New Roman"/>
          <w:lang w:eastAsia="de-DE"/>
        </w:rPr>
        <w:t xml:space="preserve">. </w:t>
      </w:r>
      <w:r w:rsidRPr="00195E02">
        <w:rPr>
          <w:rFonts w:eastAsia="Times New Roman" w:cs="Times New Roman"/>
          <w:b/>
          <w:bCs/>
          <w:rtl/>
          <w:lang w:eastAsia="de-DE"/>
        </w:rPr>
        <w:t>וראה והנה לא־פשה הנגע בבית</w:t>
      </w:r>
      <w:r w:rsidRPr="00195E02">
        <w:rPr>
          <w:rFonts w:eastAsia="Times New Roman" w:cs="Times New Roman"/>
          <w:rtl/>
          <w:lang w:eastAsia="de-DE"/>
        </w:rPr>
        <w:t xml:space="preserve"> </w:t>
      </w:r>
      <w:r w:rsidRPr="00195E02">
        <w:rPr>
          <w:rFonts w:eastAsia="Times New Roman" w:cs="Times New Roman"/>
          <w:lang w:eastAsia="de-DE"/>
        </w:rPr>
        <w:t>(und sieht, und siehe, das Mal hat sich nicht ausgebreitet im Haus) zeigt positiven Befund.</w:t>
      </w:r>
    </w:p>
    <w:p w14:paraId="5283BE3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אחרי הטח את־הבית</w:t>
      </w:r>
      <w:r w:rsidRPr="00195E02">
        <w:rPr>
          <w:rFonts w:eastAsia="Times New Roman" w:cs="Times New Roman"/>
          <w:rtl/>
          <w:lang w:eastAsia="de-DE"/>
        </w:rPr>
        <w:t xml:space="preserve"> </w:t>
      </w:r>
      <w:r w:rsidRPr="00195E02">
        <w:rPr>
          <w:rFonts w:eastAsia="Times New Roman" w:cs="Times New Roman"/>
          <w:lang w:eastAsia="de-DE"/>
        </w:rPr>
        <w:t xml:space="preserve">(nach dem Verputzen des Hauses) bezieht sich auf die Sanierung aus V. 42. </w:t>
      </w:r>
      <w:r w:rsidRPr="00195E02">
        <w:rPr>
          <w:rFonts w:eastAsia="Times New Roman" w:cs="Times New Roman"/>
          <w:b/>
          <w:bCs/>
          <w:rtl/>
          <w:lang w:eastAsia="de-DE"/>
        </w:rPr>
        <w:t>וטהר הכהן את־הבית</w:t>
      </w:r>
      <w:r w:rsidRPr="00195E02">
        <w:rPr>
          <w:rFonts w:eastAsia="Times New Roman" w:cs="Times New Roman"/>
          <w:rtl/>
          <w:lang w:eastAsia="de-DE"/>
        </w:rPr>
        <w:t xml:space="preserve"> </w:t>
      </w:r>
      <w:r w:rsidRPr="00195E02">
        <w:rPr>
          <w:rFonts w:eastAsia="Times New Roman" w:cs="Times New Roman"/>
          <w:lang w:eastAsia="de-DE"/>
        </w:rPr>
        <w:t xml:space="preserve">(so soll der Priester das Haus für rein erklären) - </w:t>
      </w:r>
      <w:r w:rsidRPr="00195E02">
        <w:rPr>
          <w:rFonts w:eastAsia="Times New Roman" w:cs="Times New Roman"/>
          <w:b/>
          <w:bCs/>
          <w:rtl/>
          <w:lang w:eastAsia="de-DE"/>
        </w:rPr>
        <w:t>טהר</w:t>
      </w:r>
      <w:r w:rsidRPr="00195E02">
        <w:rPr>
          <w:rFonts w:eastAsia="Times New Roman" w:cs="Times New Roman"/>
          <w:rtl/>
          <w:lang w:eastAsia="de-DE"/>
        </w:rPr>
        <w:t xml:space="preserve"> </w:t>
      </w:r>
      <w:r w:rsidRPr="00195E02">
        <w:rPr>
          <w:rFonts w:eastAsia="Times New Roman" w:cs="Times New Roman"/>
          <w:lang w:eastAsia="de-DE"/>
        </w:rPr>
        <w:t xml:space="preserve">(rein erklären) im Piel-Perfekt. </w:t>
      </w:r>
      <w:r w:rsidRPr="00195E02">
        <w:rPr>
          <w:rFonts w:eastAsia="Times New Roman" w:cs="Times New Roman"/>
          <w:b/>
          <w:bCs/>
          <w:rtl/>
          <w:lang w:eastAsia="de-DE"/>
        </w:rPr>
        <w:t>כי נרפא הנגע</w:t>
      </w:r>
      <w:r w:rsidRPr="00195E02">
        <w:rPr>
          <w:rFonts w:eastAsia="Times New Roman" w:cs="Times New Roman"/>
          <w:rtl/>
          <w:lang w:eastAsia="de-DE"/>
        </w:rPr>
        <w:t xml:space="preserve"> </w:t>
      </w:r>
      <w:r w:rsidRPr="00195E02">
        <w:rPr>
          <w:rFonts w:eastAsia="Times New Roman" w:cs="Times New Roman"/>
          <w:lang w:eastAsia="de-DE"/>
        </w:rPr>
        <w:t xml:space="preserve">(denn das Mal ist geheilt) - </w:t>
      </w:r>
      <w:r w:rsidRPr="00195E02">
        <w:rPr>
          <w:rFonts w:eastAsia="Times New Roman" w:cs="Times New Roman"/>
          <w:b/>
          <w:bCs/>
          <w:rtl/>
          <w:lang w:eastAsia="de-DE"/>
        </w:rPr>
        <w:t>נרפא</w:t>
      </w:r>
      <w:r w:rsidRPr="00195E02">
        <w:rPr>
          <w:rFonts w:eastAsia="Times New Roman" w:cs="Times New Roman"/>
          <w:rtl/>
          <w:lang w:eastAsia="de-DE"/>
        </w:rPr>
        <w:t xml:space="preserve"> </w:t>
      </w:r>
      <w:r w:rsidRPr="00195E02">
        <w:rPr>
          <w:rFonts w:eastAsia="Times New Roman" w:cs="Times New Roman"/>
          <w:lang w:eastAsia="de-DE"/>
        </w:rPr>
        <w:t>(ist geheilt) im Nifal-Perfekt begründet die Reinheitserklärung.</w:t>
      </w:r>
    </w:p>
    <w:p w14:paraId="2324C55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בא יבא</w:t>
      </w:r>
      <w:r w:rsidRPr="00195E02">
        <w:rPr>
          <w:rFonts w:eastAsia="Times New Roman" w:cs="Times New Roman"/>
          <w:rtl/>
          <w:lang w:eastAsia="de-DE"/>
        </w:rPr>
        <w:t xml:space="preserve"> </w:t>
      </w:r>
      <w:r w:rsidRPr="00195E02">
        <w:rPr>
          <w:rFonts w:eastAsia="Times New Roman" w:cs="Times New Roman"/>
          <w:lang w:eastAsia="de-DE"/>
        </w:rPr>
        <w:t xml:space="preserve">mit Verstärkung betont die wichtige Nachuntersuchung. </w:t>
      </w:r>
      <w:r w:rsidRPr="00195E02">
        <w:rPr>
          <w:rFonts w:eastAsia="Times New Roman" w:cs="Times New Roman"/>
          <w:b/>
          <w:bCs/>
          <w:rtl/>
          <w:lang w:eastAsia="de-DE"/>
        </w:rPr>
        <w:t>לא־פשה הנגע</w:t>
      </w:r>
      <w:r w:rsidRPr="00195E02">
        <w:rPr>
          <w:rFonts w:eastAsia="Times New Roman" w:cs="Times New Roman"/>
          <w:rtl/>
          <w:lang w:eastAsia="de-DE"/>
        </w:rPr>
        <w:t xml:space="preserve"> </w:t>
      </w:r>
      <w:r w:rsidRPr="00195E02">
        <w:rPr>
          <w:rFonts w:eastAsia="Times New Roman" w:cs="Times New Roman"/>
          <w:lang w:eastAsia="de-DE"/>
        </w:rPr>
        <w:t xml:space="preserve">zeigt erfolgreiche Sanierung. </w:t>
      </w:r>
      <w:r w:rsidRPr="00195E02">
        <w:rPr>
          <w:rFonts w:eastAsia="Times New Roman" w:cs="Times New Roman"/>
          <w:b/>
          <w:bCs/>
          <w:rtl/>
          <w:lang w:eastAsia="de-DE"/>
        </w:rPr>
        <w:t>נרפא הנגע</w:t>
      </w:r>
      <w:r w:rsidRPr="00195E02">
        <w:rPr>
          <w:rFonts w:eastAsia="Times New Roman" w:cs="Times New Roman"/>
          <w:rtl/>
          <w:lang w:eastAsia="de-DE"/>
        </w:rPr>
        <w:t xml:space="preserve"> </w:t>
      </w:r>
      <w:r w:rsidRPr="00195E02">
        <w:rPr>
          <w:rFonts w:eastAsia="Times New Roman" w:cs="Times New Roman"/>
          <w:lang w:eastAsia="de-DE"/>
        </w:rPr>
        <w:t>zeigt medizinische Heilung als Grundlage für kultische Reinheit.</w:t>
      </w:r>
    </w:p>
    <w:p w14:paraId="54B30BB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בא יבא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εἰσελθὼν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εἰσέλθῃ</w:t>
      </w:r>
      <w:proofErr w:type="spellEnd"/>
      <w:r w:rsidRPr="00195E02">
        <w:rPr>
          <w:rFonts w:eastAsia="Times New Roman" w:cs="Times New Roman"/>
          <w:lang w:eastAsia="de-DE"/>
        </w:rPr>
        <w:t xml:space="preserve"> (eintretend trete ein), </w:t>
      </w:r>
      <w:r w:rsidRPr="00195E02">
        <w:rPr>
          <w:rFonts w:eastAsia="Times New Roman" w:cs="Times New Roman"/>
          <w:b/>
          <w:bCs/>
          <w:rtl/>
          <w:lang w:eastAsia="de-DE"/>
        </w:rPr>
        <w:t>לא־פשה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οὐ</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διεχύθη</w:t>
      </w:r>
      <w:proofErr w:type="spellEnd"/>
      <w:r w:rsidRPr="00195E02">
        <w:rPr>
          <w:rFonts w:eastAsia="Times New Roman" w:cs="Times New Roman"/>
          <w:lang w:eastAsia="de-DE"/>
        </w:rPr>
        <w:t xml:space="preserve"> (breitete sich nicht aus),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ριεῖ</w:t>
      </w:r>
      <w:proofErr w:type="spellEnd"/>
      <w:r w:rsidRPr="00195E02">
        <w:rPr>
          <w:rFonts w:eastAsia="Times New Roman" w:cs="Times New Roman"/>
          <w:lang w:eastAsia="de-DE"/>
        </w:rPr>
        <w:t xml:space="preserve"> (er wird reinigen) und </w:t>
      </w:r>
      <w:r w:rsidRPr="00195E02">
        <w:rPr>
          <w:rFonts w:eastAsia="Times New Roman" w:cs="Times New Roman"/>
          <w:b/>
          <w:bCs/>
          <w:rtl/>
          <w:lang w:eastAsia="de-DE"/>
        </w:rPr>
        <w:t>נרפא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ἰάθη</w:t>
      </w:r>
      <w:proofErr w:type="spellEnd"/>
      <w:r w:rsidRPr="00195E02">
        <w:rPr>
          <w:rFonts w:eastAsia="Times New Roman" w:cs="Times New Roman"/>
          <w:lang w:eastAsia="de-DE"/>
        </w:rPr>
        <w:t xml:space="preserve"> (ist geheilt worden).</w:t>
      </w:r>
    </w:p>
    <w:p w14:paraId="73D47FE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positive Wende: verstärkte priesterliche Untersuchung + Nicht-Ausbreitung nach Sanierung + Reinheitserklärung + Heilungsbegründung. Die Struktur zeigt erfolgreiche Sanierung.</w:t>
      </w:r>
    </w:p>
    <w:p w14:paraId="3A3AE13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 positive Ende: Nicht-Ausbreitung nach Sanierung führt zur Reinheitserklärung wegen Heilung.</w:t>
      </w:r>
    </w:p>
    <w:p w14:paraId="7FDF966E"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14,49</w:t>
      </w:r>
    </w:p>
    <w:p w14:paraId="3F9AFFC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לְחַטֵּ֥א אֶת־הַבַּ֖יִת שְׁתֵּ֣י צִפֳּרִ֑ים וְעֵ֣ץ אֶ֔רֶז וּשְׁנִ֥י תוֹלַ֖עַת וְאֵזֹֽב׃</w:t>
      </w:r>
    </w:p>
    <w:p w14:paraId="3853856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nehmen zur Entsündigung des Hauses zwei Vögel und Zedernholz und Karmesinwolle und Ysop,</w:t>
      </w:r>
    </w:p>
    <w:p w14:paraId="7730BF6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5D3CF90">
          <v:rect id="_x0000_i1439" style="width:0;height:1.5pt" o:hralign="center" o:hrstd="t" o:hr="t" fillcolor="#a0a0a0" stroked="f"/>
        </w:pict>
      </w:r>
    </w:p>
    <w:p w14:paraId="242B416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ולקח לחטא את־הבית שתי צפרים ועץ ארז ושני תולעת ואזב</w:t>
      </w:r>
      <w:r w:rsidRPr="00195E02">
        <w:rPr>
          <w:rFonts w:eastAsia="Times New Roman" w:cs="Times New Roman"/>
          <w:rtl/>
          <w:lang w:eastAsia="de-DE"/>
        </w:rPr>
        <w:t xml:space="preserve"> </w:t>
      </w:r>
      <w:r w:rsidRPr="00195E02">
        <w:rPr>
          <w:rFonts w:eastAsia="Times New Roman" w:cs="Times New Roman"/>
          <w:lang w:eastAsia="de-DE"/>
        </w:rPr>
        <w:t xml:space="preserve">zeigt das Reinigungsritual für geheilte Häuser. </w:t>
      </w:r>
      <w:r w:rsidRPr="00195E02">
        <w:rPr>
          <w:rFonts w:eastAsia="Times New Roman" w:cs="Times New Roman"/>
          <w:b/>
          <w:bCs/>
          <w:rtl/>
          <w:lang w:eastAsia="de-DE"/>
        </w:rPr>
        <w:t>ולקח לחטא את־הבית</w:t>
      </w:r>
      <w:r w:rsidRPr="00195E02">
        <w:rPr>
          <w:rFonts w:eastAsia="Times New Roman" w:cs="Times New Roman"/>
          <w:rtl/>
          <w:lang w:eastAsia="de-DE"/>
        </w:rPr>
        <w:t xml:space="preserve"> </w:t>
      </w:r>
      <w:r w:rsidRPr="00195E02">
        <w:rPr>
          <w:rFonts w:eastAsia="Times New Roman" w:cs="Times New Roman"/>
          <w:lang w:eastAsia="de-DE"/>
        </w:rPr>
        <w:t xml:space="preserve">(und er soll nehmen zur Entsündigung des Hauses) - </w:t>
      </w:r>
      <w:r w:rsidRPr="00195E02">
        <w:rPr>
          <w:rFonts w:eastAsia="Times New Roman" w:cs="Times New Roman"/>
          <w:b/>
          <w:bCs/>
          <w:rtl/>
          <w:lang w:eastAsia="de-DE"/>
        </w:rPr>
        <w:t>לחטא</w:t>
      </w:r>
      <w:r w:rsidRPr="00195E02">
        <w:rPr>
          <w:rFonts w:eastAsia="Times New Roman" w:cs="Times New Roman"/>
          <w:rtl/>
          <w:lang w:eastAsia="de-DE"/>
        </w:rPr>
        <w:t xml:space="preserve"> </w:t>
      </w:r>
      <w:r w:rsidRPr="00195E02">
        <w:rPr>
          <w:rFonts w:eastAsia="Times New Roman" w:cs="Times New Roman"/>
          <w:lang w:eastAsia="de-DE"/>
        </w:rPr>
        <w:t xml:space="preserve">(zur Entsündigung) als Piel-Infinitiv von </w:t>
      </w:r>
      <w:r w:rsidRPr="00195E02">
        <w:rPr>
          <w:rFonts w:eastAsia="Times New Roman" w:cs="Times New Roman"/>
          <w:b/>
          <w:bCs/>
          <w:rtl/>
          <w:lang w:eastAsia="de-DE"/>
        </w:rPr>
        <w:t>חטא</w:t>
      </w:r>
      <w:r w:rsidRPr="00195E02">
        <w:rPr>
          <w:rFonts w:eastAsia="Times New Roman" w:cs="Times New Roman"/>
          <w:rtl/>
          <w:lang w:eastAsia="de-DE"/>
        </w:rPr>
        <w:t xml:space="preserve"> </w:t>
      </w:r>
      <w:r w:rsidRPr="00195E02">
        <w:rPr>
          <w:rFonts w:eastAsia="Times New Roman" w:cs="Times New Roman"/>
          <w:lang w:eastAsia="de-DE"/>
        </w:rPr>
        <w:t xml:space="preserve">zeigt rituellen Zweck. </w:t>
      </w:r>
      <w:r w:rsidRPr="00195E02">
        <w:rPr>
          <w:rFonts w:eastAsia="Times New Roman" w:cs="Times New Roman"/>
          <w:b/>
          <w:bCs/>
          <w:rtl/>
          <w:lang w:eastAsia="de-DE"/>
        </w:rPr>
        <w:t>שתי צפרים ועץ ארז ושני תולעת ואזב</w:t>
      </w:r>
      <w:r w:rsidRPr="00195E02">
        <w:rPr>
          <w:rFonts w:eastAsia="Times New Roman" w:cs="Times New Roman"/>
          <w:rtl/>
          <w:lang w:eastAsia="de-DE"/>
        </w:rPr>
        <w:t xml:space="preserve"> </w:t>
      </w:r>
      <w:r w:rsidRPr="00195E02">
        <w:rPr>
          <w:rFonts w:eastAsia="Times New Roman" w:cs="Times New Roman"/>
          <w:lang w:eastAsia="de-DE"/>
        </w:rPr>
        <w:t>entspricht exakt den Materialien aus V. 4 für Menschen-</w:t>
      </w:r>
      <w:r w:rsidRPr="00195E02">
        <w:rPr>
          <w:rFonts w:eastAsia="Times New Roman" w:cs="Times New Roman"/>
          <w:b/>
          <w:bCs/>
          <w:rtl/>
          <w:lang w:eastAsia="de-DE"/>
        </w:rPr>
        <w:t>צרעת</w:t>
      </w:r>
      <w:r w:rsidRPr="00195E02">
        <w:rPr>
          <w:rFonts w:eastAsia="Times New Roman" w:cs="Times New Roman"/>
          <w:lang w:eastAsia="de-DE"/>
        </w:rPr>
        <w:t>.</w:t>
      </w:r>
    </w:p>
    <w:p w14:paraId="2A792A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לחטא את־הבית</w:t>
      </w:r>
      <w:r w:rsidRPr="00195E02">
        <w:rPr>
          <w:rFonts w:eastAsia="Times New Roman" w:cs="Times New Roman"/>
          <w:rtl/>
          <w:lang w:eastAsia="de-DE"/>
        </w:rPr>
        <w:t xml:space="preserve"> </w:t>
      </w:r>
      <w:r w:rsidRPr="00195E02">
        <w:rPr>
          <w:rFonts w:eastAsia="Times New Roman" w:cs="Times New Roman"/>
          <w:lang w:eastAsia="de-DE"/>
        </w:rPr>
        <w:t>zeigt, dass auch Häuser Entsündigung benötigen. Die identischen Materialien zu V. 4 zeigen einheitliches Reinigungsritual für Menschen und Häuser.</w:t>
      </w:r>
    </w:p>
    <w:p w14:paraId="05528E7C" w14:textId="7C866D2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לחטא את־הבית</w:t>
      </w:r>
      <w:r w:rsidR="00523826">
        <w:t xml:space="preserve"> (</w:t>
      </w:r>
      <w:proofErr w:type="spellStart"/>
      <w:r w:rsidR="00523826">
        <w:t>lechatte</w:t>
      </w:r>
      <w:proofErr w:type="spellEnd"/>
      <w:r w:rsidR="00523826">
        <w:t xml:space="preserve"> et-</w:t>
      </w:r>
      <w:proofErr w:type="spellStart"/>
      <w:r w:rsidR="00523826">
        <w:t>habayit</w:t>
      </w:r>
      <w:proofErr w:type="spellEnd"/>
      <w:r w:rsidR="00523826">
        <w:t xml:space="preserve"> - "um das Haus zu entsündigen") als </w:t>
      </w:r>
      <w:proofErr w:type="spellStart"/>
      <w:r w:rsidR="00523826">
        <w:t>ἀφ</w:t>
      </w:r>
      <w:proofErr w:type="spellEnd"/>
      <w:r w:rsidR="00523826">
        <w:t xml:space="preserve">αγνίσαι </w:t>
      </w:r>
      <w:proofErr w:type="spellStart"/>
      <w:r w:rsidR="00523826">
        <w:t>τὴν</w:t>
      </w:r>
      <w:proofErr w:type="spellEnd"/>
      <w:r w:rsidR="00523826">
        <w:t xml:space="preserve"> </w:t>
      </w:r>
      <w:proofErr w:type="spellStart"/>
      <w:r w:rsidR="00523826">
        <w:t>οἰκί</w:t>
      </w:r>
      <w:proofErr w:type="spellEnd"/>
      <w:r w:rsidR="00523826">
        <w:t>αν (das Haus zu reinigen), was eine funktionalere Beschreibung des Rituals darstellt.</w:t>
      </w:r>
    </w:p>
    <w:p w14:paraId="4B30D1A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Ritualvorbereitung: Zweckangabe + identische Materialien wie bei Menschen-</w:t>
      </w:r>
      <w:r w:rsidRPr="00195E02">
        <w:rPr>
          <w:rFonts w:eastAsia="Times New Roman" w:cs="Times New Roman"/>
          <w:b/>
          <w:bCs/>
          <w:rtl/>
          <w:lang w:eastAsia="de-DE"/>
        </w:rPr>
        <w:t>צרעת</w:t>
      </w:r>
      <w:r w:rsidRPr="00195E02">
        <w:rPr>
          <w:rFonts w:eastAsia="Times New Roman" w:cs="Times New Roman"/>
          <w:lang w:eastAsia="de-DE"/>
        </w:rPr>
        <w:t>. Die Struktur zeigt einheitliche Reinigungspraxis.</w:t>
      </w:r>
    </w:p>
    <w:p w14:paraId="2AE7229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dieselben Reinigungsmaterialien für Häuser wie für Menschen in V. 4.</w:t>
      </w:r>
    </w:p>
    <w:p w14:paraId="00270CE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14,50</w:t>
      </w:r>
    </w:p>
    <w:p w14:paraId="7526615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וְשָׁחַ֖ט אֶת־הַצִּפֹּ֣ר הָאֶחָ֑ת אֶל־כְּלִי־חֶ֖רֶשׂ עַל־מַ֥יִם חַיִּֽים׃</w:t>
      </w:r>
    </w:p>
    <w:p w14:paraId="5C7130A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den einen Vogel schlachten in einem irdenen Gefäß über lebendigem Wasser.</w:t>
      </w:r>
    </w:p>
    <w:p w14:paraId="7D63799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9CE7253">
          <v:rect id="_x0000_i1440" style="width:0;height:1.5pt" o:hralign="center" o:hrstd="t" o:hr="t" fillcolor="#a0a0a0" stroked="f"/>
        </w:pict>
      </w:r>
    </w:p>
    <w:p w14:paraId="6C3D4FC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ושחט את־הצפור האחת אל־כלי־חרש על־מים חיים</w:t>
      </w:r>
      <w:r w:rsidRPr="00195E02">
        <w:rPr>
          <w:rFonts w:eastAsia="Times New Roman" w:cs="Times New Roman"/>
          <w:rtl/>
          <w:lang w:eastAsia="de-DE"/>
        </w:rPr>
        <w:t xml:space="preserve"> </w:t>
      </w:r>
      <w:r w:rsidRPr="00195E02">
        <w:rPr>
          <w:rFonts w:eastAsia="Times New Roman" w:cs="Times New Roman"/>
          <w:lang w:eastAsia="de-DE"/>
        </w:rPr>
        <w:t>entspricht exakt V. 5 für Menschen-</w:t>
      </w:r>
      <w:r w:rsidRPr="00195E02">
        <w:rPr>
          <w:rFonts w:eastAsia="Times New Roman" w:cs="Times New Roman"/>
          <w:b/>
          <w:bCs/>
          <w:rtl/>
          <w:lang w:eastAsia="de-DE"/>
        </w:rPr>
        <w:t>צרעת</w:t>
      </w:r>
      <w:r w:rsidRPr="00195E02">
        <w:rPr>
          <w:rFonts w:eastAsia="Times New Roman" w:cs="Times New Roman"/>
          <w:lang w:eastAsia="de-DE"/>
        </w:rPr>
        <w:t xml:space="preserve">. </w:t>
      </w:r>
      <w:r w:rsidRPr="00195E02">
        <w:rPr>
          <w:rFonts w:eastAsia="Times New Roman" w:cs="Times New Roman"/>
          <w:b/>
          <w:bCs/>
          <w:rtl/>
          <w:lang w:eastAsia="de-DE"/>
        </w:rPr>
        <w:t>ושחט את־הצפור האחת</w:t>
      </w:r>
      <w:r w:rsidRPr="00195E02">
        <w:rPr>
          <w:rFonts w:eastAsia="Times New Roman" w:cs="Times New Roman"/>
          <w:rtl/>
          <w:lang w:eastAsia="de-DE"/>
        </w:rPr>
        <w:t xml:space="preserve"> </w:t>
      </w:r>
      <w:r w:rsidRPr="00195E02">
        <w:rPr>
          <w:rFonts w:eastAsia="Times New Roman" w:cs="Times New Roman"/>
          <w:lang w:eastAsia="de-DE"/>
        </w:rPr>
        <w:t xml:space="preserve">(und er soll den einen Vogel schlachten), </w:t>
      </w:r>
      <w:r w:rsidRPr="00195E02">
        <w:rPr>
          <w:rFonts w:eastAsia="Times New Roman" w:cs="Times New Roman"/>
          <w:b/>
          <w:bCs/>
          <w:rtl/>
          <w:lang w:eastAsia="de-DE"/>
        </w:rPr>
        <w:t>אל־כלי־חרש על־מים חיים</w:t>
      </w:r>
      <w:r w:rsidRPr="00195E02">
        <w:rPr>
          <w:rFonts w:eastAsia="Times New Roman" w:cs="Times New Roman"/>
          <w:rtl/>
          <w:lang w:eastAsia="de-DE"/>
        </w:rPr>
        <w:t xml:space="preserve"> </w:t>
      </w:r>
      <w:r w:rsidRPr="00195E02">
        <w:rPr>
          <w:rFonts w:eastAsia="Times New Roman" w:cs="Times New Roman"/>
          <w:lang w:eastAsia="de-DE"/>
        </w:rPr>
        <w:t>(in einem irdenen Gefäß über lebendigem Wasser) sind identisch mit V. 5.</w:t>
      </w:r>
    </w:p>
    <w:p w14:paraId="072B6EA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vollständige Parallelität zu V. 5 zeigt, dass 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dasselbe Reinigungsritual erhält wie Menschen-</w:t>
      </w:r>
      <w:r w:rsidRPr="00195E02">
        <w:rPr>
          <w:rFonts w:eastAsia="Times New Roman" w:cs="Times New Roman"/>
          <w:b/>
          <w:bCs/>
          <w:rtl/>
          <w:lang w:eastAsia="de-DE"/>
        </w:rPr>
        <w:t>צרעת</w:t>
      </w:r>
      <w:r w:rsidRPr="00195E02">
        <w:rPr>
          <w:rFonts w:eastAsia="Times New Roman" w:cs="Times New Roman"/>
          <w:lang w:eastAsia="de-DE"/>
        </w:rPr>
        <w:t>.</w:t>
      </w:r>
    </w:p>
    <w:p w14:paraId="2841986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5 mit identischen griechischen Begriffen.</w:t>
      </w:r>
    </w:p>
    <w:p w14:paraId="77813C3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5: Vogelschlachtung + Gefäßspezifikation + Wassermedium. Die identische Struktur zeigt einheitliches Ritualverfahren.</w:t>
      </w:r>
    </w:p>
    <w:p w14:paraId="33EF6FF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identische erste Vogelschlachtung wie bei Menschen-</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in V. 5.</w:t>
      </w:r>
    </w:p>
    <w:p w14:paraId="03A7C8F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14,51</w:t>
      </w:r>
    </w:p>
    <w:p w14:paraId="56D5DBA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אֶת־עֵֽץ־הָ֠אֶרֶז וְאֶת־הָ֨אֵזֹ֜ב וְאֵ֣ת׀ שְׁנִ֣י הַתּוֹלַ֗עַת וְאֵת֮ הַצִּפֹּ֣ר הַֽחַיָּה֒ וְטָבַ֣ל אֹתָ֗ם בְּדַם֙ הַצִּפֹּ֣ר הַשְּׁחוּטָ֔ה וּבַמַּ֖יִם הַֽחַיִּ֑ים וְהִזָּ֥ה אֶל־הַבַּ֖יִת שֶׁ֥בַע פְּעָמִֽים׃</w:t>
      </w:r>
    </w:p>
    <w:p w14:paraId="6558CF1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nehmen das Zedernholz und den Ysop und die Karmesinwolle und den lebendigen Vogel und sie eintauchen in das Blut des geschlachteten Vogels und in das lebendige Wasser und das Haus siebenmal besprengen.</w:t>
      </w:r>
    </w:p>
    <w:p w14:paraId="1B0E7AE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lastRenderedPageBreak/>
        <w:pict w14:anchorId="700497AA">
          <v:rect id="_x0000_i1441" style="width:0;height:1.5pt" o:hralign="center" o:hrstd="t" o:hr="t" fillcolor="#a0a0a0" stroked="f"/>
        </w:pict>
      </w:r>
    </w:p>
    <w:p w14:paraId="158CE06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את־עץ־הארז ואת־האזב ואת שני התולעת ואת הצפר החיה וטבל אתם בדם הצפר השחוטה ובמים החיים והזה אל־הבית שבע פעמים</w:t>
      </w:r>
      <w:r w:rsidRPr="00195E02">
        <w:rPr>
          <w:rFonts w:eastAsia="Times New Roman" w:cs="Times New Roman"/>
          <w:rtl/>
          <w:lang w:eastAsia="de-DE"/>
        </w:rPr>
        <w:t xml:space="preserve"> </w:t>
      </w:r>
      <w:r w:rsidRPr="00195E02">
        <w:rPr>
          <w:rFonts w:eastAsia="Times New Roman" w:cs="Times New Roman"/>
          <w:lang w:eastAsia="de-DE"/>
        </w:rPr>
        <w:t xml:space="preserve">kombiniert V. 6-7 für Häuser. </w:t>
      </w:r>
      <w:r w:rsidRPr="00195E02">
        <w:rPr>
          <w:rFonts w:eastAsia="Times New Roman" w:cs="Times New Roman"/>
          <w:b/>
          <w:bCs/>
          <w:rtl/>
          <w:lang w:eastAsia="de-DE"/>
        </w:rPr>
        <w:t>ולקח את־עץ־הארז ואת־האזב ואת שני התולעת ואת הצפר החיה</w:t>
      </w:r>
      <w:r w:rsidRPr="00195E02">
        <w:rPr>
          <w:rFonts w:eastAsia="Times New Roman" w:cs="Times New Roman"/>
          <w:rtl/>
          <w:lang w:eastAsia="de-DE"/>
        </w:rPr>
        <w:t xml:space="preserve"> </w:t>
      </w:r>
      <w:r w:rsidRPr="00195E02">
        <w:rPr>
          <w:rFonts w:eastAsia="Times New Roman" w:cs="Times New Roman"/>
          <w:lang w:eastAsia="de-DE"/>
        </w:rPr>
        <w:t xml:space="preserve">entspricht V. 6. </w:t>
      </w:r>
      <w:r w:rsidRPr="00195E02">
        <w:rPr>
          <w:rFonts w:eastAsia="Times New Roman" w:cs="Times New Roman"/>
          <w:b/>
          <w:bCs/>
          <w:rtl/>
          <w:lang w:eastAsia="de-DE"/>
        </w:rPr>
        <w:t>וטבל אתם בדם הצפר השחוטה ובמים החיים</w:t>
      </w:r>
      <w:r w:rsidRPr="00195E02">
        <w:rPr>
          <w:rFonts w:eastAsia="Times New Roman" w:cs="Times New Roman"/>
          <w:rtl/>
          <w:lang w:eastAsia="de-DE"/>
        </w:rPr>
        <w:t xml:space="preserve"> </w:t>
      </w:r>
      <w:r w:rsidRPr="00195E02">
        <w:rPr>
          <w:rFonts w:eastAsia="Times New Roman" w:cs="Times New Roman"/>
          <w:lang w:eastAsia="de-DE"/>
        </w:rPr>
        <w:t>entspricht V. 6.</w:t>
      </w:r>
    </w:p>
    <w:p w14:paraId="588ABBD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והזה אל־הבית שבע פעמים</w:t>
      </w:r>
      <w:r w:rsidRPr="00195E02">
        <w:rPr>
          <w:rFonts w:eastAsia="Times New Roman" w:cs="Times New Roman"/>
          <w:rtl/>
          <w:lang w:eastAsia="de-DE"/>
        </w:rPr>
        <w:t xml:space="preserve"> </w:t>
      </w:r>
      <w:r w:rsidRPr="00195E02">
        <w:rPr>
          <w:rFonts w:eastAsia="Times New Roman" w:cs="Times New Roman"/>
          <w:lang w:eastAsia="de-DE"/>
        </w:rPr>
        <w:t xml:space="preserve">(und das Haus siebenmal besprengen) ersetzt </w:t>
      </w:r>
      <w:r w:rsidRPr="00195E02">
        <w:rPr>
          <w:rFonts w:eastAsia="Times New Roman" w:cs="Times New Roman"/>
          <w:b/>
          <w:bCs/>
          <w:rtl/>
          <w:lang w:eastAsia="de-DE"/>
        </w:rPr>
        <w:t>על המטהר מן־הצרעת</w:t>
      </w:r>
      <w:r w:rsidRPr="00195E02">
        <w:rPr>
          <w:rFonts w:eastAsia="Times New Roman" w:cs="Times New Roman"/>
          <w:rtl/>
          <w:lang w:eastAsia="de-DE"/>
        </w:rPr>
        <w:t xml:space="preserve"> </w:t>
      </w:r>
      <w:r w:rsidRPr="00195E02">
        <w:rPr>
          <w:rFonts w:eastAsia="Times New Roman" w:cs="Times New Roman"/>
          <w:lang w:eastAsia="de-DE"/>
        </w:rPr>
        <w:t xml:space="preserve">aus V. 7 durch </w:t>
      </w:r>
      <w:r w:rsidRPr="00195E02">
        <w:rPr>
          <w:rFonts w:eastAsia="Times New Roman" w:cs="Times New Roman"/>
          <w:b/>
          <w:bCs/>
          <w:rtl/>
          <w:lang w:eastAsia="de-DE"/>
        </w:rPr>
        <w:t>אל־הבית</w:t>
      </w:r>
      <w:r w:rsidRPr="00195E02">
        <w:rPr>
          <w:rFonts w:eastAsia="Times New Roman" w:cs="Times New Roman"/>
          <w:rtl/>
          <w:lang w:eastAsia="de-DE"/>
        </w:rPr>
        <w:t xml:space="preserve"> </w:t>
      </w:r>
      <w:r w:rsidRPr="00195E02">
        <w:rPr>
          <w:rFonts w:eastAsia="Times New Roman" w:cs="Times New Roman"/>
          <w:lang w:eastAsia="de-DE"/>
        </w:rPr>
        <w:t xml:space="preserve">(das Haus).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bleibt identisch.</w:t>
      </w:r>
    </w:p>
    <w:p w14:paraId="5D5620A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Materialien und das Eintauchungsverfahren entsprechen vollständig V. 6. </w:t>
      </w:r>
      <w:r w:rsidRPr="00195E02">
        <w:rPr>
          <w:rFonts w:eastAsia="Times New Roman" w:cs="Times New Roman"/>
          <w:b/>
          <w:bCs/>
          <w:rtl/>
          <w:lang w:eastAsia="de-DE"/>
        </w:rPr>
        <w:t>אל־הבית</w:t>
      </w:r>
      <w:r w:rsidRPr="00195E02">
        <w:rPr>
          <w:rFonts w:eastAsia="Times New Roman" w:cs="Times New Roman"/>
          <w:rtl/>
          <w:lang w:eastAsia="de-DE"/>
        </w:rPr>
        <w:t xml:space="preserve"> </w:t>
      </w:r>
      <w:r w:rsidRPr="00195E02">
        <w:rPr>
          <w:rFonts w:eastAsia="Times New Roman" w:cs="Times New Roman"/>
          <w:lang w:eastAsia="de-DE"/>
        </w:rPr>
        <w:t xml:space="preserve">statt </w:t>
      </w:r>
      <w:r w:rsidRPr="00195E02">
        <w:rPr>
          <w:rFonts w:eastAsia="Times New Roman" w:cs="Times New Roman"/>
          <w:b/>
          <w:bCs/>
          <w:rtl/>
          <w:lang w:eastAsia="de-DE"/>
        </w:rPr>
        <w:t>על המטהר</w:t>
      </w:r>
      <w:r w:rsidRPr="00195E02">
        <w:rPr>
          <w:rFonts w:eastAsia="Times New Roman" w:cs="Times New Roman"/>
          <w:rtl/>
          <w:lang w:eastAsia="de-DE"/>
        </w:rPr>
        <w:t xml:space="preserve"> </w:t>
      </w:r>
      <w:r w:rsidRPr="00195E02">
        <w:rPr>
          <w:rFonts w:eastAsia="Times New Roman" w:cs="Times New Roman"/>
          <w:lang w:eastAsia="de-DE"/>
        </w:rPr>
        <w:t xml:space="preserve">zeigt Anpassung an das Objekt.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als rituelle Vollzahl bleibt unverändert.</w:t>
      </w:r>
    </w:p>
    <w:p w14:paraId="4C3024F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6-7 mit </w:t>
      </w:r>
      <w:r w:rsidRPr="00195E02">
        <w:rPr>
          <w:rFonts w:eastAsia="Times New Roman" w:cs="Times New Roman"/>
          <w:b/>
          <w:bCs/>
          <w:lang w:eastAsia="de-DE"/>
        </w:rPr>
        <w:t>καὶ ῥα</w:t>
      </w:r>
      <w:proofErr w:type="spellStart"/>
      <w:r w:rsidRPr="00195E02">
        <w:rPr>
          <w:rFonts w:eastAsia="Times New Roman" w:cs="Times New Roman"/>
          <w:b/>
          <w:bCs/>
          <w:lang w:eastAsia="de-DE"/>
        </w:rPr>
        <w:t>νεῖ</w:t>
      </w:r>
      <w:proofErr w:type="spellEnd"/>
      <w:r w:rsidRPr="00195E02">
        <w:rPr>
          <w:rFonts w:eastAsia="Times New Roman" w:cs="Times New Roman"/>
          <w:b/>
          <w:bCs/>
          <w:lang w:eastAsia="de-DE"/>
        </w:rPr>
        <w:t xml:space="preserve"> ἐπὶ </w:t>
      </w:r>
      <w:proofErr w:type="spellStart"/>
      <w:r w:rsidRPr="00195E02">
        <w:rPr>
          <w:rFonts w:eastAsia="Times New Roman" w:cs="Times New Roman"/>
          <w:b/>
          <w:bCs/>
          <w:lang w:eastAsia="de-DE"/>
        </w:rPr>
        <w:t>τὴν</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οἰκί</w:t>
      </w:r>
      <w:proofErr w:type="spellEnd"/>
      <w:r w:rsidRPr="00195E02">
        <w:rPr>
          <w:rFonts w:eastAsia="Times New Roman" w:cs="Times New Roman"/>
          <w:b/>
          <w:bCs/>
          <w:lang w:eastAsia="de-DE"/>
        </w:rPr>
        <w:t>αν ἑπ</w:t>
      </w:r>
      <w:proofErr w:type="spellStart"/>
      <w:r w:rsidRPr="00195E02">
        <w:rPr>
          <w:rFonts w:eastAsia="Times New Roman" w:cs="Times New Roman"/>
          <w:b/>
          <w:bCs/>
          <w:lang w:eastAsia="de-DE"/>
        </w:rPr>
        <w:t>τάκις</w:t>
      </w:r>
      <w:proofErr w:type="spellEnd"/>
      <w:r w:rsidRPr="00195E02">
        <w:rPr>
          <w:rFonts w:eastAsia="Times New Roman" w:cs="Times New Roman"/>
          <w:lang w:eastAsia="de-DE"/>
        </w:rPr>
        <w:t xml:space="preserve"> (und er wird das Haus siebenmal besprengen).</w:t>
      </w:r>
    </w:p>
    <w:p w14:paraId="6E07510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kombiniert V. 6-7: Materialentnahme + Eintauchung + Hausbesprengung mit ritueller Häufigkeit. Die Struktur zeigt angepasstes aber paralleles Ritual.</w:t>
      </w:r>
    </w:p>
    <w:p w14:paraId="29BC5AF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kombiniert die Eintauchung aus V. 6 mit der siebenmaligen Besprengung aus V. 7, angepasst für Häuser.</w:t>
      </w:r>
    </w:p>
    <w:p w14:paraId="39F9FB3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14,52</w:t>
      </w:r>
    </w:p>
    <w:p w14:paraId="462725C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וְחִטֵּ֣א אֶת־הַבַּ֔יִת בְּדַם֙ הַצִּפּ֔וֹר וּבַמַּ֖יִם הַֽחַיִּ֑ים וּבַצִּפֹּ֣ר הַחַיָּ֗ה וּבְעֵ֥ץ הָאֶ֛רֶז וּבָאֵזֹ֖ב וּבִשְׁנִ֥י הַתּוֹלָֽעַת׃</w:t>
      </w:r>
    </w:p>
    <w:p w14:paraId="66E110F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er soll das Haus entsündigen mit dem Blut des Vogels und mit dem lebendigen Wasser und mit dem lebendigen Vogel und mit dem Zedernholz und mit dem Ysop und mit der Karmesinwolle;</w:t>
      </w:r>
    </w:p>
    <w:p w14:paraId="6355C7F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B3B59D4">
          <v:rect id="_x0000_i1442" style="width:0;height:1.5pt" o:hralign="center" o:hrstd="t" o:hr="t" fillcolor="#a0a0a0" stroked="f"/>
        </w:pict>
      </w:r>
    </w:p>
    <w:p w14:paraId="6CE5844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וחטא את־הבית בדם הצפור ובמים החיים ובצפר החיה ובעץ הארז ובאזב ובשני התולעת</w:t>
      </w:r>
      <w:r w:rsidRPr="00195E02">
        <w:rPr>
          <w:rFonts w:eastAsia="Times New Roman" w:cs="Times New Roman"/>
          <w:rtl/>
          <w:lang w:eastAsia="de-DE"/>
        </w:rPr>
        <w:t xml:space="preserve"> </w:t>
      </w:r>
      <w:proofErr w:type="spellStart"/>
      <w:r w:rsidRPr="00195E02">
        <w:rPr>
          <w:rFonts w:eastAsia="Times New Roman" w:cs="Times New Roman"/>
          <w:lang w:eastAsia="de-DE"/>
        </w:rPr>
        <w:t>fasst</w:t>
      </w:r>
      <w:proofErr w:type="spellEnd"/>
      <w:r w:rsidRPr="00195E02">
        <w:rPr>
          <w:rFonts w:eastAsia="Times New Roman" w:cs="Times New Roman"/>
          <w:lang w:eastAsia="de-DE"/>
        </w:rPr>
        <w:t xml:space="preserve"> alle Reinigungsmaterialien zusammen. </w:t>
      </w:r>
      <w:r w:rsidRPr="00195E02">
        <w:rPr>
          <w:rFonts w:eastAsia="Times New Roman" w:cs="Times New Roman"/>
          <w:b/>
          <w:bCs/>
          <w:rtl/>
          <w:lang w:eastAsia="de-DE"/>
        </w:rPr>
        <w:t>וחטא את־הבית</w:t>
      </w:r>
      <w:r w:rsidRPr="00195E02">
        <w:rPr>
          <w:rFonts w:eastAsia="Times New Roman" w:cs="Times New Roman"/>
          <w:rtl/>
          <w:lang w:eastAsia="de-DE"/>
        </w:rPr>
        <w:t xml:space="preserve"> </w:t>
      </w:r>
      <w:r w:rsidRPr="00195E02">
        <w:rPr>
          <w:rFonts w:eastAsia="Times New Roman" w:cs="Times New Roman"/>
          <w:lang w:eastAsia="de-DE"/>
        </w:rPr>
        <w:t xml:space="preserve">(und er soll das Haus entsündigen) - </w:t>
      </w:r>
      <w:r w:rsidRPr="00195E02">
        <w:rPr>
          <w:rFonts w:eastAsia="Times New Roman" w:cs="Times New Roman"/>
          <w:b/>
          <w:bCs/>
          <w:rtl/>
          <w:lang w:eastAsia="de-DE"/>
        </w:rPr>
        <w:t>חטא</w:t>
      </w:r>
      <w:r w:rsidRPr="00195E02">
        <w:rPr>
          <w:rFonts w:eastAsia="Times New Roman" w:cs="Times New Roman"/>
          <w:rtl/>
          <w:lang w:eastAsia="de-DE"/>
        </w:rPr>
        <w:t xml:space="preserve"> </w:t>
      </w:r>
      <w:r w:rsidRPr="00195E02">
        <w:rPr>
          <w:rFonts w:eastAsia="Times New Roman" w:cs="Times New Roman"/>
          <w:lang w:eastAsia="de-DE"/>
        </w:rPr>
        <w:t xml:space="preserve">(entsündigen) im Piel-Perfekt entspricht </w:t>
      </w:r>
      <w:r w:rsidRPr="00195E02">
        <w:rPr>
          <w:rFonts w:eastAsia="Times New Roman" w:cs="Times New Roman"/>
          <w:b/>
          <w:bCs/>
          <w:rtl/>
          <w:lang w:eastAsia="de-DE"/>
        </w:rPr>
        <w:t>לחטא</w:t>
      </w:r>
      <w:r w:rsidRPr="00195E02">
        <w:rPr>
          <w:rFonts w:eastAsia="Times New Roman" w:cs="Times New Roman"/>
          <w:rtl/>
          <w:lang w:eastAsia="de-DE"/>
        </w:rPr>
        <w:t xml:space="preserve"> </w:t>
      </w:r>
      <w:r w:rsidRPr="00195E02">
        <w:rPr>
          <w:rFonts w:eastAsia="Times New Roman" w:cs="Times New Roman"/>
          <w:lang w:eastAsia="de-DE"/>
        </w:rPr>
        <w:t>aus V. 49.</w:t>
      </w:r>
    </w:p>
    <w:p w14:paraId="3C109C6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בדם הצפור ובמים החיים ובצפר החיה ובעץ הארז ובאזב ובשני התולעת</w:t>
      </w:r>
      <w:r w:rsidRPr="00195E02">
        <w:rPr>
          <w:rFonts w:eastAsia="Times New Roman" w:cs="Times New Roman"/>
          <w:rtl/>
          <w:lang w:eastAsia="de-DE"/>
        </w:rPr>
        <w:t xml:space="preserve"> </w:t>
      </w:r>
      <w:r w:rsidRPr="00195E02">
        <w:rPr>
          <w:rFonts w:eastAsia="Times New Roman" w:cs="Times New Roman"/>
          <w:lang w:eastAsia="de-DE"/>
        </w:rPr>
        <w:t xml:space="preserve">listet alle sechs Reinigungsmaterialien mit der Präposition </w:t>
      </w:r>
      <w:r w:rsidRPr="00195E02">
        <w:rPr>
          <w:rFonts w:eastAsia="Times New Roman" w:cs="Times New Roman"/>
          <w:b/>
          <w:bCs/>
          <w:rtl/>
          <w:lang w:eastAsia="de-DE"/>
        </w:rPr>
        <w:t>ב</w:t>
      </w:r>
      <w:r w:rsidRPr="00195E02">
        <w:rPr>
          <w:rFonts w:eastAsia="Times New Roman" w:cs="Times New Roman"/>
          <w:rtl/>
          <w:lang w:eastAsia="de-DE"/>
        </w:rPr>
        <w:t xml:space="preserve"> </w:t>
      </w:r>
      <w:r w:rsidRPr="00195E02">
        <w:rPr>
          <w:rFonts w:eastAsia="Times New Roman" w:cs="Times New Roman"/>
          <w:lang w:eastAsia="de-DE"/>
        </w:rPr>
        <w:t>(mit) auf: Vogelblut, lebendiges Wasser, lebendiger Vogel, Zedernholz, Ysop, Karmesinwolle.</w:t>
      </w:r>
    </w:p>
    <w:p w14:paraId="644D7BD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חטא את־הבית</w:t>
      </w:r>
      <w:r w:rsidRPr="00195E02">
        <w:rPr>
          <w:rFonts w:eastAsia="Times New Roman" w:cs="Times New Roman"/>
          <w:rtl/>
          <w:lang w:eastAsia="de-DE"/>
        </w:rPr>
        <w:t xml:space="preserve"> </w:t>
      </w:r>
      <w:r w:rsidRPr="00195E02">
        <w:rPr>
          <w:rFonts w:eastAsia="Times New Roman" w:cs="Times New Roman"/>
          <w:lang w:eastAsia="de-DE"/>
        </w:rPr>
        <w:t xml:space="preserve">betont den </w:t>
      </w:r>
      <w:proofErr w:type="spellStart"/>
      <w:r w:rsidRPr="00195E02">
        <w:rPr>
          <w:rFonts w:eastAsia="Times New Roman" w:cs="Times New Roman"/>
          <w:lang w:eastAsia="de-DE"/>
        </w:rPr>
        <w:t>Entsündigungszweck</w:t>
      </w:r>
      <w:proofErr w:type="spellEnd"/>
      <w:r w:rsidRPr="00195E02">
        <w:rPr>
          <w:rFonts w:eastAsia="Times New Roman" w:cs="Times New Roman"/>
          <w:lang w:eastAsia="de-DE"/>
        </w:rPr>
        <w:t xml:space="preserve">. Die sechsfache </w:t>
      </w:r>
      <w:r w:rsidRPr="00195E02">
        <w:rPr>
          <w:rFonts w:eastAsia="Times New Roman" w:cs="Times New Roman"/>
          <w:b/>
          <w:bCs/>
          <w:rtl/>
          <w:lang w:eastAsia="de-DE"/>
        </w:rPr>
        <w:t>ב</w:t>
      </w:r>
      <w:r w:rsidRPr="00195E02">
        <w:rPr>
          <w:rFonts w:eastAsia="Times New Roman" w:cs="Times New Roman"/>
          <w:lang w:eastAsia="de-DE"/>
        </w:rPr>
        <w:t>-Konstruktion zeigt, dass alle Materialien zur Entsündigung beitragen.</w:t>
      </w:r>
    </w:p>
    <w:p w14:paraId="0B944E6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וחטא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ἀφ</w:t>
      </w:r>
      <w:proofErr w:type="spellEnd"/>
      <w:r w:rsidRPr="00195E02">
        <w:rPr>
          <w:rFonts w:eastAsia="Times New Roman" w:cs="Times New Roman"/>
          <w:lang w:eastAsia="de-DE"/>
        </w:rPr>
        <w:t>αγνιεῖ (er wird reinigen) und listet alle Materialien mit entsprechenden griechischen Präpositionen auf.</w:t>
      </w:r>
    </w:p>
    <w:p w14:paraId="538FBB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Ritualsummierung: Entsündigungsakt + sechsfache Materialaufzählung. Die Struktur betont die Totalität der verwendeten Reinigungsmittel.</w:t>
      </w:r>
    </w:p>
    <w:p w14:paraId="4C12420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Dieser Vers fasst die Hausentsündigung mit allen sechs Reinigungsmaterialien zusammen.</w:t>
      </w:r>
    </w:p>
    <w:p w14:paraId="7EFA831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14,53</w:t>
      </w:r>
    </w:p>
    <w:p w14:paraId="6B841D3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וְשִׁלַּ֞ח אֶת־הַצִּפֹּ֧ר הַֽחַיָּ֛ה אֶל־מִח֥וּץ לָעִ֖יר אֶל־פְּנֵ֣י הַשָּׂדֶ֑ה וְכִפֶּ֥ר עַל־הַבַּ֖יִת וְטָהֵֽר׃</w:t>
      </w:r>
    </w:p>
    <w:p w14:paraId="4660A2D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den lebendigen Vogel soll er freilassen außerhalb der Stadt über das Angesicht des Feldes und Sühne erwirken für das Haus; und es wird rein sein.</w:t>
      </w:r>
    </w:p>
    <w:p w14:paraId="0452E07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48FBC41">
          <v:rect id="_x0000_i1443" style="width:0;height:1.5pt" o:hralign="center" o:hrstd="t" o:hr="t" fillcolor="#a0a0a0" stroked="f"/>
        </w:pict>
      </w:r>
    </w:p>
    <w:p w14:paraId="7A79824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ושלח את־הצפר החיה אל־מחוץ לעיר אל־פני השדה וכפר על־הבית וטהר</w:t>
      </w:r>
      <w:r w:rsidRPr="00195E02">
        <w:rPr>
          <w:rFonts w:eastAsia="Times New Roman" w:cs="Times New Roman"/>
          <w:rtl/>
          <w:lang w:eastAsia="de-DE"/>
        </w:rPr>
        <w:t xml:space="preserve"> </w:t>
      </w:r>
      <w:r w:rsidRPr="00195E02">
        <w:rPr>
          <w:rFonts w:eastAsia="Times New Roman" w:cs="Times New Roman"/>
          <w:lang w:eastAsia="de-DE"/>
        </w:rPr>
        <w:t xml:space="preserve">schließt das Häuser-Reinigungsritual ab. </w:t>
      </w:r>
      <w:r w:rsidRPr="00195E02">
        <w:rPr>
          <w:rFonts w:eastAsia="Times New Roman" w:cs="Times New Roman"/>
          <w:b/>
          <w:bCs/>
          <w:rtl/>
          <w:lang w:eastAsia="de-DE"/>
        </w:rPr>
        <w:t>ושלח את־הצפר החיה אל־מחוץ לעיר אל־פני השדה</w:t>
      </w:r>
      <w:r w:rsidRPr="00195E02">
        <w:rPr>
          <w:rFonts w:eastAsia="Times New Roman" w:cs="Times New Roman"/>
          <w:rtl/>
          <w:lang w:eastAsia="de-DE"/>
        </w:rPr>
        <w:t xml:space="preserve"> </w:t>
      </w:r>
      <w:r w:rsidRPr="00195E02">
        <w:rPr>
          <w:rFonts w:eastAsia="Times New Roman" w:cs="Times New Roman"/>
          <w:lang w:eastAsia="de-DE"/>
        </w:rPr>
        <w:t xml:space="preserve">(und den lebendigen Vogel soll er freilassen außerhalb der Stadt über das Angesicht des Feldes) entspricht V. 7, aber mit </w:t>
      </w:r>
      <w:r w:rsidRPr="00195E02">
        <w:rPr>
          <w:rFonts w:eastAsia="Times New Roman" w:cs="Times New Roman"/>
          <w:b/>
          <w:bCs/>
          <w:rtl/>
          <w:lang w:eastAsia="de-DE"/>
        </w:rPr>
        <w:t>אל־מחוץ לעיר</w:t>
      </w:r>
      <w:r w:rsidRPr="00195E02">
        <w:rPr>
          <w:rFonts w:eastAsia="Times New Roman" w:cs="Times New Roman"/>
          <w:rtl/>
          <w:lang w:eastAsia="de-DE"/>
        </w:rPr>
        <w:t xml:space="preserve"> </w:t>
      </w:r>
      <w:r w:rsidRPr="00195E02">
        <w:rPr>
          <w:rFonts w:eastAsia="Times New Roman" w:cs="Times New Roman"/>
          <w:lang w:eastAsia="de-DE"/>
        </w:rPr>
        <w:t xml:space="preserve">(außerhalb der Stadt) statt </w:t>
      </w:r>
      <w:r w:rsidRPr="00195E02">
        <w:rPr>
          <w:rFonts w:eastAsia="Times New Roman" w:cs="Times New Roman"/>
          <w:b/>
          <w:bCs/>
          <w:rtl/>
          <w:lang w:eastAsia="de-DE"/>
        </w:rPr>
        <w:t>על־פני השדה</w:t>
      </w:r>
      <w:r w:rsidRPr="00195E02">
        <w:rPr>
          <w:rFonts w:eastAsia="Times New Roman" w:cs="Times New Roman"/>
          <w:rtl/>
          <w:lang w:eastAsia="de-DE"/>
        </w:rPr>
        <w:t xml:space="preserve"> </w:t>
      </w:r>
      <w:r w:rsidRPr="00195E02">
        <w:rPr>
          <w:rFonts w:eastAsia="Times New Roman" w:cs="Times New Roman"/>
          <w:lang w:eastAsia="de-DE"/>
        </w:rPr>
        <w:t>allein.</w:t>
      </w:r>
    </w:p>
    <w:p w14:paraId="2287CA3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על־הבית וטהר</w:t>
      </w:r>
      <w:r w:rsidRPr="00195E02">
        <w:rPr>
          <w:rFonts w:eastAsia="Times New Roman" w:cs="Times New Roman"/>
          <w:rtl/>
          <w:lang w:eastAsia="de-DE"/>
        </w:rPr>
        <w:t xml:space="preserve"> </w:t>
      </w:r>
      <w:r w:rsidRPr="00195E02">
        <w:rPr>
          <w:rFonts w:eastAsia="Times New Roman" w:cs="Times New Roman"/>
          <w:lang w:eastAsia="de-DE"/>
        </w:rPr>
        <w:t xml:space="preserve">(und Sühne erwirken für das Haus; und es wird rein sein) zeigt die Konsequenzen. </w:t>
      </w:r>
      <w:r w:rsidRPr="00195E02">
        <w:rPr>
          <w:rFonts w:eastAsia="Times New Roman" w:cs="Times New Roman"/>
          <w:b/>
          <w:bCs/>
          <w:rtl/>
          <w:lang w:eastAsia="de-DE"/>
        </w:rPr>
        <w:t>כפר על־הבית</w:t>
      </w:r>
      <w:r w:rsidRPr="00195E02">
        <w:rPr>
          <w:rFonts w:eastAsia="Times New Roman" w:cs="Times New Roman"/>
          <w:rtl/>
          <w:lang w:eastAsia="de-DE"/>
        </w:rPr>
        <w:t xml:space="preserve"> </w:t>
      </w:r>
      <w:r w:rsidRPr="00195E02">
        <w:rPr>
          <w:rFonts w:eastAsia="Times New Roman" w:cs="Times New Roman"/>
          <w:lang w:eastAsia="de-DE"/>
        </w:rPr>
        <w:t xml:space="preserve">(Sühne erwirken für das Haus) entspricht </w:t>
      </w:r>
      <w:r w:rsidRPr="00195E02">
        <w:rPr>
          <w:rFonts w:eastAsia="Times New Roman" w:cs="Times New Roman"/>
          <w:b/>
          <w:bCs/>
          <w:rtl/>
          <w:lang w:eastAsia="de-DE"/>
        </w:rPr>
        <w:t>כפר עליו</w:t>
      </w:r>
      <w:r w:rsidRPr="00195E02">
        <w:rPr>
          <w:rFonts w:eastAsia="Times New Roman" w:cs="Times New Roman"/>
          <w:rtl/>
          <w:lang w:eastAsia="de-DE"/>
        </w:rPr>
        <w:t xml:space="preserve"> </w:t>
      </w:r>
      <w:r w:rsidRPr="00195E02">
        <w:rPr>
          <w:rFonts w:eastAsia="Times New Roman" w:cs="Times New Roman"/>
          <w:lang w:eastAsia="de-DE"/>
        </w:rPr>
        <w:t xml:space="preserve">aus V. 18 für Menschen.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(und es wird rein sein) als finale Reinheitserklärung.</w:t>
      </w:r>
    </w:p>
    <w:p w14:paraId="4E65738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אל־מחוץ לעיר</w:t>
      </w:r>
      <w:r w:rsidRPr="00195E02">
        <w:rPr>
          <w:rFonts w:eastAsia="Times New Roman" w:cs="Times New Roman"/>
          <w:rtl/>
          <w:lang w:eastAsia="de-DE"/>
        </w:rPr>
        <w:t xml:space="preserve"> </w:t>
      </w:r>
      <w:r w:rsidRPr="00195E02">
        <w:rPr>
          <w:rFonts w:eastAsia="Times New Roman" w:cs="Times New Roman"/>
          <w:lang w:eastAsia="de-DE"/>
        </w:rPr>
        <w:t>zeigt, dass die Vogelfreilassung außerhalb der Stadt erfolgt, passend zur städtischen Häuser-</w:t>
      </w:r>
      <w:r w:rsidRPr="00195E02">
        <w:rPr>
          <w:rFonts w:eastAsia="Times New Roman" w:cs="Times New Roman"/>
          <w:b/>
          <w:bCs/>
          <w:rtl/>
          <w:lang w:eastAsia="de-DE"/>
        </w:rPr>
        <w:t>צרעת</w:t>
      </w:r>
      <w:r w:rsidRPr="00195E02">
        <w:rPr>
          <w:rFonts w:eastAsia="Times New Roman" w:cs="Times New Roman"/>
          <w:lang w:eastAsia="de-DE"/>
        </w:rPr>
        <w:t xml:space="preserve">. </w:t>
      </w:r>
      <w:r w:rsidRPr="00195E02">
        <w:rPr>
          <w:rFonts w:eastAsia="Times New Roman" w:cs="Times New Roman"/>
          <w:b/>
          <w:bCs/>
          <w:rtl/>
          <w:lang w:eastAsia="de-DE"/>
        </w:rPr>
        <w:t>כפר על־הבית</w:t>
      </w:r>
      <w:r w:rsidRPr="00195E02">
        <w:rPr>
          <w:rFonts w:eastAsia="Times New Roman" w:cs="Times New Roman"/>
          <w:rtl/>
          <w:lang w:eastAsia="de-DE"/>
        </w:rPr>
        <w:t xml:space="preserve"> </w:t>
      </w:r>
      <w:r w:rsidRPr="00195E02">
        <w:rPr>
          <w:rFonts w:eastAsia="Times New Roman" w:cs="Times New Roman"/>
          <w:lang w:eastAsia="de-DE"/>
        </w:rPr>
        <w:t xml:space="preserve">zeigt, dass auch Häuser Sühne benötigen.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als endgültige Reinheit.</w:t>
      </w:r>
    </w:p>
    <w:p w14:paraId="250DC9D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ושלח</w:t>
      </w:r>
      <w:r w:rsidRPr="00195E02">
        <w:rPr>
          <w:rFonts w:eastAsia="Times New Roman" w:cs="Times New Roman"/>
          <w:rtl/>
          <w:lang w:eastAsia="de-DE"/>
        </w:rPr>
        <w:t xml:space="preserve"> </w:t>
      </w:r>
      <w:r w:rsidRPr="00195E02">
        <w:rPr>
          <w:rFonts w:eastAsia="Times New Roman" w:cs="Times New Roman"/>
          <w:lang w:eastAsia="de-DE"/>
        </w:rPr>
        <w:t>mit ἀπ</w:t>
      </w:r>
      <w:proofErr w:type="spellStart"/>
      <w:r w:rsidRPr="00195E02">
        <w:rPr>
          <w:rFonts w:eastAsia="Times New Roman" w:cs="Times New Roman"/>
          <w:lang w:eastAsia="de-DE"/>
        </w:rPr>
        <w:t>οστελεῖ</w:t>
      </w:r>
      <w:proofErr w:type="spellEnd"/>
      <w:r w:rsidRPr="00195E02">
        <w:rPr>
          <w:rFonts w:eastAsia="Times New Roman" w:cs="Times New Roman"/>
          <w:lang w:eastAsia="de-DE"/>
        </w:rPr>
        <w:t xml:space="preserve"> (er wird aussenden), </w:t>
      </w:r>
      <w:r w:rsidRPr="00195E02">
        <w:rPr>
          <w:rFonts w:eastAsia="Times New Roman" w:cs="Times New Roman"/>
          <w:b/>
          <w:bCs/>
          <w:rtl/>
          <w:lang w:eastAsia="de-DE"/>
        </w:rPr>
        <w:t>מחוץ לעיר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ἔξω</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όλεως</w:t>
      </w:r>
      <w:proofErr w:type="spellEnd"/>
      <w:r w:rsidRPr="00195E02">
        <w:rPr>
          <w:rFonts w:eastAsia="Times New Roman" w:cs="Times New Roman"/>
          <w:lang w:eastAsia="de-DE"/>
        </w:rPr>
        <w:t xml:space="preserve"> (außerhalb der Stadt), </w:t>
      </w:r>
      <w:r w:rsidRPr="00195E02">
        <w:rPr>
          <w:rFonts w:eastAsia="Times New Roman" w:cs="Times New Roman"/>
          <w:b/>
          <w:bCs/>
          <w:rtl/>
          <w:lang w:eastAsia="de-DE"/>
        </w:rPr>
        <w:t>וכפר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ἐξιλάσετ</w:t>
      </w:r>
      <w:proofErr w:type="spellEnd"/>
      <w:r w:rsidRPr="00195E02">
        <w:rPr>
          <w:rFonts w:eastAsia="Times New Roman" w:cs="Times New Roman"/>
          <w:lang w:eastAsia="de-DE"/>
        </w:rPr>
        <w:t xml:space="preserve">αι (er wird entsühnen) und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ἔστ</w:t>
      </w:r>
      <w:proofErr w:type="spellEnd"/>
      <w:r w:rsidRPr="00195E02">
        <w:rPr>
          <w:rFonts w:eastAsia="Times New Roman" w:cs="Times New Roman"/>
          <w:lang w:eastAsia="de-DE"/>
        </w:rPr>
        <w:t>αι (rein wird es sein).</w:t>
      </w:r>
    </w:p>
    <w:p w14:paraId="1D047DF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Ritualabschluss: Vogelfreilassung außerhalb der Stadt + Sühneerklärung für das Haus + finale Reinheit. Die Struktur entspricht V. 7 mit Anpassung an städtischen Kontext.</w:t>
      </w:r>
    </w:p>
    <w:p w14:paraId="50605BA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schließt das Häuser-Reinigungsritual mit Vogelfreilassung, Sühne und endgültiger Reinheit ab.</w:t>
      </w:r>
    </w:p>
    <w:p w14:paraId="1BA9962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14,54</w:t>
      </w:r>
    </w:p>
    <w:p w14:paraId="53F2004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זֹ֖את הַתּוֹרָ֑ה לְכָל־נֶ֥גַע הַצָּרַ֖עַת וְלַנָּֽתֶק׃</w:t>
      </w:r>
    </w:p>
    <w:p w14:paraId="060180C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Das ist die Torah für allen Aussatzfleck und für den Schorf,</w:t>
      </w:r>
    </w:p>
    <w:p w14:paraId="02B63C1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935DDFC">
          <v:rect id="_x0000_i1444" style="width:0;height:1.5pt" o:hralign="center" o:hrstd="t" o:hr="t" fillcolor="#a0a0a0" stroked="f"/>
        </w:pict>
      </w:r>
    </w:p>
    <w:p w14:paraId="242C2A7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זאת התורה לכל־נגע הצרעת ולנתק</w:t>
      </w:r>
      <w:r w:rsidRPr="00195E02">
        <w:rPr>
          <w:rFonts w:eastAsia="Times New Roman" w:cs="Times New Roman"/>
          <w:rtl/>
          <w:lang w:eastAsia="de-DE"/>
        </w:rPr>
        <w:t xml:space="preserve"> </w:t>
      </w:r>
      <w:r w:rsidRPr="00195E02">
        <w:rPr>
          <w:rFonts w:eastAsia="Times New Roman" w:cs="Times New Roman"/>
          <w:lang w:eastAsia="de-DE"/>
        </w:rPr>
        <w:t xml:space="preserve">leitet die abschließende </w:t>
      </w:r>
      <w:r w:rsidRPr="00195E02">
        <w:rPr>
          <w:rFonts w:eastAsia="Times New Roman" w:cs="Times New Roman"/>
          <w:b/>
          <w:bCs/>
          <w:rtl/>
          <w:lang w:eastAsia="de-DE"/>
        </w:rPr>
        <w:t>תורת</w:t>
      </w:r>
      <w:r w:rsidRPr="00195E02">
        <w:rPr>
          <w:rFonts w:eastAsia="Times New Roman" w:cs="Times New Roman"/>
          <w:lang w:eastAsia="de-DE"/>
        </w:rPr>
        <w:t xml:space="preserve">-Zusammenfassung ein. </w:t>
      </w:r>
      <w:r w:rsidRPr="00195E02">
        <w:rPr>
          <w:rFonts w:eastAsia="Times New Roman" w:cs="Times New Roman"/>
          <w:b/>
          <w:bCs/>
          <w:rtl/>
          <w:lang w:eastAsia="de-DE"/>
        </w:rPr>
        <w:t>זאת התורה</w:t>
      </w:r>
      <w:r w:rsidRPr="00195E02">
        <w:rPr>
          <w:rFonts w:eastAsia="Times New Roman" w:cs="Times New Roman"/>
          <w:rtl/>
          <w:lang w:eastAsia="de-DE"/>
        </w:rPr>
        <w:t xml:space="preserve"> </w:t>
      </w:r>
      <w:r w:rsidRPr="00195E02">
        <w:rPr>
          <w:rFonts w:eastAsia="Times New Roman" w:cs="Times New Roman"/>
          <w:lang w:eastAsia="de-DE"/>
        </w:rPr>
        <w:t xml:space="preserve">(das ist die Torah) entspricht den anderen </w:t>
      </w:r>
      <w:r w:rsidRPr="00195E02">
        <w:rPr>
          <w:rFonts w:eastAsia="Times New Roman" w:cs="Times New Roman"/>
          <w:b/>
          <w:bCs/>
          <w:rtl/>
          <w:lang w:eastAsia="de-DE"/>
        </w:rPr>
        <w:t>תורת</w:t>
      </w:r>
      <w:r w:rsidRPr="00195E02">
        <w:rPr>
          <w:rFonts w:eastAsia="Times New Roman" w:cs="Times New Roman"/>
          <w:lang w:eastAsia="de-DE"/>
        </w:rPr>
        <w:t xml:space="preserve">-Formeln. </w:t>
      </w:r>
      <w:r w:rsidRPr="00195E02">
        <w:rPr>
          <w:rFonts w:eastAsia="Times New Roman" w:cs="Times New Roman"/>
          <w:b/>
          <w:bCs/>
          <w:rtl/>
          <w:lang w:eastAsia="de-DE"/>
        </w:rPr>
        <w:t>לכל־נגע הצרעת</w:t>
      </w:r>
      <w:r w:rsidRPr="00195E02">
        <w:rPr>
          <w:rFonts w:eastAsia="Times New Roman" w:cs="Times New Roman"/>
          <w:rtl/>
          <w:lang w:eastAsia="de-DE"/>
        </w:rPr>
        <w:t xml:space="preserve"> </w:t>
      </w:r>
      <w:r w:rsidRPr="00195E02">
        <w:rPr>
          <w:rFonts w:eastAsia="Times New Roman" w:cs="Times New Roman"/>
          <w:lang w:eastAsia="de-DE"/>
        </w:rPr>
        <w:t xml:space="preserve">(für allen Aussatzfleck) umfasst alle </w:t>
      </w:r>
      <w:r w:rsidRPr="00195E02">
        <w:rPr>
          <w:rFonts w:eastAsia="Times New Roman" w:cs="Times New Roman"/>
          <w:b/>
          <w:bCs/>
          <w:rtl/>
          <w:lang w:eastAsia="de-DE"/>
        </w:rPr>
        <w:t>צרעת</w:t>
      </w:r>
      <w:r w:rsidRPr="00195E02">
        <w:rPr>
          <w:rFonts w:eastAsia="Times New Roman" w:cs="Times New Roman"/>
          <w:lang w:eastAsia="de-DE"/>
        </w:rPr>
        <w:t xml:space="preserve">-Formen aus Kap. 13-14. </w:t>
      </w:r>
      <w:r w:rsidRPr="00195E02">
        <w:rPr>
          <w:rFonts w:eastAsia="Times New Roman" w:cs="Times New Roman"/>
          <w:b/>
          <w:bCs/>
          <w:rtl/>
          <w:lang w:eastAsia="de-DE"/>
        </w:rPr>
        <w:t>ולנתק</w:t>
      </w:r>
      <w:r w:rsidRPr="00195E02">
        <w:rPr>
          <w:rFonts w:eastAsia="Times New Roman" w:cs="Times New Roman"/>
          <w:rtl/>
          <w:lang w:eastAsia="de-DE"/>
        </w:rPr>
        <w:t xml:space="preserve"> </w:t>
      </w:r>
      <w:r w:rsidRPr="00195E02">
        <w:rPr>
          <w:rFonts w:eastAsia="Times New Roman" w:cs="Times New Roman"/>
          <w:lang w:eastAsia="de-DE"/>
        </w:rPr>
        <w:t xml:space="preserve">(und für den Schorf) spezifiziert </w:t>
      </w:r>
      <w:r w:rsidRPr="00195E02">
        <w:rPr>
          <w:rFonts w:eastAsia="Times New Roman" w:cs="Times New Roman"/>
          <w:b/>
          <w:bCs/>
          <w:rtl/>
          <w:lang w:eastAsia="de-DE"/>
        </w:rPr>
        <w:t>נתק</w:t>
      </w:r>
      <w:r w:rsidRPr="00195E02">
        <w:rPr>
          <w:rFonts w:eastAsia="Times New Roman" w:cs="Times New Roman"/>
          <w:rtl/>
          <w:lang w:eastAsia="de-DE"/>
        </w:rPr>
        <w:t xml:space="preserve"> </w:t>
      </w:r>
      <w:r w:rsidRPr="00195E02">
        <w:rPr>
          <w:rFonts w:eastAsia="Times New Roman" w:cs="Times New Roman"/>
          <w:lang w:eastAsia="de-DE"/>
        </w:rPr>
        <w:t xml:space="preserve">aus 13,29-37 als besondere </w:t>
      </w:r>
      <w:r w:rsidRPr="00195E02">
        <w:rPr>
          <w:rFonts w:eastAsia="Times New Roman" w:cs="Times New Roman"/>
          <w:b/>
          <w:bCs/>
          <w:rtl/>
          <w:lang w:eastAsia="de-DE"/>
        </w:rPr>
        <w:t>צרעת</w:t>
      </w:r>
      <w:r w:rsidRPr="00195E02">
        <w:rPr>
          <w:rFonts w:eastAsia="Times New Roman" w:cs="Times New Roman"/>
          <w:lang w:eastAsia="de-DE"/>
        </w:rPr>
        <w:t>-Form.</w:t>
      </w:r>
    </w:p>
    <w:p w14:paraId="4D66684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לכל־נגע הצרעת</w:t>
      </w:r>
      <w:r w:rsidRPr="00195E02">
        <w:rPr>
          <w:rFonts w:eastAsia="Times New Roman" w:cs="Times New Roman"/>
          <w:rtl/>
          <w:lang w:eastAsia="de-DE"/>
        </w:rPr>
        <w:t xml:space="preserve"> </w:t>
      </w:r>
      <w:r w:rsidRPr="00195E02">
        <w:rPr>
          <w:rFonts w:eastAsia="Times New Roman" w:cs="Times New Roman"/>
          <w:lang w:eastAsia="de-DE"/>
        </w:rPr>
        <w:t xml:space="preserve">zeigt umfassenden Geltungsbereich. </w:t>
      </w:r>
      <w:r w:rsidRPr="00195E02">
        <w:rPr>
          <w:rFonts w:eastAsia="Times New Roman" w:cs="Times New Roman"/>
          <w:b/>
          <w:bCs/>
          <w:rtl/>
          <w:lang w:eastAsia="de-DE"/>
        </w:rPr>
        <w:t>ולנתק</w:t>
      </w:r>
      <w:r w:rsidRPr="00195E02">
        <w:rPr>
          <w:rFonts w:eastAsia="Times New Roman" w:cs="Times New Roman"/>
          <w:rtl/>
          <w:lang w:eastAsia="de-DE"/>
        </w:rPr>
        <w:t xml:space="preserve"> </w:t>
      </w:r>
      <w:r w:rsidRPr="00195E02">
        <w:rPr>
          <w:rFonts w:eastAsia="Times New Roman" w:cs="Times New Roman"/>
          <w:lang w:eastAsia="de-DE"/>
        </w:rPr>
        <w:t xml:space="preserve">hebt </w:t>
      </w:r>
      <w:r w:rsidRPr="00195E02">
        <w:rPr>
          <w:rFonts w:eastAsia="Times New Roman" w:cs="Times New Roman"/>
          <w:b/>
          <w:bCs/>
          <w:rtl/>
          <w:lang w:eastAsia="de-DE"/>
        </w:rPr>
        <w:t>נתק</w:t>
      </w:r>
      <w:r w:rsidRPr="00195E02">
        <w:rPr>
          <w:rFonts w:eastAsia="Times New Roman" w:cs="Times New Roman"/>
          <w:rtl/>
          <w:lang w:eastAsia="de-DE"/>
        </w:rPr>
        <w:t xml:space="preserve"> </w:t>
      </w:r>
      <w:r w:rsidRPr="00195E02">
        <w:rPr>
          <w:rFonts w:eastAsia="Times New Roman" w:cs="Times New Roman"/>
          <w:lang w:eastAsia="de-DE"/>
        </w:rPr>
        <w:t>als spezifische Kopf-/Bart-</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hervor.</w:t>
      </w:r>
    </w:p>
    <w:p w14:paraId="427B0035" w14:textId="5143F2EA" w:rsidR="00523826" w:rsidRPr="00523826" w:rsidRDefault="00195E02" w:rsidP="00523826">
      <w:pPr>
        <w:spacing w:before="100" w:beforeAutospacing="1" w:after="100" w:afterAutospacing="1" w:line="240" w:lineRule="auto"/>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fasst die Zusammenfassung systematisch zusammen und verwendet ihre etablierte Terminologie: </w:t>
      </w:r>
      <w:r w:rsidR="00523826">
        <w:rPr>
          <w:rtl/>
        </w:rPr>
        <w:t>שאת</w:t>
      </w:r>
      <w:r w:rsidR="00523826">
        <w:t xml:space="preserve"> als </w:t>
      </w:r>
      <w:proofErr w:type="spellStart"/>
      <w:r w:rsidR="00523826">
        <w:t>οὐλῆς</w:t>
      </w:r>
      <w:proofErr w:type="spellEnd"/>
      <w:r w:rsidR="00523826">
        <w:t xml:space="preserve"> (Narben), </w:t>
      </w:r>
      <w:r w:rsidR="00523826">
        <w:rPr>
          <w:rtl/>
        </w:rPr>
        <w:t>ספחת</w:t>
      </w:r>
      <w:r w:rsidR="00523826">
        <w:t xml:space="preserve"> als </w:t>
      </w:r>
      <w:proofErr w:type="spellStart"/>
      <w:r w:rsidR="00523826">
        <w:t>σημ</w:t>
      </w:r>
      <w:proofErr w:type="spellEnd"/>
      <w:r w:rsidR="00523826">
        <w:t xml:space="preserve">ασίας (Zeichen), </w:t>
      </w:r>
      <w:r w:rsidR="00523826">
        <w:rPr>
          <w:rtl/>
        </w:rPr>
        <w:t>בהרת</w:t>
      </w:r>
      <w:r w:rsidR="00523826">
        <w:t xml:space="preserve"> als </w:t>
      </w:r>
      <w:proofErr w:type="spellStart"/>
      <w:r w:rsidR="00523826">
        <w:t>τοῦ</w:t>
      </w:r>
      <w:proofErr w:type="spellEnd"/>
      <w:r w:rsidR="00523826">
        <w:t xml:space="preserve"> α</w:t>
      </w:r>
      <w:proofErr w:type="spellStart"/>
      <w:r w:rsidR="00523826">
        <w:t>ὐγάζοντος</w:t>
      </w:r>
      <w:proofErr w:type="spellEnd"/>
      <w:r w:rsidR="00523826">
        <w:t xml:space="preserve"> (des Glänzenden), und </w:t>
      </w:r>
      <w:r w:rsidR="00523826">
        <w:rPr>
          <w:rtl/>
        </w:rPr>
        <w:t>נתק</w:t>
      </w:r>
      <w:r w:rsidR="00523826">
        <w:t xml:space="preserve"> als </w:t>
      </w:r>
      <w:proofErr w:type="spellStart"/>
      <w:r w:rsidR="00523826">
        <w:t>θρ</w:t>
      </w:r>
      <w:proofErr w:type="spellEnd"/>
      <w:r w:rsidR="00523826">
        <w:t>αύσματος (Geschwür).</w:t>
      </w:r>
    </w:p>
    <w:p w14:paraId="6F55AE5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Zusammenfassungsbeginn: </w:t>
      </w:r>
      <w:r w:rsidRPr="00195E02">
        <w:rPr>
          <w:rFonts w:eastAsia="Times New Roman" w:cs="Times New Roman"/>
          <w:b/>
          <w:bCs/>
          <w:rtl/>
          <w:lang w:eastAsia="de-DE"/>
        </w:rPr>
        <w:t>תורת</w:t>
      </w:r>
      <w:r w:rsidRPr="00195E02">
        <w:rPr>
          <w:rFonts w:eastAsia="Times New Roman" w:cs="Times New Roman"/>
          <w:lang w:eastAsia="de-DE"/>
        </w:rPr>
        <w:t xml:space="preserve">-Formel + umfassender </w:t>
      </w:r>
      <w:r w:rsidRPr="00195E02">
        <w:rPr>
          <w:rFonts w:eastAsia="Times New Roman" w:cs="Times New Roman"/>
          <w:b/>
          <w:bCs/>
          <w:rtl/>
          <w:lang w:eastAsia="de-DE"/>
        </w:rPr>
        <w:t>צרעת</w:t>
      </w:r>
      <w:r w:rsidRPr="00195E02">
        <w:rPr>
          <w:rFonts w:eastAsia="Times New Roman" w:cs="Times New Roman"/>
          <w:lang w:eastAsia="de-DE"/>
        </w:rPr>
        <w:t xml:space="preserve">-Bereich + spezifische </w:t>
      </w:r>
      <w:r w:rsidRPr="00195E02">
        <w:rPr>
          <w:rFonts w:eastAsia="Times New Roman" w:cs="Times New Roman"/>
          <w:b/>
          <w:bCs/>
          <w:rtl/>
          <w:lang w:eastAsia="de-DE"/>
        </w:rPr>
        <w:t>נתק</w:t>
      </w:r>
      <w:r w:rsidRPr="00195E02">
        <w:rPr>
          <w:rFonts w:eastAsia="Times New Roman" w:cs="Times New Roman"/>
          <w:lang w:eastAsia="de-DE"/>
        </w:rPr>
        <w:t>-Erwähnung. Die unvollständige Struktur führt zu V. 55.</w:t>
      </w:r>
    </w:p>
    <w:p w14:paraId="450E7010" w14:textId="36CACA95"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leitet die Gesamtzusammenfassung aller </w:t>
      </w:r>
      <w:r w:rsidRPr="00195E02">
        <w:rPr>
          <w:rFonts w:eastAsia="Times New Roman" w:cs="Times New Roman"/>
          <w:b/>
          <w:bCs/>
          <w:rtl/>
          <w:lang w:eastAsia="de-DE"/>
        </w:rPr>
        <w:t>צרעת</w:t>
      </w:r>
      <w:r w:rsidRPr="00195E02">
        <w:rPr>
          <w:rFonts w:eastAsia="Times New Roman" w:cs="Times New Roman"/>
          <w:lang w:eastAsia="de-DE"/>
        </w:rPr>
        <w:t>-Bestimmungen ein.</w:t>
      </w:r>
    </w:p>
    <w:p w14:paraId="1CCA8C39" w14:textId="43EBBEAB" w:rsidR="00523826" w:rsidRPr="00195E02" w:rsidRDefault="00523826" w:rsidP="00195E02">
      <w:pPr>
        <w:spacing w:before="100" w:beforeAutospacing="1" w:after="100" w:afterAutospacing="1" w:line="240" w:lineRule="auto"/>
        <w:rPr>
          <w:rFonts w:eastAsia="Times New Roman" w:cs="Times New Roman"/>
          <w:lang w:eastAsia="de-DE"/>
        </w:rPr>
      </w:pPr>
      <w:r>
        <w:rPr>
          <w:rStyle w:val="Fett"/>
        </w:rPr>
        <w:t>Textkritische Beobachtung</w:t>
      </w:r>
      <w:r>
        <w:t>: Levitikus 14 zeigt in der LXX eine konsequente Anpassung an griechische handwerkliche, medizinische und rituelle Terminologie. Besonders bemerkenswert ist die Systematisierung der Reinigungsrituale und die präzise Wiedergabe der komplexen Bauvorschriften bei Hauslep​ra. Die griechischen Übersetzer zeigten offensichtlich Vertrautheit mit ähnlichen Reinigungs- und Baupraktiken in der hellenistischen Welt.</w:t>
      </w:r>
    </w:p>
    <w:p w14:paraId="55EDE6A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14,55</w:t>
      </w:r>
    </w:p>
    <w:p w14:paraId="22B6BAD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וּלְצָרַ֥עַת הַבֶּ֖גֶד וְלַבָּֽיִת׃</w:t>
      </w:r>
    </w:p>
    <w:p w14:paraId="572B5F1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für den Aussatz der Kleider und der Häuser,</w:t>
      </w:r>
    </w:p>
    <w:p w14:paraId="35ECC98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291D442">
          <v:rect id="_x0000_i1445" style="width:0;height:1.5pt" o:hralign="center" o:hrstd="t" o:hr="t" fillcolor="#a0a0a0" stroked="f"/>
        </w:pict>
      </w:r>
    </w:p>
    <w:p w14:paraId="57FC32C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ולצרעת הבגד ולבית</w:t>
      </w:r>
      <w:r w:rsidRPr="00195E02">
        <w:rPr>
          <w:rFonts w:eastAsia="Times New Roman" w:cs="Times New Roman"/>
          <w:rtl/>
          <w:lang w:eastAsia="de-DE"/>
        </w:rPr>
        <w:t xml:space="preserve"> </w:t>
      </w:r>
      <w:r w:rsidRPr="00195E02">
        <w:rPr>
          <w:rFonts w:eastAsia="Times New Roman" w:cs="Times New Roman"/>
          <w:lang w:eastAsia="de-DE"/>
        </w:rPr>
        <w:t xml:space="preserve">erweitert die </w:t>
      </w:r>
      <w:r w:rsidRPr="00195E02">
        <w:rPr>
          <w:rFonts w:eastAsia="Times New Roman" w:cs="Times New Roman"/>
          <w:b/>
          <w:bCs/>
          <w:rtl/>
          <w:lang w:eastAsia="de-DE"/>
        </w:rPr>
        <w:t>תורת</w:t>
      </w:r>
      <w:r w:rsidRPr="00195E02">
        <w:rPr>
          <w:rFonts w:eastAsia="Times New Roman" w:cs="Times New Roman"/>
          <w:lang w:eastAsia="de-DE"/>
        </w:rPr>
        <w:t xml:space="preserve">-Zusammenfassung auf unbelebte Objekte. </w:t>
      </w:r>
      <w:r w:rsidRPr="00195E02">
        <w:rPr>
          <w:rFonts w:eastAsia="Times New Roman" w:cs="Times New Roman"/>
          <w:b/>
          <w:bCs/>
          <w:rtl/>
          <w:lang w:eastAsia="de-DE"/>
        </w:rPr>
        <w:t>ולצרעת הבגד</w:t>
      </w:r>
      <w:r w:rsidRPr="00195E02">
        <w:rPr>
          <w:rFonts w:eastAsia="Times New Roman" w:cs="Times New Roman"/>
          <w:rtl/>
          <w:lang w:eastAsia="de-DE"/>
        </w:rPr>
        <w:t xml:space="preserve"> </w:t>
      </w:r>
      <w:r w:rsidRPr="00195E02">
        <w:rPr>
          <w:rFonts w:eastAsia="Times New Roman" w:cs="Times New Roman"/>
          <w:lang w:eastAsia="de-DE"/>
        </w:rPr>
        <w:t>(und für den Aussatz der Kleider) umfasst die Textil-</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aus 13,47-59. </w:t>
      </w:r>
      <w:r w:rsidRPr="00195E02">
        <w:rPr>
          <w:rFonts w:eastAsia="Times New Roman" w:cs="Times New Roman"/>
          <w:b/>
          <w:bCs/>
          <w:rtl/>
          <w:lang w:eastAsia="de-DE"/>
        </w:rPr>
        <w:t>ולבית</w:t>
      </w:r>
      <w:r w:rsidRPr="00195E02">
        <w:rPr>
          <w:rFonts w:eastAsia="Times New Roman" w:cs="Times New Roman"/>
          <w:rtl/>
          <w:lang w:eastAsia="de-DE"/>
        </w:rPr>
        <w:t xml:space="preserve"> </w:t>
      </w:r>
      <w:r w:rsidRPr="00195E02">
        <w:rPr>
          <w:rFonts w:eastAsia="Times New Roman" w:cs="Times New Roman"/>
          <w:lang w:eastAsia="de-DE"/>
        </w:rPr>
        <w:t>(und der Häuser) umfasst die 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aus 14,33-53.</w:t>
      </w:r>
    </w:p>
    <w:p w14:paraId="013419D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צרעת הבגד</w:t>
      </w:r>
      <w:r w:rsidRPr="00195E02">
        <w:rPr>
          <w:rFonts w:eastAsia="Times New Roman" w:cs="Times New Roman"/>
          <w:rtl/>
          <w:lang w:eastAsia="de-DE"/>
        </w:rPr>
        <w:t xml:space="preserve"> </w:t>
      </w:r>
      <w:r w:rsidRPr="00195E02">
        <w:rPr>
          <w:rFonts w:eastAsia="Times New Roman" w:cs="Times New Roman"/>
          <w:lang w:eastAsia="de-DE"/>
        </w:rPr>
        <w:t xml:space="preserve">als Genitivkonstruktion zeigt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an Textilien. </w:t>
      </w:r>
      <w:r w:rsidRPr="00195E02">
        <w:rPr>
          <w:rFonts w:eastAsia="Times New Roman" w:cs="Times New Roman"/>
          <w:b/>
          <w:bCs/>
          <w:rtl/>
          <w:lang w:eastAsia="de-DE"/>
        </w:rPr>
        <w:t>ולבית</w:t>
      </w:r>
      <w:r w:rsidRPr="00195E02">
        <w:rPr>
          <w:rFonts w:eastAsia="Times New Roman" w:cs="Times New Roman"/>
          <w:rtl/>
          <w:lang w:eastAsia="de-DE"/>
        </w:rPr>
        <w:t xml:space="preserve"> </w:t>
      </w:r>
      <w:r w:rsidRPr="00195E02">
        <w:rPr>
          <w:rFonts w:eastAsia="Times New Roman" w:cs="Times New Roman"/>
          <w:lang w:eastAsia="de-DE"/>
        </w:rPr>
        <w:t xml:space="preserve">als verkürzte Form für </w:t>
      </w:r>
      <w:r w:rsidRPr="00195E02">
        <w:rPr>
          <w:rFonts w:eastAsia="Times New Roman" w:cs="Times New Roman"/>
          <w:b/>
          <w:bCs/>
          <w:rtl/>
          <w:lang w:eastAsia="de-DE"/>
        </w:rPr>
        <w:t>צרעת הבית</w:t>
      </w:r>
      <w:r w:rsidRPr="00195E02">
        <w:rPr>
          <w:rFonts w:eastAsia="Times New Roman" w:cs="Times New Roman"/>
          <w:rtl/>
          <w:lang w:eastAsia="de-DE"/>
        </w:rPr>
        <w:t xml:space="preserve"> </w:t>
      </w:r>
      <w:r w:rsidRPr="00195E02">
        <w:rPr>
          <w:rFonts w:eastAsia="Times New Roman" w:cs="Times New Roman"/>
          <w:lang w:eastAsia="de-DE"/>
        </w:rPr>
        <w:t xml:space="preserve">zeigt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an Gebäuden.</w:t>
      </w:r>
    </w:p>
    <w:p w14:paraId="46D00D0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צרעת הבגד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λέ</w:t>
      </w:r>
      <w:proofErr w:type="spellEnd"/>
      <w:r w:rsidRPr="00195E02">
        <w:rPr>
          <w:rFonts w:eastAsia="Times New Roman" w:cs="Times New Roman"/>
          <w:lang w:eastAsia="de-DE"/>
        </w:rPr>
        <w:t xml:space="preserve">πρας </w:t>
      </w:r>
      <w:proofErr w:type="spellStart"/>
      <w:r w:rsidRPr="00195E02">
        <w:rPr>
          <w:rFonts w:eastAsia="Times New Roman" w:cs="Times New Roman"/>
          <w:lang w:eastAsia="de-DE"/>
        </w:rPr>
        <w:t>ἱμ</w:t>
      </w:r>
      <w:proofErr w:type="spellEnd"/>
      <w:r w:rsidRPr="00195E02">
        <w:rPr>
          <w:rFonts w:eastAsia="Times New Roman" w:cs="Times New Roman"/>
          <w:lang w:eastAsia="de-DE"/>
        </w:rPr>
        <w:t xml:space="preserve">ατίου (Lepra der Kleider) und </w:t>
      </w:r>
      <w:r w:rsidRPr="00195E02">
        <w:rPr>
          <w:rFonts w:eastAsia="Times New Roman" w:cs="Times New Roman"/>
          <w:b/>
          <w:bCs/>
          <w:rtl/>
          <w:lang w:eastAsia="de-DE"/>
        </w:rPr>
        <w:t>ולבית</w:t>
      </w:r>
      <w:r w:rsidRPr="00195E02">
        <w:rPr>
          <w:rFonts w:eastAsia="Times New Roman" w:cs="Times New Roman"/>
          <w:rtl/>
          <w:lang w:eastAsia="de-DE"/>
        </w:rPr>
        <w:t xml:space="preserve"> </w:t>
      </w:r>
      <w:r w:rsidRPr="00195E02">
        <w:rPr>
          <w:rFonts w:eastAsia="Times New Roman" w:cs="Times New Roman"/>
          <w:lang w:eastAsia="de-DE"/>
        </w:rPr>
        <w:t xml:space="preserve">mit καὶ </w:t>
      </w:r>
      <w:proofErr w:type="spellStart"/>
      <w:r w:rsidRPr="00195E02">
        <w:rPr>
          <w:rFonts w:eastAsia="Times New Roman" w:cs="Times New Roman"/>
          <w:lang w:eastAsia="de-DE"/>
        </w:rPr>
        <w:t>οἰκί</w:t>
      </w:r>
      <w:proofErr w:type="spellEnd"/>
      <w:r w:rsidRPr="00195E02">
        <w:rPr>
          <w:rFonts w:eastAsia="Times New Roman" w:cs="Times New Roman"/>
          <w:lang w:eastAsia="de-DE"/>
        </w:rPr>
        <w:t>ας (und des Hauses).</w:t>
      </w:r>
    </w:p>
    <w:p w14:paraId="3690505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Objekterweiterung: Textil-</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Häuser-</w:t>
      </w:r>
      <w:r w:rsidRPr="00195E02">
        <w:rPr>
          <w:rFonts w:eastAsia="Times New Roman" w:cs="Times New Roman"/>
          <w:b/>
          <w:bCs/>
          <w:rtl/>
          <w:lang w:eastAsia="de-DE"/>
        </w:rPr>
        <w:t>צרעת</w:t>
      </w:r>
      <w:r w:rsidRPr="00195E02">
        <w:rPr>
          <w:rFonts w:eastAsia="Times New Roman" w:cs="Times New Roman"/>
          <w:lang w:eastAsia="de-DE"/>
        </w:rPr>
        <w:t>. Die Struktur erweitert von Menschen auf Gegenstände.</w:t>
      </w:r>
    </w:p>
    <w:p w14:paraId="5966B82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erweitert die Zusammenfassung auf Textil- und Häuser-</w:t>
      </w:r>
      <w:r w:rsidRPr="00195E02">
        <w:rPr>
          <w:rFonts w:eastAsia="Times New Roman" w:cs="Times New Roman"/>
          <w:b/>
          <w:bCs/>
          <w:rtl/>
          <w:lang w:eastAsia="de-DE"/>
        </w:rPr>
        <w:t>צרעת</w:t>
      </w:r>
      <w:r w:rsidRPr="00195E02">
        <w:rPr>
          <w:rFonts w:eastAsia="Times New Roman" w:cs="Times New Roman"/>
          <w:lang w:eastAsia="de-DE"/>
        </w:rPr>
        <w:t>.</w:t>
      </w:r>
    </w:p>
    <w:p w14:paraId="54B47462"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14,56</w:t>
      </w:r>
    </w:p>
    <w:p w14:paraId="29E1ABD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וְלַשְׂאֵ֥ת וְלַסַּפַּ֖חַת וְלַבֶּהָֽרֶת׃</w:t>
      </w:r>
    </w:p>
    <w:p w14:paraId="518B3C7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und für die Schwellung und für den Schorf und für den Fleck;</w:t>
      </w:r>
    </w:p>
    <w:p w14:paraId="659A77E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F8894EE">
          <v:rect id="_x0000_i1446" style="width:0;height:1.5pt" o:hralign="center" o:hrstd="t" o:hr="t" fillcolor="#a0a0a0" stroked="f"/>
        </w:pict>
      </w:r>
    </w:p>
    <w:p w14:paraId="71F6528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ולשאת ולספחת ולבהרת</w:t>
      </w:r>
      <w:r w:rsidRPr="00195E02">
        <w:rPr>
          <w:rFonts w:eastAsia="Times New Roman" w:cs="Times New Roman"/>
          <w:rtl/>
          <w:lang w:eastAsia="de-DE"/>
        </w:rPr>
        <w:t xml:space="preserve"> </w:t>
      </w:r>
      <w:r w:rsidRPr="00195E02">
        <w:rPr>
          <w:rFonts w:eastAsia="Times New Roman" w:cs="Times New Roman"/>
          <w:lang w:eastAsia="de-DE"/>
        </w:rPr>
        <w:t>listet die drei Grundformen der Haut-</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aus 13,2 auf. </w:t>
      </w:r>
      <w:r w:rsidRPr="00195E02">
        <w:rPr>
          <w:rFonts w:eastAsia="Times New Roman" w:cs="Times New Roman"/>
          <w:b/>
          <w:bCs/>
          <w:rtl/>
          <w:lang w:eastAsia="de-DE"/>
        </w:rPr>
        <w:t>ולשאת</w:t>
      </w:r>
      <w:r w:rsidRPr="00195E02">
        <w:rPr>
          <w:rFonts w:eastAsia="Times New Roman" w:cs="Times New Roman"/>
          <w:rtl/>
          <w:lang w:eastAsia="de-DE"/>
        </w:rPr>
        <w:t xml:space="preserve"> </w:t>
      </w:r>
      <w:r w:rsidRPr="00195E02">
        <w:rPr>
          <w:rFonts w:eastAsia="Times New Roman" w:cs="Times New Roman"/>
          <w:lang w:eastAsia="de-DE"/>
        </w:rPr>
        <w:t xml:space="preserve">(und für die Schwellung) - </w:t>
      </w:r>
      <w:r w:rsidRPr="00195E02">
        <w:rPr>
          <w:rFonts w:eastAsia="Times New Roman" w:cs="Times New Roman"/>
          <w:b/>
          <w:bCs/>
          <w:rtl/>
          <w:lang w:eastAsia="de-DE"/>
        </w:rPr>
        <w:t>שאת</w:t>
      </w:r>
      <w:r w:rsidRPr="00195E02">
        <w:rPr>
          <w:rFonts w:eastAsia="Times New Roman" w:cs="Times New Roman"/>
          <w:rtl/>
          <w:lang w:eastAsia="de-DE"/>
        </w:rPr>
        <w:t xml:space="preserve"> </w:t>
      </w:r>
      <w:r w:rsidRPr="00195E02">
        <w:rPr>
          <w:rFonts w:eastAsia="Times New Roman" w:cs="Times New Roman"/>
          <w:lang w:eastAsia="de-DE"/>
        </w:rPr>
        <w:t xml:space="preserve">(Erhebung/Schwellung). </w:t>
      </w:r>
      <w:r w:rsidRPr="00195E02">
        <w:rPr>
          <w:rFonts w:eastAsia="Times New Roman" w:cs="Times New Roman"/>
          <w:b/>
          <w:bCs/>
          <w:rtl/>
          <w:lang w:eastAsia="de-DE"/>
        </w:rPr>
        <w:t>ולספחת</w:t>
      </w:r>
      <w:r w:rsidRPr="00195E02">
        <w:rPr>
          <w:rFonts w:eastAsia="Times New Roman" w:cs="Times New Roman"/>
          <w:rtl/>
          <w:lang w:eastAsia="de-DE"/>
        </w:rPr>
        <w:t xml:space="preserve"> </w:t>
      </w:r>
      <w:r w:rsidRPr="00195E02">
        <w:rPr>
          <w:rFonts w:eastAsia="Times New Roman" w:cs="Times New Roman"/>
          <w:lang w:eastAsia="de-DE"/>
        </w:rPr>
        <w:t xml:space="preserve">(und für den Schorf) - </w:t>
      </w:r>
      <w:r w:rsidRPr="00195E02">
        <w:rPr>
          <w:rFonts w:eastAsia="Times New Roman" w:cs="Times New Roman"/>
          <w:b/>
          <w:bCs/>
          <w:rtl/>
          <w:lang w:eastAsia="de-DE"/>
        </w:rPr>
        <w:t>ספחת</w:t>
      </w:r>
      <w:r w:rsidRPr="00195E02">
        <w:rPr>
          <w:rFonts w:eastAsia="Times New Roman" w:cs="Times New Roman"/>
          <w:rtl/>
          <w:lang w:eastAsia="de-DE"/>
        </w:rPr>
        <w:t xml:space="preserve"> </w:t>
      </w:r>
      <w:r w:rsidRPr="00195E02">
        <w:rPr>
          <w:rFonts w:eastAsia="Times New Roman" w:cs="Times New Roman"/>
          <w:lang w:eastAsia="de-DE"/>
        </w:rPr>
        <w:t xml:space="preserve">(Ausschlag/Schorf). </w:t>
      </w:r>
      <w:r w:rsidRPr="00195E02">
        <w:rPr>
          <w:rFonts w:eastAsia="Times New Roman" w:cs="Times New Roman"/>
          <w:b/>
          <w:bCs/>
          <w:rtl/>
          <w:lang w:eastAsia="de-DE"/>
        </w:rPr>
        <w:t>ולבהרת</w:t>
      </w:r>
      <w:r w:rsidRPr="00195E02">
        <w:rPr>
          <w:rFonts w:eastAsia="Times New Roman" w:cs="Times New Roman"/>
          <w:rtl/>
          <w:lang w:eastAsia="de-DE"/>
        </w:rPr>
        <w:t xml:space="preserve"> </w:t>
      </w:r>
      <w:r w:rsidRPr="00195E02">
        <w:rPr>
          <w:rFonts w:eastAsia="Times New Roman" w:cs="Times New Roman"/>
          <w:lang w:eastAsia="de-DE"/>
        </w:rPr>
        <w:t xml:space="preserve">(und für den Fleck) - </w:t>
      </w:r>
      <w:r w:rsidRPr="00195E02">
        <w:rPr>
          <w:rFonts w:eastAsia="Times New Roman" w:cs="Times New Roman"/>
          <w:b/>
          <w:bCs/>
          <w:rtl/>
          <w:lang w:eastAsia="de-DE"/>
        </w:rPr>
        <w:t>בהרת</w:t>
      </w:r>
      <w:r w:rsidRPr="00195E02">
        <w:rPr>
          <w:rFonts w:eastAsia="Times New Roman" w:cs="Times New Roman"/>
          <w:rtl/>
          <w:lang w:eastAsia="de-DE"/>
        </w:rPr>
        <w:t xml:space="preserve"> </w:t>
      </w:r>
      <w:r w:rsidRPr="00195E02">
        <w:rPr>
          <w:rFonts w:eastAsia="Times New Roman" w:cs="Times New Roman"/>
          <w:lang w:eastAsia="de-DE"/>
        </w:rPr>
        <w:t>(heller Fleck).</w:t>
      </w:r>
    </w:p>
    <w:p w14:paraId="11C9B43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 drei Begriffe entsprechen exakt der Einleitung in 13,2 und umfassen alle Grundformen der Haut-</w:t>
      </w:r>
      <w:r w:rsidRPr="00195E02">
        <w:rPr>
          <w:rFonts w:eastAsia="Times New Roman" w:cs="Times New Roman"/>
          <w:b/>
          <w:bCs/>
          <w:rtl/>
          <w:lang w:eastAsia="de-DE"/>
        </w:rPr>
        <w:t>צרעת</w:t>
      </w:r>
      <w:r w:rsidRPr="00195E02">
        <w:rPr>
          <w:rFonts w:eastAsia="Times New Roman" w:cs="Times New Roman"/>
          <w:lang w:eastAsia="de-DE"/>
        </w:rPr>
        <w:t>.</w:t>
      </w:r>
    </w:p>
    <w:p w14:paraId="021305B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שאת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οὐλῆς</w:t>
      </w:r>
      <w:proofErr w:type="spellEnd"/>
      <w:r w:rsidRPr="00195E02">
        <w:rPr>
          <w:rFonts w:eastAsia="Times New Roman" w:cs="Times New Roman"/>
          <w:lang w:eastAsia="de-DE"/>
        </w:rPr>
        <w:t xml:space="preserve"> (Narbe), </w:t>
      </w:r>
      <w:r w:rsidRPr="00195E02">
        <w:rPr>
          <w:rFonts w:eastAsia="Times New Roman" w:cs="Times New Roman"/>
          <w:b/>
          <w:bCs/>
          <w:rtl/>
          <w:lang w:eastAsia="de-DE"/>
        </w:rPr>
        <w:t>ספחת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σημ</w:t>
      </w:r>
      <w:proofErr w:type="spellEnd"/>
      <w:r w:rsidRPr="00195E02">
        <w:rPr>
          <w:rFonts w:eastAsia="Times New Roman" w:cs="Times New Roman"/>
          <w:lang w:eastAsia="de-DE"/>
        </w:rPr>
        <w:t xml:space="preserve">ασίας (Zeichen) und </w:t>
      </w:r>
      <w:r w:rsidRPr="00195E02">
        <w:rPr>
          <w:rFonts w:eastAsia="Times New Roman" w:cs="Times New Roman"/>
          <w:b/>
          <w:bCs/>
          <w:rtl/>
          <w:lang w:eastAsia="de-DE"/>
        </w:rPr>
        <w:t>בהרת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ὐγάζοντος</w:t>
      </w:r>
      <w:proofErr w:type="spellEnd"/>
      <w:r w:rsidRPr="00195E02">
        <w:rPr>
          <w:rFonts w:eastAsia="Times New Roman" w:cs="Times New Roman"/>
          <w:lang w:eastAsia="de-DE"/>
        </w:rPr>
        <w:t xml:space="preserve"> (des Leuchtenden).</w:t>
      </w:r>
    </w:p>
    <w:p w14:paraId="2ECFC4C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Grundformaufzählung: drei Haut-</w:t>
      </w:r>
      <w:r w:rsidRPr="00195E02">
        <w:rPr>
          <w:rFonts w:eastAsia="Times New Roman" w:cs="Times New Roman"/>
          <w:b/>
          <w:bCs/>
          <w:rtl/>
          <w:lang w:eastAsia="de-DE"/>
        </w:rPr>
        <w:t>צרעת</w:t>
      </w:r>
      <w:r w:rsidRPr="00195E02">
        <w:rPr>
          <w:rFonts w:eastAsia="Times New Roman" w:cs="Times New Roman"/>
          <w:lang w:eastAsia="de-DE"/>
        </w:rPr>
        <w:t>-Formen aus 13,2. Die Struktur kehrt zu den Grundkategorien zurück.</w:t>
      </w:r>
    </w:p>
    <w:p w14:paraId="73BCEB1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listet die drei Grundformen der Haut-</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auf.</w:t>
      </w:r>
    </w:p>
    <w:p w14:paraId="31930E2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14,57</w:t>
      </w:r>
    </w:p>
    <w:p w14:paraId="71927DF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לְהוֹרֹ֕ת בְּי֥וֹם הַטָּמֵ֖א וּבְי֣וֹם הַטָּהֹ֑ר זֹ֥את תּוֹרַ֖ת הַצָּרָֽעַת׃</w:t>
      </w:r>
    </w:p>
    <w:p w14:paraId="1BF7C62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um zu lehren, an welchem Tag es unrein und an welchem Tag es rein ist. Dies ist die Torah des Aussatzes.</w:t>
      </w:r>
    </w:p>
    <w:p w14:paraId="0B7A649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5C66E11">
          <v:rect id="_x0000_i1447" style="width:0;height:1.5pt" o:hralign="center" o:hrstd="t" o:hr="t" fillcolor="#a0a0a0" stroked="f"/>
        </w:pict>
      </w:r>
    </w:p>
    <w:p w14:paraId="7172EB0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להורת ביום הטמא וביום הטהר זאת תורת הצרעת</w:t>
      </w:r>
      <w:r w:rsidRPr="00195E02">
        <w:rPr>
          <w:rFonts w:eastAsia="Times New Roman" w:cs="Times New Roman"/>
          <w:rtl/>
          <w:lang w:eastAsia="de-DE"/>
        </w:rPr>
        <w:t xml:space="preserve"> </w:t>
      </w:r>
      <w:r w:rsidRPr="00195E02">
        <w:rPr>
          <w:rFonts w:eastAsia="Times New Roman" w:cs="Times New Roman"/>
          <w:lang w:eastAsia="de-DE"/>
        </w:rPr>
        <w:t xml:space="preserve">schließt die Gesamtzusammenfassung ab. </w:t>
      </w:r>
      <w:r w:rsidRPr="00195E02">
        <w:rPr>
          <w:rFonts w:eastAsia="Times New Roman" w:cs="Times New Roman"/>
          <w:b/>
          <w:bCs/>
          <w:rtl/>
          <w:lang w:eastAsia="de-DE"/>
        </w:rPr>
        <w:t>להורת</w:t>
      </w:r>
      <w:r w:rsidRPr="00195E02">
        <w:rPr>
          <w:rFonts w:eastAsia="Times New Roman" w:cs="Times New Roman"/>
          <w:rtl/>
          <w:lang w:eastAsia="de-DE"/>
        </w:rPr>
        <w:t xml:space="preserve"> </w:t>
      </w:r>
      <w:r w:rsidRPr="00195E02">
        <w:rPr>
          <w:rFonts w:eastAsia="Times New Roman" w:cs="Times New Roman"/>
          <w:lang w:eastAsia="de-DE"/>
        </w:rPr>
        <w:t xml:space="preserve">(um zu lehren) - </w:t>
      </w:r>
      <w:r w:rsidRPr="00195E02">
        <w:rPr>
          <w:rFonts w:eastAsia="Times New Roman" w:cs="Times New Roman"/>
          <w:b/>
          <w:bCs/>
          <w:rtl/>
          <w:lang w:eastAsia="de-DE"/>
        </w:rPr>
        <w:t>הורה</w:t>
      </w:r>
      <w:r w:rsidRPr="00195E02">
        <w:rPr>
          <w:rFonts w:eastAsia="Times New Roman" w:cs="Times New Roman"/>
          <w:rtl/>
          <w:lang w:eastAsia="de-DE"/>
        </w:rPr>
        <w:t xml:space="preserve"> </w:t>
      </w:r>
      <w:r w:rsidRPr="00195E02">
        <w:rPr>
          <w:rFonts w:eastAsia="Times New Roman" w:cs="Times New Roman"/>
          <w:lang w:eastAsia="de-DE"/>
        </w:rPr>
        <w:t xml:space="preserve">(lehren/unterweisen) im Hifil-Infinitiv zeigt den Zweck der </w:t>
      </w:r>
      <w:r w:rsidRPr="00195E02">
        <w:rPr>
          <w:rFonts w:eastAsia="Times New Roman" w:cs="Times New Roman"/>
          <w:b/>
          <w:bCs/>
          <w:rtl/>
          <w:lang w:eastAsia="de-DE"/>
        </w:rPr>
        <w:t>תורת</w:t>
      </w:r>
      <w:r w:rsidRPr="00195E02">
        <w:rPr>
          <w:rFonts w:eastAsia="Times New Roman" w:cs="Times New Roman"/>
          <w:lang w:eastAsia="de-DE"/>
        </w:rPr>
        <w:t xml:space="preserve">. </w:t>
      </w:r>
      <w:r w:rsidRPr="00195E02">
        <w:rPr>
          <w:rFonts w:eastAsia="Times New Roman" w:cs="Times New Roman"/>
          <w:b/>
          <w:bCs/>
          <w:rtl/>
          <w:lang w:eastAsia="de-DE"/>
        </w:rPr>
        <w:t>ביום הטמא וביום הטהר</w:t>
      </w:r>
      <w:r w:rsidRPr="00195E02">
        <w:rPr>
          <w:rFonts w:eastAsia="Times New Roman" w:cs="Times New Roman"/>
          <w:rtl/>
          <w:lang w:eastAsia="de-DE"/>
        </w:rPr>
        <w:t xml:space="preserve"> </w:t>
      </w:r>
      <w:r w:rsidRPr="00195E02">
        <w:rPr>
          <w:rFonts w:eastAsia="Times New Roman" w:cs="Times New Roman"/>
          <w:lang w:eastAsia="de-DE"/>
        </w:rPr>
        <w:t xml:space="preserve">(an welchem Tag es unrein und an welchem Tag es rein ist) zeigt den binären Entscheidungscharakter der </w:t>
      </w:r>
      <w:r w:rsidRPr="00195E02">
        <w:rPr>
          <w:rFonts w:eastAsia="Times New Roman" w:cs="Times New Roman"/>
          <w:b/>
          <w:bCs/>
          <w:rtl/>
          <w:lang w:eastAsia="de-DE"/>
        </w:rPr>
        <w:t>צרעת</w:t>
      </w:r>
      <w:r w:rsidRPr="00195E02">
        <w:rPr>
          <w:rFonts w:eastAsia="Times New Roman" w:cs="Times New Roman"/>
          <w:lang w:eastAsia="de-DE"/>
        </w:rPr>
        <w:t>-Diagnose.</w:t>
      </w:r>
    </w:p>
    <w:p w14:paraId="60B0098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זאת תורת הצרעת</w:t>
      </w:r>
      <w:r w:rsidRPr="00195E02">
        <w:rPr>
          <w:rFonts w:eastAsia="Times New Roman" w:cs="Times New Roman"/>
          <w:rtl/>
          <w:lang w:eastAsia="de-DE"/>
        </w:rPr>
        <w:t xml:space="preserve"> </w:t>
      </w:r>
      <w:r w:rsidRPr="00195E02">
        <w:rPr>
          <w:rFonts w:eastAsia="Times New Roman" w:cs="Times New Roman"/>
          <w:lang w:eastAsia="de-DE"/>
        </w:rPr>
        <w:t xml:space="preserve">(dies ist die Torah des Aussatzes) als finale </w:t>
      </w:r>
      <w:r w:rsidRPr="00195E02">
        <w:rPr>
          <w:rFonts w:eastAsia="Times New Roman" w:cs="Times New Roman"/>
          <w:b/>
          <w:bCs/>
          <w:rtl/>
          <w:lang w:eastAsia="de-DE"/>
        </w:rPr>
        <w:t>תורת</w:t>
      </w:r>
      <w:r w:rsidRPr="00195E02">
        <w:rPr>
          <w:rFonts w:eastAsia="Times New Roman" w:cs="Times New Roman"/>
          <w:lang w:eastAsia="de-DE"/>
        </w:rPr>
        <w:t xml:space="preserve">-Formel für alle </w:t>
      </w:r>
      <w:r w:rsidRPr="00195E02">
        <w:rPr>
          <w:rFonts w:eastAsia="Times New Roman" w:cs="Times New Roman"/>
          <w:b/>
          <w:bCs/>
          <w:rtl/>
          <w:lang w:eastAsia="de-DE"/>
        </w:rPr>
        <w:t>צרעת</w:t>
      </w:r>
      <w:r w:rsidRPr="00195E02">
        <w:rPr>
          <w:rFonts w:eastAsia="Times New Roman" w:cs="Times New Roman"/>
          <w:lang w:eastAsia="de-DE"/>
        </w:rPr>
        <w:t>-Bestimmungen in Kap. 13-14.</w:t>
      </w:r>
    </w:p>
    <w:p w14:paraId="5C6AFFC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להורת</w:t>
      </w:r>
      <w:r w:rsidRPr="00195E02">
        <w:rPr>
          <w:rFonts w:eastAsia="Times New Roman" w:cs="Times New Roman"/>
          <w:rtl/>
          <w:lang w:eastAsia="de-DE"/>
        </w:rPr>
        <w:t xml:space="preserve"> </w:t>
      </w:r>
      <w:r w:rsidRPr="00195E02">
        <w:rPr>
          <w:rFonts w:eastAsia="Times New Roman" w:cs="Times New Roman"/>
          <w:lang w:eastAsia="de-DE"/>
        </w:rPr>
        <w:t xml:space="preserve">zeigt den pädagogischen Zweck der </w:t>
      </w:r>
      <w:r w:rsidRPr="00195E02">
        <w:rPr>
          <w:rFonts w:eastAsia="Times New Roman" w:cs="Times New Roman"/>
          <w:b/>
          <w:bCs/>
          <w:rtl/>
          <w:lang w:eastAsia="de-DE"/>
        </w:rPr>
        <w:t>תורת</w:t>
      </w:r>
      <w:r w:rsidRPr="00195E02">
        <w:rPr>
          <w:rFonts w:eastAsia="Times New Roman" w:cs="Times New Roman"/>
          <w:lang w:eastAsia="de-DE"/>
        </w:rPr>
        <w:t xml:space="preserve">. </w:t>
      </w:r>
      <w:r w:rsidRPr="00195E02">
        <w:rPr>
          <w:rFonts w:eastAsia="Times New Roman" w:cs="Times New Roman"/>
          <w:b/>
          <w:bCs/>
          <w:rtl/>
          <w:lang w:eastAsia="de-DE"/>
        </w:rPr>
        <w:t>ביום הטמא וביום הטהר</w:t>
      </w:r>
      <w:r w:rsidRPr="00195E02">
        <w:rPr>
          <w:rFonts w:eastAsia="Times New Roman" w:cs="Times New Roman"/>
          <w:rtl/>
          <w:lang w:eastAsia="de-DE"/>
        </w:rPr>
        <w:t xml:space="preserve"> </w:t>
      </w:r>
      <w:r w:rsidRPr="00195E02">
        <w:rPr>
          <w:rFonts w:eastAsia="Times New Roman" w:cs="Times New Roman"/>
          <w:lang w:eastAsia="de-DE"/>
        </w:rPr>
        <w:t xml:space="preserve">betont die zeitliche Dimension der Reinheits-/Unreinheitsentscheidungen. </w:t>
      </w:r>
      <w:r w:rsidRPr="00195E02">
        <w:rPr>
          <w:rFonts w:eastAsia="Times New Roman" w:cs="Times New Roman"/>
          <w:b/>
          <w:bCs/>
          <w:rtl/>
          <w:lang w:eastAsia="de-DE"/>
        </w:rPr>
        <w:t>תורת הצרעת</w:t>
      </w:r>
      <w:r w:rsidRPr="00195E02">
        <w:rPr>
          <w:rFonts w:eastAsia="Times New Roman" w:cs="Times New Roman"/>
          <w:rtl/>
          <w:lang w:eastAsia="de-DE"/>
        </w:rPr>
        <w:t xml:space="preserve"> </w:t>
      </w:r>
      <w:r w:rsidRPr="00195E02">
        <w:rPr>
          <w:rFonts w:eastAsia="Times New Roman" w:cs="Times New Roman"/>
          <w:lang w:eastAsia="de-DE"/>
        </w:rPr>
        <w:t xml:space="preserve">als umfassende Bezeichnung für alle </w:t>
      </w:r>
      <w:r w:rsidRPr="00195E02">
        <w:rPr>
          <w:rFonts w:eastAsia="Times New Roman" w:cs="Times New Roman"/>
          <w:b/>
          <w:bCs/>
          <w:rtl/>
          <w:lang w:eastAsia="de-DE"/>
        </w:rPr>
        <w:t>צרעת</w:t>
      </w:r>
      <w:r w:rsidRPr="00195E02">
        <w:rPr>
          <w:rFonts w:eastAsia="Times New Roman" w:cs="Times New Roman"/>
          <w:lang w:eastAsia="de-DE"/>
        </w:rPr>
        <w:t>-Gesetze.</w:t>
      </w:r>
    </w:p>
    <w:p w14:paraId="0FE3267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להורת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δηλῶσ</w:t>
      </w:r>
      <w:proofErr w:type="spellEnd"/>
      <w:r w:rsidRPr="00195E02">
        <w:rPr>
          <w:rFonts w:eastAsia="Times New Roman" w:cs="Times New Roman"/>
          <w:lang w:eastAsia="de-DE"/>
        </w:rPr>
        <w:t xml:space="preserve">αι (zu zeigen), </w:t>
      </w:r>
      <w:r w:rsidRPr="00195E02">
        <w:rPr>
          <w:rFonts w:eastAsia="Times New Roman" w:cs="Times New Roman"/>
          <w:b/>
          <w:bCs/>
          <w:rtl/>
          <w:lang w:eastAsia="de-DE"/>
        </w:rPr>
        <w:t>ביום הטמא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ἡμέρᾳ</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ἀκ</w:t>
      </w:r>
      <w:proofErr w:type="spellEnd"/>
      <w:r w:rsidRPr="00195E02">
        <w:rPr>
          <w:rFonts w:eastAsia="Times New Roman" w:cs="Times New Roman"/>
          <w:lang w:eastAsia="de-DE"/>
        </w:rPr>
        <w:t xml:space="preserve">αθάρτου (am Tag des Unreinen), </w:t>
      </w:r>
      <w:r w:rsidRPr="00195E02">
        <w:rPr>
          <w:rFonts w:eastAsia="Times New Roman" w:cs="Times New Roman"/>
          <w:b/>
          <w:bCs/>
          <w:rtl/>
          <w:lang w:eastAsia="de-DE"/>
        </w:rPr>
        <w:t>ביום הטהר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ἡμέρᾳ</w:t>
      </w:r>
      <w:proofErr w:type="spellEnd"/>
      <w:r w:rsidRPr="00195E02">
        <w:rPr>
          <w:rFonts w:eastAsia="Times New Roman" w:cs="Times New Roman"/>
          <w:lang w:eastAsia="de-DE"/>
        </w:rPr>
        <w:t xml:space="preserve"> καθα</w:t>
      </w:r>
      <w:proofErr w:type="spellStart"/>
      <w:r w:rsidRPr="00195E02">
        <w:rPr>
          <w:rFonts w:eastAsia="Times New Roman" w:cs="Times New Roman"/>
          <w:lang w:eastAsia="de-DE"/>
        </w:rPr>
        <w:t>ροῦ</w:t>
      </w:r>
      <w:proofErr w:type="spellEnd"/>
      <w:r w:rsidRPr="00195E02">
        <w:rPr>
          <w:rFonts w:eastAsia="Times New Roman" w:cs="Times New Roman"/>
          <w:lang w:eastAsia="de-DE"/>
        </w:rPr>
        <w:t xml:space="preserve"> (am Tag des Reinen) und </w:t>
      </w:r>
      <w:r w:rsidRPr="00195E02">
        <w:rPr>
          <w:rFonts w:eastAsia="Times New Roman" w:cs="Times New Roman"/>
          <w:b/>
          <w:bCs/>
          <w:rtl/>
          <w:lang w:eastAsia="de-DE"/>
        </w:rPr>
        <w:t>תורת הצרעת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νόμος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λέ</w:t>
      </w:r>
      <w:proofErr w:type="spellEnd"/>
      <w:r w:rsidRPr="00195E02">
        <w:rPr>
          <w:rFonts w:eastAsia="Times New Roman" w:cs="Times New Roman"/>
          <w:lang w:eastAsia="de-DE"/>
        </w:rPr>
        <w:t>πρας (Gesetz der Lepra).</w:t>
      </w:r>
    </w:p>
    <w:p w14:paraId="1846C34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Abschlusszweck: Lehrfunktion + binärer Zeitrahmen + finale </w:t>
      </w:r>
      <w:r w:rsidRPr="00195E02">
        <w:rPr>
          <w:rFonts w:eastAsia="Times New Roman" w:cs="Times New Roman"/>
          <w:b/>
          <w:bCs/>
          <w:rtl/>
          <w:lang w:eastAsia="de-DE"/>
        </w:rPr>
        <w:t>תורת</w:t>
      </w:r>
      <w:r w:rsidRPr="00195E02">
        <w:rPr>
          <w:rFonts w:eastAsia="Times New Roman" w:cs="Times New Roman"/>
          <w:lang w:eastAsia="de-DE"/>
        </w:rPr>
        <w:t>-Formel. Die Struktur betont den praktischen Anwendungszweck.</w:t>
      </w:r>
    </w:p>
    <w:p w14:paraId="5E97BB64" w14:textId="77777777"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schließt die gesamten </w:t>
      </w:r>
      <w:r w:rsidRPr="00195E02">
        <w:rPr>
          <w:rFonts w:eastAsia="Times New Roman" w:cs="Times New Roman"/>
          <w:b/>
          <w:bCs/>
          <w:rtl/>
          <w:lang w:eastAsia="de-DE"/>
        </w:rPr>
        <w:t>צרעת</w:t>
      </w:r>
      <w:r w:rsidRPr="00195E02">
        <w:rPr>
          <w:rFonts w:eastAsia="Times New Roman" w:cs="Times New Roman"/>
          <w:lang w:eastAsia="de-DE"/>
        </w:rPr>
        <w:t xml:space="preserve">-Bestimmungen als </w:t>
      </w:r>
      <w:r w:rsidRPr="00195E02">
        <w:rPr>
          <w:rFonts w:eastAsia="Times New Roman" w:cs="Times New Roman"/>
          <w:b/>
          <w:bCs/>
          <w:rtl/>
          <w:lang w:eastAsia="de-DE"/>
        </w:rPr>
        <w:t>תורת הצרעת</w:t>
      </w:r>
      <w:r w:rsidRPr="00195E02">
        <w:rPr>
          <w:rFonts w:eastAsia="Times New Roman" w:cs="Times New Roman"/>
          <w:rtl/>
          <w:lang w:eastAsia="de-DE"/>
        </w:rPr>
        <w:t xml:space="preserve"> </w:t>
      </w:r>
      <w:r w:rsidRPr="00195E02">
        <w:rPr>
          <w:rFonts w:eastAsia="Times New Roman" w:cs="Times New Roman"/>
          <w:lang w:eastAsia="de-DE"/>
        </w:rPr>
        <w:t>mit dem Zweck der zeitlichen Reinheits-/Unreinheitsbestimmung ab.</w:t>
      </w:r>
    </w:p>
    <w:p w14:paraId="668C2420" w14:textId="77777777"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Kapitel 14 etabliert umfassende Reinigungsrituale für </w:t>
      </w:r>
      <w:r w:rsidRPr="00195E02">
        <w:rPr>
          <w:rFonts w:eastAsia="Times New Roman" w:cs="Times New Roman"/>
          <w:b/>
          <w:bCs/>
          <w:rtl/>
          <w:lang w:eastAsia="de-DE"/>
        </w:rPr>
        <w:t>מצרע</w:t>
      </w:r>
      <w:r w:rsidRPr="00195E02">
        <w:rPr>
          <w:rFonts w:eastAsia="Times New Roman" w:cs="Times New Roman"/>
          <w:rtl/>
          <w:lang w:eastAsia="de-DE"/>
        </w:rPr>
        <w:t xml:space="preserve"> </w:t>
      </w:r>
      <w:r w:rsidRPr="00195E02">
        <w:rPr>
          <w:rFonts w:eastAsia="Times New Roman" w:cs="Times New Roman"/>
          <w:lang w:eastAsia="de-DE"/>
        </w:rPr>
        <w:t xml:space="preserve">(Aussätzige) und erweitert </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 xml:space="preserve">auf Häuser. Die Struktur zeigt: </w:t>
      </w:r>
    </w:p>
    <w:p w14:paraId="68DDB6A7" w14:textId="77777777"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1)</w:t>
      </w:r>
      <w:r w:rsidRPr="00195E02">
        <w:rPr>
          <w:rFonts w:eastAsia="Times New Roman" w:cs="Times New Roman"/>
          <w:lang w:eastAsia="de-DE"/>
        </w:rPr>
        <w:t xml:space="preserve"> </w:t>
      </w:r>
      <w:r w:rsidRPr="00195E02">
        <w:rPr>
          <w:rFonts w:eastAsia="Times New Roman" w:cs="Times New Roman"/>
          <w:b/>
          <w:bCs/>
          <w:lang w:eastAsia="de-DE"/>
        </w:rPr>
        <w:t>Menschen-Reinigungsrituale</w:t>
      </w:r>
      <w:r w:rsidRPr="00195E02">
        <w:rPr>
          <w:rFonts w:eastAsia="Times New Roman" w:cs="Times New Roman"/>
          <w:lang w:eastAsia="de-DE"/>
        </w:rPr>
        <w:t xml:space="preserve"> (V. 1-20): Zweistufiges Verfahren mit Vogelritual (V. 3-7), körperlicher Reinigung und schrittweiser Reintegration (V. 8-9), sowie komplexem Opferritual am achten Tag mit Schuldopfer, spezieller Blut- und Ölapplikation und abschließenden Sühneakten. </w:t>
      </w:r>
    </w:p>
    <w:p w14:paraId="6C9F0D52" w14:textId="77777777"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2)</w:t>
      </w:r>
      <w:r w:rsidRPr="00195E02">
        <w:rPr>
          <w:rFonts w:eastAsia="Times New Roman" w:cs="Times New Roman"/>
          <w:lang w:eastAsia="de-DE"/>
        </w:rPr>
        <w:t xml:space="preserve"> </w:t>
      </w:r>
      <w:r w:rsidRPr="00195E02">
        <w:rPr>
          <w:rFonts w:eastAsia="Times New Roman" w:cs="Times New Roman"/>
          <w:b/>
          <w:bCs/>
          <w:lang w:eastAsia="de-DE"/>
        </w:rPr>
        <w:t>Armenbestimmungen</w:t>
      </w:r>
      <w:r w:rsidRPr="00195E02">
        <w:rPr>
          <w:rFonts w:eastAsia="Times New Roman" w:cs="Times New Roman"/>
          <w:lang w:eastAsia="de-DE"/>
        </w:rPr>
        <w:t xml:space="preserve"> (V. 21-32): Reduzierte Opfergaben (ein statt drei Lämmer, Tauben statt Lämmer), aber identische Kernrituale (Schuldopfer, Blut-/Ölapplikation) zeigen soziale Gerechtigkeit bei funktionaler Gleichwertigkeit. </w:t>
      </w:r>
    </w:p>
    <w:p w14:paraId="5B202527" w14:textId="1CB526D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3)</w:t>
      </w:r>
      <w:r w:rsidRPr="00195E02">
        <w:rPr>
          <w:rFonts w:eastAsia="Times New Roman" w:cs="Times New Roman"/>
          <w:lang w:eastAsia="de-DE"/>
        </w:rPr>
        <w:t xml:space="preserve"> </w:t>
      </w:r>
      <w:r w:rsidRPr="00195E02">
        <w:rPr>
          <w:rFonts w:eastAsia="Times New Roman" w:cs="Times New Roman"/>
          <w:b/>
          <w:bCs/>
          <w:lang w:eastAsia="de-DE"/>
        </w:rPr>
        <w:t>Häuser-</w:t>
      </w:r>
      <w:r w:rsidRPr="00195E02">
        <w:rPr>
          <w:rFonts w:eastAsia="Times New Roman" w:cs="Times New Roman"/>
          <w:b/>
          <w:bCs/>
          <w:rtl/>
          <w:lang w:eastAsia="de-DE"/>
        </w:rPr>
        <w:t>צרעת</w:t>
      </w:r>
      <w:r w:rsidRPr="00195E02">
        <w:rPr>
          <w:rFonts w:eastAsia="Times New Roman" w:cs="Times New Roman"/>
          <w:rtl/>
          <w:lang w:eastAsia="de-DE"/>
        </w:rPr>
        <w:t xml:space="preserve"> </w:t>
      </w:r>
      <w:r w:rsidRPr="00195E02">
        <w:rPr>
          <w:rFonts w:eastAsia="Times New Roman" w:cs="Times New Roman"/>
          <w:lang w:eastAsia="de-DE"/>
        </w:rPr>
        <w:t>(V. 33-53): Zukunftsorientierte Bestimmungen für die Landnahme mit göttlicher Verursachung, gestuftem Sanierungsverfahren (Steinentfernung, Abkratzung, Neuverputz), und bei Versagen totaler Abriss. Erfolgreiche Sanierung führt zu identischem Reinigungsritual wie bei Menschen.</w:t>
      </w:r>
    </w:p>
    <w:p w14:paraId="7B3E389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Das Kapitel zeigt bemerkenswerte Systematik: Identische Reinigungsrituale für Menschen und Häuser unterstreichen die Übertragung kultischer Reinheitsvorstellungen auf Architektur. Die Armenbestimmungen demonstrieren soziale Sensibilität bei Beibehaltung ritueller Wirksamkeit. Die abschließende </w:t>
      </w:r>
      <w:r w:rsidRPr="00195E02">
        <w:rPr>
          <w:rFonts w:eastAsia="Times New Roman" w:cs="Times New Roman"/>
          <w:b/>
          <w:bCs/>
          <w:rtl/>
          <w:lang w:eastAsia="de-DE"/>
        </w:rPr>
        <w:t>תורת</w:t>
      </w:r>
      <w:r w:rsidRPr="00195E02">
        <w:rPr>
          <w:rFonts w:eastAsia="Times New Roman" w:cs="Times New Roman"/>
          <w:lang w:eastAsia="de-DE"/>
        </w:rPr>
        <w:t xml:space="preserve">-Formel (V. 54-57) fasst alle </w:t>
      </w:r>
      <w:r w:rsidRPr="00195E02">
        <w:rPr>
          <w:rFonts w:eastAsia="Times New Roman" w:cs="Times New Roman"/>
          <w:b/>
          <w:bCs/>
          <w:rtl/>
          <w:lang w:eastAsia="de-DE"/>
        </w:rPr>
        <w:t>צרעת</w:t>
      </w:r>
      <w:r w:rsidRPr="00195E02">
        <w:rPr>
          <w:rFonts w:eastAsia="Times New Roman" w:cs="Times New Roman"/>
          <w:lang w:eastAsia="de-DE"/>
        </w:rPr>
        <w:t>-Formen zusammen und betont den praktischen Zweck der zeitlichen Reinheits-/Unreinheitsbestimmung. Die Verbindung von medizinischer Heilung, kultischer Reinigung und sozialer Reintegration zeigt die Ganzheitlichkeit des biblischen Reinheitssystems.</w:t>
      </w:r>
    </w:p>
    <w:p w14:paraId="404CAA20"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w:t>
      </w:r>
    </w:p>
    <w:p w14:paraId="5827761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וַיְדַבֵּ֣ר יְהוָ֔ה אֶל־מֹשֶׁ֥ה וְאֶֽל־אַהֲרֹ֖ן לֵאמֹֽר׃</w:t>
      </w:r>
    </w:p>
    <w:p w14:paraId="7CE998AE" w14:textId="10FB15A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4603C6">
        <w:t>Der Ewige redete zu Mosche und zu 'Aharon, sagend:</w:t>
      </w:r>
    </w:p>
    <w:p w14:paraId="28934CF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71D0AC2">
          <v:rect id="_x0000_i1448" style="width:0;height:1.5pt" o:hralign="center" o:hrstd="t" o:hr="t" fillcolor="#a0a0a0" stroked="f"/>
        </w:pict>
      </w:r>
    </w:p>
    <w:p w14:paraId="35FD5077" w14:textId="504A8E4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וידבר יהוה אל־משה ואל־אהרן לאמר</w:t>
      </w:r>
      <w:r w:rsidRPr="00195E02">
        <w:rPr>
          <w:rFonts w:eastAsia="Times New Roman" w:cs="Times New Roman"/>
          <w:rtl/>
          <w:lang w:eastAsia="de-DE"/>
        </w:rPr>
        <w:t xml:space="preserve"> </w:t>
      </w:r>
      <w:r w:rsidRPr="00195E02">
        <w:rPr>
          <w:rFonts w:eastAsia="Times New Roman" w:cs="Times New Roman"/>
          <w:lang w:eastAsia="de-DE"/>
        </w:rPr>
        <w:t xml:space="preserve">ist die Standardeinleitungsformel für göttliche Rede. </w:t>
      </w:r>
      <w:r w:rsidRPr="00195E02">
        <w:rPr>
          <w:rFonts w:eastAsia="Times New Roman" w:cs="Times New Roman"/>
          <w:b/>
          <w:bCs/>
          <w:rtl/>
          <w:lang w:eastAsia="de-DE"/>
        </w:rPr>
        <w:t>וידבר יהוה</w:t>
      </w:r>
      <w:r w:rsidRPr="00195E02">
        <w:rPr>
          <w:rFonts w:eastAsia="Times New Roman" w:cs="Times New Roman"/>
          <w:rtl/>
          <w:lang w:eastAsia="de-DE"/>
        </w:rPr>
        <w:t xml:space="preserve"> </w:t>
      </w:r>
      <w:r w:rsidRPr="00195E02">
        <w:rPr>
          <w:rFonts w:eastAsia="Times New Roman" w:cs="Times New Roman"/>
          <w:lang w:eastAsia="de-DE"/>
        </w:rPr>
        <w:t xml:space="preserve">(und der </w:t>
      </w:r>
      <w:r w:rsidR="004603C6">
        <w:rPr>
          <w:rFonts w:eastAsia="Times New Roman" w:cs="Times New Roman"/>
          <w:lang w:eastAsia="de-DE"/>
        </w:rPr>
        <w:t>Ewige</w:t>
      </w:r>
      <w:r w:rsidRPr="00195E02">
        <w:rPr>
          <w:rFonts w:eastAsia="Times New Roman" w:cs="Times New Roman"/>
          <w:lang w:eastAsia="de-DE"/>
        </w:rPr>
        <w:t xml:space="preserve"> redete) im Piel-Imperfekt mit Waw-Konsekutiv. </w:t>
      </w:r>
      <w:r w:rsidRPr="00195E02">
        <w:rPr>
          <w:rFonts w:eastAsia="Times New Roman" w:cs="Times New Roman"/>
          <w:b/>
          <w:bCs/>
          <w:rtl/>
          <w:lang w:eastAsia="de-DE"/>
        </w:rPr>
        <w:t>אל־משה ואל־אהרן</w:t>
      </w:r>
      <w:r w:rsidRPr="00195E02">
        <w:rPr>
          <w:rFonts w:eastAsia="Times New Roman" w:cs="Times New Roman"/>
          <w:rtl/>
          <w:lang w:eastAsia="de-DE"/>
        </w:rPr>
        <w:t xml:space="preserve"> </w:t>
      </w:r>
      <w:r w:rsidRPr="00195E02">
        <w:rPr>
          <w:rFonts w:eastAsia="Times New Roman" w:cs="Times New Roman"/>
          <w:lang w:eastAsia="de-DE"/>
        </w:rPr>
        <w:t xml:space="preserve">(zu Mose und zu Aaron) entspricht 14,33 und zeigt die gemeinsame Adressierung beider Führungspersonen. </w:t>
      </w:r>
      <w:r w:rsidRPr="00195E02">
        <w:rPr>
          <w:rFonts w:eastAsia="Times New Roman" w:cs="Times New Roman"/>
          <w:b/>
          <w:bCs/>
          <w:rtl/>
          <w:lang w:eastAsia="de-DE"/>
        </w:rPr>
        <w:t>לאמר</w:t>
      </w:r>
      <w:r w:rsidRPr="00195E02">
        <w:rPr>
          <w:rFonts w:eastAsia="Times New Roman" w:cs="Times New Roman"/>
          <w:rtl/>
          <w:lang w:eastAsia="de-DE"/>
        </w:rPr>
        <w:t xml:space="preserve"> </w:t>
      </w:r>
      <w:r w:rsidRPr="00195E02">
        <w:rPr>
          <w:rFonts w:eastAsia="Times New Roman" w:cs="Times New Roman"/>
          <w:lang w:eastAsia="de-DE"/>
        </w:rPr>
        <w:t>(sagend) leitet die folgende Rede ein.</w:t>
      </w:r>
    </w:p>
    <w:p w14:paraId="5204B4C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Einbeziehung Aarons neben Mose zeigt die besondere Relevanz der kommenden Bestimmungen für die priesterliche Praxis, da es um Unreinheitsdiagnose und Reinigungsverfahren geht.</w:t>
      </w:r>
    </w:p>
    <w:p w14:paraId="199918E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וידבר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ἐλάλησεν</w:t>
      </w:r>
      <w:proofErr w:type="spellEnd"/>
      <w:r w:rsidRPr="00195E02">
        <w:rPr>
          <w:rFonts w:eastAsia="Times New Roman" w:cs="Times New Roman"/>
          <w:lang w:eastAsia="de-DE"/>
        </w:rPr>
        <w:t xml:space="preserve"> (sprach) und </w:t>
      </w:r>
      <w:r w:rsidRPr="00195E02">
        <w:rPr>
          <w:rFonts w:eastAsia="Times New Roman" w:cs="Times New Roman"/>
          <w:b/>
          <w:bCs/>
          <w:rtl/>
          <w:lang w:eastAsia="de-DE"/>
        </w:rPr>
        <w:t>לאמר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λέγων</w:t>
      </w:r>
      <w:proofErr w:type="spellEnd"/>
      <w:r w:rsidRPr="00195E02">
        <w:rPr>
          <w:rFonts w:eastAsia="Times New Roman" w:cs="Times New Roman"/>
          <w:lang w:eastAsia="de-DE"/>
        </w:rPr>
        <w:t xml:space="preserve"> (sagend).</w:t>
      </w:r>
    </w:p>
    <w:p w14:paraId="215E30F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Offenbarungseinleitung: göttlicher Sprecher + doppelte Empfänger + Redeankündigung. Die Struktur markiert eine neue Themeneinheit.</w:t>
      </w:r>
    </w:p>
    <w:p w14:paraId="358A1B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leitet Kap. 15 über Körperausflüsse als neue Offenbarungseinheit an Mose und Aaron ein.</w:t>
      </w:r>
    </w:p>
    <w:p w14:paraId="0E4148D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w:t>
      </w:r>
    </w:p>
    <w:p w14:paraId="7994427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דַּבְּרוּ֙ אֶל־בְּנֵ֣י יִשְׂרָאֵ֔ל וַאֲמַרְתֶּ֖ם אֲלֵהֶ֑ם אִ֣ישׁ אִ֗ישׁ כִּ֤י יִהְיֶה֙ זָ֣ב מִבְּשָׂרֹ֔ו זוֹבֹ֖ו טָמֵ֥א הֽוּא׃</w:t>
      </w:r>
    </w:p>
    <w:p w14:paraId="47C77BD8" w14:textId="1B78B93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Redet zu den Söhnen Israels und sagt zu ihnen: Jeder Mann, wenn er fließend ist aus seinem Fleisch, sein Fluss</w:t>
      </w:r>
      <w:r w:rsidR="004603C6">
        <w:rPr>
          <w:rFonts w:eastAsia="Times New Roman" w:cs="Times New Roman"/>
          <w:lang w:eastAsia="de-DE"/>
        </w:rPr>
        <w:t>, er</w:t>
      </w:r>
      <w:r w:rsidRPr="00195E02">
        <w:rPr>
          <w:rFonts w:eastAsia="Times New Roman" w:cs="Times New Roman"/>
          <w:lang w:eastAsia="de-DE"/>
        </w:rPr>
        <w:t xml:space="preserve"> ist unrein.</w:t>
      </w:r>
    </w:p>
    <w:p w14:paraId="4AE6DD6B"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032B8DB">
          <v:rect id="_x0000_i1449" style="width:0;height:1.5pt" o:hralign="center" o:hrstd="t" o:hr="t" fillcolor="#a0a0a0" stroked="f"/>
        </w:pict>
      </w:r>
    </w:p>
    <w:p w14:paraId="15C9247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דברו אל־בני ישראל ואמרתם אלהם איש איש כי יהיה זב מבשרו זובו טמא הוא</w:t>
      </w:r>
      <w:r w:rsidRPr="00195E02">
        <w:rPr>
          <w:rFonts w:eastAsia="Times New Roman" w:cs="Times New Roman"/>
          <w:rtl/>
          <w:lang w:eastAsia="de-DE"/>
        </w:rPr>
        <w:t xml:space="preserve"> </w:t>
      </w:r>
      <w:r w:rsidRPr="00195E02">
        <w:rPr>
          <w:rFonts w:eastAsia="Times New Roman" w:cs="Times New Roman"/>
          <w:lang w:eastAsia="de-DE"/>
        </w:rPr>
        <w:t xml:space="preserve">etabliert männliche Genitalausflüsse. </w:t>
      </w:r>
      <w:r w:rsidRPr="00195E02">
        <w:rPr>
          <w:rFonts w:eastAsia="Times New Roman" w:cs="Times New Roman"/>
          <w:b/>
          <w:bCs/>
          <w:rtl/>
          <w:lang w:eastAsia="de-DE"/>
        </w:rPr>
        <w:t>דברו אל־בני ישראל ואמרתם אלהם</w:t>
      </w:r>
      <w:r w:rsidRPr="00195E02">
        <w:rPr>
          <w:rFonts w:eastAsia="Times New Roman" w:cs="Times New Roman"/>
          <w:rtl/>
          <w:lang w:eastAsia="de-DE"/>
        </w:rPr>
        <w:t xml:space="preserve"> </w:t>
      </w:r>
      <w:r w:rsidRPr="00195E02">
        <w:rPr>
          <w:rFonts w:eastAsia="Times New Roman" w:cs="Times New Roman"/>
          <w:lang w:eastAsia="de-DE"/>
        </w:rPr>
        <w:t xml:space="preserve">(redet zu den Söhnen Israels und sagt zu ihnen) zeigt die Weitergabe der göttlichen Anweisungen an das Volk. </w:t>
      </w:r>
      <w:r w:rsidRPr="00195E02">
        <w:rPr>
          <w:rFonts w:eastAsia="Times New Roman" w:cs="Times New Roman"/>
          <w:b/>
          <w:bCs/>
          <w:rtl/>
          <w:lang w:eastAsia="de-DE"/>
        </w:rPr>
        <w:t>איש איש</w:t>
      </w:r>
      <w:r w:rsidRPr="00195E02">
        <w:rPr>
          <w:rFonts w:eastAsia="Times New Roman" w:cs="Times New Roman"/>
          <w:rtl/>
          <w:lang w:eastAsia="de-DE"/>
        </w:rPr>
        <w:t xml:space="preserve"> </w:t>
      </w:r>
      <w:r w:rsidRPr="00195E02">
        <w:rPr>
          <w:rFonts w:eastAsia="Times New Roman" w:cs="Times New Roman"/>
          <w:lang w:eastAsia="de-DE"/>
        </w:rPr>
        <w:t>(jeder Mann) als distributive Verstärkung zeigt universelle Anwendung auf alle Männer.</w:t>
      </w:r>
    </w:p>
    <w:p w14:paraId="6087E35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כי יהיה זב מבשרו זובו טמא הוא</w:t>
      </w:r>
      <w:r w:rsidRPr="00195E02">
        <w:rPr>
          <w:rFonts w:eastAsia="Times New Roman" w:cs="Times New Roman"/>
          <w:rtl/>
          <w:lang w:eastAsia="de-DE"/>
        </w:rPr>
        <w:t xml:space="preserve"> </w:t>
      </w:r>
      <w:r w:rsidRPr="00195E02">
        <w:rPr>
          <w:rFonts w:eastAsia="Times New Roman" w:cs="Times New Roman"/>
          <w:lang w:eastAsia="de-DE"/>
        </w:rPr>
        <w:t xml:space="preserve">definiert die Grundkategorie. </w:t>
      </w:r>
      <w:r w:rsidRPr="00195E02">
        <w:rPr>
          <w:rFonts w:eastAsia="Times New Roman" w:cs="Times New Roman"/>
          <w:b/>
          <w:bCs/>
          <w:rtl/>
          <w:lang w:eastAsia="de-DE"/>
        </w:rPr>
        <w:t>כי יהיה זב מבשרו</w:t>
      </w:r>
      <w:r w:rsidRPr="00195E02">
        <w:rPr>
          <w:rFonts w:eastAsia="Times New Roman" w:cs="Times New Roman"/>
          <w:rtl/>
          <w:lang w:eastAsia="de-DE"/>
        </w:rPr>
        <w:t xml:space="preserve"> </w:t>
      </w:r>
      <w:r w:rsidRPr="00195E02">
        <w:rPr>
          <w:rFonts w:eastAsia="Times New Roman" w:cs="Times New Roman"/>
          <w:lang w:eastAsia="de-DE"/>
        </w:rPr>
        <w:t xml:space="preserve">(wenn er fließend ist aus seinem Fleisch) -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xml:space="preserve">(fließend) als Partizip von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 xml:space="preserve">(fließen), </w:t>
      </w:r>
      <w:r w:rsidRPr="00195E02">
        <w:rPr>
          <w:rFonts w:eastAsia="Times New Roman" w:cs="Times New Roman"/>
          <w:b/>
          <w:bCs/>
          <w:rtl/>
          <w:lang w:eastAsia="de-DE"/>
        </w:rPr>
        <w:t>מבשרו</w:t>
      </w:r>
      <w:r w:rsidRPr="00195E02">
        <w:rPr>
          <w:rFonts w:eastAsia="Times New Roman" w:cs="Times New Roman"/>
          <w:rtl/>
          <w:lang w:eastAsia="de-DE"/>
        </w:rPr>
        <w:t xml:space="preserve"> </w:t>
      </w:r>
      <w:r w:rsidRPr="00195E02">
        <w:rPr>
          <w:rFonts w:eastAsia="Times New Roman" w:cs="Times New Roman"/>
          <w:lang w:eastAsia="de-DE"/>
        </w:rPr>
        <w:t xml:space="preserve">(aus seinem Fleisch) lokalisiert die Ausflüsse am Körper. </w:t>
      </w:r>
      <w:r w:rsidRPr="00195E02">
        <w:rPr>
          <w:rFonts w:eastAsia="Times New Roman" w:cs="Times New Roman"/>
          <w:b/>
          <w:bCs/>
          <w:rtl/>
          <w:lang w:eastAsia="de-DE"/>
        </w:rPr>
        <w:t>זובו טמא הוא</w:t>
      </w:r>
      <w:r w:rsidRPr="00195E02">
        <w:rPr>
          <w:rFonts w:eastAsia="Times New Roman" w:cs="Times New Roman"/>
          <w:rtl/>
          <w:lang w:eastAsia="de-DE"/>
        </w:rPr>
        <w:t xml:space="preserve"> </w:t>
      </w:r>
      <w:r w:rsidRPr="00195E02">
        <w:rPr>
          <w:rFonts w:eastAsia="Times New Roman" w:cs="Times New Roman"/>
          <w:lang w:eastAsia="de-DE"/>
        </w:rPr>
        <w:t xml:space="preserve">(sein Fluss ist unrein) - </w:t>
      </w:r>
      <w:r w:rsidRPr="00195E02">
        <w:rPr>
          <w:rFonts w:eastAsia="Times New Roman" w:cs="Times New Roman"/>
          <w:b/>
          <w:bCs/>
          <w:rtl/>
          <w:lang w:eastAsia="de-DE"/>
        </w:rPr>
        <w:t>זובו</w:t>
      </w:r>
      <w:r w:rsidRPr="00195E02">
        <w:rPr>
          <w:rFonts w:eastAsia="Times New Roman" w:cs="Times New Roman"/>
          <w:rtl/>
          <w:lang w:eastAsia="de-DE"/>
        </w:rPr>
        <w:t xml:space="preserve"> </w:t>
      </w:r>
      <w:r w:rsidRPr="00195E02">
        <w:rPr>
          <w:rFonts w:eastAsia="Times New Roman" w:cs="Times New Roman"/>
          <w:lang w:eastAsia="de-DE"/>
        </w:rPr>
        <w:t xml:space="preserve">(sein Fluss) als Abstraktum, </w:t>
      </w:r>
      <w:r w:rsidRPr="00195E02">
        <w:rPr>
          <w:rFonts w:eastAsia="Times New Roman" w:cs="Times New Roman"/>
          <w:b/>
          <w:bCs/>
          <w:rtl/>
          <w:lang w:eastAsia="de-DE"/>
        </w:rPr>
        <w:t>טמא הוא</w:t>
      </w:r>
      <w:r w:rsidRPr="00195E02">
        <w:rPr>
          <w:rFonts w:eastAsia="Times New Roman" w:cs="Times New Roman"/>
          <w:rtl/>
          <w:lang w:eastAsia="de-DE"/>
        </w:rPr>
        <w:t xml:space="preserve"> </w:t>
      </w:r>
      <w:r w:rsidRPr="00195E02">
        <w:rPr>
          <w:rFonts w:eastAsia="Times New Roman" w:cs="Times New Roman"/>
          <w:lang w:eastAsia="de-DE"/>
        </w:rPr>
        <w:t xml:space="preserve">(unrein ist er) mit emphatischem </w:t>
      </w:r>
      <w:r w:rsidRPr="00195E02">
        <w:rPr>
          <w:rFonts w:eastAsia="Times New Roman" w:cs="Times New Roman"/>
          <w:b/>
          <w:bCs/>
          <w:rtl/>
          <w:lang w:eastAsia="de-DE"/>
        </w:rPr>
        <w:t>הוא</w:t>
      </w:r>
      <w:r w:rsidRPr="00195E02">
        <w:rPr>
          <w:rFonts w:eastAsia="Times New Roman" w:cs="Times New Roman"/>
          <w:lang w:eastAsia="de-DE"/>
        </w:rPr>
        <w:t>.</w:t>
      </w:r>
    </w:p>
    <w:p w14:paraId="58291D6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איש איש</w:t>
      </w:r>
      <w:r w:rsidRPr="00195E02">
        <w:rPr>
          <w:rFonts w:eastAsia="Times New Roman" w:cs="Times New Roman"/>
          <w:rtl/>
          <w:lang w:eastAsia="de-DE"/>
        </w:rPr>
        <w:t xml:space="preserve"> </w:t>
      </w:r>
      <w:r w:rsidRPr="00195E02">
        <w:rPr>
          <w:rFonts w:eastAsia="Times New Roman" w:cs="Times New Roman"/>
          <w:lang w:eastAsia="de-DE"/>
        </w:rPr>
        <w:t xml:space="preserve">betont die individuelle Verantwortung jedes Mannes. </w:t>
      </w:r>
      <w:r w:rsidRPr="00195E02">
        <w:rPr>
          <w:rFonts w:eastAsia="Times New Roman" w:cs="Times New Roman"/>
          <w:b/>
          <w:bCs/>
          <w:rtl/>
          <w:lang w:eastAsia="de-DE"/>
        </w:rPr>
        <w:t>זב מבשרו</w:t>
      </w:r>
      <w:r w:rsidRPr="00195E02">
        <w:rPr>
          <w:rFonts w:eastAsia="Times New Roman" w:cs="Times New Roman"/>
          <w:rtl/>
          <w:lang w:eastAsia="de-DE"/>
        </w:rPr>
        <w:t xml:space="preserve"> </w:t>
      </w:r>
      <w:r w:rsidRPr="00195E02">
        <w:rPr>
          <w:rFonts w:eastAsia="Times New Roman" w:cs="Times New Roman"/>
          <w:lang w:eastAsia="de-DE"/>
        </w:rPr>
        <w:t xml:space="preserve">zeigt pathologische Körperausflüsse im Unterschied zu normalen Funktionen. </w:t>
      </w:r>
      <w:r w:rsidRPr="00195E02">
        <w:rPr>
          <w:rFonts w:eastAsia="Times New Roman" w:cs="Times New Roman"/>
          <w:b/>
          <w:bCs/>
          <w:rtl/>
          <w:lang w:eastAsia="de-DE"/>
        </w:rPr>
        <w:t>זובו טמא</w:t>
      </w:r>
      <w:r w:rsidRPr="00195E02">
        <w:rPr>
          <w:rFonts w:eastAsia="Times New Roman" w:cs="Times New Roman"/>
          <w:rtl/>
          <w:lang w:eastAsia="de-DE"/>
        </w:rPr>
        <w:t xml:space="preserve"> </w:t>
      </w:r>
      <w:r w:rsidRPr="00195E02">
        <w:rPr>
          <w:rFonts w:eastAsia="Times New Roman" w:cs="Times New Roman"/>
          <w:lang w:eastAsia="de-DE"/>
        </w:rPr>
        <w:t>klassifiziert die Ausflüsse selbst als unrein.</w:t>
      </w:r>
    </w:p>
    <w:p w14:paraId="3C58E27D" w14:textId="6BFAA55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זב</w:t>
      </w:r>
      <w:r w:rsidR="00523826">
        <w:t xml:space="preserve"> (</w:t>
      </w:r>
      <w:proofErr w:type="spellStart"/>
      <w:r w:rsidR="00523826">
        <w:t>zav</w:t>
      </w:r>
      <w:proofErr w:type="spellEnd"/>
      <w:r w:rsidR="00523826">
        <w:t xml:space="preserve"> - "Fluss") als </w:t>
      </w:r>
      <w:proofErr w:type="spellStart"/>
      <w:r w:rsidR="00523826">
        <w:t>ῥύσις</w:t>
      </w:r>
      <w:proofErr w:type="spellEnd"/>
      <w:r w:rsidR="00523826">
        <w:t xml:space="preserve"> (Ausfluss) und verwendet den medizinischen Terminus </w:t>
      </w:r>
      <w:proofErr w:type="spellStart"/>
      <w:r w:rsidR="00523826">
        <w:t>γονορρυής</w:t>
      </w:r>
      <w:proofErr w:type="spellEnd"/>
      <w:r w:rsidR="00523826">
        <w:t xml:space="preserve"> (</w:t>
      </w:r>
      <w:proofErr w:type="spellStart"/>
      <w:r w:rsidR="00523826">
        <w:t>gonorrhoea</w:t>
      </w:r>
      <w:proofErr w:type="spellEnd"/>
      <w:r w:rsidR="00523826">
        <w:t xml:space="preserve"> - "Samenfluss") für den Mann mit Ausfluss, was eine spezifische griechische medizinische Diagnose darstellt.</w:t>
      </w:r>
    </w:p>
    <w:p w14:paraId="38F59D7E" w14:textId="375F447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Grunddefinition: </w:t>
      </w:r>
      <w:r w:rsidR="00555529" w:rsidRPr="00195E02">
        <w:rPr>
          <w:rFonts w:eastAsia="Times New Roman" w:cs="Times New Roman"/>
          <w:lang w:eastAsia="de-DE"/>
        </w:rPr>
        <w:t>Weitergabe Auftrag</w:t>
      </w:r>
      <w:r w:rsidRPr="00195E02">
        <w:rPr>
          <w:rFonts w:eastAsia="Times New Roman" w:cs="Times New Roman"/>
          <w:lang w:eastAsia="de-DE"/>
        </w:rPr>
        <w:t xml:space="preserve"> + universelle Anwendung + Konditionalsatz + Klassifikation der Unreinheit. Die Struktur etabliert die Grundkategorie männlicher Ausfluss-Unreinheit.</w:t>
      </w:r>
    </w:p>
    <w:p w14:paraId="41A7BA9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definiert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(männlicher Ausfluss) als Grundkategorie kultischer Unreinheit.</w:t>
      </w:r>
    </w:p>
    <w:p w14:paraId="5AAD5E0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15,3</w:t>
      </w:r>
    </w:p>
    <w:p w14:paraId="47FD67C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וְזֹ֛את תִּהְיֶ֥ה טֻמְאָתוֹ֖ בְּזוֹבֹ֑ו רָ֣ר בְּשָׂרֹ֞ו אֶת־זוֹבֹ֗ו אֽוֹ־הֶחְתִּ֤ים בְּשָׂרוֹ֙ מִזּוֹבֹ֔ו טֻמְאָתוֹ֖ הִֽוא׃</w:t>
      </w:r>
    </w:p>
    <w:p w14:paraId="5F83BF7F" w14:textId="3D8BEE2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4603C6">
        <w:t>Und dies wird seine Unreinheit sein bei seinem Ausfluss: Ob sein Fleisch seinen Ausfluss fließen lässt oder ob sein Fleisch seinen Ausfluss zurückhält, es ist seine Unreinheit.</w:t>
      </w:r>
    </w:p>
    <w:p w14:paraId="5C56426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4EA89B2">
          <v:rect id="_x0000_i1450" style="width:0;height:1.5pt" o:hralign="center" o:hrstd="t" o:hr="t" fillcolor="#a0a0a0" stroked="f"/>
        </w:pict>
      </w:r>
    </w:p>
    <w:p w14:paraId="743F40E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וזאת תהיה טמאתו בזובו רר בשרו את־זובו או־החתים בשרו מזובו טמאתו הוא</w:t>
      </w:r>
      <w:r w:rsidRPr="00195E02">
        <w:rPr>
          <w:rFonts w:eastAsia="Times New Roman" w:cs="Times New Roman"/>
          <w:rtl/>
          <w:lang w:eastAsia="de-DE"/>
        </w:rPr>
        <w:t xml:space="preserve"> </w:t>
      </w:r>
      <w:r w:rsidRPr="00195E02">
        <w:rPr>
          <w:rFonts w:eastAsia="Times New Roman" w:cs="Times New Roman"/>
          <w:lang w:eastAsia="de-DE"/>
        </w:rPr>
        <w:t xml:space="preserve">spezifiziert die Unreinheitskriterien. </w:t>
      </w:r>
      <w:r w:rsidRPr="00195E02">
        <w:rPr>
          <w:rFonts w:eastAsia="Times New Roman" w:cs="Times New Roman"/>
          <w:b/>
          <w:bCs/>
          <w:rtl/>
          <w:lang w:eastAsia="de-DE"/>
        </w:rPr>
        <w:t>וזאת תהיה טמאתו בזובו</w:t>
      </w:r>
      <w:r w:rsidRPr="00195E02">
        <w:rPr>
          <w:rFonts w:eastAsia="Times New Roman" w:cs="Times New Roman"/>
          <w:rtl/>
          <w:lang w:eastAsia="de-DE"/>
        </w:rPr>
        <w:t xml:space="preserve"> </w:t>
      </w:r>
      <w:r w:rsidRPr="00195E02">
        <w:rPr>
          <w:rFonts w:eastAsia="Times New Roman" w:cs="Times New Roman"/>
          <w:lang w:eastAsia="de-DE"/>
        </w:rPr>
        <w:t xml:space="preserve">(und dies wird seine Unreinheit sein bei seinem Ausfluss) leitet die Präzisierung ein. </w:t>
      </w:r>
      <w:r w:rsidRPr="00195E02">
        <w:rPr>
          <w:rFonts w:eastAsia="Times New Roman" w:cs="Times New Roman"/>
          <w:b/>
          <w:bCs/>
          <w:rtl/>
          <w:lang w:eastAsia="de-DE"/>
        </w:rPr>
        <w:t>רר בשרו את־זובו</w:t>
      </w:r>
      <w:r w:rsidRPr="00195E02">
        <w:rPr>
          <w:rFonts w:eastAsia="Times New Roman" w:cs="Times New Roman"/>
          <w:rtl/>
          <w:lang w:eastAsia="de-DE"/>
        </w:rPr>
        <w:t xml:space="preserve"> </w:t>
      </w:r>
      <w:r w:rsidRPr="00195E02">
        <w:rPr>
          <w:rFonts w:eastAsia="Times New Roman" w:cs="Times New Roman"/>
          <w:lang w:eastAsia="de-DE"/>
        </w:rPr>
        <w:t xml:space="preserve">(sein Fleisch lässt seinen Ausfluss fließen) - </w:t>
      </w:r>
      <w:r w:rsidRPr="00195E02">
        <w:rPr>
          <w:rFonts w:eastAsia="Times New Roman" w:cs="Times New Roman"/>
          <w:b/>
          <w:bCs/>
          <w:rtl/>
          <w:lang w:eastAsia="de-DE"/>
        </w:rPr>
        <w:t>רר</w:t>
      </w:r>
      <w:r w:rsidRPr="00195E02">
        <w:rPr>
          <w:rFonts w:eastAsia="Times New Roman" w:cs="Times New Roman"/>
          <w:rtl/>
          <w:lang w:eastAsia="de-DE"/>
        </w:rPr>
        <w:t xml:space="preserve"> </w:t>
      </w:r>
      <w:r w:rsidRPr="00195E02">
        <w:rPr>
          <w:rFonts w:eastAsia="Times New Roman" w:cs="Times New Roman"/>
          <w:lang w:eastAsia="de-DE"/>
        </w:rPr>
        <w:t>(fließen lassen) im Qal-Perfekt zeigt aktives Fließen.</w:t>
      </w:r>
    </w:p>
    <w:p w14:paraId="39A936E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או־החתים בשרו מזובו טמאתו הוא</w:t>
      </w:r>
      <w:r w:rsidRPr="00195E02">
        <w:rPr>
          <w:rFonts w:eastAsia="Times New Roman" w:cs="Times New Roman"/>
          <w:rtl/>
          <w:lang w:eastAsia="de-DE"/>
        </w:rPr>
        <w:t xml:space="preserve"> </w:t>
      </w:r>
      <w:r w:rsidRPr="00195E02">
        <w:rPr>
          <w:rFonts w:eastAsia="Times New Roman" w:cs="Times New Roman"/>
          <w:lang w:eastAsia="de-DE"/>
        </w:rPr>
        <w:t xml:space="preserve">(oder sein Fleisch ist von seinem Ausfluss verstopft - es ist seine Unreinheit) - </w:t>
      </w:r>
      <w:r w:rsidRPr="00195E02">
        <w:rPr>
          <w:rFonts w:eastAsia="Times New Roman" w:cs="Times New Roman"/>
          <w:b/>
          <w:bCs/>
          <w:rtl/>
          <w:lang w:eastAsia="de-DE"/>
        </w:rPr>
        <w:t>החתים</w:t>
      </w:r>
      <w:r w:rsidRPr="00195E02">
        <w:rPr>
          <w:rFonts w:eastAsia="Times New Roman" w:cs="Times New Roman"/>
          <w:rtl/>
          <w:lang w:eastAsia="de-DE"/>
        </w:rPr>
        <w:t xml:space="preserve"> </w:t>
      </w:r>
      <w:r w:rsidRPr="00195E02">
        <w:rPr>
          <w:rFonts w:eastAsia="Times New Roman" w:cs="Times New Roman"/>
          <w:lang w:eastAsia="de-DE"/>
        </w:rPr>
        <w:t xml:space="preserve">(verstopft/blockiert) im Hifil-Perfekt von </w:t>
      </w:r>
      <w:r w:rsidRPr="00195E02">
        <w:rPr>
          <w:rFonts w:eastAsia="Times New Roman" w:cs="Times New Roman"/>
          <w:b/>
          <w:bCs/>
          <w:rtl/>
          <w:lang w:eastAsia="de-DE"/>
        </w:rPr>
        <w:t>חתם</w:t>
      </w:r>
      <w:r w:rsidRPr="00195E02">
        <w:rPr>
          <w:rFonts w:eastAsia="Times New Roman" w:cs="Times New Roman"/>
          <w:rtl/>
          <w:lang w:eastAsia="de-DE"/>
        </w:rPr>
        <w:t xml:space="preserve"> </w:t>
      </w:r>
      <w:r w:rsidRPr="00195E02">
        <w:rPr>
          <w:rFonts w:eastAsia="Times New Roman" w:cs="Times New Roman"/>
          <w:lang w:eastAsia="de-DE"/>
        </w:rPr>
        <w:t xml:space="preserve">zeigt das Gegenteil: Verstopfung statt Fließen. </w:t>
      </w:r>
      <w:r w:rsidRPr="00195E02">
        <w:rPr>
          <w:rFonts w:eastAsia="Times New Roman" w:cs="Times New Roman"/>
          <w:b/>
          <w:bCs/>
          <w:rtl/>
          <w:lang w:eastAsia="de-DE"/>
        </w:rPr>
        <w:t>טמאתו הוא</w:t>
      </w:r>
      <w:r w:rsidRPr="00195E02">
        <w:rPr>
          <w:rFonts w:eastAsia="Times New Roman" w:cs="Times New Roman"/>
          <w:rtl/>
          <w:lang w:eastAsia="de-DE"/>
        </w:rPr>
        <w:t xml:space="preserve"> </w:t>
      </w:r>
      <w:r w:rsidRPr="00195E02">
        <w:rPr>
          <w:rFonts w:eastAsia="Times New Roman" w:cs="Times New Roman"/>
          <w:lang w:eastAsia="de-DE"/>
        </w:rPr>
        <w:t>(seine Unreinheit ist es) bekräftigt beide Zustände als unrein.</w:t>
      </w:r>
    </w:p>
    <w:p w14:paraId="2BAB3DA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רר בשרו את־זובו</w:t>
      </w:r>
      <w:r w:rsidRPr="00195E02">
        <w:rPr>
          <w:rFonts w:eastAsia="Times New Roman" w:cs="Times New Roman"/>
          <w:rtl/>
          <w:lang w:eastAsia="de-DE"/>
        </w:rPr>
        <w:t xml:space="preserve"> </w:t>
      </w:r>
      <w:r w:rsidRPr="00195E02">
        <w:rPr>
          <w:rFonts w:eastAsia="Times New Roman" w:cs="Times New Roman"/>
          <w:lang w:eastAsia="de-DE"/>
        </w:rPr>
        <w:t xml:space="preserve">zeigt aktive Sekretion. </w:t>
      </w:r>
      <w:r w:rsidRPr="00195E02">
        <w:rPr>
          <w:rFonts w:eastAsia="Times New Roman" w:cs="Times New Roman"/>
          <w:b/>
          <w:bCs/>
          <w:rtl/>
          <w:lang w:eastAsia="de-DE"/>
        </w:rPr>
        <w:t>או־החתים בשרו מזובו</w:t>
      </w:r>
      <w:r w:rsidRPr="00195E02">
        <w:rPr>
          <w:rFonts w:eastAsia="Times New Roman" w:cs="Times New Roman"/>
          <w:rtl/>
          <w:lang w:eastAsia="de-DE"/>
        </w:rPr>
        <w:t xml:space="preserve"> </w:t>
      </w:r>
      <w:r w:rsidRPr="00195E02">
        <w:rPr>
          <w:rFonts w:eastAsia="Times New Roman" w:cs="Times New Roman"/>
          <w:lang w:eastAsia="de-DE"/>
        </w:rPr>
        <w:t>zeigt Sekretstau oder Verstopfung. Beide Zustände - aktives Fließen und Verstopfung - gelten als unrein.</w:t>
      </w:r>
    </w:p>
    <w:p w14:paraId="63697A1F" w14:textId="6E1CC20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interpretiert den schwierigen hebräischen Text </w:t>
      </w:r>
      <w:r w:rsidR="00523826">
        <w:rPr>
          <w:rtl/>
        </w:rPr>
        <w:t>רר בשרו את־זובו או־החתים בשרו מזובו</w:t>
      </w:r>
      <w:r w:rsidR="00523826">
        <w:t xml:space="preserve"> komplexer: Sie fügt eine Erklärung hinzu "π</w:t>
      </w:r>
      <w:proofErr w:type="spellStart"/>
      <w:r w:rsidR="00523826">
        <w:t>ᾶσ</w:t>
      </w:r>
      <w:proofErr w:type="spellEnd"/>
      <w:r w:rsidR="00523826">
        <w:t xml:space="preserve">αι αἱ </w:t>
      </w:r>
      <w:proofErr w:type="spellStart"/>
      <w:r w:rsidR="00523826">
        <w:t>ἡμέρ</w:t>
      </w:r>
      <w:proofErr w:type="spellEnd"/>
      <w:r w:rsidR="00523826">
        <w:t xml:space="preserve">αι </w:t>
      </w:r>
      <w:proofErr w:type="spellStart"/>
      <w:r w:rsidR="00523826">
        <w:t>ῥύσεως</w:t>
      </w:r>
      <w:proofErr w:type="spellEnd"/>
      <w:r w:rsidR="00523826">
        <w:t xml:space="preserve"> </w:t>
      </w:r>
      <w:proofErr w:type="spellStart"/>
      <w:r w:rsidR="00523826">
        <w:t>σώμ</w:t>
      </w:r>
      <w:proofErr w:type="spellEnd"/>
      <w:r w:rsidR="00523826">
        <w:t>ατος α</w:t>
      </w:r>
      <w:proofErr w:type="spellStart"/>
      <w:r w:rsidR="00523826">
        <w:t>ὐτοῦ</w:t>
      </w:r>
      <w:proofErr w:type="spellEnd"/>
      <w:r w:rsidR="00523826">
        <w:t>" (alle Tage des Ausflusses seines Körpers) und verdoppelt die Bedingungen für Unreinheit.</w:t>
      </w:r>
    </w:p>
    <w:p w14:paraId="607EEF8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Zustandsspezifikation: Unreinheitsdefinition + zwei alternative Zustände + bekräftigende Unreinheitsklassifikation. Die Struktur zeigt, dass sowohl Fließen als auch Verstopfung Unreinheit bedeuten.</w:t>
      </w:r>
    </w:p>
    <w:p w14:paraId="00B7AF9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dass sowohl aktiver Ausfluss als auch dessen Verstopfung als </w:t>
      </w:r>
      <w:r w:rsidRPr="00195E02">
        <w:rPr>
          <w:rFonts w:eastAsia="Times New Roman" w:cs="Times New Roman"/>
          <w:b/>
          <w:bCs/>
          <w:rtl/>
          <w:lang w:eastAsia="de-DE"/>
        </w:rPr>
        <w:t>טמאה</w:t>
      </w:r>
      <w:r w:rsidRPr="00195E02">
        <w:rPr>
          <w:rFonts w:eastAsia="Times New Roman" w:cs="Times New Roman"/>
          <w:rtl/>
          <w:lang w:eastAsia="de-DE"/>
        </w:rPr>
        <w:t xml:space="preserve"> </w:t>
      </w:r>
      <w:r w:rsidRPr="00195E02">
        <w:rPr>
          <w:rFonts w:eastAsia="Times New Roman" w:cs="Times New Roman"/>
          <w:lang w:eastAsia="de-DE"/>
        </w:rPr>
        <w:t>gelten.</w:t>
      </w:r>
    </w:p>
    <w:p w14:paraId="21D8DBE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15,4</w:t>
      </w:r>
    </w:p>
    <w:p w14:paraId="1778D36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כָּל־הַמִּשְׁכָּ֗ב אֲשֶׁ֨ר יִשְׁכַּ֥ב עָלָ֛יו הַזָּ֖ב יִטְמָ֑א וְכָֽל־הַכְּלִ֛י אֲשֶׁר־יֵשֵׁ֥ב עָלָ֖יו יִטְמָֽא׃</w:t>
      </w:r>
    </w:p>
    <w:p w14:paraId="1154163E" w14:textId="4D53670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Jedes Lager, auf dem der Fließende liegt, wird unrein</w:t>
      </w:r>
      <w:r w:rsidR="00264340">
        <w:rPr>
          <w:rFonts w:eastAsia="Times New Roman" w:cs="Times New Roman"/>
          <w:lang w:eastAsia="de-DE"/>
        </w:rPr>
        <w:t xml:space="preserve"> sein</w:t>
      </w:r>
      <w:r w:rsidRPr="00195E02">
        <w:rPr>
          <w:rFonts w:eastAsia="Times New Roman" w:cs="Times New Roman"/>
          <w:lang w:eastAsia="de-DE"/>
        </w:rPr>
        <w:t>; und jedes Gerät, auf dem er sitzt, wird unrein</w:t>
      </w:r>
      <w:r w:rsidR="00264340">
        <w:rPr>
          <w:rFonts w:eastAsia="Times New Roman" w:cs="Times New Roman"/>
          <w:lang w:eastAsia="de-DE"/>
        </w:rPr>
        <w:t xml:space="preserve"> sein</w:t>
      </w:r>
      <w:r w:rsidRPr="00195E02">
        <w:rPr>
          <w:rFonts w:eastAsia="Times New Roman" w:cs="Times New Roman"/>
          <w:lang w:eastAsia="de-DE"/>
        </w:rPr>
        <w:t>.</w:t>
      </w:r>
    </w:p>
    <w:p w14:paraId="61E5FA3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4B126DD">
          <v:rect id="_x0000_i1451" style="width:0;height:1.5pt" o:hralign="center" o:hrstd="t" o:hr="t" fillcolor="#a0a0a0" stroked="f"/>
        </w:pict>
      </w:r>
    </w:p>
    <w:p w14:paraId="4EBDD0B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כל־המשכב אשר ישכב עליו הזב יטמא וכל־הכלי אשר־ישב עליו יטמא</w:t>
      </w:r>
      <w:r w:rsidRPr="00195E02">
        <w:rPr>
          <w:rFonts w:eastAsia="Times New Roman" w:cs="Times New Roman"/>
          <w:rtl/>
          <w:lang w:eastAsia="de-DE"/>
        </w:rPr>
        <w:t xml:space="preserve"> </w:t>
      </w:r>
      <w:r w:rsidRPr="00195E02">
        <w:rPr>
          <w:rFonts w:eastAsia="Times New Roman" w:cs="Times New Roman"/>
          <w:lang w:eastAsia="de-DE"/>
        </w:rPr>
        <w:t xml:space="preserve">etabliert die Kontaktunreinheit bei Gegenständen. </w:t>
      </w:r>
      <w:r w:rsidRPr="00195E02">
        <w:rPr>
          <w:rFonts w:eastAsia="Times New Roman" w:cs="Times New Roman"/>
          <w:b/>
          <w:bCs/>
          <w:rtl/>
          <w:lang w:eastAsia="de-DE"/>
        </w:rPr>
        <w:t>כל־המשכב אשר ישכב עליו הזב יטמא</w:t>
      </w:r>
      <w:r w:rsidRPr="00195E02">
        <w:rPr>
          <w:rFonts w:eastAsia="Times New Roman" w:cs="Times New Roman"/>
          <w:rtl/>
          <w:lang w:eastAsia="de-DE"/>
        </w:rPr>
        <w:t xml:space="preserve"> </w:t>
      </w:r>
      <w:r w:rsidRPr="00195E02">
        <w:rPr>
          <w:rFonts w:eastAsia="Times New Roman" w:cs="Times New Roman"/>
          <w:lang w:eastAsia="de-DE"/>
        </w:rPr>
        <w:t xml:space="preserve">(jedes Lager, auf dem der Fließende liegt, wird unrein) - </w:t>
      </w:r>
      <w:r w:rsidRPr="00195E02">
        <w:rPr>
          <w:rFonts w:eastAsia="Times New Roman" w:cs="Times New Roman"/>
          <w:b/>
          <w:bCs/>
          <w:rtl/>
          <w:lang w:eastAsia="de-DE"/>
        </w:rPr>
        <w:t>המשכב</w:t>
      </w:r>
      <w:r w:rsidRPr="00195E02">
        <w:rPr>
          <w:rFonts w:eastAsia="Times New Roman" w:cs="Times New Roman"/>
          <w:rtl/>
          <w:lang w:eastAsia="de-DE"/>
        </w:rPr>
        <w:t xml:space="preserve"> </w:t>
      </w:r>
      <w:r w:rsidRPr="00195E02">
        <w:rPr>
          <w:rFonts w:eastAsia="Times New Roman" w:cs="Times New Roman"/>
          <w:lang w:eastAsia="de-DE"/>
        </w:rPr>
        <w:t xml:space="preserve">(das Lager) als Liegefläche, </w:t>
      </w:r>
      <w:r w:rsidRPr="00195E02">
        <w:rPr>
          <w:rFonts w:eastAsia="Times New Roman" w:cs="Times New Roman"/>
          <w:b/>
          <w:bCs/>
          <w:rtl/>
          <w:lang w:eastAsia="de-DE"/>
        </w:rPr>
        <w:t>ישכב עליו</w:t>
      </w:r>
      <w:r w:rsidRPr="00195E02">
        <w:rPr>
          <w:rFonts w:eastAsia="Times New Roman" w:cs="Times New Roman"/>
          <w:rtl/>
          <w:lang w:eastAsia="de-DE"/>
        </w:rPr>
        <w:t xml:space="preserve"> </w:t>
      </w:r>
      <w:r w:rsidRPr="00195E02">
        <w:rPr>
          <w:rFonts w:eastAsia="Times New Roman" w:cs="Times New Roman"/>
          <w:lang w:eastAsia="de-DE"/>
        </w:rPr>
        <w:t xml:space="preserve">(liegt darauf), </w:t>
      </w:r>
      <w:r w:rsidRPr="00195E02">
        <w:rPr>
          <w:rFonts w:eastAsia="Times New Roman" w:cs="Times New Roman"/>
          <w:b/>
          <w:bCs/>
          <w:rtl/>
          <w:lang w:eastAsia="de-DE"/>
        </w:rPr>
        <w:t>הזב</w:t>
      </w:r>
      <w:r w:rsidRPr="00195E02">
        <w:rPr>
          <w:rFonts w:eastAsia="Times New Roman" w:cs="Times New Roman"/>
          <w:rtl/>
          <w:lang w:eastAsia="de-DE"/>
        </w:rPr>
        <w:t xml:space="preserve"> </w:t>
      </w:r>
      <w:r w:rsidRPr="00195E02">
        <w:rPr>
          <w:rFonts w:eastAsia="Times New Roman" w:cs="Times New Roman"/>
          <w:lang w:eastAsia="de-DE"/>
        </w:rPr>
        <w:t xml:space="preserve">(der Fließende) als Partizip von </w:t>
      </w:r>
      <w:r w:rsidRPr="00195E02">
        <w:rPr>
          <w:rFonts w:eastAsia="Times New Roman" w:cs="Times New Roman"/>
          <w:b/>
          <w:bCs/>
          <w:rtl/>
          <w:lang w:eastAsia="de-DE"/>
        </w:rPr>
        <w:t>זוב</w:t>
      </w:r>
      <w:r w:rsidRPr="00195E02">
        <w:rPr>
          <w:rFonts w:eastAsia="Times New Roman" w:cs="Times New Roman"/>
          <w:lang w:eastAsia="de-DE"/>
        </w:rPr>
        <w:t>.</w:t>
      </w:r>
    </w:p>
    <w:p w14:paraId="62FCB07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וכל־הכלי אשר־ישב עליו יטמא</w:t>
      </w:r>
      <w:r w:rsidRPr="00195E02">
        <w:rPr>
          <w:rFonts w:eastAsia="Times New Roman" w:cs="Times New Roman"/>
          <w:rtl/>
          <w:lang w:eastAsia="de-DE"/>
        </w:rPr>
        <w:t xml:space="preserve"> </w:t>
      </w:r>
      <w:r w:rsidRPr="00195E02">
        <w:rPr>
          <w:rFonts w:eastAsia="Times New Roman" w:cs="Times New Roman"/>
          <w:lang w:eastAsia="de-DE"/>
        </w:rPr>
        <w:t xml:space="preserve">(und jedes Gerät, auf dem er sitzt, wird unrein) - </w:t>
      </w:r>
      <w:r w:rsidRPr="00195E02">
        <w:rPr>
          <w:rFonts w:eastAsia="Times New Roman" w:cs="Times New Roman"/>
          <w:b/>
          <w:bCs/>
          <w:rtl/>
          <w:lang w:eastAsia="de-DE"/>
        </w:rPr>
        <w:t>הכלי</w:t>
      </w:r>
      <w:r w:rsidRPr="00195E02">
        <w:rPr>
          <w:rFonts w:eastAsia="Times New Roman" w:cs="Times New Roman"/>
          <w:rtl/>
          <w:lang w:eastAsia="de-DE"/>
        </w:rPr>
        <w:t xml:space="preserve"> </w:t>
      </w:r>
      <w:r w:rsidRPr="00195E02">
        <w:rPr>
          <w:rFonts w:eastAsia="Times New Roman" w:cs="Times New Roman"/>
          <w:lang w:eastAsia="de-DE"/>
        </w:rPr>
        <w:t xml:space="preserve">(das Gerät) als Sitzgelegenheit, </w:t>
      </w:r>
      <w:r w:rsidRPr="00195E02">
        <w:rPr>
          <w:rFonts w:eastAsia="Times New Roman" w:cs="Times New Roman"/>
          <w:b/>
          <w:bCs/>
          <w:rtl/>
          <w:lang w:eastAsia="de-DE"/>
        </w:rPr>
        <w:t>ישב עליו</w:t>
      </w:r>
      <w:r w:rsidRPr="00195E02">
        <w:rPr>
          <w:rFonts w:eastAsia="Times New Roman" w:cs="Times New Roman"/>
          <w:rtl/>
          <w:lang w:eastAsia="de-DE"/>
        </w:rPr>
        <w:t xml:space="preserve"> </w:t>
      </w:r>
      <w:r w:rsidRPr="00195E02">
        <w:rPr>
          <w:rFonts w:eastAsia="Times New Roman" w:cs="Times New Roman"/>
          <w:lang w:eastAsia="de-DE"/>
        </w:rPr>
        <w:t xml:space="preserve">(sitzt darauf). Beide Sätze enden mit </w:t>
      </w:r>
      <w:r w:rsidRPr="00195E02">
        <w:rPr>
          <w:rFonts w:eastAsia="Times New Roman" w:cs="Times New Roman"/>
          <w:b/>
          <w:bCs/>
          <w:rtl/>
          <w:lang w:eastAsia="de-DE"/>
        </w:rPr>
        <w:t>יטמא</w:t>
      </w:r>
      <w:r w:rsidRPr="00195E02">
        <w:rPr>
          <w:rFonts w:eastAsia="Times New Roman" w:cs="Times New Roman"/>
          <w:rtl/>
          <w:lang w:eastAsia="de-DE"/>
        </w:rPr>
        <w:t xml:space="preserve"> </w:t>
      </w:r>
      <w:r w:rsidRPr="00195E02">
        <w:rPr>
          <w:rFonts w:eastAsia="Times New Roman" w:cs="Times New Roman"/>
          <w:lang w:eastAsia="de-DE"/>
        </w:rPr>
        <w:t>(wird unrein) als automatische Konsequenz.</w:t>
      </w:r>
    </w:p>
    <w:p w14:paraId="130B3AC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כל־המשכב</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כל־הכלי</w:t>
      </w:r>
      <w:r w:rsidRPr="00195E02">
        <w:rPr>
          <w:rFonts w:eastAsia="Times New Roman" w:cs="Times New Roman"/>
          <w:rtl/>
          <w:lang w:eastAsia="de-DE"/>
        </w:rPr>
        <w:t xml:space="preserve"> </w:t>
      </w:r>
      <w:r w:rsidRPr="00195E02">
        <w:rPr>
          <w:rFonts w:eastAsia="Times New Roman" w:cs="Times New Roman"/>
          <w:lang w:eastAsia="de-DE"/>
        </w:rPr>
        <w:t xml:space="preserve">mit </w:t>
      </w:r>
      <w:r w:rsidRPr="00195E02">
        <w:rPr>
          <w:rFonts w:eastAsia="Times New Roman" w:cs="Times New Roman"/>
          <w:b/>
          <w:bCs/>
          <w:rtl/>
          <w:lang w:eastAsia="de-DE"/>
        </w:rPr>
        <w:t>כל</w:t>
      </w:r>
      <w:r w:rsidRPr="00195E02">
        <w:rPr>
          <w:rFonts w:eastAsia="Times New Roman" w:cs="Times New Roman"/>
          <w:rtl/>
          <w:lang w:eastAsia="de-DE"/>
        </w:rPr>
        <w:t xml:space="preserve"> </w:t>
      </w:r>
      <w:r w:rsidRPr="00195E02">
        <w:rPr>
          <w:rFonts w:eastAsia="Times New Roman" w:cs="Times New Roman"/>
          <w:lang w:eastAsia="de-DE"/>
        </w:rPr>
        <w:t xml:space="preserve">zeigen universelle Anwendung auf alle Gegenstände. </w:t>
      </w:r>
      <w:r w:rsidRPr="00195E02">
        <w:rPr>
          <w:rFonts w:eastAsia="Times New Roman" w:cs="Times New Roman"/>
          <w:b/>
          <w:bCs/>
          <w:rtl/>
          <w:lang w:eastAsia="de-DE"/>
        </w:rPr>
        <w:t>ישכב עליו</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ישב עליו</w:t>
      </w:r>
      <w:r w:rsidRPr="00195E02">
        <w:rPr>
          <w:rFonts w:eastAsia="Times New Roman" w:cs="Times New Roman"/>
          <w:rtl/>
          <w:lang w:eastAsia="de-DE"/>
        </w:rPr>
        <w:t xml:space="preserve"> </w:t>
      </w:r>
      <w:r w:rsidRPr="00195E02">
        <w:rPr>
          <w:rFonts w:eastAsia="Times New Roman" w:cs="Times New Roman"/>
          <w:lang w:eastAsia="de-DE"/>
        </w:rPr>
        <w:t>zeigen direkten Körperkontakt durch Liegen und Sitzen.</w:t>
      </w:r>
    </w:p>
    <w:p w14:paraId="30DA7A7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המשכב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κοίτη</w:t>
      </w:r>
      <w:proofErr w:type="spellEnd"/>
      <w:r w:rsidRPr="00195E02">
        <w:rPr>
          <w:rFonts w:eastAsia="Times New Roman" w:cs="Times New Roman"/>
          <w:lang w:eastAsia="de-DE"/>
        </w:rPr>
        <w:t xml:space="preserve"> (Lager), </w:t>
      </w:r>
      <w:r w:rsidRPr="00195E02">
        <w:rPr>
          <w:rFonts w:eastAsia="Times New Roman" w:cs="Times New Roman"/>
          <w:b/>
          <w:bCs/>
          <w:rtl/>
          <w:lang w:eastAsia="de-DE"/>
        </w:rPr>
        <w:t>הכלי</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σκεῦος</w:t>
      </w:r>
      <w:proofErr w:type="spellEnd"/>
      <w:r w:rsidRPr="00195E02">
        <w:rPr>
          <w:rFonts w:eastAsia="Times New Roman" w:cs="Times New Roman"/>
          <w:lang w:eastAsia="de-DE"/>
        </w:rPr>
        <w:t xml:space="preserve"> (Gerät), </w:t>
      </w:r>
      <w:r w:rsidRPr="00195E02">
        <w:rPr>
          <w:rFonts w:eastAsia="Times New Roman" w:cs="Times New Roman"/>
          <w:b/>
          <w:bCs/>
          <w:rtl/>
          <w:lang w:eastAsia="de-DE"/>
        </w:rPr>
        <w:t>הזב</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γονορρυής</w:t>
      </w:r>
      <w:proofErr w:type="spellEnd"/>
      <w:r w:rsidRPr="00195E02">
        <w:rPr>
          <w:rFonts w:eastAsia="Times New Roman" w:cs="Times New Roman"/>
          <w:lang w:eastAsia="de-DE"/>
        </w:rPr>
        <w:t xml:space="preserve"> (der Fließende) und </w:t>
      </w:r>
      <w:r w:rsidRPr="00195E02">
        <w:rPr>
          <w:rFonts w:eastAsia="Times New Roman" w:cs="Times New Roman"/>
          <w:b/>
          <w:bCs/>
          <w:rtl/>
          <w:lang w:eastAsia="de-DE"/>
        </w:rPr>
        <w:t>יטמא</w:t>
      </w:r>
      <w:r w:rsidRPr="00195E02">
        <w:rPr>
          <w:rFonts w:eastAsia="Times New Roman" w:cs="Times New Roman"/>
          <w:rtl/>
          <w:lang w:eastAsia="de-DE"/>
        </w:rPr>
        <w:t xml:space="preserve"> </w:t>
      </w:r>
      <w:r w:rsidRPr="00195E02">
        <w:rPr>
          <w:rFonts w:eastAsia="Times New Roman" w:cs="Times New Roman"/>
          <w:lang w:eastAsia="de-DE"/>
        </w:rPr>
        <w:t xml:space="preserve">mit ἀκάθαρτον </w:t>
      </w:r>
      <w:proofErr w:type="spellStart"/>
      <w:r w:rsidRPr="00195E02">
        <w:rPr>
          <w:rFonts w:eastAsia="Times New Roman" w:cs="Times New Roman"/>
          <w:lang w:eastAsia="de-DE"/>
        </w:rPr>
        <w:t>ἔστ</w:t>
      </w:r>
      <w:proofErr w:type="spellEnd"/>
      <w:r w:rsidRPr="00195E02">
        <w:rPr>
          <w:rFonts w:eastAsia="Times New Roman" w:cs="Times New Roman"/>
          <w:lang w:eastAsia="de-DE"/>
        </w:rPr>
        <w:t>αι (unrein wird es sein).</w:t>
      </w:r>
    </w:p>
    <w:p w14:paraId="489944C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Kontaktunreinheit: zwei universelle Gegenstandskategorien + direkter Körperkontakt + automatische Unreinheit. Die Struktur etabliert die Übertragung der Unreinheit auf Gegenstände.</w:t>
      </w:r>
    </w:p>
    <w:p w14:paraId="3AF16C4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etabliert automatische Unreinheit von Liegeflächen und Sitzgelegenheiten durch direkten Kontakt mit </w:t>
      </w:r>
      <w:r w:rsidRPr="00195E02">
        <w:rPr>
          <w:rFonts w:eastAsia="Times New Roman" w:cs="Times New Roman"/>
          <w:b/>
          <w:bCs/>
          <w:rtl/>
          <w:lang w:eastAsia="de-DE"/>
        </w:rPr>
        <w:t>זב</w:t>
      </w:r>
      <w:r w:rsidRPr="00195E02">
        <w:rPr>
          <w:rFonts w:eastAsia="Times New Roman" w:cs="Times New Roman"/>
          <w:lang w:eastAsia="de-DE"/>
        </w:rPr>
        <w:t>.</w:t>
      </w:r>
    </w:p>
    <w:p w14:paraId="5AD49B2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15,5</w:t>
      </w:r>
    </w:p>
    <w:p w14:paraId="2951884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וְאִ֕ישׁ אֲשֶׁ֥ר יִגַּ֖ע בְּמִשְׁכָּבֹ֑ו יְכַבֵּ֧ס בְּגָדָ֛יו וְרָחַ֥ץ בַּמַּ֖יִם וְטָמֵ֥א עַד־הָעָֽרֶב׃</w:t>
      </w:r>
    </w:p>
    <w:p w14:paraId="37E4F1F7" w14:textId="1F35DB6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w:t>
      </w:r>
      <w:r w:rsidR="00264340">
        <w:t>Und ein Mann, der sein Lager berührt, soll seine Kleider waschen und soll sich im Wasser baden und soll bis zum Abend unrein sein.</w:t>
      </w:r>
    </w:p>
    <w:p w14:paraId="65236E1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B2CC4C7">
          <v:rect id="_x0000_i1452" style="width:0;height:1.5pt" o:hralign="center" o:hrstd="t" o:hr="t" fillcolor="#a0a0a0" stroked="f"/>
        </w:pict>
      </w:r>
    </w:p>
    <w:p w14:paraId="1B434EA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ואיש אשר יגע במשכבו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zeigt die Unreinheitsübertragung auf Personen durch Gegenstandskontakt. </w:t>
      </w:r>
      <w:r w:rsidRPr="00195E02">
        <w:rPr>
          <w:rFonts w:eastAsia="Times New Roman" w:cs="Times New Roman"/>
          <w:b/>
          <w:bCs/>
          <w:rtl/>
          <w:lang w:eastAsia="de-DE"/>
        </w:rPr>
        <w:t>ואיש אשר יגע במשכבו</w:t>
      </w:r>
      <w:r w:rsidRPr="00195E02">
        <w:rPr>
          <w:rFonts w:eastAsia="Times New Roman" w:cs="Times New Roman"/>
          <w:rtl/>
          <w:lang w:eastAsia="de-DE"/>
        </w:rPr>
        <w:t xml:space="preserve"> </w:t>
      </w:r>
      <w:r w:rsidRPr="00195E02">
        <w:rPr>
          <w:rFonts w:eastAsia="Times New Roman" w:cs="Times New Roman"/>
          <w:lang w:eastAsia="de-DE"/>
        </w:rPr>
        <w:t xml:space="preserve">(und ein Mann, der sein Lager berührt) - </w:t>
      </w:r>
      <w:r w:rsidRPr="00195E02">
        <w:rPr>
          <w:rFonts w:eastAsia="Times New Roman" w:cs="Times New Roman"/>
          <w:b/>
          <w:bCs/>
          <w:rtl/>
          <w:lang w:eastAsia="de-DE"/>
        </w:rPr>
        <w:t>יגע</w:t>
      </w:r>
      <w:r w:rsidRPr="00195E02">
        <w:rPr>
          <w:rFonts w:eastAsia="Times New Roman" w:cs="Times New Roman"/>
          <w:rtl/>
          <w:lang w:eastAsia="de-DE"/>
        </w:rPr>
        <w:t xml:space="preserve"> </w:t>
      </w:r>
      <w:r w:rsidRPr="00195E02">
        <w:rPr>
          <w:rFonts w:eastAsia="Times New Roman" w:cs="Times New Roman"/>
          <w:lang w:eastAsia="de-DE"/>
        </w:rPr>
        <w:t xml:space="preserve">(berührt) im Qal-Imperfekt, </w:t>
      </w:r>
      <w:r w:rsidRPr="00195E02">
        <w:rPr>
          <w:rFonts w:eastAsia="Times New Roman" w:cs="Times New Roman"/>
          <w:b/>
          <w:bCs/>
          <w:rtl/>
          <w:lang w:eastAsia="de-DE"/>
        </w:rPr>
        <w:t>במשכבו</w:t>
      </w:r>
      <w:r w:rsidRPr="00195E02">
        <w:rPr>
          <w:rFonts w:eastAsia="Times New Roman" w:cs="Times New Roman"/>
          <w:rtl/>
          <w:lang w:eastAsia="de-DE"/>
        </w:rPr>
        <w:t xml:space="preserve"> </w:t>
      </w:r>
      <w:r w:rsidRPr="00195E02">
        <w:rPr>
          <w:rFonts w:eastAsia="Times New Roman" w:cs="Times New Roman"/>
          <w:lang w:eastAsia="de-DE"/>
        </w:rPr>
        <w:t>(sein Lager) bezieht sich auf das kontaminierte Lager aus V. 4.</w:t>
      </w:r>
    </w:p>
    <w:p w14:paraId="002C745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zeigt die Reinigungsmaßnahmen und Unreinheitsdauer. </w:t>
      </w:r>
      <w:r w:rsidRPr="00195E02">
        <w:rPr>
          <w:rFonts w:eastAsia="Times New Roman" w:cs="Times New Roman"/>
          <w:b/>
          <w:bCs/>
          <w:rtl/>
          <w:lang w:eastAsia="de-DE"/>
        </w:rPr>
        <w:t>יכבס בגדיו</w:t>
      </w:r>
      <w:r w:rsidRPr="00195E02">
        <w:rPr>
          <w:rFonts w:eastAsia="Times New Roman" w:cs="Times New Roman"/>
          <w:rtl/>
          <w:lang w:eastAsia="de-DE"/>
        </w:rPr>
        <w:t xml:space="preserve"> </w:t>
      </w:r>
      <w:r w:rsidRPr="00195E02">
        <w:rPr>
          <w:rFonts w:eastAsia="Times New Roman" w:cs="Times New Roman"/>
          <w:lang w:eastAsia="de-DE"/>
        </w:rPr>
        <w:t xml:space="preserve">(soll seine Kleider waschen), </w:t>
      </w:r>
      <w:r w:rsidRPr="00195E02">
        <w:rPr>
          <w:rFonts w:eastAsia="Times New Roman" w:cs="Times New Roman"/>
          <w:b/>
          <w:bCs/>
          <w:rtl/>
          <w:lang w:eastAsia="de-DE"/>
        </w:rPr>
        <w:t>ורחץ במים</w:t>
      </w:r>
      <w:r w:rsidRPr="00195E02">
        <w:rPr>
          <w:rFonts w:eastAsia="Times New Roman" w:cs="Times New Roman"/>
          <w:rtl/>
          <w:lang w:eastAsia="de-DE"/>
        </w:rPr>
        <w:t xml:space="preserve"> </w:t>
      </w:r>
      <w:r w:rsidRPr="00195E02">
        <w:rPr>
          <w:rFonts w:eastAsia="Times New Roman" w:cs="Times New Roman"/>
          <w:lang w:eastAsia="de-DE"/>
        </w:rPr>
        <w:t xml:space="preserve">(und in Wasser baden) als doppelte Reinigung. </w:t>
      </w:r>
      <w:r w:rsidRPr="00195E02">
        <w:rPr>
          <w:rFonts w:eastAsia="Times New Roman" w:cs="Times New Roman"/>
          <w:b/>
          <w:bCs/>
          <w:rtl/>
          <w:lang w:eastAsia="de-DE"/>
        </w:rPr>
        <w:t>וטמא עד־הערב</w:t>
      </w:r>
      <w:r w:rsidRPr="00195E02">
        <w:rPr>
          <w:rFonts w:eastAsia="Times New Roman" w:cs="Times New Roman"/>
          <w:rtl/>
          <w:lang w:eastAsia="de-DE"/>
        </w:rPr>
        <w:t xml:space="preserve"> </w:t>
      </w:r>
      <w:r w:rsidRPr="00195E02">
        <w:rPr>
          <w:rFonts w:eastAsia="Times New Roman" w:cs="Times New Roman"/>
          <w:lang w:eastAsia="de-DE"/>
        </w:rPr>
        <w:t>(und unrein sein bis zum Abend) zeigt temporäre Unreinheit bis zum Tagesende.</w:t>
      </w:r>
    </w:p>
    <w:p w14:paraId="447919F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יגע במשכבו</w:t>
      </w:r>
      <w:r w:rsidRPr="00195E02">
        <w:rPr>
          <w:rFonts w:eastAsia="Times New Roman" w:cs="Times New Roman"/>
          <w:rtl/>
          <w:lang w:eastAsia="de-DE"/>
        </w:rPr>
        <w:t xml:space="preserve"> </w:t>
      </w:r>
      <w:r w:rsidRPr="00195E02">
        <w:rPr>
          <w:rFonts w:eastAsia="Times New Roman" w:cs="Times New Roman"/>
          <w:lang w:eastAsia="de-DE"/>
        </w:rPr>
        <w:t xml:space="preserve">zeigt indirekte Kontamination über kontaminierte Gegenstände. </w:t>
      </w:r>
      <w:r w:rsidRPr="00195E02">
        <w:rPr>
          <w:rFonts w:eastAsia="Times New Roman" w:cs="Times New Roman"/>
          <w:b/>
          <w:bCs/>
          <w:rtl/>
          <w:lang w:eastAsia="de-DE"/>
        </w:rPr>
        <w:t>יכבס בגדיו ורחץ במים</w:t>
      </w:r>
      <w:r w:rsidRPr="00195E02">
        <w:rPr>
          <w:rFonts w:eastAsia="Times New Roman" w:cs="Times New Roman"/>
          <w:rtl/>
          <w:lang w:eastAsia="de-DE"/>
        </w:rPr>
        <w:t xml:space="preserve"> </w:t>
      </w:r>
      <w:r w:rsidRPr="00195E02">
        <w:rPr>
          <w:rFonts w:eastAsia="Times New Roman" w:cs="Times New Roman"/>
          <w:lang w:eastAsia="de-DE"/>
        </w:rPr>
        <w:t xml:space="preserve">als Standardreinigungsverfahren bei leichterer Unreinheit.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zeigt kürzere Unreinheitsdauer als bei direktem Kontakt.</w:t>
      </w:r>
    </w:p>
    <w:p w14:paraId="74E6983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יגע</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ἅψητ</w:t>
      </w:r>
      <w:proofErr w:type="spellEnd"/>
      <w:r w:rsidRPr="00195E02">
        <w:rPr>
          <w:rFonts w:eastAsia="Times New Roman" w:cs="Times New Roman"/>
          <w:lang w:eastAsia="de-DE"/>
        </w:rPr>
        <w:t xml:space="preserve">αι (berührt), </w:t>
      </w:r>
      <w:r w:rsidRPr="00195E02">
        <w:rPr>
          <w:rFonts w:eastAsia="Times New Roman" w:cs="Times New Roman"/>
          <w:b/>
          <w:bCs/>
          <w:rtl/>
          <w:lang w:eastAsia="de-DE"/>
        </w:rPr>
        <w:t>יכבס</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λυνεῖ</w:t>
      </w:r>
      <w:proofErr w:type="spellEnd"/>
      <w:r w:rsidRPr="00195E02">
        <w:rPr>
          <w:rFonts w:eastAsia="Times New Roman" w:cs="Times New Roman"/>
          <w:lang w:eastAsia="de-DE"/>
        </w:rPr>
        <w:t xml:space="preserve"> (wird waschen), </w:t>
      </w:r>
      <w:r w:rsidRPr="00195E02">
        <w:rPr>
          <w:rFonts w:eastAsia="Times New Roman" w:cs="Times New Roman"/>
          <w:b/>
          <w:bCs/>
          <w:rtl/>
          <w:lang w:eastAsia="de-DE"/>
        </w:rPr>
        <w:t>ורחץ</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λούσετ</w:t>
      </w:r>
      <w:proofErr w:type="spellEnd"/>
      <w:r w:rsidRPr="00195E02">
        <w:rPr>
          <w:rFonts w:eastAsia="Times New Roman" w:cs="Times New Roman"/>
          <w:lang w:eastAsia="de-DE"/>
        </w:rPr>
        <w:t xml:space="preserve">αι (wird baden) und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ἕως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ἑσ</w:t>
      </w:r>
      <w:proofErr w:type="spellEnd"/>
      <w:r w:rsidRPr="00195E02">
        <w:rPr>
          <w:rFonts w:eastAsia="Times New Roman" w:cs="Times New Roman"/>
          <w:lang w:eastAsia="de-DE"/>
        </w:rPr>
        <w:t>πέρας (bis zum Abend).</w:t>
      </w:r>
    </w:p>
    <w:p w14:paraId="4D6B2D2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Sekundärkontamination: indirekter Kontakt + doppelte Reinigungsmaßnahme + temporäre Unreinheit. Die Struktur zeigt abgestufte Unreinheitsübertragung.</w:t>
      </w:r>
    </w:p>
    <w:p w14:paraId="23B03F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Unreinheitsübertragung durch Berührung kontaminierter Gegenstände mit Reinigungsverfahren und temporärer Unreinheit.</w:t>
      </w:r>
    </w:p>
    <w:p w14:paraId="3B6E03A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15,6</w:t>
      </w:r>
    </w:p>
    <w:p w14:paraId="068EBB9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וְהַיֹּשֵׁב֙ עַֽל־הַכְּלִ֔י אֲשֶׁר־יֵשֵׁ֥ב עָלָ֖יו הַזָּ֑ב יְכַבֵּ֧ס בְּגָדָ֛יו וְרָחַ֥ץ בַּמַּ֖יִם וְטָמֵ֥א עַד־הָעָֽרֶב׃</w:t>
      </w:r>
    </w:p>
    <w:p w14:paraId="2CBE6F5C" w14:textId="64C96244"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der, der sich auf das Gerät setzt, auf dem der Fließende gesessen hat, soll seine Kleider waschen und soll sich im Wasser baden und soll unrein sein bis zum Abend.</w:t>
      </w:r>
    </w:p>
    <w:p w14:paraId="20C2F36A"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F85CD9F">
          <v:rect id="_x0000_i1453" style="width:0;height:1.5pt" o:hralign="center" o:hrstd="t" o:hr="t" fillcolor="#a0a0a0" stroked="f"/>
        </w:pict>
      </w:r>
    </w:p>
    <w:p w14:paraId="7200FEE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והיושב על־הכלי אשר־ישב עליו הזב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entspricht V. 5 für Sitzgelegenheiten. </w:t>
      </w:r>
      <w:r w:rsidRPr="00195E02">
        <w:rPr>
          <w:rFonts w:eastAsia="Times New Roman" w:cs="Times New Roman"/>
          <w:b/>
          <w:bCs/>
          <w:rtl/>
          <w:lang w:eastAsia="de-DE"/>
        </w:rPr>
        <w:t>והיושב על־הכלי אשר־ישב עליו הזב</w:t>
      </w:r>
      <w:r w:rsidRPr="00195E02">
        <w:rPr>
          <w:rFonts w:eastAsia="Times New Roman" w:cs="Times New Roman"/>
          <w:rtl/>
          <w:lang w:eastAsia="de-DE"/>
        </w:rPr>
        <w:t xml:space="preserve"> </w:t>
      </w:r>
      <w:r w:rsidRPr="00195E02">
        <w:rPr>
          <w:rFonts w:eastAsia="Times New Roman" w:cs="Times New Roman"/>
          <w:lang w:eastAsia="de-DE"/>
        </w:rPr>
        <w:t xml:space="preserve">(und wer sich auf das Gerät setzt, auf dem der Fließende gesessen hat) - </w:t>
      </w:r>
      <w:r w:rsidRPr="00195E02">
        <w:rPr>
          <w:rFonts w:eastAsia="Times New Roman" w:cs="Times New Roman"/>
          <w:b/>
          <w:bCs/>
          <w:rtl/>
          <w:lang w:eastAsia="de-DE"/>
        </w:rPr>
        <w:t>היושב</w:t>
      </w:r>
      <w:r w:rsidRPr="00195E02">
        <w:rPr>
          <w:rFonts w:eastAsia="Times New Roman" w:cs="Times New Roman"/>
          <w:rtl/>
          <w:lang w:eastAsia="de-DE"/>
        </w:rPr>
        <w:t xml:space="preserve"> </w:t>
      </w:r>
      <w:r w:rsidRPr="00195E02">
        <w:rPr>
          <w:rFonts w:eastAsia="Times New Roman" w:cs="Times New Roman"/>
          <w:lang w:eastAsia="de-DE"/>
        </w:rPr>
        <w:t xml:space="preserve">(der sich Setzende) als Partizip, </w:t>
      </w:r>
      <w:r w:rsidRPr="00195E02">
        <w:rPr>
          <w:rFonts w:eastAsia="Times New Roman" w:cs="Times New Roman"/>
          <w:b/>
          <w:bCs/>
          <w:rtl/>
          <w:lang w:eastAsia="de-DE"/>
        </w:rPr>
        <w:t>על־הכלי</w:t>
      </w:r>
      <w:r w:rsidRPr="00195E02">
        <w:rPr>
          <w:rFonts w:eastAsia="Times New Roman" w:cs="Times New Roman"/>
          <w:rtl/>
          <w:lang w:eastAsia="de-DE"/>
        </w:rPr>
        <w:t xml:space="preserve"> </w:t>
      </w:r>
      <w:r w:rsidRPr="00195E02">
        <w:rPr>
          <w:rFonts w:eastAsia="Times New Roman" w:cs="Times New Roman"/>
          <w:lang w:eastAsia="de-DE"/>
        </w:rPr>
        <w:t>(auf das Gerät) aus V. 4.</w:t>
      </w:r>
    </w:p>
    <w:p w14:paraId="2B40A6A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exakt V. 5: Kleiderwaschung, Wasserbad und Unreinheit bis zum Abend.</w:t>
      </w:r>
    </w:p>
    <w:p w14:paraId="6A457B4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identischen Konsequenzen zu V. 5 zeigen, dass Berührung von Liegeflächen und Benutzung von Sitzgelegenheiten dieselbe Unreinheitsübertragung bewirken.</w:t>
      </w:r>
    </w:p>
    <w:p w14:paraId="0697384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übersetzt entsprechend V. 5 mit identischen griechischen Begriffen.</w:t>
      </w:r>
    </w:p>
    <w:p w14:paraId="7255A07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5: indirekter Kontakt + identische Reinigungsmaßnahmen + temporäre Unreinheit. Die parallele Struktur zeigt systematische Anwendung.</w:t>
      </w:r>
    </w:p>
    <w:p w14:paraId="59FA4F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identische Unreinheitsübertragung und Reinigungsverfahren bei Benutzung kontaminierter Sitzgelegenheiten.</w:t>
      </w:r>
    </w:p>
    <w:p w14:paraId="72BA3A31"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15,7</w:t>
      </w:r>
    </w:p>
    <w:p w14:paraId="6D57532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וְהַנֹּגֵ֖עַ בִּבְשַׂ֣ר הַזָּ֑ב יְכַבֵּ֧ס בְּגָדָ֛יו וְרָחַ֥ץ בַּמַּ֖יִם וְטָמֵ֥א עַד־הָעָֽרֶב׃</w:t>
      </w:r>
    </w:p>
    <w:p w14:paraId="4A1DC1A1" w14:textId="660CA6D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der, der das Fleisch des Fließenden berührt, soll seine Kleider waschen und soll sich im Wasser baden und soll unrein sein bis zum Abend.</w:t>
      </w:r>
    </w:p>
    <w:p w14:paraId="729A1BD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B2E49F7">
          <v:rect id="_x0000_i1454" style="width:0;height:1.5pt" o:hralign="center" o:hrstd="t" o:hr="t" fillcolor="#a0a0a0" stroked="f"/>
        </w:pict>
      </w:r>
    </w:p>
    <w:p w14:paraId="1D2A3B6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והנגע בבשר הזב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zeigt direkten Körperkontakt. </w:t>
      </w:r>
      <w:r w:rsidRPr="00195E02">
        <w:rPr>
          <w:rFonts w:eastAsia="Times New Roman" w:cs="Times New Roman"/>
          <w:b/>
          <w:bCs/>
          <w:rtl/>
          <w:lang w:eastAsia="de-DE"/>
        </w:rPr>
        <w:t>והנגע בבשר הזב</w:t>
      </w:r>
      <w:r w:rsidRPr="00195E02">
        <w:rPr>
          <w:rFonts w:eastAsia="Times New Roman" w:cs="Times New Roman"/>
          <w:rtl/>
          <w:lang w:eastAsia="de-DE"/>
        </w:rPr>
        <w:t xml:space="preserve"> </w:t>
      </w:r>
      <w:r w:rsidRPr="00195E02">
        <w:rPr>
          <w:rFonts w:eastAsia="Times New Roman" w:cs="Times New Roman"/>
          <w:lang w:eastAsia="de-DE"/>
        </w:rPr>
        <w:t xml:space="preserve">(und wer das Fleisch des Fließenden berührt) - </w:t>
      </w:r>
      <w:r w:rsidRPr="00195E02">
        <w:rPr>
          <w:rFonts w:eastAsia="Times New Roman" w:cs="Times New Roman"/>
          <w:b/>
          <w:bCs/>
          <w:rtl/>
          <w:lang w:eastAsia="de-DE"/>
        </w:rPr>
        <w:t>הנגע</w:t>
      </w:r>
      <w:r w:rsidRPr="00195E02">
        <w:rPr>
          <w:rFonts w:eastAsia="Times New Roman" w:cs="Times New Roman"/>
          <w:rtl/>
          <w:lang w:eastAsia="de-DE"/>
        </w:rPr>
        <w:t xml:space="preserve"> </w:t>
      </w:r>
      <w:r w:rsidRPr="00195E02">
        <w:rPr>
          <w:rFonts w:eastAsia="Times New Roman" w:cs="Times New Roman"/>
          <w:lang w:eastAsia="de-DE"/>
        </w:rPr>
        <w:t xml:space="preserve">(der Berührende) als Partizip, </w:t>
      </w:r>
      <w:r w:rsidRPr="00195E02">
        <w:rPr>
          <w:rFonts w:eastAsia="Times New Roman" w:cs="Times New Roman"/>
          <w:b/>
          <w:bCs/>
          <w:rtl/>
          <w:lang w:eastAsia="de-DE"/>
        </w:rPr>
        <w:t>בבשר הזב</w:t>
      </w:r>
      <w:r w:rsidRPr="00195E02">
        <w:rPr>
          <w:rFonts w:eastAsia="Times New Roman" w:cs="Times New Roman"/>
          <w:rtl/>
          <w:lang w:eastAsia="de-DE"/>
        </w:rPr>
        <w:t xml:space="preserve"> </w:t>
      </w:r>
      <w:r w:rsidRPr="00195E02">
        <w:rPr>
          <w:rFonts w:eastAsia="Times New Roman" w:cs="Times New Roman"/>
          <w:lang w:eastAsia="de-DE"/>
        </w:rPr>
        <w:t>(das Fleisch des Fließenden) zeigt direkten Hautkontakt im Unterschied zum indirekten Gegenstandskontakt aus V. 5-6.</w:t>
      </w:r>
    </w:p>
    <w:p w14:paraId="7836B36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exakt V. 5-6, zeigt aber, dass auch direkter Körperkontakt nur dieselbe temporäre Unreinheit bewirkt.</w:t>
      </w:r>
    </w:p>
    <w:p w14:paraId="658DDC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בבשר הזב</w:t>
      </w:r>
      <w:r w:rsidRPr="00195E02">
        <w:rPr>
          <w:rFonts w:eastAsia="Times New Roman" w:cs="Times New Roman"/>
          <w:rtl/>
          <w:lang w:eastAsia="de-DE"/>
        </w:rPr>
        <w:t xml:space="preserve"> </w:t>
      </w:r>
      <w:r w:rsidRPr="00195E02">
        <w:rPr>
          <w:rFonts w:eastAsia="Times New Roman" w:cs="Times New Roman"/>
          <w:lang w:eastAsia="de-DE"/>
        </w:rPr>
        <w:t>zeigt direkten Körperkontakt als intensivste Kontaminationsform. Die identischen Konsequenzen zu V. 5-6 zeigen, dass direkter und indirekter Kontakt dieselbe Unreinheitsdauer haben.</w:t>
      </w:r>
    </w:p>
    <w:p w14:paraId="0E43745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הנגע</w:t>
      </w:r>
      <w:r w:rsidRPr="00195E02">
        <w:rPr>
          <w:rFonts w:eastAsia="Times New Roman" w:cs="Times New Roman"/>
          <w:rtl/>
          <w:lang w:eastAsia="de-DE"/>
        </w:rPr>
        <w:t xml:space="preserve"> </w:t>
      </w:r>
      <w:r w:rsidRPr="00195E02">
        <w:rPr>
          <w:rFonts w:eastAsia="Times New Roman" w:cs="Times New Roman"/>
          <w:lang w:eastAsia="de-DE"/>
        </w:rPr>
        <w:t>mit ὁ ἁπ</w:t>
      </w:r>
      <w:proofErr w:type="spellStart"/>
      <w:r w:rsidRPr="00195E02">
        <w:rPr>
          <w:rFonts w:eastAsia="Times New Roman" w:cs="Times New Roman"/>
          <w:lang w:eastAsia="de-DE"/>
        </w:rPr>
        <w:t>τόμενος</w:t>
      </w:r>
      <w:proofErr w:type="spellEnd"/>
      <w:r w:rsidRPr="00195E02">
        <w:rPr>
          <w:rFonts w:eastAsia="Times New Roman" w:cs="Times New Roman"/>
          <w:lang w:eastAsia="de-DE"/>
        </w:rPr>
        <w:t xml:space="preserve"> (der Berührende), </w:t>
      </w:r>
      <w:r w:rsidRPr="00195E02">
        <w:rPr>
          <w:rFonts w:eastAsia="Times New Roman" w:cs="Times New Roman"/>
          <w:b/>
          <w:bCs/>
          <w:rtl/>
          <w:lang w:eastAsia="de-DE"/>
        </w:rPr>
        <w:t>בבשר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χρωτὸς</w:t>
      </w:r>
      <w:proofErr w:type="spellEnd"/>
      <w:r w:rsidRPr="00195E02">
        <w:rPr>
          <w:rFonts w:eastAsia="Times New Roman" w:cs="Times New Roman"/>
          <w:lang w:eastAsia="de-DE"/>
        </w:rPr>
        <w:t xml:space="preserve"> (der Haut) und die Konsequenzen entsprechend V. 5.</w:t>
      </w:r>
    </w:p>
    <w:p w14:paraId="4CD34C4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V. 5-6: direkter Körperkontakt + identische Reinigungsmaßnahmen + temporäre Unreinheit. Die parallele Struktur zeigt einheitliche Behandlung verschiedener Kontaktarten.</w:t>
      </w:r>
    </w:p>
    <w:p w14:paraId="61231B3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dass direkter Körperkontakt mit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dieselben Reinigungsmaßnahmen und Unreinheitsdauer bewirkt wie indirekter Kontakt.</w:t>
      </w:r>
    </w:p>
    <w:p w14:paraId="1AD8B0E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15,8</w:t>
      </w:r>
    </w:p>
    <w:p w14:paraId="06075B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וְכִֽי־יָרֹ֛ק הַזָּ֖ב בַּטָּה֑וֹר וְכִבֶּ֧ס בְּגָדָ֛יו וְרָחַ֥ץ בַּמַּ֖יִם וְטָמֵ֥א עַד־הָעָֽרֶב׃</w:t>
      </w:r>
    </w:p>
    <w:p w14:paraId="634164E0" w14:textId="0B8B910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wenn der Fließende auf einen Reinen spuckt, so soll er seine Kleider waschen und soll sich im Wasser baden und soll unrein sein bis zum Abend.</w:t>
      </w:r>
    </w:p>
    <w:p w14:paraId="5EC7C09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9D876A7">
          <v:rect id="_x0000_i1455" style="width:0;height:1.5pt" o:hralign="center" o:hrstd="t" o:hr="t" fillcolor="#a0a0a0" stroked="f"/>
        </w:pict>
      </w:r>
    </w:p>
    <w:p w14:paraId="303330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וכי־ירק הזב בטהור 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zeigt Kontamination durch Körpersekrete. </w:t>
      </w:r>
      <w:r w:rsidRPr="00195E02">
        <w:rPr>
          <w:rFonts w:eastAsia="Times New Roman" w:cs="Times New Roman"/>
          <w:b/>
          <w:bCs/>
          <w:rtl/>
          <w:lang w:eastAsia="de-DE"/>
        </w:rPr>
        <w:t>וכי־ירק הזב בטהור</w:t>
      </w:r>
      <w:r w:rsidRPr="00195E02">
        <w:rPr>
          <w:rFonts w:eastAsia="Times New Roman" w:cs="Times New Roman"/>
          <w:rtl/>
          <w:lang w:eastAsia="de-DE"/>
        </w:rPr>
        <w:t xml:space="preserve"> </w:t>
      </w:r>
      <w:r w:rsidRPr="00195E02">
        <w:rPr>
          <w:rFonts w:eastAsia="Times New Roman" w:cs="Times New Roman"/>
          <w:lang w:eastAsia="de-DE"/>
        </w:rPr>
        <w:t xml:space="preserve">(und wenn der Fließende auf einen Reinen spuckt) - </w:t>
      </w:r>
      <w:r w:rsidRPr="00195E02">
        <w:rPr>
          <w:rFonts w:eastAsia="Times New Roman" w:cs="Times New Roman"/>
          <w:b/>
          <w:bCs/>
          <w:rtl/>
          <w:lang w:eastAsia="de-DE"/>
        </w:rPr>
        <w:t>ירק</w:t>
      </w:r>
      <w:r w:rsidRPr="00195E02">
        <w:rPr>
          <w:rFonts w:eastAsia="Times New Roman" w:cs="Times New Roman"/>
          <w:rtl/>
          <w:lang w:eastAsia="de-DE"/>
        </w:rPr>
        <w:t xml:space="preserve"> </w:t>
      </w:r>
      <w:r w:rsidRPr="00195E02">
        <w:rPr>
          <w:rFonts w:eastAsia="Times New Roman" w:cs="Times New Roman"/>
          <w:lang w:eastAsia="de-DE"/>
        </w:rPr>
        <w:t xml:space="preserve">(spuckt) im Qal-Imperfekt von </w:t>
      </w:r>
      <w:r w:rsidRPr="00195E02">
        <w:rPr>
          <w:rFonts w:eastAsia="Times New Roman" w:cs="Times New Roman"/>
          <w:b/>
          <w:bCs/>
          <w:rtl/>
          <w:lang w:eastAsia="de-DE"/>
        </w:rPr>
        <w:t>ירק</w:t>
      </w:r>
      <w:r w:rsidRPr="00195E02">
        <w:rPr>
          <w:rFonts w:eastAsia="Times New Roman" w:cs="Times New Roman"/>
          <w:rtl/>
          <w:lang w:eastAsia="de-DE"/>
        </w:rPr>
        <w:t xml:space="preserve"> </w:t>
      </w:r>
      <w:r w:rsidRPr="00195E02">
        <w:rPr>
          <w:rFonts w:eastAsia="Times New Roman" w:cs="Times New Roman"/>
          <w:lang w:eastAsia="de-DE"/>
        </w:rPr>
        <w:t xml:space="preserve">(spucken), </w:t>
      </w:r>
      <w:r w:rsidRPr="00195E02">
        <w:rPr>
          <w:rFonts w:eastAsia="Times New Roman" w:cs="Times New Roman"/>
          <w:b/>
          <w:bCs/>
          <w:rtl/>
          <w:lang w:eastAsia="de-DE"/>
        </w:rPr>
        <w:t>בטהור</w:t>
      </w:r>
      <w:r w:rsidRPr="00195E02">
        <w:rPr>
          <w:rFonts w:eastAsia="Times New Roman" w:cs="Times New Roman"/>
          <w:rtl/>
          <w:lang w:eastAsia="de-DE"/>
        </w:rPr>
        <w:t xml:space="preserve"> </w:t>
      </w:r>
      <w:r w:rsidRPr="00195E02">
        <w:rPr>
          <w:rFonts w:eastAsia="Times New Roman" w:cs="Times New Roman"/>
          <w:lang w:eastAsia="de-DE"/>
        </w:rPr>
        <w:t>(auf einen Reinen) zeigt den Empfänger der Kontamination.</w:t>
      </w:r>
    </w:p>
    <w:p w14:paraId="36D1BC1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exakt V. 5-7 für die Reinigungsmaßnahmen und Unreinheitsdauer.</w:t>
      </w:r>
    </w:p>
    <w:p w14:paraId="272993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ירק בטהור</w:t>
      </w:r>
      <w:r w:rsidRPr="00195E02">
        <w:rPr>
          <w:rFonts w:eastAsia="Times New Roman" w:cs="Times New Roman"/>
          <w:rtl/>
          <w:lang w:eastAsia="de-DE"/>
        </w:rPr>
        <w:t xml:space="preserve"> </w:t>
      </w:r>
      <w:r w:rsidRPr="00195E02">
        <w:rPr>
          <w:rFonts w:eastAsia="Times New Roman" w:cs="Times New Roman"/>
          <w:lang w:eastAsia="de-DE"/>
        </w:rPr>
        <w:t xml:space="preserve">zeigt Übertragung durch Speichel als zusätzliche Kontaminationsart. </w:t>
      </w:r>
      <w:r w:rsidRPr="00195E02">
        <w:rPr>
          <w:rFonts w:eastAsia="Times New Roman" w:cs="Times New Roman"/>
          <w:b/>
          <w:bCs/>
          <w:rtl/>
          <w:lang w:eastAsia="de-DE"/>
        </w:rPr>
        <w:t>בטהור</w:t>
      </w:r>
      <w:r w:rsidRPr="00195E02">
        <w:rPr>
          <w:rFonts w:eastAsia="Times New Roman" w:cs="Times New Roman"/>
          <w:rtl/>
          <w:lang w:eastAsia="de-DE"/>
        </w:rPr>
        <w:t xml:space="preserve"> </w:t>
      </w:r>
      <w:r w:rsidRPr="00195E02">
        <w:rPr>
          <w:rFonts w:eastAsia="Times New Roman" w:cs="Times New Roman"/>
          <w:lang w:eastAsia="de-DE"/>
        </w:rPr>
        <w:t>betont den Zustandswechsel von rein zu unrein. Die identischen Konsequenzen zeigen einheitliche Behandlung aller Kontaminationsarten.</w:t>
      </w:r>
    </w:p>
    <w:p w14:paraId="0105B03F" w14:textId="0809F3D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ירק</w:t>
      </w:r>
      <w:r w:rsidR="00523826">
        <w:t xml:space="preserve"> (</w:t>
      </w:r>
      <w:proofErr w:type="spellStart"/>
      <w:r w:rsidR="00523826">
        <w:t>yaraq</w:t>
      </w:r>
      <w:proofErr w:type="spellEnd"/>
      <w:r w:rsidR="00523826">
        <w:t xml:space="preserve"> - "spucken") als π</w:t>
      </w:r>
      <w:proofErr w:type="spellStart"/>
      <w:r w:rsidR="00523826">
        <w:t>ροσσιελίσῃ</w:t>
      </w:r>
      <w:proofErr w:type="spellEnd"/>
      <w:r w:rsidR="00523826">
        <w:t xml:space="preserve"> (speicheln/sabbern), was eine spezifischere Beschreibung der Körperflüssigkeitsübertragung darstellt.</w:t>
      </w:r>
    </w:p>
    <w:p w14:paraId="5247133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V. 5-7: spezielle Kontaminationsart + identische Reinigungsmaßnahmen + temporäre Unreinheit. Die parallele Struktur zeigt systematische Erfassung aller Kontaktformen.</w:t>
      </w:r>
    </w:p>
    <w:p w14:paraId="0BB9E76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Speichelkontamination als weitere Übertragungsart mit denselben Reinigungskonsequenzen.</w:t>
      </w:r>
    </w:p>
    <w:p w14:paraId="21E5BD4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15,9</w:t>
      </w:r>
    </w:p>
    <w:p w14:paraId="059A673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וְכָל־הַמֶּרְכָּ֗ב אֲשֶׁ֨ר יִרְכַּ֥ב עָלָ֛יו הַזָּ֖ב יִטְמָֽא׃</w:t>
      </w:r>
    </w:p>
    <w:p w14:paraId="0F7590F4" w14:textId="78CB731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Sitz, auf dem der Fließende reitet, wird unrein sein.</w:t>
      </w:r>
    </w:p>
    <w:p w14:paraId="2C46A56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EFED1E8">
          <v:rect id="_x0000_i1456" style="width:0;height:1.5pt" o:hralign="center" o:hrstd="t" o:hr="t" fillcolor="#a0a0a0" stroked="f"/>
        </w:pict>
      </w:r>
    </w:p>
    <w:p w14:paraId="2D4516B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וכל־המרכב אשר ירכב עליו הזב יטמא</w:t>
      </w:r>
      <w:r w:rsidRPr="00195E02">
        <w:rPr>
          <w:rFonts w:eastAsia="Times New Roman" w:cs="Times New Roman"/>
          <w:rtl/>
          <w:lang w:eastAsia="de-DE"/>
        </w:rPr>
        <w:t xml:space="preserve"> </w:t>
      </w:r>
      <w:r w:rsidRPr="00195E02">
        <w:rPr>
          <w:rFonts w:eastAsia="Times New Roman" w:cs="Times New Roman"/>
          <w:lang w:eastAsia="de-DE"/>
        </w:rPr>
        <w:t xml:space="preserve">erweitert die kontaminierten Gegenstände um Reitsättel. </w:t>
      </w:r>
      <w:r w:rsidRPr="00195E02">
        <w:rPr>
          <w:rFonts w:eastAsia="Times New Roman" w:cs="Times New Roman"/>
          <w:b/>
          <w:bCs/>
          <w:rtl/>
          <w:lang w:eastAsia="de-DE"/>
        </w:rPr>
        <w:t>וכל־המרכב</w:t>
      </w:r>
      <w:r w:rsidRPr="00195E02">
        <w:rPr>
          <w:rFonts w:eastAsia="Times New Roman" w:cs="Times New Roman"/>
          <w:rtl/>
          <w:lang w:eastAsia="de-DE"/>
        </w:rPr>
        <w:t xml:space="preserve"> </w:t>
      </w:r>
      <w:r w:rsidRPr="00195E02">
        <w:rPr>
          <w:rFonts w:eastAsia="Times New Roman" w:cs="Times New Roman"/>
          <w:lang w:eastAsia="de-DE"/>
        </w:rPr>
        <w:t xml:space="preserve">(und jeder Reitsattel) - </w:t>
      </w:r>
      <w:r w:rsidRPr="00195E02">
        <w:rPr>
          <w:rFonts w:eastAsia="Times New Roman" w:cs="Times New Roman"/>
          <w:b/>
          <w:bCs/>
          <w:rtl/>
          <w:lang w:eastAsia="de-DE"/>
        </w:rPr>
        <w:t>מרכב</w:t>
      </w:r>
      <w:r w:rsidRPr="00195E02">
        <w:rPr>
          <w:rFonts w:eastAsia="Times New Roman" w:cs="Times New Roman"/>
          <w:rtl/>
          <w:lang w:eastAsia="de-DE"/>
        </w:rPr>
        <w:t xml:space="preserve"> </w:t>
      </w:r>
      <w:r w:rsidRPr="00195E02">
        <w:rPr>
          <w:rFonts w:eastAsia="Times New Roman" w:cs="Times New Roman"/>
          <w:lang w:eastAsia="de-DE"/>
        </w:rPr>
        <w:t xml:space="preserve">(Reitsattel/Fahrzeug) von </w:t>
      </w:r>
      <w:r w:rsidRPr="00195E02">
        <w:rPr>
          <w:rFonts w:eastAsia="Times New Roman" w:cs="Times New Roman"/>
          <w:b/>
          <w:bCs/>
          <w:rtl/>
          <w:lang w:eastAsia="de-DE"/>
        </w:rPr>
        <w:t>רכב</w:t>
      </w:r>
      <w:r w:rsidRPr="00195E02">
        <w:rPr>
          <w:rFonts w:eastAsia="Times New Roman" w:cs="Times New Roman"/>
          <w:rtl/>
          <w:lang w:eastAsia="de-DE"/>
        </w:rPr>
        <w:t xml:space="preserve"> </w:t>
      </w:r>
      <w:r w:rsidRPr="00195E02">
        <w:rPr>
          <w:rFonts w:eastAsia="Times New Roman" w:cs="Times New Roman"/>
          <w:lang w:eastAsia="de-DE"/>
        </w:rPr>
        <w:t xml:space="preserve">(reiten/fahren). </w:t>
      </w:r>
      <w:r w:rsidRPr="00195E02">
        <w:rPr>
          <w:rFonts w:eastAsia="Times New Roman" w:cs="Times New Roman"/>
          <w:b/>
          <w:bCs/>
          <w:rtl/>
          <w:lang w:eastAsia="de-DE"/>
        </w:rPr>
        <w:t>אשר ירכב עליו הזב</w:t>
      </w:r>
      <w:r w:rsidRPr="00195E02">
        <w:rPr>
          <w:rFonts w:eastAsia="Times New Roman" w:cs="Times New Roman"/>
          <w:rtl/>
          <w:lang w:eastAsia="de-DE"/>
        </w:rPr>
        <w:t xml:space="preserve"> </w:t>
      </w:r>
      <w:r w:rsidRPr="00195E02">
        <w:rPr>
          <w:rFonts w:eastAsia="Times New Roman" w:cs="Times New Roman"/>
          <w:lang w:eastAsia="de-DE"/>
        </w:rPr>
        <w:t xml:space="preserve">(auf dem der Fließende reitet) - </w:t>
      </w:r>
      <w:r w:rsidRPr="00195E02">
        <w:rPr>
          <w:rFonts w:eastAsia="Times New Roman" w:cs="Times New Roman"/>
          <w:b/>
          <w:bCs/>
          <w:rtl/>
          <w:lang w:eastAsia="de-DE"/>
        </w:rPr>
        <w:t>ירכב</w:t>
      </w:r>
      <w:r w:rsidRPr="00195E02">
        <w:rPr>
          <w:rFonts w:eastAsia="Times New Roman" w:cs="Times New Roman"/>
          <w:rtl/>
          <w:lang w:eastAsia="de-DE"/>
        </w:rPr>
        <w:t xml:space="preserve"> </w:t>
      </w:r>
      <w:r w:rsidRPr="00195E02">
        <w:rPr>
          <w:rFonts w:eastAsia="Times New Roman" w:cs="Times New Roman"/>
          <w:lang w:eastAsia="de-DE"/>
        </w:rPr>
        <w:t xml:space="preserve">(reitet) im Qal-Imperfekt. </w:t>
      </w:r>
      <w:r w:rsidRPr="00195E02">
        <w:rPr>
          <w:rFonts w:eastAsia="Times New Roman" w:cs="Times New Roman"/>
          <w:b/>
          <w:bCs/>
          <w:rtl/>
          <w:lang w:eastAsia="de-DE"/>
        </w:rPr>
        <w:t>יטמא</w:t>
      </w:r>
      <w:r w:rsidRPr="00195E02">
        <w:rPr>
          <w:rFonts w:eastAsia="Times New Roman" w:cs="Times New Roman"/>
          <w:rtl/>
          <w:lang w:eastAsia="de-DE"/>
        </w:rPr>
        <w:t xml:space="preserve"> </w:t>
      </w:r>
      <w:r w:rsidRPr="00195E02">
        <w:rPr>
          <w:rFonts w:eastAsia="Times New Roman" w:cs="Times New Roman"/>
          <w:lang w:eastAsia="de-DE"/>
        </w:rPr>
        <w:t>(wird unrein) entspricht V. 4.</w:t>
      </w:r>
    </w:p>
    <w:p w14:paraId="4E848B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המרכב</w:t>
      </w:r>
      <w:r w:rsidRPr="00195E02">
        <w:rPr>
          <w:rFonts w:eastAsia="Times New Roman" w:cs="Times New Roman"/>
          <w:rtl/>
          <w:lang w:eastAsia="de-DE"/>
        </w:rPr>
        <w:t xml:space="preserve"> </w:t>
      </w:r>
      <w:r w:rsidRPr="00195E02">
        <w:rPr>
          <w:rFonts w:eastAsia="Times New Roman" w:cs="Times New Roman"/>
          <w:lang w:eastAsia="de-DE"/>
        </w:rPr>
        <w:t>als spezielle Kategorie für Transportmittel erweitert die Liste der kontaminierbaren Gegenstände über Lager und Sitzgelegenheiten hinaus. Die kurze Formulierung ohne Folgebestimmungen lässt V. 10 die Konsequenzen regeln.</w:t>
      </w:r>
    </w:p>
    <w:p w14:paraId="4DDBEF06" w14:textId="3B32071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interpretiert </w:t>
      </w:r>
      <w:r w:rsidR="00523826">
        <w:rPr>
          <w:rtl/>
        </w:rPr>
        <w:t>מרכב</w:t>
      </w:r>
      <w:r w:rsidR="00523826">
        <w:t xml:space="preserve"> (</w:t>
      </w:r>
      <w:proofErr w:type="spellStart"/>
      <w:r w:rsidR="00523826">
        <w:t>merkav</w:t>
      </w:r>
      <w:proofErr w:type="spellEnd"/>
      <w:r w:rsidR="00523826">
        <w:t xml:space="preserve"> - "Reittier/Sattel") als ἐπ</w:t>
      </w:r>
      <w:proofErr w:type="spellStart"/>
      <w:r w:rsidR="00523826">
        <w:t>ίσ</w:t>
      </w:r>
      <w:proofErr w:type="spellEnd"/>
      <w:r w:rsidR="00523826">
        <w:t xml:space="preserve">αγμα </w:t>
      </w:r>
      <w:proofErr w:type="spellStart"/>
      <w:r w:rsidR="00523826">
        <w:t>ὄνου</w:t>
      </w:r>
      <w:proofErr w:type="spellEnd"/>
      <w:r w:rsidR="00523826">
        <w:t xml:space="preserve"> (Eselsattel), was eine spezifische Identifikation des Transportmittels zeigt.</w:t>
      </w:r>
    </w:p>
    <w:p w14:paraId="096DA36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Gegenstandserweiterung: universelle Reitsättel + Kontaktspezifikation + automatische Unreinheit. Die knappe Struktur erweitert systematisch die kontaminierbaren Objekte.</w:t>
      </w:r>
    </w:p>
    <w:p w14:paraId="4E237C2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erweitert die automatische Kontamination auf alle Reitsättel und Transportmittel.</w:t>
      </w:r>
    </w:p>
    <w:p w14:paraId="425F42DB"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15,10</w:t>
      </w:r>
    </w:p>
    <w:p w14:paraId="5B949F1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וְכָל־הַנֹּגֵ֗עַ בְּכֹל֙ אֲשֶׁ֣ר יִהְיֶ֣ה תַחְתָּ֔יו יִטְמָ֖א עַד־הָעָ֑רֶב וְהַנּוֹשֵׂ֣א אוֹתָ֔ם יְכַבֵּ֧ס בְּגָדָ֛יו וְרָחַ֥ץ בַּמַּ֖יִם וְטָמֵ֥א עַד־הָעָֽרֶב׃</w:t>
      </w:r>
    </w:p>
    <w:p w14:paraId="6FA89696" w14:textId="58D583D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der irgendetwas berührt, was unter ihm gewesen ist, wird unrein sein bis zum Abend; und der, der es trägt, soll seine Kleider waschen und soll sich im Wasser baden und soll bis zum Abend unrein sein.</w:t>
      </w:r>
    </w:p>
    <w:p w14:paraId="31A5F92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0C763C9">
          <v:rect id="_x0000_i1457" style="width:0;height:1.5pt" o:hralign="center" o:hrstd="t" o:hr="t" fillcolor="#a0a0a0" stroked="f"/>
        </w:pict>
      </w:r>
    </w:p>
    <w:p w14:paraId="4753D5A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וכל־הנגע בכל אשר יהיה תחתיו יטמא עד־הערב והנושא אותם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regelt zwei Kontaktarten mit kontaminierten Gegenständen. </w:t>
      </w:r>
      <w:r w:rsidRPr="00195E02">
        <w:rPr>
          <w:rFonts w:eastAsia="Times New Roman" w:cs="Times New Roman"/>
          <w:b/>
          <w:bCs/>
          <w:rtl/>
          <w:lang w:eastAsia="de-DE"/>
        </w:rPr>
        <w:t>וכל־הנגע בכל אשר יהיה תחתיו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(und jeder, der irgendetwas berührt, was unter ihm gewesen ist, wird unrein sein bis zum Abend) - </w:t>
      </w:r>
      <w:r w:rsidRPr="00195E02">
        <w:rPr>
          <w:rFonts w:eastAsia="Times New Roman" w:cs="Times New Roman"/>
          <w:b/>
          <w:bCs/>
          <w:rtl/>
          <w:lang w:eastAsia="de-DE"/>
        </w:rPr>
        <w:t>הנגע</w:t>
      </w:r>
      <w:r w:rsidRPr="00195E02">
        <w:rPr>
          <w:rFonts w:eastAsia="Times New Roman" w:cs="Times New Roman"/>
          <w:rtl/>
          <w:lang w:eastAsia="de-DE"/>
        </w:rPr>
        <w:t xml:space="preserve"> </w:t>
      </w:r>
      <w:r w:rsidRPr="00195E02">
        <w:rPr>
          <w:rFonts w:eastAsia="Times New Roman" w:cs="Times New Roman"/>
          <w:lang w:eastAsia="de-DE"/>
        </w:rPr>
        <w:t xml:space="preserve">(der Berührende), </w:t>
      </w:r>
      <w:r w:rsidRPr="00195E02">
        <w:rPr>
          <w:rFonts w:eastAsia="Times New Roman" w:cs="Times New Roman"/>
          <w:b/>
          <w:bCs/>
          <w:rtl/>
          <w:lang w:eastAsia="de-DE"/>
        </w:rPr>
        <w:t>בכל אשר יהיה תחתיו</w:t>
      </w:r>
      <w:r w:rsidRPr="00195E02">
        <w:rPr>
          <w:rFonts w:eastAsia="Times New Roman" w:cs="Times New Roman"/>
          <w:rtl/>
          <w:lang w:eastAsia="de-DE"/>
        </w:rPr>
        <w:t xml:space="preserve"> </w:t>
      </w:r>
      <w:r w:rsidRPr="00195E02">
        <w:rPr>
          <w:rFonts w:eastAsia="Times New Roman" w:cs="Times New Roman"/>
          <w:lang w:eastAsia="de-DE"/>
        </w:rPr>
        <w:t xml:space="preserve">(irgendetwas, was unter ihm gewesen ist) umfasst alle Gegenstände, die der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berührt hat.</w:t>
      </w:r>
    </w:p>
    <w:p w14:paraId="763795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והנושא אותם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(und wer es trägt, soll seine Kleider waschen und in Wasser baden und unrein sein bis zum Abend) - </w:t>
      </w:r>
      <w:r w:rsidRPr="00195E02">
        <w:rPr>
          <w:rFonts w:eastAsia="Times New Roman" w:cs="Times New Roman"/>
          <w:b/>
          <w:bCs/>
          <w:rtl/>
          <w:lang w:eastAsia="de-DE"/>
        </w:rPr>
        <w:t>הנושא</w:t>
      </w:r>
      <w:r w:rsidRPr="00195E02">
        <w:rPr>
          <w:rFonts w:eastAsia="Times New Roman" w:cs="Times New Roman"/>
          <w:rtl/>
          <w:lang w:eastAsia="de-DE"/>
        </w:rPr>
        <w:t xml:space="preserve"> </w:t>
      </w:r>
      <w:r w:rsidRPr="00195E02">
        <w:rPr>
          <w:rFonts w:eastAsia="Times New Roman" w:cs="Times New Roman"/>
          <w:lang w:eastAsia="de-DE"/>
        </w:rPr>
        <w:t xml:space="preserve">(der Tragende) zeigt intensiveren Kontakt als bloße Berührung. </w:t>
      </w:r>
      <w:r w:rsidRPr="00195E02">
        <w:rPr>
          <w:rFonts w:eastAsia="Times New Roman" w:cs="Times New Roman"/>
          <w:b/>
          <w:bCs/>
          <w:rtl/>
          <w:lang w:eastAsia="de-DE"/>
        </w:rPr>
        <w:t>אותם</w:t>
      </w:r>
      <w:r w:rsidRPr="00195E02">
        <w:rPr>
          <w:rFonts w:eastAsia="Times New Roman" w:cs="Times New Roman"/>
          <w:rtl/>
          <w:lang w:eastAsia="de-DE"/>
        </w:rPr>
        <w:t xml:space="preserve"> </w:t>
      </w:r>
      <w:r w:rsidRPr="00195E02">
        <w:rPr>
          <w:rFonts w:eastAsia="Times New Roman" w:cs="Times New Roman"/>
          <w:lang w:eastAsia="de-DE"/>
        </w:rPr>
        <w:t>(sie) bezieht sich auf die kontaminierten Gegenstände.</w:t>
      </w:r>
    </w:p>
    <w:p w14:paraId="4D7C722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בכל אשר יהיה תחתיו</w:t>
      </w:r>
      <w:r w:rsidRPr="00195E02">
        <w:rPr>
          <w:rFonts w:eastAsia="Times New Roman" w:cs="Times New Roman"/>
          <w:rtl/>
          <w:lang w:eastAsia="de-DE"/>
        </w:rPr>
        <w:t xml:space="preserve"> </w:t>
      </w:r>
      <w:r w:rsidRPr="00195E02">
        <w:rPr>
          <w:rFonts w:eastAsia="Times New Roman" w:cs="Times New Roman"/>
          <w:lang w:eastAsia="de-DE"/>
        </w:rPr>
        <w:t xml:space="preserve">zeigt umfassende Kontamination aller Gegenstände. </w:t>
      </w:r>
      <w:r w:rsidRPr="00195E02">
        <w:rPr>
          <w:rFonts w:eastAsia="Times New Roman" w:cs="Times New Roman"/>
          <w:b/>
          <w:bCs/>
          <w:rtl/>
          <w:lang w:eastAsia="de-DE"/>
        </w:rPr>
        <w:t>הנושא</w:t>
      </w:r>
      <w:r w:rsidRPr="00195E02">
        <w:rPr>
          <w:rFonts w:eastAsia="Times New Roman" w:cs="Times New Roman"/>
          <w:rtl/>
          <w:lang w:eastAsia="de-DE"/>
        </w:rPr>
        <w:t xml:space="preserve"> </w:t>
      </w:r>
      <w:r w:rsidRPr="00195E02">
        <w:rPr>
          <w:rFonts w:eastAsia="Times New Roman" w:cs="Times New Roman"/>
          <w:lang w:eastAsia="de-DE"/>
        </w:rPr>
        <w:t xml:space="preserve">zeigt intensiveren Kontakt als </w:t>
      </w:r>
      <w:r w:rsidRPr="00195E02">
        <w:rPr>
          <w:rFonts w:eastAsia="Times New Roman" w:cs="Times New Roman"/>
          <w:b/>
          <w:bCs/>
          <w:rtl/>
          <w:lang w:eastAsia="de-DE"/>
        </w:rPr>
        <w:t>הנגע</w:t>
      </w:r>
      <w:r w:rsidRPr="00195E02">
        <w:rPr>
          <w:rFonts w:eastAsia="Times New Roman" w:cs="Times New Roman"/>
          <w:lang w:eastAsia="de-DE"/>
        </w:rPr>
        <w:t>, erhält aber nur zusätzliche Reinigungsmaßnahmen, nicht längere Unreinheit.</w:t>
      </w:r>
    </w:p>
    <w:p w14:paraId="3A35528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הנגע</w:t>
      </w:r>
      <w:r w:rsidRPr="00195E02">
        <w:rPr>
          <w:rFonts w:eastAsia="Times New Roman" w:cs="Times New Roman"/>
          <w:rtl/>
          <w:lang w:eastAsia="de-DE"/>
        </w:rPr>
        <w:t xml:space="preserve"> </w:t>
      </w:r>
      <w:r w:rsidRPr="00195E02">
        <w:rPr>
          <w:rFonts w:eastAsia="Times New Roman" w:cs="Times New Roman"/>
          <w:lang w:eastAsia="de-DE"/>
        </w:rPr>
        <w:t>mit ὁ ἁπ</w:t>
      </w:r>
      <w:proofErr w:type="spellStart"/>
      <w:r w:rsidRPr="00195E02">
        <w:rPr>
          <w:rFonts w:eastAsia="Times New Roman" w:cs="Times New Roman"/>
          <w:lang w:eastAsia="de-DE"/>
        </w:rPr>
        <w:t>τόμενος</w:t>
      </w:r>
      <w:proofErr w:type="spellEnd"/>
      <w:r w:rsidRPr="00195E02">
        <w:rPr>
          <w:rFonts w:eastAsia="Times New Roman" w:cs="Times New Roman"/>
          <w:lang w:eastAsia="de-DE"/>
        </w:rPr>
        <w:t xml:space="preserve"> (der Berührende), </w:t>
      </w:r>
      <w:r w:rsidRPr="00195E02">
        <w:rPr>
          <w:rFonts w:eastAsia="Times New Roman" w:cs="Times New Roman"/>
          <w:b/>
          <w:bCs/>
          <w:rtl/>
          <w:lang w:eastAsia="de-DE"/>
        </w:rPr>
        <w:t>תחתיו</w:t>
      </w:r>
      <w:r w:rsidRPr="00195E02">
        <w:rPr>
          <w:rFonts w:eastAsia="Times New Roman" w:cs="Times New Roman"/>
          <w:rtl/>
          <w:lang w:eastAsia="de-DE"/>
        </w:rPr>
        <w:t xml:space="preserve"> </w:t>
      </w:r>
      <w:r w:rsidRPr="00195E02">
        <w:rPr>
          <w:rFonts w:eastAsia="Times New Roman" w:cs="Times New Roman"/>
          <w:lang w:eastAsia="de-DE"/>
        </w:rPr>
        <w:t>mit ὑπ</w:t>
      </w:r>
      <w:proofErr w:type="spellStart"/>
      <w:r w:rsidRPr="00195E02">
        <w:rPr>
          <w:rFonts w:eastAsia="Times New Roman" w:cs="Times New Roman"/>
          <w:lang w:eastAsia="de-DE"/>
        </w:rPr>
        <w:t>οκάτω</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(unter ihm) und </w:t>
      </w:r>
      <w:r w:rsidRPr="00195E02">
        <w:rPr>
          <w:rFonts w:eastAsia="Times New Roman" w:cs="Times New Roman"/>
          <w:b/>
          <w:bCs/>
          <w:rtl/>
          <w:lang w:eastAsia="de-DE"/>
        </w:rPr>
        <w:t>הנושא</w:t>
      </w:r>
      <w:r w:rsidRPr="00195E02">
        <w:rPr>
          <w:rFonts w:eastAsia="Times New Roman" w:cs="Times New Roman"/>
          <w:rtl/>
          <w:lang w:eastAsia="de-DE"/>
        </w:rPr>
        <w:t xml:space="preserve"> </w:t>
      </w:r>
      <w:r w:rsidRPr="00195E02">
        <w:rPr>
          <w:rFonts w:eastAsia="Times New Roman" w:cs="Times New Roman"/>
          <w:lang w:eastAsia="de-DE"/>
        </w:rPr>
        <w:t>mit ὁ α</w:t>
      </w:r>
      <w:proofErr w:type="spellStart"/>
      <w:r w:rsidRPr="00195E02">
        <w:rPr>
          <w:rFonts w:eastAsia="Times New Roman" w:cs="Times New Roman"/>
          <w:lang w:eastAsia="de-DE"/>
        </w:rPr>
        <w:t>ἴρων</w:t>
      </w:r>
      <w:proofErr w:type="spellEnd"/>
      <w:r w:rsidRPr="00195E02">
        <w:rPr>
          <w:rFonts w:eastAsia="Times New Roman" w:cs="Times New Roman"/>
          <w:lang w:eastAsia="de-DE"/>
        </w:rPr>
        <w:t xml:space="preserve"> (der Aufhebende).</w:t>
      </w:r>
    </w:p>
    <w:p w14:paraId="2AAB327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abgestufte Kontamination: umfassende Berührung mit einfacher Unreinheit + intensiver Kontakt mit zusätzlichen Reinigungsmaßnahmen. Die Struktur zeigt differenzierte Behandlung nach Kontaktintensität.</w:t>
      </w:r>
    </w:p>
    <w:p w14:paraId="04BC1F5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differenziert zwischen Berührung (nur temporäre Unreinheit) und Tragen (zusätzliche Reinigungsmaßnahmen) kontaminierter Gegenstände.</w:t>
      </w:r>
    </w:p>
    <w:p w14:paraId="400B9FE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15,11</w:t>
      </w:r>
    </w:p>
    <w:p w14:paraId="1902437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 אֲשֶׁ֤ר יִגַּע־בּוֹ֙ הַזָּ֔ב וְיָדָ֖יו לֹא־שָׁטַ֣ף בַּמָּ֑יִם וְכִבֶּ֧ס בְּגָדָ֛יו וְרָחַ֥ץ בַּמַּ֖יִם וְטָמֵ֥א עַד־הָעָֽרֶב׃</w:t>
      </w:r>
    </w:p>
    <w:p w14:paraId="06E26727" w14:textId="4502B14C"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den der Fließende berührt, und er hat seine Hände nicht mit Wasser abgespült, so soll er seine Kleider waschen und soll sich im Wasser baden und soll unrein sein bis zum Abend.</w:t>
      </w:r>
    </w:p>
    <w:p w14:paraId="369BE48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C4BD9D4">
          <v:rect id="_x0000_i1458" style="width:0;height:1.5pt" o:hralign="center" o:hrstd="t" o:hr="t" fillcolor="#a0a0a0" stroked="f"/>
        </w:pict>
      </w:r>
    </w:p>
    <w:p w14:paraId="159A48E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 אשר יגע־בו הזב וידיו לא־שטף במים 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zeigt Handhygiene als Schutzmaßnahme. </w:t>
      </w:r>
      <w:r w:rsidRPr="00195E02">
        <w:rPr>
          <w:rFonts w:eastAsia="Times New Roman" w:cs="Times New Roman"/>
          <w:b/>
          <w:bCs/>
          <w:rtl/>
          <w:lang w:eastAsia="de-DE"/>
        </w:rPr>
        <w:t>וכל אשר יגע־בו הזב</w:t>
      </w:r>
      <w:r w:rsidRPr="00195E02">
        <w:rPr>
          <w:rFonts w:eastAsia="Times New Roman" w:cs="Times New Roman"/>
          <w:rtl/>
          <w:lang w:eastAsia="de-DE"/>
        </w:rPr>
        <w:t xml:space="preserve"> </w:t>
      </w:r>
      <w:r w:rsidRPr="00195E02">
        <w:rPr>
          <w:rFonts w:eastAsia="Times New Roman" w:cs="Times New Roman"/>
          <w:lang w:eastAsia="de-DE"/>
        </w:rPr>
        <w:t xml:space="preserve">(und jeder, den der Fließende berührt) zeigt den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xml:space="preserve">als aktiv Berührenden. </w:t>
      </w:r>
      <w:r w:rsidRPr="00195E02">
        <w:rPr>
          <w:rFonts w:eastAsia="Times New Roman" w:cs="Times New Roman"/>
          <w:b/>
          <w:bCs/>
          <w:rtl/>
          <w:lang w:eastAsia="de-DE"/>
        </w:rPr>
        <w:t>וידיו לא־שטף במים</w:t>
      </w:r>
      <w:r w:rsidRPr="00195E02">
        <w:rPr>
          <w:rFonts w:eastAsia="Times New Roman" w:cs="Times New Roman"/>
          <w:rtl/>
          <w:lang w:eastAsia="de-DE"/>
        </w:rPr>
        <w:t xml:space="preserve"> </w:t>
      </w:r>
      <w:r w:rsidRPr="00195E02">
        <w:rPr>
          <w:rFonts w:eastAsia="Times New Roman" w:cs="Times New Roman"/>
          <w:lang w:eastAsia="de-DE"/>
        </w:rPr>
        <w:t xml:space="preserve">(ohne dass er seine Hände mit Wasser gespült hat) - </w:t>
      </w:r>
      <w:r w:rsidRPr="00195E02">
        <w:rPr>
          <w:rFonts w:eastAsia="Times New Roman" w:cs="Times New Roman"/>
          <w:b/>
          <w:bCs/>
          <w:rtl/>
          <w:lang w:eastAsia="de-DE"/>
        </w:rPr>
        <w:t>שטף</w:t>
      </w:r>
      <w:r w:rsidRPr="00195E02">
        <w:rPr>
          <w:rFonts w:eastAsia="Times New Roman" w:cs="Times New Roman"/>
          <w:rtl/>
          <w:lang w:eastAsia="de-DE"/>
        </w:rPr>
        <w:t xml:space="preserve"> </w:t>
      </w:r>
      <w:r w:rsidRPr="00195E02">
        <w:rPr>
          <w:rFonts w:eastAsia="Times New Roman" w:cs="Times New Roman"/>
          <w:lang w:eastAsia="de-DE"/>
        </w:rPr>
        <w:t>(spülen) im Qal-Perfekt, zeigt die Bedingung ungewaschener Hände.</w:t>
      </w:r>
    </w:p>
    <w:p w14:paraId="5AEBEBE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den Standardreinigungsmaßnahmen aus V. 5-8.</w:t>
      </w:r>
    </w:p>
    <w:p w14:paraId="27C523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יגע־בו הזב</w:t>
      </w:r>
      <w:r w:rsidRPr="00195E02">
        <w:rPr>
          <w:rFonts w:eastAsia="Times New Roman" w:cs="Times New Roman"/>
          <w:rtl/>
          <w:lang w:eastAsia="de-DE"/>
        </w:rPr>
        <w:t xml:space="preserve"> </w:t>
      </w:r>
      <w:r w:rsidRPr="00195E02">
        <w:rPr>
          <w:rFonts w:eastAsia="Times New Roman" w:cs="Times New Roman"/>
          <w:lang w:eastAsia="de-DE"/>
        </w:rPr>
        <w:t xml:space="preserve">zeigt den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xml:space="preserve">als Subjekt der Berührung im Unterschied zu V. 7. </w:t>
      </w:r>
      <w:r w:rsidRPr="00195E02">
        <w:rPr>
          <w:rFonts w:eastAsia="Times New Roman" w:cs="Times New Roman"/>
          <w:b/>
          <w:bCs/>
          <w:rtl/>
          <w:lang w:eastAsia="de-DE"/>
        </w:rPr>
        <w:t>וידיו לא־שטף במים</w:t>
      </w:r>
      <w:r w:rsidRPr="00195E02">
        <w:rPr>
          <w:rFonts w:eastAsia="Times New Roman" w:cs="Times New Roman"/>
          <w:rtl/>
          <w:lang w:eastAsia="de-DE"/>
        </w:rPr>
        <w:t xml:space="preserve"> </w:t>
      </w:r>
      <w:r w:rsidRPr="00195E02">
        <w:rPr>
          <w:rFonts w:eastAsia="Times New Roman" w:cs="Times New Roman"/>
          <w:lang w:eastAsia="de-DE"/>
        </w:rPr>
        <w:t>impliziert, dass Händewaschen die Kontamination verhindern kann. Dies zeigt präventive Hygienemaßnahmen.</w:t>
      </w:r>
    </w:p>
    <w:p w14:paraId="50F9771B" w14:textId="6856C79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שטף במים</w:t>
      </w:r>
      <w:r w:rsidR="00523826">
        <w:t xml:space="preserve"> (</w:t>
      </w:r>
      <w:proofErr w:type="spellStart"/>
      <w:r w:rsidR="00523826">
        <w:t>shataf</w:t>
      </w:r>
      <w:proofErr w:type="spellEnd"/>
      <w:r w:rsidR="00523826">
        <w:t xml:space="preserve"> </w:t>
      </w:r>
      <w:proofErr w:type="spellStart"/>
      <w:r w:rsidR="00523826">
        <w:t>bamayim</w:t>
      </w:r>
      <w:proofErr w:type="spellEnd"/>
      <w:r w:rsidR="00523826">
        <w:t xml:space="preserve"> - "abspülen mit Wasser") als </w:t>
      </w:r>
      <w:proofErr w:type="spellStart"/>
      <w:r w:rsidR="00523826">
        <w:t>νένι</w:t>
      </w:r>
      <w:proofErr w:type="spellEnd"/>
      <w:r w:rsidR="00523826">
        <w:t>πται (gewaschen), verwendet aber das Perfekt, was einen abgeschlossenen Zustand betont.</w:t>
      </w:r>
    </w:p>
    <w:p w14:paraId="0D5B386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Hygienebedingung: aktive Berührung durch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Hygienemangel + Standardreinigungskonsequenzen. Die Struktur zeigt präventive Hygienemaßnahmen.</w:t>
      </w:r>
    </w:p>
    <w:p w14:paraId="7F8F88F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dass Händewaschen durch den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Kontamination verhindern kann - ohne Händewaschen erfolgt Unreinheitsübertragung.</w:t>
      </w:r>
    </w:p>
    <w:p w14:paraId="4086DC8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15,12</w:t>
      </w:r>
    </w:p>
    <w:p w14:paraId="10C7DF4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וּכְלִי־חֶ֛רֶשׂ אֲשֶׁר־יִגַּע־בּוֹ֥ הַזָּ֖ב יִשָּׁבֵ֑ר וְכָל־כְּלִי־עֵ֔ץ יִשָּׁטֵ֖ף בַּמָּֽיִם׃</w:t>
      </w:r>
    </w:p>
    <w:p w14:paraId="5ECD2FEF" w14:textId="76535B6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das irdene Gefäß, das der Fließende berührt, soll zerbrochen werden; und jedes hölzerne Gefäß soll mit Wasser abgespült werden.</w:t>
      </w:r>
    </w:p>
    <w:p w14:paraId="00B4C3D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4F0829E">
          <v:rect id="_x0000_i1459" style="width:0;height:1.5pt" o:hralign="center" o:hrstd="t" o:hr="t" fillcolor="#a0a0a0" stroked="f"/>
        </w:pict>
      </w:r>
    </w:p>
    <w:p w14:paraId="31C8A9D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וכלי־חרש אשר־יגע־בו הזב ישבר וכל־כלי־עץ ישטף במים</w:t>
      </w:r>
      <w:r w:rsidRPr="00195E02">
        <w:rPr>
          <w:rFonts w:eastAsia="Times New Roman" w:cs="Times New Roman"/>
          <w:rtl/>
          <w:lang w:eastAsia="de-DE"/>
        </w:rPr>
        <w:t xml:space="preserve"> </w:t>
      </w:r>
      <w:r w:rsidRPr="00195E02">
        <w:rPr>
          <w:rFonts w:eastAsia="Times New Roman" w:cs="Times New Roman"/>
          <w:lang w:eastAsia="de-DE"/>
        </w:rPr>
        <w:t xml:space="preserve">zeigt materialspezifische Reinigungsverfahren. </w:t>
      </w:r>
      <w:r w:rsidRPr="00195E02">
        <w:rPr>
          <w:rFonts w:eastAsia="Times New Roman" w:cs="Times New Roman"/>
          <w:b/>
          <w:bCs/>
          <w:rtl/>
          <w:lang w:eastAsia="de-DE"/>
        </w:rPr>
        <w:t>וכלי־חרש אשר־יגע־בו הזב ישבר</w:t>
      </w:r>
      <w:r w:rsidRPr="00195E02">
        <w:rPr>
          <w:rFonts w:eastAsia="Times New Roman" w:cs="Times New Roman"/>
          <w:rtl/>
          <w:lang w:eastAsia="de-DE"/>
        </w:rPr>
        <w:t xml:space="preserve"> </w:t>
      </w:r>
      <w:r w:rsidRPr="00195E02">
        <w:rPr>
          <w:rFonts w:eastAsia="Times New Roman" w:cs="Times New Roman"/>
          <w:lang w:eastAsia="de-DE"/>
        </w:rPr>
        <w:t xml:space="preserve">(und das irdene Gefäß, das der Fließende berührt, soll zerbrochen werden) - </w:t>
      </w: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(irdenes Gefäß) als poröses Material, </w:t>
      </w:r>
      <w:r w:rsidRPr="00195E02">
        <w:rPr>
          <w:rFonts w:eastAsia="Times New Roman" w:cs="Times New Roman"/>
          <w:b/>
          <w:bCs/>
          <w:rtl/>
          <w:lang w:eastAsia="de-DE"/>
        </w:rPr>
        <w:t>ישבר</w:t>
      </w:r>
      <w:r w:rsidRPr="00195E02">
        <w:rPr>
          <w:rFonts w:eastAsia="Times New Roman" w:cs="Times New Roman"/>
          <w:rtl/>
          <w:lang w:eastAsia="de-DE"/>
        </w:rPr>
        <w:t xml:space="preserve"> </w:t>
      </w:r>
      <w:r w:rsidRPr="00195E02">
        <w:rPr>
          <w:rFonts w:eastAsia="Times New Roman" w:cs="Times New Roman"/>
          <w:lang w:eastAsia="de-DE"/>
        </w:rPr>
        <w:t>(soll zerbrochen werden) im Nifal-Imperfekt zeigt totale Vernichtung.</w:t>
      </w:r>
    </w:p>
    <w:p w14:paraId="7A27E46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וכל־כלי־עץ ישטף במים</w:t>
      </w:r>
      <w:r w:rsidRPr="00195E02">
        <w:rPr>
          <w:rFonts w:eastAsia="Times New Roman" w:cs="Times New Roman"/>
          <w:rtl/>
          <w:lang w:eastAsia="de-DE"/>
        </w:rPr>
        <w:t xml:space="preserve"> </w:t>
      </w:r>
      <w:r w:rsidRPr="00195E02">
        <w:rPr>
          <w:rFonts w:eastAsia="Times New Roman" w:cs="Times New Roman"/>
          <w:lang w:eastAsia="de-DE"/>
        </w:rPr>
        <w:t xml:space="preserve">(und jedes hölzerne Gefäß soll mit Wasser gespült werden) - </w:t>
      </w:r>
      <w:r w:rsidRPr="00195E02">
        <w:rPr>
          <w:rFonts w:eastAsia="Times New Roman" w:cs="Times New Roman"/>
          <w:b/>
          <w:bCs/>
          <w:rtl/>
          <w:lang w:eastAsia="de-DE"/>
        </w:rPr>
        <w:t>כלי־עץ</w:t>
      </w:r>
      <w:r w:rsidRPr="00195E02">
        <w:rPr>
          <w:rFonts w:eastAsia="Times New Roman" w:cs="Times New Roman"/>
          <w:rtl/>
          <w:lang w:eastAsia="de-DE"/>
        </w:rPr>
        <w:t xml:space="preserve"> </w:t>
      </w:r>
      <w:r w:rsidRPr="00195E02">
        <w:rPr>
          <w:rFonts w:eastAsia="Times New Roman" w:cs="Times New Roman"/>
          <w:lang w:eastAsia="de-DE"/>
        </w:rPr>
        <w:t xml:space="preserve">(hölzernes Gefäß), </w:t>
      </w:r>
      <w:r w:rsidRPr="00195E02">
        <w:rPr>
          <w:rFonts w:eastAsia="Times New Roman" w:cs="Times New Roman"/>
          <w:b/>
          <w:bCs/>
          <w:rtl/>
          <w:lang w:eastAsia="de-DE"/>
        </w:rPr>
        <w:t>ישטף במים</w:t>
      </w:r>
      <w:r w:rsidRPr="00195E02">
        <w:rPr>
          <w:rFonts w:eastAsia="Times New Roman" w:cs="Times New Roman"/>
          <w:rtl/>
          <w:lang w:eastAsia="de-DE"/>
        </w:rPr>
        <w:t xml:space="preserve"> </w:t>
      </w:r>
      <w:r w:rsidRPr="00195E02">
        <w:rPr>
          <w:rFonts w:eastAsia="Times New Roman" w:cs="Times New Roman"/>
          <w:lang w:eastAsia="de-DE"/>
        </w:rPr>
        <w:t>(soll mit Wasser gespült werden) zeigt Reinigung statt Vernichtung.</w:t>
      </w:r>
    </w:p>
    <w:p w14:paraId="67717C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als poröses, unglasiertes Tongeschirr wird als unrettbar kontaminiert betrachtet. </w:t>
      </w:r>
      <w:r w:rsidRPr="00195E02">
        <w:rPr>
          <w:rFonts w:eastAsia="Times New Roman" w:cs="Times New Roman"/>
          <w:b/>
          <w:bCs/>
          <w:rtl/>
          <w:lang w:eastAsia="de-DE"/>
        </w:rPr>
        <w:t>כלי־עץ</w:t>
      </w:r>
      <w:r w:rsidRPr="00195E02">
        <w:rPr>
          <w:rFonts w:eastAsia="Times New Roman" w:cs="Times New Roman"/>
          <w:rtl/>
          <w:lang w:eastAsia="de-DE"/>
        </w:rPr>
        <w:t xml:space="preserve"> </w:t>
      </w:r>
      <w:r w:rsidRPr="00195E02">
        <w:rPr>
          <w:rFonts w:eastAsia="Times New Roman" w:cs="Times New Roman"/>
          <w:lang w:eastAsia="de-DE"/>
        </w:rPr>
        <w:t>als weniger poröses Material kann durch Spülung gereinigt werden. Dies zeigt materialwissenschaftliche Differenzierung.</w:t>
      </w:r>
    </w:p>
    <w:p w14:paraId="07B0C4E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כלי־חרש</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σκεῦος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ὀστράκινον</w:t>
      </w:r>
      <w:proofErr w:type="spellEnd"/>
      <w:r w:rsidRPr="00195E02">
        <w:rPr>
          <w:rFonts w:eastAsia="Times New Roman" w:cs="Times New Roman"/>
          <w:lang w:eastAsia="de-DE"/>
        </w:rPr>
        <w:t xml:space="preserve"> (irdenes Gefäß), </w:t>
      </w:r>
      <w:r w:rsidRPr="00195E02">
        <w:rPr>
          <w:rFonts w:eastAsia="Times New Roman" w:cs="Times New Roman"/>
          <w:b/>
          <w:bCs/>
          <w:rtl/>
          <w:lang w:eastAsia="de-DE"/>
        </w:rPr>
        <w:t>ישבר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συντρι</w:t>
      </w:r>
      <w:proofErr w:type="spellEnd"/>
      <w:r w:rsidRPr="00195E02">
        <w:rPr>
          <w:rFonts w:eastAsia="Times New Roman" w:cs="Times New Roman"/>
          <w:lang w:eastAsia="de-DE"/>
        </w:rPr>
        <w:t xml:space="preserve">βήσεται (wird zerbrochen werden) und </w:t>
      </w:r>
      <w:r w:rsidRPr="00195E02">
        <w:rPr>
          <w:rFonts w:eastAsia="Times New Roman" w:cs="Times New Roman"/>
          <w:b/>
          <w:bCs/>
          <w:rtl/>
          <w:lang w:eastAsia="de-DE"/>
        </w:rPr>
        <w:t>ישטף</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κλυθήσετ</w:t>
      </w:r>
      <w:proofErr w:type="spellEnd"/>
      <w:r w:rsidRPr="00195E02">
        <w:rPr>
          <w:rFonts w:eastAsia="Times New Roman" w:cs="Times New Roman"/>
          <w:lang w:eastAsia="de-DE"/>
        </w:rPr>
        <w:t>αι (wird gespült werden).</w:t>
      </w:r>
    </w:p>
    <w:p w14:paraId="237FBFD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Materialdifferenzierung: poröses Material mit Vernichtung + weniger poröses Material mit Reinigung. Die Struktur zeigt praktisches Reinigungsverständnis.</w:t>
      </w:r>
    </w:p>
    <w:p w14:paraId="76F0869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differenziert Reinigungsverfahren nach Materialeigenschaften: Tongeschirr wird zerbrochen, Holzgeschirr gespült.</w:t>
      </w:r>
    </w:p>
    <w:p w14:paraId="0467E14B"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15,13</w:t>
      </w:r>
    </w:p>
    <w:p w14:paraId="203AA1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וְכִֽי־יִטְהַ֤ר הַזָּב֙ מִזּוֹבֹ֔ו וְסָ֨פַר לוֹ֜ שִׁבְעַ֥ת יָמִ֛ים לְטָהֳרָתוֹ֖ וְכִבֶּ֣ס בְּגָדָ֑יו וְרָחַ֧ץ בְּשָׂרֹ֛ו בְּמַ֥יִם חַיִּ֖ים וְטָהֵֽר׃</w:t>
      </w:r>
    </w:p>
    <w:p w14:paraId="045B7893" w14:textId="0334E93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wenn der Fließende rein wird von seinem Fluss, so soll er sich sieben Tage zählen für seine Reinigung und soll seine Kleider waschen und soll sein Fleisch in lebendigem Wasser baden, und er wird rein sein.</w:t>
      </w:r>
    </w:p>
    <w:p w14:paraId="442D599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9CFB0C2">
          <v:rect id="_x0000_i1460" style="width:0;height:1.5pt" o:hralign="center" o:hrstd="t" o:hr="t" fillcolor="#a0a0a0" stroked="f"/>
        </w:pict>
      </w:r>
    </w:p>
    <w:p w14:paraId="1AD407C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וכי־יטהר הזב מזובו וספר לו שבעת ימים לטהרתו וכבס בגדיו ורחץ בשרו במים חיים וטהר</w:t>
      </w:r>
      <w:r w:rsidRPr="00195E02">
        <w:rPr>
          <w:rFonts w:eastAsia="Times New Roman" w:cs="Times New Roman"/>
          <w:rtl/>
          <w:lang w:eastAsia="de-DE"/>
        </w:rPr>
        <w:t xml:space="preserve"> </w:t>
      </w:r>
      <w:r w:rsidRPr="00195E02">
        <w:rPr>
          <w:rFonts w:eastAsia="Times New Roman" w:cs="Times New Roman"/>
          <w:lang w:eastAsia="de-DE"/>
        </w:rPr>
        <w:t xml:space="preserve">zeigt das Reinigungsverfahren für geheilte </w:t>
      </w:r>
      <w:r w:rsidRPr="00195E02">
        <w:rPr>
          <w:rFonts w:eastAsia="Times New Roman" w:cs="Times New Roman"/>
          <w:b/>
          <w:bCs/>
          <w:rtl/>
          <w:lang w:eastAsia="de-DE"/>
        </w:rPr>
        <w:t>זב</w:t>
      </w:r>
      <w:r w:rsidRPr="00195E02">
        <w:rPr>
          <w:rFonts w:eastAsia="Times New Roman" w:cs="Times New Roman"/>
          <w:lang w:eastAsia="de-DE"/>
        </w:rPr>
        <w:t xml:space="preserve">. </w:t>
      </w:r>
      <w:r w:rsidRPr="00195E02">
        <w:rPr>
          <w:rFonts w:eastAsia="Times New Roman" w:cs="Times New Roman"/>
          <w:b/>
          <w:bCs/>
          <w:rtl/>
          <w:lang w:eastAsia="de-DE"/>
        </w:rPr>
        <w:t>וכי־יטהר הזב מזובו</w:t>
      </w:r>
      <w:r w:rsidRPr="00195E02">
        <w:rPr>
          <w:rFonts w:eastAsia="Times New Roman" w:cs="Times New Roman"/>
          <w:rtl/>
          <w:lang w:eastAsia="de-DE"/>
        </w:rPr>
        <w:t xml:space="preserve"> </w:t>
      </w:r>
      <w:r w:rsidRPr="00195E02">
        <w:rPr>
          <w:rFonts w:eastAsia="Times New Roman" w:cs="Times New Roman"/>
          <w:lang w:eastAsia="de-DE"/>
        </w:rPr>
        <w:t xml:space="preserve">(und wenn der Fließende rein wird von seinem Fluss) - </w:t>
      </w:r>
      <w:r w:rsidRPr="00195E02">
        <w:rPr>
          <w:rFonts w:eastAsia="Times New Roman" w:cs="Times New Roman"/>
          <w:b/>
          <w:bCs/>
          <w:rtl/>
          <w:lang w:eastAsia="de-DE"/>
        </w:rPr>
        <w:t>יטהר</w:t>
      </w:r>
      <w:r w:rsidRPr="00195E02">
        <w:rPr>
          <w:rFonts w:eastAsia="Times New Roman" w:cs="Times New Roman"/>
          <w:rtl/>
          <w:lang w:eastAsia="de-DE"/>
        </w:rPr>
        <w:t xml:space="preserve"> </w:t>
      </w:r>
      <w:r w:rsidRPr="00195E02">
        <w:rPr>
          <w:rFonts w:eastAsia="Times New Roman" w:cs="Times New Roman"/>
          <w:lang w:eastAsia="de-DE"/>
        </w:rPr>
        <w:t>(rein wird) im Qal-Imperfekt zeigt medizinische Heilung als Voraussetzung.</w:t>
      </w:r>
    </w:p>
    <w:p w14:paraId="533AF6B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וספר לו שבעת ימים לטהרתו</w:t>
      </w:r>
      <w:r w:rsidRPr="00195E02">
        <w:rPr>
          <w:rFonts w:eastAsia="Times New Roman" w:cs="Times New Roman"/>
          <w:rtl/>
          <w:lang w:eastAsia="de-DE"/>
        </w:rPr>
        <w:t xml:space="preserve"> </w:t>
      </w:r>
      <w:r w:rsidRPr="00195E02">
        <w:rPr>
          <w:rFonts w:eastAsia="Times New Roman" w:cs="Times New Roman"/>
          <w:lang w:eastAsia="de-DE"/>
        </w:rPr>
        <w:t xml:space="preserve">(so soll er sich sieben Tage zählen für seine Reinigung) - </w:t>
      </w:r>
      <w:r w:rsidRPr="00195E02">
        <w:rPr>
          <w:rFonts w:eastAsia="Times New Roman" w:cs="Times New Roman"/>
          <w:b/>
          <w:bCs/>
          <w:rtl/>
          <w:lang w:eastAsia="de-DE"/>
        </w:rPr>
        <w:t>ספר לו</w:t>
      </w:r>
      <w:r w:rsidRPr="00195E02">
        <w:rPr>
          <w:rFonts w:eastAsia="Times New Roman" w:cs="Times New Roman"/>
          <w:rtl/>
          <w:lang w:eastAsia="de-DE"/>
        </w:rPr>
        <w:t xml:space="preserve"> </w:t>
      </w:r>
      <w:r w:rsidRPr="00195E02">
        <w:rPr>
          <w:rFonts w:eastAsia="Times New Roman" w:cs="Times New Roman"/>
          <w:lang w:eastAsia="de-DE"/>
        </w:rPr>
        <w:t xml:space="preserve">(er soll sich zählen) zeigt persönliche Verantwortung für die Tageszählung, </w:t>
      </w:r>
      <w:r w:rsidRPr="00195E02">
        <w:rPr>
          <w:rFonts w:eastAsia="Times New Roman" w:cs="Times New Roman"/>
          <w:b/>
          <w:bCs/>
          <w:rtl/>
          <w:lang w:eastAsia="de-DE"/>
        </w:rPr>
        <w:t>לטהרתו</w:t>
      </w:r>
      <w:r w:rsidRPr="00195E02">
        <w:rPr>
          <w:rFonts w:eastAsia="Times New Roman" w:cs="Times New Roman"/>
          <w:rtl/>
          <w:lang w:eastAsia="de-DE"/>
        </w:rPr>
        <w:t xml:space="preserve"> </w:t>
      </w:r>
      <w:r w:rsidRPr="00195E02">
        <w:rPr>
          <w:rFonts w:eastAsia="Times New Roman" w:cs="Times New Roman"/>
          <w:lang w:eastAsia="de-DE"/>
        </w:rPr>
        <w:t>(für seine Reinigung) zeigt den Zweck.</w:t>
      </w:r>
    </w:p>
    <w:p w14:paraId="1816D43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וכבס בגדיו ורחץ בשרו במים חיים וטהר</w:t>
      </w:r>
      <w:r w:rsidRPr="00195E02">
        <w:rPr>
          <w:rFonts w:eastAsia="Times New Roman" w:cs="Times New Roman"/>
          <w:rtl/>
          <w:lang w:eastAsia="de-DE"/>
        </w:rPr>
        <w:t xml:space="preserve"> </w:t>
      </w:r>
      <w:r w:rsidRPr="00195E02">
        <w:rPr>
          <w:rFonts w:eastAsia="Times New Roman" w:cs="Times New Roman"/>
          <w:lang w:eastAsia="de-DE"/>
        </w:rPr>
        <w:t xml:space="preserve">(und seine Kleider waschen und sein Fleisch in lebendigem Wasser baden, und er wird rein sein) - </w:t>
      </w:r>
      <w:r w:rsidRPr="00195E02">
        <w:rPr>
          <w:rFonts w:eastAsia="Times New Roman" w:cs="Times New Roman"/>
          <w:b/>
          <w:bCs/>
          <w:rtl/>
          <w:lang w:eastAsia="de-DE"/>
        </w:rPr>
        <w:t>במים חיים</w:t>
      </w:r>
      <w:r w:rsidRPr="00195E02">
        <w:rPr>
          <w:rFonts w:eastAsia="Times New Roman" w:cs="Times New Roman"/>
          <w:rtl/>
          <w:lang w:eastAsia="de-DE"/>
        </w:rPr>
        <w:t xml:space="preserve"> </w:t>
      </w:r>
      <w:r w:rsidRPr="00195E02">
        <w:rPr>
          <w:rFonts w:eastAsia="Times New Roman" w:cs="Times New Roman"/>
          <w:lang w:eastAsia="de-DE"/>
        </w:rPr>
        <w:t xml:space="preserve">(in lebendigem Wasser) als besondere Qualitätsanforderung für die finale Reinigung, </w:t>
      </w:r>
      <w:r w:rsidRPr="00195E02">
        <w:rPr>
          <w:rFonts w:eastAsia="Times New Roman" w:cs="Times New Roman"/>
          <w:b/>
          <w:bCs/>
          <w:rtl/>
          <w:lang w:eastAsia="de-DE"/>
        </w:rPr>
        <w:t>וטהר</w:t>
      </w:r>
      <w:r w:rsidRPr="00195E02">
        <w:rPr>
          <w:rFonts w:eastAsia="Times New Roman" w:cs="Times New Roman"/>
          <w:rtl/>
          <w:lang w:eastAsia="de-DE"/>
        </w:rPr>
        <w:t xml:space="preserve"> </w:t>
      </w:r>
      <w:r w:rsidRPr="00195E02">
        <w:rPr>
          <w:rFonts w:eastAsia="Times New Roman" w:cs="Times New Roman"/>
          <w:lang w:eastAsia="de-DE"/>
        </w:rPr>
        <w:t>(und er wird rein sein) als Abschluss.</w:t>
      </w:r>
    </w:p>
    <w:p w14:paraId="3ED9369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יטהר מזובו</w:t>
      </w:r>
      <w:r w:rsidRPr="00195E02">
        <w:rPr>
          <w:rFonts w:eastAsia="Times New Roman" w:cs="Times New Roman"/>
          <w:rtl/>
          <w:lang w:eastAsia="de-DE"/>
        </w:rPr>
        <w:t xml:space="preserve"> </w:t>
      </w:r>
      <w:r w:rsidRPr="00195E02">
        <w:rPr>
          <w:rFonts w:eastAsia="Times New Roman" w:cs="Times New Roman"/>
          <w:lang w:eastAsia="de-DE"/>
        </w:rPr>
        <w:t xml:space="preserve">zeigt, dass erst medizinische Heilung die Reinigung ermöglicht. </w:t>
      </w:r>
      <w:r w:rsidRPr="00195E02">
        <w:rPr>
          <w:rFonts w:eastAsia="Times New Roman" w:cs="Times New Roman"/>
          <w:b/>
          <w:bCs/>
          <w:rtl/>
          <w:lang w:eastAsia="de-DE"/>
        </w:rPr>
        <w:t>ספר לו שבעת ימים</w:t>
      </w:r>
      <w:r w:rsidRPr="00195E02">
        <w:rPr>
          <w:rFonts w:eastAsia="Times New Roman" w:cs="Times New Roman"/>
          <w:rtl/>
          <w:lang w:eastAsia="de-DE"/>
        </w:rPr>
        <w:t xml:space="preserve"> </w:t>
      </w:r>
      <w:r w:rsidRPr="00195E02">
        <w:rPr>
          <w:rFonts w:eastAsia="Times New Roman" w:cs="Times New Roman"/>
          <w:lang w:eastAsia="de-DE"/>
        </w:rPr>
        <w:t xml:space="preserve">entspricht der </w:t>
      </w:r>
      <w:r w:rsidRPr="00195E02">
        <w:rPr>
          <w:rFonts w:eastAsia="Times New Roman" w:cs="Times New Roman"/>
          <w:b/>
          <w:bCs/>
          <w:rtl/>
          <w:lang w:eastAsia="de-DE"/>
        </w:rPr>
        <w:t>צרעת</w:t>
      </w:r>
      <w:r w:rsidRPr="00195E02">
        <w:rPr>
          <w:rFonts w:eastAsia="Times New Roman" w:cs="Times New Roman"/>
          <w:lang w:eastAsia="de-DE"/>
        </w:rPr>
        <w:t xml:space="preserve">-Heilung. </w:t>
      </w:r>
      <w:r w:rsidRPr="00195E02">
        <w:rPr>
          <w:rFonts w:eastAsia="Times New Roman" w:cs="Times New Roman"/>
          <w:b/>
          <w:bCs/>
          <w:rtl/>
          <w:lang w:eastAsia="de-DE"/>
        </w:rPr>
        <w:t>במים חיים</w:t>
      </w:r>
      <w:r w:rsidRPr="00195E02">
        <w:rPr>
          <w:rFonts w:eastAsia="Times New Roman" w:cs="Times New Roman"/>
          <w:rtl/>
          <w:lang w:eastAsia="de-DE"/>
        </w:rPr>
        <w:t xml:space="preserve"> </w:t>
      </w:r>
      <w:r w:rsidRPr="00195E02">
        <w:rPr>
          <w:rFonts w:eastAsia="Times New Roman" w:cs="Times New Roman"/>
          <w:lang w:eastAsia="de-DE"/>
        </w:rPr>
        <w:t>zeigt erhöhte Reinheitsanforderungen gegenüber normalem Wasser.</w:t>
      </w:r>
    </w:p>
    <w:p w14:paraId="2E1070E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יטהר</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ρισθῇ</w:t>
      </w:r>
      <w:proofErr w:type="spellEnd"/>
      <w:r w:rsidRPr="00195E02">
        <w:rPr>
          <w:rFonts w:eastAsia="Times New Roman" w:cs="Times New Roman"/>
          <w:lang w:eastAsia="de-DE"/>
        </w:rPr>
        <w:t xml:space="preserve"> (gereinigt wird), </w:t>
      </w:r>
      <w:r w:rsidRPr="00195E02">
        <w:rPr>
          <w:rFonts w:eastAsia="Times New Roman" w:cs="Times New Roman"/>
          <w:b/>
          <w:bCs/>
          <w:rtl/>
          <w:lang w:eastAsia="de-DE"/>
        </w:rPr>
        <w:t>וספר לו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ἀριθμήσει</w:t>
      </w:r>
      <w:proofErr w:type="spellEnd"/>
      <w:r w:rsidRPr="00195E02">
        <w:rPr>
          <w:rFonts w:eastAsia="Times New Roman" w:cs="Times New Roman"/>
          <w:lang w:eastAsia="de-DE"/>
        </w:rPr>
        <w:t xml:space="preserve"> ἑα</w:t>
      </w:r>
      <w:proofErr w:type="spellStart"/>
      <w:r w:rsidRPr="00195E02">
        <w:rPr>
          <w:rFonts w:eastAsia="Times New Roman" w:cs="Times New Roman"/>
          <w:lang w:eastAsia="de-DE"/>
        </w:rPr>
        <w:t>υτῷ</w:t>
      </w:r>
      <w:proofErr w:type="spellEnd"/>
      <w:r w:rsidRPr="00195E02">
        <w:rPr>
          <w:rFonts w:eastAsia="Times New Roman" w:cs="Times New Roman"/>
          <w:lang w:eastAsia="de-DE"/>
        </w:rPr>
        <w:t xml:space="preserve"> (er wird sich zählen) und </w:t>
      </w:r>
      <w:r w:rsidRPr="00195E02">
        <w:rPr>
          <w:rFonts w:eastAsia="Times New Roman" w:cs="Times New Roman"/>
          <w:b/>
          <w:bCs/>
          <w:rtl/>
          <w:lang w:eastAsia="de-DE"/>
        </w:rPr>
        <w:t>במים חיים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ὕδ</w:t>
      </w:r>
      <w:proofErr w:type="spellEnd"/>
      <w:r w:rsidRPr="00195E02">
        <w:rPr>
          <w:rFonts w:eastAsia="Times New Roman" w:cs="Times New Roman"/>
          <w:lang w:eastAsia="de-DE"/>
        </w:rPr>
        <w:t xml:space="preserve">ατι </w:t>
      </w:r>
      <w:proofErr w:type="spellStart"/>
      <w:r w:rsidRPr="00195E02">
        <w:rPr>
          <w:rFonts w:eastAsia="Times New Roman" w:cs="Times New Roman"/>
          <w:lang w:eastAsia="de-DE"/>
        </w:rPr>
        <w:t>ζῶντι</w:t>
      </w:r>
      <w:proofErr w:type="spellEnd"/>
      <w:r w:rsidRPr="00195E02">
        <w:rPr>
          <w:rFonts w:eastAsia="Times New Roman" w:cs="Times New Roman"/>
          <w:lang w:eastAsia="de-DE"/>
        </w:rPr>
        <w:t xml:space="preserve"> (mit lebendigem Wasser).</w:t>
      </w:r>
    </w:p>
    <w:p w14:paraId="47C77E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Heilungsverfahren: medizinische Heilung + persönliche Tageszählung + verstärkte Reinigung + Reinheitsbestätigung. Die Struktur entspricht </w:t>
      </w:r>
      <w:r w:rsidRPr="00195E02">
        <w:rPr>
          <w:rFonts w:eastAsia="Times New Roman" w:cs="Times New Roman"/>
          <w:b/>
          <w:bCs/>
          <w:rtl/>
          <w:lang w:eastAsia="de-DE"/>
        </w:rPr>
        <w:t>צרעת</w:t>
      </w:r>
      <w:r w:rsidRPr="00195E02">
        <w:rPr>
          <w:rFonts w:eastAsia="Times New Roman" w:cs="Times New Roman"/>
          <w:lang w:eastAsia="de-DE"/>
        </w:rPr>
        <w:t>-Heilungsverfahren.</w:t>
      </w:r>
    </w:p>
    <w:p w14:paraId="4B3E33F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siebentägige Reinigungsverfahren nach Heilung des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mit verstärkten Reinigungsanforderungen.</w:t>
      </w:r>
    </w:p>
    <w:p w14:paraId="2C5B85B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15,14</w:t>
      </w:r>
    </w:p>
    <w:p w14:paraId="4E26475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וּבַיּ֣וֹם הַשְּׁמִינִ֗י יִֽקַּֽח־לוֹ֙ שְׁתֵּ֣י תֹרִ֔ים א֥וֹ שְׁנֵ֖י בְּנֵ֣י יוֹנָ֑ה וּבָ֣א׀ לִפְנֵ֣י יְהוָ֗ה אֶל־פֶּ֙תַח֙ אֹ֣הֶל מוֹעֵ֔ד וּנְתָנָ֖ם אֶל־הַכֹּהֵֽן׃</w:t>
      </w:r>
    </w:p>
    <w:p w14:paraId="2D8B26AD" w14:textId="04D7118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am achten Tag soll er sich zwei Turteltauben oder zwei junge Tauben nehmen und soll vor das Angesicht des Ewigen kommen an den Eingang des Zeltes der Begegnung und soll sie dem Priester geben.</w:t>
      </w:r>
    </w:p>
    <w:p w14:paraId="4E57876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FBCAF48">
          <v:rect id="_x0000_i1461" style="width:0;height:1.5pt" o:hralign="center" o:hrstd="t" o:hr="t" fillcolor="#a0a0a0" stroked="f"/>
        </w:pict>
      </w:r>
    </w:p>
    <w:p w14:paraId="0EF32C8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וביום השמיני יקח־לו שתי תרים או שני בני יונה ובא לפני יהוה אל־פתח אהל מועד ונתנם אל־הכהן</w:t>
      </w:r>
      <w:r w:rsidRPr="00195E02">
        <w:rPr>
          <w:rFonts w:eastAsia="Times New Roman" w:cs="Times New Roman"/>
          <w:rtl/>
          <w:lang w:eastAsia="de-DE"/>
        </w:rPr>
        <w:t xml:space="preserve"> </w:t>
      </w:r>
      <w:r w:rsidRPr="00195E02">
        <w:rPr>
          <w:rFonts w:eastAsia="Times New Roman" w:cs="Times New Roman"/>
          <w:lang w:eastAsia="de-DE"/>
        </w:rPr>
        <w:t xml:space="preserve">zeigt das Opferritual nach der Reinigungszeit. </w:t>
      </w:r>
      <w:r w:rsidRPr="00195E02">
        <w:rPr>
          <w:rFonts w:eastAsia="Times New Roman" w:cs="Times New Roman"/>
          <w:b/>
          <w:bCs/>
          <w:rtl/>
          <w:lang w:eastAsia="de-DE"/>
        </w:rPr>
        <w:t>וביום השמיני</w:t>
      </w:r>
      <w:r w:rsidRPr="00195E02">
        <w:rPr>
          <w:rFonts w:eastAsia="Times New Roman" w:cs="Times New Roman"/>
          <w:rtl/>
          <w:lang w:eastAsia="de-DE"/>
        </w:rPr>
        <w:t xml:space="preserve"> </w:t>
      </w:r>
      <w:r w:rsidRPr="00195E02">
        <w:rPr>
          <w:rFonts w:eastAsia="Times New Roman" w:cs="Times New Roman"/>
          <w:lang w:eastAsia="de-DE"/>
        </w:rPr>
        <w:t xml:space="preserve">(und am achten Tag) nach </w:t>
      </w:r>
      <w:r w:rsidRPr="00195E02">
        <w:rPr>
          <w:rFonts w:eastAsia="Times New Roman" w:cs="Times New Roman"/>
          <w:lang w:eastAsia="de-DE"/>
        </w:rPr>
        <w:lastRenderedPageBreak/>
        <w:t xml:space="preserve">den sieben Reinigungstagen aus V. 13. </w:t>
      </w:r>
      <w:r w:rsidRPr="00195E02">
        <w:rPr>
          <w:rFonts w:eastAsia="Times New Roman" w:cs="Times New Roman"/>
          <w:b/>
          <w:bCs/>
          <w:rtl/>
          <w:lang w:eastAsia="de-DE"/>
        </w:rPr>
        <w:t>יקח־לו שתי תרים או שני בני יונה</w:t>
      </w:r>
      <w:r w:rsidRPr="00195E02">
        <w:rPr>
          <w:rFonts w:eastAsia="Times New Roman" w:cs="Times New Roman"/>
          <w:rtl/>
          <w:lang w:eastAsia="de-DE"/>
        </w:rPr>
        <w:t xml:space="preserve"> </w:t>
      </w:r>
      <w:r w:rsidRPr="00195E02">
        <w:rPr>
          <w:rFonts w:eastAsia="Times New Roman" w:cs="Times New Roman"/>
          <w:lang w:eastAsia="de-DE"/>
        </w:rPr>
        <w:t>(soll er sich zwei Turteltauben oder zwei junge Tauben nehmen) entspricht den Armenbestimmungen aus 14,22.</w:t>
      </w:r>
    </w:p>
    <w:p w14:paraId="21FF046B" w14:textId="3156FCC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ובא לפני יהוה אל־פתח אהל מועד ונתנם אל־הכהן</w:t>
      </w:r>
      <w:r w:rsidRPr="00195E02">
        <w:rPr>
          <w:rFonts w:eastAsia="Times New Roman" w:cs="Times New Roman"/>
          <w:rtl/>
          <w:lang w:eastAsia="de-DE"/>
        </w:rPr>
        <w:t xml:space="preserve"> </w:t>
      </w:r>
      <w:r w:rsidRPr="00195E02">
        <w:rPr>
          <w:rFonts w:eastAsia="Times New Roman" w:cs="Times New Roman"/>
          <w:lang w:eastAsia="de-DE"/>
        </w:rPr>
        <w:t xml:space="preserve">(und vor den </w:t>
      </w:r>
      <w:r w:rsidR="004603C6">
        <w:rPr>
          <w:rFonts w:eastAsia="Times New Roman" w:cs="Times New Roman"/>
          <w:lang w:eastAsia="de-DE"/>
        </w:rPr>
        <w:t>Ewigen</w:t>
      </w:r>
      <w:r w:rsidRPr="00195E02">
        <w:rPr>
          <w:rFonts w:eastAsia="Times New Roman" w:cs="Times New Roman"/>
          <w:lang w:eastAsia="de-DE"/>
        </w:rPr>
        <w:t xml:space="preserve"> kommen zum Eingang des Zeltes der Begegnung und sie dem Priester geben) entspricht dem Standardverfahren bei Reinigungsopfern.</w:t>
      </w:r>
    </w:p>
    <w:p w14:paraId="4F592F2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שתי תרים או שני בני יונה</w:t>
      </w:r>
      <w:r w:rsidRPr="00195E02">
        <w:rPr>
          <w:rFonts w:eastAsia="Times New Roman" w:cs="Times New Roman"/>
          <w:rtl/>
          <w:lang w:eastAsia="de-DE"/>
        </w:rPr>
        <w:t xml:space="preserve"> </w:t>
      </w:r>
      <w:r w:rsidRPr="00195E02">
        <w:rPr>
          <w:rFonts w:eastAsia="Times New Roman" w:cs="Times New Roman"/>
          <w:lang w:eastAsia="de-DE"/>
        </w:rPr>
        <w:t xml:space="preserve">als einfachste Opfergaben zeigen, dass </w:t>
      </w:r>
      <w:r w:rsidRPr="00195E02">
        <w:rPr>
          <w:rFonts w:eastAsia="Times New Roman" w:cs="Times New Roman"/>
          <w:b/>
          <w:bCs/>
          <w:rtl/>
          <w:lang w:eastAsia="de-DE"/>
        </w:rPr>
        <w:t>זוב</w:t>
      </w:r>
      <w:r w:rsidRPr="00195E02">
        <w:rPr>
          <w:rFonts w:eastAsia="Times New Roman" w:cs="Times New Roman"/>
          <w:lang w:eastAsia="de-DE"/>
        </w:rPr>
        <w:t xml:space="preserve">-Reinigung nicht die kostspieligen Opfer der </w:t>
      </w:r>
      <w:r w:rsidRPr="00195E02">
        <w:rPr>
          <w:rFonts w:eastAsia="Times New Roman" w:cs="Times New Roman"/>
          <w:b/>
          <w:bCs/>
          <w:rtl/>
          <w:lang w:eastAsia="de-DE"/>
        </w:rPr>
        <w:t>צרעת</w:t>
      </w:r>
      <w:r w:rsidRPr="00195E02">
        <w:rPr>
          <w:rFonts w:eastAsia="Times New Roman" w:cs="Times New Roman"/>
          <w:lang w:eastAsia="de-DE"/>
        </w:rPr>
        <w:t>-Reinigung erfordert. Die Struktur entspricht anderen Reinigungsritualen.</w:t>
      </w:r>
    </w:p>
    <w:p w14:paraId="2B729A1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תרים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τρυγόν</w:t>
      </w:r>
      <w:proofErr w:type="spellEnd"/>
      <w:r w:rsidRPr="00195E02">
        <w:rPr>
          <w:rFonts w:eastAsia="Times New Roman" w:cs="Times New Roman"/>
          <w:lang w:eastAsia="de-DE"/>
        </w:rPr>
        <w:t xml:space="preserve">ας (Turteltauben), </w:t>
      </w:r>
      <w:r w:rsidRPr="00195E02">
        <w:rPr>
          <w:rFonts w:eastAsia="Times New Roman" w:cs="Times New Roman"/>
          <w:b/>
          <w:bCs/>
          <w:rtl/>
          <w:lang w:eastAsia="de-DE"/>
        </w:rPr>
        <w:t>בני יונה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νεοσσοὺς</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εριστερῶν</w:t>
      </w:r>
      <w:proofErr w:type="spellEnd"/>
      <w:r w:rsidRPr="00195E02">
        <w:rPr>
          <w:rFonts w:eastAsia="Times New Roman" w:cs="Times New Roman"/>
          <w:lang w:eastAsia="de-DE"/>
        </w:rPr>
        <w:t xml:space="preserve"> (junge Tauben) und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θύρ</w:t>
      </w:r>
      <w:proofErr w:type="spellEnd"/>
      <w:r w:rsidRPr="00195E02">
        <w:rPr>
          <w:rFonts w:eastAsia="Times New Roman" w:cs="Times New Roman"/>
          <w:lang w:eastAsia="de-DE"/>
        </w:rPr>
        <w:t xml:space="preserve">αν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σκηνῆς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μα</w:t>
      </w:r>
      <w:proofErr w:type="spellStart"/>
      <w:r w:rsidRPr="00195E02">
        <w:rPr>
          <w:rFonts w:eastAsia="Times New Roman" w:cs="Times New Roman"/>
          <w:lang w:eastAsia="de-DE"/>
        </w:rPr>
        <w:t>ρτυρίου</w:t>
      </w:r>
      <w:proofErr w:type="spellEnd"/>
      <w:r w:rsidRPr="00195E02">
        <w:rPr>
          <w:rFonts w:eastAsia="Times New Roman" w:cs="Times New Roman"/>
          <w:lang w:eastAsia="de-DE"/>
        </w:rPr>
        <w:t xml:space="preserve"> (die Tür des Zeltes des Zeugnisses).</w:t>
      </w:r>
    </w:p>
    <w:p w14:paraId="668D998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Opferritual: zeitliche Spezifikation + einfache Opferbeschaffung + Heiligtumspräsentation + priesterliche Übergabe. Die Struktur entspricht anderen Reinigungsverfahren.</w:t>
      </w:r>
    </w:p>
    <w:p w14:paraId="6146B21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einfache Taubenopfer am achten Tag nach </w:t>
      </w:r>
      <w:r w:rsidRPr="00195E02">
        <w:rPr>
          <w:rFonts w:eastAsia="Times New Roman" w:cs="Times New Roman"/>
          <w:b/>
          <w:bCs/>
          <w:rtl/>
          <w:lang w:eastAsia="de-DE"/>
        </w:rPr>
        <w:t>זוב</w:t>
      </w:r>
      <w:r w:rsidRPr="00195E02">
        <w:rPr>
          <w:rFonts w:eastAsia="Times New Roman" w:cs="Times New Roman"/>
          <w:lang w:eastAsia="de-DE"/>
        </w:rPr>
        <w:t>-Heilung.</w:t>
      </w:r>
    </w:p>
    <w:p w14:paraId="702B207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15,15</w:t>
      </w:r>
    </w:p>
    <w:p w14:paraId="4188E4E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וְעָשָׂ֤ה אֹתָם֙ הַכֹּהֵ֔ן אֶחָ֣ד חַטָּ֔את וְהָאֶחָ֖ד עֹלָ֑ה וְכִפֶּ֨ר עָלָ֧יו הַכֹּהֵ֛ן לִפְנֵ֥י יְהוָ֖ה מִזּוֹבֹֽו׃</w:t>
      </w:r>
    </w:p>
    <w:p w14:paraId="3BC20E9E" w14:textId="79075C8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der Priester soll sie machen, die eine als Sündopfer und die eine als Aufsteigeopfer; und der Priester soll Sühne für ihn erwirken vor dem Angesicht des Ewigen wegen seines Flusses.</w:t>
      </w:r>
    </w:p>
    <w:p w14:paraId="1EB78CAE"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49D4ED4">
          <v:rect id="_x0000_i1462" style="width:0;height:1.5pt" o:hralign="center" o:hrstd="t" o:hr="t" fillcolor="#a0a0a0" stroked="f"/>
        </w:pict>
      </w:r>
    </w:p>
    <w:p w14:paraId="029CBB6B" w14:textId="539F5E2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ועשה אתם הכהן אחד חטאת והאחד עלה וכפר עליו הכהן לפני יהוה מזובו</w:t>
      </w:r>
      <w:r w:rsidRPr="00195E02">
        <w:rPr>
          <w:rFonts w:eastAsia="Times New Roman" w:cs="Times New Roman"/>
          <w:rtl/>
          <w:lang w:eastAsia="de-DE"/>
        </w:rPr>
        <w:t xml:space="preserve"> </w:t>
      </w:r>
      <w:r w:rsidRPr="00195E02">
        <w:rPr>
          <w:rFonts w:eastAsia="Times New Roman" w:cs="Times New Roman"/>
          <w:lang w:eastAsia="de-DE"/>
        </w:rPr>
        <w:t xml:space="preserve">schließt das </w:t>
      </w:r>
      <w:r w:rsidRPr="00195E02">
        <w:rPr>
          <w:rFonts w:eastAsia="Times New Roman" w:cs="Times New Roman"/>
          <w:b/>
          <w:bCs/>
          <w:rtl/>
          <w:lang w:eastAsia="de-DE"/>
        </w:rPr>
        <w:t>זוב</w:t>
      </w:r>
      <w:r w:rsidRPr="00195E02">
        <w:rPr>
          <w:rFonts w:eastAsia="Times New Roman" w:cs="Times New Roman"/>
          <w:lang w:eastAsia="de-DE"/>
        </w:rPr>
        <w:t xml:space="preserve">-Reinigungsritual ab. </w:t>
      </w:r>
      <w:r w:rsidRPr="00195E02">
        <w:rPr>
          <w:rFonts w:eastAsia="Times New Roman" w:cs="Times New Roman"/>
          <w:b/>
          <w:bCs/>
          <w:rtl/>
          <w:lang w:eastAsia="de-DE"/>
        </w:rPr>
        <w:t>ועשה אתם הכהן אחד חטאת והאחד עלה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sie bereiten, die eine als Sündopfer und die andere als </w:t>
      </w:r>
      <w:r w:rsidR="00CF10E7">
        <w:rPr>
          <w:rFonts w:eastAsia="Times New Roman" w:cs="Times New Roman"/>
          <w:lang w:eastAsia="de-DE"/>
        </w:rPr>
        <w:t>Aufsteigeopfer</w:t>
      </w:r>
      <w:r w:rsidRPr="00195E02">
        <w:rPr>
          <w:rFonts w:eastAsia="Times New Roman" w:cs="Times New Roman"/>
          <w:lang w:eastAsia="de-DE"/>
        </w:rPr>
        <w:t>) entspricht der Standardaufteilung von zwei Tauben bei Reinigungsopfern.</w:t>
      </w:r>
    </w:p>
    <w:p w14:paraId="51CEA0EE" w14:textId="4DA4C3B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עליו הכהן לפני יהוה מזובו</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Sühne für ihn erwirken vor dem </w:t>
      </w:r>
      <w:r w:rsidR="004603C6">
        <w:rPr>
          <w:rFonts w:eastAsia="Times New Roman" w:cs="Times New Roman"/>
          <w:lang w:eastAsia="de-DE"/>
        </w:rPr>
        <w:t>Ewigen</w:t>
      </w:r>
      <w:r w:rsidRPr="00195E02">
        <w:rPr>
          <w:rFonts w:eastAsia="Times New Roman" w:cs="Times New Roman"/>
          <w:lang w:eastAsia="de-DE"/>
        </w:rPr>
        <w:t xml:space="preserve"> wegen seines Flusses) - </w:t>
      </w:r>
      <w:r w:rsidRPr="00195E02">
        <w:rPr>
          <w:rFonts w:eastAsia="Times New Roman" w:cs="Times New Roman"/>
          <w:b/>
          <w:bCs/>
          <w:rtl/>
          <w:lang w:eastAsia="de-DE"/>
        </w:rPr>
        <w:t>כפר עליו</w:t>
      </w:r>
      <w:r w:rsidRPr="00195E02">
        <w:rPr>
          <w:rFonts w:eastAsia="Times New Roman" w:cs="Times New Roman"/>
          <w:rtl/>
          <w:lang w:eastAsia="de-DE"/>
        </w:rPr>
        <w:t xml:space="preserve"> </w:t>
      </w:r>
      <w:r w:rsidRPr="00195E02">
        <w:rPr>
          <w:rFonts w:eastAsia="Times New Roman" w:cs="Times New Roman"/>
          <w:lang w:eastAsia="de-DE"/>
        </w:rPr>
        <w:t xml:space="preserve">(Sühne für ihn erwirken) als Zweck der Opfer, </w:t>
      </w:r>
      <w:r w:rsidRPr="00195E02">
        <w:rPr>
          <w:rFonts w:eastAsia="Times New Roman" w:cs="Times New Roman"/>
          <w:b/>
          <w:bCs/>
          <w:rtl/>
          <w:lang w:eastAsia="de-DE"/>
        </w:rPr>
        <w:t>מזובו</w:t>
      </w:r>
      <w:r w:rsidRPr="00195E02">
        <w:rPr>
          <w:rFonts w:eastAsia="Times New Roman" w:cs="Times New Roman"/>
          <w:rtl/>
          <w:lang w:eastAsia="de-DE"/>
        </w:rPr>
        <w:t xml:space="preserve"> </w:t>
      </w:r>
      <w:r w:rsidRPr="00195E02">
        <w:rPr>
          <w:rFonts w:eastAsia="Times New Roman" w:cs="Times New Roman"/>
          <w:lang w:eastAsia="de-DE"/>
        </w:rPr>
        <w:t>(wegen seines Flusses) spezifiziert den Sühneanlass.</w:t>
      </w:r>
    </w:p>
    <w:p w14:paraId="7F00B8F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אחד חטאת והאחד עלה</w:t>
      </w:r>
      <w:r w:rsidRPr="00195E02">
        <w:rPr>
          <w:rFonts w:eastAsia="Times New Roman" w:cs="Times New Roman"/>
          <w:rtl/>
          <w:lang w:eastAsia="de-DE"/>
        </w:rPr>
        <w:t xml:space="preserve"> </w:t>
      </w:r>
      <w:r w:rsidRPr="00195E02">
        <w:rPr>
          <w:rFonts w:eastAsia="Times New Roman" w:cs="Times New Roman"/>
          <w:lang w:eastAsia="de-DE"/>
        </w:rPr>
        <w:t xml:space="preserve">als Standardkombination bei Reinigungsopfern. </w:t>
      </w:r>
      <w:r w:rsidRPr="00195E02">
        <w:rPr>
          <w:rFonts w:eastAsia="Times New Roman" w:cs="Times New Roman"/>
          <w:b/>
          <w:bCs/>
          <w:rtl/>
          <w:lang w:eastAsia="de-DE"/>
        </w:rPr>
        <w:t>וכפר עליו 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dass auch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 xml:space="preserve">Sühneopfer erfordert. </w:t>
      </w:r>
      <w:r w:rsidRPr="00195E02">
        <w:rPr>
          <w:rFonts w:eastAsia="Times New Roman" w:cs="Times New Roman"/>
          <w:b/>
          <w:bCs/>
          <w:rtl/>
          <w:lang w:eastAsia="de-DE"/>
        </w:rPr>
        <w:t>מזובו</w:t>
      </w:r>
      <w:r w:rsidRPr="00195E02">
        <w:rPr>
          <w:rFonts w:eastAsia="Times New Roman" w:cs="Times New Roman"/>
          <w:rtl/>
          <w:lang w:eastAsia="de-DE"/>
        </w:rPr>
        <w:t xml:space="preserve"> </w:t>
      </w:r>
      <w:r w:rsidRPr="00195E02">
        <w:rPr>
          <w:rFonts w:eastAsia="Times New Roman" w:cs="Times New Roman"/>
          <w:lang w:eastAsia="de-DE"/>
        </w:rPr>
        <w:t>betont die spezifische Unreinheitsart.</w:t>
      </w:r>
    </w:p>
    <w:p w14:paraId="59C562F4" w14:textId="1F78ED4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ועשה</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οιήσει</w:t>
      </w:r>
      <w:proofErr w:type="spellEnd"/>
      <w:r w:rsidRPr="00195E02">
        <w:rPr>
          <w:rFonts w:eastAsia="Times New Roman" w:cs="Times New Roman"/>
          <w:lang w:eastAsia="de-DE"/>
        </w:rPr>
        <w:t xml:space="preserve"> (er wird machen), </w:t>
      </w:r>
      <w:r w:rsidRPr="00195E02">
        <w:rPr>
          <w:rFonts w:eastAsia="Times New Roman" w:cs="Times New Roman"/>
          <w:b/>
          <w:bCs/>
          <w:rtl/>
          <w:lang w:eastAsia="de-DE"/>
        </w:rPr>
        <w:t>חטאת</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(wegen der Sünde), </w:t>
      </w:r>
      <w:r w:rsidRPr="00195E02">
        <w:rPr>
          <w:rFonts w:eastAsia="Times New Roman" w:cs="Times New Roman"/>
          <w:b/>
          <w:bCs/>
          <w:rtl/>
          <w:lang w:eastAsia="de-DE"/>
        </w:rPr>
        <w:t>עלה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ὁλοκ</w:t>
      </w:r>
      <w:proofErr w:type="spellEnd"/>
      <w:r w:rsidRPr="00195E02">
        <w:rPr>
          <w:rFonts w:eastAsia="Times New Roman" w:cs="Times New Roman"/>
          <w:lang w:eastAsia="de-DE"/>
        </w:rPr>
        <w:t>αύτωμα (</w:t>
      </w:r>
      <w:r w:rsidR="00CF10E7">
        <w:rPr>
          <w:rFonts w:eastAsia="Times New Roman" w:cs="Times New Roman"/>
          <w:lang w:eastAsia="de-DE"/>
        </w:rPr>
        <w:t>Aufsteigeopfer</w:t>
      </w:r>
      <w:r w:rsidRPr="00195E02">
        <w:rPr>
          <w:rFonts w:eastAsia="Times New Roman" w:cs="Times New Roman"/>
          <w:lang w:eastAsia="de-DE"/>
        </w:rPr>
        <w:t xml:space="preserve">) und </w:t>
      </w:r>
      <w:r w:rsidRPr="00195E02">
        <w:rPr>
          <w:rFonts w:eastAsia="Times New Roman" w:cs="Times New Roman"/>
          <w:b/>
          <w:bCs/>
          <w:rtl/>
          <w:lang w:eastAsia="de-DE"/>
        </w:rPr>
        <w:t>וכפר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ἐξιλάσετ</w:t>
      </w:r>
      <w:proofErr w:type="spellEnd"/>
      <w:r w:rsidRPr="00195E02">
        <w:rPr>
          <w:rFonts w:eastAsia="Times New Roman" w:cs="Times New Roman"/>
          <w:lang w:eastAsia="de-DE"/>
        </w:rPr>
        <w:t>αι (er wird entsühnen).</w:t>
      </w:r>
    </w:p>
    <w:p w14:paraId="0472088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Opferabschluss: priesterliche Opferausführung + Standardaufteilung + Sühneerklärung vor JHWH + spezifischer Anlass. Die Struktur entspricht anderen Reinigungsopfern.</w:t>
      </w:r>
    </w:p>
    <w:p w14:paraId="25BDED60" w14:textId="153C194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schließt die </w:t>
      </w:r>
      <w:r w:rsidRPr="00195E02">
        <w:rPr>
          <w:rFonts w:eastAsia="Times New Roman" w:cs="Times New Roman"/>
          <w:b/>
          <w:bCs/>
          <w:rtl/>
          <w:lang w:eastAsia="de-DE"/>
        </w:rPr>
        <w:t>זוב</w:t>
      </w:r>
      <w:r w:rsidRPr="00195E02">
        <w:rPr>
          <w:rFonts w:eastAsia="Times New Roman" w:cs="Times New Roman"/>
          <w:lang w:eastAsia="de-DE"/>
        </w:rPr>
        <w:t xml:space="preserve">-Reinigung mit Sündopfer, </w:t>
      </w:r>
      <w:r w:rsidR="00CF10E7">
        <w:rPr>
          <w:rFonts w:eastAsia="Times New Roman" w:cs="Times New Roman"/>
          <w:lang w:eastAsia="de-DE"/>
        </w:rPr>
        <w:t>Aufsteigeopfer</w:t>
      </w:r>
      <w:r w:rsidRPr="00195E02">
        <w:rPr>
          <w:rFonts w:eastAsia="Times New Roman" w:cs="Times New Roman"/>
          <w:lang w:eastAsia="de-DE"/>
        </w:rPr>
        <w:t xml:space="preserve"> und Sühneerklärung ab.</w:t>
      </w:r>
    </w:p>
    <w:p w14:paraId="5F61CED2"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15,16</w:t>
      </w:r>
    </w:p>
    <w:p w14:paraId="464848A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וְאִ֕ישׁ כִּֽי־תֵצֵ֥א מִמֶּ֖נּוּ שִׁכְבַת־זָ֑רַע וְרָחַ֥ץ בַּמַּ֛יִם אֶת־כָּל־בְּשָׂרֹ֖ו וְטָמֵ֥א עַד־הָעָֽרֶב׃</w:t>
      </w:r>
    </w:p>
    <w:p w14:paraId="5E17D388" w14:textId="152F615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ein Mann, wenn von ihm Samenerguss ausgeht, so soll er sein ganzes Fleisch im Wasser baden und soll bis zum Abend unrein sein.</w:t>
      </w:r>
    </w:p>
    <w:p w14:paraId="531AF05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80C4823">
          <v:rect id="_x0000_i1463" style="width:0;height:1.5pt" o:hralign="center" o:hrstd="t" o:hr="t" fillcolor="#a0a0a0" stroked="f"/>
        </w:pict>
      </w:r>
    </w:p>
    <w:p w14:paraId="4B82C43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ואיש כי־תצא ממנו שכבת־זרע ורחץ במים את־כל־בשרו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leitet einen neuen Abschnitt über normale Samenergüsse ein. </w:t>
      </w:r>
      <w:r w:rsidRPr="00195E02">
        <w:rPr>
          <w:rFonts w:eastAsia="Times New Roman" w:cs="Times New Roman"/>
          <w:b/>
          <w:bCs/>
          <w:rtl/>
          <w:lang w:eastAsia="de-DE"/>
        </w:rPr>
        <w:t>ואיש כי־תצא ממנו שכבת־זרע</w:t>
      </w:r>
      <w:r w:rsidRPr="00195E02">
        <w:rPr>
          <w:rFonts w:eastAsia="Times New Roman" w:cs="Times New Roman"/>
          <w:rtl/>
          <w:lang w:eastAsia="de-DE"/>
        </w:rPr>
        <w:t xml:space="preserve"> </w:t>
      </w:r>
      <w:r w:rsidRPr="00195E02">
        <w:rPr>
          <w:rFonts w:eastAsia="Times New Roman" w:cs="Times New Roman"/>
          <w:lang w:eastAsia="de-DE"/>
        </w:rPr>
        <w:t xml:space="preserve">(und ein Mann, wenn von ihm Samenerguss ausgeht) - </w:t>
      </w:r>
      <w:r w:rsidRPr="00195E02">
        <w:rPr>
          <w:rFonts w:eastAsia="Times New Roman" w:cs="Times New Roman"/>
          <w:b/>
          <w:bCs/>
          <w:rtl/>
          <w:lang w:eastAsia="de-DE"/>
        </w:rPr>
        <w:t>תצא</w:t>
      </w:r>
      <w:r w:rsidRPr="00195E02">
        <w:rPr>
          <w:rFonts w:eastAsia="Times New Roman" w:cs="Times New Roman"/>
          <w:rtl/>
          <w:lang w:eastAsia="de-DE"/>
        </w:rPr>
        <w:t xml:space="preserve"> </w:t>
      </w:r>
      <w:r w:rsidRPr="00195E02">
        <w:rPr>
          <w:rFonts w:eastAsia="Times New Roman" w:cs="Times New Roman"/>
          <w:lang w:eastAsia="de-DE"/>
        </w:rPr>
        <w:t xml:space="preserve">(ausgeht) im Qal-Imperfekt von </w:t>
      </w:r>
      <w:r w:rsidRPr="00195E02">
        <w:rPr>
          <w:rFonts w:eastAsia="Times New Roman" w:cs="Times New Roman"/>
          <w:b/>
          <w:bCs/>
          <w:rtl/>
          <w:lang w:eastAsia="de-DE"/>
        </w:rPr>
        <w:t>יצא</w:t>
      </w:r>
      <w:r w:rsidRPr="00195E02">
        <w:rPr>
          <w:rFonts w:eastAsia="Times New Roman" w:cs="Times New Roman"/>
          <w:lang w:eastAsia="de-DE"/>
        </w:rPr>
        <w:t xml:space="preserve">, </w:t>
      </w: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 xml:space="preserve">(Samenerguss) als Genitivkonstruktion bezeichnet normale männliche Ejakulation im Unterschied zum pathologischen </w:t>
      </w:r>
      <w:r w:rsidRPr="00195E02">
        <w:rPr>
          <w:rFonts w:eastAsia="Times New Roman" w:cs="Times New Roman"/>
          <w:b/>
          <w:bCs/>
          <w:rtl/>
          <w:lang w:eastAsia="de-DE"/>
        </w:rPr>
        <w:t>זוב</w:t>
      </w:r>
      <w:r w:rsidRPr="00195E02">
        <w:rPr>
          <w:rFonts w:eastAsia="Times New Roman" w:cs="Times New Roman"/>
          <w:lang w:eastAsia="de-DE"/>
        </w:rPr>
        <w:t>.</w:t>
      </w:r>
    </w:p>
    <w:p w14:paraId="72AF76C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ורחץ במים את־כל־בשרו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(so soll er sein ganzes Fleisch in Wasser baden und unrein sein bis zum Abend) - </w:t>
      </w:r>
      <w:r w:rsidRPr="00195E02">
        <w:rPr>
          <w:rFonts w:eastAsia="Times New Roman" w:cs="Times New Roman"/>
          <w:b/>
          <w:bCs/>
          <w:rtl/>
          <w:lang w:eastAsia="de-DE"/>
        </w:rPr>
        <w:t>רחץ את־כל־בשרו</w:t>
      </w:r>
      <w:r w:rsidRPr="00195E02">
        <w:rPr>
          <w:rFonts w:eastAsia="Times New Roman" w:cs="Times New Roman"/>
          <w:rtl/>
          <w:lang w:eastAsia="de-DE"/>
        </w:rPr>
        <w:t xml:space="preserve"> </w:t>
      </w:r>
      <w:r w:rsidRPr="00195E02">
        <w:rPr>
          <w:rFonts w:eastAsia="Times New Roman" w:cs="Times New Roman"/>
          <w:lang w:eastAsia="de-DE"/>
        </w:rPr>
        <w:t xml:space="preserve">(sein ganzes Fleisch baden) zeigt Ganzkörperwaschung, </w:t>
      </w:r>
      <w:r w:rsidRPr="00195E02">
        <w:rPr>
          <w:rFonts w:eastAsia="Times New Roman" w:cs="Times New Roman"/>
          <w:b/>
          <w:bCs/>
          <w:rtl/>
          <w:lang w:eastAsia="de-DE"/>
        </w:rPr>
        <w:t>וטמא עד־הערב</w:t>
      </w:r>
      <w:r w:rsidRPr="00195E02">
        <w:rPr>
          <w:rFonts w:eastAsia="Times New Roman" w:cs="Times New Roman"/>
          <w:rtl/>
          <w:lang w:eastAsia="de-DE"/>
        </w:rPr>
        <w:t xml:space="preserve"> </w:t>
      </w:r>
      <w:r w:rsidRPr="00195E02">
        <w:rPr>
          <w:rFonts w:eastAsia="Times New Roman" w:cs="Times New Roman"/>
          <w:lang w:eastAsia="de-DE"/>
        </w:rPr>
        <w:t>(und unrein bis zum Abend) zeigt kurze Unreinheitsdauer.</w:t>
      </w:r>
    </w:p>
    <w:p w14:paraId="506CC4F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 xml:space="preserve">als normale physiologische Funktion wird anders behandelt als pathologischer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את־כל־בשרו</w:t>
      </w:r>
      <w:r w:rsidRPr="00195E02">
        <w:rPr>
          <w:rFonts w:eastAsia="Times New Roman" w:cs="Times New Roman"/>
          <w:rtl/>
          <w:lang w:eastAsia="de-DE"/>
        </w:rPr>
        <w:t xml:space="preserve"> </w:t>
      </w:r>
      <w:r w:rsidRPr="00195E02">
        <w:rPr>
          <w:rFonts w:eastAsia="Times New Roman" w:cs="Times New Roman"/>
          <w:lang w:eastAsia="de-DE"/>
        </w:rPr>
        <w:t xml:space="preserve">zeigt umfassende aber einfache Reinigung.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zeigt kürzeste Unreinheitsdauer ohne Wartezeiten oder Opfer.</w:t>
      </w:r>
    </w:p>
    <w:p w14:paraId="77CC8680" w14:textId="6219E56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שכבת־זרע</w:t>
      </w:r>
      <w:r w:rsidR="00523826">
        <w:t xml:space="preserve"> (</w:t>
      </w:r>
      <w:proofErr w:type="spellStart"/>
      <w:r w:rsidR="00523826">
        <w:t>shichvat-zera</w:t>
      </w:r>
      <w:proofErr w:type="spellEnd"/>
      <w:r w:rsidR="00523826">
        <w:t xml:space="preserve"> - "Samenerguss") als </w:t>
      </w:r>
      <w:proofErr w:type="spellStart"/>
      <w:r w:rsidR="00523826">
        <w:t>κοίτη</w:t>
      </w:r>
      <w:proofErr w:type="spellEnd"/>
      <w:r w:rsidR="00523826">
        <w:t xml:space="preserve"> σπ</w:t>
      </w:r>
      <w:proofErr w:type="spellStart"/>
      <w:r w:rsidR="00523826">
        <w:t>έρμ</w:t>
      </w:r>
      <w:proofErr w:type="spellEnd"/>
      <w:r w:rsidR="00523826">
        <w:t>ατος (Samenlager), was eine euphemistische aber klare Beschreibung darstellt.</w:t>
      </w:r>
    </w:p>
    <w:p w14:paraId="7C50CFB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normale Unreinheit: physiologische Funktion + einfache Ganzkörperreinigung + kurze Unreinheitsdauer. Die Struktur unterscheidet normale von pathologischen Zuständen.</w:t>
      </w:r>
    </w:p>
    <w:p w14:paraId="433E6D9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regelt normale männliche Ejakulation mit einfacher Ganzkörperwaschung und Unreinheit bis zum Abend.</w:t>
      </w:r>
    </w:p>
    <w:p w14:paraId="4CFEEAEF"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15,17</w:t>
      </w:r>
    </w:p>
    <w:p w14:paraId="6A87ABB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וְכָל־בֶּ֣גֶד וְכָל־ע֔וֹר אֲשֶׁר־יִהְיֶ֥ה עָלָ֖יו שִׁכְבַת־זָ֑רַע וְכֻבַּ֥ס בַּמַּ֖יִם וְטָמֵ֥א עַד־הָעָֽרֶב׃</w:t>
      </w:r>
    </w:p>
    <w:p w14:paraId="71D2691C" w14:textId="1DED360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jedes Kleid und jedes Fell, auf das Samenerguss kommt, soll mit Wasser gewaschen werden und soll bis zum Abend unrein sein.</w:t>
      </w:r>
    </w:p>
    <w:p w14:paraId="30173FC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A385C20">
          <v:rect id="_x0000_i1464" style="width:0;height:1.5pt" o:hralign="center" o:hrstd="t" o:hr="t" fillcolor="#a0a0a0" stroked="f"/>
        </w:pict>
      </w:r>
    </w:p>
    <w:p w14:paraId="06F6584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וכל־בגד וכל־עור אשר־יהיה עליו שכבת־זרע וכבס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regelt kontaminierte Textilien. </w:t>
      </w:r>
      <w:r w:rsidRPr="00195E02">
        <w:rPr>
          <w:rFonts w:eastAsia="Times New Roman" w:cs="Times New Roman"/>
          <w:b/>
          <w:bCs/>
          <w:rtl/>
          <w:lang w:eastAsia="de-DE"/>
        </w:rPr>
        <w:t>וכל־בגד וכל־עור</w:t>
      </w:r>
      <w:r w:rsidRPr="00195E02">
        <w:rPr>
          <w:rFonts w:eastAsia="Times New Roman" w:cs="Times New Roman"/>
          <w:rtl/>
          <w:lang w:eastAsia="de-DE"/>
        </w:rPr>
        <w:t xml:space="preserve"> </w:t>
      </w:r>
      <w:r w:rsidRPr="00195E02">
        <w:rPr>
          <w:rFonts w:eastAsia="Times New Roman" w:cs="Times New Roman"/>
          <w:lang w:eastAsia="de-DE"/>
        </w:rPr>
        <w:t xml:space="preserve">(und jedes Kleid und jedes Leder) zeigt die beiden Haupttextilkategorien. </w:t>
      </w:r>
      <w:r w:rsidRPr="00195E02">
        <w:rPr>
          <w:rFonts w:eastAsia="Times New Roman" w:cs="Times New Roman"/>
          <w:b/>
          <w:bCs/>
          <w:rtl/>
          <w:lang w:eastAsia="de-DE"/>
        </w:rPr>
        <w:t>אשר־יהיה עליו שכבת־זרע</w:t>
      </w:r>
      <w:r w:rsidRPr="00195E02">
        <w:rPr>
          <w:rFonts w:eastAsia="Times New Roman" w:cs="Times New Roman"/>
          <w:rtl/>
          <w:lang w:eastAsia="de-DE"/>
        </w:rPr>
        <w:t xml:space="preserve"> </w:t>
      </w:r>
      <w:r w:rsidRPr="00195E02">
        <w:rPr>
          <w:rFonts w:eastAsia="Times New Roman" w:cs="Times New Roman"/>
          <w:lang w:eastAsia="de-DE"/>
        </w:rPr>
        <w:t>(auf das Samenerguss kommt) zeigt direkte Kontamination.</w:t>
      </w:r>
    </w:p>
    <w:p w14:paraId="33A5BBB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וכבס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(soll in Wasser gewaschen werden und unrein sein bis zum Abend) - </w:t>
      </w:r>
      <w:r w:rsidRPr="00195E02">
        <w:rPr>
          <w:rFonts w:eastAsia="Times New Roman" w:cs="Times New Roman"/>
          <w:b/>
          <w:bCs/>
          <w:rtl/>
          <w:lang w:eastAsia="de-DE"/>
        </w:rPr>
        <w:t>כבס במים</w:t>
      </w:r>
      <w:r w:rsidRPr="00195E02">
        <w:rPr>
          <w:rFonts w:eastAsia="Times New Roman" w:cs="Times New Roman"/>
          <w:rtl/>
          <w:lang w:eastAsia="de-DE"/>
        </w:rPr>
        <w:t xml:space="preserve"> </w:t>
      </w:r>
      <w:r w:rsidRPr="00195E02">
        <w:rPr>
          <w:rFonts w:eastAsia="Times New Roman" w:cs="Times New Roman"/>
          <w:lang w:eastAsia="de-DE"/>
        </w:rPr>
        <w:t xml:space="preserve">(in Wasser waschen) als einfache Reinigung ohne Zerbrechen wie bei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וטמא עד־הערב</w:t>
      </w:r>
      <w:r w:rsidRPr="00195E02">
        <w:rPr>
          <w:rFonts w:eastAsia="Times New Roman" w:cs="Times New Roman"/>
          <w:rtl/>
          <w:lang w:eastAsia="de-DE"/>
        </w:rPr>
        <w:t xml:space="preserve"> </w:t>
      </w:r>
      <w:r w:rsidRPr="00195E02">
        <w:rPr>
          <w:rFonts w:eastAsia="Times New Roman" w:cs="Times New Roman"/>
          <w:lang w:eastAsia="de-DE"/>
        </w:rPr>
        <w:t>entspricht V. 16.</w:t>
      </w:r>
    </w:p>
    <w:p w14:paraId="781E409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בגד</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עור</w:t>
      </w:r>
      <w:r w:rsidRPr="00195E02">
        <w:rPr>
          <w:rFonts w:eastAsia="Times New Roman" w:cs="Times New Roman"/>
          <w:rtl/>
          <w:lang w:eastAsia="de-DE"/>
        </w:rPr>
        <w:t xml:space="preserve"> </w:t>
      </w:r>
      <w:r w:rsidRPr="00195E02">
        <w:rPr>
          <w:rFonts w:eastAsia="Times New Roman" w:cs="Times New Roman"/>
          <w:lang w:eastAsia="de-DE"/>
        </w:rPr>
        <w:t xml:space="preserve">als Haupt-Textilmaterialien zeigen umfassende Anwendung. </w:t>
      </w:r>
      <w:r w:rsidRPr="00195E02">
        <w:rPr>
          <w:rFonts w:eastAsia="Times New Roman" w:cs="Times New Roman"/>
          <w:b/>
          <w:bCs/>
          <w:rtl/>
          <w:lang w:eastAsia="de-DE"/>
        </w:rPr>
        <w:t>כבס במים</w:t>
      </w:r>
      <w:r w:rsidRPr="00195E02">
        <w:rPr>
          <w:rFonts w:eastAsia="Times New Roman" w:cs="Times New Roman"/>
          <w:rtl/>
          <w:lang w:eastAsia="de-DE"/>
        </w:rPr>
        <w:t xml:space="preserve"> </w:t>
      </w:r>
      <w:r w:rsidRPr="00195E02">
        <w:rPr>
          <w:rFonts w:eastAsia="Times New Roman" w:cs="Times New Roman"/>
          <w:lang w:eastAsia="de-DE"/>
        </w:rPr>
        <w:t xml:space="preserve">zeigt einfache Reinigung im Unterschied zur Materialvernichtung bei pathologischen Ausflüssen.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zeigt dieselbe kurze Unreinheitsdauer wie beim Menschen.</w:t>
      </w:r>
    </w:p>
    <w:p w14:paraId="3BA142D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בגד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ἱμάτιον</w:t>
      </w:r>
      <w:proofErr w:type="spellEnd"/>
      <w:r w:rsidRPr="00195E02">
        <w:rPr>
          <w:rFonts w:eastAsia="Times New Roman" w:cs="Times New Roman"/>
          <w:lang w:eastAsia="de-DE"/>
        </w:rPr>
        <w:t xml:space="preserve"> (Kleid), </w:t>
      </w:r>
      <w:r w:rsidRPr="00195E02">
        <w:rPr>
          <w:rFonts w:eastAsia="Times New Roman" w:cs="Times New Roman"/>
          <w:b/>
          <w:bCs/>
          <w:rtl/>
          <w:lang w:eastAsia="de-DE"/>
        </w:rPr>
        <w:t>עור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δέρμ</w:t>
      </w:r>
      <w:proofErr w:type="spellEnd"/>
      <w:r w:rsidRPr="00195E02">
        <w:rPr>
          <w:rFonts w:eastAsia="Times New Roman" w:cs="Times New Roman"/>
          <w:lang w:eastAsia="de-DE"/>
        </w:rPr>
        <w:t xml:space="preserve">α (Leder), </w:t>
      </w:r>
      <w:r w:rsidRPr="00195E02">
        <w:rPr>
          <w:rFonts w:eastAsia="Times New Roman" w:cs="Times New Roman"/>
          <w:b/>
          <w:bCs/>
          <w:rtl/>
          <w:lang w:eastAsia="de-DE"/>
        </w:rPr>
        <w:t>וכבס</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λυθήσετ</w:t>
      </w:r>
      <w:proofErr w:type="spellEnd"/>
      <w:r w:rsidRPr="00195E02">
        <w:rPr>
          <w:rFonts w:eastAsia="Times New Roman" w:cs="Times New Roman"/>
          <w:lang w:eastAsia="de-DE"/>
        </w:rPr>
        <w:t xml:space="preserve">αι (wird gewaschen werden) und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ἕως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ἑσ</w:t>
      </w:r>
      <w:proofErr w:type="spellEnd"/>
      <w:r w:rsidRPr="00195E02">
        <w:rPr>
          <w:rFonts w:eastAsia="Times New Roman" w:cs="Times New Roman"/>
          <w:lang w:eastAsia="de-DE"/>
        </w:rPr>
        <w:t>πέρας (bis zum Abend).</w:t>
      </w:r>
    </w:p>
    <w:p w14:paraId="348E055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Textilkontamination: zwei Materialkategorien + Kontaminationsbedingung + einfache Reinigung + kurze Unreinheit. Die Struktur zeigt mildere Behandlung normaler Kontamination.</w:t>
      </w:r>
    </w:p>
    <w:p w14:paraId="47701FF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einfache Waschung kontaminierter Textilien ohne Materialvernichtung bei normalem Samenerguss.</w:t>
      </w:r>
    </w:p>
    <w:p w14:paraId="33873181"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15,18</w:t>
      </w:r>
    </w:p>
    <w:p w14:paraId="6482F57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וְאִשָּׁ֕ה אֲשֶׁ֨ר יִשְׁכַּ֥ב אִ֛ישׁ אֹתָ֖הּ שִׁכְבַת־זָ֑רַע וְרָחֲצ֣וּ בַמַּ֔יִם וְטָמְא֖וּ עַד־הָעָֽרֶב׃</w:t>
      </w:r>
    </w:p>
    <w:p w14:paraId="0F1064CD" w14:textId="379E735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eine Frau, mit der ein Mann liegt mit Samenerguss – sie sollen sich im Wasser baden und sollen unrein sein bis zum Abend.</w:t>
      </w:r>
    </w:p>
    <w:p w14:paraId="02F7BC4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F3329AB">
          <v:rect id="_x0000_i1465" style="width:0;height:1.5pt" o:hralign="center" o:hrstd="t" o:hr="t" fillcolor="#a0a0a0" stroked="f"/>
        </w:pict>
      </w:r>
    </w:p>
    <w:p w14:paraId="74FEC54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ואשה אשר ישכב איש אתה שכבת־זרע ורחצו במים וטמאו עד־הערב</w:t>
      </w:r>
      <w:r w:rsidRPr="00195E02">
        <w:rPr>
          <w:rFonts w:eastAsia="Times New Roman" w:cs="Times New Roman"/>
          <w:rtl/>
          <w:lang w:eastAsia="de-DE"/>
        </w:rPr>
        <w:t xml:space="preserve"> </w:t>
      </w:r>
      <w:r w:rsidRPr="00195E02">
        <w:rPr>
          <w:rFonts w:eastAsia="Times New Roman" w:cs="Times New Roman"/>
          <w:lang w:eastAsia="de-DE"/>
        </w:rPr>
        <w:t xml:space="preserve">regelt geschlechtliche Vereinigung. </w:t>
      </w:r>
      <w:r w:rsidRPr="00195E02">
        <w:rPr>
          <w:rFonts w:eastAsia="Times New Roman" w:cs="Times New Roman"/>
          <w:b/>
          <w:bCs/>
          <w:rtl/>
          <w:lang w:eastAsia="de-DE"/>
        </w:rPr>
        <w:t>ואשה אשר ישכב איש אתה שכבת־זרע</w:t>
      </w:r>
      <w:r w:rsidRPr="00195E02">
        <w:rPr>
          <w:rFonts w:eastAsia="Times New Roman" w:cs="Times New Roman"/>
          <w:rtl/>
          <w:lang w:eastAsia="de-DE"/>
        </w:rPr>
        <w:t xml:space="preserve"> </w:t>
      </w:r>
      <w:r w:rsidRPr="00195E02">
        <w:rPr>
          <w:rFonts w:eastAsia="Times New Roman" w:cs="Times New Roman"/>
          <w:lang w:eastAsia="de-DE"/>
        </w:rPr>
        <w:t xml:space="preserve">(und eine Frau, mit der ein Mann liegt mit Samenerguss) - </w:t>
      </w:r>
      <w:r w:rsidRPr="00195E02">
        <w:rPr>
          <w:rFonts w:eastAsia="Times New Roman" w:cs="Times New Roman"/>
          <w:b/>
          <w:bCs/>
          <w:rtl/>
          <w:lang w:eastAsia="de-DE"/>
        </w:rPr>
        <w:t>ישכב איש אתה</w:t>
      </w:r>
      <w:r w:rsidRPr="00195E02">
        <w:rPr>
          <w:rFonts w:eastAsia="Times New Roman" w:cs="Times New Roman"/>
          <w:rtl/>
          <w:lang w:eastAsia="de-DE"/>
        </w:rPr>
        <w:t xml:space="preserve"> </w:t>
      </w:r>
      <w:r w:rsidRPr="00195E02">
        <w:rPr>
          <w:rFonts w:eastAsia="Times New Roman" w:cs="Times New Roman"/>
          <w:lang w:eastAsia="de-DE"/>
        </w:rPr>
        <w:t xml:space="preserve">(ein Mann liegt mit ihr) als euphemistische Formulierung für Geschlechtsverkehr, </w:t>
      </w: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spezifiziert, dass Ejakulation stattfindet.</w:t>
      </w:r>
    </w:p>
    <w:p w14:paraId="6CE3650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ורחצו במים וטמאו עד־הערב</w:t>
      </w:r>
      <w:r w:rsidRPr="00195E02">
        <w:rPr>
          <w:rFonts w:eastAsia="Times New Roman" w:cs="Times New Roman"/>
          <w:rtl/>
          <w:lang w:eastAsia="de-DE"/>
        </w:rPr>
        <w:t xml:space="preserve"> </w:t>
      </w:r>
      <w:r w:rsidRPr="00195E02">
        <w:rPr>
          <w:rFonts w:eastAsia="Times New Roman" w:cs="Times New Roman"/>
          <w:lang w:eastAsia="de-DE"/>
        </w:rPr>
        <w:t xml:space="preserve">(sie sollen sich in Wasser baden und unrein sein bis zum Abend) - </w:t>
      </w:r>
      <w:r w:rsidRPr="00195E02">
        <w:rPr>
          <w:rFonts w:eastAsia="Times New Roman" w:cs="Times New Roman"/>
          <w:b/>
          <w:bCs/>
          <w:rtl/>
          <w:lang w:eastAsia="de-DE"/>
        </w:rPr>
        <w:t>רחצו</w:t>
      </w:r>
      <w:r w:rsidRPr="00195E02">
        <w:rPr>
          <w:rFonts w:eastAsia="Times New Roman" w:cs="Times New Roman"/>
          <w:rtl/>
          <w:lang w:eastAsia="de-DE"/>
        </w:rPr>
        <w:t xml:space="preserve"> </w:t>
      </w:r>
      <w:r w:rsidRPr="00195E02">
        <w:rPr>
          <w:rFonts w:eastAsia="Times New Roman" w:cs="Times New Roman"/>
          <w:lang w:eastAsia="de-DE"/>
        </w:rPr>
        <w:t xml:space="preserve">(sie sollen baden) im Qal-Perfekt Plural zeigt, dass beide Partner sich waschen müssen, </w:t>
      </w:r>
      <w:r w:rsidRPr="00195E02">
        <w:rPr>
          <w:rFonts w:eastAsia="Times New Roman" w:cs="Times New Roman"/>
          <w:b/>
          <w:bCs/>
          <w:rtl/>
          <w:lang w:eastAsia="de-DE"/>
        </w:rPr>
        <w:t>וטמאו</w:t>
      </w:r>
      <w:r w:rsidRPr="00195E02">
        <w:rPr>
          <w:rFonts w:eastAsia="Times New Roman" w:cs="Times New Roman"/>
          <w:rtl/>
          <w:lang w:eastAsia="de-DE"/>
        </w:rPr>
        <w:t xml:space="preserve"> </w:t>
      </w:r>
      <w:r w:rsidRPr="00195E02">
        <w:rPr>
          <w:rFonts w:eastAsia="Times New Roman" w:cs="Times New Roman"/>
          <w:lang w:eastAsia="de-DE"/>
        </w:rPr>
        <w:t>(und unrein sein) Plural entspricht beiden Partnern.</w:t>
      </w:r>
    </w:p>
    <w:p w14:paraId="6AA7907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ישכב איש אתה שכבת־זרע</w:t>
      </w:r>
      <w:r w:rsidRPr="00195E02">
        <w:rPr>
          <w:rFonts w:eastAsia="Times New Roman" w:cs="Times New Roman"/>
          <w:rtl/>
          <w:lang w:eastAsia="de-DE"/>
        </w:rPr>
        <w:t xml:space="preserve"> </w:t>
      </w:r>
      <w:r w:rsidRPr="00195E02">
        <w:rPr>
          <w:rFonts w:eastAsia="Times New Roman" w:cs="Times New Roman"/>
          <w:lang w:eastAsia="de-DE"/>
        </w:rPr>
        <w:t xml:space="preserve">zeigt normalen ehelichen Verkehr mit Ejakulation. </w:t>
      </w:r>
      <w:r w:rsidRPr="00195E02">
        <w:rPr>
          <w:rFonts w:eastAsia="Times New Roman" w:cs="Times New Roman"/>
          <w:b/>
          <w:bCs/>
          <w:rtl/>
          <w:lang w:eastAsia="de-DE"/>
        </w:rPr>
        <w:t>רחצו</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טמאו</w:t>
      </w:r>
      <w:r w:rsidRPr="00195E02">
        <w:rPr>
          <w:rFonts w:eastAsia="Times New Roman" w:cs="Times New Roman"/>
          <w:rtl/>
          <w:lang w:eastAsia="de-DE"/>
        </w:rPr>
        <w:t xml:space="preserve"> </w:t>
      </w:r>
      <w:r w:rsidRPr="00195E02">
        <w:rPr>
          <w:rFonts w:eastAsia="Times New Roman" w:cs="Times New Roman"/>
          <w:lang w:eastAsia="de-DE"/>
        </w:rPr>
        <w:t xml:space="preserve">im Plural zeigen gleiche Unreinheit und Reinigungsverantwortung beider Partner. </w:t>
      </w:r>
      <w:r w:rsidRPr="00195E02">
        <w:rPr>
          <w:rFonts w:eastAsia="Times New Roman" w:cs="Times New Roman"/>
          <w:b/>
          <w:bCs/>
          <w:rtl/>
          <w:lang w:eastAsia="de-DE"/>
        </w:rPr>
        <w:t>עד־הערב</w:t>
      </w:r>
      <w:r w:rsidRPr="00195E02">
        <w:rPr>
          <w:rFonts w:eastAsia="Times New Roman" w:cs="Times New Roman"/>
          <w:rtl/>
          <w:lang w:eastAsia="de-DE"/>
        </w:rPr>
        <w:t xml:space="preserve"> </w:t>
      </w:r>
      <w:r w:rsidRPr="00195E02">
        <w:rPr>
          <w:rFonts w:eastAsia="Times New Roman" w:cs="Times New Roman"/>
          <w:lang w:eastAsia="de-DE"/>
        </w:rPr>
        <w:t>zeigt kurze, gemeinsame Unreinheitsdauer.</w:t>
      </w:r>
    </w:p>
    <w:p w14:paraId="395EE83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ישכב</w:t>
      </w:r>
      <w:r w:rsidRPr="00195E02">
        <w:rPr>
          <w:rFonts w:eastAsia="Times New Roman" w:cs="Times New Roman"/>
          <w:rtl/>
          <w:lang w:eastAsia="de-DE"/>
        </w:rPr>
        <w:t xml:space="preserve"> </w:t>
      </w:r>
      <w:r w:rsidRPr="00195E02">
        <w:rPr>
          <w:rFonts w:eastAsia="Times New Roman" w:cs="Times New Roman"/>
          <w:lang w:eastAsia="de-DE"/>
        </w:rPr>
        <w:t xml:space="preserve">mit κοιμηθῇ (schläft), </w:t>
      </w: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κοίτην</w:t>
      </w:r>
      <w:proofErr w:type="spellEnd"/>
      <w:r w:rsidRPr="00195E02">
        <w:rPr>
          <w:rFonts w:eastAsia="Times New Roman" w:cs="Times New Roman"/>
          <w:lang w:eastAsia="de-DE"/>
        </w:rPr>
        <w:t xml:space="preserve"> σπ</w:t>
      </w:r>
      <w:proofErr w:type="spellStart"/>
      <w:r w:rsidRPr="00195E02">
        <w:rPr>
          <w:rFonts w:eastAsia="Times New Roman" w:cs="Times New Roman"/>
          <w:lang w:eastAsia="de-DE"/>
        </w:rPr>
        <w:t>έρμ</w:t>
      </w:r>
      <w:proofErr w:type="spellEnd"/>
      <w:r w:rsidRPr="00195E02">
        <w:rPr>
          <w:rFonts w:eastAsia="Times New Roman" w:cs="Times New Roman"/>
          <w:lang w:eastAsia="de-DE"/>
        </w:rPr>
        <w:t xml:space="preserve">ατος (Samenschlaf), </w:t>
      </w:r>
      <w:r w:rsidRPr="00195E02">
        <w:rPr>
          <w:rFonts w:eastAsia="Times New Roman" w:cs="Times New Roman"/>
          <w:b/>
          <w:bCs/>
          <w:rtl/>
          <w:lang w:eastAsia="de-DE"/>
        </w:rPr>
        <w:t>ורחצו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λούσοντ</w:t>
      </w:r>
      <w:proofErr w:type="spellEnd"/>
      <w:r w:rsidRPr="00195E02">
        <w:rPr>
          <w:rFonts w:eastAsia="Times New Roman" w:cs="Times New Roman"/>
          <w:lang w:eastAsia="de-DE"/>
        </w:rPr>
        <w:t xml:space="preserve">αι (sie werden baden) und </w:t>
      </w:r>
      <w:r w:rsidRPr="00195E02">
        <w:rPr>
          <w:rFonts w:eastAsia="Times New Roman" w:cs="Times New Roman"/>
          <w:b/>
          <w:bCs/>
          <w:rtl/>
          <w:lang w:eastAsia="de-DE"/>
        </w:rPr>
        <w:t>וטמאו</w:t>
      </w:r>
      <w:r w:rsidRPr="00195E02">
        <w:rPr>
          <w:rFonts w:eastAsia="Times New Roman" w:cs="Times New Roman"/>
          <w:rtl/>
          <w:lang w:eastAsia="de-DE"/>
        </w:rPr>
        <w:t xml:space="preserve"> </w:t>
      </w:r>
      <w:r w:rsidRPr="00195E02">
        <w:rPr>
          <w:rFonts w:eastAsia="Times New Roman" w:cs="Times New Roman"/>
          <w:lang w:eastAsia="de-DE"/>
        </w:rPr>
        <w:t>mit ἀκάθα</w:t>
      </w:r>
      <w:proofErr w:type="spellStart"/>
      <w:r w:rsidRPr="00195E02">
        <w:rPr>
          <w:rFonts w:eastAsia="Times New Roman" w:cs="Times New Roman"/>
          <w:lang w:eastAsia="de-DE"/>
        </w:rPr>
        <w:t>ρτοι</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ἔσοντ</w:t>
      </w:r>
      <w:proofErr w:type="spellEnd"/>
      <w:r w:rsidRPr="00195E02">
        <w:rPr>
          <w:rFonts w:eastAsia="Times New Roman" w:cs="Times New Roman"/>
          <w:lang w:eastAsia="de-DE"/>
        </w:rPr>
        <w:t>αι (unrein werden sie sein).</w:t>
      </w:r>
    </w:p>
    <w:p w14:paraId="090094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Satzstruktur:</w:t>
      </w:r>
      <w:r w:rsidRPr="00195E02">
        <w:rPr>
          <w:rFonts w:eastAsia="Times New Roman" w:cs="Times New Roman"/>
          <w:lang w:eastAsia="de-DE"/>
        </w:rPr>
        <w:t xml:space="preserve"> zeigt gemeinsame Unreinheit: euphemistische Beschreibung des Geschlechtsverkehrs + gemeinsame Reinigungsverantwortung + gemeinsame temporäre Unreinheit. Die Struktur zeigt Gleichbehandlung beider Partner.</w:t>
      </w:r>
    </w:p>
    <w:p w14:paraId="765757B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regelt die gemeinsame temporäre Unreinheit und Waschungspflicht beider Partner nach normalem Geschlechtsverkehr.</w:t>
      </w:r>
    </w:p>
    <w:p w14:paraId="0FCE3DF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15,19</w:t>
      </w:r>
    </w:p>
    <w:p w14:paraId="762BDEB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וְאִשָּׁה֙ כִּֽי־תִהְיֶ֣ה זָבָ֔ה דָּ֛ם יִהְיֶ֥ה זֹבָ֖הּ בִּבְשָׂרָ֑הּ שִׁבְעַ֤ת יָמִים֙ תִּהְיֶ֣ה בְנִדָּתָ֔הּ וְכָל־הַנֹּגֵ֥עַ בָּ֖הּ יִטְמָ֥א עַד־הָעָֽרֶב׃</w:t>
      </w:r>
    </w:p>
    <w:p w14:paraId="0C0BA584" w14:textId="0736120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eine Frau, wenn sie fließend ist – Blut ist ihr Fluss an ihrem Fleisch – soll sie sieben Tage in ihrer Unreinheit sein, und jeder, der sie berührt, wird unrein sein bis zum Abend.</w:t>
      </w:r>
    </w:p>
    <w:p w14:paraId="35D971D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8D24A21">
          <v:rect id="_x0000_i1466" style="width:0;height:1.5pt" o:hralign="center" o:hrstd="t" o:hr="t" fillcolor="#a0a0a0" stroked="f"/>
        </w:pict>
      </w:r>
    </w:p>
    <w:p w14:paraId="71F0805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ואשה כי־תהיה זבה דם יהיה זבה בבשרה שבעת ימים תהיה בנדתה וכל־הנגע בה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leitet die weibliche Menstruation ein. </w:t>
      </w:r>
      <w:r w:rsidRPr="00195E02">
        <w:rPr>
          <w:rFonts w:eastAsia="Times New Roman" w:cs="Times New Roman"/>
          <w:b/>
          <w:bCs/>
          <w:rtl/>
          <w:lang w:eastAsia="de-DE"/>
        </w:rPr>
        <w:t>ואשה כי־תהיה זבה</w:t>
      </w:r>
      <w:r w:rsidRPr="00195E02">
        <w:rPr>
          <w:rFonts w:eastAsia="Times New Roman" w:cs="Times New Roman"/>
          <w:rtl/>
          <w:lang w:eastAsia="de-DE"/>
        </w:rPr>
        <w:t xml:space="preserve"> </w:t>
      </w:r>
      <w:r w:rsidRPr="00195E02">
        <w:rPr>
          <w:rFonts w:eastAsia="Times New Roman" w:cs="Times New Roman"/>
          <w:lang w:eastAsia="de-DE"/>
        </w:rPr>
        <w:t xml:space="preserve">(und eine Frau, wenn sie fließend ist) -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(fließend) als feminin Partizip entsprechend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xml:space="preserve">für Männer. </w:t>
      </w:r>
      <w:r w:rsidRPr="00195E02">
        <w:rPr>
          <w:rFonts w:eastAsia="Times New Roman" w:cs="Times New Roman"/>
          <w:b/>
          <w:bCs/>
          <w:rtl/>
          <w:lang w:eastAsia="de-DE"/>
        </w:rPr>
        <w:t>דם יהיה זבה בבשרה</w:t>
      </w:r>
      <w:r w:rsidRPr="00195E02">
        <w:rPr>
          <w:rFonts w:eastAsia="Times New Roman" w:cs="Times New Roman"/>
          <w:rtl/>
          <w:lang w:eastAsia="de-DE"/>
        </w:rPr>
        <w:t xml:space="preserve"> </w:t>
      </w:r>
      <w:r w:rsidRPr="00195E02">
        <w:rPr>
          <w:rFonts w:eastAsia="Times New Roman" w:cs="Times New Roman"/>
          <w:lang w:eastAsia="de-DE"/>
        </w:rPr>
        <w:t>(Blut ist ihr Fluss an ihrem Fleisch) spezifiziert Blut als Ausflussart.</w:t>
      </w:r>
    </w:p>
    <w:p w14:paraId="3277AD5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שבעת ימים תהיה בנדתה</w:t>
      </w:r>
      <w:r w:rsidRPr="00195E02">
        <w:rPr>
          <w:rFonts w:eastAsia="Times New Roman" w:cs="Times New Roman"/>
          <w:rtl/>
          <w:lang w:eastAsia="de-DE"/>
        </w:rPr>
        <w:t xml:space="preserve"> </w:t>
      </w:r>
      <w:r w:rsidRPr="00195E02">
        <w:rPr>
          <w:rFonts w:eastAsia="Times New Roman" w:cs="Times New Roman"/>
          <w:lang w:eastAsia="de-DE"/>
        </w:rPr>
        <w:t xml:space="preserve">(sieben Tage soll sie in ihrer Unreinheit sein) -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(Unreinheit/Menstruation) als spezifischer Begriff für weibliche Monatsblutung,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als feste Dauer unabhängig von der tatsächlichen Blutungsdauer.</w:t>
      </w:r>
    </w:p>
    <w:p w14:paraId="3442D86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וכל־הנגע בה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(und jeder, der sie berührt, wird unrein sein bis zum Abend) zeigt Kontaktunreinheit entsprechend männlichem </w:t>
      </w:r>
      <w:r w:rsidRPr="00195E02">
        <w:rPr>
          <w:rFonts w:eastAsia="Times New Roman" w:cs="Times New Roman"/>
          <w:b/>
          <w:bCs/>
          <w:rtl/>
          <w:lang w:eastAsia="de-DE"/>
        </w:rPr>
        <w:t>זוב</w:t>
      </w:r>
      <w:r w:rsidRPr="00195E02">
        <w:rPr>
          <w:rFonts w:eastAsia="Times New Roman" w:cs="Times New Roman"/>
          <w:lang w:eastAsia="de-DE"/>
        </w:rPr>
        <w:t>.</w:t>
      </w:r>
    </w:p>
    <w:p w14:paraId="037588F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זב</w:t>
      </w:r>
      <w:r w:rsidRPr="00195E02">
        <w:rPr>
          <w:rFonts w:eastAsia="Times New Roman" w:cs="Times New Roman"/>
          <w:rtl/>
          <w:lang w:eastAsia="de-DE"/>
        </w:rPr>
        <w:t xml:space="preserve"> </w:t>
      </w:r>
      <w:r w:rsidRPr="00195E02">
        <w:rPr>
          <w:rFonts w:eastAsia="Times New Roman" w:cs="Times New Roman"/>
          <w:lang w:eastAsia="de-DE"/>
        </w:rPr>
        <w:t xml:space="preserve">als parallele Begriffe für weibliche und männliche Ausflüsse. </w:t>
      </w:r>
      <w:r w:rsidRPr="00195E02">
        <w:rPr>
          <w:rFonts w:eastAsia="Times New Roman" w:cs="Times New Roman"/>
          <w:b/>
          <w:bCs/>
          <w:rtl/>
          <w:lang w:eastAsia="de-DE"/>
        </w:rPr>
        <w:t>דם</w:t>
      </w:r>
      <w:r w:rsidRPr="00195E02">
        <w:rPr>
          <w:rFonts w:eastAsia="Times New Roman" w:cs="Times New Roman"/>
          <w:rtl/>
          <w:lang w:eastAsia="de-DE"/>
        </w:rPr>
        <w:t xml:space="preserve"> </w:t>
      </w:r>
      <w:r w:rsidRPr="00195E02">
        <w:rPr>
          <w:rFonts w:eastAsia="Times New Roman" w:cs="Times New Roman"/>
          <w:lang w:eastAsia="de-DE"/>
        </w:rPr>
        <w:t xml:space="preserve">spezifiziert die Ausflussart bei Frauen.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als etablierter Begriff für normale Menstruation.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als feste kultische Dauer.</w:t>
      </w:r>
    </w:p>
    <w:p w14:paraId="4F1359FF" w14:textId="4C33483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נדה</w:t>
      </w:r>
      <w:r w:rsidR="00523826">
        <w:t xml:space="preserve"> (</w:t>
      </w:r>
      <w:proofErr w:type="spellStart"/>
      <w:r w:rsidR="00523826">
        <w:t>nidda</w:t>
      </w:r>
      <w:proofErr w:type="spellEnd"/>
      <w:r w:rsidR="00523826">
        <w:t xml:space="preserve"> - "Menstruation") als </w:t>
      </w:r>
      <w:proofErr w:type="spellStart"/>
      <w:r w:rsidR="00523826">
        <w:t>ἄφεδρος</w:t>
      </w:r>
      <w:proofErr w:type="spellEnd"/>
      <w:r w:rsidR="00523826">
        <w:t xml:space="preserve"> (Absonderung/Zurückgezogenheit), was den sozialen Aspekt der Menstruationsunreinheit betont.</w:t>
      </w:r>
    </w:p>
    <w:p w14:paraId="34705A5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weibliche Entsprechung: Zustandsdefinition + Ausflussart + feste Unreinheitsdauer + Kontaktunreinheit. Die Struktur parallelisiert männliche und weibliche Ausfluss-Unreinheit.</w:t>
      </w:r>
    </w:p>
    <w:p w14:paraId="55457E4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definiert normale Menstruation (</w:t>
      </w:r>
      <w:r w:rsidRPr="00195E02">
        <w:rPr>
          <w:rFonts w:eastAsia="Times New Roman" w:cs="Times New Roman"/>
          <w:b/>
          <w:bCs/>
          <w:rtl/>
          <w:lang w:eastAsia="de-DE"/>
        </w:rPr>
        <w:t>נדה</w:t>
      </w:r>
      <w:r w:rsidRPr="00195E02">
        <w:rPr>
          <w:rFonts w:eastAsia="Times New Roman" w:cs="Times New Roman"/>
          <w:lang w:eastAsia="de-DE"/>
        </w:rPr>
        <w:t>) als siebentägige Unreinheit mit Kontaktübertragung.</w:t>
      </w:r>
    </w:p>
    <w:p w14:paraId="6609A9F4"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15,20</w:t>
      </w:r>
    </w:p>
    <w:p w14:paraId="1BC9D8C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 אֲשֶׁ֨ר תִּשְׁכַּ֥ב עָלָ֛יו בְּנִדָּתָ֖הּ יִטְמָ֑א וְכֹ֛ל אֲשֶׁר־תֵּשֵׁ֥ב עָלָ֖יו יִטְמָֽא׃</w:t>
      </w:r>
    </w:p>
    <w:p w14:paraId="298DE352" w14:textId="47F99D9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w:t>
      </w:r>
      <w:r w:rsidR="00264340">
        <w:t>Und alles, worauf sie in ihrer Unreinheit liegt, wird unrein sein; und alles, worauf sie sitzt, wird unrein sein.</w:t>
      </w:r>
    </w:p>
    <w:p w14:paraId="43568DE4"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672B8FD">
          <v:rect id="_x0000_i1467" style="width:0;height:1.5pt" o:hralign="center" o:hrstd="t" o:hr="t" fillcolor="#a0a0a0" stroked="f"/>
        </w:pict>
      </w:r>
    </w:p>
    <w:p w14:paraId="6A8E3A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 אשר תשכב עליו בנדתה יטמא וכל אשר־תשב עליו יטמא</w:t>
      </w:r>
      <w:r w:rsidRPr="00195E02">
        <w:rPr>
          <w:rFonts w:eastAsia="Times New Roman" w:cs="Times New Roman"/>
          <w:rtl/>
          <w:lang w:eastAsia="de-DE"/>
        </w:rPr>
        <w:t xml:space="preserve"> </w:t>
      </w:r>
      <w:r w:rsidRPr="00195E02">
        <w:rPr>
          <w:rFonts w:eastAsia="Times New Roman" w:cs="Times New Roman"/>
          <w:lang w:eastAsia="de-DE"/>
        </w:rPr>
        <w:t xml:space="preserve">entspricht V. 4 für männlichen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וכל אשר תשכב עליו בנדתה יטמא</w:t>
      </w:r>
      <w:r w:rsidRPr="00195E02">
        <w:rPr>
          <w:rFonts w:eastAsia="Times New Roman" w:cs="Times New Roman"/>
          <w:rtl/>
          <w:lang w:eastAsia="de-DE"/>
        </w:rPr>
        <w:t xml:space="preserve"> </w:t>
      </w:r>
      <w:r w:rsidRPr="00195E02">
        <w:rPr>
          <w:rFonts w:eastAsia="Times New Roman" w:cs="Times New Roman"/>
          <w:lang w:eastAsia="de-DE"/>
        </w:rPr>
        <w:t xml:space="preserve">(und alles, worauf sie in ihrer Unreinheit liegt, wird unrein) - </w:t>
      </w:r>
      <w:r w:rsidRPr="00195E02">
        <w:rPr>
          <w:rFonts w:eastAsia="Times New Roman" w:cs="Times New Roman"/>
          <w:b/>
          <w:bCs/>
          <w:rtl/>
          <w:lang w:eastAsia="de-DE"/>
        </w:rPr>
        <w:t>תשכב עליו</w:t>
      </w:r>
      <w:r w:rsidRPr="00195E02">
        <w:rPr>
          <w:rFonts w:eastAsia="Times New Roman" w:cs="Times New Roman"/>
          <w:rtl/>
          <w:lang w:eastAsia="de-DE"/>
        </w:rPr>
        <w:t xml:space="preserve"> </w:t>
      </w:r>
      <w:r w:rsidRPr="00195E02">
        <w:rPr>
          <w:rFonts w:eastAsia="Times New Roman" w:cs="Times New Roman"/>
          <w:lang w:eastAsia="de-DE"/>
        </w:rPr>
        <w:t xml:space="preserve">(liegt darauf), </w:t>
      </w:r>
      <w:r w:rsidRPr="00195E02">
        <w:rPr>
          <w:rFonts w:eastAsia="Times New Roman" w:cs="Times New Roman"/>
          <w:b/>
          <w:bCs/>
          <w:rtl/>
          <w:lang w:eastAsia="de-DE"/>
        </w:rPr>
        <w:t>בנדתה</w:t>
      </w:r>
      <w:r w:rsidRPr="00195E02">
        <w:rPr>
          <w:rFonts w:eastAsia="Times New Roman" w:cs="Times New Roman"/>
          <w:rtl/>
          <w:lang w:eastAsia="de-DE"/>
        </w:rPr>
        <w:t xml:space="preserve"> </w:t>
      </w:r>
      <w:r w:rsidRPr="00195E02">
        <w:rPr>
          <w:rFonts w:eastAsia="Times New Roman" w:cs="Times New Roman"/>
          <w:lang w:eastAsia="de-DE"/>
        </w:rPr>
        <w:t>(in ihrer Unreinheit) spezifiziert den Zeitraum.</w:t>
      </w:r>
    </w:p>
    <w:p w14:paraId="6D5980D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וכל אשר־תשב עליו יטמא</w:t>
      </w:r>
      <w:r w:rsidRPr="00195E02">
        <w:rPr>
          <w:rFonts w:eastAsia="Times New Roman" w:cs="Times New Roman"/>
          <w:rtl/>
          <w:lang w:eastAsia="de-DE"/>
        </w:rPr>
        <w:t xml:space="preserve"> </w:t>
      </w:r>
      <w:r w:rsidRPr="00195E02">
        <w:rPr>
          <w:rFonts w:eastAsia="Times New Roman" w:cs="Times New Roman"/>
          <w:lang w:eastAsia="de-DE"/>
        </w:rPr>
        <w:t>(und alles, worauf sie sitzt, wird unrein) entspricht der zweiten Hälfte von V. 4 für Sitzgelegenheiten.</w:t>
      </w:r>
    </w:p>
    <w:p w14:paraId="1DB1C64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exakte Parallelität zu V. 4 zeigt, dass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dieselben Kontaminationsregeln wie männlicher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 xml:space="preserve">hat. </w:t>
      </w:r>
      <w:r w:rsidRPr="00195E02">
        <w:rPr>
          <w:rFonts w:eastAsia="Times New Roman" w:cs="Times New Roman"/>
          <w:b/>
          <w:bCs/>
          <w:rtl/>
          <w:lang w:eastAsia="de-DE"/>
        </w:rPr>
        <w:t>בנדתה</w:t>
      </w:r>
      <w:r w:rsidRPr="00195E02">
        <w:rPr>
          <w:rFonts w:eastAsia="Times New Roman" w:cs="Times New Roman"/>
          <w:rtl/>
          <w:lang w:eastAsia="de-DE"/>
        </w:rPr>
        <w:t xml:space="preserve"> </w:t>
      </w:r>
      <w:r w:rsidRPr="00195E02">
        <w:rPr>
          <w:rFonts w:eastAsia="Times New Roman" w:cs="Times New Roman"/>
          <w:lang w:eastAsia="de-DE"/>
        </w:rPr>
        <w:t>spezifiziert die siebentägige Periode aus V. 19.</w:t>
      </w:r>
    </w:p>
    <w:p w14:paraId="43F8C4B6" w14:textId="4EEDD2A1" w:rsidR="00555529" w:rsidRDefault="00555529" w:rsidP="00195E02">
      <w:pPr>
        <w:spacing w:before="100" w:beforeAutospacing="1" w:after="100" w:afterAutospacing="1" w:line="240" w:lineRule="auto"/>
      </w:pPr>
      <w:r w:rsidRPr="00555529">
        <w:rPr>
          <w:b/>
          <w:bCs/>
        </w:rPr>
        <w:t>Die LXX</w:t>
      </w:r>
      <w:r>
        <w:t xml:space="preserve"> </w:t>
      </w:r>
      <w:r>
        <w:t xml:space="preserve">übersetzt entsprechend V. 4 mit </w:t>
      </w:r>
      <w:r w:rsidRPr="00555529">
        <w:rPr>
          <w:rStyle w:val="Fett"/>
          <w:b w:val="0"/>
          <w:bCs w:val="0"/>
        </w:rPr>
        <w:t>den entsprechenden griechischen Begriffen</w:t>
      </w:r>
      <w:r>
        <w:t xml:space="preserve"> (κοιμηθῇ, καθίσῃ, ἀκάθαρτον).</w:t>
      </w:r>
    </w:p>
    <w:p w14:paraId="34A2A9B4" w14:textId="7D8A76B4"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4: zwei universelle Kontaktformen + automatische Unreinheit. Die parallele Struktur zeigt Gleichbehandlung männlicher und weiblicher Ausflüsse.</w:t>
      </w:r>
    </w:p>
    <w:p w14:paraId="5F552B7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identische Gegenstandskontamination bei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wie bei männlichem </w:t>
      </w:r>
      <w:r w:rsidRPr="00195E02">
        <w:rPr>
          <w:rFonts w:eastAsia="Times New Roman" w:cs="Times New Roman"/>
          <w:b/>
          <w:bCs/>
          <w:rtl/>
          <w:lang w:eastAsia="de-DE"/>
        </w:rPr>
        <w:t>זוב</w:t>
      </w:r>
      <w:r w:rsidRPr="00195E02">
        <w:rPr>
          <w:rFonts w:eastAsia="Times New Roman" w:cs="Times New Roman"/>
          <w:lang w:eastAsia="de-DE"/>
        </w:rPr>
        <w:t>.</w:t>
      </w:r>
    </w:p>
    <w:p w14:paraId="6172571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15,21</w:t>
      </w:r>
    </w:p>
    <w:p w14:paraId="7A83F0C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וְכָל־הַנֹּגֵ֖עַ בְּמִשְׁכָּבָ֑הּ יְכַבֵּ֧ס בְּגָדָ֛יו וְרָחַ֥ץ בַּמַּ֖יִם וְטָמֵ֥א עַד־הָעָֽרֶב׃</w:t>
      </w:r>
    </w:p>
    <w:p w14:paraId="32B92A49" w14:textId="7B4C905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der ihr Lager berührt, soll seine Kleider waschen und soll sich im Wasser baden und soll unrein sein bis zum Abend.</w:t>
      </w:r>
    </w:p>
    <w:p w14:paraId="0497EF4A"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A2FBC6B">
          <v:rect id="_x0000_i1468" style="width:0;height:1.5pt" o:hralign="center" o:hrstd="t" o:hr="t" fillcolor="#a0a0a0" stroked="f"/>
        </w:pict>
      </w:r>
    </w:p>
    <w:p w14:paraId="53C3A94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וכל־הנגע במשכבה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entspricht exakt V. 5 für männlichen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וכל־הנגע במשכבה</w:t>
      </w:r>
      <w:r w:rsidRPr="00195E02">
        <w:rPr>
          <w:rFonts w:eastAsia="Times New Roman" w:cs="Times New Roman"/>
          <w:rtl/>
          <w:lang w:eastAsia="de-DE"/>
        </w:rPr>
        <w:t xml:space="preserve"> </w:t>
      </w:r>
      <w:r w:rsidRPr="00195E02">
        <w:rPr>
          <w:rFonts w:eastAsia="Times New Roman" w:cs="Times New Roman"/>
          <w:lang w:eastAsia="de-DE"/>
        </w:rPr>
        <w:t xml:space="preserve">(und jeder, der ihr Lager berührt) - </w:t>
      </w:r>
      <w:r w:rsidRPr="00195E02">
        <w:rPr>
          <w:rFonts w:eastAsia="Times New Roman" w:cs="Times New Roman"/>
          <w:b/>
          <w:bCs/>
          <w:rtl/>
          <w:lang w:eastAsia="de-DE"/>
        </w:rPr>
        <w:t>במשכבה</w:t>
      </w:r>
      <w:r w:rsidRPr="00195E02">
        <w:rPr>
          <w:rFonts w:eastAsia="Times New Roman" w:cs="Times New Roman"/>
          <w:rtl/>
          <w:lang w:eastAsia="de-DE"/>
        </w:rPr>
        <w:t xml:space="preserve"> </w:t>
      </w:r>
      <w:r w:rsidRPr="00195E02">
        <w:rPr>
          <w:rFonts w:eastAsia="Times New Roman" w:cs="Times New Roman"/>
          <w:lang w:eastAsia="de-DE"/>
        </w:rPr>
        <w:t xml:space="preserve">(ihr Lager) mit feminin Suffix entspricht </w:t>
      </w:r>
      <w:r w:rsidRPr="00195E02">
        <w:rPr>
          <w:rFonts w:eastAsia="Times New Roman" w:cs="Times New Roman"/>
          <w:b/>
          <w:bCs/>
          <w:rtl/>
          <w:lang w:eastAsia="de-DE"/>
        </w:rPr>
        <w:t>במשכבו</w:t>
      </w:r>
      <w:r w:rsidRPr="00195E02">
        <w:rPr>
          <w:rFonts w:eastAsia="Times New Roman" w:cs="Times New Roman"/>
          <w:rtl/>
          <w:lang w:eastAsia="de-DE"/>
        </w:rPr>
        <w:t xml:space="preserve"> </w:t>
      </w:r>
      <w:r w:rsidRPr="00195E02">
        <w:rPr>
          <w:rFonts w:eastAsia="Times New Roman" w:cs="Times New Roman"/>
          <w:lang w:eastAsia="de-DE"/>
        </w:rPr>
        <w:t>aus V. 5.</w:t>
      </w:r>
    </w:p>
    <w:p w14:paraId="1441AF8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vollständig V. 5: Kleiderwaschung, Wasserbad und Unreinheit bis zum Abend.</w:t>
      </w:r>
    </w:p>
    <w:p w14:paraId="36F7CAB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exakte Entsprechung zu V. 5 zeigt systematische Parallelisierung der Unreinheitsregeln für männliche und weibliche Ausflüsse.</w:t>
      </w:r>
    </w:p>
    <w:p w14:paraId="5B28FEA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5 mit identischen griechischen Begriffen.</w:t>
      </w:r>
    </w:p>
    <w:p w14:paraId="4EBD8E7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5: indirekter Kontakt + Standardreinigungsmaßnahmen + temporäre Unreinheit. Die identische Struktur zeigt Gleichbehandlung.</w:t>
      </w:r>
    </w:p>
    <w:p w14:paraId="590FC14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 xml:space="preserve">Dieser Vers zeigt identische Unreinheitsübertragung durch Berührung kontaminierter Liegeflächen bei </w:t>
      </w:r>
      <w:r w:rsidRPr="00195E02">
        <w:rPr>
          <w:rFonts w:eastAsia="Times New Roman" w:cs="Times New Roman"/>
          <w:b/>
          <w:bCs/>
          <w:rtl/>
          <w:lang w:eastAsia="de-DE"/>
        </w:rPr>
        <w:t>נדה</w:t>
      </w:r>
      <w:r w:rsidRPr="00195E02">
        <w:rPr>
          <w:rFonts w:eastAsia="Times New Roman" w:cs="Times New Roman"/>
          <w:lang w:eastAsia="de-DE"/>
        </w:rPr>
        <w:t>.</w:t>
      </w:r>
    </w:p>
    <w:p w14:paraId="4C777ECA"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15,22</w:t>
      </w:r>
    </w:p>
    <w:p w14:paraId="1F47E0B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וְכָל־הַנֹּגֵ֔עַ בְּכָל־כְּלִ֖י אֲשֶׁר־תֵּשֵׁ֣ב עָלָ֑יו יְכַבֵּ֧ס בְּגָדָ֛יו וְרָחַ֥ץ בַּמַּ֖יִם וְטָמֵ֥א עַד־הָעָֽרֶב׃</w:t>
      </w:r>
    </w:p>
    <w:p w14:paraId="23851524" w14:textId="45C7CF8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der irgendeinen Gegenstand berührt, auf dem sie gesessen hat, soll seine Kleider waschen und soll sich im Wasser baden und soll unrein sein bis zum Abend.</w:t>
      </w:r>
    </w:p>
    <w:p w14:paraId="4388CA30"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45C2E1D">
          <v:rect id="_x0000_i1469" style="width:0;height:1.5pt" o:hralign="center" o:hrstd="t" o:hr="t" fillcolor="#a0a0a0" stroked="f"/>
        </w:pict>
      </w:r>
    </w:p>
    <w:p w14:paraId="71C1718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וכל־הנגע בכל־כלי אשר־תשב עליו 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entspricht V. 6 für weibliche </w:t>
      </w:r>
      <w:r w:rsidRPr="00195E02">
        <w:rPr>
          <w:rFonts w:eastAsia="Times New Roman" w:cs="Times New Roman"/>
          <w:b/>
          <w:bCs/>
          <w:rtl/>
          <w:lang w:eastAsia="de-DE"/>
        </w:rPr>
        <w:t>נדה</w:t>
      </w:r>
      <w:r w:rsidRPr="00195E02">
        <w:rPr>
          <w:rFonts w:eastAsia="Times New Roman" w:cs="Times New Roman"/>
          <w:lang w:eastAsia="de-DE"/>
        </w:rPr>
        <w:t xml:space="preserve">. </w:t>
      </w:r>
      <w:r w:rsidRPr="00195E02">
        <w:rPr>
          <w:rFonts w:eastAsia="Times New Roman" w:cs="Times New Roman"/>
          <w:b/>
          <w:bCs/>
          <w:rtl/>
          <w:lang w:eastAsia="de-DE"/>
        </w:rPr>
        <w:t>וכל־הנגע בכל־כלי אשר־תשב עליו</w:t>
      </w:r>
      <w:r w:rsidRPr="00195E02">
        <w:rPr>
          <w:rFonts w:eastAsia="Times New Roman" w:cs="Times New Roman"/>
          <w:rtl/>
          <w:lang w:eastAsia="de-DE"/>
        </w:rPr>
        <w:t xml:space="preserve"> </w:t>
      </w:r>
      <w:r w:rsidRPr="00195E02">
        <w:rPr>
          <w:rFonts w:eastAsia="Times New Roman" w:cs="Times New Roman"/>
          <w:lang w:eastAsia="de-DE"/>
        </w:rPr>
        <w:t xml:space="preserve">(und jeder, der irgendeinen Gegenstand berührt, auf dem sie gesessen hat) - </w:t>
      </w:r>
      <w:r w:rsidRPr="00195E02">
        <w:rPr>
          <w:rFonts w:eastAsia="Times New Roman" w:cs="Times New Roman"/>
          <w:b/>
          <w:bCs/>
          <w:rtl/>
          <w:lang w:eastAsia="de-DE"/>
        </w:rPr>
        <w:t>תשב עליו</w:t>
      </w:r>
      <w:r w:rsidRPr="00195E02">
        <w:rPr>
          <w:rFonts w:eastAsia="Times New Roman" w:cs="Times New Roman"/>
          <w:rtl/>
          <w:lang w:eastAsia="de-DE"/>
        </w:rPr>
        <w:t xml:space="preserve"> </w:t>
      </w:r>
      <w:r w:rsidRPr="00195E02">
        <w:rPr>
          <w:rFonts w:eastAsia="Times New Roman" w:cs="Times New Roman"/>
          <w:lang w:eastAsia="de-DE"/>
        </w:rPr>
        <w:t>(sie hat darauf gesessen) mit feminin Bezug.</w:t>
      </w:r>
    </w:p>
    <w:p w14:paraId="252DE71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יכבס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vollständig V. 6 und V. 21.</w:t>
      </w:r>
    </w:p>
    <w:p w14:paraId="6D07587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systematische Parallelität zu V. 6 vervollständigt die Entsprechung zwischen männlichem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 xml:space="preserve">und weiblicher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bei indirekter Kontamination über Sitzgelegenheiten.</w:t>
      </w:r>
    </w:p>
    <w:p w14:paraId="4DD9916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6 mit identischen griechischen Begriffen.</w:t>
      </w:r>
    </w:p>
    <w:p w14:paraId="2EAC74B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6: indirekter Kontakt über Sitzgelegenheiten + Standardreinigungsmaßnahmen + temporäre Unreinheit. Die parallele Struktur komplettiert die Systematik.</w:t>
      </w:r>
    </w:p>
    <w:p w14:paraId="29073959" w14:textId="3898FF7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vervollständigt die parallele Behandlung von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und männlichem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bei Sitzgelegenheiten Kontamination.</w:t>
      </w:r>
    </w:p>
    <w:p w14:paraId="0F52D74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15,23</w:t>
      </w:r>
    </w:p>
    <w:p w14:paraId="7819A6A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וְאִ֨ם עַֽל־הַמִּשְׁכָּ֜ב ה֗וּא א֧וֹ עַֽל־הַכְּלִ֛י אֲשֶׁר־הִ֥וא יֹשֶֽׁבֶת־עָלָ֖יו בְּנָגְעֹו־בוֹ֑ יִטְמָ֖א עַד־הָעָֽרֶב׃</w:t>
      </w:r>
    </w:p>
    <w:p w14:paraId="0B1AD858" w14:textId="7547A34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wenn es auf dem Lager ist oder auf dem Gegenstand, auf dem sie sitzt, bei seinem Berühren es, wird er bis zum Abend unrein sein.</w:t>
      </w:r>
    </w:p>
    <w:p w14:paraId="1FEA57B3"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1741206">
          <v:rect id="_x0000_i1470" style="width:0;height:1.5pt" o:hralign="center" o:hrstd="t" o:hr="t" fillcolor="#a0a0a0" stroked="f"/>
        </w:pict>
      </w:r>
    </w:p>
    <w:p w14:paraId="7C333C8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 על־המשכב הוא או על־הכלי אשר־הוא יושבת־עליו בנגעו־בו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präzisiert die indirekte Kontamination. </w:t>
      </w:r>
      <w:r w:rsidRPr="00195E02">
        <w:rPr>
          <w:rFonts w:eastAsia="Times New Roman" w:cs="Times New Roman"/>
          <w:b/>
          <w:bCs/>
          <w:rtl/>
          <w:lang w:eastAsia="de-DE"/>
        </w:rPr>
        <w:t>ואם על־המשכב הוא או על־הכלי אשר־הוא יושבת־עליו</w:t>
      </w:r>
      <w:r w:rsidRPr="00195E02">
        <w:rPr>
          <w:rFonts w:eastAsia="Times New Roman" w:cs="Times New Roman"/>
          <w:rtl/>
          <w:lang w:eastAsia="de-DE"/>
        </w:rPr>
        <w:t xml:space="preserve"> </w:t>
      </w:r>
      <w:r w:rsidRPr="00195E02">
        <w:rPr>
          <w:rFonts w:eastAsia="Times New Roman" w:cs="Times New Roman"/>
          <w:lang w:eastAsia="de-DE"/>
        </w:rPr>
        <w:t xml:space="preserve">(und wenn es auf dem Lager ist oder auf dem Gegenstand, auf dem sie sitzt) - </w:t>
      </w:r>
      <w:r w:rsidRPr="00195E02">
        <w:rPr>
          <w:rFonts w:eastAsia="Times New Roman" w:cs="Times New Roman"/>
          <w:b/>
          <w:bCs/>
          <w:rtl/>
          <w:lang w:eastAsia="de-DE"/>
        </w:rPr>
        <w:t>הוא</w:t>
      </w:r>
      <w:r w:rsidRPr="00195E02">
        <w:rPr>
          <w:rFonts w:eastAsia="Times New Roman" w:cs="Times New Roman"/>
          <w:rtl/>
          <w:lang w:eastAsia="de-DE"/>
        </w:rPr>
        <w:t xml:space="preserve"> </w:t>
      </w:r>
      <w:r w:rsidRPr="00195E02">
        <w:rPr>
          <w:rFonts w:eastAsia="Times New Roman" w:cs="Times New Roman"/>
          <w:lang w:eastAsia="de-DE"/>
        </w:rPr>
        <w:t>bezieht sich auf einen Gegenstand, der sich auf den kontaminierten Flächen befindet.</w:t>
      </w:r>
    </w:p>
    <w:p w14:paraId="54A6D4D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בנגעו־בו יטמא עד־הערב</w:t>
      </w:r>
      <w:r w:rsidRPr="00195E02">
        <w:rPr>
          <w:rFonts w:eastAsia="Times New Roman" w:cs="Times New Roman"/>
          <w:rtl/>
          <w:lang w:eastAsia="de-DE"/>
        </w:rPr>
        <w:t xml:space="preserve"> </w:t>
      </w:r>
      <w:r w:rsidRPr="00195E02">
        <w:rPr>
          <w:rFonts w:eastAsia="Times New Roman" w:cs="Times New Roman"/>
          <w:lang w:eastAsia="de-DE"/>
        </w:rPr>
        <w:t xml:space="preserve">(beim Berühren desselben, wird er unrein sein bis zum Abend) - </w:t>
      </w:r>
      <w:r w:rsidRPr="00195E02">
        <w:rPr>
          <w:rFonts w:eastAsia="Times New Roman" w:cs="Times New Roman"/>
          <w:b/>
          <w:bCs/>
          <w:rtl/>
          <w:lang w:eastAsia="de-DE"/>
        </w:rPr>
        <w:t>בנגעו־בו</w:t>
      </w:r>
      <w:r w:rsidRPr="00195E02">
        <w:rPr>
          <w:rFonts w:eastAsia="Times New Roman" w:cs="Times New Roman"/>
          <w:rtl/>
          <w:lang w:eastAsia="de-DE"/>
        </w:rPr>
        <w:t xml:space="preserve"> </w:t>
      </w:r>
      <w:r w:rsidRPr="00195E02">
        <w:rPr>
          <w:rFonts w:eastAsia="Times New Roman" w:cs="Times New Roman"/>
          <w:lang w:eastAsia="de-DE"/>
        </w:rPr>
        <w:t xml:space="preserve">(beim Berühren desselben) mit doppeltem Objektbezug, </w:t>
      </w:r>
      <w:r w:rsidRPr="00195E02">
        <w:rPr>
          <w:rFonts w:eastAsia="Times New Roman" w:cs="Times New Roman"/>
          <w:b/>
          <w:bCs/>
          <w:rtl/>
          <w:lang w:eastAsia="de-DE"/>
        </w:rPr>
        <w:t>יטמא עד־הערב</w:t>
      </w:r>
      <w:r w:rsidRPr="00195E02">
        <w:rPr>
          <w:rFonts w:eastAsia="Times New Roman" w:cs="Times New Roman"/>
          <w:rtl/>
          <w:lang w:eastAsia="de-DE"/>
        </w:rPr>
        <w:t xml:space="preserve"> </w:t>
      </w:r>
      <w:r w:rsidRPr="00195E02">
        <w:rPr>
          <w:rFonts w:eastAsia="Times New Roman" w:cs="Times New Roman"/>
          <w:lang w:eastAsia="de-DE"/>
        </w:rPr>
        <w:t>entspricht V. 21-22, aber ohne die zusätzlichen Reinigungsmaßnahmen.</w:t>
      </w:r>
    </w:p>
    <w:p w14:paraId="1F406AC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הוא</w:t>
      </w:r>
      <w:r w:rsidRPr="00195E02">
        <w:rPr>
          <w:rFonts w:eastAsia="Times New Roman" w:cs="Times New Roman"/>
          <w:rtl/>
          <w:lang w:eastAsia="de-DE"/>
        </w:rPr>
        <w:t xml:space="preserve"> </w:t>
      </w:r>
      <w:r w:rsidRPr="00195E02">
        <w:rPr>
          <w:rFonts w:eastAsia="Times New Roman" w:cs="Times New Roman"/>
          <w:lang w:eastAsia="de-DE"/>
        </w:rPr>
        <w:t xml:space="preserve">zeigt einen dritten Gegenstand, der auf den bereits kontaminierten Flächen liegt. </w:t>
      </w:r>
      <w:r w:rsidRPr="00195E02">
        <w:rPr>
          <w:rFonts w:eastAsia="Times New Roman" w:cs="Times New Roman"/>
          <w:b/>
          <w:bCs/>
          <w:rtl/>
          <w:lang w:eastAsia="de-DE"/>
        </w:rPr>
        <w:t>בנגעו־בו</w:t>
      </w:r>
      <w:r w:rsidRPr="00195E02">
        <w:rPr>
          <w:rFonts w:eastAsia="Times New Roman" w:cs="Times New Roman"/>
          <w:rtl/>
          <w:lang w:eastAsia="de-DE"/>
        </w:rPr>
        <w:t xml:space="preserve"> </w:t>
      </w:r>
      <w:r w:rsidRPr="00195E02">
        <w:rPr>
          <w:rFonts w:eastAsia="Times New Roman" w:cs="Times New Roman"/>
          <w:lang w:eastAsia="de-DE"/>
        </w:rPr>
        <w:t xml:space="preserve">zeigt indirekte Kontamination dritten Grades. Das Fehlen von </w:t>
      </w:r>
      <w:r w:rsidRPr="00195E02">
        <w:rPr>
          <w:rFonts w:eastAsia="Times New Roman" w:cs="Times New Roman"/>
          <w:b/>
          <w:bCs/>
          <w:rtl/>
          <w:lang w:eastAsia="de-DE"/>
        </w:rPr>
        <w:t>יכבס בגדיו ורחץ במים</w:t>
      </w:r>
      <w:r w:rsidRPr="00195E02">
        <w:rPr>
          <w:rFonts w:eastAsia="Times New Roman" w:cs="Times New Roman"/>
          <w:rtl/>
          <w:lang w:eastAsia="de-DE"/>
        </w:rPr>
        <w:t xml:space="preserve"> </w:t>
      </w:r>
      <w:r w:rsidRPr="00195E02">
        <w:rPr>
          <w:rFonts w:eastAsia="Times New Roman" w:cs="Times New Roman"/>
          <w:lang w:eastAsia="de-DE"/>
        </w:rPr>
        <w:t>zeigt mildere Behandlung bei entfernterer Kontamination.</w:t>
      </w:r>
    </w:p>
    <w:p w14:paraId="054CA43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המשכב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κοίτης</w:t>
      </w:r>
      <w:proofErr w:type="spellEnd"/>
      <w:r w:rsidRPr="00195E02">
        <w:rPr>
          <w:rFonts w:eastAsia="Times New Roman" w:cs="Times New Roman"/>
          <w:lang w:eastAsia="de-DE"/>
        </w:rPr>
        <w:t xml:space="preserve"> (Lager), </w:t>
      </w:r>
      <w:r w:rsidRPr="00195E02">
        <w:rPr>
          <w:rFonts w:eastAsia="Times New Roman" w:cs="Times New Roman"/>
          <w:b/>
          <w:bCs/>
          <w:rtl/>
          <w:lang w:eastAsia="de-DE"/>
        </w:rPr>
        <w:t>הכלי</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σκεύους</w:t>
      </w:r>
      <w:proofErr w:type="spellEnd"/>
      <w:r w:rsidRPr="00195E02">
        <w:rPr>
          <w:rFonts w:eastAsia="Times New Roman" w:cs="Times New Roman"/>
          <w:lang w:eastAsia="de-DE"/>
        </w:rPr>
        <w:t xml:space="preserve"> (Gerät), </w:t>
      </w:r>
      <w:r w:rsidRPr="00195E02">
        <w:rPr>
          <w:rFonts w:eastAsia="Times New Roman" w:cs="Times New Roman"/>
          <w:b/>
          <w:bCs/>
          <w:rtl/>
          <w:lang w:eastAsia="de-DE"/>
        </w:rPr>
        <w:t>יושבת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κάθητ</w:t>
      </w:r>
      <w:proofErr w:type="spellEnd"/>
      <w:r w:rsidRPr="00195E02">
        <w:rPr>
          <w:rFonts w:eastAsia="Times New Roman" w:cs="Times New Roman"/>
          <w:lang w:eastAsia="de-DE"/>
        </w:rPr>
        <w:t xml:space="preserve">αι (sitzt) und </w:t>
      </w:r>
      <w:r w:rsidRPr="00195E02">
        <w:rPr>
          <w:rFonts w:eastAsia="Times New Roman" w:cs="Times New Roman"/>
          <w:b/>
          <w:bCs/>
          <w:rtl/>
          <w:lang w:eastAsia="de-DE"/>
        </w:rPr>
        <w:t>בנגעו־בו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τῷ</w:t>
      </w:r>
      <w:proofErr w:type="spellEnd"/>
      <w:r w:rsidRPr="00195E02">
        <w:rPr>
          <w:rFonts w:eastAsia="Times New Roman" w:cs="Times New Roman"/>
          <w:lang w:eastAsia="de-DE"/>
        </w:rPr>
        <w:t xml:space="preserve"> ἅπ</w:t>
      </w:r>
      <w:proofErr w:type="spellStart"/>
      <w:r w:rsidRPr="00195E02">
        <w:rPr>
          <w:rFonts w:eastAsia="Times New Roman" w:cs="Times New Roman"/>
          <w:lang w:eastAsia="de-DE"/>
        </w:rPr>
        <w:t>τεσθ</w:t>
      </w:r>
      <w:proofErr w:type="spellEnd"/>
      <w:r w:rsidRPr="00195E02">
        <w:rPr>
          <w:rFonts w:eastAsia="Times New Roman" w:cs="Times New Roman"/>
          <w:lang w:eastAsia="de-DE"/>
        </w:rPr>
        <w:t>αι α</w:t>
      </w:r>
      <w:proofErr w:type="spellStart"/>
      <w:r w:rsidRPr="00195E02">
        <w:rPr>
          <w:rFonts w:eastAsia="Times New Roman" w:cs="Times New Roman"/>
          <w:lang w:eastAsia="de-DE"/>
        </w:rPr>
        <w:t>ὐτὸν</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(beim Berühren desselben).</w:t>
      </w:r>
    </w:p>
    <w:p w14:paraId="6843AE1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abgestufte Kontamination: indirekte Kontamination dritten Grades + nur temporäre Unreinheit ohne zusätzliche Reinigungsmaßnahmen. Die Struktur zeigt Abstufung nach Kontaminationsgrad.</w:t>
      </w:r>
    </w:p>
    <w:p w14:paraId="077B5ED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mildere Unreinheit bei indirekter Kontamination dritten Grades ohne zusätzliche Reinigungsmaßnahmen.</w:t>
      </w:r>
    </w:p>
    <w:p w14:paraId="22F2ECF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15,24</w:t>
      </w:r>
    </w:p>
    <w:p w14:paraId="5C79D82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וְאִ֡ם שָׁכֹב֩ יִשְׁכַּ֨ב אִ֜ישׁ אֹתָ֗הּ וּתְהִ֤י נִדָּתָהּ֙ עָלָ֔יו וְטָמֵ֖א שִׁבְעַ֣ת יָמִ֑ים וְכָל־הַמִּשְׁכָּ֛ב אֲשֶׁר־יִשְׁכַּ֥ב עָלָ֖יו יִטְמָֽא׃</w:t>
      </w:r>
    </w:p>
    <w:p w14:paraId="49657BB9" w14:textId="5234B5C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wenn ein Mann gewiss bei ihr liegt und ihre Unreinheit auf ihn kommt, so wird er sieben Tage unrein sein; und jedes Lager, auf dem er liegt, wird unrein sein.</w:t>
      </w:r>
    </w:p>
    <w:p w14:paraId="55484D3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CE44BD2">
          <v:rect id="_x0000_i1471" style="width:0;height:1.5pt" o:hralign="center" o:hrstd="t" o:hr="t" fillcolor="#a0a0a0" stroked="f"/>
        </w:pict>
      </w:r>
    </w:p>
    <w:p w14:paraId="51C6E4C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 שכב ישכב איש אתה ותהי נדתה עליו וטמא שבעת ימים וכל־המשכב אשר־ישכב עליו יטמא</w:t>
      </w:r>
      <w:r w:rsidRPr="00195E02">
        <w:rPr>
          <w:rFonts w:eastAsia="Times New Roman" w:cs="Times New Roman"/>
          <w:rtl/>
          <w:lang w:eastAsia="de-DE"/>
        </w:rPr>
        <w:t xml:space="preserve"> </w:t>
      </w:r>
      <w:r w:rsidRPr="00195E02">
        <w:rPr>
          <w:rFonts w:eastAsia="Times New Roman" w:cs="Times New Roman"/>
          <w:lang w:eastAsia="de-DE"/>
        </w:rPr>
        <w:t xml:space="preserve">zeigt Geschlechtsverkehr während der </w:t>
      </w:r>
      <w:r w:rsidRPr="00195E02">
        <w:rPr>
          <w:rFonts w:eastAsia="Times New Roman" w:cs="Times New Roman"/>
          <w:b/>
          <w:bCs/>
          <w:rtl/>
          <w:lang w:eastAsia="de-DE"/>
        </w:rPr>
        <w:t>נדה</w:t>
      </w:r>
      <w:r w:rsidRPr="00195E02">
        <w:rPr>
          <w:rFonts w:eastAsia="Times New Roman" w:cs="Times New Roman"/>
          <w:lang w:eastAsia="de-DE"/>
        </w:rPr>
        <w:t xml:space="preserve">. </w:t>
      </w:r>
      <w:r w:rsidRPr="00195E02">
        <w:rPr>
          <w:rFonts w:eastAsia="Times New Roman" w:cs="Times New Roman"/>
          <w:b/>
          <w:bCs/>
          <w:rtl/>
          <w:lang w:eastAsia="de-DE"/>
        </w:rPr>
        <w:t>ואם שכב ישכב איש אתה</w:t>
      </w:r>
      <w:r w:rsidRPr="00195E02">
        <w:rPr>
          <w:rFonts w:eastAsia="Times New Roman" w:cs="Times New Roman"/>
          <w:rtl/>
          <w:lang w:eastAsia="de-DE"/>
        </w:rPr>
        <w:t xml:space="preserve"> </w:t>
      </w:r>
      <w:r w:rsidRPr="00195E02">
        <w:rPr>
          <w:rFonts w:eastAsia="Times New Roman" w:cs="Times New Roman"/>
          <w:lang w:eastAsia="de-DE"/>
        </w:rPr>
        <w:t xml:space="preserve">(und wenn ein Mann gewiss mit ihr liegt) - </w:t>
      </w:r>
      <w:r w:rsidRPr="00195E02">
        <w:rPr>
          <w:rFonts w:eastAsia="Times New Roman" w:cs="Times New Roman"/>
          <w:b/>
          <w:bCs/>
          <w:rtl/>
          <w:lang w:eastAsia="de-DE"/>
        </w:rPr>
        <w:t>שכב ישכב</w:t>
      </w:r>
      <w:r w:rsidRPr="00195E02">
        <w:rPr>
          <w:rFonts w:eastAsia="Times New Roman" w:cs="Times New Roman"/>
          <w:rtl/>
          <w:lang w:eastAsia="de-DE"/>
        </w:rPr>
        <w:t xml:space="preserve"> </w:t>
      </w:r>
      <w:r w:rsidRPr="00195E02">
        <w:rPr>
          <w:rFonts w:eastAsia="Times New Roman" w:cs="Times New Roman"/>
          <w:lang w:eastAsia="de-DE"/>
        </w:rPr>
        <w:t xml:space="preserve">mit verstärkender Wiederholung betont die Gewissheit des Geschlechtsverkehrs. </w:t>
      </w:r>
      <w:r w:rsidRPr="00195E02">
        <w:rPr>
          <w:rFonts w:eastAsia="Times New Roman" w:cs="Times New Roman"/>
          <w:b/>
          <w:bCs/>
          <w:rtl/>
          <w:lang w:eastAsia="de-DE"/>
        </w:rPr>
        <w:t>ותהי נדתה עליו</w:t>
      </w:r>
      <w:r w:rsidRPr="00195E02">
        <w:rPr>
          <w:rFonts w:eastAsia="Times New Roman" w:cs="Times New Roman"/>
          <w:rtl/>
          <w:lang w:eastAsia="de-DE"/>
        </w:rPr>
        <w:t xml:space="preserve"> </w:t>
      </w:r>
      <w:r w:rsidRPr="00195E02">
        <w:rPr>
          <w:rFonts w:eastAsia="Times New Roman" w:cs="Times New Roman"/>
          <w:lang w:eastAsia="de-DE"/>
        </w:rPr>
        <w:t>(und ihre Unreinheit kommt auf ihn) zeigt Unreinheitsübertragung.</w:t>
      </w:r>
    </w:p>
    <w:p w14:paraId="5642E60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וטמא שבעת ימים</w:t>
      </w:r>
      <w:r w:rsidRPr="00195E02">
        <w:rPr>
          <w:rFonts w:eastAsia="Times New Roman" w:cs="Times New Roman"/>
          <w:rtl/>
          <w:lang w:eastAsia="de-DE"/>
        </w:rPr>
        <w:t xml:space="preserve"> </w:t>
      </w:r>
      <w:r w:rsidRPr="00195E02">
        <w:rPr>
          <w:rFonts w:eastAsia="Times New Roman" w:cs="Times New Roman"/>
          <w:lang w:eastAsia="de-DE"/>
        </w:rPr>
        <w:t xml:space="preserve">(so wird er sieben Tage unrein sein) zeigt, dass der Mann die volle </w:t>
      </w:r>
      <w:r w:rsidRPr="00195E02">
        <w:rPr>
          <w:rFonts w:eastAsia="Times New Roman" w:cs="Times New Roman"/>
          <w:b/>
          <w:bCs/>
          <w:rtl/>
          <w:lang w:eastAsia="de-DE"/>
        </w:rPr>
        <w:t>נדה</w:t>
      </w:r>
      <w:r w:rsidRPr="00195E02">
        <w:rPr>
          <w:rFonts w:eastAsia="Times New Roman" w:cs="Times New Roman"/>
          <w:lang w:eastAsia="de-DE"/>
        </w:rPr>
        <w:t xml:space="preserve">-Unreinheitsdauer erhält, nicht nur bis zum Abend. </w:t>
      </w:r>
      <w:r w:rsidRPr="00195E02">
        <w:rPr>
          <w:rFonts w:eastAsia="Times New Roman" w:cs="Times New Roman"/>
          <w:b/>
          <w:bCs/>
          <w:rtl/>
          <w:lang w:eastAsia="de-DE"/>
        </w:rPr>
        <w:t>וכל־המשכב אשר־ישכב עליו יטמא</w:t>
      </w:r>
      <w:r w:rsidRPr="00195E02">
        <w:rPr>
          <w:rFonts w:eastAsia="Times New Roman" w:cs="Times New Roman"/>
          <w:rtl/>
          <w:lang w:eastAsia="de-DE"/>
        </w:rPr>
        <w:t xml:space="preserve"> </w:t>
      </w:r>
      <w:r w:rsidRPr="00195E02">
        <w:rPr>
          <w:rFonts w:eastAsia="Times New Roman" w:cs="Times New Roman"/>
          <w:lang w:eastAsia="de-DE"/>
        </w:rPr>
        <w:t>(und jedes Lager, auf dem er liegt, wird unrein) zeigt, dass er nun selbst kontaminierend wirkt.</w:t>
      </w:r>
    </w:p>
    <w:p w14:paraId="5F7E94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שכב ישכב</w:t>
      </w:r>
      <w:r w:rsidRPr="00195E02">
        <w:rPr>
          <w:rFonts w:eastAsia="Times New Roman" w:cs="Times New Roman"/>
          <w:rtl/>
          <w:lang w:eastAsia="de-DE"/>
        </w:rPr>
        <w:t xml:space="preserve"> </w:t>
      </w:r>
      <w:r w:rsidRPr="00195E02">
        <w:rPr>
          <w:rFonts w:eastAsia="Times New Roman" w:cs="Times New Roman"/>
          <w:lang w:eastAsia="de-DE"/>
        </w:rPr>
        <w:t xml:space="preserve">betont vorsätzlichen Geschlechtsverkehr während </w:t>
      </w:r>
      <w:r w:rsidRPr="00195E02">
        <w:rPr>
          <w:rFonts w:eastAsia="Times New Roman" w:cs="Times New Roman"/>
          <w:b/>
          <w:bCs/>
          <w:rtl/>
          <w:lang w:eastAsia="de-DE"/>
        </w:rPr>
        <w:t>נדה</w:t>
      </w:r>
      <w:r w:rsidRPr="00195E02">
        <w:rPr>
          <w:rFonts w:eastAsia="Times New Roman" w:cs="Times New Roman"/>
          <w:lang w:eastAsia="de-DE"/>
        </w:rPr>
        <w:t xml:space="preserve">. </w:t>
      </w:r>
      <w:r w:rsidRPr="00195E02">
        <w:rPr>
          <w:rFonts w:eastAsia="Times New Roman" w:cs="Times New Roman"/>
          <w:b/>
          <w:bCs/>
          <w:rtl/>
          <w:lang w:eastAsia="de-DE"/>
        </w:rPr>
        <w:t>ותהי נדתה עליו</w:t>
      </w:r>
      <w:r w:rsidRPr="00195E02">
        <w:rPr>
          <w:rFonts w:eastAsia="Times New Roman" w:cs="Times New Roman"/>
          <w:rtl/>
          <w:lang w:eastAsia="de-DE"/>
        </w:rPr>
        <w:t xml:space="preserve"> </w:t>
      </w:r>
      <w:r w:rsidRPr="00195E02">
        <w:rPr>
          <w:rFonts w:eastAsia="Times New Roman" w:cs="Times New Roman"/>
          <w:lang w:eastAsia="de-DE"/>
        </w:rPr>
        <w:t xml:space="preserve">zeigt direkte Unreinheitsübertragung.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 xml:space="preserve">zeigt maximale Unreinheitsdauer. Der Mann wird temporär zu einem </w:t>
      </w:r>
      <w:r w:rsidRPr="00195E02">
        <w:rPr>
          <w:rFonts w:eastAsia="Times New Roman" w:cs="Times New Roman"/>
          <w:b/>
          <w:bCs/>
          <w:rtl/>
          <w:lang w:eastAsia="de-DE"/>
        </w:rPr>
        <w:t>זב</w:t>
      </w:r>
      <w:r w:rsidRPr="00195E02">
        <w:rPr>
          <w:rFonts w:eastAsia="Times New Roman" w:cs="Times New Roman"/>
          <w:lang w:eastAsia="de-DE"/>
        </w:rPr>
        <w:t>-ähnlichen Zustand.</w:t>
      </w:r>
    </w:p>
    <w:p w14:paraId="1602687A" w14:textId="66D3F13B"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ותהי נדתה עליו</w:t>
      </w:r>
      <w:r w:rsidR="00523826">
        <w:t xml:space="preserve"> (</w:t>
      </w:r>
      <w:proofErr w:type="spellStart"/>
      <w:r w:rsidR="00523826">
        <w:t>wetehi</w:t>
      </w:r>
      <w:proofErr w:type="spellEnd"/>
      <w:r w:rsidR="00523826">
        <w:t xml:space="preserve"> </w:t>
      </w:r>
      <w:proofErr w:type="spellStart"/>
      <w:r w:rsidR="00523826">
        <w:t>niddatah</w:t>
      </w:r>
      <w:proofErr w:type="spellEnd"/>
      <w:r w:rsidR="00523826">
        <w:t xml:space="preserve"> alav - "und ihre Menstruation sei auf ihm") als καὶ </w:t>
      </w:r>
      <w:proofErr w:type="spellStart"/>
      <w:r w:rsidR="00523826">
        <w:t>γένητ</w:t>
      </w:r>
      <w:proofErr w:type="spellEnd"/>
      <w:r w:rsidR="00523826">
        <w:t xml:space="preserve">αι ἡ </w:t>
      </w:r>
      <w:proofErr w:type="spellStart"/>
      <w:r w:rsidR="00523826">
        <w:t>ἀκ</w:t>
      </w:r>
      <w:proofErr w:type="spellEnd"/>
      <w:r w:rsidR="00523826">
        <w:t>αθαρσία α</w:t>
      </w:r>
      <w:proofErr w:type="spellStart"/>
      <w:r w:rsidR="00523826">
        <w:t>ὐτῆς</w:t>
      </w:r>
      <w:proofErr w:type="spellEnd"/>
      <w:r w:rsidR="00523826">
        <w:t xml:space="preserve"> ἐπʼ α</w:t>
      </w:r>
      <w:proofErr w:type="spellStart"/>
      <w:r w:rsidR="00523826">
        <w:t>ὐτῷ</w:t>
      </w:r>
      <w:proofErr w:type="spellEnd"/>
      <w:r w:rsidR="00523826">
        <w:t xml:space="preserve"> (und ihre Unreinheit kommt auf ihn), was eine abstraktere Formulierung der Übertragung darstellt.</w:t>
      </w:r>
    </w:p>
    <w:p w14:paraId="756EDB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schwere Kontamination: verstärkter Geschlechtsverkehr + Unreinheitsübertragung + maximale Unreinheitsdauer + sekundäre Kontaminationsfähigkeit. Die Struktur zeigt die schwerste Form der </w:t>
      </w:r>
      <w:r w:rsidRPr="00195E02">
        <w:rPr>
          <w:rFonts w:eastAsia="Times New Roman" w:cs="Times New Roman"/>
          <w:b/>
          <w:bCs/>
          <w:rtl/>
          <w:lang w:eastAsia="de-DE"/>
        </w:rPr>
        <w:t>נדה</w:t>
      </w:r>
      <w:r w:rsidRPr="00195E02">
        <w:rPr>
          <w:rFonts w:eastAsia="Times New Roman" w:cs="Times New Roman"/>
          <w:lang w:eastAsia="de-DE"/>
        </w:rPr>
        <w:t>-Kontamination.</w:t>
      </w:r>
    </w:p>
    <w:p w14:paraId="38DB126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dass Geschlechtsverkehr während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dem Mann die volle siebentägige Unreinheit überträgt und ihn selbst kontaminierend macht.</w:t>
      </w:r>
    </w:p>
    <w:p w14:paraId="475EF21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15,25</w:t>
      </w:r>
    </w:p>
    <w:p w14:paraId="2079ED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וְאִשָּׁ֡ה כִּֽי־יָזוּב֩ ז֨וֹב דָּמָ֜הּ יָמִ֣ים רַבִּ֗ים בְּלֹא֙ עֶת־נִדָּתָ֔הּ א֥וֹ כִֽי־תָז֖וּב עַל־נִדָּתָ֑הּ כָּל־יְמֵ֞י ז֣וֹב טֻמְאָתָ֗הּ כִּימֵ֧י נִדָּתָ֛הּ תִּהְיֶ֖ה טְמֵאָ֥ה הִֽוא׃</w:t>
      </w:r>
    </w:p>
    <w:p w14:paraId="009C8B28" w14:textId="043F90F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eine Frau, wenn der Fluss ihres Blutes fließt viele Tage außer der Zeit ihrer Unreinheit, oder wenn sie fließt über ihre Unreinheit hinaus, alle Tage des Flusses ihrer Unreinheit soll wie die Tage ihrer Unreinheit sein: Sie ist unrein.</w:t>
      </w:r>
    </w:p>
    <w:p w14:paraId="1093341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D3D7062">
          <v:rect id="_x0000_i1472" style="width:0;height:1.5pt" o:hralign="center" o:hrstd="t" o:hr="t" fillcolor="#a0a0a0" stroked="f"/>
        </w:pict>
      </w:r>
    </w:p>
    <w:p w14:paraId="7A41C61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ואשה כי־יזוב זוב דמה ימים רבים בלא עת־נדתה או כי־תזוב על־נדתה כל־ימי זוב טמאתה כימי נדתה תהיה טמאה הוא</w:t>
      </w:r>
      <w:r w:rsidRPr="00195E02">
        <w:rPr>
          <w:rFonts w:eastAsia="Times New Roman" w:cs="Times New Roman"/>
          <w:rtl/>
          <w:lang w:eastAsia="de-DE"/>
        </w:rPr>
        <w:t xml:space="preserve"> </w:t>
      </w:r>
      <w:r w:rsidRPr="00195E02">
        <w:rPr>
          <w:rFonts w:eastAsia="Times New Roman" w:cs="Times New Roman"/>
          <w:lang w:eastAsia="de-DE"/>
        </w:rPr>
        <w:t xml:space="preserve">definiert pathologische weibliche Blutungen. </w:t>
      </w:r>
      <w:r w:rsidRPr="00195E02">
        <w:rPr>
          <w:rFonts w:eastAsia="Times New Roman" w:cs="Times New Roman"/>
          <w:b/>
          <w:bCs/>
          <w:rtl/>
          <w:lang w:eastAsia="de-DE"/>
        </w:rPr>
        <w:t>וכי־יזוב זוב דמה ימים רבים בלא עת־נדתה</w:t>
      </w:r>
      <w:r w:rsidRPr="00195E02">
        <w:rPr>
          <w:rFonts w:eastAsia="Times New Roman" w:cs="Times New Roman"/>
          <w:rtl/>
          <w:lang w:eastAsia="de-DE"/>
        </w:rPr>
        <w:t xml:space="preserve"> </w:t>
      </w:r>
      <w:r w:rsidRPr="00195E02">
        <w:rPr>
          <w:rFonts w:eastAsia="Times New Roman" w:cs="Times New Roman"/>
          <w:lang w:eastAsia="de-DE"/>
        </w:rPr>
        <w:t xml:space="preserve">(wenn der Fluss ihres Blutes fließt viele Tage außer der Zeit ihrer Unreinheit) - </w:t>
      </w:r>
      <w:r w:rsidRPr="00195E02">
        <w:rPr>
          <w:rFonts w:eastAsia="Times New Roman" w:cs="Times New Roman"/>
          <w:b/>
          <w:bCs/>
          <w:rtl/>
          <w:lang w:eastAsia="de-DE"/>
        </w:rPr>
        <w:t>זוב דמה</w:t>
      </w:r>
      <w:r w:rsidRPr="00195E02">
        <w:rPr>
          <w:rFonts w:eastAsia="Times New Roman" w:cs="Times New Roman"/>
          <w:rtl/>
          <w:lang w:eastAsia="de-DE"/>
        </w:rPr>
        <w:t xml:space="preserve"> </w:t>
      </w:r>
      <w:r w:rsidRPr="00195E02">
        <w:rPr>
          <w:rFonts w:eastAsia="Times New Roman" w:cs="Times New Roman"/>
          <w:lang w:eastAsia="de-DE"/>
        </w:rPr>
        <w:t xml:space="preserve">(Fluss ihres Blutes) als pathologische Blutung, </w:t>
      </w:r>
      <w:r w:rsidRPr="00195E02">
        <w:rPr>
          <w:rFonts w:eastAsia="Times New Roman" w:cs="Times New Roman"/>
          <w:b/>
          <w:bCs/>
          <w:rtl/>
          <w:lang w:eastAsia="de-DE"/>
        </w:rPr>
        <w:t>ימים רבים</w:t>
      </w:r>
      <w:r w:rsidRPr="00195E02">
        <w:rPr>
          <w:rFonts w:eastAsia="Times New Roman" w:cs="Times New Roman"/>
          <w:rtl/>
          <w:lang w:eastAsia="de-DE"/>
        </w:rPr>
        <w:t xml:space="preserve"> </w:t>
      </w:r>
      <w:r w:rsidRPr="00195E02">
        <w:rPr>
          <w:rFonts w:eastAsia="Times New Roman" w:cs="Times New Roman"/>
          <w:lang w:eastAsia="de-DE"/>
        </w:rPr>
        <w:t xml:space="preserve">(viele Tage), </w:t>
      </w:r>
      <w:r w:rsidRPr="00195E02">
        <w:rPr>
          <w:rFonts w:eastAsia="Times New Roman" w:cs="Times New Roman"/>
          <w:b/>
          <w:bCs/>
          <w:rtl/>
          <w:lang w:eastAsia="de-DE"/>
        </w:rPr>
        <w:t>בלא עת־נדתה</w:t>
      </w:r>
      <w:r w:rsidRPr="00195E02">
        <w:rPr>
          <w:rFonts w:eastAsia="Times New Roman" w:cs="Times New Roman"/>
          <w:rtl/>
          <w:lang w:eastAsia="de-DE"/>
        </w:rPr>
        <w:t xml:space="preserve"> </w:t>
      </w:r>
      <w:r w:rsidRPr="00195E02">
        <w:rPr>
          <w:rFonts w:eastAsia="Times New Roman" w:cs="Times New Roman"/>
          <w:lang w:eastAsia="de-DE"/>
        </w:rPr>
        <w:t>(außer der Zeit ihrer Unreinheit) zeigt Blutung außerhalb der normalen Menstruation.</w:t>
      </w:r>
    </w:p>
    <w:p w14:paraId="4859827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או כי־תזוב על־נדתה</w:t>
      </w:r>
      <w:r w:rsidRPr="00195E02">
        <w:rPr>
          <w:rFonts w:eastAsia="Times New Roman" w:cs="Times New Roman"/>
          <w:rtl/>
          <w:lang w:eastAsia="de-DE"/>
        </w:rPr>
        <w:t xml:space="preserve"> </w:t>
      </w:r>
      <w:r w:rsidRPr="00195E02">
        <w:rPr>
          <w:rFonts w:eastAsia="Times New Roman" w:cs="Times New Roman"/>
          <w:lang w:eastAsia="de-DE"/>
        </w:rPr>
        <w:t xml:space="preserve">(oder wenn sie fließt über ihre Unreinheit hinaus) zeigt verlängerte Menstruation. </w:t>
      </w:r>
      <w:r w:rsidRPr="00195E02">
        <w:rPr>
          <w:rFonts w:eastAsia="Times New Roman" w:cs="Times New Roman"/>
          <w:b/>
          <w:bCs/>
          <w:rtl/>
          <w:lang w:eastAsia="de-DE"/>
        </w:rPr>
        <w:t>כל־ימי זוב טמאתה כימי נדתה תהיה טמאה הוא</w:t>
      </w:r>
      <w:r w:rsidRPr="00195E02">
        <w:rPr>
          <w:rFonts w:eastAsia="Times New Roman" w:cs="Times New Roman"/>
          <w:rtl/>
          <w:lang w:eastAsia="de-DE"/>
        </w:rPr>
        <w:t xml:space="preserve"> </w:t>
      </w:r>
      <w:r w:rsidRPr="00195E02">
        <w:rPr>
          <w:rFonts w:eastAsia="Times New Roman" w:cs="Times New Roman"/>
          <w:lang w:eastAsia="de-DE"/>
        </w:rPr>
        <w:t xml:space="preserve">(alle Tage des Flusses ihrer Unreinheit soll wie die Tage ihrer Unreinheit sein: sie ist unrein) zeigt, dass pathologische Blutung dieselben Regeln wie normale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hat.</w:t>
      </w:r>
    </w:p>
    <w:p w14:paraId="2CEED52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זוב דמה</w:t>
      </w:r>
      <w:r w:rsidRPr="00195E02">
        <w:rPr>
          <w:rFonts w:eastAsia="Times New Roman" w:cs="Times New Roman"/>
          <w:rtl/>
          <w:lang w:eastAsia="de-DE"/>
        </w:rPr>
        <w:t xml:space="preserve"> </w:t>
      </w:r>
      <w:r w:rsidRPr="00195E02">
        <w:rPr>
          <w:rFonts w:eastAsia="Times New Roman" w:cs="Times New Roman"/>
          <w:lang w:eastAsia="de-DE"/>
        </w:rPr>
        <w:t xml:space="preserve">zeigt pathologische Blutung entsprechend männlichem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ימים רבים</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על־נדתה</w:t>
      </w:r>
      <w:r w:rsidRPr="00195E02">
        <w:rPr>
          <w:rFonts w:eastAsia="Times New Roman" w:cs="Times New Roman"/>
          <w:rtl/>
          <w:lang w:eastAsia="de-DE"/>
        </w:rPr>
        <w:t xml:space="preserve"> </w:t>
      </w:r>
      <w:r w:rsidRPr="00195E02">
        <w:rPr>
          <w:rFonts w:eastAsia="Times New Roman" w:cs="Times New Roman"/>
          <w:lang w:eastAsia="de-DE"/>
        </w:rPr>
        <w:t xml:space="preserve">zeigen zwei Arten abnormaler Blutung. </w:t>
      </w:r>
      <w:r w:rsidRPr="00195E02">
        <w:rPr>
          <w:rFonts w:eastAsia="Times New Roman" w:cs="Times New Roman"/>
          <w:b/>
          <w:bCs/>
          <w:rtl/>
          <w:lang w:eastAsia="de-DE"/>
        </w:rPr>
        <w:t>כימי נדתה</w:t>
      </w:r>
      <w:r w:rsidRPr="00195E02">
        <w:rPr>
          <w:rFonts w:eastAsia="Times New Roman" w:cs="Times New Roman"/>
          <w:rtl/>
          <w:lang w:eastAsia="de-DE"/>
        </w:rPr>
        <w:t xml:space="preserve"> </w:t>
      </w:r>
      <w:r w:rsidRPr="00195E02">
        <w:rPr>
          <w:rFonts w:eastAsia="Times New Roman" w:cs="Times New Roman"/>
          <w:lang w:eastAsia="de-DE"/>
        </w:rPr>
        <w:t>zeigt Gleichbehandlung mit normaler Menstruation.</w:t>
      </w:r>
    </w:p>
    <w:p w14:paraId="61738B9C" w14:textId="139D3CA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בלא עת־נדתה</w:t>
      </w:r>
      <w:r w:rsidR="00523826">
        <w:t xml:space="preserve"> (</w:t>
      </w:r>
      <w:proofErr w:type="spellStart"/>
      <w:r w:rsidR="00523826">
        <w:t>belo</w:t>
      </w:r>
      <w:proofErr w:type="spellEnd"/>
      <w:r w:rsidR="00523826">
        <w:t xml:space="preserve"> et-</w:t>
      </w:r>
      <w:proofErr w:type="spellStart"/>
      <w:r w:rsidR="00523826">
        <w:t>niddatah</w:t>
      </w:r>
      <w:proofErr w:type="spellEnd"/>
      <w:r w:rsidR="00523826">
        <w:t xml:space="preserve"> - "nicht zur Zeit ihrer Menstruation") als </w:t>
      </w:r>
      <w:proofErr w:type="spellStart"/>
      <w:r w:rsidR="00523826">
        <w:t>οὐκ</w:t>
      </w:r>
      <w:proofErr w:type="spellEnd"/>
      <w:r w:rsidR="00523826">
        <w:t xml:space="preserve"> </w:t>
      </w:r>
      <w:proofErr w:type="spellStart"/>
      <w:r w:rsidR="00523826">
        <w:t>ἐν</w:t>
      </w:r>
      <w:proofErr w:type="spellEnd"/>
      <w:r w:rsidR="00523826">
        <w:t xml:space="preserve"> κα</w:t>
      </w:r>
      <w:proofErr w:type="spellStart"/>
      <w:r w:rsidR="00523826">
        <w:t>ιρῷ</w:t>
      </w:r>
      <w:proofErr w:type="spellEnd"/>
      <w:r w:rsidR="00523826">
        <w:t xml:space="preserve"> </w:t>
      </w:r>
      <w:proofErr w:type="spellStart"/>
      <w:r w:rsidR="00523826">
        <w:t>τῆς</w:t>
      </w:r>
      <w:proofErr w:type="spellEnd"/>
      <w:r w:rsidR="00523826">
        <w:t xml:space="preserve"> </w:t>
      </w:r>
      <w:proofErr w:type="spellStart"/>
      <w:r w:rsidR="00523826">
        <w:t>ἀφέδρου</w:t>
      </w:r>
      <w:proofErr w:type="spellEnd"/>
      <w:r w:rsidR="00523826">
        <w:t xml:space="preserve"> α</w:t>
      </w:r>
      <w:proofErr w:type="spellStart"/>
      <w:r w:rsidR="00523826">
        <w:t>ὐτῆς</w:t>
      </w:r>
      <w:proofErr w:type="spellEnd"/>
      <w:r w:rsidR="00523826">
        <w:t xml:space="preserve"> (nicht zur Zeit ihrer Absonderung), was die zeitliche Abnormalität betont.</w:t>
      </w:r>
    </w:p>
    <w:p w14:paraId="28BFCF1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pathologische Zustände: zwei abnormale Blutungsarten + Gleichbehandlung mit normaler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 bekräftigende Unreinheitsaussage. Die Struktur erweitert </w:t>
      </w:r>
      <w:r w:rsidRPr="00195E02">
        <w:rPr>
          <w:rFonts w:eastAsia="Times New Roman" w:cs="Times New Roman"/>
          <w:b/>
          <w:bCs/>
          <w:rtl/>
          <w:lang w:eastAsia="de-DE"/>
        </w:rPr>
        <w:t>נדה</w:t>
      </w:r>
      <w:r w:rsidRPr="00195E02">
        <w:rPr>
          <w:rFonts w:eastAsia="Times New Roman" w:cs="Times New Roman"/>
          <w:lang w:eastAsia="de-DE"/>
        </w:rPr>
        <w:t>-Regeln auf pathologische Fälle.</w:t>
      </w:r>
    </w:p>
    <w:p w14:paraId="6178830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definiert pathologische Frauenblutungen als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mit denselben Unreinheitsregeln wie normale </w:t>
      </w:r>
      <w:r w:rsidRPr="00195E02">
        <w:rPr>
          <w:rFonts w:eastAsia="Times New Roman" w:cs="Times New Roman"/>
          <w:b/>
          <w:bCs/>
          <w:rtl/>
          <w:lang w:eastAsia="de-DE"/>
        </w:rPr>
        <w:t>נדה</w:t>
      </w:r>
      <w:r w:rsidRPr="00195E02">
        <w:rPr>
          <w:rFonts w:eastAsia="Times New Roman" w:cs="Times New Roman"/>
          <w:lang w:eastAsia="de-DE"/>
        </w:rPr>
        <w:t>.</w:t>
      </w:r>
    </w:p>
    <w:p w14:paraId="67470C3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15,26</w:t>
      </w:r>
    </w:p>
    <w:p w14:paraId="2BAD6D8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כָּל־הַמִּשְׁכָּ֞ב אֲשֶׁר־תִּשְׁכַּ֤ב עָלָיו֙ כָּל־יְמֵ֣י זוֹבָ֔הּ כְּמִשְׁכַּ֥ב נִדָּתָ֖הּ יִֽהְיֶה־לָּ֑הּ וְכָֽל־הַכְּלִי֙ אֲשֶׁ֣ר תֵּשֵׁ֣ב עָלָ֔יו טָמֵ֣א יִהְיֶ֔ה כְּטֻמְאַ֖ת נִדָּתָֽהּ׃</w:t>
      </w:r>
    </w:p>
    <w:p w14:paraId="3750C1EB" w14:textId="07346FE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Jedes Lager, auf dem sie liegt alle Tage ihres Flusses, soll ihr sein wie das Lager ihrer Unreinheit, und jeder Gegenstand, auf dem sie sitzt, wird unrein sein wie die Unreinheit ihrer Unreinheit.</w:t>
      </w:r>
    </w:p>
    <w:p w14:paraId="302C2C5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90D492D">
          <v:rect id="_x0000_i1473" style="width:0;height:1.5pt" o:hralign="center" o:hrstd="t" o:hr="t" fillcolor="#a0a0a0" stroked="f"/>
        </w:pict>
      </w:r>
    </w:p>
    <w:p w14:paraId="29ADC28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כל־המשכב אשר־תשכב עליו כל־ימי זובה כמשכב נדתה יהיה־לה וכל־הכלי אשר תשב עליו טמא יהיה כטמאת נדתה</w:t>
      </w:r>
      <w:r w:rsidRPr="00195E02">
        <w:rPr>
          <w:rFonts w:eastAsia="Times New Roman" w:cs="Times New Roman"/>
          <w:rtl/>
          <w:lang w:eastAsia="de-DE"/>
        </w:rPr>
        <w:t xml:space="preserve"> </w:t>
      </w:r>
      <w:r w:rsidRPr="00195E02">
        <w:rPr>
          <w:rFonts w:eastAsia="Times New Roman" w:cs="Times New Roman"/>
          <w:lang w:eastAsia="de-DE"/>
        </w:rPr>
        <w:t xml:space="preserve">wendet </w:t>
      </w:r>
      <w:r w:rsidRPr="00195E02">
        <w:rPr>
          <w:rFonts w:eastAsia="Times New Roman" w:cs="Times New Roman"/>
          <w:b/>
          <w:bCs/>
          <w:rtl/>
          <w:lang w:eastAsia="de-DE"/>
        </w:rPr>
        <w:t>נדה</w:t>
      </w:r>
      <w:r w:rsidRPr="00195E02">
        <w:rPr>
          <w:rFonts w:eastAsia="Times New Roman" w:cs="Times New Roman"/>
          <w:lang w:eastAsia="de-DE"/>
        </w:rPr>
        <w:t xml:space="preserve">-Regeln auf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an. </w:t>
      </w:r>
      <w:r w:rsidRPr="00195E02">
        <w:rPr>
          <w:rFonts w:eastAsia="Times New Roman" w:cs="Times New Roman"/>
          <w:b/>
          <w:bCs/>
          <w:rtl/>
          <w:lang w:eastAsia="de-DE"/>
        </w:rPr>
        <w:t>כל־המשכב אשר־תשכב עליו כל־ימי זובה</w:t>
      </w:r>
      <w:r w:rsidRPr="00195E02">
        <w:rPr>
          <w:rFonts w:eastAsia="Times New Roman" w:cs="Times New Roman"/>
          <w:rtl/>
          <w:lang w:eastAsia="de-DE"/>
        </w:rPr>
        <w:t xml:space="preserve"> </w:t>
      </w:r>
      <w:r w:rsidRPr="00195E02">
        <w:rPr>
          <w:rFonts w:eastAsia="Times New Roman" w:cs="Times New Roman"/>
          <w:lang w:eastAsia="de-DE"/>
        </w:rPr>
        <w:lastRenderedPageBreak/>
        <w:t xml:space="preserve">(jedes Lager, auf dem sie liegt alle Tage ihres Flusses) entspricht V. 20. </w:t>
      </w:r>
      <w:r w:rsidRPr="00195E02">
        <w:rPr>
          <w:rFonts w:eastAsia="Times New Roman" w:cs="Times New Roman"/>
          <w:b/>
          <w:bCs/>
          <w:rtl/>
          <w:lang w:eastAsia="de-DE"/>
        </w:rPr>
        <w:t>כמשכב נדתה יהיה־לה</w:t>
      </w:r>
      <w:r w:rsidRPr="00195E02">
        <w:rPr>
          <w:rFonts w:eastAsia="Times New Roman" w:cs="Times New Roman"/>
          <w:rtl/>
          <w:lang w:eastAsia="de-DE"/>
        </w:rPr>
        <w:t xml:space="preserve"> </w:t>
      </w:r>
      <w:r w:rsidRPr="00195E02">
        <w:rPr>
          <w:rFonts w:eastAsia="Times New Roman" w:cs="Times New Roman"/>
          <w:lang w:eastAsia="de-DE"/>
        </w:rPr>
        <w:t>(soll ihr sein wie das Lager ihrer Unreinheit) zeigt explizite Gleichstellung.</w:t>
      </w:r>
    </w:p>
    <w:p w14:paraId="0A0C5C0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וכל־הכלי אשר תשב עליו טמא יהיה כטמאת נדתה</w:t>
      </w:r>
      <w:r w:rsidRPr="00195E02">
        <w:rPr>
          <w:rFonts w:eastAsia="Times New Roman" w:cs="Times New Roman"/>
          <w:rtl/>
          <w:lang w:eastAsia="de-DE"/>
        </w:rPr>
        <w:t xml:space="preserve"> </w:t>
      </w:r>
      <w:r w:rsidRPr="00195E02">
        <w:rPr>
          <w:rFonts w:eastAsia="Times New Roman" w:cs="Times New Roman"/>
          <w:lang w:eastAsia="de-DE"/>
        </w:rPr>
        <w:t>(und jeder Gegenstand, auf dem sie sitzt, wird unrein sein wie die Unreinheit ihrer Unreinheit) erweitert die Gleichstellung auf Sitzgelegenheiten.</w:t>
      </w:r>
    </w:p>
    <w:p w14:paraId="17327D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כל־ימי זובה</w:t>
      </w:r>
      <w:r w:rsidRPr="00195E02">
        <w:rPr>
          <w:rFonts w:eastAsia="Times New Roman" w:cs="Times New Roman"/>
          <w:rtl/>
          <w:lang w:eastAsia="de-DE"/>
        </w:rPr>
        <w:t xml:space="preserve"> </w:t>
      </w:r>
      <w:r w:rsidRPr="00195E02">
        <w:rPr>
          <w:rFonts w:eastAsia="Times New Roman" w:cs="Times New Roman"/>
          <w:lang w:eastAsia="de-DE"/>
        </w:rPr>
        <w:t xml:space="preserve">zeigt unbestimmte Dauer der pathologischen Blutung. </w:t>
      </w:r>
      <w:r w:rsidRPr="00195E02">
        <w:rPr>
          <w:rFonts w:eastAsia="Times New Roman" w:cs="Times New Roman"/>
          <w:b/>
          <w:bCs/>
          <w:rtl/>
          <w:lang w:eastAsia="de-DE"/>
        </w:rPr>
        <w:t>כמשכב נדתה</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כטמאת נדתה</w:t>
      </w:r>
      <w:r w:rsidRPr="00195E02">
        <w:rPr>
          <w:rFonts w:eastAsia="Times New Roman" w:cs="Times New Roman"/>
          <w:rtl/>
          <w:lang w:eastAsia="de-DE"/>
        </w:rPr>
        <w:t xml:space="preserve"> </w:t>
      </w:r>
      <w:r w:rsidRPr="00195E02">
        <w:rPr>
          <w:rFonts w:eastAsia="Times New Roman" w:cs="Times New Roman"/>
          <w:lang w:eastAsia="de-DE"/>
        </w:rPr>
        <w:t xml:space="preserve">zeigen vollständige Regelübernahme. Die Wiederholung von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betont die Gleichbehandlung.</w:t>
      </w:r>
    </w:p>
    <w:p w14:paraId="0708BA9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כל־ימי זובה</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άσ</w:t>
      </w:r>
      <w:proofErr w:type="spellEnd"/>
      <w:r w:rsidRPr="00195E02">
        <w:rPr>
          <w:rFonts w:eastAsia="Times New Roman" w:cs="Times New Roman"/>
          <w:lang w:eastAsia="de-DE"/>
        </w:rPr>
        <w:t xml:space="preserve">ας </w:t>
      </w:r>
      <w:proofErr w:type="spellStart"/>
      <w:r w:rsidRPr="00195E02">
        <w:rPr>
          <w:rFonts w:eastAsia="Times New Roman" w:cs="Times New Roman"/>
          <w:lang w:eastAsia="de-DE"/>
        </w:rPr>
        <w:t>τὰς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ἡμέρ</w:t>
      </w:r>
      <w:proofErr w:type="spellEnd"/>
      <w:r w:rsidRPr="00195E02">
        <w:rPr>
          <w:rFonts w:eastAsia="Times New Roman" w:cs="Times New Roman"/>
          <w:lang w:eastAsia="de-DE"/>
        </w:rPr>
        <w:t xml:space="preserve">ας </w:t>
      </w:r>
      <w:proofErr w:type="spellStart"/>
      <w:r w:rsidRPr="00195E02">
        <w:rPr>
          <w:rFonts w:eastAsia="Times New Roman" w:cs="Times New Roman"/>
          <w:lang w:eastAsia="de-DE"/>
        </w:rPr>
        <w:t>ῥύσεως</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ὐτῆς</w:t>
      </w:r>
      <w:proofErr w:type="spellEnd"/>
      <w:r w:rsidRPr="00195E02">
        <w:rPr>
          <w:rFonts w:eastAsia="Times New Roman" w:cs="Times New Roman"/>
          <w:lang w:eastAsia="de-DE"/>
        </w:rPr>
        <w:t xml:space="preserve"> (alle Tage ihres Flusses), </w:t>
      </w:r>
      <w:r w:rsidRPr="00195E02">
        <w:rPr>
          <w:rFonts w:eastAsia="Times New Roman" w:cs="Times New Roman"/>
          <w:b/>
          <w:bCs/>
          <w:rtl/>
          <w:lang w:eastAsia="de-DE"/>
        </w:rPr>
        <w:t>כמשכב נדתה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ὡς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στρωμνὴ</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ἀφέδρου</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ὐτῆς</w:t>
      </w:r>
      <w:proofErr w:type="spellEnd"/>
      <w:r w:rsidRPr="00195E02">
        <w:rPr>
          <w:rFonts w:eastAsia="Times New Roman" w:cs="Times New Roman"/>
          <w:lang w:eastAsia="de-DE"/>
        </w:rPr>
        <w:t xml:space="preserve"> (wie Lager ihrer Absonderung) und </w:t>
      </w:r>
      <w:r w:rsidRPr="00195E02">
        <w:rPr>
          <w:rFonts w:eastAsia="Times New Roman" w:cs="Times New Roman"/>
          <w:b/>
          <w:bCs/>
          <w:rtl/>
          <w:lang w:eastAsia="de-DE"/>
        </w:rPr>
        <w:t>כטמאת נדתה</w:t>
      </w:r>
      <w:r w:rsidRPr="00195E02">
        <w:rPr>
          <w:rFonts w:eastAsia="Times New Roman" w:cs="Times New Roman"/>
          <w:rtl/>
          <w:lang w:eastAsia="de-DE"/>
        </w:rPr>
        <w:t xml:space="preserve"> </w:t>
      </w:r>
      <w:r w:rsidRPr="00195E02">
        <w:rPr>
          <w:rFonts w:eastAsia="Times New Roman" w:cs="Times New Roman"/>
          <w:lang w:eastAsia="de-DE"/>
        </w:rPr>
        <w:t>mit κα</w:t>
      </w:r>
      <w:proofErr w:type="spellStart"/>
      <w:r w:rsidRPr="00195E02">
        <w:rPr>
          <w:rFonts w:eastAsia="Times New Roman" w:cs="Times New Roman"/>
          <w:lang w:eastAsia="de-DE"/>
        </w:rPr>
        <w:t>τὰ</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τὴν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ἀκ</w:t>
      </w:r>
      <w:proofErr w:type="spellEnd"/>
      <w:r w:rsidRPr="00195E02">
        <w:rPr>
          <w:rFonts w:eastAsia="Times New Roman" w:cs="Times New Roman"/>
          <w:lang w:eastAsia="de-DE"/>
        </w:rPr>
        <w:t xml:space="preserve">αθαρσίαν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ἀφέδρου</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ὐτῆς</w:t>
      </w:r>
      <w:proofErr w:type="spellEnd"/>
      <w:r w:rsidRPr="00195E02">
        <w:rPr>
          <w:rFonts w:eastAsia="Times New Roman" w:cs="Times New Roman"/>
          <w:lang w:eastAsia="de-DE"/>
        </w:rPr>
        <w:t xml:space="preserve"> (gemäß der Unreinheit ihrer Absonderung).</w:t>
      </w:r>
    </w:p>
    <w:p w14:paraId="74E9DC5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Regelübertragung: pathologische Dauer + Gleichstellung mit normaler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 xml:space="preserve">bei Liegeflächen und Sitzgelegenheiten. Die Struktur überträgt systematisch alle </w:t>
      </w:r>
      <w:r w:rsidRPr="00195E02">
        <w:rPr>
          <w:rFonts w:eastAsia="Times New Roman" w:cs="Times New Roman"/>
          <w:b/>
          <w:bCs/>
          <w:rtl/>
          <w:lang w:eastAsia="de-DE"/>
        </w:rPr>
        <w:t>נדה</w:t>
      </w:r>
      <w:r w:rsidRPr="00195E02">
        <w:rPr>
          <w:rFonts w:eastAsia="Times New Roman" w:cs="Times New Roman"/>
          <w:lang w:eastAsia="de-DE"/>
        </w:rPr>
        <w:t>-Regeln.</w:t>
      </w:r>
    </w:p>
    <w:p w14:paraId="4AB6A7A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überträgt alle Gegenstandskontaminationsregeln der </w:t>
      </w:r>
      <w:r w:rsidRPr="00195E02">
        <w:rPr>
          <w:rFonts w:eastAsia="Times New Roman" w:cs="Times New Roman"/>
          <w:b/>
          <w:bCs/>
          <w:rtl/>
          <w:lang w:eastAsia="de-DE"/>
        </w:rPr>
        <w:t>נדה</w:t>
      </w:r>
      <w:r w:rsidRPr="00195E02">
        <w:rPr>
          <w:rFonts w:eastAsia="Times New Roman" w:cs="Times New Roman"/>
          <w:rtl/>
          <w:lang w:eastAsia="de-DE"/>
        </w:rPr>
        <w:t xml:space="preserve"> </w:t>
      </w:r>
      <w:r w:rsidRPr="00195E02">
        <w:rPr>
          <w:rFonts w:eastAsia="Times New Roman" w:cs="Times New Roman"/>
          <w:lang w:eastAsia="de-DE"/>
        </w:rPr>
        <w:t>auf pathologische Frauenblutungen (</w:t>
      </w:r>
      <w:r w:rsidRPr="00195E02">
        <w:rPr>
          <w:rFonts w:eastAsia="Times New Roman" w:cs="Times New Roman"/>
          <w:b/>
          <w:bCs/>
          <w:rtl/>
          <w:lang w:eastAsia="de-DE"/>
        </w:rPr>
        <w:t>זבה</w:t>
      </w:r>
      <w:r w:rsidRPr="00195E02">
        <w:rPr>
          <w:rFonts w:eastAsia="Times New Roman" w:cs="Times New Roman"/>
          <w:lang w:eastAsia="de-DE"/>
        </w:rPr>
        <w:t>).</w:t>
      </w:r>
    </w:p>
    <w:p w14:paraId="5C4ABEC2"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15,27</w:t>
      </w:r>
    </w:p>
    <w:p w14:paraId="3A84F37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וְכָל־הַנּוֹגֵ֥עַ בָּ֖ם יִטְמָ֑א וְכִבֶּ֧ס בְּגָדָ֛יו וְרָחַ֥ץ בַּמַּ֖יִם וְטָמֵ֥א עַד־הָעָֽרֶב׃</w:t>
      </w:r>
    </w:p>
    <w:p w14:paraId="197BFD29" w14:textId="1523271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jeder, der sie berührt, wird unrein sein; und er soll seine Kleider waschen und soll sich im Wasser baden und soll bis zum Abend unrein sein.</w:t>
      </w:r>
    </w:p>
    <w:p w14:paraId="44ABCFD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DBD1AA3">
          <v:rect id="_x0000_i1474" style="width:0;height:1.5pt" o:hralign="center" o:hrstd="t" o:hr="t" fillcolor="#a0a0a0" stroked="f"/>
        </w:pict>
      </w:r>
    </w:p>
    <w:p w14:paraId="0E50F23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וכל־הנוגע בם יטמא 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 xml:space="preserve">vervollständigt die </w:t>
      </w:r>
      <w:r w:rsidRPr="00195E02">
        <w:rPr>
          <w:rFonts w:eastAsia="Times New Roman" w:cs="Times New Roman"/>
          <w:b/>
          <w:bCs/>
          <w:rtl/>
          <w:lang w:eastAsia="de-DE"/>
        </w:rPr>
        <w:t>זבה</w:t>
      </w:r>
      <w:r w:rsidRPr="00195E02">
        <w:rPr>
          <w:rFonts w:eastAsia="Times New Roman" w:cs="Times New Roman"/>
          <w:lang w:eastAsia="de-DE"/>
        </w:rPr>
        <w:t xml:space="preserve">-Kontaminationsregeln. </w:t>
      </w:r>
      <w:r w:rsidRPr="00195E02">
        <w:rPr>
          <w:rFonts w:eastAsia="Times New Roman" w:cs="Times New Roman"/>
          <w:b/>
          <w:bCs/>
          <w:rtl/>
          <w:lang w:eastAsia="de-DE"/>
        </w:rPr>
        <w:t>וכל־הנוגע בם יטמא</w:t>
      </w:r>
      <w:r w:rsidRPr="00195E02">
        <w:rPr>
          <w:rFonts w:eastAsia="Times New Roman" w:cs="Times New Roman"/>
          <w:rtl/>
          <w:lang w:eastAsia="de-DE"/>
        </w:rPr>
        <w:t xml:space="preserve"> </w:t>
      </w:r>
      <w:r w:rsidRPr="00195E02">
        <w:rPr>
          <w:rFonts w:eastAsia="Times New Roman" w:cs="Times New Roman"/>
          <w:lang w:eastAsia="de-DE"/>
        </w:rPr>
        <w:t xml:space="preserve">(und jeder, der sie berührt, wird unrein) - </w:t>
      </w:r>
      <w:r w:rsidRPr="00195E02">
        <w:rPr>
          <w:rFonts w:eastAsia="Times New Roman" w:cs="Times New Roman"/>
          <w:b/>
          <w:bCs/>
          <w:rtl/>
          <w:lang w:eastAsia="de-DE"/>
        </w:rPr>
        <w:t>בם</w:t>
      </w:r>
      <w:r w:rsidRPr="00195E02">
        <w:rPr>
          <w:rFonts w:eastAsia="Times New Roman" w:cs="Times New Roman"/>
          <w:rtl/>
          <w:lang w:eastAsia="de-DE"/>
        </w:rPr>
        <w:t xml:space="preserve"> </w:t>
      </w:r>
      <w:r w:rsidRPr="00195E02">
        <w:rPr>
          <w:rFonts w:eastAsia="Times New Roman" w:cs="Times New Roman"/>
          <w:lang w:eastAsia="de-DE"/>
        </w:rPr>
        <w:t xml:space="preserve">(sie) bezieht sich auf die kontaminierten Gegenstände aus V. 26. </w:t>
      </w:r>
      <w:r w:rsidRPr="00195E02">
        <w:rPr>
          <w:rFonts w:eastAsia="Times New Roman" w:cs="Times New Roman"/>
          <w:b/>
          <w:bCs/>
          <w:rtl/>
          <w:lang w:eastAsia="de-DE"/>
        </w:rPr>
        <w:t>וכבס בגדיו ורחץ במים וטמא עד־הערב</w:t>
      </w:r>
      <w:r w:rsidRPr="00195E02">
        <w:rPr>
          <w:rFonts w:eastAsia="Times New Roman" w:cs="Times New Roman"/>
          <w:rtl/>
          <w:lang w:eastAsia="de-DE"/>
        </w:rPr>
        <w:t xml:space="preserve"> </w:t>
      </w:r>
      <w:r w:rsidRPr="00195E02">
        <w:rPr>
          <w:rFonts w:eastAsia="Times New Roman" w:cs="Times New Roman"/>
          <w:lang w:eastAsia="de-DE"/>
        </w:rPr>
        <w:t>entspricht exakt V. 21-22.</w:t>
      </w:r>
    </w:p>
    <w:p w14:paraId="5269585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 vollständige Entsprechung zu V. 21-22 zeigt systematische Anwendung aller </w:t>
      </w:r>
      <w:r w:rsidRPr="00195E02">
        <w:rPr>
          <w:rFonts w:eastAsia="Times New Roman" w:cs="Times New Roman"/>
          <w:b/>
          <w:bCs/>
          <w:rtl/>
          <w:lang w:eastAsia="de-DE"/>
        </w:rPr>
        <w:t>נדה</w:t>
      </w:r>
      <w:r w:rsidRPr="00195E02">
        <w:rPr>
          <w:rFonts w:eastAsia="Times New Roman" w:cs="Times New Roman"/>
          <w:lang w:eastAsia="de-DE"/>
        </w:rPr>
        <w:t xml:space="preserve">-Kontaminationsregeln auf pathologische </w:t>
      </w:r>
      <w:r w:rsidRPr="00195E02">
        <w:rPr>
          <w:rFonts w:eastAsia="Times New Roman" w:cs="Times New Roman"/>
          <w:b/>
          <w:bCs/>
          <w:rtl/>
          <w:lang w:eastAsia="de-DE"/>
        </w:rPr>
        <w:t>זבה</w:t>
      </w:r>
      <w:r w:rsidRPr="00195E02">
        <w:rPr>
          <w:rFonts w:eastAsia="Times New Roman" w:cs="Times New Roman"/>
          <w:lang w:eastAsia="de-DE"/>
        </w:rPr>
        <w:t>.</w:t>
      </w:r>
    </w:p>
    <w:p w14:paraId="2E6FB19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21-22 mit identischen griechischen Begriffen.</w:t>
      </w:r>
    </w:p>
    <w:p w14:paraId="0DFCC47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21-22: indirekter Kontakt + Standardreinigungsmaßnahmen + temporäre Unreinheit. Die identische Struktur vervollständigt die systematische Regelübertragung.</w:t>
      </w:r>
    </w:p>
    <w:p w14:paraId="350A2EE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vervollständigt die Übertragung aller </w:t>
      </w:r>
      <w:r w:rsidRPr="00195E02">
        <w:rPr>
          <w:rFonts w:eastAsia="Times New Roman" w:cs="Times New Roman"/>
          <w:b/>
          <w:bCs/>
          <w:rtl/>
          <w:lang w:eastAsia="de-DE"/>
        </w:rPr>
        <w:t>נדה</w:t>
      </w:r>
      <w:r w:rsidRPr="00195E02">
        <w:rPr>
          <w:rFonts w:eastAsia="Times New Roman" w:cs="Times New Roman"/>
          <w:lang w:eastAsia="de-DE"/>
        </w:rPr>
        <w:t>-Kontaminationsregeln auf pathologische Frauenblutungen.</w:t>
      </w:r>
    </w:p>
    <w:p w14:paraId="62B5F85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15,28</w:t>
      </w:r>
    </w:p>
    <w:p w14:paraId="7A04B95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וְאִֽם־טָהֲרָ֖ה מִזּוֹבָ֑הּ וְסָ֥פְרָה לָּ֛הּ שִׁבְעַ֥ת יָמִ֖ים וְאַחַ֥ר תִּטְהָֽר׃</w:t>
      </w:r>
    </w:p>
    <w:p w14:paraId="2247C827" w14:textId="091ACCA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wenn sie rein geworden ist von ihrem Fluss, so soll sie sich sieben Tage zählen, und danach wird sie rein sein.</w:t>
      </w:r>
    </w:p>
    <w:p w14:paraId="36D64FD1"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AB3D081">
          <v:rect id="_x0000_i1475" style="width:0;height:1.5pt" o:hralign="center" o:hrstd="t" o:hr="t" fillcolor="#a0a0a0" stroked="f"/>
        </w:pict>
      </w:r>
    </w:p>
    <w:p w14:paraId="56C0E1F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ואם־טהרה מזובה וספרה לה שבעת ימים ואחר תטהר</w:t>
      </w:r>
      <w:r w:rsidRPr="00195E02">
        <w:rPr>
          <w:rFonts w:eastAsia="Times New Roman" w:cs="Times New Roman"/>
          <w:rtl/>
          <w:lang w:eastAsia="de-DE"/>
        </w:rPr>
        <w:t xml:space="preserve"> </w:t>
      </w:r>
      <w:r w:rsidRPr="00195E02">
        <w:rPr>
          <w:rFonts w:eastAsia="Times New Roman" w:cs="Times New Roman"/>
          <w:lang w:eastAsia="de-DE"/>
        </w:rPr>
        <w:t xml:space="preserve">zeigt das Reinigungsverfahren für geheilte </w:t>
      </w:r>
      <w:r w:rsidRPr="00195E02">
        <w:rPr>
          <w:rFonts w:eastAsia="Times New Roman" w:cs="Times New Roman"/>
          <w:b/>
          <w:bCs/>
          <w:rtl/>
          <w:lang w:eastAsia="de-DE"/>
        </w:rPr>
        <w:t>זבה</w:t>
      </w:r>
      <w:r w:rsidRPr="00195E02">
        <w:rPr>
          <w:rFonts w:eastAsia="Times New Roman" w:cs="Times New Roman"/>
          <w:lang w:eastAsia="de-DE"/>
        </w:rPr>
        <w:t xml:space="preserve">. </w:t>
      </w:r>
      <w:r w:rsidRPr="00195E02">
        <w:rPr>
          <w:rFonts w:eastAsia="Times New Roman" w:cs="Times New Roman"/>
          <w:b/>
          <w:bCs/>
          <w:rtl/>
          <w:lang w:eastAsia="de-DE"/>
        </w:rPr>
        <w:t>ואם־טהרה מזובה</w:t>
      </w:r>
      <w:r w:rsidRPr="00195E02">
        <w:rPr>
          <w:rFonts w:eastAsia="Times New Roman" w:cs="Times New Roman"/>
          <w:rtl/>
          <w:lang w:eastAsia="de-DE"/>
        </w:rPr>
        <w:t xml:space="preserve"> </w:t>
      </w:r>
      <w:r w:rsidRPr="00195E02">
        <w:rPr>
          <w:rFonts w:eastAsia="Times New Roman" w:cs="Times New Roman"/>
          <w:lang w:eastAsia="de-DE"/>
        </w:rPr>
        <w:t xml:space="preserve">(und wenn sie rein geworden ist von ihrem Fluss) - </w:t>
      </w:r>
      <w:r w:rsidRPr="00195E02">
        <w:rPr>
          <w:rFonts w:eastAsia="Times New Roman" w:cs="Times New Roman"/>
          <w:b/>
          <w:bCs/>
          <w:rtl/>
          <w:lang w:eastAsia="de-DE"/>
        </w:rPr>
        <w:t>טהרה</w:t>
      </w:r>
      <w:r w:rsidRPr="00195E02">
        <w:rPr>
          <w:rFonts w:eastAsia="Times New Roman" w:cs="Times New Roman"/>
          <w:rtl/>
          <w:lang w:eastAsia="de-DE"/>
        </w:rPr>
        <w:t xml:space="preserve"> </w:t>
      </w:r>
      <w:r w:rsidRPr="00195E02">
        <w:rPr>
          <w:rFonts w:eastAsia="Times New Roman" w:cs="Times New Roman"/>
          <w:lang w:eastAsia="de-DE"/>
        </w:rPr>
        <w:t xml:space="preserve">(rein geworden) im Qal-Perfekt zeigt medizinische Heilung als Voraussetzung, entsprechend V. 13 für männlichen </w:t>
      </w:r>
      <w:r w:rsidRPr="00195E02">
        <w:rPr>
          <w:rFonts w:eastAsia="Times New Roman" w:cs="Times New Roman"/>
          <w:b/>
          <w:bCs/>
          <w:rtl/>
          <w:lang w:eastAsia="de-DE"/>
        </w:rPr>
        <w:t>זוב</w:t>
      </w:r>
      <w:r w:rsidRPr="00195E02">
        <w:rPr>
          <w:rFonts w:eastAsia="Times New Roman" w:cs="Times New Roman"/>
          <w:lang w:eastAsia="de-DE"/>
        </w:rPr>
        <w:t>.</w:t>
      </w:r>
    </w:p>
    <w:p w14:paraId="40AA715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וספרה לה שבעת ימים ואחר תטהר</w:t>
      </w:r>
      <w:r w:rsidRPr="00195E02">
        <w:rPr>
          <w:rFonts w:eastAsia="Times New Roman" w:cs="Times New Roman"/>
          <w:rtl/>
          <w:lang w:eastAsia="de-DE"/>
        </w:rPr>
        <w:t xml:space="preserve"> </w:t>
      </w:r>
      <w:r w:rsidRPr="00195E02">
        <w:rPr>
          <w:rFonts w:eastAsia="Times New Roman" w:cs="Times New Roman"/>
          <w:lang w:eastAsia="de-DE"/>
        </w:rPr>
        <w:t xml:space="preserve">(so soll sie sich sieben Tage zählen, und danach wird sie rein sein) - </w:t>
      </w:r>
      <w:r w:rsidRPr="00195E02">
        <w:rPr>
          <w:rFonts w:eastAsia="Times New Roman" w:cs="Times New Roman"/>
          <w:b/>
          <w:bCs/>
          <w:rtl/>
          <w:lang w:eastAsia="de-DE"/>
        </w:rPr>
        <w:t>ספרה לה</w:t>
      </w:r>
      <w:r w:rsidRPr="00195E02">
        <w:rPr>
          <w:rFonts w:eastAsia="Times New Roman" w:cs="Times New Roman"/>
          <w:rtl/>
          <w:lang w:eastAsia="de-DE"/>
        </w:rPr>
        <w:t xml:space="preserve"> </w:t>
      </w:r>
      <w:r w:rsidRPr="00195E02">
        <w:rPr>
          <w:rFonts w:eastAsia="Times New Roman" w:cs="Times New Roman"/>
          <w:lang w:eastAsia="de-DE"/>
        </w:rPr>
        <w:t xml:space="preserve">(sie soll sich zählen) entspricht </w:t>
      </w:r>
      <w:r w:rsidRPr="00195E02">
        <w:rPr>
          <w:rFonts w:eastAsia="Times New Roman" w:cs="Times New Roman"/>
          <w:b/>
          <w:bCs/>
          <w:rtl/>
          <w:lang w:eastAsia="de-DE"/>
        </w:rPr>
        <w:t>ספר לו</w:t>
      </w:r>
      <w:r w:rsidRPr="00195E02">
        <w:rPr>
          <w:rFonts w:eastAsia="Times New Roman" w:cs="Times New Roman"/>
          <w:rtl/>
          <w:lang w:eastAsia="de-DE"/>
        </w:rPr>
        <w:t xml:space="preserve"> </w:t>
      </w:r>
      <w:r w:rsidRPr="00195E02">
        <w:rPr>
          <w:rFonts w:eastAsia="Times New Roman" w:cs="Times New Roman"/>
          <w:lang w:eastAsia="de-DE"/>
        </w:rPr>
        <w:t xml:space="preserve">aus V. 13,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 xml:space="preserve">als Wartezeit, </w:t>
      </w:r>
      <w:r w:rsidRPr="00195E02">
        <w:rPr>
          <w:rFonts w:eastAsia="Times New Roman" w:cs="Times New Roman"/>
          <w:b/>
          <w:bCs/>
          <w:rtl/>
          <w:lang w:eastAsia="de-DE"/>
        </w:rPr>
        <w:t>ואחר תטהר</w:t>
      </w:r>
      <w:r w:rsidRPr="00195E02">
        <w:rPr>
          <w:rFonts w:eastAsia="Times New Roman" w:cs="Times New Roman"/>
          <w:rtl/>
          <w:lang w:eastAsia="de-DE"/>
        </w:rPr>
        <w:t xml:space="preserve"> </w:t>
      </w:r>
      <w:r w:rsidRPr="00195E02">
        <w:rPr>
          <w:rFonts w:eastAsia="Times New Roman" w:cs="Times New Roman"/>
          <w:lang w:eastAsia="de-DE"/>
        </w:rPr>
        <w:t>(und danach wird sie rein sein) als Abschluss.</w:t>
      </w:r>
    </w:p>
    <w:p w14:paraId="65C9F21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טהרה מזובה</w:t>
      </w:r>
      <w:r w:rsidRPr="00195E02">
        <w:rPr>
          <w:rFonts w:eastAsia="Times New Roman" w:cs="Times New Roman"/>
          <w:rtl/>
          <w:lang w:eastAsia="de-DE"/>
        </w:rPr>
        <w:t xml:space="preserve"> </w:t>
      </w:r>
      <w:r w:rsidRPr="00195E02">
        <w:rPr>
          <w:rFonts w:eastAsia="Times New Roman" w:cs="Times New Roman"/>
          <w:lang w:eastAsia="de-DE"/>
        </w:rPr>
        <w:t xml:space="preserve">entspricht </w:t>
      </w:r>
      <w:r w:rsidRPr="00195E02">
        <w:rPr>
          <w:rFonts w:eastAsia="Times New Roman" w:cs="Times New Roman"/>
          <w:b/>
          <w:bCs/>
          <w:rtl/>
          <w:lang w:eastAsia="de-DE"/>
        </w:rPr>
        <w:t>יטהר הזב מזובו</w:t>
      </w:r>
      <w:r w:rsidRPr="00195E02">
        <w:rPr>
          <w:rFonts w:eastAsia="Times New Roman" w:cs="Times New Roman"/>
          <w:rtl/>
          <w:lang w:eastAsia="de-DE"/>
        </w:rPr>
        <w:t xml:space="preserve"> </w:t>
      </w:r>
      <w:r w:rsidRPr="00195E02">
        <w:rPr>
          <w:rFonts w:eastAsia="Times New Roman" w:cs="Times New Roman"/>
          <w:lang w:eastAsia="de-DE"/>
        </w:rPr>
        <w:t xml:space="preserve">aus V. 13. </w:t>
      </w:r>
      <w:r w:rsidRPr="00195E02">
        <w:rPr>
          <w:rFonts w:eastAsia="Times New Roman" w:cs="Times New Roman"/>
          <w:b/>
          <w:bCs/>
          <w:rtl/>
          <w:lang w:eastAsia="de-DE"/>
        </w:rPr>
        <w:t>ספרה לה</w:t>
      </w:r>
      <w:r w:rsidRPr="00195E02">
        <w:rPr>
          <w:rFonts w:eastAsia="Times New Roman" w:cs="Times New Roman"/>
          <w:rtl/>
          <w:lang w:eastAsia="de-DE"/>
        </w:rPr>
        <w:t xml:space="preserve"> </w:t>
      </w:r>
      <w:r w:rsidRPr="00195E02">
        <w:rPr>
          <w:rFonts w:eastAsia="Times New Roman" w:cs="Times New Roman"/>
          <w:lang w:eastAsia="de-DE"/>
        </w:rPr>
        <w:t>zeigt persönliche Verantwortung für die Tageszählung. Die parallele Struktur zu V. 13 zeigt Gleichbehandlung männlicher und weiblicher pathologischer Ausflüsse.</w:t>
      </w:r>
    </w:p>
    <w:p w14:paraId="0F582E2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טהרה</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ρισθῇ</w:t>
      </w:r>
      <w:proofErr w:type="spellEnd"/>
      <w:r w:rsidRPr="00195E02">
        <w:rPr>
          <w:rFonts w:eastAsia="Times New Roman" w:cs="Times New Roman"/>
          <w:lang w:eastAsia="de-DE"/>
        </w:rPr>
        <w:t xml:space="preserve"> (gereinigt wird), </w:t>
      </w:r>
      <w:r w:rsidRPr="00195E02">
        <w:rPr>
          <w:rFonts w:eastAsia="Times New Roman" w:cs="Times New Roman"/>
          <w:b/>
          <w:bCs/>
          <w:rtl/>
          <w:lang w:eastAsia="de-DE"/>
        </w:rPr>
        <w:t>ספרה לה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ἀριθμήσει</w:t>
      </w:r>
      <w:proofErr w:type="spellEnd"/>
      <w:r w:rsidRPr="00195E02">
        <w:rPr>
          <w:rFonts w:eastAsia="Times New Roman" w:cs="Times New Roman"/>
          <w:lang w:eastAsia="de-DE"/>
        </w:rPr>
        <w:t xml:space="preserve"> ἑα</w:t>
      </w:r>
      <w:proofErr w:type="spellStart"/>
      <w:r w:rsidRPr="00195E02">
        <w:rPr>
          <w:rFonts w:eastAsia="Times New Roman" w:cs="Times New Roman"/>
          <w:lang w:eastAsia="de-DE"/>
        </w:rPr>
        <w:t>υτῇ</w:t>
      </w:r>
      <w:proofErr w:type="spellEnd"/>
      <w:r w:rsidRPr="00195E02">
        <w:rPr>
          <w:rFonts w:eastAsia="Times New Roman" w:cs="Times New Roman"/>
          <w:lang w:eastAsia="de-DE"/>
        </w:rPr>
        <w:t xml:space="preserve"> (sie wird sich zählen) und </w:t>
      </w:r>
      <w:r w:rsidRPr="00195E02">
        <w:rPr>
          <w:rFonts w:eastAsia="Times New Roman" w:cs="Times New Roman"/>
          <w:b/>
          <w:bCs/>
          <w:rtl/>
          <w:lang w:eastAsia="de-DE"/>
        </w:rPr>
        <w:t>שבעת ימים</w:t>
      </w:r>
      <w:r w:rsidRPr="00195E02">
        <w:rPr>
          <w:rFonts w:eastAsia="Times New Roman" w:cs="Times New Roman"/>
          <w:rtl/>
          <w:lang w:eastAsia="de-DE"/>
        </w:rPr>
        <w:t xml:space="preserve"> </w:t>
      </w:r>
      <w:r w:rsidRPr="00195E02">
        <w:rPr>
          <w:rFonts w:eastAsia="Times New Roman" w:cs="Times New Roman"/>
          <w:lang w:eastAsia="de-DE"/>
        </w:rPr>
        <w:t>mit ἑπ</w:t>
      </w:r>
      <w:proofErr w:type="spellStart"/>
      <w:r w:rsidRPr="00195E02">
        <w:rPr>
          <w:rFonts w:eastAsia="Times New Roman" w:cs="Times New Roman"/>
          <w:lang w:eastAsia="de-DE"/>
        </w:rPr>
        <w:t>τὰ</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ἡμέρ</w:t>
      </w:r>
      <w:proofErr w:type="spellEnd"/>
      <w:r w:rsidRPr="00195E02">
        <w:rPr>
          <w:rFonts w:eastAsia="Times New Roman" w:cs="Times New Roman"/>
          <w:lang w:eastAsia="de-DE"/>
        </w:rPr>
        <w:t>ας (sieben Tage).</w:t>
      </w:r>
    </w:p>
    <w:p w14:paraId="44EF359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V. 13: medizinische Heilung + persönliche Tageszählung + Reinheitsbestätigung. Die parallele Struktur zeigt systematische Gleichbehandlung.</w:t>
      </w:r>
    </w:p>
    <w:p w14:paraId="27E75D7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identische siebentägige Reinigungsverfahren für geheilte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wie für geheilten männlichen </w:t>
      </w:r>
      <w:r w:rsidRPr="00195E02">
        <w:rPr>
          <w:rFonts w:eastAsia="Times New Roman" w:cs="Times New Roman"/>
          <w:b/>
          <w:bCs/>
          <w:rtl/>
          <w:lang w:eastAsia="de-DE"/>
        </w:rPr>
        <w:t>זוב</w:t>
      </w:r>
      <w:r w:rsidRPr="00195E02">
        <w:rPr>
          <w:rFonts w:eastAsia="Times New Roman" w:cs="Times New Roman"/>
          <w:lang w:eastAsia="de-DE"/>
        </w:rPr>
        <w:t>.</w:t>
      </w:r>
    </w:p>
    <w:p w14:paraId="1ECE822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15,29</w:t>
      </w:r>
    </w:p>
    <w:p w14:paraId="7363F95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וּבַיּ֣וֹם הַשְּׁמִינִ֗י תִּֽקַּֽח־לָהּ֙ שְׁתֵּ֣י תֹרִ֔ים א֥וֹ שְׁנֵ֖י בְּנֵ֣י יוֹנָ֑ה וְהֵבִיאָ֤ה אוֹתָם֙ אֶל־הַכֹּהֵ֔ן אֶל־פֶּ֖תַח אֹ֥הֶל מוֹעֵֽד׃</w:t>
      </w:r>
    </w:p>
    <w:p w14:paraId="5D618360" w14:textId="7A39EE9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am achten Tag soll sie sich zwei Turteltauben oder zwei junge Tauben nehmen und soll sie zum Priester bringen an den Eingang des Zeltes der Begegnung.</w:t>
      </w:r>
    </w:p>
    <w:p w14:paraId="00F9F4F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7C61A0D">
          <v:rect id="_x0000_i1476" style="width:0;height:1.5pt" o:hralign="center" o:hrstd="t" o:hr="t" fillcolor="#a0a0a0" stroked="f"/>
        </w:pict>
      </w:r>
    </w:p>
    <w:p w14:paraId="10382B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וביום השמיני תקח־לה שתי תרים או שני בני יונה והביאה אותם אל־הכהן אל־פתח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entspricht fast exakt V. 14 für männlichen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וביום השמיני</w:t>
      </w:r>
      <w:r w:rsidRPr="00195E02">
        <w:rPr>
          <w:rFonts w:eastAsia="Times New Roman" w:cs="Times New Roman"/>
          <w:rtl/>
          <w:lang w:eastAsia="de-DE"/>
        </w:rPr>
        <w:t xml:space="preserve"> </w:t>
      </w:r>
      <w:r w:rsidRPr="00195E02">
        <w:rPr>
          <w:rFonts w:eastAsia="Times New Roman" w:cs="Times New Roman"/>
          <w:lang w:eastAsia="de-DE"/>
        </w:rPr>
        <w:t xml:space="preserve">(und am achten Tag) nach den sieben Reinigungstagen aus V. 28. </w:t>
      </w:r>
      <w:r w:rsidRPr="00195E02">
        <w:rPr>
          <w:rFonts w:eastAsia="Times New Roman" w:cs="Times New Roman"/>
          <w:b/>
          <w:bCs/>
          <w:rtl/>
          <w:lang w:eastAsia="de-DE"/>
        </w:rPr>
        <w:t>תקח־לה שתי תרים או שני בני יונה</w:t>
      </w:r>
      <w:r w:rsidRPr="00195E02">
        <w:rPr>
          <w:rFonts w:eastAsia="Times New Roman" w:cs="Times New Roman"/>
          <w:rtl/>
          <w:lang w:eastAsia="de-DE"/>
        </w:rPr>
        <w:t xml:space="preserve"> </w:t>
      </w:r>
      <w:r w:rsidRPr="00195E02">
        <w:rPr>
          <w:rFonts w:eastAsia="Times New Roman" w:cs="Times New Roman"/>
          <w:lang w:eastAsia="de-DE"/>
        </w:rPr>
        <w:t>(soll sie sich zwei Turteltauben oder zwei junge Tauben nehmen) entspricht V. 14.</w:t>
      </w:r>
    </w:p>
    <w:p w14:paraId="55F28A0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והביאה אותם אל־הכהן אל־פתח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(und sie zum Priester bringen zum Eingang des Zeltes der Begegnung) zeigt den einzigen Unterschied zu V. 14: </w:t>
      </w:r>
      <w:r w:rsidRPr="00195E02">
        <w:rPr>
          <w:rFonts w:eastAsia="Times New Roman" w:cs="Times New Roman"/>
          <w:b/>
          <w:bCs/>
          <w:rtl/>
          <w:lang w:eastAsia="de-DE"/>
        </w:rPr>
        <w:t>והביאה</w:t>
      </w:r>
      <w:r w:rsidRPr="00195E02">
        <w:rPr>
          <w:rFonts w:eastAsia="Times New Roman" w:cs="Times New Roman"/>
          <w:rtl/>
          <w:lang w:eastAsia="de-DE"/>
        </w:rPr>
        <w:t xml:space="preserve"> </w:t>
      </w:r>
      <w:r w:rsidRPr="00195E02">
        <w:rPr>
          <w:rFonts w:eastAsia="Times New Roman" w:cs="Times New Roman"/>
          <w:lang w:eastAsia="de-DE"/>
        </w:rPr>
        <w:t xml:space="preserve">(und sie soll bringen) statt </w:t>
      </w:r>
      <w:r w:rsidRPr="00195E02">
        <w:rPr>
          <w:rFonts w:eastAsia="Times New Roman" w:cs="Times New Roman"/>
          <w:b/>
          <w:bCs/>
          <w:rtl/>
          <w:lang w:eastAsia="de-DE"/>
        </w:rPr>
        <w:t>ובא</w:t>
      </w:r>
      <w:r w:rsidRPr="00195E02">
        <w:rPr>
          <w:rFonts w:eastAsia="Times New Roman" w:cs="Times New Roman"/>
          <w:rtl/>
          <w:lang w:eastAsia="de-DE"/>
        </w:rPr>
        <w:t xml:space="preserve"> </w:t>
      </w:r>
      <w:r w:rsidRPr="00195E02">
        <w:rPr>
          <w:rFonts w:eastAsia="Times New Roman" w:cs="Times New Roman"/>
          <w:lang w:eastAsia="de-DE"/>
        </w:rPr>
        <w:t xml:space="preserve">(und er soll kommen) und </w:t>
      </w:r>
      <w:r w:rsidRPr="00195E02">
        <w:rPr>
          <w:rFonts w:eastAsia="Times New Roman" w:cs="Times New Roman"/>
          <w:b/>
          <w:bCs/>
          <w:rtl/>
          <w:lang w:eastAsia="de-DE"/>
        </w:rPr>
        <w:t>ונתנם</w:t>
      </w:r>
      <w:r w:rsidRPr="00195E02">
        <w:rPr>
          <w:rFonts w:eastAsia="Times New Roman" w:cs="Times New Roman"/>
          <w:rtl/>
          <w:lang w:eastAsia="de-DE"/>
        </w:rPr>
        <w:t xml:space="preserve"> </w:t>
      </w:r>
      <w:r w:rsidRPr="00195E02">
        <w:rPr>
          <w:rFonts w:eastAsia="Times New Roman" w:cs="Times New Roman"/>
          <w:lang w:eastAsia="de-DE"/>
        </w:rPr>
        <w:t>(und sie geben). Die Frau bringt die Opfer selbst, während V. 14 den Mann kommen und die Opfer übergeben lässt.</w:t>
      </w:r>
    </w:p>
    <w:p w14:paraId="54A57BB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 xml:space="preserve">Die weitgehende Parallelität zu V. 14 zeigt systematische Gleichbehandlung der Geschlechter bei Reinigungsopfern. </w:t>
      </w:r>
      <w:r w:rsidRPr="00195E02">
        <w:rPr>
          <w:rFonts w:eastAsia="Times New Roman" w:cs="Times New Roman"/>
          <w:b/>
          <w:bCs/>
          <w:rtl/>
          <w:lang w:eastAsia="de-DE"/>
        </w:rPr>
        <w:t>תקח־לה</w:t>
      </w:r>
      <w:r w:rsidRPr="00195E02">
        <w:rPr>
          <w:rFonts w:eastAsia="Times New Roman" w:cs="Times New Roman"/>
          <w:rtl/>
          <w:lang w:eastAsia="de-DE"/>
        </w:rPr>
        <w:t xml:space="preserve"> </w:t>
      </w:r>
      <w:r w:rsidRPr="00195E02">
        <w:rPr>
          <w:rFonts w:eastAsia="Times New Roman" w:cs="Times New Roman"/>
          <w:lang w:eastAsia="de-DE"/>
        </w:rPr>
        <w:t>mit Reflexivpronomen betont persönliche Verantwortung.</w:t>
      </w:r>
    </w:p>
    <w:p w14:paraId="6B878C0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14 mit </w:t>
      </w:r>
      <w:r w:rsidRPr="00195E02">
        <w:rPr>
          <w:rFonts w:eastAsia="Times New Roman" w:cs="Times New Roman"/>
          <w:b/>
          <w:bCs/>
          <w:lang w:eastAsia="de-DE"/>
        </w:rPr>
        <w:t xml:space="preserve">καὶ </w:t>
      </w:r>
      <w:proofErr w:type="spellStart"/>
      <w:r w:rsidRPr="00195E02">
        <w:rPr>
          <w:rFonts w:eastAsia="Times New Roman" w:cs="Times New Roman"/>
          <w:b/>
          <w:bCs/>
          <w:lang w:eastAsia="de-DE"/>
        </w:rPr>
        <w:t>λήμψετ</w:t>
      </w:r>
      <w:proofErr w:type="spellEnd"/>
      <w:r w:rsidRPr="00195E02">
        <w:rPr>
          <w:rFonts w:eastAsia="Times New Roman" w:cs="Times New Roman"/>
          <w:b/>
          <w:bCs/>
          <w:lang w:eastAsia="de-DE"/>
        </w:rPr>
        <w:t>αι ἑα</w:t>
      </w:r>
      <w:proofErr w:type="spellStart"/>
      <w:r w:rsidRPr="00195E02">
        <w:rPr>
          <w:rFonts w:eastAsia="Times New Roman" w:cs="Times New Roman"/>
          <w:b/>
          <w:bCs/>
          <w:lang w:eastAsia="de-DE"/>
        </w:rPr>
        <w:t>υτῇ</w:t>
      </w:r>
      <w:proofErr w:type="spellEnd"/>
      <w:r w:rsidRPr="00195E02">
        <w:rPr>
          <w:rFonts w:eastAsia="Times New Roman" w:cs="Times New Roman"/>
          <w:lang w:eastAsia="de-DE"/>
        </w:rPr>
        <w:t xml:space="preserve"> (und sie wird sich nehmen) und </w:t>
      </w:r>
      <w:proofErr w:type="spellStart"/>
      <w:r w:rsidRPr="00195E02">
        <w:rPr>
          <w:rFonts w:eastAsia="Times New Roman" w:cs="Times New Roman"/>
          <w:b/>
          <w:bCs/>
          <w:lang w:eastAsia="de-DE"/>
        </w:rPr>
        <w:t>εἰσοίσει</w:t>
      </w:r>
      <w:proofErr w:type="spellEnd"/>
      <w:r w:rsidRPr="00195E02">
        <w:rPr>
          <w:rFonts w:eastAsia="Times New Roman" w:cs="Times New Roman"/>
          <w:b/>
          <w:bCs/>
          <w:lang w:eastAsia="de-DE"/>
        </w:rPr>
        <w:t xml:space="preserve"> α</w:t>
      </w:r>
      <w:proofErr w:type="spellStart"/>
      <w:r w:rsidRPr="00195E02">
        <w:rPr>
          <w:rFonts w:eastAsia="Times New Roman" w:cs="Times New Roman"/>
          <w:b/>
          <w:bCs/>
          <w:lang w:eastAsia="de-DE"/>
        </w:rPr>
        <w:t>ὐτὰ</w:t>
      </w:r>
      <w:proofErr w:type="spellEnd"/>
      <w:r w:rsidRPr="00195E02">
        <w:rPr>
          <w:rFonts w:eastAsia="Times New Roman" w:cs="Times New Roman"/>
          <w:lang w:eastAsia="de-DE"/>
        </w:rPr>
        <w:t xml:space="preserve"> (sie wird sie hineinbringen).</w:t>
      </w:r>
    </w:p>
    <w:p w14:paraId="4A14722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V. 14: zeitliche Spezifikation + Opferbeschaffung + Heiligtumspräsentation. Die parallele Struktur zeigt systematische Gleichbehandlung mit geringfügiger geschlechtsspezifischer Anpassung.</w:t>
      </w:r>
    </w:p>
    <w:p w14:paraId="0D6C8BF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identische Taubenopfer am achten Tag für geheilte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wie für geheilten männlichen </w:t>
      </w:r>
      <w:r w:rsidRPr="00195E02">
        <w:rPr>
          <w:rFonts w:eastAsia="Times New Roman" w:cs="Times New Roman"/>
          <w:b/>
          <w:bCs/>
          <w:rtl/>
          <w:lang w:eastAsia="de-DE"/>
        </w:rPr>
        <w:t>זוב</w:t>
      </w:r>
      <w:r w:rsidRPr="00195E02">
        <w:rPr>
          <w:rFonts w:eastAsia="Times New Roman" w:cs="Times New Roman"/>
          <w:lang w:eastAsia="de-DE"/>
        </w:rPr>
        <w:t>.</w:t>
      </w:r>
    </w:p>
    <w:p w14:paraId="1841C930"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15,30</w:t>
      </w:r>
    </w:p>
    <w:p w14:paraId="2ECFFD1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וְעָשָׂ֤ה הַכֹּהֵן֙ אֶת־הָאֶחָ֣ד חַטָּ֔את וְאֶת־הָאֶחָ֖ד עֹלָ֑ה וְכִפֶּ֨ר עָלֶ֤יהָ הַכֹּהֵן֙ לִפְנֵ֣י יְהוָ֔ה מִזּ֖וֹב טֻמְאָתָֽהּ׃</w:t>
      </w:r>
    </w:p>
    <w:p w14:paraId="7C2D6692" w14:textId="4F630B2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der Priester soll machen die eine als Sündopfer und die andere als Aufsteigeopfer; und der Priester soll Sühne für sie erwirken vor dem Angesicht des Ewigen wegen des Flusses ihrer Unreinheit.</w:t>
      </w:r>
    </w:p>
    <w:p w14:paraId="74C4DB9B"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5E20AA3">
          <v:rect id="_x0000_i1477" style="width:0;height:1.5pt" o:hralign="center" o:hrstd="t" o:hr="t" fillcolor="#a0a0a0" stroked="f"/>
        </w:pict>
      </w:r>
    </w:p>
    <w:p w14:paraId="3F29D127" w14:textId="3D9917B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ועשה הכהן את־האחד חטאת ואת־האחד עלה וכפר עליה הכהן לפני יהוה מזוב טמאתה</w:t>
      </w:r>
      <w:r w:rsidRPr="00195E02">
        <w:rPr>
          <w:rFonts w:eastAsia="Times New Roman" w:cs="Times New Roman"/>
          <w:rtl/>
          <w:lang w:eastAsia="de-DE"/>
        </w:rPr>
        <w:t xml:space="preserve"> </w:t>
      </w:r>
      <w:r w:rsidRPr="00195E02">
        <w:rPr>
          <w:rFonts w:eastAsia="Times New Roman" w:cs="Times New Roman"/>
          <w:lang w:eastAsia="de-DE"/>
        </w:rPr>
        <w:t xml:space="preserve">entspricht exakt V. 15 für männlichen </w:t>
      </w:r>
      <w:r w:rsidRPr="00195E02">
        <w:rPr>
          <w:rFonts w:eastAsia="Times New Roman" w:cs="Times New Roman"/>
          <w:b/>
          <w:bCs/>
          <w:rtl/>
          <w:lang w:eastAsia="de-DE"/>
        </w:rPr>
        <w:t>זוב</w:t>
      </w:r>
      <w:r w:rsidRPr="00195E02">
        <w:rPr>
          <w:rFonts w:eastAsia="Times New Roman" w:cs="Times New Roman"/>
          <w:lang w:eastAsia="de-DE"/>
        </w:rPr>
        <w:t xml:space="preserve">. </w:t>
      </w:r>
      <w:r w:rsidRPr="00195E02">
        <w:rPr>
          <w:rFonts w:eastAsia="Times New Roman" w:cs="Times New Roman"/>
          <w:b/>
          <w:bCs/>
          <w:rtl/>
          <w:lang w:eastAsia="de-DE"/>
        </w:rPr>
        <w:t>ועשה הכהן את־האחד חטאת ואת־האחד עלה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bereiten die eine als Sündopfer und die andere als </w:t>
      </w:r>
      <w:r w:rsidR="00CF10E7">
        <w:rPr>
          <w:rFonts w:eastAsia="Times New Roman" w:cs="Times New Roman"/>
          <w:lang w:eastAsia="de-DE"/>
        </w:rPr>
        <w:t>Aufsteigeopfer</w:t>
      </w:r>
      <w:r w:rsidRPr="00195E02">
        <w:rPr>
          <w:rFonts w:eastAsia="Times New Roman" w:cs="Times New Roman"/>
          <w:lang w:eastAsia="de-DE"/>
        </w:rPr>
        <w:t>) entspricht der Standardaufteilung.</w:t>
      </w:r>
    </w:p>
    <w:p w14:paraId="4249AB25" w14:textId="3BFD5AC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עליה הכהן לפני יהוה מזוב טמאתה</w:t>
      </w:r>
      <w:r w:rsidRPr="00195E02">
        <w:rPr>
          <w:rFonts w:eastAsia="Times New Roman" w:cs="Times New Roman"/>
          <w:rtl/>
          <w:lang w:eastAsia="de-DE"/>
        </w:rPr>
        <w:t xml:space="preserve"> </w:t>
      </w:r>
      <w:r w:rsidRPr="00195E02">
        <w:rPr>
          <w:rFonts w:eastAsia="Times New Roman" w:cs="Times New Roman"/>
          <w:lang w:eastAsia="de-DE"/>
        </w:rPr>
        <w:t xml:space="preserve">(und der Priester soll Sühne für sie erwirken vor dem </w:t>
      </w:r>
      <w:r w:rsidR="004603C6">
        <w:rPr>
          <w:rFonts w:eastAsia="Times New Roman" w:cs="Times New Roman"/>
          <w:lang w:eastAsia="de-DE"/>
        </w:rPr>
        <w:t>Ewigen</w:t>
      </w:r>
      <w:r w:rsidRPr="00195E02">
        <w:rPr>
          <w:rFonts w:eastAsia="Times New Roman" w:cs="Times New Roman"/>
          <w:lang w:eastAsia="de-DE"/>
        </w:rPr>
        <w:t xml:space="preserve"> wegen des Flusses ihrer Unreinheit) - </w:t>
      </w:r>
      <w:r w:rsidRPr="00195E02">
        <w:rPr>
          <w:rFonts w:eastAsia="Times New Roman" w:cs="Times New Roman"/>
          <w:b/>
          <w:bCs/>
          <w:rtl/>
          <w:lang w:eastAsia="de-DE"/>
        </w:rPr>
        <w:t>עליה</w:t>
      </w:r>
      <w:r w:rsidRPr="00195E02">
        <w:rPr>
          <w:rFonts w:eastAsia="Times New Roman" w:cs="Times New Roman"/>
          <w:rtl/>
          <w:lang w:eastAsia="de-DE"/>
        </w:rPr>
        <w:t xml:space="preserve"> </w:t>
      </w:r>
      <w:r w:rsidRPr="00195E02">
        <w:rPr>
          <w:rFonts w:eastAsia="Times New Roman" w:cs="Times New Roman"/>
          <w:lang w:eastAsia="de-DE"/>
        </w:rPr>
        <w:t xml:space="preserve">(für sie) mit feminin Suffix statt </w:t>
      </w:r>
      <w:r w:rsidRPr="00195E02">
        <w:rPr>
          <w:rFonts w:eastAsia="Times New Roman" w:cs="Times New Roman"/>
          <w:b/>
          <w:bCs/>
          <w:rtl/>
          <w:lang w:eastAsia="de-DE"/>
        </w:rPr>
        <w:t>עליו</w:t>
      </w:r>
      <w:r w:rsidRPr="00195E02">
        <w:rPr>
          <w:rFonts w:eastAsia="Times New Roman" w:cs="Times New Roman"/>
          <w:rtl/>
          <w:lang w:eastAsia="de-DE"/>
        </w:rPr>
        <w:t xml:space="preserve"> </w:t>
      </w:r>
      <w:r w:rsidRPr="00195E02">
        <w:rPr>
          <w:rFonts w:eastAsia="Times New Roman" w:cs="Times New Roman"/>
          <w:lang w:eastAsia="de-DE"/>
        </w:rPr>
        <w:t xml:space="preserve">aus V. 15, </w:t>
      </w:r>
      <w:r w:rsidRPr="00195E02">
        <w:rPr>
          <w:rFonts w:eastAsia="Times New Roman" w:cs="Times New Roman"/>
          <w:b/>
          <w:bCs/>
          <w:rtl/>
          <w:lang w:eastAsia="de-DE"/>
        </w:rPr>
        <w:t>מזוב טמאתה</w:t>
      </w:r>
      <w:r w:rsidRPr="00195E02">
        <w:rPr>
          <w:rFonts w:eastAsia="Times New Roman" w:cs="Times New Roman"/>
          <w:rtl/>
          <w:lang w:eastAsia="de-DE"/>
        </w:rPr>
        <w:t xml:space="preserve"> </w:t>
      </w:r>
      <w:r w:rsidRPr="00195E02">
        <w:rPr>
          <w:rFonts w:eastAsia="Times New Roman" w:cs="Times New Roman"/>
          <w:lang w:eastAsia="de-DE"/>
        </w:rPr>
        <w:t xml:space="preserve">(wegen des Flusses ihrer Unreinheit) statt </w:t>
      </w:r>
      <w:r w:rsidRPr="00195E02">
        <w:rPr>
          <w:rFonts w:eastAsia="Times New Roman" w:cs="Times New Roman"/>
          <w:b/>
          <w:bCs/>
          <w:rtl/>
          <w:lang w:eastAsia="de-DE"/>
        </w:rPr>
        <w:t>מזובו</w:t>
      </w:r>
      <w:r w:rsidRPr="00195E02">
        <w:rPr>
          <w:rFonts w:eastAsia="Times New Roman" w:cs="Times New Roman"/>
          <w:lang w:eastAsia="de-DE"/>
        </w:rPr>
        <w:t>.</w:t>
      </w:r>
    </w:p>
    <w:p w14:paraId="1F378C7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exakte Parallelität zu V. 15 mit nur geschlechtsspezifischen Anpassungen zeigt vollständige Gleichbehandlung männlicher und weiblicher pathologischer Ausflüsse bei der Sühneopferung.</w:t>
      </w:r>
    </w:p>
    <w:p w14:paraId="3113E1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15 mit </w:t>
      </w:r>
      <w:proofErr w:type="spellStart"/>
      <w:r w:rsidRPr="00195E02">
        <w:rPr>
          <w:rFonts w:eastAsia="Times New Roman" w:cs="Times New Roman"/>
          <w:b/>
          <w:bCs/>
          <w:lang w:eastAsia="de-DE"/>
        </w:rPr>
        <w:t>ἐξιλάσετ</w:t>
      </w:r>
      <w:proofErr w:type="spellEnd"/>
      <w:r w:rsidRPr="00195E02">
        <w:rPr>
          <w:rFonts w:eastAsia="Times New Roman" w:cs="Times New Roman"/>
          <w:b/>
          <w:bCs/>
          <w:lang w:eastAsia="de-DE"/>
        </w:rPr>
        <w:t>αι π</w:t>
      </w:r>
      <w:proofErr w:type="spellStart"/>
      <w:r w:rsidRPr="00195E02">
        <w:rPr>
          <w:rFonts w:eastAsia="Times New Roman" w:cs="Times New Roman"/>
          <w:b/>
          <w:bCs/>
          <w:lang w:eastAsia="de-DE"/>
        </w:rPr>
        <w:t>ερὶ</w:t>
      </w:r>
      <w:proofErr w:type="spellEnd"/>
      <w:r w:rsidRPr="00195E02">
        <w:rPr>
          <w:rFonts w:eastAsia="Times New Roman" w:cs="Times New Roman"/>
          <w:b/>
          <w:bCs/>
          <w:lang w:eastAsia="de-DE"/>
        </w:rPr>
        <w:t xml:space="preserve"> α</w:t>
      </w:r>
      <w:proofErr w:type="spellStart"/>
      <w:r w:rsidRPr="00195E02">
        <w:rPr>
          <w:rFonts w:eastAsia="Times New Roman" w:cs="Times New Roman"/>
          <w:b/>
          <w:bCs/>
          <w:lang w:eastAsia="de-DE"/>
        </w:rPr>
        <w:t>ὐτῆς</w:t>
      </w:r>
      <w:proofErr w:type="spellEnd"/>
      <w:r w:rsidRPr="00195E02">
        <w:rPr>
          <w:rFonts w:eastAsia="Times New Roman" w:cs="Times New Roman"/>
          <w:lang w:eastAsia="de-DE"/>
        </w:rPr>
        <w:t xml:space="preserve"> (er wird für sie entsühnen) und </w:t>
      </w:r>
      <w:r w:rsidRPr="00195E02">
        <w:rPr>
          <w:rFonts w:eastAsia="Times New Roman" w:cs="Times New Roman"/>
          <w:b/>
          <w:bCs/>
          <w:lang w:eastAsia="de-DE"/>
        </w:rPr>
        <w:t xml:space="preserve">ἀπὸ </w:t>
      </w:r>
      <w:proofErr w:type="spellStart"/>
      <w:r w:rsidRPr="00195E02">
        <w:rPr>
          <w:rFonts w:eastAsia="Times New Roman" w:cs="Times New Roman"/>
          <w:b/>
          <w:bCs/>
          <w:lang w:eastAsia="de-DE"/>
        </w:rPr>
        <w:t>ῥύσεως</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ἀκ</w:t>
      </w:r>
      <w:proofErr w:type="spellEnd"/>
      <w:r w:rsidRPr="00195E02">
        <w:rPr>
          <w:rFonts w:eastAsia="Times New Roman" w:cs="Times New Roman"/>
          <w:b/>
          <w:bCs/>
          <w:lang w:eastAsia="de-DE"/>
        </w:rPr>
        <w:t>αθαρσίας α</w:t>
      </w:r>
      <w:proofErr w:type="spellStart"/>
      <w:r w:rsidRPr="00195E02">
        <w:rPr>
          <w:rFonts w:eastAsia="Times New Roman" w:cs="Times New Roman"/>
          <w:b/>
          <w:bCs/>
          <w:lang w:eastAsia="de-DE"/>
        </w:rPr>
        <w:t>ὐτῆς</w:t>
      </w:r>
      <w:proofErr w:type="spellEnd"/>
      <w:r w:rsidRPr="00195E02">
        <w:rPr>
          <w:rFonts w:eastAsia="Times New Roman" w:cs="Times New Roman"/>
          <w:lang w:eastAsia="de-DE"/>
        </w:rPr>
        <w:t xml:space="preserve"> (wegen des Flusses ihrer Unreinheit).</w:t>
      </w:r>
    </w:p>
    <w:p w14:paraId="62C7A77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entspricht exakt V. 15: priesterliche Opferausführung + Standardaufteilung + Sühneerklärung vor JHWH + spezifischer Anlass. Die identische Struktur zeigt systematische Gleichbehandlung.</w:t>
      </w:r>
    </w:p>
    <w:p w14:paraId="2071371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schließt die </w:t>
      </w:r>
      <w:r w:rsidRPr="00195E02">
        <w:rPr>
          <w:rFonts w:eastAsia="Times New Roman" w:cs="Times New Roman"/>
          <w:b/>
          <w:bCs/>
          <w:rtl/>
          <w:lang w:eastAsia="de-DE"/>
        </w:rPr>
        <w:t>זבה</w:t>
      </w:r>
      <w:r w:rsidRPr="00195E02">
        <w:rPr>
          <w:rFonts w:eastAsia="Times New Roman" w:cs="Times New Roman"/>
          <w:lang w:eastAsia="de-DE"/>
        </w:rPr>
        <w:t xml:space="preserve">-Reinigung mit identischen Sühneopfern wie bei männlichem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ab.</w:t>
      </w:r>
    </w:p>
    <w:p w14:paraId="325BF8B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15,31</w:t>
      </w:r>
    </w:p>
    <w:p w14:paraId="0D60C87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וְהִזַּרְתֶּ֥ם אֶת־בְּנֵי־יִשְׂרָאֵ֖ל מִטֻּמְאָתָ֑ם וְלֹ֤א יָמֻ֙תוּ֙ בְּטֻמְאָתָ֔ם בְּטַמְּאָ֥ם אֶת־מִשְׁכָּנִ֖י אֲשֶׁ֥ר בְּתוֹכָֽם׃</w:t>
      </w:r>
    </w:p>
    <w:p w14:paraId="54F7441D" w14:textId="1E947CD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w:t>
      </w:r>
      <w:r w:rsidR="00264340">
        <w:t>Und ihr sollt absondern die Söhne Jisra'els von ihrer Unreinheit, damit sie nicht sterben in ihrer Unreinheit, indem sie verunreinigen meine Wohnung, die in ihrer Mitte ist.</w:t>
      </w:r>
    </w:p>
    <w:p w14:paraId="2CFCDFE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BBEE59B">
          <v:rect id="_x0000_i1478" style="width:0;height:1.5pt" o:hralign="center" o:hrstd="t" o:hr="t" fillcolor="#a0a0a0" stroked="f"/>
        </w:pict>
      </w:r>
    </w:p>
    <w:p w14:paraId="7C278DA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והזרתם את־בני־ישראל מטמאתם ולא ימתו בטמאתם בטמאם את־משכני אשר בתוכם</w:t>
      </w:r>
      <w:r w:rsidRPr="00195E02">
        <w:rPr>
          <w:rFonts w:eastAsia="Times New Roman" w:cs="Times New Roman"/>
          <w:rtl/>
          <w:lang w:eastAsia="de-DE"/>
        </w:rPr>
        <w:t xml:space="preserve"> </w:t>
      </w:r>
      <w:r w:rsidRPr="00195E02">
        <w:rPr>
          <w:rFonts w:eastAsia="Times New Roman" w:cs="Times New Roman"/>
          <w:lang w:eastAsia="de-DE"/>
        </w:rPr>
        <w:t xml:space="preserve">zeigt die theologische Begründung der Unreinheitsgesetze. </w:t>
      </w:r>
      <w:r w:rsidRPr="00195E02">
        <w:rPr>
          <w:rFonts w:eastAsia="Times New Roman" w:cs="Times New Roman"/>
          <w:b/>
          <w:bCs/>
          <w:rtl/>
          <w:lang w:eastAsia="de-DE"/>
        </w:rPr>
        <w:t>והזרתם את־בני־ישראל מטמאתם</w:t>
      </w:r>
      <w:r w:rsidRPr="00195E02">
        <w:rPr>
          <w:rFonts w:eastAsia="Times New Roman" w:cs="Times New Roman"/>
          <w:rtl/>
          <w:lang w:eastAsia="de-DE"/>
        </w:rPr>
        <w:t xml:space="preserve"> </w:t>
      </w:r>
      <w:r w:rsidRPr="00195E02">
        <w:rPr>
          <w:rFonts w:eastAsia="Times New Roman" w:cs="Times New Roman"/>
          <w:lang w:eastAsia="de-DE"/>
        </w:rPr>
        <w:t xml:space="preserve">(und ihr sollt die Söhne Israels absondern von ihrer Unreinheit) - </w:t>
      </w:r>
      <w:r w:rsidRPr="00195E02">
        <w:rPr>
          <w:rFonts w:eastAsia="Times New Roman" w:cs="Times New Roman"/>
          <w:b/>
          <w:bCs/>
          <w:rtl/>
          <w:lang w:eastAsia="de-DE"/>
        </w:rPr>
        <w:t>הזר</w:t>
      </w:r>
      <w:r w:rsidRPr="00195E02">
        <w:rPr>
          <w:rFonts w:eastAsia="Times New Roman" w:cs="Times New Roman"/>
          <w:rtl/>
          <w:lang w:eastAsia="de-DE"/>
        </w:rPr>
        <w:t xml:space="preserve"> </w:t>
      </w:r>
      <w:r w:rsidRPr="00195E02">
        <w:rPr>
          <w:rFonts w:eastAsia="Times New Roman" w:cs="Times New Roman"/>
          <w:lang w:eastAsia="de-DE"/>
        </w:rPr>
        <w:t>(absondern/warnen) im Hifil-Perfekt mit Waw-Konsekutiv zeigt präventive Maßnahme.</w:t>
      </w:r>
    </w:p>
    <w:p w14:paraId="1472BBA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ולא ימתו בטמאתם בטמאם את־משכני אשר בתוכם</w:t>
      </w:r>
      <w:r w:rsidRPr="00195E02">
        <w:rPr>
          <w:rFonts w:eastAsia="Times New Roman" w:cs="Times New Roman"/>
          <w:rtl/>
          <w:lang w:eastAsia="de-DE"/>
        </w:rPr>
        <w:t xml:space="preserve"> </w:t>
      </w:r>
      <w:r w:rsidRPr="00195E02">
        <w:rPr>
          <w:rFonts w:eastAsia="Times New Roman" w:cs="Times New Roman"/>
          <w:lang w:eastAsia="de-DE"/>
        </w:rPr>
        <w:t xml:space="preserve">(damit sie nicht sterben in ihrer Unreinheit, indem sie meine Wohnung verunreinigen, die in ihrer Mitte ist) zeigt die Konsequenz. </w:t>
      </w:r>
      <w:r w:rsidRPr="00195E02">
        <w:rPr>
          <w:rFonts w:eastAsia="Times New Roman" w:cs="Times New Roman"/>
          <w:b/>
          <w:bCs/>
          <w:rtl/>
          <w:lang w:eastAsia="de-DE"/>
        </w:rPr>
        <w:t>לא ימתו בטמאתם</w:t>
      </w:r>
      <w:r w:rsidRPr="00195E02">
        <w:rPr>
          <w:rFonts w:eastAsia="Times New Roman" w:cs="Times New Roman"/>
          <w:rtl/>
          <w:lang w:eastAsia="de-DE"/>
        </w:rPr>
        <w:t xml:space="preserve"> </w:t>
      </w:r>
      <w:r w:rsidRPr="00195E02">
        <w:rPr>
          <w:rFonts w:eastAsia="Times New Roman" w:cs="Times New Roman"/>
          <w:lang w:eastAsia="de-DE"/>
        </w:rPr>
        <w:t xml:space="preserve">(sie sollen nicht sterben in ihrer Unreinheit) zeigt tödliche Gefahr. </w:t>
      </w:r>
      <w:r w:rsidRPr="00195E02">
        <w:rPr>
          <w:rFonts w:eastAsia="Times New Roman" w:cs="Times New Roman"/>
          <w:b/>
          <w:bCs/>
          <w:rtl/>
          <w:lang w:eastAsia="de-DE"/>
        </w:rPr>
        <w:t>בטמאם את־משכני</w:t>
      </w:r>
      <w:r w:rsidRPr="00195E02">
        <w:rPr>
          <w:rFonts w:eastAsia="Times New Roman" w:cs="Times New Roman"/>
          <w:rtl/>
          <w:lang w:eastAsia="de-DE"/>
        </w:rPr>
        <w:t xml:space="preserve"> </w:t>
      </w:r>
      <w:r w:rsidRPr="00195E02">
        <w:rPr>
          <w:rFonts w:eastAsia="Times New Roman" w:cs="Times New Roman"/>
          <w:lang w:eastAsia="de-DE"/>
        </w:rPr>
        <w:t xml:space="preserve">(indem sie meine Wohnung verunreinigen) zeigt das eigentliche Problem: Heiligtumskontamination. </w:t>
      </w:r>
      <w:r w:rsidRPr="00195E02">
        <w:rPr>
          <w:rFonts w:eastAsia="Times New Roman" w:cs="Times New Roman"/>
          <w:b/>
          <w:bCs/>
          <w:rtl/>
          <w:lang w:eastAsia="de-DE"/>
        </w:rPr>
        <w:t>אשר בתוכם</w:t>
      </w:r>
      <w:r w:rsidRPr="00195E02">
        <w:rPr>
          <w:rFonts w:eastAsia="Times New Roman" w:cs="Times New Roman"/>
          <w:rtl/>
          <w:lang w:eastAsia="de-DE"/>
        </w:rPr>
        <w:t xml:space="preserve"> </w:t>
      </w:r>
      <w:r w:rsidRPr="00195E02">
        <w:rPr>
          <w:rFonts w:eastAsia="Times New Roman" w:cs="Times New Roman"/>
          <w:lang w:eastAsia="de-DE"/>
        </w:rPr>
        <w:t>(die in ihrer Mitte ist) betont die Nähe des Heiligtums.</w:t>
      </w:r>
    </w:p>
    <w:p w14:paraId="1095CA1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והזרתם</w:t>
      </w:r>
      <w:r w:rsidRPr="00195E02">
        <w:rPr>
          <w:rFonts w:eastAsia="Times New Roman" w:cs="Times New Roman"/>
          <w:rtl/>
          <w:lang w:eastAsia="de-DE"/>
        </w:rPr>
        <w:t xml:space="preserve"> </w:t>
      </w:r>
      <w:r w:rsidRPr="00195E02">
        <w:rPr>
          <w:rFonts w:eastAsia="Times New Roman" w:cs="Times New Roman"/>
          <w:lang w:eastAsia="de-DE"/>
        </w:rPr>
        <w:t xml:space="preserve">zeigt priesterliche Verantwortung für Volksbelehrung. </w:t>
      </w:r>
      <w:r w:rsidRPr="00195E02">
        <w:rPr>
          <w:rFonts w:eastAsia="Times New Roman" w:cs="Times New Roman"/>
          <w:b/>
          <w:bCs/>
          <w:rtl/>
          <w:lang w:eastAsia="de-DE"/>
        </w:rPr>
        <w:t>ימתו בטמאתם</w:t>
      </w:r>
      <w:r w:rsidRPr="00195E02">
        <w:rPr>
          <w:rFonts w:eastAsia="Times New Roman" w:cs="Times New Roman"/>
          <w:rtl/>
          <w:lang w:eastAsia="de-DE"/>
        </w:rPr>
        <w:t xml:space="preserve"> </w:t>
      </w:r>
      <w:r w:rsidRPr="00195E02">
        <w:rPr>
          <w:rFonts w:eastAsia="Times New Roman" w:cs="Times New Roman"/>
          <w:lang w:eastAsia="de-DE"/>
        </w:rPr>
        <w:t xml:space="preserve">zeigt göttliche Strafandrohung. </w:t>
      </w:r>
      <w:r w:rsidRPr="00195E02">
        <w:rPr>
          <w:rFonts w:eastAsia="Times New Roman" w:cs="Times New Roman"/>
          <w:b/>
          <w:bCs/>
          <w:rtl/>
          <w:lang w:eastAsia="de-DE"/>
        </w:rPr>
        <w:t>משכני אשר בתוכם</w:t>
      </w:r>
      <w:r w:rsidRPr="00195E02">
        <w:rPr>
          <w:rFonts w:eastAsia="Times New Roman" w:cs="Times New Roman"/>
          <w:rtl/>
          <w:lang w:eastAsia="de-DE"/>
        </w:rPr>
        <w:t xml:space="preserve"> </w:t>
      </w:r>
      <w:r w:rsidRPr="00195E02">
        <w:rPr>
          <w:rFonts w:eastAsia="Times New Roman" w:cs="Times New Roman"/>
          <w:lang w:eastAsia="de-DE"/>
        </w:rPr>
        <w:t>zeigt das zentrale Thema: Schutz der göttlichen Wohnung vor Unreinheit.</w:t>
      </w:r>
    </w:p>
    <w:p w14:paraId="5D778935" w14:textId="1C8C540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 xml:space="preserve">übersetzt </w:t>
      </w:r>
      <w:r w:rsidR="00523826">
        <w:rPr>
          <w:rtl/>
        </w:rPr>
        <w:t>והזרתם</w:t>
      </w:r>
      <w:r w:rsidR="00523826">
        <w:t xml:space="preserve"> (</w:t>
      </w:r>
      <w:proofErr w:type="spellStart"/>
      <w:r w:rsidR="00523826">
        <w:t>wehizartem</w:t>
      </w:r>
      <w:proofErr w:type="spellEnd"/>
      <w:r w:rsidR="00523826">
        <w:t xml:space="preserve"> - "und ihr sollt warnen") als </w:t>
      </w:r>
      <w:proofErr w:type="spellStart"/>
      <w:r w:rsidR="00523826">
        <w:t>εὐλ</w:t>
      </w:r>
      <w:proofErr w:type="spellEnd"/>
      <w:r w:rsidR="00523826">
        <w:t>αβεῖς π</w:t>
      </w:r>
      <w:proofErr w:type="spellStart"/>
      <w:r w:rsidR="00523826">
        <w:t>οιήσετε</w:t>
      </w:r>
      <w:proofErr w:type="spellEnd"/>
      <w:r w:rsidR="00523826">
        <w:t xml:space="preserve"> (ihr sollt vorsichtig machen), was eine pädagogische statt einer warnenden Funktion betont. Das hebräische </w:t>
      </w:r>
      <w:r w:rsidR="00523826">
        <w:rPr>
          <w:rtl/>
        </w:rPr>
        <w:t>משכני</w:t>
      </w:r>
      <w:r w:rsidR="00523826">
        <w:t xml:space="preserve"> (</w:t>
      </w:r>
      <w:proofErr w:type="spellStart"/>
      <w:r w:rsidR="00523826">
        <w:t>mishkani</w:t>
      </w:r>
      <w:proofErr w:type="spellEnd"/>
      <w:r w:rsidR="00523826">
        <w:t xml:space="preserve"> - "meine Wohnung") wird als </w:t>
      </w:r>
      <w:proofErr w:type="spellStart"/>
      <w:r w:rsidR="00523826">
        <w:t>τὴν</w:t>
      </w:r>
      <w:proofErr w:type="spellEnd"/>
      <w:r w:rsidR="00523826">
        <w:t xml:space="preserve"> </w:t>
      </w:r>
      <w:proofErr w:type="spellStart"/>
      <w:r w:rsidR="00523826">
        <w:t>σκηνήν</w:t>
      </w:r>
      <w:proofErr w:type="spellEnd"/>
      <w:r w:rsidR="00523826">
        <w:t xml:space="preserve"> </w:t>
      </w:r>
      <w:proofErr w:type="spellStart"/>
      <w:r w:rsidR="00523826">
        <w:t>μου</w:t>
      </w:r>
      <w:proofErr w:type="spellEnd"/>
      <w:r w:rsidR="00523826">
        <w:t xml:space="preserve"> (mein Zelt) wiedergegeben.</w:t>
      </w:r>
    </w:p>
    <w:p w14:paraId="4DD7ABD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theologische Begründung: Absonderungsauftrag + Todesvermeidung + Heiligtumskontamination + göttliche Präsenz. Die Struktur zeigt den eigentlichen Zweck aller Unreinheitsgesetze.</w:t>
      </w:r>
    </w:p>
    <w:p w14:paraId="65E74A8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offenbart den theologischen Kern: Unreinheitsgesetze dienen dem Schutz der göttlichen Wohnung vor Kontamination und damit dem Schutz des Volkes vor göttlichem Zorn.</w:t>
      </w:r>
    </w:p>
    <w:p w14:paraId="7523734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15,32</w:t>
      </w:r>
    </w:p>
    <w:p w14:paraId="6C09B71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זֹ֥את תּוֹרַ֖ת הַזָּ֑ב וַאֲשֶׁ֨ר תֵּצֵ֥א מִמֶּ֛נּוּ שִׁכְבַת־זֶ֖רַע לְטָמְאָה־בָֽהּ׃</w:t>
      </w:r>
    </w:p>
    <w:p w14:paraId="4BC1E0F8" w14:textId="5CC7F0C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Dies ist die Torah für den Fließenden und für den, von dem Samenerguss ausgeht, dass er dadurch unrein wird,</w:t>
      </w:r>
    </w:p>
    <w:p w14:paraId="67E06E6C"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457B55B5">
          <v:rect id="_x0000_i1479" style="width:0;height:1.5pt" o:hralign="center" o:hrstd="t" o:hr="t" fillcolor="#a0a0a0" stroked="f"/>
        </w:pict>
      </w:r>
    </w:p>
    <w:p w14:paraId="27F9076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זאת תורת הזב ואשר תצא ממנו שכבת־זרע לטמאה־בה</w:t>
      </w:r>
      <w:r w:rsidRPr="00195E02">
        <w:rPr>
          <w:rFonts w:eastAsia="Times New Roman" w:cs="Times New Roman"/>
          <w:rtl/>
          <w:lang w:eastAsia="de-DE"/>
        </w:rPr>
        <w:t xml:space="preserve"> </w:t>
      </w:r>
      <w:r w:rsidRPr="00195E02">
        <w:rPr>
          <w:rFonts w:eastAsia="Times New Roman" w:cs="Times New Roman"/>
          <w:lang w:eastAsia="de-DE"/>
        </w:rPr>
        <w:t xml:space="preserve">leitet die abschließende </w:t>
      </w:r>
      <w:r w:rsidRPr="00195E02">
        <w:rPr>
          <w:rFonts w:eastAsia="Times New Roman" w:cs="Times New Roman"/>
          <w:b/>
          <w:bCs/>
          <w:rtl/>
          <w:lang w:eastAsia="de-DE"/>
        </w:rPr>
        <w:t>תורת</w:t>
      </w:r>
      <w:r w:rsidRPr="00195E02">
        <w:rPr>
          <w:rFonts w:eastAsia="Times New Roman" w:cs="Times New Roman"/>
          <w:lang w:eastAsia="de-DE"/>
        </w:rPr>
        <w:t xml:space="preserve">-Zusammenfassung ein. </w:t>
      </w:r>
      <w:r w:rsidRPr="00195E02">
        <w:rPr>
          <w:rFonts w:eastAsia="Times New Roman" w:cs="Times New Roman"/>
          <w:b/>
          <w:bCs/>
          <w:rtl/>
          <w:lang w:eastAsia="de-DE"/>
        </w:rPr>
        <w:t>זאת תורת הזב</w:t>
      </w:r>
      <w:r w:rsidRPr="00195E02">
        <w:rPr>
          <w:rFonts w:eastAsia="Times New Roman" w:cs="Times New Roman"/>
          <w:rtl/>
          <w:lang w:eastAsia="de-DE"/>
        </w:rPr>
        <w:t xml:space="preserve"> </w:t>
      </w:r>
      <w:r w:rsidRPr="00195E02">
        <w:rPr>
          <w:rFonts w:eastAsia="Times New Roman" w:cs="Times New Roman"/>
          <w:lang w:eastAsia="de-DE"/>
        </w:rPr>
        <w:t xml:space="preserve">(das ist die Torah des Fließenden) entspricht den anderen </w:t>
      </w:r>
      <w:r w:rsidRPr="00195E02">
        <w:rPr>
          <w:rFonts w:eastAsia="Times New Roman" w:cs="Times New Roman"/>
          <w:b/>
          <w:bCs/>
          <w:rtl/>
          <w:lang w:eastAsia="de-DE"/>
        </w:rPr>
        <w:t>תורת</w:t>
      </w:r>
      <w:r w:rsidRPr="00195E02">
        <w:rPr>
          <w:rFonts w:eastAsia="Times New Roman" w:cs="Times New Roman"/>
          <w:lang w:eastAsia="de-DE"/>
        </w:rPr>
        <w:t xml:space="preserve">-Formeln und umfasst V. 2-15. </w:t>
      </w:r>
      <w:r w:rsidRPr="00195E02">
        <w:rPr>
          <w:rFonts w:eastAsia="Times New Roman" w:cs="Times New Roman"/>
          <w:b/>
          <w:bCs/>
          <w:rtl/>
          <w:lang w:eastAsia="de-DE"/>
        </w:rPr>
        <w:t>ואשר תצא ממנו שכבת־זרע לטמאה־בה</w:t>
      </w:r>
      <w:r w:rsidRPr="00195E02">
        <w:rPr>
          <w:rFonts w:eastAsia="Times New Roman" w:cs="Times New Roman"/>
          <w:rtl/>
          <w:lang w:eastAsia="de-DE"/>
        </w:rPr>
        <w:t xml:space="preserve"> </w:t>
      </w:r>
      <w:r w:rsidRPr="00195E02">
        <w:rPr>
          <w:rFonts w:eastAsia="Times New Roman" w:cs="Times New Roman"/>
          <w:lang w:eastAsia="de-DE"/>
        </w:rPr>
        <w:t xml:space="preserve">(und dessen, von dem Samenerguss ausgeht, dass er dadurch unrein wird) - </w:t>
      </w:r>
      <w:r w:rsidRPr="00195E02">
        <w:rPr>
          <w:rFonts w:eastAsia="Times New Roman" w:cs="Times New Roman"/>
          <w:b/>
          <w:bCs/>
          <w:rtl/>
          <w:lang w:eastAsia="de-DE"/>
        </w:rPr>
        <w:t>לטמאה־בה</w:t>
      </w:r>
      <w:r w:rsidRPr="00195E02">
        <w:rPr>
          <w:rFonts w:eastAsia="Times New Roman" w:cs="Times New Roman"/>
          <w:rtl/>
          <w:lang w:eastAsia="de-DE"/>
        </w:rPr>
        <w:t xml:space="preserve"> </w:t>
      </w:r>
      <w:r w:rsidRPr="00195E02">
        <w:rPr>
          <w:rFonts w:eastAsia="Times New Roman" w:cs="Times New Roman"/>
          <w:lang w:eastAsia="de-DE"/>
        </w:rPr>
        <w:t>(dass er dadurch unrein wird) zeigt den Zweck der Bestimmungen aus V. 16-18.</w:t>
      </w:r>
    </w:p>
    <w:p w14:paraId="179D5F3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הזב</w:t>
      </w:r>
      <w:r w:rsidRPr="00195E02">
        <w:rPr>
          <w:rFonts w:eastAsia="Times New Roman" w:cs="Times New Roman"/>
          <w:rtl/>
          <w:lang w:eastAsia="de-DE"/>
        </w:rPr>
        <w:t xml:space="preserve"> </w:t>
      </w:r>
      <w:r w:rsidRPr="00195E02">
        <w:rPr>
          <w:rFonts w:eastAsia="Times New Roman" w:cs="Times New Roman"/>
          <w:lang w:eastAsia="de-DE"/>
        </w:rPr>
        <w:t xml:space="preserve">als pathologischer Zustand wird von </w:t>
      </w: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 xml:space="preserve">als normalem physiologischem Vorgang unterschieden. </w:t>
      </w:r>
      <w:r w:rsidRPr="00195E02">
        <w:rPr>
          <w:rFonts w:eastAsia="Times New Roman" w:cs="Times New Roman"/>
          <w:b/>
          <w:bCs/>
          <w:rtl/>
          <w:lang w:eastAsia="de-DE"/>
        </w:rPr>
        <w:t>לטמאה־בה</w:t>
      </w:r>
      <w:r w:rsidRPr="00195E02">
        <w:rPr>
          <w:rFonts w:eastAsia="Times New Roman" w:cs="Times New Roman"/>
          <w:rtl/>
          <w:lang w:eastAsia="de-DE"/>
        </w:rPr>
        <w:t xml:space="preserve"> </w:t>
      </w:r>
      <w:r w:rsidRPr="00195E02">
        <w:rPr>
          <w:rFonts w:eastAsia="Times New Roman" w:cs="Times New Roman"/>
          <w:lang w:eastAsia="de-DE"/>
        </w:rPr>
        <w:t>zeigt, dass auch normale Funktionen Unreinheit bewirken können.</w:t>
      </w:r>
    </w:p>
    <w:p w14:paraId="0B5AC3A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תורת הזב</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νόμος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γονορρυοῦς</w:t>
      </w:r>
      <w:proofErr w:type="spellEnd"/>
      <w:r w:rsidRPr="00195E02">
        <w:rPr>
          <w:rFonts w:eastAsia="Times New Roman" w:cs="Times New Roman"/>
          <w:lang w:eastAsia="de-DE"/>
        </w:rPr>
        <w:t xml:space="preserve"> (Gesetz des Samenflüssigen), </w:t>
      </w:r>
      <w:r w:rsidRPr="00195E02">
        <w:rPr>
          <w:rFonts w:eastAsia="Times New Roman" w:cs="Times New Roman"/>
          <w:b/>
          <w:bCs/>
          <w:rtl/>
          <w:lang w:eastAsia="de-DE"/>
        </w:rPr>
        <w:t>שכבת־זרע</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κοίτη</w:t>
      </w:r>
      <w:proofErr w:type="spellEnd"/>
      <w:r w:rsidRPr="00195E02">
        <w:rPr>
          <w:rFonts w:eastAsia="Times New Roman" w:cs="Times New Roman"/>
          <w:lang w:eastAsia="de-DE"/>
        </w:rPr>
        <w:t xml:space="preserve"> σπ</w:t>
      </w:r>
      <w:proofErr w:type="spellStart"/>
      <w:r w:rsidRPr="00195E02">
        <w:rPr>
          <w:rFonts w:eastAsia="Times New Roman" w:cs="Times New Roman"/>
          <w:lang w:eastAsia="de-DE"/>
        </w:rPr>
        <w:t>έρμ</w:t>
      </w:r>
      <w:proofErr w:type="spellEnd"/>
      <w:r w:rsidRPr="00195E02">
        <w:rPr>
          <w:rFonts w:eastAsia="Times New Roman" w:cs="Times New Roman"/>
          <w:lang w:eastAsia="de-DE"/>
        </w:rPr>
        <w:t xml:space="preserve">ατος (Samenschlaf) und </w:t>
      </w:r>
      <w:r w:rsidRPr="00195E02">
        <w:rPr>
          <w:rFonts w:eastAsia="Times New Roman" w:cs="Times New Roman"/>
          <w:b/>
          <w:bCs/>
          <w:rtl/>
          <w:lang w:eastAsia="de-DE"/>
        </w:rPr>
        <w:t>לטמאה־בה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μι</w:t>
      </w:r>
      <w:proofErr w:type="spellEnd"/>
      <w:r w:rsidRPr="00195E02">
        <w:rPr>
          <w:rFonts w:eastAsia="Times New Roman" w:cs="Times New Roman"/>
          <w:lang w:eastAsia="de-DE"/>
        </w:rPr>
        <w:t xml:space="preserve">ανθῆναι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ὐτῇ</w:t>
      </w:r>
      <w:proofErr w:type="spellEnd"/>
      <w:r w:rsidRPr="00195E02">
        <w:rPr>
          <w:rFonts w:eastAsia="Times New Roman" w:cs="Times New Roman"/>
          <w:lang w:eastAsia="de-DE"/>
        </w:rPr>
        <w:t xml:space="preserve"> (um dadurch verunreinigt zu werden).</w:t>
      </w:r>
    </w:p>
    <w:p w14:paraId="3410D57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Zusammenfassungsbeginn: </w:t>
      </w:r>
      <w:r w:rsidRPr="00195E02">
        <w:rPr>
          <w:rFonts w:eastAsia="Times New Roman" w:cs="Times New Roman"/>
          <w:b/>
          <w:bCs/>
          <w:rtl/>
          <w:lang w:eastAsia="de-DE"/>
        </w:rPr>
        <w:t>תורת</w:t>
      </w:r>
      <w:r w:rsidRPr="00195E02">
        <w:rPr>
          <w:rFonts w:eastAsia="Times New Roman" w:cs="Times New Roman"/>
          <w:lang w:eastAsia="de-DE"/>
        </w:rPr>
        <w:t>-Formel für pathologische Zustände + normale physiologische Funktionen + Unreinheitszweck. Die unvollständige Struktur führt zu V. 33.</w:t>
      </w:r>
    </w:p>
    <w:p w14:paraId="04DA942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leitet die Gesamtzusammenfassung der männlichen Ausfluss- und Samenerguss-Bestimmungen ein.</w:t>
      </w:r>
    </w:p>
    <w:p w14:paraId="5073103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15,33</w:t>
      </w:r>
    </w:p>
    <w:p w14:paraId="6941B23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וְהַדָּוָה֙ בְּנִדָּתָ֔הּ וְהַזָּב֙ אֶת־זוֹבֹ֔ו לַזָּכָ֖ר וְלַנְּקֵבָ֑ה וּלְאִ֕ישׁ אֲשֶׁ֥ר יִשְׁכַּ֖ב עִם־טְמֵאָֽה׃</w:t>
      </w:r>
    </w:p>
    <w:p w14:paraId="185FF16F" w14:textId="17FBDBC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64340">
        <w:t>und für die Kranke in ihrer Unreinheit und für den, der fließt mit seinem Fluss, für den Mann und für die Frau, und für den Mann, der bei einer Unreinen liegt.</w:t>
      </w:r>
    </w:p>
    <w:p w14:paraId="33BDDAE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793D7E6">
          <v:rect id="_x0000_i1480" style="width:0;height:1.5pt" o:hralign="center" o:hrstd="t" o:hr="t" fillcolor="#a0a0a0" stroked="f"/>
        </w:pict>
      </w:r>
    </w:p>
    <w:p w14:paraId="1584D1B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והדוה בנדתה והזב את־זובו לזכר ולנקבה ולאיש אשר ישכב עם־טמאה</w:t>
      </w:r>
      <w:r w:rsidRPr="00195E02">
        <w:rPr>
          <w:rFonts w:eastAsia="Times New Roman" w:cs="Times New Roman"/>
          <w:rtl/>
          <w:lang w:eastAsia="de-DE"/>
        </w:rPr>
        <w:t xml:space="preserve"> </w:t>
      </w:r>
      <w:r w:rsidRPr="00195E02">
        <w:rPr>
          <w:rFonts w:eastAsia="Times New Roman" w:cs="Times New Roman"/>
          <w:lang w:eastAsia="de-DE"/>
        </w:rPr>
        <w:t xml:space="preserve">vervollständigt die </w:t>
      </w:r>
      <w:r w:rsidRPr="00195E02">
        <w:rPr>
          <w:rFonts w:eastAsia="Times New Roman" w:cs="Times New Roman"/>
          <w:b/>
          <w:bCs/>
          <w:rtl/>
          <w:lang w:eastAsia="de-DE"/>
        </w:rPr>
        <w:t>תורת</w:t>
      </w:r>
      <w:r w:rsidRPr="00195E02">
        <w:rPr>
          <w:rFonts w:eastAsia="Times New Roman" w:cs="Times New Roman"/>
          <w:lang w:eastAsia="de-DE"/>
        </w:rPr>
        <w:t xml:space="preserve">-Zusammenfassung. </w:t>
      </w:r>
      <w:r w:rsidRPr="00195E02">
        <w:rPr>
          <w:rFonts w:eastAsia="Times New Roman" w:cs="Times New Roman"/>
          <w:b/>
          <w:bCs/>
          <w:rtl/>
          <w:lang w:eastAsia="de-DE"/>
        </w:rPr>
        <w:t>והדוה בנדתה</w:t>
      </w:r>
      <w:r w:rsidRPr="00195E02">
        <w:rPr>
          <w:rFonts w:eastAsia="Times New Roman" w:cs="Times New Roman"/>
          <w:rtl/>
          <w:lang w:eastAsia="de-DE"/>
        </w:rPr>
        <w:t xml:space="preserve"> </w:t>
      </w:r>
      <w:r w:rsidRPr="00195E02">
        <w:rPr>
          <w:rFonts w:eastAsia="Times New Roman" w:cs="Times New Roman"/>
          <w:lang w:eastAsia="de-DE"/>
        </w:rPr>
        <w:t xml:space="preserve">(und für die Kranke in ihrer Unreinheit) - </w:t>
      </w:r>
      <w:r w:rsidRPr="00195E02">
        <w:rPr>
          <w:rFonts w:eastAsia="Times New Roman" w:cs="Times New Roman"/>
          <w:b/>
          <w:bCs/>
          <w:rtl/>
          <w:lang w:eastAsia="de-DE"/>
        </w:rPr>
        <w:t>דוה</w:t>
      </w:r>
      <w:r w:rsidRPr="00195E02">
        <w:rPr>
          <w:rFonts w:eastAsia="Times New Roman" w:cs="Times New Roman"/>
          <w:rtl/>
          <w:lang w:eastAsia="de-DE"/>
        </w:rPr>
        <w:t xml:space="preserve"> </w:t>
      </w:r>
      <w:r w:rsidRPr="00195E02">
        <w:rPr>
          <w:rFonts w:eastAsia="Times New Roman" w:cs="Times New Roman"/>
          <w:lang w:eastAsia="de-DE"/>
        </w:rPr>
        <w:t xml:space="preserve">(Kranke/Leidende) als Partizip feminin bezeichnet menstruierende Frauen, </w:t>
      </w:r>
      <w:r w:rsidRPr="00195E02">
        <w:rPr>
          <w:rFonts w:eastAsia="Times New Roman" w:cs="Times New Roman"/>
          <w:b/>
          <w:bCs/>
          <w:rtl/>
          <w:lang w:eastAsia="de-DE"/>
        </w:rPr>
        <w:t>בנדתה</w:t>
      </w:r>
      <w:r w:rsidRPr="00195E02">
        <w:rPr>
          <w:rFonts w:eastAsia="Times New Roman" w:cs="Times New Roman"/>
          <w:rtl/>
          <w:lang w:eastAsia="de-DE"/>
        </w:rPr>
        <w:t xml:space="preserve"> </w:t>
      </w:r>
      <w:r w:rsidRPr="00195E02">
        <w:rPr>
          <w:rFonts w:eastAsia="Times New Roman" w:cs="Times New Roman"/>
          <w:lang w:eastAsia="de-DE"/>
        </w:rPr>
        <w:t>(in ihrer Unreinheit) aus V. 19-24.</w:t>
      </w:r>
    </w:p>
    <w:p w14:paraId="236E8A5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והזב את־זובו לזכר ולנקבה</w:t>
      </w:r>
      <w:r w:rsidRPr="00195E02">
        <w:rPr>
          <w:rFonts w:eastAsia="Times New Roman" w:cs="Times New Roman"/>
          <w:rtl/>
          <w:lang w:eastAsia="de-DE"/>
        </w:rPr>
        <w:t xml:space="preserve"> </w:t>
      </w:r>
      <w:r w:rsidRPr="00195E02">
        <w:rPr>
          <w:rFonts w:eastAsia="Times New Roman" w:cs="Times New Roman"/>
          <w:lang w:eastAsia="de-DE"/>
        </w:rPr>
        <w:t xml:space="preserve">(und für den Fließenden mit seinem Fluss, für Mann und für Frau) - </w:t>
      </w:r>
      <w:r w:rsidRPr="00195E02">
        <w:rPr>
          <w:rFonts w:eastAsia="Times New Roman" w:cs="Times New Roman"/>
          <w:b/>
          <w:bCs/>
          <w:rtl/>
          <w:lang w:eastAsia="de-DE"/>
        </w:rPr>
        <w:t>הזב את־זובו</w:t>
      </w:r>
      <w:r w:rsidRPr="00195E02">
        <w:rPr>
          <w:rFonts w:eastAsia="Times New Roman" w:cs="Times New Roman"/>
          <w:rtl/>
          <w:lang w:eastAsia="de-DE"/>
        </w:rPr>
        <w:t xml:space="preserve"> </w:t>
      </w:r>
      <w:r w:rsidRPr="00195E02">
        <w:rPr>
          <w:rFonts w:eastAsia="Times New Roman" w:cs="Times New Roman"/>
          <w:lang w:eastAsia="de-DE"/>
        </w:rPr>
        <w:t xml:space="preserve">umfasst sowohl männlichen </w:t>
      </w:r>
      <w:r w:rsidRPr="00195E02">
        <w:rPr>
          <w:rFonts w:eastAsia="Times New Roman" w:cs="Times New Roman"/>
          <w:b/>
          <w:bCs/>
          <w:rtl/>
          <w:lang w:eastAsia="de-DE"/>
        </w:rPr>
        <w:t>זוב</w:t>
      </w:r>
      <w:r w:rsidRPr="00195E02">
        <w:rPr>
          <w:rFonts w:eastAsia="Times New Roman" w:cs="Times New Roman"/>
          <w:rtl/>
          <w:lang w:eastAsia="de-DE"/>
        </w:rPr>
        <w:t xml:space="preserve"> </w:t>
      </w:r>
      <w:r w:rsidRPr="00195E02">
        <w:rPr>
          <w:rFonts w:eastAsia="Times New Roman" w:cs="Times New Roman"/>
          <w:lang w:eastAsia="de-DE"/>
        </w:rPr>
        <w:t xml:space="preserve">(V. 2-15) als auch weibliche </w:t>
      </w:r>
      <w:r w:rsidRPr="00195E02">
        <w:rPr>
          <w:rFonts w:eastAsia="Times New Roman" w:cs="Times New Roman"/>
          <w:b/>
          <w:bCs/>
          <w:rtl/>
          <w:lang w:eastAsia="de-DE"/>
        </w:rPr>
        <w:t>זבה</w:t>
      </w:r>
      <w:r w:rsidRPr="00195E02">
        <w:rPr>
          <w:rFonts w:eastAsia="Times New Roman" w:cs="Times New Roman"/>
          <w:rtl/>
          <w:lang w:eastAsia="de-DE"/>
        </w:rPr>
        <w:t xml:space="preserve"> </w:t>
      </w:r>
      <w:r w:rsidRPr="00195E02">
        <w:rPr>
          <w:rFonts w:eastAsia="Times New Roman" w:cs="Times New Roman"/>
          <w:lang w:eastAsia="de-DE"/>
        </w:rPr>
        <w:t xml:space="preserve">(V. 25-30), </w:t>
      </w:r>
      <w:r w:rsidRPr="00195E02">
        <w:rPr>
          <w:rFonts w:eastAsia="Times New Roman" w:cs="Times New Roman"/>
          <w:b/>
          <w:bCs/>
          <w:rtl/>
          <w:lang w:eastAsia="de-DE"/>
        </w:rPr>
        <w:t>לזכר ולנקבה</w:t>
      </w:r>
      <w:r w:rsidRPr="00195E02">
        <w:rPr>
          <w:rFonts w:eastAsia="Times New Roman" w:cs="Times New Roman"/>
          <w:rtl/>
          <w:lang w:eastAsia="de-DE"/>
        </w:rPr>
        <w:t xml:space="preserve"> </w:t>
      </w:r>
      <w:r w:rsidRPr="00195E02">
        <w:rPr>
          <w:rFonts w:eastAsia="Times New Roman" w:cs="Times New Roman"/>
          <w:lang w:eastAsia="de-DE"/>
        </w:rPr>
        <w:t>(für Mann und für Frau) betont die geschlechtsübergreifende Anwendung.</w:t>
      </w:r>
    </w:p>
    <w:p w14:paraId="62BCEC5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ולאיש אשר ישכב עם־טמאה</w:t>
      </w:r>
      <w:r w:rsidRPr="00195E02">
        <w:rPr>
          <w:rFonts w:eastAsia="Times New Roman" w:cs="Times New Roman"/>
          <w:rtl/>
          <w:lang w:eastAsia="de-DE"/>
        </w:rPr>
        <w:t xml:space="preserve"> </w:t>
      </w:r>
      <w:r w:rsidRPr="00195E02">
        <w:rPr>
          <w:rFonts w:eastAsia="Times New Roman" w:cs="Times New Roman"/>
          <w:lang w:eastAsia="de-DE"/>
        </w:rPr>
        <w:t xml:space="preserve">(und für den Mann, der bei einer Unreinen liegt) bezieht sich auf V. 24 und V. 18, zeigt also sowohl </w:t>
      </w:r>
      <w:r w:rsidRPr="00195E02">
        <w:rPr>
          <w:rFonts w:eastAsia="Times New Roman" w:cs="Times New Roman"/>
          <w:b/>
          <w:bCs/>
          <w:rtl/>
          <w:lang w:eastAsia="de-DE"/>
        </w:rPr>
        <w:t>נדה</w:t>
      </w:r>
      <w:r w:rsidRPr="00195E02">
        <w:rPr>
          <w:rFonts w:eastAsia="Times New Roman" w:cs="Times New Roman"/>
          <w:lang w:eastAsia="de-DE"/>
        </w:rPr>
        <w:t>-Kontakt als auch normalen Geschlechtsverkehr.</w:t>
      </w:r>
    </w:p>
    <w:p w14:paraId="04C29D52" w14:textId="7151096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דוה</w:t>
      </w:r>
      <w:r w:rsidRPr="00195E02">
        <w:rPr>
          <w:rFonts w:eastAsia="Times New Roman" w:cs="Times New Roman"/>
          <w:rtl/>
          <w:lang w:eastAsia="de-DE"/>
        </w:rPr>
        <w:t xml:space="preserve"> </w:t>
      </w:r>
      <w:r w:rsidRPr="00195E02">
        <w:rPr>
          <w:rFonts w:eastAsia="Times New Roman" w:cs="Times New Roman"/>
          <w:lang w:eastAsia="de-DE"/>
        </w:rPr>
        <w:t xml:space="preserve">als emotionaler Begriff für </w:t>
      </w:r>
      <w:r w:rsidR="008E2E29" w:rsidRPr="00195E02">
        <w:rPr>
          <w:rFonts w:eastAsia="Times New Roman" w:cs="Times New Roman"/>
          <w:lang w:eastAsia="de-DE"/>
        </w:rPr>
        <w:t>menstruales</w:t>
      </w:r>
      <w:r w:rsidRPr="00195E02">
        <w:rPr>
          <w:rFonts w:eastAsia="Times New Roman" w:cs="Times New Roman"/>
          <w:lang w:eastAsia="de-DE"/>
        </w:rPr>
        <w:t xml:space="preserve"> Leiden. </w:t>
      </w:r>
      <w:r w:rsidRPr="00195E02">
        <w:rPr>
          <w:rFonts w:eastAsia="Times New Roman" w:cs="Times New Roman"/>
          <w:b/>
          <w:bCs/>
          <w:rtl/>
          <w:lang w:eastAsia="de-DE"/>
        </w:rPr>
        <w:t>לזכר ולנקבה</w:t>
      </w:r>
      <w:r w:rsidRPr="00195E02">
        <w:rPr>
          <w:rFonts w:eastAsia="Times New Roman" w:cs="Times New Roman"/>
          <w:rtl/>
          <w:lang w:eastAsia="de-DE"/>
        </w:rPr>
        <w:t xml:space="preserve"> </w:t>
      </w:r>
      <w:r w:rsidRPr="00195E02">
        <w:rPr>
          <w:rFonts w:eastAsia="Times New Roman" w:cs="Times New Roman"/>
          <w:lang w:eastAsia="de-DE"/>
        </w:rPr>
        <w:t xml:space="preserve">zeigt systematische Erfassung beider Geschlechter. </w:t>
      </w:r>
      <w:r w:rsidRPr="00195E02">
        <w:rPr>
          <w:rFonts w:eastAsia="Times New Roman" w:cs="Times New Roman"/>
          <w:b/>
          <w:bCs/>
          <w:rtl/>
          <w:lang w:eastAsia="de-DE"/>
        </w:rPr>
        <w:t>עם־טמאה</w:t>
      </w:r>
      <w:r w:rsidRPr="00195E02">
        <w:rPr>
          <w:rFonts w:eastAsia="Times New Roman" w:cs="Times New Roman"/>
          <w:rtl/>
          <w:lang w:eastAsia="de-DE"/>
        </w:rPr>
        <w:t xml:space="preserve"> </w:t>
      </w:r>
      <w:r w:rsidRPr="00195E02">
        <w:rPr>
          <w:rFonts w:eastAsia="Times New Roman" w:cs="Times New Roman"/>
          <w:lang w:eastAsia="de-DE"/>
        </w:rPr>
        <w:t>fasst verschiedene Arten weiblicher Unreinheit zusammen.</w:t>
      </w:r>
    </w:p>
    <w:p w14:paraId="391A079D" w14:textId="4A8197D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523826">
        <w:t>fügt α</w:t>
      </w:r>
      <w:proofErr w:type="spellStart"/>
      <w:r w:rsidR="00523826">
        <w:t>ἱμορροούσῃ</w:t>
      </w:r>
      <w:proofErr w:type="spellEnd"/>
      <w:r w:rsidR="00523826">
        <w:t xml:space="preserve"> (blutflüssig) hinzu und übersetzt die abschließende Wendung </w:t>
      </w:r>
      <w:r w:rsidR="00523826">
        <w:rPr>
          <w:rtl/>
        </w:rPr>
        <w:t>עם־טמאה</w:t>
      </w:r>
      <w:r w:rsidR="00523826">
        <w:t xml:space="preserve"> (im-</w:t>
      </w:r>
      <w:proofErr w:type="spellStart"/>
      <w:r w:rsidR="00523826">
        <w:t>temea</w:t>
      </w:r>
      <w:proofErr w:type="spellEnd"/>
      <w:r w:rsidR="00523826">
        <w:t xml:space="preserve"> - "mit einer unreinen") als </w:t>
      </w:r>
      <w:proofErr w:type="spellStart"/>
      <w:r w:rsidR="00523826">
        <w:t>μετὰ</w:t>
      </w:r>
      <w:proofErr w:type="spellEnd"/>
      <w:r w:rsidR="00523826">
        <w:t xml:space="preserve"> ἀπ</w:t>
      </w:r>
      <w:proofErr w:type="spellStart"/>
      <w:r w:rsidR="00523826">
        <w:t>οκ</w:t>
      </w:r>
      <w:proofErr w:type="spellEnd"/>
      <w:r w:rsidR="00523826">
        <w:t>αθημένης (mit einer abgesonderten).</w:t>
      </w:r>
    </w:p>
    <w:p w14:paraId="36A2EE0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umfassende Zusammenfassung: weibliche normale Unreinheit + pathologische Ausflüsse beider Geschlechter + männliche Kontamination durch Geschlechtsverkehr. Die Struktur erfasst alle behandelten Unreinheitsarten.</w:t>
      </w:r>
    </w:p>
    <w:p w14:paraId="23931E4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abschließende Vers fasst alle Körperausfluss-Unreinheiten zusammen: normale und pathologische Zustände beider Geschlechter sowie Kontamination durch Geschlechtsverkehr.</w:t>
      </w:r>
    </w:p>
    <w:p w14:paraId="13356E33" w14:textId="77777777"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 xml:space="preserve">Kapitel 15 etabliert ein umfassendes System kultischer Unreinheit durch Körperausflüsse. Die Struktur zeigt: </w:t>
      </w:r>
    </w:p>
    <w:p w14:paraId="4037EEFC" w14:textId="77777777" w:rsidR="00195E02" w:rsidRDefault="00195E02" w:rsidP="00195E02">
      <w:pPr>
        <w:pStyle w:val="KeinLeerraum"/>
        <w:rPr>
          <w:lang w:eastAsia="de-DE"/>
        </w:rPr>
      </w:pPr>
      <w:r w:rsidRPr="00125C26">
        <w:rPr>
          <w:b/>
          <w:bCs/>
          <w:lang w:eastAsia="de-DE"/>
        </w:rPr>
        <w:t>1)</w:t>
      </w:r>
      <w:r w:rsidRPr="00195E02">
        <w:rPr>
          <w:lang w:eastAsia="de-DE"/>
        </w:rPr>
        <w:t xml:space="preserve"> </w:t>
      </w:r>
      <w:r w:rsidRPr="00195E02">
        <w:rPr>
          <w:b/>
          <w:bCs/>
          <w:lang w:eastAsia="de-DE"/>
        </w:rPr>
        <w:t>Männliche pathologische Ausflüsse</w:t>
      </w:r>
      <w:r w:rsidRPr="00195E02">
        <w:rPr>
          <w:lang w:eastAsia="de-DE"/>
        </w:rPr>
        <w:t xml:space="preserve"> (V. 1-15): </w:t>
      </w:r>
      <w:r w:rsidRPr="00195E02">
        <w:rPr>
          <w:b/>
          <w:bCs/>
          <w:rtl/>
          <w:lang w:eastAsia="de-DE"/>
        </w:rPr>
        <w:t>זב</w:t>
      </w:r>
      <w:r w:rsidRPr="00195E02">
        <w:rPr>
          <w:rtl/>
          <w:lang w:eastAsia="de-DE"/>
        </w:rPr>
        <w:t xml:space="preserve"> </w:t>
      </w:r>
      <w:r w:rsidRPr="00195E02">
        <w:rPr>
          <w:lang w:eastAsia="de-DE"/>
        </w:rPr>
        <w:t xml:space="preserve">als Grundkategorie mit automatischer Gegenstandskontamination, abgestufter Personenkontamination, Hygienemaßnahmen als Prävention, materialspezifischen Reinigungsverfahren und komplexem Heilungsritual. </w:t>
      </w:r>
    </w:p>
    <w:p w14:paraId="4054F02B" w14:textId="77777777" w:rsidR="00125C26" w:rsidRDefault="00125C26" w:rsidP="00195E02">
      <w:pPr>
        <w:pStyle w:val="KeinLeerraum"/>
        <w:rPr>
          <w:b/>
          <w:bCs/>
          <w:lang w:eastAsia="de-DE"/>
        </w:rPr>
      </w:pPr>
    </w:p>
    <w:p w14:paraId="0220A5EC" w14:textId="4C24F196" w:rsidR="00195E02" w:rsidRDefault="00195E02" w:rsidP="00195E02">
      <w:pPr>
        <w:pStyle w:val="KeinLeerraum"/>
        <w:rPr>
          <w:lang w:eastAsia="de-DE"/>
        </w:rPr>
      </w:pPr>
      <w:r w:rsidRPr="00125C26">
        <w:rPr>
          <w:b/>
          <w:bCs/>
          <w:lang w:eastAsia="de-DE"/>
        </w:rPr>
        <w:t>2)</w:t>
      </w:r>
      <w:r w:rsidRPr="00195E02">
        <w:rPr>
          <w:lang w:eastAsia="de-DE"/>
        </w:rPr>
        <w:t xml:space="preserve"> </w:t>
      </w:r>
      <w:r w:rsidRPr="00195E02">
        <w:rPr>
          <w:b/>
          <w:bCs/>
          <w:lang w:eastAsia="de-DE"/>
        </w:rPr>
        <w:t>Normale männliche Ejakulation</w:t>
      </w:r>
      <w:r w:rsidRPr="00195E02">
        <w:rPr>
          <w:lang w:eastAsia="de-DE"/>
        </w:rPr>
        <w:t xml:space="preserve"> (V. 16-18): Einfache Ganzkörperwaschung, Textilreinigung und kurze Unreinheit bis zum Abend für beide Partner. </w:t>
      </w:r>
    </w:p>
    <w:p w14:paraId="14B61FF7" w14:textId="77777777" w:rsidR="00125C26" w:rsidRDefault="00125C26" w:rsidP="00195E02">
      <w:pPr>
        <w:pStyle w:val="KeinLeerraum"/>
        <w:rPr>
          <w:b/>
          <w:bCs/>
          <w:lang w:eastAsia="de-DE"/>
        </w:rPr>
      </w:pPr>
    </w:p>
    <w:p w14:paraId="74766645" w14:textId="158E71F2" w:rsidR="00195E02" w:rsidRPr="00195E02" w:rsidRDefault="00195E02" w:rsidP="00195E02">
      <w:pPr>
        <w:pStyle w:val="KeinLeerraum"/>
        <w:rPr>
          <w:lang w:eastAsia="de-DE"/>
        </w:rPr>
      </w:pPr>
      <w:r w:rsidRPr="00125C26">
        <w:rPr>
          <w:b/>
          <w:bCs/>
          <w:lang w:eastAsia="de-DE"/>
        </w:rPr>
        <w:t>3)</w:t>
      </w:r>
      <w:r w:rsidRPr="00195E02">
        <w:rPr>
          <w:lang w:eastAsia="de-DE"/>
        </w:rPr>
        <w:t xml:space="preserve"> </w:t>
      </w:r>
      <w:r w:rsidRPr="00195E02">
        <w:rPr>
          <w:b/>
          <w:bCs/>
          <w:lang w:eastAsia="de-DE"/>
        </w:rPr>
        <w:t>Weibliche Unreinheiten</w:t>
      </w:r>
      <w:r w:rsidRPr="00195E02">
        <w:rPr>
          <w:lang w:eastAsia="de-DE"/>
        </w:rPr>
        <w:t xml:space="preserve"> (V. 19-30): Systematische Parallelisierung von normaler </w:t>
      </w:r>
      <w:r w:rsidRPr="00195E02">
        <w:rPr>
          <w:b/>
          <w:bCs/>
          <w:rtl/>
          <w:lang w:eastAsia="de-DE"/>
        </w:rPr>
        <w:t>נדה</w:t>
      </w:r>
      <w:r w:rsidRPr="00195E02">
        <w:rPr>
          <w:rtl/>
          <w:lang w:eastAsia="de-DE"/>
        </w:rPr>
        <w:t xml:space="preserve"> </w:t>
      </w:r>
      <w:r w:rsidRPr="00195E02">
        <w:rPr>
          <w:lang w:eastAsia="de-DE"/>
        </w:rPr>
        <w:t xml:space="preserve">(siebentägige Unreinheit) und pathologischer </w:t>
      </w:r>
      <w:r w:rsidRPr="00195E02">
        <w:rPr>
          <w:b/>
          <w:bCs/>
          <w:rtl/>
          <w:lang w:eastAsia="de-DE"/>
        </w:rPr>
        <w:t>זבה</w:t>
      </w:r>
      <w:r w:rsidRPr="00195E02">
        <w:rPr>
          <w:rtl/>
          <w:lang w:eastAsia="de-DE"/>
        </w:rPr>
        <w:t xml:space="preserve"> </w:t>
      </w:r>
      <w:r w:rsidRPr="00195E02">
        <w:rPr>
          <w:lang w:eastAsia="de-DE"/>
        </w:rPr>
        <w:t xml:space="preserve">mit identischen Kontaminationsregeln wie männlicher </w:t>
      </w:r>
      <w:r w:rsidRPr="00195E02">
        <w:rPr>
          <w:b/>
          <w:bCs/>
          <w:rtl/>
          <w:lang w:eastAsia="de-DE"/>
        </w:rPr>
        <w:t>זוב</w:t>
      </w:r>
      <w:r w:rsidRPr="00195E02">
        <w:rPr>
          <w:lang w:eastAsia="de-DE"/>
        </w:rPr>
        <w:t xml:space="preserve">, besonders schwere Kontamination des Mannes durch Geschlechtsverkehr während </w:t>
      </w:r>
      <w:r w:rsidRPr="00195E02">
        <w:rPr>
          <w:b/>
          <w:bCs/>
          <w:rtl/>
          <w:lang w:eastAsia="de-DE"/>
        </w:rPr>
        <w:t>נדה</w:t>
      </w:r>
      <w:r w:rsidRPr="00195E02">
        <w:rPr>
          <w:lang w:eastAsia="de-DE"/>
        </w:rPr>
        <w:t>, und parallele Heilungsrituale.</w:t>
      </w:r>
    </w:p>
    <w:p w14:paraId="7D3E67A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Das Kapitel zeigt bemerkenswerte Systematik: Weitgehende Gleichbehandlung männlicher und weiblicher Ausflüsse unterstreicht geschlechtsneutrale Reinheitsprinzipien. Die Differenzierung zwischen normalen (kurze Unreinheit, einfache Reinigung) und pathologischen Zuständen (komplexe Rituale, Sühneopfer) zeigt medizinisches Verständnis. Die abschließende theologische Begründung (V. 31) offenbart den eigentlichen Zweck: Schutz der göttlichen Wohnung vor Kontamination. Die </w:t>
      </w:r>
      <w:r w:rsidRPr="00195E02">
        <w:rPr>
          <w:rFonts w:eastAsia="Times New Roman" w:cs="Times New Roman"/>
          <w:b/>
          <w:bCs/>
          <w:rtl/>
          <w:lang w:eastAsia="de-DE"/>
        </w:rPr>
        <w:t>תורת</w:t>
      </w:r>
      <w:r w:rsidRPr="00195E02">
        <w:rPr>
          <w:rFonts w:eastAsia="Times New Roman" w:cs="Times New Roman"/>
          <w:lang w:eastAsia="de-DE"/>
        </w:rPr>
        <w:t>-Zusammenfassung (V. 32-33) zeigt die systematische Erfassung aller Körperausfluss-Unreinheiten als einheitliches Rechtssystem.</w:t>
      </w:r>
    </w:p>
    <w:p w14:paraId="5E1BD5AC" w14:textId="228398E3" w:rsid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 Verbindung von physiologischem Verständnis, kultischer Praxis und theologischer Begründung demonstriert die Ganzheitlichkeit des biblischen Reinheitssystems, das normale Körperfunktionen in einen umfassenden sakralen Rahmen einordnet.</w:t>
      </w:r>
    </w:p>
    <w:p w14:paraId="2D8D1063" w14:textId="1B8EB6E2" w:rsidR="00523826" w:rsidRPr="00195E02" w:rsidRDefault="00523826" w:rsidP="00195E02">
      <w:pPr>
        <w:spacing w:before="100" w:beforeAutospacing="1" w:after="100" w:afterAutospacing="1" w:line="240" w:lineRule="auto"/>
        <w:rPr>
          <w:rFonts w:eastAsia="Times New Roman" w:cs="Times New Roman"/>
          <w:lang w:eastAsia="de-DE"/>
        </w:rPr>
      </w:pPr>
      <w:r>
        <w:rPr>
          <w:rStyle w:val="Fett"/>
        </w:rPr>
        <w:t>Textkritische Beobachtung</w:t>
      </w:r>
      <w:r>
        <w:t xml:space="preserve">: Levitikus 15 zeigt in der LXX eine bemerkenswerte medizinische Präzisierung und euphemistische Anpassung. Die griechischen Übersetzer verwendeten etablierte medizinische Terminologie (besonders </w:t>
      </w:r>
      <w:proofErr w:type="spellStart"/>
      <w:r>
        <w:t>γονορρυής</w:t>
      </w:r>
      <w:proofErr w:type="spellEnd"/>
      <w:r>
        <w:t>) und milderten die direkten hebräischen Ausdrücke durch abstraktere oder euphemistische griechische Begriffe. Dies deutet auf eine bewusste Anpassung an griechische Medizin- und Sozialvorstellungen hin, während die rituellen Strukturen beibehalten wurden.</w:t>
      </w:r>
    </w:p>
    <w:p w14:paraId="5F045EE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w:t>
      </w:r>
    </w:p>
    <w:p w14:paraId="45B9C4B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וַיְדַבֵּ֤ר יְהוָה֙ אֶל־מֹשֶׁ֔ה אַחֲרֵ֣י מ֔וֹת שְׁנֵ֖י בְּנֵ֣י אַהֲרֹ֑ן בְּקָרְבָתָ֥ם לִפְנֵי־יְהוָ֖ה וַיָּמֻֽתוּ׃</w:t>
      </w:r>
    </w:p>
    <w:p w14:paraId="02BCA9E7" w14:textId="2DC8C30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der Ewige redete zu Mosche nach dem Tod der zwei Söhne 'Aharons, als sie nahten vor das Angesicht des Ewigen und starben.</w:t>
      </w:r>
    </w:p>
    <w:p w14:paraId="1ACEBB5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E539BEF">
          <v:rect id="_x0000_i1481" style="width:0;height:1.5pt" o:hralign="center" o:hrstd="t" o:hr="t" fillcolor="#a0a0a0" stroked="f"/>
        </w:pict>
      </w:r>
    </w:p>
    <w:p w14:paraId="07F5C9D5" w14:textId="4C5211D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וידבר יהוה אל־משה אחרי מות שני בני אהרן בקרבתם לפני־יהוה וימתו</w:t>
      </w:r>
      <w:r w:rsidRPr="00195E02">
        <w:rPr>
          <w:rFonts w:eastAsia="Times New Roman" w:cs="Times New Roman"/>
          <w:rtl/>
          <w:lang w:eastAsia="de-DE"/>
        </w:rPr>
        <w:t xml:space="preserve"> </w:t>
      </w:r>
      <w:r w:rsidRPr="00195E02">
        <w:rPr>
          <w:rFonts w:eastAsia="Times New Roman" w:cs="Times New Roman"/>
          <w:lang w:eastAsia="de-DE"/>
        </w:rPr>
        <w:t xml:space="preserve">verbindet Kap. 16 explizit mit dem Tod von Nadab und Abihu aus Lev 10,1-2. </w:t>
      </w:r>
      <w:r w:rsidRPr="00195E02">
        <w:rPr>
          <w:rFonts w:eastAsia="Times New Roman" w:cs="Times New Roman"/>
          <w:b/>
          <w:bCs/>
          <w:rtl/>
          <w:lang w:eastAsia="de-DE"/>
        </w:rPr>
        <w:t>וידבר יהוה אל־משה</w:t>
      </w:r>
      <w:r w:rsidRPr="00195E02">
        <w:rPr>
          <w:rFonts w:eastAsia="Times New Roman" w:cs="Times New Roman"/>
          <w:rtl/>
          <w:lang w:eastAsia="de-DE"/>
        </w:rPr>
        <w:t xml:space="preserve"> </w:t>
      </w:r>
      <w:r w:rsidRPr="00195E02">
        <w:rPr>
          <w:rFonts w:eastAsia="Times New Roman" w:cs="Times New Roman"/>
          <w:lang w:eastAsia="de-DE"/>
        </w:rPr>
        <w:t xml:space="preserve">(und der </w:t>
      </w:r>
      <w:r w:rsidR="004603C6">
        <w:rPr>
          <w:rFonts w:eastAsia="Times New Roman" w:cs="Times New Roman"/>
          <w:lang w:eastAsia="de-DE"/>
        </w:rPr>
        <w:t>Ewige</w:t>
      </w:r>
      <w:r w:rsidRPr="00195E02">
        <w:rPr>
          <w:rFonts w:eastAsia="Times New Roman" w:cs="Times New Roman"/>
          <w:lang w:eastAsia="de-DE"/>
        </w:rPr>
        <w:t xml:space="preserve"> redete zu Mose) als Standardeinleitung. </w:t>
      </w:r>
      <w:r w:rsidRPr="00195E02">
        <w:rPr>
          <w:rFonts w:eastAsia="Times New Roman" w:cs="Times New Roman"/>
          <w:b/>
          <w:bCs/>
          <w:rtl/>
          <w:lang w:eastAsia="de-DE"/>
        </w:rPr>
        <w:t>אחרי מות שני בני אהרן</w:t>
      </w:r>
      <w:r w:rsidRPr="00195E02">
        <w:rPr>
          <w:rFonts w:eastAsia="Times New Roman" w:cs="Times New Roman"/>
          <w:rtl/>
          <w:lang w:eastAsia="de-DE"/>
        </w:rPr>
        <w:t xml:space="preserve"> </w:t>
      </w:r>
      <w:r w:rsidRPr="00195E02">
        <w:rPr>
          <w:rFonts w:eastAsia="Times New Roman" w:cs="Times New Roman"/>
          <w:lang w:eastAsia="de-DE"/>
        </w:rPr>
        <w:t>(nach dem Tod der zwei Söhne Aarons) zeigt den zeitlichen und thematischen Bezug zu Lev 10.</w:t>
      </w:r>
    </w:p>
    <w:p w14:paraId="7B4CB6F5" w14:textId="5634D6C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בקרבתם לפני־יהוה וימתו</w:t>
      </w:r>
      <w:r w:rsidRPr="00195E02">
        <w:rPr>
          <w:rFonts w:eastAsia="Times New Roman" w:cs="Times New Roman"/>
          <w:rtl/>
          <w:lang w:eastAsia="de-DE"/>
        </w:rPr>
        <w:t xml:space="preserve"> </w:t>
      </w:r>
      <w:r w:rsidRPr="00195E02">
        <w:rPr>
          <w:rFonts w:eastAsia="Times New Roman" w:cs="Times New Roman"/>
          <w:lang w:eastAsia="de-DE"/>
        </w:rPr>
        <w:t xml:space="preserve">(als sie vor den </w:t>
      </w:r>
      <w:r w:rsidR="004603C6">
        <w:rPr>
          <w:rFonts w:eastAsia="Times New Roman" w:cs="Times New Roman"/>
          <w:lang w:eastAsia="de-DE"/>
        </w:rPr>
        <w:t>Ewigen</w:t>
      </w:r>
      <w:r w:rsidRPr="00195E02">
        <w:rPr>
          <w:rFonts w:eastAsia="Times New Roman" w:cs="Times New Roman"/>
          <w:lang w:eastAsia="de-DE"/>
        </w:rPr>
        <w:t xml:space="preserve"> nahten und starben) - </w:t>
      </w:r>
      <w:r w:rsidRPr="00195E02">
        <w:rPr>
          <w:rFonts w:eastAsia="Times New Roman" w:cs="Times New Roman"/>
          <w:b/>
          <w:bCs/>
          <w:rtl/>
          <w:lang w:eastAsia="de-DE"/>
        </w:rPr>
        <w:t>בקרבתם</w:t>
      </w:r>
      <w:r w:rsidRPr="00195E02">
        <w:rPr>
          <w:rFonts w:eastAsia="Times New Roman" w:cs="Times New Roman"/>
          <w:rtl/>
          <w:lang w:eastAsia="de-DE"/>
        </w:rPr>
        <w:t xml:space="preserve"> </w:t>
      </w:r>
      <w:r w:rsidRPr="00195E02">
        <w:rPr>
          <w:rFonts w:eastAsia="Times New Roman" w:cs="Times New Roman"/>
          <w:lang w:eastAsia="de-DE"/>
        </w:rPr>
        <w:t>(als sie nahten) im Qal-Infinitiv-</w:t>
      </w:r>
      <w:r w:rsidR="005407E2">
        <w:rPr>
          <w:rFonts w:eastAsia="Times New Roman" w:cs="Times New Roman"/>
          <w:lang w:eastAsia="de-DE"/>
        </w:rPr>
        <w:t>Constructus</w:t>
      </w:r>
      <w:r w:rsidRPr="00195E02">
        <w:rPr>
          <w:rFonts w:eastAsia="Times New Roman" w:cs="Times New Roman"/>
          <w:lang w:eastAsia="de-DE"/>
        </w:rPr>
        <w:t xml:space="preserve"> von </w:t>
      </w:r>
      <w:r w:rsidRPr="00195E02">
        <w:rPr>
          <w:rFonts w:eastAsia="Times New Roman" w:cs="Times New Roman"/>
          <w:b/>
          <w:bCs/>
          <w:rtl/>
          <w:lang w:eastAsia="de-DE"/>
        </w:rPr>
        <w:t>קרב</w:t>
      </w:r>
      <w:r w:rsidRPr="00195E02">
        <w:rPr>
          <w:rFonts w:eastAsia="Times New Roman" w:cs="Times New Roman"/>
          <w:lang w:eastAsia="de-DE"/>
        </w:rPr>
        <w:t xml:space="preserve">, </w:t>
      </w:r>
      <w:r w:rsidRPr="00195E02">
        <w:rPr>
          <w:rFonts w:eastAsia="Times New Roman" w:cs="Times New Roman"/>
          <w:b/>
          <w:bCs/>
          <w:rtl/>
          <w:lang w:eastAsia="de-DE"/>
        </w:rPr>
        <w:t>לפני־יהוה</w:t>
      </w:r>
      <w:r w:rsidRPr="00195E02">
        <w:rPr>
          <w:rFonts w:eastAsia="Times New Roman" w:cs="Times New Roman"/>
          <w:rtl/>
          <w:lang w:eastAsia="de-DE"/>
        </w:rPr>
        <w:t xml:space="preserve"> </w:t>
      </w:r>
      <w:r w:rsidRPr="00195E02">
        <w:rPr>
          <w:rFonts w:eastAsia="Times New Roman" w:cs="Times New Roman"/>
          <w:lang w:eastAsia="de-DE"/>
        </w:rPr>
        <w:t xml:space="preserve">(vor den </w:t>
      </w:r>
      <w:r w:rsidR="004603C6">
        <w:rPr>
          <w:rFonts w:eastAsia="Times New Roman" w:cs="Times New Roman"/>
          <w:lang w:eastAsia="de-DE"/>
        </w:rPr>
        <w:t>Ewigen</w:t>
      </w:r>
      <w:r w:rsidRPr="00195E02">
        <w:rPr>
          <w:rFonts w:eastAsia="Times New Roman" w:cs="Times New Roman"/>
          <w:lang w:eastAsia="de-DE"/>
        </w:rPr>
        <w:t xml:space="preserve">) zeigt den heiligen Bereich, </w:t>
      </w:r>
      <w:r w:rsidRPr="00195E02">
        <w:rPr>
          <w:rFonts w:eastAsia="Times New Roman" w:cs="Times New Roman"/>
          <w:b/>
          <w:bCs/>
          <w:rtl/>
          <w:lang w:eastAsia="de-DE"/>
        </w:rPr>
        <w:t>וימתו</w:t>
      </w:r>
      <w:r w:rsidRPr="00195E02">
        <w:rPr>
          <w:rFonts w:eastAsia="Times New Roman" w:cs="Times New Roman"/>
          <w:rtl/>
          <w:lang w:eastAsia="de-DE"/>
        </w:rPr>
        <w:t xml:space="preserve"> </w:t>
      </w:r>
      <w:r w:rsidRPr="00195E02">
        <w:rPr>
          <w:rFonts w:eastAsia="Times New Roman" w:cs="Times New Roman"/>
          <w:lang w:eastAsia="de-DE"/>
        </w:rPr>
        <w:t>(und sie starben) erinnert an die tödliche Konsequenz unbefugten Heiligtumszutritts.</w:t>
      </w:r>
    </w:p>
    <w:p w14:paraId="4913D94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אחרי מות</w:t>
      </w:r>
      <w:r w:rsidRPr="00195E02">
        <w:rPr>
          <w:rFonts w:eastAsia="Times New Roman" w:cs="Times New Roman"/>
          <w:rtl/>
          <w:lang w:eastAsia="de-DE"/>
        </w:rPr>
        <w:t xml:space="preserve"> </w:t>
      </w:r>
      <w:r w:rsidRPr="00195E02">
        <w:rPr>
          <w:rFonts w:eastAsia="Times New Roman" w:cs="Times New Roman"/>
          <w:lang w:eastAsia="de-DE"/>
        </w:rPr>
        <w:t xml:space="preserve">etabliert den Jom Kippur als Antwort auf die Heiligtumskrise von Lev 10. </w:t>
      </w:r>
      <w:r w:rsidRPr="00195E02">
        <w:rPr>
          <w:rFonts w:eastAsia="Times New Roman" w:cs="Times New Roman"/>
          <w:b/>
          <w:bCs/>
          <w:rtl/>
          <w:lang w:eastAsia="de-DE"/>
        </w:rPr>
        <w:t>בקרבתם לפני־יהוה</w:t>
      </w:r>
      <w:r w:rsidRPr="00195E02">
        <w:rPr>
          <w:rFonts w:eastAsia="Times New Roman" w:cs="Times New Roman"/>
          <w:rtl/>
          <w:lang w:eastAsia="de-DE"/>
        </w:rPr>
        <w:t xml:space="preserve"> </w:t>
      </w:r>
      <w:r w:rsidRPr="00195E02">
        <w:rPr>
          <w:rFonts w:eastAsia="Times New Roman" w:cs="Times New Roman"/>
          <w:lang w:eastAsia="de-DE"/>
        </w:rPr>
        <w:t xml:space="preserve">zeigt das Problem: unkontrollierte Annäherung an JHWH. </w:t>
      </w:r>
      <w:r w:rsidRPr="00195E02">
        <w:rPr>
          <w:rFonts w:eastAsia="Times New Roman" w:cs="Times New Roman"/>
          <w:b/>
          <w:bCs/>
          <w:rtl/>
          <w:lang w:eastAsia="de-DE"/>
        </w:rPr>
        <w:t>וימתו</w:t>
      </w:r>
      <w:r w:rsidRPr="00195E02">
        <w:rPr>
          <w:rFonts w:eastAsia="Times New Roman" w:cs="Times New Roman"/>
          <w:rtl/>
          <w:lang w:eastAsia="de-DE"/>
        </w:rPr>
        <w:t xml:space="preserve"> </w:t>
      </w:r>
      <w:r w:rsidRPr="00195E02">
        <w:rPr>
          <w:rFonts w:eastAsia="Times New Roman" w:cs="Times New Roman"/>
          <w:lang w:eastAsia="de-DE"/>
        </w:rPr>
        <w:t>unterstreicht die tödliche Gefahr unbefugten Heiligtumszutritts.</w:t>
      </w:r>
    </w:p>
    <w:p w14:paraId="19825D05" w14:textId="2AE9AE6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E705C5">
        <w:t xml:space="preserve">fügt eine erklärende Expansion hinzu: </w:t>
      </w:r>
      <w:proofErr w:type="spellStart"/>
      <w:r w:rsidR="00E705C5">
        <w:t>ἐν</w:t>
      </w:r>
      <w:proofErr w:type="spellEnd"/>
      <w:r w:rsidR="00E705C5">
        <w:t xml:space="preserve"> </w:t>
      </w:r>
      <w:proofErr w:type="spellStart"/>
      <w:r w:rsidR="00E705C5">
        <w:t>τῷ</w:t>
      </w:r>
      <w:proofErr w:type="spellEnd"/>
      <w:r w:rsidR="00E705C5">
        <w:t xml:space="preserve"> π</w:t>
      </w:r>
      <w:proofErr w:type="spellStart"/>
      <w:r w:rsidR="00E705C5">
        <w:t>ροσάγειν</w:t>
      </w:r>
      <w:proofErr w:type="spellEnd"/>
      <w:r w:rsidR="00E705C5">
        <w:t xml:space="preserve"> α</w:t>
      </w:r>
      <w:proofErr w:type="spellStart"/>
      <w:r w:rsidR="00E705C5">
        <w:t>ὐτοὺς</w:t>
      </w:r>
      <w:proofErr w:type="spellEnd"/>
      <w:r w:rsidR="00E705C5">
        <w:t xml:space="preserve"> π</w:t>
      </w:r>
      <w:proofErr w:type="spellStart"/>
      <w:r w:rsidR="00E705C5">
        <w:t>ῦρ</w:t>
      </w:r>
      <w:proofErr w:type="spellEnd"/>
      <w:r w:rsidR="00E705C5">
        <w:t xml:space="preserve"> </w:t>
      </w:r>
      <w:proofErr w:type="spellStart"/>
      <w:r w:rsidR="00E705C5">
        <w:t>ἀλλότριον</w:t>
      </w:r>
      <w:proofErr w:type="spellEnd"/>
      <w:r w:rsidR="00E705C5">
        <w:t xml:space="preserve"> </w:t>
      </w:r>
      <w:proofErr w:type="spellStart"/>
      <w:r w:rsidR="00E705C5">
        <w:t>ἔν</w:t>
      </w:r>
      <w:proofErr w:type="spellEnd"/>
      <w:r w:rsidR="00E705C5">
        <w:t xml:space="preserve">αντι </w:t>
      </w:r>
      <w:proofErr w:type="spellStart"/>
      <w:r w:rsidR="00E705C5">
        <w:t>κυρίου</w:t>
      </w:r>
      <w:proofErr w:type="spellEnd"/>
      <w:r w:rsidR="00E705C5">
        <w:t xml:space="preserve"> (indem sie fremdes Feuer vor dem Herrn darbrachten), was den Bezug zu Levitikus 10:1-2 explizit macht, während das hebräische </w:t>
      </w:r>
      <w:r w:rsidR="00E705C5">
        <w:rPr>
          <w:rtl/>
        </w:rPr>
        <w:t>בקרבתם לפני־יהוה ויםמתו</w:t>
      </w:r>
      <w:r w:rsidR="00E705C5">
        <w:t xml:space="preserve"> eher allgemein bleibt.</w:t>
      </w:r>
    </w:p>
    <w:p w14:paraId="39374A7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thematische Einleitung: Offenbarungsformel + zeitlicher Bezug + Todesursache. Die Struktur verbindet das Jom Kippur-Ritual mit der Heiligtumskrise.</w:t>
      </w:r>
    </w:p>
    <w:p w14:paraId="1930227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den Jom Kippur als göttliche Antwort auf die Heiligtumskrise durch den Tod von Nadab und Abihu.</w:t>
      </w:r>
    </w:p>
    <w:p w14:paraId="66A7701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16,2</w:t>
      </w:r>
    </w:p>
    <w:p w14:paraId="4084376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וַיֹּ֨אמֶר יְהוָ֜ה אֶל־מֹשֶׁ֗ה דַּבֵּר֮ אֶל־אַהֲרֹ֣ן אָחִיךָ֒ וְאַל־יָבֹ֤א בְכָל־עֵת֙ אֶל־הַקֹּ֔דֶשׁ מִבֵּ֖ית לַפָּרֹ֑כֶת אֶל־פְּנֵ֨י הַכַּפֹּ֜רֶת אֲשֶׁ֤ר עַל־הָאָרֹן֙ וְלֹ֣א יָמ֔וּת כִּ֚י בֶּֽעָנָ֔ן אֵרָאֶ֖ה עַל־הַכַּפֹּֽרֶת׃</w:t>
      </w:r>
    </w:p>
    <w:p w14:paraId="2B4DB5AC" w14:textId="1ACA952C"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der Ewige sprach zu Mosche: Rede zu 'Aharon, deinem Bruder, dass er nicht zu jeder Zeit in das Heiligtum komme hinter den Vorhang vor den Sühnedeckel, der auf der Lade ist, damit er nicht sterbe; denn in der Wolke erscheine ich über dem Sühnedeckel.</w:t>
      </w:r>
    </w:p>
    <w:p w14:paraId="5F3F3FC1"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891E908">
          <v:rect id="_x0000_i1482" style="width:0;height:1.5pt" o:hralign="center" o:hrstd="t" o:hr="t" fillcolor="#a0a0a0" stroked="f"/>
        </w:pict>
      </w:r>
    </w:p>
    <w:p w14:paraId="187DB8C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ויאמר יהוה אל־משה דבר אל־אהרן אחיך ואל־יבא בכל־עת אל־הקדש מבית לפרכת אל־פני הכפרת אשר על־הארן ולא ימות כי בענן אראה על־הכפרת</w:t>
      </w:r>
      <w:r w:rsidRPr="00195E02">
        <w:rPr>
          <w:rFonts w:eastAsia="Times New Roman" w:cs="Times New Roman"/>
          <w:rtl/>
          <w:lang w:eastAsia="de-DE"/>
        </w:rPr>
        <w:t xml:space="preserve"> </w:t>
      </w:r>
      <w:r w:rsidRPr="00195E02">
        <w:rPr>
          <w:rFonts w:eastAsia="Times New Roman" w:cs="Times New Roman"/>
          <w:lang w:eastAsia="de-DE"/>
        </w:rPr>
        <w:t xml:space="preserve">etabliert die Zutrittsbeschränkung zum Allerheiligsten. </w:t>
      </w:r>
      <w:r w:rsidRPr="00195E02">
        <w:rPr>
          <w:rFonts w:eastAsia="Times New Roman" w:cs="Times New Roman"/>
          <w:b/>
          <w:bCs/>
          <w:rtl/>
          <w:lang w:eastAsia="de-DE"/>
        </w:rPr>
        <w:t>דבר אל־אהרן אחיך</w:t>
      </w:r>
      <w:r w:rsidRPr="00195E02">
        <w:rPr>
          <w:rFonts w:eastAsia="Times New Roman" w:cs="Times New Roman"/>
          <w:rtl/>
          <w:lang w:eastAsia="de-DE"/>
        </w:rPr>
        <w:t xml:space="preserve"> </w:t>
      </w:r>
      <w:r w:rsidRPr="00195E02">
        <w:rPr>
          <w:rFonts w:eastAsia="Times New Roman" w:cs="Times New Roman"/>
          <w:lang w:eastAsia="de-DE"/>
        </w:rPr>
        <w:t xml:space="preserve">(rede zu Aaron, deinem Bruder) zeigt die Dringlichkeit der Warnung. </w:t>
      </w:r>
      <w:r w:rsidRPr="00195E02">
        <w:rPr>
          <w:rFonts w:eastAsia="Times New Roman" w:cs="Times New Roman"/>
          <w:b/>
          <w:bCs/>
          <w:rtl/>
          <w:lang w:eastAsia="de-DE"/>
        </w:rPr>
        <w:t>ואל־יבא בכל־עת אל־הקדש</w:t>
      </w:r>
      <w:r w:rsidRPr="00195E02">
        <w:rPr>
          <w:rFonts w:eastAsia="Times New Roman" w:cs="Times New Roman"/>
          <w:rtl/>
          <w:lang w:eastAsia="de-DE"/>
        </w:rPr>
        <w:t xml:space="preserve"> </w:t>
      </w:r>
      <w:r w:rsidRPr="00195E02">
        <w:rPr>
          <w:rFonts w:eastAsia="Times New Roman" w:cs="Times New Roman"/>
          <w:lang w:eastAsia="de-DE"/>
        </w:rPr>
        <w:t xml:space="preserve">(dass er nicht zu jeder Zeit in das Heiligtum komme) - </w:t>
      </w:r>
      <w:r w:rsidRPr="00195E02">
        <w:rPr>
          <w:rFonts w:eastAsia="Times New Roman" w:cs="Times New Roman"/>
          <w:b/>
          <w:bCs/>
          <w:rtl/>
          <w:lang w:eastAsia="de-DE"/>
        </w:rPr>
        <w:t>אל־יבא</w:t>
      </w:r>
      <w:r w:rsidRPr="00195E02">
        <w:rPr>
          <w:rFonts w:eastAsia="Times New Roman" w:cs="Times New Roman"/>
          <w:rtl/>
          <w:lang w:eastAsia="de-DE"/>
        </w:rPr>
        <w:t xml:space="preserve"> </w:t>
      </w:r>
      <w:r w:rsidRPr="00195E02">
        <w:rPr>
          <w:rFonts w:eastAsia="Times New Roman" w:cs="Times New Roman"/>
          <w:lang w:eastAsia="de-DE"/>
        </w:rPr>
        <w:t xml:space="preserve">(er soll nicht kommen) mit Verbot, </w:t>
      </w:r>
      <w:r w:rsidRPr="00195E02">
        <w:rPr>
          <w:rFonts w:eastAsia="Times New Roman" w:cs="Times New Roman"/>
          <w:b/>
          <w:bCs/>
          <w:rtl/>
          <w:lang w:eastAsia="de-DE"/>
        </w:rPr>
        <w:t>בכל־עת</w:t>
      </w:r>
      <w:r w:rsidRPr="00195E02">
        <w:rPr>
          <w:rFonts w:eastAsia="Times New Roman" w:cs="Times New Roman"/>
          <w:rtl/>
          <w:lang w:eastAsia="de-DE"/>
        </w:rPr>
        <w:t xml:space="preserve"> </w:t>
      </w:r>
      <w:r w:rsidRPr="00195E02">
        <w:rPr>
          <w:rFonts w:eastAsia="Times New Roman" w:cs="Times New Roman"/>
          <w:lang w:eastAsia="de-DE"/>
        </w:rPr>
        <w:t>(zu jeder Zeit) zeigt uneingeschränktes Verbot.</w:t>
      </w:r>
    </w:p>
    <w:p w14:paraId="2A25EF07" w14:textId="1B333FF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מבית לפרכת אל־פני הכפרת אשר על־הארן</w:t>
      </w:r>
      <w:r w:rsidRPr="00195E02">
        <w:rPr>
          <w:rFonts w:eastAsia="Times New Roman" w:cs="Times New Roman"/>
          <w:rtl/>
          <w:lang w:eastAsia="de-DE"/>
        </w:rPr>
        <w:t xml:space="preserve"> </w:t>
      </w:r>
      <w:r w:rsidRPr="00195E02">
        <w:rPr>
          <w:rFonts w:eastAsia="Times New Roman" w:cs="Times New Roman"/>
          <w:lang w:eastAsia="de-DE"/>
        </w:rPr>
        <w:t xml:space="preserve">(hinter den Vorhang vor den </w:t>
      </w:r>
      <w:r w:rsidR="004603C6">
        <w:rPr>
          <w:rFonts w:eastAsia="Times New Roman" w:cs="Times New Roman"/>
          <w:lang w:eastAsia="de-DE"/>
        </w:rPr>
        <w:t>Sühnedeckel</w:t>
      </w:r>
      <w:r w:rsidRPr="00195E02">
        <w:rPr>
          <w:rFonts w:eastAsia="Times New Roman" w:cs="Times New Roman"/>
          <w:lang w:eastAsia="de-DE"/>
        </w:rPr>
        <w:t xml:space="preserve">, der auf der Lade ist) spezifiziert das Allerheiligste. </w:t>
      </w:r>
      <w:r w:rsidRPr="00195E02">
        <w:rPr>
          <w:rFonts w:eastAsia="Times New Roman" w:cs="Times New Roman"/>
          <w:b/>
          <w:bCs/>
          <w:rtl/>
          <w:lang w:eastAsia="de-DE"/>
        </w:rPr>
        <w:t>מבית לפרכת</w:t>
      </w:r>
      <w:r w:rsidRPr="00195E02">
        <w:rPr>
          <w:rFonts w:eastAsia="Times New Roman" w:cs="Times New Roman"/>
          <w:rtl/>
          <w:lang w:eastAsia="de-DE"/>
        </w:rPr>
        <w:t xml:space="preserve"> </w:t>
      </w:r>
      <w:r w:rsidRPr="00195E02">
        <w:rPr>
          <w:rFonts w:eastAsia="Times New Roman" w:cs="Times New Roman"/>
          <w:lang w:eastAsia="de-DE"/>
        </w:rPr>
        <w:t xml:space="preserve">(von der Innenseite des Vorhangs), </w:t>
      </w:r>
      <w:r w:rsidRPr="00195E02">
        <w:rPr>
          <w:rFonts w:eastAsia="Times New Roman" w:cs="Times New Roman"/>
          <w:b/>
          <w:bCs/>
          <w:rtl/>
          <w:lang w:eastAsia="de-DE"/>
        </w:rPr>
        <w:t>אל־פני הכפרת</w:t>
      </w:r>
      <w:r w:rsidRPr="00195E02">
        <w:rPr>
          <w:rFonts w:eastAsia="Times New Roman" w:cs="Times New Roman"/>
          <w:rtl/>
          <w:lang w:eastAsia="de-DE"/>
        </w:rPr>
        <w:t xml:space="preserve"> </w:t>
      </w:r>
      <w:r w:rsidRPr="00195E02">
        <w:rPr>
          <w:rFonts w:eastAsia="Times New Roman" w:cs="Times New Roman"/>
          <w:lang w:eastAsia="de-DE"/>
        </w:rPr>
        <w:t xml:space="preserve">(vor den </w:t>
      </w:r>
      <w:r w:rsidR="004603C6">
        <w:rPr>
          <w:rFonts w:eastAsia="Times New Roman" w:cs="Times New Roman"/>
          <w:lang w:eastAsia="de-DE"/>
        </w:rPr>
        <w:t>Sühnedeckel</w:t>
      </w:r>
      <w:r w:rsidRPr="00195E02">
        <w:rPr>
          <w:rFonts w:eastAsia="Times New Roman" w:cs="Times New Roman"/>
          <w:lang w:eastAsia="de-DE"/>
        </w:rPr>
        <w:t xml:space="preserve">), </w:t>
      </w:r>
      <w:r w:rsidRPr="00195E02">
        <w:rPr>
          <w:rFonts w:eastAsia="Times New Roman" w:cs="Times New Roman"/>
          <w:b/>
          <w:bCs/>
          <w:rtl/>
          <w:lang w:eastAsia="de-DE"/>
        </w:rPr>
        <w:t>אשר על־הארן</w:t>
      </w:r>
      <w:r w:rsidRPr="00195E02">
        <w:rPr>
          <w:rFonts w:eastAsia="Times New Roman" w:cs="Times New Roman"/>
          <w:rtl/>
          <w:lang w:eastAsia="de-DE"/>
        </w:rPr>
        <w:t xml:space="preserve"> </w:t>
      </w:r>
      <w:r w:rsidRPr="00195E02">
        <w:rPr>
          <w:rFonts w:eastAsia="Times New Roman" w:cs="Times New Roman"/>
          <w:lang w:eastAsia="de-DE"/>
        </w:rPr>
        <w:t>(der auf der Lade ist) als genaueste Lokalisierung der göttlichen Präsenz.</w:t>
      </w:r>
    </w:p>
    <w:p w14:paraId="0C4F9F63" w14:textId="2611246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ולא ימות כי בענן אראה על־הכפרת</w:t>
      </w:r>
      <w:r w:rsidRPr="00195E02">
        <w:rPr>
          <w:rFonts w:eastAsia="Times New Roman" w:cs="Times New Roman"/>
          <w:rtl/>
          <w:lang w:eastAsia="de-DE"/>
        </w:rPr>
        <w:t xml:space="preserve"> </w:t>
      </w:r>
      <w:r w:rsidRPr="00195E02">
        <w:rPr>
          <w:rFonts w:eastAsia="Times New Roman" w:cs="Times New Roman"/>
          <w:lang w:eastAsia="de-DE"/>
        </w:rPr>
        <w:t xml:space="preserve">(damit er nicht sterbe; denn in der Wolke erscheine ich über dem </w:t>
      </w:r>
      <w:r w:rsidR="004603C6">
        <w:rPr>
          <w:rFonts w:eastAsia="Times New Roman" w:cs="Times New Roman"/>
          <w:lang w:eastAsia="de-DE"/>
        </w:rPr>
        <w:t>Sühnedeckel</w:t>
      </w:r>
      <w:r w:rsidRPr="00195E02">
        <w:rPr>
          <w:rFonts w:eastAsia="Times New Roman" w:cs="Times New Roman"/>
          <w:lang w:eastAsia="de-DE"/>
        </w:rPr>
        <w:t xml:space="preserve">) zeigt Begründung und göttliche Präsenz. </w:t>
      </w:r>
      <w:r w:rsidRPr="00195E02">
        <w:rPr>
          <w:rFonts w:eastAsia="Times New Roman" w:cs="Times New Roman"/>
          <w:b/>
          <w:bCs/>
          <w:rtl/>
          <w:lang w:eastAsia="de-DE"/>
        </w:rPr>
        <w:t>לא ימות</w:t>
      </w:r>
      <w:r w:rsidRPr="00195E02">
        <w:rPr>
          <w:rFonts w:eastAsia="Times New Roman" w:cs="Times New Roman"/>
          <w:rtl/>
          <w:lang w:eastAsia="de-DE"/>
        </w:rPr>
        <w:t xml:space="preserve"> </w:t>
      </w:r>
      <w:r w:rsidRPr="00195E02">
        <w:rPr>
          <w:rFonts w:eastAsia="Times New Roman" w:cs="Times New Roman"/>
          <w:lang w:eastAsia="de-DE"/>
        </w:rPr>
        <w:t xml:space="preserve">(damit er nicht sterbe) als Zweck der Beschränkung, </w:t>
      </w:r>
      <w:r w:rsidRPr="00195E02">
        <w:rPr>
          <w:rFonts w:eastAsia="Times New Roman" w:cs="Times New Roman"/>
          <w:b/>
          <w:bCs/>
          <w:rtl/>
          <w:lang w:eastAsia="de-DE"/>
        </w:rPr>
        <w:t>כי בענן אראה על־הכפרת</w:t>
      </w:r>
      <w:r w:rsidRPr="00195E02">
        <w:rPr>
          <w:rFonts w:eastAsia="Times New Roman" w:cs="Times New Roman"/>
          <w:rtl/>
          <w:lang w:eastAsia="de-DE"/>
        </w:rPr>
        <w:t xml:space="preserve"> </w:t>
      </w:r>
      <w:r w:rsidRPr="00195E02">
        <w:rPr>
          <w:rFonts w:eastAsia="Times New Roman" w:cs="Times New Roman"/>
          <w:lang w:eastAsia="de-DE"/>
        </w:rPr>
        <w:t xml:space="preserve">(denn in der Wolke erscheine ich über dem </w:t>
      </w:r>
      <w:r w:rsidR="004603C6">
        <w:rPr>
          <w:rFonts w:eastAsia="Times New Roman" w:cs="Times New Roman"/>
          <w:lang w:eastAsia="de-DE"/>
        </w:rPr>
        <w:t>Sühnedeckel</w:t>
      </w:r>
      <w:r w:rsidRPr="00195E02">
        <w:rPr>
          <w:rFonts w:eastAsia="Times New Roman" w:cs="Times New Roman"/>
          <w:lang w:eastAsia="de-DE"/>
        </w:rPr>
        <w:t>) begründet die Todesgefahr durch unmittelbare göttliche Präsenz.</w:t>
      </w:r>
    </w:p>
    <w:p w14:paraId="65A2432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בכל־עת</w:t>
      </w:r>
      <w:r w:rsidRPr="00195E02">
        <w:rPr>
          <w:rFonts w:eastAsia="Times New Roman" w:cs="Times New Roman"/>
          <w:rtl/>
          <w:lang w:eastAsia="de-DE"/>
        </w:rPr>
        <w:t xml:space="preserve"> </w:t>
      </w:r>
      <w:r w:rsidRPr="00195E02">
        <w:rPr>
          <w:rFonts w:eastAsia="Times New Roman" w:cs="Times New Roman"/>
          <w:lang w:eastAsia="de-DE"/>
        </w:rPr>
        <w:t xml:space="preserve">zeigt totales Zutrittsverbot ohne geregelte Ausnahme. </w:t>
      </w:r>
      <w:r w:rsidRPr="00195E02">
        <w:rPr>
          <w:rFonts w:eastAsia="Times New Roman" w:cs="Times New Roman"/>
          <w:b/>
          <w:bCs/>
          <w:rtl/>
          <w:lang w:eastAsia="de-DE"/>
        </w:rPr>
        <w:t>הכפרת אשר על־הארן</w:t>
      </w:r>
      <w:r w:rsidRPr="00195E02">
        <w:rPr>
          <w:rFonts w:eastAsia="Times New Roman" w:cs="Times New Roman"/>
          <w:rtl/>
          <w:lang w:eastAsia="de-DE"/>
        </w:rPr>
        <w:t xml:space="preserve"> </w:t>
      </w:r>
      <w:r w:rsidRPr="00195E02">
        <w:rPr>
          <w:rFonts w:eastAsia="Times New Roman" w:cs="Times New Roman"/>
          <w:lang w:eastAsia="de-DE"/>
        </w:rPr>
        <w:t xml:space="preserve">als Ort direktester göttlicher Präsenz. </w:t>
      </w:r>
      <w:r w:rsidRPr="00195E02">
        <w:rPr>
          <w:rFonts w:eastAsia="Times New Roman" w:cs="Times New Roman"/>
          <w:b/>
          <w:bCs/>
          <w:rtl/>
          <w:lang w:eastAsia="de-DE"/>
        </w:rPr>
        <w:t>בענן אראה</w:t>
      </w:r>
      <w:r w:rsidRPr="00195E02">
        <w:rPr>
          <w:rFonts w:eastAsia="Times New Roman" w:cs="Times New Roman"/>
          <w:rtl/>
          <w:lang w:eastAsia="de-DE"/>
        </w:rPr>
        <w:t xml:space="preserve"> </w:t>
      </w:r>
      <w:r w:rsidRPr="00195E02">
        <w:rPr>
          <w:rFonts w:eastAsia="Times New Roman" w:cs="Times New Roman"/>
          <w:lang w:eastAsia="de-DE"/>
        </w:rPr>
        <w:t>zeigt sichtbare göttliche Manifestation.</w:t>
      </w:r>
    </w:p>
    <w:p w14:paraId="1CF6ECC3" w14:textId="7395E916"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w:t>
      </w:r>
      <w:r w:rsidR="00E705C5">
        <w:t xml:space="preserve">übersetzt </w:t>
      </w:r>
      <w:r w:rsidR="00E705C5">
        <w:rPr>
          <w:rtl/>
        </w:rPr>
        <w:t>כפרת</w:t>
      </w:r>
      <w:r w:rsidR="00E705C5">
        <w:t xml:space="preserve"> (</w:t>
      </w:r>
      <w:proofErr w:type="spellStart"/>
      <w:r w:rsidR="00E705C5">
        <w:t>kapporet</w:t>
      </w:r>
      <w:proofErr w:type="spellEnd"/>
      <w:r w:rsidR="00E705C5">
        <w:t xml:space="preserve"> - "Sühndeckel") konsequent als </w:t>
      </w:r>
      <w:proofErr w:type="spellStart"/>
      <w:r w:rsidR="00E705C5">
        <w:t>ἱλ</w:t>
      </w:r>
      <w:proofErr w:type="spellEnd"/>
      <w:r w:rsidR="00E705C5">
        <w:t xml:space="preserve">αστήριον (Sühneort), was zum zentralen theologischen Begriff der griechischen Bibel wird. Das hebräische </w:t>
      </w:r>
      <w:r w:rsidR="00E705C5">
        <w:rPr>
          <w:rtl/>
        </w:rPr>
        <w:t>בענן אראה</w:t>
      </w:r>
      <w:r w:rsidR="00E705C5">
        <w:t xml:space="preserve"> (</w:t>
      </w:r>
      <w:proofErr w:type="spellStart"/>
      <w:r w:rsidR="00E705C5">
        <w:t>be'anan</w:t>
      </w:r>
      <w:proofErr w:type="spellEnd"/>
      <w:r w:rsidR="00E705C5">
        <w:t xml:space="preserve"> </w:t>
      </w:r>
      <w:proofErr w:type="spellStart"/>
      <w:r w:rsidR="00E705C5">
        <w:t>era'eh</w:t>
      </w:r>
      <w:proofErr w:type="spellEnd"/>
      <w:r w:rsidR="00E705C5">
        <w:t xml:space="preserve"> - "in der Wolke erscheine ich") wird als </w:t>
      </w:r>
      <w:proofErr w:type="spellStart"/>
      <w:r w:rsidR="00E705C5">
        <w:t>ἐν</w:t>
      </w:r>
      <w:proofErr w:type="spellEnd"/>
      <w:r w:rsidR="00E705C5">
        <w:t xml:space="preserve"> </w:t>
      </w:r>
      <w:proofErr w:type="spellStart"/>
      <w:r w:rsidR="00E705C5">
        <w:t>γὰρ</w:t>
      </w:r>
      <w:proofErr w:type="spellEnd"/>
      <w:r w:rsidR="00E705C5">
        <w:t xml:space="preserve"> </w:t>
      </w:r>
      <w:proofErr w:type="spellStart"/>
      <w:r w:rsidR="00E705C5">
        <w:t>νεφέλῃ</w:t>
      </w:r>
      <w:proofErr w:type="spellEnd"/>
      <w:r w:rsidR="00E705C5">
        <w:t xml:space="preserve"> </w:t>
      </w:r>
      <w:proofErr w:type="spellStart"/>
      <w:r w:rsidR="00E705C5">
        <w:t>ὀφθήσομ</w:t>
      </w:r>
      <w:proofErr w:type="spellEnd"/>
      <w:r w:rsidR="00E705C5">
        <w:t>αι (denn in der Wolke werde ich erscheinen) wiedergegeben.</w:t>
      </w:r>
    </w:p>
    <w:p w14:paraId="47E5B42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Schutzanweisung: Weitergabeauftrag + Zutrittsverbot + Ortsangabe + Todesverhinderung + göttliche Präsenzbegründung. Die Struktur etabliert kontrollierte Heiligtumszugänglichkeit.</w:t>
      </w:r>
    </w:p>
    <w:p w14:paraId="523D28A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das grundsätzliche Verbot des willkürlichen Zutritts zum Allerheiligsten wegen der direkten göttlichen Präsenz.</w:t>
      </w:r>
    </w:p>
    <w:p w14:paraId="0F4DDC3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16,3</w:t>
      </w:r>
    </w:p>
    <w:p w14:paraId="39054D3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בְּזֹ֛את יָבֹ֥א אַהֲרֹ֖ן אֶל־הַקֹּ֑דֶשׁ בְּפַ֧ר בֶּן־בָּקָ֛ר לְחַטָּ֖את וְאַ֥יִל לְעֹלָֽה׃</w:t>
      </w:r>
    </w:p>
    <w:p w14:paraId="1B703C21" w14:textId="185EECD4"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Mit diesem soll 'Aharon in das Heiligtum kommen: mit einem Stier, Sohn des Rindes zum Sündopfer und einem Widder zum Aufsteigeopfer.</w:t>
      </w:r>
    </w:p>
    <w:p w14:paraId="3BBF8F3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0A59D24">
          <v:rect id="_x0000_i1483" style="width:0;height:1.5pt" o:hralign="center" o:hrstd="t" o:hr="t" fillcolor="#a0a0a0" stroked="f"/>
        </w:pict>
      </w:r>
    </w:p>
    <w:p w14:paraId="3EE5E08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בזאת יבא אהרן אל־הקדש בפר בן־בקר לחטאת ואיל לעלה</w:t>
      </w:r>
      <w:r w:rsidRPr="00195E02">
        <w:rPr>
          <w:rFonts w:eastAsia="Times New Roman" w:cs="Times New Roman"/>
          <w:rtl/>
          <w:lang w:eastAsia="de-DE"/>
        </w:rPr>
        <w:t xml:space="preserve"> </w:t>
      </w:r>
      <w:r w:rsidRPr="00195E02">
        <w:rPr>
          <w:rFonts w:eastAsia="Times New Roman" w:cs="Times New Roman"/>
          <w:lang w:eastAsia="de-DE"/>
        </w:rPr>
        <w:t xml:space="preserve">zeigt die einzige erlaubte Art des Heiligtumszutritts. </w:t>
      </w:r>
      <w:r w:rsidRPr="00195E02">
        <w:rPr>
          <w:rFonts w:eastAsia="Times New Roman" w:cs="Times New Roman"/>
          <w:b/>
          <w:bCs/>
          <w:rtl/>
          <w:lang w:eastAsia="de-DE"/>
        </w:rPr>
        <w:t>בזאת יבא אהרן אל־הקדש</w:t>
      </w:r>
      <w:r w:rsidRPr="00195E02">
        <w:rPr>
          <w:rFonts w:eastAsia="Times New Roman" w:cs="Times New Roman"/>
          <w:rtl/>
          <w:lang w:eastAsia="de-DE"/>
        </w:rPr>
        <w:t xml:space="preserve"> </w:t>
      </w:r>
      <w:r w:rsidRPr="00195E02">
        <w:rPr>
          <w:rFonts w:eastAsia="Times New Roman" w:cs="Times New Roman"/>
          <w:lang w:eastAsia="de-DE"/>
        </w:rPr>
        <w:t xml:space="preserve">(mit diesem soll Aaron in das Heiligtum kommen) - </w:t>
      </w:r>
      <w:r w:rsidRPr="00195E02">
        <w:rPr>
          <w:rFonts w:eastAsia="Times New Roman" w:cs="Times New Roman"/>
          <w:b/>
          <w:bCs/>
          <w:rtl/>
          <w:lang w:eastAsia="de-DE"/>
        </w:rPr>
        <w:t>בזאת</w:t>
      </w:r>
      <w:r w:rsidRPr="00195E02">
        <w:rPr>
          <w:rFonts w:eastAsia="Times New Roman" w:cs="Times New Roman"/>
          <w:rtl/>
          <w:lang w:eastAsia="de-DE"/>
        </w:rPr>
        <w:t xml:space="preserve"> </w:t>
      </w:r>
      <w:r w:rsidRPr="00195E02">
        <w:rPr>
          <w:rFonts w:eastAsia="Times New Roman" w:cs="Times New Roman"/>
          <w:lang w:eastAsia="de-DE"/>
        </w:rPr>
        <w:t>(mit diesem) zeigt die Bedingungen für legitimen Zutritt im Gegensatz zum Verbot aus V. 2.</w:t>
      </w:r>
    </w:p>
    <w:p w14:paraId="13E4B4E7" w14:textId="0A7937BC"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בפר בן־בקר לחטאת ואיל לעלה</w:t>
      </w:r>
      <w:r w:rsidRPr="00195E02">
        <w:rPr>
          <w:rFonts w:eastAsia="Times New Roman" w:cs="Times New Roman"/>
          <w:rtl/>
          <w:lang w:eastAsia="de-DE"/>
        </w:rPr>
        <w:t xml:space="preserve"> </w:t>
      </w:r>
      <w:r w:rsidRPr="00195E02">
        <w:rPr>
          <w:rFonts w:eastAsia="Times New Roman" w:cs="Times New Roman"/>
          <w:lang w:eastAsia="de-DE"/>
        </w:rPr>
        <w:t xml:space="preserve">(mit einem jungen Stier als Sündopfer und einem Widder als </w:t>
      </w:r>
      <w:r w:rsidR="00CF10E7">
        <w:rPr>
          <w:rFonts w:eastAsia="Times New Roman" w:cs="Times New Roman"/>
          <w:lang w:eastAsia="de-DE"/>
        </w:rPr>
        <w:t>Aufsteigeopfer</w:t>
      </w:r>
      <w:r w:rsidRPr="00195E02">
        <w:rPr>
          <w:rFonts w:eastAsia="Times New Roman" w:cs="Times New Roman"/>
          <w:lang w:eastAsia="de-DE"/>
        </w:rPr>
        <w:t xml:space="preserve">) spezifiziert die erforderlichen Opfertiere. </w:t>
      </w:r>
      <w:r w:rsidRPr="00195E02">
        <w:rPr>
          <w:rFonts w:eastAsia="Times New Roman" w:cs="Times New Roman"/>
          <w:b/>
          <w:bCs/>
          <w:rtl/>
          <w:lang w:eastAsia="de-DE"/>
        </w:rPr>
        <w:t>פר בן־בקר</w:t>
      </w:r>
      <w:r w:rsidRPr="00195E02">
        <w:rPr>
          <w:rFonts w:eastAsia="Times New Roman" w:cs="Times New Roman"/>
          <w:rtl/>
          <w:lang w:eastAsia="de-DE"/>
        </w:rPr>
        <w:t xml:space="preserve"> </w:t>
      </w:r>
      <w:r w:rsidRPr="00195E02">
        <w:rPr>
          <w:rFonts w:eastAsia="Times New Roman" w:cs="Times New Roman"/>
          <w:lang w:eastAsia="de-DE"/>
        </w:rPr>
        <w:t xml:space="preserve">(junger Stier) als wertvollstes Opfertier, </w:t>
      </w:r>
      <w:r w:rsidRPr="00195E02">
        <w:rPr>
          <w:rFonts w:eastAsia="Times New Roman" w:cs="Times New Roman"/>
          <w:b/>
          <w:bCs/>
          <w:rtl/>
          <w:lang w:eastAsia="de-DE"/>
        </w:rPr>
        <w:t>לחטאת</w:t>
      </w:r>
      <w:r w:rsidRPr="00195E02">
        <w:rPr>
          <w:rFonts w:eastAsia="Times New Roman" w:cs="Times New Roman"/>
          <w:rtl/>
          <w:lang w:eastAsia="de-DE"/>
        </w:rPr>
        <w:t xml:space="preserve"> </w:t>
      </w:r>
      <w:r w:rsidRPr="00195E02">
        <w:rPr>
          <w:rFonts w:eastAsia="Times New Roman" w:cs="Times New Roman"/>
          <w:lang w:eastAsia="de-DE"/>
        </w:rPr>
        <w:t xml:space="preserve">(als Sündopfer) zeigt Sühnezweck, </w:t>
      </w:r>
      <w:r w:rsidRPr="00195E02">
        <w:rPr>
          <w:rFonts w:eastAsia="Times New Roman" w:cs="Times New Roman"/>
          <w:b/>
          <w:bCs/>
          <w:rtl/>
          <w:lang w:eastAsia="de-DE"/>
        </w:rPr>
        <w:t>איל לעלה</w:t>
      </w:r>
      <w:r w:rsidRPr="00195E02">
        <w:rPr>
          <w:rFonts w:eastAsia="Times New Roman" w:cs="Times New Roman"/>
          <w:rtl/>
          <w:lang w:eastAsia="de-DE"/>
        </w:rPr>
        <w:t xml:space="preserve"> </w:t>
      </w:r>
      <w:r w:rsidRPr="00195E02">
        <w:rPr>
          <w:rFonts w:eastAsia="Times New Roman" w:cs="Times New Roman"/>
          <w:lang w:eastAsia="de-DE"/>
        </w:rPr>
        <w:t xml:space="preserve">(Widder als </w:t>
      </w:r>
      <w:r w:rsidR="00CF10E7">
        <w:rPr>
          <w:rFonts w:eastAsia="Times New Roman" w:cs="Times New Roman"/>
          <w:lang w:eastAsia="de-DE"/>
        </w:rPr>
        <w:t>Aufsteigeopfer</w:t>
      </w:r>
      <w:r w:rsidRPr="00195E02">
        <w:rPr>
          <w:rFonts w:eastAsia="Times New Roman" w:cs="Times New Roman"/>
          <w:lang w:eastAsia="de-DE"/>
        </w:rPr>
        <w:t>) ergänzt das Sühneopfer.</w:t>
      </w:r>
    </w:p>
    <w:p w14:paraId="47FCCB6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בזאת</w:t>
      </w:r>
      <w:r w:rsidRPr="00195E02">
        <w:rPr>
          <w:rFonts w:eastAsia="Times New Roman" w:cs="Times New Roman"/>
          <w:rtl/>
          <w:lang w:eastAsia="de-DE"/>
        </w:rPr>
        <w:t xml:space="preserve"> </w:t>
      </w:r>
      <w:r w:rsidRPr="00195E02">
        <w:rPr>
          <w:rFonts w:eastAsia="Times New Roman" w:cs="Times New Roman"/>
          <w:lang w:eastAsia="de-DE"/>
        </w:rPr>
        <w:t xml:space="preserve">im Gegensatz zu </w:t>
      </w:r>
      <w:r w:rsidRPr="00195E02">
        <w:rPr>
          <w:rFonts w:eastAsia="Times New Roman" w:cs="Times New Roman"/>
          <w:b/>
          <w:bCs/>
          <w:rtl/>
          <w:lang w:eastAsia="de-DE"/>
        </w:rPr>
        <w:t>בכל־עת</w:t>
      </w:r>
      <w:r w:rsidRPr="00195E02">
        <w:rPr>
          <w:rFonts w:eastAsia="Times New Roman" w:cs="Times New Roman"/>
          <w:rtl/>
          <w:lang w:eastAsia="de-DE"/>
        </w:rPr>
        <w:t xml:space="preserve"> </w:t>
      </w:r>
      <w:r w:rsidRPr="00195E02">
        <w:rPr>
          <w:rFonts w:eastAsia="Times New Roman" w:cs="Times New Roman"/>
          <w:lang w:eastAsia="de-DE"/>
        </w:rPr>
        <w:t xml:space="preserve">aus V. 2 zeigt kontrollierte Zugänglichkeit. </w:t>
      </w:r>
      <w:r w:rsidRPr="00195E02">
        <w:rPr>
          <w:rFonts w:eastAsia="Times New Roman" w:cs="Times New Roman"/>
          <w:b/>
          <w:bCs/>
          <w:rtl/>
          <w:lang w:eastAsia="de-DE"/>
        </w:rPr>
        <w:t>פר בן־בקר לחטאת</w:t>
      </w:r>
      <w:r w:rsidRPr="00195E02">
        <w:rPr>
          <w:rFonts w:eastAsia="Times New Roman" w:cs="Times New Roman"/>
          <w:rtl/>
          <w:lang w:eastAsia="de-DE"/>
        </w:rPr>
        <w:t xml:space="preserve"> </w:t>
      </w:r>
      <w:r w:rsidRPr="00195E02">
        <w:rPr>
          <w:rFonts w:eastAsia="Times New Roman" w:cs="Times New Roman"/>
          <w:lang w:eastAsia="de-DE"/>
        </w:rPr>
        <w:t xml:space="preserve">zeigt die Notwendigkeit maximaler Sühne für Heiligtumszutritt. </w:t>
      </w:r>
      <w:r w:rsidRPr="00195E02">
        <w:rPr>
          <w:rFonts w:eastAsia="Times New Roman" w:cs="Times New Roman"/>
          <w:b/>
          <w:bCs/>
          <w:rtl/>
          <w:lang w:eastAsia="de-DE"/>
        </w:rPr>
        <w:t>ואיל לעלה</w:t>
      </w:r>
      <w:r w:rsidRPr="00195E02">
        <w:rPr>
          <w:rFonts w:eastAsia="Times New Roman" w:cs="Times New Roman"/>
          <w:rtl/>
          <w:lang w:eastAsia="de-DE"/>
        </w:rPr>
        <w:t xml:space="preserve"> </w:t>
      </w:r>
      <w:r w:rsidRPr="00195E02">
        <w:rPr>
          <w:rFonts w:eastAsia="Times New Roman" w:cs="Times New Roman"/>
          <w:lang w:eastAsia="de-DE"/>
        </w:rPr>
        <w:t>vervollständigt das Opferprogramm.</w:t>
      </w:r>
    </w:p>
    <w:p w14:paraId="4814CF57" w14:textId="4B715DC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בזאת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οὕτως</w:t>
      </w:r>
      <w:proofErr w:type="spellEnd"/>
      <w:r w:rsidRPr="00195E02">
        <w:rPr>
          <w:rFonts w:eastAsia="Times New Roman" w:cs="Times New Roman"/>
          <w:lang w:eastAsia="de-DE"/>
        </w:rPr>
        <w:t xml:space="preserve"> (so), </w:t>
      </w:r>
      <w:r w:rsidRPr="00195E02">
        <w:rPr>
          <w:rFonts w:eastAsia="Times New Roman" w:cs="Times New Roman"/>
          <w:b/>
          <w:bCs/>
          <w:rtl/>
          <w:lang w:eastAsia="de-DE"/>
        </w:rPr>
        <w:t>פר בן־בקר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μόσχος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ἐκ</w:t>
      </w:r>
      <w:proofErr w:type="spellEnd"/>
      <w:r w:rsidRPr="00195E02">
        <w:rPr>
          <w:rFonts w:eastAsia="Times New Roman" w:cs="Times New Roman"/>
          <w:lang w:eastAsia="de-DE"/>
        </w:rPr>
        <w:t xml:space="preserve"> β</w:t>
      </w:r>
      <w:proofErr w:type="spellStart"/>
      <w:r w:rsidRPr="00195E02">
        <w:rPr>
          <w:rFonts w:eastAsia="Times New Roman" w:cs="Times New Roman"/>
          <w:lang w:eastAsia="de-DE"/>
        </w:rPr>
        <w:t>οῶν</w:t>
      </w:r>
      <w:proofErr w:type="spellEnd"/>
      <w:r w:rsidRPr="00195E02">
        <w:rPr>
          <w:rFonts w:eastAsia="Times New Roman" w:cs="Times New Roman"/>
          <w:lang w:eastAsia="de-DE"/>
        </w:rPr>
        <w:t xml:space="preserve"> (Kalb von Rindern), </w:t>
      </w:r>
      <w:r w:rsidRPr="00195E02">
        <w:rPr>
          <w:rFonts w:eastAsia="Times New Roman" w:cs="Times New Roman"/>
          <w:b/>
          <w:bCs/>
          <w:rtl/>
          <w:lang w:eastAsia="de-DE"/>
        </w:rPr>
        <w:t>לחטאת</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(wegen der Sünde) und </w:t>
      </w:r>
      <w:r w:rsidRPr="00195E02">
        <w:rPr>
          <w:rFonts w:eastAsia="Times New Roman" w:cs="Times New Roman"/>
          <w:b/>
          <w:bCs/>
          <w:rtl/>
          <w:lang w:eastAsia="de-DE"/>
        </w:rPr>
        <w:t>איל לעלה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κριὸς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εἰς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ὁλοκ</w:t>
      </w:r>
      <w:proofErr w:type="spellEnd"/>
      <w:r w:rsidRPr="00195E02">
        <w:rPr>
          <w:rFonts w:eastAsia="Times New Roman" w:cs="Times New Roman"/>
          <w:lang w:eastAsia="de-DE"/>
        </w:rPr>
        <w:t xml:space="preserve">αύτωμα (Widder zum </w:t>
      </w:r>
      <w:r w:rsidR="00CF10E7">
        <w:rPr>
          <w:rFonts w:eastAsia="Times New Roman" w:cs="Times New Roman"/>
          <w:lang w:eastAsia="de-DE"/>
        </w:rPr>
        <w:t>Aufsteigeopfer</w:t>
      </w:r>
      <w:r w:rsidRPr="00195E02">
        <w:rPr>
          <w:rFonts w:eastAsia="Times New Roman" w:cs="Times New Roman"/>
          <w:lang w:eastAsia="de-DE"/>
        </w:rPr>
        <w:t>).</w:t>
      </w:r>
    </w:p>
    <w:p w14:paraId="6163260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Zutrittsbedingungen: kontrollierte Zugänglichkeit + maximale Sühneopfer. Die Struktur zeigt geregelte Alternative zum totalen Verbot.</w:t>
      </w:r>
    </w:p>
    <w:p w14:paraId="33B6CA3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einzige legitime Art des Heiligtumszutritts: mit maximalen Sühneopfern.</w:t>
      </w:r>
    </w:p>
    <w:p w14:paraId="06775FA5"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16,4</w:t>
      </w:r>
    </w:p>
    <w:p w14:paraId="2C9CE60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כְּתֹֽנֶת־בַּ֨ד קֹ֜דֶשׁ יִלְבָּ֗שׁ וּמִֽכְנְסֵי־בַד֮ יִהְי֣וּ עַל־בְּשָׂרוֹ֒ וּבְאַבְנֵ֥ט בַּד֙ יַחְגֹּ֔ר וּבְמִצְנֶ֥פֶת בַּ֖ד יִצְנֹ֑ף בִּגְדֵי־קֹ֣דֶשׁ הֵ֔ם וְרָחַ֥ץ בַּמַּ֛יִם אֶת־בְּשָׂרֹ֖ו וּלְבֵשָֽׁם׃</w:t>
      </w:r>
    </w:p>
    <w:p w14:paraId="1A307C86" w14:textId="4466493E"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Deutsch:</w:t>
      </w:r>
      <w:r w:rsidRPr="00195E02">
        <w:rPr>
          <w:rFonts w:eastAsia="Times New Roman" w:cs="Times New Roman"/>
          <w:lang w:eastAsia="de-DE"/>
        </w:rPr>
        <w:t xml:space="preserve"> </w:t>
      </w:r>
      <w:r w:rsidR="002F2494">
        <w:t>Einen heiligen Leibrock aus Leinen soll er anziehen und leinene Beinkleider sollen auf seinem Fleisch sein, und mit einem leinenen Gürtel soll er sich gürten und einen leinenen Kopfbund umbinden: Heilige Kleider sind sie; und er soll sein Fleisch im Wasser baden und sie anziehen.</w:t>
      </w:r>
    </w:p>
    <w:p w14:paraId="5125D115"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7C8A419F">
          <v:rect id="_x0000_i1484" style="width:0;height:1.5pt" o:hralign="center" o:hrstd="t" o:hr="t" fillcolor="#a0a0a0" stroked="f"/>
        </w:pict>
      </w:r>
    </w:p>
    <w:p w14:paraId="32D2F98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כתנת־בד קדש ילבש ומכנסי־בד יהיו על־בשרו ובאבנט בד יחגר ובמצנפת בד יצנף בגדי־קדש הם ורחץ במים את־בשרו ולבשם</w:t>
      </w:r>
      <w:r w:rsidRPr="00195E02">
        <w:rPr>
          <w:rFonts w:eastAsia="Times New Roman" w:cs="Times New Roman"/>
          <w:rtl/>
          <w:lang w:eastAsia="de-DE"/>
        </w:rPr>
        <w:t xml:space="preserve"> </w:t>
      </w:r>
      <w:r w:rsidRPr="00195E02">
        <w:rPr>
          <w:rFonts w:eastAsia="Times New Roman" w:cs="Times New Roman"/>
          <w:lang w:eastAsia="de-DE"/>
        </w:rPr>
        <w:t xml:space="preserve">spezifiziert die besondere Kleidung für den Heiligtumszutritt. </w:t>
      </w:r>
      <w:r w:rsidRPr="00195E02">
        <w:rPr>
          <w:rFonts w:eastAsia="Times New Roman" w:cs="Times New Roman"/>
          <w:b/>
          <w:bCs/>
          <w:rtl/>
          <w:lang w:eastAsia="de-DE"/>
        </w:rPr>
        <w:t>כתנת־בד קדש ילבש</w:t>
      </w:r>
      <w:r w:rsidRPr="00195E02">
        <w:rPr>
          <w:rFonts w:eastAsia="Times New Roman" w:cs="Times New Roman"/>
          <w:rtl/>
          <w:lang w:eastAsia="de-DE"/>
        </w:rPr>
        <w:t xml:space="preserve"> </w:t>
      </w:r>
      <w:r w:rsidRPr="00195E02">
        <w:rPr>
          <w:rFonts w:eastAsia="Times New Roman" w:cs="Times New Roman"/>
          <w:lang w:eastAsia="de-DE"/>
        </w:rPr>
        <w:t xml:space="preserve">(ein heiliges Leinengewand soll er anziehen) - </w:t>
      </w:r>
      <w:r w:rsidRPr="00195E02">
        <w:rPr>
          <w:rFonts w:eastAsia="Times New Roman" w:cs="Times New Roman"/>
          <w:b/>
          <w:bCs/>
          <w:rtl/>
          <w:lang w:eastAsia="de-DE"/>
        </w:rPr>
        <w:t>כתנת־בד</w:t>
      </w:r>
      <w:r w:rsidRPr="00195E02">
        <w:rPr>
          <w:rFonts w:eastAsia="Times New Roman" w:cs="Times New Roman"/>
          <w:rtl/>
          <w:lang w:eastAsia="de-DE"/>
        </w:rPr>
        <w:t xml:space="preserve"> </w:t>
      </w:r>
      <w:r w:rsidRPr="00195E02">
        <w:rPr>
          <w:rFonts w:eastAsia="Times New Roman" w:cs="Times New Roman"/>
          <w:lang w:eastAsia="de-DE"/>
        </w:rPr>
        <w:t xml:space="preserve">(Leinengewand) statt der üblichen goldenen Hohepriestergewänder, </w:t>
      </w:r>
      <w:r w:rsidRPr="00195E02">
        <w:rPr>
          <w:rFonts w:eastAsia="Times New Roman" w:cs="Times New Roman"/>
          <w:b/>
          <w:bCs/>
          <w:rtl/>
          <w:lang w:eastAsia="de-DE"/>
        </w:rPr>
        <w:t>קדש</w:t>
      </w:r>
      <w:r w:rsidRPr="00195E02">
        <w:rPr>
          <w:rFonts w:eastAsia="Times New Roman" w:cs="Times New Roman"/>
          <w:rtl/>
          <w:lang w:eastAsia="de-DE"/>
        </w:rPr>
        <w:t xml:space="preserve"> </w:t>
      </w:r>
      <w:r w:rsidRPr="00195E02">
        <w:rPr>
          <w:rFonts w:eastAsia="Times New Roman" w:cs="Times New Roman"/>
          <w:lang w:eastAsia="de-DE"/>
        </w:rPr>
        <w:t>(heilig) als Qualifikation.</w:t>
      </w:r>
    </w:p>
    <w:p w14:paraId="62BAB2C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ומכנסי־בד יהיו על־בשרו ובאבנט בד יחגר ובמצנפת בד יצנף</w:t>
      </w:r>
      <w:r w:rsidRPr="00195E02">
        <w:rPr>
          <w:rFonts w:eastAsia="Times New Roman" w:cs="Times New Roman"/>
          <w:rtl/>
          <w:lang w:eastAsia="de-DE"/>
        </w:rPr>
        <w:t xml:space="preserve"> </w:t>
      </w:r>
      <w:r w:rsidRPr="00195E02">
        <w:rPr>
          <w:rFonts w:eastAsia="Times New Roman" w:cs="Times New Roman"/>
          <w:lang w:eastAsia="de-DE"/>
        </w:rPr>
        <w:t xml:space="preserve">listet alle vier Leinenkleidungsstücke auf: </w:t>
      </w:r>
      <w:r w:rsidRPr="00195E02">
        <w:rPr>
          <w:rFonts w:eastAsia="Times New Roman" w:cs="Times New Roman"/>
          <w:b/>
          <w:bCs/>
          <w:rtl/>
          <w:lang w:eastAsia="de-DE"/>
        </w:rPr>
        <w:t>מכנסי־בד</w:t>
      </w:r>
      <w:r w:rsidRPr="00195E02">
        <w:rPr>
          <w:rFonts w:eastAsia="Times New Roman" w:cs="Times New Roman"/>
          <w:rtl/>
          <w:lang w:eastAsia="de-DE"/>
        </w:rPr>
        <w:t xml:space="preserve"> </w:t>
      </w:r>
      <w:r w:rsidRPr="00195E02">
        <w:rPr>
          <w:rFonts w:eastAsia="Times New Roman" w:cs="Times New Roman"/>
          <w:lang w:eastAsia="de-DE"/>
        </w:rPr>
        <w:t xml:space="preserve">(leinene Beinkleider), </w:t>
      </w:r>
      <w:r w:rsidRPr="00195E02">
        <w:rPr>
          <w:rFonts w:eastAsia="Times New Roman" w:cs="Times New Roman"/>
          <w:b/>
          <w:bCs/>
          <w:rtl/>
          <w:lang w:eastAsia="de-DE"/>
        </w:rPr>
        <w:t>אבנט בד</w:t>
      </w:r>
      <w:r w:rsidRPr="00195E02">
        <w:rPr>
          <w:rFonts w:eastAsia="Times New Roman" w:cs="Times New Roman"/>
          <w:rtl/>
          <w:lang w:eastAsia="de-DE"/>
        </w:rPr>
        <w:t xml:space="preserve"> </w:t>
      </w:r>
      <w:r w:rsidRPr="00195E02">
        <w:rPr>
          <w:rFonts w:eastAsia="Times New Roman" w:cs="Times New Roman"/>
          <w:lang w:eastAsia="de-DE"/>
        </w:rPr>
        <w:t xml:space="preserve">(leinener Gürtel), </w:t>
      </w:r>
      <w:r w:rsidRPr="00195E02">
        <w:rPr>
          <w:rFonts w:eastAsia="Times New Roman" w:cs="Times New Roman"/>
          <w:b/>
          <w:bCs/>
          <w:rtl/>
          <w:lang w:eastAsia="de-DE"/>
        </w:rPr>
        <w:t>מצנפת בד</w:t>
      </w:r>
      <w:r w:rsidRPr="00195E02">
        <w:rPr>
          <w:rFonts w:eastAsia="Times New Roman" w:cs="Times New Roman"/>
          <w:rtl/>
          <w:lang w:eastAsia="de-DE"/>
        </w:rPr>
        <w:t xml:space="preserve"> </w:t>
      </w:r>
      <w:r w:rsidRPr="00195E02">
        <w:rPr>
          <w:rFonts w:eastAsia="Times New Roman" w:cs="Times New Roman"/>
          <w:lang w:eastAsia="de-DE"/>
        </w:rPr>
        <w:t xml:space="preserve">(leinener Kopfbund). </w:t>
      </w:r>
      <w:r w:rsidRPr="00195E02">
        <w:rPr>
          <w:rFonts w:eastAsia="Times New Roman" w:cs="Times New Roman"/>
          <w:b/>
          <w:bCs/>
          <w:rtl/>
          <w:lang w:eastAsia="de-DE"/>
        </w:rPr>
        <w:t>בד</w:t>
      </w:r>
      <w:r w:rsidRPr="00195E02">
        <w:rPr>
          <w:rFonts w:eastAsia="Times New Roman" w:cs="Times New Roman"/>
          <w:rtl/>
          <w:lang w:eastAsia="de-DE"/>
        </w:rPr>
        <w:t xml:space="preserve"> </w:t>
      </w:r>
      <w:r w:rsidRPr="00195E02">
        <w:rPr>
          <w:rFonts w:eastAsia="Times New Roman" w:cs="Times New Roman"/>
          <w:lang w:eastAsia="de-DE"/>
        </w:rPr>
        <w:t>(Leinen) wird viermal wiederholt.</w:t>
      </w:r>
    </w:p>
    <w:p w14:paraId="2F68C81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בגדי־קדש הם ורחץ במים את־בשרו ולבשם</w:t>
      </w:r>
      <w:r w:rsidRPr="00195E02">
        <w:rPr>
          <w:rFonts w:eastAsia="Times New Roman" w:cs="Times New Roman"/>
          <w:rtl/>
          <w:lang w:eastAsia="de-DE"/>
        </w:rPr>
        <w:t xml:space="preserve"> </w:t>
      </w:r>
      <w:r w:rsidRPr="00195E02">
        <w:rPr>
          <w:rFonts w:eastAsia="Times New Roman" w:cs="Times New Roman"/>
          <w:lang w:eastAsia="de-DE"/>
        </w:rPr>
        <w:t>(heilige Kleider sind sie; und er soll sein Fleisch in Wasser baden und sie anziehen) zeigt den Heiligkeitsstatus und das Anziehverfahren.</w:t>
      </w:r>
    </w:p>
    <w:p w14:paraId="61D01D3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בד</w:t>
      </w:r>
      <w:r w:rsidRPr="00195E02">
        <w:rPr>
          <w:rFonts w:eastAsia="Times New Roman" w:cs="Times New Roman"/>
          <w:rtl/>
          <w:lang w:eastAsia="de-DE"/>
        </w:rPr>
        <w:t xml:space="preserve"> </w:t>
      </w:r>
      <w:r w:rsidRPr="00195E02">
        <w:rPr>
          <w:rFonts w:eastAsia="Times New Roman" w:cs="Times New Roman"/>
          <w:lang w:eastAsia="de-DE"/>
        </w:rPr>
        <w:t xml:space="preserve">viermal wiederholt betont die einfache, goldlose Kleidung im Gegensatz zu den üblichen Hohepriestergewändern. </w:t>
      </w:r>
      <w:r w:rsidRPr="00195E02">
        <w:rPr>
          <w:rFonts w:eastAsia="Times New Roman" w:cs="Times New Roman"/>
          <w:b/>
          <w:bCs/>
          <w:rtl/>
          <w:lang w:eastAsia="de-DE"/>
        </w:rPr>
        <w:t>על־בשרו</w:t>
      </w:r>
      <w:r w:rsidRPr="00195E02">
        <w:rPr>
          <w:rFonts w:eastAsia="Times New Roman" w:cs="Times New Roman"/>
          <w:rtl/>
          <w:lang w:eastAsia="de-DE"/>
        </w:rPr>
        <w:t xml:space="preserve"> </w:t>
      </w:r>
      <w:r w:rsidRPr="00195E02">
        <w:rPr>
          <w:rFonts w:eastAsia="Times New Roman" w:cs="Times New Roman"/>
          <w:lang w:eastAsia="de-DE"/>
        </w:rPr>
        <w:t xml:space="preserve">zeigt direkten Hautkontakt. </w:t>
      </w:r>
      <w:r w:rsidRPr="00195E02">
        <w:rPr>
          <w:rFonts w:eastAsia="Times New Roman" w:cs="Times New Roman"/>
          <w:b/>
          <w:bCs/>
          <w:rtl/>
          <w:lang w:eastAsia="de-DE"/>
        </w:rPr>
        <w:t>ורחץ במים את־בשרו</w:t>
      </w:r>
      <w:r w:rsidRPr="00195E02">
        <w:rPr>
          <w:rFonts w:eastAsia="Times New Roman" w:cs="Times New Roman"/>
          <w:rtl/>
          <w:lang w:eastAsia="de-DE"/>
        </w:rPr>
        <w:t xml:space="preserve"> </w:t>
      </w:r>
      <w:r w:rsidRPr="00195E02">
        <w:rPr>
          <w:rFonts w:eastAsia="Times New Roman" w:cs="Times New Roman"/>
          <w:lang w:eastAsia="de-DE"/>
        </w:rPr>
        <w:t>zeigt erforderliche Reinigung vor dem Anziehen.</w:t>
      </w:r>
    </w:p>
    <w:p w14:paraId="07FE06E0" w14:textId="577E217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E705C5">
        <w:t xml:space="preserve">übersetzt </w:t>
      </w:r>
      <w:r w:rsidR="00E705C5">
        <w:rPr>
          <w:rtl/>
        </w:rPr>
        <w:t>מכנסי־בד</w:t>
      </w:r>
      <w:r w:rsidR="00E705C5">
        <w:t xml:space="preserve"> (</w:t>
      </w:r>
      <w:proofErr w:type="spellStart"/>
      <w:r w:rsidR="00E705C5">
        <w:t>michnesei</w:t>
      </w:r>
      <w:proofErr w:type="spellEnd"/>
      <w:r w:rsidR="00E705C5">
        <w:t>-bad - "leinene Beinkleider") als π</w:t>
      </w:r>
      <w:proofErr w:type="spellStart"/>
      <w:r w:rsidR="00E705C5">
        <w:t>ερισκελὲς</w:t>
      </w:r>
      <w:proofErr w:type="spellEnd"/>
      <w:r w:rsidR="00E705C5">
        <w:t xml:space="preserve"> </w:t>
      </w:r>
      <w:proofErr w:type="spellStart"/>
      <w:r w:rsidR="00E705C5">
        <w:t>λινοῦν</w:t>
      </w:r>
      <w:proofErr w:type="spellEnd"/>
      <w:r w:rsidR="00E705C5">
        <w:t xml:space="preserve"> (leinene Beinbekleidung) und </w:t>
      </w:r>
      <w:r w:rsidR="00E705C5">
        <w:rPr>
          <w:rtl/>
        </w:rPr>
        <w:t>מצנפת</w:t>
      </w:r>
      <w:r w:rsidR="00E705C5">
        <w:t xml:space="preserve"> (</w:t>
      </w:r>
      <w:proofErr w:type="spellStart"/>
      <w:r w:rsidR="00E705C5">
        <w:t>mitznefet</w:t>
      </w:r>
      <w:proofErr w:type="spellEnd"/>
      <w:r w:rsidR="00E705C5">
        <w:t xml:space="preserve"> - "Turban") als </w:t>
      </w:r>
      <w:proofErr w:type="spellStart"/>
      <w:r w:rsidR="00E705C5">
        <w:t>κίδ</w:t>
      </w:r>
      <w:proofErr w:type="spellEnd"/>
      <w:r w:rsidR="00E705C5">
        <w:t>αριν (Kopfbund), was spezifische griechische Kleidungsterminologie verwendet.</w:t>
      </w:r>
    </w:p>
    <w:p w14:paraId="375A79D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Kleidungsvorschriften: vier Leinenkleidungsstücke + Heiligkeitsklassifikation + Reinigungsverfahren + Anziehvorgang. Die Struktur betont die besondere, einfache Heiligkeitskleidung.</w:t>
      </w:r>
    </w:p>
    <w:p w14:paraId="25003A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die besonderen weißen Leinengewänder für den Jom Kippur im Gegensatz zu den üblichen goldenen Hohepriestergewändern.</w:t>
      </w:r>
    </w:p>
    <w:p w14:paraId="2FF8CFB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16,5</w:t>
      </w:r>
    </w:p>
    <w:p w14:paraId="7744E5B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וּמֵאֵ֗ת עֲדַת֙ בְּנֵ֣י יִשְׂרָאֵ֔ל יִקַּ֛ח שְׁנֵֽי־שְׂעִירֵ֥י עִזִּ֖ים לְחַטָּ֑את וְאַ֥יִל אֶחָ֖ד לְעֹלָֽה׃</w:t>
      </w:r>
    </w:p>
    <w:p w14:paraId="292D4F3C" w14:textId="6A8575C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von der Gemeinde der Söhne Jisra'els soll er zwei Ziegenböcke zum Sündenopfer und einen Widder zum Aufsteigeopfer nehmen.</w:t>
      </w:r>
    </w:p>
    <w:p w14:paraId="4A457BA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FF2210C">
          <v:rect id="_x0000_i1485" style="width:0;height:1.5pt" o:hralign="center" o:hrstd="t" o:hr="t" fillcolor="#a0a0a0" stroked="f"/>
        </w:pict>
      </w:r>
    </w:p>
    <w:p w14:paraId="66A57AC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ומאת עדת בני ישראל יקח שני־שעירי עזים לחטאת ואיל אחד לעלה</w:t>
      </w:r>
      <w:r w:rsidRPr="00195E02">
        <w:rPr>
          <w:rFonts w:eastAsia="Times New Roman" w:cs="Times New Roman"/>
          <w:rtl/>
          <w:lang w:eastAsia="de-DE"/>
        </w:rPr>
        <w:t xml:space="preserve"> </w:t>
      </w:r>
      <w:r w:rsidRPr="00195E02">
        <w:rPr>
          <w:rFonts w:eastAsia="Times New Roman" w:cs="Times New Roman"/>
          <w:lang w:eastAsia="de-DE"/>
        </w:rPr>
        <w:t xml:space="preserve">zeigt die Opfertiere für das Volk. </w:t>
      </w:r>
      <w:r w:rsidRPr="00195E02">
        <w:rPr>
          <w:rFonts w:eastAsia="Times New Roman" w:cs="Times New Roman"/>
          <w:b/>
          <w:bCs/>
          <w:rtl/>
          <w:lang w:eastAsia="de-DE"/>
        </w:rPr>
        <w:t>ומאת עדת בני ישראל</w:t>
      </w:r>
      <w:r w:rsidRPr="00195E02">
        <w:rPr>
          <w:rFonts w:eastAsia="Times New Roman" w:cs="Times New Roman"/>
          <w:rtl/>
          <w:lang w:eastAsia="de-DE"/>
        </w:rPr>
        <w:t xml:space="preserve"> </w:t>
      </w:r>
      <w:r w:rsidRPr="00195E02">
        <w:rPr>
          <w:rFonts w:eastAsia="Times New Roman" w:cs="Times New Roman"/>
          <w:lang w:eastAsia="de-DE"/>
        </w:rPr>
        <w:t xml:space="preserve">(und von der Gemeinde der Söhne Israels) - </w:t>
      </w:r>
      <w:r w:rsidRPr="00195E02">
        <w:rPr>
          <w:rFonts w:eastAsia="Times New Roman" w:cs="Times New Roman"/>
          <w:b/>
          <w:bCs/>
          <w:rtl/>
          <w:lang w:eastAsia="de-DE"/>
        </w:rPr>
        <w:t>מאת עדת</w:t>
      </w:r>
      <w:r w:rsidRPr="00195E02">
        <w:rPr>
          <w:rFonts w:eastAsia="Times New Roman" w:cs="Times New Roman"/>
          <w:rtl/>
          <w:lang w:eastAsia="de-DE"/>
        </w:rPr>
        <w:t xml:space="preserve"> </w:t>
      </w:r>
      <w:r w:rsidRPr="00195E02">
        <w:rPr>
          <w:rFonts w:eastAsia="Times New Roman" w:cs="Times New Roman"/>
          <w:lang w:eastAsia="de-DE"/>
        </w:rPr>
        <w:t xml:space="preserve">(von der Gemeinde) zeigt, dass das Volk die Opfertiere bereitstellt. </w:t>
      </w:r>
      <w:r w:rsidRPr="00195E02">
        <w:rPr>
          <w:rFonts w:eastAsia="Times New Roman" w:cs="Times New Roman"/>
          <w:b/>
          <w:bCs/>
          <w:rtl/>
          <w:lang w:eastAsia="de-DE"/>
        </w:rPr>
        <w:t>יקח שני־שעירי עזים לחטאת</w:t>
      </w:r>
      <w:r w:rsidRPr="00195E02">
        <w:rPr>
          <w:rFonts w:eastAsia="Times New Roman" w:cs="Times New Roman"/>
          <w:rtl/>
          <w:lang w:eastAsia="de-DE"/>
        </w:rPr>
        <w:t xml:space="preserve"> </w:t>
      </w:r>
      <w:r w:rsidRPr="00195E02">
        <w:rPr>
          <w:rFonts w:eastAsia="Times New Roman" w:cs="Times New Roman"/>
          <w:lang w:eastAsia="de-DE"/>
        </w:rPr>
        <w:t xml:space="preserve">(soll er zwei Ziegenböcke als Sündopfer nehmen) - </w:t>
      </w:r>
      <w:r w:rsidRPr="00195E02">
        <w:rPr>
          <w:rFonts w:eastAsia="Times New Roman" w:cs="Times New Roman"/>
          <w:b/>
          <w:bCs/>
          <w:rtl/>
          <w:lang w:eastAsia="de-DE"/>
        </w:rPr>
        <w:t>שני־שעירי עזים</w:t>
      </w:r>
      <w:r w:rsidRPr="00195E02">
        <w:rPr>
          <w:rFonts w:eastAsia="Times New Roman" w:cs="Times New Roman"/>
          <w:rtl/>
          <w:lang w:eastAsia="de-DE"/>
        </w:rPr>
        <w:t xml:space="preserve"> </w:t>
      </w:r>
      <w:r w:rsidRPr="00195E02">
        <w:rPr>
          <w:rFonts w:eastAsia="Times New Roman" w:cs="Times New Roman"/>
          <w:lang w:eastAsia="de-DE"/>
        </w:rPr>
        <w:t>(zwei Ziegenböcke) als spezifische Tierart für das besondere Sündopfer.</w:t>
      </w:r>
    </w:p>
    <w:p w14:paraId="756303B8" w14:textId="01C2F77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ואיל אחד לעלה</w:t>
      </w:r>
      <w:r w:rsidRPr="00195E02">
        <w:rPr>
          <w:rFonts w:eastAsia="Times New Roman" w:cs="Times New Roman"/>
          <w:rtl/>
          <w:lang w:eastAsia="de-DE"/>
        </w:rPr>
        <w:t xml:space="preserve"> </w:t>
      </w:r>
      <w:r w:rsidRPr="00195E02">
        <w:rPr>
          <w:rFonts w:eastAsia="Times New Roman" w:cs="Times New Roman"/>
          <w:lang w:eastAsia="de-DE"/>
        </w:rPr>
        <w:t xml:space="preserve">(und einen Widder als </w:t>
      </w:r>
      <w:r w:rsidR="00CF10E7">
        <w:rPr>
          <w:rFonts w:eastAsia="Times New Roman" w:cs="Times New Roman"/>
          <w:lang w:eastAsia="de-DE"/>
        </w:rPr>
        <w:t>Aufsteigeopfer</w:t>
      </w:r>
      <w:r w:rsidRPr="00195E02">
        <w:rPr>
          <w:rFonts w:eastAsia="Times New Roman" w:cs="Times New Roman"/>
          <w:lang w:eastAsia="de-DE"/>
        </w:rPr>
        <w:t xml:space="preserve">) entspricht dem </w:t>
      </w:r>
      <w:r w:rsidR="00CF10E7">
        <w:rPr>
          <w:rFonts w:eastAsia="Times New Roman" w:cs="Times New Roman"/>
          <w:lang w:eastAsia="de-DE"/>
        </w:rPr>
        <w:t>Aufsteigeopfer</w:t>
      </w:r>
      <w:r w:rsidRPr="00195E02">
        <w:rPr>
          <w:rFonts w:eastAsia="Times New Roman" w:cs="Times New Roman"/>
          <w:lang w:eastAsia="de-DE"/>
        </w:rPr>
        <w:t xml:space="preserve"> aus V. 3 für Aaron.</w:t>
      </w:r>
    </w:p>
    <w:p w14:paraId="7292A03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עדת בני ישראל</w:t>
      </w:r>
      <w:r w:rsidRPr="00195E02">
        <w:rPr>
          <w:rFonts w:eastAsia="Times New Roman" w:cs="Times New Roman"/>
          <w:rtl/>
          <w:lang w:eastAsia="de-DE"/>
        </w:rPr>
        <w:t xml:space="preserve"> </w:t>
      </w:r>
      <w:r w:rsidRPr="00195E02">
        <w:rPr>
          <w:rFonts w:eastAsia="Times New Roman" w:cs="Times New Roman"/>
          <w:lang w:eastAsia="de-DE"/>
        </w:rPr>
        <w:t xml:space="preserve">zeigt Volksverantwortung für die Opferkosten. </w:t>
      </w:r>
      <w:r w:rsidRPr="00195E02">
        <w:rPr>
          <w:rFonts w:eastAsia="Times New Roman" w:cs="Times New Roman"/>
          <w:b/>
          <w:bCs/>
          <w:rtl/>
          <w:lang w:eastAsia="de-DE"/>
        </w:rPr>
        <w:t>שני־שעירי עזים</w:t>
      </w:r>
      <w:r w:rsidRPr="00195E02">
        <w:rPr>
          <w:rFonts w:eastAsia="Times New Roman" w:cs="Times New Roman"/>
          <w:rtl/>
          <w:lang w:eastAsia="de-DE"/>
        </w:rPr>
        <w:t xml:space="preserve"> </w:t>
      </w:r>
      <w:r w:rsidRPr="00195E02">
        <w:rPr>
          <w:rFonts w:eastAsia="Times New Roman" w:cs="Times New Roman"/>
          <w:lang w:eastAsia="de-DE"/>
        </w:rPr>
        <w:t xml:space="preserve">zeigt das einzigartige doppelte Sündopfer des Jom Kippur. </w:t>
      </w:r>
      <w:r w:rsidRPr="00195E02">
        <w:rPr>
          <w:rFonts w:eastAsia="Times New Roman" w:cs="Times New Roman"/>
          <w:b/>
          <w:bCs/>
          <w:rtl/>
          <w:lang w:eastAsia="de-DE"/>
        </w:rPr>
        <w:t>לחטאת</w:t>
      </w:r>
      <w:r w:rsidRPr="00195E02">
        <w:rPr>
          <w:rFonts w:eastAsia="Times New Roman" w:cs="Times New Roman"/>
          <w:rtl/>
          <w:lang w:eastAsia="de-DE"/>
        </w:rPr>
        <w:t xml:space="preserve"> </w:t>
      </w:r>
      <w:r w:rsidRPr="00195E02">
        <w:rPr>
          <w:rFonts w:eastAsia="Times New Roman" w:cs="Times New Roman"/>
          <w:lang w:eastAsia="de-DE"/>
        </w:rPr>
        <w:t>(als Sündopfer) im Singular zeigt, dass beide Böcke zusammen ein Sündopfer bilden.</w:t>
      </w:r>
    </w:p>
    <w:p w14:paraId="7E19D0F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עדת בני ישראל</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συν</w:t>
      </w:r>
      <w:proofErr w:type="spellEnd"/>
      <w:r w:rsidRPr="00195E02">
        <w:rPr>
          <w:rFonts w:eastAsia="Times New Roman" w:cs="Times New Roman"/>
          <w:lang w:eastAsia="de-DE"/>
        </w:rPr>
        <w:t xml:space="preserve">αγωγῆς </w:t>
      </w:r>
      <w:proofErr w:type="spellStart"/>
      <w:r w:rsidRPr="00195E02">
        <w:rPr>
          <w:rFonts w:eastAsia="Times New Roman" w:cs="Times New Roman"/>
          <w:lang w:eastAsia="de-DE"/>
        </w:rPr>
        <w:t>υἱῶν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Ισρ</w:t>
      </w:r>
      <w:proofErr w:type="spellEnd"/>
      <w:r w:rsidRPr="00195E02">
        <w:rPr>
          <w:rFonts w:eastAsia="Times New Roman" w:cs="Times New Roman"/>
          <w:lang w:eastAsia="de-DE"/>
        </w:rPr>
        <w:t xml:space="preserve">αηλ (Versammlung der Söhne Israels), </w:t>
      </w:r>
      <w:r w:rsidRPr="00195E02">
        <w:rPr>
          <w:rFonts w:eastAsia="Times New Roman" w:cs="Times New Roman"/>
          <w:b/>
          <w:bCs/>
          <w:rtl/>
          <w:lang w:eastAsia="de-DE"/>
        </w:rPr>
        <w:t>שעירי עזים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χιμάρους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ἐξ</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ἰγῶν</w:t>
      </w:r>
      <w:proofErr w:type="spellEnd"/>
      <w:r w:rsidRPr="00195E02">
        <w:rPr>
          <w:rFonts w:eastAsia="Times New Roman" w:cs="Times New Roman"/>
          <w:lang w:eastAsia="de-DE"/>
        </w:rPr>
        <w:t xml:space="preserve"> (Böcke von Ziegen) und </w:t>
      </w:r>
      <w:r w:rsidRPr="00195E02">
        <w:rPr>
          <w:rFonts w:eastAsia="Times New Roman" w:cs="Times New Roman"/>
          <w:b/>
          <w:bCs/>
          <w:rtl/>
          <w:lang w:eastAsia="de-DE"/>
        </w:rPr>
        <w:t>לחטאת</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αρτίας (wegen der Sünde).</w:t>
      </w:r>
    </w:p>
    <w:p w14:paraId="3F72BCB2" w14:textId="2AB5DAEE"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Volksopfer: Gemeindeverantwortung + doppeltes Sündopfer + ergänzendes </w:t>
      </w:r>
      <w:r w:rsidR="00CF10E7">
        <w:rPr>
          <w:rFonts w:eastAsia="Times New Roman" w:cs="Times New Roman"/>
          <w:lang w:eastAsia="de-DE"/>
        </w:rPr>
        <w:t>Aufsteigeopfer</w:t>
      </w:r>
      <w:r w:rsidRPr="00195E02">
        <w:rPr>
          <w:rFonts w:eastAsia="Times New Roman" w:cs="Times New Roman"/>
          <w:lang w:eastAsia="de-DE"/>
        </w:rPr>
        <w:t>. Die Struktur zeigt das besondere Opferprogramm des Jom Kippur.</w:t>
      </w:r>
    </w:p>
    <w:p w14:paraId="2FBDC338" w14:textId="1F6F40A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etabliert die besonderen Volksopfer: zwei Ziegenböcke für das einzigartige Doppel-Sündopfer und einen Widder als </w:t>
      </w:r>
      <w:r w:rsidR="00CF10E7">
        <w:rPr>
          <w:rFonts w:eastAsia="Times New Roman" w:cs="Times New Roman"/>
          <w:lang w:eastAsia="de-DE"/>
        </w:rPr>
        <w:t>Aufsteigeopfer</w:t>
      </w:r>
      <w:r w:rsidRPr="00195E02">
        <w:rPr>
          <w:rFonts w:eastAsia="Times New Roman" w:cs="Times New Roman"/>
          <w:lang w:eastAsia="de-DE"/>
        </w:rPr>
        <w:t>.</w:t>
      </w:r>
    </w:p>
    <w:p w14:paraId="1DF70AE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16,6</w:t>
      </w:r>
    </w:p>
    <w:p w14:paraId="296AAF7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וְהִקְרִ֧יב אַהֲרֹ֛ן אֶת־פַּ֥ר הַחַטָּ֖את אֲשֶׁר־לוֹ֑ וְכִפֶּ֥ר בַּעֲדֹ֖ו וּבְעַ֥ד בֵּיתֹֽו׃</w:t>
      </w:r>
    </w:p>
    <w:p w14:paraId="7CDA36C0" w14:textId="765F4A4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'Aharon soll darbringen den Stier des Sündopfers, der für ihn ist, und soll Sühne erwirken für sich und für sein Haus.</w:t>
      </w:r>
    </w:p>
    <w:p w14:paraId="5A7371B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6EAB76D">
          <v:rect id="_x0000_i1486" style="width:0;height:1.5pt" o:hralign="center" o:hrstd="t" o:hr="t" fillcolor="#a0a0a0" stroked="f"/>
        </w:pict>
      </w:r>
    </w:p>
    <w:p w14:paraId="19DF419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והקריב אהרן את־פר החטאת אשר־לו וכפר בעדו ובעד ביתו</w:t>
      </w:r>
      <w:r w:rsidRPr="00195E02">
        <w:rPr>
          <w:rFonts w:eastAsia="Times New Roman" w:cs="Times New Roman"/>
          <w:rtl/>
          <w:lang w:eastAsia="de-DE"/>
        </w:rPr>
        <w:t xml:space="preserve"> </w:t>
      </w:r>
      <w:r w:rsidRPr="00195E02">
        <w:rPr>
          <w:rFonts w:eastAsia="Times New Roman" w:cs="Times New Roman"/>
          <w:lang w:eastAsia="de-DE"/>
        </w:rPr>
        <w:t xml:space="preserve">zeigt den ersten Sühneschritt. </w:t>
      </w:r>
      <w:r w:rsidRPr="00195E02">
        <w:rPr>
          <w:rFonts w:eastAsia="Times New Roman" w:cs="Times New Roman"/>
          <w:b/>
          <w:bCs/>
          <w:rtl/>
          <w:lang w:eastAsia="de-DE"/>
        </w:rPr>
        <w:t>והקריב אהרן את־פר החטאת אשר־לו</w:t>
      </w:r>
      <w:r w:rsidRPr="00195E02">
        <w:rPr>
          <w:rFonts w:eastAsia="Times New Roman" w:cs="Times New Roman"/>
          <w:rtl/>
          <w:lang w:eastAsia="de-DE"/>
        </w:rPr>
        <w:t xml:space="preserve"> </w:t>
      </w:r>
      <w:r w:rsidRPr="00195E02">
        <w:rPr>
          <w:rFonts w:eastAsia="Times New Roman" w:cs="Times New Roman"/>
          <w:lang w:eastAsia="de-DE"/>
        </w:rPr>
        <w:t xml:space="preserve">(und Aaron soll den Stier des Sündopfers, der für ihn ist, darbringen) - </w:t>
      </w:r>
      <w:r w:rsidRPr="00195E02">
        <w:rPr>
          <w:rFonts w:eastAsia="Times New Roman" w:cs="Times New Roman"/>
          <w:b/>
          <w:bCs/>
          <w:rtl/>
          <w:lang w:eastAsia="de-DE"/>
        </w:rPr>
        <w:t>אשר־לו</w:t>
      </w:r>
      <w:r w:rsidRPr="00195E02">
        <w:rPr>
          <w:rFonts w:eastAsia="Times New Roman" w:cs="Times New Roman"/>
          <w:rtl/>
          <w:lang w:eastAsia="de-DE"/>
        </w:rPr>
        <w:t xml:space="preserve"> </w:t>
      </w:r>
      <w:r w:rsidRPr="00195E02">
        <w:rPr>
          <w:rFonts w:eastAsia="Times New Roman" w:cs="Times New Roman"/>
          <w:lang w:eastAsia="de-DE"/>
        </w:rPr>
        <w:t>(der für ihn ist) zeigt persönliche Sühne im Gegensatz zu den Volksopfern.</w:t>
      </w:r>
    </w:p>
    <w:p w14:paraId="24E4273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וכפר בעדו ובעד ביתו</w:t>
      </w:r>
      <w:r w:rsidRPr="00195E02">
        <w:rPr>
          <w:rFonts w:eastAsia="Times New Roman" w:cs="Times New Roman"/>
          <w:rtl/>
          <w:lang w:eastAsia="de-DE"/>
        </w:rPr>
        <w:t xml:space="preserve"> </w:t>
      </w:r>
      <w:r w:rsidRPr="00195E02">
        <w:rPr>
          <w:rFonts w:eastAsia="Times New Roman" w:cs="Times New Roman"/>
          <w:lang w:eastAsia="de-DE"/>
        </w:rPr>
        <w:t xml:space="preserve">(und Sühne erwirken für sich und für sein Haus) - </w:t>
      </w:r>
      <w:r w:rsidRPr="00195E02">
        <w:rPr>
          <w:rFonts w:eastAsia="Times New Roman" w:cs="Times New Roman"/>
          <w:b/>
          <w:bCs/>
          <w:rtl/>
          <w:lang w:eastAsia="de-DE"/>
        </w:rPr>
        <w:t>בעדו</w:t>
      </w:r>
      <w:r w:rsidRPr="00195E02">
        <w:rPr>
          <w:rFonts w:eastAsia="Times New Roman" w:cs="Times New Roman"/>
          <w:rtl/>
          <w:lang w:eastAsia="de-DE"/>
        </w:rPr>
        <w:t xml:space="preserve"> </w:t>
      </w:r>
      <w:r w:rsidRPr="00195E02">
        <w:rPr>
          <w:rFonts w:eastAsia="Times New Roman" w:cs="Times New Roman"/>
          <w:lang w:eastAsia="de-DE"/>
        </w:rPr>
        <w:t xml:space="preserve">(für sich) zeigt persönliche Sühne, </w:t>
      </w:r>
      <w:r w:rsidRPr="00195E02">
        <w:rPr>
          <w:rFonts w:eastAsia="Times New Roman" w:cs="Times New Roman"/>
          <w:b/>
          <w:bCs/>
          <w:rtl/>
          <w:lang w:eastAsia="de-DE"/>
        </w:rPr>
        <w:t>בעד ביתו</w:t>
      </w:r>
      <w:r w:rsidRPr="00195E02">
        <w:rPr>
          <w:rFonts w:eastAsia="Times New Roman" w:cs="Times New Roman"/>
          <w:rtl/>
          <w:lang w:eastAsia="de-DE"/>
        </w:rPr>
        <w:t xml:space="preserve"> </w:t>
      </w:r>
      <w:r w:rsidRPr="00195E02">
        <w:rPr>
          <w:rFonts w:eastAsia="Times New Roman" w:cs="Times New Roman"/>
          <w:lang w:eastAsia="de-DE"/>
        </w:rPr>
        <w:t>(für sein Haus) erweitert auf die Priesterfamilie.</w:t>
      </w:r>
    </w:p>
    <w:p w14:paraId="5FC0DE9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אשר־לו</w:t>
      </w:r>
      <w:r w:rsidRPr="00195E02">
        <w:rPr>
          <w:rFonts w:eastAsia="Times New Roman" w:cs="Times New Roman"/>
          <w:rtl/>
          <w:lang w:eastAsia="de-DE"/>
        </w:rPr>
        <w:t xml:space="preserve"> </w:t>
      </w:r>
      <w:r w:rsidRPr="00195E02">
        <w:rPr>
          <w:rFonts w:eastAsia="Times New Roman" w:cs="Times New Roman"/>
          <w:lang w:eastAsia="de-DE"/>
        </w:rPr>
        <w:t xml:space="preserve">im Gegensatz zu den Volksopfern aus V. 5 zeigt die Notwendigkeit priesterlicher Selbstsühne vor Volkssühne. </w:t>
      </w:r>
      <w:r w:rsidRPr="00195E02">
        <w:rPr>
          <w:rFonts w:eastAsia="Times New Roman" w:cs="Times New Roman"/>
          <w:b/>
          <w:bCs/>
          <w:rtl/>
          <w:lang w:eastAsia="de-DE"/>
        </w:rPr>
        <w:t>ביתו</w:t>
      </w:r>
      <w:r w:rsidRPr="00195E02">
        <w:rPr>
          <w:rFonts w:eastAsia="Times New Roman" w:cs="Times New Roman"/>
          <w:rtl/>
          <w:lang w:eastAsia="de-DE"/>
        </w:rPr>
        <w:t xml:space="preserve"> </w:t>
      </w:r>
      <w:r w:rsidRPr="00195E02">
        <w:rPr>
          <w:rFonts w:eastAsia="Times New Roman" w:cs="Times New Roman"/>
          <w:lang w:eastAsia="de-DE"/>
        </w:rPr>
        <w:t>umfasst die gesamte Priesterfamilie. Dies ist noch nicht die Schlachtung, sondern die Darbringung.</w:t>
      </w:r>
    </w:p>
    <w:p w14:paraId="0527310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את־פר החטאת אשר־לו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μόσχον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 xml:space="preserve">αρτίας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ἑα</w:t>
      </w:r>
      <w:proofErr w:type="spellStart"/>
      <w:r w:rsidRPr="00195E02">
        <w:rPr>
          <w:rFonts w:eastAsia="Times New Roman" w:cs="Times New Roman"/>
          <w:lang w:eastAsia="de-DE"/>
        </w:rPr>
        <w:t>υτοῦ</w:t>
      </w:r>
      <w:proofErr w:type="spellEnd"/>
      <w:r w:rsidRPr="00195E02">
        <w:rPr>
          <w:rFonts w:eastAsia="Times New Roman" w:cs="Times New Roman"/>
          <w:lang w:eastAsia="de-DE"/>
        </w:rPr>
        <w:t xml:space="preserve"> (den Stier des Sündopfers, den eigenen), </w:t>
      </w:r>
      <w:r w:rsidRPr="00195E02">
        <w:rPr>
          <w:rFonts w:eastAsia="Times New Roman" w:cs="Times New Roman"/>
          <w:b/>
          <w:bCs/>
          <w:rtl/>
          <w:lang w:eastAsia="de-DE"/>
        </w:rPr>
        <w:t>בעדו</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(für ihn) und </w:t>
      </w:r>
      <w:r w:rsidRPr="00195E02">
        <w:rPr>
          <w:rFonts w:eastAsia="Times New Roman" w:cs="Times New Roman"/>
          <w:b/>
          <w:bCs/>
          <w:rtl/>
          <w:lang w:eastAsia="de-DE"/>
        </w:rPr>
        <w:t>בעד ביתו</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οἴκου</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(für sein Haus).</w:t>
      </w:r>
    </w:p>
    <w:p w14:paraId="4B8F9C0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priesterliche Selbstsühne: persönliche Opferdarbringung + Sühneerklärung für Priester und Familie. Die Struktur zeigt die Priorität der priesterlichen Reinigung.</w:t>
      </w:r>
    </w:p>
    <w:p w14:paraId="5F626A6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erste Stufe: Aaron muss sich und seine Familie durch das persönliche Sündopfer sühnen, bevor er für das Volk handeln kann.</w:t>
      </w:r>
    </w:p>
    <w:p w14:paraId="5D98B66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lastRenderedPageBreak/>
        <w:t>Leviticus 16,7</w:t>
      </w:r>
    </w:p>
    <w:p w14:paraId="469B589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אֶת־שְׁנֵ֣י הַשְּׂעִירִ֑ם וְהֶעֱמִ֤יד אֹתָם֙ לִפְנֵ֣י יְהוָ֔ה פֶּ֖תַח אֹ֥הֶל מוֹעֵֽד׃</w:t>
      </w:r>
    </w:p>
    <w:p w14:paraId="50A2E017" w14:textId="56D4BD9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die zwei Böcke nehmen und sie stellen vor das Angesicht des Ewigen an den Eingang des Zeltes der Begegnung.</w:t>
      </w:r>
    </w:p>
    <w:p w14:paraId="137BAB8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58BCA48">
          <v:rect id="_x0000_i1487" style="width:0;height:1.5pt" o:hralign="center" o:hrstd="t" o:hr="t" fillcolor="#a0a0a0" stroked="f"/>
        </w:pict>
      </w:r>
    </w:p>
    <w:p w14:paraId="0A6FED01" w14:textId="2CAA9B93"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את־שני השעירם והעמיד אתם לפני יהוה 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zeigt die Präsentation der beiden Ziegenböcke. </w:t>
      </w:r>
      <w:r w:rsidRPr="00195E02">
        <w:rPr>
          <w:rFonts w:eastAsia="Times New Roman" w:cs="Times New Roman"/>
          <w:b/>
          <w:bCs/>
          <w:rtl/>
          <w:lang w:eastAsia="de-DE"/>
        </w:rPr>
        <w:t>ולקח את־שני השעירם</w:t>
      </w:r>
      <w:r w:rsidRPr="00195E02">
        <w:rPr>
          <w:rFonts w:eastAsia="Times New Roman" w:cs="Times New Roman"/>
          <w:rtl/>
          <w:lang w:eastAsia="de-DE"/>
        </w:rPr>
        <w:t xml:space="preserve"> </w:t>
      </w:r>
      <w:r w:rsidRPr="00195E02">
        <w:rPr>
          <w:rFonts w:eastAsia="Times New Roman" w:cs="Times New Roman"/>
          <w:lang w:eastAsia="de-DE"/>
        </w:rPr>
        <w:t xml:space="preserve">(und er soll die zwei Böcke nehmen) bezieht sich auf die Böcke aus V. 5. </w:t>
      </w:r>
      <w:r w:rsidRPr="00195E02">
        <w:rPr>
          <w:rFonts w:eastAsia="Times New Roman" w:cs="Times New Roman"/>
          <w:b/>
          <w:bCs/>
          <w:rtl/>
          <w:lang w:eastAsia="de-DE"/>
        </w:rPr>
        <w:t>והעמיד אתם לפני יהוה פתח אהל מועד</w:t>
      </w:r>
      <w:r w:rsidRPr="00195E02">
        <w:rPr>
          <w:rFonts w:eastAsia="Times New Roman" w:cs="Times New Roman"/>
          <w:rtl/>
          <w:lang w:eastAsia="de-DE"/>
        </w:rPr>
        <w:t xml:space="preserve"> </w:t>
      </w:r>
      <w:r w:rsidRPr="00195E02">
        <w:rPr>
          <w:rFonts w:eastAsia="Times New Roman" w:cs="Times New Roman"/>
          <w:lang w:eastAsia="de-DE"/>
        </w:rPr>
        <w:t xml:space="preserve">(und sie vor den </w:t>
      </w:r>
      <w:r w:rsidR="004603C6">
        <w:rPr>
          <w:rFonts w:eastAsia="Times New Roman" w:cs="Times New Roman"/>
          <w:lang w:eastAsia="de-DE"/>
        </w:rPr>
        <w:t>Ewigen</w:t>
      </w:r>
      <w:r w:rsidRPr="00195E02">
        <w:rPr>
          <w:rFonts w:eastAsia="Times New Roman" w:cs="Times New Roman"/>
          <w:lang w:eastAsia="de-DE"/>
        </w:rPr>
        <w:t xml:space="preserve"> stellen am Eingang des Zeltes der Begegnung) - </w:t>
      </w:r>
      <w:r w:rsidRPr="00195E02">
        <w:rPr>
          <w:rFonts w:eastAsia="Times New Roman" w:cs="Times New Roman"/>
          <w:b/>
          <w:bCs/>
          <w:rtl/>
          <w:lang w:eastAsia="de-DE"/>
        </w:rPr>
        <w:t>העמיד</w:t>
      </w:r>
      <w:r w:rsidRPr="00195E02">
        <w:rPr>
          <w:rFonts w:eastAsia="Times New Roman" w:cs="Times New Roman"/>
          <w:rtl/>
          <w:lang w:eastAsia="de-DE"/>
        </w:rPr>
        <w:t xml:space="preserve"> </w:t>
      </w:r>
      <w:r w:rsidRPr="00195E02">
        <w:rPr>
          <w:rFonts w:eastAsia="Times New Roman" w:cs="Times New Roman"/>
          <w:lang w:eastAsia="de-DE"/>
        </w:rPr>
        <w:t>(stellen) im Hifil-Perfekt zeigt formelle Präsentation.</w:t>
      </w:r>
    </w:p>
    <w:p w14:paraId="02E3F11F" w14:textId="5617713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לפני יהוה</w:t>
      </w:r>
      <w:r w:rsidRPr="00195E02">
        <w:rPr>
          <w:rFonts w:eastAsia="Times New Roman" w:cs="Times New Roman"/>
          <w:rtl/>
          <w:lang w:eastAsia="de-DE"/>
        </w:rPr>
        <w:t xml:space="preserve"> </w:t>
      </w:r>
      <w:r w:rsidRPr="00195E02">
        <w:rPr>
          <w:rFonts w:eastAsia="Times New Roman" w:cs="Times New Roman"/>
          <w:lang w:eastAsia="de-DE"/>
        </w:rPr>
        <w:t xml:space="preserve">(vor den </w:t>
      </w:r>
      <w:r w:rsidR="004603C6">
        <w:rPr>
          <w:rFonts w:eastAsia="Times New Roman" w:cs="Times New Roman"/>
          <w:lang w:eastAsia="de-DE"/>
        </w:rPr>
        <w:t>Ewigen</w:t>
      </w:r>
      <w:r w:rsidRPr="00195E02">
        <w:rPr>
          <w:rFonts w:eastAsia="Times New Roman" w:cs="Times New Roman"/>
          <w:lang w:eastAsia="de-DE"/>
        </w:rPr>
        <w:t xml:space="preserve">) zeigt die göttliche Präsenz bei der Losentscheidung.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(am Eingang des Zeltes der Begegnung) lokalisiert die Zeremonie im Übergangsbereich zwischen Vorhof und Heiligtum.</w:t>
      </w:r>
    </w:p>
    <w:p w14:paraId="7DA5D6C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שני השעירם</w:t>
      </w:r>
      <w:r w:rsidRPr="00195E02">
        <w:rPr>
          <w:rFonts w:eastAsia="Times New Roman" w:cs="Times New Roman"/>
          <w:rtl/>
          <w:lang w:eastAsia="de-DE"/>
        </w:rPr>
        <w:t xml:space="preserve"> </w:t>
      </w:r>
      <w:r w:rsidRPr="00195E02">
        <w:rPr>
          <w:rFonts w:eastAsia="Times New Roman" w:cs="Times New Roman"/>
          <w:lang w:eastAsia="de-DE"/>
        </w:rPr>
        <w:t xml:space="preserve">zeigt die beiden identischen Böcke vor ihrer Unterscheidung durch das Los. </w:t>
      </w:r>
      <w:r w:rsidRPr="00195E02">
        <w:rPr>
          <w:rFonts w:eastAsia="Times New Roman" w:cs="Times New Roman"/>
          <w:b/>
          <w:bCs/>
          <w:rtl/>
          <w:lang w:eastAsia="de-DE"/>
        </w:rPr>
        <w:t>לפני יהוה</w:t>
      </w:r>
      <w:r w:rsidRPr="00195E02">
        <w:rPr>
          <w:rFonts w:eastAsia="Times New Roman" w:cs="Times New Roman"/>
          <w:rtl/>
          <w:lang w:eastAsia="de-DE"/>
        </w:rPr>
        <w:t xml:space="preserve"> </w:t>
      </w:r>
      <w:r w:rsidRPr="00195E02">
        <w:rPr>
          <w:rFonts w:eastAsia="Times New Roman" w:cs="Times New Roman"/>
          <w:lang w:eastAsia="de-DE"/>
        </w:rPr>
        <w:t xml:space="preserve">betont, dass JHWH bei der Losentscheidung anwesend ist.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als Ort der Gottesbegegnung.</w:t>
      </w:r>
    </w:p>
    <w:p w14:paraId="5E2C6F3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שני השעירם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τοὺς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δύο</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χιμάρους</w:t>
      </w:r>
      <w:proofErr w:type="spellEnd"/>
      <w:r w:rsidRPr="00195E02">
        <w:rPr>
          <w:rFonts w:eastAsia="Times New Roman" w:cs="Times New Roman"/>
          <w:lang w:eastAsia="de-DE"/>
        </w:rPr>
        <w:t xml:space="preserve"> (die zwei Böcke), </w:t>
      </w:r>
      <w:r w:rsidRPr="00195E02">
        <w:rPr>
          <w:rFonts w:eastAsia="Times New Roman" w:cs="Times New Roman"/>
          <w:b/>
          <w:bCs/>
          <w:rtl/>
          <w:lang w:eastAsia="de-DE"/>
        </w:rPr>
        <w:t>והעמיד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στήσει</w:t>
      </w:r>
      <w:proofErr w:type="spellEnd"/>
      <w:r w:rsidRPr="00195E02">
        <w:rPr>
          <w:rFonts w:eastAsia="Times New Roman" w:cs="Times New Roman"/>
          <w:lang w:eastAsia="de-DE"/>
        </w:rPr>
        <w:t xml:space="preserve"> (er wird stellen) und </w:t>
      </w:r>
      <w:r w:rsidRPr="00195E02">
        <w:rPr>
          <w:rFonts w:eastAsia="Times New Roman" w:cs="Times New Roman"/>
          <w:b/>
          <w:bCs/>
          <w:rtl/>
          <w:lang w:eastAsia="de-DE"/>
        </w:rPr>
        <w:t>פתח אהל מועד</w:t>
      </w:r>
      <w:r w:rsidRPr="00195E02">
        <w:rPr>
          <w:rFonts w:eastAsia="Times New Roman" w:cs="Times New Roman"/>
          <w:rtl/>
          <w:lang w:eastAsia="de-DE"/>
        </w:rPr>
        <w:t xml:space="preserve"> </w:t>
      </w:r>
      <w:r w:rsidRPr="00195E02">
        <w:rPr>
          <w:rFonts w:eastAsia="Times New Roman" w:cs="Times New Roman"/>
          <w:lang w:eastAsia="de-DE"/>
        </w:rPr>
        <w:t>mit πα</w:t>
      </w:r>
      <w:proofErr w:type="spellStart"/>
      <w:r w:rsidRPr="00195E02">
        <w:rPr>
          <w:rFonts w:eastAsia="Times New Roman" w:cs="Times New Roman"/>
          <w:lang w:eastAsia="de-DE"/>
        </w:rPr>
        <w:t>ρὰ</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τὰς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θύρ</w:t>
      </w:r>
      <w:proofErr w:type="spellEnd"/>
      <w:r w:rsidRPr="00195E02">
        <w:rPr>
          <w:rFonts w:eastAsia="Times New Roman" w:cs="Times New Roman"/>
          <w:lang w:eastAsia="de-DE"/>
        </w:rPr>
        <w:t xml:space="preserve">ας </w:t>
      </w:r>
      <w:proofErr w:type="spellStart"/>
      <w:r w:rsidRPr="00195E02">
        <w:rPr>
          <w:rFonts w:eastAsia="Times New Roman" w:cs="Times New Roman"/>
          <w:lang w:eastAsia="de-DE"/>
        </w:rPr>
        <w:t>τῆς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σκηνῆς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μα</w:t>
      </w:r>
      <w:proofErr w:type="spellStart"/>
      <w:r w:rsidRPr="00195E02">
        <w:rPr>
          <w:rFonts w:eastAsia="Times New Roman" w:cs="Times New Roman"/>
          <w:lang w:eastAsia="de-DE"/>
        </w:rPr>
        <w:t>ρτυρίου</w:t>
      </w:r>
      <w:proofErr w:type="spellEnd"/>
      <w:r w:rsidRPr="00195E02">
        <w:rPr>
          <w:rFonts w:eastAsia="Times New Roman" w:cs="Times New Roman"/>
          <w:lang w:eastAsia="de-DE"/>
        </w:rPr>
        <w:t xml:space="preserve"> (bei den Türen des Zeltes des Zeugnisses).</w:t>
      </w:r>
    </w:p>
    <w:p w14:paraId="69B2D43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Ritualpräsentation: Entnahme der beiden Böcke + formelle Aufstellung vor JHWH + Ortsangabe. Die Struktur bereitet die Losentscheidung vor.</w:t>
      </w:r>
    </w:p>
    <w:p w14:paraId="0C840FE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formelle Präsentation der beiden identischen Ziegenböcke vor JHWH am Heiligtum für die folgende Losentscheidung.</w:t>
      </w:r>
    </w:p>
    <w:p w14:paraId="41630D8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16,8</w:t>
      </w:r>
    </w:p>
    <w:p w14:paraId="100AAA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וְנָתַ֧ן אַהֲרֹ֛ן עַל־שְׁנֵ֥י הַשְּׂעִירִ֖ם גּוֹרָל֑וֹת גּוֹרָ֤ל אֶחָד֙ לַיהוָ֔ה וְגוֹרָ֥ל אֶחָ֖ד לַעֲזָאזֵֽל׃</w:t>
      </w:r>
    </w:p>
    <w:p w14:paraId="042E0677" w14:textId="6DCF639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'Aharon soll über die zwei Böcke Lose geben: ein Los für den Ewigen und ein Los für Asasel.</w:t>
      </w:r>
    </w:p>
    <w:p w14:paraId="74BABF7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EDC0565">
          <v:rect id="_x0000_i1488" style="width:0;height:1.5pt" o:hralign="center" o:hrstd="t" o:hr="t" fillcolor="#a0a0a0" stroked="f"/>
        </w:pict>
      </w:r>
    </w:p>
    <w:p w14:paraId="3B50604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ונתן אהרן על־שני השעירם גורלות גורל אחד ליהוה וגורל אחד לעזאזל</w:t>
      </w:r>
      <w:r w:rsidRPr="00195E02">
        <w:rPr>
          <w:rFonts w:eastAsia="Times New Roman" w:cs="Times New Roman"/>
          <w:rtl/>
          <w:lang w:eastAsia="de-DE"/>
        </w:rPr>
        <w:t xml:space="preserve"> </w:t>
      </w:r>
      <w:r w:rsidRPr="00195E02">
        <w:rPr>
          <w:rFonts w:eastAsia="Times New Roman" w:cs="Times New Roman"/>
          <w:lang w:eastAsia="de-DE"/>
        </w:rPr>
        <w:t xml:space="preserve">etabliert das Losverfahren zur Bestimmung der beiden Böcke. </w:t>
      </w:r>
      <w:r w:rsidRPr="00195E02">
        <w:rPr>
          <w:rFonts w:eastAsia="Times New Roman" w:cs="Times New Roman"/>
          <w:b/>
          <w:bCs/>
          <w:rtl/>
          <w:lang w:eastAsia="de-DE"/>
        </w:rPr>
        <w:t>ונתן אהרן על־שני השעירם גורלות</w:t>
      </w:r>
      <w:r w:rsidRPr="00195E02">
        <w:rPr>
          <w:rFonts w:eastAsia="Times New Roman" w:cs="Times New Roman"/>
          <w:rtl/>
          <w:lang w:eastAsia="de-DE"/>
        </w:rPr>
        <w:t xml:space="preserve"> </w:t>
      </w:r>
      <w:r w:rsidRPr="00195E02">
        <w:rPr>
          <w:rFonts w:eastAsia="Times New Roman" w:cs="Times New Roman"/>
          <w:lang w:eastAsia="de-DE"/>
        </w:rPr>
        <w:t xml:space="preserve">(und Aaron soll über die zwei Böcke Lose geben) - </w:t>
      </w:r>
      <w:r w:rsidRPr="00195E02">
        <w:rPr>
          <w:rFonts w:eastAsia="Times New Roman" w:cs="Times New Roman"/>
          <w:b/>
          <w:bCs/>
          <w:rtl/>
          <w:lang w:eastAsia="de-DE"/>
        </w:rPr>
        <w:t>גורלות</w:t>
      </w:r>
      <w:r w:rsidRPr="00195E02">
        <w:rPr>
          <w:rFonts w:eastAsia="Times New Roman" w:cs="Times New Roman"/>
          <w:rtl/>
          <w:lang w:eastAsia="de-DE"/>
        </w:rPr>
        <w:t xml:space="preserve"> </w:t>
      </w:r>
      <w:r w:rsidRPr="00195E02">
        <w:rPr>
          <w:rFonts w:eastAsia="Times New Roman" w:cs="Times New Roman"/>
          <w:lang w:eastAsia="de-DE"/>
        </w:rPr>
        <w:t>(Lose) als Plural zeigt zwei Lose für die beiden Böcke.</w:t>
      </w:r>
    </w:p>
    <w:p w14:paraId="158B0746" w14:textId="67912D0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גורל אחד ליהוה וגורל אחד לעזאזל</w:t>
      </w:r>
      <w:r w:rsidRPr="00195E02">
        <w:rPr>
          <w:rFonts w:eastAsia="Times New Roman" w:cs="Times New Roman"/>
          <w:rtl/>
          <w:lang w:eastAsia="de-DE"/>
        </w:rPr>
        <w:t xml:space="preserve"> </w:t>
      </w:r>
      <w:r w:rsidRPr="00195E02">
        <w:rPr>
          <w:rFonts w:eastAsia="Times New Roman" w:cs="Times New Roman"/>
          <w:lang w:eastAsia="de-DE"/>
        </w:rPr>
        <w:t xml:space="preserve">(ein Los für den </w:t>
      </w:r>
      <w:r w:rsidR="004603C6">
        <w:rPr>
          <w:rFonts w:eastAsia="Times New Roman" w:cs="Times New Roman"/>
          <w:lang w:eastAsia="de-DE"/>
        </w:rPr>
        <w:t>Ewigen</w:t>
      </w:r>
      <w:r w:rsidRPr="00195E02">
        <w:rPr>
          <w:rFonts w:eastAsia="Times New Roman" w:cs="Times New Roman"/>
          <w:lang w:eastAsia="de-DE"/>
        </w:rPr>
        <w:t xml:space="preserve"> und ein Los für Asasel) zeigt die beiden Bestimmungen. </w:t>
      </w:r>
      <w:r w:rsidRPr="00195E02">
        <w:rPr>
          <w:rFonts w:eastAsia="Times New Roman" w:cs="Times New Roman"/>
          <w:b/>
          <w:bCs/>
          <w:rtl/>
          <w:lang w:eastAsia="de-DE"/>
        </w:rPr>
        <w:t>ליהוה</w:t>
      </w:r>
      <w:r w:rsidRPr="00195E02">
        <w:rPr>
          <w:rFonts w:eastAsia="Times New Roman" w:cs="Times New Roman"/>
          <w:rtl/>
          <w:lang w:eastAsia="de-DE"/>
        </w:rPr>
        <w:t xml:space="preserve"> </w:t>
      </w:r>
      <w:r w:rsidRPr="00195E02">
        <w:rPr>
          <w:rFonts w:eastAsia="Times New Roman" w:cs="Times New Roman"/>
          <w:lang w:eastAsia="de-DE"/>
        </w:rPr>
        <w:t xml:space="preserve">(für den </w:t>
      </w:r>
      <w:r w:rsidR="004603C6">
        <w:rPr>
          <w:rFonts w:eastAsia="Times New Roman" w:cs="Times New Roman"/>
          <w:lang w:eastAsia="de-DE"/>
        </w:rPr>
        <w:t>Ewigen</w:t>
      </w:r>
      <w:r w:rsidRPr="00195E02">
        <w:rPr>
          <w:rFonts w:eastAsia="Times New Roman" w:cs="Times New Roman"/>
          <w:lang w:eastAsia="de-DE"/>
        </w:rPr>
        <w:t xml:space="preserve">) zeigt den einen Bock für das reguläre Opfer. </w:t>
      </w:r>
      <w:r w:rsidRPr="00195E02">
        <w:rPr>
          <w:rFonts w:eastAsia="Times New Roman" w:cs="Times New Roman"/>
          <w:b/>
          <w:bCs/>
          <w:rtl/>
          <w:lang w:eastAsia="de-DE"/>
        </w:rPr>
        <w:lastRenderedPageBreak/>
        <w:t>לעזאזל</w:t>
      </w:r>
      <w:r w:rsidRPr="00195E02">
        <w:rPr>
          <w:rFonts w:eastAsia="Times New Roman" w:cs="Times New Roman"/>
          <w:rtl/>
          <w:lang w:eastAsia="de-DE"/>
        </w:rPr>
        <w:t xml:space="preserve"> </w:t>
      </w:r>
      <w:r w:rsidRPr="00195E02">
        <w:rPr>
          <w:rFonts w:eastAsia="Times New Roman" w:cs="Times New Roman"/>
          <w:lang w:eastAsia="de-DE"/>
        </w:rPr>
        <w:t>(für Asasel) führt einen neuen, rätselhaften Begriff ein, der nur im Jom Kippur-Ritual erscheint.</w:t>
      </w:r>
    </w:p>
    <w:p w14:paraId="11A2BC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גורלות</w:t>
      </w:r>
      <w:r w:rsidRPr="00195E02">
        <w:rPr>
          <w:rFonts w:eastAsia="Times New Roman" w:cs="Times New Roman"/>
          <w:rtl/>
          <w:lang w:eastAsia="de-DE"/>
        </w:rPr>
        <w:t xml:space="preserve"> </w:t>
      </w:r>
      <w:r w:rsidRPr="00195E02">
        <w:rPr>
          <w:rFonts w:eastAsia="Times New Roman" w:cs="Times New Roman"/>
          <w:lang w:eastAsia="de-DE"/>
        </w:rPr>
        <w:t xml:space="preserve">zeigt, dass die Entscheidung dem Zufall (= göttlicher Bestimmung) überlassen wird. </w:t>
      </w:r>
      <w:r w:rsidRPr="00195E02">
        <w:rPr>
          <w:rFonts w:eastAsia="Times New Roman" w:cs="Times New Roman"/>
          <w:b/>
          <w:bCs/>
          <w:rtl/>
          <w:lang w:eastAsia="de-DE"/>
        </w:rPr>
        <w:t>ליהוה</w:t>
      </w:r>
      <w:r w:rsidRPr="00195E02">
        <w:rPr>
          <w:rFonts w:eastAsia="Times New Roman" w:cs="Times New Roman"/>
          <w:rtl/>
          <w:lang w:eastAsia="de-DE"/>
        </w:rPr>
        <w:t xml:space="preserve"> </w:t>
      </w:r>
      <w:r w:rsidRPr="00195E02">
        <w:rPr>
          <w:rFonts w:eastAsia="Times New Roman" w:cs="Times New Roman"/>
          <w:lang w:eastAsia="de-DE"/>
        </w:rPr>
        <w:t xml:space="preserve">vs. </w:t>
      </w:r>
      <w:r w:rsidRPr="00195E02">
        <w:rPr>
          <w:rFonts w:eastAsia="Times New Roman" w:cs="Times New Roman"/>
          <w:b/>
          <w:bCs/>
          <w:rtl/>
          <w:lang w:eastAsia="de-DE"/>
        </w:rPr>
        <w:t>לעזאזל</w:t>
      </w:r>
      <w:r w:rsidRPr="00195E02">
        <w:rPr>
          <w:rFonts w:eastAsia="Times New Roman" w:cs="Times New Roman"/>
          <w:rtl/>
          <w:lang w:eastAsia="de-DE"/>
        </w:rPr>
        <w:t xml:space="preserve"> </w:t>
      </w:r>
      <w:r w:rsidRPr="00195E02">
        <w:rPr>
          <w:rFonts w:eastAsia="Times New Roman" w:cs="Times New Roman"/>
          <w:lang w:eastAsia="de-DE"/>
        </w:rPr>
        <w:t xml:space="preserve">zeigt den fundamentalen Gegensatz zwischen den beiden Bestimmungen. </w:t>
      </w:r>
      <w:r w:rsidRPr="00195E02">
        <w:rPr>
          <w:rFonts w:eastAsia="Times New Roman" w:cs="Times New Roman"/>
          <w:b/>
          <w:bCs/>
          <w:rtl/>
          <w:lang w:eastAsia="de-DE"/>
        </w:rPr>
        <w:t>עזאזל</w:t>
      </w:r>
      <w:r w:rsidRPr="00195E02">
        <w:rPr>
          <w:rFonts w:eastAsia="Times New Roman" w:cs="Times New Roman"/>
          <w:rtl/>
          <w:lang w:eastAsia="de-DE"/>
        </w:rPr>
        <w:t xml:space="preserve"> </w:t>
      </w:r>
      <w:r w:rsidRPr="00195E02">
        <w:rPr>
          <w:rFonts w:eastAsia="Times New Roman" w:cs="Times New Roman"/>
          <w:lang w:eastAsia="de-DE"/>
        </w:rPr>
        <w:t>ist eines der rätselhaftesten Wörter der hebräischen Bibel.</w:t>
      </w:r>
    </w:p>
    <w:p w14:paraId="2B2F2388" w14:textId="291F20B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E705C5">
        <w:t xml:space="preserve">übersetzt das rätselhafte </w:t>
      </w:r>
      <w:r w:rsidR="00E705C5">
        <w:rPr>
          <w:rtl/>
        </w:rPr>
        <w:t>עזאזל</w:t>
      </w:r>
      <w:r w:rsidR="00E705C5">
        <w:t xml:space="preserve"> (Azazel) als </w:t>
      </w:r>
      <w:proofErr w:type="spellStart"/>
      <w:r w:rsidR="00E705C5">
        <w:t>τῷ</w:t>
      </w:r>
      <w:proofErr w:type="spellEnd"/>
      <w:r w:rsidR="00E705C5">
        <w:t xml:space="preserve"> ἀποπ</w:t>
      </w:r>
      <w:proofErr w:type="spellStart"/>
      <w:r w:rsidR="00E705C5">
        <w:t>ομ</w:t>
      </w:r>
      <w:proofErr w:type="spellEnd"/>
      <w:r w:rsidR="00E705C5">
        <w:t>παίῳ (für den Wegschicker/Fortschicker), was eine funktionale Deutung statt einer Namensübertragung darstellt.</w:t>
      </w:r>
    </w:p>
    <w:p w14:paraId="4A72EAD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Losverfahren: Durchführender + beide Böcke + zwei Lose für zwei verschiedene Bestimmungen. Die Struktur etabliert das zentrale Ritual des Jom Kippur.</w:t>
      </w:r>
    </w:p>
    <w:p w14:paraId="35A7995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das berühmte Losverfahren zwischen dem "Los für JHWH" und dem "Los für Asasel" als Kern des Jom Kippur-Rituals.</w:t>
      </w:r>
    </w:p>
    <w:p w14:paraId="79B35029"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16,9</w:t>
      </w:r>
    </w:p>
    <w:p w14:paraId="6F172A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וְהִקְרִ֤יב אַהֲרֹן֙ אֶת־הַשָּׂעִ֔יר אֲשֶׁ֨ר עָלָ֥ה עָלָ֛יו הַגּוֹרָ֖ל לַיהוָ֑ה וְעָשָׂ֖הוּ חַטָּֽאת׃</w:t>
      </w:r>
    </w:p>
    <w:p w14:paraId="66D023AC" w14:textId="56982B1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'Aharon soll darbringen den Bock, auf den das Los für den Ewigen heraufgekommen ist, und soll ihn machen zum Sündopfer.</w:t>
      </w:r>
    </w:p>
    <w:p w14:paraId="59F57D8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9C7DA59">
          <v:rect id="_x0000_i1489" style="width:0;height:1.5pt" o:hralign="center" o:hrstd="t" o:hr="t" fillcolor="#a0a0a0" stroked="f"/>
        </w:pict>
      </w:r>
    </w:p>
    <w:p w14:paraId="39DDDADE" w14:textId="7C6D497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והקריב אהרן את־השעיר אשר עלה עליו הגורל ליהוה ועשהו חטאת</w:t>
      </w:r>
      <w:r w:rsidRPr="00195E02">
        <w:rPr>
          <w:rFonts w:eastAsia="Times New Roman" w:cs="Times New Roman"/>
          <w:rtl/>
          <w:lang w:eastAsia="de-DE"/>
        </w:rPr>
        <w:t xml:space="preserve"> </w:t>
      </w:r>
      <w:r w:rsidRPr="00195E02">
        <w:rPr>
          <w:rFonts w:eastAsia="Times New Roman" w:cs="Times New Roman"/>
          <w:lang w:eastAsia="de-DE"/>
        </w:rPr>
        <w:t xml:space="preserve">zeigt die Behandlung des ersten Bockes. </w:t>
      </w:r>
      <w:r w:rsidRPr="00195E02">
        <w:rPr>
          <w:rFonts w:eastAsia="Times New Roman" w:cs="Times New Roman"/>
          <w:b/>
          <w:bCs/>
          <w:rtl/>
          <w:lang w:eastAsia="de-DE"/>
        </w:rPr>
        <w:t>והקריב אהרן את־השעיר אשר עלה עליו הגורל ליהוה</w:t>
      </w:r>
      <w:r w:rsidRPr="00195E02">
        <w:rPr>
          <w:rFonts w:eastAsia="Times New Roman" w:cs="Times New Roman"/>
          <w:rtl/>
          <w:lang w:eastAsia="de-DE"/>
        </w:rPr>
        <w:t xml:space="preserve"> </w:t>
      </w:r>
      <w:r w:rsidRPr="00195E02">
        <w:rPr>
          <w:rFonts w:eastAsia="Times New Roman" w:cs="Times New Roman"/>
          <w:lang w:eastAsia="de-DE"/>
        </w:rPr>
        <w:t xml:space="preserve">(und Aaron soll den Bock darbringen, auf den das Los für den </w:t>
      </w:r>
      <w:r w:rsidR="004603C6">
        <w:rPr>
          <w:rFonts w:eastAsia="Times New Roman" w:cs="Times New Roman"/>
          <w:lang w:eastAsia="de-DE"/>
        </w:rPr>
        <w:t>Ewigen</w:t>
      </w:r>
      <w:r w:rsidRPr="00195E02">
        <w:rPr>
          <w:rFonts w:eastAsia="Times New Roman" w:cs="Times New Roman"/>
          <w:lang w:eastAsia="de-DE"/>
        </w:rPr>
        <w:t xml:space="preserve"> gefallen ist) - </w:t>
      </w:r>
      <w:r w:rsidRPr="00195E02">
        <w:rPr>
          <w:rFonts w:eastAsia="Times New Roman" w:cs="Times New Roman"/>
          <w:b/>
          <w:bCs/>
          <w:rtl/>
          <w:lang w:eastAsia="de-DE"/>
        </w:rPr>
        <w:t>עלה עליו הגורל</w:t>
      </w:r>
      <w:r w:rsidRPr="00195E02">
        <w:rPr>
          <w:rFonts w:eastAsia="Times New Roman" w:cs="Times New Roman"/>
          <w:rtl/>
          <w:lang w:eastAsia="de-DE"/>
        </w:rPr>
        <w:t xml:space="preserve"> </w:t>
      </w:r>
      <w:r w:rsidRPr="00195E02">
        <w:rPr>
          <w:rFonts w:eastAsia="Times New Roman" w:cs="Times New Roman"/>
          <w:lang w:eastAsia="de-DE"/>
        </w:rPr>
        <w:t>(das Los ist auf ihn gefallen) als Redensart für Losausgang.</w:t>
      </w:r>
    </w:p>
    <w:p w14:paraId="0F22584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ועשהו חטאת</w:t>
      </w:r>
      <w:r w:rsidRPr="00195E02">
        <w:rPr>
          <w:rFonts w:eastAsia="Times New Roman" w:cs="Times New Roman"/>
          <w:rtl/>
          <w:lang w:eastAsia="de-DE"/>
        </w:rPr>
        <w:t xml:space="preserve"> </w:t>
      </w:r>
      <w:r w:rsidRPr="00195E02">
        <w:rPr>
          <w:rFonts w:eastAsia="Times New Roman" w:cs="Times New Roman"/>
          <w:lang w:eastAsia="de-DE"/>
        </w:rPr>
        <w:t xml:space="preserve">(und ihn als Sündopfer bereiten) - </w:t>
      </w:r>
      <w:r w:rsidRPr="00195E02">
        <w:rPr>
          <w:rFonts w:eastAsia="Times New Roman" w:cs="Times New Roman"/>
          <w:b/>
          <w:bCs/>
          <w:rtl/>
          <w:lang w:eastAsia="de-DE"/>
        </w:rPr>
        <w:t>עשהו</w:t>
      </w:r>
      <w:r w:rsidRPr="00195E02">
        <w:rPr>
          <w:rFonts w:eastAsia="Times New Roman" w:cs="Times New Roman"/>
          <w:rtl/>
          <w:lang w:eastAsia="de-DE"/>
        </w:rPr>
        <w:t xml:space="preserve"> </w:t>
      </w:r>
      <w:r w:rsidRPr="00195E02">
        <w:rPr>
          <w:rFonts w:eastAsia="Times New Roman" w:cs="Times New Roman"/>
          <w:lang w:eastAsia="de-DE"/>
        </w:rPr>
        <w:t xml:space="preserve">(ihn bereiten) mit Objektsuffix, </w:t>
      </w:r>
      <w:r w:rsidRPr="00195E02">
        <w:rPr>
          <w:rFonts w:eastAsia="Times New Roman" w:cs="Times New Roman"/>
          <w:b/>
          <w:bCs/>
          <w:rtl/>
          <w:lang w:eastAsia="de-DE"/>
        </w:rPr>
        <w:t>חטאת</w:t>
      </w:r>
      <w:r w:rsidRPr="00195E02">
        <w:rPr>
          <w:rFonts w:eastAsia="Times New Roman" w:cs="Times New Roman"/>
          <w:rtl/>
          <w:lang w:eastAsia="de-DE"/>
        </w:rPr>
        <w:t xml:space="preserve"> </w:t>
      </w:r>
      <w:r w:rsidRPr="00195E02">
        <w:rPr>
          <w:rFonts w:eastAsia="Times New Roman" w:cs="Times New Roman"/>
          <w:lang w:eastAsia="de-DE"/>
        </w:rPr>
        <w:t>zeigt die Klassifikation als reguläres Sündopfer.</w:t>
      </w:r>
    </w:p>
    <w:p w14:paraId="33A18FA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עלה עליו הגורל ליהוה</w:t>
      </w:r>
      <w:r w:rsidRPr="00195E02">
        <w:rPr>
          <w:rFonts w:eastAsia="Times New Roman" w:cs="Times New Roman"/>
          <w:rtl/>
          <w:lang w:eastAsia="de-DE"/>
        </w:rPr>
        <w:t xml:space="preserve"> </w:t>
      </w:r>
      <w:r w:rsidRPr="00195E02">
        <w:rPr>
          <w:rFonts w:eastAsia="Times New Roman" w:cs="Times New Roman"/>
          <w:lang w:eastAsia="de-DE"/>
        </w:rPr>
        <w:t xml:space="preserve">zeigt göttliche Bestimmung durch das Los. </w:t>
      </w:r>
      <w:r w:rsidRPr="00195E02">
        <w:rPr>
          <w:rFonts w:eastAsia="Times New Roman" w:cs="Times New Roman"/>
          <w:b/>
          <w:bCs/>
          <w:rtl/>
          <w:lang w:eastAsia="de-DE"/>
        </w:rPr>
        <w:t>ועשהו חטאת</w:t>
      </w:r>
      <w:r w:rsidRPr="00195E02">
        <w:rPr>
          <w:rFonts w:eastAsia="Times New Roman" w:cs="Times New Roman"/>
          <w:rtl/>
          <w:lang w:eastAsia="de-DE"/>
        </w:rPr>
        <w:t xml:space="preserve"> </w:t>
      </w:r>
      <w:r w:rsidRPr="00195E02">
        <w:rPr>
          <w:rFonts w:eastAsia="Times New Roman" w:cs="Times New Roman"/>
          <w:lang w:eastAsia="de-DE"/>
        </w:rPr>
        <w:t xml:space="preserve">zeigt, dass dieser Bock den normalen </w:t>
      </w:r>
      <w:proofErr w:type="spellStart"/>
      <w:r w:rsidRPr="00195E02">
        <w:rPr>
          <w:rFonts w:eastAsia="Times New Roman" w:cs="Times New Roman"/>
          <w:lang w:eastAsia="de-DE"/>
        </w:rPr>
        <w:t>Sündopferweg</w:t>
      </w:r>
      <w:proofErr w:type="spellEnd"/>
      <w:r w:rsidRPr="00195E02">
        <w:rPr>
          <w:rFonts w:eastAsia="Times New Roman" w:cs="Times New Roman"/>
          <w:lang w:eastAsia="de-DE"/>
        </w:rPr>
        <w:t xml:space="preserve"> geht im Gegensatz zum Asasel-Bock.</w:t>
      </w:r>
    </w:p>
    <w:p w14:paraId="58100CA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עלה עליו הגורל</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ἀνέ</w:t>
      </w:r>
      <w:proofErr w:type="spellEnd"/>
      <w:r w:rsidRPr="00195E02">
        <w:rPr>
          <w:rFonts w:eastAsia="Times New Roman" w:cs="Times New Roman"/>
          <w:lang w:eastAsia="de-DE"/>
        </w:rPr>
        <w:t>βη ἐπ᾽ α</w:t>
      </w:r>
      <w:proofErr w:type="spellStart"/>
      <w:r w:rsidRPr="00195E02">
        <w:rPr>
          <w:rFonts w:eastAsia="Times New Roman" w:cs="Times New Roman"/>
          <w:lang w:eastAsia="de-DE"/>
        </w:rPr>
        <w:t>ὐτὸν</w:t>
      </w:r>
      <w:proofErr w:type="spellEnd"/>
      <w:r w:rsidRPr="00195E02">
        <w:rPr>
          <w:rFonts w:eastAsia="Times New Roman" w:cs="Times New Roman"/>
          <w:lang w:eastAsia="de-DE"/>
        </w:rPr>
        <w:t xml:space="preserve"> ὁ </w:t>
      </w:r>
      <w:proofErr w:type="spellStart"/>
      <w:r w:rsidRPr="00195E02">
        <w:rPr>
          <w:rFonts w:eastAsia="Times New Roman" w:cs="Times New Roman"/>
          <w:lang w:eastAsia="de-DE"/>
        </w:rPr>
        <w:t>κλῆρος</w:t>
      </w:r>
      <w:proofErr w:type="spellEnd"/>
      <w:r w:rsidRPr="00195E02">
        <w:rPr>
          <w:rFonts w:eastAsia="Times New Roman" w:cs="Times New Roman"/>
          <w:lang w:eastAsia="de-DE"/>
        </w:rPr>
        <w:t xml:space="preserve"> (das Los kam auf ihn herauf), </w:t>
      </w:r>
      <w:r w:rsidRPr="00195E02">
        <w:rPr>
          <w:rFonts w:eastAsia="Times New Roman" w:cs="Times New Roman"/>
          <w:b/>
          <w:bCs/>
          <w:rtl/>
          <w:lang w:eastAsia="de-DE"/>
        </w:rPr>
        <w:t>ליהוה</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τῷ</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κυρίῳ</w:t>
      </w:r>
      <w:proofErr w:type="spellEnd"/>
      <w:r w:rsidRPr="00195E02">
        <w:rPr>
          <w:rFonts w:eastAsia="Times New Roman" w:cs="Times New Roman"/>
          <w:lang w:eastAsia="de-DE"/>
        </w:rPr>
        <w:t xml:space="preserve"> (dem Herrn) und </w:t>
      </w:r>
      <w:r w:rsidRPr="00195E02">
        <w:rPr>
          <w:rFonts w:eastAsia="Times New Roman" w:cs="Times New Roman"/>
          <w:b/>
          <w:bCs/>
          <w:rtl/>
          <w:lang w:eastAsia="de-DE"/>
        </w:rPr>
        <w:t>ועשהו חטאת</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οιήσει</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ἁμ</w:t>
      </w:r>
      <w:proofErr w:type="spellEnd"/>
      <w:r w:rsidRPr="00195E02">
        <w:rPr>
          <w:rFonts w:eastAsia="Times New Roman" w:cs="Times New Roman"/>
          <w:lang w:eastAsia="de-DE"/>
        </w:rPr>
        <w:t>αρτίας (er wird ihn zum Sündopfer machen).</w:t>
      </w:r>
    </w:p>
    <w:p w14:paraId="7AC20B2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erste Bestimmung: Auswahl durch Los + Darbringung + Klassifikation als Sündopfer. Die Struktur zeigt den regulären Opferweg für den JHWH-Bock.</w:t>
      </w:r>
    </w:p>
    <w:p w14:paraId="0131CE2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dass der für JHWH bestimmte Bock als normales Sündopfer geschlachtet und dargebracht wird.</w:t>
      </w:r>
    </w:p>
    <w:p w14:paraId="6EBD7312"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16,10</w:t>
      </w:r>
    </w:p>
    <w:p w14:paraId="74F4646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Hebräisch:</w:t>
      </w:r>
      <w:r w:rsidRPr="00195E02">
        <w:rPr>
          <w:rFonts w:eastAsia="Times New Roman" w:cs="Times New Roman"/>
          <w:lang w:eastAsia="de-DE"/>
        </w:rPr>
        <w:t xml:space="preserve"> </w:t>
      </w:r>
      <w:r w:rsidRPr="00195E02">
        <w:rPr>
          <w:rFonts w:eastAsia="Times New Roman" w:cs="Times New Roman"/>
          <w:rtl/>
          <w:lang w:eastAsia="de-DE"/>
        </w:rPr>
        <w:t>וְהַשָּׂעִ֗יר אֲשֶׁר֩ עָלָ֨ה עָלָ֤יו הַגּוֹרָל֙ לַעֲזָאזֵ֔ל יָֽעֳמַד־חַ֛י לִפְנֵ֥י יְהוָ֖ה לְכַפֵּ֣ר עָלָ֑יו לְשַׁלַּ֥ח אֹתוֹ֛ לַעֲזָאזֵ֖ל הַמִּדְבָּֽרָה׃</w:t>
      </w:r>
    </w:p>
    <w:p w14:paraId="5EBC1017" w14:textId="78AC2E24"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der Bock, auf den das Los für Asasel heraufgekommen ist, soll lebendig gestellt werden vor das Angesicht des Ewigen, um auf ihm Sühne zu erwirken, um ihn zu senden für Asasel in die Wüste.</w:t>
      </w:r>
    </w:p>
    <w:p w14:paraId="6FC2325F"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310361D">
          <v:rect id="_x0000_i1490" style="width:0;height:1.5pt" o:hralign="center" o:hrstd="t" o:hr="t" fillcolor="#a0a0a0" stroked="f"/>
        </w:pict>
      </w:r>
    </w:p>
    <w:p w14:paraId="0813558F" w14:textId="6DA9A36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והשעיר אשר עלה עליו הגורל לעזאזל יעמד־חי לפני יהוה לכפר עליו לשלח אתו לעזאזל המדברה</w:t>
      </w:r>
      <w:r w:rsidRPr="00195E02">
        <w:rPr>
          <w:rFonts w:eastAsia="Times New Roman" w:cs="Times New Roman"/>
          <w:rtl/>
          <w:lang w:eastAsia="de-DE"/>
        </w:rPr>
        <w:t xml:space="preserve"> </w:t>
      </w:r>
      <w:r w:rsidRPr="00195E02">
        <w:rPr>
          <w:rFonts w:eastAsia="Times New Roman" w:cs="Times New Roman"/>
          <w:lang w:eastAsia="de-DE"/>
        </w:rPr>
        <w:t xml:space="preserve">zeigt die völlig andere Behandlung des zweiten Bockes. </w:t>
      </w:r>
      <w:r w:rsidRPr="00195E02">
        <w:rPr>
          <w:rFonts w:eastAsia="Times New Roman" w:cs="Times New Roman"/>
          <w:b/>
          <w:bCs/>
          <w:rtl/>
          <w:lang w:eastAsia="de-DE"/>
        </w:rPr>
        <w:t>והשעיר אשר עלה עליו הגורל לעזאזל</w:t>
      </w:r>
      <w:r w:rsidRPr="00195E02">
        <w:rPr>
          <w:rFonts w:eastAsia="Times New Roman" w:cs="Times New Roman"/>
          <w:rtl/>
          <w:lang w:eastAsia="de-DE"/>
        </w:rPr>
        <w:t xml:space="preserve"> </w:t>
      </w:r>
      <w:r w:rsidRPr="00195E02">
        <w:rPr>
          <w:rFonts w:eastAsia="Times New Roman" w:cs="Times New Roman"/>
          <w:lang w:eastAsia="de-DE"/>
        </w:rPr>
        <w:t xml:space="preserve">(und der Bock, auf den das Los für Asasel gefallen ist) entspricht V. 9. </w:t>
      </w:r>
      <w:r w:rsidRPr="00195E02">
        <w:rPr>
          <w:rFonts w:eastAsia="Times New Roman" w:cs="Times New Roman"/>
          <w:b/>
          <w:bCs/>
          <w:rtl/>
          <w:lang w:eastAsia="de-DE"/>
        </w:rPr>
        <w:t>יעמד־חי לפני יהוה</w:t>
      </w:r>
      <w:r w:rsidRPr="00195E02">
        <w:rPr>
          <w:rFonts w:eastAsia="Times New Roman" w:cs="Times New Roman"/>
          <w:rtl/>
          <w:lang w:eastAsia="de-DE"/>
        </w:rPr>
        <w:t xml:space="preserve"> </w:t>
      </w:r>
      <w:r w:rsidRPr="00195E02">
        <w:rPr>
          <w:rFonts w:eastAsia="Times New Roman" w:cs="Times New Roman"/>
          <w:lang w:eastAsia="de-DE"/>
        </w:rPr>
        <w:t xml:space="preserve">(soll lebendig vor den </w:t>
      </w:r>
      <w:r w:rsidR="004603C6">
        <w:rPr>
          <w:rFonts w:eastAsia="Times New Roman" w:cs="Times New Roman"/>
          <w:lang w:eastAsia="de-DE"/>
        </w:rPr>
        <w:t>Ewigen</w:t>
      </w:r>
      <w:r w:rsidRPr="00195E02">
        <w:rPr>
          <w:rFonts w:eastAsia="Times New Roman" w:cs="Times New Roman"/>
          <w:lang w:eastAsia="de-DE"/>
        </w:rPr>
        <w:t xml:space="preserve"> gestellt werden) - </w:t>
      </w:r>
      <w:r w:rsidRPr="00195E02">
        <w:rPr>
          <w:rFonts w:eastAsia="Times New Roman" w:cs="Times New Roman"/>
          <w:b/>
          <w:bCs/>
          <w:rtl/>
          <w:lang w:eastAsia="de-DE"/>
        </w:rPr>
        <w:t>חי</w:t>
      </w:r>
      <w:r w:rsidRPr="00195E02">
        <w:rPr>
          <w:rFonts w:eastAsia="Times New Roman" w:cs="Times New Roman"/>
          <w:rtl/>
          <w:lang w:eastAsia="de-DE"/>
        </w:rPr>
        <w:t xml:space="preserve"> </w:t>
      </w:r>
      <w:r w:rsidRPr="00195E02">
        <w:rPr>
          <w:rFonts w:eastAsia="Times New Roman" w:cs="Times New Roman"/>
          <w:lang w:eastAsia="de-DE"/>
        </w:rPr>
        <w:t>(lebendig) im Gegensatz zur Schlachtung des ersten Bockes.</w:t>
      </w:r>
    </w:p>
    <w:p w14:paraId="68C609E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לכפר עליו לשלח אתו לעזאזל המדברה</w:t>
      </w:r>
      <w:r w:rsidRPr="00195E02">
        <w:rPr>
          <w:rFonts w:eastAsia="Times New Roman" w:cs="Times New Roman"/>
          <w:rtl/>
          <w:lang w:eastAsia="de-DE"/>
        </w:rPr>
        <w:t xml:space="preserve"> </w:t>
      </w:r>
      <w:r w:rsidRPr="00195E02">
        <w:rPr>
          <w:rFonts w:eastAsia="Times New Roman" w:cs="Times New Roman"/>
          <w:lang w:eastAsia="de-DE"/>
        </w:rPr>
        <w:t xml:space="preserve">(um auf ihm Sühne zu erwirken, um ihn zu Asasel in die Wüste zu senden) zeigt den Zweck. </w:t>
      </w:r>
      <w:r w:rsidRPr="00195E02">
        <w:rPr>
          <w:rFonts w:eastAsia="Times New Roman" w:cs="Times New Roman"/>
          <w:b/>
          <w:bCs/>
          <w:rtl/>
          <w:lang w:eastAsia="de-DE"/>
        </w:rPr>
        <w:t>לכפר עליו</w:t>
      </w:r>
      <w:r w:rsidRPr="00195E02">
        <w:rPr>
          <w:rFonts w:eastAsia="Times New Roman" w:cs="Times New Roman"/>
          <w:rtl/>
          <w:lang w:eastAsia="de-DE"/>
        </w:rPr>
        <w:t xml:space="preserve"> </w:t>
      </w:r>
      <w:r w:rsidRPr="00195E02">
        <w:rPr>
          <w:rFonts w:eastAsia="Times New Roman" w:cs="Times New Roman"/>
          <w:lang w:eastAsia="de-DE"/>
        </w:rPr>
        <w:t xml:space="preserve">(um auf ihm Sühne zu erwirken) zeigt, dass auch der lebendige Bock Sühne bewirkt. </w:t>
      </w:r>
      <w:r w:rsidRPr="00195E02">
        <w:rPr>
          <w:rFonts w:eastAsia="Times New Roman" w:cs="Times New Roman"/>
          <w:b/>
          <w:bCs/>
          <w:rtl/>
          <w:lang w:eastAsia="de-DE"/>
        </w:rPr>
        <w:t>לשלח אתו לעזאזל המדברה</w:t>
      </w:r>
      <w:r w:rsidRPr="00195E02">
        <w:rPr>
          <w:rFonts w:eastAsia="Times New Roman" w:cs="Times New Roman"/>
          <w:rtl/>
          <w:lang w:eastAsia="de-DE"/>
        </w:rPr>
        <w:t xml:space="preserve"> </w:t>
      </w:r>
      <w:r w:rsidRPr="00195E02">
        <w:rPr>
          <w:rFonts w:eastAsia="Times New Roman" w:cs="Times New Roman"/>
          <w:lang w:eastAsia="de-DE"/>
        </w:rPr>
        <w:t>(um ihn zu Asasel in die Wüste zu senden) zeigt das einzigartige Ritual.</w:t>
      </w:r>
    </w:p>
    <w:p w14:paraId="1077545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חי</w:t>
      </w:r>
      <w:r w:rsidRPr="00195E02">
        <w:rPr>
          <w:rFonts w:eastAsia="Times New Roman" w:cs="Times New Roman"/>
          <w:rtl/>
          <w:lang w:eastAsia="de-DE"/>
        </w:rPr>
        <w:t xml:space="preserve"> </w:t>
      </w:r>
      <w:r w:rsidRPr="00195E02">
        <w:rPr>
          <w:rFonts w:eastAsia="Times New Roman" w:cs="Times New Roman"/>
          <w:lang w:eastAsia="de-DE"/>
        </w:rPr>
        <w:t xml:space="preserve">betont das Leben des Bockes im Gegensatz zum geschlachteten ersten Bock. </w:t>
      </w:r>
      <w:r w:rsidRPr="00195E02">
        <w:rPr>
          <w:rFonts w:eastAsia="Times New Roman" w:cs="Times New Roman"/>
          <w:b/>
          <w:bCs/>
          <w:rtl/>
          <w:lang w:eastAsia="de-DE"/>
        </w:rPr>
        <w:t>לכפר עליו</w:t>
      </w:r>
      <w:r w:rsidRPr="00195E02">
        <w:rPr>
          <w:rFonts w:eastAsia="Times New Roman" w:cs="Times New Roman"/>
          <w:rtl/>
          <w:lang w:eastAsia="de-DE"/>
        </w:rPr>
        <w:t xml:space="preserve"> </w:t>
      </w:r>
      <w:r w:rsidRPr="00195E02">
        <w:rPr>
          <w:rFonts w:eastAsia="Times New Roman" w:cs="Times New Roman"/>
          <w:lang w:eastAsia="de-DE"/>
        </w:rPr>
        <w:t xml:space="preserve">zeigt, dass beide Böcke zusammen das eine Sündopfer bilden. </w:t>
      </w:r>
      <w:r w:rsidRPr="00195E02">
        <w:rPr>
          <w:rFonts w:eastAsia="Times New Roman" w:cs="Times New Roman"/>
          <w:b/>
          <w:bCs/>
          <w:rtl/>
          <w:lang w:eastAsia="de-DE"/>
        </w:rPr>
        <w:t>עזאזל המדברה</w:t>
      </w:r>
      <w:r w:rsidRPr="00195E02">
        <w:rPr>
          <w:rFonts w:eastAsia="Times New Roman" w:cs="Times New Roman"/>
          <w:rtl/>
          <w:lang w:eastAsia="de-DE"/>
        </w:rPr>
        <w:t xml:space="preserve"> </w:t>
      </w:r>
      <w:r w:rsidRPr="00195E02">
        <w:rPr>
          <w:rFonts w:eastAsia="Times New Roman" w:cs="Times New Roman"/>
          <w:lang w:eastAsia="de-DE"/>
        </w:rPr>
        <w:t xml:space="preserve">verbindet </w:t>
      </w:r>
      <w:r w:rsidRPr="00195E02">
        <w:rPr>
          <w:rFonts w:eastAsia="Times New Roman" w:cs="Times New Roman"/>
          <w:b/>
          <w:bCs/>
          <w:rtl/>
          <w:lang w:eastAsia="de-DE"/>
        </w:rPr>
        <w:t>עזאזל</w:t>
      </w:r>
      <w:r w:rsidRPr="00195E02">
        <w:rPr>
          <w:rFonts w:eastAsia="Times New Roman" w:cs="Times New Roman"/>
          <w:rtl/>
          <w:lang w:eastAsia="de-DE"/>
        </w:rPr>
        <w:t xml:space="preserve"> </w:t>
      </w:r>
      <w:r w:rsidRPr="00195E02">
        <w:rPr>
          <w:rFonts w:eastAsia="Times New Roman" w:cs="Times New Roman"/>
          <w:lang w:eastAsia="de-DE"/>
        </w:rPr>
        <w:t>mit der Wüste.</w:t>
      </w:r>
    </w:p>
    <w:p w14:paraId="4CEB4A86" w14:textId="7D96987D"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E705C5">
        <w:t xml:space="preserve">erweitert die Erklärung zu Azazel: </w:t>
      </w:r>
      <w:proofErr w:type="spellStart"/>
      <w:r w:rsidR="00E705C5">
        <w:t>εἰς</w:t>
      </w:r>
      <w:proofErr w:type="spellEnd"/>
      <w:r w:rsidR="00E705C5">
        <w:t xml:space="preserve"> </w:t>
      </w:r>
      <w:proofErr w:type="spellStart"/>
      <w:r w:rsidR="00E705C5">
        <w:t>τὴν</w:t>
      </w:r>
      <w:proofErr w:type="spellEnd"/>
      <w:r w:rsidR="00E705C5">
        <w:t xml:space="preserve"> ἀποπ</w:t>
      </w:r>
      <w:proofErr w:type="spellStart"/>
      <w:r w:rsidR="00E705C5">
        <w:t>ομ</w:t>
      </w:r>
      <w:proofErr w:type="spellEnd"/>
      <w:r w:rsidR="00E705C5">
        <w:t xml:space="preserve">πήν· </w:t>
      </w:r>
      <w:proofErr w:type="spellStart"/>
      <w:r w:rsidR="00E705C5">
        <w:t>ἀφήσει</w:t>
      </w:r>
      <w:proofErr w:type="spellEnd"/>
      <w:r w:rsidR="00E705C5">
        <w:t xml:space="preserve"> α</w:t>
      </w:r>
      <w:proofErr w:type="spellStart"/>
      <w:r w:rsidR="00E705C5">
        <w:t>ὐτὸν</w:t>
      </w:r>
      <w:proofErr w:type="spellEnd"/>
      <w:r w:rsidR="00E705C5">
        <w:t xml:space="preserve"> </w:t>
      </w:r>
      <w:proofErr w:type="spellStart"/>
      <w:r w:rsidR="00E705C5">
        <w:t>εἰς</w:t>
      </w:r>
      <w:proofErr w:type="spellEnd"/>
      <w:r w:rsidR="00E705C5">
        <w:t xml:space="preserve"> </w:t>
      </w:r>
      <w:proofErr w:type="spellStart"/>
      <w:r w:rsidR="00E705C5">
        <w:t>τὴν</w:t>
      </w:r>
      <w:proofErr w:type="spellEnd"/>
      <w:r w:rsidR="00E705C5">
        <w:t xml:space="preserve"> </w:t>
      </w:r>
      <w:proofErr w:type="spellStart"/>
      <w:r w:rsidR="00E705C5">
        <w:t>ἔρημον</w:t>
      </w:r>
      <w:proofErr w:type="spellEnd"/>
      <w:r w:rsidR="00E705C5">
        <w:t xml:space="preserve"> (zur Wegschickung; er soll ihn in die Wüste entlassen), was das Konzept durch Dopplung verdeutlicht.</w:t>
      </w:r>
    </w:p>
    <w:p w14:paraId="7996C40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alternative Bestimmung: Asasel-Los + lebendige Aufstellung + Sühnezweck + Wüstensendung zu Asasel. Die Struktur zeigt das einzigartige Asasel-Ritual.</w:t>
      </w:r>
    </w:p>
    <w:p w14:paraId="27EA459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etabliert das rätselhafte Asasel-Ritual: der zweite Bock bleibt lebendig und wird nach einer Sühnezeremonie zu Asasel in die Wüste gesandt.</w:t>
      </w:r>
    </w:p>
    <w:p w14:paraId="667FAA4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16,11</w:t>
      </w:r>
    </w:p>
    <w:p w14:paraId="4AB455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וְהִקְרִ֨יב אַהֲרֹ֜ן אֶת־פַּ֤ר הַֽחַטָּאת֙ אֲשֶׁר־לוֹ֔ וְכִפֶּ֥ר בַּֽעֲדֹ֖ו וּבְעַ֣ד בֵּיתֹ֑ו וְשָׁחַ֛ט אֶת־פַּ֥ר הַֽחַטָּ֖את אֲשֶׁר־לוֹֽ׃</w:t>
      </w:r>
    </w:p>
    <w:p w14:paraId="0349F560" w14:textId="31267E3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'Aharon soll darbringen den Stier des Sündopfers, der für ihn ist, und soll Sühne erwirken für sich und für sein Haus; und er soll schlachten den Stier des Sündopfers, der für ihn ist.</w:t>
      </w:r>
    </w:p>
    <w:p w14:paraId="475722D1"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6133379">
          <v:rect id="_x0000_i1491" style="width:0;height:1.5pt" o:hralign="center" o:hrstd="t" o:hr="t" fillcolor="#a0a0a0" stroked="f"/>
        </w:pict>
      </w:r>
    </w:p>
    <w:p w14:paraId="74DF759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והקריב אהרן את־פר החטאת אשר־לו וכפר בעדו ובעד ביתו ושחט את־פר החטאת אשר־לו</w:t>
      </w:r>
      <w:r w:rsidRPr="00195E02">
        <w:rPr>
          <w:rFonts w:eastAsia="Times New Roman" w:cs="Times New Roman"/>
          <w:rtl/>
          <w:lang w:eastAsia="de-DE"/>
        </w:rPr>
        <w:t xml:space="preserve"> </w:t>
      </w:r>
      <w:r w:rsidRPr="00195E02">
        <w:rPr>
          <w:rFonts w:eastAsia="Times New Roman" w:cs="Times New Roman"/>
          <w:lang w:eastAsia="de-DE"/>
        </w:rPr>
        <w:t xml:space="preserve">wiederholt und erweitert V. 6 mit der tatsächlichen Schlachtung. </w:t>
      </w:r>
      <w:r w:rsidRPr="00195E02">
        <w:rPr>
          <w:rFonts w:eastAsia="Times New Roman" w:cs="Times New Roman"/>
          <w:b/>
          <w:bCs/>
          <w:rtl/>
          <w:lang w:eastAsia="de-DE"/>
        </w:rPr>
        <w:t>והקריב אהרן את־פר החטאת אשר־לו וכפר בעדו ובעד ביתו</w:t>
      </w:r>
      <w:r w:rsidRPr="00195E02">
        <w:rPr>
          <w:rFonts w:eastAsia="Times New Roman" w:cs="Times New Roman"/>
          <w:rtl/>
          <w:lang w:eastAsia="de-DE"/>
        </w:rPr>
        <w:t xml:space="preserve"> </w:t>
      </w:r>
      <w:r w:rsidRPr="00195E02">
        <w:rPr>
          <w:rFonts w:eastAsia="Times New Roman" w:cs="Times New Roman"/>
          <w:lang w:eastAsia="de-DE"/>
        </w:rPr>
        <w:t xml:space="preserve">entspricht exakt V. 6. </w:t>
      </w:r>
      <w:r w:rsidRPr="00195E02">
        <w:rPr>
          <w:rFonts w:eastAsia="Times New Roman" w:cs="Times New Roman"/>
          <w:b/>
          <w:bCs/>
          <w:rtl/>
          <w:lang w:eastAsia="de-DE"/>
        </w:rPr>
        <w:t>ושחט את־פר החטאת אשר־לו</w:t>
      </w:r>
      <w:r w:rsidRPr="00195E02">
        <w:rPr>
          <w:rFonts w:eastAsia="Times New Roman" w:cs="Times New Roman"/>
          <w:rtl/>
          <w:lang w:eastAsia="de-DE"/>
        </w:rPr>
        <w:t xml:space="preserve"> </w:t>
      </w:r>
      <w:r w:rsidRPr="00195E02">
        <w:rPr>
          <w:rFonts w:eastAsia="Times New Roman" w:cs="Times New Roman"/>
          <w:lang w:eastAsia="de-DE"/>
        </w:rPr>
        <w:t>(und er soll den Stier des Sündopfers, der für ihn ist, schlachten) fügt die tatsächliche Schlachtung hinzu.</w:t>
      </w:r>
    </w:p>
    <w:p w14:paraId="3BAEB4D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lastRenderedPageBreak/>
        <w:t xml:space="preserve">Die Wiederholung zeigt die Wichtigkeit der priesterlichen Selbstsühne vor allen anderen Ritualen. </w:t>
      </w:r>
      <w:r w:rsidRPr="00195E02">
        <w:rPr>
          <w:rFonts w:eastAsia="Times New Roman" w:cs="Times New Roman"/>
          <w:b/>
          <w:bCs/>
          <w:rtl/>
          <w:lang w:eastAsia="de-DE"/>
        </w:rPr>
        <w:t>אשר־לו</w:t>
      </w:r>
      <w:r w:rsidRPr="00195E02">
        <w:rPr>
          <w:rFonts w:eastAsia="Times New Roman" w:cs="Times New Roman"/>
          <w:rtl/>
          <w:lang w:eastAsia="de-DE"/>
        </w:rPr>
        <w:t xml:space="preserve"> </w:t>
      </w:r>
      <w:r w:rsidRPr="00195E02">
        <w:rPr>
          <w:rFonts w:eastAsia="Times New Roman" w:cs="Times New Roman"/>
          <w:lang w:eastAsia="de-DE"/>
        </w:rPr>
        <w:t>wird dreimal wiederholt und betont die persönliche Verantwortung Aarons.</w:t>
      </w:r>
    </w:p>
    <w:p w14:paraId="385B67C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entsprechend V. 6 mit </w:t>
      </w:r>
      <w:r w:rsidRPr="00195E02">
        <w:rPr>
          <w:rFonts w:eastAsia="Times New Roman" w:cs="Times New Roman"/>
          <w:b/>
          <w:bCs/>
          <w:lang w:eastAsia="de-DE"/>
        </w:rPr>
        <w:t xml:space="preserve">καὶ </w:t>
      </w:r>
      <w:proofErr w:type="spellStart"/>
      <w:r w:rsidRPr="00195E02">
        <w:rPr>
          <w:rFonts w:eastAsia="Times New Roman" w:cs="Times New Roman"/>
          <w:b/>
          <w:bCs/>
          <w:lang w:eastAsia="de-DE"/>
        </w:rPr>
        <w:t>σφάξει</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τὸν</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μόσχον</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τὸν</w:t>
      </w:r>
      <w:proofErr w:type="spellEnd"/>
      <w:r w:rsidRPr="00195E02">
        <w:rPr>
          <w:rFonts w:eastAsia="Times New Roman" w:cs="Times New Roman"/>
          <w:b/>
          <w:bCs/>
          <w:lang w:eastAsia="de-DE"/>
        </w:rPr>
        <w:t xml:space="preserve"> π</w:t>
      </w:r>
      <w:proofErr w:type="spellStart"/>
      <w:r w:rsidRPr="00195E02">
        <w:rPr>
          <w:rFonts w:eastAsia="Times New Roman" w:cs="Times New Roman"/>
          <w:b/>
          <w:bCs/>
          <w:lang w:eastAsia="de-DE"/>
        </w:rPr>
        <w:t>ερὶ</w:t>
      </w:r>
      <w:proofErr w:type="spellEnd"/>
      <w:r w:rsidRPr="00195E02">
        <w:rPr>
          <w:rFonts w:eastAsia="Times New Roman" w:cs="Times New Roman"/>
          <w:b/>
          <w:bCs/>
          <w:lang w:eastAsia="de-DE"/>
        </w:rPr>
        <w:t xml:space="preserve"> </w:t>
      </w:r>
      <w:proofErr w:type="spellStart"/>
      <w:r w:rsidRPr="00195E02">
        <w:rPr>
          <w:rFonts w:eastAsia="Times New Roman" w:cs="Times New Roman"/>
          <w:b/>
          <w:bCs/>
          <w:lang w:eastAsia="de-DE"/>
        </w:rPr>
        <w:t>ἁμ</w:t>
      </w:r>
      <w:proofErr w:type="spellEnd"/>
      <w:r w:rsidRPr="00195E02">
        <w:rPr>
          <w:rFonts w:eastAsia="Times New Roman" w:cs="Times New Roman"/>
          <w:b/>
          <w:bCs/>
          <w:lang w:eastAsia="de-DE"/>
        </w:rPr>
        <w:t xml:space="preserve">αρτίας </w:t>
      </w:r>
      <w:proofErr w:type="spellStart"/>
      <w:r w:rsidRPr="00195E02">
        <w:rPr>
          <w:rFonts w:eastAsia="Times New Roman" w:cs="Times New Roman"/>
          <w:b/>
          <w:bCs/>
          <w:lang w:eastAsia="de-DE"/>
        </w:rPr>
        <w:t>τὸν</w:t>
      </w:r>
      <w:proofErr w:type="spellEnd"/>
      <w:r w:rsidRPr="00195E02">
        <w:rPr>
          <w:rFonts w:eastAsia="Times New Roman" w:cs="Times New Roman"/>
          <w:b/>
          <w:bCs/>
          <w:lang w:eastAsia="de-DE"/>
        </w:rPr>
        <w:t xml:space="preserve"> ἑα</w:t>
      </w:r>
      <w:proofErr w:type="spellStart"/>
      <w:r w:rsidRPr="00195E02">
        <w:rPr>
          <w:rFonts w:eastAsia="Times New Roman" w:cs="Times New Roman"/>
          <w:b/>
          <w:bCs/>
          <w:lang w:eastAsia="de-DE"/>
        </w:rPr>
        <w:t>υτοῦ</w:t>
      </w:r>
      <w:proofErr w:type="spellEnd"/>
      <w:r w:rsidRPr="00195E02">
        <w:rPr>
          <w:rFonts w:eastAsia="Times New Roman" w:cs="Times New Roman"/>
          <w:lang w:eastAsia="de-DE"/>
        </w:rPr>
        <w:t xml:space="preserve"> (und er wird den Stier des Sündopfers, den eigenen, schlachten).</w:t>
      </w:r>
    </w:p>
    <w:p w14:paraId="25A828F0"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Wiederholung und Vollendung: V. 6-Wiederholung + tatsächliche Schlachtung. Die Struktur betont die Priorität der priesterlichen Sühne.</w:t>
      </w:r>
    </w:p>
    <w:p w14:paraId="3F37402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vervollständigt die priesterliche Selbstsühne durch die tatsächliche Schlachtung des Sündopferstieres.</w:t>
      </w:r>
    </w:p>
    <w:p w14:paraId="45A4DE27"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16,12</w:t>
      </w:r>
    </w:p>
    <w:p w14:paraId="60EB4AA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מְלֹֽא־הַ֠מַּחְתָּה גַּֽחֲלֵי־אֵ֞שׁ מֵעַ֤ל הַמִּזְבֵּ֨חַ֙ מִלִּפְנֵ֣י יְהוָ֔ה וּמְלֹ֣א חָפְנָ֔יו קְטֹ֥רֶת סַמִּ֖ים דַּקָּ֑ה וְהֵבִ֖יא מִבֵּ֥ית לַפָּרֹֽכֶת׃</w:t>
      </w:r>
    </w:p>
    <w:p w14:paraId="3D9C6D6B" w14:textId="47F427C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nehmen die Füllung der Pfanne Feuerkohlen von dem Altar von dem Angesicht des Ewigen und die Füllung seiner Hände fein zerstoßenes wohlriechendes Räucherwerk und soll es bringen hinter den Vorhang.</w:t>
      </w:r>
    </w:p>
    <w:p w14:paraId="351E7FE8"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19AA8678">
          <v:rect id="_x0000_i1492" style="width:0;height:1.5pt" o:hralign="center" o:hrstd="t" o:hr="t" fillcolor="#a0a0a0" stroked="f"/>
        </w:pict>
      </w:r>
    </w:p>
    <w:p w14:paraId="6E1DBF8B" w14:textId="04070829"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מלא־המחתה גחלי־אש מעל המזבח מלפני יהוה ומלא חפניו קטרת סמים דקה והביא מבית לפרכת</w:t>
      </w:r>
      <w:r w:rsidRPr="00195E02">
        <w:rPr>
          <w:rFonts w:eastAsia="Times New Roman" w:cs="Times New Roman"/>
          <w:rtl/>
          <w:lang w:eastAsia="de-DE"/>
        </w:rPr>
        <w:t xml:space="preserve"> </w:t>
      </w:r>
      <w:r w:rsidRPr="00195E02">
        <w:rPr>
          <w:rFonts w:eastAsia="Times New Roman" w:cs="Times New Roman"/>
          <w:lang w:eastAsia="de-DE"/>
        </w:rPr>
        <w:t xml:space="preserve">zeigt die Vorbereitung für den Allerheiligsten-Eintritt. </w:t>
      </w:r>
      <w:r w:rsidRPr="00195E02">
        <w:rPr>
          <w:rFonts w:eastAsia="Times New Roman" w:cs="Times New Roman"/>
          <w:b/>
          <w:bCs/>
          <w:rtl/>
          <w:lang w:eastAsia="de-DE"/>
        </w:rPr>
        <w:t>ולקח מלא־המחתה גחלי־אש מעל המזבח מלפני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er soll nehmen die Füllung der Pfanne Feuerkohlen vom Altar vor dem </w:t>
      </w:r>
      <w:r w:rsidR="004603C6">
        <w:rPr>
          <w:rFonts w:eastAsia="Times New Roman" w:cs="Times New Roman"/>
          <w:lang w:eastAsia="de-DE"/>
        </w:rPr>
        <w:t>Ewigen</w:t>
      </w:r>
      <w:r w:rsidRPr="00195E02">
        <w:rPr>
          <w:rFonts w:eastAsia="Times New Roman" w:cs="Times New Roman"/>
          <w:lang w:eastAsia="de-DE"/>
        </w:rPr>
        <w:t xml:space="preserve">) - </w:t>
      </w:r>
      <w:r w:rsidRPr="00195E02">
        <w:rPr>
          <w:rFonts w:eastAsia="Times New Roman" w:cs="Times New Roman"/>
          <w:b/>
          <w:bCs/>
          <w:rtl/>
          <w:lang w:eastAsia="de-DE"/>
        </w:rPr>
        <w:t>מלא־המחתה</w:t>
      </w:r>
      <w:r w:rsidRPr="00195E02">
        <w:rPr>
          <w:rFonts w:eastAsia="Times New Roman" w:cs="Times New Roman"/>
          <w:rtl/>
          <w:lang w:eastAsia="de-DE"/>
        </w:rPr>
        <w:t xml:space="preserve"> </w:t>
      </w:r>
      <w:r w:rsidRPr="00195E02">
        <w:rPr>
          <w:rFonts w:eastAsia="Times New Roman" w:cs="Times New Roman"/>
          <w:lang w:eastAsia="de-DE"/>
        </w:rPr>
        <w:t xml:space="preserve">(die Füllung der Pfanne), </w:t>
      </w:r>
      <w:r w:rsidRPr="00195E02">
        <w:rPr>
          <w:rFonts w:eastAsia="Times New Roman" w:cs="Times New Roman"/>
          <w:b/>
          <w:bCs/>
          <w:rtl/>
          <w:lang w:eastAsia="de-DE"/>
        </w:rPr>
        <w:t>גחלי־אש</w:t>
      </w:r>
      <w:r w:rsidRPr="00195E02">
        <w:rPr>
          <w:rFonts w:eastAsia="Times New Roman" w:cs="Times New Roman"/>
          <w:rtl/>
          <w:lang w:eastAsia="de-DE"/>
        </w:rPr>
        <w:t xml:space="preserve"> </w:t>
      </w:r>
      <w:r w:rsidRPr="00195E02">
        <w:rPr>
          <w:rFonts w:eastAsia="Times New Roman" w:cs="Times New Roman"/>
          <w:lang w:eastAsia="de-DE"/>
        </w:rPr>
        <w:t xml:space="preserve">(Feuerkohlen), </w:t>
      </w:r>
      <w:r w:rsidRPr="00195E02">
        <w:rPr>
          <w:rFonts w:eastAsia="Times New Roman" w:cs="Times New Roman"/>
          <w:b/>
          <w:bCs/>
          <w:rtl/>
          <w:lang w:eastAsia="de-DE"/>
        </w:rPr>
        <w:t>מעל המזבח מלפני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den heiligen </w:t>
      </w:r>
      <w:r w:rsidR="00CF10E7">
        <w:rPr>
          <w:rFonts w:eastAsia="Times New Roman" w:cs="Times New Roman"/>
          <w:lang w:eastAsia="de-DE"/>
        </w:rPr>
        <w:t>Aufsteigeopfer</w:t>
      </w:r>
      <w:r w:rsidRPr="00195E02">
        <w:rPr>
          <w:rFonts w:eastAsia="Times New Roman" w:cs="Times New Roman"/>
          <w:lang w:eastAsia="de-DE"/>
        </w:rPr>
        <w:t>altar als Quelle.</w:t>
      </w:r>
    </w:p>
    <w:p w14:paraId="064A36A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ומלא חפניו קטרת סמים דקה</w:t>
      </w:r>
      <w:r w:rsidRPr="00195E02">
        <w:rPr>
          <w:rFonts w:eastAsia="Times New Roman" w:cs="Times New Roman"/>
          <w:rtl/>
          <w:lang w:eastAsia="de-DE"/>
        </w:rPr>
        <w:t xml:space="preserve"> </w:t>
      </w:r>
      <w:r w:rsidRPr="00195E02">
        <w:rPr>
          <w:rFonts w:eastAsia="Times New Roman" w:cs="Times New Roman"/>
          <w:lang w:eastAsia="de-DE"/>
        </w:rPr>
        <w:t xml:space="preserve">(und die Füllung seiner Hände fein zerstoßenes Räucherwerk) - </w:t>
      </w:r>
      <w:r w:rsidRPr="00195E02">
        <w:rPr>
          <w:rFonts w:eastAsia="Times New Roman" w:cs="Times New Roman"/>
          <w:b/>
          <w:bCs/>
          <w:rtl/>
          <w:lang w:eastAsia="de-DE"/>
        </w:rPr>
        <w:t>מלא חפניו</w:t>
      </w:r>
      <w:r w:rsidRPr="00195E02">
        <w:rPr>
          <w:rFonts w:eastAsia="Times New Roman" w:cs="Times New Roman"/>
          <w:rtl/>
          <w:lang w:eastAsia="de-DE"/>
        </w:rPr>
        <w:t xml:space="preserve"> </w:t>
      </w:r>
      <w:r w:rsidRPr="00195E02">
        <w:rPr>
          <w:rFonts w:eastAsia="Times New Roman" w:cs="Times New Roman"/>
          <w:lang w:eastAsia="de-DE"/>
        </w:rPr>
        <w:t xml:space="preserve">(die Füllung seiner Hände) als Mengenangabe, </w:t>
      </w:r>
      <w:r w:rsidRPr="00195E02">
        <w:rPr>
          <w:rFonts w:eastAsia="Times New Roman" w:cs="Times New Roman"/>
          <w:b/>
          <w:bCs/>
          <w:rtl/>
          <w:lang w:eastAsia="de-DE"/>
        </w:rPr>
        <w:t>קטרת סמים דקה</w:t>
      </w:r>
      <w:r w:rsidRPr="00195E02">
        <w:rPr>
          <w:rFonts w:eastAsia="Times New Roman" w:cs="Times New Roman"/>
          <w:rtl/>
          <w:lang w:eastAsia="de-DE"/>
        </w:rPr>
        <w:t xml:space="preserve"> </w:t>
      </w:r>
      <w:r w:rsidRPr="00195E02">
        <w:rPr>
          <w:rFonts w:eastAsia="Times New Roman" w:cs="Times New Roman"/>
          <w:lang w:eastAsia="de-DE"/>
        </w:rPr>
        <w:t xml:space="preserve">(fein zerstoßenes Räucherwerk) zeigt das kostbare Räucherwerk. </w:t>
      </w:r>
      <w:r w:rsidRPr="00195E02">
        <w:rPr>
          <w:rFonts w:eastAsia="Times New Roman" w:cs="Times New Roman"/>
          <w:b/>
          <w:bCs/>
          <w:rtl/>
          <w:lang w:eastAsia="de-DE"/>
        </w:rPr>
        <w:t>והביא מבית לפרכת</w:t>
      </w:r>
      <w:r w:rsidRPr="00195E02">
        <w:rPr>
          <w:rFonts w:eastAsia="Times New Roman" w:cs="Times New Roman"/>
          <w:rtl/>
          <w:lang w:eastAsia="de-DE"/>
        </w:rPr>
        <w:t xml:space="preserve"> </w:t>
      </w:r>
      <w:r w:rsidRPr="00195E02">
        <w:rPr>
          <w:rFonts w:eastAsia="Times New Roman" w:cs="Times New Roman"/>
          <w:lang w:eastAsia="de-DE"/>
        </w:rPr>
        <w:t>(und es hineinbringen hinter den Vorhang) zeigt den Eintritt ins Allerheiligste.</w:t>
      </w:r>
    </w:p>
    <w:p w14:paraId="681F619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מלא־המחתה</w:t>
      </w:r>
      <w:r w:rsidRPr="00195E02">
        <w:rPr>
          <w:rFonts w:eastAsia="Times New Roman" w:cs="Times New Roman"/>
          <w:rtl/>
          <w:lang w:eastAsia="de-DE"/>
        </w:rPr>
        <w:t xml:space="preserve"> </w:t>
      </w:r>
      <w:r w:rsidRPr="00195E02">
        <w:rPr>
          <w:rFonts w:eastAsia="Times New Roman" w:cs="Times New Roman"/>
          <w:lang w:eastAsia="de-DE"/>
        </w:rPr>
        <w:t xml:space="preserve">und </w:t>
      </w:r>
      <w:r w:rsidRPr="00195E02">
        <w:rPr>
          <w:rFonts w:eastAsia="Times New Roman" w:cs="Times New Roman"/>
          <w:b/>
          <w:bCs/>
          <w:rtl/>
          <w:lang w:eastAsia="de-DE"/>
        </w:rPr>
        <w:t>מלא חפניו</w:t>
      </w:r>
      <w:r w:rsidRPr="00195E02">
        <w:rPr>
          <w:rFonts w:eastAsia="Times New Roman" w:cs="Times New Roman"/>
          <w:rtl/>
          <w:lang w:eastAsia="de-DE"/>
        </w:rPr>
        <w:t xml:space="preserve"> </w:t>
      </w:r>
      <w:r w:rsidRPr="00195E02">
        <w:rPr>
          <w:rFonts w:eastAsia="Times New Roman" w:cs="Times New Roman"/>
          <w:lang w:eastAsia="de-DE"/>
        </w:rPr>
        <w:t xml:space="preserve">zeigen präzise Mengenangaben. </w:t>
      </w:r>
      <w:r w:rsidRPr="00195E02">
        <w:rPr>
          <w:rFonts w:eastAsia="Times New Roman" w:cs="Times New Roman"/>
          <w:b/>
          <w:bCs/>
          <w:rtl/>
          <w:lang w:eastAsia="de-DE"/>
        </w:rPr>
        <w:t>מעל המזבח מלפני יהוה</w:t>
      </w:r>
      <w:r w:rsidRPr="00195E02">
        <w:rPr>
          <w:rFonts w:eastAsia="Times New Roman" w:cs="Times New Roman"/>
          <w:rtl/>
          <w:lang w:eastAsia="de-DE"/>
        </w:rPr>
        <w:t xml:space="preserve"> </w:t>
      </w:r>
      <w:r w:rsidRPr="00195E02">
        <w:rPr>
          <w:rFonts w:eastAsia="Times New Roman" w:cs="Times New Roman"/>
          <w:lang w:eastAsia="de-DE"/>
        </w:rPr>
        <w:t xml:space="preserve">betont die heilige Herkunft der Kohlen. </w:t>
      </w:r>
      <w:r w:rsidRPr="00195E02">
        <w:rPr>
          <w:rFonts w:eastAsia="Times New Roman" w:cs="Times New Roman"/>
          <w:b/>
          <w:bCs/>
          <w:rtl/>
          <w:lang w:eastAsia="de-DE"/>
        </w:rPr>
        <w:t>קטרת סמים דקה</w:t>
      </w:r>
      <w:r w:rsidRPr="00195E02">
        <w:rPr>
          <w:rFonts w:eastAsia="Times New Roman" w:cs="Times New Roman"/>
          <w:rtl/>
          <w:lang w:eastAsia="de-DE"/>
        </w:rPr>
        <w:t xml:space="preserve"> </w:t>
      </w:r>
      <w:r w:rsidRPr="00195E02">
        <w:rPr>
          <w:rFonts w:eastAsia="Times New Roman" w:cs="Times New Roman"/>
          <w:lang w:eastAsia="de-DE"/>
        </w:rPr>
        <w:t xml:space="preserve">zeigt das wertvollste Räucherwerk. </w:t>
      </w:r>
      <w:r w:rsidRPr="00195E02">
        <w:rPr>
          <w:rFonts w:eastAsia="Times New Roman" w:cs="Times New Roman"/>
          <w:b/>
          <w:bCs/>
          <w:rtl/>
          <w:lang w:eastAsia="de-DE"/>
        </w:rPr>
        <w:t>מבית לפרכת</w:t>
      </w:r>
      <w:r w:rsidRPr="00195E02">
        <w:rPr>
          <w:rFonts w:eastAsia="Times New Roman" w:cs="Times New Roman"/>
          <w:rtl/>
          <w:lang w:eastAsia="de-DE"/>
        </w:rPr>
        <w:t xml:space="preserve"> </w:t>
      </w:r>
      <w:r w:rsidRPr="00195E02">
        <w:rPr>
          <w:rFonts w:eastAsia="Times New Roman" w:cs="Times New Roman"/>
          <w:lang w:eastAsia="de-DE"/>
        </w:rPr>
        <w:t>zeigt den Weg ins Allerheiligste.</w:t>
      </w:r>
    </w:p>
    <w:p w14:paraId="16EF84D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מחתה</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υρεῖον</w:t>
      </w:r>
      <w:proofErr w:type="spellEnd"/>
      <w:r w:rsidRPr="00195E02">
        <w:rPr>
          <w:rFonts w:eastAsia="Times New Roman" w:cs="Times New Roman"/>
          <w:lang w:eastAsia="de-DE"/>
        </w:rPr>
        <w:t xml:space="preserve"> (Feuerpfanne), </w:t>
      </w:r>
      <w:r w:rsidRPr="00195E02">
        <w:rPr>
          <w:rFonts w:eastAsia="Times New Roman" w:cs="Times New Roman"/>
          <w:b/>
          <w:bCs/>
          <w:rtl/>
          <w:lang w:eastAsia="de-DE"/>
        </w:rPr>
        <w:t>גחלי־אש</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ἄνθρ</w:t>
      </w:r>
      <w:proofErr w:type="spellEnd"/>
      <w:r w:rsidRPr="00195E02">
        <w:rPr>
          <w:rFonts w:eastAsia="Times New Roman" w:cs="Times New Roman"/>
          <w:lang w:eastAsia="de-DE"/>
        </w:rPr>
        <w:t>ακας π</w:t>
      </w:r>
      <w:proofErr w:type="spellStart"/>
      <w:r w:rsidRPr="00195E02">
        <w:rPr>
          <w:rFonts w:eastAsia="Times New Roman" w:cs="Times New Roman"/>
          <w:lang w:eastAsia="de-DE"/>
        </w:rPr>
        <w:t>υρός</w:t>
      </w:r>
      <w:proofErr w:type="spellEnd"/>
      <w:r w:rsidRPr="00195E02">
        <w:rPr>
          <w:rFonts w:eastAsia="Times New Roman" w:cs="Times New Roman"/>
          <w:lang w:eastAsia="de-DE"/>
        </w:rPr>
        <w:t xml:space="preserve"> (Feuerkohlen), </w:t>
      </w:r>
      <w:r w:rsidRPr="00195E02">
        <w:rPr>
          <w:rFonts w:eastAsia="Times New Roman" w:cs="Times New Roman"/>
          <w:b/>
          <w:bCs/>
          <w:rtl/>
          <w:lang w:eastAsia="de-DE"/>
        </w:rPr>
        <w:t>קטרת סמים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θυμί</w:t>
      </w:r>
      <w:proofErr w:type="spellEnd"/>
      <w:r w:rsidRPr="00195E02">
        <w:rPr>
          <w:rFonts w:eastAsia="Times New Roman" w:cs="Times New Roman"/>
          <w:lang w:eastAsia="de-DE"/>
        </w:rPr>
        <w:t xml:space="preserve">αμα </w:t>
      </w:r>
      <w:proofErr w:type="spellStart"/>
      <w:r w:rsidRPr="00195E02">
        <w:rPr>
          <w:rFonts w:eastAsia="Times New Roman" w:cs="Times New Roman"/>
          <w:lang w:eastAsia="de-DE"/>
        </w:rPr>
        <w:t>συνθέσεως</w:t>
      </w:r>
      <w:proofErr w:type="spellEnd"/>
      <w:r w:rsidRPr="00195E02">
        <w:rPr>
          <w:rFonts w:eastAsia="Times New Roman" w:cs="Times New Roman"/>
          <w:lang w:eastAsia="de-DE"/>
        </w:rPr>
        <w:t xml:space="preserve"> (zusammengesetztes Räucherwerk) und </w:t>
      </w:r>
      <w:r w:rsidRPr="00195E02">
        <w:rPr>
          <w:rFonts w:eastAsia="Times New Roman" w:cs="Times New Roman"/>
          <w:b/>
          <w:bCs/>
          <w:rtl/>
          <w:lang w:eastAsia="de-DE"/>
        </w:rPr>
        <w:t>מבית לפרכת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ἐσώτερον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καταπ</w:t>
      </w:r>
      <w:proofErr w:type="spellStart"/>
      <w:r w:rsidRPr="00195E02">
        <w:rPr>
          <w:rFonts w:eastAsia="Times New Roman" w:cs="Times New Roman"/>
          <w:lang w:eastAsia="de-DE"/>
        </w:rPr>
        <w:t>ετάσμ</w:t>
      </w:r>
      <w:proofErr w:type="spellEnd"/>
      <w:r w:rsidRPr="00195E02">
        <w:rPr>
          <w:rFonts w:eastAsia="Times New Roman" w:cs="Times New Roman"/>
          <w:lang w:eastAsia="de-DE"/>
        </w:rPr>
        <w:t>ατος (ins Innere des Vorhangs).</w:t>
      </w:r>
    </w:p>
    <w:p w14:paraId="7DC731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Vorbereitung des Allerheiligsten-Eintritts: heilige Kohlen vom Altar + kostbares Räucherwerk + Eintritt ins Allerheiligste. Die Struktur zeigt die sorgfältige Vorbereitung für die gefährlichste rituelle Handlung.</w:t>
      </w:r>
    </w:p>
    <w:p w14:paraId="5DB555D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sorgfältige Vorbereitung mit heiligen Kohlen und kostbarem Räucherwerk für den lebensgefährlichen Eintritt ins Allerheiligste.</w:t>
      </w:r>
    </w:p>
    <w:p w14:paraId="10AC288D"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lastRenderedPageBreak/>
        <w:t>Leviticus 16,13</w:t>
      </w:r>
    </w:p>
    <w:p w14:paraId="379C6936"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וְנָתַ֧ן אֶֽת־הַקְּטֹ֛רֶת עַל־הָאֵ֖שׁ לִפְנֵ֣י יְהוָ֑ה וְכִסָּ֣ה׀ עֲנַ֣ן הַקְּטֹ֗רֶת אֶת־הַכַּפֹּ֛רֶת אֲשֶׁ֥ר עַל־הָעֵד֖וּת וְלֹ֥א יָמֽוּת׃</w:t>
      </w:r>
    </w:p>
    <w:p w14:paraId="067D1B1B" w14:textId="4923B5F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geben das Räucherwerk auf das Feuer vor dem Angesicht des Ewigen, damit die Wolke des Räucherwerks den Sühnedeckel verhüllt, der auf dem Zeugnis ist, und er nicht sterbe.</w:t>
      </w:r>
    </w:p>
    <w:p w14:paraId="08859029"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3DF57772">
          <v:rect id="_x0000_i1493" style="width:0;height:1.5pt" o:hralign="center" o:hrstd="t" o:hr="t" fillcolor="#a0a0a0" stroked="f"/>
        </w:pict>
      </w:r>
    </w:p>
    <w:p w14:paraId="06F834F6" w14:textId="48080FBE"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ונתן את־הקטרת על־האש לפני יהוה וכסה ענן הקטרת את־הכפרת אשר על־העדות ולא ימות</w:t>
      </w:r>
      <w:r w:rsidRPr="00195E02">
        <w:rPr>
          <w:rFonts w:eastAsia="Times New Roman" w:cs="Times New Roman"/>
          <w:rtl/>
          <w:lang w:eastAsia="de-DE"/>
        </w:rPr>
        <w:t xml:space="preserve"> </w:t>
      </w:r>
      <w:r w:rsidRPr="00195E02">
        <w:rPr>
          <w:rFonts w:eastAsia="Times New Roman" w:cs="Times New Roman"/>
          <w:lang w:eastAsia="de-DE"/>
        </w:rPr>
        <w:t xml:space="preserve">zeigt den lebensrettenden Zweck des Räucherwerks. </w:t>
      </w:r>
      <w:r w:rsidRPr="00195E02">
        <w:rPr>
          <w:rFonts w:eastAsia="Times New Roman" w:cs="Times New Roman"/>
          <w:b/>
          <w:bCs/>
          <w:rtl/>
          <w:lang w:eastAsia="de-DE"/>
        </w:rPr>
        <w:t>ונתן את־הקטרת על־האש לפני יהוה</w:t>
      </w:r>
      <w:r w:rsidRPr="00195E02">
        <w:rPr>
          <w:rFonts w:eastAsia="Times New Roman" w:cs="Times New Roman"/>
          <w:rtl/>
          <w:lang w:eastAsia="de-DE"/>
        </w:rPr>
        <w:t xml:space="preserve"> </w:t>
      </w:r>
      <w:r w:rsidRPr="00195E02">
        <w:rPr>
          <w:rFonts w:eastAsia="Times New Roman" w:cs="Times New Roman"/>
          <w:lang w:eastAsia="de-DE"/>
        </w:rPr>
        <w:t xml:space="preserve">(und er soll das Räucherwerk auf das Feuer geben vor dem </w:t>
      </w:r>
      <w:r w:rsidR="004603C6">
        <w:rPr>
          <w:rFonts w:eastAsia="Times New Roman" w:cs="Times New Roman"/>
          <w:lang w:eastAsia="de-DE"/>
        </w:rPr>
        <w:t>Ewigen</w:t>
      </w:r>
      <w:r w:rsidRPr="00195E02">
        <w:rPr>
          <w:rFonts w:eastAsia="Times New Roman" w:cs="Times New Roman"/>
          <w:lang w:eastAsia="de-DE"/>
        </w:rPr>
        <w:t>) zeigt die rituelle Handlung im Allerheiligsten.</w:t>
      </w:r>
    </w:p>
    <w:p w14:paraId="7B148074" w14:textId="004C1EF2"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וכסה ענן הקטרת את־הכפרת אשר על־העדות ולא ימות</w:t>
      </w:r>
      <w:r w:rsidRPr="00195E02">
        <w:rPr>
          <w:rFonts w:eastAsia="Times New Roman" w:cs="Times New Roman"/>
          <w:rtl/>
          <w:lang w:eastAsia="de-DE"/>
        </w:rPr>
        <w:t xml:space="preserve"> </w:t>
      </w:r>
      <w:r w:rsidRPr="00195E02">
        <w:rPr>
          <w:rFonts w:eastAsia="Times New Roman" w:cs="Times New Roman"/>
          <w:lang w:eastAsia="de-DE"/>
        </w:rPr>
        <w:t xml:space="preserve">(damit die Wolke des Räucherwerks den </w:t>
      </w:r>
      <w:r w:rsidR="004603C6">
        <w:rPr>
          <w:rFonts w:eastAsia="Times New Roman" w:cs="Times New Roman"/>
          <w:lang w:eastAsia="de-DE"/>
        </w:rPr>
        <w:t>Sühnedeckel</w:t>
      </w:r>
      <w:r w:rsidRPr="00195E02">
        <w:rPr>
          <w:rFonts w:eastAsia="Times New Roman" w:cs="Times New Roman"/>
          <w:lang w:eastAsia="de-DE"/>
        </w:rPr>
        <w:t xml:space="preserve"> verhüllt, der auf dem Zeugnis ist, und er nicht sterbe) zeigt den Schutzweck. </w:t>
      </w:r>
      <w:r w:rsidRPr="00195E02">
        <w:rPr>
          <w:rFonts w:eastAsia="Times New Roman" w:cs="Times New Roman"/>
          <w:b/>
          <w:bCs/>
          <w:rtl/>
          <w:lang w:eastAsia="de-DE"/>
        </w:rPr>
        <w:t>ענן הקטרת</w:t>
      </w:r>
      <w:r w:rsidRPr="00195E02">
        <w:rPr>
          <w:rFonts w:eastAsia="Times New Roman" w:cs="Times New Roman"/>
          <w:rtl/>
          <w:lang w:eastAsia="de-DE"/>
        </w:rPr>
        <w:t xml:space="preserve"> </w:t>
      </w:r>
      <w:r w:rsidRPr="00195E02">
        <w:rPr>
          <w:rFonts w:eastAsia="Times New Roman" w:cs="Times New Roman"/>
          <w:lang w:eastAsia="de-DE"/>
        </w:rPr>
        <w:t xml:space="preserve">(die Wolke des Räucherwerks) als schützende Verhüllung, </w:t>
      </w:r>
      <w:r w:rsidRPr="00195E02">
        <w:rPr>
          <w:rFonts w:eastAsia="Times New Roman" w:cs="Times New Roman"/>
          <w:b/>
          <w:bCs/>
          <w:rtl/>
          <w:lang w:eastAsia="de-DE"/>
        </w:rPr>
        <w:t>את־הכפרת אשר על־העדות</w:t>
      </w:r>
      <w:r w:rsidRPr="00195E02">
        <w:rPr>
          <w:rFonts w:eastAsia="Times New Roman" w:cs="Times New Roman"/>
          <w:rtl/>
          <w:lang w:eastAsia="de-DE"/>
        </w:rPr>
        <w:t xml:space="preserve"> </w:t>
      </w:r>
      <w:r w:rsidRPr="00195E02">
        <w:rPr>
          <w:rFonts w:eastAsia="Times New Roman" w:cs="Times New Roman"/>
          <w:lang w:eastAsia="de-DE"/>
        </w:rPr>
        <w:t xml:space="preserve">(den </w:t>
      </w:r>
      <w:r w:rsidR="004603C6">
        <w:rPr>
          <w:rFonts w:eastAsia="Times New Roman" w:cs="Times New Roman"/>
          <w:lang w:eastAsia="de-DE"/>
        </w:rPr>
        <w:t>Sühnedeckel</w:t>
      </w:r>
      <w:r w:rsidRPr="00195E02">
        <w:rPr>
          <w:rFonts w:eastAsia="Times New Roman" w:cs="Times New Roman"/>
          <w:lang w:eastAsia="de-DE"/>
        </w:rPr>
        <w:t xml:space="preserve">, der auf dem Zeugnis ist) als Ort direktester göttlicher Präsenz, </w:t>
      </w:r>
      <w:r w:rsidRPr="00195E02">
        <w:rPr>
          <w:rFonts w:eastAsia="Times New Roman" w:cs="Times New Roman"/>
          <w:b/>
          <w:bCs/>
          <w:rtl/>
          <w:lang w:eastAsia="de-DE"/>
        </w:rPr>
        <w:t>ולא ימות</w:t>
      </w:r>
      <w:r w:rsidRPr="00195E02">
        <w:rPr>
          <w:rFonts w:eastAsia="Times New Roman" w:cs="Times New Roman"/>
          <w:rtl/>
          <w:lang w:eastAsia="de-DE"/>
        </w:rPr>
        <w:t xml:space="preserve"> </w:t>
      </w:r>
      <w:r w:rsidRPr="00195E02">
        <w:rPr>
          <w:rFonts w:eastAsia="Times New Roman" w:cs="Times New Roman"/>
          <w:lang w:eastAsia="de-DE"/>
        </w:rPr>
        <w:t>(und er nicht sterbe) als Zweck der Verhüllung.</w:t>
      </w:r>
    </w:p>
    <w:p w14:paraId="5C90E01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לפני יהוה</w:t>
      </w:r>
      <w:r w:rsidRPr="00195E02">
        <w:rPr>
          <w:rFonts w:eastAsia="Times New Roman" w:cs="Times New Roman"/>
          <w:rtl/>
          <w:lang w:eastAsia="de-DE"/>
        </w:rPr>
        <w:t xml:space="preserve"> </w:t>
      </w:r>
      <w:r w:rsidRPr="00195E02">
        <w:rPr>
          <w:rFonts w:eastAsia="Times New Roman" w:cs="Times New Roman"/>
          <w:lang w:eastAsia="de-DE"/>
        </w:rPr>
        <w:t xml:space="preserve">zeigt die unmittelbare göttliche Präsenz im Allerheiligsten. </w:t>
      </w:r>
      <w:r w:rsidRPr="00195E02">
        <w:rPr>
          <w:rFonts w:eastAsia="Times New Roman" w:cs="Times New Roman"/>
          <w:b/>
          <w:bCs/>
          <w:rtl/>
          <w:lang w:eastAsia="de-DE"/>
        </w:rPr>
        <w:t>ענן הקטרת</w:t>
      </w:r>
      <w:r w:rsidRPr="00195E02">
        <w:rPr>
          <w:rFonts w:eastAsia="Times New Roman" w:cs="Times New Roman"/>
          <w:rtl/>
          <w:lang w:eastAsia="de-DE"/>
        </w:rPr>
        <w:t xml:space="preserve"> </w:t>
      </w:r>
      <w:r w:rsidRPr="00195E02">
        <w:rPr>
          <w:rFonts w:eastAsia="Times New Roman" w:cs="Times New Roman"/>
          <w:lang w:eastAsia="de-DE"/>
        </w:rPr>
        <w:t xml:space="preserve">schafft eine schützende Barriere zwischen Aaron und der tödlichen göttlichen Herrlichkeit. </w:t>
      </w:r>
      <w:r w:rsidRPr="00195E02">
        <w:rPr>
          <w:rFonts w:eastAsia="Times New Roman" w:cs="Times New Roman"/>
          <w:b/>
          <w:bCs/>
          <w:rtl/>
          <w:lang w:eastAsia="de-DE"/>
        </w:rPr>
        <w:t>הכפרת אשר על־העדות</w:t>
      </w:r>
      <w:r w:rsidRPr="00195E02">
        <w:rPr>
          <w:rFonts w:eastAsia="Times New Roman" w:cs="Times New Roman"/>
          <w:rtl/>
          <w:lang w:eastAsia="de-DE"/>
        </w:rPr>
        <w:t xml:space="preserve"> </w:t>
      </w:r>
      <w:r w:rsidRPr="00195E02">
        <w:rPr>
          <w:rFonts w:eastAsia="Times New Roman" w:cs="Times New Roman"/>
          <w:lang w:eastAsia="de-DE"/>
        </w:rPr>
        <w:t>als präziseste Lokalisierung der göttlichen Präsenz.</w:t>
      </w:r>
    </w:p>
    <w:p w14:paraId="3CF1DF9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ענן הקטרת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ἀτμὶς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θυμιάμ</w:t>
      </w:r>
      <w:proofErr w:type="spellEnd"/>
      <w:r w:rsidRPr="00195E02">
        <w:rPr>
          <w:rFonts w:eastAsia="Times New Roman" w:cs="Times New Roman"/>
          <w:lang w:eastAsia="de-DE"/>
        </w:rPr>
        <w:t xml:space="preserve">ατος (Dampf des Räucherwerks), </w:t>
      </w:r>
      <w:r w:rsidRPr="00195E02">
        <w:rPr>
          <w:rFonts w:eastAsia="Times New Roman" w:cs="Times New Roman"/>
          <w:b/>
          <w:bCs/>
          <w:rtl/>
          <w:lang w:eastAsia="de-DE"/>
        </w:rPr>
        <w:t>את־הכפרת</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ἱλ</w:t>
      </w:r>
      <w:proofErr w:type="spellEnd"/>
      <w:r w:rsidRPr="00195E02">
        <w:rPr>
          <w:rFonts w:eastAsia="Times New Roman" w:cs="Times New Roman"/>
          <w:lang w:eastAsia="de-DE"/>
        </w:rPr>
        <w:t xml:space="preserve">αστήριον (den Sühneort) und </w:t>
      </w:r>
      <w:r w:rsidRPr="00195E02">
        <w:rPr>
          <w:rFonts w:eastAsia="Times New Roman" w:cs="Times New Roman"/>
          <w:b/>
          <w:bCs/>
          <w:rtl/>
          <w:lang w:eastAsia="de-DE"/>
        </w:rPr>
        <w:t>ולא ימות</w:t>
      </w:r>
      <w:r w:rsidRPr="00195E02">
        <w:rPr>
          <w:rFonts w:eastAsia="Times New Roman" w:cs="Times New Roman"/>
          <w:rtl/>
          <w:lang w:eastAsia="de-DE"/>
        </w:rPr>
        <w:t xml:space="preserve"> </w:t>
      </w:r>
      <w:r w:rsidRPr="00195E02">
        <w:rPr>
          <w:rFonts w:eastAsia="Times New Roman" w:cs="Times New Roman"/>
          <w:lang w:eastAsia="de-DE"/>
        </w:rPr>
        <w:t xml:space="preserve">mit καὶ </w:t>
      </w:r>
      <w:proofErr w:type="spellStart"/>
      <w:r w:rsidRPr="00195E02">
        <w:rPr>
          <w:rFonts w:eastAsia="Times New Roman" w:cs="Times New Roman"/>
          <w:lang w:eastAsia="de-DE"/>
        </w:rPr>
        <w:t>οὐκ</w:t>
      </w:r>
      <w:proofErr w:type="spellEnd"/>
      <w:r w:rsidRPr="00195E02">
        <w:rPr>
          <w:rFonts w:eastAsia="Times New Roman" w:cs="Times New Roman"/>
          <w:lang w:eastAsia="de-DE"/>
        </w:rPr>
        <w:t xml:space="preserve"> ἀπ</w:t>
      </w:r>
      <w:proofErr w:type="spellStart"/>
      <w:r w:rsidRPr="00195E02">
        <w:rPr>
          <w:rFonts w:eastAsia="Times New Roman" w:cs="Times New Roman"/>
          <w:lang w:eastAsia="de-DE"/>
        </w:rPr>
        <w:t>οθ</w:t>
      </w:r>
      <w:proofErr w:type="spellEnd"/>
      <w:r w:rsidRPr="00195E02">
        <w:rPr>
          <w:rFonts w:eastAsia="Times New Roman" w:cs="Times New Roman"/>
          <w:lang w:eastAsia="de-DE"/>
        </w:rPr>
        <w:t>ανεῖται (und er wird nicht sterben).</w:t>
      </w:r>
    </w:p>
    <w:p w14:paraId="261BB31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Lebensschutz: Räucherwerk auf heilige Kohlen + schützende Wolkenbildung + Verhüllung der göttlichen Präsenz + Todesverhinderung. Die Struktur zeigt das lebenswichtige Schutzritual.</w:t>
      </w:r>
    </w:p>
    <w:p w14:paraId="0FB36B2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dass das Räucherwerk eine schützende Wolke bilden muss, um Aaron vor dem tödlichen direkten Anblick der göttlichen Herrlichkeit zu schützen.</w:t>
      </w:r>
    </w:p>
    <w:p w14:paraId="712193AC"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16,14</w:t>
      </w:r>
    </w:p>
    <w:p w14:paraId="302B20A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וְלָקַח֙ מִדַּ֣ם הַפָּ֔ר וְהִזָּ֧ה בְאֶצְבָּעֹ֛ו עַל־פְּנֵ֥י הַכַּפֹּ֖רֶת קֵ֑דְמָה וְלִפְנֵ֣י הַכַּפֹּ֗רֶת יַזֶּ֧ה שֶֽׁבַע־פְּעָמִ֛ים מִן־הַדָּ֖ם בְּאֶצְבָּעֹֽו׃</w:t>
      </w:r>
    </w:p>
    <w:p w14:paraId="01906131" w14:textId="24F8C62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nehmen von dem Blut des Stieres und soll sprengen mit seinem Finger auf das Angesicht des Sühnedeckels ostwärts; und vor den Sühnedeckel soll er siebenmal sprengen von dem Blut mit seinem Finger.</w:t>
      </w:r>
    </w:p>
    <w:p w14:paraId="1AED42F6"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CF41FB1">
          <v:rect id="_x0000_i1494" style="width:0;height:1.5pt" o:hralign="center" o:hrstd="t" o:hr="t" fillcolor="#a0a0a0" stroked="f"/>
        </w:pict>
      </w:r>
    </w:p>
    <w:p w14:paraId="1B2E86A7" w14:textId="600BC21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ולקח מדם הפר והזה באצבעו על־פני הכפרת קדמה ולפני הכפרת יזה שבע־פעמים מן־הדם באצבעו</w:t>
      </w:r>
      <w:r w:rsidRPr="00195E02">
        <w:rPr>
          <w:rFonts w:eastAsia="Times New Roman" w:cs="Times New Roman"/>
          <w:rtl/>
          <w:lang w:eastAsia="de-DE"/>
        </w:rPr>
        <w:t xml:space="preserve"> </w:t>
      </w:r>
      <w:r w:rsidRPr="00195E02">
        <w:rPr>
          <w:rFonts w:eastAsia="Times New Roman" w:cs="Times New Roman"/>
          <w:lang w:eastAsia="de-DE"/>
        </w:rPr>
        <w:t xml:space="preserve">zeigt das erste Blutsprengungsritual im Allerheiligsten. </w:t>
      </w:r>
      <w:r w:rsidRPr="00195E02">
        <w:rPr>
          <w:rFonts w:eastAsia="Times New Roman" w:cs="Times New Roman"/>
          <w:b/>
          <w:bCs/>
          <w:rtl/>
          <w:lang w:eastAsia="de-DE"/>
        </w:rPr>
        <w:t>ולקח מדם הפר והזה באצבעו על־פני הכפרת קדמה</w:t>
      </w:r>
      <w:r w:rsidRPr="00195E02">
        <w:rPr>
          <w:rFonts w:eastAsia="Times New Roman" w:cs="Times New Roman"/>
          <w:rtl/>
          <w:lang w:eastAsia="de-DE"/>
        </w:rPr>
        <w:t xml:space="preserve"> </w:t>
      </w:r>
      <w:r w:rsidRPr="00195E02">
        <w:rPr>
          <w:rFonts w:eastAsia="Times New Roman" w:cs="Times New Roman"/>
          <w:lang w:eastAsia="de-DE"/>
        </w:rPr>
        <w:t xml:space="preserve">(und er soll nehmen von dem Blut des Stieres und mit seinem Finger sprengen </w:t>
      </w:r>
      <w:r w:rsidRPr="00195E02">
        <w:rPr>
          <w:rFonts w:eastAsia="Times New Roman" w:cs="Times New Roman"/>
          <w:lang w:eastAsia="de-DE"/>
        </w:rPr>
        <w:lastRenderedPageBreak/>
        <w:t xml:space="preserve">auf die Vorderseite des </w:t>
      </w:r>
      <w:r w:rsidR="004603C6">
        <w:rPr>
          <w:rFonts w:eastAsia="Times New Roman" w:cs="Times New Roman"/>
          <w:lang w:eastAsia="de-DE"/>
        </w:rPr>
        <w:t>Sühnedeckel</w:t>
      </w:r>
      <w:r w:rsidRPr="00195E02">
        <w:rPr>
          <w:rFonts w:eastAsia="Times New Roman" w:cs="Times New Roman"/>
          <w:lang w:eastAsia="de-DE"/>
        </w:rPr>
        <w:t xml:space="preserve">s nach Osten) - </w:t>
      </w:r>
      <w:r w:rsidRPr="00195E02">
        <w:rPr>
          <w:rFonts w:eastAsia="Times New Roman" w:cs="Times New Roman"/>
          <w:b/>
          <w:bCs/>
          <w:rtl/>
          <w:lang w:eastAsia="de-DE"/>
        </w:rPr>
        <w:t>מדם הפר</w:t>
      </w:r>
      <w:r w:rsidRPr="00195E02">
        <w:rPr>
          <w:rFonts w:eastAsia="Times New Roman" w:cs="Times New Roman"/>
          <w:rtl/>
          <w:lang w:eastAsia="de-DE"/>
        </w:rPr>
        <w:t xml:space="preserve"> </w:t>
      </w:r>
      <w:r w:rsidRPr="00195E02">
        <w:rPr>
          <w:rFonts w:eastAsia="Times New Roman" w:cs="Times New Roman"/>
          <w:lang w:eastAsia="de-DE"/>
        </w:rPr>
        <w:t xml:space="preserve">(von dem Blut des Stieres) aus V. 11, </w:t>
      </w:r>
      <w:r w:rsidRPr="00195E02">
        <w:rPr>
          <w:rFonts w:eastAsia="Times New Roman" w:cs="Times New Roman"/>
          <w:b/>
          <w:bCs/>
          <w:rtl/>
          <w:lang w:eastAsia="de-DE"/>
        </w:rPr>
        <w:t>באצבעו</w:t>
      </w:r>
      <w:r w:rsidRPr="00195E02">
        <w:rPr>
          <w:rFonts w:eastAsia="Times New Roman" w:cs="Times New Roman"/>
          <w:rtl/>
          <w:lang w:eastAsia="de-DE"/>
        </w:rPr>
        <w:t xml:space="preserve"> </w:t>
      </w:r>
      <w:r w:rsidRPr="00195E02">
        <w:rPr>
          <w:rFonts w:eastAsia="Times New Roman" w:cs="Times New Roman"/>
          <w:lang w:eastAsia="de-DE"/>
        </w:rPr>
        <w:t xml:space="preserve">(mit seinem Finger) als Sprengungsmethode, </w:t>
      </w:r>
      <w:r w:rsidRPr="00195E02">
        <w:rPr>
          <w:rFonts w:eastAsia="Times New Roman" w:cs="Times New Roman"/>
          <w:b/>
          <w:bCs/>
          <w:rtl/>
          <w:lang w:eastAsia="de-DE"/>
        </w:rPr>
        <w:t>על־פני הכפרת קדמה</w:t>
      </w:r>
      <w:r w:rsidRPr="00195E02">
        <w:rPr>
          <w:rFonts w:eastAsia="Times New Roman" w:cs="Times New Roman"/>
          <w:rtl/>
          <w:lang w:eastAsia="de-DE"/>
        </w:rPr>
        <w:t xml:space="preserve"> </w:t>
      </w:r>
      <w:r w:rsidRPr="00195E02">
        <w:rPr>
          <w:rFonts w:eastAsia="Times New Roman" w:cs="Times New Roman"/>
          <w:lang w:eastAsia="de-DE"/>
        </w:rPr>
        <w:t xml:space="preserve">(auf die Vorderseite des </w:t>
      </w:r>
      <w:r w:rsidR="004603C6">
        <w:rPr>
          <w:rFonts w:eastAsia="Times New Roman" w:cs="Times New Roman"/>
          <w:lang w:eastAsia="de-DE"/>
        </w:rPr>
        <w:t>Sühnedeckel</w:t>
      </w:r>
      <w:r w:rsidRPr="00195E02">
        <w:rPr>
          <w:rFonts w:eastAsia="Times New Roman" w:cs="Times New Roman"/>
          <w:lang w:eastAsia="de-DE"/>
        </w:rPr>
        <w:t>s nach Osten) zeigt eine einmalige Sprengung auf die Oberseite.</w:t>
      </w:r>
    </w:p>
    <w:p w14:paraId="62F064E2" w14:textId="5F813E0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ולפני הכפרת יזה שבע־פעמים מן־הדם באצבעו</w:t>
      </w:r>
      <w:r w:rsidRPr="00195E02">
        <w:rPr>
          <w:rFonts w:eastAsia="Times New Roman" w:cs="Times New Roman"/>
          <w:rtl/>
          <w:lang w:eastAsia="de-DE"/>
        </w:rPr>
        <w:t xml:space="preserve"> </w:t>
      </w:r>
      <w:r w:rsidRPr="00195E02">
        <w:rPr>
          <w:rFonts w:eastAsia="Times New Roman" w:cs="Times New Roman"/>
          <w:lang w:eastAsia="de-DE"/>
        </w:rPr>
        <w:t xml:space="preserve">(und vor den </w:t>
      </w:r>
      <w:r w:rsidR="004603C6">
        <w:rPr>
          <w:rFonts w:eastAsia="Times New Roman" w:cs="Times New Roman"/>
          <w:lang w:eastAsia="de-DE"/>
        </w:rPr>
        <w:t>Sühnedeckel</w:t>
      </w:r>
      <w:r w:rsidRPr="00195E02">
        <w:rPr>
          <w:rFonts w:eastAsia="Times New Roman" w:cs="Times New Roman"/>
          <w:lang w:eastAsia="de-DE"/>
        </w:rPr>
        <w:t xml:space="preserve"> soll er siebenmal sprengen von dem Blut mit seinem Finger) zeigt eine zweite Serie von sieben Sprengungen vor dem </w:t>
      </w:r>
      <w:r w:rsidR="004603C6">
        <w:rPr>
          <w:rFonts w:eastAsia="Times New Roman" w:cs="Times New Roman"/>
          <w:lang w:eastAsia="de-DE"/>
        </w:rPr>
        <w:t>Sühnedeckel</w:t>
      </w:r>
      <w:r w:rsidRPr="00195E02">
        <w:rPr>
          <w:rFonts w:eastAsia="Times New Roman" w:cs="Times New Roman"/>
          <w:lang w:eastAsia="de-DE"/>
        </w:rPr>
        <w:t>.</w:t>
      </w:r>
    </w:p>
    <w:p w14:paraId="3B5B1ABD" w14:textId="1FC575DE"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על־פני הכפרת קדמה</w:t>
      </w:r>
      <w:r w:rsidRPr="00195E02">
        <w:rPr>
          <w:rFonts w:eastAsia="Times New Roman" w:cs="Times New Roman"/>
          <w:rtl/>
          <w:lang w:eastAsia="de-DE"/>
        </w:rPr>
        <w:t xml:space="preserve"> </w:t>
      </w:r>
      <w:r w:rsidRPr="00195E02">
        <w:rPr>
          <w:rFonts w:eastAsia="Times New Roman" w:cs="Times New Roman"/>
          <w:lang w:eastAsia="de-DE"/>
        </w:rPr>
        <w:t xml:space="preserve">zeigt eine einmalige Sprengung auf die Oberseite des </w:t>
      </w:r>
      <w:r w:rsidR="004603C6">
        <w:rPr>
          <w:rFonts w:eastAsia="Times New Roman" w:cs="Times New Roman"/>
          <w:lang w:eastAsia="de-DE"/>
        </w:rPr>
        <w:t>Sühnedeckel</w:t>
      </w:r>
      <w:r w:rsidRPr="00195E02">
        <w:rPr>
          <w:rFonts w:eastAsia="Times New Roman" w:cs="Times New Roman"/>
          <w:lang w:eastAsia="de-DE"/>
        </w:rPr>
        <w:t xml:space="preserve">s. </w:t>
      </w:r>
      <w:r w:rsidRPr="00195E02">
        <w:rPr>
          <w:rFonts w:eastAsia="Times New Roman" w:cs="Times New Roman"/>
          <w:b/>
          <w:bCs/>
          <w:rtl/>
          <w:lang w:eastAsia="de-DE"/>
        </w:rPr>
        <w:t>לפני הכפרת</w:t>
      </w:r>
      <w:r w:rsidRPr="00195E02">
        <w:rPr>
          <w:rFonts w:eastAsia="Times New Roman" w:cs="Times New Roman"/>
          <w:rtl/>
          <w:lang w:eastAsia="de-DE"/>
        </w:rPr>
        <w:t xml:space="preserve"> </w:t>
      </w:r>
      <w:r w:rsidRPr="00195E02">
        <w:rPr>
          <w:rFonts w:eastAsia="Times New Roman" w:cs="Times New Roman"/>
          <w:lang w:eastAsia="de-DE"/>
        </w:rPr>
        <w:t xml:space="preserve">zeigt sieben Sprengungen vor dem </w:t>
      </w:r>
      <w:r w:rsidR="004603C6">
        <w:rPr>
          <w:rFonts w:eastAsia="Times New Roman" w:cs="Times New Roman"/>
          <w:lang w:eastAsia="de-DE"/>
        </w:rPr>
        <w:t>Sühnedeckel</w:t>
      </w:r>
      <w:r w:rsidRPr="00195E02">
        <w:rPr>
          <w:rFonts w:eastAsia="Times New Roman" w:cs="Times New Roman"/>
          <w:lang w:eastAsia="de-DE"/>
        </w:rPr>
        <w:t xml:space="preserve">. </w:t>
      </w:r>
      <w:r w:rsidRPr="00195E02">
        <w:rPr>
          <w:rFonts w:eastAsia="Times New Roman" w:cs="Times New Roman"/>
          <w:b/>
          <w:bCs/>
          <w:rtl/>
          <w:lang w:eastAsia="de-DE"/>
        </w:rPr>
        <w:t>שבע־פעמים</w:t>
      </w:r>
      <w:r w:rsidRPr="00195E02">
        <w:rPr>
          <w:rFonts w:eastAsia="Times New Roman" w:cs="Times New Roman"/>
          <w:rtl/>
          <w:lang w:eastAsia="de-DE"/>
        </w:rPr>
        <w:t xml:space="preserve"> </w:t>
      </w:r>
      <w:r w:rsidRPr="00195E02">
        <w:rPr>
          <w:rFonts w:eastAsia="Times New Roman" w:cs="Times New Roman"/>
          <w:lang w:eastAsia="de-DE"/>
        </w:rPr>
        <w:t>als rituelle Vollzahl für vollständige Sühne.</w:t>
      </w:r>
    </w:p>
    <w:p w14:paraId="311DA4B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על־פני הכפרת</w:t>
      </w:r>
      <w:r w:rsidRPr="00195E02">
        <w:rPr>
          <w:rFonts w:eastAsia="Times New Roman" w:cs="Times New Roman"/>
          <w:rtl/>
          <w:lang w:eastAsia="de-DE"/>
        </w:rPr>
        <w:t xml:space="preserve"> </w:t>
      </w:r>
      <w:r w:rsidRPr="00195E02">
        <w:rPr>
          <w:rFonts w:eastAsia="Times New Roman" w:cs="Times New Roman"/>
          <w:lang w:eastAsia="de-DE"/>
        </w:rPr>
        <w:t>mit κα</w:t>
      </w:r>
      <w:proofErr w:type="spellStart"/>
      <w:r w:rsidRPr="00195E02">
        <w:rPr>
          <w:rFonts w:eastAsia="Times New Roman" w:cs="Times New Roman"/>
          <w:lang w:eastAsia="de-DE"/>
        </w:rPr>
        <w:t>τὰ</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ρόσω</w:t>
      </w:r>
      <w:proofErr w:type="spellEnd"/>
      <w:r w:rsidRPr="00195E02">
        <w:rPr>
          <w:rFonts w:eastAsia="Times New Roman" w:cs="Times New Roman"/>
          <w:lang w:eastAsia="de-DE"/>
        </w:rPr>
        <w:t xml:space="preserve">πον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ἱλ</w:t>
      </w:r>
      <w:proofErr w:type="spellEnd"/>
      <w:r w:rsidRPr="00195E02">
        <w:rPr>
          <w:rFonts w:eastAsia="Times New Roman" w:cs="Times New Roman"/>
          <w:lang w:eastAsia="de-DE"/>
        </w:rPr>
        <w:t xml:space="preserve">αστηρίου (gegen das Angesicht des Sühneorts), </w:t>
      </w:r>
      <w:r w:rsidRPr="00195E02">
        <w:rPr>
          <w:rFonts w:eastAsia="Times New Roman" w:cs="Times New Roman"/>
          <w:b/>
          <w:bCs/>
          <w:rtl/>
          <w:lang w:eastAsia="de-DE"/>
        </w:rPr>
        <w:t>קדמה</w:t>
      </w:r>
      <w:r w:rsidRPr="00195E02">
        <w:rPr>
          <w:rFonts w:eastAsia="Times New Roman" w:cs="Times New Roman"/>
          <w:rtl/>
          <w:lang w:eastAsia="de-DE"/>
        </w:rPr>
        <w:t xml:space="preserve"> </w:t>
      </w:r>
      <w:r w:rsidRPr="00195E02">
        <w:rPr>
          <w:rFonts w:eastAsia="Times New Roman" w:cs="Times New Roman"/>
          <w:lang w:eastAsia="de-DE"/>
        </w:rPr>
        <w:t xml:space="preserve">mit κατ᾽ </w:t>
      </w:r>
      <w:proofErr w:type="spellStart"/>
      <w:r w:rsidRPr="00195E02">
        <w:rPr>
          <w:rFonts w:eastAsia="Times New Roman" w:cs="Times New Roman"/>
          <w:lang w:eastAsia="de-DE"/>
        </w:rPr>
        <w:t>ἀν</w:t>
      </w:r>
      <w:proofErr w:type="spellEnd"/>
      <w:r w:rsidRPr="00195E02">
        <w:rPr>
          <w:rFonts w:eastAsia="Times New Roman" w:cs="Times New Roman"/>
          <w:lang w:eastAsia="de-DE"/>
        </w:rPr>
        <w:t xml:space="preserve">ατολάς (nach Osten) und </w:t>
      </w:r>
      <w:r w:rsidRPr="00195E02">
        <w:rPr>
          <w:rFonts w:eastAsia="Times New Roman" w:cs="Times New Roman"/>
          <w:b/>
          <w:bCs/>
          <w:rtl/>
          <w:lang w:eastAsia="de-DE"/>
        </w:rPr>
        <w:t>שבע־פעמים</w:t>
      </w:r>
      <w:r w:rsidRPr="00195E02">
        <w:rPr>
          <w:rFonts w:eastAsia="Times New Roman" w:cs="Times New Roman"/>
          <w:rtl/>
          <w:lang w:eastAsia="de-DE"/>
        </w:rPr>
        <w:t xml:space="preserve"> </w:t>
      </w:r>
      <w:r w:rsidRPr="00195E02">
        <w:rPr>
          <w:rFonts w:eastAsia="Times New Roman" w:cs="Times New Roman"/>
          <w:lang w:eastAsia="de-DE"/>
        </w:rPr>
        <w:t>mit ἑπ</w:t>
      </w:r>
      <w:proofErr w:type="spellStart"/>
      <w:r w:rsidRPr="00195E02">
        <w:rPr>
          <w:rFonts w:eastAsia="Times New Roman" w:cs="Times New Roman"/>
          <w:lang w:eastAsia="de-DE"/>
        </w:rPr>
        <w:t>τάκις</w:t>
      </w:r>
      <w:proofErr w:type="spellEnd"/>
      <w:r w:rsidRPr="00195E02">
        <w:rPr>
          <w:rFonts w:eastAsia="Times New Roman" w:cs="Times New Roman"/>
          <w:lang w:eastAsia="de-DE"/>
        </w:rPr>
        <w:t xml:space="preserve"> (siebenmal).</w:t>
      </w:r>
    </w:p>
    <w:p w14:paraId="5944FB70" w14:textId="7E5612D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doppelte Blutsprengung: eine Sprengung auf den </w:t>
      </w:r>
      <w:r w:rsidR="004603C6">
        <w:rPr>
          <w:rFonts w:eastAsia="Times New Roman" w:cs="Times New Roman"/>
          <w:lang w:eastAsia="de-DE"/>
        </w:rPr>
        <w:t>Sühnedeckel</w:t>
      </w:r>
      <w:r w:rsidRPr="00195E02">
        <w:rPr>
          <w:rFonts w:eastAsia="Times New Roman" w:cs="Times New Roman"/>
          <w:lang w:eastAsia="de-DE"/>
        </w:rPr>
        <w:t xml:space="preserve"> + sieben Sprengungen vor den </w:t>
      </w:r>
      <w:r w:rsidR="004603C6">
        <w:rPr>
          <w:rFonts w:eastAsia="Times New Roman" w:cs="Times New Roman"/>
          <w:lang w:eastAsia="de-DE"/>
        </w:rPr>
        <w:t>Sühnedeckel</w:t>
      </w:r>
      <w:r w:rsidRPr="00195E02">
        <w:rPr>
          <w:rFonts w:eastAsia="Times New Roman" w:cs="Times New Roman"/>
          <w:lang w:eastAsia="de-DE"/>
        </w:rPr>
        <w:t>. Die Struktur zeigt präzise rituelle Anweisungen für das heiligste Ritual.</w:t>
      </w:r>
    </w:p>
    <w:p w14:paraId="466ED44C" w14:textId="61CA1C5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das zentrale Blutsprengungsritual: einmal auf den </w:t>
      </w:r>
      <w:r w:rsidR="004603C6">
        <w:rPr>
          <w:rFonts w:eastAsia="Times New Roman" w:cs="Times New Roman"/>
          <w:lang w:eastAsia="de-DE"/>
        </w:rPr>
        <w:t>Sühnedeckel</w:t>
      </w:r>
      <w:r w:rsidRPr="00195E02">
        <w:rPr>
          <w:rFonts w:eastAsia="Times New Roman" w:cs="Times New Roman"/>
          <w:lang w:eastAsia="de-DE"/>
        </w:rPr>
        <w:t xml:space="preserve"> und siebenmal davor mit dem Blut des priesterlichen Sündopferstieres.</w:t>
      </w:r>
    </w:p>
    <w:p w14:paraId="24D354EF"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16,15</w:t>
      </w:r>
    </w:p>
    <w:p w14:paraId="5A6E08D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וְשָׁחַ֞ט אֶת־שְׂעִ֤יר הַֽחַטָּאת֙ אֲשֶׁ֣ר לָעָ֔ם וְהֵבִיא֙ אֶת־דָּמֹ֔ו אֶל־מִבֵּ֖ית לַפָּרֹ֑כֶת וְעָשָׂ֣ה אֶת־דָּמֹ֗ו כַּאֲשֶׁ֤ר עָשָׂה֙ לְדַ֣ם הַפָּ֔ר וְהִזָּ֥ה אֹתוֹ֛ עַל־הַכַּפֹּ֖רֶת וְלִפְנֵ֥י הַכַּפֹּֽרֶת׃</w:t>
      </w:r>
    </w:p>
    <w:p w14:paraId="4A5562BD" w14:textId="11EF7BC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schlachten den Bock des Sündopfers, der für das Volk ist, und soll bringen sein Blut hinein hinter den Vorhang; und er soll tun mit seinem Blut, wie er getan hat mit dem Blut des Stieres, und soll es sprengen auf den Sühnedeckel und vor den Sühnedeckel.</w:t>
      </w:r>
    </w:p>
    <w:p w14:paraId="48B9CF91"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0C708386">
          <v:rect id="_x0000_i1495" style="width:0;height:1.5pt" o:hralign="center" o:hrstd="t" o:hr="t" fillcolor="#a0a0a0" stroked="f"/>
        </w:pict>
      </w:r>
    </w:p>
    <w:p w14:paraId="1B5CBE8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ושחט את־שעיר החטאת אשר לעם והביא את־דמו אל־מבית לפרכת ועשה את־דמו כאשר עשה לדם הפר והזה אתו על־הכפרת ולפני הכפרת</w:t>
      </w:r>
      <w:r w:rsidRPr="00195E02">
        <w:rPr>
          <w:rFonts w:eastAsia="Times New Roman" w:cs="Times New Roman"/>
          <w:rtl/>
          <w:lang w:eastAsia="de-DE"/>
        </w:rPr>
        <w:t xml:space="preserve"> </w:t>
      </w:r>
      <w:r w:rsidRPr="00195E02">
        <w:rPr>
          <w:rFonts w:eastAsia="Times New Roman" w:cs="Times New Roman"/>
          <w:lang w:eastAsia="de-DE"/>
        </w:rPr>
        <w:t xml:space="preserve">wiederholt das Blutsprengungsritual mit dem Volksopfer. </w:t>
      </w:r>
      <w:r w:rsidRPr="00195E02">
        <w:rPr>
          <w:rFonts w:eastAsia="Times New Roman" w:cs="Times New Roman"/>
          <w:b/>
          <w:bCs/>
          <w:rtl/>
          <w:lang w:eastAsia="de-DE"/>
        </w:rPr>
        <w:t>ושחט את־שעיר החטאת אשר לעם</w:t>
      </w:r>
      <w:r w:rsidRPr="00195E02">
        <w:rPr>
          <w:rFonts w:eastAsia="Times New Roman" w:cs="Times New Roman"/>
          <w:rtl/>
          <w:lang w:eastAsia="de-DE"/>
        </w:rPr>
        <w:t xml:space="preserve"> </w:t>
      </w:r>
      <w:r w:rsidRPr="00195E02">
        <w:rPr>
          <w:rFonts w:eastAsia="Times New Roman" w:cs="Times New Roman"/>
          <w:lang w:eastAsia="de-DE"/>
        </w:rPr>
        <w:t xml:space="preserve">(und er soll den Bock des Sündopfers, der für das Volk ist, schlachten) zeigt den für JHWH bestimmten Bock aus V. 9. </w:t>
      </w:r>
      <w:r w:rsidRPr="00195E02">
        <w:rPr>
          <w:rFonts w:eastAsia="Times New Roman" w:cs="Times New Roman"/>
          <w:b/>
          <w:bCs/>
          <w:rtl/>
          <w:lang w:eastAsia="de-DE"/>
        </w:rPr>
        <w:t>והביא את־דמו אל־מבית לפרכת</w:t>
      </w:r>
      <w:r w:rsidRPr="00195E02">
        <w:rPr>
          <w:rFonts w:eastAsia="Times New Roman" w:cs="Times New Roman"/>
          <w:rtl/>
          <w:lang w:eastAsia="de-DE"/>
        </w:rPr>
        <w:t xml:space="preserve"> </w:t>
      </w:r>
      <w:r w:rsidRPr="00195E02">
        <w:rPr>
          <w:rFonts w:eastAsia="Times New Roman" w:cs="Times New Roman"/>
          <w:lang w:eastAsia="de-DE"/>
        </w:rPr>
        <w:t>(und sein Blut hineinbringen hinter den Vorhang) entspricht dem Verfahren aus V. 12-14.</w:t>
      </w:r>
    </w:p>
    <w:p w14:paraId="5005F425" w14:textId="4261ECB8"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ועשה את־דמו כאשר עשה לדם הפר והזה אתו על־הכפרת ולפני הכפרת</w:t>
      </w:r>
      <w:r w:rsidRPr="00195E02">
        <w:rPr>
          <w:rFonts w:eastAsia="Times New Roman" w:cs="Times New Roman"/>
          <w:rtl/>
          <w:lang w:eastAsia="de-DE"/>
        </w:rPr>
        <w:t xml:space="preserve"> </w:t>
      </w:r>
      <w:r w:rsidRPr="00195E02">
        <w:rPr>
          <w:rFonts w:eastAsia="Times New Roman" w:cs="Times New Roman"/>
          <w:lang w:eastAsia="de-DE"/>
        </w:rPr>
        <w:t xml:space="preserve">(und er soll mit seinem Blut tun, wie er mit dem Blut des Stieres getan hat, und es sprengen auf den </w:t>
      </w:r>
      <w:r w:rsidR="004603C6">
        <w:rPr>
          <w:rFonts w:eastAsia="Times New Roman" w:cs="Times New Roman"/>
          <w:lang w:eastAsia="de-DE"/>
        </w:rPr>
        <w:t>Sühnedeckel</w:t>
      </w:r>
      <w:r w:rsidRPr="00195E02">
        <w:rPr>
          <w:rFonts w:eastAsia="Times New Roman" w:cs="Times New Roman"/>
          <w:lang w:eastAsia="de-DE"/>
        </w:rPr>
        <w:t xml:space="preserve"> und vor den </w:t>
      </w:r>
      <w:r w:rsidR="004603C6">
        <w:rPr>
          <w:rFonts w:eastAsia="Times New Roman" w:cs="Times New Roman"/>
          <w:lang w:eastAsia="de-DE"/>
        </w:rPr>
        <w:t>Sühnedeckel</w:t>
      </w:r>
      <w:r w:rsidRPr="00195E02">
        <w:rPr>
          <w:rFonts w:eastAsia="Times New Roman" w:cs="Times New Roman"/>
          <w:lang w:eastAsia="de-DE"/>
        </w:rPr>
        <w:t>) zeigt die exakte Wiederholung des Verfahrens aus V. 14.</w:t>
      </w:r>
    </w:p>
    <w:p w14:paraId="0F7404A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אשר לעם</w:t>
      </w:r>
      <w:r w:rsidRPr="00195E02">
        <w:rPr>
          <w:rFonts w:eastAsia="Times New Roman" w:cs="Times New Roman"/>
          <w:rtl/>
          <w:lang w:eastAsia="de-DE"/>
        </w:rPr>
        <w:t xml:space="preserve"> </w:t>
      </w:r>
      <w:r w:rsidRPr="00195E02">
        <w:rPr>
          <w:rFonts w:eastAsia="Times New Roman" w:cs="Times New Roman"/>
          <w:lang w:eastAsia="de-DE"/>
        </w:rPr>
        <w:t xml:space="preserve">im Gegensatz zu </w:t>
      </w:r>
      <w:r w:rsidRPr="00195E02">
        <w:rPr>
          <w:rFonts w:eastAsia="Times New Roman" w:cs="Times New Roman"/>
          <w:b/>
          <w:bCs/>
          <w:rtl/>
          <w:lang w:eastAsia="de-DE"/>
        </w:rPr>
        <w:t>אשר־לו</w:t>
      </w:r>
      <w:r w:rsidRPr="00195E02">
        <w:rPr>
          <w:rFonts w:eastAsia="Times New Roman" w:cs="Times New Roman"/>
          <w:rtl/>
          <w:lang w:eastAsia="de-DE"/>
        </w:rPr>
        <w:t xml:space="preserve"> </w:t>
      </w:r>
      <w:r w:rsidRPr="00195E02">
        <w:rPr>
          <w:rFonts w:eastAsia="Times New Roman" w:cs="Times New Roman"/>
          <w:lang w:eastAsia="de-DE"/>
        </w:rPr>
        <w:t xml:space="preserve">aus V. 11 zeigt den Übergang von priesterlicher zu Volkssühne. </w:t>
      </w:r>
      <w:r w:rsidRPr="00195E02">
        <w:rPr>
          <w:rFonts w:eastAsia="Times New Roman" w:cs="Times New Roman"/>
          <w:b/>
          <w:bCs/>
          <w:rtl/>
          <w:lang w:eastAsia="de-DE"/>
        </w:rPr>
        <w:t>כאשר עשה לדם הפר</w:t>
      </w:r>
      <w:r w:rsidRPr="00195E02">
        <w:rPr>
          <w:rFonts w:eastAsia="Times New Roman" w:cs="Times New Roman"/>
          <w:rtl/>
          <w:lang w:eastAsia="de-DE"/>
        </w:rPr>
        <w:t xml:space="preserve"> </w:t>
      </w:r>
      <w:r w:rsidRPr="00195E02">
        <w:rPr>
          <w:rFonts w:eastAsia="Times New Roman" w:cs="Times New Roman"/>
          <w:lang w:eastAsia="de-DE"/>
        </w:rPr>
        <w:t>zeigt die identische Behandlung beider Blutarten. Die vollständige Parallelität betont die Gleichwertigkeit von priesterlicher und Volkssühne.</w:t>
      </w:r>
    </w:p>
    <w:p w14:paraId="70E2A8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Die LXX</w:t>
      </w:r>
      <w:r w:rsidRPr="00195E02">
        <w:rPr>
          <w:rFonts w:eastAsia="Times New Roman" w:cs="Times New Roman"/>
          <w:lang w:eastAsia="de-DE"/>
        </w:rPr>
        <w:t xml:space="preserve"> übersetzt </w:t>
      </w:r>
      <w:r w:rsidRPr="00195E02">
        <w:rPr>
          <w:rFonts w:eastAsia="Times New Roman" w:cs="Times New Roman"/>
          <w:b/>
          <w:bCs/>
          <w:rtl/>
          <w:lang w:eastAsia="de-DE"/>
        </w:rPr>
        <w:t>אשר לעם</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λα</w:t>
      </w:r>
      <w:proofErr w:type="spellStart"/>
      <w:r w:rsidRPr="00195E02">
        <w:rPr>
          <w:rFonts w:eastAsia="Times New Roman" w:cs="Times New Roman"/>
          <w:lang w:eastAsia="de-DE"/>
        </w:rPr>
        <w:t>οῦ</w:t>
      </w:r>
      <w:proofErr w:type="spellEnd"/>
      <w:r w:rsidRPr="00195E02">
        <w:rPr>
          <w:rFonts w:eastAsia="Times New Roman" w:cs="Times New Roman"/>
          <w:lang w:eastAsia="de-DE"/>
        </w:rPr>
        <w:t xml:space="preserve"> (den für das Volk), </w:t>
      </w:r>
      <w:r w:rsidRPr="00195E02">
        <w:rPr>
          <w:rFonts w:eastAsia="Times New Roman" w:cs="Times New Roman"/>
          <w:b/>
          <w:bCs/>
          <w:rtl/>
          <w:lang w:eastAsia="de-DE"/>
        </w:rPr>
        <w:t>והביא את־דמו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εἰσοίσει</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ἷμ</w:t>
      </w:r>
      <w:proofErr w:type="spellEnd"/>
      <w:r w:rsidRPr="00195E02">
        <w:rPr>
          <w:rFonts w:eastAsia="Times New Roman" w:cs="Times New Roman"/>
          <w:lang w:eastAsia="de-DE"/>
        </w:rPr>
        <w:t>α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(er wird sein Blut hineinbringen) und </w:t>
      </w:r>
      <w:r w:rsidRPr="00195E02">
        <w:rPr>
          <w:rFonts w:eastAsia="Times New Roman" w:cs="Times New Roman"/>
          <w:b/>
          <w:bCs/>
          <w:rtl/>
          <w:lang w:eastAsia="de-DE"/>
        </w:rPr>
        <w:t>כאשר עשה לדם הפר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ὃν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τρό</w:t>
      </w:r>
      <w:proofErr w:type="spellEnd"/>
      <w:r w:rsidRPr="00195E02">
        <w:rPr>
          <w:rFonts w:eastAsia="Times New Roman" w:cs="Times New Roman"/>
          <w:lang w:eastAsia="de-DE"/>
        </w:rPr>
        <w:t>πον ἐπ</w:t>
      </w:r>
      <w:proofErr w:type="spellStart"/>
      <w:r w:rsidRPr="00195E02">
        <w:rPr>
          <w:rFonts w:eastAsia="Times New Roman" w:cs="Times New Roman"/>
          <w:lang w:eastAsia="de-DE"/>
        </w:rPr>
        <w:t>οίησεν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τῷ</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ἵμ</w:t>
      </w:r>
      <w:proofErr w:type="spellEnd"/>
      <w:r w:rsidRPr="00195E02">
        <w:rPr>
          <w:rFonts w:eastAsia="Times New Roman" w:cs="Times New Roman"/>
          <w:lang w:eastAsia="de-DE"/>
        </w:rPr>
        <w:t xml:space="preserve">ατι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μόσχου</w:t>
      </w:r>
      <w:proofErr w:type="spellEnd"/>
      <w:r w:rsidRPr="00195E02">
        <w:rPr>
          <w:rFonts w:eastAsia="Times New Roman" w:cs="Times New Roman"/>
          <w:lang w:eastAsia="de-DE"/>
        </w:rPr>
        <w:t xml:space="preserve"> (wie er mit dem Blut des Stieres getan hat).</w:t>
      </w:r>
    </w:p>
    <w:p w14:paraId="4274592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Volksopfer-Parallelität: Bockschlachtung + Bluttransport ins Allerheiligste + identisches Sprengungsverfahren. Die Struktur zeigt systematische Wiederholung für Volkssühne.</w:t>
      </w:r>
    </w:p>
    <w:p w14:paraId="048E3D8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exakte Wiederholung des Blutsprengungsrituals mit dem Blut des Volkssündopfer-Bockes.</w:t>
      </w:r>
    </w:p>
    <w:p w14:paraId="5FDA9178"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16,16</w:t>
      </w:r>
    </w:p>
    <w:p w14:paraId="5F0BA25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וְכִפֶּ֣ר עַל־הַקֹּ֗דֶשׁ מִטֻּמְאֹת֙ בְּנֵ֣י יִשְׂרָאֵ֔ל וּמִפִּשְׁעֵיהֶ֖ם לְכָל־חַטֹּאתָ֑ם וְכֵ֤ן יַעֲשֶׂה֙ לְאֹ֣הֶל מוֹעֵ֔ד הַשֹּׁכֵ֣ן אִתָּ֔ם בְּת֖וֹךְ טֻמְאֹתָֽם׃</w:t>
      </w:r>
    </w:p>
    <w:p w14:paraId="5C6036E7" w14:textId="312102B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Sühne erwirken für das Heiligtum von den Unreinheiten der Söhne Jisra'els und von ihren Übertretungen, nach allen ihren Sünden. Und so soll er tun für das Zelt der Begegnung, das bei ihnen wohnt inmitten ihrer Unreinheiten.</w:t>
      </w:r>
    </w:p>
    <w:p w14:paraId="72271E7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3726453">
          <v:rect id="_x0000_i1496" style="width:0;height:1.5pt" o:hralign="center" o:hrstd="t" o:hr="t" fillcolor="#a0a0a0" stroked="f"/>
        </w:pict>
      </w:r>
    </w:p>
    <w:p w14:paraId="61C7F62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וכפר על־הקדש מטמאת בני ישראל ומפשעיהם לכל־חטאתם וכן יעשה לאהל מועד השכן אתם בתוך טמאתם</w:t>
      </w:r>
      <w:r w:rsidRPr="00195E02">
        <w:rPr>
          <w:rFonts w:eastAsia="Times New Roman" w:cs="Times New Roman"/>
          <w:rtl/>
          <w:lang w:eastAsia="de-DE"/>
        </w:rPr>
        <w:t xml:space="preserve"> </w:t>
      </w:r>
      <w:r w:rsidRPr="00195E02">
        <w:rPr>
          <w:rFonts w:eastAsia="Times New Roman" w:cs="Times New Roman"/>
          <w:lang w:eastAsia="de-DE"/>
        </w:rPr>
        <w:t xml:space="preserve">zeigt den Zweck der Blutsprengung: Heiligtumssühne. </w:t>
      </w:r>
      <w:r w:rsidRPr="00195E02">
        <w:rPr>
          <w:rFonts w:eastAsia="Times New Roman" w:cs="Times New Roman"/>
          <w:b/>
          <w:bCs/>
          <w:rtl/>
          <w:lang w:eastAsia="de-DE"/>
        </w:rPr>
        <w:t>וכפר על־הקדש מטמאת בני ישראל ומפשעיהם לכל־חטאתם</w:t>
      </w:r>
      <w:r w:rsidRPr="00195E02">
        <w:rPr>
          <w:rFonts w:eastAsia="Times New Roman" w:cs="Times New Roman"/>
          <w:rtl/>
          <w:lang w:eastAsia="de-DE"/>
        </w:rPr>
        <w:t xml:space="preserve"> </w:t>
      </w:r>
      <w:r w:rsidRPr="00195E02">
        <w:rPr>
          <w:rFonts w:eastAsia="Times New Roman" w:cs="Times New Roman"/>
          <w:lang w:eastAsia="de-DE"/>
        </w:rPr>
        <w:t xml:space="preserve">(und er soll Sühne erwirken für das Heiligtum wegen der Unreinheiten der Söhne Israels und wegen ihrer Übertretungen nach allen ihren Sünden) zeigt drei Kategorien von Volkssünden: </w:t>
      </w:r>
      <w:r w:rsidRPr="00195E02">
        <w:rPr>
          <w:rFonts w:eastAsia="Times New Roman" w:cs="Times New Roman"/>
          <w:b/>
          <w:bCs/>
          <w:rtl/>
          <w:lang w:eastAsia="de-DE"/>
        </w:rPr>
        <w:t>טמאת</w:t>
      </w:r>
      <w:r w:rsidRPr="00195E02">
        <w:rPr>
          <w:rFonts w:eastAsia="Times New Roman" w:cs="Times New Roman"/>
          <w:rtl/>
          <w:lang w:eastAsia="de-DE"/>
        </w:rPr>
        <w:t xml:space="preserve"> </w:t>
      </w:r>
      <w:r w:rsidRPr="00195E02">
        <w:rPr>
          <w:rFonts w:eastAsia="Times New Roman" w:cs="Times New Roman"/>
          <w:lang w:eastAsia="de-DE"/>
        </w:rPr>
        <w:t xml:space="preserve">(Unreinheiten), </w:t>
      </w:r>
      <w:r w:rsidRPr="00195E02">
        <w:rPr>
          <w:rFonts w:eastAsia="Times New Roman" w:cs="Times New Roman"/>
          <w:b/>
          <w:bCs/>
          <w:rtl/>
          <w:lang w:eastAsia="de-DE"/>
        </w:rPr>
        <w:t>פשעיהם</w:t>
      </w:r>
      <w:r w:rsidRPr="00195E02">
        <w:rPr>
          <w:rFonts w:eastAsia="Times New Roman" w:cs="Times New Roman"/>
          <w:rtl/>
          <w:lang w:eastAsia="de-DE"/>
        </w:rPr>
        <w:t xml:space="preserve"> </w:t>
      </w:r>
      <w:r w:rsidRPr="00195E02">
        <w:rPr>
          <w:rFonts w:eastAsia="Times New Roman" w:cs="Times New Roman"/>
          <w:lang w:eastAsia="de-DE"/>
        </w:rPr>
        <w:t xml:space="preserve">(ihre Übertretungen), </w:t>
      </w:r>
      <w:r w:rsidRPr="00195E02">
        <w:rPr>
          <w:rFonts w:eastAsia="Times New Roman" w:cs="Times New Roman"/>
          <w:b/>
          <w:bCs/>
          <w:rtl/>
          <w:lang w:eastAsia="de-DE"/>
        </w:rPr>
        <w:t>חטאתם</w:t>
      </w:r>
      <w:r w:rsidRPr="00195E02">
        <w:rPr>
          <w:rFonts w:eastAsia="Times New Roman" w:cs="Times New Roman"/>
          <w:rtl/>
          <w:lang w:eastAsia="de-DE"/>
        </w:rPr>
        <w:t xml:space="preserve"> </w:t>
      </w:r>
      <w:r w:rsidRPr="00195E02">
        <w:rPr>
          <w:rFonts w:eastAsia="Times New Roman" w:cs="Times New Roman"/>
          <w:lang w:eastAsia="de-DE"/>
        </w:rPr>
        <w:t>(ihre Sünden).</w:t>
      </w:r>
    </w:p>
    <w:p w14:paraId="4F3AD7A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וכן יעשה לאהל מועד השכן אתם בתוך טמאתם</w:t>
      </w:r>
      <w:r w:rsidRPr="00195E02">
        <w:rPr>
          <w:rFonts w:eastAsia="Times New Roman" w:cs="Times New Roman"/>
          <w:rtl/>
          <w:lang w:eastAsia="de-DE"/>
        </w:rPr>
        <w:t xml:space="preserve"> </w:t>
      </w:r>
      <w:r w:rsidRPr="00195E02">
        <w:rPr>
          <w:rFonts w:eastAsia="Times New Roman" w:cs="Times New Roman"/>
          <w:lang w:eastAsia="de-DE"/>
        </w:rPr>
        <w:t xml:space="preserve">(und so soll er tun für das Zelt der Begegnung, das bei ihnen wohnt inmitten ihrer Unreinheiten) erweitert auf das gesamte Zeltheiligtum. </w:t>
      </w:r>
      <w:r w:rsidRPr="00195E02">
        <w:rPr>
          <w:rFonts w:eastAsia="Times New Roman" w:cs="Times New Roman"/>
          <w:b/>
          <w:bCs/>
          <w:rtl/>
          <w:lang w:eastAsia="de-DE"/>
        </w:rPr>
        <w:t>השכן אתם בתוך טמאתם</w:t>
      </w:r>
      <w:r w:rsidRPr="00195E02">
        <w:rPr>
          <w:rFonts w:eastAsia="Times New Roman" w:cs="Times New Roman"/>
          <w:rtl/>
          <w:lang w:eastAsia="de-DE"/>
        </w:rPr>
        <w:t xml:space="preserve"> </w:t>
      </w:r>
      <w:r w:rsidRPr="00195E02">
        <w:rPr>
          <w:rFonts w:eastAsia="Times New Roman" w:cs="Times New Roman"/>
          <w:lang w:eastAsia="de-DE"/>
        </w:rPr>
        <w:t>(das bei ihnen wohnt inmitten ihrer Unreinheiten) zeigt das Problem: göttliche Wohnung inmitten sündiger Menschen.</w:t>
      </w:r>
    </w:p>
    <w:p w14:paraId="1F704FA7"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על־הקדש</w:t>
      </w:r>
      <w:r w:rsidRPr="00195E02">
        <w:rPr>
          <w:rFonts w:eastAsia="Times New Roman" w:cs="Times New Roman"/>
          <w:rtl/>
          <w:lang w:eastAsia="de-DE"/>
        </w:rPr>
        <w:t xml:space="preserve"> </w:t>
      </w:r>
      <w:r w:rsidRPr="00195E02">
        <w:rPr>
          <w:rFonts w:eastAsia="Times New Roman" w:cs="Times New Roman"/>
          <w:lang w:eastAsia="de-DE"/>
        </w:rPr>
        <w:t xml:space="preserve">zeigt, dass das Heiligtum selbst der Sühne bedarf wegen Volkssünden. </w:t>
      </w:r>
      <w:r w:rsidRPr="00195E02">
        <w:rPr>
          <w:rFonts w:eastAsia="Times New Roman" w:cs="Times New Roman"/>
          <w:b/>
          <w:bCs/>
          <w:rtl/>
          <w:lang w:eastAsia="de-DE"/>
        </w:rPr>
        <w:t>טמאת ופשעיהם וחטאתם</w:t>
      </w:r>
      <w:r w:rsidRPr="00195E02">
        <w:rPr>
          <w:rFonts w:eastAsia="Times New Roman" w:cs="Times New Roman"/>
          <w:rtl/>
          <w:lang w:eastAsia="de-DE"/>
        </w:rPr>
        <w:t xml:space="preserve"> </w:t>
      </w:r>
      <w:r w:rsidRPr="00195E02">
        <w:rPr>
          <w:rFonts w:eastAsia="Times New Roman" w:cs="Times New Roman"/>
          <w:lang w:eastAsia="de-DE"/>
        </w:rPr>
        <w:t xml:space="preserve">als umfassende Sündenkategorien. </w:t>
      </w:r>
      <w:r w:rsidRPr="00195E02">
        <w:rPr>
          <w:rFonts w:eastAsia="Times New Roman" w:cs="Times New Roman"/>
          <w:b/>
          <w:bCs/>
          <w:rtl/>
          <w:lang w:eastAsia="de-DE"/>
        </w:rPr>
        <w:t>השכן אתם בתוך טמאתם</w:t>
      </w:r>
      <w:r w:rsidRPr="00195E02">
        <w:rPr>
          <w:rFonts w:eastAsia="Times New Roman" w:cs="Times New Roman"/>
          <w:rtl/>
          <w:lang w:eastAsia="de-DE"/>
        </w:rPr>
        <w:t xml:space="preserve"> </w:t>
      </w:r>
      <w:r w:rsidRPr="00195E02">
        <w:rPr>
          <w:rFonts w:eastAsia="Times New Roman" w:cs="Times New Roman"/>
          <w:lang w:eastAsia="de-DE"/>
        </w:rPr>
        <w:t>zeigt das theologische Grundproblem der göttlichen Präsenz.</w:t>
      </w:r>
    </w:p>
    <w:p w14:paraId="32AC8AAB" w14:textId="712460AA"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w:t>
      </w:r>
      <w:r w:rsidR="00E705C5">
        <w:t xml:space="preserve">übersetzt </w:t>
      </w:r>
      <w:r w:rsidR="00E705C5">
        <w:rPr>
          <w:rtl/>
        </w:rPr>
        <w:t>השכן אתם בתוך טמאתם</w:t>
      </w:r>
      <w:r w:rsidR="00E705C5">
        <w:t xml:space="preserve"> (</w:t>
      </w:r>
      <w:proofErr w:type="spellStart"/>
      <w:r w:rsidR="00E705C5">
        <w:t>hashokhen</w:t>
      </w:r>
      <w:proofErr w:type="spellEnd"/>
      <w:r w:rsidR="00E705C5">
        <w:t xml:space="preserve"> </w:t>
      </w:r>
      <w:proofErr w:type="spellStart"/>
      <w:r w:rsidR="00E705C5">
        <w:t>ittam</w:t>
      </w:r>
      <w:proofErr w:type="spellEnd"/>
      <w:r w:rsidR="00E705C5">
        <w:t xml:space="preserve"> betoch </w:t>
      </w:r>
      <w:proofErr w:type="spellStart"/>
      <w:r w:rsidR="00E705C5">
        <w:t>tum'otam</w:t>
      </w:r>
      <w:proofErr w:type="spellEnd"/>
      <w:r w:rsidR="00E705C5">
        <w:t xml:space="preserve"> - "der bei ihnen wohnt inmitten ihrer Unreinheiten") als </w:t>
      </w:r>
      <w:proofErr w:type="spellStart"/>
      <w:r w:rsidR="00E705C5">
        <w:t>τῇ</w:t>
      </w:r>
      <w:proofErr w:type="spellEnd"/>
      <w:r w:rsidR="00E705C5">
        <w:t xml:space="preserve"> </w:t>
      </w:r>
      <w:proofErr w:type="spellStart"/>
      <w:r w:rsidR="00E705C5">
        <w:t>ἐκτισμένῃ</w:t>
      </w:r>
      <w:proofErr w:type="spellEnd"/>
      <w:r w:rsidR="00E705C5">
        <w:t xml:space="preserve"> </w:t>
      </w:r>
      <w:proofErr w:type="spellStart"/>
      <w:r w:rsidR="00E705C5">
        <w:t>ἐν</w:t>
      </w:r>
      <w:proofErr w:type="spellEnd"/>
      <w:r w:rsidR="00E705C5">
        <w:t xml:space="preserve"> α</w:t>
      </w:r>
      <w:proofErr w:type="spellStart"/>
      <w:r w:rsidR="00E705C5">
        <w:t>ὐτοῖς</w:t>
      </w:r>
      <w:proofErr w:type="spellEnd"/>
      <w:r w:rsidR="00E705C5">
        <w:t xml:space="preserve"> </w:t>
      </w:r>
      <w:proofErr w:type="spellStart"/>
      <w:r w:rsidR="00E705C5">
        <w:t>ἐν</w:t>
      </w:r>
      <w:proofErr w:type="spellEnd"/>
      <w:r w:rsidR="00E705C5">
        <w:t xml:space="preserve"> </w:t>
      </w:r>
      <w:proofErr w:type="spellStart"/>
      <w:r w:rsidR="00E705C5">
        <w:t>μέσῳ</w:t>
      </w:r>
      <w:proofErr w:type="spellEnd"/>
      <w:r w:rsidR="00E705C5">
        <w:t xml:space="preserve"> </w:t>
      </w:r>
      <w:proofErr w:type="spellStart"/>
      <w:r w:rsidR="00E705C5">
        <w:t>τῆς</w:t>
      </w:r>
      <w:proofErr w:type="spellEnd"/>
      <w:r w:rsidR="00E705C5">
        <w:t xml:space="preserve"> </w:t>
      </w:r>
      <w:proofErr w:type="spellStart"/>
      <w:r w:rsidR="00E705C5">
        <w:t>ἀκ</w:t>
      </w:r>
      <w:proofErr w:type="spellEnd"/>
      <w:r w:rsidR="00E705C5">
        <w:t>αθαρσίας α</w:t>
      </w:r>
      <w:proofErr w:type="spellStart"/>
      <w:r w:rsidR="00E705C5">
        <w:t>ὐτῶν</w:t>
      </w:r>
      <w:proofErr w:type="spellEnd"/>
      <w:r w:rsidR="00E705C5">
        <w:t xml:space="preserve"> (die unter ihnen errichtet ist inmitten ihrer Unreinheit), was den Aspekt der göttlichen Konstruktion betont.</w:t>
      </w:r>
    </w:p>
    <w:p w14:paraId="2050832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Heiligtumssühne: Sühne für das Allerheiligste + umfassende Sündenkategorien + Erweiterung auf das gesamte Heiligtum + theologische Begründung. Die Struktur zeigt, dass göttliche Wohnung inmitten sündiger Menschen Reinigung erfordert.</w:t>
      </w:r>
    </w:p>
    <w:p w14:paraId="4BC488D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offenbart den Kern des Jom Kippur: das Heiligtum selbst bedarf der Sühne, weil JHWH inmitten sündiger Menschen wohnt.</w:t>
      </w:r>
    </w:p>
    <w:p w14:paraId="350D3906"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lastRenderedPageBreak/>
        <w:t>Leviticus 16,17</w:t>
      </w:r>
    </w:p>
    <w:p w14:paraId="575176D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וְכָל־אָדָ֞ם לֹא־יִהְיֶ֣ה׀ בְּאֹ֣הֶל מוֹעֵ֗ד בְּבֹאֹ֛ו לְכַפֵּ֥ר בַּקֹּ֖דֶשׁ עַד־צֵאתוֹ֑ וְכִפֶּ֤ר בַּעֲדוֹ֙ וּבְעַ֣ד בֵּיתֹ֔ו וּבְעַ֖ד כָּל־קְהַ֥ל יִשְׂרָאֵֽל׃</w:t>
      </w:r>
    </w:p>
    <w:p w14:paraId="6B480F62" w14:textId="7C054181"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kein Mensch soll im Zelt der Begegnung sein, wenn er kommt, um Sühne zu erwirken im Heiligtum, bis er herausgeht. Und er soll Sühne erwirken für sich und für sein Haus und für die ganze Versammlung Jisra'els.</w:t>
      </w:r>
    </w:p>
    <w:p w14:paraId="46830C2D"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206BF788">
          <v:rect id="_x0000_i1497" style="width:0;height:1.5pt" o:hralign="center" o:hrstd="t" o:hr="t" fillcolor="#a0a0a0" stroked="f"/>
        </w:pict>
      </w:r>
    </w:p>
    <w:p w14:paraId="2C76F1A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וכל־אדם לא־יהיה באהל מועד בבאו לכפר בקדש עד־צאתו וכפר בעדו ובעד ביתו ובעד כל־קהל ישראל</w:t>
      </w:r>
      <w:r w:rsidRPr="00195E02">
        <w:rPr>
          <w:rFonts w:eastAsia="Times New Roman" w:cs="Times New Roman"/>
          <w:rtl/>
          <w:lang w:eastAsia="de-DE"/>
        </w:rPr>
        <w:t xml:space="preserve"> </w:t>
      </w:r>
      <w:r w:rsidRPr="00195E02">
        <w:rPr>
          <w:rFonts w:eastAsia="Times New Roman" w:cs="Times New Roman"/>
          <w:lang w:eastAsia="de-DE"/>
        </w:rPr>
        <w:t xml:space="preserve">zeigt die totale Isolation während des Allerheiligsten-Rituals. </w:t>
      </w:r>
      <w:r w:rsidRPr="00195E02">
        <w:rPr>
          <w:rFonts w:eastAsia="Times New Roman" w:cs="Times New Roman"/>
          <w:b/>
          <w:bCs/>
          <w:rtl/>
          <w:lang w:eastAsia="de-DE"/>
        </w:rPr>
        <w:t>וכל־אדם לא־יהיה באהל מועד</w:t>
      </w:r>
      <w:r w:rsidRPr="00195E02">
        <w:rPr>
          <w:rFonts w:eastAsia="Times New Roman" w:cs="Times New Roman"/>
          <w:rtl/>
          <w:lang w:eastAsia="de-DE"/>
        </w:rPr>
        <w:t xml:space="preserve"> </w:t>
      </w:r>
      <w:r w:rsidRPr="00195E02">
        <w:rPr>
          <w:rFonts w:eastAsia="Times New Roman" w:cs="Times New Roman"/>
          <w:lang w:eastAsia="de-DE"/>
        </w:rPr>
        <w:t xml:space="preserve">(und kein Mensch soll im Zelt der Begegnung sein) - </w:t>
      </w:r>
      <w:r w:rsidRPr="00195E02">
        <w:rPr>
          <w:rFonts w:eastAsia="Times New Roman" w:cs="Times New Roman"/>
          <w:b/>
          <w:bCs/>
          <w:rtl/>
          <w:lang w:eastAsia="de-DE"/>
        </w:rPr>
        <w:t>כל־אדם</w:t>
      </w:r>
      <w:r w:rsidRPr="00195E02">
        <w:rPr>
          <w:rFonts w:eastAsia="Times New Roman" w:cs="Times New Roman"/>
          <w:rtl/>
          <w:lang w:eastAsia="de-DE"/>
        </w:rPr>
        <w:t xml:space="preserve"> </w:t>
      </w:r>
      <w:r w:rsidRPr="00195E02">
        <w:rPr>
          <w:rFonts w:eastAsia="Times New Roman" w:cs="Times New Roman"/>
          <w:lang w:eastAsia="de-DE"/>
        </w:rPr>
        <w:t xml:space="preserve">(jeder Mensch) zeigt universelles Verbot, </w:t>
      </w:r>
      <w:r w:rsidRPr="00195E02">
        <w:rPr>
          <w:rFonts w:eastAsia="Times New Roman" w:cs="Times New Roman"/>
          <w:b/>
          <w:bCs/>
          <w:rtl/>
          <w:lang w:eastAsia="de-DE"/>
        </w:rPr>
        <w:t>באהל מועד</w:t>
      </w:r>
      <w:r w:rsidRPr="00195E02">
        <w:rPr>
          <w:rFonts w:eastAsia="Times New Roman" w:cs="Times New Roman"/>
          <w:rtl/>
          <w:lang w:eastAsia="de-DE"/>
        </w:rPr>
        <w:t xml:space="preserve"> </w:t>
      </w:r>
      <w:r w:rsidRPr="00195E02">
        <w:rPr>
          <w:rFonts w:eastAsia="Times New Roman" w:cs="Times New Roman"/>
          <w:lang w:eastAsia="de-DE"/>
        </w:rPr>
        <w:t>(im Zelt der Begegnung) zeigt nicht nur das Allerheiligste, sondern das gesamte Heiligtum.</w:t>
      </w:r>
    </w:p>
    <w:p w14:paraId="6A20EB8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בבאו לכפר בקדש עד־צאתו</w:t>
      </w:r>
      <w:r w:rsidRPr="00195E02">
        <w:rPr>
          <w:rFonts w:eastAsia="Times New Roman" w:cs="Times New Roman"/>
          <w:rtl/>
          <w:lang w:eastAsia="de-DE"/>
        </w:rPr>
        <w:t xml:space="preserve"> </w:t>
      </w:r>
      <w:r w:rsidRPr="00195E02">
        <w:rPr>
          <w:rFonts w:eastAsia="Times New Roman" w:cs="Times New Roman"/>
          <w:lang w:eastAsia="de-DE"/>
        </w:rPr>
        <w:t xml:space="preserve">(wenn er kommt, um Sühne zu erwirken im Heiligtum, bis er herausgeht) zeigt die Zeitspanne der Isolation. </w:t>
      </w:r>
      <w:r w:rsidRPr="00195E02">
        <w:rPr>
          <w:rFonts w:eastAsia="Times New Roman" w:cs="Times New Roman"/>
          <w:b/>
          <w:bCs/>
          <w:rtl/>
          <w:lang w:eastAsia="de-DE"/>
        </w:rPr>
        <w:t>וכפר בעדו ובעד ביתו ובעד כל־קהל ישראל</w:t>
      </w:r>
      <w:r w:rsidRPr="00195E02">
        <w:rPr>
          <w:rFonts w:eastAsia="Times New Roman" w:cs="Times New Roman"/>
          <w:rtl/>
          <w:lang w:eastAsia="de-DE"/>
        </w:rPr>
        <w:t xml:space="preserve"> </w:t>
      </w:r>
      <w:r w:rsidRPr="00195E02">
        <w:rPr>
          <w:rFonts w:eastAsia="Times New Roman" w:cs="Times New Roman"/>
          <w:lang w:eastAsia="de-DE"/>
        </w:rPr>
        <w:t>(und er soll Sühne erwirken für sich und für sein Haus und für die ganze Versammlung Israels) zeigt die drei Sühnebereiche in aufsteigender Reihenfolge.</w:t>
      </w:r>
    </w:p>
    <w:p w14:paraId="0BF7A64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כל־אדם לא־יהיה</w:t>
      </w:r>
      <w:r w:rsidRPr="00195E02">
        <w:rPr>
          <w:rFonts w:eastAsia="Times New Roman" w:cs="Times New Roman"/>
          <w:rtl/>
          <w:lang w:eastAsia="de-DE"/>
        </w:rPr>
        <w:t xml:space="preserve"> </w:t>
      </w:r>
      <w:r w:rsidRPr="00195E02">
        <w:rPr>
          <w:rFonts w:eastAsia="Times New Roman" w:cs="Times New Roman"/>
          <w:lang w:eastAsia="de-DE"/>
        </w:rPr>
        <w:t xml:space="preserve">zeigt absolute Isolation - Aaron steht völlig allein vor JHWH. </w:t>
      </w:r>
      <w:r w:rsidRPr="00195E02">
        <w:rPr>
          <w:rFonts w:eastAsia="Times New Roman" w:cs="Times New Roman"/>
          <w:b/>
          <w:bCs/>
          <w:rtl/>
          <w:lang w:eastAsia="de-DE"/>
        </w:rPr>
        <w:t>עד־צאתו</w:t>
      </w:r>
      <w:r w:rsidRPr="00195E02">
        <w:rPr>
          <w:rFonts w:eastAsia="Times New Roman" w:cs="Times New Roman"/>
          <w:rtl/>
          <w:lang w:eastAsia="de-DE"/>
        </w:rPr>
        <w:t xml:space="preserve"> </w:t>
      </w:r>
      <w:r w:rsidRPr="00195E02">
        <w:rPr>
          <w:rFonts w:eastAsia="Times New Roman" w:cs="Times New Roman"/>
          <w:lang w:eastAsia="de-DE"/>
        </w:rPr>
        <w:t xml:space="preserve">zeigt die Dauer bis zum vollständigen Abschluss. </w:t>
      </w:r>
      <w:r w:rsidRPr="00195E02">
        <w:rPr>
          <w:rFonts w:eastAsia="Times New Roman" w:cs="Times New Roman"/>
          <w:b/>
          <w:bCs/>
          <w:rtl/>
          <w:lang w:eastAsia="de-DE"/>
        </w:rPr>
        <w:t>בעדו ובעד ביתו ובעד כל־קהל ישראל</w:t>
      </w:r>
      <w:r w:rsidRPr="00195E02">
        <w:rPr>
          <w:rFonts w:eastAsia="Times New Roman" w:cs="Times New Roman"/>
          <w:rtl/>
          <w:lang w:eastAsia="de-DE"/>
        </w:rPr>
        <w:t xml:space="preserve"> </w:t>
      </w:r>
      <w:r w:rsidRPr="00195E02">
        <w:rPr>
          <w:rFonts w:eastAsia="Times New Roman" w:cs="Times New Roman"/>
          <w:lang w:eastAsia="de-DE"/>
        </w:rPr>
        <w:t>zeigt konzentrische Kreise der Sühne.</w:t>
      </w:r>
    </w:p>
    <w:p w14:paraId="36B2D9A5"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כל־אדם</w:t>
      </w:r>
      <w:r w:rsidRPr="00195E02">
        <w:rPr>
          <w:rFonts w:eastAsia="Times New Roman" w:cs="Times New Roman"/>
          <w:rtl/>
          <w:lang w:eastAsia="de-DE"/>
        </w:rPr>
        <w:t xml:space="preserve"> </w:t>
      </w:r>
      <w:r w:rsidRPr="00195E02">
        <w:rPr>
          <w:rFonts w:eastAsia="Times New Roman" w:cs="Times New Roman"/>
          <w:lang w:eastAsia="de-DE"/>
        </w:rPr>
        <w:t>mit π</w:t>
      </w:r>
      <w:proofErr w:type="spellStart"/>
      <w:r w:rsidRPr="00195E02">
        <w:rPr>
          <w:rFonts w:eastAsia="Times New Roman" w:cs="Times New Roman"/>
          <w:lang w:eastAsia="de-DE"/>
        </w:rPr>
        <w:t>ᾶς</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ἄνθρω</w:t>
      </w:r>
      <w:proofErr w:type="spellEnd"/>
      <w:r w:rsidRPr="00195E02">
        <w:rPr>
          <w:rFonts w:eastAsia="Times New Roman" w:cs="Times New Roman"/>
          <w:lang w:eastAsia="de-DE"/>
        </w:rPr>
        <w:t xml:space="preserve">πος (jeder Mensch), </w:t>
      </w:r>
      <w:r w:rsidRPr="00195E02">
        <w:rPr>
          <w:rFonts w:eastAsia="Times New Roman" w:cs="Times New Roman"/>
          <w:b/>
          <w:bCs/>
          <w:rtl/>
          <w:lang w:eastAsia="de-DE"/>
        </w:rPr>
        <w:t>באהל מועד</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τῇ</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σκηνῇ</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μα</w:t>
      </w:r>
      <w:proofErr w:type="spellStart"/>
      <w:r w:rsidRPr="00195E02">
        <w:rPr>
          <w:rFonts w:eastAsia="Times New Roman" w:cs="Times New Roman"/>
          <w:lang w:eastAsia="de-DE"/>
        </w:rPr>
        <w:t>ρτυρίου</w:t>
      </w:r>
      <w:proofErr w:type="spellEnd"/>
      <w:r w:rsidRPr="00195E02">
        <w:rPr>
          <w:rFonts w:eastAsia="Times New Roman" w:cs="Times New Roman"/>
          <w:lang w:eastAsia="de-DE"/>
        </w:rPr>
        <w:t xml:space="preserve"> (im Zelt des Zeugnisses) und </w:t>
      </w:r>
      <w:r w:rsidRPr="00195E02">
        <w:rPr>
          <w:rFonts w:eastAsia="Times New Roman" w:cs="Times New Roman"/>
          <w:b/>
          <w:bCs/>
          <w:rtl/>
          <w:lang w:eastAsia="de-DE"/>
        </w:rPr>
        <w:t>קהל ישראל</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συν</w:t>
      </w:r>
      <w:proofErr w:type="spellEnd"/>
      <w:r w:rsidRPr="00195E02">
        <w:rPr>
          <w:rFonts w:eastAsia="Times New Roman" w:cs="Times New Roman"/>
          <w:lang w:eastAsia="de-DE"/>
        </w:rPr>
        <w:t xml:space="preserve">αγωγῆς </w:t>
      </w:r>
      <w:proofErr w:type="spellStart"/>
      <w:r w:rsidRPr="00195E02">
        <w:rPr>
          <w:rFonts w:eastAsia="Times New Roman" w:cs="Times New Roman"/>
          <w:lang w:eastAsia="de-DE"/>
        </w:rPr>
        <w:t>Ισρ</w:t>
      </w:r>
      <w:proofErr w:type="spellEnd"/>
      <w:r w:rsidRPr="00195E02">
        <w:rPr>
          <w:rFonts w:eastAsia="Times New Roman" w:cs="Times New Roman"/>
          <w:lang w:eastAsia="de-DE"/>
        </w:rPr>
        <w:t>αηλ (Versammlung Israels).</w:t>
      </w:r>
    </w:p>
    <w:p w14:paraId="06545F5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totale Isolation: universelles Verbot + zeitliche Begrenzung + dreifache Sühneverantwortung. Die Struktur zeigt Aaron als einzigen Mittler zwischen JHWH und dem Volk.</w:t>
      </w:r>
    </w:p>
    <w:p w14:paraId="6DDA629F"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dramatische Einsamkeit Aarons: völlig allein steht er als Mittler zwischen JHWH und dem gesamten Volk Israel.</w:t>
      </w:r>
    </w:p>
    <w:p w14:paraId="6E065BAE"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16,18</w:t>
      </w:r>
    </w:p>
    <w:p w14:paraId="04F80E0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וְיָצָ֗א אֶל־הַמִּזְבֵּ֛חַ אֲשֶׁ֥ר לִפְנֵֽי־יְהוָ֖ה וְכִפֶּ֣ר עָלָ֑יו וְלָקַ֞ח מִדַּ֤ם הַפָּר֙ וּמִדַּ֣ם הַשָּׂעִ֔יר וְנָתַ֛ן עַל־קַרְנ֥וֹת הַמִּזְבֵּ֖חַ סָבִֽיב׃</w:t>
      </w:r>
    </w:p>
    <w:p w14:paraId="3B3F316F" w14:textId="3AFFED0F"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hinausgehen zu dem Altar, der vor dem Angesicht des Ewigen ist, und soll Sühne für ihn erwirken; und er soll nehmen von dem Blut des Stieres und von dem Blut des Bockes und soll geben auf die Hörner des Altars ringsum.</w:t>
      </w:r>
    </w:p>
    <w:p w14:paraId="025831B7"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6903DAF8">
          <v:rect id="_x0000_i1498" style="width:0;height:1.5pt" o:hralign="center" o:hrstd="t" o:hr="t" fillcolor="#a0a0a0" stroked="f"/>
        </w:pict>
      </w:r>
    </w:p>
    <w:p w14:paraId="0C77EA6A" w14:textId="4A3E6AE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lastRenderedPageBreak/>
        <w:t>Kommentar:</w:t>
      </w:r>
      <w:r w:rsidRPr="00195E02">
        <w:rPr>
          <w:rFonts w:eastAsia="Times New Roman" w:cs="Times New Roman"/>
          <w:lang w:eastAsia="de-DE"/>
        </w:rPr>
        <w:t xml:space="preserve"> </w:t>
      </w:r>
      <w:r w:rsidRPr="00195E02">
        <w:rPr>
          <w:rFonts w:eastAsia="Times New Roman" w:cs="Times New Roman"/>
          <w:b/>
          <w:bCs/>
          <w:rtl/>
          <w:lang w:eastAsia="de-DE"/>
        </w:rPr>
        <w:t>ויצא אל־המזבח אשר לפני־יהוה וכפר עליו ולקח מדם הפר ומדם השעיר ונתן על־קרנות המזבח סביב</w:t>
      </w:r>
      <w:r w:rsidRPr="00195E02">
        <w:rPr>
          <w:rFonts w:eastAsia="Times New Roman" w:cs="Times New Roman"/>
          <w:rtl/>
          <w:lang w:eastAsia="de-DE"/>
        </w:rPr>
        <w:t xml:space="preserve"> </w:t>
      </w:r>
      <w:r w:rsidRPr="00195E02">
        <w:rPr>
          <w:rFonts w:eastAsia="Times New Roman" w:cs="Times New Roman"/>
          <w:lang w:eastAsia="de-DE"/>
        </w:rPr>
        <w:t xml:space="preserve">zeigt die Sühne für den </w:t>
      </w:r>
      <w:r w:rsidR="00CF10E7">
        <w:rPr>
          <w:rFonts w:eastAsia="Times New Roman" w:cs="Times New Roman"/>
          <w:lang w:eastAsia="de-DE"/>
        </w:rPr>
        <w:t>Aufsteigeopfer</w:t>
      </w:r>
      <w:r w:rsidRPr="00195E02">
        <w:rPr>
          <w:rFonts w:eastAsia="Times New Roman" w:cs="Times New Roman"/>
          <w:lang w:eastAsia="de-DE"/>
        </w:rPr>
        <w:t xml:space="preserve">altar. </w:t>
      </w:r>
      <w:r w:rsidRPr="00195E02">
        <w:rPr>
          <w:rFonts w:eastAsia="Times New Roman" w:cs="Times New Roman"/>
          <w:b/>
          <w:bCs/>
          <w:rtl/>
          <w:lang w:eastAsia="de-DE"/>
        </w:rPr>
        <w:t>ויצא אל־המזבח אשר לפני־יהוה</w:t>
      </w:r>
      <w:r w:rsidRPr="00195E02">
        <w:rPr>
          <w:rFonts w:eastAsia="Times New Roman" w:cs="Times New Roman"/>
          <w:rtl/>
          <w:lang w:eastAsia="de-DE"/>
        </w:rPr>
        <w:t xml:space="preserve"> </w:t>
      </w:r>
      <w:r w:rsidRPr="00195E02">
        <w:rPr>
          <w:rFonts w:eastAsia="Times New Roman" w:cs="Times New Roman"/>
          <w:lang w:eastAsia="de-DE"/>
        </w:rPr>
        <w:t xml:space="preserve">(und er soll hinausgehen zu dem Altar, der vor dem </w:t>
      </w:r>
      <w:r w:rsidR="004603C6">
        <w:rPr>
          <w:rFonts w:eastAsia="Times New Roman" w:cs="Times New Roman"/>
          <w:lang w:eastAsia="de-DE"/>
        </w:rPr>
        <w:t>Ewigen</w:t>
      </w:r>
      <w:r w:rsidRPr="00195E02">
        <w:rPr>
          <w:rFonts w:eastAsia="Times New Roman" w:cs="Times New Roman"/>
          <w:lang w:eastAsia="de-DE"/>
        </w:rPr>
        <w:t xml:space="preserve"> ist) zeigt Aarons Ausgang aus dem Allerheiligsten zum </w:t>
      </w:r>
      <w:r w:rsidR="00CF10E7">
        <w:rPr>
          <w:rFonts w:eastAsia="Times New Roman" w:cs="Times New Roman"/>
          <w:lang w:eastAsia="de-DE"/>
        </w:rPr>
        <w:t>Aufsteigeopfer</w:t>
      </w:r>
      <w:r w:rsidRPr="00195E02">
        <w:rPr>
          <w:rFonts w:eastAsia="Times New Roman" w:cs="Times New Roman"/>
          <w:lang w:eastAsia="de-DE"/>
        </w:rPr>
        <w:t xml:space="preserve">altar im Vorhof. </w:t>
      </w:r>
      <w:r w:rsidRPr="00195E02">
        <w:rPr>
          <w:rFonts w:eastAsia="Times New Roman" w:cs="Times New Roman"/>
          <w:b/>
          <w:bCs/>
          <w:rtl/>
          <w:lang w:eastAsia="de-DE"/>
        </w:rPr>
        <w:t>וכפר עליו</w:t>
      </w:r>
      <w:r w:rsidRPr="00195E02">
        <w:rPr>
          <w:rFonts w:eastAsia="Times New Roman" w:cs="Times New Roman"/>
          <w:rtl/>
          <w:lang w:eastAsia="de-DE"/>
        </w:rPr>
        <w:t xml:space="preserve"> </w:t>
      </w:r>
      <w:r w:rsidRPr="00195E02">
        <w:rPr>
          <w:rFonts w:eastAsia="Times New Roman" w:cs="Times New Roman"/>
          <w:lang w:eastAsia="de-DE"/>
        </w:rPr>
        <w:t>(und Sühne für ihn erwirken) zeigt, dass auch der Altar der Sühne bedarf.</w:t>
      </w:r>
    </w:p>
    <w:p w14:paraId="6F68891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ולקח מדם הפר ומדם השעיר ונתן על־קרנות המזבח סביב</w:t>
      </w:r>
      <w:r w:rsidRPr="00195E02">
        <w:rPr>
          <w:rFonts w:eastAsia="Times New Roman" w:cs="Times New Roman"/>
          <w:rtl/>
          <w:lang w:eastAsia="de-DE"/>
        </w:rPr>
        <w:t xml:space="preserve"> </w:t>
      </w:r>
      <w:r w:rsidRPr="00195E02">
        <w:rPr>
          <w:rFonts w:eastAsia="Times New Roman" w:cs="Times New Roman"/>
          <w:lang w:eastAsia="de-DE"/>
        </w:rPr>
        <w:t xml:space="preserve">(und er soll nehmen von dem Blut des Stieres und von dem Blut des Bockes und es geben auf die Hörner des Altars ringsum) zeigt die Blutapplikation. </w:t>
      </w:r>
      <w:r w:rsidRPr="00195E02">
        <w:rPr>
          <w:rFonts w:eastAsia="Times New Roman" w:cs="Times New Roman"/>
          <w:b/>
          <w:bCs/>
          <w:rtl/>
          <w:lang w:eastAsia="de-DE"/>
        </w:rPr>
        <w:t>מדם הפר ומדם השעיר</w:t>
      </w:r>
      <w:r w:rsidRPr="00195E02">
        <w:rPr>
          <w:rFonts w:eastAsia="Times New Roman" w:cs="Times New Roman"/>
          <w:rtl/>
          <w:lang w:eastAsia="de-DE"/>
        </w:rPr>
        <w:t xml:space="preserve"> </w:t>
      </w:r>
      <w:r w:rsidRPr="00195E02">
        <w:rPr>
          <w:rFonts w:eastAsia="Times New Roman" w:cs="Times New Roman"/>
          <w:lang w:eastAsia="de-DE"/>
        </w:rPr>
        <w:t xml:space="preserve">(von dem Blut des Stieres und von dem Blut des Bockes) kombiniert beide Blutarten aus V. 11 und 15. </w:t>
      </w:r>
      <w:r w:rsidRPr="00195E02">
        <w:rPr>
          <w:rFonts w:eastAsia="Times New Roman" w:cs="Times New Roman"/>
          <w:b/>
          <w:bCs/>
          <w:rtl/>
          <w:lang w:eastAsia="de-DE"/>
        </w:rPr>
        <w:t>על־קרנות המזבח סביב</w:t>
      </w:r>
      <w:r w:rsidRPr="00195E02">
        <w:rPr>
          <w:rFonts w:eastAsia="Times New Roman" w:cs="Times New Roman"/>
          <w:rtl/>
          <w:lang w:eastAsia="de-DE"/>
        </w:rPr>
        <w:t xml:space="preserve"> </w:t>
      </w:r>
      <w:r w:rsidRPr="00195E02">
        <w:rPr>
          <w:rFonts w:eastAsia="Times New Roman" w:cs="Times New Roman"/>
          <w:lang w:eastAsia="de-DE"/>
        </w:rPr>
        <w:t>(auf die Hörner des Altars ringsum) zeigt vollständige Sühne aller vier Altarhörner.</w:t>
      </w:r>
    </w:p>
    <w:p w14:paraId="185F80F3" w14:textId="5398AE5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ויצא</w:t>
      </w:r>
      <w:r w:rsidRPr="00195E02">
        <w:rPr>
          <w:rFonts w:eastAsia="Times New Roman" w:cs="Times New Roman"/>
          <w:rtl/>
          <w:lang w:eastAsia="de-DE"/>
        </w:rPr>
        <w:t xml:space="preserve"> </w:t>
      </w:r>
      <w:r w:rsidRPr="00195E02">
        <w:rPr>
          <w:rFonts w:eastAsia="Times New Roman" w:cs="Times New Roman"/>
          <w:lang w:eastAsia="de-DE"/>
        </w:rPr>
        <w:t xml:space="preserve">zeigt Bewegung vom Allerheiligsten zum Vorhof. </w:t>
      </w:r>
      <w:r w:rsidRPr="00195E02">
        <w:rPr>
          <w:rFonts w:eastAsia="Times New Roman" w:cs="Times New Roman"/>
          <w:b/>
          <w:bCs/>
          <w:rtl/>
          <w:lang w:eastAsia="de-DE"/>
        </w:rPr>
        <w:t>אשר לפני־יהוה</w:t>
      </w:r>
      <w:r w:rsidRPr="00195E02">
        <w:rPr>
          <w:rFonts w:eastAsia="Times New Roman" w:cs="Times New Roman"/>
          <w:rtl/>
          <w:lang w:eastAsia="de-DE"/>
        </w:rPr>
        <w:t xml:space="preserve"> </w:t>
      </w:r>
      <w:r w:rsidRPr="00195E02">
        <w:rPr>
          <w:rFonts w:eastAsia="Times New Roman" w:cs="Times New Roman"/>
          <w:lang w:eastAsia="de-DE"/>
        </w:rPr>
        <w:t xml:space="preserve">identifiziert den </w:t>
      </w:r>
      <w:r w:rsidR="00CF10E7">
        <w:rPr>
          <w:rFonts w:eastAsia="Times New Roman" w:cs="Times New Roman"/>
          <w:lang w:eastAsia="de-DE"/>
        </w:rPr>
        <w:t>Aufsteigeopfer</w:t>
      </w:r>
      <w:r w:rsidRPr="00195E02">
        <w:rPr>
          <w:rFonts w:eastAsia="Times New Roman" w:cs="Times New Roman"/>
          <w:lang w:eastAsia="de-DE"/>
        </w:rPr>
        <w:t xml:space="preserve">altar. </w:t>
      </w:r>
      <w:r w:rsidRPr="00195E02">
        <w:rPr>
          <w:rFonts w:eastAsia="Times New Roman" w:cs="Times New Roman"/>
          <w:b/>
          <w:bCs/>
          <w:rtl/>
          <w:lang w:eastAsia="de-DE"/>
        </w:rPr>
        <w:t>וכפר עליו</w:t>
      </w:r>
      <w:r w:rsidRPr="00195E02">
        <w:rPr>
          <w:rFonts w:eastAsia="Times New Roman" w:cs="Times New Roman"/>
          <w:rtl/>
          <w:lang w:eastAsia="de-DE"/>
        </w:rPr>
        <w:t xml:space="preserve"> </w:t>
      </w:r>
      <w:r w:rsidRPr="00195E02">
        <w:rPr>
          <w:rFonts w:eastAsia="Times New Roman" w:cs="Times New Roman"/>
          <w:lang w:eastAsia="de-DE"/>
        </w:rPr>
        <w:t xml:space="preserve">zeigt, dass der Altar durch Volkssünden kontaminiert wurde. </w:t>
      </w:r>
      <w:r w:rsidRPr="00195E02">
        <w:rPr>
          <w:rFonts w:eastAsia="Times New Roman" w:cs="Times New Roman"/>
          <w:b/>
          <w:bCs/>
          <w:rtl/>
          <w:lang w:eastAsia="de-DE"/>
        </w:rPr>
        <w:t>סביב</w:t>
      </w:r>
      <w:r w:rsidRPr="00195E02">
        <w:rPr>
          <w:rFonts w:eastAsia="Times New Roman" w:cs="Times New Roman"/>
          <w:rtl/>
          <w:lang w:eastAsia="de-DE"/>
        </w:rPr>
        <w:t xml:space="preserve"> </w:t>
      </w:r>
      <w:r w:rsidRPr="00195E02">
        <w:rPr>
          <w:rFonts w:eastAsia="Times New Roman" w:cs="Times New Roman"/>
          <w:lang w:eastAsia="de-DE"/>
        </w:rPr>
        <w:t>zeigt vollständige Behandlung aller Altarhörner.</w:t>
      </w:r>
    </w:p>
    <w:p w14:paraId="22E2B9EE"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ויצא</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ἐξελεύσετ</w:t>
      </w:r>
      <w:proofErr w:type="spellEnd"/>
      <w:r w:rsidRPr="00195E02">
        <w:rPr>
          <w:rFonts w:eastAsia="Times New Roman" w:cs="Times New Roman"/>
          <w:lang w:eastAsia="de-DE"/>
        </w:rPr>
        <w:t xml:space="preserve">αι (er wird hinausgehen), </w:t>
      </w:r>
      <w:r w:rsidRPr="00195E02">
        <w:rPr>
          <w:rFonts w:eastAsia="Times New Roman" w:cs="Times New Roman"/>
          <w:b/>
          <w:bCs/>
          <w:rtl/>
          <w:lang w:eastAsia="de-DE"/>
        </w:rPr>
        <w:t>אשר לפני־יהוה</w:t>
      </w:r>
      <w:r w:rsidRPr="00195E02">
        <w:rPr>
          <w:rFonts w:eastAsia="Times New Roman" w:cs="Times New Roman"/>
          <w:rtl/>
          <w:lang w:eastAsia="de-DE"/>
        </w:rPr>
        <w:t xml:space="preserve"> </w:t>
      </w:r>
      <w:r w:rsidRPr="00195E02">
        <w:rPr>
          <w:rFonts w:eastAsia="Times New Roman" w:cs="Times New Roman"/>
          <w:lang w:eastAsia="de-DE"/>
        </w:rPr>
        <w:t xml:space="preserve">mit ὁ </w:t>
      </w:r>
      <w:proofErr w:type="spellStart"/>
      <w:r w:rsidRPr="00195E02">
        <w:rPr>
          <w:rFonts w:eastAsia="Times New Roman" w:cs="Times New Roman"/>
          <w:lang w:eastAsia="de-DE"/>
        </w:rPr>
        <w:t>ἔν</w:t>
      </w:r>
      <w:proofErr w:type="spellEnd"/>
      <w:r w:rsidRPr="00195E02">
        <w:rPr>
          <w:rFonts w:eastAsia="Times New Roman" w:cs="Times New Roman"/>
          <w:lang w:eastAsia="de-DE"/>
        </w:rPr>
        <w:t xml:space="preserve">αντι </w:t>
      </w:r>
      <w:proofErr w:type="spellStart"/>
      <w:r w:rsidRPr="00195E02">
        <w:rPr>
          <w:rFonts w:eastAsia="Times New Roman" w:cs="Times New Roman"/>
          <w:lang w:eastAsia="de-DE"/>
        </w:rPr>
        <w:t>κυρίου</w:t>
      </w:r>
      <w:proofErr w:type="spellEnd"/>
      <w:r w:rsidRPr="00195E02">
        <w:rPr>
          <w:rFonts w:eastAsia="Times New Roman" w:cs="Times New Roman"/>
          <w:lang w:eastAsia="de-DE"/>
        </w:rPr>
        <w:t xml:space="preserve"> (der vor dem Herrn), </w:t>
      </w:r>
      <w:r w:rsidRPr="00195E02">
        <w:rPr>
          <w:rFonts w:eastAsia="Times New Roman" w:cs="Times New Roman"/>
          <w:b/>
          <w:bCs/>
          <w:rtl/>
          <w:lang w:eastAsia="de-DE"/>
        </w:rPr>
        <w:t>וכפר עליו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ἐξιλάσετ</w:t>
      </w:r>
      <w:proofErr w:type="spellEnd"/>
      <w:r w:rsidRPr="00195E02">
        <w:rPr>
          <w:rFonts w:eastAsia="Times New Roman" w:cs="Times New Roman"/>
          <w:lang w:eastAsia="de-DE"/>
        </w:rPr>
        <w:t>αι π</w:t>
      </w:r>
      <w:proofErr w:type="spellStart"/>
      <w:r w:rsidRPr="00195E02">
        <w:rPr>
          <w:rFonts w:eastAsia="Times New Roman" w:cs="Times New Roman"/>
          <w:lang w:eastAsia="de-DE"/>
        </w:rPr>
        <w:t>ερὶ</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ὐτοῦ</w:t>
      </w:r>
      <w:proofErr w:type="spellEnd"/>
      <w:r w:rsidRPr="00195E02">
        <w:rPr>
          <w:rFonts w:eastAsia="Times New Roman" w:cs="Times New Roman"/>
          <w:lang w:eastAsia="de-DE"/>
        </w:rPr>
        <w:t xml:space="preserve"> (er wird für ihn entsühnen) und </w:t>
      </w:r>
      <w:r w:rsidRPr="00195E02">
        <w:rPr>
          <w:rFonts w:eastAsia="Times New Roman" w:cs="Times New Roman"/>
          <w:b/>
          <w:bCs/>
          <w:rtl/>
          <w:lang w:eastAsia="de-DE"/>
        </w:rPr>
        <w:t>קרנות המזבח</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κέρ</w:t>
      </w:r>
      <w:proofErr w:type="spellEnd"/>
      <w:r w:rsidRPr="00195E02">
        <w:rPr>
          <w:rFonts w:eastAsia="Times New Roman" w:cs="Times New Roman"/>
          <w:lang w:eastAsia="de-DE"/>
        </w:rPr>
        <w:t xml:space="preserve">ατα </w:t>
      </w:r>
      <w:proofErr w:type="spellStart"/>
      <w:r w:rsidRPr="00195E02">
        <w:rPr>
          <w:rFonts w:eastAsia="Times New Roman" w:cs="Times New Roman"/>
          <w:lang w:eastAsia="de-DE"/>
        </w:rPr>
        <w:t>τοῦ</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θυσι</w:t>
      </w:r>
      <w:proofErr w:type="spellEnd"/>
      <w:r w:rsidRPr="00195E02">
        <w:rPr>
          <w:rFonts w:eastAsia="Times New Roman" w:cs="Times New Roman"/>
          <w:lang w:eastAsia="de-DE"/>
        </w:rPr>
        <w:t>αστηρίου (Hörner des Altars).</w:t>
      </w:r>
    </w:p>
    <w:p w14:paraId="6F039628"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Altarsühne: Ausgang zum Vorhof + Altar-Identifikation + Sühnezweck + kombinierte Blutverwendung + vollständige Hornbehandlung. Die Struktur zeigt systematische Heiligtumssühne vom Allerheiligsten zum Vorhof.</w:t>
      </w:r>
    </w:p>
    <w:p w14:paraId="77A46D4C" w14:textId="7CAA0CC0"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 xml:space="preserve">Dieser Vers zeigt die Sühne des </w:t>
      </w:r>
      <w:r w:rsidR="00CF10E7">
        <w:rPr>
          <w:rFonts w:eastAsia="Times New Roman" w:cs="Times New Roman"/>
          <w:lang w:eastAsia="de-DE"/>
        </w:rPr>
        <w:t>Aufsteigeopfer</w:t>
      </w:r>
      <w:r w:rsidRPr="00195E02">
        <w:rPr>
          <w:rFonts w:eastAsia="Times New Roman" w:cs="Times New Roman"/>
          <w:lang w:eastAsia="de-DE"/>
        </w:rPr>
        <w:t>altars durch Blutapplikation auf alle vier Hörner mit dem kombinierten Blut beider Sündopfer.</w:t>
      </w:r>
    </w:p>
    <w:p w14:paraId="7A01E4AE"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16,19</w:t>
      </w:r>
    </w:p>
    <w:p w14:paraId="35AEF2F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וְהִזָּ֨ה עָלָ֧יו מִן־הַדָּ֛ם בְּאֶצְבָּעֹ֖ו שֶׁ֣בַע פְּעָמִ֑ים וְטִהֲרֹ֣ו וְקִדְּשֹׁ֔ו מִטֻּמְאֹ֖ת בְּנֵ֥י יִשְׂרָאֵֽל׃</w:t>
      </w:r>
    </w:p>
    <w:p w14:paraId="13AB4B57" w14:textId="7D186C25"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er soll sprengen von dem Blut mit seinem Finger siebenmal darauf und soll ihn reinigen und soll ihn heiligen von den Unreinheiten der Söhne Jisra'els.</w:t>
      </w:r>
    </w:p>
    <w:p w14:paraId="2D761422"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3F44FA2">
          <v:rect id="_x0000_i1499" style="width:0;height:1.5pt" o:hralign="center" o:hrstd="t" o:hr="t" fillcolor="#a0a0a0" stroked="f"/>
        </w:pict>
      </w:r>
    </w:p>
    <w:p w14:paraId="25EF39C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והזה עליו מן־הדם באצבעו שבע פעמים וטהרו וקדשו מטמאת בני ישראל</w:t>
      </w:r>
      <w:r w:rsidRPr="00195E02">
        <w:rPr>
          <w:rFonts w:eastAsia="Times New Roman" w:cs="Times New Roman"/>
          <w:rtl/>
          <w:lang w:eastAsia="de-DE"/>
        </w:rPr>
        <w:t xml:space="preserve"> </w:t>
      </w:r>
      <w:r w:rsidRPr="00195E02">
        <w:rPr>
          <w:rFonts w:eastAsia="Times New Roman" w:cs="Times New Roman"/>
          <w:lang w:eastAsia="de-DE"/>
        </w:rPr>
        <w:t xml:space="preserve">vervollständigt die Altarsühne. </w:t>
      </w:r>
      <w:r w:rsidRPr="00195E02">
        <w:rPr>
          <w:rFonts w:eastAsia="Times New Roman" w:cs="Times New Roman"/>
          <w:b/>
          <w:bCs/>
          <w:rtl/>
          <w:lang w:eastAsia="de-DE"/>
        </w:rPr>
        <w:t>והזה עליו מן־הדם באצבעו שבע פעמים</w:t>
      </w:r>
      <w:r w:rsidRPr="00195E02">
        <w:rPr>
          <w:rFonts w:eastAsia="Times New Roman" w:cs="Times New Roman"/>
          <w:rtl/>
          <w:lang w:eastAsia="de-DE"/>
        </w:rPr>
        <w:t xml:space="preserve"> </w:t>
      </w:r>
      <w:r w:rsidRPr="00195E02">
        <w:rPr>
          <w:rFonts w:eastAsia="Times New Roman" w:cs="Times New Roman"/>
          <w:lang w:eastAsia="de-DE"/>
        </w:rPr>
        <w:t xml:space="preserve">(und er soll auf ihn sprengen von dem Blut mit seinem Finger siebenmal) - </w:t>
      </w:r>
      <w:r w:rsidRPr="00195E02">
        <w:rPr>
          <w:rFonts w:eastAsia="Times New Roman" w:cs="Times New Roman"/>
          <w:b/>
          <w:bCs/>
          <w:rtl/>
          <w:lang w:eastAsia="de-DE"/>
        </w:rPr>
        <w:t>עליו</w:t>
      </w:r>
      <w:r w:rsidRPr="00195E02">
        <w:rPr>
          <w:rFonts w:eastAsia="Times New Roman" w:cs="Times New Roman"/>
          <w:rtl/>
          <w:lang w:eastAsia="de-DE"/>
        </w:rPr>
        <w:t xml:space="preserve"> </w:t>
      </w:r>
      <w:r w:rsidRPr="00195E02">
        <w:rPr>
          <w:rFonts w:eastAsia="Times New Roman" w:cs="Times New Roman"/>
          <w:lang w:eastAsia="de-DE"/>
        </w:rPr>
        <w:t xml:space="preserve">(auf ihn) bezieht sich auf den Altar, </w:t>
      </w:r>
      <w:r w:rsidRPr="00195E02">
        <w:rPr>
          <w:rFonts w:eastAsia="Times New Roman" w:cs="Times New Roman"/>
          <w:b/>
          <w:bCs/>
          <w:rtl/>
          <w:lang w:eastAsia="de-DE"/>
        </w:rPr>
        <w:t>באצבעו</w:t>
      </w:r>
      <w:r w:rsidRPr="00195E02">
        <w:rPr>
          <w:rFonts w:eastAsia="Times New Roman" w:cs="Times New Roman"/>
          <w:rtl/>
          <w:lang w:eastAsia="de-DE"/>
        </w:rPr>
        <w:t xml:space="preserve"> </w:t>
      </w:r>
      <w:r w:rsidRPr="00195E02">
        <w:rPr>
          <w:rFonts w:eastAsia="Times New Roman" w:cs="Times New Roman"/>
          <w:lang w:eastAsia="de-DE"/>
        </w:rPr>
        <w:t xml:space="preserve">(mit seinem Finger) entspricht V. 14,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(siebenmal) als rituelle Vollzahl für vollständige Reinigung.</w:t>
      </w:r>
    </w:p>
    <w:p w14:paraId="6588C143"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וטהרו וקדשו מטמאת בני ישראל</w:t>
      </w:r>
      <w:r w:rsidRPr="00195E02">
        <w:rPr>
          <w:rFonts w:eastAsia="Times New Roman" w:cs="Times New Roman"/>
          <w:rtl/>
          <w:lang w:eastAsia="de-DE"/>
        </w:rPr>
        <w:t xml:space="preserve"> </w:t>
      </w:r>
      <w:r w:rsidRPr="00195E02">
        <w:rPr>
          <w:rFonts w:eastAsia="Times New Roman" w:cs="Times New Roman"/>
          <w:lang w:eastAsia="de-DE"/>
        </w:rPr>
        <w:t xml:space="preserve">(und ihn reinigen und ihn heiligen von den Unreinheiten der Söhne Israels) zeigt den doppelten Zweck. </w:t>
      </w:r>
      <w:r w:rsidRPr="00195E02">
        <w:rPr>
          <w:rFonts w:eastAsia="Times New Roman" w:cs="Times New Roman"/>
          <w:b/>
          <w:bCs/>
          <w:rtl/>
          <w:lang w:eastAsia="de-DE"/>
        </w:rPr>
        <w:t>טהרו</w:t>
      </w:r>
      <w:r w:rsidRPr="00195E02">
        <w:rPr>
          <w:rFonts w:eastAsia="Times New Roman" w:cs="Times New Roman"/>
          <w:rtl/>
          <w:lang w:eastAsia="de-DE"/>
        </w:rPr>
        <w:t xml:space="preserve"> </w:t>
      </w:r>
      <w:r w:rsidRPr="00195E02">
        <w:rPr>
          <w:rFonts w:eastAsia="Times New Roman" w:cs="Times New Roman"/>
          <w:lang w:eastAsia="de-DE"/>
        </w:rPr>
        <w:t xml:space="preserve">(ihn reinigen) entfernt die Verunreinigung, </w:t>
      </w:r>
      <w:r w:rsidRPr="00195E02">
        <w:rPr>
          <w:rFonts w:eastAsia="Times New Roman" w:cs="Times New Roman"/>
          <w:b/>
          <w:bCs/>
          <w:rtl/>
          <w:lang w:eastAsia="de-DE"/>
        </w:rPr>
        <w:t>קדשו</w:t>
      </w:r>
      <w:r w:rsidRPr="00195E02">
        <w:rPr>
          <w:rFonts w:eastAsia="Times New Roman" w:cs="Times New Roman"/>
          <w:rtl/>
          <w:lang w:eastAsia="de-DE"/>
        </w:rPr>
        <w:t xml:space="preserve"> </w:t>
      </w:r>
      <w:r w:rsidRPr="00195E02">
        <w:rPr>
          <w:rFonts w:eastAsia="Times New Roman" w:cs="Times New Roman"/>
          <w:lang w:eastAsia="de-DE"/>
        </w:rPr>
        <w:t xml:space="preserve">(ihn heiligen) stellt die ursprüngliche Heiligkeit wieder her. </w:t>
      </w:r>
      <w:r w:rsidRPr="00195E02">
        <w:rPr>
          <w:rFonts w:eastAsia="Times New Roman" w:cs="Times New Roman"/>
          <w:b/>
          <w:bCs/>
          <w:rtl/>
          <w:lang w:eastAsia="de-DE"/>
        </w:rPr>
        <w:t>מטמאת בני ישראל</w:t>
      </w:r>
      <w:r w:rsidRPr="00195E02">
        <w:rPr>
          <w:rFonts w:eastAsia="Times New Roman" w:cs="Times New Roman"/>
          <w:rtl/>
          <w:lang w:eastAsia="de-DE"/>
        </w:rPr>
        <w:t xml:space="preserve"> </w:t>
      </w:r>
      <w:r w:rsidRPr="00195E02">
        <w:rPr>
          <w:rFonts w:eastAsia="Times New Roman" w:cs="Times New Roman"/>
          <w:lang w:eastAsia="de-DE"/>
        </w:rPr>
        <w:t>(von den Unreinheiten der Söhne Israels) zeigt die Ursache der Altarkontamination.</w:t>
      </w:r>
    </w:p>
    <w:p w14:paraId="4A6B2119"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lastRenderedPageBreak/>
        <w:t>שבע פעמים</w:t>
      </w:r>
      <w:r w:rsidRPr="00195E02">
        <w:rPr>
          <w:rFonts w:eastAsia="Times New Roman" w:cs="Times New Roman"/>
          <w:rtl/>
          <w:lang w:eastAsia="de-DE"/>
        </w:rPr>
        <w:t xml:space="preserve"> </w:t>
      </w:r>
      <w:r w:rsidRPr="00195E02">
        <w:rPr>
          <w:rFonts w:eastAsia="Times New Roman" w:cs="Times New Roman"/>
          <w:lang w:eastAsia="de-DE"/>
        </w:rPr>
        <w:t xml:space="preserve">zeigt vollständige Reinigung entsprechend den anderen siebenmaligen Sprengungen. </w:t>
      </w:r>
      <w:r w:rsidRPr="00195E02">
        <w:rPr>
          <w:rFonts w:eastAsia="Times New Roman" w:cs="Times New Roman"/>
          <w:b/>
          <w:bCs/>
          <w:rtl/>
          <w:lang w:eastAsia="de-DE"/>
        </w:rPr>
        <w:t>טהרו וקדשו</w:t>
      </w:r>
      <w:r w:rsidRPr="00195E02">
        <w:rPr>
          <w:rFonts w:eastAsia="Times New Roman" w:cs="Times New Roman"/>
          <w:rtl/>
          <w:lang w:eastAsia="de-DE"/>
        </w:rPr>
        <w:t xml:space="preserve"> </w:t>
      </w:r>
      <w:r w:rsidRPr="00195E02">
        <w:rPr>
          <w:rFonts w:eastAsia="Times New Roman" w:cs="Times New Roman"/>
          <w:lang w:eastAsia="de-DE"/>
        </w:rPr>
        <w:t xml:space="preserve">als doppelter Prozess: erst Reinigung, dann Heiligung. </w:t>
      </w:r>
      <w:r w:rsidRPr="00195E02">
        <w:rPr>
          <w:rFonts w:eastAsia="Times New Roman" w:cs="Times New Roman"/>
          <w:b/>
          <w:bCs/>
          <w:rtl/>
          <w:lang w:eastAsia="de-DE"/>
        </w:rPr>
        <w:t>מטמאת בני ישראל</w:t>
      </w:r>
      <w:r w:rsidRPr="00195E02">
        <w:rPr>
          <w:rFonts w:eastAsia="Times New Roman" w:cs="Times New Roman"/>
          <w:rtl/>
          <w:lang w:eastAsia="de-DE"/>
        </w:rPr>
        <w:t xml:space="preserve"> </w:t>
      </w:r>
      <w:r w:rsidRPr="00195E02">
        <w:rPr>
          <w:rFonts w:eastAsia="Times New Roman" w:cs="Times New Roman"/>
          <w:lang w:eastAsia="de-DE"/>
        </w:rPr>
        <w:t>zeigt, dass Volkssünden auch den Altar kontaminieren.</w:t>
      </w:r>
    </w:p>
    <w:p w14:paraId="0AE19C4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והזה עליו</w:t>
      </w:r>
      <w:r w:rsidRPr="00195E02">
        <w:rPr>
          <w:rFonts w:eastAsia="Times New Roman" w:cs="Times New Roman"/>
          <w:rtl/>
          <w:lang w:eastAsia="de-DE"/>
        </w:rPr>
        <w:t xml:space="preserve"> </w:t>
      </w:r>
      <w:r w:rsidRPr="00195E02">
        <w:rPr>
          <w:rFonts w:eastAsia="Times New Roman" w:cs="Times New Roman"/>
          <w:lang w:eastAsia="de-DE"/>
        </w:rPr>
        <w:t>mit ῥα</w:t>
      </w:r>
      <w:proofErr w:type="spellStart"/>
      <w:r w:rsidRPr="00195E02">
        <w:rPr>
          <w:rFonts w:eastAsia="Times New Roman" w:cs="Times New Roman"/>
          <w:lang w:eastAsia="de-DE"/>
        </w:rPr>
        <w:t>νεῖ</w:t>
      </w:r>
      <w:proofErr w:type="spellEnd"/>
      <w:r w:rsidRPr="00195E02">
        <w:rPr>
          <w:rFonts w:eastAsia="Times New Roman" w:cs="Times New Roman"/>
          <w:lang w:eastAsia="de-DE"/>
        </w:rPr>
        <w:t xml:space="preserve"> ἐπ᾽ α</w:t>
      </w:r>
      <w:proofErr w:type="spellStart"/>
      <w:r w:rsidRPr="00195E02">
        <w:rPr>
          <w:rFonts w:eastAsia="Times New Roman" w:cs="Times New Roman"/>
          <w:lang w:eastAsia="de-DE"/>
        </w:rPr>
        <w:t>ὐτό</w:t>
      </w:r>
      <w:proofErr w:type="spellEnd"/>
      <w:r w:rsidRPr="00195E02">
        <w:rPr>
          <w:rFonts w:eastAsia="Times New Roman" w:cs="Times New Roman"/>
          <w:lang w:eastAsia="de-DE"/>
        </w:rPr>
        <w:t xml:space="preserve"> (er wird auf ihn sprengen), </w:t>
      </w:r>
      <w:r w:rsidRPr="00195E02">
        <w:rPr>
          <w:rFonts w:eastAsia="Times New Roman" w:cs="Times New Roman"/>
          <w:b/>
          <w:bCs/>
          <w:rtl/>
          <w:lang w:eastAsia="de-DE"/>
        </w:rPr>
        <w:t>שבע פעמים</w:t>
      </w:r>
      <w:r w:rsidRPr="00195E02">
        <w:rPr>
          <w:rFonts w:eastAsia="Times New Roman" w:cs="Times New Roman"/>
          <w:rtl/>
          <w:lang w:eastAsia="de-DE"/>
        </w:rPr>
        <w:t xml:space="preserve"> </w:t>
      </w:r>
      <w:r w:rsidRPr="00195E02">
        <w:rPr>
          <w:rFonts w:eastAsia="Times New Roman" w:cs="Times New Roman"/>
          <w:lang w:eastAsia="de-DE"/>
        </w:rPr>
        <w:t>mit ἑπ</w:t>
      </w:r>
      <w:proofErr w:type="spellStart"/>
      <w:r w:rsidRPr="00195E02">
        <w:rPr>
          <w:rFonts w:eastAsia="Times New Roman" w:cs="Times New Roman"/>
          <w:lang w:eastAsia="de-DE"/>
        </w:rPr>
        <w:t>τάκις</w:t>
      </w:r>
      <w:proofErr w:type="spellEnd"/>
      <w:r w:rsidRPr="00195E02">
        <w:rPr>
          <w:rFonts w:eastAsia="Times New Roman" w:cs="Times New Roman"/>
          <w:lang w:eastAsia="de-DE"/>
        </w:rPr>
        <w:t xml:space="preserve"> (siebenmal), </w:t>
      </w:r>
      <w:r w:rsidRPr="00195E02">
        <w:rPr>
          <w:rFonts w:eastAsia="Times New Roman" w:cs="Times New Roman"/>
          <w:b/>
          <w:bCs/>
          <w:rtl/>
          <w:lang w:eastAsia="de-DE"/>
        </w:rPr>
        <w:t>וטהרו</w:t>
      </w:r>
      <w:r w:rsidRPr="00195E02">
        <w:rPr>
          <w:rFonts w:eastAsia="Times New Roman" w:cs="Times New Roman"/>
          <w:rtl/>
          <w:lang w:eastAsia="de-DE"/>
        </w:rPr>
        <w:t xml:space="preserve"> </w:t>
      </w:r>
      <w:r w:rsidRPr="00195E02">
        <w:rPr>
          <w:rFonts w:eastAsia="Times New Roman" w:cs="Times New Roman"/>
          <w:lang w:eastAsia="de-DE"/>
        </w:rPr>
        <w:t>mit καθα</w:t>
      </w:r>
      <w:proofErr w:type="spellStart"/>
      <w:r w:rsidRPr="00195E02">
        <w:rPr>
          <w:rFonts w:eastAsia="Times New Roman" w:cs="Times New Roman"/>
          <w:lang w:eastAsia="de-DE"/>
        </w:rPr>
        <w:t>ριεῖ</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ὐτό</w:t>
      </w:r>
      <w:proofErr w:type="spellEnd"/>
      <w:r w:rsidRPr="00195E02">
        <w:rPr>
          <w:rFonts w:eastAsia="Times New Roman" w:cs="Times New Roman"/>
          <w:lang w:eastAsia="de-DE"/>
        </w:rPr>
        <w:t xml:space="preserve"> (er wird ihn reinigen) und </w:t>
      </w:r>
      <w:r w:rsidRPr="00195E02">
        <w:rPr>
          <w:rFonts w:eastAsia="Times New Roman" w:cs="Times New Roman"/>
          <w:b/>
          <w:bCs/>
          <w:rtl/>
          <w:lang w:eastAsia="de-DE"/>
        </w:rPr>
        <w:t>וקדשו</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ἁγιάσει</w:t>
      </w:r>
      <w:proofErr w:type="spellEnd"/>
      <w:r w:rsidRPr="00195E02">
        <w:rPr>
          <w:rFonts w:eastAsia="Times New Roman" w:cs="Times New Roman"/>
          <w:lang w:eastAsia="de-DE"/>
        </w:rPr>
        <w:t xml:space="preserve"> α</w:t>
      </w:r>
      <w:proofErr w:type="spellStart"/>
      <w:r w:rsidRPr="00195E02">
        <w:rPr>
          <w:rFonts w:eastAsia="Times New Roman" w:cs="Times New Roman"/>
          <w:lang w:eastAsia="de-DE"/>
        </w:rPr>
        <w:t>ὐτό</w:t>
      </w:r>
      <w:proofErr w:type="spellEnd"/>
      <w:r w:rsidRPr="00195E02">
        <w:rPr>
          <w:rFonts w:eastAsia="Times New Roman" w:cs="Times New Roman"/>
          <w:lang w:eastAsia="de-DE"/>
        </w:rPr>
        <w:t xml:space="preserve"> (er wird ihn heiligen).</w:t>
      </w:r>
    </w:p>
    <w:p w14:paraId="0C35A56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Altar-Wiederherstellung: siebenmalige Blutsprengung + Reinigung + Heiligung + Kontaminationsursache. Die Struktur zeigt vollständige Altar-Rekonsekration.</w:t>
      </w:r>
    </w:p>
    <w:p w14:paraId="0117A7E2"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zeigt die vollständige Wiederherstellung des Altars durch siebenmalige Blutsprengung, die ihn von Volkssünden reinigt und wieder heiligt.</w:t>
      </w:r>
    </w:p>
    <w:p w14:paraId="03902A73" w14:textId="77777777" w:rsidR="00195E02" w:rsidRPr="00195E02" w:rsidRDefault="00195E02" w:rsidP="00195E02">
      <w:pPr>
        <w:spacing w:before="100" w:beforeAutospacing="1" w:after="100" w:afterAutospacing="1" w:line="240" w:lineRule="auto"/>
        <w:outlineLvl w:val="1"/>
        <w:rPr>
          <w:rFonts w:eastAsia="Times New Roman" w:cs="Times New Roman"/>
          <w:b/>
          <w:bCs/>
          <w:sz w:val="36"/>
          <w:szCs w:val="36"/>
          <w:lang w:eastAsia="de-DE"/>
        </w:rPr>
      </w:pPr>
      <w:r w:rsidRPr="00195E02">
        <w:rPr>
          <w:rFonts w:eastAsia="Times New Roman" w:cs="Times New Roman"/>
          <w:b/>
          <w:bCs/>
          <w:sz w:val="36"/>
          <w:szCs w:val="36"/>
          <w:lang w:eastAsia="de-DE"/>
        </w:rPr>
        <w:t>Leviticus 16,20</w:t>
      </w:r>
    </w:p>
    <w:p w14:paraId="4CB92ABC"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Hebräisch:</w:t>
      </w:r>
      <w:r w:rsidRPr="00195E02">
        <w:rPr>
          <w:rFonts w:eastAsia="Times New Roman" w:cs="Times New Roman"/>
          <w:lang w:eastAsia="de-DE"/>
        </w:rPr>
        <w:t xml:space="preserve"> </w:t>
      </w:r>
      <w:r w:rsidRPr="00195E02">
        <w:rPr>
          <w:rFonts w:eastAsia="Times New Roman" w:cs="Times New Roman"/>
          <w:rtl/>
          <w:lang w:eastAsia="de-DE"/>
        </w:rPr>
        <w:t>וְכִלָּה֙ מִכַּפֵּ֣ר אֶת־הַקֹּ֔דֶשׁ וְאֶת־אֹ֥הֶל מוֹעֵ֖ד וְאֶת־הַמִּזְבֵּ֑חַ וְהִקְרִ֖יב אֶת־הַשָּׂעִ֥יר הֶחָֽי׃</w:t>
      </w:r>
    </w:p>
    <w:p w14:paraId="76A95308" w14:textId="773C922C"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Deutsch:</w:t>
      </w:r>
      <w:r w:rsidRPr="00195E02">
        <w:rPr>
          <w:rFonts w:eastAsia="Times New Roman" w:cs="Times New Roman"/>
          <w:lang w:eastAsia="de-DE"/>
        </w:rPr>
        <w:t xml:space="preserve"> </w:t>
      </w:r>
      <w:r w:rsidR="002F2494">
        <w:t>Und wenn er vollendet hat die Sühnung des Heiligtums und des Zeltes der Begegnung und des Altars, so soll er den lebenden Bock darbringen.</w:t>
      </w:r>
    </w:p>
    <w:p w14:paraId="58E3479A" w14:textId="77777777" w:rsidR="00195E02" w:rsidRPr="00195E02" w:rsidRDefault="00A57720" w:rsidP="00195E02">
      <w:pPr>
        <w:spacing w:after="0" w:line="240" w:lineRule="auto"/>
        <w:rPr>
          <w:rFonts w:eastAsia="Times New Roman" w:cs="Times New Roman"/>
          <w:lang w:eastAsia="de-DE"/>
        </w:rPr>
      </w:pPr>
      <w:r>
        <w:rPr>
          <w:rFonts w:eastAsia="Times New Roman" w:cs="Times New Roman"/>
          <w:noProof/>
          <w:lang w:eastAsia="de-DE"/>
        </w:rPr>
        <w:pict w14:anchorId="5E9FD723">
          <v:rect id="_x0000_i1500" style="width:0;height:1.5pt" o:hralign="center" o:hrstd="t" o:hr="t" fillcolor="#a0a0a0" stroked="f"/>
        </w:pict>
      </w:r>
    </w:p>
    <w:p w14:paraId="223EB5C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Kommentar:</w:t>
      </w:r>
      <w:r w:rsidRPr="00195E02">
        <w:rPr>
          <w:rFonts w:eastAsia="Times New Roman" w:cs="Times New Roman"/>
          <w:lang w:eastAsia="de-DE"/>
        </w:rPr>
        <w:t xml:space="preserve"> </w:t>
      </w:r>
      <w:r w:rsidRPr="00195E02">
        <w:rPr>
          <w:rFonts w:eastAsia="Times New Roman" w:cs="Times New Roman"/>
          <w:b/>
          <w:bCs/>
          <w:rtl/>
          <w:lang w:eastAsia="de-DE"/>
        </w:rPr>
        <w:t>וכלה מכפר את־הקדש ואת־אהל מועד ואת־המזבח והקריב את־השעיר החי</w:t>
      </w:r>
      <w:r w:rsidRPr="00195E02">
        <w:rPr>
          <w:rFonts w:eastAsia="Times New Roman" w:cs="Times New Roman"/>
          <w:rtl/>
          <w:lang w:eastAsia="de-DE"/>
        </w:rPr>
        <w:t xml:space="preserve"> </w:t>
      </w:r>
      <w:r w:rsidRPr="00195E02">
        <w:rPr>
          <w:rFonts w:eastAsia="Times New Roman" w:cs="Times New Roman"/>
          <w:lang w:eastAsia="de-DE"/>
        </w:rPr>
        <w:t xml:space="preserve">markiert den Übergang vom ersten zum zweiten Teil des Rituals. </w:t>
      </w:r>
      <w:r w:rsidRPr="00195E02">
        <w:rPr>
          <w:rFonts w:eastAsia="Times New Roman" w:cs="Times New Roman"/>
          <w:b/>
          <w:bCs/>
          <w:rtl/>
          <w:lang w:eastAsia="de-DE"/>
        </w:rPr>
        <w:t>וכלה מכפר את־הקדש ואת־אהל מועד ואת־המזבח</w:t>
      </w:r>
      <w:r w:rsidRPr="00195E02">
        <w:rPr>
          <w:rFonts w:eastAsia="Times New Roman" w:cs="Times New Roman"/>
          <w:rtl/>
          <w:lang w:eastAsia="de-DE"/>
        </w:rPr>
        <w:t xml:space="preserve"> </w:t>
      </w:r>
      <w:r w:rsidRPr="00195E02">
        <w:rPr>
          <w:rFonts w:eastAsia="Times New Roman" w:cs="Times New Roman"/>
          <w:lang w:eastAsia="de-DE"/>
        </w:rPr>
        <w:t xml:space="preserve">(und wenn er vollendet hat, Sühne zu erwirken für das Heiligtum und für das Zelt der Begegnung und für den Altar) - </w:t>
      </w:r>
      <w:r w:rsidRPr="00195E02">
        <w:rPr>
          <w:rFonts w:eastAsia="Times New Roman" w:cs="Times New Roman"/>
          <w:b/>
          <w:bCs/>
          <w:rtl/>
          <w:lang w:eastAsia="de-DE"/>
        </w:rPr>
        <w:t>כלה</w:t>
      </w:r>
      <w:r w:rsidRPr="00195E02">
        <w:rPr>
          <w:rFonts w:eastAsia="Times New Roman" w:cs="Times New Roman"/>
          <w:rtl/>
          <w:lang w:eastAsia="de-DE"/>
        </w:rPr>
        <w:t xml:space="preserve"> </w:t>
      </w:r>
      <w:r w:rsidRPr="00195E02">
        <w:rPr>
          <w:rFonts w:eastAsia="Times New Roman" w:cs="Times New Roman"/>
          <w:lang w:eastAsia="de-DE"/>
        </w:rPr>
        <w:t xml:space="preserve">(vollendet hat) im Piel-Perfekt zeigt Abschluss der ersten Ritualhälfte. Die drei Bereiche </w:t>
      </w:r>
      <w:r w:rsidRPr="00195E02">
        <w:rPr>
          <w:rFonts w:eastAsia="Times New Roman" w:cs="Times New Roman"/>
          <w:b/>
          <w:bCs/>
          <w:rtl/>
          <w:lang w:eastAsia="de-DE"/>
        </w:rPr>
        <w:t>הקדש</w:t>
      </w:r>
      <w:r w:rsidRPr="00195E02">
        <w:rPr>
          <w:rFonts w:eastAsia="Times New Roman" w:cs="Times New Roman"/>
          <w:rtl/>
          <w:lang w:eastAsia="de-DE"/>
        </w:rPr>
        <w:t xml:space="preserve"> </w:t>
      </w:r>
      <w:r w:rsidRPr="00195E02">
        <w:rPr>
          <w:rFonts w:eastAsia="Times New Roman" w:cs="Times New Roman"/>
          <w:lang w:eastAsia="de-DE"/>
        </w:rPr>
        <w:t xml:space="preserve">(das Heiligtum = Allerheiligste), </w:t>
      </w:r>
      <w:r w:rsidRPr="00195E02">
        <w:rPr>
          <w:rFonts w:eastAsia="Times New Roman" w:cs="Times New Roman"/>
          <w:b/>
          <w:bCs/>
          <w:rtl/>
          <w:lang w:eastAsia="de-DE"/>
        </w:rPr>
        <w:t>אהל מועד</w:t>
      </w:r>
      <w:r w:rsidRPr="00195E02">
        <w:rPr>
          <w:rFonts w:eastAsia="Times New Roman" w:cs="Times New Roman"/>
          <w:rtl/>
          <w:lang w:eastAsia="de-DE"/>
        </w:rPr>
        <w:t xml:space="preserve"> </w:t>
      </w:r>
      <w:r w:rsidRPr="00195E02">
        <w:rPr>
          <w:rFonts w:eastAsia="Times New Roman" w:cs="Times New Roman"/>
          <w:lang w:eastAsia="de-DE"/>
        </w:rPr>
        <w:t xml:space="preserve">(das Zelt der Begegnung = Heiliges), </w:t>
      </w:r>
      <w:r w:rsidRPr="00195E02">
        <w:rPr>
          <w:rFonts w:eastAsia="Times New Roman" w:cs="Times New Roman"/>
          <w:b/>
          <w:bCs/>
          <w:rtl/>
          <w:lang w:eastAsia="de-DE"/>
        </w:rPr>
        <w:t>המזבח</w:t>
      </w:r>
      <w:r w:rsidRPr="00195E02">
        <w:rPr>
          <w:rFonts w:eastAsia="Times New Roman" w:cs="Times New Roman"/>
          <w:rtl/>
          <w:lang w:eastAsia="de-DE"/>
        </w:rPr>
        <w:t xml:space="preserve"> </w:t>
      </w:r>
      <w:r w:rsidRPr="00195E02">
        <w:rPr>
          <w:rFonts w:eastAsia="Times New Roman" w:cs="Times New Roman"/>
          <w:lang w:eastAsia="de-DE"/>
        </w:rPr>
        <w:t>(der Altar = Vorhof) umfassen das gesamte Heiligtum.</w:t>
      </w:r>
    </w:p>
    <w:p w14:paraId="5AD0CDDD"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והקריב את־השעיר החי</w:t>
      </w:r>
      <w:r w:rsidRPr="00195E02">
        <w:rPr>
          <w:rFonts w:eastAsia="Times New Roman" w:cs="Times New Roman"/>
          <w:rtl/>
          <w:lang w:eastAsia="de-DE"/>
        </w:rPr>
        <w:t xml:space="preserve"> </w:t>
      </w:r>
      <w:r w:rsidRPr="00195E02">
        <w:rPr>
          <w:rFonts w:eastAsia="Times New Roman" w:cs="Times New Roman"/>
          <w:lang w:eastAsia="de-DE"/>
        </w:rPr>
        <w:t xml:space="preserve">(so soll er den lebendigen Bock darbringen) zeigt den Übergang zum Asasel-Ritual. </w:t>
      </w:r>
      <w:r w:rsidRPr="00195E02">
        <w:rPr>
          <w:rFonts w:eastAsia="Times New Roman" w:cs="Times New Roman"/>
          <w:b/>
          <w:bCs/>
          <w:rtl/>
          <w:lang w:eastAsia="de-DE"/>
        </w:rPr>
        <w:t>השעיר החי</w:t>
      </w:r>
      <w:r w:rsidRPr="00195E02">
        <w:rPr>
          <w:rFonts w:eastAsia="Times New Roman" w:cs="Times New Roman"/>
          <w:rtl/>
          <w:lang w:eastAsia="de-DE"/>
        </w:rPr>
        <w:t xml:space="preserve"> </w:t>
      </w:r>
      <w:r w:rsidRPr="00195E02">
        <w:rPr>
          <w:rFonts w:eastAsia="Times New Roman" w:cs="Times New Roman"/>
          <w:lang w:eastAsia="de-DE"/>
        </w:rPr>
        <w:t>(der lebendige Bock) aus V. 10 wartet seit der Losverteilung.</w:t>
      </w:r>
    </w:p>
    <w:p w14:paraId="17767C11"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rtl/>
          <w:lang w:eastAsia="de-DE"/>
        </w:rPr>
        <w:t>כלה מכפר</w:t>
      </w:r>
      <w:r w:rsidRPr="00195E02">
        <w:rPr>
          <w:rFonts w:eastAsia="Times New Roman" w:cs="Times New Roman"/>
          <w:rtl/>
          <w:lang w:eastAsia="de-DE"/>
        </w:rPr>
        <w:t xml:space="preserve"> </w:t>
      </w:r>
      <w:r w:rsidRPr="00195E02">
        <w:rPr>
          <w:rFonts w:eastAsia="Times New Roman" w:cs="Times New Roman"/>
          <w:lang w:eastAsia="de-DE"/>
        </w:rPr>
        <w:t xml:space="preserve">zeigt den vollständigen Abschluss der Heiligtumssühne durch Blutsprengung. Die dreifache Aufzählung </w:t>
      </w:r>
      <w:r w:rsidRPr="00195E02">
        <w:rPr>
          <w:rFonts w:eastAsia="Times New Roman" w:cs="Times New Roman"/>
          <w:b/>
          <w:bCs/>
          <w:rtl/>
          <w:lang w:eastAsia="de-DE"/>
        </w:rPr>
        <w:t>הקדש ואהל מועד והמזבח</w:t>
      </w:r>
      <w:r w:rsidRPr="00195E02">
        <w:rPr>
          <w:rFonts w:eastAsia="Times New Roman" w:cs="Times New Roman"/>
          <w:rtl/>
          <w:lang w:eastAsia="de-DE"/>
        </w:rPr>
        <w:t xml:space="preserve"> </w:t>
      </w:r>
      <w:r w:rsidRPr="00195E02">
        <w:rPr>
          <w:rFonts w:eastAsia="Times New Roman" w:cs="Times New Roman"/>
          <w:lang w:eastAsia="de-DE"/>
        </w:rPr>
        <w:t xml:space="preserve">umfasst systematisch alle Heiligtumsbereiche. </w:t>
      </w:r>
      <w:r w:rsidRPr="00195E02">
        <w:rPr>
          <w:rFonts w:eastAsia="Times New Roman" w:cs="Times New Roman"/>
          <w:b/>
          <w:bCs/>
          <w:rtl/>
          <w:lang w:eastAsia="de-DE"/>
        </w:rPr>
        <w:t>השעיר החי</w:t>
      </w:r>
      <w:r w:rsidRPr="00195E02">
        <w:rPr>
          <w:rFonts w:eastAsia="Times New Roman" w:cs="Times New Roman"/>
          <w:rtl/>
          <w:lang w:eastAsia="de-DE"/>
        </w:rPr>
        <w:t xml:space="preserve"> </w:t>
      </w:r>
      <w:r w:rsidRPr="00195E02">
        <w:rPr>
          <w:rFonts w:eastAsia="Times New Roman" w:cs="Times New Roman"/>
          <w:lang w:eastAsia="de-DE"/>
        </w:rPr>
        <w:t>leitet das völlig andere Asasel-Ritual ein.</w:t>
      </w:r>
    </w:p>
    <w:p w14:paraId="3782576B"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LXX</w:t>
      </w:r>
      <w:r w:rsidRPr="00195E02">
        <w:rPr>
          <w:rFonts w:eastAsia="Times New Roman" w:cs="Times New Roman"/>
          <w:lang w:eastAsia="de-DE"/>
        </w:rPr>
        <w:t xml:space="preserve"> übersetzt </w:t>
      </w:r>
      <w:r w:rsidRPr="00195E02">
        <w:rPr>
          <w:rFonts w:eastAsia="Times New Roman" w:cs="Times New Roman"/>
          <w:b/>
          <w:bCs/>
          <w:rtl/>
          <w:lang w:eastAsia="de-DE"/>
        </w:rPr>
        <w:t>וכלה מכפר</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συντελέσει</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ἐξιλ</w:t>
      </w:r>
      <w:proofErr w:type="spellEnd"/>
      <w:r w:rsidRPr="00195E02">
        <w:rPr>
          <w:rFonts w:eastAsia="Times New Roman" w:cs="Times New Roman"/>
          <w:lang w:eastAsia="de-DE"/>
        </w:rPr>
        <w:t xml:space="preserve">ασκόμενος (er wird vollenden das Entsühnen), </w:t>
      </w:r>
      <w:r w:rsidRPr="00195E02">
        <w:rPr>
          <w:rFonts w:eastAsia="Times New Roman" w:cs="Times New Roman"/>
          <w:b/>
          <w:bCs/>
          <w:rtl/>
          <w:lang w:eastAsia="de-DE"/>
        </w:rPr>
        <w:t>את־הקדש</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ἅγιον</w:t>
      </w:r>
      <w:proofErr w:type="spellEnd"/>
      <w:r w:rsidRPr="00195E02">
        <w:rPr>
          <w:rFonts w:eastAsia="Times New Roman" w:cs="Times New Roman"/>
          <w:lang w:eastAsia="de-DE"/>
        </w:rPr>
        <w:t xml:space="preserve"> (das Heiligtum) und </w:t>
      </w:r>
      <w:r w:rsidRPr="00195E02">
        <w:rPr>
          <w:rFonts w:eastAsia="Times New Roman" w:cs="Times New Roman"/>
          <w:b/>
          <w:bCs/>
          <w:rtl/>
          <w:lang w:eastAsia="de-DE"/>
        </w:rPr>
        <w:t>השעיר החי</w:t>
      </w:r>
      <w:r w:rsidRPr="00195E02">
        <w:rPr>
          <w:rFonts w:eastAsia="Times New Roman" w:cs="Times New Roman"/>
          <w:rtl/>
          <w:lang w:eastAsia="de-DE"/>
        </w:rPr>
        <w:t xml:space="preserve"> </w:t>
      </w:r>
      <w:r w:rsidRPr="00195E02">
        <w:rPr>
          <w:rFonts w:eastAsia="Times New Roman" w:cs="Times New Roman"/>
          <w:lang w:eastAsia="de-DE"/>
        </w:rPr>
        <w:t xml:space="preserve">mit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χίμ</w:t>
      </w:r>
      <w:proofErr w:type="spellEnd"/>
      <w:r w:rsidRPr="00195E02">
        <w:rPr>
          <w:rFonts w:eastAsia="Times New Roman" w:cs="Times New Roman"/>
          <w:lang w:eastAsia="de-DE"/>
        </w:rPr>
        <w:t xml:space="preserve">αρον </w:t>
      </w:r>
      <w:proofErr w:type="spellStart"/>
      <w:r w:rsidRPr="00195E02">
        <w:rPr>
          <w:rFonts w:eastAsia="Times New Roman" w:cs="Times New Roman"/>
          <w:lang w:eastAsia="de-DE"/>
        </w:rPr>
        <w:t>τὸν</w:t>
      </w:r>
      <w:proofErr w:type="spellEnd"/>
      <w:r w:rsidRPr="00195E02">
        <w:rPr>
          <w:rFonts w:eastAsia="Times New Roman" w:cs="Times New Roman"/>
          <w:lang w:eastAsia="de-DE"/>
        </w:rPr>
        <w:t xml:space="preserve"> </w:t>
      </w:r>
      <w:proofErr w:type="spellStart"/>
      <w:r w:rsidRPr="00195E02">
        <w:rPr>
          <w:rFonts w:eastAsia="Times New Roman" w:cs="Times New Roman"/>
          <w:lang w:eastAsia="de-DE"/>
        </w:rPr>
        <w:t>ζῶντ</w:t>
      </w:r>
      <w:proofErr w:type="spellEnd"/>
      <w:r w:rsidRPr="00195E02">
        <w:rPr>
          <w:rFonts w:eastAsia="Times New Roman" w:cs="Times New Roman"/>
          <w:lang w:eastAsia="de-DE"/>
        </w:rPr>
        <w:t>α (den lebendigen Bock).</w:t>
      </w:r>
    </w:p>
    <w:p w14:paraId="1E60630A"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b/>
          <w:bCs/>
          <w:lang w:eastAsia="de-DE"/>
        </w:rPr>
        <w:t>Die Satzstruktur:</w:t>
      </w:r>
      <w:r w:rsidRPr="00195E02">
        <w:rPr>
          <w:rFonts w:eastAsia="Times New Roman" w:cs="Times New Roman"/>
          <w:lang w:eastAsia="de-DE"/>
        </w:rPr>
        <w:t xml:space="preserve"> zeigt Ritualübergang: Vollendung der Heiligtumssühne + systematische Bereichsaufzählung + Übergang zum lebendigen Bock. Die Struktur markiert den Wendepunkt des Jom Kippur-Rituals.</w:t>
      </w:r>
    </w:p>
    <w:p w14:paraId="72C42ED4" w14:textId="77777777" w:rsidR="00195E02" w:rsidRPr="00195E02" w:rsidRDefault="00195E02" w:rsidP="00195E02">
      <w:pPr>
        <w:spacing w:before="100" w:beforeAutospacing="1" w:after="100" w:afterAutospacing="1" w:line="240" w:lineRule="auto"/>
        <w:rPr>
          <w:rFonts w:eastAsia="Times New Roman" w:cs="Times New Roman"/>
          <w:lang w:eastAsia="de-DE"/>
        </w:rPr>
      </w:pPr>
      <w:r w:rsidRPr="00195E02">
        <w:rPr>
          <w:rFonts w:eastAsia="Times New Roman" w:cs="Times New Roman"/>
          <w:lang w:eastAsia="de-DE"/>
        </w:rPr>
        <w:t>Dieser Vers markiert den entscheidenden Übergang: nach vollständiger Heiligtumssühne durch Blutsprengung beginnt das rätselhafte Asasel-Ritual mit dem lebendigen Bock.</w:t>
      </w:r>
    </w:p>
    <w:p w14:paraId="26B3DB9C"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16,21</w:t>
      </w:r>
    </w:p>
    <w:p w14:paraId="5CFCB43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Hebräisch:</w:t>
      </w:r>
      <w:r w:rsidRPr="00992CEC">
        <w:rPr>
          <w:rFonts w:eastAsia="Times New Roman" w:cs="Times New Roman"/>
          <w:lang w:eastAsia="de-DE"/>
        </w:rPr>
        <w:t xml:space="preserve"> </w:t>
      </w:r>
      <w:r w:rsidRPr="00992CEC">
        <w:rPr>
          <w:rFonts w:eastAsia="Times New Roman" w:cs="Times New Roman"/>
          <w:rtl/>
          <w:lang w:eastAsia="de-DE"/>
        </w:rPr>
        <w:t>וְסָמַ֨ךְ אַהֲרֹ֜ן אֶת־שְׁתֵּ֣י יָדוֹ עַ֨ל רֹ֣אשׁ הַשָּׂעִיר֮ הַחַי֒ וְהִתְוַדָּ֣ה עָלָ֗יו אֶת־כָּל־עֲוֹנֹת֙ בְּנֵ֣י יִשְׂרָאֵ֔ל וְאֶת־כָּל־פִּשְׁעֵיהֶ֖ם לְכָל־חַטֹּאתָ֑ם וְנָתַ֤ן אֹתָם֙ עַל־רֹ֣אשׁ הַשָּׂעִ֔יר וְשִׁלַּ֛ח בְּיַד־אִ֥ישׁ עִתִּ֖י הַמִּדְבָּֽרָה׃</w:t>
      </w:r>
    </w:p>
    <w:p w14:paraId="659B1CFD" w14:textId="30F0808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'Aharon soll stützen seine beiden Hände auf den Kopf des lebenden Bockes und soll bekennen auf ihn alle Verschuldungen der Söhne Jisra'els und alle ihre Übertretungen nach allen ihren Sünden; und er soll sie geben auf den Kopf des Bockes und soll ihn senden durch die Hand eines bereitstehenden Mannes in die Wüste.</w:t>
      </w:r>
    </w:p>
    <w:p w14:paraId="0AB402C9"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49DFD0A">
          <v:rect id="_x0000_i1501" style="width:0;height:1.5pt" o:hralign="center" o:hrstd="t" o:hr="t" fillcolor="#a0a0a0" stroked="f"/>
        </w:pict>
      </w:r>
    </w:p>
    <w:p w14:paraId="36DB8993"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וסמך אהרן את־שתי ידו על ראש השעיר החי והתודה עליו את־כל־עונת בני ישראל ואת־כל־פשעיהם לכל־חטאתם ונתן אתם על־ראש השעיר ושלח ביד־איש עתי המדברה</w:t>
      </w:r>
      <w:r w:rsidRPr="00992CEC">
        <w:rPr>
          <w:rFonts w:eastAsia="Times New Roman" w:cs="Times New Roman"/>
          <w:rtl/>
          <w:lang w:eastAsia="de-DE"/>
        </w:rPr>
        <w:t xml:space="preserve"> </w:t>
      </w:r>
      <w:r w:rsidRPr="00992CEC">
        <w:rPr>
          <w:rFonts w:eastAsia="Times New Roman" w:cs="Times New Roman"/>
          <w:lang w:eastAsia="de-DE"/>
        </w:rPr>
        <w:t xml:space="preserve">zeigt das zentrale Sündenübertragungsritual. </w:t>
      </w:r>
      <w:r w:rsidRPr="00992CEC">
        <w:rPr>
          <w:rFonts w:eastAsia="Times New Roman" w:cs="Times New Roman"/>
          <w:b/>
          <w:bCs/>
          <w:rtl/>
          <w:lang w:eastAsia="de-DE"/>
        </w:rPr>
        <w:t>וסמך אהרן את־שתי ידו על ראש השעיר החי</w:t>
      </w:r>
      <w:r w:rsidRPr="00992CEC">
        <w:rPr>
          <w:rFonts w:eastAsia="Times New Roman" w:cs="Times New Roman"/>
          <w:rtl/>
          <w:lang w:eastAsia="de-DE"/>
        </w:rPr>
        <w:t xml:space="preserve"> </w:t>
      </w:r>
      <w:r w:rsidRPr="00992CEC">
        <w:rPr>
          <w:rFonts w:eastAsia="Times New Roman" w:cs="Times New Roman"/>
          <w:lang w:eastAsia="de-DE"/>
        </w:rPr>
        <w:t xml:space="preserve">(und Aaron soll seine beiden Hände auf den Kopf des lebendigen Bockes stützen) - </w:t>
      </w:r>
      <w:r w:rsidRPr="00992CEC">
        <w:rPr>
          <w:rFonts w:eastAsia="Times New Roman" w:cs="Times New Roman"/>
          <w:b/>
          <w:bCs/>
          <w:rtl/>
          <w:lang w:eastAsia="de-DE"/>
        </w:rPr>
        <w:t>סמך</w:t>
      </w:r>
      <w:r w:rsidRPr="00992CEC">
        <w:rPr>
          <w:rFonts w:eastAsia="Times New Roman" w:cs="Times New Roman"/>
          <w:rtl/>
          <w:lang w:eastAsia="de-DE"/>
        </w:rPr>
        <w:t xml:space="preserve"> </w:t>
      </w:r>
      <w:r w:rsidRPr="00992CEC">
        <w:rPr>
          <w:rFonts w:eastAsia="Times New Roman" w:cs="Times New Roman"/>
          <w:lang w:eastAsia="de-DE"/>
        </w:rPr>
        <w:t xml:space="preserve">(stützen) im Qal-Perfekt mit Waw-Konsekutiv, </w:t>
      </w:r>
      <w:r w:rsidRPr="00992CEC">
        <w:rPr>
          <w:rFonts w:eastAsia="Times New Roman" w:cs="Times New Roman"/>
          <w:b/>
          <w:bCs/>
          <w:rtl/>
          <w:lang w:eastAsia="de-DE"/>
        </w:rPr>
        <w:t>שתי ידו</w:t>
      </w:r>
      <w:r w:rsidRPr="00992CEC">
        <w:rPr>
          <w:rFonts w:eastAsia="Times New Roman" w:cs="Times New Roman"/>
          <w:rtl/>
          <w:lang w:eastAsia="de-DE"/>
        </w:rPr>
        <w:t xml:space="preserve"> </w:t>
      </w:r>
      <w:r w:rsidRPr="00992CEC">
        <w:rPr>
          <w:rFonts w:eastAsia="Times New Roman" w:cs="Times New Roman"/>
          <w:lang w:eastAsia="de-DE"/>
        </w:rPr>
        <w:t>(seine beiden Hände) zeigt intensiven Kontakt.</w:t>
      </w:r>
    </w:p>
    <w:p w14:paraId="1F399AD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והתודה עליו את־כל־עונת בני ישראל ואת־כל־פשעיהם לכל־חטאתם</w:t>
      </w:r>
      <w:r w:rsidRPr="00992CEC">
        <w:rPr>
          <w:rFonts w:eastAsia="Times New Roman" w:cs="Times New Roman"/>
          <w:rtl/>
          <w:lang w:eastAsia="de-DE"/>
        </w:rPr>
        <w:t xml:space="preserve"> </w:t>
      </w:r>
      <w:r w:rsidRPr="00992CEC">
        <w:rPr>
          <w:rFonts w:eastAsia="Times New Roman" w:cs="Times New Roman"/>
          <w:lang w:eastAsia="de-DE"/>
        </w:rPr>
        <w:t xml:space="preserve">(und über ihn bekennen alle Schuld der Söhne Israels und alle ihre Übertretungen nach allen ihren Sünden) zeigt das Sündenbekenntnis. </w:t>
      </w:r>
      <w:r w:rsidRPr="00992CEC">
        <w:rPr>
          <w:rFonts w:eastAsia="Times New Roman" w:cs="Times New Roman"/>
          <w:b/>
          <w:bCs/>
          <w:rtl/>
          <w:lang w:eastAsia="de-DE"/>
        </w:rPr>
        <w:t>התודה</w:t>
      </w:r>
      <w:r w:rsidRPr="00992CEC">
        <w:rPr>
          <w:rFonts w:eastAsia="Times New Roman" w:cs="Times New Roman"/>
          <w:rtl/>
          <w:lang w:eastAsia="de-DE"/>
        </w:rPr>
        <w:t xml:space="preserve"> </w:t>
      </w:r>
      <w:r w:rsidRPr="00992CEC">
        <w:rPr>
          <w:rFonts w:eastAsia="Times New Roman" w:cs="Times New Roman"/>
          <w:lang w:eastAsia="de-DE"/>
        </w:rPr>
        <w:t xml:space="preserve">(bekennen) im Hitpael-Perfekt mit Waw-Konsekutiv, </w:t>
      </w:r>
      <w:r w:rsidRPr="00992CEC">
        <w:rPr>
          <w:rFonts w:eastAsia="Times New Roman" w:cs="Times New Roman"/>
          <w:b/>
          <w:bCs/>
          <w:rtl/>
          <w:lang w:eastAsia="de-DE"/>
        </w:rPr>
        <w:t>עונת</w:t>
      </w:r>
      <w:r w:rsidRPr="00992CEC">
        <w:rPr>
          <w:rFonts w:eastAsia="Times New Roman" w:cs="Times New Roman"/>
          <w:rtl/>
          <w:lang w:eastAsia="de-DE"/>
        </w:rPr>
        <w:t xml:space="preserve"> </w:t>
      </w:r>
      <w:r w:rsidRPr="00992CEC">
        <w:rPr>
          <w:rFonts w:eastAsia="Times New Roman" w:cs="Times New Roman"/>
          <w:lang w:eastAsia="de-DE"/>
        </w:rPr>
        <w:t xml:space="preserve">(Schuld), </w:t>
      </w:r>
      <w:r w:rsidRPr="00992CEC">
        <w:rPr>
          <w:rFonts w:eastAsia="Times New Roman" w:cs="Times New Roman"/>
          <w:b/>
          <w:bCs/>
          <w:rtl/>
          <w:lang w:eastAsia="de-DE"/>
        </w:rPr>
        <w:t>פשעיהם</w:t>
      </w:r>
      <w:r w:rsidRPr="00992CEC">
        <w:rPr>
          <w:rFonts w:eastAsia="Times New Roman" w:cs="Times New Roman"/>
          <w:rtl/>
          <w:lang w:eastAsia="de-DE"/>
        </w:rPr>
        <w:t xml:space="preserve"> </w:t>
      </w:r>
      <w:r w:rsidRPr="00992CEC">
        <w:rPr>
          <w:rFonts w:eastAsia="Times New Roman" w:cs="Times New Roman"/>
          <w:lang w:eastAsia="de-DE"/>
        </w:rPr>
        <w:t xml:space="preserve">(ihre Übertretungen), </w:t>
      </w:r>
      <w:r w:rsidRPr="00992CEC">
        <w:rPr>
          <w:rFonts w:eastAsia="Times New Roman" w:cs="Times New Roman"/>
          <w:b/>
          <w:bCs/>
          <w:rtl/>
          <w:lang w:eastAsia="de-DE"/>
        </w:rPr>
        <w:t>חטאתם</w:t>
      </w:r>
      <w:r w:rsidRPr="00992CEC">
        <w:rPr>
          <w:rFonts w:eastAsia="Times New Roman" w:cs="Times New Roman"/>
          <w:rtl/>
          <w:lang w:eastAsia="de-DE"/>
        </w:rPr>
        <w:t xml:space="preserve"> </w:t>
      </w:r>
      <w:r w:rsidRPr="00992CEC">
        <w:rPr>
          <w:rFonts w:eastAsia="Times New Roman" w:cs="Times New Roman"/>
          <w:lang w:eastAsia="de-DE"/>
        </w:rPr>
        <w:t>(ihre Sünden) als drei umfassende Sündenkategorien.</w:t>
      </w:r>
    </w:p>
    <w:p w14:paraId="7FF67DD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ונתן אתם על־ראש השעיר ושלח ביד־איש עתי המדברה</w:t>
      </w:r>
      <w:r w:rsidRPr="00992CEC">
        <w:rPr>
          <w:rFonts w:eastAsia="Times New Roman" w:cs="Times New Roman"/>
          <w:rtl/>
          <w:lang w:eastAsia="de-DE"/>
        </w:rPr>
        <w:t xml:space="preserve"> </w:t>
      </w:r>
      <w:r w:rsidRPr="00992CEC">
        <w:rPr>
          <w:rFonts w:eastAsia="Times New Roman" w:cs="Times New Roman"/>
          <w:lang w:eastAsia="de-DE"/>
        </w:rPr>
        <w:t xml:space="preserve">(und er soll sie geben auf den Kopf des Bockes und ihn senden durch einen bereitstehenden Mann in die Wüste) zeigt die symbolische Übertragung und Entfernung. </w:t>
      </w:r>
      <w:r w:rsidRPr="00992CEC">
        <w:rPr>
          <w:rFonts w:eastAsia="Times New Roman" w:cs="Times New Roman"/>
          <w:b/>
          <w:bCs/>
          <w:rtl/>
          <w:lang w:eastAsia="de-DE"/>
        </w:rPr>
        <w:t>נתן אתם</w:t>
      </w:r>
      <w:r w:rsidRPr="00992CEC">
        <w:rPr>
          <w:rFonts w:eastAsia="Times New Roman" w:cs="Times New Roman"/>
          <w:rtl/>
          <w:lang w:eastAsia="de-DE"/>
        </w:rPr>
        <w:t xml:space="preserve"> </w:t>
      </w:r>
      <w:r w:rsidRPr="00992CEC">
        <w:rPr>
          <w:rFonts w:eastAsia="Times New Roman" w:cs="Times New Roman"/>
          <w:lang w:eastAsia="de-DE"/>
        </w:rPr>
        <w:t xml:space="preserve">(er soll sie geben) zeigt die Sündenübertragung, </w:t>
      </w:r>
      <w:r w:rsidRPr="00992CEC">
        <w:rPr>
          <w:rFonts w:eastAsia="Times New Roman" w:cs="Times New Roman"/>
          <w:b/>
          <w:bCs/>
          <w:rtl/>
          <w:lang w:eastAsia="de-DE"/>
        </w:rPr>
        <w:t>איש עתי</w:t>
      </w:r>
      <w:r w:rsidRPr="00992CEC">
        <w:rPr>
          <w:rFonts w:eastAsia="Times New Roman" w:cs="Times New Roman"/>
          <w:rtl/>
          <w:lang w:eastAsia="de-DE"/>
        </w:rPr>
        <w:t xml:space="preserve"> </w:t>
      </w:r>
      <w:r w:rsidRPr="00992CEC">
        <w:rPr>
          <w:rFonts w:eastAsia="Times New Roman" w:cs="Times New Roman"/>
          <w:lang w:eastAsia="de-DE"/>
        </w:rPr>
        <w:t>(ein bereitstehender Mann) als speziell bestimmte Person.</w:t>
      </w:r>
    </w:p>
    <w:p w14:paraId="2E46FA2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שתי ידו</w:t>
      </w:r>
      <w:r w:rsidRPr="00992CEC">
        <w:rPr>
          <w:rFonts w:eastAsia="Times New Roman" w:cs="Times New Roman"/>
          <w:rtl/>
          <w:lang w:eastAsia="de-DE"/>
        </w:rPr>
        <w:t xml:space="preserve"> </w:t>
      </w:r>
      <w:r w:rsidRPr="00992CEC">
        <w:rPr>
          <w:rFonts w:eastAsia="Times New Roman" w:cs="Times New Roman"/>
          <w:lang w:eastAsia="de-DE"/>
        </w:rPr>
        <w:t xml:space="preserve">zeigt maximalen Kontakt für die Sündenübertragung. </w:t>
      </w:r>
      <w:r w:rsidRPr="00992CEC">
        <w:rPr>
          <w:rFonts w:eastAsia="Times New Roman" w:cs="Times New Roman"/>
          <w:b/>
          <w:bCs/>
          <w:rtl/>
          <w:lang w:eastAsia="de-DE"/>
        </w:rPr>
        <w:t>עונת ופשעיהם וחטאתם</w:t>
      </w:r>
      <w:r w:rsidRPr="00992CEC">
        <w:rPr>
          <w:rFonts w:eastAsia="Times New Roman" w:cs="Times New Roman"/>
          <w:rtl/>
          <w:lang w:eastAsia="de-DE"/>
        </w:rPr>
        <w:t xml:space="preserve"> </w:t>
      </w:r>
      <w:r w:rsidRPr="00992CEC">
        <w:rPr>
          <w:rFonts w:eastAsia="Times New Roman" w:cs="Times New Roman"/>
          <w:lang w:eastAsia="de-DE"/>
        </w:rPr>
        <w:t xml:space="preserve">als vollständige Erfassung aller Sündenarten. </w:t>
      </w:r>
      <w:r w:rsidRPr="00992CEC">
        <w:rPr>
          <w:rFonts w:eastAsia="Times New Roman" w:cs="Times New Roman"/>
          <w:b/>
          <w:bCs/>
          <w:rtl/>
          <w:lang w:eastAsia="de-DE"/>
        </w:rPr>
        <w:t>ונתן אתם על־ראש השעיר</w:t>
      </w:r>
      <w:r w:rsidRPr="00992CEC">
        <w:rPr>
          <w:rFonts w:eastAsia="Times New Roman" w:cs="Times New Roman"/>
          <w:rtl/>
          <w:lang w:eastAsia="de-DE"/>
        </w:rPr>
        <w:t xml:space="preserve"> </w:t>
      </w:r>
      <w:r w:rsidRPr="00992CEC">
        <w:rPr>
          <w:rFonts w:eastAsia="Times New Roman" w:cs="Times New Roman"/>
          <w:lang w:eastAsia="de-DE"/>
        </w:rPr>
        <w:t xml:space="preserve">zeigt symbolische Übertragung vom Menschen auf das Tier. </w:t>
      </w:r>
      <w:r w:rsidRPr="00992CEC">
        <w:rPr>
          <w:rFonts w:eastAsia="Times New Roman" w:cs="Times New Roman"/>
          <w:b/>
          <w:bCs/>
          <w:rtl/>
          <w:lang w:eastAsia="de-DE"/>
        </w:rPr>
        <w:t>איש עתי</w:t>
      </w:r>
      <w:r w:rsidRPr="00992CEC">
        <w:rPr>
          <w:rFonts w:eastAsia="Times New Roman" w:cs="Times New Roman"/>
          <w:rtl/>
          <w:lang w:eastAsia="de-DE"/>
        </w:rPr>
        <w:t xml:space="preserve"> </w:t>
      </w:r>
      <w:r w:rsidRPr="00992CEC">
        <w:rPr>
          <w:rFonts w:eastAsia="Times New Roman" w:cs="Times New Roman"/>
          <w:lang w:eastAsia="de-DE"/>
        </w:rPr>
        <w:t>als speziell für diese Aufgabe bereite Person.</w:t>
      </w:r>
    </w:p>
    <w:p w14:paraId="73F84C10" w14:textId="501F2FD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איש עתי</w:t>
      </w:r>
      <w:r w:rsidR="00E705C5">
        <w:t xml:space="preserve"> (ish </w:t>
      </w:r>
      <w:proofErr w:type="spellStart"/>
      <w:r w:rsidR="00E705C5">
        <w:t>itti</w:t>
      </w:r>
      <w:proofErr w:type="spellEnd"/>
      <w:r w:rsidR="00E705C5">
        <w:t xml:space="preserve"> - "bereiter Mann") als </w:t>
      </w:r>
      <w:proofErr w:type="spellStart"/>
      <w:r w:rsidR="00E705C5">
        <w:t>ἀνθρώ</w:t>
      </w:r>
      <w:proofErr w:type="spellEnd"/>
      <w:r w:rsidR="00E705C5">
        <w:t xml:space="preserve">που </w:t>
      </w:r>
      <w:proofErr w:type="spellStart"/>
      <w:r w:rsidR="00E705C5">
        <w:t>ἑτοίμου</w:t>
      </w:r>
      <w:proofErr w:type="spellEnd"/>
      <w:r w:rsidR="00E705C5">
        <w:t xml:space="preserve"> (bereiten Menschen), was eine direktere Übersetzung darstellt.</w:t>
      </w:r>
    </w:p>
    <w:p w14:paraId="178AF91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Sündenübertragung: Handauflegung + umfassendes Sündenbekenntnis + symbolische Übertragung + Wegführung durch Stellvertreter. Die Struktur zeigt das zentrale Substitutionsritual.</w:t>
      </w:r>
    </w:p>
    <w:p w14:paraId="49831484" w14:textId="597E80C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 xml:space="preserve">Dieser Vers zeigt das </w:t>
      </w:r>
      <w:r w:rsidR="00AB1706" w:rsidRPr="00992CEC">
        <w:rPr>
          <w:rFonts w:eastAsia="Times New Roman" w:cs="Times New Roman"/>
          <w:lang w:eastAsia="de-DE"/>
        </w:rPr>
        <w:t>Herzstück</w:t>
      </w:r>
      <w:r w:rsidRPr="00992CEC">
        <w:rPr>
          <w:rFonts w:eastAsia="Times New Roman" w:cs="Times New Roman"/>
          <w:lang w:eastAsia="de-DE"/>
        </w:rPr>
        <w:t xml:space="preserve"> des Asasel-Rituals: die symbolische Übertragung aller Volkssünden auf den lebendigen Bock durch Handauflegung und Bekenntnis.</w:t>
      </w:r>
    </w:p>
    <w:p w14:paraId="44B6DD07"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16,22</w:t>
      </w:r>
    </w:p>
    <w:p w14:paraId="364A1D8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וְנָשָׂ֨א הַשָּׂעִ֥יר עָלָ֛יו אֶת־כָּל־עֲוֹנֹתָ֖ם אֶל־אֶ֣רֶץ גְּזֵרָ֑ה וְשִׁלַּ֥ח אֶת־הַשָּׂעִ֖יר בַּמִּדְבָּֽר׃</w:t>
      </w:r>
    </w:p>
    <w:p w14:paraId="545C730D" w14:textId="6DFDC7A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der Bock soll auf sich tragen alle ihre Verschuldungen in ein abgeschnittenes Land; und er soll den Bock in der Wüste freilassen.</w:t>
      </w:r>
    </w:p>
    <w:p w14:paraId="79B6A8D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5C0131FC">
          <v:rect id="_x0000_i1502" style="width:0;height:1.5pt" o:hralign="center" o:hrstd="t" o:hr="t" fillcolor="#a0a0a0" stroked="f"/>
        </w:pict>
      </w:r>
    </w:p>
    <w:p w14:paraId="6F78284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Kommentar:</w:t>
      </w:r>
      <w:r w:rsidRPr="00992CEC">
        <w:rPr>
          <w:rFonts w:eastAsia="Times New Roman" w:cs="Times New Roman"/>
          <w:lang w:eastAsia="de-DE"/>
        </w:rPr>
        <w:t xml:space="preserve"> </w:t>
      </w:r>
      <w:r w:rsidRPr="00992CEC">
        <w:rPr>
          <w:rFonts w:eastAsia="Times New Roman" w:cs="Times New Roman"/>
          <w:b/>
          <w:bCs/>
          <w:rtl/>
          <w:lang w:eastAsia="de-DE"/>
        </w:rPr>
        <w:t>ונשא השעיר עליו את־כל־עונתם אל־ארץ גזרה ושלח את־השעיר במדבר</w:t>
      </w:r>
      <w:r w:rsidRPr="00992CEC">
        <w:rPr>
          <w:rFonts w:eastAsia="Times New Roman" w:cs="Times New Roman"/>
          <w:rtl/>
          <w:lang w:eastAsia="de-DE"/>
        </w:rPr>
        <w:t xml:space="preserve"> </w:t>
      </w:r>
      <w:r w:rsidRPr="00992CEC">
        <w:rPr>
          <w:rFonts w:eastAsia="Times New Roman" w:cs="Times New Roman"/>
          <w:lang w:eastAsia="de-DE"/>
        </w:rPr>
        <w:t xml:space="preserve">zeigt die endgültige Sündenentfernung. </w:t>
      </w:r>
      <w:r w:rsidRPr="00992CEC">
        <w:rPr>
          <w:rFonts w:eastAsia="Times New Roman" w:cs="Times New Roman"/>
          <w:b/>
          <w:bCs/>
          <w:rtl/>
          <w:lang w:eastAsia="de-DE"/>
        </w:rPr>
        <w:t>ונשא השעיר עליו את־כל־עונתם</w:t>
      </w:r>
      <w:r w:rsidRPr="00992CEC">
        <w:rPr>
          <w:rFonts w:eastAsia="Times New Roman" w:cs="Times New Roman"/>
          <w:rtl/>
          <w:lang w:eastAsia="de-DE"/>
        </w:rPr>
        <w:t xml:space="preserve"> </w:t>
      </w:r>
      <w:r w:rsidRPr="00992CEC">
        <w:rPr>
          <w:rFonts w:eastAsia="Times New Roman" w:cs="Times New Roman"/>
          <w:lang w:eastAsia="de-DE"/>
        </w:rPr>
        <w:t xml:space="preserve">(und der Bock soll auf sich tragen alle ihre Schuld) - </w:t>
      </w:r>
      <w:r w:rsidRPr="00992CEC">
        <w:rPr>
          <w:rFonts w:eastAsia="Times New Roman" w:cs="Times New Roman"/>
          <w:b/>
          <w:bCs/>
          <w:rtl/>
          <w:lang w:eastAsia="de-DE"/>
        </w:rPr>
        <w:t>נשא</w:t>
      </w:r>
      <w:r w:rsidRPr="00992CEC">
        <w:rPr>
          <w:rFonts w:eastAsia="Times New Roman" w:cs="Times New Roman"/>
          <w:rtl/>
          <w:lang w:eastAsia="de-DE"/>
        </w:rPr>
        <w:t xml:space="preserve"> </w:t>
      </w:r>
      <w:r w:rsidRPr="00992CEC">
        <w:rPr>
          <w:rFonts w:eastAsia="Times New Roman" w:cs="Times New Roman"/>
          <w:lang w:eastAsia="de-DE"/>
        </w:rPr>
        <w:t xml:space="preserve">(tragen) im Qal-Perfekt mit Waw-Konsekutiv, </w:t>
      </w:r>
      <w:r w:rsidRPr="00992CEC">
        <w:rPr>
          <w:rFonts w:eastAsia="Times New Roman" w:cs="Times New Roman"/>
          <w:b/>
          <w:bCs/>
          <w:rtl/>
          <w:lang w:eastAsia="de-DE"/>
        </w:rPr>
        <w:t>עליו</w:t>
      </w:r>
      <w:r w:rsidRPr="00992CEC">
        <w:rPr>
          <w:rFonts w:eastAsia="Times New Roman" w:cs="Times New Roman"/>
          <w:rtl/>
          <w:lang w:eastAsia="de-DE"/>
        </w:rPr>
        <w:t xml:space="preserve"> </w:t>
      </w:r>
      <w:r w:rsidRPr="00992CEC">
        <w:rPr>
          <w:rFonts w:eastAsia="Times New Roman" w:cs="Times New Roman"/>
          <w:lang w:eastAsia="de-DE"/>
        </w:rPr>
        <w:t xml:space="preserve">(auf sich), </w:t>
      </w:r>
      <w:r w:rsidRPr="00992CEC">
        <w:rPr>
          <w:rFonts w:eastAsia="Times New Roman" w:cs="Times New Roman"/>
          <w:b/>
          <w:bCs/>
          <w:rtl/>
          <w:lang w:eastAsia="de-DE"/>
        </w:rPr>
        <w:t>כל־עונתם</w:t>
      </w:r>
      <w:r w:rsidRPr="00992CEC">
        <w:rPr>
          <w:rFonts w:eastAsia="Times New Roman" w:cs="Times New Roman"/>
          <w:rtl/>
          <w:lang w:eastAsia="de-DE"/>
        </w:rPr>
        <w:t xml:space="preserve"> </w:t>
      </w:r>
      <w:r w:rsidRPr="00992CEC">
        <w:rPr>
          <w:rFonts w:eastAsia="Times New Roman" w:cs="Times New Roman"/>
          <w:lang w:eastAsia="de-DE"/>
        </w:rPr>
        <w:t>(alle ihre Schuld) aus V. 21.</w:t>
      </w:r>
    </w:p>
    <w:p w14:paraId="6FAD320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אל־ארץ גזרה</w:t>
      </w:r>
      <w:r w:rsidRPr="00992CEC">
        <w:rPr>
          <w:rFonts w:eastAsia="Times New Roman" w:cs="Times New Roman"/>
          <w:rtl/>
          <w:lang w:eastAsia="de-DE"/>
        </w:rPr>
        <w:t xml:space="preserve"> </w:t>
      </w:r>
      <w:r w:rsidRPr="00992CEC">
        <w:rPr>
          <w:rFonts w:eastAsia="Times New Roman" w:cs="Times New Roman"/>
          <w:lang w:eastAsia="de-DE"/>
        </w:rPr>
        <w:t xml:space="preserve">(in ein abgeschnittenes Land) - </w:t>
      </w:r>
      <w:r w:rsidRPr="00992CEC">
        <w:rPr>
          <w:rFonts w:eastAsia="Times New Roman" w:cs="Times New Roman"/>
          <w:b/>
          <w:bCs/>
          <w:rtl/>
          <w:lang w:eastAsia="de-DE"/>
        </w:rPr>
        <w:t>ארץ גזרה</w:t>
      </w:r>
      <w:r w:rsidRPr="00992CEC">
        <w:rPr>
          <w:rFonts w:eastAsia="Times New Roman" w:cs="Times New Roman"/>
          <w:rtl/>
          <w:lang w:eastAsia="de-DE"/>
        </w:rPr>
        <w:t xml:space="preserve"> </w:t>
      </w:r>
      <w:r w:rsidRPr="00992CEC">
        <w:rPr>
          <w:rFonts w:eastAsia="Times New Roman" w:cs="Times New Roman"/>
          <w:lang w:eastAsia="de-DE"/>
        </w:rPr>
        <w:t xml:space="preserve">als </w:t>
      </w:r>
      <w:r w:rsidRPr="00992CEC">
        <w:rPr>
          <w:rFonts w:eastAsia="Times New Roman" w:cs="Times New Roman"/>
          <w:b/>
          <w:bCs/>
          <w:rtl/>
          <w:lang w:eastAsia="de-DE"/>
        </w:rPr>
        <w:t>נ</w:t>
      </w:r>
      <w:r w:rsidRPr="00992CEC">
        <w:rPr>
          <w:rFonts w:eastAsia="Times New Roman" w:cs="Times New Roman"/>
          <w:b/>
          <w:bCs/>
          <w:rtl/>
          <w:lang w:eastAsia="de-DE" w:bidi="ar-SA"/>
        </w:rPr>
        <w:t>ف</w:t>
      </w:r>
      <w:r w:rsidRPr="00992CEC">
        <w:rPr>
          <w:rFonts w:eastAsia="Times New Roman" w:cs="Times New Roman"/>
          <w:b/>
          <w:bCs/>
          <w:rtl/>
          <w:lang w:eastAsia="de-DE"/>
        </w:rPr>
        <w:t>ש</w:t>
      </w:r>
      <w:r w:rsidRPr="00992CEC">
        <w:rPr>
          <w:rFonts w:eastAsia="Times New Roman" w:cs="Times New Roman"/>
          <w:rtl/>
          <w:lang w:eastAsia="de-DE"/>
        </w:rPr>
        <w:t xml:space="preserve"> </w:t>
      </w:r>
      <w:r w:rsidRPr="00992CEC">
        <w:rPr>
          <w:rFonts w:eastAsia="Times New Roman" w:cs="Times New Roman"/>
          <w:lang w:eastAsia="de-DE"/>
        </w:rPr>
        <w:t xml:space="preserve">von </w:t>
      </w:r>
      <w:r w:rsidRPr="00992CEC">
        <w:rPr>
          <w:rFonts w:eastAsia="Times New Roman" w:cs="Times New Roman"/>
          <w:b/>
          <w:bCs/>
          <w:rtl/>
          <w:lang w:eastAsia="de-DE"/>
        </w:rPr>
        <w:t>גזר</w:t>
      </w:r>
      <w:r w:rsidRPr="00992CEC">
        <w:rPr>
          <w:rFonts w:eastAsia="Times New Roman" w:cs="Times New Roman"/>
          <w:rtl/>
          <w:lang w:eastAsia="de-DE"/>
        </w:rPr>
        <w:t xml:space="preserve"> </w:t>
      </w:r>
      <w:r w:rsidRPr="00992CEC">
        <w:rPr>
          <w:rFonts w:eastAsia="Times New Roman" w:cs="Times New Roman"/>
          <w:lang w:eastAsia="de-DE"/>
        </w:rPr>
        <w:t xml:space="preserve">(abschneiden/abtrennen) zeigt ein völlig isoliertes, von der Zivilisation abgeschnittenes Gebiet. </w:t>
      </w:r>
      <w:r w:rsidRPr="00992CEC">
        <w:rPr>
          <w:rFonts w:eastAsia="Times New Roman" w:cs="Times New Roman"/>
          <w:b/>
          <w:bCs/>
          <w:rtl/>
          <w:lang w:eastAsia="de-DE"/>
        </w:rPr>
        <w:t>ושלח את־השעיר במדבר</w:t>
      </w:r>
      <w:r w:rsidRPr="00992CEC">
        <w:rPr>
          <w:rFonts w:eastAsia="Times New Roman" w:cs="Times New Roman"/>
          <w:rtl/>
          <w:lang w:eastAsia="de-DE"/>
        </w:rPr>
        <w:t xml:space="preserve"> </w:t>
      </w:r>
      <w:r w:rsidRPr="00992CEC">
        <w:rPr>
          <w:rFonts w:eastAsia="Times New Roman" w:cs="Times New Roman"/>
          <w:lang w:eastAsia="de-DE"/>
        </w:rPr>
        <w:t>(und er soll den Bock in der Wüste freilassen) vervollständigt die Entfernung.</w:t>
      </w:r>
    </w:p>
    <w:p w14:paraId="626556D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ונשא עליו</w:t>
      </w:r>
      <w:r w:rsidRPr="00992CEC">
        <w:rPr>
          <w:rFonts w:eastAsia="Times New Roman" w:cs="Times New Roman"/>
          <w:rtl/>
          <w:lang w:eastAsia="de-DE"/>
        </w:rPr>
        <w:t xml:space="preserve"> </w:t>
      </w:r>
      <w:r w:rsidRPr="00992CEC">
        <w:rPr>
          <w:rFonts w:eastAsia="Times New Roman" w:cs="Times New Roman"/>
          <w:lang w:eastAsia="de-DE"/>
        </w:rPr>
        <w:t xml:space="preserve">zeigt, dass der Bock die Sünden physisch trägt. </w:t>
      </w:r>
      <w:r w:rsidRPr="00992CEC">
        <w:rPr>
          <w:rFonts w:eastAsia="Times New Roman" w:cs="Times New Roman"/>
          <w:b/>
          <w:bCs/>
          <w:rtl/>
          <w:lang w:eastAsia="de-DE"/>
        </w:rPr>
        <w:t>ארץ גזרה</w:t>
      </w:r>
      <w:r w:rsidRPr="00992CEC">
        <w:rPr>
          <w:rFonts w:eastAsia="Times New Roman" w:cs="Times New Roman"/>
          <w:rtl/>
          <w:lang w:eastAsia="de-DE"/>
        </w:rPr>
        <w:t xml:space="preserve"> </w:t>
      </w:r>
      <w:r w:rsidRPr="00992CEC">
        <w:rPr>
          <w:rFonts w:eastAsia="Times New Roman" w:cs="Times New Roman"/>
          <w:lang w:eastAsia="de-DE"/>
        </w:rPr>
        <w:t xml:space="preserve">als Ort völliger Isolation, wo die Sünden nicht zurückkehren können. </w:t>
      </w:r>
      <w:r w:rsidRPr="00992CEC">
        <w:rPr>
          <w:rFonts w:eastAsia="Times New Roman" w:cs="Times New Roman"/>
          <w:b/>
          <w:bCs/>
          <w:rtl/>
          <w:lang w:eastAsia="de-DE"/>
        </w:rPr>
        <w:t>במדבר</w:t>
      </w:r>
      <w:r w:rsidRPr="00992CEC">
        <w:rPr>
          <w:rFonts w:eastAsia="Times New Roman" w:cs="Times New Roman"/>
          <w:rtl/>
          <w:lang w:eastAsia="de-DE"/>
        </w:rPr>
        <w:t xml:space="preserve"> </w:t>
      </w:r>
      <w:r w:rsidRPr="00992CEC">
        <w:rPr>
          <w:rFonts w:eastAsia="Times New Roman" w:cs="Times New Roman"/>
          <w:lang w:eastAsia="de-DE"/>
        </w:rPr>
        <w:t>als unwirtliche Wildnis, Gegenpol zur bewohnten Welt.</w:t>
      </w:r>
    </w:p>
    <w:p w14:paraId="64C057C8" w14:textId="13504C20"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ארץ גזרה</w:t>
      </w:r>
      <w:r w:rsidR="00E705C5">
        <w:t xml:space="preserve"> (</w:t>
      </w:r>
      <w:proofErr w:type="spellStart"/>
      <w:r w:rsidR="00E705C5">
        <w:t>eretz</w:t>
      </w:r>
      <w:proofErr w:type="spellEnd"/>
      <w:r w:rsidR="00E705C5">
        <w:t xml:space="preserve"> </w:t>
      </w:r>
      <w:proofErr w:type="spellStart"/>
      <w:r w:rsidR="00E705C5">
        <w:t>gezera</w:t>
      </w:r>
      <w:proofErr w:type="spellEnd"/>
      <w:r w:rsidR="00E705C5">
        <w:t xml:space="preserve"> - "abgeschnittenes Land") als </w:t>
      </w:r>
      <w:proofErr w:type="spellStart"/>
      <w:r w:rsidR="00E705C5">
        <w:t>γῆν</w:t>
      </w:r>
      <w:proofErr w:type="spellEnd"/>
      <w:r w:rsidR="00E705C5">
        <w:t xml:space="preserve"> ἄβα</w:t>
      </w:r>
      <w:proofErr w:type="spellStart"/>
      <w:r w:rsidR="00E705C5">
        <w:t>τον</w:t>
      </w:r>
      <w:proofErr w:type="spellEnd"/>
      <w:r w:rsidR="00E705C5">
        <w:t xml:space="preserve"> (unzugängliches Land), was eine landschaftliche statt einer juridischen Beschreibung verwendet.</w:t>
      </w:r>
    </w:p>
    <w:p w14:paraId="41F474E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Sündenentsorgung: Sündentragen durch den Bock + Transport in völlig isoliertes Gebiet + endgültige Freilassung. Die Struktur zeigt irreversible Sündenentfernung.</w:t>
      </w:r>
    </w:p>
    <w:p w14:paraId="5A36060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die endgültige Entfernung aller Volkssünden: der Bock trägt sie in ein völlig abgeschnittenes Wüstengebiet, wo sie Israel nicht mehr belasten können.</w:t>
      </w:r>
    </w:p>
    <w:p w14:paraId="65913BC3"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16,23</w:t>
      </w:r>
    </w:p>
    <w:p w14:paraId="0FAE9B2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וּבָ֤א אַהֲרֹן֙ אֶל־אֹ֣הֶל מוֹעֵ֔ד וּפָשַׁט֙ אֶת־בִּגְדֵ֣י הַבָּ֔ד אֲשֶׁ֥ר לָבַ֖שׁ בְּבֹאֹ֣ו אֶל־הַקֹּ֑דֶשׁ וְהִנִּיחָ֖ם שָֽׁם׃</w:t>
      </w:r>
    </w:p>
    <w:p w14:paraId="388315EA" w14:textId="73C12A1B"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'Aharon soll kommen in das Zelt der Begegnung und soll ausziehen die Kleider aus Leinen, die er angezogen hatte, als er kam in das Heiligtum, und soll sie dort niederlegen.</w:t>
      </w:r>
    </w:p>
    <w:p w14:paraId="17EC7752"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4E78A15">
          <v:rect id="_x0000_i1503" style="width:0;height:1.5pt" o:hralign="center" o:hrstd="t" o:hr="t" fillcolor="#a0a0a0" stroked="f"/>
        </w:pict>
      </w:r>
    </w:p>
    <w:p w14:paraId="65AA38F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ובא אהרן אל־אהל מועד ופשט את־בגדי הבד אשר לבש בבאו אל־הקדש והניחם שם</w:t>
      </w:r>
      <w:r w:rsidRPr="00992CEC">
        <w:rPr>
          <w:rFonts w:eastAsia="Times New Roman" w:cs="Times New Roman"/>
          <w:rtl/>
          <w:lang w:eastAsia="de-DE"/>
        </w:rPr>
        <w:t xml:space="preserve"> </w:t>
      </w:r>
      <w:r w:rsidRPr="00992CEC">
        <w:rPr>
          <w:rFonts w:eastAsia="Times New Roman" w:cs="Times New Roman"/>
          <w:lang w:eastAsia="de-DE"/>
        </w:rPr>
        <w:t xml:space="preserve">zeigt den Kleiderwechsel nach dem Allerheiligsten-Ritual. </w:t>
      </w:r>
      <w:r w:rsidRPr="00992CEC">
        <w:rPr>
          <w:rFonts w:eastAsia="Times New Roman" w:cs="Times New Roman"/>
          <w:b/>
          <w:bCs/>
          <w:rtl/>
          <w:lang w:eastAsia="de-DE"/>
        </w:rPr>
        <w:t>ובא אהרן אל־אהל מועד</w:t>
      </w:r>
      <w:r w:rsidRPr="00992CEC">
        <w:rPr>
          <w:rFonts w:eastAsia="Times New Roman" w:cs="Times New Roman"/>
          <w:rtl/>
          <w:lang w:eastAsia="de-DE"/>
        </w:rPr>
        <w:t xml:space="preserve"> </w:t>
      </w:r>
      <w:r w:rsidRPr="00992CEC">
        <w:rPr>
          <w:rFonts w:eastAsia="Times New Roman" w:cs="Times New Roman"/>
          <w:lang w:eastAsia="de-DE"/>
        </w:rPr>
        <w:t xml:space="preserve">(und Aaron soll kommen in das Zelt der Begegnung) zeigt seine Rückkehr zum Heiligtum. </w:t>
      </w:r>
      <w:r w:rsidRPr="00992CEC">
        <w:rPr>
          <w:rFonts w:eastAsia="Times New Roman" w:cs="Times New Roman"/>
          <w:b/>
          <w:bCs/>
          <w:rtl/>
          <w:lang w:eastAsia="de-DE"/>
        </w:rPr>
        <w:t>ופשט את־בגדי הבד אשר לבש בבאו אל־הקדש</w:t>
      </w:r>
      <w:r w:rsidRPr="00992CEC">
        <w:rPr>
          <w:rFonts w:eastAsia="Times New Roman" w:cs="Times New Roman"/>
          <w:rtl/>
          <w:lang w:eastAsia="de-DE"/>
        </w:rPr>
        <w:t xml:space="preserve"> </w:t>
      </w:r>
      <w:r w:rsidRPr="00992CEC">
        <w:rPr>
          <w:rFonts w:eastAsia="Times New Roman" w:cs="Times New Roman"/>
          <w:lang w:eastAsia="de-DE"/>
        </w:rPr>
        <w:t xml:space="preserve">(und ausziehen die leinenen Kleider, die er angezogen hatte, als er in das Heiligtum kam) - </w:t>
      </w:r>
      <w:r w:rsidRPr="00992CEC">
        <w:rPr>
          <w:rFonts w:eastAsia="Times New Roman" w:cs="Times New Roman"/>
          <w:b/>
          <w:bCs/>
          <w:rtl/>
          <w:lang w:eastAsia="de-DE"/>
        </w:rPr>
        <w:t>פשט</w:t>
      </w:r>
      <w:r w:rsidRPr="00992CEC">
        <w:rPr>
          <w:rFonts w:eastAsia="Times New Roman" w:cs="Times New Roman"/>
          <w:rtl/>
          <w:lang w:eastAsia="de-DE"/>
        </w:rPr>
        <w:t xml:space="preserve"> </w:t>
      </w:r>
      <w:r w:rsidRPr="00992CEC">
        <w:rPr>
          <w:rFonts w:eastAsia="Times New Roman" w:cs="Times New Roman"/>
          <w:lang w:eastAsia="de-DE"/>
        </w:rPr>
        <w:t xml:space="preserve">(ausziehen) im Qal-Perfekt, </w:t>
      </w:r>
      <w:r w:rsidRPr="00992CEC">
        <w:rPr>
          <w:rFonts w:eastAsia="Times New Roman" w:cs="Times New Roman"/>
          <w:b/>
          <w:bCs/>
          <w:rtl/>
          <w:lang w:eastAsia="de-DE"/>
        </w:rPr>
        <w:t>בגדי הבד</w:t>
      </w:r>
      <w:r w:rsidRPr="00992CEC">
        <w:rPr>
          <w:rFonts w:eastAsia="Times New Roman" w:cs="Times New Roman"/>
          <w:rtl/>
          <w:lang w:eastAsia="de-DE"/>
        </w:rPr>
        <w:t xml:space="preserve"> </w:t>
      </w:r>
      <w:r w:rsidRPr="00992CEC">
        <w:rPr>
          <w:rFonts w:eastAsia="Times New Roman" w:cs="Times New Roman"/>
          <w:lang w:eastAsia="de-DE"/>
        </w:rPr>
        <w:t>(die leinenen Kleider) aus V. 4.</w:t>
      </w:r>
    </w:p>
    <w:p w14:paraId="4E57393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והניחם שם</w:t>
      </w:r>
      <w:r w:rsidRPr="00992CEC">
        <w:rPr>
          <w:rFonts w:eastAsia="Times New Roman" w:cs="Times New Roman"/>
          <w:rtl/>
          <w:lang w:eastAsia="de-DE"/>
        </w:rPr>
        <w:t xml:space="preserve"> </w:t>
      </w:r>
      <w:r w:rsidRPr="00992CEC">
        <w:rPr>
          <w:rFonts w:eastAsia="Times New Roman" w:cs="Times New Roman"/>
          <w:lang w:eastAsia="de-DE"/>
        </w:rPr>
        <w:t xml:space="preserve">(und sie dort niederlegen) - </w:t>
      </w:r>
      <w:r w:rsidRPr="00992CEC">
        <w:rPr>
          <w:rFonts w:eastAsia="Times New Roman" w:cs="Times New Roman"/>
          <w:b/>
          <w:bCs/>
          <w:rtl/>
          <w:lang w:eastAsia="de-DE"/>
        </w:rPr>
        <w:t>הניח</w:t>
      </w:r>
      <w:r w:rsidRPr="00992CEC">
        <w:rPr>
          <w:rFonts w:eastAsia="Times New Roman" w:cs="Times New Roman"/>
          <w:rtl/>
          <w:lang w:eastAsia="de-DE"/>
        </w:rPr>
        <w:t xml:space="preserve"> </w:t>
      </w:r>
      <w:r w:rsidRPr="00992CEC">
        <w:rPr>
          <w:rFonts w:eastAsia="Times New Roman" w:cs="Times New Roman"/>
          <w:lang w:eastAsia="de-DE"/>
        </w:rPr>
        <w:t>(niederlegen) im Hifil-Perfekt zeigt permanente Deponierung der Kleider im Heiligtum.</w:t>
      </w:r>
    </w:p>
    <w:p w14:paraId="033AA74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אל־אהל מועד</w:t>
      </w:r>
      <w:r w:rsidRPr="00992CEC">
        <w:rPr>
          <w:rFonts w:eastAsia="Times New Roman" w:cs="Times New Roman"/>
          <w:rtl/>
          <w:lang w:eastAsia="de-DE"/>
        </w:rPr>
        <w:t xml:space="preserve"> </w:t>
      </w:r>
      <w:r w:rsidRPr="00992CEC">
        <w:rPr>
          <w:rFonts w:eastAsia="Times New Roman" w:cs="Times New Roman"/>
          <w:lang w:eastAsia="de-DE"/>
        </w:rPr>
        <w:t xml:space="preserve">zeigt Rückkehr zum Heiligen (nicht Allerheiligsten). </w:t>
      </w:r>
      <w:r w:rsidRPr="00992CEC">
        <w:rPr>
          <w:rFonts w:eastAsia="Times New Roman" w:cs="Times New Roman"/>
          <w:b/>
          <w:bCs/>
          <w:rtl/>
          <w:lang w:eastAsia="de-DE"/>
        </w:rPr>
        <w:t>בגדי הבד אשר לבש בבאו אל־הקדש</w:t>
      </w:r>
      <w:r w:rsidRPr="00992CEC">
        <w:rPr>
          <w:rFonts w:eastAsia="Times New Roman" w:cs="Times New Roman"/>
          <w:rtl/>
          <w:lang w:eastAsia="de-DE"/>
        </w:rPr>
        <w:t xml:space="preserve"> </w:t>
      </w:r>
      <w:r w:rsidRPr="00992CEC">
        <w:rPr>
          <w:rFonts w:eastAsia="Times New Roman" w:cs="Times New Roman"/>
          <w:lang w:eastAsia="de-DE"/>
        </w:rPr>
        <w:t xml:space="preserve">erinnert an die besonderen Kleider für das Allerheiligsten-Ritual. </w:t>
      </w:r>
      <w:r w:rsidRPr="00992CEC">
        <w:rPr>
          <w:rFonts w:eastAsia="Times New Roman" w:cs="Times New Roman"/>
          <w:b/>
          <w:bCs/>
          <w:rtl/>
          <w:lang w:eastAsia="de-DE"/>
        </w:rPr>
        <w:t>והניחם שם</w:t>
      </w:r>
      <w:r w:rsidRPr="00992CEC">
        <w:rPr>
          <w:rFonts w:eastAsia="Times New Roman" w:cs="Times New Roman"/>
          <w:rtl/>
          <w:lang w:eastAsia="de-DE"/>
        </w:rPr>
        <w:t xml:space="preserve"> </w:t>
      </w:r>
      <w:r w:rsidRPr="00992CEC">
        <w:rPr>
          <w:rFonts w:eastAsia="Times New Roman" w:cs="Times New Roman"/>
          <w:lang w:eastAsia="de-DE"/>
        </w:rPr>
        <w:t>zeigt, dass diese Kleider nur einmal verwendet werden.</w:t>
      </w:r>
    </w:p>
    <w:p w14:paraId="7C3046C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ופשט</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ἐκδύσετ</w:t>
      </w:r>
      <w:proofErr w:type="spellEnd"/>
      <w:r w:rsidRPr="00992CEC">
        <w:rPr>
          <w:rFonts w:eastAsia="Times New Roman" w:cs="Times New Roman"/>
          <w:lang w:eastAsia="de-DE"/>
        </w:rPr>
        <w:t xml:space="preserve">αι (er wird ausziehen), </w:t>
      </w:r>
      <w:r w:rsidRPr="00992CEC">
        <w:rPr>
          <w:rFonts w:eastAsia="Times New Roman" w:cs="Times New Roman"/>
          <w:b/>
          <w:bCs/>
          <w:rtl/>
          <w:lang w:eastAsia="de-DE"/>
        </w:rPr>
        <w:t>בגדי הבד</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ἱμάτι</w:t>
      </w:r>
      <w:proofErr w:type="spellEnd"/>
      <w:r w:rsidRPr="00992CEC">
        <w:rPr>
          <w:rFonts w:eastAsia="Times New Roman" w:cs="Times New Roman"/>
          <w:lang w:eastAsia="de-DE"/>
        </w:rPr>
        <w:t xml:space="preserve">α </w:t>
      </w:r>
      <w:proofErr w:type="spellStart"/>
      <w:r w:rsidRPr="00992CEC">
        <w:rPr>
          <w:rFonts w:eastAsia="Times New Roman" w:cs="Times New Roman"/>
          <w:lang w:eastAsia="de-DE"/>
        </w:rPr>
        <w:t>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λινᾶ</w:t>
      </w:r>
      <w:proofErr w:type="spellEnd"/>
      <w:r w:rsidRPr="00992CEC">
        <w:rPr>
          <w:rFonts w:eastAsia="Times New Roman" w:cs="Times New Roman"/>
          <w:lang w:eastAsia="de-DE"/>
        </w:rPr>
        <w:t xml:space="preserve"> (die leinenen Kleider) und </w:t>
      </w:r>
      <w:r w:rsidRPr="00992CEC">
        <w:rPr>
          <w:rFonts w:eastAsia="Times New Roman" w:cs="Times New Roman"/>
          <w:b/>
          <w:bCs/>
          <w:rtl/>
          <w:lang w:eastAsia="de-DE"/>
        </w:rPr>
        <w:t>והניחם שם</w:t>
      </w:r>
      <w:r w:rsidRPr="00992CEC">
        <w:rPr>
          <w:rFonts w:eastAsia="Times New Roman" w:cs="Times New Roman"/>
          <w:rtl/>
          <w:lang w:eastAsia="de-DE"/>
        </w:rPr>
        <w:t xml:space="preserve"> </w:t>
      </w:r>
      <w:r w:rsidRPr="00992CEC">
        <w:rPr>
          <w:rFonts w:eastAsia="Times New Roman" w:cs="Times New Roman"/>
          <w:lang w:eastAsia="de-DE"/>
        </w:rPr>
        <w:t>mit κατα</w:t>
      </w:r>
      <w:proofErr w:type="spellStart"/>
      <w:r w:rsidRPr="00992CEC">
        <w:rPr>
          <w:rFonts w:eastAsia="Times New Roman" w:cs="Times New Roman"/>
          <w:lang w:eastAsia="de-DE"/>
        </w:rPr>
        <w:t>θήσει</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ὐτὰ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ἐκεῖ</w:t>
      </w:r>
      <w:proofErr w:type="spellEnd"/>
      <w:r w:rsidRPr="00992CEC">
        <w:rPr>
          <w:rFonts w:eastAsia="Times New Roman" w:cs="Times New Roman"/>
          <w:lang w:eastAsia="de-DE"/>
        </w:rPr>
        <w:t xml:space="preserve"> (er wird sie dort niederlegen).</w:t>
      </w:r>
    </w:p>
    <w:p w14:paraId="63172C8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Die Satzstruktur:</w:t>
      </w:r>
      <w:r w:rsidRPr="00992CEC">
        <w:rPr>
          <w:rFonts w:eastAsia="Times New Roman" w:cs="Times New Roman"/>
          <w:lang w:eastAsia="de-DE"/>
        </w:rPr>
        <w:t xml:space="preserve"> zeigt Ritualübergang: Rückkehr zum Heiligtum + Ausziehen der besonderen Kleider + permanente Niederlegung. Die Struktur zeigt den Übergang von der besonderen zur normalen priesterlichen Funktion.</w:t>
      </w:r>
    </w:p>
    <w:p w14:paraId="0B146D3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den Übergang vom außergewöhnlichen Jom Kippur-Ritual zur normalen priesterlichen Tätigkeit durch Kleiderwechsel.</w:t>
      </w:r>
    </w:p>
    <w:p w14:paraId="29ADE072"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16,24</w:t>
      </w:r>
    </w:p>
    <w:p w14:paraId="0E88419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וְרָחַ֨ץ אֶת־בְּשָׂרֹ֤ו בַמַּ֨יִם֙ בְּמָק֣וֹם קָד֔וֹשׁ וְלָבַ֖שׁ אֶת־בְּגָדָ֑יו וְיָצָ֗א וְעָשָׂ֤ה אֶת־עֹֽלָתוֹ֙ וְאֶת־עֹלַ֣ת הָעָ֔ם וְכִפֶּ֥ר בַּעֲדֹ֖ו וּבְעַ֥ד הָעָֽם׃</w:t>
      </w:r>
    </w:p>
    <w:p w14:paraId="1C4A19D3" w14:textId="2EE0ED0E"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er soll baden sein Fleisch im Wasser an heiliger Stätte und soll anziehen seine Kleider; und er soll hinausgehen und soll machen sein Aufsteigeopfer und das Aufsteigeopfer des Volkes und soll Sühne erwirken für sich und für das Volk.</w:t>
      </w:r>
    </w:p>
    <w:p w14:paraId="61CD7BCE"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1A912EF">
          <v:rect id="_x0000_i1504" style="width:0;height:1.5pt" o:hralign="center" o:hrstd="t" o:hr="t" fillcolor="#a0a0a0" stroked="f"/>
        </w:pict>
      </w:r>
    </w:p>
    <w:p w14:paraId="23138AF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ורחץ את־בשרו במים במקום קדוש ולבש את־בגדיו ויצא ועשה את־עלתו ואת־עלת העם וכפר בעדו ובעד העם</w:t>
      </w:r>
      <w:r w:rsidRPr="00992CEC">
        <w:rPr>
          <w:rFonts w:eastAsia="Times New Roman" w:cs="Times New Roman"/>
          <w:rtl/>
          <w:lang w:eastAsia="de-DE"/>
        </w:rPr>
        <w:t xml:space="preserve"> </w:t>
      </w:r>
      <w:r w:rsidRPr="00992CEC">
        <w:rPr>
          <w:rFonts w:eastAsia="Times New Roman" w:cs="Times New Roman"/>
          <w:lang w:eastAsia="de-DE"/>
        </w:rPr>
        <w:t xml:space="preserve">zeigt die Rückkehr zur normalen priesterlichen Tätigkeit. </w:t>
      </w:r>
      <w:r w:rsidRPr="00992CEC">
        <w:rPr>
          <w:rFonts w:eastAsia="Times New Roman" w:cs="Times New Roman"/>
          <w:b/>
          <w:bCs/>
          <w:rtl/>
          <w:lang w:eastAsia="de-DE"/>
        </w:rPr>
        <w:t>ורחץ את־בשרו במים במקום קדוש</w:t>
      </w:r>
      <w:r w:rsidRPr="00992CEC">
        <w:rPr>
          <w:rFonts w:eastAsia="Times New Roman" w:cs="Times New Roman"/>
          <w:rtl/>
          <w:lang w:eastAsia="de-DE"/>
        </w:rPr>
        <w:t xml:space="preserve"> </w:t>
      </w:r>
      <w:r w:rsidRPr="00992CEC">
        <w:rPr>
          <w:rFonts w:eastAsia="Times New Roman" w:cs="Times New Roman"/>
          <w:lang w:eastAsia="de-DE"/>
        </w:rPr>
        <w:t xml:space="preserve">(und er soll sein Fleisch in Wasser baden an heiliger Stätte) zeigt erforderliche Reinigung nach dem Allerheiligsten-Kontakt. </w:t>
      </w:r>
      <w:r w:rsidRPr="00992CEC">
        <w:rPr>
          <w:rFonts w:eastAsia="Times New Roman" w:cs="Times New Roman"/>
          <w:b/>
          <w:bCs/>
          <w:rtl/>
          <w:lang w:eastAsia="de-DE"/>
        </w:rPr>
        <w:t>ולבש את־בגדיו</w:t>
      </w:r>
      <w:r w:rsidRPr="00992CEC">
        <w:rPr>
          <w:rFonts w:eastAsia="Times New Roman" w:cs="Times New Roman"/>
          <w:rtl/>
          <w:lang w:eastAsia="de-DE"/>
        </w:rPr>
        <w:t xml:space="preserve"> </w:t>
      </w:r>
      <w:r w:rsidRPr="00992CEC">
        <w:rPr>
          <w:rFonts w:eastAsia="Times New Roman" w:cs="Times New Roman"/>
          <w:lang w:eastAsia="de-DE"/>
        </w:rPr>
        <w:t>(und seine Kleider anziehen) zeigt die Rückkehr zu den normalen goldenen Hohepriestergewändern.</w:t>
      </w:r>
    </w:p>
    <w:p w14:paraId="3FC70C9B" w14:textId="4C50877E"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ויצא ועשה את־עלתו ואת־עלת העם</w:t>
      </w:r>
      <w:r w:rsidRPr="00992CEC">
        <w:rPr>
          <w:rFonts w:eastAsia="Times New Roman" w:cs="Times New Roman"/>
          <w:rtl/>
          <w:lang w:eastAsia="de-DE"/>
        </w:rPr>
        <w:t xml:space="preserve"> </w:t>
      </w:r>
      <w:r w:rsidRPr="00992CEC">
        <w:rPr>
          <w:rFonts w:eastAsia="Times New Roman" w:cs="Times New Roman"/>
          <w:lang w:eastAsia="de-DE"/>
        </w:rPr>
        <w:t xml:space="preserve">(und er soll hinausgehen und sein </w:t>
      </w:r>
      <w:r w:rsidR="00CF10E7">
        <w:rPr>
          <w:rFonts w:eastAsia="Times New Roman" w:cs="Times New Roman"/>
          <w:lang w:eastAsia="de-DE"/>
        </w:rPr>
        <w:t>Aufsteigeopfer</w:t>
      </w:r>
      <w:r w:rsidRPr="00992CEC">
        <w:rPr>
          <w:rFonts w:eastAsia="Times New Roman" w:cs="Times New Roman"/>
          <w:lang w:eastAsia="de-DE"/>
        </w:rPr>
        <w:t xml:space="preserve"> und das </w:t>
      </w:r>
      <w:r w:rsidR="00CF10E7">
        <w:rPr>
          <w:rFonts w:eastAsia="Times New Roman" w:cs="Times New Roman"/>
          <w:lang w:eastAsia="de-DE"/>
        </w:rPr>
        <w:t>Aufsteigeopfer</w:t>
      </w:r>
      <w:r w:rsidRPr="00992CEC">
        <w:rPr>
          <w:rFonts w:eastAsia="Times New Roman" w:cs="Times New Roman"/>
          <w:lang w:eastAsia="de-DE"/>
        </w:rPr>
        <w:t xml:space="preserve"> des Volkes bereiten) zeigt die Darbringung der </w:t>
      </w:r>
      <w:r w:rsidR="00CF10E7">
        <w:rPr>
          <w:rFonts w:eastAsia="Times New Roman" w:cs="Times New Roman"/>
          <w:lang w:eastAsia="de-DE"/>
        </w:rPr>
        <w:t>Aufsteigeopfer</w:t>
      </w:r>
      <w:r w:rsidRPr="00992CEC">
        <w:rPr>
          <w:rFonts w:eastAsia="Times New Roman" w:cs="Times New Roman"/>
          <w:lang w:eastAsia="de-DE"/>
        </w:rPr>
        <w:t xml:space="preserve"> aus V. 3 und 5. </w:t>
      </w:r>
      <w:r w:rsidRPr="00992CEC">
        <w:rPr>
          <w:rFonts w:eastAsia="Times New Roman" w:cs="Times New Roman"/>
          <w:b/>
          <w:bCs/>
          <w:rtl/>
          <w:lang w:eastAsia="de-DE"/>
        </w:rPr>
        <w:t>וכפר בעדו ובעד העם</w:t>
      </w:r>
      <w:r w:rsidRPr="00992CEC">
        <w:rPr>
          <w:rFonts w:eastAsia="Times New Roman" w:cs="Times New Roman"/>
          <w:rtl/>
          <w:lang w:eastAsia="de-DE"/>
        </w:rPr>
        <w:t xml:space="preserve"> </w:t>
      </w:r>
      <w:r w:rsidRPr="00992CEC">
        <w:rPr>
          <w:rFonts w:eastAsia="Times New Roman" w:cs="Times New Roman"/>
          <w:lang w:eastAsia="de-DE"/>
        </w:rPr>
        <w:t xml:space="preserve">(und Sühne erwirken für sich und für das Volk) vervollständigt die Sühne durch die </w:t>
      </w:r>
      <w:r w:rsidR="00CF10E7">
        <w:rPr>
          <w:rFonts w:eastAsia="Times New Roman" w:cs="Times New Roman"/>
          <w:lang w:eastAsia="de-DE"/>
        </w:rPr>
        <w:t>Aufsteigeopfer</w:t>
      </w:r>
      <w:r w:rsidRPr="00992CEC">
        <w:rPr>
          <w:rFonts w:eastAsia="Times New Roman" w:cs="Times New Roman"/>
          <w:lang w:eastAsia="de-DE"/>
        </w:rPr>
        <w:t>.</w:t>
      </w:r>
    </w:p>
    <w:p w14:paraId="523B7F35" w14:textId="46CA7EBF"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במקום קדוש</w:t>
      </w:r>
      <w:r w:rsidRPr="00992CEC">
        <w:rPr>
          <w:rFonts w:eastAsia="Times New Roman" w:cs="Times New Roman"/>
          <w:rtl/>
          <w:lang w:eastAsia="de-DE"/>
        </w:rPr>
        <w:t xml:space="preserve"> </w:t>
      </w:r>
      <w:r w:rsidRPr="00992CEC">
        <w:rPr>
          <w:rFonts w:eastAsia="Times New Roman" w:cs="Times New Roman"/>
          <w:lang w:eastAsia="de-DE"/>
        </w:rPr>
        <w:t xml:space="preserve">zeigt rituell geeigneten Waschplatz im Heiligtum. </w:t>
      </w:r>
      <w:r w:rsidRPr="00992CEC">
        <w:rPr>
          <w:rFonts w:eastAsia="Times New Roman" w:cs="Times New Roman"/>
          <w:b/>
          <w:bCs/>
          <w:rtl/>
          <w:lang w:eastAsia="de-DE"/>
        </w:rPr>
        <w:t>את־בגדיו</w:t>
      </w:r>
      <w:r w:rsidRPr="00992CEC">
        <w:rPr>
          <w:rFonts w:eastAsia="Times New Roman" w:cs="Times New Roman"/>
          <w:rtl/>
          <w:lang w:eastAsia="de-DE"/>
        </w:rPr>
        <w:t xml:space="preserve"> </w:t>
      </w:r>
      <w:r w:rsidRPr="00992CEC">
        <w:rPr>
          <w:rFonts w:eastAsia="Times New Roman" w:cs="Times New Roman"/>
          <w:lang w:eastAsia="de-DE"/>
        </w:rPr>
        <w:t xml:space="preserve">(seine Kleider) sind die normalen Hohepriestergewänder im Gegensatz zu </w:t>
      </w:r>
      <w:r w:rsidRPr="00992CEC">
        <w:rPr>
          <w:rFonts w:eastAsia="Times New Roman" w:cs="Times New Roman"/>
          <w:b/>
          <w:bCs/>
          <w:rtl/>
          <w:lang w:eastAsia="de-DE"/>
        </w:rPr>
        <w:t>בגדי הבד</w:t>
      </w:r>
      <w:r w:rsidRPr="00992CEC">
        <w:rPr>
          <w:rFonts w:eastAsia="Times New Roman" w:cs="Times New Roman"/>
          <w:lang w:eastAsia="de-DE"/>
        </w:rPr>
        <w:t xml:space="preserve">. </w:t>
      </w:r>
      <w:r w:rsidRPr="00992CEC">
        <w:rPr>
          <w:rFonts w:eastAsia="Times New Roman" w:cs="Times New Roman"/>
          <w:b/>
          <w:bCs/>
          <w:rtl/>
          <w:lang w:eastAsia="de-DE"/>
        </w:rPr>
        <w:t>את־עלתו ואת־עלת העם</w:t>
      </w:r>
      <w:r w:rsidRPr="00992CEC">
        <w:rPr>
          <w:rFonts w:eastAsia="Times New Roman" w:cs="Times New Roman"/>
          <w:rtl/>
          <w:lang w:eastAsia="de-DE"/>
        </w:rPr>
        <w:t xml:space="preserve"> </w:t>
      </w:r>
      <w:r w:rsidRPr="00992CEC">
        <w:rPr>
          <w:rFonts w:eastAsia="Times New Roman" w:cs="Times New Roman"/>
          <w:lang w:eastAsia="de-DE"/>
        </w:rPr>
        <w:t xml:space="preserve">zeigen die noch ausstehenden </w:t>
      </w:r>
      <w:r w:rsidR="00CF10E7">
        <w:rPr>
          <w:rFonts w:eastAsia="Times New Roman" w:cs="Times New Roman"/>
          <w:lang w:eastAsia="de-DE"/>
        </w:rPr>
        <w:t>Aufsteigeopfer</w:t>
      </w:r>
      <w:r w:rsidRPr="00992CEC">
        <w:rPr>
          <w:rFonts w:eastAsia="Times New Roman" w:cs="Times New Roman"/>
          <w:lang w:eastAsia="de-DE"/>
        </w:rPr>
        <w:t xml:space="preserve"> aus V. 3 und 5.</w:t>
      </w:r>
    </w:p>
    <w:p w14:paraId="4F8BF97B" w14:textId="35F1935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במקום קדוש</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τό</w:t>
      </w:r>
      <w:proofErr w:type="spellEnd"/>
      <w:r w:rsidRPr="00992CEC">
        <w:rPr>
          <w:rFonts w:eastAsia="Times New Roman" w:cs="Times New Roman"/>
          <w:lang w:eastAsia="de-DE"/>
        </w:rPr>
        <w:t xml:space="preserve">πῳ </w:t>
      </w:r>
      <w:proofErr w:type="spellStart"/>
      <w:r w:rsidRPr="00992CEC">
        <w:rPr>
          <w:rFonts w:eastAsia="Times New Roman" w:cs="Times New Roman"/>
          <w:lang w:eastAsia="de-DE"/>
        </w:rPr>
        <w:t>ἁγίῳ</w:t>
      </w:r>
      <w:proofErr w:type="spellEnd"/>
      <w:r w:rsidRPr="00992CEC">
        <w:rPr>
          <w:rFonts w:eastAsia="Times New Roman" w:cs="Times New Roman"/>
          <w:lang w:eastAsia="de-DE"/>
        </w:rPr>
        <w:t xml:space="preserve"> (an heiligem Ort), </w:t>
      </w:r>
      <w:r w:rsidRPr="00992CEC">
        <w:rPr>
          <w:rFonts w:eastAsia="Times New Roman" w:cs="Times New Roman"/>
          <w:b/>
          <w:bCs/>
          <w:rtl/>
          <w:lang w:eastAsia="de-DE"/>
        </w:rPr>
        <w:t>ולבש את־בגדיו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ἐνδύσετ</w:t>
      </w:r>
      <w:proofErr w:type="spellEnd"/>
      <w:r w:rsidRPr="00992CEC">
        <w:rPr>
          <w:rFonts w:eastAsia="Times New Roman" w:cs="Times New Roman"/>
          <w:lang w:eastAsia="de-DE"/>
        </w:rPr>
        <w:t xml:space="preserve">αι </w:t>
      </w:r>
      <w:proofErr w:type="spellStart"/>
      <w:r w:rsidRPr="00992CEC">
        <w:rPr>
          <w:rFonts w:eastAsia="Times New Roman" w:cs="Times New Roman"/>
          <w:lang w:eastAsia="de-DE"/>
        </w:rPr>
        <w:t>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ἱμάτι</w:t>
      </w:r>
      <w:proofErr w:type="spellEnd"/>
      <w:r w:rsidRPr="00992CEC">
        <w:rPr>
          <w:rFonts w:eastAsia="Times New Roman" w:cs="Times New Roman"/>
          <w:lang w:eastAsia="de-DE"/>
        </w:rPr>
        <w:t>α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(er wird seine Kleider anziehen) und </w:t>
      </w:r>
      <w:r w:rsidRPr="00992CEC">
        <w:rPr>
          <w:rFonts w:eastAsia="Times New Roman" w:cs="Times New Roman"/>
          <w:b/>
          <w:bCs/>
          <w:rtl/>
          <w:lang w:eastAsia="de-DE"/>
        </w:rPr>
        <w:t>עלתו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ὁλοκ</w:t>
      </w:r>
      <w:proofErr w:type="spellEnd"/>
      <w:r w:rsidRPr="00992CEC">
        <w:rPr>
          <w:rFonts w:eastAsia="Times New Roman" w:cs="Times New Roman"/>
          <w:lang w:eastAsia="de-DE"/>
        </w:rPr>
        <w:t>αύτωμα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(sein </w:t>
      </w:r>
      <w:r w:rsidR="00CF10E7">
        <w:rPr>
          <w:rFonts w:eastAsia="Times New Roman" w:cs="Times New Roman"/>
          <w:lang w:eastAsia="de-DE"/>
        </w:rPr>
        <w:t>Aufsteigeopfer</w:t>
      </w:r>
      <w:r w:rsidRPr="00992CEC">
        <w:rPr>
          <w:rFonts w:eastAsia="Times New Roman" w:cs="Times New Roman"/>
          <w:lang w:eastAsia="de-DE"/>
        </w:rPr>
        <w:t>).</w:t>
      </w:r>
    </w:p>
    <w:p w14:paraId="47EECCBC" w14:textId="1135E272"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Ritualabschluss: Reinigung + normale Kleidung + Ausgang + </w:t>
      </w:r>
      <w:r w:rsidR="00CF10E7">
        <w:rPr>
          <w:rFonts w:eastAsia="Times New Roman" w:cs="Times New Roman"/>
          <w:lang w:eastAsia="de-DE"/>
        </w:rPr>
        <w:t>Aufsteigeopfer</w:t>
      </w:r>
      <w:r w:rsidRPr="00992CEC">
        <w:rPr>
          <w:rFonts w:eastAsia="Times New Roman" w:cs="Times New Roman"/>
          <w:lang w:eastAsia="de-DE"/>
        </w:rPr>
        <w:t>darbringung + abschließende Sühne. Die Struktur zeigt die Rückkehr zur normalen priesterlichen Routine.</w:t>
      </w:r>
    </w:p>
    <w:p w14:paraId="2F31151A" w14:textId="4B68A486"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 xml:space="preserve">Dieser Vers zeigt Aarons Rückkehr zur normalen Hohepriesterrolle nach dem außergewöhnlichen Jom Kippur-Ritual durch Waschung, Kleiderwechsel und </w:t>
      </w:r>
      <w:r w:rsidR="00CF10E7">
        <w:rPr>
          <w:rFonts w:eastAsia="Times New Roman" w:cs="Times New Roman"/>
          <w:lang w:eastAsia="de-DE"/>
        </w:rPr>
        <w:t>Aufsteigeopfer</w:t>
      </w:r>
      <w:r w:rsidRPr="00992CEC">
        <w:rPr>
          <w:rFonts w:eastAsia="Times New Roman" w:cs="Times New Roman"/>
          <w:lang w:eastAsia="de-DE"/>
        </w:rPr>
        <w:t>darbringung.</w:t>
      </w:r>
    </w:p>
    <w:p w14:paraId="090340E5"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16,25</w:t>
      </w:r>
    </w:p>
    <w:p w14:paraId="5CDD386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וְאֵ֛ת חֵ֥לֶב הַֽחַטָּ֖את יַקְטִ֥יר הַמִּזְבֵּֽחָה׃</w:t>
      </w:r>
    </w:p>
    <w:p w14:paraId="2DC8BB01" w14:textId="2225FD2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Deutsch:</w:t>
      </w:r>
      <w:r w:rsidRPr="00992CEC">
        <w:rPr>
          <w:rFonts w:eastAsia="Times New Roman" w:cs="Times New Roman"/>
          <w:lang w:eastAsia="de-DE"/>
        </w:rPr>
        <w:t xml:space="preserve"> </w:t>
      </w:r>
      <w:r w:rsidR="002F2494">
        <w:t>Und das Fett des Sündopfers soll er in Rauch aufgehen lassen auf dem Altar.</w:t>
      </w:r>
    </w:p>
    <w:p w14:paraId="08BAE012"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E48235B">
          <v:rect id="_x0000_i1505" style="width:0;height:1.5pt" o:hralign="center" o:hrstd="t" o:hr="t" fillcolor="#a0a0a0" stroked="f"/>
        </w:pict>
      </w:r>
    </w:p>
    <w:p w14:paraId="0432C9B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ואת חלב החטאת יקטיר המזבחה</w:t>
      </w:r>
      <w:r w:rsidRPr="00992CEC">
        <w:rPr>
          <w:rFonts w:eastAsia="Times New Roman" w:cs="Times New Roman"/>
          <w:rtl/>
          <w:lang w:eastAsia="de-DE"/>
        </w:rPr>
        <w:t xml:space="preserve"> </w:t>
      </w:r>
      <w:r w:rsidRPr="00992CEC">
        <w:rPr>
          <w:rFonts w:eastAsia="Times New Roman" w:cs="Times New Roman"/>
          <w:lang w:eastAsia="de-DE"/>
        </w:rPr>
        <w:t xml:space="preserve">vervollständigt die Sündopferbehandlung. </w:t>
      </w:r>
      <w:r w:rsidRPr="00992CEC">
        <w:rPr>
          <w:rFonts w:eastAsia="Times New Roman" w:cs="Times New Roman"/>
          <w:b/>
          <w:bCs/>
          <w:rtl/>
          <w:lang w:eastAsia="de-DE"/>
        </w:rPr>
        <w:t>ואת חלב החטאת יקטיר המזבחה</w:t>
      </w:r>
      <w:r w:rsidRPr="00992CEC">
        <w:rPr>
          <w:rFonts w:eastAsia="Times New Roman" w:cs="Times New Roman"/>
          <w:rtl/>
          <w:lang w:eastAsia="de-DE"/>
        </w:rPr>
        <w:t xml:space="preserve"> </w:t>
      </w:r>
      <w:r w:rsidRPr="00992CEC">
        <w:rPr>
          <w:rFonts w:eastAsia="Times New Roman" w:cs="Times New Roman"/>
          <w:lang w:eastAsia="de-DE"/>
        </w:rPr>
        <w:t xml:space="preserve">(und das Fett des Sündopfers soll er auf dem Altar in Rauch aufgehen lassen) - </w:t>
      </w:r>
      <w:r w:rsidRPr="00992CEC">
        <w:rPr>
          <w:rFonts w:eastAsia="Times New Roman" w:cs="Times New Roman"/>
          <w:b/>
          <w:bCs/>
          <w:rtl/>
          <w:lang w:eastAsia="de-DE"/>
        </w:rPr>
        <w:t>חלב החטאת</w:t>
      </w:r>
      <w:r w:rsidRPr="00992CEC">
        <w:rPr>
          <w:rFonts w:eastAsia="Times New Roman" w:cs="Times New Roman"/>
          <w:rtl/>
          <w:lang w:eastAsia="de-DE"/>
        </w:rPr>
        <w:t xml:space="preserve"> </w:t>
      </w:r>
      <w:r w:rsidRPr="00992CEC">
        <w:rPr>
          <w:rFonts w:eastAsia="Times New Roman" w:cs="Times New Roman"/>
          <w:lang w:eastAsia="de-DE"/>
        </w:rPr>
        <w:t xml:space="preserve">(das Fett des Sündopfers) bezieht sich auf die Sündopfer aus V. 11 und 15, </w:t>
      </w:r>
      <w:r w:rsidRPr="00992CEC">
        <w:rPr>
          <w:rFonts w:eastAsia="Times New Roman" w:cs="Times New Roman"/>
          <w:b/>
          <w:bCs/>
          <w:rtl/>
          <w:lang w:eastAsia="de-DE"/>
        </w:rPr>
        <w:t>יקטיר המזבחה</w:t>
      </w:r>
      <w:r w:rsidRPr="00992CEC">
        <w:rPr>
          <w:rFonts w:eastAsia="Times New Roman" w:cs="Times New Roman"/>
          <w:rtl/>
          <w:lang w:eastAsia="de-DE"/>
        </w:rPr>
        <w:t xml:space="preserve"> </w:t>
      </w:r>
      <w:r w:rsidRPr="00992CEC">
        <w:rPr>
          <w:rFonts w:eastAsia="Times New Roman" w:cs="Times New Roman"/>
          <w:lang w:eastAsia="de-DE"/>
        </w:rPr>
        <w:t>(soll er auf dem Altar in Rauch aufgehen lassen) zeigt die normale Fettverbrennung.</w:t>
      </w:r>
    </w:p>
    <w:p w14:paraId="2B7032C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החטאת</w:t>
      </w:r>
      <w:r w:rsidRPr="00992CEC">
        <w:rPr>
          <w:rFonts w:eastAsia="Times New Roman" w:cs="Times New Roman"/>
          <w:rtl/>
          <w:lang w:eastAsia="de-DE"/>
        </w:rPr>
        <w:t xml:space="preserve"> </w:t>
      </w:r>
      <w:r w:rsidRPr="00992CEC">
        <w:rPr>
          <w:rFonts w:eastAsia="Times New Roman" w:cs="Times New Roman"/>
          <w:lang w:eastAsia="de-DE"/>
        </w:rPr>
        <w:t xml:space="preserve">im Singular fasst beide Sündopfer (Stier und Bock) zusammen. </w:t>
      </w:r>
      <w:r w:rsidRPr="00992CEC">
        <w:rPr>
          <w:rFonts w:eastAsia="Times New Roman" w:cs="Times New Roman"/>
          <w:b/>
          <w:bCs/>
          <w:rtl/>
          <w:lang w:eastAsia="de-DE"/>
        </w:rPr>
        <w:t>יקטיר המזבחה</w:t>
      </w:r>
      <w:r w:rsidRPr="00992CEC">
        <w:rPr>
          <w:rFonts w:eastAsia="Times New Roman" w:cs="Times New Roman"/>
          <w:rtl/>
          <w:lang w:eastAsia="de-DE"/>
        </w:rPr>
        <w:t xml:space="preserve"> </w:t>
      </w:r>
      <w:r w:rsidRPr="00992CEC">
        <w:rPr>
          <w:rFonts w:eastAsia="Times New Roman" w:cs="Times New Roman"/>
          <w:lang w:eastAsia="de-DE"/>
        </w:rPr>
        <w:t>entspricht dem normalen Sündopferverfahren, bei dem das Fett verbrannt wird, während Fleisch und Haut außerhalb des Lagers verbrannt werden.</w:t>
      </w:r>
    </w:p>
    <w:p w14:paraId="0A593EA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חלב החטאת</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τὸ</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στέ</w:t>
      </w:r>
      <w:proofErr w:type="spellEnd"/>
      <w:r w:rsidRPr="00992CEC">
        <w:rPr>
          <w:rFonts w:eastAsia="Times New Roman" w:cs="Times New Roman"/>
          <w:lang w:eastAsia="de-DE"/>
        </w:rPr>
        <w:t xml:space="preserve">αρ </w:t>
      </w:r>
      <w:proofErr w:type="spellStart"/>
      <w:r w:rsidRPr="00992CEC">
        <w:rPr>
          <w:rFonts w:eastAsia="Times New Roman" w:cs="Times New Roman"/>
          <w:lang w:eastAsia="de-DE"/>
        </w:rPr>
        <w:t>τῆς</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ἁμ</w:t>
      </w:r>
      <w:proofErr w:type="spellEnd"/>
      <w:r w:rsidRPr="00992CEC">
        <w:rPr>
          <w:rFonts w:eastAsia="Times New Roman" w:cs="Times New Roman"/>
          <w:lang w:eastAsia="de-DE"/>
        </w:rPr>
        <w:t xml:space="preserve">αρτίας (das Fett der Sünde) und </w:t>
      </w:r>
      <w:r w:rsidRPr="00992CEC">
        <w:rPr>
          <w:rFonts w:eastAsia="Times New Roman" w:cs="Times New Roman"/>
          <w:b/>
          <w:bCs/>
          <w:rtl/>
          <w:lang w:eastAsia="de-DE"/>
        </w:rPr>
        <w:t>יקטיר</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ἀνοίσει</w:t>
      </w:r>
      <w:proofErr w:type="spellEnd"/>
      <w:r w:rsidRPr="00992CEC">
        <w:rPr>
          <w:rFonts w:eastAsia="Times New Roman" w:cs="Times New Roman"/>
          <w:lang w:eastAsia="de-DE"/>
        </w:rPr>
        <w:t xml:space="preserve"> (er wird darbringen).</w:t>
      </w:r>
    </w:p>
    <w:p w14:paraId="1CC5939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Normalverfahren: Fettverbrennung der Sündopfer auf dem Altar. Die knappe Struktur zeigt die routinemäßige Behandlung dieses Ritualteils.</w:t>
      </w:r>
    </w:p>
    <w:p w14:paraId="62BCCD0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vervollständigt die normale Sündopferbehandlung durch Verbrennung des Fetts auf dem Altar.</w:t>
      </w:r>
    </w:p>
    <w:p w14:paraId="00130521"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16,26</w:t>
      </w:r>
    </w:p>
    <w:p w14:paraId="74B8663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וְהַֽמְשַׁלֵּ֤חַ אֶת־הַשָּׂעִיר֙ לַֽעֲזָאזֵ֔ל יְכַבֵּ֣ס בְּגָדָ֔יו וְרָחַ֥ץ אֶת־בְּשָׂרֹ֖ו בַּמָּ֑יִם וְאַחֲרֵי־כֵ֖ן יָב֥וֹא אֶל־הַֽמַּחֲנֶֽה׃</w:t>
      </w:r>
    </w:p>
    <w:p w14:paraId="6135C0F7" w14:textId="706F2848"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der, der den Bock zu Asasel führt, soll waschen seine Kleider und soll baden sein Fleisch im Wasser, und danach soll er kommen in das Lager.</w:t>
      </w:r>
    </w:p>
    <w:p w14:paraId="6638B6BE"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70812D4D">
          <v:rect id="_x0000_i1506" style="width:0;height:1.5pt" o:hralign="center" o:hrstd="t" o:hr="t" fillcolor="#a0a0a0" stroked="f"/>
        </w:pict>
      </w:r>
    </w:p>
    <w:p w14:paraId="28C7904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והמשלח את־השעיר לעזאזל יכבס בגדיו ורחץ את־בשרו במים ואחרי־כן יבוא אל־המחנה</w:t>
      </w:r>
      <w:r w:rsidRPr="00992CEC">
        <w:rPr>
          <w:rFonts w:eastAsia="Times New Roman" w:cs="Times New Roman"/>
          <w:rtl/>
          <w:lang w:eastAsia="de-DE"/>
        </w:rPr>
        <w:t xml:space="preserve"> </w:t>
      </w:r>
      <w:r w:rsidRPr="00992CEC">
        <w:rPr>
          <w:rFonts w:eastAsia="Times New Roman" w:cs="Times New Roman"/>
          <w:lang w:eastAsia="de-DE"/>
        </w:rPr>
        <w:t xml:space="preserve">zeigt die Reinigung des Asasel-Boten. </w:t>
      </w:r>
      <w:r w:rsidRPr="00992CEC">
        <w:rPr>
          <w:rFonts w:eastAsia="Times New Roman" w:cs="Times New Roman"/>
          <w:b/>
          <w:bCs/>
          <w:rtl/>
          <w:lang w:eastAsia="de-DE"/>
        </w:rPr>
        <w:t>והמשלח את־השעיר לעזאזל</w:t>
      </w:r>
      <w:r w:rsidRPr="00992CEC">
        <w:rPr>
          <w:rFonts w:eastAsia="Times New Roman" w:cs="Times New Roman"/>
          <w:rtl/>
          <w:lang w:eastAsia="de-DE"/>
        </w:rPr>
        <w:t xml:space="preserve"> </w:t>
      </w:r>
      <w:r w:rsidRPr="00992CEC">
        <w:rPr>
          <w:rFonts w:eastAsia="Times New Roman" w:cs="Times New Roman"/>
          <w:lang w:eastAsia="de-DE"/>
        </w:rPr>
        <w:t xml:space="preserve">(und der, der den Bock zu Asasel führt) - </w:t>
      </w:r>
      <w:r w:rsidRPr="00992CEC">
        <w:rPr>
          <w:rFonts w:eastAsia="Times New Roman" w:cs="Times New Roman"/>
          <w:b/>
          <w:bCs/>
          <w:rtl/>
          <w:lang w:eastAsia="de-DE"/>
        </w:rPr>
        <w:t>המשלח</w:t>
      </w:r>
      <w:r w:rsidRPr="00992CEC">
        <w:rPr>
          <w:rFonts w:eastAsia="Times New Roman" w:cs="Times New Roman"/>
          <w:rtl/>
          <w:lang w:eastAsia="de-DE"/>
        </w:rPr>
        <w:t xml:space="preserve"> </w:t>
      </w:r>
      <w:r w:rsidRPr="00992CEC">
        <w:rPr>
          <w:rFonts w:eastAsia="Times New Roman" w:cs="Times New Roman"/>
          <w:lang w:eastAsia="de-DE"/>
        </w:rPr>
        <w:t xml:space="preserve">(der Führende) als Partizip bezeichnet den </w:t>
      </w:r>
      <w:r w:rsidRPr="00992CEC">
        <w:rPr>
          <w:rFonts w:eastAsia="Times New Roman" w:cs="Times New Roman"/>
          <w:b/>
          <w:bCs/>
          <w:rtl/>
          <w:lang w:eastAsia="de-DE"/>
        </w:rPr>
        <w:t>איש עתי</w:t>
      </w:r>
      <w:r w:rsidRPr="00992CEC">
        <w:rPr>
          <w:rFonts w:eastAsia="Times New Roman" w:cs="Times New Roman"/>
          <w:rtl/>
          <w:lang w:eastAsia="de-DE"/>
        </w:rPr>
        <w:t xml:space="preserve"> </w:t>
      </w:r>
      <w:r w:rsidRPr="00992CEC">
        <w:rPr>
          <w:rFonts w:eastAsia="Times New Roman" w:cs="Times New Roman"/>
          <w:lang w:eastAsia="de-DE"/>
        </w:rPr>
        <w:t xml:space="preserve">aus V. 21. </w:t>
      </w:r>
      <w:r w:rsidRPr="00992CEC">
        <w:rPr>
          <w:rFonts w:eastAsia="Times New Roman" w:cs="Times New Roman"/>
          <w:b/>
          <w:bCs/>
          <w:rtl/>
          <w:lang w:eastAsia="de-DE"/>
        </w:rPr>
        <w:t>יכבס בגדיו ורחץ את־בשרו במים</w:t>
      </w:r>
      <w:r w:rsidRPr="00992CEC">
        <w:rPr>
          <w:rFonts w:eastAsia="Times New Roman" w:cs="Times New Roman"/>
          <w:rtl/>
          <w:lang w:eastAsia="de-DE"/>
        </w:rPr>
        <w:t xml:space="preserve"> </w:t>
      </w:r>
      <w:r w:rsidRPr="00992CEC">
        <w:rPr>
          <w:rFonts w:eastAsia="Times New Roman" w:cs="Times New Roman"/>
          <w:lang w:eastAsia="de-DE"/>
        </w:rPr>
        <w:t>entspricht den Standardreinigungsmaßnahmen bei Unreinheitskontakt.</w:t>
      </w:r>
    </w:p>
    <w:p w14:paraId="0AF609C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ואחרי־כן יבוא אל־המחנה</w:t>
      </w:r>
      <w:r w:rsidRPr="00992CEC">
        <w:rPr>
          <w:rFonts w:eastAsia="Times New Roman" w:cs="Times New Roman"/>
          <w:rtl/>
          <w:lang w:eastAsia="de-DE"/>
        </w:rPr>
        <w:t xml:space="preserve"> </w:t>
      </w:r>
      <w:r w:rsidRPr="00992CEC">
        <w:rPr>
          <w:rFonts w:eastAsia="Times New Roman" w:cs="Times New Roman"/>
          <w:lang w:eastAsia="de-DE"/>
        </w:rPr>
        <w:t>(und danach soll er ins Lager kommen) zeigt temporäre Isolation bis zur Reinigung.</w:t>
      </w:r>
    </w:p>
    <w:p w14:paraId="1BE1A39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המשלח את־השעיר לעזאזל</w:t>
      </w:r>
      <w:r w:rsidRPr="00992CEC">
        <w:rPr>
          <w:rFonts w:eastAsia="Times New Roman" w:cs="Times New Roman"/>
          <w:rtl/>
          <w:lang w:eastAsia="de-DE"/>
        </w:rPr>
        <w:t xml:space="preserve"> </w:t>
      </w:r>
      <w:r w:rsidRPr="00992CEC">
        <w:rPr>
          <w:rFonts w:eastAsia="Times New Roman" w:cs="Times New Roman"/>
          <w:lang w:eastAsia="de-DE"/>
        </w:rPr>
        <w:t xml:space="preserve">zeigt, dass der Kontakt mit dem sündentragenden Bock Unreinheit verursacht. </w:t>
      </w:r>
      <w:r w:rsidRPr="00992CEC">
        <w:rPr>
          <w:rFonts w:eastAsia="Times New Roman" w:cs="Times New Roman"/>
          <w:b/>
          <w:bCs/>
          <w:rtl/>
          <w:lang w:eastAsia="de-DE"/>
        </w:rPr>
        <w:t>יכבס בגדיו ורחץ את־בשרו</w:t>
      </w:r>
      <w:r w:rsidRPr="00992CEC">
        <w:rPr>
          <w:rFonts w:eastAsia="Times New Roman" w:cs="Times New Roman"/>
          <w:rtl/>
          <w:lang w:eastAsia="de-DE"/>
        </w:rPr>
        <w:t xml:space="preserve"> </w:t>
      </w:r>
      <w:r w:rsidRPr="00992CEC">
        <w:rPr>
          <w:rFonts w:eastAsia="Times New Roman" w:cs="Times New Roman"/>
          <w:lang w:eastAsia="de-DE"/>
        </w:rPr>
        <w:t xml:space="preserve">zeigt notwendige Reinigung nach dem Asasel-Ritual. </w:t>
      </w:r>
      <w:r w:rsidRPr="00992CEC">
        <w:rPr>
          <w:rFonts w:eastAsia="Times New Roman" w:cs="Times New Roman"/>
          <w:b/>
          <w:bCs/>
          <w:rtl/>
          <w:lang w:eastAsia="de-DE"/>
        </w:rPr>
        <w:t>ואחרי־כן יבוא אל־המחנה</w:t>
      </w:r>
      <w:r w:rsidRPr="00992CEC">
        <w:rPr>
          <w:rFonts w:eastAsia="Times New Roman" w:cs="Times New Roman"/>
          <w:rtl/>
          <w:lang w:eastAsia="de-DE"/>
        </w:rPr>
        <w:t xml:space="preserve"> </w:t>
      </w:r>
      <w:r w:rsidRPr="00992CEC">
        <w:rPr>
          <w:rFonts w:eastAsia="Times New Roman" w:cs="Times New Roman"/>
          <w:lang w:eastAsia="de-DE"/>
        </w:rPr>
        <w:t>zeigt, dass die Reinigung Voraussetzung für die Rückkehr ist.</w:t>
      </w:r>
    </w:p>
    <w:p w14:paraId="3A4D5CE0" w14:textId="606AA78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המשלח את־השעיר לעזאזל</w:t>
      </w:r>
      <w:r w:rsidR="00E705C5">
        <w:t xml:space="preserve"> (</w:t>
      </w:r>
      <w:proofErr w:type="spellStart"/>
      <w:r w:rsidR="00E705C5">
        <w:t>hameshalleach</w:t>
      </w:r>
      <w:proofErr w:type="spellEnd"/>
      <w:r w:rsidR="00E705C5">
        <w:t xml:space="preserve"> et-</w:t>
      </w:r>
      <w:proofErr w:type="spellStart"/>
      <w:r w:rsidR="00E705C5">
        <w:t>hasair</w:t>
      </w:r>
      <w:proofErr w:type="spellEnd"/>
      <w:r w:rsidR="00E705C5">
        <w:t xml:space="preserve"> </w:t>
      </w:r>
      <w:proofErr w:type="spellStart"/>
      <w:r w:rsidR="00E705C5">
        <w:t>la'azazel</w:t>
      </w:r>
      <w:proofErr w:type="spellEnd"/>
      <w:r w:rsidR="00E705C5">
        <w:t xml:space="preserve">) als ὁ </w:t>
      </w:r>
      <w:proofErr w:type="spellStart"/>
      <w:r w:rsidR="00E705C5">
        <w:t>ἐξ</w:t>
      </w:r>
      <w:proofErr w:type="spellEnd"/>
      <w:r w:rsidR="00E705C5">
        <w:t xml:space="preserve">αποστέλλων </w:t>
      </w:r>
      <w:proofErr w:type="spellStart"/>
      <w:r w:rsidR="00E705C5">
        <w:t>τὸν</w:t>
      </w:r>
      <w:proofErr w:type="spellEnd"/>
      <w:r w:rsidR="00E705C5">
        <w:t xml:space="preserve"> </w:t>
      </w:r>
      <w:proofErr w:type="spellStart"/>
      <w:r w:rsidR="00E705C5">
        <w:t>χίμ</w:t>
      </w:r>
      <w:proofErr w:type="spellEnd"/>
      <w:r w:rsidR="00E705C5">
        <w:t xml:space="preserve">αρον </w:t>
      </w:r>
      <w:proofErr w:type="spellStart"/>
      <w:r w:rsidR="00E705C5">
        <w:t>τὸν</w:t>
      </w:r>
      <w:proofErr w:type="spellEnd"/>
      <w:r w:rsidR="00E705C5">
        <w:t xml:space="preserve"> </w:t>
      </w:r>
      <w:proofErr w:type="spellStart"/>
      <w:r w:rsidR="00E705C5">
        <w:t>διεστ</w:t>
      </w:r>
      <w:proofErr w:type="spellEnd"/>
      <w:r w:rsidR="00E705C5">
        <w:t xml:space="preserve">αλμένον </w:t>
      </w:r>
      <w:proofErr w:type="spellStart"/>
      <w:r w:rsidR="00E705C5">
        <w:t>εἰς</w:t>
      </w:r>
      <w:proofErr w:type="spellEnd"/>
      <w:r w:rsidR="00E705C5">
        <w:t xml:space="preserve"> </w:t>
      </w:r>
      <w:proofErr w:type="spellStart"/>
      <w:r w:rsidR="00E705C5">
        <w:t>ἄφεσιν</w:t>
      </w:r>
      <w:proofErr w:type="spellEnd"/>
      <w:r w:rsidR="00E705C5">
        <w:t xml:space="preserve"> (der den ausgesonderten Bock zur Vergebung wegschickt), was Azazel durch eine beschreibende Phrase ersetzt.</w:t>
      </w:r>
    </w:p>
    <w:p w14:paraId="44F0DDB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Die Satzstruktur:</w:t>
      </w:r>
      <w:r w:rsidRPr="00992CEC">
        <w:rPr>
          <w:rFonts w:eastAsia="Times New Roman" w:cs="Times New Roman"/>
          <w:lang w:eastAsia="de-DE"/>
        </w:rPr>
        <w:t xml:space="preserve"> zeigt Kontaminationsfolgen: Asasel-Botenrolle + Standardreinigungsverfahren + bedingte Rückkehr. Die Struktur zeigt, dass das Asasel-Ritual kontaminierend wirkt.</w:t>
      </w:r>
    </w:p>
    <w:p w14:paraId="67773F6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dass der Asasel-Bote durch den Kontakt mit dem sündentragenden Bock unrein wird und sich reinigen muss, bevor er ins Lager zurückkehren kann.</w:t>
      </w:r>
    </w:p>
    <w:p w14:paraId="68207BAA"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16,27</w:t>
      </w:r>
    </w:p>
    <w:p w14:paraId="413526D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וְאֵת֩ פַּ֨ר הַֽחַטָּ֜את וְאֵ֣ת׀ שְׂעִ֣יר הַֽחַטָּ֗את אֲשֶׁ֨ר הוּבָ֤א אֶת־דָּמָם֙ לְכַפֵּ֣ר בַּקֹּ֔דֶשׁ יוֹצִ֖יא אֶל־מִח֣וּץ לַֽמַּחֲנֶ֑ה וְשָׂרְפ֣וּ בָאֵ֔שׁ אֶת־עֹרֹתָ֥ם וְאֶת־בְּשָׂרָ֖ם וְאֶת־פִּרְשָֽׁם׃</w:t>
      </w:r>
    </w:p>
    <w:p w14:paraId="2F20BAA9" w14:textId="40B4759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den Stier des Sündopfers und den Bock des Sündopfers, deren Blut gebracht wurde, um Sühne zu erwirken im Heiligtum, soll man hinausbringen außerhalb des Lagers, und man soll verbrennen im Feuer ihre Häute und ihr Fleisch und ihren Mist.</w:t>
      </w:r>
    </w:p>
    <w:p w14:paraId="15A5BF16"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0F97E12">
          <v:rect id="_x0000_i1507" style="width:0;height:1.5pt" o:hralign="center" o:hrstd="t" o:hr="t" fillcolor="#a0a0a0" stroked="f"/>
        </w:pict>
      </w:r>
    </w:p>
    <w:p w14:paraId="12A072B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ואת פר החטאת ואת שעיר החטאת אשר הובא את־דמם לכפר בקדש יוציא אל־מחוץ למחנה ושרפו באש את־ערתם ואת־בשרם ואת־פרשם</w:t>
      </w:r>
      <w:r w:rsidRPr="00992CEC">
        <w:rPr>
          <w:rFonts w:eastAsia="Times New Roman" w:cs="Times New Roman"/>
          <w:rtl/>
          <w:lang w:eastAsia="de-DE"/>
        </w:rPr>
        <w:t xml:space="preserve"> </w:t>
      </w:r>
      <w:r w:rsidRPr="00992CEC">
        <w:rPr>
          <w:rFonts w:eastAsia="Times New Roman" w:cs="Times New Roman"/>
          <w:lang w:eastAsia="de-DE"/>
        </w:rPr>
        <w:t xml:space="preserve">zeigt die Beseitigung der Sündopferkadaver. </w:t>
      </w:r>
      <w:r w:rsidRPr="00992CEC">
        <w:rPr>
          <w:rFonts w:eastAsia="Times New Roman" w:cs="Times New Roman"/>
          <w:b/>
          <w:bCs/>
          <w:rtl/>
          <w:lang w:eastAsia="de-DE"/>
        </w:rPr>
        <w:t>ואת פר החטאת ואת שעיר החטאת אשר הובא את־דמם לכפר בקדש</w:t>
      </w:r>
      <w:r w:rsidRPr="00992CEC">
        <w:rPr>
          <w:rFonts w:eastAsia="Times New Roman" w:cs="Times New Roman"/>
          <w:rtl/>
          <w:lang w:eastAsia="de-DE"/>
        </w:rPr>
        <w:t xml:space="preserve"> </w:t>
      </w:r>
      <w:r w:rsidRPr="00992CEC">
        <w:rPr>
          <w:rFonts w:eastAsia="Times New Roman" w:cs="Times New Roman"/>
          <w:lang w:eastAsia="de-DE"/>
        </w:rPr>
        <w:t>(und den Stier des Sündopfers und den Bock des Sündopfers, deren Blut hineingebracht wurde, um Sühne zu erwirken im Heiligtum) identifiziert die beiden Sündopfer aus V. 11 und 15, deren Blut ins Allerheiligste gebracht wurde.</w:t>
      </w:r>
    </w:p>
    <w:p w14:paraId="305E2B3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יוציא אל־מחוץ למחנה ושרפו באש את־ערתם ואת־בשרם ואת־פרשם</w:t>
      </w:r>
      <w:r w:rsidRPr="00992CEC">
        <w:rPr>
          <w:rFonts w:eastAsia="Times New Roman" w:cs="Times New Roman"/>
          <w:rtl/>
          <w:lang w:eastAsia="de-DE"/>
        </w:rPr>
        <w:t xml:space="preserve"> </w:t>
      </w:r>
      <w:r w:rsidRPr="00992CEC">
        <w:rPr>
          <w:rFonts w:eastAsia="Times New Roman" w:cs="Times New Roman"/>
          <w:lang w:eastAsia="de-DE"/>
        </w:rPr>
        <w:t xml:space="preserve">(soll man hinausbringen außerhalb des Lagers, und man soll verbrennen im Feuer ihre Häute und ihr Fleisch und ihren Mist) zeigt die vollständige Vernichtung außerhalb des Lagers. </w:t>
      </w:r>
      <w:r w:rsidRPr="00992CEC">
        <w:rPr>
          <w:rFonts w:eastAsia="Times New Roman" w:cs="Times New Roman"/>
          <w:b/>
          <w:bCs/>
          <w:rtl/>
          <w:lang w:eastAsia="de-DE"/>
        </w:rPr>
        <w:t>אל־מחוץ למחנה</w:t>
      </w:r>
      <w:r w:rsidRPr="00992CEC">
        <w:rPr>
          <w:rFonts w:eastAsia="Times New Roman" w:cs="Times New Roman"/>
          <w:rtl/>
          <w:lang w:eastAsia="de-DE"/>
        </w:rPr>
        <w:t xml:space="preserve"> </w:t>
      </w:r>
      <w:r w:rsidRPr="00992CEC">
        <w:rPr>
          <w:rFonts w:eastAsia="Times New Roman" w:cs="Times New Roman"/>
          <w:lang w:eastAsia="de-DE"/>
        </w:rPr>
        <w:t xml:space="preserve">(außerhalb des Lagers) als unreiner Bereich, </w:t>
      </w:r>
      <w:r w:rsidRPr="00992CEC">
        <w:rPr>
          <w:rFonts w:eastAsia="Times New Roman" w:cs="Times New Roman"/>
          <w:b/>
          <w:bCs/>
          <w:rtl/>
          <w:lang w:eastAsia="de-DE"/>
        </w:rPr>
        <w:t>ערתם ובשרם ופרשם</w:t>
      </w:r>
      <w:r w:rsidRPr="00992CEC">
        <w:rPr>
          <w:rFonts w:eastAsia="Times New Roman" w:cs="Times New Roman"/>
          <w:rtl/>
          <w:lang w:eastAsia="de-DE"/>
        </w:rPr>
        <w:t xml:space="preserve"> </w:t>
      </w:r>
      <w:r w:rsidRPr="00992CEC">
        <w:rPr>
          <w:rFonts w:eastAsia="Times New Roman" w:cs="Times New Roman"/>
          <w:lang w:eastAsia="de-DE"/>
        </w:rPr>
        <w:t>(ihre Häute und ihr Fleisch und ihren Mist) umfasst alle Körperteile.</w:t>
      </w:r>
    </w:p>
    <w:p w14:paraId="27AC375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אשר הובא את־דמם לכפר בקדש</w:t>
      </w:r>
      <w:r w:rsidRPr="00992CEC">
        <w:rPr>
          <w:rFonts w:eastAsia="Times New Roman" w:cs="Times New Roman"/>
          <w:rtl/>
          <w:lang w:eastAsia="de-DE"/>
        </w:rPr>
        <w:t xml:space="preserve"> </w:t>
      </w:r>
      <w:r w:rsidRPr="00992CEC">
        <w:rPr>
          <w:rFonts w:eastAsia="Times New Roman" w:cs="Times New Roman"/>
          <w:lang w:eastAsia="de-DE"/>
        </w:rPr>
        <w:t xml:space="preserve">spezifiziert die beiden Sündopfer, deren Blut für Heiligtumssühne verwendet wurde. </w:t>
      </w:r>
      <w:r w:rsidRPr="00992CEC">
        <w:rPr>
          <w:rFonts w:eastAsia="Times New Roman" w:cs="Times New Roman"/>
          <w:b/>
          <w:bCs/>
          <w:rtl/>
          <w:lang w:eastAsia="de-DE"/>
        </w:rPr>
        <w:t>מחוץ למחנה</w:t>
      </w:r>
      <w:r w:rsidRPr="00992CEC">
        <w:rPr>
          <w:rFonts w:eastAsia="Times New Roman" w:cs="Times New Roman"/>
          <w:rtl/>
          <w:lang w:eastAsia="de-DE"/>
        </w:rPr>
        <w:t xml:space="preserve"> </w:t>
      </w:r>
      <w:r w:rsidRPr="00992CEC">
        <w:rPr>
          <w:rFonts w:eastAsia="Times New Roman" w:cs="Times New Roman"/>
          <w:lang w:eastAsia="de-DE"/>
        </w:rPr>
        <w:t xml:space="preserve">zeigt, dass die Kadaver als unrein gelten. </w:t>
      </w:r>
      <w:r w:rsidRPr="00992CEC">
        <w:rPr>
          <w:rFonts w:eastAsia="Times New Roman" w:cs="Times New Roman"/>
          <w:b/>
          <w:bCs/>
          <w:rtl/>
          <w:lang w:eastAsia="de-DE"/>
        </w:rPr>
        <w:t>ערתם ובשרם ופרשם</w:t>
      </w:r>
      <w:r w:rsidRPr="00992CEC">
        <w:rPr>
          <w:rFonts w:eastAsia="Times New Roman" w:cs="Times New Roman"/>
          <w:rtl/>
          <w:lang w:eastAsia="de-DE"/>
        </w:rPr>
        <w:t xml:space="preserve"> </w:t>
      </w:r>
      <w:r w:rsidRPr="00992CEC">
        <w:rPr>
          <w:rFonts w:eastAsia="Times New Roman" w:cs="Times New Roman"/>
          <w:lang w:eastAsia="de-DE"/>
        </w:rPr>
        <w:t>zeigt vollständige Vernichtung aller Reste.</w:t>
      </w:r>
    </w:p>
    <w:p w14:paraId="14D4E3F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אשר הובא את־דמם</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ὧν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εἰσηνέχθη</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τὸ</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ἷμ</w:t>
      </w:r>
      <w:proofErr w:type="spellEnd"/>
      <w:r w:rsidRPr="00992CEC">
        <w:rPr>
          <w:rFonts w:eastAsia="Times New Roman" w:cs="Times New Roman"/>
          <w:lang w:eastAsia="de-DE"/>
        </w:rPr>
        <w:t>α α</w:t>
      </w:r>
      <w:proofErr w:type="spellStart"/>
      <w:r w:rsidRPr="00992CEC">
        <w:rPr>
          <w:rFonts w:eastAsia="Times New Roman" w:cs="Times New Roman"/>
          <w:lang w:eastAsia="de-DE"/>
        </w:rPr>
        <w:t>ὐτῶν</w:t>
      </w:r>
      <w:proofErr w:type="spellEnd"/>
      <w:r w:rsidRPr="00992CEC">
        <w:rPr>
          <w:rFonts w:eastAsia="Times New Roman" w:cs="Times New Roman"/>
          <w:lang w:eastAsia="de-DE"/>
        </w:rPr>
        <w:t xml:space="preserve"> (deren Blut hineingebracht wurde), </w:t>
      </w:r>
      <w:r w:rsidRPr="00992CEC">
        <w:rPr>
          <w:rFonts w:eastAsia="Times New Roman" w:cs="Times New Roman"/>
          <w:b/>
          <w:bCs/>
          <w:rtl/>
          <w:lang w:eastAsia="de-DE"/>
        </w:rPr>
        <w:t>לכפר בקדש</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ἐξιλάσ</w:t>
      </w:r>
      <w:proofErr w:type="spellEnd"/>
      <w:r w:rsidRPr="00992CEC">
        <w:rPr>
          <w:rFonts w:eastAsia="Times New Roman" w:cs="Times New Roman"/>
          <w:lang w:eastAsia="de-DE"/>
        </w:rPr>
        <w:t xml:space="preserve">ασθαι </w:t>
      </w:r>
      <w:proofErr w:type="spellStart"/>
      <w:r w:rsidRPr="00992CEC">
        <w:rPr>
          <w:rFonts w:eastAsia="Times New Roman" w:cs="Times New Roman"/>
          <w:lang w:eastAsia="de-DE"/>
        </w:rPr>
        <w:t>ἐν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τῷ</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ἁγίῳ</w:t>
      </w:r>
      <w:proofErr w:type="spellEnd"/>
      <w:r w:rsidRPr="00992CEC">
        <w:rPr>
          <w:rFonts w:eastAsia="Times New Roman" w:cs="Times New Roman"/>
          <w:lang w:eastAsia="de-DE"/>
        </w:rPr>
        <w:t xml:space="preserve"> (um zu entsühnen im Heiligtum), </w:t>
      </w:r>
      <w:r w:rsidRPr="00992CEC">
        <w:rPr>
          <w:rFonts w:eastAsia="Times New Roman" w:cs="Times New Roman"/>
          <w:b/>
          <w:bCs/>
          <w:rtl/>
          <w:lang w:eastAsia="de-DE"/>
        </w:rPr>
        <w:t>מחוץ למחנה</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ἔξω</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τῆς</w:t>
      </w:r>
      <w:proofErr w:type="spellEnd"/>
      <w:r w:rsidRPr="00992CEC">
        <w:rPr>
          <w:rFonts w:eastAsia="Times New Roman" w:cs="Times New Roman"/>
          <w:lang w:eastAsia="de-DE"/>
        </w:rPr>
        <w:t xml:space="preserve"> πα</w:t>
      </w:r>
      <w:proofErr w:type="spellStart"/>
      <w:r w:rsidRPr="00992CEC">
        <w:rPr>
          <w:rFonts w:eastAsia="Times New Roman" w:cs="Times New Roman"/>
          <w:lang w:eastAsia="de-DE"/>
        </w:rPr>
        <w:t>ρεμ</w:t>
      </w:r>
      <w:proofErr w:type="spellEnd"/>
      <w:r w:rsidRPr="00992CEC">
        <w:rPr>
          <w:rFonts w:eastAsia="Times New Roman" w:cs="Times New Roman"/>
          <w:lang w:eastAsia="de-DE"/>
        </w:rPr>
        <w:t xml:space="preserve">βολῆς (außerhalb des Lagers) und </w:t>
      </w:r>
      <w:r w:rsidRPr="00992CEC">
        <w:rPr>
          <w:rFonts w:eastAsia="Times New Roman" w:cs="Times New Roman"/>
          <w:b/>
          <w:bCs/>
          <w:rtl/>
          <w:lang w:eastAsia="de-DE"/>
        </w:rPr>
        <w:t>ערתם</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δέρμ</w:t>
      </w:r>
      <w:proofErr w:type="spellEnd"/>
      <w:r w:rsidRPr="00992CEC">
        <w:rPr>
          <w:rFonts w:eastAsia="Times New Roman" w:cs="Times New Roman"/>
          <w:lang w:eastAsia="de-DE"/>
        </w:rPr>
        <w:t>ατα α</w:t>
      </w:r>
      <w:proofErr w:type="spellStart"/>
      <w:r w:rsidRPr="00992CEC">
        <w:rPr>
          <w:rFonts w:eastAsia="Times New Roman" w:cs="Times New Roman"/>
          <w:lang w:eastAsia="de-DE"/>
        </w:rPr>
        <w:t>ὐτῶν</w:t>
      </w:r>
      <w:proofErr w:type="spellEnd"/>
      <w:r w:rsidRPr="00992CEC">
        <w:rPr>
          <w:rFonts w:eastAsia="Times New Roman" w:cs="Times New Roman"/>
          <w:lang w:eastAsia="de-DE"/>
        </w:rPr>
        <w:t xml:space="preserve"> (ihre Häute).</w:t>
      </w:r>
    </w:p>
    <w:p w14:paraId="463989B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Kadaverbeseitigung: Identifikation der beiden Allerheiligsten-Sündopfer + Transport außerhalb des Lagers + vollständige Verbrennung aller Reste. Die Struktur zeigt die Unreinheit der für Heiligtumssühne verwendeten Opfertiere.</w:t>
      </w:r>
    </w:p>
    <w:p w14:paraId="2865F4C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dass die beiden Sündopfer, deren Blut für die Heiligtumssühne verwendet wurde, als unrein gelten und vollständig außerhalb des Lagers verbrannt werden müssen.</w:t>
      </w:r>
    </w:p>
    <w:p w14:paraId="6A6D077B"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16,28</w:t>
      </w:r>
    </w:p>
    <w:p w14:paraId="73C4DD8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Hebräisch:</w:t>
      </w:r>
      <w:r w:rsidRPr="00992CEC">
        <w:rPr>
          <w:rFonts w:eastAsia="Times New Roman" w:cs="Times New Roman"/>
          <w:lang w:eastAsia="de-DE"/>
        </w:rPr>
        <w:t xml:space="preserve"> </w:t>
      </w:r>
      <w:r w:rsidRPr="00992CEC">
        <w:rPr>
          <w:rFonts w:eastAsia="Times New Roman" w:cs="Times New Roman"/>
          <w:rtl/>
          <w:lang w:eastAsia="de-DE"/>
        </w:rPr>
        <w:t>וְהַשֹּׂרֵ֣ף אֹתָ֔ם יְכַבֵּ֣ס בְּגָדָ֔יו וְרָחַ֥ץ אֶת־בְּשָׂרֹ֖ו בַּמָּ֑יִם וְאַחֲרֵי־כֵ֖ן יָב֥וֹא אֶל־הַֽמַּחֲנֶֽה׃</w:t>
      </w:r>
    </w:p>
    <w:p w14:paraId="6274BC05" w14:textId="2AEB351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der, der sie verbrennt, soll waschen seine Kleider und soll baden sein Fleisch im Wasser, und danach soll er kommen in das Lager.</w:t>
      </w:r>
    </w:p>
    <w:p w14:paraId="335DFC6F"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6E6634DB">
          <v:rect id="_x0000_i1508" style="width:0;height:1.5pt" o:hralign="center" o:hrstd="t" o:hr="t" fillcolor="#a0a0a0" stroked="f"/>
        </w:pict>
      </w:r>
    </w:p>
    <w:p w14:paraId="37AA086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והשרף אתם יכבס בגדיו ורחץ את־בשרו במים ואחרי־כן יבוא אל־המחנה</w:t>
      </w:r>
      <w:r w:rsidRPr="00992CEC">
        <w:rPr>
          <w:rFonts w:eastAsia="Times New Roman" w:cs="Times New Roman"/>
          <w:rtl/>
          <w:lang w:eastAsia="de-DE"/>
        </w:rPr>
        <w:t xml:space="preserve"> </w:t>
      </w:r>
      <w:r w:rsidRPr="00992CEC">
        <w:rPr>
          <w:rFonts w:eastAsia="Times New Roman" w:cs="Times New Roman"/>
          <w:lang w:eastAsia="de-DE"/>
        </w:rPr>
        <w:t xml:space="preserve">entspricht exakt V. 26 und zeigt die Unreinheit durch Kontakt mit den Sündopferkadavern. </w:t>
      </w:r>
      <w:r w:rsidRPr="00992CEC">
        <w:rPr>
          <w:rFonts w:eastAsia="Times New Roman" w:cs="Times New Roman"/>
          <w:b/>
          <w:bCs/>
          <w:rtl/>
          <w:lang w:eastAsia="de-DE"/>
        </w:rPr>
        <w:t>והשרף אתם</w:t>
      </w:r>
      <w:r w:rsidRPr="00992CEC">
        <w:rPr>
          <w:rFonts w:eastAsia="Times New Roman" w:cs="Times New Roman"/>
          <w:rtl/>
          <w:lang w:eastAsia="de-DE"/>
        </w:rPr>
        <w:t xml:space="preserve"> </w:t>
      </w:r>
      <w:r w:rsidRPr="00992CEC">
        <w:rPr>
          <w:rFonts w:eastAsia="Times New Roman" w:cs="Times New Roman"/>
          <w:lang w:eastAsia="de-DE"/>
        </w:rPr>
        <w:t xml:space="preserve">(und der, der sie verbrennt) - </w:t>
      </w:r>
      <w:r w:rsidRPr="00992CEC">
        <w:rPr>
          <w:rFonts w:eastAsia="Times New Roman" w:cs="Times New Roman"/>
          <w:b/>
          <w:bCs/>
          <w:rtl/>
          <w:lang w:eastAsia="de-DE"/>
        </w:rPr>
        <w:t>השרף</w:t>
      </w:r>
      <w:r w:rsidRPr="00992CEC">
        <w:rPr>
          <w:rFonts w:eastAsia="Times New Roman" w:cs="Times New Roman"/>
          <w:rtl/>
          <w:lang w:eastAsia="de-DE"/>
        </w:rPr>
        <w:t xml:space="preserve"> </w:t>
      </w:r>
      <w:r w:rsidRPr="00992CEC">
        <w:rPr>
          <w:rFonts w:eastAsia="Times New Roman" w:cs="Times New Roman"/>
          <w:lang w:eastAsia="de-DE"/>
        </w:rPr>
        <w:t xml:space="preserve">(der Verbrennende) als Partizip bezeichnet die Person, die die Kadaververbrennung durchführt. </w:t>
      </w:r>
      <w:r w:rsidRPr="00992CEC">
        <w:rPr>
          <w:rFonts w:eastAsia="Times New Roman" w:cs="Times New Roman"/>
          <w:b/>
          <w:bCs/>
          <w:rtl/>
          <w:lang w:eastAsia="de-DE"/>
        </w:rPr>
        <w:t>יכבס בגדיו ורחץ את־בשרו במים ואחרי־כן יבוא אל־המחנה</w:t>
      </w:r>
      <w:r w:rsidRPr="00992CEC">
        <w:rPr>
          <w:rFonts w:eastAsia="Times New Roman" w:cs="Times New Roman"/>
          <w:rtl/>
          <w:lang w:eastAsia="de-DE"/>
        </w:rPr>
        <w:t xml:space="preserve"> </w:t>
      </w:r>
      <w:r w:rsidRPr="00992CEC">
        <w:rPr>
          <w:rFonts w:eastAsia="Times New Roman" w:cs="Times New Roman"/>
          <w:lang w:eastAsia="de-DE"/>
        </w:rPr>
        <w:t>entspricht vollständig V. 26.</w:t>
      </w:r>
    </w:p>
    <w:p w14:paraId="1110A48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 exakte Parallelität zu V. 26 zeigt, dass sowohl der Asasel-Bote als auch der Kadaververbrenner durch ihre Aufgaben unrein werden und dieselbe Reinigung benötigen.</w:t>
      </w:r>
    </w:p>
    <w:p w14:paraId="4685358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entsprechend V. 26 mit identischen griechischen Begriffen.</w:t>
      </w:r>
    </w:p>
    <w:p w14:paraId="7F63250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entspricht exakt V. 26: kontaminierende Tätigkeit + Standardreinigungsverfahren + bedingte Rückkehr. Die identische Struktur zeigt systematische Behandlung aller kontaminierenden Jom Kippur-Tätigkeiten.</w:t>
      </w:r>
    </w:p>
    <w:p w14:paraId="1990651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dass auch die Kadaververbrennung kontaminierend wirkt und dieselbe Reinigung wie der Asasel-Bote erfordert.</w:t>
      </w:r>
    </w:p>
    <w:p w14:paraId="538324C1"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16,29</w:t>
      </w:r>
    </w:p>
    <w:p w14:paraId="6925F48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וְהָיְתָ֥ה לָכֶ֖ם לְחֻקַּ֣ת עוֹלָ֑ם בַּחֹ֣דֶשׁ הַ֠שְּׁבִיעִי בֶּֽעָשׂ֨וֹר לַחֹ֜דֶשׁ תְּעַנּ֣וּ אֶת־נַפְשֹֽׁתֵיכֶ֗ם וְכָל־מְלָאכָה֙ לֹ֣א תַעֲשׂ֔וּ הָֽאֶזְרָ֔ח וְהַגֵּ֖ר הַגָּ֥ר בְּתוֹכְכֶֽם׃</w:t>
      </w:r>
    </w:p>
    <w:p w14:paraId="7023A966" w14:textId="31A75DED"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Und es soll sein euch zur ewigen Satzung: Im siebten Monat, am Zehnten des Monats, sollt ihr kasteien eure Seelen und sollt keinerlei Arbeit tun, der Einheimische und der Fremde, der in eurer Mitte weilt.</w:t>
      </w:r>
    </w:p>
    <w:p w14:paraId="2326A8A4"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620697DD">
          <v:rect id="_x0000_i1509" style="width:0;height:1.5pt" o:hralign="center" o:hrstd="t" o:hr="t" fillcolor="#a0a0a0" stroked="f"/>
        </w:pict>
      </w:r>
    </w:p>
    <w:p w14:paraId="1D20555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והיתה לכם לחקת עולם בחדש השביעי בעשור לחדש תענו את־נפשתיכם וכל־מלאכה לא תעשו האזרח והגר הגר בתוככם</w:t>
      </w:r>
      <w:r w:rsidRPr="00992CEC">
        <w:rPr>
          <w:rFonts w:eastAsia="Times New Roman" w:cs="Times New Roman"/>
          <w:rtl/>
          <w:lang w:eastAsia="de-DE"/>
        </w:rPr>
        <w:t xml:space="preserve"> </w:t>
      </w:r>
      <w:r w:rsidRPr="00992CEC">
        <w:rPr>
          <w:rFonts w:eastAsia="Times New Roman" w:cs="Times New Roman"/>
          <w:lang w:eastAsia="de-DE"/>
        </w:rPr>
        <w:t xml:space="preserve">etabliert den Jom Kippur als jährlichen Feiertag. </w:t>
      </w:r>
      <w:r w:rsidRPr="00992CEC">
        <w:rPr>
          <w:rFonts w:eastAsia="Times New Roman" w:cs="Times New Roman"/>
          <w:b/>
          <w:bCs/>
          <w:rtl/>
          <w:lang w:eastAsia="de-DE"/>
        </w:rPr>
        <w:t>והיתה לכם לחקת עולם</w:t>
      </w:r>
      <w:r w:rsidRPr="00992CEC">
        <w:rPr>
          <w:rFonts w:eastAsia="Times New Roman" w:cs="Times New Roman"/>
          <w:rtl/>
          <w:lang w:eastAsia="de-DE"/>
        </w:rPr>
        <w:t xml:space="preserve"> </w:t>
      </w:r>
      <w:r w:rsidRPr="00992CEC">
        <w:rPr>
          <w:rFonts w:eastAsia="Times New Roman" w:cs="Times New Roman"/>
          <w:lang w:eastAsia="de-DE"/>
        </w:rPr>
        <w:t xml:space="preserve">(und es soll euch sein zur ewigen Satzung) - </w:t>
      </w:r>
      <w:r w:rsidRPr="00992CEC">
        <w:rPr>
          <w:rFonts w:eastAsia="Times New Roman" w:cs="Times New Roman"/>
          <w:b/>
          <w:bCs/>
          <w:rtl/>
          <w:lang w:eastAsia="de-DE"/>
        </w:rPr>
        <w:t>חקת עולם</w:t>
      </w:r>
      <w:r w:rsidRPr="00992CEC">
        <w:rPr>
          <w:rFonts w:eastAsia="Times New Roman" w:cs="Times New Roman"/>
          <w:rtl/>
          <w:lang w:eastAsia="de-DE"/>
        </w:rPr>
        <w:t xml:space="preserve"> </w:t>
      </w:r>
      <w:r w:rsidRPr="00992CEC">
        <w:rPr>
          <w:rFonts w:eastAsia="Times New Roman" w:cs="Times New Roman"/>
          <w:lang w:eastAsia="de-DE"/>
        </w:rPr>
        <w:t>(ewige Satzung) zeigt dauerhafte Gültigkeit für alle Generationen.</w:t>
      </w:r>
    </w:p>
    <w:p w14:paraId="7C7712E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בחדש השביעי בעשור לחדש</w:t>
      </w:r>
      <w:r w:rsidRPr="00992CEC">
        <w:rPr>
          <w:rFonts w:eastAsia="Times New Roman" w:cs="Times New Roman"/>
          <w:rtl/>
          <w:lang w:eastAsia="de-DE"/>
        </w:rPr>
        <w:t xml:space="preserve"> </w:t>
      </w:r>
      <w:r w:rsidRPr="00992CEC">
        <w:rPr>
          <w:rFonts w:eastAsia="Times New Roman" w:cs="Times New Roman"/>
          <w:lang w:eastAsia="de-DE"/>
        </w:rPr>
        <w:t xml:space="preserve">(im siebten Monat, am zehnten des Monats) etabliert den 10. Tischri als festes Datum. </w:t>
      </w:r>
      <w:r w:rsidRPr="00992CEC">
        <w:rPr>
          <w:rFonts w:eastAsia="Times New Roman" w:cs="Times New Roman"/>
          <w:b/>
          <w:bCs/>
          <w:rtl/>
          <w:lang w:eastAsia="de-DE"/>
        </w:rPr>
        <w:t>תענו את־נפשתיכם</w:t>
      </w:r>
      <w:r w:rsidRPr="00992CEC">
        <w:rPr>
          <w:rFonts w:eastAsia="Times New Roman" w:cs="Times New Roman"/>
          <w:rtl/>
          <w:lang w:eastAsia="de-DE"/>
        </w:rPr>
        <w:t xml:space="preserve"> </w:t>
      </w:r>
      <w:r w:rsidRPr="00992CEC">
        <w:rPr>
          <w:rFonts w:eastAsia="Times New Roman" w:cs="Times New Roman"/>
          <w:lang w:eastAsia="de-DE"/>
        </w:rPr>
        <w:t xml:space="preserve">(sollt ihr eure Seelen kasteien) - </w:t>
      </w:r>
      <w:r w:rsidRPr="00992CEC">
        <w:rPr>
          <w:rFonts w:eastAsia="Times New Roman" w:cs="Times New Roman"/>
          <w:b/>
          <w:bCs/>
          <w:rtl/>
          <w:lang w:eastAsia="de-DE"/>
        </w:rPr>
        <w:t>ענה נפש</w:t>
      </w:r>
      <w:r w:rsidRPr="00992CEC">
        <w:rPr>
          <w:rFonts w:eastAsia="Times New Roman" w:cs="Times New Roman"/>
          <w:rtl/>
          <w:lang w:eastAsia="de-DE"/>
        </w:rPr>
        <w:t xml:space="preserve"> </w:t>
      </w:r>
      <w:r w:rsidRPr="00992CEC">
        <w:rPr>
          <w:rFonts w:eastAsia="Times New Roman" w:cs="Times New Roman"/>
          <w:lang w:eastAsia="de-DE"/>
        </w:rPr>
        <w:t xml:space="preserve">als technischer Begriff für Fasten und Selbstkasteiung. </w:t>
      </w:r>
      <w:r w:rsidRPr="00992CEC">
        <w:rPr>
          <w:rFonts w:eastAsia="Times New Roman" w:cs="Times New Roman"/>
          <w:b/>
          <w:bCs/>
          <w:rtl/>
          <w:lang w:eastAsia="de-DE"/>
        </w:rPr>
        <w:t>וכל־מלאכה לא תעשו</w:t>
      </w:r>
      <w:r w:rsidRPr="00992CEC">
        <w:rPr>
          <w:rFonts w:eastAsia="Times New Roman" w:cs="Times New Roman"/>
          <w:rtl/>
          <w:lang w:eastAsia="de-DE"/>
        </w:rPr>
        <w:t xml:space="preserve"> </w:t>
      </w:r>
      <w:r w:rsidRPr="00992CEC">
        <w:rPr>
          <w:rFonts w:eastAsia="Times New Roman" w:cs="Times New Roman"/>
          <w:lang w:eastAsia="de-DE"/>
        </w:rPr>
        <w:t>(und keinerlei Arbeit tun) zeigt sabbatähnliche Arbeitsruhe.</w:t>
      </w:r>
    </w:p>
    <w:p w14:paraId="7F1CB3A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האזרח והגר הגר בתוככם</w:t>
      </w:r>
      <w:r w:rsidRPr="00992CEC">
        <w:rPr>
          <w:rFonts w:eastAsia="Times New Roman" w:cs="Times New Roman"/>
          <w:rtl/>
          <w:lang w:eastAsia="de-DE"/>
        </w:rPr>
        <w:t xml:space="preserve"> </w:t>
      </w:r>
      <w:r w:rsidRPr="00992CEC">
        <w:rPr>
          <w:rFonts w:eastAsia="Times New Roman" w:cs="Times New Roman"/>
          <w:lang w:eastAsia="de-DE"/>
        </w:rPr>
        <w:t>(der Einheimische und der Fremde, der in eurer Mitte weilt) zeigt universelle Gültigkeit für alle Bewohner des Landes ohne ethnische Unterscheidung.</w:t>
      </w:r>
    </w:p>
    <w:p w14:paraId="0B2607F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lastRenderedPageBreak/>
        <w:t>חקת עולם</w:t>
      </w:r>
      <w:r w:rsidRPr="00992CEC">
        <w:rPr>
          <w:rFonts w:eastAsia="Times New Roman" w:cs="Times New Roman"/>
          <w:rtl/>
          <w:lang w:eastAsia="de-DE"/>
        </w:rPr>
        <w:t xml:space="preserve"> </w:t>
      </w:r>
      <w:r w:rsidRPr="00992CEC">
        <w:rPr>
          <w:rFonts w:eastAsia="Times New Roman" w:cs="Times New Roman"/>
          <w:lang w:eastAsia="de-DE"/>
        </w:rPr>
        <w:t xml:space="preserve">betont die dauerhafte Verpflichtung. </w:t>
      </w:r>
      <w:r w:rsidRPr="00992CEC">
        <w:rPr>
          <w:rFonts w:eastAsia="Times New Roman" w:cs="Times New Roman"/>
          <w:b/>
          <w:bCs/>
          <w:rtl/>
          <w:lang w:eastAsia="de-DE"/>
        </w:rPr>
        <w:t>בחדש השביעי בעשור לחדש</w:t>
      </w:r>
      <w:r w:rsidRPr="00992CEC">
        <w:rPr>
          <w:rFonts w:eastAsia="Times New Roman" w:cs="Times New Roman"/>
          <w:rtl/>
          <w:lang w:eastAsia="de-DE"/>
        </w:rPr>
        <w:t xml:space="preserve"> </w:t>
      </w:r>
      <w:r w:rsidRPr="00992CEC">
        <w:rPr>
          <w:rFonts w:eastAsia="Times New Roman" w:cs="Times New Roman"/>
          <w:lang w:eastAsia="de-DE"/>
        </w:rPr>
        <w:t xml:space="preserve">etabliert das feste jährliche Datum. </w:t>
      </w:r>
      <w:r w:rsidRPr="00992CEC">
        <w:rPr>
          <w:rFonts w:eastAsia="Times New Roman" w:cs="Times New Roman"/>
          <w:b/>
          <w:bCs/>
          <w:rtl/>
          <w:lang w:eastAsia="de-DE"/>
        </w:rPr>
        <w:t>ענו את־נפשתיכם</w:t>
      </w:r>
      <w:r w:rsidRPr="00992CEC">
        <w:rPr>
          <w:rFonts w:eastAsia="Times New Roman" w:cs="Times New Roman"/>
          <w:rtl/>
          <w:lang w:eastAsia="de-DE"/>
        </w:rPr>
        <w:t xml:space="preserve"> </w:t>
      </w:r>
      <w:r w:rsidRPr="00992CEC">
        <w:rPr>
          <w:rFonts w:eastAsia="Times New Roman" w:cs="Times New Roman"/>
          <w:lang w:eastAsia="de-DE"/>
        </w:rPr>
        <w:t xml:space="preserve">als zentrale Volkspflicht. </w:t>
      </w:r>
      <w:r w:rsidRPr="00992CEC">
        <w:rPr>
          <w:rFonts w:eastAsia="Times New Roman" w:cs="Times New Roman"/>
          <w:b/>
          <w:bCs/>
          <w:rtl/>
          <w:lang w:eastAsia="de-DE"/>
        </w:rPr>
        <w:t>האזרח והגר</w:t>
      </w:r>
      <w:r w:rsidRPr="00992CEC">
        <w:rPr>
          <w:rFonts w:eastAsia="Times New Roman" w:cs="Times New Roman"/>
          <w:rtl/>
          <w:lang w:eastAsia="de-DE"/>
        </w:rPr>
        <w:t xml:space="preserve"> </w:t>
      </w:r>
      <w:r w:rsidRPr="00992CEC">
        <w:rPr>
          <w:rFonts w:eastAsia="Times New Roman" w:cs="Times New Roman"/>
          <w:lang w:eastAsia="de-DE"/>
        </w:rPr>
        <w:t>zeigt Inklusion aller Bewohner.</w:t>
      </w:r>
    </w:p>
    <w:p w14:paraId="4D0D0611" w14:textId="7C29FDCD"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תענו את־נפשתיכם</w:t>
      </w:r>
      <w:r w:rsidR="00E705C5">
        <w:t xml:space="preserve"> (</w:t>
      </w:r>
      <w:proofErr w:type="spellStart"/>
      <w:r w:rsidR="00E705C5">
        <w:t>te'annu</w:t>
      </w:r>
      <w:proofErr w:type="spellEnd"/>
      <w:r w:rsidR="00E705C5">
        <w:t xml:space="preserve"> et-</w:t>
      </w:r>
      <w:proofErr w:type="spellStart"/>
      <w:r w:rsidR="00E705C5">
        <w:t>nafshotechem</w:t>
      </w:r>
      <w:proofErr w:type="spellEnd"/>
      <w:r w:rsidR="00E705C5">
        <w:t xml:space="preserve"> - "ihr sollt eure Seelen demütigen") als ταπ</w:t>
      </w:r>
      <w:proofErr w:type="spellStart"/>
      <w:r w:rsidR="00E705C5">
        <w:t>εινώσετε</w:t>
      </w:r>
      <w:proofErr w:type="spellEnd"/>
      <w:r w:rsidR="00E705C5">
        <w:t xml:space="preserve"> </w:t>
      </w:r>
      <w:proofErr w:type="spellStart"/>
      <w:r w:rsidR="00E705C5">
        <w:t>τὰς</w:t>
      </w:r>
      <w:proofErr w:type="spellEnd"/>
      <w:r w:rsidR="00E705C5">
        <w:t xml:space="preserve"> </w:t>
      </w:r>
      <w:proofErr w:type="spellStart"/>
      <w:r w:rsidR="00E705C5">
        <w:t>ψυχὰς</w:t>
      </w:r>
      <w:proofErr w:type="spellEnd"/>
      <w:r w:rsidR="00E705C5">
        <w:t xml:space="preserve"> </w:t>
      </w:r>
      <w:proofErr w:type="spellStart"/>
      <w:r w:rsidR="00E705C5">
        <w:t>ὑμῶν</w:t>
      </w:r>
      <w:proofErr w:type="spellEnd"/>
      <w:r w:rsidR="00E705C5">
        <w:t xml:space="preserve"> (ihr sollt eure Seelen erniedrigen), verwendet aber das gleiche Verb wie für Fasten.</w:t>
      </w:r>
    </w:p>
    <w:p w14:paraId="07AEAAD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Institutionalisierung: ewige Gültigkeit + festes Datum + Volkspflichten + universelle Anwendung. Die Struktur etabliert den Jom Kippur als zentrale jährliche Institution.</w:t>
      </w:r>
    </w:p>
    <w:p w14:paraId="52DDE7A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institutionalisiert den Jom Kippur als ewigen jährlichen Feiertag am 10. Tischri mit Fasten und Arbeitsruhe für alle Bewohner.</w:t>
      </w:r>
    </w:p>
    <w:p w14:paraId="260DE0AB"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16,30</w:t>
      </w:r>
    </w:p>
    <w:p w14:paraId="7D70CD8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כִּֽי־בַיּ֥וֹם הַזֶּ֛ה יְכַפֵּ֥ר עֲלֵיכֶ֖ם לְטַהֵ֣ר אֶתְכֶ֑ם מִכֹּל֙ חַטֹּ֣אתֵיכֶ֔ם לִפְנֵ֥י יְהוָ֖ה תִּטְהָֽרוּ׃</w:t>
      </w:r>
    </w:p>
    <w:p w14:paraId="6B895981" w14:textId="03DDB450"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Denn an diesem Tag wird er Sühne erwirken für euch, um euch zu reinigen: von allen euren Sünden sollt ihr rein sein vor dem Angesicht des Ewigen.</w:t>
      </w:r>
    </w:p>
    <w:p w14:paraId="0F3BA32D"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1FCDF1D">
          <v:rect id="_x0000_i1510" style="width:0;height:1.5pt" o:hralign="center" o:hrstd="t" o:hr="t" fillcolor="#a0a0a0" stroked="f"/>
        </w:pict>
      </w:r>
    </w:p>
    <w:p w14:paraId="7DEFABD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כי־ביום הזה יכפר עליכם לטהר אתכם מכל חטאתיכם לפני יהוה תטהרו</w:t>
      </w:r>
      <w:r w:rsidRPr="00992CEC">
        <w:rPr>
          <w:rFonts w:eastAsia="Times New Roman" w:cs="Times New Roman"/>
          <w:rtl/>
          <w:lang w:eastAsia="de-DE"/>
        </w:rPr>
        <w:t xml:space="preserve"> </w:t>
      </w:r>
      <w:r w:rsidRPr="00992CEC">
        <w:rPr>
          <w:rFonts w:eastAsia="Times New Roman" w:cs="Times New Roman"/>
          <w:lang w:eastAsia="de-DE"/>
        </w:rPr>
        <w:t xml:space="preserve">zeigt den theologischen Zweck des Jom Kippur. </w:t>
      </w:r>
      <w:r w:rsidRPr="00992CEC">
        <w:rPr>
          <w:rFonts w:eastAsia="Times New Roman" w:cs="Times New Roman"/>
          <w:b/>
          <w:bCs/>
          <w:rtl/>
          <w:lang w:eastAsia="de-DE"/>
        </w:rPr>
        <w:t>כי־ביום הזה יכפר עליכם לטהר אתכם</w:t>
      </w:r>
      <w:r w:rsidRPr="00992CEC">
        <w:rPr>
          <w:rFonts w:eastAsia="Times New Roman" w:cs="Times New Roman"/>
          <w:rtl/>
          <w:lang w:eastAsia="de-DE"/>
        </w:rPr>
        <w:t xml:space="preserve"> </w:t>
      </w:r>
      <w:r w:rsidRPr="00992CEC">
        <w:rPr>
          <w:rFonts w:eastAsia="Times New Roman" w:cs="Times New Roman"/>
          <w:lang w:eastAsia="de-DE"/>
        </w:rPr>
        <w:t xml:space="preserve">(denn an diesem Tag wird er Sühne für euch erwirken, um euch zu reinigen) - </w:t>
      </w:r>
      <w:r w:rsidRPr="00992CEC">
        <w:rPr>
          <w:rFonts w:eastAsia="Times New Roman" w:cs="Times New Roman"/>
          <w:b/>
          <w:bCs/>
          <w:rtl/>
          <w:lang w:eastAsia="de-DE"/>
        </w:rPr>
        <w:t>ביום הזה</w:t>
      </w:r>
      <w:r w:rsidRPr="00992CEC">
        <w:rPr>
          <w:rFonts w:eastAsia="Times New Roman" w:cs="Times New Roman"/>
          <w:rtl/>
          <w:lang w:eastAsia="de-DE"/>
        </w:rPr>
        <w:t xml:space="preserve"> </w:t>
      </w:r>
      <w:r w:rsidRPr="00992CEC">
        <w:rPr>
          <w:rFonts w:eastAsia="Times New Roman" w:cs="Times New Roman"/>
          <w:lang w:eastAsia="de-DE"/>
        </w:rPr>
        <w:t xml:space="preserve">(an diesem Tag) bezieht sich auf den 10. Tischri aus V. 29, </w:t>
      </w:r>
      <w:r w:rsidRPr="00992CEC">
        <w:rPr>
          <w:rFonts w:eastAsia="Times New Roman" w:cs="Times New Roman"/>
          <w:b/>
          <w:bCs/>
          <w:rtl/>
          <w:lang w:eastAsia="de-DE"/>
        </w:rPr>
        <w:t>יכפר עליכם</w:t>
      </w:r>
      <w:r w:rsidRPr="00992CEC">
        <w:rPr>
          <w:rFonts w:eastAsia="Times New Roman" w:cs="Times New Roman"/>
          <w:rtl/>
          <w:lang w:eastAsia="de-DE"/>
        </w:rPr>
        <w:t xml:space="preserve"> </w:t>
      </w:r>
      <w:r w:rsidRPr="00992CEC">
        <w:rPr>
          <w:rFonts w:eastAsia="Times New Roman" w:cs="Times New Roman"/>
          <w:lang w:eastAsia="de-DE"/>
        </w:rPr>
        <w:t xml:space="preserve">(er wird Sühne für euch erwirken) zeigt Aaron als Sühnewirkenden, </w:t>
      </w:r>
      <w:r w:rsidRPr="00992CEC">
        <w:rPr>
          <w:rFonts w:eastAsia="Times New Roman" w:cs="Times New Roman"/>
          <w:b/>
          <w:bCs/>
          <w:rtl/>
          <w:lang w:eastAsia="de-DE"/>
        </w:rPr>
        <w:t>לטהר אתכם</w:t>
      </w:r>
      <w:r w:rsidRPr="00992CEC">
        <w:rPr>
          <w:rFonts w:eastAsia="Times New Roman" w:cs="Times New Roman"/>
          <w:rtl/>
          <w:lang w:eastAsia="de-DE"/>
        </w:rPr>
        <w:t xml:space="preserve"> </w:t>
      </w:r>
      <w:r w:rsidRPr="00992CEC">
        <w:rPr>
          <w:rFonts w:eastAsia="Times New Roman" w:cs="Times New Roman"/>
          <w:lang w:eastAsia="de-DE"/>
        </w:rPr>
        <w:t>(um euch zu reinigen) zeigt den Zweck der Sühne.</w:t>
      </w:r>
    </w:p>
    <w:p w14:paraId="6E9F7326" w14:textId="218D512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מכל חטאתיכם לפני יהוה תטהרו</w:t>
      </w:r>
      <w:r w:rsidRPr="00992CEC">
        <w:rPr>
          <w:rFonts w:eastAsia="Times New Roman" w:cs="Times New Roman"/>
          <w:rtl/>
          <w:lang w:eastAsia="de-DE"/>
        </w:rPr>
        <w:t xml:space="preserve"> </w:t>
      </w:r>
      <w:r w:rsidRPr="00992CEC">
        <w:rPr>
          <w:rFonts w:eastAsia="Times New Roman" w:cs="Times New Roman"/>
          <w:lang w:eastAsia="de-DE"/>
        </w:rPr>
        <w:t xml:space="preserve">(von allen euren Sünden sollt ihr rein sein vor dem </w:t>
      </w:r>
      <w:r w:rsidR="004603C6">
        <w:rPr>
          <w:rFonts w:eastAsia="Times New Roman" w:cs="Times New Roman"/>
          <w:lang w:eastAsia="de-DE"/>
        </w:rPr>
        <w:t>Ewigen</w:t>
      </w:r>
      <w:r w:rsidRPr="00992CEC">
        <w:rPr>
          <w:rFonts w:eastAsia="Times New Roman" w:cs="Times New Roman"/>
          <w:lang w:eastAsia="de-DE"/>
        </w:rPr>
        <w:t xml:space="preserve">) zeigt das Ergebnis. </w:t>
      </w:r>
      <w:r w:rsidRPr="00992CEC">
        <w:rPr>
          <w:rFonts w:eastAsia="Times New Roman" w:cs="Times New Roman"/>
          <w:b/>
          <w:bCs/>
          <w:rtl/>
          <w:lang w:eastAsia="de-DE"/>
        </w:rPr>
        <w:t>מכל חטאתיכם</w:t>
      </w:r>
      <w:r w:rsidRPr="00992CEC">
        <w:rPr>
          <w:rFonts w:eastAsia="Times New Roman" w:cs="Times New Roman"/>
          <w:rtl/>
          <w:lang w:eastAsia="de-DE"/>
        </w:rPr>
        <w:t xml:space="preserve"> </w:t>
      </w:r>
      <w:r w:rsidRPr="00992CEC">
        <w:rPr>
          <w:rFonts w:eastAsia="Times New Roman" w:cs="Times New Roman"/>
          <w:lang w:eastAsia="de-DE"/>
        </w:rPr>
        <w:t xml:space="preserve">(von allen euren Sünden) zeigt umfassende Sündenvergebung, </w:t>
      </w:r>
      <w:r w:rsidRPr="00992CEC">
        <w:rPr>
          <w:rFonts w:eastAsia="Times New Roman" w:cs="Times New Roman"/>
          <w:b/>
          <w:bCs/>
          <w:rtl/>
          <w:lang w:eastAsia="de-DE"/>
        </w:rPr>
        <w:t>לפני יהוה תטהרו</w:t>
      </w:r>
      <w:r w:rsidRPr="00992CEC">
        <w:rPr>
          <w:rFonts w:eastAsia="Times New Roman" w:cs="Times New Roman"/>
          <w:rtl/>
          <w:lang w:eastAsia="de-DE"/>
        </w:rPr>
        <w:t xml:space="preserve"> </w:t>
      </w:r>
      <w:r w:rsidRPr="00992CEC">
        <w:rPr>
          <w:rFonts w:eastAsia="Times New Roman" w:cs="Times New Roman"/>
          <w:lang w:eastAsia="de-DE"/>
        </w:rPr>
        <w:t xml:space="preserve">(vor dem </w:t>
      </w:r>
      <w:r w:rsidR="004603C6">
        <w:rPr>
          <w:rFonts w:eastAsia="Times New Roman" w:cs="Times New Roman"/>
          <w:lang w:eastAsia="de-DE"/>
        </w:rPr>
        <w:t>Ewigen</w:t>
      </w:r>
      <w:r w:rsidRPr="00992CEC">
        <w:rPr>
          <w:rFonts w:eastAsia="Times New Roman" w:cs="Times New Roman"/>
          <w:lang w:eastAsia="de-DE"/>
        </w:rPr>
        <w:t xml:space="preserve"> sollt ihr rein sein) zeigt vollständige kultische Reinheit vor JHWH.</w:t>
      </w:r>
    </w:p>
    <w:p w14:paraId="76116D5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ביום הזה</w:t>
      </w:r>
      <w:r w:rsidRPr="00992CEC">
        <w:rPr>
          <w:rFonts w:eastAsia="Times New Roman" w:cs="Times New Roman"/>
          <w:rtl/>
          <w:lang w:eastAsia="de-DE"/>
        </w:rPr>
        <w:t xml:space="preserve"> </w:t>
      </w:r>
      <w:r w:rsidRPr="00992CEC">
        <w:rPr>
          <w:rFonts w:eastAsia="Times New Roman" w:cs="Times New Roman"/>
          <w:lang w:eastAsia="de-DE"/>
        </w:rPr>
        <w:t xml:space="preserve">zeigt die einzigartige Kraft dieses einen Tages. </w:t>
      </w:r>
      <w:r w:rsidRPr="00992CEC">
        <w:rPr>
          <w:rFonts w:eastAsia="Times New Roman" w:cs="Times New Roman"/>
          <w:b/>
          <w:bCs/>
          <w:rtl/>
          <w:lang w:eastAsia="de-DE"/>
        </w:rPr>
        <w:t>יכפר עליכם לטהר אתכם</w:t>
      </w:r>
      <w:r w:rsidRPr="00992CEC">
        <w:rPr>
          <w:rFonts w:eastAsia="Times New Roman" w:cs="Times New Roman"/>
          <w:rtl/>
          <w:lang w:eastAsia="de-DE"/>
        </w:rPr>
        <w:t xml:space="preserve"> </w:t>
      </w:r>
      <w:r w:rsidRPr="00992CEC">
        <w:rPr>
          <w:rFonts w:eastAsia="Times New Roman" w:cs="Times New Roman"/>
          <w:lang w:eastAsia="de-DE"/>
        </w:rPr>
        <w:t xml:space="preserve">zeigt Sühne als Mittel zur Reinigung. </w:t>
      </w:r>
      <w:r w:rsidRPr="00992CEC">
        <w:rPr>
          <w:rFonts w:eastAsia="Times New Roman" w:cs="Times New Roman"/>
          <w:b/>
          <w:bCs/>
          <w:rtl/>
          <w:lang w:eastAsia="de-DE"/>
        </w:rPr>
        <w:t>מכל חטאתיכם</w:t>
      </w:r>
      <w:r w:rsidRPr="00992CEC">
        <w:rPr>
          <w:rFonts w:eastAsia="Times New Roman" w:cs="Times New Roman"/>
          <w:rtl/>
          <w:lang w:eastAsia="de-DE"/>
        </w:rPr>
        <w:t xml:space="preserve"> </w:t>
      </w:r>
      <w:r w:rsidRPr="00992CEC">
        <w:rPr>
          <w:rFonts w:eastAsia="Times New Roman" w:cs="Times New Roman"/>
          <w:lang w:eastAsia="de-DE"/>
        </w:rPr>
        <w:t xml:space="preserve">betont die vollständige Sündenvergebung. </w:t>
      </w:r>
      <w:r w:rsidRPr="00992CEC">
        <w:rPr>
          <w:rFonts w:eastAsia="Times New Roman" w:cs="Times New Roman"/>
          <w:b/>
          <w:bCs/>
          <w:rtl/>
          <w:lang w:eastAsia="de-DE"/>
        </w:rPr>
        <w:t>לפני יהוה תטהרו</w:t>
      </w:r>
      <w:r w:rsidRPr="00992CEC">
        <w:rPr>
          <w:rFonts w:eastAsia="Times New Roman" w:cs="Times New Roman"/>
          <w:rtl/>
          <w:lang w:eastAsia="de-DE"/>
        </w:rPr>
        <w:t xml:space="preserve"> </w:t>
      </w:r>
      <w:r w:rsidRPr="00992CEC">
        <w:rPr>
          <w:rFonts w:eastAsia="Times New Roman" w:cs="Times New Roman"/>
          <w:lang w:eastAsia="de-DE"/>
        </w:rPr>
        <w:t>zeigt das Ziel: reine Beziehung zu JHWH.</w:t>
      </w:r>
    </w:p>
    <w:p w14:paraId="159BA7A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ביום הזה</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τῇ</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ἡμέρᾳ</w:t>
      </w:r>
      <w:proofErr w:type="spellEnd"/>
      <w:r w:rsidRPr="00992CEC">
        <w:rPr>
          <w:rFonts w:eastAsia="Times New Roman" w:cs="Times New Roman"/>
          <w:lang w:eastAsia="de-DE"/>
        </w:rPr>
        <w:t xml:space="preserve"> τα</w:t>
      </w:r>
      <w:proofErr w:type="spellStart"/>
      <w:r w:rsidRPr="00992CEC">
        <w:rPr>
          <w:rFonts w:eastAsia="Times New Roman" w:cs="Times New Roman"/>
          <w:lang w:eastAsia="de-DE"/>
        </w:rPr>
        <w:t>ύτῃ</w:t>
      </w:r>
      <w:proofErr w:type="spellEnd"/>
      <w:r w:rsidRPr="00992CEC">
        <w:rPr>
          <w:rFonts w:eastAsia="Times New Roman" w:cs="Times New Roman"/>
          <w:lang w:eastAsia="de-DE"/>
        </w:rPr>
        <w:t xml:space="preserve"> (an diesem Tag), </w:t>
      </w:r>
      <w:r w:rsidRPr="00992CEC">
        <w:rPr>
          <w:rFonts w:eastAsia="Times New Roman" w:cs="Times New Roman"/>
          <w:b/>
          <w:bCs/>
          <w:rtl/>
          <w:lang w:eastAsia="de-DE"/>
        </w:rPr>
        <w:t>יכפר עליכם</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ἐξιλάσετ</w:t>
      </w:r>
      <w:proofErr w:type="spellEnd"/>
      <w:r w:rsidRPr="00992CEC">
        <w:rPr>
          <w:rFonts w:eastAsia="Times New Roman" w:cs="Times New Roman"/>
          <w:lang w:eastAsia="de-DE"/>
        </w:rPr>
        <w:t>αι π</w:t>
      </w:r>
      <w:proofErr w:type="spellStart"/>
      <w:r w:rsidRPr="00992CEC">
        <w:rPr>
          <w:rFonts w:eastAsia="Times New Roman" w:cs="Times New Roman"/>
          <w:lang w:eastAsia="de-DE"/>
        </w:rPr>
        <w:t>ερὶ</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ὑμῶν</w:t>
      </w:r>
      <w:proofErr w:type="spellEnd"/>
      <w:r w:rsidRPr="00992CEC">
        <w:rPr>
          <w:rFonts w:eastAsia="Times New Roman" w:cs="Times New Roman"/>
          <w:lang w:eastAsia="de-DE"/>
        </w:rPr>
        <w:t xml:space="preserve"> (er wird für euch entsühnen), </w:t>
      </w:r>
      <w:r w:rsidRPr="00992CEC">
        <w:rPr>
          <w:rFonts w:eastAsia="Times New Roman" w:cs="Times New Roman"/>
          <w:b/>
          <w:bCs/>
          <w:rtl/>
          <w:lang w:eastAsia="de-DE"/>
        </w:rPr>
        <w:t>לטהר אתכם</w:t>
      </w:r>
      <w:r w:rsidRPr="00992CEC">
        <w:rPr>
          <w:rFonts w:eastAsia="Times New Roman" w:cs="Times New Roman"/>
          <w:rtl/>
          <w:lang w:eastAsia="de-DE"/>
        </w:rPr>
        <w:t xml:space="preserve"> </w:t>
      </w:r>
      <w:r w:rsidRPr="00992CEC">
        <w:rPr>
          <w:rFonts w:eastAsia="Times New Roman" w:cs="Times New Roman"/>
          <w:lang w:eastAsia="de-DE"/>
        </w:rPr>
        <w:t>mit καθα</w:t>
      </w:r>
      <w:proofErr w:type="spellStart"/>
      <w:r w:rsidRPr="00992CEC">
        <w:rPr>
          <w:rFonts w:eastAsia="Times New Roman" w:cs="Times New Roman"/>
          <w:lang w:eastAsia="de-DE"/>
        </w:rPr>
        <w:t>ρίσ</w:t>
      </w:r>
      <w:proofErr w:type="spellEnd"/>
      <w:r w:rsidRPr="00992CEC">
        <w:rPr>
          <w:rFonts w:eastAsia="Times New Roman" w:cs="Times New Roman"/>
          <w:lang w:eastAsia="de-DE"/>
        </w:rPr>
        <w:t xml:space="preserve">αι </w:t>
      </w:r>
      <w:proofErr w:type="spellStart"/>
      <w:r w:rsidRPr="00992CEC">
        <w:rPr>
          <w:rFonts w:eastAsia="Times New Roman" w:cs="Times New Roman"/>
          <w:lang w:eastAsia="de-DE"/>
        </w:rPr>
        <w:t>ὑμᾶς</w:t>
      </w:r>
      <w:proofErr w:type="spellEnd"/>
      <w:r w:rsidRPr="00992CEC">
        <w:rPr>
          <w:rFonts w:eastAsia="Times New Roman" w:cs="Times New Roman"/>
          <w:lang w:eastAsia="de-DE"/>
        </w:rPr>
        <w:t xml:space="preserve"> (euch zu reinigen) und </w:t>
      </w:r>
      <w:r w:rsidRPr="00992CEC">
        <w:rPr>
          <w:rFonts w:eastAsia="Times New Roman" w:cs="Times New Roman"/>
          <w:b/>
          <w:bCs/>
          <w:rtl/>
          <w:lang w:eastAsia="de-DE"/>
        </w:rPr>
        <w:t>תטהרו</w:t>
      </w:r>
      <w:r w:rsidRPr="00992CEC">
        <w:rPr>
          <w:rFonts w:eastAsia="Times New Roman" w:cs="Times New Roman"/>
          <w:rtl/>
          <w:lang w:eastAsia="de-DE"/>
        </w:rPr>
        <w:t xml:space="preserve"> </w:t>
      </w:r>
      <w:r w:rsidRPr="00992CEC">
        <w:rPr>
          <w:rFonts w:eastAsia="Times New Roman" w:cs="Times New Roman"/>
          <w:lang w:eastAsia="de-DE"/>
        </w:rPr>
        <w:t>mit καθα</w:t>
      </w:r>
      <w:proofErr w:type="spellStart"/>
      <w:r w:rsidRPr="00992CEC">
        <w:rPr>
          <w:rFonts w:eastAsia="Times New Roman" w:cs="Times New Roman"/>
          <w:lang w:eastAsia="de-DE"/>
        </w:rPr>
        <w:t>ρισθήσεσθε</w:t>
      </w:r>
      <w:proofErr w:type="spellEnd"/>
      <w:r w:rsidRPr="00992CEC">
        <w:rPr>
          <w:rFonts w:eastAsia="Times New Roman" w:cs="Times New Roman"/>
          <w:lang w:eastAsia="de-DE"/>
        </w:rPr>
        <w:t xml:space="preserve"> (ihr werdet gereinigt werden).</w:t>
      </w:r>
    </w:p>
    <w:p w14:paraId="0F7B6273"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Sühneverheißung: zeitliche Spezifikation + priesterliche Sühnewirkung + Reinigungszweck + umfassende Sündenvergebung + vollständige kultische Reinheit vor JHWH. Die Struktur zeigt die einzigartige Vergebungskraft des Jom Kippur.</w:t>
      </w:r>
    </w:p>
    <w:p w14:paraId="0B7C92C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zeigt die zentrale Verheißung des Jom Kippur: vollständige Reinigung von allen Sünden und reine Beziehung zu JHWH.</w:t>
      </w:r>
    </w:p>
    <w:p w14:paraId="451763DC"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lastRenderedPageBreak/>
        <w:t>Leviticus 16,31</w:t>
      </w:r>
    </w:p>
    <w:p w14:paraId="2D5ED60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שַׁבַּ֨ת שַׁבָּת֥וֹן הִיא֙ לָכֶ֔ם וְעִנִּיתֶ֖ם אֶת־נַפְשֹׁתֵיכֶ֑ם חֻקַּ֖ת עוֹלָֽם׃</w:t>
      </w:r>
    </w:p>
    <w:p w14:paraId="2A457B9F" w14:textId="3D5FC6E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2F2494">
        <w:t>Ein Schabbat der Schabbate ist er euch, und ihr sollt kasteien eure Seelen, eine ewige Satzung.</w:t>
      </w:r>
      <w:r w:rsidRPr="00992CEC">
        <w:rPr>
          <w:rFonts w:eastAsia="Times New Roman" w:cs="Times New Roman"/>
          <w:lang w:eastAsia="de-DE"/>
        </w:rPr>
        <w:t>.</w:t>
      </w:r>
    </w:p>
    <w:p w14:paraId="46A45BA0"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D082F9B">
          <v:rect id="_x0000_i1511" style="width:0;height:1.5pt" o:hralign="center" o:hrstd="t" o:hr="t" fillcolor="#a0a0a0" stroked="f"/>
        </w:pict>
      </w:r>
    </w:p>
    <w:p w14:paraId="2A5BF34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שבת שבתון היא לכם ועניתם את־נפשתיכם חקת עולם</w:t>
      </w:r>
      <w:r w:rsidRPr="00992CEC">
        <w:rPr>
          <w:rFonts w:eastAsia="Times New Roman" w:cs="Times New Roman"/>
          <w:rtl/>
          <w:lang w:eastAsia="de-DE"/>
        </w:rPr>
        <w:t xml:space="preserve"> </w:t>
      </w:r>
      <w:r w:rsidRPr="00992CEC">
        <w:rPr>
          <w:rFonts w:eastAsia="Times New Roman" w:cs="Times New Roman"/>
          <w:lang w:eastAsia="de-DE"/>
        </w:rPr>
        <w:t xml:space="preserve">verstärkt die Sabbatqualität des Jom Kippur. </w:t>
      </w:r>
      <w:r w:rsidRPr="00992CEC">
        <w:rPr>
          <w:rFonts w:eastAsia="Times New Roman" w:cs="Times New Roman"/>
          <w:b/>
          <w:bCs/>
          <w:rtl/>
          <w:lang w:eastAsia="de-DE"/>
        </w:rPr>
        <w:t>שבת שבתון היא לכם</w:t>
      </w:r>
      <w:r w:rsidRPr="00992CEC">
        <w:rPr>
          <w:rFonts w:eastAsia="Times New Roman" w:cs="Times New Roman"/>
          <w:rtl/>
          <w:lang w:eastAsia="de-DE"/>
        </w:rPr>
        <w:t xml:space="preserve"> </w:t>
      </w:r>
      <w:r w:rsidRPr="00992CEC">
        <w:rPr>
          <w:rFonts w:eastAsia="Times New Roman" w:cs="Times New Roman"/>
          <w:lang w:eastAsia="de-DE"/>
        </w:rPr>
        <w:t xml:space="preserve">(ein Sabbat der Sabbate ist er euch) - </w:t>
      </w:r>
      <w:r w:rsidRPr="00992CEC">
        <w:rPr>
          <w:rFonts w:eastAsia="Times New Roman" w:cs="Times New Roman"/>
          <w:b/>
          <w:bCs/>
          <w:rtl/>
          <w:lang w:eastAsia="de-DE"/>
        </w:rPr>
        <w:t>שבת שבתון</w:t>
      </w:r>
      <w:r w:rsidRPr="00992CEC">
        <w:rPr>
          <w:rFonts w:eastAsia="Times New Roman" w:cs="Times New Roman"/>
          <w:rtl/>
          <w:lang w:eastAsia="de-DE"/>
        </w:rPr>
        <w:t xml:space="preserve"> </w:t>
      </w:r>
      <w:r w:rsidRPr="00992CEC">
        <w:rPr>
          <w:rFonts w:eastAsia="Times New Roman" w:cs="Times New Roman"/>
          <w:lang w:eastAsia="de-DE"/>
        </w:rPr>
        <w:t xml:space="preserve">als Superlativ zeigt höchste Sabbatheiligkeit, intensiver als der wöchentliche Sabbat. </w:t>
      </w:r>
      <w:r w:rsidRPr="00992CEC">
        <w:rPr>
          <w:rFonts w:eastAsia="Times New Roman" w:cs="Times New Roman"/>
          <w:b/>
          <w:bCs/>
          <w:rtl/>
          <w:lang w:eastAsia="de-DE"/>
        </w:rPr>
        <w:t>ועניתם את־נפשתיכם</w:t>
      </w:r>
      <w:r w:rsidRPr="00992CEC">
        <w:rPr>
          <w:rFonts w:eastAsia="Times New Roman" w:cs="Times New Roman"/>
          <w:rtl/>
          <w:lang w:eastAsia="de-DE"/>
        </w:rPr>
        <w:t xml:space="preserve"> </w:t>
      </w:r>
      <w:r w:rsidRPr="00992CEC">
        <w:rPr>
          <w:rFonts w:eastAsia="Times New Roman" w:cs="Times New Roman"/>
          <w:lang w:eastAsia="de-DE"/>
        </w:rPr>
        <w:t xml:space="preserve">(und ihr sollt eure Seelen kasteien) wiederholt V. 29 und betont die Fastenpflicht. </w:t>
      </w:r>
      <w:r w:rsidRPr="00992CEC">
        <w:rPr>
          <w:rFonts w:eastAsia="Times New Roman" w:cs="Times New Roman"/>
          <w:b/>
          <w:bCs/>
          <w:rtl/>
          <w:lang w:eastAsia="de-DE"/>
        </w:rPr>
        <w:t>חקת עולם</w:t>
      </w:r>
      <w:r w:rsidRPr="00992CEC">
        <w:rPr>
          <w:rFonts w:eastAsia="Times New Roman" w:cs="Times New Roman"/>
          <w:rtl/>
          <w:lang w:eastAsia="de-DE"/>
        </w:rPr>
        <w:t xml:space="preserve"> </w:t>
      </w:r>
      <w:r w:rsidRPr="00992CEC">
        <w:rPr>
          <w:rFonts w:eastAsia="Times New Roman" w:cs="Times New Roman"/>
          <w:lang w:eastAsia="de-DE"/>
        </w:rPr>
        <w:t>(eine ewige Satzung) wiederholt V. 29.</w:t>
      </w:r>
    </w:p>
    <w:p w14:paraId="2491933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שבת שבתון</w:t>
      </w:r>
      <w:r w:rsidRPr="00992CEC">
        <w:rPr>
          <w:rFonts w:eastAsia="Times New Roman" w:cs="Times New Roman"/>
          <w:rtl/>
          <w:lang w:eastAsia="de-DE"/>
        </w:rPr>
        <w:t xml:space="preserve"> </w:t>
      </w:r>
      <w:r w:rsidRPr="00992CEC">
        <w:rPr>
          <w:rFonts w:eastAsia="Times New Roman" w:cs="Times New Roman"/>
          <w:lang w:eastAsia="de-DE"/>
        </w:rPr>
        <w:t xml:space="preserve">als stärkste Form der Sabbatbezeichnung zeigt, dass der Jom Kippur der heiligste Tag des Jahres ist. </w:t>
      </w:r>
      <w:r w:rsidRPr="00992CEC">
        <w:rPr>
          <w:rFonts w:eastAsia="Times New Roman" w:cs="Times New Roman"/>
          <w:b/>
          <w:bCs/>
          <w:rtl/>
          <w:lang w:eastAsia="de-DE"/>
        </w:rPr>
        <w:t>ועניתם את־נפשתיכם</w:t>
      </w:r>
      <w:r w:rsidRPr="00992CEC">
        <w:rPr>
          <w:rFonts w:eastAsia="Times New Roman" w:cs="Times New Roman"/>
          <w:rtl/>
          <w:lang w:eastAsia="de-DE"/>
        </w:rPr>
        <w:t xml:space="preserve"> </w:t>
      </w:r>
      <w:r w:rsidRPr="00992CEC">
        <w:rPr>
          <w:rFonts w:eastAsia="Times New Roman" w:cs="Times New Roman"/>
          <w:lang w:eastAsia="de-DE"/>
        </w:rPr>
        <w:t>unterscheidet den Jom Kippur vom wöchentlichen Sabbat durch die Fastenpflicht.</w:t>
      </w:r>
    </w:p>
    <w:p w14:paraId="7FC947F8" w14:textId="458ED42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שבת שבתון</w:t>
      </w:r>
      <w:r w:rsidR="00E705C5">
        <w:t xml:space="preserve"> (</w:t>
      </w:r>
      <w:proofErr w:type="spellStart"/>
      <w:r w:rsidR="00E705C5">
        <w:t>shabbat</w:t>
      </w:r>
      <w:proofErr w:type="spellEnd"/>
      <w:r w:rsidR="00E705C5">
        <w:t xml:space="preserve"> </w:t>
      </w:r>
      <w:proofErr w:type="spellStart"/>
      <w:r w:rsidR="00E705C5">
        <w:t>shabbaton</w:t>
      </w:r>
      <w:proofErr w:type="spellEnd"/>
      <w:r w:rsidR="00E705C5">
        <w:t xml:space="preserve"> - "Sabbat der Sabbate") als </w:t>
      </w:r>
      <w:proofErr w:type="spellStart"/>
      <w:r w:rsidR="00E705C5">
        <w:t>σά</w:t>
      </w:r>
      <w:proofErr w:type="spellEnd"/>
      <w:r w:rsidR="00E705C5">
        <w:t>ββατα σαββ</w:t>
      </w:r>
      <w:proofErr w:type="spellStart"/>
      <w:r w:rsidR="00E705C5">
        <w:t>άτων</w:t>
      </w:r>
      <w:proofErr w:type="spellEnd"/>
      <w:r w:rsidR="00E705C5">
        <w:t xml:space="preserve"> </w:t>
      </w:r>
      <w:proofErr w:type="spellStart"/>
      <w:r w:rsidR="00E705C5">
        <w:t>ἀνά</w:t>
      </w:r>
      <w:proofErr w:type="spellEnd"/>
      <w:r w:rsidR="00E705C5">
        <w:t>παυσις (Sabbate der Sabbate als Ruhe), was die Intensivierung durch Pluralisierung verstärkt.</w:t>
      </w:r>
    </w:p>
    <w:p w14:paraId="67DAEEA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Intensivierung: superlativische Sabbatbezeichnung + spezifische Fastenpflicht + ewige Gültigkeit. Die knappe Struktur betont die einzigartige Heiligkeit des Jom Kippur.</w:t>
      </w:r>
    </w:p>
    <w:p w14:paraId="550161F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betont die einzigartige Heiligkeit des Jom Kippur als "Sabbat der Sabbate" mit der besonderen Fastenpflicht als ewige Satzung.</w:t>
      </w:r>
    </w:p>
    <w:p w14:paraId="31173105"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16,32</w:t>
      </w:r>
    </w:p>
    <w:p w14:paraId="61C057D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וְכִפֶּ֨ר הַכֹּהֵ֜ן אֲשֶׁר־יִמְשַׁ֣ח אֹתוֹ֗ וַאֲשֶׁ֤ר יְמַלֵּא֙ אֶת־יָדֹ֔ו לְכַהֵ֖ן תַּ֣חַת אָבִ֑יו וְלָבַ֛שׁ אֶת־בִּגְדֵ֥י הַבָּ֖ד בִּגְדֵ֥י הַקֹּֽדֶשׁ׃</w:t>
      </w:r>
    </w:p>
    <w:p w14:paraId="2AF5E650" w14:textId="42C66E3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es soll Sühne erwirken der Priester, den man salben wird und dessen Hand man füllen wird, um als Priester zu dienen anstelle seines Vaters; und er soll anziehen die Kleider aus Leinen, die heiligen Kleider.</w:t>
      </w:r>
    </w:p>
    <w:p w14:paraId="3691486E"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E171F81">
          <v:rect id="_x0000_i1512" style="width:0;height:1.5pt" o:hralign="center" o:hrstd="t" o:hr="t" fillcolor="#a0a0a0" stroked="f"/>
        </w:pict>
      </w:r>
    </w:p>
    <w:p w14:paraId="7E9474B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וכפר הכהן אשר־ימשח אתו ואשר ימלא את־ידו לכהן תחת אביו ולבש את־בגדי הבד בגדי הקדש</w:t>
      </w:r>
      <w:r w:rsidRPr="00992CEC">
        <w:rPr>
          <w:rFonts w:eastAsia="Times New Roman" w:cs="Times New Roman"/>
          <w:rtl/>
          <w:lang w:eastAsia="de-DE"/>
        </w:rPr>
        <w:t xml:space="preserve"> </w:t>
      </w:r>
      <w:r w:rsidRPr="00992CEC">
        <w:rPr>
          <w:rFonts w:eastAsia="Times New Roman" w:cs="Times New Roman"/>
          <w:lang w:eastAsia="de-DE"/>
        </w:rPr>
        <w:t xml:space="preserve">regelt die Nachfolge im Jom Kippur-Ritual. </w:t>
      </w:r>
      <w:r w:rsidRPr="00992CEC">
        <w:rPr>
          <w:rFonts w:eastAsia="Times New Roman" w:cs="Times New Roman"/>
          <w:b/>
          <w:bCs/>
          <w:rtl/>
          <w:lang w:eastAsia="de-DE"/>
        </w:rPr>
        <w:t>וכפר הכהן אשר־ימשח אתו ואשר ימלא את־ידו לכהן תחת אביו</w:t>
      </w:r>
      <w:r w:rsidRPr="00992CEC">
        <w:rPr>
          <w:rFonts w:eastAsia="Times New Roman" w:cs="Times New Roman"/>
          <w:rtl/>
          <w:lang w:eastAsia="de-DE"/>
        </w:rPr>
        <w:t xml:space="preserve"> </w:t>
      </w:r>
      <w:r w:rsidRPr="00992CEC">
        <w:rPr>
          <w:rFonts w:eastAsia="Times New Roman" w:cs="Times New Roman"/>
          <w:lang w:eastAsia="de-DE"/>
        </w:rPr>
        <w:t xml:space="preserve">(und es soll Sühne erwirken der Priester, den man salben wird und dessen Hand man füllen wird, um als Priester zu dienen anstelle seines Vaters) - </w:t>
      </w:r>
      <w:r w:rsidRPr="00992CEC">
        <w:rPr>
          <w:rFonts w:eastAsia="Times New Roman" w:cs="Times New Roman"/>
          <w:b/>
          <w:bCs/>
          <w:rtl/>
          <w:lang w:eastAsia="de-DE"/>
        </w:rPr>
        <w:t>ימשח אתו</w:t>
      </w:r>
      <w:r w:rsidRPr="00992CEC">
        <w:rPr>
          <w:rFonts w:eastAsia="Times New Roman" w:cs="Times New Roman"/>
          <w:rtl/>
          <w:lang w:eastAsia="de-DE"/>
        </w:rPr>
        <w:t xml:space="preserve"> </w:t>
      </w:r>
      <w:r w:rsidRPr="00992CEC">
        <w:rPr>
          <w:rFonts w:eastAsia="Times New Roman" w:cs="Times New Roman"/>
          <w:lang w:eastAsia="de-DE"/>
        </w:rPr>
        <w:t xml:space="preserve">(man wird ihn salben) und </w:t>
      </w:r>
      <w:r w:rsidRPr="00992CEC">
        <w:rPr>
          <w:rFonts w:eastAsia="Times New Roman" w:cs="Times New Roman"/>
          <w:b/>
          <w:bCs/>
          <w:rtl/>
          <w:lang w:eastAsia="de-DE"/>
        </w:rPr>
        <w:t>ימלא את־ידו</w:t>
      </w:r>
      <w:r w:rsidRPr="00992CEC">
        <w:rPr>
          <w:rFonts w:eastAsia="Times New Roman" w:cs="Times New Roman"/>
          <w:rtl/>
          <w:lang w:eastAsia="de-DE"/>
        </w:rPr>
        <w:t xml:space="preserve"> </w:t>
      </w:r>
      <w:r w:rsidRPr="00992CEC">
        <w:rPr>
          <w:rFonts w:eastAsia="Times New Roman" w:cs="Times New Roman"/>
          <w:lang w:eastAsia="de-DE"/>
        </w:rPr>
        <w:t xml:space="preserve">(man wird seine Hand füllen) als die beiden Weiheakte für den Hohepriester, </w:t>
      </w:r>
      <w:r w:rsidRPr="00992CEC">
        <w:rPr>
          <w:rFonts w:eastAsia="Times New Roman" w:cs="Times New Roman"/>
          <w:b/>
          <w:bCs/>
          <w:rtl/>
          <w:lang w:eastAsia="de-DE"/>
        </w:rPr>
        <w:t>תחת אביו</w:t>
      </w:r>
      <w:r w:rsidRPr="00992CEC">
        <w:rPr>
          <w:rFonts w:eastAsia="Times New Roman" w:cs="Times New Roman"/>
          <w:rtl/>
          <w:lang w:eastAsia="de-DE"/>
        </w:rPr>
        <w:t xml:space="preserve"> </w:t>
      </w:r>
      <w:r w:rsidRPr="00992CEC">
        <w:rPr>
          <w:rFonts w:eastAsia="Times New Roman" w:cs="Times New Roman"/>
          <w:lang w:eastAsia="de-DE"/>
        </w:rPr>
        <w:t>(anstelle seines Vaters) zeigt dynastische Nachfolge.</w:t>
      </w:r>
    </w:p>
    <w:p w14:paraId="204F22C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ולבש את־בגדי הבד בגדי הקדש</w:t>
      </w:r>
      <w:r w:rsidRPr="00992CEC">
        <w:rPr>
          <w:rFonts w:eastAsia="Times New Roman" w:cs="Times New Roman"/>
          <w:rtl/>
          <w:lang w:eastAsia="de-DE"/>
        </w:rPr>
        <w:t xml:space="preserve"> </w:t>
      </w:r>
      <w:r w:rsidRPr="00992CEC">
        <w:rPr>
          <w:rFonts w:eastAsia="Times New Roman" w:cs="Times New Roman"/>
          <w:lang w:eastAsia="de-DE"/>
        </w:rPr>
        <w:t>(und er soll anziehen die leinenen Kleider, die heiligen Kleider) zeigt, dass die besonderen Jom Kippur-Gewänder für alle künftigen Hohepriester gelten.</w:t>
      </w:r>
    </w:p>
    <w:p w14:paraId="16F69F23"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lastRenderedPageBreak/>
        <w:t>ימשח</w:t>
      </w:r>
      <w:r w:rsidRPr="00992CEC">
        <w:rPr>
          <w:rFonts w:eastAsia="Times New Roman" w:cs="Times New Roman"/>
          <w:rtl/>
          <w:lang w:eastAsia="de-DE"/>
        </w:rPr>
        <w:t xml:space="preserve"> </w:t>
      </w:r>
      <w:r w:rsidRPr="00992CEC">
        <w:rPr>
          <w:rFonts w:eastAsia="Times New Roman" w:cs="Times New Roman"/>
          <w:lang w:eastAsia="de-DE"/>
        </w:rPr>
        <w:t xml:space="preserve">und </w:t>
      </w:r>
      <w:r w:rsidRPr="00992CEC">
        <w:rPr>
          <w:rFonts w:eastAsia="Times New Roman" w:cs="Times New Roman"/>
          <w:b/>
          <w:bCs/>
          <w:rtl/>
          <w:lang w:eastAsia="de-DE"/>
        </w:rPr>
        <w:t>ימלא את־ידו</w:t>
      </w:r>
      <w:r w:rsidRPr="00992CEC">
        <w:rPr>
          <w:rFonts w:eastAsia="Times New Roman" w:cs="Times New Roman"/>
          <w:rtl/>
          <w:lang w:eastAsia="de-DE"/>
        </w:rPr>
        <w:t xml:space="preserve"> </w:t>
      </w:r>
      <w:r w:rsidRPr="00992CEC">
        <w:rPr>
          <w:rFonts w:eastAsia="Times New Roman" w:cs="Times New Roman"/>
          <w:lang w:eastAsia="de-DE"/>
        </w:rPr>
        <w:t xml:space="preserve">als doppelte Hohepriesterweihe. </w:t>
      </w:r>
      <w:r w:rsidRPr="00992CEC">
        <w:rPr>
          <w:rFonts w:eastAsia="Times New Roman" w:cs="Times New Roman"/>
          <w:b/>
          <w:bCs/>
          <w:rtl/>
          <w:lang w:eastAsia="de-DE"/>
        </w:rPr>
        <w:t>תחת אביו</w:t>
      </w:r>
      <w:r w:rsidRPr="00992CEC">
        <w:rPr>
          <w:rFonts w:eastAsia="Times New Roman" w:cs="Times New Roman"/>
          <w:rtl/>
          <w:lang w:eastAsia="de-DE"/>
        </w:rPr>
        <w:t xml:space="preserve"> </w:t>
      </w:r>
      <w:r w:rsidRPr="00992CEC">
        <w:rPr>
          <w:rFonts w:eastAsia="Times New Roman" w:cs="Times New Roman"/>
          <w:lang w:eastAsia="de-DE"/>
        </w:rPr>
        <w:t xml:space="preserve">zeigt erbliche Nachfolge im Hohepriesteramt. </w:t>
      </w:r>
      <w:r w:rsidRPr="00992CEC">
        <w:rPr>
          <w:rFonts w:eastAsia="Times New Roman" w:cs="Times New Roman"/>
          <w:b/>
          <w:bCs/>
          <w:rtl/>
          <w:lang w:eastAsia="de-DE"/>
        </w:rPr>
        <w:t>בגדי הבד בגדי הקדש</w:t>
      </w:r>
      <w:r w:rsidRPr="00992CEC">
        <w:rPr>
          <w:rFonts w:eastAsia="Times New Roman" w:cs="Times New Roman"/>
          <w:rtl/>
          <w:lang w:eastAsia="de-DE"/>
        </w:rPr>
        <w:t xml:space="preserve"> </w:t>
      </w:r>
      <w:r w:rsidRPr="00992CEC">
        <w:rPr>
          <w:rFonts w:eastAsia="Times New Roman" w:cs="Times New Roman"/>
          <w:lang w:eastAsia="de-DE"/>
        </w:rPr>
        <w:t>mit doppelter Bezeichnung betont die Besonderheit der Jom Kippur-Gewänder.</w:t>
      </w:r>
    </w:p>
    <w:p w14:paraId="0E43CFF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ימשח אתו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χρίσουσιν</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ὐτόν</w:t>
      </w:r>
      <w:proofErr w:type="spellEnd"/>
      <w:r w:rsidRPr="00992CEC">
        <w:rPr>
          <w:rFonts w:eastAsia="Times New Roman" w:cs="Times New Roman"/>
          <w:lang w:eastAsia="de-DE"/>
        </w:rPr>
        <w:t xml:space="preserve"> (sie werden ihn salben), </w:t>
      </w:r>
      <w:r w:rsidRPr="00992CEC">
        <w:rPr>
          <w:rFonts w:eastAsia="Times New Roman" w:cs="Times New Roman"/>
          <w:b/>
          <w:bCs/>
          <w:rtl/>
          <w:lang w:eastAsia="de-DE"/>
        </w:rPr>
        <w:t>ימלא את־ידו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τελειώσουσιν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τὰς</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χεῖρ</w:t>
      </w:r>
      <w:proofErr w:type="spellEnd"/>
      <w:r w:rsidRPr="00992CEC">
        <w:rPr>
          <w:rFonts w:eastAsia="Times New Roman" w:cs="Times New Roman"/>
          <w:lang w:eastAsia="de-DE"/>
        </w:rPr>
        <w:t>ας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(sie werden seine Hände vollenden), </w:t>
      </w:r>
      <w:r w:rsidRPr="00992CEC">
        <w:rPr>
          <w:rFonts w:eastAsia="Times New Roman" w:cs="Times New Roman"/>
          <w:b/>
          <w:bCs/>
          <w:rtl/>
          <w:lang w:eastAsia="de-DE"/>
        </w:rPr>
        <w:t>תחת אביו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ἀντὶ</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τοῦ</w:t>
      </w:r>
      <w:proofErr w:type="spellEnd"/>
      <w:r w:rsidRPr="00992CEC">
        <w:rPr>
          <w:rFonts w:eastAsia="Times New Roman" w:cs="Times New Roman"/>
          <w:lang w:eastAsia="de-DE"/>
        </w:rPr>
        <w:t xml:space="preserve"> πα</w:t>
      </w:r>
      <w:proofErr w:type="spellStart"/>
      <w:r w:rsidRPr="00992CEC">
        <w:rPr>
          <w:rFonts w:eastAsia="Times New Roman" w:cs="Times New Roman"/>
          <w:lang w:eastAsia="de-DE"/>
        </w:rPr>
        <w:t>τρὸς</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(anstelle seines Vaters) und </w:t>
      </w:r>
      <w:r w:rsidRPr="00992CEC">
        <w:rPr>
          <w:rFonts w:eastAsia="Times New Roman" w:cs="Times New Roman"/>
          <w:b/>
          <w:bCs/>
          <w:rtl/>
          <w:lang w:eastAsia="de-DE"/>
        </w:rPr>
        <w:t>בגדי הבד</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ἱμάτι</w:t>
      </w:r>
      <w:proofErr w:type="spellEnd"/>
      <w:r w:rsidRPr="00992CEC">
        <w:rPr>
          <w:rFonts w:eastAsia="Times New Roman" w:cs="Times New Roman"/>
          <w:lang w:eastAsia="de-DE"/>
        </w:rPr>
        <w:t xml:space="preserve">α </w:t>
      </w:r>
      <w:proofErr w:type="spellStart"/>
      <w:r w:rsidRPr="00992CEC">
        <w:rPr>
          <w:rFonts w:eastAsia="Times New Roman" w:cs="Times New Roman"/>
          <w:lang w:eastAsia="de-DE"/>
        </w:rPr>
        <w:t>τὰ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λινᾶ</w:t>
      </w:r>
      <w:proofErr w:type="spellEnd"/>
      <w:r w:rsidRPr="00992CEC">
        <w:rPr>
          <w:rFonts w:eastAsia="Times New Roman" w:cs="Times New Roman"/>
          <w:lang w:eastAsia="de-DE"/>
        </w:rPr>
        <w:t xml:space="preserve"> (die leinenen Kleider).</w:t>
      </w:r>
    </w:p>
    <w:p w14:paraId="5A8D1C4D"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Nachfolgeregelung: künftiger Hohepriester + doppelte Weihezeremonie + dynastische Nachfolge + besondere Amtskleidung. Die Struktur sichert die Kontinuität des Jom Kippur-Rituals.</w:t>
      </w:r>
    </w:p>
    <w:p w14:paraId="7283A84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Dieser Vers sichert die Kontinuität des Jom Kippur-Rituals durch Regelung der Hohepriester-Nachfolge und der besonderen Amtskleidung.</w:t>
      </w:r>
    </w:p>
    <w:p w14:paraId="55381FEE"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16,33</w:t>
      </w:r>
    </w:p>
    <w:p w14:paraId="652DCC7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וְכִפֶּר֙ אֶת־מִקְדַּ֣שׁ הַקֹּ֔דֶשׁ וְאֶת־אֹ֧הֶל מוֹעֵ֛ד וְאֶת־הַמִּזְבֵּ֖חַ יְכַפֵּ֑ר וְעַ֧ל הַכֹּהֲנִ֛ים וְעַל־כָּל־עַ֥ם הַקָּהָ֖ל יְכַפֵּֽר׃</w:t>
      </w:r>
    </w:p>
    <w:p w14:paraId="2909FDB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Und er soll Sühne erwirken für das Heiligtum der Heiligkeit; und für das Zelt der Begegnung und für den Altar soll er Sühne erwirken; und für die Priester und für das ganze Volk der Versammlung soll er Sühne erwirken.</w:t>
      </w:r>
    </w:p>
    <w:p w14:paraId="7F576BC8"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7EC2A8D">
          <v:rect id="_x0000_i1513" style="width:0;height:1.5pt" o:hralign="center" o:hrstd="t" o:hr="t" fillcolor="#a0a0a0" stroked="f"/>
        </w:pict>
      </w:r>
    </w:p>
    <w:p w14:paraId="57CEE61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וכפר את־מקדש הקדש ואת־אהל מועד ואת־המזבח יכפר ועל הכהנים ועל־כל־עם הקהל יכפר</w:t>
      </w:r>
      <w:r w:rsidRPr="00992CEC">
        <w:rPr>
          <w:rFonts w:eastAsia="Times New Roman" w:cs="Times New Roman"/>
          <w:rtl/>
          <w:lang w:eastAsia="de-DE"/>
        </w:rPr>
        <w:t xml:space="preserve"> </w:t>
      </w:r>
      <w:r w:rsidRPr="00992CEC">
        <w:rPr>
          <w:rFonts w:eastAsia="Times New Roman" w:cs="Times New Roman"/>
          <w:lang w:eastAsia="de-DE"/>
        </w:rPr>
        <w:t xml:space="preserve">fasst systematisch alle Sühnebereiche des Jom Kippur zusammen. </w:t>
      </w:r>
      <w:r w:rsidRPr="00992CEC">
        <w:rPr>
          <w:rFonts w:eastAsia="Times New Roman" w:cs="Times New Roman"/>
          <w:b/>
          <w:bCs/>
          <w:rtl/>
          <w:lang w:eastAsia="de-DE"/>
        </w:rPr>
        <w:t>וכפר את־מקדש הקדש ואת־אהל מועד ואת־המזבח יכפר</w:t>
      </w:r>
      <w:r w:rsidRPr="00992CEC">
        <w:rPr>
          <w:rFonts w:eastAsia="Times New Roman" w:cs="Times New Roman"/>
          <w:rtl/>
          <w:lang w:eastAsia="de-DE"/>
        </w:rPr>
        <w:t xml:space="preserve"> </w:t>
      </w:r>
      <w:r w:rsidRPr="00992CEC">
        <w:rPr>
          <w:rFonts w:eastAsia="Times New Roman" w:cs="Times New Roman"/>
          <w:lang w:eastAsia="de-DE"/>
        </w:rPr>
        <w:t xml:space="preserve">(und er soll Sühne erwirken für das Heiligtum der Heiligkeit; und für das Zelt der Begegnung und für den Altar soll er Sühne erwirken) zeigt die drei Heiligtumsbereiche: </w:t>
      </w:r>
      <w:r w:rsidRPr="00992CEC">
        <w:rPr>
          <w:rFonts w:eastAsia="Times New Roman" w:cs="Times New Roman"/>
          <w:b/>
          <w:bCs/>
          <w:rtl/>
          <w:lang w:eastAsia="de-DE"/>
        </w:rPr>
        <w:t>מקדש הקדש</w:t>
      </w:r>
      <w:r w:rsidRPr="00992CEC">
        <w:rPr>
          <w:rFonts w:eastAsia="Times New Roman" w:cs="Times New Roman"/>
          <w:rtl/>
          <w:lang w:eastAsia="de-DE"/>
        </w:rPr>
        <w:t xml:space="preserve"> </w:t>
      </w:r>
      <w:r w:rsidRPr="00992CEC">
        <w:rPr>
          <w:rFonts w:eastAsia="Times New Roman" w:cs="Times New Roman"/>
          <w:lang w:eastAsia="de-DE"/>
        </w:rPr>
        <w:t xml:space="preserve">(das Heiligtum der Heiligkeit = Allerheiligste), </w:t>
      </w:r>
      <w:r w:rsidRPr="00992CEC">
        <w:rPr>
          <w:rFonts w:eastAsia="Times New Roman" w:cs="Times New Roman"/>
          <w:b/>
          <w:bCs/>
          <w:rtl/>
          <w:lang w:eastAsia="de-DE"/>
        </w:rPr>
        <w:t>אהל מועד</w:t>
      </w:r>
      <w:r w:rsidRPr="00992CEC">
        <w:rPr>
          <w:rFonts w:eastAsia="Times New Roman" w:cs="Times New Roman"/>
          <w:rtl/>
          <w:lang w:eastAsia="de-DE"/>
        </w:rPr>
        <w:t xml:space="preserve"> </w:t>
      </w:r>
      <w:r w:rsidRPr="00992CEC">
        <w:rPr>
          <w:rFonts w:eastAsia="Times New Roman" w:cs="Times New Roman"/>
          <w:lang w:eastAsia="de-DE"/>
        </w:rPr>
        <w:t xml:space="preserve">(das Zelt der Begegnung = Heiliges), </w:t>
      </w:r>
      <w:r w:rsidRPr="00992CEC">
        <w:rPr>
          <w:rFonts w:eastAsia="Times New Roman" w:cs="Times New Roman"/>
          <w:b/>
          <w:bCs/>
          <w:rtl/>
          <w:lang w:eastAsia="de-DE"/>
        </w:rPr>
        <w:t>המזבח</w:t>
      </w:r>
      <w:r w:rsidRPr="00992CEC">
        <w:rPr>
          <w:rFonts w:eastAsia="Times New Roman" w:cs="Times New Roman"/>
          <w:rtl/>
          <w:lang w:eastAsia="de-DE"/>
        </w:rPr>
        <w:t xml:space="preserve"> </w:t>
      </w:r>
      <w:r w:rsidRPr="00992CEC">
        <w:rPr>
          <w:rFonts w:eastAsia="Times New Roman" w:cs="Times New Roman"/>
          <w:lang w:eastAsia="de-DE"/>
        </w:rPr>
        <w:t>(der Altar = Vorhof).</w:t>
      </w:r>
    </w:p>
    <w:p w14:paraId="375E0C1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ועל הכהנים ועל־כל־עם הקהל יכפר</w:t>
      </w:r>
      <w:r w:rsidRPr="00992CEC">
        <w:rPr>
          <w:rFonts w:eastAsia="Times New Roman" w:cs="Times New Roman"/>
          <w:rtl/>
          <w:lang w:eastAsia="de-DE"/>
        </w:rPr>
        <w:t xml:space="preserve"> </w:t>
      </w:r>
      <w:r w:rsidRPr="00992CEC">
        <w:rPr>
          <w:rFonts w:eastAsia="Times New Roman" w:cs="Times New Roman"/>
          <w:lang w:eastAsia="de-DE"/>
        </w:rPr>
        <w:t xml:space="preserve">(und für die Priester und für das ganze Volk der Versammlung soll er Sühne erwirken) zeigt die Personensühne: </w:t>
      </w:r>
      <w:r w:rsidRPr="00992CEC">
        <w:rPr>
          <w:rFonts w:eastAsia="Times New Roman" w:cs="Times New Roman"/>
          <w:b/>
          <w:bCs/>
          <w:rtl/>
          <w:lang w:eastAsia="de-DE"/>
        </w:rPr>
        <w:t>הכהנים</w:t>
      </w:r>
      <w:r w:rsidRPr="00992CEC">
        <w:rPr>
          <w:rFonts w:eastAsia="Times New Roman" w:cs="Times New Roman"/>
          <w:rtl/>
          <w:lang w:eastAsia="de-DE"/>
        </w:rPr>
        <w:t xml:space="preserve"> </w:t>
      </w:r>
      <w:r w:rsidRPr="00992CEC">
        <w:rPr>
          <w:rFonts w:eastAsia="Times New Roman" w:cs="Times New Roman"/>
          <w:lang w:eastAsia="de-DE"/>
        </w:rPr>
        <w:t xml:space="preserve">(die Priester) als besondere Gruppe, </w:t>
      </w:r>
      <w:r w:rsidRPr="00992CEC">
        <w:rPr>
          <w:rFonts w:eastAsia="Times New Roman" w:cs="Times New Roman"/>
          <w:b/>
          <w:bCs/>
          <w:rtl/>
          <w:lang w:eastAsia="de-DE"/>
        </w:rPr>
        <w:t>כל־עם הקהל</w:t>
      </w:r>
      <w:r w:rsidRPr="00992CEC">
        <w:rPr>
          <w:rFonts w:eastAsia="Times New Roman" w:cs="Times New Roman"/>
          <w:rtl/>
          <w:lang w:eastAsia="de-DE"/>
        </w:rPr>
        <w:t xml:space="preserve"> </w:t>
      </w:r>
      <w:r w:rsidRPr="00992CEC">
        <w:rPr>
          <w:rFonts w:eastAsia="Times New Roman" w:cs="Times New Roman"/>
          <w:lang w:eastAsia="de-DE"/>
        </w:rPr>
        <w:t>(das ganze Volk der Versammlung) als Gesamtheit.</w:t>
      </w:r>
    </w:p>
    <w:p w14:paraId="2E02EBB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מקדש הקדש</w:t>
      </w:r>
      <w:r w:rsidRPr="00992CEC">
        <w:rPr>
          <w:rFonts w:eastAsia="Times New Roman" w:cs="Times New Roman"/>
          <w:rtl/>
          <w:lang w:eastAsia="de-DE"/>
        </w:rPr>
        <w:t xml:space="preserve"> </w:t>
      </w:r>
      <w:r w:rsidRPr="00992CEC">
        <w:rPr>
          <w:rFonts w:eastAsia="Times New Roman" w:cs="Times New Roman"/>
          <w:lang w:eastAsia="de-DE"/>
        </w:rPr>
        <w:t xml:space="preserve">als intensivste Bezeichnung für das Allerheiligste. Die systematische Aufzählung </w:t>
      </w:r>
      <w:r w:rsidRPr="00992CEC">
        <w:rPr>
          <w:rFonts w:eastAsia="Times New Roman" w:cs="Times New Roman"/>
          <w:b/>
          <w:bCs/>
          <w:rtl/>
          <w:lang w:eastAsia="de-DE"/>
        </w:rPr>
        <w:t>מקדש הקדש ואהל מועד והמזבח</w:t>
      </w:r>
      <w:r w:rsidRPr="00992CEC">
        <w:rPr>
          <w:rFonts w:eastAsia="Times New Roman" w:cs="Times New Roman"/>
          <w:rtl/>
          <w:lang w:eastAsia="de-DE"/>
        </w:rPr>
        <w:t xml:space="preserve"> </w:t>
      </w:r>
      <w:r w:rsidRPr="00992CEC">
        <w:rPr>
          <w:rFonts w:eastAsia="Times New Roman" w:cs="Times New Roman"/>
          <w:lang w:eastAsia="de-DE"/>
        </w:rPr>
        <w:t xml:space="preserve">entspricht der räumlichen Ordnung vom Innersten zum Äußersten. </w:t>
      </w:r>
      <w:r w:rsidRPr="00992CEC">
        <w:rPr>
          <w:rFonts w:eastAsia="Times New Roman" w:cs="Times New Roman"/>
          <w:b/>
          <w:bCs/>
          <w:rtl/>
          <w:lang w:eastAsia="de-DE"/>
        </w:rPr>
        <w:t>הכהנים</w:t>
      </w:r>
      <w:r w:rsidRPr="00992CEC">
        <w:rPr>
          <w:rFonts w:eastAsia="Times New Roman" w:cs="Times New Roman"/>
          <w:rtl/>
          <w:lang w:eastAsia="de-DE"/>
        </w:rPr>
        <w:t xml:space="preserve"> </w:t>
      </w:r>
      <w:r w:rsidRPr="00992CEC">
        <w:rPr>
          <w:rFonts w:eastAsia="Times New Roman" w:cs="Times New Roman"/>
          <w:lang w:eastAsia="de-DE"/>
        </w:rPr>
        <w:t xml:space="preserve">und </w:t>
      </w:r>
      <w:r w:rsidRPr="00992CEC">
        <w:rPr>
          <w:rFonts w:eastAsia="Times New Roman" w:cs="Times New Roman"/>
          <w:b/>
          <w:bCs/>
          <w:rtl/>
          <w:lang w:eastAsia="de-DE"/>
        </w:rPr>
        <w:t>כל־עם הקהל</w:t>
      </w:r>
      <w:r w:rsidRPr="00992CEC">
        <w:rPr>
          <w:rFonts w:eastAsia="Times New Roman" w:cs="Times New Roman"/>
          <w:rtl/>
          <w:lang w:eastAsia="de-DE"/>
        </w:rPr>
        <w:t xml:space="preserve"> </w:t>
      </w:r>
      <w:r w:rsidRPr="00992CEC">
        <w:rPr>
          <w:rFonts w:eastAsia="Times New Roman" w:cs="Times New Roman"/>
          <w:lang w:eastAsia="de-DE"/>
        </w:rPr>
        <w:t>umfassen alle Menschen.</w:t>
      </w:r>
    </w:p>
    <w:p w14:paraId="41194350" w14:textId="35442260"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מקדש הקדש</w:t>
      </w:r>
      <w:r w:rsidR="00E705C5">
        <w:t xml:space="preserve"> (</w:t>
      </w:r>
      <w:proofErr w:type="spellStart"/>
      <w:r w:rsidR="00E705C5">
        <w:t>miqdash</w:t>
      </w:r>
      <w:proofErr w:type="spellEnd"/>
      <w:r w:rsidR="00E705C5">
        <w:t xml:space="preserve"> </w:t>
      </w:r>
      <w:proofErr w:type="spellStart"/>
      <w:r w:rsidR="00E705C5">
        <w:t>haqodesh</w:t>
      </w:r>
      <w:proofErr w:type="spellEnd"/>
      <w:r w:rsidR="00E705C5">
        <w:t xml:space="preserve"> - "Heiligtum des Heiligen") als </w:t>
      </w:r>
      <w:proofErr w:type="spellStart"/>
      <w:r w:rsidR="00E705C5">
        <w:t>τὸ</w:t>
      </w:r>
      <w:proofErr w:type="spellEnd"/>
      <w:r w:rsidR="00E705C5">
        <w:t xml:space="preserve"> </w:t>
      </w:r>
      <w:proofErr w:type="spellStart"/>
      <w:r w:rsidR="00E705C5">
        <w:t>ἅγιον</w:t>
      </w:r>
      <w:proofErr w:type="spellEnd"/>
      <w:r w:rsidR="00E705C5">
        <w:t xml:space="preserve"> </w:t>
      </w:r>
      <w:proofErr w:type="spellStart"/>
      <w:r w:rsidR="00E705C5">
        <w:t>τοῦ</w:t>
      </w:r>
      <w:proofErr w:type="spellEnd"/>
      <w:r w:rsidR="00E705C5">
        <w:t xml:space="preserve"> </w:t>
      </w:r>
      <w:proofErr w:type="spellStart"/>
      <w:r w:rsidR="00E705C5">
        <w:t>ἁγίου</w:t>
      </w:r>
      <w:proofErr w:type="spellEnd"/>
      <w:r w:rsidR="00E705C5">
        <w:t xml:space="preserve"> (das Heilige des Heiligen), was zur technischen Bezeichnung für das Allerheiligste wird.</w:t>
      </w:r>
    </w:p>
    <w:p w14:paraId="013835A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umfassende Sühne: drei Heiligtumsbereiche + zwei Personengruppen + fünfmalige </w:t>
      </w:r>
      <w:r w:rsidRPr="00992CEC">
        <w:rPr>
          <w:rFonts w:eastAsia="Times New Roman" w:cs="Times New Roman"/>
          <w:b/>
          <w:bCs/>
          <w:rtl/>
          <w:lang w:eastAsia="de-DE"/>
        </w:rPr>
        <w:t>כפר</w:t>
      </w:r>
      <w:r w:rsidRPr="00992CEC">
        <w:rPr>
          <w:rFonts w:eastAsia="Times New Roman" w:cs="Times New Roman"/>
          <w:lang w:eastAsia="de-DE"/>
        </w:rPr>
        <w:t>-Wiederholung. Die Struktur zeigt die Totalität der Jom Kippur-Sühne.</w:t>
      </w:r>
    </w:p>
    <w:p w14:paraId="646DDB4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lastRenderedPageBreak/>
        <w:t>Dieser Vers fasst die umfassende Sühne des Jom Kippur zusammen: alle Heiligtumsbereiche und alle Menschen werden vollständig gesühnt.</w:t>
      </w:r>
    </w:p>
    <w:p w14:paraId="6581BCFC"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16,34</w:t>
      </w:r>
    </w:p>
    <w:p w14:paraId="3D3BE97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וְהָֽיְתָה־זֹּ֨את לָכֶ֜ם לְחֻקַּ֣ת עוֹלָ֗ם לְכַפֵּ֞ר עַל־בְּנֵ֤י יִשְׂרָאֵל֙ מִכָּל־חַטֹּאתָ֔ם אַחַ֖ת בַּשָּׁנָ֑ה וַיַּ֕עַשׂ כַּאֲשֶׁ֛ר צִוָּ֥ה יְהוָ֖ה אֶת־מֹשֶֽׁה׃ פ</w:t>
      </w:r>
    </w:p>
    <w:p w14:paraId="3E782C82" w14:textId="0E42CBBB"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dies soll sein euch zur ewigen Satzung, um Sühne zu erwirken für die Söhne Jisra'els von allen ihren Sünden einmal im Jahr. Und er tat, wie der Ewige Mosche geboten hatte.</w:t>
      </w:r>
    </w:p>
    <w:p w14:paraId="23504C7F"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A293113">
          <v:rect id="_x0000_i1514" style="width:0;height:1.5pt" o:hralign="center" o:hrstd="t" o:hr="t" fillcolor="#a0a0a0" stroked="f"/>
        </w:pict>
      </w:r>
    </w:p>
    <w:p w14:paraId="5A9372B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והיתה־זאת לכם לחקת עולם לכפר על־בני ישראל מכל־חטאתם אחת בשנה ויעש כאשר צוה יהוה את־משה</w:t>
      </w:r>
      <w:r w:rsidRPr="00992CEC">
        <w:rPr>
          <w:rFonts w:eastAsia="Times New Roman" w:cs="Times New Roman"/>
          <w:rtl/>
          <w:lang w:eastAsia="de-DE"/>
        </w:rPr>
        <w:t xml:space="preserve"> </w:t>
      </w:r>
      <w:r w:rsidRPr="00992CEC">
        <w:rPr>
          <w:rFonts w:eastAsia="Times New Roman" w:cs="Times New Roman"/>
          <w:lang w:eastAsia="de-DE"/>
        </w:rPr>
        <w:t xml:space="preserve">schließt das Kapitel mit Institutionalisierung und Ausführungsbestätigung ab. </w:t>
      </w:r>
      <w:r w:rsidRPr="00992CEC">
        <w:rPr>
          <w:rFonts w:eastAsia="Times New Roman" w:cs="Times New Roman"/>
          <w:b/>
          <w:bCs/>
          <w:rtl/>
          <w:lang w:eastAsia="de-DE"/>
        </w:rPr>
        <w:t>והיתה־זאת לכם לחקת עולם</w:t>
      </w:r>
      <w:r w:rsidRPr="00992CEC">
        <w:rPr>
          <w:rFonts w:eastAsia="Times New Roman" w:cs="Times New Roman"/>
          <w:rtl/>
          <w:lang w:eastAsia="de-DE"/>
        </w:rPr>
        <w:t xml:space="preserve"> </w:t>
      </w:r>
      <w:r w:rsidRPr="00992CEC">
        <w:rPr>
          <w:rFonts w:eastAsia="Times New Roman" w:cs="Times New Roman"/>
          <w:lang w:eastAsia="de-DE"/>
        </w:rPr>
        <w:t xml:space="preserve">(und dies soll euch sein zur ewigen Satzung) - </w:t>
      </w:r>
      <w:r w:rsidRPr="00992CEC">
        <w:rPr>
          <w:rFonts w:eastAsia="Times New Roman" w:cs="Times New Roman"/>
          <w:b/>
          <w:bCs/>
          <w:rtl/>
          <w:lang w:eastAsia="de-DE"/>
        </w:rPr>
        <w:t>זאת</w:t>
      </w:r>
      <w:r w:rsidRPr="00992CEC">
        <w:rPr>
          <w:rFonts w:eastAsia="Times New Roman" w:cs="Times New Roman"/>
          <w:rtl/>
          <w:lang w:eastAsia="de-DE"/>
        </w:rPr>
        <w:t xml:space="preserve"> </w:t>
      </w:r>
      <w:r w:rsidRPr="00992CEC">
        <w:rPr>
          <w:rFonts w:eastAsia="Times New Roman" w:cs="Times New Roman"/>
          <w:lang w:eastAsia="de-DE"/>
        </w:rPr>
        <w:t xml:space="preserve">(dies) fasst das gesamte Jom Kippur-Ritual zusammen, </w:t>
      </w:r>
      <w:r w:rsidRPr="00992CEC">
        <w:rPr>
          <w:rFonts w:eastAsia="Times New Roman" w:cs="Times New Roman"/>
          <w:b/>
          <w:bCs/>
          <w:rtl/>
          <w:lang w:eastAsia="de-DE"/>
        </w:rPr>
        <w:t>חקת עולם</w:t>
      </w:r>
      <w:r w:rsidRPr="00992CEC">
        <w:rPr>
          <w:rFonts w:eastAsia="Times New Roman" w:cs="Times New Roman"/>
          <w:rtl/>
          <w:lang w:eastAsia="de-DE"/>
        </w:rPr>
        <w:t xml:space="preserve"> </w:t>
      </w:r>
      <w:r w:rsidRPr="00992CEC">
        <w:rPr>
          <w:rFonts w:eastAsia="Times New Roman" w:cs="Times New Roman"/>
          <w:lang w:eastAsia="de-DE"/>
        </w:rPr>
        <w:t>(ewige Satzung) entspricht V. 29 und 31.</w:t>
      </w:r>
    </w:p>
    <w:p w14:paraId="65A584E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לכפר על־בני ישראל מכל־חטאתם אחת בשנה</w:t>
      </w:r>
      <w:r w:rsidRPr="00992CEC">
        <w:rPr>
          <w:rFonts w:eastAsia="Times New Roman" w:cs="Times New Roman"/>
          <w:rtl/>
          <w:lang w:eastAsia="de-DE"/>
        </w:rPr>
        <w:t xml:space="preserve"> </w:t>
      </w:r>
      <w:r w:rsidRPr="00992CEC">
        <w:rPr>
          <w:rFonts w:eastAsia="Times New Roman" w:cs="Times New Roman"/>
          <w:lang w:eastAsia="de-DE"/>
        </w:rPr>
        <w:t xml:space="preserve">(um Sühne zu erwirken für die Söhne Israels von allen ihren Sünden einmal im Jahr) zeigt Zweck und Frequenz. </w:t>
      </w:r>
      <w:r w:rsidRPr="00992CEC">
        <w:rPr>
          <w:rFonts w:eastAsia="Times New Roman" w:cs="Times New Roman"/>
          <w:b/>
          <w:bCs/>
          <w:rtl/>
          <w:lang w:eastAsia="de-DE"/>
        </w:rPr>
        <w:t>מכל־חטאתם</w:t>
      </w:r>
      <w:r w:rsidRPr="00992CEC">
        <w:rPr>
          <w:rFonts w:eastAsia="Times New Roman" w:cs="Times New Roman"/>
          <w:rtl/>
          <w:lang w:eastAsia="de-DE"/>
        </w:rPr>
        <w:t xml:space="preserve"> </w:t>
      </w:r>
      <w:r w:rsidRPr="00992CEC">
        <w:rPr>
          <w:rFonts w:eastAsia="Times New Roman" w:cs="Times New Roman"/>
          <w:lang w:eastAsia="de-DE"/>
        </w:rPr>
        <w:t xml:space="preserve">(von allen ihren Sünden) entspricht V. 30, </w:t>
      </w:r>
      <w:r w:rsidRPr="00992CEC">
        <w:rPr>
          <w:rFonts w:eastAsia="Times New Roman" w:cs="Times New Roman"/>
          <w:b/>
          <w:bCs/>
          <w:rtl/>
          <w:lang w:eastAsia="de-DE"/>
        </w:rPr>
        <w:t>אחת בשנה</w:t>
      </w:r>
      <w:r w:rsidRPr="00992CEC">
        <w:rPr>
          <w:rFonts w:eastAsia="Times New Roman" w:cs="Times New Roman"/>
          <w:rtl/>
          <w:lang w:eastAsia="de-DE"/>
        </w:rPr>
        <w:t xml:space="preserve"> </w:t>
      </w:r>
      <w:r w:rsidRPr="00992CEC">
        <w:rPr>
          <w:rFonts w:eastAsia="Times New Roman" w:cs="Times New Roman"/>
          <w:lang w:eastAsia="de-DE"/>
        </w:rPr>
        <w:t>(einmal im Jahr) etabliert die jährliche Frequenz.</w:t>
      </w:r>
    </w:p>
    <w:p w14:paraId="19E7FC91" w14:textId="1885C729"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ויעש כאשר צוה יהוה את־משה</w:t>
      </w:r>
      <w:r w:rsidRPr="00992CEC">
        <w:rPr>
          <w:rFonts w:eastAsia="Times New Roman" w:cs="Times New Roman"/>
          <w:rtl/>
          <w:lang w:eastAsia="de-DE"/>
        </w:rPr>
        <w:t xml:space="preserve"> </w:t>
      </w:r>
      <w:r w:rsidRPr="00992CEC">
        <w:rPr>
          <w:rFonts w:eastAsia="Times New Roman" w:cs="Times New Roman"/>
          <w:lang w:eastAsia="de-DE"/>
        </w:rPr>
        <w:t xml:space="preserve">(und er tat, wie der </w:t>
      </w:r>
      <w:r w:rsidR="004603C6">
        <w:rPr>
          <w:rFonts w:eastAsia="Times New Roman" w:cs="Times New Roman"/>
          <w:lang w:eastAsia="de-DE"/>
        </w:rPr>
        <w:t>Ewige</w:t>
      </w:r>
      <w:r w:rsidRPr="00992CEC">
        <w:rPr>
          <w:rFonts w:eastAsia="Times New Roman" w:cs="Times New Roman"/>
          <w:lang w:eastAsia="de-DE"/>
        </w:rPr>
        <w:t xml:space="preserve"> dem Mose geboten hatte) zeigt die erste Ausführung des Rituals. </w:t>
      </w:r>
      <w:r w:rsidRPr="00992CEC">
        <w:rPr>
          <w:rFonts w:eastAsia="Times New Roman" w:cs="Times New Roman"/>
          <w:b/>
          <w:bCs/>
          <w:rtl/>
          <w:lang w:eastAsia="de-DE"/>
        </w:rPr>
        <w:t>ויעש</w:t>
      </w:r>
      <w:r w:rsidRPr="00992CEC">
        <w:rPr>
          <w:rFonts w:eastAsia="Times New Roman" w:cs="Times New Roman"/>
          <w:rtl/>
          <w:lang w:eastAsia="de-DE"/>
        </w:rPr>
        <w:t xml:space="preserve"> </w:t>
      </w:r>
      <w:r w:rsidRPr="00992CEC">
        <w:rPr>
          <w:rFonts w:eastAsia="Times New Roman" w:cs="Times New Roman"/>
          <w:lang w:eastAsia="de-DE"/>
        </w:rPr>
        <w:t xml:space="preserve">(und er tat) bezieht sich auf Aaron, </w:t>
      </w:r>
      <w:r w:rsidRPr="00992CEC">
        <w:rPr>
          <w:rFonts w:eastAsia="Times New Roman" w:cs="Times New Roman"/>
          <w:b/>
          <w:bCs/>
          <w:rtl/>
          <w:lang w:eastAsia="de-DE"/>
        </w:rPr>
        <w:t>כאשר צוה יהוה את־משה</w:t>
      </w:r>
      <w:r w:rsidRPr="00992CEC">
        <w:rPr>
          <w:rFonts w:eastAsia="Times New Roman" w:cs="Times New Roman"/>
          <w:rtl/>
          <w:lang w:eastAsia="de-DE"/>
        </w:rPr>
        <w:t xml:space="preserve"> </w:t>
      </w:r>
      <w:r w:rsidRPr="00992CEC">
        <w:rPr>
          <w:rFonts w:eastAsia="Times New Roman" w:cs="Times New Roman"/>
          <w:lang w:eastAsia="de-DE"/>
        </w:rPr>
        <w:t xml:space="preserve">(wie der </w:t>
      </w:r>
      <w:r w:rsidR="004603C6">
        <w:rPr>
          <w:rFonts w:eastAsia="Times New Roman" w:cs="Times New Roman"/>
          <w:lang w:eastAsia="de-DE"/>
        </w:rPr>
        <w:t>Ewige</w:t>
      </w:r>
      <w:r w:rsidRPr="00992CEC">
        <w:rPr>
          <w:rFonts w:eastAsia="Times New Roman" w:cs="Times New Roman"/>
          <w:lang w:eastAsia="de-DE"/>
        </w:rPr>
        <w:t xml:space="preserve"> dem Mose geboten hatte) bestätigt die exakte Befolgung der göttlichen Anweisungen.</w:t>
      </w:r>
    </w:p>
    <w:p w14:paraId="73D1031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זאת</w:t>
      </w:r>
      <w:r w:rsidRPr="00992CEC">
        <w:rPr>
          <w:rFonts w:eastAsia="Times New Roman" w:cs="Times New Roman"/>
          <w:rtl/>
          <w:lang w:eastAsia="de-DE"/>
        </w:rPr>
        <w:t xml:space="preserve"> </w:t>
      </w:r>
      <w:r w:rsidRPr="00992CEC">
        <w:rPr>
          <w:rFonts w:eastAsia="Times New Roman" w:cs="Times New Roman"/>
          <w:lang w:eastAsia="de-DE"/>
        </w:rPr>
        <w:t xml:space="preserve">als Gesamtverweis auf das komplexe Ritual. </w:t>
      </w:r>
      <w:r w:rsidRPr="00992CEC">
        <w:rPr>
          <w:rFonts w:eastAsia="Times New Roman" w:cs="Times New Roman"/>
          <w:b/>
          <w:bCs/>
          <w:rtl/>
          <w:lang w:eastAsia="de-DE"/>
        </w:rPr>
        <w:t>אחת בשנה</w:t>
      </w:r>
      <w:r w:rsidRPr="00992CEC">
        <w:rPr>
          <w:rFonts w:eastAsia="Times New Roman" w:cs="Times New Roman"/>
          <w:rtl/>
          <w:lang w:eastAsia="de-DE"/>
        </w:rPr>
        <w:t xml:space="preserve"> </w:t>
      </w:r>
      <w:r w:rsidRPr="00992CEC">
        <w:rPr>
          <w:rFonts w:eastAsia="Times New Roman" w:cs="Times New Roman"/>
          <w:lang w:eastAsia="de-DE"/>
        </w:rPr>
        <w:t xml:space="preserve">etabliert die einmalige jährliche Wiederholung. </w:t>
      </w:r>
      <w:r w:rsidRPr="00992CEC">
        <w:rPr>
          <w:rFonts w:eastAsia="Times New Roman" w:cs="Times New Roman"/>
          <w:b/>
          <w:bCs/>
          <w:rtl/>
          <w:lang w:eastAsia="de-DE"/>
        </w:rPr>
        <w:t>ויעש כאשר צוה</w:t>
      </w:r>
      <w:r w:rsidRPr="00992CEC">
        <w:rPr>
          <w:rFonts w:eastAsia="Times New Roman" w:cs="Times New Roman"/>
          <w:rtl/>
          <w:lang w:eastAsia="de-DE"/>
        </w:rPr>
        <w:t xml:space="preserve"> </w:t>
      </w:r>
      <w:r w:rsidRPr="00992CEC">
        <w:rPr>
          <w:rFonts w:eastAsia="Times New Roman" w:cs="Times New Roman"/>
          <w:lang w:eastAsia="de-DE"/>
        </w:rPr>
        <w:t>als Bestätigung der ersten ordnungsgemäßen Ausführung.</w:t>
      </w:r>
    </w:p>
    <w:p w14:paraId="346F8C73"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זאת</w:t>
      </w:r>
      <w:r w:rsidRPr="00992CEC">
        <w:rPr>
          <w:rFonts w:eastAsia="Times New Roman" w:cs="Times New Roman"/>
          <w:rtl/>
          <w:lang w:eastAsia="de-DE"/>
        </w:rPr>
        <w:t xml:space="preserve"> </w:t>
      </w:r>
      <w:r w:rsidRPr="00992CEC">
        <w:rPr>
          <w:rFonts w:eastAsia="Times New Roman" w:cs="Times New Roman"/>
          <w:lang w:eastAsia="de-DE"/>
        </w:rPr>
        <w:t>mit τα</w:t>
      </w:r>
      <w:proofErr w:type="spellStart"/>
      <w:r w:rsidRPr="00992CEC">
        <w:rPr>
          <w:rFonts w:eastAsia="Times New Roman" w:cs="Times New Roman"/>
          <w:lang w:eastAsia="de-DE"/>
        </w:rPr>
        <w:t>ῦτ</w:t>
      </w:r>
      <w:proofErr w:type="spellEnd"/>
      <w:r w:rsidRPr="00992CEC">
        <w:rPr>
          <w:rFonts w:eastAsia="Times New Roman" w:cs="Times New Roman"/>
          <w:lang w:eastAsia="de-DE"/>
        </w:rPr>
        <w:t xml:space="preserve">α (diese Dinge), </w:t>
      </w:r>
      <w:r w:rsidRPr="00992CEC">
        <w:rPr>
          <w:rFonts w:eastAsia="Times New Roman" w:cs="Times New Roman"/>
          <w:b/>
          <w:bCs/>
          <w:rtl/>
          <w:lang w:eastAsia="de-DE"/>
        </w:rPr>
        <w:t>אחת בשנה</w:t>
      </w:r>
      <w:r w:rsidRPr="00992CEC">
        <w:rPr>
          <w:rFonts w:eastAsia="Times New Roman" w:cs="Times New Roman"/>
          <w:rtl/>
          <w:lang w:eastAsia="de-DE"/>
        </w:rPr>
        <w:t xml:space="preserve"> </w:t>
      </w:r>
      <w:r w:rsidRPr="00992CEC">
        <w:rPr>
          <w:rFonts w:eastAsia="Times New Roman" w:cs="Times New Roman"/>
          <w:lang w:eastAsia="de-DE"/>
        </w:rPr>
        <w:t xml:space="preserve">mit ἅπαξ </w:t>
      </w:r>
      <w:proofErr w:type="spellStart"/>
      <w:r w:rsidRPr="00992CEC">
        <w:rPr>
          <w:rFonts w:eastAsia="Times New Roman" w:cs="Times New Roman"/>
          <w:lang w:eastAsia="de-DE"/>
        </w:rPr>
        <w:t>τοῦ</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ἐνι</w:t>
      </w:r>
      <w:proofErr w:type="spellEnd"/>
      <w:r w:rsidRPr="00992CEC">
        <w:rPr>
          <w:rFonts w:eastAsia="Times New Roman" w:cs="Times New Roman"/>
          <w:lang w:eastAsia="de-DE"/>
        </w:rPr>
        <w:t xml:space="preserve">αυτοῦ (einmal des Jahres) und </w:t>
      </w:r>
      <w:r w:rsidRPr="00992CEC">
        <w:rPr>
          <w:rFonts w:eastAsia="Times New Roman" w:cs="Times New Roman"/>
          <w:b/>
          <w:bCs/>
          <w:rtl/>
          <w:lang w:eastAsia="de-DE"/>
        </w:rPr>
        <w:t>ויעש</w:t>
      </w:r>
      <w:r w:rsidRPr="00992CEC">
        <w:rPr>
          <w:rFonts w:eastAsia="Times New Roman" w:cs="Times New Roman"/>
          <w:rtl/>
          <w:lang w:eastAsia="de-DE"/>
        </w:rPr>
        <w:t xml:space="preserve"> </w:t>
      </w:r>
      <w:r w:rsidRPr="00992CEC">
        <w:rPr>
          <w:rFonts w:eastAsia="Times New Roman" w:cs="Times New Roman"/>
          <w:lang w:eastAsia="de-DE"/>
        </w:rPr>
        <w:t>mit ἐπ</w:t>
      </w:r>
      <w:proofErr w:type="spellStart"/>
      <w:r w:rsidRPr="00992CEC">
        <w:rPr>
          <w:rFonts w:eastAsia="Times New Roman" w:cs="Times New Roman"/>
          <w:lang w:eastAsia="de-DE"/>
        </w:rPr>
        <w:t>οίησεν</w:t>
      </w:r>
      <w:proofErr w:type="spellEnd"/>
      <w:r w:rsidRPr="00992CEC">
        <w:rPr>
          <w:rFonts w:eastAsia="Times New Roman" w:cs="Times New Roman"/>
          <w:lang w:eastAsia="de-DE"/>
        </w:rPr>
        <w:t xml:space="preserve"> (er tat).</w:t>
      </w:r>
    </w:p>
    <w:p w14:paraId="366BF98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Abschluss: Gesamtinstitutionalisierung + Zweck und Frequenz + erste Ausführungsbestätigung + göttliche Autorität. Die Struktur schließt mit der Bestätigung der ordnungsgemäßen Umsetzung.</w:t>
      </w:r>
    </w:p>
    <w:p w14:paraId="6751BE5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Der abschließende Vers etabliert das gesamte Jom Kippur-Ritual als ewige jährliche Institution und bestätigt seine erste ordnungsgemäße Ausführung durch Aaron.</w:t>
      </w:r>
    </w:p>
    <w:p w14:paraId="0883C4E5" w14:textId="77777777" w:rsidR="00992CEC" w:rsidRDefault="00992CEC" w:rsidP="00992CEC">
      <w:pPr>
        <w:pStyle w:val="KeinLeerraum"/>
        <w:rPr>
          <w:lang w:eastAsia="de-DE"/>
        </w:rPr>
      </w:pPr>
      <w:r w:rsidRPr="00992CEC">
        <w:rPr>
          <w:lang w:eastAsia="de-DE"/>
        </w:rPr>
        <w:t xml:space="preserve">Kapitel 16 etabliert den </w:t>
      </w:r>
      <w:r w:rsidRPr="00992CEC">
        <w:rPr>
          <w:b/>
          <w:bCs/>
          <w:lang w:eastAsia="de-DE"/>
        </w:rPr>
        <w:t>Jom Kippur</w:t>
      </w:r>
      <w:r w:rsidRPr="00992CEC">
        <w:rPr>
          <w:lang w:eastAsia="de-DE"/>
        </w:rPr>
        <w:t xml:space="preserve"> (Versöhnungstag) als höchsten Feiertag des israelitischen Kultjahres. Die Struktur zeigt: </w:t>
      </w:r>
    </w:p>
    <w:p w14:paraId="2319428C" w14:textId="77777777" w:rsidR="00125C26" w:rsidRDefault="00125C26" w:rsidP="00992CEC">
      <w:pPr>
        <w:pStyle w:val="KeinLeerraum"/>
        <w:rPr>
          <w:b/>
          <w:bCs/>
          <w:lang w:eastAsia="de-DE"/>
        </w:rPr>
      </w:pPr>
    </w:p>
    <w:p w14:paraId="2AFE52A5" w14:textId="60FB4880" w:rsidR="00992CEC" w:rsidRDefault="00992CEC" w:rsidP="00992CEC">
      <w:pPr>
        <w:pStyle w:val="KeinLeerraum"/>
        <w:rPr>
          <w:lang w:eastAsia="de-DE"/>
        </w:rPr>
      </w:pPr>
      <w:r w:rsidRPr="00992CEC">
        <w:rPr>
          <w:b/>
          <w:bCs/>
          <w:lang w:eastAsia="de-DE"/>
        </w:rPr>
        <w:t>1) Anlass und Zutrittsregelung</w:t>
      </w:r>
      <w:r w:rsidRPr="00992CEC">
        <w:rPr>
          <w:lang w:eastAsia="de-DE"/>
        </w:rPr>
        <w:t xml:space="preserve"> (V. 1-4): Der Tod von Nadab und Abihu führt zur Regelung des kontrollierten Allerheiligsten-Zutritts nur am Jom Kippur mit besonderen Leinengewändern. </w:t>
      </w:r>
    </w:p>
    <w:p w14:paraId="6E0B3F9C" w14:textId="77777777" w:rsidR="00125C26" w:rsidRDefault="00125C26" w:rsidP="00992CEC">
      <w:pPr>
        <w:pStyle w:val="KeinLeerraum"/>
        <w:rPr>
          <w:b/>
          <w:bCs/>
          <w:lang w:eastAsia="de-DE"/>
        </w:rPr>
      </w:pPr>
    </w:p>
    <w:p w14:paraId="0E044FCF" w14:textId="1B1ACBDB" w:rsidR="00992CEC" w:rsidRPr="00992CEC" w:rsidRDefault="00992CEC" w:rsidP="00992CEC">
      <w:pPr>
        <w:pStyle w:val="KeinLeerraum"/>
        <w:rPr>
          <w:lang w:eastAsia="de-DE"/>
        </w:rPr>
      </w:pPr>
      <w:r w:rsidRPr="00992CEC">
        <w:rPr>
          <w:b/>
          <w:bCs/>
          <w:lang w:eastAsia="de-DE"/>
        </w:rPr>
        <w:lastRenderedPageBreak/>
        <w:t>2) Opferprogramm und Losverfahren</w:t>
      </w:r>
      <w:r w:rsidRPr="00992CEC">
        <w:rPr>
          <w:lang w:eastAsia="de-DE"/>
        </w:rPr>
        <w:t xml:space="preserve"> (V. 5-10): Zwei Ziegenböcke werden durch Los aufgeteilt - einer für JHWH als Sündopfer, einer für das rätselhafte </w:t>
      </w:r>
      <w:r w:rsidRPr="00992CEC">
        <w:rPr>
          <w:b/>
          <w:bCs/>
          <w:lang w:eastAsia="de-DE"/>
        </w:rPr>
        <w:t>Asasel</w:t>
      </w:r>
      <w:r w:rsidRPr="00992CEC">
        <w:rPr>
          <w:lang w:eastAsia="de-DE"/>
        </w:rPr>
        <w:t xml:space="preserve"> zur lebendigen Wegführung in die Wüste.</w:t>
      </w:r>
    </w:p>
    <w:p w14:paraId="13643578" w14:textId="77777777" w:rsidR="00125C26" w:rsidRDefault="00125C26" w:rsidP="00992CEC">
      <w:pPr>
        <w:pStyle w:val="KeinLeerraum"/>
        <w:rPr>
          <w:b/>
          <w:bCs/>
          <w:lang w:eastAsia="de-DE"/>
        </w:rPr>
      </w:pPr>
    </w:p>
    <w:p w14:paraId="3C7A033C" w14:textId="2BFB563D" w:rsidR="00992CEC" w:rsidRDefault="00992CEC" w:rsidP="00992CEC">
      <w:pPr>
        <w:pStyle w:val="KeinLeerraum"/>
        <w:rPr>
          <w:lang w:eastAsia="de-DE"/>
        </w:rPr>
      </w:pPr>
      <w:r w:rsidRPr="00992CEC">
        <w:rPr>
          <w:b/>
          <w:bCs/>
          <w:lang w:eastAsia="de-DE"/>
        </w:rPr>
        <w:t>3) Heiligtumssühne durch Blutsprengung</w:t>
      </w:r>
      <w:r w:rsidRPr="00992CEC">
        <w:rPr>
          <w:lang w:eastAsia="de-DE"/>
        </w:rPr>
        <w:t xml:space="preserve"> (V. 11-19): Aaron führt mit dem Blut des priesterlichen Sündopferstieres und des Volkssündopfer-Bockes komplexe Blutsprengungsrituale im Allerheiligsten und am </w:t>
      </w:r>
      <w:r w:rsidR="00CF10E7">
        <w:rPr>
          <w:lang w:eastAsia="de-DE"/>
        </w:rPr>
        <w:t>Aufsteigeopfer</w:t>
      </w:r>
      <w:r w:rsidRPr="00992CEC">
        <w:rPr>
          <w:lang w:eastAsia="de-DE"/>
        </w:rPr>
        <w:t xml:space="preserve">altar durch, um das Heiligtum von den Verunreinigungen durch Volkssünden zu reinigen. </w:t>
      </w:r>
    </w:p>
    <w:p w14:paraId="44BB402A" w14:textId="77777777" w:rsidR="00125C26" w:rsidRDefault="00125C26" w:rsidP="00992CEC">
      <w:pPr>
        <w:pStyle w:val="KeinLeerraum"/>
        <w:rPr>
          <w:b/>
          <w:bCs/>
          <w:lang w:eastAsia="de-DE"/>
        </w:rPr>
      </w:pPr>
    </w:p>
    <w:p w14:paraId="5676605C" w14:textId="0663FBB0" w:rsidR="00992CEC" w:rsidRPr="00992CEC" w:rsidRDefault="00992CEC" w:rsidP="00992CEC">
      <w:pPr>
        <w:pStyle w:val="KeinLeerraum"/>
        <w:rPr>
          <w:lang w:eastAsia="de-DE"/>
        </w:rPr>
      </w:pPr>
      <w:r w:rsidRPr="00992CEC">
        <w:rPr>
          <w:b/>
          <w:bCs/>
          <w:lang w:eastAsia="de-DE"/>
        </w:rPr>
        <w:t>4) Asasel-Ritual</w:t>
      </w:r>
      <w:r w:rsidRPr="00992CEC">
        <w:rPr>
          <w:lang w:eastAsia="de-DE"/>
        </w:rPr>
        <w:t xml:space="preserve"> (V. 20-22): Der lebendige Bock empfängt durch Handauflegung und Bekenntnis alle Volkssünden und wird in die Wüste zu </w:t>
      </w:r>
      <w:r w:rsidRPr="00992CEC">
        <w:rPr>
          <w:b/>
          <w:bCs/>
          <w:lang w:eastAsia="de-DE"/>
        </w:rPr>
        <w:t>Asasel</w:t>
      </w:r>
      <w:r w:rsidRPr="00992CEC">
        <w:rPr>
          <w:lang w:eastAsia="de-DE"/>
        </w:rPr>
        <w:t xml:space="preserve"> gesandt - ein einzigartiges Substitutions- und Eliminationsritual.</w:t>
      </w:r>
    </w:p>
    <w:p w14:paraId="3FB98B61" w14:textId="77777777" w:rsidR="00125C26" w:rsidRDefault="00125C26" w:rsidP="00992CEC">
      <w:pPr>
        <w:pStyle w:val="KeinLeerraum"/>
        <w:rPr>
          <w:b/>
          <w:bCs/>
          <w:lang w:eastAsia="de-DE"/>
        </w:rPr>
      </w:pPr>
    </w:p>
    <w:p w14:paraId="7E2CA76F" w14:textId="75D7C613" w:rsidR="00992CEC" w:rsidRDefault="00992CEC" w:rsidP="00992CEC">
      <w:pPr>
        <w:pStyle w:val="KeinLeerraum"/>
        <w:rPr>
          <w:lang w:eastAsia="de-DE"/>
        </w:rPr>
      </w:pPr>
      <w:r w:rsidRPr="00992CEC">
        <w:rPr>
          <w:b/>
          <w:bCs/>
          <w:lang w:eastAsia="de-DE"/>
        </w:rPr>
        <w:t>5) Ritualabschluss und Reinigungen</w:t>
      </w:r>
      <w:r w:rsidRPr="00992CEC">
        <w:rPr>
          <w:lang w:eastAsia="de-DE"/>
        </w:rPr>
        <w:t xml:space="preserve"> (V. 23-28): Kleiderwechsel, </w:t>
      </w:r>
      <w:r w:rsidR="00CF10E7">
        <w:rPr>
          <w:lang w:eastAsia="de-DE"/>
        </w:rPr>
        <w:t>Aufsteigeopfer</w:t>
      </w:r>
      <w:r w:rsidRPr="00992CEC">
        <w:rPr>
          <w:lang w:eastAsia="de-DE"/>
        </w:rPr>
        <w:t xml:space="preserve">darbringung und Reinigungsvorschriften für alle Beteiligten. </w:t>
      </w:r>
    </w:p>
    <w:p w14:paraId="0FE59625" w14:textId="77777777" w:rsidR="008E2E29" w:rsidRDefault="008E2E29" w:rsidP="00992CEC">
      <w:pPr>
        <w:pStyle w:val="KeinLeerraum"/>
        <w:rPr>
          <w:b/>
          <w:bCs/>
          <w:lang w:eastAsia="de-DE"/>
        </w:rPr>
      </w:pPr>
    </w:p>
    <w:p w14:paraId="165B910D" w14:textId="04ECEA4F" w:rsidR="00992CEC" w:rsidRPr="00992CEC" w:rsidRDefault="00992CEC" w:rsidP="00992CEC">
      <w:pPr>
        <w:pStyle w:val="KeinLeerraum"/>
        <w:rPr>
          <w:lang w:eastAsia="de-DE"/>
        </w:rPr>
      </w:pPr>
      <w:r w:rsidRPr="00992CEC">
        <w:rPr>
          <w:b/>
          <w:bCs/>
          <w:lang w:eastAsia="de-DE"/>
        </w:rPr>
        <w:t>6) Institutionalisierung</w:t>
      </w:r>
      <w:r w:rsidRPr="00992CEC">
        <w:rPr>
          <w:lang w:eastAsia="de-DE"/>
        </w:rPr>
        <w:t xml:space="preserve"> (V. 29-34): Der 10. Tischri wird als jährlicher "Sabbat der Sabbate" mit Fasten und Arbeitsruhe für alle Bewohner etabliert, einschließlich Nachfolgeregelungen.</w:t>
      </w:r>
    </w:p>
    <w:p w14:paraId="51D85B37" w14:textId="248BF20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 xml:space="preserve">Das Kapitel zeigt bemerkenswerte theologische Tiefe: Die Kombination aus </w:t>
      </w:r>
      <w:r w:rsidRPr="00992CEC">
        <w:rPr>
          <w:rFonts w:eastAsia="Times New Roman" w:cs="Times New Roman"/>
          <w:b/>
          <w:bCs/>
          <w:lang w:eastAsia="de-DE"/>
        </w:rPr>
        <w:t>Blutsprengung</w:t>
      </w:r>
      <w:r w:rsidRPr="00992CEC">
        <w:rPr>
          <w:rFonts w:eastAsia="Times New Roman" w:cs="Times New Roman"/>
          <w:lang w:eastAsia="de-DE"/>
        </w:rPr>
        <w:t xml:space="preserve"> (kultische Reinigung) und </w:t>
      </w:r>
      <w:r w:rsidRPr="00992CEC">
        <w:rPr>
          <w:rFonts w:eastAsia="Times New Roman" w:cs="Times New Roman"/>
          <w:b/>
          <w:bCs/>
          <w:lang w:eastAsia="de-DE"/>
        </w:rPr>
        <w:t>Asasel-Ritual</w:t>
      </w:r>
      <w:r w:rsidRPr="00992CEC">
        <w:rPr>
          <w:rFonts w:eastAsia="Times New Roman" w:cs="Times New Roman"/>
          <w:lang w:eastAsia="de-DE"/>
        </w:rPr>
        <w:t xml:space="preserve"> (symbolische Elimination) bietet zwei komplementäre Ansätze zur Sündenbehandlung. Das </w:t>
      </w:r>
      <w:r w:rsidRPr="00992CEC">
        <w:rPr>
          <w:rFonts w:eastAsia="Times New Roman" w:cs="Times New Roman"/>
          <w:b/>
          <w:bCs/>
          <w:lang w:eastAsia="de-DE"/>
        </w:rPr>
        <w:t>Asasel</w:t>
      </w:r>
      <w:r w:rsidRPr="00992CEC">
        <w:rPr>
          <w:rFonts w:eastAsia="Times New Roman" w:cs="Times New Roman"/>
          <w:lang w:eastAsia="de-DE"/>
        </w:rPr>
        <w:t xml:space="preserve">-Ritual bleibt rätselhaft - ob </w:t>
      </w:r>
      <w:r w:rsidRPr="00992CEC">
        <w:rPr>
          <w:rFonts w:eastAsia="Times New Roman" w:cs="Times New Roman"/>
          <w:b/>
          <w:bCs/>
          <w:rtl/>
          <w:lang w:eastAsia="de-DE"/>
        </w:rPr>
        <w:t>עזאזל</w:t>
      </w:r>
      <w:r w:rsidRPr="00992CEC">
        <w:rPr>
          <w:rFonts w:eastAsia="Times New Roman" w:cs="Times New Roman"/>
          <w:rtl/>
          <w:lang w:eastAsia="de-DE"/>
        </w:rPr>
        <w:t xml:space="preserve"> </w:t>
      </w:r>
      <w:r w:rsidRPr="00992CEC">
        <w:rPr>
          <w:rFonts w:eastAsia="Times New Roman" w:cs="Times New Roman"/>
          <w:lang w:eastAsia="de-DE"/>
        </w:rPr>
        <w:t xml:space="preserve">ein </w:t>
      </w:r>
      <w:r w:rsidR="008E2E29">
        <w:rPr>
          <w:rFonts w:eastAsia="Times New Roman" w:cs="Times New Roman"/>
          <w:lang w:eastAsia="de-DE"/>
        </w:rPr>
        <w:t>Sündenbock</w:t>
      </w:r>
      <w:r w:rsidRPr="00992CEC">
        <w:rPr>
          <w:rFonts w:eastAsia="Times New Roman" w:cs="Times New Roman"/>
          <w:lang w:eastAsia="de-DE"/>
        </w:rPr>
        <w:t xml:space="preserve">, ein Ort oder ein Konzept der Entfernung ist, wird diskutiert. Die </w:t>
      </w:r>
      <w:r w:rsidRPr="00992CEC">
        <w:rPr>
          <w:rFonts w:eastAsia="Times New Roman" w:cs="Times New Roman"/>
          <w:b/>
          <w:bCs/>
          <w:lang w:eastAsia="de-DE"/>
        </w:rPr>
        <w:t>Heiligtumssühne</w:t>
      </w:r>
      <w:r w:rsidRPr="00992CEC">
        <w:rPr>
          <w:rFonts w:eastAsia="Times New Roman" w:cs="Times New Roman"/>
          <w:lang w:eastAsia="de-DE"/>
        </w:rPr>
        <w:t xml:space="preserve"> zeigt, dass göttliche Wohnung inmitten sündiger Menschen regelmäßige Reinigung erfordert.</w:t>
      </w:r>
    </w:p>
    <w:p w14:paraId="74302F5C" w14:textId="29F3E65C"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 xml:space="preserve">Der </w:t>
      </w:r>
      <w:r w:rsidRPr="00992CEC">
        <w:rPr>
          <w:rFonts w:eastAsia="Times New Roman" w:cs="Times New Roman"/>
          <w:b/>
          <w:bCs/>
          <w:lang w:eastAsia="de-DE"/>
        </w:rPr>
        <w:t>Jom Kippur</w:t>
      </w:r>
      <w:r w:rsidRPr="00992CEC">
        <w:rPr>
          <w:rFonts w:eastAsia="Times New Roman" w:cs="Times New Roman"/>
          <w:lang w:eastAsia="de-DE"/>
        </w:rPr>
        <w:t xml:space="preserve"> wird als Tag der vollständigen </w:t>
      </w:r>
      <w:r w:rsidRPr="00992CEC">
        <w:rPr>
          <w:rFonts w:eastAsia="Times New Roman" w:cs="Times New Roman"/>
          <w:b/>
          <w:bCs/>
          <w:lang w:eastAsia="de-DE"/>
        </w:rPr>
        <w:t>Sündenvergebung</w:t>
      </w:r>
      <w:r w:rsidRPr="00992CEC">
        <w:rPr>
          <w:rFonts w:eastAsia="Times New Roman" w:cs="Times New Roman"/>
          <w:lang w:eastAsia="de-DE"/>
        </w:rPr>
        <w:t xml:space="preserve"> und </w:t>
      </w:r>
      <w:r w:rsidRPr="00992CEC">
        <w:rPr>
          <w:rFonts w:eastAsia="Times New Roman" w:cs="Times New Roman"/>
          <w:b/>
          <w:bCs/>
          <w:lang w:eastAsia="de-DE"/>
        </w:rPr>
        <w:t>kultischen Erneuerung</w:t>
      </w:r>
      <w:r w:rsidRPr="00992CEC">
        <w:rPr>
          <w:rFonts w:eastAsia="Times New Roman" w:cs="Times New Roman"/>
          <w:lang w:eastAsia="de-DE"/>
        </w:rPr>
        <w:t xml:space="preserve"> etabliert, der die Beziehung zwischen JHWH und Israel jährlich auf null zurücksetzt. Die Betonung der </w:t>
      </w:r>
      <w:r w:rsidRPr="00992CEC">
        <w:rPr>
          <w:rFonts w:eastAsia="Times New Roman" w:cs="Times New Roman"/>
          <w:b/>
          <w:bCs/>
          <w:lang w:eastAsia="de-DE"/>
        </w:rPr>
        <w:t>ewigen Gültigkeit</w:t>
      </w:r>
      <w:r w:rsidRPr="00992CEC">
        <w:rPr>
          <w:rFonts w:eastAsia="Times New Roman" w:cs="Times New Roman"/>
          <w:lang w:eastAsia="de-DE"/>
        </w:rPr>
        <w:t xml:space="preserve"> und der </w:t>
      </w:r>
      <w:r w:rsidRPr="00992CEC">
        <w:rPr>
          <w:rFonts w:eastAsia="Times New Roman" w:cs="Times New Roman"/>
          <w:b/>
          <w:bCs/>
          <w:lang w:eastAsia="de-DE"/>
        </w:rPr>
        <w:t>exakten Ausführung</w:t>
      </w:r>
      <w:r w:rsidRPr="00992CEC">
        <w:rPr>
          <w:rFonts w:eastAsia="Times New Roman" w:cs="Times New Roman"/>
          <w:lang w:eastAsia="de-DE"/>
        </w:rPr>
        <w:t xml:space="preserve"> unterstreicht die zentrale Bedeutung dieses Rituals für die Aufrechterhaltung der Bundesbeziehung zwischen JHWH und Israel.</w:t>
      </w:r>
    </w:p>
    <w:p w14:paraId="0CD9286C" w14:textId="2F0E85FA" w:rsidR="00E705C5" w:rsidRPr="00992CEC" w:rsidRDefault="00E705C5" w:rsidP="00992CEC">
      <w:pPr>
        <w:spacing w:before="100" w:beforeAutospacing="1" w:after="100" w:afterAutospacing="1" w:line="240" w:lineRule="auto"/>
        <w:rPr>
          <w:rFonts w:eastAsia="Times New Roman" w:cs="Times New Roman"/>
          <w:lang w:eastAsia="de-DE"/>
        </w:rPr>
      </w:pPr>
      <w:r>
        <w:rPr>
          <w:rStyle w:val="Fett"/>
        </w:rPr>
        <w:t>Textkritische Beobachtung</w:t>
      </w:r>
      <w:r>
        <w:t xml:space="preserve">: Levitikus 16 zeigt in der LXX eine systematische theologische Interpretation des Versöhnungstag-Rituals. Besonders bemerkenswert ist die Behandlung von Azazel als funktionales Konzept statt als Eigenname, und die Präzisierung der Heiligtumsterminologie. </w:t>
      </w:r>
      <w:r w:rsidRPr="008E2E29">
        <w:rPr>
          <w:b/>
          <w:bCs/>
        </w:rPr>
        <w:t>Die LXX</w:t>
      </w:r>
      <w:r>
        <w:t xml:space="preserve"> macht implizite Verbindungen explizit (wie zu Nadab und Abihu) und verwendet etablierte griechische religiöse Terminologie, wodurch das komplexe hebräische Ritual für griechischsprachige Leser zugänglicher wird.</w:t>
      </w:r>
    </w:p>
    <w:p w14:paraId="23371D57"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w:t>
      </w:r>
    </w:p>
    <w:p w14:paraId="146D61A8"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וַיְדַבֵּ֥ר יְהוָ֖ה אֶל־מֹשֶׁ֥ה לֵּאמֹֽר׃</w:t>
      </w:r>
    </w:p>
    <w:p w14:paraId="434835B5" w14:textId="1105A27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der Ewige redete zu Mosche, sagend:</w:t>
      </w:r>
    </w:p>
    <w:p w14:paraId="44414C20"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6296AADB">
          <v:rect id="_x0000_i1515" style="width:0;height:1.5pt" o:hralign="center" o:hrstd="t" o:hr="t" fillcolor="#a0a0a0" stroked="f"/>
        </w:pict>
      </w:r>
    </w:p>
    <w:p w14:paraId="18124CA2" w14:textId="1875BC5D"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וידבר יהוה אל־משה לאמר</w:t>
      </w:r>
      <w:r w:rsidRPr="00992CEC">
        <w:rPr>
          <w:rFonts w:eastAsia="Times New Roman" w:cs="Times New Roman"/>
          <w:rtl/>
          <w:lang w:eastAsia="de-DE"/>
        </w:rPr>
        <w:t xml:space="preserve"> </w:t>
      </w:r>
      <w:r w:rsidRPr="00992CEC">
        <w:rPr>
          <w:rFonts w:eastAsia="Times New Roman" w:cs="Times New Roman"/>
          <w:lang w:eastAsia="de-DE"/>
        </w:rPr>
        <w:t xml:space="preserve">als Standardeinleitungsformel für neue Gesetzesabschnitte. </w:t>
      </w:r>
      <w:r w:rsidRPr="00992CEC">
        <w:rPr>
          <w:rFonts w:eastAsia="Times New Roman" w:cs="Times New Roman"/>
          <w:b/>
          <w:bCs/>
          <w:rtl/>
          <w:lang w:eastAsia="de-DE"/>
        </w:rPr>
        <w:t>וידבר</w:t>
      </w:r>
      <w:r w:rsidRPr="00992CEC">
        <w:rPr>
          <w:rFonts w:eastAsia="Times New Roman" w:cs="Times New Roman"/>
          <w:rtl/>
          <w:lang w:eastAsia="de-DE"/>
        </w:rPr>
        <w:t xml:space="preserve"> </w:t>
      </w:r>
      <w:r w:rsidRPr="00992CEC">
        <w:rPr>
          <w:rFonts w:eastAsia="Times New Roman" w:cs="Times New Roman"/>
          <w:lang w:eastAsia="de-DE"/>
        </w:rPr>
        <w:t xml:space="preserve">(und er redete) im Piel-Imperfekt mit Waw-Konsekutiv - das Piel </w:t>
      </w:r>
      <w:r w:rsidRPr="00992CEC">
        <w:rPr>
          <w:rFonts w:eastAsia="Times New Roman" w:cs="Times New Roman"/>
          <w:lang w:eastAsia="de-DE"/>
        </w:rPr>
        <w:lastRenderedPageBreak/>
        <w:t xml:space="preserve">zeigt intensives oder wiederholtes Sprechen, hier als autoritatives göttliches Reden zu verstehen. </w:t>
      </w:r>
      <w:r w:rsidRPr="00992CEC">
        <w:rPr>
          <w:rFonts w:eastAsia="Times New Roman" w:cs="Times New Roman"/>
          <w:b/>
          <w:bCs/>
          <w:rtl/>
          <w:lang w:eastAsia="de-DE"/>
        </w:rPr>
        <w:t>לאמר</w:t>
      </w:r>
      <w:r w:rsidRPr="00992CEC">
        <w:rPr>
          <w:rFonts w:eastAsia="Times New Roman" w:cs="Times New Roman"/>
          <w:rtl/>
          <w:lang w:eastAsia="de-DE"/>
        </w:rPr>
        <w:t xml:space="preserve"> </w:t>
      </w:r>
      <w:r w:rsidRPr="00992CEC">
        <w:rPr>
          <w:rFonts w:eastAsia="Times New Roman" w:cs="Times New Roman"/>
          <w:lang w:eastAsia="de-DE"/>
        </w:rPr>
        <w:t>(sagend) als Infinitiv-</w:t>
      </w:r>
      <w:r w:rsidR="005407E2">
        <w:rPr>
          <w:rFonts w:eastAsia="Times New Roman" w:cs="Times New Roman"/>
          <w:lang w:eastAsia="de-DE"/>
        </w:rPr>
        <w:t>Constructus</w:t>
      </w:r>
      <w:r w:rsidRPr="00992CEC">
        <w:rPr>
          <w:rFonts w:eastAsia="Times New Roman" w:cs="Times New Roman"/>
          <w:lang w:eastAsia="de-DE"/>
        </w:rPr>
        <w:t xml:space="preserve"> von </w:t>
      </w:r>
      <w:r w:rsidRPr="00992CEC">
        <w:rPr>
          <w:rFonts w:eastAsia="Times New Roman" w:cs="Times New Roman"/>
          <w:b/>
          <w:bCs/>
          <w:rtl/>
          <w:lang w:eastAsia="de-DE"/>
        </w:rPr>
        <w:t>אמר</w:t>
      </w:r>
      <w:r w:rsidRPr="00992CEC">
        <w:rPr>
          <w:rFonts w:eastAsia="Times New Roman" w:cs="Times New Roman"/>
          <w:rtl/>
          <w:lang w:eastAsia="de-DE"/>
        </w:rPr>
        <w:t xml:space="preserve"> </w:t>
      </w:r>
      <w:r w:rsidRPr="00992CEC">
        <w:rPr>
          <w:rFonts w:eastAsia="Times New Roman" w:cs="Times New Roman"/>
          <w:lang w:eastAsia="de-DE"/>
        </w:rPr>
        <w:t>leitet die folgende Rede ein.</w:t>
      </w:r>
    </w:p>
    <w:p w14:paraId="111290A3"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וידבר</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ἐλάλησεν</w:t>
      </w:r>
      <w:proofErr w:type="spellEnd"/>
      <w:r w:rsidRPr="00992CEC">
        <w:rPr>
          <w:rFonts w:eastAsia="Times New Roman" w:cs="Times New Roman"/>
          <w:lang w:eastAsia="de-DE"/>
        </w:rPr>
        <w:t xml:space="preserve"> (er sprach) und </w:t>
      </w:r>
      <w:r w:rsidRPr="00992CEC">
        <w:rPr>
          <w:rFonts w:eastAsia="Times New Roman" w:cs="Times New Roman"/>
          <w:b/>
          <w:bCs/>
          <w:rtl/>
          <w:lang w:eastAsia="de-DE"/>
        </w:rPr>
        <w:t>לאמר</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λέγων</w:t>
      </w:r>
      <w:proofErr w:type="spellEnd"/>
      <w:r w:rsidRPr="00992CEC">
        <w:rPr>
          <w:rFonts w:eastAsia="Times New Roman" w:cs="Times New Roman"/>
          <w:lang w:eastAsia="de-DE"/>
        </w:rPr>
        <w:t xml:space="preserve"> (sagend).</w:t>
      </w:r>
    </w:p>
    <w:p w14:paraId="10437005" w14:textId="26DD3543"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neue Offenbarungseinleitung: göttliches autoritatives Sprechen + Empfängeridentifikation + Redeeinleitung.</w:t>
      </w:r>
    </w:p>
    <w:p w14:paraId="0F5111A0" w14:textId="03FC6B31" w:rsidR="001E05CF" w:rsidRPr="00992CEC" w:rsidRDefault="001E05CF" w:rsidP="00992CEC">
      <w:pPr>
        <w:spacing w:before="100" w:beforeAutospacing="1" w:after="100" w:afterAutospacing="1" w:line="240" w:lineRule="auto"/>
        <w:rPr>
          <w:rFonts w:eastAsia="Times New Roman" w:cs="Times New Roman"/>
          <w:lang w:eastAsia="de-DE"/>
        </w:rPr>
      </w:pPr>
      <w:r>
        <w:t>JHWH redet zu Mose mit der Standardoffenbarungsformel.</w:t>
      </w:r>
    </w:p>
    <w:p w14:paraId="062D2924"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17,2</w:t>
      </w:r>
    </w:p>
    <w:p w14:paraId="0D8FFBD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דַּבֵּ֨ר אֶֽל־אַהֲרֹ֜ן וְאֶל־בָּנָ֗יו וְאֶל֙ כָּל־בְּנֵ֣י יִשְׂרָאֵ֔ל וְאָמַרְתָּ֖ אֲלֵיהֶ֑ם זֶ֣ה הַדָּבָ֔ר אֲשֶׁר־צִוָּ֥ה יְהוָ֖ה לֵאמֹֽר׃</w:t>
      </w:r>
    </w:p>
    <w:p w14:paraId="67BCE53B" w14:textId="3D6F4166"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Rede zu 'Aharon und zu seinen Söhnen und zu allen Söhnen Jisra'els und sage zu ihnen: Dies ist die Sache, die der Ewige geboten hat, sagend:</w:t>
      </w:r>
    </w:p>
    <w:p w14:paraId="54B2F3E1"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9259183">
          <v:rect id="_x0000_i1516" style="width:0;height:1.5pt" o:hralign="center" o:hrstd="t" o:hr="t" fillcolor="#a0a0a0" stroked="f"/>
        </w:pict>
      </w:r>
    </w:p>
    <w:p w14:paraId="7042EAB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דבר אל־אהרן ואל־בניו ואל כל־בני ישראל ואמרת אליהם זה הדבר אשר־צוה יהוה לאמר</w:t>
      </w:r>
      <w:r w:rsidRPr="00992CEC">
        <w:rPr>
          <w:rFonts w:eastAsia="Times New Roman" w:cs="Times New Roman"/>
          <w:rtl/>
          <w:lang w:eastAsia="de-DE"/>
        </w:rPr>
        <w:t xml:space="preserve"> </w:t>
      </w:r>
      <w:r w:rsidRPr="00992CEC">
        <w:rPr>
          <w:rFonts w:eastAsia="Times New Roman" w:cs="Times New Roman"/>
          <w:lang w:eastAsia="de-DE"/>
        </w:rPr>
        <w:t xml:space="preserve">zeigt umfassende Adressierung und göttliche Autorität. </w:t>
      </w:r>
      <w:r w:rsidRPr="00992CEC">
        <w:rPr>
          <w:rFonts w:eastAsia="Times New Roman" w:cs="Times New Roman"/>
          <w:b/>
          <w:bCs/>
          <w:rtl/>
          <w:lang w:eastAsia="de-DE"/>
        </w:rPr>
        <w:t>דבר</w:t>
      </w:r>
      <w:r w:rsidRPr="00992CEC">
        <w:rPr>
          <w:rFonts w:eastAsia="Times New Roman" w:cs="Times New Roman"/>
          <w:rtl/>
          <w:lang w:eastAsia="de-DE"/>
        </w:rPr>
        <w:t xml:space="preserve"> </w:t>
      </w:r>
      <w:r w:rsidRPr="00992CEC">
        <w:rPr>
          <w:rFonts w:eastAsia="Times New Roman" w:cs="Times New Roman"/>
          <w:lang w:eastAsia="de-DE"/>
        </w:rPr>
        <w:t xml:space="preserve">(rede) im Piel-Imperativ - das Piel zeigt intensive Verkündigung. Die dreifache Adressierung </w:t>
      </w:r>
      <w:r w:rsidRPr="00992CEC">
        <w:rPr>
          <w:rFonts w:eastAsia="Times New Roman" w:cs="Times New Roman"/>
          <w:b/>
          <w:bCs/>
          <w:rtl/>
          <w:lang w:eastAsia="de-DE"/>
        </w:rPr>
        <w:t>אל־אהרן ואל־בניו ואל כל־בני ישראל</w:t>
      </w:r>
      <w:r w:rsidRPr="00992CEC">
        <w:rPr>
          <w:rFonts w:eastAsia="Times New Roman" w:cs="Times New Roman"/>
          <w:rtl/>
          <w:lang w:eastAsia="de-DE"/>
        </w:rPr>
        <w:t xml:space="preserve"> </w:t>
      </w:r>
      <w:r w:rsidRPr="00992CEC">
        <w:rPr>
          <w:rFonts w:eastAsia="Times New Roman" w:cs="Times New Roman"/>
          <w:lang w:eastAsia="de-DE"/>
        </w:rPr>
        <w:t>(zu Aaron und zu seinen Söhnen und zu allen Söhnen Israels) umfasst Hohepriester, Priesterschaft und gesamtes Volk.</w:t>
      </w:r>
    </w:p>
    <w:p w14:paraId="52331824" w14:textId="31ACAF78"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ואמרת אליהם</w:t>
      </w:r>
      <w:r w:rsidRPr="00992CEC">
        <w:rPr>
          <w:rFonts w:eastAsia="Times New Roman" w:cs="Times New Roman"/>
          <w:rtl/>
          <w:lang w:eastAsia="de-DE"/>
        </w:rPr>
        <w:t xml:space="preserve"> </w:t>
      </w:r>
      <w:r w:rsidRPr="00992CEC">
        <w:rPr>
          <w:rFonts w:eastAsia="Times New Roman" w:cs="Times New Roman"/>
          <w:lang w:eastAsia="de-DE"/>
        </w:rPr>
        <w:t xml:space="preserve">(und sage zu ihnen) im Qal-Perfekt mit Waw-Konsekutiv als Weitergabeauftrag. </w:t>
      </w:r>
      <w:r w:rsidRPr="00992CEC">
        <w:rPr>
          <w:rFonts w:eastAsia="Times New Roman" w:cs="Times New Roman"/>
          <w:b/>
          <w:bCs/>
          <w:rtl/>
          <w:lang w:eastAsia="de-DE"/>
        </w:rPr>
        <w:t>זה הדבר אשר־צוה יהוה</w:t>
      </w:r>
      <w:r w:rsidRPr="00992CEC">
        <w:rPr>
          <w:rFonts w:eastAsia="Times New Roman" w:cs="Times New Roman"/>
          <w:rtl/>
          <w:lang w:eastAsia="de-DE"/>
        </w:rPr>
        <w:t xml:space="preserve"> </w:t>
      </w:r>
      <w:r w:rsidRPr="00992CEC">
        <w:rPr>
          <w:rFonts w:eastAsia="Times New Roman" w:cs="Times New Roman"/>
          <w:lang w:eastAsia="de-DE"/>
        </w:rPr>
        <w:t xml:space="preserve">(dies ist die Sache, die der </w:t>
      </w:r>
      <w:r w:rsidR="004603C6">
        <w:rPr>
          <w:rFonts w:eastAsia="Times New Roman" w:cs="Times New Roman"/>
          <w:lang w:eastAsia="de-DE"/>
        </w:rPr>
        <w:t>Ewige</w:t>
      </w:r>
      <w:r w:rsidRPr="00992CEC">
        <w:rPr>
          <w:rFonts w:eastAsia="Times New Roman" w:cs="Times New Roman"/>
          <w:lang w:eastAsia="de-DE"/>
        </w:rPr>
        <w:t xml:space="preserve"> geboten hat) - </w:t>
      </w:r>
      <w:r w:rsidRPr="00992CEC">
        <w:rPr>
          <w:rFonts w:eastAsia="Times New Roman" w:cs="Times New Roman"/>
          <w:b/>
          <w:bCs/>
          <w:rtl/>
          <w:lang w:eastAsia="de-DE"/>
        </w:rPr>
        <w:t>צוה</w:t>
      </w:r>
      <w:r w:rsidRPr="00992CEC">
        <w:rPr>
          <w:rFonts w:eastAsia="Times New Roman" w:cs="Times New Roman"/>
          <w:rtl/>
          <w:lang w:eastAsia="de-DE"/>
        </w:rPr>
        <w:t xml:space="preserve"> </w:t>
      </w:r>
      <w:r w:rsidRPr="00992CEC">
        <w:rPr>
          <w:rFonts w:eastAsia="Times New Roman" w:cs="Times New Roman"/>
          <w:lang w:eastAsia="de-DE"/>
        </w:rPr>
        <w:t>(geboten hat) im Piel-Perfekt betont göttliche Autorität.</w:t>
      </w:r>
    </w:p>
    <w:p w14:paraId="0D31F69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דבר</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λάλησον</w:t>
      </w:r>
      <w:proofErr w:type="spellEnd"/>
      <w:r w:rsidRPr="00992CEC">
        <w:rPr>
          <w:rFonts w:eastAsia="Times New Roman" w:cs="Times New Roman"/>
          <w:lang w:eastAsia="de-DE"/>
        </w:rPr>
        <w:t xml:space="preserve"> (sprich), </w:t>
      </w:r>
      <w:r w:rsidRPr="00992CEC">
        <w:rPr>
          <w:rFonts w:eastAsia="Times New Roman" w:cs="Times New Roman"/>
          <w:b/>
          <w:bCs/>
          <w:rtl/>
          <w:lang w:eastAsia="de-DE"/>
        </w:rPr>
        <w:t>ואמרת</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ἐρεῖς</w:t>
      </w:r>
      <w:proofErr w:type="spellEnd"/>
      <w:r w:rsidRPr="00992CEC">
        <w:rPr>
          <w:rFonts w:eastAsia="Times New Roman" w:cs="Times New Roman"/>
          <w:lang w:eastAsia="de-DE"/>
        </w:rPr>
        <w:t xml:space="preserve"> (du wirst sagen) und </w:t>
      </w:r>
      <w:r w:rsidRPr="00992CEC">
        <w:rPr>
          <w:rFonts w:eastAsia="Times New Roman" w:cs="Times New Roman"/>
          <w:b/>
          <w:bCs/>
          <w:rtl/>
          <w:lang w:eastAsia="de-DE"/>
        </w:rPr>
        <w:t>צוה</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ἐνετείλ</w:t>
      </w:r>
      <w:proofErr w:type="spellEnd"/>
      <w:r w:rsidRPr="00992CEC">
        <w:rPr>
          <w:rFonts w:eastAsia="Times New Roman" w:cs="Times New Roman"/>
          <w:lang w:eastAsia="de-DE"/>
        </w:rPr>
        <w:t>ατο (er befahl).</w:t>
      </w:r>
    </w:p>
    <w:p w14:paraId="50CEE78F" w14:textId="503A6E54"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autoritative Verkündigung: Piel-Redeauftrag + umfassende Adressierung + Weitergabeauftrag + göttliche Autoritätsbetonung.</w:t>
      </w:r>
    </w:p>
    <w:p w14:paraId="6CA77929" w14:textId="17739E20" w:rsidR="001E05CF" w:rsidRPr="00992CEC" w:rsidRDefault="001E05CF" w:rsidP="00992CEC">
      <w:pPr>
        <w:spacing w:before="100" w:beforeAutospacing="1" w:after="100" w:afterAutospacing="1" w:line="240" w:lineRule="auto"/>
        <w:rPr>
          <w:rFonts w:eastAsia="Times New Roman" w:cs="Times New Roman"/>
          <w:lang w:eastAsia="de-DE"/>
        </w:rPr>
      </w:pPr>
      <w:r>
        <w:t>Mose soll Aaron, seine Söhne und ganz Israel ansprechen und ihnen JHWHs Gebot verkünden.</w:t>
      </w:r>
    </w:p>
    <w:p w14:paraId="2C9642D3"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17,3</w:t>
      </w:r>
    </w:p>
    <w:p w14:paraId="1B8E656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אִ֥ישׁ אִישׁ֙ מִבֵּ֣ית יִשְׂרָאֵ֔ל אֲשֶׁ֨ר יִשְׁחַ֜ט שׁ֥וֹר אוֹ־כֶ֛שֶׂב אוֹ־עֵ֖ז בַּֽמַּחֲנֶ֑ה א֚וֹ אֲשֶׁ֣ר יִשְׁחַ֔ט מִח֖וּץ לַֽמַּחֲנֶֽה׃</w:t>
      </w:r>
    </w:p>
    <w:p w14:paraId="40D41414" w14:textId="7F70588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Mann für Mann vom Haus Jisra'el, der ein Rind oder ein Schaf oder eine Ziege im Lager schlachtet, oder der außerhalb des Lagers schlachtet,</w:t>
      </w:r>
    </w:p>
    <w:p w14:paraId="231314F1"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14C3564">
          <v:rect id="_x0000_i1517" style="width:0;height:1.5pt" o:hralign="center" o:hrstd="t" o:hr="t" fillcolor="#a0a0a0" stroked="f"/>
        </w:pict>
      </w:r>
    </w:p>
    <w:p w14:paraId="2E17149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איש איש מבית ישראל אשר ישחט שור או־כשב או־עז במחנה או אשר ישחט מחוץ למחנה</w:t>
      </w:r>
      <w:r w:rsidRPr="00992CEC">
        <w:rPr>
          <w:rFonts w:eastAsia="Times New Roman" w:cs="Times New Roman"/>
          <w:rtl/>
          <w:lang w:eastAsia="de-DE"/>
        </w:rPr>
        <w:t xml:space="preserve"> </w:t>
      </w:r>
      <w:r w:rsidRPr="00992CEC">
        <w:rPr>
          <w:rFonts w:eastAsia="Times New Roman" w:cs="Times New Roman"/>
          <w:lang w:eastAsia="de-DE"/>
        </w:rPr>
        <w:t xml:space="preserve">definiert die regulierten Personen und Handlungen. </w:t>
      </w:r>
      <w:r w:rsidRPr="00992CEC">
        <w:rPr>
          <w:rFonts w:eastAsia="Times New Roman" w:cs="Times New Roman"/>
          <w:b/>
          <w:bCs/>
          <w:rtl/>
          <w:lang w:eastAsia="de-DE"/>
        </w:rPr>
        <w:t>איש איש</w:t>
      </w:r>
      <w:r w:rsidRPr="00992CEC">
        <w:rPr>
          <w:rFonts w:eastAsia="Times New Roman" w:cs="Times New Roman"/>
          <w:rtl/>
          <w:lang w:eastAsia="de-DE"/>
        </w:rPr>
        <w:t xml:space="preserve"> </w:t>
      </w:r>
      <w:r w:rsidRPr="00992CEC">
        <w:rPr>
          <w:rFonts w:eastAsia="Times New Roman" w:cs="Times New Roman"/>
          <w:lang w:eastAsia="de-DE"/>
        </w:rPr>
        <w:t xml:space="preserve">(jeder Mann) als </w:t>
      </w:r>
      <w:r w:rsidRPr="00992CEC">
        <w:rPr>
          <w:rFonts w:eastAsia="Times New Roman" w:cs="Times New Roman"/>
          <w:lang w:eastAsia="de-DE"/>
        </w:rPr>
        <w:lastRenderedPageBreak/>
        <w:t xml:space="preserve">distributive Verdopplung zeigt universelle Anwendung auf alle israelitischen Männer. </w:t>
      </w:r>
      <w:r w:rsidRPr="00992CEC">
        <w:rPr>
          <w:rFonts w:eastAsia="Times New Roman" w:cs="Times New Roman"/>
          <w:b/>
          <w:bCs/>
          <w:rtl/>
          <w:lang w:eastAsia="de-DE"/>
        </w:rPr>
        <w:t>מבית ישראל</w:t>
      </w:r>
      <w:r w:rsidRPr="00992CEC">
        <w:rPr>
          <w:rFonts w:eastAsia="Times New Roman" w:cs="Times New Roman"/>
          <w:rtl/>
          <w:lang w:eastAsia="de-DE"/>
        </w:rPr>
        <w:t xml:space="preserve"> </w:t>
      </w:r>
      <w:r w:rsidRPr="00992CEC">
        <w:rPr>
          <w:rFonts w:eastAsia="Times New Roman" w:cs="Times New Roman"/>
          <w:lang w:eastAsia="de-DE"/>
        </w:rPr>
        <w:t>(vom Haus Israel) schränkt auf Israeliten ein im Unterschied zu den Fremden, die später erwähnt werden.</w:t>
      </w:r>
    </w:p>
    <w:p w14:paraId="467D3FF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אשר ישחט שור או־כשב או־עז</w:t>
      </w:r>
      <w:r w:rsidRPr="00992CEC">
        <w:rPr>
          <w:rFonts w:eastAsia="Times New Roman" w:cs="Times New Roman"/>
          <w:rtl/>
          <w:lang w:eastAsia="de-DE"/>
        </w:rPr>
        <w:t xml:space="preserve"> </w:t>
      </w:r>
      <w:r w:rsidRPr="00992CEC">
        <w:rPr>
          <w:rFonts w:eastAsia="Times New Roman" w:cs="Times New Roman"/>
          <w:lang w:eastAsia="de-DE"/>
        </w:rPr>
        <w:t xml:space="preserve">(der schlachtet ein Rind oder ein Schaf oder eine Ziege) - </w:t>
      </w:r>
      <w:r w:rsidRPr="00992CEC">
        <w:rPr>
          <w:rFonts w:eastAsia="Times New Roman" w:cs="Times New Roman"/>
          <w:b/>
          <w:bCs/>
          <w:rtl/>
          <w:lang w:eastAsia="de-DE"/>
        </w:rPr>
        <w:t>ישחט</w:t>
      </w:r>
      <w:r w:rsidRPr="00992CEC">
        <w:rPr>
          <w:rFonts w:eastAsia="Times New Roman" w:cs="Times New Roman"/>
          <w:rtl/>
          <w:lang w:eastAsia="de-DE"/>
        </w:rPr>
        <w:t xml:space="preserve"> </w:t>
      </w:r>
      <w:r w:rsidRPr="00992CEC">
        <w:rPr>
          <w:rFonts w:eastAsia="Times New Roman" w:cs="Times New Roman"/>
          <w:lang w:eastAsia="de-DE"/>
        </w:rPr>
        <w:t xml:space="preserve">(schlachtet) im Qal-Imperfekt zeigt gewohnheitsmäßige oder künftige Handlung. Die drei Tierarten </w:t>
      </w:r>
      <w:r w:rsidRPr="00992CEC">
        <w:rPr>
          <w:rFonts w:eastAsia="Times New Roman" w:cs="Times New Roman"/>
          <w:b/>
          <w:bCs/>
          <w:rtl/>
          <w:lang w:eastAsia="de-DE"/>
        </w:rPr>
        <w:t>שור</w:t>
      </w:r>
      <w:r w:rsidRPr="00992CEC">
        <w:rPr>
          <w:rFonts w:eastAsia="Times New Roman" w:cs="Times New Roman"/>
          <w:rtl/>
          <w:lang w:eastAsia="de-DE"/>
        </w:rPr>
        <w:t xml:space="preserve"> </w:t>
      </w:r>
      <w:r w:rsidRPr="00992CEC">
        <w:rPr>
          <w:rFonts w:eastAsia="Times New Roman" w:cs="Times New Roman"/>
          <w:lang w:eastAsia="de-DE"/>
        </w:rPr>
        <w:t xml:space="preserve">(Rind), </w:t>
      </w:r>
      <w:r w:rsidRPr="00992CEC">
        <w:rPr>
          <w:rFonts w:eastAsia="Times New Roman" w:cs="Times New Roman"/>
          <w:b/>
          <w:bCs/>
          <w:rtl/>
          <w:lang w:eastAsia="de-DE"/>
        </w:rPr>
        <w:t>כשב</w:t>
      </w:r>
      <w:r w:rsidRPr="00992CEC">
        <w:rPr>
          <w:rFonts w:eastAsia="Times New Roman" w:cs="Times New Roman"/>
          <w:rtl/>
          <w:lang w:eastAsia="de-DE"/>
        </w:rPr>
        <w:t xml:space="preserve"> </w:t>
      </w:r>
      <w:r w:rsidRPr="00992CEC">
        <w:rPr>
          <w:rFonts w:eastAsia="Times New Roman" w:cs="Times New Roman"/>
          <w:lang w:eastAsia="de-DE"/>
        </w:rPr>
        <w:t xml:space="preserve">(Schaf), </w:t>
      </w:r>
      <w:r w:rsidRPr="00992CEC">
        <w:rPr>
          <w:rFonts w:eastAsia="Times New Roman" w:cs="Times New Roman"/>
          <w:b/>
          <w:bCs/>
          <w:rtl/>
          <w:lang w:eastAsia="de-DE"/>
        </w:rPr>
        <w:t>עז</w:t>
      </w:r>
      <w:r w:rsidRPr="00992CEC">
        <w:rPr>
          <w:rFonts w:eastAsia="Times New Roman" w:cs="Times New Roman"/>
          <w:rtl/>
          <w:lang w:eastAsia="de-DE"/>
        </w:rPr>
        <w:t xml:space="preserve"> </w:t>
      </w:r>
      <w:r w:rsidRPr="00992CEC">
        <w:rPr>
          <w:rFonts w:eastAsia="Times New Roman" w:cs="Times New Roman"/>
          <w:lang w:eastAsia="de-DE"/>
        </w:rPr>
        <w:t>(Ziege) umfassen die wichtigsten Opfertiere.</w:t>
      </w:r>
    </w:p>
    <w:p w14:paraId="4E0CBF0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במחנה או אשר ישחט מחוץ למחנה</w:t>
      </w:r>
      <w:r w:rsidRPr="00992CEC">
        <w:rPr>
          <w:rFonts w:eastAsia="Times New Roman" w:cs="Times New Roman"/>
          <w:rtl/>
          <w:lang w:eastAsia="de-DE"/>
        </w:rPr>
        <w:t xml:space="preserve"> </w:t>
      </w:r>
      <w:r w:rsidRPr="00992CEC">
        <w:rPr>
          <w:rFonts w:eastAsia="Times New Roman" w:cs="Times New Roman"/>
          <w:lang w:eastAsia="de-DE"/>
        </w:rPr>
        <w:t>(im Lager oder der außerhalb des Lagers schlachtet) zeigt umfassende örtliche Regelung - sowohl innerhalb als auch außerhalb des Lagers.</w:t>
      </w:r>
    </w:p>
    <w:p w14:paraId="5A093B8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איש איש</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ἄνθρω</w:t>
      </w:r>
      <w:proofErr w:type="spellEnd"/>
      <w:r w:rsidRPr="00992CEC">
        <w:rPr>
          <w:rFonts w:eastAsia="Times New Roman" w:cs="Times New Roman"/>
          <w:lang w:eastAsia="de-DE"/>
        </w:rPr>
        <w:t xml:space="preserve">πος </w:t>
      </w:r>
      <w:proofErr w:type="spellStart"/>
      <w:r w:rsidRPr="00992CEC">
        <w:rPr>
          <w:rFonts w:eastAsia="Times New Roman" w:cs="Times New Roman"/>
          <w:lang w:eastAsia="de-DE"/>
        </w:rPr>
        <w:t>ἄνθρω</w:t>
      </w:r>
      <w:proofErr w:type="spellEnd"/>
      <w:r w:rsidRPr="00992CEC">
        <w:rPr>
          <w:rFonts w:eastAsia="Times New Roman" w:cs="Times New Roman"/>
          <w:lang w:eastAsia="de-DE"/>
        </w:rPr>
        <w:t xml:space="preserve">πος (Mensch Mensch), </w:t>
      </w:r>
      <w:r w:rsidRPr="00992CEC">
        <w:rPr>
          <w:rFonts w:eastAsia="Times New Roman" w:cs="Times New Roman"/>
          <w:b/>
          <w:bCs/>
          <w:rtl/>
          <w:lang w:eastAsia="de-DE"/>
        </w:rPr>
        <w:t>ישחט</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σφάξῃ</w:t>
      </w:r>
      <w:proofErr w:type="spellEnd"/>
      <w:r w:rsidRPr="00992CEC">
        <w:rPr>
          <w:rFonts w:eastAsia="Times New Roman" w:cs="Times New Roman"/>
          <w:lang w:eastAsia="de-DE"/>
        </w:rPr>
        <w:t xml:space="preserve"> (schlachtet) und </w:t>
      </w:r>
      <w:r w:rsidRPr="00992CEC">
        <w:rPr>
          <w:rFonts w:eastAsia="Times New Roman" w:cs="Times New Roman"/>
          <w:b/>
          <w:bCs/>
          <w:rtl/>
          <w:lang w:eastAsia="de-DE"/>
        </w:rPr>
        <w:t>מחוץ למחנה</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ἔξω</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τῆς</w:t>
      </w:r>
      <w:proofErr w:type="spellEnd"/>
      <w:r w:rsidRPr="00992CEC">
        <w:rPr>
          <w:rFonts w:eastAsia="Times New Roman" w:cs="Times New Roman"/>
          <w:lang w:eastAsia="de-DE"/>
        </w:rPr>
        <w:t xml:space="preserve"> πα</w:t>
      </w:r>
      <w:proofErr w:type="spellStart"/>
      <w:r w:rsidRPr="00992CEC">
        <w:rPr>
          <w:rFonts w:eastAsia="Times New Roman" w:cs="Times New Roman"/>
          <w:lang w:eastAsia="de-DE"/>
        </w:rPr>
        <w:t>ρεμ</w:t>
      </w:r>
      <w:proofErr w:type="spellEnd"/>
      <w:r w:rsidRPr="00992CEC">
        <w:rPr>
          <w:rFonts w:eastAsia="Times New Roman" w:cs="Times New Roman"/>
          <w:lang w:eastAsia="de-DE"/>
        </w:rPr>
        <w:t>βολῆς (außerhalb des Lagers).</w:t>
      </w:r>
    </w:p>
    <w:p w14:paraId="2F3D3E33" w14:textId="77A28EC7"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Regelungsumfang: universelle Personenerfassung + spezifische Tierarten + umfassende Ortsangaben. Die Struktur zeigt den totalitären Anspruch der Schlachtungsregulierung.</w:t>
      </w:r>
    </w:p>
    <w:p w14:paraId="324C60B4" w14:textId="21AD50EC" w:rsidR="001E05CF" w:rsidRPr="00992CEC" w:rsidRDefault="001E05CF" w:rsidP="00992CEC">
      <w:pPr>
        <w:spacing w:before="100" w:beforeAutospacing="1" w:after="100" w:afterAutospacing="1" w:line="240" w:lineRule="auto"/>
        <w:rPr>
          <w:rFonts w:eastAsia="Times New Roman" w:cs="Times New Roman"/>
          <w:lang w:eastAsia="de-DE"/>
        </w:rPr>
      </w:pPr>
      <w:r>
        <w:t>Jeder Israelit, der Rind, Schaf oder Ziege im oder außerhalb des Lagers schlachtet.</w:t>
      </w:r>
    </w:p>
    <w:p w14:paraId="5B87FF0C"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17,4</w:t>
      </w:r>
    </w:p>
    <w:p w14:paraId="0B50450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וְאֶל־פֶּ֜תַח אֹ֣הֶל מוֹעֵד֮ לֹ֣א הֱבִיאוֹ֒ לְהַקְרִ֤יב קָרְבָּן֙ לַֽיהוָ֔ה לִפְנֵ֖י מִשְׁכַּ֣ן יְהוָ֑ה דָּ֣ם יֵחָשֵׁ֞ב לָאִ֤ישׁ הַהוּא֙ דָּ֣ם שָׁפָ֔ךְ וְנִכְרַ֛ת הָאִ֥ישׁ הַה֖וּא מִקֶּ֥רֶב עַמֹּֽו׃</w:t>
      </w:r>
    </w:p>
    <w:p w14:paraId="21740272" w14:textId="1CEA58A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es nicht an den Eingang des Zeltes der Begegnung bringt, um es darzubringen als Opfergabe dem Ewigen vor der Wohnung des Ewigen, diesem Mann soll es zugerechnet werden als Blut: Blut hat er vergossen, und ausgerottet werden soll dieser Mann aus der Mitte seines Volkes;</w:t>
      </w:r>
    </w:p>
    <w:p w14:paraId="7A8E8309"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3A91F43">
          <v:rect id="_x0000_i1518" style="width:0;height:1.5pt" o:hralign="center" o:hrstd="t" o:hr="t" fillcolor="#a0a0a0" stroked="f"/>
        </w:pict>
      </w:r>
    </w:p>
    <w:p w14:paraId="4845F63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ואל־פתח אהל מועד לא הביאו להקריב קרבן ליהוה לפני משכן יהוה דם יחשב לאיש ההוא דם שפך ונכרת האיש ההוא מקרב עמו</w:t>
      </w:r>
      <w:r w:rsidRPr="00992CEC">
        <w:rPr>
          <w:rFonts w:eastAsia="Times New Roman" w:cs="Times New Roman"/>
          <w:rtl/>
          <w:lang w:eastAsia="de-DE"/>
        </w:rPr>
        <w:t xml:space="preserve"> </w:t>
      </w:r>
      <w:r w:rsidRPr="00992CEC">
        <w:rPr>
          <w:rFonts w:eastAsia="Times New Roman" w:cs="Times New Roman"/>
          <w:lang w:eastAsia="de-DE"/>
        </w:rPr>
        <w:t xml:space="preserve">zeigt das Vergehen und seine Strafe. </w:t>
      </w:r>
      <w:r w:rsidRPr="00992CEC">
        <w:rPr>
          <w:rFonts w:eastAsia="Times New Roman" w:cs="Times New Roman"/>
          <w:b/>
          <w:bCs/>
          <w:rtl/>
          <w:lang w:eastAsia="de-DE"/>
        </w:rPr>
        <w:t>ואל־פתח אהל מועד לא הביאו</w:t>
      </w:r>
      <w:r w:rsidRPr="00992CEC">
        <w:rPr>
          <w:rFonts w:eastAsia="Times New Roman" w:cs="Times New Roman"/>
          <w:rtl/>
          <w:lang w:eastAsia="de-DE"/>
        </w:rPr>
        <w:t xml:space="preserve"> </w:t>
      </w:r>
      <w:r w:rsidRPr="00992CEC">
        <w:rPr>
          <w:rFonts w:eastAsia="Times New Roman" w:cs="Times New Roman"/>
          <w:lang w:eastAsia="de-DE"/>
        </w:rPr>
        <w:t xml:space="preserve">(und es nicht an den Eingang des Zeltes der Begegnung bringt) - </w:t>
      </w:r>
      <w:r w:rsidRPr="00992CEC">
        <w:rPr>
          <w:rFonts w:eastAsia="Times New Roman" w:cs="Times New Roman"/>
          <w:b/>
          <w:bCs/>
          <w:rtl/>
          <w:lang w:eastAsia="de-DE"/>
        </w:rPr>
        <w:t>הביא</w:t>
      </w:r>
      <w:r w:rsidRPr="00992CEC">
        <w:rPr>
          <w:rFonts w:eastAsia="Times New Roman" w:cs="Times New Roman"/>
          <w:rtl/>
          <w:lang w:eastAsia="de-DE"/>
        </w:rPr>
        <w:t xml:space="preserve"> </w:t>
      </w:r>
      <w:r w:rsidRPr="00992CEC">
        <w:rPr>
          <w:rFonts w:eastAsia="Times New Roman" w:cs="Times New Roman"/>
          <w:lang w:eastAsia="de-DE"/>
        </w:rPr>
        <w:t xml:space="preserve">(bringen) im Hifil-Perfekt, das Hifil zeigt kausatives </w:t>
      </w:r>
      <w:proofErr w:type="spellStart"/>
      <w:r w:rsidRPr="00992CEC">
        <w:rPr>
          <w:rFonts w:eastAsia="Times New Roman" w:cs="Times New Roman"/>
          <w:lang w:eastAsia="de-DE"/>
        </w:rPr>
        <w:t>Bringen</w:t>
      </w:r>
      <w:proofErr w:type="spellEnd"/>
      <w:r w:rsidRPr="00992CEC">
        <w:rPr>
          <w:rFonts w:eastAsia="Times New Roman" w:cs="Times New Roman"/>
          <w:lang w:eastAsia="de-DE"/>
        </w:rPr>
        <w:t>.</w:t>
      </w:r>
    </w:p>
    <w:p w14:paraId="3F0479AC" w14:textId="520B5C0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להקריב קרבן ליהוה לפני משכן יהוה</w:t>
      </w:r>
      <w:r w:rsidRPr="00992CEC">
        <w:rPr>
          <w:rFonts w:eastAsia="Times New Roman" w:cs="Times New Roman"/>
          <w:rtl/>
          <w:lang w:eastAsia="de-DE"/>
        </w:rPr>
        <w:t xml:space="preserve"> </w:t>
      </w:r>
      <w:r w:rsidRPr="00992CEC">
        <w:rPr>
          <w:rFonts w:eastAsia="Times New Roman" w:cs="Times New Roman"/>
          <w:lang w:eastAsia="de-DE"/>
        </w:rPr>
        <w:t xml:space="preserve">(um eine Opfergabe dem </w:t>
      </w:r>
      <w:r w:rsidR="004603C6">
        <w:rPr>
          <w:rFonts w:eastAsia="Times New Roman" w:cs="Times New Roman"/>
          <w:lang w:eastAsia="de-DE"/>
        </w:rPr>
        <w:t>Ewigen</w:t>
      </w:r>
      <w:r w:rsidRPr="00992CEC">
        <w:rPr>
          <w:rFonts w:eastAsia="Times New Roman" w:cs="Times New Roman"/>
          <w:lang w:eastAsia="de-DE"/>
        </w:rPr>
        <w:t xml:space="preserve"> darzubringen vor der Wohnung des </w:t>
      </w:r>
      <w:r w:rsidR="004603C6">
        <w:rPr>
          <w:rFonts w:eastAsia="Times New Roman" w:cs="Times New Roman"/>
          <w:lang w:eastAsia="de-DE"/>
        </w:rPr>
        <w:t>Ewigen</w:t>
      </w:r>
      <w:r w:rsidRPr="00992CEC">
        <w:rPr>
          <w:rFonts w:eastAsia="Times New Roman" w:cs="Times New Roman"/>
          <w:lang w:eastAsia="de-DE"/>
        </w:rPr>
        <w:t xml:space="preserve">) - </w:t>
      </w:r>
      <w:r w:rsidRPr="00992CEC">
        <w:rPr>
          <w:rFonts w:eastAsia="Times New Roman" w:cs="Times New Roman"/>
          <w:b/>
          <w:bCs/>
          <w:rtl/>
          <w:lang w:eastAsia="de-DE"/>
        </w:rPr>
        <w:t>להקריב</w:t>
      </w:r>
      <w:r w:rsidRPr="00992CEC">
        <w:rPr>
          <w:rFonts w:eastAsia="Times New Roman" w:cs="Times New Roman"/>
          <w:rtl/>
          <w:lang w:eastAsia="de-DE"/>
        </w:rPr>
        <w:t xml:space="preserve"> </w:t>
      </w:r>
      <w:r w:rsidRPr="00992CEC">
        <w:rPr>
          <w:rFonts w:eastAsia="Times New Roman" w:cs="Times New Roman"/>
          <w:lang w:eastAsia="de-DE"/>
        </w:rPr>
        <w:t>(um darzubringen) im Hifil-Infinitiv-</w:t>
      </w:r>
      <w:r w:rsidR="005407E2">
        <w:rPr>
          <w:rFonts w:eastAsia="Times New Roman" w:cs="Times New Roman"/>
          <w:lang w:eastAsia="de-DE"/>
        </w:rPr>
        <w:t>Constructus</w:t>
      </w:r>
      <w:r w:rsidRPr="00992CEC">
        <w:rPr>
          <w:rFonts w:eastAsia="Times New Roman" w:cs="Times New Roman"/>
          <w:lang w:eastAsia="de-DE"/>
        </w:rPr>
        <w:t xml:space="preserve"> zeigt den beabsichtigten Zweck. </w:t>
      </w:r>
      <w:r w:rsidRPr="00992CEC">
        <w:rPr>
          <w:rFonts w:eastAsia="Times New Roman" w:cs="Times New Roman"/>
          <w:b/>
          <w:bCs/>
          <w:rtl/>
          <w:lang w:eastAsia="de-DE"/>
        </w:rPr>
        <w:t>קרבן</w:t>
      </w:r>
      <w:r w:rsidRPr="00992CEC">
        <w:rPr>
          <w:rFonts w:eastAsia="Times New Roman" w:cs="Times New Roman"/>
          <w:rtl/>
          <w:lang w:eastAsia="de-DE"/>
        </w:rPr>
        <w:t xml:space="preserve"> </w:t>
      </w:r>
      <w:r w:rsidRPr="00992CEC">
        <w:rPr>
          <w:rFonts w:eastAsia="Times New Roman" w:cs="Times New Roman"/>
          <w:lang w:eastAsia="de-DE"/>
        </w:rPr>
        <w:t>(Opfergabe) als allgemeiner Begriff für alle Opferarten.</w:t>
      </w:r>
    </w:p>
    <w:p w14:paraId="29BC8A7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דם יחשב לאיש ההוא דם שפך</w:t>
      </w:r>
      <w:r w:rsidRPr="00992CEC">
        <w:rPr>
          <w:rFonts w:eastAsia="Times New Roman" w:cs="Times New Roman"/>
          <w:rtl/>
          <w:lang w:eastAsia="de-DE"/>
        </w:rPr>
        <w:t xml:space="preserve"> </w:t>
      </w:r>
      <w:r w:rsidRPr="00992CEC">
        <w:rPr>
          <w:rFonts w:eastAsia="Times New Roman" w:cs="Times New Roman"/>
          <w:lang w:eastAsia="de-DE"/>
        </w:rPr>
        <w:t xml:space="preserve">(diesem Mann soll es als Blut zugerechnet werden: Blut hat er vergossen) - </w:t>
      </w:r>
      <w:r w:rsidRPr="00992CEC">
        <w:rPr>
          <w:rFonts w:eastAsia="Times New Roman" w:cs="Times New Roman"/>
          <w:b/>
          <w:bCs/>
          <w:rtl/>
          <w:lang w:eastAsia="de-DE"/>
        </w:rPr>
        <w:t>יחשב</w:t>
      </w:r>
      <w:r w:rsidRPr="00992CEC">
        <w:rPr>
          <w:rFonts w:eastAsia="Times New Roman" w:cs="Times New Roman"/>
          <w:rtl/>
          <w:lang w:eastAsia="de-DE"/>
        </w:rPr>
        <w:t xml:space="preserve"> </w:t>
      </w:r>
      <w:r w:rsidRPr="00992CEC">
        <w:rPr>
          <w:rFonts w:eastAsia="Times New Roman" w:cs="Times New Roman"/>
          <w:lang w:eastAsia="de-DE"/>
        </w:rPr>
        <w:t xml:space="preserve">(soll zugerechnet werden) im Nifal-Imperfekt, das Nifal zeigt passive Zurechnung. </w:t>
      </w:r>
      <w:r w:rsidRPr="00992CEC">
        <w:rPr>
          <w:rFonts w:eastAsia="Times New Roman" w:cs="Times New Roman"/>
          <w:b/>
          <w:bCs/>
          <w:rtl/>
          <w:lang w:eastAsia="de-DE"/>
        </w:rPr>
        <w:t>שפך</w:t>
      </w:r>
      <w:r w:rsidRPr="00992CEC">
        <w:rPr>
          <w:rFonts w:eastAsia="Times New Roman" w:cs="Times New Roman"/>
          <w:rtl/>
          <w:lang w:eastAsia="de-DE"/>
        </w:rPr>
        <w:t xml:space="preserve"> </w:t>
      </w:r>
      <w:r w:rsidRPr="00992CEC">
        <w:rPr>
          <w:rFonts w:eastAsia="Times New Roman" w:cs="Times New Roman"/>
          <w:lang w:eastAsia="de-DE"/>
        </w:rPr>
        <w:t>(hat vergossen) im Qal-Perfekt zeigt vollendete Tat.</w:t>
      </w:r>
    </w:p>
    <w:p w14:paraId="4118959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ונכרת האיש ההוא מקרב עמו</w:t>
      </w:r>
      <w:r w:rsidRPr="00992CEC">
        <w:rPr>
          <w:rFonts w:eastAsia="Times New Roman" w:cs="Times New Roman"/>
          <w:rtl/>
          <w:lang w:eastAsia="de-DE"/>
        </w:rPr>
        <w:t xml:space="preserve"> </w:t>
      </w:r>
      <w:r w:rsidRPr="00992CEC">
        <w:rPr>
          <w:rFonts w:eastAsia="Times New Roman" w:cs="Times New Roman"/>
          <w:lang w:eastAsia="de-DE"/>
        </w:rPr>
        <w:t xml:space="preserve">(und ausgerottet werden soll dieser Mann aus der Mitte seines Volkes) - </w:t>
      </w:r>
      <w:r w:rsidRPr="00992CEC">
        <w:rPr>
          <w:rFonts w:eastAsia="Times New Roman" w:cs="Times New Roman"/>
          <w:b/>
          <w:bCs/>
          <w:rtl/>
          <w:lang w:eastAsia="de-DE"/>
        </w:rPr>
        <w:t>ונכרת</w:t>
      </w:r>
      <w:r w:rsidRPr="00992CEC">
        <w:rPr>
          <w:rFonts w:eastAsia="Times New Roman" w:cs="Times New Roman"/>
          <w:rtl/>
          <w:lang w:eastAsia="de-DE"/>
        </w:rPr>
        <w:t xml:space="preserve"> </w:t>
      </w:r>
      <w:r w:rsidRPr="00992CEC">
        <w:rPr>
          <w:rFonts w:eastAsia="Times New Roman" w:cs="Times New Roman"/>
          <w:lang w:eastAsia="de-DE"/>
        </w:rPr>
        <w:t>(und ausgerottet werden soll) im Nifal-Perfekt mit Waw-Konsekutiv als göttliche Strafvollstreckung.</w:t>
      </w:r>
    </w:p>
    <w:p w14:paraId="672F17E5" w14:textId="2DFD0EAB"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Die LXX</w:t>
      </w:r>
      <w:r w:rsidRPr="00992CEC">
        <w:rPr>
          <w:rFonts w:eastAsia="Times New Roman" w:cs="Times New Roman"/>
          <w:lang w:eastAsia="de-DE"/>
        </w:rPr>
        <w:t xml:space="preserve"> </w:t>
      </w:r>
      <w:r w:rsidR="00E705C5">
        <w:t xml:space="preserve">erweitert den hebräischen Text erheblich und verdoppelt die Bestimmungen. Sie fügt hinzu: </w:t>
      </w:r>
      <w:proofErr w:type="spellStart"/>
      <w:r w:rsidR="00E705C5">
        <w:t>εἰς</w:t>
      </w:r>
      <w:proofErr w:type="spellEnd"/>
      <w:r w:rsidR="00E705C5">
        <w:t xml:space="preserve"> </w:t>
      </w:r>
      <w:proofErr w:type="spellStart"/>
      <w:r w:rsidR="00E705C5">
        <w:t>ὁλοκ</w:t>
      </w:r>
      <w:proofErr w:type="spellEnd"/>
      <w:r w:rsidR="00E705C5">
        <w:t xml:space="preserve">αύτωμα ἢ </w:t>
      </w:r>
      <w:proofErr w:type="spellStart"/>
      <w:r w:rsidR="00E705C5">
        <w:t>σωτήριον</w:t>
      </w:r>
      <w:proofErr w:type="spellEnd"/>
      <w:r w:rsidR="00E705C5">
        <w:t xml:space="preserve"> </w:t>
      </w:r>
      <w:proofErr w:type="spellStart"/>
      <w:r w:rsidR="00E705C5">
        <w:t>κυρίῳ</w:t>
      </w:r>
      <w:proofErr w:type="spellEnd"/>
      <w:r w:rsidR="00E705C5">
        <w:t xml:space="preserve"> </w:t>
      </w:r>
      <w:proofErr w:type="spellStart"/>
      <w:r w:rsidR="00E705C5">
        <w:t>δεκτὸν</w:t>
      </w:r>
      <w:proofErr w:type="spellEnd"/>
      <w:r w:rsidR="00E705C5">
        <w:t xml:space="preserve"> </w:t>
      </w:r>
      <w:proofErr w:type="spellStart"/>
      <w:r w:rsidR="00E705C5">
        <w:t>εἰς</w:t>
      </w:r>
      <w:proofErr w:type="spellEnd"/>
      <w:r w:rsidR="00E705C5">
        <w:t xml:space="preserve"> </w:t>
      </w:r>
      <w:proofErr w:type="spellStart"/>
      <w:r w:rsidR="00E705C5">
        <w:t>ὀσμὴν</w:t>
      </w:r>
      <w:proofErr w:type="spellEnd"/>
      <w:r w:rsidR="00E705C5">
        <w:t xml:space="preserve"> </w:t>
      </w:r>
      <w:proofErr w:type="spellStart"/>
      <w:r w:rsidR="00E705C5">
        <w:t>εὐωδί</w:t>
      </w:r>
      <w:proofErr w:type="spellEnd"/>
      <w:r w:rsidR="00E705C5">
        <w:t xml:space="preserve">ας (als </w:t>
      </w:r>
      <w:r w:rsidR="0078353B">
        <w:t>Aufsteigeopfer</w:t>
      </w:r>
      <w:r w:rsidR="00E705C5">
        <w:t xml:space="preserve"> oder Heilsopfer, dem Herrn annehmbar zu lieblichem Geruch), was im Hebräischen nicht steht. Die Phrase </w:t>
      </w:r>
      <w:r w:rsidR="00E705C5">
        <w:rPr>
          <w:rtl/>
        </w:rPr>
        <w:t>ונכרת האיש ההוא</w:t>
      </w:r>
      <w:r w:rsidR="00E705C5">
        <w:t xml:space="preserve"> (</w:t>
      </w:r>
      <w:proofErr w:type="spellStart"/>
      <w:r w:rsidR="00E705C5">
        <w:t>weničrat</w:t>
      </w:r>
      <w:proofErr w:type="spellEnd"/>
      <w:r w:rsidR="00E705C5">
        <w:t xml:space="preserve"> </w:t>
      </w:r>
      <w:proofErr w:type="spellStart"/>
      <w:r w:rsidR="00E705C5">
        <w:t>ha'ish</w:t>
      </w:r>
      <w:proofErr w:type="spellEnd"/>
      <w:r w:rsidR="00E705C5">
        <w:t xml:space="preserve"> </w:t>
      </w:r>
      <w:proofErr w:type="spellStart"/>
      <w:r w:rsidR="00E705C5">
        <w:t>hahu</w:t>
      </w:r>
      <w:proofErr w:type="spellEnd"/>
      <w:r w:rsidR="00E705C5">
        <w:t xml:space="preserve"> - "und ausgerottet wird jener Mann") wird als </w:t>
      </w:r>
      <w:proofErr w:type="spellStart"/>
      <w:r w:rsidR="00E705C5">
        <w:t>ἐξολεθρευθήσετ</w:t>
      </w:r>
      <w:proofErr w:type="spellEnd"/>
      <w:r w:rsidR="00E705C5">
        <w:t xml:space="preserve">αι ἡ </w:t>
      </w:r>
      <w:proofErr w:type="spellStart"/>
      <w:r w:rsidR="00E705C5">
        <w:t>ψυχὴ</w:t>
      </w:r>
      <w:proofErr w:type="spellEnd"/>
      <w:r w:rsidR="00E705C5">
        <w:t xml:space="preserve"> </w:t>
      </w:r>
      <w:proofErr w:type="spellStart"/>
      <w:r w:rsidR="00E705C5">
        <w:t>ἐκείνη</w:t>
      </w:r>
      <w:proofErr w:type="spellEnd"/>
      <w:r w:rsidR="00E705C5">
        <w:t xml:space="preserve"> (jene Seele wird völlig vernichtet) wiedergegeben.</w:t>
      </w:r>
    </w:p>
    <w:p w14:paraId="14B490D3" w14:textId="08C5E93B"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Vergehen und Strafe: unterlassene Heiligtumsdarbringung + Mordgleichstellung + Ausrottungsstrafe. Die Struktur zeigt die extreme Schwere unbefugter Schlachtung.</w:t>
      </w:r>
    </w:p>
    <w:p w14:paraId="2B912532" w14:textId="22EE6988" w:rsidR="001E05CF" w:rsidRPr="00992CEC" w:rsidRDefault="001E05CF" w:rsidP="00992CEC">
      <w:pPr>
        <w:spacing w:before="100" w:beforeAutospacing="1" w:after="100" w:afterAutospacing="1" w:line="240" w:lineRule="auto"/>
        <w:rPr>
          <w:rFonts w:eastAsia="Times New Roman" w:cs="Times New Roman"/>
          <w:lang w:eastAsia="de-DE"/>
        </w:rPr>
      </w:pPr>
      <w:r>
        <w:t>Wer das Tier nicht zum Heiligtum als Opfer bringt, wird des Blutvergiessens schuldig und ausgerottet.</w:t>
      </w:r>
    </w:p>
    <w:p w14:paraId="6E249FF4"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17,5</w:t>
      </w:r>
    </w:p>
    <w:p w14:paraId="0E19416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לְמַעַן֩ אֲשֶׁ֨ר יָבִ֜יאוּ בְּנֵ֣י יִשְׂרָאֵ֗ל אֶֽת־זִבְחֵיהֶם֮ אֲשֶׁ֣ר הֵ֣ם זֹבְחִים֮ עַל־פְּנֵ֣י הַשָּׂדֶה֒ וֶֽהֱבִיאֻ֣ם לַֽיהוָ֗ה אֶל־פֶּ֛תַח אֹ֥הֶל מוֹעֵ֖ד אֶל־הַכֹּהֵ֑ן וְזָ֨בְח֜וּ זִבְחֵ֧י שְׁלָמִ֛ים לַֽיהוָ֖ה אוֹתָֽם׃</w:t>
      </w:r>
    </w:p>
    <w:p w14:paraId="79EF3707" w14:textId="70F53556"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damit die Söhne Jisra'els bringen ihre Schlachtopfer, die sie schlachten auf dem Angesicht des Feldes, und sie bringen sie dem Ewigen an den Eingang des Zeltes der Begegnung zum Priester und schlachten sie als Friedensopfer dem Ewigen.</w:t>
      </w:r>
    </w:p>
    <w:p w14:paraId="691EF83C"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A211054">
          <v:rect id="_x0000_i1519" style="width:0;height:1.5pt" o:hralign="center" o:hrstd="t" o:hr="t" fillcolor="#a0a0a0" stroked="f"/>
        </w:pict>
      </w:r>
    </w:p>
    <w:p w14:paraId="6425F6D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למען אשר יביאו בני ישראל את־זבחיהם אשר הם זבחים על־פני השדה והביאם ליהוה אל־פתח אהל מועד אל־הכהן וזבחו זבחי שלמים ליהוה אותם</w:t>
      </w:r>
      <w:r w:rsidRPr="00992CEC">
        <w:rPr>
          <w:rFonts w:eastAsia="Times New Roman" w:cs="Times New Roman"/>
          <w:rtl/>
          <w:lang w:eastAsia="de-DE"/>
        </w:rPr>
        <w:t xml:space="preserve"> </w:t>
      </w:r>
      <w:r w:rsidRPr="00992CEC">
        <w:rPr>
          <w:rFonts w:eastAsia="Times New Roman" w:cs="Times New Roman"/>
          <w:lang w:eastAsia="de-DE"/>
        </w:rPr>
        <w:t xml:space="preserve">zeigt den Zweck der Regulierung. </w:t>
      </w:r>
      <w:r w:rsidRPr="00992CEC">
        <w:rPr>
          <w:rFonts w:eastAsia="Times New Roman" w:cs="Times New Roman"/>
          <w:b/>
          <w:bCs/>
          <w:rtl/>
          <w:lang w:eastAsia="de-DE"/>
        </w:rPr>
        <w:t>למען אשר יביאו</w:t>
      </w:r>
      <w:r w:rsidRPr="00992CEC">
        <w:rPr>
          <w:rFonts w:eastAsia="Times New Roman" w:cs="Times New Roman"/>
          <w:rtl/>
          <w:lang w:eastAsia="de-DE"/>
        </w:rPr>
        <w:t xml:space="preserve"> </w:t>
      </w:r>
      <w:r w:rsidRPr="00992CEC">
        <w:rPr>
          <w:rFonts w:eastAsia="Times New Roman" w:cs="Times New Roman"/>
          <w:lang w:eastAsia="de-DE"/>
        </w:rPr>
        <w:t xml:space="preserve">(damit sie bringen) - </w:t>
      </w:r>
      <w:r w:rsidRPr="00992CEC">
        <w:rPr>
          <w:rFonts w:eastAsia="Times New Roman" w:cs="Times New Roman"/>
          <w:b/>
          <w:bCs/>
          <w:rtl/>
          <w:lang w:eastAsia="de-DE"/>
        </w:rPr>
        <w:t>יביאו</w:t>
      </w:r>
      <w:r w:rsidRPr="00992CEC">
        <w:rPr>
          <w:rFonts w:eastAsia="Times New Roman" w:cs="Times New Roman"/>
          <w:rtl/>
          <w:lang w:eastAsia="de-DE"/>
        </w:rPr>
        <w:t xml:space="preserve"> </w:t>
      </w:r>
      <w:r w:rsidRPr="00992CEC">
        <w:rPr>
          <w:rFonts w:eastAsia="Times New Roman" w:cs="Times New Roman"/>
          <w:lang w:eastAsia="de-DE"/>
        </w:rPr>
        <w:t>(sie bringen) im Hifil-Imperfekt, das Hifil zeigt kausatives Bringen zum Heiligtum.</w:t>
      </w:r>
    </w:p>
    <w:p w14:paraId="1F7B057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את־זבחיהם אשר הם זבחים על־פני השדה</w:t>
      </w:r>
      <w:r w:rsidRPr="00992CEC">
        <w:rPr>
          <w:rFonts w:eastAsia="Times New Roman" w:cs="Times New Roman"/>
          <w:rtl/>
          <w:lang w:eastAsia="de-DE"/>
        </w:rPr>
        <w:t xml:space="preserve"> </w:t>
      </w:r>
      <w:r w:rsidRPr="00992CEC">
        <w:rPr>
          <w:rFonts w:eastAsia="Times New Roman" w:cs="Times New Roman"/>
          <w:lang w:eastAsia="de-DE"/>
        </w:rPr>
        <w:t xml:space="preserve">(ihre Schlachtopfer, die sie schlachten auf dem Angesicht des Feldes) - </w:t>
      </w:r>
      <w:r w:rsidRPr="00992CEC">
        <w:rPr>
          <w:rFonts w:eastAsia="Times New Roman" w:cs="Times New Roman"/>
          <w:b/>
          <w:bCs/>
          <w:rtl/>
          <w:lang w:eastAsia="de-DE"/>
        </w:rPr>
        <w:t>זבחים</w:t>
      </w:r>
      <w:r w:rsidRPr="00992CEC">
        <w:rPr>
          <w:rFonts w:eastAsia="Times New Roman" w:cs="Times New Roman"/>
          <w:rtl/>
          <w:lang w:eastAsia="de-DE"/>
        </w:rPr>
        <w:t xml:space="preserve"> </w:t>
      </w:r>
      <w:r w:rsidRPr="00992CEC">
        <w:rPr>
          <w:rFonts w:eastAsia="Times New Roman" w:cs="Times New Roman"/>
          <w:lang w:eastAsia="de-DE"/>
        </w:rPr>
        <w:t xml:space="preserve">(schlachten) im Qal-Partizip zeigt gewohnheitsmäßige Praxis. </w:t>
      </w:r>
      <w:r w:rsidRPr="00992CEC">
        <w:rPr>
          <w:rFonts w:eastAsia="Times New Roman" w:cs="Times New Roman"/>
          <w:b/>
          <w:bCs/>
          <w:rtl/>
          <w:lang w:eastAsia="de-DE"/>
        </w:rPr>
        <w:t>על־פני השדה</w:t>
      </w:r>
      <w:r w:rsidRPr="00992CEC">
        <w:rPr>
          <w:rFonts w:eastAsia="Times New Roman" w:cs="Times New Roman"/>
          <w:rtl/>
          <w:lang w:eastAsia="de-DE"/>
        </w:rPr>
        <w:t xml:space="preserve"> </w:t>
      </w:r>
      <w:r w:rsidRPr="00992CEC">
        <w:rPr>
          <w:rFonts w:eastAsia="Times New Roman" w:cs="Times New Roman"/>
          <w:lang w:eastAsia="de-DE"/>
        </w:rPr>
        <w:t>(auf dem Angesicht des Feldes) zeigt dezentrale Schlachtung außerhalb des Heiligtums.</w:t>
      </w:r>
    </w:p>
    <w:p w14:paraId="4D8DC05C" w14:textId="26C7D525"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והביאם ליהוה אל־פתח אהל מועד אל־הכהן</w:t>
      </w:r>
      <w:r w:rsidRPr="00992CEC">
        <w:rPr>
          <w:rFonts w:eastAsia="Times New Roman" w:cs="Times New Roman"/>
          <w:rtl/>
          <w:lang w:eastAsia="de-DE"/>
        </w:rPr>
        <w:t xml:space="preserve"> </w:t>
      </w:r>
      <w:r w:rsidRPr="00992CEC">
        <w:rPr>
          <w:rFonts w:eastAsia="Times New Roman" w:cs="Times New Roman"/>
          <w:lang w:eastAsia="de-DE"/>
        </w:rPr>
        <w:t xml:space="preserve">(und sie dem </w:t>
      </w:r>
      <w:r w:rsidR="004603C6">
        <w:rPr>
          <w:rFonts w:eastAsia="Times New Roman" w:cs="Times New Roman"/>
          <w:lang w:eastAsia="de-DE"/>
        </w:rPr>
        <w:t>Ewigen</w:t>
      </w:r>
      <w:r w:rsidRPr="00992CEC">
        <w:rPr>
          <w:rFonts w:eastAsia="Times New Roman" w:cs="Times New Roman"/>
          <w:lang w:eastAsia="de-DE"/>
        </w:rPr>
        <w:t xml:space="preserve"> bringen an den Eingang des Zeltes der Begegnung zum Priester) - </w:t>
      </w:r>
      <w:r w:rsidRPr="00992CEC">
        <w:rPr>
          <w:rFonts w:eastAsia="Times New Roman" w:cs="Times New Roman"/>
          <w:b/>
          <w:bCs/>
          <w:rtl/>
          <w:lang w:eastAsia="de-DE"/>
        </w:rPr>
        <w:t>והביאם</w:t>
      </w:r>
      <w:r w:rsidRPr="00992CEC">
        <w:rPr>
          <w:rFonts w:eastAsia="Times New Roman" w:cs="Times New Roman"/>
          <w:rtl/>
          <w:lang w:eastAsia="de-DE"/>
        </w:rPr>
        <w:t xml:space="preserve"> </w:t>
      </w:r>
      <w:r w:rsidRPr="00992CEC">
        <w:rPr>
          <w:rFonts w:eastAsia="Times New Roman" w:cs="Times New Roman"/>
          <w:lang w:eastAsia="de-DE"/>
        </w:rPr>
        <w:t>(und sie bringen) im Hifil-Perfekt mit Waw-Konsekutiv zeigt die gewünschte Zentralisierung.</w:t>
      </w:r>
    </w:p>
    <w:p w14:paraId="52195540" w14:textId="0E25B549"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וזבחו זבחי שלמים ליהוה אותם</w:t>
      </w:r>
      <w:r w:rsidRPr="00992CEC">
        <w:rPr>
          <w:rFonts w:eastAsia="Times New Roman" w:cs="Times New Roman"/>
          <w:rtl/>
          <w:lang w:eastAsia="de-DE"/>
        </w:rPr>
        <w:t xml:space="preserve"> </w:t>
      </w:r>
      <w:r w:rsidRPr="00992CEC">
        <w:rPr>
          <w:rFonts w:eastAsia="Times New Roman" w:cs="Times New Roman"/>
          <w:lang w:eastAsia="de-DE"/>
        </w:rPr>
        <w:t xml:space="preserve">(und sie als Friedensopfer dem </w:t>
      </w:r>
      <w:r w:rsidR="004603C6">
        <w:rPr>
          <w:rFonts w:eastAsia="Times New Roman" w:cs="Times New Roman"/>
          <w:lang w:eastAsia="de-DE"/>
        </w:rPr>
        <w:t>Ewigen</w:t>
      </w:r>
      <w:r w:rsidRPr="00992CEC">
        <w:rPr>
          <w:rFonts w:eastAsia="Times New Roman" w:cs="Times New Roman"/>
          <w:lang w:eastAsia="de-DE"/>
        </w:rPr>
        <w:t xml:space="preserve"> schlachten) - </w:t>
      </w:r>
      <w:r w:rsidRPr="00992CEC">
        <w:rPr>
          <w:rFonts w:eastAsia="Times New Roman" w:cs="Times New Roman"/>
          <w:b/>
          <w:bCs/>
          <w:rtl/>
          <w:lang w:eastAsia="de-DE"/>
        </w:rPr>
        <w:t>וזבחו</w:t>
      </w:r>
      <w:r w:rsidRPr="00992CEC">
        <w:rPr>
          <w:rFonts w:eastAsia="Times New Roman" w:cs="Times New Roman"/>
          <w:rtl/>
          <w:lang w:eastAsia="de-DE"/>
        </w:rPr>
        <w:t xml:space="preserve"> </w:t>
      </w:r>
      <w:r w:rsidRPr="00992CEC">
        <w:rPr>
          <w:rFonts w:eastAsia="Times New Roman" w:cs="Times New Roman"/>
          <w:lang w:eastAsia="de-DE"/>
        </w:rPr>
        <w:t xml:space="preserve">(und sie schlachten) im Qal-Perfekt mit Waw-Konsekutiv. </w:t>
      </w:r>
      <w:r w:rsidRPr="00992CEC">
        <w:rPr>
          <w:rFonts w:eastAsia="Times New Roman" w:cs="Times New Roman"/>
          <w:b/>
          <w:bCs/>
          <w:rtl/>
          <w:lang w:eastAsia="de-DE"/>
        </w:rPr>
        <w:t>זבחי שלמים</w:t>
      </w:r>
      <w:r w:rsidRPr="00992CEC">
        <w:rPr>
          <w:rFonts w:eastAsia="Times New Roman" w:cs="Times New Roman"/>
          <w:rtl/>
          <w:lang w:eastAsia="de-DE"/>
        </w:rPr>
        <w:t xml:space="preserve"> </w:t>
      </w:r>
      <w:r w:rsidRPr="00992CEC">
        <w:rPr>
          <w:rFonts w:eastAsia="Times New Roman" w:cs="Times New Roman"/>
          <w:lang w:eastAsia="de-DE"/>
        </w:rPr>
        <w:t>(Friedensopfer) als spezifische Opferkategorie.</w:t>
      </w:r>
    </w:p>
    <w:p w14:paraId="30E84B32" w14:textId="5D3979FF"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על־פני השדה</w:t>
      </w:r>
      <w:r w:rsidR="00E705C5">
        <w:t xml:space="preserve"> (al-</w:t>
      </w:r>
      <w:proofErr w:type="spellStart"/>
      <w:r w:rsidR="00E705C5">
        <w:t>penei</w:t>
      </w:r>
      <w:proofErr w:type="spellEnd"/>
      <w:r w:rsidR="00E705C5">
        <w:t xml:space="preserve"> </w:t>
      </w:r>
      <w:proofErr w:type="spellStart"/>
      <w:r w:rsidR="00E705C5">
        <w:t>hasadeh</w:t>
      </w:r>
      <w:proofErr w:type="spellEnd"/>
      <w:r w:rsidR="00E705C5">
        <w:t xml:space="preserve"> - "auf dem freien Feld") als </w:t>
      </w:r>
      <w:proofErr w:type="spellStart"/>
      <w:r w:rsidR="00E705C5">
        <w:t>ἐν</w:t>
      </w:r>
      <w:proofErr w:type="spellEnd"/>
      <w:r w:rsidR="00E705C5">
        <w:t xml:space="preserve"> </w:t>
      </w:r>
      <w:proofErr w:type="spellStart"/>
      <w:r w:rsidR="00E705C5">
        <w:t>τοῖς</w:t>
      </w:r>
      <w:proofErr w:type="spellEnd"/>
      <w:r w:rsidR="00E705C5">
        <w:t xml:space="preserve"> π</w:t>
      </w:r>
      <w:proofErr w:type="spellStart"/>
      <w:r w:rsidR="00E705C5">
        <w:t>εδίοις</w:t>
      </w:r>
      <w:proofErr w:type="spellEnd"/>
      <w:r w:rsidR="00E705C5">
        <w:t xml:space="preserve"> (auf den Feldern), was eine allgemeinere Ortsangabe darstellt.</w:t>
      </w:r>
    </w:p>
    <w:p w14:paraId="5A9999ED" w14:textId="3BD3CEBB"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Zentralisierungszweck: bisherige dezentrale Praxis + gewünschte Heiligtumszentralisierung + priesterliche Vermittlung + Opfertypspezifikation. Die Struktur zeigt den Übergang von dezentraler zu zentraler Opferpraxis.</w:t>
      </w:r>
    </w:p>
    <w:p w14:paraId="47AE9E8B" w14:textId="5961CA7C" w:rsidR="001E05CF" w:rsidRPr="00992CEC" w:rsidRDefault="001E05CF" w:rsidP="00992CEC">
      <w:pPr>
        <w:spacing w:before="100" w:beforeAutospacing="1" w:after="100" w:afterAutospacing="1" w:line="240" w:lineRule="auto"/>
        <w:rPr>
          <w:rFonts w:eastAsia="Times New Roman" w:cs="Times New Roman"/>
          <w:lang w:eastAsia="de-DE"/>
        </w:rPr>
      </w:pPr>
      <w:r>
        <w:lastRenderedPageBreak/>
        <w:t>Zweck: Israeliten sollen ihre Feldschlachtungen zum Heiligtum bringen und als Friedensopfer darbringen.</w:t>
      </w:r>
    </w:p>
    <w:p w14:paraId="51B2EDFE"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17,6</w:t>
      </w:r>
    </w:p>
    <w:p w14:paraId="5860FB6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וְזָרַ֨ק הַכֹּהֵ֤ן אֶת־הַדָּם֙ עַל־מִזְבַּ֣ח יְהוָ֔ה פֶּ֖תַח אֹ֣הֶל מוֹעֵ֑ד וְהִקְטִ֣יר הַחֵ֔לֶב לְרֵ֥יחַ נִיחֹ֖חַ לַיהוָֽה׃</w:t>
      </w:r>
    </w:p>
    <w:p w14:paraId="1B992E88" w14:textId="416D7C7E"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der Priester soll sprengen das Blut auf den Altar des Ewigen am Eingang des Zeltes der Begegnung und soll in Rauch aufgehen lassen das Fett zum wohlgefälligen Geruch für den Ewigen.</w:t>
      </w:r>
    </w:p>
    <w:p w14:paraId="5E9ACCE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517C28D4">
          <v:rect id="_x0000_i1520" style="width:0;height:1.5pt" o:hralign="center" o:hrstd="t" o:hr="t" fillcolor="#a0a0a0" stroked="f"/>
        </w:pict>
      </w:r>
    </w:p>
    <w:p w14:paraId="73B3AE4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וזרק הכהן את־הדם על־מזבח יהוה פתח אהל מועד והקטיר החלב לריח ניחח ליהוה</w:t>
      </w:r>
      <w:r w:rsidRPr="00992CEC">
        <w:rPr>
          <w:rFonts w:eastAsia="Times New Roman" w:cs="Times New Roman"/>
          <w:rtl/>
          <w:lang w:eastAsia="de-DE"/>
        </w:rPr>
        <w:t xml:space="preserve"> </w:t>
      </w:r>
      <w:r w:rsidRPr="00992CEC">
        <w:rPr>
          <w:rFonts w:eastAsia="Times New Roman" w:cs="Times New Roman"/>
          <w:lang w:eastAsia="de-DE"/>
        </w:rPr>
        <w:t xml:space="preserve">zeigt das ordnungsgemäße Opferverfahren. </w:t>
      </w:r>
      <w:r w:rsidRPr="00992CEC">
        <w:rPr>
          <w:rFonts w:eastAsia="Times New Roman" w:cs="Times New Roman"/>
          <w:b/>
          <w:bCs/>
          <w:rtl/>
          <w:lang w:eastAsia="de-DE"/>
        </w:rPr>
        <w:t>וזרק הכהן את־הדם</w:t>
      </w:r>
      <w:r w:rsidRPr="00992CEC">
        <w:rPr>
          <w:rFonts w:eastAsia="Times New Roman" w:cs="Times New Roman"/>
          <w:rtl/>
          <w:lang w:eastAsia="de-DE"/>
        </w:rPr>
        <w:t xml:space="preserve"> </w:t>
      </w:r>
      <w:r w:rsidRPr="00992CEC">
        <w:rPr>
          <w:rFonts w:eastAsia="Times New Roman" w:cs="Times New Roman"/>
          <w:lang w:eastAsia="de-DE"/>
        </w:rPr>
        <w:t xml:space="preserve">(und der Priester soll das Blut sprengen) - </w:t>
      </w:r>
      <w:r w:rsidRPr="00992CEC">
        <w:rPr>
          <w:rFonts w:eastAsia="Times New Roman" w:cs="Times New Roman"/>
          <w:b/>
          <w:bCs/>
          <w:rtl/>
          <w:lang w:eastAsia="de-DE"/>
        </w:rPr>
        <w:t>וזרק</w:t>
      </w:r>
      <w:r w:rsidRPr="00992CEC">
        <w:rPr>
          <w:rFonts w:eastAsia="Times New Roman" w:cs="Times New Roman"/>
          <w:rtl/>
          <w:lang w:eastAsia="de-DE"/>
        </w:rPr>
        <w:t xml:space="preserve"> </w:t>
      </w:r>
      <w:r w:rsidRPr="00992CEC">
        <w:rPr>
          <w:rFonts w:eastAsia="Times New Roman" w:cs="Times New Roman"/>
          <w:lang w:eastAsia="de-DE"/>
        </w:rPr>
        <w:t>(und er soll sprengen) im Qal-Perfekt mit Waw-Konsekutiv zeigt die priesterliche Blutsprengung als zentrales Ritualelement.</w:t>
      </w:r>
    </w:p>
    <w:p w14:paraId="4F31DD5E" w14:textId="57760A6B"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על־מזבח יהוה פתח אהל מועד</w:t>
      </w:r>
      <w:r w:rsidRPr="00992CEC">
        <w:rPr>
          <w:rFonts w:eastAsia="Times New Roman" w:cs="Times New Roman"/>
          <w:rtl/>
          <w:lang w:eastAsia="de-DE"/>
        </w:rPr>
        <w:t xml:space="preserve"> </w:t>
      </w:r>
      <w:r w:rsidRPr="00992CEC">
        <w:rPr>
          <w:rFonts w:eastAsia="Times New Roman" w:cs="Times New Roman"/>
          <w:lang w:eastAsia="de-DE"/>
        </w:rPr>
        <w:t xml:space="preserve">(auf den Altar des </w:t>
      </w:r>
      <w:r w:rsidR="004603C6">
        <w:rPr>
          <w:rFonts w:eastAsia="Times New Roman" w:cs="Times New Roman"/>
          <w:lang w:eastAsia="de-DE"/>
        </w:rPr>
        <w:t>Ewigen</w:t>
      </w:r>
      <w:r w:rsidRPr="00992CEC">
        <w:rPr>
          <w:rFonts w:eastAsia="Times New Roman" w:cs="Times New Roman"/>
          <w:lang w:eastAsia="de-DE"/>
        </w:rPr>
        <w:t xml:space="preserve"> am Eingang des Zeltes der Begegnung) lokalisiert das Ritual am </w:t>
      </w:r>
      <w:r w:rsidR="00CF10E7">
        <w:rPr>
          <w:rFonts w:eastAsia="Times New Roman" w:cs="Times New Roman"/>
          <w:lang w:eastAsia="de-DE"/>
        </w:rPr>
        <w:t>Aufsteigeopfer</w:t>
      </w:r>
      <w:r w:rsidRPr="00992CEC">
        <w:rPr>
          <w:rFonts w:eastAsia="Times New Roman" w:cs="Times New Roman"/>
          <w:lang w:eastAsia="de-DE"/>
        </w:rPr>
        <w:t>altar im Vorhof.</w:t>
      </w:r>
    </w:p>
    <w:p w14:paraId="4706377D" w14:textId="2F9E5D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והקטיר החלב לריח ניחח ליהוה</w:t>
      </w:r>
      <w:r w:rsidRPr="00992CEC">
        <w:rPr>
          <w:rFonts w:eastAsia="Times New Roman" w:cs="Times New Roman"/>
          <w:rtl/>
          <w:lang w:eastAsia="de-DE"/>
        </w:rPr>
        <w:t xml:space="preserve"> </w:t>
      </w:r>
      <w:r w:rsidRPr="00992CEC">
        <w:rPr>
          <w:rFonts w:eastAsia="Times New Roman" w:cs="Times New Roman"/>
          <w:lang w:eastAsia="de-DE"/>
        </w:rPr>
        <w:t xml:space="preserve">(und das Fett in Rauch aufgehen lassen zum wohlgefälligen Geruch für den </w:t>
      </w:r>
      <w:r w:rsidR="004603C6">
        <w:rPr>
          <w:rFonts w:eastAsia="Times New Roman" w:cs="Times New Roman"/>
          <w:lang w:eastAsia="de-DE"/>
        </w:rPr>
        <w:t>Ewigen</w:t>
      </w:r>
      <w:r w:rsidRPr="00992CEC">
        <w:rPr>
          <w:rFonts w:eastAsia="Times New Roman" w:cs="Times New Roman"/>
          <w:lang w:eastAsia="de-DE"/>
        </w:rPr>
        <w:t xml:space="preserve">) - </w:t>
      </w:r>
      <w:r w:rsidRPr="00992CEC">
        <w:rPr>
          <w:rFonts w:eastAsia="Times New Roman" w:cs="Times New Roman"/>
          <w:b/>
          <w:bCs/>
          <w:rtl/>
          <w:lang w:eastAsia="de-DE"/>
        </w:rPr>
        <w:t>והקטיר</w:t>
      </w:r>
      <w:r w:rsidRPr="00992CEC">
        <w:rPr>
          <w:rFonts w:eastAsia="Times New Roman" w:cs="Times New Roman"/>
          <w:rtl/>
          <w:lang w:eastAsia="de-DE"/>
        </w:rPr>
        <w:t xml:space="preserve"> </w:t>
      </w:r>
      <w:r w:rsidRPr="00992CEC">
        <w:rPr>
          <w:rFonts w:eastAsia="Times New Roman" w:cs="Times New Roman"/>
          <w:lang w:eastAsia="de-DE"/>
        </w:rPr>
        <w:t xml:space="preserve">(und in Rauch aufgehen lassen) im Hifil-Perfekt mit Waw-Konsekutiv, das Hifil zeigt kausatives Verbrennen. </w:t>
      </w:r>
      <w:r w:rsidRPr="00992CEC">
        <w:rPr>
          <w:rFonts w:eastAsia="Times New Roman" w:cs="Times New Roman"/>
          <w:b/>
          <w:bCs/>
          <w:rtl/>
          <w:lang w:eastAsia="de-DE"/>
        </w:rPr>
        <w:t>לריח ניחח</w:t>
      </w:r>
      <w:r w:rsidRPr="00992CEC">
        <w:rPr>
          <w:rFonts w:eastAsia="Times New Roman" w:cs="Times New Roman"/>
          <w:rtl/>
          <w:lang w:eastAsia="de-DE"/>
        </w:rPr>
        <w:t xml:space="preserve"> </w:t>
      </w:r>
      <w:r w:rsidRPr="00992CEC">
        <w:rPr>
          <w:rFonts w:eastAsia="Times New Roman" w:cs="Times New Roman"/>
          <w:lang w:eastAsia="de-DE"/>
        </w:rPr>
        <w:t>(zum wohlgefälligen Geruch) als Standardformel für göttliches Wohlgefallen.</w:t>
      </w:r>
    </w:p>
    <w:p w14:paraId="548B962B" w14:textId="4A8EFA0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וזרק</w:t>
      </w:r>
      <w:r w:rsidR="00E705C5">
        <w:t xml:space="preserve"> (</w:t>
      </w:r>
      <w:proofErr w:type="spellStart"/>
      <w:r w:rsidR="00E705C5">
        <w:t>wezaraq</w:t>
      </w:r>
      <w:proofErr w:type="spellEnd"/>
      <w:r w:rsidR="00E705C5">
        <w:t xml:space="preserve"> - "und er soll sprengen") als π</w:t>
      </w:r>
      <w:proofErr w:type="spellStart"/>
      <w:r w:rsidR="00E705C5">
        <w:t>ροσχεεῖ</w:t>
      </w:r>
      <w:proofErr w:type="spellEnd"/>
      <w:r w:rsidR="00E705C5">
        <w:t xml:space="preserve"> (er soll hingießen) und fügt </w:t>
      </w:r>
      <w:proofErr w:type="spellStart"/>
      <w:r w:rsidR="00E705C5">
        <w:t>κύκλῳ</w:t>
      </w:r>
      <w:proofErr w:type="spellEnd"/>
      <w:r w:rsidR="00E705C5">
        <w:t xml:space="preserve"> (ringsum) hinzu, was im hebräischen Text nicht explizit steht.</w:t>
      </w:r>
    </w:p>
    <w:p w14:paraId="0A0CCEB5" w14:textId="19390325"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ordnungsgemäßes Ritual: priesterliche Blutsprengung + Ortsbestimmung + Fettverbrennung + göttliches Wohlgefallen. Die Struktur zeigt die beiden zentralen Opferelemente.</w:t>
      </w:r>
    </w:p>
    <w:p w14:paraId="3B3A729E" w14:textId="1B30743C" w:rsidR="001E05CF" w:rsidRPr="00992CEC" w:rsidRDefault="001E05CF" w:rsidP="00992CEC">
      <w:pPr>
        <w:spacing w:before="100" w:beforeAutospacing="1" w:after="100" w:afterAutospacing="1" w:line="240" w:lineRule="auto"/>
        <w:rPr>
          <w:rFonts w:eastAsia="Times New Roman" w:cs="Times New Roman"/>
          <w:lang w:eastAsia="de-DE"/>
        </w:rPr>
      </w:pPr>
      <w:r>
        <w:t>Der Priester sprengt das Blut auf den Altar und verbrennt das Fett zum wohlgefälligen Geruch.</w:t>
      </w:r>
    </w:p>
    <w:p w14:paraId="29916E64"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17,7</w:t>
      </w:r>
    </w:p>
    <w:p w14:paraId="4B44CB9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וְלֹא־יִזְבְּח֥וּ עוֹד֙ אֶת־זִבְחֵיהֶ֔ם לַשְּׂעִירִ֕ם אֲשֶׁ֛ר הֵ֥ם זֹנִ֖ים אַחֲרֵיהֶ֑ם חֻקַּ֥ת עוֹלָ֛ם תִּֽהְיֶה־זֹּ֥את לָהֶ֖ם לְדֹרֹתָֽם׃</w:t>
      </w:r>
    </w:p>
    <w:p w14:paraId="29426054" w14:textId="246D126A"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sie sollen nicht mehr ihre Schlachtopfer den Se'irim (wtl.: den Haarigen, wohl Dämonen) opfern, denen sie nachhuren. Eine ewige Satzung soll dies für sie sein bei ihren Generationen.</w:t>
      </w:r>
    </w:p>
    <w:p w14:paraId="72764A82"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ECB772C">
          <v:rect id="_x0000_i1521" style="width:0;height:1.5pt" o:hralign="center" o:hrstd="t" o:hr="t" fillcolor="#a0a0a0" stroked="f"/>
        </w:pict>
      </w:r>
    </w:p>
    <w:p w14:paraId="3F154ED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ולא־יזבחו עוד את־זבחיהם לשעירם אשר הם זנים אחריהם חקת עולם תהיה־זאת להם לדרתם</w:t>
      </w:r>
      <w:r w:rsidRPr="00992CEC">
        <w:rPr>
          <w:rFonts w:eastAsia="Times New Roman" w:cs="Times New Roman"/>
          <w:rtl/>
          <w:lang w:eastAsia="de-DE"/>
        </w:rPr>
        <w:t xml:space="preserve"> </w:t>
      </w:r>
      <w:r w:rsidRPr="00992CEC">
        <w:rPr>
          <w:rFonts w:eastAsia="Times New Roman" w:cs="Times New Roman"/>
          <w:lang w:eastAsia="de-DE"/>
        </w:rPr>
        <w:t xml:space="preserve">offenbart den eigentlichen Zweck der Schlachtungszentralisierung. </w:t>
      </w:r>
      <w:r w:rsidRPr="00992CEC">
        <w:rPr>
          <w:rFonts w:eastAsia="Times New Roman" w:cs="Times New Roman"/>
          <w:b/>
          <w:bCs/>
          <w:rtl/>
          <w:lang w:eastAsia="de-DE"/>
        </w:rPr>
        <w:t>ולא־יזבחו עוד את־זבחיהם לשעירם</w:t>
      </w:r>
      <w:r w:rsidRPr="00992CEC">
        <w:rPr>
          <w:rFonts w:eastAsia="Times New Roman" w:cs="Times New Roman"/>
          <w:rtl/>
          <w:lang w:eastAsia="de-DE"/>
        </w:rPr>
        <w:t xml:space="preserve"> </w:t>
      </w:r>
      <w:r w:rsidRPr="00992CEC">
        <w:rPr>
          <w:rFonts w:eastAsia="Times New Roman" w:cs="Times New Roman"/>
          <w:lang w:eastAsia="de-DE"/>
        </w:rPr>
        <w:t xml:space="preserve">(und sie sollen nicht mehr ihre Schlachtopfer den Feldgeistern opfern) - </w:t>
      </w:r>
      <w:r w:rsidRPr="00992CEC">
        <w:rPr>
          <w:rFonts w:eastAsia="Times New Roman" w:cs="Times New Roman"/>
          <w:b/>
          <w:bCs/>
          <w:rtl/>
          <w:lang w:eastAsia="de-DE"/>
        </w:rPr>
        <w:t>יזבחו</w:t>
      </w:r>
      <w:r w:rsidRPr="00992CEC">
        <w:rPr>
          <w:rFonts w:eastAsia="Times New Roman" w:cs="Times New Roman"/>
          <w:rtl/>
          <w:lang w:eastAsia="de-DE"/>
        </w:rPr>
        <w:t xml:space="preserve"> </w:t>
      </w:r>
      <w:r w:rsidRPr="00992CEC">
        <w:rPr>
          <w:rFonts w:eastAsia="Times New Roman" w:cs="Times New Roman"/>
          <w:lang w:eastAsia="de-DE"/>
        </w:rPr>
        <w:lastRenderedPageBreak/>
        <w:t xml:space="preserve">(sie sollen opfern) im Qal-Imperfekt mit Negation zeigt dauerhaftes Verbot. </w:t>
      </w:r>
      <w:r w:rsidRPr="00992CEC">
        <w:rPr>
          <w:rFonts w:eastAsia="Times New Roman" w:cs="Times New Roman"/>
          <w:b/>
          <w:bCs/>
          <w:rtl/>
          <w:lang w:eastAsia="de-DE"/>
        </w:rPr>
        <w:t>עוד</w:t>
      </w:r>
      <w:r w:rsidRPr="00992CEC">
        <w:rPr>
          <w:rFonts w:eastAsia="Times New Roman" w:cs="Times New Roman"/>
          <w:rtl/>
          <w:lang w:eastAsia="de-DE"/>
        </w:rPr>
        <w:t xml:space="preserve"> </w:t>
      </w:r>
      <w:r w:rsidRPr="00992CEC">
        <w:rPr>
          <w:rFonts w:eastAsia="Times New Roman" w:cs="Times New Roman"/>
          <w:lang w:eastAsia="de-DE"/>
        </w:rPr>
        <w:t xml:space="preserve">(mehr/noch) betont die Beendigung bisheriger Praxis. </w:t>
      </w:r>
      <w:r w:rsidRPr="00992CEC">
        <w:rPr>
          <w:rFonts w:eastAsia="Times New Roman" w:cs="Times New Roman"/>
          <w:b/>
          <w:bCs/>
          <w:rtl/>
          <w:lang w:eastAsia="de-DE"/>
        </w:rPr>
        <w:t>לשעירם</w:t>
      </w:r>
      <w:r w:rsidRPr="00992CEC">
        <w:rPr>
          <w:rFonts w:eastAsia="Times New Roman" w:cs="Times New Roman"/>
          <w:rtl/>
          <w:lang w:eastAsia="de-DE"/>
        </w:rPr>
        <w:t xml:space="preserve"> </w:t>
      </w:r>
      <w:r w:rsidRPr="00992CEC">
        <w:rPr>
          <w:rFonts w:eastAsia="Times New Roman" w:cs="Times New Roman"/>
          <w:lang w:eastAsia="de-DE"/>
        </w:rPr>
        <w:t xml:space="preserve">(den Feldgeistern) - </w:t>
      </w:r>
      <w:r w:rsidRPr="00992CEC">
        <w:rPr>
          <w:rFonts w:eastAsia="Times New Roman" w:cs="Times New Roman"/>
          <w:b/>
          <w:bCs/>
          <w:rtl/>
          <w:lang w:eastAsia="de-DE"/>
        </w:rPr>
        <w:t>שעיר</w:t>
      </w:r>
      <w:r w:rsidRPr="00992CEC">
        <w:rPr>
          <w:rFonts w:eastAsia="Times New Roman" w:cs="Times New Roman"/>
          <w:rtl/>
          <w:lang w:eastAsia="de-DE"/>
        </w:rPr>
        <w:t xml:space="preserve"> </w:t>
      </w:r>
      <w:r w:rsidRPr="00992CEC">
        <w:rPr>
          <w:rFonts w:eastAsia="Times New Roman" w:cs="Times New Roman"/>
          <w:lang w:eastAsia="de-DE"/>
        </w:rPr>
        <w:t>(Feldgeist/Dämon) im Plural zeigt dämonische Wesen, die als ziegenartig vorgestellt wurden.</w:t>
      </w:r>
    </w:p>
    <w:p w14:paraId="2F7D8FD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אשר הם זנים אחריהם</w:t>
      </w:r>
      <w:r w:rsidRPr="00992CEC">
        <w:rPr>
          <w:rFonts w:eastAsia="Times New Roman" w:cs="Times New Roman"/>
          <w:rtl/>
          <w:lang w:eastAsia="de-DE"/>
        </w:rPr>
        <w:t xml:space="preserve"> </w:t>
      </w:r>
      <w:r w:rsidRPr="00992CEC">
        <w:rPr>
          <w:rFonts w:eastAsia="Times New Roman" w:cs="Times New Roman"/>
          <w:lang w:eastAsia="de-DE"/>
        </w:rPr>
        <w:t xml:space="preserve">(denen sie nachhuren) - </w:t>
      </w:r>
      <w:r w:rsidRPr="00992CEC">
        <w:rPr>
          <w:rFonts w:eastAsia="Times New Roman" w:cs="Times New Roman"/>
          <w:b/>
          <w:bCs/>
          <w:rtl/>
          <w:lang w:eastAsia="de-DE"/>
        </w:rPr>
        <w:t>זנים</w:t>
      </w:r>
      <w:r w:rsidRPr="00992CEC">
        <w:rPr>
          <w:rFonts w:eastAsia="Times New Roman" w:cs="Times New Roman"/>
          <w:rtl/>
          <w:lang w:eastAsia="de-DE"/>
        </w:rPr>
        <w:t xml:space="preserve"> </w:t>
      </w:r>
      <w:r w:rsidRPr="00992CEC">
        <w:rPr>
          <w:rFonts w:eastAsia="Times New Roman" w:cs="Times New Roman"/>
          <w:lang w:eastAsia="de-DE"/>
        </w:rPr>
        <w:t>(huren) im Qal-Partizip, eine metaphorische Verwendung für religiöse Untreue. Die Hurerei-Metapher zeigt den Bundesbruch mit JHWH durch Dämonenverehrung.</w:t>
      </w:r>
    </w:p>
    <w:p w14:paraId="7F04758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חקת עולם תהיה־זאת להם לדרתם</w:t>
      </w:r>
      <w:r w:rsidRPr="00992CEC">
        <w:rPr>
          <w:rFonts w:eastAsia="Times New Roman" w:cs="Times New Roman"/>
          <w:rtl/>
          <w:lang w:eastAsia="de-DE"/>
        </w:rPr>
        <w:t xml:space="preserve"> </w:t>
      </w:r>
      <w:r w:rsidRPr="00992CEC">
        <w:rPr>
          <w:rFonts w:eastAsia="Times New Roman" w:cs="Times New Roman"/>
          <w:lang w:eastAsia="de-DE"/>
        </w:rPr>
        <w:t xml:space="preserve">(eine ewige Satzung soll dies für sie sein bei ihren Generationen) - </w:t>
      </w:r>
      <w:r w:rsidRPr="00992CEC">
        <w:rPr>
          <w:rFonts w:eastAsia="Times New Roman" w:cs="Times New Roman"/>
          <w:b/>
          <w:bCs/>
          <w:rtl/>
          <w:lang w:eastAsia="de-DE"/>
        </w:rPr>
        <w:t>חקת עולם</w:t>
      </w:r>
      <w:r w:rsidRPr="00992CEC">
        <w:rPr>
          <w:rFonts w:eastAsia="Times New Roman" w:cs="Times New Roman"/>
          <w:rtl/>
          <w:lang w:eastAsia="de-DE"/>
        </w:rPr>
        <w:t xml:space="preserve"> </w:t>
      </w:r>
      <w:r w:rsidRPr="00992CEC">
        <w:rPr>
          <w:rFonts w:eastAsia="Times New Roman" w:cs="Times New Roman"/>
          <w:lang w:eastAsia="de-DE"/>
        </w:rPr>
        <w:t xml:space="preserve">(ewige Satzung) zeigt dauerhafte Gültigkeit. </w:t>
      </w:r>
      <w:r w:rsidRPr="00992CEC">
        <w:rPr>
          <w:rFonts w:eastAsia="Times New Roman" w:cs="Times New Roman"/>
          <w:b/>
          <w:bCs/>
          <w:rtl/>
          <w:lang w:eastAsia="de-DE"/>
        </w:rPr>
        <w:t>לדרתם</w:t>
      </w:r>
      <w:r w:rsidRPr="00992CEC">
        <w:rPr>
          <w:rFonts w:eastAsia="Times New Roman" w:cs="Times New Roman"/>
          <w:rtl/>
          <w:lang w:eastAsia="de-DE"/>
        </w:rPr>
        <w:t xml:space="preserve"> </w:t>
      </w:r>
      <w:r w:rsidRPr="00992CEC">
        <w:rPr>
          <w:rFonts w:eastAsia="Times New Roman" w:cs="Times New Roman"/>
          <w:lang w:eastAsia="de-DE"/>
        </w:rPr>
        <w:t>(bei ihren Generationen) betont generationenübergreifende Verpflichtung.</w:t>
      </w:r>
    </w:p>
    <w:p w14:paraId="691EE73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שעירם</w:t>
      </w:r>
      <w:r w:rsidRPr="00992CEC">
        <w:rPr>
          <w:rFonts w:eastAsia="Times New Roman" w:cs="Times New Roman"/>
          <w:rtl/>
          <w:lang w:eastAsia="de-DE"/>
        </w:rPr>
        <w:t xml:space="preserve"> </w:t>
      </w:r>
      <w:r w:rsidRPr="00992CEC">
        <w:rPr>
          <w:rFonts w:eastAsia="Times New Roman" w:cs="Times New Roman"/>
          <w:lang w:eastAsia="de-DE"/>
        </w:rPr>
        <w:t xml:space="preserve">zeigt, dass dezentrale Schlachtung mit Dämonenverehrung verbunden war. </w:t>
      </w:r>
      <w:r w:rsidRPr="00992CEC">
        <w:rPr>
          <w:rFonts w:eastAsia="Times New Roman" w:cs="Times New Roman"/>
          <w:b/>
          <w:bCs/>
          <w:rtl/>
          <w:lang w:eastAsia="de-DE"/>
        </w:rPr>
        <w:t>זנים אחריהם</w:t>
      </w:r>
      <w:r w:rsidRPr="00992CEC">
        <w:rPr>
          <w:rFonts w:eastAsia="Times New Roman" w:cs="Times New Roman"/>
          <w:rtl/>
          <w:lang w:eastAsia="de-DE"/>
        </w:rPr>
        <w:t xml:space="preserve"> </w:t>
      </w:r>
      <w:r w:rsidRPr="00992CEC">
        <w:rPr>
          <w:rFonts w:eastAsia="Times New Roman" w:cs="Times New Roman"/>
          <w:lang w:eastAsia="de-DE"/>
        </w:rPr>
        <w:t>verwendet die Ehe-Metapher für die Beziehung zwischen JHWH und Israel. Die Schlachtungszentralisierung dient der Bekämpfung des Synkretismus.</w:t>
      </w:r>
    </w:p>
    <w:p w14:paraId="6198CA9F" w14:textId="5D056A09"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interpretiert </w:t>
      </w:r>
      <w:r w:rsidR="00E705C5">
        <w:rPr>
          <w:rtl/>
        </w:rPr>
        <w:t>השעירים</w:t>
      </w:r>
      <w:r w:rsidR="00E705C5">
        <w:t xml:space="preserve"> (</w:t>
      </w:r>
      <w:proofErr w:type="spellStart"/>
      <w:r w:rsidR="00E705C5">
        <w:t>hase'irim</w:t>
      </w:r>
      <w:proofErr w:type="spellEnd"/>
      <w:r w:rsidR="00E705C5">
        <w:t xml:space="preserve"> - "die Dämonen/Böcke") als </w:t>
      </w:r>
      <w:proofErr w:type="spellStart"/>
      <w:r w:rsidR="00E705C5">
        <w:t>τοῖς</w:t>
      </w:r>
      <w:proofErr w:type="spellEnd"/>
      <w:r w:rsidR="00E705C5">
        <w:t xml:space="preserve"> ματα</w:t>
      </w:r>
      <w:proofErr w:type="spellStart"/>
      <w:r w:rsidR="00E705C5">
        <w:t>ίοις</w:t>
      </w:r>
      <w:proofErr w:type="spellEnd"/>
      <w:r w:rsidR="00E705C5">
        <w:t xml:space="preserve"> (den nichtigen/eitlen Göttern), was eine theologische Deutung statt einer wörtlichen Übersetzung darstellt. Das hebräische </w:t>
      </w:r>
      <w:r w:rsidR="00E705C5">
        <w:rPr>
          <w:rtl/>
        </w:rPr>
        <w:t>זנים</w:t>
      </w:r>
      <w:r w:rsidR="00E705C5">
        <w:t xml:space="preserve"> (</w:t>
      </w:r>
      <w:proofErr w:type="spellStart"/>
      <w:r w:rsidR="00E705C5">
        <w:t>zonim</w:t>
      </w:r>
      <w:proofErr w:type="spellEnd"/>
      <w:r w:rsidR="00E705C5">
        <w:t xml:space="preserve"> - "huren") wird als </w:t>
      </w:r>
      <w:proofErr w:type="spellStart"/>
      <w:r w:rsidR="00E705C5">
        <w:t>ἐκ</w:t>
      </w:r>
      <w:proofErr w:type="spellEnd"/>
      <w:r w:rsidR="00E705C5">
        <w:t>πορνεύουσιν (sie huren) beibehalten.</w:t>
      </w:r>
    </w:p>
    <w:p w14:paraId="3DA224F5" w14:textId="2D78C294"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Anti-Synkretismus-Zweck: Verbot der Dämonenopfer + Hurerei-Metapher für Untreue + ewige Gültigkeitsbetonung. Die Struktur offenbart die Schlachtungszentralisierung als Maßnahme gegen Dämonenverehrung.</w:t>
      </w:r>
    </w:p>
    <w:p w14:paraId="0CCD67D5" w14:textId="153A4693" w:rsidR="001E05CF" w:rsidRPr="00992CEC" w:rsidRDefault="001E05CF" w:rsidP="00992CEC">
      <w:pPr>
        <w:spacing w:before="100" w:beforeAutospacing="1" w:after="100" w:afterAutospacing="1" w:line="240" w:lineRule="auto"/>
        <w:rPr>
          <w:rFonts w:eastAsia="Times New Roman" w:cs="Times New Roman"/>
          <w:lang w:eastAsia="de-DE"/>
        </w:rPr>
      </w:pPr>
      <w:r>
        <w:t>Sie sollen nicht mehr den Dämonen (</w:t>
      </w:r>
      <w:r>
        <w:rPr>
          <w:rtl/>
        </w:rPr>
        <w:t>שעירים</w:t>
      </w:r>
      <w:r>
        <w:t>) opfern, denen sie "nachhuren" - ewige Satzung.</w:t>
      </w:r>
    </w:p>
    <w:p w14:paraId="107093C3"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17,8</w:t>
      </w:r>
    </w:p>
    <w:p w14:paraId="49E161A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וַאֲלֵהֶ֣ם תֹּאמַ֔ר אִ֥ישׁ אִישׁ֙ מִבֵּ֣ית יִשְׂרָאֵ֔ל וּמִן־הַגֵּ֖ר אֲשֶׁר־יָג֣וּר בְּתוֹכָ֑ם אֲשֶׁר־יַעֲלֶ֥ה עֹלָ֖ה אוֹ־זָֽבַח׃</w:t>
      </w:r>
    </w:p>
    <w:p w14:paraId="666B2365" w14:textId="05508AA3"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zu ihnen sollst du sagen: Mann für Mann vom Haus Jisra'el und von den Fremden, die in ihrer Mitte weilen, der aufsteigen lässt ein Aufsteigeopfer oder Schlachtopfer,</w:t>
      </w:r>
    </w:p>
    <w:p w14:paraId="3739C59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6EA7A661">
          <v:rect id="_x0000_i1522" style="width:0;height:1.5pt" o:hralign="center" o:hrstd="t" o:hr="t" fillcolor="#a0a0a0" stroked="f"/>
        </w:pict>
      </w:r>
    </w:p>
    <w:p w14:paraId="3E5DFAE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ואליהם תאמר איש איש מבית ישראל ומן־הגר אשר־יגור בתוכם אשר־יעלה עלה או־זבח</w:t>
      </w:r>
      <w:r w:rsidRPr="00992CEC">
        <w:rPr>
          <w:rFonts w:eastAsia="Times New Roman" w:cs="Times New Roman"/>
          <w:rtl/>
          <w:lang w:eastAsia="de-DE"/>
        </w:rPr>
        <w:t xml:space="preserve"> </w:t>
      </w:r>
      <w:r w:rsidRPr="00992CEC">
        <w:rPr>
          <w:rFonts w:eastAsia="Times New Roman" w:cs="Times New Roman"/>
          <w:lang w:eastAsia="de-DE"/>
        </w:rPr>
        <w:t xml:space="preserve">erweitert die Regelung auf alle Opferarten und alle Bewohner. </w:t>
      </w:r>
      <w:r w:rsidRPr="00992CEC">
        <w:rPr>
          <w:rFonts w:eastAsia="Times New Roman" w:cs="Times New Roman"/>
          <w:b/>
          <w:bCs/>
          <w:rtl/>
          <w:lang w:eastAsia="de-DE"/>
        </w:rPr>
        <w:t>ואליהם תאמר</w:t>
      </w:r>
      <w:r w:rsidRPr="00992CEC">
        <w:rPr>
          <w:rFonts w:eastAsia="Times New Roman" w:cs="Times New Roman"/>
          <w:rtl/>
          <w:lang w:eastAsia="de-DE"/>
        </w:rPr>
        <w:t xml:space="preserve"> </w:t>
      </w:r>
      <w:r w:rsidRPr="00992CEC">
        <w:rPr>
          <w:rFonts w:eastAsia="Times New Roman" w:cs="Times New Roman"/>
          <w:lang w:eastAsia="de-DE"/>
        </w:rPr>
        <w:t xml:space="preserve">(und zu ihnen sollst du sagen) - </w:t>
      </w:r>
      <w:r w:rsidRPr="00992CEC">
        <w:rPr>
          <w:rFonts w:eastAsia="Times New Roman" w:cs="Times New Roman"/>
          <w:b/>
          <w:bCs/>
          <w:rtl/>
          <w:lang w:eastAsia="de-DE"/>
        </w:rPr>
        <w:t>תאמר</w:t>
      </w:r>
      <w:r w:rsidRPr="00992CEC">
        <w:rPr>
          <w:rFonts w:eastAsia="Times New Roman" w:cs="Times New Roman"/>
          <w:rtl/>
          <w:lang w:eastAsia="de-DE"/>
        </w:rPr>
        <w:t xml:space="preserve"> </w:t>
      </w:r>
      <w:r w:rsidRPr="00992CEC">
        <w:rPr>
          <w:rFonts w:eastAsia="Times New Roman" w:cs="Times New Roman"/>
          <w:lang w:eastAsia="de-DE"/>
        </w:rPr>
        <w:t xml:space="preserve">(du sollst sagen) im Qal-Imperfekt als fortgesetzter Verkündigungsauftrag. </w:t>
      </w:r>
      <w:r w:rsidRPr="00992CEC">
        <w:rPr>
          <w:rFonts w:eastAsia="Times New Roman" w:cs="Times New Roman"/>
          <w:b/>
          <w:bCs/>
          <w:rtl/>
          <w:lang w:eastAsia="de-DE"/>
        </w:rPr>
        <w:t>איש איש מבית ישראל ומן־הגר אשר־יגור בתוכם</w:t>
      </w:r>
      <w:r w:rsidRPr="00992CEC">
        <w:rPr>
          <w:rFonts w:eastAsia="Times New Roman" w:cs="Times New Roman"/>
          <w:rtl/>
          <w:lang w:eastAsia="de-DE"/>
        </w:rPr>
        <w:t xml:space="preserve"> </w:t>
      </w:r>
      <w:r w:rsidRPr="00992CEC">
        <w:rPr>
          <w:rFonts w:eastAsia="Times New Roman" w:cs="Times New Roman"/>
          <w:lang w:eastAsia="de-DE"/>
        </w:rPr>
        <w:t xml:space="preserve">(jeder Mann vom Haus Israel und von den Fremden, die in ihrer Mitte weilen) erweitert den Regelungskreis auf </w:t>
      </w:r>
      <w:r w:rsidRPr="00992CEC">
        <w:rPr>
          <w:rFonts w:eastAsia="Times New Roman" w:cs="Times New Roman"/>
          <w:b/>
          <w:bCs/>
          <w:rtl/>
          <w:lang w:eastAsia="de-DE"/>
        </w:rPr>
        <w:t>גר</w:t>
      </w:r>
      <w:r w:rsidRPr="00992CEC">
        <w:rPr>
          <w:rFonts w:eastAsia="Times New Roman" w:cs="Times New Roman"/>
          <w:rtl/>
          <w:lang w:eastAsia="de-DE"/>
        </w:rPr>
        <w:t xml:space="preserve"> </w:t>
      </w:r>
      <w:r w:rsidRPr="00992CEC">
        <w:rPr>
          <w:rFonts w:eastAsia="Times New Roman" w:cs="Times New Roman"/>
          <w:lang w:eastAsia="de-DE"/>
        </w:rPr>
        <w:t>(Fremde/Proselyten).</w:t>
      </w:r>
    </w:p>
    <w:p w14:paraId="366F9A4E" w14:textId="7012819B"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אשר־יעלה עלה או־זבח</w:t>
      </w:r>
      <w:r w:rsidRPr="00992CEC">
        <w:rPr>
          <w:rFonts w:eastAsia="Times New Roman" w:cs="Times New Roman"/>
          <w:rtl/>
          <w:lang w:eastAsia="de-DE"/>
        </w:rPr>
        <w:t xml:space="preserve"> </w:t>
      </w:r>
      <w:r w:rsidRPr="00992CEC">
        <w:rPr>
          <w:rFonts w:eastAsia="Times New Roman" w:cs="Times New Roman"/>
          <w:lang w:eastAsia="de-DE"/>
        </w:rPr>
        <w:t xml:space="preserve">(der ein </w:t>
      </w:r>
      <w:r w:rsidR="00CF10E7">
        <w:rPr>
          <w:rFonts w:eastAsia="Times New Roman" w:cs="Times New Roman"/>
          <w:lang w:eastAsia="de-DE"/>
        </w:rPr>
        <w:t>Aufsteigeopfer</w:t>
      </w:r>
      <w:r w:rsidRPr="00992CEC">
        <w:rPr>
          <w:rFonts w:eastAsia="Times New Roman" w:cs="Times New Roman"/>
          <w:lang w:eastAsia="de-DE"/>
        </w:rPr>
        <w:t xml:space="preserve"> oder Schlachtopfer aufsteigen lässt) - </w:t>
      </w:r>
      <w:r w:rsidRPr="00992CEC">
        <w:rPr>
          <w:rFonts w:eastAsia="Times New Roman" w:cs="Times New Roman"/>
          <w:b/>
          <w:bCs/>
          <w:rtl/>
          <w:lang w:eastAsia="de-DE"/>
        </w:rPr>
        <w:t>יעלה</w:t>
      </w:r>
      <w:r w:rsidRPr="00992CEC">
        <w:rPr>
          <w:rFonts w:eastAsia="Times New Roman" w:cs="Times New Roman"/>
          <w:rtl/>
          <w:lang w:eastAsia="de-DE"/>
        </w:rPr>
        <w:t xml:space="preserve"> </w:t>
      </w:r>
      <w:r w:rsidRPr="00992CEC">
        <w:rPr>
          <w:rFonts w:eastAsia="Times New Roman" w:cs="Times New Roman"/>
          <w:lang w:eastAsia="de-DE"/>
        </w:rPr>
        <w:t xml:space="preserve">(aufsteigen lässt) im Hifil-Imperfekt, das Hifil zeigt kausatives Darbringen. </w:t>
      </w:r>
      <w:r w:rsidRPr="00992CEC">
        <w:rPr>
          <w:rFonts w:eastAsia="Times New Roman" w:cs="Times New Roman"/>
          <w:b/>
          <w:bCs/>
          <w:rtl/>
          <w:lang w:eastAsia="de-DE"/>
        </w:rPr>
        <w:t>עלה</w:t>
      </w:r>
      <w:r w:rsidRPr="00992CEC">
        <w:rPr>
          <w:rFonts w:eastAsia="Times New Roman" w:cs="Times New Roman"/>
          <w:rtl/>
          <w:lang w:eastAsia="de-DE"/>
        </w:rPr>
        <w:t xml:space="preserve"> </w:t>
      </w:r>
      <w:r w:rsidRPr="00992CEC">
        <w:rPr>
          <w:rFonts w:eastAsia="Times New Roman" w:cs="Times New Roman"/>
          <w:lang w:eastAsia="de-DE"/>
        </w:rPr>
        <w:t>(</w:t>
      </w:r>
      <w:r w:rsidR="00CF10E7">
        <w:rPr>
          <w:rFonts w:eastAsia="Times New Roman" w:cs="Times New Roman"/>
          <w:lang w:eastAsia="de-DE"/>
        </w:rPr>
        <w:t>Aufsteigeopfer</w:t>
      </w:r>
      <w:r w:rsidRPr="00992CEC">
        <w:rPr>
          <w:rFonts w:eastAsia="Times New Roman" w:cs="Times New Roman"/>
          <w:lang w:eastAsia="de-DE"/>
        </w:rPr>
        <w:t xml:space="preserve">) und </w:t>
      </w:r>
      <w:r w:rsidRPr="00992CEC">
        <w:rPr>
          <w:rFonts w:eastAsia="Times New Roman" w:cs="Times New Roman"/>
          <w:b/>
          <w:bCs/>
          <w:rtl/>
          <w:lang w:eastAsia="de-DE"/>
        </w:rPr>
        <w:t>זבח</w:t>
      </w:r>
      <w:r w:rsidRPr="00992CEC">
        <w:rPr>
          <w:rFonts w:eastAsia="Times New Roman" w:cs="Times New Roman"/>
          <w:rtl/>
          <w:lang w:eastAsia="de-DE"/>
        </w:rPr>
        <w:t xml:space="preserve"> </w:t>
      </w:r>
      <w:r w:rsidRPr="00992CEC">
        <w:rPr>
          <w:rFonts w:eastAsia="Times New Roman" w:cs="Times New Roman"/>
          <w:lang w:eastAsia="de-DE"/>
        </w:rPr>
        <w:t>(Schlachtopfer) als die beiden Hauptopferkategorien.</w:t>
      </w:r>
    </w:p>
    <w:p w14:paraId="727F7E1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lastRenderedPageBreak/>
        <w:t>איש איש</w:t>
      </w:r>
      <w:r w:rsidRPr="00992CEC">
        <w:rPr>
          <w:rFonts w:eastAsia="Times New Roman" w:cs="Times New Roman"/>
          <w:rtl/>
          <w:lang w:eastAsia="de-DE"/>
        </w:rPr>
        <w:t xml:space="preserve"> </w:t>
      </w:r>
      <w:r w:rsidRPr="00992CEC">
        <w:rPr>
          <w:rFonts w:eastAsia="Times New Roman" w:cs="Times New Roman"/>
          <w:lang w:eastAsia="de-DE"/>
        </w:rPr>
        <w:t xml:space="preserve">wiederholt die distributive Formulierung aus V. 3. </w:t>
      </w:r>
      <w:r w:rsidRPr="00992CEC">
        <w:rPr>
          <w:rFonts w:eastAsia="Times New Roman" w:cs="Times New Roman"/>
          <w:b/>
          <w:bCs/>
          <w:rtl/>
          <w:lang w:eastAsia="de-DE"/>
        </w:rPr>
        <w:t>ומן־הגר אשר־יגור בתוכם</w:t>
      </w:r>
      <w:r w:rsidRPr="00992CEC">
        <w:rPr>
          <w:rFonts w:eastAsia="Times New Roman" w:cs="Times New Roman"/>
          <w:rtl/>
          <w:lang w:eastAsia="de-DE"/>
        </w:rPr>
        <w:t xml:space="preserve"> </w:t>
      </w:r>
      <w:r w:rsidRPr="00992CEC">
        <w:rPr>
          <w:rFonts w:eastAsia="Times New Roman" w:cs="Times New Roman"/>
          <w:lang w:eastAsia="de-DE"/>
        </w:rPr>
        <w:t xml:space="preserve">erweitert auf ansässige Fremde, die am israelitischen Kult teilnehmen. </w:t>
      </w:r>
      <w:r w:rsidRPr="00992CEC">
        <w:rPr>
          <w:rFonts w:eastAsia="Times New Roman" w:cs="Times New Roman"/>
          <w:b/>
          <w:bCs/>
          <w:rtl/>
          <w:lang w:eastAsia="de-DE"/>
        </w:rPr>
        <w:t>יעלה</w:t>
      </w:r>
      <w:r w:rsidRPr="00992CEC">
        <w:rPr>
          <w:rFonts w:eastAsia="Times New Roman" w:cs="Times New Roman"/>
          <w:rtl/>
          <w:lang w:eastAsia="de-DE"/>
        </w:rPr>
        <w:t xml:space="preserve"> </w:t>
      </w:r>
      <w:r w:rsidRPr="00992CEC">
        <w:rPr>
          <w:rFonts w:eastAsia="Times New Roman" w:cs="Times New Roman"/>
          <w:lang w:eastAsia="de-DE"/>
        </w:rPr>
        <w:t>im Hifil betont die aktive Opferdarbringung.</w:t>
      </w:r>
    </w:p>
    <w:p w14:paraId="201658A9" w14:textId="2DF97E88"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הגר אשר־יגור בתוכם</w:t>
      </w:r>
      <w:r w:rsidR="00E705C5">
        <w:t xml:space="preserve"> (hager asher-</w:t>
      </w:r>
      <w:proofErr w:type="spellStart"/>
      <w:r w:rsidR="00E705C5">
        <w:t>yagur</w:t>
      </w:r>
      <w:proofErr w:type="spellEnd"/>
      <w:r w:rsidR="00E705C5">
        <w:t xml:space="preserve"> </w:t>
      </w:r>
      <w:proofErr w:type="spellStart"/>
      <w:r w:rsidR="00E705C5">
        <w:t>betocham</w:t>
      </w:r>
      <w:proofErr w:type="spellEnd"/>
      <w:r w:rsidR="00E705C5">
        <w:t xml:space="preserve"> - "der Fremdling, der unter ihnen weilt") als </w:t>
      </w:r>
      <w:proofErr w:type="spellStart"/>
      <w:r w:rsidR="00E705C5">
        <w:t>τῶν</w:t>
      </w:r>
      <w:proofErr w:type="spellEnd"/>
      <w:r w:rsidR="00E705C5">
        <w:t xml:space="preserve"> π</w:t>
      </w:r>
      <w:proofErr w:type="spellStart"/>
      <w:r w:rsidR="00E705C5">
        <w:t>ροσηλύτων</w:t>
      </w:r>
      <w:proofErr w:type="spellEnd"/>
      <w:r w:rsidR="00E705C5">
        <w:t xml:space="preserve"> </w:t>
      </w:r>
      <w:proofErr w:type="spellStart"/>
      <w:r w:rsidR="00E705C5">
        <w:t>τῶν</w:t>
      </w:r>
      <w:proofErr w:type="spellEnd"/>
      <w:r w:rsidR="00E705C5">
        <w:t xml:space="preserve"> π</w:t>
      </w:r>
      <w:proofErr w:type="spellStart"/>
      <w:r w:rsidR="00E705C5">
        <w:t>ροσκειμένων</w:t>
      </w:r>
      <w:proofErr w:type="spellEnd"/>
      <w:r w:rsidR="00E705C5">
        <w:t xml:space="preserve"> </w:t>
      </w:r>
      <w:proofErr w:type="spellStart"/>
      <w:r w:rsidR="00E705C5">
        <w:t>ἐν</w:t>
      </w:r>
      <w:proofErr w:type="spellEnd"/>
      <w:r w:rsidR="00E705C5">
        <w:t xml:space="preserve"> </w:t>
      </w:r>
      <w:proofErr w:type="spellStart"/>
      <w:r w:rsidR="00E705C5">
        <w:t>ὑμῖν</w:t>
      </w:r>
      <w:proofErr w:type="spellEnd"/>
      <w:r w:rsidR="00E705C5">
        <w:t xml:space="preserve"> (der Proselyten, die sich euch angeschlossen haben), was eine religiöse Konversion impliziert.</w:t>
      </w:r>
    </w:p>
    <w:p w14:paraId="1454065E" w14:textId="42FBFA73"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erweiterte Regelung: fortgesetzte Verkündigung + universelle Personenerfassung einschließlich Fremder + erweiterte Opferkategorien. Die Struktur zeigt die Universalität der Heiligtumszentralisierung.</w:t>
      </w:r>
    </w:p>
    <w:p w14:paraId="57C3DA5A" w14:textId="38A55FFA" w:rsidR="001E05CF" w:rsidRPr="00992CEC" w:rsidRDefault="001E05CF" w:rsidP="00992CEC">
      <w:pPr>
        <w:spacing w:before="100" w:beforeAutospacing="1" w:after="100" w:afterAutospacing="1" w:line="240" w:lineRule="auto"/>
        <w:rPr>
          <w:rFonts w:eastAsia="Times New Roman" w:cs="Times New Roman"/>
          <w:lang w:eastAsia="de-DE"/>
        </w:rPr>
      </w:pPr>
      <w:r>
        <w:t>Jeder Israelit und Fremde, der Brand- oder Schlachtopfer darbringt.</w:t>
      </w:r>
    </w:p>
    <w:p w14:paraId="7684F5BF"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17,9</w:t>
      </w:r>
    </w:p>
    <w:p w14:paraId="65D4AA0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וְאֶל־פֶּ֜תַח אֹ֤הֶל מוֹעֵד֙ לֹ֣א יְבִיאֶ֔נּוּ לַעֲשׂ֥וֹת אֹתוֹ֖ לַיהוָ֑ה וְנִכְרַ֛ת הָאִ֥ישׁ הַה֖וּא מֵעַמָּֽיו׃</w:t>
      </w:r>
    </w:p>
    <w:p w14:paraId="2A8BC24F" w14:textId="54F772D9"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rsidRPr="00992CEC">
        <w:rPr>
          <w:rFonts w:eastAsia="Times New Roman" w:cs="Times New Roman"/>
          <w:lang w:eastAsia="de-DE"/>
        </w:rPr>
        <w:t xml:space="preserve">und es nicht an den Eingang des Zeltes der Begegnung bringt, um es dem </w:t>
      </w:r>
      <w:r w:rsidR="00CA22AE">
        <w:rPr>
          <w:rFonts w:eastAsia="Times New Roman" w:cs="Times New Roman"/>
          <w:lang w:eastAsia="de-DE"/>
        </w:rPr>
        <w:t>Ewigen</w:t>
      </w:r>
      <w:r w:rsidR="00CA22AE" w:rsidRPr="00992CEC">
        <w:rPr>
          <w:rFonts w:eastAsia="Times New Roman" w:cs="Times New Roman"/>
          <w:lang w:eastAsia="de-DE"/>
        </w:rPr>
        <w:t xml:space="preserve"> zu bereiten - dieser Mann soll ausgerottet werden aus seinen Völkern.</w:t>
      </w:r>
    </w:p>
    <w:p w14:paraId="4EAA1C8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0A6B773">
          <v:rect id="_x0000_i1523" style="width:0;height:1.5pt" o:hralign="center" o:hrstd="t" o:hr="t" fillcolor="#a0a0a0" stroked="f"/>
        </w:pict>
      </w:r>
    </w:p>
    <w:p w14:paraId="6F1539F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ואל־פתח אהל מועד לא יביאנו לעשות אתו ליהוה ונכרת האיש ההוא מעמיו</w:t>
      </w:r>
      <w:r w:rsidRPr="00992CEC">
        <w:rPr>
          <w:rFonts w:eastAsia="Times New Roman" w:cs="Times New Roman"/>
          <w:rtl/>
          <w:lang w:eastAsia="de-DE"/>
        </w:rPr>
        <w:t xml:space="preserve"> </w:t>
      </w:r>
      <w:r w:rsidRPr="00992CEC">
        <w:rPr>
          <w:rFonts w:eastAsia="Times New Roman" w:cs="Times New Roman"/>
          <w:lang w:eastAsia="de-DE"/>
        </w:rPr>
        <w:t xml:space="preserve">entspricht V. 4 mit kleinen Variationen. </w:t>
      </w:r>
      <w:r w:rsidRPr="00992CEC">
        <w:rPr>
          <w:rFonts w:eastAsia="Times New Roman" w:cs="Times New Roman"/>
          <w:b/>
          <w:bCs/>
          <w:rtl/>
          <w:lang w:eastAsia="de-DE"/>
        </w:rPr>
        <w:t>ואל־פתח אהל מועד לא יביאנו</w:t>
      </w:r>
      <w:r w:rsidRPr="00992CEC">
        <w:rPr>
          <w:rFonts w:eastAsia="Times New Roman" w:cs="Times New Roman"/>
          <w:rtl/>
          <w:lang w:eastAsia="de-DE"/>
        </w:rPr>
        <w:t xml:space="preserve"> </w:t>
      </w:r>
      <w:r w:rsidRPr="00992CEC">
        <w:rPr>
          <w:rFonts w:eastAsia="Times New Roman" w:cs="Times New Roman"/>
          <w:lang w:eastAsia="de-DE"/>
        </w:rPr>
        <w:t xml:space="preserve">(und es nicht an den Eingang des Zeltes der Begegnung bringt) - </w:t>
      </w:r>
      <w:r w:rsidRPr="00992CEC">
        <w:rPr>
          <w:rFonts w:eastAsia="Times New Roman" w:cs="Times New Roman"/>
          <w:b/>
          <w:bCs/>
          <w:rtl/>
          <w:lang w:eastAsia="de-DE"/>
        </w:rPr>
        <w:t>יביאנו</w:t>
      </w:r>
      <w:r w:rsidRPr="00992CEC">
        <w:rPr>
          <w:rFonts w:eastAsia="Times New Roman" w:cs="Times New Roman"/>
          <w:rtl/>
          <w:lang w:eastAsia="de-DE"/>
        </w:rPr>
        <w:t xml:space="preserve"> </w:t>
      </w:r>
      <w:r w:rsidRPr="00992CEC">
        <w:rPr>
          <w:rFonts w:eastAsia="Times New Roman" w:cs="Times New Roman"/>
          <w:lang w:eastAsia="de-DE"/>
        </w:rPr>
        <w:t>(er bringt es) im Hifil-Imperfekt mit Objektsuffix, das Hifil zeigt kausatives Bringen.</w:t>
      </w:r>
    </w:p>
    <w:p w14:paraId="1C5E7BAD" w14:textId="4F517688"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לעשות אתו ליהוה</w:t>
      </w:r>
      <w:r w:rsidRPr="00992CEC">
        <w:rPr>
          <w:rFonts w:eastAsia="Times New Roman" w:cs="Times New Roman"/>
          <w:rtl/>
          <w:lang w:eastAsia="de-DE"/>
        </w:rPr>
        <w:t xml:space="preserve"> </w:t>
      </w:r>
      <w:r w:rsidRPr="00992CEC">
        <w:rPr>
          <w:rFonts w:eastAsia="Times New Roman" w:cs="Times New Roman"/>
          <w:lang w:eastAsia="de-DE"/>
        </w:rPr>
        <w:t xml:space="preserve">(um es dem </w:t>
      </w:r>
      <w:r w:rsidR="004603C6">
        <w:rPr>
          <w:rFonts w:eastAsia="Times New Roman" w:cs="Times New Roman"/>
          <w:lang w:eastAsia="de-DE"/>
        </w:rPr>
        <w:t>Ewigen</w:t>
      </w:r>
      <w:r w:rsidRPr="00992CEC">
        <w:rPr>
          <w:rFonts w:eastAsia="Times New Roman" w:cs="Times New Roman"/>
          <w:lang w:eastAsia="de-DE"/>
        </w:rPr>
        <w:t xml:space="preserve"> zu bereiten) - </w:t>
      </w:r>
      <w:r w:rsidRPr="00992CEC">
        <w:rPr>
          <w:rFonts w:eastAsia="Times New Roman" w:cs="Times New Roman"/>
          <w:b/>
          <w:bCs/>
          <w:rtl/>
          <w:lang w:eastAsia="de-DE"/>
        </w:rPr>
        <w:t>לעשות</w:t>
      </w:r>
      <w:r w:rsidRPr="00992CEC">
        <w:rPr>
          <w:rFonts w:eastAsia="Times New Roman" w:cs="Times New Roman"/>
          <w:rtl/>
          <w:lang w:eastAsia="de-DE"/>
        </w:rPr>
        <w:t xml:space="preserve"> </w:t>
      </w:r>
      <w:r w:rsidRPr="00992CEC">
        <w:rPr>
          <w:rFonts w:eastAsia="Times New Roman" w:cs="Times New Roman"/>
          <w:lang w:eastAsia="de-DE"/>
        </w:rPr>
        <w:t>(um zu bereiten) im Qal-Infinitiv-</w:t>
      </w:r>
      <w:r w:rsidR="005407E2">
        <w:rPr>
          <w:rFonts w:eastAsia="Times New Roman" w:cs="Times New Roman"/>
          <w:lang w:eastAsia="de-DE"/>
        </w:rPr>
        <w:t>Constructus</w:t>
      </w:r>
      <w:r w:rsidRPr="00992CEC">
        <w:rPr>
          <w:rFonts w:eastAsia="Times New Roman" w:cs="Times New Roman"/>
          <w:lang w:eastAsia="de-DE"/>
        </w:rPr>
        <w:t xml:space="preserve"> anstelle von </w:t>
      </w:r>
      <w:r w:rsidRPr="00992CEC">
        <w:rPr>
          <w:rFonts w:eastAsia="Times New Roman" w:cs="Times New Roman"/>
          <w:b/>
          <w:bCs/>
          <w:rtl/>
          <w:lang w:eastAsia="de-DE"/>
        </w:rPr>
        <w:t>להקריב</w:t>
      </w:r>
      <w:r w:rsidRPr="00992CEC">
        <w:rPr>
          <w:rFonts w:eastAsia="Times New Roman" w:cs="Times New Roman"/>
          <w:rtl/>
          <w:lang w:eastAsia="de-DE"/>
        </w:rPr>
        <w:t xml:space="preserve"> </w:t>
      </w:r>
      <w:r w:rsidRPr="00992CEC">
        <w:rPr>
          <w:rFonts w:eastAsia="Times New Roman" w:cs="Times New Roman"/>
          <w:lang w:eastAsia="de-DE"/>
        </w:rPr>
        <w:t xml:space="preserve">aus V. 4. </w:t>
      </w:r>
      <w:r w:rsidRPr="00992CEC">
        <w:rPr>
          <w:rFonts w:eastAsia="Times New Roman" w:cs="Times New Roman"/>
          <w:b/>
          <w:bCs/>
          <w:rtl/>
          <w:lang w:eastAsia="de-DE"/>
        </w:rPr>
        <w:t>עשה</w:t>
      </w:r>
      <w:r w:rsidRPr="00992CEC">
        <w:rPr>
          <w:rFonts w:eastAsia="Times New Roman" w:cs="Times New Roman"/>
          <w:rtl/>
          <w:lang w:eastAsia="de-DE"/>
        </w:rPr>
        <w:t xml:space="preserve"> </w:t>
      </w:r>
      <w:r w:rsidRPr="00992CEC">
        <w:rPr>
          <w:rFonts w:eastAsia="Times New Roman" w:cs="Times New Roman"/>
          <w:lang w:eastAsia="de-DE"/>
        </w:rPr>
        <w:t>(bereiten/machen) zeigt die rituelle Herstellung des Opfers.</w:t>
      </w:r>
    </w:p>
    <w:p w14:paraId="6FBB4A8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ונכרת האיש ההוא מעמיו</w:t>
      </w:r>
      <w:r w:rsidRPr="00992CEC">
        <w:rPr>
          <w:rFonts w:eastAsia="Times New Roman" w:cs="Times New Roman"/>
          <w:rtl/>
          <w:lang w:eastAsia="de-DE"/>
        </w:rPr>
        <w:t xml:space="preserve"> </w:t>
      </w:r>
      <w:r w:rsidRPr="00992CEC">
        <w:rPr>
          <w:rFonts w:eastAsia="Times New Roman" w:cs="Times New Roman"/>
          <w:lang w:eastAsia="de-DE"/>
        </w:rPr>
        <w:t xml:space="preserve">(dieser Mann soll ausgerottet werden aus seinen Völkern) - </w:t>
      </w:r>
      <w:r w:rsidRPr="00992CEC">
        <w:rPr>
          <w:rFonts w:eastAsia="Times New Roman" w:cs="Times New Roman"/>
          <w:b/>
          <w:bCs/>
          <w:rtl/>
          <w:lang w:eastAsia="de-DE"/>
        </w:rPr>
        <w:t>ונכרת</w:t>
      </w:r>
      <w:r w:rsidRPr="00992CEC">
        <w:rPr>
          <w:rFonts w:eastAsia="Times New Roman" w:cs="Times New Roman"/>
          <w:rtl/>
          <w:lang w:eastAsia="de-DE"/>
        </w:rPr>
        <w:t xml:space="preserve"> </w:t>
      </w:r>
      <w:r w:rsidRPr="00992CEC">
        <w:rPr>
          <w:rFonts w:eastAsia="Times New Roman" w:cs="Times New Roman"/>
          <w:lang w:eastAsia="de-DE"/>
        </w:rPr>
        <w:t xml:space="preserve">(und ausgerottet werden) im Nifal-Perfekt mit Waw-Konsekutiv entspricht V. 4. </w:t>
      </w:r>
      <w:r w:rsidRPr="00992CEC">
        <w:rPr>
          <w:rFonts w:eastAsia="Times New Roman" w:cs="Times New Roman"/>
          <w:b/>
          <w:bCs/>
          <w:rtl/>
          <w:lang w:eastAsia="de-DE"/>
        </w:rPr>
        <w:t>מעמיו</w:t>
      </w:r>
      <w:r w:rsidRPr="00992CEC">
        <w:rPr>
          <w:rFonts w:eastAsia="Times New Roman" w:cs="Times New Roman"/>
          <w:rtl/>
          <w:lang w:eastAsia="de-DE"/>
        </w:rPr>
        <w:t xml:space="preserve"> </w:t>
      </w:r>
      <w:r w:rsidRPr="00992CEC">
        <w:rPr>
          <w:rFonts w:eastAsia="Times New Roman" w:cs="Times New Roman"/>
          <w:lang w:eastAsia="de-DE"/>
        </w:rPr>
        <w:t xml:space="preserve">(aus seinen Völkern) im Plural statt </w:t>
      </w:r>
      <w:r w:rsidRPr="00992CEC">
        <w:rPr>
          <w:rFonts w:eastAsia="Times New Roman" w:cs="Times New Roman"/>
          <w:b/>
          <w:bCs/>
          <w:rtl/>
          <w:lang w:eastAsia="de-DE"/>
        </w:rPr>
        <w:t>מקרב עמו</w:t>
      </w:r>
      <w:r w:rsidRPr="00992CEC">
        <w:rPr>
          <w:rFonts w:eastAsia="Times New Roman" w:cs="Times New Roman"/>
          <w:rtl/>
          <w:lang w:eastAsia="de-DE"/>
        </w:rPr>
        <w:t xml:space="preserve"> </w:t>
      </w:r>
      <w:r w:rsidRPr="00992CEC">
        <w:rPr>
          <w:rFonts w:eastAsia="Times New Roman" w:cs="Times New Roman"/>
          <w:lang w:eastAsia="de-DE"/>
        </w:rPr>
        <w:t>aus V. 4.</w:t>
      </w:r>
    </w:p>
    <w:p w14:paraId="7F26FD1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יביאנו</w:t>
      </w:r>
      <w:r w:rsidRPr="00992CEC">
        <w:rPr>
          <w:rFonts w:eastAsia="Times New Roman" w:cs="Times New Roman"/>
          <w:rtl/>
          <w:lang w:eastAsia="de-DE"/>
        </w:rPr>
        <w:t xml:space="preserve"> </w:t>
      </w:r>
      <w:r w:rsidRPr="00992CEC">
        <w:rPr>
          <w:rFonts w:eastAsia="Times New Roman" w:cs="Times New Roman"/>
          <w:lang w:eastAsia="de-DE"/>
        </w:rPr>
        <w:t xml:space="preserve">mit Objektsuffix zeigt direkte Objektbeziehung. </w:t>
      </w:r>
      <w:r w:rsidRPr="00992CEC">
        <w:rPr>
          <w:rFonts w:eastAsia="Times New Roman" w:cs="Times New Roman"/>
          <w:b/>
          <w:bCs/>
          <w:rtl/>
          <w:lang w:eastAsia="de-DE"/>
        </w:rPr>
        <w:t>לעשות</w:t>
      </w:r>
      <w:r w:rsidRPr="00992CEC">
        <w:rPr>
          <w:rFonts w:eastAsia="Times New Roman" w:cs="Times New Roman"/>
          <w:rtl/>
          <w:lang w:eastAsia="de-DE"/>
        </w:rPr>
        <w:t xml:space="preserve"> </w:t>
      </w:r>
      <w:r w:rsidRPr="00992CEC">
        <w:rPr>
          <w:rFonts w:eastAsia="Times New Roman" w:cs="Times New Roman"/>
          <w:lang w:eastAsia="de-DE"/>
        </w:rPr>
        <w:t xml:space="preserve">statt </w:t>
      </w:r>
      <w:r w:rsidRPr="00992CEC">
        <w:rPr>
          <w:rFonts w:eastAsia="Times New Roman" w:cs="Times New Roman"/>
          <w:b/>
          <w:bCs/>
          <w:rtl/>
          <w:lang w:eastAsia="de-DE"/>
        </w:rPr>
        <w:t>להקריב</w:t>
      </w:r>
      <w:r w:rsidRPr="00992CEC">
        <w:rPr>
          <w:rFonts w:eastAsia="Times New Roman" w:cs="Times New Roman"/>
          <w:rtl/>
          <w:lang w:eastAsia="de-DE"/>
        </w:rPr>
        <w:t xml:space="preserve"> </w:t>
      </w:r>
      <w:r w:rsidRPr="00992CEC">
        <w:rPr>
          <w:rFonts w:eastAsia="Times New Roman" w:cs="Times New Roman"/>
          <w:lang w:eastAsia="de-DE"/>
        </w:rPr>
        <w:t xml:space="preserve">zeigt synonyme Verwendung. </w:t>
      </w:r>
      <w:r w:rsidRPr="00992CEC">
        <w:rPr>
          <w:rFonts w:eastAsia="Times New Roman" w:cs="Times New Roman"/>
          <w:b/>
          <w:bCs/>
          <w:rtl/>
          <w:lang w:eastAsia="de-DE"/>
        </w:rPr>
        <w:t>מעמיו</w:t>
      </w:r>
      <w:r w:rsidRPr="00992CEC">
        <w:rPr>
          <w:rFonts w:eastAsia="Times New Roman" w:cs="Times New Roman"/>
          <w:rtl/>
          <w:lang w:eastAsia="de-DE"/>
        </w:rPr>
        <w:t xml:space="preserve"> </w:t>
      </w:r>
      <w:r w:rsidRPr="00992CEC">
        <w:rPr>
          <w:rFonts w:eastAsia="Times New Roman" w:cs="Times New Roman"/>
          <w:lang w:eastAsia="de-DE"/>
        </w:rPr>
        <w:t>im Plural kann auf die Völkervielfalt im Lager hinweisen.</w:t>
      </w:r>
    </w:p>
    <w:p w14:paraId="15C8A33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יביאנו</w:t>
      </w:r>
      <w:r w:rsidRPr="00992CEC">
        <w:rPr>
          <w:rFonts w:eastAsia="Times New Roman" w:cs="Times New Roman"/>
          <w:rtl/>
          <w:lang w:eastAsia="de-DE"/>
        </w:rPr>
        <w:t xml:space="preserve"> </w:t>
      </w:r>
      <w:r w:rsidRPr="00992CEC">
        <w:rPr>
          <w:rFonts w:eastAsia="Times New Roman" w:cs="Times New Roman"/>
          <w:lang w:eastAsia="de-DE"/>
        </w:rPr>
        <w:t>mit π</w:t>
      </w:r>
      <w:proofErr w:type="spellStart"/>
      <w:r w:rsidRPr="00992CEC">
        <w:rPr>
          <w:rFonts w:eastAsia="Times New Roman" w:cs="Times New Roman"/>
          <w:lang w:eastAsia="de-DE"/>
        </w:rPr>
        <w:t>ροσενέγκῃ</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ὐτό</w:t>
      </w:r>
      <w:proofErr w:type="spellEnd"/>
      <w:r w:rsidRPr="00992CEC">
        <w:rPr>
          <w:rFonts w:eastAsia="Times New Roman" w:cs="Times New Roman"/>
          <w:lang w:eastAsia="de-DE"/>
        </w:rPr>
        <w:t xml:space="preserve"> (er bringt es dar), </w:t>
      </w:r>
      <w:r w:rsidRPr="00992CEC">
        <w:rPr>
          <w:rFonts w:eastAsia="Times New Roman" w:cs="Times New Roman"/>
          <w:b/>
          <w:bCs/>
          <w:rtl/>
          <w:lang w:eastAsia="de-DE"/>
        </w:rPr>
        <w:t>לעשות</w:t>
      </w:r>
      <w:r w:rsidRPr="00992CEC">
        <w:rPr>
          <w:rFonts w:eastAsia="Times New Roman" w:cs="Times New Roman"/>
          <w:rtl/>
          <w:lang w:eastAsia="de-DE"/>
        </w:rPr>
        <w:t xml:space="preserve"> </w:t>
      </w:r>
      <w:r w:rsidRPr="00992CEC">
        <w:rPr>
          <w:rFonts w:eastAsia="Times New Roman" w:cs="Times New Roman"/>
          <w:lang w:eastAsia="de-DE"/>
        </w:rPr>
        <w:t>mit π</w:t>
      </w:r>
      <w:proofErr w:type="spellStart"/>
      <w:r w:rsidRPr="00992CEC">
        <w:rPr>
          <w:rFonts w:eastAsia="Times New Roman" w:cs="Times New Roman"/>
          <w:lang w:eastAsia="de-DE"/>
        </w:rPr>
        <w:t>οιῆσ</w:t>
      </w:r>
      <w:proofErr w:type="spellEnd"/>
      <w:r w:rsidRPr="00992CEC">
        <w:rPr>
          <w:rFonts w:eastAsia="Times New Roman" w:cs="Times New Roman"/>
          <w:lang w:eastAsia="de-DE"/>
        </w:rPr>
        <w:t xml:space="preserve">αι (zu machen) und </w:t>
      </w:r>
      <w:r w:rsidRPr="00992CEC">
        <w:rPr>
          <w:rFonts w:eastAsia="Times New Roman" w:cs="Times New Roman"/>
          <w:b/>
          <w:bCs/>
          <w:rtl/>
          <w:lang w:eastAsia="de-DE"/>
        </w:rPr>
        <w:t>מעמיו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ἐκ</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τοῦ</w:t>
      </w:r>
      <w:proofErr w:type="spellEnd"/>
      <w:r w:rsidRPr="00992CEC">
        <w:rPr>
          <w:rFonts w:eastAsia="Times New Roman" w:cs="Times New Roman"/>
          <w:lang w:eastAsia="de-DE"/>
        </w:rPr>
        <w:t xml:space="preserve"> λα</w:t>
      </w:r>
      <w:proofErr w:type="spellStart"/>
      <w:r w:rsidRPr="00992CEC">
        <w:rPr>
          <w:rFonts w:eastAsia="Times New Roman" w:cs="Times New Roman"/>
          <w:lang w:eastAsia="de-DE"/>
        </w:rPr>
        <w:t>οῦ</w:t>
      </w:r>
      <w:proofErr w:type="spellEnd"/>
      <w:r w:rsidRPr="00992CEC">
        <w:rPr>
          <w:rFonts w:eastAsia="Times New Roman" w:cs="Times New Roman"/>
          <w:lang w:eastAsia="de-DE"/>
        </w:rPr>
        <w:t xml:space="preserve">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(aus seinem Volk).</w:t>
      </w:r>
    </w:p>
    <w:p w14:paraId="4D29530F" w14:textId="2E27BA8E"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entspricht V. 4: unterlassene Heiligtumsdarbringung + Zweckangabe + Ausrottungsstrafe. Die parallele Struktur verstärkt die Zentralisierungsanforderung.</w:t>
      </w:r>
    </w:p>
    <w:p w14:paraId="452CAE08" w14:textId="6110E5F5" w:rsidR="001E05CF" w:rsidRPr="00992CEC" w:rsidRDefault="001E05CF" w:rsidP="00992CEC">
      <w:pPr>
        <w:spacing w:before="100" w:beforeAutospacing="1" w:after="100" w:afterAutospacing="1" w:line="240" w:lineRule="auto"/>
        <w:rPr>
          <w:rFonts w:eastAsia="Times New Roman" w:cs="Times New Roman"/>
          <w:lang w:eastAsia="de-DE"/>
        </w:rPr>
      </w:pPr>
      <w:r>
        <w:t>Wer es nicht zum Heiligtum bringt, wird aus seinem Volk ausgerottet.</w:t>
      </w:r>
    </w:p>
    <w:p w14:paraId="4564527F"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17,10</w:t>
      </w:r>
    </w:p>
    <w:p w14:paraId="34BDA92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Hebräisch:</w:t>
      </w:r>
      <w:r w:rsidRPr="00992CEC">
        <w:rPr>
          <w:rFonts w:eastAsia="Times New Roman" w:cs="Times New Roman"/>
          <w:lang w:eastAsia="de-DE"/>
        </w:rPr>
        <w:t xml:space="preserve"> </w:t>
      </w:r>
      <w:r w:rsidRPr="00992CEC">
        <w:rPr>
          <w:rFonts w:eastAsia="Times New Roman" w:cs="Times New Roman"/>
          <w:rtl/>
          <w:lang w:eastAsia="de-DE"/>
        </w:rPr>
        <w:t>וְאִ֨ישׁ אִ֜ישׁ מִבֵּ֣ית יִשְׂרָאֵ֗ל וּמִן־הַגֵּר֙ הַגָּ֣ר בְּתוֹכָ֔ם אֲשֶׁ֥ר יֹאכַ֖ל כָּל־דָּ֑ם וְנָתַתִּ֣י פָנַ֗י בַּנֶּ֨פֶשׁ֙ הָאֹכֶ֣לֶת אֶת־הַדָּ֔ם וְהִכְרַתִּ֥י אֹתָ֖הּ מִקֶּ֥רֶב עַמָּֽהּ׃</w:t>
      </w:r>
    </w:p>
    <w:p w14:paraId="6B0E2C67" w14:textId="737D58FE"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Mann für Mann vom Haus Jisra'el und von den Fremden, die in ihrer Mitte weilen, der jegliches Blut isst - ich werde mein Angesicht geben gegen die Seele, die das Blut isst, und werde sie ausrotten aus der Mitte ihres Volkes.</w:t>
      </w:r>
    </w:p>
    <w:p w14:paraId="19CA6E52"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06D872F3">
          <v:rect id="_x0000_i1524" style="width:0;height:1.5pt" o:hralign="center" o:hrstd="t" o:hr="t" fillcolor="#a0a0a0" stroked="f"/>
        </w:pict>
      </w:r>
    </w:p>
    <w:p w14:paraId="05F6FFDB"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ואיש איש מבית ישראל ומן־הגר הגר בתוכם אשר יאכל כל־דם ונתתי פני בנפש האכלת את־הדם והכרתי אתה מקרב עמה</w:t>
      </w:r>
      <w:r w:rsidRPr="00992CEC">
        <w:rPr>
          <w:rFonts w:eastAsia="Times New Roman" w:cs="Times New Roman"/>
          <w:rtl/>
          <w:lang w:eastAsia="de-DE"/>
        </w:rPr>
        <w:t xml:space="preserve"> </w:t>
      </w:r>
      <w:r w:rsidRPr="00992CEC">
        <w:rPr>
          <w:rFonts w:eastAsia="Times New Roman" w:cs="Times New Roman"/>
          <w:lang w:eastAsia="de-DE"/>
        </w:rPr>
        <w:t xml:space="preserve">leitet das Blutverbot ein. </w:t>
      </w:r>
      <w:r w:rsidRPr="00992CEC">
        <w:rPr>
          <w:rFonts w:eastAsia="Times New Roman" w:cs="Times New Roman"/>
          <w:b/>
          <w:bCs/>
          <w:rtl/>
          <w:lang w:eastAsia="de-DE"/>
        </w:rPr>
        <w:t>ואיש איש מבית ישראל ומן־הגר הגר בתוכם</w:t>
      </w:r>
      <w:r w:rsidRPr="00992CEC">
        <w:rPr>
          <w:rFonts w:eastAsia="Times New Roman" w:cs="Times New Roman"/>
          <w:rtl/>
          <w:lang w:eastAsia="de-DE"/>
        </w:rPr>
        <w:t xml:space="preserve"> </w:t>
      </w:r>
      <w:r w:rsidRPr="00992CEC">
        <w:rPr>
          <w:rFonts w:eastAsia="Times New Roman" w:cs="Times New Roman"/>
          <w:lang w:eastAsia="de-DE"/>
        </w:rPr>
        <w:t xml:space="preserve">entspricht V. 8 mit universeller Erfassung. </w:t>
      </w:r>
      <w:r w:rsidRPr="00992CEC">
        <w:rPr>
          <w:rFonts w:eastAsia="Times New Roman" w:cs="Times New Roman"/>
          <w:b/>
          <w:bCs/>
          <w:rtl/>
          <w:lang w:eastAsia="de-DE"/>
        </w:rPr>
        <w:t>אשר יאכל כל־דם</w:t>
      </w:r>
      <w:r w:rsidRPr="00992CEC">
        <w:rPr>
          <w:rFonts w:eastAsia="Times New Roman" w:cs="Times New Roman"/>
          <w:rtl/>
          <w:lang w:eastAsia="de-DE"/>
        </w:rPr>
        <w:t xml:space="preserve"> </w:t>
      </w:r>
      <w:r w:rsidRPr="00992CEC">
        <w:rPr>
          <w:rFonts w:eastAsia="Times New Roman" w:cs="Times New Roman"/>
          <w:lang w:eastAsia="de-DE"/>
        </w:rPr>
        <w:t xml:space="preserve">(der jegliches Blut isst) - </w:t>
      </w:r>
      <w:r w:rsidRPr="00992CEC">
        <w:rPr>
          <w:rFonts w:eastAsia="Times New Roman" w:cs="Times New Roman"/>
          <w:b/>
          <w:bCs/>
          <w:rtl/>
          <w:lang w:eastAsia="de-DE"/>
        </w:rPr>
        <w:t>יאכל</w:t>
      </w:r>
      <w:r w:rsidRPr="00992CEC">
        <w:rPr>
          <w:rFonts w:eastAsia="Times New Roman" w:cs="Times New Roman"/>
          <w:rtl/>
          <w:lang w:eastAsia="de-DE"/>
        </w:rPr>
        <w:t xml:space="preserve"> </w:t>
      </w:r>
      <w:r w:rsidRPr="00992CEC">
        <w:rPr>
          <w:rFonts w:eastAsia="Times New Roman" w:cs="Times New Roman"/>
          <w:lang w:eastAsia="de-DE"/>
        </w:rPr>
        <w:t xml:space="preserve">(isst) im Qal-Imperfekt zeigt gewohnheitsmäßige Handlung. </w:t>
      </w:r>
      <w:r w:rsidRPr="00992CEC">
        <w:rPr>
          <w:rFonts w:eastAsia="Times New Roman" w:cs="Times New Roman"/>
          <w:b/>
          <w:bCs/>
          <w:rtl/>
          <w:lang w:eastAsia="de-DE"/>
        </w:rPr>
        <w:t>כל־דם</w:t>
      </w:r>
      <w:r w:rsidRPr="00992CEC">
        <w:rPr>
          <w:rFonts w:eastAsia="Times New Roman" w:cs="Times New Roman"/>
          <w:rtl/>
          <w:lang w:eastAsia="de-DE"/>
        </w:rPr>
        <w:t xml:space="preserve"> </w:t>
      </w:r>
      <w:r w:rsidRPr="00992CEC">
        <w:rPr>
          <w:rFonts w:eastAsia="Times New Roman" w:cs="Times New Roman"/>
          <w:lang w:eastAsia="de-DE"/>
        </w:rPr>
        <w:t>(jegliches Blut) zeigt umfassendes Blutverbot.</w:t>
      </w:r>
    </w:p>
    <w:p w14:paraId="6FC233A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ונתתי פני בנפש האכלת את־הדם</w:t>
      </w:r>
      <w:r w:rsidRPr="00992CEC">
        <w:rPr>
          <w:rFonts w:eastAsia="Times New Roman" w:cs="Times New Roman"/>
          <w:rtl/>
          <w:lang w:eastAsia="de-DE"/>
        </w:rPr>
        <w:t xml:space="preserve"> </w:t>
      </w:r>
      <w:r w:rsidRPr="00992CEC">
        <w:rPr>
          <w:rFonts w:eastAsia="Times New Roman" w:cs="Times New Roman"/>
          <w:lang w:eastAsia="de-DE"/>
        </w:rPr>
        <w:t xml:space="preserve">(ich werde mein Angesicht richten gegen die Seele, die das Blut isst) - </w:t>
      </w:r>
      <w:r w:rsidRPr="00992CEC">
        <w:rPr>
          <w:rFonts w:eastAsia="Times New Roman" w:cs="Times New Roman"/>
          <w:b/>
          <w:bCs/>
          <w:rtl/>
          <w:lang w:eastAsia="de-DE"/>
        </w:rPr>
        <w:t>ונתתי פני</w:t>
      </w:r>
      <w:r w:rsidRPr="00992CEC">
        <w:rPr>
          <w:rFonts w:eastAsia="Times New Roman" w:cs="Times New Roman"/>
          <w:rtl/>
          <w:lang w:eastAsia="de-DE"/>
        </w:rPr>
        <w:t xml:space="preserve"> </w:t>
      </w:r>
      <w:r w:rsidRPr="00992CEC">
        <w:rPr>
          <w:rFonts w:eastAsia="Times New Roman" w:cs="Times New Roman"/>
          <w:lang w:eastAsia="de-DE"/>
        </w:rPr>
        <w:t xml:space="preserve">(ich werde mein Angesicht richten) im Qal-Perfekt mit Waw-Konsekutiv zeigt direkte göttliche Intervention. </w:t>
      </w:r>
      <w:r w:rsidRPr="00992CEC">
        <w:rPr>
          <w:rFonts w:eastAsia="Times New Roman" w:cs="Times New Roman"/>
          <w:b/>
          <w:bCs/>
          <w:rtl/>
          <w:lang w:eastAsia="de-DE"/>
        </w:rPr>
        <w:t>נתן פנים ב</w:t>
      </w:r>
      <w:r w:rsidRPr="00992CEC">
        <w:rPr>
          <w:rFonts w:eastAsia="Times New Roman" w:cs="Times New Roman"/>
          <w:b/>
          <w:bCs/>
          <w:lang w:eastAsia="de-DE"/>
        </w:rPr>
        <w:t>-</w:t>
      </w:r>
      <w:r w:rsidRPr="00992CEC">
        <w:rPr>
          <w:rFonts w:eastAsia="Times New Roman" w:cs="Times New Roman"/>
          <w:lang w:eastAsia="de-DE"/>
        </w:rPr>
        <w:t xml:space="preserve"> als Idiom für feindliche Aufmerksamkeit. </w:t>
      </w:r>
      <w:r w:rsidRPr="00992CEC">
        <w:rPr>
          <w:rFonts w:eastAsia="Times New Roman" w:cs="Times New Roman"/>
          <w:b/>
          <w:bCs/>
          <w:rtl/>
          <w:lang w:eastAsia="de-DE"/>
        </w:rPr>
        <w:t>בנפש האכלת</w:t>
      </w:r>
      <w:r w:rsidRPr="00992CEC">
        <w:rPr>
          <w:rFonts w:eastAsia="Times New Roman" w:cs="Times New Roman"/>
          <w:rtl/>
          <w:lang w:eastAsia="de-DE"/>
        </w:rPr>
        <w:t xml:space="preserve"> </w:t>
      </w:r>
      <w:r w:rsidRPr="00992CEC">
        <w:rPr>
          <w:rFonts w:eastAsia="Times New Roman" w:cs="Times New Roman"/>
          <w:lang w:eastAsia="de-DE"/>
        </w:rPr>
        <w:t xml:space="preserve">(gegen die Seele, die isst) - </w:t>
      </w:r>
      <w:r w:rsidRPr="00992CEC">
        <w:rPr>
          <w:rFonts w:eastAsia="Times New Roman" w:cs="Times New Roman"/>
          <w:b/>
          <w:bCs/>
          <w:rtl/>
          <w:lang w:eastAsia="de-DE"/>
        </w:rPr>
        <w:t>האכלת</w:t>
      </w:r>
      <w:r w:rsidRPr="00992CEC">
        <w:rPr>
          <w:rFonts w:eastAsia="Times New Roman" w:cs="Times New Roman"/>
          <w:rtl/>
          <w:lang w:eastAsia="de-DE"/>
        </w:rPr>
        <w:t xml:space="preserve"> </w:t>
      </w:r>
      <w:r w:rsidRPr="00992CEC">
        <w:rPr>
          <w:rFonts w:eastAsia="Times New Roman" w:cs="Times New Roman"/>
          <w:lang w:eastAsia="de-DE"/>
        </w:rPr>
        <w:t xml:space="preserve">(die Essende) als Partizip feminin bezieht sich auf </w:t>
      </w:r>
      <w:r w:rsidRPr="00992CEC">
        <w:rPr>
          <w:rFonts w:eastAsia="Times New Roman" w:cs="Times New Roman"/>
          <w:b/>
          <w:bCs/>
          <w:rtl/>
          <w:lang w:eastAsia="de-DE"/>
        </w:rPr>
        <w:t>נפש</w:t>
      </w:r>
      <w:r w:rsidRPr="00992CEC">
        <w:rPr>
          <w:rFonts w:eastAsia="Times New Roman" w:cs="Times New Roman"/>
          <w:rtl/>
          <w:lang w:eastAsia="de-DE"/>
        </w:rPr>
        <w:t xml:space="preserve"> </w:t>
      </w:r>
      <w:r w:rsidRPr="00992CEC">
        <w:rPr>
          <w:rFonts w:eastAsia="Times New Roman" w:cs="Times New Roman"/>
          <w:lang w:eastAsia="de-DE"/>
        </w:rPr>
        <w:t>(Seele) feminin.</w:t>
      </w:r>
    </w:p>
    <w:p w14:paraId="08443EE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והכרתי אתה מקרב עמה</w:t>
      </w:r>
      <w:r w:rsidRPr="00992CEC">
        <w:rPr>
          <w:rFonts w:eastAsia="Times New Roman" w:cs="Times New Roman"/>
          <w:rtl/>
          <w:lang w:eastAsia="de-DE"/>
        </w:rPr>
        <w:t xml:space="preserve"> </w:t>
      </w:r>
      <w:r w:rsidRPr="00992CEC">
        <w:rPr>
          <w:rFonts w:eastAsia="Times New Roman" w:cs="Times New Roman"/>
          <w:lang w:eastAsia="de-DE"/>
        </w:rPr>
        <w:t xml:space="preserve">(und werde sie ausrotten aus der Mitte ihres Volkes) - </w:t>
      </w:r>
      <w:r w:rsidRPr="00992CEC">
        <w:rPr>
          <w:rFonts w:eastAsia="Times New Roman" w:cs="Times New Roman"/>
          <w:b/>
          <w:bCs/>
          <w:rtl/>
          <w:lang w:eastAsia="de-DE"/>
        </w:rPr>
        <w:t>והכרתי</w:t>
      </w:r>
      <w:r w:rsidRPr="00992CEC">
        <w:rPr>
          <w:rFonts w:eastAsia="Times New Roman" w:cs="Times New Roman"/>
          <w:rtl/>
          <w:lang w:eastAsia="de-DE"/>
        </w:rPr>
        <w:t xml:space="preserve"> </w:t>
      </w:r>
      <w:r w:rsidRPr="00992CEC">
        <w:rPr>
          <w:rFonts w:eastAsia="Times New Roman" w:cs="Times New Roman"/>
          <w:lang w:eastAsia="de-DE"/>
        </w:rPr>
        <w:t>(und ich werde ausrotten) im Hifil-Perfekt mit Waw-Konsekutiv, das Hifil zeigt kausative Ausrottung durch JHWH persönlich.</w:t>
      </w:r>
    </w:p>
    <w:p w14:paraId="3D2DBE1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נתתי פני</w:t>
      </w:r>
      <w:r w:rsidRPr="00992CEC">
        <w:rPr>
          <w:rFonts w:eastAsia="Times New Roman" w:cs="Times New Roman"/>
          <w:rtl/>
          <w:lang w:eastAsia="de-DE"/>
        </w:rPr>
        <w:t xml:space="preserve"> </w:t>
      </w:r>
      <w:r w:rsidRPr="00992CEC">
        <w:rPr>
          <w:rFonts w:eastAsia="Times New Roman" w:cs="Times New Roman"/>
          <w:lang w:eastAsia="de-DE"/>
        </w:rPr>
        <w:t xml:space="preserve">zeigt persönliche göttliche Verfolgung im Gegensatz zur passiven </w:t>
      </w:r>
      <w:r w:rsidRPr="00992CEC">
        <w:rPr>
          <w:rFonts w:eastAsia="Times New Roman" w:cs="Times New Roman"/>
          <w:b/>
          <w:bCs/>
          <w:rtl/>
          <w:lang w:eastAsia="de-DE"/>
        </w:rPr>
        <w:t>כרת</w:t>
      </w:r>
      <w:r w:rsidRPr="00992CEC">
        <w:rPr>
          <w:rFonts w:eastAsia="Times New Roman" w:cs="Times New Roman"/>
          <w:lang w:eastAsia="de-DE"/>
        </w:rPr>
        <w:t xml:space="preserve">-Strafe. </w:t>
      </w:r>
      <w:r w:rsidRPr="00992CEC">
        <w:rPr>
          <w:rFonts w:eastAsia="Times New Roman" w:cs="Times New Roman"/>
          <w:b/>
          <w:bCs/>
          <w:rtl/>
          <w:lang w:eastAsia="de-DE"/>
        </w:rPr>
        <w:t>האכלת</w:t>
      </w:r>
      <w:r w:rsidRPr="00992CEC">
        <w:rPr>
          <w:rFonts w:eastAsia="Times New Roman" w:cs="Times New Roman"/>
          <w:rtl/>
          <w:lang w:eastAsia="de-DE"/>
        </w:rPr>
        <w:t xml:space="preserve"> </w:t>
      </w:r>
      <w:r w:rsidRPr="00992CEC">
        <w:rPr>
          <w:rFonts w:eastAsia="Times New Roman" w:cs="Times New Roman"/>
          <w:lang w:eastAsia="de-DE"/>
        </w:rPr>
        <w:t xml:space="preserve">als Partizip zeigt andauernde Handlung. </w:t>
      </w:r>
      <w:r w:rsidRPr="00992CEC">
        <w:rPr>
          <w:rFonts w:eastAsia="Times New Roman" w:cs="Times New Roman"/>
          <w:b/>
          <w:bCs/>
          <w:rtl/>
          <w:lang w:eastAsia="de-DE"/>
        </w:rPr>
        <w:t>והכרתי</w:t>
      </w:r>
      <w:r w:rsidRPr="00992CEC">
        <w:rPr>
          <w:rFonts w:eastAsia="Times New Roman" w:cs="Times New Roman"/>
          <w:rtl/>
          <w:lang w:eastAsia="de-DE"/>
        </w:rPr>
        <w:t xml:space="preserve"> </w:t>
      </w:r>
      <w:r w:rsidRPr="00992CEC">
        <w:rPr>
          <w:rFonts w:eastAsia="Times New Roman" w:cs="Times New Roman"/>
          <w:lang w:eastAsia="de-DE"/>
        </w:rPr>
        <w:t>im Hifil betont aktive göttliche Strafvollstreckung.</w:t>
      </w:r>
    </w:p>
    <w:p w14:paraId="1EE17B14" w14:textId="53CDE0C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ונתתי פני</w:t>
      </w:r>
      <w:r w:rsidR="00E705C5">
        <w:t xml:space="preserve"> (</w:t>
      </w:r>
      <w:proofErr w:type="spellStart"/>
      <w:r w:rsidR="00E705C5">
        <w:t>wenatati</w:t>
      </w:r>
      <w:proofErr w:type="spellEnd"/>
      <w:r w:rsidR="00E705C5">
        <w:t xml:space="preserve"> </w:t>
      </w:r>
      <w:proofErr w:type="spellStart"/>
      <w:r w:rsidR="00E705C5">
        <w:t>fanai</w:t>
      </w:r>
      <w:proofErr w:type="spellEnd"/>
      <w:r w:rsidR="00E705C5">
        <w:t xml:space="preserve"> - "und ich wende mein Angesicht") als καὶ ἐπ</w:t>
      </w:r>
      <w:proofErr w:type="spellStart"/>
      <w:r w:rsidR="00E705C5">
        <w:t>ιστήσω</w:t>
      </w:r>
      <w:proofErr w:type="spellEnd"/>
      <w:r w:rsidR="00E705C5">
        <w:t xml:space="preserve"> </w:t>
      </w:r>
      <w:proofErr w:type="spellStart"/>
      <w:r w:rsidR="00E705C5">
        <w:t>τὸ</w:t>
      </w:r>
      <w:proofErr w:type="spellEnd"/>
      <w:r w:rsidR="00E705C5">
        <w:t xml:space="preserve"> π</w:t>
      </w:r>
      <w:proofErr w:type="spellStart"/>
      <w:r w:rsidR="00E705C5">
        <w:t>ρόσω</w:t>
      </w:r>
      <w:proofErr w:type="spellEnd"/>
      <w:r w:rsidR="00E705C5">
        <w:t xml:space="preserve">πόν </w:t>
      </w:r>
      <w:proofErr w:type="spellStart"/>
      <w:r w:rsidR="00E705C5">
        <w:t>μου</w:t>
      </w:r>
      <w:proofErr w:type="spellEnd"/>
      <w:r w:rsidR="00E705C5">
        <w:t xml:space="preserve"> (und ich werde mein Angesicht darauf richten), was eine intensivere göttliche Aufmerksamkeit ausdrückt.</w:t>
      </w:r>
    </w:p>
    <w:p w14:paraId="4B3B6D21" w14:textId="1ADCA14F"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verschärfte Strafandrohung: universelle Personenerfassung + Blutverzehrverbot + persönliche göttliche Verfolgung + aktive göttliche Ausrottung. Die Struktur zeigt die extreme Schwere des Blutverbots.</w:t>
      </w:r>
    </w:p>
    <w:p w14:paraId="1D2501A2" w14:textId="4428AACA" w:rsidR="001E05CF" w:rsidRPr="00992CEC" w:rsidRDefault="001E05CF" w:rsidP="00992CEC">
      <w:pPr>
        <w:spacing w:before="100" w:beforeAutospacing="1" w:after="100" w:afterAutospacing="1" w:line="240" w:lineRule="auto"/>
        <w:rPr>
          <w:rFonts w:eastAsia="Times New Roman" w:cs="Times New Roman"/>
          <w:lang w:eastAsia="de-DE"/>
        </w:rPr>
      </w:pPr>
      <w:r>
        <w:t>Jeder Israelit und Fremde, der Blut isst, wird von JHWH persönlich verfolgt und ausgerottet.</w:t>
      </w:r>
    </w:p>
    <w:p w14:paraId="41D6740A"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17,11</w:t>
      </w:r>
    </w:p>
    <w:p w14:paraId="5B2E706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כִּ֣י נֶ֣פֶשׁ הַבָּשָׂר֮ בַּדָּ֣ם הִוא֒ וַאֲנִ֞י נְתַתִּ֤יו לָכֶם֙ עַל־הַמִּזְבֵּ֔חַ לְכַפֵּ֖ר עַל־נַפְשֹׁתֵיכֶ֑ם כִּֽי־הַדָּ֥ם ה֖וּא בַּנֶּ֥פֶשׁ יְכַפֵּֽר׃</w:t>
      </w:r>
    </w:p>
    <w:p w14:paraId="1F9C3322" w14:textId="3280EFE2"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Denn die Seele des Fleisches ist im Blut, und ich habe es euch gegeben auf den Altar, um Sühne zu erwirken für eure Seelen; denn das Blut, es erwirkt Sühne durch die Seele.</w:t>
      </w:r>
    </w:p>
    <w:p w14:paraId="46626CE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38BE8249">
          <v:rect id="_x0000_i1525" style="width:0;height:1.5pt" o:hralign="center" o:hrstd="t" o:hr="t" fillcolor="#a0a0a0" stroked="f"/>
        </w:pict>
      </w:r>
    </w:p>
    <w:p w14:paraId="48F8B3A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Kommentar:</w:t>
      </w:r>
      <w:r w:rsidRPr="00992CEC">
        <w:rPr>
          <w:rFonts w:eastAsia="Times New Roman" w:cs="Times New Roman"/>
          <w:lang w:eastAsia="de-DE"/>
        </w:rPr>
        <w:t xml:space="preserve"> </w:t>
      </w:r>
      <w:r w:rsidRPr="00992CEC">
        <w:rPr>
          <w:rFonts w:eastAsia="Times New Roman" w:cs="Times New Roman"/>
          <w:b/>
          <w:bCs/>
          <w:rtl/>
          <w:lang w:eastAsia="de-DE"/>
        </w:rPr>
        <w:t>כי נפש הבשר בדם הוא ואני נתתיו לכם על־המזבח לכפר על־נפשתיכם כי־הדם הוא בנפש יכפר</w:t>
      </w:r>
      <w:r w:rsidRPr="00992CEC">
        <w:rPr>
          <w:rFonts w:eastAsia="Times New Roman" w:cs="Times New Roman"/>
          <w:rtl/>
          <w:lang w:eastAsia="de-DE"/>
        </w:rPr>
        <w:t xml:space="preserve"> </w:t>
      </w:r>
      <w:r w:rsidRPr="00992CEC">
        <w:rPr>
          <w:rFonts w:eastAsia="Times New Roman" w:cs="Times New Roman"/>
          <w:lang w:eastAsia="de-DE"/>
        </w:rPr>
        <w:t xml:space="preserve">gibt die theologische Begründung des Blutverbots. </w:t>
      </w:r>
      <w:r w:rsidRPr="00992CEC">
        <w:rPr>
          <w:rFonts w:eastAsia="Times New Roman" w:cs="Times New Roman"/>
          <w:b/>
          <w:bCs/>
          <w:rtl/>
          <w:lang w:eastAsia="de-DE"/>
        </w:rPr>
        <w:t>כי נפש הבשר בדם הוא</w:t>
      </w:r>
      <w:r w:rsidRPr="00992CEC">
        <w:rPr>
          <w:rFonts w:eastAsia="Times New Roman" w:cs="Times New Roman"/>
          <w:rtl/>
          <w:lang w:eastAsia="de-DE"/>
        </w:rPr>
        <w:t xml:space="preserve"> </w:t>
      </w:r>
      <w:r w:rsidRPr="00992CEC">
        <w:rPr>
          <w:rFonts w:eastAsia="Times New Roman" w:cs="Times New Roman"/>
          <w:lang w:eastAsia="de-DE"/>
        </w:rPr>
        <w:t xml:space="preserve">(denn die Seele des Fleisches ist im Blut) etabliert die fundamentale Identifikation von </w:t>
      </w:r>
      <w:r w:rsidRPr="00992CEC">
        <w:rPr>
          <w:rFonts w:eastAsia="Times New Roman" w:cs="Times New Roman"/>
          <w:b/>
          <w:bCs/>
          <w:rtl/>
          <w:lang w:eastAsia="de-DE"/>
        </w:rPr>
        <w:t>נפש</w:t>
      </w:r>
      <w:r w:rsidRPr="00992CEC">
        <w:rPr>
          <w:rFonts w:eastAsia="Times New Roman" w:cs="Times New Roman"/>
          <w:rtl/>
          <w:lang w:eastAsia="de-DE"/>
        </w:rPr>
        <w:t xml:space="preserve"> </w:t>
      </w:r>
      <w:r w:rsidRPr="00992CEC">
        <w:rPr>
          <w:rFonts w:eastAsia="Times New Roman" w:cs="Times New Roman"/>
          <w:lang w:eastAsia="de-DE"/>
        </w:rPr>
        <w:t xml:space="preserve">(Seele/Leben) und </w:t>
      </w:r>
      <w:r w:rsidRPr="00992CEC">
        <w:rPr>
          <w:rFonts w:eastAsia="Times New Roman" w:cs="Times New Roman"/>
          <w:b/>
          <w:bCs/>
          <w:rtl/>
          <w:lang w:eastAsia="de-DE"/>
        </w:rPr>
        <w:t>דם</w:t>
      </w:r>
      <w:r w:rsidRPr="00992CEC">
        <w:rPr>
          <w:rFonts w:eastAsia="Times New Roman" w:cs="Times New Roman"/>
          <w:rtl/>
          <w:lang w:eastAsia="de-DE"/>
        </w:rPr>
        <w:t xml:space="preserve"> </w:t>
      </w:r>
      <w:r w:rsidRPr="00992CEC">
        <w:rPr>
          <w:rFonts w:eastAsia="Times New Roman" w:cs="Times New Roman"/>
          <w:lang w:eastAsia="de-DE"/>
        </w:rPr>
        <w:t xml:space="preserve">(Blut). </w:t>
      </w:r>
      <w:r w:rsidRPr="00992CEC">
        <w:rPr>
          <w:rFonts w:eastAsia="Times New Roman" w:cs="Times New Roman"/>
          <w:b/>
          <w:bCs/>
          <w:rtl/>
          <w:lang w:eastAsia="de-DE"/>
        </w:rPr>
        <w:t>נפש הבשר</w:t>
      </w:r>
      <w:r w:rsidRPr="00992CEC">
        <w:rPr>
          <w:rFonts w:eastAsia="Times New Roman" w:cs="Times New Roman"/>
          <w:rtl/>
          <w:lang w:eastAsia="de-DE"/>
        </w:rPr>
        <w:t xml:space="preserve"> </w:t>
      </w:r>
      <w:r w:rsidRPr="00992CEC">
        <w:rPr>
          <w:rFonts w:eastAsia="Times New Roman" w:cs="Times New Roman"/>
          <w:lang w:eastAsia="de-DE"/>
        </w:rPr>
        <w:t>(die Seele des Fleisches) zeigt das Lebensprinzip aller Lebewesen.</w:t>
      </w:r>
    </w:p>
    <w:p w14:paraId="08120B48" w14:textId="52F09B3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ואני נתתיו לכם על־המזבח לכפר על־נפשתיכם</w:t>
      </w:r>
      <w:r w:rsidRPr="00992CEC">
        <w:rPr>
          <w:rFonts w:eastAsia="Times New Roman" w:cs="Times New Roman"/>
          <w:rtl/>
          <w:lang w:eastAsia="de-DE"/>
        </w:rPr>
        <w:t xml:space="preserve"> </w:t>
      </w:r>
      <w:r w:rsidRPr="00992CEC">
        <w:rPr>
          <w:rFonts w:eastAsia="Times New Roman" w:cs="Times New Roman"/>
          <w:lang w:eastAsia="de-DE"/>
        </w:rPr>
        <w:t xml:space="preserve">(und ich habe es euch gegeben auf den Altar, um Sühne zu erwirken für eure Seelen) - </w:t>
      </w:r>
      <w:r w:rsidRPr="00992CEC">
        <w:rPr>
          <w:rFonts w:eastAsia="Times New Roman" w:cs="Times New Roman"/>
          <w:b/>
          <w:bCs/>
          <w:rtl/>
          <w:lang w:eastAsia="de-DE"/>
        </w:rPr>
        <w:t>ואני נתתיו</w:t>
      </w:r>
      <w:r w:rsidRPr="00992CEC">
        <w:rPr>
          <w:rFonts w:eastAsia="Times New Roman" w:cs="Times New Roman"/>
          <w:rtl/>
          <w:lang w:eastAsia="de-DE"/>
        </w:rPr>
        <w:t xml:space="preserve"> </w:t>
      </w:r>
      <w:r w:rsidRPr="00992CEC">
        <w:rPr>
          <w:rFonts w:eastAsia="Times New Roman" w:cs="Times New Roman"/>
          <w:lang w:eastAsia="de-DE"/>
        </w:rPr>
        <w:t xml:space="preserve">(und ich habe es gegeben) im Qal-Perfekt zeigt göttliche Zweckbestimmung des Blutes. </w:t>
      </w:r>
      <w:r w:rsidRPr="00992CEC">
        <w:rPr>
          <w:rFonts w:eastAsia="Times New Roman" w:cs="Times New Roman"/>
          <w:b/>
          <w:bCs/>
          <w:rtl/>
          <w:lang w:eastAsia="de-DE"/>
        </w:rPr>
        <w:t>לכפר על־נפשתיכם</w:t>
      </w:r>
      <w:r w:rsidRPr="00992CEC">
        <w:rPr>
          <w:rFonts w:eastAsia="Times New Roman" w:cs="Times New Roman"/>
          <w:rtl/>
          <w:lang w:eastAsia="de-DE"/>
        </w:rPr>
        <w:t xml:space="preserve"> </w:t>
      </w:r>
      <w:r w:rsidRPr="00992CEC">
        <w:rPr>
          <w:rFonts w:eastAsia="Times New Roman" w:cs="Times New Roman"/>
          <w:lang w:eastAsia="de-DE"/>
        </w:rPr>
        <w:t xml:space="preserve">(um Sühne zu erwirken für eure Seelen) - </w:t>
      </w:r>
      <w:r w:rsidRPr="00992CEC">
        <w:rPr>
          <w:rFonts w:eastAsia="Times New Roman" w:cs="Times New Roman"/>
          <w:b/>
          <w:bCs/>
          <w:rtl/>
          <w:lang w:eastAsia="de-DE"/>
        </w:rPr>
        <w:t>לכפר</w:t>
      </w:r>
      <w:r w:rsidRPr="00992CEC">
        <w:rPr>
          <w:rFonts w:eastAsia="Times New Roman" w:cs="Times New Roman"/>
          <w:rtl/>
          <w:lang w:eastAsia="de-DE"/>
        </w:rPr>
        <w:t xml:space="preserve"> </w:t>
      </w:r>
      <w:r w:rsidRPr="00992CEC">
        <w:rPr>
          <w:rFonts w:eastAsia="Times New Roman" w:cs="Times New Roman"/>
          <w:lang w:eastAsia="de-DE"/>
        </w:rPr>
        <w:t>(um Sühne zu erwirken) im Piel-Infinitiv-</w:t>
      </w:r>
      <w:r w:rsidR="005407E2">
        <w:rPr>
          <w:rFonts w:eastAsia="Times New Roman" w:cs="Times New Roman"/>
          <w:lang w:eastAsia="de-DE"/>
        </w:rPr>
        <w:t>Constructus</w:t>
      </w:r>
      <w:r w:rsidRPr="00992CEC">
        <w:rPr>
          <w:rFonts w:eastAsia="Times New Roman" w:cs="Times New Roman"/>
          <w:lang w:eastAsia="de-DE"/>
        </w:rPr>
        <w:t>, das Piel zeigt intensive Sühnewirkung.</w:t>
      </w:r>
    </w:p>
    <w:p w14:paraId="3747804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כי־הדם הוא בנפש יכפר</w:t>
      </w:r>
      <w:r w:rsidRPr="00992CEC">
        <w:rPr>
          <w:rFonts w:eastAsia="Times New Roman" w:cs="Times New Roman"/>
          <w:rtl/>
          <w:lang w:eastAsia="de-DE"/>
        </w:rPr>
        <w:t xml:space="preserve"> </w:t>
      </w:r>
      <w:r w:rsidRPr="00992CEC">
        <w:rPr>
          <w:rFonts w:eastAsia="Times New Roman" w:cs="Times New Roman"/>
          <w:lang w:eastAsia="de-DE"/>
        </w:rPr>
        <w:t xml:space="preserve">(denn das Blut - es erwirkt Sühne durch die Seele) - </w:t>
      </w:r>
      <w:r w:rsidRPr="00992CEC">
        <w:rPr>
          <w:rFonts w:eastAsia="Times New Roman" w:cs="Times New Roman"/>
          <w:b/>
          <w:bCs/>
          <w:rtl/>
          <w:lang w:eastAsia="de-DE"/>
        </w:rPr>
        <w:t>יכפר</w:t>
      </w:r>
      <w:r w:rsidRPr="00992CEC">
        <w:rPr>
          <w:rFonts w:eastAsia="Times New Roman" w:cs="Times New Roman"/>
          <w:rtl/>
          <w:lang w:eastAsia="de-DE"/>
        </w:rPr>
        <w:t xml:space="preserve"> </w:t>
      </w:r>
      <w:r w:rsidRPr="00992CEC">
        <w:rPr>
          <w:rFonts w:eastAsia="Times New Roman" w:cs="Times New Roman"/>
          <w:lang w:eastAsia="de-DE"/>
        </w:rPr>
        <w:t xml:space="preserve">(erwirkt Sühne) im Piel-Imperfekt, das Piel betont die intensive Sühnekraft. </w:t>
      </w:r>
      <w:r w:rsidRPr="00992CEC">
        <w:rPr>
          <w:rFonts w:eastAsia="Times New Roman" w:cs="Times New Roman"/>
          <w:b/>
          <w:bCs/>
          <w:rtl/>
          <w:lang w:eastAsia="de-DE"/>
        </w:rPr>
        <w:t>בנפש</w:t>
      </w:r>
      <w:r w:rsidRPr="00992CEC">
        <w:rPr>
          <w:rFonts w:eastAsia="Times New Roman" w:cs="Times New Roman"/>
          <w:rtl/>
          <w:lang w:eastAsia="de-DE"/>
        </w:rPr>
        <w:t xml:space="preserve"> </w:t>
      </w:r>
      <w:r w:rsidRPr="00992CEC">
        <w:rPr>
          <w:rFonts w:eastAsia="Times New Roman" w:cs="Times New Roman"/>
          <w:lang w:eastAsia="de-DE"/>
        </w:rPr>
        <w:t>(durch die Seele) zeigt das Wirkungsprinzip der Blutsühne.</w:t>
      </w:r>
    </w:p>
    <w:p w14:paraId="4D11FE30"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נפש הבשר בדם</w:t>
      </w:r>
      <w:r w:rsidRPr="00992CEC">
        <w:rPr>
          <w:rFonts w:eastAsia="Times New Roman" w:cs="Times New Roman"/>
          <w:rtl/>
          <w:lang w:eastAsia="de-DE"/>
        </w:rPr>
        <w:t xml:space="preserve"> </w:t>
      </w:r>
      <w:r w:rsidRPr="00992CEC">
        <w:rPr>
          <w:rFonts w:eastAsia="Times New Roman" w:cs="Times New Roman"/>
          <w:lang w:eastAsia="de-DE"/>
        </w:rPr>
        <w:t xml:space="preserve">zeigt die anthropologische Grundlage: Blut als Träger des Lebens. </w:t>
      </w:r>
      <w:r w:rsidRPr="00992CEC">
        <w:rPr>
          <w:rFonts w:eastAsia="Times New Roman" w:cs="Times New Roman"/>
          <w:b/>
          <w:bCs/>
          <w:rtl/>
          <w:lang w:eastAsia="de-DE"/>
        </w:rPr>
        <w:t>נתתיו לכם על־המזבח</w:t>
      </w:r>
      <w:r w:rsidRPr="00992CEC">
        <w:rPr>
          <w:rFonts w:eastAsia="Times New Roman" w:cs="Times New Roman"/>
          <w:rtl/>
          <w:lang w:eastAsia="de-DE"/>
        </w:rPr>
        <w:t xml:space="preserve"> </w:t>
      </w:r>
      <w:r w:rsidRPr="00992CEC">
        <w:rPr>
          <w:rFonts w:eastAsia="Times New Roman" w:cs="Times New Roman"/>
          <w:lang w:eastAsia="de-DE"/>
        </w:rPr>
        <w:t xml:space="preserve">zeigt göttliche Zweckbestimmung für den Altar. </w:t>
      </w:r>
      <w:r w:rsidRPr="00992CEC">
        <w:rPr>
          <w:rFonts w:eastAsia="Times New Roman" w:cs="Times New Roman"/>
          <w:b/>
          <w:bCs/>
          <w:rtl/>
          <w:lang w:eastAsia="de-DE"/>
        </w:rPr>
        <w:t>הדם הוא בנפש יכפר</w:t>
      </w:r>
      <w:r w:rsidRPr="00992CEC">
        <w:rPr>
          <w:rFonts w:eastAsia="Times New Roman" w:cs="Times New Roman"/>
          <w:rtl/>
          <w:lang w:eastAsia="de-DE"/>
        </w:rPr>
        <w:t xml:space="preserve"> </w:t>
      </w:r>
      <w:r w:rsidRPr="00992CEC">
        <w:rPr>
          <w:rFonts w:eastAsia="Times New Roman" w:cs="Times New Roman"/>
          <w:lang w:eastAsia="de-DE"/>
        </w:rPr>
        <w:t>erklärt das Sühneprinzip: Leben sühnt Leben.</w:t>
      </w:r>
    </w:p>
    <w:p w14:paraId="465146B6" w14:textId="3EB9DFA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נפש הבשר בדם הוא</w:t>
      </w:r>
      <w:r w:rsidR="00E705C5">
        <w:t xml:space="preserve"> (nefesh </w:t>
      </w:r>
      <w:proofErr w:type="spellStart"/>
      <w:r w:rsidR="00E705C5">
        <w:t>habasar</w:t>
      </w:r>
      <w:proofErr w:type="spellEnd"/>
      <w:r w:rsidR="00E705C5">
        <w:t xml:space="preserve"> </w:t>
      </w:r>
      <w:proofErr w:type="spellStart"/>
      <w:r w:rsidR="00E705C5">
        <w:t>badam</w:t>
      </w:r>
      <w:proofErr w:type="spellEnd"/>
      <w:r w:rsidR="00E705C5">
        <w:t xml:space="preserve"> hi - "die Seele des Fleisches ist im Blut") als ἡ </w:t>
      </w:r>
      <w:proofErr w:type="spellStart"/>
      <w:r w:rsidR="00E705C5">
        <w:t>γὰρ</w:t>
      </w:r>
      <w:proofErr w:type="spellEnd"/>
      <w:r w:rsidR="00E705C5">
        <w:t xml:space="preserve"> </w:t>
      </w:r>
      <w:proofErr w:type="spellStart"/>
      <w:r w:rsidR="00E705C5">
        <w:t>ψυχὴ</w:t>
      </w:r>
      <w:proofErr w:type="spellEnd"/>
      <w:r w:rsidR="00E705C5">
        <w:t xml:space="preserve"> π</w:t>
      </w:r>
      <w:proofErr w:type="spellStart"/>
      <w:r w:rsidR="00E705C5">
        <w:t>άσης</w:t>
      </w:r>
      <w:proofErr w:type="spellEnd"/>
      <w:r w:rsidR="00E705C5">
        <w:t xml:space="preserve"> σα</w:t>
      </w:r>
      <w:proofErr w:type="spellStart"/>
      <w:r w:rsidR="00E705C5">
        <w:t>ρκὸς</w:t>
      </w:r>
      <w:proofErr w:type="spellEnd"/>
      <w:r w:rsidR="00E705C5">
        <w:t xml:space="preserve"> α</w:t>
      </w:r>
      <w:proofErr w:type="spellStart"/>
      <w:r w:rsidR="00E705C5">
        <w:t>ἷμ</w:t>
      </w:r>
      <w:proofErr w:type="spellEnd"/>
      <w:r w:rsidR="00E705C5">
        <w:t>α α</w:t>
      </w:r>
      <w:proofErr w:type="spellStart"/>
      <w:r w:rsidR="00E705C5">
        <w:t>ὐτοῦ</w:t>
      </w:r>
      <w:proofErr w:type="spellEnd"/>
      <w:r w:rsidR="00E705C5">
        <w:t xml:space="preserve"> </w:t>
      </w:r>
      <w:proofErr w:type="spellStart"/>
      <w:r w:rsidR="00E705C5">
        <w:t>ἐστιν</w:t>
      </w:r>
      <w:proofErr w:type="spellEnd"/>
      <w:r w:rsidR="00E705C5">
        <w:t xml:space="preserve"> (denn die Seele allen Fleisches ist sein Blut). Die entscheidende Phrase </w:t>
      </w:r>
      <w:r w:rsidR="00E705C5">
        <w:rPr>
          <w:rtl/>
        </w:rPr>
        <w:t>כי־הדם הוא בנפש יכפר</w:t>
      </w:r>
      <w:r w:rsidR="00E705C5">
        <w:t xml:space="preserve"> (ki-</w:t>
      </w:r>
      <w:proofErr w:type="spellStart"/>
      <w:r w:rsidR="00E705C5">
        <w:t>hadam</w:t>
      </w:r>
      <w:proofErr w:type="spellEnd"/>
      <w:r w:rsidR="00E705C5">
        <w:t xml:space="preserve"> hu </w:t>
      </w:r>
      <w:proofErr w:type="spellStart"/>
      <w:r w:rsidR="00E705C5">
        <w:t>banefesh</w:t>
      </w:r>
      <w:proofErr w:type="spellEnd"/>
      <w:r w:rsidR="00E705C5">
        <w:t xml:space="preserve"> </w:t>
      </w:r>
      <w:proofErr w:type="spellStart"/>
      <w:r w:rsidR="00E705C5">
        <w:t>yechapper</w:t>
      </w:r>
      <w:proofErr w:type="spellEnd"/>
      <w:r w:rsidR="00E705C5">
        <w:t xml:space="preserve"> - "denn das Blut, es sühnt durch die Seele") wird als </w:t>
      </w:r>
      <w:proofErr w:type="spellStart"/>
      <w:r w:rsidR="00E705C5">
        <w:t>τὸ</w:t>
      </w:r>
      <w:proofErr w:type="spellEnd"/>
      <w:r w:rsidR="00E705C5">
        <w:t xml:space="preserve"> </w:t>
      </w:r>
      <w:proofErr w:type="spellStart"/>
      <w:r w:rsidR="00E705C5">
        <w:t>γὰρ</w:t>
      </w:r>
      <w:proofErr w:type="spellEnd"/>
      <w:r w:rsidR="00E705C5">
        <w:t xml:space="preserve"> α</w:t>
      </w:r>
      <w:proofErr w:type="spellStart"/>
      <w:r w:rsidR="00E705C5">
        <w:t>ἷμ</w:t>
      </w:r>
      <w:proofErr w:type="spellEnd"/>
      <w:r w:rsidR="00E705C5">
        <w:t>α α</w:t>
      </w:r>
      <w:proofErr w:type="spellStart"/>
      <w:r w:rsidR="00E705C5">
        <w:t>ὐτοῦ</w:t>
      </w:r>
      <w:proofErr w:type="spellEnd"/>
      <w:r w:rsidR="00E705C5">
        <w:t xml:space="preserve"> </w:t>
      </w:r>
      <w:proofErr w:type="spellStart"/>
      <w:r w:rsidR="00E705C5">
        <w:t>ἀντὶ</w:t>
      </w:r>
      <w:proofErr w:type="spellEnd"/>
      <w:r w:rsidR="00E705C5">
        <w:t xml:space="preserve"> </w:t>
      </w:r>
      <w:proofErr w:type="spellStart"/>
      <w:r w:rsidR="00E705C5">
        <w:t>τῆς</w:t>
      </w:r>
      <w:proofErr w:type="spellEnd"/>
      <w:r w:rsidR="00E705C5">
        <w:t xml:space="preserve"> </w:t>
      </w:r>
      <w:proofErr w:type="spellStart"/>
      <w:r w:rsidR="00E705C5">
        <w:t>ψυχῆς</w:t>
      </w:r>
      <w:proofErr w:type="spellEnd"/>
      <w:r w:rsidR="00E705C5">
        <w:t xml:space="preserve"> </w:t>
      </w:r>
      <w:proofErr w:type="spellStart"/>
      <w:r w:rsidR="00E705C5">
        <w:t>ἐξιλάσετ</w:t>
      </w:r>
      <w:proofErr w:type="spellEnd"/>
      <w:r w:rsidR="00E705C5">
        <w:t>αι (denn sein Blut wird anstelle der Seele sühnen) wiedergegeben, was eine substitutionelle Sühnungstheologie ausdrückt.</w:t>
      </w:r>
    </w:p>
    <w:p w14:paraId="371294B3" w14:textId="0F8338D8"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theologische Begründung: Seele-Blut-Identifikation + göttliche Zweckbestimmung + Sühnezweck + Sühneprinzip. Die Struktur offenbart die tiefe Theologie der Blutsühne.</w:t>
      </w:r>
    </w:p>
    <w:p w14:paraId="38286261" w14:textId="0B3B8839" w:rsidR="001E05CF" w:rsidRPr="00992CEC" w:rsidRDefault="001E05CF" w:rsidP="00992CEC">
      <w:pPr>
        <w:spacing w:before="100" w:beforeAutospacing="1" w:after="100" w:afterAutospacing="1" w:line="240" w:lineRule="auto"/>
        <w:rPr>
          <w:rFonts w:eastAsia="Times New Roman" w:cs="Times New Roman"/>
          <w:lang w:eastAsia="de-DE"/>
        </w:rPr>
      </w:pPr>
      <w:r>
        <w:t>Begründung: Die Seele ist im Blut; Gott gab es für die Altarsühne; das Blut sühnt durch die Seele.</w:t>
      </w:r>
    </w:p>
    <w:p w14:paraId="5EDF7609"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17,12</w:t>
      </w:r>
    </w:p>
    <w:p w14:paraId="3DC01D6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עַל־כֵּ֤ן אָמַ֨רְתִּי֙ לִבְנֵ֣י יִשְׂרָאֵ֔ל כָּל־נֶ֥פֶשׁ מִכֶּ֖ם לֹא־תֹ֣אכַל דָּ֑ם וְהַגֵּ֛ר הַגָּ֥ר בְּתוֹכְכֶ֖ם לֹא־יֹ֥אכַל דָּֽם׃</w:t>
      </w:r>
    </w:p>
    <w:p w14:paraId="0E349BA3" w14:textId="165A2D9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Darum habe ich gesagt zu den Söhnen Jisra'els: Jede Seele von euch soll nicht Blut essen; und der Fremde, der in eurer Mitte weilt, soll nicht Blut essen.</w:t>
      </w:r>
    </w:p>
    <w:p w14:paraId="13437DEE"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7F98F239">
          <v:rect id="_x0000_i1526" style="width:0;height:1.5pt" o:hralign="center" o:hrstd="t" o:hr="t" fillcolor="#a0a0a0" stroked="f"/>
        </w:pict>
      </w:r>
    </w:p>
    <w:p w14:paraId="1F42D26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על־כן אמרתי לבני ישראל כל־נפש מכם לא־תאכל דם והגר הגר בתוככם לא־יאכל דם</w:t>
      </w:r>
      <w:r w:rsidRPr="00992CEC">
        <w:rPr>
          <w:rFonts w:eastAsia="Times New Roman" w:cs="Times New Roman"/>
          <w:rtl/>
          <w:lang w:eastAsia="de-DE"/>
        </w:rPr>
        <w:t xml:space="preserve"> </w:t>
      </w:r>
      <w:r w:rsidRPr="00992CEC">
        <w:rPr>
          <w:rFonts w:eastAsia="Times New Roman" w:cs="Times New Roman"/>
          <w:lang w:eastAsia="de-DE"/>
        </w:rPr>
        <w:t xml:space="preserve">zieht die praktische Folgerung aus der theologischen Begründung. </w:t>
      </w:r>
      <w:r w:rsidRPr="00992CEC">
        <w:rPr>
          <w:rFonts w:eastAsia="Times New Roman" w:cs="Times New Roman"/>
          <w:b/>
          <w:bCs/>
          <w:rtl/>
          <w:lang w:eastAsia="de-DE"/>
        </w:rPr>
        <w:t>על־כן אמרתי</w:t>
      </w:r>
      <w:r w:rsidRPr="00992CEC">
        <w:rPr>
          <w:rFonts w:eastAsia="Times New Roman" w:cs="Times New Roman"/>
          <w:rtl/>
          <w:lang w:eastAsia="de-DE"/>
        </w:rPr>
        <w:t xml:space="preserve"> </w:t>
      </w:r>
      <w:r w:rsidRPr="00992CEC">
        <w:rPr>
          <w:rFonts w:eastAsia="Times New Roman" w:cs="Times New Roman"/>
          <w:lang w:eastAsia="de-DE"/>
        </w:rPr>
        <w:t xml:space="preserve">(darum habe ich gesagt) - </w:t>
      </w:r>
      <w:r w:rsidRPr="00992CEC">
        <w:rPr>
          <w:rFonts w:eastAsia="Times New Roman" w:cs="Times New Roman"/>
          <w:b/>
          <w:bCs/>
          <w:rtl/>
          <w:lang w:eastAsia="de-DE"/>
        </w:rPr>
        <w:t>על־כן</w:t>
      </w:r>
      <w:r w:rsidRPr="00992CEC">
        <w:rPr>
          <w:rFonts w:eastAsia="Times New Roman" w:cs="Times New Roman"/>
          <w:rtl/>
          <w:lang w:eastAsia="de-DE"/>
        </w:rPr>
        <w:t xml:space="preserve"> </w:t>
      </w:r>
      <w:r w:rsidRPr="00992CEC">
        <w:rPr>
          <w:rFonts w:eastAsia="Times New Roman" w:cs="Times New Roman"/>
          <w:lang w:eastAsia="de-DE"/>
        </w:rPr>
        <w:t xml:space="preserve">(darum) als logische Schlussfolgerung aus V. 11. </w:t>
      </w:r>
      <w:r w:rsidRPr="00992CEC">
        <w:rPr>
          <w:rFonts w:eastAsia="Times New Roman" w:cs="Times New Roman"/>
          <w:b/>
          <w:bCs/>
          <w:rtl/>
          <w:lang w:eastAsia="de-DE"/>
        </w:rPr>
        <w:t>אמרתי</w:t>
      </w:r>
      <w:r w:rsidRPr="00992CEC">
        <w:rPr>
          <w:rFonts w:eastAsia="Times New Roman" w:cs="Times New Roman"/>
          <w:rtl/>
          <w:lang w:eastAsia="de-DE"/>
        </w:rPr>
        <w:t xml:space="preserve"> </w:t>
      </w:r>
      <w:r w:rsidRPr="00992CEC">
        <w:rPr>
          <w:rFonts w:eastAsia="Times New Roman" w:cs="Times New Roman"/>
          <w:lang w:eastAsia="de-DE"/>
        </w:rPr>
        <w:t>(ich habe gesagt) im Qal-Perfekt zeigt bereits ergangene göttliche Anordnung.</w:t>
      </w:r>
    </w:p>
    <w:p w14:paraId="618E831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lastRenderedPageBreak/>
        <w:t>כל־נפש מכם לא־תאכל דם</w:t>
      </w:r>
      <w:r w:rsidRPr="00992CEC">
        <w:rPr>
          <w:rFonts w:eastAsia="Times New Roman" w:cs="Times New Roman"/>
          <w:rtl/>
          <w:lang w:eastAsia="de-DE"/>
        </w:rPr>
        <w:t xml:space="preserve"> </w:t>
      </w:r>
      <w:r w:rsidRPr="00992CEC">
        <w:rPr>
          <w:rFonts w:eastAsia="Times New Roman" w:cs="Times New Roman"/>
          <w:lang w:eastAsia="de-DE"/>
        </w:rPr>
        <w:t xml:space="preserve">(jede Seele von euch soll nicht Blut essen) - </w:t>
      </w:r>
      <w:r w:rsidRPr="00992CEC">
        <w:rPr>
          <w:rFonts w:eastAsia="Times New Roman" w:cs="Times New Roman"/>
          <w:b/>
          <w:bCs/>
          <w:rtl/>
          <w:lang w:eastAsia="de-DE"/>
        </w:rPr>
        <w:t>כל־נפש</w:t>
      </w:r>
      <w:r w:rsidRPr="00992CEC">
        <w:rPr>
          <w:rFonts w:eastAsia="Times New Roman" w:cs="Times New Roman"/>
          <w:rtl/>
          <w:lang w:eastAsia="de-DE"/>
        </w:rPr>
        <w:t xml:space="preserve"> </w:t>
      </w:r>
      <w:r w:rsidRPr="00992CEC">
        <w:rPr>
          <w:rFonts w:eastAsia="Times New Roman" w:cs="Times New Roman"/>
          <w:lang w:eastAsia="de-DE"/>
        </w:rPr>
        <w:t xml:space="preserve">(jede Seele) als universelle Bezeichnung für alle Personen. </w:t>
      </w:r>
      <w:r w:rsidRPr="00992CEC">
        <w:rPr>
          <w:rFonts w:eastAsia="Times New Roman" w:cs="Times New Roman"/>
          <w:b/>
          <w:bCs/>
          <w:rtl/>
          <w:lang w:eastAsia="de-DE"/>
        </w:rPr>
        <w:t>לא־תאכל</w:t>
      </w:r>
      <w:r w:rsidRPr="00992CEC">
        <w:rPr>
          <w:rFonts w:eastAsia="Times New Roman" w:cs="Times New Roman"/>
          <w:rtl/>
          <w:lang w:eastAsia="de-DE"/>
        </w:rPr>
        <w:t xml:space="preserve"> </w:t>
      </w:r>
      <w:r w:rsidRPr="00992CEC">
        <w:rPr>
          <w:rFonts w:eastAsia="Times New Roman" w:cs="Times New Roman"/>
          <w:lang w:eastAsia="de-DE"/>
        </w:rPr>
        <w:t>(soll nicht essen) im Qal-Imperfekt mit Negation als Dauerverbot.</w:t>
      </w:r>
    </w:p>
    <w:p w14:paraId="3347389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והגר הגר בתוככם לא־יאכל דם</w:t>
      </w:r>
      <w:r w:rsidRPr="00992CEC">
        <w:rPr>
          <w:rFonts w:eastAsia="Times New Roman" w:cs="Times New Roman"/>
          <w:rtl/>
          <w:lang w:eastAsia="de-DE"/>
        </w:rPr>
        <w:t xml:space="preserve"> </w:t>
      </w:r>
      <w:r w:rsidRPr="00992CEC">
        <w:rPr>
          <w:rFonts w:eastAsia="Times New Roman" w:cs="Times New Roman"/>
          <w:lang w:eastAsia="de-DE"/>
        </w:rPr>
        <w:t xml:space="preserve">(und der Fremde, der in eurer Mitte weilt, soll nicht Blut essen) erweitert das Verbot explizit auf ansässige Fremde. </w:t>
      </w:r>
      <w:r w:rsidRPr="00992CEC">
        <w:rPr>
          <w:rFonts w:eastAsia="Times New Roman" w:cs="Times New Roman"/>
          <w:b/>
          <w:bCs/>
          <w:rtl/>
          <w:lang w:eastAsia="de-DE"/>
        </w:rPr>
        <w:t>הגר הגר</w:t>
      </w:r>
      <w:r w:rsidRPr="00992CEC">
        <w:rPr>
          <w:rFonts w:eastAsia="Times New Roman" w:cs="Times New Roman"/>
          <w:rtl/>
          <w:lang w:eastAsia="de-DE"/>
        </w:rPr>
        <w:t xml:space="preserve"> </w:t>
      </w:r>
      <w:r w:rsidRPr="00992CEC">
        <w:rPr>
          <w:rFonts w:eastAsia="Times New Roman" w:cs="Times New Roman"/>
          <w:lang w:eastAsia="de-DE"/>
        </w:rPr>
        <w:t>mit Wiederholung betont die Ansässigkeit der Fremden.</w:t>
      </w:r>
    </w:p>
    <w:p w14:paraId="4E528D4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על־כן</w:t>
      </w:r>
      <w:r w:rsidRPr="00992CEC">
        <w:rPr>
          <w:rFonts w:eastAsia="Times New Roman" w:cs="Times New Roman"/>
          <w:rtl/>
          <w:lang w:eastAsia="de-DE"/>
        </w:rPr>
        <w:t xml:space="preserve"> </w:t>
      </w:r>
      <w:r w:rsidRPr="00992CEC">
        <w:rPr>
          <w:rFonts w:eastAsia="Times New Roman" w:cs="Times New Roman"/>
          <w:lang w:eastAsia="de-DE"/>
        </w:rPr>
        <w:t xml:space="preserve">zeigt kausale Verbindung zur theologischen Begründung. </w:t>
      </w:r>
      <w:r w:rsidRPr="00992CEC">
        <w:rPr>
          <w:rFonts w:eastAsia="Times New Roman" w:cs="Times New Roman"/>
          <w:b/>
          <w:bCs/>
          <w:rtl/>
          <w:lang w:eastAsia="de-DE"/>
        </w:rPr>
        <w:t>כל־נפש מכם</w:t>
      </w:r>
      <w:r w:rsidRPr="00992CEC">
        <w:rPr>
          <w:rFonts w:eastAsia="Times New Roman" w:cs="Times New Roman"/>
          <w:rtl/>
          <w:lang w:eastAsia="de-DE"/>
        </w:rPr>
        <w:t xml:space="preserve"> </w:t>
      </w:r>
      <w:r w:rsidRPr="00992CEC">
        <w:rPr>
          <w:rFonts w:eastAsia="Times New Roman" w:cs="Times New Roman"/>
          <w:lang w:eastAsia="de-DE"/>
        </w:rPr>
        <w:t xml:space="preserve">erfasst alle Israeliten universell. </w:t>
      </w:r>
      <w:r w:rsidRPr="00992CEC">
        <w:rPr>
          <w:rFonts w:eastAsia="Times New Roman" w:cs="Times New Roman"/>
          <w:b/>
          <w:bCs/>
          <w:rtl/>
          <w:lang w:eastAsia="de-DE"/>
        </w:rPr>
        <w:t>והגר הגר בתוככם</w:t>
      </w:r>
      <w:r w:rsidRPr="00992CEC">
        <w:rPr>
          <w:rFonts w:eastAsia="Times New Roman" w:cs="Times New Roman"/>
          <w:rtl/>
          <w:lang w:eastAsia="de-DE"/>
        </w:rPr>
        <w:t xml:space="preserve"> </w:t>
      </w:r>
      <w:r w:rsidRPr="00992CEC">
        <w:rPr>
          <w:rFonts w:eastAsia="Times New Roman" w:cs="Times New Roman"/>
          <w:lang w:eastAsia="de-DE"/>
        </w:rPr>
        <w:t>betont die Inklusion der Fremden ins Blutverbot.</w:t>
      </w:r>
    </w:p>
    <w:p w14:paraId="5004001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על־כן</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διὰ</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τοῦτο</w:t>
      </w:r>
      <w:proofErr w:type="spellEnd"/>
      <w:r w:rsidRPr="00992CEC">
        <w:rPr>
          <w:rFonts w:eastAsia="Times New Roman" w:cs="Times New Roman"/>
          <w:lang w:eastAsia="de-DE"/>
        </w:rPr>
        <w:t xml:space="preserve"> (deswegen), </w:t>
      </w:r>
      <w:r w:rsidRPr="00992CEC">
        <w:rPr>
          <w:rFonts w:eastAsia="Times New Roman" w:cs="Times New Roman"/>
          <w:b/>
          <w:bCs/>
          <w:rtl/>
          <w:lang w:eastAsia="de-DE"/>
        </w:rPr>
        <w:t>כל־נפש</w:t>
      </w:r>
      <w:r w:rsidRPr="00992CEC">
        <w:rPr>
          <w:rFonts w:eastAsia="Times New Roman" w:cs="Times New Roman"/>
          <w:rtl/>
          <w:lang w:eastAsia="de-DE"/>
        </w:rPr>
        <w:t xml:space="preserve"> </w:t>
      </w:r>
      <w:r w:rsidRPr="00992CEC">
        <w:rPr>
          <w:rFonts w:eastAsia="Times New Roman" w:cs="Times New Roman"/>
          <w:lang w:eastAsia="de-DE"/>
        </w:rPr>
        <w:t>mit π</w:t>
      </w:r>
      <w:proofErr w:type="spellStart"/>
      <w:r w:rsidRPr="00992CEC">
        <w:rPr>
          <w:rFonts w:eastAsia="Times New Roman" w:cs="Times New Roman"/>
          <w:lang w:eastAsia="de-DE"/>
        </w:rPr>
        <w:t>ᾶσ</w:t>
      </w:r>
      <w:proofErr w:type="spellEnd"/>
      <w:r w:rsidRPr="00992CEC">
        <w:rPr>
          <w:rFonts w:eastAsia="Times New Roman" w:cs="Times New Roman"/>
          <w:lang w:eastAsia="de-DE"/>
        </w:rPr>
        <w:t xml:space="preserve">α </w:t>
      </w:r>
      <w:proofErr w:type="spellStart"/>
      <w:r w:rsidRPr="00992CEC">
        <w:rPr>
          <w:rFonts w:eastAsia="Times New Roman" w:cs="Times New Roman"/>
          <w:lang w:eastAsia="de-DE"/>
        </w:rPr>
        <w:t>ψυχή</w:t>
      </w:r>
      <w:proofErr w:type="spellEnd"/>
      <w:r w:rsidRPr="00992CEC">
        <w:rPr>
          <w:rFonts w:eastAsia="Times New Roman" w:cs="Times New Roman"/>
          <w:lang w:eastAsia="de-DE"/>
        </w:rPr>
        <w:t xml:space="preserve"> (jede Seele) und </w:t>
      </w:r>
      <w:r w:rsidRPr="00992CEC">
        <w:rPr>
          <w:rFonts w:eastAsia="Times New Roman" w:cs="Times New Roman"/>
          <w:b/>
          <w:bCs/>
          <w:rtl/>
          <w:lang w:eastAsia="de-DE"/>
        </w:rPr>
        <w:t>הגר הגר</w:t>
      </w:r>
      <w:r w:rsidRPr="00992CEC">
        <w:rPr>
          <w:rFonts w:eastAsia="Times New Roman" w:cs="Times New Roman"/>
          <w:rtl/>
          <w:lang w:eastAsia="de-DE"/>
        </w:rPr>
        <w:t xml:space="preserve"> </w:t>
      </w:r>
      <w:r w:rsidRPr="00992CEC">
        <w:rPr>
          <w:rFonts w:eastAsia="Times New Roman" w:cs="Times New Roman"/>
          <w:lang w:eastAsia="de-DE"/>
        </w:rPr>
        <w:t>mit π</w:t>
      </w:r>
      <w:proofErr w:type="spellStart"/>
      <w:r w:rsidRPr="00992CEC">
        <w:rPr>
          <w:rFonts w:eastAsia="Times New Roman" w:cs="Times New Roman"/>
          <w:lang w:eastAsia="de-DE"/>
        </w:rPr>
        <w:t>ροσήλυτος</w:t>
      </w:r>
      <w:proofErr w:type="spellEnd"/>
      <w:r w:rsidRPr="00992CEC">
        <w:rPr>
          <w:rFonts w:eastAsia="Times New Roman" w:cs="Times New Roman"/>
          <w:lang w:eastAsia="de-DE"/>
        </w:rPr>
        <w:t xml:space="preserve"> ὁ π</w:t>
      </w:r>
      <w:proofErr w:type="spellStart"/>
      <w:r w:rsidRPr="00992CEC">
        <w:rPr>
          <w:rFonts w:eastAsia="Times New Roman" w:cs="Times New Roman"/>
          <w:lang w:eastAsia="de-DE"/>
        </w:rPr>
        <w:t>ροσκείμενος</w:t>
      </w:r>
      <w:proofErr w:type="spellEnd"/>
      <w:r w:rsidRPr="00992CEC">
        <w:rPr>
          <w:rFonts w:eastAsia="Times New Roman" w:cs="Times New Roman"/>
          <w:lang w:eastAsia="de-DE"/>
        </w:rPr>
        <w:t xml:space="preserve"> (der sich anschließende Proselyt).</w:t>
      </w:r>
    </w:p>
    <w:p w14:paraId="44845DE1" w14:textId="2382EDEA"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logische Folgerung: kausale Einleitung + vergangene göttliche Anordnung + universelles Blutverbot für Israeliten + Erweiterung auf Fremde. Die Struktur leitet vom theologischen Prinzip zum praktischen Verbot über.</w:t>
      </w:r>
    </w:p>
    <w:p w14:paraId="70EDE80C" w14:textId="4575F503" w:rsidR="001E05CF" w:rsidRPr="00992CEC" w:rsidRDefault="001E05CF" w:rsidP="00992CEC">
      <w:pPr>
        <w:spacing w:before="100" w:beforeAutospacing="1" w:after="100" w:afterAutospacing="1" w:line="240" w:lineRule="auto"/>
        <w:rPr>
          <w:rFonts w:eastAsia="Times New Roman" w:cs="Times New Roman"/>
          <w:lang w:eastAsia="de-DE"/>
        </w:rPr>
      </w:pPr>
      <w:r>
        <w:t>Darum hat JHWH den Israeliten und Fremden jeglichen Blutverzehr verboten.</w:t>
      </w:r>
    </w:p>
    <w:p w14:paraId="631E475C"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17,13</w:t>
      </w:r>
    </w:p>
    <w:p w14:paraId="1BA47EB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וְאִ֨ישׁ אִ֜ישׁ מִבְּנֵ֣י יִשְׂרָאֵ֗ל וּמִן־הַגֵּר֙ הַגָּ֣ר בְּתוֹכָ֔ם אֲשֶׁ֨ר יָצ֜וּד צֵ֥יד חַיָּ֛ה אוֹ־ע֖וֹף אֲשֶׁ֣ר יֵאָכֵ֑ל וְשָׁפַךְ֙ אֶת־דָּמֹ֔ו וְכִסָּ֖הוּ בֶּעָפָֽר׃</w:t>
      </w:r>
    </w:p>
    <w:p w14:paraId="109F3590" w14:textId="5325E912"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Mann für Mann von den Söhnen Jisra'els und von den Fremden, die in ihrer Mitte weilen, der ein Wildbret eines Wildes oder eines Vogels erjagt, das gegessen wird, der soll ausgießen sein Blut und es bedecken mit Erde.</w:t>
      </w:r>
    </w:p>
    <w:p w14:paraId="46D6966D"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2F0B969F">
          <v:rect id="_x0000_i1527" style="width:0;height:1.5pt" o:hralign="center" o:hrstd="t" o:hr="t" fillcolor="#a0a0a0" stroked="f"/>
        </w:pict>
      </w:r>
    </w:p>
    <w:p w14:paraId="3155A78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ואיש איש מבני ישראל ומן־הגר הגר בתוכם אשר יצוד צייד חיה או־עוף אשר יאכל ושפך את־דמו וכסהו בעפר</w:t>
      </w:r>
      <w:r w:rsidRPr="00992CEC">
        <w:rPr>
          <w:rFonts w:eastAsia="Times New Roman" w:cs="Times New Roman"/>
          <w:rtl/>
          <w:lang w:eastAsia="de-DE"/>
        </w:rPr>
        <w:t xml:space="preserve"> </w:t>
      </w:r>
      <w:r w:rsidRPr="00992CEC">
        <w:rPr>
          <w:rFonts w:eastAsia="Times New Roman" w:cs="Times New Roman"/>
          <w:lang w:eastAsia="de-DE"/>
        </w:rPr>
        <w:t xml:space="preserve">erweitert das Blutverbot auf Jagdtiere. </w:t>
      </w:r>
      <w:r w:rsidRPr="00992CEC">
        <w:rPr>
          <w:rFonts w:eastAsia="Times New Roman" w:cs="Times New Roman"/>
          <w:b/>
          <w:bCs/>
          <w:rtl/>
          <w:lang w:eastAsia="de-DE"/>
        </w:rPr>
        <w:t>ואיש איש מבני ישראל ומן־הגר הגר בתוכם</w:t>
      </w:r>
      <w:r w:rsidRPr="00992CEC">
        <w:rPr>
          <w:rFonts w:eastAsia="Times New Roman" w:cs="Times New Roman"/>
          <w:rtl/>
          <w:lang w:eastAsia="de-DE"/>
        </w:rPr>
        <w:t xml:space="preserve"> </w:t>
      </w:r>
      <w:r w:rsidRPr="00992CEC">
        <w:rPr>
          <w:rFonts w:eastAsia="Times New Roman" w:cs="Times New Roman"/>
          <w:lang w:eastAsia="de-DE"/>
        </w:rPr>
        <w:t xml:space="preserve">wiederholt die universelle Erfassung. </w:t>
      </w:r>
      <w:r w:rsidRPr="00992CEC">
        <w:rPr>
          <w:rFonts w:eastAsia="Times New Roman" w:cs="Times New Roman"/>
          <w:b/>
          <w:bCs/>
          <w:rtl/>
          <w:lang w:eastAsia="de-DE"/>
        </w:rPr>
        <w:t>אשר יצוד צייד חיה או־עוף אשר יאכל</w:t>
      </w:r>
      <w:r w:rsidRPr="00992CEC">
        <w:rPr>
          <w:rFonts w:eastAsia="Times New Roman" w:cs="Times New Roman"/>
          <w:rtl/>
          <w:lang w:eastAsia="de-DE"/>
        </w:rPr>
        <w:t xml:space="preserve"> </w:t>
      </w:r>
      <w:r w:rsidRPr="00992CEC">
        <w:rPr>
          <w:rFonts w:eastAsia="Times New Roman" w:cs="Times New Roman"/>
          <w:lang w:eastAsia="de-DE"/>
        </w:rPr>
        <w:t xml:space="preserve">(der ein Wild eines Tieres oder eines Vogels erjagt, das gegessen wird) - </w:t>
      </w:r>
      <w:r w:rsidRPr="00992CEC">
        <w:rPr>
          <w:rFonts w:eastAsia="Times New Roman" w:cs="Times New Roman"/>
          <w:b/>
          <w:bCs/>
          <w:rtl/>
          <w:lang w:eastAsia="de-DE"/>
        </w:rPr>
        <w:t>יצוד</w:t>
      </w:r>
      <w:r w:rsidRPr="00992CEC">
        <w:rPr>
          <w:rFonts w:eastAsia="Times New Roman" w:cs="Times New Roman"/>
          <w:rtl/>
          <w:lang w:eastAsia="de-DE"/>
        </w:rPr>
        <w:t xml:space="preserve"> </w:t>
      </w:r>
      <w:r w:rsidRPr="00992CEC">
        <w:rPr>
          <w:rFonts w:eastAsia="Times New Roman" w:cs="Times New Roman"/>
          <w:lang w:eastAsia="de-DE"/>
        </w:rPr>
        <w:t xml:space="preserve">(erjagt) im Qal-Imperfekt zeigt Jagdtätigkeit. </w:t>
      </w:r>
      <w:r w:rsidRPr="00992CEC">
        <w:rPr>
          <w:rFonts w:eastAsia="Times New Roman" w:cs="Times New Roman"/>
          <w:b/>
          <w:bCs/>
          <w:rtl/>
          <w:lang w:eastAsia="de-DE"/>
        </w:rPr>
        <w:t>צייד</w:t>
      </w:r>
      <w:r w:rsidRPr="00992CEC">
        <w:rPr>
          <w:rFonts w:eastAsia="Times New Roman" w:cs="Times New Roman"/>
          <w:rtl/>
          <w:lang w:eastAsia="de-DE"/>
        </w:rPr>
        <w:t xml:space="preserve"> </w:t>
      </w:r>
      <w:r w:rsidRPr="00992CEC">
        <w:rPr>
          <w:rFonts w:eastAsia="Times New Roman" w:cs="Times New Roman"/>
          <w:lang w:eastAsia="de-DE"/>
        </w:rPr>
        <w:t xml:space="preserve">(Wild) als Jagdbeute, </w:t>
      </w:r>
      <w:r w:rsidRPr="00992CEC">
        <w:rPr>
          <w:rFonts w:eastAsia="Times New Roman" w:cs="Times New Roman"/>
          <w:b/>
          <w:bCs/>
          <w:rtl/>
          <w:lang w:eastAsia="de-DE"/>
        </w:rPr>
        <w:t>חיה</w:t>
      </w:r>
      <w:r w:rsidRPr="00992CEC">
        <w:rPr>
          <w:rFonts w:eastAsia="Times New Roman" w:cs="Times New Roman"/>
          <w:rtl/>
          <w:lang w:eastAsia="de-DE"/>
        </w:rPr>
        <w:t xml:space="preserve"> </w:t>
      </w:r>
      <w:r w:rsidRPr="00992CEC">
        <w:rPr>
          <w:rFonts w:eastAsia="Times New Roman" w:cs="Times New Roman"/>
          <w:lang w:eastAsia="de-DE"/>
        </w:rPr>
        <w:t xml:space="preserve">(Tier) und </w:t>
      </w:r>
      <w:r w:rsidRPr="00992CEC">
        <w:rPr>
          <w:rFonts w:eastAsia="Times New Roman" w:cs="Times New Roman"/>
          <w:b/>
          <w:bCs/>
          <w:rtl/>
          <w:lang w:eastAsia="de-DE"/>
        </w:rPr>
        <w:t>עוף</w:t>
      </w:r>
      <w:r w:rsidRPr="00992CEC">
        <w:rPr>
          <w:rFonts w:eastAsia="Times New Roman" w:cs="Times New Roman"/>
          <w:rtl/>
          <w:lang w:eastAsia="de-DE"/>
        </w:rPr>
        <w:t xml:space="preserve"> </w:t>
      </w:r>
      <w:r w:rsidRPr="00992CEC">
        <w:rPr>
          <w:rFonts w:eastAsia="Times New Roman" w:cs="Times New Roman"/>
          <w:lang w:eastAsia="de-DE"/>
        </w:rPr>
        <w:t xml:space="preserve">(Vogel) als Jagdkategorien. </w:t>
      </w:r>
      <w:r w:rsidRPr="00992CEC">
        <w:rPr>
          <w:rFonts w:eastAsia="Times New Roman" w:cs="Times New Roman"/>
          <w:b/>
          <w:bCs/>
          <w:rtl/>
          <w:lang w:eastAsia="de-DE"/>
        </w:rPr>
        <w:t>אשר יאכל</w:t>
      </w:r>
      <w:r w:rsidRPr="00992CEC">
        <w:rPr>
          <w:rFonts w:eastAsia="Times New Roman" w:cs="Times New Roman"/>
          <w:rtl/>
          <w:lang w:eastAsia="de-DE"/>
        </w:rPr>
        <w:t xml:space="preserve"> </w:t>
      </w:r>
      <w:r w:rsidRPr="00992CEC">
        <w:rPr>
          <w:rFonts w:eastAsia="Times New Roman" w:cs="Times New Roman"/>
          <w:lang w:eastAsia="de-DE"/>
        </w:rPr>
        <w:t xml:space="preserve">(das gegessen wird) - </w:t>
      </w:r>
      <w:r w:rsidRPr="00992CEC">
        <w:rPr>
          <w:rFonts w:eastAsia="Times New Roman" w:cs="Times New Roman"/>
          <w:b/>
          <w:bCs/>
          <w:rtl/>
          <w:lang w:eastAsia="de-DE"/>
        </w:rPr>
        <w:t>יאכל</w:t>
      </w:r>
      <w:r w:rsidRPr="00992CEC">
        <w:rPr>
          <w:rFonts w:eastAsia="Times New Roman" w:cs="Times New Roman"/>
          <w:rtl/>
          <w:lang w:eastAsia="de-DE"/>
        </w:rPr>
        <w:t xml:space="preserve"> </w:t>
      </w:r>
      <w:r w:rsidRPr="00992CEC">
        <w:rPr>
          <w:rFonts w:eastAsia="Times New Roman" w:cs="Times New Roman"/>
          <w:lang w:eastAsia="de-DE"/>
        </w:rPr>
        <w:t>(gegessen wird) im Nifal-Imperfekt zeigt essbare Arten.</w:t>
      </w:r>
    </w:p>
    <w:p w14:paraId="3E085D9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ושפך את־דמו וכסהו בעפר</w:t>
      </w:r>
      <w:r w:rsidRPr="00992CEC">
        <w:rPr>
          <w:rFonts w:eastAsia="Times New Roman" w:cs="Times New Roman"/>
          <w:rtl/>
          <w:lang w:eastAsia="de-DE"/>
        </w:rPr>
        <w:t xml:space="preserve"> </w:t>
      </w:r>
      <w:r w:rsidRPr="00992CEC">
        <w:rPr>
          <w:rFonts w:eastAsia="Times New Roman" w:cs="Times New Roman"/>
          <w:lang w:eastAsia="de-DE"/>
        </w:rPr>
        <w:t xml:space="preserve">(der soll sein Blut ausgießen und es mit Erde bedecken) - </w:t>
      </w:r>
      <w:r w:rsidRPr="00992CEC">
        <w:rPr>
          <w:rFonts w:eastAsia="Times New Roman" w:cs="Times New Roman"/>
          <w:b/>
          <w:bCs/>
          <w:rtl/>
          <w:lang w:eastAsia="de-DE"/>
        </w:rPr>
        <w:t>ושפך</w:t>
      </w:r>
      <w:r w:rsidRPr="00992CEC">
        <w:rPr>
          <w:rFonts w:eastAsia="Times New Roman" w:cs="Times New Roman"/>
          <w:rtl/>
          <w:lang w:eastAsia="de-DE"/>
        </w:rPr>
        <w:t xml:space="preserve"> </w:t>
      </w:r>
      <w:r w:rsidRPr="00992CEC">
        <w:rPr>
          <w:rFonts w:eastAsia="Times New Roman" w:cs="Times New Roman"/>
          <w:lang w:eastAsia="de-DE"/>
        </w:rPr>
        <w:t xml:space="preserve">(und er soll ausgießen) im Qal-Perfekt mit Waw-Konsekutiv zeigt die Pflicht zur Blutbeseitigung. </w:t>
      </w:r>
      <w:r w:rsidRPr="00992CEC">
        <w:rPr>
          <w:rFonts w:eastAsia="Times New Roman" w:cs="Times New Roman"/>
          <w:b/>
          <w:bCs/>
          <w:rtl/>
          <w:lang w:eastAsia="de-DE"/>
        </w:rPr>
        <w:t>וכסהו בעפר</w:t>
      </w:r>
      <w:r w:rsidRPr="00992CEC">
        <w:rPr>
          <w:rFonts w:eastAsia="Times New Roman" w:cs="Times New Roman"/>
          <w:rtl/>
          <w:lang w:eastAsia="de-DE"/>
        </w:rPr>
        <w:t xml:space="preserve"> </w:t>
      </w:r>
      <w:r w:rsidRPr="00992CEC">
        <w:rPr>
          <w:rFonts w:eastAsia="Times New Roman" w:cs="Times New Roman"/>
          <w:lang w:eastAsia="de-DE"/>
        </w:rPr>
        <w:t xml:space="preserve">(und es mit Erde bedecken) - </w:t>
      </w:r>
      <w:r w:rsidRPr="00992CEC">
        <w:rPr>
          <w:rFonts w:eastAsia="Times New Roman" w:cs="Times New Roman"/>
          <w:b/>
          <w:bCs/>
          <w:rtl/>
          <w:lang w:eastAsia="de-DE"/>
        </w:rPr>
        <w:t>וכסה</w:t>
      </w:r>
      <w:r w:rsidRPr="00992CEC">
        <w:rPr>
          <w:rFonts w:eastAsia="Times New Roman" w:cs="Times New Roman"/>
          <w:rtl/>
          <w:lang w:eastAsia="de-DE"/>
        </w:rPr>
        <w:t xml:space="preserve"> </w:t>
      </w:r>
      <w:r w:rsidRPr="00992CEC">
        <w:rPr>
          <w:rFonts w:eastAsia="Times New Roman" w:cs="Times New Roman"/>
          <w:lang w:eastAsia="de-DE"/>
        </w:rPr>
        <w:t>(und bedecken) im Piel-Perfekt mit Waw-Konsekutiv, das Piel zeigt intensive Bedeckung.</w:t>
      </w:r>
    </w:p>
    <w:p w14:paraId="61FABC72"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יצוד צייד</w:t>
      </w:r>
      <w:r w:rsidRPr="00992CEC">
        <w:rPr>
          <w:rFonts w:eastAsia="Times New Roman" w:cs="Times New Roman"/>
          <w:rtl/>
          <w:lang w:eastAsia="de-DE"/>
        </w:rPr>
        <w:t xml:space="preserve"> </w:t>
      </w:r>
      <w:r w:rsidRPr="00992CEC">
        <w:rPr>
          <w:rFonts w:eastAsia="Times New Roman" w:cs="Times New Roman"/>
          <w:lang w:eastAsia="de-DE"/>
        </w:rPr>
        <w:t xml:space="preserve">als figura etymologica betont die Jagdtätigkeit. </w:t>
      </w:r>
      <w:r w:rsidRPr="00992CEC">
        <w:rPr>
          <w:rFonts w:eastAsia="Times New Roman" w:cs="Times New Roman"/>
          <w:b/>
          <w:bCs/>
          <w:rtl/>
          <w:lang w:eastAsia="de-DE"/>
        </w:rPr>
        <w:t>אשר יאכל</w:t>
      </w:r>
      <w:r w:rsidRPr="00992CEC">
        <w:rPr>
          <w:rFonts w:eastAsia="Times New Roman" w:cs="Times New Roman"/>
          <w:rtl/>
          <w:lang w:eastAsia="de-DE"/>
        </w:rPr>
        <w:t xml:space="preserve"> </w:t>
      </w:r>
      <w:r w:rsidRPr="00992CEC">
        <w:rPr>
          <w:rFonts w:eastAsia="Times New Roman" w:cs="Times New Roman"/>
          <w:lang w:eastAsia="de-DE"/>
        </w:rPr>
        <w:t xml:space="preserve">unterscheidet essbare von nicht-essbaren Arten. </w:t>
      </w:r>
      <w:r w:rsidRPr="00992CEC">
        <w:rPr>
          <w:rFonts w:eastAsia="Times New Roman" w:cs="Times New Roman"/>
          <w:b/>
          <w:bCs/>
          <w:rtl/>
          <w:lang w:eastAsia="de-DE"/>
        </w:rPr>
        <w:t>שפך</w:t>
      </w:r>
      <w:r w:rsidRPr="00992CEC">
        <w:rPr>
          <w:rFonts w:eastAsia="Times New Roman" w:cs="Times New Roman"/>
          <w:rtl/>
          <w:lang w:eastAsia="de-DE"/>
        </w:rPr>
        <w:t xml:space="preserve"> </w:t>
      </w:r>
      <w:r w:rsidRPr="00992CEC">
        <w:rPr>
          <w:rFonts w:eastAsia="Times New Roman" w:cs="Times New Roman"/>
          <w:lang w:eastAsia="de-DE"/>
        </w:rPr>
        <w:t xml:space="preserve">zeigt, dass auch Jagdblut nicht verzehrt werden darf. </w:t>
      </w:r>
      <w:r w:rsidRPr="00992CEC">
        <w:rPr>
          <w:rFonts w:eastAsia="Times New Roman" w:cs="Times New Roman"/>
          <w:b/>
          <w:bCs/>
          <w:rtl/>
          <w:lang w:eastAsia="de-DE"/>
        </w:rPr>
        <w:t>כסהו בעפר</w:t>
      </w:r>
      <w:r w:rsidRPr="00992CEC">
        <w:rPr>
          <w:rFonts w:eastAsia="Times New Roman" w:cs="Times New Roman"/>
          <w:rtl/>
          <w:lang w:eastAsia="de-DE"/>
        </w:rPr>
        <w:t xml:space="preserve"> </w:t>
      </w:r>
      <w:r w:rsidRPr="00992CEC">
        <w:rPr>
          <w:rFonts w:eastAsia="Times New Roman" w:cs="Times New Roman"/>
          <w:lang w:eastAsia="de-DE"/>
        </w:rPr>
        <w:t>im Piel zeigt sorgfältige Erdbedeckung zur Verhinderung des Blutverzehrs.</w:t>
      </w:r>
    </w:p>
    <w:p w14:paraId="6B1C5EC4" w14:textId="20E9D1EC"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וכסהו בעפר</w:t>
      </w:r>
      <w:r w:rsidR="00E705C5">
        <w:t xml:space="preserve"> (</w:t>
      </w:r>
      <w:proofErr w:type="spellStart"/>
      <w:r w:rsidR="00E705C5">
        <w:t>wekissahu</w:t>
      </w:r>
      <w:proofErr w:type="spellEnd"/>
      <w:r w:rsidR="00E705C5">
        <w:t xml:space="preserve"> </w:t>
      </w:r>
      <w:proofErr w:type="spellStart"/>
      <w:r w:rsidR="00E705C5">
        <w:t>be'afar</w:t>
      </w:r>
      <w:proofErr w:type="spellEnd"/>
      <w:r w:rsidR="00E705C5">
        <w:t xml:space="preserve"> - "und bedecke es mit Erde") als καὶ κα</w:t>
      </w:r>
      <w:proofErr w:type="spellStart"/>
      <w:r w:rsidR="00E705C5">
        <w:t>λύψει</w:t>
      </w:r>
      <w:proofErr w:type="spellEnd"/>
      <w:r w:rsidR="00E705C5">
        <w:t xml:space="preserve"> α</w:t>
      </w:r>
      <w:proofErr w:type="spellStart"/>
      <w:r w:rsidR="00E705C5">
        <w:t>ὐτὸ</w:t>
      </w:r>
      <w:proofErr w:type="spellEnd"/>
      <w:r w:rsidR="00E705C5">
        <w:t xml:space="preserve"> </w:t>
      </w:r>
      <w:proofErr w:type="spellStart"/>
      <w:r w:rsidR="00E705C5">
        <w:t>τῇ</w:t>
      </w:r>
      <w:proofErr w:type="spellEnd"/>
      <w:r w:rsidR="00E705C5">
        <w:t xml:space="preserve"> </w:t>
      </w:r>
      <w:proofErr w:type="spellStart"/>
      <w:r w:rsidR="00E705C5">
        <w:t>γῇ</w:t>
      </w:r>
      <w:proofErr w:type="spellEnd"/>
      <w:r w:rsidR="00E705C5">
        <w:t xml:space="preserve"> (und er soll es mit Erde bedecken).</w:t>
      </w:r>
    </w:p>
    <w:p w14:paraId="3A6C80FC" w14:textId="17C46F49"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Die Satzstruktur:</w:t>
      </w:r>
      <w:r w:rsidRPr="00992CEC">
        <w:rPr>
          <w:rFonts w:eastAsia="Times New Roman" w:cs="Times New Roman"/>
          <w:lang w:eastAsia="de-DE"/>
        </w:rPr>
        <w:t xml:space="preserve"> zeigt Jagdregelung: universelle Personenerfassung + Jagdspezifikation + Blutbeseitigungspflicht + Erdbedeckung. Die Struktur erweitert das Blutverbot auf alle Fleischquellen.</w:t>
      </w:r>
    </w:p>
    <w:p w14:paraId="65EE0647" w14:textId="534CC501" w:rsidR="001E05CF" w:rsidRPr="00992CEC" w:rsidRDefault="001E05CF" w:rsidP="00992CEC">
      <w:pPr>
        <w:spacing w:before="100" w:beforeAutospacing="1" w:after="100" w:afterAutospacing="1" w:line="240" w:lineRule="auto"/>
        <w:rPr>
          <w:rFonts w:eastAsia="Times New Roman" w:cs="Times New Roman"/>
          <w:lang w:eastAsia="de-DE"/>
        </w:rPr>
      </w:pPr>
      <w:r>
        <w:t>Jeder Israelit und Fremde, der essbare Wildtiere oder Vögel erjagt, muss das Blut ausgiessen und mit Erde bedecken.</w:t>
      </w:r>
    </w:p>
    <w:p w14:paraId="6F9D2015"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17,14</w:t>
      </w:r>
    </w:p>
    <w:p w14:paraId="79E4ABF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כִּֽי־נֶ֣פֶשׁ כָּל־בָּשָׂ֗ר דָּמֹ֣ו בְנַפְשׁוֹ֮ הוּא֒ וָֽאֹמַר֙ לִבְנֵ֣י יִשְׂרָאֵ֔ל דַּ֥ם כָּל־בָּשָׂ֖ר לֹ֣א תֹאכֵ֑לוּ כִּ֣י נֶ֤פֶשׁ כָּל־בָּשָׂר֙ דָּמֹ֣ו הִ֔וא כָּל־אֹכְלָ֖יו יִכָּרֵֽת׃</w:t>
      </w:r>
    </w:p>
    <w:p w14:paraId="54A69AD1" w14:textId="53A48AB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Denn die Seele alles Fleisches, sein Blut ist in seiner Seele, und ich sage zu den Söhnen Jisra'els: Das Blut alles Fleisches sollt ihr nicht essen, denn die Seele alles Fleisches ist sein Blut; jeder, der es isst, soll ausgerottet werden.</w:t>
      </w:r>
    </w:p>
    <w:p w14:paraId="168E2DA7"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6A9E3111">
          <v:rect id="_x0000_i1528" style="width:0;height:1.5pt" o:hralign="center" o:hrstd="t" o:hr="t" fillcolor="#a0a0a0" stroked="f"/>
        </w:pict>
      </w:r>
    </w:p>
    <w:p w14:paraId="677A1E7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כי־נפש כל־בשר דמו בנפשו הוא ואמר לבני ישראל דם כל־בשר לא תאכלו כי נפש כל־בשר דמו הוא כל־אכליו יכרת</w:t>
      </w:r>
      <w:r w:rsidRPr="00992CEC">
        <w:rPr>
          <w:rFonts w:eastAsia="Times New Roman" w:cs="Times New Roman"/>
          <w:rtl/>
          <w:lang w:eastAsia="de-DE"/>
        </w:rPr>
        <w:t xml:space="preserve"> </w:t>
      </w:r>
      <w:r w:rsidRPr="00992CEC">
        <w:rPr>
          <w:rFonts w:eastAsia="Times New Roman" w:cs="Times New Roman"/>
          <w:lang w:eastAsia="de-DE"/>
        </w:rPr>
        <w:t xml:space="preserve">wiederholt und verstärkt die theologische Begründung. </w:t>
      </w:r>
      <w:r w:rsidRPr="00992CEC">
        <w:rPr>
          <w:rFonts w:eastAsia="Times New Roman" w:cs="Times New Roman"/>
          <w:b/>
          <w:bCs/>
          <w:rtl/>
          <w:lang w:eastAsia="de-DE"/>
        </w:rPr>
        <w:t>כי־נפש כל־בשר דמו בנפשו הוא</w:t>
      </w:r>
      <w:r w:rsidRPr="00992CEC">
        <w:rPr>
          <w:rFonts w:eastAsia="Times New Roman" w:cs="Times New Roman"/>
          <w:rtl/>
          <w:lang w:eastAsia="de-DE"/>
        </w:rPr>
        <w:t xml:space="preserve"> </w:t>
      </w:r>
      <w:r w:rsidRPr="00992CEC">
        <w:rPr>
          <w:rFonts w:eastAsia="Times New Roman" w:cs="Times New Roman"/>
          <w:lang w:eastAsia="de-DE"/>
        </w:rPr>
        <w:t xml:space="preserve">(denn die Seele allen Fleisches - sein Blut ist seine Seele) variiert V. 11 mit chiasmatischer Struktur: </w:t>
      </w:r>
      <w:r w:rsidRPr="00992CEC">
        <w:rPr>
          <w:rFonts w:eastAsia="Times New Roman" w:cs="Times New Roman"/>
          <w:b/>
          <w:bCs/>
          <w:rtl/>
          <w:lang w:eastAsia="de-DE"/>
        </w:rPr>
        <w:t>נפש...דמו בנפשו</w:t>
      </w:r>
      <w:r w:rsidRPr="00992CEC">
        <w:rPr>
          <w:rFonts w:eastAsia="Times New Roman" w:cs="Times New Roman"/>
          <w:lang w:eastAsia="de-DE"/>
        </w:rPr>
        <w:t>.</w:t>
      </w:r>
    </w:p>
    <w:p w14:paraId="52EF509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ואמר לבני ישראל דם כל־בשר לא תאכלו</w:t>
      </w:r>
      <w:r w:rsidRPr="00992CEC">
        <w:rPr>
          <w:rFonts w:eastAsia="Times New Roman" w:cs="Times New Roman"/>
          <w:rtl/>
          <w:lang w:eastAsia="de-DE"/>
        </w:rPr>
        <w:t xml:space="preserve"> </w:t>
      </w:r>
      <w:r w:rsidRPr="00992CEC">
        <w:rPr>
          <w:rFonts w:eastAsia="Times New Roman" w:cs="Times New Roman"/>
          <w:lang w:eastAsia="de-DE"/>
        </w:rPr>
        <w:t xml:space="preserve">(und ich sage zu den Söhnen Israels: Das Blut allen Fleisches sollt ihr nicht essen) - </w:t>
      </w:r>
      <w:r w:rsidRPr="00992CEC">
        <w:rPr>
          <w:rFonts w:eastAsia="Times New Roman" w:cs="Times New Roman"/>
          <w:b/>
          <w:bCs/>
          <w:rtl/>
          <w:lang w:eastAsia="de-DE"/>
        </w:rPr>
        <w:t>ואמר</w:t>
      </w:r>
      <w:r w:rsidRPr="00992CEC">
        <w:rPr>
          <w:rFonts w:eastAsia="Times New Roman" w:cs="Times New Roman"/>
          <w:rtl/>
          <w:lang w:eastAsia="de-DE"/>
        </w:rPr>
        <w:t xml:space="preserve"> </w:t>
      </w:r>
      <w:r w:rsidRPr="00992CEC">
        <w:rPr>
          <w:rFonts w:eastAsia="Times New Roman" w:cs="Times New Roman"/>
          <w:lang w:eastAsia="de-DE"/>
        </w:rPr>
        <w:t xml:space="preserve">(und ich sage) im Qal-Partizip zeigt andauernde göttliche Verkündigung. </w:t>
      </w:r>
      <w:r w:rsidRPr="00992CEC">
        <w:rPr>
          <w:rFonts w:eastAsia="Times New Roman" w:cs="Times New Roman"/>
          <w:b/>
          <w:bCs/>
          <w:rtl/>
          <w:lang w:eastAsia="de-DE"/>
        </w:rPr>
        <w:t>דם כל־בשר</w:t>
      </w:r>
      <w:r w:rsidRPr="00992CEC">
        <w:rPr>
          <w:rFonts w:eastAsia="Times New Roman" w:cs="Times New Roman"/>
          <w:rtl/>
          <w:lang w:eastAsia="de-DE"/>
        </w:rPr>
        <w:t xml:space="preserve"> </w:t>
      </w:r>
      <w:r w:rsidRPr="00992CEC">
        <w:rPr>
          <w:rFonts w:eastAsia="Times New Roman" w:cs="Times New Roman"/>
          <w:lang w:eastAsia="de-DE"/>
        </w:rPr>
        <w:t>(das Blut allen Fleisches) erweitert auf alle Fleischarten.</w:t>
      </w:r>
    </w:p>
    <w:p w14:paraId="41F35B6A"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כי נפש כל־בשר דמו הוא כל־אכליו יכרת</w:t>
      </w:r>
      <w:r w:rsidRPr="00992CEC">
        <w:rPr>
          <w:rFonts w:eastAsia="Times New Roman" w:cs="Times New Roman"/>
          <w:rtl/>
          <w:lang w:eastAsia="de-DE"/>
        </w:rPr>
        <w:t xml:space="preserve"> </w:t>
      </w:r>
      <w:r w:rsidRPr="00992CEC">
        <w:rPr>
          <w:rFonts w:eastAsia="Times New Roman" w:cs="Times New Roman"/>
          <w:lang w:eastAsia="de-DE"/>
        </w:rPr>
        <w:t xml:space="preserve">(denn die Seele allen Fleisches ist sein Blut; jeder, der es isst, soll ausgerottet werden) - </w:t>
      </w:r>
      <w:r w:rsidRPr="00992CEC">
        <w:rPr>
          <w:rFonts w:eastAsia="Times New Roman" w:cs="Times New Roman"/>
          <w:b/>
          <w:bCs/>
          <w:rtl/>
          <w:lang w:eastAsia="de-DE"/>
        </w:rPr>
        <w:t>יכרת</w:t>
      </w:r>
      <w:r w:rsidRPr="00992CEC">
        <w:rPr>
          <w:rFonts w:eastAsia="Times New Roman" w:cs="Times New Roman"/>
          <w:rtl/>
          <w:lang w:eastAsia="de-DE"/>
        </w:rPr>
        <w:t xml:space="preserve"> </w:t>
      </w:r>
      <w:r w:rsidRPr="00992CEC">
        <w:rPr>
          <w:rFonts w:eastAsia="Times New Roman" w:cs="Times New Roman"/>
          <w:lang w:eastAsia="de-DE"/>
        </w:rPr>
        <w:t xml:space="preserve">(soll ausgerottet werden) im Nifal-Imperfekt zeigt die Strafkonsequenz. </w:t>
      </w:r>
      <w:r w:rsidRPr="00992CEC">
        <w:rPr>
          <w:rFonts w:eastAsia="Times New Roman" w:cs="Times New Roman"/>
          <w:b/>
          <w:bCs/>
          <w:rtl/>
          <w:lang w:eastAsia="de-DE"/>
        </w:rPr>
        <w:t>כל־אכליו</w:t>
      </w:r>
      <w:r w:rsidRPr="00992CEC">
        <w:rPr>
          <w:rFonts w:eastAsia="Times New Roman" w:cs="Times New Roman"/>
          <w:rtl/>
          <w:lang w:eastAsia="de-DE"/>
        </w:rPr>
        <w:t xml:space="preserve"> </w:t>
      </w:r>
      <w:r w:rsidRPr="00992CEC">
        <w:rPr>
          <w:rFonts w:eastAsia="Times New Roman" w:cs="Times New Roman"/>
          <w:lang w:eastAsia="de-DE"/>
        </w:rPr>
        <w:t xml:space="preserve">(jeder, der es isst) - </w:t>
      </w:r>
      <w:r w:rsidRPr="00992CEC">
        <w:rPr>
          <w:rFonts w:eastAsia="Times New Roman" w:cs="Times New Roman"/>
          <w:b/>
          <w:bCs/>
          <w:rtl/>
          <w:lang w:eastAsia="de-DE"/>
        </w:rPr>
        <w:t>אכליו</w:t>
      </w:r>
      <w:r w:rsidRPr="00992CEC">
        <w:rPr>
          <w:rFonts w:eastAsia="Times New Roman" w:cs="Times New Roman"/>
          <w:rtl/>
          <w:lang w:eastAsia="de-DE"/>
        </w:rPr>
        <w:t xml:space="preserve"> </w:t>
      </w:r>
      <w:r w:rsidRPr="00992CEC">
        <w:rPr>
          <w:rFonts w:eastAsia="Times New Roman" w:cs="Times New Roman"/>
          <w:lang w:eastAsia="de-DE"/>
        </w:rPr>
        <w:t>(seine Esser) als Partizip Plural mit Suffix.</w:t>
      </w:r>
    </w:p>
    <w:p w14:paraId="3006D1F1"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דמו בנפשו</w:t>
      </w:r>
      <w:r w:rsidRPr="00992CEC">
        <w:rPr>
          <w:rFonts w:eastAsia="Times New Roman" w:cs="Times New Roman"/>
          <w:rtl/>
          <w:lang w:eastAsia="de-DE"/>
        </w:rPr>
        <w:t xml:space="preserve"> </w:t>
      </w:r>
      <w:r w:rsidRPr="00992CEC">
        <w:rPr>
          <w:rFonts w:eastAsia="Times New Roman" w:cs="Times New Roman"/>
          <w:lang w:eastAsia="de-DE"/>
        </w:rPr>
        <w:t xml:space="preserve">zeigt die Identität von Blut und Seele in chiasmatischer Umkehrung zu V. 11. </w:t>
      </w:r>
      <w:r w:rsidRPr="00992CEC">
        <w:rPr>
          <w:rFonts w:eastAsia="Times New Roman" w:cs="Times New Roman"/>
          <w:b/>
          <w:bCs/>
          <w:rtl/>
          <w:lang w:eastAsia="de-DE"/>
        </w:rPr>
        <w:t>ואמר</w:t>
      </w:r>
      <w:r w:rsidRPr="00992CEC">
        <w:rPr>
          <w:rFonts w:eastAsia="Times New Roman" w:cs="Times New Roman"/>
          <w:rtl/>
          <w:lang w:eastAsia="de-DE"/>
        </w:rPr>
        <w:t xml:space="preserve"> </w:t>
      </w:r>
      <w:r w:rsidRPr="00992CEC">
        <w:rPr>
          <w:rFonts w:eastAsia="Times New Roman" w:cs="Times New Roman"/>
          <w:lang w:eastAsia="de-DE"/>
        </w:rPr>
        <w:t xml:space="preserve">im Partizip zeigt fortdauernde Verkündigung. </w:t>
      </w:r>
      <w:r w:rsidRPr="00992CEC">
        <w:rPr>
          <w:rFonts w:eastAsia="Times New Roman" w:cs="Times New Roman"/>
          <w:b/>
          <w:bCs/>
          <w:rtl/>
          <w:lang w:eastAsia="de-DE"/>
        </w:rPr>
        <w:t>כל־בשר</w:t>
      </w:r>
      <w:r w:rsidRPr="00992CEC">
        <w:rPr>
          <w:rFonts w:eastAsia="Times New Roman" w:cs="Times New Roman"/>
          <w:rtl/>
          <w:lang w:eastAsia="de-DE"/>
        </w:rPr>
        <w:t xml:space="preserve"> </w:t>
      </w:r>
      <w:r w:rsidRPr="00992CEC">
        <w:rPr>
          <w:rFonts w:eastAsia="Times New Roman" w:cs="Times New Roman"/>
          <w:lang w:eastAsia="de-DE"/>
        </w:rPr>
        <w:t>betont die Universalität des Verbots für alle Fleischarten.</w:t>
      </w:r>
    </w:p>
    <w:p w14:paraId="10B0DBA0" w14:textId="4F55BC18"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wiederholt die Blut-Seele-Verbindung: </w:t>
      </w:r>
      <w:r w:rsidR="00E705C5">
        <w:rPr>
          <w:rtl/>
        </w:rPr>
        <w:t>דמו בנפשו הוא</w:t>
      </w:r>
      <w:r w:rsidR="00E705C5">
        <w:t xml:space="preserve"> (</w:t>
      </w:r>
      <w:proofErr w:type="spellStart"/>
      <w:r w:rsidR="00E705C5">
        <w:t>damo</w:t>
      </w:r>
      <w:proofErr w:type="spellEnd"/>
      <w:r w:rsidR="00E705C5">
        <w:t xml:space="preserve"> </w:t>
      </w:r>
      <w:proofErr w:type="spellStart"/>
      <w:r w:rsidR="00E705C5">
        <w:t>benafysho</w:t>
      </w:r>
      <w:proofErr w:type="spellEnd"/>
      <w:r w:rsidR="00E705C5">
        <w:t xml:space="preserve"> hu - "sein Blut ist seine Seele") als α</w:t>
      </w:r>
      <w:proofErr w:type="spellStart"/>
      <w:r w:rsidR="00E705C5">
        <w:t>ἷμ</w:t>
      </w:r>
      <w:proofErr w:type="spellEnd"/>
      <w:r w:rsidR="00E705C5">
        <w:t>α α</w:t>
      </w:r>
      <w:proofErr w:type="spellStart"/>
      <w:r w:rsidR="00E705C5">
        <w:t>ὐτοῦ</w:t>
      </w:r>
      <w:proofErr w:type="spellEnd"/>
      <w:r w:rsidR="00E705C5">
        <w:t xml:space="preserve"> </w:t>
      </w:r>
      <w:proofErr w:type="spellStart"/>
      <w:r w:rsidR="00E705C5">
        <w:t>ἐστιν</w:t>
      </w:r>
      <w:proofErr w:type="spellEnd"/>
      <w:r w:rsidR="00E705C5">
        <w:t xml:space="preserve"> (sein Blut ist es).</w:t>
      </w:r>
    </w:p>
    <w:p w14:paraId="6BE65121" w14:textId="0514409B"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verstärkte Begründung: chiasmatische Seele-Blut-Formel + andauernde göttliche Verkündigung + universelles Blutverbot + Strafandrohung. Die Struktur betont durch Wiederholung die fundamentale Bedeutung des Blutverbots.</w:t>
      </w:r>
    </w:p>
    <w:p w14:paraId="74FF35E0" w14:textId="098D26A5" w:rsidR="001E05CF" w:rsidRPr="00992CEC" w:rsidRDefault="001E05CF" w:rsidP="00992CEC">
      <w:pPr>
        <w:spacing w:before="100" w:beforeAutospacing="1" w:after="100" w:afterAutospacing="1" w:line="240" w:lineRule="auto"/>
        <w:rPr>
          <w:rFonts w:eastAsia="Times New Roman" w:cs="Times New Roman"/>
          <w:lang w:eastAsia="de-DE"/>
        </w:rPr>
      </w:pPr>
      <w:r>
        <w:t>Begründung: Die Seele allen Fleisches ist sein Blut; daher Blutverbot für alles Fleisch; wer es isst, wird ausgerottet.</w:t>
      </w:r>
    </w:p>
    <w:p w14:paraId="7DC34E2E"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17,15</w:t>
      </w:r>
    </w:p>
    <w:p w14:paraId="489B29D4"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וְכָל־נֶ֗פֶשׁ אֲשֶׁ֨ר תֹּאכַ֤ל נְבֵלָה֙ וּטְרֵפָ֔ה בָּאֶזְרָ֖ח וּבַגֵּ֑ר וְכִבֶּ֨ס בְּגָדָ֜יו וְרָחַ֥ץ בַּמַּ֛יִם וְטָמֵ֥א עַד־הָעֶ֖רֶב וְטָהֵֽר׃</w:t>
      </w:r>
    </w:p>
    <w:p w14:paraId="03A0923F" w14:textId="13295121"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lastRenderedPageBreak/>
        <w:t>Deutsch:</w:t>
      </w:r>
      <w:r w:rsidRPr="00992CEC">
        <w:rPr>
          <w:rFonts w:eastAsia="Times New Roman" w:cs="Times New Roman"/>
          <w:lang w:eastAsia="de-DE"/>
        </w:rPr>
        <w:t xml:space="preserve"> </w:t>
      </w:r>
      <w:r w:rsidR="00CA22AE">
        <w:t>Und jede Seele, die isst Aas oder Zerrissenes, unter dem Einheimischen oder unter dem Fremden, der soll seine Kleider waschen und soll sich baden im Wasser, und soll unrein sein bis zum Abend; dann wird er rein sein.</w:t>
      </w:r>
    </w:p>
    <w:p w14:paraId="42172166"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51CD5B2D">
          <v:rect id="_x0000_i1529" style="width:0;height:1.5pt" o:hralign="center" o:hrstd="t" o:hr="t" fillcolor="#a0a0a0" stroked="f"/>
        </w:pict>
      </w:r>
    </w:p>
    <w:p w14:paraId="0C692DD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וכל־נפש אשר תאכל נבלה וטרפה באזרח ובגר וכבס בגדיו ורחץ במים וטמא עד־הערב וטהר</w:t>
      </w:r>
      <w:r w:rsidRPr="00992CEC">
        <w:rPr>
          <w:rFonts w:eastAsia="Times New Roman" w:cs="Times New Roman"/>
          <w:rtl/>
          <w:lang w:eastAsia="de-DE"/>
        </w:rPr>
        <w:t xml:space="preserve"> </w:t>
      </w:r>
      <w:r w:rsidRPr="00992CEC">
        <w:rPr>
          <w:rFonts w:eastAsia="Times New Roman" w:cs="Times New Roman"/>
          <w:lang w:eastAsia="de-DE"/>
        </w:rPr>
        <w:t xml:space="preserve">behandelt Ausnahmefälle beim Fleischverzehr. </w:t>
      </w:r>
      <w:r w:rsidRPr="00992CEC">
        <w:rPr>
          <w:rFonts w:eastAsia="Times New Roman" w:cs="Times New Roman"/>
          <w:b/>
          <w:bCs/>
          <w:rtl/>
          <w:lang w:eastAsia="de-DE"/>
        </w:rPr>
        <w:t>וכל־נפש אשר תאכל נבלה וטרפה</w:t>
      </w:r>
      <w:r w:rsidRPr="00992CEC">
        <w:rPr>
          <w:rFonts w:eastAsia="Times New Roman" w:cs="Times New Roman"/>
          <w:rtl/>
          <w:lang w:eastAsia="de-DE"/>
        </w:rPr>
        <w:t xml:space="preserve"> </w:t>
      </w:r>
      <w:r w:rsidRPr="00992CEC">
        <w:rPr>
          <w:rFonts w:eastAsia="Times New Roman" w:cs="Times New Roman"/>
          <w:lang w:eastAsia="de-DE"/>
        </w:rPr>
        <w:t xml:space="preserve">(und jede Seele, die Aas oder Zerrissenes isst) - </w:t>
      </w:r>
      <w:r w:rsidRPr="00992CEC">
        <w:rPr>
          <w:rFonts w:eastAsia="Times New Roman" w:cs="Times New Roman"/>
          <w:b/>
          <w:bCs/>
          <w:rtl/>
          <w:lang w:eastAsia="de-DE"/>
        </w:rPr>
        <w:t>תאכל</w:t>
      </w:r>
      <w:r w:rsidRPr="00992CEC">
        <w:rPr>
          <w:rFonts w:eastAsia="Times New Roman" w:cs="Times New Roman"/>
          <w:rtl/>
          <w:lang w:eastAsia="de-DE"/>
        </w:rPr>
        <w:t xml:space="preserve"> </w:t>
      </w:r>
      <w:r w:rsidRPr="00992CEC">
        <w:rPr>
          <w:rFonts w:eastAsia="Times New Roman" w:cs="Times New Roman"/>
          <w:lang w:eastAsia="de-DE"/>
        </w:rPr>
        <w:t xml:space="preserve">(isst) im Qal-Imperfekt zeigt hypothetischen Fall. </w:t>
      </w:r>
      <w:r w:rsidRPr="00992CEC">
        <w:rPr>
          <w:rFonts w:eastAsia="Times New Roman" w:cs="Times New Roman"/>
          <w:b/>
          <w:bCs/>
          <w:rtl/>
          <w:lang w:eastAsia="de-DE"/>
        </w:rPr>
        <w:t>נבלה</w:t>
      </w:r>
      <w:r w:rsidRPr="00992CEC">
        <w:rPr>
          <w:rFonts w:eastAsia="Times New Roman" w:cs="Times New Roman"/>
          <w:rtl/>
          <w:lang w:eastAsia="de-DE"/>
        </w:rPr>
        <w:t xml:space="preserve"> </w:t>
      </w:r>
      <w:r w:rsidRPr="00992CEC">
        <w:rPr>
          <w:rFonts w:eastAsia="Times New Roman" w:cs="Times New Roman"/>
          <w:lang w:eastAsia="de-DE"/>
        </w:rPr>
        <w:t xml:space="preserve">(Aas) als natürlich gestorbenes Tier, </w:t>
      </w:r>
      <w:r w:rsidRPr="00992CEC">
        <w:rPr>
          <w:rFonts w:eastAsia="Times New Roman" w:cs="Times New Roman"/>
          <w:b/>
          <w:bCs/>
          <w:rtl/>
          <w:lang w:eastAsia="de-DE"/>
        </w:rPr>
        <w:t>טרפה</w:t>
      </w:r>
      <w:r w:rsidRPr="00992CEC">
        <w:rPr>
          <w:rFonts w:eastAsia="Times New Roman" w:cs="Times New Roman"/>
          <w:rtl/>
          <w:lang w:eastAsia="de-DE"/>
        </w:rPr>
        <w:t xml:space="preserve"> </w:t>
      </w:r>
      <w:r w:rsidRPr="00992CEC">
        <w:rPr>
          <w:rFonts w:eastAsia="Times New Roman" w:cs="Times New Roman"/>
          <w:lang w:eastAsia="de-DE"/>
        </w:rPr>
        <w:t>(Zerrissenes) als von Raubtieren getötetes Tier.</w:t>
      </w:r>
    </w:p>
    <w:p w14:paraId="3A100DCF"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באזרח ובגר</w:t>
      </w:r>
      <w:r w:rsidRPr="00992CEC">
        <w:rPr>
          <w:rFonts w:eastAsia="Times New Roman" w:cs="Times New Roman"/>
          <w:rtl/>
          <w:lang w:eastAsia="de-DE"/>
        </w:rPr>
        <w:t xml:space="preserve"> </w:t>
      </w:r>
      <w:r w:rsidRPr="00992CEC">
        <w:rPr>
          <w:rFonts w:eastAsia="Times New Roman" w:cs="Times New Roman"/>
          <w:lang w:eastAsia="de-DE"/>
        </w:rPr>
        <w:t xml:space="preserve">(unter dem Einheimischen oder unter dem Fremden) - </w:t>
      </w:r>
      <w:r w:rsidRPr="00992CEC">
        <w:rPr>
          <w:rFonts w:eastAsia="Times New Roman" w:cs="Times New Roman"/>
          <w:b/>
          <w:bCs/>
          <w:rtl/>
          <w:lang w:eastAsia="de-DE"/>
        </w:rPr>
        <w:t>אזרח</w:t>
      </w:r>
      <w:r w:rsidRPr="00992CEC">
        <w:rPr>
          <w:rFonts w:eastAsia="Times New Roman" w:cs="Times New Roman"/>
          <w:rtl/>
          <w:lang w:eastAsia="de-DE"/>
        </w:rPr>
        <w:t xml:space="preserve"> </w:t>
      </w:r>
      <w:r w:rsidRPr="00992CEC">
        <w:rPr>
          <w:rFonts w:eastAsia="Times New Roman" w:cs="Times New Roman"/>
          <w:lang w:eastAsia="de-DE"/>
        </w:rPr>
        <w:t xml:space="preserve">(Einheimischer) im Gegensatz zu </w:t>
      </w:r>
      <w:r w:rsidRPr="00992CEC">
        <w:rPr>
          <w:rFonts w:eastAsia="Times New Roman" w:cs="Times New Roman"/>
          <w:b/>
          <w:bCs/>
          <w:rtl/>
          <w:lang w:eastAsia="de-DE"/>
        </w:rPr>
        <w:t>גר</w:t>
      </w:r>
      <w:r w:rsidRPr="00992CEC">
        <w:rPr>
          <w:rFonts w:eastAsia="Times New Roman" w:cs="Times New Roman"/>
          <w:rtl/>
          <w:lang w:eastAsia="de-DE"/>
        </w:rPr>
        <w:t xml:space="preserve"> </w:t>
      </w:r>
      <w:r w:rsidRPr="00992CEC">
        <w:rPr>
          <w:rFonts w:eastAsia="Times New Roman" w:cs="Times New Roman"/>
          <w:lang w:eastAsia="de-DE"/>
        </w:rPr>
        <w:t xml:space="preserve">(Fremder) zeigt universelle Anwendung. </w:t>
      </w:r>
      <w:r w:rsidRPr="00992CEC">
        <w:rPr>
          <w:rFonts w:eastAsia="Times New Roman" w:cs="Times New Roman"/>
          <w:b/>
          <w:bCs/>
          <w:rtl/>
          <w:lang w:eastAsia="de-DE"/>
        </w:rPr>
        <w:t>וכבס בגדיו ורחץ במים וטמא עד־הערב וטהר</w:t>
      </w:r>
      <w:r w:rsidRPr="00992CEC">
        <w:rPr>
          <w:rFonts w:eastAsia="Times New Roman" w:cs="Times New Roman"/>
          <w:rtl/>
          <w:lang w:eastAsia="de-DE"/>
        </w:rPr>
        <w:t xml:space="preserve"> </w:t>
      </w:r>
      <w:r w:rsidRPr="00992CEC">
        <w:rPr>
          <w:rFonts w:eastAsia="Times New Roman" w:cs="Times New Roman"/>
          <w:lang w:eastAsia="de-DE"/>
        </w:rPr>
        <w:t xml:space="preserve">entspricht den Standardreinigungsverfahren - </w:t>
      </w:r>
      <w:r w:rsidRPr="00992CEC">
        <w:rPr>
          <w:rFonts w:eastAsia="Times New Roman" w:cs="Times New Roman"/>
          <w:b/>
          <w:bCs/>
          <w:rtl/>
          <w:lang w:eastAsia="de-DE"/>
        </w:rPr>
        <w:t>כבס</w:t>
      </w:r>
      <w:r w:rsidRPr="00992CEC">
        <w:rPr>
          <w:rFonts w:eastAsia="Times New Roman" w:cs="Times New Roman"/>
          <w:rtl/>
          <w:lang w:eastAsia="de-DE"/>
        </w:rPr>
        <w:t xml:space="preserve"> </w:t>
      </w:r>
      <w:r w:rsidRPr="00992CEC">
        <w:rPr>
          <w:rFonts w:eastAsia="Times New Roman" w:cs="Times New Roman"/>
          <w:lang w:eastAsia="de-DE"/>
        </w:rPr>
        <w:t xml:space="preserve">(waschen) im Piel-Perfekt mit Waw-Konsekutiv, das Piel zeigt intensive Reinigung. </w:t>
      </w:r>
      <w:r w:rsidRPr="00992CEC">
        <w:rPr>
          <w:rFonts w:eastAsia="Times New Roman" w:cs="Times New Roman"/>
          <w:b/>
          <w:bCs/>
          <w:rtl/>
          <w:lang w:eastAsia="de-DE"/>
        </w:rPr>
        <w:t>ורחץ</w:t>
      </w:r>
      <w:r w:rsidRPr="00992CEC">
        <w:rPr>
          <w:rFonts w:eastAsia="Times New Roman" w:cs="Times New Roman"/>
          <w:rtl/>
          <w:lang w:eastAsia="de-DE"/>
        </w:rPr>
        <w:t xml:space="preserve"> </w:t>
      </w:r>
      <w:r w:rsidRPr="00992CEC">
        <w:rPr>
          <w:rFonts w:eastAsia="Times New Roman" w:cs="Times New Roman"/>
          <w:lang w:eastAsia="de-DE"/>
        </w:rPr>
        <w:t xml:space="preserve">(und baden) im Qal-Perfekt mit Waw-Konsekutiv. </w:t>
      </w:r>
      <w:r w:rsidRPr="00992CEC">
        <w:rPr>
          <w:rFonts w:eastAsia="Times New Roman" w:cs="Times New Roman"/>
          <w:b/>
          <w:bCs/>
          <w:rtl/>
          <w:lang w:eastAsia="de-DE"/>
        </w:rPr>
        <w:t>וטהר</w:t>
      </w:r>
      <w:r w:rsidRPr="00992CEC">
        <w:rPr>
          <w:rFonts w:eastAsia="Times New Roman" w:cs="Times New Roman"/>
          <w:rtl/>
          <w:lang w:eastAsia="de-DE"/>
        </w:rPr>
        <w:t xml:space="preserve"> </w:t>
      </w:r>
      <w:r w:rsidRPr="00992CEC">
        <w:rPr>
          <w:rFonts w:eastAsia="Times New Roman" w:cs="Times New Roman"/>
          <w:lang w:eastAsia="de-DE"/>
        </w:rPr>
        <w:t>(dann wird er rein sein) im Qal-Perfekt mit Waw-Konsekutiv zeigt vollständige Reinigung.</w:t>
      </w:r>
    </w:p>
    <w:p w14:paraId="14EE9857"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נבלה וטרפה</w:t>
      </w:r>
      <w:r w:rsidRPr="00992CEC">
        <w:rPr>
          <w:rFonts w:eastAsia="Times New Roman" w:cs="Times New Roman"/>
          <w:rtl/>
          <w:lang w:eastAsia="de-DE"/>
        </w:rPr>
        <w:t xml:space="preserve"> </w:t>
      </w:r>
      <w:r w:rsidRPr="00992CEC">
        <w:rPr>
          <w:rFonts w:eastAsia="Times New Roman" w:cs="Times New Roman"/>
          <w:lang w:eastAsia="de-DE"/>
        </w:rPr>
        <w:t xml:space="preserve">als Kategorien unerlaubten Fleisches, die trotzdem nur Unreinheit (nicht Ausrottung) bewirken. </w:t>
      </w:r>
      <w:r w:rsidRPr="00992CEC">
        <w:rPr>
          <w:rFonts w:eastAsia="Times New Roman" w:cs="Times New Roman"/>
          <w:b/>
          <w:bCs/>
          <w:rtl/>
          <w:lang w:eastAsia="de-DE"/>
        </w:rPr>
        <w:t>באזרח ובגר</w:t>
      </w:r>
      <w:r w:rsidRPr="00992CEC">
        <w:rPr>
          <w:rFonts w:eastAsia="Times New Roman" w:cs="Times New Roman"/>
          <w:rtl/>
          <w:lang w:eastAsia="de-DE"/>
        </w:rPr>
        <w:t xml:space="preserve"> </w:t>
      </w:r>
      <w:r w:rsidRPr="00992CEC">
        <w:rPr>
          <w:rFonts w:eastAsia="Times New Roman" w:cs="Times New Roman"/>
          <w:lang w:eastAsia="de-DE"/>
        </w:rPr>
        <w:t>zeigt, dass auch Fremde denselben Reinigungsgesetzen unterliegen. Die Reinigungssequenz entspricht anderen Unreinheitsfällen.</w:t>
      </w:r>
    </w:p>
    <w:p w14:paraId="205708CA" w14:textId="74D113C2"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w:t>
      </w:r>
      <w:r w:rsidR="00E705C5">
        <w:t xml:space="preserve">übersetzt </w:t>
      </w:r>
      <w:r w:rsidR="00E705C5">
        <w:rPr>
          <w:rtl/>
        </w:rPr>
        <w:t>נבלה</w:t>
      </w:r>
      <w:r w:rsidR="00E705C5">
        <w:t xml:space="preserve"> (</w:t>
      </w:r>
      <w:proofErr w:type="spellStart"/>
      <w:r w:rsidR="00E705C5">
        <w:t>nevela</w:t>
      </w:r>
      <w:proofErr w:type="spellEnd"/>
      <w:r w:rsidR="00E705C5">
        <w:t xml:space="preserve"> - "Aas") als </w:t>
      </w:r>
      <w:proofErr w:type="spellStart"/>
      <w:r w:rsidR="00E705C5">
        <w:t>θνησιμ</w:t>
      </w:r>
      <w:proofErr w:type="spellEnd"/>
      <w:r w:rsidR="00E705C5">
        <w:t xml:space="preserve">αῖον (natürlich Gestorbenes) und </w:t>
      </w:r>
      <w:r w:rsidR="00E705C5">
        <w:rPr>
          <w:rtl/>
        </w:rPr>
        <w:t>טרפה</w:t>
      </w:r>
      <w:r w:rsidR="00E705C5">
        <w:t xml:space="preserve"> (</w:t>
      </w:r>
      <w:proofErr w:type="spellStart"/>
      <w:r w:rsidR="00E705C5">
        <w:t>terefa</w:t>
      </w:r>
      <w:proofErr w:type="spellEnd"/>
      <w:r w:rsidR="00E705C5">
        <w:t xml:space="preserve"> - "Zerrissenes") als </w:t>
      </w:r>
      <w:proofErr w:type="spellStart"/>
      <w:r w:rsidR="00E705C5">
        <w:t>θηριάλωτον</w:t>
      </w:r>
      <w:proofErr w:type="spellEnd"/>
      <w:r w:rsidR="00E705C5">
        <w:t xml:space="preserve"> (von wilden Tieren Gefangenes/Getötetes), was spezifischere griechische Kategorien verwendet.</w:t>
      </w:r>
    </w:p>
    <w:p w14:paraId="45F8F64A" w14:textId="7C2EB9D3"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Unreinheitsfall: universelle Personenerfassung + unerlaubte Fleischarten + Standardreinigungsverfahren + Reinheitswiederherstellung. Die Struktur zeigt mildere Behandlung unabsichtlicher Verstöße.</w:t>
      </w:r>
    </w:p>
    <w:p w14:paraId="279BDC53" w14:textId="55D0C7E2" w:rsidR="001E05CF" w:rsidRPr="00992CEC" w:rsidRDefault="001E05CF" w:rsidP="00992CEC">
      <w:pPr>
        <w:spacing w:before="100" w:beforeAutospacing="1" w:after="100" w:afterAutospacing="1" w:line="240" w:lineRule="auto"/>
        <w:rPr>
          <w:rFonts w:eastAsia="Times New Roman" w:cs="Times New Roman"/>
          <w:lang w:eastAsia="de-DE"/>
        </w:rPr>
      </w:pPr>
      <w:r>
        <w:t>Wer Aas oder Zerrissenes isst (Einheimischer oder Fremder), wird unrein bis zum Abend und muss sich waschen.</w:t>
      </w:r>
    </w:p>
    <w:p w14:paraId="7B0D449A" w14:textId="77777777" w:rsidR="00992CEC" w:rsidRPr="00992CEC" w:rsidRDefault="00992CEC" w:rsidP="00992CEC">
      <w:pPr>
        <w:spacing w:before="100" w:beforeAutospacing="1" w:after="100" w:afterAutospacing="1" w:line="240" w:lineRule="auto"/>
        <w:outlineLvl w:val="1"/>
        <w:rPr>
          <w:rFonts w:eastAsia="Times New Roman" w:cs="Times New Roman"/>
          <w:b/>
          <w:bCs/>
          <w:sz w:val="36"/>
          <w:szCs w:val="36"/>
          <w:lang w:eastAsia="de-DE"/>
        </w:rPr>
      </w:pPr>
      <w:r w:rsidRPr="00992CEC">
        <w:rPr>
          <w:rFonts w:eastAsia="Times New Roman" w:cs="Times New Roman"/>
          <w:b/>
          <w:bCs/>
          <w:sz w:val="36"/>
          <w:szCs w:val="36"/>
          <w:lang w:eastAsia="de-DE"/>
        </w:rPr>
        <w:t>Leviticus 17,16</w:t>
      </w:r>
    </w:p>
    <w:p w14:paraId="470DD256"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Hebräisch:</w:t>
      </w:r>
      <w:r w:rsidRPr="00992CEC">
        <w:rPr>
          <w:rFonts w:eastAsia="Times New Roman" w:cs="Times New Roman"/>
          <w:lang w:eastAsia="de-DE"/>
        </w:rPr>
        <w:t xml:space="preserve"> </w:t>
      </w:r>
      <w:r w:rsidRPr="00992CEC">
        <w:rPr>
          <w:rFonts w:eastAsia="Times New Roman" w:cs="Times New Roman"/>
          <w:rtl/>
          <w:lang w:eastAsia="de-DE"/>
        </w:rPr>
        <w:t>וְאִם֙ לֹ֣א יְכַבֵּ֔ס וּבְשָׂרֹ֖ו לֹ֣א יִרְחָ֑ץ וְנָשָׂ֖א עֲוֹנֹֽו׃ פ</w:t>
      </w:r>
    </w:p>
    <w:p w14:paraId="784B19F6" w14:textId="6AF64A94"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Deutsch:</w:t>
      </w:r>
      <w:r w:rsidRPr="00992CEC">
        <w:rPr>
          <w:rFonts w:eastAsia="Times New Roman" w:cs="Times New Roman"/>
          <w:lang w:eastAsia="de-DE"/>
        </w:rPr>
        <w:t xml:space="preserve"> </w:t>
      </w:r>
      <w:r w:rsidR="00CA22AE">
        <w:t>Und wenn er sie nicht wäscht und sein Fleisch nicht badet, so soll er seine Schuld tragen.</w:t>
      </w:r>
    </w:p>
    <w:p w14:paraId="742FE1B5" w14:textId="77777777" w:rsidR="00992CEC" w:rsidRPr="00992CEC" w:rsidRDefault="00A57720" w:rsidP="00992CEC">
      <w:pPr>
        <w:spacing w:after="0" w:line="240" w:lineRule="auto"/>
        <w:rPr>
          <w:rFonts w:eastAsia="Times New Roman" w:cs="Times New Roman"/>
          <w:lang w:eastAsia="de-DE"/>
        </w:rPr>
      </w:pPr>
      <w:r>
        <w:rPr>
          <w:rFonts w:eastAsia="Times New Roman" w:cs="Times New Roman"/>
          <w:noProof/>
          <w:lang w:eastAsia="de-DE"/>
        </w:rPr>
        <w:pict w14:anchorId="4E2FACCE">
          <v:rect id="_x0000_i1530" style="width:0;height:1.5pt" o:hralign="center" o:hrstd="t" o:hr="t" fillcolor="#a0a0a0" stroked="f"/>
        </w:pict>
      </w:r>
    </w:p>
    <w:p w14:paraId="6BF2D9F5"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Kommentar:</w:t>
      </w:r>
      <w:r w:rsidRPr="00992CEC">
        <w:rPr>
          <w:rFonts w:eastAsia="Times New Roman" w:cs="Times New Roman"/>
          <w:lang w:eastAsia="de-DE"/>
        </w:rPr>
        <w:t xml:space="preserve"> </w:t>
      </w:r>
      <w:r w:rsidRPr="00992CEC">
        <w:rPr>
          <w:rFonts w:eastAsia="Times New Roman" w:cs="Times New Roman"/>
          <w:b/>
          <w:bCs/>
          <w:rtl/>
          <w:lang w:eastAsia="de-DE"/>
        </w:rPr>
        <w:t>ואם לא יכבס ובשרו לא ירחץ ונשא עונו</w:t>
      </w:r>
      <w:r w:rsidRPr="00992CEC">
        <w:rPr>
          <w:rFonts w:eastAsia="Times New Roman" w:cs="Times New Roman"/>
          <w:rtl/>
          <w:lang w:eastAsia="de-DE"/>
        </w:rPr>
        <w:t xml:space="preserve"> </w:t>
      </w:r>
      <w:r w:rsidRPr="00992CEC">
        <w:rPr>
          <w:rFonts w:eastAsia="Times New Roman" w:cs="Times New Roman"/>
          <w:lang w:eastAsia="de-DE"/>
        </w:rPr>
        <w:t xml:space="preserve">zeigt die Konsequenz unterlassener Reinigung. </w:t>
      </w:r>
      <w:r w:rsidRPr="00992CEC">
        <w:rPr>
          <w:rFonts w:eastAsia="Times New Roman" w:cs="Times New Roman"/>
          <w:b/>
          <w:bCs/>
          <w:rtl/>
          <w:lang w:eastAsia="de-DE"/>
        </w:rPr>
        <w:t>ואם לא יכבס ובשרו לא ירחץ</w:t>
      </w:r>
      <w:r w:rsidRPr="00992CEC">
        <w:rPr>
          <w:rFonts w:eastAsia="Times New Roman" w:cs="Times New Roman"/>
          <w:rtl/>
          <w:lang w:eastAsia="de-DE"/>
        </w:rPr>
        <w:t xml:space="preserve"> </w:t>
      </w:r>
      <w:r w:rsidRPr="00992CEC">
        <w:rPr>
          <w:rFonts w:eastAsia="Times New Roman" w:cs="Times New Roman"/>
          <w:lang w:eastAsia="de-DE"/>
        </w:rPr>
        <w:t xml:space="preserve">(und wenn er nicht wäscht und sein Fleisch nicht badet) negiert die Reinigungsmaßnahmen aus V. 15. </w:t>
      </w:r>
      <w:r w:rsidRPr="00992CEC">
        <w:rPr>
          <w:rFonts w:eastAsia="Times New Roman" w:cs="Times New Roman"/>
          <w:b/>
          <w:bCs/>
          <w:rtl/>
          <w:lang w:eastAsia="de-DE"/>
        </w:rPr>
        <w:t>יכבס</w:t>
      </w:r>
      <w:r w:rsidRPr="00992CEC">
        <w:rPr>
          <w:rFonts w:eastAsia="Times New Roman" w:cs="Times New Roman"/>
          <w:rtl/>
          <w:lang w:eastAsia="de-DE"/>
        </w:rPr>
        <w:t xml:space="preserve"> </w:t>
      </w:r>
      <w:r w:rsidRPr="00992CEC">
        <w:rPr>
          <w:rFonts w:eastAsia="Times New Roman" w:cs="Times New Roman"/>
          <w:lang w:eastAsia="de-DE"/>
        </w:rPr>
        <w:t xml:space="preserve">(er wäscht) im Piel-Imperfekt, </w:t>
      </w:r>
      <w:r w:rsidRPr="00992CEC">
        <w:rPr>
          <w:rFonts w:eastAsia="Times New Roman" w:cs="Times New Roman"/>
          <w:b/>
          <w:bCs/>
          <w:rtl/>
          <w:lang w:eastAsia="de-DE"/>
        </w:rPr>
        <w:t>ירחץ</w:t>
      </w:r>
      <w:r w:rsidRPr="00992CEC">
        <w:rPr>
          <w:rFonts w:eastAsia="Times New Roman" w:cs="Times New Roman"/>
          <w:rtl/>
          <w:lang w:eastAsia="de-DE"/>
        </w:rPr>
        <w:t xml:space="preserve"> </w:t>
      </w:r>
      <w:r w:rsidRPr="00992CEC">
        <w:rPr>
          <w:rFonts w:eastAsia="Times New Roman" w:cs="Times New Roman"/>
          <w:lang w:eastAsia="de-DE"/>
        </w:rPr>
        <w:t>(er badet) im Qal-Imperfekt.</w:t>
      </w:r>
    </w:p>
    <w:p w14:paraId="5EA079EC"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lastRenderedPageBreak/>
        <w:t>ונשא עונו</w:t>
      </w:r>
      <w:r w:rsidRPr="00992CEC">
        <w:rPr>
          <w:rFonts w:eastAsia="Times New Roman" w:cs="Times New Roman"/>
          <w:rtl/>
          <w:lang w:eastAsia="de-DE"/>
        </w:rPr>
        <w:t xml:space="preserve"> </w:t>
      </w:r>
      <w:r w:rsidRPr="00992CEC">
        <w:rPr>
          <w:rFonts w:eastAsia="Times New Roman" w:cs="Times New Roman"/>
          <w:lang w:eastAsia="de-DE"/>
        </w:rPr>
        <w:t xml:space="preserve">(so soll er seine Schuld tragen) - </w:t>
      </w:r>
      <w:r w:rsidRPr="00992CEC">
        <w:rPr>
          <w:rFonts w:eastAsia="Times New Roman" w:cs="Times New Roman"/>
          <w:b/>
          <w:bCs/>
          <w:rtl/>
          <w:lang w:eastAsia="de-DE"/>
        </w:rPr>
        <w:t>ונשא</w:t>
      </w:r>
      <w:r w:rsidRPr="00992CEC">
        <w:rPr>
          <w:rFonts w:eastAsia="Times New Roman" w:cs="Times New Roman"/>
          <w:rtl/>
          <w:lang w:eastAsia="de-DE"/>
        </w:rPr>
        <w:t xml:space="preserve"> </w:t>
      </w:r>
      <w:r w:rsidRPr="00992CEC">
        <w:rPr>
          <w:rFonts w:eastAsia="Times New Roman" w:cs="Times New Roman"/>
          <w:lang w:eastAsia="de-DE"/>
        </w:rPr>
        <w:t xml:space="preserve">(und er soll tragen) im Qal-Perfekt mit Waw-Konsekutiv. </w:t>
      </w:r>
      <w:r w:rsidRPr="00992CEC">
        <w:rPr>
          <w:rFonts w:eastAsia="Times New Roman" w:cs="Times New Roman"/>
          <w:b/>
          <w:bCs/>
          <w:rtl/>
          <w:lang w:eastAsia="de-DE"/>
        </w:rPr>
        <w:t>עונו</w:t>
      </w:r>
      <w:r w:rsidRPr="00992CEC">
        <w:rPr>
          <w:rFonts w:eastAsia="Times New Roman" w:cs="Times New Roman"/>
          <w:rtl/>
          <w:lang w:eastAsia="de-DE"/>
        </w:rPr>
        <w:t xml:space="preserve"> </w:t>
      </w:r>
      <w:r w:rsidRPr="00992CEC">
        <w:rPr>
          <w:rFonts w:eastAsia="Times New Roman" w:cs="Times New Roman"/>
          <w:lang w:eastAsia="de-DE"/>
        </w:rPr>
        <w:t xml:space="preserve">(seine Schuld) zeigt die Konsequenz der Unterlassung. </w:t>
      </w:r>
      <w:r w:rsidRPr="00992CEC">
        <w:rPr>
          <w:rFonts w:eastAsia="Times New Roman" w:cs="Times New Roman"/>
          <w:b/>
          <w:bCs/>
          <w:rtl/>
          <w:lang w:eastAsia="de-DE"/>
        </w:rPr>
        <w:t>נשא עון</w:t>
      </w:r>
      <w:r w:rsidRPr="00992CEC">
        <w:rPr>
          <w:rFonts w:eastAsia="Times New Roman" w:cs="Times New Roman"/>
          <w:rtl/>
          <w:lang w:eastAsia="de-DE"/>
        </w:rPr>
        <w:t xml:space="preserve"> </w:t>
      </w:r>
      <w:r w:rsidRPr="00992CEC">
        <w:rPr>
          <w:rFonts w:eastAsia="Times New Roman" w:cs="Times New Roman"/>
          <w:lang w:eastAsia="de-DE"/>
        </w:rPr>
        <w:t>als Idiom für "Schuld/Strafe tragen".</w:t>
      </w:r>
    </w:p>
    <w:p w14:paraId="4D723E8E"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rtl/>
          <w:lang w:eastAsia="de-DE"/>
        </w:rPr>
        <w:t>לא יכבס ובשרו לא ירחץ</w:t>
      </w:r>
      <w:r w:rsidRPr="00992CEC">
        <w:rPr>
          <w:rFonts w:eastAsia="Times New Roman" w:cs="Times New Roman"/>
          <w:rtl/>
          <w:lang w:eastAsia="de-DE"/>
        </w:rPr>
        <w:t xml:space="preserve"> </w:t>
      </w:r>
      <w:r w:rsidRPr="00992CEC">
        <w:rPr>
          <w:rFonts w:eastAsia="Times New Roman" w:cs="Times New Roman"/>
          <w:lang w:eastAsia="de-DE"/>
        </w:rPr>
        <w:t xml:space="preserve">zeigt bewusste Unterlassung der Reinigungspflicht. </w:t>
      </w:r>
      <w:r w:rsidRPr="00992CEC">
        <w:rPr>
          <w:rFonts w:eastAsia="Times New Roman" w:cs="Times New Roman"/>
          <w:b/>
          <w:bCs/>
          <w:rtl/>
          <w:lang w:eastAsia="de-DE"/>
        </w:rPr>
        <w:t>ונשא עונו</w:t>
      </w:r>
      <w:r w:rsidRPr="00992CEC">
        <w:rPr>
          <w:rFonts w:eastAsia="Times New Roman" w:cs="Times New Roman"/>
          <w:rtl/>
          <w:lang w:eastAsia="de-DE"/>
        </w:rPr>
        <w:t xml:space="preserve"> </w:t>
      </w:r>
      <w:r w:rsidRPr="00992CEC">
        <w:rPr>
          <w:rFonts w:eastAsia="Times New Roman" w:cs="Times New Roman"/>
          <w:lang w:eastAsia="de-DE"/>
        </w:rPr>
        <w:t>als mildere Strafe (Schuldtragen statt Ausrottung) zeigt den Unterschied zwischen Unterlassung und aktiver Übertretung.</w:t>
      </w:r>
    </w:p>
    <w:p w14:paraId="32D6B609" w14:textId="77777777" w:rsidR="00992CEC" w:rsidRP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LXX</w:t>
      </w:r>
      <w:r w:rsidRPr="00992CEC">
        <w:rPr>
          <w:rFonts w:eastAsia="Times New Roman" w:cs="Times New Roman"/>
          <w:lang w:eastAsia="de-DE"/>
        </w:rPr>
        <w:t xml:space="preserve"> übersetzt </w:t>
      </w:r>
      <w:r w:rsidRPr="00992CEC">
        <w:rPr>
          <w:rFonts w:eastAsia="Times New Roman" w:cs="Times New Roman"/>
          <w:b/>
          <w:bCs/>
          <w:rtl/>
          <w:lang w:eastAsia="de-DE"/>
        </w:rPr>
        <w:t>יכבס</w:t>
      </w:r>
      <w:r w:rsidRPr="00992CEC">
        <w:rPr>
          <w:rFonts w:eastAsia="Times New Roman" w:cs="Times New Roman"/>
          <w:rtl/>
          <w:lang w:eastAsia="de-DE"/>
        </w:rPr>
        <w:t xml:space="preserve"> </w:t>
      </w:r>
      <w:r w:rsidRPr="00992CEC">
        <w:rPr>
          <w:rFonts w:eastAsia="Times New Roman" w:cs="Times New Roman"/>
          <w:lang w:eastAsia="de-DE"/>
        </w:rPr>
        <w:t>mit π</w:t>
      </w:r>
      <w:proofErr w:type="spellStart"/>
      <w:r w:rsidRPr="00992CEC">
        <w:rPr>
          <w:rFonts w:eastAsia="Times New Roman" w:cs="Times New Roman"/>
          <w:lang w:eastAsia="de-DE"/>
        </w:rPr>
        <w:t>λύνῃ</w:t>
      </w:r>
      <w:proofErr w:type="spellEnd"/>
      <w:r w:rsidRPr="00992CEC">
        <w:rPr>
          <w:rFonts w:eastAsia="Times New Roman" w:cs="Times New Roman"/>
          <w:lang w:eastAsia="de-DE"/>
        </w:rPr>
        <w:t xml:space="preserve"> (er wäscht), </w:t>
      </w:r>
      <w:r w:rsidRPr="00992CEC">
        <w:rPr>
          <w:rFonts w:eastAsia="Times New Roman" w:cs="Times New Roman"/>
          <w:b/>
          <w:bCs/>
          <w:rtl/>
          <w:lang w:eastAsia="de-DE"/>
        </w:rPr>
        <w:t>ירחץ</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λούσητ</w:t>
      </w:r>
      <w:proofErr w:type="spellEnd"/>
      <w:r w:rsidRPr="00992CEC">
        <w:rPr>
          <w:rFonts w:eastAsia="Times New Roman" w:cs="Times New Roman"/>
          <w:lang w:eastAsia="de-DE"/>
        </w:rPr>
        <w:t xml:space="preserve">αι (er badet) und </w:t>
      </w:r>
      <w:r w:rsidRPr="00992CEC">
        <w:rPr>
          <w:rFonts w:eastAsia="Times New Roman" w:cs="Times New Roman"/>
          <w:b/>
          <w:bCs/>
          <w:rtl/>
          <w:lang w:eastAsia="de-DE"/>
        </w:rPr>
        <w:t>ונשא עונו</w:t>
      </w:r>
      <w:r w:rsidRPr="00992CEC">
        <w:rPr>
          <w:rFonts w:eastAsia="Times New Roman" w:cs="Times New Roman"/>
          <w:rtl/>
          <w:lang w:eastAsia="de-DE"/>
        </w:rPr>
        <w:t xml:space="preserve"> </w:t>
      </w:r>
      <w:r w:rsidRPr="00992CEC">
        <w:rPr>
          <w:rFonts w:eastAsia="Times New Roman" w:cs="Times New Roman"/>
          <w:lang w:eastAsia="de-DE"/>
        </w:rPr>
        <w:t xml:space="preserve">mit </w:t>
      </w:r>
      <w:proofErr w:type="spellStart"/>
      <w:r w:rsidRPr="00992CEC">
        <w:rPr>
          <w:rFonts w:eastAsia="Times New Roman" w:cs="Times New Roman"/>
          <w:lang w:eastAsia="de-DE"/>
        </w:rPr>
        <w:t>λήμψετ</w:t>
      </w:r>
      <w:proofErr w:type="spellEnd"/>
      <w:r w:rsidRPr="00992CEC">
        <w:rPr>
          <w:rFonts w:eastAsia="Times New Roman" w:cs="Times New Roman"/>
          <w:lang w:eastAsia="de-DE"/>
        </w:rPr>
        <w:t xml:space="preserve">αι </w:t>
      </w:r>
      <w:proofErr w:type="spellStart"/>
      <w:r w:rsidRPr="00992CEC">
        <w:rPr>
          <w:rFonts w:eastAsia="Times New Roman" w:cs="Times New Roman"/>
          <w:lang w:eastAsia="de-DE"/>
        </w:rPr>
        <w:t>τὴν</w:t>
      </w:r>
      <w:proofErr w:type="spellEnd"/>
      <w:r w:rsidRPr="00992CEC">
        <w:rPr>
          <w:rFonts w:eastAsia="Times New Roman" w:cs="Times New Roman"/>
          <w:lang w:eastAsia="de-DE"/>
        </w:rPr>
        <w:t xml:space="preserve"> </w:t>
      </w:r>
      <w:proofErr w:type="spellStart"/>
      <w:r w:rsidRPr="00992CEC">
        <w:rPr>
          <w:rFonts w:eastAsia="Times New Roman" w:cs="Times New Roman"/>
          <w:lang w:eastAsia="de-DE"/>
        </w:rPr>
        <w:t>ἁμ</w:t>
      </w:r>
      <w:proofErr w:type="spellEnd"/>
      <w:r w:rsidRPr="00992CEC">
        <w:rPr>
          <w:rFonts w:eastAsia="Times New Roman" w:cs="Times New Roman"/>
          <w:lang w:eastAsia="de-DE"/>
        </w:rPr>
        <w:t>αρτίαν α</w:t>
      </w:r>
      <w:proofErr w:type="spellStart"/>
      <w:r w:rsidRPr="00992CEC">
        <w:rPr>
          <w:rFonts w:eastAsia="Times New Roman" w:cs="Times New Roman"/>
          <w:lang w:eastAsia="de-DE"/>
        </w:rPr>
        <w:t>ὐτοῦ</w:t>
      </w:r>
      <w:proofErr w:type="spellEnd"/>
      <w:r w:rsidRPr="00992CEC">
        <w:rPr>
          <w:rFonts w:eastAsia="Times New Roman" w:cs="Times New Roman"/>
          <w:lang w:eastAsia="de-DE"/>
        </w:rPr>
        <w:t xml:space="preserve"> (er wird seine Sünde tragen).</w:t>
      </w:r>
    </w:p>
    <w:p w14:paraId="7212590C" w14:textId="01F9EE4B"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b/>
          <w:bCs/>
          <w:lang w:eastAsia="de-DE"/>
        </w:rPr>
        <w:t>Die Satzstruktur:</w:t>
      </w:r>
      <w:r w:rsidRPr="00992CEC">
        <w:rPr>
          <w:rFonts w:eastAsia="Times New Roman" w:cs="Times New Roman"/>
          <w:lang w:eastAsia="de-DE"/>
        </w:rPr>
        <w:t xml:space="preserve"> zeigt Unterlassungskonsequenz: unterlassene Reinigungsmaßnahmen + Schuldtragung. Die knappe Struktur betont die einfache Kausalität zwischen Unterlassung und Schuld.</w:t>
      </w:r>
    </w:p>
    <w:p w14:paraId="6C37752E" w14:textId="3A224C05" w:rsidR="001E05CF" w:rsidRPr="00992CEC" w:rsidRDefault="001E05CF" w:rsidP="00992CEC">
      <w:pPr>
        <w:spacing w:before="100" w:beforeAutospacing="1" w:after="100" w:afterAutospacing="1" w:line="240" w:lineRule="auto"/>
        <w:rPr>
          <w:rFonts w:eastAsia="Times New Roman" w:cs="Times New Roman"/>
          <w:lang w:eastAsia="de-DE"/>
        </w:rPr>
      </w:pPr>
      <w:r>
        <w:t>Wer sich nicht reinigt, trägt seine Schuld selbst.</w:t>
      </w:r>
    </w:p>
    <w:p w14:paraId="7109DDD7" w14:textId="77777777" w:rsidR="00992CEC" w:rsidRDefault="00992CEC" w:rsidP="00992CEC">
      <w:pPr>
        <w:pStyle w:val="KeinLeerraum"/>
        <w:rPr>
          <w:lang w:eastAsia="de-DE"/>
        </w:rPr>
      </w:pPr>
      <w:r w:rsidRPr="00992CEC">
        <w:rPr>
          <w:lang w:eastAsia="de-DE"/>
        </w:rPr>
        <w:t xml:space="preserve">Kapitel 17 etabliert fundamentale Regelungen für </w:t>
      </w:r>
      <w:r w:rsidRPr="00992CEC">
        <w:rPr>
          <w:b/>
          <w:bCs/>
          <w:lang w:eastAsia="de-DE"/>
        </w:rPr>
        <w:t>Schlachtung</w:t>
      </w:r>
      <w:r w:rsidRPr="00992CEC">
        <w:rPr>
          <w:lang w:eastAsia="de-DE"/>
        </w:rPr>
        <w:t xml:space="preserve"> und </w:t>
      </w:r>
      <w:r w:rsidRPr="00992CEC">
        <w:rPr>
          <w:b/>
          <w:bCs/>
          <w:lang w:eastAsia="de-DE"/>
        </w:rPr>
        <w:t>Blutverzehr</w:t>
      </w:r>
      <w:r w:rsidRPr="00992CEC">
        <w:rPr>
          <w:lang w:eastAsia="de-DE"/>
        </w:rPr>
        <w:t xml:space="preserve">, die das israelitische Opfer- und Speisesystem revolutionieren. Die Struktur zeigt: </w:t>
      </w:r>
    </w:p>
    <w:p w14:paraId="42D14D75" w14:textId="77777777" w:rsidR="00125C26" w:rsidRDefault="00125C26" w:rsidP="00992CEC">
      <w:pPr>
        <w:pStyle w:val="KeinLeerraum"/>
        <w:rPr>
          <w:b/>
          <w:bCs/>
          <w:lang w:eastAsia="de-DE"/>
        </w:rPr>
      </w:pPr>
    </w:p>
    <w:p w14:paraId="6793E6A3" w14:textId="66D2DF67" w:rsidR="00992CEC" w:rsidRPr="00992CEC" w:rsidRDefault="00992CEC" w:rsidP="00992CEC">
      <w:pPr>
        <w:pStyle w:val="KeinLeerraum"/>
        <w:rPr>
          <w:lang w:eastAsia="de-DE"/>
        </w:rPr>
      </w:pPr>
      <w:r w:rsidRPr="00992CEC">
        <w:rPr>
          <w:b/>
          <w:bCs/>
          <w:lang w:eastAsia="de-DE"/>
        </w:rPr>
        <w:t>1) Schlachtungszentralisierung</w:t>
      </w:r>
      <w:r w:rsidRPr="00992CEC">
        <w:rPr>
          <w:lang w:eastAsia="de-DE"/>
        </w:rPr>
        <w:t xml:space="preserve"> (V. 1-7): Alle Schlachtungen von Rindern, Schafen und Ziegen müssen am Heiligtum erfolgen und als Friedensopfer dargebracht werden. Dezentrale Schlachtung wird als </w:t>
      </w:r>
      <w:r w:rsidRPr="00992CEC">
        <w:rPr>
          <w:b/>
          <w:bCs/>
          <w:lang w:eastAsia="de-DE"/>
        </w:rPr>
        <w:t>Mord</w:t>
      </w:r>
      <w:r w:rsidRPr="00992CEC">
        <w:rPr>
          <w:lang w:eastAsia="de-DE"/>
        </w:rPr>
        <w:t xml:space="preserve"> klassifiziert und mit </w:t>
      </w:r>
      <w:r w:rsidRPr="00992CEC">
        <w:rPr>
          <w:b/>
          <w:bCs/>
          <w:lang w:eastAsia="de-DE"/>
        </w:rPr>
        <w:t>Ausrottung</w:t>
      </w:r>
      <w:r w:rsidRPr="00992CEC">
        <w:rPr>
          <w:lang w:eastAsia="de-DE"/>
        </w:rPr>
        <w:t xml:space="preserve"> bestraft. Der eigentliche Zweck: Bekämpfung der </w:t>
      </w:r>
      <w:r w:rsidRPr="00992CEC">
        <w:rPr>
          <w:b/>
          <w:bCs/>
          <w:lang w:eastAsia="de-DE"/>
        </w:rPr>
        <w:t>Dämonenverehrung</w:t>
      </w:r>
      <w:r w:rsidRPr="00992CEC">
        <w:rPr>
          <w:lang w:eastAsia="de-DE"/>
        </w:rPr>
        <w:t xml:space="preserve"> (</w:t>
      </w:r>
      <w:r w:rsidRPr="00992CEC">
        <w:rPr>
          <w:b/>
          <w:bCs/>
          <w:rtl/>
          <w:lang w:eastAsia="de-DE"/>
        </w:rPr>
        <w:t>שעירם</w:t>
      </w:r>
      <w:r w:rsidRPr="00992CEC">
        <w:rPr>
          <w:lang w:eastAsia="de-DE"/>
        </w:rPr>
        <w:t>), der die Israeliten durch dezentrale Opfer "nachhuren".</w:t>
      </w:r>
    </w:p>
    <w:p w14:paraId="651AC4F1" w14:textId="77777777" w:rsidR="00125C26" w:rsidRDefault="00125C26" w:rsidP="00992CEC">
      <w:pPr>
        <w:pStyle w:val="KeinLeerraum"/>
        <w:rPr>
          <w:b/>
          <w:bCs/>
          <w:lang w:eastAsia="de-DE"/>
        </w:rPr>
      </w:pPr>
    </w:p>
    <w:p w14:paraId="29194537" w14:textId="72954F94" w:rsidR="00992CEC" w:rsidRDefault="00992CEC" w:rsidP="00992CEC">
      <w:pPr>
        <w:pStyle w:val="KeinLeerraum"/>
        <w:rPr>
          <w:lang w:eastAsia="de-DE"/>
        </w:rPr>
      </w:pPr>
      <w:r w:rsidRPr="00992CEC">
        <w:rPr>
          <w:b/>
          <w:bCs/>
          <w:lang w:eastAsia="de-DE"/>
        </w:rPr>
        <w:t>2) Universelle Opferzentralisierung</w:t>
      </w:r>
      <w:r w:rsidRPr="00992CEC">
        <w:rPr>
          <w:lang w:eastAsia="de-DE"/>
        </w:rPr>
        <w:t xml:space="preserve"> (V. 8-9): Alle Opferarten (Brand- und Schlachtopfer) von Israeliten und ansässigen Fremden müssen am Heiligtum dargebracht werden - Zuwiderhandlung führt zur Ausrottung. </w:t>
      </w:r>
    </w:p>
    <w:p w14:paraId="2632745B" w14:textId="77777777" w:rsidR="00125C26" w:rsidRDefault="00125C26" w:rsidP="00992CEC">
      <w:pPr>
        <w:pStyle w:val="KeinLeerraum"/>
        <w:rPr>
          <w:b/>
          <w:bCs/>
          <w:lang w:eastAsia="de-DE"/>
        </w:rPr>
      </w:pPr>
    </w:p>
    <w:p w14:paraId="3003F7AC" w14:textId="4F024C35" w:rsidR="00992CEC" w:rsidRPr="00992CEC" w:rsidRDefault="00992CEC" w:rsidP="00992CEC">
      <w:pPr>
        <w:pStyle w:val="KeinLeerraum"/>
        <w:rPr>
          <w:lang w:eastAsia="de-DE"/>
        </w:rPr>
      </w:pPr>
      <w:r w:rsidRPr="00992CEC">
        <w:rPr>
          <w:b/>
          <w:bCs/>
          <w:lang w:eastAsia="de-DE"/>
        </w:rPr>
        <w:t>3) Absolutes Blutverbot</w:t>
      </w:r>
      <w:r w:rsidRPr="00992CEC">
        <w:rPr>
          <w:lang w:eastAsia="de-DE"/>
        </w:rPr>
        <w:t xml:space="preserve"> (V. 10-14): Vollständiges Verbot des Blutverzehrs für alle Bewohner mit </w:t>
      </w:r>
      <w:r w:rsidRPr="00992CEC">
        <w:rPr>
          <w:b/>
          <w:bCs/>
          <w:lang w:eastAsia="de-DE"/>
        </w:rPr>
        <w:t>persönlicher göttlicher Verfolgung</w:t>
      </w:r>
      <w:r w:rsidRPr="00992CEC">
        <w:rPr>
          <w:lang w:eastAsia="de-DE"/>
        </w:rPr>
        <w:t xml:space="preserve"> und </w:t>
      </w:r>
      <w:r w:rsidRPr="00992CEC">
        <w:rPr>
          <w:b/>
          <w:bCs/>
          <w:lang w:eastAsia="de-DE"/>
        </w:rPr>
        <w:t>Ausrottung</w:t>
      </w:r>
      <w:r w:rsidRPr="00992CEC">
        <w:rPr>
          <w:lang w:eastAsia="de-DE"/>
        </w:rPr>
        <w:t xml:space="preserve"> als Strafe. Die theologische Begründung: </w:t>
      </w:r>
      <w:r w:rsidRPr="00992CEC">
        <w:rPr>
          <w:b/>
          <w:bCs/>
          <w:lang w:eastAsia="de-DE"/>
        </w:rPr>
        <w:t>"Die Seele des Fleisches ist im Blut"</w:t>
      </w:r>
      <w:r w:rsidRPr="00992CEC">
        <w:rPr>
          <w:lang w:eastAsia="de-DE"/>
        </w:rPr>
        <w:t xml:space="preserve"> - Blut als Träger des Lebens ist für die Sühne am Altar bestimmt, nicht für menschlichen Verzehr.</w:t>
      </w:r>
    </w:p>
    <w:p w14:paraId="2B1B6D5E" w14:textId="77777777" w:rsidR="00125C26" w:rsidRDefault="00125C26" w:rsidP="00992CEC">
      <w:pPr>
        <w:pStyle w:val="KeinLeerraum"/>
        <w:rPr>
          <w:b/>
          <w:bCs/>
          <w:lang w:eastAsia="de-DE"/>
        </w:rPr>
      </w:pPr>
    </w:p>
    <w:p w14:paraId="78B4CCBA" w14:textId="78A69E7F" w:rsidR="00992CEC" w:rsidRDefault="00992CEC" w:rsidP="00992CEC">
      <w:pPr>
        <w:pStyle w:val="KeinLeerraum"/>
        <w:rPr>
          <w:lang w:eastAsia="de-DE"/>
        </w:rPr>
      </w:pPr>
      <w:r w:rsidRPr="00992CEC">
        <w:rPr>
          <w:b/>
          <w:bCs/>
          <w:lang w:eastAsia="de-DE"/>
        </w:rPr>
        <w:t>4) Jagdtierregelung</w:t>
      </w:r>
      <w:r w:rsidRPr="00992CEC">
        <w:rPr>
          <w:lang w:eastAsia="de-DE"/>
        </w:rPr>
        <w:t xml:space="preserve"> (V. 13-14): Auch Jagdblut muss ausgegossen und mit Erde bedeckt werden. </w:t>
      </w:r>
    </w:p>
    <w:p w14:paraId="5B2FC958" w14:textId="77777777" w:rsidR="00125C26" w:rsidRDefault="00125C26" w:rsidP="00992CEC">
      <w:pPr>
        <w:pStyle w:val="KeinLeerraum"/>
        <w:rPr>
          <w:b/>
          <w:bCs/>
          <w:lang w:eastAsia="de-DE"/>
        </w:rPr>
      </w:pPr>
    </w:p>
    <w:p w14:paraId="23415003" w14:textId="563F731B" w:rsidR="00992CEC" w:rsidRPr="00992CEC" w:rsidRDefault="00992CEC" w:rsidP="00992CEC">
      <w:pPr>
        <w:pStyle w:val="KeinLeerraum"/>
        <w:rPr>
          <w:lang w:eastAsia="de-DE"/>
        </w:rPr>
      </w:pPr>
      <w:r w:rsidRPr="00992CEC">
        <w:rPr>
          <w:b/>
          <w:bCs/>
          <w:lang w:eastAsia="de-DE"/>
        </w:rPr>
        <w:t>5) Aas- und Zerrissenes-Regelung</w:t>
      </w:r>
      <w:r w:rsidRPr="00992CEC">
        <w:rPr>
          <w:lang w:eastAsia="de-DE"/>
        </w:rPr>
        <w:t xml:space="preserve"> (V. 15-16): Verzehr von </w:t>
      </w:r>
      <w:r w:rsidRPr="00992CEC">
        <w:rPr>
          <w:b/>
          <w:bCs/>
          <w:rtl/>
          <w:lang w:eastAsia="de-DE"/>
        </w:rPr>
        <w:t>נבלה</w:t>
      </w:r>
      <w:r w:rsidRPr="00992CEC">
        <w:rPr>
          <w:rtl/>
          <w:lang w:eastAsia="de-DE"/>
        </w:rPr>
        <w:t xml:space="preserve"> </w:t>
      </w:r>
      <w:r w:rsidRPr="00992CEC">
        <w:rPr>
          <w:lang w:eastAsia="de-DE"/>
        </w:rPr>
        <w:t xml:space="preserve">(Aas) und </w:t>
      </w:r>
      <w:r w:rsidRPr="00992CEC">
        <w:rPr>
          <w:b/>
          <w:bCs/>
          <w:rtl/>
          <w:lang w:eastAsia="de-DE"/>
        </w:rPr>
        <w:t>טרפה</w:t>
      </w:r>
      <w:r w:rsidRPr="00992CEC">
        <w:rPr>
          <w:rtl/>
          <w:lang w:eastAsia="de-DE"/>
        </w:rPr>
        <w:t xml:space="preserve"> </w:t>
      </w:r>
      <w:r w:rsidRPr="00992CEC">
        <w:rPr>
          <w:lang w:eastAsia="de-DE"/>
        </w:rPr>
        <w:t>(Zerrissenes) bewirkt Unreinheit mit Reinigungsmöglichkeit, aber keine Ausrottung.</w:t>
      </w:r>
    </w:p>
    <w:p w14:paraId="29EC1556" w14:textId="77777777" w:rsidR="00125C26" w:rsidRDefault="00125C26" w:rsidP="00992CEC">
      <w:pPr>
        <w:pStyle w:val="KeinLeerraum"/>
        <w:rPr>
          <w:lang w:eastAsia="de-DE"/>
        </w:rPr>
      </w:pPr>
    </w:p>
    <w:p w14:paraId="1BA7445B" w14:textId="534C1C72" w:rsidR="00992CEC" w:rsidRPr="00992CEC" w:rsidRDefault="00992CEC" w:rsidP="00992CEC">
      <w:pPr>
        <w:pStyle w:val="KeinLeerraum"/>
        <w:rPr>
          <w:lang w:eastAsia="de-DE"/>
        </w:rPr>
      </w:pPr>
      <w:r w:rsidRPr="00992CEC">
        <w:rPr>
          <w:lang w:eastAsia="de-DE"/>
        </w:rPr>
        <w:t xml:space="preserve">Das Kapitel zeigt revolutionäre Neuerungen: Die </w:t>
      </w:r>
      <w:r w:rsidRPr="00992CEC">
        <w:rPr>
          <w:b/>
          <w:bCs/>
          <w:lang w:eastAsia="de-DE"/>
        </w:rPr>
        <w:t>Schlachtungszentralisierung</w:t>
      </w:r>
      <w:r w:rsidRPr="00992CEC">
        <w:rPr>
          <w:lang w:eastAsia="de-DE"/>
        </w:rPr>
        <w:t xml:space="preserve"> beendet jahrhundertealte dezentrale Praktiken und bekämpft synkretistische Tendenzen. Das </w:t>
      </w:r>
      <w:r w:rsidRPr="00992CEC">
        <w:rPr>
          <w:b/>
          <w:bCs/>
          <w:lang w:eastAsia="de-DE"/>
        </w:rPr>
        <w:t>absolute Blutverbot</w:t>
      </w:r>
      <w:r w:rsidRPr="00992CEC">
        <w:rPr>
          <w:lang w:eastAsia="de-DE"/>
        </w:rPr>
        <w:t xml:space="preserve"> basiert auf einer tiefen Theologie des Lebens: Blut als Sitz der </w:t>
      </w:r>
      <w:r w:rsidRPr="00992CEC">
        <w:rPr>
          <w:b/>
          <w:bCs/>
          <w:rtl/>
          <w:lang w:eastAsia="de-DE"/>
        </w:rPr>
        <w:t>נפש</w:t>
      </w:r>
      <w:r w:rsidRPr="00992CEC">
        <w:rPr>
          <w:rtl/>
          <w:lang w:eastAsia="de-DE"/>
        </w:rPr>
        <w:t xml:space="preserve"> </w:t>
      </w:r>
      <w:r w:rsidRPr="00992CEC">
        <w:rPr>
          <w:lang w:eastAsia="de-DE"/>
        </w:rPr>
        <w:t xml:space="preserve">(Seele/Leben) ist heilig und für Sühnezwecke reserviert. Die Unterscheidung zwischen </w:t>
      </w:r>
      <w:r w:rsidRPr="00992CEC">
        <w:rPr>
          <w:b/>
          <w:bCs/>
          <w:lang w:eastAsia="de-DE"/>
        </w:rPr>
        <w:t>intentionalen Verstößen</w:t>
      </w:r>
      <w:r w:rsidRPr="00992CEC">
        <w:rPr>
          <w:lang w:eastAsia="de-DE"/>
        </w:rPr>
        <w:t xml:space="preserve"> (Ausrottung) und </w:t>
      </w:r>
      <w:r w:rsidRPr="00992CEC">
        <w:rPr>
          <w:b/>
          <w:bCs/>
          <w:lang w:eastAsia="de-DE"/>
        </w:rPr>
        <w:t>unabsichtlichen Fällen</w:t>
      </w:r>
      <w:r w:rsidRPr="00992CEC">
        <w:rPr>
          <w:lang w:eastAsia="de-DE"/>
        </w:rPr>
        <w:t xml:space="preserve"> (Unreinheit) zeigt differenzierte Rechtspraxis.</w:t>
      </w:r>
    </w:p>
    <w:p w14:paraId="7AF6128C" w14:textId="5747EF62" w:rsidR="00992CEC" w:rsidRDefault="00992CEC" w:rsidP="00992CEC">
      <w:pPr>
        <w:spacing w:before="100" w:beforeAutospacing="1" w:after="100" w:afterAutospacing="1" w:line="240" w:lineRule="auto"/>
        <w:rPr>
          <w:rFonts w:eastAsia="Times New Roman" w:cs="Times New Roman"/>
          <w:lang w:eastAsia="de-DE"/>
        </w:rPr>
      </w:pPr>
      <w:r w:rsidRPr="00992CEC">
        <w:rPr>
          <w:rFonts w:eastAsia="Times New Roman" w:cs="Times New Roman"/>
          <w:lang w:eastAsia="de-DE"/>
        </w:rPr>
        <w:t xml:space="preserve">Die </w:t>
      </w:r>
      <w:r w:rsidRPr="00992CEC">
        <w:rPr>
          <w:rFonts w:eastAsia="Times New Roman" w:cs="Times New Roman"/>
          <w:b/>
          <w:bCs/>
          <w:lang w:eastAsia="de-DE"/>
        </w:rPr>
        <w:t>theologische Bedeutung</w:t>
      </w:r>
      <w:r w:rsidRPr="00992CEC">
        <w:rPr>
          <w:rFonts w:eastAsia="Times New Roman" w:cs="Times New Roman"/>
          <w:lang w:eastAsia="de-DE"/>
        </w:rPr>
        <w:t xml:space="preserve"> liegt in der Heiligung des Lebens: Alles Leben gehört JHWH, menschlicher Zugriff auf Lebenskraft (Blut) ist verboten. Die </w:t>
      </w:r>
      <w:r w:rsidRPr="00992CEC">
        <w:rPr>
          <w:rFonts w:eastAsia="Times New Roman" w:cs="Times New Roman"/>
          <w:b/>
          <w:bCs/>
          <w:lang w:eastAsia="de-DE"/>
        </w:rPr>
        <w:t>Sühnefunktion des Blutes</w:t>
      </w:r>
      <w:r w:rsidRPr="00992CEC">
        <w:rPr>
          <w:rFonts w:eastAsia="Times New Roman" w:cs="Times New Roman"/>
          <w:lang w:eastAsia="de-DE"/>
        </w:rPr>
        <w:t xml:space="preserve"> </w:t>
      </w:r>
      <w:r w:rsidRPr="00992CEC">
        <w:rPr>
          <w:rFonts w:eastAsia="Times New Roman" w:cs="Times New Roman"/>
          <w:lang w:eastAsia="de-DE"/>
        </w:rPr>
        <w:lastRenderedPageBreak/>
        <w:t>("Leben sühnt Leben") wird als exklusiver göttlicher Bestimmungszweck etabliert. Das Kapitel markiert den Übergang von lokaler zu zentralisierter Religionspraxis und etabliert fundamentale bioethische Prinzipien des Lebensschutzes.</w:t>
      </w:r>
    </w:p>
    <w:p w14:paraId="7DB76953" w14:textId="09927D32" w:rsidR="00E705C5" w:rsidRPr="00992CEC" w:rsidRDefault="00E705C5" w:rsidP="00992CEC">
      <w:pPr>
        <w:spacing w:before="100" w:beforeAutospacing="1" w:after="100" w:afterAutospacing="1" w:line="240" w:lineRule="auto"/>
        <w:rPr>
          <w:rFonts w:eastAsia="Times New Roman" w:cs="Times New Roman"/>
          <w:lang w:eastAsia="de-DE"/>
        </w:rPr>
      </w:pPr>
      <w:r>
        <w:rPr>
          <w:rStyle w:val="Fett"/>
        </w:rPr>
        <w:t>Textkritische Beobachtung</w:t>
      </w:r>
      <w:r>
        <w:t>: Levitikus 17 zeigt in der LXX bedeutende theologische Interpretationen, besonders bei der Sühnungstheologie in Vers 11. Die substitutionelle Interpretation ("anstelle der Seele") ist theologisch bedeutsamer als das hebräische "durch die Seele". Die Übersetzung der Dämonen als "nichtige Götter" zeigt eine monotheistische Polemik. Die LXX macht das Schlachtverbot expliziter und systematischer als der hebräische Text, was auf eine gezielte Anpassung an diaspora-jüdische Verhältnisse hindeuten könnte.</w:t>
      </w:r>
    </w:p>
    <w:p w14:paraId="155E9432"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w:t>
      </w:r>
    </w:p>
    <w:p w14:paraId="68680E4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וַיְדַבֵּ֥ר יְהוָ֖ה אֶל־מֹשֶׁ֥ה לֵּאמֹֽר׃</w:t>
      </w:r>
    </w:p>
    <w:p w14:paraId="7AF91BB3"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Und der Ewige redete zu Mosche, sagend:</w:t>
      </w:r>
    </w:p>
    <w:p w14:paraId="41A894AB"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4F9CE830">
          <v:rect id="_x0000_i1531" style="width:0;height:1.5pt" o:hralign="center" o:hrstd="t" o:hr="t" fillcolor="#a0a0a0" stroked="f"/>
        </w:pict>
      </w:r>
    </w:p>
    <w:p w14:paraId="7B5C3AA9" w14:textId="59A0A82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וידבר יהוה אל־משה לאמר</w:t>
      </w:r>
      <w:r w:rsidRPr="00282BD6">
        <w:rPr>
          <w:rFonts w:eastAsia="Times New Roman" w:cs="Times New Roman"/>
          <w:rtl/>
          <w:lang w:eastAsia="de-DE"/>
        </w:rPr>
        <w:t xml:space="preserve"> </w:t>
      </w:r>
      <w:r w:rsidRPr="00282BD6">
        <w:rPr>
          <w:rFonts w:eastAsia="Times New Roman" w:cs="Times New Roman"/>
          <w:lang w:eastAsia="de-DE"/>
        </w:rPr>
        <w:t xml:space="preserve">als Standardeinleitungsformel für einen neuen Gesetzesabschnitt. </w:t>
      </w:r>
      <w:r w:rsidRPr="00282BD6">
        <w:rPr>
          <w:rFonts w:eastAsia="Times New Roman" w:cs="Times New Roman"/>
          <w:b/>
          <w:bCs/>
          <w:rtl/>
          <w:lang w:eastAsia="de-DE"/>
        </w:rPr>
        <w:t>וידבר</w:t>
      </w:r>
      <w:r w:rsidRPr="00282BD6">
        <w:rPr>
          <w:rFonts w:eastAsia="Times New Roman" w:cs="Times New Roman"/>
          <w:rtl/>
          <w:lang w:eastAsia="de-DE"/>
        </w:rPr>
        <w:t xml:space="preserve"> </w:t>
      </w:r>
      <w:r w:rsidRPr="00282BD6">
        <w:rPr>
          <w:rFonts w:eastAsia="Times New Roman" w:cs="Times New Roman"/>
          <w:lang w:eastAsia="de-DE"/>
        </w:rPr>
        <w:t xml:space="preserve">(und er redete) im Piel-Imperfekt mit Waw-Konsekutiv - das Piel zeigt intensives, autoritatives göttliches Sprechen. </w:t>
      </w:r>
      <w:r w:rsidRPr="00282BD6">
        <w:rPr>
          <w:rFonts w:eastAsia="Times New Roman" w:cs="Times New Roman"/>
          <w:b/>
          <w:bCs/>
          <w:rtl/>
          <w:lang w:eastAsia="de-DE"/>
        </w:rPr>
        <w:t>לאמר</w:t>
      </w:r>
      <w:r w:rsidRPr="00282BD6">
        <w:rPr>
          <w:rFonts w:eastAsia="Times New Roman" w:cs="Times New Roman"/>
          <w:rtl/>
          <w:lang w:eastAsia="de-DE"/>
        </w:rPr>
        <w:t xml:space="preserve"> </w:t>
      </w:r>
      <w:r w:rsidRPr="00282BD6">
        <w:rPr>
          <w:rFonts w:eastAsia="Times New Roman" w:cs="Times New Roman"/>
          <w:lang w:eastAsia="de-DE"/>
        </w:rPr>
        <w:t>(sagend) als Infinitiv-</w:t>
      </w:r>
      <w:r w:rsidR="005407E2">
        <w:rPr>
          <w:rFonts w:eastAsia="Times New Roman" w:cs="Times New Roman"/>
          <w:lang w:eastAsia="de-DE"/>
        </w:rPr>
        <w:t>Constructus</w:t>
      </w:r>
      <w:r w:rsidRPr="00282BD6">
        <w:rPr>
          <w:rFonts w:eastAsia="Times New Roman" w:cs="Times New Roman"/>
          <w:lang w:eastAsia="de-DE"/>
        </w:rPr>
        <w:t xml:space="preserve"> von </w:t>
      </w:r>
      <w:r w:rsidRPr="00282BD6">
        <w:rPr>
          <w:rFonts w:eastAsia="Times New Roman" w:cs="Times New Roman"/>
          <w:b/>
          <w:bCs/>
          <w:rtl/>
          <w:lang w:eastAsia="de-DE"/>
        </w:rPr>
        <w:t>אמר</w:t>
      </w:r>
      <w:r w:rsidRPr="00282BD6">
        <w:rPr>
          <w:rFonts w:eastAsia="Times New Roman" w:cs="Times New Roman"/>
          <w:rtl/>
          <w:lang w:eastAsia="de-DE"/>
        </w:rPr>
        <w:t xml:space="preserve"> </w:t>
      </w:r>
      <w:r w:rsidRPr="00282BD6">
        <w:rPr>
          <w:rFonts w:eastAsia="Times New Roman" w:cs="Times New Roman"/>
          <w:lang w:eastAsia="de-DE"/>
        </w:rPr>
        <w:t>leitet die folgende umfassende Offenbarung über Sexualethik ein.</w:t>
      </w:r>
    </w:p>
    <w:p w14:paraId="1C435DB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וידבר</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ἐλάλησεν</w:t>
      </w:r>
      <w:proofErr w:type="spellEnd"/>
      <w:r w:rsidRPr="00282BD6">
        <w:rPr>
          <w:rFonts w:eastAsia="Times New Roman" w:cs="Times New Roman"/>
          <w:lang w:eastAsia="de-DE"/>
        </w:rPr>
        <w:t xml:space="preserve"> (er sprach) und </w:t>
      </w:r>
      <w:r w:rsidRPr="00282BD6">
        <w:rPr>
          <w:rFonts w:eastAsia="Times New Roman" w:cs="Times New Roman"/>
          <w:b/>
          <w:bCs/>
          <w:rtl/>
          <w:lang w:eastAsia="de-DE"/>
        </w:rPr>
        <w:t>לאמר</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λέγων</w:t>
      </w:r>
      <w:proofErr w:type="spellEnd"/>
      <w:r w:rsidRPr="00282BD6">
        <w:rPr>
          <w:rFonts w:eastAsia="Times New Roman" w:cs="Times New Roman"/>
          <w:lang w:eastAsia="de-DE"/>
        </w:rPr>
        <w:t xml:space="preserve"> (sagend).</w:t>
      </w:r>
    </w:p>
    <w:p w14:paraId="5F6F9DF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neue Offenbarungseinleitung: göttliches autoritatives Sprechen + Empfängeridentifikation + Redeeinleitung.</w:t>
      </w:r>
    </w:p>
    <w:p w14:paraId="580C983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leitet das zentrale Kapitel über Sexualethik und Verwandtschaftsverbote ein.</w:t>
      </w:r>
    </w:p>
    <w:p w14:paraId="7638AE14"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18,2</w:t>
      </w:r>
    </w:p>
    <w:p w14:paraId="777B1A4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דַּבֵּ֞ר אֶל־בְּנֵ֤י יִשְׂרָאֵל֙ וְאָמַרְתָּ֣ אֲלֵיהֶ֔ם אֲנִ֖י יְהוָ֥ה אֱלֹהֵיכֶֽם׃</w:t>
      </w:r>
    </w:p>
    <w:p w14:paraId="48AB9D36"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Rede zu den Kindern Jisra'els und sage ihnen: Ich bin der Ewige, euer Gott.</w:t>
      </w:r>
    </w:p>
    <w:p w14:paraId="7ABAF9DB"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51845EBD">
          <v:rect id="_x0000_i1532" style="width:0;height:1.5pt" o:hralign="center" o:hrstd="t" o:hr="t" fillcolor="#a0a0a0" stroked="f"/>
        </w:pict>
      </w:r>
    </w:p>
    <w:p w14:paraId="72102D3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דבר אל־בני ישראל ואמרת אליהם אני יהוה אלהיכם</w:t>
      </w:r>
      <w:r w:rsidRPr="00282BD6">
        <w:rPr>
          <w:rFonts w:eastAsia="Times New Roman" w:cs="Times New Roman"/>
          <w:rtl/>
          <w:lang w:eastAsia="de-DE"/>
        </w:rPr>
        <w:t xml:space="preserve"> </w:t>
      </w:r>
      <w:r w:rsidRPr="00282BD6">
        <w:rPr>
          <w:rFonts w:eastAsia="Times New Roman" w:cs="Times New Roman"/>
          <w:lang w:eastAsia="de-DE"/>
        </w:rPr>
        <w:t xml:space="preserve">etabliert die göttliche Autorität für die folgenden Gesetze. </w:t>
      </w:r>
      <w:r w:rsidRPr="00282BD6">
        <w:rPr>
          <w:rFonts w:eastAsia="Times New Roman" w:cs="Times New Roman"/>
          <w:b/>
          <w:bCs/>
          <w:rtl/>
          <w:lang w:eastAsia="de-DE"/>
        </w:rPr>
        <w:t>דבר</w:t>
      </w:r>
      <w:r w:rsidRPr="00282BD6">
        <w:rPr>
          <w:rFonts w:eastAsia="Times New Roman" w:cs="Times New Roman"/>
          <w:rtl/>
          <w:lang w:eastAsia="de-DE"/>
        </w:rPr>
        <w:t xml:space="preserve"> </w:t>
      </w:r>
      <w:r w:rsidRPr="00282BD6">
        <w:rPr>
          <w:rFonts w:eastAsia="Times New Roman" w:cs="Times New Roman"/>
          <w:lang w:eastAsia="de-DE"/>
        </w:rPr>
        <w:t xml:space="preserve">(rede) im Piel-Imperativ - das Piel zeigt intensive, nachdrückliche Verkündigung. </w:t>
      </w:r>
      <w:r w:rsidRPr="00282BD6">
        <w:rPr>
          <w:rFonts w:eastAsia="Times New Roman" w:cs="Times New Roman"/>
          <w:b/>
          <w:bCs/>
          <w:rtl/>
          <w:lang w:eastAsia="de-DE"/>
        </w:rPr>
        <w:t>אל־בני ישראל</w:t>
      </w:r>
      <w:r w:rsidRPr="00282BD6">
        <w:rPr>
          <w:rFonts w:eastAsia="Times New Roman" w:cs="Times New Roman"/>
          <w:rtl/>
          <w:lang w:eastAsia="de-DE"/>
        </w:rPr>
        <w:t xml:space="preserve"> </w:t>
      </w:r>
      <w:r w:rsidRPr="00282BD6">
        <w:rPr>
          <w:rFonts w:eastAsia="Times New Roman" w:cs="Times New Roman"/>
          <w:lang w:eastAsia="de-DE"/>
        </w:rPr>
        <w:t xml:space="preserve">(zu den Kindern Israels) als direkte Adressierung des Volkes. </w:t>
      </w:r>
      <w:r w:rsidRPr="00282BD6">
        <w:rPr>
          <w:rFonts w:eastAsia="Times New Roman" w:cs="Times New Roman"/>
          <w:b/>
          <w:bCs/>
          <w:rtl/>
          <w:lang w:eastAsia="de-DE"/>
        </w:rPr>
        <w:t>ואמרת אליהם</w:t>
      </w:r>
      <w:r w:rsidRPr="00282BD6">
        <w:rPr>
          <w:rFonts w:eastAsia="Times New Roman" w:cs="Times New Roman"/>
          <w:rtl/>
          <w:lang w:eastAsia="de-DE"/>
        </w:rPr>
        <w:t xml:space="preserve"> </w:t>
      </w:r>
      <w:r w:rsidRPr="00282BD6">
        <w:rPr>
          <w:rFonts w:eastAsia="Times New Roman" w:cs="Times New Roman"/>
          <w:lang w:eastAsia="de-DE"/>
        </w:rPr>
        <w:t>(und sage ihnen) im Qal-Perfekt mit Waw-Konsekutiv als Weitergabeauftrag.</w:t>
      </w:r>
    </w:p>
    <w:p w14:paraId="71A344C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אני יהוה אלהיכם</w:t>
      </w:r>
      <w:r w:rsidRPr="00282BD6">
        <w:rPr>
          <w:rFonts w:eastAsia="Times New Roman" w:cs="Times New Roman"/>
          <w:rtl/>
          <w:lang w:eastAsia="de-DE"/>
        </w:rPr>
        <w:t xml:space="preserve"> </w:t>
      </w:r>
      <w:r w:rsidRPr="00282BD6">
        <w:rPr>
          <w:rFonts w:eastAsia="Times New Roman" w:cs="Times New Roman"/>
          <w:lang w:eastAsia="de-DE"/>
        </w:rPr>
        <w:t xml:space="preserve">(ich bin der Ewige, euer Gott) als fundamentale Selbstvorstellungsformel, die die Autorität für alle folgenden Gesetze etabliert. </w:t>
      </w:r>
      <w:r w:rsidRPr="00282BD6">
        <w:rPr>
          <w:rFonts w:eastAsia="Times New Roman" w:cs="Times New Roman"/>
          <w:b/>
          <w:bCs/>
          <w:rtl/>
          <w:lang w:eastAsia="de-DE"/>
        </w:rPr>
        <w:t>אני יהוה</w:t>
      </w:r>
      <w:r w:rsidRPr="00282BD6">
        <w:rPr>
          <w:rFonts w:eastAsia="Times New Roman" w:cs="Times New Roman"/>
          <w:rtl/>
          <w:lang w:eastAsia="de-DE"/>
        </w:rPr>
        <w:t xml:space="preserve"> </w:t>
      </w:r>
      <w:r w:rsidRPr="00282BD6">
        <w:rPr>
          <w:rFonts w:eastAsia="Times New Roman" w:cs="Times New Roman"/>
          <w:lang w:eastAsia="de-DE"/>
        </w:rPr>
        <w:t xml:space="preserve">betont die persönliche Identität JHWHs, </w:t>
      </w:r>
      <w:r w:rsidRPr="00282BD6">
        <w:rPr>
          <w:rFonts w:eastAsia="Times New Roman" w:cs="Times New Roman"/>
          <w:b/>
          <w:bCs/>
          <w:rtl/>
          <w:lang w:eastAsia="de-DE"/>
        </w:rPr>
        <w:t>אלהיכם</w:t>
      </w:r>
      <w:r w:rsidRPr="00282BD6">
        <w:rPr>
          <w:rFonts w:eastAsia="Times New Roman" w:cs="Times New Roman"/>
          <w:rtl/>
          <w:lang w:eastAsia="de-DE"/>
        </w:rPr>
        <w:t xml:space="preserve"> </w:t>
      </w:r>
      <w:r w:rsidRPr="00282BD6">
        <w:rPr>
          <w:rFonts w:eastAsia="Times New Roman" w:cs="Times New Roman"/>
          <w:lang w:eastAsia="de-DE"/>
        </w:rPr>
        <w:t>(euer Gott) betont die Bundesbeziehung.</w:t>
      </w:r>
    </w:p>
    <w:p w14:paraId="1F91C61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lastRenderedPageBreak/>
        <w:t>Die LXX</w:t>
      </w:r>
      <w:r w:rsidRPr="00282BD6">
        <w:rPr>
          <w:rFonts w:eastAsia="Times New Roman" w:cs="Times New Roman"/>
          <w:lang w:eastAsia="de-DE"/>
        </w:rPr>
        <w:t xml:space="preserve"> übersetzt </w:t>
      </w:r>
      <w:r w:rsidRPr="00282BD6">
        <w:rPr>
          <w:rFonts w:eastAsia="Times New Roman" w:cs="Times New Roman"/>
          <w:b/>
          <w:bCs/>
          <w:rtl/>
          <w:lang w:eastAsia="de-DE"/>
        </w:rPr>
        <w:t>דבר</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λάλησον</w:t>
      </w:r>
      <w:proofErr w:type="spellEnd"/>
      <w:r w:rsidRPr="00282BD6">
        <w:rPr>
          <w:rFonts w:eastAsia="Times New Roman" w:cs="Times New Roman"/>
          <w:lang w:eastAsia="de-DE"/>
        </w:rPr>
        <w:t xml:space="preserve"> (sprich), </w:t>
      </w:r>
      <w:r w:rsidRPr="00282BD6">
        <w:rPr>
          <w:rFonts w:eastAsia="Times New Roman" w:cs="Times New Roman"/>
          <w:b/>
          <w:bCs/>
          <w:rtl/>
          <w:lang w:eastAsia="de-DE"/>
        </w:rPr>
        <w:t>ואמרת</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ἐρεῖς</w:t>
      </w:r>
      <w:proofErr w:type="spellEnd"/>
      <w:r w:rsidRPr="00282BD6">
        <w:rPr>
          <w:rFonts w:eastAsia="Times New Roman" w:cs="Times New Roman"/>
          <w:lang w:eastAsia="de-DE"/>
        </w:rPr>
        <w:t xml:space="preserve"> (du wirst sagen) und </w:t>
      </w:r>
      <w:r w:rsidRPr="00282BD6">
        <w:rPr>
          <w:rFonts w:eastAsia="Times New Roman" w:cs="Times New Roman"/>
          <w:b/>
          <w:bCs/>
          <w:rtl/>
          <w:lang w:eastAsia="de-DE"/>
        </w:rPr>
        <w:t>אני יהוה אלהיכם</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ἐγώ</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εἰμι</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κύριος</w:t>
      </w:r>
      <w:proofErr w:type="spellEnd"/>
      <w:r w:rsidRPr="00282BD6">
        <w:rPr>
          <w:rFonts w:eastAsia="Times New Roman" w:cs="Times New Roman"/>
          <w:lang w:eastAsia="de-DE"/>
        </w:rPr>
        <w:t xml:space="preserve"> ὁ </w:t>
      </w:r>
      <w:proofErr w:type="spellStart"/>
      <w:r w:rsidRPr="00282BD6">
        <w:rPr>
          <w:rFonts w:eastAsia="Times New Roman" w:cs="Times New Roman"/>
          <w:lang w:eastAsia="de-DE"/>
        </w:rPr>
        <w:t>θεὸς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ὑμῶν</w:t>
      </w:r>
      <w:proofErr w:type="spellEnd"/>
      <w:r w:rsidRPr="00282BD6">
        <w:rPr>
          <w:rFonts w:eastAsia="Times New Roman" w:cs="Times New Roman"/>
          <w:lang w:eastAsia="de-DE"/>
        </w:rPr>
        <w:t xml:space="preserve"> (ich bin der Herr, euer Gott).</w:t>
      </w:r>
    </w:p>
    <w:p w14:paraId="3668D3F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autoritative Verkündigung: Piel-Redeauftrag + Volksadressierung + Weitergabeauftrag + göttliche Autoritätsformel.</w:t>
      </w:r>
    </w:p>
    <w:p w14:paraId="6E99923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etabliert JHWH als alleinige Autorität für die folgenden Sexualgesetze durch die fundamentale Selbstvorstellungsformel.</w:t>
      </w:r>
    </w:p>
    <w:p w14:paraId="148BF545"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18,3</w:t>
      </w:r>
    </w:p>
    <w:p w14:paraId="584D1A1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כְּמַעֲשֵׂ֧ה אֶֽרֶץ־מִצְרַ֛יִם אֲשֶׁ֥ר יְשַׁבְתֶּם־בָּ֖הּ לֹ֣א תַעֲשׂ֑וּ וּכְמַעֲשֵׂ֣ה אֶֽרֶץ־כְּנַ֗עַן אֲשֶׁ֨ר אֲנִ֜י מֵבִ֤יא אֶתְכֶם֙ שָׁ֔מָּה לֹ֣א תַעֲשׂ֔וּ וּבְחֻקֹּתֵיהֶ֖ם לֹ֥א תֵלֵֽכוּ׃</w:t>
      </w:r>
    </w:p>
    <w:p w14:paraId="20EE4C1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Nach dem Tun des Landes Mizrajim, in dem ihr gewohnt habt, sollt ihr nicht tun; und nach dem Tun des Landes Kena'an, wohin ich euch bringe, sollt ihr nicht tun; und in ihren Satzungen sollt ihr nicht wandeln.</w:t>
      </w:r>
    </w:p>
    <w:p w14:paraId="70E97ACC"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5E3368AD">
          <v:rect id="_x0000_i1533" style="width:0;height:1.5pt" o:hralign="center" o:hrstd="t" o:hr="t" fillcolor="#a0a0a0" stroked="f"/>
        </w:pict>
      </w:r>
    </w:p>
    <w:p w14:paraId="4818D4A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כמעשה ארץ־מצרים אשר ישבתם־בה לא תעשו וכמעשה ארץ־כנען אשר אני מביא אתכם שמה לא תעשו ובחקתיהם לא תלכו</w:t>
      </w:r>
      <w:r w:rsidRPr="00282BD6">
        <w:rPr>
          <w:rFonts w:eastAsia="Times New Roman" w:cs="Times New Roman"/>
          <w:rtl/>
          <w:lang w:eastAsia="de-DE"/>
        </w:rPr>
        <w:t xml:space="preserve"> </w:t>
      </w:r>
      <w:r w:rsidRPr="00282BD6">
        <w:rPr>
          <w:rFonts w:eastAsia="Times New Roman" w:cs="Times New Roman"/>
          <w:lang w:eastAsia="de-DE"/>
        </w:rPr>
        <w:t xml:space="preserve">etabliert das Abgrenzungsgebot von heidnischen Praktiken. </w:t>
      </w:r>
      <w:r w:rsidRPr="00282BD6">
        <w:rPr>
          <w:rFonts w:eastAsia="Times New Roman" w:cs="Times New Roman"/>
          <w:b/>
          <w:bCs/>
          <w:rtl/>
          <w:lang w:eastAsia="de-DE"/>
        </w:rPr>
        <w:t>כמעשה ארץ־מצרים אשר ישבתם־בה לא תעשו</w:t>
      </w:r>
      <w:r w:rsidRPr="00282BD6">
        <w:rPr>
          <w:rFonts w:eastAsia="Times New Roman" w:cs="Times New Roman"/>
          <w:rtl/>
          <w:lang w:eastAsia="de-DE"/>
        </w:rPr>
        <w:t xml:space="preserve"> </w:t>
      </w:r>
      <w:r w:rsidRPr="00282BD6">
        <w:rPr>
          <w:rFonts w:eastAsia="Times New Roman" w:cs="Times New Roman"/>
          <w:lang w:eastAsia="de-DE"/>
        </w:rPr>
        <w:t xml:space="preserve">(nach dem Tun des Landes Ägypten, in dem ihr gewohnt habt, sollt ihr nicht tun) - </w:t>
      </w:r>
      <w:r w:rsidRPr="00282BD6">
        <w:rPr>
          <w:rFonts w:eastAsia="Times New Roman" w:cs="Times New Roman"/>
          <w:b/>
          <w:bCs/>
          <w:rtl/>
          <w:lang w:eastAsia="de-DE"/>
        </w:rPr>
        <w:t>כמעשה</w:t>
      </w:r>
      <w:r w:rsidRPr="00282BD6">
        <w:rPr>
          <w:rFonts w:eastAsia="Times New Roman" w:cs="Times New Roman"/>
          <w:rtl/>
          <w:lang w:eastAsia="de-DE"/>
        </w:rPr>
        <w:t xml:space="preserve"> </w:t>
      </w:r>
      <w:r w:rsidRPr="00282BD6">
        <w:rPr>
          <w:rFonts w:eastAsia="Times New Roman" w:cs="Times New Roman"/>
          <w:lang w:eastAsia="de-DE"/>
        </w:rPr>
        <w:t xml:space="preserve">(nach dem Tun) zeigt Verhaltensweisen und Praktiken. </w:t>
      </w:r>
      <w:r w:rsidRPr="00282BD6">
        <w:rPr>
          <w:rFonts w:eastAsia="Times New Roman" w:cs="Times New Roman"/>
          <w:b/>
          <w:bCs/>
          <w:rtl/>
          <w:lang w:eastAsia="de-DE"/>
        </w:rPr>
        <w:t>ישבתם־בה</w:t>
      </w:r>
      <w:r w:rsidRPr="00282BD6">
        <w:rPr>
          <w:rFonts w:eastAsia="Times New Roman" w:cs="Times New Roman"/>
          <w:rtl/>
          <w:lang w:eastAsia="de-DE"/>
        </w:rPr>
        <w:t xml:space="preserve"> </w:t>
      </w:r>
      <w:r w:rsidRPr="00282BD6">
        <w:rPr>
          <w:rFonts w:eastAsia="Times New Roman" w:cs="Times New Roman"/>
          <w:lang w:eastAsia="de-DE"/>
        </w:rPr>
        <w:t>(ihr habt gewohnt in ihm) im Qal-Perfekt zeigt die vergangene ägyptische Erfahrung.</w:t>
      </w:r>
    </w:p>
    <w:p w14:paraId="7BA2DDE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וכמעשה ארץ־כנען אשר אני מביא אתכם שמה לא תעשו</w:t>
      </w:r>
      <w:r w:rsidRPr="00282BD6">
        <w:rPr>
          <w:rFonts w:eastAsia="Times New Roman" w:cs="Times New Roman"/>
          <w:rtl/>
          <w:lang w:eastAsia="de-DE"/>
        </w:rPr>
        <w:t xml:space="preserve"> </w:t>
      </w:r>
      <w:r w:rsidRPr="00282BD6">
        <w:rPr>
          <w:rFonts w:eastAsia="Times New Roman" w:cs="Times New Roman"/>
          <w:lang w:eastAsia="de-DE"/>
        </w:rPr>
        <w:t xml:space="preserve">(und nach dem Tun des Landes Kanaan, wohin ich euch bringe, sollt ihr nicht tun) - </w:t>
      </w:r>
      <w:r w:rsidRPr="00282BD6">
        <w:rPr>
          <w:rFonts w:eastAsia="Times New Roman" w:cs="Times New Roman"/>
          <w:b/>
          <w:bCs/>
          <w:rtl/>
          <w:lang w:eastAsia="de-DE"/>
        </w:rPr>
        <w:t>מביא אתכם</w:t>
      </w:r>
      <w:r w:rsidRPr="00282BD6">
        <w:rPr>
          <w:rFonts w:eastAsia="Times New Roman" w:cs="Times New Roman"/>
          <w:rtl/>
          <w:lang w:eastAsia="de-DE"/>
        </w:rPr>
        <w:t xml:space="preserve"> </w:t>
      </w:r>
      <w:r w:rsidRPr="00282BD6">
        <w:rPr>
          <w:rFonts w:eastAsia="Times New Roman" w:cs="Times New Roman"/>
          <w:lang w:eastAsia="de-DE"/>
        </w:rPr>
        <w:t>(ich bringe euch) im Hifil-Partizip, das Hifil zeigt kausatives Führen. Die parallele Struktur zeigt Abgrenzung sowohl von der Vergangenheit (Ägypten) als auch von der Zukunft (Kanaan).</w:t>
      </w:r>
    </w:p>
    <w:p w14:paraId="32282C4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ובחקתיהם לא תלכו</w:t>
      </w:r>
      <w:r w:rsidRPr="00282BD6">
        <w:rPr>
          <w:rFonts w:eastAsia="Times New Roman" w:cs="Times New Roman"/>
          <w:rtl/>
          <w:lang w:eastAsia="de-DE"/>
        </w:rPr>
        <w:t xml:space="preserve"> </w:t>
      </w:r>
      <w:r w:rsidRPr="00282BD6">
        <w:rPr>
          <w:rFonts w:eastAsia="Times New Roman" w:cs="Times New Roman"/>
          <w:lang w:eastAsia="de-DE"/>
        </w:rPr>
        <w:t xml:space="preserve">(und in ihren Satzungen sollt ihr nicht wandeln) - </w:t>
      </w:r>
      <w:r w:rsidRPr="00282BD6">
        <w:rPr>
          <w:rFonts w:eastAsia="Times New Roman" w:cs="Times New Roman"/>
          <w:b/>
          <w:bCs/>
          <w:rtl/>
          <w:lang w:eastAsia="de-DE"/>
        </w:rPr>
        <w:t>חקתיהם</w:t>
      </w:r>
      <w:r w:rsidRPr="00282BD6">
        <w:rPr>
          <w:rFonts w:eastAsia="Times New Roman" w:cs="Times New Roman"/>
          <w:rtl/>
          <w:lang w:eastAsia="de-DE"/>
        </w:rPr>
        <w:t xml:space="preserve"> </w:t>
      </w:r>
      <w:r w:rsidRPr="00282BD6">
        <w:rPr>
          <w:rFonts w:eastAsia="Times New Roman" w:cs="Times New Roman"/>
          <w:lang w:eastAsia="de-DE"/>
        </w:rPr>
        <w:t xml:space="preserve">(ihre Satzungen) als religiös-rechtliche Ordnungen der Heiden. </w:t>
      </w:r>
      <w:r w:rsidRPr="00282BD6">
        <w:rPr>
          <w:rFonts w:eastAsia="Times New Roman" w:cs="Times New Roman"/>
          <w:b/>
          <w:bCs/>
          <w:rtl/>
          <w:lang w:eastAsia="de-DE"/>
        </w:rPr>
        <w:t>לא תלכו</w:t>
      </w:r>
      <w:r w:rsidRPr="00282BD6">
        <w:rPr>
          <w:rFonts w:eastAsia="Times New Roman" w:cs="Times New Roman"/>
          <w:rtl/>
          <w:lang w:eastAsia="de-DE"/>
        </w:rPr>
        <w:t xml:space="preserve"> </w:t>
      </w:r>
      <w:r w:rsidRPr="00282BD6">
        <w:rPr>
          <w:rFonts w:eastAsia="Times New Roman" w:cs="Times New Roman"/>
          <w:lang w:eastAsia="de-DE"/>
        </w:rPr>
        <w:t>(sollt ihr nicht wandeln) im Qal-Imperfekt zeigt Dauerverbot des Befolgens heidnischer Gesetze.</w:t>
      </w:r>
    </w:p>
    <w:p w14:paraId="4A378AB7" w14:textId="766D851F"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w:t>
      </w:r>
      <w:r w:rsidR="00E705C5">
        <w:t xml:space="preserve">übersetzt </w:t>
      </w:r>
      <w:r w:rsidR="00E705C5">
        <w:rPr>
          <w:rtl/>
        </w:rPr>
        <w:t>כמעשה</w:t>
      </w:r>
      <w:r w:rsidR="00E705C5">
        <w:t xml:space="preserve"> (</w:t>
      </w:r>
      <w:proofErr w:type="spellStart"/>
      <w:r w:rsidR="00E705C5">
        <w:t>kema'aseh</w:t>
      </w:r>
      <w:proofErr w:type="spellEnd"/>
      <w:r w:rsidR="00E705C5">
        <w:t xml:space="preserve"> - "nach den Taten") als κα</w:t>
      </w:r>
      <w:proofErr w:type="spellStart"/>
      <w:r w:rsidR="00E705C5">
        <w:t>τὰ</w:t>
      </w:r>
      <w:proofErr w:type="spellEnd"/>
      <w:r w:rsidR="00E705C5">
        <w:t xml:space="preserve"> </w:t>
      </w:r>
      <w:proofErr w:type="spellStart"/>
      <w:r w:rsidR="00E705C5">
        <w:t>τὰ</w:t>
      </w:r>
      <w:proofErr w:type="spellEnd"/>
      <w:r w:rsidR="00E705C5">
        <w:t xml:space="preserve"> ἐπ</w:t>
      </w:r>
      <w:proofErr w:type="spellStart"/>
      <w:r w:rsidR="00E705C5">
        <w:t>ιτηδεύμ</w:t>
      </w:r>
      <w:proofErr w:type="spellEnd"/>
      <w:r w:rsidR="00E705C5">
        <w:t>ατα (nach den Praktiken/Gewohnheiten), was eine systematischere Beschreibung kultureller Verhaltensweisen darstellt.</w:t>
      </w:r>
    </w:p>
    <w:p w14:paraId="4FD1700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umfassendes Abgrenzungsgebot: Verbot ägyptischer Praktiken + Verbot kanaanäischer Praktiken + Verbot heidnischer Rechtsordnungen.</w:t>
      </w:r>
    </w:p>
    <w:p w14:paraId="30C3F62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etabliert die radikale Abgrenzung Israels von allen heidnischen Praktiken in Vergangenheit und Zukunft.</w:t>
      </w:r>
    </w:p>
    <w:p w14:paraId="68C699FE"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18,4</w:t>
      </w:r>
    </w:p>
    <w:p w14:paraId="260E9A1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אֶת־מִשְׁפָּטַ֧י תַּעֲשׂ֛וּ וְאֶת־חֻקֹּתַ֥י תִּשְׁמְר֖וּ לָלֶ֣כֶת בָּהֶ֑ם אֲנִ֖י יְהוָ֥ה אֱלֹהֵיכֶֽם׃</w:t>
      </w:r>
    </w:p>
    <w:p w14:paraId="193A1EA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lastRenderedPageBreak/>
        <w:t>Deutsch:</w:t>
      </w:r>
      <w:r w:rsidRPr="00282BD6">
        <w:rPr>
          <w:rFonts w:eastAsia="Times New Roman" w:cs="Times New Roman"/>
          <w:lang w:eastAsia="de-DE"/>
        </w:rPr>
        <w:t xml:space="preserve"> Meine Gesetze sollt ihr tun und meine Satzungen sollt ihr beachten, um in ihnen zu wandeln. Ich bin der Ewige, euer Gott.</w:t>
      </w:r>
    </w:p>
    <w:p w14:paraId="65B6AC48"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7543A3E3">
          <v:rect id="_x0000_i1534" style="width:0;height:1.5pt" o:hralign="center" o:hrstd="t" o:hr="t" fillcolor="#a0a0a0" stroked="f"/>
        </w:pict>
      </w:r>
    </w:p>
    <w:p w14:paraId="2BFC282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את־משפטי תעשו ואת־חקתי תשמרו ללכת בהם אני יהוה אלהיכם</w:t>
      </w:r>
      <w:r w:rsidRPr="00282BD6">
        <w:rPr>
          <w:rFonts w:eastAsia="Times New Roman" w:cs="Times New Roman"/>
          <w:rtl/>
          <w:lang w:eastAsia="de-DE"/>
        </w:rPr>
        <w:t xml:space="preserve"> </w:t>
      </w:r>
      <w:r w:rsidRPr="00282BD6">
        <w:rPr>
          <w:rFonts w:eastAsia="Times New Roman" w:cs="Times New Roman"/>
          <w:lang w:eastAsia="de-DE"/>
        </w:rPr>
        <w:t xml:space="preserve">zeigt das positive Gegengebot zu V. 3. </w:t>
      </w:r>
      <w:r w:rsidRPr="00282BD6">
        <w:rPr>
          <w:rFonts w:eastAsia="Times New Roman" w:cs="Times New Roman"/>
          <w:b/>
          <w:bCs/>
          <w:rtl/>
          <w:lang w:eastAsia="de-DE"/>
        </w:rPr>
        <w:t>את־משפטי תעשו</w:t>
      </w:r>
      <w:r w:rsidRPr="00282BD6">
        <w:rPr>
          <w:rFonts w:eastAsia="Times New Roman" w:cs="Times New Roman"/>
          <w:rtl/>
          <w:lang w:eastAsia="de-DE"/>
        </w:rPr>
        <w:t xml:space="preserve"> </w:t>
      </w:r>
      <w:r w:rsidRPr="00282BD6">
        <w:rPr>
          <w:rFonts w:eastAsia="Times New Roman" w:cs="Times New Roman"/>
          <w:lang w:eastAsia="de-DE"/>
        </w:rPr>
        <w:t xml:space="preserve">(meine Gesetze sollt ihr tun) - </w:t>
      </w:r>
      <w:r w:rsidRPr="00282BD6">
        <w:rPr>
          <w:rFonts w:eastAsia="Times New Roman" w:cs="Times New Roman"/>
          <w:b/>
          <w:bCs/>
          <w:rtl/>
          <w:lang w:eastAsia="de-DE"/>
        </w:rPr>
        <w:t>משפטי</w:t>
      </w:r>
      <w:r w:rsidRPr="00282BD6">
        <w:rPr>
          <w:rFonts w:eastAsia="Times New Roman" w:cs="Times New Roman"/>
          <w:rtl/>
          <w:lang w:eastAsia="de-DE"/>
        </w:rPr>
        <w:t xml:space="preserve"> </w:t>
      </w:r>
      <w:r w:rsidRPr="00282BD6">
        <w:rPr>
          <w:rFonts w:eastAsia="Times New Roman" w:cs="Times New Roman"/>
          <w:lang w:eastAsia="de-DE"/>
        </w:rPr>
        <w:t xml:space="preserve">(meine Gesetze) als göttliche Rechtsordnung im Gegensatz zu heidnischen </w:t>
      </w:r>
      <w:r w:rsidRPr="00282BD6">
        <w:rPr>
          <w:rFonts w:eastAsia="Times New Roman" w:cs="Times New Roman"/>
          <w:b/>
          <w:bCs/>
          <w:rtl/>
          <w:lang w:eastAsia="de-DE"/>
        </w:rPr>
        <w:t>חקות</w:t>
      </w:r>
      <w:r w:rsidRPr="00282BD6">
        <w:rPr>
          <w:rFonts w:eastAsia="Times New Roman" w:cs="Times New Roman"/>
          <w:lang w:eastAsia="de-DE"/>
        </w:rPr>
        <w:t xml:space="preserve">. </w:t>
      </w:r>
      <w:r w:rsidRPr="00282BD6">
        <w:rPr>
          <w:rFonts w:eastAsia="Times New Roman" w:cs="Times New Roman"/>
          <w:b/>
          <w:bCs/>
          <w:rtl/>
          <w:lang w:eastAsia="de-DE"/>
        </w:rPr>
        <w:t>תעשו</w:t>
      </w:r>
      <w:r w:rsidRPr="00282BD6">
        <w:rPr>
          <w:rFonts w:eastAsia="Times New Roman" w:cs="Times New Roman"/>
          <w:rtl/>
          <w:lang w:eastAsia="de-DE"/>
        </w:rPr>
        <w:t xml:space="preserve"> </w:t>
      </w:r>
      <w:r w:rsidRPr="00282BD6">
        <w:rPr>
          <w:rFonts w:eastAsia="Times New Roman" w:cs="Times New Roman"/>
          <w:lang w:eastAsia="de-DE"/>
        </w:rPr>
        <w:t>(sollt ihr tun) im Qal-Imperfekt zeigt aktive Ausführungspflicht.</w:t>
      </w:r>
    </w:p>
    <w:p w14:paraId="039D9D37" w14:textId="09673C4D"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ואת־חקתי תשמרו ללכת בהם</w:t>
      </w:r>
      <w:r w:rsidRPr="00282BD6">
        <w:rPr>
          <w:rFonts w:eastAsia="Times New Roman" w:cs="Times New Roman"/>
          <w:rtl/>
          <w:lang w:eastAsia="de-DE"/>
        </w:rPr>
        <w:t xml:space="preserve"> </w:t>
      </w:r>
      <w:r w:rsidRPr="00282BD6">
        <w:rPr>
          <w:rFonts w:eastAsia="Times New Roman" w:cs="Times New Roman"/>
          <w:lang w:eastAsia="de-DE"/>
        </w:rPr>
        <w:t xml:space="preserve">(und meine Satzungen sollt ihr beachten, um in ihnen zu wandeln) - </w:t>
      </w:r>
      <w:r w:rsidRPr="00282BD6">
        <w:rPr>
          <w:rFonts w:eastAsia="Times New Roman" w:cs="Times New Roman"/>
          <w:b/>
          <w:bCs/>
          <w:rtl/>
          <w:lang w:eastAsia="de-DE"/>
        </w:rPr>
        <w:t>חקתי</w:t>
      </w:r>
      <w:r w:rsidRPr="00282BD6">
        <w:rPr>
          <w:rFonts w:eastAsia="Times New Roman" w:cs="Times New Roman"/>
          <w:rtl/>
          <w:lang w:eastAsia="de-DE"/>
        </w:rPr>
        <w:t xml:space="preserve"> </w:t>
      </w:r>
      <w:r w:rsidRPr="00282BD6">
        <w:rPr>
          <w:rFonts w:eastAsia="Times New Roman" w:cs="Times New Roman"/>
          <w:lang w:eastAsia="de-DE"/>
        </w:rPr>
        <w:t xml:space="preserve">(meine Satzungen) als göttliche Ordnungen. </w:t>
      </w:r>
      <w:r w:rsidRPr="00282BD6">
        <w:rPr>
          <w:rFonts w:eastAsia="Times New Roman" w:cs="Times New Roman"/>
          <w:b/>
          <w:bCs/>
          <w:rtl/>
          <w:lang w:eastAsia="de-DE"/>
        </w:rPr>
        <w:t>תשמרו</w:t>
      </w:r>
      <w:r w:rsidRPr="00282BD6">
        <w:rPr>
          <w:rFonts w:eastAsia="Times New Roman" w:cs="Times New Roman"/>
          <w:rtl/>
          <w:lang w:eastAsia="de-DE"/>
        </w:rPr>
        <w:t xml:space="preserve"> </w:t>
      </w:r>
      <w:r w:rsidRPr="00282BD6">
        <w:rPr>
          <w:rFonts w:eastAsia="Times New Roman" w:cs="Times New Roman"/>
          <w:lang w:eastAsia="de-DE"/>
        </w:rPr>
        <w:t xml:space="preserve">(sollt ihr beachten) im Qal-Imperfekt zeigt sorgfältige Befolgung. </w:t>
      </w:r>
      <w:r w:rsidRPr="00282BD6">
        <w:rPr>
          <w:rFonts w:eastAsia="Times New Roman" w:cs="Times New Roman"/>
          <w:b/>
          <w:bCs/>
          <w:rtl/>
          <w:lang w:eastAsia="de-DE"/>
        </w:rPr>
        <w:t>ללכת בהם</w:t>
      </w:r>
      <w:r w:rsidRPr="00282BD6">
        <w:rPr>
          <w:rFonts w:eastAsia="Times New Roman" w:cs="Times New Roman"/>
          <w:rtl/>
          <w:lang w:eastAsia="de-DE"/>
        </w:rPr>
        <w:t xml:space="preserve"> </w:t>
      </w:r>
      <w:r w:rsidRPr="00282BD6">
        <w:rPr>
          <w:rFonts w:eastAsia="Times New Roman" w:cs="Times New Roman"/>
          <w:lang w:eastAsia="de-DE"/>
        </w:rPr>
        <w:t xml:space="preserve">(um in ihnen zu wandeln) - </w:t>
      </w:r>
      <w:r w:rsidRPr="00282BD6">
        <w:rPr>
          <w:rFonts w:eastAsia="Times New Roman" w:cs="Times New Roman"/>
          <w:b/>
          <w:bCs/>
          <w:rtl/>
          <w:lang w:eastAsia="de-DE"/>
        </w:rPr>
        <w:t>ללכת</w:t>
      </w:r>
      <w:r w:rsidRPr="00282BD6">
        <w:rPr>
          <w:rFonts w:eastAsia="Times New Roman" w:cs="Times New Roman"/>
          <w:rtl/>
          <w:lang w:eastAsia="de-DE"/>
        </w:rPr>
        <w:t xml:space="preserve"> </w:t>
      </w:r>
      <w:r w:rsidRPr="00282BD6">
        <w:rPr>
          <w:rFonts w:eastAsia="Times New Roman" w:cs="Times New Roman"/>
          <w:lang w:eastAsia="de-DE"/>
        </w:rPr>
        <w:t>(um zu wandeln) im Qal-Infinitiv-</w:t>
      </w:r>
      <w:r w:rsidR="005407E2">
        <w:rPr>
          <w:rFonts w:eastAsia="Times New Roman" w:cs="Times New Roman"/>
          <w:lang w:eastAsia="de-DE"/>
        </w:rPr>
        <w:t>Constructus</w:t>
      </w:r>
      <w:r w:rsidRPr="00282BD6">
        <w:rPr>
          <w:rFonts w:eastAsia="Times New Roman" w:cs="Times New Roman"/>
          <w:lang w:eastAsia="de-DE"/>
        </w:rPr>
        <w:t xml:space="preserve"> zeigt den Zweck: Lebenspraxis nach göttlichen Ordnungen.</w:t>
      </w:r>
    </w:p>
    <w:p w14:paraId="50A5052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אני יהוה אלהיכם</w:t>
      </w:r>
      <w:r w:rsidRPr="00282BD6">
        <w:rPr>
          <w:rFonts w:eastAsia="Times New Roman" w:cs="Times New Roman"/>
          <w:rtl/>
          <w:lang w:eastAsia="de-DE"/>
        </w:rPr>
        <w:t xml:space="preserve"> </w:t>
      </w:r>
      <w:r w:rsidRPr="00282BD6">
        <w:rPr>
          <w:rFonts w:eastAsia="Times New Roman" w:cs="Times New Roman"/>
          <w:lang w:eastAsia="de-DE"/>
        </w:rPr>
        <w:t>(ich bin der Ewige, euer Gott) wiederholt V. 2 als Autoritätsbekräftigung.</w:t>
      </w:r>
    </w:p>
    <w:p w14:paraId="65C439A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משפטי</w:t>
      </w:r>
      <w:r w:rsidRPr="00282BD6">
        <w:rPr>
          <w:rFonts w:eastAsia="Times New Roman" w:cs="Times New Roman"/>
          <w:rtl/>
          <w:lang w:eastAsia="de-DE"/>
        </w:rPr>
        <w:t xml:space="preserve"> </w:t>
      </w:r>
      <w:r w:rsidRPr="00282BD6">
        <w:rPr>
          <w:rFonts w:eastAsia="Times New Roman" w:cs="Times New Roman"/>
          <w:lang w:eastAsia="de-DE"/>
        </w:rPr>
        <w:t xml:space="preserve">vs. heidnische </w:t>
      </w:r>
      <w:r w:rsidRPr="00282BD6">
        <w:rPr>
          <w:rFonts w:eastAsia="Times New Roman" w:cs="Times New Roman"/>
          <w:b/>
          <w:bCs/>
          <w:rtl/>
          <w:lang w:eastAsia="de-DE"/>
        </w:rPr>
        <w:t>חקות</w:t>
      </w:r>
      <w:r w:rsidRPr="00282BD6">
        <w:rPr>
          <w:rFonts w:eastAsia="Times New Roman" w:cs="Times New Roman"/>
          <w:rtl/>
          <w:lang w:eastAsia="de-DE"/>
        </w:rPr>
        <w:t xml:space="preserve"> </w:t>
      </w:r>
      <w:r w:rsidRPr="00282BD6">
        <w:rPr>
          <w:rFonts w:eastAsia="Times New Roman" w:cs="Times New Roman"/>
          <w:lang w:eastAsia="de-DE"/>
        </w:rPr>
        <w:t xml:space="preserve">zeigt den qualitativen Unterschied göttlicher Gesetze. </w:t>
      </w:r>
      <w:r w:rsidRPr="00282BD6">
        <w:rPr>
          <w:rFonts w:eastAsia="Times New Roman" w:cs="Times New Roman"/>
          <w:b/>
          <w:bCs/>
          <w:rtl/>
          <w:lang w:eastAsia="de-DE"/>
        </w:rPr>
        <w:t>תעשו</w:t>
      </w:r>
      <w:r w:rsidRPr="00282BD6">
        <w:rPr>
          <w:rFonts w:eastAsia="Times New Roman" w:cs="Times New Roman"/>
          <w:rtl/>
          <w:lang w:eastAsia="de-DE"/>
        </w:rPr>
        <w:t xml:space="preserve"> </w:t>
      </w:r>
      <w:r w:rsidRPr="00282BD6">
        <w:rPr>
          <w:rFonts w:eastAsia="Times New Roman" w:cs="Times New Roman"/>
          <w:lang w:eastAsia="de-DE"/>
        </w:rPr>
        <w:t xml:space="preserve">und </w:t>
      </w:r>
      <w:r w:rsidRPr="00282BD6">
        <w:rPr>
          <w:rFonts w:eastAsia="Times New Roman" w:cs="Times New Roman"/>
          <w:b/>
          <w:bCs/>
          <w:rtl/>
          <w:lang w:eastAsia="de-DE"/>
        </w:rPr>
        <w:t>תשמרו</w:t>
      </w:r>
      <w:r w:rsidRPr="00282BD6">
        <w:rPr>
          <w:rFonts w:eastAsia="Times New Roman" w:cs="Times New Roman"/>
          <w:rtl/>
          <w:lang w:eastAsia="de-DE"/>
        </w:rPr>
        <w:t xml:space="preserve"> </w:t>
      </w:r>
      <w:r w:rsidRPr="00282BD6">
        <w:rPr>
          <w:rFonts w:eastAsia="Times New Roman" w:cs="Times New Roman"/>
          <w:lang w:eastAsia="de-DE"/>
        </w:rPr>
        <w:t xml:space="preserve">als komplementäre Verben für Ausführung und Beachtung. </w:t>
      </w:r>
      <w:r w:rsidRPr="00282BD6">
        <w:rPr>
          <w:rFonts w:eastAsia="Times New Roman" w:cs="Times New Roman"/>
          <w:b/>
          <w:bCs/>
          <w:rtl/>
          <w:lang w:eastAsia="de-DE"/>
        </w:rPr>
        <w:t>ללכת בהם</w:t>
      </w:r>
      <w:r w:rsidRPr="00282BD6">
        <w:rPr>
          <w:rFonts w:eastAsia="Times New Roman" w:cs="Times New Roman"/>
          <w:rtl/>
          <w:lang w:eastAsia="de-DE"/>
        </w:rPr>
        <w:t xml:space="preserve"> </w:t>
      </w:r>
      <w:r w:rsidRPr="00282BD6">
        <w:rPr>
          <w:rFonts w:eastAsia="Times New Roman" w:cs="Times New Roman"/>
          <w:lang w:eastAsia="de-DE"/>
        </w:rPr>
        <w:t xml:space="preserve">zeigt </w:t>
      </w:r>
      <w:r w:rsidRPr="00282BD6">
        <w:rPr>
          <w:rFonts w:eastAsia="Times New Roman" w:cs="Times New Roman"/>
          <w:b/>
          <w:bCs/>
          <w:rtl/>
          <w:lang w:eastAsia="de-DE"/>
        </w:rPr>
        <w:t>הלכה</w:t>
      </w:r>
      <w:r w:rsidRPr="00282BD6">
        <w:rPr>
          <w:rFonts w:eastAsia="Times New Roman" w:cs="Times New Roman"/>
          <w:rtl/>
          <w:lang w:eastAsia="de-DE"/>
        </w:rPr>
        <w:t xml:space="preserve"> </w:t>
      </w:r>
      <w:r w:rsidRPr="00282BD6">
        <w:rPr>
          <w:rFonts w:eastAsia="Times New Roman" w:cs="Times New Roman"/>
          <w:lang w:eastAsia="de-DE"/>
        </w:rPr>
        <w:t>(Wandel) als Lebenspraxis.</w:t>
      </w:r>
    </w:p>
    <w:p w14:paraId="33E5BA1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משפטי</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κρίμ</w:t>
      </w:r>
      <w:proofErr w:type="spellEnd"/>
      <w:r w:rsidRPr="00282BD6">
        <w:rPr>
          <w:rFonts w:eastAsia="Times New Roman" w:cs="Times New Roman"/>
          <w:lang w:eastAsia="de-DE"/>
        </w:rPr>
        <w:t xml:space="preserve">ατά </w:t>
      </w:r>
      <w:proofErr w:type="spellStart"/>
      <w:r w:rsidRPr="00282BD6">
        <w:rPr>
          <w:rFonts w:eastAsia="Times New Roman" w:cs="Times New Roman"/>
          <w:lang w:eastAsia="de-DE"/>
        </w:rPr>
        <w:t>μου</w:t>
      </w:r>
      <w:proofErr w:type="spellEnd"/>
      <w:r w:rsidRPr="00282BD6">
        <w:rPr>
          <w:rFonts w:eastAsia="Times New Roman" w:cs="Times New Roman"/>
          <w:lang w:eastAsia="de-DE"/>
        </w:rPr>
        <w:t xml:space="preserve"> (meine Urteile), </w:t>
      </w:r>
      <w:r w:rsidRPr="00282BD6">
        <w:rPr>
          <w:rFonts w:eastAsia="Times New Roman" w:cs="Times New Roman"/>
          <w:b/>
          <w:bCs/>
          <w:rtl/>
          <w:lang w:eastAsia="de-DE"/>
        </w:rPr>
        <w:t>תשמרו</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φυλάξεσθε</w:t>
      </w:r>
      <w:proofErr w:type="spellEnd"/>
      <w:r w:rsidRPr="00282BD6">
        <w:rPr>
          <w:rFonts w:eastAsia="Times New Roman" w:cs="Times New Roman"/>
          <w:lang w:eastAsia="de-DE"/>
        </w:rPr>
        <w:t xml:space="preserve"> (ihr werdet bewahren) und </w:t>
      </w:r>
      <w:r w:rsidRPr="00282BD6">
        <w:rPr>
          <w:rFonts w:eastAsia="Times New Roman" w:cs="Times New Roman"/>
          <w:b/>
          <w:bCs/>
          <w:rtl/>
          <w:lang w:eastAsia="de-DE"/>
        </w:rPr>
        <w:t>ללכת</w:t>
      </w:r>
      <w:r w:rsidRPr="00282BD6">
        <w:rPr>
          <w:rFonts w:eastAsia="Times New Roman" w:cs="Times New Roman"/>
          <w:rtl/>
          <w:lang w:eastAsia="de-DE"/>
        </w:rPr>
        <w:t xml:space="preserve"> </w:t>
      </w:r>
      <w:r w:rsidRPr="00282BD6">
        <w:rPr>
          <w:rFonts w:eastAsia="Times New Roman" w:cs="Times New Roman"/>
          <w:lang w:eastAsia="de-DE"/>
        </w:rPr>
        <w:t>mit π</w:t>
      </w:r>
      <w:proofErr w:type="spellStart"/>
      <w:r w:rsidRPr="00282BD6">
        <w:rPr>
          <w:rFonts w:eastAsia="Times New Roman" w:cs="Times New Roman"/>
          <w:lang w:eastAsia="de-DE"/>
        </w:rPr>
        <w:t>ορεύεσθ</w:t>
      </w:r>
      <w:proofErr w:type="spellEnd"/>
      <w:r w:rsidRPr="00282BD6">
        <w:rPr>
          <w:rFonts w:eastAsia="Times New Roman" w:cs="Times New Roman"/>
          <w:lang w:eastAsia="de-DE"/>
        </w:rPr>
        <w:t>αι (zu wandeln).</w:t>
      </w:r>
    </w:p>
    <w:p w14:paraId="0F2154E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positives Gegengebot: aktive Gesetzesausführung + sorgfältige Satzungsbeachtung + Zweckangabe für Lebenswandel + göttliche Autoritätsbekräftigung.</w:t>
      </w:r>
    </w:p>
    <w:p w14:paraId="0CC228F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etabliert die göttlichen Gesetze als positive Alternative zu heidnischen Praktiken für die israelitische Lebenspraxis.</w:t>
      </w:r>
    </w:p>
    <w:p w14:paraId="0FAB1EF2"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18,5</w:t>
      </w:r>
    </w:p>
    <w:p w14:paraId="32CEE3C3"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וּשְׁמַרְתֶּ֤ם אֶת־חֻקֹּתַי֙ וְאֶת־מִשְׁפָּטַ֔י אֲשֶׁ֨ר יַעֲשֶׂ֧ה אֹתָ֛ם הָאָדָ֖ם וָחַ֣י בָּהֶ֑ם אֲנִ֖י יְהוָֽה׃</w:t>
      </w:r>
    </w:p>
    <w:p w14:paraId="46046C0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Ihr sollt meine Satzungen und meine Rechtsvorschriften beachten, durch die der Mensch, wenn er sie tut, leben wird. Ich bin der Ewige.</w:t>
      </w:r>
    </w:p>
    <w:p w14:paraId="32B05D19"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3EF34303">
          <v:rect id="_x0000_i1535" style="width:0;height:1.5pt" o:hralign="center" o:hrstd="t" o:hr="t" fillcolor="#a0a0a0" stroked="f"/>
        </w:pict>
      </w:r>
    </w:p>
    <w:p w14:paraId="32F04FC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ושמרתם את־חקתי ואת־משפטי אשר יעשה אתם האדם וחי בהם אני יהוה</w:t>
      </w:r>
      <w:r w:rsidRPr="00282BD6">
        <w:rPr>
          <w:rFonts w:eastAsia="Times New Roman" w:cs="Times New Roman"/>
          <w:rtl/>
          <w:lang w:eastAsia="de-DE"/>
        </w:rPr>
        <w:t xml:space="preserve"> </w:t>
      </w:r>
      <w:r w:rsidRPr="00282BD6">
        <w:rPr>
          <w:rFonts w:eastAsia="Times New Roman" w:cs="Times New Roman"/>
          <w:lang w:eastAsia="de-DE"/>
        </w:rPr>
        <w:t xml:space="preserve">zeigt die Lebensverheißung des Gesetzesgehorsams. </w:t>
      </w:r>
      <w:r w:rsidRPr="00282BD6">
        <w:rPr>
          <w:rFonts w:eastAsia="Times New Roman" w:cs="Times New Roman"/>
          <w:b/>
          <w:bCs/>
          <w:rtl/>
          <w:lang w:eastAsia="de-DE"/>
        </w:rPr>
        <w:t>ושמרתם את־חקתי ואת־משפטי</w:t>
      </w:r>
      <w:r w:rsidRPr="00282BD6">
        <w:rPr>
          <w:rFonts w:eastAsia="Times New Roman" w:cs="Times New Roman"/>
          <w:rtl/>
          <w:lang w:eastAsia="de-DE"/>
        </w:rPr>
        <w:t xml:space="preserve"> </w:t>
      </w:r>
      <w:r w:rsidRPr="00282BD6">
        <w:rPr>
          <w:rFonts w:eastAsia="Times New Roman" w:cs="Times New Roman"/>
          <w:lang w:eastAsia="de-DE"/>
        </w:rPr>
        <w:t xml:space="preserve">(ihr sollt meine Satzungen und meine Rechtsvorschriften beachten) - </w:t>
      </w:r>
      <w:r w:rsidRPr="00282BD6">
        <w:rPr>
          <w:rFonts w:eastAsia="Times New Roman" w:cs="Times New Roman"/>
          <w:b/>
          <w:bCs/>
          <w:rtl/>
          <w:lang w:eastAsia="de-DE"/>
        </w:rPr>
        <w:t>ושמרתם</w:t>
      </w:r>
      <w:r w:rsidRPr="00282BD6">
        <w:rPr>
          <w:rFonts w:eastAsia="Times New Roman" w:cs="Times New Roman"/>
          <w:rtl/>
          <w:lang w:eastAsia="de-DE"/>
        </w:rPr>
        <w:t xml:space="preserve"> </w:t>
      </w:r>
      <w:r w:rsidRPr="00282BD6">
        <w:rPr>
          <w:rFonts w:eastAsia="Times New Roman" w:cs="Times New Roman"/>
          <w:lang w:eastAsia="de-DE"/>
        </w:rPr>
        <w:t>(und ihr sollt beachten) im Qal-Perfekt mit Waw-Konsekutiv wiederholt die Befolgungspflicht.</w:t>
      </w:r>
    </w:p>
    <w:p w14:paraId="4831CBB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אשר יעשה אתם האדם וחי בהם</w:t>
      </w:r>
      <w:r w:rsidRPr="00282BD6">
        <w:rPr>
          <w:rFonts w:eastAsia="Times New Roman" w:cs="Times New Roman"/>
          <w:rtl/>
          <w:lang w:eastAsia="de-DE"/>
        </w:rPr>
        <w:t xml:space="preserve"> </w:t>
      </w:r>
      <w:r w:rsidRPr="00282BD6">
        <w:rPr>
          <w:rFonts w:eastAsia="Times New Roman" w:cs="Times New Roman"/>
          <w:lang w:eastAsia="de-DE"/>
        </w:rPr>
        <w:t xml:space="preserve">(durch die der Mensch, wenn er sie tut, leben wird) - </w:t>
      </w:r>
      <w:r w:rsidRPr="00282BD6">
        <w:rPr>
          <w:rFonts w:eastAsia="Times New Roman" w:cs="Times New Roman"/>
          <w:b/>
          <w:bCs/>
          <w:rtl/>
          <w:lang w:eastAsia="de-DE"/>
        </w:rPr>
        <w:t>יעשה</w:t>
      </w:r>
      <w:r w:rsidRPr="00282BD6">
        <w:rPr>
          <w:rFonts w:eastAsia="Times New Roman" w:cs="Times New Roman"/>
          <w:rtl/>
          <w:lang w:eastAsia="de-DE"/>
        </w:rPr>
        <w:t xml:space="preserve"> </w:t>
      </w:r>
      <w:r w:rsidRPr="00282BD6">
        <w:rPr>
          <w:rFonts w:eastAsia="Times New Roman" w:cs="Times New Roman"/>
          <w:lang w:eastAsia="de-DE"/>
        </w:rPr>
        <w:t xml:space="preserve">(er tut) im Qal-Imperfekt zeigt hypothetische Handlung. </w:t>
      </w:r>
      <w:r w:rsidRPr="00282BD6">
        <w:rPr>
          <w:rFonts w:eastAsia="Times New Roman" w:cs="Times New Roman"/>
          <w:b/>
          <w:bCs/>
          <w:rtl/>
          <w:lang w:eastAsia="de-DE"/>
        </w:rPr>
        <w:t>האדם</w:t>
      </w:r>
      <w:r w:rsidRPr="00282BD6">
        <w:rPr>
          <w:rFonts w:eastAsia="Times New Roman" w:cs="Times New Roman"/>
          <w:rtl/>
          <w:lang w:eastAsia="de-DE"/>
        </w:rPr>
        <w:t xml:space="preserve"> </w:t>
      </w:r>
      <w:r w:rsidRPr="00282BD6">
        <w:rPr>
          <w:rFonts w:eastAsia="Times New Roman" w:cs="Times New Roman"/>
          <w:lang w:eastAsia="de-DE"/>
        </w:rPr>
        <w:t xml:space="preserve">(der Mensch) als universelle Bezeichnung zeigt, dass diese Verheißung für alle Menschen gilt. </w:t>
      </w:r>
      <w:r w:rsidRPr="00282BD6">
        <w:rPr>
          <w:rFonts w:eastAsia="Times New Roman" w:cs="Times New Roman"/>
          <w:b/>
          <w:bCs/>
          <w:rtl/>
          <w:lang w:eastAsia="de-DE"/>
        </w:rPr>
        <w:t>וחי בהם</w:t>
      </w:r>
      <w:r w:rsidRPr="00282BD6">
        <w:rPr>
          <w:rFonts w:eastAsia="Times New Roman" w:cs="Times New Roman"/>
          <w:rtl/>
          <w:lang w:eastAsia="de-DE"/>
        </w:rPr>
        <w:t xml:space="preserve"> </w:t>
      </w:r>
      <w:r w:rsidRPr="00282BD6">
        <w:rPr>
          <w:rFonts w:eastAsia="Times New Roman" w:cs="Times New Roman"/>
          <w:lang w:eastAsia="de-DE"/>
        </w:rPr>
        <w:t xml:space="preserve">(und leben wird durch sie) - </w:t>
      </w:r>
      <w:r w:rsidRPr="00282BD6">
        <w:rPr>
          <w:rFonts w:eastAsia="Times New Roman" w:cs="Times New Roman"/>
          <w:b/>
          <w:bCs/>
          <w:rtl/>
          <w:lang w:eastAsia="de-DE"/>
        </w:rPr>
        <w:t>חי</w:t>
      </w:r>
      <w:r w:rsidRPr="00282BD6">
        <w:rPr>
          <w:rFonts w:eastAsia="Times New Roman" w:cs="Times New Roman"/>
          <w:rtl/>
          <w:lang w:eastAsia="de-DE"/>
        </w:rPr>
        <w:t xml:space="preserve"> </w:t>
      </w:r>
      <w:r w:rsidRPr="00282BD6">
        <w:rPr>
          <w:rFonts w:eastAsia="Times New Roman" w:cs="Times New Roman"/>
          <w:lang w:eastAsia="de-DE"/>
        </w:rPr>
        <w:t xml:space="preserve">(leben wird) im Qal-Perfekt mit Waw-Konsekutiv, </w:t>
      </w:r>
      <w:r w:rsidRPr="00282BD6">
        <w:rPr>
          <w:rFonts w:eastAsia="Times New Roman" w:cs="Times New Roman"/>
          <w:b/>
          <w:bCs/>
          <w:rtl/>
          <w:lang w:eastAsia="de-DE"/>
        </w:rPr>
        <w:t>בהם</w:t>
      </w:r>
      <w:r w:rsidRPr="00282BD6">
        <w:rPr>
          <w:rFonts w:eastAsia="Times New Roman" w:cs="Times New Roman"/>
          <w:rtl/>
          <w:lang w:eastAsia="de-DE"/>
        </w:rPr>
        <w:t xml:space="preserve"> </w:t>
      </w:r>
      <w:r w:rsidRPr="00282BD6">
        <w:rPr>
          <w:rFonts w:eastAsia="Times New Roman" w:cs="Times New Roman"/>
          <w:lang w:eastAsia="de-DE"/>
        </w:rPr>
        <w:t>(durch sie) zeigt die Gesetze als Lebensquelle.</w:t>
      </w:r>
    </w:p>
    <w:p w14:paraId="396091A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lastRenderedPageBreak/>
        <w:t>אני יהוה</w:t>
      </w:r>
      <w:r w:rsidRPr="00282BD6">
        <w:rPr>
          <w:rFonts w:eastAsia="Times New Roman" w:cs="Times New Roman"/>
          <w:rtl/>
          <w:lang w:eastAsia="de-DE"/>
        </w:rPr>
        <w:t xml:space="preserve"> </w:t>
      </w:r>
      <w:r w:rsidRPr="00282BD6">
        <w:rPr>
          <w:rFonts w:eastAsia="Times New Roman" w:cs="Times New Roman"/>
          <w:lang w:eastAsia="de-DE"/>
        </w:rPr>
        <w:t xml:space="preserve">(ich bin der Ewige) als verkürzte Autoritätsformel ohne </w:t>
      </w:r>
      <w:r w:rsidRPr="00282BD6">
        <w:rPr>
          <w:rFonts w:eastAsia="Times New Roman" w:cs="Times New Roman"/>
          <w:b/>
          <w:bCs/>
          <w:rtl/>
          <w:lang w:eastAsia="de-DE"/>
        </w:rPr>
        <w:t>אלהיכם</w:t>
      </w:r>
      <w:r w:rsidRPr="00282BD6">
        <w:rPr>
          <w:rFonts w:eastAsia="Times New Roman" w:cs="Times New Roman"/>
          <w:lang w:eastAsia="de-DE"/>
        </w:rPr>
        <w:t>.</w:t>
      </w:r>
    </w:p>
    <w:p w14:paraId="48BFB42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יעשה אתם האדם</w:t>
      </w:r>
      <w:r w:rsidRPr="00282BD6">
        <w:rPr>
          <w:rFonts w:eastAsia="Times New Roman" w:cs="Times New Roman"/>
          <w:rtl/>
          <w:lang w:eastAsia="de-DE"/>
        </w:rPr>
        <w:t xml:space="preserve"> </w:t>
      </w:r>
      <w:r w:rsidRPr="00282BD6">
        <w:rPr>
          <w:rFonts w:eastAsia="Times New Roman" w:cs="Times New Roman"/>
          <w:lang w:eastAsia="de-DE"/>
        </w:rPr>
        <w:t xml:space="preserve">zeigt die universelle Gültigkeit der Lebensverheißung. </w:t>
      </w:r>
      <w:r w:rsidRPr="00282BD6">
        <w:rPr>
          <w:rFonts w:eastAsia="Times New Roman" w:cs="Times New Roman"/>
          <w:b/>
          <w:bCs/>
          <w:rtl/>
          <w:lang w:eastAsia="de-DE"/>
        </w:rPr>
        <w:t>וחי בהם</w:t>
      </w:r>
      <w:r w:rsidRPr="00282BD6">
        <w:rPr>
          <w:rFonts w:eastAsia="Times New Roman" w:cs="Times New Roman"/>
          <w:rtl/>
          <w:lang w:eastAsia="de-DE"/>
        </w:rPr>
        <w:t xml:space="preserve"> </w:t>
      </w:r>
      <w:r w:rsidRPr="00282BD6">
        <w:rPr>
          <w:rFonts w:eastAsia="Times New Roman" w:cs="Times New Roman"/>
          <w:lang w:eastAsia="de-DE"/>
        </w:rPr>
        <w:t>etabliert die Gesetze nicht als Todesprinzip, sondern als Lebensprinzip. Die Verheißung steht im Kontrast zu den Todesstrafen der folgenden Verbote.</w:t>
      </w:r>
    </w:p>
    <w:p w14:paraId="7D6E9D1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ושמרתם</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φυλάξεσθε</w:t>
      </w:r>
      <w:proofErr w:type="spellEnd"/>
      <w:r w:rsidRPr="00282BD6">
        <w:rPr>
          <w:rFonts w:eastAsia="Times New Roman" w:cs="Times New Roman"/>
          <w:lang w:eastAsia="de-DE"/>
        </w:rPr>
        <w:t xml:space="preserve"> (ihr werdet bewahren), </w:t>
      </w:r>
      <w:r w:rsidRPr="00282BD6">
        <w:rPr>
          <w:rFonts w:eastAsia="Times New Roman" w:cs="Times New Roman"/>
          <w:b/>
          <w:bCs/>
          <w:rtl/>
          <w:lang w:eastAsia="de-DE"/>
        </w:rPr>
        <w:t>יעשה</w:t>
      </w:r>
      <w:r w:rsidRPr="00282BD6">
        <w:rPr>
          <w:rFonts w:eastAsia="Times New Roman" w:cs="Times New Roman"/>
          <w:rtl/>
          <w:lang w:eastAsia="de-DE"/>
        </w:rPr>
        <w:t xml:space="preserve"> </w:t>
      </w:r>
      <w:r w:rsidRPr="00282BD6">
        <w:rPr>
          <w:rFonts w:eastAsia="Times New Roman" w:cs="Times New Roman"/>
          <w:lang w:eastAsia="de-DE"/>
        </w:rPr>
        <w:t>mit π</w:t>
      </w:r>
      <w:proofErr w:type="spellStart"/>
      <w:r w:rsidRPr="00282BD6">
        <w:rPr>
          <w:rFonts w:eastAsia="Times New Roman" w:cs="Times New Roman"/>
          <w:lang w:eastAsia="de-DE"/>
        </w:rPr>
        <w:t>οιήσ</w:t>
      </w:r>
      <w:proofErr w:type="spellEnd"/>
      <w:r w:rsidRPr="00282BD6">
        <w:rPr>
          <w:rFonts w:eastAsia="Times New Roman" w:cs="Times New Roman"/>
          <w:lang w:eastAsia="de-DE"/>
        </w:rPr>
        <w:t xml:space="preserve">ας (getan habend) und </w:t>
      </w:r>
      <w:r w:rsidRPr="00282BD6">
        <w:rPr>
          <w:rFonts w:eastAsia="Times New Roman" w:cs="Times New Roman"/>
          <w:b/>
          <w:bCs/>
          <w:rtl/>
          <w:lang w:eastAsia="de-DE"/>
        </w:rPr>
        <w:t>וחי בהם</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ζήσετ</w:t>
      </w:r>
      <w:proofErr w:type="spellEnd"/>
      <w:r w:rsidRPr="00282BD6">
        <w:rPr>
          <w:rFonts w:eastAsia="Times New Roman" w:cs="Times New Roman"/>
          <w:lang w:eastAsia="de-DE"/>
        </w:rPr>
        <w:t xml:space="preserve">αι </w:t>
      </w:r>
      <w:proofErr w:type="spellStart"/>
      <w:r w:rsidRPr="00282BD6">
        <w:rPr>
          <w:rFonts w:eastAsia="Times New Roman" w:cs="Times New Roman"/>
          <w:lang w:eastAsia="de-DE"/>
        </w:rPr>
        <w:t>ἐν</w:t>
      </w:r>
      <w:proofErr w:type="spellEnd"/>
      <w:r w:rsidRPr="00282BD6">
        <w:rPr>
          <w:rFonts w:eastAsia="Times New Roman" w:cs="Times New Roman"/>
          <w:lang w:eastAsia="de-DE"/>
        </w:rPr>
        <w:t xml:space="preserve"> α</w:t>
      </w:r>
      <w:proofErr w:type="spellStart"/>
      <w:r w:rsidRPr="00282BD6">
        <w:rPr>
          <w:rFonts w:eastAsia="Times New Roman" w:cs="Times New Roman"/>
          <w:lang w:eastAsia="de-DE"/>
        </w:rPr>
        <w:t>ὐτοῖς</w:t>
      </w:r>
      <w:proofErr w:type="spellEnd"/>
      <w:r w:rsidRPr="00282BD6">
        <w:rPr>
          <w:rFonts w:eastAsia="Times New Roman" w:cs="Times New Roman"/>
          <w:lang w:eastAsia="de-DE"/>
        </w:rPr>
        <w:t xml:space="preserve"> (wird leben in ihnen).</w:t>
      </w:r>
    </w:p>
    <w:p w14:paraId="178CAD2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Lebensverheißung: Befolgungspflicht + Relativsatz mit universeller Lebensverheißung + göttliche Autoritätsformel.</w:t>
      </w:r>
    </w:p>
    <w:p w14:paraId="0ADAB2E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berühmte Vers etabliert die göttlichen Gesetze als Lebensprinzip und universelle Lebensverheißung für alle Menschen.</w:t>
      </w:r>
    </w:p>
    <w:p w14:paraId="46553767"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18,6</w:t>
      </w:r>
    </w:p>
    <w:p w14:paraId="4E3B391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אִ֥ישׁ אִ֛ישׁ אֶל־כָּל־שְׁאֵ֥ר בְּשָׂרֹ֖ו לֹ֣א תִקְרְב֑וּ לְגַלּ֥וֹת עֶרְוָ֖ה אֲנִ֥י יְהוָֽה׃</w:t>
      </w:r>
    </w:p>
    <w:p w14:paraId="510A1CE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Niemand soll sich irgendeinem Blutsverwandten nähern, um ihre Blöße zu entblößen. Ich bin der Ewige.</w:t>
      </w:r>
    </w:p>
    <w:p w14:paraId="0C043CFD"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1FB00D52">
          <v:rect id="_x0000_i1536" style="width:0;height:1.5pt" o:hralign="center" o:hrstd="t" o:hr="t" fillcolor="#a0a0a0" stroked="f"/>
        </w:pict>
      </w:r>
    </w:p>
    <w:p w14:paraId="19A472A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איש איש אל־כל־שאר בשרו לא תקרבו לגלות ערוה אני יהוה</w:t>
      </w:r>
      <w:r w:rsidRPr="00282BD6">
        <w:rPr>
          <w:rFonts w:eastAsia="Times New Roman" w:cs="Times New Roman"/>
          <w:rtl/>
          <w:lang w:eastAsia="de-DE"/>
        </w:rPr>
        <w:t xml:space="preserve"> </w:t>
      </w:r>
      <w:r w:rsidRPr="00282BD6">
        <w:rPr>
          <w:rFonts w:eastAsia="Times New Roman" w:cs="Times New Roman"/>
          <w:lang w:eastAsia="de-DE"/>
        </w:rPr>
        <w:t xml:space="preserve">etabliert das fundamentale Inzestverbot. </w:t>
      </w:r>
      <w:r w:rsidRPr="00282BD6">
        <w:rPr>
          <w:rFonts w:eastAsia="Times New Roman" w:cs="Times New Roman"/>
          <w:b/>
          <w:bCs/>
          <w:rtl/>
          <w:lang w:eastAsia="de-DE"/>
        </w:rPr>
        <w:t>איש איש</w:t>
      </w:r>
      <w:r w:rsidRPr="00282BD6">
        <w:rPr>
          <w:rFonts w:eastAsia="Times New Roman" w:cs="Times New Roman"/>
          <w:rtl/>
          <w:lang w:eastAsia="de-DE"/>
        </w:rPr>
        <w:t xml:space="preserve"> </w:t>
      </w:r>
      <w:r w:rsidRPr="00282BD6">
        <w:rPr>
          <w:rFonts w:eastAsia="Times New Roman" w:cs="Times New Roman"/>
          <w:lang w:eastAsia="de-DE"/>
        </w:rPr>
        <w:t xml:space="preserve">(jeder Mann) als distributive Verdopplung zeigt universelle Anwendung auf alle israelitischen Männer. </w:t>
      </w:r>
      <w:r w:rsidRPr="00282BD6">
        <w:rPr>
          <w:rFonts w:eastAsia="Times New Roman" w:cs="Times New Roman"/>
          <w:b/>
          <w:bCs/>
          <w:rtl/>
          <w:lang w:eastAsia="de-DE"/>
        </w:rPr>
        <w:t>אל־כל־שאר בשרו</w:t>
      </w:r>
      <w:r w:rsidRPr="00282BD6">
        <w:rPr>
          <w:rFonts w:eastAsia="Times New Roman" w:cs="Times New Roman"/>
          <w:rtl/>
          <w:lang w:eastAsia="de-DE"/>
        </w:rPr>
        <w:t xml:space="preserve"> </w:t>
      </w:r>
      <w:r w:rsidRPr="00282BD6">
        <w:rPr>
          <w:rFonts w:eastAsia="Times New Roman" w:cs="Times New Roman"/>
          <w:lang w:eastAsia="de-DE"/>
        </w:rPr>
        <w:t xml:space="preserve">(zu irgendeinem Blutsverwandten) - </w:t>
      </w:r>
      <w:r w:rsidRPr="00282BD6">
        <w:rPr>
          <w:rFonts w:eastAsia="Times New Roman" w:cs="Times New Roman"/>
          <w:b/>
          <w:bCs/>
          <w:rtl/>
          <w:lang w:eastAsia="de-DE"/>
        </w:rPr>
        <w:t>שאר בשר</w:t>
      </w:r>
      <w:r w:rsidRPr="00282BD6">
        <w:rPr>
          <w:rFonts w:eastAsia="Times New Roman" w:cs="Times New Roman"/>
          <w:rtl/>
          <w:lang w:eastAsia="de-DE"/>
        </w:rPr>
        <w:t xml:space="preserve"> </w:t>
      </w:r>
      <w:r w:rsidRPr="00282BD6">
        <w:rPr>
          <w:rFonts w:eastAsia="Times New Roman" w:cs="Times New Roman"/>
          <w:lang w:eastAsia="de-DE"/>
        </w:rPr>
        <w:t>(Blutsverwandter) wörtlich "Fleischesrest", zeigt nahe Verwandtschaft durch gemeinsames "Fleisch".</w:t>
      </w:r>
    </w:p>
    <w:p w14:paraId="54D03C99" w14:textId="68969AFC"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לא תקרבו לגלות ערוה</w:t>
      </w:r>
      <w:r w:rsidRPr="00282BD6">
        <w:rPr>
          <w:rFonts w:eastAsia="Times New Roman" w:cs="Times New Roman"/>
          <w:rtl/>
          <w:lang w:eastAsia="de-DE"/>
        </w:rPr>
        <w:t xml:space="preserve"> </w:t>
      </w:r>
      <w:r w:rsidRPr="00282BD6">
        <w:rPr>
          <w:rFonts w:eastAsia="Times New Roman" w:cs="Times New Roman"/>
          <w:lang w:eastAsia="de-DE"/>
        </w:rPr>
        <w:t xml:space="preserve">(sollt ihr nicht nahen, um Blöße zu entblößen) - </w:t>
      </w:r>
      <w:r w:rsidRPr="00282BD6">
        <w:rPr>
          <w:rFonts w:eastAsia="Times New Roman" w:cs="Times New Roman"/>
          <w:b/>
          <w:bCs/>
          <w:rtl/>
          <w:lang w:eastAsia="de-DE"/>
        </w:rPr>
        <w:t>תקרבו</w:t>
      </w:r>
      <w:r w:rsidRPr="00282BD6">
        <w:rPr>
          <w:rFonts w:eastAsia="Times New Roman" w:cs="Times New Roman"/>
          <w:rtl/>
          <w:lang w:eastAsia="de-DE"/>
        </w:rPr>
        <w:t xml:space="preserve"> </w:t>
      </w:r>
      <w:r w:rsidRPr="00282BD6">
        <w:rPr>
          <w:rFonts w:eastAsia="Times New Roman" w:cs="Times New Roman"/>
          <w:lang w:eastAsia="de-DE"/>
        </w:rPr>
        <w:t xml:space="preserve">(ihr sollt nahen) im Qal-Imperfekt mit Negation zeigt Annäherungsverbot. </w:t>
      </w:r>
      <w:r w:rsidRPr="00282BD6">
        <w:rPr>
          <w:rFonts w:eastAsia="Times New Roman" w:cs="Times New Roman"/>
          <w:b/>
          <w:bCs/>
          <w:rtl/>
          <w:lang w:eastAsia="de-DE"/>
        </w:rPr>
        <w:t>לגלות ערוה</w:t>
      </w:r>
      <w:r w:rsidRPr="00282BD6">
        <w:rPr>
          <w:rFonts w:eastAsia="Times New Roman" w:cs="Times New Roman"/>
          <w:rtl/>
          <w:lang w:eastAsia="de-DE"/>
        </w:rPr>
        <w:t xml:space="preserve"> </w:t>
      </w:r>
      <w:r w:rsidRPr="00282BD6">
        <w:rPr>
          <w:rFonts w:eastAsia="Times New Roman" w:cs="Times New Roman"/>
          <w:lang w:eastAsia="de-DE"/>
        </w:rPr>
        <w:t xml:space="preserve">(um Blöße zu entblößen) - </w:t>
      </w:r>
      <w:r w:rsidRPr="00282BD6">
        <w:rPr>
          <w:rFonts w:eastAsia="Times New Roman" w:cs="Times New Roman"/>
          <w:b/>
          <w:bCs/>
          <w:rtl/>
          <w:lang w:eastAsia="de-DE"/>
        </w:rPr>
        <w:t>לגלות</w:t>
      </w:r>
      <w:r w:rsidRPr="00282BD6">
        <w:rPr>
          <w:rFonts w:eastAsia="Times New Roman" w:cs="Times New Roman"/>
          <w:rtl/>
          <w:lang w:eastAsia="de-DE"/>
        </w:rPr>
        <w:t xml:space="preserve"> </w:t>
      </w:r>
      <w:r w:rsidRPr="00282BD6">
        <w:rPr>
          <w:rFonts w:eastAsia="Times New Roman" w:cs="Times New Roman"/>
          <w:lang w:eastAsia="de-DE"/>
        </w:rPr>
        <w:t>(um zu entblößen) im Piel-Infinitiv-</w:t>
      </w:r>
      <w:r w:rsidR="005407E2">
        <w:rPr>
          <w:rFonts w:eastAsia="Times New Roman" w:cs="Times New Roman"/>
          <w:lang w:eastAsia="de-DE"/>
        </w:rPr>
        <w:t>Constructus</w:t>
      </w:r>
      <w:r w:rsidRPr="00282BD6">
        <w:rPr>
          <w:rFonts w:eastAsia="Times New Roman" w:cs="Times New Roman"/>
          <w:lang w:eastAsia="de-DE"/>
        </w:rPr>
        <w:t xml:space="preserve">, das Piel zeigt intensive Entblößung. </w:t>
      </w:r>
      <w:r w:rsidRPr="00282BD6">
        <w:rPr>
          <w:rFonts w:eastAsia="Times New Roman" w:cs="Times New Roman"/>
          <w:b/>
          <w:bCs/>
          <w:rtl/>
          <w:lang w:eastAsia="de-DE"/>
        </w:rPr>
        <w:t>ערוה</w:t>
      </w:r>
      <w:r w:rsidRPr="00282BD6">
        <w:rPr>
          <w:rFonts w:eastAsia="Times New Roman" w:cs="Times New Roman"/>
          <w:rtl/>
          <w:lang w:eastAsia="de-DE"/>
        </w:rPr>
        <w:t xml:space="preserve"> </w:t>
      </w:r>
      <w:r w:rsidRPr="00282BD6">
        <w:rPr>
          <w:rFonts w:eastAsia="Times New Roman" w:cs="Times New Roman"/>
          <w:lang w:eastAsia="de-DE"/>
        </w:rPr>
        <w:t>(Blöße/Scham) als euphemistische Bezeichnung für Geschlechtsverkehr.</w:t>
      </w:r>
    </w:p>
    <w:p w14:paraId="53B1AD0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אני יהוה</w:t>
      </w:r>
      <w:r w:rsidRPr="00282BD6">
        <w:rPr>
          <w:rFonts w:eastAsia="Times New Roman" w:cs="Times New Roman"/>
          <w:rtl/>
          <w:lang w:eastAsia="de-DE"/>
        </w:rPr>
        <w:t xml:space="preserve"> </w:t>
      </w:r>
      <w:r w:rsidRPr="00282BD6">
        <w:rPr>
          <w:rFonts w:eastAsia="Times New Roman" w:cs="Times New Roman"/>
          <w:lang w:eastAsia="de-DE"/>
        </w:rPr>
        <w:t xml:space="preserve">(ich bin der Ewige) als Autoritätsformel ohne </w:t>
      </w:r>
      <w:r w:rsidRPr="00282BD6">
        <w:rPr>
          <w:rFonts w:eastAsia="Times New Roman" w:cs="Times New Roman"/>
          <w:b/>
          <w:bCs/>
          <w:rtl/>
          <w:lang w:eastAsia="de-DE"/>
        </w:rPr>
        <w:t>אלהיכם</w:t>
      </w:r>
      <w:r w:rsidRPr="00282BD6">
        <w:rPr>
          <w:rFonts w:eastAsia="Times New Roman" w:cs="Times New Roman"/>
          <w:lang w:eastAsia="de-DE"/>
        </w:rPr>
        <w:t>.</w:t>
      </w:r>
    </w:p>
    <w:p w14:paraId="62487BA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איש איש</w:t>
      </w:r>
      <w:r w:rsidRPr="00282BD6">
        <w:rPr>
          <w:rFonts w:eastAsia="Times New Roman" w:cs="Times New Roman"/>
          <w:rtl/>
          <w:lang w:eastAsia="de-DE"/>
        </w:rPr>
        <w:t xml:space="preserve"> </w:t>
      </w:r>
      <w:r w:rsidRPr="00282BD6">
        <w:rPr>
          <w:rFonts w:eastAsia="Times New Roman" w:cs="Times New Roman"/>
          <w:lang w:eastAsia="de-DE"/>
        </w:rPr>
        <w:t xml:space="preserve">zeigt, dass sich die Verbote primär an Männer richten. </w:t>
      </w:r>
      <w:r w:rsidRPr="00282BD6">
        <w:rPr>
          <w:rFonts w:eastAsia="Times New Roman" w:cs="Times New Roman"/>
          <w:b/>
          <w:bCs/>
          <w:rtl/>
          <w:lang w:eastAsia="de-DE"/>
        </w:rPr>
        <w:t>שאר בשרו</w:t>
      </w:r>
      <w:r w:rsidRPr="00282BD6">
        <w:rPr>
          <w:rFonts w:eastAsia="Times New Roman" w:cs="Times New Roman"/>
          <w:rtl/>
          <w:lang w:eastAsia="de-DE"/>
        </w:rPr>
        <w:t xml:space="preserve"> </w:t>
      </w:r>
      <w:r w:rsidRPr="00282BD6">
        <w:rPr>
          <w:rFonts w:eastAsia="Times New Roman" w:cs="Times New Roman"/>
          <w:lang w:eastAsia="de-DE"/>
        </w:rPr>
        <w:t xml:space="preserve">etabliert Verwandtschaft als biologische Realität. </w:t>
      </w:r>
      <w:r w:rsidRPr="00282BD6">
        <w:rPr>
          <w:rFonts w:eastAsia="Times New Roman" w:cs="Times New Roman"/>
          <w:b/>
          <w:bCs/>
          <w:rtl/>
          <w:lang w:eastAsia="de-DE"/>
        </w:rPr>
        <w:t>קרב</w:t>
      </w:r>
      <w:r w:rsidRPr="00282BD6">
        <w:rPr>
          <w:rFonts w:eastAsia="Times New Roman" w:cs="Times New Roman"/>
          <w:rtl/>
          <w:lang w:eastAsia="de-DE"/>
        </w:rPr>
        <w:t xml:space="preserve"> </w:t>
      </w:r>
      <w:r w:rsidRPr="00282BD6">
        <w:rPr>
          <w:rFonts w:eastAsia="Times New Roman" w:cs="Times New Roman"/>
          <w:lang w:eastAsia="de-DE"/>
        </w:rPr>
        <w:t xml:space="preserve">+ </w:t>
      </w:r>
      <w:r w:rsidRPr="00282BD6">
        <w:rPr>
          <w:rFonts w:eastAsia="Times New Roman" w:cs="Times New Roman"/>
          <w:b/>
          <w:bCs/>
          <w:rtl/>
          <w:lang w:eastAsia="de-DE"/>
        </w:rPr>
        <w:t>גלה ערוה</w:t>
      </w:r>
      <w:r w:rsidRPr="00282BD6">
        <w:rPr>
          <w:rFonts w:eastAsia="Times New Roman" w:cs="Times New Roman"/>
          <w:rtl/>
          <w:lang w:eastAsia="de-DE"/>
        </w:rPr>
        <w:t xml:space="preserve"> </w:t>
      </w:r>
      <w:r w:rsidRPr="00282BD6">
        <w:rPr>
          <w:rFonts w:eastAsia="Times New Roman" w:cs="Times New Roman"/>
          <w:lang w:eastAsia="de-DE"/>
        </w:rPr>
        <w:t>als doppelte euphemistische Umschreibung für Geschlechtsverkehr.</w:t>
      </w:r>
    </w:p>
    <w:p w14:paraId="11BD7F48" w14:textId="5DD7618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w:t>
      </w:r>
      <w:r w:rsidR="00E705C5">
        <w:t xml:space="preserve">übersetzt </w:t>
      </w:r>
      <w:r w:rsidR="00E705C5">
        <w:rPr>
          <w:rtl/>
        </w:rPr>
        <w:t>שאר בשרו</w:t>
      </w:r>
      <w:r w:rsidR="00E705C5">
        <w:t xml:space="preserve"> (</w:t>
      </w:r>
      <w:proofErr w:type="spellStart"/>
      <w:r w:rsidR="00E705C5">
        <w:t>she'er</w:t>
      </w:r>
      <w:proofErr w:type="spellEnd"/>
      <w:r w:rsidR="00E705C5">
        <w:t xml:space="preserve"> </w:t>
      </w:r>
      <w:proofErr w:type="spellStart"/>
      <w:r w:rsidR="00E705C5">
        <w:t>besaro</w:t>
      </w:r>
      <w:proofErr w:type="spellEnd"/>
      <w:r w:rsidR="00E705C5">
        <w:t xml:space="preserve"> - "sein Fleischverwandter") als </w:t>
      </w:r>
      <w:proofErr w:type="spellStart"/>
      <w:r w:rsidR="00E705C5">
        <w:t>οἰκεῖ</w:t>
      </w:r>
      <w:proofErr w:type="spellEnd"/>
      <w:r w:rsidR="00E705C5">
        <w:t>α σα</w:t>
      </w:r>
      <w:proofErr w:type="spellStart"/>
      <w:r w:rsidR="00E705C5">
        <w:t>ρκὸς</w:t>
      </w:r>
      <w:proofErr w:type="spellEnd"/>
      <w:r w:rsidR="00E705C5">
        <w:t xml:space="preserve"> α</w:t>
      </w:r>
      <w:proofErr w:type="spellStart"/>
      <w:r w:rsidR="00E705C5">
        <w:t>ὐτοῦ</w:t>
      </w:r>
      <w:proofErr w:type="spellEnd"/>
      <w:r w:rsidR="00E705C5">
        <w:t xml:space="preserve"> (Hausgenossen seines Fleisches), was den sozialen Aspekt der Verwandtschaft betont. </w:t>
      </w:r>
      <w:r w:rsidR="00E705C5">
        <w:rPr>
          <w:rtl/>
        </w:rPr>
        <w:t>עֶרְוָה</w:t>
      </w:r>
      <w:r w:rsidR="00E705C5">
        <w:t xml:space="preserve"> (</w:t>
      </w:r>
      <w:proofErr w:type="spellStart"/>
      <w:r w:rsidR="00E705C5">
        <w:t>ervah</w:t>
      </w:r>
      <w:proofErr w:type="spellEnd"/>
      <w:r w:rsidR="00E705C5">
        <w:t xml:space="preserve"> - "Blöße/Scham") wird durchgehend als </w:t>
      </w:r>
      <w:proofErr w:type="spellStart"/>
      <w:r w:rsidR="00E705C5">
        <w:t>ἀσχημοσύνη</w:t>
      </w:r>
      <w:proofErr w:type="spellEnd"/>
      <w:r w:rsidR="00E705C5">
        <w:t xml:space="preserve"> (Unschicklichkeit/Schande) wiedergegeben.</w:t>
      </w:r>
    </w:p>
    <w:p w14:paraId="2DC8A20F"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universelles Inzestverbot: distributive Erfassung aller Männer + umfassende Verwandtschaftsbezeichnung + euphemistisches Verkehrsverbot + göttliche Autorität.</w:t>
      </w:r>
    </w:p>
    <w:p w14:paraId="04FDD61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lastRenderedPageBreak/>
        <w:t>Dieser Vers etabliert das grundsätzliche Inzestverbot als Fundament aller folgenden spezifischen Verwandtschaftsverbote.</w:t>
      </w:r>
    </w:p>
    <w:p w14:paraId="190A21FF"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18,7</w:t>
      </w:r>
    </w:p>
    <w:p w14:paraId="34C6E29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אָבִ֛יךָ וְעֶרְוַ֥ת אִמְּךָ֖ לֹ֣א תְגַלֵּ֑ה אִמְּךָ֣ הִ֔וא לֹ֥א תְגַלֶּ֖ה עֶרְוָתָֽהּ׃</w:t>
      </w:r>
    </w:p>
    <w:p w14:paraId="4CF09CF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deines Vaters und die Blöße deiner Mutter sollst du nicht entblößen; sie ist deine Mutter, du sollst ihre Blöße nicht entblößen.</w:t>
      </w:r>
    </w:p>
    <w:p w14:paraId="45C29A34"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3FFBBA29">
          <v:rect id="_x0000_i1537" style="width:0;height:1.5pt" o:hralign="center" o:hrstd="t" o:hr="t" fillcolor="#a0a0a0" stroked="f"/>
        </w:pict>
      </w:r>
    </w:p>
    <w:p w14:paraId="55A29B00"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אביך וערות אמך לא תגלה אמך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verbietet Inzest mit beiden Elternteilen. </w:t>
      </w:r>
      <w:r w:rsidRPr="00282BD6">
        <w:rPr>
          <w:rFonts w:eastAsia="Times New Roman" w:cs="Times New Roman"/>
          <w:b/>
          <w:bCs/>
          <w:rtl/>
          <w:lang w:eastAsia="de-DE"/>
        </w:rPr>
        <w:t>ערות אביך וערות אמך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deines Vaters und die Blöße deiner Mutter sollst du nicht entblößen) - </w:t>
      </w:r>
      <w:r w:rsidRPr="00282BD6">
        <w:rPr>
          <w:rFonts w:eastAsia="Times New Roman" w:cs="Times New Roman"/>
          <w:b/>
          <w:bCs/>
          <w:rtl/>
          <w:lang w:eastAsia="de-DE"/>
        </w:rPr>
        <w:t>ערות אביך</w:t>
      </w:r>
      <w:r w:rsidRPr="00282BD6">
        <w:rPr>
          <w:rFonts w:eastAsia="Times New Roman" w:cs="Times New Roman"/>
          <w:rtl/>
          <w:lang w:eastAsia="de-DE"/>
        </w:rPr>
        <w:t xml:space="preserve"> </w:t>
      </w:r>
      <w:r w:rsidRPr="00282BD6">
        <w:rPr>
          <w:rFonts w:eastAsia="Times New Roman" w:cs="Times New Roman"/>
          <w:lang w:eastAsia="de-DE"/>
        </w:rPr>
        <w:t xml:space="preserve">(die Blöße deines Vaters) kann entweder direkten homosexuellen Verkehr mit dem Vater oder Verkehr mit der Stiefmutter als Verletzung väterlicher Ehre bedeuten. </w:t>
      </w:r>
      <w:r w:rsidRPr="00282BD6">
        <w:rPr>
          <w:rFonts w:eastAsia="Times New Roman" w:cs="Times New Roman"/>
          <w:b/>
          <w:bCs/>
          <w:rtl/>
          <w:lang w:eastAsia="de-DE"/>
        </w:rPr>
        <w:t>תגלה</w:t>
      </w:r>
      <w:r w:rsidRPr="00282BD6">
        <w:rPr>
          <w:rFonts w:eastAsia="Times New Roman" w:cs="Times New Roman"/>
          <w:rtl/>
          <w:lang w:eastAsia="de-DE"/>
        </w:rPr>
        <w:t xml:space="preserve"> </w:t>
      </w:r>
      <w:r w:rsidRPr="00282BD6">
        <w:rPr>
          <w:rFonts w:eastAsia="Times New Roman" w:cs="Times New Roman"/>
          <w:lang w:eastAsia="de-DE"/>
        </w:rPr>
        <w:t>(du sollst entblößen) im Piel-Imperfekt, das Piel zeigt intensive Entblößung.</w:t>
      </w:r>
    </w:p>
    <w:p w14:paraId="5A212E3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אמך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(sie ist deine Mutter, du sollst ihre Blöße nicht entblößen) begründet das Verbot durch die Mutterbeziehung und wiederholt es emphatisch. </w:t>
      </w:r>
      <w:r w:rsidRPr="00282BD6">
        <w:rPr>
          <w:rFonts w:eastAsia="Times New Roman" w:cs="Times New Roman"/>
          <w:b/>
          <w:bCs/>
          <w:rtl/>
          <w:lang w:eastAsia="de-DE"/>
        </w:rPr>
        <w:t>אמך הוא</w:t>
      </w:r>
      <w:r w:rsidRPr="00282BD6">
        <w:rPr>
          <w:rFonts w:eastAsia="Times New Roman" w:cs="Times New Roman"/>
          <w:rtl/>
          <w:lang w:eastAsia="de-DE"/>
        </w:rPr>
        <w:t xml:space="preserve"> </w:t>
      </w:r>
      <w:r w:rsidRPr="00282BD6">
        <w:rPr>
          <w:rFonts w:eastAsia="Times New Roman" w:cs="Times New Roman"/>
          <w:lang w:eastAsia="de-DE"/>
        </w:rPr>
        <w:t>(sie ist deine Mutter) als Begründung durch Verwandtschaftsgrad.</w:t>
      </w:r>
    </w:p>
    <w:p w14:paraId="45F7887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ערות אביך</w:t>
      </w:r>
      <w:r w:rsidRPr="00282BD6">
        <w:rPr>
          <w:rFonts w:eastAsia="Times New Roman" w:cs="Times New Roman"/>
          <w:rtl/>
          <w:lang w:eastAsia="de-DE"/>
        </w:rPr>
        <w:t xml:space="preserve"> </w:t>
      </w:r>
      <w:r w:rsidRPr="00282BD6">
        <w:rPr>
          <w:rFonts w:eastAsia="Times New Roman" w:cs="Times New Roman"/>
          <w:lang w:eastAsia="de-DE"/>
        </w:rPr>
        <w:t xml:space="preserve">zeigt entweder direkte oder indirekte (durch die Ehefrau) Verletzung väterlicher Ehre. </w:t>
      </w:r>
      <w:r w:rsidRPr="00282BD6">
        <w:rPr>
          <w:rFonts w:eastAsia="Times New Roman" w:cs="Times New Roman"/>
          <w:b/>
          <w:bCs/>
          <w:rtl/>
          <w:lang w:eastAsia="de-DE"/>
        </w:rPr>
        <w:t>אמך הוא</w:t>
      </w:r>
      <w:r w:rsidRPr="00282BD6">
        <w:rPr>
          <w:rFonts w:eastAsia="Times New Roman" w:cs="Times New Roman"/>
          <w:rtl/>
          <w:lang w:eastAsia="de-DE"/>
        </w:rPr>
        <w:t xml:space="preserve"> </w:t>
      </w:r>
      <w:r w:rsidRPr="00282BD6">
        <w:rPr>
          <w:rFonts w:eastAsia="Times New Roman" w:cs="Times New Roman"/>
          <w:lang w:eastAsia="de-DE"/>
        </w:rPr>
        <w:t xml:space="preserve">betont die fundamentale Mutter-Sohn-Beziehung als Verbotsgrund. Die Wiederholung </w:t>
      </w:r>
      <w:r w:rsidRPr="00282BD6">
        <w:rPr>
          <w:rFonts w:eastAsia="Times New Roman" w:cs="Times New Roman"/>
          <w:b/>
          <w:bCs/>
          <w:rtl/>
          <w:lang w:eastAsia="de-DE"/>
        </w:rPr>
        <w:t>לא תגלה ערותה</w:t>
      </w:r>
      <w:r w:rsidRPr="00282BD6">
        <w:rPr>
          <w:rFonts w:eastAsia="Times New Roman" w:cs="Times New Roman"/>
          <w:rtl/>
          <w:lang w:eastAsia="de-DE"/>
        </w:rPr>
        <w:t xml:space="preserve"> </w:t>
      </w:r>
      <w:r w:rsidRPr="00282BD6">
        <w:rPr>
          <w:rFonts w:eastAsia="Times New Roman" w:cs="Times New Roman"/>
          <w:lang w:eastAsia="de-DE"/>
        </w:rPr>
        <w:t>verstärkt das absolute Mutterinzest-Verbot.</w:t>
      </w:r>
    </w:p>
    <w:p w14:paraId="443B20CF"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ערות אביך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ἀσχημοσύνην</w:t>
      </w:r>
      <w:proofErr w:type="spellEnd"/>
      <w:r w:rsidRPr="00282BD6">
        <w:rPr>
          <w:rFonts w:eastAsia="Times New Roman" w:cs="Times New Roman"/>
          <w:lang w:eastAsia="de-DE"/>
        </w:rPr>
        <w:t xml:space="preserve">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(Schande deines Vaters), </w:t>
      </w:r>
      <w:r w:rsidRPr="00282BD6">
        <w:rPr>
          <w:rFonts w:eastAsia="Times New Roman" w:cs="Times New Roman"/>
          <w:b/>
          <w:bCs/>
          <w:rtl/>
          <w:lang w:eastAsia="de-DE"/>
        </w:rPr>
        <w:t>אמך הוא</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μήτηρ</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σού</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ἐστιν</w:t>
      </w:r>
      <w:proofErr w:type="spellEnd"/>
      <w:r w:rsidRPr="00282BD6">
        <w:rPr>
          <w:rFonts w:eastAsia="Times New Roman" w:cs="Times New Roman"/>
          <w:lang w:eastAsia="de-DE"/>
        </w:rPr>
        <w:t xml:space="preserve"> (deine Mutter ist sie) und </w:t>
      </w:r>
      <w:r w:rsidRPr="00282BD6">
        <w:rPr>
          <w:rFonts w:eastAsia="Times New Roman" w:cs="Times New Roman"/>
          <w:b/>
          <w:bCs/>
          <w:rtl/>
          <w:lang w:eastAsia="de-DE"/>
        </w:rPr>
        <w:t>ערותה</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ἀσχημοσύνην</w:t>
      </w:r>
      <w:proofErr w:type="spellEnd"/>
      <w:r w:rsidRPr="00282BD6">
        <w:rPr>
          <w:rFonts w:eastAsia="Times New Roman" w:cs="Times New Roman"/>
          <w:lang w:eastAsia="de-DE"/>
        </w:rPr>
        <w:t xml:space="preserve"> α</w:t>
      </w:r>
      <w:proofErr w:type="spellStart"/>
      <w:r w:rsidRPr="00282BD6">
        <w:rPr>
          <w:rFonts w:eastAsia="Times New Roman" w:cs="Times New Roman"/>
          <w:lang w:eastAsia="de-DE"/>
        </w:rPr>
        <w:t>ὐτῆς</w:t>
      </w:r>
      <w:proofErr w:type="spellEnd"/>
      <w:r w:rsidRPr="00282BD6">
        <w:rPr>
          <w:rFonts w:eastAsia="Times New Roman" w:cs="Times New Roman"/>
          <w:lang w:eastAsia="de-DE"/>
        </w:rPr>
        <w:t xml:space="preserve"> (ihre Schande).</w:t>
      </w:r>
    </w:p>
    <w:p w14:paraId="2B668E66"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elterliches Inzestverbot: Verbot beiden Elternteilen gegenüber + Begründung durch Mutterbeziehung + emphatische Wiederholung des Mutterverbots.</w:t>
      </w:r>
    </w:p>
    <w:p w14:paraId="1871B9C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etabliert das absolute Verbot des Inzests mit beiden Elternteilen als Grundlage der Familienordnung.</w:t>
      </w:r>
    </w:p>
    <w:p w14:paraId="5DF1794F"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18,8</w:t>
      </w:r>
    </w:p>
    <w:p w14:paraId="13C7C05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אֵֽשֶׁת־אָבִ֖יךָ לֹ֣א תְגַלֵּ֑ה עֶרְוַ֥ת אָבִ֖יךָ הִֽוא׃</w:t>
      </w:r>
    </w:p>
    <w:p w14:paraId="712B8281"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der Frau deines Vaters sollst du nicht entblößen; es ist die Blöße deines Vaters.</w:t>
      </w:r>
    </w:p>
    <w:p w14:paraId="2D3A7D16"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372199A7">
          <v:rect id="_x0000_i1538" style="width:0;height:1.5pt" o:hralign="center" o:hrstd="t" o:hr="t" fillcolor="#a0a0a0" stroked="f"/>
        </w:pict>
      </w:r>
    </w:p>
    <w:p w14:paraId="37DD6FF6"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אשת־אביך לא תגלה ערות אביך הוא</w:t>
      </w:r>
      <w:r w:rsidRPr="00282BD6">
        <w:rPr>
          <w:rFonts w:eastAsia="Times New Roman" w:cs="Times New Roman"/>
          <w:rtl/>
          <w:lang w:eastAsia="de-DE"/>
        </w:rPr>
        <w:t xml:space="preserve"> </w:t>
      </w:r>
      <w:r w:rsidRPr="00282BD6">
        <w:rPr>
          <w:rFonts w:eastAsia="Times New Roman" w:cs="Times New Roman"/>
          <w:lang w:eastAsia="de-DE"/>
        </w:rPr>
        <w:t xml:space="preserve">verbietet Verkehr mit der Stiefmutter. </w:t>
      </w:r>
      <w:r w:rsidRPr="00282BD6">
        <w:rPr>
          <w:rFonts w:eastAsia="Times New Roman" w:cs="Times New Roman"/>
          <w:b/>
          <w:bCs/>
          <w:rtl/>
          <w:lang w:eastAsia="de-DE"/>
        </w:rPr>
        <w:t>ערות אשת־אביך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der Frau deines Vaters sollst du nicht entblößen) - </w:t>
      </w:r>
      <w:r w:rsidRPr="00282BD6">
        <w:rPr>
          <w:rFonts w:eastAsia="Times New Roman" w:cs="Times New Roman"/>
          <w:b/>
          <w:bCs/>
          <w:rtl/>
          <w:lang w:eastAsia="de-DE"/>
        </w:rPr>
        <w:t>אשת־אביך</w:t>
      </w:r>
      <w:r w:rsidRPr="00282BD6">
        <w:rPr>
          <w:rFonts w:eastAsia="Times New Roman" w:cs="Times New Roman"/>
          <w:rtl/>
          <w:lang w:eastAsia="de-DE"/>
        </w:rPr>
        <w:t xml:space="preserve"> </w:t>
      </w:r>
      <w:r w:rsidRPr="00282BD6">
        <w:rPr>
          <w:rFonts w:eastAsia="Times New Roman" w:cs="Times New Roman"/>
          <w:lang w:eastAsia="de-DE"/>
        </w:rPr>
        <w:t>(die Frau deines Vaters) als Stiefmutter, nicht notwendig die leibliche Mutter.</w:t>
      </w:r>
    </w:p>
    <w:p w14:paraId="451D085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lastRenderedPageBreak/>
        <w:t>ערות אביך הוא</w:t>
      </w:r>
      <w:r w:rsidRPr="00282BD6">
        <w:rPr>
          <w:rFonts w:eastAsia="Times New Roman" w:cs="Times New Roman"/>
          <w:rtl/>
          <w:lang w:eastAsia="de-DE"/>
        </w:rPr>
        <w:t xml:space="preserve"> </w:t>
      </w:r>
      <w:r w:rsidRPr="00282BD6">
        <w:rPr>
          <w:rFonts w:eastAsia="Times New Roman" w:cs="Times New Roman"/>
          <w:lang w:eastAsia="de-DE"/>
        </w:rPr>
        <w:t xml:space="preserve">(es ist die Blöße deines Vaters) zeigt die Begründung: der Verkehr mit der Ehefrau verletzt die Ehre und Rechte des Vaters. </w:t>
      </w:r>
      <w:r w:rsidRPr="00282BD6">
        <w:rPr>
          <w:rFonts w:eastAsia="Times New Roman" w:cs="Times New Roman"/>
          <w:b/>
          <w:bCs/>
          <w:rtl/>
          <w:lang w:eastAsia="de-DE"/>
        </w:rPr>
        <w:t>הוא</w:t>
      </w:r>
      <w:r w:rsidRPr="00282BD6">
        <w:rPr>
          <w:rFonts w:eastAsia="Times New Roman" w:cs="Times New Roman"/>
          <w:rtl/>
          <w:lang w:eastAsia="de-DE"/>
        </w:rPr>
        <w:t xml:space="preserve"> </w:t>
      </w:r>
      <w:r w:rsidRPr="00282BD6">
        <w:rPr>
          <w:rFonts w:eastAsia="Times New Roman" w:cs="Times New Roman"/>
          <w:lang w:eastAsia="de-DE"/>
        </w:rPr>
        <w:t xml:space="preserve">(es ist) bezieht sich auf </w:t>
      </w:r>
      <w:r w:rsidRPr="00282BD6">
        <w:rPr>
          <w:rFonts w:eastAsia="Times New Roman" w:cs="Times New Roman"/>
          <w:b/>
          <w:bCs/>
          <w:rtl/>
          <w:lang w:eastAsia="de-DE"/>
        </w:rPr>
        <w:t>ערות אשת־אביך</w:t>
      </w:r>
      <w:r w:rsidRPr="00282BD6">
        <w:rPr>
          <w:rFonts w:eastAsia="Times New Roman" w:cs="Times New Roman"/>
          <w:rtl/>
          <w:lang w:eastAsia="de-DE"/>
        </w:rPr>
        <w:t xml:space="preserve"> </w:t>
      </w:r>
      <w:r w:rsidRPr="00282BD6">
        <w:rPr>
          <w:rFonts w:eastAsia="Times New Roman" w:cs="Times New Roman"/>
          <w:lang w:eastAsia="de-DE"/>
        </w:rPr>
        <w:t xml:space="preserve">und identifiziert sie mit </w:t>
      </w:r>
      <w:r w:rsidRPr="00282BD6">
        <w:rPr>
          <w:rFonts w:eastAsia="Times New Roman" w:cs="Times New Roman"/>
          <w:b/>
          <w:bCs/>
          <w:rtl/>
          <w:lang w:eastAsia="de-DE"/>
        </w:rPr>
        <w:t>ערות אביך</w:t>
      </w:r>
      <w:r w:rsidRPr="00282BD6">
        <w:rPr>
          <w:rFonts w:eastAsia="Times New Roman" w:cs="Times New Roman"/>
          <w:lang w:eastAsia="de-DE"/>
        </w:rPr>
        <w:t>.</w:t>
      </w:r>
    </w:p>
    <w:p w14:paraId="05D5882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אשת־אביך</w:t>
      </w:r>
      <w:r w:rsidRPr="00282BD6">
        <w:rPr>
          <w:rFonts w:eastAsia="Times New Roman" w:cs="Times New Roman"/>
          <w:rtl/>
          <w:lang w:eastAsia="de-DE"/>
        </w:rPr>
        <w:t xml:space="preserve"> </w:t>
      </w:r>
      <w:r w:rsidRPr="00282BD6">
        <w:rPr>
          <w:rFonts w:eastAsia="Times New Roman" w:cs="Times New Roman"/>
          <w:lang w:eastAsia="de-DE"/>
        </w:rPr>
        <w:t xml:space="preserve">unterscheidet die Stiefmutter von </w:t>
      </w:r>
      <w:r w:rsidRPr="00282BD6">
        <w:rPr>
          <w:rFonts w:eastAsia="Times New Roman" w:cs="Times New Roman"/>
          <w:b/>
          <w:bCs/>
          <w:rtl/>
          <w:lang w:eastAsia="de-DE"/>
        </w:rPr>
        <w:t>אמך</w:t>
      </w:r>
      <w:r w:rsidRPr="00282BD6">
        <w:rPr>
          <w:rFonts w:eastAsia="Times New Roman" w:cs="Times New Roman"/>
          <w:rtl/>
          <w:lang w:eastAsia="de-DE"/>
        </w:rPr>
        <w:t xml:space="preserve"> </w:t>
      </w:r>
      <w:r w:rsidRPr="00282BD6">
        <w:rPr>
          <w:rFonts w:eastAsia="Times New Roman" w:cs="Times New Roman"/>
          <w:lang w:eastAsia="de-DE"/>
        </w:rPr>
        <w:t xml:space="preserve">(deiner Mutter) aus V. 7. </w:t>
      </w:r>
      <w:r w:rsidRPr="00282BD6">
        <w:rPr>
          <w:rFonts w:eastAsia="Times New Roman" w:cs="Times New Roman"/>
          <w:b/>
          <w:bCs/>
          <w:rtl/>
          <w:lang w:eastAsia="de-DE"/>
        </w:rPr>
        <w:t>ערות אביך הוא</w:t>
      </w:r>
      <w:r w:rsidRPr="00282BD6">
        <w:rPr>
          <w:rFonts w:eastAsia="Times New Roman" w:cs="Times New Roman"/>
          <w:rtl/>
          <w:lang w:eastAsia="de-DE"/>
        </w:rPr>
        <w:t xml:space="preserve"> </w:t>
      </w:r>
      <w:r w:rsidRPr="00282BD6">
        <w:rPr>
          <w:rFonts w:eastAsia="Times New Roman" w:cs="Times New Roman"/>
          <w:lang w:eastAsia="de-DE"/>
        </w:rPr>
        <w:t>etabliert das Prinzip, dass die Ehefrau die Ehre des Mannes repräsentiert. Die Begründung zeigt, dass der Verstoß primär gegen den Vater gerichtet ist.</w:t>
      </w:r>
    </w:p>
    <w:p w14:paraId="6BD55A3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אשת־אביך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γυν</w:t>
      </w:r>
      <w:proofErr w:type="spellEnd"/>
      <w:r w:rsidRPr="00282BD6">
        <w:rPr>
          <w:rFonts w:eastAsia="Times New Roman" w:cs="Times New Roman"/>
          <w:lang w:eastAsia="de-DE"/>
        </w:rPr>
        <w:t>αικὸς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(Frau deines Vaters) und </w:t>
      </w:r>
      <w:r w:rsidRPr="00282BD6">
        <w:rPr>
          <w:rFonts w:eastAsia="Times New Roman" w:cs="Times New Roman"/>
          <w:b/>
          <w:bCs/>
          <w:rtl/>
          <w:lang w:eastAsia="de-DE"/>
        </w:rPr>
        <w:t>ערות אביך הוא</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ἀσχημοσύνη</w:t>
      </w:r>
      <w:proofErr w:type="spellEnd"/>
      <w:r w:rsidRPr="00282BD6">
        <w:rPr>
          <w:rFonts w:eastAsia="Times New Roman" w:cs="Times New Roman"/>
          <w:lang w:eastAsia="de-DE"/>
        </w:rPr>
        <w:t xml:space="preserve">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σού</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ἐστιν</w:t>
      </w:r>
      <w:proofErr w:type="spellEnd"/>
      <w:r w:rsidRPr="00282BD6">
        <w:rPr>
          <w:rFonts w:eastAsia="Times New Roman" w:cs="Times New Roman"/>
          <w:lang w:eastAsia="de-DE"/>
        </w:rPr>
        <w:t xml:space="preserve"> (Schande deines Vaters ist sie).</w:t>
      </w:r>
    </w:p>
    <w:p w14:paraId="72F30190"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Stiefmutterverbot: Verkehrsverbot mit väterlicher Ehefrau + Begründung durch väterliche Ehrverletzung.</w:t>
      </w:r>
    </w:p>
    <w:p w14:paraId="6F8FEED1"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verbietet den Verkehr mit der Stiefmutter als Verletzung väterlicher Ehre und Autorität.</w:t>
      </w:r>
    </w:p>
    <w:p w14:paraId="7FC9AB5A"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18,9</w:t>
      </w:r>
    </w:p>
    <w:p w14:paraId="76BF9D6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אֲחוֹתְךָ֤ בַת־אָבִ֨יךָ֙ א֣וֹ בַת־אִמֶּ֔ךָ מוֹלֶ֣דֶת בַּ֔יִת א֖וֹ מוֹלֶ֣דֶת ח֑וּץ לֹ֥א תְגַלֶּ֖ה עֶרְוָתָֽן׃</w:t>
      </w:r>
    </w:p>
    <w:p w14:paraId="300615B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deiner Schwester, der Tochter deines Vaters oder der Tochter deiner Mutter, geboren im Haus oder draußen - ihre Blöße sollst du nicht entblößen.</w:t>
      </w:r>
    </w:p>
    <w:p w14:paraId="747BE837"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1F105E95">
          <v:rect id="_x0000_i1539" style="width:0;height:1.5pt" o:hralign="center" o:hrstd="t" o:hr="t" fillcolor="#a0a0a0" stroked="f"/>
        </w:pict>
      </w:r>
    </w:p>
    <w:p w14:paraId="508884E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אחותך בת־אביך או בת־אמך מולדת בית או מולדת חוץ לא תגלה ערותן</w:t>
      </w:r>
      <w:r w:rsidRPr="00282BD6">
        <w:rPr>
          <w:rFonts w:eastAsia="Times New Roman" w:cs="Times New Roman"/>
          <w:rtl/>
          <w:lang w:eastAsia="de-DE"/>
        </w:rPr>
        <w:t xml:space="preserve"> </w:t>
      </w:r>
      <w:r w:rsidRPr="00282BD6">
        <w:rPr>
          <w:rFonts w:eastAsia="Times New Roman" w:cs="Times New Roman"/>
          <w:lang w:eastAsia="de-DE"/>
        </w:rPr>
        <w:t xml:space="preserve">verbietet umfassend den Geschwisterinzest. </w:t>
      </w:r>
      <w:r w:rsidRPr="00282BD6">
        <w:rPr>
          <w:rFonts w:eastAsia="Times New Roman" w:cs="Times New Roman"/>
          <w:b/>
          <w:bCs/>
          <w:rtl/>
          <w:lang w:eastAsia="de-DE"/>
        </w:rPr>
        <w:t>ערות אחותך בת־אביך או בת־אמך</w:t>
      </w:r>
      <w:r w:rsidRPr="00282BD6">
        <w:rPr>
          <w:rFonts w:eastAsia="Times New Roman" w:cs="Times New Roman"/>
          <w:rtl/>
          <w:lang w:eastAsia="de-DE"/>
        </w:rPr>
        <w:t xml:space="preserve"> </w:t>
      </w:r>
      <w:r w:rsidRPr="00282BD6">
        <w:rPr>
          <w:rFonts w:eastAsia="Times New Roman" w:cs="Times New Roman"/>
          <w:lang w:eastAsia="de-DE"/>
        </w:rPr>
        <w:t>(die Blöße deiner Schwester, der Tochter deines Vaters oder der Tochter deiner Mutter) erfasst sowohl Vollgeschwister als auch Halbgeschwister väterlicherseits oder mütterlicherseits.</w:t>
      </w:r>
    </w:p>
    <w:p w14:paraId="205FAD1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מולדת בית או מולדת חוץ</w:t>
      </w:r>
      <w:r w:rsidRPr="00282BD6">
        <w:rPr>
          <w:rFonts w:eastAsia="Times New Roman" w:cs="Times New Roman"/>
          <w:rtl/>
          <w:lang w:eastAsia="de-DE"/>
        </w:rPr>
        <w:t xml:space="preserve"> </w:t>
      </w:r>
      <w:r w:rsidRPr="00282BD6">
        <w:rPr>
          <w:rFonts w:eastAsia="Times New Roman" w:cs="Times New Roman"/>
          <w:lang w:eastAsia="de-DE"/>
        </w:rPr>
        <w:t xml:space="preserve">(geboren im Haus oder draußen) - </w:t>
      </w:r>
      <w:r w:rsidRPr="00282BD6">
        <w:rPr>
          <w:rFonts w:eastAsia="Times New Roman" w:cs="Times New Roman"/>
          <w:b/>
          <w:bCs/>
          <w:rtl/>
          <w:lang w:eastAsia="de-DE"/>
        </w:rPr>
        <w:t>מולדת</w:t>
      </w:r>
      <w:r w:rsidRPr="00282BD6">
        <w:rPr>
          <w:rFonts w:eastAsia="Times New Roman" w:cs="Times New Roman"/>
          <w:rtl/>
          <w:lang w:eastAsia="de-DE"/>
        </w:rPr>
        <w:t xml:space="preserve"> </w:t>
      </w:r>
      <w:r w:rsidRPr="00282BD6">
        <w:rPr>
          <w:rFonts w:eastAsia="Times New Roman" w:cs="Times New Roman"/>
          <w:lang w:eastAsia="de-DE"/>
        </w:rPr>
        <w:t xml:space="preserve">(geboren) als Partizip feminin von </w:t>
      </w:r>
      <w:r w:rsidRPr="00282BD6">
        <w:rPr>
          <w:rFonts w:eastAsia="Times New Roman" w:cs="Times New Roman"/>
          <w:b/>
          <w:bCs/>
          <w:rtl/>
          <w:lang w:eastAsia="de-DE"/>
        </w:rPr>
        <w:t>ילד</w:t>
      </w:r>
      <w:r w:rsidRPr="00282BD6">
        <w:rPr>
          <w:rFonts w:eastAsia="Times New Roman" w:cs="Times New Roman"/>
          <w:lang w:eastAsia="de-DE"/>
        </w:rPr>
        <w:t xml:space="preserve">. </w:t>
      </w:r>
      <w:r w:rsidRPr="00282BD6">
        <w:rPr>
          <w:rFonts w:eastAsia="Times New Roman" w:cs="Times New Roman"/>
          <w:b/>
          <w:bCs/>
          <w:rtl/>
          <w:lang w:eastAsia="de-DE"/>
        </w:rPr>
        <w:t>בית</w:t>
      </w:r>
      <w:r w:rsidRPr="00282BD6">
        <w:rPr>
          <w:rFonts w:eastAsia="Times New Roman" w:cs="Times New Roman"/>
          <w:rtl/>
          <w:lang w:eastAsia="de-DE"/>
        </w:rPr>
        <w:t xml:space="preserve"> </w:t>
      </w:r>
      <w:r w:rsidRPr="00282BD6">
        <w:rPr>
          <w:rFonts w:eastAsia="Times New Roman" w:cs="Times New Roman"/>
          <w:lang w:eastAsia="de-DE"/>
        </w:rPr>
        <w:t xml:space="preserve">(im Haus) zeigt eheliche Geburt, </w:t>
      </w:r>
      <w:r w:rsidRPr="00282BD6">
        <w:rPr>
          <w:rFonts w:eastAsia="Times New Roman" w:cs="Times New Roman"/>
          <w:b/>
          <w:bCs/>
          <w:rtl/>
          <w:lang w:eastAsia="de-DE"/>
        </w:rPr>
        <w:t>חוץ</w:t>
      </w:r>
      <w:r w:rsidRPr="00282BD6">
        <w:rPr>
          <w:rFonts w:eastAsia="Times New Roman" w:cs="Times New Roman"/>
          <w:rtl/>
          <w:lang w:eastAsia="de-DE"/>
        </w:rPr>
        <w:t xml:space="preserve"> </w:t>
      </w:r>
      <w:r w:rsidRPr="00282BD6">
        <w:rPr>
          <w:rFonts w:eastAsia="Times New Roman" w:cs="Times New Roman"/>
          <w:lang w:eastAsia="de-DE"/>
        </w:rPr>
        <w:t>(draußen) zeigt außereheliche Geburt. Die Unterscheidung zeigt, dass der Geburtsort/Umstand irrelevant für das Verbot ist.</w:t>
      </w:r>
    </w:p>
    <w:p w14:paraId="11805261"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לא תגלה ערותן</w:t>
      </w:r>
      <w:r w:rsidRPr="00282BD6">
        <w:rPr>
          <w:rFonts w:eastAsia="Times New Roman" w:cs="Times New Roman"/>
          <w:rtl/>
          <w:lang w:eastAsia="de-DE"/>
        </w:rPr>
        <w:t xml:space="preserve"> </w:t>
      </w:r>
      <w:r w:rsidRPr="00282BD6">
        <w:rPr>
          <w:rFonts w:eastAsia="Times New Roman" w:cs="Times New Roman"/>
          <w:lang w:eastAsia="de-DE"/>
        </w:rPr>
        <w:t xml:space="preserve">(ihre Blöße sollst du nicht entblößen) - </w:t>
      </w:r>
      <w:r w:rsidRPr="00282BD6">
        <w:rPr>
          <w:rFonts w:eastAsia="Times New Roman" w:cs="Times New Roman"/>
          <w:b/>
          <w:bCs/>
          <w:rtl/>
          <w:lang w:eastAsia="de-DE"/>
        </w:rPr>
        <w:t>ערותן</w:t>
      </w:r>
      <w:r w:rsidRPr="00282BD6">
        <w:rPr>
          <w:rFonts w:eastAsia="Times New Roman" w:cs="Times New Roman"/>
          <w:rtl/>
          <w:lang w:eastAsia="de-DE"/>
        </w:rPr>
        <w:t xml:space="preserve"> </w:t>
      </w:r>
      <w:r w:rsidRPr="00282BD6">
        <w:rPr>
          <w:rFonts w:eastAsia="Times New Roman" w:cs="Times New Roman"/>
          <w:lang w:eastAsia="de-DE"/>
        </w:rPr>
        <w:t>(ihre Blöße) mit feminin Plural-Suffix bezieht sich auf alle genannten Schwesterkategorien.</w:t>
      </w:r>
    </w:p>
    <w:p w14:paraId="02E512D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בת־אביך או בת־אמך</w:t>
      </w:r>
      <w:r w:rsidRPr="00282BD6">
        <w:rPr>
          <w:rFonts w:eastAsia="Times New Roman" w:cs="Times New Roman"/>
          <w:rtl/>
          <w:lang w:eastAsia="de-DE"/>
        </w:rPr>
        <w:t xml:space="preserve"> </w:t>
      </w:r>
      <w:r w:rsidRPr="00282BD6">
        <w:rPr>
          <w:rFonts w:eastAsia="Times New Roman" w:cs="Times New Roman"/>
          <w:lang w:eastAsia="de-DE"/>
        </w:rPr>
        <w:t xml:space="preserve">zeigt systematische Erfassung aller Halbgeschwister-Varianten. </w:t>
      </w:r>
      <w:r w:rsidRPr="00282BD6">
        <w:rPr>
          <w:rFonts w:eastAsia="Times New Roman" w:cs="Times New Roman"/>
          <w:b/>
          <w:bCs/>
          <w:rtl/>
          <w:lang w:eastAsia="de-DE"/>
        </w:rPr>
        <w:t>מולדת בית או מולדת חוץ</w:t>
      </w:r>
      <w:r w:rsidRPr="00282BD6">
        <w:rPr>
          <w:rFonts w:eastAsia="Times New Roman" w:cs="Times New Roman"/>
          <w:rtl/>
          <w:lang w:eastAsia="de-DE"/>
        </w:rPr>
        <w:t xml:space="preserve"> </w:t>
      </w:r>
      <w:r w:rsidRPr="00282BD6">
        <w:rPr>
          <w:rFonts w:eastAsia="Times New Roman" w:cs="Times New Roman"/>
          <w:lang w:eastAsia="de-DE"/>
        </w:rPr>
        <w:t xml:space="preserve">betont, dass Legitimität irrelevant für das Inzestverbot ist. </w:t>
      </w:r>
      <w:r w:rsidRPr="00282BD6">
        <w:rPr>
          <w:rFonts w:eastAsia="Times New Roman" w:cs="Times New Roman"/>
          <w:b/>
          <w:bCs/>
          <w:rtl/>
          <w:lang w:eastAsia="de-DE"/>
        </w:rPr>
        <w:t>ערותן</w:t>
      </w:r>
      <w:r w:rsidRPr="00282BD6">
        <w:rPr>
          <w:rFonts w:eastAsia="Times New Roman" w:cs="Times New Roman"/>
          <w:rtl/>
          <w:lang w:eastAsia="de-DE"/>
        </w:rPr>
        <w:t xml:space="preserve"> </w:t>
      </w:r>
      <w:r w:rsidRPr="00282BD6">
        <w:rPr>
          <w:rFonts w:eastAsia="Times New Roman" w:cs="Times New Roman"/>
          <w:lang w:eastAsia="de-DE"/>
        </w:rPr>
        <w:t>im Plural zeigt kollektives Verbot aller Schwesterkategorien.</w:t>
      </w:r>
    </w:p>
    <w:p w14:paraId="2911173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אחותך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ἀδελφῆς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(deiner Schwester), </w:t>
      </w:r>
      <w:r w:rsidRPr="00282BD6">
        <w:rPr>
          <w:rFonts w:eastAsia="Times New Roman" w:cs="Times New Roman"/>
          <w:b/>
          <w:bCs/>
          <w:rtl/>
          <w:lang w:eastAsia="de-DE"/>
        </w:rPr>
        <w:t>מולדת בית</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γεννηθείσης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ἐν</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οἴκῳ</w:t>
      </w:r>
      <w:proofErr w:type="spellEnd"/>
      <w:r w:rsidRPr="00282BD6">
        <w:rPr>
          <w:rFonts w:eastAsia="Times New Roman" w:cs="Times New Roman"/>
          <w:lang w:eastAsia="de-DE"/>
        </w:rPr>
        <w:t xml:space="preserve"> (im Haus geborenen) und </w:t>
      </w:r>
      <w:r w:rsidRPr="00282BD6">
        <w:rPr>
          <w:rFonts w:eastAsia="Times New Roman" w:cs="Times New Roman"/>
          <w:b/>
          <w:bCs/>
          <w:rtl/>
          <w:lang w:eastAsia="de-DE"/>
        </w:rPr>
        <w:t>מולדת חוץ</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γεννηθείσης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ἔξω</w:t>
      </w:r>
      <w:proofErr w:type="spellEnd"/>
      <w:r w:rsidRPr="00282BD6">
        <w:rPr>
          <w:rFonts w:eastAsia="Times New Roman" w:cs="Times New Roman"/>
          <w:lang w:eastAsia="de-DE"/>
        </w:rPr>
        <w:t xml:space="preserve"> (draußen geborenen).</w:t>
      </w:r>
    </w:p>
    <w:p w14:paraId="0FB3EFD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umfassendes Geschwisterverbot: Grundbezeichnung + väterliche/mütterliche Spezifikation + Geburtsumstände + kollektives Verbot.</w:t>
      </w:r>
    </w:p>
    <w:p w14:paraId="05052D0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lastRenderedPageBreak/>
        <w:t>Dieser Vers etabliert das umfassende Geschwisterinzest-Verbot unabhängig von Legitimität oder Geburtsumständen.</w:t>
      </w:r>
    </w:p>
    <w:p w14:paraId="329D2D2D"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18,10</w:t>
      </w:r>
    </w:p>
    <w:p w14:paraId="52DAE3B3"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בַּת־בִּנְךָ֙ א֣וֹ בַֽת־בִּתְּךָ֔ לֹ֥א תְגַלֶּ֖ה עֶרְוָתָ֑ן כִּ֥י עֶרְוָתְךָ֖ הֵֽנָּה׃</w:t>
      </w:r>
    </w:p>
    <w:p w14:paraId="325E276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der Tochter deines Sohnes oder der Tochter deiner Tochter - ihre Blöße sollst du nicht entblößen, denn es ist deine Blöße.</w:t>
      </w:r>
    </w:p>
    <w:p w14:paraId="6119E73E"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52093579">
          <v:rect id="_x0000_i1540" style="width:0;height:1.5pt" o:hralign="center" o:hrstd="t" o:hr="t" fillcolor="#a0a0a0" stroked="f"/>
        </w:pict>
      </w:r>
    </w:p>
    <w:p w14:paraId="39C90D0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בת־בנך או בת־בתך לא תגלה ערותן כי ערותך הנה</w:t>
      </w:r>
      <w:r w:rsidRPr="00282BD6">
        <w:rPr>
          <w:rFonts w:eastAsia="Times New Roman" w:cs="Times New Roman"/>
          <w:rtl/>
          <w:lang w:eastAsia="de-DE"/>
        </w:rPr>
        <w:t xml:space="preserve"> </w:t>
      </w:r>
      <w:r w:rsidRPr="00282BD6">
        <w:rPr>
          <w:rFonts w:eastAsia="Times New Roman" w:cs="Times New Roman"/>
          <w:lang w:eastAsia="de-DE"/>
        </w:rPr>
        <w:t xml:space="preserve">verbietet Verkehr mit Enkelinnen. </w:t>
      </w:r>
      <w:r w:rsidRPr="00282BD6">
        <w:rPr>
          <w:rFonts w:eastAsia="Times New Roman" w:cs="Times New Roman"/>
          <w:b/>
          <w:bCs/>
          <w:rtl/>
          <w:lang w:eastAsia="de-DE"/>
        </w:rPr>
        <w:t>ערות בת־בנך או בת־בתך</w:t>
      </w:r>
      <w:r w:rsidRPr="00282BD6">
        <w:rPr>
          <w:rFonts w:eastAsia="Times New Roman" w:cs="Times New Roman"/>
          <w:rtl/>
          <w:lang w:eastAsia="de-DE"/>
        </w:rPr>
        <w:t xml:space="preserve"> </w:t>
      </w:r>
      <w:r w:rsidRPr="00282BD6">
        <w:rPr>
          <w:rFonts w:eastAsia="Times New Roman" w:cs="Times New Roman"/>
          <w:lang w:eastAsia="de-DE"/>
        </w:rPr>
        <w:t xml:space="preserve">(die Blöße der Tochter deines Sohnes oder der Tochter deiner Tochter) erfasst beide Enkelinnen-Linien. </w:t>
      </w:r>
      <w:r w:rsidRPr="00282BD6">
        <w:rPr>
          <w:rFonts w:eastAsia="Times New Roman" w:cs="Times New Roman"/>
          <w:b/>
          <w:bCs/>
          <w:rtl/>
          <w:lang w:eastAsia="de-DE"/>
        </w:rPr>
        <w:t>לא תגלה ערותן</w:t>
      </w:r>
      <w:r w:rsidRPr="00282BD6">
        <w:rPr>
          <w:rFonts w:eastAsia="Times New Roman" w:cs="Times New Roman"/>
          <w:rtl/>
          <w:lang w:eastAsia="de-DE"/>
        </w:rPr>
        <w:t xml:space="preserve"> </w:t>
      </w:r>
      <w:r w:rsidRPr="00282BD6">
        <w:rPr>
          <w:rFonts w:eastAsia="Times New Roman" w:cs="Times New Roman"/>
          <w:lang w:eastAsia="de-DE"/>
        </w:rPr>
        <w:t>(ihre Blöße sollst du nicht entblößen) mit Plural-Suffix.</w:t>
      </w:r>
    </w:p>
    <w:p w14:paraId="7106187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כי ערותך הנה</w:t>
      </w:r>
      <w:r w:rsidRPr="00282BD6">
        <w:rPr>
          <w:rFonts w:eastAsia="Times New Roman" w:cs="Times New Roman"/>
          <w:rtl/>
          <w:lang w:eastAsia="de-DE"/>
        </w:rPr>
        <w:t xml:space="preserve"> </w:t>
      </w:r>
      <w:r w:rsidRPr="00282BD6">
        <w:rPr>
          <w:rFonts w:eastAsia="Times New Roman" w:cs="Times New Roman"/>
          <w:lang w:eastAsia="de-DE"/>
        </w:rPr>
        <w:t xml:space="preserve">(denn es ist deine Blöße) - </w:t>
      </w:r>
      <w:r w:rsidRPr="00282BD6">
        <w:rPr>
          <w:rFonts w:eastAsia="Times New Roman" w:cs="Times New Roman"/>
          <w:b/>
          <w:bCs/>
          <w:rtl/>
          <w:lang w:eastAsia="de-DE"/>
        </w:rPr>
        <w:t>הנה</w:t>
      </w:r>
      <w:r w:rsidRPr="00282BD6">
        <w:rPr>
          <w:rFonts w:eastAsia="Times New Roman" w:cs="Times New Roman"/>
          <w:rtl/>
          <w:lang w:eastAsia="de-DE"/>
        </w:rPr>
        <w:t xml:space="preserve"> </w:t>
      </w:r>
      <w:r w:rsidRPr="00282BD6">
        <w:rPr>
          <w:rFonts w:eastAsia="Times New Roman" w:cs="Times New Roman"/>
          <w:lang w:eastAsia="de-DE"/>
        </w:rPr>
        <w:t>(sie sind) als feminin Plural zeigt, dass die Enkelinnen als Verlängerung der eigenen Person betrachtet werden. Die Begründung zeigt eine Art genealogischen Narzissmus: Verkehr mit Nachkommen ist Verkehr mit sich selbst.</w:t>
      </w:r>
    </w:p>
    <w:p w14:paraId="11E5734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בת־בנך או בת־בתך</w:t>
      </w:r>
      <w:r w:rsidRPr="00282BD6">
        <w:rPr>
          <w:rFonts w:eastAsia="Times New Roman" w:cs="Times New Roman"/>
          <w:rtl/>
          <w:lang w:eastAsia="de-DE"/>
        </w:rPr>
        <w:t xml:space="preserve"> </w:t>
      </w:r>
      <w:r w:rsidRPr="00282BD6">
        <w:rPr>
          <w:rFonts w:eastAsia="Times New Roman" w:cs="Times New Roman"/>
          <w:lang w:eastAsia="de-DE"/>
        </w:rPr>
        <w:t xml:space="preserve">zeigt systematische Erfassung beider Enkelinnen-Linien. </w:t>
      </w:r>
      <w:r w:rsidRPr="00282BD6">
        <w:rPr>
          <w:rFonts w:eastAsia="Times New Roman" w:cs="Times New Roman"/>
          <w:b/>
          <w:bCs/>
          <w:rtl/>
          <w:lang w:eastAsia="de-DE"/>
        </w:rPr>
        <w:t>ערותך הנה</w:t>
      </w:r>
      <w:r w:rsidRPr="00282BD6">
        <w:rPr>
          <w:rFonts w:eastAsia="Times New Roman" w:cs="Times New Roman"/>
          <w:rtl/>
          <w:lang w:eastAsia="de-DE"/>
        </w:rPr>
        <w:t xml:space="preserve"> </w:t>
      </w:r>
      <w:r w:rsidRPr="00282BD6">
        <w:rPr>
          <w:rFonts w:eastAsia="Times New Roman" w:cs="Times New Roman"/>
          <w:lang w:eastAsia="de-DE"/>
        </w:rPr>
        <w:t>etabliert das Prinzip genealogischer Identität: Nachkommen als Fortsetzung der eigenen Person. Die Begründung unterscheidet sich von den vorherigen Verwandtschaftsargumenten.</w:t>
      </w:r>
    </w:p>
    <w:p w14:paraId="2A847A4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בת־בנך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θυγ</w:t>
      </w:r>
      <w:proofErr w:type="spellEnd"/>
      <w:r w:rsidRPr="00282BD6">
        <w:rPr>
          <w:rFonts w:eastAsia="Times New Roman" w:cs="Times New Roman"/>
          <w:lang w:eastAsia="de-DE"/>
        </w:rPr>
        <w:t xml:space="preserve">ατρὸς </w:t>
      </w:r>
      <w:proofErr w:type="spellStart"/>
      <w:r w:rsidRPr="00282BD6">
        <w:rPr>
          <w:rFonts w:eastAsia="Times New Roman" w:cs="Times New Roman"/>
          <w:lang w:eastAsia="de-DE"/>
        </w:rPr>
        <w:t>υἱοῦ</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(Tochter deines Sohnes), </w:t>
      </w:r>
      <w:r w:rsidRPr="00282BD6">
        <w:rPr>
          <w:rFonts w:eastAsia="Times New Roman" w:cs="Times New Roman"/>
          <w:b/>
          <w:bCs/>
          <w:rtl/>
          <w:lang w:eastAsia="de-DE"/>
        </w:rPr>
        <w:t>בת־בתך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θυγ</w:t>
      </w:r>
      <w:proofErr w:type="spellEnd"/>
      <w:r w:rsidRPr="00282BD6">
        <w:rPr>
          <w:rFonts w:eastAsia="Times New Roman" w:cs="Times New Roman"/>
          <w:lang w:eastAsia="de-DE"/>
        </w:rPr>
        <w:t xml:space="preserve">ατρὸς </w:t>
      </w:r>
      <w:proofErr w:type="spellStart"/>
      <w:r w:rsidRPr="00282BD6">
        <w:rPr>
          <w:rFonts w:eastAsia="Times New Roman" w:cs="Times New Roman"/>
          <w:lang w:eastAsia="de-DE"/>
        </w:rPr>
        <w:t>θυγ</w:t>
      </w:r>
      <w:proofErr w:type="spellEnd"/>
      <w:r w:rsidRPr="00282BD6">
        <w:rPr>
          <w:rFonts w:eastAsia="Times New Roman" w:cs="Times New Roman"/>
          <w:lang w:eastAsia="de-DE"/>
        </w:rPr>
        <w:t xml:space="preserve">ατρός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(Tochter deiner Tochter) und </w:t>
      </w:r>
      <w:r w:rsidRPr="00282BD6">
        <w:rPr>
          <w:rFonts w:eastAsia="Times New Roman" w:cs="Times New Roman"/>
          <w:b/>
          <w:bCs/>
          <w:rtl/>
          <w:lang w:eastAsia="de-DE"/>
        </w:rPr>
        <w:t>ערותך הנה</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ἀσχημοσύνη</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σή</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ἐστιν</w:t>
      </w:r>
      <w:proofErr w:type="spellEnd"/>
      <w:r w:rsidRPr="00282BD6">
        <w:rPr>
          <w:rFonts w:eastAsia="Times New Roman" w:cs="Times New Roman"/>
          <w:lang w:eastAsia="de-DE"/>
        </w:rPr>
        <w:t xml:space="preserve"> (deine Schande ist es).</w:t>
      </w:r>
    </w:p>
    <w:p w14:paraId="3753EFE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Enkelinnen-Verbot: beide Enkelinnen-Linien + kollektives Verbot + Begründung durch genealogische Selbstidentifikation.</w:t>
      </w:r>
    </w:p>
    <w:p w14:paraId="2A2833C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verbietet Verkehr mit Enkelinnen durch das Prinzip genealogischer Identität: sie sind Fortsetzungen der eigenen Person.</w:t>
      </w:r>
    </w:p>
    <w:p w14:paraId="05173992"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18,11</w:t>
      </w:r>
    </w:p>
    <w:p w14:paraId="67084ED5"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בַּת־אֵ֤שֶׁת אָבִ֨יךָ֙ מוֹלֶ֣דֶת אָבִ֔יךָ אֲחוֹתְךָ֖ הִ֑וא לֹ֥א תְגַלֶּ֖ה עֶרְוָתָֽהּ׃</w:t>
      </w:r>
    </w:p>
    <w:p w14:paraId="44C53571"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der Tochter der Frau deines Vaters, die deinem Vater gezeugt ist - sie ist deine Schwester, ihre Blöße sollst du nicht entblößen.</w:t>
      </w:r>
    </w:p>
    <w:p w14:paraId="5CA017C0"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4186F5CF">
          <v:rect id="_x0000_i1541" style="width:0;height:1.5pt" o:hralign="center" o:hrstd="t" o:hr="t" fillcolor="#a0a0a0" stroked="f"/>
        </w:pict>
      </w:r>
    </w:p>
    <w:p w14:paraId="04BC099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בת־אשת אביך מולדת אביך אחותך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präzisiert das Halbschwester-Verbot. </w:t>
      </w:r>
      <w:r w:rsidRPr="00282BD6">
        <w:rPr>
          <w:rFonts w:eastAsia="Times New Roman" w:cs="Times New Roman"/>
          <w:b/>
          <w:bCs/>
          <w:rtl/>
          <w:lang w:eastAsia="de-DE"/>
        </w:rPr>
        <w:t>ערות בת־אשת אביך מולדת אביך</w:t>
      </w:r>
      <w:r w:rsidRPr="00282BD6">
        <w:rPr>
          <w:rFonts w:eastAsia="Times New Roman" w:cs="Times New Roman"/>
          <w:rtl/>
          <w:lang w:eastAsia="de-DE"/>
        </w:rPr>
        <w:t xml:space="preserve"> </w:t>
      </w:r>
      <w:r w:rsidRPr="00282BD6">
        <w:rPr>
          <w:rFonts w:eastAsia="Times New Roman" w:cs="Times New Roman"/>
          <w:lang w:eastAsia="de-DE"/>
        </w:rPr>
        <w:t xml:space="preserve">(die Blöße der Tochter der Frau deines Vaters, die deinem Vater gezeugt ist) - </w:t>
      </w:r>
      <w:r w:rsidRPr="00282BD6">
        <w:rPr>
          <w:rFonts w:eastAsia="Times New Roman" w:cs="Times New Roman"/>
          <w:b/>
          <w:bCs/>
          <w:rtl/>
          <w:lang w:eastAsia="de-DE"/>
        </w:rPr>
        <w:t>בת־אשת אביך</w:t>
      </w:r>
      <w:r w:rsidRPr="00282BD6">
        <w:rPr>
          <w:rFonts w:eastAsia="Times New Roman" w:cs="Times New Roman"/>
          <w:rtl/>
          <w:lang w:eastAsia="de-DE"/>
        </w:rPr>
        <w:t xml:space="preserve"> </w:t>
      </w:r>
      <w:r w:rsidRPr="00282BD6">
        <w:rPr>
          <w:rFonts w:eastAsia="Times New Roman" w:cs="Times New Roman"/>
          <w:lang w:eastAsia="de-DE"/>
        </w:rPr>
        <w:t xml:space="preserve">(Tochter der Frau deines Vaters) könnte theoretisch auch eine Stieftochter ohne Blutsverwandtschaft meinen, deshalb die Präzisierung </w:t>
      </w:r>
      <w:r w:rsidRPr="00282BD6">
        <w:rPr>
          <w:rFonts w:eastAsia="Times New Roman" w:cs="Times New Roman"/>
          <w:b/>
          <w:bCs/>
          <w:rtl/>
          <w:lang w:eastAsia="de-DE"/>
        </w:rPr>
        <w:lastRenderedPageBreak/>
        <w:t>מולדת אביך</w:t>
      </w:r>
      <w:r w:rsidRPr="00282BD6">
        <w:rPr>
          <w:rFonts w:eastAsia="Times New Roman" w:cs="Times New Roman"/>
          <w:rtl/>
          <w:lang w:eastAsia="de-DE"/>
        </w:rPr>
        <w:t xml:space="preserve"> </w:t>
      </w:r>
      <w:r w:rsidRPr="00282BD6">
        <w:rPr>
          <w:rFonts w:eastAsia="Times New Roman" w:cs="Times New Roman"/>
          <w:lang w:eastAsia="de-DE"/>
        </w:rPr>
        <w:t xml:space="preserve">(die deinem Vater gezeugt ist). </w:t>
      </w:r>
      <w:r w:rsidRPr="00282BD6">
        <w:rPr>
          <w:rFonts w:eastAsia="Times New Roman" w:cs="Times New Roman"/>
          <w:b/>
          <w:bCs/>
          <w:rtl/>
          <w:lang w:eastAsia="de-DE"/>
        </w:rPr>
        <w:t>מולדת</w:t>
      </w:r>
      <w:r w:rsidRPr="00282BD6">
        <w:rPr>
          <w:rFonts w:eastAsia="Times New Roman" w:cs="Times New Roman"/>
          <w:rtl/>
          <w:lang w:eastAsia="de-DE"/>
        </w:rPr>
        <w:t xml:space="preserve"> </w:t>
      </w:r>
      <w:r w:rsidRPr="00282BD6">
        <w:rPr>
          <w:rFonts w:eastAsia="Times New Roman" w:cs="Times New Roman"/>
          <w:lang w:eastAsia="de-DE"/>
        </w:rPr>
        <w:t xml:space="preserve">(gezeugt) als Partizip feminin von </w:t>
      </w:r>
      <w:r w:rsidRPr="00282BD6">
        <w:rPr>
          <w:rFonts w:eastAsia="Times New Roman" w:cs="Times New Roman"/>
          <w:b/>
          <w:bCs/>
          <w:rtl/>
          <w:lang w:eastAsia="de-DE"/>
        </w:rPr>
        <w:t>ילד</w:t>
      </w:r>
      <w:r w:rsidRPr="00282BD6">
        <w:rPr>
          <w:rFonts w:eastAsia="Times New Roman" w:cs="Times New Roman"/>
          <w:rtl/>
          <w:lang w:eastAsia="de-DE"/>
        </w:rPr>
        <w:t xml:space="preserve"> </w:t>
      </w:r>
      <w:r w:rsidRPr="00282BD6">
        <w:rPr>
          <w:rFonts w:eastAsia="Times New Roman" w:cs="Times New Roman"/>
          <w:lang w:eastAsia="de-DE"/>
        </w:rPr>
        <w:t>im Hifil - das Hifil zeigt, dass der Vater als Erzeuger fungiert.</w:t>
      </w:r>
    </w:p>
    <w:p w14:paraId="3CC82AA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אחותך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(sie ist deine Schwester, ihre Blöße sollst du nicht entblößen) identifiziert sie explizit als </w:t>
      </w:r>
      <w:r w:rsidRPr="00282BD6">
        <w:rPr>
          <w:rFonts w:eastAsia="Times New Roman" w:cs="Times New Roman"/>
          <w:b/>
          <w:bCs/>
          <w:rtl/>
          <w:lang w:eastAsia="de-DE"/>
        </w:rPr>
        <w:t>אחות</w:t>
      </w:r>
      <w:r w:rsidRPr="00282BD6">
        <w:rPr>
          <w:rFonts w:eastAsia="Times New Roman" w:cs="Times New Roman"/>
          <w:rtl/>
          <w:lang w:eastAsia="de-DE"/>
        </w:rPr>
        <w:t xml:space="preserve"> </w:t>
      </w:r>
      <w:r w:rsidRPr="00282BD6">
        <w:rPr>
          <w:rFonts w:eastAsia="Times New Roman" w:cs="Times New Roman"/>
          <w:lang w:eastAsia="de-DE"/>
        </w:rPr>
        <w:t>(Schwester) trotz unterschiedlicher Mütter.</w:t>
      </w:r>
    </w:p>
    <w:p w14:paraId="66198290"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בת־אשת אביך</w:t>
      </w:r>
      <w:r w:rsidRPr="00282BD6">
        <w:rPr>
          <w:rFonts w:eastAsia="Times New Roman" w:cs="Times New Roman"/>
          <w:rtl/>
          <w:lang w:eastAsia="de-DE"/>
        </w:rPr>
        <w:t xml:space="preserve"> </w:t>
      </w:r>
      <w:r w:rsidRPr="00282BD6">
        <w:rPr>
          <w:rFonts w:eastAsia="Times New Roman" w:cs="Times New Roman"/>
          <w:lang w:eastAsia="de-DE"/>
        </w:rPr>
        <w:t xml:space="preserve">vs. </w:t>
      </w:r>
      <w:r w:rsidRPr="00282BD6">
        <w:rPr>
          <w:rFonts w:eastAsia="Times New Roman" w:cs="Times New Roman"/>
          <w:b/>
          <w:bCs/>
          <w:rtl/>
          <w:lang w:eastAsia="de-DE"/>
        </w:rPr>
        <w:t>מולדת אביך</w:t>
      </w:r>
      <w:r w:rsidRPr="00282BD6">
        <w:rPr>
          <w:rFonts w:eastAsia="Times New Roman" w:cs="Times New Roman"/>
          <w:rtl/>
          <w:lang w:eastAsia="de-DE"/>
        </w:rPr>
        <w:t xml:space="preserve"> </w:t>
      </w:r>
      <w:r w:rsidRPr="00282BD6">
        <w:rPr>
          <w:rFonts w:eastAsia="Times New Roman" w:cs="Times New Roman"/>
          <w:lang w:eastAsia="de-DE"/>
        </w:rPr>
        <w:t xml:space="preserve">unterscheidet zwischen rechtlicher und biologischer Beziehung. </w:t>
      </w:r>
      <w:r w:rsidRPr="00282BD6">
        <w:rPr>
          <w:rFonts w:eastAsia="Times New Roman" w:cs="Times New Roman"/>
          <w:b/>
          <w:bCs/>
          <w:rtl/>
          <w:lang w:eastAsia="de-DE"/>
        </w:rPr>
        <w:t>אחותך הוא</w:t>
      </w:r>
      <w:r w:rsidRPr="00282BD6">
        <w:rPr>
          <w:rFonts w:eastAsia="Times New Roman" w:cs="Times New Roman"/>
          <w:rtl/>
          <w:lang w:eastAsia="de-DE"/>
        </w:rPr>
        <w:t xml:space="preserve"> </w:t>
      </w:r>
      <w:r w:rsidRPr="00282BD6">
        <w:rPr>
          <w:rFonts w:eastAsia="Times New Roman" w:cs="Times New Roman"/>
          <w:lang w:eastAsia="de-DE"/>
        </w:rPr>
        <w:t>bekräftigt die Schwesteridentität trotz verschiedener Mütter. Die Präzisierung schließt reine Stieftöchter ohne Blutsverwandtschaft aus.</w:t>
      </w:r>
    </w:p>
    <w:p w14:paraId="7BB2C119" w14:textId="65FE3C1D"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w:t>
      </w:r>
      <w:r w:rsidR="00E705C5">
        <w:t xml:space="preserve">fügt zur Klarstellung hinzu: </w:t>
      </w:r>
      <w:proofErr w:type="spellStart"/>
      <w:r w:rsidR="00E705C5">
        <w:t>ὁμο</w:t>
      </w:r>
      <w:proofErr w:type="spellEnd"/>
      <w:r w:rsidR="00E705C5">
        <w:t xml:space="preserve">πατρία </w:t>
      </w:r>
      <w:proofErr w:type="spellStart"/>
      <w:r w:rsidR="00E705C5">
        <w:t>ἀδελφή</w:t>
      </w:r>
      <w:proofErr w:type="spellEnd"/>
      <w:r w:rsidR="00E705C5">
        <w:t xml:space="preserve"> </w:t>
      </w:r>
      <w:proofErr w:type="spellStart"/>
      <w:r w:rsidR="00E705C5">
        <w:t>σού</w:t>
      </w:r>
      <w:proofErr w:type="spellEnd"/>
      <w:r w:rsidR="00E705C5">
        <w:t xml:space="preserve"> </w:t>
      </w:r>
      <w:proofErr w:type="spellStart"/>
      <w:r w:rsidR="00E705C5">
        <w:t>ἐστιν</w:t>
      </w:r>
      <w:proofErr w:type="spellEnd"/>
      <w:r w:rsidR="00E705C5">
        <w:t xml:space="preserve"> (sie ist deine Halbschwester väterlicherseits), was die komplexe Verwandtschaftsbeziehung präzisiert.</w:t>
      </w:r>
    </w:p>
    <w:p w14:paraId="13A6E6C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präzisiertes Halbschwester-Verbot: rechtliche Beziehung + biologische Präzisierung + Schwesteridentifikation + Verbot.</w:t>
      </w:r>
    </w:p>
    <w:p w14:paraId="04F01C2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präzisiert das Halbschwester-Verbot durch Unterscheidung zwischen Stieftöchtern und biologischen Halbschwestern.</w:t>
      </w:r>
    </w:p>
    <w:p w14:paraId="0A752FC2"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18,12</w:t>
      </w:r>
    </w:p>
    <w:p w14:paraId="4CB5D74E"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אֲחוֹת־אָבִ֖יךָ לֹ֣א תְגַלֵּ֑ה שְׁאֵ֥ר אָבִ֖יךָ הִֽוא׃</w:t>
      </w:r>
    </w:p>
    <w:p w14:paraId="77119D2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der Schwester deines Vaters sollst du nicht entblößen; sie ist die Blutsverwandte deines Vaters.</w:t>
      </w:r>
    </w:p>
    <w:p w14:paraId="79C6EEDB"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7190EA27">
          <v:rect id="_x0000_i1542" style="width:0;height:1.5pt" o:hralign="center" o:hrstd="t" o:hr="t" fillcolor="#a0a0a0" stroked="f"/>
        </w:pict>
      </w:r>
    </w:p>
    <w:p w14:paraId="5FC633F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אחות־אביך לא תגלה שאר אביך הוא</w:t>
      </w:r>
      <w:r w:rsidRPr="00282BD6">
        <w:rPr>
          <w:rFonts w:eastAsia="Times New Roman" w:cs="Times New Roman"/>
          <w:rtl/>
          <w:lang w:eastAsia="de-DE"/>
        </w:rPr>
        <w:t xml:space="preserve"> </w:t>
      </w:r>
      <w:r w:rsidRPr="00282BD6">
        <w:rPr>
          <w:rFonts w:eastAsia="Times New Roman" w:cs="Times New Roman"/>
          <w:lang w:eastAsia="de-DE"/>
        </w:rPr>
        <w:t xml:space="preserve">verbietet Verkehr mit der Tante väterlicherseits. </w:t>
      </w:r>
      <w:r w:rsidRPr="00282BD6">
        <w:rPr>
          <w:rFonts w:eastAsia="Times New Roman" w:cs="Times New Roman"/>
          <w:b/>
          <w:bCs/>
          <w:rtl/>
          <w:lang w:eastAsia="de-DE"/>
        </w:rPr>
        <w:t>ערות אחות־אביך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der Schwester deines Vaters sollst du nicht entblößen) - </w:t>
      </w:r>
      <w:r w:rsidRPr="00282BD6">
        <w:rPr>
          <w:rFonts w:eastAsia="Times New Roman" w:cs="Times New Roman"/>
          <w:b/>
          <w:bCs/>
          <w:rtl/>
          <w:lang w:eastAsia="de-DE"/>
        </w:rPr>
        <w:t>אחות־אביך</w:t>
      </w:r>
      <w:r w:rsidRPr="00282BD6">
        <w:rPr>
          <w:rFonts w:eastAsia="Times New Roman" w:cs="Times New Roman"/>
          <w:rtl/>
          <w:lang w:eastAsia="de-DE"/>
        </w:rPr>
        <w:t xml:space="preserve"> </w:t>
      </w:r>
      <w:r w:rsidRPr="00282BD6">
        <w:rPr>
          <w:rFonts w:eastAsia="Times New Roman" w:cs="Times New Roman"/>
          <w:lang w:eastAsia="de-DE"/>
        </w:rPr>
        <w:t>(Schwester deines Vaters) als väterliche Tante.</w:t>
      </w:r>
    </w:p>
    <w:p w14:paraId="51C4F7B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שאר אביך הוא</w:t>
      </w:r>
      <w:r w:rsidRPr="00282BD6">
        <w:rPr>
          <w:rFonts w:eastAsia="Times New Roman" w:cs="Times New Roman"/>
          <w:rtl/>
          <w:lang w:eastAsia="de-DE"/>
        </w:rPr>
        <w:t xml:space="preserve"> </w:t>
      </w:r>
      <w:r w:rsidRPr="00282BD6">
        <w:rPr>
          <w:rFonts w:eastAsia="Times New Roman" w:cs="Times New Roman"/>
          <w:lang w:eastAsia="de-DE"/>
        </w:rPr>
        <w:t xml:space="preserve">(sie ist die Blutsverwandte deines Vaters) - </w:t>
      </w:r>
      <w:r w:rsidRPr="00282BD6">
        <w:rPr>
          <w:rFonts w:eastAsia="Times New Roman" w:cs="Times New Roman"/>
          <w:b/>
          <w:bCs/>
          <w:rtl/>
          <w:lang w:eastAsia="de-DE"/>
        </w:rPr>
        <w:t>שאר</w:t>
      </w:r>
      <w:r w:rsidRPr="00282BD6">
        <w:rPr>
          <w:rFonts w:eastAsia="Times New Roman" w:cs="Times New Roman"/>
          <w:rtl/>
          <w:lang w:eastAsia="de-DE"/>
        </w:rPr>
        <w:t xml:space="preserve"> </w:t>
      </w:r>
      <w:r w:rsidRPr="00282BD6">
        <w:rPr>
          <w:rFonts w:eastAsia="Times New Roman" w:cs="Times New Roman"/>
          <w:lang w:eastAsia="de-DE"/>
        </w:rPr>
        <w:t xml:space="preserve">(Blutsverwandter) aus V. 6, hier als Begründung für das Verbot. </w:t>
      </w:r>
      <w:r w:rsidRPr="00282BD6">
        <w:rPr>
          <w:rFonts w:eastAsia="Times New Roman" w:cs="Times New Roman"/>
          <w:b/>
          <w:bCs/>
          <w:rtl/>
          <w:lang w:eastAsia="de-DE"/>
        </w:rPr>
        <w:t>הוא</w:t>
      </w:r>
      <w:r w:rsidRPr="00282BD6">
        <w:rPr>
          <w:rFonts w:eastAsia="Times New Roman" w:cs="Times New Roman"/>
          <w:rtl/>
          <w:lang w:eastAsia="de-DE"/>
        </w:rPr>
        <w:t xml:space="preserve"> </w:t>
      </w:r>
      <w:r w:rsidRPr="00282BD6">
        <w:rPr>
          <w:rFonts w:eastAsia="Times New Roman" w:cs="Times New Roman"/>
          <w:lang w:eastAsia="de-DE"/>
        </w:rPr>
        <w:t xml:space="preserve">bezieht sich auf </w:t>
      </w:r>
      <w:r w:rsidRPr="00282BD6">
        <w:rPr>
          <w:rFonts w:eastAsia="Times New Roman" w:cs="Times New Roman"/>
          <w:b/>
          <w:bCs/>
          <w:rtl/>
          <w:lang w:eastAsia="de-DE"/>
        </w:rPr>
        <w:t>אחות־אביך</w:t>
      </w:r>
      <w:r w:rsidRPr="00282BD6">
        <w:rPr>
          <w:rFonts w:eastAsia="Times New Roman" w:cs="Times New Roman"/>
          <w:rtl/>
          <w:lang w:eastAsia="de-DE"/>
        </w:rPr>
        <w:t xml:space="preserve"> </w:t>
      </w:r>
      <w:r w:rsidRPr="00282BD6">
        <w:rPr>
          <w:rFonts w:eastAsia="Times New Roman" w:cs="Times New Roman"/>
          <w:lang w:eastAsia="de-DE"/>
        </w:rPr>
        <w:t xml:space="preserve">und erklärt sie als </w:t>
      </w:r>
      <w:r w:rsidRPr="00282BD6">
        <w:rPr>
          <w:rFonts w:eastAsia="Times New Roman" w:cs="Times New Roman"/>
          <w:b/>
          <w:bCs/>
          <w:rtl/>
          <w:lang w:eastAsia="de-DE"/>
        </w:rPr>
        <w:t>שאר אביך</w:t>
      </w:r>
      <w:r w:rsidRPr="00282BD6">
        <w:rPr>
          <w:rFonts w:eastAsia="Times New Roman" w:cs="Times New Roman"/>
          <w:lang w:eastAsia="de-DE"/>
        </w:rPr>
        <w:t>.</w:t>
      </w:r>
    </w:p>
    <w:p w14:paraId="0C6088B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אחות־אביך</w:t>
      </w:r>
      <w:r w:rsidRPr="00282BD6">
        <w:rPr>
          <w:rFonts w:eastAsia="Times New Roman" w:cs="Times New Roman"/>
          <w:rtl/>
          <w:lang w:eastAsia="de-DE"/>
        </w:rPr>
        <w:t xml:space="preserve"> </w:t>
      </w:r>
      <w:r w:rsidRPr="00282BD6">
        <w:rPr>
          <w:rFonts w:eastAsia="Times New Roman" w:cs="Times New Roman"/>
          <w:lang w:eastAsia="de-DE"/>
        </w:rPr>
        <w:t xml:space="preserve">zeigt die erste Generation aufwärts in der Seitenlinie. </w:t>
      </w:r>
      <w:r w:rsidRPr="00282BD6">
        <w:rPr>
          <w:rFonts w:eastAsia="Times New Roman" w:cs="Times New Roman"/>
          <w:b/>
          <w:bCs/>
          <w:rtl/>
          <w:lang w:eastAsia="de-DE"/>
        </w:rPr>
        <w:t>שאר אביך</w:t>
      </w:r>
      <w:r w:rsidRPr="00282BD6">
        <w:rPr>
          <w:rFonts w:eastAsia="Times New Roman" w:cs="Times New Roman"/>
          <w:rtl/>
          <w:lang w:eastAsia="de-DE"/>
        </w:rPr>
        <w:t xml:space="preserve"> </w:t>
      </w:r>
      <w:r w:rsidRPr="00282BD6">
        <w:rPr>
          <w:rFonts w:eastAsia="Times New Roman" w:cs="Times New Roman"/>
          <w:lang w:eastAsia="de-DE"/>
        </w:rPr>
        <w:t>etabliert das Prinzip, dass die Blutsverwandten der Eltern ebenfalls tabu sind. Die Begründung zeigt indirekte Verwandtschaft durch den Vater.</w:t>
      </w:r>
    </w:p>
    <w:p w14:paraId="6E69AEC4"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אחות־אביך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ἀδελφῆς</w:t>
      </w:r>
      <w:proofErr w:type="spellEnd"/>
      <w:r w:rsidRPr="00282BD6">
        <w:rPr>
          <w:rFonts w:eastAsia="Times New Roman" w:cs="Times New Roman"/>
          <w:lang w:eastAsia="de-DE"/>
        </w:rPr>
        <w:t xml:space="preserve">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(Schwester deines Vaters) und </w:t>
      </w:r>
      <w:r w:rsidRPr="00282BD6">
        <w:rPr>
          <w:rFonts w:eastAsia="Times New Roman" w:cs="Times New Roman"/>
          <w:b/>
          <w:bCs/>
          <w:rtl/>
          <w:lang w:eastAsia="de-DE"/>
        </w:rPr>
        <w:t>שאר אביך הוא</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συγγενὴς</w:t>
      </w:r>
      <w:proofErr w:type="spellEnd"/>
      <w:r w:rsidRPr="00282BD6">
        <w:rPr>
          <w:rFonts w:eastAsia="Times New Roman" w:cs="Times New Roman"/>
          <w:lang w:eastAsia="de-DE"/>
        </w:rPr>
        <w:t xml:space="preserve">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σού</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ἐστιν</w:t>
      </w:r>
      <w:proofErr w:type="spellEnd"/>
      <w:r w:rsidRPr="00282BD6">
        <w:rPr>
          <w:rFonts w:eastAsia="Times New Roman" w:cs="Times New Roman"/>
          <w:lang w:eastAsia="de-DE"/>
        </w:rPr>
        <w:t xml:space="preserve"> (Verwandte deines Vaters ist sie).</w:t>
      </w:r>
    </w:p>
    <w:p w14:paraId="676290AF"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väterliches Tantenverbot: väterliche Tante + Verbot + Begründung durch väterliche Blutsverwandtschaft.</w:t>
      </w:r>
    </w:p>
    <w:p w14:paraId="4B55709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verbietet Verkehr mit der väterlichen Tante als Blutsverwandter des Vaters.</w:t>
      </w:r>
    </w:p>
    <w:p w14:paraId="27CD946C"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18,13</w:t>
      </w:r>
    </w:p>
    <w:p w14:paraId="14C3A9D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lastRenderedPageBreak/>
        <w:t>Hebräisch:</w:t>
      </w:r>
      <w:r w:rsidRPr="00282BD6">
        <w:rPr>
          <w:rFonts w:eastAsia="Times New Roman" w:cs="Times New Roman"/>
          <w:lang w:eastAsia="de-DE"/>
        </w:rPr>
        <w:t xml:space="preserve"> </w:t>
      </w:r>
      <w:r w:rsidRPr="00282BD6">
        <w:rPr>
          <w:rFonts w:eastAsia="Times New Roman" w:cs="Times New Roman"/>
          <w:rtl/>
          <w:lang w:eastAsia="de-DE"/>
        </w:rPr>
        <w:t>עֶרְוַ֥ת אֲחוֹת־אִמְּךָ֖ לֹ֣א תְגַלֵּ֑ה כִּֽי־שְׁאֵ֥ר אִמְּךָ֖ הִֽוא׃</w:t>
      </w:r>
    </w:p>
    <w:p w14:paraId="3158205C"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der Schwester deiner Mutter sollst du nicht entblößen, denn sie ist die Blutsverwandte deiner Mutter.</w:t>
      </w:r>
    </w:p>
    <w:p w14:paraId="1CDE2F2F"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5F73BFD8">
          <v:rect id="_x0000_i1543" style="width:0;height:1.5pt" o:hralign="center" o:hrstd="t" o:hr="t" fillcolor="#a0a0a0" stroked="f"/>
        </w:pict>
      </w:r>
    </w:p>
    <w:p w14:paraId="12C4D5A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אחות־אמך לא תגלה כי־שאר אמך הוא</w:t>
      </w:r>
      <w:r w:rsidRPr="00282BD6">
        <w:rPr>
          <w:rFonts w:eastAsia="Times New Roman" w:cs="Times New Roman"/>
          <w:rtl/>
          <w:lang w:eastAsia="de-DE"/>
        </w:rPr>
        <w:t xml:space="preserve"> </w:t>
      </w:r>
      <w:r w:rsidRPr="00282BD6">
        <w:rPr>
          <w:rFonts w:eastAsia="Times New Roman" w:cs="Times New Roman"/>
          <w:lang w:eastAsia="de-DE"/>
        </w:rPr>
        <w:t xml:space="preserve">entspricht V. 12 für die mütterliche Seite. </w:t>
      </w:r>
      <w:r w:rsidRPr="00282BD6">
        <w:rPr>
          <w:rFonts w:eastAsia="Times New Roman" w:cs="Times New Roman"/>
          <w:b/>
          <w:bCs/>
          <w:rtl/>
          <w:lang w:eastAsia="de-DE"/>
        </w:rPr>
        <w:t>ערות אחות־אמך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der Schwester deiner Mutter sollst du nicht entblößen) - </w:t>
      </w:r>
      <w:r w:rsidRPr="00282BD6">
        <w:rPr>
          <w:rFonts w:eastAsia="Times New Roman" w:cs="Times New Roman"/>
          <w:b/>
          <w:bCs/>
          <w:rtl/>
          <w:lang w:eastAsia="de-DE"/>
        </w:rPr>
        <w:t>אחות־אמך</w:t>
      </w:r>
      <w:r w:rsidRPr="00282BD6">
        <w:rPr>
          <w:rFonts w:eastAsia="Times New Roman" w:cs="Times New Roman"/>
          <w:rtl/>
          <w:lang w:eastAsia="de-DE"/>
        </w:rPr>
        <w:t xml:space="preserve"> </w:t>
      </w:r>
      <w:r w:rsidRPr="00282BD6">
        <w:rPr>
          <w:rFonts w:eastAsia="Times New Roman" w:cs="Times New Roman"/>
          <w:lang w:eastAsia="de-DE"/>
        </w:rPr>
        <w:t>(Schwester deiner Mutter) als mütterliche Tante.</w:t>
      </w:r>
    </w:p>
    <w:p w14:paraId="2445F8C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כי־שאר אמך הוא</w:t>
      </w:r>
      <w:r w:rsidRPr="00282BD6">
        <w:rPr>
          <w:rFonts w:eastAsia="Times New Roman" w:cs="Times New Roman"/>
          <w:rtl/>
          <w:lang w:eastAsia="de-DE"/>
        </w:rPr>
        <w:t xml:space="preserve"> </w:t>
      </w:r>
      <w:r w:rsidRPr="00282BD6">
        <w:rPr>
          <w:rFonts w:eastAsia="Times New Roman" w:cs="Times New Roman"/>
          <w:lang w:eastAsia="de-DE"/>
        </w:rPr>
        <w:t xml:space="preserve">(denn sie ist die Blutsverwandte deiner Mutter) - </w:t>
      </w:r>
      <w:r w:rsidRPr="00282BD6">
        <w:rPr>
          <w:rFonts w:eastAsia="Times New Roman" w:cs="Times New Roman"/>
          <w:b/>
          <w:bCs/>
          <w:rtl/>
          <w:lang w:eastAsia="de-DE"/>
        </w:rPr>
        <w:t>כי</w:t>
      </w:r>
      <w:r w:rsidRPr="00282BD6">
        <w:rPr>
          <w:rFonts w:eastAsia="Times New Roman" w:cs="Times New Roman"/>
          <w:rtl/>
          <w:lang w:eastAsia="de-DE"/>
        </w:rPr>
        <w:t xml:space="preserve"> </w:t>
      </w:r>
      <w:r w:rsidRPr="00282BD6">
        <w:rPr>
          <w:rFonts w:eastAsia="Times New Roman" w:cs="Times New Roman"/>
          <w:lang w:eastAsia="de-DE"/>
        </w:rPr>
        <w:t xml:space="preserve">(denn) macht die Begründung expliziter als das einfache </w:t>
      </w:r>
      <w:r w:rsidRPr="00282BD6">
        <w:rPr>
          <w:rFonts w:eastAsia="Times New Roman" w:cs="Times New Roman"/>
          <w:b/>
          <w:bCs/>
          <w:rtl/>
          <w:lang w:eastAsia="de-DE"/>
        </w:rPr>
        <w:t>הוא</w:t>
      </w:r>
      <w:r w:rsidRPr="00282BD6">
        <w:rPr>
          <w:rFonts w:eastAsia="Times New Roman" w:cs="Times New Roman"/>
          <w:rtl/>
          <w:lang w:eastAsia="de-DE"/>
        </w:rPr>
        <w:t xml:space="preserve"> </w:t>
      </w:r>
      <w:r w:rsidRPr="00282BD6">
        <w:rPr>
          <w:rFonts w:eastAsia="Times New Roman" w:cs="Times New Roman"/>
          <w:lang w:eastAsia="de-DE"/>
        </w:rPr>
        <w:t xml:space="preserve">in V. 12. </w:t>
      </w:r>
      <w:r w:rsidRPr="00282BD6">
        <w:rPr>
          <w:rFonts w:eastAsia="Times New Roman" w:cs="Times New Roman"/>
          <w:b/>
          <w:bCs/>
          <w:rtl/>
          <w:lang w:eastAsia="de-DE"/>
        </w:rPr>
        <w:t>שאר אמך</w:t>
      </w:r>
      <w:r w:rsidRPr="00282BD6">
        <w:rPr>
          <w:rFonts w:eastAsia="Times New Roman" w:cs="Times New Roman"/>
          <w:rtl/>
          <w:lang w:eastAsia="de-DE"/>
        </w:rPr>
        <w:t xml:space="preserve"> </w:t>
      </w:r>
      <w:r w:rsidRPr="00282BD6">
        <w:rPr>
          <w:rFonts w:eastAsia="Times New Roman" w:cs="Times New Roman"/>
          <w:lang w:eastAsia="de-DE"/>
        </w:rPr>
        <w:t xml:space="preserve">(Blutsverwandte deiner Mutter) entspricht </w:t>
      </w:r>
      <w:r w:rsidRPr="00282BD6">
        <w:rPr>
          <w:rFonts w:eastAsia="Times New Roman" w:cs="Times New Roman"/>
          <w:b/>
          <w:bCs/>
          <w:rtl/>
          <w:lang w:eastAsia="de-DE"/>
        </w:rPr>
        <w:t>שאר אביך</w:t>
      </w:r>
      <w:r w:rsidRPr="00282BD6">
        <w:rPr>
          <w:rFonts w:eastAsia="Times New Roman" w:cs="Times New Roman"/>
          <w:rtl/>
          <w:lang w:eastAsia="de-DE"/>
        </w:rPr>
        <w:t xml:space="preserve"> </w:t>
      </w:r>
      <w:r w:rsidRPr="00282BD6">
        <w:rPr>
          <w:rFonts w:eastAsia="Times New Roman" w:cs="Times New Roman"/>
          <w:lang w:eastAsia="de-DE"/>
        </w:rPr>
        <w:t>aus V. 12.</w:t>
      </w:r>
    </w:p>
    <w:p w14:paraId="2B65ED9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אחות־אמך</w:t>
      </w:r>
      <w:r w:rsidRPr="00282BD6">
        <w:rPr>
          <w:rFonts w:eastAsia="Times New Roman" w:cs="Times New Roman"/>
          <w:rtl/>
          <w:lang w:eastAsia="de-DE"/>
        </w:rPr>
        <w:t xml:space="preserve"> </w:t>
      </w:r>
      <w:r w:rsidRPr="00282BD6">
        <w:rPr>
          <w:rFonts w:eastAsia="Times New Roman" w:cs="Times New Roman"/>
          <w:lang w:eastAsia="de-DE"/>
        </w:rPr>
        <w:t xml:space="preserve">zeigt die parallele Behandlung mütterlicher und väterlicher Verwandtschaft. </w:t>
      </w:r>
      <w:r w:rsidRPr="00282BD6">
        <w:rPr>
          <w:rFonts w:eastAsia="Times New Roman" w:cs="Times New Roman"/>
          <w:b/>
          <w:bCs/>
          <w:rtl/>
          <w:lang w:eastAsia="de-DE"/>
        </w:rPr>
        <w:t>כי־שאר אמך</w:t>
      </w:r>
      <w:r w:rsidRPr="00282BD6">
        <w:rPr>
          <w:rFonts w:eastAsia="Times New Roman" w:cs="Times New Roman"/>
          <w:rtl/>
          <w:lang w:eastAsia="de-DE"/>
        </w:rPr>
        <w:t xml:space="preserve"> </w:t>
      </w:r>
      <w:r w:rsidRPr="00282BD6">
        <w:rPr>
          <w:rFonts w:eastAsia="Times New Roman" w:cs="Times New Roman"/>
          <w:lang w:eastAsia="de-DE"/>
        </w:rPr>
        <w:t xml:space="preserve">mit </w:t>
      </w:r>
      <w:r w:rsidRPr="00282BD6">
        <w:rPr>
          <w:rFonts w:eastAsia="Times New Roman" w:cs="Times New Roman"/>
          <w:b/>
          <w:bCs/>
          <w:rtl/>
          <w:lang w:eastAsia="de-DE"/>
        </w:rPr>
        <w:t>כי</w:t>
      </w:r>
      <w:r w:rsidRPr="00282BD6">
        <w:rPr>
          <w:rFonts w:eastAsia="Times New Roman" w:cs="Times New Roman"/>
          <w:rtl/>
          <w:lang w:eastAsia="de-DE"/>
        </w:rPr>
        <w:t xml:space="preserve"> </w:t>
      </w:r>
      <w:r w:rsidRPr="00282BD6">
        <w:rPr>
          <w:rFonts w:eastAsia="Times New Roman" w:cs="Times New Roman"/>
          <w:lang w:eastAsia="de-DE"/>
        </w:rPr>
        <w:t>betont die kausale Begründung stärker als V. 12. Die Parallelität zeigt Gleichbehandlung beider Elternlinien.</w:t>
      </w:r>
    </w:p>
    <w:p w14:paraId="0057B683"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אחות־אמך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ἀδελφῆς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μητρός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(Schwester deiner Mutter) und </w:t>
      </w:r>
      <w:r w:rsidRPr="00282BD6">
        <w:rPr>
          <w:rFonts w:eastAsia="Times New Roman" w:cs="Times New Roman"/>
          <w:b/>
          <w:bCs/>
          <w:rtl/>
          <w:lang w:eastAsia="de-DE"/>
        </w:rPr>
        <w:t>שאר אמך הוא</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συγγενὴς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μητρός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σού</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ἐστιν</w:t>
      </w:r>
      <w:proofErr w:type="spellEnd"/>
      <w:r w:rsidRPr="00282BD6">
        <w:rPr>
          <w:rFonts w:eastAsia="Times New Roman" w:cs="Times New Roman"/>
          <w:lang w:eastAsia="de-DE"/>
        </w:rPr>
        <w:t xml:space="preserve"> (Verwandte deiner Mutter ist sie).</w:t>
      </w:r>
    </w:p>
    <w:p w14:paraId="4001631B"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mütterliches Tantenverbot: mütterliche Tante + Verbot + verstärkte Begründung durch mütterliche Blutsverwandtschaft.</w:t>
      </w:r>
    </w:p>
    <w:p w14:paraId="1043E066"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vervollständigt das Tantenverbot durch Einschluss der mütterlichen Tante als Blutsverwandter der Mutter.</w:t>
      </w:r>
    </w:p>
    <w:p w14:paraId="170465E6"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18,14</w:t>
      </w:r>
    </w:p>
    <w:p w14:paraId="1EC5EEE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אֲחִֽי־אָבִ֖יךָ לֹ֣א תְגַלֵּ֑ה אֶל־אִשְׁתּוֹ֙ לֹ֣א תִקְרַ֔ב דֹּדָתְךָ֖ הִֽוא׃</w:t>
      </w:r>
    </w:p>
    <w:p w14:paraId="2A6B4FF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des Bruders deines Vaters sollst du nicht entblößen: seiner Frau sollst du nicht nahen, sie ist deine Tante.</w:t>
      </w:r>
    </w:p>
    <w:p w14:paraId="71E87399"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7693AE09">
          <v:rect id="_x0000_i1544" style="width:0;height:1.5pt" o:hralign="center" o:hrstd="t" o:hr="t" fillcolor="#a0a0a0" stroked="f"/>
        </w:pict>
      </w:r>
    </w:p>
    <w:p w14:paraId="7DA7BADA"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אחי־אביך לא תגלה אל־אשתו לא תקרב דדתך הוא</w:t>
      </w:r>
      <w:r w:rsidRPr="00282BD6">
        <w:rPr>
          <w:rFonts w:eastAsia="Times New Roman" w:cs="Times New Roman"/>
          <w:rtl/>
          <w:lang w:eastAsia="de-DE"/>
        </w:rPr>
        <w:t xml:space="preserve"> </w:t>
      </w:r>
      <w:r w:rsidRPr="00282BD6">
        <w:rPr>
          <w:rFonts w:eastAsia="Times New Roman" w:cs="Times New Roman"/>
          <w:lang w:eastAsia="de-DE"/>
        </w:rPr>
        <w:t xml:space="preserve">verbietet sowohl homosexuellen Verkehr mit dem Onkel als auch heterosexuellen Verkehr mit dessen Frau. </w:t>
      </w:r>
      <w:r w:rsidRPr="00282BD6">
        <w:rPr>
          <w:rFonts w:eastAsia="Times New Roman" w:cs="Times New Roman"/>
          <w:b/>
          <w:bCs/>
          <w:rtl/>
          <w:lang w:eastAsia="de-DE"/>
        </w:rPr>
        <w:t>ערות אחי־אביך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des Bruders deines Vaters sollst du nicht entblößen) verbietet direkten Verkehr mit dem väterlichen Onkel. </w:t>
      </w:r>
      <w:r w:rsidRPr="00282BD6">
        <w:rPr>
          <w:rFonts w:eastAsia="Times New Roman" w:cs="Times New Roman"/>
          <w:b/>
          <w:bCs/>
          <w:rtl/>
          <w:lang w:eastAsia="de-DE"/>
        </w:rPr>
        <w:t>אחי־אביך</w:t>
      </w:r>
      <w:r w:rsidRPr="00282BD6">
        <w:rPr>
          <w:rFonts w:eastAsia="Times New Roman" w:cs="Times New Roman"/>
          <w:rtl/>
          <w:lang w:eastAsia="de-DE"/>
        </w:rPr>
        <w:t xml:space="preserve"> </w:t>
      </w:r>
      <w:r w:rsidRPr="00282BD6">
        <w:rPr>
          <w:rFonts w:eastAsia="Times New Roman" w:cs="Times New Roman"/>
          <w:lang w:eastAsia="de-DE"/>
        </w:rPr>
        <w:t>(Bruder deines Vaters) als väterlicher Onkel.</w:t>
      </w:r>
    </w:p>
    <w:p w14:paraId="26B82A38" w14:textId="79457E93"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אל־אשתו לא תקרב דדתך הוא</w:t>
      </w:r>
      <w:r w:rsidRPr="00282BD6">
        <w:rPr>
          <w:rFonts w:eastAsia="Times New Roman" w:cs="Times New Roman"/>
          <w:rtl/>
          <w:lang w:eastAsia="de-DE"/>
        </w:rPr>
        <w:t xml:space="preserve"> </w:t>
      </w:r>
      <w:r w:rsidRPr="00282BD6">
        <w:rPr>
          <w:rFonts w:eastAsia="Times New Roman" w:cs="Times New Roman"/>
          <w:lang w:eastAsia="de-DE"/>
        </w:rPr>
        <w:t xml:space="preserve">(seiner Frau sollst du nicht nahen, sie ist deine Tante) - </w:t>
      </w:r>
      <w:r w:rsidRPr="00282BD6">
        <w:rPr>
          <w:rFonts w:eastAsia="Times New Roman" w:cs="Times New Roman"/>
          <w:b/>
          <w:bCs/>
          <w:rtl/>
          <w:lang w:eastAsia="de-DE"/>
        </w:rPr>
        <w:t>אל־אשתו לא תקרב</w:t>
      </w:r>
      <w:r w:rsidRPr="00282BD6">
        <w:rPr>
          <w:rFonts w:eastAsia="Times New Roman" w:cs="Times New Roman"/>
          <w:rtl/>
          <w:lang w:eastAsia="de-DE"/>
        </w:rPr>
        <w:t xml:space="preserve"> </w:t>
      </w:r>
      <w:r w:rsidRPr="00282BD6">
        <w:rPr>
          <w:rFonts w:eastAsia="Times New Roman" w:cs="Times New Roman"/>
          <w:lang w:eastAsia="de-DE"/>
        </w:rPr>
        <w:t xml:space="preserve">wechselt von </w:t>
      </w:r>
      <w:r w:rsidRPr="00282BD6">
        <w:rPr>
          <w:rFonts w:eastAsia="Times New Roman" w:cs="Times New Roman"/>
          <w:b/>
          <w:bCs/>
          <w:rtl/>
          <w:lang w:eastAsia="de-DE"/>
        </w:rPr>
        <w:t>גלה ערוה</w:t>
      </w:r>
      <w:r w:rsidRPr="00282BD6">
        <w:rPr>
          <w:rFonts w:eastAsia="Times New Roman" w:cs="Times New Roman"/>
          <w:rtl/>
          <w:lang w:eastAsia="de-DE"/>
        </w:rPr>
        <w:t xml:space="preserve"> </w:t>
      </w:r>
      <w:r w:rsidRPr="00282BD6">
        <w:rPr>
          <w:rFonts w:eastAsia="Times New Roman" w:cs="Times New Roman"/>
          <w:lang w:eastAsia="de-DE"/>
        </w:rPr>
        <w:t xml:space="preserve">zu </w:t>
      </w:r>
      <w:r w:rsidRPr="00282BD6">
        <w:rPr>
          <w:rFonts w:eastAsia="Times New Roman" w:cs="Times New Roman"/>
          <w:b/>
          <w:bCs/>
          <w:rtl/>
          <w:lang w:eastAsia="de-DE"/>
        </w:rPr>
        <w:t>קרב אל</w:t>
      </w:r>
      <w:r w:rsidRPr="00282BD6">
        <w:rPr>
          <w:rFonts w:eastAsia="Times New Roman" w:cs="Times New Roman"/>
          <w:rtl/>
          <w:lang w:eastAsia="de-DE"/>
        </w:rPr>
        <w:t xml:space="preserve"> </w:t>
      </w:r>
      <w:r w:rsidRPr="00282BD6">
        <w:rPr>
          <w:rFonts w:eastAsia="Times New Roman" w:cs="Times New Roman"/>
          <w:lang w:eastAsia="de-DE"/>
        </w:rPr>
        <w:t xml:space="preserve">als Variante der Verkehrsumschreibung. </w:t>
      </w:r>
      <w:r w:rsidRPr="00282BD6">
        <w:rPr>
          <w:rFonts w:eastAsia="Times New Roman" w:cs="Times New Roman"/>
          <w:b/>
          <w:bCs/>
          <w:rtl/>
          <w:lang w:eastAsia="de-DE"/>
        </w:rPr>
        <w:t>דדתך</w:t>
      </w:r>
      <w:r w:rsidRPr="00282BD6">
        <w:rPr>
          <w:rFonts w:eastAsia="Times New Roman" w:cs="Times New Roman"/>
          <w:rtl/>
          <w:lang w:eastAsia="de-DE"/>
        </w:rPr>
        <w:t xml:space="preserve"> </w:t>
      </w:r>
      <w:r w:rsidRPr="00282BD6">
        <w:rPr>
          <w:rFonts w:eastAsia="Times New Roman" w:cs="Times New Roman"/>
          <w:lang w:eastAsia="de-DE"/>
        </w:rPr>
        <w:t xml:space="preserve">(deine Tante) - </w:t>
      </w:r>
      <w:r w:rsidRPr="00282BD6">
        <w:rPr>
          <w:rFonts w:eastAsia="Times New Roman" w:cs="Times New Roman"/>
          <w:b/>
          <w:bCs/>
          <w:rtl/>
          <w:lang w:eastAsia="de-DE"/>
        </w:rPr>
        <w:t>דודה</w:t>
      </w:r>
      <w:r w:rsidRPr="00282BD6">
        <w:rPr>
          <w:rFonts w:eastAsia="Times New Roman" w:cs="Times New Roman"/>
          <w:rtl/>
          <w:lang w:eastAsia="de-DE"/>
        </w:rPr>
        <w:t xml:space="preserve"> </w:t>
      </w:r>
      <w:r w:rsidRPr="00282BD6">
        <w:rPr>
          <w:rFonts w:eastAsia="Times New Roman" w:cs="Times New Roman"/>
          <w:lang w:eastAsia="de-DE"/>
        </w:rPr>
        <w:t xml:space="preserve">als spezifische Bezeichnung für </w:t>
      </w:r>
      <w:r w:rsidR="0047575E" w:rsidRPr="00282BD6">
        <w:rPr>
          <w:rFonts w:eastAsia="Times New Roman" w:cs="Times New Roman"/>
          <w:lang w:eastAsia="de-DE"/>
        </w:rPr>
        <w:t>Onkels Frau</w:t>
      </w:r>
      <w:r w:rsidRPr="00282BD6">
        <w:rPr>
          <w:rFonts w:eastAsia="Times New Roman" w:cs="Times New Roman"/>
          <w:lang w:eastAsia="de-DE"/>
        </w:rPr>
        <w:t>.</w:t>
      </w:r>
    </w:p>
    <w:p w14:paraId="023864EA" w14:textId="1445466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lastRenderedPageBreak/>
        <w:t>ערות אחי־אביך</w:t>
      </w:r>
      <w:r w:rsidRPr="00282BD6">
        <w:rPr>
          <w:rFonts w:eastAsia="Times New Roman" w:cs="Times New Roman"/>
          <w:rtl/>
          <w:lang w:eastAsia="de-DE"/>
        </w:rPr>
        <w:t xml:space="preserve"> </w:t>
      </w:r>
      <w:r w:rsidRPr="00282BD6">
        <w:rPr>
          <w:rFonts w:eastAsia="Times New Roman" w:cs="Times New Roman"/>
          <w:lang w:eastAsia="de-DE"/>
        </w:rPr>
        <w:t xml:space="preserve">zeigt das erste explizite homosexuelle Verbot in der Liste. </w:t>
      </w:r>
      <w:r w:rsidRPr="00282BD6">
        <w:rPr>
          <w:rFonts w:eastAsia="Times New Roman" w:cs="Times New Roman"/>
          <w:b/>
          <w:bCs/>
          <w:rtl/>
          <w:lang w:eastAsia="de-DE"/>
        </w:rPr>
        <w:t>אל־אשתו לא תקרב</w:t>
      </w:r>
      <w:r w:rsidRPr="00282BD6">
        <w:rPr>
          <w:rFonts w:eastAsia="Times New Roman" w:cs="Times New Roman"/>
          <w:rtl/>
          <w:lang w:eastAsia="de-DE"/>
        </w:rPr>
        <w:t xml:space="preserve"> </w:t>
      </w:r>
      <w:r w:rsidRPr="00282BD6">
        <w:rPr>
          <w:rFonts w:eastAsia="Times New Roman" w:cs="Times New Roman"/>
          <w:lang w:eastAsia="de-DE"/>
        </w:rPr>
        <w:t xml:space="preserve">behandelt die </w:t>
      </w:r>
      <w:r w:rsidR="0047575E">
        <w:rPr>
          <w:rFonts w:eastAsia="Times New Roman" w:cs="Times New Roman"/>
          <w:lang w:eastAsia="de-DE"/>
        </w:rPr>
        <w:t>Onkels Frau</w:t>
      </w:r>
      <w:r w:rsidRPr="00282BD6">
        <w:rPr>
          <w:rFonts w:eastAsia="Times New Roman" w:cs="Times New Roman"/>
          <w:lang w:eastAsia="de-DE"/>
        </w:rPr>
        <w:t xml:space="preserve"> getrennt vom Onkel selbst. </w:t>
      </w:r>
      <w:r w:rsidRPr="00282BD6">
        <w:rPr>
          <w:rFonts w:eastAsia="Times New Roman" w:cs="Times New Roman"/>
          <w:b/>
          <w:bCs/>
          <w:rtl/>
          <w:lang w:eastAsia="de-DE"/>
        </w:rPr>
        <w:t>דדתך הוא</w:t>
      </w:r>
      <w:r w:rsidRPr="00282BD6">
        <w:rPr>
          <w:rFonts w:eastAsia="Times New Roman" w:cs="Times New Roman"/>
          <w:rtl/>
          <w:lang w:eastAsia="de-DE"/>
        </w:rPr>
        <w:t xml:space="preserve"> </w:t>
      </w:r>
      <w:r w:rsidRPr="00282BD6">
        <w:rPr>
          <w:rFonts w:eastAsia="Times New Roman" w:cs="Times New Roman"/>
          <w:lang w:eastAsia="de-DE"/>
        </w:rPr>
        <w:t xml:space="preserve">etabliert </w:t>
      </w:r>
      <w:r w:rsidRPr="00282BD6">
        <w:rPr>
          <w:rFonts w:eastAsia="Times New Roman" w:cs="Times New Roman"/>
          <w:b/>
          <w:bCs/>
          <w:rtl/>
          <w:lang w:eastAsia="de-DE"/>
        </w:rPr>
        <w:t>דודה</w:t>
      </w:r>
      <w:r w:rsidRPr="00282BD6">
        <w:rPr>
          <w:rFonts w:eastAsia="Times New Roman" w:cs="Times New Roman"/>
          <w:rtl/>
          <w:lang w:eastAsia="de-DE"/>
        </w:rPr>
        <w:t xml:space="preserve"> </w:t>
      </w:r>
      <w:r w:rsidRPr="00282BD6">
        <w:rPr>
          <w:rFonts w:eastAsia="Times New Roman" w:cs="Times New Roman"/>
          <w:lang w:eastAsia="de-DE"/>
        </w:rPr>
        <w:t>als technischen Begriff für Tante durch Heirat.</w:t>
      </w:r>
    </w:p>
    <w:p w14:paraId="48840BD2"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אחי־אביך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ἀδελφοῦ</w:t>
      </w:r>
      <w:proofErr w:type="spellEnd"/>
      <w:r w:rsidRPr="00282BD6">
        <w:rPr>
          <w:rFonts w:eastAsia="Times New Roman" w:cs="Times New Roman"/>
          <w:lang w:eastAsia="de-DE"/>
        </w:rPr>
        <w:t xml:space="preserve"> πα</w:t>
      </w:r>
      <w:proofErr w:type="spellStart"/>
      <w:r w:rsidRPr="00282BD6">
        <w:rPr>
          <w:rFonts w:eastAsia="Times New Roman" w:cs="Times New Roman"/>
          <w:lang w:eastAsia="de-DE"/>
        </w:rPr>
        <w:t>τρός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(Bruder deines Vaters), </w:t>
      </w:r>
      <w:r w:rsidRPr="00282BD6">
        <w:rPr>
          <w:rFonts w:eastAsia="Times New Roman" w:cs="Times New Roman"/>
          <w:b/>
          <w:bCs/>
          <w:rtl/>
          <w:lang w:eastAsia="de-DE"/>
        </w:rPr>
        <w:t>אל־אשתו</w:t>
      </w:r>
      <w:r w:rsidRPr="00282BD6">
        <w:rPr>
          <w:rFonts w:eastAsia="Times New Roman" w:cs="Times New Roman"/>
          <w:rtl/>
          <w:lang w:eastAsia="de-DE"/>
        </w:rPr>
        <w:t xml:space="preserve"> </w:t>
      </w:r>
      <w:r w:rsidRPr="00282BD6">
        <w:rPr>
          <w:rFonts w:eastAsia="Times New Roman" w:cs="Times New Roman"/>
          <w:lang w:eastAsia="de-DE"/>
        </w:rPr>
        <w:t>mit π</w:t>
      </w:r>
      <w:proofErr w:type="spellStart"/>
      <w:r w:rsidRPr="00282BD6">
        <w:rPr>
          <w:rFonts w:eastAsia="Times New Roman" w:cs="Times New Roman"/>
          <w:lang w:eastAsia="de-DE"/>
        </w:rPr>
        <w:t>ρὸς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γυν</w:t>
      </w:r>
      <w:proofErr w:type="spellEnd"/>
      <w:r w:rsidRPr="00282BD6">
        <w:rPr>
          <w:rFonts w:eastAsia="Times New Roman" w:cs="Times New Roman"/>
          <w:lang w:eastAsia="de-DE"/>
        </w:rPr>
        <w:t>αῖκα α</w:t>
      </w:r>
      <w:proofErr w:type="spellStart"/>
      <w:r w:rsidRPr="00282BD6">
        <w:rPr>
          <w:rFonts w:eastAsia="Times New Roman" w:cs="Times New Roman"/>
          <w:lang w:eastAsia="de-DE"/>
        </w:rPr>
        <w:t>ὐτοῦ</w:t>
      </w:r>
      <w:proofErr w:type="spellEnd"/>
      <w:r w:rsidRPr="00282BD6">
        <w:rPr>
          <w:rFonts w:eastAsia="Times New Roman" w:cs="Times New Roman"/>
          <w:lang w:eastAsia="de-DE"/>
        </w:rPr>
        <w:t xml:space="preserve"> (zu seiner Frau) und </w:t>
      </w:r>
      <w:r w:rsidRPr="00282BD6">
        <w:rPr>
          <w:rFonts w:eastAsia="Times New Roman" w:cs="Times New Roman"/>
          <w:b/>
          <w:bCs/>
          <w:rtl/>
          <w:lang w:eastAsia="de-DE"/>
        </w:rPr>
        <w:t>דדתך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τήθη</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σού</w:t>
      </w:r>
      <w:proofErr w:type="spellEnd"/>
      <w:r w:rsidRPr="00282BD6">
        <w:rPr>
          <w:rFonts w:eastAsia="Times New Roman" w:cs="Times New Roman"/>
          <w:lang w:eastAsia="de-DE"/>
        </w:rPr>
        <w:t xml:space="preserve"> (deine Tante).</w:t>
      </w:r>
    </w:p>
    <w:p w14:paraId="0CC65495" w14:textId="35FE853D"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doppeltes Onkelverbot: direktes Verbot des Onkels + indirektes Verbot durch Ehefrau + </w:t>
      </w:r>
      <w:r w:rsidR="0047575E" w:rsidRPr="00282BD6">
        <w:rPr>
          <w:rFonts w:eastAsia="Times New Roman" w:cs="Times New Roman"/>
          <w:lang w:eastAsia="de-DE"/>
        </w:rPr>
        <w:t>Tanten Identifikation</w:t>
      </w:r>
      <w:r w:rsidRPr="00282BD6">
        <w:rPr>
          <w:rFonts w:eastAsia="Times New Roman" w:cs="Times New Roman"/>
          <w:lang w:eastAsia="de-DE"/>
        </w:rPr>
        <w:t>.</w:t>
      </w:r>
    </w:p>
    <w:p w14:paraId="2FA781B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verbietet sowohl direkten Verkehr mit dem väterlichen Onkel als auch indirekten durch dessen Ehefrau.</w:t>
      </w:r>
    </w:p>
    <w:p w14:paraId="48281C0D" w14:textId="77777777" w:rsidR="00282BD6" w:rsidRPr="00282BD6" w:rsidRDefault="00282BD6" w:rsidP="00282BD6">
      <w:pPr>
        <w:spacing w:before="100" w:beforeAutospacing="1" w:after="100" w:afterAutospacing="1" w:line="240" w:lineRule="auto"/>
        <w:outlineLvl w:val="1"/>
        <w:rPr>
          <w:rFonts w:eastAsia="Times New Roman" w:cs="Times New Roman"/>
          <w:b/>
          <w:bCs/>
          <w:sz w:val="36"/>
          <w:szCs w:val="36"/>
          <w:lang w:eastAsia="de-DE"/>
        </w:rPr>
      </w:pPr>
      <w:r w:rsidRPr="00282BD6">
        <w:rPr>
          <w:rFonts w:eastAsia="Times New Roman" w:cs="Times New Roman"/>
          <w:b/>
          <w:bCs/>
          <w:sz w:val="36"/>
          <w:szCs w:val="36"/>
          <w:lang w:eastAsia="de-DE"/>
        </w:rPr>
        <w:t>Leviticus 18,15</w:t>
      </w:r>
    </w:p>
    <w:p w14:paraId="45C8FF01"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Hebräisch:</w:t>
      </w:r>
      <w:r w:rsidRPr="00282BD6">
        <w:rPr>
          <w:rFonts w:eastAsia="Times New Roman" w:cs="Times New Roman"/>
          <w:lang w:eastAsia="de-DE"/>
        </w:rPr>
        <w:t xml:space="preserve"> </w:t>
      </w:r>
      <w:r w:rsidRPr="00282BD6">
        <w:rPr>
          <w:rFonts w:eastAsia="Times New Roman" w:cs="Times New Roman"/>
          <w:rtl/>
          <w:lang w:eastAsia="de-DE"/>
        </w:rPr>
        <w:t>עֶרְוַ֥ת כַּלָּתְךָ֖ לֹ֣א תְגַלֵּ֑ה אֵ֤שֶׁת בִּנְךָ֙ הִ֔וא לֹ֥א תְגַלֶּ֖ה עֶרְוָתָֽהּ׃</w:t>
      </w:r>
    </w:p>
    <w:p w14:paraId="4AEBB2D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Deutsch:</w:t>
      </w:r>
      <w:r w:rsidRPr="00282BD6">
        <w:rPr>
          <w:rFonts w:eastAsia="Times New Roman" w:cs="Times New Roman"/>
          <w:lang w:eastAsia="de-DE"/>
        </w:rPr>
        <w:t xml:space="preserve"> Die Blöße deiner Schwiegertochter sollst du nicht entblößen; sie ist die Frau deines Sohnes, du sollst ihre Blöße nicht entblößen.</w:t>
      </w:r>
    </w:p>
    <w:p w14:paraId="4F399888" w14:textId="77777777" w:rsidR="00282BD6" w:rsidRPr="00282BD6" w:rsidRDefault="00A57720" w:rsidP="00282BD6">
      <w:pPr>
        <w:spacing w:after="0" w:line="240" w:lineRule="auto"/>
        <w:rPr>
          <w:rFonts w:eastAsia="Times New Roman" w:cs="Times New Roman"/>
          <w:lang w:eastAsia="de-DE"/>
        </w:rPr>
      </w:pPr>
      <w:r>
        <w:rPr>
          <w:rFonts w:eastAsia="Times New Roman" w:cs="Times New Roman"/>
          <w:noProof/>
          <w:lang w:eastAsia="de-DE"/>
        </w:rPr>
        <w:pict w14:anchorId="1A88970B">
          <v:rect id="_x0000_i1545" style="width:0;height:1.5pt" o:hralign="center" o:hrstd="t" o:hr="t" fillcolor="#a0a0a0" stroked="f"/>
        </w:pict>
      </w:r>
    </w:p>
    <w:p w14:paraId="6F9D87D9"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Kommentar:</w:t>
      </w:r>
      <w:r w:rsidRPr="00282BD6">
        <w:rPr>
          <w:rFonts w:eastAsia="Times New Roman" w:cs="Times New Roman"/>
          <w:lang w:eastAsia="de-DE"/>
        </w:rPr>
        <w:t xml:space="preserve"> </w:t>
      </w:r>
      <w:r w:rsidRPr="00282BD6">
        <w:rPr>
          <w:rFonts w:eastAsia="Times New Roman" w:cs="Times New Roman"/>
          <w:b/>
          <w:bCs/>
          <w:rtl/>
          <w:lang w:eastAsia="de-DE"/>
        </w:rPr>
        <w:t>ערות כלתך לא תגלה אשת בנך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verbietet Verkehr mit der Schwiegertochter. </w:t>
      </w:r>
      <w:r w:rsidRPr="00282BD6">
        <w:rPr>
          <w:rFonts w:eastAsia="Times New Roman" w:cs="Times New Roman"/>
          <w:b/>
          <w:bCs/>
          <w:rtl/>
          <w:lang w:eastAsia="de-DE"/>
        </w:rPr>
        <w:t>ערות כלתך לא תגלה</w:t>
      </w:r>
      <w:r w:rsidRPr="00282BD6">
        <w:rPr>
          <w:rFonts w:eastAsia="Times New Roman" w:cs="Times New Roman"/>
          <w:rtl/>
          <w:lang w:eastAsia="de-DE"/>
        </w:rPr>
        <w:t xml:space="preserve"> </w:t>
      </w:r>
      <w:r w:rsidRPr="00282BD6">
        <w:rPr>
          <w:rFonts w:eastAsia="Times New Roman" w:cs="Times New Roman"/>
          <w:lang w:eastAsia="de-DE"/>
        </w:rPr>
        <w:t xml:space="preserve">(die Blöße deiner Schwiegertochter sollst du nicht entblößen) - </w:t>
      </w:r>
      <w:r w:rsidRPr="00282BD6">
        <w:rPr>
          <w:rFonts w:eastAsia="Times New Roman" w:cs="Times New Roman"/>
          <w:b/>
          <w:bCs/>
          <w:rtl/>
          <w:lang w:eastAsia="de-DE"/>
        </w:rPr>
        <w:t>כלה</w:t>
      </w:r>
      <w:r w:rsidRPr="00282BD6">
        <w:rPr>
          <w:rFonts w:eastAsia="Times New Roman" w:cs="Times New Roman"/>
          <w:rtl/>
          <w:lang w:eastAsia="de-DE"/>
        </w:rPr>
        <w:t xml:space="preserve"> </w:t>
      </w:r>
      <w:r w:rsidRPr="00282BD6">
        <w:rPr>
          <w:rFonts w:eastAsia="Times New Roman" w:cs="Times New Roman"/>
          <w:lang w:eastAsia="de-DE"/>
        </w:rPr>
        <w:t>(Schwiegertochter) als Ehefrau des Sohnes.</w:t>
      </w:r>
    </w:p>
    <w:p w14:paraId="097185FF"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אשת בנך הוא לא תגלה ערותה</w:t>
      </w:r>
      <w:r w:rsidRPr="00282BD6">
        <w:rPr>
          <w:rFonts w:eastAsia="Times New Roman" w:cs="Times New Roman"/>
          <w:rtl/>
          <w:lang w:eastAsia="de-DE"/>
        </w:rPr>
        <w:t xml:space="preserve"> </w:t>
      </w:r>
      <w:r w:rsidRPr="00282BD6">
        <w:rPr>
          <w:rFonts w:eastAsia="Times New Roman" w:cs="Times New Roman"/>
          <w:lang w:eastAsia="de-DE"/>
        </w:rPr>
        <w:t xml:space="preserve">(sie ist die Frau deines Sohnes, du sollst ihre Blöße nicht entblößen) - </w:t>
      </w:r>
      <w:r w:rsidRPr="00282BD6">
        <w:rPr>
          <w:rFonts w:eastAsia="Times New Roman" w:cs="Times New Roman"/>
          <w:b/>
          <w:bCs/>
          <w:rtl/>
          <w:lang w:eastAsia="de-DE"/>
        </w:rPr>
        <w:t>אשת בנך</w:t>
      </w:r>
      <w:r w:rsidRPr="00282BD6">
        <w:rPr>
          <w:rFonts w:eastAsia="Times New Roman" w:cs="Times New Roman"/>
          <w:rtl/>
          <w:lang w:eastAsia="de-DE"/>
        </w:rPr>
        <w:t xml:space="preserve"> </w:t>
      </w:r>
      <w:r w:rsidRPr="00282BD6">
        <w:rPr>
          <w:rFonts w:eastAsia="Times New Roman" w:cs="Times New Roman"/>
          <w:lang w:eastAsia="de-DE"/>
        </w:rPr>
        <w:t xml:space="preserve">(Frau deines Sohnes) erläutert </w:t>
      </w:r>
      <w:r w:rsidRPr="00282BD6">
        <w:rPr>
          <w:rFonts w:eastAsia="Times New Roman" w:cs="Times New Roman"/>
          <w:b/>
          <w:bCs/>
          <w:rtl/>
          <w:lang w:eastAsia="de-DE"/>
        </w:rPr>
        <w:t>כלתך</w:t>
      </w:r>
      <w:r w:rsidRPr="00282BD6">
        <w:rPr>
          <w:rFonts w:eastAsia="Times New Roman" w:cs="Times New Roman"/>
          <w:rtl/>
          <w:lang w:eastAsia="de-DE"/>
        </w:rPr>
        <w:t xml:space="preserve"> </w:t>
      </w:r>
      <w:r w:rsidRPr="00282BD6">
        <w:rPr>
          <w:rFonts w:eastAsia="Times New Roman" w:cs="Times New Roman"/>
          <w:lang w:eastAsia="de-DE"/>
        </w:rPr>
        <w:t xml:space="preserve">und zeigt die Beziehung zum Sohn als Verbotsgrund. Die Wiederholung </w:t>
      </w:r>
      <w:r w:rsidRPr="00282BD6">
        <w:rPr>
          <w:rFonts w:eastAsia="Times New Roman" w:cs="Times New Roman"/>
          <w:b/>
          <w:bCs/>
          <w:rtl/>
          <w:lang w:eastAsia="de-DE"/>
        </w:rPr>
        <w:t>לא תגלה ערותה</w:t>
      </w:r>
      <w:r w:rsidRPr="00282BD6">
        <w:rPr>
          <w:rFonts w:eastAsia="Times New Roman" w:cs="Times New Roman"/>
          <w:rtl/>
          <w:lang w:eastAsia="de-DE"/>
        </w:rPr>
        <w:t xml:space="preserve"> </w:t>
      </w:r>
      <w:r w:rsidRPr="00282BD6">
        <w:rPr>
          <w:rFonts w:eastAsia="Times New Roman" w:cs="Times New Roman"/>
          <w:lang w:eastAsia="de-DE"/>
        </w:rPr>
        <w:t>verstärkt das Verbot.</w:t>
      </w:r>
    </w:p>
    <w:p w14:paraId="632E4C58"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rtl/>
          <w:lang w:eastAsia="de-DE"/>
        </w:rPr>
        <w:t>כלתך</w:t>
      </w:r>
      <w:r w:rsidRPr="00282BD6">
        <w:rPr>
          <w:rFonts w:eastAsia="Times New Roman" w:cs="Times New Roman"/>
          <w:rtl/>
          <w:lang w:eastAsia="de-DE"/>
        </w:rPr>
        <w:t xml:space="preserve"> </w:t>
      </w:r>
      <w:r w:rsidRPr="00282BD6">
        <w:rPr>
          <w:rFonts w:eastAsia="Times New Roman" w:cs="Times New Roman"/>
          <w:lang w:eastAsia="de-DE"/>
        </w:rPr>
        <w:t xml:space="preserve">als juridischer Begriff für die Schwiegertochter. </w:t>
      </w:r>
      <w:r w:rsidRPr="00282BD6">
        <w:rPr>
          <w:rFonts w:eastAsia="Times New Roman" w:cs="Times New Roman"/>
          <w:b/>
          <w:bCs/>
          <w:rtl/>
          <w:lang w:eastAsia="de-DE"/>
        </w:rPr>
        <w:t>אשת בנך הוא</w:t>
      </w:r>
      <w:r w:rsidRPr="00282BD6">
        <w:rPr>
          <w:rFonts w:eastAsia="Times New Roman" w:cs="Times New Roman"/>
          <w:rtl/>
          <w:lang w:eastAsia="de-DE"/>
        </w:rPr>
        <w:t xml:space="preserve"> </w:t>
      </w:r>
      <w:r w:rsidRPr="00282BD6">
        <w:rPr>
          <w:rFonts w:eastAsia="Times New Roman" w:cs="Times New Roman"/>
          <w:lang w:eastAsia="de-DE"/>
        </w:rPr>
        <w:t>zeigt die Begründung durch die Sohn-Ehefrau-Beziehung. Die emphatische Wiederholung zeigt die Schwere dieses Verstoßes.</w:t>
      </w:r>
    </w:p>
    <w:p w14:paraId="0233BB77"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LXX</w:t>
      </w:r>
      <w:r w:rsidRPr="00282BD6">
        <w:rPr>
          <w:rFonts w:eastAsia="Times New Roman" w:cs="Times New Roman"/>
          <w:lang w:eastAsia="de-DE"/>
        </w:rPr>
        <w:t xml:space="preserve"> übersetzt </w:t>
      </w:r>
      <w:r w:rsidRPr="00282BD6">
        <w:rPr>
          <w:rFonts w:eastAsia="Times New Roman" w:cs="Times New Roman"/>
          <w:b/>
          <w:bCs/>
          <w:rtl/>
          <w:lang w:eastAsia="de-DE"/>
        </w:rPr>
        <w:t>כלתך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νύμφης</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(deiner Schwiegertochter), </w:t>
      </w:r>
      <w:r w:rsidRPr="00282BD6">
        <w:rPr>
          <w:rFonts w:eastAsia="Times New Roman" w:cs="Times New Roman"/>
          <w:b/>
          <w:bCs/>
          <w:rtl/>
          <w:lang w:eastAsia="de-DE"/>
        </w:rPr>
        <w:t>אשת בנך</w:t>
      </w:r>
      <w:r w:rsidRPr="00282BD6">
        <w:rPr>
          <w:rFonts w:eastAsia="Times New Roman" w:cs="Times New Roman"/>
          <w:rtl/>
          <w:lang w:eastAsia="de-DE"/>
        </w:rPr>
        <w:t xml:space="preserve"> </w:t>
      </w:r>
      <w:r w:rsidRPr="00282BD6">
        <w:rPr>
          <w:rFonts w:eastAsia="Times New Roman" w:cs="Times New Roman"/>
          <w:lang w:eastAsia="de-DE"/>
        </w:rPr>
        <w:t xml:space="preserve">mit </w:t>
      </w:r>
      <w:proofErr w:type="spellStart"/>
      <w:r w:rsidRPr="00282BD6">
        <w:rPr>
          <w:rFonts w:eastAsia="Times New Roman" w:cs="Times New Roman"/>
          <w:lang w:eastAsia="de-DE"/>
        </w:rPr>
        <w:t>γυνὴ</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υἱοῦ</w:t>
      </w:r>
      <w:proofErr w:type="spellEnd"/>
      <w:r w:rsidRPr="00282BD6">
        <w:rPr>
          <w:rFonts w:eastAsia="Times New Roman" w:cs="Times New Roman"/>
          <w:lang w:eastAsia="de-DE"/>
        </w:rPr>
        <w:t xml:space="preserve"> </w:t>
      </w:r>
      <w:proofErr w:type="spellStart"/>
      <w:r w:rsidRPr="00282BD6">
        <w:rPr>
          <w:rFonts w:eastAsia="Times New Roman" w:cs="Times New Roman"/>
          <w:lang w:eastAsia="de-DE"/>
        </w:rPr>
        <w:t>σου</w:t>
      </w:r>
      <w:proofErr w:type="spellEnd"/>
      <w:r w:rsidRPr="00282BD6">
        <w:rPr>
          <w:rFonts w:eastAsia="Times New Roman" w:cs="Times New Roman"/>
          <w:lang w:eastAsia="de-DE"/>
        </w:rPr>
        <w:t xml:space="preserve"> (Frau deines Sohnes) und wiederholt </w:t>
      </w:r>
      <w:proofErr w:type="spellStart"/>
      <w:r w:rsidRPr="00282BD6">
        <w:rPr>
          <w:rFonts w:eastAsia="Times New Roman" w:cs="Times New Roman"/>
          <w:b/>
          <w:bCs/>
          <w:lang w:eastAsia="de-DE"/>
        </w:rPr>
        <w:t>οὐκ</w:t>
      </w:r>
      <w:proofErr w:type="spellEnd"/>
      <w:r w:rsidRPr="00282BD6">
        <w:rPr>
          <w:rFonts w:eastAsia="Times New Roman" w:cs="Times New Roman"/>
          <w:b/>
          <w:bCs/>
          <w:lang w:eastAsia="de-DE"/>
        </w:rPr>
        <w:t xml:space="preserve"> ἀπ</w:t>
      </w:r>
      <w:proofErr w:type="spellStart"/>
      <w:r w:rsidRPr="00282BD6">
        <w:rPr>
          <w:rFonts w:eastAsia="Times New Roman" w:cs="Times New Roman"/>
          <w:b/>
          <w:bCs/>
          <w:lang w:eastAsia="de-DE"/>
        </w:rPr>
        <w:t>οκ</w:t>
      </w:r>
      <w:proofErr w:type="spellEnd"/>
      <w:r w:rsidRPr="00282BD6">
        <w:rPr>
          <w:rFonts w:eastAsia="Times New Roman" w:cs="Times New Roman"/>
          <w:b/>
          <w:bCs/>
          <w:lang w:eastAsia="de-DE"/>
        </w:rPr>
        <w:t>αλύψεις</w:t>
      </w:r>
      <w:r w:rsidRPr="00282BD6">
        <w:rPr>
          <w:rFonts w:eastAsia="Times New Roman" w:cs="Times New Roman"/>
          <w:lang w:eastAsia="de-DE"/>
        </w:rPr>
        <w:t xml:space="preserve"> (du sollst nicht enthüllen).</w:t>
      </w:r>
    </w:p>
    <w:p w14:paraId="15AB8280" w14:textId="447A2E51"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b/>
          <w:bCs/>
          <w:lang w:eastAsia="de-DE"/>
        </w:rPr>
        <w:t>Die Satzstruktur</w:t>
      </w:r>
      <w:r w:rsidRPr="00282BD6">
        <w:rPr>
          <w:rFonts w:eastAsia="Times New Roman" w:cs="Times New Roman"/>
          <w:lang w:eastAsia="de-DE"/>
        </w:rPr>
        <w:t xml:space="preserve"> zeigt </w:t>
      </w:r>
      <w:r w:rsidR="0047575E" w:rsidRPr="00282BD6">
        <w:rPr>
          <w:rFonts w:eastAsia="Times New Roman" w:cs="Times New Roman"/>
          <w:lang w:eastAsia="de-DE"/>
        </w:rPr>
        <w:t>Schwiegertochter Verbot</w:t>
      </w:r>
      <w:r w:rsidRPr="00282BD6">
        <w:rPr>
          <w:rFonts w:eastAsia="Times New Roman" w:cs="Times New Roman"/>
          <w:lang w:eastAsia="de-DE"/>
        </w:rPr>
        <w:t xml:space="preserve">: Schwiegertochter-Verbot + Begründung durch </w:t>
      </w:r>
      <w:r w:rsidR="0047575E" w:rsidRPr="00282BD6">
        <w:rPr>
          <w:rFonts w:eastAsia="Times New Roman" w:cs="Times New Roman"/>
          <w:lang w:eastAsia="de-DE"/>
        </w:rPr>
        <w:t>Sohn Beziehung</w:t>
      </w:r>
      <w:r w:rsidRPr="00282BD6">
        <w:rPr>
          <w:rFonts w:eastAsia="Times New Roman" w:cs="Times New Roman"/>
          <w:lang w:eastAsia="de-DE"/>
        </w:rPr>
        <w:t xml:space="preserve"> + emphatische Wiederholung.</w:t>
      </w:r>
    </w:p>
    <w:p w14:paraId="6FBA19CD" w14:textId="77777777" w:rsidR="00282BD6" w:rsidRPr="00282BD6" w:rsidRDefault="00282BD6" w:rsidP="00282BD6">
      <w:pPr>
        <w:spacing w:before="100" w:beforeAutospacing="1" w:after="100" w:afterAutospacing="1" w:line="240" w:lineRule="auto"/>
        <w:rPr>
          <w:rFonts w:eastAsia="Times New Roman" w:cs="Times New Roman"/>
          <w:lang w:eastAsia="de-DE"/>
        </w:rPr>
      </w:pPr>
      <w:r w:rsidRPr="00282BD6">
        <w:rPr>
          <w:rFonts w:eastAsia="Times New Roman" w:cs="Times New Roman"/>
          <w:lang w:eastAsia="de-DE"/>
        </w:rPr>
        <w:t>Dieser Vers verbietet Verkehr mit der Schwiegertochter als Verletzung der Sohn-Ehefrau-Beziehung.</w:t>
      </w:r>
    </w:p>
    <w:p w14:paraId="4991D962" w14:textId="77777777" w:rsidR="00DC54C1" w:rsidRPr="00DC54C1" w:rsidRDefault="00DC54C1" w:rsidP="00DC54C1">
      <w:pPr>
        <w:spacing w:before="100" w:beforeAutospacing="1" w:after="100" w:afterAutospacing="1" w:line="240" w:lineRule="auto"/>
        <w:outlineLvl w:val="1"/>
        <w:rPr>
          <w:rFonts w:eastAsia="Times New Roman" w:cs="Times New Roman"/>
          <w:b/>
          <w:bCs/>
          <w:sz w:val="36"/>
          <w:szCs w:val="36"/>
          <w:lang w:eastAsia="de-DE"/>
        </w:rPr>
      </w:pPr>
      <w:r w:rsidRPr="00DC54C1">
        <w:rPr>
          <w:rFonts w:eastAsia="Times New Roman" w:cs="Times New Roman"/>
          <w:b/>
          <w:bCs/>
          <w:sz w:val="36"/>
          <w:szCs w:val="36"/>
          <w:lang w:eastAsia="de-DE"/>
        </w:rPr>
        <w:t>Leviticus 18,16</w:t>
      </w:r>
    </w:p>
    <w:p w14:paraId="7B4D5B4A"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Hebräisch:</w:t>
      </w:r>
      <w:r w:rsidRPr="00DC54C1">
        <w:rPr>
          <w:rFonts w:eastAsia="Times New Roman" w:cs="Times New Roman"/>
          <w:lang w:eastAsia="de-DE"/>
        </w:rPr>
        <w:t xml:space="preserve"> </w:t>
      </w:r>
      <w:r w:rsidRPr="00DC54C1">
        <w:rPr>
          <w:rFonts w:eastAsia="Times New Roman" w:cs="Times New Roman"/>
          <w:rtl/>
          <w:lang w:eastAsia="de-DE"/>
        </w:rPr>
        <w:t>עֶרְוַ֥ת אֵֽשֶׁת־אָחִ֖יךָ לֹ֣א תְגַלֵּ֑ה עֶרְוַ֥ת אָחִ֖יךָ הִֽוא׃</w:t>
      </w:r>
    </w:p>
    <w:p w14:paraId="61B42C2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Deutsch:</w:t>
      </w:r>
      <w:r w:rsidRPr="00DC54C1">
        <w:rPr>
          <w:rFonts w:eastAsia="Times New Roman" w:cs="Times New Roman"/>
          <w:lang w:eastAsia="de-DE"/>
        </w:rPr>
        <w:t xml:space="preserve"> Die Blöße der Frau deines Bruders sollst du nicht entblößen; es ist die Blöße deines Bruders.</w:t>
      </w:r>
    </w:p>
    <w:p w14:paraId="580EC130" w14:textId="77777777" w:rsidR="00DC54C1" w:rsidRPr="00DC54C1" w:rsidRDefault="00A57720" w:rsidP="00DC54C1">
      <w:pPr>
        <w:spacing w:after="0" w:line="240" w:lineRule="auto"/>
        <w:rPr>
          <w:rFonts w:eastAsia="Times New Roman" w:cs="Times New Roman"/>
          <w:lang w:eastAsia="de-DE"/>
        </w:rPr>
      </w:pPr>
      <w:r>
        <w:rPr>
          <w:rFonts w:eastAsia="Times New Roman" w:cs="Times New Roman"/>
          <w:noProof/>
          <w:lang w:eastAsia="de-DE"/>
        </w:rPr>
        <w:lastRenderedPageBreak/>
        <w:pict w14:anchorId="2B03B688">
          <v:rect id="_x0000_i1546" style="width:0;height:1.5pt" o:hralign="center" o:hrstd="t" o:hr="t" fillcolor="#a0a0a0" stroked="f"/>
        </w:pict>
      </w:r>
    </w:p>
    <w:p w14:paraId="4916334A"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Kommentar:</w:t>
      </w:r>
      <w:r w:rsidRPr="00DC54C1">
        <w:rPr>
          <w:rFonts w:eastAsia="Times New Roman" w:cs="Times New Roman"/>
          <w:lang w:eastAsia="de-DE"/>
        </w:rPr>
        <w:t xml:space="preserve"> </w:t>
      </w:r>
      <w:r w:rsidRPr="00DC54C1">
        <w:rPr>
          <w:rFonts w:eastAsia="Times New Roman" w:cs="Times New Roman"/>
          <w:b/>
          <w:bCs/>
          <w:rtl/>
          <w:lang w:eastAsia="de-DE"/>
        </w:rPr>
        <w:t>ערות אשת־אחיך לא תגלה ערות אחיך הוא</w:t>
      </w:r>
      <w:r w:rsidRPr="00DC54C1">
        <w:rPr>
          <w:rFonts w:eastAsia="Times New Roman" w:cs="Times New Roman"/>
          <w:rtl/>
          <w:lang w:eastAsia="de-DE"/>
        </w:rPr>
        <w:t xml:space="preserve"> </w:t>
      </w:r>
      <w:r w:rsidRPr="00DC54C1">
        <w:rPr>
          <w:rFonts w:eastAsia="Times New Roman" w:cs="Times New Roman"/>
          <w:lang w:eastAsia="de-DE"/>
        </w:rPr>
        <w:t xml:space="preserve">verbietet Verkehr mit der Schwägerin. </w:t>
      </w:r>
      <w:r w:rsidRPr="00DC54C1">
        <w:rPr>
          <w:rFonts w:eastAsia="Times New Roman" w:cs="Times New Roman"/>
          <w:b/>
          <w:bCs/>
          <w:rtl/>
          <w:lang w:eastAsia="de-DE"/>
        </w:rPr>
        <w:t>ערות אשת־אחיך לא תגלה</w:t>
      </w:r>
      <w:r w:rsidRPr="00DC54C1">
        <w:rPr>
          <w:rFonts w:eastAsia="Times New Roman" w:cs="Times New Roman"/>
          <w:rtl/>
          <w:lang w:eastAsia="de-DE"/>
        </w:rPr>
        <w:t xml:space="preserve"> </w:t>
      </w:r>
      <w:r w:rsidRPr="00DC54C1">
        <w:rPr>
          <w:rFonts w:eastAsia="Times New Roman" w:cs="Times New Roman"/>
          <w:lang w:eastAsia="de-DE"/>
        </w:rPr>
        <w:t xml:space="preserve">(die Blöße der Frau deines Bruders sollst du nicht entblößen) - </w:t>
      </w:r>
      <w:r w:rsidRPr="00DC54C1">
        <w:rPr>
          <w:rFonts w:eastAsia="Times New Roman" w:cs="Times New Roman"/>
          <w:b/>
          <w:bCs/>
          <w:rtl/>
          <w:lang w:eastAsia="de-DE"/>
        </w:rPr>
        <w:t>אשת־אחיך</w:t>
      </w:r>
      <w:r w:rsidRPr="00DC54C1">
        <w:rPr>
          <w:rFonts w:eastAsia="Times New Roman" w:cs="Times New Roman"/>
          <w:rtl/>
          <w:lang w:eastAsia="de-DE"/>
        </w:rPr>
        <w:t xml:space="preserve"> </w:t>
      </w:r>
      <w:r w:rsidRPr="00DC54C1">
        <w:rPr>
          <w:rFonts w:eastAsia="Times New Roman" w:cs="Times New Roman"/>
          <w:lang w:eastAsia="de-DE"/>
        </w:rPr>
        <w:t>(Frau deines Bruders) als Schwägerin.</w:t>
      </w:r>
    </w:p>
    <w:p w14:paraId="73BA8A73"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ערות אחיך הוא</w:t>
      </w:r>
      <w:r w:rsidRPr="00DC54C1">
        <w:rPr>
          <w:rFonts w:eastAsia="Times New Roman" w:cs="Times New Roman"/>
          <w:rtl/>
          <w:lang w:eastAsia="de-DE"/>
        </w:rPr>
        <w:t xml:space="preserve"> </w:t>
      </w:r>
      <w:r w:rsidRPr="00DC54C1">
        <w:rPr>
          <w:rFonts w:eastAsia="Times New Roman" w:cs="Times New Roman"/>
          <w:lang w:eastAsia="de-DE"/>
        </w:rPr>
        <w:t>(es ist die Blöße deines Bruders) entspricht der Begründung aus V. 8 für die Stiefmutter: die Ehefrau repräsentiert die Ehre und die sexuellen Rechte des Ehemannes. Der Verkehr mit der Schwägerin verletzt die Bruderehre.</w:t>
      </w:r>
    </w:p>
    <w:p w14:paraId="565E658C"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אשת־אחיך</w:t>
      </w:r>
      <w:r w:rsidRPr="00DC54C1">
        <w:rPr>
          <w:rFonts w:eastAsia="Times New Roman" w:cs="Times New Roman"/>
          <w:rtl/>
          <w:lang w:eastAsia="de-DE"/>
        </w:rPr>
        <w:t xml:space="preserve"> </w:t>
      </w:r>
      <w:r w:rsidRPr="00DC54C1">
        <w:rPr>
          <w:rFonts w:eastAsia="Times New Roman" w:cs="Times New Roman"/>
          <w:lang w:eastAsia="de-DE"/>
        </w:rPr>
        <w:t xml:space="preserve">zeigt die horizontale Verwandtschaftslinie im Gegensatz zu den vertikalen Linien. </w:t>
      </w:r>
      <w:r w:rsidRPr="00DC54C1">
        <w:rPr>
          <w:rFonts w:eastAsia="Times New Roman" w:cs="Times New Roman"/>
          <w:b/>
          <w:bCs/>
          <w:rtl/>
          <w:lang w:eastAsia="de-DE"/>
        </w:rPr>
        <w:t>ערות אחיך הוא</w:t>
      </w:r>
      <w:r w:rsidRPr="00DC54C1">
        <w:rPr>
          <w:rFonts w:eastAsia="Times New Roman" w:cs="Times New Roman"/>
          <w:rtl/>
          <w:lang w:eastAsia="de-DE"/>
        </w:rPr>
        <w:t xml:space="preserve"> </w:t>
      </w:r>
      <w:r w:rsidRPr="00DC54C1">
        <w:rPr>
          <w:rFonts w:eastAsia="Times New Roman" w:cs="Times New Roman"/>
          <w:lang w:eastAsia="de-DE"/>
        </w:rPr>
        <w:t>etabliert das Prinzip der ehelichen Stellvertretung: die Ehefrau als Verlängerung der männlichen Ehre. Die Parallelität zu V. 8 zeigt systematische Anwendung dieses Prinzips.</w:t>
      </w:r>
    </w:p>
    <w:p w14:paraId="7E6A8ACA"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LXX</w:t>
      </w:r>
      <w:r w:rsidRPr="00DC54C1">
        <w:rPr>
          <w:rFonts w:eastAsia="Times New Roman" w:cs="Times New Roman"/>
          <w:lang w:eastAsia="de-DE"/>
        </w:rPr>
        <w:t xml:space="preserve"> übersetzt </w:t>
      </w:r>
      <w:r w:rsidRPr="00DC54C1">
        <w:rPr>
          <w:rFonts w:eastAsia="Times New Roman" w:cs="Times New Roman"/>
          <w:b/>
          <w:bCs/>
          <w:rtl/>
          <w:lang w:eastAsia="de-DE"/>
        </w:rPr>
        <w:t>אשת־אחיך</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γυν</w:t>
      </w:r>
      <w:proofErr w:type="spellEnd"/>
      <w:r w:rsidRPr="00DC54C1">
        <w:rPr>
          <w:rFonts w:eastAsia="Times New Roman" w:cs="Times New Roman"/>
          <w:lang w:eastAsia="de-DE"/>
        </w:rPr>
        <w:t xml:space="preserve">αικὸς </w:t>
      </w:r>
      <w:proofErr w:type="spellStart"/>
      <w:r w:rsidRPr="00DC54C1">
        <w:rPr>
          <w:rFonts w:eastAsia="Times New Roman" w:cs="Times New Roman"/>
          <w:lang w:eastAsia="de-DE"/>
        </w:rPr>
        <w:t>ἀδελφοῦ</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σου</w:t>
      </w:r>
      <w:proofErr w:type="spellEnd"/>
      <w:r w:rsidRPr="00DC54C1">
        <w:rPr>
          <w:rFonts w:eastAsia="Times New Roman" w:cs="Times New Roman"/>
          <w:lang w:eastAsia="de-DE"/>
        </w:rPr>
        <w:t xml:space="preserve"> (Frau deines Bruders) und </w:t>
      </w:r>
      <w:r w:rsidRPr="00DC54C1">
        <w:rPr>
          <w:rFonts w:eastAsia="Times New Roman" w:cs="Times New Roman"/>
          <w:b/>
          <w:bCs/>
          <w:rtl/>
          <w:lang w:eastAsia="de-DE"/>
        </w:rPr>
        <w:t>ערות אחיך הוא</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ἀσχημοσύνη</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ἀδελφοῦ</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σού</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ἐστιν</w:t>
      </w:r>
      <w:proofErr w:type="spellEnd"/>
      <w:r w:rsidRPr="00DC54C1">
        <w:rPr>
          <w:rFonts w:eastAsia="Times New Roman" w:cs="Times New Roman"/>
          <w:lang w:eastAsia="de-DE"/>
        </w:rPr>
        <w:t xml:space="preserve"> (Schande deines Bruders ist es).</w:t>
      </w:r>
    </w:p>
    <w:p w14:paraId="585B6CE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Satzstruktur</w:t>
      </w:r>
      <w:r w:rsidRPr="00DC54C1">
        <w:rPr>
          <w:rFonts w:eastAsia="Times New Roman" w:cs="Times New Roman"/>
          <w:lang w:eastAsia="de-DE"/>
        </w:rPr>
        <w:t xml:space="preserve"> zeigt Schwägerinverbot: Bruderfrau-Verbot + Begründung durch Bruderehrverletzung.</w:t>
      </w:r>
    </w:p>
    <w:p w14:paraId="466DCE22"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lang w:eastAsia="de-DE"/>
        </w:rPr>
        <w:t>Dieser Vers verbietet Verkehr mit der Schwägerin als Verletzung der brüderlichen Ehre und sexuellen Rechte.</w:t>
      </w:r>
    </w:p>
    <w:p w14:paraId="7D89BD9F" w14:textId="77777777" w:rsidR="00DC54C1" w:rsidRPr="00DC54C1" w:rsidRDefault="00DC54C1" w:rsidP="00DC54C1">
      <w:pPr>
        <w:spacing w:before="100" w:beforeAutospacing="1" w:after="100" w:afterAutospacing="1" w:line="240" w:lineRule="auto"/>
        <w:outlineLvl w:val="1"/>
        <w:rPr>
          <w:rFonts w:eastAsia="Times New Roman" w:cs="Times New Roman"/>
          <w:b/>
          <w:bCs/>
          <w:sz w:val="36"/>
          <w:szCs w:val="36"/>
          <w:lang w:eastAsia="de-DE"/>
        </w:rPr>
      </w:pPr>
      <w:r w:rsidRPr="00DC54C1">
        <w:rPr>
          <w:rFonts w:eastAsia="Times New Roman" w:cs="Times New Roman"/>
          <w:b/>
          <w:bCs/>
          <w:sz w:val="36"/>
          <w:szCs w:val="36"/>
          <w:lang w:eastAsia="de-DE"/>
        </w:rPr>
        <w:t>Leviticus 18,17</w:t>
      </w:r>
    </w:p>
    <w:p w14:paraId="283C83B6"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Hebräisch:</w:t>
      </w:r>
      <w:r w:rsidRPr="00DC54C1">
        <w:rPr>
          <w:rFonts w:eastAsia="Times New Roman" w:cs="Times New Roman"/>
          <w:lang w:eastAsia="de-DE"/>
        </w:rPr>
        <w:t xml:space="preserve"> </w:t>
      </w:r>
      <w:r w:rsidRPr="00DC54C1">
        <w:rPr>
          <w:rFonts w:eastAsia="Times New Roman" w:cs="Times New Roman"/>
          <w:rtl/>
          <w:lang w:eastAsia="de-DE"/>
        </w:rPr>
        <w:t>עֶרְוַ֥ת אִשָּׁ֛ה וּבִתָּ֖הּ לֹ֣א תְגַלֵּ֑ה אֶת־בַּת־בְּנָהּ֩ וְאֶת־בַּת־בִּתָּ֨הּ לֹ֤א תִקַּח֙ לְגַלּ֣וֹת עֶרְוָתָ֔הּ שַׁאֲרָ֥ה הֵ֖נָּה זִמָּ֥ה הִֽוא׃</w:t>
      </w:r>
    </w:p>
    <w:p w14:paraId="349595D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Deutsch:</w:t>
      </w:r>
      <w:r w:rsidRPr="00DC54C1">
        <w:rPr>
          <w:rFonts w:eastAsia="Times New Roman" w:cs="Times New Roman"/>
          <w:lang w:eastAsia="de-DE"/>
        </w:rPr>
        <w:t xml:space="preserve"> Die Blöße einer Frau und ihrer Tochter sollst du nicht entblößen; die Tochter ihres Sohnes und die Tochter ihrer Tochter sollst du nicht nehmen, um ihre Blöße zu entblößen; sie sind Blutsverwandte: Es ist eine Schandtat.</w:t>
      </w:r>
    </w:p>
    <w:p w14:paraId="69A21FD6" w14:textId="77777777" w:rsidR="00DC54C1" w:rsidRPr="00DC54C1" w:rsidRDefault="00A57720" w:rsidP="00DC54C1">
      <w:pPr>
        <w:spacing w:after="0" w:line="240" w:lineRule="auto"/>
        <w:rPr>
          <w:rFonts w:eastAsia="Times New Roman" w:cs="Times New Roman"/>
          <w:lang w:eastAsia="de-DE"/>
        </w:rPr>
      </w:pPr>
      <w:r>
        <w:rPr>
          <w:rFonts w:eastAsia="Times New Roman" w:cs="Times New Roman"/>
          <w:noProof/>
          <w:lang w:eastAsia="de-DE"/>
        </w:rPr>
        <w:pict w14:anchorId="487E57AC">
          <v:rect id="_x0000_i1547" style="width:0;height:1.5pt" o:hralign="center" o:hrstd="t" o:hr="t" fillcolor="#a0a0a0" stroked="f"/>
        </w:pict>
      </w:r>
    </w:p>
    <w:p w14:paraId="0BAC4091"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Kommentar:</w:t>
      </w:r>
      <w:r w:rsidRPr="00DC54C1">
        <w:rPr>
          <w:rFonts w:eastAsia="Times New Roman" w:cs="Times New Roman"/>
          <w:lang w:eastAsia="de-DE"/>
        </w:rPr>
        <w:t xml:space="preserve"> </w:t>
      </w:r>
      <w:r w:rsidRPr="00DC54C1">
        <w:rPr>
          <w:rFonts w:eastAsia="Times New Roman" w:cs="Times New Roman"/>
          <w:b/>
          <w:bCs/>
          <w:rtl/>
          <w:lang w:eastAsia="de-DE"/>
        </w:rPr>
        <w:t>ערות אשה ובתה לא תגלה את־בת־בנה ואת־בת־בתה לא תקח לגלות ערותה שארה הנה זמה הוא</w:t>
      </w:r>
      <w:r w:rsidRPr="00DC54C1">
        <w:rPr>
          <w:rFonts w:eastAsia="Times New Roman" w:cs="Times New Roman"/>
          <w:rtl/>
          <w:lang w:eastAsia="de-DE"/>
        </w:rPr>
        <w:t xml:space="preserve"> </w:t>
      </w:r>
      <w:r w:rsidRPr="00DC54C1">
        <w:rPr>
          <w:rFonts w:eastAsia="Times New Roman" w:cs="Times New Roman"/>
          <w:lang w:eastAsia="de-DE"/>
        </w:rPr>
        <w:t xml:space="preserve">verbietet Verkehr mit einer Frau und ihren weiblichen Nachkommen. </w:t>
      </w:r>
      <w:r w:rsidRPr="00DC54C1">
        <w:rPr>
          <w:rFonts w:eastAsia="Times New Roman" w:cs="Times New Roman"/>
          <w:b/>
          <w:bCs/>
          <w:rtl/>
          <w:lang w:eastAsia="de-DE"/>
        </w:rPr>
        <w:t>ערות אשה ובתה לא תגלה</w:t>
      </w:r>
      <w:r w:rsidRPr="00DC54C1">
        <w:rPr>
          <w:rFonts w:eastAsia="Times New Roman" w:cs="Times New Roman"/>
          <w:rtl/>
          <w:lang w:eastAsia="de-DE"/>
        </w:rPr>
        <w:t xml:space="preserve"> </w:t>
      </w:r>
      <w:r w:rsidRPr="00DC54C1">
        <w:rPr>
          <w:rFonts w:eastAsia="Times New Roman" w:cs="Times New Roman"/>
          <w:lang w:eastAsia="de-DE"/>
        </w:rPr>
        <w:t>(die Blöße einer Frau und ihrer Tochter sollst du nicht entblößen) zeigt das grundsätzliche Verbot der Mutter-Tochter-Kombination.</w:t>
      </w:r>
    </w:p>
    <w:p w14:paraId="6A35BCC3"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את־בת־בנה ואת־בת־בתה לא תקח לגלות ערותה</w:t>
      </w:r>
      <w:r w:rsidRPr="00DC54C1">
        <w:rPr>
          <w:rFonts w:eastAsia="Times New Roman" w:cs="Times New Roman"/>
          <w:rtl/>
          <w:lang w:eastAsia="de-DE"/>
        </w:rPr>
        <w:t xml:space="preserve"> </w:t>
      </w:r>
      <w:r w:rsidRPr="00DC54C1">
        <w:rPr>
          <w:rFonts w:eastAsia="Times New Roman" w:cs="Times New Roman"/>
          <w:lang w:eastAsia="de-DE"/>
        </w:rPr>
        <w:t xml:space="preserve">(die Tochter ihres Sohnes und die Tochter ihrer Tochter sollst du nicht nehmen, um ihre Blöße zu entblößen) erweitert auf die Enkelinnen. </w:t>
      </w:r>
      <w:r w:rsidRPr="00DC54C1">
        <w:rPr>
          <w:rFonts w:eastAsia="Times New Roman" w:cs="Times New Roman"/>
          <w:b/>
          <w:bCs/>
          <w:rtl/>
          <w:lang w:eastAsia="de-DE"/>
        </w:rPr>
        <w:t>לא תקח</w:t>
      </w:r>
      <w:r w:rsidRPr="00DC54C1">
        <w:rPr>
          <w:rFonts w:eastAsia="Times New Roman" w:cs="Times New Roman"/>
          <w:rtl/>
          <w:lang w:eastAsia="de-DE"/>
        </w:rPr>
        <w:t xml:space="preserve"> </w:t>
      </w:r>
      <w:r w:rsidRPr="00DC54C1">
        <w:rPr>
          <w:rFonts w:eastAsia="Times New Roman" w:cs="Times New Roman"/>
          <w:lang w:eastAsia="de-DE"/>
        </w:rPr>
        <w:t xml:space="preserve">(du sollst nicht nehmen) im Qal-Imperfekt wechselt von </w:t>
      </w:r>
      <w:r w:rsidRPr="00DC54C1">
        <w:rPr>
          <w:rFonts w:eastAsia="Times New Roman" w:cs="Times New Roman"/>
          <w:b/>
          <w:bCs/>
          <w:rtl/>
          <w:lang w:eastAsia="de-DE"/>
        </w:rPr>
        <w:t>גלה</w:t>
      </w:r>
      <w:r w:rsidRPr="00DC54C1">
        <w:rPr>
          <w:rFonts w:eastAsia="Times New Roman" w:cs="Times New Roman"/>
          <w:rtl/>
          <w:lang w:eastAsia="de-DE"/>
        </w:rPr>
        <w:t xml:space="preserve"> </w:t>
      </w:r>
      <w:r w:rsidRPr="00DC54C1">
        <w:rPr>
          <w:rFonts w:eastAsia="Times New Roman" w:cs="Times New Roman"/>
          <w:lang w:eastAsia="de-DE"/>
        </w:rPr>
        <w:t xml:space="preserve">zu </w:t>
      </w:r>
      <w:r w:rsidRPr="00DC54C1">
        <w:rPr>
          <w:rFonts w:eastAsia="Times New Roman" w:cs="Times New Roman"/>
          <w:b/>
          <w:bCs/>
          <w:rtl/>
          <w:lang w:eastAsia="de-DE"/>
        </w:rPr>
        <w:t>לקח</w:t>
      </w:r>
      <w:r w:rsidRPr="00DC54C1">
        <w:rPr>
          <w:rFonts w:eastAsia="Times New Roman" w:cs="Times New Roman"/>
          <w:rtl/>
          <w:lang w:eastAsia="de-DE"/>
        </w:rPr>
        <w:t xml:space="preserve"> </w:t>
      </w:r>
      <w:r w:rsidRPr="00DC54C1">
        <w:rPr>
          <w:rFonts w:eastAsia="Times New Roman" w:cs="Times New Roman"/>
          <w:lang w:eastAsia="de-DE"/>
        </w:rPr>
        <w:t>(nehmen) - zeigt Heirat oder dauernde Beziehung, nicht nur einmaligen Verkehr.</w:t>
      </w:r>
    </w:p>
    <w:p w14:paraId="2A97669F"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שארה הנה זמה הוא</w:t>
      </w:r>
      <w:r w:rsidRPr="00DC54C1">
        <w:rPr>
          <w:rFonts w:eastAsia="Times New Roman" w:cs="Times New Roman"/>
          <w:rtl/>
          <w:lang w:eastAsia="de-DE"/>
        </w:rPr>
        <w:t xml:space="preserve"> </w:t>
      </w:r>
      <w:r w:rsidRPr="00DC54C1">
        <w:rPr>
          <w:rFonts w:eastAsia="Times New Roman" w:cs="Times New Roman"/>
          <w:lang w:eastAsia="de-DE"/>
        </w:rPr>
        <w:t xml:space="preserve">(sie sind Blutsverwandte: Es ist eine Schandtat) - </w:t>
      </w:r>
      <w:r w:rsidRPr="00DC54C1">
        <w:rPr>
          <w:rFonts w:eastAsia="Times New Roman" w:cs="Times New Roman"/>
          <w:b/>
          <w:bCs/>
          <w:rtl/>
          <w:lang w:eastAsia="de-DE"/>
        </w:rPr>
        <w:t>שארה</w:t>
      </w:r>
      <w:r w:rsidRPr="00DC54C1">
        <w:rPr>
          <w:rFonts w:eastAsia="Times New Roman" w:cs="Times New Roman"/>
          <w:rtl/>
          <w:lang w:eastAsia="de-DE"/>
        </w:rPr>
        <w:t xml:space="preserve"> </w:t>
      </w:r>
      <w:r w:rsidRPr="00DC54C1">
        <w:rPr>
          <w:rFonts w:eastAsia="Times New Roman" w:cs="Times New Roman"/>
          <w:lang w:eastAsia="de-DE"/>
        </w:rPr>
        <w:t xml:space="preserve">(Blutsverwandte) als feminin Plural von </w:t>
      </w:r>
      <w:r w:rsidRPr="00DC54C1">
        <w:rPr>
          <w:rFonts w:eastAsia="Times New Roman" w:cs="Times New Roman"/>
          <w:b/>
          <w:bCs/>
          <w:rtl/>
          <w:lang w:eastAsia="de-DE"/>
        </w:rPr>
        <w:t>שאר</w:t>
      </w:r>
      <w:r w:rsidRPr="00DC54C1">
        <w:rPr>
          <w:rFonts w:eastAsia="Times New Roman" w:cs="Times New Roman"/>
          <w:lang w:eastAsia="de-DE"/>
        </w:rPr>
        <w:t xml:space="preserve">. </w:t>
      </w:r>
      <w:r w:rsidRPr="00DC54C1">
        <w:rPr>
          <w:rFonts w:eastAsia="Times New Roman" w:cs="Times New Roman"/>
          <w:b/>
          <w:bCs/>
          <w:rtl/>
          <w:lang w:eastAsia="de-DE"/>
        </w:rPr>
        <w:t>זמה</w:t>
      </w:r>
      <w:r w:rsidRPr="00DC54C1">
        <w:rPr>
          <w:rFonts w:eastAsia="Times New Roman" w:cs="Times New Roman"/>
          <w:rtl/>
          <w:lang w:eastAsia="de-DE"/>
        </w:rPr>
        <w:t xml:space="preserve"> </w:t>
      </w:r>
      <w:r w:rsidRPr="00DC54C1">
        <w:rPr>
          <w:rFonts w:eastAsia="Times New Roman" w:cs="Times New Roman"/>
          <w:lang w:eastAsia="de-DE"/>
        </w:rPr>
        <w:t>(Schandtat) als besonders schwere moralische Verfehlung, stärker als einfache Übertretung.</w:t>
      </w:r>
    </w:p>
    <w:p w14:paraId="0D48BD2D"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lastRenderedPageBreak/>
        <w:t>אשה ובתה</w:t>
      </w:r>
      <w:r w:rsidRPr="00DC54C1">
        <w:rPr>
          <w:rFonts w:eastAsia="Times New Roman" w:cs="Times New Roman"/>
          <w:rtl/>
          <w:lang w:eastAsia="de-DE"/>
        </w:rPr>
        <w:t xml:space="preserve"> </w:t>
      </w:r>
      <w:r w:rsidRPr="00DC54C1">
        <w:rPr>
          <w:rFonts w:eastAsia="Times New Roman" w:cs="Times New Roman"/>
          <w:lang w:eastAsia="de-DE"/>
        </w:rPr>
        <w:t xml:space="preserve">zeigt das erste Kombinationsverbot. </w:t>
      </w:r>
      <w:r w:rsidRPr="00DC54C1">
        <w:rPr>
          <w:rFonts w:eastAsia="Times New Roman" w:cs="Times New Roman"/>
          <w:b/>
          <w:bCs/>
          <w:rtl/>
          <w:lang w:eastAsia="de-DE"/>
        </w:rPr>
        <w:t>לא תקח לגלות</w:t>
      </w:r>
      <w:r w:rsidRPr="00DC54C1">
        <w:rPr>
          <w:rFonts w:eastAsia="Times New Roman" w:cs="Times New Roman"/>
          <w:rtl/>
          <w:lang w:eastAsia="de-DE"/>
        </w:rPr>
        <w:t xml:space="preserve"> </w:t>
      </w:r>
      <w:r w:rsidRPr="00DC54C1">
        <w:rPr>
          <w:rFonts w:eastAsia="Times New Roman" w:cs="Times New Roman"/>
          <w:lang w:eastAsia="de-DE"/>
        </w:rPr>
        <w:t xml:space="preserve">zeigt dauerhafte Beziehung vs. einmaligen Verkehr. </w:t>
      </w:r>
      <w:r w:rsidRPr="00DC54C1">
        <w:rPr>
          <w:rFonts w:eastAsia="Times New Roman" w:cs="Times New Roman"/>
          <w:b/>
          <w:bCs/>
          <w:rtl/>
          <w:lang w:eastAsia="de-DE"/>
        </w:rPr>
        <w:t>שארה הנה</w:t>
      </w:r>
      <w:r w:rsidRPr="00DC54C1">
        <w:rPr>
          <w:rFonts w:eastAsia="Times New Roman" w:cs="Times New Roman"/>
          <w:rtl/>
          <w:lang w:eastAsia="de-DE"/>
        </w:rPr>
        <w:t xml:space="preserve"> </w:t>
      </w:r>
      <w:r w:rsidRPr="00DC54C1">
        <w:rPr>
          <w:rFonts w:eastAsia="Times New Roman" w:cs="Times New Roman"/>
          <w:lang w:eastAsia="de-DE"/>
        </w:rPr>
        <w:t xml:space="preserve">etabliert alle als </w:t>
      </w:r>
      <w:r w:rsidRPr="00DC54C1">
        <w:rPr>
          <w:rFonts w:eastAsia="Times New Roman" w:cs="Times New Roman"/>
          <w:b/>
          <w:bCs/>
          <w:rtl/>
          <w:lang w:eastAsia="de-DE"/>
        </w:rPr>
        <w:t>שאר</w:t>
      </w:r>
      <w:r w:rsidRPr="00DC54C1">
        <w:rPr>
          <w:rFonts w:eastAsia="Times New Roman" w:cs="Times New Roman"/>
          <w:rtl/>
          <w:lang w:eastAsia="de-DE"/>
        </w:rPr>
        <w:t xml:space="preserve"> </w:t>
      </w:r>
      <w:r w:rsidRPr="00DC54C1">
        <w:rPr>
          <w:rFonts w:eastAsia="Times New Roman" w:cs="Times New Roman"/>
          <w:lang w:eastAsia="de-DE"/>
        </w:rPr>
        <w:t xml:space="preserve">trotz indirekter Verwandtschaft. </w:t>
      </w:r>
      <w:r w:rsidRPr="00DC54C1">
        <w:rPr>
          <w:rFonts w:eastAsia="Times New Roman" w:cs="Times New Roman"/>
          <w:b/>
          <w:bCs/>
          <w:rtl/>
          <w:lang w:eastAsia="de-DE"/>
        </w:rPr>
        <w:t>זמה</w:t>
      </w:r>
      <w:r w:rsidRPr="00DC54C1">
        <w:rPr>
          <w:rFonts w:eastAsia="Times New Roman" w:cs="Times New Roman"/>
          <w:rtl/>
          <w:lang w:eastAsia="de-DE"/>
        </w:rPr>
        <w:t xml:space="preserve"> </w:t>
      </w:r>
      <w:r w:rsidRPr="00DC54C1">
        <w:rPr>
          <w:rFonts w:eastAsia="Times New Roman" w:cs="Times New Roman"/>
          <w:lang w:eastAsia="de-DE"/>
        </w:rPr>
        <w:t>als Qualifikation der besonderen Schwere.</w:t>
      </w:r>
    </w:p>
    <w:p w14:paraId="3A8E31E7" w14:textId="571802D8"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LXX</w:t>
      </w:r>
      <w:r w:rsidRPr="00DC54C1">
        <w:rPr>
          <w:rFonts w:eastAsia="Times New Roman" w:cs="Times New Roman"/>
          <w:lang w:eastAsia="de-DE"/>
        </w:rPr>
        <w:t xml:space="preserve"> </w:t>
      </w:r>
      <w:r w:rsidR="00E705C5">
        <w:t xml:space="preserve">übersetzt </w:t>
      </w:r>
      <w:r w:rsidR="00E705C5">
        <w:rPr>
          <w:rtl/>
        </w:rPr>
        <w:t>שארה הנה זמה הוא</w:t>
      </w:r>
      <w:r w:rsidR="00E705C5">
        <w:t xml:space="preserve"> (</w:t>
      </w:r>
      <w:proofErr w:type="spellStart"/>
      <w:r w:rsidR="00E705C5">
        <w:t>sha'arah</w:t>
      </w:r>
      <w:proofErr w:type="spellEnd"/>
      <w:r w:rsidR="00E705C5">
        <w:t xml:space="preserve"> </w:t>
      </w:r>
      <w:proofErr w:type="spellStart"/>
      <w:r w:rsidR="00E705C5">
        <w:t>henna</w:t>
      </w:r>
      <w:proofErr w:type="spellEnd"/>
      <w:r w:rsidR="00E705C5">
        <w:t xml:space="preserve"> </w:t>
      </w:r>
      <w:proofErr w:type="spellStart"/>
      <w:r w:rsidR="00E705C5">
        <w:t>zimma</w:t>
      </w:r>
      <w:proofErr w:type="spellEnd"/>
      <w:r w:rsidR="00E705C5">
        <w:t xml:space="preserve"> hi - "sie sind Blutsverwandte, es ist Unzucht") als </w:t>
      </w:r>
      <w:proofErr w:type="spellStart"/>
      <w:r w:rsidR="00E705C5">
        <w:t>οἰκεῖ</w:t>
      </w:r>
      <w:proofErr w:type="spellEnd"/>
      <w:r w:rsidR="00E705C5">
        <w:t xml:space="preserve">αι </w:t>
      </w:r>
      <w:proofErr w:type="spellStart"/>
      <w:r w:rsidR="00E705C5">
        <w:t>γάρ</w:t>
      </w:r>
      <w:proofErr w:type="spellEnd"/>
      <w:r w:rsidR="00E705C5">
        <w:t xml:space="preserve"> </w:t>
      </w:r>
      <w:proofErr w:type="spellStart"/>
      <w:r w:rsidR="00E705C5">
        <w:t>σού</w:t>
      </w:r>
      <w:proofErr w:type="spellEnd"/>
      <w:r w:rsidR="00E705C5">
        <w:t xml:space="preserve"> </w:t>
      </w:r>
      <w:proofErr w:type="spellStart"/>
      <w:r w:rsidR="00E705C5">
        <w:t>εἰσιν</w:t>
      </w:r>
      <w:proofErr w:type="spellEnd"/>
      <w:r w:rsidR="00E705C5">
        <w:t xml:space="preserve">, </w:t>
      </w:r>
      <w:proofErr w:type="spellStart"/>
      <w:r w:rsidR="00E705C5">
        <w:t>ἀσέ</w:t>
      </w:r>
      <w:proofErr w:type="spellEnd"/>
      <w:r w:rsidR="00E705C5">
        <w:t xml:space="preserve">βημά </w:t>
      </w:r>
      <w:proofErr w:type="spellStart"/>
      <w:r w:rsidR="00E705C5">
        <w:t>ἐστιν</w:t>
      </w:r>
      <w:proofErr w:type="spellEnd"/>
      <w:r w:rsidR="00E705C5">
        <w:t xml:space="preserve"> (denn sie sind deine Verwandten, es ist Gottlosigkeit), was eine religiöse statt einer sexuellen Kategorisierung verwendet.</w:t>
      </w:r>
    </w:p>
    <w:p w14:paraId="7C1D3A7D"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Satzstruktur</w:t>
      </w:r>
      <w:r w:rsidRPr="00DC54C1">
        <w:rPr>
          <w:rFonts w:eastAsia="Times New Roman" w:cs="Times New Roman"/>
          <w:lang w:eastAsia="de-DE"/>
        </w:rPr>
        <w:t xml:space="preserve"> zeigt generationenübergreifendes Verbot: Mutter-Tochter-Verbot + Erweiterung auf Enkelinnen + Dauerhaftigkeitsbetonung + Verwandtschaftsbegründung + Schwerequalifikation.</w:t>
      </w:r>
    </w:p>
    <w:p w14:paraId="0859C9DF"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lang w:eastAsia="de-DE"/>
        </w:rPr>
        <w:t>Dieser Vers verbietet alle Kombinationen einer Frau mit ihren weiblichen Nachkommen als besonders schwere Schandtat.</w:t>
      </w:r>
    </w:p>
    <w:p w14:paraId="77A2183F" w14:textId="77777777" w:rsidR="00DC54C1" w:rsidRPr="00DC54C1" w:rsidRDefault="00DC54C1" w:rsidP="00DC54C1">
      <w:pPr>
        <w:spacing w:before="100" w:beforeAutospacing="1" w:after="100" w:afterAutospacing="1" w:line="240" w:lineRule="auto"/>
        <w:outlineLvl w:val="1"/>
        <w:rPr>
          <w:rFonts w:eastAsia="Times New Roman" w:cs="Times New Roman"/>
          <w:b/>
          <w:bCs/>
          <w:sz w:val="36"/>
          <w:szCs w:val="36"/>
          <w:lang w:eastAsia="de-DE"/>
        </w:rPr>
      </w:pPr>
      <w:r w:rsidRPr="00DC54C1">
        <w:rPr>
          <w:rFonts w:eastAsia="Times New Roman" w:cs="Times New Roman"/>
          <w:b/>
          <w:bCs/>
          <w:sz w:val="36"/>
          <w:szCs w:val="36"/>
          <w:lang w:eastAsia="de-DE"/>
        </w:rPr>
        <w:t>Leviticus 18,18</w:t>
      </w:r>
    </w:p>
    <w:p w14:paraId="2089177C"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Hebräisch:</w:t>
      </w:r>
      <w:r w:rsidRPr="00DC54C1">
        <w:rPr>
          <w:rFonts w:eastAsia="Times New Roman" w:cs="Times New Roman"/>
          <w:lang w:eastAsia="de-DE"/>
        </w:rPr>
        <w:t xml:space="preserve"> </w:t>
      </w:r>
      <w:r w:rsidRPr="00DC54C1">
        <w:rPr>
          <w:rFonts w:eastAsia="Times New Roman" w:cs="Times New Roman"/>
          <w:rtl/>
          <w:lang w:eastAsia="de-DE"/>
        </w:rPr>
        <w:t>וְאִשָּׁ֥ה אֶל־אֲחֹתָ֖הּ לֹ֣א תִקָּ֑ח לִצְרֹ֗ר לְגַלּ֧וֹת עֶרְוָתָ֛הּ עָלֶ֖יהָ בְּחַיֶּֽיהָ׃</w:t>
      </w:r>
    </w:p>
    <w:p w14:paraId="4656A76B"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Deutsch:</w:t>
      </w:r>
      <w:r w:rsidRPr="00DC54C1">
        <w:rPr>
          <w:rFonts w:eastAsia="Times New Roman" w:cs="Times New Roman"/>
          <w:lang w:eastAsia="de-DE"/>
        </w:rPr>
        <w:t xml:space="preserve"> Und du sollst nicht eine Frau zu ihrer Schwester nehmen, um sie eifersüchtig zu machen, indem du ihre Blöße neben ihr entblößt bei ihrem Leben.</w:t>
      </w:r>
    </w:p>
    <w:p w14:paraId="056196A1" w14:textId="77777777" w:rsidR="00DC54C1" w:rsidRPr="00DC54C1" w:rsidRDefault="00A57720" w:rsidP="00DC54C1">
      <w:pPr>
        <w:spacing w:after="0" w:line="240" w:lineRule="auto"/>
        <w:rPr>
          <w:rFonts w:eastAsia="Times New Roman" w:cs="Times New Roman"/>
          <w:lang w:eastAsia="de-DE"/>
        </w:rPr>
      </w:pPr>
      <w:r>
        <w:rPr>
          <w:rFonts w:eastAsia="Times New Roman" w:cs="Times New Roman"/>
          <w:noProof/>
          <w:lang w:eastAsia="de-DE"/>
        </w:rPr>
        <w:pict w14:anchorId="31F63A47">
          <v:rect id="_x0000_i1548" style="width:0;height:1.5pt" o:hralign="center" o:hrstd="t" o:hr="t" fillcolor="#a0a0a0" stroked="f"/>
        </w:pict>
      </w:r>
    </w:p>
    <w:p w14:paraId="0BDC616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Kommentar:</w:t>
      </w:r>
      <w:r w:rsidRPr="00DC54C1">
        <w:rPr>
          <w:rFonts w:eastAsia="Times New Roman" w:cs="Times New Roman"/>
          <w:lang w:eastAsia="de-DE"/>
        </w:rPr>
        <w:t xml:space="preserve"> </w:t>
      </w:r>
      <w:r w:rsidRPr="00DC54C1">
        <w:rPr>
          <w:rFonts w:eastAsia="Times New Roman" w:cs="Times New Roman"/>
          <w:b/>
          <w:bCs/>
          <w:rtl/>
          <w:lang w:eastAsia="de-DE"/>
        </w:rPr>
        <w:t>ואשה אל־אחתה לא תקח לצרר לגלות ערותה עליה בחייה</w:t>
      </w:r>
      <w:r w:rsidRPr="00DC54C1">
        <w:rPr>
          <w:rFonts w:eastAsia="Times New Roman" w:cs="Times New Roman"/>
          <w:rtl/>
          <w:lang w:eastAsia="de-DE"/>
        </w:rPr>
        <w:t xml:space="preserve"> </w:t>
      </w:r>
      <w:r w:rsidRPr="00DC54C1">
        <w:rPr>
          <w:rFonts w:eastAsia="Times New Roman" w:cs="Times New Roman"/>
          <w:lang w:eastAsia="de-DE"/>
        </w:rPr>
        <w:t xml:space="preserve">verbietet Schwesterpolygamie. </w:t>
      </w:r>
      <w:r w:rsidRPr="00DC54C1">
        <w:rPr>
          <w:rFonts w:eastAsia="Times New Roman" w:cs="Times New Roman"/>
          <w:b/>
          <w:bCs/>
          <w:rtl/>
          <w:lang w:eastAsia="de-DE"/>
        </w:rPr>
        <w:t>ואשה אל־אחתה לא תקח</w:t>
      </w:r>
      <w:r w:rsidRPr="00DC54C1">
        <w:rPr>
          <w:rFonts w:eastAsia="Times New Roman" w:cs="Times New Roman"/>
          <w:rtl/>
          <w:lang w:eastAsia="de-DE"/>
        </w:rPr>
        <w:t xml:space="preserve"> </w:t>
      </w:r>
      <w:r w:rsidRPr="00DC54C1">
        <w:rPr>
          <w:rFonts w:eastAsia="Times New Roman" w:cs="Times New Roman"/>
          <w:lang w:eastAsia="de-DE"/>
        </w:rPr>
        <w:t xml:space="preserve">(und eine Frau zu ihrer Schwester sollst du nicht nehmen) - </w:t>
      </w:r>
      <w:r w:rsidRPr="00DC54C1">
        <w:rPr>
          <w:rFonts w:eastAsia="Times New Roman" w:cs="Times New Roman"/>
          <w:b/>
          <w:bCs/>
          <w:rtl/>
          <w:lang w:eastAsia="de-DE"/>
        </w:rPr>
        <w:t>לא תקח</w:t>
      </w:r>
      <w:r w:rsidRPr="00DC54C1">
        <w:rPr>
          <w:rFonts w:eastAsia="Times New Roman" w:cs="Times New Roman"/>
          <w:rtl/>
          <w:lang w:eastAsia="de-DE"/>
        </w:rPr>
        <w:t xml:space="preserve"> </w:t>
      </w:r>
      <w:r w:rsidRPr="00DC54C1">
        <w:rPr>
          <w:rFonts w:eastAsia="Times New Roman" w:cs="Times New Roman"/>
          <w:lang w:eastAsia="de-DE"/>
        </w:rPr>
        <w:t xml:space="preserve">(du sollst nicht nehmen) zeigt Heiratsverbot. </w:t>
      </w:r>
      <w:r w:rsidRPr="00DC54C1">
        <w:rPr>
          <w:rFonts w:eastAsia="Times New Roman" w:cs="Times New Roman"/>
          <w:b/>
          <w:bCs/>
          <w:rtl/>
          <w:lang w:eastAsia="de-DE"/>
        </w:rPr>
        <w:t>אל־אחתה</w:t>
      </w:r>
      <w:r w:rsidRPr="00DC54C1">
        <w:rPr>
          <w:rFonts w:eastAsia="Times New Roman" w:cs="Times New Roman"/>
          <w:rtl/>
          <w:lang w:eastAsia="de-DE"/>
        </w:rPr>
        <w:t xml:space="preserve"> </w:t>
      </w:r>
      <w:r w:rsidRPr="00DC54C1">
        <w:rPr>
          <w:rFonts w:eastAsia="Times New Roman" w:cs="Times New Roman"/>
          <w:lang w:eastAsia="de-DE"/>
        </w:rPr>
        <w:t>(zu ihrer Schwester) zeigt die Hinzufügung einer zweiten Schwester.</w:t>
      </w:r>
    </w:p>
    <w:p w14:paraId="209167C3" w14:textId="343095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לצרר לגלות ערותה עליה בחייה</w:t>
      </w:r>
      <w:r w:rsidRPr="00DC54C1">
        <w:rPr>
          <w:rFonts w:eastAsia="Times New Roman" w:cs="Times New Roman"/>
          <w:rtl/>
          <w:lang w:eastAsia="de-DE"/>
        </w:rPr>
        <w:t xml:space="preserve"> </w:t>
      </w:r>
      <w:r w:rsidRPr="00DC54C1">
        <w:rPr>
          <w:rFonts w:eastAsia="Times New Roman" w:cs="Times New Roman"/>
          <w:lang w:eastAsia="de-DE"/>
        </w:rPr>
        <w:t xml:space="preserve">(um sie eifersüchtig zu machen, indem du ihre Blöße neben ihr entblößt bei ihrem Leben) - </w:t>
      </w:r>
      <w:r w:rsidRPr="00DC54C1">
        <w:rPr>
          <w:rFonts w:eastAsia="Times New Roman" w:cs="Times New Roman"/>
          <w:b/>
          <w:bCs/>
          <w:rtl/>
          <w:lang w:eastAsia="de-DE"/>
        </w:rPr>
        <w:t>לצרר</w:t>
      </w:r>
      <w:r w:rsidRPr="00DC54C1">
        <w:rPr>
          <w:rFonts w:eastAsia="Times New Roman" w:cs="Times New Roman"/>
          <w:rtl/>
          <w:lang w:eastAsia="de-DE"/>
        </w:rPr>
        <w:t xml:space="preserve"> </w:t>
      </w:r>
      <w:r w:rsidRPr="00DC54C1">
        <w:rPr>
          <w:rFonts w:eastAsia="Times New Roman" w:cs="Times New Roman"/>
          <w:lang w:eastAsia="de-DE"/>
        </w:rPr>
        <w:t>(um eifersüchtig zu machen) im Hifil-Infinitiv-</w:t>
      </w:r>
      <w:r w:rsidR="005407E2">
        <w:rPr>
          <w:rFonts w:eastAsia="Times New Roman" w:cs="Times New Roman"/>
          <w:lang w:eastAsia="de-DE"/>
        </w:rPr>
        <w:t>Constructus</w:t>
      </w:r>
      <w:r w:rsidRPr="00DC54C1">
        <w:rPr>
          <w:rFonts w:eastAsia="Times New Roman" w:cs="Times New Roman"/>
          <w:lang w:eastAsia="de-DE"/>
        </w:rPr>
        <w:t xml:space="preserve"> von </w:t>
      </w:r>
      <w:r w:rsidRPr="00DC54C1">
        <w:rPr>
          <w:rFonts w:eastAsia="Times New Roman" w:cs="Times New Roman"/>
          <w:b/>
          <w:bCs/>
          <w:rtl/>
          <w:lang w:eastAsia="de-DE"/>
        </w:rPr>
        <w:t>צרר</w:t>
      </w:r>
      <w:r w:rsidRPr="00DC54C1">
        <w:rPr>
          <w:rFonts w:eastAsia="Times New Roman" w:cs="Times New Roman"/>
          <w:lang w:eastAsia="de-DE"/>
        </w:rPr>
        <w:t xml:space="preserve">, das Hifil zeigt kausatives Verursachen von Eifersucht. </w:t>
      </w:r>
      <w:r w:rsidRPr="00DC54C1">
        <w:rPr>
          <w:rFonts w:eastAsia="Times New Roman" w:cs="Times New Roman"/>
          <w:b/>
          <w:bCs/>
          <w:rtl/>
          <w:lang w:eastAsia="de-DE"/>
        </w:rPr>
        <w:t>עליה</w:t>
      </w:r>
      <w:r w:rsidRPr="00DC54C1">
        <w:rPr>
          <w:rFonts w:eastAsia="Times New Roman" w:cs="Times New Roman"/>
          <w:rtl/>
          <w:lang w:eastAsia="de-DE"/>
        </w:rPr>
        <w:t xml:space="preserve"> </w:t>
      </w:r>
      <w:r w:rsidRPr="00DC54C1">
        <w:rPr>
          <w:rFonts w:eastAsia="Times New Roman" w:cs="Times New Roman"/>
          <w:lang w:eastAsia="de-DE"/>
        </w:rPr>
        <w:t xml:space="preserve">(neben ihr) zeigt die Anwesenheit der ersten Frau. </w:t>
      </w:r>
      <w:r w:rsidRPr="00DC54C1">
        <w:rPr>
          <w:rFonts w:eastAsia="Times New Roman" w:cs="Times New Roman"/>
          <w:b/>
          <w:bCs/>
          <w:rtl/>
          <w:lang w:eastAsia="de-DE"/>
        </w:rPr>
        <w:t>בחייה</w:t>
      </w:r>
      <w:r w:rsidRPr="00DC54C1">
        <w:rPr>
          <w:rFonts w:eastAsia="Times New Roman" w:cs="Times New Roman"/>
          <w:rtl/>
          <w:lang w:eastAsia="de-DE"/>
        </w:rPr>
        <w:t xml:space="preserve"> </w:t>
      </w:r>
      <w:r w:rsidRPr="00DC54C1">
        <w:rPr>
          <w:rFonts w:eastAsia="Times New Roman" w:cs="Times New Roman"/>
          <w:lang w:eastAsia="de-DE"/>
        </w:rPr>
        <w:t>(bei ihrem Leben) zeigt, dass das Verbot nur zu Lebzeiten gilt.</w:t>
      </w:r>
    </w:p>
    <w:p w14:paraId="0546784A"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לצרר</w:t>
      </w:r>
      <w:r w:rsidRPr="00DC54C1">
        <w:rPr>
          <w:rFonts w:eastAsia="Times New Roman" w:cs="Times New Roman"/>
          <w:rtl/>
          <w:lang w:eastAsia="de-DE"/>
        </w:rPr>
        <w:t xml:space="preserve"> </w:t>
      </w:r>
      <w:r w:rsidRPr="00DC54C1">
        <w:rPr>
          <w:rFonts w:eastAsia="Times New Roman" w:cs="Times New Roman"/>
          <w:lang w:eastAsia="de-DE"/>
        </w:rPr>
        <w:t xml:space="preserve">zeigt den psychologischen Zweck des Verbots: Verhinderung von Eifersucht. </w:t>
      </w:r>
      <w:r w:rsidRPr="00DC54C1">
        <w:rPr>
          <w:rFonts w:eastAsia="Times New Roman" w:cs="Times New Roman"/>
          <w:b/>
          <w:bCs/>
          <w:rtl/>
          <w:lang w:eastAsia="de-DE"/>
        </w:rPr>
        <w:t>עליה</w:t>
      </w:r>
      <w:r w:rsidRPr="00DC54C1">
        <w:rPr>
          <w:rFonts w:eastAsia="Times New Roman" w:cs="Times New Roman"/>
          <w:rtl/>
          <w:lang w:eastAsia="de-DE"/>
        </w:rPr>
        <w:t xml:space="preserve"> </w:t>
      </w:r>
      <w:r w:rsidRPr="00DC54C1">
        <w:rPr>
          <w:rFonts w:eastAsia="Times New Roman" w:cs="Times New Roman"/>
          <w:lang w:eastAsia="de-DE"/>
        </w:rPr>
        <w:t xml:space="preserve">betont die demütigende Anwesenheit der Rivalin. </w:t>
      </w:r>
      <w:r w:rsidRPr="00DC54C1">
        <w:rPr>
          <w:rFonts w:eastAsia="Times New Roman" w:cs="Times New Roman"/>
          <w:b/>
          <w:bCs/>
          <w:rtl/>
          <w:lang w:eastAsia="de-DE"/>
        </w:rPr>
        <w:t>בחייה</w:t>
      </w:r>
      <w:r w:rsidRPr="00DC54C1">
        <w:rPr>
          <w:rFonts w:eastAsia="Times New Roman" w:cs="Times New Roman"/>
          <w:rtl/>
          <w:lang w:eastAsia="de-DE"/>
        </w:rPr>
        <w:t xml:space="preserve"> </w:t>
      </w:r>
      <w:r w:rsidRPr="00DC54C1">
        <w:rPr>
          <w:rFonts w:eastAsia="Times New Roman" w:cs="Times New Roman"/>
          <w:lang w:eastAsia="de-DE"/>
        </w:rPr>
        <w:t>impliziert, dass nach dem Tod der ersten Schwester die Heirat der zweiten erlaubt ist.</w:t>
      </w:r>
    </w:p>
    <w:p w14:paraId="7B815731" w14:textId="496AE05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LXX</w:t>
      </w:r>
      <w:r w:rsidRPr="00DC54C1">
        <w:rPr>
          <w:rFonts w:eastAsia="Times New Roman" w:cs="Times New Roman"/>
          <w:lang w:eastAsia="de-DE"/>
        </w:rPr>
        <w:t xml:space="preserve"> </w:t>
      </w:r>
      <w:r w:rsidR="00E705C5">
        <w:t xml:space="preserve">übersetzt </w:t>
      </w:r>
      <w:r w:rsidR="00E705C5">
        <w:rPr>
          <w:rtl/>
        </w:rPr>
        <w:t>לצרר</w:t>
      </w:r>
      <w:r w:rsidR="00E705C5">
        <w:t xml:space="preserve"> (</w:t>
      </w:r>
      <w:proofErr w:type="spellStart"/>
      <w:r w:rsidR="00E705C5">
        <w:t>litzror</w:t>
      </w:r>
      <w:proofErr w:type="spellEnd"/>
      <w:r w:rsidR="00E705C5">
        <w:t xml:space="preserve"> - "um zu bedrängen/zur Rivalin zu machen") als </w:t>
      </w:r>
      <w:proofErr w:type="spellStart"/>
      <w:r w:rsidR="00E705C5">
        <w:t>ἀντίζηλον</w:t>
      </w:r>
      <w:proofErr w:type="spellEnd"/>
      <w:r w:rsidR="00E705C5">
        <w:t xml:space="preserve"> (als Nebenbuhlerin), was den psychologischen Aspekt der Polygamie verdeutlicht.</w:t>
      </w:r>
    </w:p>
    <w:p w14:paraId="2BFAE85D"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Satzstruktur</w:t>
      </w:r>
      <w:r w:rsidRPr="00DC54C1">
        <w:rPr>
          <w:rFonts w:eastAsia="Times New Roman" w:cs="Times New Roman"/>
          <w:lang w:eastAsia="de-DE"/>
        </w:rPr>
        <w:t xml:space="preserve"> zeigt Schwesterpolygamie-Verbot: Heiratsverbot + Eifersuchtsbegründung + zeitliche Begrenzung auf Lebzeiten.</w:t>
      </w:r>
    </w:p>
    <w:p w14:paraId="53B11179"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lang w:eastAsia="de-DE"/>
        </w:rPr>
        <w:t>Dieser Vers verbietet die gleichzeitige Ehe mit zwei Schwestern zur Verhinderung familiärer Eifersucht.</w:t>
      </w:r>
    </w:p>
    <w:p w14:paraId="4AF8390E" w14:textId="77777777" w:rsidR="00DC54C1" w:rsidRPr="00DC54C1" w:rsidRDefault="00DC54C1" w:rsidP="00DC54C1">
      <w:pPr>
        <w:spacing w:before="100" w:beforeAutospacing="1" w:after="100" w:afterAutospacing="1" w:line="240" w:lineRule="auto"/>
        <w:outlineLvl w:val="1"/>
        <w:rPr>
          <w:rFonts w:eastAsia="Times New Roman" w:cs="Times New Roman"/>
          <w:b/>
          <w:bCs/>
          <w:sz w:val="36"/>
          <w:szCs w:val="36"/>
          <w:lang w:eastAsia="de-DE"/>
        </w:rPr>
      </w:pPr>
      <w:r w:rsidRPr="00DC54C1">
        <w:rPr>
          <w:rFonts w:eastAsia="Times New Roman" w:cs="Times New Roman"/>
          <w:b/>
          <w:bCs/>
          <w:sz w:val="36"/>
          <w:szCs w:val="36"/>
          <w:lang w:eastAsia="de-DE"/>
        </w:rPr>
        <w:t>Leviticus 18,19</w:t>
      </w:r>
    </w:p>
    <w:p w14:paraId="2FB1AFB8"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lastRenderedPageBreak/>
        <w:t>Hebräisch:</w:t>
      </w:r>
      <w:r w:rsidRPr="00DC54C1">
        <w:rPr>
          <w:rFonts w:eastAsia="Times New Roman" w:cs="Times New Roman"/>
          <w:lang w:eastAsia="de-DE"/>
        </w:rPr>
        <w:t xml:space="preserve"> </w:t>
      </w:r>
      <w:r w:rsidRPr="00DC54C1">
        <w:rPr>
          <w:rFonts w:eastAsia="Times New Roman" w:cs="Times New Roman"/>
          <w:rtl/>
          <w:lang w:eastAsia="de-DE"/>
        </w:rPr>
        <w:t>וְאֶל־אִשָּׁ֖ה בְּנִדַּ֣ת טֻמְאָתָ֑הּ לֹ֣א תִקְרַ֔ב לְגַלּ֖וֹת עֶרְוָתָֽהּ׃</w:t>
      </w:r>
    </w:p>
    <w:p w14:paraId="4EAEF352"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Deutsch:</w:t>
      </w:r>
      <w:r w:rsidRPr="00DC54C1">
        <w:rPr>
          <w:rFonts w:eastAsia="Times New Roman" w:cs="Times New Roman"/>
          <w:lang w:eastAsia="de-DE"/>
        </w:rPr>
        <w:t xml:space="preserve"> Und einer Frau in der Unreinheit ihrer Absonderung sollst du nicht nahen, um ihre Blöße zu entblößen.</w:t>
      </w:r>
    </w:p>
    <w:p w14:paraId="28B96396" w14:textId="77777777" w:rsidR="00DC54C1" w:rsidRPr="00DC54C1" w:rsidRDefault="00A57720" w:rsidP="00DC54C1">
      <w:pPr>
        <w:spacing w:after="0" w:line="240" w:lineRule="auto"/>
        <w:rPr>
          <w:rFonts w:eastAsia="Times New Roman" w:cs="Times New Roman"/>
          <w:lang w:eastAsia="de-DE"/>
        </w:rPr>
      </w:pPr>
      <w:r>
        <w:rPr>
          <w:rFonts w:eastAsia="Times New Roman" w:cs="Times New Roman"/>
          <w:noProof/>
          <w:lang w:eastAsia="de-DE"/>
        </w:rPr>
        <w:pict w14:anchorId="4E2672A2">
          <v:rect id="_x0000_i1549" style="width:0;height:1.5pt" o:hralign="center" o:hrstd="t" o:hr="t" fillcolor="#a0a0a0" stroked="f"/>
        </w:pict>
      </w:r>
    </w:p>
    <w:p w14:paraId="6B2E4050" w14:textId="03227C8C"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Kommentar:</w:t>
      </w:r>
      <w:r w:rsidRPr="00DC54C1">
        <w:rPr>
          <w:rFonts w:eastAsia="Times New Roman" w:cs="Times New Roman"/>
          <w:lang w:eastAsia="de-DE"/>
        </w:rPr>
        <w:t xml:space="preserve"> </w:t>
      </w:r>
      <w:r w:rsidRPr="00DC54C1">
        <w:rPr>
          <w:rFonts w:eastAsia="Times New Roman" w:cs="Times New Roman"/>
          <w:b/>
          <w:bCs/>
          <w:rtl/>
          <w:lang w:eastAsia="de-DE"/>
        </w:rPr>
        <w:t>ואל־אשה בנדת טמאתה לא תקרב לגלות ערותה</w:t>
      </w:r>
      <w:r w:rsidRPr="00DC54C1">
        <w:rPr>
          <w:rFonts w:eastAsia="Times New Roman" w:cs="Times New Roman"/>
          <w:rtl/>
          <w:lang w:eastAsia="de-DE"/>
        </w:rPr>
        <w:t xml:space="preserve"> </w:t>
      </w:r>
      <w:r w:rsidRPr="00DC54C1">
        <w:rPr>
          <w:rFonts w:eastAsia="Times New Roman" w:cs="Times New Roman"/>
          <w:lang w:eastAsia="de-DE"/>
        </w:rPr>
        <w:t xml:space="preserve">verbietet Verkehr während der Menstruation. </w:t>
      </w:r>
      <w:r w:rsidRPr="00DC54C1">
        <w:rPr>
          <w:rFonts w:eastAsia="Times New Roman" w:cs="Times New Roman"/>
          <w:b/>
          <w:bCs/>
          <w:rtl/>
          <w:lang w:eastAsia="de-DE"/>
        </w:rPr>
        <w:t>ואל־אשה בנדת טמאתה לא תקרב</w:t>
      </w:r>
      <w:r w:rsidRPr="00DC54C1">
        <w:rPr>
          <w:rFonts w:eastAsia="Times New Roman" w:cs="Times New Roman"/>
          <w:rtl/>
          <w:lang w:eastAsia="de-DE"/>
        </w:rPr>
        <w:t xml:space="preserve"> </w:t>
      </w:r>
      <w:r w:rsidRPr="00DC54C1">
        <w:rPr>
          <w:rFonts w:eastAsia="Times New Roman" w:cs="Times New Roman"/>
          <w:lang w:eastAsia="de-DE"/>
        </w:rPr>
        <w:t xml:space="preserve">(und einer Frau in der Unreinheit ihrer Absonderung sollst du nicht nahen) - </w:t>
      </w:r>
      <w:r w:rsidRPr="00DC54C1">
        <w:rPr>
          <w:rFonts w:eastAsia="Times New Roman" w:cs="Times New Roman"/>
          <w:b/>
          <w:bCs/>
          <w:rtl/>
          <w:lang w:eastAsia="de-DE"/>
        </w:rPr>
        <w:t>בנדת טמאתה</w:t>
      </w:r>
      <w:r w:rsidRPr="00DC54C1">
        <w:rPr>
          <w:rFonts w:eastAsia="Times New Roman" w:cs="Times New Roman"/>
          <w:rtl/>
          <w:lang w:eastAsia="de-DE"/>
        </w:rPr>
        <w:t xml:space="preserve"> </w:t>
      </w:r>
      <w:r w:rsidRPr="00DC54C1">
        <w:rPr>
          <w:rFonts w:eastAsia="Times New Roman" w:cs="Times New Roman"/>
          <w:lang w:eastAsia="de-DE"/>
        </w:rPr>
        <w:t xml:space="preserve">(in der Unreinheit ihrer Absonderung) als Genitivkonstruktion zeigt die </w:t>
      </w:r>
      <w:r w:rsidR="00E83BD7" w:rsidRPr="00DC54C1">
        <w:rPr>
          <w:rFonts w:eastAsia="Times New Roman" w:cs="Times New Roman"/>
          <w:lang w:eastAsia="de-DE"/>
        </w:rPr>
        <w:t>menstruale</w:t>
      </w:r>
      <w:r w:rsidRPr="00DC54C1">
        <w:rPr>
          <w:rFonts w:eastAsia="Times New Roman" w:cs="Times New Roman"/>
          <w:lang w:eastAsia="de-DE"/>
        </w:rPr>
        <w:t xml:space="preserve"> Unreinheit. </w:t>
      </w:r>
      <w:r w:rsidRPr="00DC54C1">
        <w:rPr>
          <w:rFonts w:eastAsia="Times New Roman" w:cs="Times New Roman"/>
          <w:b/>
          <w:bCs/>
          <w:rtl/>
          <w:lang w:eastAsia="de-DE"/>
        </w:rPr>
        <w:t>נדה</w:t>
      </w:r>
      <w:r w:rsidRPr="00DC54C1">
        <w:rPr>
          <w:rFonts w:eastAsia="Times New Roman" w:cs="Times New Roman"/>
          <w:rtl/>
          <w:lang w:eastAsia="de-DE"/>
        </w:rPr>
        <w:t xml:space="preserve"> </w:t>
      </w:r>
      <w:r w:rsidRPr="00DC54C1">
        <w:rPr>
          <w:rFonts w:eastAsia="Times New Roman" w:cs="Times New Roman"/>
          <w:lang w:eastAsia="de-DE"/>
        </w:rPr>
        <w:t>(Absonderung/Menstruation) aus Lev 15,19ff.</w:t>
      </w:r>
    </w:p>
    <w:p w14:paraId="6866408F"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לגלות ערותה</w:t>
      </w:r>
      <w:r w:rsidRPr="00DC54C1">
        <w:rPr>
          <w:rFonts w:eastAsia="Times New Roman" w:cs="Times New Roman"/>
          <w:rtl/>
          <w:lang w:eastAsia="de-DE"/>
        </w:rPr>
        <w:t xml:space="preserve"> </w:t>
      </w:r>
      <w:r w:rsidRPr="00DC54C1">
        <w:rPr>
          <w:rFonts w:eastAsia="Times New Roman" w:cs="Times New Roman"/>
          <w:lang w:eastAsia="de-DE"/>
        </w:rPr>
        <w:t xml:space="preserve">(um ihre Blöße zu entblößen) zeigt den Zweck der verbotenen Annäherung. </w:t>
      </w:r>
      <w:r w:rsidRPr="00DC54C1">
        <w:rPr>
          <w:rFonts w:eastAsia="Times New Roman" w:cs="Times New Roman"/>
          <w:b/>
          <w:bCs/>
          <w:rtl/>
          <w:lang w:eastAsia="de-DE"/>
        </w:rPr>
        <w:t>לא תקרב</w:t>
      </w:r>
      <w:r w:rsidRPr="00DC54C1">
        <w:rPr>
          <w:rFonts w:eastAsia="Times New Roman" w:cs="Times New Roman"/>
          <w:rtl/>
          <w:lang w:eastAsia="de-DE"/>
        </w:rPr>
        <w:t xml:space="preserve"> </w:t>
      </w:r>
      <w:r w:rsidRPr="00DC54C1">
        <w:rPr>
          <w:rFonts w:eastAsia="Times New Roman" w:cs="Times New Roman"/>
          <w:lang w:eastAsia="de-DE"/>
        </w:rPr>
        <w:t xml:space="preserve">(du sollst nicht nahen) verwendet </w:t>
      </w:r>
      <w:r w:rsidRPr="00DC54C1">
        <w:rPr>
          <w:rFonts w:eastAsia="Times New Roman" w:cs="Times New Roman"/>
          <w:b/>
          <w:bCs/>
          <w:rtl/>
          <w:lang w:eastAsia="de-DE"/>
        </w:rPr>
        <w:t>קרב</w:t>
      </w:r>
      <w:r w:rsidRPr="00DC54C1">
        <w:rPr>
          <w:rFonts w:eastAsia="Times New Roman" w:cs="Times New Roman"/>
          <w:rtl/>
          <w:lang w:eastAsia="de-DE"/>
        </w:rPr>
        <w:t xml:space="preserve"> </w:t>
      </w:r>
      <w:r w:rsidRPr="00DC54C1">
        <w:rPr>
          <w:rFonts w:eastAsia="Times New Roman" w:cs="Times New Roman"/>
          <w:lang w:eastAsia="de-DE"/>
        </w:rPr>
        <w:t xml:space="preserve">statt </w:t>
      </w:r>
      <w:r w:rsidRPr="00DC54C1">
        <w:rPr>
          <w:rFonts w:eastAsia="Times New Roman" w:cs="Times New Roman"/>
          <w:b/>
          <w:bCs/>
          <w:rtl/>
          <w:lang w:eastAsia="de-DE"/>
        </w:rPr>
        <w:t>גלה</w:t>
      </w:r>
      <w:r w:rsidRPr="00DC54C1">
        <w:rPr>
          <w:rFonts w:eastAsia="Times New Roman" w:cs="Times New Roman"/>
          <w:rtl/>
          <w:lang w:eastAsia="de-DE"/>
        </w:rPr>
        <w:t xml:space="preserve"> </w:t>
      </w:r>
      <w:r w:rsidRPr="00DC54C1">
        <w:rPr>
          <w:rFonts w:eastAsia="Times New Roman" w:cs="Times New Roman"/>
          <w:lang w:eastAsia="de-DE"/>
        </w:rPr>
        <w:t>als Variante der Verkehrsumschreibung.</w:t>
      </w:r>
    </w:p>
    <w:p w14:paraId="35C7A5C3" w14:textId="6716B7EA"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נדת טמאתה</w:t>
      </w:r>
      <w:r w:rsidRPr="00DC54C1">
        <w:rPr>
          <w:rFonts w:eastAsia="Times New Roman" w:cs="Times New Roman"/>
          <w:rtl/>
          <w:lang w:eastAsia="de-DE"/>
        </w:rPr>
        <w:t xml:space="preserve"> </w:t>
      </w:r>
      <w:r w:rsidRPr="00DC54C1">
        <w:rPr>
          <w:rFonts w:eastAsia="Times New Roman" w:cs="Times New Roman"/>
          <w:lang w:eastAsia="de-DE"/>
        </w:rPr>
        <w:t xml:space="preserve">als doppelte Bezeichnung für </w:t>
      </w:r>
      <w:r w:rsidR="00E83BD7" w:rsidRPr="00DC54C1">
        <w:rPr>
          <w:rFonts w:eastAsia="Times New Roman" w:cs="Times New Roman"/>
          <w:lang w:eastAsia="de-DE"/>
        </w:rPr>
        <w:t>menstruale</w:t>
      </w:r>
      <w:r w:rsidRPr="00DC54C1">
        <w:rPr>
          <w:rFonts w:eastAsia="Times New Roman" w:cs="Times New Roman"/>
          <w:lang w:eastAsia="de-DE"/>
        </w:rPr>
        <w:t xml:space="preserve"> Unreinheit. Das Verbot bezieht sich auf die Zeit der aktiven Menstruation, nicht auf die gesamte </w:t>
      </w:r>
      <w:r w:rsidRPr="00DC54C1">
        <w:rPr>
          <w:rFonts w:eastAsia="Times New Roman" w:cs="Times New Roman"/>
          <w:b/>
          <w:bCs/>
          <w:rtl/>
          <w:lang w:eastAsia="de-DE"/>
        </w:rPr>
        <w:t>נדה</w:t>
      </w:r>
      <w:r w:rsidRPr="00DC54C1">
        <w:rPr>
          <w:rFonts w:eastAsia="Times New Roman" w:cs="Times New Roman"/>
          <w:lang w:eastAsia="de-DE"/>
        </w:rPr>
        <w:t xml:space="preserve">-Periode. </w:t>
      </w:r>
      <w:r w:rsidRPr="00DC54C1">
        <w:rPr>
          <w:rFonts w:eastAsia="Times New Roman" w:cs="Times New Roman"/>
          <w:b/>
          <w:bCs/>
          <w:rtl/>
          <w:lang w:eastAsia="de-DE"/>
        </w:rPr>
        <w:t>לא תקרב לגלות</w:t>
      </w:r>
      <w:r w:rsidRPr="00DC54C1">
        <w:rPr>
          <w:rFonts w:eastAsia="Times New Roman" w:cs="Times New Roman"/>
          <w:rtl/>
          <w:lang w:eastAsia="de-DE"/>
        </w:rPr>
        <w:t xml:space="preserve"> </w:t>
      </w:r>
      <w:r w:rsidRPr="00DC54C1">
        <w:rPr>
          <w:rFonts w:eastAsia="Times New Roman" w:cs="Times New Roman"/>
          <w:lang w:eastAsia="de-DE"/>
        </w:rPr>
        <w:t>zeigt doppelte euphemistische Umschreibung.</w:t>
      </w:r>
    </w:p>
    <w:p w14:paraId="472EEE53"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LXX</w:t>
      </w:r>
      <w:r w:rsidRPr="00DC54C1">
        <w:rPr>
          <w:rFonts w:eastAsia="Times New Roman" w:cs="Times New Roman"/>
          <w:lang w:eastAsia="de-DE"/>
        </w:rPr>
        <w:t xml:space="preserve"> übersetzt </w:t>
      </w:r>
      <w:r w:rsidRPr="00DC54C1">
        <w:rPr>
          <w:rFonts w:eastAsia="Times New Roman" w:cs="Times New Roman"/>
          <w:b/>
          <w:bCs/>
          <w:rtl/>
          <w:lang w:eastAsia="de-DE"/>
        </w:rPr>
        <w:t>בנדת טמאתה</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ἐν</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ἀφέδρῳ</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ἀκ</w:t>
      </w:r>
      <w:proofErr w:type="spellEnd"/>
      <w:r w:rsidRPr="00DC54C1">
        <w:rPr>
          <w:rFonts w:eastAsia="Times New Roman" w:cs="Times New Roman"/>
          <w:lang w:eastAsia="de-DE"/>
        </w:rPr>
        <w:t>αθαρσίας α</w:t>
      </w:r>
      <w:proofErr w:type="spellStart"/>
      <w:r w:rsidRPr="00DC54C1">
        <w:rPr>
          <w:rFonts w:eastAsia="Times New Roman" w:cs="Times New Roman"/>
          <w:lang w:eastAsia="de-DE"/>
        </w:rPr>
        <w:t>ὐτῆς</w:t>
      </w:r>
      <w:proofErr w:type="spellEnd"/>
      <w:r w:rsidRPr="00DC54C1">
        <w:rPr>
          <w:rFonts w:eastAsia="Times New Roman" w:cs="Times New Roman"/>
          <w:lang w:eastAsia="de-DE"/>
        </w:rPr>
        <w:t xml:space="preserve"> (in der Absonderung ihrer Unreinheit), </w:t>
      </w:r>
      <w:r w:rsidRPr="00DC54C1">
        <w:rPr>
          <w:rFonts w:eastAsia="Times New Roman" w:cs="Times New Roman"/>
          <w:b/>
          <w:bCs/>
          <w:rtl/>
          <w:lang w:eastAsia="de-DE"/>
        </w:rPr>
        <w:t>לא תקרב</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οὐ</w:t>
      </w:r>
      <w:proofErr w:type="spellEnd"/>
      <w:r w:rsidRPr="00DC54C1">
        <w:rPr>
          <w:rFonts w:eastAsia="Times New Roman" w:cs="Times New Roman"/>
          <w:lang w:eastAsia="de-DE"/>
        </w:rPr>
        <w:t xml:space="preserve"> π</w:t>
      </w:r>
      <w:proofErr w:type="spellStart"/>
      <w:r w:rsidRPr="00DC54C1">
        <w:rPr>
          <w:rFonts w:eastAsia="Times New Roman" w:cs="Times New Roman"/>
          <w:lang w:eastAsia="de-DE"/>
        </w:rPr>
        <w:t>ροσελεύσῃ</w:t>
      </w:r>
      <w:proofErr w:type="spellEnd"/>
      <w:r w:rsidRPr="00DC54C1">
        <w:rPr>
          <w:rFonts w:eastAsia="Times New Roman" w:cs="Times New Roman"/>
          <w:lang w:eastAsia="de-DE"/>
        </w:rPr>
        <w:t xml:space="preserve"> (du wirst nicht nahen) und </w:t>
      </w:r>
      <w:r w:rsidRPr="00DC54C1">
        <w:rPr>
          <w:rFonts w:eastAsia="Times New Roman" w:cs="Times New Roman"/>
          <w:b/>
          <w:bCs/>
          <w:rtl/>
          <w:lang w:eastAsia="de-DE"/>
        </w:rPr>
        <w:t>לגלות ערותה</w:t>
      </w:r>
      <w:r w:rsidRPr="00DC54C1">
        <w:rPr>
          <w:rFonts w:eastAsia="Times New Roman" w:cs="Times New Roman"/>
          <w:rtl/>
          <w:lang w:eastAsia="de-DE"/>
        </w:rPr>
        <w:t xml:space="preserve"> </w:t>
      </w:r>
      <w:r w:rsidRPr="00DC54C1">
        <w:rPr>
          <w:rFonts w:eastAsia="Times New Roman" w:cs="Times New Roman"/>
          <w:lang w:eastAsia="de-DE"/>
        </w:rPr>
        <w:t>mit ἀπ</w:t>
      </w:r>
      <w:proofErr w:type="spellStart"/>
      <w:r w:rsidRPr="00DC54C1">
        <w:rPr>
          <w:rFonts w:eastAsia="Times New Roman" w:cs="Times New Roman"/>
          <w:lang w:eastAsia="de-DE"/>
        </w:rPr>
        <w:t>οκ</w:t>
      </w:r>
      <w:proofErr w:type="spellEnd"/>
      <w:r w:rsidRPr="00DC54C1">
        <w:rPr>
          <w:rFonts w:eastAsia="Times New Roman" w:cs="Times New Roman"/>
          <w:lang w:eastAsia="de-DE"/>
        </w:rPr>
        <w:t xml:space="preserve">αλύψαι </w:t>
      </w:r>
      <w:proofErr w:type="spellStart"/>
      <w:r w:rsidRPr="00DC54C1">
        <w:rPr>
          <w:rFonts w:eastAsia="Times New Roman" w:cs="Times New Roman"/>
          <w:lang w:eastAsia="de-DE"/>
        </w:rPr>
        <w:t>ἀσχημοσύνην</w:t>
      </w:r>
      <w:proofErr w:type="spellEnd"/>
      <w:r w:rsidRPr="00DC54C1">
        <w:rPr>
          <w:rFonts w:eastAsia="Times New Roman" w:cs="Times New Roman"/>
          <w:lang w:eastAsia="de-DE"/>
        </w:rPr>
        <w:t xml:space="preserve"> α</w:t>
      </w:r>
      <w:proofErr w:type="spellStart"/>
      <w:r w:rsidRPr="00DC54C1">
        <w:rPr>
          <w:rFonts w:eastAsia="Times New Roman" w:cs="Times New Roman"/>
          <w:lang w:eastAsia="de-DE"/>
        </w:rPr>
        <w:t>ὐτῆς</w:t>
      </w:r>
      <w:proofErr w:type="spellEnd"/>
      <w:r w:rsidRPr="00DC54C1">
        <w:rPr>
          <w:rFonts w:eastAsia="Times New Roman" w:cs="Times New Roman"/>
          <w:lang w:eastAsia="de-DE"/>
        </w:rPr>
        <w:t xml:space="preserve"> (ihre Schande zu enthüllen).</w:t>
      </w:r>
    </w:p>
    <w:p w14:paraId="6E79C0BD"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Satzstruktur</w:t>
      </w:r>
      <w:r w:rsidRPr="00DC54C1">
        <w:rPr>
          <w:rFonts w:eastAsia="Times New Roman" w:cs="Times New Roman"/>
          <w:lang w:eastAsia="de-DE"/>
        </w:rPr>
        <w:t xml:space="preserve"> zeigt Menstruationsverbot: zeitliche Einschränkung der Geschlechtsbeziehung + euphemistische Verkehrsumschreibung.</w:t>
      </w:r>
    </w:p>
    <w:p w14:paraId="4FE403A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lang w:eastAsia="de-DE"/>
        </w:rPr>
        <w:t>Dieser Vers verbietet Geschlechtsverkehr während der aktiven Menstruation der Frau.</w:t>
      </w:r>
    </w:p>
    <w:p w14:paraId="796CF435" w14:textId="77777777" w:rsidR="00DC54C1" w:rsidRPr="00DC54C1" w:rsidRDefault="00DC54C1" w:rsidP="00DC54C1">
      <w:pPr>
        <w:spacing w:before="100" w:beforeAutospacing="1" w:after="100" w:afterAutospacing="1" w:line="240" w:lineRule="auto"/>
        <w:outlineLvl w:val="1"/>
        <w:rPr>
          <w:rFonts w:eastAsia="Times New Roman" w:cs="Times New Roman"/>
          <w:b/>
          <w:bCs/>
          <w:sz w:val="36"/>
          <w:szCs w:val="36"/>
          <w:lang w:eastAsia="de-DE"/>
        </w:rPr>
      </w:pPr>
      <w:r w:rsidRPr="00DC54C1">
        <w:rPr>
          <w:rFonts w:eastAsia="Times New Roman" w:cs="Times New Roman"/>
          <w:b/>
          <w:bCs/>
          <w:sz w:val="36"/>
          <w:szCs w:val="36"/>
          <w:lang w:eastAsia="de-DE"/>
        </w:rPr>
        <w:t>Leviticus 18,20</w:t>
      </w:r>
    </w:p>
    <w:p w14:paraId="63E18D96"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Hebräisch:</w:t>
      </w:r>
      <w:r w:rsidRPr="00DC54C1">
        <w:rPr>
          <w:rFonts w:eastAsia="Times New Roman" w:cs="Times New Roman"/>
          <w:lang w:eastAsia="de-DE"/>
        </w:rPr>
        <w:t xml:space="preserve"> </w:t>
      </w:r>
      <w:r w:rsidRPr="00DC54C1">
        <w:rPr>
          <w:rFonts w:eastAsia="Times New Roman" w:cs="Times New Roman"/>
          <w:rtl/>
          <w:lang w:eastAsia="de-DE"/>
        </w:rPr>
        <w:t>וְאֶל־אֵ֙שֶׁת֙ עֲמִֽיתְךָ֔ לֹא־תִתֵּ֥ן שְׁכָבְתְךָ֖ לְזָ֑רַע לְטָמְאָה־בָֽהּ׃</w:t>
      </w:r>
    </w:p>
    <w:p w14:paraId="5F01A8E7"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Deutsch:</w:t>
      </w:r>
      <w:r w:rsidRPr="00DC54C1">
        <w:rPr>
          <w:rFonts w:eastAsia="Times New Roman" w:cs="Times New Roman"/>
          <w:lang w:eastAsia="de-DE"/>
        </w:rPr>
        <w:t xml:space="preserve"> Und zur Frau deines Nächsten sollst du nicht geben deinen Erguss zur Besamung, um durch sie unrein zu werden.</w:t>
      </w:r>
    </w:p>
    <w:p w14:paraId="5DB997F5" w14:textId="77777777" w:rsidR="00DC54C1" w:rsidRPr="00DC54C1" w:rsidRDefault="00A57720" w:rsidP="00DC54C1">
      <w:pPr>
        <w:spacing w:after="0" w:line="240" w:lineRule="auto"/>
        <w:rPr>
          <w:rFonts w:eastAsia="Times New Roman" w:cs="Times New Roman"/>
          <w:lang w:eastAsia="de-DE"/>
        </w:rPr>
      </w:pPr>
      <w:r>
        <w:rPr>
          <w:rFonts w:eastAsia="Times New Roman" w:cs="Times New Roman"/>
          <w:noProof/>
          <w:lang w:eastAsia="de-DE"/>
        </w:rPr>
        <w:pict w14:anchorId="34089D93">
          <v:rect id="_x0000_i1550" style="width:0;height:1.5pt" o:hralign="center" o:hrstd="t" o:hr="t" fillcolor="#a0a0a0" stroked="f"/>
        </w:pict>
      </w:r>
    </w:p>
    <w:p w14:paraId="34077D61"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Kommentar:</w:t>
      </w:r>
      <w:r w:rsidRPr="00DC54C1">
        <w:rPr>
          <w:rFonts w:eastAsia="Times New Roman" w:cs="Times New Roman"/>
          <w:lang w:eastAsia="de-DE"/>
        </w:rPr>
        <w:t xml:space="preserve"> </w:t>
      </w:r>
      <w:r w:rsidRPr="00DC54C1">
        <w:rPr>
          <w:rFonts w:eastAsia="Times New Roman" w:cs="Times New Roman"/>
          <w:b/>
          <w:bCs/>
          <w:rtl/>
          <w:lang w:eastAsia="de-DE"/>
        </w:rPr>
        <w:t>ואל־אשת עמיתך לא־תתן שכבתך לזרע לטמאה־בה</w:t>
      </w:r>
      <w:r w:rsidRPr="00DC54C1">
        <w:rPr>
          <w:rFonts w:eastAsia="Times New Roman" w:cs="Times New Roman"/>
          <w:rtl/>
          <w:lang w:eastAsia="de-DE"/>
        </w:rPr>
        <w:t xml:space="preserve"> </w:t>
      </w:r>
      <w:r w:rsidRPr="00DC54C1">
        <w:rPr>
          <w:rFonts w:eastAsia="Times New Roman" w:cs="Times New Roman"/>
          <w:lang w:eastAsia="de-DE"/>
        </w:rPr>
        <w:t xml:space="preserve">verbietet Ehebruch. </w:t>
      </w:r>
      <w:r w:rsidRPr="00DC54C1">
        <w:rPr>
          <w:rFonts w:eastAsia="Times New Roman" w:cs="Times New Roman"/>
          <w:b/>
          <w:bCs/>
          <w:rtl/>
          <w:lang w:eastAsia="de-DE"/>
        </w:rPr>
        <w:t>ואל־אשת עמיתך</w:t>
      </w:r>
      <w:r w:rsidRPr="00DC54C1">
        <w:rPr>
          <w:rFonts w:eastAsia="Times New Roman" w:cs="Times New Roman"/>
          <w:rtl/>
          <w:lang w:eastAsia="de-DE"/>
        </w:rPr>
        <w:t xml:space="preserve"> </w:t>
      </w:r>
      <w:r w:rsidRPr="00DC54C1">
        <w:rPr>
          <w:rFonts w:eastAsia="Times New Roman" w:cs="Times New Roman"/>
          <w:lang w:eastAsia="de-DE"/>
        </w:rPr>
        <w:t xml:space="preserve">(und zur Frau deines Nächsten) - </w:t>
      </w:r>
      <w:r w:rsidRPr="00DC54C1">
        <w:rPr>
          <w:rFonts w:eastAsia="Times New Roman" w:cs="Times New Roman"/>
          <w:b/>
          <w:bCs/>
          <w:rtl/>
          <w:lang w:eastAsia="de-DE"/>
        </w:rPr>
        <w:t>עמית</w:t>
      </w:r>
      <w:r w:rsidRPr="00DC54C1">
        <w:rPr>
          <w:rFonts w:eastAsia="Times New Roman" w:cs="Times New Roman"/>
          <w:rtl/>
          <w:lang w:eastAsia="de-DE"/>
        </w:rPr>
        <w:t xml:space="preserve"> </w:t>
      </w:r>
      <w:r w:rsidRPr="00DC54C1">
        <w:rPr>
          <w:rFonts w:eastAsia="Times New Roman" w:cs="Times New Roman"/>
          <w:lang w:eastAsia="de-DE"/>
        </w:rPr>
        <w:t xml:space="preserve">(Nächster/Volksgenosse) zeigt den israelitischen Nachbarn. </w:t>
      </w:r>
      <w:r w:rsidRPr="00DC54C1">
        <w:rPr>
          <w:rFonts w:eastAsia="Times New Roman" w:cs="Times New Roman"/>
          <w:b/>
          <w:bCs/>
          <w:rtl/>
          <w:lang w:eastAsia="de-DE"/>
        </w:rPr>
        <w:t>לא־תתן שכבתך לזרע</w:t>
      </w:r>
      <w:r w:rsidRPr="00DC54C1">
        <w:rPr>
          <w:rFonts w:eastAsia="Times New Roman" w:cs="Times New Roman"/>
          <w:rtl/>
          <w:lang w:eastAsia="de-DE"/>
        </w:rPr>
        <w:t xml:space="preserve"> </w:t>
      </w:r>
      <w:r w:rsidRPr="00DC54C1">
        <w:rPr>
          <w:rFonts w:eastAsia="Times New Roman" w:cs="Times New Roman"/>
          <w:lang w:eastAsia="de-DE"/>
        </w:rPr>
        <w:t xml:space="preserve">(sollst du nicht geben deinen Erguss zur Besamung) - </w:t>
      </w:r>
      <w:r w:rsidRPr="00DC54C1">
        <w:rPr>
          <w:rFonts w:eastAsia="Times New Roman" w:cs="Times New Roman"/>
          <w:b/>
          <w:bCs/>
          <w:rtl/>
          <w:lang w:eastAsia="de-DE"/>
        </w:rPr>
        <w:t>תתן</w:t>
      </w:r>
      <w:r w:rsidRPr="00DC54C1">
        <w:rPr>
          <w:rFonts w:eastAsia="Times New Roman" w:cs="Times New Roman"/>
          <w:rtl/>
          <w:lang w:eastAsia="de-DE"/>
        </w:rPr>
        <w:t xml:space="preserve"> </w:t>
      </w:r>
      <w:r w:rsidRPr="00DC54C1">
        <w:rPr>
          <w:rFonts w:eastAsia="Times New Roman" w:cs="Times New Roman"/>
          <w:lang w:eastAsia="de-DE"/>
        </w:rPr>
        <w:t xml:space="preserve">(du sollst geben) im Qal-Imperfekt, </w:t>
      </w:r>
      <w:r w:rsidRPr="00DC54C1">
        <w:rPr>
          <w:rFonts w:eastAsia="Times New Roman" w:cs="Times New Roman"/>
          <w:b/>
          <w:bCs/>
          <w:rtl/>
          <w:lang w:eastAsia="de-DE"/>
        </w:rPr>
        <w:t>שכבתך</w:t>
      </w:r>
      <w:r w:rsidRPr="00DC54C1">
        <w:rPr>
          <w:rFonts w:eastAsia="Times New Roman" w:cs="Times New Roman"/>
          <w:rtl/>
          <w:lang w:eastAsia="de-DE"/>
        </w:rPr>
        <w:t xml:space="preserve"> </w:t>
      </w:r>
      <w:r w:rsidRPr="00DC54C1">
        <w:rPr>
          <w:rFonts w:eastAsia="Times New Roman" w:cs="Times New Roman"/>
          <w:lang w:eastAsia="de-DE"/>
        </w:rPr>
        <w:t xml:space="preserve">(deinen Erguss) als euphemistische Bezeichnung für Samen, </w:t>
      </w:r>
      <w:r w:rsidRPr="00DC54C1">
        <w:rPr>
          <w:rFonts w:eastAsia="Times New Roman" w:cs="Times New Roman"/>
          <w:b/>
          <w:bCs/>
          <w:rtl/>
          <w:lang w:eastAsia="de-DE"/>
        </w:rPr>
        <w:t>לזרע</w:t>
      </w:r>
      <w:r w:rsidRPr="00DC54C1">
        <w:rPr>
          <w:rFonts w:eastAsia="Times New Roman" w:cs="Times New Roman"/>
          <w:rtl/>
          <w:lang w:eastAsia="de-DE"/>
        </w:rPr>
        <w:t xml:space="preserve"> </w:t>
      </w:r>
      <w:r w:rsidRPr="00DC54C1">
        <w:rPr>
          <w:rFonts w:eastAsia="Times New Roman" w:cs="Times New Roman"/>
          <w:lang w:eastAsia="de-DE"/>
        </w:rPr>
        <w:t>(zur Besamung) zeigt den Zweck.</w:t>
      </w:r>
    </w:p>
    <w:p w14:paraId="1E61B0E1" w14:textId="0494A864"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t>לטמאה־בה</w:t>
      </w:r>
      <w:r w:rsidRPr="00DC54C1">
        <w:rPr>
          <w:rFonts w:eastAsia="Times New Roman" w:cs="Times New Roman"/>
          <w:rtl/>
          <w:lang w:eastAsia="de-DE"/>
        </w:rPr>
        <w:t xml:space="preserve"> </w:t>
      </w:r>
      <w:r w:rsidRPr="00DC54C1">
        <w:rPr>
          <w:rFonts w:eastAsia="Times New Roman" w:cs="Times New Roman"/>
          <w:lang w:eastAsia="de-DE"/>
        </w:rPr>
        <w:t xml:space="preserve">(um durch sie unrein zu werden) - </w:t>
      </w:r>
      <w:r w:rsidRPr="00DC54C1">
        <w:rPr>
          <w:rFonts w:eastAsia="Times New Roman" w:cs="Times New Roman"/>
          <w:b/>
          <w:bCs/>
          <w:rtl/>
          <w:lang w:eastAsia="de-DE"/>
        </w:rPr>
        <w:t>לטמאה</w:t>
      </w:r>
      <w:r w:rsidRPr="00DC54C1">
        <w:rPr>
          <w:rFonts w:eastAsia="Times New Roman" w:cs="Times New Roman"/>
          <w:rtl/>
          <w:lang w:eastAsia="de-DE"/>
        </w:rPr>
        <w:t xml:space="preserve"> </w:t>
      </w:r>
      <w:r w:rsidRPr="00DC54C1">
        <w:rPr>
          <w:rFonts w:eastAsia="Times New Roman" w:cs="Times New Roman"/>
          <w:lang w:eastAsia="de-DE"/>
        </w:rPr>
        <w:t>(um unrein zu werden) im Qal-Infinitiv-</w:t>
      </w:r>
      <w:r w:rsidR="005407E2">
        <w:rPr>
          <w:rFonts w:eastAsia="Times New Roman" w:cs="Times New Roman"/>
          <w:lang w:eastAsia="de-DE"/>
        </w:rPr>
        <w:t>Constructus</w:t>
      </w:r>
      <w:r w:rsidRPr="00DC54C1">
        <w:rPr>
          <w:rFonts w:eastAsia="Times New Roman" w:cs="Times New Roman"/>
          <w:lang w:eastAsia="de-DE"/>
        </w:rPr>
        <w:t xml:space="preserve"> zeigt die Folge des Ehebruchs: rituelle Unreinheit. </w:t>
      </w:r>
      <w:r w:rsidRPr="00DC54C1">
        <w:rPr>
          <w:rFonts w:eastAsia="Times New Roman" w:cs="Times New Roman"/>
          <w:b/>
          <w:bCs/>
          <w:rtl/>
          <w:lang w:eastAsia="de-DE"/>
        </w:rPr>
        <w:t>בה</w:t>
      </w:r>
      <w:r w:rsidRPr="00DC54C1">
        <w:rPr>
          <w:rFonts w:eastAsia="Times New Roman" w:cs="Times New Roman"/>
          <w:rtl/>
          <w:lang w:eastAsia="de-DE"/>
        </w:rPr>
        <w:t xml:space="preserve"> </w:t>
      </w:r>
      <w:r w:rsidRPr="00DC54C1">
        <w:rPr>
          <w:rFonts w:eastAsia="Times New Roman" w:cs="Times New Roman"/>
          <w:lang w:eastAsia="de-DE"/>
        </w:rPr>
        <w:t>(durch sie) zeigt die Frau als Quelle der Unreinheit.</w:t>
      </w:r>
    </w:p>
    <w:p w14:paraId="24CB7BE2"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rtl/>
          <w:lang w:eastAsia="de-DE"/>
        </w:rPr>
        <w:lastRenderedPageBreak/>
        <w:t>עמיתך</w:t>
      </w:r>
      <w:r w:rsidRPr="00DC54C1">
        <w:rPr>
          <w:rFonts w:eastAsia="Times New Roman" w:cs="Times New Roman"/>
          <w:rtl/>
          <w:lang w:eastAsia="de-DE"/>
        </w:rPr>
        <w:t xml:space="preserve"> </w:t>
      </w:r>
      <w:r w:rsidRPr="00DC54C1">
        <w:rPr>
          <w:rFonts w:eastAsia="Times New Roman" w:cs="Times New Roman"/>
          <w:lang w:eastAsia="de-DE"/>
        </w:rPr>
        <w:t xml:space="preserve">betont, dass Ehebruch Verletzung der Gemeinschaftssolidarität ist. </w:t>
      </w:r>
      <w:r w:rsidRPr="00DC54C1">
        <w:rPr>
          <w:rFonts w:eastAsia="Times New Roman" w:cs="Times New Roman"/>
          <w:b/>
          <w:bCs/>
          <w:rtl/>
          <w:lang w:eastAsia="de-DE"/>
        </w:rPr>
        <w:t>שכבתך לזרע</w:t>
      </w:r>
      <w:r w:rsidRPr="00DC54C1">
        <w:rPr>
          <w:rFonts w:eastAsia="Times New Roman" w:cs="Times New Roman"/>
          <w:rtl/>
          <w:lang w:eastAsia="de-DE"/>
        </w:rPr>
        <w:t xml:space="preserve"> </w:t>
      </w:r>
      <w:r w:rsidRPr="00DC54C1">
        <w:rPr>
          <w:rFonts w:eastAsia="Times New Roman" w:cs="Times New Roman"/>
          <w:lang w:eastAsia="de-DE"/>
        </w:rPr>
        <w:t xml:space="preserve">als besonders explizite Formulierung betont die Zeugungsabsicht. </w:t>
      </w:r>
      <w:r w:rsidRPr="00DC54C1">
        <w:rPr>
          <w:rFonts w:eastAsia="Times New Roman" w:cs="Times New Roman"/>
          <w:b/>
          <w:bCs/>
          <w:rtl/>
          <w:lang w:eastAsia="de-DE"/>
        </w:rPr>
        <w:t>לטמאה־בה</w:t>
      </w:r>
      <w:r w:rsidRPr="00DC54C1">
        <w:rPr>
          <w:rFonts w:eastAsia="Times New Roman" w:cs="Times New Roman"/>
          <w:rtl/>
          <w:lang w:eastAsia="de-DE"/>
        </w:rPr>
        <w:t xml:space="preserve"> </w:t>
      </w:r>
      <w:r w:rsidRPr="00DC54C1">
        <w:rPr>
          <w:rFonts w:eastAsia="Times New Roman" w:cs="Times New Roman"/>
          <w:lang w:eastAsia="de-DE"/>
        </w:rPr>
        <w:t>zeigt, dass Ehebruch rituelle Unreinheit bewirkt.</w:t>
      </w:r>
    </w:p>
    <w:p w14:paraId="2D5C6645"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LXX</w:t>
      </w:r>
      <w:r w:rsidRPr="00DC54C1">
        <w:rPr>
          <w:rFonts w:eastAsia="Times New Roman" w:cs="Times New Roman"/>
          <w:lang w:eastAsia="de-DE"/>
        </w:rPr>
        <w:t xml:space="preserve"> übersetzt </w:t>
      </w:r>
      <w:r w:rsidRPr="00DC54C1">
        <w:rPr>
          <w:rFonts w:eastAsia="Times New Roman" w:cs="Times New Roman"/>
          <w:b/>
          <w:bCs/>
          <w:rtl/>
          <w:lang w:eastAsia="de-DE"/>
        </w:rPr>
        <w:t>עמיתך</w:t>
      </w:r>
      <w:r w:rsidRPr="00DC54C1">
        <w:rPr>
          <w:rFonts w:eastAsia="Times New Roman" w:cs="Times New Roman"/>
          <w:rtl/>
          <w:lang w:eastAsia="de-DE"/>
        </w:rPr>
        <w:t xml:space="preserve"> </w:t>
      </w:r>
      <w:r w:rsidRPr="00DC54C1">
        <w:rPr>
          <w:rFonts w:eastAsia="Times New Roman" w:cs="Times New Roman"/>
          <w:lang w:eastAsia="de-DE"/>
        </w:rPr>
        <w:t>mit π</w:t>
      </w:r>
      <w:proofErr w:type="spellStart"/>
      <w:r w:rsidRPr="00DC54C1">
        <w:rPr>
          <w:rFonts w:eastAsia="Times New Roman" w:cs="Times New Roman"/>
          <w:lang w:eastAsia="de-DE"/>
        </w:rPr>
        <w:t>λησίον</w:t>
      </w:r>
      <w:proofErr w:type="spellEnd"/>
      <w:r w:rsidRPr="00DC54C1">
        <w:rPr>
          <w:rFonts w:eastAsia="Times New Roman" w:cs="Times New Roman"/>
          <w:lang w:eastAsia="de-DE"/>
        </w:rPr>
        <w:t xml:space="preserve"> </w:t>
      </w:r>
      <w:proofErr w:type="spellStart"/>
      <w:r w:rsidRPr="00DC54C1">
        <w:rPr>
          <w:rFonts w:eastAsia="Times New Roman" w:cs="Times New Roman"/>
          <w:lang w:eastAsia="de-DE"/>
        </w:rPr>
        <w:t>σου</w:t>
      </w:r>
      <w:proofErr w:type="spellEnd"/>
      <w:r w:rsidRPr="00DC54C1">
        <w:rPr>
          <w:rFonts w:eastAsia="Times New Roman" w:cs="Times New Roman"/>
          <w:lang w:eastAsia="de-DE"/>
        </w:rPr>
        <w:t xml:space="preserve"> (deines Nächsten), </w:t>
      </w:r>
      <w:r w:rsidRPr="00DC54C1">
        <w:rPr>
          <w:rFonts w:eastAsia="Times New Roman" w:cs="Times New Roman"/>
          <w:b/>
          <w:bCs/>
          <w:rtl/>
          <w:lang w:eastAsia="de-DE"/>
        </w:rPr>
        <w:t>שכבתך לזרע</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κοίτην</w:t>
      </w:r>
      <w:proofErr w:type="spellEnd"/>
      <w:r w:rsidRPr="00DC54C1">
        <w:rPr>
          <w:rFonts w:eastAsia="Times New Roman" w:cs="Times New Roman"/>
          <w:lang w:eastAsia="de-DE"/>
        </w:rPr>
        <w:t xml:space="preserve"> σπ</w:t>
      </w:r>
      <w:proofErr w:type="spellStart"/>
      <w:r w:rsidRPr="00DC54C1">
        <w:rPr>
          <w:rFonts w:eastAsia="Times New Roman" w:cs="Times New Roman"/>
          <w:lang w:eastAsia="de-DE"/>
        </w:rPr>
        <w:t>έρμ</w:t>
      </w:r>
      <w:proofErr w:type="spellEnd"/>
      <w:r w:rsidRPr="00DC54C1">
        <w:rPr>
          <w:rFonts w:eastAsia="Times New Roman" w:cs="Times New Roman"/>
          <w:lang w:eastAsia="de-DE"/>
        </w:rPr>
        <w:t xml:space="preserve">ατός </w:t>
      </w:r>
      <w:proofErr w:type="spellStart"/>
      <w:r w:rsidRPr="00DC54C1">
        <w:rPr>
          <w:rFonts w:eastAsia="Times New Roman" w:cs="Times New Roman"/>
          <w:lang w:eastAsia="de-DE"/>
        </w:rPr>
        <w:t>σου</w:t>
      </w:r>
      <w:proofErr w:type="spellEnd"/>
      <w:r w:rsidRPr="00DC54C1">
        <w:rPr>
          <w:rFonts w:eastAsia="Times New Roman" w:cs="Times New Roman"/>
          <w:lang w:eastAsia="de-DE"/>
        </w:rPr>
        <w:t xml:space="preserve"> (Lager deines Samens) und </w:t>
      </w:r>
      <w:r w:rsidRPr="00DC54C1">
        <w:rPr>
          <w:rFonts w:eastAsia="Times New Roman" w:cs="Times New Roman"/>
          <w:b/>
          <w:bCs/>
          <w:rtl/>
          <w:lang w:eastAsia="de-DE"/>
        </w:rPr>
        <w:t>לטמאה־בה</w:t>
      </w:r>
      <w:r w:rsidRPr="00DC54C1">
        <w:rPr>
          <w:rFonts w:eastAsia="Times New Roman" w:cs="Times New Roman"/>
          <w:rtl/>
          <w:lang w:eastAsia="de-DE"/>
        </w:rPr>
        <w:t xml:space="preserve"> </w:t>
      </w:r>
      <w:r w:rsidRPr="00DC54C1">
        <w:rPr>
          <w:rFonts w:eastAsia="Times New Roman" w:cs="Times New Roman"/>
          <w:lang w:eastAsia="de-DE"/>
        </w:rPr>
        <w:t xml:space="preserve">mit </w:t>
      </w:r>
      <w:proofErr w:type="spellStart"/>
      <w:r w:rsidRPr="00DC54C1">
        <w:rPr>
          <w:rFonts w:eastAsia="Times New Roman" w:cs="Times New Roman"/>
          <w:lang w:eastAsia="de-DE"/>
        </w:rPr>
        <w:t>μι</w:t>
      </w:r>
      <w:proofErr w:type="spellEnd"/>
      <w:r w:rsidRPr="00DC54C1">
        <w:rPr>
          <w:rFonts w:eastAsia="Times New Roman" w:cs="Times New Roman"/>
          <w:lang w:eastAsia="de-DE"/>
        </w:rPr>
        <w:t>ανθῆναι π</w:t>
      </w:r>
      <w:proofErr w:type="spellStart"/>
      <w:r w:rsidRPr="00DC54C1">
        <w:rPr>
          <w:rFonts w:eastAsia="Times New Roman" w:cs="Times New Roman"/>
          <w:lang w:eastAsia="de-DE"/>
        </w:rPr>
        <w:t>ρὸς</w:t>
      </w:r>
      <w:proofErr w:type="spellEnd"/>
      <w:r w:rsidRPr="00DC54C1">
        <w:rPr>
          <w:rFonts w:eastAsia="Times New Roman" w:cs="Times New Roman"/>
          <w:lang w:eastAsia="de-DE"/>
        </w:rPr>
        <w:t xml:space="preserve"> α</w:t>
      </w:r>
      <w:proofErr w:type="spellStart"/>
      <w:r w:rsidRPr="00DC54C1">
        <w:rPr>
          <w:rFonts w:eastAsia="Times New Roman" w:cs="Times New Roman"/>
          <w:lang w:eastAsia="de-DE"/>
        </w:rPr>
        <w:t>ὐτήν</w:t>
      </w:r>
      <w:proofErr w:type="spellEnd"/>
      <w:r w:rsidRPr="00DC54C1">
        <w:rPr>
          <w:rFonts w:eastAsia="Times New Roman" w:cs="Times New Roman"/>
          <w:lang w:eastAsia="de-DE"/>
        </w:rPr>
        <w:t xml:space="preserve"> (durch sie befleckt zu werden).</w:t>
      </w:r>
    </w:p>
    <w:p w14:paraId="4CCC1E63"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b/>
          <w:bCs/>
          <w:lang w:eastAsia="de-DE"/>
        </w:rPr>
        <w:t>Die Satzstruktur</w:t>
      </w:r>
      <w:r w:rsidRPr="00DC54C1">
        <w:rPr>
          <w:rFonts w:eastAsia="Times New Roman" w:cs="Times New Roman"/>
          <w:lang w:eastAsia="de-DE"/>
        </w:rPr>
        <w:t xml:space="preserve"> zeigt Ehebruchverbot: Nachbarsfrau + explizite Zeugungsformulierung + Unreinheitsfolge.</w:t>
      </w:r>
    </w:p>
    <w:p w14:paraId="4DB69414" w14:textId="77777777" w:rsidR="00DC54C1" w:rsidRPr="00DC54C1" w:rsidRDefault="00DC54C1" w:rsidP="00DC54C1">
      <w:pPr>
        <w:spacing w:before="100" w:beforeAutospacing="1" w:after="100" w:afterAutospacing="1" w:line="240" w:lineRule="auto"/>
        <w:rPr>
          <w:rFonts w:eastAsia="Times New Roman" w:cs="Times New Roman"/>
          <w:lang w:eastAsia="de-DE"/>
        </w:rPr>
      </w:pPr>
      <w:r w:rsidRPr="00DC54C1">
        <w:rPr>
          <w:rFonts w:eastAsia="Times New Roman" w:cs="Times New Roman"/>
          <w:lang w:eastAsia="de-DE"/>
        </w:rPr>
        <w:t>Dieser Vers verbietet Ehebruch als Verletzung der Gemeinschaftssolidarität mit ritueller Unreinheitsfolge.</w:t>
      </w:r>
    </w:p>
    <w:p w14:paraId="07608EE7"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18,21</w:t>
      </w:r>
    </w:p>
    <w:p w14:paraId="1E56D94F"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וּמִזַּרְעֲךָ֥ לֹא־תִתֵּ֖ן לְהַעֲבִ֣יר לַמֹּ֑לֶךְ וְלֹ֧א תְחַלֵּ֛ל אֶת־שֵׁ֥ם אֱלֹהֶ֖יךָ אֲנִ֥י יְהוָֽה׃</w:t>
      </w:r>
    </w:p>
    <w:p w14:paraId="04DB77A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Und von deinen Nachkommen sollst du nicht hingeben, um sie für den Molech durchs Feuer gehen zu lassen. Du sollst den Namen deines Gottes nicht entweihen. Ich bin der Ewige.</w:t>
      </w:r>
    </w:p>
    <w:p w14:paraId="728B08BA"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5733F062">
          <v:rect id="_x0000_i1551" style="width:0;height:1.5pt" o:hralign="center" o:hrstd="t" o:hr="t" fillcolor="#a0a0a0" stroked="f"/>
        </w:pict>
      </w:r>
    </w:p>
    <w:p w14:paraId="5ADAC274" w14:textId="3F7E7C52"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ומזרעך לא־תתן להעביר למלך ולא תחלל את־שם אלהיך אני יהוה</w:t>
      </w:r>
      <w:r w:rsidRPr="00125C26">
        <w:rPr>
          <w:rFonts w:eastAsia="Times New Roman" w:cs="Times New Roman"/>
          <w:rtl/>
          <w:lang w:eastAsia="de-DE"/>
        </w:rPr>
        <w:t xml:space="preserve"> </w:t>
      </w:r>
      <w:r w:rsidRPr="00125C26">
        <w:rPr>
          <w:rFonts w:eastAsia="Times New Roman" w:cs="Times New Roman"/>
          <w:lang w:eastAsia="de-DE"/>
        </w:rPr>
        <w:t xml:space="preserve">verbietet Kinderopfer für den Molech. </w:t>
      </w:r>
      <w:r w:rsidRPr="00125C26">
        <w:rPr>
          <w:rFonts w:eastAsia="Times New Roman" w:cs="Times New Roman"/>
          <w:b/>
          <w:bCs/>
          <w:rtl/>
          <w:lang w:eastAsia="de-DE"/>
        </w:rPr>
        <w:t>ומזרעך לא־תתן להעביר למלך</w:t>
      </w:r>
      <w:r w:rsidRPr="00125C26">
        <w:rPr>
          <w:rFonts w:eastAsia="Times New Roman" w:cs="Times New Roman"/>
          <w:rtl/>
          <w:lang w:eastAsia="de-DE"/>
        </w:rPr>
        <w:t xml:space="preserve"> </w:t>
      </w:r>
      <w:r w:rsidRPr="00125C26">
        <w:rPr>
          <w:rFonts w:eastAsia="Times New Roman" w:cs="Times New Roman"/>
          <w:lang w:eastAsia="de-DE"/>
        </w:rPr>
        <w:t xml:space="preserve">(und von deinen Nachkommen sollst du nicht hingeben, um sie für den Molech durchs Feuer gehen zu lassen) - </w:t>
      </w:r>
      <w:r w:rsidRPr="00125C26">
        <w:rPr>
          <w:rFonts w:eastAsia="Times New Roman" w:cs="Times New Roman"/>
          <w:b/>
          <w:bCs/>
          <w:rtl/>
          <w:lang w:eastAsia="de-DE"/>
        </w:rPr>
        <w:t>מזרעך</w:t>
      </w:r>
      <w:r w:rsidRPr="00125C26">
        <w:rPr>
          <w:rFonts w:eastAsia="Times New Roman" w:cs="Times New Roman"/>
          <w:rtl/>
          <w:lang w:eastAsia="de-DE"/>
        </w:rPr>
        <w:t xml:space="preserve"> </w:t>
      </w:r>
      <w:r w:rsidRPr="00125C26">
        <w:rPr>
          <w:rFonts w:eastAsia="Times New Roman" w:cs="Times New Roman"/>
          <w:lang w:eastAsia="de-DE"/>
        </w:rPr>
        <w:t xml:space="preserve">(von deinen Nachkommen) zeigt die eigenen Kinder. </w:t>
      </w:r>
      <w:r w:rsidRPr="00125C26">
        <w:rPr>
          <w:rFonts w:eastAsia="Times New Roman" w:cs="Times New Roman"/>
          <w:b/>
          <w:bCs/>
          <w:rtl/>
          <w:lang w:eastAsia="de-DE"/>
        </w:rPr>
        <w:t>לא־תתן</w:t>
      </w:r>
      <w:r w:rsidRPr="00125C26">
        <w:rPr>
          <w:rFonts w:eastAsia="Times New Roman" w:cs="Times New Roman"/>
          <w:rtl/>
          <w:lang w:eastAsia="de-DE"/>
        </w:rPr>
        <w:t xml:space="preserve"> </w:t>
      </w:r>
      <w:r w:rsidRPr="00125C26">
        <w:rPr>
          <w:rFonts w:eastAsia="Times New Roman" w:cs="Times New Roman"/>
          <w:lang w:eastAsia="de-DE"/>
        </w:rPr>
        <w:t xml:space="preserve">(du sollst nicht geben) im Qal-Imperfekt zeigt Überlassungsverbot. </w:t>
      </w:r>
      <w:r w:rsidRPr="00125C26">
        <w:rPr>
          <w:rFonts w:eastAsia="Times New Roman" w:cs="Times New Roman"/>
          <w:b/>
          <w:bCs/>
          <w:rtl/>
          <w:lang w:eastAsia="de-DE"/>
        </w:rPr>
        <w:t>להעביר למלך</w:t>
      </w:r>
      <w:r w:rsidRPr="00125C26">
        <w:rPr>
          <w:rFonts w:eastAsia="Times New Roman" w:cs="Times New Roman"/>
          <w:rtl/>
          <w:lang w:eastAsia="de-DE"/>
        </w:rPr>
        <w:t xml:space="preserve"> </w:t>
      </w:r>
      <w:r w:rsidRPr="00125C26">
        <w:rPr>
          <w:rFonts w:eastAsia="Times New Roman" w:cs="Times New Roman"/>
          <w:lang w:eastAsia="de-DE"/>
        </w:rPr>
        <w:t xml:space="preserve">(um sie für den Molech durchs Feuer gehen zu lassen) - </w:t>
      </w:r>
      <w:r w:rsidRPr="00125C26">
        <w:rPr>
          <w:rFonts w:eastAsia="Times New Roman" w:cs="Times New Roman"/>
          <w:b/>
          <w:bCs/>
          <w:rtl/>
          <w:lang w:eastAsia="de-DE"/>
        </w:rPr>
        <w:t>להעביר</w:t>
      </w:r>
      <w:r w:rsidRPr="00125C26">
        <w:rPr>
          <w:rFonts w:eastAsia="Times New Roman" w:cs="Times New Roman"/>
          <w:rtl/>
          <w:lang w:eastAsia="de-DE"/>
        </w:rPr>
        <w:t xml:space="preserve"> </w:t>
      </w:r>
      <w:r w:rsidRPr="00125C26">
        <w:rPr>
          <w:rFonts w:eastAsia="Times New Roman" w:cs="Times New Roman"/>
          <w:lang w:eastAsia="de-DE"/>
        </w:rPr>
        <w:t>(um durchgehen zu lassen) im Hifil-Infinitiv-</w:t>
      </w:r>
      <w:r w:rsidR="005407E2">
        <w:rPr>
          <w:rFonts w:eastAsia="Times New Roman" w:cs="Times New Roman"/>
          <w:lang w:eastAsia="de-DE"/>
        </w:rPr>
        <w:t>Constructus</w:t>
      </w:r>
      <w:r w:rsidRPr="00125C26">
        <w:rPr>
          <w:rFonts w:eastAsia="Times New Roman" w:cs="Times New Roman"/>
          <w:lang w:eastAsia="de-DE"/>
        </w:rPr>
        <w:t xml:space="preserve">, das Hifil zeigt kausatives Durchführen. </w:t>
      </w:r>
      <w:r w:rsidRPr="00125C26">
        <w:rPr>
          <w:rFonts w:eastAsia="Times New Roman" w:cs="Times New Roman"/>
          <w:b/>
          <w:bCs/>
          <w:rtl/>
          <w:lang w:eastAsia="de-DE"/>
        </w:rPr>
        <w:t>למלך</w:t>
      </w:r>
      <w:r w:rsidRPr="00125C26">
        <w:rPr>
          <w:rFonts w:eastAsia="Times New Roman" w:cs="Times New Roman"/>
          <w:rtl/>
          <w:lang w:eastAsia="de-DE"/>
        </w:rPr>
        <w:t xml:space="preserve"> </w:t>
      </w:r>
      <w:r w:rsidRPr="00125C26">
        <w:rPr>
          <w:rFonts w:eastAsia="Times New Roman" w:cs="Times New Roman"/>
          <w:lang w:eastAsia="de-DE"/>
        </w:rPr>
        <w:t>(für den Molech) als kanaanäische Gottheit, die Kinderopfer verlangte.</w:t>
      </w:r>
    </w:p>
    <w:p w14:paraId="1562B1C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ולא תחלל את־שם אלהיך אני יהוה</w:t>
      </w:r>
      <w:r w:rsidRPr="00125C26">
        <w:rPr>
          <w:rFonts w:eastAsia="Times New Roman" w:cs="Times New Roman"/>
          <w:rtl/>
          <w:lang w:eastAsia="de-DE"/>
        </w:rPr>
        <w:t xml:space="preserve"> </w:t>
      </w:r>
      <w:r w:rsidRPr="00125C26">
        <w:rPr>
          <w:rFonts w:eastAsia="Times New Roman" w:cs="Times New Roman"/>
          <w:lang w:eastAsia="de-DE"/>
        </w:rPr>
        <w:t xml:space="preserve">(du sollst den Namen deines Gottes nicht entweihen. Ich bin der Ewige) - </w:t>
      </w:r>
      <w:r w:rsidRPr="00125C26">
        <w:rPr>
          <w:rFonts w:eastAsia="Times New Roman" w:cs="Times New Roman"/>
          <w:b/>
          <w:bCs/>
          <w:rtl/>
          <w:lang w:eastAsia="de-DE"/>
        </w:rPr>
        <w:t>ולא תחלל</w:t>
      </w:r>
      <w:r w:rsidRPr="00125C26">
        <w:rPr>
          <w:rFonts w:eastAsia="Times New Roman" w:cs="Times New Roman"/>
          <w:rtl/>
          <w:lang w:eastAsia="de-DE"/>
        </w:rPr>
        <w:t xml:space="preserve"> </w:t>
      </w:r>
      <w:r w:rsidRPr="00125C26">
        <w:rPr>
          <w:rFonts w:eastAsia="Times New Roman" w:cs="Times New Roman"/>
          <w:lang w:eastAsia="de-DE"/>
        </w:rPr>
        <w:t xml:space="preserve">(und du sollst nicht entweihen) im Piel-Imperfekt, das Piel zeigt intensive Entweihung. </w:t>
      </w:r>
      <w:r w:rsidRPr="00125C26">
        <w:rPr>
          <w:rFonts w:eastAsia="Times New Roman" w:cs="Times New Roman"/>
          <w:b/>
          <w:bCs/>
          <w:rtl/>
          <w:lang w:eastAsia="de-DE"/>
        </w:rPr>
        <w:t>את־שם אלהיך</w:t>
      </w:r>
      <w:r w:rsidRPr="00125C26">
        <w:rPr>
          <w:rFonts w:eastAsia="Times New Roman" w:cs="Times New Roman"/>
          <w:rtl/>
          <w:lang w:eastAsia="de-DE"/>
        </w:rPr>
        <w:t xml:space="preserve"> </w:t>
      </w:r>
      <w:r w:rsidRPr="00125C26">
        <w:rPr>
          <w:rFonts w:eastAsia="Times New Roman" w:cs="Times New Roman"/>
          <w:lang w:eastAsia="de-DE"/>
        </w:rPr>
        <w:t xml:space="preserve">(den Namen deines Gottes) zeigt die Ehre JHWHs. Die abschließende Formel </w:t>
      </w:r>
      <w:r w:rsidRPr="00125C26">
        <w:rPr>
          <w:rFonts w:eastAsia="Times New Roman" w:cs="Times New Roman"/>
          <w:b/>
          <w:bCs/>
          <w:rtl/>
          <w:lang w:eastAsia="de-DE"/>
        </w:rPr>
        <w:t>אני יהוה</w:t>
      </w:r>
      <w:r w:rsidRPr="00125C26">
        <w:rPr>
          <w:rFonts w:eastAsia="Times New Roman" w:cs="Times New Roman"/>
          <w:rtl/>
          <w:lang w:eastAsia="de-DE"/>
        </w:rPr>
        <w:t xml:space="preserve"> </w:t>
      </w:r>
      <w:r w:rsidRPr="00125C26">
        <w:rPr>
          <w:rFonts w:eastAsia="Times New Roman" w:cs="Times New Roman"/>
          <w:lang w:eastAsia="de-DE"/>
        </w:rPr>
        <w:t>betont die Autorität.</w:t>
      </w:r>
    </w:p>
    <w:p w14:paraId="064B371A"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מזרעך</w:t>
      </w:r>
      <w:r w:rsidRPr="00125C26">
        <w:rPr>
          <w:rFonts w:eastAsia="Times New Roman" w:cs="Times New Roman"/>
          <w:rtl/>
          <w:lang w:eastAsia="de-DE"/>
        </w:rPr>
        <w:t xml:space="preserve"> </w:t>
      </w:r>
      <w:r w:rsidRPr="00125C26">
        <w:rPr>
          <w:rFonts w:eastAsia="Times New Roman" w:cs="Times New Roman"/>
          <w:lang w:eastAsia="de-DE"/>
        </w:rPr>
        <w:t xml:space="preserve">zeigt, dass es um die eigenen Kinder geht, nicht fremde. </w:t>
      </w:r>
      <w:r w:rsidRPr="00125C26">
        <w:rPr>
          <w:rFonts w:eastAsia="Times New Roman" w:cs="Times New Roman"/>
          <w:b/>
          <w:bCs/>
          <w:rtl/>
          <w:lang w:eastAsia="de-DE"/>
        </w:rPr>
        <w:t>להעביר למלך</w:t>
      </w:r>
      <w:r w:rsidRPr="00125C26">
        <w:rPr>
          <w:rFonts w:eastAsia="Times New Roman" w:cs="Times New Roman"/>
          <w:rtl/>
          <w:lang w:eastAsia="de-DE"/>
        </w:rPr>
        <w:t xml:space="preserve"> </w:t>
      </w:r>
      <w:r w:rsidRPr="00125C26">
        <w:rPr>
          <w:rFonts w:eastAsia="Times New Roman" w:cs="Times New Roman"/>
          <w:lang w:eastAsia="de-DE"/>
        </w:rPr>
        <w:t xml:space="preserve">als euphemistische Umschreibung für Kinderopfer durch Feuer. </w:t>
      </w:r>
      <w:r w:rsidRPr="00125C26">
        <w:rPr>
          <w:rFonts w:eastAsia="Times New Roman" w:cs="Times New Roman"/>
          <w:b/>
          <w:bCs/>
          <w:rtl/>
          <w:lang w:eastAsia="de-DE"/>
        </w:rPr>
        <w:t>לא תחלל את־שם אלהיך</w:t>
      </w:r>
      <w:r w:rsidRPr="00125C26">
        <w:rPr>
          <w:rFonts w:eastAsia="Times New Roman" w:cs="Times New Roman"/>
          <w:rtl/>
          <w:lang w:eastAsia="de-DE"/>
        </w:rPr>
        <w:t xml:space="preserve"> </w:t>
      </w:r>
      <w:r w:rsidRPr="00125C26">
        <w:rPr>
          <w:rFonts w:eastAsia="Times New Roman" w:cs="Times New Roman"/>
          <w:lang w:eastAsia="de-DE"/>
        </w:rPr>
        <w:t>zeigt, dass Molech-Verehrung JHWHs Ehre verletzt.</w:t>
      </w:r>
    </w:p>
    <w:p w14:paraId="0E8D9413" w14:textId="24D6741F"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interpretiert </w:t>
      </w:r>
      <w:r w:rsidR="00E705C5">
        <w:rPr>
          <w:rtl/>
        </w:rPr>
        <w:t>המלך</w:t>
      </w:r>
      <w:r w:rsidR="00E705C5">
        <w:t xml:space="preserve"> (</w:t>
      </w:r>
      <w:proofErr w:type="spellStart"/>
      <w:r w:rsidR="00E705C5">
        <w:t>hamolech</w:t>
      </w:r>
      <w:proofErr w:type="spellEnd"/>
      <w:r w:rsidR="00E705C5">
        <w:t xml:space="preserve"> - "dem Molech") als </w:t>
      </w:r>
      <w:proofErr w:type="spellStart"/>
      <w:r w:rsidR="00E705C5">
        <w:t>ἄρχοντι</w:t>
      </w:r>
      <w:proofErr w:type="spellEnd"/>
      <w:r w:rsidR="00E705C5">
        <w:t xml:space="preserve"> (dem Herrscher/Fürsten), was die Gottheit entmythologisiert und als politische Autorität darstellt. Das hebräische </w:t>
      </w:r>
      <w:r w:rsidR="00E705C5">
        <w:rPr>
          <w:rtl/>
        </w:rPr>
        <w:t>להעביר</w:t>
      </w:r>
      <w:r w:rsidR="00E705C5">
        <w:t xml:space="preserve"> (</w:t>
      </w:r>
      <w:proofErr w:type="spellStart"/>
      <w:r w:rsidR="00E705C5">
        <w:t>leha'avir</w:t>
      </w:r>
      <w:proofErr w:type="spellEnd"/>
      <w:r w:rsidR="00E705C5">
        <w:t xml:space="preserve"> - "vorübergehen lassen") wird als λα</w:t>
      </w:r>
      <w:proofErr w:type="spellStart"/>
      <w:r w:rsidR="00E705C5">
        <w:t>τρεύειν</w:t>
      </w:r>
      <w:proofErr w:type="spellEnd"/>
      <w:r w:rsidR="00E705C5">
        <w:t xml:space="preserve"> (dienen/anbeten) wiedergegeben.</w:t>
      </w:r>
    </w:p>
    <w:p w14:paraId="68765625"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Kinderopferverbot: eigene Nachkommen + Überlassungsverbot + Molech-Spezifikation + Gottesnamenschutz + göttliche Autorität.</w:t>
      </w:r>
    </w:p>
    <w:p w14:paraId="1ED3C0F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lastRenderedPageBreak/>
        <w:t>Dieser Vers verbietet Molech-Kinderopfer als Entweihung von JHWHs Namen und Ehre.</w:t>
      </w:r>
    </w:p>
    <w:p w14:paraId="3C9E1F9E"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18,22</w:t>
      </w:r>
    </w:p>
    <w:p w14:paraId="192FB51C"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וְאֶת־זָכָר֙ לֹ֣א תִשְׁכַּ֔ב מִשְׁכְּבֵ֖י אִשָּׁ֑ה תּוֹעֵבָ֖ה הִֽוא׃</w:t>
      </w:r>
    </w:p>
    <w:p w14:paraId="5643BC4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Und bei einem Mann sollst du nicht liegen, wie man bei einer Frau liegt: Es ist ein Gräuel.</w:t>
      </w:r>
    </w:p>
    <w:p w14:paraId="7F9BBA99"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7E99D5E9">
          <v:rect id="_x0000_i1552" style="width:0;height:1.5pt" o:hralign="center" o:hrstd="t" o:hr="t" fillcolor="#a0a0a0" stroked="f"/>
        </w:pict>
      </w:r>
    </w:p>
    <w:p w14:paraId="14527D9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ואת־זכר לא תשכב משכבי אשה תועבה הוא</w:t>
      </w:r>
      <w:r w:rsidRPr="00125C26">
        <w:rPr>
          <w:rFonts w:eastAsia="Times New Roman" w:cs="Times New Roman"/>
          <w:rtl/>
          <w:lang w:eastAsia="de-DE"/>
        </w:rPr>
        <w:t xml:space="preserve"> </w:t>
      </w:r>
      <w:r w:rsidRPr="00125C26">
        <w:rPr>
          <w:rFonts w:eastAsia="Times New Roman" w:cs="Times New Roman"/>
          <w:lang w:eastAsia="de-DE"/>
        </w:rPr>
        <w:t xml:space="preserve">verbietet männliche Homosexualität. </w:t>
      </w:r>
      <w:r w:rsidRPr="00125C26">
        <w:rPr>
          <w:rFonts w:eastAsia="Times New Roman" w:cs="Times New Roman"/>
          <w:b/>
          <w:bCs/>
          <w:rtl/>
          <w:lang w:eastAsia="de-DE"/>
        </w:rPr>
        <w:t>ואת־זכר לא תשכב</w:t>
      </w:r>
      <w:r w:rsidRPr="00125C26">
        <w:rPr>
          <w:rFonts w:eastAsia="Times New Roman" w:cs="Times New Roman"/>
          <w:rtl/>
          <w:lang w:eastAsia="de-DE"/>
        </w:rPr>
        <w:t xml:space="preserve"> </w:t>
      </w:r>
      <w:r w:rsidRPr="00125C26">
        <w:rPr>
          <w:rFonts w:eastAsia="Times New Roman" w:cs="Times New Roman"/>
          <w:lang w:eastAsia="de-DE"/>
        </w:rPr>
        <w:t xml:space="preserve">(und bei einem Mann sollst du nicht liegen) - </w:t>
      </w:r>
      <w:r w:rsidRPr="00125C26">
        <w:rPr>
          <w:rFonts w:eastAsia="Times New Roman" w:cs="Times New Roman"/>
          <w:b/>
          <w:bCs/>
          <w:rtl/>
          <w:lang w:eastAsia="de-DE"/>
        </w:rPr>
        <w:t>זכר</w:t>
      </w:r>
      <w:r w:rsidRPr="00125C26">
        <w:rPr>
          <w:rFonts w:eastAsia="Times New Roman" w:cs="Times New Roman"/>
          <w:rtl/>
          <w:lang w:eastAsia="de-DE"/>
        </w:rPr>
        <w:t xml:space="preserve"> </w:t>
      </w:r>
      <w:r w:rsidRPr="00125C26">
        <w:rPr>
          <w:rFonts w:eastAsia="Times New Roman" w:cs="Times New Roman"/>
          <w:lang w:eastAsia="de-DE"/>
        </w:rPr>
        <w:t xml:space="preserve">(Mann/Männchen) betont die Geschlechtszugehörigkeit. </w:t>
      </w:r>
      <w:r w:rsidRPr="00125C26">
        <w:rPr>
          <w:rFonts w:eastAsia="Times New Roman" w:cs="Times New Roman"/>
          <w:b/>
          <w:bCs/>
          <w:rtl/>
          <w:lang w:eastAsia="de-DE"/>
        </w:rPr>
        <w:t>לא תשכב</w:t>
      </w:r>
      <w:r w:rsidRPr="00125C26">
        <w:rPr>
          <w:rFonts w:eastAsia="Times New Roman" w:cs="Times New Roman"/>
          <w:rtl/>
          <w:lang w:eastAsia="de-DE"/>
        </w:rPr>
        <w:t xml:space="preserve"> </w:t>
      </w:r>
      <w:r w:rsidRPr="00125C26">
        <w:rPr>
          <w:rFonts w:eastAsia="Times New Roman" w:cs="Times New Roman"/>
          <w:lang w:eastAsia="de-DE"/>
        </w:rPr>
        <w:t xml:space="preserve">(du sollst nicht liegen) im Qal-Imperfekt mit </w:t>
      </w:r>
      <w:r w:rsidRPr="00125C26">
        <w:rPr>
          <w:rFonts w:eastAsia="Times New Roman" w:cs="Times New Roman"/>
          <w:b/>
          <w:bCs/>
          <w:rtl/>
          <w:lang w:eastAsia="de-DE"/>
        </w:rPr>
        <w:t>שכב</w:t>
      </w:r>
      <w:r w:rsidRPr="00125C26">
        <w:rPr>
          <w:rFonts w:eastAsia="Times New Roman" w:cs="Times New Roman"/>
          <w:rtl/>
          <w:lang w:eastAsia="de-DE"/>
        </w:rPr>
        <w:t xml:space="preserve"> </w:t>
      </w:r>
      <w:r w:rsidRPr="00125C26">
        <w:rPr>
          <w:rFonts w:eastAsia="Times New Roman" w:cs="Times New Roman"/>
          <w:lang w:eastAsia="de-DE"/>
        </w:rPr>
        <w:t>als euphemistische Umschreibung für Geschlechtsverkehr.</w:t>
      </w:r>
    </w:p>
    <w:p w14:paraId="3BA9B798" w14:textId="6E0F0843"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משכבי אשה</w:t>
      </w:r>
      <w:r w:rsidRPr="00125C26">
        <w:rPr>
          <w:rFonts w:eastAsia="Times New Roman" w:cs="Times New Roman"/>
          <w:rtl/>
          <w:lang w:eastAsia="de-DE"/>
        </w:rPr>
        <w:t xml:space="preserve"> </w:t>
      </w:r>
      <w:r w:rsidRPr="00125C26">
        <w:rPr>
          <w:rFonts w:eastAsia="Times New Roman" w:cs="Times New Roman"/>
          <w:lang w:eastAsia="de-DE"/>
        </w:rPr>
        <w:t xml:space="preserve">(wie man bei einer Frau liegt) - </w:t>
      </w:r>
      <w:r w:rsidRPr="00125C26">
        <w:rPr>
          <w:rFonts w:eastAsia="Times New Roman" w:cs="Times New Roman"/>
          <w:b/>
          <w:bCs/>
          <w:rtl/>
          <w:lang w:eastAsia="de-DE"/>
        </w:rPr>
        <w:t>משכבי</w:t>
      </w:r>
      <w:r w:rsidRPr="00125C26">
        <w:rPr>
          <w:rFonts w:eastAsia="Times New Roman" w:cs="Times New Roman"/>
          <w:rtl/>
          <w:lang w:eastAsia="de-DE"/>
        </w:rPr>
        <w:t xml:space="preserve"> </w:t>
      </w:r>
      <w:r w:rsidRPr="00125C26">
        <w:rPr>
          <w:rFonts w:eastAsia="Times New Roman" w:cs="Times New Roman"/>
          <w:lang w:eastAsia="de-DE"/>
        </w:rPr>
        <w:t>(Lager von) als Plural-</w:t>
      </w:r>
      <w:r w:rsidR="005407E2">
        <w:rPr>
          <w:rFonts w:eastAsia="Times New Roman" w:cs="Times New Roman"/>
          <w:lang w:eastAsia="de-DE"/>
        </w:rPr>
        <w:t>Constructus</w:t>
      </w:r>
      <w:r w:rsidRPr="00125C26">
        <w:rPr>
          <w:rFonts w:eastAsia="Times New Roman" w:cs="Times New Roman"/>
          <w:lang w:eastAsia="de-DE"/>
        </w:rPr>
        <w:t xml:space="preserve"> von </w:t>
      </w:r>
      <w:r w:rsidRPr="00125C26">
        <w:rPr>
          <w:rFonts w:eastAsia="Times New Roman" w:cs="Times New Roman"/>
          <w:b/>
          <w:bCs/>
          <w:rtl/>
          <w:lang w:eastAsia="de-DE"/>
        </w:rPr>
        <w:t>משכב</w:t>
      </w:r>
      <w:r w:rsidRPr="00125C26">
        <w:rPr>
          <w:rFonts w:eastAsia="Times New Roman" w:cs="Times New Roman"/>
          <w:rtl/>
          <w:lang w:eastAsia="de-DE"/>
        </w:rPr>
        <w:t xml:space="preserve"> </w:t>
      </w:r>
      <w:r w:rsidRPr="00125C26">
        <w:rPr>
          <w:rFonts w:eastAsia="Times New Roman" w:cs="Times New Roman"/>
          <w:lang w:eastAsia="de-DE"/>
        </w:rPr>
        <w:t>(Lager/Beischlaf). Die Formulierung zeigt den Vergleich: was bei Frauen normal ist, ist bei Männern verboten.</w:t>
      </w:r>
    </w:p>
    <w:p w14:paraId="78F5079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תועבה הוא</w:t>
      </w:r>
      <w:r w:rsidRPr="00125C26">
        <w:rPr>
          <w:rFonts w:eastAsia="Times New Roman" w:cs="Times New Roman"/>
          <w:rtl/>
          <w:lang w:eastAsia="de-DE"/>
        </w:rPr>
        <w:t xml:space="preserve"> </w:t>
      </w:r>
      <w:r w:rsidRPr="00125C26">
        <w:rPr>
          <w:rFonts w:eastAsia="Times New Roman" w:cs="Times New Roman"/>
          <w:lang w:eastAsia="de-DE"/>
        </w:rPr>
        <w:t xml:space="preserve">(es ist ein Gräuel) - </w:t>
      </w:r>
      <w:r w:rsidRPr="00125C26">
        <w:rPr>
          <w:rFonts w:eastAsia="Times New Roman" w:cs="Times New Roman"/>
          <w:b/>
          <w:bCs/>
          <w:rtl/>
          <w:lang w:eastAsia="de-DE"/>
        </w:rPr>
        <w:t>תועבה</w:t>
      </w:r>
      <w:r w:rsidRPr="00125C26">
        <w:rPr>
          <w:rFonts w:eastAsia="Times New Roman" w:cs="Times New Roman"/>
          <w:rtl/>
          <w:lang w:eastAsia="de-DE"/>
        </w:rPr>
        <w:t xml:space="preserve"> </w:t>
      </w:r>
      <w:r w:rsidRPr="00125C26">
        <w:rPr>
          <w:rFonts w:eastAsia="Times New Roman" w:cs="Times New Roman"/>
          <w:lang w:eastAsia="de-DE"/>
        </w:rPr>
        <w:t xml:space="preserve">(Gräuel) als stärkste Verurteilung ritueller oder moralischer Abscheu. </w:t>
      </w:r>
      <w:r w:rsidRPr="00125C26">
        <w:rPr>
          <w:rFonts w:eastAsia="Times New Roman" w:cs="Times New Roman"/>
          <w:b/>
          <w:bCs/>
          <w:rtl/>
          <w:lang w:eastAsia="de-DE"/>
        </w:rPr>
        <w:t>הוא</w:t>
      </w:r>
      <w:r w:rsidRPr="00125C26">
        <w:rPr>
          <w:rFonts w:eastAsia="Times New Roman" w:cs="Times New Roman"/>
          <w:rtl/>
          <w:lang w:eastAsia="de-DE"/>
        </w:rPr>
        <w:t xml:space="preserve"> </w:t>
      </w:r>
      <w:r w:rsidRPr="00125C26">
        <w:rPr>
          <w:rFonts w:eastAsia="Times New Roman" w:cs="Times New Roman"/>
          <w:lang w:eastAsia="de-DE"/>
        </w:rPr>
        <w:t>bezieht sich auf die Handlung.</w:t>
      </w:r>
    </w:p>
    <w:p w14:paraId="6B31806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זכר</w:t>
      </w:r>
      <w:r w:rsidRPr="00125C26">
        <w:rPr>
          <w:rFonts w:eastAsia="Times New Roman" w:cs="Times New Roman"/>
          <w:rtl/>
          <w:lang w:eastAsia="de-DE"/>
        </w:rPr>
        <w:t xml:space="preserve"> </w:t>
      </w:r>
      <w:r w:rsidRPr="00125C26">
        <w:rPr>
          <w:rFonts w:eastAsia="Times New Roman" w:cs="Times New Roman"/>
          <w:lang w:eastAsia="de-DE"/>
        </w:rPr>
        <w:t xml:space="preserve">betont biologisches Geschlecht vs. </w:t>
      </w:r>
      <w:r w:rsidRPr="00125C26">
        <w:rPr>
          <w:rFonts w:eastAsia="Times New Roman" w:cs="Times New Roman"/>
          <w:b/>
          <w:bCs/>
          <w:rtl/>
          <w:lang w:eastAsia="de-DE"/>
        </w:rPr>
        <w:t>איש</w:t>
      </w:r>
      <w:r w:rsidRPr="00125C26">
        <w:rPr>
          <w:rFonts w:eastAsia="Times New Roman" w:cs="Times New Roman"/>
          <w:rtl/>
          <w:lang w:eastAsia="de-DE"/>
        </w:rPr>
        <w:t xml:space="preserve"> </w:t>
      </w:r>
      <w:r w:rsidRPr="00125C26">
        <w:rPr>
          <w:rFonts w:eastAsia="Times New Roman" w:cs="Times New Roman"/>
          <w:lang w:eastAsia="de-DE"/>
        </w:rPr>
        <w:t xml:space="preserve">(Mann) als sozialer Begriff. </w:t>
      </w:r>
      <w:r w:rsidRPr="00125C26">
        <w:rPr>
          <w:rFonts w:eastAsia="Times New Roman" w:cs="Times New Roman"/>
          <w:b/>
          <w:bCs/>
          <w:rtl/>
          <w:lang w:eastAsia="de-DE"/>
        </w:rPr>
        <w:t>משכבי אשה</w:t>
      </w:r>
      <w:r w:rsidRPr="00125C26">
        <w:rPr>
          <w:rFonts w:eastAsia="Times New Roman" w:cs="Times New Roman"/>
          <w:rtl/>
          <w:lang w:eastAsia="de-DE"/>
        </w:rPr>
        <w:t xml:space="preserve"> </w:t>
      </w:r>
      <w:r w:rsidRPr="00125C26">
        <w:rPr>
          <w:rFonts w:eastAsia="Times New Roman" w:cs="Times New Roman"/>
          <w:lang w:eastAsia="de-DE"/>
        </w:rPr>
        <w:t xml:space="preserve">zeigt hetero-normative Vergleichsgrundlage. </w:t>
      </w:r>
      <w:r w:rsidRPr="00125C26">
        <w:rPr>
          <w:rFonts w:eastAsia="Times New Roman" w:cs="Times New Roman"/>
          <w:b/>
          <w:bCs/>
          <w:rtl/>
          <w:lang w:eastAsia="de-DE"/>
        </w:rPr>
        <w:t>תועבה</w:t>
      </w:r>
      <w:r w:rsidRPr="00125C26">
        <w:rPr>
          <w:rFonts w:eastAsia="Times New Roman" w:cs="Times New Roman"/>
          <w:rtl/>
          <w:lang w:eastAsia="de-DE"/>
        </w:rPr>
        <w:t xml:space="preserve"> </w:t>
      </w:r>
      <w:r w:rsidRPr="00125C26">
        <w:rPr>
          <w:rFonts w:eastAsia="Times New Roman" w:cs="Times New Roman"/>
          <w:lang w:eastAsia="de-DE"/>
        </w:rPr>
        <w:t>als schärfste Qualifikation zeigt besondere Schwere dieses Verbots.</w:t>
      </w:r>
    </w:p>
    <w:p w14:paraId="6518BB93" w14:textId="021EECE6"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übersetzt </w:t>
      </w:r>
      <w:r w:rsidR="00E705C5">
        <w:rPr>
          <w:rtl/>
        </w:rPr>
        <w:t>משכבי אשה</w:t>
      </w:r>
      <w:r w:rsidR="00E705C5">
        <w:t xml:space="preserve"> (</w:t>
      </w:r>
      <w:proofErr w:type="spellStart"/>
      <w:r w:rsidR="00E705C5">
        <w:t>mishkevei</w:t>
      </w:r>
      <w:proofErr w:type="spellEnd"/>
      <w:r w:rsidR="00E705C5">
        <w:t xml:space="preserve"> </w:t>
      </w:r>
      <w:proofErr w:type="spellStart"/>
      <w:r w:rsidR="00E705C5">
        <w:t>isha</w:t>
      </w:r>
      <w:proofErr w:type="spellEnd"/>
      <w:r w:rsidR="00E705C5">
        <w:t xml:space="preserve"> - "Beischlaf einer Frau") als </w:t>
      </w:r>
      <w:proofErr w:type="spellStart"/>
      <w:r w:rsidR="00E705C5">
        <w:t>κοίτην</w:t>
      </w:r>
      <w:proofErr w:type="spellEnd"/>
      <w:r w:rsidR="00E705C5">
        <w:t xml:space="preserve"> </w:t>
      </w:r>
      <w:proofErr w:type="spellStart"/>
      <w:r w:rsidR="00E705C5">
        <w:t>γυν</w:t>
      </w:r>
      <w:proofErr w:type="spellEnd"/>
      <w:r w:rsidR="00E705C5">
        <w:t>αικός (Lager einer Frau), was eine euphemistischere Ausdrucksweise verwendet.</w:t>
      </w:r>
    </w:p>
    <w:p w14:paraId="00E0D87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homosexuelles Verbot: männliches Objekt + Verkehrsverbot + heteronormative Vergleichsgrundlage + Gräuelqualifikation.</w:t>
      </w:r>
    </w:p>
    <w:p w14:paraId="4CDDDDF8"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 xml:space="preserve">Dieser Vers verbietet männliche Homosexualität als </w:t>
      </w:r>
      <w:r w:rsidRPr="00125C26">
        <w:rPr>
          <w:rFonts w:eastAsia="Times New Roman" w:cs="Times New Roman"/>
          <w:b/>
          <w:bCs/>
          <w:rtl/>
          <w:lang w:eastAsia="de-DE"/>
        </w:rPr>
        <w:t>תועבה</w:t>
      </w:r>
      <w:r w:rsidRPr="00125C26">
        <w:rPr>
          <w:rFonts w:eastAsia="Times New Roman" w:cs="Times New Roman"/>
          <w:rtl/>
          <w:lang w:eastAsia="de-DE"/>
        </w:rPr>
        <w:t xml:space="preserve"> </w:t>
      </w:r>
      <w:r w:rsidRPr="00125C26">
        <w:rPr>
          <w:rFonts w:eastAsia="Times New Roman" w:cs="Times New Roman"/>
          <w:lang w:eastAsia="de-DE"/>
        </w:rPr>
        <w:t>(Gräuel) durch Vergleich mit normativem heterosexuellem Verkehr.</w:t>
      </w:r>
    </w:p>
    <w:p w14:paraId="76995386"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18,23</w:t>
      </w:r>
    </w:p>
    <w:p w14:paraId="73263E9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וּבְכָל־בְּהֵמָה֙ לֹא־תִתֵּ֣ן שְׁכָבְתְּךָ֔ לְטָמְאָה־בָ֖הּ וְאִשָּׁ֗ה לֹֽא־תַעֲמֹ֞ד לִפְנֵ֤י בְהֵמָה֙ לְרִבְעָ֔הּ תֶּ֖בֶל הִֽוא׃</w:t>
      </w:r>
    </w:p>
    <w:p w14:paraId="1D3B9A3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Und bei keinem Tier sollst du liegen, um dich dadurch zu verunreinigen; und eine Frau soll sich nicht vor ein Tier hinstellen, um sich von ihm begatten zu lassen: Es ist eine schändliche Befleckung.</w:t>
      </w:r>
    </w:p>
    <w:p w14:paraId="12972F55"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6EB04494">
          <v:rect id="_x0000_i1553" style="width:0;height:1.5pt" o:hralign="center" o:hrstd="t" o:hr="t" fillcolor="#a0a0a0" stroked="f"/>
        </w:pict>
      </w:r>
    </w:p>
    <w:p w14:paraId="4CFF8813"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ובכל־בהמה לא־תתן שכבתך לטמאה־בה ואשה לא־תעמד לפני בהמה לרבעה תבל הוא</w:t>
      </w:r>
      <w:r w:rsidRPr="00125C26">
        <w:rPr>
          <w:rFonts w:eastAsia="Times New Roman" w:cs="Times New Roman"/>
          <w:rtl/>
          <w:lang w:eastAsia="de-DE"/>
        </w:rPr>
        <w:t xml:space="preserve"> </w:t>
      </w:r>
      <w:r w:rsidRPr="00125C26">
        <w:rPr>
          <w:rFonts w:eastAsia="Times New Roman" w:cs="Times New Roman"/>
          <w:lang w:eastAsia="de-DE"/>
        </w:rPr>
        <w:t xml:space="preserve">verbietet Zoophilie für beide Geschlechter. </w:t>
      </w:r>
      <w:r w:rsidRPr="00125C26">
        <w:rPr>
          <w:rFonts w:eastAsia="Times New Roman" w:cs="Times New Roman"/>
          <w:b/>
          <w:bCs/>
          <w:rtl/>
          <w:lang w:eastAsia="de-DE"/>
        </w:rPr>
        <w:t>ובכל־בהמה לא־תתן שכבתך לטמאה־בה</w:t>
      </w:r>
      <w:r w:rsidRPr="00125C26">
        <w:rPr>
          <w:rFonts w:eastAsia="Times New Roman" w:cs="Times New Roman"/>
          <w:rtl/>
          <w:lang w:eastAsia="de-DE"/>
        </w:rPr>
        <w:t xml:space="preserve"> </w:t>
      </w:r>
      <w:r w:rsidRPr="00125C26">
        <w:rPr>
          <w:rFonts w:eastAsia="Times New Roman" w:cs="Times New Roman"/>
          <w:lang w:eastAsia="de-DE"/>
        </w:rPr>
        <w:t xml:space="preserve">(und bei keinem Tier sollst du liegen, um dich dadurch zu verunreinigen) - </w:t>
      </w:r>
      <w:r w:rsidRPr="00125C26">
        <w:rPr>
          <w:rFonts w:eastAsia="Times New Roman" w:cs="Times New Roman"/>
          <w:b/>
          <w:bCs/>
          <w:rtl/>
          <w:lang w:eastAsia="de-DE"/>
        </w:rPr>
        <w:t>בכל־בהמה</w:t>
      </w:r>
      <w:r w:rsidRPr="00125C26">
        <w:rPr>
          <w:rFonts w:eastAsia="Times New Roman" w:cs="Times New Roman"/>
          <w:rtl/>
          <w:lang w:eastAsia="de-DE"/>
        </w:rPr>
        <w:t xml:space="preserve"> </w:t>
      </w:r>
      <w:r w:rsidRPr="00125C26">
        <w:rPr>
          <w:rFonts w:eastAsia="Times New Roman" w:cs="Times New Roman"/>
          <w:lang w:eastAsia="de-DE"/>
        </w:rPr>
        <w:t xml:space="preserve">(bei keinem Tier) </w:t>
      </w:r>
      <w:r w:rsidRPr="00125C26">
        <w:rPr>
          <w:rFonts w:eastAsia="Times New Roman" w:cs="Times New Roman"/>
          <w:lang w:eastAsia="de-DE"/>
        </w:rPr>
        <w:lastRenderedPageBreak/>
        <w:t xml:space="preserve">zeigt universelles Tierverbot. </w:t>
      </w:r>
      <w:r w:rsidRPr="00125C26">
        <w:rPr>
          <w:rFonts w:eastAsia="Times New Roman" w:cs="Times New Roman"/>
          <w:b/>
          <w:bCs/>
          <w:rtl/>
          <w:lang w:eastAsia="de-DE"/>
        </w:rPr>
        <w:t>לא־תתן שכבתך</w:t>
      </w:r>
      <w:r w:rsidRPr="00125C26">
        <w:rPr>
          <w:rFonts w:eastAsia="Times New Roman" w:cs="Times New Roman"/>
          <w:rtl/>
          <w:lang w:eastAsia="de-DE"/>
        </w:rPr>
        <w:t xml:space="preserve"> </w:t>
      </w:r>
      <w:r w:rsidRPr="00125C26">
        <w:rPr>
          <w:rFonts w:eastAsia="Times New Roman" w:cs="Times New Roman"/>
          <w:lang w:eastAsia="de-DE"/>
        </w:rPr>
        <w:t xml:space="preserve">entspricht V. 20 mit euphemistischer Samenformel. </w:t>
      </w:r>
      <w:r w:rsidRPr="00125C26">
        <w:rPr>
          <w:rFonts w:eastAsia="Times New Roman" w:cs="Times New Roman"/>
          <w:b/>
          <w:bCs/>
          <w:rtl/>
          <w:lang w:eastAsia="de-DE"/>
        </w:rPr>
        <w:t>לטמאה־בה</w:t>
      </w:r>
      <w:r w:rsidRPr="00125C26">
        <w:rPr>
          <w:rFonts w:eastAsia="Times New Roman" w:cs="Times New Roman"/>
          <w:rtl/>
          <w:lang w:eastAsia="de-DE"/>
        </w:rPr>
        <w:t xml:space="preserve"> </w:t>
      </w:r>
      <w:r w:rsidRPr="00125C26">
        <w:rPr>
          <w:rFonts w:eastAsia="Times New Roman" w:cs="Times New Roman"/>
          <w:lang w:eastAsia="de-DE"/>
        </w:rPr>
        <w:t>(um dich dadurch zu verunreinigen) zeigt die Unreinheitsfolge.</w:t>
      </w:r>
    </w:p>
    <w:p w14:paraId="02142396"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ואשה לא־תעמד לפני בהמה לרבעה תבל הוא</w:t>
      </w:r>
      <w:r w:rsidRPr="00125C26">
        <w:rPr>
          <w:rFonts w:eastAsia="Times New Roman" w:cs="Times New Roman"/>
          <w:rtl/>
          <w:lang w:eastAsia="de-DE"/>
        </w:rPr>
        <w:t xml:space="preserve"> </w:t>
      </w:r>
      <w:r w:rsidRPr="00125C26">
        <w:rPr>
          <w:rFonts w:eastAsia="Times New Roman" w:cs="Times New Roman"/>
          <w:lang w:eastAsia="de-DE"/>
        </w:rPr>
        <w:t xml:space="preserve">(und eine Frau soll sich nicht vor ein Tier hinstellen, um sich von ihm begatten zu lassen: Es ist eine schändliche Befleckung) - </w:t>
      </w:r>
      <w:r w:rsidRPr="00125C26">
        <w:rPr>
          <w:rFonts w:eastAsia="Times New Roman" w:cs="Times New Roman"/>
          <w:b/>
          <w:bCs/>
          <w:rtl/>
          <w:lang w:eastAsia="de-DE"/>
        </w:rPr>
        <w:t>לא־תעמד לפני בהמה</w:t>
      </w:r>
      <w:r w:rsidRPr="00125C26">
        <w:rPr>
          <w:rFonts w:eastAsia="Times New Roman" w:cs="Times New Roman"/>
          <w:rtl/>
          <w:lang w:eastAsia="de-DE"/>
        </w:rPr>
        <w:t xml:space="preserve"> </w:t>
      </w:r>
      <w:r w:rsidRPr="00125C26">
        <w:rPr>
          <w:rFonts w:eastAsia="Times New Roman" w:cs="Times New Roman"/>
          <w:lang w:eastAsia="de-DE"/>
        </w:rPr>
        <w:t xml:space="preserve">(soll sich nicht vor ein Tier hinstellen) zeigt die weibliche Variante. </w:t>
      </w:r>
      <w:r w:rsidRPr="00125C26">
        <w:rPr>
          <w:rFonts w:eastAsia="Times New Roman" w:cs="Times New Roman"/>
          <w:b/>
          <w:bCs/>
          <w:rtl/>
          <w:lang w:eastAsia="de-DE"/>
        </w:rPr>
        <w:t>לרבעה</w:t>
      </w:r>
      <w:r w:rsidRPr="00125C26">
        <w:rPr>
          <w:rFonts w:eastAsia="Times New Roman" w:cs="Times New Roman"/>
          <w:rtl/>
          <w:lang w:eastAsia="de-DE"/>
        </w:rPr>
        <w:t xml:space="preserve"> </w:t>
      </w:r>
      <w:r w:rsidRPr="00125C26">
        <w:rPr>
          <w:rFonts w:eastAsia="Times New Roman" w:cs="Times New Roman"/>
          <w:lang w:eastAsia="de-DE"/>
        </w:rPr>
        <w:t xml:space="preserve">(um sich begatten zu lassen) - </w:t>
      </w:r>
      <w:r w:rsidRPr="00125C26">
        <w:rPr>
          <w:rFonts w:eastAsia="Times New Roman" w:cs="Times New Roman"/>
          <w:b/>
          <w:bCs/>
          <w:rtl/>
          <w:lang w:eastAsia="de-DE"/>
        </w:rPr>
        <w:t>לרבע</w:t>
      </w:r>
      <w:r w:rsidRPr="00125C26">
        <w:rPr>
          <w:rFonts w:eastAsia="Times New Roman" w:cs="Times New Roman"/>
          <w:rtl/>
          <w:lang w:eastAsia="de-DE"/>
        </w:rPr>
        <w:t xml:space="preserve"> </w:t>
      </w:r>
      <w:r w:rsidRPr="00125C26">
        <w:rPr>
          <w:rFonts w:eastAsia="Times New Roman" w:cs="Times New Roman"/>
          <w:lang w:eastAsia="de-DE"/>
        </w:rPr>
        <w:t xml:space="preserve">(begatten) als technischer Begriff für tierische Paarung. </w:t>
      </w:r>
      <w:r w:rsidRPr="00125C26">
        <w:rPr>
          <w:rFonts w:eastAsia="Times New Roman" w:cs="Times New Roman"/>
          <w:b/>
          <w:bCs/>
          <w:rtl/>
          <w:lang w:eastAsia="de-DE"/>
        </w:rPr>
        <w:t>תבל הוא</w:t>
      </w:r>
      <w:r w:rsidRPr="00125C26">
        <w:rPr>
          <w:rFonts w:eastAsia="Times New Roman" w:cs="Times New Roman"/>
          <w:rtl/>
          <w:lang w:eastAsia="de-DE"/>
        </w:rPr>
        <w:t xml:space="preserve"> </w:t>
      </w:r>
      <w:r w:rsidRPr="00125C26">
        <w:rPr>
          <w:rFonts w:eastAsia="Times New Roman" w:cs="Times New Roman"/>
          <w:lang w:eastAsia="de-DE"/>
        </w:rPr>
        <w:t xml:space="preserve">(es ist eine schändliche Befleckung) - </w:t>
      </w:r>
      <w:r w:rsidRPr="00125C26">
        <w:rPr>
          <w:rFonts w:eastAsia="Times New Roman" w:cs="Times New Roman"/>
          <w:b/>
          <w:bCs/>
          <w:rtl/>
          <w:lang w:eastAsia="de-DE"/>
        </w:rPr>
        <w:t>תבל</w:t>
      </w:r>
      <w:r w:rsidRPr="00125C26">
        <w:rPr>
          <w:rFonts w:eastAsia="Times New Roman" w:cs="Times New Roman"/>
          <w:rtl/>
          <w:lang w:eastAsia="de-DE"/>
        </w:rPr>
        <w:t xml:space="preserve"> </w:t>
      </w:r>
      <w:r w:rsidRPr="00125C26">
        <w:rPr>
          <w:rFonts w:eastAsia="Times New Roman" w:cs="Times New Roman"/>
          <w:lang w:eastAsia="de-DE"/>
        </w:rPr>
        <w:t>(schändliche Befleckung) als spezifische Bezeichnung für widernatürliche Vermischung.</w:t>
      </w:r>
    </w:p>
    <w:p w14:paraId="59A5ED6F"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בכל־בהמה</w:t>
      </w:r>
      <w:r w:rsidRPr="00125C26">
        <w:rPr>
          <w:rFonts w:eastAsia="Times New Roman" w:cs="Times New Roman"/>
          <w:rtl/>
          <w:lang w:eastAsia="de-DE"/>
        </w:rPr>
        <w:t xml:space="preserve"> </w:t>
      </w:r>
      <w:r w:rsidRPr="00125C26">
        <w:rPr>
          <w:rFonts w:eastAsia="Times New Roman" w:cs="Times New Roman"/>
          <w:lang w:eastAsia="de-DE"/>
        </w:rPr>
        <w:t xml:space="preserve">zeigt universelle Anwendung auf alle Tierarten. </w:t>
      </w:r>
      <w:r w:rsidRPr="00125C26">
        <w:rPr>
          <w:rFonts w:eastAsia="Times New Roman" w:cs="Times New Roman"/>
          <w:b/>
          <w:bCs/>
          <w:rtl/>
          <w:lang w:eastAsia="de-DE"/>
        </w:rPr>
        <w:t>תעמד לפני</w:t>
      </w:r>
      <w:r w:rsidRPr="00125C26">
        <w:rPr>
          <w:rFonts w:eastAsia="Times New Roman" w:cs="Times New Roman"/>
          <w:rtl/>
          <w:lang w:eastAsia="de-DE"/>
        </w:rPr>
        <w:t xml:space="preserve"> </w:t>
      </w:r>
      <w:r w:rsidRPr="00125C26">
        <w:rPr>
          <w:rFonts w:eastAsia="Times New Roman" w:cs="Times New Roman"/>
          <w:lang w:eastAsia="de-DE"/>
        </w:rPr>
        <w:t xml:space="preserve">zeigt die empfangende Position der Frau. </w:t>
      </w:r>
      <w:r w:rsidRPr="00125C26">
        <w:rPr>
          <w:rFonts w:eastAsia="Times New Roman" w:cs="Times New Roman"/>
          <w:b/>
          <w:bCs/>
          <w:rtl/>
          <w:lang w:eastAsia="de-DE"/>
        </w:rPr>
        <w:t>תבל</w:t>
      </w:r>
      <w:r w:rsidRPr="00125C26">
        <w:rPr>
          <w:rFonts w:eastAsia="Times New Roman" w:cs="Times New Roman"/>
          <w:rtl/>
          <w:lang w:eastAsia="de-DE"/>
        </w:rPr>
        <w:t xml:space="preserve"> </w:t>
      </w:r>
      <w:r w:rsidRPr="00125C26">
        <w:rPr>
          <w:rFonts w:eastAsia="Times New Roman" w:cs="Times New Roman"/>
          <w:lang w:eastAsia="de-DE"/>
        </w:rPr>
        <w:t xml:space="preserve">als Begriff für kosmische Ordnungsverwirrung, stärker als </w:t>
      </w:r>
      <w:r w:rsidRPr="00125C26">
        <w:rPr>
          <w:rFonts w:eastAsia="Times New Roman" w:cs="Times New Roman"/>
          <w:b/>
          <w:bCs/>
          <w:rtl/>
          <w:lang w:eastAsia="de-DE"/>
        </w:rPr>
        <w:t>תועבה</w:t>
      </w:r>
      <w:r w:rsidRPr="00125C26">
        <w:rPr>
          <w:rFonts w:eastAsia="Times New Roman" w:cs="Times New Roman"/>
          <w:lang w:eastAsia="de-DE"/>
        </w:rPr>
        <w:t>.</w:t>
      </w:r>
    </w:p>
    <w:p w14:paraId="4D92A127" w14:textId="69734B2D"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übersetzt </w:t>
      </w:r>
      <w:r w:rsidR="00E705C5">
        <w:rPr>
          <w:rtl/>
        </w:rPr>
        <w:t>בהמה</w:t>
      </w:r>
      <w:r w:rsidR="00E705C5">
        <w:t xml:space="preserve"> (</w:t>
      </w:r>
      <w:proofErr w:type="spellStart"/>
      <w:r w:rsidR="00E705C5">
        <w:t>behema</w:t>
      </w:r>
      <w:proofErr w:type="spellEnd"/>
      <w:r w:rsidR="00E705C5">
        <w:t xml:space="preserve"> - "Vieh") als </w:t>
      </w:r>
      <w:proofErr w:type="spellStart"/>
      <w:r w:rsidR="00E705C5">
        <w:t>τετρά</w:t>
      </w:r>
      <w:proofErr w:type="spellEnd"/>
      <w:r w:rsidR="00E705C5">
        <w:t xml:space="preserve">πουν (Vierfüßler) und </w:t>
      </w:r>
      <w:r w:rsidR="00E705C5">
        <w:rPr>
          <w:rtl/>
        </w:rPr>
        <w:t>תבל</w:t>
      </w:r>
      <w:r w:rsidR="00E705C5">
        <w:t xml:space="preserve"> (</w:t>
      </w:r>
      <w:proofErr w:type="spellStart"/>
      <w:r w:rsidR="00E705C5">
        <w:t>tevel</w:t>
      </w:r>
      <w:proofErr w:type="spellEnd"/>
      <w:r w:rsidR="00E705C5">
        <w:t xml:space="preserve"> - "Verworfenheit") als </w:t>
      </w:r>
      <w:proofErr w:type="spellStart"/>
      <w:r w:rsidR="00E705C5">
        <w:t>μυσερόν</w:t>
      </w:r>
      <w:proofErr w:type="spellEnd"/>
      <w:r w:rsidR="00E705C5">
        <w:t xml:space="preserve"> (Abscheulichkeit), was griechische moralische Terminologie verwendet.</w:t>
      </w:r>
    </w:p>
    <w:p w14:paraId="0D3D403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doppeltes Zoophilie-Verbot: männliche Variante mit Unreinheitsfolge + weibliche Variante mit Ordnungsverwirrung + schärfste Verurteilung.</w:t>
      </w:r>
    </w:p>
    <w:p w14:paraId="01D653A8"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verbietet Zoophilie für beide Geschlechter als Unreinheit und kosmische Ordnungsverwirrung.</w:t>
      </w:r>
    </w:p>
    <w:p w14:paraId="1654124D"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18,24</w:t>
      </w:r>
    </w:p>
    <w:p w14:paraId="324EC54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אַל־תִּֽטַּמְּא֖וּ בְּכָל־אֵ֑לֶּה כִּ֤י בְכָל־אֵ֨לֶּה֙ נִטְמְא֣וּ הַגּוֹיִ֔ם אֲשֶׁר־אֲנִ֥י מְשַׁלֵּ֖חַ מִפְּנֵיכֶֽם׃</w:t>
      </w:r>
    </w:p>
    <w:p w14:paraId="12F31335"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Verunreinigt euch nicht durch all dieses, denn durch all dieses haben sich die Nationen verunreinigt, die ich vor euch vertreibe.</w:t>
      </w:r>
    </w:p>
    <w:p w14:paraId="123486A3"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7B43C232">
          <v:rect id="_x0000_i1554" style="width:0;height:1.5pt" o:hralign="center" o:hrstd="t" o:hr="t" fillcolor="#a0a0a0" stroked="f"/>
        </w:pict>
      </w:r>
    </w:p>
    <w:p w14:paraId="041DDF6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אל־תטמאו בכל־אלה כי בכל־אלה נטמאו הגוים אשר־אני משלח מפניכם</w:t>
      </w:r>
      <w:r w:rsidRPr="00125C26">
        <w:rPr>
          <w:rFonts w:eastAsia="Times New Roman" w:cs="Times New Roman"/>
          <w:rtl/>
          <w:lang w:eastAsia="de-DE"/>
        </w:rPr>
        <w:t xml:space="preserve"> </w:t>
      </w:r>
      <w:r w:rsidRPr="00125C26">
        <w:rPr>
          <w:rFonts w:eastAsia="Times New Roman" w:cs="Times New Roman"/>
          <w:lang w:eastAsia="de-DE"/>
        </w:rPr>
        <w:t xml:space="preserve">zeigt die Begründung der Verbote durch heidnische Praktiken. </w:t>
      </w:r>
      <w:r w:rsidRPr="00125C26">
        <w:rPr>
          <w:rFonts w:eastAsia="Times New Roman" w:cs="Times New Roman"/>
          <w:b/>
          <w:bCs/>
          <w:rtl/>
          <w:lang w:eastAsia="de-DE"/>
        </w:rPr>
        <w:t>אל־תטמאו בכל־אלה</w:t>
      </w:r>
      <w:r w:rsidRPr="00125C26">
        <w:rPr>
          <w:rFonts w:eastAsia="Times New Roman" w:cs="Times New Roman"/>
          <w:rtl/>
          <w:lang w:eastAsia="de-DE"/>
        </w:rPr>
        <w:t xml:space="preserve"> </w:t>
      </w:r>
      <w:r w:rsidRPr="00125C26">
        <w:rPr>
          <w:rFonts w:eastAsia="Times New Roman" w:cs="Times New Roman"/>
          <w:lang w:eastAsia="de-DE"/>
        </w:rPr>
        <w:t xml:space="preserve">(verunreinigt euch nicht durch all dieses) - </w:t>
      </w:r>
      <w:r w:rsidRPr="00125C26">
        <w:rPr>
          <w:rFonts w:eastAsia="Times New Roman" w:cs="Times New Roman"/>
          <w:b/>
          <w:bCs/>
          <w:rtl/>
          <w:lang w:eastAsia="de-DE"/>
        </w:rPr>
        <w:t>אל־תטמאו</w:t>
      </w:r>
      <w:r w:rsidRPr="00125C26">
        <w:rPr>
          <w:rFonts w:eastAsia="Times New Roman" w:cs="Times New Roman"/>
          <w:rtl/>
          <w:lang w:eastAsia="de-DE"/>
        </w:rPr>
        <w:t xml:space="preserve"> </w:t>
      </w:r>
      <w:r w:rsidRPr="00125C26">
        <w:rPr>
          <w:rFonts w:eastAsia="Times New Roman" w:cs="Times New Roman"/>
          <w:lang w:eastAsia="de-DE"/>
        </w:rPr>
        <w:t xml:space="preserve">(verunreinigt euch nicht) im Nifal-Imperfekt mit Negation, das Nifal zeigt reflexive Verunreinigung. </w:t>
      </w:r>
      <w:r w:rsidRPr="00125C26">
        <w:rPr>
          <w:rFonts w:eastAsia="Times New Roman" w:cs="Times New Roman"/>
          <w:b/>
          <w:bCs/>
          <w:rtl/>
          <w:lang w:eastAsia="de-DE"/>
        </w:rPr>
        <w:t>בכל־אלה</w:t>
      </w:r>
      <w:r w:rsidRPr="00125C26">
        <w:rPr>
          <w:rFonts w:eastAsia="Times New Roman" w:cs="Times New Roman"/>
          <w:rtl/>
          <w:lang w:eastAsia="de-DE"/>
        </w:rPr>
        <w:t xml:space="preserve"> </w:t>
      </w:r>
      <w:r w:rsidRPr="00125C26">
        <w:rPr>
          <w:rFonts w:eastAsia="Times New Roman" w:cs="Times New Roman"/>
          <w:lang w:eastAsia="de-DE"/>
        </w:rPr>
        <w:t>(durch all dieses) fasst alle vorherigen Verbote zusammen.</w:t>
      </w:r>
    </w:p>
    <w:p w14:paraId="09103123"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כי בכל־אלה נטמאו הגוים אשר־אני משלח מפניכם</w:t>
      </w:r>
      <w:r w:rsidRPr="00125C26">
        <w:rPr>
          <w:rFonts w:eastAsia="Times New Roman" w:cs="Times New Roman"/>
          <w:rtl/>
          <w:lang w:eastAsia="de-DE"/>
        </w:rPr>
        <w:t xml:space="preserve"> </w:t>
      </w:r>
      <w:r w:rsidRPr="00125C26">
        <w:rPr>
          <w:rFonts w:eastAsia="Times New Roman" w:cs="Times New Roman"/>
          <w:lang w:eastAsia="de-DE"/>
        </w:rPr>
        <w:t xml:space="preserve">(denn durch all dieses haben sich die Nationen verunreinigt, die ich vor euch vertreibe) - </w:t>
      </w:r>
      <w:r w:rsidRPr="00125C26">
        <w:rPr>
          <w:rFonts w:eastAsia="Times New Roman" w:cs="Times New Roman"/>
          <w:b/>
          <w:bCs/>
          <w:rtl/>
          <w:lang w:eastAsia="de-DE"/>
        </w:rPr>
        <w:t>נטמאו</w:t>
      </w:r>
      <w:r w:rsidRPr="00125C26">
        <w:rPr>
          <w:rFonts w:eastAsia="Times New Roman" w:cs="Times New Roman"/>
          <w:rtl/>
          <w:lang w:eastAsia="de-DE"/>
        </w:rPr>
        <w:t xml:space="preserve"> </w:t>
      </w:r>
      <w:r w:rsidRPr="00125C26">
        <w:rPr>
          <w:rFonts w:eastAsia="Times New Roman" w:cs="Times New Roman"/>
          <w:lang w:eastAsia="de-DE"/>
        </w:rPr>
        <w:t xml:space="preserve">(haben sich verunreinigt) im Nifal-Perfekt zeigt vollendete Verunreinigung der Heiden. </w:t>
      </w:r>
      <w:r w:rsidRPr="00125C26">
        <w:rPr>
          <w:rFonts w:eastAsia="Times New Roman" w:cs="Times New Roman"/>
          <w:b/>
          <w:bCs/>
          <w:rtl/>
          <w:lang w:eastAsia="de-DE"/>
        </w:rPr>
        <w:t>הגוים</w:t>
      </w:r>
      <w:r w:rsidRPr="00125C26">
        <w:rPr>
          <w:rFonts w:eastAsia="Times New Roman" w:cs="Times New Roman"/>
          <w:rtl/>
          <w:lang w:eastAsia="de-DE"/>
        </w:rPr>
        <w:t xml:space="preserve"> </w:t>
      </w:r>
      <w:r w:rsidRPr="00125C26">
        <w:rPr>
          <w:rFonts w:eastAsia="Times New Roman" w:cs="Times New Roman"/>
          <w:lang w:eastAsia="de-DE"/>
        </w:rPr>
        <w:t xml:space="preserve">(die Nationen) als Kollektivbezeichnung für die Kanaanäer. </w:t>
      </w:r>
      <w:r w:rsidRPr="00125C26">
        <w:rPr>
          <w:rFonts w:eastAsia="Times New Roman" w:cs="Times New Roman"/>
          <w:b/>
          <w:bCs/>
          <w:rtl/>
          <w:lang w:eastAsia="de-DE"/>
        </w:rPr>
        <w:t>אשר־אני משלח מפניכם</w:t>
      </w:r>
      <w:r w:rsidRPr="00125C26">
        <w:rPr>
          <w:rFonts w:eastAsia="Times New Roman" w:cs="Times New Roman"/>
          <w:rtl/>
          <w:lang w:eastAsia="de-DE"/>
        </w:rPr>
        <w:t xml:space="preserve"> </w:t>
      </w:r>
      <w:r w:rsidRPr="00125C26">
        <w:rPr>
          <w:rFonts w:eastAsia="Times New Roman" w:cs="Times New Roman"/>
          <w:lang w:eastAsia="de-DE"/>
        </w:rPr>
        <w:t xml:space="preserve">(die ich vor euch vertreibe) - </w:t>
      </w:r>
      <w:r w:rsidRPr="00125C26">
        <w:rPr>
          <w:rFonts w:eastAsia="Times New Roman" w:cs="Times New Roman"/>
          <w:b/>
          <w:bCs/>
          <w:rtl/>
          <w:lang w:eastAsia="de-DE"/>
        </w:rPr>
        <w:t>משלח</w:t>
      </w:r>
      <w:r w:rsidRPr="00125C26">
        <w:rPr>
          <w:rFonts w:eastAsia="Times New Roman" w:cs="Times New Roman"/>
          <w:rtl/>
          <w:lang w:eastAsia="de-DE"/>
        </w:rPr>
        <w:t xml:space="preserve"> </w:t>
      </w:r>
      <w:r w:rsidRPr="00125C26">
        <w:rPr>
          <w:rFonts w:eastAsia="Times New Roman" w:cs="Times New Roman"/>
          <w:lang w:eastAsia="de-DE"/>
        </w:rPr>
        <w:t>(vertreibe) im Piel-Partizip, das Piel zeigt intensive Vertreibung.</w:t>
      </w:r>
    </w:p>
    <w:p w14:paraId="4D39C07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תטמאו</w:t>
      </w:r>
      <w:r w:rsidRPr="00125C26">
        <w:rPr>
          <w:rFonts w:eastAsia="Times New Roman" w:cs="Times New Roman"/>
          <w:rtl/>
          <w:lang w:eastAsia="de-DE"/>
        </w:rPr>
        <w:t xml:space="preserve"> </w:t>
      </w:r>
      <w:r w:rsidRPr="00125C26">
        <w:rPr>
          <w:rFonts w:eastAsia="Times New Roman" w:cs="Times New Roman"/>
          <w:lang w:eastAsia="de-DE"/>
        </w:rPr>
        <w:t xml:space="preserve">vs. </w:t>
      </w:r>
      <w:r w:rsidRPr="00125C26">
        <w:rPr>
          <w:rFonts w:eastAsia="Times New Roman" w:cs="Times New Roman"/>
          <w:b/>
          <w:bCs/>
          <w:rtl/>
          <w:lang w:eastAsia="de-DE"/>
        </w:rPr>
        <w:t>נטמאו</w:t>
      </w:r>
      <w:r w:rsidRPr="00125C26">
        <w:rPr>
          <w:rFonts w:eastAsia="Times New Roman" w:cs="Times New Roman"/>
          <w:rtl/>
          <w:lang w:eastAsia="de-DE"/>
        </w:rPr>
        <w:t xml:space="preserve"> </w:t>
      </w:r>
      <w:r w:rsidRPr="00125C26">
        <w:rPr>
          <w:rFonts w:eastAsia="Times New Roman" w:cs="Times New Roman"/>
          <w:lang w:eastAsia="de-DE"/>
        </w:rPr>
        <w:t xml:space="preserve">zeigt Imperativ vs. Perfekt: Israel soll sich nicht so verunreinigen wie die Heiden es getan haben. </w:t>
      </w:r>
      <w:r w:rsidRPr="00125C26">
        <w:rPr>
          <w:rFonts w:eastAsia="Times New Roman" w:cs="Times New Roman"/>
          <w:b/>
          <w:bCs/>
          <w:rtl/>
          <w:lang w:eastAsia="de-DE"/>
        </w:rPr>
        <w:t>הגוים</w:t>
      </w:r>
      <w:r w:rsidRPr="00125C26">
        <w:rPr>
          <w:rFonts w:eastAsia="Times New Roman" w:cs="Times New Roman"/>
          <w:rtl/>
          <w:lang w:eastAsia="de-DE"/>
        </w:rPr>
        <w:t xml:space="preserve"> </w:t>
      </w:r>
      <w:r w:rsidRPr="00125C26">
        <w:rPr>
          <w:rFonts w:eastAsia="Times New Roman" w:cs="Times New Roman"/>
          <w:lang w:eastAsia="de-DE"/>
        </w:rPr>
        <w:t xml:space="preserve">zeigt, dass diese Praktiken heidnischen Ursprungs sind. </w:t>
      </w:r>
      <w:r w:rsidRPr="00125C26">
        <w:rPr>
          <w:rFonts w:eastAsia="Times New Roman" w:cs="Times New Roman"/>
          <w:b/>
          <w:bCs/>
          <w:rtl/>
          <w:lang w:eastAsia="de-DE"/>
        </w:rPr>
        <w:t>משלח מפניכם</w:t>
      </w:r>
      <w:r w:rsidRPr="00125C26">
        <w:rPr>
          <w:rFonts w:eastAsia="Times New Roman" w:cs="Times New Roman"/>
          <w:rtl/>
          <w:lang w:eastAsia="de-DE"/>
        </w:rPr>
        <w:t xml:space="preserve"> </w:t>
      </w:r>
      <w:r w:rsidRPr="00125C26">
        <w:rPr>
          <w:rFonts w:eastAsia="Times New Roman" w:cs="Times New Roman"/>
          <w:lang w:eastAsia="de-DE"/>
        </w:rPr>
        <w:t>zeigt göttliche Vertreibung als Strafe für diese Sünden.</w:t>
      </w:r>
    </w:p>
    <w:p w14:paraId="3B996A46"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lastRenderedPageBreak/>
        <w:t>Die LXX</w:t>
      </w:r>
      <w:r w:rsidRPr="00125C26">
        <w:rPr>
          <w:rFonts w:eastAsia="Times New Roman" w:cs="Times New Roman"/>
          <w:lang w:eastAsia="de-DE"/>
        </w:rPr>
        <w:t xml:space="preserve"> übersetzt </w:t>
      </w:r>
      <w:r w:rsidRPr="00125C26">
        <w:rPr>
          <w:rFonts w:eastAsia="Times New Roman" w:cs="Times New Roman"/>
          <w:b/>
          <w:bCs/>
          <w:rtl/>
          <w:lang w:eastAsia="de-DE"/>
        </w:rPr>
        <w:t>תטמאו</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μι</w:t>
      </w:r>
      <w:proofErr w:type="spellEnd"/>
      <w:r w:rsidRPr="00125C26">
        <w:rPr>
          <w:rFonts w:eastAsia="Times New Roman" w:cs="Times New Roman"/>
          <w:lang w:eastAsia="de-DE"/>
        </w:rPr>
        <w:t xml:space="preserve">ανθῆτε (werdet befleckt), </w:t>
      </w:r>
      <w:r w:rsidRPr="00125C26">
        <w:rPr>
          <w:rFonts w:eastAsia="Times New Roman" w:cs="Times New Roman"/>
          <w:b/>
          <w:bCs/>
          <w:rtl/>
          <w:lang w:eastAsia="de-DE"/>
        </w:rPr>
        <w:t>נטמאו</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ἐμιάνθησ</w:t>
      </w:r>
      <w:proofErr w:type="spellEnd"/>
      <w:r w:rsidRPr="00125C26">
        <w:rPr>
          <w:rFonts w:eastAsia="Times New Roman" w:cs="Times New Roman"/>
          <w:lang w:eastAsia="de-DE"/>
        </w:rPr>
        <w:t xml:space="preserve">αν (wurden befleckt), </w:t>
      </w:r>
      <w:r w:rsidRPr="00125C26">
        <w:rPr>
          <w:rFonts w:eastAsia="Times New Roman" w:cs="Times New Roman"/>
          <w:b/>
          <w:bCs/>
          <w:rtl/>
          <w:lang w:eastAsia="de-DE"/>
        </w:rPr>
        <w:t>הגוים</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τὰ</w:t>
      </w:r>
      <w:proofErr w:type="spellEnd"/>
      <w:r w:rsidRPr="00125C26">
        <w:rPr>
          <w:rFonts w:eastAsia="Times New Roman" w:cs="Times New Roman"/>
          <w:lang w:eastAsia="de-DE"/>
        </w:rPr>
        <w:t xml:space="preserve"> </w:t>
      </w:r>
      <w:proofErr w:type="spellStart"/>
      <w:r w:rsidRPr="00125C26">
        <w:rPr>
          <w:rFonts w:eastAsia="Times New Roman" w:cs="Times New Roman"/>
          <w:lang w:eastAsia="de-DE"/>
        </w:rPr>
        <w:t>ἔθνη</w:t>
      </w:r>
      <w:proofErr w:type="spellEnd"/>
      <w:r w:rsidRPr="00125C26">
        <w:rPr>
          <w:rFonts w:eastAsia="Times New Roman" w:cs="Times New Roman"/>
          <w:lang w:eastAsia="de-DE"/>
        </w:rPr>
        <w:t xml:space="preserve"> (die Völker) und </w:t>
      </w:r>
      <w:r w:rsidRPr="00125C26">
        <w:rPr>
          <w:rFonts w:eastAsia="Times New Roman" w:cs="Times New Roman"/>
          <w:b/>
          <w:bCs/>
          <w:rtl/>
          <w:lang w:eastAsia="de-DE"/>
        </w:rPr>
        <w:t>משלח</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ἐξ</w:t>
      </w:r>
      <w:proofErr w:type="spellEnd"/>
      <w:r w:rsidRPr="00125C26">
        <w:rPr>
          <w:rFonts w:eastAsia="Times New Roman" w:cs="Times New Roman"/>
          <w:lang w:eastAsia="de-DE"/>
        </w:rPr>
        <w:t>αποστέλλω (ich sende weg).</w:t>
      </w:r>
    </w:p>
    <w:p w14:paraId="078EDF7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Verunreinigungswarnung: Verbot der Selbstverunreinigung + kausale Begründung durch heidnische Verunreinigung + göttliche Vertreibung als Folge.</w:t>
      </w:r>
    </w:p>
    <w:p w14:paraId="0F20930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warnt vor Verunreinigung durch die verbotenen Praktiken, die zur Vertreibung der Kanaanäer führten.</w:t>
      </w:r>
    </w:p>
    <w:p w14:paraId="6FB469F9"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18,25</w:t>
      </w:r>
    </w:p>
    <w:p w14:paraId="775262C6"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וַתִּטְמָ֣א הָאָ֔רֶץ וָאֶפְקֹ֥ד עֲוֹנָ֖הּ עָלֶ֑יהָ וַתָּקִ֥א הָאָ֖רֶץ אֶת־יֹשְׁבֶֽיהָ׃</w:t>
      </w:r>
    </w:p>
    <w:p w14:paraId="2EA446BC"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Das Land wurde unrein, und ich suchte seine Schuld an ihm heim, und das Land spie seine Bewohner aus.</w:t>
      </w:r>
    </w:p>
    <w:p w14:paraId="6F3A5710"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717DEFAC">
          <v:rect id="_x0000_i1555" style="width:0;height:1.5pt" o:hralign="center" o:hrstd="t" o:hr="t" fillcolor="#a0a0a0" stroked="f"/>
        </w:pict>
      </w:r>
    </w:p>
    <w:p w14:paraId="2C2AE69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ותטמא הארץ ואפקד עונה עליה ותקא הארץ את־ישביה</w:t>
      </w:r>
      <w:r w:rsidRPr="00125C26">
        <w:rPr>
          <w:rFonts w:eastAsia="Times New Roman" w:cs="Times New Roman"/>
          <w:rtl/>
          <w:lang w:eastAsia="de-DE"/>
        </w:rPr>
        <w:t xml:space="preserve"> </w:t>
      </w:r>
      <w:r w:rsidRPr="00125C26">
        <w:rPr>
          <w:rFonts w:eastAsia="Times New Roman" w:cs="Times New Roman"/>
          <w:lang w:eastAsia="de-DE"/>
        </w:rPr>
        <w:t xml:space="preserve">zeigt die kosmischen Folgen der Sünde. </w:t>
      </w:r>
      <w:r w:rsidRPr="00125C26">
        <w:rPr>
          <w:rFonts w:eastAsia="Times New Roman" w:cs="Times New Roman"/>
          <w:b/>
          <w:bCs/>
          <w:rtl/>
          <w:lang w:eastAsia="de-DE"/>
        </w:rPr>
        <w:t>ותטמא הארץ</w:t>
      </w:r>
      <w:r w:rsidRPr="00125C26">
        <w:rPr>
          <w:rFonts w:eastAsia="Times New Roman" w:cs="Times New Roman"/>
          <w:rtl/>
          <w:lang w:eastAsia="de-DE"/>
        </w:rPr>
        <w:t xml:space="preserve"> </w:t>
      </w:r>
      <w:r w:rsidRPr="00125C26">
        <w:rPr>
          <w:rFonts w:eastAsia="Times New Roman" w:cs="Times New Roman"/>
          <w:lang w:eastAsia="de-DE"/>
        </w:rPr>
        <w:t xml:space="preserve">(das Land wurde unrein) - </w:t>
      </w:r>
      <w:r w:rsidRPr="00125C26">
        <w:rPr>
          <w:rFonts w:eastAsia="Times New Roman" w:cs="Times New Roman"/>
          <w:b/>
          <w:bCs/>
          <w:rtl/>
          <w:lang w:eastAsia="de-DE"/>
        </w:rPr>
        <w:t>ותטמא</w:t>
      </w:r>
      <w:r w:rsidRPr="00125C26">
        <w:rPr>
          <w:rFonts w:eastAsia="Times New Roman" w:cs="Times New Roman"/>
          <w:rtl/>
          <w:lang w:eastAsia="de-DE"/>
        </w:rPr>
        <w:t xml:space="preserve"> </w:t>
      </w:r>
      <w:r w:rsidRPr="00125C26">
        <w:rPr>
          <w:rFonts w:eastAsia="Times New Roman" w:cs="Times New Roman"/>
          <w:lang w:eastAsia="de-DE"/>
        </w:rPr>
        <w:t xml:space="preserve">(und es wurde unrein) im Nifal-Imperfekt mit Waw-Konsekutiv zeigt, dass das Land selbst durch die Sünden unrein wurde. </w:t>
      </w:r>
      <w:r w:rsidRPr="00125C26">
        <w:rPr>
          <w:rFonts w:eastAsia="Times New Roman" w:cs="Times New Roman"/>
          <w:b/>
          <w:bCs/>
          <w:rtl/>
          <w:lang w:eastAsia="de-DE"/>
        </w:rPr>
        <w:t>הארץ</w:t>
      </w:r>
      <w:r w:rsidRPr="00125C26">
        <w:rPr>
          <w:rFonts w:eastAsia="Times New Roman" w:cs="Times New Roman"/>
          <w:rtl/>
          <w:lang w:eastAsia="de-DE"/>
        </w:rPr>
        <w:t xml:space="preserve"> </w:t>
      </w:r>
      <w:r w:rsidRPr="00125C26">
        <w:rPr>
          <w:rFonts w:eastAsia="Times New Roman" w:cs="Times New Roman"/>
          <w:lang w:eastAsia="de-DE"/>
        </w:rPr>
        <w:t>(das Land) als personifizierte Größe.</w:t>
      </w:r>
    </w:p>
    <w:p w14:paraId="04DC15E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ואפקד עונה עליה</w:t>
      </w:r>
      <w:r w:rsidRPr="00125C26">
        <w:rPr>
          <w:rFonts w:eastAsia="Times New Roman" w:cs="Times New Roman"/>
          <w:rtl/>
          <w:lang w:eastAsia="de-DE"/>
        </w:rPr>
        <w:t xml:space="preserve"> </w:t>
      </w:r>
      <w:r w:rsidRPr="00125C26">
        <w:rPr>
          <w:rFonts w:eastAsia="Times New Roman" w:cs="Times New Roman"/>
          <w:lang w:eastAsia="de-DE"/>
        </w:rPr>
        <w:t xml:space="preserve">(und ich suchte seine Schuld an ihm heim) - </w:t>
      </w:r>
      <w:r w:rsidRPr="00125C26">
        <w:rPr>
          <w:rFonts w:eastAsia="Times New Roman" w:cs="Times New Roman"/>
          <w:b/>
          <w:bCs/>
          <w:rtl/>
          <w:lang w:eastAsia="de-DE"/>
        </w:rPr>
        <w:t>ואפקד</w:t>
      </w:r>
      <w:r w:rsidRPr="00125C26">
        <w:rPr>
          <w:rFonts w:eastAsia="Times New Roman" w:cs="Times New Roman"/>
          <w:rtl/>
          <w:lang w:eastAsia="de-DE"/>
        </w:rPr>
        <w:t xml:space="preserve"> </w:t>
      </w:r>
      <w:r w:rsidRPr="00125C26">
        <w:rPr>
          <w:rFonts w:eastAsia="Times New Roman" w:cs="Times New Roman"/>
          <w:lang w:eastAsia="de-DE"/>
        </w:rPr>
        <w:t xml:space="preserve">(und ich suchte heim) im Qal-Imperfekt mit Waw-Konsekutiv von </w:t>
      </w:r>
      <w:r w:rsidRPr="00125C26">
        <w:rPr>
          <w:rFonts w:eastAsia="Times New Roman" w:cs="Times New Roman"/>
          <w:b/>
          <w:bCs/>
          <w:rtl/>
          <w:lang w:eastAsia="de-DE"/>
        </w:rPr>
        <w:t>פקד</w:t>
      </w:r>
      <w:r w:rsidRPr="00125C26">
        <w:rPr>
          <w:rFonts w:eastAsia="Times New Roman" w:cs="Times New Roman"/>
          <w:rtl/>
          <w:lang w:eastAsia="de-DE"/>
        </w:rPr>
        <w:t xml:space="preserve"> </w:t>
      </w:r>
      <w:r w:rsidRPr="00125C26">
        <w:rPr>
          <w:rFonts w:eastAsia="Times New Roman" w:cs="Times New Roman"/>
          <w:lang w:eastAsia="de-DE"/>
        </w:rPr>
        <w:t xml:space="preserve">(heimsuchen/strafen). </w:t>
      </w:r>
      <w:r w:rsidRPr="00125C26">
        <w:rPr>
          <w:rFonts w:eastAsia="Times New Roman" w:cs="Times New Roman"/>
          <w:b/>
          <w:bCs/>
          <w:rtl/>
          <w:lang w:eastAsia="de-DE"/>
        </w:rPr>
        <w:t>עונה</w:t>
      </w:r>
      <w:r w:rsidRPr="00125C26">
        <w:rPr>
          <w:rFonts w:eastAsia="Times New Roman" w:cs="Times New Roman"/>
          <w:rtl/>
          <w:lang w:eastAsia="de-DE"/>
        </w:rPr>
        <w:t xml:space="preserve"> </w:t>
      </w:r>
      <w:r w:rsidRPr="00125C26">
        <w:rPr>
          <w:rFonts w:eastAsia="Times New Roman" w:cs="Times New Roman"/>
          <w:lang w:eastAsia="de-DE"/>
        </w:rPr>
        <w:t xml:space="preserve">(seine Schuld) mit maskulin Suffix bezieht sich auf das Land. </w:t>
      </w:r>
      <w:r w:rsidRPr="00125C26">
        <w:rPr>
          <w:rFonts w:eastAsia="Times New Roman" w:cs="Times New Roman"/>
          <w:b/>
          <w:bCs/>
          <w:rtl/>
          <w:lang w:eastAsia="de-DE"/>
        </w:rPr>
        <w:t>עליה</w:t>
      </w:r>
      <w:r w:rsidRPr="00125C26">
        <w:rPr>
          <w:rFonts w:eastAsia="Times New Roman" w:cs="Times New Roman"/>
          <w:rtl/>
          <w:lang w:eastAsia="de-DE"/>
        </w:rPr>
        <w:t xml:space="preserve"> </w:t>
      </w:r>
      <w:r w:rsidRPr="00125C26">
        <w:rPr>
          <w:rFonts w:eastAsia="Times New Roman" w:cs="Times New Roman"/>
          <w:lang w:eastAsia="de-DE"/>
        </w:rPr>
        <w:t>(an ihm) zeigt das Land als Objekt der Heimsuchung.</w:t>
      </w:r>
    </w:p>
    <w:p w14:paraId="0A42095B"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ותקא הארץ את־ישביה</w:t>
      </w:r>
      <w:r w:rsidRPr="00125C26">
        <w:rPr>
          <w:rFonts w:eastAsia="Times New Roman" w:cs="Times New Roman"/>
          <w:rtl/>
          <w:lang w:eastAsia="de-DE"/>
        </w:rPr>
        <w:t xml:space="preserve"> </w:t>
      </w:r>
      <w:r w:rsidRPr="00125C26">
        <w:rPr>
          <w:rFonts w:eastAsia="Times New Roman" w:cs="Times New Roman"/>
          <w:lang w:eastAsia="de-DE"/>
        </w:rPr>
        <w:t xml:space="preserve">(und das Land spie seine Bewohner aus) - </w:t>
      </w:r>
      <w:r w:rsidRPr="00125C26">
        <w:rPr>
          <w:rFonts w:eastAsia="Times New Roman" w:cs="Times New Roman"/>
          <w:b/>
          <w:bCs/>
          <w:rtl/>
          <w:lang w:eastAsia="de-DE"/>
        </w:rPr>
        <w:t>ותקא</w:t>
      </w:r>
      <w:r w:rsidRPr="00125C26">
        <w:rPr>
          <w:rFonts w:eastAsia="Times New Roman" w:cs="Times New Roman"/>
          <w:rtl/>
          <w:lang w:eastAsia="de-DE"/>
        </w:rPr>
        <w:t xml:space="preserve"> </w:t>
      </w:r>
      <w:r w:rsidRPr="00125C26">
        <w:rPr>
          <w:rFonts w:eastAsia="Times New Roman" w:cs="Times New Roman"/>
          <w:lang w:eastAsia="de-DE"/>
        </w:rPr>
        <w:t xml:space="preserve">(und es spie aus) im Qal-Imperfekt mit Waw-Konsekutiv von </w:t>
      </w:r>
      <w:r w:rsidRPr="00125C26">
        <w:rPr>
          <w:rFonts w:eastAsia="Times New Roman" w:cs="Times New Roman"/>
          <w:b/>
          <w:bCs/>
          <w:rtl/>
          <w:lang w:eastAsia="de-DE"/>
        </w:rPr>
        <w:t>קיא</w:t>
      </w:r>
      <w:r w:rsidRPr="00125C26">
        <w:rPr>
          <w:rFonts w:eastAsia="Times New Roman" w:cs="Times New Roman"/>
          <w:rtl/>
          <w:lang w:eastAsia="de-DE"/>
        </w:rPr>
        <w:t xml:space="preserve"> </w:t>
      </w:r>
      <w:r w:rsidRPr="00125C26">
        <w:rPr>
          <w:rFonts w:eastAsia="Times New Roman" w:cs="Times New Roman"/>
          <w:lang w:eastAsia="de-DE"/>
        </w:rPr>
        <w:t xml:space="preserve">(ausspeien/erbrechen). </w:t>
      </w:r>
      <w:r w:rsidRPr="00125C26">
        <w:rPr>
          <w:rFonts w:eastAsia="Times New Roman" w:cs="Times New Roman"/>
          <w:b/>
          <w:bCs/>
          <w:rtl/>
          <w:lang w:eastAsia="de-DE"/>
        </w:rPr>
        <w:t>ישביה</w:t>
      </w:r>
      <w:r w:rsidRPr="00125C26">
        <w:rPr>
          <w:rFonts w:eastAsia="Times New Roman" w:cs="Times New Roman"/>
          <w:rtl/>
          <w:lang w:eastAsia="de-DE"/>
        </w:rPr>
        <w:t xml:space="preserve"> </w:t>
      </w:r>
      <w:r w:rsidRPr="00125C26">
        <w:rPr>
          <w:rFonts w:eastAsia="Times New Roman" w:cs="Times New Roman"/>
          <w:lang w:eastAsia="de-DE"/>
        </w:rPr>
        <w:t>(seine Bewohner) zeigt die Kanaanäer als Ausgespiene.</w:t>
      </w:r>
    </w:p>
    <w:p w14:paraId="226D9CE3"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ותטמא הארץ</w:t>
      </w:r>
      <w:r w:rsidRPr="00125C26">
        <w:rPr>
          <w:rFonts w:eastAsia="Times New Roman" w:cs="Times New Roman"/>
          <w:rtl/>
          <w:lang w:eastAsia="de-DE"/>
        </w:rPr>
        <w:t xml:space="preserve"> </w:t>
      </w:r>
      <w:r w:rsidRPr="00125C26">
        <w:rPr>
          <w:rFonts w:eastAsia="Times New Roman" w:cs="Times New Roman"/>
          <w:lang w:eastAsia="de-DE"/>
        </w:rPr>
        <w:t xml:space="preserve">zeigt, dass Sünde das Land selbst kontaminiert. </w:t>
      </w:r>
      <w:r w:rsidRPr="00125C26">
        <w:rPr>
          <w:rFonts w:eastAsia="Times New Roman" w:cs="Times New Roman"/>
          <w:b/>
          <w:bCs/>
          <w:rtl/>
          <w:lang w:eastAsia="de-DE"/>
        </w:rPr>
        <w:t>ואפקד עונה</w:t>
      </w:r>
      <w:r w:rsidRPr="00125C26">
        <w:rPr>
          <w:rFonts w:eastAsia="Times New Roman" w:cs="Times New Roman"/>
          <w:rtl/>
          <w:lang w:eastAsia="de-DE"/>
        </w:rPr>
        <w:t xml:space="preserve"> </w:t>
      </w:r>
      <w:r w:rsidRPr="00125C26">
        <w:rPr>
          <w:rFonts w:eastAsia="Times New Roman" w:cs="Times New Roman"/>
          <w:lang w:eastAsia="de-DE"/>
        </w:rPr>
        <w:t xml:space="preserve">zeigt göttliche Vergeltung am Land. </w:t>
      </w:r>
      <w:r w:rsidRPr="00125C26">
        <w:rPr>
          <w:rFonts w:eastAsia="Times New Roman" w:cs="Times New Roman"/>
          <w:b/>
          <w:bCs/>
          <w:rtl/>
          <w:lang w:eastAsia="de-DE"/>
        </w:rPr>
        <w:t>ותקא הארץ</w:t>
      </w:r>
      <w:r w:rsidRPr="00125C26">
        <w:rPr>
          <w:rFonts w:eastAsia="Times New Roman" w:cs="Times New Roman"/>
          <w:rtl/>
          <w:lang w:eastAsia="de-DE"/>
        </w:rPr>
        <w:t xml:space="preserve"> </w:t>
      </w:r>
      <w:r w:rsidRPr="00125C26">
        <w:rPr>
          <w:rFonts w:eastAsia="Times New Roman" w:cs="Times New Roman"/>
          <w:lang w:eastAsia="de-DE"/>
        </w:rPr>
        <w:t>als drastische Metapher für Landverlust durch göttliches Gericht.</w:t>
      </w:r>
    </w:p>
    <w:p w14:paraId="6228661D" w14:textId="26E7273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 xml:space="preserve">Die </w:t>
      </w:r>
      <w:r w:rsidR="00E705C5">
        <w:t xml:space="preserve">übersetzt </w:t>
      </w:r>
      <w:r w:rsidR="00E705C5">
        <w:rPr>
          <w:rtl/>
        </w:rPr>
        <w:t>ואפקד עונה עליה</w:t>
      </w:r>
      <w:r w:rsidR="00E705C5">
        <w:t xml:space="preserve"> (</w:t>
      </w:r>
      <w:proofErr w:type="spellStart"/>
      <w:r w:rsidR="00E705C5">
        <w:t>wa'efqod</w:t>
      </w:r>
      <w:proofErr w:type="spellEnd"/>
      <w:r w:rsidR="00E705C5">
        <w:t xml:space="preserve"> </w:t>
      </w:r>
      <w:proofErr w:type="spellStart"/>
      <w:r w:rsidR="00E705C5">
        <w:t>avonahh</w:t>
      </w:r>
      <w:proofErr w:type="spellEnd"/>
      <w:r w:rsidR="00E705C5">
        <w:t xml:space="preserve"> </w:t>
      </w:r>
      <w:proofErr w:type="spellStart"/>
      <w:r w:rsidR="00E705C5">
        <w:t>aleha</w:t>
      </w:r>
      <w:proofErr w:type="spellEnd"/>
      <w:r w:rsidR="00E705C5">
        <w:t xml:space="preserve"> - "und ich suchte ihre Schuld an ihr heim") als καὶ </w:t>
      </w:r>
      <w:proofErr w:type="spellStart"/>
      <w:r w:rsidR="00E705C5">
        <w:t>ἀντ</w:t>
      </w:r>
      <w:proofErr w:type="spellEnd"/>
      <w:r w:rsidR="00E705C5">
        <w:t xml:space="preserve">απέδωκα </w:t>
      </w:r>
      <w:proofErr w:type="spellStart"/>
      <w:r w:rsidR="00E705C5">
        <w:t>ἀδικί</w:t>
      </w:r>
      <w:proofErr w:type="spellEnd"/>
      <w:r w:rsidR="00E705C5">
        <w:t>αν α</w:t>
      </w:r>
      <w:proofErr w:type="spellStart"/>
      <w:r w:rsidR="00E705C5">
        <w:t>ὐτοῖς</w:t>
      </w:r>
      <w:proofErr w:type="spellEnd"/>
      <w:r w:rsidR="00E705C5">
        <w:t xml:space="preserve"> </w:t>
      </w:r>
      <w:proofErr w:type="spellStart"/>
      <w:r w:rsidR="00E705C5">
        <w:t>διʼ</w:t>
      </w:r>
      <w:proofErr w:type="spellEnd"/>
      <w:r w:rsidR="00E705C5">
        <w:t xml:space="preserve"> α</w:t>
      </w:r>
      <w:proofErr w:type="spellStart"/>
      <w:r w:rsidR="00E705C5">
        <w:t>ὐτήν</w:t>
      </w:r>
      <w:proofErr w:type="spellEnd"/>
      <w:r w:rsidR="00E705C5">
        <w:t xml:space="preserve"> (und ich vergalt ihnen Ungerechtigkeit ihretwegen), was eine Vergeltungstheologie betont. Das hebräische </w:t>
      </w:r>
      <w:r w:rsidR="00E705C5">
        <w:rPr>
          <w:rtl/>
        </w:rPr>
        <w:t>ותקא</w:t>
      </w:r>
      <w:r w:rsidR="00E705C5">
        <w:t xml:space="preserve"> (</w:t>
      </w:r>
      <w:proofErr w:type="spellStart"/>
      <w:r w:rsidR="00E705C5">
        <w:t>wataqia</w:t>
      </w:r>
      <w:proofErr w:type="spellEnd"/>
      <w:r w:rsidR="00E705C5">
        <w:t xml:space="preserve"> - "und sie spie aus") wird als π</w:t>
      </w:r>
      <w:proofErr w:type="spellStart"/>
      <w:r w:rsidR="00E705C5">
        <w:t>ροσώχθισεν</w:t>
      </w:r>
      <w:proofErr w:type="spellEnd"/>
      <w:r w:rsidR="00E705C5">
        <w:t xml:space="preserve"> (sie wurde angewidert/empört) wiedergegeben.</w:t>
      </w:r>
    </w:p>
    <w:p w14:paraId="42E2427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Landvergeltung: Landverunreinigung + göttliche Schuldvergeltung + Land als ausspeiende Macht.</w:t>
      </w:r>
    </w:p>
    <w:p w14:paraId="7D1CF0EC"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zeigt das Land als moralisch reagierende Größe, die Sünder ausspeit.</w:t>
      </w:r>
    </w:p>
    <w:p w14:paraId="74AA379D"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18,26</w:t>
      </w:r>
    </w:p>
    <w:p w14:paraId="4124738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וּשְׁמַרְתֶּ֣ם אַתֶּ֗ם אֶת־חֻקֹּתַי֙ וְאֶת־מִשְׁפָּטַ֔י וְלֹ֣א תַעֲשׂ֔וּ מִכֹּ֖ל הַתּוֹעֵבֹ֣ת הָאֵ֑לֶּה הָֽאֶזְרָ֔ח וְהַגֵּ֖ר הַגָּ֥ר בְּתוֹכְכֶֽם׃</w:t>
      </w:r>
    </w:p>
    <w:p w14:paraId="2E71C94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lastRenderedPageBreak/>
        <w:t>Deutsch:</w:t>
      </w:r>
      <w:r w:rsidRPr="00125C26">
        <w:rPr>
          <w:rFonts w:eastAsia="Times New Roman" w:cs="Times New Roman"/>
          <w:lang w:eastAsia="de-DE"/>
        </w:rPr>
        <w:t xml:space="preserve"> Ihr aber sollt meine Satzungen und meine Rechtsvorschriften beachten, und ihr sollt nichts tun von all diesen Gräueln, der Einheimische und der Fremde, der in eurer Mitte weilt –</w:t>
      </w:r>
    </w:p>
    <w:p w14:paraId="5E42A511"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4680CBB9">
          <v:rect id="_x0000_i1556" style="width:0;height:1.5pt" o:hralign="center" o:hrstd="t" o:hr="t" fillcolor="#a0a0a0" stroked="f"/>
        </w:pict>
      </w:r>
    </w:p>
    <w:p w14:paraId="3DC370F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ושמרתם אתם את־חקתי ואת־משפטי ולא תעשו מכל התועבת האלה האזרח והגר הגר בתוככם</w:t>
      </w:r>
      <w:r w:rsidRPr="00125C26">
        <w:rPr>
          <w:rFonts w:eastAsia="Times New Roman" w:cs="Times New Roman"/>
          <w:rtl/>
          <w:lang w:eastAsia="de-DE"/>
        </w:rPr>
        <w:t xml:space="preserve"> </w:t>
      </w:r>
      <w:r w:rsidRPr="00125C26">
        <w:rPr>
          <w:rFonts w:eastAsia="Times New Roman" w:cs="Times New Roman"/>
          <w:lang w:eastAsia="de-DE"/>
        </w:rPr>
        <w:t xml:space="preserve">wiederholt die positive Alternative zu heidnischen Praktiken. </w:t>
      </w:r>
      <w:r w:rsidRPr="00125C26">
        <w:rPr>
          <w:rFonts w:eastAsia="Times New Roman" w:cs="Times New Roman"/>
          <w:b/>
          <w:bCs/>
          <w:rtl/>
          <w:lang w:eastAsia="de-DE"/>
        </w:rPr>
        <w:t>ושמרתם אתם את־חקתי ואת־משפטי</w:t>
      </w:r>
      <w:r w:rsidRPr="00125C26">
        <w:rPr>
          <w:rFonts w:eastAsia="Times New Roman" w:cs="Times New Roman"/>
          <w:rtl/>
          <w:lang w:eastAsia="de-DE"/>
        </w:rPr>
        <w:t xml:space="preserve"> </w:t>
      </w:r>
      <w:r w:rsidRPr="00125C26">
        <w:rPr>
          <w:rFonts w:eastAsia="Times New Roman" w:cs="Times New Roman"/>
          <w:lang w:eastAsia="de-DE"/>
        </w:rPr>
        <w:t xml:space="preserve">(ihr aber sollt meine Satzungen und meine Rechtsvorschriften beachten) - </w:t>
      </w:r>
      <w:r w:rsidRPr="00125C26">
        <w:rPr>
          <w:rFonts w:eastAsia="Times New Roman" w:cs="Times New Roman"/>
          <w:b/>
          <w:bCs/>
          <w:rtl/>
          <w:lang w:eastAsia="de-DE"/>
        </w:rPr>
        <w:t>ושמרתם</w:t>
      </w:r>
      <w:r w:rsidRPr="00125C26">
        <w:rPr>
          <w:rFonts w:eastAsia="Times New Roman" w:cs="Times New Roman"/>
          <w:rtl/>
          <w:lang w:eastAsia="de-DE"/>
        </w:rPr>
        <w:t xml:space="preserve"> </w:t>
      </w:r>
      <w:r w:rsidRPr="00125C26">
        <w:rPr>
          <w:rFonts w:eastAsia="Times New Roman" w:cs="Times New Roman"/>
          <w:lang w:eastAsia="de-DE"/>
        </w:rPr>
        <w:t xml:space="preserve">(und ihr sollt beachten) im Qal-Perfekt mit Waw-Konsekutiv, </w:t>
      </w:r>
      <w:r w:rsidRPr="00125C26">
        <w:rPr>
          <w:rFonts w:eastAsia="Times New Roman" w:cs="Times New Roman"/>
          <w:b/>
          <w:bCs/>
          <w:rtl/>
          <w:lang w:eastAsia="de-DE"/>
        </w:rPr>
        <w:t>אתם</w:t>
      </w:r>
      <w:r w:rsidRPr="00125C26">
        <w:rPr>
          <w:rFonts w:eastAsia="Times New Roman" w:cs="Times New Roman"/>
          <w:rtl/>
          <w:lang w:eastAsia="de-DE"/>
        </w:rPr>
        <w:t xml:space="preserve"> </w:t>
      </w:r>
      <w:r w:rsidRPr="00125C26">
        <w:rPr>
          <w:rFonts w:eastAsia="Times New Roman" w:cs="Times New Roman"/>
          <w:lang w:eastAsia="de-DE"/>
        </w:rPr>
        <w:t>(ihr) als emphatisches Pronomen zeigt den Kontrast zu den Heiden. Die Formulierung entspricht V. 4-5.</w:t>
      </w:r>
    </w:p>
    <w:p w14:paraId="0DD0996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ולא תעשו מכל התועבת האלה</w:t>
      </w:r>
      <w:r w:rsidRPr="00125C26">
        <w:rPr>
          <w:rFonts w:eastAsia="Times New Roman" w:cs="Times New Roman"/>
          <w:rtl/>
          <w:lang w:eastAsia="de-DE"/>
        </w:rPr>
        <w:t xml:space="preserve"> </w:t>
      </w:r>
      <w:r w:rsidRPr="00125C26">
        <w:rPr>
          <w:rFonts w:eastAsia="Times New Roman" w:cs="Times New Roman"/>
          <w:lang w:eastAsia="de-DE"/>
        </w:rPr>
        <w:t xml:space="preserve">(und ihr sollt nichts tun von all diesen Gräueln) - </w:t>
      </w:r>
      <w:r w:rsidRPr="00125C26">
        <w:rPr>
          <w:rFonts w:eastAsia="Times New Roman" w:cs="Times New Roman"/>
          <w:b/>
          <w:bCs/>
          <w:rtl/>
          <w:lang w:eastAsia="de-DE"/>
        </w:rPr>
        <w:t>ולא תעשו</w:t>
      </w:r>
      <w:r w:rsidRPr="00125C26">
        <w:rPr>
          <w:rFonts w:eastAsia="Times New Roman" w:cs="Times New Roman"/>
          <w:rtl/>
          <w:lang w:eastAsia="de-DE"/>
        </w:rPr>
        <w:t xml:space="preserve"> </w:t>
      </w:r>
      <w:r w:rsidRPr="00125C26">
        <w:rPr>
          <w:rFonts w:eastAsia="Times New Roman" w:cs="Times New Roman"/>
          <w:lang w:eastAsia="de-DE"/>
        </w:rPr>
        <w:t xml:space="preserve">(und ihr sollt nicht tun) im Qal-Imperfekt mit Negation. </w:t>
      </w:r>
      <w:r w:rsidRPr="00125C26">
        <w:rPr>
          <w:rFonts w:eastAsia="Times New Roman" w:cs="Times New Roman"/>
          <w:b/>
          <w:bCs/>
          <w:rtl/>
          <w:lang w:eastAsia="de-DE"/>
        </w:rPr>
        <w:t>מכל התועבת האלה</w:t>
      </w:r>
      <w:r w:rsidRPr="00125C26">
        <w:rPr>
          <w:rFonts w:eastAsia="Times New Roman" w:cs="Times New Roman"/>
          <w:rtl/>
          <w:lang w:eastAsia="de-DE"/>
        </w:rPr>
        <w:t xml:space="preserve"> </w:t>
      </w:r>
      <w:r w:rsidRPr="00125C26">
        <w:rPr>
          <w:rFonts w:eastAsia="Times New Roman" w:cs="Times New Roman"/>
          <w:lang w:eastAsia="de-DE"/>
        </w:rPr>
        <w:t xml:space="preserve">(von all diesen Gräueln) - </w:t>
      </w:r>
      <w:r w:rsidRPr="00125C26">
        <w:rPr>
          <w:rFonts w:eastAsia="Times New Roman" w:cs="Times New Roman"/>
          <w:b/>
          <w:bCs/>
          <w:rtl/>
          <w:lang w:eastAsia="de-DE"/>
        </w:rPr>
        <w:t>התועבת</w:t>
      </w:r>
      <w:r w:rsidRPr="00125C26">
        <w:rPr>
          <w:rFonts w:eastAsia="Times New Roman" w:cs="Times New Roman"/>
          <w:rtl/>
          <w:lang w:eastAsia="de-DE"/>
        </w:rPr>
        <w:t xml:space="preserve"> </w:t>
      </w:r>
      <w:r w:rsidRPr="00125C26">
        <w:rPr>
          <w:rFonts w:eastAsia="Times New Roman" w:cs="Times New Roman"/>
          <w:lang w:eastAsia="de-DE"/>
        </w:rPr>
        <w:t>(die Gräuel) als Kollektivbezeichnung für alle verbotenen Praktiken.</w:t>
      </w:r>
    </w:p>
    <w:p w14:paraId="1698F130"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האזרח והגר הגר בתוככם</w:t>
      </w:r>
      <w:r w:rsidRPr="00125C26">
        <w:rPr>
          <w:rFonts w:eastAsia="Times New Roman" w:cs="Times New Roman"/>
          <w:rtl/>
          <w:lang w:eastAsia="de-DE"/>
        </w:rPr>
        <w:t xml:space="preserve"> </w:t>
      </w:r>
      <w:r w:rsidRPr="00125C26">
        <w:rPr>
          <w:rFonts w:eastAsia="Times New Roman" w:cs="Times New Roman"/>
          <w:lang w:eastAsia="de-DE"/>
        </w:rPr>
        <w:t xml:space="preserve">(der Einheimische und der Fremde, der in eurer Mitte weilt) zeigt universelle Anwendung auf alle Bewohner. </w:t>
      </w:r>
      <w:r w:rsidRPr="00125C26">
        <w:rPr>
          <w:rFonts w:eastAsia="Times New Roman" w:cs="Times New Roman"/>
          <w:b/>
          <w:bCs/>
          <w:rtl/>
          <w:lang w:eastAsia="de-DE"/>
        </w:rPr>
        <w:t>אזרח</w:t>
      </w:r>
      <w:r w:rsidRPr="00125C26">
        <w:rPr>
          <w:rFonts w:eastAsia="Times New Roman" w:cs="Times New Roman"/>
          <w:rtl/>
          <w:lang w:eastAsia="de-DE"/>
        </w:rPr>
        <w:t xml:space="preserve"> </w:t>
      </w:r>
      <w:r w:rsidRPr="00125C26">
        <w:rPr>
          <w:rFonts w:eastAsia="Times New Roman" w:cs="Times New Roman"/>
          <w:lang w:eastAsia="de-DE"/>
        </w:rPr>
        <w:t xml:space="preserve">(Einheimischer) vs. </w:t>
      </w:r>
      <w:r w:rsidRPr="00125C26">
        <w:rPr>
          <w:rFonts w:eastAsia="Times New Roman" w:cs="Times New Roman"/>
          <w:b/>
          <w:bCs/>
          <w:rtl/>
          <w:lang w:eastAsia="de-DE"/>
        </w:rPr>
        <w:t>גר</w:t>
      </w:r>
      <w:r w:rsidRPr="00125C26">
        <w:rPr>
          <w:rFonts w:eastAsia="Times New Roman" w:cs="Times New Roman"/>
          <w:rtl/>
          <w:lang w:eastAsia="de-DE"/>
        </w:rPr>
        <w:t xml:space="preserve"> </w:t>
      </w:r>
      <w:r w:rsidRPr="00125C26">
        <w:rPr>
          <w:rFonts w:eastAsia="Times New Roman" w:cs="Times New Roman"/>
          <w:lang w:eastAsia="de-DE"/>
        </w:rPr>
        <w:t xml:space="preserve">(Fremder) erfasst alle Bevölkerungsgruppen. </w:t>
      </w:r>
      <w:r w:rsidRPr="00125C26">
        <w:rPr>
          <w:rFonts w:eastAsia="Times New Roman" w:cs="Times New Roman"/>
          <w:b/>
          <w:bCs/>
          <w:rtl/>
          <w:lang w:eastAsia="de-DE"/>
        </w:rPr>
        <w:t>הגר בתוככם</w:t>
      </w:r>
      <w:r w:rsidRPr="00125C26">
        <w:rPr>
          <w:rFonts w:eastAsia="Times New Roman" w:cs="Times New Roman"/>
          <w:rtl/>
          <w:lang w:eastAsia="de-DE"/>
        </w:rPr>
        <w:t xml:space="preserve"> </w:t>
      </w:r>
      <w:r w:rsidRPr="00125C26">
        <w:rPr>
          <w:rFonts w:eastAsia="Times New Roman" w:cs="Times New Roman"/>
          <w:lang w:eastAsia="de-DE"/>
        </w:rPr>
        <w:t>(der in eurer Mitte weilt) betont die Ansässigkeit der Fremden.</w:t>
      </w:r>
    </w:p>
    <w:p w14:paraId="046974D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אתם</w:t>
      </w:r>
      <w:r w:rsidRPr="00125C26">
        <w:rPr>
          <w:rFonts w:eastAsia="Times New Roman" w:cs="Times New Roman"/>
          <w:rtl/>
          <w:lang w:eastAsia="de-DE"/>
        </w:rPr>
        <w:t xml:space="preserve"> </w:t>
      </w:r>
      <w:r w:rsidRPr="00125C26">
        <w:rPr>
          <w:rFonts w:eastAsia="Times New Roman" w:cs="Times New Roman"/>
          <w:lang w:eastAsia="de-DE"/>
        </w:rPr>
        <w:t xml:space="preserve">als emphatisches Pronomen betont den Kontrast zu </w:t>
      </w:r>
      <w:r w:rsidRPr="00125C26">
        <w:rPr>
          <w:rFonts w:eastAsia="Times New Roman" w:cs="Times New Roman"/>
          <w:b/>
          <w:bCs/>
          <w:rtl/>
          <w:lang w:eastAsia="de-DE"/>
        </w:rPr>
        <w:t>הגוים</w:t>
      </w:r>
      <w:r w:rsidRPr="00125C26">
        <w:rPr>
          <w:rFonts w:eastAsia="Times New Roman" w:cs="Times New Roman"/>
          <w:lang w:eastAsia="de-DE"/>
        </w:rPr>
        <w:t xml:space="preserve">. </w:t>
      </w:r>
      <w:r w:rsidRPr="00125C26">
        <w:rPr>
          <w:rFonts w:eastAsia="Times New Roman" w:cs="Times New Roman"/>
          <w:b/>
          <w:bCs/>
          <w:rtl/>
          <w:lang w:eastAsia="de-DE"/>
        </w:rPr>
        <w:t>התועבת</w:t>
      </w:r>
      <w:r w:rsidRPr="00125C26">
        <w:rPr>
          <w:rFonts w:eastAsia="Times New Roman" w:cs="Times New Roman"/>
          <w:rtl/>
          <w:lang w:eastAsia="de-DE"/>
        </w:rPr>
        <w:t xml:space="preserve"> </w:t>
      </w:r>
      <w:r w:rsidRPr="00125C26">
        <w:rPr>
          <w:rFonts w:eastAsia="Times New Roman" w:cs="Times New Roman"/>
          <w:lang w:eastAsia="de-DE"/>
        </w:rPr>
        <w:t xml:space="preserve">im Singular zeigt kollektive Charakterisierung aller Verbote. </w:t>
      </w:r>
      <w:r w:rsidRPr="00125C26">
        <w:rPr>
          <w:rFonts w:eastAsia="Times New Roman" w:cs="Times New Roman"/>
          <w:b/>
          <w:bCs/>
          <w:rtl/>
          <w:lang w:eastAsia="de-DE"/>
        </w:rPr>
        <w:t>האזרח והגר</w:t>
      </w:r>
      <w:r w:rsidRPr="00125C26">
        <w:rPr>
          <w:rFonts w:eastAsia="Times New Roman" w:cs="Times New Roman"/>
          <w:rtl/>
          <w:lang w:eastAsia="de-DE"/>
        </w:rPr>
        <w:t xml:space="preserve"> </w:t>
      </w:r>
      <w:r w:rsidRPr="00125C26">
        <w:rPr>
          <w:rFonts w:eastAsia="Times New Roman" w:cs="Times New Roman"/>
          <w:lang w:eastAsia="de-DE"/>
        </w:rPr>
        <w:t>zeigt, dass die Gesetze für alle Bewohner gelten, nicht nur für Israeliten.</w:t>
      </w:r>
    </w:p>
    <w:p w14:paraId="5CB40AA2" w14:textId="320CBFAF"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übersetzt </w:t>
      </w:r>
      <w:r w:rsidR="00E705C5">
        <w:rPr>
          <w:rtl/>
        </w:rPr>
        <w:t>הגר הגר בתוככם</w:t>
      </w:r>
      <w:r w:rsidR="00E705C5">
        <w:t xml:space="preserve"> (hager </w:t>
      </w:r>
      <w:proofErr w:type="spellStart"/>
      <w:r w:rsidR="00E705C5">
        <w:t>hagar</w:t>
      </w:r>
      <w:proofErr w:type="spellEnd"/>
      <w:r w:rsidR="00E705C5">
        <w:t xml:space="preserve"> </w:t>
      </w:r>
      <w:proofErr w:type="spellStart"/>
      <w:r w:rsidR="00E705C5">
        <w:t>betochochem</w:t>
      </w:r>
      <w:proofErr w:type="spellEnd"/>
      <w:r w:rsidR="00E705C5">
        <w:t xml:space="preserve"> - "der Fremdling, der unter euch weilt") als ὁ π</w:t>
      </w:r>
      <w:proofErr w:type="spellStart"/>
      <w:r w:rsidR="00E705C5">
        <w:t>ροσγενόμενος</w:t>
      </w:r>
      <w:proofErr w:type="spellEnd"/>
      <w:r w:rsidR="00E705C5">
        <w:t xml:space="preserve"> π</w:t>
      </w:r>
      <w:proofErr w:type="spellStart"/>
      <w:r w:rsidR="00E705C5">
        <w:t>ροσήλυτος</w:t>
      </w:r>
      <w:proofErr w:type="spellEnd"/>
      <w:r w:rsidR="00E705C5">
        <w:t xml:space="preserve"> </w:t>
      </w:r>
      <w:proofErr w:type="spellStart"/>
      <w:r w:rsidR="00E705C5">
        <w:t>ἐν</w:t>
      </w:r>
      <w:proofErr w:type="spellEnd"/>
      <w:r w:rsidR="00E705C5">
        <w:t xml:space="preserve"> </w:t>
      </w:r>
      <w:proofErr w:type="spellStart"/>
      <w:r w:rsidR="00E705C5">
        <w:t>ὑμῖν</w:t>
      </w:r>
      <w:proofErr w:type="spellEnd"/>
      <w:r w:rsidR="00E705C5">
        <w:t xml:space="preserve"> (der hinzugekommene Proselyt unter euch), was religiöse Konversion impliziert.</w:t>
      </w:r>
    </w:p>
    <w:p w14:paraId="0208E15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alternative Verpflichtung: emphatische Selbstverpflichtung + göttliche Gesetzesbeachtung + negative Abgrenzung von Gräueln + universelle Personenerfassung.</w:t>
      </w:r>
    </w:p>
    <w:p w14:paraId="29B97D1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etabliert die positive Verpflichtung aller Bewohner zur Beachtung göttlicher Gesetze als Alternative zu heidnischen Gräueln.</w:t>
      </w:r>
    </w:p>
    <w:p w14:paraId="4C004421"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18,27</w:t>
      </w:r>
    </w:p>
    <w:p w14:paraId="41428AF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כִּ֚י אֶת־כָּל־הַתּוֹעֵבֹ֣ת הָאֵ֔ל עָשׂ֥וּ אַנְשֵֽׁי־הָאָ֖רֶץ אֲשֶׁ֣ר לִפְנֵיכֶ֑ם וַתִּטְמָ֖א הָאָֽרֶץ׃</w:t>
      </w:r>
    </w:p>
    <w:p w14:paraId="30DB066B"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denn alle diese Gräuel haben die Männer des Landes getan, die vor euch waren, und das Land ist unrein geworden –,</w:t>
      </w:r>
    </w:p>
    <w:p w14:paraId="5D921009"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5614466E">
          <v:rect id="_x0000_i1557" style="width:0;height:1.5pt" o:hralign="center" o:hrstd="t" o:hr="t" fillcolor="#a0a0a0" stroked="f"/>
        </w:pict>
      </w:r>
    </w:p>
    <w:p w14:paraId="477E08F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כי את־כל־התועבת האל עשו אנשי־הארץ אשר לפניכם ותטמא הארץ</w:t>
      </w:r>
      <w:r w:rsidRPr="00125C26">
        <w:rPr>
          <w:rFonts w:eastAsia="Times New Roman" w:cs="Times New Roman"/>
          <w:rtl/>
          <w:lang w:eastAsia="de-DE"/>
        </w:rPr>
        <w:t xml:space="preserve"> </w:t>
      </w:r>
      <w:r w:rsidRPr="00125C26">
        <w:rPr>
          <w:rFonts w:eastAsia="Times New Roman" w:cs="Times New Roman"/>
          <w:lang w:eastAsia="de-DE"/>
        </w:rPr>
        <w:t xml:space="preserve">begründet das Verbot durch historische Erfahrung. </w:t>
      </w:r>
      <w:r w:rsidRPr="00125C26">
        <w:rPr>
          <w:rFonts w:eastAsia="Times New Roman" w:cs="Times New Roman"/>
          <w:b/>
          <w:bCs/>
          <w:rtl/>
          <w:lang w:eastAsia="de-DE"/>
        </w:rPr>
        <w:t>כי את־כל־התועבת האל עשו אנשי־הארץ אשר לפניכם</w:t>
      </w:r>
      <w:r w:rsidRPr="00125C26">
        <w:rPr>
          <w:rFonts w:eastAsia="Times New Roman" w:cs="Times New Roman"/>
          <w:rtl/>
          <w:lang w:eastAsia="de-DE"/>
        </w:rPr>
        <w:t xml:space="preserve"> </w:t>
      </w:r>
      <w:r w:rsidRPr="00125C26">
        <w:rPr>
          <w:rFonts w:eastAsia="Times New Roman" w:cs="Times New Roman"/>
          <w:lang w:eastAsia="de-DE"/>
        </w:rPr>
        <w:t xml:space="preserve">(denn alle diese Gräuel haben die Männer des Landes getan, die vor euch waren) - </w:t>
      </w:r>
      <w:r w:rsidRPr="00125C26">
        <w:rPr>
          <w:rFonts w:eastAsia="Times New Roman" w:cs="Times New Roman"/>
          <w:b/>
          <w:bCs/>
          <w:rtl/>
          <w:lang w:eastAsia="de-DE"/>
        </w:rPr>
        <w:t>כי</w:t>
      </w:r>
      <w:r w:rsidRPr="00125C26">
        <w:rPr>
          <w:rFonts w:eastAsia="Times New Roman" w:cs="Times New Roman"/>
          <w:rtl/>
          <w:lang w:eastAsia="de-DE"/>
        </w:rPr>
        <w:t xml:space="preserve"> </w:t>
      </w:r>
      <w:r w:rsidRPr="00125C26">
        <w:rPr>
          <w:rFonts w:eastAsia="Times New Roman" w:cs="Times New Roman"/>
          <w:lang w:eastAsia="de-DE"/>
        </w:rPr>
        <w:t xml:space="preserve">(denn) zeigt kausale Begründung. </w:t>
      </w:r>
      <w:r w:rsidRPr="00125C26">
        <w:rPr>
          <w:rFonts w:eastAsia="Times New Roman" w:cs="Times New Roman"/>
          <w:b/>
          <w:bCs/>
          <w:rtl/>
          <w:lang w:eastAsia="de-DE"/>
        </w:rPr>
        <w:t>את־כל־התועבת האל</w:t>
      </w:r>
      <w:r w:rsidRPr="00125C26">
        <w:rPr>
          <w:rFonts w:eastAsia="Times New Roman" w:cs="Times New Roman"/>
          <w:rtl/>
          <w:lang w:eastAsia="de-DE"/>
        </w:rPr>
        <w:t xml:space="preserve"> </w:t>
      </w:r>
      <w:r w:rsidRPr="00125C26">
        <w:rPr>
          <w:rFonts w:eastAsia="Times New Roman" w:cs="Times New Roman"/>
          <w:lang w:eastAsia="de-DE"/>
        </w:rPr>
        <w:t xml:space="preserve">(alle diese Gräuel) entspricht V. 26. </w:t>
      </w:r>
      <w:r w:rsidRPr="00125C26">
        <w:rPr>
          <w:rFonts w:eastAsia="Times New Roman" w:cs="Times New Roman"/>
          <w:b/>
          <w:bCs/>
          <w:rtl/>
          <w:lang w:eastAsia="de-DE"/>
        </w:rPr>
        <w:t>עשו</w:t>
      </w:r>
      <w:r w:rsidRPr="00125C26">
        <w:rPr>
          <w:rFonts w:eastAsia="Times New Roman" w:cs="Times New Roman"/>
          <w:rtl/>
          <w:lang w:eastAsia="de-DE"/>
        </w:rPr>
        <w:t xml:space="preserve"> </w:t>
      </w:r>
      <w:r w:rsidRPr="00125C26">
        <w:rPr>
          <w:rFonts w:eastAsia="Times New Roman" w:cs="Times New Roman"/>
          <w:lang w:eastAsia="de-DE"/>
        </w:rPr>
        <w:t>(haben getan) im Qal-Perfekt zeigt vollendete Handlungen.</w:t>
      </w:r>
    </w:p>
    <w:p w14:paraId="492A50C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lastRenderedPageBreak/>
        <w:t>אנשי־הארץ אשר לפניכם</w:t>
      </w:r>
      <w:r w:rsidRPr="00125C26">
        <w:rPr>
          <w:rFonts w:eastAsia="Times New Roman" w:cs="Times New Roman"/>
          <w:rtl/>
          <w:lang w:eastAsia="de-DE"/>
        </w:rPr>
        <w:t xml:space="preserve"> </w:t>
      </w:r>
      <w:r w:rsidRPr="00125C26">
        <w:rPr>
          <w:rFonts w:eastAsia="Times New Roman" w:cs="Times New Roman"/>
          <w:lang w:eastAsia="de-DE"/>
        </w:rPr>
        <w:t xml:space="preserve">(die Männer des Landes, die vor euch waren) - </w:t>
      </w:r>
      <w:r w:rsidRPr="00125C26">
        <w:rPr>
          <w:rFonts w:eastAsia="Times New Roman" w:cs="Times New Roman"/>
          <w:b/>
          <w:bCs/>
          <w:rtl/>
          <w:lang w:eastAsia="de-DE"/>
        </w:rPr>
        <w:t>אנשי־הארץ</w:t>
      </w:r>
      <w:r w:rsidRPr="00125C26">
        <w:rPr>
          <w:rFonts w:eastAsia="Times New Roman" w:cs="Times New Roman"/>
          <w:rtl/>
          <w:lang w:eastAsia="de-DE"/>
        </w:rPr>
        <w:t xml:space="preserve"> </w:t>
      </w:r>
      <w:r w:rsidRPr="00125C26">
        <w:rPr>
          <w:rFonts w:eastAsia="Times New Roman" w:cs="Times New Roman"/>
          <w:lang w:eastAsia="de-DE"/>
        </w:rPr>
        <w:t xml:space="preserve">(Männer des Landes) als Bezeichnung für die Kanaanäer. </w:t>
      </w:r>
      <w:r w:rsidRPr="00125C26">
        <w:rPr>
          <w:rFonts w:eastAsia="Times New Roman" w:cs="Times New Roman"/>
          <w:b/>
          <w:bCs/>
          <w:rtl/>
          <w:lang w:eastAsia="de-DE"/>
        </w:rPr>
        <w:t>אשר לפניכם</w:t>
      </w:r>
      <w:r w:rsidRPr="00125C26">
        <w:rPr>
          <w:rFonts w:eastAsia="Times New Roman" w:cs="Times New Roman"/>
          <w:rtl/>
          <w:lang w:eastAsia="de-DE"/>
        </w:rPr>
        <w:t xml:space="preserve"> </w:t>
      </w:r>
      <w:r w:rsidRPr="00125C26">
        <w:rPr>
          <w:rFonts w:eastAsia="Times New Roman" w:cs="Times New Roman"/>
          <w:lang w:eastAsia="de-DE"/>
        </w:rPr>
        <w:t>(die vor euch waren) zeigt zeitliche Priorität und räumliche Verdrängung.</w:t>
      </w:r>
    </w:p>
    <w:p w14:paraId="7768ED5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ותטמא הארץ</w:t>
      </w:r>
      <w:r w:rsidRPr="00125C26">
        <w:rPr>
          <w:rFonts w:eastAsia="Times New Roman" w:cs="Times New Roman"/>
          <w:rtl/>
          <w:lang w:eastAsia="de-DE"/>
        </w:rPr>
        <w:t xml:space="preserve"> </w:t>
      </w:r>
      <w:r w:rsidRPr="00125C26">
        <w:rPr>
          <w:rFonts w:eastAsia="Times New Roman" w:cs="Times New Roman"/>
          <w:lang w:eastAsia="de-DE"/>
        </w:rPr>
        <w:t>(und das Land ist unrein geworden) entspricht V. 25 und zeigt die Folge der Gräuel.</w:t>
      </w:r>
    </w:p>
    <w:p w14:paraId="0F659AF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את־כל־התועבת האל</w:t>
      </w:r>
      <w:r w:rsidRPr="00125C26">
        <w:rPr>
          <w:rFonts w:eastAsia="Times New Roman" w:cs="Times New Roman"/>
          <w:rtl/>
          <w:lang w:eastAsia="de-DE"/>
        </w:rPr>
        <w:t xml:space="preserve"> </w:t>
      </w:r>
      <w:r w:rsidRPr="00125C26">
        <w:rPr>
          <w:rFonts w:eastAsia="Times New Roman" w:cs="Times New Roman"/>
          <w:lang w:eastAsia="de-DE"/>
        </w:rPr>
        <w:t xml:space="preserve">betont die Vollständigkeit der kanaanäischen Verfehlungen. </w:t>
      </w:r>
      <w:r w:rsidRPr="00125C26">
        <w:rPr>
          <w:rFonts w:eastAsia="Times New Roman" w:cs="Times New Roman"/>
          <w:b/>
          <w:bCs/>
          <w:rtl/>
          <w:lang w:eastAsia="de-DE"/>
        </w:rPr>
        <w:t>אנשי־הארץ</w:t>
      </w:r>
      <w:r w:rsidRPr="00125C26">
        <w:rPr>
          <w:rFonts w:eastAsia="Times New Roman" w:cs="Times New Roman"/>
          <w:rtl/>
          <w:lang w:eastAsia="de-DE"/>
        </w:rPr>
        <w:t xml:space="preserve"> </w:t>
      </w:r>
      <w:r w:rsidRPr="00125C26">
        <w:rPr>
          <w:rFonts w:eastAsia="Times New Roman" w:cs="Times New Roman"/>
          <w:lang w:eastAsia="de-DE"/>
        </w:rPr>
        <w:t xml:space="preserve">als spezifische Bezeichnung für die Urbevölkerung. </w:t>
      </w:r>
      <w:r w:rsidRPr="00125C26">
        <w:rPr>
          <w:rFonts w:eastAsia="Times New Roman" w:cs="Times New Roman"/>
          <w:b/>
          <w:bCs/>
          <w:rtl/>
          <w:lang w:eastAsia="de-DE"/>
        </w:rPr>
        <w:t>אשר לפניכם</w:t>
      </w:r>
      <w:r w:rsidRPr="00125C26">
        <w:rPr>
          <w:rFonts w:eastAsia="Times New Roman" w:cs="Times New Roman"/>
          <w:rtl/>
          <w:lang w:eastAsia="de-DE"/>
        </w:rPr>
        <w:t xml:space="preserve"> </w:t>
      </w:r>
      <w:r w:rsidRPr="00125C26">
        <w:rPr>
          <w:rFonts w:eastAsia="Times New Roman" w:cs="Times New Roman"/>
          <w:lang w:eastAsia="de-DE"/>
        </w:rPr>
        <w:t>zeigt ihre Vergangenheit vs. Israels Zukunft.</w:t>
      </w:r>
    </w:p>
    <w:p w14:paraId="47F6BB7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übersetzt </w:t>
      </w:r>
      <w:r w:rsidRPr="00125C26">
        <w:rPr>
          <w:rFonts w:eastAsia="Times New Roman" w:cs="Times New Roman"/>
          <w:b/>
          <w:bCs/>
          <w:rtl/>
          <w:lang w:eastAsia="de-DE"/>
        </w:rPr>
        <w:t>התועבת האל</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τὰ</w:t>
      </w:r>
      <w:proofErr w:type="spellEnd"/>
      <w:r w:rsidRPr="00125C26">
        <w:rPr>
          <w:rFonts w:eastAsia="Times New Roman" w:cs="Times New Roman"/>
          <w:lang w:eastAsia="de-DE"/>
        </w:rPr>
        <w:t xml:space="preserve"> β</w:t>
      </w:r>
      <w:proofErr w:type="spellStart"/>
      <w:r w:rsidRPr="00125C26">
        <w:rPr>
          <w:rFonts w:eastAsia="Times New Roman" w:cs="Times New Roman"/>
          <w:lang w:eastAsia="de-DE"/>
        </w:rPr>
        <w:t>δελύγμ</w:t>
      </w:r>
      <w:proofErr w:type="spellEnd"/>
      <w:r w:rsidRPr="00125C26">
        <w:rPr>
          <w:rFonts w:eastAsia="Times New Roman" w:cs="Times New Roman"/>
          <w:lang w:eastAsia="de-DE"/>
        </w:rPr>
        <w:t>ατα τα</w:t>
      </w:r>
      <w:proofErr w:type="spellStart"/>
      <w:r w:rsidRPr="00125C26">
        <w:rPr>
          <w:rFonts w:eastAsia="Times New Roman" w:cs="Times New Roman"/>
          <w:lang w:eastAsia="de-DE"/>
        </w:rPr>
        <w:t>ῦτ</w:t>
      </w:r>
      <w:proofErr w:type="spellEnd"/>
      <w:r w:rsidRPr="00125C26">
        <w:rPr>
          <w:rFonts w:eastAsia="Times New Roman" w:cs="Times New Roman"/>
          <w:lang w:eastAsia="de-DE"/>
        </w:rPr>
        <w:t xml:space="preserve">α (diese Gräuel), </w:t>
      </w:r>
      <w:r w:rsidRPr="00125C26">
        <w:rPr>
          <w:rFonts w:eastAsia="Times New Roman" w:cs="Times New Roman"/>
          <w:b/>
          <w:bCs/>
          <w:rtl/>
          <w:lang w:eastAsia="de-DE"/>
        </w:rPr>
        <w:t>אנשי־הארץ</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οἱ</w:t>
      </w:r>
      <w:proofErr w:type="spellEnd"/>
      <w:r w:rsidRPr="00125C26">
        <w:rPr>
          <w:rFonts w:eastAsia="Times New Roman" w:cs="Times New Roman"/>
          <w:lang w:eastAsia="de-DE"/>
        </w:rPr>
        <w:t xml:space="preserve"> </w:t>
      </w:r>
      <w:proofErr w:type="spellStart"/>
      <w:r w:rsidRPr="00125C26">
        <w:rPr>
          <w:rFonts w:eastAsia="Times New Roman" w:cs="Times New Roman"/>
          <w:lang w:eastAsia="de-DE"/>
        </w:rPr>
        <w:t>ἄνθρω</w:t>
      </w:r>
      <w:proofErr w:type="spellEnd"/>
      <w:r w:rsidRPr="00125C26">
        <w:rPr>
          <w:rFonts w:eastAsia="Times New Roman" w:cs="Times New Roman"/>
          <w:lang w:eastAsia="de-DE"/>
        </w:rPr>
        <w:t xml:space="preserve">ποι </w:t>
      </w:r>
      <w:proofErr w:type="spellStart"/>
      <w:r w:rsidRPr="00125C26">
        <w:rPr>
          <w:rFonts w:eastAsia="Times New Roman" w:cs="Times New Roman"/>
          <w:lang w:eastAsia="de-DE"/>
        </w:rPr>
        <w:t>τῆς</w:t>
      </w:r>
      <w:proofErr w:type="spellEnd"/>
      <w:r w:rsidRPr="00125C26">
        <w:rPr>
          <w:rFonts w:eastAsia="Times New Roman" w:cs="Times New Roman"/>
          <w:lang w:eastAsia="de-DE"/>
        </w:rPr>
        <w:t xml:space="preserve"> </w:t>
      </w:r>
      <w:proofErr w:type="spellStart"/>
      <w:r w:rsidRPr="00125C26">
        <w:rPr>
          <w:rFonts w:eastAsia="Times New Roman" w:cs="Times New Roman"/>
          <w:lang w:eastAsia="de-DE"/>
        </w:rPr>
        <w:t>γῆς</w:t>
      </w:r>
      <w:proofErr w:type="spellEnd"/>
      <w:r w:rsidRPr="00125C26">
        <w:rPr>
          <w:rFonts w:eastAsia="Times New Roman" w:cs="Times New Roman"/>
          <w:lang w:eastAsia="de-DE"/>
        </w:rPr>
        <w:t xml:space="preserve"> (die Menschen des Landes) und </w:t>
      </w:r>
      <w:r w:rsidRPr="00125C26">
        <w:rPr>
          <w:rFonts w:eastAsia="Times New Roman" w:cs="Times New Roman"/>
          <w:b/>
          <w:bCs/>
          <w:rtl/>
          <w:lang w:eastAsia="de-DE"/>
        </w:rPr>
        <w:t>אשר לפניכם</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οἱ</w:t>
      </w:r>
      <w:proofErr w:type="spellEnd"/>
      <w:r w:rsidRPr="00125C26">
        <w:rPr>
          <w:rFonts w:eastAsia="Times New Roman" w:cs="Times New Roman"/>
          <w:lang w:eastAsia="de-DE"/>
        </w:rPr>
        <w:t xml:space="preserve"> </w:t>
      </w:r>
      <w:proofErr w:type="spellStart"/>
      <w:r w:rsidRPr="00125C26">
        <w:rPr>
          <w:rFonts w:eastAsia="Times New Roman" w:cs="Times New Roman"/>
          <w:lang w:eastAsia="de-DE"/>
        </w:rPr>
        <w:t>ὄντες</w:t>
      </w:r>
      <w:proofErr w:type="spellEnd"/>
      <w:r w:rsidRPr="00125C26">
        <w:rPr>
          <w:rFonts w:eastAsia="Times New Roman" w:cs="Times New Roman"/>
          <w:lang w:eastAsia="de-DE"/>
        </w:rPr>
        <w:t xml:space="preserve"> π</w:t>
      </w:r>
      <w:proofErr w:type="spellStart"/>
      <w:r w:rsidRPr="00125C26">
        <w:rPr>
          <w:rFonts w:eastAsia="Times New Roman" w:cs="Times New Roman"/>
          <w:lang w:eastAsia="de-DE"/>
        </w:rPr>
        <w:t>ρότεροι</w:t>
      </w:r>
      <w:proofErr w:type="spellEnd"/>
      <w:r w:rsidRPr="00125C26">
        <w:rPr>
          <w:rFonts w:eastAsia="Times New Roman" w:cs="Times New Roman"/>
          <w:lang w:eastAsia="de-DE"/>
        </w:rPr>
        <w:t xml:space="preserve"> </w:t>
      </w:r>
      <w:proofErr w:type="spellStart"/>
      <w:r w:rsidRPr="00125C26">
        <w:rPr>
          <w:rFonts w:eastAsia="Times New Roman" w:cs="Times New Roman"/>
          <w:lang w:eastAsia="de-DE"/>
        </w:rPr>
        <w:t>ὑμῶν</w:t>
      </w:r>
      <w:proofErr w:type="spellEnd"/>
      <w:r w:rsidRPr="00125C26">
        <w:rPr>
          <w:rFonts w:eastAsia="Times New Roman" w:cs="Times New Roman"/>
          <w:lang w:eastAsia="de-DE"/>
        </w:rPr>
        <w:t xml:space="preserve"> (die vor euch waren).</w:t>
      </w:r>
    </w:p>
    <w:p w14:paraId="5F83885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historische Begründung: kausale Einleitung + vollständige Gräuelpraxis + Landbewohner-Identifikation + temporale Einordnung + Landverunreinigung als Folge.</w:t>
      </w:r>
    </w:p>
    <w:p w14:paraId="541375CF"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begründet die Verbote durch die vollständige Gräuelpraxis der vormaligen Landbewohner.</w:t>
      </w:r>
    </w:p>
    <w:p w14:paraId="099B631D"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18,28</w:t>
      </w:r>
    </w:p>
    <w:p w14:paraId="29360C0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וְלֹֽא־תָקִ֤יא הָאָ֨רֶץ֙ אֶתְכֶ֔ם בְּטַמַּאֲכֶ֖ם אֹתָ֑הּ כַּאֲשֶׁ֥ר קָאָ֛ה אֶת־הַגּ֖וֹי אֲשֶׁ֥ר לִפְנֵיכֶֽם׃</w:t>
      </w:r>
    </w:p>
    <w:p w14:paraId="19774C3F"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damit das Land euch nicht ausspeie, wenn ihr es verunreinigt, so wie es die Nation ausgespien hat, die vor euch war.</w:t>
      </w:r>
    </w:p>
    <w:p w14:paraId="10B4C41D"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62DEDC13">
          <v:rect id="_x0000_i1558" style="width:0;height:1.5pt" o:hralign="center" o:hrstd="t" o:hr="t" fillcolor="#a0a0a0" stroked="f"/>
        </w:pict>
      </w:r>
    </w:p>
    <w:p w14:paraId="01D43AFF" w14:textId="56392CB2"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ולא־תקיא הארץ אתכם בטמאכם אתה כאשר קאה את־הגוי אשר לפניכם</w:t>
      </w:r>
      <w:r w:rsidRPr="00125C26">
        <w:rPr>
          <w:rFonts w:eastAsia="Times New Roman" w:cs="Times New Roman"/>
          <w:rtl/>
          <w:lang w:eastAsia="de-DE"/>
        </w:rPr>
        <w:t xml:space="preserve"> </w:t>
      </w:r>
      <w:r w:rsidRPr="00125C26">
        <w:rPr>
          <w:rFonts w:eastAsia="Times New Roman" w:cs="Times New Roman"/>
          <w:lang w:eastAsia="de-DE"/>
        </w:rPr>
        <w:t xml:space="preserve">warnt vor derselben Landvertreibung. </w:t>
      </w:r>
      <w:r w:rsidRPr="00125C26">
        <w:rPr>
          <w:rFonts w:eastAsia="Times New Roman" w:cs="Times New Roman"/>
          <w:b/>
          <w:bCs/>
          <w:rtl/>
          <w:lang w:eastAsia="de-DE"/>
        </w:rPr>
        <w:t>ולא־תקיא הארץ אתכם בטמאכם אתה</w:t>
      </w:r>
      <w:r w:rsidRPr="00125C26">
        <w:rPr>
          <w:rFonts w:eastAsia="Times New Roman" w:cs="Times New Roman"/>
          <w:rtl/>
          <w:lang w:eastAsia="de-DE"/>
        </w:rPr>
        <w:t xml:space="preserve"> </w:t>
      </w:r>
      <w:r w:rsidRPr="00125C26">
        <w:rPr>
          <w:rFonts w:eastAsia="Times New Roman" w:cs="Times New Roman"/>
          <w:lang w:eastAsia="de-DE"/>
        </w:rPr>
        <w:t xml:space="preserve">(damit das Land euch nicht ausspeie, wenn ihr es verunreinigt) - </w:t>
      </w:r>
      <w:r w:rsidRPr="00125C26">
        <w:rPr>
          <w:rFonts w:eastAsia="Times New Roman" w:cs="Times New Roman"/>
          <w:b/>
          <w:bCs/>
          <w:rtl/>
          <w:lang w:eastAsia="de-DE"/>
        </w:rPr>
        <w:t>ולא־תקיא</w:t>
      </w:r>
      <w:r w:rsidRPr="00125C26">
        <w:rPr>
          <w:rFonts w:eastAsia="Times New Roman" w:cs="Times New Roman"/>
          <w:rtl/>
          <w:lang w:eastAsia="de-DE"/>
        </w:rPr>
        <w:t xml:space="preserve"> </w:t>
      </w:r>
      <w:r w:rsidRPr="00125C26">
        <w:rPr>
          <w:rFonts w:eastAsia="Times New Roman" w:cs="Times New Roman"/>
          <w:lang w:eastAsia="de-DE"/>
        </w:rPr>
        <w:t xml:space="preserve">(und nicht ausspeie) im Hifil-Imperfekt mit Negation als Warnung. </w:t>
      </w:r>
      <w:r w:rsidRPr="00125C26">
        <w:rPr>
          <w:rFonts w:eastAsia="Times New Roman" w:cs="Times New Roman"/>
          <w:b/>
          <w:bCs/>
          <w:rtl/>
          <w:lang w:eastAsia="de-DE"/>
        </w:rPr>
        <w:t>הארץ אתכם</w:t>
      </w:r>
      <w:r w:rsidRPr="00125C26">
        <w:rPr>
          <w:rFonts w:eastAsia="Times New Roman" w:cs="Times New Roman"/>
          <w:rtl/>
          <w:lang w:eastAsia="de-DE"/>
        </w:rPr>
        <w:t xml:space="preserve"> </w:t>
      </w:r>
      <w:r w:rsidRPr="00125C26">
        <w:rPr>
          <w:rFonts w:eastAsia="Times New Roman" w:cs="Times New Roman"/>
          <w:lang w:eastAsia="de-DE"/>
        </w:rPr>
        <w:t xml:space="preserve">zeigt das Land als Subjekt und Israel als potentielles Objekt der Ausspeiung. </w:t>
      </w:r>
      <w:r w:rsidRPr="00125C26">
        <w:rPr>
          <w:rFonts w:eastAsia="Times New Roman" w:cs="Times New Roman"/>
          <w:b/>
          <w:bCs/>
          <w:rtl/>
          <w:lang w:eastAsia="de-DE"/>
        </w:rPr>
        <w:t>בטמאכם אתה</w:t>
      </w:r>
      <w:r w:rsidRPr="00125C26">
        <w:rPr>
          <w:rFonts w:eastAsia="Times New Roman" w:cs="Times New Roman"/>
          <w:rtl/>
          <w:lang w:eastAsia="de-DE"/>
        </w:rPr>
        <w:t xml:space="preserve"> </w:t>
      </w:r>
      <w:r w:rsidRPr="00125C26">
        <w:rPr>
          <w:rFonts w:eastAsia="Times New Roman" w:cs="Times New Roman"/>
          <w:lang w:eastAsia="de-DE"/>
        </w:rPr>
        <w:t xml:space="preserve">(wenn ihr es verunreinigt) - </w:t>
      </w:r>
      <w:r w:rsidRPr="00125C26">
        <w:rPr>
          <w:rFonts w:eastAsia="Times New Roman" w:cs="Times New Roman"/>
          <w:b/>
          <w:bCs/>
          <w:rtl/>
          <w:lang w:eastAsia="de-DE"/>
        </w:rPr>
        <w:t>בטמאכם</w:t>
      </w:r>
      <w:r w:rsidRPr="00125C26">
        <w:rPr>
          <w:rFonts w:eastAsia="Times New Roman" w:cs="Times New Roman"/>
          <w:rtl/>
          <w:lang w:eastAsia="de-DE"/>
        </w:rPr>
        <w:t xml:space="preserve"> </w:t>
      </w:r>
      <w:r w:rsidRPr="00125C26">
        <w:rPr>
          <w:rFonts w:eastAsia="Times New Roman" w:cs="Times New Roman"/>
          <w:lang w:eastAsia="de-DE"/>
        </w:rPr>
        <w:t>(wenn ihr verunreinigt) im Piel-Infinitiv-</w:t>
      </w:r>
      <w:r w:rsidR="005407E2">
        <w:rPr>
          <w:rFonts w:eastAsia="Times New Roman" w:cs="Times New Roman"/>
          <w:lang w:eastAsia="de-DE"/>
        </w:rPr>
        <w:t>Constructus</w:t>
      </w:r>
      <w:r w:rsidRPr="00125C26">
        <w:rPr>
          <w:rFonts w:eastAsia="Times New Roman" w:cs="Times New Roman"/>
          <w:lang w:eastAsia="de-DE"/>
        </w:rPr>
        <w:t xml:space="preserve"> mit Suffix, das Piel zeigt intensive Verunreinigung.</w:t>
      </w:r>
    </w:p>
    <w:p w14:paraId="45E7ED6D"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כאשר קאה את־הגוי אשר לפניכם</w:t>
      </w:r>
      <w:r w:rsidRPr="00125C26">
        <w:rPr>
          <w:rFonts w:eastAsia="Times New Roman" w:cs="Times New Roman"/>
          <w:rtl/>
          <w:lang w:eastAsia="de-DE"/>
        </w:rPr>
        <w:t xml:space="preserve"> </w:t>
      </w:r>
      <w:r w:rsidRPr="00125C26">
        <w:rPr>
          <w:rFonts w:eastAsia="Times New Roman" w:cs="Times New Roman"/>
          <w:lang w:eastAsia="de-DE"/>
        </w:rPr>
        <w:t xml:space="preserve">(so wie es die Nation ausgespien hat, die vor euch war) - </w:t>
      </w:r>
      <w:r w:rsidRPr="00125C26">
        <w:rPr>
          <w:rFonts w:eastAsia="Times New Roman" w:cs="Times New Roman"/>
          <w:b/>
          <w:bCs/>
          <w:rtl/>
          <w:lang w:eastAsia="de-DE"/>
        </w:rPr>
        <w:t>כאשר קאה</w:t>
      </w:r>
      <w:r w:rsidRPr="00125C26">
        <w:rPr>
          <w:rFonts w:eastAsia="Times New Roman" w:cs="Times New Roman"/>
          <w:rtl/>
          <w:lang w:eastAsia="de-DE"/>
        </w:rPr>
        <w:t xml:space="preserve"> </w:t>
      </w:r>
      <w:r w:rsidRPr="00125C26">
        <w:rPr>
          <w:rFonts w:eastAsia="Times New Roman" w:cs="Times New Roman"/>
          <w:lang w:eastAsia="de-DE"/>
        </w:rPr>
        <w:t xml:space="preserve">(so wie es ausgespien hat) zeigt den Präzedenzfall. </w:t>
      </w:r>
      <w:r w:rsidRPr="00125C26">
        <w:rPr>
          <w:rFonts w:eastAsia="Times New Roman" w:cs="Times New Roman"/>
          <w:b/>
          <w:bCs/>
          <w:rtl/>
          <w:lang w:eastAsia="de-DE"/>
        </w:rPr>
        <w:t>את־הגוי</w:t>
      </w:r>
      <w:r w:rsidRPr="00125C26">
        <w:rPr>
          <w:rFonts w:eastAsia="Times New Roman" w:cs="Times New Roman"/>
          <w:rtl/>
          <w:lang w:eastAsia="de-DE"/>
        </w:rPr>
        <w:t xml:space="preserve"> </w:t>
      </w:r>
      <w:r w:rsidRPr="00125C26">
        <w:rPr>
          <w:rFonts w:eastAsia="Times New Roman" w:cs="Times New Roman"/>
          <w:lang w:eastAsia="de-DE"/>
        </w:rPr>
        <w:t xml:space="preserve">(die Nation) im Singular für das kollektive Volk. </w:t>
      </w:r>
      <w:r w:rsidRPr="00125C26">
        <w:rPr>
          <w:rFonts w:eastAsia="Times New Roman" w:cs="Times New Roman"/>
          <w:b/>
          <w:bCs/>
          <w:rtl/>
          <w:lang w:eastAsia="de-DE"/>
        </w:rPr>
        <w:t>אשר לפניכם</w:t>
      </w:r>
      <w:r w:rsidRPr="00125C26">
        <w:rPr>
          <w:rFonts w:eastAsia="Times New Roman" w:cs="Times New Roman"/>
          <w:rtl/>
          <w:lang w:eastAsia="de-DE"/>
        </w:rPr>
        <w:t xml:space="preserve"> </w:t>
      </w:r>
      <w:r w:rsidRPr="00125C26">
        <w:rPr>
          <w:rFonts w:eastAsia="Times New Roman" w:cs="Times New Roman"/>
          <w:lang w:eastAsia="de-DE"/>
        </w:rPr>
        <w:t>entspricht V. 27.</w:t>
      </w:r>
    </w:p>
    <w:p w14:paraId="6D8C4F8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לא־תקיא</w:t>
      </w:r>
      <w:r w:rsidRPr="00125C26">
        <w:rPr>
          <w:rFonts w:eastAsia="Times New Roman" w:cs="Times New Roman"/>
          <w:rtl/>
          <w:lang w:eastAsia="de-DE"/>
        </w:rPr>
        <w:t xml:space="preserve"> </w:t>
      </w:r>
      <w:r w:rsidRPr="00125C26">
        <w:rPr>
          <w:rFonts w:eastAsia="Times New Roman" w:cs="Times New Roman"/>
          <w:lang w:eastAsia="de-DE"/>
        </w:rPr>
        <w:t xml:space="preserve">im Hifil zeigt das Land als aktiv handelnde Macht. </w:t>
      </w:r>
      <w:r w:rsidRPr="00125C26">
        <w:rPr>
          <w:rFonts w:eastAsia="Times New Roman" w:cs="Times New Roman"/>
          <w:b/>
          <w:bCs/>
          <w:rtl/>
          <w:lang w:eastAsia="de-DE"/>
        </w:rPr>
        <w:t>בטמאכם אתה</w:t>
      </w:r>
      <w:r w:rsidRPr="00125C26">
        <w:rPr>
          <w:rFonts w:eastAsia="Times New Roman" w:cs="Times New Roman"/>
          <w:rtl/>
          <w:lang w:eastAsia="de-DE"/>
        </w:rPr>
        <w:t xml:space="preserve"> </w:t>
      </w:r>
      <w:r w:rsidRPr="00125C26">
        <w:rPr>
          <w:rFonts w:eastAsia="Times New Roman" w:cs="Times New Roman"/>
          <w:lang w:eastAsia="de-DE"/>
        </w:rPr>
        <w:t xml:space="preserve">zeigt bedingte Warnung: falls Israel das Land verunreinigt. </w:t>
      </w:r>
      <w:r w:rsidRPr="00125C26">
        <w:rPr>
          <w:rFonts w:eastAsia="Times New Roman" w:cs="Times New Roman"/>
          <w:b/>
          <w:bCs/>
          <w:rtl/>
          <w:lang w:eastAsia="de-DE"/>
        </w:rPr>
        <w:t>כאשר קאה</w:t>
      </w:r>
      <w:r w:rsidRPr="00125C26">
        <w:rPr>
          <w:rFonts w:eastAsia="Times New Roman" w:cs="Times New Roman"/>
          <w:rtl/>
          <w:lang w:eastAsia="de-DE"/>
        </w:rPr>
        <w:t xml:space="preserve"> </w:t>
      </w:r>
      <w:r w:rsidRPr="00125C26">
        <w:rPr>
          <w:rFonts w:eastAsia="Times New Roman" w:cs="Times New Roman"/>
          <w:lang w:eastAsia="de-DE"/>
        </w:rPr>
        <w:t>etabliert historischen Präzedenzfall als Warnung.</w:t>
      </w:r>
    </w:p>
    <w:p w14:paraId="3AD4ED14" w14:textId="15F99FD4"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erweitert die Metapher: </w:t>
      </w:r>
      <w:proofErr w:type="spellStart"/>
      <w:r w:rsidR="00E705C5">
        <w:t>ἵν</w:t>
      </w:r>
      <w:proofErr w:type="spellEnd"/>
      <w:r w:rsidR="00E705C5">
        <w:t xml:space="preserve">α </w:t>
      </w:r>
      <w:proofErr w:type="spellStart"/>
      <w:r w:rsidR="00E705C5">
        <w:t>μὴ</w:t>
      </w:r>
      <w:proofErr w:type="spellEnd"/>
      <w:r w:rsidR="00E705C5">
        <w:t xml:space="preserve"> π</w:t>
      </w:r>
      <w:proofErr w:type="spellStart"/>
      <w:r w:rsidR="00E705C5">
        <w:t>ροσοχθίσῃ</w:t>
      </w:r>
      <w:proofErr w:type="spellEnd"/>
      <w:r w:rsidR="00E705C5">
        <w:t xml:space="preserve"> </w:t>
      </w:r>
      <w:proofErr w:type="spellStart"/>
      <w:r w:rsidR="00E705C5">
        <w:t>ὑμῖν</w:t>
      </w:r>
      <w:proofErr w:type="spellEnd"/>
      <w:r w:rsidR="00E705C5">
        <w:t xml:space="preserve"> ἡ </w:t>
      </w:r>
      <w:proofErr w:type="spellStart"/>
      <w:r w:rsidR="00E705C5">
        <w:t>γῆ</w:t>
      </w:r>
      <w:proofErr w:type="spellEnd"/>
      <w:r w:rsidR="00E705C5">
        <w:t xml:space="preserve"> (damit das Land nicht über euch empört wird), was die Erde als moralisch reagierendes Subjekt darstellt.</w:t>
      </w:r>
    </w:p>
    <w:p w14:paraId="1597E0B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lastRenderedPageBreak/>
        <w:t>Die Satzstruktur</w:t>
      </w:r>
      <w:r w:rsidRPr="00125C26">
        <w:rPr>
          <w:rFonts w:eastAsia="Times New Roman" w:cs="Times New Roman"/>
          <w:lang w:eastAsia="de-DE"/>
        </w:rPr>
        <w:t xml:space="preserve"> zeigt bedingte Warnung: Landausspeiungsverhinderung + bedingte Verunreinigung + historischer Präzedenzfall als Warnung.</w:t>
      </w:r>
    </w:p>
    <w:p w14:paraId="7E94E57B"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warnt Israel vor derselben Landvertreibung durch Verunreinigung wie bei den Kanaanäern.</w:t>
      </w:r>
    </w:p>
    <w:p w14:paraId="31349C71"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18,29</w:t>
      </w:r>
    </w:p>
    <w:p w14:paraId="4A625F2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כִּ֚י כָּל־אֲשֶׁ֣ר יַעֲשֶׂ֔ה מִכֹּ֖ל הַתּוֹעֵבֹ֣ת הָאֵ֑לֶּה וְנִכְרְת֛וּ הַנְּפָשׁ֥וֹת הָעֹשׂ֖וֹת מִקֶּ֥רֶב עַמָּֽם׃</w:t>
      </w:r>
    </w:p>
    <w:p w14:paraId="3AE9860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Denn jeder, der irgendeinen von all diesen Gräueln tut, - die Seelen, die ihn tun, sollen aus der Mitte ihres Volkes ausgerottet werden.</w:t>
      </w:r>
    </w:p>
    <w:p w14:paraId="2BC6B399"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pict w14:anchorId="1AADB73F">
          <v:rect id="_x0000_i1559" style="width:0;height:1.5pt" o:hralign="center" o:hrstd="t" o:hr="t" fillcolor="#a0a0a0" stroked="f"/>
        </w:pict>
      </w:r>
    </w:p>
    <w:p w14:paraId="00E4C94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כי כל־אשר יעשה מכל התועבת האלה ונכרתו הנפשות העשת מקרב עמם</w:t>
      </w:r>
      <w:r w:rsidRPr="00125C26">
        <w:rPr>
          <w:rFonts w:eastAsia="Times New Roman" w:cs="Times New Roman"/>
          <w:rtl/>
          <w:lang w:eastAsia="de-DE"/>
        </w:rPr>
        <w:t xml:space="preserve"> </w:t>
      </w:r>
      <w:r w:rsidRPr="00125C26">
        <w:rPr>
          <w:rFonts w:eastAsia="Times New Roman" w:cs="Times New Roman"/>
          <w:lang w:eastAsia="de-DE"/>
        </w:rPr>
        <w:t xml:space="preserve">zeigt die Strafandrohung für Übertretungen. </w:t>
      </w:r>
      <w:r w:rsidRPr="00125C26">
        <w:rPr>
          <w:rFonts w:eastAsia="Times New Roman" w:cs="Times New Roman"/>
          <w:b/>
          <w:bCs/>
          <w:rtl/>
          <w:lang w:eastAsia="de-DE"/>
        </w:rPr>
        <w:t>כי כל־אשר יעשה מכל התועבת האלה</w:t>
      </w:r>
      <w:r w:rsidRPr="00125C26">
        <w:rPr>
          <w:rFonts w:eastAsia="Times New Roman" w:cs="Times New Roman"/>
          <w:rtl/>
          <w:lang w:eastAsia="de-DE"/>
        </w:rPr>
        <w:t xml:space="preserve"> </w:t>
      </w:r>
      <w:r w:rsidRPr="00125C26">
        <w:rPr>
          <w:rFonts w:eastAsia="Times New Roman" w:cs="Times New Roman"/>
          <w:lang w:eastAsia="de-DE"/>
        </w:rPr>
        <w:t xml:space="preserve">(denn jeder, der irgendeinen von all diesen Gräueln tut) - </w:t>
      </w:r>
      <w:r w:rsidRPr="00125C26">
        <w:rPr>
          <w:rFonts w:eastAsia="Times New Roman" w:cs="Times New Roman"/>
          <w:b/>
          <w:bCs/>
          <w:rtl/>
          <w:lang w:eastAsia="de-DE"/>
        </w:rPr>
        <w:t>כי</w:t>
      </w:r>
      <w:r w:rsidRPr="00125C26">
        <w:rPr>
          <w:rFonts w:eastAsia="Times New Roman" w:cs="Times New Roman"/>
          <w:rtl/>
          <w:lang w:eastAsia="de-DE"/>
        </w:rPr>
        <w:t xml:space="preserve"> </w:t>
      </w:r>
      <w:r w:rsidRPr="00125C26">
        <w:rPr>
          <w:rFonts w:eastAsia="Times New Roman" w:cs="Times New Roman"/>
          <w:lang w:eastAsia="de-DE"/>
        </w:rPr>
        <w:t xml:space="preserve">(denn) zeigt kausale Begründung für die Warnung. </w:t>
      </w:r>
      <w:r w:rsidRPr="00125C26">
        <w:rPr>
          <w:rFonts w:eastAsia="Times New Roman" w:cs="Times New Roman"/>
          <w:b/>
          <w:bCs/>
          <w:rtl/>
          <w:lang w:eastAsia="de-DE"/>
        </w:rPr>
        <w:t>כל־אשר יעשה</w:t>
      </w:r>
      <w:r w:rsidRPr="00125C26">
        <w:rPr>
          <w:rFonts w:eastAsia="Times New Roman" w:cs="Times New Roman"/>
          <w:rtl/>
          <w:lang w:eastAsia="de-DE"/>
        </w:rPr>
        <w:t xml:space="preserve"> </w:t>
      </w:r>
      <w:r w:rsidRPr="00125C26">
        <w:rPr>
          <w:rFonts w:eastAsia="Times New Roman" w:cs="Times New Roman"/>
          <w:lang w:eastAsia="de-DE"/>
        </w:rPr>
        <w:t xml:space="preserve">(jeder, der tut) zeigt universelle Anwendung. </w:t>
      </w:r>
      <w:r w:rsidRPr="00125C26">
        <w:rPr>
          <w:rFonts w:eastAsia="Times New Roman" w:cs="Times New Roman"/>
          <w:b/>
          <w:bCs/>
          <w:rtl/>
          <w:lang w:eastAsia="de-DE"/>
        </w:rPr>
        <w:t>מכל התועבת האלה</w:t>
      </w:r>
      <w:r w:rsidRPr="00125C26">
        <w:rPr>
          <w:rFonts w:eastAsia="Times New Roman" w:cs="Times New Roman"/>
          <w:rtl/>
          <w:lang w:eastAsia="de-DE"/>
        </w:rPr>
        <w:t xml:space="preserve"> </w:t>
      </w:r>
      <w:r w:rsidRPr="00125C26">
        <w:rPr>
          <w:rFonts w:eastAsia="Times New Roman" w:cs="Times New Roman"/>
          <w:lang w:eastAsia="de-DE"/>
        </w:rPr>
        <w:t>(von all diesen Gräueln) zeigt, dass bereits einer der Gräuel zur Strafe führt.</w:t>
      </w:r>
    </w:p>
    <w:p w14:paraId="64097FD4"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ונכרתו הנפשות העשת מקרב עמם</w:t>
      </w:r>
      <w:r w:rsidRPr="00125C26">
        <w:rPr>
          <w:rFonts w:eastAsia="Times New Roman" w:cs="Times New Roman"/>
          <w:rtl/>
          <w:lang w:eastAsia="de-DE"/>
        </w:rPr>
        <w:t xml:space="preserve"> </w:t>
      </w:r>
      <w:r w:rsidRPr="00125C26">
        <w:rPr>
          <w:rFonts w:eastAsia="Times New Roman" w:cs="Times New Roman"/>
          <w:lang w:eastAsia="de-DE"/>
        </w:rPr>
        <w:t xml:space="preserve">(die Seelen, die ihn tun, sollen aus der Mitte ihres Volkes ausgerottet werden) - </w:t>
      </w:r>
      <w:r w:rsidRPr="00125C26">
        <w:rPr>
          <w:rFonts w:eastAsia="Times New Roman" w:cs="Times New Roman"/>
          <w:b/>
          <w:bCs/>
          <w:rtl/>
          <w:lang w:eastAsia="de-DE"/>
        </w:rPr>
        <w:t>ונכרתו</w:t>
      </w:r>
      <w:r w:rsidRPr="00125C26">
        <w:rPr>
          <w:rFonts w:eastAsia="Times New Roman" w:cs="Times New Roman"/>
          <w:rtl/>
          <w:lang w:eastAsia="de-DE"/>
        </w:rPr>
        <w:t xml:space="preserve"> </w:t>
      </w:r>
      <w:r w:rsidRPr="00125C26">
        <w:rPr>
          <w:rFonts w:eastAsia="Times New Roman" w:cs="Times New Roman"/>
          <w:lang w:eastAsia="de-DE"/>
        </w:rPr>
        <w:t xml:space="preserve">(und ausgerottet werden sollen) im Nifal-Perfekt mit Waw-Konsekutiv zeigt göttliche Strafvollstreckung. </w:t>
      </w:r>
      <w:r w:rsidRPr="00125C26">
        <w:rPr>
          <w:rFonts w:eastAsia="Times New Roman" w:cs="Times New Roman"/>
          <w:b/>
          <w:bCs/>
          <w:rtl/>
          <w:lang w:eastAsia="de-DE"/>
        </w:rPr>
        <w:t>הנפשות העשת</w:t>
      </w:r>
      <w:r w:rsidRPr="00125C26">
        <w:rPr>
          <w:rFonts w:eastAsia="Times New Roman" w:cs="Times New Roman"/>
          <w:rtl/>
          <w:lang w:eastAsia="de-DE"/>
        </w:rPr>
        <w:t xml:space="preserve"> </w:t>
      </w:r>
      <w:r w:rsidRPr="00125C26">
        <w:rPr>
          <w:rFonts w:eastAsia="Times New Roman" w:cs="Times New Roman"/>
          <w:lang w:eastAsia="de-DE"/>
        </w:rPr>
        <w:t xml:space="preserve">(die Seelen, die tun) - </w:t>
      </w:r>
      <w:r w:rsidRPr="00125C26">
        <w:rPr>
          <w:rFonts w:eastAsia="Times New Roman" w:cs="Times New Roman"/>
          <w:b/>
          <w:bCs/>
          <w:rtl/>
          <w:lang w:eastAsia="de-DE"/>
        </w:rPr>
        <w:t>העשת</w:t>
      </w:r>
      <w:r w:rsidRPr="00125C26">
        <w:rPr>
          <w:rFonts w:eastAsia="Times New Roman" w:cs="Times New Roman"/>
          <w:rtl/>
          <w:lang w:eastAsia="de-DE"/>
        </w:rPr>
        <w:t xml:space="preserve"> </w:t>
      </w:r>
      <w:r w:rsidRPr="00125C26">
        <w:rPr>
          <w:rFonts w:eastAsia="Times New Roman" w:cs="Times New Roman"/>
          <w:lang w:eastAsia="de-DE"/>
        </w:rPr>
        <w:t xml:space="preserve">(die Tuenden) als Partizip feminin Plural bezieht sich auf </w:t>
      </w:r>
      <w:r w:rsidRPr="00125C26">
        <w:rPr>
          <w:rFonts w:eastAsia="Times New Roman" w:cs="Times New Roman"/>
          <w:b/>
          <w:bCs/>
          <w:rtl/>
          <w:lang w:eastAsia="de-DE"/>
        </w:rPr>
        <w:t>נפשות</w:t>
      </w:r>
      <w:r w:rsidRPr="00125C26">
        <w:rPr>
          <w:rFonts w:eastAsia="Times New Roman" w:cs="Times New Roman"/>
          <w:rtl/>
          <w:lang w:eastAsia="de-DE"/>
        </w:rPr>
        <w:t xml:space="preserve"> </w:t>
      </w:r>
      <w:r w:rsidRPr="00125C26">
        <w:rPr>
          <w:rFonts w:eastAsia="Times New Roman" w:cs="Times New Roman"/>
          <w:lang w:eastAsia="de-DE"/>
        </w:rPr>
        <w:t xml:space="preserve">(Seelen). </w:t>
      </w:r>
      <w:r w:rsidRPr="00125C26">
        <w:rPr>
          <w:rFonts w:eastAsia="Times New Roman" w:cs="Times New Roman"/>
          <w:b/>
          <w:bCs/>
          <w:rtl/>
          <w:lang w:eastAsia="de-DE"/>
        </w:rPr>
        <w:t>מקרב עמם</w:t>
      </w:r>
      <w:r w:rsidRPr="00125C26">
        <w:rPr>
          <w:rFonts w:eastAsia="Times New Roman" w:cs="Times New Roman"/>
          <w:rtl/>
          <w:lang w:eastAsia="de-DE"/>
        </w:rPr>
        <w:t xml:space="preserve"> </w:t>
      </w:r>
      <w:r w:rsidRPr="00125C26">
        <w:rPr>
          <w:rFonts w:eastAsia="Times New Roman" w:cs="Times New Roman"/>
          <w:lang w:eastAsia="de-DE"/>
        </w:rPr>
        <w:t>(aus der Mitte ihres Volkes) zeigt Ausschluss aus der Gemeinschaft.</w:t>
      </w:r>
    </w:p>
    <w:p w14:paraId="5B79D13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כל־אשר יעשה מכל</w:t>
      </w:r>
      <w:r w:rsidRPr="00125C26">
        <w:rPr>
          <w:rFonts w:eastAsia="Times New Roman" w:cs="Times New Roman"/>
          <w:rtl/>
          <w:lang w:eastAsia="de-DE"/>
        </w:rPr>
        <w:t xml:space="preserve"> </w:t>
      </w:r>
      <w:r w:rsidRPr="00125C26">
        <w:rPr>
          <w:rFonts w:eastAsia="Times New Roman" w:cs="Times New Roman"/>
          <w:lang w:eastAsia="de-DE"/>
        </w:rPr>
        <w:t xml:space="preserve">zeigt: bereits eine Übertretung genügt für die Strafe. </w:t>
      </w:r>
      <w:r w:rsidRPr="00125C26">
        <w:rPr>
          <w:rFonts w:eastAsia="Times New Roman" w:cs="Times New Roman"/>
          <w:b/>
          <w:bCs/>
          <w:rtl/>
          <w:lang w:eastAsia="de-DE"/>
        </w:rPr>
        <w:t>הנפשות העשת</w:t>
      </w:r>
      <w:r w:rsidRPr="00125C26">
        <w:rPr>
          <w:rFonts w:eastAsia="Times New Roman" w:cs="Times New Roman"/>
          <w:rtl/>
          <w:lang w:eastAsia="de-DE"/>
        </w:rPr>
        <w:t xml:space="preserve"> </w:t>
      </w:r>
      <w:r w:rsidRPr="00125C26">
        <w:rPr>
          <w:rFonts w:eastAsia="Times New Roman" w:cs="Times New Roman"/>
          <w:lang w:eastAsia="de-DE"/>
        </w:rPr>
        <w:t xml:space="preserve">im Plural zeigt kollektive Anwendung auf alle Übertreter. </w:t>
      </w:r>
      <w:r w:rsidRPr="00125C26">
        <w:rPr>
          <w:rFonts w:eastAsia="Times New Roman" w:cs="Times New Roman"/>
          <w:b/>
          <w:bCs/>
          <w:rtl/>
          <w:lang w:eastAsia="de-DE"/>
        </w:rPr>
        <w:t>ונכרתו</w:t>
      </w:r>
      <w:r w:rsidRPr="00125C26">
        <w:rPr>
          <w:rFonts w:eastAsia="Times New Roman" w:cs="Times New Roman"/>
          <w:rtl/>
          <w:lang w:eastAsia="de-DE"/>
        </w:rPr>
        <w:t xml:space="preserve"> </w:t>
      </w:r>
      <w:r w:rsidRPr="00125C26">
        <w:rPr>
          <w:rFonts w:eastAsia="Times New Roman" w:cs="Times New Roman"/>
          <w:lang w:eastAsia="de-DE"/>
        </w:rPr>
        <w:t xml:space="preserve">als göttliche </w:t>
      </w:r>
      <w:r w:rsidRPr="00125C26">
        <w:rPr>
          <w:rFonts w:eastAsia="Times New Roman" w:cs="Times New Roman"/>
          <w:b/>
          <w:bCs/>
          <w:rtl/>
          <w:lang w:eastAsia="de-DE"/>
        </w:rPr>
        <w:t>כרת</w:t>
      </w:r>
      <w:r w:rsidRPr="00125C26">
        <w:rPr>
          <w:rFonts w:eastAsia="Times New Roman" w:cs="Times New Roman"/>
          <w:lang w:eastAsia="de-DE"/>
        </w:rPr>
        <w:t>-Strafe zeigt die schwerste Sanktion.</w:t>
      </w:r>
    </w:p>
    <w:p w14:paraId="6B5C112E"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übersetzt </w:t>
      </w:r>
      <w:r w:rsidRPr="00125C26">
        <w:rPr>
          <w:rFonts w:eastAsia="Times New Roman" w:cs="Times New Roman"/>
          <w:b/>
          <w:bCs/>
          <w:rtl/>
          <w:lang w:eastAsia="de-DE"/>
        </w:rPr>
        <w:t>יעשה</w:t>
      </w:r>
      <w:r w:rsidRPr="00125C26">
        <w:rPr>
          <w:rFonts w:eastAsia="Times New Roman" w:cs="Times New Roman"/>
          <w:rtl/>
          <w:lang w:eastAsia="de-DE"/>
        </w:rPr>
        <w:t xml:space="preserve"> </w:t>
      </w:r>
      <w:r w:rsidRPr="00125C26">
        <w:rPr>
          <w:rFonts w:eastAsia="Times New Roman" w:cs="Times New Roman"/>
          <w:lang w:eastAsia="de-DE"/>
        </w:rPr>
        <w:t>mit π</w:t>
      </w:r>
      <w:proofErr w:type="spellStart"/>
      <w:r w:rsidRPr="00125C26">
        <w:rPr>
          <w:rFonts w:eastAsia="Times New Roman" w:cs="Times New Roman"/>
          <w:lang w:eastAsia="de-DE"/>
        </w:rPr>
        <w:t>οιήσῃ</w:t>
      </w:r>
      <w:proofErr w:type="spellEnd"/>
      <w:r w:rsidRPr="00125C26">
        <w:rPr>
          <w:rFonts w:eastAsia="Times New Roman" w:cs="Times New Roman"/>
          <w:lang w:eastAsia="de-DE"/>
        </w:rPr>
        <w:t xml:space="preserve"> (tut), </w:t>
      </w:r>
      <w:r w:rsidRPr="00125C26">
        <w:rPr>
          <w:rFonts w:eastAsia="Times New Roman" w:cs="Times New Roman"/>
          <w:b/>
          <w:bCs/>
          <w:rtl/>
          <w:lang w:eastAsia="de-DE"/>
        </w:rPr>
        <w:t>הנפשות העשת</w:t>
      </w:r>
      <w:r w:rsidRPr="00125C26">
        <w:rPr>
          <w:rFonts w:eastAsia="Times New Roman" w:cs="Times New Roman"/>
          <w:rtl/>
          <w:lang w:eastAsia="de-DE"/>
        </w:rPr>
        <w:t xml:space="preserve"> </w:t>
      </w:r>
      <w:r w:rsidRPr="00125C26">
        <w:rPr>
          <w:rFonts w:eastAsia="Times New Roman" w:cs="Times New Roman"/>
          <w:lang w:eastAsia="de-DE"/>
        </w:rPr>
        <w:t xml:space="preserve">mit αἱ </w:t>
      </w:r>
      <w:proofErr w:type="spellStart"/>
      <w:r w:rsidRPr="00125C26">
        <w:rPr>
          <w:rFonts w:eastAsia="Times New Roman" w:cs="Times New Roman"/>
          <w:lang w:eastAsia="de-DE"/>
        </w:rPr>
        <w:t>ψυχ</w:t>
      </w:r>
      <w:proofErr w:type="spellEnd"/>
      <w:r w:rsidRPr="00125C26">
        <w:rPr>
          <w:rFonts w:eastAsia="Times New Roman" w:cs="Times New Roman"/>
          <w:lang w:eastAsia="de-DE"/>
        </w:rPr>
        <w:t>αὶ αἱ π</w:t>
      </w:r>
      <w:proofErr w:type="spellStart"/>
      <w:r w:rsidRPr="00125C26">
        <w:rPr>
          <w:rFonts w:eastAsia="Times New Roman" w:cs="Times New Roman"/>
          <w:lang w:eastAsia="de-DE"/>
        </w:rPr>
        <w:t>οιοῦσ</w:t>
      </w:r>
      <w:proofErr w:type="spellEnd"/>
      <w:r w:rsidRPr="00125C26">
        <w:rPr>
          <w:rFonts w:eastAsia="Times New Roman" w:cs="Times New Roman"/>
          <w:lang w:eastAsia="de-DE"/>
        </w:rPr>
        <w:t xml:space="preserve">αι (die Seelen, die tun) und </w:t>
      </w:r>
      <w:r w:rsidRPr="00125C26">
        <w:rPr>
          <w:rFonts w:eastAsia="Times New Roman" w:cs="Times New Roman"/>
          <w:b/>
          <w:bCs/>
          <w:rtl/>
          <w:lang w:eastAsia="de-DE"/>
        </w:rPr>
        <w:t>ונכרתו</w:t>
      </w:r>
      <w:r w:rsidRPr="00125C26">
        <w:rPr>
          <w:rFonts w:eastAsia="Times New Roman" w:cs="Times New Roman"/>
          <w:rtl/>
          <w:lang w:eastAsia="de-DE"/>
        </w:rPr>
        <w:t xml:space="preserve"> </w:t>
      </w:r>
      <w:r w:rsidRPr="00125C26">
        <w:rPr>
          <w:rFonts w:eastAsia="Times New Roman" w:cs="Times New Roman"/>
          <w:lang w:eastAsia="de-DE"/>
        </w:rPr>
        <w:t xml:space="preserve">mit </w:t>
      </w:r>
      <w:proofErr w:type="spellStart"/>
      <w:r w:rsidRPr="00125C26">
        <w:rPr>
          <w:rFonts w:eastAsia="Times New Roman" w:cs="Times New Roman"/>
          <w:lang w:eastAsia="de-DE"/>
        </w:rPr>
        <w:t>ἐξολεθρευθήσοντ</w:t>
      </w:r>
      <w:proofErr w:type="spellEnd"/>
      <w:r w:rsidRPr="00125C26">
        <w:rPr>
          <w:rFonts w:eastAsia="Times New Roman" w:cs="Times New Roman"/>
          <w:lang w:eastAsia="de-DE"/>
        </w:rPr>
        <w:t>αι (werden ausgerottet werden).</w:t>
      </w:r>
    </w:p>
    <w:p w14:paraId="460C089F"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Strafandrohung: kausale Begründung + universeller Täterkreis + Einzelübertretung als genügend + kollektive Ausrottungsstrafe.</w:t>
      </w:r>
    </w:p>
    <w:p w14:paraId="56B39FCA"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 xml:space="preserve">Dieser Vers droht die </w:t>
      </w:r>
      <w:r w:rsidRPr="00125C26">
        <w:rPr>
          <w:rFonts w:eastAsia="Times New Roman" w:cs="Times New Roman"/>
          <w:b/>
          <w:bCs/>
          <w:rtl/>
          <w:lang w:eastAsia="de-DE"/>
        </w:rPr>
        <w:t>כרת</w:t>
      </w:r>
      <w:r w:rsidRPr="00125C26">
        <w:rPr>
          <w:rFonts w:eastAsia="Times New Roman" w:cs="Times New Roman"/>
          <w:lang w:eastAsia="de-DE"/>
        </w:rPr>
        <w:t>-Strafe (Ausrottung) für jeden an, der auch nur einen der genannten Gräuel begeht.</w:t>
      </w:r>
    </w:p>
    <w:p w14:paraId="4405F507" w14:textId="77777777" w:rsidR="00125C26" w:rsidRPr="00125C26" w:rsidRDefault="00125C26" w:rsidP="00125C26">
      <w:pPr>
        <w:spacing w:before="100" w:beforeAutospacing="1" w:after="100" w:afterAutospacing="1" w:line="240" w:lineRule="auto"/>
        <w:outlineLvl w:val="1"/>
        <w:rPr>
          <w:rFonts w:eastAsia="Times New Roman" w:cs="Times New Roman"/>
          <w:b/>
          <w:bCs/>
          <w:sz w:val="36"/>
          <w:szCs w:val="36"/>
          <w:lang w:eastAsia="de-DE"/>
        </w:rPr>
      </w:pPr>
      <w:r w:rsidRPr="00125C26">
        <w:rPr>
          <w:rFonts w:eastAsia="Times New Roman" w:cs="Times New Roman"/>
          <w:b/>
          <w:bCs/>
          <w:sz w:val="36"/>
          <w:szCs w:val="36"/>
          <w:lang w:eastAsia="de-DE"/>
        </w:rPr>
        <w:t>Leviticus 18,30</w:t>
      </w:r>
    </w:p>
    <w:p w14:paraId="3395F5EB"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Hebräisch:</w:t>
      </w:r>
      <w:r w:rsidRPr="00125C26">
        <w:rPr>
          <w:rFonts w:eastAsia="Times New Roman" w:cs="Times New Roman"/>
          <w:lang w:eastAsia="de-DE"/>
        </w:rPr>
        <w:t xml:space="preserve"> </w:t>
      </w:r>
      <w:r w:rsidRPr="00125C26">
        <w:rPr>
          <w:rFonts w:eastAsia="Times New Roman" w:cs="Times New Roman"/>
          <w:rtl/>
          <w:lang w:eastAsia="de-DE"/>
        </w:rPr>
        <w:t>וּשְׁמַרְתֶּ֣ם אֶת־מִשְׁמַרְתִּ֗י לְבִלְתִּ֨י עֲשׂ֜וֹת מֵחֻקּ֤וֹת הַתּוֹעֵבֹת֙ אֲשֶׁ֣ר נַֽעֲשׂ֣וּ לִפְנֵיכֶ֔ם וְלֹ֥א תִֽטַּמְּא֖וּ בָּהֶ֑ם אֲנִ֖י יְהוָ֥ה אֱלֹהֵיכֶֽם׃</w:t>
      </w:r>
    </w:p>
    <w:p w14:paraId="1B081330"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Deutsch:</w:t>
      </w:r>
      <w:r w:rsidRPr="00125C26">
        <w:rPr>
          <w:rFonts w:eastAsia="Times New Roman" w:cs="Times New Roman"/>
          <w:lang w:eastAsia="de-DE"/>
        </w:rPr>
        <w:t xml:space="preserve"> Und ihr sollt meine Anordnung beachten, nichts zu tun von den gräulichen Satzungen, die vor euch getan wurden, und euch nicht durch sie zu verunreinigen. Ich bin der Ewige, Euer Gott.</w:t>
      </w:r>
    </w:p>
    <w:p w14:paraId="1FD4D19C" w14:textId="77777777" w:rsidR="00125C26" w:rsidRPr="00125C26" w:rsidRDefault="00A57720" w:rsidP="00125C26">
      <w:pPr>
        <w:spacing w:after="0" w:line="240" w:lineRule="auto"/>
        <w:rPr>
          <w:rFonts w:eastAsia="Times New Roman" w:cs="Times New Roman"/>
          <w:lang w:eastAsia="de-DE"/>
        </w:rPr>
      </w:pPr>
      <w:r>
        <w:rPr>
          <w:rFonts w:eastAsia="Times New Roman" w:cs="Times New Roman"/>
          <w:noProof/>
          <w:lang w:eastAsia="de-DE"/>
        </w:rPr>
        <w:lastRenderedPageBreak/>
        <w:pict w14:anchorId="155BA669">
          <v:rect id="_x0000_i1560" style="width:0;height:1.5pt" o:hralign="center" o:hrstd="t" o:hr="t" fillcolor="#a0a0a0" stroked="f"/>
        </w:pict>
      </w:r>
    </w:p>
    <w:p w14:paraId="427A17DA"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Kommentar:</w:t>
      </w:r>
      <w:r w:rsidRPr="00125C26">
        <w:rPr>
          <w:rFonts w:eastAsia="Times New Roman" w:cs="Times New Roman"/>
          <w:lang w:eastAsia="de-DE"/>
        </w:rPr>
        <w:t xml:space="preserve"> </w:t>
      </w:r>
      <w:r w:rsidRPr="00125C26">
        <w:rPr>
          <w:rFonts w:eastAsia="Times New Roman" w:cs="Times New Roman"/>
          <w:b/>
          <w:bCs/>
          <w:rtl/>
          <w:lang w:eastAsia="de-DE"/>
        </w:rPr>
        <w:t>ושמרתם את־משמרתי לבלתי עשות מחקות התועבת אשר נעשו לפניכם ולא תטמאו בהם אני יהוה אלהיכם</w:t>
      </w:r>
      <w:r w:rsidRPr="00125C26">
        <w:rPr>
          <w:rFonts w:eastAsia="Times New Roman" w:cs="Times New Roman"/>
          <w:rtl/>
          <w:lang w:eastAsia="de-DE"/>
        </w:rPr>
        <w:t xml:space="preserve"> </w:t>
      </w:r>
      <w:r w:rsidRPr="00125C26">
        <w:rPr>
          <w:rFonts w:eastAsia="Times New Roman" w:cs="Times New Roman"/>
          <w:lang w:eastAsia="de-DE"/>
        </w:rPr>
        <w:t xml:space="preserve">schließt das Kapitel mit umfassender Verpflichtung ab. </w:t>
      </w:r>
      <w:r w:rsidRPr="00125C26">
        <w:rPr>
          <w:rFonts w:eastAsia="Times New Roman" w:cs="Times New Roman"/>
          <w:b/>
          <w:bCs/>
          <w:rtl/>
          <w:lang w:eastAsia="de-DE"/>
        </w:rPr>
        <w:t>ושמרתם את־משמרתי</w:t>
      </w:r>
      <w:r w:rsidRPr="00125C26">
        <w:rPr>
          <w:rFonts w:eastAsia="Times New Roman" w:cs="Times New Roman"/>
          <w:rtl/>
          <w:lang w:eastAsia="de-DE"/>
        </w:rPr>
        <w:t xml:space="preserve"> </w:t>
      </w:r>
      <w:r w:rsidRPr="00125C26">
        <w:rPr>
          <w:rFonts w:eastAsia="Times New Roman" w:cs="Times New Roman"/>
          <w:lang w:eastAsia="de-DE"/>
        </w:rPr>
        <w:t xml:space="preserve">(und ihr sollt meine Anordnung beachten) - </w:t>
      </w:r>
      <w:r w:rsidRPr="00125C26">
        <w:rPr>
          <w:rFonts w:eastAsia="Times New Roman" w:cs="Times New Roman"/>
          <w:b/>
          <w:bCs/>
          <w:rtl/>
          <w:lang w:eastAsia="de-DE"/>
        </w:rPr>
        <w:t>ושמרתם</w:t>
      </w:r>
      <w:r w:rsidRPr="00125C26">
        <w:rPr>
          <w:rFonts w:eastAsia="Times New Roman" w:cs="Times New Roman"/>
          <w:rtl/>
          <w:lang w:eastAsia="de-DE"/>
        </w:rPr>
        <w:t xml:space="preserve"> </w:t>
      </w:r>
      <w:r w:rsidRPr="00125C26">
        <w:rPr>
          <w:rFonts w:eastAsia="Times New Roman" w:cs="Times New Roman"/>
          <w:lang w:eastAsia="de-DE"/>
        </w:rPr>
        <w:t xml:space="preserve">(und ihr sollt beachten) im Qal-Perfekt mit Waw-Konsekutiv. </w:t>
      </w:r>
      <w:r w:rsidRPr="00125C26">
        <w:rPr>
          <w:rFonts w:eastAsia="Times New Roman" w:cs="Times New Roman"/>
          <w:b/>
          <w:bCs/>
          <w:rtl/>
          <w:lang w:eastAsia="de-DE"/>
        </w:rPr>
        <w:t>משמרתי</w:t>
      </w:r>
      <w:r w:rsidRPr="00125C26">
        <w:rPr>
          <w:rFonts w:eastAsia="Times New Roman" w:cs="Times New Roman"/>
          <w:rtl/>
          <w:lang w:eastAsia="de-DE"/>
        </w:rPr>
        <w:t xml:space="preserve"> </w:t>
      </w:r>
      <w:r w:rsidRPr="00125C26">
        <w:rPr>
          <w:rFonts w:eastAsia="Times New Roman" w:cs="Times New Roman"/>
          <w:lang w:eastAsia="de-DE"/>
        </w:rPr>
        <w:t xml:space="preserve">(meine Anordnung) als intensivere Form von </w:t>
      </w:r>
      <w:r w:rsidRPr="00125C26">
        <w:rPr>
          <w:rFonts w:eastAsia="Times New Roman" w:cs="Times New Roman"/>
          <w:b/>
          <w:bCs/>
          <w:rtl/>
          <w:lang w:eastAsia="de-DE"/>
        </w:rPr>
        <w:t>משמרת</w:t>
      </w:r>
      <w:r w:rsidRPr="00125C26">
        <w:rPr>
          <w:rFonts w:eastAsia="Times New Roman" w:cs="Times New Roman"/>
          <w:rtl/>
          <w:lang w:eastAsia="de-DE"/>
        </w:rPr>
        <w:t xml:space="preserve"> </w:t>
      </w:r>
      <w:r w:rsidRPr="00125C26">
        <w:rPr>
          <w:rFonts w:eastAsia="Times New Roman" w:cs="Times New Roman"/>
          <w:lang w:eastAsia="de-DE"/>
        </w:rPr>
        <w:t>zeigt besondere Sorgfaltspflicht.</w:t>
      </w:r>
    </w:p>
    <w:p w14:paraId="60F1D94A"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לבלתי עשות מחקות התועבת אשר נעשו לפניכם</w:t>
      </w:r>
      <w:r w:rsidRPr="00125C26">
        <w:rPr>
          <w:rFonts w:eastAsia="Times New Roman" w:cs="Times New Roman"/>
          <w:rtl/>
          <w:lang w:eastAsia="de-DE"/>
        </w:rPr>
        <w:t xml:space="preserve"> </w:t>
      </w:r>
      <w:r w:rsidRPr="00125C26">
        <w:rPr>
          <w:rFonts w:eastAsia="Times New Roman" w:cs="Times New Roman"/>
          <w:lang w:eastAsia="de-DE"/>
        </w:rPr>
        <w:t xml:space="preserve">(nichts zu tun von den gräulichen Satzungen, die vor euch getan wurden) - </w:t>
      </w:r>
      <w:r w:rsidRPr="00125C26">
        <w:rPr>
          <w:rFonts w:eastAsia="Times New Roman" w:cs="Times New Roman"/>
          <w:b/>
          <w:bCs/>
          <w:rtl/>
          <w:lang w:eastAsia="de-DE"/>
        </w:rPr>
        <w:t>לבלתי עשות</w:t>
      </w:r>
      <w:r w:rsidRPr="00125C26">
        <w:rPr>
          <w:rFonts w:eastAsia="Times New Roman" w:cs="Times New Roman"/>
          <w:rtl/>
          <w:lang w:eastAsia="de-DE"/>
        </w:rPr>
        <w:t xml:space="preserve"> </w:t>
      </w:r>
      <w:r w:rsidRPr="00125C26">
        <w:rPr>
          <w:rFonts w:eastAsia="Times New Roman" w:cs="Times New Roman"/>
          <w:lang w:eastAsia="de-DE"/>
        </w:rPr>
        <w:t xml:space="preserve">(um nicht zu tun) zeigt negativen Zweck. </w:t>
      </w:r>
      <w:r w:rsidRPr="00125C26">
        <w:rPr>
          <w:rFonts w:eastAsia="Times New Roman" w:cs="Times New Roman"/>
          <w:b/>
          <w:bCs/>
          <w:rtl/>
          <w:lang w:eastAsia="de-DE"/>
        </w:rPr>
        <w:t>מחקות התועבת</w:t>
      </w:r>
      <w:r w:rsidRPr="00125C26">
        <w:rPr>
          <w:rFonts w:eastAsia="Times New Roman" w:cs="Times New Roman"/>
          <w:rtl/>
          <w:lang w:eastAsia="de-DE"/>
        </w:rPr>
        <w:t xml:space="preserve"> </w:t>
      </w:r>
      <w:r w:rsidRPr="00125C26">
        <w:rPr>
          <w:rFonts w:eastAsia="Times New Roman" w:cs="Times New Roman"/>
          <w:lang w:eastAsia="de-DE"/>
        </w:rPr>
        <w:t xml:space="preserve">(von den gräulichen Satzungen) - </w:t>
      </w:r>
      <w:r w:rsidRPr="00125C26">
        <w:rPr>
          <w:rFonts w:eastAsia="Times New Roman" w:cs="Times New Roman"/>
          <w:b/>
          <w:bCs/>
          <w:rtl/>
          <w:lang w:eastAsia="de-DE"/>
        </w:rPr>
        <w:t>חקות</w:t>
      </w:r>
      <w:r w:rsidRPr="00125C26">
        <w:rPr>
          <w:rFonts w:eastAsia="Times New Roman" w:cs="Times New Roman"/>
          <w:rtl/>
          <w:lang w:eastAsia="de-DE"/>
        </w:rPr>
        <w:t xml:space="preserve"> </w:t>
      </w:r>
      <w:r w:rsidRPr="00125C26">
        <w:rPr>
          <w:rFonts w:eastAsia="Times New Roman" w:cs="Times New Roman"/>
          <w:lang w:eastAsia="de-DE"/>
        </w:rPr>
        <w:t xml:space="preserve">(Satzungen) als systematische Praktiken. </w:t>
      </w:r>
      <w:r w:rsidRPr="00125C26">
        <w:rPr>
          <w:rFonts w:eastAsia="Times New Roman" w:cs="Times New Roman"/>
          <w:b/>
          <w:bCs/>
          <w:rtl/>
          <w:lang w:eastAsia="de-DE"/>
        </w:rPr>
        <w:t>אשר נעשו לפניכם</w:t>
      </w:r>
      <w:r w:rsidRPr="00125C26">
        <w:rPr>
          <w:rFonts w:eastAsia="Times New Roman" w:cs="Times New Roman"/>
          <w:rtl/>
          <w:lang w:eastAsia="de-DE"/>
        </w:rPr>
        <w:t xml:space="preserve"> </w:t>
      </w:r>
      <w:r w:rsidRPr="00125C26">
        <w:rPr>
          <w:rFonts w:eastAsia="Times New Roman" w:cs="Times New Roman"/>
          <w:lang w:eastAsia="de-DE"/>
        </w:rPr>
        <w:t>(die vor euch getan wurden) entspricht V. 27.</w:t>
      </w:r>
    </w:p>
    <w:p w14:paraId="3929D695"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ולא תטמאו בהם אני יהוה אלהיכם</w:t>
      </w:r>
      <w:r w:rsidRPr="00125C26">
        <w:rPr>
          <w:rFonts w:eastAsia="Times New Roman" w:cs="Times New Roman"/>
          <w:rtl/>
          <w:lang w:eastAsia="de-DE"/>
        </w:rPr>
        <w:t xml:space="preserve"> </w:t>
      </w:r>
      <w:r w:rsidRPr="00125C26">
        <w:rPr>
          <w:rFonts w:eastAsia="Times New Roman" w:cs="Times New Roman"/>
          <w:lang w:eastAsia="de-DE"/>
        </w:rPr>
        <w:t xml:space="preserve">(und euch nicht durch sie zu verunreinigen. Ich bin der Ewige, Euer Gott) - </w:t>
      </w:r>
      <w:r w:rsidRPr="00125C26">
        <w:rPr>
          <w:rFonts w:eastAsia="Times New Roman" w:cs="Times New Roman"/>
          <w:b/>
          <w:bCs/>
          <w:rtl/>
          <w:lang w:eastAsia="de-DE"/>
        </w:rPr>
        <w:t>ולא תטמאו</w:t>
      </w:r>
      <w:r w:rsidRPr="00125C26">
        <w:rPr>
          <w:rFonts w:eastAsia="Times New Roman" w:cs="Times New Roman"/>
          <w:rtl/>
          <w:lang w:eastAsia="de-DE"/>
        </w:rPr>
        <w:t xml:space="preserve"> </w:t>
      </w:r>
      <w:r w:rsidRPr="00125C26">
        <w:rPr>
          <w:rFonts w:eastAsia="Times New Roman" w:cs="Times New Roman"/>
          <w:lang w:eastAsia="de-DE"/>
        </w:rPr>
        <w:t xml:space="preserve">(und nicht verunreinigen) im Nifal-Imperfekt wiederholt V. 24. Die abschließende Formel </w:t>
      </w:r>
      <w:r w:rsidRPr="00125C26">
        <w:rPr>
          <w:rFonts w:eastAsia="Times New Roman" w:cs="Times New Roman"/>
          <w:b/>
          <w:bCs/>
          <w:rtl/>
          <w:lang w:eastAsia="de-DE"/>
        </w:rPr>
        <w:t>אני יהוה אלהיכם</w:t>
      </w:r>
      <w:r w:rsidRPr="00125C26">
        <w:rPr>
          <w:rFonts w:eastAsia="Times New Roman" w:cs="Times New Roman"/>
          <w:rtl/>
          <w:lang w:eastAsia="de-DE"/>
        </w:rPr>
        <w:t xml:space="preserve"> </w:t>
      </w:r>
      <w:r w:rsidRPr="00125C26">
        <w:rPr>
          <w:rFonts w:eastAsia="Times New Roman" w:cs="Times New Roman"/>
          <w:lang w:eastAsia="de-DE"/>
        </w:rPr>
        <w:t>entspricht V. 2 und rahmt das Kapitel.</w:t>
      </w:r>
    </w:p>
    <w:p w14:paraId="1519DEC9"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rtl/>
          <w:lang w:eastAsia="de-DE"/>
        </w:rPr>
        <w:t>משמרתי</w:t>
      </w:r>
      <w:r w:rsidRPr="00125C26">
        <w:rPr>
          <w:rFonts w:eastAsia="Times New Roman" w:cs="Times New Roman"/>
          <w:rtl/>
          <w:lang w:eastAsia="de-DE"/>
        </w:rPr>
        <w:t xml:space="preserve"> </w:t>
      </w:r>
      <w:r w:rsidRPr="00125C26">
        <w:rPr>
          <w:rFonts w:eastAsia="Times New Roman" w:cs="Times New Roman"/>
          <w:lang w:eastAsia="de-DE"/>
        </w:rPr>
        <w:t xml:space="preserve">als verstärkte Beachtungspflicht. </w:t>
      </w:r>
      <w:r w:rsidRPr="00125C26">
        <w:rPr>
          <w:rFonts w:eastAsia="Times New Roman" w:cs="Times New Roman"/>
          <w:b/>
          <w:bCs/>
          <w:rtl/>
          <w:lang w:eastAsia="de-DE"/>
        </w:rPr>
        <w:t>חקות התועבת</w:t>
      </w:r>
      <w:r w:rsidRPr="00125C26">
        <w:rPr>
          <w:rFonts w:eastAsia="Times New Roman" w:cs="Times New Roman"/>
          <w:rtl/>
          <w:lang w:eastAsia="de-DE"/>
        </w:rPr>
        <w:t xml:space="preserve"> </w:t>
      </w:r>
      <w:r w:rsidRPr="00125C26">
        <w:rPr>
          <w:rFonts w:eastAsia="Times New Roman" w:cs="Times New Roman"/>
          <w:lang w:eastAsia="de-DE"/>
        </w:rPr>
        <w:t xml:space="preserve">charakterisiert heidnische Praktiken als systematische Gräuel-Satzungen. Die Rahmung </w:t>
      </w:r>
      <w:r w:rsidRPr="00125C26">
        <w:rPr>
          <w:rFonts w:eastAsia="Times New Roman" w:cs="Times New Roman"/>
          <w:b/>
          <w:bCs/>
          <w:rtl/>
          <w:lang w:eastAsia="de-DE"/>
        </w:rPr>
        <w:t>אני יהוה אלהיכם</w:t>
      </w:r>
      <w:r w:rsidRPr="00125C26">
        <w:rPr>
          <w:rFonts w:eastAsia="Times New Roman" w:cs="Times New Roman"/>
          <w:rtl/>
          <w:lang w:eastAsia="de-DE"/>
        </w:rPr>
        <w:t xml:space="preserve"> </w:t>
      </w:r>
      <w:r w:rsidRPr="00125C26">
        <w:rPr>
          <w:rFonts w:eastAsia="Times New Roman" w:cs="Times New Roman"/>
          <w:lang w:eastAsia="de-DE"/>
        </w:rPr>
        <w:t>(V. 2, 30) betont göttliche Autorität.</w:t>
      </w:r>
    </w:p>
    <w:p w14:paraId="1C847188" w14:textId="057A659B"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LXX</w:t>
      </w:r>
      <w:r w:rsidRPr="00125C26">
        <w:rPr>
          <w:rFonts w:eastAsia="Times New Roman" w:cs="Times New Roman"/>
          <w:lang w:eastAsia="de-DE"/>
        </w:rPr>
        <w:t xml:space="preserve"> </w:t>
      </w:r>
      <w:r w:rsidR="00E705C5">
        <w:t xml:space="preserve">übersetzt </w:t>
      </w:r>
      <w:r w:rsidR="00E705C5">
        <w:rPr>
          <w:rtl/>
        </w:rPr>
        <w:t>משמרתי</w:t>
      </w:r>
      <w:r w:rsidR="00E705C5">
        <w:t xml:space="preserve"> (</w:t>
      </w:r>
      <w:proofErr w:type="spellStart"/>
      <w:r w:rsidR="00E705C5">
        <w:t>mishmarti</w:t>
      </w:r>
      <w:proofErr w:type="spellEnd"/>
      <w:r w:rsidR="00E705C5">
        <w:t xml:space="preserve"> - "meine Ordnung") als </w:t>
      </w:r>
      <w:proofErr w:type="spellStart"/>
      <w:r w:rsidR="00E705C5">
        <w:t>τὰ</w:t>
      </w:r>
      <w:proofErr w:type="spellEnd"/>
      <w:r w:rsidR="00E705C5">
        <w:t xml:space="preserve"> π</w:t>
      </w:r>
      <w:proofErr w:type="spellStart"/>
      <w:r w:rsidR="00E705C5">
        <w:t>ροστάγμ</w:t>
      </w:r>
      <w:proofErr w:type="spellEnd"/>
      <w:r w:rsidR="00E705C5">
        <w:t xml:space="preserve">ατά </w:t>
      </w:r>
      <w:proofErr w:type="spellStart"/>
      <w:r w:rsidR="00E705C5">
        <w:t>μου</w:t>
      </w:r>
      <w:proofErr w:type="spellEnd"/>
      <w:r w:rsidR="00E705C5">
        <w:t xml:space="preserve"> (meine Gebote) und </w:t>
      </w:r>
      <w:r w:rsidR="00E705C5">
        <w:rPr>
          <w:rtl/>
        </w:rPr>
        <w:t>חקות התועבת</w:t>
      </w:r>
      <w:r w:rsidR="00E705C5">
        <w:t xml:space="preserve"> (</w:t>
      </w:r>
      <w:proofErr w:type="spellStart"/>
      <w:r w:rsidR="00E705C5">
        <w:t>chuqqot</w:t>
      </w:r>
      <w:proofErr w:type="spellEnd"/>
      <w:r w:rsidR="00E705C5">
        <w:t xml:space="preserve"> </w:t>
      </w:r>
      <w:proofErr w:type="spellStart"/>
      <w:r w:rsidR="00E705C5">
        <w:t>hato'evot</w:t>
      </w:r>
      <w:proofErr w:type="spellEnd"/>
      <w:r w:rsidR="00E705C5">
        <w:t xml:space="preserve"> - "Satzungen der Gräuel") als </w:t>
      </w:r>
      <w:proofErr w:type="spellStart"/>
      <w:r w:rsidR="00E705C5">
        <w:t>τῶν</w:t>
      </w:r>
      <w:proofErr w:type="spellEnd"/>
      <w:r w:rsidR="00E705C5">
        <w:t xml:space="preserve"> </w:t>
      </w:r>
      <w:proofErr w:type="spellStart"/>
      <w:r w:rsidR="00E705C5">
        <w:t>νομίμων</w:t>
      </w:r>
      <w:proofErr w:type="spellEnd"/>
      <w:r w:rsidR="00E705C5">
        <w:t xml:space="preserve"> </w:t>
      </w:r>
      <w:proofErr w:type="spellStart"/>
      <w:r w:rsidR="00E705C5">
        <w:t>τῶν</w:t>
      </w:r>
      <w:proofErr w:type="spellEnd"/>
      <w:r w:rsidR="00E705C5">
        <w:t xml:space="preserve"> ἐβ</w:t>
      </w:r>
      <w:proofErr w:type="spellStart"/>
      <w:r w:rsidR="00E705C5">
        <w:t>δελυγμένων</w:t>
      </w:r>
      <w:proofErr w:type="spellEnd"/>
      <w:r w:rsidR="00E705C5">
        <w:t xml:space="preserve"> (der abscheulichen Gesetze).</w:t>
      </w:r>
      <w:r w:rsidRPr="00125C26">
        <w:rPr>
          <w:rFonts w:eastAsia="Times New Roman" w:cs="Times New Roman"/>
          <w:lang w:eastAsia="de-DE"/>
        </w:rPr>
        <w:t>.</w:t>
      </w:r>
    </w:p>
    <w:p w14:paraId="20041DD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Die Satzstruktur</w:t>
      </w:r>
      <w:r w:rsidRPr="00125C26">
        <w:rPr>
          <w:rFonts w:eastAsia="Times New Roman" w:cs="Times New Roman"/>
          <w:lang w:eastAsia="de-DE"/>
        </w:rPr>
        <w:t xml:space="preserve"> zeigt abschließende Verpflichtung: verstärkte Beachtungspflicht + negativer Zweck + historische Kontrastierung + Verunreinigungsverbot + göttliche Autoritätsbekräftigung.</w:t>
      </w:r>
    </w:p>
    <w:p w14:paraId="58F973C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Dieser Vers schließt das Kapitel mit der umfassenden Verpflichtung ab, sich von allen heidnischen Gräuel-Praktiken fernzuhalten.</w:t>
      </w:r>
    </w:p>
    <w:p w14:paraId="700765A2" w14:textId="77777777" w:rsid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lang w:eastAsia="de-DE"/>
        </w:rPr>
        <w:t xml:space="preserve">Kapitel 18 etabliert ein umfassendes System sexualethischer und kultischer Verbote als Alternative zu heidnischen Praktiken. Die Struktur zeigt: </w:t>
      </w:r>
    </w:p>
    <w:p w14:paraId="64A8786E" w14:textId="68B7D8DC"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1) Göttliche Autorität und Abgrenzungsgebot</w:t>
      </w:r>
      <w:r w:rsidRPr="00125C26">
        <w:rPr>
          <w:rFonts w:eastAsia="Times New Roman" w:cs="Times New Roman"/>
          <w:lang w:eastAsia="de-DE"/>
        </w:rPr>
        <w:t xml:space="preserve"> (V. 1-5): JHWH als alleinige Autorität etabliert radikale Abgrenzung von ägyptischen und kanaanäischen Praktiken mit der Lebensverheißung für Gesetzesgehorsam.</w:t>
      </w:r>
    </w:p>
    <w:p w14:paraId="2E20EE07" w14:textId="470011CE"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2) Umfassende Inzestverbote</w:t>
      </w:r>
      <w:r w:rsidRPr="00125C26">
        <w:rPr>
          <w:rFonts w:eastAsia="Times New Roman" w:cs="Times New Roman"/>
          <w:lang w:eastAsia="de-DE"/>
        </w:rPr>
        <w:t xml:space="preserve"> (V. 6-18): Das fundamentale Prinzip "niemand soll sich Blutsverwandten nähern" wird systematisch entfaltet: Eltern (V. 7-8), Geschwister aller Art (V. 9, 11), Enkelinnen (V. 10), Tanten beider Seiten (V. 12-13), Onkel und deren Frauen (V. 14), Schwiegertochter (V. 15), Schwägerin (V. 16), Frauen mit ihren Nachkommen (V. 17) und Schwesterpolygamie (V. 18). Die Begründungen variieren: Verwandtschaft (</w:t>
      </w:r>
      <w:r w:rsidRPr="00125C26">
        <w:rPr>
          <w:rFonts w:eastAsia="Times New Roman" w:cs="Times New Roman"/>
          <w:b/>
          <w:bCs/>
          <w:rtl/>
          <w:lang w:eastAsia="de-DE"/>
        </w:rPr>
        <w:t>שאר בשר</w:t>
      </w:r>
      <w:r w:rsidRPr="00125C26">
        <w:rPr>
          <w:rFonts w:eastAsia="Times New Roman" w:cs="Times New Roman"/>
          <w:lang w:eastAsia="de-DE"/>
        </w:rPr>
        <w:t>), Ehrenverlet</w:t>
      </w:r>
      <w:r>
        <w:rPr>
          <w:rFonts w:eastAsia="Times New Roman" w:cs="Times New Roman"/>
          <w:lang w:eastAsia="de-DE"/>
        </w:rPr>
        <w:t>z</w:t>
      </w:r>
      <w:r w:rsidRPr="00125C26">
        <w:rPr>
          <w:rFonts w:eastAsia="Times New Roman" w:cs="Times New Roman"/>
          <w:lang w:eastAsia="de-DE"/>
        </w:rPr>
        <w:t xml:space="preserve">ung, genealogische Identität oder </w:t>
      </w:r>
      <w:r w:rsidRPr="00125C26">
        <w:rPr>
          <w:rFonts w:eastAsia="Times New Roman" w:cs="Times New Roman"/>
          <w:b/>
          <w:bCs/>
          <w:rtl/>
          <w:lang w:eastAsia="de-DE"/>
        </w:rPr>
        <w:t>זמה</w:t>
      </w:r>
      <w:r w:rsidRPr="00125C26">
        <w:rPr>
          <w:rFonts w:eastAsia="Times New Roman" w:cs="Times New Roman"/>
          <w:rtl/>
          <w:lang w:eastAsia="de-DE"/>
        </w:rPr>
        <w:t xml:space="preserve"> </w:t>
      </w:r>
      <w:r w:rsidRPr="00125C26">
        <w:rPr>
          <w:rFonts w:eastAsia="Times New Roman" w:cs="Times New Roman"/>
          <w:lang w:eastAsia="de-DE"/>
        </w:rPr>
        <w:t>(Schandtat).</w:t>
      </w:r>
    </w:p>
    <w:p w14:paraId="405842C2"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3) Weitere Sexualverbote</w:t>
      </w:r>
      <w:r w:rsidRPr="00125C26">
        <w:rPr>
          <w:rFonts w:eastAsia="Times New Roman" w:cs="Times New Roman"/>
          <w:lang w:eastAsia="de-DE"/>
        </w:rPr>
        <w:t xml:space="preserve"> (V. 19-23): Verkehr während der Menstruation (V. 19), Ehebruch als Gemeinschaftsverletzung (V. 20), Molech-Kinderopfer als Gottesnamenschändung (V. 21), männliche Homosexualität als </w:t>
      </w:r>
      <w:r w:rsidRPr="00125C26">
        <w:rPr>
          <w:rFonts w:eastAsia="Times New Roman" w:cs="Times New Roman"/>
          <w:b/>
          <w:bCs/>
          <w:rtl/>
          <w:lang w:eastAsia="de-DE"/>
        </w:rPr>
        <w:t>תועבה</w:t>
      </w:r>
      <w:r w:rsidRPr="00125C26">
        <w:rPr>
          <w:rFonts w:eastAsia="Times New Roman" w:cs="Times New Roman"/>
          <w:rtl/>
          <w:lang w:eastAsia="de-DE"/>
        </w:rPr>
        <w:t xml:space="preserve"> </w:t>
      </w:r>
      <w:r w:rsidRPr="00125C26">
        <w:rPr>
          <w:rFonts w:eastAsia="Times New Roman" w:cs="Times New Roman"/>
          <w:lang w:eastAsia="de-DE"/>
        </w:rPr>
        <w:t xml:space="preserve">(Gräuel) (V. 22) und Zoophilie für beide Geschlechter als </w:t>
      </w:r>
      <w:r w:rsidRPr="00125C26">
        <w:rPr>
          <w:rFonts w:eastAsia="Times New Roman" w:cs="Times New Roman"/>
          <w:b/>
          <w:bCs/>
          <w:rtl/>
          <w:lang w:eastAsia="de-DE"/>
        </w:rPr>
        <w:t>תבל</w:t>
      </w:r>
      <w:r w:rsidRPr="00125C26">
        <w:rPr>
          <w:rFonts w:eastAsia="Times New Roman" w:cs="Times New Roman"/>
          <w:rtl/>
          <w:lang w:eastAsia="de-DE"/>
        </w:rPr>
        <w:t xml:space="preserve"> </w:t>
      </w:r>
      <w:r w:rsidRPr="00125C26">
        <w:rPr>
          <w:rFonts w:eastAsia="Times New Roman" w:cs="Times New Roman"/>
          <w:lang w:eastAsia="de-DE"/>
        </w:rPr>
        <w:t>(schändliche Befleckung) (V. 23).</w:t>
      </w:r>
    </w:p>
    <w:p w14:paraId="1505D981"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lastRenderedPageBreak/>
        <w:t>4) Theologische Begründung und Warnungen</w:t>
      </w:r>
      <w:r w:rsidRPr="00125C26">
        <w:rPr>
          <w:rFonts w:eastAsia="Times New Roman" w:cs="Times New Roman"/>
          <w:lang w:eastAsia="de-DE"/>
        </w:rPr>
        <w:t xml:space="preserve"> (V. 24-30): Die Verbote werden durch die Vertreibung der Kanaanäer begründet, die sich durch diese Praktiken verunreinigten. Das </w:t>
      </w:r>
      <w:r w:rsidRPr="00125C26">
        <w:rPr>
          <w:rFonts w:eastAsia="Times New Roman" w:cs="Times New Roman"/>
          <w:b/>
          <w:bCs/>
          <w:lang w:eastAsia="de-DE"/>
        </w:rPr>
        <w:t>Land selbst</w:t>
      </w:r>
      <w:r w:rsidRPr="00125C26">
        <w:rPr>
          <w:rFonts w:eastAsia="Times New Roman" w:cs="Times New Roman"/>
          <w:lang w:eastAsia="de-DE"/>
        </w:rPr>
        <w:t xml:space="preserve"> wird als moralisch reagierende Größe dargestellt, die Sünder "ausspeit". Die </w:t>
      </w:r>
      <w:r w:rsidRPr="00125C26">
        <w:rPr>
          <w:rFonts w:eastAsia="Times New Roman" w:cs="Times New Roman"/>
          <w:b/>
          <w:bCs/>
          <w:rtl/>
          <w:lang w:eastAsia="de-DE"/>
        </w:rPr>
        <w:t>כרת</w:t>
      </w:r>
      <w:r w:rsidRPr="00125C26">
        <w:rPr>
          <w:rFonts w:eastAsia="Times New Roman" w:cs="Times New Roman"/>
          <w:lang w:eastAsia="de-DE"/>
        </w:rPr>
        <w:t>-Strafe (Ausrottung) droht allen Übertretern.</w:t>
      </w:r>
    </w:p>
    <w:p w14:paraId="1C75F937" w14:textId="77777777" w:rsidR="00125C26" w:rsidRP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Theologische Bedeutung:</w:t>
      </w:r>
      <w:r w:rsidRPr="00125C26">
        <w:rPr>
          <w:rFonts w:eastAsia="Times New Roman" w:cs="Times New Roman"/>
          <w:lang w:eastAsia="de-DE"/>
        </w:rPr>
        <w:t xml:space="preserve"> Das Kapitel zeigt </w:t>
      </w:r>
      <w:r w:rsidRPr="00125C26">
        <w:rPr>
          <w:rFonts w:eastAsia="Times New Roman" w:cs="Times New Roman"/>
          <w:b/>
          <w:bCs/>
          <w:lang w:eastAsia="de-DE"/>
        </w:rPr>
        <w:t>Sexualität als sakrale Ordnung</w:t>
      </w:r>
      <w:r w:rsidRPr="00125C26">
        <w:rPr>
          <w:rFonts w:eastAsia="Times New Roman" w:cs="Times New Roman"/>
          <w:lang w:eastAsia="de-DE"/>
        </w:rPr>
        <w:t xml:space="preserve">: alle sexuellen Beziehungen unterliegen göttlicher Regulierung. Die </w:t>
      </w:r>
      <w:r w:rsidRPr="00125C26">
        <w:rPr>
          <w:rFonts w:eastAsia="Times New Roman" w:cs="Times New Roman"/>
          <w:b/>
          <w:bCs/>
          <w:lang w:eastAsia="de-DE"/>
        </w:rPr>
        <w:t>Verwandtschafts-Systematik</w:t>
      </w:r>
      <w:r w:rsidRPr="00125C26">
        <w:rPr>
          <w:rFonts w:eastAsia="Times New Roman" w:cs="Times New Roman"/>
          <w:lang w:eastAsia="de-DE"/>
        </w:rPr>
        <w:t xml:space="preserve"> schützt Familienstrukturen und verhindert Machtmissbrauch. Die </w:t>
      </w:r>
      <w:r w:rsidRPr="00125C26">
        <w:rPr>
          <w:rFonts w:eastAsia="Times New Roman" w:cs="Times New Roman"/>
          <w:b/>
          <w:bCs/>
          <w:lang w:eastAsia="de-DE"/>
        </w:rPr>
        <w:t>Abgrenzung von heidnischen Praktiken</w:t>
      </w:r>
      <w:r w:rsidRPr="00125C26">
        <w:rPr>
          <w:rFonts w:eastAsia="Times New Roman" w:cs="Times New Roman"/>
          <w:lang w:eastAsia="de-DE"/>
        </w:rPr>
        <w:t xml:space="preserve"> dient der Erhaltung israelitischer Identität. Das </w:t>
      </w:r>
      <w:r w:rsidRPr="00125C26">
        <w:rPr>
          <w:rFonts w:eastAsia="Times New Roman" w:cs="Times New Roman"/>
          <w:b/>
          <w:bCs/>
          <w:lang w:eastAsia="de-DE"/>
        </w:rPr>
        <w:t>Land als moralischer Akteur</w:t>
      </w:r>
      <w:r w:rsidRPr="00125C26">
        <w:rPr>
          <w:rFonts w:eastAsia="Times New Roman" w:cs="Times New Roman"/>
          <w:lang w:eastAsia="de-DE"/>
        </w:rPr>
        <w:t xml:space="preserve"> zeigt kosmische Dimensionen ethischen Verhaltens.</w:t>
      </w:r>
    </w:p>
    <w:p w14:paraId="74E6742A" w14:textId="74C89A2D" w:rsidR="00125C26" w:rsidRDefault="00125C26" w:rsidP="00125C26">
      <w:pPr>
        <w:spacing w:before="100" w:beforeAutospacing="1" w:after="100" w:afterAutospacing="1" w:line="240" w:lineRule="auto"/>
        <w:rPr>
          <w:rFonts w:eastAsia="Times New Roman" w:cs="Times New Roman"/>
          <w:lang w:eastAsia="de-DE"/>
        </w:rPr>
      </w:pPr>
      <w:r w:rsidRPr="00125C26">
        <w:rPr>
          <w:rFonts w:eastAsia="Times New Roman" w:cs="Times New Roman"/>
          <w:b/>
          <w:bCs/>
          <w:lang w:eastAsia="de-DE"/>
        </w:rPr>
        <w:t>Besonderheiten:</w:t>
      </w:r>
      <w:r w:rsidRPr="00125C26">
        <w:rPr>
          <w:rFonts w:eastAsia="Times New Roman" w:cs="Times New Roman"/>
          <w:lang w:eastAsia="de-DE"/>
        </w:rPr>
        <w:t xml:space="preserve"> Die </w:t>
      </w:r>
      <w:r w:rsidRPr="00125C26">
        <w:rPr>
          <w:rFonts w:eastAsia="Times New Roman" w:cs="Times New Roman"/>
          <w:b/>
          <w:bCs/>
          <w:lang w:eastAsia="de-DE"/>
        </w:rPr>
        <w:t>graduellen Begründungen</w:t>
      </w:r>
      <w:r w:rsidRPr="00125C26">
        <w:rPr>
          <w:rFonts w:eastAsia="Times New Roman" w:cs="Times New Roman"/>
          <w:lang w:eastAsia="de-DE"/>
        </w:rPr>
        <w:t xml:space="preserve"> (Verwandtschaft, Ehre, Identität) zeigen differenzierte Ethik. Die </w:t>
      </w:r>
      <w:r w:rsidRPr="00125C26">
        <w:rPr>
          <w:rFonts w:eastAsia="Times New Roman" w:cs="Times New Roman"/>
          <w:b/>
          <w:bCs/>
          <w:lang w:eastAsia="de-DE"/>
        </w:rPr>
        <w:t>Einbeziehung der Fremden</w:t>
      </w:r>
      <w:r w:rsidRPr="00125C26">
        <w:rPr>
          <w:rFonts w:eastAsia="Times New Roman" w:cs="Times New Roman"/>
          <w:lang w:eastAsia="de-DE"/>
        </w:rPr>
        <w:t xml:space="preserve"> (</w:t>
      </w:r>
      <w:r w:rsidRPr="00125C26">
        <w:rPr>
          <w:rFonts w:eastAsia="Times New Roman" w:cs="Times New Roman"/>
          <w:b/>
          <w:bCs/>
          <w:rtl/>
          <w:lang w:eastAsia="de-DE"/>
        </w:rPr>
        <w:t>גר</w:t>
      </w:r>
      <w:r w:rsidRPr="00125C26">
        <w:rPr>
          <w:rFonts w:eastAsia="Times New Roman" w:cs="Times New Roman"/>
          <w:lang w:eastAsia="de-DE"/>
        </w:rPr>
        <w:t xml:space="preserve">) in alle Verbote zeigt universelle Gültigkeit im Land Israel. Die </w:t>
      </w:r>
      <w:r w:rsidRPr="00125C26">
        <w:rPr>
          <w:rFonts w:eastAsia="Times New Roman" w:cs="Times New Roman"/>
          <w:b/>
          <w:bCs/>
          <w:lang w:eastAsia="de-DE"/>
        </w:rPr>
        <w:t>Rahmenstruktur</w:t>
      </w:r>
      <w:r w:rsidRPr="00125C26">
        <w:rPr>
          <w:rFonts w:eastAsia="Times New Roman" w:cs="Times New Roman"/>
          <w:lang w:eastAsia="de-DE"/>
        </w:rPr>
        <w:t xml:space="preserve"> (</w:t>
      </w:r>
      <w:r w:rsidRPr="00125C26">
        <w:rPr>
          <w:rFonts w:eastAsia="Times New Roman" w:cs="Times New Roman"/>
          <w:b/>
          <w:bCs/>
          <w:rtl/>
          <w:lang w:eastAsia="de-DE"/>
        </w:rPr>
        <w:t>אני יהוה אלהיכם</w:t>
      </w:r>
      <w:r w:rsidRPr="00125C26">
        <w:rPr>
          <w:rFonts w:eastAsia="Times New Roman" w:cs="Times New Roman"/>
          <w:rtl/>
          <w:lang w:eastAsia="de-DE"/>
        </w:rPr>
        <w:t xml:space="preserve"> </w:t>
      </w:r>
      <w:r w:rsidRPr="00125C26">
        <w:rPr>
          <w:rFonts w:eastAsia="Times New Roman" w:cs="Times New Roman"/>
          <w:lang w:eastAsia="de-DE"/>
        </w:rPr>
        <w:t>in V. 2 und 30) betont göttliche Autorität als einzige Grundlage der Sexualethik.</w:t>
      </w:r>
    </w:p>
    <w:p w14:paraId="4ECF9F2B" w14:textId="38D535F8" w:rsidR="00E705C5" w:rsidRPr="00125C26" w:rsidRDefault="00E705C5" w:rsidP="00125C26">
      <w:pPr>
        <w:spacing w:before="100" w:beforeAutospacing="1" w:after="100" w:afterAutospacing="1" w:line="240" w:lineRule="auto"/>
        <w:rPr>
          <w:rFonts w:eastAsia="Times New Roman" w:cs="Times New Roman"/>
          <w:lang w:eastAsia="de-DE"/>
        </w:rPr>
      </w:pPr>
      <w:r>
        <w:rPr>
          <w:rStyle w:val="Fett"/>
        </w:rPr>
        <w:t>Textkritische Beobachtung</w:t>
      </w:r>
      <w:r>
        <w:t>: Levitikus 18 zeigt in der LXX eine systematische Entmythologisierung und Moralisierung. Molech wird zum "Herrscher", die Erde wird zu einem moralisch reagierenden Subjekt, und Fremdlinge werden zu religiösen Konvertiten. Die sexualethischen Bestimmungen werden durch euphemistische griechische Terminologie gemildert, während die religiöse Dimension verstärkt wird. Dies deutet auf eine Anpassung an hellenistische Moralvorstellungen und diaspora-jüdische Verhältnisse hin.</w:t>
      </w:r>
    </w:p>
    <w:p w14:paraId="1E863E7D"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19,1</w:t>
      </w:r>
    </w:p>
    <w:p w14:paraId="1F17FDC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וַיְדַבֵּ֥ר יְהוָ֖ה אֶל־מֹשֶׁ֥ה לֵּאמֹֽר׃</w:t>
      </w:r>
    </w:p>
    <w:p w14:paraId="76708AB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der Ewige redete zu Mosche, sagend:</w:t>
      </w:r>
    </w:p>
    <w:p w14:paraId="5687A318"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0C94F8EC">
          <v:rect id="_x0000_i1561" style="width:0;height:1.5pt" o:hralign="center" o:hrstd="t" o:hr="t" fillcolor="#a0a0a0" stroked="f"/>
        </w:pict>
      </w:r>
    </w:p>
    <w:p w14:paraId="2C88A42A" w14:textId="119D0D9A"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וידבר יהוה אל־משה לאמר</w:t>
      </w:r>
      <w:r w:rsidRPr="00434555">
        <w:rPr>
          <w:rFonts w:eastAsia="Times New Roman" w:cs="Times New Roman"/>
          <w:rtl/>
          <w:lang w:eastAsia="de-DE"/>
        </w:rPr>
        <w:t xml:space="preserve"> </w:t>
      </w:r>
      <w:r w:rsidRPr="00434555">
        <w:rPr>
          <w:rFonts w:eastAsia="Times New Roman" w:cs="Times New Roman"/>
          <w:lang w:eastAsia="de-DE"/>
        </w:rPr>
        <w:t xml:space="preserve">als Standardeinleitungsformel. </w:t>
      </w:r>
      <w:r w:rsidRPr="00434555">
        <w:rPr>
          <w:rFonts w:eastAsia="Times New Roman" w:cs="Times New Roman"/>
          <w:b/>
          <w:bCs/>
          <w:rtl/>
          <w:lang w:eastAsia="de-DE"/>
        </w:rPr>
        <w:t>וידבר</w:t>
      </w:r>
      <w:r w:rsidRPr="00434555">
        <w:rPr>
          <w:rFonts w:eastAsia="Times New Roman" w:cs="Times New Roman"/>
          <w:rtl/>
          <w:lang w:eastAsia="de-DE"/>
        </w:rPr>
        <w:t xml:space="preserve"> </w:t>
      </w:r>
      <w:r w:rsidRPr="00434555">
        <w:rPr>
          <w:rFonts w:eastAsia="Times New Roman" w:cs="Times New Roman"/>
          <w:lang w:eastAsia="de-DE"/>
        </w:rPr>
        <w:t xml:space="preserve">(und er redete) im Piel-Imperfekt mit Waw-Konsekutiv - das Piel zeigt intensives, autoritatives göttliches Sprechen. </w:t>
      </w:r>
      <w:r w:rsidRPr="00434555">
        <w:rPr>
          <w:rFonts w:eastAsia="Times New Roman" w:cs="Times New Roman"/>
          <w:b/>
          <w:bCs/>
          <w:rtl/>
          <w:lang w:eastAsia="de-DE"/>
        </w:rPr>
        <w:t>לאמר</w:t>
      </w:r>
      <w:r w:rsidRPr="00434555">
        <w:rPr>
          <w:rFonts w:eastAsia="Times New Roman" w:cs="Times New Roman"/>
          <w:rtl/>
          <w:lang w:eastAsia="de-DE"/>
        </w:rPr>
        <w:t xml:space="preserve"> </w:t>
      </w:r>
      <w:r w:rsidRPr="00434555">
        <w:rPr>
          <w:rFonts w:eastAsia="Times New Roman" w:cs="Times New Roman"/>
          <w:lang w:eastAsia="de-DE"/>
        </w:rPr>
        <w:t>(sagend) als Infinitiv-</w:t>
      </w:r>
      <w:r w:rsidR="005407E2">
        <w:rPr>
          <w:rFonts w:eastAsia="Times New Roman" w:cs="Times New Roman"/>
          <w:lang w:eastAsia="de-DE"/>
        </w:rPr>
        <w:t>Constructus</w:t>
      </w:r>
      <w:r w:rsidRPr="00434555">
        <w:rPr>
          <w:rFonts w:eastAsia="Times New Roman" w:cs="Times New Roman"/>
          <w:lang w:eastAsia="de-DE"/>
        </w:rPr>
        <w:t xml:space="preserve"> von </w:t>
      </w:r>
      <w:r w:rsidRPr="00434555">
        <w:rPr>
          <w:rFonts w:eastAsia="Times New Roman" w:cs="Times New Roman"/>
          <w:b/>
          <w:bCs/>
          <w:rtl/>
          <w:lang w:eastAsia="de-DE"/>
        </w:rPr>
        <w:t>אמר</w:t>
      </w:r>
      <w:r w:rsidRPr="00434555">
        <w:rPr>
          <w:rFonts w:eastAsia="Times New Roman" w:cs="Times New Roman"/>
          <w:rtl/>
          <w:lang w:eastAsia="de-DE"/>
        </w:rPr>
        <w:t xml:space="preserve"> </w:t>
      </w:r>
      <w:r w:rsidRPr="00434555">
        <w:rPr>
          <w:rFonts w:eastAsia="Times New Roman" w:cs="Times New Roman"/>
          <w:lang w:eastAsia="de-DE"/>
        </w:rPr>
        <w:t>leitet das berühmte "Heiligkeitsgesetz" ein.</w:t>
      </w:r>
    </w:p>
    <w:p w14:paraId="110EADF0"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וידבר</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ἐλάλησεν</w:t>
      </w:r>
      <w:proofErr w:type="spellEnd"/>
      <w:r w:rsidRPr="00434555">
        <w:rPr>
          <w:rFonts w:eastAsia="Times New Roman" w:cs="Times New Roman"/>
          <w:lang w:eastAsia="de-DE"/>
        </w:rPr>
        <w:t xml:space="preserve"> (er sprach) und </w:t>
      </w:r>
      <w:r w:rsidRPr="00434555">
        <w:rPr>
          <w:rFonts w:eastAsia="Times New Roman" w:cs="Times New Roman"/>
          <w:b/>
          <w:bCs/>
          <w:rtl/>
          <w:lang w:eastAsia="de-DE"/>
        </w:rPr>
        <w:t>לאמר</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λέγων</w:t>
      </w:r>
      <w:proofErr w:type="spellEnd"/>
      <w:r w:rsidRPr="00434555">
        <w:rPr>
          <w:rFonts w:eastAsia="Times New Roman" w:cs="Times New Roman"/>
          <w:lang w:eastAsia="de-DE"/>
        </w:rPr>
        <w:t xml:space="preserve"> (sagend).</w:t>
      </w:r>
    </w:p>
    <w:p w14:paraId="7B33790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neue Offenbarungseinleitung: göttliches autoritatives Sprechen + Empfängeridentifikation + Redeeinleitung.</w:t>
      </w:r>
    </w:p>
    <w:p w14:paraId="00B6B4CC"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leitet das zentrale Kapitel der praktischen Heiligung ein.</w:t>
      </w:r>
    </w:p>
    <w:p w14:paraId="7C42B2DF"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19,2</w:t>
      </w:r>
    </w:p>
    <w:p w14:paraId="25D52121"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דַּבֵּ֞ר אֶל־כָּל־עֲדַ֧ת בְּנֵי־יִשְׂרָאֵ֛ל וְאָמַרְתָּ֥ אֲלֵהֶ֖ם קְדֹשִׁ֣ים תִּהְי֑וּ כִּ֣י קָד֔וֹשׁ אֲנִ֖י יְהוָ֥ה אֱלֹהֵיכֶֽם׃</w:t>
      </w:r>
    </w:p>
    <w:p w14:paraId="7C64C7A0"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Rede zu der ganzen Gemeinde der Kinder Jisra'els und sage ihnen: Heilig sollt ihr sein; denn heilig bin ich, der Ewige, euer Gott.</w:t>
      </w:r>
    </w:p>
    <w:p w14:paraId="414B40C2"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lastRenderedPageBreak/>
        <w:pict w14:anchorId="4A1E1F2B">
          <v:rect id="_x0000_i1562" style="width:0;height:1.5pt" o:hralign="center" o:hrstd="t" o:hr="t" fillcolor="#a0a0a0" stroked="f"/>
        </w:pict>
      </w:r>
    </w:p>
    <w:p w14:paraId="7F002139"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דבר אל־כל־עדת בני־ישראל ואמרת אלהם קדשים תהיו כי קדוש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etabliert das </w:t>
      </w:r>
      <w:proofErr w:type="spellStart"/>
      <w:r w:rsidRPr="00434555">
        <w:rPr>
          <w:rFonts w:eastAsia="Times New Roman" w:cs="Times New Roman"/>
          <w:lang w:eastAsia="de-DE"/>
        </w:rPr>
        <w:t>Heiligkeitsprinzip</w:t>
      </w:r>
      <w:proofErr w:type="spellEnd"/>
      <w:r w:rsidRPr="00434555">
        <w:rPr>
          <w:rFonts w:eastAsia="Times New Roman" w:cs="Times New Roman"/>
          <w:lang w:eastAsia="de-DE"/>
        </w:rPr>
        <w:t xml:space="preserve">. </w:t>
      </w:r>
      <w:r w:rsidRPr="00434555">
        <w:rPr>
          <w:rFonts w:eastAsia="Times New Roman" w:cs="Times New Roman"/>
          <w:b/>
          <w:bCs/>
          <w:rtl/>
          <w:lang w:eastAsia="de-DE"/>
        </w:rPr>
        <w:t>דבר אל־כל־עדת בני־ישראל</w:t>
      </w:r>
      <w:r w:rsidRPr="00434555">
        <w:rPr>
          <w:rFonts w:eastAsia="Times New Roman" w:cs="Times New Roman"/>
          <w:rtl/>
          <w:lang w:eastAsia="de-DE"/>
        </w:rPr>
        <w:t xml:space="preserve"> </w:t>
      </w:r>
      <w:r w:rsidRPr="00434555">
        <w:rPr>
          <w:rFonts w:eastAsia="Times New Roman" w:cs="Times New Roman"/>
          <w:lang w:eastAsia="de-DE"/>
        </w:rPr>
        <w:t xml:space="preserve">(rede zu der ganzen Gemeinde der Kinder Israels) - </w:t>
      </w:r>
      <w:r w:rsidRPr="00434555">
        <w:rPr>
          <w:rFonts w:eastAsia="Times New Roman" w:cs="Times New Roman"/>
          <w:b/>
          <w:bCs/>
          <w:rtl/>
          <w:lang w:eastAsia="de-DE"/>
        </w:rPr>
        <w:t>דבר</w:t>
      </w:r>
      <w:r w:rsidRPr="00434555">
        <w:rPr>
          <w:rFonts w:eastAsia="Times New Roman" w:cs="Times New Roman"/>
          <w:rtl/>
          <w:lang w:eastAsia="de-DE"/>
        </w:rPr>
        <w:t xml:space="preserve"> </w:t>
      </w:r>
      <w:r w:rsidRPr="00434555">
        <w:rPr>
          <w:rFonts w:eastAsia="Times New Roman" w:cs="Times New Roman"/>
          <w:lang w:eastAsia="de-DE"/>
        </w:rPr>
        <w:t xml:space="preserve">(rede) im Piel-Imperativ zeigt intensive Verkündigung. </w:t>
      </w:r>
      <w:r w:rsidRPr="00434555">
        <w:rPr>
          <w:rFonts w:eastAsia="Times New Roman" w:cs="Times New Roman"/>
          <w:b/>
          <w:bCs/>
          <w:rtl/>
          <w:lang w:eastAsia="de-DE"/>
        </w:rPr>
        <w:t>אל־כל־עדת</w:t>
      </w:r>
      <w:r w:rsidRPr="00434555">
        <w:rPr>
          <w:rFonts w:eastAsia="Times New Roman" w:cs="Times New Roman"/>
          <w:rtl/>
          <w:lang w:eastAsia="de-DE"/>
        </w:rPr>
        <w:t xml:space="preserve"> </w:t>
      </w:r>
      <w:r w:rsidRPr="00434555">
        <w:rPr>
          <w:rFonts w:eastAsia="Times New Roman" w:cs="Times New Roman"/>
          <w:lang w:eastAsia="de-DE"/>
        </w:rPr>
        <w:t>(zu der ganzen Gemeinde) betont die universelle Adressierung aller Israeliten, nicht nur der Priester.</w:t>
      </w:r>
    </w:p>
    <w:p w14:paraId="4307843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ואמרת אלהם קדשים תהיו</w:t>
      </w:r>
      <w:r w:rsidRPr="00434555">
        <w:rPr>
          <w:rFonts w:eastAsia="Times New Roman" w:cs="Times New Roman"/>
          <w:rtl/>
          <w:lang w:eastAsia="de-DE"/>
        </w:rPr>
        <w:t xml:space="preserve"> </w:t>
      </w:r>
      <w:r w:rsidRPr="00434555">
        <w:rPr>
          <w:rFonts w:eastAsia="Times New Roman" w:cs="Times New Roman"/>
          <w:lang w:eastAsia="de-DE"/>
        </w:rPr>
        <w:t xml:space="preserve">(und sage ihnen: Heilig sollt ihr sein) - </w:t>
      </w:r>
      <w:r w:rsidRPr="00434555">
        <w:rPr>
          <w:rFonts w:eastAsia="Times New Roman" w:cs="Times New Roman"/>
          <w:b/>
          <w:bCs/>
          <w:rtl/>
          <w:lang w:eastAsia="de-DE"/>
        </w:rPr>
        <w:t>קדשים תהיו</w:t>
      </w:r>
      <w:r w:rsidRPr="00434555">
        <w:rPr>
          <w:rFonts w:eastAsia="Times New Roman" w:cs="Times New Roman"/>
          <w:rtl/>
          <w:lang w:eastAsia="de-DE"/>
        </w:rPr>
        <w:t xml:space="preserve"> </w:t>
      </w:r>
      <w:r w:rsidRPr="00434555">
        <w:rPr>
          <w:rFonts w:eastAsia="Times New Roman" w:cs="Times New Roman"/>
          <w:lang w:eastAsia="de-DE"/>
        </w:rPr>
        <w:t xml:space="preserve">(heilig sollt ihr sein) im Qal-Imperfekt als Imperativ. </w:t>
      </w:r>
      <w:r w:rsidRPr="00434555">
        <w:rPr>
          <w:rFonts w:eastAsia="Times New Roman" w:cs="Times New Roman"/>
          <w:b/>
          <w:bCs/>
          <w:rtl/>
          <w:lang w:eastAsia="de-DE"/>
        </w:rPr>
        <w:t>קדושים</w:t>
      </w:r>
      <w:r w:rsidRPr="00434555">
        <w:rPr>
          <w:rFonts w:eastAsia="Times New Roman" w:cs="Times New Roman"/>
          <w:rtl/>
          <w:lang w:eastAsia="de-DE"/>
        </w:rPr>
        <w:t xml:space="preserve"> </w:t>
      </w:r>
      <w:r w:rsidRPr="00434555">
        <w:rPr>
          <w:rFonts w:eastAsia="Times New Roman" w:cs="Times New Roman"/>
          <w:lang w:eastAsia="de-DE"/>
        </w:rPr>
        <w:t>(heilige) als Adjektiv Plural zeigt den geforderten Zustand.</w:t>
      </w:r>
    </w:p>
    <w:p w14:paraId="1268EDC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כי קדוש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(denn heilig bin ich, der Ewige, euer Gott) begründet die Forderung durch göttliche Heiligkeit. </w:t>
      </w:r>
      <w:r w:rsidRPr="00434555">
        <w:rPr>
          <w:rFonts w:eastAsia="Times New Roman" w:cs="Times New Roman"/>
          <w:b/>
          <w:bCs/>
          <w:rtl/>
          <w:lang w:eastAsia="de-DE"/>
        </w:rPr>
        <w:t>קדוש אני</w:t>
      </w:r>
      <w:r w:rsidRPr="00434555">
        <w:rPr>
          <w:rFonts w:eastAsia="Times New Roman" w:cs="Times New Roman"/>
          <w:rtl/>
          <w:lang w:eastAsia="de-DE"/>
        </w:rPr>
        <w:t xml:space="preserve"> </w:t>
      </w:r>
      <w:r w:rsidRPr="00434555">
        <w:rPr>
          <w:rFonts w:eastAsia="Times New Roman" w:cs="Times New Roman"/>
          <w:lang w:eastAsia="de-DE"/>
        </w:rPr>
        <w:t>(heilig bin ich) etabliert die Begründung durch imitatio Dei.</w:t>
      </w:r>
    </w:p>
    <w:p w14:paraId="5E77C2EA"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כל־עדת בני־ישראל</w:t>
      </w:r>
      <w:r w:rsidRPr="00434555">
        <w:rPr>
          <w:rFonts w:eastAsia="Times New Roman" w:cs="Times New Roman"/>
          <w:rtl/>
          <w:lang w:eastAsia="de-DE"/>
        </w:rPr>
        <w:t xml:space="preserve"> </w:t>
      </w:r>
      <w:r w:rsidRPr="00434555">
        <w:rPr>
          <w:rFonts w:eastAsia="Times New Roman" w:cs="Times New Roman"/>
          <w:lang w:eastAsia="de-DE"/>
        </w:rPr>
        <w:t xml:space="preserve">zeigt, dass Heiligkeit nicht nur priesterliches Privileg ist. </w:t>
      </w:r>
      <w:r w:rsidRPr="00434555">
        <w:rPr>
          <w:rFonts w:eastAsia="Times New Roman" w:cs="Times New Roman"/>
          <w:b/>
          <w:bCs/>
          <w:rtl/>
          <w:lang w:eastAsia="de-DE"/>
        </w:rPr>
        <w:t>קדשים תהיו</w:t>
      </w:r>
      <w:r w:rsidRPr="00434555">
        <w:rPr>
          <w:rFonts w:eastAsia="Times New Roman" w:cs="Times New Roman"/>
          <w:rtl/>
          <w:lang w:eastAsia="de-DE"/>
        </w:rPr>
        <w:t xml:space="preserve"> </w:t>
      </w:r>
      <w:r w:rsidRPr="00434555">
        <w:rPr>
          <w:rFonts w:eastAsia="Times New Roman" w:cs="Times New Roman"/>
          <w:lang w:eastAsia="de-DE"/>
        </w:rPr>
        <w:t xml:space="preserve">als Imperativ zeigt Heiligung als Auftrag. </w:t>
      </w:r>
      <w:r w:rsidRPr="00434555">
        <w:rPr>
          <w:rFonts w:eastAsia="Times New Roman" w:cs="Times New Roman"/>
          <w:b/>
          <w:bCs/>
          <w:rtl/>
          <w:lang w:eastAsia="de-DE"/>
        </w:rPr>
        <w:t>כי קדוש אני</w:t>
      </w:r>
      <w:r w:rsidRPr="00434555">
        <w:rPr>
          <w:rFonts w:eastAsia="Times New Roman" w:cs="Times New Roman"/>
          <w:rtl/>
          <w:lang w:eastAsia="de-DE"/>
        </w:rPr>
        <w:t xml:space="preserve"> </w:t>
      </w:r>
      <w:r w:rsidRPr="00434555">
        <w:rPr>
          <w:rFonts w:eastAsia="Times New Roman" w:cs="Times New Roman"/>
          <w:lang w:eastAsia="de-DE"/>
        </w:rPr>
        <w:t>etabliert das Prinzip der Gottesähnlichkeit als Heiligkeitsgrund.</w:t>
      </w:r>
    </w:p>
    <w:p w14:paraId="337D64FF" w14:textId="0E48FC71"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w:t>
      </w:r>
      <w:r w:rsidR="004F25E8">
        <w:t xml:space="preserve">übersetzt </w:t>
      </w:r>
      <w:r w:rsidR="004F25E8">
        <w:rPr>
          <w:rtl/>
        </w:rPr>
        <w:t>עדת</w:t>
      </w:r>
      <w:r w:rsidR="004F25E8">
        <w:t xml:space="preserve"> (</w:t>
      </w:r>
      <w:proofErr w:type="spellStart"/>
      <w:r w:rsidR="004F25E8">
        <w:t>edat</w:t>
      </w:r>
      <w:proofErr w:type="spellEnd"/>
      <w:r w:rsidR="004F25E8">
        <w:t xml:space="preserve"> - "Gemeinde") als </w:t>
      </w:r>
      <w:proofErr w:type="spellStart"/>
      <w:r w:rsidR="004F25E8">
        <w:t>συν</w:t>
      </w:r>
      <w:proofErr w:type="spellEnd"/>
      <w:r w:rsidR="004F25E8">
        <w:t>αγωγῇ (Synagoge/Versammlung), was zum technischen Begriff für jüdische Gemeindeversammlungen wird.</w:t>
      </w:r>
    </w:p>
    <w:p w14:paraId="6C986A3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Heiligkeitsauftrag: universelle Verkündigung + Heiligkeitsimperativ + Begründung durch göttliche Heiligkeit.</w:t>
      </w:r>
    </w:p>
    <w:p w14:paraId="2E30C409"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berühmte Vers etabliert die universelle Heiligungsforderung für ganz Israel nach dem Prinzip der imitatio Dei.</w:t>
      </w:r>
    </w:p>
    <w:p w14:paraId="1FDD5C52"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19,3</w:t>
      </w:r>
    </w:p>
    <w:p w14:paraId="0A2B8178"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אִ֣ישׁ אִמֹּ֤ו וְאָבִיו֙ תִּירָ֔אוּ וְאֶת־שַׁבְּתֹתַ֖י תִּשְׁמֹ֑רוּ אֲנִ֖י יְהוָ֥ה אֱלֹהֵיכֶֽם׃</w:t>
      </w:r>
    </w:p>
    <w:p w14:paraId="42129D9A"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Ihr sollt ein jeder seine Mutter und seinen Vater fürchten; und meine Schabbate sollt ihr beachten. Ich bin der Ewige, euer Gott.</w:t>
      </w:r>
    </w:p>
    <w:p w14:paraId="5F3501F2"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009E9F9F">
          <v:rect id="_x0000_i1563" style="width:0;height:1.5pt" o:hralign="center" o:hrstd="t" o:hr="t" fillcolor="#a0a0a0" stroked="f"/>
        </w:pict>
      </w:r>
    </w:p>
    <w:p w14:paraId="0F989B6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איש אמו ואביו תיראו ואת־שבתתי תשמרו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verbindet Elternehrung mit Sabbatheiligung. </w:t>
      </w:r>
      <w:r w:rsidRPr="00434555">
        <w:rPr>
          <w:rFonts w:eastAsia="Times New Roman" w:cs="Times New Roman"/>
          <w:b/>
          <w:bCs/>
          <w:rtl/>
          <w:lang w:eastAsia="de-DE"/>
        </w:rPr>
        <w:t>איש אמו ואביו תיראו</w:t>
      </w:r>
      <w:r w:rsidRPr="00434555">
        <w:rPr>
          <w:rFonts w:eastAsia="Times New Roman" w:cs="Times New Roman"/>
          <w:rtl/>
          <w:lang w:eastAsia="de-DE"/>
        </w:rPr>
        <w:t xml:space="preserve"> </w:t>
      </w:r>
      <w:r w:rsidRPr="00434555">
        <w:rPr>
          <w:rFonts w:eastAsia="Times New Roman" w:cs="Times New Roman"/>
          <w:lang w:eastAsia="de-DE"/>
        </w:rPr>
        <w:t xml:space="preserve">(ihr sollt ein jeder seine Mutter und seinen Vater fürchten) - </w:t>
      </w:r>
      <w:r w:rsidRPr="00434555">
        <w:rPr>
          <w:rFonts w:eastAsia="Times New Roman" w:cs="Times New Roman"/>
          <w:b/>
          <w:bCs/>
          <w:rtl/>
          <w:lang w:eastAsia="de-DE"/>
        </w:rPr>
        <w:t>איש</w:t>
      </w:r>
      <w:r w:rsidRPr="00434555">
        <w:rPr>
          <w:rFonts w:eastAsia="Times New Roman" w:cs="Times New Roman"/>
          <w:rtl/>
          <w:lang w:eastAsia="de-DE"/>
        </w:rPr>
        <w:t xml:space="preserve"> </w:t>
      </w:r>
      <w:r w:rsidRPr="00434555">
        <w:rPr>
          <w:rFonts w:eastAsia="Times New Roman" w:cs="Times New Roman"/>
          <w:lang w:eastAsia="de-DE"/>
        </w:rPr>
        <w:t xml:space="preserve">(jeder) zeigt individuelle Verpflichtung. </w:t>
      </w:r>
      <w:r w:rsidRPr="00434555">
        <w:rPr>
          <w:rFonts w:eastAsia="Times New Roman" w:cs="Times New Roman"/>
          <w:b/>
          <w:bCs/>
          <w:rtl/>
          <w:lang w:eastAsia="de-DE"/>
        </w:rPr>
        <w:t>אמו ואביו</w:t>
      </w:r>
      <w:r w:rsidRPr="00434555">
        <w:rPr>
          <w:rFonts w:eastAsia="Times New Roman" w:cs="Times New Roman"/>
          <w:rtl/>
          <w:lang w:eastAsia="de-DE"/>
        </w:rPr>
        <w:t xml:space="preserve"> </w:t>
      </w:r>
      <w:r w:rsidRPr="00434555">
        <w:rPr>
          <w:rFonts w:eastAsia="Times New Roman" w:cs="Times New Roman"/>
          <w:lang w:eastAsia="de-DE"/>
        </w:rPr>
        <w:t>(seine Mutter und seinen Vater) zeigt die umgekehrte Reihenfolge zu Ex 20,12 (</w:t>
      </w:r>
      <w:r w:rsidRPr="00434555">
        <w:rPr>
          <w:rFonts w:eastAsia="Times New Roman" w:cs="Times New Roman"/>
          <w:b/>
          <w:bCs/>
          <w:rtl/>
          <w:lang w:eastAsia="de-DE"/>
        </w:rPr>
        <w:t>כבד את־אביך ואת־אמך</w:t>
      </w:r>
      <w:r w:rsidRPr="00434555">
        <w:rPr>
          <w:rFonts w:eastAsia="Times New Roman" w:cs="Times New Roman"/>
          <w:lang w:eastAsia="de-DE"/>
        </w:rPr>
        <w:t xml:space="preserve">), möglicherweise um beide Eltern gleichzusetzen. </w:t>
      </w:r>
      <w:r w:rsidRPr="00434555">
        <w:rPr>
          <w:rFonts w:eastAsia="Times New Roman" w:cs="Times New Roman"/>
          <w:b/>
          <w:bCs/>
          <w:rtl/>
          <w:lang w:eastAsia="de-DE"/>
        </w:rPr>
        <w:t>תיראו</w:t>
      </w:r>
      <w:r w:rsidRPr="00434555">
        <w:rPr>
          <w:rFonts w:eastAsia="Times New Roman" w:cs="Times New Roman"/>
          <w:rtl/>
          <w:lang w:eastAsia="de-DE"/>
        </w:rPr>
        <w:t xml:space="preserve"> </w:t>
      </w:r>
      <w:r w:rsidRPr="00434555">
        <w:rPr>
          <w:rFonts w:eastAsia="Times New Roman" w:cs="Times New Roman"/>
          <w:lang w:eastAsia="de-DE"/>
        </w:rPr>
        <w:t xml:space="preserve">(ihr sollt fürchten) im Qal-Imperfekt - </w:t>
      </w:r>
      <w:r w:rsidRPr="00434555">
        <w:rPr>
          <w:rFonts w:eastAsia="Times New Roman" w:cs="Times New Roman"/>
          <w:b/>
          <w:bCs/>
          <w:rtl/>
          <w:lang w:eastAsia="de-DE"/>
        </w:rPr>
        <w:t>ירא</w:t>
      </w:r>
      <w:r w:rsidRPr="00434555">
        <w:rPr>
          <w:rFonts w:eastAsia="Times New Roman" w:cs="Times New Roman"/>
          <w:rtl/>
          <w:lang w:eastAsia="de-DE"/>
        </w:rPr>
        <w:t xml:space="preserve"> </w:t>
      </w:r>
      <w:r w:rsidRPr="00434555">
        <w:rPr>
          <w:rFonts w:eastAsia="Times New Roman" w:cs="Times New Roman"/>
          <w:lang w:eastAsia="de-DE"/>
        </w:rPr>
        <w:t xml:space="preserve">(fürchten) ist stärker als </w:t>
      </w:r>
      <w:r w:rsidRPr="00434555">
        <w:rPr>
          <w:rFonts w:eastAsia="Times New Roman" w:cs="Times New Roman"/>
          <w:b/>
          <w:bCs/>
          <w:rtl/>
          <w:lang w:eastAsia="de-DE"/>
        </w:rPr>
        <w:t>כבד</w:t>
      </w:r>
      <w:r w:rsidRPr="00434555">
        <w:rPr>
          <w:rFonts w:eastAsia="Times New Roman" w:cs="Times New Roman"/>
          <w:rtl/>
          <w:lang w:eastAsia="de-DE"/>
        </w:rPr>
        <w:t xml:space="preserve"> </w:t>
      </w:r>
      <w:r w:rsidRPr="00434555">
        <w:rPr>
          <w:rFonts w:eastAsia="Times New Roman" w:cs="Times New Roman"/>
          <w:lang w:eastAsia="de-DE"/>
        </w:rPr>
        <w:t>(ehren) im Dekalog.</w:t>
      </w:r>
    </w:p>
    <w:p w14:paraId="6C8F5766"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ואת־שבתתי תשמרו</w:t>
      </w:r>
      <w:r w:rsidRPr="00434555">
        <w:rPr>
          <w:rFonts w:eastAsia="Times New Roman" w:cs="Times New Roman"/>
          <w:rtl/>
          <w:lang w:eastAsia="de-DE"/>
        </w:rPr>
        <w:t xml:space="preserve"> </w:t>
      </w:r>
      <w:r w:rsidRPr="00434555">
        <w:rPr>
          <w:rFonts w:eastAsia="Times New Roman" w:cs="Times New Roman"/>
          <w:lang w:eastAsia="de-DE"/>
        </w:rPr>
        <w:t xml:space="preserve">(und meine Sabbate sollt ihr beachten) - </w:t>
      </w:r>
      <w:r w:rsidRPr="00434555">
        <w:rPr>
          <w:rFonts w:eastAsia="Times New Roman" w:cs="Times New Roman"/>
          <w:b/>
          <w:bCs/>
          <w:rtl/>
          <w:lang w:eastAsia="de-DE"/>
        </w:rPr>
        <w:t>שבתתי</w:t>
      </w:r>
      <w:r w:rsidRPr="00434555">
        <w:rPr>
          <w:rFonts w:eastAsia="Times New Roman" w:cs="Times New Roman"/>
          <w:rtl/>
          <w:lang w:eastAsia="de-DE"/>
        </w:rPr>
        <w:t xml:space="preserve"> </w:t>
      </w:r>
      <w:r w:rsidRPr="00434555">
        <w:rPr>
          <w:rFonts w:eastAsia="Times New Roman" w:cs="Times New Roman"/>
          <w:lang w:eastAsia="de-DE"/>
        </w:rPr>
        <w:t xml:space="preserve">(meine Sabbate) im Plural kann alle Sabbate oder verschiedene Sabbattypen meinen. </w:t>
      </w:r>
      <w:r w:rsidRPr="00434555">
        <w:rPr>
          <w:rFonts w:eastAsia="Times New Roman" w:cs="Times New Roman"/>
          <w:b/>
          <w:bCs/>
          <w:rtl/>
          <w:lang w:eastAsia="de-DE"/>
        </w:rPr>
        <w:t>תשמרו</w:t>
      </w:r>
      <w:r w:rsidRPr="00434555">
        <w:rPr>
          <w:rFonts w:eastAsia="Times New Roman" w:cs="Times New Roman"/>
          <w:rtl/>
          <w:lang w:eastAsia="de-DE"/>
        </w:rPr>
        <w:t xml:space="preserve"> </w:t>
      </w:r>
      <w:r w:rsidRPr="00434555">
        <w:rPr>
          <w:rFonts w:eastAsia="Times New Roman" w:cs="Times New Roman"/>
          <w:lang w:eastAsia="de-DE"/>
        </w:rPr>
        <w:t>(ihr sollt beachten) im Qal-Imperfekt zeigt kontinuierliche Beachtungspflicht.</w:t>
      </w:r>
    </w:p>
    <w:p w14:paraId="5218C3B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lastRenderedPageBreak/>
        <w:t>אני יהוה אלהיכם</w:t>
      </w:r>
      <w:r w:rsidRPr="00434555">
        <w:rPr>
          <w:rFonts w:eastAsia="Times New Roman" w:cs="Times New Roman"/>
          <w:rtl/>
          <w:lang w:eastAsia="de-DE"/>
        </w:rPr>
        <w:t xml:space="preserve"> </w:t>
      </w:r>
      <w:r w:rsidRPr="00434555">
        <w:rPr>
          <w:rFonts w:eastAsia="Times New Roman" w:cs="Times New Roman"/>
          <w:lang w:eastAsia="de-DE"/>
        </w:rPr>
        <w:t>(ich bin der Ewige, euer Gott) als Autoritätsformel.</w:t>
      </w:r>
    </w:p>
    <w:p w14:paraId="1B1A01DA"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איש</w:t>
      </w:r>
      <w:r w:rsidRPr="00434555">
        <w:rPr>
          <w:rFonts w:eastAsia="Times New Roman" w:cs="Times New Roman"/>
          <w:rtl/>
          <w:lang w:eastAsia="de-DE"/>
        </w:rPr>
        <w:t xml:space="preserve"> </w:t>
      </w:r>
      <w:r w:rsidRPr="00434555">
        <w:rPr>
          <w:rFonts w:eastAsia="Times New Roman" w:cs="Times New Roman"/>
          <w:lang w:eastAsia="de-DE"/>
        </w:rPr>
        <w:t xml:space="preserve">zeigt individuelle Verantwortung trotz kollektiver Anrede. </w:t>
      </w:r>
      <w:r w:rsidRPr="00434555">
        <w:rPr>
          <w:rFonts w:eastAsia="Times New Roman" w:cs="Times New Roman"/>
          <w:b/>
          <w:bCs/>
          <w:rtl/>
          <w:lang w:eastAsia="de-DE"/>
        </w:rPr>
        <w:t>אמו ואביו</w:t>
      </w:r>
      <w:r w:rsidRPr="00434555">
        <w:rPr>
          <w:rFonts w:eastAsia="Times New Roman" w:cs="Times New Roman"/>
          <w:rtl/>
          <w:lang w:eastAsia="de-DE"/>
        </w:rPr>
        <w:t xml:space="preserve"> </w:t>
      </w:r>
      <w:r w:rsidRPr="00434555">
        <w:rPr>
          <w:rFonts w:eastAsia="Times New Roman" w:cs="Times New Roman"/>
          <w:lang w:eastAsia="de-DE"/>
        </w:rPr>
        <w:t xml:space="preserve">mit umgekehrter Reihenfolge betont mütterliche Gleichberechtigung. </w:t>
      </w:r>
      <w:r w:rsidRPr="00434555">
        <w:rPr>
          <w:rFonts w:eastAsia="Times New Roman" w:cs="Times New Roman"/>
          <w:b/>
          <w:bCs/>
          <w:rtl/>
          <w:lang w:eastAsia="de-DE"/>
        </w:rPr>
        <w:t>תיראו</w:t>
      </w:r>
      <w:r w:rsidRPr="00434555">
        <w:rPr>
          <w:rFonts w:eastAsia="Times New Roman" w:cs="Times New Roman"/>
          <w:rtl/>
          <w:lang w:eastAsia="de-DE"/>
        </w:rPr>
        <w:t xml:space="preserve"> </w:t>
      </w:r>
      <w:r w:rsidRPr="00434555">
        <w:rPr>
          <w:rFonts w:eastAsia="Times New Roman" w:cs="Times New Roman"/>
          <w:lang w:eastAsia="de-DE"/>
        </w:rPr>
        <w:t xml:space="preserve">vs. </w:t>
      </w:r>
      <w:r w:rsidRPr="00434555">
        <w:rPr>
          <w:rFonts w:eastAsia="Times New Roman" w:cs="Times New Roman"/>
          <w:b/>
          <w:bCs/>
          <w:rtl/>
          <w:lang w:eastAsia="de-DE"/>
        </w:rPr>
        <w:t>כבד</w:t>
      </w:r>
      <w:r w:rsidRPr="00434555">
        <w:rPr>
          <w:rFonts w:eastAsia="Times New Roman" w:cs="Times New Roman"/>
          <w:rtl/>
          <w:lang w:eastAsia="de-DE"/>
        </w:rPr>
        <w:t xml:space="preserve"> </w:t>
      </w:r>
      <w:r w:rsidRPr="00434555">
        <w:rPr>
          <w:rFonts w:eastAsia="Times New Roman" w:cs="Times New Roman"/>
          <w:lang w:eastAsia="de-DE"/>
        </w:rPr>
        <w:t>zeigt verstärkte Elternautorität. Die Verbindung von Elternehrung und Sabbat zeigt beide als Autoritätsstrukturen.</w:t>
      </w:r>
    </w:p>
    <w:p w14:paraId="4FC5DA0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איש</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ἕκ</w:t>
      </w:r>
      <w:proofErr w:type="spellEnd"/>
      <w:r w:rsidRPr="00434555">
        <w:rPr>
          <w:rFonts w:eastAsia="Times New Roman" w:cs="Times New Roman"/>
          <w:lang w:eastAsia="de-DE"/>
        </w:rPr>
        <w:t xml:space="preserve">αστος (jeder), </w:t>
      </w:r>
      <w:r w:rsidRPr="00434555">
        <w:rPr>
          <w:rFonts w:eastAsia="Times New Roman" w:cs="Times New Roman"/>
          <w:b/>
          <w:bCs/>
          <w:rtl/>
          <w:lang w:eastAsia="de-DE"/>
        </w:rPr>
        <w:t>תיראו</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φο</w:t>
      </w:r>
      <w:proofErr w:type="spellEnd"/>
      <w:r w:rsidRPr="00434555">
        <w:rPr>
          <w:rFonts w:eastAsia="Times New Roman" w:cs="Times New Roman"/>
          <w:lang w:eastAsia="de-DE"/>
        </w:rPr>
        <w:t xml:space="preserve">βείσθω (soll fürchten), </w:t>
      </w:r>
      <w:r w:rsidRPr="00434555">
        <w:rPr>
          <w:rFonts w:eastAsia="Times New Roman" w:cs="Times New Roman"/>
          <w:b/>
          <w:bCs/>
          <w:rtl/>
          <w:lang w:eastAsia="de-DE"/>
        </w:rPr>
        <w:t>שבתתי</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τὰ</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σά</w:t>
      </w:r>
      <w:proofErr w:type="spellEnd"/>
      <w:r w:rsidRPr="00434555">
        <w:rPr>
          <w:rFonts w:eastAsia="Times New Roman" w:cs="Times New Roman"/>
          <w:lang w:eastAsia="de-DE"/>
        </w:rPr>
        <w:t xml:space="preserve">ββατά </w:t>
      </w:r>
      <w:proofErr w:type="spellStart"/>
      <w:r w:rsidRPr="00434555">
        <w:rPr>
          <w:rFonts w:eastAsia="Times New Roman" w:cs="Times New Roman"/>
          <w:lang w:eastAsia="de-DE"/>
        </w:rPr>
        <w:t>μου</w:t>
      </w:r>
      <w:proofErr w:type="spellEnd"/>
      <w:r w:rsidRPr="00434555">
        <w:rPr>
          <w:rFonts w:eastAsia="Times New Roman" w:cs="Times New Roman"/>
          <w:lang w:eastAsia="de-DE"/>
        </w:rPr>
        <w:t xml:space="preserve"> (meine Sabbate) und </w:t>
      </w:r>
      <w:r w:rsidRPr="00434555">
        <w:rPr>
          <w:rFonts w:eastAsia="Times New Roman" w:cs="Times New Roman"/>
          <w:b/>
          <w:bCs/>
          <w:rtl/>
          <w:lang w:eastAsia="de-DE"/>
        </w:rPr>
        <w:t>תשמרו</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φυλάσσεσθε</w:t>
      </w:r>
      <w:proofErr w:type="spellEnd"/>
      <w:r w:rsidRPr="00434555">
        <w:rPr>
          <w:rFonts w:eastAsia="Times New Roman" w:cs="Times New Roman"/>
          <w:lang w:eastAsia="de-DE"/>
        </w:rPr>
        <w:t xml:space="preserve"> (bewahrt).</w:t>
      </w:r>
    </w:p>
    <w:p w14:paraId="7449B2C7"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doppelte Autoritätsverpflichtung: individuelle Elternfurcht + kollektive Sabbatbeachtung + göttliche Autoritätsbekräftigung.</w:t>
      </w:r>
    </w:p>
    <w:p w14:paraId="4A5C68A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verbindet Elternehrung und Sabbatheiligung als fundamentale Autoritätsstrukturen der Heiligung.</w:t>
      </w:r>
    </w:p>
    <w:p w14:paraId="5627283B"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19,4</w:t>
      </w:r>
    </w:p>
    <w:p w14:paraId="373F324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אַל־תִּפְנוּ֙ אֶל־הָ֣אֱלִילִ֔ים וֵֽאלֹהֵי֙ מַסֵּכָ֔ה לֹ֥א תַעֲשׂ֖וּ לָכֶ֑ם אֲנִ֖י יְהוָ֥ה אֱלֹהֵיכֶֽם׃</w:t>
      </w:r>
    </w:p>
    <w:p w14:paraId="0E79B022"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Wendet euch nicht den Götzen zu, und gegossene Götter sollt ihr euch nicht machen. Ich bin der Ewige, euer Gott.</w:t>
      </w:r>
    </w:p>
    <w:p w14:paraId="6D66BB00"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605E58EC">
          <v:rect id="_x0000_i1564" style="width:0;height:1.5pt" o:hralign="center" o:hrstd="t" o:hr="t" fillcolor="#a0a0a0" stroked="f"/>
        </w:pict>
      </w:r>
    </w:p>
    <w:p w14:paraId="1920E71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אל־תפנו אל־האלילים ואלהי מסכה לא תעשו לכם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verbietet Götzendienst als Gegensatz zur Heiligung. </w:t>
      </w:r>
      <w:r w:rsidRPr="00434555">
        <w:rPr>
          <w:rFonts w:eastAsia="Times New Roman" w:cs="Times New Roman"/>
          <w:b/>
          <w:bCs/>
          <w:rtl/>
          <w:lang w:eastAsia="de-DE"/>
        </w:rPr>
        <w:t>אל־תפנו אל־האלילים</w:t>
      </w:r>
      <w:r w:rsidRPr="00434555">
        <w:rPr>
          <w:rFonts w:eastAsia="Times New Roman" w:cs="Times New Roman"/>
          <w:rtl/>
          <w:lang w:eastAsia="de-DE"/>
        </w:rPr>
        <w:t xml:space="preserve"> </w:t>
      </w:r>
      <w:r w:rsidRPr="00434555">
        <w:rPr>
          <w:rFonts w:eastAsia="Times New Roman" w:cs="Times New Roman"/>
          <w:lang w:eastAsia="de-DE"/>
        </w:rPr>
        <w:t xml:space="preserve">(wendet euch nicht den Götzen zu) - </w:t>
      </w:r>
      <w:r w:rsidRPr="00434555">
        <w:rPr>
          <w:rFonts w:eastAsia="Times New Roman" w:cs="Times New Roman"/>
          <w:b/>
          <w:bCs/>
          <w:rtl/>
          <w:lang w:eastAsia="de-DE"/>
        </w:rPr>
        <w:t>אל־תפנו</w:t>
      </w:r>
      <w:r w:rsidRPr="00434555">
        <w:rPr>
          <w:rFonts w:eastAsia="Times New Roman" w:cs="Times New Roman"/>
          <w:rtl/>
          <w:lang w:eastAsia="de-DE"/>
        </w:rPr>
        <w:t xml:space="preserve"> </w:t>
      </w:r>
      <w:r w:rsidRPr="00434555">
        <w:rPr>
          <w:rFonts w:eastAsia="Times New Roman" w:cs="Times New Roman"/>
          <w:lang w:eastAsia="de-DE"/>
        </w:rPr>
        <w:t xml:space="preserve">(wendet euch nicht) im Qal-Imperfekt mit Negation von </w:t>
      </w:r>
      <w:r w:rsidRPr="00434555">
        <w:rPr>
          <w:rFonts w:eastAsia="Times New Roman" w:cs="Times New Roman"/>
          <w:b/>
          <w:bCs/>
          <w:rtl/>
          <w:lang w:eastAsia="de-DE"/>
        </w:rPr>
        <w:t>פנה</w:t>
      </w:r>
      <w:r w:rsidRPr="00434555">
        <w:rPr>
          <w:rFonts w:eastAsia="Times New Roman" w:cs="Times New Roman"/>
          <w:rtl/>
          <w:lang w:eastAsia="de-DE"/>
        </w:rPr>
        <w:t xml:space="preserve"> </w:t>
      </w:r>
      <w:r w:rsidRPr="00434555">
        <w:rPr>
          <w:rFonts w:eastAsia="Times New Roman" w:cs="Times New Roman"/>
          <w:lang w:eastAsia="de-DE"/>
        </w:rPr>
        <w:t xml:space="preserve">(sich wenden). </w:t>
      </w:r>
      <w:r w:rsidRPr="00434555">
        <w:rPr>
          <w:rFonts w:eastAsia="Times New Roman" w:cs="Times New Roman"/>
          <w:b/>
          <w:bCs/>
          <w:rtl/>
          <w:lang w:eastAsia="de-DE"/>
        </w:rPr>
        <w:t>האלילים</w:t>
      </w:r>
      <w:r w:rsidRPr="00434555">
        <w:rPr>
          <w:rFonts w:eastAsia="Times New Roman" w:cs="Times New Roman"/>
          <w:rtl/>
          <w:lang w:eastAsia="de-DE"/>
        </w:rPr>
        <w:t xml:space="preserve"> </w:t>
      </w:r>
      <w:r w:rsidRPr="00434555">
        <w:rPr>
          <w:rFonts w:eastAsia="Times New Roman" w:cs="Times New Roman"/>
          <w:lang w:eastAsia="de-DE"/>
        </w:rPr>
        <w:t xml:space="preserve">(die Götzen) von </w:t>
      </w:r>
      <w:r w:rsidRPr="00434555">
        <w:rPr>
          <w:rFonts w:eastAsia="Times New Roman" w:cs="Times New Roman"/>
          <w:b/>
          <w:bCs/>
          <w:rtl/>
          <w:lang w:eastAsia="de-DE"/>
        </w:rPr>
        <w:t>אליל</w:t>
      </w:r>
      <w:r w:rsidRPr="00434555">
        <w:rPr>
          <w:rFonts w:eastAsia="Times New Roman" w:cs="Times New Roman"/>
          <w:rtl/>
          <w:lang w:eastAsia="de-DE"/>
        </w:rPr>
        <w:t xml:space="preserve"> </w:t>
      </w:r>
      <w:r w:rsidRPr="00434555">
        <w:rPr>
          <w:rFonts w:eastAsia="Times New Roman" w:cs="Times New Roman"/>
          <w:lang w:eastAsia="de-DE"/>
        </w:rPr>
        <w:t>(Nichtigkeit/Götze), betont die Nichtigkeit der Götzen.</w:t>
      </w:r>
    </w:p>
    <w:p w14:paraId="1E4EFD9B"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ואלהי מסכה לא תעשו לכם</w:t>
      </w:r>
      <w:r w:rsidRPr="00434555">
        <w:rPr>
          <w:rFonts w:eastAsia="Times New Roman" w:cs="Times New Roman"/>
          <w:rtl/>
          <w:lang w:eastAsia="de-DE"/>
        </w:rPr>
        <w:t xml:space="preserve"> </w:t>
      </w:r>
      <w:r w:rsidRPr="00434555">
        <w:rPr>
          <w:rFonts w:eastAsia="Times New Roman" w:cs="Times New Roman"/>
          <w:lang w:eastAsia="de-DE"/>
        </w:rPr>
        <w:t xml:space="preserve">(und gegossene Götter sollt ihr euch nicht machen) - </w:t>
      </w:r>
      <w:r w:rsidRPr="00434555">
        <w:rPr>
          <w:rFonts w:eastAsia="Times New Roman" w:cs="Times New Roman"/>
          <w:b/>
          <w:bCs/>
          <w:rtl/>
          <w:lang w:eastAsia="de-DE"/>
        </w:rPr>
        <w:t>אלהי מסכה</w:t>
      </w:r>
      <w:r w:rsidRPr="00434555">
        <w:rPr>
          <w:rFonts w:eastAsia="Times New Roman" w:cs="Times New Roman"/>
          <w:rtl/>
          <w:lang w:eastAsia="de-DE"/>
        </w:rPr>
        <w:t xml:space="preserve"> </w:t>
      </w:r>
      <w:r w:rsidRPr="00434555">
        <w:rPr>
          <w:rFonts w:eastAsia="Times New Roman" w:cs="Times New Roman"/>
          <w:lang w:eastAsia="de-DE"/>
        </w:rPr>
        <w:t xml:space="preserve">(gegossene Götter) zeigt die Herstellungsart. </w:t>
      </w:r>
      <w:r w:rsidRPr="00434555">
        <w:rPr>
          <w:rFonts w:eastAsia="Times New Roman" w:cs="Times New Roman"/>
          <w:b/>
          <w:bCs/>
          <w:rtl/>
          <w:lang w:eastAsia="de-DE"/>
        </w:rPr>
        <w:t>לא תעשו לכם</w:t>
      </w:r>
      <w:r w:rsidRPr="00434555">
        <w:rPr>
          <w:rFonts w:eastAsia="Times New Roman" w:cs="Times New Roman"/>
          <w:rtl/>
          <w:lang w:eastAsia="de-DE"/>
        </w:rPr>
        <w:t xml:space="preserve"> </w:t>
      </w:r>
      <w:r w:rsidRPr="00434555">
        <w:rPr>
          <w:rFonts w:eastAsia="Times New Roman" w:cs="Times New Roman"/>
          <w:lang w:eastAsia="de-DE"/>
        </w:rPr>
        <w:t>(sollt ihr euch nicht machen) verbietet aktive Götzenherstellung.</w:t>
      </w:r>
    </w:p>
    <w:p w14:paraId="5763F461"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אני יהוה אלהיכם</w:t>
      </w:r>
      <w:r w:rsidRPr="00434555">
        <w:rPr>
          <w:rFonts w:eastAsia="Times New Roman" w:cs="Times New Roman"/>
          <w:rtl/>
          <w:lang w:eastAsia="de-DE"/>
        </w:rPr>
        <w:t xml:space="preserve"> </w:t>
      </w:r>
      <w:r w:rsidRPr="00434555">
        <w:rPr>
          <w:rFonts w:eastAsia="Times New Roman" w:cs="Times New Roman"/>
          <w:lang w:eastAsia="de-DE"/>
        </w:rPr>
        <w:t>(ich bin der Ewige, euer Gott) kontrastiert den wahren Gott mit den Götzen.</w:t>
      </w:r>
    </w:p>
    <w:p w14:paraId="30A31B9C"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תפנו אל</w:t>
      </w:r>
      <w:r w:rsidRPr="00434555">
        <w:rPr>
          <w:rFonts w:eastAsia="Times New Roman" w:cs="Times New Roman"/>
          <w:rtl/>
          <w:lang w:eastAsia="de-DE"/>
        </w:rPr>
        <w:t xml:space="preserve"> </w:t>
      </w:r>
      <w:r w:rsidRPr="00434555">
        <w:rPr>
          <w:rFonts w:eastAsia="Times New Roman" w:cs="Times New Roman"/>
          <w:lang w:eastAsia="de-DE"/>
        </w:rPr>
        <w:t xml:space="preserve">zeigt geistige Hinwendung/Aufmerksamkeit. </w:t>
      </w:r>
      <w:r w:rsidRPr="00434555">
        <w:rPr>
          <w:rFonts w:eastAsia="Times New Roman" w:cs="Times New Roman"/>
          <w:b/>
          <w:bCs/>
          <w:rtl/>
          <w:lang w:eastAsia="de-DE"/>
        </w:rPr>
        <w:t>אלילים</w:t>
      </w:r>
      <w:r w:rsidRPr="00434555">
        <w:rPr>
          <w:rFonts w:eastAsia="Times New Roman" w:cs="Times New Roman"/>
          <w:rtl/>
          <w:lang w:eastAsia="de-DE"/>
        </w:rPr>
        <w:t xml:space="preserve"> </w:t>
      </w:r>
      <w:r w:rsidRPr="00434555">
        <w:rPr>
          <w:rFonts w:eastAsia="Times New Roman" w:cs="Times New Roman"/>
          <w:lang w:eastAsia="de-DE"/>
        </w:rPr>
        <w:t xml:space="preserve">als "Nichtigkeiten" betont die Wertlosigkeit der Götzen. </w:t>
      </w:r>
      <w:r w:rsidRPr="00434555">
        <w:rPr>
          <w:rFonts w:eastAsia="Times New Roman" w:cs="Times New Roman"/>
          <w:b/>
          <w:bCs/>
          <w:rtl/>
          <w:lang w:eastAsia="de-DE"/>
        </w:rPr>
        <w:t>אלהי מסכה</w:t>
      </w:r>
      <w:r w:rsidRPr="00434555">
        <w:rPr>
          <w:rFonts w:eastAsia="Times New Roman" w:cs="Times New Roman"/>
          <w:rtl/>
          <w:lang w:eastAsia="de-DE"/>
        </w:rPr>
        <w:t xml:space="preserve"> </w:t>
      </w:r>
      <w:r w:rsidRPr="00434555">
        <w:rPr>
          <w:rFonts w:eastAsia="Times New Roman" w:cs="Times New Roman"/>
          <w:lang w:eastAsia="de-DE"/>
        </w:rPr>
        <w:t xml:space="preserve">zeigt konkrete Götzenherstellung. Der Kontrast </w:t>
      </w:r>
      <w:r w:rsidRPr="00434555">
        <w:rPr>
          <w:rFonts w:eastAsia="Times New Roman" w:cs="Times New Roman"/>
          <w:b/>
          <w:bCs/>
          <w:rtl/>
          <w:lang w:eastAsia="de-DE"/>
        </w:rPr>
        <w:t>אלילים</w:t>
      </w:r>
      <w:r w:rsidRPr="00434555">
        <w:rPr>
          <w:rFonts w:eastAsia="Times New Roman" w:cs="Times New Roman"/>
          <w:lang w:eastAsia="de-DE"/>
        </w:rPr>
        <w:t>/</w:t>
      </w:r>
      <w:r w:rsidRPr="00434555">
        <w:rPr>
          <w:rFonts w:eastAsia="Times New Roman" w:cs="Times New Roman"/>
          <w:b/>
          <w:bCs/>
          <w:rtl/>
          <w:lang w:eastAsia="de-DE"/>
        </w:rPr>
        <w:t>אלהי מסכה</w:t>
      </w:r>
      <w:r w:rsidRPr="00434555">
        <w:rPr>
          <w:rFonts w:eastAsia="Times New Roman" w:cs="Times New Roman"/>
          <w:rtl/>
          <w:lang w:eastAsia="de-DE"/>
        </w:rPr>
        <w:t xml:space="preserve"> </w:t>
      </w:r>
      <w:r w:rsidRPr="00434555">
        <w:rPr>
          <w:rFonts w:eastAsia="Times New Roman" w:cs="Times New Roman"/>
          <w:lang w:eastAsia="de-DE"/>
        </w:rPr>
        <w:t xml:space="preserve">vs. </w:t>
      </w:r>
      <w:r w:rsidRPr="00434555">
        <w:rPr>
          <w:rFonts w:eastAsia="Times New Roman" w:cs="Times New Roman"/>
          <w:b/>
          <w:bCs/>
          <w:rtl/>
          <w:lang w:eastAsia="de-DE"/>
        </w:rPr>
        <w:t>יהוה אלהיכם</w:t>
      </w:r>
      <w:r w:rsidRPr="00434555">
        <w:rPr>
          <w:rFonts w:eastAsia="Times New Roman" w:cs="Times New Roman"/>
          <w:rtl/>
          <w:lang w:eastAsia="de-DE"/>
        </w:rPr>
        <w:t xml:space="preserve"> </w:t>
      </w:r>
      <w:r w:rsidRPr="00434555">
        <w:rPr>
          <w:rFonts w:eastAsia="Times New Roman" w:cs="Times New Roman"/>
          <w:lang w:eastAsia="de-DE"/>
        </w:rPr>
        <w:t>betont die Exklusivität JHWHs.</w:t>
      </w:r>
    </w:p>
    <w:p w14:paraId="7C66F880" w14:textId="0F62056B"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w:t>
      </w:r>
      <w:r w:rsidR="004F25E8">
        <w:t xml:space="preserve">übersetzt </w:t>
      </w:r>
      <w:r w:rsidR="004F25E8">
        <w:rPr>
          <w:rtl/>
        </w:rPr>
        <w:t>אל־האלילים אל־תפנו</w:t>
      </w:r>
      <w:r w:rsidR="004F25E8">
        <w:t xml:space="preserve"> (al-</w:t>
      </w:r>
      <w:proofErr w:type="spellStart"/>
      <w:r w:rsidR="004F25E8">
        <w:t>ha'elilim</w:t>
      </w:r>
      <w:proofErr w:type="spellEnd"/>
      <w:r w:rsidR="004F25E8">
        <w:t xml:space="preserve"> al-</w:t>
      </w:r>
      <w:proofErr w:type="spellStart"/>
      <w:r w:rsidR="004F25E8">
        <w:t>tifnu</w:t>
      </w:r>
      <w:proofErr w:type="spellEnd"/>
      <w:r w:rsidR="004F25E8">
        <w:t xml:space="preserve"> - "wendet euch nicht zu den Götzen") als </w:t>
      </w:r>
      <w:proofErr w:type="spellStart"/>
      <w:r w:rsidR="004F25E8">
        <w:t>οὐκ</w:t>
      </w:r>
      <w:proofErr w:type="spellEnd"/>
      <w:r w:rsidR="004F25E8">
        <w:t xml:space="preserve"> ἐπα</w:t>
      </w:r>
      <w:proofErr w:type="spellStart"/>
      <w:r w:rsidR="004F25E8">
        <w:t>κολουθήσετε</w:t>
      </w:r>
      <w:proofErr w:type="spellEnd"/>
      <w:r w:rsidR="004F25E8">
        <w:t xml:space="preserve"> </w:t>
      </w:r>
      <w:proofErr w:type="spellStart"/>
      <w:r w:rsidR="004F25E8">
        <w:t>εἰδώλοις</w:t>
      </w:r>
      <w:proofErr w:type="spellEnd"/>
      <w:r w:rsidR="004F25E8">
        <w:t xml:space="preserve"> (ihr sollt den Götzen nicht nachfolgen), was eine aktivere Ablehnung ausdrückt.</w:t>
      </w:r>
    </w:p>
    <w:p w14:paraId="1558359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Götzenverbot: geistige Abwendung von Götzen + Herstellungsverbot + göttliche Exklusivitätsbetonung.</w:t>
      </w:r>
    </w:p>
    <w:p w14:paraId="740DD69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etabliert die Exklusivität JHWHs durch Verbot sowohl der Götzenverehrung als auch der Götzenherstellung.</w:t>
      </w:r>
    </w:p>
    <w:p w14:paraId="1BD1E474"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lastRenderedPageBreak/>
        <w:t>Leviticus 19,5</w:t>
      </w:r>
    </w:p>
    <w:p w14:paraId="5E35E84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וְכִ֧י תִזְבְּח֛וּ זֶ֥בַח שְׁלָמִ֖ים לַיהוָ֑ה לִֽרְצֹנְכֶ֖ם תִּזְבָּחֻֽהוּ׃</w:t>
      </w:r>
    </w:p>
    <w:p w14:paraId="551C6666"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wenn ihr dem Ewigen ein Friedensopfer schlachtet, sollt ihr es zu eurer Wohlgefälligkeit schlachten.</w:t>
      </w:r>
    </w:p>
    <w:p w14:paraId="3D912DE6"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572D9CD6">
          <v:rect id="_x0000_i1565" style="width:0;height:1.5pt" o:hralign="center" o:hrstd="t" o:hr="t" fillcolor="#a0a0a0" stroked="f"/>
        </w:pict>
      </w:r>
    </w:p>
    <w:p w14:paraId="059A980A"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וכי תזבחו זבח שלמים ליהוה לרצנכם תזבחהו</w:t>
      </w:r>
      <w:r w:rsidRPr="00434555">
        <w:rPr>
          <w:rFonts w:eastAsia="Times New Roman" w:cs="Times New Roman"/>
          <w:rtl/>
          <w:lang w:eastAsia="de-DE"/>
        </w:rPr>
        <w:t xml:space="preserve"> </w:t>
      </w:r>
      <w:r w:rsidRPr="00434555">
        <w:rPr>
          <w:rFonts w:eastAsia="Times New Roman" w:cs="Times New Roman"/>
          <w:lang w:eastAsia="de-DE"/>
        </w:rPr>
        <w:t xml:space="preserve">regelt die ordnungsgemäße Opferpraxis. </w:t>
      </w:r>
      <w:r w:rsidRPr="00434555">
        <w:rPr>
          <w:rFonts w:eastAsia="Times New Roman" w:cs="Times New Roman"/>
          <w:b/>
          <w:bCs/>
          <w:rtl/>
          <w:lang w:eastAsia="de-DE"/>
        </w:rPr>
        <w:t>וכי תזבחו זבח שלמים ליהוה</w:t>
      </w:r>
      <w:r w:rsidRPr="00434555">
        <w:rPr>
          <w:rFonts w:eastAsia="Times New Roman" w:cs="Times New Roman"/>
          <w:rtl/>
          <w:lang w:eastAsia="de-DE"/>
        </w:rPr>
        <w:t xml:space="preserve"> </w:t>
      </w:r>
      <w:r w:rsidRPr="00434555">
        <w:rPr>
          <w:rFonts w:eastAsia="Times New Roman" w:cs="Times New Roman"/>
          <w:lang w:eastAsia="de-DE"/>
        </w:rPr>
        <w:t xml:space="preserve">(und wenn ihr dem Ewigen ein Friedensopfer schlachtet) - </w:t>
      </w:r>
      <w:r w:rsidRPr="00434555">
        <w:rPr>
          <w:rFonts w:eastAsia="Times New Roman" w:cs="Times New Roman"/>
          <w:b/>
          <w:bCs/>
          <w:rtl/>
          <w:lang w:eastAsia="de-DE"/>
        </w:rPr>
        <w:t>וכי</w:t>
      </w:r>
      <w:r w:rsidRPr="00434555">
        <w:rPr>
          <w:rFonts w:eastAsia="Times New Roman" w:cs="Times New Roman"/>
          <w:rtl/>
          <w:lang w:eastAsia="de-DE"/>
        </w:rPr>
        <w:t xml:space="preserve"> </w:t>
      </w:r>
      <w:r w:rsidRPr="00434555">
        <w:rPr>
          <w:rFonts w:eastAsia="Times New Roman" w:cs="Times New Roman"/>
          <w:lang w:eastAsia="de-DE"/>
        </w:rPr>
        <w:t xml:space="preserve">(und wenn) zeigt hypothetische Handlung. </w:t>
      </w:r>
      <w:r w:rsidRPr="00434555">
        <w:rPr>
          <w:rFonts w:eastAsia="Times New Roman" w:cs="Times New Roman"/>
          <w:b/>
          <w:bCs/>
          <w:rtl/>
          <w:lang w:eastAsia="de-DE"/>
        </w:rPr>
        <w:t>תזבחו</w:t>
      </w:r>
      <w:r w:rsidRPr="00434555">
        <w:rPr>
          <w:rFonts w:eastAsia="Times New Roman" w:cs="Times New Roman"/>
          <w:rtl/>
          <w:lang w:eastAsia="de-DE"/>
        </w:rPr>
        <w:t xml:space="preserve"> </w:t>
      </w:r>
      <w:r w:rsidRPr="00434555">
        <w:rPr>
          <w:rFonts w:eastAsia="Times New Roman" w:cs="Times New Roman"/>
          <w:lang w:eastAsia="de-DE"/>
        </w:rPr>
        <w:t xml:space="preserve">(ihr schlachtet) im Qal-Imperfekt zeigt gewohnheitsmäßige Opferpraxis. </w:t>
      </w:r>
      <w:r w:rsidRPr="00434555">
        <w:rPr>
          <w:rFonts w:eastAsia="Times New Roman" w:cs="Times New Roman"/>
          <w:b/>
          <w:bCs/>
          <w:rtl/>
          <w:lang w:eastAsia="de-DE"/>
        </w:rPr>
        <w:t>זבח שלמים</w:t>
      </w:r>
      <w:r w:rsidRPr="00434555">
        <w:rPr>
          <w:rFonts w:eastAsia="Times New Roman" w:cs="Times New Roman"/>
          <w:rtl/>
          <w:lang w:eastAsia="de-DE"/>
        </w:rPr>
        <w:t xml:space="preserve"> </w:t>
      </w:r>
      <w:r w:rsidRPr="00434555">
        <w:rPr>
          <w:rFonts w:eastAsia="Times New Roman" w:cs="Times New Roman"/>
          <w:lang w:eastAsia="de-DE"/>
        </w:rPr>
        <w:t>(Friedensopfer) als freiwilliges Gemeinschaftsopfer.</w:t>
      </w:r>
    </w:p>
    <w:p w14:paraId="16C7760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לרצנכם תזבחהו</w:t>
      </w:r>
      <w:r w:rsidRPr="00434555">
        <w:rPr>
          <w:rFonts w:eastAsia="Times New Roman" w:cs="Times New Roman"/>
          <w:rtl/>
          <w:lang w:eastAsia="de-DE"/>
        </w:rPr>
        <w:t xml:space="preserve"> </w:t>
      </w:r>
      <w:r w:rsidRPr="00434555">
        <w:rPr>
          <w:rFonts w:eastAsia="Times New Roman" w:cs="Times New Roman"/>
          <w:lang w:eastAsia="de-DE"/>
        </w:rPr>
        <w:t xml:space="preserve">(zu eurer Wohlgefälligkeit sollt ihr es schlachten) - </w:t>
      </w:r>
      <w:r w:rsidRPr="00434555">
        <w:rPr>
          <w:rFonts w:eastAsia="Times New Roman" w:cs="Times New Roman"/>
          <w:b/>
          <w:bCs/>
          <w:rtl/>
          <w:lang w:eastAsia="de-DE"/>
        </w:rPr>
        <w:t>לרצנכם</w:t>
      </w:r>
      <w:r w:rsidRPr="00434555">
        <w:rPr>
          <w:rFonts w:eastAsia="Times New Roman" w:cs="Times New Roman"/>
          <w:rtl/>
          <w:lang w:eastAsia="de-DE"/>
        </w:rPr>
        <w:t xml:space="preserve"> </w:t>
      </w:r>
      <w:r w:rsidRPr="00434555">
        <w:rPr>
          <w:rFonts w:eastAsia="Times New Roman" w:cs="Times New Roman"/>
          <w:lang w:eastAsia="de-DE"/>
        </w:rPr>
        <w:t xml:space="preserve">(zu eurer Wohlgefälligkeit) zeigt den Zweck: das Opfer soll göttliches Wohlgefallen erlangen. </w:t>
      </w:r>
      <w:r w:rsidRPr="00434555">
        <w:rPr>
          <w:rFonts w:eastAsia="Times New Roman" w:cs="Times New Roman"/>
          <w:b/>
          <w:bCs/>
          <w:rtl/>
          <w:lang w:eastAsia="de-DE"/>
        </w:rPr>
        <w:t>תזבחהו</w:t>
      </w:r>
      <w:r w:rsidRPr="00434555">
        <w:rPr>
          <w:rFonts w:eastAsia="Times New Roman" w:cs="Times New Roman"/>
          <w:rtl/>
          <w:lang w:eastAsia="de-DE"/>
        </w:rPr>
        <w:t xml:space="preserve"> </w:t>
      </w:r>
      <w:r w:rsidRPr="00434555">
        <w:rPr>
          <w:rFonts w:eastAsia="Times New Roman" w:cs="Times New Roman"/>
          <w:lang w:eastAsia="de-DE"/>
        </w:rPr>
        <w:t>(sollt ihr es schlachten) im Qal-Imperfekt mit Objektsuffix zeigt die ordnungsgemäße Ausführung.</w:t>
      </w:r>
    </w:p>
    <w:p w14:paraId="7D088FF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זבח שלמים</w:t>
      </w:r>
      <w:r w:rsidRPr="00434555">
        <w:rPr>
          <w:rFonts w:eastAsia="Times New Roman" w:cs="Times New Roman"/>
          <w:rtl/>
          <w:lang w:eastAsia="de-DE"/>
        </w:rPr>
        <w:t xml:space="preserve"> </w:t>
      </w:r>
      <w:r w:rsidRPr="00434555">
        <w:rPr>
          <w:rFonts w:eastAsia="Times New Roman" w:cs="Times New Roman"/>
          <w:lang w:eastAsia="de-DE"/>
        </w:rPr>
        <w:t xml:space="preserve">als Gemeinschaftsopfer mit geteiltem Verzehr. </w:t>
      </w:r>
      <w:r w:rsidRPr="00434555">
        <w:rPr>
          <w:rFonts w:eastAsia="Times New Roman" w:cs="Times New Roman"/>
          <w:b/>
          <w:bCs/>
          <w:rtl/>
          <w:lang w:eastAsia="de-DE"/>
        </w:rPr>
        <w:t>לרצנכם</w:t>
      </w:r>
      <w:r w:rsidRPr="00434555">
        <w:rPr>
          <w:rFonts w:eastAsia="Times New Roman" w:cs="Times New Roman"/>
          <w:rtl/>
          <w:lang w:eastAsia="de-DE"/>
        </w:rPr>
        <w:t xml:space="preserve"> </w:t>
      </w:r>
      <w:r w:rsidRPr="00434555">
        <w:rPr>
          <w:rFonts w:eastAsia="Times New Roman" w:cs="Times New Roman"/>
          <w:lang w:eastAsia="de-DE"/>
        </w:rPr>
        <w:t>zeigt die Absicht göttlichen Wohlgefallens. Die Betonung liegt auf der richtigen Gesinnung und Ausführung.</w:t>
      </w:r>
    </w:p>
    <w:p w14:paraId="4C87B5E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זבח שלמים</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θυσί</w:t>
      </w:r>
      <w:proofErr w:type="spellEnd"/>
      <w:r w:rsidRPr="00434555">
        <w:rPr>
          <w:rFonts w:eastAsia="Times New Roman" w:cs="Times New Roman"/>
          <w:lang w:eastAsia="de-DE"/>
        </w:rPr>
        <w:t xml:space="preserve">αν </w:t>
      </w:r>
      <w:proofErr w:type="spellStart"/>
      <w:r w:rsidRPr="00434555">
        <w:rPr>
          <w:rFonts w:eastAsia="Times New Roman" w:cs="Times New Roman"/>
          <w:lang w:eastAsia="de-DE"/>
        </w:rPr>
        <w:t>σωτηρίου</w:t>
      </w:r>
      <w:proofErr w:type="spellEnd"/>
      <w:r w:rsidRPr="00434555">
        <w:rPr>
          <w:rFonts w:eastAsia="Times New Roman" w:cs="Times New Roman"/>
          <w:lang w:eastAsia="de-DE"/>
        </w:rPr>
        <w:t xml:space="preserve"> (Heilsopfer), </w:t>
      </w:r>
      <w:r w:rsidRPr="00434555">
        <w:rPr>
          <w:rFonts w:eastAsia="Times New Roman" w:cs="Times New Roman"/>
          <w:b/>
          <w:bCs/>
          <w:rtl/>
          <w:lang w:eastAsia="de-DE"/>
        </w:rPr>
        <w:t>לרצנכם</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δεκτὸν</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ὑμῖν</w:t>
      </w:r>
      <w:proofErr w:type="spellEnd"/>
      <w:r w:rsidRPr="00434555">
        <w:rPr>
          <w:rFonts w:eastAsia="Times New Roman" w:cs="Times New Roman"/>
          <w:lang w:eastAsia="de-DE"/>
        </w:rPr>
        <w:t xml:space="preserve"> (annehmbar für euch) und </w:t>
      </w:r>
      <w:r w:rsidRPr="00434555">
        <w:rPr>
          <w:rFonts w:eastAsia="Times New Roman" w:cs="Times New Roman"/>
          <w:b/>
          <w:bCs/>
          <w:rtl/>
          <w:lang w:eastAsia="de-DE"/>
        </w:rPr>
        <w:t>תזבחהו</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θύσετε</w:t>
      </w:r>
      <w:proofErr w:type="spellEnd"/>
      <w:r w:rsidRPr="00434555">
        <w:rPr>
          <w:rFonts w:eastAsia="Times New Roman" w:cs="Times New Roman"/>
          <w:lang w:eastAsia="de-DE"/>
        </w:rPr>
        <w:t xml:space="preserve"> α</w:t>
      </w:r>
      <w:proofErr w:type="spellStart"/>
      <w:r w:rsidRPr="00434555">
        <w:rPr>
          <w:rFonts w:eastAsia="Times New Roman" w:cs="Times New Roman"/>
          <w:lang w:eastAsia="de-DE"/>
        </w:rPr>
        <w:t>ὐτήν</w:t>
      </w:r>
      <w:proofErr w:type="spellEnd"/>
      <w:r w:rsidRPr="00434555">
        <w:rPr>
          <w:rFonts w:eastAsia="Times New Roman" w:cs="Times New Roman"/>
          <w:lang w:eastAsia="de-DE"/>
        </w:rPr>
        <w:t xml:space="preserve"> (ihr werdet es opfern).</w:t>
      </w:r>
    </w:p>
    <w:p w14:paraId="0D59F0D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Opferregelung: hypothetische Opferhandlung + Wohlgefälligkeitszweck + ordnungsgemäße Ausführung.</w:t>
      </w:r>
    </w:p>
    <w:p w14:paraId="4E78B84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betont die rechte Gesinnung und ordnungsgemäße Ausführung bei Friedensopfern.</w:t>
      </w:r>
    </w:p>
    <w:p w14:paraId="08434029"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19,6</w:t>
      </w:r>
    </w:p>
    <w:p w14:paraId="170124BC"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בְּי֧וֹם זִבְחֲכֶ֛ם יֵאָכֵ֖ל וּמִֽמָּחֳרָ֑ת וְהַנּוֹתָר֙ עַד־י֣וֹם הַשְּׁלִישִׁ֔י בָּאֵ֖שׁ יִשָּׂרֵֽף׃</w:t>
      </w:r>
    </w:p>
    <w:p w14:paraId="21EB10D9"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An dem Tag, da ihr es schlachtet, soll es gegessen werden und am folgenden Tag; und was bis zum dritten Tag übrigbleibt, soll im Feuer verbrannt werden.</w:t>
      </w:r>
    </w:p>
    <w:p w14:paraId="51F2126C"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0BE698C9">
          <v:rect id="_x0000_i1566" style="width:0;height:1.5pt" o:hralign="center" o:hrstd="t" o:hr="t" fillcolor="#a0a0a0" stroked="f"/>
        </w:pict>
      </w:r>
    </w:p>
    <w:p w14:paraId="4EB99EE9"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ביום זבחכם יאכל וממחרת והנותר עד־יום השלישי באש ישרף</w:t>
      </w:r>
      <w:r w:rsidRPr="00434555">
        <w:rPr>
          <w:rFonts w:eastAsia="Times New Roman" w:cs="Times New Roman"/>
          <w:rtl/>
          <w:lang w:eastAsia="de-DE"/>
        </w:rPr>
        <w:t xml:space="preserve"> </w:t>
      </w:r>
      <w:r w:rsidRPr="00434555">
        <w:rPr>
          <w:rFonts w:eastAsia="Times New Roman" w:cs="Times New Roman"/>
          <w:lang w:eastAsia="de-DE"/>
        </w:rPr>
        <w:t xml:space="preserve">regelt die zeitlichen Verzehrgrenzen. </w:t>
      </w:r>
      <w:r w:rsidRPr="00434555">
        <w:rPr>
          <w:rFonts w:eastAsia="Times New Roman" w:cs="Times New Roman"/>
          <w:b/>
          <w:bCs/>
          <w:rtl/>
          <w:lang w:eastAsia="de-DE"/>
        </w:rPr>
        <w:t>ביום זבחכם יאכל וממחרת</w:t>
      </w:r>
      <w:r w:rsidRPr="00434555">
        <w:rPr>
          <w:rFonts w:eastAsia="Times New Roman" w:cs="Times New Roman"/>
          <w:rtl/>
          <w:lang w:eastAsia="de-DE"/>
        </w:rPr>
        <w:t xml:space="preserve"> </w:t>
      </w:r>
      <w:r w:rsidRPr="00434555">
        <w:rPr>
          <w:rFonts w:eastAsia="Times New Roman" w:cs="Times New Roman"/>
          <w:lang w:eastAsia="de-DE"/>
        </w:rPr>
        <w:t xml:space="preserve">(an dem Tag, da ihr es schlachtet, soll es gegessen werden und am folgenden Tag) - </w:t>
      </w:r>
      <w:r w:rsidRPr="00434555">
        <w:rPr>
          <w:rFonts w:eastAsia="Times New Roman" w:cs="Times New Roman"/>
          <w:b/>
          <w:bCs/>
          <w:rtl/>
          <w:lang w:eastAsia="de-DE"/>
        </w:rPr>
        <w:t>ביום זבחכם</w:t>
      </w:r>
      <w:r w:rsidRPr="00434555">
        <w:rPr>
          <w:rFonts w:eastAsia="Times New Roman" w:cs="Times New Roman"/>
          <w:rtl/>
          <w:lang w:eastAsia="de-DE"/>
        </w:rPr>
        <w:t xml:space="preserve"> </w:t>
      </w:r>
      <w:r w:rsidRPr="00434555">
        <w:rPr>
          <w:rFonts w:eastAsia="Times New Roman" w:cs="Times New Roman"/>
          <w:lang w:eastAsia="de-DE"/>
        </w:rPr>
        <w:t xml:space="preserve">(an dem Tag eures Schlachtens) zeigt den ersten erlaubten Tag. </w:t>
      </w:r>
      <w:r w:rsidRPr="00434555">
        <w:rPr>
          <w:rFonts w:eastAsia="Times New Roman" w:cs="Times New Roman"/>
          <w:b/>
          <w:bCs/>
          <w:rtl/>
          <w:lang w:eastAsia="de-DE"/>
        </w:rPr>
        <w:t>יאכל</w:t>
      </w:r>
      <w:r w:rsidRPr="00434555">
        <w:rPr>
          <w:rFonts w:eastAsia="Times New Roman" w:cs="Times New Roman"/>
          <w:rtl/>
          <w:lang w:eastAsia="de-DE"/>
        </w:rPr>
        <w:t xml:space="preserve"> </w:t>
      </w:r>
      <w:r w:rsidRPr="00434555">
        <w:rPr>
          <w:rFonts w:eastAsia="Times New Roman" w:cs="Times New Roman"/>
          <w:lang w:eastAsia="de-DE"/>
        </w:rPr>
        <w:t xml:space="preserve">(soll gegessen werden) im Nifal-Imperfekt zeigt passive Verzehrerlaubnis. </w:t>
      </w:r>
      <w:r w:rsidRPr="00434555">
        <w:rPr>
          <w:rFonts w:eastAsia="Times New Roman" w:cs="Times New Roman"/>
          <w:b/>
          <w:bCs/>
          <w:rtl/>
          <w:lang w:eastAsia="de-DE"/>
        </w:rPr>
        <w:t>וממחרת</w:t>
      </w:r>
      <w:r w:rsidRPr="00434555">
        <w:rPr>
          <w:rFonts w:eastAsia="Times New Roman" w:cs="Times New Roman"/>
          <w:rtl/>
          <w:lang w:eastAsia="de-DE"/>
        </w:rPr>
        <w:t xml:space="preserve"> </w:t>
      </w:r>
      <w:r w:rsidRPr="00434555">
        <w:rPr>
          <w:rFonts w:eastAsia="Times New Roman" w:cs="Times New Roman"/>
          <w:lang w:eastAsia="de-DE"/>
        </w:rPr>
        <w:t>(und am folgenden Tag) erweitert auf den zweiten Tag.</w:t>
      </w:r>
    </w:p>
    <w:p w14:paraId="42123D2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והנותר עד־יום השלישי באש ישרף</w:t>
      </w:r>
      <w:r w:rsidRPr="00434555">
        <w:rPr>
          <w:rFonts w:eastAsia="Times New Roman" w:cs="Times New Roman"/>
          <w:rtl/>
          <w:lang w:eastAsia="de-DE"/>
        </w:rPr>
        <w:t xml:space="preserve"> </w:t>
      </w:r>
      <w:r w:rsidRPr="00434555">
        <w:rPr>
          <w:rFonts w:eastAsia="Times New Roman" w:cs="Times New Roman"/>
          <w:lang w:eastAsia="de-DE"/>
        </w:rPr>
        <w:t xml:space="preserve">(und was bis zum dritten Tag übrigbleibt, soll im Feuer verbrannt werden) - </w:t>
      </w:r>
      <w:r w:rsidRPr="00434555">
        <w:rPr>
          <w:rFonts w:eastAsia="Times New Roman" w:cs="Times New Roman"/>
          <w:b/>
          <w:bCs/>
          <w:rtl/>
          <w:lang w:eastAsia="de-DE"/>
        </w:rPr>
        <w:t>והנותר</w:t>
      </w:r>
      <w:r w:rsidRPr="00434555">
        <w:rPr>
          <w:rFonts w:eastAsia="Times New Roman" w:cs="Times New Roman"/>
          <w:rtl/>
          <w:lang w:eastAsia="de-DE"/>
        </w:rPr>
        <w:t xml:space="preserve"> </w:t>
      </w:r>
      <w:r w:rsidRPr="00434555">
        <w:rPr>
          <w:rFonts w:eastAsia="Times New Roman" w:cs="Times New Roman"/>
          <w:lang w:eastAsia="de-DE"/>
        </w:rPr>
        <w:t xml:space="preserve">(und das Übrigbleibende) im Nifal-Partizip von </w:t>
      </w:r>
      <w:r w:rsidRPr="00434555">
        <w:rPr>
          <w:rFonts w:eastAsia="Times New Roman" w:cs="Times New Roman"/>
          <w:b/>
          <w:bCs/>
          <w:rtl/>
          <w:lang w:eastAsia="de-DE"/>
        </w:rPr>
        <w:t>יתר</w:t>
      </w:r>
      <w:r w:rsidRPr="00434555">
        <w:rPr>
          <w:rFonts w:eastAsia="Times New Roman" w:cs="Times New Roman"/>
          <w:lang w:eastAsia="de-DE"/>
        </w:rPr>
        <w:t xml:space="preserve">. </w:t>
      </w:r>
      <w:r w:rsidRPr="00434555">
        <w:rPr>
          <w:rFonts w:eastAsia="Times New Roman" w:cs="Times New Roman"/>
          <w:b/>
          <w:bCs/>
          <w:rtl/>
          <w:lang w:eastAsia="de-DE"/>
        </w:rPr>
        <w:t xml:space="preserve">עד־יום </w:t>
      </w:r>
      <w:r w:rsidRPr="00434555">
        <w:rPr>
          <w:rFonts w:eastAsia="Times New Roman" w:cs="Times New Roman"/>
          <w:b/>
          <w:bCs/>
          <w:rtl/>
          <w:lang w:eastAsia="de-DE"/>
        </w:rPr>
        <w:lastRenderedPageBreak/>
        <w:t>השלישי</w:t>
      </w:r>
      <w:r w:rsidRPr="00434555">
        <w:rPr>
          <w:rFonts w:eastAsia="Times New Roman" w:cs="Times New Roman"/>
          <w:rtl/>
          <w:lang w:eastAsia="de-DE"/>
        </w:rPr>
        <w:t xml:space="preserve"> </w:t>
      </w:r>
      <w:r w:rsidRPr="00434555">
        <w:rPr>
          <w:rFonts w:eastAsia="Times New Roman" w:cs="Times New Roman"/>
          <w:lang w:eastAsia="de-DE"/>
        </w:rPr>
        <w:t xml:space="preserve">(bis zum dritten Tag) zeigt die Zeitgrenze. </w:t>
      </w:r>
      <w:r w:rsidRPr="00434555">
        <w:rPr>
          <w:rFonts w:eastAsia="Times New Roman" w:cs="Times New Roman"/>
          <w:b/>
          <w:bCs/>
          <w:rtl/>
          <w:lang w:eastAsia="de-DE"/>
        </w:rPr>
        <w:t>באש ישרף</w:t>
      </w:r>
      <w:r w:rsidRPr="00434555">
        <w:rPr>
          <w:rFonts w:eastAsia="Times New Roman" w:cs="Times New Roman"/>
          <w:rtl/>
          <w:lang w:eastAsia="de-DE"/>
        </w:rPr>
        <w:t xml:space="preserve"> </w:t>
      </w:r>
      <w:r w:rsidRPr="00434555">
        <w:rPr>
          <w:rFonts w:eastAsia="Times New Roman" w:cs="Times New Roman"/>
          <w:lang w:eastAsia="de-DE"/>
        </w:rPr>
        <w:t>(soll im Feuer verbrannt werden) im Nifal-Imperfekt zeigt Vernichtungspflicht.</w:t>
      </w:r>
    </w:p>
    <w:p w14:paraId="50C0688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ביום זבחכם</w:t>
      </w:r>
      <w:r w:rsidRPr="00434555">
        <w:rPr>
          <w:rFonts w:eastAsia="Times New Roman" w:cs="Times New Roman"/>
          <w:rtl/>
          <w:lang w:eastAsia="de-DE"/>
        </w:rPr>
        <w:t xml:space="preserve"> </w:t>
      </w:r>
      <w:r w:rsidRPr="00434555">
        <w:rPr>
          <w:rFonts w:eastAsia="Times New Roman" w:cs="Times New Roman"/>
          <w:lang w:eastAsia="de-DE"/>
        </w:rPr>
        <w:t xml:space="preserve">zeigt sofortigen Verzehrbeginn. </w:t>
      </w:r>
      <w:r w:rsidRPr="00434555">
        <w:rPr>
          <w:rFonts w:eastAsia="Times New Roman" w:cs="Times New Roman"/>
          <w:b/>
          <w:bCs/>
          <w:rtl/>
          <w:lang w:eastAsia="de-DE"/>
        </w:rPr>
        <w:t>וממחרת</w:t>
      </w:r>
      <w:r w:rsidRPr="00434555">
        <w:rPr>
          <w:rFonts w:eastAsia="Times New Roman" w:cs="Times New Roman"/>
          <w:rtl/>
          <w:lang w:eastAsia="de-DE"/>
        </w:rPr>
        <w:t xml:space="preserve"> </w:t>
      </w:r>
      <w:r w:rsidRPr="00434555">
        <w:rPr>
          <w:rFonts w:eastAsia="Times New Roman" w:cs="Times New Roman"/>
          <w:lang w:eastAsia="de-DE"/>
        </w:rPr>
        <w:t xml:space="preserve">erlaubt zweitägigen Verzehr. </w:t>
      </w:r>
      <w:r w:rsidRPr="00434555">
        <w:rPr>
          <w:rFonts w:eastAsia="Times New Roman" w:cs="Times New Roman"/>
          <w:b/>
          <w:bCs/>
          <w:rtl/>
          <w:lang w:eastAsia="de-DE"/>
        </w:rPr>
        <w:t>הנותר</w:t>
      </w:r>
      <w:r w:rsidRPr="00434555">
        <w:rPr>
          <w:rFonts w:eastAsia="Times New Roman" w:cs="Times New Roman"/>
          <w:rtl/>
          <w:lang w:eastAsia="de-DE"/>
        </w:rPr>
        <w:t xml:space="preserve"> </w:t>
      </w:r>
      <w:r w:rsidRPr="00434555">
        <w:rPr>
          <w:rFonts w:eastAsia="Times New Roman" w:cs="Times New Roman"/>
          <w:lang w:eastAsia="de-DE"/>
        </w:rPr>
        <w:t xml:space="preserve">zeigt alles nach dem zweiten Tag Übriggebliebene. </w:t>
      </w:r>
      <w:r w:rsidRPr="00434555">
        <w:rPr>
          <w:rFonts w:eastAsia="Times New Roman" w:cs="Times New Roman"/>
          <w:b/>
          <w:bCs/>
          <w:rtl/>
          <w:lang w:eastAsia="de-DE"/>
        </w:rPr>
        <w:t>באש ישרף</w:t>
      </w:r>
      <w:r w:rsidRPr="00434555">
        <w:rPr>
          <w:rFonts w:eastAsia="Times New Roman" w:cs="Times New Roman"/>
          <w:rtl/>
          <w:lang w:eastAsia="de-DE"/>
        </w:rPr>
        <w:t xml:space="preserve"> </w:t>
      </w:r>
      <w:r w:rsidRPr="00434555">
        <w:rPr>
          <w:rFonts w:eastAsia="Times New Roman" w:cs="Times New Roman"/>
          <w:lang w:eastAsia="de-DE"/>
        </w:rPr>
        <w:t xml:space="preserve">zeigt vollständige Vernichtung zur Verhinderung von </w:t>
      </w:r>
      <w:r w:rsidRPr="00434555">
        <w:rPr>
          <w:rFonts w:eastAsia="Times New Roman" w:cs="Times New Roman"/>
          <w:b/>
          <w:bCs/>
          <w:rtl/>
          <w:lang w:eastAsia="de-DE"/>
        </w:rPr>
        <w:t>פגול</w:t>
      </w:r>
      <w:r w:rsidRPr="00434555">
        <w:rPr>
          <w:rFonts w:eastAsia="Times New Roman" w:cs="Times New Roman"/>
          <w:lang w:eastAsia="de-DE"/>
        </w:rPr>
        <w:t>.</w:t>
      </w:r>
    </w:p>
    <w:p w14:paraId="00767303"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ביום זבחכם</w:t>
      </w:r>
      <w:r w:rsidRPr="00434555">
        <w:rPr>
          <w:rFonts w:eastAsia="Times New Roman" w:cs="Times New Roman"/>
          <w:rtl/>
          <w:lang w:eastAsia="de-DE"/>
        </w:rPr>
        <w:t xml:space="preserve"> </w:t>
      </w:r>
      <w:r w:rsidRPr="00434555">
        <w:rPr>
          <w:rFonts w:eastAsia="Times New Roman" w:cs="Times New Roman"/>
          <w:lang w:eastAsia="de-DE"/>
        </w:rPr>
        <w:t xml:space="preserve">mit ᾗ </w:t>
      </w:r>
      <w:proofErr w:type="spellStart"/>
      <w:r w:rsidRPr="00434555">
        <w:rPr>
          <w:rFonts w:eastAsia="Times New Roman" w:cs="Times New Roman"/>
          <w:lang w:eastAsia="de-DE"/>
        </w:rPr>
        <w:t>ἡμέρᾳ</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θύσητε</w:t>
      </w:r>
      <w:proofErr w:type="spellEnd"/>
      <w:r w:rsidRPr="00434555">
        <w:rPr>
          <w:rFonts w:eastAsia="Times New Roman" w:cs="Times New Roman"/>
          <w:lang w:eastAsia="de-DE"/>
        </w:rPr>
        <w:t xml:space="preserve"> (an dem Tag, an dem ihr opfert), </w:t>
      </w:r>
      <w:r w:rsidRPr="00434555">
        <w:rPr>
          <w:rFonts w:eastAsia="Times New Roman" w:cs="Times New Roman"/>
          <w:b/>
          <w:bCs/>
          <w:rtl/>
          <w:lang w:eastAsia="de-DE"/>
        </w:rPr>
        <w:t>ממחרת</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τῇ</w:t>
      </w:r>
      <w:proofErr w:type="spellEnd"/>
      <w:r w:rsidRPr="00434555">
        <w:rPr>
          <w:rFonts w:eastAsia="Times New Roman" w:cs="Times New Roman"/>
          <w:lang w:eastAsia="de-DE"/>
        </w:rPr>
        <w:t xml:space="preserve"> α</w:t>
      </w:r>
      <w:proofErr w:type="spellStart"/>
      <w:r w:rsidRPr="00434555">
        <w:rPr>
          <w:rFonts w:eastAsia="Times New Roman" w:cs="Times New Roman"/>
          <w:lang w:eastAsia="de-DE"/>
        </w:rPr>
        <w:t>ὔριον</w:t>
      </w:r>
      <w:proofErr w:type="spellEnd"/>
      <w:r w:rsidRPr="00434555">
        <w:rPr>
          <w:rFonts w:eastAsia="Times New Roman" w:cs="Times New Roman"/>
          <w:lang w:eastAsia="de-DE"/>
        </w:rPr>
        <w:t xml:space="preserve"> (am nächsten Tag), </w:t>
      </w:r>
      <w:r w:rsidRPr="00434555">
        <w:rPr>
          <w:rFonts w:eastAsia="Times New Roman" w:cs="Times New Roman"/>
          <w:b/>
          <w:bCs/>
          <w:rtl/>
          <w:lang w:eastAsia="de-DE"/>
        </w:rPr>
        <w:t>הנותר</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τὸ</w:t>
      </w:r>
      <w:proofErr w:type="spellEnd"/>
      <w:r w:rsidRPr="00434555">
        <w:rPr>
          <w:rFonts w:eastAsia="Times New Roman" w:cs="Times New Roman"/>
          <w:lang w:eastAsia="de-DE"/>
        </w:rPr>
        <w:t xml:space="preserve"> κατα</w:t>
      </w:r>
      <w:proofErr w:type="spellStart"/>
      <w:r w:rsidRPr="00434555">
        <w:rPr>
          <w:rFonts w:eastAsia="Times New Roman" w:cs="Times New Roman"/>
          <w:lang w:eastAsia="de-DE"/>
        </w:rPr>
        <w:t>λειφθέν</w:t>
      </w:r>
      <w:proofErr w:type="spellEnd"/>
      <w:r w:rsidRPr="00434555">
        <w:rPr>
          <w:rFonts w:eastAsia="Times New Roman" w:cs="Times New Roman"/>
          <w:lang w:eastAsia="de-DE"/>
        </w:rPr>
        <w:t xml:space="preserve"> (das Übriggelassene) und </w:t>
      </w:r>
      <w:r w:rsidRPr="00434555">
        <w:rPr>
          <w:rFonts w:eastAsia="Times New Roman" w:cs="Times New Roman"/>
          <w:b/>
          <w:bCs/>
          <w:rtl/>
          <w:lang w:eastAsia="de-DE"/>
        </w:rPr>
        <w:t>ישרף</w:t>
      </w:r>
      <w:r w:rsidRPr="00434555">
        <w:rPr>
          <w:rFonts w:eastAsia="Times New Roman" w:cs="Times New Roman"/>
          <w:rtl/>
          <w:lang w:eastAsia="de-DE"/>
        </w:rPr>
        <w:t xml:space="preserve"> </w:t>
      </w:r>
      <w:r w:rsidRPr="00434555">
        <w:rPr>
          <w:rFonts w:eastAsia="Times New Roman" w:cs="Times New Roman"/>
          <w:lang w:eastAsia="de-DE"/>
        </w:rPr>
        <w:t>mit κατακα</w:t>
      </w:r>
      <w:proofErr w:type="spellStart"/>
      <w:r w:rsidRPr="00434555">
        <w:rPr>
          <w:rFonts w:eastAsia="Times New Roman" w:cs="Times New Roman"/>
          <w:lang w:eastAsia="de-DE"/>
        </w:rPr>
        <w:t>υθήσετ</w:t>
      </w:r>
      <w:proofErr w:type="spellEnd"/>
      <w:r w:rsidRPr="00434555">
        <w:rPr>
          <w:rFonts w:eastAsia="Times New Roman" w:cs="Times New Roman"/>
          <w:lang w:eastAsia="de-DE"/>
        </w:rPr>
        <w:t>αι (wird verbrannt werden).</w:t>
      </w:r>
    </w:p>
    <w:p w14:paraId="5B26F282"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zeitliche Verzehrregelung: zweittägige Verzehrerlaubnis + Übrigbleibsel-Vernichtung am dritten Tag.</w:t>
      </w:r>
    </w:p>
    <w:p w14:paraId="00325CD1"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regelt die zeitlichen Grenzen für den Verzehr von Friedensopfern zur Vermeidung kultischer Verunreinigung.</w:t>
      </w:r>
    </w:p>
    <w:p w14:paraId="271F78F9"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19,7</w:t>
      </w:r>
    </w:p>
    <w:p w14:paraId="7D70A107"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וְאִ֛ם הֵאָכֹ֥ל יֵאָכֵ֖ל בַּיּ֣וֹם הַשְּׁלִישִׁ֑י פִּגּ֥וּל ה֖וּא לֹ֥א יֵרָצֶֽה׃</w:t>
      </w:r>
    </w:p>
    <w:p w14:paraId="64DE7716"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wenn irgendetwas am dritten Tag gegessen wird, ist es ein Gräuel; es wird nicht wohlgefällig angenommen werden.</w:t>
      </w:r>
    </w:p>
    <w:p w14:paraId="458B7669"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287FFEBC">
          <v:rect id="_x0000_i1567" style="width:0;height:1.5pt" o:hralign="center" o:hrstd="t" o:hr="t" fillcolor="#a0a0a0" stroked="f"/>
        </w:pict>
      </w:r>
    </w:p>
    <w:p w14:paraId="124A77C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ואם האכל יאכל ביום השלישי פגול הוא לא ירצה</w:t>
      </w:r>
      <w:r w:rsidRPr="00434555">
        <w:rPr>
          <w:rFonts w:eastAsia="Times New Roman" w:cs="Times New Roman"/>
          <w:rtl/>
          <w:lang w:eastAsia="de-DE"/>
        </w:rPr>
        <w:t xml:space="preserve"> </w:t>
      </w:r>
      <w:r w:rsidRPr="00434555">
        <w:rPr>
          <w:rFonts w:eastAsia="Times New Roman" w:cs="Times New Roman"/>
          <w:lang w:eastAsia="de-DE"/>
        </w:rPr>
        <w:t xml:space="preserve">zeigt die Folgen der Zeitüberschreitung. </w:t>
      </w:r>
      <w:r w:rsidRPr="00434555">
        <w:rPr>
          <w:rFonts w:eastAsia="Times New Roman" w:cs="Times New Roman"/>
          <w:b/>
          <w:bCs/>
          <w:rtl/>
          <w:lang w:eastAsia="de-DE"/>
        </w:rPr>
        <w:t>ואם האכל יאכל ביום השלישי</w:t>
      </w:r>
      <w:r w:rsidRPr="00434555">
        <w:rPr>
          <w:rFonts w:eastAsia="Times New Roman" w:cs="Times New Roman"/>
          <w:rtl/>
          <w:lang w:eastAsia="de-DE"/>
        </w:rPr>
        <w:t xml:space="preserve"> </w:t>
      </w:r>
      <w:r w:rsidRPr="00434555">
        <w:rPr>
          <w:rFonts w:eastAsia="Times New Roman" w:cs="Times New Roman"/>
          <w:lang w:eastAsia="de-DE"/>
        </w:rPr>
        <w:t xml:space="preserve">(und wenn irgendetwas am dritten Tag gegessen wird) - </w:t>
      </w:r>
      <w:r w:rsidRPr="00434555">
        <w:rPr>
          <w:rFonts w:eastAsia="Times New Roman" w:cs="Times New Roman"/>
          <w:b/>
          <w:bCs/>
          <w:rtl/>
          <w:lang w:eastAsia="de-DE"/>
        </w:rPr>
        <w:t>האכל יאכל</w:t>
      </w:r>
      <w:r w:rsidRPr="00434555">
        <w:rPr>
          <w:rFonts w:eastAsia="Times New Roman" w:cs="Times New Roman"/>
          <w:rtl/>
          <w:lang w:eastAsia="de-DE"/>
        </w:rPr>
        <w:t xml:space="preserve"> </w:t>
      </w:r>
      <w:r w:rsidRPr="00434555">
        <w:rPr>
          <w:rFonts w:eastAsia="Times New Roman" w:cs="Times New Roman"/>
          <w:lang w:eastAsia="de-DE"/>
        </w:rPr>
        <w:t xml:space="preserve">als infinitivus absolutus + finite Verbform zeigt emphatische Gewissheit: "wenn wirklich gegessen wird". </w:t>
      </w:r>
      <w:r w:rsidRPr="00434555">
        <w:rPr>
          <w:rFonts w:eastAsia="Times New Roman" w:cs="Times New Roman"/>
          <w:b/>
          <w:bCs/>
          <w:rtl/>
          <w:lang w:eastAsia="de-DE"/>
        </w:rPr>
        <w:t>ביום השלישי</w:t>
      </w:r>
      <w:r w:rsidRPr="00434555">
        <w:rPr>
          <w:rFonts w:eastAsia="Times New Roman" w:cs="Times New Roman"/>
          <w:rtl/>
          <w:lang w:eastAsia="de-DE"/>
        </w:rPr>
        <w:t xml:space="preserve"> </w:t>
      </w:r>
      <w:r w:rsidRPr="00434555">
        <w:rPr>
          <w:rFonts w:eastAsia="Times New Roman" w:cs="Times New Roman"/>
          <w:lang w:eastAsia="de-DE"/>
        </w:rPr>
        <w:t>(am dritten Tag) zeigt die verbotene Zeit.</w:t>
      </w:r>
    </w:p>
    <w:p w14:paraId="4DE2F59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פגול הוא לא ירצה</w:t>
      </w:r>
      <w:r w:rsidRPr="00434555">
        <w:rPr>
          <w:rFonts w:eastAsia="Times New Roman" w:cs="Times New Roman"/>
          <w:rtl/>
          <w:lang w:eastAsia="de-DE"/>
        </w:rPr>
        <w:t xml:space="preserve"> </w:t>
      </w:r>
      <w:r w:rsidRPr="00434555">
        <w:rPr>
          <w:rFonts w:eastAsia="Times New Roman" w:cs="Times New Roman"/>
          <w:lang w:eastAsia="de-DE"/>
        </w:rPr>
        <w:t xml:space="preserve">(ist es ein Gräuel; es wird nicht wohlgefällig angenommen werden) - </w:t>
      </w:r>
      <w:r w:rsidRPr="00434555">
        <w:rPr>
          <w:rFonts w:eastAsia="Times New Roman" w:cs="Times New Roman"/>
          <w:b/>
          <w:bCs/>
          <w:rtl/>
          <w:lang w:eastAsia="de-DE"/>
        </w:rPr>
        <w:t>פגול</w:t>
      </w:r>
      <w:r w:rsidRPr="00434555">
        <w:rPr>
          <w:rFonts w:eastAsia="Times New Roman" w:cs="Times New Roman"/>
          <w:rtl/>
          <w:lang w:eastAsia="de-DE"/>
        </w:rPr>
        <w:t xml:space="preserve"> </w:t>
      </w:r>
      <w:r w:rsidRPr="00434555">
        <w:rPr>
          <w:rFonts w:eastAsia="Times New Roman" w:cs="Times New Roman"/>
          <w:lang w:eastAsia="de-DE"/>
        </w:rPr>
        <w:t xml:space="preserve">(Gräuel) als technischer Begriff für zeitlich verfallenes Opferfleisch. </w:t>
      </w:r>
      <w:r w:rsidRPr="00434555">
        <w:rPr>
          <w:rFonts w:eastAsia="Times New Roman" w:cs="Times New Roman"/>
          <w:b/>
          <w:bCs/>
          <w:rtl/>
          <w:lang w:eastAsia="de-DE"/>
        </w:rPr>
        <w:t>הוא</w:t>
      </w:r>
      <w:r w:rsidRPr="00434555">
        <w:rPr>
          <w:rFonts w:eastAsia="Times New Roman" w:cs="Times New Roman"/>
          <w:rtl/>
          <w:lang w:eastAsia="de-DE"/>
        </w:rPr>
        <w:t xml:space="preserve"> </w:t>
      </w:r>
      <w:r w:rsidRPr="00434555">
        <w:rPr>
          <w:rFonts w:eastAsia="Times New Roman" w:cs="Times New Roman"/>
          <w:lang w:eastAsia="de-DE"/>
        </w:rPr>
        <w:t xml:space="preserve">bezieht sich auf das gegessene Fleisch. </w:t>
      </w:r>
      <w:r w:rsidRPr="00434555">
        <w:rPr>
          <w:rFonts w:eastAsia="Times New Roman" w:cs="Times New Roman"/>
          <w:b/>
          <w:bCs/>
          <w:rtl/>
          <w:lang w:eastAsia="de-DE"/>
        </w:rPr>
        <w:t>לא ירצה</w:t>
      </w:r>
      <w:r w:rsidRPr="00434555">
        <w:rPr>
          <w:rFonts w:eastAsia="Times New Roman" w:cs="Times New Roman"/>
          <w:rtl/>
          <w:lang w:eastAsia="de-DE"/>
        </w:rPr>
        <w:t xml:space="preserve"> </w:t>
      </w:r>
      <w:r w:rsidRPr="00434555">
        <w:rPr>
          <w:rFonts w:eastAsia="Times New Roman" w:cs="Times New Roman"/>
          <w:lang w:eastAsia="de-DE"/>
        </w:rPr>
        <w:t>(wird nicht angenommen werden) im Nifal-Imperfekt zeigt göttliche Ablehnung.</w:t>
      </w:r>
    </w:p>
    <w:p w14:paraId="16F5C229"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האכל יאכל</w:t>
      </w:r>
      <w:r w:rsidRPr="00434555">
        <w:rPr>
          <w:rFonts w:eastAsia="Times New Roman" w:cs="Times New Roman"/>
          <w:rtl/>
          <w:lang w:eastAsia="de-DE"/>
        </w:rPr>
        <w:t xml:space="preserve"> </w:t>
      </w:r>
      <w:r w:rsidRPr="00434555">
        <w:rPr>
          <w:rFonts w:eastAsia="Times New Roman" w:cs="Times New Roman"/>
          <w:lang w:eastAsia="de-DE"/>
        </w:rPr>
        <w:t xml:space="preserve">betont durch doppelte Formulierung die Gewissheit des Verstoßes. </w:t>
      </w:r>
      <w:r w:rsidRPr="00434555">
        <w:rPr>
          <w:rFonts w:eastAsia="Times New Roman" w:cs="Times New Roman"/>
          <w:b/>
          <w:bCs/>
          <w:rtl/>
          <w:lang w:eastAsia="de-DE"/>
        </w:rPr>
        <w:t>פגול</w:t>
      </w:r>
      <w:r w:rsidRPr="00434555">
        <w:rPr>
          <w:rFonts w:eastAsia="Times New Roman" w:cs="Times New Roman"/>
          <w:rtl/>
          <w:lang w:eastAsia="de-DE"/>
        </w:rPr>
        <w:t xml:space="preserve"> </w:t>
      </w:r>
      <w:r w:rsidRPr="00434555">
        <w:rPr>
          <w:rFonts w:eastAsia="Times New Roman" w:cs="Times New Roman"/>
          <w:lang w:eastAsia="de-DE"/>
        </w:rPr>
        <w:t xml:space="preserve">als spezifischer Terminus für verfallenes Opferfleisch. </w:t>
      </w:r>
      <w:r w:rsidRPr="00434555">
        <w:rPr>
          <w:rFonts w:eastAsia="Times New Roman" w:cs="Times New Roman"/>
          <w:b/>
          <w:bCs/>
          <w:rtl/>
          <w:lang w:eastAsia="de-DE"/>
        </w:rPr>
        <w:t>לא ירצה</w:t>
      </w:r>
      <w:r w:rsidRPr="00434555">
        <w:rPr>
          <w:rFonts w:eastAsia="Times New Roman" w:cs="Times New Roman"/>
          <w:rtl/>
          <w:lang w:eastAsia="de-DE"/>
        </w:rPr>
        <w:t xml:space="preserve"> </w:t>
      </w:r>
      <w:r w:rsidRPr="00434555">
        <w:rPr>
          <w:rFonts w:eastAsia="Times New Roman" w:cs="Times New Roman"/>
          <w:lang w:eastAsia="de-DE"/>
        </w:rPr>
        <w:t>zeigt, dass das ganze Opfer dadurch seine Wirksamkeit verliert.</w:t>
      </w:r>
    </w:p>
    <w:p w14:paraId="6D2659DC" w14:textId="43676FDF"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w:t>
      </w:r>
      <w:r w:rsidR="004F25E8">
        <w:t xml:space="preserve">übersetzt </w:t>
      </w:r>
      <w:r w:rsidR="004F25E8">
        <w:rPr>
          <w:rtl/>
        </w:rPr>
        <w:t>פגול</w:t>
      </w:r>
      <w:r w:rsidR="004F25E8">
        <w:t xml:space="preserve"> (</w:t>
      </w:r>
      <w:proofErr w:type="spellStart"/>
      <w:r w:rsidR="004F25E8">
        <w:t>piggul</w:t>
      </w:r>
      <w:proofErr w:type="spellEnd"/>
      <w:r w:rsidR="004F25E8">
        <w:t xml:space="preserve"> - "Verworfenes/Verdorbenes") als </w:t>
      </w:r>
      <w:proofErr w:type="spellStart"/>
      <w:r w:rsidR="004F25E8">
        <w:t>ἄθυτον</w:t>
      </w:r>
      <w:proofErr w:type="spellEnd"/>
      <w:r w:rsidR="004F25E8">
        <w:t xml:space="preserve"> (Ungeopfertes), was eine funktionale statt einer qualitativen Beschreibung darstellt.</w:t>
      </w:r>
    </w:p>
    <w:p w14:paraId="73524B40"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Verfallsfolgen: emphatische Zeitüberschreitung + Gräuel-Qualifikation + göttliche Verwerfung.</w:t>
      </w:r>
    </w:p>
    <w:p w14:paraId="371DB9A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 xml:space="preserve">Dieser Vers etabliert </w:t>
      </w:r>
      <w:r w:rsidRPr="00434555">
        <w:rPr>
          <w:rFonts w:eastAsia="Times New Roman" w:cs="Times New Roman"/>
          <w:b/>
          <w:bCs/>
          <w:rtl/>
          <w:lang w:eastAsia="de-DE"/>
        </w:rPr>
        <w:t>פגול</w:t>
      </w:r>
      <w:r w:rsidRPr="00434555">
        <w:rPr>
          <w:rFonts w:eastAsia="Times New Roman" w:cs="Times New Roman"/>
          <w:rtl/>
          <w:lang w:eastAsia="de-DE"/>
        </w:rPr>
        <w:t xml:space="preserve"> </w:t>
      </w:r>
      <w:r w:rsidRPr="00434555">
        <w:rPr>
          <w:rFonts w:eastAsia="Times New Roman" w:cs="Times New Roman"/>
          <w:lang w:eastAsia="de-DE"/>
        </w:rPr>
        <w:t>als technischen Begriff für zeitlich verfallenes Opferfleisch mit göttlicher Verwerfung.</w:t>
      </w:r>
    </w:p>
    <w:p w14:paraId="0A69238D"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lastRenderedPageBreak/>
        <w:t>Leviticus 19,8</w:t>
      </w:r>
    </w:p>
    <w:p w14:paraId="7E859BCE"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וְאֹֽכְלָיו֙ עֲוֹנֹ֣ו יִשָּׂ֔א כִּֽי־אֶת־קֹ֥דֶשׁ יְהוָ֖ה חִלֵּ֑ל וְנִכְרְתָ֛ה הַנֶּ֥פֶשׁ הַהִ֖וא מֵעַמֶּֽיהָ׃</w:t>
      </w:r>
    </w:p>
    <w:p w14:paraId="66B727E4"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wer es auch ist, er wird seine Schuld tragen, denn das Heilige des Ewigen hat er entweiht; und diese Seele soll aus ihren Volksgenossen ausgerottet werden.</w:t>
      </w:r>
    </w:p>
    <w:p w14:paraId="1B8251FD"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515C301D">
          <v:rect id="_x0000_i1568" style="width:0;height:1.5pt" o:hralign="center" o:hrstd="t" o:hr="t" fillcolor="#a0a0a0" stroked="f"/>
        </w:pict>
      </w:r>
    </w:p>
    <w:p w14:paraId="7190098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ואכליו עונו ישא כי־את־קדש יהוה חלל ונכרתה הנפש ההוא מעמיה</w:t>
      </w:r>
      <w:r w:rsidRPr="00434555">
        <w:rPr>
          <w:rFonts w:eastAsia="Times New Roman" w:cs="Times New Roman"/>
          <w:rtl/>
          <w:lang w:eastAsia="de-DE"/>
        </w:rPr>
        <w:t xml:space="preserve"> </w:t>
      </w:r>
      <w:r w:rsidRPr="00434555">
        <w:rPr>
          <w:rFonts w:eastAsia="Times New Roman" w:cs="Times New Roman"/>
          <w:lang w:eastAsia="de-DE"/>
        </w:rPr>
        <w:t xml:space="preserve">zeigt die schwere Strafe für </w:t>
      </w:r>
      <w:r w:rsidRPr="00434555">
        <w:rPr>
          <w:rFonts w:eastAsia="Times New Roman" w:cs="Times New Roman"/>
          <w:b/>
          <w:bCs/>
          <w:rtl/>
          <w:lang w:eastAsia="de-DE"/>
        </w:rPr>
        <w:t>פגול</w:t>
      </w:r>
      <w:r w:rsidRPr="00434555">
        <w:rPr>
          <w:rFonts w:eastAsia="Times New Roman" w:cs="Times New Roman"/>
          <w:lang w:eastAsia="de-DE"/>
        </w:rPr>
        <w:t xml:space="preserve">-Verzehr. </w:t>
      </w:r>
      <w:r w:rsidRPr="00434555">
        <w:rPr>
          <w:rFonts w:eastAsia="Times New Roman" w:cs="Times New Roman"/>
          <w:b/>
          <w:bCs/>
          <w:rtl/>
          <w:lang w:eastAsia="de-DE"/>
        </w:rPr>
        <w:t>ואכליו עונו ישא</w:t>
      </w:r>
      <w:r w:rsidRPr="00434555">
        <w:rPr>
          <w:rFonts w:eastAsia="Times New Roman" w:cs="Times New Roman"/>
          <w:rtl/>
          <w:lang w:eastAsia="de-DE"/>
        </w:rPr>
        <w:t xml:space="preserve"> </w:t>
      </w:r>
      <w:r w:rsidRPr="00434555">
        <w:rPr>
          <w:rFonts w:eastAsia="Times New Roman" w:cs="Times New Roman"/>
          <w:lang w:eastAsia="de-DE"/>
        </w:rPr>
        <w:t xml:space="preserve">(und wer es isst, wird seine Schuld tragen) - </w:t>
      </w:r>
      <w:r w:rsidRPr="00434555">
        <w:rPr>
          <w:rFonts w:eastAsia="Times New Roman" w:cs="Times New Roman"/>
          <w:b/>
          <w:bCs/>
          <w:rtl/>
          <w:lang w:eastAsia="de-DE"/>
        </w:rPr>
        <w:t>אכליו</w:t>
      </w:r>
      <w:r w:rsidRPr="00434555">
        <w:rPr>
          <w:rFonts w:eastAsia="Times New Roman" w:cs="Times New Roman"/>
          <w:rtl/>
          <w:lang w:eastAsia="de-DE"/>
        </w:rPr>
        <w:t xml:space="preserve"> </w:t>
      </w:r>
      <w:r w:rsidRPr="00434555">
        <w:rPr>
          <w:rFonts w:eastAsia="Times New Roman" w:cs="Times New Roman"/>
          <w:lang w:eastAsia="de-DE"/>
        </w:rPr>
        <w:t xml:space="preserve">(sein Esser) mit Suffix bezieht sich auf das </w:t>
      </w:r>
      <w:r w:rsidRPr="00434555">
        <w:rPr>
          <w:rFonts w:eastAsia="Times New Roman" w:cs="Times New Roman"/>
          <w:b/>
          <w:bCs/>
          <w:rtl/>
          <w:lang w:eastAsia="de-DE"/>
        </w:rPr>
        <w:t>פגול</w:t>
      </w:r>
      <w:r w:rsidRPr="00434555">
        <w:rPr>
          <w:rFonts w:eastAsia="Times New Roman" w:cs="Times New Roman"/>
          <w:lang w:eastAsia="de-DE"/>
        </w:rPr>
        <w:t xml:space="preserve">. </w:t>
      </w:r>
      <w:r w:rsidRPr="00434555">
        <w:rPr>
          <w:rFonts w:eastAsia="Times New Roman" w:cs="Times New Roman"/>
          <w:b/>
          <w:bCs/>
          <w:rtl/>
          <w:lang w:eastAsia="de-DE"/>
        </w:rPr>
        <w:t>עונו ישא</w:t>
      </w:r>
      <w:r w:rsidRPr="00434555">
        <w:rPr>
          <w:rFonts w:eastAsia="Times New Roman" w:cs="Times New Roman"/>
          <w:rtl/>
          <w:lang w:eastAsia="de-DE"/>
        </w:rPr>
        <w:t xml:space="preserve"> </w:t>
      </w:r>
      <w:r w:rsidRPr="00434555">
        <w:rPr>
          <w:rFonts w:eastAsia="Times New Roman" w:cs="Times New Roman"/>
          <w:lang w:eastAsia="de-DE"/>
        </w:rPr>
        <w:t>(wird seine Schuld tragen) im Qal-Imperfekt zeigt persönliche Verantwortung.</w:t>
      </w:r>
    </w:p>
    <w:p w14:paraId="3DCBAB0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כי־את־קדש יהוה חלל</w:t>
      </w:r>
      <w:r w:rsidRPr="00434555">
        <w:rPr>
          <w:rFonts w:eastAsia="Times New Roman" w:cs="Times New Roman"/>
          <w:rtl/>
          <w:lang w:eastAsia="de-DE"/>
        </w:rPr>
        <w:t xml:space="preserve"> </w:t>
      </w:r>
      <w:r w:rsidRPr="00434555">
        <w:rPr>
          <w:rFonts w:eastAsia="Times New Roman" w:cs="Times New Roman"/>
          <w:lang w:eastAsia="de-DE"/>
        </w:rPr>
        <w:t xml:space="preserve">(denn das Heilige des Ewigen hat er entweiht) - </w:t>
      </w:r>
      <w:r w:rsidRPr="00434555">
        <w:rPr>
          <w:rFonts w:eastAsia="Times New Roman" w:cs="Times New Roman"/>
          <w:b/>
          <w:bCs/>
          <w:rtl/>
          <w:lang w:eastAsia="de-DE"/>
        </w:rPr>
        <w:t>את־קדש יהוה</w:t>
      </w:r>
      <w:r w:rsidRPr="00434555">
        <w:rPr>
          <w:rFonts w:eastAsia="Times New Roman" w:cs="Times New Roman"/>
          <w:rtl/>
          <w:lang w:eastAsia="de-DE"/>
        </w:rPr>
        <w:t xml:space="preserve"> </w:t>
      </w:r>
      <w:r w:rsidRPr="00434555">
        <w:rPr>
          <w:rFonts w:eastAsia="Times New Roman" w:cs="Times New Roman"/>
          <w:lang w:eastAsia="de-DE"/>
        </w:rPr>
        <w:t xml:space="preserve">(das Heilige des Ewigen) zeigt den geheiligten Status des Opferfleisches. </w:t>
      </w:r>
      <w:r w:rsidRPr="00434555">
        <w:rPr>
          <w:rFonts w:eastAsia="Times New Roman" w:cs="Times New Roman"/>
          <w:b/>
          <w:bCs/>
          <w:rtl/>
          <w:lang w:eastAsia="de-DE"/>
        </w:rPr>
        <w:t>חלל</w:t>
      </w:r>
      <w:r w:rsidRPr="00434555">
        <w:rPr>
          <w:rFonts w:eastAsia="Times New Roman" w:cs="Times New Roman"/>
          <w:rtl/>
          <w:lang w:eastAsia="de-DE"/>
        </w:rPr>
        <w:t xml:space="preserve"> </w:t>
      </w:r>
      <w:r w:rsidRPr="00434555">
        <w:rPr>
          <w:rFonts w:eastAsia="Times New Roman" w:cs="Times New Roman"/>
          <w:lang w:eastAsia="de-DE"/>
        </w:rPr>
        <w:t>(hat entweiht) im Piel-Perfekt, das Piel zeigt intensive Entweihung.</w:t>
      </w:r>
    </w:p>
    <w:p w14:paraId="496E3EE2"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ונכרתה הנפש ההוא מעמיה</w:t>
      </w:r>
      <w:r w:rsidRPr="00434555">
        <w:rPr>
          <w:rFonts w:eastAsia="Times New Roman" w:cs="Times New Roman"/>
          <w:rtl/>
          <w:lang w:eastAsia="de-DE"/>
        </w:rPr>
        <w:t xml:space="preserve"> </w:t>
      </w:r>
      <w:r w:rsidRPr="00434555">
        <w:rPr>
          <w:rFonts w:eastAsia="Times New Roman" w:cs="Times New Roman"/>
          <w:lang w:eastAsia="de-DE"/>
        </w:rPr>
        <w:t xml:space="preserve">(und diese Seele soll aus ihren Volksgenossen ausgerottet werden) - </w:t>
      </w:r>
      <w:r w:rsidRPr="00434555">
        <w:rPr>
          <w:rFonts w:eastAsia="Times New Roman" w:cs="Times New Roman"/>
          <w:b/>
          <w:bCs/>
          <w:rtl/>
          <w:lang w:eastAsia="de-DE"/>
        </w:rPr>
        <w:t>ונכרתה</w:t>
      </w:r>
      <w:r w:rsidRPr="00434555">
        <w:rPr>
          <w:rFonts w:eastAsia="Times New Roman" w:cs="Times New Roman"/>
          <w:rtl/>
          <w:lang w:eastAsia="de-DE"/>
        </w:rPr>
        <w:t xml:space="preserve"> </w:t>
      </w:r>
      <w:r w:rsidRPr="00434555">
        <w:rPr>
          <w:rFonts w:eastAsia="Times New Roman" w:cs="Times New Roman"/>
          <w:lang w:eastAsia="de-DE"/>
        </w:rPr>
        <w:t xml:space="preserve">(und ausgerottet werden soll) im Nifal-Perfekt mit Waw-Konsekutiv zeigt die </w:t>
      </w:r>
      <w:r w:rsidRPr="00434555">
        <w:rPr>
          <w:rFonts w:eastAsia="Times New Roman" w:cs="Times New Roman"/>
          <w:b/>
          <w:bCs/>
          <w:rtl/>
          <w:lang w:eastAsia="de-DE"/>
        </w:rPr>
        <w:t>כרת</w:t>
      </w:r>
      <w:r w:rsidRPr="00434555">
        <w:rPr>
          <w:rFonts w:eastAsia="Times New Roman" w:cs="Times New Roman"/>
          <w:lang w:eastAsia="de-DE"/>
        </w:rPr>
        <w:t xml:space="preserve">-Strafe. </w:t>
      </w:r>
      <w:r w:rsidRPr="00434555">
        <w:rPr>
          <w:rFonts w:eastAsia="Times New Roman" w:cs="Times New Roman"/>
          <w:b/>
          <w:bCs/>
          <w:rtl/>
          <w:lang w:eastAsia="de-DE"/>
        </w:rPr>
        <w:t>הנפש ההוא</w:t>
      </w:r>
      <w:r w:rsidRPr="00434555">
        <w:rPr>
          <w:rFonts w:eastAsia="Times New Roman" w:cs="Times New Roman"/>
          <w:rtl/>
          <w:lang w:eastAsia="de-DE"/>
        </w:rPr>
        <w:t xml:space="preserve"> </w:t>
      </w:r>
      <w:r w:rsidRPr="00434555">
        <w:rPr>
          <w:rFonts w:eastAsia="Times New Roman" w:cs="Times New Roman"/>
          <w:lang w:eastAsia="de-DE"/>
        </w:rPr>
        <w:t>(diese Seele) zeigt die individuelle Person.</w:t>
      </w:r>
    </w:p>
    <w:p w14:paraId="256F352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אכליו</w:t>
      </w:r>
      <w:r w:rsidRPr="00434555">
        <w:rPr>
          <w:rFonts w:eastAsia="Times New Roman" w:cs="Times New Roman"/>
          <w:rtl/>
          <w:lang w:eastAsia="de-DE"/>
        </w:rPr>
        <w:t xml:space="preserve"> </w:t>
      </w:r>
      <w:r w:rsidRPr="00434555">
        <w:rPr>
          <w:rFonts w:eastAsia="Times New Roman" w:cs="Times New Roman"/>
          <w:lang w:eastAsia="de-DE"/>
        </w:rPr>
        <w:t xml:space="preserve">zeigt persönliche Verantwortung des Verzehrers. </w:t>
      </w:r>
      <w:r w:rsidRPr="00434555">
        <w:rPr>
          <w:rFonts w:eastAsia="Times New Roman" w:cs="Times New Roman"/>
          <w:b/>
          <w:bCs/>
          <w:rtl/>
          <w:lang w:eastAsia="de-DE"/>
        </w:rPr>
        <w:t>את־קדש יהוה חלל</w:t>
      </w:r>
      <w:r w:rsidRPr="00434555">
        <w:rPr>
          <w:rFonts w:eastAsia="Times New Roman" w:cs="Times New Roman"/>
          <w:rtl/>
          <w:lang w:eastAsia="de-DE"/>
        </w:rPr>
        <w:t xml:space="preserve"> </w:t>
      </w:r>
      <w:r w:rsidRPr="00434555">
        <w:rPr>
          <w:rFonts w:eastAsia="Times New Roman" w:cs="Times New Roman"/>
          <w:lang w:eastAsia="de-DE"/>
        </w:rPr>
        <w:t xml:space="preserve">zeigt, dass </w:t>
      </w:r>
      <w:r w:rsidRPr="00434555">
        <w:rPr>
          <w:rFonts w:eastAsia="Times New Roman" w:cs="Times New Roman"/>
          <w:b/>
          <w:bCs/>
          <w:rtl/>
          <w:lang w:eastAsia="de-DE"/>
        </w:rPr>
        <w:t>פגול</w:t>
      </w:r>
      <w:r w:rsidRPr="00434555">
        <w:rPr>
          <w:rFonts w:eastAsia="Times New Roman" w:cs="Times New Roman"/>
          <w:lang w:eastAsia="de-DE"/>
        </w:rPr>
        <w:t xml:space="preserve">-Verzehr Heiligkeitsentweihung ist. </w:t>
      </w:r>
      <w:r w:rsidRPr="00434555">
        <w:rPr>
          <w:rFonts w:eastAsia="Times New Roman" w:cs="Times New Roman"/>
          <w:b/>
          <w:bCs/>
          <w:rtl/>
          <w:lang w:eastAsia="de-DE"/>
        </w:rPr>
        <w:t>ונכרתה</w:t>
      </w:r>
      <w:r w:rsidRPr="00434555">
        <w:rPr>
          <w:rFonts w:eastAsia="Times New Roman" w:cs="Times New Roman"/>
          <w:rtl/>
          <w:lang w:eastAsia="de-DE"/>
        </w:rPr>
        <w:t xml:space="preserve"> </w:t>
      </w:r>
      <w:r w:rsidRPr="00434555">
        <w:rPr>
          <w:rFonts w:eastAsia="Times New Roman" w:cs="Times New Roman"/>
          <w:lang w:eastAsia="de-DE"/>
        </w:rPr>
        <w:t xml:space="preserve">als </w:t>
      </w:r>
      <w:r w:rsidRPr="00434555">
        <w:rPr>
          <w:rFonts w:eastAsia="Times New Roman" w:cs="Times New Roman"/>
          <w:b/>
          <w:bCs/>
          <w:rtl/>
          <w:lang w:eastAsia="de-DE"/>
        </w:rPr>
        <w:t>כרת</w:t>
      </w:r>
      <w:r w:rsidRPr="00434555">
        <w:rPr>
          <w:rFonts w:eastAsia="Times New Roman" w:cs="Times New Roman"/>
          <w:lang w:eastAsia="de-DE"/>
        </w:rPr>
        <w:t>-Strafe zeigt die extreme Schwere der Verfehlung.</w:t>
      </w:r>
    </w:p>
    <w:p w14:paraId="3657C75B"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אכליו</w:t>
      </w:r>
      <w:r w:rsidRPr="00434555">
        <w:rPr>
          <w:rFonts w:eastAsia="Times New Roman" w:cs="Times New Roman"/>
          <w:rtl/>
          <w:lang w:eastAsia="de-DE"/>
        </w:rPr>
        <w:t xml:space="preserve"> </w:t>
      </w:r>
      <w:r w:rsidRPr="00434555">
        <w:rPr>
          <w:rFonts w:eastAsia="Times New Roman" w:cs="Times New Roman"/>
          <w:lang w:eastAsia="de-DE"/>
        </w:rPr>
        <w:t xml:space="preserve">mit ὁ </w:t>
      </w:r>
      <w:proofErr w:type="spellStart"/>
      <w:r w:rsidRPr="00434555">
        <w:rPr>
          <w:rFonts w:eastAsia="Times New Roman" w:cs="Times New Roman"/>
          <w:lang w:eastAsia="de-DE"/>
        </w:rPr>
        <w:t>ἔσθων</w:t>
      </w:r>
      <w:proofErr w:type="spellEnd"/>
      <w:r w:rsidRPr="00434555">
        <w:rPr>
          <w:rFonts w:eastAsia="Times New Roman" w:cs="Times New Roman"/>
          <w:lang w:eastAsia="de-DE"/>
        </w:rPr>
        <w:t xml:space="preserve"> α</w:t>
      </w:r>
      <w:proofErr w:type="spellStart"/>
      <w:r w:rsidRPr="00434555">
        <w:rPr>
          <w:rFonts w:eastAsia="Times New Roman" w:cs="Times New Roman"/>
          <w:lang w:eastAsia="de-DE"/>
        </w:rPr>
        <w:t>ὐτό</w:t>
      </w:r>
      <w:proofErr w:type="spellEnd"/>
      <w:r w:rsidRPr="00434555">
        <w:rPr>
          <w:rFonts w:eastAsia="Times New Roman" w:cs="Times New Roman"/>
          <w:lang w:eastAsia="de-DE"/>
        </w:rPr>
        <w:t xml:space="preserve"> (der es isst), </w:t>
      </w:r>
      <w:r w:rsidRPr="00434555">
        <w:rPr>
          <w:rFonts w:eastAsia="Times New Roman" w:cs="Times New Roman"/>
          <w:b/>
          <w:bCs/>
          <w:rtl/>
          <w:lang w:eastAsia="de-DE"/>
        </w:rPr>
        <w:t>עונו ישא</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ἁμ</w:t>
      </w:r>
      <w:proofErr w:type="spellEnd"/>
      <w:r w:rsidRPr="00434555">
        <w:rPr>
          <w:rFonts w:eastAsia="Times New Roman" w:cs="Times New Roman"/>
          <w:lang w:eastAsia="de-DE"/>
        </w:rPr>
        <w:t xml:space="preserve">αρτίαν </w:t>
      </w:r>
      <w:proofErr w:type="spellStart"/>
      <w:r w:rsidRPr="00434555">
        <w:rPr>
          <w:rFonts w:eastAsia="Times New Roman" w:cs="Times New Roman"/>
          <w:lang w:eastAsia="de-DE"/>
        </w:rPr>
        <w:t>λήμψετ</w:t>
      </w:r>
      <w:proofErr w:type="spellEnd"/>
      <w:r w:rsidRPr="00434555">
        <w:rPr>
          <w:rFonts w:eastAsia="Times New Roman" w:cs="Times New Roman"/>
          <w:lang w:eastAsia="de-DE"/>
        </w:rPr>
        <w:t xml:space="preserve">αι (wird Sünde nehmen), </w:t>
      </w:r>
      <w:r w:rsidRPr="00434555">
        <w:rPr>
          <w:rFonts w:eastAsia="Times New Roman" w:cs="Times New Roman"/>
          <w:b/>
          <w:bCs/>
          <w:rtl/>
          <w:lang w:eastAsia="de-DE"/>
        </w:rPr>
        <w:t>חלל</w:t>
      </w:r>
      <w:r w:rsidRPr="00434555">
        <w:rPr>
          <w:rFonts w:eastAsia="Times New Roman" w:cs="Times New Roman"/>
          <w:rtl/>
          <w:lang w:eastAsia="de-DE"/>
        </w:rPr>
        <w:t xml:space="preserve"> </w:t>
      </w:r>
      <w:r w:rsidRPr="00434555">
        <w:rPr>
          <w:rFonts w:eastAsia="Times New Roman" w:cs="Times New Roman"/>
          <w:lang w:eastAsia="de-DE"/>
        </w:rPr>
        <w:t>mit ἐβεβ</w:t>
      </w:r>
      <w:proofErr w:type="spellStart"/>
      <w:r w:rsidRPr="00434555">
        <w:rPr>
          <w:rFonts w:eastAsia="Times New Roman" w:cs="Times New Roman"/>
          <w:lang w:eastAsia="de-DE"/>
        </w:rPr>
        <w:t>ήλωσεν</w:t>
      </w:r>
      <w:proofErr w:type="spellEnd"/>
      <w:r w:rsidRPr="00434555">
        <w:rPr>
          <w:rFonts w:eastAsia="Times New Roman" w:cs="Times New Roman"/>
          <w:lang w:eastAsia="de-DE"/>
        </w:rPr>
        <w:t xml:space="preserve"> (hat entweiht) und </w:t>
      </w:r>
      <w:r w:rsidRPr="00434555">
        <w:rPr>
          <w:rFonts w:eastAsia="Times New Roman" w:cs="Times New Roman"/>
          <w:b/>
          <w:bCs/>
          <w:rtl/>
          <w:lang w:eastAsia="de-DE"/>
        </w:rPr>
        <w:t>ונכרתה</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ἐξολεθρευθήσετ</w:t>
      </w:r>
      <w:proofErr w:type="spellEnd"/>
      <w:r w:rsidRPr="00434555">
        <w:rPr>
          <w:rFonts w:eastAsia="Times New Roman" w:cs="Times New Roman"/>
          <w:lang w:eastAsia="de-DE"/>
        </w:rPr>
        <w:t>αι (wird ausgerottet werden).</w:t>
      </w:r>
    </w:p>
    <w:p w14:paraId="6087B6E3"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schwere Bestrafung: persönliche Schuldverantwortung + Heiligkeitsentweihung + Ausrottungsstrafe.</w:t>
      </w:r>
    </w:p>
    <w:p w14:paraId="5180119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 xml:space="preserve">Dieser Vers zeigt, dass </w:t>
      </w:r>
      <w:r w:rsidRPr="00434555">
        <w:rPr>
          <w:rFonts w:eastAsia="Times New Roman" w:cs="Times New Roman"/>
          <w:b/>
          <w:bCs/>
          <w:rtl/>
          <w:lang w:eastAsia="de-DE"/>
        </w:rPr>
        <w:t>פגול</w:t>
      </w:r>
      <w:r w:rsidRPr="00434555">
        <w:rPr>
          <w:rFonts w:eastAsia="Times New Roman" w:cs="Times New Roman"/>
          <w:lang w:eastAsia="de-DE"/>
        </w:rPr>
        <w:t>-Verzehr als Heiligkeitsentweihung die schwerste Strafe (</w:t>
      </w:r>
      <w:r w:rsidRPr="00434555">
        <w:rPr>
          <w:rFonts w:eastAsia="Times New Roman" w:cs="Times New Roman"/>
          <w:b/>
          <w:bCs/>
          <w:rtl/>
          <w:lang w:eastAsia="de-DE"/>
        </w:rPr>
        <w:t>כרת</w:t>
      </w:r>
      <w:r w:rsidRPr="00434555">
        <w:rPr>
          <w:rFonts w:eastAsia="Times New Roman" w:cs="Times New Roman"/>
          <w:lang w:eastAsia="de-DE"/>
        </w:rPr>
        <w:t>) nach sich zieht.</w:t>
      </w:r>
    </w:p>
    <w:p w14:paraId="392F6948"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19,9</w:t>
      </w:r>
    </w:p>
    <w:p w14:paraId="6AE6B510"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וּֽבְקֻצְרְכֶם֙ אֶת־קְצִ֣יר אַרְצְכֶ֔ם לֹ֧א תְכַלֶּ֛ה פְּאַ֥ת שָׂדְךָ֖ לִקְצֹ֑ר וְלֶ֥קֶט קְצִֽירְךָ֖ לֹ֥א תְלַקֵּֽט׃</w:t>
      </w:r>
    </w:p>
    <w:p w14:paraId="2FBD12B6"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wenn ihr die Ernte eures Landes erntet, sollst du den Rand deines Feldes nicht vollständig abernten und keine Nachlese deiner Ernte halten.</w:t>
      </w:r>
    </w:p>
    <w:p w14:paraId="0383992D"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58AE9CC1">
          <v:rect id="_x0000_i1569" style="width:0;height:1.5pt" o:hralign="center" o:hrstd="t" o:hr="t" fillcolor="#a0a0a0" stroked="f"/>
        </w:pict>
      </w:r>
    </w:p>
    <w:p w14:paraId="6A980AA4" w14:textId="3F9FEBA4"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ובקצרכם את־קציר ארצכם לא תכלה פאת שדך לקצר ולקט קצירך לא תלקט</w:t>
      </w:r>
      <w:r w:rsidRPr="00434555">
        <w:rPr>
          <w:rFonts w:eastAsia="Times New Roman" w:cs="Times New Roman"/>
          <w:rtl/>
          <w:lang w:eastAsia="de-DE"/>
        </w:rPr>
        <w:t xml:space="preserve"> </w:t>
      </w:r>
      <w:r w:rsidRPr="00434555">
        <w:rPr>
          <w:rFonts w:eastAsia="Times New Roman" w:cs="Times New Roman"/>
          <w:lang w:eastAsia="de-DE"/>
        </w:rPr>
        <w:t xml:space="preserve">etabliert die Armenregelung bei der Ernte. </w:t>
      </w:r>
      <w:r w:rsidRPr="00434555">
        <w:rPr>
          <w:rFonts w:eastAsia="Times New Roman" w:cs="Times New Roman"/>
          <w:b/>
          <w:bCs/>
          <w:rtl/>
          <w:lang w:eastAsia="de-DE"/>
        </w:rPr>
        <w:t>ובקצרכם את־קציר ארצכם</w:t>
      </w:r>
      <w:r w:rsidRPr="00434555">
        <w:rPr>
          <w:rFonts w:eastAsia="Times New Roman" w:cs="Times New Roman"/>
          <w:rtl/>
          <w:lang w:eastAsia="de-DE"/>
        </w:rPr>
        <w:t xml:space="preserve"> </w:t>
      </w:r>
      <w:r w:rsidRPr="00434555">
        <w:rPr>
          <w:rFonts w:eastAsia="Times New Roman" w:cs="Times New Roman"/>
          <w:lang w:eastAsia="de-DE"/>
        </w:rPr>
        <w:t xml:space="preserve">(und wenn ihr die Ernte eures Landes erntet) - </w:t>
      </w:r>
      <w:r w:rsidRPr="00434555">
        <w:rPr>
          <w:rFonts w:eastAsia="Times New Roman" w:cs="Times New Roman"/>
          <w:b/>
          <w:bCs/>
          <w:rtl/>
          <w:lang w:eastAsia="de-DE"/>
        </w:rPr>
        <w:t>בקצרכם</w:t>
      </w:r>
      <w:r w:rsidRPr="00434555">
        <w:rPr>
          <w:rFonts w:eastAsia="Times New Roman" w:cs="Times New Roman"/>
          <w:rtl/>
          <w:lang w:eastAsia="de-DE"/>
        </w:rPr>
        <w:t xml:space="preserve"> </w:t>
      </w:r>
      <w:r w:rsidRPr="00434555">
        <w:rPr>
          <w:rFonts w:eastAsia="Times New Roman" w:cs="Times New Roman"/>
          <w:lang w:eastAsia="de-DE"/>
        </w:rPr>
        <w:t>(wenn ihr erntet) im Qal-Infinitiv-</w:t>
      </w:r>
      <w:r w:rsidR="005407E2">
        <w:rPr>
          <w:rFonts w:eastAsia="Times New Roman" w:cs="Times New Roman"/>
          <w:lang w:eastAsia="de-DE"/>
        </w:rPr>
        <w:t>Constructus</w:t>
      </w:r>
      <w:r w:rsidRPr="00434555">
        <w:rPr>
          <w:rFonts w:eastAsia="Times New Roman" w:cs="Times New Roman"/>
          <w:lang w:eastAsia="de-DE"/>
        </w:rPr>
        <w:t xml:space="preserve"> mit Suffix zeigt zeitliche Situation. </w:t>
      </w:r>
      <w:r w:rsidRPr="00434555">
        <w:rPr>
          <w:rFonts w:eastAsia="Times New Roman" w:cs="Times New Roman"/>
          <w:b/>
          <w:bCs/>
          <w:rtl/>
          <w:lang w:eastAsia="de-DE"/>
        </w:rPr>
        <w:t>קציר ארצכם</w:t>
      </w:r>
      <w:r w:rsidRPr="00434555">
        <w:rPr>
          <w:rFonts w:eastAsia="Times New Roman" w:cs="Times New Roman"/>
          <w:rtl/>
          <w:lang w:eastAsia="de-DE"/>
        </w:rPr>
        <w:t xml:space="preserve"> </w:t>
      </w:r>
      <w:r w:rsidRPr="00434555">
        <w:rPr>
          <w:rFonts w:eastAsia="Times New Roman" w:cs="Times New Roman"/>
          <w:lang w:eastAsia="de-DE"/>
        </w:rPr>
        <w:t>(Ernte eures Landes) betont den Landbesitz.</w:t>
      </w:r>
    </w:p>
    <w:p w14:paraId="65DD37BA" w14:textId="5F651CE1"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lastRenderedPageBreak/>
        <w:t>לא תכלה פאת שדך לקצר</w:t>
      </w:r>
      <w:r w:rsidRPr="00434555">
        <w:rPr>
          <w:rFonts w:eastAsia="Times New Roman" w:cs="Times New Roman"/>
          <w:rtl/>
          <w:lang w:eastAsia="de-DE"/>
        </w:rPr>
        <w:t xml:space="preserve"> </w:t>
      </w:r>
      <w:r w:rsidRPr="00434555">
        <w:rPr>
          <w:rFonts w:eastAsia="Times New Roman" w:cs="Times New Roman"/>
          <w:lang w:eastAsia="de-DE"/>
        </w:rPr>
        <w:t xml:space="preserve">(sollst du den Rand deines Feldes nicht vollständig abernten) - </w:t>
      </w:r>
      <w:r w:rsidRPr="00434555">
        <w:rPr>
          <w:rFonts w:eastAsia="Times New Roman" w:cs="Times New Roman"/>
          <w:b/>
          <w:bCs/>
          <w:rtl/>
          <w:lang w:eastAsia="de-DE"/>
        </w:rPr>
        <w:t>לא תכלה</w:t>
      </w:r>
      <w:r w:rsidRPr="00434555">
        <w:rPr>
          <w:rFonts w:eastAsia="Times New Roman" w:cs="Times New Roman"/>
          <w:rtl/>
          <w:lang w:eastAsia="de-DE"/>
        </w:rPr>
        <w:t xml:space="preserve"> </w:t>
      </w:r>
      <w:r w:rsidRPr="00434555">
        <w:rPr>
          <w:rFonts w:eastAsia="Times New Roman" w:cs="Times New Roman"/>
          <w:lang w:eastAsia="de-DE"/>
        </w:rPr>
        <w:t xml:space="preserve">(du sollst nicht vollenden) im Piel-Imperfekt, das Piel zeigt vollständige Beendigung. </w:t>
      </w:r>
      <w:r w:rsidRPr="00434555">
        <w:rPr>
          <w:rFonts w:eastAsia="Times New Roman" w:cs="Times New Roman"/>
          <w:b/>
          <w:bCs/>
          <w:rtl/>
          <w:lang w:eastAsia="de-DE"/>
        </w:rPr>
        <w:t>פאת שדך</w:t>
      </w:r>
      <w:r w:rsidRPr="00434555">
        <w:rPr>
          <w:rFonts w:eastAsia="Times New Roman" w:cs="Times New Roman"/>
          <w:rtl/>
          <w:lang w:eastAsia="de-DE"/>
        </w:rPr>
        <w:t xml:space="preserve"> </w:t>
      </w:r>
      <w:r w:rsidRPr="00434555">
        <w:rPr>
          <w:rFonts w:eastAsia="Times New Roman" w:cs="Times New Roman"/>
          <w:lang w:eastAsia="de-DE"/>
        </w:rPr>
        <w:t xml:space="preserve">(Rand deines Feldes) - </w:t>
      </w:r>
      <w:r w:rsidRPr="00434555">
        <w:rPr>
          <w:rFonts w:eastAsia="Times New Roman" w:cs="Times New Roman"/>
          <w:b/>
          <w:bCs/>
          <w:rtl/>
          <w:lang w:eastAsia="de-DE"/>
        </w:rPr>
        <w:t>פאה</w:t>
      </w:r>
      <w:r w:rsidRPr="00434555">
        <w:rPr>
          <w:rFonts w:eastAsia="Times New Roman" w:cs="Times New Roman"/>
          <w:rtl/>
          <w:lang w:eastAsia="de-DE"/>
        </w:rPr>
        <w:t xml:space="preserve"> </w:t>
      </w:r>
      <w:r w:rsidRPr="00434555">
        <w:rPr>
          <w:rFonts w:eastAsia="Times New Roman" w:cs="Times New Roman"/>
          <w:lang w:eastAsia="de-DE"/>
        </w:rPr>
        <w:t xml:space="preserve">(Ecke/Rand) als technischer Begriff für Feldränder. </w:t>
      </w:r>
      <w:r w:rsidRPr="00434555">
        <w:rPr>
          <w:rFonts w:eastAsia="Times New Roman" w:cs="Times New Roman"/>
          <w:b/>
          <w:bCs/>
          <w:rtl/>
          <w:lang w:eastAsia="de-DE"/>
        </w:rPr>
        <w:t>לקצר</w:t>
      </w:r>
      <w:r w:rsidRPr="00434555">
        <w:rPr>
          <w:rFonts w:eastAsia="Times New Roman" w:cs="Times New Roman"/>
          <w:rtl/>
          <w:lang w:eastAsia="de-DE"/>
        </w:rPr>
        <w:t xml:space="preserve"> </w:t>
      </w:r>
      <w:r w:rsidRPr="00434555">
        <w:rPr>
          <w:rFonts w:eastAsia="Times New Roman" w:cs="Times New Roman"/>
          <w:lang w:eastAsia="de-DE"/>
        </w:rPr>
        <w:t>(zu ernten) im Qal-Infinitiv-</w:t>
      </w:r>
      <w:r w:rsidR="005407E2">
        <w:rPr>
          <w:rFonts w:eastAsia="Times New Roman" w:cs="Times New Roman"/>
          <w:lang w:eastAsia="de-DE"/>
        </w:rPr>
        <w:t>Constructus</w:t>
      </w:r>
      <w:r w:rsidRPr="00434555">
        <w:rPr>
          <w:rFonts w:eastAsia="Times New Roman" w:cs="Times New Roman"/>
          <w:lang w:eastAsia="de-DE"/>
        </w:rPr>
        <w:t xml:space="preserve"> zeigt den Zweck.</w:t>
      </w:r>
    </w:p>
    <w:p w14:paraId="72AFC7F6"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ולקט קצירך לא תלקט</w:t>
      </w:r>
      <w:r w:rsidRPr="00434555">
        <w:rPr>
          <w:rFonts w:eastAsia="Times New Roman" w:cs="Times New Roman"/>
          <w:rtl/>
          <w:lang w:eastAsia="de-DE"/>
        </w:rPr>
        <w:t xml:space="preserve"> </w:t>
      </w:r>
      <w:r w:rsidRPr="00434555">
        <w:rPr>
          <w:rFonts w:eastAsia="Times New Roman" w:cs="Times New Roman"/>
          <w:lang w:eastAsia="de-DE"/>
        </w:rPr>
        <w:t xml:space="preserve">(und keine Nachlese deiner Ernte halten) - </w:t>
      </w:r>
      <w:r w:rsidRPr="00434555">
        <w:rPr>
          <w:rFonts w:eastAsia="Times New Roman" w:cs="Times New Roman"/>
          <w:b/>
          <w:bCs/>
          <w:rtl/>
          <w:lang w:eastAsia="de-DE"/>
        </w:rPr>
        <w:t>לקט</w:t>
      </w:r>
      <w:r w:rsidRPr="00434555">
        <w:rPr>
          <w:rFonts w:eastAsia="Times New Roman" w:cs="Times New Roman"/>
          <w:rtl/>
          <w:lang w:eastAsia="de-DE"/>
        </w:rPr>
        <w:t xml:space="preserve"> </w:t>
      </w:r>
      <w:r w:rsidRPr="00434555">
        <w:rPr>
          <w:rFonts w:eastAsia="Times New Roman" w:cs="Times New Roman"/>
          <w:lang w:eastAsia="de-DE"/>
        </w:rPr>
        <w:t xml:space="preserve">(Nachlese) als das Aufsammeln übriggebliebener Ähren. </w:t>
      </w:r>
      <w:r w:rsidRPr="00434555">
        <w:rPr>
          <w:rFonts w:eastAsia="Times New Roman" w:cs="Times New Roman"/>
          <w:b/>
          <w:bCs/>
          <w:rtl/>
          <w:lang w:eastAsia="de-DE"/>
        </w:rPr>
        <w:t>לא תלקט</w:t>
      </w:r>
      <w:r w:rsidRPr="00434555">
        <w:rPr>
          <w:rFonts w:eastAsia="Times New Roman" w:cs="Times New Roman"/>
          <w:rtl/>
          <w:lang w:eastAsia="de-DE"/>
        </w:rPr>
        <w:t xml:space="preserve"> </w:t>
      </w:r>
      <w:r w:rsidRPr="00434555">
        <w:rPr>
          <w:rFonts w:eastAsia="Times New Roman" w:cs="Times New Roman"/>
          <w:lang w:eastAsia="de-DE"/>
        </w:rPr>
        <w:t>(du sollst nicht nachlesen) im Piel-Imperfekt, das Piel zeigt systematisches Aufsammeln.</w:t>
      </w:r>
    </w:p>
    <w:p w14:paraId="5C973010"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פאת שדך</w:t>
      </w:r>
      <w:r w:rsidRPr="00434555">
        <w:rPr>
          <w:rFonts w:eastAsia="Times New Roman" w:cs="Times New Roman"/>
          <w:rtl/>
          <w:lang w:eastAsia="de-DE"/>
        </w:rPr>
        <w:t xml:space="preserve"> </w:t>
      </w:r>
      <w:r w:rsidRPr="00434555">
        <w:rPr>
          <w:rFonts w:eastAsia="Times New Roman" w:cs="Times New Roman"/>
          <w:lang w:eastAsia="de-DE"/>
        </w:rPr>
        <w:t xml:space="preserve">als Feldränder für Arme. </w:t>
      </w:r>
      <w:r w:rsidRPr="00434555">
        <w:rPr>
          <w:rFonts w:eastAsia="Times New Roman" w:cs="Times New Roman"/>
          <w:b/>
          <w:bCs/>
          <w:rtl/>
          <w:lang w:eastAsia="de-DE"/>
        </w:rPr>
        <w:t>לא תכלה</w:t>
      </w:r>
      <w:r w:rsidRPr="00434555">
        <w:rPr>
          <w:rFonts w:eastAsia="Times New Roman" w:cs="Times New Roman"/>
          <w:rtl/>
          <w:lang w:eastAsia="de-DE"/>
        </w:rPr>
        <w:t xml:space="preserve"> </w:t>
      </w:r>
      <w:r w:rsidRPr="00434555">
        <w:rPr>
          <w:rFonts w:eastAsia="Times New Roman" w:cs="Times New Roman"/>
          <w:lang w:eastAsia="de-DE"/>
        </w:rPr>
        <w:t xml:space="preserve">zeigt bewusste Unvollständigkeit. </w:t>
      </w:r>
      <w:r w:rsidRPr="00434555">
        <w:rPr>
          <w:rFonts w:eastAsia="Times New Roman" w:cs="Times New Roman"/>
          <w:b/>
          <w:bCs/>
          <w:rtl/>
          <w:lang w:eastAsia="de-DE"/>
        </w:rPr>
        <w:t>לקט</w:t>
      </w:r>
      <w:r w:rsidRPr="00434555">
        <w:rPr>
          <w:rFonts w:eastAsia="Times New Roman" w:cs="Times New Roman"/>
          <w:rtl/>
          <w:lang w:eastAsia="de-DE"/>
        </w:rPr>
        <w:t xml:space="preserve"> </w:t>
      </w:r>
      <w:r w:rsidRPr="00434555">
        <w:rPr>
          <w:rFonts w:eastAsia="Times New Roman" w:cs="Times New Roman"/>
          <w:lang w:eastAsia="de-DE"/>
        </w:rPr>
        <w:t>als natürlich liegen gebliebene Ähren. Die Armenversorgung wird in die normale Erntepraxis integriert.</w:t>
      </w:r>
    </w:p>
    <w:p w14:paraId="2F1BADDB"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LXX</w:t>
      </w:r>
      <w:r w:rsidRPr="00434555">
        <w:rPr>
          <w:rFonts w:eastAsia="Times New Roman" w:cs="Times New Roman"/>
          <w:lang w:eastAsia="de-DE"/>
        </w:rPr>
        <w:t xml:space="preserve"> übersetzt </w:t>
      </w:r>
      <w:r w:rsidRPr="00434555">
        <w:rPr>
          <w:rFonts w:eastAsia="Times New Roman" w:cs="Times New Roman"/>
          <w:b/>
          <w:bCs/>
          <w:rtl/>
          <w:lang w:eastAsia="de-DE"/>
        </w:rPr>
        <w:t>בקצרכם</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ἐν</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τῷ</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θερίζειν</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ὑμᾶς</w:t>
      </w:r>
      <w:proofErr w:type="spellEnd"/>
      <w:r w:rsidRPr="00434555">
        <w:rPr>
          <w:rFonts w:eastAsia="Times New Roman" w:cs="Times New Roman"/>
          <w:lang w:eastAsia="de-DE"/>
        </w:rPr>
        <w:t xml:space="preserve"> (beim Ernten durch euch), </w:t>
      </w:r>
      <w:r w:rsidRPr="00434555">
        <w:rPr>
          <w:rFonts w:eastAsia="Times New Roman" w:cs="Times New Roman"/>
          <w:b/>
          <w:bCs/>
          <w:rtl/>
          <w:lang w:eastAsia="de-DE"/>
        </w:rPr>
        <w:t>פאת</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τὰ</w:t>
      </w:r>
      <w:proofErr w:type="spellEnd"/>
      <w:r w:rsidRPr="00434555">
        <w:rPr>
          <w:rFonts w:eastAsia="Times New Roman" w:cs="Times New Roman"/>
          <w:lang w:eastAsia="de-DE"/>
        </w:rPr>
        <w:t xml:space="preserve"> </w:t>
      </w:r>
      <w:proofErr w:type="spellStart"/>
      <w:r w:rsidRPr="00434555">
        <w:rPr>
          <w:rFonts w:eastAsia="Times New Roman" w:cs="Times New Roman"/>
          <w:lang w:eastAsia="de-DE"/>
        </w:rPr>
        <w:t>ἄκρ</w:t>
      </w:r>
      <w:proofErr w:type="spellEnd"/>
      <w:r w:rsidRPr="00434555">
        <w:rPr>
          <w:rFonts w:eastAsia="Times New Roman" w:cs="Times New Roman"/>
          <w:lang w:eastAsia="de-DE"/>
        </w:rPr>
        <w:t xml:space="preserve">α (die Ränder), </w:t>
      </w:r>
      <w:r w:rsidRPr="00434555">
        <w:rPr>
          <w:rFonts w:eastAsia="Times New Roman" w:cs="Times New Roman"/>
          <w:b/>
          <w:bCs/>
          <w:rtl/>
          <w:lang w:eastAsia="de-DE"/>
        </w:rPr>
        <w:t>תכלה</w:t>
      </w:r>
      <w:r w:rsidRPr="00434555">
        <w:rPr>
          <w:rFonts w:eastAsia="Times New Roman" w:cs="Times New Roman"/>
          <w:rtl/>
          <w:lang w:eastAsia="de-DE"/>
        </w:rPr>
        <w:t xml:space="preserve"> </w:t>
      </w:r>
      <w:r w:rsidRPr="00434555">
        <w:rPr>
          <w:rFonts w:eastAsia="Times New Roman" w:cs="Times New Roman"/>
          <w:lang w:eastAsia="de-DE"/>
        </w:rPr>
        <w:t xml:space="preserve">mit </w:t>
      </w:r>
      <w:proofErr w:type="spellStart"/>
      <w:r w:rsidRPr="00434555">
        <w:rPr>
          <w:rFonts w:eastAsia="Times New Roman" w:cs="Times New Roman"/>
          <w:lang w:eastAsia="de-DE"/>
        </w:rPr>
        <w:t>συντελέσητε</w:t>
      </w:r>
      <w:proofErr w:type="spellEnd"/>
      <w:r w:rsidRPr="00434555">
        <w:rPr>
          <w:rFonts w:eastAsia="Times New Roman" w:cs="Times New Roman"/>
          <w:lang w:eastAsia="de-DE"/>
        </w:rPr>
        <w:t xml:space="preserve"> (ihr werdet vollenden) und </w:t>
      </w:r>
      <w:r w:rsidRPr="00434555">
        <w:rPr>
          <w:rFonts w:eastAsia="Times New Roman" w:cs="Times New Roman"/>
          <w:b/>
          <w:bCs/>
          <w:rtl/>
          <w:lang w:eastAsia="de-DE"/>
        </w:rPr>
        <w:t>לקט</w:t>
      </w:r>
      <w:r w:rsidRPr="00434555">
        <w:rPr>
          <w:rFonts w:eastAsia="Times New Roman" w:cs="Times New Roman"/>
          <w:rtl/>
          <w:lang w:eastAsia="de-DE"/>
        </w:rPr>
        <w:t xml:space="preserve"> </w:t>
      </w:r>
      <w:r w:rsidRPr="00434555">
        <w:rPr>
          <w:rFonts w:eastAsia="Times New Roman" w:cs="Times New Roman"/>
          <w:lang w:eastAsia="de-DE"/>
        </w:rPr>
        <w:t>mit κα</w:t>
      </w:r>
      <w:proofErr w:type="spellStart"/>
      <w:r w:rsidRPr="00434555">
        <w:rPr>
          <w:rFonts w:eastAsia="Times New Roman" w:cs="Times New Roman"/>
          <w:lang w:eastAsia="de-DE"/>
        </w:rPr>
        <w:t>λάμην</w:t>
      </w:r>
      <w:proofErr w:type="spellEnd"/>
      <w:r w:rsidRPr="00434555">
        <w:rPr>
          <w:rFonts w:eastAsia="Times New Roman" w:cs="Times New Roman"/>
          <w:lang w:eastAsia="de-DE"/>
        </w:rPr>
        <w:t xml:space="preserve"> (Halme).</w:t>
      </w:r>
    </w:p>
    <w:p w14:paraId="53E96E71" w14:textId="75755C35"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Armenversorgung: Erntesituation + Verbot vollständiger Rand</w:t>
      </w:r>
      <w:r w:rsidR="00D86F49">
        <w:rPr>
          <w:rFonts w:eastAsia="Times New Roman" w:cs="Times New Roman"/>
          <w:lang w:eastAsia="de-DE"/>
        </w:rPr>
        <w:t>a</w:t>
      </w:r>
      <w:r w:rsidRPr="00434555">
        <w:rPr>
          <w:rFonts w:eastAsia="Times New Roman" w:cs="Times New Roman"/>
          <w:lang w:eastAsia="de-DE"/>
        </w:rPr>
        <w:t>berntung + Verbot der Nachlese.</w:t>
      </w:r>
    </w:p>
    <w:p w14:paraId="3D3ED49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 xml:space="preserve">Dieser Vers etabliert die </w:t>
      </w:r>
      <w:r w:rsidRPr="00434555">
        <w:rPr>
          <w:rFonts w:eastAsia="Times New Roman" w:cs="Times New Roman"/>
          <w:b/>
          <w:bCs/>
          <w:rtl/>
          <w:lang w:eastAsia="de-DE"/>
        </w:rPr>
        <w:t>פאה</w:t>
      </w:r>
      <w:r w:rsidRPr="00434555">
        <w:rPr>
          <w:rFonts w:eastAsia="Times New Roman" w:cs="Times New Roman"/>
          <w:rtl/>
          <w:lang w:eastAsia="de-DE"/>
        </w:rPr>
        <w:t xml:space="preserve"> </w:t>
      </w:r>
      <w:r w:rsidRPr="00434555">
        <w:rPr>
          <w:rFonts w:eastAsia="Times New Roman" w:cs="Times New Roman"/>
          <w:lang w:eastAsia="de-DE"/>
        </w:rPr>
        <w:t xml:space="preserve">(Feldrand) und </w:t>
      </w:r>
      <w:r w:rsidRPr="00434555">
        <w:rPr>
          <w:rFonts w:eastAsia="Times New Roman" w:cs="Times New Roman"/>
          <w:b/>
          <w:bCs/>
          <w:rtl/>
          <w:lang w:eastAsia="de-DE"/>
        </w:rPr>
        <w:t>לקט</w:t>
      </w:r>
      <w:r w:rsidRPr="00434555">
        <w:rPr>
          <w:rFonts w:eastAsia="Times New Roman" w:cs="Times New Roman"/>
          <w:rtl/>
          <w:lang w:eastAsia="de-DE"/>
        </w:rPr>
        <w:t xml:space="preserve"> </w:t>
      </w:r>
      <w:r w:rsidRPr="00434555">
        <w:rPr>
          <w:rFonts w:eastAsia="Times New Roman" w:cs="Times New Roman"/>
          <w:lang w:eastAsia="de-DE"/>
        </w:rPr>
        <w:t>(Nachlese) als Armenversorgung durch bewusste Ernte-Unvollständigkeit.</w:t>
      </w:r>
    </w:p>
    <w:p w14:paraId="2E6F9CFF" w14:textId="77777777" w:rsidR="00434555" w:rsidRPr="00434555" w:rsidRDefault="00434555" w:rsidP="00434555">
      <w:pPr>
        <w:spacing w:before="100" w:beforeAutospacing="1" w:after="100" w:afterAutospacing="1" w:line="240" w:lineRule="auto"/>
        <w:outlineLvl w:val="1"/>
        <w:rPr>
          <w:rFonts w:eastAsia="Times New Roman" w:cs="Times New Roman"/>
          <w:b/>
          <w:bCs/>
          <w:sz w:val="36"/>
          <w:szCs w:val="36"/>
          <w:lang w:eastAsia="de-DE"/>
        </w:rPr>
      </w:pPr>
      <w:r w:rsidRPr="00434555">
        <w:rPr>
          <w:rFonts w:eastAsia="Times New Roman" w:cs="Times New Roman"/>
          <w:b/>
          <w:bCs/>
          <w:sz w:val="36"/>
          <w:szCs w:val="36"/>
          <w:lang w:eastAsia="de-DE"/>
        </w:rPr>
        <w:t>Leviticus 19,10</w:t>
      </w:r>
    </w:p>
    <w:p w14:paraId="0AE6B62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Hebräisch:</w:t>
      </w:r>
      <w:r w:rsidRPr="00434555">
        <w:rPr>
          <w:rFonts w:eastAsia="Times New Roman" w:cs="Times New Roman"/>
          <w:lang w:eastAsia="de-DE"/>
        </w:rPr>
        <w:t xml:space="preserve"> </w:t>
      </w:r>
      <w:r w:rsidRPr="00434555">
        <w:rPr>
          <w:rFonts w:eastAsia="Times New Roman" w:cs="Times New Roman"/>
          <w:rtl/>
          <w:lang w:eastAsia="de-DE"/>
        </w:rPr>
        <w:t>וְכַרְמְךָ֙ לֹ֣א תְעוֹלֵ֔ל וּפֶ֥רֶט כַּרְמְךָ֖ לֹ֣א תְלַקֵּ֑ט לֶֽעָנִ֤י וְלַגֵּר֙ תַּעֲזֹ֣ב אֹתָ֔ם אֲנִ֖י יְהוָ֥ה אֱלֹהֵיכֶֽם׃</w:t>
      </w:r>
    </w:p>
    <w:p w14:paraId="4FE7F0DB"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Deutsch:</w:t>
      </w:r>
      <w:r w:rsidRPr="00434555">
        <w:rPr>
          <w:rFonts w:eastAsia="Times New Roman" w:cs="Times New Roman"/>
          <w:lang w:eastAsia="de-DE"/>
        </w:rPr>
        <w:t xml:space="preserve"> Und in deinem Weinberg sollst du nicht nachlesen, und die abgefallenen Beeren deines Weinbergs sollst du nicht auflesen: Für den Armen und für den Fremden sollst du sie zurücklassen. Ich bin der Ewige, euer Gott.</w:t>
      </w:r>
    </w:p>
    <w:p w14:paraId="100FDBDA" w14:textId="77777777" w:rsidR="00434555" w:rsidRPr="00434555" w:rsidRDefault="00A57720" w:rsidP="00434555">
      <w:pPr>
        <w:spacing w:after="0" w:line="240" w:lineRule="auto"/>
        <w:rPr>
          <w:rFonts w:eastAsia="Times New Roman" w:cs="Times New Roman"/>
          <w:lang w:eastAsia="de-DE"/>
        </w:rPr>
      </w:pPr>
      <w:r>
        <w:rPr>
          <w:rFonts w:eastAsia="Times New Roman" w:cs="Times New Roman"/>
          <w:noProof/>
          <w:lang w:eastAsia="de-DE"/>
        </w:rPr>
        <w:pict w14:anchorId="3DC0783F">
          <v:rect id="_x0000_i1570" style="width:0;height:1.5pt" o:hralign="center" o:hrstd="t" o:hr="t" fillcolor="#a0a0a0" stroked="f"/>
        </w:pict>
      </w:r>
    </w:p>
    <w:p w14:paraId="4B71E8F3"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Kommentar:</w:t>
      </w:r>
      <w:r w:rsidRPr="00434555">
        <w:rPr>
          <w:rFonts w:eastAsia="Times New Roman" w:cs="Times New Roman"/>
          <w:lang w:eastAsia="de-DE"/>
        </w:rPr>
        <w:t xml:space="preserve"> </w:t>
      </w:r>
      <w:r w:rsidRPr="00434555">
        <w:rPr>
          <w:rFonts w:eastAsia="Times New Roman" w:cs="Times New Roman"/>
          <w:b/>
          <w:bCs/>
          <w:rtl/>
          <w:lang w:eastAsia="de-DE"/>
        </w:rPr>
        <w:t>וכרמך לא תעולל ופרט כרמך לא תלקט לעני ולגר תעזב אתם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erweitert die Armenversorgung auf Weinberge. </w:t>
      </w:r>
      <w:r w:rsidRPr="00434555">
        <w:rPr>
          <w:rFonts w:eastAsia="Times New Roman" w:cs="Times New Roman"/>
          <w:b/>
          <w:bCs/>
          <w:rtl/>
          <w:lang w:eastAsia="de-DE"/>
        </w:rPr>
        <w:t>וכרמך לא תעולל</w:t>
      </w:r>
      <w:r w:rsidRPr="00434555">
        <w:rPr>
          <w:rFonts w:eastAsia="Times New Roman" w:cs="Times New Roman"/>
          <w:rtl/>
          <w:lang w:eastAsia="de-DE"/>
        </w:rPr>
        <w:t xml:space="preserve"> </w:t>
      </w:r>
      <w:r w:rsidRPr="00434555">
        <w:rPr>
          <w:rFonts w:eastAsia="Times New Roman" w:cs="Times New Roman"/>
          <w:lang w:eastAsia="de-DE"/>
        </w:rPr>
        <w:t xml:space="preserve">(und in deinem Weinberg sollst du nicht nachlesen) - </w:t>
      </w:r>
      <w:r w:rsidRPr="00434555">
        <w:rPr>
          <w:rFonts w:eastAsia="Times New Roman" w:cs="Times New Roman"/>
          <w:b/>
          <w:bCs/>
          <w:rtl/>
          <w:lang w:eastAsia="de-DE"/>
        </w:rPr>
        <w:t>כרמך</w:t>
      </w:r>
      <w:r w:rsidRPr="00434555">
        <w:rPr>
          <w:rFonts w:eastAsia="Times New Roman" w:cs="Times New Roman"/>
          <w:rtl/>
          <w:lang w:eastAsia="de-DE"/>
        </w:rPr>
        <w:t xml:space="preserve"> </w:t>
      </w:r>
      <w:r w:rsidRPr="00434555">
        <w:rPr>
          <w:rFonts w:eastAsia="Times New Roman" w:cs="Times New Roman"/>
          <w:lang w:eastAsia="de-DE"/>
        </w:rPr>
        <w:t xml:space="preserve">(dein Weinberg) als zweite Kulturart nach Getreide. </w:t>
      </w:r>
      <w:r w:rsidRPr="00434555">
        <w:rPr>
          <w:rFonts w:eastAsia="Times New Roman" w:cs="Times New Roman"/>
          <w:b/>
          <w:bCs/>
          <w:rtl/>
          <w:lang w:eastAsia="de-DE"/>
        </w:rPr>
        <w:t>לא תעולל</w:t>
      </w:r>
      <w:r w:rsidRPr="00434555">
        <w:rPr>
          <w:rFonts w:eastAsia="Times New Roman" w:cs="Times New Roman"/>
          <w:rtl/>
          <w:lang w:eastAsia="de-DE"/>
        </w:rPr>
        <w:t xml:space="preserve"> </w:t>
      </w:r>
      <w:r w:rsidRPr="00434555">
        <w:rPr>
          <w:rFonts w:eastAsia="Times New Roman" w:cs="Times New Roman"/>
          <w:lang w:eastAsia="de-DE"/>
        </w:rPr>
        <w:t xml:space="preserve">(du sollst nicht nachlesen) im Poel-Imperfekt von </w:t>
      </w:r>
      <w:r w:rsidRPr="00434555">
        <w:rPr>
          <w:rFonts w:eastAsia="Times New Roman" w:cs="Times New Roman"/>
          <w:b/>
          <w:bCs/>
          <w:rtl/>
          <w:lang w:eastAsia="de-DE"/>
        </w:rPr>
        <w:t>עלל</w:t>
      </w:r>
      <w:r w:rsidRPr="00434555">
        <w:rPr>
          <w:rFonts w:eastAsia="Times New Roman" w:cs="Times New Roman"/>
          <w:rtl/>
          <w:lang w:eastAsia="de-DE"/>
        </w:rPr>
        <w:t xml:space="preserve"> </w:t>
      </w:r>
      <w:r w:rsidRPr="00434555">
        <w:rPr>
          <w:rFonts w:eastAsia="Times New Roman" w:cs="Times New Roman"/>
          <w:lang w:eastAsia="de-DE"/>
        </w:rPr>
        <w:t>- das Poel zeigt intensive Nachlese.</w:t>
      </w:r>
    </w:p>
    <w:p w14:paraId="6C02994D"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ופרט כרמך לא תלקט</w:t>
      </w:r>
      <w:r w:rsidRPr="00434555">
        <w:rPr>
          <w:rFonts w:eastAsia="Times New Roman" w:cs="Times New Roman"/>
          <w:rtl/>
          <w:lang w:eastAsia="de-DE"/>
        </w:rPr>
        <w:t xml:space="preserve"> </w:t>
      </w:r>
      <w:r w:rsidRPr="00434555">
        <w:rPr>
          <w:rFonts w:eastAsia="Times New Roman" w:cs="Times New Roman"/>
          <w:lang w:eastAsia="de-DE"/>
        </w:rPr>
        <w:t xml:space="preserve">(und die abgefallenen Beeren deines Weinbergs sollst du nicht auflesen) - </w:t>
      </w:r>
      <w:r w:rsidRPr="00434555">
        <w:rPr>
          <w:rFonts w:eastAsia="Times New Roman" w:cs="Times New Roman"/>
          <w:b/>
          <w:bCs/>
          <w:rtl/>
          <w:lang w:eastAsia="de-DE"/>
        </w:rPr>
        <w:t>פרט</w:t>
      </w:r>
      <w:r w:rsidRPr="00434555">
        <w:rPr>
          <w:rFonts w:eastAsia="Times New Roman" w:cs="Times New Roman"/>
          <w:rtl/>
          <w:lang w:eastAsia="de-DE"/>
        </w:rPr>
        <w:t xml:space="preserve"> </w:t>
      </w:r>
      <w:r w:rsidRPr="00434555">
        <w:rPr>
          <w:rFonts w:eastAsia="Times New Roman" w:cs="Times New Roman"/>
          <w:lang w:eastAsia="de-DE"/>
        </w:rPr>
        <w:t xml:space="preserve">(abgefallene Beeren) als natürlich herabgefallene Einzelbeeren. </w:t>
      </w:r>
      <w:r w:rsidRPr="00434555">
        <w:rPr>
          <w:rFonts w:eastAsia="Times New Roman" w:cs="Times New Roman"/>
          <w:b/>
          <w:bCs/>
          <w:rtl/>
          <w:lang w:eastAsia="de-DE"/>
        </w:rPr>
        <w:t>לא תלקט</w:t>
      </w:r>
      <w:r w:rsidRPr="00434555">
        <w:rPr>
          <w:rFonts w:eastAsia="Times New Roman" w:cs="Times New Roman"/>
          <w:rtl/>
          <w:lang w:eastAsia="de-DE"/>
        </w:rPr>
        <w:t xml:space="preserve"> </w:t>
      </w:r>
      <w:r w:rsidRPr="00434555">
        <w:rPr>
          <w:rFonts w:eastAsia="Times New Roman" w:cs="Times New Roman"/>
          <w:lang w:eastAsia="de-DE"/>
        </w:rPr>
        <w:t>(du sollst nicht auflesen) im Piel-Imperfekt entspricht V. 9.</w:t>
      </w:r>
    </w:p>
    <w:p w14:paraId="3AC015CF"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לעני ולגר תעזב אתם אני יהוה אלהיכם</w:t>
      </w:r>
      <w:r w:rsidRPr="00434555">
        <w:rPr>
          <w:rFonts w:eastAsia="Times New Roman" w:cs="Times New Roman"/>
          <w:rtl/>
          <w:lang w:eastAsia="de-DE"/>
        </w:rPr>
        <w:t xml:space="preserve"> </w:t>
      </w:r>
      <w:r w:rsidRPr="00434555">
        <w:rPr>
          <w:rFonts w:eastAsia="Times New Roman" w:cs="Times New Roman"/>
          <w:lang w:eastAsia="de-DE"/>
        </w:rPr>
        <w:t xml:space="preserve">(für den Armen und für den Fremden sollst du sie zurücklassen. Ich bin der Ewige, euer Gott) - </w:t>
      </w:r>
      <w:r w:rsidRPr="00434555">
        <w:rPr>
          <w:rFonts w:eastAsia="Times New Roman" w:cs="Times New Roman"/>
          <w:b/>
          <w:bCs/>
          <w:rtl/>
          <w:lang w:eastAsia="de-DE"/>
        </w:rPr>
        <w:t>לעני ולגר</w:t>
      </w:r>
      <w:r w:rsidRPr="00434555">
        <w:rPr>
          <w:rFonts w:eastAsia="Times New Roman" w:cs="Times New Roman"/>
          <w:rtl/>
          <w:lang w:eastAsia="de-DE"/>
        </w:rPr>
        <w:t xml:space="preserve"> </w:t>
      </w:r>
      <w:r w:rsidRPr="00434555">
        <w:rPr>
          <w:rFonts w:eastAsia="Times New Roman" w:cs="Times New Roman"/>
          <w:lang w:eastAsia="de-DE"/>
        </w:rPr>
        <w:t xml:space="preserve">(für den Armen und für den Fremden) spezifiziert die Begünstigten. </w:t>
      </w:r>
      <w:r w:rsidRPr="00434555">
        <w:rPr>
          <w:rFonts w:eastAsia="Times New Roman" w:cs="Times New Roman"/>
          <w:b/>
          <w:bCs/>
          <w:rtl/>
          <w:lang w:eastAsia="de-DE"/>
        </w:rPr>
        <w:t>תעזב אתם</w:t>
      </w:r>
      <w:r w:rsidRPr="00434555">
        <w:rPr>
          <w:rFonts w:eastAsia="Times New Roman" w:cs="Times New Roman"/>
          <w:rtl/>
          <w:lang w:eastAsia="de-DE"/>
        </w:rPr>
        <w:t xml:space="preserve"> </w:t>
      </w:r>
      <w:r w:rsidRPr="00434555">
        <w:rPr>
          <w:rFonts w:eastAsia="Times New Roman" w:cs="Times New Roman"/>
          <w:lang w:eastAsia="de-DE"/>
        </w:rPr>
        <w:t>(sollst du sie zurücklassen) im Qal-Imperfekt zeigt bewusstes Zurücklassen.</w:t>
      </w:r>
    </w:p>
    <w:p w14:paraId="7611835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rtl/>
          <w:lang w:eastAsia="de-DE"/>
        </w:rPr>
        <w:t>תעולל</w:t>
      </w:r>
      <w:r w:rsidRPr="00434555">
        <w:rPr>
          <w:rFonts w:eastAsia="Times New Roman" w:cs="Times New Roman"/>
          <w:rtl/>
          <w:lang w:eastAsia="de-DE"/>
        </w:rPr>
        <w:t xml:space="preserve"> </w:t>
      </w:r>
      <w:r w:rsidRPr="00434555">
        <w:rPr>
          <w:rFonts w:eastAsia="Times New Roman" w:cs="Times New Roman"/>
          <w:lang w:eastAsia="de-DE"/>
        </w:rPr>
        <w:t xml:space="preserve">als spezifischer weinbergbezogener Begriff. </w:t>
      </w:r>
      <w:r w:rsidRPr="00434555">
        <w:rPr>
          <w:rFonts w:eastAsia="Times New Roman" w:cs="Times New Roman"/>
          <w:b/>
          <w:bCs/>
          <w:rtl/>
          <w:lang w:eastAsia="de-DE"/>
        </w:rPr>
        <w:t>פרט</w:t>
      </w:r>
      <w:r w:rsidRPr="00434555">
        <w:rPr>
          <w:rFonts w:eastAsia="Times New Roman" w:cs="Times New Roman"/>
          <w:rtl/>
          <w:lang w:eastAsia="de-DE"/>
        </w:rPr>
        <w:t xml:space="preserve"> </w:t>
      </w:r>
      <w:r w:rsidRPr="00434555">
        <w:rPr>
          <w:rFonts w:eastAsia="Times New Roman" w:cs="Times New Roman"/>
          <w:lang w:eastAsia="de-DE"/>
        </w:rPr>
        <w:t xml:space="preserve">als natürlich abgefallene Beeren vs. systematische Nachlese. </w:t>
      </w:r>
      <w:r w:rsidRPr="00434555">
        <w:rPr>
          <w:rFonts w:eastAsia="Times New Roman" w:cs="Times New Roman"/>
          <w:b/>
          <w:bCs/>
          <w:rtl/>
          <w:lang w:eastAsia="de-DE"/>
        </w:rPr>
        <w:t>לעני ולגר</w:t>
      </w:r>
      <w:r w:rsidRPr="00434555">
        <w:rPr>
          <w:rFonts w:eastAsia="Times New Roman" w:cs="Times New Roman"/>
          <w:rtl/>
          <w:lang w:eastAsia="de-DE"/>
        </w:rPr>
        <w:t xml:space="preserve"> </w:t>
      </w:r>
      <w:r w:rsidRPr="00434555">
        <w:rPr>
          <w:rFonts w:eastAsia="Times New Roman" w:cs="Times New Roman"/>
          <w:lang w:eastAsia="de-DE"/>
        </w:rPr>
        <w:t xml:space="preserve">zeigt die beiden Hauptgruppen der Bedürftigen. </w:t>
      </w:r>
      <w:r w:rsidRPr="00434555">
        <w:rPr>
          <w:rFonts w:eastAsia="Times New Roman" w:cs="Times New Roman"/>
          <w:b/>
          <w:bCs/>
          <w:rtl/>
          <w:lang w:eastAsia="de-DE"/>
        </w:rPr>
        <w:t>תעזב</w:t>
      </w:r>
      <w:r w:rsidRPr="00434555">
        <w:rPr>
          <w:rFonts w:eastAsia="Times New Roman" w:cs="Times New Roman"/>
          <w:rtl/>
          <w:lang w:eastAsia="de-DE"/>
        </w:rPr>
        <w:t xml:space="preserve"> </w:t>
      </w:r>
      <w:r w:rsidRPr="00434555">
        <w:rPr>
          <w:rFonts w:eastAsia="Times New Roman" w:cs="Times New Roman"/>
          <w:lang w:eastAsia="de-DE"/>
        </w:rPr>
        <w:t>zeigt aktives Zurücklassen für andere.</w:t>
      </w:r>
    </w:p>
    <w:p w14:paraId="18E84B9E" w14:textId="2A708F35"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lastRenderedPageBreak/>
        <w:t>Die LXX</w:t>
      </w:r>
      <w:r w:rsidRPr="00434555">
        <w:rPr>
          <w:rFonts w:eastAsia="Times New Roman" w:cs="Times New Roman"/>
          <w:lang w:eastAsia="de-DE"/>
        </w:rPr>
        <w:t xml:space="preserve"> </w:t>
      </w:r>
      <w:r w:rsidR="004F25E8">
        <w:t xml:space="preserve">übersetzt </w:t>
      </w:r>
      <w:r w:rsidR="004F25E8">
        <w:rPr>
          <w:rtl/>
        </w:rPr>
        <w:t>עולל</w:t>
      </w:r>
      <w:r w:rsidR="004F25E8">
        <w:t xml:space="preserve"> (</w:t>
      </w:r>
      <w:proofErr w:type="spellStart"/>
      <w:r w:rsidR="004F25E8">
        <w:t>olel</w:t>
      </w:r>
      <w:proofErr w:type="spellEnd"/>
      <w:r w:rsidR="004F25E8">
        <w:t xml:space="preserve"> - "Nachlese halten") als ἐπανα</w:t>
      </w:r>
      <w:proofErr w:type="spellStart"/>
      <w:r w:rsidR="004F25E8">
        <w:t>τρυγήσεις</w:t>
      </w:r>
      <w:proofErr w:type="spellEnd"/>
      <w:r w:rsidR="004F25E8">
        <w:t xml:space="preserve"> (du sollst nachernten) und </w:t>
      </w:r>
      <w:r w:rsidR="004F25E8">
        <w:rPr>
          <w:rtl/>
        </w:rPr>
        <w:t>פרט</w:t>
      </w:r>
      <w:r w:rsidR="004F25E8">
        <w:t xml:space="preserve"> (</w:t>
      </w:r>
      <w:proofErr w:type="spellStart"/>
      <w:r w:rsidR="004F25E8">
        <w:t>peret</w:t>
      </w:r>
      <w:proofErr w:type="spellEnd"/>
      <w:r w:rsidR="004F25E8">
        <w:t xml:space="preserve"> - "abgefallene Beeren") als </w:t>
      </w:r>
      <w:proofErr w:type="spellStart"/>
      <w:r w:rsidR="004F25E8">
        <w:t>ῥῶγ</w:t>
      </w:r>
      <w:proofErr w:type="spellEnd"/>
      <w:r w:rsidR="004F25E8">
        <w:t>ας (einzelne Trauben).</w:t>
      </w:r>
    </w:p>
    <w:p w14:paraId="22A9AA11"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b/>
          <w:bCs/>
          <w:lang w:eastAsia="de-DE"/>
        </w:rPr>
        <w:t>Die Satzstruktur</w:t>
      </w:r>
      <w:r w:rsidRPr="00434555">
        <w:rPr>
          <w:rFonts w:eastAsia="Times New Roman" w:cs="Times New Roman"/>
          <w:lang w:eastAsia="de-DE"/>
        </w:rPr>
        <w:t xml:space="preserve"> zeigt erweiterte Armenversorgung: Weinberg-Nachlese-Verbot + Auflese-Verbot von Abgefallenem + Begünstigten-Spezifikation + göttliche Autorität.</w:t>
      </w:r>
    </w:p>
    <w:p w14:paraId="61EE1475" w14:textId="77777777" w:rsidR="00434555" w:rsidRPr="00434555" w:rsidRDefault="00434555" w:rsidP="00434555">
      <w:pPr>
        <w:spacing w:before="100" w:beforeAutospacing="1" w:after="100" w:afterAutospacing="1" w:line="240" w:lineRule="auto"/>
        <w:rPr>
          <w:rFonts w:eastAsia="Times New Roman" w:cs="Times New Roman"/>
          <w:lang w:eastAsia="de-DE"/>
        </w:rPr>
      </w:pPr>
      <w:r w:rsidRPr="00434555">
        <w:rPr>
          <w:rFonts w:eastAsia="Times New Roman" w:cs="Times New Roman"/>
          <w:lang w:eastAsia="de-DE"/>
        </w:rPr>
        <w:t>Dieser Vers erweitert die Armenversorgung auf Weinberge und spezifiziert Arme und Fremde als Begünstigte.</w:t>
      </w:r>
    </w:p>
    <w:p w14:paraId="46F224B8"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19,11</w:t>
      </w:r>
    </w:p>
    <w:p w14:paraId="5277882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 תִּגְנֹ֑בוּ וְלֹא־תְכַחֲשׁ֥וּ וְלֹֽא־תְשַׁקְּר֖וּ אִ֥ישׁ בַּעֲמִיתֹֽו׃</w:t>
      </w:r>
    </w:p>
    <w:p w14:paraId="4EAFFE5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Ihr sollt nicht stehlen; und ihr sollt nicht lügen und nicht trügerisch handeln einer gegen den anderen.</w:t>
      </w:r>
    </w:p>
    <w:p w14:paraId="50BC2657"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5CEDD030">
          <v:rect id="_x0000_i1571" style="width:0;height:1.5pt" o:hralign="center" o:hrstd="t" o:hr="t" fillcolor="#a0a0a0" stroked="f"/>
        </w:pict>
      </w:r>
    </w:p>
    <w:p w14:paraId="5D17CB4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 תגנבו ולא־תכחשו ולא־תשקרו איש בעמיתו</w:t>
      </w:r>
      <w:r w:rsidRPr="000E6357">
        <w:rPr>
          <w:rFonts w:eastAsia="Times New Roman" w:cs="Times New Roman"/>
          <w:rtl/>
          <w:lang w:eastAsia="de-DE"/>
        </w:rPr>
        <w:t xml:space="preserve"> </w:t>
      </w:r>
      <w:r w:rsidRPr="000E6357">
        <w:rPr>
          <w:rFonts w:eastAsia="Times New Roman" w:cs="Times New Roman"/>
          <w:lang w:eastAsia="de-DE"/>
        </w:rPr>
        <w:t xml:space="preserve">verbietet drei Formen der Unehrlichkeit. </w:t>
      </w:r>
      <w:r w:rsidRPr="000E6357">
        <w:rPr>
          <w:rFonts w:eastAsia="Times New Roman" w:cs="Times New Roman"/>
          <w:b/>
          <w:bCs/>
          <w:rtl/>
          <w:lang w:eastAsia="de-DE"/>
        </w:rPr>
        <w:t>לא תגנבו</w:t>
      </w:r>
      <w:r w:rsidRPr="000E6357">
        <w:rPr>
          <w:rFonts w:eastAsia="Times New Roman" w:cs="Times New Roman"/>
          <w:rtl/>
          <w:lang w:eastAsia="de-DE"/>
        </w:rPr>
        <w:t xml:space="preserve"> </w:t>
      </w:r>
      <w:r w:rsidRPr="000E6357">
        <w:rPr>
          <w:rFonts w:eastAsia="Times New Roman" w:cs="Times New Roman"/>
          <w:lang w:eastAsia="de-DE"/>
        </w:rPr>
        <w:t xml:space="preserve">(ihr sollt nicht stehlen) im Qal-Imperfekt zeigt das grundsätzliche Eigentumsverbot. </w:t>
      </w:r>
      <w:r w:rsidRPr="000E6357">
        <w:rPr>
          <w:rFonts w:eastAsia="Times New Roman" w:cs="Times New Roman"/>
          <w:b/>
          <w:bCs/>
          <w:rtl/>
          <w:lang w:eastAsia="de-DE"/>
        </w:rPr>
        <w:t>ולא־תכחשו</w:t>
      </w:r>
      <w:r w:rsidRPr="000E6357">
        <w:rPr>
          <w:rFonts w:eastAsia="Times New Roman" w:cs="Times New Roman"/>
          <w:rtl/>
          <w:lang w:eastAsia="de-DE"/>
        </w:rPr>
        <w:t xml:space="preserve"> </w:t>
      </w:r>
      <w:r w:rsidRPr="000E6357">
        <w:rPr>
          <w:rFonts w:eastAsia="Times New Roman" w:cs="Times New Roman"/>
          <w:lang w:eastAsia="de-DE"/>
        </w:rPr>
        <w:t xml:space="preserve">(und ihr sollt nicht lügen) im Piel-Imperfekt von </w:t>
      </w:r>
      <w:r w:rsidRPr="000E6357">
        <w:rPr>
          <w:rFonts w:eastAsia="Times New Roman" w:cs="Times New Roman"/>
          <w:b/>
          <w:bCs/>
          <w:rtl/>
          <w:lang w:eastAsia="de-DE"/>
        </w:rPr>
        <w:t>כחש</w:t>
      </w:r>
      <w:r w:rsidRPr="000E6357">
        <w:rPr>
          <w:rFonts w:eastAsia="Times New Roman" w:cs="Times New Roman"/>
          <w:rtl/>
          <w:lang w:eastAsia="de-DE"/>
        </w:rPr>
        <w:t xml:space="preserve"> </w:t>
      </w:r>
      <w:r w:rsidRPr="000E6357">
        <w:rPr>
          <w:rFonts w:eastAsia="Times New Roman" w:cs="Times New Roman"/>
          <w:lang w:eastAsia="de-DE"/>
        </w:rPr>
        <w:t>- das Piel zeigt intensive Verleugnung oder Lüge, besonders in rechtlichen Kontexten.</w:t>
      </w:r>
    </w:p>
    <w:p w14:paraId="74DEE777"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ולא־תשקרו איש בעמיתו</w:t>
      </w:r>
      <w:r w:rsidRPr="000E6357">
        <w:rPr>
          <w:rFonts w:eastAsia="Times New Roman" w:cs="Times New Roman"/>
          <w:rtl/>
          <w:lang w:eastAsia="de-DE"/>
        </w:rPr>
        <w:t xml:space="preserve"> </w:t>
      </w:r>
      <w:r w:rsidRPr="000E6357">
        <w:rPr>
          <w:rFonts w:eastAsia="Times New Roman" w:cs="Times New Roman"/>
          <w:lang w:eastAsia="de-DE"/>
        </w:rPr>
        <w:t xml:space="preserve">(und nicht trügerisch handeln einer gegen den anderen) - </w:t>
      </w:r>
      <w:r w:rsidRPr="000E6357">
        <w:rPr>
          <w:rFonts w:eastAsia="Times New Roman" w:cs="Times New Roman"/>
          <w:b/>
          <w:bCs/>
          <w:rtl/>
          <w:lang w:eastAsia="de-DE"/>
        </w:rPr>
        <w:t>ולא־תשקרו</w:t>
      </w:r>
      <w:r w:rsidRPr="000E6357">
        <w:rPr>
          <w:rFonts w:eastAsia="Times New Roman" w:cs="Times New Roman"/>
          <w:rtl/>
          <w:lang w:eastAsia="de-DE"/>
        </w:rPr>
        <w:t xml:space="preserve"> </w:t>
      </w:r>
      <w:r w:rsidRPr="000E6357">
        <w:rPr>
          <w:rFonts w:eastAsia="Times New Roman" w:cs="Times New Roman"/>
          <w:lang w:eastAsia="de-DE"/>
        </w:rPr>
        <w:t xml:space="preserve">(und ihr sollt nicht trügerisch handeln) im Piel-Imperfekt von </w:t>
      </w:r>
      <w:r w:rsidRPr="000E6357">
        <w:rPr>
          <w:rFonts w:eastAsia="Times New Roman" w:cs="Times New Roman"/>
          <w:b/>
          <w:bCs/>
          <w:rtl/>
          <w:lang w:eastAsia="de-DE"/>
        </w:rPr>
        <w:t>שקר</w:t>
      </w:r>
      <w:r w:rsidRPr="000E6357">
        <w:rPr>
          <w:rFonts w:eastAsia="Times New Roman" w:cs="Times New Roman"/>
          <w:lang w:eastAsia="de-DE"/>
        </w:rPr>
        <w:t xml:space="preserve">, das Piel zeigt betrügerisches Verhalten. </w:t>
      </w:r>
      <w:r w:rsidRPr="000E6357">
        <w:rPr>
          <w:rFonts w:eastAsia="Times New Roman" w:cs="Times New Roman"/>
          <w:b/>
          <w:bCs/>
          <w:rtl/>
          <w:lang w:eastAsia="de-DE"/>
        </w:rPr>
        <w:t>איש בעמיתו</w:t>
      </w:r>
      <w:r w:rsidRPr="000E6357">
        <w:rPr>
          <w:rFonts w:eastAsia="Times New Roman" w:cs="Times New Roman"/>
          <w:rtl/>
          <w:lang w:eastAsia="de-DE"/>
        </w:rPr>
        <w:t xml:space="preserve"> </w:t>
      </w:r>
      <w:r w:rsidRPr="000E6357">
        <w:rPr>
          <w:rFonts w:eastAsia="Times New Roman" w:cs="Times New Roman"/>
          <w:lang w:eastAsia="de-DE"/>
        </w:rPr>
        <w:t>(einer gegen seinen Volksgenossen) zeigt die Gemeinschaftsbeziehung als Kontext.</w:t>
      </w:r>
    </w:p>
    <w:p w14:paraId="2662BDA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תגנבו</w:t>
      </w:r>
      <w:r w:rsidRPr="000E6357">
        <w:rPr>
          <w:rFonts w:eastAsia="Times New Roman" w:cs="Times New Roman"/>
          <w:rtl/>
          <w:lang w:eastAsia="de-DE"/>
        </w:rPr>
        <w:t xml:space="preserve"> </w:t>
      </w:r>
      <w:r w:rsidRPr="000E6357">
        <w:rPr>
          <w:rFonts w:eastAsia="Times New Roman" w:cs="Times New Roman"/>
          <w:lang w:eastAsia="de-DE"/>
        </w:rPr>
        <w:t xml:space="preserve">als Eigentumsdelikt. </w:t>
      </w:r>
      <w:r w:rsidRPr="000E6357">
        <w:rPr>
          <w:rFonts w:eastAsia="Times New Roman" w:cs="Times New Roman"/>
          <w:b/>
          <w:bCs/>
          <w:rtl/>
          <w:lang w:eastAsia="de-DE"/>
        </w:rPr>
        <w:t>תכחשו</w:t>
      </w:r>
      <w:r w:rsidRPr="000E6357">
        <w:rPr>
          <w:rFonts w:eastAsia="Times New Roman" w:cs="Times New Roman"/>
          <w:rtl/>
          <w:lang w:eastAsia="de-DE"/>
        </w:rPr>
        <w:t xml:space="preserve"> </w:t>
      </w:r>
      <w:r w:rsidRPr="000E6357">
        <w:rPr>
          <w:rFonts w:eastAsia="Times New Roman" w:cs="Times New Roman"/>
          <w:lang w:eastAsia="de-DE"/>
        </w:rPr>
        <w:t xml:space="preserve">als Verleugnung von Tatsachen. </w:t>
      </w:r>
      <w:r w:rsidRPr="000E6357">
        <w:rPr>
          <w:rFonts w:eastAsia="Times New Roman" w:cs="Times New Roman"/>
          <w:b/>
          <w:bCs/>
          <w:rtl/>
          <w:lang w:eastAsia="de-DE"/>
        </w:rPr>
        <w:t>תשקרו</w:t>
      </w:r>
      <w:r w:rsidRPr="000E6357">
        <w:rPr>
          <w:rFonts w:eastAsia="Times New Roman" w:cs="Times New Roman"/>
          <w:rtl/>
          <w:lang w:eastAsia="de-DE"/>
        </w:rPr>
        <w:t xml:space="preserve"> </w:t>
      </w:r>
      <w:r w:rsidRPr="000E6357">
        <w:rPr>
          <w:rFonts w:eastAsia="Times New Roman" w:cs="Times New Roman"/>
          <w:lang w:eastAsia="de-DE"/>
        </w:rPr>
        <w:t xml:space="preserve">als aktive Täuschung. </w:t>
      </w:r>
      <w:r w:rsidRPr="000E6357">
        <w:rPr>
          <w:rFonts w:eastAsia="Times New Roman" w:cs="Times New Roman"/>
          <w:b/>
          <w:bCs/>
          <w:rtl/>
          <w:lang w:eastAsia="de-DE"/>
        </w:rPr>
        <w:t>איש בעמיתו</w:t>
      </w:r>
      <w:r w:rsidRPr="000E6357">
        <w:rPr>
          <w:rFonts w:eastAsia="Times New Roman" w:cs="Times New Roman"/>
          <w:rtl/>
          <w:lang w:eastAsia="de-DE"/>
        </w:rPr>
        <w:t xml:space="preserve"> </w:t>
      </w:r>
      <w:r w:rsidRPr="000E6357">
        <w:rPr>
          <w:rFonts w:eastAsia="Times New Roman" w:cs="Times New Roman"/>
          <w:lang w:eastAsia="de-DE"/>
        </w:rPr>
        <w:t>betont die Verletzung der Gemeinschaftssolidarität.</w:t>
      </w:r>
    </w:p>
    <w:p w14:paraId="3512D8EF" w14:textId="617DAA8F"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unterteilt die Verbote präziser: </w:t>
      </w:r>
      <w:r w:rsidR="004F25E8">
        <w:rPr>
          <w:rtl/>
        </w:rPr>
        <w:t>לא תגנבו</w:t>
      </w:r>
      <w:r w:rsidR="004F25E8">
        <w:t xml:space="preserve"> (lo </w:t>
      </w:r>
      <w:proofErr w:type="spellStart"/>
      <w:r w:rsidR="004F25E8">
        <w:t>tignovu</w:t>
      </w:r>
      <w:proofErr w:type="spellEnd"/>
      <w:r w:rsidR="004F25E8">
        <w:t xml:space="preserve">) als </w:t>
      </w:r>
      <w:proofErr w:type="spellStart"/>
      <w:r w:rsidR="004F25E8">
        <w:t>οὐ</w:t>
      </w:r>
      <w:proofErr w:type="spellEnd"/>
      <w:r w:rsidR="004F25E8">
        <w:t xml:space="preserve"> </w:t>
      </w:r>
      <w:proofErr w:type="spellStart"/>
      <w:r w:rsidR="004F25E8">
        <w:t>κλέψετε</w:t>
      </w:r>
      <w:proofErr w:type="spellEnd"/>
      <w:r w:rsidR="004F25E8">
        <w:t xml:space="preserve">, </w:t>
      </w:r>
      <w:r w:rsidR="004F25E8">
        <w:rPr>
          <w:rtl/>
        </w:rPr>
        <w:t>לא־תכחשו</w:t>
      </w:r>
      <w:r w:rsidR="004F25E8">
        <w:t xml:space="preserve"> (lo-</w:t>
      </w:r>
      <w:proofErr w:type="spellStart"/>
      <w:r w:rsidR="004F25E8">
        <w:t>techacheshu</w:t>
      </w:r>
      <w:proofErr w:type="spellEnd"/>
      <w:r w:rsidR="004F25E8">
        <w:t xml:space="preserve">) als </w:t>
      </w:r>
      <w:proofErr w:type="spellStart"/>
      <w:r w:rsidR="004F25E8">
        <w:t>οὐ</w:t>
      </w:r>
      <w:proofErr w:type="spellEnd"/>
      <w:r w:rsidR="004F25E8">
        <w:t xml:space="preserve"> </w:t>
      </w:r>
      <w:proofErr w:type="spellStart"/>
      <w:r w:rsidR="004F25E8">
        <w:t>ψεύσεσθε</w:t>
      </w:r>
      <w:proofErr w:type="spellEnd"/>
      <w:r w:rsidR="004F25E8">
        <w:t xml:space="preserve">, und </w:t>
      </w:r>
      <w:r w:rsidR="004F25E8">
        <w:rPr>
          <w:rtl/>
        </w:rPr>
        <w:t>לא־תשקרו</w:t>
      </w:r>
      <w:r w:rsidR="004F25E8">
        <w:t xml:space="preserve"> (lo-</w:t>
      </w:r>
      <w:proofErr w:type="spellStart"/>
      <w:r w:rsidR="004F25E8">
        <w:t>teshaqru</w:t>
      </w:r>
      <w:proofErr w:type="spellEnd"/>
      <w:r w:rsidR="004F25E8">
        <w:t xml:space="preserve">) als </w:t>
      </w:r>
      <w:proofErr w:type="spellStart"/>
      <w:r w:rsidR="004F25E8">
        <w:t>οὐ</w:t>
      </w:r>
      <w:proofErr w:type="spellEnd"/>
      <w:r w:rsidR="004F25E8">
        <w:t xml:space="preserve"> </w:t>
      </w:r>
      <w:proofErr w:type="spellStart"/>
      <w:r w:rsidR="004F25E8">
        <w:t>συκοφ</w:t>
      </w:r>
      <w:proofErr w:type="spellEnd"/>
      <w:r w:rsidR="004F25E8">
        <w:t>αντήσει (ihr sollt nicht verleumden).</w:t>
      </w:r>
    </w:p>
    <w:p w14:paraId="2F1908D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Ehrlichkeitsgebot: drei Verbote von Diebstahl, Lüge und Betrug in Gemeinschaftsbeziehungen.</w:t>
      </w:r>
    </w:p>
    <w:p w14:paraId="6E73F20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etabliert drei fundamentale Ehrlichkeitsgebote für den Umgang innerhalb der Gemeinschaft.</w:t>
      </w:r>
    </w:p>
    <w:p w14:paraId="71199212"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19,12</w:t>
      </w:r>
    </w:p>
    <w:p w14:paraId="7D05A2F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וְלֹֽא־תִשָּׁבְע֥וּ בִשְׁמִ֖י לַשָּׁ֑קֶר וְחִלַּלְתָּ֛ אֶת־שֵׁ֥ם אֱלֹהֶ֖יךָ אֲנִ֥י יְהוָֽה׃</w:t>
      </w:r>
    </w:p>
    <w:p w14:paraId="5C49C34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ihr sollt nicht falsch schwören bei meinem Namen, dass du den Namen deines Gottes entweihst. Ich bin der Ewige.</w:t>
      </w:r>
    </w:p>
    <w:p w14:paraId="14D4999D"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A58ADB6">
          <v:rect id="_x0000_i1572" style="width:0;height:1.5pt" o:hralign="center" o:hrstd="t" o:hr="t" fillcolor="#a0a0a0" stroked="f"/>
        </w:pict>
      </w:r>
    </w:p>
    <w:p w14:paraId="3B15DF5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lastRenderedPageBreak/>
        <w:t>Kommentar:</w:t>
      </w:r>
      <w:r w:rsidRPr="000E6357">
        <w:rPr>
          <w:rFonts w:eastAsia="Times New Roman" w:cs="Times New Roman"/>
          <w:lang w:eastAsia="de-DE"/>
        </w:rPr>
        <w:t xml:space="preserve"> </w:t>
      </w:r>
      <w:r w:rsidRPr="000E6357">
        <w:rPr>
          <w:rFonts w:eastAsia="Times New Roman" w:cs="Times New Roman"/>
          <w:b/>
          <w:bCs/>
          <w:rtl/>
          <w:lang w:eastAsia="de-DE"/>
        </w:rPr>
        <w:t>ולא־תשבעו בשמי לשקר וחללת את־שם אלהיך אני יהוה</w:t>
      </w:r>
      <w:r w:rsidRPr="000E6357">
        <w:rPr>
          <w:rFonts w:eastAsia="Times New Roman" w:cs="Times New Roman"/>
          <w:rtl/>
          <w:lang w:eastAsia="de-DE"/>
        </w:rPr>
        <w:t xml:space="preserve"> </w:t>
      </w:r>
      <w:r w:rsidRPr="000E6357">
        <w:rPr>
          <w:rFonts w:eastAsia="Times New Roman" w:cs="Times New Roman"/>
          <w:lang w:eastAsia="de-DE"/>
        </w:rPr>
        <w:t xml:space="preserve">verbietet Meineid als Gottesnamenschändung. </w:t>
      </w:r>
      <w:r w:rsidRPr="000E6357">
        <w:rPr>
          <w:rFonts w:eastAsia="Times New Roman" w:cs="Times New Roman"/>
          <w:b/>
          <w:bCs/>
          <w:rtl/>
          <w:lang w:eastAsia="de-DE"/>
        </w:rPr>
        <w:t>ולא־תשבעו בשמי לשקר</w:t>
      </w:r>
      <w:r w:rsidRPr="000E6357">
        <w:rPr>
          <w:rFonts w:eastAsia="Times New Roman" w:cs="Times New Roman"/>
          <w:rtl/>
          <w:lang w:eastAsia="de-DE"/>
        </w:rPr>
        <w:t xml:space="preserve"> </w:t>
      </w:r>
      <w:r w:rsidRPr="000E6357">
        <w:rPr>
          <w:rFonts w:eastAsia="Times New Roman" w:cs="Times New Roman"/>
          <w:lang w:eastAsia="de-DE"/>
        </w:rPr>
        <w:t xml:space="preserve">(und ihr sollt nicht falsch schwören bei meinem Namen) - </w:t>
      </w:r>
      <w:r w:rsidRPr="000E6357">
        <w:rPr>
          <w:rFonts w:eastAsia="Times New Roman" w:cs="Times New Roman"/>
          <w:b/>
          <w:bCs/>
          <w:rtl/>
          <w:lang w:eastAsia="de-DE"/>
        </w:rPr>
        <w:t>לא־תשבעו</w:t>
      </w:r>
      <w:r w:rsidRPr="000E6357">
        <w:rPr>
          <w:rFonts w:eastAsia="Times New Roman" w:cs="Times New Roman"/>
          <w:rtl/>
          <w:lang w:eastAsia="de-DE"/>
        </w:rPr>
        <w:t xml:space="preserve"> </w:t>
      </w:r>
      <w:r w:rsidRPr="000E6357">
        <w:rPr>
          <w:rFonts w:eastAsia="Times New Roman" w:cs="Times New Roman"/>
          <w:lang w:eastAsia="de-DE"/>
        </w:rPr>
        <w:t xml:space="preserve">(ihr sollt nicht schwören) im Nifal-Imperfekt von </w:t>
      </w:r>
      <w:r w:rsidRPr="000E6357">
        <w:rPr>
          <w:rFonts w:eastAsia="Times New Roman" w:cs="Times New Roman"/>
          <w:b/>
          <w:bCs/>
          <w:rtl/>
          <w:lang w:eastAsia="de-DE"/>
        </w:rPr>
        <w:t>שבע</w:t>
      </w:r>
      <w:r w:rsidRPr="000E6357">
        <w:rPr>
          <w:rFonts w:eastAsia="Times New Roman" w:cs="Times New Roman"/>
          <w:lang w:eastAsia="de-DE"/>
        </w:rPr>
        <w:t xml:space="preserve">. </w:t>
      </w:r>
      <w:r w:rsidRPr="000E6357">
        <w:rPr>
          <w:rFonts w:eastAsia="Times New Roman" w:cs="Times New Roman"/>
          <w:b/>
          <w:bCs/>
          <w:rtl/>
          <w:lang w:eastAsia="de-DE"/>
        </w:rPr>
        <w:t>בשמי</w:t>
      </w:r>
      <w:r w:rsidRPr="000E6357">
        <w:rPr>
          <w:rFonts w:eastAsia="Times New Roman" w:cs="Times New Roman"/>
          <w:rtl/>
          <w:lang w:eastAsia="de-DE"/>
        </w:rPr>
        <w:t xml:space="preserve"> </w:t>
      </w:r>
      <w:r w:rsidRPr="000E6357">
        <w:rPr>
          <w:rFonts w:eastAsia="Times New Roman" w:cs="Times New Roman"/>
          <w:lang w:eastAsia="de-DE"/>
        </w:rPr>
        <w:t xml:space="preserve">(bei meinem Namen) zeigt JHWH als Eidgarant. </w:t>
      </w:r>
      <w:r w:rsidRPr="000E6357">
        <w:rPr>
          <w:rFonts w:eastAsia="Times New Roman" w:cs="Times New Roman"/>
          <w:b/>
          <w:bCs/>
          <w:rtl/>
          <w:lang w:eastAsia="de-DE"/>
        </w:rPr>
        <w:t>לשקר</w:t>
      </w:r>
      <w:r w:rsidRPr="000E6357">
        <w:rPr>
          <w:rFonts w:eastAsia="Times New Roman" w:cs="Times New Roman"/>
          <w:rtl/>
          <w:lang w:eastAsia="de-DE"/>
        </w:rPr>
        <w:t xml:space="preserve"> </w:t>
      </w:r>
      <w:r w:rsidRPr="000E6357">
        <w:rPr>
          <w:rFonts w:eastAsia="Times New Roman" w:cs="Times New Roman"/>
          <w:lang w:eastAsia="de-DE"/>
        </w:rPr>
        <w:t>(zur Lüge) zeigt den betrügerischen Zweck.</w:t>
      </w:r>
    </w:p>
    <w:p w14:paraId="51252AF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וחללת את־שם אלהיך אני יהוה</w:t>
      </w:r>
      <w:r w:rsidRPr="000E6357">
        <w:rPr>
          <w:rFonts w:eastAsia="Times New Roman" w:cs="Times New Roman"/>
          <w:rtl/>
          <w:lang w:eastAsia="de-DE"/>
        </w:rPr>
        <w:t xml:space="preserve"> </w:t>
      </w:r>
      <w:r w:rsidRPr="000E6357">
        <w:rPr>
          <w:rFonts w:eastAsia="Times New Roman" w:cs="Times New Roman"/>
          <w:lang w:eastAsia="de-DE"/>
        </w:rPr>
        <w:t xml:space="preserve">(dass du den Namen deines Gottes entweihst. Ich bin der Ewige) - </w:t>
      </w:r>
      <w:r w:rsidRPr="000E6357">
        <w:rPr>
          <w:rFonts w:eastAsia="Times New Roman" w:cs="Times New Roman"/>
          <w:b/>
          <w:bCs/>
          <w:rtl/>
          <w:lang w:eastAsia="de-DE"/>
        </w:rPr>
        <w:t>וחללת</w:t>
      </w:r>
      <w:r w:rsidRPr="000E6357">
        <w:rPr>
          <w:rFonts w:eastAsia="Times New Roman" w:cs="Times New Roman"/>
          <w:rtl/>
          <w:lang w:eastAsia="de-DE"/>
        </w:rPr>
        <w:t xml:space="preserve"> </w:t>
      </w:r>
      <w:r w:rsidRPr="000E6357">
        <w:rPr>
          <w:rFonts w:eastAsia="Times New Roman" w:cs="Times New Roman"/>
          <w:lang w:eastAsia="de-DE"/>
        </w:rPr>
        <w:t xml:space="preserve">(und du entweihst) im Piel-Perfekt mit Waw-Konsekutiv, das Piel zeigt intensive Entweihung. </w:t>
      </w:r>
      <w:r w:rsidRPr="000E6357">
        <w:rPr>
          <w:rFonts w:eastAsia="Times New Roman" w:cs="Times New Roman"/>
          <w:b/>
          <w:bCs/>
          <w:rtl/>
          <w:lang w:eastAsia="de-DE"/>
        </w:rPr>
        <w:t>את־שם אלהיך</w:t>
      </w:r>
      <w:r w:rsidRPr="000E6357">
        <w:rPr>
          <w:rFonts w:eastAsia="Times New Roman" w:cs="Times New Roman"/>
          <w:rtl/>
          <w:lang w:eastAsia="de-DE"/>
        </w:rPr>
        <w:t xml:space="preserve"> </w:t>
      </w:r>
      <w:r w:rsidRPr="000E6357">
        <w:rPr>
          <w:rFonts w:eastAsia="Times New Roman" w:cs="Times New Roman"/>
          <w:lang w:eastAsia="de-DE"/>
        </w:rPr>
        <w:t xml:space="preserve">(den Namen deines Gottes) zeigt die Konsequenz des Meineids. </w:t>
      </w:r>
      <w:r w:rsidRPr="000E6357">
        <w:rPr>
          <w:rFonts w:eastAsia="Times New Roman" w:cs="Times New Roman"/>
          <w:b/>
          <w:bCs/>
          <w:rtl/>
          <w:lang w:eastAsia="de-DE"/>
        </w:rPr>
        <w:t>אני יהוה</w:t>
      </w:r>
      <w:r w:rsidRPr="000E6357">
        <w:rPr>
          <w:rFonts w:eastAsia="Times New Roman" w:cs="Times New Roman"/>
          <w:rtl/>
          <w:lang w:eastAsia="de-DE"/>
        </w:rPr>
        <w:t xml:space="preserve"> </w:t>
      </w:r>
      <w:r w:rsidRPr="000E6357">
        <w:rPr>
          <w:rFonts w:eastAsia="Times New Roman" w:cs="Times New Roman"/>
          <w:lang w:eastAsia="de-DE"/>
        </w:rPr>
        <w:t>als Selbstbezeichnung des Namensträgers.</w:t>
      </w:r>
    </w:p>
    <w:p w14:paraId="19EE78A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תשבעו בשמי</w:t>
      </w:r>
      <w:r w:rsidRPr="000E6357">
        <w:rPr>
          <w:rFonts w:eastAsia="Times New Roman" w:cs="Times New Roman"/>
          <w:rtl/>
          <w:lang w:eastAsia="de-DE"/>
        </w:rPr>
        <w:t xml:space="preserve"> </w:t>
      </w:r>
      <w:r w:rsidRPr="000E6357">
        <w:rPr>
          <w:rFonts w:eastAsia="Times New Roman" w:cs="Times New Roman"/>
          <w:lang w:eastAsia="de-DE"/>
        </w:rPr>
        <w:t xml:space="preserve">zeigt JHWH als Eidgarant. </w:t>
      </w:r>
      <w:r w:rsidRPr="000E6357">
        <w:rPr>
          <w:rFonts w:eastAsia="Times New Roman" w:cs="Times New Roman"/>
          <w:b/>
          <w:bCs/>
          <w:rtl/>
          <w:lang w:eastAsia="de-DE"/>
        </w:rPr>
        <w:t>לשקר</w:t>
      </w:r>
      <w:r w:rsidRPr="000E6357">
        <w:rPr>
          <w:rFonts w:eastAsia="Times New Roman" w:cs="Times New Roman"/>
          <w:rtl/>
          <w:lang w:eastAsia="de-DE"/>
        </w:rPr>
        <w:t xml:space="preserve"> </w:t>
      </w:r>
      <w:r w:rsidRPr="000E6357">
        <w:rPr>
          <w:rFonts w:eastAsia="Times New Roman" w:cs="Times New Roman"/>
          <w:lang w:eastAsia="de-DE"/>
        </w:rPr>
        <w:t xml:space="preserve">zeigt betrügerische Absicht. </w:t>
      </w:r>
      <w:r w:rsidRPr="000E6357">
        <w:rPr>
          <w:rFonts w:eastAsia="Times New Roman" w:cs="Times New Roman"/>
          <w:b/>
          <w:bCs/>
          <w:rtl/>
          <w:lang w:eastAsia="de-DE"/>
        </w:rPr>
        <w:t>וחללת את־שם אלהיך</w:t>
      </w:r>
      <w:r w:rsidRPr="000E6357">
        <w:rPr>
          <w:rFonts w:eastAsia="Times New Roman" w:cs="Times New Roman"/>
          <w:rtl/>
          <w:lang w:eastAsia="de-DE"/>
        </w:rPr>
        <w:t xml:space="preserve"> </w:t>
      </w:r>
      <w:r w:rsidRPr="000E6357">
        <w:rPr>
          <w:rFonts w:eastAsia="Times New Roman" w:cs="Times New Roman"/>
          <w:lang w:eastAsia="de-DE"/>
        </w:rPr>
        <w:t xml:space="preserve">zeigt, dass Meineid Gotteslästerung ist. </w:t>
      </w:r>
      <w:r w:rsidRPr="000E6357">
        <w:rPr>
          <w:rFonts w:eastAsia="Times New Roman" w:cs="Times New Roman"/>
          <w:b/>
          <w:bCs/>
          <w:rtl/>
          <w:lang w:eastAsia="de-DE"/>
        </w:rPr>
        <w:t>אני יהוה</w:t>
      </w:r>
      <w:r w:rsidRPr="000E6357">
        <w:rPr>
          <w:rFonts w:eastAsia="Times New Roman" w:cs="Times New Roman"/>
          <w:rtl/>
          <w:lang w:eastAsia="de-DE"/>
        </w:rPr>
        <w:t xml:space="preserve"> </w:t>
      </w:r>
      <w:r w:rsidRPr="000E6357">
        <w:rPr>
          <w:rFonts w:eastAsia="Times New Roman" w:cs="Times New Roman"/>
          <w:lang w:eastAsia="de-DE"/>
        </w:rPr>
        <w:t>betont die persönliche Betroffenheit JHWHs.</w:t>
      </w:r>
    </w:p>
    <w:p w14:paraId="6C97BBF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תשבעו</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ὀμεῖσθε</w:t>
      </w:r>
      <w:proofErr w:type="spellEnd"/>
      <w:r w:rsidRPr="000E6357">
        <w:rPr>
          <w:rFonts w:eastAsia="Times New Roman" w:cs="Times New Roman"/>
          <w:lang w:eastAsia="de-DE"/>
        </w:rPr>
        <w:t xml:space="preserve"> (ihr werdet schwören), </w:t>
      </w:r>
      <w:r w:rsidRPr="000E6357">
        <w:rPr>
          <w:rFonts w:eastAsia="Times New Roman" w:cs="Times New Roman"/>
          <w:b/>
          <w:bCs/>
          <w:rtl/>
          <w:lang w:eastAsia="de-DE"/>
        </w:rPr>
        <w:t>בשמי</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τῷ</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ὀνόμ</w:t>
      </w:r>
      <w:proofErr w:type="spellEnd"/>
      <w:r w:rsidRPr="000E6357">
        <w:rPr>
          <w:rFonts w:eastAsia="Times New Roman" w:cs="Times New Roman"/>
          <w:lang w:eastAsia="de-DE"/>
        </w:rPr>
        <w:t xml:space="preserve">ατί </w:t>
      </w:r>
      <w:proofErr w:type="spellStart"/>
      <w:r w:rsidRPr="000E6357">
        <w:rPr>
          <w:rFonts w:eastAsia="Times New Roman" w:cs="Times New Roman"/>
          <w:lang w:eastAsia="de-DE"/>
        </w:rPr>
        <w:t>μου</w:t>
      </w:r>
      <w:proofErr w:type="spellEnd"/>
      <w:r w:rsidRPr="000E6357">
        <w:rPr>
          <w:rFonts w:eastAsia="Times New Roman" w:cs="Times New Roman"/>
          <w:lang w:eastAsia="de-DE"/>
        </w:rPr>
        <w:t xml:space="preserve"> (bei meinem Namen), </w:t>
      </w:r>
      <w:r w:rsidRPr="000E6357">
        <w:rPr>
          <w:rFonts w:eastAsia="Times New Roman" w:cs="Times New Roman"/>
          <w:b/>
          <w:bCs/>
          <w:rtl/>
          <w:lang w:eastAsia="de-DE"/>
        </w:rPr>
        <w:t>לשקר</w:t>
      </w:r>
      <w:r w:rsidRPr="000E6357">
        <w:rPr>
          <w:rFonts w:eastAsia="Times New Roman" w:cs="Times New Roman"/>
          <w:rtl/>
          <w:lang w:eastAsia="de-DE"/>
        </w:rPr>
        <w:t xml:space="preserve"> </w:t>
      </w:r>
      <w:r w:rsidRPr="000E6357">
        <w:rPr>
          <w:rFonts w:eastAsia="Times New Roman" w:cs="Times New Roman"/>
          <w:lang w:eastAsia="de-DE"/>
        </w:rPr>
        <w:t xml:space="preserve">mit ἐπὶ </w:t>
      </w:r>
      <w:proofErr w:type="spellStart"/>
      <w:r w:rsidRPr="000E6357">
        <w:rPr>
          <w:rFonts w:eastAsia="Times New Roman" w:cs="Times New Roman"/>
          <w:lang w:eastAsia="de-DE"/>
        </w:rPr>
        <w:t>ψεύδει</w:t>
      </w:r>
      <w:proofErr w:type="spellEnd"/>
      <w:r w:rsidRPr="000E6357">
        <w:rPr>
          <w:rFonts w:eastAsia="Times New Roman" w:cs="Times New Roman"/>
          <w:lang w:eastAsia="de-DE"/>
        </w:rPr>
        <w:t xml:space="preserve"> (auf Lüge) und </w:t>
      </w:r>
      <w:r w:rsidRPr="000E6357">
        <w:rPr>
          <w:rFonts w:eastAsia="Times New Roman" w:cs="Times New Roman"/>
          <w:b/>
          <w:bCs/>
          <w:rtl/>
          <w:lang w:eastAsia="de-DE"/>
        </w:rPr>
        <w:t>וחללת</w:t>
      </w:r>
      <w:r w:rsidRPr="000E6357">
        <w:rPr>
          <w:rFonts w:eastAsia="Times New Roman" w:cs="Times New Roman"/>
          <w:rtl/>
          <w:lang w:eastAsia="de-DE"/>
        </w:rPr>
        <w:t xml:space="preserve"> </w:t>
      </w:r>
      <w:r w:rsidRPr="000E6357">
        <w:rPr>
          <w:rFonts w:eastAsia="Times New Roman" w:cs="Times New Roman"/>
          <w:lang w:eastAsia="de-DE"/>
        </w:rPr>
        <w:t>mit βεβ</w:t>
      </w:r>
      <w:proofErr w:type="spellStart"/>
      <w:r w:rsidRPr="000E6357">
        <w:rPr>
          <w:rFonts w:eastAsia="Times New Roman" w:cs="Times New Roman"/>
          <w:lang w:eastAsia="de-DE"/>
        </w:rPr>
        <w:t>ηλώσετε</w:t>
      </w:r>
      <w:proofErr w:type="spellEnd"/>
      <w:r w:rsidRPr="000E6357">
        <w:rPr>
          <w:rFonts w:eastAsia="Times New Roman" w:cs="Times New Roman"/>
          <w:lang w:eastAsia="de-DE"/>
        </w:rPr>
        <w:t xml:space="preserve"> (ihr werdet entweihen).</w:t>
      </w:r>
    </w:p>
    <w:p w14:paraId="1411F08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Meineidverbot: falscher Schwur bei göttlichem Namen + Gottesnamenschändung als Folge + göttliche Selbstbezeichnung.</w:t>
      </w:r>
    </w:p>
    <w:p w14:paraId="0F446AB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zeigt Meineid als direkte Gottesnamenschändung mit persönlicher Betroffenheit JHWHs.</w:t>
      </w:r>
    </w:p>
    <w:p w14:paraId="4EBDDC5F"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19,13</w:t>
      </w:r>
    </w:p>
    <w:p w14:paraId="64BBFAB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לֹֽא־תַעֲשֹׁ֥ק אֶת־רֵֽעֲךָ֖ וְלֹ֣א תִגְזֹ֑ל לֹֽא־תָלִ֞ין פְּעֻלַּ֥ת שָׂכִ֛יר אִתְּךָ֖ עַד־בֹּֽקֶר׃</w:t>
      </w:r>
    </w:p>
    <w:p w14:paraId="1A8DD59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deinen Nächsten nicht bedrücken und ihn nicht berauben; der Lohn des Tagelöhners soll nicht bei dir über Nacht bleiben bis zum Morgen.</w:t>
      </w:r>
    </w:p>
    <w:p w14:paraId="4E46A6B1"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70CE4A7">
          <v:rect id="_x0000_i1573" style="width:0;height:1.5pt" o:hralign="center" o:hrstd="t" o:hr="t" fillcolor="#a0a0a0" stroked="f"/>
        </w:pict>
      </w:r>
    </w:p>
    <w:p w14:paraId="0775A2A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לא־תעשק את־רעך ולא תגזל לא־תלין פעלת שכיר אתך עד־בקר</w:t>
      </w:r>
      <w:r w:rsidRPr="000E6357">
        <w:rPr>
          <w:rFonts w:eastAsia="Times New Roman" w:cs="Times New Roman"/>
          <w:rtl/>
          <w:lang w:eastAsia="de-DE"/>
        </w:rPr>
        <w:t xml:space="preserve"> </w:t>
      </w:r>
      <w:r w:rsidRPr="000E6357">
        <w:rPr>
          <w:rFonts w:eastAsia="Times New Roman" w:cs="Times New Roman"/>
          <w:lang w:eastAsia="de-DE"/>
        </w:rPr>
        <w:t xml:space="preserve">verbietet wirtschaftliche Ausbeutung. </w:t>
      </w:r>
      <w:r w:rsidRPr="000E6357">
        <w:rPr>
          <w:rFonts w:eastAsia="Times New Roman" w:cs="Times New Roman"/>
          <w:b/>
          <w:bCs/>
          <w:rtl/>
          <w:lang w:eastAsia="de-DE"/>
        </w:rPr>
        <w:t>לא־תעשק את־רעך ולא תגזל</w:t>
      </w:r>
      <w:r w:rsidRPr="000E6357">
        <w:rPr>
          <w:rFonts w:eastAsia="Times New Roman" w:cs="Times New Roman"/>
          <w:rtl/>
          <w:lang w:eastAsia="de-DE"/>
        </w:rPr>
        <w:t xml:space="preserve"> </w:t>
      </w:r>
      <w:r w:rsidRPr="000E6357">
        <w:rPr>
          <w:rFonts w:eastAsia="Times New Roman" w:cs="Times New Roman"/>
          <w:lang w:eastAsia="de-DE"/>
        </w:rPr>
        <w:t xml:space="preserve">(du sollst deinen Nächsten nicht bedrücken und nicht berauben) - </w:t>
      </w:r>
      <w:r w:rsidRPr="000E6357">
        <w:rPr>
          <w:rFonts w:eastAsia="Times New Roman" w:cs="Times New Roman"/>
          <w:b/>
          <w:bCs/>
          <w:rtl/>
          <w:lang w:eastAsia="de-DE"/>
        </w:rPr>
        <w:t>לא־תעשק</w:t>
      </w:r>
      <w:r w:rsidRPr="000E6357">
        <w:rPr>
          <w:rFonts w:eastAsia="Times New Roman" w:cs="Times New Roman"/>
          <w:rtl/>
          <w:lang w:eastAsia="de-DE"/>
        </w:rPr>
        <w:t xml:space="preserve"> </w:t>
      </w:r>
      <w:r w:rsidRPr="000E6357">
        <w:rPr>
          <w:rFonts w:eastAsia="Times New Roman" w:cs="Times New Roman"/>
          <w:lang w:eastAsia="de-DE"/>
        </w:rPr>
        <w:t xml:space="preserve">(du sollst nicht bedrücken) im Qal-Imperfekt von </w:t>
      </w:r>
      <w:r w:rsidRPr="000E6357">
        <w:rPr>
          <w:rFonts w:eastAsia="Times New Roman" w:cs="Times New Roman"/>
          <w:b/>
          <w:bCs/>
          <w:rtl/>
          <w:lang w:eastAsia="de-DE"/>
        </w:rPr>
        <w:t>עשק</w:t>
      </w:r>
      <w:r w:rsidRPr="000E6357">
        <w:rPr>
          <w:rFonts w:eastAsia="Times New Roman" w:cs="Times New Roman"/>
          <w:rtl/>
          <w:lang w:eastAsia="de-DE"/>
        </w:rPr>
        <w:t xml:space="preserve"> </w:t>
      </w:r>
      <w:r w:rsidRPr="000E6357">
        <w:rPr>
          <w:rFonts w:eastAsia="Times New Roman" w:cs="Times New Roman"/>
          <w:lang w:eastAsia="de-DE"/>
        </w:rPr>
        <w:t xml:space="preserve">zeigt systematische Ausbeutung. </w:t>
      </w:r>
      <w:r w:rsidRPr="000E6357">
        <w:rPr>
          <w:rFonts w:eastAsia="Times New Roman" w:cs="Times New Roman"/>
          <w:b/>
          <w:bCs/>
          <w:rtl/>
          <w:lang w:eastAsia="de-DE"/>
        </w:rPr>
        <w:t>ולא תגזל</w:t>
      </w:r>
      <w:r w:rsidRPr="000E6357">
        <w:rPr>
          <w:rFonts w:eastAsia="Times New Roman" w:cs="Times New Roman"/>
          <w:rtl/>
          <w:lang w:eastAsia="de-DE"/>
        </w:rPr>
        <w:t xml:space="preserve"> </w:t>
      </w:r>
      <w:r w:rsidRPr="000E6357">
        <w:rPr>
          <w:rFonts w:eastAsia="Times New Roman" w:cs="Times New Roman"/>
          <w:lang w:eastAsia="de-DE"/>
        </w:rPr>
        <w:t xml:space="preserve">(und nicht berauben) im Qal-Imperfekt von </w:t>
      </w:r>
      <w:r w:rsidRPr="000E6357">
        <w:rPr>
          <w:rFonts w:eastAsia="Times New Roman" w:cs="Times New Roman"/>
          <w:b/>
          <w:bCs/>
          <w:rtl/>
          <w:lang w:eastAsia="de-DE"/>
        </w:rPr>
        <w:t>גזל</w:t>
      </w:r>
      <w:r w:rsidRPr="000E6357">
        <w:rPr>
          <w:rFonts w:eastAsia="Times New Roman" w:cs="Times New Roman"/>
          <w:rtl/>
          <w:lang w:eastAsia="de-DE"/>
        </w:rPr>
        <w:t xml:space="preserve"> </w:t>
      </w:r>
      <w:r w:rsidRPr="000E6357">
        <w:rPr>
          <w:rFonts w:eastAsia="Times New Roman" w:cs="Times New Roman"/>
          <w:lang w:eastAsia="de-DE"/>
        </w:rPr>
        <w:t>zeigt gewaltsamen Raub.</w:t>
      </w:r>
    </w:p>
    <w:p w14:paraId="46EEA089" w14:textId="3E510E50"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לא־תלין פעלת שכיר אתך עד־בקר</w:t>
      </w:r>
      <w:r w:rsidRPr="000E6357">
        <w:rPr>
          <w:rFonts w:eastAsia="Times New Roman" w:cs="Times New Roman"/>
          <w:rtl/>
          <w:lang w:eastAsia="de-DE"/>
        </w:rPr>
        <w:t xml:space="preserve"> </w:t>
      </w:r>
      <w:r w:rsidRPr="000E6357">
        <w:rPr>
          <w:rFonts w:eastAsia="Times New Roman" w:cs="Times New Roman"/>
          <w:lang w:eastAsia="de-DE"/>
        </w:rPr>
        <w:t xml:space="preserve">(der Lohn des Tagelöhners soll nicht bei dir über Nacht bleiben bis zum Morgen) - </w:t>
      </w:r>
      <w:r w:rsidRPr="000E6357">
        <w:rPr>
          <w:rFonts w:eastAsia="Times New Roman" w:cs="Times New Roman"/>
          <w:b/>
          <w:bCs/>
          <w:rtl/>
          <w:lang w:eastAsia="de-DE"/>
        </w:rPr>
        <w:t>לא־תלין</w:t>
      </w:r>
      <w:r w:rsidRPr="000E6357">
        <w:rPr>
          <w:rFonts w:eastAsia="Times New Roman" w:cs="Times New Roman"/>
          <w:rtl/>
          <w:lang w:eastAsia="de-DE"/>
        </w:rPr>
        <w:t xml:space="preserve"> </w:t>
      </w:r>
      <w:r w:rsidRPr="000E6357">
        <w:rPr>
          <w:rFonts w:eastAsia="Times New Roman" w:cs="Times New Roman"/>
          <w:lang w:eastAsia="de-DE"/>
        </w:rPr>
        <w:t xml:space="preserve">(soll nicht über Nacht bleiben) im Hifil-Imperfekt von </w:t>
      </w:r>
      <w:r w:rsidRPr="000E6357">
        <w:rPr>
          <w:rFonts w:eastAsia="Times New Roman" w:cs="Times New Roman"/>
          <w:b/>
          <w:bCs/>
          <w:rtl/>
          <w:lang w:eastAsia="de-DE"/>
        </w:rPr>
        <w:t>לון</w:t>
      </w:r>
      <w:r w:rsidRPr="000E6357">
        <w:rPr>
          <w:rFonts w:eastAsia="Times New Roman" w:cs="Times New Roman"/>
          <w:lang w:eastAsia="de-DE"/>
        </w:rPr>
        <w:t xml:space="preserve">, das Hifil zeigt kausatives </w:t>
      </w:r>
      <w:r w:rsidR="00D86F49" w:rsidRPr="000E6357">
        <w:rPr>
          <w:rFonts w:eastAsia="Times New Roman" w:cs="Times New Roman"/>
          <w:lang w:eastAsia="de-DE"/>
        </w:rPr>
        <w:t>Übernachten lassen</w:t>
      </w:r>
      <w:r w:rsidRPr="000E6357">
        <w:rPr>
          <w:rFonts w:eastAsia="Times New Roman" w:cs="Times New Roman"/>
          <w:lang w:eastAsia="de-DE"/>
        </w:rPr>
        <w:t xml:space="preserve">. </w:t>
      </w:r>
      <w:r w:rsidRPr="000E6357">
        <w:rPr>
          <w:rFonts w:eastAsia="Times New Roman" w:cs="Times New Roman"/>
          <w:b/>
          <w:bCs/>
          <w:rtl/>
          <w:lang w:eastAsia="de-DE"/>
        </w:rPr>
        <w:t>פעלת שכיר</w:t>
      </w:r>
      <w:r w:rsidRPr="000E6357">
        <w:rPr>
          <w:rFonts w:eastAsia="Times New Roman" w:cs="Times New Roman"/>
          <w:rtl/>
          <w:lang w:eastAsia="de-DE"/>
        </w:rPr>
        <w:t xml:space="preserve"> </w:t>
      </w:r>
      <w:r w:rsidRPr="000E6357">
        <w:rPr>
          <w:rFonts w:eastAsia="Times New Roman" w:cs="Times New Roman"/>
          <w:lang w:eastAsia="de-DE"/>
        </w:rPr>
        <w:t xml:space="preserve">(Lohn des Tagelöhners) zeigt Tageslohn. </w:t>
      </w:r>
      <w:r w:rsidRPr="000E6357">
        <w:rPr>
          <w:rFonts w:eastAsia="Times New Roman" w:cs="Times New Roman"/>
          <w:b/>
          <w:bCs/>
          <w:rtl/>
          <w:lang w:eastAsia="de-DE"/>
        </w:rPr>
        <w:t>אתך עד־בקר</w:t>
      </w:r>
      <w:r w:rsidRPr="000E6357">
        <w:rPr>
          <w:rFonts w:eastAsia="Times New Roman" w:cs="Times New Roman"/>
          <w:rtl/>
          <w:lang w:eastAsia="de-DE"/>
        </w:rPr>
        <w:t xml:space="preserve"> </w:t>
      </w:r>
      <w:r w:rsidRPr="000E6357">
        <w:rPr>
          <w:rFonts w:eastAsia="Times New Roman" w:cs="Times New Roman"/>
          <w:lang w:eastAsia="de-DE"/>
        </w:rPr>
        <w:t>(bei dir bis zum Morgen) zeigt die Zeitgrenze.</w:t>
      </w:r>
    </w:p>
    <w:p w14:paraId="4B9191D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עשק</w:t>
      </w:r>
      <w:r w:rsidRPr="000E6357">
        <w:rPr>
          <w:rFonts w:eastAsia="Times New Roman" w:cs="Times New Roman"/>
          <w:rtl/>
          <w:lang w:eastAsia="de-DE"/>
        </w:rPr>
        <w:t xml:space="preserve"> </w:t>
      </w:r>
      <w:r w:rsidRPr="000E6357">
        <w:rPr>
          <w:rFonts w:eastAsia="Times New Roman" w:cs="Times New Roman"/>
          <w:lang w:eastAsia="de-DE"/>
        </w:rPr>
        <w:t xml:space="preserve">vs. </w:t>
      </w:r>
      <w:r w:rsidRPr="000E6357">
        <w:rPr>
          <w:rFonts w:eastAsia="Times New Roman" w:cs="Times New Roman"/>
          <w:b/>
          <w:bCs/>
          <w:rtl/>
          <w:lang w:eastAsia="de-DE"/>
        </w:rPr>
        <w:t>גזל</w:t>
      </w:r>
      <w:r w:rsidRPr="000E6357">
        <w:rPr>
          <w:rFonts w:eastAsia="Times New Roman" w:cs="Times New Roman"/>
          <w:rtl/>
          <w:lang w:eastAsia="de-DE"/>
        </w:rPr>
        <w:t xml:space="preserve"> </w:t>
      </w:r>
      <w:r w:rsidRPr="000E6357">
        <w:rPr>
          <w:rFonts w:eastAsia="Times New Roman" w:cs="Times New Roman"/>
          <w:lang w:eastAsia="de-DE"/>
        </w:rPr>
        <w:t xml:space="preserve">zeigt systematische vs. gewaltsame Beraubung. </w:t>
      </w:r>
      <w:r w:rsidRPr="000E6357">
        <w:rPr>
          <w:rFonts w:eastAsia="Times New Roman" w:cs="Times New Roman"/>
          <w:b/>
          <w:bCs/>
          <w:rtl/>
          <w:lang w:eastAsia="de-DE"/>
        </w:rPr>
        <w:t>פעלת שכיר</w:t>
      </w:r>
      <w:r w:rsidRPr="000E6357">
        <w:rPr>
          <w:rFonts w:eastAsia="Times New Roman" w:cs="Times New Roman"/>
          <w:rtl/>
          <w:lang w:eastAsia="de-DE"/>
        </w:rPr>
        <w:t xml:space="preserve"> </w:t>
      </w:r>
      <w:r w:rsidRPr="000E6357">
        <w:rPr>
          <w:rFonts w:eastAsia="Times New Roman" w:cs="Times New Roman"/>
          <w:lang w:eastAsia="de-DE"/>
        </w:rPr>
        <w:t xml:space="preserve">zeigt den besonders schutzbedürftigen Tagelöhner. </w:t>
      </w:r>
      <w:r w:rsidRPr="000E6357">
        <w:rPr>
          <w:rFonts w:eastAsia="Times New Roman" w:cs="Times New Roman"/>
          <w:b/>
          <w:bCs/>
          <w:rtl/>
          <w:lang w:eastAsia="de-DE"/>
        </w:rPr>
        <w:t>לא־תלין</w:t>
      </w:r>
      <w:r w:rsidRPr="000E6357">
        <w:rPr>
          <w:rFonts w:eastAsia="Times New Roman" w:cs="Times New Roman"/>
          <w:rtl/>
          <w:lang w:eastAsia="de-DE"/>
        </w:rPr>
        <w:t xml:space="preserve"> </w:t>
      </w:r>
      <w:r w:rsidRPr="000E6357">
        <w:rPr>
          <w:rFonts w:eastAsia="Times New Roman" w:cs="Times New Roman"/>
          <w:lang w:eastAsia="de-DE"/>
        </w:rPr>
        <w:t>zeigt die Pflicht zur sofortigen Lohnzahlung.</w:t>
      </w:r>
    </w:p>
    <w:p w14:paraId="2A95D34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תעשק</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ἀδικήσῃς</w:t>
      </w:r>
      <w:proofErr w:type="spellEnd"/>
      <w:r w:rsidRPr="000E6357">
        <w:rPr>
          <w:rFonts w:eastAsia="Times New Roman" w:cs="Times New Roman"/>
          <w:lang w:eastAsia="de-DE"/>
        </w:rPr>
        <w:t xml:space="preserve"> (du wirst unrecht tun), </w:t>
      </w:r>
      <w:r w:rsidRPr="000E6357">
        <w:rPr>
          <w:rFonts w:eastAsia="Times New Roman" w:cs="Times New Roman"/>
          <w:b/>
          <w:bCs/>
          <w:rtl/>
          <w:lang w:eastAsia="de-DE"/>
        </w:rPr>
        <w:t>תגזל</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ἁρ</w:t>
      </w:r>
      <w:proofErr w:type="spellEnd"/>
      <w:r w:rsidRPr="000E6357">
        <w:rPr>
          <w:rFonts w:eastAsia="Times New Roman" w:cs="Times New Roman"/>
          <w:lang w:eastAsia="de-DE"/>
        </w:rPr>
        <w:t xml:space="preserve">πάσῃς (du wirst rauben), </w:t>
      </w:r>
      <w:r w:rsidRPr="000E6357">
        <w:rPr>
          <w:rFonts w:eastAsia="Times New Roman" w:cs="Times New Roman"/>
          <w:b/>
          <w:bCs/>
          <w:rtl/>
          <w:lang w:eastAsia="de-DE"/>
        </w:rPr>
        <w:t>תלין</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κοιμηθήσετ</w:t>
      </w:r>
      <w:proofErr w:type="spellEnd"/>
      <w:r w:rsidRPr="000E6357">
        <w:rPr>
          <w:rFonts w:eastAsia="Times New Roman" w:cs="Times New Roman"/>
          <w:lang w:eastAsia="de-DE"/>
        </w:rPr>
        <w:t xml:space="preserve">αι (wird schlafen) und </w:t>
      </w:r>
      <w:r w:rsidRPr="000E6357">
        <w:rPr>
          <w:rFonts w:eastAsia="Times New Roman" w:cs="Times New Roman"/>
          <w:b/>
          <w:bCs/>
          <w:rtl/>
          <w:lang w:eastAsia="de-DE"/>
        </w:rPr>
        <w:t>פעלת שכיר</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μισθὸς</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μισθωτοῦ</w:t>
      </w:r>
      <w:proofErr w:type="spellEnd"/>
      <w:r w:rsidRPr="000E6357">
        <w:rPr>
          <w:rFonts w:eastAsia="Times New Roman" w:cs="Times New Roman"/>
          <w:lang w:eastAsia="de-DE"/>
        </w:rPr>
        <w:t xml:space="preserve"> (Lohn des Lohnarbeiters).</w:t>
      </w:r>
    </w:p>
    <w:p w14:paraId="50D73EA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lastRenderedPageBreak/>
        <w:t>Die Satzstruktur</w:t>
      </w:r>
      <w:r w:rsidRPr="000E6357">
        <w:rPr>
          <w:rFonts w:eastAsia="Times New Roman" w:cs="Times New Roman"/>
          <w:lang w:eastAsia="de-DE"/>
        </w:rPr>
        <w:t xml:space="preserve"> zeigt Wirtschaftsethik: Verbot systematischer und gewaltsamer Beraubung + spezifischer Schutz der Tagelöhner.</w:t>
      </w:r>
    </w:p>
    <w:p w14:paraId="6C8A9FA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schützt besonders die wirtschaftlich Schwachen durch Verbot der Ausbeutung und sofortige Lohnzahlung.</w:t>
      </w:r>
    </w:p>
    <w:p w14:paraId="1D1B7222"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19,14</w:t>
      </w:r>
    </w:p>
    <w:p w14:paraId="40F6392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לֹא־תְקַלֵּ֣ל חֵרֵ֔שׁ וְלִפְנֵ֣י עִוֵּ֔ר לֹ֥א תִתֵּ֖ן מִכְשֹׁ֑ל וְיָרֵ֥אתָ מֵּאֱלֹהֶ֖יךָ אֲנִ֥י יְהוָֽה׃</w:t>
      </w:r>
    </w:p>
    <w:p w14:paraId="40FA51F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einem Tauben nicht fluchen und vor einen Blinden sollst du keinen Anstoß legen, und du sollst dich fürchten vor deinem Gott. Ich bin der Ewige.</w:t>
      </w:r>
    </w:p>
    <w:p w14:paraId="5E288784"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34ACA3B9">
          <v:rect id="_x0000_i1574" style="width:0;height:1.5pt" o:hralign="center" o:hrstd="t" o:hr="t" fillcolor="#a0a0a0" stroked="f"/>
        </w:pict>
      </w:r>
    </w:p>
    <w:p w14:paraId="53E3B1A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לא־תקלל חרש ולפני עור לא תתן מכשל ויראת מאלהיך אני יהוה</w:t>
      </w:r>
      <w:r w:rsidRPr="000E6357">
        <w:rPr>
          <w:rFonts w:eastAsia="Times New Roman" w:cs="Times New Roman"/>
          <w:rtl/>
          <w:lang w:eastAsia="de-DE"/>
        </w:rPr>
        <w:t xml:space="preserve"> </w:t>
      </w:r>
      <w:r w:rsidRPr="000E6357">
        <w:rPr>
          <w:rFonts w:eastAsia="Times New Roman" w:cs="Times New Roman"/>
          <w:lang w:eastAsia="de-DE"/>
        </w:rPr>
        <w:t xml:space="preserve">schützt Behinderte vor Missbrauch. </w:t>
      </w:r>
      <w:r w:rsidRPr="000E6357">
        <w:rPr>
          <w:rFonts w:eastAsia="Times New Roman" w:cs="Times New Roman"/>
          <w:b/>
          <w:bCs/>
          <w:rtl/>
          <w:lang w:eastAsia="de-DE"/>
        </w:rPr>
        <w:t>לא־תקלל חרש</w:t>
      </w:r>
      <w:r w:rsidRPr="000E6357">
        <w:rPr>
          <w:rFonts w:eastAsia="Times New Roman" w:cs="Times New Roman"/>
          <w:rtl/>
          <w:lang w:eastAsia="de-DE"/>
        </w:rPr>
        <w:t xml:space="preserve"> </w:t>
      </w:r>
      <w:r w:rsidRPr="000E6357">
        <w:rPr>
          <w:rFonts w:eastAsia="Times New Roman" w:cs="Times New Roman"/>
          <w:lang w:eastAsia="de-DE"/>
        </w:rPr>
        <w:t xml:space="preserve">(du sollst einem Tauben nicht fluchen) - </w:t>
      </w:r>
      <w:r w:rsidRPr="000E6357">
        <w:rPr>
          <w:rFonts w:eastAsia="Times New Roman" w:cs="Times New Roman"/>
          <w:b/>
          <w:bCs/>
          <w:rtl/>
          <w:lang w:eastAsia="de-DE"/>
        </w:rPr>
        <w:t>לא־תקלל</w:t>
      </w:r>
      <w:r w:rsidRPr="000E6357">
        <w:rPr>
          <w:rFonts w:eastAsia="Times New Roman" w:cs="Times New Roman"/>
          <w:rtl/>
          <w:lang w:eastAsia="de-DE"/>
        </w:rPr>
        <w:t xml:space="preserve"> </w:t>
      </w:r>
      <w:r w:rsidRPr="000E6357">
        <w:rPr>
          <w:rFonts w:eastAsia="Times New Roman" w:cs="Times New Roman"/>
          <w:lang w:eastAsia="de-DE"/>
        </w:rPr>
        <w:t xml:space="preserve">(du sollst nicht fluchen) im Piel-Imperfekt von </w:t>
      </w:r>
      <w:r w:rsidRPr="000E6357">
        <w:rPr>
          <w:rFonts w:eastAsia="Times New Roman" w:cs="Times New Roman"/>
          <w:b/>
          <w:bCs/>
          <w:rtl/>
          <w:lang w:eastAsia="de-DE"/>
        </w:rPr>
        <w:t>קלל</w:t>
      </w:r>
      <w:r w:rsidRPr="000E6357">
        <w:rPr>
          <w:rFonts w:eastAsia="Times New Roman" w:cs="Times New Roman"/>
          <w:lang w:eastAsia="de-DE"/>
        </w:rPr>
        <w:t xml:space="preserve">, das Piel zeigt intensive Verfluchung. </w:t>
      </w:r>
      <w:r w:rsidRPr="000E6357">
        <w:rPr>
          <w:rFonts w:eastAsia="Times New Roman" w:cs="Times New Roman"/>
          <w:b/>
          <w:bCs/>
          <w:rtl/>
          <w:lang w:eastAsia="de-DE"/>
        </w:rPr>
        <w:t>חרש</w:t>
      </w:r>
      <w:r w:rsidRPr="000E6357">
        <w:rPr>
          <w:rFonts w:eastAsia="Times New Roman" w:cs="Times New Roman"/>
          <w:rtl/>
          <w:lang w:eastAsia="de-DE"/>
        </w:rPr>
        <w:t xml:space="preserve"> </w:t>
      </w:r>
      <w:r w:rsidRPr="000E6357">
        <w:rPr>
          <w:rFonts w:eastAsia="Times New Roman" w:cs="Times New Roman"/>
          <w:lang w:eastAsia="de-DE"/>
        </w:rPr>
        <w:t>(Tauber) kann den Fluch nicht hören und sich nicht verteidigen.</w:t>
      </w:r>
    </w:p>
    <w:p w14:paraId="6123910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ולפני עור לא תתן מכשל</w:t>
      </w:r>
      <w:r w:rsidRPr="000E6357">
        <w:rPr>
          <w:rFonts w:eastAsia="Times New Roman" w:cs="Times New Roman"/>
          <w:rtl/>
          <w:lang w:eastAsia="de-DE"/>
        </w:rPr>
        <w:t xml:space="preserve"> </w:t>
      </w:r>
      <w:r w:rsidRPr="000E6357">
        <w:rPr>
          <w:rFonts w:eastAsia="Times New Roman" w:cs="Times New Roman"/>
          <w:lang w:eastAsia="de-DE"/>
        </w:rPr>
        <w:t xml:space="preserve">(und vor einen Blinden sollst du keinen Anstoß legen) - </w:t>
      </w:r>
      <w:r w:rsidRPr="000E6357">
        <w:rPr>
          <w:rFonts w:eastAsia="Times New Roman" w:cs="Times New Roman"/>
          <w:b/>
          <w:bCs/>
          <w:rtl/>
          <w:lang w:eastAsia="de-DE"/>
        </w:rPr>
        <w:t>לפני עור</w:t>
      </w:r>
      <w:r w:rsidRPr="000E6357">
        <w:rPr>
          <w:rFonts w:eastAsia="Times New Roman" w:cs="Times New Roman"/>
          <w:rtl/>
          <w:lang w:eastAsia="de-DE"/>
        </w:rPr>
        <w:t xml:space="preserve"> </w:t>
      </w:r>
      <w:r w:rsidRPr="000E6357">
        <w:rPr>
          <w:rFonts w:eastAsia="Times New Roman" w:cs="Times New Roman"/>
          <w:lang w:eastAsia="de-DE"/>
        </w:rPr>
        <w:t xml:space="preserve">(vor einen Blinden) zeigt die Position der Gefahr. </w:t>
      </w:r>
      <w:r w:rsidRPr="000E6357">
        <w:rPr>
          <w:rFonts w:eastAsia="Times New Roman" w:cs="Times New Roman"/>
          <w:b/>
          <w:bCs/>
          <w:rtl/>
          <w:lang w:eastAsia="de-DE"/>
        </w:rPr>
        <w:t>לא תתן מכשל</w:t>
      </w:r>
      <w:r w:rsidRPr="000E6357">
        <w:rPr>
          <w:rFonts w:eastAsia="Times New Roman" w:cs="Times New Roman"/>
          <w:rtl/>
          <w:lang w:eastAsia="de-DE"/>
        </w:rPr>
        <w:t xml:space="preserve"> </w:t>
      </w:r>
      <w:r w:rsidRPr="000E6357">
        <w:rPr>
          <w:rFonts w:eastAsia="Times New Roman" w:cs="Times New Roman"/>
          <w:lang w:eastAsia="de-DE"/>
        </w:rPr>
        <w:t xml:space="preserve">(sollst du keinen Anstoß legen) im Qal-Imperfekt - </w:t>
      </w:r>
      <w:r w:rsidRPr="000E6357">
        <w:rPr>
          <w:rFonts w:eastAsia="Times New Roman" w:cs="Times New Roman"/>
          <w:b/>
          <w:bCs/>
          <w:rtl/>
          <w:lang w:eastAsia="de-DE"/>
        </w:rPr>
        <w:t>מכשל</w:t>
      </w:r>
      <w:r w:rsidRPr="000E6357">
        <w:rPr>
          <w:rFonts w:eastAsia="Times New Roman" w:cs="Times New Roman"/>
          <w:rtl/>
          <w:lang w:eastAsia="de-DE"/>
        </w:rPr>
        <w:t xml:space="preserve"> </w:t>
      </w:r>
      <w:r w:rsidRPr="000E6357">
        <w:rPr>
          <w:rFonts w:eastAsia="Times New Roman" w:cs="Times New Roman"/>
          <w:lang w:eastAsia="de-DE"/>
        </w:rPr>
        <w:t>(Stolperstein) kann wörtlich oder übertragen gemeint sein.</w:t>
      </w:r>
    </w:p>
    <w:p w14:paraId="2C7EFA2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ויראת מאלהיך אני יהוה</w:t>
      </w:r>
      <w:r w:rsidRPr="000E6357">
        <w:rPr>
          <w:rFonts w:eastAsia="Times New Roman" w:cs="Times New Roman"/>
          <w:rtl/>
          <w:lang w:eastAsia="de-DE"/>
        </w:rPr>
        <w:t xml:space="preserve"> </w:t>
      </w:r>
      <w:r w:rsidRPr="000E6357">
        <w:rPr>
          <w:rFonts w:eastAsia="Times New Roman" w:cs="Times New Roman"/>
          <w:lang w:eastAsia="de-DE"/>
        </w:rPr>
        <w:t xml:space="preserve">(und du sollst dich fürchten vor deinem Gott. Ich bin der Ewige) - </w:t>
      </w:r>
      <w:r w:rsidRPr="000E6357">
        <w:rPr>
          <w:rFonts w:eastAsia="Times New Roman" w:cs="Times New Roman"/>
          <w:b/>
          <w:bCs/>
          <w:rtl/>
          <w:lang w:eastAsia="de-DE"/>
        </w:rPr>
        <w:t>ויראת</w:t>
      </w:r>
      <w:r w:rsidRPr="000E6357">
        <w:rPr>
          <w:rFonts w:eastAsia="Times New Roman" w:cs="Times New Roman"/>
          <w:rtl/>
          <w:lang w:eastAsia="de-DE"/>
        </w:rPr>
        <w:t xml:space="preserve"> </w:t>
      </w:r>
      <w:r w:rsidRPr="000E6357">
        <w:rPr>
          <w:rFonts w:eastAsia="Times New Roman" w:cs="Times New Roman"/>
          <w:lang w:eastAsia="de-DE"/>
        </w:rPr>
        <w:t xml:space="preserve">(und du sollst fürchten) im Qal-Perfekt mit Waw-Konsekutiv zeigt die Begründung. </w:t>
      </w:r>
      <w:r w:rsidRPr="000E6357">
        <w:rPr>
          <w:rFonts w:eastAsia="Times New Roman" w:cs="Times New Roman"/>
          <w:b/>
          <w:bCs/>
          <w:rtl/>
          <w:lang w:eastAsia="de-DE"/>
        </w:rPr>
        <w:t>מאלהיך</w:t>
      </w:r>
      <w:r w:rsidRPr="000E6357">
        <w:rPr>
          <w:rFonts w:eastAsia="Times New Roman" w:cs="Times New Roman"/>
          <w:rtl/>
          <w:lang w:eastAsia="de-DE"/>
        </w:rPr>
        <w:t xml:space="preserve"> </w:t>
      </w:r>
      <w:r w:rsidRPr="000E6357">
        <w:rPr>
          <w:rFonts w:eastAsia="Times New Roman" w:cs="Times New Roman"/>
          <w:lang w:eastAsia="de-DE"/>
        </w:rPr>
        <w:t>(vor deinem Gott) als allsehender Zeuge.</w:t>
      </w:r>
    </w:p>
    <w:p w14:paraId="1E4F90B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חרש</w:t>
      </w:r>
      <w:r w:rsidRPr="000E6357">
        <w:rPr>
          <w:rFonts w:eastAsia="Times New Roman" w:cs="Times New Roman"/>
          <w:rtl/>
          <w:lang w:eastAsia="de-DE"/>
        </w:rPr>
        <w:t xml:space="preserve"> </w:t>
      </w:r>
      <w:r w:rsidRPr="000E6357">
        <w:rPr>
          <w:rFonts w:eastAsia="Times New Roman" w:cs="Times New Roman"/>
          <w:lang w:eastAsia="de-DE"/>
        </w:rPr>
        <w:t xml:space="preserve">und </w:t>
      </w:r>
      <w:r w:rsidRPr="000E6357">
        <w:rPr>
          <w:rFonts w:eastAsia="Times New Roman" w:cs="Times New Roman"/>
          <w:b/>
          <w:bCs/>
          <w:rtl/>
          <w:lang w:eastAsia="de-DE"/>
        </w:rPr>
        <w:t>עור</w:t>
      </w:r>
      <w:r w:rsidRPr="000E6357">
        <w:rPr>
          <w:rFonts w:eastAsia="Times New Roman" w:cs="Times New Roman"/>
          <w:rtl/>
          <w:lang w:eastAsia="de-DE"/>
        </w:rPr>
        <w:t xml:space="preserve"> </w:t>
      </w:r>
      <w:r w:rsidRPr="000E6357">
        <w:rPr>
          <w:rFonts w:eastAsia="Times New Roman" w:cs="Times New Roman"/>
          <w:lang w:eastAsia="de-DE"/>
        </w:rPr>
        <w:t xml:space="preserve">als paradigmatische Beispiele für Hilflose. </w:t>
      </w:r>
      <w:r w:rsidRPr="000E6357">
        <w:rPr>
          <w:rFonts w:eastAsia="Times New Roman" w:cs="Times New Roman"/>
          <w:b/>
          <w:bCs/>
          <w:rtl/>
          <w:lang w:eastAsia="de-DE"/>
        </w:rPr>
        <w:t>מכשל</w:t>
      </w:r>
      <w:r w:rsidRPr="000E6357">
        <w:rPr>
          <w:rFonts w:eastAsia="Times New Roman" w:cs="Times New Roman"/>
          <w:rtl/>
          <w:lang w:eastAsia="de-DE"/>
        </w:rPr>
        <w:t xml:space="preserve"> </w:t>
      </w:r>
      <w:r w:rsidRPr="000E6357">
        <w:rPr>
          <w:rFonts w:eastAsia="Times New Roman" w:cs="Times New Roman"/>
          <w:lang w:eastAsia="de-DE"/>
        </w:rPr>
        <w:t xml:space="preserve">kann physische oder beratende Irreführung meinen. </w:t>
      </w:r>
      <w:r w:rsidRPr="000E6357">
        <w:rPr>
          <w:rFonts w:eastAsia="Times New Roman" w:cs="Times New Roman"/>
          <w:b/>
          <w:bCs/>
          <w:rtl/>
          <w:lang w:eastAsia="de-DE"/>
        </w:rPr>
        <w:t>ויראת מאלהיך</w:t>
      </w:r>
      <w:r w:rsidRPr="000E6357">
        <w:rPr>
          <w:rFonts w:eastAsia="Times New Roman" w:cs="Times New Roman"/>
          <w:rtl/>
          <w:lang w:eastAsia="de-DE"/>
        </w:rPr>
        <w:t xml:space="preserve"> </w:t>
      </w:r>
      <w:r w:rsidRPr="000E6357">
        <w:rPr>
          <w:rFonts w:eastAsia="Times New Roman" w:cs="Times New Roman"/>
          <w:lang w:eastAsia="de-DE"/>
        </w:rPr>
        <w:t>zeigt Gott als Anwalt der Hilflosen.</w:t>
      </w:r>
    </w:p>
    <w:p w14:paraId="6D70BC6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תקלל</w:t>
      </w:r>
      <w:r w:rsidRPr="000E6357">
        <w:rPr>
          <w:rFonts w:eastAsia="Times New Roman" w:cs="Times New Roman"/>
          <w:rtl/>
          <w:lang w:eastAsia="de-DE"/>
        </w:rPr>
        <w:t xml:space="preserve"> </w:t>
      </w:r>
      <w:r w:rsidRPr="000E6357">
        <w:rPr>
          <w:rFonts w:eastAsia="Times New Roman" w:cs="Times New Roman"/>
          <w:lang w:eastAsia="de-DE"/>
        </w:rPr>
        <w:t>mit κατα</w:t>
      </w:r>
      <w:proofErr w:type="spellStart"/>
      <w:r w:rsidRPr="000E6357">
        <w:rPr>
          <w:rFonts w:eastAsia="Times New Roman" w:cs="Times New Roman"/>
          <w:lang w:eastAsia="de-DE"/>
        </w:rPr>
        <w:t>ράσῃ</w:t>
      </w:r>
      <w:proofErr w:type="spellEnd"/>
      <w:r w:rsidRPr="000E6357">
        <w:rPr>
          <w:rFonts w:eastAsia="Times New Roman" w:cs="Times New Roman"/>
          <w:lang w:eastAsia="de-DE"/>
        </w:rPr>
        <w:t xml:space="preserve"> (du wirst verfluchen), </w:t>
      </w:r>
      <w:r w:rsidRPr="000E6357">
        <w:rPr>
          <w:rFonts w:eastAsia="Times New Roman" w:cs="Times New Roman"/>
          <w:b/>
          <w:bCs/>
          <w:rtl/>
          <w:lang w:eastAsia="de-DE"/>
        </w:rPr>
        <w:t>חרש</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κωφῷ</w:t>
      </w:r>
      <w:proofErr w:type="spellEnd"/>
      <w:r w:rsidRPr="000E6357">
        <w:rPr>
          <w:rFonts w:eastAsia="Times New Roman" w:cs="Times New Roman"/>
          <w:lang w:eastAsia="de-DE"/>
        </w:rPr>
        <w:t xml:space="preserve"> (einem Tauben), </w:t>
      </w:r>
      <w:r w:rsidRPr="000E6357">
        <w:rPr>
          <w:rFonts w:eastAsia="Times New Roman" w:cs="Times New Roman"/>
          <w:b/>
          <w:bCs/>
          <w:rtl/>
          <w:lang w:eastAsia="de-DE"/>
        </w:rPr>
        <w:t>עור</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τυφλοῦ</w:t>
      </w:r>
      <w:proofErr w:type="spellEnd"/>
      <w:r w:rsidRPr="000E6357">
        <w:rPr>
          <w:rFonts w:eastAsia="Times New Roman" w:cs="Times New Roman"/>
          <w:lang w:eastAsia="de-DE"/>
        </w:rPr>
        <w:t xml:space="preserve"> (Blinden), </w:t>
      </w:r>
      <w:r w:rsidRPr="000E6357">
        <w:rPr>
          <w:rFonts w:eastAsia="Times New Roman" w:cs="Times New Roman"/>
          <w:b/>
          <w:bCs/>
          <w:rtl/>
          <w:lang w:eastAsia="de-DE"/>
        </w:rPr>
        <w:t>מכשל</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σκάνδ</w:t>
      </w:r>
      <w:proofErr w:type="spellEnd"/>
      <w:r w:rsidRPr="000E6357">
        <w:rPr>
          <w:rFonts w:eastAsia="Times New Roman" w:cs="Times New Roman"/>
          <w:lang w:eastAsia="de-DE"/>
        </w:rPr>
        <w:t xml:space="preserve">αλον (Anstoß) und </w:t>
      </w:r>
      <w:r w:rsidRPr="000E6357">
        <w:rPr>
          <w:rFonts w:eastAsia="Times New Roman" w:cs="Times New Roman"/>
          <w:b/>
          <w:bCs/>
          <w:rtl/>
          <w:lang w:eastAsia="de-DE"/>
        </w:rPr>
        <w:t>ויראת</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φο</w:t>
      </w:r>
      <w:proofErr w:type="spellEnd"/>
      <w:r w:rsidRPr="000E6357">
        <w:rPr>
          <w:rFonts w:eastAsia="Times New Roman" w:cs="Times New Roman"/>
          <w:lang w:eastAsia="de-DE"/>
        </w:rPr>
        <w:t>βηθήσῃ (du wirst fürchten).</w:t>
      </w:r>
    </w:p>
    <w:p w14:paraId="18F8FDD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Behindertenschutz: Verbot des Missbrauchs Hilfloser + Gottesfurcht als Kontrolle + göttliche Autorität.</w:t>
      </w:r>
    </w:p>
    <w:p w14:paraId="232FA23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schützt Behinderte vor Missbrauch ihrer Hilflosigkeit mit Gottesfurcht als innerem Kontrollorgan.</w:t>
      </w:r>
    </w:p>
    <w:p w14:paraId="756DC6ED"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19,15</w:t>
      </w:r>
    </w:p>
    <w:p w14:paraId="0F757AD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לֹא־תַעֲשׂ֥וּ עָ֨וֶל֙ בַּמִּשְׁפָּ֔ט לֹא־תִשָּׂ֣א פְנֵי־דָ֔ל וְלֹ֥א תֶהְדַּ֖ר פְּנֵ֣י גָד֑וֹל בְּצֶ֖דֶק תִּשְׁפֹּ֥ט עֲמִיתֶֽךָ׃</w:t>
      </w:r>
    </w:p>
    <w:p w14:paraId="28F676F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Ihr sollt nicht unrecht tun im Gericht: Du sollst nicht die Person des Geringen bevorzugen und nicht die Person des Großen ehren; in Gerechtigkeit sollst du deinen nächsten richten.</w:t>
      </w:r>
    </w:p>
    <w:p w14:paraId="123F2BBE"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lastRenderedPageBreak/>
        <w:pict w14:anchorId="5E11CDDE">
          <v:rect id="_x0000_i1575" style="width:0;height:1.5pt" o:hralign="center" o:hrstd="t" o:hr="t" fillcolor="#a0a0a0" stroked="f"/>
        </w:pict>
      </w:r>
    </w:p>
    <w:p w14:paraId="1C7DC01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לא־תעשו עול במשפט לא־תשא פני־דל ולא תהדר פני גדול בצדק תשפט עמיתך</w:t>
      </w:r>
      <w:r w:rsidRPr="000E6357">
        <w:rPr>
          <w:rFonts w:eastAsia="Times New Roman" w:cs="Times New Roman"/>
          <w:rtl/>
          <w:lang w:eastAsia="de-DE"/>
        </w:rPr>
        <w:t xml:space="preserve"> </w:t>
      </w:r>
      <w:r w:rsidRPr="000E6357">
        <w:rPr>
          <w:rFonts w:eastAsia="Times New Roman" w:cs="Times New Roman"/>
          <w:lang w:eastAsia="de-DE"/>
        </w:rPr>
        <w:t xml:space="preserve">fordert unparteiische Rechtsprechung. </w:t>
      </w:r>
      <w:r w:rsidRPr="000E6357">
        <w:rPr>
          <w:rFonts w:eastAsia="Times New Roman" w:cs="Times New Roman"/>
          <w:b/>
          <w:bCs/>
          <w:rtl/>
          <w:lang w:eastAsia="de-DE"/>
        </w:rPr>
        <w:t>לא־תעשו עול במשפט</w:t>
      </w:r>
      <w:r w:rsidRPr="000E6357">
        <w:rPr>
          <w:rFonts w:eastAsia="Times New Roman" w:cs="Times New Roman"/>
          <w:rtl/>
          <w:lang w:eastAsia="de-DE"/>
        </w:rPr>
        <w:t xml:space="preserve"> </w:t>
      </w:r>
      <w:r w:rsidRPr="000E6357">
        <w:rPr>
          <w:rFonts w:eastAsia="Times New Roman" w:cs="Times New Roman"/>
          <w:lang w:eastAsia="de-DE"/>
        </w:rPr>
        <w:t xml:space="preserve">(ihr sollt nicht unrecht tun im Gericht) - </w:t>
      </w:r>
      <w:r w:rsidRPr="000E6357">
        <w:rPr>
          <w:rFonts w:eastAsia="Times New Roman" w:cs="Times New Roman"/>
          <w:b/>
          <w:bCs/>
          <w:rtl/>
          <w:lang w:eastAsia="de-DE"/>
        </w:rPr>
        <w:t>לא־תעשו עול</w:t>
      </w:r>
      <w:r w:rsidRPr="000E6357">
        <w:rPr>
          <w:rFonts w:eastAsia="Times New Roman" w:cs="Times New Roman"/>
          <w:rtl/>
          <w:lang w:eastAsia="de-DE"/>
        </w:rPr>
        <w:t xml:space="preserve"> </w:t>
      </w:r>
      <w:r w:rsidRPr="000E6357">
        <w:rPr>
          <w:rFonts w:eastAsia="Times New Roman" w:cs="Times New Roman"/>
          <w:lang w:eastAsia="de-DE"/>
        </w:rPr>
        <w:t xml:space="preserve">(ihr sollt nicht unrecht tun) im Qal-Imperfekt zeigt Unrechtsverbot. </w:t>
      </w:r>
      <w:r w:rsidRPr="000E6357">
        <w:rPr>
          <w:rFonts w:eastAsia="Times New Roman" w:cs="Times New Roman"/>
          <w:b/>
          <w:bCs/>
          <w:rtl/>
          <w:lang w:eastAsia="de-DE"/>
        </w:rPr>
        <w:t>במשפט</w:t>
      </w:r>
      <w:r w:rsidRPr="000E6357">
        <w:rPr>
          <w:rFonts w:eastAsia="Times New Roman" w:cs="Times New Roman"/>
          <w:rtl/>
          <w:lang w:eastAsia="de-DE"/>
        </w:rPr>
        <w:t xml:space="preserve"> </w:t>
      </w:r>
      <w:r w:rsidRPr="000E6357">
        <w:rPr>
          <w:rFonts w:eastAsia="Times New Roman" w:cs="Times New Roman"/>
          <w:lang w:eastAsia="de-DE"/>
        </w:rPr>
        <w:t>(im Gericht) zeigt den Kontext.</w:t>
      </w:r>
    </w:p>
    <w:p w14:paraId="1F3FD2D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לא־תשא פני־דל ולא תהדר פני גדול</w:t>
      </w:r>
      <w:r w:rsidRPr="000E6357">
        <w:rPr>
          <w:rFonts w:eastAsia="Times New Roman" w:cs="Times New Roman"/>
          <w:rtl/>
          <w:lang w:eastAsia="de-DE"/>
        </w:rPr>
        <w:t xml:space="preserve"> </w:t>
      </w:r>
      <w:r w:rsidRPr="000E6357">
        <w:rPr>
          <w:rFonts w:eastAsia="Times New Roman" w:cs="Times New Roman"/>
          <w:lang w:eastAsia="de-DE"/>
        </w:rPr>
        <w:t xml:space="preserve">(du sollst nicht die Person des Geringen bevorzugen und nicht die Person des Großen ehren) - </w:t>
      </w:r>
      <w:r w:rsidRPr="000E6357">
        <w:rPr>
          <w:rFonts w:eastAsia="Times New Roman" w:cs="Times New Roman"/>
          <w:b/>
          <w:bCs/>
          <w:rtl/>
          <w:lang w:eastAsia="de-DE"/>
        </w:rPr>
        <w:t>לא־תשא פני</w:t>
      </w:r>
      <w:r w:rsidRPr="000E6357">
        <w:rPr>
          <w:rFonts w:eastAsia="Times New Roman" w:cs="Times New Roman"/>
          <w:rtl/>
          <w:lang w:eastAsia="de-DE"/>
        </w:rPr>
        <w:t xml:space="preserve"> </w:t>
      </w:r>
      <w:r w:rsidRPr="000E6357">
        <w:rPr>
          <w:rFonts w:eastAsia="Times New Roman" w:cs="Times New Roman"/>
          <w:lang w:eastAsia="de-DE"/>
        </w:rPr>
        <w:t xml:space="preserve">(du sollst nicht das Angesicht erheben) zeigt Parteilichkeit für Arme. </w:t>
      </w:r>
      <w:r w:rsidRPr="000E6357">
        <w:rPr>
          <w:rFonts w:eastAsia="Times New Roman" w:cs="Times New Roman"/>
          <w:b/>
          <w:bCs/>
          <w:rtl/>
          <w:lang w:eastAsia="de-DE"/>
        </w:rPr>
        <w:t>ולא תהדר פני גדול</w:t>
      </w:r>
      <w:r w:rsidRPr="000E6357">
        <w:rPr>
          <w:rFonts w:eastAsia="Times New Roman" w:cs="Times New Roman"/>
          <w:rtl/>
          <w:lang w:eastAsia="de-DE"/>
        </w:rPr>
        <w:t xml:space="preserve"> </w:t>
      </w:r>
      <w:r w:rsidRPr="000E6357">
        <w:rPr>
          <w:rFonts w:eastAsia="Times New Roman" w:cs="Times New Roman"/>
          <w:lang w:eastAsia="de-DE"/>
        </w:rPr>
        <w:t xml:space="preserve">(und nicht das Angesicht des Großen ehren) im Hifil-Imperfekt von </w:t>
      </w:r>
      <w:r w:rsidRPr="000E6357">
        <w:rPr>
          <w:rFonts w:eastAsia="Times New Roman" w:cs="Times New Roman"/>
          <w:b/>
          <w:bCs/>
          <w:rtl/>
          <w:lang w:eastAsia="de-DE"/>
        </w:rPr>
        <w:t>הדר</w:t>
      </w:r>
      <w:r w:rsidRPr="000E6357">
        <w:rPr>
          <w:rFonts w:eastAsia="Times New Roman" w:cs="Times New Roman"/>
          <w:lang w:eastAsia="de-DE"/>
        </w:rPr>
        <w:t>, das Hifil zeigt ehrende Bevorzugung der Reichen.</w:t>
      </w:r>
    </w:p>
    <w:p w14:paraId="6E87F4F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בצדק תשפט עמיתך</w:t>
      </w:r>
      <w:r w:rsidRPr="000E6357">
        <w:rPr>
          <w:rFonts w:eastAsia="Times New Roman" w:cs="Times New Roman"/>
          <w:rtl/>
          <w:lang w:eastAsia="de-DE"/>
        </w:rPr>
        <w:t xml:space="preserve"> </w:t>
      </w:r>
      <w:r w:rsidRPr="000E6357">
        <w:rPr>
          <w:rFonts w:eastAsia="Times New Roman" w:cs="Times New Roman"/>
          <w:lang w:eastAsia="de-DE"/>
        </w:rPr>
        <w:t xml:space="preserve">(in Gerechtigkeit sollst du deinen Nächsten richten) - </w:t>
      </w:r>
      <w:r w:rsidRPr="000E6357">
        <w:rPr>
          <w:rFonts w:eastAsia="Times New Roman" w:cs="Times New Roman"/>
          <w:b/>
          <w:bCs/>
          <w:rtl/>
          <w:lang w:eastAsia="de-DE"/>
        </w:rPr>
        <w:t>בצדק</w:t>
      </w:r>
      <w:r w:rsidRPr="000E6357">
        <w:rPr>
          <w:rFonts w:eastAsia="Times New Roman" w:cs="Times New Roman"/>
          <w:rtl/>
          <w:lang w:eastAsia="de-DE"/>
        </w:rPr>
        <w:t xml:space="preserve"> </w:t>
      </w:r>
      <w:r w:rsidRPr="000E6357">
        <w:rPr>
          <w:rFonts w:eastAsia="Times New Roman" w:cs="Times New Roman"/>
          <w:lang w:eastAsia="de-DE"/>
        </w:rPr>
        <w:t xml:space="preserve">(in Gerechtigkeit) als positive Alternative. </w:t>
      </w:r>
      <w:r w:rsidRPr="000E6357">
        <w:rPr>
          <w:rFonts w:eastAsia="Times New Roman" w:cs="Times New Roman"/>
          <w:b/>
          <w:bCs/>
          <w:rtl/>
          <w:lang w:eastAsia="de-DE"/>
        </w:rPr>
        <w:t>תשפט</w:t>
      </w:r>
      <w:r w:rsidRPr="000E6357">
        <w:rPr>
          <w:rFonts w:eastAsia="Times New Roman" w:cs="Times New Roman"/>
          <w:rtl/>
          <w:lang w:eastAsia="de-DE"/>
        </w:rPr>
        <w:t xml:space="preserve"> </w:t>
      </w:r>
      <w:r w:rsidRPr="000E6357">
        <w:rPr>
          <w:rFonts w:eastAsia="Times New Roman" w:cs="Times New Roman"/>
          <w:lang w:eastAsia="de-DE"/>
        </w:rPr>
        <w:t xml:space="preserve">(du sollst richten) im Qal-Imperfekt zeigt die Richtertätigkeit. </w:t>
      </w:r>
      <w:r w:rsidRPr="000E6357">
        <w:rPr>
          <w:rFonts w:eastAsia="Times New Roman" w:cs="Times New Roman"/>
          <w:b/>
          <w:bCs/>
          <w:rtl/>
          <w:lang w:eastAsia="de-DE"/>
        </w:rPr>
        <w:t>עמיתך</w:t>
      </w:r>
      <w:r w:rsidRPr="000E6357">
        <w:rPr>
          <w:rFonts w:eastAsia="Times New Roman" w:cs="Times New Roman"/>
          <w:rtl/>
          <w:lang w:eastAsia="de-DE"/>
        </w:rPr>
        <w:t xml:space="preserve"> </w:t>
      </w:r>
      <w:r w:rsidRPr="000E6357">
        <w:rPr>
          <w:rFonts w:eastAsia="Times New Roman" w:cs="Times New Roman"/>
          <w:lang w:eastAsia="de-DE"/>
        </w:rPr>
        <w:t>(deinen Nächsten) zeigt den Gerichtsgegenstand.</w:t>
      </w:r>
    </w:p>
    <w:p w14:paraId="70CE9647"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עול במשפט</w:t>
      </w:r>
      <w:r w:rsidRPr="000E6357">
        <w:rPr>
          <w:rFonts w:eastAsia="Times New Roman" w:cs="Times New Roman"/>
          <w:rtl/>
          <w:lang w:eastAsia="de-DE"/>
        </w:rPr>
        <w:t xml:space="preserve"> </w:t>
      </w:r>
      <w:r w:rsidRPr="000E6357">
        <w:rPr>
          <w:rFonts w:eastAsia="Times New Roman" w:cs="Times New Roman"/>
          <w:lang w:eastAsia="de-DE"/>
        </w:rPr>
        <w:t xml:space="preserve">als Perversion der Rechtsprechung. </w:t>
      </w:r>
      <w:r w:rsidRPr="000E6357">
        <w:rPr>
          <w:rFonts w:eastAsia="Times New Roman" w:cs="Times New Roman"/>
          <w:b/>
          <w:bCs/>
          <w:rtl/>
          <w:lang w:eastAsia="de-DE"/>
        </w:rPr>
        <w:t>תשא פני</w:t>
      </w:r>
      <w:r w:rsidRPr="000E6357">
        <w:rPr>
          <w:rFonts w:eastAsia="Times New Roman" w:cs="Times New Roman"/>
          <w:rtl/>
          <w:lang w:eastAsia="de-DE"/>
        </w:rPr>
        <w:t xml:space="preserve"> </w:t>
      </w:r>
      <w:r w:rsidRPr="000E6357">
        <w:rPr>
          <w:rFonts w:eastAsia="Times New Roman" w:cs="Times New Roman"/>
          <w:lang w:eastAsia="de-DE"/>
        </w:rPr>
        <w:t xml:space="preserve">vs. </w:t>
      </w:r>
      <w:r w:rsidRPr="000E6357">
        <w:rPr>
          <w:rFonts w:eastAsia="Times New Roman" w:cs="Times New Roman"/>
          <w:b/>
          <w:bCs/>
          <w:rtl/>
          <w:lang w:eastAsia="de-DE"/>
        </w:rPr>
        <w:t>תהדר פני</w:t>
      </w:r>
      <w:r w:rsidRPr="000E6357">
        <w:rPr>
          <w:rFonts w:eastAsia="Times New Roman" w:cs="Times New Roman"/>
          <w:rtl/>
          <w:lang w:eastAsia="de-DE"/>
        </w:rPr>
        <w:t xml:space="preserve"> </w:t>
      </w:r>
      <w:r w:rsidRPr="000E6357">
        <w:rPr>
          <w:rFonts w:eastAsia="Times New Roman" w:cs="Times New Roman"/>
          <w:lang w:eastAsia="de-DE"/>
        </w:rPr>
        <w:t xml:space="preserve">zeigt doppelte Parteilichkeit nach beiden Seiten. </w:t>
      </w:r>
      <w:r w:rsidRPr="000E6357">
        <w:rPr>
          <w:rFonts w:eastAsia="Times New Roman" w:cs="Times New Roman"/>
          <w:b/>
          <w:bCs/>
          <w:rtl/>
          <w:lang w:eastAsia="de-DE"/>
        </w:rPr>
        <w:t>בצדק</w:t>
      </w:r>
      <w:r w:rsidRPr="000E6357">
        <w:rPr>
          <w:rFonts w:eastAsia="Times New Roman" w:cs="Times New Roman"/>
          <w:rtl/>
          <w:lang w:eastAsia="de-DE"/>
        </w:rPr>
        <w:t xml:space="preserve"> </w:t>
      </w:r>
      <w:r w:rsidRPr="000E6357">
        <w:rPr>
          <w:rFonts w:eastAsia="Times New Roman" w:cs="Times New Roman"/>
          <w:lang w:eastAsia="de-DE"/>
        </w:rPr>
        <w:t>als einziger akzeptabler Maßstab.</w:t>
      </w:r>
    </w:p>
    <w:p w14:paraId="4068121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עול</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ἄδικον</w:t>
      </w:r>
      <w:proofErr w:type="spellEnd"/>
      <w:r w:rsidRPr="000E6357">
        <w:rPr>
          <w:rFonts w:eastAsia="Times New Roman" w:cs="Times New Roman"/>
          <w:lang w:eastAsia="de-DE"/>
        </w:rPr>
        <w:t xml:space="preserve"> (Unrecht), </w:t>
      </w:r>
      <w:r w:rsidRPr="000E6357">
        <w:rPr>
          <w:rFonts w:eastAsia="Times New Roman" w:cs="Times New Roman"/>
          <w:b/>
          <w:bCs/>
          <w:rtl/>
          <w:lang w:eastAsia="de-DE"/>
        </w:rPr>
        <w:t>תשא פני</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λήμψῃ</w:t>
      </w:r>
      <w:proofErr w:type="spellEnd"/>
      <w:r w:rsidRPr="000E6357">
        <w:rPr>
          <w:rFonts w:eastAsia="Times New Roman" w:cs="Times New Roman"/>
          <w:lang w:eastAsia="de-DE"/>
        </w:rPr>
        <w:t xml:space="preserve"> π</w:t>
      </w:r>
      <w:proofErr w:type="spellStart"/>
      <w:r w:rsidRPr="000E6357">
        <w:rPr>
          <w:rFonts w:eastAsia="Times New Roman" w:cs="Times New Roman"/>
          <w:lang w:eastAsia="de-DE"/>
        </w:rPr>
        <w:t>ρόσω</w:t>
      </w:r>
      <w:proofErr w:type="spellEnd"/>
      <w:r w:rsidRPr="000E6357">
        <w:rPr>
          <w:rFonts w:eastAsia="Times New Roman" w:cs="Times New Roman"/>
          <w:lang w:eastAsia="de-DE"/>
        </w:rPr>
        <w:t xml:space="preserve">πον (du wirst Person annehmen), </w:t>
      </w:r>
      <w:r w:rsidRPr="000E6357">
        <w:rPr>
          <w:rFonts w:eastAsia="Times New Roman" w:cs="Times New Roman"/>
          <w:b/>
          <w:bCs/>
          <w:rtl/>
          <w:lang w:eastAsia="de-DE"/>
        </w:rPr>
        <w:t>תהדר</w:t>
      </w:r>
      <w:r w:rsidRPr="000E6357">
        <w:rPr>
          <w:rFonts w:eastAsia="Times New Roman" w:cs="Times New Roman"/>
          <w:rtl/>
          <w:lang w:eastAsia="de-DE"/>
        </w:rPr>
        <w:t xml:space="preserve"> </w:t>
      </w:r>
      <w:r w:rsidRPr="000E6357">
        <w:rPr>
          <w:rFonts w:eastAsia="Times New Roman" w:cs="Times New Roman"/>
          <w:lang w:eastAsia="de-DE"/>
        </w:rPr>
        <w:t>mit θα</w:t>
      </w:r>
      <w:proofErr w:type="spellStart"/>
      <w:r w:rsidRPr="000E6357">
        <w:rPr>
          <w:rFonts w:eastAsia="Times New Roman" w:cs="Times New Roman"/>
          <w:lang w:eastAsia="de-DE"/>
        </w:rPr>
        <w:t>υμάσῃς</w:t>
      </w:r>
      <w:proofErr w:type="spellEnd"/>
      <w:r w:rsidRPr="000E6357">
        <w:rPr>
          <w:rFonts w:eastAsia="Times New Roman" w:cs="Times New Roman"/>
          <w:lang w:eastAsia="de-DE"/>
        </w:rPr>
        <w:t xml:space="preserve"> (du wirst bewundern) und </w:t>
      </w:r>
      <w:r w:rsidRPr="000E6357">
        <w:rPr>
          <w:rFonts w:eastAsia="Times New Roman" w:cs="Times New Roman"/>
          <w:b/>
          <w:bCs/>
          <w:rtl/>
          <w:lang w:eastAsia="de-DE"/>
        </w:rPr>
        <w:t>בצדק</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ἐν</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δικ</w:t>
      </w:r>
      <w:proofErr w:type="spellEnd"/>
      <w:r w:rsidRPr="000E6357">
        <w:rPr>
          <w:rFonts w:eastAsia="Times New Roman" w:cs="Times New Roman"/>
          <w:lang w:eastAsia="de-DE"/>
        </w:rPr>
        <w:t>αιοσύνῃ (in Gerechtigkeit).</w:t>
      </w:r>
    </w:p>
    <w:p w14:paraId="738BA0C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Rechtsprechungsethik: allgemeines Unrechtsverbot + Verbot doppelter Parteilichkeit + positive Gerechtigkeitsforderung.</w:t>
      </w:r>
    </w:p>
    <w:p w14:paraId="4EA4B02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fordert absolute Unparteilichkeit in der Rechtsprechung gegen beide Formen sozialer Bevorzugung.</w:t>
      </w:r>
    </w:p>
    <w:p w14:paraId="1F061CA3"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19,16</w:t>
      </w:r>
    </w:p>
    <w:p w14:paraId="48855E9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לֹא־תֵלֵ֤ךְ רָכִיל֙ בְּעַמֶּ֔יךָ לֹ֥א תַעֲמֹ֖ד עַל־דַּ֣ם רֵעֶ֑ךָ אֲנִ֖י יְהוָֽה׃</w:t>
      </w:r>
    </w:p>
    <w:p w14:paraId="3F8AF51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nicht als Verleumder umhergehen unter deinen Volksgenossen. Du sollst nicht gegen das Blut deines Nächsten auftreten. Ich bin der Ewige.</w:t>
      </w:r>
    </w:p>
    <w:p w14:paraId="50E84CB7"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6C13996F">
          <v:rect id="_x0000_i1576" style="width:0;height:1.5pt" o:hralign="center" o:hrstd="t" o:hr="t" fillcolor="#a0a0a0" stroked="f"/>
        </w:pict>
      </w:r>
    </w:p>
    <w:p w14:paraId="7AD3E38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לא־תלך רכיל בעמיך לא תעמד על־דם רעך אני יהוה</w:t>
      </w:r>
      <w:r w:rsidRPr="000E6357">
        <w:rPr>
          <w:rFonts w:eastAsia="Times New Roman" w:cs="Times New Roman"/>
          <w:rtl/>
          <w:lang w:eastAsia="de-DE"/>
        </w:rPr>
        <w:t xml:space="preserve"> </w:t>
      </w:r>
      <w:r w:rsidRPr="000E6357">
        <w:rPr>
          <w:rFonts w:eastAsia="Times New Roman" w:cs="Times New Roman"/>
          <w:lang w:eastAsia="de-DE"/>
        </w:rPr>
        <w:t xml:space="preserve">verbietet Verleumdung und unterlassene Hilfeleistung. </w:t>
      </w:r>
      <w:r w:rsidRPr="000E6357">
        <w:rPr>
          <w:rFonts w:eastAsia="Times New Roman" w:cs="Times New Roman"/>
          <w:b/>
          <w:bCs/>
          <w:rtl/>
          <w:lang w:eastAsia="de-DE"/>
        </w:rPr>
        <w:t>לא־תלך רכיל בעמיך</w:t>
      </w:r>
      <w:r w:rsidRPr="000E6357">
        <w:rPr>
          <w:rFonts w:eastAsia="Times New Roman" w:cs="Times New Roman"/>
          <w:rtl/>
          <w:lang w:eastAsia="de-DE"/>
        </w:rPr>
        <w:t xml:space="preserve"> </w:t>
      </w:r>
      <w:r w:rsidRPr="000E6357">
        <w:rPr>
          <w:rFonts w:eastAsia="Times New Roman" w:cs="Times New Roman"/>
          <w:lang w:eastAsia="de-DE"/>
        </w:rPr>
        <w:t xml:space="preserve">(du sollst nicht als Verleumder umhergehen unter deinen Volksgenossen) - </w:t>
      </w:r>
      <w:r w:rsidRPr="000E6357">
        <w:rPr>
          <w:rFonts w:eastAsia="Times New Roman" w:cs="Times New Roman"/>
          <w:b/>
          <w:bCs/>
          <w:rtl/>
          <w:lang w:eastAsia="de-DE"/>
        </w:rPr>
        <w:t>לא־תלך רכיל</w:t>
      </w:r>
      <w:r w:rsidRPr="000E6357">
        <w:rPr>
          <w:rFonts w:eastAsia="Times New Roman" w:cs="Times New Roman"/>
          <w:rtl/>
          <w:lang w:eastAsia="de-DE"/>
        </w:rPr>
        <w:t xml:space="preserve"> </w:t>
      </w:r>
      <w:r w:rsidRPr="000E6357">
        <w:rPr>
          <w:rFonts w:eastAsia="Times New Roman" w:cs="Times New Roman"/>
          <w:lang w:eastAsia="de-DE"/>
        </w:rPr>
        <w:t xml:space="preserve">(du sollst nicht als Verleumder umhergehen) im Qal-Imperfekt. </w:t>
      </w:r>
      <w:r w:rsidRPr="000E6357">
        <w:rPr>
          <w:rFonts w:eastAsia="Times New Roman" w:cs="Times New Roman"/>
          <w:b/>
          <w:bCs/>
          <w:rtl/>
          <w:lang w:eastAsia="de-DE"/>
        </w:rPr>
        <w:t>רכיל</w:t>
      </w:r>
      <w:r w:rsidRPr="000E6357">
        <w:rPr>
          <w:rFonts w:eastAsia="Times New Roman" w:cs="Times New Roman"/>
          <w:rtl/>
          <w:lang w:eastAsia="de-DE"/>
        </w:rPr>
        <w:t xml:space="preserve"> </w:t>
      </w:r>
      <w:r w:rsidRPr="000E6357">
        <w:rPr>
          <w:rFonts w:eastAsia="Times New Roman" w:cs="Times New Roman"/>
          <w:lang w:eastAsia="de-DE"/>
        </w:rPr>
        <w:t xml:space="preserve">(Verleumder/Klatschträger) zeigt umhergehende Verleumdung. </w:t>
      </w:r>
      <w:r w:rsidRPr="000E6357">
        <w:rPr>
          <w:rFonts w:eastAsia="Times New Roman" w:cs="Times New Roman"/>
          <w:b/>
          <w:bCs/>
          <w:rtl/>
          <w:lang w:eastAsia="de-DE"/>
        </w:rPr>
        <w:t>בעמיך</w:t>
      </w:r>
      <w:r w:rsidRPr="000E6357">
        <w:rPr>
          <w:rFonts w:eastAsia="Times New Roman" w:cs="Times New Roman"/>
          <w:rtl/>
          <w:lang w:eastAsia="de-DE"/>
        </w:rPr>
        <w:t xml:space="preserve"> </w:t>
      </w:r>
      <w:r w:rsidRPr="000E6357">
        <w:rPr>
          <w:rFonts w:eastAsia="Times New Roman" w:cs="Times New Roman"/>
          <w:lang w:eastAsia="de-DE"/>
        </w:rPr>
        <w:t>(unter deinen Volksgenossen) zeigt den Schaden für die Gemeinschaft.</w:t>
      </w:r>
    </w:p>
    <w:p w14:paraId="2DCC336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לא תעמד על־דם רעך</w:t>
      </w:r>
      <w:r w:rsidRPr="000E6357">
        <w:rPr>
          <w:rFonts w:eastAsia="Times New Roman" w:cs="Times New Roman"/>
          <w:rtl/>
          <w:lang w:eastAsia="de-DE"/>
        </w:rPr>
        <w:t xml:space="preserve"> </w:t>
      </w:r>
      <w:r w:rsidRPr="000E6357">
        <w:rPr>
          <w:rFonts w:eastAsia="Times New Roman" w:cs="Times New Roman"/>
          <w:lang w:eastAsia="de-DE"/>
        </w:rPr>
        <w:t xml:space="preserve">(du sollst nicht gegen das Blut deines Nächsten auftreten) - </w:t>
      </w:r>
      <w:r w:rsidRPr="000E6357">
        <w:rPr>
          <w:rFonts w:eastAsia="Times New Roman" w:cs="Times New Roman"/>
          <w:b/>
          <w:bCs/>
          <w:rtl/>
          <w:lang w:eastAsia="de-DE"/>
        </w:rPr>
        <w:t>לא תעמד על</w:t>
      </w:r>
      <w:r w:rsidRPr="000E6357">
        <w:rPr>
          <w:rFonts w:eastAsia="Times New Roman" w:cs="Times New Roman"/>
          <w:rtl/>
          <w:lang w:eastAsia="de-DE"/>
        </w:rPr>
        <w:t xml:space="preserve"> </w:t>
      </w:r>
      <w:r w:rsidRPr="000E6357">
        <w:rPr>
          <w:rFonts w:eastAsia="Times New Roman" w:cs="Times New Roman"/>
          <w:lang w:eastAsia="de-DE"/>
        </w:rPr>
        <w:t xml:space="preserve">(du sollst nicht auftreten gegen) im Qal-Imperfekt kann "nichts tun gegen" oder "sich verschwören gegen" bedeuten. </w:t>
      </w:r>
      <w:r w:rsidRPr="000E6357">
        <w:rPr>
          <w:rFonts w:eastAsia="Times New Roman" w:cs="Times New Roman"/>
          <w:b/>
          <w:bCs/>
          <w:rtl/>
          <w:lang w:eastAsia="de-DE"/>
        </w:rPr>
        <w:t>דם רעך</w:t>
      </w:r>
      <w:r w:rsidRPr="000E6357">
        <w:rPr>
          <w:rFonts w:eastAsia="Times New Roman" w:cs="Times New Roman"/>
          <w:rtl/>
          <w:lang w:eastAsia="de-DE"/>
        </w:rPr>
        <w:t xml:space="preserve"> </w:t>
      </w:r>
      <w:r w:rsidRPr="000E6357">
        <w:rPr>
          <w:rFonts w:eastAsia="Times New Roman" w:cs="Times New Roman"/>
          <w:lang w:eastAsia="de-DE"/>
        </w:rPr>
        <w:t>(Blut deines Nächsten) zeigt lebensbedrohliche Situation.</w:t>
      </w:r>
    </w:p>
    <w:p w14:paraId="0DDC67A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lastRenderedPageBreak/>
        <w:t>אני יהוה</w:t>
      </w:r>
      <w:r w:rsidRPr="000E6357">
        <w:rPr>
          <w:rFonts w:eastAsia="Times New Roman" w:cs="Times New Roman"/>
          <w:rtl/>
          <w:lang w:eastAsia="de-DE"/>
        </w:rPr>
        <w:t xml:space="preserve"> </w:t>
      </w:r>
      <w:r w:rsidRPr="000E6357">
        <w:rPr>
          <w:rFonts w:eastAsia="Times New Roman" w:cs="Times New Roman"/>
          <w:lang w:eastAsia="de-DE"/>
        </w:rPr>
        <w:t>(ich bin der Ewige) als Autoritätsformel.</w:t>
      </w:r>
    </w:p>
    <w:p w14:paraId="5B817A3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רכיל</w:t>
      </w:r>
      <w:r w:rsidRPr="000E6357">
        <w:rPr>
          <w:rFonts w:eastAsia="Times New Roman" w:cs="Times New Roman"/>
          <w:rtl/>
          <w:lang w:eastAsia="de-DE"/>
        </w:rPr>
        <w:t xml:space="preserve"> </w:t>
      </w:r>
      <w:r w:rsidRPr="000E6357">
        <w:rPr>
          <w:rFonts w:eastAsia="Times New Roman" w:cs="Times New Roman"/>
          <w:lang w:eastAsia="de-DE"/>
        </w:rPr>
        <w:t xml:space="preserve">als umhergehender Klatschträger, der Gemeinschaften zerstört. </w:t>
      </w:r>
      <w:r w:rsidRPr="000E6357">
        <w:rPr>
          <w:rFonts w:eastAsia="Times New Roman" w:cs="Times New Roman"/>
          <w:b/>
          <w:bCs/>
          <w:rtl/>
          <w:lang w:eastAsia="de-DE"/>
        </w:rPr>
        <w:t>לא תעמד על־דם</w:t>
      </w:r>
      <w:r w:rsidRPr="000E6357">
        <w:rPr>
          <w:rFonts w:eastAsia="Times New Roman" w:cs="Times New Roman"/>
          <w:rtl/>
          <w:lang w:eastAsia="de-DE"/>
        </w:rPr>
        <w:t xml:space="preserve"> </w:t>
      </w:r>
      <w:r w:rsidRPr="000E6357">
        <w:rPr>
          <w:rFonts w:eastAsia="Times New Roman" w:cs="Times New Roman"/>
          <w:lang w:eastAsia="de-DE"/>
        </w:rPr>
        <w:t>zeigt Pflicht zur Lebensrettung oder Verbot der Lebensbedrohung. Die Verbindung zeigt Wort und Tat als gemeinschaftsschädigend.</w:t>
      </w:r>
    </w:p>
    <w:p w14:paraId="11395B55" w14:textId="69187D2B"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רכיל</w:t>
      </w:r>
      <w:r w:rsidR="004F25E8">
        <w:t xml:space="preserve"> (</w:t>
      </w:r>
      <w:proofErr w:type="spellStart"/>
      <w:r w:rsidR="004F25E8">
        <w:t>rachil</w:t>
      </w:r>
      <w:proofErr w:type="spellEnd"/>
      <w:r w:rsidR="004F25E8">
        <w:t xml:space="preserve"> - "Verleumder/Ohrenbläser") als </w:t>
      </w:r>
      <w:proofErr w:type="spellStart"/>
      <w:r w:rsidR="004F25E8">
        <w:t>δόλῳ</w:t>
      </w:r>
      <w:proofErr w:type="spellEnd"/>
      <w:r w:rsidR="004F25E8">
        <w:t xml:space="preserve"> (mit Trug) und </w:t>
      </w:r>
      <w:r w:rsidR="004F25E8">
        <w:rPr>
          <w:rtl/>
        </w:rPr>
        <w:t>לא תעמד על־דם רעך</w:t>
      </w:r>
      <w:r w:rsidR="004F25E8">
        <w:t xml:space="preserve"> (lo </w:t>
      </w:r>
      <w:proofErr w:type="spellStart"/>
      <w:r w:rsidR="004F25E8">
        <w:t>ta'amod</w:t>
      </w:r>
      <w:proofErr w:type="spellEnd"/>
      <w:r w:rsidR="004F25E8">
        <w:t xml:space="preserve"> al-</w:t>
      </w:r>
      <w:proofErr w:type="spellStart"/>
      <w:r w:rsidR="004F25E8">
        <w:t>dam</w:t>
      </w:r>
      <w:proofErr w:type="spellEnd"/>
      <w:r w:rsidR="004F25E8">
        <w:t xml:space="preserve"> </w:t>
      </w:r>
      <w:proofErr w:type="spellStart"/>
      <w:r w:rsidR="004F25E8">
        <w:t>re'echa</w:t>
      </w:r>
      <w:proofErr w:type="spellEnd"/>
      <w:r w:rsidR="004F25E8">
        <w:t xml:space="preserve"> - "steh nicht auf das Blut deines Nächsten") als </w:t>
      </w:r>
      <w:proofErr w:type="spellStart"/>
      <w:r w:rsidR="004F25E8">
        <w:t>οὐκ</w:t>
      </w:r>
      <w:proofErr w:type="spellEnd"/>
      <w:r w:rsidR="004F25E8">
        <w:t xml:space="preserve"> ἐπ</w:t>
      </w:r>
      <w:proofErr w:type="spellStart"/>
      <w:r w:rsidR="004F25E8">
        <w:t>ισυστήσῃ</w:t>
      </w:r>
      <w:proofErr w:type="spellEnd"/>
      <w:r w:rsidR="004F25E8">
        <w:t xml:space="preserve"> </w:t>
      </w:r>
      <w:proofErr w:type="spellStart"/>
      <w:r w:rsidR="004F25E8">
        <w:t>ἐφʼ</w:t>
      </w:r>
      <w:proofErr w:type="spellEnd"/>
      <w:r w:rsidR="004F25E8">
        <w:t xml:space="preserve"> α</w:t>
      </w:r>
      <w:proofErr w:type="spellStart"/>
      <w:r w:rsidR="004F25E8">
        <w:t>ἷμ</w:t>
      </w:r>
      <w:proofErr w:type="spellEnd"/>
      <w:r w:rsidR="004F25E8">
        <w:t>α (du sollst dich nicht gegen das Blut verschwören).</w:t>
      </w:r>
    </w:p>
    <w:p w14:paraId="607181D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Gemeinschaftsschutz: Verleumdungsverbot + Lebensschutzgebot + göttliche Autorität.</w:t>
      </w:r>
    </w:p>
    <w:p w14:paraId="7D8E737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verbietet sowohl die Zerstörung durch Verleumdung als auch unterlassene Hilfeleistung bei Lebensgefahr.</w:t>
      </w:r>
    </w:p>
    <w:p w14:paraId="72D8717C"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19,17</w:t>
      </w:r>
    </w:p>
    <w:p w14:paraId="74868F2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לֹֽא־תִשְׂנָ֥א אֶת־אָחִ֖יךָ בִּלְבָבֶ֑ךָ הוֹכֵ֤חַ תּוֹכִ֨יחַ֙ אֶת־עֲמִיתֶ֔ךָ וְלֹא־תִשָּׂ֥א עָלָ֖יו חֵֽטְא׃</w:t>
      </w:r>
    </w:p>
    <w:p w14:paraId="692E43E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deinen Bruder nicht in deinem Herzen hassen. Du sollst deinen nächsten gewiss zurechtweisen, damit du nicht seinetwegen Schuld trägst.</w:t>
      </w:r>
    </w:p>
    <w:p w14:paraId="2EEFB715"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1871E91">
          <v:rect id="_x0000_i1577" style="width:0;height:1.5pt" o:hralign="center" o:hrstd="t" o:hr="t" fillcolor="#a0a0a0" stroked="f"/>
        </w:pict>
      </w:r>
    </w:p>
    <w:p w14:paraId="3D4F630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לא־תשנא את־אחיך בלבבך הוכח תוכיח את־עמיתך ולא־תשא עליו חטא</w:t>
      </w:r>
      <w:r w:rsidRPr="000E6357">
        <w:rPr>
          <w:rFonts w:eastAsia="Times New Roman" w:cs="Times New Roman"/>
          <w:rtl/>
          <w:lang w:eastAsia="de-DE"/>
        </w:rPr>
        <w:t xml:space="preserve"> </w:t>
      </w:r>
      <w:r w:rsidRPr="000E6357">
        <w:rPr>
          <w:rFonts w:eastAsia="Times New Roman" w:cs="Times New Roman"/>
          <w:lang w:eastAsia="de-DE"/>
        </w:rPr>
        <w:t xml:space="preserve">regelt den Umgang mit Konflikten. </w:t>
      </w:r>
      <w:r w:rsidRPr="000E6357">
        <w:rPr>
          <w:rFonts w:eastAsia="Times New Roman" w:cs="Times New Roman"/>
          <w:b/>
          <w:bCs/>
          <w:rtl/>
          <w:lang w:eastAsia="de-DE"/>
        </w:rPr>
        <w:t>לא־תשנא את־אחיך בלבבך</w:t>
      </w:r>
      <w:r w:rsidRPr="000E6357">
        <w:rPr>
          <w:rFonts w:eastAsia="Times New Roman" w:cs="Times New Roman"/>
          <w:rtl/>
          <w:lang w:eastAsia="de-DE"/>
        </w:rPr>
        <w:t xml:space="preserve"> </w:t>
      </w:r>
      <w:r w:rsidRPr="000E6357">
        <w:rPr>
          <w:rFonts w:eastAsia="Times New Roman" w:cs="Times New Roman"/>
          <w:lang w:eastAsia="de-DE"/>
        </w:rPr>
        <w:t xml:space="preserve">(du sollst deinen Bruder nicht in deinem Herzen hassen) - </w:t>
      </w:r>
      <w:r w:rsidRPr="000E6357">
        <w:rPr>
          <w:rFonts w:eastAsia="Times New Roman" w:cs="Times New Roman"/>
          <w:b/>
          <w:bCs/>
          <w:rtl/>
          <w:lang w:eastAsia="de-DE"/>
        </w:rPr>
        <w:t>לא־תשנא</w:t>
      </w:r>
      <w:r w:rsidRPr="000E6357">
        <w:rPr>
          <w:rFonts w:eastAsia="Times New Roman" w:cs="Times New Roman"/>
          <w:rtl/>
          <w:lang w:eastAsia="de-DE"/>
        </w:rPr>
        <w:t xml:space="preserve"> </w:t>
      </w:r>
      <w:r w:rsidRPr="000E6357">
        <w:rPr>
          <w:rFonts w:eastAsia="Times New Roman" w:cs="Times New Roman"/>
          <w:lang w:eastAsia="de-DE"/>
        </w:rPr>
        <w:t xml:space="preserve">(du sollst nicht hassen) im Qal-Imperfekt von </w:t>
      </w:r>
      <w:r w:rsidRPr="000E6357">
        <w:rPr>
          <w:rFonts w:eastAsia="Times New Roman" w:cs="Times New Roman"/>
          <w:b/>
          <w:bCs/>
          <w:rtl/>
          <w:lang w:eastAsia="de-DE"/>
        </w:rPr>
        <w:t>שנא</w:t>
      </w:r>
      <w:r w:rsidRPr="000E6357">
        <w:rPr>
          <w:rFonts w:eastAsia="Times New Roman" w:cs="Times New Roman"/>
          <w:lang w:eastAsia="de-DE"/>
        </w:rPr>
        <w:t xml:space="preserve">. </w:t>
      </w:r>
      <w:r w:rsidRPr="000E6357">
        <w:rPr>
          <w:rFonts w:eastAsia="Times New Roman" w:cs="Times New Roman"/>
          <w:b/>
          <w:bCs/>
          <w:rtl/>
          <w:lang w:eastAsia="de-DE"/>
        </w:rPr>
        <w:t>את־אחיך</w:t>
      </w:r>
      <w:r w:rsidRPr="000E6357">
        <w:rPr>
          <w:rFonts w:eastAsia="Times New Roman" w:cs="Times New Roman"/>
          <w:rtl/>
          <w:lang w:eastAsia="de-DE"/>
        </w:rPr>
        <w:t xml:space="preserve"> </w:t>
      </w:r>
      <w:r w:rsidRPr="000E6357">
        <w:rPr>
          <w:rFonts w:eastAsia="Times New Roman" w:cs="Times New Roman"/>
          <w:lang w:eastAsia="de-DE"/>
        </w:rPr>
        <w:t xml:space="preserve">(deinen Bruder) zeigt die Gemeinschaftsbeziehung. </w:t>
      </w:r>
      <w:r w:rsidRPr="000E6357">
        <w:rPr>
          <w:rFonts w:eastAsia="Times New Roman" w:cs="Times New Roman"/>
          <w:b/>
          <w:bCs/>
          <w:rtl/>
          <w:lang w:eastAsia="de-DE"/>
        </w:rPr>
        <w:t>בלבבך</w:t>
      </w:r>
      <w:r w:rsidRPr="000E6357">
        <w:rPr>
          <w:rFonts w:eastAsia="Times New Roman" w:cs="Times New Roman"/>
          <w:rtl/>
          <w:lang w:eastAsia="de-DE"/>
        </w:rPr>
        <w:t xml:space="preserve"> </w:t>
      </w:r>
      <w:r w:rsidRPr="000E6357">
        <w:rPr>
          <w:rFonts w:eastAsia="Times New Roman" w:cs="Times New Roman"/>
          <w:lang w:eastAsia="de-DE"/>
        </w:rPr>
        <w:t>(in deinem Herzen) zeigt inneren, verborgenen Hass.</w:t>
      </w:r>
    </w:p>
    <w:p w14:paraId="299667B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הוכח תוכיח את־עמיתך</w:t>
      </w:r>
      <w:r w:rsidRPr="000E6357">
        <w:rPr>
          <w:rFonts w:eastAsia="Times New Roman" w:cs="Times New Roman"/>
          <w:rtl/>
          <w:lang w:eastAsia="de-DE"/>
        </w:rPr>
        <w:t xml:space="preserve"> </w:t>
      </w:r>
      <w:r w:rsidRPr="000E6357">
        <w:rPr>
          <w:rFonts w:eastAsia="Times New Roman" w:cs="Times New Roman"/>
          <w:lang w:eastAsia="de-DE"/>
        </w:rPr>
        <w:t xml:space="preserve">(du sollst deinen Nächsten gewiss zurechtweisen) - </w:t>
      </w:r>
      <w:r w:rsidRPr="000E6357">
        <w:rPr>
          <w:rFonts w:eastAsia="Times New Roman" w:cs="Times New Roman"/>
          <w:b/>
          <w:bCs/>
          <w:rtl/>
          <w:lang w:eastAsia="de-DE"/>
        </w:rPr>
        <w:t>הוכח תוכיח</w:t>
      </w:r>
      <w:r w:rsidRPr="000E6357">
        <w:rPr>
          <w:rFonts w:eastAsia="Times New Roman" w:cs="Times New Roman"/>
          <w:rtl/>
          <w:lang w:eastAsia="de-DE"/>
        </w:rPr>
        <w:t xml:space="preserve"> </w:t>
      </w:r>
      <w:r w:rsidRPr="000E6357">
        <w:rPr>
          <w:rFonts w:eastAsia="Times New Roman" w:cs="Times New Roman"/>
          <w:lang w:eastAsia="de-DE"/>
        </w:rPr>
        <w:t xml:space="preserve">als infinitivus absolutus + finite Verbform im Hifil zeigt emphatische Gewissheit, das Hifil zeigt kausatives Überzeugen/Zurechtweisen. </w:t>
      </w:r>
      <w:r w:rsidRPr="000E6357">
        <w:rPr>
          <w:rFonts w:eastAsia="Times New Roman" w:cs="Times New Roman"/>
          <w:b/>
          <w:bCs/>
          <w:rtl/>
          <w:lang w:eastAsia="de-DE"/>
        </w:rPr>
        <w:t>את־עמיתך</w:t>
      </w:r>
      <w:r w:rsidRPr="000E6357">
        <w:rPr>
          <w:rFonts w:eastAsia="Times New Roman" w:cs="Times New Roman"/>
          <w:rtl/>
          <w:lang w:eastAsia="de-DE"/>
        </w:rPr>
        <w:t xml:space="preserve"> </w:t>
      </w:r>
      <w:r w:rsidRPr="000E6357">
        <w:rPr>
          <w:rFonts w:eastAsia="Times New Roman" w:cs="Times New Roman"/>
          <w:lang w:eastAsia="de-DE"/>
        </w:rPr>
        <w:t xml:space="preserve">(deinen Nächsten) variiert </w:t>
      </w:r>
      <w:r w:rsidRPr="000E6357">
        <w:rPr>
          <w:rFonts w:eastAsia="Times New Roman" w:cs="Times New Roman"/>
          <w:b/>
          <w:bCs/>
          <w:rtl/>
          <w:lang w:eastAsia="de-DE"/>
        </w:rPr>
        <w:t>אחיך</w:t>
      </w:r>
      <w:r w:rsidRPr="000E6357">
        <w:rPr>
          <w:rFonts w:eastAsia="Times New Roman" w:cs="Times New Roman"/>
          <w:lang w:eastAsia="de-DE"/>
        </w:rPr>
        <w:t>.</w:t>
      </w:r>
    </w:p>
    <w:p w14:paraId="0A16D55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ולא־תשא עליו חטא</w:t>
      </w:r>
      <w:r w:rsidRPr="000E6357">
        <w:rPr>
          <w:rFonts w:eastAsia="Times New Roman" w:cs="Times New Roman"/>
          <w:rtl/>
          <w:lang w:eastAsia="de-DE"/>
        </w:rPr>
        <w:t xml:space="preserve"> </w:t>
      </w:r>
      <w:r w:rsidRPr="000E6357">
        <w:rPr>
          <w:rFonts w:eastAsia="Times New Roman" w:cs="Times New Roman"/>
          <w:lang w:eastAsia="de-DE"/>
        </w:rPr>
        <w:t xml:space="preserve">(damit du nicht seinetwegen Schuld trägst) - </w:t>
      </w:r>
      <w:r w:rsidRPr="000E6357">
        <w:rPr>
          <w:rFonts w:eastAsia="Times New Roman" w:cs="Times New Roman"/>
          <w:b/>
          <w:bCs/>
          <w:rtl/>
          <w:lang w:eastAsia="de-DE"/>
        </w:rPr>
        <w:t>ולא־תשא</w:t>
      </w:r>
      <w:r w:rsidRPr="000E6357">
        <w:rPr>
          <w:rFonts w:eastAsia="Times New Roman" w:cs="Times New Roman"/>
          <w:rtl/>
          <w:lang w:eastAsia="de-DE"/>
        </w:rPr>
        <w:t xml:space="preserve"> </w:t>
      </w:r>
      <w:r w:rsidRPr="000E6357">
        <w:rPr>
          <w:rFonts w:eastAsia="Times New Roman" w:cs="Times New Roman"/>
          <w:lang w:eastAsia="de-DE"/>
        </w:rPr>
        <w:t xml:space="preserve">(und du sollst nicht tragen) im Qal-Imperfekt mit Negation. </w:t>
      </w:r>
      <w:r w:rsidRPr="000E6357">
        <w:rPr>
          <w:rFonts w:eastAsia="Times New Roman" w:cs="Times New Roman"/>
          <w:b/>
          <w:bCs/>
          <w:rtl/>
          <w:lang w:eastAsia="de-DE"/>
        </w:rPr>
        <w:t>עליו חטא</w:t>
      </w:r>
      <w:r w:rsidRPr="000E6357">
        <w:rPr>
          <w:rFonts w:eastAsia="Times New Roman" w:cs="Times New Roman"/>
          <w:rtl/>
          <w:lang w:eastAsia="de-DE"/>
        </w:rPr>
        <w:t xml:space="preserve"> </w:t>
      </w:r>
      <w:r w:rsidRPr="000E6357">
        <w:rPr>
          <w:rFonts w:eastAsia="Times New Roman" w:cs="Times New Roman"/>
          <w:lang w:eastAsia="de-DE"/>
        </w:rPr>
        <w:t>(seinetwegen Schuld) zeigt, dass unterlassene Zurechtweisung zur eigenen Schuld wird.</w:t>
      </w:r>
    </w:p>
    <w:p w14:paraId="2902507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בלבבך</w:t>
      </w:r>
      <w:r w:rsidRPr="000E6357">
        <w:rPr>
          <w:rFonts w:eastAsia="Times New Roman" w:cs="Times New Roman"/>
          <w:rtl/>
          <w:lang w:eastAsia="de-DE"/>
        </w:rPr>
        <w:t xml:space="preserve"> </w:t>
      </w:r>
      <w:r w:rsidRPr="000E6357">
        <w:rPr>
          <w:rFonts w:eastAsia="Times New Roman" w:cs="Times New Roman"/>
          <w:lang w:eastAsia="de-DE"/>
        </w:rPr>
        <w:t xml:space="preserve">zeigt inneren Hass als besonders gefährlich. </w:t>
      </w:r>
      <w:r w:rsidRPr="000E6357">
        <w:rPr>
          <w:rFonts w:eastAsia="Times New Roman" w:cs="Times New Roman"/>
          <w:b/>
          <w:bCs/>
          <w:rtl/>
          <w:lang w:eastAsia="de-DE"/>
        </w:rPr>
        <w:t>הוכח תוכיח</w:t>
      </w:r>
      <w:r w:rsidRPr="000E6357">
        <w:rPr>
          <w:rFonts w:eastAsia="Times New Roman" w:cs="Times New Roman"/>
          <w:rtl/>
          <w:lang w:eastAsia="de-DE"/>
        </w:rPr>
        <w:t xml:space="preserve"> </w:t>
      </w:r>
      <w:r w:rsidRPr="000E6357">
        <w:rPr>
          <w:rFonts w:eastAsia="Times New Roman" w:cs="Times New Roman"/>
          <w:lang w:eastAsia="de-DE"/>
        </w:rPr>
        <w:t xml:space="preserve">als positive Alternative zu verborgenem Hass. </w:t>
      </w:r>
      <w:r w:rsidRPr="000E6357">
        <w:rPr>
          <w:rFonts w:eastAsia="Times New Roman" w:cs="Times New Roman"/>
          <w:b/>
          <w:bCs/>
          <w:rtl/>
          <w:lang w:eastAsia="de-DE"/>
        </w:rPr>
        <w:t>לא־תשא עליו חטא</w:t>
      </w:r>
      <w:r w:rsidRPr="000E6357">
        <w:rPr>
          <w:rFonts w:eastAsia="Times New Roman" w:cs="Times New Roman"/>
          <w:rtl/>
          <w:lang w:eastAsia="de-DE"/>
        </w:rPr>
        <w:t xml:space="preserve"> </w:t>
      </w:r>
      <w:r w:rsidRPr="000E6357">
        <w:rPr>
          <w:rFonts w:eastAsia="Times New Roman" w:cs="Times New Roman"/>
          <w:lang w:eastAsia="de-DE"/>
        </w:rPr>
        <w:t>zeigt, dass Schweigen zur Mittäterschaft wird.</w:t>
      </w:r>
    </w:p>
    <w:p w14:paraId="58D6402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תשנא</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μισήσῃς</w:t>
      </w:r>
      <w:proofErr w:type="spellEnd"/>
      <w:r w:rsidRPr="000E6357">
        <w:rPr>
          <w:rFonts w:eastAsia="Times New Roman" w:cs="Times New Roman"/>
          <w:lang w:eastAsia="de-DE"/>
        </w:rPr>
        <w:t xml:space="preserve"> (du wirst hassen), </w:t>
      </w:r>
      <w:r w:rsidRPr="000E6357">
        <w:rPr>
          <w:rFonts w:eastAsia="Times New Roman" w:cs="Times New Roman"/>
          <w:b/>
          <w:bCs/>
          <w:rtl/>
          <w:lang w:eastAsia="de-DE"/>
        </w:rPr>
        <w:t>בלבבך</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ἐν</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τῇ</w:t>
      </w:r>
      <w:proofErr w:type="spellEnd"/>
      <w:r w:rsidRPr="000E6357">
        <w:rPr>
          <w:rFonts w:eastAsia="Times New Roman" w:cs="Times New Roman"/>
          <w:lang w:eastAsia="de-DE"/>
        </w:rPr>
        <w:t xml:space="preserve"> κα</w:t>
      </w:r>
      <w:proofErr w:type="spellStart"/>
      <w:r w:rsidRPr="000E6357">
        <w:rPr>
          <w:rFonts w:eastAsia="Times New Roman" w:cs="Times New Roman"/>
          <w:lang w:eastAsia="de-DE"/>
        </w:rPr>
        <w:t>ρδίᾳ</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σου</w:t>
      </w:r>
      <w:proofErr w:type="spellEnd"/>
      <w:r w:rsidRPr="000E6357">
        <w:rPr>
          <w:rFonts w:eastAsia="Times New Roman" w:cs="Times New Roman"/>
          <w:lang w:eastAsia="de-DE"/>
        </w:rPr>
        <w:t xml:space="preserve"> (in deinem Herzen), </w:t>
      </w:r>
      <w:r w:rsidRPr="000E6357">
        <w:rPr>
          <w:rFonts w:eastAsia="Times New Roman" w:cs="Times New Roman"/>
          <w:b/>
          <w:bCs/>
          <w:rtl/>
          <w:lang w:eastAsia="de-DE"/>
        </w:rPr>
        <w:t>הוכח תוכיח</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ἐλεγμῷ</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ἐλέγξεις</w:t>
      </w:r>
      <w:proofErr w:type="spellEnd"/>
      <w:r w:rsidRPr="000E6357">
        <w:rPr>
          <w:rFonts w:eastAsia="Times New Roman" w:cs="Times New Roman"/>
          <w:lang w:eastAsia="de-DE"/>
        </w:rPr>
        <w:t xml:space="preserve"> (mit Tadel wirst du tadeln) und </w:t>
      </w:r>
      <w:r w:rsidRPr="000E6357">
        <w:rPr>
          <w:rFonts w:eastAsia="Times New Roman" w:cs="Times New Roman"/>
          <w:b/>
          <w:bCs/>
          <w:rtl/>
          <w:lang w:eastAsia="de-DE"/>
        </w:rPr>
        <w:t>תשא חטא</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λήμψῃ</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ἁμ</w:t>
      </w:r>
      <w:proofErr w:type="spellEnd"/>
      <w:r w:rsidRPr="000E6357">
        <w:rPr>
          <w:rFonts w:eastAsia="Times New Roman" w:cs="Times New Roman"/>
          <w:lang w:eastAsia="de-DE"/>
        </w:rPr>
        <w:t>αρτίαν (du wirst Sünde nehmen).</w:t>
      </w:r>
    </w:p>
    <w:p w14:paraId="2E68A86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Konfliktregelung: Verbot inneren Hasses + emphatisches Zurechtweisungsgebot + Vermeidung eigener Mitschuld.</w:t>
      </w:r>
    </w:p>
    <w:p w14:paraId="00108DA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lastRenderedPageBreak/>
        <w:t>Dieser Vers fordert offene Zurechtweisung als Alternative zu verborgenem Hass und zeigt Schweigen als Mitschuld.</w:t>
      </w:r>
    </w:p>
    <w:p w14:paraId="1615D452"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19,18</w:t>
      </w:r>
    </w:p>
    <w:p w14:paraId="5E7F132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לֹֽא־תִקֹּ֤ם וְלֹֽא־תִטֹּר֙ אֶת־בְּנֵ֣י עַמֶּ֔ךָ וְאָֽהַבְתָּ֥ לְרֵעֲךָ֖ כָּמ֑וֹךָ אֲנִ֖י יְהוָֽה׃</w:t>
      </w:r>
    </w:p>
    <w:p w14:paraId="4C0F6E1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dich nicht rächen und den Kindern deines Volkes nichts nachtragen, und du sollst deinen Nächsten lieben wie dich selbst. Ich bin der Ewige.</w:t>
      </w:r>
    </w:p>
    <w:p w14:paraId="07007B8C"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57AC5786">
          <v:rect id="_x0000_i1578" style="width:0;height:1.5pt" o:hralign="center" o:hrstd="t" o:hr="t" fillcolor="#a0a0a0" stroked="f"/>
        </w:pict>
      </w:r>
    </w:p>
    <w:p w14:paraId="38906CF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לא־תקם ולא־תטר את־בני עמך ואהבת לרעך כמוך אני יהוה</w:t>
      </w:r>
      <w:r w:rsidRPr="000E6357">
        <w:rPr>
          <w:rFonts w:eastAsia="Times New Roman" w:cs="Times New Roman"/>
          <w:rtl/>
          <w:lang w:eastAsia="de-DE"/>
        </w:rPr>
        <w:t xml:space="preserve"> </w:t>
      </w:r>
      <w:r w:rsidRPr="000E6357">
        <w:rPr>
          <w:rFonts w:eastAsia="Times New Roman" w:cs="Times New Roman"/>
          <w:lang w:eastAsia="de-DE"/>
        </w:rPr>
        <w:t xml:space="preserve">enthält das berühmte Liebesgebot. </w:t>
      </w:r>
      <w:r w:rsidRPr="000E6357">
        <w:rPr>
          <w:rFonts w:eastAsia="Times New Roman" w:cs="Times New Roman"/>
          <w:b/>
          <w:bCs/>
          <w:rtl/>
          <w:lang w:eastAsia="de-DE"/>
        </w:rPr>
        <w:t>לא־תקם ולא־תטר את־בני עמך</w:t>
      </w:r>
      <w:r w:rsidRPr="000E6357">
        <w:rPr>
          <w:rFonts w:eastAsia="Times New Roman" w:cs="Times New Roman"/>
          <w:rtl/>
          <w:lang w:eastAsia="de-DE"/>
        </w:rPr>
        <w:t xml:space="preserve"> </w:t>
      </w:r>
      <w:r w:rsidRPr="000E6357">
        <w:rPr>
          <w:rFonts w:eastAsia="Times New Roman" w:cs="Times New Roman"/>
          <w:lang w:eastAsia="de-DE"/>
        </w:rPr>
        <w:t xml:space="preserve">(du sollst dich nicht rächen und den Kindern deines Volkes nichts nachtragen) - </w:t>
      </w:r>
      <w:r w:rsidRPr="000E6357">
        <w:rPr>
          <w:rFonts w:eastAsia="Times New Roman" w:cs="Times New Roman"/>
          <w:b/>
          <w:bCs/>
          <w:rtl/>
          <w:lang w:eastAsia="de-DE"/>
        </w:rPr>
        <w:t>לא־תקם</w:t>
      </w:r>
      <w:r w:rsidRPr="000E6357">
        <w:rPr>
          <w:rFonts w:eastAsia="Times New Roman" w:cs="Times New Roman"/>
          <w:rtl/>
          <w:lang w:eastAsia="de-DE"/>
        </w:rPr>
        <w:t xml:space="preserve"> </w:t>
      </w:r>
      <w:r w:rsidRPr="000E6357">
        <w:rPr>
          <w:rFonts w:eastAsia="Times New Roman" w:cs="Times New Roman"/>
          <w:lang w:eastAsia="de-DE"/>
        </w:rPr>
        <w:t xml:space="preserve">(du sollst nicht rächen) im Qal-Imperfekt von </w:t>
      </w:r>
      <w:r w:rsidRPr="000E6357">
        <w:rPr>
          <w:rFonts w:eastAsia="Times New Roman" w:cs="Times New Roman"/>
          <w:b/>
          <w:bCs/>
          <w:rtl/>
          <w:lang w:eastAsia="de-DE"/>
        </w:rPr>
        <w:t>נקם</w:t>
      </w:r>
      <w:r w:rsidRPr="000E6357">
        <w:rPr>
          <w:rFonts w:eastAsia="Times New Roman" w:cs="Times New Roman"/>
          <w:lang w:eastAsia="de-DE"/>
        </w:rPr>
        <w:t xml:space="preserve">. </w:t>
      </w:r>
      <w:r w:rsidRPr="000E6357">
        <w:rPr>
          <w:rFonts w:eastAsia="Times New Roman" w:cs="Times New Roman"/>
          <w:b/>
          <w:bCs/>
          <w:rtl/>
          <w:lang w:eastAsia="de-DE"/>
        </w:rPr>
        <w:t>ולא־תטר</w:t>
      </w:r>
      <w:r w:rsidRPr="000E6357">
        <w:rPr>
          <w:rFonts w:eastAsia="Times New Roman" w:cs="Times New Roman"/>
          <w:rtl/>
          <w:lang w:eastAsia="de-DE"/>
        </w:rPr>
        <w:t xml:space="preserve"> </w:t>
      </w:r>
      <w:r w:rsidRPr="000E6357">
        <w:rPr>
          <w:rFonts w:eastAsia="Times New Roman" w:cs="Times New Roman"/>
          <w:lang w:eastAsia="de-DE"/>
        </w:rPr>
        <w:t xml:space="preserve">(und nicht nachtragen) im Qal-Imperfekt von </w:t>
      </w:r>
      <w:r w:rsidRPr="000E6357">
        <w:rPr>
          <w:rFonts w:eastAsia="Times New Roman" w:cs="Times New Roman"/>
          <w:b/>
          <w:bCs/>
          <w:rtl/>
          <w:lang w:eastAsia="de-DE"/>
        </w:rPr>
        <w:t>נטר</w:t>
      </w:r>
      <w:r w:rsidRPr="000E6357">
        <w:rPr>
          <w:rFonts w:eastAsia="Times New Roman" w:cs="Times New Roman"/>
          <w:rtl/>
          <w:lang w:eastAsia="de-DE"/>
        </w:rPr>
        <w:t xml:space="preserve"> </w:t>
      </w:r>
      <w:r w:rsidRPr="000E6357">
        <w:rPr>
          <w:rFonts w:eastAsia="Times New Roman" w:cs="Times New Roman"/>
          <w:lang w:eastAsia="de-DE"/>
        </w:rPr>
        <w:t xml:space="preserve">zeigt dauerhaften Groll. </w:t>
      </w:r>
      <w:r w:rsidRPr="000E6357">
        <w:rPr>
          <w:rFonts w:eastAsia="Times New Roman" w:cs="Times New Roman"/>
          <w:b/>
          <w:bCs/>
          <w:rtl/>
          <w:lang w:eastAsia="de-DE"/>
        </w:rPr>
        <w:t>את־בני עמך</w:t>
      </w:r>
      <w:r w:rsidRPr="000E6357">
        <w:rPr>
          <w:rFonts w:eastAsia="Times New Roman" w:cs="Times New Roman"/>
          <w:rtl/>
          <w:lang w:eastAsia="de-DE"/>
        </w:rPr>
        <w:t xml:space="preserve"> </w:t>
      </w:r>
      <w:r w:rsidRPr="000E6357">
        <w:rPr>
          <w:rFonts w:eastAsia="Times New Roman" w:cs="Times New Roman"/>
          <w:lang w:eastAsia="de-DE"/>
        </w:rPr>
        <w:t>(den Kindern deines Volkes) zeigt den Geltungsbereich.</w:t>
      </w:r>
    </w:p>
    <w:p w14:paraId="17B242E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ואהבת לרעך כמוך</w:t>
      </w:r>
      <w:r w:rsidRPr="000E6357">
        <w:rPr>
          <w:rFonts w:eastAsia="Times New Roman" w:cs="Times New Roman"/>
          <w:rtl/>
          <w:lang w:eastAsia="de-DE"/>
        </w:rPr>
        <w:t xml:space="preserve"> </w:t>
      </w:r>
      <w:r w:rsidRPr="000E6357">
        <w:rPr>
          <w:rFonts w:eastAsia="Times New Roman" w:cs="Times New Roman"/>
          <w:lang w:eastAsia="de-DE"/>
        </w:rPr>
        <w:t xml:space="preserve">(und du sollst deinen Nächsten lieben wie dich selbst) - </w:t>
      </w:r>
      <w:r w:rsidRPr="000E6357">
        <w:rPr>
          <w:rFonts w:eastAsia="Times New Roman" w:cs="Times New Roman"/>
          <w:b/>
          <w:bCs/>
          <w:rtl/>
          <w:lang w:eastAsia="de-DE"/>
        </w:rPr>
        <w:t>ואהבת</w:t>
      </w:r>
      <w:r w:rsidRPr="000E6357">
        <w:rPr>
          <w:rFonts w:eastAsia="Times New Roman" w:cs="Times New Roman"/>
          <w:rtl/>
          <w:lang w:eastAsia="de-DE"/>
        </w:rPr>
        <w:t xml:space="preserve"> </w:t>
      </w:r>
      <w:r w:rsidRPr="000E6357">
        <w:rPr>
          <w:rFonts w:eastAsia="Times New Roman" w:cs="Times New Roman"/>
          <w:lang w:eastAsia="de-DE"/>
        </w:rPr>
        <w:t xml:space="preserve">(und du sollst lieben) im Qal-Perfekt mit Waw-Konsekutiv als positive Alternative. </w:t>
      </w:r>
      <w:r w:rsidRPr="000E6357">
        <w:rPr>
          <w:rFonts w:eastAsia="Times New Roman" w:cs="Times New Roman"/>
          <w:b/>
          <w:bCs/>
          <w:rtl/>
          <w:lang w:eastAsia="de-DE"/>
        </w:rPr>
        <w:t>לרעך</w:t>
      </w:r>
      <w:r w:rsidRPr="000E6357">
        <w:rPr>
          <w:rFonts w:eastAsia="Times New Roman" w:cs="Times New Roman"/>
          <w:rtl/>
          <w:lang w:eastAsia="de-DE"/>
        </w:rPr>
        <w:t xml:space="preserve"> </w:t>
      </w:r>
      <w:r w:rsidRPr="000E6357">
        <w:rPr>
          <w:rFonts w:eastAsia="Times New Roman" w:cs="Times New Roman"/>
          <w:lang w:eastAsia="de-DE"/>
        </w:rPr>
        <w:t xml:space="preserve">(deinen Nächsten) entspricht </w:t>
      </w:r>
      <w:r w:rsidRPr="000E6357">
        <w:rPr>
          <w:rFonts w:eastAsia="Times New Roman" w:cs="Times New Roman"/>
          <w:b/>
          <w:bCs/>
          <w:rtl/>
          <w:lang w:eastAsia="de-DE"/>
        </w:rPr>
        <w:t>בני עמך</w:t>
      </w:r>
      <w:r w:rsidRPr="000E6357">
        <w:rPr>
          <w:rFonts w:eastAsia="Times New Roman" w:cs="Times New Roman"/>
          <w:lang w:eastAsia="de-DE"/>
        </w:rPr>
        <w:t xml:space="preserve">. </w:t>
      </w:r>
      <w:r w:rsidRPr="000E6357">
        <w:rPr>
          <w:rFonts w:eastAsia="Times New Roman" w:cs="Times New Roman"/>
          <w:b/>
          <w:bCs/>
          <w:rtl/>
          <w:lang w:eastAsia="de-DE"/>
        </w:rPr>
        <w:t>כמוך</w:t>
      </w:r>
      <w:r w:rsidRPr="000E6357">
        <w:rPr>
          <w:rFonts w:eastAsia="Times New Roman" w:cs="Times New Roman"/>
          <w:rtl/>
          <w:lang w:eastAsia="de-DE"/>
        </w:rPr>
        <w:t xml:space="preserve"> </w:t>
      </w:r>
      <w:r w:rsidRPr="000E6357">
        <w:rPr>
          <w:rFonts w:eastAsia="Times New Roman" w:cs="Times New Roman"/>
          <w:lang w:eastAsia="de-DE"/>
        </w:rPr>
        <w:t>(wie dich selbst) zeigt das Maß der Nächstenliebe.</w:t>
      </w:r>
    </w:p>
    <w:p w14:paraId="2CBCC68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אני יהוה</w:t>
      </w:r>
      <w:r w:rsidRPr="000E6357">
        <w:rPr>
          <w:rFonts w:eastAsia="Times New Roman" w:cs="Times New Roman"/>
          <w:rtl/>
          <w:lang w:eastAsia="de-DE"/>
        </w:rPr>
        <w:t xml:space="preserve"> </w:t>
      </w:r>
      <w:r w:rsidRPr="000E6357">
        <w:rPr>
          <w:rFonts w:eastAsia="Times New Roman" w:cs="Times New Roman"/>
          <w:lang w:eastAsia="de-DE"/>
        </w:rPr>
        <w:t>(ich bin der Ewige) als Autoritätsformel.</w:t>
      </w:r>
    </w:p>
    <w:p w14:paraId="6119B8A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תקם</w:t>
      </w:r>
      <w:r w:rsidRPr="000E6357">
        <w:rPr>
          <w:rFonts w:eastAsia="Times New Roman" w:cs="Times New Roman"/>
          <w:rtl/>
          <w:lang w:eastAsia="de-DE"/>
        </w:rPr>
        <w:t xml:space="preserve"> </w:t>
      </w:r>
      <w:r w:rsidRPr="000E6357">
        <w:rPr>
          <w:rFonts w:eastAsia="Times New Roman" w:cs="Times New Roman"/>
          <w:lang w:eastAsia="de-DE"/>
        </w:rPr>
        <w:t xml:space="preserve">vs. </w:t>
      </w:r>
      <w:r w:rsidRPr="000E6357">
        <w:rPr>
          <w:rFonts w:eastAsia="Times New Roman" w:cs="Times New Roman"/>
          <w:b/>
          <w:bCs/>
          <w:rtl/>
          <w:lang w:eastAsia="de-DE"/>
        </w:rPr>
        <w:t>תטר</w:t>
      </w:r>
      <w:r w:rsidRPr="000E6357">
        <w:rPr>
          <w:rFonts w:eastAsia="Times New Roman" w:cs="Times New Roman"/>
          <w:rtl/>
          <w:lang w:eastAsia="de-DE"/>
        </w:rPr>
        <w:t xml:space="preserve"> </w:t>
      </w:r>
      <w:r w:rsidRPr="000E6357">
        <w:rPr>
          <w:rFonts w:eastAsia="Times New Roman" w:cs="Times New Roman"/>
          <w:lang w:eastAsia="de-DE"/>
        </w:rPr>
        <w:t xml:space="preserve">zeigt aktive Rache vs. passives Nachtragen. </w:t>
      </w:r>
      <w:r w:rsidRPr="000E6357">
        <w:rPr>
          <w:rFonts w:eastAsia="Times New Roman" w:cs="Times New Roman"/>
          <w:b/>
          <w:bCs/>
          <w:rtl/>
          <w:lang w:eastAsia="de-DE"/>
        </w:rPr>
        <w:t>ואהבת לרעך כמוך</w:t>
      </w:r>
      <w:r w:rsidRPr="000E6357">
        <w:rPr>
          <w:rFonts w:eastAsia="Times New Roman" w:cs="Times New Roman"/>
          <w:rtl/>
          <w:lang w:eastAsia="de-DE"/>
        </w:rPr>
        <w:t xml:space="preserve"> </w:t>
      </w:r>
      <w:r w:rsidRPr="000E6357">
        <w:rPr>
          <w:rFonts w:eastAsia="Times New Roman" w:cs="Times New Roman"/>
          <w:lang w:eastAsia="de-DE"/>
        </w:rPr>
        <w:t xml:space="preserve">als positive Alternative zu Rache und Groll. </w:t>
      </w:r>
      <w:r w:rsidRPr="000E6357">
        <w:rPr>
          <w:rFonts w:eastAsia="Times New Roman" w:cs="Times New Roman"/>
          <w:b/>
          <w:bCs/>
          <w:rtl/>
          <w:lang w:eastAsia="de-DE"/>
        </w:rPr>
        <w:t>כמוך</w:t>
      </w:r>
      <w:r w:rsidRPr="000E6357">
        <w:rPr>
          <w:rFonts w:eastAsia="Times New Roman" w:cs="Times New Roman"/>
          <w:rtl/>
          <w:lang w:eastAsia="de-DE"/>
        </w:rPr>
        <w:t xml:space="preserve"> </w:t>
      </w:r>
      <w:r w:rsidRPr="000E6357">
        <w:rPr>
          <w:rFonts w:eastAsia="Times New Roman" w:cs="Times New Roman"/>
          <w:lang w:eastAsia="de-DE"/>
        </w:rPr>
        <w:t>zeigt Selbstliebe als Maßstab der Nächstenliebe.</w:t>
      </w:r>
    </w:p>
    <w:p w14:paraId="32CDF008" w14:textId="038FFAE0"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betont die Kernaussage: καὶ </w:t>
      </w:r>
      <w:proofErr w:type="spellStart"/>
      <w:r w:rsidR="004F25E8">
        <w:t>ἀγ</w:t>
      </w:r>
      <w:proofErr w:type="spellEnd"/>
      <w:r w:rsidR="004F25E8">
        <w:t xml:space="preserve">απήσεις </w:t>
      </w:r>
      <w:proofErr w:type="spellStart"/>
      <w:r w:rsidR="004F25E8">
        <w:t>τὸν</w:t>
      </w:r>
      <w:proofErr w:type="spellEnd"/>
      <w:r w:rsidR="004F25E8">
        <w:t xml:space="preserve"> π</w:t>
      </w:r>
      <w:proofErr w:type="spellStart"/>
      <w:r w:rsidR="004F25E8">
        <w:t>λησίον</w:t>
      </w:r>
      <w:proofErr w:type="spellEnd"/>
      <w:r w:rsidR="004F25E8">
        <w:t xml:space="preserve"> </w:t>
      </w:r>
      <w:proofErr w:type="spellStart"/>
      <w:r w:rsidR="004F25E8">
        <w:t>σου</w:t>
      </w:r>
      <w:proofErr w:type="spellEnd"/>
      <w:r w:rsidR="004F25E8">
        <w:t xml:space="preserve"> </w:t>
      </w:r>
      <w:proofErr w:type="spellStart"/>
      <w:r w:rsidR="004F25E8">
        <w:t>ὡς</w:t>
      </w:r>
      <w:proofErr w:type="spellEnd"/>
      <w:r w:rsidR="004F25E8">
        <w:t xml:space="preserve"> </w:t>
      </w:r>
      <w:proofErr w:type="spellStart"/>
      <w:r w:rsidR="004F25E8">
        <w:t>σε</w:t>
      </w:r>
      <w:proofErr w:type="spellEnd"/>
      <w:r w:rsidR="004F25E8">
        <w:t>αυτόν (und du sollst deinen Nächsten lieben wie dich selbst), was zur zentralen neutestamentlichen Formulierung wird.</w:t>
      </w:r>
    </w:p>
    <w:p w14:paraId="217E251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Liebesgebot: Verbot von Rache und Nachtragen + positive Nächstenliebe + Selbstliebe als Maßstab + göttliche Autorität.</w:t>
      </w:r>
    </w:p>
    <w:p w14:paraId="7F60E5E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berühmte Vers etabliert die Nächstenliebe als Alternative zu Rache mit Selbstliebe als Maßstab.</w:t>
      </w:r>
    </w:p>
    <w:p w14:paraId="43618C64"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19,19</w:t>
      </w:r>
    </w:p>
    <w:p w14:paraId="1053A35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אֶֽת־חֻקֹּתַי֮ תִּשְׁמֹרוּ֒ בְּהֶמְתְּךָ֙ לֹא־תַרְבִּ֣יעַ כִּלְאַ֔יִם שָׂדְךָ֖ לֹא־תִזְרַ֣ע כִּלְאָ֑יִם וּבֶ֤גֶד כִּלְאַ֨יִם֙ שַֽׁעַטְנֵ֔ז לֹ֥א יַעֲלֶ֖ה עָלֶֽיךָ׃</w:t>
      </w:r>
    </w:p>
    <w:p w14:paraId="73ADC6E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Meine Satzungen sollt ihr beachten. Dein Vieh sollst du nicht von zweierlei Art sich zeugen lassen; dein Feld sollst du nicht mit zweierlei Samen besäen, und ein Kleid, aus zweierlei Stoff gewebt, soll nicht auf dich kommen.</w:t>
      </w:r>
    </w:p>
    <w:p w14:paraId="6CB44948"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09A68806">
          <v:rect id="_x0000_i1579" style="width:0;height:1.5pt" o:hralign="center" o:hrstd="t" o:hr="t" fillcolor="#a0a0a0" stroked="f"/>
        </w:pict>
      </w:r>
    </w:p>
    <w:p w14:paraId="5B6C465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lastRenderedPageBreak/>
        <w:t>Kommentar:</w:t>
      </w:r>
      <w:r w:rsidRPr="000E6357">
        <w:rPr>
          <w:rFonts w:eastAsia="Times New Roman" w:cs="Times New Roman"/>
          <w:lang w:eastAsia="de-DE"/>
        </w:rPr>
        <w:t xml:space="preserve"> </w:t>
      </w:r>
      <w:r w:rsidRPr="000E6357">
        <w:rPr>
          <w:rFonts w:eastAsia="Times New Roman" w:cs="Times New Roman"/>
          <w:b/>
          <w:bCs/>
          <w:rtl/>
          <w:lang w:eastAsia="de-DE"/>
        </w:rPr>
        <w:t>את־חקתי תשמרו בהמתך לא־תרביע כלאים שדך לא־תזרע כלאים ובגד כלאים שעטנז לא יעלה עליך</w:t>
      </w:r>
      <w:r w:rsidRPr="000E6357">
        <w:rPr>
          <w:rFonts w:eastAsia="Times New Roman" w:cs="Times New Roman"/>
          <w:rtl/>
          <w:lang w:eastAsia="de-DE"/>
        </w:rPr>
        <w:t xml:space="preserve"> </w:t>
      </w:r>
      <w:r w:rsidRPr="000E6357">
        <w:rPr>
          <w:rFonts w:eastAsia="Times New Roman" w:cs="Times New Roman"/>
          <w:lang w:eastAsia="de-DE"/>
        </w:rPr>
        <w:t xml:space="preserve">verbietet </w:t>
      </w:r>
      <w:r w:rsidRPr="000E6357">
        <w:rPr>
          <w:rFonts w:eastAsia="Times New Roman" w:cs="Times New Roman"/>
          <w:b/>
          <w:bCs/>
          <w:rtl/>
          <w:lang w:eastAsia="de-DE"/>
        </w:rPr>
        <w:t>כלאים</w:t>
      </w:r>
      <w:r w:rsidRPr="000E6357">
        <w:rPr>
          <w:rFonts w:eastAsia="Times New Roman" w:cs="Times New Roman"/>
          <w:rtl/>
          <w:lang w:eastAsia="de-DE"/>
        </w:rPr>
        <w:t xml:space="preserve"> </w:t>
      </w:r>
      <w:r w:rsidRPr="000E6357">
        <w:rPr>
          <w:rFonts w:eastAsia="Times New Roman" w:cs="Times New Roman"/>
          <w:lang w:eastAsia="de-DE"/>
        </w:rPr>
        <w:t xml:space="preserve">(Mischungen) in drei Bereichen. </w:t>
      </w:r>
      <w:r w:rsidRPr="000E6357">
        <w:rPr>
          <w:rFonts w:eastAsia="Times New Roman" w:cs="Times New Roman"/>
          <w:b/>
          <w:bCs/>
          <w:rtl/>
          <w:lang w:eastAsia="de-DE"/>
        </w:rPr>
        <w:t>את־חקתי תשמרו</w:t>
      </w:r>
      <w:r w:rsidRPr="000E6357">
        <w:rPr>
          <w:rFonts w:eastAsia="Times New Roman" w:cs="Times New Roman"/>
          <w:rtl/>
          <w:lang w:eastAsia="de-DE"/>
        </w:rPr>
        <w:t xml:space="preserve"> </w:t>
      </w:r>
      <w:r w:rsidRPr="000E6357">
        <w:rPr>
          <w:rFonts w:eastAsia="Times New Roman" w:cs="Times New Roman"/>
          <w:lang w:eastAsia="de-DE"/>
        </w:rPr>
        <w:t xml:space="preserve">(meine Satzungen sollt ihr beachten) - </w:t>
      </w:r>
      <w:r w:rsidRPr="000E6357">
        <w:rPr>
          <w:rFonts w:eastAsia="Times New Roman" w:cs="Times New Roman"/>
          <w:b/>
          <w:bCs/>
          <w:rtl/>
          <w:lang w:eastAsia="de-DE"/>
        </w:rPr>
        <w:t>חקתי</w:t>
      </w:r>
      <w:r w:rsidRPr="000E6357">
        <w:rPr>
          <w:rFonts w:eastAsia="Times New Roman" w:cs="Times New Roman"/>
          <w:rtl/>
          <w:lang w:eastAsia="de-DE"/>
        </w:rPr>
        <w:t xml:space="preserve"> </w:t>
      </w:r>
      <w:r w:rsidRPr="000E6357">
        <w:rPr>
          <w:rFonts w:eastAsia="Times New Roman" w:cs="Times New Roman"/>
          <w:lang w:eastAsia="de-DE"/>
        </w:rPr>
        <w:t xml:space="preserve">(meine Satzungen) als Einleitung zeigt göttliche Autorität. </w:t>
      </w:r>
      <w:r w:rsidRPr="000E6357">
        <w:rPr>
          <w:rFonts w:eastAsia="Times New Roman" w:cs="Times New Roman"/>
          <w:b/>
          <w:bCs/>
          <w:rtl/>
          <w:lang w:eastAsia="de-DE"/>
        </w:rPr>
        <w:t>תשמרו</w:t>
      </w:r>
      <w:r w:rsidRPr="000E6357">
        <w:rPr>
          <w:rFonts w:eastAsia="Times New Roman" w:cs="Times New Roman"/>
          <w:rtl/>
          <w:lang w:eastAsia="de-DE"/>
        </w:rPr>
        <w:t xml:space="preserve"> </w:t>
      </w:r>
      <w:r w:rsidRPr="000E6357">
        <w:rPr>
          <w:rFonts w:eastAsia="Times New Roman" w:cs="Times New Roman"/>
          <w:lang w:eastAsia="de-DE"/>
        </w:rPr>
        <w:t>(sollt ihr beachten) im Qal-Imperfekt.</w:t>
      </w:r>
    </w:p>
    <w:p w14:paraId="63D45DB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בהמתך לא־תרביע כלאים</w:t>
      </w:r>
      <w:r w:rsidRPr="000E6357">
        <w:rPr>
          <w:rFonts w:eastAsia="Times New Roman" w:cs="Times New Roman"/>
          <w:rtl/>
          <w:lang w:eastAsia="de-DE"/>
        </w:rPr>
        <w:t xml:space="preserve"> </w:t>
      </w:r>
      <w:r w:rsidRPr="000E6357">
        <w:rPr>
          <w:rFonts w:eastAsia="Times New Roman" w:cs="Times New Roman"/>
          <w:lang w:eastAsia="de-DE"/>
        </w:rPr>
        <w:t xml:space="preserve">(dein Vieh sollst du nicht von zweierlei Art sich zeugen lassen) - </w:t>
      </w:r>
      <w:r w:rsidRPr="000E6357">
        <w:rPr>
          <w:rFonts w:eastAsia="Times New Roman" w:cs="Times New Roman"/>
          <w:b/>
          <w:bCs/>
          <w:rtl/>
          <w:lang w:eastAsia="de-DE"/>
        </w:rPr>
        <w:t>לא־תרביע</w:t>
      </w:r>
      <w:r w:rsidRPr="000E6357">
        <w:rPr>
          <w:rFonts w:eastAsia="Times New Roman" w:cs="Times New Roman"/>
          <w:rtl/>
          <w:lang w:eastAsia="de-DE"/>
        </w:rPr>
        <w:t xml:space="preserve"> </w:t>
      </w:r>
      <w:r w:rsidRPr="000E6357">
        <w:rPr>
          <w:rFonts w:eastAsia="Times New Roman" w:cs="Times New Roman"/>
          <w:lang w:eastAsia="de-DE"/>
        </w:rPr>
        <w:t xml:space="preserve">(du sollst nicht sich paaren lassen) im Hifil-Imperfekt von </w:t>
      </w:r>
      <w:r w:rsidRPr="000E6357">
        <w:rPr>
          <w:rFonts w:eastAsia="Times New Roman" w:cs="Times New Roman"/>
          <w:b/>
          <w:bCs/>
          <w:rtl/>
          <w:lang w:eastAsia="de-DE"/>
        </w:rPr>
        <w:t>רבע</w:t>
      </w:r>
      <w:r w:rsidRPr="000E6357">
        <w:rPr>
          <w:rFonts w:eastAsia="Times New Roman" w:cs="Times New Roman"/>
          <w:lang w:eastAsia="de-DE"/>
        </w:rPr>
        <w:t xml:space="preserve">, das Hifil zeigt kausatives Paaren lassen. </w:t>
      </w:r>
      <w:r w:rsidRPr="000E6357">
        <w:rPr>
          <w:rFonts w:eastAsia="Times New Roman" w:cs="Times New Roman"/>
          <w:b/>
          <w:bCs/>
          <w:rtl/>
          <w:lang w:eastAsia="de-DE"/>
        </w:rPr>
        <w:t>כלאים</w:t>
      </w:r>
      <w:r w:rsidRPr="000E6357">
        <w:rPr>
          <w:rFonts w:eastAsia="Times New Roman" w:cs="Times New Roman"/>
          <w:rtl/>
          <w:lang w:eastAsia="de-DE"/>
        </w:rPr>
        <w:t xml:space="preserve"> </w:t>
      </w:r>
      <w:r w:rsidRPr="000E6357">
        <w:rPr>
          <w:rFonts w:eastAsia="Times New Roman" w:cs="Times New Roman"/>
          <w:lang w:eastAsia="de-DE"/>
        </w:rPr>
        <w:t>(zweierlei Art) zeigt verschiedene Tierarten.</w:t>
      </w:r>
    </w:p>
    <w:p w14:paraId="651B051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שדך לא־תזרע כלאים ובגד כלאים שעטנז לא יעלה עליך</w:t>
      </w:r>
      <w:r w:rsidRPr="000E6357">
        <w:rPr>
          <w:rFonts w:eastAsia="Times New Roman" w:cs="Times New Roman"/>
          <w:rtl/>
          <w:lang w:eastAsia="de-DE"/>
        </w:rPr>
        <w:t xml:space="preserve"> </w:t>
      </w:r>
      <w:r w:rsidRPr="000E6357">
        <w:rPr>
          <w:rFonts w:eastAsia="Times New Roman" w:cs="Times New Roman"/>
          <w:lang w:eastAsia="de-DE"/>
        </w:rPr>
        <w:t xml:space="preserve">(dein Feld sollst du nicht mit zweierlei Samen besäen, und ein Kleid, aus zweierlei Stoff gewebt, soll nicht auf dich kommen) - </w:t>
      </w:r>
      <w:r w:rsidRPr="000E6357">
        <w:rPr>
          <w:rFonts w:eastAsia="Times New Roman" w:cs="Times New Roman"/>
          <w:b/>
          <w:bCs/>
          <w:rtl/>
          <w:lang w:eastAsia="de-DE"/>
        </w:rPr>
        <w:t>שעטנז</w:t>
      </w:r>
      <w:r w:rsidRPr="000E6357">
        <w:rPr>
          <w:rFonts w:eastAsia="Times New Roman" w:cs="Times New Roman"/>
          <w:rtl/>
          <w:lang w:eastAsia="de-DE"/>
        </w:rPr>
        <w:t xml:space="preserve"> </w:t>
      </w:r>
      <w:r w:rsidRPr="000E6357">
        <w:rPr>
          <w:rFonts w:eastAsia="Times New Roman" w:cs="Times New Roman"/>
          <w:lang w:eastAsia="de-DE"/>
        </w:rPr>
        <w:t xml:space="preserve">als technischer Begriff für Leinen-Wolle-Mischung. </w:t>
      </w:r>
      <w:r w:rsidRPr="000E6357">
        <w:rPr>
          <w:rFonts w:eastAsia="Times New Roman" w:cs="Times New Roman"/>
          <w:b/>
          <w:bCs/>
          <w:rtl/>
          <w:lang w:eastAsia="de-DE"/>
        </w:rPr>
        <w:t>לא יעלה עליך</w:t>
      </w:r>
      <w:r w:rsidRPr="000E6357">
        <w:rPr>
          <w:rFonts w:eastAsia="Times New Roman" w:cs="Times New Roman"/>
          <w:rtl/>
          <w:lang w:eastAsia="de-DE"/>
        </w:rPr>
        <w:t xml:space="preserve"> </w:t>
      </w:r>
      <w:r w:rsidRPr="000E6357">
        <w:rPr>
          <w:rFonts w:eastAsia="Times New Roman" w:cs="Times New Roman"/>
          <w:lang w:eastAsia="de-DE"/>
        </w:rPr>
        <w:t>(soll nicht auf dich kommen) zeigt Trageverbot.</w:t>
      </w:r>
    </w:p>
    <w:p w14:paraId="589F79F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כלאים</w:t>
      </w:r>
      <w:r w:rsidRPr="000E6357">
        <w:rPr>
          <w:rFonts w:eastAsia="Times New Roman" w:cs="Times New Roman"/>
          <w:rtl/>
          <w:lang w:eastAsia="de-DE"/>
        </w:rPr>
        <w:t xml:space="preserve"> </w:t>
      </w:r>
      <w:r w:rsidRPr="000E6357">
        <w:rPr>
          <w:rFonts w:eastAsia="Times New Roman" w:cs="Times New Roman"/>
          <w:lang w:eastAsia="de-DE"/>
        </w:rPr>
        <w:t xml:space="preserve">in drei Bereichen: Tiere, Pflanzen, Kleidung zeigt umfassendes Mischungsverbot. </w:t>
      </w:r>
      <w:r w:rsidRPr="000E6357">
        <w:rPr>
          <w:rFonts w:eastAsia="Times New Roman" w:cs="Times New Roman"/>
          <w:b/>
          <w:bCs/>
          <w:rtl/>
          <w:lang w:eastAsia="de-DE"/>
        </w:rPr>
        <w:t>שעטנז</w:t>
      </w:r>
      <w:r w:rsidRPr="000E6357">
        <w:rPr>
          <w:rFonts w:eastAsia="Times New Roman" w:cs="Times New Roman"/>
          <w:rtl/>
          <w:lang w:eastAsia="de-DE"/>
        </w:rPr>
        <w:t xml:space="preserve"> </w:t>
      </w:r>
      <w:r w:rsidRPr="000E6357">
        <w:rPr>
          <w:rFonts w:eastAsia="Times New Roman" w:cs="Times New Roman"/>
          <w:lang w:eastAsia="de-DE"/>
        </w:rPr>
        <w:t>als spezifische Bezeichnung für Leinen-Wolle-Mischung.</w:t>
      </w:r>
    </w:p>
    <w:p w14:paraId="791678BA" w14:textId="31A51F4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כלאים</w:t>
      </w:r>
      <w:r w:rsidR="004F25E8">
        <w:t xml:space="preserve"> (</w:t>
      </w:r>
      <w:proofErr w:type="spellStart"/>
      <w:r w:rsidR="004F25E8">
        <w:t>kilayim</w:t>
      </w:r>
      <w:proofErr w:type="spellEnd"/>
      <w:r w:rsidR="004F25E8">
        <w:t xml:space="preserve"> - "Mischungen") als </w:t>
      </w:r>
      <w:proofErr w:type="spellStart"/>
      <w:r w:rsidR="004F25E8">
        <w:t>ἑτεροζύγῳ</w:t>
      </w:r>
      <w:proofErr w:type="spellEnd"/>
      <w:r w:rsidR="004F25E8">
        <w:t xml:space="preserve"> (Verschiedenjochiges), </w:t>
      </w:r>
      <w:r w:rsidR="004F25E8">
        <w:rPr>
          <w:rtl/>
        </w:rPr>
        <w:t>ד</w:t>
      </w:r>
      <w:proofErr w:type="spellStart"/>
      <w:r w:rsidR="004F25E8">
        <w:t>υάφορον</w:t>
      </w:r>
      <w:proofErr w:type="spellEnd"/>
      <w:r w:rsidR="004F25E8">
        <w:t xml:space="preserve"> (Verschiedenes), und </w:t>
      </w:r>
      <w:proofErr w:type="spellStart"/>
      <w:r w:rsidR="004F25E8">
        <w:t>κί</w:t>
      </w:r>
      <w:proofErr w:type="spellEnd"/>
      <w:r w:rsidR="004F25E8">
        <w:t xml:space="preserve">βδηλον (Verfälschtes). </w:t>
      </w:r>
      <w:r w:rsidR="004F25E8">
        <w:rPr>
          <w:rtl/>
        </w:rPr>
        <w:t>שעטנז</w:t>
      </w:r>
      <w:r w:rsidR="004F25E8">
        <w:t xml:space="preserve"> (</w:t>
      </w:r>
      <w:proofErr w:type="spellStart"/>
      <w:r w:rsidR="004F25E8">
        <w:t>sha'atnez</w:t>
      </w:r>
      <w:proofErr w:type="spellEnd"/>
      <w:r w:rsidR="004F25E8">
        <w:t xml:space="preserve"> - spezifischer Textilbegriff) wird als </w:t>
      </w:r>
      <w:proofErr w:type="spellStart"/>
      <w:r w:rsidR="004F25E8">
        <w:t>ἐκ</w:t>
      </w:r>
      <w:proofErr w:type="spellEnd"/>
      <w:r w:rsidR="004F25E8">
        <w:t xml:space="preserve"> </w:t>
      </w:r>
      <w:proofErr w:type="spellStart"/>
      <w:r w:rsidR="004F25E8">
        <w:t>δύο</w:t>
      </w:r>
      <w:proofErr w:type="spellEnd"/>
      <w:r w:rsidR="004F25E8">
        <w:t xml:space="preserve"> </w:t>
      </w:r>
      <w:proofErr w:type="spellStart"/>
      <w:r w:rsidR="004F25E8">
        <w:t>ὑφ</w:t>
      </w:r>
      <w:proofErr w:type="spellEnd"/>
      <w:r w:rsidR="004F25E8">
        <w:t>ασμένον (aus zwei Stoffen gewebt) erklärt.</w:t>
      </w:r>
    </w:p>
    <w:p w14:paraId="6E2277C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w:t>
      </w:r>
      <w:r w:rsidRPr="000E6357">
        <w:rPr>
          <w:rFonts w:eastAsia="Times New Roman" w:cs="Times New Roman"/>
          <w:b/>
          <w:bCs/>
          <w:rtl/>
          <w:lang w:eastAsia="de-DE"/>
        </w:rPr>
        <w:t>כלאים</w:t>
      </w:r>
      <w:r w:rsidRPr="000E6357">
        <w:rPr>
          <w:rFonts w:eastAsia="Times New Roman" w:cs="Times New Roman"/>
          <w:lang w:eastAsia="de-DE"/>
        </w:rPr>
        <w:t>-Verbote: göttliche Satzungsautorität + drei Bereiche der Mischungsverbote.</w:t>
      </w:r>
    </w:p>
    <w:p w14:paraId="3B59B8A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 xml:space="preserve">Dieser Vers verbietet </w:t>
      </w:r>
      <w:r w:rsidRPr="000E6357">
        <w:rPr>
          <w:rFonts w:eastAsia="Times New Roman" w:cs="Times New Roman"/>
          <w:b/>
          <w:bCs/>
          <w:rtl/>
          <w:lang w:eastAsia="de-DE"/>
        </w:rPr>
        <w:t>כלאים</w:t>
      </w:r>
      <w:r w:rsidRPr="000E6357">
        <w:rPr>
          <w:rFonts w:eastAsia="Times New Roman" w:cs="Times New Roman"/>
          <w:rtl/>
          <w:lang w:eastAsia="de-DE"/>
        </w:rPr>
        <w:t xml:space="preserve"> </w:t>
      </w:r>
      <w:r w:rsidRPr="000E6357">
        <w:rPr>
          <w:rFonts w:eastAsia="Times New Roman" w:cs="Times New Roman"/>
          <w:lang w:eastAsia="de-DE"/>
        </w:rPr>
        <w:t>(Mischungen) in Tierpaarung, Landwirtschaft und Kleidung als göttliche Ordnungswahrung.</w:t>
      </w:r>
    </w:p>
    <w:p w14:paraId="7C0EA547"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19,20</w:t>
      </w:r>
    </w:p>
    <w:p w14:paraId="58E78C3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וְ֠אִישׁ כִּֽי־יִשְׁכַּ֨ב אֶת־אִשָּׁ֜ה שִׁכְבַת־זֶ֗רַע וְהִ֤וא שִׁפְחָה֙ נֶחֱרֶ֣פֶת לְאִ֔ישׁ וְהָפְדֵּה֙ לֹ֣א נִפְדָּ֔תָה א֥וֹ חֻפְשָׁ֖ה לֹ֣א נִתַּן־לָ֑הּ בִּקֹּ֧רֶת תִּהְיֶ֛ה לֹ֥א יוּמְת֖וּ כִּי־לֹ֥א חֻפָּֽשָׁה׃</w:t>
      </w:r>
    </w:p>
    <w:p w14:paraId="45FB7B97"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wenn ein Mann bei einer Frau mit Samenerguss liegt, und sie ist eine Magd, einem Mann verlobt, und sie ist keineswegs losgekauft, noch ist ihr die Freiheit geschenkt worden – so soll Züchtigung stattfinden; sie sollen nicht getötet werden, denn sie ist nicht frei gewesen.</w:t>
      </w:r>
    </w:p>
    <w:p w14:paraId="5BC1269F"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54BD0793">
          <v:rect id="_x0000_i1580" style="width:0;height:1.5pt" o:hralign="center" o:hrstd="t" o:hr="t" fillcolor="#a0a0a0" stroked="f"/>
        </w:pict>
      </w:r>
    </w:p>
    <w:p w14:paraId="1BF388A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ואיש כי־ישכב את־אשה שכבת־זרע והוא שפחה נחרפת לאיש והפדה לא נפדתה או חפשה לא נתן־לה בקרת תהיה לא יומתו כי־לא חפשה</w:t>
      </w:r>
      <w:r w:rsidRPr="000E6357">
        <w:rPr>
          <w:rFonts w:eastAsia="Times New Roman" w:cs="Times New Roman"/>
          <w:rtl/>
          <w:lang w:eastAsia="de-DE"/>
        </w:rPr>
        <w:t xml:space="preserve"> </w:t>
      </w:r>
      <w:r w:rsidRPr="000E6357">
        <w:rPr>
          <w:rFonts w:eastAsia="Times New Roman" w:cs="Times New Roman"/>
          <w:lang w:eastAsia="de-DE"/>
        </w:rPr>
        <w:t xml:space="preserve">behandelt den Sonderfall der verlobten Sklavin. </w:t>
      </w:r>
      <w:r w:rsidRPr="000E6357">
        <w:rPr>
          <w:rFonts w:eastAsia="Times New Roman" w:cs="Times New Roman"/>
          <w:b/>
          <w:bCs/>
          <w:rtl/>
          <w:lang w:eastAsia="de-DE"/>
        </w:rPr>
        <w:t>ואיש כי־ישכב את־אשה שכבת־זרע</w:t>
      </w:r>
      <w:r w:rsidRPr="000E6357">
        <w:rPr>
          <w:rFonts w:eastAsia="Times New Roman" w:cs="Times New Roman"/>
          <w:rtl/>
          <w:lang w:eastAsia="de-DE"/>
        </w:rPr>
        <w:t xml:space="preserve"> </w:t>
      </w:r>
      <w:r w:rsidRPr="000E6357">
        <w:rPr>
          <w:rFonts w:eastAsia="Times New Roman" w:cs="Times New Roman"/>
          <w:lang w:eastAsia="de-DE"/>
        </w:rPr>
        <w:t xml:space="preserve">(und wenn ein Mann bei einer Frau mit Samenerguss liegt) entspricht der Standardformel für Geschlechtsverkehr. </w:t>
      </w:r>
      <w:r w:rsidRPr="000E6357">
        <w:rPr>
          <w:rFonts w:eastAsia="Times New Roman" w:cs="Times New Roman"/>
          <w:b/>
          <w:bCs/>
          <w:rtl/>
          <w:lang w:eastAsia="de-DE"/>
        </w:rPr>
        <w:t>והוא שפחה נחרפת לאיש</w:t>
      </w:r>
      <w:r w:rsidRPr="000E6357">
        <w:rPr>
          <w:rFonts w:eastAsia="Times New Roman" w:cs="Times New Roman"/>
          <w:rtl/>
          <w:lang w:eastAsia="de-DE"/>
        </w:rPr>
        <w:t xml:space="preserve"> </w:t>
      </w:r>
      <w:r w:rsidRPr="000E6357">
        <w:rPr>
          <w:rFonts w:eastAsia="Times New Roman" w:cs="Times New Roman"/>
          <w:lang w:eastAsia="de-DE"/>
        </w:rPr>
        <w:t xml:space="preserve">(und sie ist eine Magd, einem Mann verlobt) - </w:t>
      </w:r>
      <w:r w:rsidRPr="000E6357">
        <w:rPr>
          <w:rFonts w:eastAsia="Times New Roman" w:cs="Times New Roman"/>
          <w:b/>
          <w:bCs/>
          <w:rtl/>
          <w:lang w:eastAsia="de-DE"/>
        </w:rPr>
        <w:t>שפחה</w:t>
      </w:r>
      <w:r w:rsidRPr="000E6357">
        <w:rPr>
          <w:rFonts w:eastAsia="Times New Roman" w:cs="Times New Roman"/>
          <w:rtl/>
          <w:lang w:eastAsia="de-DE"/>
        </w:rPr>
        <w:t xml:space="preserve"> </w:t>
      </w:r>
      <w:r w:rsidRPr="000E6357">
        <w:rPr>
          <w:rFonts w:eastAsia="Times New Roman" w:cs="Times New Roman"/>
          <w:lang w:eastAsia="de-DE"/>
        </w:rPr>
        <w:t xml:space="preserve">(Magd/Sklavin), </w:t>
      </w:r>
      <w:r w:rsidRPr="000E6357">
        <w:rPr>
          <w:rFonts w:eastAsia="Times New Roman" w:cs="Times New Roman"/>
          <w:b/>
          <w:bCs/>
          <w:rtl/>
          <w:lang w:eastAsia="de-DE"/>
        </w:rPr>
        <w:t>נחרפת</w:t>
      </w:r>
      <w:r w:rsidRPr="000E6357">
        <w:rPr>
          <w:rFonts w:eastAsia="Times New Roman" w:cs="Times New Roman"/>
          <w:rtl/>
          <w:lang w:eastAsia="de-DE"/>
        </w:rPr>
        <w:t xml:space="preserve"> </w:t>
      </w:r>
      <w:r w:rsidRPr="000E6357">
        <w:rPr>
          <w:rFonts w:eastAsia="Times New Roman" w:cs="Times New Roman"/>
          <w:lang w:eastAsia="de-DE"/>
        </w:rPr>
        <w:t xml:space="preserve">(verlobt) im Nifal-Partizip von </w:t>
      </w:r>
      <w:r w:rsidRPr="000E6357">
        <w:rPr>
          <w:rFonts w:eastAsia="Times New Roman" w:cs="Times New Roman"/>
          <w:b/>
          <w:bCs/>
          <w:rtl/>
          <w:lang w:eastAsia="de-DE"/>
        </w:rPr>
        <w:t>חרף</w:t>
      </w:r>
      <w:r w:rsidRPr="000E6357">
        <w:rPr>
          <w:rFonts w:eastAsia="Times New Roman" w:cs="Times New Roman"/>
          <w:rtl/>
          <w:lang w:eastAsia="de-DE"/>
        </w:rPr>
        <w:t xml:space="preserve"> </w:t>
      </w:r>
      <w:r w:rsidRPr="000E6357">
        <w:rPr>
          <w:rFonts w:eastAsia="Times New Roman" w:cs="Times New Roman"/>
          <w:lang w:eastAsia="de-DE"/>
        </w:rPr>
        <w:t>zeigt Verlobungsstatus.</w:t>
      </w:r>
    </w:p>
    <w:p w14:paraId="68CDBE1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והפדה לא נפדתה או חפשה לא נתן־לה</w:t>
      </w:r>
      <w:r w:rsidRPr="000E6357">
        <w:rPr>
          <w:rFonts w:eastAsia="Times New Roman" w:cs="Times New Roman"/>
          <w:rtl/>
          <w:lang w:eastAsia="de-DE"/>
        </w:rPr>
        <w:t xml:space="preserve"> </w:t>
      </w:r>
      <w:r w:rsidRPr="000E6357">
        <w:rPr>
          <w:rFonts w:eastAsia="Times New Roman" w:cs="Times New Roman"/>
          <w:lang w:eastAsia="de-DE"/>
        </w:rPr>
        <w:t xml:space="preserve">(und sie ist keineswegs losgekauft, noch ist ihr die Freiheit geschenkt worden) - </w:t>
      </w:r>
      <w:r w:rsidRPr="000E6357">
        <w:rPr>
          <w:rFonts w:eastAsia="Times New Roman" w:cs="Times New Roman"/>
          <w:b/>
          <w:bCs/>
          <w:rtl/>
          <w:lang w:eastAsia="de-DE"/>
        </w:rPr>
        <w:t>והפדה לא נפדתה</w:t>
      </w:r>
      <w:r w:rsidRPr="000E6357">
        <w:rPr>
          <w:rFonts w:eastAsia="Times New Roman" w:cs="Times New Roman"/>
          <w:rtl/>
          <w:lang w:eastAsia="de-DE"/>
        </w:rPr>
        <w:t xml:space="preserve"> </w:t>
      </w:r>
      <w:r w:rsidRPr="000E6357">
        <w:rPr>
          <w:rFonts w:eastAsia="Times New Roman" w:cs="Times New Roman"/>
          <w:lang w:eastAsia="de-DE"/>
        </w:rPr>
        <w:t xml:space="preserve">(und losgekauft ist sie nicht losgekauft) mit infinitivus </w:t>
      </w:r>
      <w:r w:rsidRPr="000E6357">
        <w:rPr>
          <w:rFonts w:eastAsia="Times New Roman" w:cs="Times New Roman"/>
          <w:lang w:eastAsia="de-DE"/>
        </w:rPr>
        <w:lastRenderedPageBreak/>
        <w:t xml:space="preserve">absolutus + Nifal-Perfekt zeigt emphatische Verneinung. </w:t>
      </w:r>
      <w:r w:rsidRPr="000E6357">
        <w:rPr>
          <w:rFonts w:eastAsia="Times New Roman" w:cs="Times New Roman"/>
          <w:b/>
          <w:bCs/>
          <w:rtl/>
          <w:lang w:eastAsia="de-DE"/>
        </w:rPr>
        <w:t>או חפשה לא נתן־לה</w:t>
      </w:r>
      <w:r w:rsidRPr="000E6357">
        <w:rPr>
          <w:rFonts w:eastAsia="Times New Roman" w:cs="Times New Roman"/>
          <w:rtl/>
          <w:lang w:eastAsia="de-DE"/>
        </w:rPr>
        <w:t xml:space="preserve"> </w:t>
      </w:r>
      <w:r w:rsidRPr="000E6357">
        <w:rPr>
          <w:rFonts w:eastAsia="Times New Roman" w:cs="Times New Roman"/>
          <w:lang w:eastAsia="de-DE"/>
        </w:rPr>
        <w:t>(oder Freiheit ist ihr nicht gegeben) zeigt alternative Befreiungsform.</w:t>
      </w:r>
    </w:p>
    <w:p w14:paraId="380343C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בקרת תהיה לא יומתו כי־לא חפשה</w:t>
      </w:r>
      <w:r w:rsidRPr="000E6357">
        <w:rPr>
          <w:rFonts w:eastAsia="Times New Roman" w:cs="Times New Roman"/>
          <w:rtl/>
          <w:lang w:eastAsia="de-DE"/>
        </w:rPr>
        <w:t xml:space="preserve"> </w:t>
      </w:r>
      <w:r w:rsidRPr="000E6357">
        <w:rPr>
          <w:rFonts w:eastAsia="Times New Roman" w:cs="Times New Roman"/>
          <w:lang w:eastAsia="de-DE"/>
        </w:rPr>
        <w:t xml:space="preserve">(so soll Züchtigung stattfinden; sie sollen nicht getötet werden, denn sie ist nicht frei gewesen) - </w:t>
      </w:r>
      <w:r w:rsidRPr="000E6357">
        <w:rPr>
          <w:rFonts w:eastAsia="Times New Roman" w:cs="Times New Roman"/>
          <w:b/>
          <w:bCs/>
          <w:rtl/>
          <w:lang w:eastAsia="de-DE"/>
        </w:rPr>
        <w:t>בקרת</w:t>
      </w:r>
      <w:r w:rsidRPr="000E6357">
        <w:rPr>
          <w:rFonts w:eastAsia="Times New Roman" w:cs="Times New Roman"/>
          <w:rtl/>
          <w:lang w:eastAsia="de-DE"/>
        </w:rPr>
        <w:t xml:space="preserve"> </w:t>
      </w:r>
      <w:r w:rsidRPr="000E6357">
        <w:rPr>
          <w:rFonts w:eastAsia="Times New Roman" w:cs="Times New Roman"/>
          <w:lang w:eastAsia="de-DE"/>
        </w:rPr>
        <w:t xml:space="preserve">(Züchtigung) als mildere Strafe. </w:t>
      </w:r>
      <w:r w:rsidRPr="000E6357">
        <w:rPr>
          <w:rFonts w:eastAsia="Times New Roman" w:cs="Times New Roman"/>
          <w:b/>
          <w:bCs/>
          <w:rtl/>
          <w:lang w:eastAsia="de-DE"/>
        </w:rPr>
        <w:t>לא יומתו</w:t>
      </w:r>
      <w:r w:rsidRPr="000E6357">
        <w:rPr>
          <w:rFonts w:eastAsia="Times New Roman" w:cs="Times New Roman"/>
          <w:rtl/>
          <w:lang w:eastAsia="de-DE"/>
        </w:rPr>
        <w:t xml:space="preserve"> </w:t>
      </w:r>
      <w:r w:rsidRPr="000E6357">
        <w:rPr>
          <w:rFonts w:eastAsia="Times New Roman" w:cs="Times New Roman"/>
          <w:lang w:eastAsia="de-DE"/>
        </w:rPr>
        <w:t xml:space="preserve">(sie sollen nicht getötet werden) im Hofal-Imperfekt zeigt Verschonung von der Todesstrafe. </w:t>
      </w:r>
      <w:r w:rsidRPr="000E6357">
        <w:rPr>
          <w:rFonts w:eastAsia="Times New Roman" w:cs="Times New Roman"/>
          <w:b/>
          <w:bCs/>
          <w:rtl/>
          <w:lang w:eastAsia="de-DE"/>
        </w:rPr>
        <w:t>כי־לא חפשה</w:t>
      </w:r>
      <w:r w:rsidRPr="000E6357">
        <w:rPr>
          <w:rFonts w:eastAsia="Times New Roman" w:cs="Times New Roman"/>
          <w:rtl/>
          <w:lang w:eastAsia="de-DE"/>
        </w:rPr>
        <w:t xml:space="preserve"> </w:t>
      </w:r>
      <w:r w:rsidRPr="000E6357">
        <w:rPr>
          <w:rFonts w:eastAsia="Times New Roman" w:cs="Times New Roman"/>
          <w:lang w:eastAsia="de-DE"/>
        </w:rPr>
        <w:t>(denn sie ist nicht frei) begründet die Strafmilderung.</w:t>
      </w:r>
    </w:p>
    <w:p w14:paraId="704B78E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שפחה נחרפת</w:t>
      </w:r>
      <w:r w:rsidRPr="000E6357">
        <w:rPr>
          <w:rFonts w:eastAsia="Times New Roman" w:cs="Times New Roman"/>
          <w:rtl/>
          <w:lang w:eastAsia="de-DE"/>
        </w:rPr>
        <w:t xml:space="preserve"> </w:t>
      </w:r>
      <w:r w:rsidRPr="000E6357">
        <w:rPr>
          <w:rFonts w:eastAsia="Times New Roman" w:cs="Times New Roman"/>
          <w:lang w:eastAsia="de-DE"/>
        </w:rPr>
        <w:t xml:space="preserve">zeigt den juristischen Zwischenstatus. </w:t>
      </w:r>
      <w:r w:rsidRPr="000E6357">
        <w:rPr>
          <w:rFonts w:eastAsia="Times New Roman" w:cs="Times New Roman"/>
          <w:b/>
          <w:bCs/>
          <w:rtl/>
          <w:lang w:eastAsia="de-DE"/>
        </w:rPr>
        <w:t>פדה</w:t>
      </w:r>
      <w:r w:rsidRPr="000E6357">
        <w:rPr>
          <w:rFonts w:eastAsia="Times New Roman" w:cs="Times New Roman"/>
          <w:rtl/>
          <w:lang w:eastAsia="de-DE"/>
        </w:rPr>
        <w:t xml:space="preserve"> </w:t>
      </w:r>
      <w:r w:rsidRPr="000E6357">
        <w:rPr>
          <w:rFonts w:eastAsia="Times New Roman" w:cs="Times New Roman"/>
          <w:lang w:eastAsia="de-DE"/>
        </w:rPr>
        <w:t xml:space="preserve">vs. </w:t>
      </w:r>
      <w:r w:rsidRPr="000E6357">
        <w:rPr>
          <w:rFonts w:eastAsia="Times New Roman" w:cs="Times New Roman"/>
          <w:b/>
          <w:bCs/>
          <w:rtl/>
          <w:lang w:eastAsia="de-DE"/>
        </w:rPr>
        <w:t>חפשה</w:t>
      </w:r>
      <w:r w:rsidRPr="000E6357">
        <w:rPr>
          <w:rFonts w:eastAsia="Times New Roman" w:cs="Times New Roman"/>
          <w:rtl/>
          <w:lang w:eastAsia="de-DE"/>
        </w:rPr>
        <w:t xml:space="preserve"> </w:t>
      </w:r>
      <w:r w:rsidRPr="000E6357">
        <w:rPr>
          <w:rFonts w:eastAsia="Times New Roman" w:cs="Times New Roman"/>
          <w:lang w:eastAsia="de-DE"/>
        </w:rPr>
        <w:t xml:space="preserve">zeigt zwei Befreiungsformen. </w:t>
      </w:r>
      <w:r w:rsidRPr="000E6357">
        <w:rPr>
          <w:rFonts w:eastAsia="Times New Roman" w:cs="Times New Roman"/>
          <w:b/>
          <w:bCs/>
          <w:rtl/>
          <w:lang w:eastAsia="de-DE"/>
        </w:rPr>
        <w:t>בקרת</w:t>
      </w:r>
      <w:r w:rsidRPr="000E6357">
        <w:rPr>
          <w:rFonts w:eastAsia="Times New Roman" w:cs="Times New Roman"/>
          <w:rtl/>
          <w:lang w:eastAsia="de-DE"/>
        </w:rPr>
        <w:t xml:space="preserve"> </w:t>
      </w:r>
      <w:r w:rsidRPr="000E6357">
        <w:rPr>
          <w:rFonts w:eastAsia="Times New Roman" w:cs="Times New Roman"/>
          <w:lang w:eastAsia="de-DE"/>
        </w:rPr>
        <w:t>als Zwischenstrafe zwischen Freispruch und Tod.</w:t>
      </w:r>
    </w:p>
    <w:p w14:paraId="1A698FA2" w14:textId="4ACA4646"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שפחה נחרפת</w:t>
      </w:r>
      <w:r w:rsidR="004F25E8">
        <w:t xml:space="preserve"> (</w:t>
      </w:r>
      <w:proofErr w:type="spellStart"/>
      <w:r w:rsidR="004F25E8">
        <w:t>shifcha</w:t>
      </w:r>
      <w:proofErr w:type="spellEnd"/>
      <w:r w:rsidR="004F25E8">
        <w:t xml:space="preserve"> </w:t>
      </w:r>
      <w:proofErr w:type="spellStart"/>
      <w:r w:rsidR="004F25E8">
        <w:t>necherefet</w:t>
      </w:r>
      <w:proofErr w:type="spellEnd"/>
      <w:r w:rsidR="004F25E8">
        <w:t xml:space="preserve"> - "verlobte Sklavin") als </w:t>
      </w:r>
      <w:proofErr w:type="spellStart"/>
      <w:r w:rsidR="004F25E8">
        <w:t>οἰκέτις</w:t>
      </w:r>
      <w:proofErr w:type="spellEnd"/>
      <w:r w:rsidR="004F25E8">
        <w:t xml:space="preserve"> </w:t>
      </w:r>
      <w:proofErr w:type="spellStart"/>
      <w:r w:rsidR="004F25E8">
        <w:t>δι</w:t>
      </w:r>
      <w:proofErr w:type="spellEnd"/>
      <w:r w:rsidR="004F25E8">
        <w:t xml:space="preserve">απεφυλαγμένη (bewachte Dienerin) und </w:t>
      </w:r>
      <w:r w:rsidR="004F25E8">
        <w:rPr>
          <w:rtl/>
        </w:rPr>
        <w:t>בקרת</w:t>
      </w:r>
      <w:r w:rsidR="004F25E8">
        <w:t xml:space="preserve"> (</w:t>
      </w:r>
      <w:proofErr w:type="spellStart"/>
      <w:r w:rsidR="004F25E8">
        <w:t>biqqoret</w:t>
      </w:r>
      <w:proofErr w:type="spellEnd"/>
      <w:r w:rsidR="004F25E8">
        <w:t xml:space="preserve"> - "Untersuchung") als ἐπ</w:t>
      </w:r>
      <w:proofErr w:type="spellStart"/>
      <w:r w:rsidR="004F25E8">
        <w:t>ισκο</w:t>
      </w:r>
      <w:proofErr w:type="spellEnd"/>
      <w:r w:rsidR="004F25E8">
        <w:t>πή (Aufsicht/Strafe).</w:t>
      </w:r>
    </w:p>
    <w:p w14:paraId="5EB7F45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Sonderfall: Geschlechtsverkehr mit verlobter unbefreiter Sklavin + mildere Strafe wegen unfreiem Status.</w:t>
      </w:r>
    </w:p>
    <w:p w14:paraId="5226B50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zeigt die rechtliche Sonderbehandlung verlobter Sklavinnen mit milderen Strafen wegen ihres unfreien Status.</w:t>
      </w:r>
    </w:p>
    <w:p w14:paraId="7FE76341"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19,21</w:t>
      </w:r>
    </w:p>
    <w:p w14:paraId="6AD7BB2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וְהֵבִ֤יא אֶת־אֲשָׁמוֹ֙ לַֽיהוָ֔ה אֶל־פֶּ֖תַח אֹ֣הֶל מוֹעֵ֑ד אֵ֖יל אָשָֽׁם׃</w:t>
      </w:r>
    </w:p>
    <w:p w14:paraId="7134DC9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er soll dem Ewigen sein Schuldopfer bringen an den Eingang des Zeltes der Begegnung, einen Widder als Schuldopfer.</w:t>
      </w:r>
    </w:p>
    <w:p w14:paraId="13FFFAC1"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10F942B">
          <v:rect id="_x0000_i1581" style="width:0;height:1.5pt" o:hralign="center" o:hrstd="t" o:hr="t" fillcolor="#a0a0a0" stroked="f"/>
        </w:pict>
      </w:r>
    </w:p>
    <w:p w14:paraId="5E438CD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והביא את־אשמו ליהוה אל־פתח אהל מועד איל אשם</w:t>
      </w:r>
      <w:r w:rsidRPr="000E6357">
        <w:rPr>
          <w:rFonts w:eastAsia="Times New Roman" w:cs="Times New Roman"/>
          <w:rtl/>
          <w:lang w:eastAsia="de-DE"/>
        </w:rPr>
        <w:t xml:space="preserve"> </w:t>
      </w:r>
      <w:r w:rsidRPr="000E6357">
        <w:rPr>
          <w:rFonts w:eastAsia="Times New Roman" w:cs="Times New Roman"/>
          <w:lang w:eastAsia="de-DE"/>
        </w:rPr>
        <w:t xml:space="preserve">zeigt die Sühne für den Mann. </w:t>
      </w:r>
      <w:r w:rsidRPr="000E6357">
        <w:rPr>
          <w:rFonts w:eastAsia="Times New Roman" w:cs="Times New Roman"/>
          <w:b/>
          <w:bCs/>
          <w:rtl/>
          <w:lang w:eastAsia="de-DE"/>
        </w:rPr>
        <w:t>והביא את־אשמו ליהוה</w:t>
      </w:r>
      <w:r w:rsidRPr="000E6357">
        <w:rPr>
          <w:rFonts w:eastAsia="Times New Roman" w:cs="Times New Roman"/>
          <w:rtl/>
          <w:lang w:eastAsia="de-DE"/>
        </w:rPr>
        <w:t xml:space="preserve"> </w:t>
      </w:r>
      <w:r w:rsidRPr="000E6357">
        <w:rPr>
          <w:rFonts w:eastAsia="Times New Roman" w:cs="Times New Roman"/>
          <w:lang w:eastAsia="de-DE"/>
        </w:rPr>
        <w:t xml:space="preserve">(und er soll sein Schuldopfer dem Ewigen bringen) - </w:t>
      </w:r>
      <w:r w:rsidRPr="000E6357">
        <w:rPr>
          <w:rFonts w:eastAsia="Times New Roman" w:cs="Times New Roman"/>
          <w:b/>
          <w:bCs/>
          <w:rtl/>
          <w:lang w:eastAsia="de-DE"/>
        </w:rPr>
        <w:t>והביא</w:t>
      </w:r>
      <w:r w:rsidRPr="000E6357">
        <w:rPr>
          <w:rFonts w:eastAsia="Times New Roman" w:cs="Times New Roman"/>
          <w:rtl/>
          <w:lang w:eastAsia="de-DE"/>
        </w:rPr>
        <w:t xml:space="preserve"> </w:t>
      </w:r>
      <w:r w:rsidRPr="000E6357">
        <w:rPr>
          <w:rFonts w:eastAsia="Times New Roman" w:cs="Times New Roman"/>
          <w:lang w:eastAsia="de-DE"/>
        </w:rPr>
        <w:t xml:space="preserve">(und er soll bringen) im Hifil-Perfekt mit Waw-Konsekutiv, das Hifil zeigt kausatives Darbringen. </w:t>
      </w:r>
      <w:r w:rsidRPr="000E6357">
        <w:rPr>
          <w:rFonts w:eastAsia="Times New Roman" w:cs="Times New Roman"/>
          <w:b/>
          <w:bCs/>
          <w:rtl/>
          <w:lang w:eastAsia="de-DE"/>
        </w:rPr>
        <w:t>את־אשמו</w:t>
      </w:r>
      <w:r w:rsidRPr="000E6357">
        <w:rPr>
          <w:rFonts w:eastAsia="Times New Roman" w:cs="Times New Roman"/>
          <w:rtl/>
          <w:lang w:eastAsia="de-DE"/>
        </w:rPr>
        <w:t xml:space="preserve"> </w:t>
      </w:r>
      <w:r w:rsidRPr="000E6357">
        <w:rPr>
          <w:rFonts w:eastAsia="Times New Roman" w:cs="Times New Roman"/>
          <w:lang w:eastAsia="de-DE"/>
        </w:rPr>
        <w:t xml:space="preserve">(sein Schuldopfer) zeigt, dass nur der Mann (nicht die Sklavin) das Opfer bringt. </w:t>
      </w:r>
      <w:r w:rsidRPr="000E6357">
        <w:rPr>
          <w:rFonts w:eastAsia="Times New Roman" w:cs="Times New Roman"/>
          <w:b/>
          <w:bCs/>
          <w:rtl/>
          <w:lang w:eastAsia="de-DE"/>
        </w:rPr>
        <w:t>אל־פתח אהל מועד</w:t>
      </w:r>
      <w:r w:rsidRPr="000E6357">
        <w:rPr>
          <w:rFonts w:eastAsia="Times New Roman" w:cs="Times New Roman"/>
          <w:rtl/>
          <w:lang w:eastAsia="de-DE"/>
        </w:rPr>
        <w:t xml:space="preserve"> </w:t>
      </w:r>
      <w:r w:rsidRPr="000E6357">
        <w:rPr>
          <w:rFonts w:eastAsia="Times New Roman" w:cs="Times New Roman"/>
          <w:lang w:eastAsia="de-DE"/>
        </w:rPr>
        <w:t>(an den Eingang des Zeltes der Begegnung) zeigt den Opferort.</w:t>
      </w:r>
    </w:p>
    <w:p w14:paraId="607FD07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איל אשם</w:t>
      </w:r>
      <w:r w:rsidRPr="000E6357">
        <w:rPr>
          <w:rFonts w:eastAsia="Times New Roman" w:cs="Times New Roman"/>
          <w:rtl/>
          <w:lang w:eastAsia="de-DE"/>
        </w:rPr>
        <w:t xml:space="preserve"> </w:t>
      </w:r>
      <w:r w:rsidRPr="000E6357">
        <w:rPr>
          <w:rFonts w:eastAsia="Times New Roman" w:cs="Times New Roman"/>
          <w:lang w:eastAsia="de-DE"/>
        </w:rPr>
        <w:t xml:space="preserve">(einen Widder als Schuldopfer) spezifiziert das Opfertier. </w:t>
      </w:r>
      <w:r w:rsidRPr="000E6357">
        <w:rPr>
          <w:rFonts w:eastAsia="Times New Roman" w:cs="Times New Roman"/>
          <w:b/>
          <w:bCs/>
          <w:rtl/>
          <w:lang w:eastAsia="de-DE"/>
        </w:rPr>
        <w:t>איל</w:t>
      </w:r>
      <w:r w:rsidRPr="000E6357">
        <w:rPr>
          <w:rFonts w:eastAsia="Times New Roman" w:cs="Times New Roman"/>
          <w:rtl/>
          <w:lang w:eastAsia="de-DE"/>
        </w:rPr>
        <w:t xml:space="preserve"> </w:t>
      </w:r>
      <w:r w:rsidRPr="000E6357">
        <w:rPr>
          <w:rFonts w:eastAsia="Times New Roman" w:cs="Times New Roman"/>
          <w:lang w:eastAsia="de-DE"/>
        </w:rPr>
        <w:t xml:space="preserve">(Widder) als Standardtier für </w:t>
      </w:r>
      <w:r w:rsidRPr="000E6357">
        <w:rPr>
          <w:rFonts w:eastAsia="Times New Roman" w:cs="Times New Roman"/>
          <w:b/>
          <w:bCs/>
          <w:rtl/>
          <w:lang w:eastAsia="de-DE"/>
        </w:rPr>
        <w:t>אשם</w:t>
      </w:r>
      <w:r w:rsidRPr="000E6357">
        <w:rPr>
          <w:rFonts w:eastAsia="Times New Roman" w:cs="Times New Roman"/>
          <w:lang w:eastAsia="de-DE"/>
        </w:rPr>
        <w:t>-Opfer.</w:t>
      </w:r>
    </w:p>
    <w:p w14:paraId="226CC7A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את־אשמו</w:t>
      </w:r>
      <w:r w:rsidRPr="000E6357">
        <w:rPr>
          <w:rFonts w:eastAsia="Times New Roman" w:cs="Times New Roman"/>
          <w:rtl/>
          <w:lang w:eastAsia="de-DE"/>
        </w:rPr>
        <w:t xml:space="preserve"> </w:t>
      </w:r>
      <w:r w:rsidRPr="000E6357">
        <w:rPr>
          <w:rFonts w:eastAsia="Times New Roman" w:cs="Times New Roman"/>
          <w:lang w:eastAsia="de-DE"/>
        </w:rPr>
        <w:t xml:space="preserve">zeigt, dass nur der freie Mann opferpflichtig ist. </w:t>
      </w:r>
      <w:r w:rsidRPr="000E6357">
        <w:rPr>
          <w:rFonts w:eastAsia="Times New Roman" w:cs="Times New Roman"/>
          <w:b/>
          <w:bCs/>
          <w:rtl/>
          <w:lang w:eastAsia="de-DE"/>
        </w:rPr>
        <w:t>איל אשם</w:t>
      </w:r>
      <w:r w:rsidRPr="000E6357">
        <w:rPr>
          <w:rFonts w:eastAsia="Times New Roman" w:cs="Times New Roman"/>
          <w:rtl/>
          <w:lang w:eastAsia="de-DE"/>
        </w:rPr>
        <w:t xml:space="preserve"> </w:t>
      </w:r>
      <w:r w:rsidRPr="000E6357">
        <w:rPr>
          <w:rFonts w:eastAsia="Times New Roman" w:cs="Times New Roman"/>
          <w:lang w:eastAsia="de-DE"/>
        </w:rPr>
        <w:t xml:space="preserve">entspricht anderen </w:t>
      </w:r>
      <w:r w:rsidRPr="000E6357">
        <w:rPr>
          <w:rFonts w:eastAsia="Times New Roman" w:cs="Times New Roman"/>
          <w:b/>
          <w:bCs/>
          <w:rtl/>
          <w:lang w:eastAsia="de-DE"/>
        </w:rPr>
        <w:t>אשם</w:t>
      </w:r>
      <w:r w:rsidRPr="000E6357">
        <w:rPr>
          <w:rFonts w:eastAsia="Times New Roman" w:cs="Times New Roman"/>
          <w:lang w:eastAsia="de-DE"/>
        </w:rPr>
        <w:t>-Opfern. Die Frau ist wegen ihres Sklavenstatus nicht opferpflichtig.</w:t>
      </w:r>
    </w:p>
    <w:p w14:paraId="4233755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והביא</w:t>
      </w:r>
      <w:r w:rsidRPr="000E6357">
        <w:rPr>
          <w:rFonts w:eastAsia="Times New Roman" w:cs="Times New Roman"/>
          <w:rtl/>
          <w:lang w:eastAsia="de-DE"/>
        </w:rPr>
        <w:t xml:space="preserve"> </w:t>
      </w:r>
      <w:r w:rsidRPr="000E6357">
        <w:rPr>
          <w:rFonts w:eastAsia="Times New Roman" w:cs="Times New Roman"/>
          <w:lang w:eastAsia="de-DE"/>
        </w:rPr>
        <w:t>mit π</w:t>
      </w:r>
      <w:proofErr w:type="spellStart"/>
      <w:r w:rsidRPr="000E6357">
        <w:rPr>
          <w:rFonts w:eastAsia="Times New Roman" w:cs="Times New Roman"/>
          <w:lang w:eastAsia="de-DE"/>
        </w:rPr>
        <w:t>ροσάξει</w:t>
      </w:r>
      <w:proofErr w:type="spellEnd"/>
      <w:r w:rsidRPr="000E6357">
        <w:rPr>
          <w:rFonts w:eastAsia="Times New Roman" w:cs="Times New Roman"/>
          <w:lang w:eastAsia="de-DE"/>
        </w:rPr>
        <w:t xml:space="preserve"> (er wird darbringen), </w:t>
      </w:r>
      <w:r w:rsidRPr="000E6357">
        <w:rPr>
          <w:rFonts w:eastAsia="Times New Roman" w:cs="Times New Roman"/>
          <w:b/>
          <w:bCs/>
          <w:rtl/>
          <w:lang w:eastAsia="de-DE"/>
        </w:rPr>
        <w:t>אשמו</w:t>
      </w:r>
      <w:r w:rsidRPr="000E6357">
        <w:rPr>
          <w:rFonts w:eastAsia="Times New Roman" w:cs="Times New Roman"/>
          <w:rtl/>
          <w:lang w:eastAsia="de-DE"/>
        </w:rPr>
        <w:t xml:space="preserve"> </w:t>
      </w:r>
      <w:r w:rsidRPr="000E6357">
        <w:rPr>
          <w:rFonts w:eastAsia="Times New Roman" w:cs="Times New Roman"/>
          <w:lang w:eastAsia="de-DE"/>
        </w:rPr>
        <w:t>mit π</w:t>
      </w:r>
      <w:proofErr w:type="spellStart"/>
      <w:r w:rsidRPr="000E6357">
        <w:rPr>
          <w:rFonts w:eastAsia="Times New Roman" w:cs="Times New Roman"/>
          <w:lang w:eastAsia="de-DE"/>
        </w:rPr>
        <w:t>λημμέλει</w:t>
      </w:r>
      <w:proofErr w:type="spellEnd"/>
      <w:r w:rsidRPr="000E6357">
        <w:rPr>
          <w:rFonts w:eastAsia="Times New Roman" w:cs="Times New Roman"/>
          <w:lang w:eastAsia="de-DE"/>
        </w:rPr>
        <w:t>αν α</w:t>
      </w:r>
      <w:proofErr w:type="spellStart"/>
      <w:r w:rsidRPr="000E6357">
        <w:rPr>
          <w:rFonts w:eastAsia="Times New Roman" w:cs="Times New Roman"/>
          <w:lang w:eastAsia="de-DE"/>
        </w:rPr>
        <w:t>ὐτοῦ</w:t>
      </w:r>
      <w:proofErr w:type="spellEnd"/>
      <w:r w:rsidRPr="000E6357">
        <w:rPr>
          <w:rFonts w:eastAsia="Times New Roman" w:cs="Times New Roman"/>
          <w:lang w:eastAsia="de-DE"/>
        </w:rPr>
        <w:t xml:space="preserve"> (seine Verfehlung) und </w:t>
      </w:r>
      <w:r w:rsidRPr="000E6357">
        <w:rPr>
          <w:rFonts w:eastAsia="Times New Roman" w:cs="Times New Roman"/>
          <w:b/>
          <w:bCs/>
          <w:rtl/>
          <w:lang w:eastAsia="de-DE"/>
        </w:rPr>
        <w:t>איל אשם</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κριὸν</w:t>
      </w:r>
      <w:proofErr w:type="spellEnd"/>
      <w:r w:rsidRPr="000E6357">
        <w:rPr>
          <w:rFonts w:eastAsia="Times New Roman" w:cs="Times New Roman"/>
          <w:lang w:eastAsia="de-DE"/>
        </w:rPr>
        <w:t xml:space="preserve"> π</w:t>
      </w:r>
      <w:proofErr w:type="spellStart"/>
      <w:r w:rsidRPr="000E6357">
        <w:rPr>
          <w:rFonts w:eastAsia="Times New Roman" w:cs="Times New Roman"/>
          <w:lang w:eastAsia="de-DE"/>
        </w:rPr>
        <w:t>λημμελεί</w:t>
      </w:r>
      <w:proofErr w:type="spellEnd"/>
      <w:r w:rsidRPr="000E6357">
        <w:rPr>
          <w:rFonts w:eastAsia="Times New Roman" w:cs="Times New Roman"/>
          <w:lang w:eastAsia="de-DE"/>
        </w:rPr>
        <w:t>ας (Widder der Verfehlung).</w:t>
      </w:r>
    </w:p>
    <w:p w14:paraId="4B2A064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männliche Opferpflicht: Schuldopferdarbringung + Ortsangabe + Tierspezifikation.</w:t>
      </w:r>
    </w:p>
    <w:p w14:paraId="264023B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zeigt, dass nur der freie Mann (nicht die Sklavin) ein Schuldopfer bringen muss.</w:t>
      </w:r>
    </w:p>
    <w:p w14:paraId="05A80838"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lastRenderedPageBreak/>
        <w:t>Leviticus 19,22</w:t>
      </w:r>
    </w:p>
    <w:p w14:paraId="1A4FF7C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וְכִפֶּר֩ עָלָ֨יו הַכֹּהֵ֜ן בְּאֵ֤יל הָֽאָשָׁם֙ לִפְנֵ֣י יְהוָ֔ה עַל־חַטָּאתוֹ֖ אֲשֶׁ֣ר חָטָ֑א וְנִסְלַ֣ח לוֹ֔ מֵחַטָּאתוֹ֖ אֲשֶׁ֥ר חָטָֽא׃</w:t>
      </w:r>
    </w:p>
    <w:p w14:paraId="08E25AC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der Priester soll ihm Sühne erwirken mit dem Widder des Schuldopfers vor dem Ewigen wegen seiner Sünde, die er begangen hat; und seine Sünde, die er begangen hat, wird ihm vergeben werden.</w:t>
      </w:r>
    </w:p>
    <w:p w14:paraId="6EC23074"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6DB3FD40">
          <v:rect id="_x0000_i1582" style="width:0;height:1.5pt" o:hralign="center" o:hrstd="t" o:hr="t" fillcolor="#a0a0a0" stroked="f"/>
        </w:pict>
      </w:r>
    </w:p>
    <w:p w14:paraId="2AC9C50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וכפר עליו הכהן באיל האשם לפני יהוה על־חטאתו אשר חטא ונסלח לו מחטאתו אשר חטא</w:t>
      </w:r>
      <w:r w:rsidRPr="000E6357">
        <w:rPr>
          <w:rFonts w:eastAsia="Times New Roman" w:cs="Times New Roman"/>
          <w:rtl/>
          <w:lang w:eastAsia="de-DE"/>
        </w:rPr>
        <w:t xml:space="preserve"> </w:t>
      </w:r>
      <w:r w:rsidRPr="000E6357">
        <w:rPr>
          <w:rFonts w:eastAsia="Times New Roman" w:cs="Times New Roman"/>
          <w:lang w:eastAsia="de-DE"/>
        </w:rPr>
        <w:t xml:space="preserve">zeigt die Sühnewirkung des Opfers. </w:t>
      </w:r>
      <w:r w:rsidRPr="000E6357">
        <w:rPr>
          <w:rFonts w:eastAsia="Times New Roman" w:cs="Times New Roman"/>
          <w:b/>
          <w:bCs/>
          <w:rtl/>
          <w:lang w:eastAsia="de-DE"/>
        </w:rPr>
        <w:t>וכפר עליו הכהן באיל האשם לפני יהוה</w:t>
      </w:r>
      <w:r w:rsidRPr="000E6357">
        <w:rPr>
          <w:rFonts w:eastAsia="Times New Roman" w:cs="Times New Roman"/>
          <w:rtl/>
          <w:lang w:eastAsia="de-DE"/>
        </w:rPr>
        <w:t xml:space="preserve"> </w:t>
      </w:r>
      <w:r w:rsidRPr="000E6357">
        <w:rPr>
          <w:rFonts w:eastAsia="Times New Roman" w:cs="Times New Roman"/>
          <w:lang w:eastAsia="de-DE"/>
        </w:rPr>
        <w:t xml:space="preserve">(und der Priester soll ihm Sühne erwirken mit dem Widder des Schuldopfers vor dem Ewigen) - </w:t>
      </w:r>
      <w:r w:rsidRPr="000E6357">
        <w:rPr>
          <w:rFonts w:eastAsia="Times New Roman" w:cs="Times New Roman"/>
          <w:b/>
          <w:bCs/>
          <w:rtl/>
          <w:lang w:eastAsia="de-DE"/>
        </w:rPr>
        <w:t>וכפר עליו</w:t>
      </w:r>
      <w:r w:rsidRPr="000E6357">
        <w:rPr>
          <w:rFonts w:eastAsia="Times New Roman" w:cs="Times New Roman"/>
          <w:rtl/>
          <w:lang w:eastAsia="de-DE"/>
        </w:rPr>
        <w:t xml:space="preserve"> </w:t>
      </w:r>
      <w:r w:rsidRPr="000E6357">
        <w:rPr>
          <w:rFonts w:eastAsia="Times New Roman" w:cs="Times New Roman"/>
          <w:lang w:eastAsia="de-DE"/>
        </w:rPr>
        <w:t xml:space="preserve">(und Sühne erwirken für ihn) im Piel-Perfekt mit Waw-Konsekutiv, das Piel zeigt intensive Sühne. </w:t>
      </w:r>
      <w:r w:rsidRPr="000E6357">
        <w:rPr>
          <w:rFonts w:eastAsia="Times New Roman" w:cs="Times New Roman"/>
          <w:b/>
          <w:bCs/>
          <w:rtl/>
          <w:lang w:eastAsia="de-DE"/>
        </w:rPr>
        <w:t>באיל האשם</w:t>
      </w:r>
      <w:r w:rsidRPr="000E6357">
        <w:rPr>
          <w:rFonts w:eastAsia="Times New Roman" w:cs="Times New Roman"/>
          <w:rtl/>
          <w:lang w:eastAsia="de-DE"/>
        </w:rPr>
        <w:t xml:space="preserve"> </w:t>
      </w:r>
      <w:r w:rsidRPr="000E6357">
        <w:rPr>
          <w:rFonts w:eastAsia="Times New Roman" w:cs="Times New Roman"/>
          <w:lang w:eastAsia="de-DE"/>
        </w:rPr>
        <w:t>(mit dem Widder des Schuldopfers) zeigt das Sühnmittel.</w:t>
      </w:r>
    </w:p>
    <w:p w14:paraId="1997A2B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על־חטאתו אשר חטא ונסלח לו מחטאתו אשר חטא</w:t>
      </w:r>
      <w:r w:rsidRPr="000E6357">
        <w:rPr>
          <w:rFonts w:eastAsia="Times New Roman" w:cs="Times New Roman"/>
          <w:rtl/>
          <w:lang w:eastAsia="de-DE"/>
        </w:rPr>
        <w:t xml:space="preserve"> </w:t>
      </w:r>
      <w:r w:rsidRPr="000E6357">
        <w:rPr>
          <w:rFonts w:eastAsia="Times New Roman" w:cs="Times New Roman"/>
          <w:lang w:eastAsia="de-DE"/>
        </w:rPr>
        <w:t xml:space="preserve">(wegen seiner Sünde, die er begangen hat; und seine Sünde, die er begangen hat, wird ihm vergeben werden) - die Wiederholung </w:t>
      </w:r>
      <w:r w:rsidRPr="000E6357">
        <w:rPr>
          <w:rFonts w:eastAsia="Times New Roman" w:cs="Times New Roman"/>
          <w:b/>
          <w:bCs/>
          <w:rtl/>
          <w:lang w:eastAsia="de-DE"/>
        </w:rPr>
        <w:t>חטאתו אשר חטא</w:t>
      </w:r>
      <w:r w:rsidRPr="000E6357">
        <w:rPr>
          <w:rFonts w:eastAsia="Times New Roman" w:cs="Times New Roman"/>
          <w:rtl/>
          <w:lang w:eastAsia="de-DE"/>
        </w:rPr>
        <w:t xml:space="preserve"> </w:t>
      </w:r>
      <w:r w:rsidRPr="000E6357">
        <w:rPr>
          <w:rFonts w:eastAsia="Times New Roman" w:cs="Times New Roman"/>
          <w:lang w:eastAsia="de-DE"/>
        </w:rPr>
        <w:t xml:space="preserve">(seine Sünde, die er begangen hat) betont die spezifische Verfehlung. </w:t>
      </w:r>
      <w:r w:rsidRPr="000E6357">
        <w:rPr>
          <w:rFonts w:eastAsia="Times New Roman" w:cs="Times New Roman"/>
          <w:b/>
          <w:bCs/>
          <w:rtl/>
          <w:lang w:eastAsia="de-DE"/>
        </w:rPr>
        <w:t>ונסלח לו</w:t>
      </w:r>
      <w:r w:rsidRPr="000E6357">
        <w:rPr>
          <w:rFonts w:eastAsia="Times New Roman" w:cs="Times New Roman"/>
          <w:rtl/>
          <w:lang w:eastAsia="de-DE"/>
        </w:rPr>
        <w:t xml:space="preserve"> </w:t>
      </w:r>
      <w:r w:rsidRPr="000E6357">
        <w:rPr>
          <w:rFonts w:eastAsia="Times New Roman" w:cs="Times New Roman"/>
          <w:lang w:eastAsia="de-DE"/>
        </w:rPr>
        <w:t>(und es wird ihm vergeben) im Nifal-Perfekt mit Waw-Konsekutiv zeigt göttliche Vergebung.</w:t>
      </w:r>
    </w:p>
    <w:p w14:paraId="694AEB4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וכפר עליו הכהן</w:t>
      </w:r>
      <w:r w:rsidRPr="000E6357">
        <w:rPr>
          <w:rFonts w:eastAsia="Times New Roman" w:cs="Times New Roman"/>
          <w:rtl/>
          <w:lang w:eastAsia="de-DE"/>
        </w:rPr>
        <w:t xml:space="preserve"> </w:t>
      </w:r>
      <w:r w:rsidRPr="000E6357">
        <w:rPr>
          <w:rFonts w:eastAsia="Times New Roman" w:cs="Times New Roman"/>
          <w:lang w:eastAsia="de-DE"/>
        </w:rPr>
        <w:t xml:space="preserve">zeigt priesterliche Vermittlung. </w:t>
      </w:r>
      <w:r w:rsidRPr="000E6357">
        <w:rPr>
          <w:rFonts w:eastAsia="Times New Roman" w:cs="Times New Roman"/>
          <w:b/>
          <w:bCs/>
          <w:rtl/>
          <w:lang w:eastAsia="de-DE"/>
        </w:rPr>
        <w:t>באיל האשם לפני יהוה</w:t>
      </w:r>
      <w:r w:rsidRPr="000E6357">
        <w:rPr>
          <w:rFonts w:eastAsia="Times New Roman" w:cs="Times New Roman"/>
          <w:rtl/>
          <w:lang w:eastAsia="de-DE"/>
        </w:rPr>
        <w:t xml:space="preserve"> </w:t>
      </w:r>
      <w:r w:rsidRPr="000E6357">
        <w:rPr>
          <w:rFonts w:eastAsia="Times New Roman" w:cs="Times New Roman"/>
          <w:lang w:eastAsia="de-DE"/>
        </w:rPr>
        <w:t xml:space="preserve">zeigt das Ritual vor JHWH. Die doppelte Formulierung </w:t>
      </w:r>
      <w:r w:rsidRPr="000E6357">
        <w:rPr>
          <w:rFonts w:eastAsia="Times New Roman" w:cs="Times New Roman"/>
          <w:b/>
          <w:bCs/>
          <w:rtl/>
          <w:lang w:eastAsia="de-DE"/>
        </w:rPr>
        <w:t>חטאתו אשר חטא</w:t>
      </w:r>
      <w:r w:rsidRPr="000E6357">
        <w:rPr>
          <w:rFonts w:eastAsia="Times New Roman" w:cs="Times New Roman"/>
          <w:rtl/>
          <w:lang w:eastAsia="de-DE"/>
        </w:rPr>
        <w:t xml:space="preserve"> </w:t>
      </w:r>
      <w:r w:rsidRPr="000E6357">
        <w:rPr>
          <w:rFonts w:eastAsia="Times New Roman" w:cs="Times New Roman"/>
          <w:lang w:eastAsia="de-DE"/>
        </w:rPr>
        <w:t>betont die vollständige Sühne der spezifischen Verfehlung.</w:t>
      </w:r>
    </w:p>
    <w:p w14:paraId="7A31BD1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וכפר</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ἐξιλάσετ</w:t>
      </w:r>
      <w:proofErr w:type="spellEnd"/>
      <w:r w:rsidRPr="000E6357">
        <w:rPr>
          <w:rFonts w:eastAsia="Times New Roman" w:cs="Times New Roman"/>
          <w:lang w:eastAsia="de-DE"/>
        </w:rPr>
        <w:t xml:space="preserve">αι (er wird entsühnen), </w:t>
      </w:r>
      <w:r w:rsidRPr="000E6357">
        <w:rPr>
          <w:rFonts w:eastAsia="Times New Roman" w:cs="Times New Roman"/>
          <w:b/>
          <w:bCs/>
          <w:rtl/>
          <w:lang w:eastAsia="de-DE"/>
        </w:rPr>
        <w:t>ונסלח</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ἀφεθήσετ</w:t>
      </w:r>
      <w:proofErr w:type="spellEnd"/>
      <w:r w:rsidRPr="000E6357">
        <w:rPr>
          <w:rFonts w:eastAsia="Times New Roman" w:cs="Times New Roman"/>
          <w:lang w:eastAsia="de-DE"/>
        </w:rPr>
        <w:t>αι (wird vergeben werden) und die Wiederholung mit entsprechenden griechischen Wendungen.</w:t>
      </w:r>
    </w:p>
    <w:p w14:paraId="6131011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Sühneverfahren: priesterliche Sühne + Opfermittel + spezifische Sündenbezogenheit + göttliche Vergebung.</w:t>
      </w:r>
    </w:p>
    <w:p w14:paraId="3002A2A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schließt das Sühneverfahren mit priesterlicher Vermittlung und göttlicher Vergebung ab.</w:t>
      </w:r>
    </w:p>
    <w:p w14:paraId="702679FE"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19,23</w:t>
      </w:r>
    </w:p>
    <w:p w14:paraId="0F22EE4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וְכִי־תָבֹ֣אוּ אֶל־הָאָ֗רֶץ וּנְטַעְתֶּם֙ כָּל־עֵ֣ץ מַאֲכָ֔ל וַעֲרַלְתֶּ֥ם עָרְלָתוֹ֖ אֶת־פִּרְיֹ֑ו שָׁלֹ֣שׁ שָׁנִ֗ים יִהְיֶ֥ה לָכֶ֛ם עֲרֵלִ֖ים לֹ֥א יֵאָכֵֽל׃</w:t>
      </w:r>
    </w:p>
    <w:p w14:paraId="4A1AD32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wenn ihr in das Land kommt und allerlei Bäume zur Speise pflanzt, so sollt ihr ihre Frucht betrachten als ihre Vorhaut; drei Jahre sollen sie euch als unbeschnitten gelten, sie soll nicht gegessen werden.</w:t>
      </w:r>
    </w:p>
    <w:p w14:paraId="0223916F"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D0772F7">
          <v:rect id="_x0000_i1583" style="width:0;height:1.5pt" o:hralign="center" o:hrstd="t" o:hr="t" fillcolor="#a0a0a0" stroked="f"/>
        </w:pict>
      </w:r>
    </w:p>
    <w:p w14:paraId="298EF20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וכי־תבאו אל־הארץ ונטעתם כל־עץ מאכל וערלתם ערלתו את־פריו שלש שנים יהיה לכם ערלים לא יאכל</w:t>
      </w:r>
      <w:r w:rsidRPr="000E6357">
        <w:rPr>
          <w:rFonts w:eastAsia="Times New Roman" w:cs="Times New Roman"/>
          <w:rtl/>
          <w:lang w:eastAsia="de-DE"/>
        </w:rPr>
        <w:t xml:space="preserve"> </w:t>
      </w:r>
      <w:r w:rsidRPr="000E6357">
        <w:rPr>
          <w:rFonts w:eastAsia="Times New Roman" w:cs="Times New Roman"/>
          <w:lang w:eastAsia="de-DE"/>
        </w:rPr>
        <w:t xml:space="preserve">etabliert das </w:t>
      </w:r>
      <w:r w:rsidRPr="000E6357">
        <w:rPr>
          <w:rFonts w:eastAsia="Times New Roman" w:cs="Times New Roman"/>
          <w:b/>
          <w:bCs/>
          <w:rtl/>
          <w:lang w:eastAsia="de-DE"/>
        </w:rPr>
        <w:t>ערלה</w:t>
      </w:r>
      <w:r w:rsidRPr="000E6357">
        <w:rPr>
          <w:rFonts w:eastAsia="Times New Roman" w:cs="Times New Roman"/>
          <w:lang w:eastAsia="de-DE"/>
        </w:rPr>
        <w:t xml:space="preserve">-Gesetz für Obstbäume. </w:t>
      </w:r>
      <w:r w:rsidRPr="000E6357">
        <w:rPr>
          <w:rFonts w:eastAsia="Times New Roman" w:cs="Times New Roman"/>
          <w:b/>
          <w:bCs/>
          <w:rtl/>
          <w:lang w:eastAsia="de-DE"/>
        </w:rPr>
        <w:t>וכי־תבאו אל־הארץ ונטעתם כל־עץ מאכל</w:t>
      </w:r>
      <w:r w:rsidRPr="000E6357">
        <w:rPr>
          <w:rFonts w:eastAsia="Times New Roman" w:cs="Times New Roman"/>
          <w:rtl/>
          <w:lang w:eastAsia="de-DE"/>
        </w:rPr>
        <w:t xml:space="preserve"> </w:t>
      </w:r>
      <w:r w:rsidRPr="000E6357">
        <w:rPr>
          <w:rFonts w:eastAsia="Times New Roman" w:cs="Times New Roman"/>
          <w:lang w:eastAsia="de-DE"/>
        </w:rPr>
        <w:t xml:space="preserve">(und wenn ihr in das Land kommt und allerlei Bäume zur Speise pflanzt) - </w:t>
      </w:r>
      <w:r w:rsidRPr="000E6357">
        <w:rPr>
          <w:rFonts w:eastAsia="Times New Roman" w:cs="Times New Roman"/>
          <w:b/>
          <w:bCs/>
          <w:rtl/>
          <w:lang w:eastAsia="de-DE"/>
        </w:rPr>
        <w:t>וכי־תבאו אל־הארץ</w:t>
      </w:r>
      <w:r w:rsidRPr="000E6357">
        <w:rPr>
          <w:rFonts w:eastAsia="Times New Roman" w:cs="Times New Roman"/>
          <w:rtl/>
          <w:lang w:eastAsia="de-DE"/>
        </w:rPr>
        <w:t xml:space="preserve"> </w:t>
      </w:r>
      <w:r w:rsidRPr="000E6357">
        <w:rPr>
          <w:rFonts w:eastAsia="Times New Roman" w:cs="Times New Roman"/>
          <w:lang w:eastAsia="de-DE"/>
        </w:rPr>
        <w:lastRenderedPageBreak/>
        <w:t xml:space="preserve">zeigt die Landnahme als Kontext. </w:t>
      </w:r>
      <w:r w:rsidRPr="000E6357">
        <w:rPr>
          <w:rFonts w:eastAsia="Times New Roman" w:cs="Times New Roman"/>
          <w:b/>
          <w:bCs/>
          <w:rtl/>
          <w:lang w:eastAsia="de-DE"/>
        </w:rPr>
        <w:t>ונטעתם</w:t>
      </w:r>
      <w:r w:rsidRPr="000E6357">
        <w:rPr>
          <w:rFonts w:eastAsia="Times New Roman" w:cs="Times New Roman"/>
          <w:rtl/>
          <w:lang w:eastAsia="de-DE"/>
        </w:rPr>
        <w:t xml:space="preserve"> </w:t>
      </w:r>
      <w:r w:rsidRPr="000E6357">
        <w:rPr>
          <w:rFonts w:eastAsia="Times New Roman" w:cs="Times New Roman"/>
          <w:lang w:eastAsia="de-DE"/>
        </w:rPr>
        <w:t xml:space="preserve">(und ihr pflanzt) im Qal-Perfekt mit Waw-Konsekutiv. </w:t>
      </w:r>
      <w:r w:rsidRPr="000E6357">
        <w:rPr>
          <w:rFonts w:eastAsia="Times New Roman" w:cs="Times New Roman"/>
          <w:b/>
          <w:bCs/>
          <w:rtl/>
          <w:lang w:eastAsia="de-DE"/>
        </w:rPr>
        <w:t>כל־עץ מאכל</w:t>
      </w:r>
      <w:r w:rsidRPr="000E6357">
        <w:rPr>
          <w:rFonts w:eastAsia="Times New Roman" w:cs="Times New Roman"/>
          <w:rtl/>
          <w:lang w:eastAsia="de-DE"/>
        </w:rPr>
        <w:t xml:space="preserve"> </w:t>
      </w:r>
      <w:r w:rsidRPr="000E6357">
        <w:rPr>
          <w:rFonts w:eastAsia="Times New Roman" w:cs="Times New Roman"/>
          <w:lang w:eastAsia="de-DE"/>
        </w:rPr>
        <w:t>(allerlei Bäume zur Speise) zeigt alle Obstbäume.</w:t>
      </w:r>
    </w:p>
    <w:p w14:paraId="6BE7611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וערלתם ערלתו את־פריו</w:t>
      </w:r>
      <w:r w:rsidRPr="000E6357">
        <w:rPr>
          <w:rFonts w:eastAsia="Times New Roman" w:cs="Times New Roman"/>
          <w:rtl/>
          <w:lang w:eastAsia="de-DE"/>
        </w:rPr>
        <w:t xml:space="preserve"> </w:t>
      </w:r>
      <w:r w:rsidRPr="000E6357">
        <w:rPr>
          <w:rFonts w:eastAsia="Times New Roman" w:cs="Times New Roman"/>
          <w:lang w:eastAsia="de-DE"/>
        </w:rPr>
        <w:t xml:space="preserve">(so sollt ihr ihre Frucht betrachten als ihre Vorhaut) - </w:t>
      </w:r>
      <w:r w:rsidRPr="000E6357">
        <w:rPr>
          <w:rFonts w:eastAsia="Times New Roman" w:cs="Times New Roman"/>
          <w:b/>
          <w:bCs/>
          <w:rtl/>
          <w:lang w:eastAsia="de-DE"/>
        </w:rPr>
        <w:t>וערלתם ערלתו</w:t>
      </w:r>
      <w:r w:rsidRPr="000E6357">
        <w:rPr>
          <w:rFonts w:eastAsia="Times New Roman" w:cs="Times New Roman"/>
          <w:rtl/>
          <w:lang w:eastAsia="de-DE"/>
        </w:rPr>
        <w:t xml:space="preserve"> </w:t>
      </w:r>
      <w:r w:rsidRPr="000E6357">
        <w:rPr>
          <w:rFonts w:eastAsia="Times New Roman" w:cs="Times New Roman"/>
          <w:lang w:eastAsia="de-DE"/>
        </w:rPr>
        <w:t xml:space="preserve">als Figura etymologica von </w:t>
      </w:r>
      <w:r w:rsidRPr="000E6357">
        <w:rPr>
          <w:rFonts w:eastAsia="Times New Roman" w:cs="Times New Roman"/>
          <w:b/>
          <w:bCs/>
          <w:rtl/>
          <w:lang w:eastAsia="de-DE"/>
        </w:rPr>
        <w:t>ערל</w:t>
      </w:r>
      <w:r w:rsidRPr="000E6357">
        <w:rPr>
          <w:rFonts w:eastAsia="Times New Roman" w:cs="Times New Roman"/>
          <w:rtl/>
          <w:lang w:eastAsia="de-DE"/>
        </w:rPr>
        <w:t xml:space="preserve"> </w:t>
      </w:r>
      <w:r w:rsidRPr="000E6357">
        <w:rPr>
          <w:rFonts w:eastAsia="Times New Roman" w:cs="Times New Roman"/>
          <w:lang w:eastAsia="de-DE"/>
        </w:rPr>
        <w:t xml:space="preserve">(als unbeschnitten betrachten). </w:t>
      </w:r>
      <w:r w:rsidRPr="000E6357">
        <w:rPr>
          <w:rFonts w:eastAsia="Times New Roman" w:cs="Times New Roman"/>
          <w:b/>
          <w:bCs/>
          <w:rtl/>
          <w:lang w:eastAsia="de-DE"/>
        </w:rPr>
        <w:t>את־פריו</w:t>
      </w:r>
      <w:r w:rsidRPr="000E6357">
        <w:rPr>
          <w:rFonts w:eastAsia="Times New Roman" w:cs="Times New Roman"/>
          <w:rtl/>
          <w:lang w:eastAsia="de-DE"/>
        </w:rPr>
        <w:t xml:space="preserve"> </w:t>
      </w:r>
      <w:r w:rsidRPr="000E6357">
        <w:rPr>
          <w:rFonts w:eastAsia="Times New Roman" w:cs="Times New Roman"/>
          <w:lang w:eastAsia="de-DE"/>
        </w:rPr>
        <w:t xml:space="preserve">(ihre Frucht) als Objekt der </w:t>
      </w:r>
      <w:r w:rsidRPr="000E6357">
        <w:rPr>
          <w:rFonts w:eastAsia="Times New Roman" w:cs="Times New Roman"/>
          <w:b/>
          <w:bCs/>
          <w:rtl/>
          <w:lang w:eastAsia="de-DE"/>
        </w:rPr>
        <w:t>ערלה</w:t>
      </w:r>
      <w:r w:rsidRPr="000E6357">
        <w:rPr>
          <w:rFonts w:eastAsia="Times New Roman" w:cs="Times New Roman"/>
          <w:lang w:eastAsia="de-DE"/>
        </w:rPr>
        <w:t>-Klassifikation.</w:t>
      </w:r>
    </w:p>
    <w:p w14:paraId="2685885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שלש שנים יהיה לכם ערלים לא יאכל</w:t>
      </w:r>
      <w:r w:rsidRPr="000E6357">
        <w:rPr>
          <w:rFonts w:eastAsia="Times New Roman" w:cs="Times New Roman"/>
          <w:rtl/>
          <w:lang w:eastAsia="de-DE"/>
        </w:rPr>
        <w:t xml:space="preserve"> </w:t>
      </w:r>
      <w:r w:rsidRPr="000E6357">
        <w:rPr>
          <w:rFonts w:eastAsia="Times New Roman" w:cs="Times New Roman"/>
          <w:lang w:eastAsia="de-DE"/>
        </w:rPr>
        <w:t xml:space="preserve">(drei Jahre sollen sie euch als unbeschnitten gelten, sie soll nicht gegessen werden) - </w:t>
      </w:r>
      <w:r w:rsidRPr="000E6357">
        <w:rPr>
          <w:rFonts w:eastAsia="Times New Roman" w:cs="Times New Roman"/>
          <w:b/>
          <w:bCs/>
          <w:rtl/>
          <w:lang w:eastAsia="de-DE"/>
        </w:rPr>
        <w:t>שלש שנים</w:t>
      </w:r>
      <w:r w:rsidRPr="000E6357">
        <w:rPr>
          <w:rFonts w:eastAsia="Times New Roman" w:cs="Times New Roman"/>
          <w:rtl/>
          <w:lang w:eastAsia="de-DE"/>
        </w:rPr>
        <w:t xml:space="preserve"> </w:t>
      </w:r>
      <w:r w:rsidRPr="000E6357">
        <w:rPr>
          <w:rFonts w:eastAsia="Times New Roman" w:cs="Times New Roman"/>
          <w:lang w:eastAsia="de-DE"/>
        </w:rPr>
        <w:t xml:space="preserve">(drei Jahre) als Zeitspanne. </w:t>
      </w:r>
      <w:r w:rsidRPr="000E6357">
        <w:rPr>
          <w:rFonts w:eastAsia="Times New Roman" w:cs="Times New Roman"/>
          <w:b/>
          <w:bCs/>
          <w:rtl/>
          <w:lang w:eastAsia="de-DE"/>
        </w:rPr>
        <w:t>יהיה לכם ערלים</w:t>
      </w:r>
      <w:r w:rsidRPr="000E6357">
        <w:rPr>
          <w:rFonts w:eastAsia="Times New Roman" w:cs="Times New Roman"/>
          <w:rtl/>
          <w:lang w:eastAsia="de-DE"/>
        </w:rPr>
        <w:t xml:space="preserve"> </w:t>
      </w:r>
      <w:r w:rsidRPr="000E6357">
        <w:rPr>
          <w:rFonts w:eastAsia="Times New Roman" w:cs="Times New Roman"/>
          <w:lang w:eastAsia="de-DE"/>
        </w:rPr>
        <w:t xml:space="preserve">(sollen euch als unbeschnitten gelten) - </w:t>
      </w:r>
      <w:r w:rsidRPr="000E6357">
        <w:rPr>
          <w:rFonts w:eastAsia="Times New Roman" w:cs="Times New Roman"/>
          <w:b/>
          <w:bCs/>
          <w:rtl/>
          <w:lang w:eastAsia="de-DE"/>
        </w:rPr>
        <w:t>ערלים</w:t>
      </w:r>
      <w:r w:rsidRPr="000E6357">
        <w:rPr>
          <w:rFonts w:eastAsia="Times New Roman" w:cs="Times New Roman"/>
          <w:rtl/>
          <w:lang w:eastAsia="de-DE"/>
        </w:rPr>
        <w:t xml:space="preserve"> </w:t>
      </w:r>
      <w:r w:rsidRPr="000E6357">
        <w:rPr>
          <w:rFonts w:eastAsia="Times New Roman" w:cs="Times New Roman"/>
          <w:lang w:eastAsia="de-DE"/>
        </w:rPr>
        <w:t xml:space="preserve">(unbeschnitten) im Plural. </w:t>
      </w:r>
      <w:r w:rsidRPr="000E6357">
        <w:rPr>
          <w:rFonts w:eastAsia="Times New Roman" w:cs="Times New Roman"/>
          <w:b/>
          <w:bCs/>
          <w:rtl/>
          <w:lang w:eastAsia="de-DE"/>
        </w:rPr>
        <w:t>לא יאכל</w:t>
      </w:r>
      <w:r w:rsidRPr="000E6357">
        <w:rPr>
          <w:rFonts w:eastAsia="Times New Roman" w:cs="Times New Roman"/>
          <w:rtl/>
          <w:lang w:eastAsia="de-DE"/>
        </w:rPr>
        <w:t xml:space="preserve"> </w:t>
      </w:r>
      <w:r w:rsidRPr="000E6357">
        <w:rPr>
          <w:rFonts w:eastAsia="Times New Roman" w:cs="Times New Roman"/>
          <w:lang w:eastAsia="de-DE"/>
        </w:rPr>
        <w:t>(soll nicht gegessen werden) im Nifal-Imperfekt zeigt Verzehrverbot.</w:t>
      </w:r>
    </w:p>
    <w:p w14:paraId="6BCBBC7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ערלתם ערלתו</w:t>
      </w:r>
      <w:r w:rsidRPr="000E6357">
        <w:rPr>
          <w:rFonts w:eastAsia="Times New Roman" w:cs="Times New Roman"/>
          <w:rtl/>
          <w:lang w:eastAsia="de-DE"/>
        </w:rPr>
        <w:t xml:space="preserve"> </w:t>
      </w:r>
      <w:r w:rsidRPr="000E6357">
        <w:rPr>
          <w:rFonts w:eastAsia="Times New Roman" w:cs="Times New Roman"/>
          <w:lang w:eastAsia="de-DE"/>
        </w:rPr>
        <w:t xml:space="preserve">überträgt die Beschneidungsterminologie auf Obstbäume. </w:t>
      </w:r>
      <w:r w:rsidRPr="000E6357">
        <w:rPr>
          <w:rFonts w:eastAsia="Times New Roman" w:cs="Times New Roman"/>
          <w:b/>
          <w:bCs/>
          <w:rtl/>
          <w:lang w:eastAsia="de-DE"/>
        </w:rPr>
        <w:t>שלש שנים</w:t>
      </w:r>
      <w:r w:rsidRPr="000E6357">
        <w:rPr>
          <w:rFonts w:eastAsia="Times New Roman" w:cs="Times New Roman"/>
          <w:rtl/>
          <w:lang w:eastAsia="de-DE"/>
        </w:rPr>
        <w:t xml:space="preserve"> </w:t>
      </w:r>
      <w:r w:rsidRPr="000E6357">
        <w:rPr>
          <w:rFonts w:eastAsia="Times New Roman" w:cs="Times New Roman"/>
          <w:lang w:eastAsia="de-DE"/>
        </w:rPr>
        <w:t xml:space="preserve">als Wartezeit entspricht menschlichen Reifungszeiten. </w:t>
      </w:r>
      <w:r w:rsidRPr="000E6357">
        <w:rPr>
          <w:rFonts w:eastAsia="Times New Roman" w:cs="Times New Roman"/>
          <w:b/>
          <w:bCs/>
          <w:rtl/>
          <w:lang w:eastAsia="de-DE"/>
        </w:rPr>
        <w:t>ערלים</w:t>
      </w:r>
      <w:r w:rsidRPr="000E6357">
        <w:rPr>
          <w:rFonts w:eastAsia="Times New Roman" w:cs="Times New Roman"/>
          <w:rtl/>
          <w:lang w:eastAsia="de-DE"/>
        </w:rPr>
        <w:t xml:space="preserve"> </w:t>
      </w:r>
      <w:r w:rsidRPr="000E6357">
        <w:rPr>
          <w:rFonts w:eastAsia="Times New Roman" w:cs="Times New Roman"/>
          <w:lang w:eastAsia="de-DE"/>
        </w:rPr>
        <w:t>zeigt die unreife Frucht als "unbeschnitten".</w:t>
      </w:r>
    </w:p>
    <w:p w14:paraId="020A9CD8" w14:textId="7AC81D11"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interpretiert </w:t>
      </w:r>
      <w:r w:rsidR="004F25E8">
        <w:rPr>
          <w:rtl/>
        </w:rPr>
        <w:t>וערלתם ערלתו את־פריו</w:t>
      </w:r>
      <w:r w:rsidR="004F25E8">
        <w:t xml:space="preserve"> (</w:t>
      </w:r>
      <w:proofErr w:type="spellStart"/>
      <w:r w:rsidR="004F25E8">
        <w:t>wa'araltem</w:t>
      </w:r>
      <w:proofErr w:type="spellEnd"/>
      <w:r w:rsidR="004F25E8">
        <w:t xml:space="preserve"> </w:t>
      </w:r>
      <w:proofErr w:type="spellStart"/>
      <w:r w:rsidR="004F25E8">
        <w:t>orlato</w:t>
      </w:r>
      <w:proofErr w:type="spellEnd"/>
      <w:r w:rsidR="004F25E8">
        <w:t xml:space="preserve"> et-</w:t>
      </w:r>
      <w:proofErr w:type="spellStart"/>
      <w:r w:rsidR="004F25E8">
        <w:t>piryo</w:t>
      </w:r>
      <w:proofErr w:type="spellEnd"/>
      <w:r w:rsidR="004F25E8">
        <w:t xml:space="preserve"> - "und ihr sollt seine Vorhaut, seine Frucht, beschneiden") als καὶ π</w:t>
      </w:r>
      <w:proofErr w:type="spellStart"/>
      <w:r w:rsidR="004F25E8">
        <w:t>ερικ</w:t>
      </w:r>
      <w:proofErr w:type="spellEnd"/>
      <w:r w:rsidR="004F25E8">
        <w:t xml:space="preserve">αθαριεῖτε </w:t>
      </w:r>
      <w:proofErr w:type="spellStart"/>
      <w:r w:rsidR="004F25E8">
        <w:t>τὴν</w:t>
      </w:r>
      <w:proofErr w:type="spellEnd"/>
      <w:r w:rsidR="004F25E8">
        <w:t xml:space="preserve"> </w:t>
      </w:r>
      <w:proofErr w:type="spellStart"/>
      <w:r w:rsidR="004F25E8">
        <w:t>ἀκ</w:t>
      </w:r>
      <w:proofErr w:type="spellEnd"/>
      <w:r w:rsidR="004F25E8">
        <w:t>αθαρσίαν α</w:t>
      </w:r>
      <w:proofErr w:type="spellStart"/>
      <w:r w:rsidR="004F25E8">
        <w:t>ὐτοῦ</w:t>
      </w:r>
      <w:proofErr w:type="spellEnd"/>
      <w:r w:rsidR="004F25E8">
        <w:t xml:space="preserve"> (und ihr sollt seine Unreinheit wegreinigen), was eine rituelle statt einer landwirtschaftlichen Metapher verwendet.</w:t>
      </w:r>
    </w:p>
    <w:p w14:paraId="6C2FBC2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w:t>
      </w:r>
      <w:r w:rsidRPr="000E6357">
        <w:rPr>
          <w:rFonts w:eastAsia="Times New Roman" w:cs="Times New Roman"/>
          <w:b/>
          <w:bCs/>
          <w:rtl/>
          <w:lang w:eastAsia="de-DE"/>
        </w:rPr>
        <w:t>ערלה</w:t>
      </w:r>
      <w:r w:rsidRPr="000E6357">
        <w:rPr>
          <w:rFonts w:eastAsia="Times New Roman" w:cs="Times New Roman"/>
          <w:lang w:eastAsia="de-DE"/>
        </w:rPr>
        <w:t xml:space="preserve">-Gesetz: Landnahme + Obstbaumpflanzung + </w:t>
      </w:r>
      <w:r w:rsidRPr="000E6357">
        <w:rPr>
          <w:rFonts w:eastAsia="Times New Roman" w:cs="Times New Roman"/>
          <w:b/>
          <w:bCs/>
          <w:rtl/>
          <w:lang w:eastAsia="de-DE"/>
        </w:rPr>
        <w:t>ערלה</w:t>
      </w:r>
      <w:r w:rsidRPr="000E6357">
        <w:rPr>
          <w:rFonts w:eastAsia="Times New Roman" w:cs="Times New Roman"/>
          <w:lang w:eastAsia="de-DE"/>
        </w:rPr>
        <w:t>-Klassifikation + dreijährige Wartezeit + Verzehrverbot.</w:t>
      </w:r>
    </w:p>
    <w:p w14:paraId="7E51C1B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 xml:space="preserve">Dieser Vers etabliert das </w:t>
      </w:r>
      <w:r w:rsidRPr="000E6357">
        <w:rPr>
          <w:rFonts w:eastAsia="Times New Roman" w:cs="Times New Roman"/>
          <w:b/>
          <w:bCs/>
          <w:rtl/>
          <w:lang w:eastAsia="de-DE"/>
        </w:rPr>
        <w:t>ערלה</w:t>
      </w:r>
      <w:r w:rsidRPr="000E6357">
        <w:rPr>
          <w:rFonts w:eastAsia="Times New Roman" w:cs="Times New Roman"/>
          <w:lang w:eastAsia="de-DE"/>
        </w:rPr>
        <w:t>-Gesetz: dreijähriges Verzehrverbot für Früchte neu gepflanzter Obstbäume.</w:t>
      </w:r>
    </w:p>
    <w:p w14:paraId="21808396"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19,24</w:t>
      </w:r>
    </w:p>
    <w:p w14:paraId="5A44D4B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וּבַשָּׁנָה֙ הָרְבִיעִ֔ת יִהְיֶ֖ה כָּל־פִּרְיֹ֑ו קֹ֥דֶשׁ הִלּוּלִ֖ים לַיהוָֽה׃</w:t>
      </w:r>
    </w:p>
    <w:p w14:paraId="1DA0D49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im vierten Jahr soll alle ihre Frucht heilig sein, dem Ewigen zum Preis.</w:t>
      </w:r>
    </w:p>
    <w:p w14:paraId="3E0928A2"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11D24B2B">
          <v:rect id="_x0000_i1584" style="width:0;height:1.5pt" o:hralign="center" o:hrstd="t" o:hr="t" fillcolor="#a0a0a0" stroked="f"/>
        </w:pict>
      </w:r>
    </w:p>
    <w:p w14:paraId="00689F07"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ובשנה הרביעת יהיה כל־פריו קדש הלולים ליהוה</w:t>
      </w:r>
      <w:r w:rsidRPr="000E6357">
        <w:rPr>
          <w:rFonts w:eastAsia="Times New Roman" w:cs="Times New Roman"/>
          <w:rtl/>
          <w:lang w:eastAsia="de-DE"/>
        </w:rPr>
        <w:t xml:space="preserve"> </w:t>
      </w:r>
      <w:r w:rsidRPr="000E6357">
        <w:rPr>
          <w:rFonts w:eastAsia="Times New Roman" w:cs="Times New Roman"/>
          <w:lang w:eastAsia="de-DE"/>
        </w:rPr>
        <w:t xml:space="preserve">zeigt das vierte Jahr als Übergang. </w:t>
      </w:r>
      <w:r w:rsidRPr="000E6357">
        <w:rPr>
          <w:rFonts w:eastAsia="Times New Roman" w:cs="Times New Roman"/>
          <w:b/>
          <w:bCs/>
          <w:rtl/>
          <w:lang w:eastAsia="de-DE"/>
        </w:rPr>
        <w:t>ובשנה הרביעת יהיה כל־פריו קדש</w:t>
      </w:r>
      <w:r w:rsidRPr="000E6357">
        <w:rPr>
          <w:rFonts w:eastAsia="Times New Roman" w:cs="Times New Roman"/>
          <w:rtl/>
          <w:lang w:eastAsia="de-DE"/>
        </w:rPr>
        <w:t xml:space="preserve"> </w:t>
      </w:r>
      <w:r w:rsidRPr="000E6357">
        <w:rPr>
          <w:rFonts w:eastAsia="Times New Roman" w:cs="Times New Roman"/>
          <w:lang w:eastAsia="de-DE"/>
        </w:rPr>
        <w:t xml:space="preserve">(und im vierten Jahr soll alle ihre Frucht heilig sein) - </w:t>
      </w:r>
      <w:r w:rsidRPr="000E6357">
        <w:rPr>
          <w:rFonts w:eastAsia="Times New Roman" w:cs="Times New Roman"/>
          <w:b/>
          <w:bCs/>
          <w:rtl/>
          <w:lang w:eastAsia="de-DE"/>
        </w:rPr>
        <w:t>בשנה הרביעת</w:t>
      </w:r>
      <w:r w:rsidRPr="000E6357">
        <w:rPr>
          <w:rFonts w:eastAsia="Times New Roman" w:cs="Times New Roman"/>
          <w:rtl/>
          <w:lang w:eastAsia="de-DE"/>
        </w:rPr>
        <w:t xml:space="preserve"> </w:t>
      </w:r>
      <w:r w:rsidRPr="000E6357">
        <w:rPr>
          <w:rFonts w:eastAsia="Times New Roman" w:cs="Times New Roman"/>
          <w:lang w:eastAsia="de-DE"/>
        </w:rPr>
        <w:t xml:space="preserve">(im vierten Jahr) nach der dreijährigen </w:t>
      </w:r>
      <w:r w:rsidRPr="000E6357">
        <w:rPr>
          <w:rFonts w:eastAsia="Times New Roman" w:cs="Times New Roman"/>
          <w:b/>
          <w:bCs/>
          <w:rtl/>
          <w:lang w:eastAsia="de-DE"/>
        </w:rPr>
        <w:t>ערלה</w:t>
      </w:r>
      <w:r w:rsidRPr="000E6357">
        <w:rPr>
          <w:rFonts w:eastAsia="Times New Roman" w:cs="Times New Roman"/>
          <w:lang w:eastAsia="de-DE"/>
        </w:rPr>
        <w:t xml:space="preserve">-Zeit. </w:t>
      </w:r>
      <w:r w:rsidRPr="000E6357">
        <w:rPr>
          <w:rFonts w:eastAsia="Times New Roman" w:cs="Times New Roman"/>
          <w:b/>
          <w:bCs/>
          <w:rtl/>
          <w:lang w:eastAsia="de-DE"/>
        </w:rPr>
        <w:t>יהיה כל־פריו קדש</w:t>
      </w:r>
      <w:r w:rsidRPr="000E6357">
        <w:rPr>
          <w:rFonts w:eastAsia="Times New Roman" w:cs="Times New Roman"/>
          <w:rtl/>
          <w:lang w:eastAsia="de-DE"/>
        </w:rPr>
        <w:t xml:space="preserve"> </w:t>
      </w:r>
      <w:r w:rsidRPr="000E6357">
        <w:rPr>
          <w:rFonts w:eastAsia="Times New Roman" w:cs="Times New Roman"/>
          <w:lang w:eastAsia="de-DE"/>
        </w:rPr>
        <w:t xml:space="preserve">(soll alle ihre Frucht heilig sein) - </w:t>
      </w:r>
      <w:r w:rsidRPr="000E6357">
        <w:rPr>
          <w:rFonts w:eastAsia="Times New Roman" w:cs="Times New Roman"/>
          <w:b/>
          <w:bCs/>
          <w:rtl/>
          <w:lang w:eastAsia="de-DE"/>
        </w:rPr>
        <w:t>קדש</w:t>
      </w:r>
      <w:r w:rsidRPr="000E6357">
        <w:rPr>
          <w:rFonts w:eastAsia="Times New Roman" w:cs="Times New Roman"/>
          <w:rtl/>
          <w:lang w:eastAsia="de-DE"/>
        </w:rPr>
        <w:t xml:space="preserve"> </w:t>
      </w:r>
      <w:r w:rsidRPr="000E6357">
        <w:rPr>
          <w:rFonts w:eastAsia="Times New Roman" w:cs="Times New Roman"/>
          <w:lang w:eastAsia="de-DE"/>
        </w:rPr>
        <w:t>(heilig) zeigt Weihe an JHWH.</w:t>
      </w:r>
    </w:p>
    <w:p w14:paraId="48A990A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הלולים ליהוה</w:t>
      </w:r>
      <w:r w:rsidRPr="000E6357">
        <w:rPr>
          <w:rFonts w:eastAsia="Times New Roman" w:cs="Times New Roman"/>
          <w:rtl/>
          <w:lang w:eastAsia="de-DE"/>
        </w:rPr>
        <w:t xml:space="preserve"> </w:t>
      </w:r>
      <w:r w:rsidRPr="000E6357">
        <w:rPr>
          <w:rFonts w:eastAsia="Times New Roman" w:cs="Times New Roman"/>
          <w:lang w:eastAsia="de-DE"/>
        </w:rPr>
        <w:t xml:space="preserve">(dem Ewigen zum Preis) - </w:t>
      </w:r>
      <w:r w:rsidRPr="000E6357">
        <w:rPr>
          <w:rFonts w:eastAsia="Times New Roman" w:cs="Times New Roman"/>
          <w:b/>
          <w:bCs/>
          <w:rtl/>
          <w:lang w:eastAsia="de-DE"/>
        </w:rPr>
        <w:t>הלולים</w:t>
      </w:r>
      <w:r w:rsidRPr="000E6357">
        <w:rPr>
          <w:rFonts w:eastAsia="Times New Roman" w:cs="Times New Roman"/>
          <w:rtl/>
          <w:lang w:eastAsia="de-DE"/>
        </w:rPr>
        <w:t xml:space="preserve"> </w:t>
      </w:r>
      <w:r w:rsidRPr="000E6357">
        <w:rPr>
          <w:rFonts w:eastAsia="Times New Roman" w:cs="Times New Roman"/>
          <w:lang w:eastAsia="de-DE"/>
        </w:rPr>
        <w:t xml:space="preserve">(Preisungen) von </w:t>
      </w:r>
      <w:r w:rsidRPr="000E6357">
        <w:rPr>
          <w:rFonts w:eastAsia="Times New Roman" w:cs="Times New Roman"/>
          <w:b/>
          <w:bCs/>
          <w:rtl/>
          <w:lang w:eastAsia="de-DE"/>
        </w:rPr>
        <w:t>הלל</w:t>
      </w:r>
      <w:r w:rsidRPr="000E6357">
        <w:rPr>
          <w:rFonts w:eastAsia="Times New Roman" w:cs="Times New Roman"/>
          <w:rtl/>
          <w:lang w:eastAsia="de-DE"/>
        </w:rPr>
        <w:t xml:space="preserve"> </w:t>
      </w:r>
      <w:r w:rsidRPr="000E6357">
        <w:rPr>
          <w:rFonts w:eastAsia="Times New Roman" w:cs="Times New Roman"/>
          <w:lang w:eastAsia="de-DE"/>
        </w:rPr>
        <w:t>(preisen) im Plural zeigt Lobpreis als Zweck der Weihung.</w:t>
      </w:r>
    </w:p>
    <w:p w14:paraId="2C1F50F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השנה הרביעת</w:t>
      </w:r>
      <w:r w:rsidRPr="000E6357">
        <w:rPr>
          <w:rFonts w:eastAsia="Times New Roman" w:cs="Times New Roman"/>
          <w:rtl/>
          <w:lang w:eastAsia="de-DE"/>
        </w:rPr>
        <w:t xml:space="preserve"> </w:t>
      </w:r>
      <w:r w:rsidRPr="000E6357">
        <w:rPr>
          <w:rFonts w:eastAsia="Times New Roman" w:cs="Times New Roman"/>
          <w:lang w:eastAsia="de-DE"/>
        </w:rPr>
        <w:t xml:space="preserve">als Übergangszeit zwischen </w:t>
      </w:r>
      <w:r w:rsidRPr="000E6357">
        <w:rPr>
          <w:rFonts w:eastAsia="Times New Roman" w:cs="Times New Roman"/>
          <w:b/>
          <w:bCs/>
          <w:rtl/>
          <w:lang w:eastAsia="de-DE"/>
        </w:rPr>
        <w:t>ערלה</w:t>
      </w:r>
      <w:r w:rsidRPr="000E6357">
        <w:rPr>
          <w:rFonts w:eastAsia="Times New Roman" w:cs="Times New Roman"/>
          <w:rtl/>
          <w:lang w:eastAsia="de-DE"/>
        </w:rPr>
        <w:t xml:space="preserve"> </w:t>
      </w:r>
      <w:r w:rsidRPr="000E6357">
        <w:rPr>
          <w:rFonts w:eastAsia="Times New Roman" w:cs="Times New Roman"/>
          <w:lang w:eastAsia="de-DE"/>
        </w:rPr>
        <w:t xml:space="preserve">und freiem Verzehr. </w:t>
      </w:r>
      <w:r w:rsidRPr="000E6357">
        <w:rPr>
          <w:rFonts w:eastAsia="Times New Roman" w:cs="Times New Roman"/>
          <w:b/>
          <w:bCs/>
          <w:rtl/>
          <w:lang w:eastAsia="de-DE"/>
        </w:rPr>
        <w:t>קדש הלולים</w:t>
      </w:r>
      <w:r w:rsidRPr="000E6357">
        <w:rPr>
          <w:rFonts w:eastAsia="Times New Roman" w:cs="Times New Roman"/>
          <w:rtl/>
          <w:lang w:eastAsia="de-DE"/>
        </w:rPr>
        <w:t xml:space="preserve"> </w:t>
      </w:r>
      <w:r w:rsidRPr="000E6357">
        <w:rPr>
          <w:rFonts w:eastAsia="Times New Roman" w:cs="Times New Roman"/>
          <w:lang w:eastAsia="de-DE"/>
        </w:rPr>
        <w:t xml:space="preserve">zeigt, dass die vierte Ernte JHWH geweiht wird. </w:t>
      </w:r>
      <w:r w:rsidRPr="000E6357">
        <w:rPr>
          <w:rFonts w:eastAsia="Times New Roman" w:cs="Times New Roman"/>
          <w:b/>
          <w:bCs/>
          <w:rtl/>
          <w:lang w:eastAsia="de-DE"/>
        </w:rPr>
        <w:t>ליהוה</w:t>
      </w:r>
      <w:r w:rsidRPr="000E6357">
        <w:rPr>
          <w:rFonts w:eastAsia="Times New Roman" w:cs="Times New Roman"/>
          <w:rtl/>
          <w:lang w:eastAsia="de-DE"/>
        </w:rPr>
        <w:t xml:space="preserve"> </w:t>
      </w:r>
      <w:r w:rsidRPr="000E6357">
        <w:rPr>
          <w:rFonts w:eastAsia="Times New Roman" w:cs="Times New Roman"/>
          <w:lang w:eastAsia="de-DE"/>
        </w:rPr>
        <w:t>betont die göttliche Bestimmung.</w:t>
      </w:r>
    </w:p>
    <w:p w14:paraId="48717349" w14:textId="560ADFF0"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קדש הלולים</w:t>
      </w:r>
      <w:r w:rsidR="004F25E8">
        <w:t xml:space="preserve"> (</w:t>
      </w:r>
      <w:proofErr w:type="spellStart"/>
      <w:r w:rsidR="004F25E8">
        <w:t>qodesh</w:t>
      </w:r>
      <w:proofErr w:type="spellEnd"/>
      <w:r w:rsidR="004F25E8">
        <w:t xml:space="preserve"> </w:t>
      </w:r>
      <w:proofErr w:type="spellStart"/>
      <w:r w:rsidR="004F25E8">
        <w:t>hillulim</w:t>
      </w:r>
      <w:proofErr w:type="spellEnd"/>
      <w:r w:rsidR="004F25E8">
        <w:t xml:space="preserve"> - "heilige Lobpreisungen") als </w:t>
      </w:r>
      <w:proofErr w:type="spellStart"/>
      <w:r w:rsidR="004F25E8">
        <w:t>ἅγιος</w:t>
      </w:r>
      <w:proofErr w:type="spellEnd"/>
      <w:r w:rsidR="004F25E8">
        <w:t xml:space="preserve"> α</w:t>
      </w:r>
      <w:proofErr w:type="spellStart"/>
      <w:r w:rsidR="004F25E8">
        <w:t>ἰνετὸς</w:t>
      </w:r>
      <w:proofErr w:type="spellEnd"/>
      <w:r w:rsidR="004F25E8">
        <w:t xml:space="preserve"> (heilig und lobenswert).</w:t>
      </w:r>
    </w:p>
    <w:p w14:paraId="43609EC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lastRenderedPageBreak/>
        <w:t>Die Satzstruktur</w:t>
      </w:r>
      <w:r w:rsidRPr="000E6357">
        <w:rPr>
          <w:rFonts w:eastAsia="Times New Roman" w:cs="Times New Roman"/>
          <w:lang w:eastAsia="de-DE"/>
        </w:rPr>
        <w:t xml:space="preserve"> zeigt vierte Jahr-Regel: Zeitangabe + Frucht-Heiligung + Lobpreis-Zweck für JHWH.</w:t>
      </w:r>
    </w:p>
    <w:p w14:paraId="6CB7D0F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zeigt das vierte Jahr als Übergangszeit mit Weihe der gesamten Ernte an JHWH.</w:t>
      </w:r>
    </w:p>
    <w:p w14:paraId="62D7A489"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19,25</w:t>
      </w:r>
    </w:p>
    <w:p w14:paraId="05D006B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וּבַשָּׁנָ֣ה הַחֲמִישִׁ֗ת תֹּֽאכְלוּ֙ אֶת־פִּרְיֹ֔ו לְהוֹסִ֥יף לָכֶ֖ם תְּבוּאָתוֹ֑ אֲנִ֖י יְהוָ֥ה אֱלֹהֵיכֶֽם׃</w:t>
      </w:r>
    </w:p>
    <w:p w14:paraId="189D95D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im fünften Jahr sollt ihr ihre Frucht essen, um euch ihren Ertrag zu mehren. Ich bin der Ewige, euer Gott.</w:t>
      </w:r>
    </w:p>
    <w:p w14:paraId="708ADF6D"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4B9A7781">
          <v:rect id="_x0000_i1585" style="width:0;height:1.5pt" o:hralign="center" o:hrstd="t" o:hr="t" fillcolor="#a0a0a0" stroked="f"/>
        </w:pict>
      </w:r>
    </w:p>
    <w:p w14:paraId="1AAA55E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ובשנה החמישת תאכלו את־פריו להוסיף לכם תבואתו אני יהוה אלהיכם</w:t>
      </w:r>
      <w:r w:rsidRPr="000E6357">
        <w:rPr>
          <w:rFonts w:eastAsia="Times New Roman" w:cs="Times New Roman"/>
          <w:rtl/>
          <w:lang w:eastAsia="de-DE"/>
        </w:rPr>
        <w:t xml:space="preserve"> </w:t>
      </w:r>
      <w:r w:rsidRPr="000E6357">
        <w:rPr>
          <w:rFonts w:eastAsia="Times New Roman" w:cs="Times New Roman"/>
          <w:lang w:eastAsia="de-DE"/>
        </w:rPr>
        <w:t xml:space="preserve">erlaubt endlich freien Verzehr. </w:t>
      </w:r>
      <w:r w:rsidRPr="000E6357">
        <w:rPr>
          <w:rFonts w:eastAsia="Times New Roman" w:cs="Times New Roman"/>
          <w:b/>
          <w:bCs/>
          <w:rtl/>
          <w:lang w:eastAsia="de-DE"/>
        </w:rPr>
        <w:t>ובשנה החמישת תאכלו את־פריו</w:t>
      </w:r>
      <w:r w:rsidRPr="000E6357">
        <w:rPr>
          <w:rFonts w:eastAsia="Times New Roman" w:cs="Times New Roman"/>
          <w:rtl/>
          <w:lang w:eastAsia="de-DE"/>
        </w:rPr>
        <w:t xml:space="preserve"> </w:t>
      </w:r>
      <w:r w:rsidRPr="000E6357">
        <w:rPr>
          <w:rFonts w:eastAsia="Times New Roman" w:cs="Times New Roman"/>
          <w:lang w:eastAsia="de-DE"/>
        </w:rPr>
        <w:t xml:space="preserve">(und im fünften Jahr sollt ihr ihre Frucht essen) - </w:t>
      </w:r>
      <w:r w:rsidRPr="000E6357">
        <w:rPr>
          <w:rFonts w:eastAsia="Times New Roman" w:cs="Times New Roman"/>
          <w:b/>
          <w:bCs/>
          <w:rtl/>
          <w:lang w:eastAsia="de-DE"/>
        </w:rPr>
        <w:t>בשנה החמישת</w:t>
      </w:r>
      <w:r w:rsidRPr="000E6357">
        <w:rPr>
          <w:rFonts w:eastAsia="Times New Roman" w:cs="Times New Roman"/>
          <w:rtl/>
          <w:lang w:eastAsia="de-DE"/>
        </w:rPr>
        <w:t xml:space="preserve"> </w:t>
      </w:r>
      <w:r w:rsidRPr="000E6357">
        <w:rPr>
          <w:rFonts w:eastAsia="Times New Roman" w:cs="Times New Roman"/>
          <w:lang w:eastAsia="de-DE"/>
        </w:rPr>
        <w:t xml:space="preserve">(im fünften Jahr) als Ende der Wartezeit. </w:t>
      </w:r>
      <w:r w:rsidRPr="000E6357">
        <w:rPr>
          <w:rFonts w:eastAsia="Times New Roman" w:cs="Times New Roman"/>
          <w:b/>
          <w:bCs/>
          <w:rtl/>
          <w:lang w:eastAsia="de-DE"/>
        </w:rPr>
        <w:t>תאכלו את־פריו</w:t>
      </w:r>
      <w:r w:rsidRPr="000E6357">
        <w:rPr>
          <w:rFonts w:eastAsia="Times New Roman" w:cs="Times New Roman"/>
          <w:rtl/>
          <w:lang w:eastAsia="de-DE"/>
        </w:rPr>
        <w:t xml:space="preserve"> </w:t>
      </w:r>
      <w:r w:rsidRPr="000E6357">
        <w:rPr>
          <w:rFonts w:eastAsia="Times New Roman" w:cs="Times New Roman"/>
          <w:lang w:eastAsia="de-DE"/>
        </w:rPr>
        <w:t>(sollt ihr ihre Frucht essen) im Qal-Imperfekt zeigt endlich erlaubten Verzehr.</w:t>
      </w:r>
    </w:p>
    <w:p w14:paraId="13AD6731" w14:textId="561857A0"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להוסיף לכם תבואתו</w:t>
      </w:r>
      <w:r w:rsidRPr="000E6357">
        <w:rPr>
          <w:rFonts w:eastAsia="Times New Roman" w:cs="Times New Roman"/>
          <w:rtl/>
          <w:lang w:eastAsia="de-DE"/>
        </w:rPr>
        <w:t xml:space="preserve"> </w:t>
      </w:r>
      <w:r w:rsidRPr="000E6357">
        <w:rPr>
          <w:rFonts w:eastAsia="Times New Roman" w:cs="Times New Roman"/>
          <w:lang w:eastAsia="de-DE"/>
        </w:rPr>
        <w:t xml:space="preserve">(um euch ihren Ertrag zu mehren) - </w:t>
      </w:r>
      <w:r w:rsidRPr="000E6357">
        <w:rPr>
          <w:rFonts w:eastAsia="Times New Roman" w:cs="Times New Roman"/>
          <w:b/>
          <w:bCs/>
          <w:rtl/>
          <w:lang w:eastAsia="de-DE"/>
        </w:rPr>
        <w:t>להוסיף</w:t>
      </w:r>
      <w:r w:rsidRPr="000E6357">
        <w:rPr>
          <w:rFonts w:eastAsia="Times New Roman" w:cs="Times New Roman"/>
          <w:rtl/>
          <w:lang w:eastAsia="de-DE"/>
        </w:rPr>
        <w:t xml:space="preserve"> </w:t>
      </w:r>
      <w:r w:rsidRPr="000E6357">
        <w:rPr>
          <w:rFonts w:eastAsia="Times New Roman" w:cs="Times New Roman"/>
          <w:lang w:eastAsia="de-DE"/>
        </w:rPr>
        <w:t>(um zu mehren) im Hifil-Infinitiv-</w:t>
      </w:r>
      <w:r w:rsidR="005407E2">
        <w:rPr>
          <w:rFonts w:eastAsia="Times New Roman" w:cs="Times New Roman"/>
          <w:lang w:eastAsia="de-DE"/>
        </w:rPr>
        <w:t>Constructus</w:t>
      </w:r>
      <w:r w:rsidRPr="000E6357">
        <w:rPr>
          <w:rFonts w:eastAsia="Times New Roman" w:cs="Times New Roman"/>
          <w:lang w:eastAsia="de-DE"/>
        </w:rPr>
        <w:t xml:space="preserve">, das Hifil zeigt kausative Mehrung. </w:t>
      </w:r>
      <w:r w:rsidRPr="000E6357">
        <w:rPr>
          <w:rFonts w:eastAsia="Times New Roman" w:cs="Times New Roman"/>
          <w:b/>
          <w:bCs/>
          <w:rtl/>
          <w:lang w:eastAsia="de-DE"/>
        </w:rPr>
        <w:t>תבואתו</w:t>
      </w:r>
      <w:r w:rsidRPr="000E6357">
        <w:rPr>
          <w:rFonts w:eastAsia="Times New Roman" w:cs="Times New Roman"/>
          <w:rtl/>
          <w:lang w:eastAsia="de-DE"/>
        </w:rPr>
        <w:t xml:space="preserve"> </w:t>
      </w:r>
      <w:r w:rsidRPr="000E6357">
        <w:rPr>
          <w:rFonts w:eastAsia="Times New Roman" w:cs="Times New Roman"/>
          <w:lang w:eastAsia="de-DE"/>
        </w:rPr>
        <w:t>(ihren Ertrag) zeigt den Segen der Wartezeit.</w:t>
      </w:r>
    </w:p>
    <w:p w14:paraId="7E5C7D17"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אני יהוה אלהיכם</w:t>
      </w:r>
      <w:r w:rsidRPr="000E6357">
        <w:rPr>
          <w:rFonts w:eastAsia="Times New Roman" w:cs="Times New Roman"/>
          <w:rtl/>
          <w:lang w:eastAsia="de-DE"/>
        </w:rPr>
        <w:t xml:space="preserve"> </w:t>
      </w:r>
      <w:r w:rsidRPr="000E6357">
        <w:rPr>
          <w:rFonts w:eastAsia="Times New Roman" w:cs="Times New Roman"/>
          <w:lang w:eastAsia="de-DE"/>
        </w:rPr>
        <w:t>(ich bin der Ewige, euer Gott) als Autoritätsformel und Segensgarantie.</w:t>
      </w:r>
    </w:p>
    <w:p w14:paraId="3D37E7B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השנה החמישת</w:t>
      </w:r>
      <w:r w:rsidRPr="000E6357">
        <w:rPr>
          <w:rFonts w:eastAsia="Times New Roman" w:cs="Times New Roman"/>
          <w:rtl/>
          <w:lang w:eastAsia="de-DE"/>
        </w:rPr>
        <w:t xml:space="preserve"> </w:t>
      </w:r>
      <w:r w:rsidRPr="000E6357">
        <w:rPr>
          <w:rFonts w:eastAsia="Times New Roman" w:cs="Times New Roman"/>
          <w:lang w:eastAsia="de-DE"/>
        </w:rPr>
        <w:t xml:space="preserve">als Ende der vierjährigen Wartezeit. </w:t>
      </w:r>
      <w:r w:rsidRPr="000E6357">
        <w:rPr>
          <w:rFonts w:eastAsia="Times New Roman" w:cs="Times New Roman"/>
          <w:b/>
          <w:bCs/>
          <w:rtl/>
          <w:lang w:eastAsia="de-DE"/>
        </w:rPr>
        <w:t>להוסיף לכם תבואתו</w:t>
      </w:r>
      <w:r w:rsidRPr="000E6357">
        <w:rPr>
          <w:rFonts w:eastAsia="Times New Roman" w:cs="Times New Roman"/>
          <w:rtl/>
          <w:lang w:eastAsia="de-DE"/>
        </w:rPr>
        <w:t xml:space="preserve"> </w:t>
      </w:r>
      <w:r w:rsidRPr="000E6357">
        <w:rPr>
          <w:rFonts w:eastAsia="Times New Roman" w:cs="Times New Roman"/>
          <w:lang w:eastAsia="de-DE"/>
        </w:rPr>
        <w:t xml:space="preserve">zeigt die verheißene Segensmehrung für Gehorsam. </w:t>
      </w:r>
      <w:r w:rsidRPr="000E6357">
        <w:rPr>
          <w:rFonts w:eastAsia="Times New Roman" w:cs="Times New Roman"/>
          <w:b/>
          <w:bCs/>
          <w:rtl/>
          <w:lang w:eastAsia="de-DE"/>
        </w:rPr>
        <w:t>אני יהוה אלהיכם</w:t>
      </w:r>
      <w:r w:rsidRPr="000E6357">
        <w:rPr>
          <w:rFonts w:eastAsia="Times New Roman" w:cs="Times New Roman"/>
          <w:rtl/>
          <w:lang w:eastAsia="de-DE"/>
        </w:rPr>
        <w:t xml:space="preserve"> </w:t>
      </w:r>
      <w:r w:rsidRPr="000E6357">
        <w:rPr>
          <w:rFonts w:eastAsia="Times New Roman" w:cs="Times New Roman"/>
          <w:lang w:eastAsia="de-DE"/>
        </w:rPr>
        <w:t>als Garant des Segens.</w:t>
      </w:r>
    </w:p>
    <w:p w14:paraId="24C079B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החמישת</w:t>
      </w:r>
      <w:r w:rsidRPr="000E6357">
        <w:rPr>
          <w:rFonts w:eastAsia="Times New Roman" w:cs="Times New Roman"/>
          <w:rtl/>
          <w:lang w:eastAsia="de-DE"/>
        </w:rPr>
        <w:t xml:space="preserve"> </w:t>
      </w:r>
      <w:r w:rsidRPr="000E6357">
        <w:rPr>
          <w:rFonts w:eastAsia="Times New Roman" w:cs="Times New Roman"/>
          <w:lang w:eastAsia="de-DE"/>
        </w:rPr>
        <w:t>mit π</w:t>
      </w:r>
      <w:proofErr w:type="spellStart"/>
      <w:r w:rsidRPr="000E6357">
        <w:rPr>
          <w:rFonts w:eastAsia="Times New Roman" w:cs="Times New Roman"/>
          <w:lang w:eastAsia="de-DE"/>
        </w:rPr>
        <w:t>έμ</w:t>
      </w:r>
      <w:proofErr w:type="spellEnd"/>
      <w:r w:rsidRPr="000E6357">
        <w:rPr>
          <w:rFonts w:eastAsia="Times New Roman" w:cs="Times New Roman"/>
          <w:lang w:eastAsia="de-DE"/>
        </w:rPr>
        <w:t xml:space="preserve">πτῳ (fünften), </w:t>
      </w:r>
      <w:r w:rsidRPr="000E6357">
        <w:rPr>
          <w:rFonts w:eastAsia="Times New Roman" w:cs="Times New Roman"/>
          <w:b/>
          <w:bCs/>
          <w:rtl/>
          <w:lang w:eastAsia="de-DE"/>
        </w:rPr>
        <w:t>תאכלו</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φάγεσθε</w:t>
      </w:r>
      <w:proofErr w:type="spellEnd"/>
      <w:r w:rsidRPr="000E6357">
        <w:rPr>
          <w:rFonts w:eastAsia="Times New Roman" w:cs="Times New Roman"/>
          <w:lang w:eastAsia="de-DE"/>
        </w:rPr>
        <w:t xml:space="preserve"> (ihr werdet essen), </w:t>
      </w:r>
      <w:r w:rsidRPr="000E6357">
        <w:rPr>
          <w:rFonts w:eastAsia="Times New Roman" w:cs="Times New Roman"/>
          <w:b/>
          <w:bCs/>
          <w:rtl/>
          <w:lang w:eastAsia="de-DE"/>
        </w:rPr>
        <w:t>להוסיף</w:t>
      </w:r>
      <w:r w:rsidRPr="000E6357">
        <w:rPr>
          <w:rFonts w:eastAsia="Times New Roman" w:cs="Times New Roman"/>
          <w:rtl/>
          <w:lang w:eastAsia="de-DE"/>
        </w:rPr>
        <w:t xml:space="preserve"> </w:t>
      </w:r>
      <w:r w:rsidRPr="000E6357">
        <w:rPr>
          <w:rFonts w:eastAsia="Times New Roman" w:cs="Times New Roman"/>
          <w:lang w:eastAsia="de-DE"/>
        </w:rPr>
        <w:t>mit π</w:t>
      </w:r>
      <w:proofErr w:type="spellStart"/>
      <w:r w:rsidRPr="000E6357">
        <w:rPr>
          <w:rFonts w:eastAsia="Times New Roman" w:cs="Times New Roman"/>
          <w:lang w:eastAsia="de-DE"/>
        </w:rPr>
        <w:t>ροσθεῖν</w:t>
      </w:r>
      <w:proofErr w:type="spellEnd"/>
      <w:r w:rsidRPr="000E6357">
        <w:rPr>
          <w:rFonts w:eastAsia="Times New Roman" w:cs="Times New Roman"/>
          <w:lang w:eastAsia="de-DE"/>
        </w:rPr>
        <w:t xml:space="preserve">αι (hinzuzufügen) und </w:t>
      </w:r>
      <w:r w:rsidRPr="000E6357">
        <w:rPr>
          <w:rFonts w:eastAsia="Times New Roman" w:cs="Times New Roman"/>
          <w:b/>
          <w:bCs/>
          <w:rtl/>
          <w:lang w:eastAsia="de-DE"/>
        </w:rPr>
        <w:t>תבואתו</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γένημ</w:t>
      </w:r>
      <w:proofErr w:type="spellEnd"/>
      <w:r w:rsidRPr="000E6357">
        <w:rPr>
          <w:rFonts w:eastAsia="Times New Roman" w:cs="Times New Roman"/>
          <w:lang w:eastAsia="de-DE"/>
        </w:rPr>
        <w:t>α α</w:t>
      </w:r>
      <w:proofErr w:type="spellStart"/>
      <w:r w:rsidRPr="000E6357">
        <w:rPr>
          <w:rFonts w:eastAsia="Times New Roman" w:cs="Times New Roman"/>
          <w:lang w:eastAsia="de-DE"/>
        </w:rPr>
        <w:t>ὐτοῦ</w:t>
      </w:r>
      <w:proofErr w:type="spellEnd"/>
      <w:r w:rsidRPr="000E6357">
        <w:rPr>
          <w:rFonts w:eastAsia="Times New Roman" w:cs="Times New Roman"/>
          <w:lang w:eastAsia="de-DE"/>
        </w:rPr>
        <w:t xml:space="preserve"> (seinen Ertrag).</w:t>
      </w:r>
    </w:p>
    <w:p w14:paraId="070B655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Verzehrerlaubnis: fünftes Jahr + Esserlaubnis + Segensmehrung als Lohn + göttliche Autoritäts- und Segensgarantie.</w:t>
      </w:r>
    </w:p>
    <w:p w14:paraId="5B3A682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 xml:space="preserve">Dieser Vers schließt das </w:t>
      </w:r>
      <w:r w:rsidRPr="000E6357">
        <w:rPr>
          <w:rFonts w:eastAsia="Times New Roman" w:cs="Times New Roman"/>
          <w:b/>
          <w:bCs/>
          <w:rtl/>
          <w:lang w:eastAsia="de-DE"/>
        </w:rPr>
        <w:t>ערלה</w:t>
      </w:r>
      <w:r w:rsidRPr="000E6357">
        <w:rPr>
          <w:rFonts w:eastAsia="Times New Roman" w:cs="Times New Roman"/>
          <w:lang w:eastAsia="de-DE"/>
        </w:rPr>
        <w:t>-Gesetz mit der Verheißung vermehrten Segens für Gehorsam ab.</w:t>
      </w:r>
    </w:p>
    <w:p w14:paraId="073B62D0"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19,26</w:t>
      </w:r>
    </w:p>
    <w:p w14:paraId="0C4A8195"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 תֹאכְל֖וּ עַל־הַדָּ֑ם לֹ֥א תְנַחֲשׁ֖וּ וְלֹ֥א תְעוֹנֵֽנוּ׃</w:t>
      </w:r>
    </w:p>
    <w:p w14:paraId="2159F79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Ihr sollt nichts mit Blut essen. Ihr sollt weder Wahrsagerei noch Zauberei treiben.</w:t>
      </w:r>
    </w:p>
    <w:p w14:paraId="137B1F44"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548460CE">
          <v:rect id="_x0000_i1586" style="width:0;height:1.5pt" o:hralign="center" o:hrstd="t" o:hr="t" fillcolor="#a0a0a0" stroked="f"/>
        </w:pict>
      </w:r>
    </w:p>
    <w:p w14:paraId="756B1FE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 תאכלו על־הדם לא תנחשו ולא תעוננו</w:t>
      </w:r>
      <w:r w:rsidRPr="000E6357">
        <w:rPr>
          <w:rFonts w:eastAsia="Times New Roman" w:cs="Times New Roman"/>
          <w:rtl/>
          <w:lang w:eastAsia="de-DE"/>
        </w:rPr>
        <w:t xml:space="preserve"> </w:t>
      </w:r>
      <w:r w:rsidRPr="000E6357">
        <w:rPr>
          <w:rFonts w:eastAsia="Times New Roman" w:cs="Times New Roman"/>
          <w:lang w:eastAsia="de-DE"/>
        </w:rPr>
        <w:t xml:space="preserve">verbietet drei okkulte Praktiken. </w:t>
      </w:r>
      <w:r w:rsidRPr="000E6357">
        <w:rPr>
          <w:rFonts w:eastAsia="Times New Roman" w:cs="Times New Roman"/>
          <w:b/>
          <w:bCs/>
          <w:rtl/>
          <w:lang w:eastAsia="de-DE"/>
        </w:rPr>
        <w:t>לא תאכלו על־הדם</w:t>
      </w:r>
      <w:r w:rsidRPr="000E6357">
        <w:rPr>
          <w:rFonts w:eastAsia="Times New Roman" w:cs="Times New Roman"/>
          <w:rtl/>
          <w:lang w:eastAsia="de-DE"/>
        </w:rPr>
        <w:t xml:space="preserve"> </w:t>
      </w:r>
      <w:r w:rsidRPr="000E6357">
        <w:rPr>
          <w:rFonts w:eastAsia="Times New Roman" w:cs="Times New Roman"/>
          <w:lang w:eastAsia="de-DE"/>
        </w:rPr>
        <w:t xml:space="preserve">(ihr sollt nichts mit Blut essen) - </w:t>
      </w:r>
      <w:r w:rsidRPr="000E6357">
        <w:rPr>
          <w:rFonts w:eastAsia="Times New Roman" w:cs="Times New Roman"/>
          <w:b/>
          <w:bCs/>
          <w:rtl/>
          <w:lang w:eastAsia="de-DE"/>
        </w:rPr>
        <w:t>לא תאכלו על־הדם</w:t>
      </w:r>
      <w:r w:rsidRPr="000E6357">
        <w:rPr>
          <w:rFonts w:eastAsia="Times New Roman" w:cs="Times New Roman"/>
          <w:rtl/>
          <w:lang w:eastAsia="de-DE"/>
        </w:rPr>
        <w:t xml:space="preserve"> </w:t>
      </w:r>
      <w:r w:rsidRPr="000E6357">
        <w:rPr>
          <w:rFonts w:eastAsia="Times New Roman" w:cs="Times New Roman"/>
          <w:lang w:eastAsia="de-DE"/>
        </w:rPr>
        <w:t xml:space="preserve">kann "nicht über Blut essen" (während Blut noch fließt) oder "nicht mit Blut essen" bedeuten. </w:t>
      </w:r>
      <w:r w:rsidRPr="000E6357">
        <w:rPr>
          <w:rFonts w:eastAsia="Times New Roman" w:cs="Times New Roman"/>
          <w:b/>
          <w:bCs/>
          <w:rtl/>
          <w:lang w:eastAsia="de-DE"/>
        </w:rPr>
        <w:t>על־הדם</w:t>
      </w:r>
      <w:r w:rsidRPr="000E6357">
        <w:rPr>
          <w:rFonts w:eastAsia="Times New Roman" w:cs="Times New Roman"/>
          <w:rtl/>
          <w:lang w:eastAsia="de-DE"/>
        </w:rPr>
        <w:t xml:space="preserve"> </w:t>
      </w:r>
      <w:r w:rsidRPr="000E6357">
        <w:rPr>
          <w:rFonts w:eastAsia="Times New Roman" w:cs="Times New Roman"/>
          <w:lang w:eastAsia="de-DE"/>
        </w:rPr>
        <w:t>zeigt die Verbindung von Essen und Blut als heidnische Praxis.</w:t>
      </w:r>
    </w:p>
    <w:p w14:paraId="29B40DE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lastRenderedPageBreak/>
        <w:t>לא תנחשו ולא תעוננו</w:t>
      </w:r>
      <w:r w:rsidRPr="000E6357">
        <w:rPr>
          <w:rFonts w:eastAsia="Times New Roman" w:cs="Times New Roman"/>
          <w:rtl/>
          <w:lang w:eastAsia="de-DE"/>
        </w:rPr>
        <w:t xml:space="preserve"> </w:t>
      </w:r>
      <w:r w:rsidRPr="000E6357">
        <w:rPr>
          <w:rFonts w:eastAsia="Times New Roman" w:cs="Times New Roman"/>
          <w:lang w:eastAsia="de-DE"/>
        </w:rPr>
        <w:t xml:space="preserve">(ihr sollt weder Wahrsagerei noch Zauberei treiben) - </w:t>
      </w:r>
      <w:r w:rsidRPr="000E6357">
        <w:rPr>
          <w:rFonts w:eastAsia="Times New Roman" w:cs="Times New Roman"/>
          <w:b/>
          <w:bCs/>
          <w:rtl/>
          <w:lang w:eastAsia="de-DE"/>
        </w:rPr>
        <w:t>לא תנחשו</w:t>
      </w:r>
      <w:r w:rsidRPr="000E6357">
        <w:rPr>
          <w:rFonts w:eastAsia="Times New Roman" w:cs="Times New Roman"/>
          <w:rtl/>
          <w:lang w:eastAsia="de-DE"/>
        </w:rPr>
        <w:t xml:space="preserve"> </w:t>
      </w:r>
      <w:r w:rsidRPr="000E6357">
        <w:rPr>
          <w:rFonts w:eastAsia="Times New Roman" w:cs="Times New Roman"/>
          <w:lang w:eastAsia="de-DE"/>
        </w:rPr>
        <w:t xml:space="preserve">(ihr sollt keine Wahrsagerei treiben) im Piel-Imperfekt von </w:t>
      </w:r>
      <w:r w:rsidRPr="000E6357">
        <w:rPr>
          <w:rFonts w:eastAsia="Times New Roman" w:cs="Times New Roman"/>
          <w:b/>
          <w:bCs/>
          <w:rtl/>
          <w:lang w:eastAsia="de-DE"/>
        </w:rPr>
        <w:t>נחש</w:t>
      </w:r>
      <w:r w:rsidRPr="000E6357">
        <w:rPr>
          <w:rFonts w:eastAsia="Times New Roman" w:cs="Times New Roman"/>
          <w:lang w:eastAsia="de-DE"/>
        </w:rPr>
        <w:t xml:space="preserve">, das Piel zeigt intensive Wahrsagepraxis. </w:t>
      </w:r>
      <w:r w:rsidRPr="000E6357">
        <w:rPr>
          <w:rFonts w:eastAsia="Times New Roman" w:cs="Times New Roman"/>
          <w:b/>
          <w:bCs/>
          <w:rtl/>
          <w:lang w:eastAsia="de-DE"/>
        </w:rPr>
        <w:t>ולא תעוננו</w:t>
      </w:r>
      <w:r w:rsidRPr="000E6357">
        <w:rPr>
          <w:rFonts w:eastAsia="Times New Roman" w:cs="Times New Roman"/>
          <w:rtl/>
          <w:lang w:eastAsia="de-DE"/>
        </w:rPr>
        <w:t xml:space="preserve"> </w:t>
      </w:r>
      <w:r w:rsidRPr="000E6357">
        <w:rPr>
          <w:rFonts w:eastAsia="Times New Roman" w:cs="Times New Roman"/>
          <w:lang w:eastAsia="de-DE"/>
        </w:rPr>
        <w:t xml:space="preserve">(und keine Zauberei treiben) im Poel-Imperfekt von </w:t>
      </w:r>
      <w:r w:rsidRPr="000E6357">
        <w:rPr>
          <w:rFonts w:eastAsia="Times New Roman" w:cs="Times New Roman"/>
          <w:b/>
          <w:bCs/>
          <w:rtl/>
          <w:lang w:eastAsia="de-DE"/>
        </w:rPr>
        <w:t>ענן</w:t>
      </w:r>
      <w:r w:rsidRPr="000E6357">
        <w:rPr>
          <w:rFonts w:eastAsia="Times New Roman" w:cs="Times New Roman"/>
          <w:lang w:eastAsia="de-DE"/>
        </w:rPr>
        <w:t>, das Poel zeigt intensive Zauberpraxis.</w:t>
      </w:r>
    </w:p>
    <w:p w14:paraId="7B8726A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על־הדם</w:t>
      </w:r>
      <w:r w:rsidRPr="000E6357">
        <w:rPr>
          <w:rFonts w:eastAsia="Times New Roman" w:cs="Times New Roman"/>
          <w:rtl/>
          <w:lang w:eastAsia="de-DE"/>
        </w:rPr>
        <w:t xml:space="preserve"> </w:t>
      </w:r>
      <w:r w:rsidRPr="000E6357">
        <w:rPr>
          <w:rFonts w:eastAsia="Times New Roman" w:cs="Times New Roman"/>
          <w:lang w:eastAsia="de-DE"/>
        </w:rPr>
        <w:t xml:space="preserve">als heidnische Kultspeise. </w:t>
      </w:r>
      <w:r w:rsidRPr="000E6357">
        <w:rPr>
          <w:rFonts w:eastAsia="Times New Roman" w:cs="Times New Roman"/>
          <w:b/>
          <w:bCs/>
          <w:rtl/>
          <w:lang w:eastAsia="de-DE"/>
        </w:rPr>
        <w:t>תנחשו</w:t>
      </w:r>
      <w:r w:rsidRPr="000E6357">
        <w:rPr>
          <w:rFonts w:eastAsia="Times New Roman" w:cs="Times New Roman"/>
          <w:rtl/>
          <w:lang w:eastAsia="de-DE"/>
        </w:rPr>
        <w:t xml:space="preserve"> </w:t>
      </w:r>
      <w:r w:rsidRPr="000E6357">
        <w:rPr>
          <w:rFonts w:eastAsia="Times New Roman" w:cs="Times New Roman"/>
          <w:lang w:eastAsia="de-DE"/>
        </w:rPr>
        <w:t xml:space="preserve">als Wahrsagerei durch Zeichen. </w:t>
      </w:r>
      <w:r w:rsidRPr="000E6357">
        <w:rPr>
          <w:rFonts w:eastAsia="Times New Roman" w:cs="Times New Roman"/>
          <w:b/>
          <w:bCs/>
          <w:rtl/>
          <w:lang w:eastAsia="de-DE"/>
        </w:rPr>
        <w:t>תעוננו</w:t>
      </w:r>
      <w:r w:rsidRPr="000E6357">
        <w:rPr>
          <w:rFonts w:eastAsia="Times New Roman" w:cs="Times New Roman"/>
          <w:rtl/>
          <w:lang w:eastAsia="de-DE"/>
        </w:rPr>
        <w:t xml:space="preserve"> </w:t>
      </w:r>
      <w:r w:rsidRPr="000E6357">
        <w:rPr>
          <w:rFonts w:eastAsia="Times New Roman" w:cs="Times New Roman"/>
          <w:lang w:eastAsia="de-DE"/>
        </w:rPr>
        <w:t>als Wolkendeutung oder andere Zauberei. Alle drei Praktiken sind heidnischen Ursprungs.</w:t>
      </w:r>
    </w:p>
    <w:p w14:paraId="0AE36BB4" w14:textId="14F4541C"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interpretiert </w:t>
      </w:r>
      <w:r w:rsidR="004F25E8">
        <w:rPr>
          <w:rtl/>
        </w:rPr>
        <w:t>על־הדם</w:t>
      </w:r>
      <w:r w:rsidR="004F25E8">
        <w:t xml:space="preserve"> (al-</w:t>
      </w:r>
      <w:proofErr w:type="spellStart"/>
      <w:r w:rsidR="004F25E8">
        <w:t>hadam</w:t>
      </w:r>
      <w:proofErr w:type="spellEnd"/>
      <w:r w:rsidR="004F25E8">
        <w:t xml:space="preserve"> - "auf dem Blut") als ἐπὶ </w:t>
      </w:r>
      <w:proofErr w:type="spellStart"/>
      <w:r w:rsidR="004F25E8">
        <w:t>τῶν</w:t>
      </w:r>
      <w:proofErr w:type="spellEnd"/>
      <w:r w:rsidR="004F25E8">
        <w:t xml:space="preserve"> </w:t>
      </w:r>
      <w:proofErr w:type="spellStart"/>
      <w:r w:rsidR="004F25E8">
        <w:t>ὀρέων</w:t>
      </w:r>
      <w:proofErr w:type="spellEnd"/>
      <w:r w:rsidR="004F25E8">
        <w:t xml:space="preserve"> (auf den Bergen), was eine andere Lesart oder Interpretation darstellt. </w:t>
      </w:r>
      <w:r w:rsidR="004F25E8">
        <w:rPr>
          <w:rtl/>
        </w:rPr>
        <w:t>תנחשו</w:t>
      </w:r>
      <w:r w:rsidR="004F25E8">
        <w:t xml:space="preserve"> (</w:t>
      </w:r>
      <w:proofErr w:type="spellStart"/>
      <w:r w:rsidR="004F25E8">
        <w:t>tenacheshu</w:t>
      </w:r>
      <w:proofErr w:type="spellEnd"/>
      <w:r w:rsidR="004F25E8">
        <w:t xml:space="preserve"> - "wahrsagen") wird als </w:t>
      </w:r>
      <w:proofErr w:type="spellStart"/>
      <w:r w:rsidR="004F25E8">
        <w:t>οἰωνιεῖσθε</w:t>
      </w:r>
      <w:proofErr w:type="spellEnd"/>
      <w:r w:rsidR="004F25E8">
        <w:t xml:space="preserve"> (Vogelzeichen deuten) und </w:t>
      </w:r>
      <w:r w:rsidR="004F25E8">
        <w:rPr>
          <w:rtl/>
        </w:rPr>
        <w:t>תעוננו</w:t>
      </w:r>
      <w:r w:rsidR="004F25E8">
        <w:t xml:space="preserve"> (</w:t>
      </w:r>
      <w:proofErr w:type="spellStart"/>
      <w:r w:rsidR="004F25E8">
        <w:t>te'onenu</w:t>
      </w:r>
      <w:proofErr w:type="spellEnd"/>
      <w:r w:rsidR="004F25E8">
        <w:t xml:space="preserve"> - "zaubern") als </w:t>
      </w:r>
      <w:proofErr w:type="spellStart"/>
      <w:r w:rsidR="004F25E8">
        <w:t>ὀρνιθοσκο</w:t>
      </w:r>
      <w:proofErr w:type="spellEnd"/>
      <w:r w:rsidR="004F25E8">
        <w:t>πήσεσθε (Vogelflug beobachten) spezifiziert.</w:t>
      </w:r>
    </w:p>
    <w:p w14:paraId="51A79C5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okkulte Verbote: Blutspeisung + Wahrsagerei + Zauberei als heidnische Praktiken.</w:t>
      </w:r>
    </w:p>
    <w:p w14:paraId="2625F8D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verbietet drei heidnische okkulte Praktiken: Blutrituale, Wahrsagerei und Zauberei.</w:t>
      </w:r>
    </w:p>
    <w:p w14:paraId="19C94421"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19,27</w:t>
      </w:r>
    </w:p>
    <w:p w14:paraId="5947538B"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לֹ֣א תַקִּ֔פוּ פְּאַ֖ת רֹאשְׁכֶ֑ם וְלֹ֣א תַשְׁחִ֔ית אֵ֖ת פְּאַ֥ת זְקָנֶֽךָ׃</w:t>
      </w:r>
    </w:p>
    <w:p w14:paraId="205CE61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Ihr sollt nicht den Rand eures Haupthaares rund scheren, und den Rand deines Bartes sollt ihr nicht zerstören.</w:t>
      </w:r>
    </w:p>
    <w:p w14:paraId="26F4F8F2"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7582A39D">
          <v:rect id="_x0000_i1587" style="width:0;height:1.5pt" o:hralign="center" o:hrstd="t" o:hr="t" fillcolor="#a0a0a0" stroked="f"/>
        </w:pict>
      </w:r>
    </w:p>
    <w:p w14:paraId="1EFF32E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לא תקפו פאת ראשכם ולא תשחית את פאת זקנך</w:t>
      </w:r>
      <w:r w:rsidRPr="000E6357">
        <w:rPr>
          <w:rFonts w:eastAsia="Times New Roman" w:cs="Times New Roman"/>
          <w:rtl/>
          <w:lang w:eastAsia="de-DE"/>
        </w:rPr>
        <w:t xml:space="preserve"> </w:t>
      </w:r>
      <w:r w:rsidRPr="000E6357">
        <w:rPr>
          <w:rFonts w:eastAsia="Times New Roman" w:cs="Times New Roman"/>
          <w:lang w:eastAsia="de-DE"/>
        </w:rPr>
        <w:t xml:space="preserve">verbietet bestimmte Haarschnitte und Rasuren. </w:t>
      </w:r>
      <w:r w:rsidRPr="000E6357">
        <w:rPr>
          <w:rFonts w:eastAsia="Times New Roman" w:cs="Times New Roman"/>
          <w:b/>
          <w:bCs/>
          <w:rtl/>
          <w:lang w:eastAsia="de-DE"/>
        </w:rPr>
        <w:t>לא תקפו פאת ראשכם</w:t>
      </w:r>
      <w:r w:rsidRPr="000E6357">
        <w:rPr>
          <w:rFonts w:eastAsia="Times New Roman" w:cs="Times New Roman"/>
          <w:rtl/>
          <w:lang w:eastAsia="de-DE"/>
        </w:rPr>
        <w:t xml:space="preserve"> </w:t>
      </w:r>
      <w:r w:rsidRPr="000E6357">
        <w:rPr>
          <w:rFonts w:eastAsia="Times New Roman" w:cs="Times New Roman"/>
          <w:lang w:eastAsia="de-DE"/>
        </w:rPr>
        <w:t xml:space="preserve">(ihr sollt nicht den Rand eures Haupthaares rund scheren) - </w:t>
      </w:r>
      <w:r w:rsidRPr="000E6357">
        <w:rPr>
          <w:rFonts w:eastAsia="Times New Roman" w:cs="Times New Roman"/>
          <w:b/>
          <w:bCs/>
          <w:rtl/>
          <w:lang w:eastAsia="de-DE"/>
        </w:rPr>
        <w:t>לא תקפו</w:t>
      </w:r>
      <w:r w:rsidRPr="000E6357">
        <w:rPr>
          <w:rFonts w:eastAsia="Times New Roman" w:cs="Times New Roman"/>
          <w:rtl/>
          <w:lang w:eastAsia="de-DE"/>
        </w:rPr>
        <w:t xml:space="preserve"> </w:t>
      </w:r>
      <w:r w:rsidRPr="000E6357">
        <w:rPr>
          <w:rFonts w:eastAsia="Times New Roman" w:cs="Times New Roman"/>
          <w:lang w:eastAsia="de-DE"/>
        </w:rPr>
        <w:t xml:space="preserve">(ihr sollt nicht rund scheren) im Hifil-Imperfekt von </w:t>
      </w:r>
      <w:r w:rsidRPr="000E6357">
        <w:rPr>
          <w:rFonts w:eastAsia="Times New Roman" w:cs="Times New Roman"/>
          <w:b/>
          <w:bCs/>
          <w:rtl/>
          <w:lang w:eastAsia="de-DE"/>
        </w:rPr>
        <w:t>נקף</w:t>
      </w:r>
      <w:r w:rsidRPr="000E6357">
        <w:rPr>
          <w:rFonts w:eastAsia="Times New Roman" w:cs="Times New Roman"/>
          <w:lang w:eastAsia="de-DE"/>
        </w:rPr>
        <w:t xml:space="preserve">, das Hifil zeigt kausatives Rundscheren. </w:t>
      </w:r>
      <w:r w:rsidRPr="000E6357">
        <w:rPr>
          <w:rFonts w:eastAsia="Times New Roman" w:cs="Times New Roman"/>
          <w:b/>
          <w:bCs/>
          <w:rtl/>
          <w:lang w:eastAsia="de-DE"/>
        </w:rPr>
        <w:t>פאת ראשכם</w:t>
      </w:r>
      <w:r w:rsidRPr="000E6357">
        <w:rPr>
          <w:rFonts w:eastAsia="Times New Roman" w:cs="Times New Roman"/>
          <w:rtl/>
          <w:lang w:eastAsia="de-DE"/>
        </w:rPr>
        <w:t xml:space="preserve"> </w:t>
      </w:r>
      <w:r w:rsidRPr="000E6357">
        <w:rPr>
          <w:rFonts w:eastAsia="Times New Roman" w:cs="Times New Roman"/>
          <w:lang w:eastAsia="de-DE"/>
        </w:rPr>
        <w:t xml:space="preserve">(Rand eures Haupthaares) - </w:t>
      </w:r>
      <w:r w:rsidRPr="000E6357">
        <w:rPr>
          <w:rFonts w:eastAsia="Times New Roman" w:cs="Times New Roman"/>
          <w:b/>
          <w:bCs/>
          <w:rtl/>
          <w:lang w:eastAsia="de-DE"/>
        </w:rPr>
        <w:t>פאה</w:t>
      </w:r>
      <w:r w:rsidRPr="000E6357">
        <w:rPr>
          <w:rFonts w:eastAsia="Times New Roman" w:cs="Times New Roman"/>
          <w:rtl/>
          <w:lang w:eastAsia="de-DE"/>
        </w:rPr>
        <w:t xml:space="preserve"> </w:t>
      </w:r>
      <w:r w:rsidRPr="000E6357">
        <w:rPr>
          <w:rFonts w:eastAsia="Times New Roman" w:cs="Times New Roman"/>
          <w:lang w:eastAsia="de-DE"/>
        </w:rPr>
        <w:t>(Ecke/Rand) wie in V. 9.</w:t>
      </w:r>
    </w:p>
    <w:p w14:paraId="3F50C3B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ולא תשחית את פאת זקנך</w:t>
      </w:r>
      <w:r w:rsidRPr="000E6357">
        <w:rPr>
          <w:rFonts w:eastAsia="Times New Roman" w:cs="Times New Roman"/>
          <w:rtl/>
          <w:lang w:eastAsia="de-DE"/>
        </w:rPr>
        <w:t xml:space="preserve"> </w:t>
      </w:r>
      <w:r w:rsidRPr="000E6357">
        <w:rPr>
          <w:rFonts w:eastAsia="Times New Roman" w:cs="Times New Roman"/>
          <w:lang w:eastAsia="de-DE"/>
        </w:rPr>
        <w:t xml:space="preserve">(und den Rand deines Bartes sollt ihr nicht zerstören) - </w:t>
      </w:r>
      <w:r w:rsidRPr="000E6357">
        <w:rPr>
          <w:rFonts w:eastAsia="Times New Roman" w:cs="Times New Roman"/>
          <w:b/>
          <w:bCs/>
          <w:rtl/>
          <w:lang w:eastAsia="de-DE"/>
        </w:rPr>
        <w:t>ולא תשחית</w:t>
      </w:r>
      <w:r w:rsidRPr="000E6357">
        <w:rPr>
          <w:rFonts w:eastAsia="Times New Roman" w:cs="Times New Roman"/>
          <w:rtl/>
          <w:lang w:eastAsia="de-DE"/>
        </w:rPr>
        <w:t xml:space="preserve"> </w:t>
      </w:r>
      <w:r w:rsidRPr="000E6357">
        <w:rPr>
          <w:rFonts w:eastAsia="Times New Roman" w:cs="Times New Roman"/>
          <w:lang w:eastAsia="de-DE"/>
        </w:rPr>
        <w:t xml:space="preserve">(und ihr sollt nicht zerstören) im Hifil-Imperfekt von </w:t>
      </w:r>
      <w:r w:rsidRPr="000E6357">
        <w:rPr>
          <w:rFonts w:eastAsia="Times New Roman" w:cs="Times New Roman"/>
          <w:b/>
          <w:bCs/>
          <w:rtl/>
          <w:lang w:eastAsia="de-DE"/>
        </w:rPr>
        <w:t>שחת</w:t>
      </w:r>
      <w:r w:rsidRPr="000E6357">
        <w:rPr>
          <w:rFonts w:eastAsia="Times New Roman" w:cs="Times New Roman"/>
          <w:lang w:eastAsia="de-DE"/>
        </w:rPr>
        <w:t xml:space="preserve">, das Hifil zeigt kausative Zerstörung. </w:t>
      </w:r>
      <w:r w:rsidRPr="000E6357">
        <w:rPr>
          <w:rFonts w:eastAsia="Times New Roman" w:cs="Times New Roman"/>
          <w:b/>
          <w:bCs/>
          <w:rtl/>
          <w:lang w:eastAsia="de-DE"/>
        </w:rPr>
        <w:t>פאת זקנך</w:t>
      </w:r>
      <w:r w:rsidRPr="000E6357">
        <w:rPr>
          <w:rFonts w:eastAsia="Times New Roman" w:cs="Times New Roman"/>
          <w:rtl/>
          <w:lang w:eastAsia="de-DE"/>
        </w:rPr>
        <w:t xml:space="preserve"> </w:t>
      </w:r>
      <w:r w:rsidRPr="000E6357">
        <w:rPr>
          <w:rFonts w:eastAsia="Times New Roman" w:cs="Times New Roman"/>
          <w:lang w:eastAsia="de-DE"/>
        </w:rPr>
        <w:t>(Rand deines Bartes) zeigt Bartränder.</w:t>
      </w:r>
    </w:p>
    <w:p w14:paraId="1870869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תקפו</w:t>
      </w:r>
      <w:r w:rsidRPr="000E6357">
        <w:rPr>
          <w:rFonts w:eastAsia="Times New Roman" w:cs="Times New Roman"/>
          <w:rtl/>
          <w:lang w:eastAsia="de-DE"/>
        </w:rPr>
        <w:t xml:space="preserve"> </w:t>
      </w:r>
      <w:r w:rsidRPr="000E6357">
        <w:rPr>
          <w:rFonts w:eastAsia="Times New Roman" w:cs="Times New Roman"/>
          <w:lang w:eastAsia="de-DE"/>
        </w:rPr>
        <w:t xml:space="preserve">zeigt kreisrundes Scheren der Schläfen. </w:t>
      </w:r>
      <w:r w:rsidRPr="000E6357">
        <w:rPr>
          <w:rFonts w:eastAsia="Times New Roman" w:cs="Times New Roman"/>
          <w:b/>
          <w:bCs/>
          <w:rtl/>
          <w:lang w:eastAsia="de-DE"/>
        </w:rPr>
        <w:t>תשחית</w:t>
      </w:r>
      <w:r w:rsidRPr="000E6357">
        <w:rPr>
          <w:rFonts w:eastAsia="Times New Roman" w:cs="Times New Roman"/>
          <w:rtl/>
          <w:lang w:eastAsia="de-DE"/>
        </w:rPr>
        <w:t xml:space="preserve"> </w:t>
      </w:r>
      <w:r w:rsidRPr="000E6357">
        <w:rPr>
          <w:rFonts w:eastAsia="Times New Roman" w:cs="Times New Roman"/>
          <w:lang w:eastAsia="de-DE"/>
        </w:rPr>
        <w:t>zeigt vollständige Bartzerstörung. Beide Praktiken sind offenbar heidnische Rituale oder Mode.</w:t>
      </w:r>
    </w:p>
    <w:p w14:paraId="2FE728AA" w14:textId="16AFDE7C"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תקפו</w:t>
      </w:r>
      <w:r w:rsidR="004F25E8">
        <w:t xml:space="preserve"> (</w:t>
      </w:r>
      <w:proofErr w:type="spellStart"/>
      <w:r w:rsidR="004F25E8">
        <w:t>taqqifu</w:t>
      </w:r>
      <w:proofErr w:type="spellEnd"/>
      <w:r w:rsidR="004F25E8">
        <w:t xml:space="preserve"> - "rundet ab") als </w:t>
      </w:r>
      <w:proofErr w:type="spellStart"/>
      <w:r w:rsidR="004F25E8">
        <w:t>σισόην</w:t>
      </w:r>
      <w:proofErr w:type="spellEnd"/>
      <w:r w:rsidR="004F25E8">
        <w:t xml:space="preserve"> (eine Frisur) und </w:t>
      </w:r>
      <w:r w:rsidR="004F25E8">
        <w:rPr>
          <w:rtl/>
        </w:rPr>
        <w:t>ולא תשחית</w:t>
      </w:r>
      <w:r w:rsidR="004F25E8">
        <w:t xml:space="preserve"> (</w:t>
      </w:r>
      <w:proofErr w:type="spellStart"/>
      <w:r w:rsidR="004F25E8">
        <w:t>welo</w:t>
      </w:r>
      <w:proofErr w:type="spellEnd"/>
      <w:r w:rsidR="004F25E8">
        <w:t xml:space="preserve"> </w:t>
      </w:r>
      <w:proofErr w:type="spellStart"/>
      <w:r w:rsidR="004F25E8">
        <w:t>tashchit</w:t>
      </w:r>
      <w:proofErr w:type="spellEnd"/>
      <w:r w:rsidR="004F25E8">
        <w:t xml:space="preserve"> - "zerstöre nicht") als </w:t>
      </w:r>
      <w:proofErr w:type="spellStart"/>
      <w:r w:rsidR="004F25E8">
        <w:t>οὐδὲ</w:t>
      </w:r>
      <w:proofErr w:type="spellEnd"/>
      <w:r w:rsidR="004F25E8">
        <w:t xml:space="preserve"> </w:t>
      </w:r>
      <w:proofErr w:type="spellStart"/>
      <w:r w:rsidR="004F25E8">
        <w:t>φθερεῖτε</w:t>
      </w:r>
      <w:proofErr w:type="spellEnd"/>
      <w:r w:rsidR="004F25E8">
        <w:t xml:space="preserve"> (verderbt nicht).</w:t>
      </w:r>
    </w:p>
    <w:p w14:paraId="520FE03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Haarverbote: Verbot des Rundscherens der Haupthaarränder + Verbot der Bartzerstörung.</w:t>
      </w:r>
    </w:p>
    <w:p w14:paraId="461A863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verbietet bestimmte Haarschnitt- und Rasurmoden, vermutlich heidnischen Ursprungs.</w:t>
      </w:r>
    </w:p>
    <w:p w14:paraId="029C923A"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lastRenderedPageBreak/>
        <w:t>Leviticus 19,28</w:t>
      </w:r>
    </w:p>
    <w:p w14:paraId="4BA27A29"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וְשֶׂ֣רֶט לָנֶ֗פֶשׁ לֹ֤א תִתְּנוּ֙ בִּבְשַׂרְכֶ֔ם וּכְתֹ֣בֶת קַֽעֲקַ֔ע לֹ֥א תִתְּנ֖וּ בָּכֶ֑ם אֲנִ֖י יְהוָֽה׃</w:t>
      </w:r>
    </w:p>
    <w:p w14:paraId="33354E7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Und Einschnitte wegen eines Toten sollt ihr an eurem Fleisch nicht machen; und Ätzschrift sollt ihr an euch nicht machen. Ich bin der Ewige.</w:t>
      </w:r>
    </w:p>
    <w:p w14:paraId="1F10E8DB"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2FCBA3A4">
          <v:rect id="_x0000_i1588" style="width:0;height:1.5pt" o:hralign="center" o:hrstd="t" o:hr="t" fillcolor="#a0a0a0" stroked="f"/>
        </w:pict>
      </w:r>
    </w:p>
    <w:p w14:paraId="66C1CC0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ושרט לנפש לא תתנו בבשרכם וכתבת קעקע לא תתנו בכם אני יהוה</w:t>
      </w:r>
      <w:r w:rsidRPr="000E6357">
        <w:rPr>
          <w:rFonts w:eastAsia="Times New Roman" w:cs="Times New Roman"/>
          <w:rtl/>
          <w:lang w:eastAsia="de-DE"/>
        </w:rPr>
        <w:t xml:space="preserve"> </w:t>
      </w:r>
      <w:r w:rsidRPr="000E6357">
        <w:rPr>
          <w:rFonts w:eastAsia="Times New Roman" w:cs="Times New Roman"/>
          <w:lang w:eastAsia="de-DE"/>
        </w:rPr>
        <w:t xml:space="preserve">verbietet Körpermodifikationen. </w:t>
      </w:r>
      <w:r w:rsidRPr="000E6357">
        <w:rPr>
          <w:rFonts w:eastAsia="Times New Roman" w:cs="Times New Roman"/>
          <w:b/>
          <w:bCs/>
          <w:rtl/>
          <w:lang w:eastAsia="de-DE"/>
        </w:rPr>
        <w:t>ושרט לנפש לא תתנו בבשרכם</w:t>
      </w:r>
      <w:r w:rsidRPr="000E6357">
        <w:rPr>
          <w:rFonts w:eastAsia="Times New Roman" w:cs="Times New Roman"/>
          <w:rtl/>
          <w:lang w:eastAsia="de-DE"/>
        </w:rPr>
        <w:t xml:space="preserve"> </w:t>
      </w:r>
      <w:r w:rsidRPr="000E6357">
        <w:rPr>
          <w:rFonts w:eastAsia="Times New Roman" w:cs="Times New Roman"/>
          <w:lang w:eastAsia="de-DE"/>
        </w:rPr>
        <w:t xml:space="preserve">(und Einschnitte wegen eines Toten sollt ihr an eurem Fleisch nicht machen) - </w:t>
      </w:r>
      <w:r w:rsidRPr="000E6357">
        <w:rPr>
          <w:rFonts w:eastAsia="Times New Roman" w:cs="Times New Roman"/>
          <w:b/>
          <w:bCs/>
          <w:rtl/>
          <w:lang w:eastAsia="de-DE"/>
        </w:rPr>
        <w:t>שרט</w:t>
      </w:r>
      <w:r w:rsidRPr="000E6357">
        <w:rPr>
          <w:rFonts w:eastAsia="Times New Roman" w:cs="Times New Roman"/>
          <w:rtl/>
          <w:lang w:eastAsia="de-DE"/>
        </w:rPr>
        <w:t xml:space="preserve"> </w:t>
      </w:r>
      <w:r w:rsidRPr="000E6357">
        <w:rPr>
          <w:rFonts w:eastAsia="Times New Roman" w:cs="Times New Roman"/>
          <w:lang w:eastAsia="de-DE"/>
        </w:rPr>
        <w:t xml:space="preserve">(Einschnitt) als rituelle Selbstverletzung. </w:t>
      </w:r>
      <w:r w:rsidRPr="000E6357">
        <w:rPr>
          <w:rFonts w:eastAsia="Times New Roman" w:cs="Times New Roman"/>
          <w:b/>
          <w:bCs/>
          <w:rtl/>
          <w:lang w:eastAsia="de-DE"/>
        </w:rPr>
        <w:t>לנפש</w:t>
      </w:r>
      <w:r w:rsidRPr="000E6357">
        <w:rPr>
          <w:rFonts w:eastAsia="Times New Roman" w:cs="Times New Roman"/>
          <w:rtl/>
          <w:lang w:eastAsia="de-DE"/>
        </w:rPr>
        <w:t xml:space="preserve"> </w:t>
      </w:r>
      <w:r w:rsidRPr="000E6357">
        <w:rPr>
          <w:rFonts w:eastAsia="Times New Roman" w:cs="Times New Roman"/>
          <w:lang w:eastAsia="de-DE"/>
        </w:rPr>
        <w:t xml:space="preserve">(wegen eines Toten) - </w:t>
      </w:r>
      <w:r w:rsidRPr="000E6357">
        <w:rPr>
          <w:rFonts w:eastAsia="Times New Roman" w:cs="Times New Roman"/>
          <w:b/>
          <w:bCs/>
          <w:rtl/>
          <w:lang w:eastAsia="de-DE"/>
        </w:rPr>
        <w:t>נפש</w:t>
      </w:r>
      <w:r w:rsidRPr="000E6357">
        <w:rPr>
          <w:rFonts w:eastAsia="Times New Roman" w:cs="Times New Roman"/>
          <w:rtl/>
          <w:lang w:eastAsia="de-DE"/>
        </w:rPr>
        <w:t xml:space="preserve"> </w:t>
      </w:r>
      <w:r w:rsidRPr="000E6357">
        <w:rPr>
          <w:rFonts w:eastAsia="Times New Roman" w:cs="Times New Roman"/>
          <w:lang w:eastAsia="de-DE"/>
        </w:rPr>
        <w:t xml:space="preserve">(Seele/Person) zeigt den Anlass: Trauerrituale. </w:t>
      </w:r>
      <w:r w:rsidRPr="000E6357">
        <w:rPr>
          <w:rFonts w:eastAsia="Times New Roman" w:cs="Times New Roman"/>
          <w:b/>
          <w:bCs/>
          <w:rtl/>
          <w:lang w:eastAsia="de-DE"/>
        </w:rPr>
        <w:t>לא תתנו בבשרכם</w:t>
      </w:r>
      <w:r w:rsidRPr="000E6357">
        <w:rPr>
          <w:rFonts w:eastAsia="Times New Roman" w:cs="Times New Roman"/>
          <w:rtl/>
          <w:lang w:eastAsia="de-DE"/>
        </w:rPr>
        <w:t xml:space="preserve"> </w:t>
      </w:r>
      <w:r w:rsidRPr="000E6357">
        <w:rPr>
          <w:rFonts w:eastAsia="Times New Roman" w:cs="Times New Roman"/>
          <w:lang w:eastAsia="de-DE"/>
        </w:rPr>
        <w:t>(sollt ihr nicht machen an eurem Fleisch) im Qal-Imperfekt.</w:t>
      </w:r>
    </w:p>
    <w:p w14:paraId="33BE45A0"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וכתבת קעקע לא תתנו בכם</w:t>
      </w:r>
      <w:r w:rsidRPr="000E6357">
        <w:rPr>
          <w:rFonts w:eastAsia="Times New Roman" w:cs="Times New Roman"/>
          <w:rtl/>
          <w:lang w:eastAsia="de-DE"/>
        </w:rPr>
        <w:t xml:space="preserve"> </w:t>
      </w:r>
      <w:r w:rsidRPr="000E6357">
        <w:rPr>
          <w:rFonts w:eastAsia="Times New Roman" w:cs="Times New Roman"/>
          <w:lang w:eastAsia="de-DE"/>
        </w:rPr>
        <w:t xml:space="preserve">(und Ätzschrift sollt ihr an euch nicht machen) - </w:t>
      </w:r>
      <w:r w:rsidRPr="000E6357">
        <w:rPr>
          <w:rFonts w:eastAsia="Times New Roman" w:cs="Times New Roman"/>
          <w:b/>
          <w:bCs/>
          <w:rtl/>
          <w:lang w:eastAsia="de-DE"/>
        </w:rPr>
        <w:t>כתבת קעקע</w:t>
      </w:r>
      <w:r w:rsidRPr="000E6357">
        <w:rPr>
          <w:rFonts w:eastAsia="Times New Roman" w:cs="Times New Roman"/>
          <w:rtl/>
          <w:lang w:eastAsia="de-DE"/>
        </w:rPr>
        <w:t xml:space="preserve"> </w:t>
      </w:r>
      <w:r w:rsidRPr="000E6357">
        <w:rPr>
          <w:rFonts w:eastAsia="Times New Roman" w:cs="Times New Roman"/>
          <w:lang w:eastAsia="de-DE"/>
        </w:rPr>
        <w:t xml:space="preserve">(Ätzschrift) als permanente Hautmarkierung, möglicherweise Tätowierung. </w:t>
      </w:r>
      <w:r w:rsidRPr="000E6357">
        <w:rPr>
          <w:rFonts w:eastAsia="Times New Roman" w:cs="Times New Roman"/>
          <w:b/>
          <w:bCs/>
          <w:rtl/>
          <w:lang w:eastAsia="de-DE"/>
        </w:rPr>
        <w:t>לא תתנו בכם</w:t>
      </w:r>
      <w:r w:rsidRPr="000E6357">
        <w:rPr>
          <w:rFonts w:eastAsia="Times New Roman" w:cs="Times New Roman"/>
          <w:rtl/>
          <w:lang w:eastAsia="de-DE"/>
        </w:rPr>
        <w:t xml:space="preserve"> </w:t>
      </w:r>
      <w:r w:rsidRPr="000E6357">
        <w:rPr>
          <w:rFonts w:eastAsia="Times New Roman" w:cs="Times New Roman"/>
          <w:lang w:eastAsia="de-DE"/>
        </w:rPr>
        <w:t>(sollt ihr nicht machen an euch) zeigt Selbstmodifikationsverbot.</w:t>
      </w:r>
    </w:p>
    <w:p w14:paraId="2581CD5D"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אני יהוה</w:t>
      </w:r>
      <w:r w:rsidRPr="000E6357">
        <w:rPr>
          <w:rFonts w:eastAsia="Times New Roman" w:cs="Times New Roman"/>
          <w:rtl/>
          <w:lang w:eastAsia="de-DE"/>
        </w:rPr>
        <w:t xml:space="preserve"> </w:t>
      </w:r>
      <w:r w:rsidRPr="000E6357">
        <w:rPr>
          <w:rFonts w:eastAsia="Times New Roman" w:cs="Times New Roman"/>
          <w:lang w:eastAsia="de-DE"/>
        </w:rPr>
        <w:t>(ich bin der Ewige) als Autoritätsformel.</w:t>
      </w:r>
    </w:p>
    <w:p w14:paraId="7FB0322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שרט לנפש</w:t>
      </w:r>
      <w:r w:rsidRPr="000E6357">
        <w:rPr>
          <w:rFonts w:eastAsia="Times New Roman" w:cs="Times New Roman"/>
          <w:rtl/>
          <w:lang w:eastAsia="de-DE"/>
        </w:rPr>
        <w:t xml:space="preserve"> </w:t>
      </w:r>
      <w:r w:rsidRPr="000E6357">
        <w:rPr>
          <w:rFonts w:eastAsia="Times New Roman" w:cs="Times New Roman"/>
          <w:lang w:eastAsia="de-DE"/>
        </w:rPr>
        <w:t xml:space="preserve">als heidnische Trauerpraxis. </w:t>
      </w:r>
      <w:r w:rsidRPr="000E6357">
        <w:rPr>
          <w:rFonts w:eastAsia="Times New Roman" w:cs="Times New Roman"/>
          <w:b/>
          <w:bCs/>
          <w:rtl/>
          <w:lang w:eastAsia="de-DE"/>
        </w:rPr>
        <w:t>כתבת קעקע</w:t>
      </w:r>
      <w:r w:rsidRPr="000E6357">
        <w:rPr>
          <w:rFonts w:eastAsia="Times New Roman" w:cs="Times New Roman"/>
          <w:rtl/>
          <w:lang w:eastAsia="de-DE"/>
        </w:rPr>
        <w:t xml:space="preserve"> </w:t>
      </w:r>
      <w:r w:rsidRPr="000E6357">
        <w:rPr>
          <w:rFonts w:eastAsia="Times New Roman" w:cs="Times New Roman"/>
          <w:lang w:eastAsia="de-DE"/>
        </w:rPr>
        <w:t>als permanente Körpermarkierung, möglicherweise religiösen Charakters. Beide Praktiken markieren den Körper als Tempel-Verletzung.</w:t>
      </w:r>
    </w:p>
    <w:p w14:paraId="25806240" w14:textId="5A288623"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w:t>
      </w:r>
      <w:r w:rsidR="004F25E8">
        <w:t xml:space="preserve">übersetzt </w:t>
      </w:r>
      <w:r w:rsidR="004F25E8">
        <w:rPr>
          <w:rtl/>
        </w:rPr>
        <w:t>שרט</w:t>
      </w:r>
      <w:r w:rsidR="004F25E8">
        <w:t xml:space="preserve"> (</w:t>
      </w:r>
      <w:proofErr w:type="spellStart"/>
      <w:r w:rsidR="004F25E8">
        <w:t>seret</w:t>
      </w:r>
      <w:proofErr w:type="spellEnd"/>
      <w:r w:rsidR="004F25E8">
        <w:t xml:space="preserve"> - "Einschnitt") als </w:t>
      </w:r>
      <w:proofErr w:type="spellStart"/>
      <w:r w:rsidR="004F25E8">
        <w:t>ἐντομίδ</w:t>
      </w:r>
      <w:proofErr w:type="spellEnd"/>
      <w:r w:rsidR="004F25E8">
        <w:t xml:space="preserve">ας (Einschnitte) und </w:t>
      </w:r>
      <w:r w:rsidR="004F25E8">
        <w:rPr>
          <w:rtl/>
        </w:rPr>
        <w:t>כתבת קעקע</w:t>
      </w:r>
      <w:r w:rsidR="004F25E8">
        <w:t xml:space="preserve"> (</w:t>
      </w:r>
      <w:proofErr w:type="spellStart"/>
      <w:r w:rsidR="004F25E8">
        <w:t>ketovet</w:t>
      </w:r>
      <w:proofErr w:type="spellEnd"/>
      <w:r w:rsidR="004F25E8">
        <w:t xml:space="preserve"> </w:t>
      </w:r>
      <w:proofErr w:type="spellStart"/>
      <w:r w:rsidR="004F25E8">
        <w:t>qa'aqa</w:t>
      </w:r>
      <w:proofErr w:type="spellEnd"/>
      <w:r w:rsidR="004F25E8">
        <w:t xml:space="preserve">' - "Tätowierung") als </w:t>
      </w:r>
      <w:proofErr w:type="spellStart"/>
      <w:r w:rsidR="004F25E8">
        <w:t>γράμμ</w:t>
      </w:r>
      <w:proofErr w:type="spellEnd"/>
      <w:r w:rsidR="004F25E8">
        <w:t xml:space="preserve">ατα </w:t>
      </w:r>
      <w:proofErr w:type="spellStart"/>
      <w:r w:rsidR="004F25E8">
        <w:t>στικτά</w:t>
      </w:r>
      <w:proofErr w:type="spellEnd"/>
      <w:r w:rsidR="004F25E8">
        <w:t xml:space="preserve"> (gestochene Schriftzeichen).</w:t>
      </w:r>
    </w:p>
    <w:p w14:paraId="4945FCB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Körpermodifikationsverbote: Trauereinschnitte + permanente Hautmarkierungen + göttliche Autorität.</w:t>
      </w:r>
    </w:p>
    <w:p w14:paraId="1CFC5BDC"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verbietet rituelle Selbstverletzung und permanente Hautmarkierungen als heidnische Praktiken.</w:t>
      </w:r>
    </w:p>
    <w:p w14:paraId="185CD1EE"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19,29</w:t>
      </w:r>
    </w:p>
    <w:p w14:paraId="3BEE441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אַל־תְּחַלֵּ֥ל אֶֽת־בִּתְּךָ֖ לְהַזְנוֹתָ֑הּ וְלֹא־תִזְנֶ֣ה הָאָ֔רֶץ וּמָלְאָ֥ה הָאָ֖רֶץ זִמָּֽה׃</w:t>
      </w:r>
    </w:p>
    <w:p w14:paraId="3EB816A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Du sollst deine Tochter nicht entweihen, sie der Hurerei hingeben, dass das Land nicht Hurerei treibe und das Land voll Schandtaten werde.</w:t>
      </w:r>
    </w:p>
    <w:p w14:paraId="3748EF43"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325189BE">
          <v:rect id="_x0000_i1589" style="width:0;height:1.5pt" o:hralign="center" o:hrstd="t" o:hr="t" fillcolor="#a0a0a0" stroked="f"/>
        </w:pict>
      </w:r>
    </w:p>
    <w:p w14:paraId="040FAFD7" w14:textId="695E49D9"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אל־תחלל את־בתך להזנותה ולא־תזנה הארץ ומלאה הארץ זמה</w:t>
      </w:r>
      <w:r w:rsidRPr="000E6357">
        <w:rPr>
          <w:rFonts w:eastAsia="Times New Roman" w:cs="Times New Roman"/>
          <w:rtl/>
          <w:lang w:eastAsia="de-DE"/>
        </w:rPr>
        <w:t xml:space="preserve"> </w:t>
      </w:r>
      <w:r w:rsidRPr="000E6357">
        <w:rPr>
          <w:rFonts w:eastAsia="Times New Roman" w:cs="Times New Roman"/>
          <w:lang w:eastAsia="de-DE"/>
        </w:rPr>
        <w:t xml:space="preserve">verbietet Prostitution der Tochter. </w:t>
      </w:r>
      <w:r w:rsidRPr="000E6357">
        <w:rPr>
          <w:rFonts w:eastAsia="Times New Roman" w:cs="Times New Roman"/>
          <w:b/>
          <w:bCs/>
          <w:rtl/>
          <w:lang w:eastAsia="de-DE"/>
        </w:rPr>
        <w:t>אל־תחלל את־בתך להזנותה</w:t>
      </w:r>
      <w:r w:rsidRPr="000E6357">
        <w:rPr>
          <w:rFonts w:eastAsia="Times New Roman" w:cs="Times New Roman"/>
          <w:rtl/>
          <w:lang w:eastAsia="de-DE"/>
        </w:rPr>
        <w:t xml:space="preserve"> </w:t>
      </w:r>
      <w:r w:rsidRPr="000E6357">
        <w:rPr>
          <w:rFonts w:eastAsia="Times New Roman" w:cs="Times New Roman"/>
          <w:lang w:eastAsia="de-DE"/>
        </w:rPr>
        <w:t xml:space="preserve">(du sollst deine Tochter nicht entweihen, sie der Hurerei hingeben) - </w:t>
      </w:r>
      <w:r w:rsidRPr="000E6357">
        <w:rPr>
          <w:rFonts w:eastAsia="Times New Roman" w:cs="Times New Roman"/>
          <w:b/>
          <w:bCs/>
          <w:rtl/>
          <w:lang w:eastAsia="de-DE"/>
        </w:rPr>
        <w:t>אל־תחלל</w:t>
      </w:r>
      <w:r w:rsidRPr="000E6357">
        <w:rPr>
          <w:rFonts w:eastAsia="Times New Roman" w:cs="Times New Roman"/>
          <w:rtl/>
          <w:lang w:eastAsia="de-DE"/>
        </w:rPr>
        <w:t xml:space="preserve"> </w:t>
      </w:r>
      <w:r w:rsidRPr="000E6357">
        <w:rPr>
          <w:rFonts w:eastAsia="Times New Roman" w:cs="Times New Roman"/>
          <w:lang w:eastAsia="de-DE"/>
        </w:rPr>
        <w:t xml:space="preserve">(du sollst nicht entweihen) im Piel-Imperfekt, das Piel zeigt intensive Entweihung. </w:t>
      </w:r>
      <w:r w:rsidRPr="000E6357">
        <w:rPr>
          <w:rFonts w:eastAsia="Times New Roman" w:cs="Times New Roman"/>
          <w:b/>
          <w:bCs/>
          <w:rtl/>
          <w:lang w:eastAsia="de-DE"/>
        </w:rPr>
        <w:t>את־בתך</w:t>
      </w:r>
      <w:r w:rsidRPr="000E6357">
        <w:rPr>
          <w:rFonts w:eastAsia="Times New Roman" w:cs="Times New Roman"/>
          <w:rtl/>
          <w:lang w:eastAsia="de-DE"/>
        </w:rPr>
        <w:t xml:space="preserve"> </w:t>
      </w:r>
      <w:r w:rsidRPr="000E6357">
        <w:rPr>
          <w:rFonts w:eastAsia="Times New Roman" w:cs="Times New Roman"/>
          <w:lang w:eastAsia="de-DE"/>
        </w:rPr>
        <w:t xml:space="preserve">(deine Tochter) zeigt väterliche Verantwortung. </w:t>
      </w:r>
      <w:r w:rsidRPr="000E6357">
        <w:rPr>
          <w:rFonts w:eastAsia="Times New Roman" w:cs="Times New Roman"/>
          <w:b/>
          <w:bCs/>
          <w:rtl/>
          <w:lang w:eastAsia="de-DE"/>
        </w:rPr>
        <w:t>להזנותה</w:t>
      </w:r>
      <w:r w:rsidRPr="000E6357">
        <w:rPr>
          <w:rFonts w:eastAsia="Times New Roman" w:cs="Times New Roman"/>
          <w:rtl/>
          <w:lang w:eastAsia="de-DE"/>
        </w:rPr>
        <w:t xml:space="preserve"> </w:t>
      </w:r>
      <w:r w:rsidRPr="000E6357">
        <w:rPr>
          <w:rFonts w:eastAsia="Times New Roman" w:cs="Times New Roman"/>
          <w:lang w:eastAsia="de-DE"/>
        </w:rPr>
        <w:t>(sie der Hurerei hingeben) im Hifil-Infinitiv-</w:t>
      </w:r>
      <w:r w:rsidR="005407E2">
        <w:rPr>
          <w:rFonts w:eastAsia="Times New Roman" w:cs="Times New Roman"/>
          <w:lang w:eastAsia="de-DE"/>
        </w:rPr>
        <w:t>Constructus</w:t>
      </w:r>
      <w:r w:rsidRPr="000E6357">
        <w:rPr>
          <w:rFonts w:eastAsia="Times New Roman" w:cs="Times New Roman"/>
          <w:lang w:eastAsia="de-DE"/>
        </w:rPr>
        <w:t>, das Hifil zeigt kausatives Zur-Prostitution-Bringen.</w:t>
      </w:r>
    </w:p>
    <w:p w14:paraId="68D97E0E"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lastRenderedPageBreak/>
        <w:t>ולא־תזנה הארץ ומלאה הארץ זמה</w:t>
      </w:r>
      <w:r w:rsidRPr="000E6357">
        <w:rPr>
          <w:rFonts w:eastAsia="Times New Roman" w:cs="Times New Roman"/>
          <w:rtl/>
          <w:lang w:eastAsia="de-DE"/>
        </w:rPr>
        <w:t xml:space="preserve"> </w:t>
      </w:r>
      <w:r w:rsidRPr="000E6357">
        <w:rPr>
          <w:rFonts w:eastAsia="Times New Roman" w:cs="Times New Roman"/>
          <w:lang w:eastAsia="de-DE"/>
        </w:rPr>
        <w:t xml:space="preserve">(dass das Land nicht Hurerei treibe und das Land voll Schandtaten werde) - </w:t>
      </w:r>
      <w:r w:rsidRPr="000E6357">
        <w:rPr>
          <w:rFonts w:eastAsia="Times New Roman" w:cs="Times New Roman"/>
          <w:b/>
          <w:bCs/>
          <w:rtl/>
          <w:lang w:eastAsia="de-DE"/>
        </w:rPr>
        <w:t>ולא־תזנה הארץ</w:t>
      </w:r>
      <w:r w:rsidRPr="000E6357">
        <w:rPr>
          <w:rFonts w:eastAsia="Times New Roman" w:cs="Times New Roman"/>
          <w:rtl/>
          <w:lang w:eastAsia="de-DE"/>
        </w:rPr>
        <w:t xml:space="preserve"> </w:t>
      </w:r>
      <w:r w:rsidRPr="000E6357">
        <w:rPr>
          <w:rFonts w:eastAsia="Times New Roman" w:cs="Times New Roman"/>
          <w:lang w:eastAsia="de-DE"/>
        </w:rPr>
        <w:t xml:space="preserve">(und das Land soll nicht huren) im Qal-Imperfekt zeigt das Land als personifizierte Größe. </w:t>
      </w:r>
      <w:r w:rsidRPr="000E6357">
        <w:rPr>
          <w:rFonts w:eastAsia="Times New Roman" w:cs="Times New Roman"/>
          <w:b/>
          <w:bCs/>
          <w:rtl/>
          <w:lang w:eastAsia="de-DE"/>
        </w:rPr>
        <w:t>ומלאה הארץ זמה</w:t>
      </w:r>
      <w:r w:rsidRPr="000E6357">
        <w:rPr>
          <w:rFonts w:eastAsia="Times New Roman" w:cs="Times New Roman"/>
          <w:rtl/>
          <w:lang w:eastAsia="de-DE"/>
        </w:rPr>
        <w:t xml:space="preserve"> </w:t>
      </w:r>
      <w:r w:rsidRPr="000E6357">
        <w:rPr>
          <w:rFonts w:eastAsia="Times New Roman" w:cs="Times New Roman"/>
          <w:lang w:eastAsia="de-DE"/>
        </w:rPr>
        <w:t xml:space="preserve">(und das Land wird voll Schandtaten) im Qal-Perfekt mit Waw-Konsekutiv - </w:t>
      </w:r>
      <w:r w:rsidRPr="000E6357">
        <w:rPr>
          <w:rFonts w:eastAsia="Times New Roman" w:cs="Times New Roman"/>
          <w:b/>
          <w:bCs/>
          <w:rtl/>
          <w:lang w:eastAsia="de-DE"/>
        </w:rPr>
        <w:t>זמה</w:t>
      </w:r>
      <w:r w:rsidRPr="000E6357">
        <w:rPr>
          <w:rFonts w:eastAsia="Times New Roman" w:cs="Times New Roman"/>
          <w:rtl/>
          <w:lang w:eastAsia="de-DE"/>
        </w:rPr>
        <w:t xml:space="preserve"> </w:t>
      </w:r>
      <w:r w:rsidRPr="000E6357">
        <w:rPr>
          <w:rFonts w:eastAsia="Times New Roman" w:cs="Times New Roman"/>
          <w:lang w:eastAsia="de-DE"/>
        </w:rPr>
        <w:t>(Schandtat) aus 18,17.</w:t>
      </w:r>
    </w:p>
    <w:p w14:paraId="7AC5CCB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תחלל את־בתך</w:t>
      </w:r>
      <w:r w:rsidRPr="000E6357">
        <w:rPr>
          <w:rFonts w:eastAsia="Times New Roman" w:cs="Times New Roman"/>
          <w:rtl/>
          <w:lang w:eastAsia="de-DE"/>
        </w:rPr>
        <w:t xml:space="preserve"> </w:t>
      </w:r>
      <w:r w:rsidRPr="000E6357">
        <w:rPr>
          <w:rFonts w:eastAsia="Times New Roman" w:cs="Times New Roman"/>
          <w:lang w:eastAsia="de-DE"/>
        </w:rPr>
        <w:t xml:space="preserve">zeigt väterliche Missachtung der Tochterehre. </w:t>
      </w:r>
      <w:r w:rsidRPr="000E6357">
        <w:rPr>
          <w:rFonts w:eastAsia="Times New Roman" w:cs="Times New Roman"/>
          <w:b/>
          <w:bCs/>
          <w:rtl/>
          <w:lang w:eastAsia="de-DE"/>
        </w:rPr>
        <w:t>להזנותה</w:t>
      </w:r>
      <w:r w:rsidRPr="000E6357">
        <w:rPr>
          <w:rFonts w:eastAsia="Times New Roman" w:cs="Times New Roman"/>
          <w:rtl/>
          <w:lang w:eastAsia="de-DE"/>
        </w:rPr>
        <w:t xml:space="preserve"> </w:t>
      </w:r>
      <w:r w:rsidRPr="000E6357">
        <w:rPr>
          <w:rFonts w:eastAsia="Times New Roman" w:cs="Times New Roman"/>
          <w:lang w:eastAsia="de-DE"/>
        </w:rPr>
        <w:t xml:space="preserve">kann kultische oder kommerzielle Prostitution meinen. </w:t>
      </w:r>
      <w:r w:rsidRPr="000E6357">
        <w:rPr>
          <w:rFonts w:eastAsia="Times New Roman" w:cs="Times New Roman"/>
          <w:b/>
          <w:bCs/>
          <w:rtl/>
          <w:lang w:eastAsia="de-DE"/>
        </w:rPr>
        <w:t>תזנה הארץ</w:t>
      </w:r>
      <w:r w:rsidRPr="000E6357">
        <w:rPr>
          <w:rFonts w:eastAsia="Times New Roman" w:cs="Times New Roman"/>
          <w:rtl/>
          <w:lang w:eastAsia="de-DE"/>
        </w:rPr>
        <w:t xml:space="preserve"> </w:t>
      </w:r>
      <w:r w:rsidRPr="000E6357">
        <w:rPr>
          <w:rFonts w:eastAsia="Times New Roman" w:cs="Times New Roman"/>
          <w:lang w:eastAsia="de-DE"/>
        </w:rPr>
        <w:t>zeigt kosmische Auswirkungen individueller Sünde.</w:t>
      </w:r>
    </w:p>
    <w:p w14:paraId="114B0BA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תחלל</w:t>
      </w:r>
      <w:r w:rsidRPr="000E6357">
        <w:rPr>
          <w:rFonts w:eastAsia="Times New Roman" w:cs="Times New Roman"/>
          <w:rtl/>
          <w:lang w:eastAsia="de-DE"/>
        </w:rPr>
        <w:t xml:space="preserve"> </w:t>
      </w:r>
      <w:r w:rsidRPr="000E6357">
        <w:rPr>
          <w:rFonts w:eastAsia="Times New Roman" w:cs="Times New Roman"/>
          <w:lang w:eastAsia="de-DE"/>
        </w:rPr>
        <w:t>mit βεβ</w:t>
      </w:r>
      <w:proofErr w:type="spellStart"/>
      <w:r w:rsidRPr="000E6357">
        <w:rPr>
          <w:rFonts w:eastAsia="Times New Roman" w:cs="Times New Roman"/>
          <w:lang w:eastAsia="de-DE"/>
        </w:rPr>
        <w:t>ηλώσῃς</w:t>
      </w:r>
      <w:proofErr w:type="spellEnd"/>
      <w:r w:rsidRPr="000E6357">
        <w:rPr>
          <w:rFonts w:eastAsia="Times New Roman" w:cs="Times New Roman"/>
          <w:lang w:eastAsia="de-DE"/>
        </w:rPr>
        <w:t xml:space="preserve"> (du wirst entweihen), </w:t>
      </w:r>
      <w:r w:rsidRPr="000E6357">
        <w:rPr>
          <w:rFonts w:eastAsia="Times New Roman" w:cs="Times New Roman"/>
          <w:b/>
          <w:bCs/>
          <w:rtl/>
          <w:lang w:eastAsia="de-DE"/>
        </w:rPr>
        <w:t>להזנותה</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ἐκ</w:t>
      </w:r>
      <w:proofErr w:type="spellEnd"/>
      <w:r w:rsidRPr="000E6357">
        <w:rPr>
          <w:rFonts w:eastAsia="Times New Roman" w:cs="Times New Roman"/>
          <w:lang w:eastAsia="de-DE"/>
        </w:rPr>
        <w:t>πορνεῦσαι α</w:t>
      </w:r>
      <w:proofErr w:type="spellStart"/>
      <w:r w:rsidRPr="000E6357">
        <w:rPr>
          <w:rFonts w:eastAsia="Times New Roman" w:cs="Times New Roman"/>
          <w:lang w:eastAsia="de-DE"/>
        </w:rPr>
        <w:t>ὐτήν</w:t>
      </w:r>
      <w:proofErr w:type="spellEnd"/>
      <w:r w:rsidRPr="000E6357">
        <w:rPr>
          <w:rFonts w:eastAsia="Times New Roman" w:cs="Times New Roman"/>
          <w:lang w:eastAsia="de-DE"/>
        </w:rPr>
        <w:t xml:space="preserve"> (sie zu prostituieren), </w:t>
      </w:r>
      <w:r w:rsidRPr="000E6357">
        <w:rPr>
          <w:rFonts w:eastAsia="Times New Roman" w:cs="Times New Roman"/>
          <w:b/>
          <w:bCs/>
          <w:rtl/>
          <w:lang w:eastAsia="de-DE"/>
        </w:rPr>
        <w:t>תזנה הארץ</w:t>
      </w:r>
      <w:r w:rsidRPr="000E6357">
        <w:rPr>
          <w:rFonts w:eastAsia="Times New Roman" w:cs="Times New Roman"/>
          <w:rtl/>
          <w:lang w:eastAsia="de-DE"/>
        </w:rPr>
        <w:t xml:space="preserve"> </w:t>
      </w:r>
      <w:r w:rsidRPr="000E6357">
        <w:rPr>
          <w:rFonts w:eastAsia="Times New Roman" w:cs="Times New Roman"/>
          <w:lang w:eastAsia="de-DE"/>
        </w:rPr>
        <w:t>mit π</w:t>
      </w:r>
      <w:proofErr w:type="spellStart"/>
      <w:r w:rsidRPr="000E6357">
        <w:rPr>
          <w:rFonts w:eastAsia="Times New Roman" w:cs="Times New Roman"/>
          <w:lang w:eastAsia="de-DE"/>
        </w:rPr>
        <w:t>ορνεύσῃ</w:t>
      </w:r>
      <w:proofErr w:type="spellEnd"/>
      <w:r w:rsidRPr="000E6357">
        <w:rPr>
          <w:rFonts w:eastAsia="Times New Roman" w:cs="Times New Roman"/>
          <w:lang w:eastAsia="de-DE"/>
        </w:rPr>
        <w:t xml:space="preserve"> ἡ </w:t>
      </w:r>
      <w:proofErr w:type="spellStart"/>
      <w:r w:rsidRPr="000E6357">
        <w:rPr>
          <w:rFonts w:eastAsia="Times New Roman" w:cs="Times New Roman"/>
          <w:lang w:eastAsia="de-DE"/>
        </w:rPr>
        <w:t>γῆ</w:t>
      </w:r>
      <w:proofErr w:type="spellEnd"/>
      <w:r w:rsidRPr="000E6357">
        <w:rPr>
          <w:rFonts w:eastAsia="Times New Roman" w:cs="Times New Roman"/>
          <w:lang w:eastAsia="de-DE"/>
        </w:rPr>
        <w:t xml:space="preserve"> (das Land wird huren) und </w:t>
      </w:r>
      <w:r w:rsidRPr="000E6357">
        <w:rPr>
          <w:rFonts w:eastAsia="Times New Roman" w:cs="Times New Roman"/>
          <w:b/>
          <w:bCs/>
          <w:rtl/>
          <w:lang w:eastAsia="de-DE"/>
        </w:rPr>
        <w:t>זמה</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ἀνομί</w:t>
      </w:r>
      <w:proofErr w:type="spellEnd"/>
      <w:r w:rsidRPr="000E6357">
        <w:rPr>
          <w:rFonts w:eastAsia="Times New Roman" w:cs="Times New Roman"/>
          <w:lang w:eastAsia="de-DE"/>
        </w:rPr>
        <w:t>α (Gesetzlosigkeit).</w:t>
      </w:r>
    </w:p>
    <w:p w14:paraId="0709EB3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Prostitutionsverbot: väterliche Verantwortung + Tochterentweiung + kosmische Konsequenzen für das Land.</w:t>
      </w:r>
    </w:p>
    <w:p w14:paraId="2292758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verbietet die Prostitution der Tochter wegen kosmischer Auswirkungen auf das Land.</w:t>
      </w:r>
    </w:p>
    <w:p w14:paraId="67B29061" w14:textId="77777777" w:rsidR="000E6357" w:rsidRPr="000E6357" w:rsidRDefault="000E6357" w:rsidP="000E6357">
      <w:pPr>
        <w:spacing w:before="100" w:beforeAutospacing="1" w:after="100" w:afterAutospacing="1" w:line="240" w:lineRule="auto"/>
        <w:outlineLvl w:val="1"/>
        <w:rPr>
          <w:rFonts w:eastAsia="Times New Roman" w:cs="Times New Roman"/>
          <w:b/>
          <w:bCs/>
          <w:sz w:val="36"/>
          <w:szCs w:val="36"/>
          <w:lang w:eastAsia="de-DE"/>
        </w:rPr>
      </w:pPr>
      <w:r w:rsidRPr="000E6357">
        <w:rPr>
          <w:rFonts w:eastAsia="Times New Roman" w:cs="Times New Roman"/>
          <w:b/>
          <w:bCs/>
          <w:sz w:val="36"/>
          <w:szCs w:val="36"/>
          <w:lang w:eastAsia="de-DE"/>
        </w:rPr>
        <w:t>Leviticus 19,30</w:t>
      </w:r>
    </w:p>
    <w:p w14:paraId="4859D41F"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Hebräisch:</w:t>
      </w:r>
      <w:r w:rsidRPr="000E6357">
        <w:rPr>
          <w:rFonts w:eastAsia="Times New Roman" w:cs="Times New Roman"/>
          <w:lang w:eastAsia="de-DE"/>
        </w:rPr>
        <w:t xml:space="preserve"> </w:t>
      </w:r>
      <w:r w:rsidRPr="000E6357">
        <w:rPr>
          <w:rFonts w:eastAsia="Times New Roman" w:cs="Times New Roman"/>
          <w:rtl/>
          <w:lang w:eastAsia="de-DE"/>
        </w:rPr>
        <w:t>אֶת־שַׁבְּתֹתַ֣י תִּשְׁמֹ֔רוּ וּמִקְדָּשִׁ֖י תִּירָ֑אוּ אֲנִ֖י יְהוָֽה׃</w:t>
      </w:r>
    </w:p>
    <w:p w14:paraId="392B7EE8"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Deutsch:</w:t>
      </w:r>
      <w:r w:rsidRPr="000E6357">
        <w:rPr>
          <w:rFonts w:eastAsia="Times New Roman" w:cs="Times New Roman"/>
          <w:lang w:eastAsia="de-DE"/>
        </w:rPr>
        <w:t xml:space="preserve"> Meine Schabbate sollt ihr beachten, und mein Heiligtum sollt ihr fürchten. Ich bin der Ewige.</w:t>
      </w:r>
    </w:p>
    <w:p w14:paraId="54B0555C" w14:textId="77777777" w:rsidR="000E6357" w:rsidRPr="000E6357" w:rsidRDefault="00A57720" w:rsidP="000E6357">
      <w:pPr>
        <w:spacing w:after="0" w:line="240" w:lineRule="auto"/>
        <w:rPr>
          <w:rFonts w:eastAsia="Times New Roman" w:cs="Times New Roman"/>
          <w:lang w:eastAsia="de-DE"/>
        </w:rPr>
      </w:pPr>
      <w:r>
        <w:rPr>
          <w:rFonts w:eastAsia="Times New Roman" w:cs="Times New Roman"/>
          <w:noProof/>
          <w:lang w:eastAsia="de-DE"/>
        </w:rPr>
        <w:pict w14:anchorId="7D1E1C94">
          <v:rect id="_x0000_i1590" style="width:0;height:1.5pt" o:hralign="center" o:hrstd="t" o:hr="t" fillcolor="#a0a0a0" stroked="f"/>
        </w:pict>
      </w:r>
    </w:p>
    <w:p w14:paraId="0BC7846A"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Kommentar:</w:t>
      </w:r>
      <w:r w:rsidRPr="000E6357">
        <w:rPr>
          <w:rFonts w:eastAsia="Times New Roman" w:cs="Times New Roman"/>
          <w:lang w:eastAsia="de-DE"/>
        </w:rPr>
        <w:t xml:space="preserve"> </w:t>
      </w:r>
      <w:r w:rsidRPr="000E6357">
        <w:rPr>
          <w:rFonts w:eastAsia="Times New Roman" w:cs="Times New Roman"/>
          <w:b/>
          <w:bCs/>
          <w:rtl/>
          <w:lang w:eastAsia="de-DE"/>
        </w:rPr>
        <w:t>את־שבתתי תשמרו ומקדשי תיראו אני יהוה</w:t>
      </w:r>
      <w:r w:rsidRPr="000E6357">
        <w:rPr>
          <w:rFonts w:eastAsia="Times New Roman" w:cs="Times New Roman"/>
          <w:rtl/>
          <w:lang w:eastAsia="de-DE"/>
        </w:rPr>
        <w:t xml:space="preserve"> </w:t>
      </w:r>
      <w:r w:rsidRPr="000E6357">
        <w:rPr>
          <w:rFonts w:eastAsia="Times New Roman" w:cs="Times New Roman"/>
          <w:lang w:eastAsia="de-DE"/>
        </w:rPr>
        <w:t xml:space="preserve">wiederholt und erweitert V. 3. </w:t>
      </w:r>
      <w:r w:rsidRPr="000E6357">
        <w:rPr>
          <w:rFonts w:eastAsia="Times New Roman" w:cs="Times New Roman"/>
          <w:b/>
          <w:bCs/>
          <w:rtl/>
          <w:lang w:eastAsia="de-DE"/>
        </w:rPr>
        <w:t>את־שבתתי תשמרו</w:t>
      </w:r>
      <w:r w:rsidRPr="000E6357">
        <w:rPr>
          <w:rFonts w:eastAsia="Times New Roman" w:cs="Times New Roman"/>
          <w:rtl/>
          <w:lang w:eastAsia="de-DE"/>
        </w:rPr>
        <w:t xml:space="preserve"> </w:t>
      </w:r>
      <w:r w:rsidRPr="000E6357">
        <w:rPr>
          <w:rFonts w:eastAsia="Times New Roman" w:cs="Times New Roman"/>
          <w:lang w:eastAsia="de-DE"/>
        </w:rPr>
        <w:t xml:space="preserve">(meine Sabbate sollt ihr beachten) entspricht V. 3. </w:t>
      </w:r>
      <w:r w:rsidRPr="000E6357">
        <w:rPr>
          <w:rFonts w:eastAsia="Times New Roman" w:cs="Times New Roman"/>
          <w:b/>
          <w:bCs/>
          <w:rtl/>
          <w:lang w:eastAsia="de-DE"/>
        </w:rPr>
        <w:t>ומקדשי תיראו</w:t>
      </w:r>
      <w:r w:rsidRPr="000E6357">
        <w:rPr>
          <w:rFonts w:eastAsia="Times New Roman" w:cs="Times New Roman"/>
          <w:rtl/>
          <w:lang w:eastAsia="de-DE"/>
        </w:rPr>
        <w:t xml:space="preserve"> </w:t>
      </w:r>
      <w:r w:rsidRPr="000E6357">
        <w:rPr>
          <w:rFonts w:eastAsia="Times New Roman" w:cs="Times New Roman"/>
          <w:lang w:eastAsia="de-DE"/>
        </w:rPr>
        <w:t xml:space="preserve">(und mein Heiligtum sollt ihr fürchten) - </w:t>
      </w:r>
      <w:r w:rsidRPr="000E6357">
        <w:rPr>
          <w:rFonts w:eastAsia="Times New Roman" w:cs="Times New Roman"/>
          <w:b/>
          <w:bCs/>
          <w:rtl/>
          <w:lang w:eastAsia="de-DE"/>
        </w:rPr>
        <w:t>מקדשי</w:t>
      </w:r>
      <w:r w:rsidRPr="000E6357">
        <w:rPr>
          <w:rFonts w:eastAsia="Times New Roman" w:cs="Times New Roman"/>
          <w:rtl/>
          <w:lang w:eastAsia="de-DE"/>
        </w:rPr>
        <w:t xml:space="preserve"> </w:t>
      </w:r>
      <w:r w:rsidRPr="000E6357">
        <w:rPr>
          <w:rFonts w:eastAsia="Times New Roman" w:cs="Times New Roman"/>
          <w:lang w:eastAsia="de-DE"/>
        </w:rPr>
        <w:t xml:space="preserve">(mein Heiligtum) erweitert V. 3. </w:t>
      </w:r>
      <w:r w:rsidRPr="000E6357">
        <w:rPr>
          <w:rFonts w:eastAsia="Times New Roman" w:cs="Times New Roman"/>
          <w:b/>
          <w:bCs/>
          <w:rtl/>
          <w:lang w:eastAsia="de-DE"/>
        </w:rPr>
        <w:t>תיראו</w:t>
      </w:r>
      <w:r w:rsidRPr="000E6357">
        <w:rPr>
          <w:rFonts w:eastAsia="Times New Roman" w:cs="Times New Roman"/>
          <w:rtl/>
          <w:lang w:eastAsia="de-DE"/>
        </w:rPr>
        <w:t xml:space="preserve"> </w:t>
      </w:r>
      <w:r w:rsidRPr="000E6357">
        <w:rPr>
          <w:rFonts w:eastAsia="Times New Roman" w:cs="Times New Roman"/>
          <w:lang w:eastAsia="de-DE"/>
        </w:rPr>
        <w:t>(sollt ihr fürchten) im Qal-Imperfekt entspricht der Elternfurcht aus V. 3.</w:t>
      </w:r>
    </w:p>
    <w:p w14:paraId="002F8FC2"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אני יהוה</w:t>
      </w:r>
      <w:r w:rsidRPr="000E6357">
        <w:rPr>
          <w:rFonts w:eastAsia="Times New Roman" w:cs="Times New Roman"/>
          <w:rtl/>
          <w:lang w:eastAsia="de-DE"/>
        </w:rPr>
        <w:t xml:space="preserve"> </w:t>
      </w:r>
      <w:r w:rsidRPr="000E6357">
        <w:rPr>
          <w:rFonts w:eastAsia="Times New Roman" w:cs="Times New Roman"/>
          <w:lang w:eastAsia="de-DE"/>
        </w:rPr>
        <w:t>(ich bin der Ewige) als Autoritätsformel.</w:t>
      </w:r>
    </w:p>
    <w:p w14:paraId="3BAAB043"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rtl/>
          <w:lang w:eastAsia="de-DE"/>
        </w:rPr>
        <w:t>שבתתי</w:t>
      </w:r>
      <w:r w:rsidRPr="000E6357">
        <w:rPr>
          <w:rFonts w:eastAsia="Times New Roman" w:cs="Times New Roman"/>
          <w:rtl/>
          <w:lang w:eastAsia="de-DE"/>
        </w:rPr>
        <w:t xml:space="preserve"> </w:t>
      </w:r>
      <w:r w:rsidRPr="000E6357">
        <w:rPr>
          <w:rFonts w:eastAsia="Times New Roman" w:cs="Times New Roman"/>
          <w:lang w:eastAsia="de-DE"/>
        </w:rPr>
        <w:t xml:space="preserve">und </w:t>
      </w:r>
      <w:r w:rsidRPr="000E6357">
        <w:rPr>
          <w:rFonts w:eastAsia="Times New Roman" w:cs="Times New Roman"/>
          <w:b/>
          <w:bCs/>
          <w:rtl/>
          <w:lang w:eastAsia="de-DE"/>
        </w:rPr>
        <w:t>מקדשי</w:t>
      </w:r>
      <w:r w:rsidRPr="000E6357">
        <w:rPr>
          <w:rFonts w:eastAsia="Times New Roman" w:cs="Times New Roman"/>
          <w:rtl/>
          <w:lang w:eastAsia="de-DE"/>
        </w:rPr>
        <w:t xml:space="preserve"> </w:t>
      </w:r>
      <w:r w:rsidRPr="000E6357">
        <w:rPr>
          <w:rFonts w:eastAsia="Times New Roman" w:cs="Times New Roman"/>
          <w:lang w:eastAsia="de-DE"/>
        </w:rPr>
        <w:t xml:space="preserve">als zwei zentrale Institutionen der Heiligung. </w:t>
      </w:r>
      <w:r w:rsidRPr="000E6357">
        <w:rPr>
          <w:rFonts w:eastAsia="Times New Roman" w:cs="Times New Roman"/>
          <w:b/>
          <w:bCs/>
          <w:rtl/>
          <w:lang w:eastAsia="de-DE"/>
        </w:rPr>
        <w:t>תשמרו</w:t>
      </w:r>
      <w:r w:rsidRPr="000E6357">
        <w:rPr>
          <w:rFonts w:eastAsia="Times New Roman" w:cs="Times New Roman"/>
          <w:rtl/>
          <w:lang w:eastAsia="de-DE"/>
        </w:rPr>
        <w:t xml:space="preserve"> </w:t>
      </w:r>
      <w:r w:rsidRPr="000E6357">
        <w:rPr>
          <w:rFonts w:eastAsia="Times New Roman" w:cs="Times New Roman"/>
          <w:lang w:eastAsia="de-DE"/>
        </w:rPr>
        <w:t xml:space="preserve">vs. </w:t>
      </w:r>
      <w:r w:rsidRPr="000E6357">
        <w:rPr>
          <w:rFonts w:eastAsia="Times New Roman" w:cs="Times New Roman"/>
          <w:b/>
          <w:bCs/>
          <w:rtl/>
          <w:lang w:eastAsia="de-DE"/>
        </w:rPr>
        <w:t>תיראו</w:t>
      </w:r>
      <w:r w:rsidRPr="000E6357">
        <w:rPr>
          <w:rFonts w:eastAsia="Times New Roman" w:cs="Times New Roman"/>
          <w:rtl/>
          <w:lang w:eastAsia="de-DE"/>
        </w:rPr>
        <w:t xml:space="preserve"> </w:t>
      </w:r>
      <w:r w:rsidRPr="000E6357">
        <w:rPr>
          <w:rFonts w:eastAsia="Times New Roman" w:cs="Times New Roman"/>
          <w:lang w:eastAsia="de-DE"/>
        </w:rPr>
        <w:t>zeigt unterschiedliche Verhaltensweisen: Beachtung vs. Furcht. Die Parallelität zu V. 3 rahmt die mittleren Gesetze.</w:t>
      </w:r>
    </w:p>
    <w:p w14:paraId="1E38C951"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LXX</w:t>
      </w:r>
      <w:r w:rsidRPr="000E6357">
        <w:rPr>
          <w:rFonts w:eastAsia="Times New Roman" w:cs="Times New Roman"/>
          <w:lang w:eastAsia="de-DE"/>
        </w:rPr>
        <w:t xml:space="preserve"> übersetzt </w:t>
      </w:r>
      <w:r w:rsidRPr="000E6357">
        <w:rPr>
          <w:rFonts w:eastAsia="Times New Roman" w:cs="Times New Roman"/>
          <w:b/>
          <w:bCs/>
          <w:rtl/>
          <w:lang w:eastAsia="de-DE"/>
        </w:rPr>
        <w:t>שבתתי</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τὰ</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σά</w:t>
      </w:r>
      <w:proofErr w:type="spellEnd"/>
      <w:r w:rsidRPr="000E6357">
        <w:rPr>
          <w:rFonts w:eastAsia="Times New Roman" w:cs="Times New Roman"/>
          <w:lang w:eastAsia="de-DE"/>
        </w:rPr>
        <w:t xml:space="preserve">ββατά </w:t>
      </w:r>
      <w:proofErr w:type="spellStart"/>
      <w:r w:rsidRPr="000E6357">
        <w:rPr>
          <w:rFonts w:eastAsia="Times New Roman" w:cs="Times New Roman"/>
          <w:lang w:eastAsia="de-DE"/>
        </w:rPr>
        <w:t>μου</w:t>
      </w:r>
      <w:proofErr w:type="spellEnd"/>
      <w:r w:rsidRPr="000E6357">
        <w:rPr>
          <w:rFonts w:eastAsia="Times New Roman" w:cs="Times New Roman"/>
          <w:lang w:eastAsia="de-DE"/>
        </w:rPr>
        <w:t xml:space="preserve"> (meine Sabbate), </w:t>
      </w:r>
      <w:r w:rsidRPr="000E6357">
        <w:rPr>
          <w:rFonts w:eastAsia="Times New Roman" w:cs="Times New Roman"/>
          <w:b/>
          <w:bCs/>
          <w:rtl/>
          <w:lang w:eastAsia="de-DE"/>
        </w:rPr>
        <w:t>מקדשי</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τῶν</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ἁγίων</w:t>
      </w:r>
      <w:proofErr w:type="spellEnd"/>
      <w:r w:rsidRPr="000E6357">
        <w:rPr>
          <w:rFonts w:eastAsia="Times New Roman" w:cs="Times New Roman"/>
          <w:lang w:eastAsia="de-DE"/>
        </w:rPr>
        <w:t xml:space="preserve"> </w:t>
      </w:r>
      <w:proofErr w:type="spellStart"/>
      <w:r w:rsidRPr="000E6357">
        <w:rPr>
          <w:rFonts w:eastAsia="Times New Roman" w:cs="Times New Roman"/>
          <w:lang w:eastAsia="de-DE"/>
        </w:rPr>
        <w:t>μου</w:t>
      </w:r>
      <w:proofErr w:type="spellEnd"/>
      <w:r w:rsidRPr="000E6357">
        <w:rPr>
          <w:rFonts w:eastAsia="Times New Roman" w:cs="Times New Roman"/>
          <w:lang w:eastAsia="de-DE"/>
        </w:rPr>
        <w:t xml:space="preserve"> (meiner Heiligtümer) und </w:t>
      </w:r>
      <w:r w:rsidRPr="000E6357">
        <w:rPr>
          <w:rFonts w:eastAsia="Times New Roman" w:cs="Times New Roman"/>
          <w:b/>
          <w:bCs/>
          <w:rtl/>
          <w:lang w:eastAsia="de-DE"/>
        </w:rPr>
        <w:t>תיראו</w:t>
      </w:r>
      <w:r w:rsidRPr="000E6357">
        <w:rPr>
          <w:rFonts w:eastAsia="Times New Roman" w:cs="Times New Roman"/>
          <w:rtl/>
          <w:lang w:eastAsia="de-DE"/>
        </w:rPr>
        <w:t xml:space="preserve"> </w:t>
      </w:r>
      <w:r w:rsidRPr="000E6357">
        <w:rPr>
          <w:rFonts w:eastAsia="Times New Roman" w:cs="Times New Roman"/>
          <w:lang w:eastAsia="de-DE"/>
        </w:rPr>
        <w:t xml:space="preserve">mit </w:t>
      </w:r>
      <w:proofErr w:type="spellStart"/>
      <w:r w:rsidRPr="000E6357">
        <w:rPr>
          <w:rFonts w:eastAsia="Times New Roman" w:cs="Times New Roman"/>
          <w:lang w:eastAsia="de-DE"/>
        </w:rPr>
        <w:t>φο</w:t>
      </w:r>
      <w:proofErr w:type="spellEnd"/>
      <w:r w:rsidRPr="000E6357">
        <w:rPr>
          <w:rFonts w:eastAsia="Times New Roman" w:cs="Times New Roman"/>
          <w:lang w:eastAsia="de-DE"/>
        </w:rPr>
        <w:t>βηθήσεσθε (ihr werdet fürchten).</w:t>
      </w:r>
    </w:p>
    <w:p w14:paraId="038FFB86"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b/>
          <w:bCs/>
          <w:lang w:eastAsia="de-DE"/>
        </w:rPr>
        <w:t>Die Satzstruktur</w:t>
      </w:r>
      <w:r w:rsidRPr="000E6357">
        <w:rPr>
          <w:rFonts w:eastAsia="Times New Roman" w:cs="Times New Roman"/>
          <w:lang w:eastAsia="de-DE"/>
        </w:rPr>
        <w:t xml:space="preserve"> zeigt Heiligungsinstitutionen: Sabbatbeachtung + Heiligtumsfurcht + göttliche Autorität.</w:t>
      </w:r>
    </w:p>
    <w:p w14:paraId="45B10804" w14:textId="77777777" w:rsidR="000E6357" w:rsidRPr="000E6357" w:rsidRDefault="000E6357" w:rsidP="000E6357">
      <w:pPr>
        <w:spacing w:before="100" w:beforeAutospacing="1" w:after="100" w:afterAutospacing="1" w:line="240" w:lineRule="auto"/>
        <w:rPr>
          <w:rFonts w:eastAsia="Times New Roman" w:cs="Times New Roman"/>
          <w:lang w:eastAsia="de-DE"/>
        </w:rPr>
      </w:pPr>
      <w:r w:rsidRPr="000E6357">
        <w:rPr>
          <w:rFonts w:eastAsia="Times New Roman" w:cs="Times New Roman"/>
          <w:lang w:eastAsia="de-DE"/>
        </w:rPr>
        <w:t>Dieser Vers wiederholt und erweitert V. 3 durch Hinzufügung der Heiligtumsfurcht zur Sabbatbeachtung.</w:t>
      </w:r>
    </w:p>
    <w:p w14:paraId="44FD3D4C"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19,31</w:t>
      </w:r>
    </w:p>
    <w:p w14:paraId="42255EA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lastRenderedPageBreak/>
        <w:t>Hebräisch:</w:t>
      </w:r>
      <w:r w:rsidRPr="003F2847">
        <w:rPr>
          <w:rFonts w:eastAsia="Times New Roman" w:cs="Times New Roman"/>
          <w:lang w:eastAsia="de-DE"/>
        </w:rPr>
        <w:t xml:space="preserve"> </w:t>
      </w:r>
      <w:r w:rsidRPr="003F2847">
        <w:rPr>
          <w:rFonts w:eastAsia="Times New Roman" w:cs="Times New Roman"/>
          <w:rtl/>
          <w:lang w:eastAsia="de-DE"/>
        </w:rPr>
        <w:t>אַל־תִּפְנ֤וּ אֶל־הָאֹבֹת֙ וְאֶל־הַיִּדְּעֹנִ֔ים אַל־תְּבַקְשׁ֖וּ לְטָמְאָ֣ה בָהֶ֑ם אֲנִ֖י יְהוָ֥ה אֱלֹהֵיכֶֽם׃</w:t>
      </w:r>
    </w:p>
    <w:p w14:paraId="2EAD28E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Wendet euch nicht zu den Totenbeschwörern und zu den Wahrsagern; sucht sie nicht auf, euch durch sie zu verunreinigen. Ich bin der Ewige, euer Gott.</w:t>
      </w:r>
    </w:p>
    <w:p w14:paraId="4406DF8A"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577F4484">
          <v:rect id="_x0000_i1591" style="width:0;height:1.5pt" o:hralign="center" o:hrstd="t" o:hr="t" fillcolor="#a0a0a0" stroked="f"/>
        </w:pict>
      </w:r>
    </w:p>
    <w:p w14:paraId="56BA7EC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אל־תפנו אל־האבת ואל־הידענים אל־תבקשו לטמאה בהם אני יהוה אלהיכם</w:t>
      </w:r>
      <w:r w:rsidRPr="003F2847">
        <w:rPr>
          <w:rFonts w:eastAsia="Times New Roman" w:cs="Times New Roman"/>
          <w:rtl/>
          <w:lang w:eastAsia="de-DE"/>
        </w:rPr>
        <w:t xml:space="preserve"> </w:t>
      </w:r>
      <w:r w:rsidRPr="003F2847">
        <w:rPr>
          <w:rFonts w:eastAsia="Times New Roman" w:cs="Times New Roman"/>
          <w:lang w:eastAsia="de-DE"/>
        </w:rPr>
        <w:t xml:space="preserve">verbietet Totenbeschwörung und Wahrsagerei. </w:t>
      </w:r>
      <w:r w:rsidRPr="003F2847">
        <w:rPr>
          <w:rFonts w:eastAsia="Times New Roman" w:cs="Times New Roman"/>
          <w:b/>
          <w:bCs/>
          <w:rtl/>
          <w:lang w:eastAsia="de-DE"/>
        </w:rPr>
        <w:t>אל־תפנו אל־האבת ואל־הידענים</w:t>
      </w:r>
      <w:r w:rsidRPr="003F2847">
        <w:rPr>
          <w:rFonts w:eastAsia="Times New Roman" w:cs="Times New Roman"/>
          <w:rtl/>
          <w:lang w:eastAsia="de-DE"/>
        </w:rPr>
        <w:t xml:space="preserve"> </w:t>
      </w:r>
      <w:r w:rsidRPr="003F2847">
        <w:rPr>
          <w:rFonts w:eastAsia="Times New Roman" w:cs="Times New Roman"/>
          <w:lang w:eastAsia="de-DE"/>
        </w:rPr>
        <w:t xml:space="preserve">(wendet euch nicht zu den Totenbeschwörern und zu den Wahrsagern) - </w:t>
      </w:r>
      <w:r w:rsidRPr="003F2847">
        <w:rPr>
          <w:rFonts w:eastAsia="Times New Roman" w:cs="Times New Roman"/>
          <w:b/>
          <w:bCs/>
          <w:rtl/>
          <w:lang w:eastAsia="de-DE"/>
        </w:rPr>
        <w:t>אל־תפנו</w:t>
      </w:r>
      <w:r w:rsidRPr="003F2847">
        <w:rPr>
          <w:rFonts w:eastAsia="Times New Roman" w:cs="Times New Roman"/>
          <w:rtl/>
          <w:lang w:eastAsia="de-DE"/>
        </w:rPr>
        <w:t xml:space="preserve"> </w:t>
      </w:r>
      <w:r w:rsidRPr="003F2847">
        <w:rPr>
          <w:rFonts w:eastAsia="Times New Roman" w:cs="Times New Roman"/>
          <w:lang w:eastAsia="de-DE"/>
        </w:rPr>
        <w:t xml:space="preserve">(wendet euch nicht) im Qal-Imperfekt von </w:t>
      </w:r>
      <w:r w:rsidRPr="003F2847">
        <w:rPr>
          <w:rFonts w:eastAsia="Times New Roman" w:cs="Times New Roman"/>
          <w:b/>
          <w:bCs/>
          <w:rtl/>
          <w:lang w:eastAsia="de-DE"/>
        </w:rPr>
        <w:t>פנה</w:t>
      </w:r>
      <w:r w:rsidRPr="003F2847">
        <w:rPr>
          <w:rFonts w:eastAsia="Times New Roman" w:cs="Times New Roman"/>
          <w:lang w:eastAsia="de-DE"/>
        </w:rPr>
        <w:t xml:space="preserve">. </w:t>
      </w:r>
      <w:r w:rsidRPr="003F2847">
        <w:rPr>
          <w:rFonts w:eastAsia="Times New Roman" w:cs="Times New Roman"/>
          <w:b/>
          <w:bCs/>
          <w:rtl/>
          <w:lang w:eastAsia="de-DE"/>
        </w:rPr>
        <w:t>האבת</w:t>
      </w:r>
      <w:r w:rsidRPr="003F2847">
        <w:rPr>
          <w:rFonts w:eastAsia="Times New Roman" w:cs="Times New Roman"/>
          <w:rtl/>
          <w:lang w:eastAsia="de-DE"/>
        </w:rPr>
        <w:t xml:space="preserve"> </w:t>
      </w:r>
      <w:r w:rsidRPr="003F2847">
        <w:rPr>
          <w:rFonts w:eastAsia="Times New Roman" w:cs="Times New Roman"/>
          <w:lang w:eastAsia="de-DE"/>
        </w:rPr>
        <w:t xml:space="preserve">(die Totenbeschwörer) von </w:t>
      </w:r>
      <w:r w:rsidRPr="003F2847">
        <w:rPr>
          <w:rFonts w:eastAsia="Times New Roman" w:cs="Times New Roman"/>
          <w:b/>
          <w:bCs/>
          <w:rtl/>
          <w:lang w:eastAsia="de-DE"/>
        </w:rPr>
        <w:t>אוב</w:t>
      </w:r>
      <w:r w:rsidRPr="003F2847">
        <w:rPr>
          <w:rFonts w:eastAsia="Times New Roman" w:cs="Times New Roman"/>
          <w:rtl/>
          <w:lang w:eastAsia="de-DE"/>
        </w:rPr>
        <w:t xml:space="preserve"> </w:t>
      </w:r>
      <w:r w:rsidRPr="003F2847">
        <w:rPr>
          <w:rFonts w:eastAsia="Times New Roman" w:cs="Times New Roman"/>
          <w:lang w:eastAsia="de-DE"/>
        </w:rPr>
        <w:t xml:space="preserve">(Totengeist), </w:t>
      </w:r>
      <w:r w:rsidRPr="003F2847">
        <w:rPr>
          <w:rFonts w:eastAsia="Times New Roman" w:cs="Times New Roman"/>
          <w:b/>
          <w:bCs/>
          <w:rtl/>
          <w:lang w:eastAsia="de-DE"/>
        </w:rPr>
        <w:t>הידענים</w:t>
      </w:r>
      <w:r w:rsidRPr="003F2847">
        <w:rPr>
          <w:rFonts w:eastAsia="Times New Roman" w:cs="Times New Roman"/>
          <w:rtl/>
          <w:lang w:eastAsia="de-DE"/>
        </w:rPr>
        <w:t xml:space="preserve"> </w:t>
      </w:r>
      <w:r w:rsidRPr="003F2847">
        <w:rPr>
          <w:rFonts w:eastAsia="Times New Roman" w:cs="Times New Roman"/>
          <w:lang w:eastAsia="de-DE"/>
        </w:rPr>
        <w:t xml:space="preserve">(die Wahrsager) von </w:t>
      </w:r>
      <w:r w:rsidRPr="003F2847">
        <w:rPr>
          <w:rFonts w:eastAsia="Times New Roman" w:cs="Times New Roman"/>
          <w:b/>
          <w:bCs/>
          <w:rtl/>
          <w:lang w:eastAsia="de-DE"/>
        </w:rPr>
        <w:t>ידע</w:t>
      </w:r>
      <w:r w:rsidRPr="003F2847">
        <w:rPr>
          <w:rFonts w:eastAsia="Times New Roman" w:cs="Times New Roman"/>
          <w:rtl/>
          <w:lang w:eastAsia="de-DE"/>
        </w:rPr>
        <w:t xml:space="preserve"> </w:t>
      </w:r>
      <w:r w:rsidRPr="003F2847">
        <w:rPr>
          <w:rFonts w:eastAsia="Times New Roman" w:cs="Times New Roman"/>
          <w:lang w:eastAsia="de-DE"/>
        </w:rPr>
        <w:t>(wissen) zeigt okkulte Wissensbeschaffung.</w:t>
      </w:r>
    </w:p>
    <w:p w14:paraId="4B9DB935" w14:textId="088CE09A"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אל־תבקשו לטמאה בהם</w:t>
      </w:r>
      <w:r w:rsidRPr="003F2847">
        <w:rPr>
          <w:rFonts w:eastAsia="Times New Roman" w:cs="Times New Roman"/>
          <w:rtl/>
          <w:lang w:eastAsia="de-DE"/>
        </w:rPr>
        <w:t xml:space="preserve"> </w:t>
      </w:r>
      <w:r w:rsidRPr="003F2847">
        <w:rPr>
          <w:rFonts w:eastAsia="Times New Roman" w:cs="Times New Roman"/>
          <w:lang w:eastAsia="de-DE"/>
        </w:rPr>
        <w:t xml:space="preserve">(sucht sie nicht auf, euch durch sie zu verunreinigen) - </w:t>
      </w:r>
      <w:r w:rsidRPr="003F2847">
        <w:rPr>
          <w:rFonts w:eastAsia="Times New Roman" w:cs="Times New Roman"/>
          <w:b/>
          <w:bCs/>
          <w:rtl/>
          <w:lang w:eastAsia="de-DE"/>
        </w:rPr>
        <w:t>אל־תבקשו</w:t>
      </w:r>
      <w:r w:rsidRPr="003F2847">
        <w:rPr>
          <w:rFonts w:eastAsia="Times New Roman" w:cs="Times New Roman"/>
          <w:rtl/>
          <w:lang w:eastAsia="de-DE"/>
        </w:rPr>
        <w:t xml:space="preserve"> </w:t>
      </w:r>
      <w:r w:rsidRPr="003F2847">
        <w:rPr>
          <w:rFonts w:eastAsia="Times New Roman" w:cs="Times New Roman"/>
          <w:lang w:eastAsia="de-DE"/>
        </w:rPr>
        <w:t xml:space="preserve">(sucht nicht auf) im Piel-Imperfekt von </w:t>
      </w:r>
      <w:r w:rsidRPr="003F2847">
        <w:rPr>
          <w:rFonts w:eastAsia="Times New Roman" w:cs="Times New Roman"/>
          <w:b/>
          <w:bCs/>
          <w:rtl/>
          <w:lang w:eastAsia="de-DE"/>
        </w:rPr>
        <w:t>בקש</w:t>
      </w:r>
      <w:r w:rsidRPr="003F2847">
        <w:rPr>
          <w:rFonts w:eastAsia="Times New Roman" w:cs="Times New Roman"/>
          <w:lang w:eastAsia="de-DE"/>
        </w:rPr>
        <w:t xml:space="preserve">, das Piel zeigt intensive Suche. </w:t>
      </w:r>
      <w:r w:rsidRPr="003F2847">
        <w:rPr>
          <w:rFonts w:eastAsia="Times New Roman" w:cs="Times New Roman"/>
          <w:b/>
          <w:bCs/>
          <w:rtl/>
          <w:lang w:eastAsia="de-DE"/>
        </w:rPr>
        <w:t>לטמאה בהם</w:t>
      </w:r>
      <w:r w:rsidRPr="003F2847">
        <w:rPr>
          <w:rFonts w:eastAsia="Times New Roman" w:cs="Times New Roman"/>
          <w:rtl/>
          <w:lang w:eastAsia="de-DE"/>
        </w:rPr>
        <w:t xml:space="preserve"> </w:t>
      </w:r>
      <w:r w:rsidRPr="003F2847">
        <w:rPr>
          <w:rFonts w:eastAsia="Times New Roman" w:cs="Times New Roman"/>
          <w:lang w:eastAsia="de-DE"/>
        </w:rPr>
        <w:t xml:space="preserve">(um durch sie unrein zu werden) - </w:t>
      </w:r>
      <w:r w:rsidRPr="003F2847">
        <w:rPr>
          <w:rFonts w:eastAsia="Times New Roman" w:cs="Times New Roman"/>
          <w:b/>
          <w:bCs/>
          <w:rtl/>
          <w:lang w:eastAsia="de-DE"/>
        </w:rPr>
        <w:t>לטמאה</w:t>
      </w:r>
      <w:r w:rsidRPr="003F2847">
        <w:rPr>
          <w:rFonts w:eastAsia="Times New Roman" w:cs="Times New Roman"/>
          <w:rtl/>
          <w:lang w:eastAsia="de-DE"/>
        </w:rPr>
        <w:t xml:space="preserve"> </w:t>
      </w:r>
      <w:r w:rsidRPr="003F2847">
        <w:rPr>
          <w:rFonts w:eastAsia="Times New Roman" w:cs="Times New Roman"/>
          <w:lang w:eastAsia="de-DE"/>
        </w:rPr>
        <w:t>(um unrein zu werden) im Qal-Infinitiv-</w:t>
      </w:r>
      <w:r w:rsidR="005407E2">
        <w:rPr>
          <w:rFonts w:eastAsia="Times New Roman" w:cs="Times New Roman"/>
          <w:lang w:eastAsia="de-DE"/>
        </w:rPr>
        <w:t>Constructus</w:t>
      </w:r>
      <w:r w:rsidRPr="003F2847">
        <w:rPr>
          <w:rFonts w:eastAsia="Times New Roman" w:cs="Times New Roman"/>
          <w:lang w:eastAsia="de-DE"/>
        </w:rPr>
        <w:t xml:space="preserve"> zeigt den Zweck der Konsultation.</w:t>
      </w:r>
    </w:p>
    <w:p w14:paraId="7CD7133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אני יהוה אלהיכם</w:t>
      </w:r>
      <w:r w:rsidRPr="003F2847">
        <w:rPr>
          <w:rFonts w:eastAsia="Times New Roman" w:cs="Times New Roman"/>
          <w:rtl/>
          <w:lang w:eastAsia="de-DE"/>
        </w:rPr>
        <w:t xml:space="preserve"> </w:t>
      </w:r>
      <w:r w:rsidRPr="003F2847">
        <w:rPr>
          <w:rFonts w:eastAsia="Times New Roman" w:cs="Times New Roman"/>
          <w:lang w:eastAsia="de-DE"/>
        </w:rPr>
        <w:t>(ich bin der Ewige, euer Gott) als erweiterte Autoritätsformel.</w:t>
      </w:r>
    </w:p>
    <w:p w14:paraId="6208696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אבת</w:t>
      </w:r>
      <w:r w:rsidRPr="003F2847">
        <w:rPr>
          <w:rFonts w:eastAsia="Times New Roman" w:cs="Times New Roman"/>
          <w:rtl/>
          <w:lang w:eastAsia="de-DE"/>
        </w:rPr>
        <w:t xml:space="preserve"> </w:t>
      </w:r>
      <w:r w:rsidRPr="003F2847">
        <w:rPr>
          <w:rFonts w:eastAsia="Times New Roman" w:cs="Times New Roman"/>
          <w:lang w:eastAsia="de-DE"/>
        </w:rPr>
        <w:t xml:space="preserve">und </w:t>
      </w:r>
      <w:r w:rsidRPr="003F2847">
        <w:rPr>
          <w:rFonts w:eastAsia="Times New Roman" w:cs="Times New Roman"/>
          <w:b/>
          <w:bCs/>
          <w:rtl/>
          <w:lang w:eastAsia="de-DE"/>
        </w:rPr>
        <w:t>ידענים</w:t>
      </w:r>
      <w:r w:rsidRPr="003F2847">
        <w:rPr>
          <w:rFonts w:eastAsia="Times New Roman" w:cs="Times New Roman"/>
          <w:rtl/>
          <w:lang w:eastAsia="de-DE"/>
        </w:rPr>
        <w:t xml:space="preserve"> </w:t>
      </w:r>
      <w:r w:rsidRPr="003F2847">
        <w:rPr>
          <w:rFonts w:eastAsia="Times New Roman" w:cs="Times New Roman"/>
          <w:lang w:eastAsia="de-DE"/>
        </w:rPr>
        <w:t xml:space="preserve">als zwei Arten okkulter Praktiker. </w:t>
      </w:r>
      <w:r w:rsidRPr="003F2847">
        <w:rPr>
          <w:rFonts w:eastAsia="Times New Roman" w:cs="Times New Roman"/>
          <w:b/>
          <w:bCs/>
          <w:rtl/>
          <w:lang w:eastAsia="de-DE"/>
        </w:rPr>
        <w:t>תפנו</w:t>
      </w:r>
      <w:r w:rsidRPr="003F2847">
        <w:rPr>
          <w:rFonts w:eastAsia="Times New Roman" w:cs="Times New Roman"/>
          <w:rtl/>
          <w:lang w:eastAsia="de-DE"/>
        </w:rPr>
        <w:t xml:space="preserve"> </w:t>
      </w:r>
      <w:r w:rsidRPr="003F2847">
        <w:rPr>
          <w:rFonts w:eastAsia="Times New Roman" w:cs="Times New Roman"/>
          <w:lang w:eastAsia="de-DE"/>
        </w:rPr>
        <w:t xml:space="preserve">vs. </w:t>
      </w:r>
      <w:r w:rsidRPr="003F2847">
        <w:rPr>
          <w:rFonts w:eastAsia="Times New Roman" w:cs="Times New Roman"/>
          <w:b/>
          <w:bCs/>
          <w:rtl/>
          <w:lang w:eastAsia="de-DE"/>
        </w:rPr>
        <w:t>תבקשו</w:t>
      </w:r>
      <w:r w:rsidRPr="003F2847">
        <w:rPr>
          <w:rFonts w:eastAsia="Times New Roman" w:cs="Times New Roman"/>
          <w:rtl/>
          <w:lang w:eastAsia="de-DE"/>
        </w:rPr>
        <w:t xml:space="preserve"> </w:t>
      </w:r>
      <w:r w:rsidRPr="003F2847">
        <w:rPr>
          <w:rFonts w:eastAsia="Times New Roman" w:cs="Times New Roman"/>
          <w:lang w:eastAsia="de-DE"/>
        </w:rPr>
        <w:t xml:space="preserve">zeigt passive und aktive Hinwendung. </w:t>
      </w:r>
      <w:r w:rsidRPr="003F2847">
        <w:rPr>
          <w:rFonts w:eastAsia="Times New Roman" w:cs="Times New Roman"/>
          <w:b/>
          <w:bCs/>
          <w:rtl/>
          <w:lang w:eastAsia="de-DE"/>
        </w:rPr>
        <w:t>לטמאה בהם</w:t>
      </w:r>
      <w:r w:rsidRPr="003F2847">
        <w:rPr>
          <w:rFonts w:eastAsia="Times New Roman" w:cs="Times New Roman"/>
          <w:rtl/>
          <w:lang w:eastAsia="de-DE"/>
        </w:rPr>
        <w:t xml:space="preserve"> </w:t>
      </w:r>
      <w:r w:rsidRPr="003F2847">
        <w:rPr>
          <w:rFonts w:eastAsia="Times New Roman" w:cs="Times New Roman"/>
          <w:lang w:eastAsia="de-DE"/>
        </w:rPr>
        <w:t>zeigt, dass okkulte Konsultation kultische Unreinheit bewirkt.</w:t>
      </w:r>
    </w:p>
    <w:p w14:paraId="77C0D1E9" w14:textId="49280E01"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übersetzt </w:t>
      </w:r>
      <w:r w:rsidR="004F25E8">
        <w:rPr>
          <w:rtl/>
        </w:rPr>
        <w:t>אבות</w:t>
      </w:r>
      <w:r w:rsidR="004F25E8">
        <w:t xml:space="preserve"> (</w:t>
      </w:r>
      <w:proofErr w:type="spellStart"/>
      <w:r w:rsidR="004F25E8">
        <w:t>ovot</w:t>
      </w:r>
      <w:proofErr w:type="spellEnd"/>
      <w:r w:rsidR="004F25E8">
        <w:t xml:space="preserve"> - "Totengeister") als </w:t>
      </w:r>
      <w:proofErr w:type="spellStart"/>
      <w:r w:rsidR="004F25E8">
        <w:t>ἐγγ</w:t>
      </w:r>
      <w:proofErr w:type="spellEnd"/>
      <w:r w:rsidR="004F25E8">
        <w:t xml:space="preserve">αστριμύθοις (Bauchredner) und </w:t>
      </w:r>
      <w:r w:rsidR="004F25E8">
        <w:rPr>
          <w:rtl/>
        </w:rPr>
        <w:t>ידעני</w:t>
      </w:r>
      <w:r w:rsidR="004F25E8">
        <w:t xml:space="preserve"> (</w:t>
      </w:r>
      <w:proofErr w:type="spellStart"/>
      <w:r w:rsidR="004F25E8">
        <w:t>yidd'oni</w:t>
      </w:r>
      <w:proofErr w:type="spellEnd"/>
      <w:r w:rsidR="004F25E8">
        <w:t xml:space="preserve"> - "Wahrsagegeister") als ἐπα</w:t>
      </w:r>
      <w:proofErr w:type="spellStart"/>
      <w:r w:rsidR="004F25E8">
        <w:t>οιδοῖς</w:t>
      </w:r>
      <w:proofErr w:type="spellEnd"/>
      <w:r w:rsidR="004F25E8">
        <w:t xml:space="preserve"> (Beschwörer).</w:t>
      </w:r>
    </w:p>
    <w:p w14:paraId="3B41BFA5"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okkulte Verbote: Verbot der Hinwendung zu zwei Arten okkulter Praktiker + aktives Aufsuchungsverbot + Unreinheitsfolge + göttliche Autoritätsbetonung.</w:t>
      </w:r>
    </w:p>
    <w:p w14:paraId="6461FB4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verbietet sowohl passive Hinwendung als auch aktive Konsultation okkulter Praktiker wegen der kultischen Unreinheit.</w:t>
      </w:r>
    </w:p>
    <w:p w14:paraId="1DF1A092"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19,32</w:t>
      </w:r>
    </w:p>
    <w:p w14:paraId="59A9C95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מִפְּנֵ֤י שֵׂיבָה֙ תָּק֔וּם וְהָדַרְתָּ֖ פְּנֵ֣י זָקֵ֑ן וְיָרֵ֥אתָ מֵּאֱלֹהֶ֖יךָ אֲנִ֥י יְהוָֽה׃</w:t>
      </w:r>
    </w:p>
    <w:p w14:paraId="619E19AC"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Vor grauem Haar sollst du aufstehen und die Person eines Greises ehren, und du sollst dich fürchten vor deinem Gott. Ich bin der Ewige.</w:t>
      </w:r>
    </w:p>
    <w:p w14:paraId="094BBA1F"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48746A06">
          <v:rect id="_x0000_i1592" style="width:0;height:1.5pt" o:hralign="center" o:hrstd="t" o:hr="t" fillcolor="#a0a0a0" stroked="f"/>
        </w:pict>
      </w:r>
    </w:p>
    <w:p w14:paraId="392FFA8C"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מפני שיבה תקום והדרת פני זקן ויראת מאלהיך אני יהוה</w:t>
      </w:r>
      <w:r w:rsidRPr="003F2847">
        <w:rPr>
          <w:rFonts w:eastAsia="Times New Roman" w:cs="Times New Roman"/>
          <w:rtl/>
          <w:lang w:eastAsia="de-DE"/>
        </w:rPr>
        <w:t xml:space="preserve"> </w:t>
      </w:r>
      <w:r w:rsidRPr="003F2847">
        <w:rPr>
          <w:rFonts w:eastAsia="Times New Roman" w:cs="Times New Roman"/>
          <w:lang w:eastAsia="de-DE"/>
        </w:rPr>
        <w:t xml:space="preserve">fordert Alterrespekt. </w:t>
      </w:r>
      <w:r w:rsidRPr="003F2847">
        <w:rPr>
          <w:rFonts w:eastAsia="Times New Roman" w:cs="Times New Roman"/>
          <w:b/>
          <w:bCs/>
          <w:rtl/>
          <w:lang w:eastAsia="de-DE"/>
        </w:rPr>
        <w:t>מפני שיבה תקום</w:t>
      </w:r>
      <w:r w:rsidRPr="003F2847">
        <w:rPr>
          <w:rFonts w:eastAsia="Times New Roman" w:cs="Times New Roman"/>
          <w:rtl/>
          <w:lang w:eastAsia="de-DE"/>
        </w:rPr>
        <w:t xml:space="preserve"> </w:t>
      </w:r>
      <w:r w:rsidRPr="003F2847">
        <w:rPr>
          <w:rFonts w:eastAsia="Times New Roman" w:cs="Times New Roman"/>
          <w:lang w:eastAsia="de-DE"/>
        </w:rPr>
        <w:t xml:space="preserve">(vor grauem Haar sollst du aufstehen) - </w:t>
      </w:r>
      <w:r w:rsidRPr="003F2847">
        <w:rPr>
          <w:rFonts w:eastAsia="Times New Roman" w:cs="Times New Roman"/>
          <w:b/>
          <w:bCs/>
          <w:rtl/>
          <w:lang w:eastAsia="de-DE"/>
        </w:rPr>
        <w:t>מפני שיבה</w:t>
      </w:r>
      <w:r w:rsidRPr="003F2847">
        <w:rPr>
          <w:rFonts w:eastAsia="Times New Roman" w:cs="Times New Roman"/>
          <w:rtl/>
          <w:lang w:eastAsia="de-DE"/>
        </w:rPr>
        <w:t xml:space="preserve"> </w:t>
      </w:r>
      <w:r w:rsidRPr="003F2847">
        <w:rPr>
          <w:rFonts w:eastAsia="Times New Roman" w:cs="Times New Roman"/>
          <w:lang w:eastAsia="de-DE"/>
        </w:rPr>
        <w:t xml:space="preserve">(vor grauem Haar) - </w:t>
      </w:r>
      <w:r w:rsidRPr="003F2847">
        <w:rPr>
          <w:rFonts w:eastAsia="Times New Roman" w:cs="Times New Roman"/>
          <w:b/>
          <w:bCs/>
          <w:rtl/>
          <w:lang w:eastAsia="de-DE"/>
        </w:rPr>
        <w:t>שיבה</w:t>
      </w:r>
      <w:r w:rsidRPr="003F2847">
        <w:rPr>
          <w:rFonts w:eastAsia="Times New Roman" w:cs="Times New Roman"/>
          <w:rtl/>
          <w:lang w:eastAsia="de-DE"/>
        </w:rPr>
        <w:t xml:space="preserve"> </w:t>
      </w:r>
      <w:r w:rsidRPr="003F2847">
        <w:rPr>
          <w:rFonts w:eastAsia="Times New Roman" w:cs="Times New Roman"/>
          <w:lang w:eastAsia="de-DE"/>
        </w:rPr>
        <w:t xml:space="preserve">(graues Haar) steht metonymisch für Alter. </w:t>
      </w:r>
      <w:r w:rsidRPr="003F2847">
        <w:rPr>
          <w:rFonts w:eastAsia="Times New Roman" w:cs="Times New Roman"/>
          <w:b/>
          <w:bCs/>
          <w:rtl/>
          <w:lang w:eastAsia="de-DE"/>
        </w:rPr>
        <w:t>תקום</w:t>
      </w:r>
      <w:r w:rsidRPr="003F2847">
        <w:rPr>
          <w:rFonts w:eastAsia="Times New Roman" w:cs="Times New Roman"/>
          <w:rtl/>
          <w:lang w:eastAsia="de-DE"/>
        </w:rPr>
        <w:t xml:space="preserve"> </w:t>
      </w:r>
      <w:r w:rsidRPr="003F2847">
        <w:rPr>
          <w:rFonts w:eastAsia="Times New Roman" w:cs="Times New Roman"/>
          <w:lang w:eastAsia="de-DE"/>
        </w:rPr>
        <w:t>(sollst du aufstehen) im Qal-Imperfekt zeigt respektvolle Körperhaltung.</w:t>
      </w:r>
    </w:p>
    <w:p w14:paraId="00ABAB0C"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והדרת פני זקן</w:t>
      </w:r>
      <w:r w:rsidRPr="003F2847">
        <w:rPr>
          <w:rFonts w:eastAsia="Times New Roman" w:cs="Times New Roman"/>
          <w:rtl/>
          <w:lang w:eastAsia="de-DE"/>
        </w:rPr>
        <w:t xml:space="preserve"> </w:t>
      </w:r>
      <w:r w:rsidRPr="003F2847">
        <w:rPr>
          <w:rFonts w:eastAsia="Times New Roman" w:cs="Times New Roman"/>
          <w:lang w:eastAsia="de-DE"/>
        </w:rPr>
        <w:t xml:space="preserve">(und die Person eines Greises ehren) - </w:t>
      </w:r>
      <w:r w:rsidRPr="003F2847">
        <w:rPr>
          <w:rFonts w:eastAsia="Times New Roman" w:cs="Times New Roman"/>
          <w:b/>
          <w:bCs/>
          <w:rtl/>
          <w:lang w:eastAsia="de-DE"/>
        </w:rPr>
        <w:t>והדרת</w:t>
      </w:r>
      <w:r w:rsidRPr="003F2847">
        <w:rPr>
          <w:rFonts w:eastAsia="Times New Roman" w:cs="Times New Roman"/>
          <w:rtl/>
          <w:lang w:eastAsia="de-DE"/>
        </w:rPr>
        <w:t xml:space="preserve"> </w:t>
      </w:r>
      <w:r w:rsidRPr="003F2847">
        <w:rPr>
          <w:rFonts w:eastAsia="Times New Roman" w:cs="Times New Roman"/>
          <w:lang w:eastAsia="de-DE"/>
        </w:rPr>
        <w:t xml:space="preserve">(und du sollst ehren) im Hifil-Perfekt mit Waw-Konsekutiv, das Hifil zeigt kausatives Ehren. </w:t>
      </w:r>
      <w:r w:rsidRPr="003F2847">
        <w:rPr>
          <w:rFonts w:eastAsia="Times New Roman" w:cs="Times New Roman"/>
          <w:b/>
          <w:bCs/>
          <w:rtl/>
          <w:lang w:eastAsia="de-DE"/>
        </w:rPr>
        <w:t>פני זקן</w:t>
      </w:r>
      <w:r w:rsidRPr="003F2847">
        <w:rPr>
          <w:rFonts w:eastAsia="Times New Roman" w:cs="Times New Roman"/>
          <w:rtl/>
          <w:lang w:eastAsia="de-DE"/>
        </w:rPr>
        <w:t xml:space="preserve"> </w:t>
      </w:r>
      <w:r w:rsidRPr="003F2847">
        <w:rPr>
          <w:rFonts w:eastAsia="Times New Roman" w:cs="Times New Roman"/>
          <w:lang w:eastAsia="de-DE"/>
        </w:rPr>
        <w:t xml:space="preserve">(Person eines Greises) - </w:t>
      </w:r>
      <w:r w:rsidRPr="003F2847">
        <w:rPr>
          <w:rFonts w:eastAsia="Times New Roman" w:cs="Times New Roman"/>
          <w:b/>
          <w:bCs/>
          <w:rtl/>
          <w:lang w:eastAsia="de-DE"/>
        </w:rPr>
        <w:t>זקן</w:t>
      </w:r>
      <w:r w:rsidRPr="003F2847">
        <w:rPr>
          <w:rFonts w:eastAsia="Times New Roman" w:cs="Times New Roman"/>
          <w:rtl/>
          <w:lang w:eastAsia="de-DE"/>
        </w:rPr>
        <w:t xml:space="preserve"> </w:t>
      </w:r>
      <w:r w:rsidRPr="003F2847">
        <w:rPr>
          <w:rFonts w:eastAsia="Times New Roman" w:cs="Times New Roman"/>
          <w:lang w:eastAsia="de-DE"/>
        </w:rPr>
        <w:t xml:space="preserve">(Greis) als parallel zu </w:t>
      </w:r>
      <w:r w:rsidRPr="003F2847">
        <w:rPr>
          <w:rFonts w:eastAsia="Times New Roman" w:cs="Times New Roman"/>
          <w:b/>
          <w:bCs/>
          <w:rtl/>
          <w:lang w:eastAsia="de-DE"/>
        </w:rPr>
        <w:t>שיבה</w:t>
      </w:r>
      <w:r w:rsidRPr="003F2847">
        <w:rPr>
          <w:rFonts w:eastAsia="Times New Roman" w:cs="Times New Roman"/>
          <w:lang w:eastAsia="de-DE"/>
        </w:rPr>
        <w:t>.</w:t>
      </w:r>
    </w:p>
    <w:p w14:paraId="54CDAB3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lastRenderedPageBreak/>
        <w:t>ויראת מאלהיך אני יהוה</w:t>
      </w:r>
      <w:r w:rsidRPr="003F2847">
        <w:rPr>
          <w:rFonts w:eastAsia="Times New Roman" w:cs="Times New Roman"/>
          <w:rtl/>
          <w:lang w:eastAsia="de-DE"/>
        </w:rPr>
        <w:t xml:space="preserve"> </w:t>
      </w:r>
      <w:r w:rsidRPr="003F2847">
        <w:rPr>
          <w:rFonts w:eastAsia="Times New Roman" w:cs="Times New Roman"/>
          <w:lang w:eastAsia="de-DE"/>
        </w:rPr>
        <w:t xml:space="preserve">(und du sollst dich fürchten vor deinem Gott. Ich bin der Ewige) entspricht V. 14 - </w:t>
      </w:r>
      <w:r w:rsidRPr="003F2847">
        <w:rPr>
          <w:rFonts w:eastAsia="Times New Roman" w:cs="Times New Roman"/>
          <w:b/>
          <w:bCs/>
          <w:rtl/>
          <w:lang w:eastAsia="de-DE"/>
        </w:rPr>
        <w:t>ויראת מאלהיך</w:t>
      </w:r>
      <w:r w:rsidRPr="003F2847">
        <w:rPr>
          <w:rFonts w:eastAsia="Times New Roman" w:cs="Times New Roman"/>
          <w:rtl/>
          <w:lang w:eastAsia="de-DE"/>
        </w:rPr>
        <w:t xml:space="preserve"> </w:t>
      </w:r>
      <w:r w:rsidRPr="003F2847">
        <w:rPr>
          <w:rFonts w:eastAsia="Times New Roman" w:cs="Times New Roman"/>
          <w:lang w:eastAsia="de-DE"/>
        </w:rPr>
        <w:t>als innere Kontrollinstanz.</w:t>
      </w:r>
    </w:p>
    <w:p w14:paraId="712D941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שיבה</w:t>
      </w:r>
      <w:r w:rsidRPr="003F2847">
        <w:rPr>
          <w:rFonts w:eastAsia="Times New Roman" w:cs="Times New Roman"/>
          <w:rtl/>
          <w:lang w:eastAsia="de-DE"/>
        </w:rPr>
        <w:t xml:space="preserve"> </w:t>
      </w:r>
      <w:r w:rsidRPr="003F2847">
        <w:rPr>
          <w:rFonts w:eastAsia="Times New Roman" w:cs="Times New Roman"/>
          <w:lang w:eastAsia="de-DE"/>
        </w:rPr>
        <w:t xml:space="preserve">und </w:t>
      </w:r>
      <w:r w:rsidRPr="003F2847">
        <w:rPr>
          <w:rFonts w:eastAsia="Times New Roman" w:cs="Times New Roman"/>
          <w:b/>
          <w:bCs/>
          <w:rtl/>
          <w:lang w:eastAsia="de-DE"/>
        </w:rPr>
        <w:t>זקן</w:t>
      </w:r>
      <w:r w:rsidRPr="003F2847">
        <w:rPr>
          <w:rFonts w:eastAsia="Times New Roman" w:cs="Times New Roman"/>
          <w:rtl/>
          <w:lang w:eastAsia="de-DE"/>
        </w:rPr>
        <w:t xml:space="preserve"> </w:t>
      </w:r>
      <w:r w:rsidRPr="003F2847">
        <w:rPr>
          <w:rFonts w:eastAsia="Times New Roman" w:cs="Times New Roman"/>
          <w:lang w:eastAsia="de-DE"/>
        </w:rPr>
        <w:t xml:space="preserve">als synonyme Altersbezeichnungen. </w:t>
      </w:r>
      <w:r w:rsidRPr="003F2847">
        <w:rPr>
          <w:rFonts w:eastAsia="Times New Roman" w:cs="Times New Roman"/>
          <w:b/>
          <w:bCs/>
          <w:rtl/>
          <w:lang w:eastAsia="de-DE"/>
        </w:rPr>
        <w:t>תקום</w:t>
      </w:r>
      <w:r w:rsidRPr="003F2847">
        <w:rPr>
          <w:rFonts w:eastAsia="Times New Roman" w:cs="Times New Roman"/>
          <w:rtl/>
          <w:lang w:eastAsia="de-DE"/>
        </w:rPr>
        <w:t xml:space="preserve"> </w:t>
      </w:r>
      <w:r w:rsidRPr="003F2847">
        <w:rPr>
          <w:rFonts w:eastAsia="Times New Roman" w:cs="Times New Roman"/>
          <w:lang w:eastAsia="de-DE"/>
        </w:rPr>
        <w:t xml:space="preserve">und </w:t>
      </w:r>
      <w:r w:rsidRPr="003F2847">
        <w:rPr>
          <w:rFonts w:eastAsia="Times New Roman" w:cs="Times New Roman"/>
          <w:b/>
          <w:bCs/>
          <w:rtl/>
          <w:lang w:eastAsia="de-DE"/>
        </w:rPr>
        <w:t>והדרת</w:t>
      </w:r>
      <w:r w:rsidRPr="003F2847">
        <w:rPr>
          <w:rFonts w:eastAsia="Times New Roman" w:cs="Times New Roman"/>
          <w:rtl/>
          <w:lang w:eastAsia="de-DE"/>
        </w:rPr>
        <w:t xml:space="preserve"> </w:t>
      </w:r>
      <w:r w:rsidRPr="003F2847">
        <w:rPr>
          <w:rFonts w:eastAsia="Times New Roman" w:cs="Times New Roman"/>
          <w:lang w:eastAsia="de-DE"/>
        </w:rPr>
        <w:t xml:space="preserve">zeigen äußere und innere Ehrerbietung. </w:t>
      </w:r>
      <w:r w:rsidRPr="003F2847">
        <w:rPr>
          <w:rFonts w:eastAsia="Times New Roman" w:cs="Times New Roman"/>
          <w:b/>
          <w:bCs/>
          <w:rtl/>
          <w:lang w:eastAsia="de-DE"/>
        </w:rPr>
        <w:t>ויראת מאלהיך</w:t>
      </w:r>
      <w:r w:rsidRPr="003F2847">
        <w:rPr>
          <w:rFonts w:eastAsia="Times New Roman" w:cs="Times New Roman"/>
          <w:rtl/>
          <w:lang w:eastAsia="de-DE"/>
        </w:rPr>
        <w:t xml:space="preserve"> </w:t>
      </w:r>
      <w:r w:rsidRPr="003F2847">
        <w:rPr>
          <w:rFonts w:eastAsia="Times New Roman" w:cs="Times New Roman"/>
          <w:lang w:eastAsia="de-DE"/>
        </w:rPr>
        <w:t>zeigt Gott als Anwalt der Alten.</w:t>
      </w:r>
    </w:p>
    <w:p w14:paraId="7C968C5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שיבה</w:t>
      </w:r>
      <w:r w:rsidRPr="003F2847">
        <w:rPr>
          <w:rFonts w:eastAsia="Times New Roman" w:cs="Times New Roman"/>
          <w:rtl/>
          <w:lang w:eastAsia="de-DE"/>
        </w:rPr>
        <w:t xml:space="preserve"> </w:t>
      </w:r>
      <w:r w:rsidRPr="003F2847">
        <w:rPr>
          <w:rFonts w:eastAsia="Times New Roman" w:cs="Times New Roman"/>
          <w:lang w:eastAsia="de-DE"/>
        </w:rPr>
        <w:t>mit π</w:t>
      </w:r>
      <w:proofErr w:type="spellStart"/>
      <w:r w:rsidRPr="003F2847">
        <w:rPr>
          <w:rFonts w:eastAsia="Times New Roman" w:cs="Times New Roman"/>
          <w:lang w:eastAsia="de-DE"/>
        </w:rPr>
        <w:t>ολιᾶς</w:t>
      </w:r>
      <w:proofErr w:type="spellEnd"/>
      <w:r w:rsidRPr="003F2847">
        <w:rPr>
          <w:rFonts w:eastAsia="Times New Roman" w:cs="Times New Roman"/>
          <w:lang w:eastAsia="de-DE"/>
        </w:rPr>
        <w:t xml:space="preserve"> (graues Haar), </w:t>
      </w:r>
      <w:r w:rsidRPr="003F2847">
        <w:rPr>
          <w:rFonts w:eastAsia="Times New Roman" w:cs="Times New Roman"/>
          <w:b/>
          <w:bCs/>
          <w:rtl/>
          <w:lang w:eastAsia="de-DE"/>
        </w:rPr>
        <w:t>תקום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ἀν</w:t>
      </w:r>
      <w:proofErr w:type="spellEnd"/>
      <w:r w:rsidRPr="003F2847">
        <w:rPr>
          <w:rFonts w:eastAsia="Times New Roman" w:cs="Times New Roman"/>
          <w:lang w:eastAsia="de-DE"/>
        </w:rPr>
        <w:t xml:space="preserve">αστήσῃ (du wirst aufstehen), </w:t>
      </w:r>
      <w:r w:rsidRPr="003F2847">
        <w:rPr>
          <w:rFonts w:eastAsia="Times New Roman" w:cs="Times New Roman"/>
          <w:b/>
          <w:bCs/>
          <w:rtl/>
          <w:lang w:eastAsia="de-DE"/>
        </w:rPr>
        <w:t>והדרת</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τιμήσεις</w:t>
      </w:r>
      <w:proofErr w:type="spellEnd"/>
      <w:r w:rsidRPr="003F2847">
        <w:rPr>
          <w:rFonts w:eastAsia="Times New Roman" w:cs="Times New Roman"/>
          <w:lang w:eastAsia="de-DE"/>
        </w:rPr>
        <w:t xml:space="preserve"> (du wirst ehren) und </w:t>
      </w:r>
      <w:r w:rsidRPr="003F2847">
        <w:rPr>
          <w:rFonts w:eastAsia="Times New Roman" w:cs="Times New Roman"/>
          <w:b/>
          <w:bCs/>
          <w:rtl/>
          <w:lang w:eastAsia="de-DE"/>
        </w:rPr>
        <w:t>פני זקן</w:t>
      </w:r>
      <w:r w:rsidRPr="003F2847">
        <w:rPr>
          <w:rFonts w:eastAsia="Times New Roman" w:cs="Times New Roman"/>
          <w:rtl/>
          <w:lang w:eastAsia="de-DE"/>
        </w:rPr>
        <w:t xml:space="preserve"> </w:t>
      </w:r>
      <w:r w:rsidRPr="003F2847">
        <w:rPr>
          <w:rFonts w:eastAsia="Times New Roman" w:cs="Times New Roman"/>
          <w:lang w:eastAsia="de-DE"/>
        </w:rPr>
        <w:t>mit π</w:t>
      </w:r>
      <w:proofErr w:type="spellStart"/>
      <w:r w:rsidRPr="003F2847">
        <w:rPr>
          <w:rFonts w:eastAsia="Times New Roman" w:cs="Times New Roman"/>
          <w:lang w:eastAsia="de-DE"/>
        </w:rPr>
        <w:t>ρόσω</w:t>
      </w:r>
      <w:proofErr w:type="spellEnd"/>
      <w:r w:rsidRPr="003F2847">
        <w:rPr>
          <w:rFonts w:eastAsia="Times New Roman" w:cs="Times New Roman"/>
          <w:lang w:eastAsia="de-DE"/>
        </w:rPr>
        <w:t>πον π</w:t>
      </w:r>
      <w:proofErr w:type="spellStart"/>
      <w:r w:rsidRPr="003F2847">
        <w:rPr>
          <w:rFonts w:eastAsia="Times New Roman" w:cs="Times New Roman"/>
          <w:lang w:eastAsia="de-DE"/>
        </w:rPr>
        <w:t>ρεσ</w:t>
      </w:r>
      <w:proofErr w:type="spellEnd"/>
      <w:r w:rsidRPr="003F2847">
        <w:rPr>
          <w:rFonts w:eastAsia="Times New Roman" w:cs="Times New Roman"/>
          <w:lang w:eastAsia="de-DE"/>
        </w:rPr>
        <w:t>βυτέρου (Angesicht eines Älteren).</w:t>
      </w:r>
    </w:p>
    <w:p w14:paraId="3692038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Altersrespekt: körperliche Ehrerbietung + persönliche Ehrung + Gottesfurcht als Kontrolle + göttliche Autorität.</w:t>
      </w:r>
    </w:p>
    <w:p w14:paraId="1A9E0E8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fordert umfassenden Respekt vor dem Alter mit Gottesfurcht als innerer Motivation.</w:t>
      </w:r>
    </w:p>
    <w:p w14:paraId="3C9F8178"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19,33</w:t>
      </w:r>
    </w:p>
    <w:p w14:paraId="4E36B62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וְכִֽי־יָג֧וּר אִתְּךָ֛ גֵּ֖ר בְּאַרְצְכֶ֑ם לֹ֥א תוֹנ֖וּ אֹתוֹ׃</w:t>
      </w:r>
    </w:p>
    <w:p w14:paraId="23F7D78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wenn ein Fremder bei dir weilt in eurem Land, sollt ihr ihn nicht bedrücken.</w:t>
      </w:r>
    </w:p>
    <w:p w14:paraId="7614478E"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35143B80">
          <v:rect id="_x0000_i1593" style="width:0;height:1.5pt" o:hralign="center" o:hrstd="t" o:hr="t" fillcolor="#a0a0a0" stroked="f"/>
        </w:pict>
      </w:r>
    </w:p>
    <w:p w14:paraId="030A19E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וכי־יגור אתך גר בארצכם לא תונו אתו</w:t>
      </w:r>
      <w:r w:rsidRPr="003F2847">
        <w:rPr>
          <w:rFonts w:eastAsia="Times New Roman" w:cs="Times New Roman"/>
          <w:rtl/>
          <w:lang w:eastAsia="de-DE"/>
        </w:rPr>
        <w:t xml:space="preserve"> </w:t>
      </w:r>
      <w:r w:rsidRPr="003F2847">
        <w:rPr>
          <w:rFonts w:eastAsia="Times New Roman" w:cs="Times New Roman"/>
          <w:lang w:eastAsia="de-DE"/>
        </w:rPr>
        <w:t xml:space="preserve">leitet den Fremdenschutz ein. </w:t>
      </w:r>
      <w:r w:rsidRPr="003F2847">
        <w:rPr>
          <w:rFonts w:eastAsia="Times New Roman" w:cs="Times New Roman"/>
          <w:b/>
          <w:bCs/>
          <w:rtl/>
          <w:lang w:eastAsia="de-DE"/>
        </w:rPr>
        <w:t>וכי־יגור אתך גר בארצכם</w:t>
      </w:r>
      <w:r w:rsidRPr="003F2847">
        <w:rPr>
          <w:rFonts w:eastAsia="Times New Roman" w:cs="Times New Roman"/>
          <w:rtl/>
          <w:lang w:eastAsia="de-DE"/>
        </w:rPr>
        <w:t xml:space="preserve"> </w:t>
      </w:r>
      <w:r w:rsidRPr="003F2847">
        <w:rPr>
          <w:rFonts w:eastAsia="Times New Roman" w:cs="Times New Roman"/>
          <w:lang w:eastAsia="de-DE"/>
        </w:rPr>
        <w:t xml:space="preserve">(und wenn ein Fremder bei dir weilt in eurem Land) - </w:t>
      </w:r>
      <w:r w:rsidRPr="003F2847">
        <w:rPr>
          <w:rFonts w:eastAsia="Times New Roman" w:cs="Times New Roman"/>
          <w:b/>
          <w:bCs/>
          <w:rtl/>
          <w:lang w:eastAsia="de-DE"/>
        </w:rPr>
        <w:t>וכי־יגור</w:t>
      </w:r>
      <w:r w:rsidRPr="003F2847">
        <w:rPr>
          <w:rFonts w:eastAsia="Times New Roman" w:cs="Times New Roman"/>
          <w:rtl/>
          <w:lang w:eastAsia="de-DE"/>
        </w:rPr>
        <w:t xml:space="preserve"> </w:t>
      </w:r>
      <w:r w:rsidRPr="003F2847">
        <w:rPr>
          <w:rFonts w:eastAsia="Times New Roman" w:cs="Times New Roman"/>
          <w:lang w:eastAsia="de-DE"/>
        </w:rPr>
        <w:t xml:space="preserve">(und wenn er weilt) im Qal-Imperfekt von </w:t>
      </w:r>
      <w:r w:rsidRPr="003F2847">
        <w:rPr>
          <w:rFonts w:eastAsia="Times New Roman" w:cs="Times New Roman"/>
          <w:b/>
          <w:bCs/>
          <w:rtl/>
          <w:lang w:eastAsia="de-DE"/>
        </w:rPr>
        <w:t>גור</w:t>
      </w:r>
      <w:r w:rsidRPr="003F2847">
        <w:rPr>
          <w:rFonts w:eastAsia="Times New Roman" w:cs="Times New Roman"/>
          <w:rtl/>
          <w:lang w:eastAsia="de-DE"/>
        </w:rPr>
        <w:t xml:space="preserve"> </w:t>
      </w:r>
      <w:r w:rsidRPr="003F2847">
        <w:rPr>
          <w:rFonts w:eastAsia="Times New Roman" w:cs="Times New Roman"/>
          <w:lang w:eastAsia="de-DE"/>
        </w:rPr>
        <w:t xml:space="preserve">(als Fremder wohnen). </w:t>
      </w:r>
      <w:r w:rsidRPr="003F2847">
        <w:rPr>
          <w:rFonts w:eastAsia="Times New Roman" w:cs="Times New Roman"/>
          <w:b/>
          <w:bCs/>
          <w:rtl/>
          <w:lang w:eastAsia="de-DE"/>
        </w:rPr>
        <w:t>אתך</w:t>
      </w:r>
      <w:r w:rsidRPr="003F2847">
        <w:rPr>
          <w:rFonts w:eastAsia="Times New Roman" w:cs="Times New Roman"/>
          <w:rtl/>
          <w:lang w:eastAsia="de-DE"/>
        </w:rPr>
        <w:t xml:space="preserve"> </w:t>
      </w:r>
      <w:r w:rsidRPr="003F2847">
        <w:rPr>
          <w:rFonts w:eastAsia="Times New Roman" w:cs="Times New Roman"/>
          <w:lang w:eastAsia="de-DE"/>
        </w:rPr>
        <w:t xml:space="preserve">(bei dir) zeigt persönliche Nähe. </w:t>
      </w:r>
      <w:r w:rsidRPr="003F2847">
        <w:rPr>
          <w:rFonts w:eastAsia="Times New Roman" w:cs="Times New Roman"/>
          <w:b/>
          <w:bCs/>
          <w:rtl/>
          <w:lang w:eastAsia="de-DE"/>
        </w:rPr>
        <w:t>גר</w:t>
      </w:r>
      <w:r w:rsidRPr="003F2847">
        <w:rPr>
          <w:rFonts w:eastAsia="Times New Roman" w:cs="Times New Roman"/>
          <w:rtl/>
          <w:lang w:eastAsia="de-DE"/>
        </w:rPr>
        <w:t xml:space="preserve"> </w:t>
      </w:r>
      <w:r w:rsidRPr="003F2847">
        <w:rPr>
          <w:rFonts w:eastAsia="Times New Roman" w:cs="Times New Roman"/>
          <w:lang w:eastAsia="de-DE"/>
        </w:rPr>
        <w:t xml:space="preserve">(Fremder) als technischer Begriff für ansässigen Fremden. </w:t>
      </w:r>
      <w:r w:rsidRPr="003F2847">
        <w:rPr>
          <w:rFonts w:eastAsia="Times New Roman" w:cs="Times New Roman"/>
          <w:b/>
          <w:bCs/>
          <w:rtl/>
          <w:lang w:eastAsia="de-DE"/>
        </w:rPr>
        <w:t>בארצכם</w:t>
      </w:r>
      <w:r w:rsidRPr="003F2847">
        <w:rPr>
          <w:rFonts w:eastAsia="Times New Roman" w:cs="Times New Roman"/>
          <w:rtl/>
          <w:lang w:eastAsia="de-DE"/>
        </w:rPr>
        <w:t xml:space="preserve"> </w:t>
      </w:r>
      <w:r w:rsidRPr="003F2847">
        <w:rPr>
          <w:rFonts w:eastAsia="Times New Roman" w:cs="Times New Roman"/>
          <w:lang w:eastAsia="de-DE"/>
        </w:rPr>
        <w:t>(in eurem Land) zeigt den israelitischen Hoheitsbereich.</w:t>
      </w:r>
    </w:p>
    <w:p w14:paraId="3590B4E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לא תונו אתו</w:t>
      </w:r>
      <w:r w:rsidRPr="003F2847">
        <w:rPr>
          <w:rFonts w:eastAsia="Times New Roman" w:cs="Times New Roman"/>
          <w:rtl/>
          <w:lang w:eastAsia="de-DE"/>
        </w:rPr>
        <w:t xml:space="preserve"> </w:t>
      </w:r>
      <w:r w:rsidRPr="003F2847">
        <w:rPr>
          <w:rFonts w:eastAsia="Times New Roman" w:cs="Times New Roman"/>
          <w:lang w:eastAsia="de-DE"/>
        </w:rPr>
        <w:t xml:space="preserve">(sollt ihr ihn nicht bedrücken) - </w:t>
      </w:r>
      <w:r w:rsidRPr="003F2847">
        <w:rPr>
          <w:rFonts w:eastAsia="Times New Roman" w:cs="Times New Roman"/>
          <w:b/>
          <w:bCs/>
          <w:rtl/>
          <w:lang w:eastAsia="de-DE"/>
        </w:rPr>
        <w:t>לא תונו</w:t>
      </w:r>
      <w:r w:rsidRPr="003F2847">
        <w:rPr>
          <w:rFonts w:eastAsia="Times New Roman" w:cs="Times New Roman"/>
          <w:rtl/>
          <w:lang w:eastAsia="de-DE"/>
        </w:rPr>
        <w:t xml:space="preserve"> </w:t>
      </w:r>
      <w:r w:rsidRPr="003F2847">
        <w:rPr>
          <w:rFonts w:eastAsia="Times New Roman" w:cs="Times New Roman"/>
          <w:lang w:eastAsia="de-DE"/>
        </w:rPr>
        <w:t xml:space="preserve">(ihr sollt nicht bedrücken) im Hifil-Imperfekt von </w:t>
      </w:r>
      <w:r w:rsidRPr="003F2847">
        <w:rPr>
          <w:rFonts w:eastAsia="Times New Roman" w:cs="Times New Roman"/>
          <w:b/>
          <w:bCs/>
          <w:rtl/>
          <w:lang w:eastAsia="de-DE"/>
        </w:rPr>
        <w:t>ינה</w:t>
      </w:r>
      <w:r w:rsidRPr="003F2847">
        <w:rPr>
          <w:rFonts w:eastAsia="Times New Roman" w:cs="Times New Roman"/>
          <w:lang w:eastAsia="de-DE"/>
        </w:rPr>
        <w:t>, das Hifil zeigt kausative Bedrückung oder Benachteiligung.</w:t>
      </w:r>
    </w:p>
    <w:p w14:paraId="0B797AD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גר</w:t>
      </w:r>
      <w:r w:rsidRPr="003F2847">
        <w:rPr>
          <w:rFonts w:eastAsia="Times New Roman" w:cs="Times New Roman"/>
          <w:rtl/>
          <w:lang w:eastAsia="de-DE"/>
        </w:rPr>
        <w:t xml:space="preserve"> </w:t>
      </w:r>
      <w:r w:rsidRPr="003F2847">
        <w:rPr>
          <w:rFonts w:eastAsia="Times New Roman" w:cs="Times New Roman"/>
          <w:lang w:eastAsia="de-DE"/>
        </w:rPr>
        <w:t xml:space="preserve">als Rechtskategorie für Nichtisraeliten mit Aufenthaltsrecht. </w:t>
      </w:r>
      <w:r w:rsidRPr="003F2847">
        <w:rPr>
          <w:rFonts w:eastAsia="Times New Roman" w:cs="Times New Roman"/>
          <w:b/>
          <w:bCs/>
          <w:rtl/>
          <w:lang w:eastAsia="de-DE"/>
        </w:rPr>
        <w:t>יגור אתך</w:t>
      </w:r>
      <w:r w:rsidRPr="003F2847">
        <w:rPr>
          <w:rFonts w:eastAsia="Times New Roman" w:cs="Times New Roman"/>
          <w:rtl/>
          <w:lang w:eastAsia="de-DE"/>
        </w:rPr>
        <w:t xml:space="preserve"> </w:t>
      </w:r>
      <w:r w:rsidRPr="003F2847">
        <w:rPr>
          <w:rFonts w:eastAsia="Times New Roman" w:cs="Times New Roman"/>
          <w:lang w:eastAsia="de-DE"/>
        </w:rPr>
        <w:t xml:space="preserve">zeigt Nähe und Vertrauen. </w:t>
      </w:r>
      <w:r w:rsidRPr="003F2847">
        <w:rPr>
          <w:rFonts w:eastAsia="Times New Roman" w:cs="Times New Roman"/>
          <w:b/>
          <w:bCs/>
          <w:rtl/>
          <w:lang w:eastAsia="de-DE"/>
        </w:rPr>
        <w:t>לא תונו</w:t>
      </w:r>
      <w:r w:rsidRPr="003F2847">
        <w:rPr>
          <w:rFonts w:eastAsia="Times New Roman" w:cs="Times New Roman"/>
          <w:rtl/>
          <w:lang w:eastAsia="de-DE"/>
        </w:rPr>
        <w:t xml:space="preserve"> </w:t>
      </w:r>
      <w:r w:rsidRPr="003F2847">
        <w:rPr>
          <w:rFonts w:eastAsia="Times New Roman" w:cs="Times New Roman"/>
          <w:lang w:eastAsia="de-DE"/>
        </w:rPr>
        <w:t>verbietet jede Form der Benachteiligung.</w:t>
      </w:r>
    </w:p>
    <w:p w14:paraId="4E6A179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יגור אתך</w:t>
      </w:r>
      <w:r w:rsidRPr="003F2847">
        <w:rPr>
          <w:rFonts w:eastAsia="Times New Roman" w:cs="Times New Roman"/>
          <w:rtl/>
          <w:lang w:eastAsia="de-DE"/>
        </w:rPr>
        <w:t xml:space="preserve"> </w:t>
      </w:r>
      <w:r w:rsidRPr="003F2847">
        <w:rPr>
          <w:rFonts w:eastAsia="Times New Roman" w:cs="Times New Roman"/>
          <w:lang w:eastAsia="de-DE"/>
        </w:rPr>
        <w:t>mit πα</w:t>
      </w:r>
      <w:proofErr w:type="spellStart"/>
      <w:r w:rsidRPr="003F2847">
        <w:rPr>
          <w:rFonts w:eastAsia="Times New Roman" w:cs="Times New Roman"/>
          <w:lang w:eastAsia="de-DE"/>
        </w:rPr>
        <w:t>ροικῇ</w:t>
      </w:r>
      <w:proofErr w:type="spellEnd"/>
      <w:r w:rsidRPr="003F2847">
        <w:rPr>
          <w:rFonts w:eastAsia="Times New Roman" w:cs="Times New Roman"/>
          <w:lang w:eastAsia="de-DE"/>
        </w:rPr>
        <w:t xml:space="preserve"> πα</w:t>
      </w:r>
      <w:proofErr w:type="spellStart"/>
      <w:r w:rsidRPr="003F2847">
        <w:rPr>
          <w:rFonts w:eastAsia="Times New Roman" w:cs="Times New Roman"/>
          <w:lang w:eastAsia="de-DE"/>
        </w:rPr>
        <w:t>ρὰ</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σοί</w:t>
      </w:r>
      <w:proofErr w:type="spellEnd"/>
      <w:r w:rsidRPr="003F2847">
        <w:rPr>
          <w:rFonts w:eastAsia="Times New Roman" w:cs="Times New Roman"/>
          <w:lang w:eastAsia="de-DE"/>
        </w:rPr>
        <w:t xml:space="preserve"> (als Fremder bei dir wohnt), </w:t>
      </w:r>
      <w:r w:rsidRPr="003F2847">
        <w:rPr>
          <w:rFonts w:eastAsia="Times New Roman" w:cs="Times New Roman"/>
          <w:b/>
          <w:bCs/>
          <w:rtl/>
          <w:lang w:eastAsia="de-DE"/>
        </w:rPr>
        <w:t>גר</w:t>
      </w:r>
      <w:r w:rsidRPr="003F2847">
        <w:rPr>
          <w:rFonts w:eastAsia="Times New Roman" w:cs="Times New Roman"/>
          <w:rtl/>
          <w:lang w:eastAsia="de-DE"/>
        </w:rPr>
        <w:t xml:space="preserve"> </w:t>
      </w:r>
      <w:r w:rsidRPr="003F2847">
        <w:rPr>
          <w:rFonts w:eastAsia="Times New Roman" w:cs="Times New Roman"/>
          <w:lang w:eastAsia="de-DE"/>
        </w:rPr>
        <w:t>mit π</w:t>
      </w:r>
      <w:proofErr w:type="spellStart"/>
      <w:r w:rsidRPr="003F2847">
        <w:rPr>
          <w:rFonts w:eastAsia="Times New Roman" w:cs="Times New Roman"/>
          <w:lang w:eastAsia="de-DE"/>
        </w:rPr>
        <w:t>ροσήλυτος</w:t>
      </w:r>
      <w:proofErr w:type="spellEnd"/>
      <w:r w:rsidRPr="003F2847">
        <w:rPr>
          <w:rFonts w:eastAsia="Times New Roman" w:cs="Times New Roman"/>
          <w:lang w:eastAsia="de-DE"/>
        </w:rPr>
        <w:t xml:space="preserve"> (Proselyt) und </w:t>
      </w:r>
      <w:r w:rsidRPr="003F2847">
        <w:rPr>
          <w:rFonts w:eastAsia="Times New Roman" w:cs="Times New Roman"/>
          <w:b/>
          <w:bCs/>
          <w:rtl/>
          <w:lang w:eastAsia="de-DE"/>
        </w:rPr>
        <w:t>תונו</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θλίψετε</w:t>
      </w:r>
      <w:proofErr w:type="spellEnd"/>
      <w:r w:rsidRPr="003F2847">
        <w:rPr>
          <w:rFonts w:eastAsia="Times New Roman" w:cs="Times New Roman"/>
          <w:lang w:eastAsia="de-DE"/>
        </w:rPr>
        <w:t xml:space="preserve"> (ihr werdet bedrängen).</w:t>
      </w:r>
    </w:p>
    <w:p w14:paraId="5717F05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Fremdenschutz: hypothetische Fremdenwohnung + Bedrückungsverbot.</w:t>
      </w:r>
    </w:p>
    <w:p w14:paraId="4C6D314C"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verbietet jede Bedrückung ansässiger Fremder im israelitischen Territorium.</w:t>
      </w:r>
    </w:p>
    <w:p w14:paraId="140900B6"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19,34</w:t>
      </w:r>
    </w:p>
    <w:p w14:paraId="386D004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כְּאֶזְרָ֣ח מִכֶּם֩ יִהְיֶ֨ה לָכֶ֜ם הַגֵּ֣ר׀ הַגָּ֣ר אִתְּכֶ֗ם וְאָהַבְתָּ֥ לוֹ֙ כָּמ֔וֹךָ כִּֽי־גֵרִ֥ים הֱיִיתֶ֖ם בְּאֶ֣רֶץ מִצְרָ֑יִם אֲנִ֖י יְהוָ֥ה אֱלֹהֵיכֶֽם׃</w:t>
      </w:r>
    </w:p>
    <w:p w14:paraId="48AFE26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lastRenderedPageBreak/>
        <w:t>Deutsch:</w:t>
      </w:r>
      <w:r w:rsidRPr="003F2847">
        <w:rPr>
          <w:rFonts w:eastAsia="Times New Roman" w:cs="Times New Roman"/>
          <w:lang w:eastAsia="de-DE"/>
        </w:rPr>
        <w:t xml:space="preserve"> Wie ein Einheimischer unter euch soll euch der Fremde sein, der bei euch weilt, und du sollst ihn lieben wie dich selbst; denn Fremde seid ihr gewesen im Land Mizrajim. Ich bin der Ewige, euer Gott.</w:t>
      </w:r>
    </w:p>
    <w:p w14:paraId="1E8C8D7D"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643B76BD">
          <v:rect id="_x0000_i1594" style="width:0;height:1.5pt" o:hralign="center" o:hrstd="t" o:hr="t" fillcolor="#a0a0a0" stroked="f"/>
        </w:pict>
      </w:r>
    </w:p>
    <w:p w14:paraId="111CBD9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כאזרח מכם יהיה לכם הגר הגר אתכם ואהבת לו כמוך כי־גרים הייתם בארץ מצרים אני יהוה אלהיכם</w:t>
      </w:r>
      <w:r w:rsidRPr="003F2847">
        <w:rPr>
          <w:rFonts w:eastAsia="Times New Roman" w:cs="Times New Roman"/>
          <w:rtl/>
          <w:lang w:eastAsia="de-DE"/>
        </w:rPr>
        <w:t xml:space="preserve"> </w:t>
      </w:r>
      <w:r w:rsidRPr="003F2847">
        <w:rPr>
          <w:rFonts w:eastAsia="Times New Roman" w:cs="Times New Roman"/>
          <w:lang w:eastAsia="de-DE"/>
        </w:rPr>
        <w:t xml:space="preserve">erweitert den Fremdenschutz zur Fremdenliebe. </w:t>
      </w:r>
      <w:r w:rsidRPr="003F2847">
        <w:rPr>
          <w:rFonts w:eastAsia="Times New Roman" w:cs="Times New Roman"/>
          <w:b/>
          <w:bCs/>
          <w:rtl/>
          <w:lang w:eastAsia="de-DE"/>
        </w:rPr>
        <w:t>כאזרח מכם יהיה לכם הגר הגר אתכם</w:t>
      </w:r>
      <w:r w:rsidRPr="003F2847">
        <w:rPr>
          <w:rFonts w:eastAsia="Times New Roman" w:cs="Times New Roman"/>
          <w:rtl/>
          <w:lang w:eastAsia="de-DE"/>
        </w:rPr>
        <w:t xml:space="preserve"> </w:t>
      </w:r>
      <w:r w:rsidRPr="003F2847">
        <w:rPr>
          <w:rFonts w:eastAsia="Times New Roman" w:cs="Times New Roman"/>
          <w:lang w:eastAsia="de-DE"/>
        </w:rPr>
        <w:t xml:space="preserve">(wie ein Einheimischer unter euch soll euch der Fremde sein, der bei euch weilt) - </w:t>
      </w:r>
      <w:r w:rsidRPr="003F2847">
        <w:rPr>
          <w:rFonts w:eastAsia="Times New Roman" w:cs="Times New Roman"/>
          <w:b/>
          <w:bCs/>
          <w:rtl/>
          <w:lang w:eastAsia="de-DE"/>
        </w:rPr>
        <w:t>כאזרח מכם</w:t>
      </w:r>
      <w:r w:rsidRPr="003F2847">
        <w:rPr>
          <w:rFonts w:eastAsia="Times New Roman" w:cs="Times New Roman"/>
          <w:rtl/>
          <w:lang w:eastAsia="de-DE"/>
        </w:rPr>
        <w:t xml:space="preserve"> </w:t>
      </w:r>
      <w:r w:rsidRPr="003F2847">
        <w:rPr>
          <w:rFonts w:eastAsia="Times New Roman" w:cs="Times New Roman"/>
          <w:lang w:eastAsia="de-DE"/>
        </w:rPr>
        <w:t xml:space="preserve">(wie ein Einheimischer unter euch) - </w:t>
      </w:r>
      <w:r w:rsidRPr="003F2847">
        <w:rPr>
          <w:rFonts w:eastAsia="Times New Roman" w:cs="Times New Roman"/>
          <w:b/>
          <w:bCs/>
          <w:rtl/>
          <w:lang w:eastAsia="de-DE"/>
        </w:rPr>
        <w:t>אזרח</w:t>
      </w:r>
      <w:r w:rsidRPr="003F2847">
        <w:rPr>
          <w:rFonts w:eastAsia="Times New Roman" w:cs="Times New Roman"/>
          <w:rtl/>
          <w:lang w:eastAsia="de-DE"/>
        </w:rPr>
        <w:t xml:space="preserve"> </w:t>
      </w:r>
      <w:r w:rsidRPr="003F2847">
        <w:rPr>
          <w:rFonts w:eastAsia="Times New Roman" w:cs="Times New Roman"/>
          <w:lang w:eastAsia="de-DE"/>
        </w:rPr>
        <w:t xml:space="preserve">(Einheimischer) im Gegensatz zu </w:t>
      </w:r>
      <w:r w:rsidRPr="003F2847">
        <w:rPr>
          <w:rFonts w:eastAsia="Times New Roman" w:cs="Times New Roman"/>
          <w:b/>
          <w:bCs/>
          <w:rtl/>
          <w:lang w:eastAsia="de-DE"/>
        </w:rPr>
        <w:t>גר</w:t>
      </w:r>
      <w:r w:rsidRPr="003F2847">
        <w:rPr>
          <w:rFonts w:eastAsia="Times New Roman" w:cs="Times New Roman"/>
          <w:lang w:eastAsia="de-DE"/>
        </w:rPr>
        <w:t xml:space="preserve">. </w:t>
      </w:r>
      <w:r w:rsidRPr="003F2847">
        <w:rPr>
          <w:rFonts w:eastAsia="Times New Roman" w:cs="Times New Roman"/>
          <w:b/>
          <w:bCs/>
          <w:rtl/>
          <w:lang w:eastAsia="de-DE"/>
        </w:rPr>
        <w:t>הגר הגר אתכם</w:t>
      </w:r>
      <w:r w:rsidRPr="003F2847">
        <w:rPr>
          <w:rFonts w:eastAsia="Times New Roman" w:cs="Times New Roman"/>
          <w:rtl/>
          <w:lang w:eastAsia="de-DE"/>
        </w:rPr>
        <w:t xml:space="preserve"> </w:t>
      </w:r>
      <w:r w:rsidRPr="003F2847">
        <w:rPr>
          <w:rFonts w:eastAsia="Times New Roman" w:cs="Times New Roman"/>
          <w:lang w:eastAsia="de-DE"/>
        </w:rPr>
        <w:t>(der Fremde, der bei euch weilt) mit Wiederholung betont die Ansässigkeit.</w:t>
      </w:r>
    </w:p>
    <w:p w14:paraId="16A31BA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ואהבת לו כמוך</w:t>
      </w:r>
      <w:r w:rsidRPr="003F2847">
        <w:rPr>
          <w:rFonts w:eastAsia="Times New Roman" w:cs="Times New Roman"/>
          <w:rtl/>
          <w:lang w:eastAsia="de-DE"/>
        </w:rPr>
        <w:t xml:space="preserve"> </w:t>
      </w:r>
      <w:r w:rsidRPr="003F2847">
        <w:rPr>
          <w:rFonts w:eastAsia="Times New Roman" w:cs="Times New Roman"/>
          <w:lang w:eastAsia="de-DE"/>
        </w:rPr>
        <w:t xml:space="preserve">(und du sollst ihn lieben wie dich selbst) - </w:t>
      </w:r>
      <w:r w:rsidRPr="003F2847">
        <w:rPr>
          <w:rFonts w:eastAsia="Times New Roman" w:cs="Times New Roman"/>
          <w:b/>
          <w:bCs/>
          <w:rtl/>
          <w:lang w:eastAsia="de-DE"/>
        </w:rPr>
        <w:t>ואהבת לו</w:t>
      </w:r>
      <w:r w:rsidRPr="003F2847">
        <w:rPr>
          <w:rFonts w:eastAsia="Times New Roman" w:cs="Times New Roman"/>
          <w:rtl/>
          <w:lang w:eastAsia="de-DE"/>
        </w:rPr>
        <w:t xml:space="preserve"> </w:t>
      </w:r>
      <w:r w:rsidRPr="003F2847">
        <w:rPr>
          <w:rFonts w:eastAsia="Times New Roman" w:cs="Times New Roman"/>
          <w:lang w:eastAsia="de-DE"/>
        </w:rPr>
        <w:t xml:space="preserve">(und du sollst ihn lieben) im Qal-Perfekt mit Waw-Konsekutiv entspricht V. 18. </w:t>
      </w:r>
      <w:r w:rsidRPr="003F2847">
        <w:rPr>
          <w:rFonts w:eastAsia="Times New Roman" w:cs="Times New Roman"/>
          <w:b/>
          <w:bCs/>
          <w:rtl/>
          <w:lang w:eastAsia="de-DE"/>
        </w:rPr>
        <w:t>כמוך</w:t>
      </w:r>
      <w:r w:rsidRPr="003F2847">
        <w:rPr>
          <w:rFonts w:eastAsia="Times New Roman" w:cs="Times New Roman"/>
          <w:rtl/>
          <w:lang w:eastAsia="de-DE"/>
        </w:rPr>
        <w:t xml:space="preserve"> </w:t>
      </w:r>
      <w:r w:rsidRPr="003F2847">
        <w:rPr>
          <w:rFonts w:eastAsia="Times New Roman" w:cs="Times New Roman"/>
          <w:lang w:eastAsia="de-DE"/>
        </w:rPr>
        <w:t>(wie dich selbst) zeigt dasselbe Maß wie bei der Nächstenliebe.</w:t>
      </w:r>
    </w:p>
    <w:p w14:paraId="0A67E96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כי־גרים הייתם בארץ מצרים אני יהוה אלהיכם</w:t>
      </w:r>
      <w:r w:rsidRPr="003F2847">
        <w:rPr>
          <w:rFonts w:eastAsia="Times New Roman" w:cs="Times New Roman"/>
          <w:rtl/>
          <w:lang w:eastAsia="de-DE"/>
        </w:rPr>
        <w:t xml:space="preserve"> </w:t>
      </w:r>
      <w:r w:rsidRPr="003F2847">
        <w:rPr>
          <w:rFonts w:eastAsia="Times New Roman" w:cs="Times New Roman"/>
          <w:lang w:eastAsia="de-DE"/>
        </w:rPr>
        <w:t xml:space="preserve">(denn Fremde seid ihr gewesen im Land Ägypten. Ich bin der Ewige, euer Gott) - </w:t>
      </w:r>
      <w:r w:rsidRPr="003F2847">
        <w:rPr>
          <w:rFonts w:eastAsia="Times New Roman" w:cs="Times New Roman"/>
          <w:b/>
          <w:bCs/>
          <w:rtl/>
          <w:lang w:eastAsia="de-DE"/>
        </w:rPr>
        <w:t>כי־גרים הייתם</w:t>
      </w:r>
      <w:r w:rsidRPr="003F2847">
        <w:rPr>
          <w:rFonts w:eastAsia="Times New Roman" w:cs="Times New Roman"/>
          <w:rtl/>
          <w:lang w:eastAsia="de-DE"/>
        </w:rPr>
        <w:t xml:space="preserve"> </w:t>
      </w:r>
      <w:r w:rsidRPr="003F2847">
        <w:rPr>
          <w:rFonts w:eastAsia="Times New Roman" w:cs="Times New Roman"/>
          <w:lang w:eastAsia="de-DE"/>
        </w:rPr>
        <w:t>(denn Fremde seid ihr gewesen) als historische Begründung durch eigene Fremderfahrung.</w:t>
      </w:r>
    </w:p>
    <w:p w14:paraId="4F71B5D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כאזרח מכם</w:t>
      </w:r>
      <w:r w:rsidRPr="003F2847">
        <w:rPr>
          <w:rFonts w:eastAsia="Times New Roman" w:cs="Times New Roman"/>
          <w:rtl/>
          <w:lang w:eastAsia="de-DE"/>
        </w:rPr>
        <w:t xml:space="preserve"> </w:t>
      </w:r>
      <w:r w:rsidRPr="003F2847">
        <w:rPr>
          <w:rFonts w:eastAsia="Times New Roman" w:cs="Times New Roman"/>
          <w:lang w:eastAsia="de-DE"/>
        </w:rPr>
        <w:t xml:space="preserve">zeigt Gleichberechtigung. </w:t>
      </w:r>
      <w:r w:rsidRPr="003F2847">
        <w:rPr>
          <w:rFonts w:eastAsia="Times New Roman" w:cs="Times New Roman"/>
          <w:b/>
          <w:bCs/>
          <w:rtl/>
          <w:lang w:eastAsia="de-DE"/>
        </w:rPr>
        <w:t>ואהבת לו כמוך</w:t>
      </w:r>
      <w:r w:rsidRPr="003F2847">
        <w:rPr>
          <w:rFonts w:eastAsia="Times New Roman" w:cs="Times New Roman"/>
          <w:rtl/>
          <w:lang w:eastAsia="de-DE"/>
        </w:rPr>
        <w:t xml:space="preserve"> </w:t>
      </w:r>
      <w:r w:rsidRPr="003F2847">
        <w:rPr>
          <w:rFonts w:eastAsia="Times New Roman" w:cs="Times New Roman"/>
          <w:lang w:eastAsia="de-DE"/>
        </w:rPr>
        <w:t xml:space="preserve">erweitert die Nächstenliebe aus V. 18 auf Fremde. </w:t>
      </w:r>
      <w:r w:rsidRPr="003F2847">
        <w:rPr>
          <w:rFonts w:eastAsia="Times New Roman" w:cs="Times New Roman"/>
          <w:b/>
          <w:bCs/>
          <w:rtl/>
          <w:lang w:eastAsia="de-DE"/>
        </w:rPr>
        <w:t>גרים הייתם בארץ מצרים</w:t>
      </w:r>
      <w:r w:rsidRPr="003F2847">
        <w:rPr>
          <w:rFonts w:eastAsia="Times New Roman" w:cs="Times New Roman"/>
          <w:rtl/>
          <w:lang w:eastAsia="de-DE"/>
        </w:rPr>
        <w:t xml:space="preserve"> </w:t>
      </w:r>
      <w:r w:rsidRPr="003F2847">
        <w:rPr>
          <w:rFonts w:eastAsia="Times New Roman" w:cs="Times New Roman"/>
          <w:lang w:eastAsia="de-DE"/>
        </w:rPr>
        <w:t>als empathische Begründung durch eigene Erfahrung.</w:t>
      </w:r>
    </w:p>
    <w:p w14:paraId="5859AD08" w14:textId="4B3DF100"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betont die universelle Anwendung der Nächstenliebe auf Proselyten: καὶ </w:t>
      </w:r>
      <w:proofErr w:type="spellStart"/>
      <w:r w:rsidR="004F25E8">
        <w:t>ἀγ</w:t>
      </w:r>
      <w:proofErr w:type="spellEnd"/>
      <w:r w:rsidR="004F25E8">
        <w:t>απήσεις α</w:t>
      </w:r>
      <w:proofErr w:type="spellStart"/>
      <w:r w:rsidR="004F25E8">
        <w:t>ὐτὸν</w:t>
      </w:r>
      <w:proofErr w:type="spellEnd"/>
      <w:r w:rsidR="004F25E8">
        <w:t xml:space="preserve"> </w:t>
      </w:r>
      <w:proofErr w:type="spellStart"/>
      <w:r w:rsidR="004F25E8">
        <w:t>ὡς</w:t>
      </w:r>
      <w:proofErr w:type="spellEnd"/>
      <w:r w:rsidR="004F25E8">
        <w:t xml:space="preserve"> </w:t>
      </w:r>
      <w:proofErr w:type="spellStart"/>
      <w:r w:rsidR="004F25E8">
        <w:t>σε</w:t>
      </w:r>
      <w:proofErr w:type="spellEnd"/>
      <w:r w:rsidR="004F25E8">
        <w:t>αυτόν.</w:t>
      </w:r>
    </w:p>
    <w:p w14:paraId="034FE10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Fremdenliebe: Gleichberechtigungsforderung + Liebesgebot nach Selbstliebe-Maßstab + historische Begründung durch eigene Fremderfahrung + göttliche Autorität.</w:t>
      </w:r>
    </w:p>
    <w:p w14:paraId="2A788A35"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erweitert die Nächstenliebe auf Fremde und begründet sie durch Israels eigene Fremderfahrung in Ägypten.</w:t>
      </w:r>
    </w:p>
    <w:p w14:paraId="6D5AE3BA"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19,35</w:t>
      </w:r>
    </w:p>
    <w:p w14:paraId="52DF4A8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לֹא־תַעֲשׂ֥וּ עָ֖וֶל בַּמִּשְׁפָּ֑ט בַּמִּדָּ֕ה בַּמִּשְׁקָ֖ל וּבַמְּשׂוּרָֽה׃</w:t>
      </w:r>
    </w:p>
    <w:p w14:paraId="5B3C30A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Ihr sollt nicht Unrecht tun im Gericht, im Längenmaß, im Gewicht und im Hohlmaß.</w:t>
      </w:r>
    </w:p>
    <w:p w14:paraId="2F247028"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58471750">
          <v:rect id="_x0000_i1595" style="width:0;height:1.5pt" o:hralign="center" o:hrstd="t" o:hr="t" fillcolor="#a0a0a0" stroked="f"/>
        </w:pict>
      </w:r>
    </w:p>
    <w:p w14:paraId="23EF8C6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לא־תעשו עול במשפט במדה במשקל ובמשורה</w:t>
      </w:r>
      <w:r w:rsidRPr="003F2847">
        <w:rPr>
          <w:rFonts w:eastAsia="Times New Roman" w:cs="Times New Roman"/>
          <w:rtl/>
          <w:lang w:eastAsia="de-DE"/>
        </w:rPr>
        <w:t xml:space="preserve"> </w:t>
      </w:r>
      <w:r w:rsidRPr="003F2847">
        <w:rPr>
          <w:rFonts w:eastAsia="Times New Roman" w:cs="Times New Roman"/>
          <w:lang w:eastAsia="de-DE"/>
        </w:rPr>
        <w:t xml:space="preserve">verbietet Unehrlichkeit in Rechtsprechung und Handel. </w:t>
      </w:r>
      <w:r w:rsidRPr="003F2847">
        <w:rPr>
          <w:rFonts w:eastAsia="Times New Roman" w:cs="Times New Roman"/>
          <w:b/>
          <w:bCs/>
          <w:rtl/>
          <w:lang w:eastAsia="de-DE"/>
        </w:rPr>
        <w:t>לא־תעשו עול במשפט</w:t>
      </w:r>
      <w:r w:rsidRPr="003F2847">
        <w:rPr>
          <w:rFonts w:eastAsia="Times New Roman" w:cs="Times New Roman"/>
          <w:rtl/>
          <w:lang w:eastAsia="de-DE"/>
        </w:rPr>
        <w:t xml:space="preserve"> </w:t>
      </w:r>
      <w:r w:rsidRPr="003F2847">
        <w:rPr>
          <w:rFonts w:eastAsia="Times New Roman" w:cs="Times New Roman"/>
          <w:lang w:eastAsia="de-DE"/>
        </w:rPr>
        <w:t xml:space="preserve">(ihr sollt nicht Unrecht tun im Gericht) entspricht V. 15. </w:t>
      </w:r>
      <w:r w:rsidRPr="003F2847">
        <w:rPr>
          <w:rFonts w:eastAsia="Times New Roman" w:cs="Times New Roman"/>
          <w:b/>
          <w:bCs/>
          <w:rtl/>
          <w:lang w:eastAsia="de-DE"/>
        </w:rPr>
        <w:t>במדה במשקל ובמשורה</w:t>
      </w:r>
      <w:r w:rsidRPr="003F2847">
        <w:rPr>
          <w:rFonts w:eastAsia="Times New Roman" w:cs="Times New Roman"/>
          <w:rtl/>
          <w:lang w:eastAsia="de-DE"/>
        </w:rPr>
        <w:t xml:space="preserve"> </w:t>
      </w:r>
      <w:r w:rsidRPr="003F2847">
        <w:rPr>
          <w:rFonts w:eastAsia="Times New Roman" w:cs="Times New Roman"/>
          <w:lang w:eastAsia="de-DE"/>
        </w:rPr>
        <w:t xml:space="preserve">(im Längenmaß, im Gewicht und im Hohlmaß) - </w:t>
      </w:r>
      <w:r w:rsidRPr="003F2847">
        <w:rPr>
          <w:rFonts w:eastAsia="Times New Roman" w:cs="Times New Roman"/>
          <w:b/>
          <w:bCs/>
          <w:rtl/>
          <w:lang w:eastAsia="de-DE"/>
        </w:rPr>
        <w:t>במדה</w:t>
      </w:r>
      <w:r w:rsidRPr="003F2847">
        <w:rPr>
          <w:rFonts w:eastAsia="Times New Roman" w:cs="Times New Roman"/>
          <w:rtl/>
          <w:lang w:eastAsia="de-DE"/>
        </w:rPr>
        <w:t xml:space="preserve"> </w:t>
      </w:r>
      <w:r w:rsidRPr="003F2847">
        <w:rPr>
          <w:rFonts w:eastAsia="Times New Roman" w:cs="Times New Roman"/>
          <w:lang w:eastAsia="de-DE"/>
        </w:rPr>
        <w:t xml:space="preserve">(im Längenmaß) für Längen, </w:t>
      </w:r>
      <w:r w:rsidRPr="003F2847">
        <w:rPr>
          <w:rFonts w:eastAsia="Times New Roman" w:cs="Times New Roman"/>
          <w:b/>
          <w:bCs/>
          <w:rtl/>
          <w:lang w:eastAsia="de-DE"/>
        </w:rPr>
        <w:t>במשקל</w:t>
      </w:r>
      <w:r w:rsidRPr="003F2847">
        <w:rPr>
          <w:rFonts w:eastAsia="Times New Roman" w:cs="Times New Roman"/>
          <w:rtl/>
          <w:lang w:eastAsia="de-DE"/>
        </w:rPr>
        <w:t xml:space="preserve"> </w:t>
      </w:r>
      <w:r w:rsidRPr="003F2847">
        <w:rPr>
          <w:rFonts w:eastAsia="Times New Roman" w:cs="Times New Roman"/>
          <w:lang w:eastAsia="de-DE"/>
        </w:rPr>
        <w:t xml:space="preserve">(im Gewicht) für Gewichte, </w:t>
      </w:r>
      <w:r w:rsidRPr="003F2847">
        <w:rPr>
          <w:rFonts w:eastAsia="Times New Roman" w:cs="Times New Roman"/>
          <w:b/>
          <w:bCs/>
          <w:rtl/>
          <w:lang w:eastAsia="de-DE"/>
        </w:rPr>
        <w:t>ובמשורה</w:t>
      </w:r>
      <w:r w:rsidRPr="003F2847">
        <w:rPr>
          <w:rFonts w:eastAsia="Times New Roman" w:cs="Times New Roman"/>
          <w:rtl/>
          <w:lang w:eastAsia="de-DE"/>
        </w:rPr>
        <w:t xml:space="preserve"> </w:t>
      </w:r>
      <w:r w:rsidRPr="003F2847">
        <w:rPr>
          <w:rFonts w:eastAsia="Times New Roman" w:cs="Times New Roman"/>
          <w:lang w:eastAsia="de-DE"/>
        </w:rPr>
        <w:t>(und im Hohlmaß) für Volumina.</w:t>
      </w:r>
    </w:p>
    <w:p w14:paraId="37EAAF3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lastRenderedPageBreak/>
        <w:t xml:space="preserve">Die vier Bereiche </w:t>
      </w:r>
      <w:r w:rsidRPr="003F2847">
        <w:rPr>
          <w:rFonts w:eastAsia="Times New Roman" w:cs="Times New Roman"/>
          <w:b/>
          <w:bCs/>
          <w:rtl/>
          <w:lang w:eastAsia="de-DE"/>
        </w:rPr>
        <w:t>משפט</w:t>
      </w:r>
      <w:r w:rsidRPr="003F2847">
        <w:rPr>
          <w:rFonts w:eastAsia="Times New Roman" w:cs="Times New Roman"/>
          <w:rtl/>
          <w:lang w:eastAsia="de-DE"/>
        </w:rPr>
        <w:t xml:space="preserve"> </w:t>
      </w:r>
      <w:r w:rsidRPr="003F2847">
        <w:rPr>
          <w:rFonts w:eastAsia="Times New Roman" w:cs="Times New Roman"/>
          <w:lang w:eastAsia="de-DE"/>
        </w:rPr>
        <w:t xml:space="preserve">(Gericht), </w:t>
      </w:r>
      <w:r w:rsidRPr="003F2847">
        <w:rPr>
          <w:rFonts w:eastAsia="Times New Roman" w:cs="Times New Roman"/>
          <w:b/>
          <w:bCs/>
          <w:rtl/>
          <w:lang w:eastAsia="de-DE"/>
        </w:rPr>
        <w:t>מדה</w:t>
      </w:r>
      <w:r w:rsidRPr="003F2847">
        <w:rPr>
          <w:rFonts w:eastAsia="Times New Roman" w:cs="Times New Roman"/>
          <w:rtl/>
          <w:lang w:eastAsia="de-DE"/>
        </w:rPr>
        <w:t xml:space="preserve"> </w:t>
      </w:r>
      <w:r w:rsidRPr="003F2847">
        <w:rPr>
          <w:rFonts w:eastAsia="Times New Roman" w:cs="Times New Roman"/>
          <w:lang w:eastAsia="de-DE"/>
        </w:rPr>
        <w:t xml:space="preserve">(Längenmaß), </w:t>
      </w:r>
      <w:r w:rsidRPr="003F2847">
        <w:rPr>
          <w:rFonts w:eastAsia="Times New Roman" w:cs="Times New Roman"/>
          <w:b/>
          <w:bCs/>
          <w:rtl/>
          <w:lang w:eastAsia="de-DE"/>
        </w:rPr>
        <w:t>משקל</w:t>
      </w:r>
      <w:r w:rsidRPr="003F2847">
        <w:rPr>
          <w:rFonts w:eastAsia="Times New Roman" w:cs="Times New Roman"/>
          <w:rtl/>
          <w:lang w:eastAsia="de-DE"/>
        </w:rPr>
        <w:t xml:space="preserve"> </w:t>
      </w:r>
      <w:r w:rsidRPr="003F2847">
        <w:rPr>
          <w:rFonts w:eastAsia="Times New Roman" w:cs="Times New Roman"/>
          <w:lang w:eastAsia="de-DE"/>
        </w:rPr>
        <w:t xml:space="preserve">(Gewicht), </w:t>
      </w:r>
      <w:r w:rsidRPr="003F2847">
        <w:rPr>
          <w:rFonts w:eastAsia="Times New Roman" w:cs="Times New Roman"/>
          <w:b/>
          <w:bCs/>
          <w:rtl/>
          <w:lang w:eastAsia="de-DE"/>
        </w:rPr>
        <w:t>משורה</w:t>
      </w:r>
      <w:r w:rsidRPr="003F2847">
        <w:rPr>
          <w:rFonts w:eastAsia="Times New Roman" w:cs="Times New Roman"/>
          <w:rtl/>
          <w:lang w:eastAsia="de-DE"/>
        </w:rPr>
        <w:t xml:space="preserve"> </w:t>
      </w:r>
      <w:r w:rsidRPr="003F2847">
        <w:rPr>
          <w:rFonts w:eastAsia="Times New Roman" w:cs="Times New Roman"/>
          <w:lang w:eastAsia="de-DE"/>
        </w:rPr>
        <w:t>(Hohlmaß) umfassen Rechtsprechung und alle Handelsmaße.</w:t>
      </w:r>
    </w:p>
    <w:p w14:paraId="4150188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עול</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ἄδικον</w:t>
      </w:r>
      <w:proofErr w:type="spellEnd"/>
      <w:r w:rsidRPr="003F2847">
        <w:rPr>
          <w:rFonts w:eastAsia="Times New Roman" w:cs="Times New Roman"/>
          <w:lang w:eastAsia="de-DE"/>
        </w:rPr>
        <w:t xml:space="preserve"> (Unrecht), </w:t>
      </w:r>
      <w:r w:rsidRPr="003F2847">
        <w:rPr>
          <w:rFonts w:eastAsia="Times New Roman" w:cs="Times New Roman"/>
          <w:b/>
          <w:bCs/>
          <w:rtl/>
          <w:lang w:eastAsia="de-DE"/>
        </w:rPr>
        <w:t>במדה</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ἐν</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μέτρῳ</w:t>
      </w:r>
      <w:proofErr w:type="spellEnd"/>
      <w:r w:rsidRPr="003F2847">
        <w:rPr>
          <w:rFonts w:eastAsia="Times New Roman" w:cs="Times New Roman"/>
          <w:lang w:eastAsia="de-DE"/>
        </w:rPr>
        <w:t xml:space="preserve"> (im Maß), </w:t>
      </w:r>
      <w:r w:rsidRPr="003F2847">
        <w:rPr>
          <w:rFonts w:eastAsia="Times New Roman" w:cs="Times New Roman"/>
          <w:b/>
          <w:bCs/>
          <w:rtl/>
          <w:lang w:eastAsia="de-DE"/>
        </w:rPr>
        <w:t>במשקל</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ἐν</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στ</w:t>
      </w:r>
      <w:proofErr w:type="spellEnd"/>
      <w:r w:rsidRPr="003F2847">
        <w:rPr>
          <w:rFonts w:eastAsia="Times New Roman" w:cs="Times New Roman"/>
          <w:lang w:eastAsia="de-DE"/>
        </w:rPr>
        <w:t xml:space="preserve">αθμῷ (im Gewicht) und </w:t>
      </w:r>
      <w:r w:rsidRPr="003F2847">
        <w:rPr>
          <w:rFonts w:eastAsia="Times New Roman" w:cs="Times New Roman"/>
          <w:b/>
          <w:bCs/>
          <w:rtl/>
          <w:lang w:eastAsia="de-DE"/>
        </w:rPr>
        <w:t>במשורה</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ἐν</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χοῖνιξ</w:t>
      </w:r>
      <w:proofErr w:type="spellEnd"/>
      <w:r w:rsidRPr="003F2847">
        <w:rPr>
          <w:rFonts w:eastAsia="Times New Roman" w:cs="Times New Roman"/>
          <w:lang w:eastAsia="de-DE"/>
        </w:rPr>
        <w:t xml:space="preserve"> (im Hohlmaß).</w:t>
      </w:r>
    </w:p>
    <w:p w14:paraId="38CB086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umfassendes Ehrlichkeitsgebot: Unrechtsverbot in Rechtsprechung und allen Handelsmaßen.</w:t>
      </w:r>
    </w:p>
    <w:p w14:paraId="600E4B2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fordert absolute Ehrlichkeit in Rechtsprechung und allen Formen des Handels.</w:t>
      </w:r>
    </w:p>
    <w:p w14:paraId="1F6715E7"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19,36</w:t>
      </w:r>
    </w:p>
    <w:p w14:paraId="50C011DD"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מֹ֧אזְנֵי צֶ֣דֶק אַבְנֵי־צֶ֗דֶק אֵ֥יפַת צֶ֛דֶק וְהִ֥ין צֶ֖דֶק יִהְיֶ֣ה לָכֶ֑ם אֲנִי֙ יְהוָ֣ה אֱלֹֽהֵיכֶ֔ם אֲשֶׁר־הוֹצֵ֥אתִי אֶתְכֶ֖ם מֵאֶ֥רֶץ מִצְרָֽיִם׃</w:t>
      </w:r>
    </w:p>
    <w:p w14:paraId="737A280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Gerechte Waage, gerechte Gewichtsteine, gerechtes Epha und gerechtes Hin sollt ihr haben. Ich bin der Ewige, euer Gott, der ich euch aus dem Land Mizrajim herausgeführt habe.</w:t>
      </w:r>
    </w:p>
    <w:p w14:paraId="305F2941"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3A562C0F">
          <v:rect id="_x0000_i1596" style="width:0;height:1.5pt" o:hralign="center" o:hrstd="t" o:hr="t" fillcolor="#a0a0a0" stroked="f"/>
        </w:pict>
      </w:r>
    </w:p>
    <w:p w14:paraId="4DBE74C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מאזני צדק אבני־צדק איפת צדק והין צדק יהיה לכם אני יהוה אלהיכם אשר־הוצאתי אתכם מארץ מצרים</w:t>
      </w:r>
      <w:r w:rsidRPr="003F2847">
        <w:rPr>
          <w:rFonts w:eastAsia="Times New Roman" w:cs="Times New Roman"/>
          <w:rtl/>
          <w:lang w:eastAsia="de-DE"/>
        </w:rPr>
        <w:t xml:space="preserve"> </w:t>
      </w:r>
      <w:r w:rsidRPr="003F2847">
        <w:rPr>
          <w:rFonts w:eastAsia="Times New Roman" w:cs="Times New Roman"/>
          <w:lang w:eastAsia="de-DE"/>
        </w:rPr>
        <w:t xml:space="preserve">konkretisiert die Ehrlichkeitsforderung. </w:t>
      </w:r>
      <w:r w:rsidRPr="003F2847">
        <w:rPr>
          <w:rFonts w:eastAsia="Times New Roman" w:cs="Times New Roman"/>
          <w:b/>
          <w:bCs/>
          <w:rtl/>
          <w:lang w:eastAsia="de-DE"/>
        </w:rPr>
        <w:t>מאזני צדק אבני־צדק איפת צדק והין צדק יהיה לכם</w:t>
      </w:r>
      <w:r w:rsidRPr="003F2847">
        <w:rPr>
          <w:rFonts w:eastAsia="Times New Roman" w:cs="Times New Roman"/>
          <w:rtl/>
          <w:lang w:eastAsia="de-DE"/>
        </w:rPr>
        <w:t xml:space="preserve"> </w:t>
      </w:r>
      <w:r w:rsidRPr="003F2847">
        <w:rPr>
          <w:rFonts w:eastAsia="Times New Roman" w:cs="Times New Roman"/>
          <w:lang w:eastAsia="de-DE"/>
        </w:rPr>
        <w:t xml:space="preserve">(gerechte Waage, gerechte Gewichtsteine, gerechtes Epha und gerechtes Hin sollt ihr haben) - </w:t>
      </w:r>
      <w:r w:rsidRPr="003F2847">
        <w:rPr>
          <w:rFonts w:eastAsia="Times New Roman" w:cs="Times New Roman"/>
          <w:b/>
          <w:bCs/>
          <w:rtl/>
          <w:lang w:eastAsia="de-DE"/>
        </w:rPr>
        <w:t>צדק</w:t>
      </w:r>
      <w:r w:rsidRPr="003F2847">
        <w:rPr>
          <w:rFonts w:eastAsia="Times New Roman" w:cs="Times New Roman"/>
          <w:rtl/>
          <w:lang w:eastAsia="de-DE"/>
        </w:rPr>
        <w:t xml:space="preserve"> </w:t>
      </w:r>
      <w:r w:rsidRPr="003F2847">
        <w:rPr>
          <w:rFonts w:eastAsia="Times New Roman" w:cs="Times New Roman"/>
          <w:lang w:eastAsia="de-DE"/>
        </w:rPr>
        <w:t xml:space="preserve">(Gerechtigkeit) wird fünfmal wiederholt. </w:t>
      </w:r>
      <w:r w:rsidRPr="003F2847">
        <w:rPr>
          <w:rFonts w:eastAsia="Times New Roman" w:cs="Times New Roman"/>
          <w:b/>
          <w:bCs/>
          <w:rtl/>
          <w:lang w:eastAsia="de-DE"/>
        </w:rPr>
        <w:t>מאזני</w:t>
      </w:r>
      <w:r w:rsidRPr="003F2847">
        <w:rPr>
          <w:rFonts w:eastAsia="Times New Roman" w:cs="Times New Roman"/>
          <w:rtl/>
          <w:lang w:eastAsia="de-DE"/>
        </w:rPr>
        <w:t xml:space="preserve"> </w:t>
      </w:r>
      <w:r w:rsidRPr="003F2847">
        <w:rPr>
          <w:rFonts w:eastAsia="Times New Roman" w:cs="Times New Roman"/>
          <w:lang w:eastAsia="de-DE"/>
        </w:rPr>
        <w:t xml:space="preserve">(Waagen), </w:t>
      </w:r>
      <w:r w:rsidRPr="003F2847">
        <w:rPr>
          <w:rFonts w:eastAsia="Times New Roman" w:cs="Times New Roman"/>
          <w:b/>
          <w:bCs/>
          <w:rtl/>
          <w:lang w:eastAsia="de-DE"/>
        </w:rPr>
        <w:t>אבני</w:t>
      </w:r>
      <w:r w:rsidRPr="003F2847">
        <w:rPr>
          <w:rFonts w:eastAsia="Times New Roman" w:cs="Times New Roman"/>
          <w:rtl/>
          <w:lang w:eastAsia="de-DE"/>
        </w:rPr>
        <w:t xml:space="preserve"> </w:t>
      </w:r>
      <w:r w:rsidRPr="003F2847">
        <w:rPr>
          <w:rFonts w:eastAsia="Times New Roman" w:cs="Times New Roman"/>
          <w:lang w:eastAsia="de-DE"/>
        </w:rPr>
        <w:t xml:space="preserve">(Gewichtsteine), </w:t>
      </w:r>
      <w:r w:rsidRPr="003F2847">
        <w:rPr>
          <w:rFonts w:eastAsia="Times New Roman" w:cs="Times New Roman"/>
          <w:b/>
          <w:bCs/>
          <w:rtl/>
          <w:lang w:eastAsia="de-DE"/>
        </w:rPr>
        <w:t>איפת</w:t>
      </w:r>
      <w:r w:rsidRPr="003F2847">
        <w:rPr>
          <w:rFonts w:eastAsia="Times New Roman" w:cs="Times New Roman"/>
          <w:rtl/>
          <w:lang w:eastAsia="de-DE"/>
        </w:rPr>
        <w:t xml:space="preserve"> </w:t>
      </w:r>
      <w:r w:rsidRPr="003F2847">
        <w:rPr>
          <w:rFonts w:eastAsia="Times New Roman" w:cs="Times New Roman"/>
          <w:lang w:eastAsia="de-DE"/>
        </w:rPr>
        <w:t xml:space="preserve">(Epha) als Trockenmaß, </w:t>
      </w:r>
      <w:r w:rsidRPr="003F2847">
        <w:rPr>
          <w:rFonts w:eastAsia="Times New Roman" w:cs="Times New Roman"/>
          <w:b/>
          <w:bCs/>
          <w:rtl/>
          <w:lang w:eastAsia="de-DE"/>
        </w:rPr>
        <w:t>הין</w:t>
      </w:r>
      <w:r w:rsidRPr="003F2847">
        <w:rPr>
          <w:rFonts w:eastAsia="Times New Roman" w:cs="Times New Roman"/>
          <w:rtl/>
          <w:lang w:eastAsia="de-DE"/>
        </w:rPr>
        <w:t xml:space="preserve"> </w:t>
      </w:r>
      <w:r w:rsidRPr="003F2847">
        <w:rPr>
          <w:rFonts w:eastAsia="Times New Roman" w:cs="Times New Roman"/>
          <w:lang w:eastAsia="de-DE"/>
        </w:rPr>
        <w:t>(Hin) als Flüssigkeitsmaß.</w:t>
      </w:r>
    </w:p>
    <w:p w14:paraId="1E940D0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אני יהוה אלהיכם אשר־הוצאתי אתכם מארץ מצרים</w:t>
      </w:r>
      <w:r w:rsidRPr="003F2847">
        <w:rPr>
          <w:rFonts w:eastAsia="Times New Roman" w:cs="Times New Roman"/>
          <w:rtl/>
          <w:lang w:eastAsia="de-DE"/>
        </w:rPr>
        <w:t xml:space="preserve"> </w:t>
      </w:r>
      <w:r w:rsidRPr="003F2847">
        <w:rPr>
          <w:rFonts w:eastAsia="Times New Roman" w:cs="Times New Roman"/>
          <w:lang w:eastAsia="de-DE"/>
        </w:rPr>
        <w:t xml:space="preserve">(ich bin der Ewige, euer Gott, der ich euch aus dem Land Ägypten herausgeführt habe) - </w:t>
      </w:r>
      <w:r w:rsidRPr="003F2847">
        <w:rPr>
          <w:rFonts w:eastAsia="Times New Roman" w:cs="Times New Roman"/>
          <w:b/>
          <w:bCs/>
          <w:rtl/>
          <w:lang w:eastAsia="de-DE"/>
        </w:rPr>
        <w:t>אשר־הוצאתי</w:t>
      </w:r>
      <w:r w:rsidRPr="003F2847">
        <w:rPr>
          <w:rFonts w:eastAsia="Times New Roman" w:cs="Times New Roman"/>
          <w:rtl/>
          <w:lang w:eastAsia="de-DE"/>
        </w:rPr>
        <w:t xml:space="preserve"> </w:t>
      </w:r>
      <w:r w:rsidRPr="003F2847">
        <w:rPr>
          <w:rFonts w:eastAsia="Times New Roman" w:cs="Times New Roman"/>
          <w:lang w:eastAsia="de-DE"/>
        </w:rPr>
        <w:t>(der ich herausgeführt habe) im Hifil-Perfekt, das Hifil zeigt kausatives Herausführen. Die Exodus-Erinnerung begründet die Verpflichtung.</w:t>
      </w:r>
    </w:p>
    <w:p w14:paraId="30C3B71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צדק</w:t>
      </w:r>
      <w:r w:rsidRPr="003F2847">
        <w:rPr>
          <w:rFonts w:eastAsia="Times New Roman" w:cs="Times New Roman"/>
          <w:rtl/>
          <w:lang w:eastAsia="de-DE"/>
        </w:rPr>
        <w:t xml:space="preserve"> </w:t>
      </w:r>
      <w:r w:rsidRPr="003F2847">
        <w:rPr>
          <w:rFonts w:eastAsia="Times New Roman" w:cs="Times New Roman"/>
          <w:lang w:eastAsia="de-DE"/>
        </w:rPr>
        <w:t xml:space="preserve">fünfmal wiederholt betont absolute Gerechtigkeit. </w:t>
      </w:r>
      <w:r w:rsidRPr="003F2847">
        <w:rPr>
          <w:rFonts w:eastAsia="Times New Roman" w:cs="Times New Roman"/>
          <w:b/>
          <w:bCs/>
          <w:rtl/>
          <w:lang w:eastAsia="de-DE"/>
        </w:rPr>
        <w:t>מאזני, אבני, איפת, הין</w:t>
      </w:r>
      <w:r w:rsidRPr="003F2847">
        <w:rPr>
          <w:rFonts w:eastAsia="Times New Roman" w:cs="Times New Roman"/>
          <w:rtl/>
          <w:lang w:eastAsia="de-DE"/>
        </w:rPr>
        <w:t xml:space="preserve"> </w:t>
      </w:r>
      <w:r w:rsidRPr="003F2847">
        <w:rPr>
          <w:rFonts w:eastAsia="Times New Roman" w:cs="Times New Roman"/>
          <w:lang w:eastAsia="de-DE"/>
        </w:rPr>
        <w:t xml:space="preserve">umfassen alle Messgeräte. </w:t>
      </w:r>
      <w:r w:rsidRPr="003F2847">
        <w:rPr>
          <w:rFonts w:eastAsia="Times New Roman" w:cs="Times New Roman"/>
          <w:b/>
          <w:bCs/>
          <w:rtl/>
          <w:lang w:eastAsia="de-DE"/>
        </w:rPr>
        <w:t>אשר־הוצאתי אתכם מארץ מצרים</w:t>
      </w:r>
      <w:r w:rsidRPr="003F2847">
        <w:rPr>
          <w:rFonts w:eastAsia="Times New Roman" w:cs="Times New Roman"/>
          <w:rtl/>
          <w:lang w:eastAsia="de-DE"/>
        </w:rPr>
        <w:t xml:space="preserve"> </w:t>
      </w:r>
      <w:r w:rsidRPr="003F2847">
        <w:rPr>
          <w:rFonts w:eastAsia="Times New Roman" w:cs="Times New Roman"/>
          <w:lang w:eastAsia="de-DE"/>
        </w:rPr>
        <w:t>zeigt den Exodus als Verpflichtungsgrund.</w:t>
      </w:r>
    </w:p>
    <w:p w14:paraId="5F54552F" w14:textId="5B5A7B6C"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spezifiziert die Maße: </w:t>
      </w:r>
      <w:r w:rsidR="004F25E8">
        <w:rPr>
          <w:rtl/>
        </w:rPr>
        <w:t>איפה</w:t>
      </w:r>
      <w:r w:rsidR="004F25E8">
        <w:t xml:space="preserve"> (</w:t>
      </w:r>
      <w:r w:rsidR="00D86F49">
        <w:t>Epha</w:t>
      </w:r>
      <w:r w:rsidR="004F25E8">
        <w:t xml:space="preserve">) als </w:t>
      </w:r>
      <w:proofErr w:type="spellStart"/>
      <w:r w:rsidR="004F25E8">
        <w:t>χοῦς</w:t>
      </w:r>
      <w:proofErr w:type="spellEnd"/>
      <w:r w:rsidR="004F25E8">
        <w:t xml:space="preserve"> (Scheffel) und </w:t>
      </w:r>
      <w:r w:rsidR="004F25E8">
        <w:rPr>
          <w:rtl/>
        </w:rPr>
        <w:t>הין</w:t>
      </w:r>
      <w:r w:rsidR="004F25E8">
        <w:t xml:space="preserve"> (hin) wird nicht übersetzt, sondern durch </w:t>
      </w:r>
      <w:proofErr w:type="spellStart"/>
      <w:r w:rsidR="004F25E8">
        <w:t>στάθμι</w:t>
      </w:r>
      <w:proofErr w:type="spellEnd"/>
      <w:r w:rsidR="004F25E8">
        <w:t xml:space="preserve">α (Gewichte) und </w:t>
      </w:r>
      <w:proofErr w:type="spellStart"/>
      <w:r w:rsidR="004F25E8">
        <w:t>ζυγά</w:t>
      </w:r>
      <w:proofErr w:type="spellEnd"/>
      <w:r w:rsidR="004F25E8">
        <w:t xml:space="preserve"> (Waagen) ergänzt.</w:t>
      </w:r>
    </w:p>
    <w:p w14:paraId="4154C5C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Gerechtigkeitskonkretisierung: fünfmalige </w:t>
      </w:r>
      <w:r w:rsidRPr="003F2847">
        <w:rPr>
          <w:rFonts w:eastAsia="Times New Roman" w:cs="Times New Roman"/>
          <w:b/>
          <w:bCs/>
          <w:rtl/>
          <w:lang w:eastAsia="de-DE"/>
        </w:rPr>
        <w:t>צדק</w:t>
      </w:r>
      <w:r w:rsidRPr="003F2847">
        <w:rPr>
          <w:rFonts w:eastAsia="Times New Roman" w:cs="Times New Roman"/>
          <w:lang w:eastAsia="de-DE"/>
        </w:rPr>
        <w:t>-Wiederholung bei allen Messgeräten + göttliche Autorität + Exodus-Verpflichtung.</w:t>
      </w:r>
    </w:p>
    <w:p w14:paraId="6C33B3F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 xml:space="preserve">Dieser Vers konkretisiert die Handelsgerechtigkeit durch fünfmalige </w:t>
      </w:r>
      <w:r w:rsidRPr="003F2847">
        <w:rPr>
          <w:rFonts w:eastAsia="Times New Roman" w:cs="Times New Roman"/>
          <w:b/>
          <w:bCs/>
          <w:rtl/>
          <w:lang w:eastAsia="de-DE"/>
        </w:rPr>
        <w:t>צדק</w:t>
      </w:r>
      <w:r w:rsidRPr="003F2847">
        <w:rPr>
          <w:rFonts w:eastAsia="Times New Roman" w:cs="Times New Roman"/>
          <w:lang w:eastAsia="de-DE"/>
        </w:rPr>
        <w:t>-Betonung und begründet sie durch den Exodus.</w:t>
      </w:r>
    </w:p>
    <w:p w14:paraId="168ADFD2"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19,37</w:t>
      </w:r>
    </w:p>
    <w:p w14:paraId="68B948D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וּשְׁמַרְתֶּ֤ם אֶת־כָּל־חֻקֹּתַי֙ וְאֶת־כָּל־מִשְׁפָּטַ֔י וַעֲשִׂיתֶ֖ם אֹתָ֑ם אֲנִ֖י יְהוָֽה׃</w:t>
      </w:r>
    </w:p>
    <w:p w14:paraId="272C39D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lastRenderedPageBreak/>
        <w:t>Deutsch:</w:t>
      </w:r>
      <w:r w:rsidRPr="003F2847">
        <w:rPr>
          <w:rFonts w:eastAsia="Times New Roman" w:cs="Times New Roman"/>
          <w:lang w:eastAsia="de-DE"/>
        </w:rPr>
        <w:t xml:space="preserve"> Und so beachtet alle meine Satzungen und alle meine Rechtsvorschriften und tut sie. Ich bin der Ewige.</w:t>
      </w:r>
    </w:p>
    <w:p w14:paraId="66B4EAB7"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16E506AE">
          <v:rect id="_x0000_i1597" style="width:0;height:1.5pt" o:hralign="center" o:hrstd="t" o:hr="t" fillcolor="#a0a0a0" stroked="f"/>
        </w:pict>
      </w:r>
    </w:p>
    <w:p w14:paraId="459D4BF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ושמרתם את־כל־חקתי ואת־כל־משפטי ועשיתם אתם אני יהוה</w:t>
      </w:r>
      <w:r w:rsidRPr="003F2847">
        <w:rPr>
          <w:rFonts w:eastAsia="Times New Roman" w:cs="Times New Roman"/>
          <w:rtl/>
          <w:lang w:eastAsia="de-DE"/>
        </w:rPr>
        <w:t xml:space="preserve"> </w:t>
      </w:r>
      <w:r w:rsidRPr="003F2847">
        <w:rPr>
          <w:rFonts w:eastAsia="Times New Roman" w:cs="Times New Roman"/>
          <w:lang w:eastAsia="de-DE"/>
        </w:rPr>
        <w:t xml:space="preserve">schließt das Kapitel ab. </w:t>
      </w:r>
      <w:r w:rsidRPr="003F2847">
        <w:rPr>
          <w:rFonts w:eastAsia="Times New Roman" w:cs="Times New Roman"/>
          <w:b/>
          <w:bCs/>
          <w:rtl/>
          <w:lang w:eastAsia="de-DE"/>
        </w:rPr>
        <w:t>ושמרתם את־כל־חקתי ואת־כל־משפטי</w:t>
      </w:r>
      <w:r w:rsidRPr="003F2847">
        <w:rPr>
          <w:rFonts w:eastAsia="Times New Roman" w:cs="Times New Roman"/>
          <w:rtl/>
          <w:lang w:eastAsia="de-DE"/>
        </w:rPr>
        <w:t xml:space="preserve"> </w:t>
      </w:r>
      <w:r w:rsidRPr="003F2847">
        <w:rPr>
          <w:rFonts w:eastAsia="Times New Roman" w:cs="Times New Roman"/>
          <w:lang w:eastAsia="de-DE"/>
        </w:rPr>
        <w:t xml:space="preserve">(und so beachtet alle meine Satzungen und alle meine Rechtsvorschriften) - </w:t>
      </w:r>
      <w:r w:rsidRPr="003F2847">
        <w:rPr>
          <w:rFonts w:eastAsia="Times New Roman" w:cs="Times New Roman"/>
          <w:b/>
          <w:bCs/>
          <w:rtl/>
          <w:lang w:eastAsia="de-DE"/>
        </w:rPr>
        <w:t>ושמרתם</w:t>
      </w:r>
      <w:r w:rsidRPr="003F2847">
        <w:rPr>
          <w:rFonts w:eastAsia="Times New Roman" w:cs="Times New Roman"/>
          <w:rtl/>
          <w:lang w:eastAsia="de-DE"/>
        </w:rPr>
        <w:t xml:space="preserve"> </w:t>
      </w:r>
      <w:r w:rsidRPr="003F2847">
        <w:rPr>
          <w:rFonts w:eastAsia="Times New Roman" w:cs="Times New Roman"/>
          <w:lang w:eastAsia="de-DE"/>
        </w:rPr>
        <w:t xml:space="preserve">(und ihr sollt beachten) im Qal-Perfekt mit Waw-Konsekutiv. </w:t>
      </w:r>
      <w:r w:rsidRPr="003F2847">
        <w:rPr>
          <w:rFonts w:eastAsia="Times New Roman" w:cs="Times New Roman"/>
          <w:b/>
          <w:bCs/>
          <w:rtl/>
          <w:lang w:eastAsia="de-DE"/>
        </w:rPr>
        <w:t>את־כל־חקתי ואת־כל־משפטי</w:t>
      </w:r>
      <w:r w:rsidRPr="003F2847">
        <w:rPr>
          <w:rFonts w:eastAsia="Times New Roman" w:cs="Times New Roman"/>
          <w:rtl/>
          <w:lang w:eastAsia="de-DE"/>
        </w:rPr>
        <w:t xml:space="preserve"> </w:t>
      </w:r>
      <w:r w:rsidRPr="003F2847">
        <w:rPr>
          <w:rFonts w:eastAsia="Times New Roman" w:cs="Times New Roman"/>
          <w:lang w:eastAsia="de-DE"/>
        </w:rPr>
        <w:t xml:space="preserve">(alle meine Satzungen und alle meine Rechtsvorschriften) mit doppeltem </w:t>
      </w:r>
      <w:r w:rsidRPr="003F2847">
        <w:rPr>
          <w:rFonts w:eastAsia="Times New Roman" w:cs="Times New Roman"/>
          <w:b/>
          <w:bCs/>
          <w:rtl/>
          <w:lang w:eastAsia="de-DE"/>
        </w:rPr>
        <w:t>כל</w:t>
      </w:r>
      <w:r w:rsidRPr="003F2847">
        <w:rPr>
          <w:rFonts w:eastAsia="Times New Roman" w:cs="Times New Roman"/>
          <w:rtl/>
          <w:lang w:eastAsia="de-DE"/>
        </w:rPr>
        <w:t xml:space="preserve"> </w:t>
      </w:r>
      <w:r w:rsidRPr="003F2847">
        <w:rPr>
          <w:rFonts w:eastAsia="Times New Roman" w:cs="Times New Roman"/>
          <w:lang w:eastAsia="de-DE"/>
        </w:rPr>
        <w:t>betont Vollständigkeit.</w:t>
      </w:r>
    </w:p>
    <w:p w14:paraId="3E791D2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ועשיתם אתם</w:t>
      </w:r>
      <w:r w:rsidRPr="003F2847">
        <w:rPr>
          <w:rFonts w:eastAsia="Times New Roman" w:cs="Times New Roman"/>
          <w:rtl/>
          <w:lang w:eastAsia="de-DE"/>
        </w:rPr>
        <w:t xml:space="preserve"> </w:t>
      </w:r>
      <w:r w:rsidRPr="003F2847">
        <w:rPr>
          <w:rFonts w:eastAsia="Times New Roman" w:cs="Times New Roman"/>
          <w:lang w:eastAsia="de-DE"/>
        </w:rPr>
        <w:t xml:space="preserve">(und tut sie) - </w:t>
      </w:r>
      <w:r w:rsidRPr="003F2847">
        <w:rPr>
          <w:rFonts w:eastAsia="Times New Roman" w:cs="Times New Roman"/>
          <w:b/>
          <w:bCs/>
          <w:rtl/>
          <w:lang w:eastAsia="de-DE"/>
        </w:rPr>
        <w:t>ועשיתם</w:t>
      </w:r>
      <w:r w:rsidRPr="003F2847">
        <w:rPr>
          <w:rFonts w:eastAsia="Times New Roman" w:cs="Times New Roman"/>
          <w:rtl/>
          <w:lang w:eastAsia="de-DE"/>
        </w:rPr>
        <w:t xml:space="preserve"> </w:t>
      </w:r>
      <w:r w:rsidRPr="003F2847">
        <w:rPr>
          <w:rFonts w:eastAsia="Times New Roman" w:cs="Times New Roman"/>
          <w:lang w:eastAsia="de-DE"/>
        </w:rPr>
        <w:t xml:space="preserve">(und ihr sollt tun) im Qal-Perfekt mit Waw-Konsekutiv zeigt aktive Ausführung. </w:t>
      </w:r>
      <w:r w:rsidRPr="003F2847">
        <w:rPr>
          <w:rFonts w:eastAsia="Times New Roman" w:cs="Times New Roman"/>
          <w:b/>
          <w:bCs/>
          <w:rtl/>
          <w:lang w:eastAsia="de-DE"/>
        </w:rPr>
        <w:t>אתם</w:t>
      </w:r>
      <w:r w:rsidRPr="003F2847">
        <w:rPr>
          <w:rFonts w:eastAsia="Times New Roman" w:cs="Times New Roman"/>
          <w:rtl/>
          <w:lang w:eastAsia="de-DE"/>
        </w:rPr>
        <w:t xml:space="preserve"> </w:t>
      </w:r>
      <w:r w:rsidRPr="003F2847">
        <w:rPr>
          <w:rFonts w:eastAsia="Times New Roman" w:cs="Times New Roman"/>
          <w:lang w:eastAsia="de-DE"/>
        </w:rPr>
        <w:t xml:space="preserve">(sie) mit Objektsuffix bezieht sich auf </w:t>
      </w:r>
      <w:r w:rsidRPr="003F2847">
        <w:rPr>
          <w:rFonts w:eastAsia="Times New Roman" w:cs="Times New Roman"/>
          <w:b/>
          <w:bCs/>
          <w:rtl/>
          <w:lang w:eastAsia="de-DE"/>
        </w:rPr>
        <w:t>חקתי ומשפטי</w:t>
      </w:r>
      <w:r w:rsidRPr="003F2847">
        <w:rPr>
          <w:rFonts w:eastAsia="Times New Roman" w:cs="Times New Roman"/>
          <w:lang w:eastAsia="de-DE"/>
        </w:rPr>
        <w:t>.</w:t>
      </w:r>
    </w:p>
    <w:p w14:paraId="475F23E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אני יהוה</w:t>
      </w:r>
      <w:r w:rsidRPr="003F2847">
        <w:rPr>
          <w:rFonts w:eastAsia="Times New Roman" w:cs="Times New Roman"/>
          <w:rtl/>
          <w:lang w:eastAsia="de-DE"/>
        </w:rPr>
        <w:t xml:space="preserve"> </w:t>
      </w:r>
      <w:r w:rsidRPr="003F2847">
        <w:rPr>
          <w:rFonts w:eastAsia="Times New Roman" w:cs="Times New Roman"/>
          <w:lang w:eastAsia="de-DE"/>
        </w:rPr>
        <w:t>(ich bin der Ewige) als abschließende Autoritätsformel.</w:t>
      </w:r>
    </w:p>
    <w:p w14:paraId="27F10F2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כל־חקתי וכל־משפטי</w:t>
      </w:r>
      <w:r w:rsidRPr="003F2847">
        <w:rPr>
          <w:rFonts w:eastAsia="Times New Roman" w:cs="Times New Roman"/>
          <w:rtl/>
          <w:lang w:eastAsia="de-DE"/>
        </w:rPr>
        <w:t xml:space="preserve"> </w:t>
      </w:r>
      <w:r w:rsidRPr="003F2847">
        <w:rPr>
          <w:rFonts w:eastAsia="Times New Roman" w:cs="Times New Roman"/>
          <w:lang w:eastAsia="de-DE"/>
        </w:rPr>
        <w:t xml:space="preserve">mit doppeltem </w:t>
      </w:r>
      <w:r w:rsidRPr="003F2847">
        <w:rPr>
          <w:rFonts w:eastAsia="Times New Roman" w:cs="Times New Roman"/>
          <w:b/>
          <w:bCs/>
          <w:rtl/>
          <w:lang w:eastAsia="de-DE"/>
        </w:rPr>
        <w:t>כל</w:t>
      </w:r>
      <w:r w:rsidRPr="003F2847">
        <w:rPr>
          <w:rFonts w:eastAsia="Times New Roman" w:cs="Times New Roman"/>
          <w:rtl/>
          <w:lang w:eastAsia="de-DE"/>
        </w:rPr>
        <w:t xml:space="preserve"> </w:t>
      </w:r>
      <w:r w:rsidRPr="003F2847">
        <w:rPr>
          <w:rFonts w:eastAsia="Times New Roman" w:cs="Times New Roman"/>
          <w:lang w:eastAsia="de-DE"/>
        </w:rPr>
        <w:t xml:space="preserve">zeigt umfassende Verpflichtung. </w:t>
      </w:r>
      <w:r w:rsidRPr="003F2847">
        <w:rPr>
          <w:rFonts w:eastAsia="Times New Roman" w:cs="Times New Roman"/>
          <w:b/>
          <w:bCs/>
          <w:rtl/>
          <w:lang w:eastAsia="de-DE"/>
        </w:rPr>
        <w:t>שמרתם</w:t>
      </w:r>
      <w:r w:rsidRPr="003F2847">
        <w:rPr>
          <w:rFonts w:eastAsia="Times New Roman" w:cs="Times New Roman"/>
          <w:rtl/>
          <w:lang w:eastAsia="de-DE"/>
        </w:rPr>
        <w:t xml:space="preserve"> </w:t>
      </w:r>
      <w:r w:rsidRPr="003F2847">
        <w:rPr>
          <w:rFonts w:eastAsia="Times New Roman" w:cs="Times New Roman"/>
          <w:lang w:eastAsia="de-DE"/>
        </w:rPr>
        <w:t xml:space="preserve">und </w:t>
      </w:r>
      <w:r w:rsidRPr="003F2847">
        <w:rPr>
          <w:rFonts w:eastAsia="Times New Roman" w:cs="Times New Roman"/>
          <w:b/>
          <w:bCs/>
          <w:rtl/>
          <w:lang w:eastAsia="de-DE"/>
        </w:rPr>
        <w:t>עשיתם</w:t>
      </w:r>
      <w:r w:rsidRPr="003F2847">
        <w:rPr>
          <w:rFonts w:eastAsia="Times New Roman" w:cs="Times New Roman"/>
          <w:rtl/>
          <w:lang w:eastAsia="de-DE"/>
        </w:rPr>
        <w:t xml:space="preserve"> </w:t>
      </w:r>
      <w:r w:rsidRPr="003F2847">
        <w:rPr>
          <w:rFonts w:eastAsia="Times New Roman" w:cs="Times New Roman"/>
          <w:lang w:eastAsia="de-DE"/>
        </w:rPr>
        <w:t>zeigen Beachtung und Ausführung als komplementäre Verpflichtungen.</w:t>
      </w:r>
    </w:p>
    <w:p w14:paraId="65DE90B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ושמרתם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φυλάξεσθε</w:t>
      </w:r>
      <w:proofErr w:type="spellEnd"/>
      <w:r w:rsidRPr="003F2847">
        <w:rPr>
          <w:rFonts w:eastAsia="Times New Roman" w:cs="Times New Roman"/>
          <w:lang w:eastAsia="de-DE"/>
        </w:rPr>
        <w:t xml:space="preserve"> (ihr werdet bewahren), </w:t>
      </w:r>
      <w:r w:rsidRPr="003F2847">
        <w:rPr>
          <w:rFonts w:eastAsia="Times New Roman" w:cs="Times New Roman"/>
          <w:b/>
          <w:bCs/>
          <w:rtl/>
          <w:lang w:eastAsia="de-DE"/>
        </w:rPr>
        <w:t>חקתי</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νόμιμά</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μου</w:t>
      </w:r>
      <w:proofErr w:type="spellEnd"/>
      <w:r w:rsidRPr="003F2847">
        <w:rPr>
          <w:rFonts w:eastAsia="Times New Roman" w:cs="Times New Roman"/>
          <w:lang w:eastAsia="de-DE"/>
        </w:rPr>
        <w:t xml:space="preserve"> (meine Gesetze), </w:t>
      </w:r>
      <w:r w:rsidRPr="003F2847">
        <w:rPr>
          <w:rFonts w:eastAsia="Times New Roman" w:cs="Times New Roman"/>
          <w:b/>
          <w:bCs/>
          <w:rtl/>
          <w:lang w:eastAsia="de-DE"/>
        </w:rPr>
        <w:t>משפטי</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κρίμ</w:t>
      </w:r>
      <w:proofErr w:type="spellEnd"/>
      <w:r w:rsidRPr="003F2847">
        <w:rPr>
          <w:rFonts w:eastAsia="Times New Roman" w:cs="Times New Roman"/>
          <w:lang w:eastAsia="de-DE"/>
        </w:rPr>
        <w:t xml:space="preserve">ατά </w:t>
      </w:r>
      <w:proofErr w:type="spellStart"/>
      <w:r w:rsidRPr="003F2847">
        <w:rPr>
          <w:rFonts w:eastAsia="Times New Roman" w:cs="Times New Roman"/>
          <w:lang w:eastAsia="de-DE"/>
        </w:rPr>
        <w:t>μου</w:t>
      </w:r>
      <w:proofErr w:type="spellEnd"/>
      <w:r w:rsidRPr="003F2847">
        <w:rPr>
          <w:rFonts w:eastAsia="Times New Roman" w:cs="Times New Roman"/>
          <w:lang w:eastAsia="de-DE"/>
        </w:rPr>
        <w:t xml:space="preserve"> (meine Urteile) und </w:t>
      </w:r>
      <w:r w:rsidRPr="003F2847">
        <w:rPr>
          <w:rFonts w:eastAsia="Times New Roman" w:cs="Times New Roman"/>
          <w:b/>
          <w:bCs/>
          <w:rtl/>
          <w:lang w:eastAsia="de-DE"/>
        </w:rPr>
        <w:t>ועשיתם</w:t>
      </w:r>
      <w:r w:rsidRPr="003F2847">
        <w:rPr>
          <w:rFonts w:eastAsia="Times New Roman" w:cs="Times New Roman"/>
          <w:rtl/>
          <w:lang w:eastAsia="de-DE"/>
        </w:rPr>
        <w:t xml:space="preserve"> </w:t>
      </w:r>
      <w:r w:rsidRPr="003F2847">
        <w:rPr>
          <w:rFonts w:eastAsia="Times New Roman" w:cs="Times New Roman"/>
          <w:lang w:eastAsia="de-DE"/>
        </w:rPr>
        <w:t>mit π</w:t>
      </w:r>
      <w:proofErr w:type="spellStart"/>
      <w:r w:rsidRPr="003F2847">
        <w:rPr>
          <w:rFonts w:eastAsia="Times New Roman" w:cs="Times New Roman"/>
          <w:lang w:eastAsia="de-DE"/>
        </w:rPr>
        <w:t>οιήσετε</w:t>
      </w:r>
      <w:proofErr w:type="spellEnd"/>
      <w:r w:rsidRPr="003F2847">
        <w:rPr>
          <w:rFonts w:eastAsia="Times New Roman" w:cs="Times New Roman"/>
          <w:lang w:eastAsia="de-DE"/>
        </w:rPr>
        <w:t xml:space="preserve"> (ihr werdet tun).</w:t>
      </w:r>
    </w:p>
    <w:p w14:paraId="2662EF5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Kapitelabschluss: umfassende Beachtungspflicht + aktive Ausführungspflicht + göttliche Schlussautorität.</w:t>
      </w:r>
    </w:p>
    <w:p w14:paraId="3C847FD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schließt das Heiligkeitskapitel mit der umfassenden Verpflichtung zur Beachtung und Ausführung aller göttlichen Gesetze ab.</w:t>
      </w:r>
    </w:p>
    <w:p w14:paraId="06F3780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 xml:space="preserve">Kapitel 19 entfaltet das berühmte "Heiligkeitsgesetz" als praktische Anwendung des Heiligkeitsgebots "Ihr sollt heilig sein, denn heilig bin ich, JHWH euer Gott" (V. 2). Die Struktur zeigt: </w:t>
      </w:r>
      <w:r w:rsidRPr="003F2847">
        <w:rPr>
          <w:rFonts w:eastAsia="Times New Roman" w:cs="Times New Roman"/>
          <w:b/>
          <w:bCs/>
          <w:lang w:eastAsia="de-DE"/>
        </w:rPr>
        <w:t>1) Fundamentale Heiligkeitsprinzipien</w:t>
      </w:r>
      <w:r w:rsidRPr="003F2847">
        <w:rPr>
          <w:rFonts w:eastAsia="Times New Roman" w:cs="Times New Roman"/>
          <w:lang w:eastAsia="de-DE"/>
        </w:rPr>
        <w:t xml:space="preserve"> (V. 1-4): Universelle Heiligungsforderung für ganz Israel nach dem Prinzip der imitatio Dei, Elternehrung, Sabbatheiligung und Abgrenzung vom Götzendienst als Grundlagen.</w:t>
      </w:r>
    </w:p>
    <w:p w14:paraId="454FD3C5"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2) Opfer- und Armengesetze</w:t>
      </w:r>
      <w:r w:rsidRPr="003F2847">
        <w:rPr>
          <w:rFonts w:eastAsia="Times New Roman" w:cs="Times New Roman"/>
          <w:lang w:eastAsia="de-DE"/>
        </w:rPr>
        <w:t xml:space="preserve"> (V. 5-10): Ordnungsgemäße Friedensopferpraxis mit zeitlichen Verzehrgrenzen, </w:t>
      </w:r>
      <w:r w:rsidRPr="003F2847">
        <w:rPr>
          <w:rFonts w:eastAsia="Times New Roman" w:cs="Times New Roman"/>
          <w:b/>
          <w:bCs/>
          <w:rtl/>
          <w:lang w:eastAsia="de-DE"/>
        </w:rPr>
        <w:t>פגול</w:t>
      </w:r>
      <w:r w:rsidRPr="003F2847">
        <w:rPr>
          <w:rFonts w:eastAsia="Times New Roman" w:cs="Times New Roman"/>
          <w:lang w:eastAsia="de-DE"/>
        </w:rPr>
        <w:t xml:space="preserve">-Verbot und </w:t>
      </w:r>
      <w:r w:rsidRPr="003F2847">
        <w:rPr>
          <w:rFonts w:eastAsia="Times New Roman" w:cs="Times New Roman"/>
          <w:b/>
          <w:bCs/>
          <w:rtl/>
          <w:lang w:eastAsia="de-DE"/>
        </w:rPr>
        <w:t>כרת</w:t>
      </w:r>
      <w:r w:rsidRPr="003F2847">
        <w:rPr>
          <w:rFonts w:eastAsia="Times New Roman" w:cs="Times New Roman"/>
          <w:lang w:eastAsia="de-DE"/>
        </w:rPr>
        <w:t xml:space="preserve">-Strafe sowie systematische Armenversorgung durch </w:t>
      </w:r>
      <w:r w:rsidRPr="003F2847">
        <w:rPr>
          <w:rFonts w:eastAsia="Times New Roman" w:cs="Times New Roman"/>
          <w:b/>
          <w:bCs/>
          <w:rtl/>
          <w:lang w:eastAsia="de-DE"/>
        </w:rPr>
        <w:t>פאה</w:t>
      </w:r>
      <w:r w:rsidRPr="003F2847">
        <w:rPr>
          <w:rFonts w:eastAsia="Times New Roman" w:cs="Times New Roman"/>
          <w:rtl/>
          <w:lang w:eastAsia="de-DE"/>
        </w:rPr>
        <w:t xml:space="preserve"> </w:t>
      </w:r>
      <w:r w:rsidRPr="003F2847">
        <w:rPr>
          <w:rFonts w:eastAsia="Times New Roman" w:cs="Times New Roman"/>
          <w:lang w:eastAsia="de-DE"/>
        </w:rPr>
        <w:t xml:space="preserve">(Feldränder) und </w:t>
      </w:r>
      <w:r w:rsidRPr="003F2847">
        <w:rPr>
          <w:rFonts w:eastAsia="Times New Roman" w:cs="Times New Roman"/>
          <w:b/>
          <w:bCs/>
          <w:rtl/>
          <w:lang w:eastAsia="de-DE"/>
        </w:rPr>
        <w:t>לקט</w:t>
      </w:r>
      <w:r w:rsidRPr="003F2847">
        <w:rPr>
          <w:rFonts w:eastAsia="Times New Roman" w:cs="Times New Roman"/>
          <w:rtl/>
          <w:lang w:eastAsia="de-DE"/>
        </w:rPr>
        <w:t xml:space="preserve"> </w:t>
      </w:r>
      <w:r w:rsidRPr="003F2847">
        <w:rPr>
          <w:rFonts w:eastAsia="Times New Roman" w:cs="Times New Roman"/>
          <w:lang w:eastAsia="de-DE"/>
        </w:rPr>
        <w:t>(Nachlese) in Landwirtschaft und Weinbau.</w:t>
      </w:r>
    </w:p>
    <w:p w14:paraId="227C0DC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3) Ethische Grundgesetze</w:t>
      </w:r>
      <w:r w:rsidRPr="003F2847">
        <w:rPr>
          <w:rFonts w:eastAsia="Times New Roman" w:cs="Times New Roman"/>
          <w:lang w:eastAsia="de-DE"/>
        </w:rPr>
        <w:t xml:space="preserve"> (V. 11-18): Ehrlichkeitsgebote (Diebstahl-, Lügen-, Meineidverbot), Wirtschaftsethik (Schutz der Tagelöhner), Behindertenschutz mit Gottesfurcht als Kontrolle, unparteiische Rechtsprechung, Verbot von Verleumdung und unterlassener Hilfeleistung, offene Zurechtweisung als Alternative zu verborgenem Hass und das berühmte Liebesgebot "Du sollst deinen Nächsten lieben wie dich selbst" (V. 18).</w:t>
      </w:r>
    </w:p>
    <w:p w14:paraId="0C2848C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4) Ordnungsgesetze</w:t>
      </w:r>
      <w:r w:rsidRPr="003F2847">
        <w:rPr>
          <w:rFonts w:eastAsia="Times New Roman" w:cs="Times New Roman"/>
          <w:lang w:eastAsia="de-DE"/>
        </w:rPr>
        <w:t xml:space="preserve"> (V. 19-31): </w:t>
      </w:r>
      <w:r w:rsidRPr="003F2847">
        <w:rPr>
          <w:rFonts w:eastAsia="Times New Roman" w:cs="Times New Roman"/>
          <w:b/>
          <w:bCs/>
          <w:rtl/>
          <w:lang w:eastAsia="de-DE"/>
        </w:rPr>
        <w:t>כלאים</w:t>
      </w:r>
      <w:r w:rsidRPr="003F2847">
        <w:rPr>
          <w:rFonts w:eastAsia="Times New Roman" w:cs="Times New Roman"/>
          <w:lang w:eastAsia="de-DE"/>
        </w:rPr>
        <w:t xml:space="preserve">-Verbote (Mischungen in Tieren, Pflanzen, Kleidung), Sonderfall der verlobten Sklavin, </w:t>
      </w:r>
      <w:r w:rsidRPr="003F2847">
        <w:rPr>
          <w:rFonts w:eastAsia="Times New Roman" w:cs="Times New Roman"/>
          <w:b/>
          <w:bCs/>
          <w:rtl/>
          <w:lang w:eastAsia="de-DE"/>
        </w:rPr>
        <w:t>ערלה</w:t>
      </w:r>
      <w:r w:rsidRPr="003F2847">
        <w:rPr>
          <w:rFonts w:eastAsia="Times New Roman" w:cs="Times New Roman"/>
          <w:lang w:eastAsia="de-DE"/>
        </w:rPr>
        <w:t>-Gesetz (dreijähriges Verzehrverbot für neue Obstbäume), Verbote heidnischer Praktiken (Blutrituale, Wahrsagerei, bestimmte Haarschnitte, Körpermodifikationen, Prostitution, Totenbeschwörung).</w:t>
      </w:r>
    </w:p>
    <w:p w14:paraId="007CE5D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lastRenderedPageBreak/>
        <w:t>5) Sozialgesetze und Handelsethik</w:t>
      </w:r>
      <w:r w:rsidRPr="003F2847">
        <w:rPr>
          <w:rFonts w:eastAsia="Times New Roman" w:cs="Times New Roman"/>
          <w:lang w:eastAsia="de-DE"/>
        </w:rPr>
        <w:t xml:space="preserve"> (V. 32-37): Altersrespekt, umfassender Fremdenschutz mit Fremdenliebe nach dem Maßstab der Selbstliebe (begründet durch Israels Ägypten-Erfahrung), absolute Handelsgerechtigkeit und abschließende Gesamtverpflichtung.</w:t>
      </w:r>
    </w:p>
    <w:p w14:paraId="52894F8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Theologische Bedeutung:</w:t>
      </w:r>
      <w:r w:rsidRPr="003F2847">
        <w:rPr>
          <w:rFonts w:eastAsia="Times New Roman" w:cs="Times New Roman"/>
          <w:lang w:eastAsia="de-DE"/>
        </w:rPr>
        <w:t xml:space="preserve"> Das Kapitel zeigt </w:t>
      </w:r>
      <w:r w:rsidRPr="003F2847">
        <w:rPr>
          <w:rFonts w:eastAsia="Times New Roman" w:cs="Times New Roman"/>
          <w:b/>
          <w:bCs/>
          <w:lang w:eastAsia="de-DE"/>
        </w:rPr>
        <w:t>Heiligkeit als ganzheitlichen Lebensstil</w:t>
      </w:r>
      <w:r w:rsidRPr="003F2847">
        <w:rPr>
          <w:rFonts w:eastAsia="Times New Roman" w:cs="Times New Roman"/>
          <w:lang w:eastAsia="de-DE"/>
        </w:rPr>
        <w:t xml:space="preserve">: von kultischen Vorschriften über Sozialethik bis zu Handelsehrlichkeit. Die </w:t>
      </w:r>
      <w:r w:rsidRPr="003F2847">
        <w:rPr>
          <w:rFonts w:eastAsia="Times New Roman" w:cs="Times New Roman"/>
          <w:b/>
          <w:bCs/>
          <w:lang w:eastAsia="de-DE"/>
        </w:rPr>
        <w:t>imitatio Dei</w:t>
      </w:r>
      <w:r w:rsidRPr="003F2847">
        <w:rPr>
          <w:rFonts w:eastAsia="Times New Roman" w:cs="Times New Roman"/>
          <w:lang w:eastAsia="de-DE"/>
        </w:rPr>
        <w:t xml:space="preserve"> als Grundprinzip macht göttliche Heiligkeit zum Maßstab menschlichen Verhaltens. Die </w:t>
      </w:r>
      <w:r w:rsidRPr="003F2847">
        <w:rPr>
          <w:rFonts w:eastAsia="Times New Roman" w:cs="Times New Roman"/>
          <w:b/>
          <w:bCs/>
          <w:lang w:eastAsia="de-DE"/>
        </w:rPr>
        <w:t>Nächstenliebe</w:t>
      </w:r>
      <w:r w:rsidRPr="003F2847">
        <w:rPr>
          <w:rFonts w:eastAsia="Times New Roman" w:cs="Times New Roman"/>
          <w:lang w:eastAsia="de-DE"/>
        </w:rPr>
        <w:t xml:space="preserve"> (V. 18) und </w:t>
      </w:r>
      <w:r w:rsidRPr="003F2847">
        <w:rPr>
          <w:rFonts w:eastAsia="Times New Roman" w:cs="Times New Roman"/>
          <w:b/>
          <w:bCs/>
          <w:lang w:eastAsia="de-DE"/>
        </w:rPr>
        <w:t>Fremdenliebe</w:t>
      </w:r>
      <w:r w:rsidRPr="003F2847">
        <w:rPr>
          <w:rFonts w:eastAsia="Times New Roman" w:cs="Times New Roman"/>
          <w:lang w:eastAsia="de-DE"/>
        </w:rPr>
        <w:t xml:space="preserve"> (V. 34) als Höhepunkte zeigen Liebe als Kern der Heiligung. Die </w:t>
      </w:r>
      <w:r w:rsidRPr="003F2847">
        <w:rPr>
          <w:rFonts w:eastAsia="Times New Roman" w:cs="Times New Roman"/>
          <w:b/>
          <w:bCs/>
          <w:lang w:eastAsia="de-DE"/>
        </w:rPr>
        <w:t>Gottesfurcht</w:t>
      </w:r>
      <w:r w:rsidRPr="003F2847">
        <w:rPr>
          <w:rFonts w:eastAsia="Times New Roman" w:cs="Times New Roman"/>
          <w:lang w:eastAsia="de-DE"/>
        </w:rPr>
        <w:t xml:space="preserve"> als wiederkehrendes Motiv (V. 14, 32) zeigt innere Kontrolle als Basis ethischen Verhaltens.</w:t>
      </w:r>
    </w:p>
    <w:p w14:paraId="78BBD3C4" w14:textId="783E5154" w:rsid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Besonderheiten:</w:t>
      </w:r>
      <w:r w:rsidRPr="003F2847">
        <w:rPr>
          <w:rFonts w:eastAsia="Times New Roman" w:cs="Times New Roman"/>
          <w:lang w:eastAsia="de-DE"/>
        </w:rPr>
        <w:t xml:space="preserve"> Die </w:t>
      </w:r>
      <w:r w:rsidRPr="003F2847">
        <w:rPr>
          <w:rFonts w:eastAsia="Times New Roman" w:cs="Times New Roman"/>
          <w:b/>
          <w:bCs/>
          <w:lang w:eastAsia="de-DE"/>
        </w:rPr>
        <w:t>Verbindung von Kultus und Ethik</w:t>
      </w:r>
      <w:r w:rsidRPr="003F2847">
        <w:rPr>
          <w:rFonts w:eastAsia="Times New Roman" w:cs="Times New Roman"/>
          <w:lang w:eastAsia="de-DE"/>
        </w:rPr>
        <w:t xml:space="preserve"> zeigt ganzheitliches Heiligkeitsverständnis. Die </w:t>
      </w:r>
      <w:r w:rsidRPr="003F2847">
        <w:rPr>
          <w:rFonts w:eastAsia="Times New Roman" w:cs="Times New Roman"/>
          <w:b/>
          <w:bCs/>
          <w:lang w:eastAsia="de-DE"/>
        </w:rPr>
        <w:t>Einbeziehung der Fremden</w:t>
      </w:r>
      <w:r w:rsidRPr="003F2847">
        <w:rPr>
          <w:rFonts w:eastAsia="Times New Roman" w:cs="Times New Roman"/>
          <w:lang w:eastAsia="de-DE"/>
        </w:rPr>
        <w:t xml:space="preserve"> in Schutz und Liebe zeigt universelle Menschenwürde. Die </w:t>
      </w:r>
      <w:r w:rsidRPr="003F2847">
        <w:rPr>
          <w:rFonts w:eastAsia="Times New Roman" w:cs="Times New Roman"/>
          <w:b/>
          <w:bCs/>
          <w:lang w:eastAsia="de-DE"/>
        </w:rPr>
        <w:t>konkreten Vorschriften</w:t>
      </w:r>
      <w:r w:rsidRPr="003F2847">
        <w:rPr>
          <w:rFonts w:eastAsia="Times New Roman" w:cs="Times New Roman"/>
          <w:lang w:eastAsia="de-DE"/>
        </w:rPr>
        <w:t xml:space="preserve"> von Handelsmaßen bis Haarschnitten zeigen Heiligkeit als Detailgehorsam. Das Kapitel etabliert </w:t>
      </w:r>
      <w:r w:rsidRPr="003F2847">
        <w:rPr>
          <w:rFonts w:eastAsia="Times New Roman" w:cs="Times New Roman"/>
          <w:b/>
          <w:bCs/>
          <w:lang w:eastAsia="de-DE"/>
        </w:rPr>
        <w:t>fundamentale ethische Prinzipien</w:t>
      </w:r>
      <w:r w:rsidRPr="003F2847">
        <w:rPr>
          <w:rFonts w:eastAsia="Times New Roman" w:cs="Times New Roman"/>
          <w:lang w:eastAsia="de-DE"/>
        </w:rPr>
        <w:t xml:space="preserve"> (Nächsten- und Fremdenliebe, Gerechtigkeit, Ehrlichkeit), die bis heute gelten.</w:t>
      </w:r>
    </w:p>
    <w:p w14:paraId="09C2FF87" w14:textId="7171CC64" w:rsidR="004F25E8" w:rsidRPr="003F2847" w:rsidRDefault="004F25E8" w:rsidP="003F2847">
      <w:pPr>
        <w:spacing w:before="100" w:beforeAutospacing="1" w:after="100" w:afterAutospacing="1" w:line="240" w:lineRule="auto"/>
        <w:rPr>
          <w:rFonts w:eastAsia="Times New Roman" w:cs="Times New Roman"/>
          <w:lang w:eastAsia="de-DE"/>
        </w:rPr>
      </w:pPr>
      <w:r>
        <w:rPr>
          <w:rStyle w:val="Fett"/>
        </w:rPr>
        <w:t>Textkritische Beobachtung</w:t>
      </w:r>
      <w:r>
        <w:t xml:space="preserve">: Levitikus 19, das "Heiligkeitsgesetz", zeigt in der LXX eine systematische </w:t>
      </w:r>
      <w:r w:rsidR="006A7B00">
        <w:t>Ethnisierung</w:t>
      </w:r>
      <w:r>
        <w:t xml:space="preserve"> und Universalisierung. Besonders bedeutsam ist die Betonung der Nächstenliebe (Vers 18, 34), die zur zentralen christlich-jüdischen Ethik wird. Die griechischen Übersetzer erklären spezifisch hebräische Begriffe (wie </w:t>
      </w:r>
      <w:r>
        <w:rPr>
          <w:rtl/>
        </w:rPr>
        <w:t>שעטנז</w:t>
      </w:r>
      <w:r>
        <w:t>) und interpretieren magische Praktiken durch konkrete griechische Divinationstechniken. Dies deutet auf eine bewusste Anpassung an hellenistische Leser hin, während die ethischen Kernaussagen verstärkt werden.</w:t>
      </w:r>
    </w:p>
    <w:p w14:paraId="2C0C3D97"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20,1</w:t>
      </w:r>
    </w:p>
    <w:p w14:paraId="6CA39BD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וַיְדַבֵּ֥ר יְהוָ֖ה אֶל־מֹשֶׁ֥ה לֵּאמֹֽר׃</w:t>
      </w:r>
    </w:p>
    <w:p w14:paraId="5B9DE2EA"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der Ewige redete zu Mosche, sagend:</w:t>
      </w:r>
    </w:p>
    <w:p w14:paraId="53170F30"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2A28678A">
          <v:rect id="_x0000_i1598" style="width:0;height:1.5pt" o:hralign="center" o:hrstd="t" o:hr="t" fillcolor="#a0a0a0" stroked="f"/>
        </w:pict>
      </w:r>
    </w:p>
    <w:p w14:paraId="36AE78A8" w14:textId="2073D6F5"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וידבר יהוה אל־משה לאמר</w:t>
      </w:r>
      <w:r w:rsidRPr="003F2847">
        <w:rPr>
          <w:rFonts w:eastAsia="Times New Roman" w:cs="Times New Roman"/>
          <w:rtl/>
          <w:lang w:eastAsia="de-DE"/>
        </w:rPr>
        <w:t xml:space="preserve"> </w:t>
      </w:r>
      <w:r w:rsidRPr="003F2847">
        <w:rPr>
          <w:rFonts w:eastAsia="Times New Roman" w:cs="Times New Roman"/>
          <w:lang w:eastAsia="de-DE"/>
        </w:rPr>
        <w:t xml:space="preserve">als Standardeinleitungsformel. </w:t>
      </w:r>
      <w:r w:rsidRPr="003F2847">
        <w:rPr>
          <w:rFonts w:eastAsia="Times New Roman" w:cs="Times New Roman"/>
          <w:b/>
          <w:bCs/>
          <w:rtl/>
          <w:lang w:eastAsia="de-DE"/>
        </w:rPr>
        <w:t>וידבר</w:t>
      </w:r>
      <w:r w:rsidRPr="003F2847">
        <w:rPr>
          <w:rFonts w:eastAsia="Times New Roman" w:cs="Times New Roman"/>
          <w:rtl/>
          <w:lang w:eastAsia="de-DE"/>
        </w:rPr>
        <w:t xml:space="preserve"> </w:t>
      </w:r>
      <w:r w:rsidRPr="003F2847">
        <w:rPr>
          <w:rFonts w:eastAsia="Times New Roman" w:cs="Times New Roman"/>
          <w:lang w:eastAsia="de-DE"/>
        </w:rPr>
        <w:t xml:space="preserve">(und er redete) im Piel-Imperfekt mit Waw-Konsekutiv - das Piel zeigt intensives, autoritatives göttliches Sprechen. </w:t>
      </w:r>
      <w:r w:rsidRPr="003F2847">
        <w:rPr>
          <w:rFonts w:eastAsia="Times New Roman" w:cs="Times New Roman"/>
          <w:b/>
          <w:bCs/>
          <w:rtl/>
          <w:lang w:eastAsia="de-DE"/>
        </w:rPr>
        <w:t>לאמר</w:t>
      </w:r>
      <w:r w:rsidRPr="003F2847">
        <w:rPr>
          <w:rFonts w:eastAsia="Times New Roman" w:cs="Times New Roman"/>
          <w:rtl/>
          <w:lang w:eastAsia="de-DE"/>
        </w:rPr>
        <w:t xml:space="preserve"> </w:t>
      </w:r>
      <w:r w:rsidRPr="003F2847">
        <w:rPr>
          <w:rFonts w:eastAsia="Times New Roman" w:cs="Times New Roman"/>
          <w:lang w:eastAsia="de-DE"/>
        </w:rPr>
        <w:t>(sagend) als Infinitiv-</w:t>
      </w:r>
      <w:r w:rsidR="005407E2">
        <w:rPr>
          <w:rFonts w:eastAsia="Times New Roman" w:cs="Times New Roman"/>
          <w:lang w:eastAsia="de-DE"/>
        </w:rPr>
        <w:t>Constructus</w:t>
      </w:r>
      <w:r w:rsidRPr="003F2847">
        <w:rPr>
          <w:rFonts w:eastAsia="Times New Roman" w:cs="Times New Roman"/>
          <w:lang w:eastAsia="de-DE"/>
        </w:rPr>
        <w:t xml:space="preserve"> von </w:t>
      </w:r>
      <w:r w:rsidRPr="003F2847">
        <w:rPr>
          <w:rFonts w:eastAsia="Times New Roman" w:cs="Times New Roman"/>
          <w:b/>
          <w:bCs/>
          <w:rtl/>
          <w:lang w:eastAsia="de-DE"/>
        </w:rPr>
        <w:t>אמר</w:t>
      </w:r>
      <w:r w:rsidRPr="003F2847">
        <w:rPr>
          <w:rFonts w:eastAsia="Times New Roman" w:cs="Times New Roman"/>
          <w:rtl/>
          <w:lang w:eastAsia="de-DE"/>
        </w:rPr>
        <w:t xml:space="preserve"> </w:t>
      </w:r>
      <w:r w:rsidRPr="003F2847">
        <w:rPr>
          <w:rFonts w:eastAsia="Times New Roman" w:cs="Times New Roman"/>
          <w:lang w:eastAsia="de-DE"/>
        </w:rPr>
        <w:t>leitet die Strafbestimmungen für die Vergehen aus Kapitel 18-19 ein.</w:t>
      </w:r>
    </w:p>
    <w:p w14:paraId="5E57A52A"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וידבר</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ἐλάλησεν</w:t>
      </w:r>
      <w:proofErr w:type="spellEnd"/>
      <w:r w:rsidRPr="003F2847">
        <w:rPr>
          <w:rFonts w:eastAsia="Times New Roman" w:cs="Times New Roman"/>
          <w:lang w:eastAsia="de-DE"/>
        </w:rPr>
        <w:t xml:space="preserve"> (er sprach) und </w:t>
      </w:r>
      <w:r w:rsidRPr="003F2847">
        <w:rPr>
          <w:rFonts w:eastAsia="Times New Roman" w:cs="Times New Roman"/>
          <w:b/>
          <w:bCs/>
          <w:rtl/>
          <w:lang w:eastAsia="de-DE"/>
        </w:rPr>
        <w:t>לאמר</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λέγων</w:t>
      </w:r>
      <w:proofErr w:type="spellEnd"/>
      <w:r w:rsidRPr="003F2847">
        <w:rPr>
          <w:rFonts w:eastAsia="Times New Roman" w:cs="Times New Roman"/>
          <w:lang w:eastAsia="de-DE"/>
        </w:rPr>
        <w:t xml:space="preserve"> (sagend).</w:t>
      </w:r>
    </w:p>
    <w:p w14:paraId="636817D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neue Offenbarungseinleitung: göttliches autoritatives Sprechen + Empfängeridentifikation + Redeeinleitung.</w:t>
      </w:r>
    </w:p>
    <w:p w14:paraId="2B66ABC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leitet das Kapitel der Strafbestimmungen für sexuelle und kultische Vergehen ein.</w:t>
      </w:r>
    </w:p>
    <w:p w14:paraId="1CD8DEFE"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20,2</w:t>
      </w:r>
    </w:p>
    <w:p w14:paraId="46EF66C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lastRenderedPageBreak/>
        <w:t>Hebräisch:</w:t>
      </w:r>
      <w:r w:rsidRPr="003F2847">
        <w:rPr>
          <w:rFonts w:eastAsia="Times New Roman" w:cs="Times New Roman"/>
          <w:lang w:eastAsia="de-DE"/>
        </w:rPr>
        <w:t xml:space="preserve"> </w:t>
      </w:r>
      <w:r w:rsidRPr="003F2847">
        <w:rPr>
          <w:rFonts w:eastAsia="Times New Roman" w:cs="Times New Roman"/>
          <w:rtl/>
          <w:lang w:eastAsia="de-DE"/>
        </w:rPr>
        <w:t>וְאֶל־בְּנֵ֣י יִשְׂרָאֵל֮ תֹּאמַר֒ אִ֣ישׁ אִישׁ֩ מִבְּנֵ֨י יִשְׂרָאֵ֜ל וּמִן־הַגֵּ֣ר׀ הַגָּ֣ר בְּיִשְׂרָאֵ֗ל אֲשֶׁ֨ר יִתֵּ֧ן מִזַּרְעֹ֛ו לַמֹּ֖לֶךְ מ֣וֹת יוּמָ֑ת עַ֥ם הָאָ֖רֶץ יִרְגְּמֻ֥הוּ בָאָֽבֶן׃</w:t>
      </w:r>
    </w:p>
    <w:p w14:paraId="6945C19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zu den Söhnen Jisra'els sollst du sagen: Jedermann von den Söhnen Jisra'els und von den Fremden, die in Jisra'el weilen, der von seinen Nachkommen dem Molech gibt, soll gewiss getötet werden; das Volk des Landes soll ihn steinigen.</w:t>
      </w:r>
    </w:p>
    <w:p w14:paraId="3420C900"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6B18EAA7">
          <v:rect id="_x0000_i1599" style="width:0;height:1.5pt" o:hralign="center" o:hrstd="t" o:hr="t" fillcolor="#a0a0a0" stroked="f"/>
        </w:pict>
      </w:r>
    </w:p>
    <w:p w14:paraId="68CBC43D"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ואל־בני ישראל תאמר איש איש מבני ישראל ומן־הגר הגר בישראל אשר יתן מזרעו למלך מות יומת עם הארץ ירגמהו באבן</w:t>
      </w:r>
      <w:r w:rsidRPr="003F2847">
        <w:rPr>
          <w:rFonts w:eastAsia="Times New Roman" w:cs="Times New Roman"/>
          <w:rtl/>
          <w:lang w:eastAsia="de-DE"/>
        </w:rPr>
        <w:t xml:space="preserve"> </w:t>
      </w:r>
      <w:r w:rsidRPr="003F2847">
        <w:rPr>
          <w:rFonts w:eastAsia="Times New Roman" w:cs="Times New Roman"/>
          <w:lang w:eastAsia="de-DE"/>
        </w:rPr>
        <w:t xml:space="preserve">etabliert die Todesstrafe für Molech-Opfer. </w:t>
      </w:r>
      <w:r w:rsidRPr="003F2847">
        <w:rPr>
          <w:rFonts w:eastAsia="Times New Roman" w:cs="Times New Roman"/>
          <w:b/>
          <w:bCs/>
          <w:rtl/>
          <w:lang w:eastAsia="de-DE"/>
        </w:rPr>
        <w:t>ואל־בני ישראל תאמר</w:t>
      </w:r>
      <w:r w:rsidRPr="003F2847">
        <w:rPr>
          <w:rFonts w:eastAsia="Times New Roman" w:cs="Times New Roman"/>
          <w:rtl/>
          <w:lang w:eastAsia="de-DE"/>
        </w:rPr>
        <w:t xml:space="preserve"> </w:t>
      </w:r>
      <w:r w:rsidRPr="003F2847">
        <w:rPr>
          <w:rFonts w:eastAsia="Times New Roman" w:cs="Times New Roman"/>
          <w:lang w:eastAsia="de-DE"/>
        </w:rPr>
        <w:t xml:space="preserve">(und zu den Söhnen Israels sollst du sagen) zeigt die Adressierung. </w:t>
      </w:r>
      <w:r w:rsidRPr="003F2847">
        <w:rPr>
          <w:rFonts w:eastAsia="Times New Roman" w:cs="Times New Roman"/>
          <w:b/>
          <w:bCs/>
          <w:rtl/>
          <w:lang w:eastAsia="de-DE"/>
        </w:rPr>
        <w:t>איש איש</w:t>
      </w:r>
      <w:r w:rsidRPr="003F2847">
        <w:rPr>
          <w:rFonts w:eastAsia="Times New Roman" w:cs="Times New Roman"/>
          <w:rtl/>
          <w:lang w:eastAsia="de-DE"/>
        </w:rPr>
        <w:t xml:space="preserve"> </w:t>
      </w:r>
      <w:r w:rsidRPr="003F2847">
        <w:rPr>
          <w:rFonts w:eastAsia="Times New Roman" w:cs="Times New Roman"/>
          <w:lang w:eastAsia="de-DE"/>
        </w:rPr>
        <w:t>(jedermann) als distributive Verdopplung zeigt universelle Anwendung.</w:t>
      </w:r>
    </w:p>
    <w:p w14:paraId="6C343DB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מבני ישראל ומן־הגר הגר בישראל</w:t>
      </w:r>
      <w:r w:rsidRPr="003F2847">
        <w:rPr>
          <w:rFonts w:eastAsia="Times New Roman" w:cs="Times New Roman"/>
          <w:rtl/>
          <w:lang w:eastAsia="de-DE"/>
        </w:rPr>
        <w:t xml:space="preserve"> </w:t>
      </w:r>
      <w:r w:rsidRPr="003F2847">
        <w:rPr>
          <w:rFonts w:eastAsia="Times New Roman" w:cs="Times New Roman"/>
          <w:lang w:eastAsia="de-DE"/>
        </w:rPr>
        <w:t xml:space="preserve">(von den Söhnen Israels und von den Fremden, die in Israel weilen) erfasst alle Bewohner. </w:t>
      </w:r>
      <w:r w:rsidRPr="003F2847">
        <w:rPr>
          <w:rFonts w:eastAsia="Times New Roman" w:cs="Times New Roman"/>
          <w:b/>
          <w:bCs/>
          <w:rtl/>
          <w:lang w:eastAsia="de-DE"/>
        </w:rPr>
        <w:t>אשר יתן מזרעו למלך</w:t>
      </w:r>
      <w:r w:rsidRPr="003F2847">
        <w:rPr>
          <w:rFonts w:eastAsia="Times New Roman" w:cs="Times New Roman"/>
          <w:rtl/>
          <w:lang w:eastAsia="de-DE"/>
        </w:rPr>
        <w:t xml:space="preserve"> </w:t>
      </w:r>
      <w:r w:rsidRPr="003F2847">
        <w:rPr>
          <w:rFonts w:eastAsia="Times New Roman" w:cs="Times New Roman"/>
          <w:lang w:eastAsia="de-DE"/>
        </w:rPr>
        <w:t xml:space="preserve">(der von seinen Nachkommen dem Molech gibt) - </w:t>
      </w:r>
      <w:r w:rsidRPr="003F2847">
        <w:rPr>
          <w:rFonts w:eastAsia="Times New Roman" w:cs="Times New Roman"/>
          <w:b/>
          <w:bCs/>
          <w:rtl/>
          <w:lang w:eastAsia="de-DE"/>
        </w:rPr>
        <w:t>יתן</w:t>
      </w:r>
      <w:r w:rsidRPr="003F2847">
        <w:rPr>
          <w:rFonts w:eastAsia="Times New Roman" w:cs="Times New Roman"/>
          <w:rtl/>
          <w:lang w:eastAsia="de-DE"/>
        </w:rPr>
        <w:t xml:space="preserve"> </w:t>
      </w:r>
      <w:r w:rsidRPr="003F2847">
        <w:rPr>
          <w:rFonts w:eastAsia="Times New Roman" w:cs="Times New Roman"/>
          <w:lang w:eastAsia="de-DE"/>
        </w:rPr>
        <w:t xml:space="preserve">(gibt) im Qal-Imperfekt, </w:t>
      </w:r>
      <w:r w:rsidRPr="003F2847">
        <w:rPr>
          <w:rFonts w:eastAsia="Times New Roman" w:cs="Times New Roman"/>
          <w:b/>
          <w:bCs/>
          <w:rtl/>
          <w:lang w:eastAsia="de-DE"/>
        </w:rPr>
        <w:t>מזרעו</w:t>
      </w:r>
      <w:r w:rsidRPr="003F2847">
        <w:rPr>
          <w:rFonts w:eastAsia="Times New Roman" w:cs="Times New Roman"/>
          <w:rtl/>
          <w:lang w:eastAsia="de-DE"/>
        </w:rPr>
        <w:t xml:space="preserve"> </w:t>
      </w:r>
      <w:r w:rsidRPr="003F2847">
        <w:rPr>
          <w:rFonts w:eastAsia="Times New Roman" w:cs="Times New Roman"/>
          <w:lang w:eastAsia="de-DE"/>
        </w:rPr>
        <w:t>(von seinen Nachkommen) entspricht 18,21.</w:t>
      </w:r>
    </w:p>
    <w:p w14:paraId="2B2F678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מות יומת</w:t>
      </w:r>
      <w:r w:rsidRPr="003F2847">
        <w:rPr>
          <w:rFonts w:eastAsia="Times New Roman" w:cs="Times New Roman"/>
          <w:rtl/>
          <w:lang w:eastAsia="de-DE"/>
        </w:rPr>
        <w:t xml:space="preserve"> </w:t>
      </w:r>
      <w:r w:rsidRPr="003F2847">
        <w:rPr>
          <w:rFonts w:eastAsia="Times New Roman" w:cs="Times New Roman"/>
          <w:lang w:eastAsia="de-DE"/>
        </w:rPr>
        <w:t xml:space="preserve">(soll gewiss getötet werden) als emphatische Todesformel mit infinitivus absolutus. </w:t>
      </w:r>
      <w:r w:rsidRPr="003F2847">
        <w:rPr>
          <w:rFonts w:eastAsia="Times New Roman" w:cs="Times New Roman"/>
          <w:b/>
          <w:bCs/>
          <w:rtl/>
          <w:lang w:eastAsia="de-DE"/>
        </w:rPr>
        <w:t>עם הארץ ירגמהו באבן</w:t>
      </w:r>
      <w:r w:rsidRPr="003F2847">
        <w:rPr>
          <w:rFonts w:eastAsia="Times New Roman" w:cs="Times New Roman"/>
          <w:rtl/>
          <w:lang w:eastAsia="de-DE"/>
        </w:rPr>
        <w:t xml:space="preserve"> </w:t>
      </w:r>
      <w:r w:rsidRPr="003F2847">
        <w:rPr>
          <w:rFonts w:eastAsia="Times New Roman" w:cs="Times New Roman"/>
          <w:lang w:eastAsia="de-DE"/>
        </w:rPr>
        <w:t xml:space="preserve">(das Volk des Landes soll ihn steinigen) - </w:t>
      </w:r>
      <w:r w:rsidRPr="003F2847">
        <w:rPr>
          <w:rFonts w:eastAsia="Times New Roman" w:cs="Times New Roman"/>
          <w:b/>
          <w:bCs/>
          <w:rtl/>
          <w:lang w:eastAsia="de-DE"/>
        </w:rPr>
        <w:t>עם הארץ</w:t>
      </w:r>
      <w:r w:rsidRPr="003F2847">
        <w:rPr>
          <w:rFonts w:eastAsia="Times New Roman" w:cs="Times New Roman"/>
          <w:rtl/>
          <w:lang w:eastAsia="de-DE"/>
        </w:rPr>
        <w:t xml:space="preserve"> </w:t>
      </w:r>
      <w:r w:rsidRPr="003F2847">
        <w:rPr>
          <w:rFonts w:eastAsia="Times New Roman" w:cs="Times New Roman"/>
          <w:lang w:eastAsia="de-DE"/>
        </w:rPr>
        <w:t xml:space="preserve">(Volk des Landes) als vollberechtigte Bürger, </w:t>
      </w:r>
      <w:r w:rsidRPr="003F2847">
        <w:rPr>
          <w:rFonts w:eastAsia="Times New Roman" w:cs="Times New Roman"/>
          <w:b/>
          <w:bCs/>
          <w:rtl/>
          <w:lang w:eastAsia="de-DE"/>
        </w:rPr>
        <w:t>ירגמהו</w:t>
      </w:r>
      <w:r w:rsidRPr="003F2847">
        <w:rPr>
          <w:rFonts w:eastAsia="Times New Roman" w:cs="Times New Roman"/>
          <w:rtl/>
          <w:lang w:eastAsia="de-DE"/>
        </w:rPr>
        <w:t xml:space="preserve"> </w:t>
      </w:r>
      <w:r w:rsidRPr="003F2847">
        <w:rPr>
          <w:rFonts w:eastAsia="Times New Roman" w:cs="Times New Roman"/>
          <w:lang w:eastAsia="de-DE"/>
        </w:rPr>
        <w:t xml:space="preserve">(soll ihn steinigen) im Qal-Imperfekt von </w:t>
      </w:r>
      <w:r w:rsidRPr="003F2847">
        <w:rPr>
          <w:rFonts w:eastAsia="Times New Roman" w:cs="Times New Roman"/>
          <w:b/>
          <w:bCs/>
          <w:rtl/>
          <w:lang w:eastAsia="de-DE"/>
        </w:rPr>
        <w:t>רגם</w:t>
      </w:r>
      <w:r w:rsidRPr="003F2847">
        <w:rPr>
          <w:rFonts w:eastAsia="Times New Roman" w:cs="Times New Roman"/>
          <w:lang w:eastAsia="de-DE"/>
        </w:rPr>
        <w:t xml:space="preserve">, </w:t>
      </w:r>
      <w:r w:rsidRPr="003F2847">
        <w:rPr>
          <w:rFonts w:eastAsia="Times New Roman" w:cs="Times New Roman"/>
          <w:b/>
          <w:bCs/>
          <w:rtl/>
          <w:lang w:eastAsia="de-DE"/>
        </w:rPr>
        <w:t>באבן</w:t>
      </w:r>
      <w:r w:rsidRPr="003F2847">
        <w:rPr>
          <w:rFonts w:eastAsia="Times New Roman" w:cs="Times New Roman"/>
          <w:rtl/>
          <w:lang w:eastAsia="de-DE"/>
        </w:rPr>
        <w:t xml:space="preserve"> </w:t>
      </w:r>
      <w:r w:rsidRPr="003F2847">
        <w:rPr>
          <w:rFonts w:eastAsia="Times New Roman" w:cs="Times New Roman"/>
          <w:lang w:eastAsia="de-DE"/>
        </w:rPr>
        <w:t>(mit Steinen) zeigt die Hinrichtungsart.</w:t>
      </w:r>
    </w:p>
    <w:p w14:paraId="54A255F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איש איש</w:t>
      </w:r>
      <w:r w:rsidRPr="003F2847">
        <w:rPr>
          <w:rFonts w:eastAsia="Times New Roman" w:cs="Times New Roman"/>
          <w:rtl/>
          <w:lang w:eastAsia="de-DE"/>
        </w:rPr>
        <w:t xml:space="preserve"> </w:t>
      </w:r>
      <w:r w:rsidRPr="003F2847">
        <w:rPr>
          <w:rFonts w:eastAsia="Times New Roman" w:cs="Times New Roman"/>
          <w:lang w:eastAsia="de-DE"/>
        </w:rPr>
        <w:t xml:space="preserve">zeigt universelle Gültigkeit. </w:t>
      </w:r>
      <w:r w:rsidRPr="003F2847">
        <w:rPr>
          <w:rFonts w:eastAsia="Times New Roman" w:cs="Times New Roman"/>
          <w:b/>
          <w:bCs/>
          <w:rtl/>
          <w:lang w:eastAsia="de-DE"/>
        </w:rPr>
        <w:t>הגר הגר בישראל</w:t>
      </w:r>
      <w:r w:rsidRPr="003F2847">
        <w:rPr>
          <w:rFonts w:eastAsia="Times New Roman" w:cs="Times New Roman"/>
          <w:rtl/>
          <w:lang w:eastAsia="de-DE"/>
        </w:rPr>
        <w:t xml:space="preserve"> </w:t>
      </w:r>
      <w:r w:rsidRPr="003F2847">
        <w:rPr>
          <w:rFonts w:eastAsia="Times New Roman" w:cs="Times New Roman"/>
          <w:lang w:eastAsia="de-DE"/>
        </w:rPr>
        <w:t xml:space="preserve">betont die Ansässigkeit der Fremden. </w:t>
      </w:r>
      <w:r w:rsidRPr="003F2847">
        <w:rPr>
          <w:rFonts w:eastAsia="Times New Roman" w:cs="Times New Roman"/>
          <w:b/>
          <w:bCs/>
          <w:rtl/>
          <w:lang w:eastAsia="de-DE"/>
        </w:rPr>
        <w:t>מות יומת</w:t>
      </w:r>
      <w:r w:rsidRPr="003F2847">
        <w:rPr>
          <w:rFonts w:eastAsia="Times New Roman" w:cs="Times New Roman"/>
          <w:rtl/>
          <w:lang w:eastAsia="de-DE"/>
        </w:rPr>
        <w:t xml:space="preserve"> </w:t>
      </w:r>
      <w:r w:rsidRPr="003F2847">
        <w:rPr>
          <w:rFonts w:eastAsia="Times New Roman" w:cs="Times New Roman"/>
          <w:lang w:eastAsia="de-DE"/>
        </w:rPr>
        <w:t xml:space="preserve">als schärfste Strafformel. </w:t>
      </w:r>
      <w:r w:rsidRPr="003F2847">
        <w:rPr>
          <w:rFonts w:eastAsia="Times New Roman" w:cs="Times New Roman"/>
          <w:b/>
          <w:bCs/>
          <w:rtl/>
          <w:lang w:eastAsia="de-DE"/>
        </w:rPr>
        <w:t>עם הארץ</w:t>
      </w:r>
      <w:r w:rsidRPr="003F2847">
        <w:rPr>
          <w:rFonts w:eastAsia="Times New Roman" w:cs="Times New Roman"/>
          <w:rtl/>
          <w:lang w:eastAsia="de-DE"/>
        </w:rPr>
        <w:t xml:space="preserve"> </w:t>
      </w:r>
      <w:r w:rsidRPr="003F2847">
        <w:rPr>
          <w:rFonts w:eastAsia="Times New Roman" w:cs="Times New Roman"/>
          <w:lang w:eastAsia="de-DE"/>
        </w:rPr>
        <w:t>zeigt Volksjustiz als Vollstreckung.</w:t>
      </w:r>
    </w:p>
    <w:p w14:paraId="72C8D4F8" w14:textId="475A7D23"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übersetzt </w:t>
      </w:r>
      <w:r w:rsidR="004F25E8">
        <w:rPr>
          <w:rtl/>
        </w:rPr>
        <w:t>המלך</w:t>
      </w:r>
      <w:r w:rsidR="004F25E8">
        <w:t xml:space="preserve"> (</w:t>
      </w:r>
      <w:proofErr w:type="spellStart"/>
      <w:r w:rsidR="004F25E8">
        <w:t>hamolech</w:t>
      </w:r>
      <w:proofErr w:type="spellEnd"/>
      <w:r w:rsidR="004F25E8">
        <w:t xml:space="preserve"> - "dem Molech") als </w:t>
      </w:r>
      <w:proofErr w:type="spellStart"/>
      <w:r w:rsidR="004F25E8">
        <w:t>ἄρχοντι</w:t>
      </w:r>
      <w:proofErr w:type="spellEnd"/>
      <w:r w:rsidR="004F25E8">
        <w:t xml:space="preserve"> (dem Herrscher), was die Gottheit entmythologisiert. </w:t>
      </w:r>
      <w:r w:rsidR="004F25E8">
        <w:rPr>
          <w:rtl/>
        </w:rPr>
        <w:t>עם הארץ</w:t>
      </w:r>
      <w:r w:rsidR="004F25E8">
        <w:t xml:space="preserve"> (am </w:t>
      </w:r>
      <w:proofErr w:type="spellStart"/>
      <w:r w:rsidR="004F25E8">
        <w:t>ha'aretz</w:t>
      </w:r>
      <w:proofErr w:type="spellEnd"/>
      <w:r w:rsidR="004F25E8">
        <w:t xml:space="preserve"> - "Volk des Landes") wird als </w:t>
      </w:r>
      <w:proofErr w:type="spellStart"/>
      <w:r w:rsidR="004F25E8">
        <w:t>τὸ</w:t>
      </w:r>
      <w:proofErr w:type="spellEnd"/>
      <w:r w:rsidR="004F25E8">
        <w:t xml:space="preserve"> </w:t>
      </w:r>
      <w:proofErr w:type="spellStart"/>
      <w:r w:rsidR="004F25E8">
        <w:t>ἔθνος</w:t>
      </w:r>
      <w:proofErr w:type="spellEnd"/>
      <w:r w:rsidR="004F25E8">
        <w:t xml:space="preserve"> </w:t>
      </w:r>
      <w:proofErr w:type="spellStart"/>
      <w:r w:rsidR="004F25E8">
        <w:t>τὸ</w:t>
      </w:r>
      <w:proofErr w:type="spellEnd"/>
      <w:r w:rsidR="004F25E8">
        <w:t xml:space="preserve"> ἐπὶ </w:t>
      </w:r>
      <w:proofErr w:type="spellStart"/>
      <w:r w:rsidR="004F25E8">
        <w:t>τῆς</w:t>
      </w:r>
      <w:proofErr w:type="spellEnd"/>
      <w:r w:rsidR="004F25E8">
        <w:t xml:space="preserve"> </w:t>
      </w:r>
      <w:proofErr w:type="spellStart"/>
      <w:r w:rsidR="004F25E8">
        <w:t>γῆς</w:t>
      </w:r>
      <w:proofErr w:type="spellEnd"/>
      <w:r w:rsidR="004F25E8">
        <w:t xml:space="preserve"> (das Volk auf der Erde) wiedergegeben.</w:t>
      </w:r>
    </w:p>
    <w:p w14:paraId="1D9F320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Molech-Strafbestimmung: universelle Adressierung + Molech-Opfer + emphatische Todesstrafe + Steinigung durch das Volk.</w:t>
      </w:r>
    </w:p>
    <w:p w14:paraId="7F4FA4E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etabliert die Todesstrafe durch Steinigung für Molech-Kinderopfer durch alle Bewohner.</w:t>
      </w:r>
    </w:p>
    <w:p w14:paraId="2D7590F3"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20,3</w:t>
      </w:r>
    </w:p>
    <w:p w14:paraId="1246971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וַאֲנִ֞י אֶתֵּ֤ן אֶת־פָּנַי֙ בָּאִ֣ישׁ הַה֔וּא וְהִכְרַתִּ֥י אֹתוֹ֖ מִקֶּ֣רֶב עַמֹּ֑ו כִּ֤י מִזַּרְעוֹ֙ נָתַ֣ן לַמֹּ֔לֶךְ לְמַ֗עַן טַמֵּא֙ אֶת־מִקְדָּשִׁ֔י וּלְחַלֵּ֖ל אֶת־שֵׁ֥ם קָדְשִֽׁי׃</w:t>
      </w:r>
    </w:p>
    <w:p w14:paraId="39200F6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ich werde mein Angesicht gegen diesen Mann richten und ihn ausrotten aus der Mitte seines Volkes, weil er von seinen Nachkommen dem Molech gegeben hat, um mein Heiligtum zu verunreinigen und meinen heiligen Namen zu entweihen.</w:t>
      </w:r>
    </w:p>
    <w:p w14:paraId="1DFB8A0F"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35EEFA7C">
          <v:rect id="_x0000_i1600" style="width:0;height:1.5pt" o:hralign="center" o:hrstd="t" o:hr="t" fillcolor="#a0a0a0" stroked="f"/>
        </w:pict>
      </w:r>
    </w:p>
    <w:p w14:paraId="55EC184C"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ואני אתן את־פני באיש ההוא והכרתי אתו מקרב עמו כי מזרעו נתן למלך למען טמא את־מקדשי ולחלל את־שם קדשי</w:t>
      </w:r>
      <w:r w:rsidRPr="003F2847">
        <w:rPr>
          <w:rFonts w:eastAsia="Times New Roman" w:cs="Times New Roman"/>
          <w:rtl/>
          <w:lang w:eastAsia="de-DE"/>
        </w:rPr>
        <w:t xml:space="preserve"> </w:t>
      </w:r>
      <w:r w:rsidRPr="003F2847">
        <w:rPr>
          <w:rFonts w:eastAsia="Times New Roman" w:cs="Times New Roman"/>
          <w:lang w:eastAsia="de-DE"/>
        </w:rPr>
        <w:t xml:space="preserve">zeigt göttliche Reaktion zusätzlich zur menschlichen Strafe. </w:t>
      </w:r>
      <w:r w:rsidRPr="003F2847">
        <w:rPr>
          <w:rFonts w:eastAsia="Times New Roman" w:cs="Times New Roman"/>
          <w:b/>
          <w:bCs/>
          <w:rtl/>
          <w:lang w:eastAsia="de-DE"/>
        </w:rPr>
        <w:t xml:space="preserve">ואני אתן </w:t>
      </w:r>
      <w:r w:rsidRPr="003F2847">
        <w:rPr>
          <w:rFonts w:eastAsia="Times New Roman" w:cs="Times New Roman"/>
          <w:b/>
          <w:bCs/>
          <w:rtl/>
          <w:lang w:eastAsia="de-DE"/>
        </w:rPr>
        <w:lastRenderedPageBreak/>
        <w:t>את־פני באיש ההוא</w:t>
      </w:r>
      <w:r w:rsidRPr="003F2847">
        <w:rPr>
          <w:rFonts w:eastAsia="Times New Roman" w:cs="Times New Roman"/>
          <w:rtl/>
          <w:lang w:eastAsia="de-DE"/>
        </w:rPr>
        <w:t xml:space="preserve"> </w:t>
      </w:r>
      <w:r w:rsidRPr="003F2847">
        <w:rPr>
          <w:rFonts w:eastAsia="Times New Roman" w:cs="Times New Roman"/>
          <w:lang w:eastAsia="de-DE"/>
        </w:rPr>
        <w:t xml:space="preserve">(und ich werde mein Angesicht gegen diesen Mann richten) - </w:t>
      </w:r>
      <w:r w:rsidRPr="003F2847">
        <w:rPr>
          <w:rFonts w:eastAsia="Times New Roman" w:cs="Times New Roman"/>
          <w:b/>
          <w:bCs/>
          <w:rtl/>
          <w:lang w:eastAsia="de-DE"/>
        </w:rPr>
        <w:t>ואני</w:t>
      </w:r>
      <w:r w:rsidRPr="003F2847">
        <w:rPr>
          <w:rFonts w:eastAsia="Times New Roman" w:cs="Times New Roman"/>
          <w:rtl/>
          <w:lang w:eastAsia="de-DE"/>
        </w:rPr>
        <w:t xml:space="preserve"> </w:t>
      </w:r>
      <w:r w:rsidRPr="003F2847">
        <w:rPr>
          <w:rFonts w:eastAsia="Times New Roman" w:cs="Times New Roman"/>
          <w:lang w:eastAsia="de-DE"/>
        </w:rPr>
        <w:t xml:space="preserve">(und ich) als emphatisches Pronomen zeigt persönliche göttliche Intervention. </w:t>
      </w:r>
      <w:r w:rsidRPr="003F2847">
        <w:rPr>
          <w:rFonts w:eastAsia="Times New Roman" w:cs="Times New Roman"/>
          <w:b/>
          <w:bCs/>
          <w:rtl/>
          <w:lang w:eastAsia="de-DE"/>
        </w:rPr>
        <w:t>אתן את־פני</w:t>
      </w:r>
      <w:r w:rsidRPr="003F2847">
        <w:rPr>
          <w:rFonts w:eastAsia="Times New Roman" w:cs="Times New Roman"/>
          <w:rtl/>
          <w:lang w:eastAsia="de-DE"/>
        </w:rPr>
        <w:t xml:space="preserve"> </w:t>
      </w:r>
      <w:r w:rsidRPr="003F2847">
        <w:rPr>
          <w:rFonts w:eastAsia="Times New Roman" w:cs="Times New Roman"/>
          <w:lang w:eastAsia="de-DE"/>
        </w:rPr>
        <w:t>(werde mein Angesicht richten) als Idiom für feindliche Aufmerksamkeit.</w:t>
      </w:r>
    </w:p>
    <w:p w14:paraId="5D6CF3F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והכרתי אתו מקרב עמו</w:t>
      </w:r>
      <w:r w:rsidRPr="003F2847">
        <w:rPr>
          <w:rFonts w:eastAsia="Times New Roman" w:cs="Times New Roman"/>
          <w:rtl/>
          <w:lang w:eastAsia="de-DE"/>
        </w:rPr>
        <w:t xml:space="preserve"> </w:t>
      </w:r>
      <w:r w:rsidRPr="003F2847">
        <w:rPr>
          <w:rFonts w:eastAsia="Times New Roman" w:cs="Times New Roman"/>
          <w:lang w:eastAsia="de-DE"/>
        </w:rPr>
        <w:t xml:space="preserve">(und ihn ausrotten aus der Mitte seines Volkes) - </w:t>
      </w:r>
      <w:r w:rsidRPr="003F2847">
        <w:rPr>
          <w:rFonts w:eastAsia="Times New Roman" w:cs="Times New Roman"/>
          <w:b/>
          <w:bCs/>
          <w:rtl/>
          <w:lang w:eastAsia="de-DE"/>
        </w:rPr>
        <w:t>והכרתי</w:t>
      </w:r>
      <w:r w:rsidRPr="003F2847">
        <w:rPr>
          <w:rFonts w:eastAsia="Times New Roman" w:cs="Times New Roman"/>
          <w:rtl/>
          <w:lang w:eastAsia="de-DE"/>
        </w:rPr>
        <w:t xml:space="preserve"> </w:t>
      </w:r>
      <w:r w:rsidRPr="003F2847">
        <w:rPr>
          <w:rFonts w:eastAsia="Times New Roman" w:cs="Times New Roman"/>
          <w:lang w:eastAsia="de-DE"/>
        </w:rPr>
        <w:t>(und ich werde ausrotten) im Hifil-Perfekt mit Waw-Konsekutiv, das Hifil zeigt kausative göttliche Ausrottung zusätzlich zur menschlichen Todesstrafe.</w:t>
      </w:r>
    </w:p>
    <w:p w14:paraId="37D79109" w14:textId="37CF1AE8"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כי מזרעו נתן למלך למען טמא את־מקדשי ולחלל את־שם קדשי</w:t>
      </w:r>
      <w:r w:rsidRPr="003F2847">
        <w:rPr>
          <w:rFonts w:eastAsia="Times New Roman" w:cs="Times New Roman"/>
          <w:rtl/>
          <w:lang w:eastAsia="de-DE"/>
        </w:rPr>
        <w:t xml:space="preserve"> </w:t>
      </w:r>
      <w:r w:rsidRPr="003F2847">
        <w:rPr>
          <w:rFonts w:eastAsia="Times New Roman" w:cs="Times New Roman"/>
          <w:lang w:eastAsia="de-DE"/>
        </w:rPr>
        <w:t xml:space="preserve">(weil er von seinen Nachkommen dem Molech gegeben hat, um mein Heiligtum zu verunreinigen und meinen heiligen Namen zu entweihen) - </w:t>
      </w:r>
      <w:r w:rsidRPr="003F2847">
        <w:rPr>
          <w:rFonts w:eastAsia="Times New Roman" w:cs="Times New Roman"/>
          <w:b/>
          <w:bCs/>
          <w:rtl/>
          <w:lang w:eastAsia="de-DE"/>
        </w:rPr>
        <w:t>למען טמא</w:t>
      </w:r>
      <w:r w:rsidRPr="003F2847">
        <w:rPr>
          <w:rFonts w:eastAsia="Times New Roman" w:cs="Times New Roman"/>
          <w:rtl/>
          <w:lang w:eastAsia="de-DE"/>
        </w:rPr>
        <w:t xml:space="preserve"> </w:t>
      </w:r>
      <w:r w:rsidRPr="003F2847">
        <w:rPr>
          <w:rFonts w:eastAsia="Times New Roman" w:cs="Times New Roman"/>
          <w:lang w:eastAsia="de-DE"/>
        </w:rPr>
        <w:t>(um zu verunreinigen) im Piel-Infinitiv-</w:t>
      </w:r>
      <w:r w:rsidR="005407E2">
        <w:rPr>
          <w:rFonts w:eastAsia="Times New Roman" w:cs="Times New Roman"/>
          <w:lang w:eastAsia="de-DE"/>
        </w:rPr>
        <w:t>Constructus</w:t>
      </w:r>
      <w:r w:rsidRPr="003F2847">
        <w:rPr>
          <w:rFonts w:eastAsia="Times New Roman" w:cs="Times New Roman"/>
          <w:lang w:eastAsia="de-DE"/>
        </w:rPr>
        <w:t xml:space="preserve"> zeigt den Zweck, das Piel zeigt intensive Verunreinigung. </w:t>
      </w:r>
      <w:r w:rsidRPr="003F2847">
        <w:rPr>
          <w:rFonts w:eastAsia="Times New Roman" w:cs="Times New Roman"/>
          <w:b/>
          <w:bCs/>
          <w:rtl/>
          <w:lang w:eastAsia="de-DE"/>
        </w:rPr>
        <w:t>ולחלל את־שם קדשי</w:t>
      </w:r>
      <w:r w:rsidRPr="003F2847">
        <w:rPr>
          <w:rFonts w:eastAsia="Times New Roman" w:cs="Times New Roman"/>
          <w:rtl/>
          <w:lang w:eastAsia="de-DE"/>
        </w:rPr>
        <w:t xml:space="preserve"> </w:t>
      </w:r>
      <w:r w:rsidRPr="003F2847">
        <w:rPr>
          <w:rFonts w:eastAsia="Times New Roman" w:cs="Times New Roman"/>
          <w:lang w:eastAsia="de-DE"/>
        </w:rPr>
        <w:t>(und meinen heiligen Namen zu entweihen) im Piel-Infinitiv-</w:t>
      </w:r>
      <w:r w:rsidR="005407E2">
        <w:rPr>
          <w:rFonts w:eastAsia="Times New Roman" w:cs="Times New Roman"/>
          <w:lang w:eastAsia="de-DE"/>
        </w:rPr>
        <w:t>Constructus</w:t>
      </w:r>
      <w:r w:rsidRPr="003F2847">
        <w:rPr>
          <w:rFonts w:eastAsia="Times New Roman" w:cs="Times New Roman"/>
          <w:lang w:eastAsia="de-DE"/>
        </w:rPr>
        <w:t>, das Piel zeigt intensive Entweihung.</w:t>
      </w:r>
    </w:p>
    <w:p w14:paraId="63E3E55A"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ואני</w:t>
      </w:r>
      <w:r w:rsidRPr="003F2847">
        <w:rPr>
          <w:rFonts w:eastAsia="Times New Roman" w:cs="Times New Roman"/>
          <w:rtl/>
          <w:lang w:eastAsia="de-DE"/>
        </w:rPr>
        <w:t xml:space="preserve"> </w:t>
      </w:r>
      <w:r w:rsidRPr="003F2847">
        <w:rPr>
          <w:rFonts w:eastAsia="Times New Roman" w:cs="Times New Roman"/>
          <w:lang w:eastAsia="de-DE"/>
        </w:rPr>
        <w:t xml:space="preserve">betont persönliche göttliche Betroffenheit. </w:t>
      </w:r>
      <w:r w:rsidRPr="003F2847">
        <w:rPr>
          <w:rFonts w:eastAsia="Times New Roman" w:cs="Times New Roman"/>
          <w:b/>
          <w:bCs/>
          <w:rtl/>
          <w:lang w:eastAsia="de-DE"/>
        </w:rPr>
        <w:t>אתן את־פני</w:t>
      </w:r>
      <w:r w:rsidRPr="003F2847">
        <w:rPr>
          <w:rFonts w:eastAsia="Times New Roman" w:cs="Times New Roman"/>
          <w:rtl/>
          <w:lang w:eastAsia="de-DE"/>
        </w:rPr>
        <w:t xml:space="preserve"> </w:t>
      </w:r>
      <w:r w:rsidRPr="003F2847">
        <w:rPr>
          <w:rFonts w:eastAsia="Times New Roman" w:cs="Times New Roman"/>
          <w:lang w:eastAsia="de-DE"/>
        </w:rPr>
        <w:t xml:space="preserve">zeigt göttliche Feindschaft. </w:t>
      </w:r>
      <w:r w:rsidRPr="003F2847">
        <w:rPr>
          <w:rFonts w:eastAsia="Times New Roman" w:cs="Times New Roman"/>
          <w:b/>
          <w:bCs/>
          <w:rtl/>
          <w:lang w:eastAsia="de-DE"/>
        </w:rPr>
        <w:t>למען טמא את־מקדשי ולחלל את־שם קדשי</w:t>
      </w:r>
      <w:r w:rsidRPr="003F2847">
        <w:rPr>
          <w:rFonts w:eastAsia="Times New Roman" w:cs="Times New Roman"/>
          <w:rtl/>
          <w:lang w:eastAsia="de-DE"/>
        </w:rPr>
        <w:t xml:space="preserve"> </w:t>
      </w:r>
      <w:r w:rsidRPr="003F2847">
        <w:rPr>
          <w:rFonts w:eastAsia="Times New Roman" w:cs="Times New Roman"/>
          <w:lang w:eastAsia="de-DE"/>
        </w:rPr>
        <w:t>zeigt die doppelte Verletzung: Heiligtums- und Namensschändung.</w:t>
      </w:r>
    </w:p>
    <w:p w14:paraId="38E29ACB" w14:textId="1A419251"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erweitert </w:t>
      </w:r>
      <w:r w:rsidR="004F25E8">
        <w:rPr>
          <w:rtl/>
        </w:rPr>
        <w:t>שם קדשי</w:t>
      </w:r>
      <w:r w:rsidR="004F25E8">
        <w:t xml:space="preserve"> (</w:t>
      </w:r>
      <w:proofErr w:type="spellStart"/>
      <w:r w:rsidR="004F25E8">
        <w:t>shem</w:t>
      </w:r>
      <w:proofErr w:type="spellEnd"/>
      <w:r w:rsidR="004F25E8">
        <w:t xml:space="preserve"> </w:t>
      </w:r>
      <w:proofErr w:type="spellStart"/>
      <w:r w:rsidR="004F25E8">
        <w:t>qodshi</w:t>
      </w:r>
      <w:proofErr w:type="spellEnd"/>
      <w:r w:rsidR="004F25E8">
        <w:t xml:space="preserve"> - "mein heiliger Name") zu </w:t>
      </w:r>
      <w:proofErr w:type="spellStart"/>
      <w:r w:rsidR="004F25E8">
        <w:t>τὸ</w:t>
      </w:r>
      <w:proofErr w:type="spellEnd"/>
      <w:r w:rsidR="004F25E8">
        <w:t xml:space="preserve"> </w:t>
      </w:r>
      <w:proofErr w:type="spellStart"/>
      <w:r w:rsidR="004F25E8">
        <w:t>ὄνομ</w:t>
      </w:r>
      <w:proofErr w:type="spellEnd"/>
      <w:r w:rsidR="004F25E8">
        <w:t xml:space="preserve">α </w:t>
      </w:r>
      <w:proofErr w:type="spellStart"/>
      <w:r w:rsidR="004F25E8">
        <w:t>τῶν</w:t>
      </w:r>
      <w:proofErr w:type="spellEnd"/>
      <w:r w:rsidR="004F25E8">
        <w:t xml:space="preserve"> </w:t>
      </w:r>
      <w:proofErr w:type="spellStart"/>
      <w:r w:rsidR="004F25E8">
        <w:t>ἡγι</w:t>
      </w:r>
      <w:proofErr w:type="spellEnd"/>
      <w:r w:rsidR="004F25E8">
        <w:t xml:space="preserve">ασμένων </w:t>
      </w:r>
      <w:proofErr w:type="spellStart"/>
      <w:r w:rsidR="004F25E8">
        <w:t>μοι</w:t>
      </w:r>
      <w:proofErr w:type="spellEnd"/>
      <w:r w:rsidR="004F25E8">
        <w:t xml:space="preserve"> (der Name der mir Geheiligten), was eine theologische Interpretation hinzufügt.</w:t>
      </w:r>
    </w:p>
    <w:p w14:paraId="6859233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göttliche Zusatzstrafe: persönliche göttliche Intervention + </w:t>
      </w:r>
      <w:r w:rsidRPr="003F2847">
        <w:rPr>
          <w:rFonts w:eastAsia="Times New Roman" w:cs="Times New Roman"/>
          <w:b/>
          <w:bCs/>
          <w:rtl/>
          <w:lang w:eastAsia="de-DE"/>
        </w:rPr>
        <w:t>כרת</w:t>
      </w:r>
      <w:r w:rsidRPr="003F2847">
        <w:rPr>
          <w:rFonts w:eastAsia="Times New Roman" w:cs="Times New Roman"/>
          <w:lang w:eastAsia="de-DE"/>
        </w:rPr>
        <w:t>-Strafe + doppelte Begründung durch Heiligtums- und Namensschändung.</w:t>
      </w:r>
    </w:p>
    <w:p w14:paraId="3EA86A5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 xml:space="preserve">Dieser Vers zeigt göttliche </w:t>
      </w:r>
      <w:r w:rsidRPr="003F2847">
        <w:rPr>
          <w:rFonts w:eastAsia="Times New Roman" w:cs="Times New Roman"/>
          <w:b/>
          <w:bCs/>
          <w:rtl/>
          <w:lang w:eastAsia="de-DE"/>
        </w:rPr>
        <w:t>כרת</w:t>
      </w:r>
      <w:r w:rsidRPr="003F2847">
        <w:rPr>
          <w:rFonts w:eastAsia="Times New Roman" w:cs="Times New Roman"/>
          <w:lang w:eastAsia="de-DE"/>
        </w:rPr>
        <w:t>-Strafe zusätzlich zur menschlichen Todesstrafe wegen Heiligtums- und Namensschändung.</w:t>
      </w:r>
    </w:p>
    <w:p w14:paraId="36A11386"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20,4</w:t>
      </w:r>
    </w:p>
    <w:p w14:paraId="5C76D1D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וְאִ֡ם הַעְלֵ֣ם יַעְלִימֽוּ֩ עַ֨ם הָאָ֜רֶץ אֶת־עֵֽינֵיהֶם֙ מִן־הָאִ֣ישׁ הַה֔וּא בְּתִתּוֹ֥ מִזַּרְעֹ֖ו לַמֹּ֑לֶךְ לְבִלְתִּ֖י הָמִ֥ית אֹתוֹֽ׃</w:t>
      </w:r>
    </w:p>
    <w:p w14:paraId="555D475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wenn das Volk des Landes seine Augen irgend vor diesem Mann verhüllt, wenn er von seinen Nachkommen dem Molech gibt, sodass es ihn nicht tötet,</w:t>
      </w:r>
    </w:p>
    <w:p w14:paraId="76861EA7"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3F4F0D90">
          <v:rect id="_x0000_i1601" style="width:0;height:1.5pt" o:hralign="center" o:hrstd="t" o:hr="t" fillcolor="#a0a0a0" stroked="f"/>
        </w:pict>
      </w:r>
    </w:p>
    <w:p w14:paraId="1252F54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ואם העלם יעלימו עם הארץ את־עיניהם מן־האיש ההוא בתתו מזרעו למלך לבלתי המית אתו</w:t>
      </w:r>
      <w:r w:rsidRPr="003F2847">
        <w:rPr>
          <w:rFonts w:eastAsia="Times New Roman" w:cs="Times New Roman"/>
          <w:rtl/>
          <w:lang w:eastAsia="de-DE"/>
        </w:rPr>
        <w:t xml:space="preserve"> </w:t>
      </w:r>
      <w:r w:rsidRPr="003F2847">
        <w:rPr>
          <w:rFonts w:eastAsia="Times New Roman" w:cs="Times New Roman"/>
          <w:lang w:eastAsia="de-DE"/>
        </w:rPr>
        <w:t xml:space="preserve">zeigt den Fall unterlassener Strafverfolgung. </w:t>
      </w:r>
      <w:r w:rsidRPr="003F2847">
        <w:rPr>
          <w:rFonts w:eastAsia="Times New Roman" w:cs="Times New Roman"/>
          <w:b/>
          <w:bCs/>
          <w:rtl/>
          <w:lang w:eastAsia="de-DE"/>
        </w:rPr>
        <w:t>ואם העלם יעלימו עם הארץ את־עיניהם</w:t>
      </w:r>
      <w:r w:rsidRPr="003F2847">
        <w:rPr>
          <w:rFonts w:eastAsia="Times New Roman" w:cs="Times New Roman"/>
          <w:rtl/>
          <w:lang w:eastAsia="de-DE"/>
        </w:rPr>
        <w:t xml:space="preserve"> </w:t>
      </w:r>
      <w:r w:rsidRPr="003F2847">
        <w:rPr>
          <w:rFonts w:eastAsia="Times New Roman" w:cs="Times New Roman"/>
          <w:lang w:eastAsia="de-DE"/>
        </w:rPr>
        <w:t xml:space="preserve">(und wenn das Volk des Landes seine Augen irgend verhüllt) - </w:t>
      </w:r>
      <w:r w:rsidRPr="003F2847">
        <w:rPr>
          <w:rFonts w:eastAsia="Times New Roman" w:cs="Times New Roman"/>
          <w:b/>
          <w:bCs/>
          <w:rtl/>
          <w:lang w:eastAsia="de-DE"/>
        </w:rPr>
        <w:t>העלם יעלימו</w:t>
      </w:r>
      <w:r w:rsidRPr="003F2847">
        <w:rPr>
          <w:rFonts w:eastAsia="Times New Roman" w:cs="Times New Roman"/>
          <w:rtl/>
          <w:lang w:eastAsia="de-DE"/>
        </w:rPr>
        <w:t xml:space="preserve"> </w:t>
      </w:r>
      <w:r w:rsidRPr="003F2847">
        <w:rPr>
          <w:rFonts w:eastAsia="Times New Roman" w:cs="Times New Roman"/>
          <w:lang w:eastAsia="de-DE"/>
        </w:rPr>
        <w:t xml:space="preserve">als infinitivus absolutus + finite Verbform im Hifil zeigt emphatische Gewissheit, das Hifil zeigt kausatives Verbergen/Übersehen. </w:t>
      </w:r>
      <w:r w:rsidRPr="003F2847">
        <w:rPr>
          <w:rFonts w:eastAsia="Times New Roman" w:cs="Times New Roman"/>
          <w:b/>
          <w:bCs/>
          <w:rtl/>
          <w:lang w:eastAsia="de-DE"/>
        </w:rPr>
        <w:t>את־עיניהם</w:t>
      </w:r>
      <w:r w:rsidRPr="003F2847">
        <w:rPr>
          <w:rFonts w:eastAsia="Times New Roman" w:cs="Times New Roman"/>
          <w:rtl/>
          <w:lang w:eastAsia="de-DE"/>
        </w:rPr>
        <w:t xml:space="preserve"> </w:t>
      </w:r>
      <w:r w:rsidRPr="003F2847">
        <w:rPr>
          <w:rFonts w:eastAsia="Times New Roman" w:cs="Times New Roman"/>
          <w:lang w:eastAsia="de-DE"/>
        </w:rPr>
        <w:t>(ihre Augen) als Objekt der Verhüllung.</w:t>
      </w:r>
    </w:p>
    <w:p w14:paraId="1397EA47" w14:textId="4DC2F0CC"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מן־האיש ההוא בתתו מזרעו למלך</w:t>
      </w:r>
      <w:r w:rsidRPr="003F2847">
        <w:rPr>
          <w:rFonts w:eastAsia="Times New Roman" w:cs="Times New Roman"/>
          <w:rtl/>
          <w:lang w:eastAsia="de-DE"/>
        </w:rPr>
        <w:t xml:space="preserve"> </w:t>
      </w:r>
      <w:r w:rsidRPr="003F2847">
        <w:rPr>
          <w:rFonts w:eastAsia="Times New Roman" w:cs="Times New Roman"/>
          <w:lang w:eastAsia="de-DE"/>
        </w:rPr>
        <w:t xml:space="preserve">(vor diesem Mann, wenn er von seinen Nachkommen dem Molech gibt) - </w:t>
      </w:r>
      <w:r w:rsidRPr="003F2847">
        <w:rPr>
          <w:rFonts w:eastAsia="Times New Roman" w:cs="Times New Roman"/>
          <w:b/>
          <w:bCs/>
          <w:rtl/>
          <w:lang w:eastAsia="de-DE"/>
        </w:rPr>
        <w:t>בתתו</w:t>
      </w:r>
      <w:r w:rsidRPr="003F2847">
        <w:rPr>
          <w:rFonts w:eastAsia="Times New Roman" w:cs="Times New Roman"/>
          <w:rtl/>
          <w:lang w:eastAsia="de-DE"/>
        </w:rPr>
        <w:t xml:space="preserve"> </w:t>
      </w:r>
      <w:r w:rsidRPr="003F2847">
        <w:rPr>
          <w:rFonts w:eastAsia="Times New Roman" w:cs="Times New Roman"/>
          <w:lang w:eastAsia="de-DE"/>
        </w:rPr>
        <w:t>(wenn er gibt) im Qal-Infinitiv-</w:t>
      </w:r>
      <w:r w:rsidR="005407E2">
        <w:rPr>
          <w:rFonts w:eastAsia="Times New Roman" w:cs="Times New Roman"/>
          <w:lang w:eastAsia="de-DE"/>
        </w:rPr>
        <w:t>Constructus</w:t>
      </w:r>
      <w:r w:rsidRPr="003F2847">
        <w:rPr>
          <w:rFonts w:eastAsia="Times New Roman" w:cs="Times New Roman"/>
          <w:lang w:eastAsia="de-DE"/>
        </w:rPr>
        <w:t xml:space="preserve"> mit Suffix. </w:t>
      </w:r>
      <w:r w:rsidRPr="003F2847">
        <w:rPr>
          <w:rFonts w:eastAsia="Times New Roman" w:cs="Times New Roman"/>
          <w:b/>
          <w:bCs/>
          <w:rtl/>
          <w:lang w:eastAsia="de-DE"/>
        </w:rPr>
        <w:t>לבלתי המית אתו</w:t>
      </w:r>
      <w:r w:rsidRPr="003F2847">
        <w:rPr>
          <w:rFonts w:eastAsia="Times New Roman" w:cs="Times New Roman"/>
          <w:rtl/>
          <w:lang w:eastAsia="de-DE"/>
        </w:rPr>
        <w:t xml:space="preserve"> </w:t>
      </w:r>
      <w:r w:rsidRPr="003F2847">
        <w:rPr>
          <w:rFonts w:eastAsia="Times New Roman" w:cs="Times New Roman"/>
          <w:lang w:eastAsia="de-DE"/>
        </w:rPr>
        <w:t xml:space="preserve">(sodass es ihn nicht tötet) - </w:t>
      </w:r>
      <w:r w:rsidRPr="003F2847">
        <w:rPr>
          <w:rFonts w:eastAsia="Times New Roman" w:cs="Times New Roman"/>
          <w:b/>
          <w:bCs/>
          <w:rtl/>
          <w:lang w:eastAsia="de-DE"/>
        </w:rPr>
        <w:t>לבלתי</w:t>
      </w:r>
      <w:r w:rsidRPr="003F2847">
        <w:rPr>
          <w:rFonts w:eastAsia="Times New Roman" w:cs="Times New Roman"/>
          <w:rtl/>
          <w:lang w:eastAsia="de-DE"/>
        </w:rPr>
        <w:t xml:space="preserve"> </w:t>
      </w:r>
      <w:r w:rsidRPr="003F2847">
        <w:rPr>
          <w:rFonts w:eastAsia="Times New Roman" w:cs="Times New Roman"/>
          <w:lang w:eastAsia="de-DE"/>
        </w:rPr>
        <w:t xml:space="preserve">(um nicht) zeigt negativen Zweck, </w:t>
      </w:r>
      <w:r w:rsidRPr="003F2847">
        <w:rPr>
          <w:rFonts w:eastAsia="Times New Roman" w:cs="Times New Roman"/>
          <w:b/>
          <w:bCs/>
          <w:rtl/>
          <w:lang w:eastAsia="de-DE"/>
        </w:rPr>
        <w:t>המית</w:t>
      </w:r>
      <w:r w:rsidRPr="003F2847">
        <w:rPr>
          <w:rFonts w:eastAsia="Times New Roman" w:cs="Times New Roman"/>
          <w:rtl/>
          <w:lang w:eastAsia="de-DE"/>
        </w:rPr>
        <w:t xml:space="preserve"> </w:t>
      </w:r>
      <w:r w:rsidRPr="003F2847">
        <w:rPr>
          <w:rFonts w:eastAsia="Times New Roman" w:cs="Times New Roman"/>
          <w:lang w:eastAsia="de-DE"/>
        </w:rPr>
        <w:t>(töten) im Hifil-Infinitiv-</w:t>
      </w:r>
      <w:r w:rsidR="005407E2">
        <w:rPr>
          <w:rFonts w:eastAsia="Times New Roman" w:cs="Times New Roman"/>
          <w:lang w:eastAsia="de-DE"/>
        </w:rPr>
        <w:t>Constructus</w:t>
      </w:r>
      <w:r w:rsidRPr="003F2847">
        <w:rPr>
          <w:rFonts w:eastAsia="Times New Roman" w:cs="Times New Roman"/>
          <w:lang w:eastAsia="de-DE"/>
        </w:rPr>
        <w:t>, das Hifil zeigt kausatives Töten.</w:t>
      </w:r>
    </w:p>
    <w:p w14:paraId="46035E9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lastRenderedPageBreak/>
        <w:t>העלם יעלימו</w:t>
      </w:r>
      <w:r w:rsidRPr="003F2847">
        <w:rPr>
          <w:rFonts w:eastAsia="Times New Roman" w:cs="Times New Roman"/>
          <w:rtl/>
          <w:lang w:eastAsia="de-DE"/>
        </w:rPr>
        <w:t xml:space="preserve"> </w:t>
      </w:r>
      <w:r w:rsidRPr="003F2847">
        <w:rPr>
          <w:rFonts w:eastAsia="Times New Roman" w:cs="Times New Roman"/>
          <w:lang w:eastAsia="de-DE"/>
        </w:rPr>
        <w:t xml:space="preserve">betont bewusstes Wegsehen. </w:t>
      </w:r>
      <w:r w:rsidRPr="003F2847">
        <w:rPr>
          <w:rFonts w:eastAsia="Times New Roman" w:cs="Times New Roman"/>
          <w:b/>
          <w:bCs/>
          <w:rtl/>
          <w:lang w:eastAsia="de-DE"/>
        </w:rPr>
        <w:t>עם הארץ</w:t>
      </w:r>
      <w:r w:rsidRPr="003F2847">
        <w:rPr>
          <w:rFonts w:eastAsia="Times New Roman" w:cs="Times New Roman"/>
          <w:rtl/>
          <w:lang w:eastAsia="de-DE"/>
        </w:rPr>
        <w:t xml:space="preserve"> </w:t>
      </w:r>
      <w:r w:rsidRPr="003F2847">
        <w:rPr>
          <w:rFonts w:eastAsia="Times New Roman" w:cs="Times New Roman"/>
          <w:lang w:eastAsia="de-DE"/>
        </w:rPr>
        <w:t xml:space="preserve">als die zur Strafverfolgung Verpflichteten. </w:t>
      </w:r>
      <w:r w:rsidRPr="003F2847">
        <w:rPr>
          <w:rFonts w:eastAsia="Times New Roman" w:cs="Times New Roman"/>
          <w:b/>
          <w:bCs/>
          <w:rtl/>
          <w:lang w:eastAsia="de-DE"/>
        </w:rPr>
        <w:t>לבלתי המית אתו</w:t>
      </w:r>
      <w:r w:rsidRPr="003F2847">
        <w:rPr>
          <w:rFonts w:eastAsia="Times New Roman" w:cs="Times New Roman"/>
          <w:rtl/>
          <w:lang w:eastAsia="de-DE"/>
        </w:rPr>
        <w:t xml:space="preserve"> </w:t>
      </w:r>
      <w:r w:rsidRPr="003F2847">
        <w:rPr>
          <w:rFonts w:eastAsia="Times New Roman" w:cs="Times New Roman"/>
          <w:lang w:eastAsia="de-DE"/>
        </w:rPr>
        <w:t>zeigt unterlassene Vollstreckung der Todesstrafe.</w:t>
      </w:r>
    </w:p>
    <w:p w14:paraId="0A50948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העלם יעלימו</w:t>
      </w:r>
      <w:r w:rsidRPr="003F2847">
        <w:rPr>
          <w:rFonts w:eastAsia="Times New Roman" w:cs="Times New Roman"/>
          <w:rtl/>
          <w:lang w:eastAsia="de-DE"/>
        </w:rPr>
        <w:t xml:space="preserve"> </w:t>
      </w:r>
      <w:r w:rsidRPr="003F2847">
        <w:rPr>
          <w:rFonts w:eastAsia="Times New Roman" w:cs="Times New Roman"/>
          <w:lang w:eastAsia="de-DE"/>
        </w:rPr>
        <w:t>mit ὑπ</w:t>
      </w:r>
      <w:proofErr w:type="spellStart"/>
      <w:r w:rsidRPr="003F2847">
        <w:rPr>
          <w:rFonts w:eastAsia="Times New Roman" w:cs="Times New Roman"/>
          <w:lang w:eastAsia="de-DE"/>
        </w:rPr>
        <w:t>εριδόντες</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ὄψοντ</w:t>
      </w:r>
      <w:proofErr w:type="spellEnd"/>
      <w:r w:rsidRPr="003F2847">
        <w:rPr>
          <w:rFonts w:eastAsia="Times New Roman" w:cs="Times New Roman"/>
          <w:lang w:eastAsia="de-DE"/>
        </w:rPr>
        <w:t xml:space="preserve">αι (übersehend werden sie sehen), </w:t>
      </w:r>
      <w:r w:rsidRPr="003F2847">
        <w:rPr>
          <w:rFonts w:eastAsia="Times New Roman" w:cs="Times New Roman"/>
          <w:b/>
          <w:bCs/>
          <w:rtl/>
          <w:lang w:eastAsia="de-DE"/>
        </w:rPr>
        <w:t>את־עיניהם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τοὺς</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ὀφθ</w:t>
      </w:r>
      <w:proofErr w:type="spellEnd"/>
      <w:r w:rsidRPr="003F2847">
        <w:rPr>
          <w:rFonts w:eastAsia="Times New Roman" w:cs="Times New Roman"/>
          <w:lang w:eastAsia="de-DE"/>
        </w:rPr>
        <w:t>αλμοὺς α</w:t>
      </w:r>
      <w:proofErr w:type="spellStart"/>
      <w:r w:rsidRPr="003F2847">
        <w:rPr>
          <w:rFonts w:eastAsia="Times New Roman" w:cs="Times New Roman"/>
          <w:lang w:eastAsia="de-DE"/>
        </w:rPr>
        <w:t>ὐτῶν</w:t>
      </w:r>
      <w:proofErr w:type="spellEnd"/>
      <w:r w:rsidRPr="003F2847">
        <w:rPr>
          <w:rFonts w:eastAsia="Times New Roman" w:cs="Times New Roman"/>
          <w:lang w:eastAsia="de-DE"/>
        </w:rPr>
        <w:t xml:space="preserve"> (ihre Augen) und </w:t>
      </w:r>
      <w:r w:rsidRPr="003F2847">
        <w:rPr>
          <w:rFonts w:eastAsia="Times New Roman" w:cs="Times New Roman"/>
          <w:b/>
          <w:bCs/>
          <w:rtl/>
          <w:lang w:eastAsia="de-DE"/>
        </w:rPr>
        <w:t>לבלתי המית</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τοῦ</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μὴ</w:t>
      </w:r>
      <w:proofErr w:type="spellEnd"/>
      <w:r w:rsidRPr="003F2847">
        <w:rPr>
          <w:rFonts w:eastAsia="Times New Roman" w:cs="Times New Roman"/>
          <w:lang w:eastAsia="de-DE"/>
        </w:rPr>
        <w:t xml:space="preserve"> ἀπ</w:t>
      </w:r>
      <w:proofErr w:type="spellStart"/>
      <w:r w:rsidRPr="003F2847">
        <w:rPr>
          <w:rFonts w:eastAsia="Times New Roman" w:cs="Times New Roman"/>
          <w:lang w:eastAsia="de-DE"/>
        </w:rPr>
        <w:t>οκτεῖν</w:t>
      </w:r>
      <w:proofErr w:type="spellEnd"/>
      <w:r w:rsidRPr="003F2847">
        <w:rPr>
          <w:rFonts w:eastAsia="Times New Roman" w:cs="Times New Roman"/>
          <w:lang w:eastAsia="de-DE"/>
        </w:rPr>
        <w:t>αι (um nicht zu töten).</w:t>
      </w:r>
    </w:p>
    <w:p w14:paraId="505FF34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Strafverfolgungsversagen: emphatisches bewusstes Wegsehen + Molech-Vergehen + unterlassene Todesstrafe.</w:t>
      </w:r>
    </w:p>
    <w:p w14:paraId="0C05205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behandelt den Fall, dass das Volk seine Strafverfolgungspflicht bei Molech-Opfern bewusst vernachlässigt.</w:t>
      </w:r>
    </w:p>
    <w:p w14:paraId="3BB6AE3B"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20,5</w:t>
      </w:r>
    </w:p>
    <w:p w14:paraId="6A46D43D"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וְשַׂמְתִּ֨י אֲנִ֧י אֶת־פָּנַ֛י בָּאִ֥ישׁ הַה֖וּא וּבְמִשְׁפַּחְתּוֹ֑ וְהִכְרַתִּ֨י אֹתוֹ֜ וְאֵ֣ת׀ כָּל־הַזֹּנִ֣ים אַחֲרָ֗יו לִזְנ֛וֹת אַחֲרֵ֥י הַמֹּ֖לֶךְ מִקֶּ֥רֶב עַמָּֽם׃</w:t>
      </w:r>
    </w:p>
    <w:p w14:paraId="3A491AF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so werde ich mein Angesicht gegen diesen Mann richten und gegen seine Familie, und ich werde ihn und alle, die ihm nachhuren, um dem Molech nachzuhuren, ausrotten aus der Mitte ihres Volkes.</w:t>
      </w:r>
    </w:p>
    <w:p w14:paraId="219BC09C"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56C83011">
          <v:rect id="_x0000_i1602" style="width:0;height:1.5pt" o:hralign="center" o:hrstd="t" o:hr="t" fillcolor="#a0a0a0" stroked="f"/>
        </w:pict>
      </w:r>
    </w:p>
    <w:p w14:paraId="6F38DC7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ושמתי אני את־פני באיש ההוא ובמשפחתו והכרתי אתו ואת כל־הזנים אחריו לזנות אחרי המלך מקרב עמם</w:t>
      </w:r>
      <w:r w:rsidRPr="003F2847">
        <w:rPr>
          <w:rFonts w:eastAsia="Times New Roman" w:cs="Times New Roman"/>
          <w:rtl/>
          <w:lang w:eastAsia="de-DE"/>
        </w:rPr>
        <w:t xml:space="preserve"> </w:t>
      </w:r>
      <w:r w:rsidRPr="003F2847">
        <w:rPr>
          <w:rFonts w:eastAsia="Times New Roman" w:cs="Times New Roman"/>
          <w:lang w:eastAsia="de-DE"/>
        </w:rPr>
        <w:t xml:space="preserve">zeigt verschärfte göttliche Strafe bei unterlassener Menschenjustiz. </w:t>
      </w:r>
      <w:r w:rsidRPr="003F2847">
        <w:rPr>
          <w:rFonts w:eastAsia="Times New Roman" w:cs="Times New Roman"/>
          <w:b/>
          <w:bCs/>
          <w:rtl/>
          <w:lang w:eastAsia="de-DE"/>
        </w:rPr>
        <w:t>ושמתי אני את־פני באיש ההוא ובמשפחתו</w:t>
      </w:r>
      <w:r w:rsidRPr="003F2847">
        <w:rPr>
          <w:rFonts w:eastAsia="Times New Roman" w:cs="Times New Roman"/>
          <w:rtl/>
          <w:lang w:eastAsia="de-DE"/>
        </w:rPr>
        <w:t xml:space="preserve"> </w:t>
      </w:r>
      <w:r w:rsidRPr="003F2847">
        <w:rPr>
          <w:rFonts w:eastAsia="Times New Roman" w:cs="Times New Roman"/>
          <w:lang w:eastAsia="de-DE"/>
        </w:rPr>
        <w:t xml:space="preserve">(so werde ich mein Angesicht gegen diesen Mann richten und gegen seine Familie) - </w:t>
      </w:r>
      <w:r w:rsidRPr="003F2847">
        <w:rPr>
          <w:rFonts w:eastAsia="Times New Roman" w:cs="Times New Roman"/>
          <w:b/>
          <w:bCs/>
          <w:rtl/>
          <w:lang w:eastAsia="de-DE"/>
        </w:rPr>
        <w:t>אני</w:t>
      </w:r>
      <w:r w:rsidRPr="003F2847">
        <w:rPr>
          <w:rFonts w:eastAsia="Times New Roman" w:cs="Times New Roman"/>
          <w:rtl/>
          <w:lang w:eastAsia="de-DE"/>
        </w:rPr>
        <w:t xml:space="preserve"> </w:t>
      </w:r>
      <w:r w:rsidRPr="003F2847">
        <w:rPr>
          <w:rFonts w:eastAsia="Times New Roman" w:cs="Times New Roman"/>
          <w:lang w:eastAsia="de-DE"/>
        </w:rPr>
        <w:t xml:space="preserve">als emphatisches Pronomen betont persönliche göttliche Intervention. </w:t>
      </w:r>
      <w:r w:rsidRPr="003F2847">
        <w:rPr>
          <w:rFonts w:eastAsia="Times New Roman" w:cs="Times New Roman"/>
          <w:b/>
          <w:bCs/>
          <w:rtl/>
          <w:lang w:eastAsia="de-DE"/>
        </w:rPr>
        <w:t>ובמשפחתו</w:t>
      </w:r>
      <w:r w:rsidRPr="003F2847">
        <w:rPr>
          <w:rFonts w:eastAsia="Times New Roman" w:cs="Times New Roman"/>
          <w:rtl/>
          <w:lang w:eastAsia="de-DE"/>
        </w:rPr>
        <w:t xml:space="preserve"> </w:t>
      </w:r>
      <w:r w:rsidRPr="003F2847">
        <w:rPr>
          <w:rFonts w:eastAsia="Times New Roman" w:cs="Times New Roman"/>
          <w:lang w:eastAsia="de-DE"/>
        </w:rPr>
        <w:t>(und gegen seine Familie) erweitert die Strafe auf die Familie.</w:t>
      </w:r>
    </w:p>
    <w:p w14:paraId="736E991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והכרתי אתו ואת כל־הזנים אחריו לזנות אחרי המלך מקרב עמם</w:t>
      </w:r>
      <w:r w:rsidRPr="003F2847">
        <w:rPr>
          <w:rFonts w:eastAsia="Times New Roman" w:cs="Times New Roman"/>
          <w:rtl/>
          <w:lang w:eastAsia="de-DE"/>
        </w:rPr>
        <w:t xml:space="preserve"> </w:t>
      </w:r>
      <w:r w:rsidRPr="003F2847">
        <w:rPr>
          <w:rFonts w:eastAsia="Times New Roman" w:cs="Times New Roman"/>
          <w:lang w:eastAsia="de-DE"/>
        </w:rPr>
        <w:t xml:space="preserve">(und ich werde ihn und alle, die ihm nachhuren, um dem Molech nachzuhuren, ausrotten aus der Mitte ihres Volkes) - </w:t>
      </w:r>
      <w:r w:rsidRPr="003F2847">
        <w:rPr>
          <w:rFonts w:eastAsia="Times New Roman" w:cs="Times New Roman"/>
          <w:b/>
          <w:bCs/>
          <w:rtl/>
          <w:lang w:eastAsia="de-DE"/>
        </w:rPr>
        <w:t>הזנים אחריו</w:t>
      </w:r>
      <w:r w:rsidRPr="003F2847">
        <w:rPr>
          <w:rFonts w:eastAsia="Times New Roman" w:cs="Times New Roman"/>
          <w:rtl/>
          <w:lang w:eastAsia="de-DE"/>
        </w:rPr>
        <w:t xml:space="preserve"> </w:t>
      </w:r>
      <w:r w:rsidRPr="003F2847">
        <w:rPr>
          <w:rFonts w:eastAsia="Times New Roman" w:cs="Times New Roman"/>
          <w:lang w:eastAsia="de-DE"/>
        </w:rPr>
        <w:t xml:space="preserve">(die ihm nachhuren) zeigt Anhänger der Molech-Verehrung. </w:t>
      </w:r>
      <w:r w:rsidRPr="003F2847">
        <w:rPr>
          <w:rFonts w:eastAsia="Times New Roman" w:cs="Times New Roman"/>
          <w:b/>
          <w:bCs/>
          <w:rtl/>
          <w:lang w:eastAsia="de-DE"/>
        </w:rPr>
        <w:t>לזנות אחרי המלך</w:t>
      </w:r>
      <w:r w:rsidRPr="003F2847">
        <w:rPr>
          <w:rFonts w:eastAsia="Times New Roman" w:cs="Times New Roman"/>
          <w:rtl/>
          <w:lang w:eastAsia="de-DE"/>
        </w:rPr>
        <w:t xml:space="preserve"> </w:t>
      </w:r>
      <w:r w:rsidRPr="003F2847">
        <w:rPr>
          <w:rFonts w:eastAsia="Times New Roman" w:cs="Times New Roman"/>
          <w:lang w:eastAsia="de-DE"/>
        </w:rPr>
        <w:t>(um dem Molech nachzuhuren) verwendet die Hurerei-Metapher für Abfall von JHWH.</w:t>
      </w:r>
    </w:p>
    <w:p w14:paraId="74F516A5"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ושמתי אני</w:t>
      </w:r>
      <w:r w:rsidRPr="003F2847">
        <w:rPr>
          <w:rFonts w:eastAsia="Times New Roman" w:cs="Times New Roman"/>
          <w:rtl/>
          <w:lang w:eastAsia="de-DE"/>
        </w:rPr>
        <w:t xml:space="preserve"> </w:t>
      </w:r>
      <w:r w:rsidRPr="003F2847">
        <w:rPr>
          <w:rFonts w:eastAsia="Times New Roman" w:cs="Times New Roman"/>
          <w:lang w:eastAsia="de-DE"/>
        </w:rPr>
        <w:t xml:space="preserve">zeigt persönliche göttliche Reaktion auf menschliches Versagen. </w:t>
      </w:r>
      <w:r w:rsidRPr="003F2847">
        <w:rPr>
          <w:rFonts w:eastAsia="Times New Roman" w:cs="Times New Roman"/>
          <w:b/>
          <w:bCs/>
          <w:rtl/>
          <w:lang w:eastAsia="de-DE"/>
        </w:rPr>
        <w:t>ובמשפחתו</w:t>
      </w:r>
      <w:r w:rsidRPr="003F2847">
        <w:rPr>
          <w:rFonts w:eastAsia="Times New Roman" w:cs="Times New Roman"/>
          <w:rtl/>
          <w:lang w:eastAsia="de-DE"/>
        </w:rPr>
        <w:t xml:space="preserve"> </w:t>
      </w:r>
      <w:r w:rsidRPr="003F2847">
        <w:rPr>
          <w:rFonts w:eastAsia="Times New Roman" w:cs="Times New Roman"/>
          <w:lang w:eastAsia="de-DE"/>
        </w:rPr>
        <w:t xml:space="preserve">zeigt Sippenhaftung. </w:t>
      </w:r>
      <w:r w:rsidRPr="003F2847">
        <w:rPr>
          <w:rFonts w:eastAsia="Times New Roman" w:cs="Times New Roman"/>
          <w:b/>
          <w:bCs/>
          <w:rtl/>
          <w:lang w:eastAsia="de-DE"/>
        </w:rPr>
        <w:t>הזנים אחריו</w:t>
      </w:r>
      <w:r w:rsidRPr="003F2847">
        <w:rPr>
          <w:rFonts w:eastAsia="Times New Roman" w:cs="Times New Roman"/>
          <w:rtl/>
          <w:lang w:eastAsia="de-DE"/>
        </w:rPr>
        <w:t xml:space="preserve"> </w:t>
      </w:r>
      <w:r w:rsidRPr="003F2847">
        <w:rPr>
          <w:rFonts w:eastAsia="Times New Roman" w:cs="Times New Roman"/>
          <w:lang w:eastAsia="de-DE"/>
        </w:rPr>
        <w:t xml:space="preserve">zeigt, dass Molech-Verehrung Anhänger findet. </w:t>
      </w:r>
      <w:r w:rsidRPr="003F2847">
        <w:rPr>
          <w:rFonts w:eastAsia="Times New Roman" w:cs="Times New Roman"/>
          <w:b/>
          <w:bCs/>
          <w:rtl/>
          <w:lang w:eastAsia="de-DE"/>
        </w:rPr>
        <w:t>לזנות אחרי המלך</w:t>
      </w:r>
      <w:r w:rsidRPr="003F2847">
        <w:rPr>
          <w:rFonts w:eastAsia="Times New Roman" w:cs="Times New Roman"/>
          <w:rtl/>
          <w:lang w:eastAsia="de-DE"/>
        </w:rPr>
        <w:t xml:space="preserve"> </w:t>
      </w:r>
      <w:r w:rsidRPr="003F2847">
        <w:rPr>
          <w:rFonts w:eastAsia="Times New Roman" w:cs="Times New Roman"/>
          <w:lang w:eastAsia="de-DE"/>
        </w:rPr>
        <w:t>zeigt religiösen Abfall als Hurerei.</w:t>
      </w:r>
    </w:p>
    <w:p w14:paraId="7972B6CB" w14:textId="6D16D153"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übersetzt </w:t>
      </w:r>
      <w:r w:rsidR="004F25E8">
        <w:rPr>
          <w:rtl/>
        </w:rPr>
        <w:t>במשפחתו</w:t>
      </w:r>
      <w:r w:rsidR="004F25E8">
        <w:t xml:space="preserve"> (</w:t>
      </w:r>
      <w:proofErr w:type="spellStart"/>
      <w:r w:rsidR="004F25E8">
        <w:t>bemishpachto</w:t>
      </w:r>
      <w:proofErr w:type="spellEnd"/>
      <w:r w:rsidR="004F25E8">
        <w:t xml:space="preserve"> - "seiner Familie") als </w:t>
      </w:r>
      <w:proofErr w:type="spellStart"/>
      <w:r w:rsidR="004F25E8">
        <w:t>τὴν</w:t>
      </w:r>
      <w:proofErr w:type="spellEnd"/>
      <w:r w:rsidR="004F25E8">
        <w:t xml:space="preserve"> </w:t>
      </w:r>
      <w:proofErr w:type="spellStart"/>
      <w:r w:rsidR="004F25E8">
        <w:t>συγγένει</w:t>
      </w:r>
      <w:proofErr w:type="spellEnd"/>
      <w:r w:rsidR="004F25E8">
        <w:t>αν α</w:t>
      </w:r>
      <w:proofErr w:type="spellStart"/>
      <w:r w:rsidR="004F25E8">
        <w:t>ὐτοῦ</w:t>
      </w:r>
      <w:proofErr w:type="spellEnd"/>
      <w:r w:rsidR="004F25E8">
        <w:t xml:space="preserve"> (seine Verwandtschaft) und </w:t>
      </w:r>
      <w:r w:rsidR="004F25E8">
        <w:rPr>
          <w:rtl/>
        </w:rPr>
        <w:t>הזנים</w:t>
      </w:r>
      <w:r w:rsidR="004F25E8">
        <w:t xml:space="preserve"> (</w:t>
      </w:r>
      <w:proofErr w:type="spellStart"/>
      <w:r w:rsidR="004F25E8">
        <w:t>hazonim</w:t>
      </w:r>
      <w:proofErr w:type="spellEnd"/>
      <w:r w:rsidR="004F25E8">
        <w:t xml:space="preserve"> - "die huren") als </w:t>
      </w:r>
      <w:proofErr w:type="spellStart"/>
      <w:r w:rsidR="004F25E8">
        <w:t>τοὺς</w:t>
      </w:r>
      <w:proofErr w:type="spellEnd"/>
      <w:r w:rsidR="004F25E8">
        <w:t xml:space="preserve"> </w:t>
      </w:r>
      <w:proofErr w:type="spellStart"/>
      <w:r w:rsidR="004F25E8">
        <w:t>ὁμονοοῦντ</w:t>
      </w:r>
      <w:proofErr w:type="spellEnd"/>
      <w:r w:rsidR="004F25E8">
        <w:t>ας (die Gleichgesinnten), was den sexuellen Aspekt mildert.</w:t>
      </w:r>
    </w:p>
    <w:p w14:paraId="40DB778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verschärfte göttliche Strafe: persönliche göttliche Intervention + Familienerweiterung + Ausrottung aller Molech-Anhänger + Hurerei-Metapher.</w:t>
      </w:r>
    </w:p>
    <w:p w14:paraId="3E84E0D7"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zeigt, dass göttliche Strafe bei menschlichem Strafverfolgungsversagen verschärft wird und auf Familie und Anhänger ausgedehnt wird.</w:t>
      </w:r>
    </w:p>
    <w:p w14:paraId="0AB26270"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lastRenderedPageBreak/>
        <w:t>Leviticus 20,6</w:t>
      </w:r>
    </w:p>
    <w:p w14:paraId="78771D5A"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וְהַנֶּ֗פֶשׁ אֲשֶׁ֨ר תִּפְנֶ֤ה אֶל־הָֽאֹבֹת֙ וְאֶל־הַיִּדְּעֹנִ֔ים לִזְנ֖וֹת אַחֲרֵיהֶ֑ם וְנָתַתִּ֤י אֶת־פָּנַי֙ בַּנֶּ֣פֶשׁ הַהִ֔וא וְהִכְרַתִּ֥י אֹתוֹ֖ מִקֶּ֥רֶב עַמֹּֽו׃</w:t>
      </w:r>
    </w:p>
    <w:p w14:paraId="0CAE0E85"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die Seele, die sich zu den Totenbeschwörern und zu den Wahrsagern wendet, um ihnen nachzuhuren, gegen diese Seele werde ich mein Angesicht richten und sie ausrotten aus der Mitte ihres Volkes.</w:t>
      </w:r>
    </w:p>
    <w:p w14:paraId="0C6FAB82"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58E8E573">
          <v:rect id="_x0000_i1603" style="width:0;height:1.5pt" o:hralign="center" o:hrstd="t" o:hr="t" fillcolor="#a0a0a0" stroked="f"/>
        </w:pict>
      </w:r>
    </w:p>
    <w:p w14:paraId="33134DA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והנפש אשר תפנה אל־האבת ואל־הידענים לזנות אחריהם ונתתי את־פני בנפש ההוא והכרתי אתו מקרב עמו</w:t>
      </w:r>
      <w:r w:rsidRPr="003F2847">
        <w:rPr>
          <w:rFonts w:eastAsia="Times New Roman" w:cs="Times New Roman"/>
          <w:rtl/>
          <w:lang w:eastAsia="de-DE"/>
        </w:rPr>
        <w:t xml:space="preserve"> </w:t>
      </w:r>
      <w:r w:rsidRPr="003F2847">
        <w:rPr>
          <w:rFonts w:eastAsia="Times New Roman" w:cs="Times New Roman"/>
          <w:lang w:eastAsia="de-DE"/>
        </w:rPr>
        <w:t xml:space="preserve">bestraft okkulte Praktiken. </w:t>
      </w:r>
      <w:r w:rsidRPr="003F2847">
        <w:rPr>
          <w:rFonts w:eastAsia="Times New Roman" w:cs="Times New Roman"/>
          <w:b/>
          <w:bCs/>
          <w:rtl/>
          <w:lang w:eastAsia="de-DE"/>
        </w:rPr>
        <w:t>והנפש אשר תפנה אל־האבת ואל־הידענים</w:t>
      </w:r>
      <w:r w:rsidRPr="003F2847">
        <w:rPr>
          <w:rFonts w:eastAsia="Times New Roman" w:cs="Times New Roman"/>
          <w:rtl/>
          <w:lang w:eastAsia="de-DE"/>
        </w:rPr>
        <w:t xml:space="preserve"> </w:t>
      </w:r>
      <w:r w:rsidRPr="003F2847">
        <w:rPr>
          <w:rFonts w:eastAsia="Times New Roman" w:cs="Times New Roman"/>
          <w:lang w:eastAsia="de-DE"/>
        </w:rPr>
        <w:t xml:space="preserve">(und die Seele, die sich zu den Totenbeschwörern und zu den Wahrsagern wendet) entspricht 19,31. </w:t>
      </w:r>
      <w:r w:rsidRPr="003F2847">
        <w:rPr>
          <w:rFonts w:eastAsia="Times New Roman" w:cs="Times New Roman"/>
          <w:b/>
          <w:bCs/>
          <w:rtl/>
          <w:lang w:eastAsia="de-DE"/>
        </w:rPr>
        <w:t>תפנה</w:t>
      </w:r>
      <w:r w:rsidRPr="003F2847">
        <w:rPr>
          <w:rFonts w:eastAsia="Times New Roman" w:cs="Times New Roman"/>
          <w:rtl/>
          <w:lang w:eastAsia="de-DE"/>
        </w:rPr>
        <w:t xml:space="preserve"> </w:t>
      </w:r>
      <w:r w:rsidRPr="003F2847">
        <w:rPr>
          <w:rFonts w:eastAsia="Times New Roman" w:cs="Times New Roman"/>
          <w:lang w:eastAsia="de-DE"/>
        </w:rPr>
        <w:t xml:space="preserve">(wendet sich) im Qal-Imperfekt von </w:t>
      </w:r>
      <w:r w:rsidRPr="003F2847">
        <w:rPr>
          <w:rFonts w:eastAsia="Times New Roman" w:cs="Times New Roman"/>
          <w:b/>
          <w:bCs/>
          <w:rtl/>
          <w:lang w:eastAsia="de-DE"/>
        </w:rPr>
        <w:t>פנה</w:t>
      </w:r>
      <w:r w:rsidRPr="003F2847">
        <w:rPr>
          <w:rFonts w:eastAsia="Times New Roman" w:cs="Times New Roman"/>
          <w:lang w:eastAsia="de-DE"/>
        </w:rPr>
        <w:t>.</w:t>
      </w:r>
    </w:p>
    <w:p w14:paraId="0695E43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לזנות אחריהם</w:t>
      </w:r>
      <w:r w:rsidRPr="003F2847">
        <w:rPr>
          <w:rFonts w:eastAsia="Times New Roman" w:cs="Times New Roman"/>
          <w:rtl/>
          <w:lang w:eastAsia="de-DE"/>
        </w:rPr>
        <w:t xml:space="preserve"> </w:t>
      </w:r>
      <w:r w:rsidRPr="003F2847">
        <w:rPr>
          <w:rFonts w:eastAsia="Times New Roman" w:cs="Times New Roman"/>
          <w:lang w:eastAsia="de-DE"/>
        </w:rPr>
        <w:t xml:space="preserve">(um ihnen nachzuhuren) verwendet die Hurerei-Metapher auch für okkulte Praktiken. </w:t>
      </w:r>
      <w:r w:rsidRPr="003F2847">
        <w:rPr>
          <w:rFonts w:eastAsia="Times New Roman" w:cs="Times New Roman"/>
          <w:b/>
          <w:bCs/>
          <w:rtl/>
          <w:lang w:eastAsia="de-DE"/>
        </w:rPr>
        <w:t>ונתתי את־פני בנפש ההוא והכרתי אתו מקרב עמו</w:t>
      </w:r>
      <w:r w:rsidRPr="003F2847">
        <w:rPr>
          <w:rFonts w:eastAsia="Times New Roman" w:cs="Times New Roman"/>
          <w:rtl/>
          <w:lang w:eastAsia="de-DE"/>
        </w:rPr>
        <w:t xml:space="preserve"> </w:t>
      </w:r>
      <w:r w:rsidRPr="003F2847">
        <w:rPr>
          <w:rFonts w:eastAsia="Times New Roman" w:cs="Times New Roman"/>
          <w:lang w:eastAsia="de-DE"/>
        </w:rPr>
        <w:t>(gegen diese Seele werde ich mein Angesicht richten und sie ausrotten aus der Mitte ihres Volkes) entspricht V. 3 und 5.</w:t>
      </w:r>
    </w:p>
    <w:p w14:paraId="3F60095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תפנה אל־האבת ואל־הידענים</w:t>
      </w:r>
      <w:r w:rsidRPr="003F2847">
        <w:rPr>
          <w:rFonts w:eastAsia="Times New Roman" w:cs="Times New Roman"/>
          <w:rtl/>
          <w:lang w:eastAsia="de-DE"/>
        </w:rPr>
        <w:t xml:space="preserve"> </w:t>
      </w:r>
      <w:r w:rsidRPr="003F2847">
        <w:rPr>
          <w:rFonts w:eastAsia="Times New Roman" w:cs="Times New Roman"/>
          <w:lang w:eastAsia="de-DE"/>
        </w:rPr>
        <w:t xml:space="preserve">zeigt aktive Hinwendung zu okkulten Praktikern. </w:t>
      </w:r>
      <w:r w:rsidRPr="003F2847">
        <w:rPr>
          <w:rFonts w:eastAsia="Times New Roman" w:cs="Times New Roman"/>
          <w:b/>
          <w:bCs/>
          <w:rtl/>
          <w:lang w:eastAsia="de-DE"/>
        </w:rPr>
        <w:t>לזנות אחריהם</w:t>
      </w:r>
      <w:r w:rsidRPr="003F2847">
        <w:rPr>
          <w:rFonts w:eastAsia="Times New Roman" w:cs="Times New Roman"/>
          <w:rtl/>
          <w:lang w:eastAsia="de-DE"/>
        </w:rPr>
        <w:t xml:space="preserve"> </w:t>
      </w:r>
      <w:r w:rsidRPr="003F2847">
        <w:rPr>
          <w:rFonts w:eastAsia="Times New Roman" w:cs="Times New Roman"/>
          <w:lang w:eastAsia="de-DE"/>
        </w:rPr>
        <w:t xml:space="preserve">zeigt okkulte Konsultation als religiöse Untreue. </w:t>
      </w:r>
      <w:r w:rsidRPr="003F2847">
        <w:rPr>
          <w:rFonts w:eastAsia="Times New Roman" w:cs="Times New Roman"/>
          <w:b/>
          <w:bCs/>
          <w:rtl/>
          <w:lang w:eastAsia="de-DE"/>
        </w:rPr>
        <w:t>ונתתי את־פני</w:t>
      </w:r>
      <w:r w:rsidRPr="003F2847">
        <w:rPr>
          <w:rFonts w:eastAsia="Times New Roman" w:cs="Times New Roman"/>
          <w:rtl/>
          <w:lang w:eastAsia="de-DE"/>
        </w:rPr>
        <w:t xml:space="preserve"> </w:t>
      </w:r>
      <w:r w:rsidRPr="003F2847">
        <w:rPr>
          <w:rFonts w:eastAsia="Times New Roman" w:cs="Times New Roman"/>
          <w:lang w:eastAsia="de-DE"/>
        </w:rPr>
        <w:t>zeigt persönliche göttliche Verfolgung.</w:t>
      </w:r>
    </w:p>
    <w:p w14:paraId="62520FE9" w14:textId="674E3225"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w:t>
      </w:r>
      <w:r w:rsidR="004F25E8">
        <w:t xml:space="preserve">übersetzt </w:t>
      </w:r>
      <w:r w:rsidR="004F25E8">
        <w:rPr>
          <w:rtl/>
        </w:rPr>
        <w:t>אבות</w:t>
      </w:r>
      <w:r w:rsidR="004F25E8">
        <w:t xml:space="preserve"> (</w:t>
      </w:r>
      <w:proofErr w:type="spellStart"/>
      <w:r w:rsidR="004F25E8">
        <w:t>ovot</w:t>
      </w:r>
      <w:proofErr w:type="spellEnd"/>
      <w:r w:rsidR="004F25E8">
        <w:t xml:space="preserve"> - "Totengeister") als </w:t>
      </w:r>
      <w:proofErr w:type="spellStart"/>
      <w:r w:rsidR="004F25E8">
        <w:t>ἐγγ</w:t>
      </w:r>
      <w:proofErr w:type="spellEnd"/>
      <w:r w:rsidR="004F25E8">
        <w:t xml:space="preserve">αστριμύθοις (Bauchredner) und </w:t>
      </w:r>
      <w:r w:rsidR="004F25E8">
        <w:rPr>
          <w:rtl/>
        </w:rPr>
        <w:t>ידעני</w:t>
      </w:r>
      <w:r w:rsidR="004F25E8">
        <w:t xml:space="preserve"> (</w:t>
      </w:r>
      <w:proofErr w:type="spellStart"/>
      <w:r w:rsidR="004F25E8">
        <w:t>yidd'oni</w:t>
      </w:r>
      <w:proofErr w:type="spellEnd"/>
      <w:r w:rsidR="004F25E8">
        <w:t xml:space="preserve"> - "Wahrsagegeister") als ἐπα</w:t>
      </w:r>
      <w:proofErr w:type="spellStart"/>
      <w:r w:rsidR="004F25E8">
        <w:t>οιδοῖς</w:t>
      </w:r>
      <w:proofErr w:type="spellEnd"/>
      <w:r w:rsidR="004F25E8">
        <w:t xml:space="preserve"> (Beschwörer), wie bereits in Kapitel 19.</w:t>
      </w:r>
    </w:p>
    <w:p w14:paraId="0139534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okkulte Bestrafung: Hinwendung zu okkulten Praktikern + Hurerei-Metapher + persönliche göttliche Verfolgung + </w:t>
      </w:r>
      <w:r w:rsidRPr="003F2847">
        <w:rPr>
          <w:rFonts w:eastAsia="Times New Roman" w:cs="Times New Roman"/>
          <w:b/>
          <w:bCs/>
          <w:rtl/>
          <w:lang w:eastAsia="de-DE"/>
        </w:rPr>
        <w:t>כרת</w:t>
      </w:r>
      <w:r w:rsidRPr="003F2847">
        <w:rPr>
          <w:rFonts w:eastAsia="Times New Roman" w:cs="Times New Roman"/>
          <w:lang w:eastAsia="de-DE"/>
        </w:rPr>
        <w:t>-Strafe.</w:t>
      </w:r>
    </w:p>
    <w:p w14:paraId="0F3CD1B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 xml:space="preserve">Dieser Vers bestraft okkulte Konsultation als religiöse Hurerei mit </w:t>
      </w:r>
      <w:r w:rsidRPr="003F2847">
        <w:rPr>
          <w:rFonts w:eastAsia="Times New Roman" w:cs="Times New Roman"/>
          <w:b/>
          <w:bCs/>
          <w:rtl/>
          <w:lang w:eastAsia="de-DE"/>
        </w:rPr>
        <w:t>כרת</w:t>
      </w:r>
      <w:r w:rsidRPr="003F2847">
        <w:rPr>
          <w:rFonts w:eastAsia="Times New Roman" w:cs="Times New Roman"/>
          <w:lang w:eastAsia="de-DE"/>
        </w:rPr>
        <w:t>-Strafe.</w:t>
      </w:r>
    </w:p>
    <w:p w14:paraId="2B471EAC"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20,7</w:t>
      </w:r>
    </w:p>
    <w:p w14:paraId="627077C0"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וְהִ֨תְקַדִּשְׁתֶּ֔ם וִהְיִיתֶ֖ם קְדֹשִׁ֑ים כִּ֛י אֲנִ֥י יְהוָ֖ה אֱלֹהֵיכֶֽם׃</w:t>
      </w:r>
    </w:p>
    <w:p w14:paraId="0FAED8FB"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So heiligt euch und seid heilig, denn ich bin der Ewige, euer Gott.</w:t>
      </w:r>
    </w:p>
    <w:p w14:paraId="41C6D745"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79B74E7B">
          <v:rect id="_x0000_i1604" style="width:0;height:1.5pt" o:hralign="center" o:hrstd="t" o:hr="t" fillcolor="#a0a0a0" stroked="f"/>
        </w:pict>
      </w:r>
    </w:p>
    <w:p w14:paraId="043D53DA"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והתקדשתם והייתם קדשים כי אני יהוה אלהיכם</w:t>
      </w:r>
      <w:r w:rsidRPr="003F2847">
        <w:rPr>
          <w:rFonts w:eastAsia="Times New Roman" w:cs="Times New Roman"/>
          <w:rtl/>
          <w:lang w:eastAsia="de-DE"/>
        </w:rPr>
        <w:t xml:space="preserve"> </w:t>
      </w:r>
      <w:r w:rsidRPr="003F2847">
        <w:rPr>
          <w:rFonts w:eastAsia="Times New Roman" w:cs="Times New Roman"/>
          <w:lang w:eastAsia="de-DE"/>
        </w:rPr>
        <w:t xml:space="preserve">zeigt die positive Alternative zu den verbotenen Praktiken. </w:t>
      </w:r>
      <w:r w:rsidRPr="003F2847">
        <w:rPr>
          <w:rFonts w:eastAsia="Times New Roman" w:cs="Times New Roman"/>
          <w:b/>
          <w:bCs/>
          <w:rtl/>
          <w:lang w:eastAsia="de-DE"/>
        </w:rPr>
        <w:t>והתקדשתם</w:t>
      </w:r>
      <w:r w:rsidRPr="003F2847">
        <w:rPr>
          <w:rFonts w:eastAsia="Times New Roman" w:cs="Times New Roman"/>
          <w:rtl/>
          <w:lang w:eastAsia="de-DE"/>
        </w:rPr>
        <w:t xml:space="preserve"> </w:t>
      </w:r>
      <w:r w:rsidRPr="003F2847">
        <w:rPr>
          <w:rFonts w:eastAsia="Times New Roman" w:cs="Times New Roman"/>
          <w:lang w:eastAsia="de-DE"/>
        </w:rPr>
        <w:t xml:space="preserve">(so heiligt euch) im Hitpael-Perfekt mit Waw-Konsekutiv - das Hitpael zeigt reflexive Selbstheiligung. </w:t>
      </w:r>
      <w:r w:rsidRPr="003F2847">
        <w:rPr>
          <w:rFonts w:eastAsia="Times New Roman" w:cs="Times New Roman"/>
          <w:b/>
          <w:bCs/>
          <w:rtl/>
          <w:lang w:eastAsia="de-DE"/>
        </w:rPr>
        <w:t>והייתם קדשים</w:t>
      </w:r>
      <w:r w:rsidRPr="003F2847">
        <w:rPr>
          <w:rFonts w:eastAsia="Times New Roman" w:cs="Times New Roman"/>
          <w:rtl/>
          <w:lang w:eastAsia="de-DE"/>
        </w:rPr>
        <w:t xml:space="preserve"> </w:t>
      </w:r>
      <w:r w:rsidRPr="003F2847">
        <w:rPr>
          <w:rFonts w:eastAsia="Times New Roman" w:cs="Times New Roman"/>
          <w:lang w:eastAsia="de-DE"/>
        </w:rPr>
        <w:t>(und seid heilig) im Qal-Perfekt mit Waw-Konsekutiv zeigt den erstrebten Zustand.</w:t>
      </w:r>
    </w:p>
    <w:p w14:paraId="3FC6873F"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כי אני יהוה אלהיכם</w:t>
      </w:r>
      <w:r w:rsidRPr="003F2847">
        <w:rPr>
          <w:rFonts w:eastAsia="Times New Roman" w:cs="Times New Roman"/>
          <w:rtl/>
          <w:lang w:eastAsia="de-DE"/>
        </w:rPr>
        <w:t xml:space="preserve"> </w:t>
      </w:r>
      <w:r w:rsidRPr="003F2847">
        <w:rPr>
          <w:rFonts w:eastAsia="Times New Roman" w:cs="Times New Roman"/>
          <w:lang w:eastAsia="de-DE"/>
        </w:rPr>
        <w:t>(denn ich bin der Ewige, euer Gott) entspricht 19,2 und begründet die Heiligungsforderung durch göttliche Heiligkeit.</w:t>
      </w:r>
    </w:p>
    <w:p w14:paraId="3E3F467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lastRenderedPageBreak/>
        <w:t>התקדשתם</w:t>
      </w:r>
      <w:r w:rsidRPr="003F2847">
        <w:rPr>
          <w:rFonts w:eastAsia="Times New Roman" w:cs="Times New Roman"/>
          <w:rtl/>
          <w:lang w:eastAsia="de-DE"/>
        </w:rPr>
        <w:t xml:space="preserve"> </w:t>
      </w:r>
      <w:r w:rsidRPr="003F2847">
        <w:rPr>
          <w:rFonts w:eastAsia="Times New Roman" w:cs="Times New Roman"/>
          <w:lang w:eastAsia="de-DE"/>
        </w:rPr>
        <w:t xml:space="preserve">zeigt aktive Selbstheiligung als Gegensatz zu den Entweihungen. </w:t>
      </w:r>
      <w:r w:rsidRPr="003F2847">
        <w:rPr>
          <w:rFonts w:eastAsia="Times New Roman" w:cs="Times New Roman"/>
          <w:b/>
          <w:bCs/>
          <w:rtl/>
          <w:lang w:eastAsia="de-DE"/>
        </w:rPr>
        <w:t>והייתם קדשים</w:t>
      </w:r>
      <w:r w:rsidRPr="003F2847">
        <w:rPr>
          <w:rFonts w:eastAsia="Times New Roman" w:cs="Times New Roman"/>
          <w:rtl/>
          <w:lang w:eastAsia="de-DE"/>
        </w:rPr>
        <w:t xml:space="preserve"> </w:t>
      </w:r>
      <w:r w:rsidRPr="003F2847">
        <w:rPr>
          <w:rFonts w:eastAsia="Times New Roman" w:cs="Times New Roman"/>
          <w:lang w:eastAsia="de-DE"/>
        </w:rPr>
        <w:t xml:space="preserve">zeigt den Zielzustand. </w:t>
      </w:r>
      <w:r w:rsidRPr="003F2847">
        <w:rPr>
          <w:rFonts w:eastAsia="Times New Roman" w:cs="Times New Roman"/>
          <w:b/>
          <w:bCs/>
          <w:rtl/>
          <w:lang w:eastAsia="de-DE"/>
        </w:rPr>
        <w:t>כי אני יהוה אלהיכם</w:t>
      </w:r>
      <w:r w:rsidRPr="003F2847">
        <w:rPr>
          <w:rFonts w:eastAsia="Times New Roman" w:cs="Times New Roman"/>
          <w:rtl/>
          <w:lang w:eastAsia="de-DE"/>
        </w:rPr>
        <w:t xml:space="preserve"> </w:t>
      </w:r>
      <w:r w:rsidRPr="003F2847">
        <w:rPr>
          <w:rFonts w:eastAsia="Times New Roman" w:cs="Times New Roman"/>
          <w:lang w:eastAsia="de-DE"/>
        </w:rPr>
        <w:t>etabliert die imitatio Dei als Heiligkeitsgrund.</w:t>
      </w:r>
    </w:p>
    <w:p w14:paraId="1C7E2CA1"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והתקדשתם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ἁγιάσθητε</w:t>
      </w:r>
      <w:proofErr w:type="spellEnd"/>
      <w:r w:rsidRPr="003F2847">
        <w:rPr>
          <w:rFonts w:eastAsia="Times New Roman" w:cs="Times New Roman"/>
          <w:lang w:eastAsia="de-DE"/>
        </w:rPr>
        <w:t xml:space="preserve"> (heiligt euch), </w:t>
      </w:r>
      <w:r w:rsidRPr="003F2847">
        <w:rPr>
          <w:rFonts w:eastAsia="Times New Roman" w:cs="Times New Roman"/>
          <w:b/>
          <w:bCs/>
          <w:rtl/>
          <w:lang w:eastAsia="de-DE"/>
        </w:rPr>
        <w:t>והייתם קדשים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ἅγιοι</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ἔσεσθε</w:t>
      </w:r>
      <w:proofErr w:type="spellEnd"/>
      <w:r w:rsidRPr="003F2847">
        <w:rPr>
          <w:rFonts w:eastAsia="Times New Roman" w:cs="Times New Roman"/>
          <w:lang w:eastAsia="de-DE"/>
        </w:rPr>
        <w:t xml:space="preserve"> (heilig werdet ihr sein) und </w:t>
      </w:r>
      <w:r w:rsidRPr="003F2847">
        <w:rPr>
          <w:rFonts w:eastAsia="Times New Roman" w:cs="Times New Roman"/>
          <w:b/>
          <w:bCs/>
          <w:rtl/>
          <w:lang w:eastAsia="de-DE"/>
        </w:rPr>
        <w:t>אני יהוה אלהיכם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ἐγώ</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εἰμι</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κύριος</w:t>
      </w:r>
      <w:proofErr w:type="spellEnd"/>
      <w:r w:rsidRPr="003F2847">
        <w:rPr>
          <w:rFonts w:eastAsia="Times New Roman" w:cs="Times New Roman"/>
          <w:lang w:eastAsia="de-DE"/>
        </w:rPr>
        <w:t xml:space="preserve"> ὁ </w:t>
      </w:r>
      <w:proofErr w:type="spellStart"/>
      <w:r w:rsidRPr="003F2847">
        <w:rPr>
          <w:rFonts w:eastAsia="Times New Roman" w:cs="Times New Roman"/>
          <w:lang w:eastAsia="de-DE"/>
        </w:rPr>
        <w:t>θεὸς</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ὑμῶν</w:t>
      </w:r>
      <w:proofErr w:type="spellEnd"/>
      <w:r w:rsidRPr="003F2847">
        <w:rPr>
          <w:rFonts w:eastAsia="Times New Roman" w:cs="Times New Roman"/>
          <w:lang w:eastAsia="de-DE"/>
        </w:rPr>
        <w:t xml:space="preserve"> (ich bin der Herr, euer Gott).</w:t>
      </w:r>
    </w:p>
    <w:p w14:paraId="2F82CC38"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positive Heiligungsalternative: reflexive Selbstheiligung + Heiligkeitszustand + göttliche Begründung.</w:t>
      </w:r>
    </w:p>
    <w:p w14:paraId="47E14EDE"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stellt der Entweihung durch verbotene Praktiken die positive Selbstheiligung nach göttlichem Vorbild gegenüber.</w:t>
      </w:r>
    </w:p>
    <w:p w14:paraId="299B8247" w14:textId="77777777" w:rsidR="003F2847" w:rsidRPr="003F2847" w:rsidRDefault="003F2847" w:rsidP="003F2847">
      <w:pPr>
        <w:spacing w:before="100" w:beforeAutospacing="1" w:after="100" w:afterAutospacing="1" w:line="240" w:lineRule="auto"/>
        <w:outlineLvl w:val="1"/>
        <w:rPr>
          <w:rFonts w:eastAsia="Times New Roman" w:cs="Times New Roman"/>
          <w:b/>
          <w:bCs/>
          <w:sz w:val="36"/>
          <w:szCs w:val="36"/>
          <w:lang w:eastAsia="de-DE"/>
        </w:rPr>
      </w:pPr>
      <w:r w:rsidRPr="003F2847">
        <w:rPr>
          <w:rFonts w:eastAsia="Times New Roman" w:cs="Times New Roman"/>
          <w:b/>
          <w:bCs/>
          <w:sz w:val="36"/>
          <w:szCs w:val="36"/>
          <w:lang w:eastAsia="de-DE"/>
        </w:rPr>
        <w:t>Leviticus 20,8</w:t>
      </w:r>
    </w:p>
    <w:p w14:paraId="4DE19949"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Hebräisch:</w:t>
      </w:r>
      <w:r w:rsidRPr="003F2847">
        <w:rPr>
          <w:rFonts w:eastAsia="Times New Roman" w:cs="Times New Roman"/>
          <w:lang w:eastAsia="de-DE"/>
        </w:rPr>
        <w:t xml:space="preserve"> </w:t>
      </w:r>
      <w:r w:rsidRPr="003F2847">
        <w:rPr>
          <w:rFonts w:eastAsia="Times New Roman" w:cs="Times New Roman"/>
          <w:rtl/>
          <w:lang w:eastAsia="de-DE"/>
        </w:rPr>
        <w:t>וּשְׁמַרְתֶּם֙ אֶת־חֻקֹּתַ֔י וַעֲשִׂיתֶ֖ם אֹתָ֑ם אֲנִ֥י יְהוָ֖ה מְקַדִּשְׁכֶֽם׃</w:t>
      </w:r>
    </w:p>
    <w:p w14:paraId="62C267E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Deutsch:</w:t>
      </w:r>
      <w:r w:rsidRPr="003F2847">
        <w:rPr>
          <w:rFonts w:eastAsia="Times New Roman" w:cs="Times New Roman"/>
          <w:lang w:eastAsia="de-DE"/>
        </w:rPr>
        <w:t xml:space="preserve"> Und beachtet meine Satzungen und tut sie. Ich bin der Ewige, der euch heiligt.</w:t>
      </w:r>
    </w:p>
    <w:p w14:paraId="5718CF59" w14:textId="77777777" w:rsidR="003F2847" w:rsidRPr="003F2847" w:rsidRDefault="00A57720" w:rsidP="003F2847">
      <w:pPr>
        <w:spacing w:after="0" w:line="240" w:lineRule="auto"/>
        <w:rPr>
          <w:rFonts w:eastAsia="Times New Roman" w:cs="Times New Roman"/>
          <w:lang w:eastAsia="de-DE"/>
        </w:rPr>
      </w:pPr>
      <w:r>
        <w:rPr>
          <w:rFonts w:eastAsia="Times New Roman" w:cs="Times New Roman"/>
          <w:noProof/>
          <w:lang w:eastAsia="de-DE"/>
        </w:rPr>
        <w:pict w14:anchorId="084ABF7F">
          <v:rect id="_x0000_i1605" style="width:0;height:1.5pt" o:hralign="center" o:hrstd="t" o:hr="t" fillcolor="#a0a0a0" stroked="f"/>
        </w:pict>
      </w:r>
    </w:p>
    <w:p w14:paraId="6DD77FA4"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Kommentar:</w:t>
      </w:r>
      <w:r w:rsidRPr="003F2847">
        <w:rPr>
          <w:rFonts w:eastAsia="Times New Roman" w:cs="Times New Roman"/>
          <w:lang w:eastAsia="de-DE"/>
        </w:rPr>
        <w:t xml:space="preserve"> </w:t>
      </w:r>
      <w:r w:rsidRPr="003F2847">
        <w:rPr>
          <w:rFonts w:eastAsia="Times New Roman" w:cs="Times New Roman"/>
          <w:b/>
          <w:bCs/>
          <w:rtl/>
          <w:lang w:eastAsia="de-DE"/>
        </w:rPr>
        <w:t>ושמרתם את־חקתי ועשיתם אתם אני יהוה מקדשכם</w:t>
      </w:r>
      <w:r w:rsidRPr="003F2847">
        <w:rPr>
          <w:rFonts w:eastAsia="Times New Roman" w:cs="Times New Roman"/>
          <w:rtl/>
          <w:lang w:eastAsia="de-DE"/>
        </w:rPr>
        <w:t xml:space="preserve"> </w:t>
      </w:r>
      <w:r w:rsidRPr="003F2847">
        <w:rPr>
          <w:rFonts w:eastAsia="Times New Roman" w:cs="Times New Roman"/>
          <w:lang w:eastAsia="de-DE"/>
        </w:rPr>
        <w:t xml:space="preserve">zeigt den Weg zur Heiligung. </w:t>
      </w:r>
      <w:r w:rsidRPr="003F2847">
        <w:rPr>
          <w:rFonts w:eastAsia="Times New Roman" w:cs="Times New Roman"/>
          <w:b/>
          <w:bCs/>
          <w:rtl/>
          <w:lang w:eastAsia="de-DE"/>
        </w:rPr>
        <w:t>ושמרתם את־חקתי ועשיתם אתם</w:t>
      </w:r>
      <w:r w:rsidRPr="003F2847">
        <w:rPr>
          <w:rFonts w:eastAsia="Times New Roman" w:cs="Times New Roman"/>
          <w:rtl/>
          <w:lang w:eastAsia="de-DE"/>
        </w:rPr>
        <w:t xml:space="preserve"> </w:t>
      </w:r>
      <w:r w:rsidRPr="003F2847">
        <w:rPr>
          <w:rFonts w:eastAsia="Times New Roman" w:cs="Times New Roman"/>
          <w:lang w:eastAsia="de-DE"/>
        </w:rPr>
        <w:t xml:space="preserve">(und beachtet meine Satzungen und tut sie) - </w:t>
      </w:r>
      <w:r w:rsidRPr="003F2847">
        <w:rPr>
          <w:rFonts w:eastAsia="Times New Roman" w:cs="Times New Roman"/>
          <w:b/>
          <w:bCs/>
          <w:rtl/>
          <w:lang w:eastAsia="de-DE"/>
        </w:rPr>
        <w:t>ושמרתם</w:t>
      </w:r>
      <w:r w:rsidRPr="003F2847">
        <w:rPr>
          <w:rFonts w:eastAsia="Times New Roman" w:cs="Times New Roman"/>
          <w:rtl/>
          <w:lang w:eastAsia="de-DE"/>
        </w:rPr>
        <w:t xml:space="preserve"> </w:t>
      </w:r>
      <w:r w:rsidRPr="003F2847">
        <w:rPr>
          <w:rFonts w:eastAsia="Times New Roman" w:cs="Times New Roman"/>
          <w:lang w:eastAsia="de-DE"/>
        </w:rPr>
        <w:t xml:space="preserve">(und beachtet) im Qal-Perfekt mit Waw-Konsekutiv, </w:t>
      </w:r>
      <w:r w:rsidRPr="003F2847">
        <w:rPr>
          <w:rFonts w:eastAsia="Times New Roman" w:cs="Times New Roman"/>
          <w:b/>
          <w:bCs/>
          <w:rtl/>
          <w:lang w:eastAsia="de-DE"/>
        </w:rPr>
        <w:t>ועשיתם</w:t>
      </w:r>
      <w:r w:rsidRPr="003F2847">
        <w:rPr>
          <w:rFonts w:eastAsia="Times New Roman" w:cs="Times New Roman"/>
          <w:rtl/>
          <w:lang w:eastAsia="de-DE"/>
        </w:rPr>
        <w:t xml:space="preserve"> </w:t>
      </w:r>
      <w:r w:rsidRPr="003F2847">
        <w:rPr>
          <w:rFonts w:eastAsia="Times New Roman" w:cs="Times New Roman"/>
          <w:lang w:eastAsia="de-DE"/>
        </w:rPr>
        <w:t>(und tut) im Qal-Perfekt mit Waw-Konsekutiv zeigen die beiden Aspekte: Beachtung und Ausführung.</w:t>
      </w:r>
    </w:p>
    <w:p w14:paraId="7F48AF8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אני יהוה מקדשכם</w:t>
      </w:r>
      <w:r w:rsidRPr="003F2847">
        <w:rPr>
          <w:rFonts w:eastAsia="Times New Roman" w:cs="Times New Roman"/>
          <w:rtl/>
          <w:lang w:eastAsia="de-DE"/>
        </w:rPr>
        <w:t xml:space="preserve"> </w:t>
      </w:r>
      <w:r w:rsidRPr="003F2847">
        <w:rPr>
          <w:rFonts w:eastAsia="Times New Roman" w:cs="Times New Roman"/>
          <w:lang w:eastAsia="de-DE"/>
        </w:rPr>
        <w:t xml:space="preserve">(ich bin der Ewige, der euch heiligt) - </w:t>
      </w:r>
      <w:r w:rsidRPr="003F2847">
        <w:rPr>
          <w:rFonts w:eastAsia="Times New Roman" w:cs="Times New Roman"/>
          <w:b/>
          <w:bCs/>
          <w:rtl/>
          <w:lang w:eastAsia="de-DE"/>
        </w:rPr>
        <w:t>מקדשכם</w:t>
      </w:r>
      <w:r w:rsidRPr="003F2847">
        <w:rPr>
          <w:rFonts w:eastAsia="Times New Roman" w:cs="Times New Roman"/>
          <w:rtl/>
          <w:lang w:eastAsia="de-DE"/>
        </w:rPr>
        <w:t xml:space="preserve"> </w:t>
      </w:r>
      <w:r w:rsidRPr="003F2847">
        <w:rPr>
          <w:rFonts w:eastAsia="Times New Roman" w:cs="Times New Roman"/>
          <w:lang w:eastAsia="de-DE"/>
        </w:rPr>
        <w:t>(der euch heiligt) im Piel-Partizip mit Suffix, das Piel zeigt intensive Heiligung. Dies zeigt JHWH als aktiven Heiliger im Gegensatz zur menschlichen Selbstheiligung aus V. 7.</w:t>
      </w:r>
    </w:p>
    <w:p w14:paraId="22821506"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rtl/>
          <w:lang w:eastAsia="de-DE"/>
        </w:rPr>
        <w:t>שמרתם</w:t>
      </w:r>
      <w:r w:rsidRPr="003F2847">
        <w:rPr>
          <w:rFonts w:eastAsia="Times New Roman" w:cs="Times New Roman"/>
          <w:rtl/>
          <w:lang w:eastAsia="de-DE"/>
        </w:rPr>
        <w:t xml:space="preserve"> </w:t>
      </w:r>
      <w:r w:rsidRPr="003F2847">
        <w:rPr>
          <w:rFonts w:eastAsia="Times New Roman" w:cs="Times New Roman"/>
          <w:lang w:eastAsia="de-DE"/>
        </w:rPr>
        <w:t xml:space="preserve">und </w:t>
      </w:r>
      <w:r w:rsidRPr="003F2847">
        <w:rPr>
          <w:rFonts w:eastAsia="Times New Roman" w:cs="Times New Roman"/>
          <w:b/>
          <w:bCs/>
          <w:rtl/>
          <w:lang w:eastAsia="de-DE"/>
        </w:rPr>
        <w:t>עשיתם</w:t>
      </w:r>
      <w:r w:rsidRPr="003F2847">
        <w:rPr>
          <w:rFonts w:eastAsia="Times New Roman" w:cs="Times New Roman"/>
          <w:rtl/>
          <w:lang w:eastAsia="de-DE"/>
        </w:rPr>
        <w:t xml:space="preserve"> </w:t>
      </w:r>
      <w:r w:rsidRPr="003F2847">
        <w:rPr>
          <w:rFonts w:eastAsia="Times New Roman" w:cs="Times New Roman"/>
          <w:lang w:eastAsia="de-DE"/>
        </w:rPr>
        <w:t xml:space="preserve">zeigen komplementäre Verpflichtungen. </w:t>
      </w:r>
      <w:r w:rsidRPr="003F2847">
        <w:rPr>
          <w:rFonts w:eastAsia="Times New Roman" w:cs="Times New Roman"/>
          <w:b/>
          <w:bCs/>
          <w:rtl/>
          <w:lang w:eastAsia="de-DE"/>
        </w:rPr>
        <w:t>מקדשכם</w:t>
      </w:r>
      <w:r w:rsidRPr="003F2847">
        <w:rPr>
          <w:rFonts w:eastAsia="Times New Roman" w:cs="Times New Roman"/>
          <w:rtl/>
          <w:lang w:eastAsia="de-DE"/>
        </w:rPr>
        <w:t xml:space="preserve"> </w:t>
      </w:r>
      <w:r w:rsidRPr="003F2847">
        <w:rPr>
          <w:rFonts w:eastAsia="Times New Roman" w:cs="Times New Roman"/>
          <w:lang w:eastAsia="de-DE"/>
        </w:rPr>
        <w:t>zeigt JHWH als Heiligungsagens - Menschen heiligen sich selbst durch Gehorsam, aber JHWH ist der eigentliche Heiliger.</w:t>
      </w:r>
    </w:p>
    <w:p w14:paraId="736D5853"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LXX</w:t>
      </w:r>
      <w:r w:rsidRPr="003F2847">
        <w:rPr>
          <w:rFonts w:eastAsia="Times New Roman" w:cs="Times New Roman"/>
          <w:lang w:eastAsia="de-DE"/>
        </w:rPr>
        <w:t xml:space="preserve"> übersetzt </w:t>
      </w:r>
      <w:r w:rsidRPr="003F2847">
        <w:rPr>
          <w:rFonts w:eastAsia="Times New Roman" w:cs="Times New Roman"/>
          <w:b/>
          <w:bCs/>
          <w:rtl/>
          <w:lang w:eastAsia="de-DE"/>
        </w:rPr>
        <w:t>ושמרתם</w:t>
      </w:r>
      <w:r w:rsidRPr="003F2847">
        <w:rPr>
          <w:rFonts w:eastAsia="Times New Roman" w:cs="Times New Roman"/>
          <w:rtl/>
          <w:lang w:eastAsia="de-DE"/>
        </w:rPr>
        <w:t xml:space="preserve"> </w:t>
      </w:r>
      <w:r w:rsidRPr="003F2847">
        <w:rPr>
          <w:rFonts w:eastAsia="Times New Roman" w:cs="Times New Roman"/>
          <w:lang w:eastAsia="de-DE"/>
        </w:rPr>
        <w:t xml:space="preserve">mit </w:t>
      </w:r>
      <w:proofErr w:type="spellStart"/>
      <w:r w:rsidRPr="003F2847">
        <w:rPr>
          <w:rFonts w:eastAsia="Times New Roman" w:cs="Times New Roman"/>
          <w:lang w:eastAsia="de-DE"/>
        </w:rPr>
        <w:t>φυλάξ</w:t>
      </w:r>
      <w:proofErr w:type="spellEnd"/>
      <w:r w:rsidRPr="003F2847">
        <w:rPr>
          <w:rFonts w:eastAsia="Times New Roman" w:cs="Times New Roman"/>
          <w:lang w:eastAsia="de-DE"/>
        </w:rPr>
        <w:t xml:space="preserve">ασθε (bewahrt), </w:t>
      </w:r>
      <w:r w:rsidRPr="003F2847">
        <w:rPr>
          <w:rFonts w:eastAsia="Times New Roman" w:cs="Times New Roman"/>
          <w:b/>
          <w:bCs/>
          <w:rtl/>
          <w:lang w:eastAsia="de-DE"/>
        </w:rPr>
        <w:t>ועשיתם</w:t>
      </w:r>
      <w:r w:rsidRPr="003F2847">
        <w:rPr>
          <w:rFonts w:eastAsia="Times New Roman" w:cs="Times New Roman"/>
          <w:rtl/>
          <w:lang w:eastAsia="de-DE"/>
        </w:rPr>
        <w:t xml:space="preserve"> </w:t>
      </w:r>
      <w:r w:rsidRPr="003F2847">
        <w:rPr>
          <w:rFonts w:eastAsia="Times New Roman" w:cs="Times New Roman"/>
          <w:lang w:eastAsia="de-DE"/>
        </w:rPr>
        <w:t>mit π</w:t>
      </w:r>
      <w:proofErr w:type="spellStart"/>
      <w:r w:rsidRPr="003F2847">
        <w:rPr>
          <w:rFonts w:eastAsia="Times New Roman" w:cs="Times New Roman"/>
          <w:lang w:eastAsia="de-DE"/>
        </w:rPr>
        <w:t>οιήσ</w:t>
      </w:r>
      <w:proofErr w:type="spellEnd"/>
      <w:r w:rsidRPr="003F2847">
        <w:rPr>
          <w:rFonts w:eastAsia="Times New Roman" w:cs="Times New Roman"/>
          <w:lang w:eastAsia="de-DE"/>
        </w:rPr>
        <w:t xml:space="preserve">ατε (tut) und </w:t>
      </w:r>
      <w:r w:rsidRPr="003F2847">
        <w:rPr>
          <w:rFonts w:eastAsia="Times New Roman" w:cs="Times New Roman"/>
          <w:b/>
          <w:bCs/>
          <w:rtl/>
          <w:lang w:eastAsia="de-DE"/>
        </w:rPr>
        <w:t>מקדשכם</w:t>
      </w:r>
      <w:r w:rsidRPr="003F2847">
        <w:rPr>
          <w:rFonts w:eastAsia="Times New Roman" w:cs="Times New Roman"/>
          <w:rtl/>
          <w:lang w:eastAsia="de-DE"/>
        </w:rPr>
        <w:t xml:space="preserve"> </w:t>
      </w:r>
      <w:r w:rsidRPr="003F2847">
        <w:rPr>
          <w:rFonts w:eastAsia="Times New Roman" w:cs="Times New Roman"/>
          <w:lang w:eastAsia="de-DE"/>
        </w:rPr>
        <w:t xml:space="preserve">mit ὁ </w:t>
      </w:r>
      <w:proofErr w:type="spellStart"/>
      <w:r w:rsidRPr="003F2847">
        <w:rPr>
          <w:rFonts w:eastAsia="Times New Roman" w:cs="Times New Roman"/>
          <w:lang w:eastAsia="de-DE"/>
        </w:rPr>
        <w:t>ἁγιάζων</w:t>
      </w:r>
      <w:proofErr w:type="spellEnd"/>
      <w:r w:rsidRPr="003F2847">
        <w:rPr>
          <w:rFonts w:eastAsia="Times New Roman" w:cs="Times New Roman"/>
          <w:lang w:eastAsia="de-DE"/>
        </w:rPr>
        <w:t xml:space="preserve"> </w:t>
      </w:r>
      <w:proofErr w:type="spellStart"/>
      <w:r w:rsidRPr="003F2847">
        <w:rPr>
          <w:rFonts w:eastAsia="Times New Roman" w:cs="Times New Roman"/>
          <w:lang w:eastAsia="de-DE"/>
        </w:rPr>
        <w:t>ὑμᾶς</w:t>
      </w:r>
      <w:proofErr w:type="spellEnd"/>
      <w:r w:rsidRPr="003F2847">
        <w:rPr>
          <w:rFonts w:eastAsia="Times New Roman" w:cs="Times New Roman"/>
          <w:lang w:eastAsia="de-DE"/>
        </w:rPr>
        <w:t xml:space="preserve"> (der euch heiligt).</w:t>
      </w:r>
    </w:p>
    <w:p w14:paraId="44E25D7D"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b/>
          <w:bCs/>
          <w:lang w:eastAsia="de-DE"/>
        </w:rPr>
        <w:t>Die Satzstruktur</w:t>
      </w:r>
      <w:r w:rsidRPr="003F2847">
        <w:rPr>
          <w:rFonts w:eastAsia="Times New Roman" w:cs="Times New Roman"/>
          <w:lang w:eastAsia="de-DE"/>
        </w:rPr>
        <w:t xml:space="preserve"> zeigt Heiligungsweg: Satzungsbeachtung + Ausführungsgebot + JHWH als Heiligungsagens.</w:t>
      </w:r>
    </w:p>
    <w:p w14:paraId="3B296FA2" w14:textId="77777777" w:rsidR="003F2847" w:rsidRPr="003F2847" w:rsidRDefault="003F2847" w:rsidP="003F2847">
      <w:pPr>
        <w:spacing w:before="100" w:beforeAutospacing="1" w:after="100" w:afterAutospacing="1" w:line="240" w:lineRule="auto"/>
        <w:rPr>
          <w:rFonts w:eastAsia="Times New Roman" w:cs="Times New Roman"/>
          <w:lang w:eastAsia="de-DE"/>
        </w:rPr>
      </w:pPr>
      <w:r w:rsidRPr="003F2847">
        <w:rPr>
          <w:rFonts w:eastAsia="Times New Roman" w:cs="Times New Roman"/>
          <w:lang w:eastAsia="de-DE"/>
        </w:rPr>
        <w:t>Dieser Vers zeigt den Heiligungsweg durch Gesetzesgehorsam mit JHWH als eigentlichem Heiligungsagens.</w:t>
      </w:r>
    </w:p>
    <w:p w14:paraId="030E6C99"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20,9</w:t>
      </w:r>
    </w:p>
    <w:p w14:paraId="5B68D1B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כִּֽי־אִ֣ישׁ אִ֗ישׁ אֲשֶׁ֨ר יְקַלֵּ֧ל אֶת־אָבִ֛יו וְאֶת־אִמֹּ֖ו מ֣וֹת יוּמָ֑ת אָבִ֧יו וְאִמֹּ֛ו קִלֵּ֖ל דָּמָ֥יו בּוֹ׃</w:t>
      </w:r>
    </w:p>
    <w:p w14:paraId="5F434DA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Denn jedermann, der seinem Vater oder seiner Mutter flucht, soll gewiss getötet werden; seinem Vater oder seiner Mutter hat er geflucht, sein Blut ist auf ihm.</w:t>
      </w:r>
    </w:p>
    <w:p w14:paraId="3406D22A"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lastRenderedPageBreak/>
        <w:pict w14:anchorId="3D8D4D25">
          <v:rect id="_x0000_i1606" style="width:0;height:1.5pt" o:hralign="center" o:hrstd="t" o:hr="t" fillcolor="#a0a0a0" stroked="f"/>
        </w:pict>
      </w:r>
    </w:p>
    <w:p w14:paraId="04B96E9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כי־איש איש אשר יקלל את־אביו ואת־אמו מות יומת אביו ואמו קלל דמיו בו</w:t>
      </w:r>
      <w:r w:rsidRPr="000A1182">
        <w:rPr>
          <w:rFonts w:eastAsia="Times New Roman" w:cs="Times New Roman"/>
          <w:rtl/>
          <w:lang w:eastAsia="de-DE"/>
        </w:rPr>
        <w:t xml:space="preserve"> </w:t>
      </w:r>
      <w:r w:rsidRPr="000A1182">
        <w:rPr>
          <w:rFonts w:eastAsia="Times New Roman" w:cs="Times New Roman"/>
          <w:lang w:eastAsia="de-DE"/>
        </w:rPr>
        <w:t xml:space="preserve">zeigt die Todesstrafe für Elternfluch. </w:t>
      </w:r>
      <w:r w:rsidRPr="000A1182">
        <w:rPr>
          <w:rFonts w:eastAsia="Times New Roman" w:cs="Times New Roman"/>
          <w:b/>
          <w:bCs/>
          <w:rtl/>
          <w:lang w:eastAsia="de-DE"/>
        </w:rPr>
        <w:t>כי־איש איש</w:t>
      </w:r>
      <w:r w:rsidRPr="000A1182">
        <w:rPr>
          <w:rFonts w:eastAsia="Times New Roman" w:cs="Times New Roman"/>
          <w:rtl/>
          <w:lang w:eastAsia="de-DE"/>
        </w:rPr>
        <w:t xml:space="preserve"> </w:t>
      </w:r>
      <w:r w:rsidRPr="000A1182">
        <w:rPr>
          <w:rFonts w:eastAsia="Times New Roman" w:cs="Times New Roman"/>
          <w:lang w:eastAsia="de-DE"/>
        </w:rPr>
        <w:t xml:space="preserve">(denn jedermann) - </w:t>
      </w:r>
      <w:r w:rsidRPr="000A1182">
        <w:rPr>
          <w:rFonts w:eastAsia="Times New Roman" w:cs="Times New Roman"/>
          <w:b/>
          <w:bCs/>
          <w:rtl/>
          <w:lang w:eastAsia="de-DE"/>
        </w:rPr>
        <w:t>כי</w:t>
      </w:r>
      <w:r w:rsidRPr="000A1182">
        <w:rPr>
          <w:rFonts w:eastAsia="Times New Roman" w:cs="Times New Roman"/>
          <w:rtl/>
          <w:lang w:eastAsia="de-DE"/>
        </w:rPr>
        <w:t xml:space="preserve"> </w:t>
      </w:r>
      <w:r w:rsidRPr="000A1182">
        <w:rPr>
          <w:rFonts w:eastAsia="Times New Roman" w:cs="Times New Roman"/>
          <w:lang w:eastAsia="de-DE"/>
        </w:rPr>
        <w:t xml:space="preserve">zeigt kausale Begründung, </w:t>
      </w:r>
      <w:r w:rsidRPr="000A1182">
        <w:rPr>
          <w:rFonts w:eastAsia="Times New Roman" w:cs="Times New Roman"/>
          <w:b/>
          <w:bCs/>
          <w:rtl/>
          <w:lang w:eastAsia="de-DE"/>
        </w:rPr>
        <w:t>איש איש</w:t>
      </w:r>
      <w:r w:rsidRPr="000A1182">
        <w:rPr>
          <w:rFonts w:eastAsia="Times New Roman" w:cs="Times New Roman"/>
          <w:rtl/>
          <w:lang w:eastAsia="de-DE"/>
        </w:rPr>
        <w:t xml:space="preserve"> </w:t>
      </w:r>
      <w:r w:rsidRPr="000A1182">
        <w:rPr>
          <w:rFonts w:eastAsia="Times New Roman" w:cs="Times New Roman"/>
          <w:lang w:eastAsia="de-DE"/>
        </w:rPr>
        <w:t xml:space="preserve">als distributive Verdopplung betont universelle Anwendung. </w:t>
      </w:r>
      <w:r w:rsidRPr="000A1182">
        <w:rPr>
          <w:rFonts w:eastAsia="Times New Roman" w:cs="Times New Roman"/>
          <w:b/>
          <w:bCs/>
          <w:rtl/>
          <w:lang w:eastAsia="de-DE"/>
        </w:rPr>
        <w:t>אשר יקלל את־אביו ואת־אמו</w:t>
      </w:r>
      <w:r w:rsidRPr="000A1182">
        <w:rPr>
          <w:rFonts w:eastAsia="Times New Roman" w:cs="Times New Roman"/>
          <w:rtl/>
          <w:lang w:eastAsia="de-DE"/>
        </w:rPr>
        <w:t xml:space="preserve"> </w:t>
      </w:r>
      <w:r w:rsidRPr="000A1182">
        <w:rPr>
          <w:rFonts w:eastAsia="Times New Roman" w:cs="Times New Roman"/>
          <w:lang w:eastAsia="de-DE"/>
        </w:rPr>
        <w:t xml:space="preserve">(der seinem Vater oder seiner Mutter flucht) - </w:t>
      </w:r>
      <w:r w:rsidRPr="000A1182">
        <w:rPr>
          <w:rFonts w:eastAsia="Times New Roman" w:cs="Times New Roman"/>
          <w:b/>
          <w:bCs/>
          <w:rtl/>
          <w:lang w:eastAsia="de-DE"/>
        </w:rPr>
        <w:t>יקלל</w:t>
      </w:r>
      <w:r w:rsidRPr="000A1182">
        <w:rPr>
          <w:rFonts w:eastAsia="Times New Roman" w:cs="Times New Roman"/>
          <w:rtl/>
          <w:lang w:eastAsia="de-DE"/>
        </w:rPr>
        <w:t xml:space="preserve"> </w:t>
      </w:r>
      <w:r w:rsidRPr="000A1182">
        <w:rPr>
          <w:rFonts w:eastAsia="Times New Roman" w:cs="Times New Roman"/>
          <w:lang w:eastAsia="de-DE"/>
        </w:rPr>
        <w:t>(flucht) im Piel-Imperfekt, das Piel zeigt intensive Verfluchung.</w:t>
      </w:r>
    </w:p>
    <w:p w14:paraId="58D3C4A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 יומת</w:t>
      </w:r>
      <w:r w:rsidRPr="000A1182">
        <w:rPr>
          <w:rFonts w:eastAsia="Times New Roman" w:cs="Times New Roman"/>
          <w:rtl/>
          <w:lang w:eastAsia="de-DE"/>
        </w:rPr>
        <w:t xml:space="preserve"> </w:t>
      </w:r>
      <w:r w:rsidRPr="000A1182">
        <w:rPr>
          <w:rFonts w:eastAsia="Times New Roman" w:cs="Times New Roman"/>
          <w:lang w:eastAsia="de-DE"/>
        </w:rPr>
        <w:t xml:space="preserve">(soll gewiss getötet werden) als emphatische Todesformel. </w:t>
      </w:r>
      <w:r w:rsidRPr="000A1182">
        <w:rPr>
          <w:rFonts w:eastAsia="Times New Roman" w:cs="Times New Roman"/>
          <w:b/>
          <w:bCs/>
          <w:rtl/>
          <w:lang w:eastAsia="de-DE"/>
        </w:rPr>
        <w:t>אביו ואמו קלל דמיו בו</w:t>
      </w:r>
      <w:r w:rsidRPr="000A1182">
        <w:rPr>
          <w:rFonts w:eastAsia="Times New Roman" w:cs="Times New Roman"/>
          <w:rtl/>
          <w:lang w:eastAsia="de-DE"/>
        </w:rPr>
        <w:t xml:space="preserve"> </w:t>
      </w:r>
      <w:r w:rsidRPr="000A1182">
        <w:rPr>
          <w:rFonts w:eastAsia="Times New Roman" w:cs="Times New Roman"/>
          <w:lang w:eastAsia="de-DE"/>
        </w:rPr>
        <w:t xml:space="preserve">(seinem Vater oder seiner Mutter hat er geflucht, sein Blut ist auf ihm) - </w:t>
      </w:r>
      <w:r w:rsidRPr="000A1182">
        <w:rPr>
          <w:rFonts w:eastAsia="Times New Roman" w:cs="Times New Roman"/>
          <w:b/>
          <w:bCs/>
          <w:rtl/>
          <w:lang w:eastAsia="de-DE"/>
        </w:rPr>
        <w:t>קלל</w:t>
      </w:r>
      <w:r w:rsidRPr="000A1182">
        <w:rPr>
          <w:rFonts w:eastAsia="Times New Roman" w:cs="Times New Roman"/>
          <w:rtl/>
          <w:lang w:eastAsia="de-DE"/>
        </w:rPr>
        <w:t xml:space="preserve"> </w:t>
      </w:r>
      <w:r w:rsidRPr="000A1182">
        <w:rPr>
          <w:rFonts w:eastAsia="Times New Roman" w:cs="Times New Roman"/>
          <w:lang w:eastAsia="de-DE"/>
        </w:rPr>
        <w:t xml:space="preserve">(hat geflucht) im Piel-Perfekt wiederholt die Tat. </w:t>
      </w:r>
      <w:r w:rsidRPr="000A1182">
        <w:rPr>
          <w:rFonts w:eastAsia="Times New Roman" w:cs="Times New Roman"/>
          <w:b/>
          <w:bCs/>
          <w:rtl/>
          <w:lang w:eastAsia="de-DE"/>
        </w:rPr>
        <w:t>דמיו בו</w:t>
      </w:r>
      <w:r w:rsidRPr="000A1182">
        <w:rPr>
          <w:rFonts w:eastAsia="Times New Roman" w:cs="Times New Roman"/>
          <w:rtl/>
          <w:lang w:eastAsia="de-DE"/>
        </w:rPr>
        <w:t xml:space="preserve"> </w:t>
      </w:r>
      <w:r w:rsidRPr="000A1182">
        <w:rPr>
          <w:rFonts w:eastAsia="Times New Roman" w:cs="Times New Roman"/>
          <w:lang w:eastAsia="de-DE"/>
        </w:rPr>
        <w:t>(sein Blut ist auf ihm) als Formel für gerechte Selbstverschuldung der Todesstrafe.</w:t>
      </w:r>
    </w:p>
    <w:p w14:paraId="4F2C574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איש איש</w:t>
      </w:r>
      <w:r w:rsidRPr="000A1182">
        <w:rPr>
          <w:rFonts w:eastAsia="Times New Roman" w:cs="Times New Roman"/>
          <w:rtl/>
          <w:lang w:eastAsia="de-DE"/>
        </w:rPr>
        <w:t xml:space="preserve"> </w:t>
      </w:r>
      <w:r w:rsidRPr="000A1182">
        <w:rPr>
          <w:rFonts w:eastAsia="Times New Roman" w:cs="Times New Roman"/>
          <w:lang w:eastAsia="de-DE"/>
        </w:rPr>
        <w:t xml:space="preserve">zeigt universelle Gültigkeit ohne Ausnahme. </w:t>
      </w:r>
      <w:r w:rsidRPr="000A1182">
        <w:rPr>
          <w:rFonts w:eastAsia="Times New Roman" w:cs="Times New Roman"/>
          <w:b/>
          <w:bCs/>
          <w:rtl/>
          <w:lang w:eastAsia="de-DE"/>
        </w:rPr>
        <w:t>יקלל</w:t>
      </w:r>
      <w:r w:rsidRPr="000A1182">
        <w:rPr>
          <w:rFonts w:eastAsia="Times New Roman" w:cs="Times New Roman"/>
          <w:rtl/>
          <w:lang w:eastAsia="de-DE"/>
        </w:rPr>
        <w:t xml:space="preserve"> </w:t>
      </w:r>
      <w:r w:rsidRPr="000A1182">
        <w:rPr>
          <w:rFonts w:eastAsia="Times New Roman" w:cs="Times New Roman"/>
          <w:lang w:eastAsia="de-DE"/>
        </w:rPr>
        <w:t xml:space="preserve">im Piel zeigt schwere Verfluchung über einfaches Schelten hinaus. </w:t>
      </w:r>
      <w:r w:rsidRPr="000A1182">
        <w:rPr>
          <w:rFonts w:eastAsia="Times New Roman" w:cs="Times New Roman"/>
          <w:b/>
          <w:bCs/>
          <w:rtl/>
          <w:lang w:eastAsia="de-DE"/>
        </w:rPr>
        <w:t>דמיו בו</w:t>
      </w:r>
      <w:r w:rsidRPr="000A1182">
        <w:rPr>
          <w:rFonts w:eastAsia="Times New Roman" w:cs="Times New Roman"/>
          <w:rtl/>
          <w:lang w:eastAsia="de-DE"/>
        </w:rPr>
        <w:t xml:space="preserve"> </w:t>
      </w:r>
      <w:r w:rsidRPr="000A1182">
        <w:rPr>
          <w:rFonts w:eastAsia="Times New Roman" w:cs="Times New Roman"/>
          <w:lang w:eastAsia="de-DE"/>
        </w:rPr>
        <w:t>etabliert moralische Eigenverantwortung für die Todesstrafe.</w:t>
      </w:r>
    </w:p>
    <w:p w14:paraId="731CBDAB" w14:textId="4A4DDAD2"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יקלל</w:t>
      </w:r>
      <w:r w:rsidR="004F25E8">
        <w:t xml:space="preserve"> (</w:t>
      </w:r>
      <w:proofErr w:type="spellStart"/>
      <w:r w:rsidR="004F25E8">
        <w:t>yeqallel</w:t>
      </w:r>
      <w:proofErr w:type="spellEnd"/>
      <w:r w:rsidR="004F25E8">
        <w:t xml:space="preserve"> - "flucht/verachtet") als κα</w:t>
      </w:r>
      <w:proofErr w:type="spellStart"/>
      <w:r w:rsidR="004F25E8">
        <w:t>κῶς</w:t>
      </w:r>
      <w:proofErr w:type="spellEnd"/>
      <w:r w:rsidR="004F25E8">
        <w:t xml:space="preserve"> </w:t>
      </w:r>
      <w:proofErr w:type="spellStart"/>
      <w:r w:rsidR="004F25E8">
        <w:t>εἴ</w:t>
      </w:r>
      <w:proofErr w:type="spellEnd"/>
      <w:r w:rsidR="004F25E8">
        <w:t xml:space="preserve">πῃ (böse spricht) und </w:t>
      </w:r>
      <w:r w:rsidR="004F25E8">
        <w:rPr>
          <w:rtl/>
        </w:rPr>
        <w:t>דמיו בו</w:t>
      </w:r>
      <w:r w:rsidR="004F25E8">
        <w:t xml:space="preserve"> (</w:t>
      </w:r>
      <w:proofErr w:type="spellStart"/>
      <w:r w:rsidR="004F25E8">
        <w:t>damav</w:t>
      </w:r>
      <w:proofErr w:type="spellEnd"/>
      <w:r w:rsidR="004F25E8">
        <w:t xml:space="preserve"> </w:t>
      </w:r>
      <w:proofErr w:type="spellStart"/>
      <w:r w:rsidR="004F25E8">
        <w:t>bo</w:t>
      </w:r>
      <w:proofErr w:type="spellEnd"/>
      <w:r w:rsidR="004F25E8">
        <w:t xml:space="preserve"> - "sein Blut sei auf ihm") als </w:t>
      </w:r>
      <w:proofErr w:type="spellStart"/>
      <w:r w:rsidR="004F25E8">
        <w:t>ἔνοχος</w:t>
      </w:r>
      <w:proofErr w:type="spellEnd"/>
      <w:r w:rsidR="004F25E8">
        <w:t xml:space="preserve"> </w:t>
      </w:r>
      <w:proofErr w:type="spellStart"/>
      <w:r w:rsidR="004F25E8">
        <w:t>ἔστ</w:t>
      </w:r>
      <w:proofErr w:type="spellEnd"/>
      <w:r w:rsidR="004F25E8">
        <w:t>αι (er sei schuldig).</w:t>
      </w:r>
    </w:p>
    <w:p w14:paraId="30A52D8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Elternfluch-Bestrafung: universelle Anwendung + Elternverfluchung + emphatische Todesstrafe + Wiederholung der Tat + Selbstverschuldungsformel.</w:t>
      </w:r>
    </w:p>
    <w:p w14:paraId="4BD056C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zeigt die Todesstrafe für schwere Elternverfluchung als Verletzung der fundamentalen Familienordnung.</w:t>
      </w:r>
    </w:p>
    <w:p w14:paraId="129EF09C"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20,10</w:t>
      </w:r>
    </w:p>
    <w:p w14:paraId="768146F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יִנְאַף֙ אֶת־אֵ֣שֶׁת אִ֔ישׁ אֲשֶׁ֥ר יִנְאַ֖ף אֶת־אֵ֣שֶׁת רֵעֵ֑הוּ מֽוֹת־יוּמַ֥ת הַנֹּאֵ֖ף וְהַנֹּאָֽפֶת׃</w:t>
      </w:r>
    </w:p>
    <w:p w14:paraId="588D7290"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Ehebruch treibt mit der Frau eines Mannes, wenn er Ehebruch treibt mit der Frau seines Nächsten, so sollen der Ehebrecher und die Ehebrecherin gewiss getötet werden.</w:t>
      </w:r>
    </w:p>
    <w:p w14:paraId="4570D48E"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70D56638">
          <v:rect id="_x0000_i1607" style="width:0;height:1.5pt" o:hralign="center" o:hrstd="t" o:hr="t" fillcolor="#a0a0a0" stroked="f"/>
        </w:pict>
      </w:r>
    </w:p>
    <w:p w14:paraId="1497280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ינאף את־אשת איש אשר ינאף את־אשת רעהו מות־יומת הנאף והנאפת</w:t>
      </w:r>
      <w:r w:rsidRPr="000A1182">
        <w:rPr>
          <w:rFonts w:eastAsia="Times New Roman" w:cs="Times New Roman"/>
          <w:rtl/>
          <w:lang w:eastAsia="de-DE"/>
        </w:rPr>
        <w:t xml:space="preserve"> </w:t>
      </w:r>
      <w:r w:rsidRPr="000A1182">
        <w:rPr>
          <w:rFonts w:eastAsia="Times New Roman" w:cs="Times New Roman"/>
          <w:lang w:eastAsia="de-DE"/>
        </w:rPr>
        <w:t xml:space="preserve">bestraft Ehebruch mit dem Tod. </w:t>
      </w:r>
      <w:r w:rsidRPr="000A1182">
        <w:rPr>
          <w:rFonts w:eastAsia="Times New Roman" w:cs="Times New Roman"/>
          <w:b/>
          <w:bCs/>
          <w:rtl/>
          <w:lang w:eastAsia="de-DE"/>
        </w:rPr>
        <w:t>ואיש אשר ינאף את־אשת איש</w:t>
      </w:r>
      <w:r w:rsidRPr="000A1182">
        <w:rPr>
          <w:rFonts w:eastAsia="Times New Roman" w:cs="Times New Roman"/>
          <w:rtl/>
          <w:lang w:eastAsia="de-DE"/>
        </w:rPr>
        <w:t xml:space="preserve"> </w:t>
      </w:r>
      <w:r w:rsidRPr="000A1182">
        <w:rPr>
          <w:rFonts w:eastAsia="Times New Roman" w:cs="Times New Roman"/>
          <w:lang w:eastAsia="de-DE"/>
        </w:rPr>
        <w:t xml:space="preserve">(und wenn ein Mann Ehebruch treibt mit der Frau eines Mannes) - </w:t>
      </w:r>
      <w:r w:rsidRPr="000A1182">
        <w:rPr>
          <w:rFonts w:eastAsia="Times New Roman" w:cs="Times New Roman"/>
          <w:b/>
          <w:bCs/>
          <w:rtl/>
          <w:lang w:eastAsia="de-DE"/>
        </w:rPr>
        <w:t>ינאף</w:t>
      </w:r>
      <w:r w:rsidRPr="000A1182">
        <w:rPr>
          <w:rFonts w:eastAsia="Times New Roman" w:cs="Times New Roman"/>
          <w:rtl/>
          <w:lang w:eastAsia="de-DE"/>
        </w:rPr>
        <w:t xml:space="preserve"> </w:t>
      </w:r>
      <w:r w:rsidRPr="000A1182">
        <w:rPr>
          <w:rFonts w:eastAsia="Times New Roman" w:cs="Times New Roman"/>
          <w:lang w:eastAsia="de-DE"/>
        </w:rPr>
        <w:t xml:space="preserve">(treibt Ehebruch) im Qal-Imperfekt von </w:t>
      </w:r>
      <w:r w:rsidRPr="000A1182">
        <w:rPr>
          <w:rFonts w:eastAsia="Times New Roman" w:cs="Times New Roman"/>
          <w:b/>
          <w:bCs/>
          <w:rtl/>
          <w:lang w:eastAsia="de-DE"/>
        </w:rPr>
        <w:t>נאף</w:t>
      </w:r>
      <w:r w:rsidRPr="000A1182">
        <w:rPr>
          <w:rFonts w:eastAsia="Times New Roman" w:cs="Times New Roman"/>
          <w:lang w:eastAsia="de-DE"/>
        </w:rPr>
        <w:t xml:space="preserve">. </w:t>
      </w:r>
      <w:r w:rsidRPr="000A1182">
        <w:rPr>
          <w:rFonts w:eastAsia="Times New Roman" w:cs="Times New Roman"/>
          <w:b/>
          <w:bCs/>
          <w:rtl/>
          <w:lang w:eastAsia="de-DE"/>
        </w:rPr>
        <w:t>את־אשת איש</w:t>
      </w:r>
      <w:r w:rsidRPr="000A1182">
        <w:rPr>
          <w:rFonts w:eastAsia="Times New Roman" w:cs="Times New Roman"/>
          <w:rtl/>
          <w:lang w:eastAsia="de-DE"/>
        </w:rPr>
        <w:t xml:space="preserve"> </w:t>
      </w:r>
      <w:r w:rsidRPr="000A1182">
        <w:rPr>
          <w:rFonts w:eastAsia="Times New Roman" w:cs="Times New Roman"/>
          <w:lang w:eastAsia="de-DE"/>
        </w:rPr>
        <w:t>(mit der Frau eines Mannes) zeigt die verheiratete Frau.</w:t>
      </w:r>
    </w:p>
    <w:p w14:paraId="05E833B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אשר ינאף את־אשת רעהו</w:t>
      </w:r>
      <w:r w:rsidRPr="000A1182">
        <w:rPr>
          <w:rFonts w:eastAsia="Times New Roman" w:cs="Times New Roman"/>
          <w:rtl/>
          <w:lang w:eastAsia="de-DE"/>
        </w:rPr>
        <w:t xml:space="preserve"> </w:t>
      </w:r>
      <w:r w:rsidRPr="000A1182">
        <w:rPr>
          <w:rFonts w:eastAsia="Times New Roman" w:cs="Times New Roman"/>
          <w:lang w:eastAsia="de-DE"/>
        </w:rPr>
        <w:t xml:space="preserve">(wenn er Ehebruch treibt mit der Frau seines Nächsten) wiederholt und präzisiert mit </w:t>
      </w:r>
      <w:r w:rsidRPr="000A1182">
        <w:rPr>
          <w:rFonts w:eastAsia="Times New Roman" w:cs="Times New Roman"/>
          <w:b/>
          <w:bCs/>
          <w:rtl/>
          <w:lang w:eastAsia="de-DE"/>
        </w:rPr>
        <w:t>רעהו</w:t>
      </w:r>
      <w:r w:rsidRPr="000A1182">
        <w:rPr>
          <w:rFonts w:eastAsia="Times New Roman" w:cs="Times New Roman"/>
          <w:rtl/>
          <w:lang w:eastAsia="de-DE"/>
        </w:rPr>
        <w:t xml:space="preserve"> </w:t>
      </w:r>
      <w:r w:rsidRPr="000A1182">
        <w:rPr>
          <w:rFonts w:eastAsia="Times New Roman" w:cs="Times New Roman"/>
          <w:lang w:eastAsia="de-DE"/>
        </w:rPr>
        <w:t xml:space="preserve">(seines Nächsten) die Gemeinschaftsverletzung. </w:t>
      </w:r>
      <w:r w:rsidRPr="000A1182">
        <w:rPr>
          <w:rFonts w:eastAsia="Times New Roman" w:cs="Times New Roman"/>
          <w:b/>
          <w:bCs/>
          <w:rtl/>
          <w:lang w:eastAsia="de-DE"/>
        </w:rPr>
        <w:t>מות־יומת הנאף והנאפת</w:t>
      </w:r>
      <w:r w:rsidRPr="000A1182">
        <w:rPr>
          <w:rFonts w:eastAsia="Times New Roman" w:cs="Times New Roman"/>
          <w:rtl/>
          <w:lang w:eastAsia="de-DE"/>
        </w:rPr>
        <w:t xml:space="preserve"> </w:t>
      </w:r>
      <w:r w:rsidRPr="000A1182">
        <w:rPr>
          <w:rFonts w:eastAsia="Times New Roman" w:cs="Times New Roman"/>
          <w:lang w:eastAsia="de-DE"/>
        </w:rPr>
        <w:t xml:space="preserve">(so sollen der Ehebrecher und die Ehebrecherin gewiss getötet werden) - </w:t>
      </w:r>
      <w:r w:rsidRPr="000A1182">
        <w:rPr>
          <w:rFonts w:eastAsia="Times New Roman" w:cs="Times New Roman"/>
          <w:b/>
          <w:bCs/>
          <w:rtl/>
          <w:lang w:eastAsia="de-DE"/>
        </w:rPr>
        <w:t>הנאף והנאפת</w:t>
      </w:r>
      <w:r w:rsidRPr="000A1182">
        <w:rPr>
          <w:rFonts w:eastAsia="Times New Roman" w:cs="Times New Roman"/>
          <w:rtl/>
          <w:lang w:eastAsia="de-DE"/>
        </w:rPr>
        <w:t xml:space="preserve"> </w:t>
      </w:r>
      <w:r w:rsidRPr="000A1182">
        <w:rPr>
          <w:rFonts w:eastAsia="Times New Roman" w:cs="Times New Roman"/>
          <w:lang w:eastAsia="de-DE"/>
        </w:rPr>
        <w:t>(der Ehebrecher und die Ehebrecherin) als Partizipien zeigen beide Beteiligten.</w:t>
      </w:r>
    </w:p>
    <w:p w14:paraId="3815E2A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ינאף</w:t>
      </w:r>
      <w:r w:rsidRPr="000A1182">
        <w:rPr>
          <w:rFonts w:eastAsia="Times New Roman" w:cs="Times New Roman"/>
          <w:rtl/>
          <w:lang w:eastAsia="de-DE"/>
        </w:rPr>
        <w:t xml:space="preserve"> </w:t>
      </w:r>
      <w:r w:rsidRPr="000A1182">
        <w:rPr>
          <w:rFonts w:eastAsia="Times New Roman" w:cs="Times New Roman"/>
          <w:lang w:eastAsia="de-DE"/>
        </w:rPr>
        <w:t xml:space="preserve">wiederholt betont die Schwere der Tat. </w:t>
      </w:r>
      <w:r w:rsidRPr="000A1182">
        <w:rPr>
          <w:rFonts w:eastAsia="Times New Roman" w:cs="Times New Roman"/>
          <w:b/>
          <w:bCs/>
          <w:rtl/>
          <w:lang w:eastAsia="de-DE"/>
        </w:rPr>
        <w:t>אשת רעהו</w:t>
      </w:r>
      <w:r w:rsidRPr="000A1182">
        <w:rPr>
          <w:rFonts w:eastAsia="Times New Roman" w:cs="Times New Roman"/>
          <w:rtl/>
          <w:lang w:eastAsia="de-DE"/>
        </w:rPr>
        <w:t xml:space="preserve"> </w:t>
      </w:r>
      <w:r w:rsidRPr="000A1182">
        <w:rPr>
          <w:rFonts w:eastAsia="Times New Roman" w:cs="Times New Roman"/>
          <w:lang w:eastAsia="de-DE"/>
        </w:rPr>
        <w:t xml:space="preserve">zeigt Ehebruch als Verletzung der Nachbarschaft. </w:t>
      </w:r>
      <w:r w:rsidRPr="000A1182">
        <w:rPr>
          <w:rFonts w:eastAsia="Times New Roman" w:cs="Times New Roman"/>
          <w:b/>
          <w:bCs/>
          <w:rtl/>
          <w:lang w:eastAsia="de-DE"/>
        </w:rPr>
        <w:t>הנאף והנאפת</w:t>
      </w:r>
      <w:r w:rsidRPr="000A1182">
        <w:rPr>
          <w:rFonts w:eastAsia="Times New Roman" w:cs="Times New Roman"/>
          <w:rtl/>
          <w:lang w:eastAsia="de-DE"/>
        </w:rPr>
        <w:t xml:space="preserve"> </w:t>
      </w:r>
      <w:r w:rsidRPr="000A1182">
        <w:rPr>
          <w:rFonts w:eastAsia="Times New Roman" w:cs="Times New Roman"/>
          <w:lang w:eastAsia="de-DE"/>
        </w:rPr>
        <w:t>zeigt gleiche Bestrafung beider Partner.</w:t>
      </w:r>
    </w:p>
    <w:p w14:paraId="3AA415D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Die LXX</w:t>
      </w:r>
      <w:r w:rsidRPr="000A1182">
        <w:rPr>
          <w:rFonts w:eastAsia="Times New Roman" w:cs="Times New Roman"/>
          <w:lang w:eastAsia="de-DE"/>
        </w:rPr>
        <w:t xml:space="preserve"> übersetzt </w:t>
      </w:r>
      <w:r w:rsidRPr="000A1182">
        <w:rPr>
          <w:rFonts w:eastAsia="Times New Roman" w:cs="Times New Roman"/>
          <w:b/>
          <w:bCs/>
          <w:rtl/>
          <w:lang w:eastAsia="de-DE"/>
        </w:rPr>
        <w:t>ינאף</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μοιχεύσητ</w:t>
      </w:r>
      <w:proofErr w:type="spellEnd"/>
      <w:r w:rsidRPr="000A1182">
        <w:rPr>
          <w:rFonts w:eastAsia="Times New Roman" w:cs="Times New Roman"/>
          <w:lang w:eastAsia="de-DE"/>
        </w:rPr>
        <w:t xml:space="preserve">αι (Ehebruch treibt), </w:t>
      </w:r>
      <w:r w:rsidRPr="000A1182">
        <w:rPr>
          <w:rFonts w:eastAsia="Times New Roman" w:cs="Times New Roman"/>
          <w:b/>
          <w:bCs/>
          <w:rtl/>
          <w:lang w:eastAsia="de-DE"/>
        </w:rPr>
        <w:t>אשת איש</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γυν</w:t>
      </w:r>
      <w:proofErr w:type="spellEnd"/>
      <w:r w:rsidRPr="000A1182">
        <w:rPr>
          <w:rFonts w:eastAsia="Times New Roman" w:cs="Times New Roman"/>
          <w:lang w:eastAsia="de-DE"/>
        </w:rPr>
        <w:t xml:space="preserve">αῖκα </w:t>
      </w:r>
      <w:proofErr w:type="spellStart"/>
      <w:r w:rsidRPr="000A1182">
        <w:rPr>
          <w:rFonts w:eastAsia="Times New Roman" w:cs="Times New Roman"/>
          <w:lang w:eastAsia="de-DE"/>
        </w:rPr>
        <w:t>ἀνδρός</w:t>
      </w:r>
      <w:proofErr w:type="spellEnd"/>
      <w:r w:rsidRPr="000A1182">
        <w:rPr>
          <w:rFonts w:eastAsia="Times New Roman" w:cs="Times New Roman"/>
          <w:lang w:eastAsia="de-DE"/>
        </w:rPr>
        <w:t xml:space="preserve"> (Frau eines Mannes), </w:t>
      </w:r>
      <w:r w:rsidRPr="000A1182">
        <w:rPr>
          <w:rFonts w:eastAsia="Times New Roman" w:cs="Times New Roman"/>
          <w:b/>
          <w:bCs/>
          <w:rtl/>
          <w:lang w:eastAsia="de-DE"/>
        </w:rPr>
        <w:t>רעהו</w:t>
      </w:r>
      <w:r w:rsidRPr="000A1182">
        <w:rPr>
          <w:rFonts w:eastAsia="Times New Roman" w:cs="Times New Roman"/>
          <w:rtl/>
          <w:lang w:eastAsia="de-DE"/>
        </w:rPr>
        <w:t xml:space="preserve"> </w:t>
      </w:r>
      <w:r w:rsidRPr="000A1182">
        <w:rPr>
          <w:rFonts w:eastAsia="Times New Roman" w:cs="Times New Roman"/>
          <w:lang w:eastAsia="de-DE"/>
        </w:rPr>
        <w:t>mit π</w:t>
      </w:r>
      <w:proofErr w:type="spellStart"/>
      <w:r w:rsidRPr="000A1182">
        <w:rPr>
          <w:rFonts w:eastAsia="Times New Roman" w:cs="Times New Roman"/>
          <w:lang w:eastAsia="de-DE"/>
        </w:rPr>
        <w:t>λησίον</w:t>
      </w:r>
      <w:proofErr w:type="spellEnd"/>
      <w:r w:rsidRPr="000A1182">
        <w:rPr>
          <w:rFonts w:eastAsia="Times New Roman" w:cs="Times New Roman"/>
          <w:lang w:eastAsia="de-DE"/>
        </w:rPr>
        <w:t xml:space="preserve"> α</w:t>
      </w:r>
      <w:proofErr w:type="spellStart"/>
      <w:r w:rsidRPr="000A1182">
        <w:rPr>
          <w:rFonts w:eastAsia="Times New Roman" w:cs="Times New Roman"/>
          <w:lang w:eastAsia="de-DE"/>
        </w:rPr>
        <w:t>ὐτοῦ</w:t>
      </w:r>
      <w:proofErr w:type="spellEnd"/>
      <w:r w:rsidRPr="000A1182">
        <w:rPr>
          <w:rFonts w:eastAsia="Times New Roman" w:cs="Times New Roman"/>
          <w:lang w:eastAsia="de-DE"/>
        </w:rPr>
        <w:t xml:space="preserve"> (seines Nächsten) und </w:t>
      </w:r>
      <w:r w:rsidRPr="000A1182">
        <w:rPr>
          <w:rFonts w:eastAsia="Times New Roman" w:cs="Times New Roman"/>
          <w:b/>
          <w:bCs/>
          <w:rtl/>
          <w:lang w:eastAsia="de-DE"/>
        </w:rPr>
        <w:t>הנאף והנאפת</w:t>
      </w:r>
      <w:r w:rsidRPr="000A1182">
        <w:rPr>
          <w:rFonts w:eastAsia="Times New Roman" w:cs="Times New Roman"/>
          <w:rtl/>
          <w:lang w:eastAsia="de-DE"/>
        </w:rPr>
        <w:t xml:space="preserve"> </w:t>
      </w:r>
      <w:r w:rsidRPr="000A1182">
        <w:rPr>
          <w:rFonts w:eastAsia="Times New Roman" w:cs="Times New Roman"/>
          <w:lang w:eastAsia="de-DE"/>
        </w:rPr>
        <w:t xml:space="preserve">mit ὁ </w:t>
      </w:r>
      <w:proofErr w:type="spellStart"/>
      <w:r w:rsidRPr="000A1182">
        <w:rPr>
          <w:rFonts w:eastAsia="Times New Roman" w:cs="Times New Roman"/>
          <w:lang w:eastAsia="de-DE"/>
        </w:rPr>
        <w:t>μοιχὸς</w:t>
      </w:r>
      <w:proofErr w:type="spellEnd"/>
      <w:r w:rsidRPr="000A1182">
        <w:rPr>
          <w:rFonts w:eastAsia="Times New Roman" w:cs="Times New Roman"/>
          <w:lang w:eastAsia="de-DE"/>
        </w:rPr>
        <w:t xml:space="preserve"> καὶ ἡ </w:t>
      </w:r>
      <w:proofErr w:type="spellStart"/>
      <w:r w:rsidRPr="000A1182">
        <w:rPr>
          <w:rFonts w:eastAsia="Times New Roman" w:cs="Times New Roman"/>
          <w:lang w:eastAsia="de-DE"/>
        </w:rPr>
        <w:t>μοιχ</w:t>
      </w:r>
      <w:proofErr w:type="spellEnd"/>
      <w:r w:rsidRPr="000A1182">
        <w:rPr>
          <w:rFonts w:eastAsia="Times New Roman" w:cs="Times New Roman"/>
          <w:lang w:eastAsia="de-DE"/>
        </w:rPr>
        <w:t>αλίς (der Ehebrecher und die Ehebrecherin).</w:t>
      </w:r>
    </w:p>
    <w:p w14:paraId="43E6299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Ehebruchbestrafung: doppelte Ehebruchbeschreibung + Gemeinschaftsverletzung + Todesstrafe für beide Partner.</w:t>
      </w:r>
    </w:p>
    <w:p w14:paraId="6FD6CCA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bestraft Ehebruch als Verletzung der Ehe und der Gemeinschaftsordnung mit dem Tod für beide Beteiligten.</w:t>
      </w:r>
    </w:p>
    <w:p w14:paraId="1E75854C"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20,11</w:t>
      </w:r>
    </w:p>
    <w:p w14:paraId="1D8786A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יִשְׁכַּב֙ אֶת־אֵ֣שֶׁת אָבִ֔יו עֶרְוַ֥ת אָבִ֖יו גִּלָּ֑ה מֽוֹת־יוּמְת֥וּ שְׁנֵיהֶ֖ם דְּמֵיהֶ֥ם בָּֽם׃</w:t>
      </w:r>
    </w:p>
    <w:p w14:paraId="7345B0E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bei der Frau seines Vaters liegt: er hat die Blöße seines Vaters aufgedeckt; beide sollen gewiss getötet werden, ihr Blut ist auf ihnen.</w:t>
      </w:r>
    </w:p>
    <w:p w14:paraId="53A04789"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45BF741F">
          <v:rect id="_x0000_i1608" style="width:0;height:1.5pt" o:hralign="center" o:hrstd="t" o:hr="t" fillcolor="#a0a0a0" stroked="f"/>
        </w:pict>
      </w:r>
    </w:p>
    <w:p w14:paraId="46E546D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ישכב את־אשת אביו ערות אביו גלה מות־יומתו שניהם דמיהם בם</w:t>
      </w:r>
      <w:r w:rsidRPr="000A1182">
        <w:rPr>
          <w:rFonts w:eastAsia="Times New Roman" w:cs="Times New Roman"/>
          <w:rtl/>
          <w:lang w:eastAsia="de-DE"/>
        </w:rPr>
        <w:t xml:space="preserve"> </w:t>
      </w:r>
      <w:r w:rsidRPr="000A1182">
        <w:rPr>
          <w:rFonts w:eastAsia="Times New Roman" w:cs="Times New Roman"/>
          <w:lang w:eastAsia="de-DE"/>
        </w:rPr>
        <w:t xml:space="preserve">bestraft Verkehr mit der Stiefmutter. </w:t>
      </w:r>
      <w:r w:rsidRPr="000A1182">
        <w:rPr>
          <w:rFonts w:eastAsia="Times New Roman" w:cs="Times New Roman"/>
          <w:b/>
          <w:bCs/>
          <w:rtl/>
          <w:lang w:eastAsia="de-DE"/>
        </w:rPr>
        <w:t>ואיש אשר ישכב את־אשת אביו</w:t>
      </w:r>
      <w:r w:rsidRPr="000A1182">
        <w:rPr>
          <w:rFonts w:eastAsia="Times New Roman" w:cs="Times New Roman"/>
          <w:rtl/>
          <w:lang w:eastAsia="de-DE"/>
        </w:rPr>
        <w:t xml:space="preserve"> </w:t>
      </w:r>
      <w:r w:rsidRPr="000A1182">
        <w:rPr>
          <w:rFonts w:eastAsia="Times New Roman" w:cs="Times New Roman"/>
          <w:lang w:eastAsia="de-DE"/>
        </w:rPr>
        <w:t xml:space="preserve">(und wenn ein Mann bei der Frau seines Vaters liegt) entspricht 18,8. </w:t>
      </w:r>
      <w:r w:rsidRPr="000A1182">
        <w:rPr>
          <w:rFonts w:eastAsia="Times New Roman" w:cs="Times New Roman"/>
          <w:b/>
          <w:bCs/>
          <w:rtl/>
          <w:lang w:eastAsia="de-DE"/>
        </w:rPr>
        <w:t>ישכב</w:t>
      </w:r>
      <w:r w:rsidRPr="000A1182">
        <w:rPr>
          <w:rFonts w:eastAsia="Times New Roman" w:cs="Times New Roman"/>
          <w:rtl/>
          <w:lang w:eastAsia="de-DE"/>
        </w:rPr>
        <w:t xml:space="preserve"> </w:t>
      </w:r>
      <w:r w:rsidRPr="000A1182">
        <w:rPr>
          <w:rFonts w:eastAsia="Times New Roman" w:cs="Times New Roman"/>
          <w:lang w:eastAsia="de-DE"/>
        </w:rPr>
        <w:t>(liegt) im Qal-Imperfekt als euphemistische Umschreibung.</w:t>
      </w:r>
    </w:p>
    <w:p w14:paraId="64DB411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ערות אביו גלה</w:t>
      </w:r>
      <w:r w:rsidRPr="000A1182">
        <w:rPr>
          <w:rFonts w:eastAsia="Times New Roman" w:cs="Times New Roman"/>
          <w:rtl/>
          <w:lang w:eastAsia="de-DE"/>
        </w:rPr>
        <w:t xml:space="preserve"> </w:t>
      </w:r>
      <w:r w:rsidRPr="000A1182">
        <w:rPr>
          <w:rFonts w:eastAsia="Times New Roman" w:cs="Times New Roman"/>
          <w:lang w:eastAsia="de-DE"/>
        </w:rPr>
        <w:t xml:space="preserve">(er hat die Blöße seines Vaters aufgedeckt) - </w:t>
      </w:r>
      <w:r w:rsidRPr="000A1182">
        <w:rPr>
          <w:rFonts w:eastAsia="Times New Roman" w:cs="Times New Roman"/>
          <w:b/>
          <w:bCs/>
          <w:rtl/>
          <w:lang w:eastAsia="de-DE"/>
        </w:rPr>
        <w:t>גלה</w:t>
      </w:r>
      <w:r w:rsidRPr="000A1182">
        <w:rPr>
          <w:rFonts w:eastAsia="Times New Roman" w:cs="Times New Roman"/>
          <w:rtl/>
          <w:lang w:eastAsia="de-DE"/>
        </w:rPr>
        <w:t xml:space="preserve"> </w:t>
      </w:r>
      <w:r w:rsidRPr="000A1182">
        <w:rPr>
          <w:rFonts w:eastAsia="Times New Roman" w:cs="Times New Roman"/>
          <w:lang w:eastAsia="de-DE"/>
        </w:rPr>
        <w:t>(hat aufgedeckt) im Piel-Perfekt, das Piel zeigt intensive Entblößung. Dies erklärt den Verstoß als Verletzung väterlicher Ehre.</w:t>
      </w:r>
    </w:p>
    <w:p w14:paraId="4A5C851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מות־יומתו שניהם דמיהם בם</w:t>
      </w:r>
      <w:r w:rsidRPr="000A1182">
        <w:rPr>
          <w:rFonts w:eastAsia="Times New Roman" w:cs="Times New Roman"/>
          <w:rtl/>
          <w:lang w:eastAsia="de-DE"/>
        </w:rPr>
        <w:t xml:space="preserve"> </w:t>
      </w:r>
      <w:r w:rsidRPr="000A1182">
        <w:rPr>
          <w:rFonts w:eastAsia="Times New Roman" w:cs="Times New Roman"/>
          <w:lang w:eastAsia="de-DE"/>
        </w:rPr>
        <w:t xml:space="preserve">(beide sollen gewiss getötet werden, ihr Blut ist auf ihnen) - </w:t>
      </w:r>
      <w:r w:rsidRPr="000A1182">
        <w:rPr>
          <w:rFonts w:eastAsia="Times New Roman" w:cs="Times New Roman"/>
          <w:b/>
          <w:bCs/>
          <w:rtl/>
          <w:lang w:eastAsia="de-DE"/>
        </w:rPr>
        <w:t>יומתו</w:t>
      </w:r>
      <w:r w:rsidRPr="000A1182">
        <w:rPr>
          <w:rFonts w:eastAsia="Times New Roman" w:cs="Times New Roman"/>
          <w:rtl/>
          <w:lang w:eastAsia="de-DE"/>
        </w:rPr>
        <w:t xml:space="preserve"> </w:t>
      </w:r>
      <w:r w:rsidRPr="000A1182">
        <w:rPr>
          <w:rFonts w:eastAsia="Times New Roman" w:cs="Times New Roman"/>
          <w:lang w:eastAsia="de-DE"/>
        </w:rPr>
        <w:t xml:space="preserve">(sollen getötet werden) im Hofal-Imperfekt zeigt passive Hinrichtung. </w:t>
      </w:r>
      <w:r w:rsidRPr="000A1182">
        <w:rPr>
          <w:rFonts w:eastAsia="Times New Roman" w:cs="Times New Roman"/>
          <w:b/>
          <w:bCs/>
          <w:rtl/>
          <w:lang w:eastAsia="de-DE"/>
        </w:rPr>
        <w:t>שניהם</w:t>
      </w:r>
      <w:r w:rsidRPr="000A1182">
        <w:rPr>
          <w:rFonts w:eastAsia="Times New Roman" w:cs="Times New Roman"/>
          <w:rtl/>
          <w:lang w:eastAsia="de-DE"/>
        </w:rPr>
        <w:t xml:space="preserve"> </w:t>
      </w:r>
      <w:r w:rsidRPr="000A1182">
        <w:rPr>
          <w:rFonts w:eastAsia="Times New Roman" w:cs="Times New Roman"/>
          <w:lang w:eastAsia="de-DE"/>
        </w:rPr>
        <w:t xml:space="preserve">(beide) zeigt gleiche Bestrafung.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(ihr Blut ist auf ihnen) als Dual der Selbstverschuldungsformel.</w:t>
      </w:r>
    </w:p>
    <w:p w14:paraId="5A6AA19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ערות אביו גלה</w:t>
      </w:r>
      <w:r w:rsidRPr="000A1182">
        <w:rPr>
          <w:rFonts w:eastAsia="Times New Roman" w:cs="Times New Roman"/>
          <w:rtl/>
          <w:lang w:eastAsia="de-DE"/>
        </w:rPr>
        <w:t xml:space="preserve"> </w:t>
      </w:r>
      <w:r w:rsidRPr="000A1182">
        <w:rPr>
          <w:rFonts w:eastAsia="Times New Roman" w:cs="Times New Roman"/>
          <w:lang w:eastAsia="de-DE"/>
        </w:rPr>
        <w:t xml:space="preserve">zeigt die Verletzung väterlicher Ehre als Begründung. </w:t>
      </w:r>
      <w:r w:rsidRPr="000A1182">
        <w:rPr>
          <w:rFonts w:eastAsia="Times New Roman" w:cs="Times New Roman"/>
          <w:b/>
          <w:bCs/>
          <w:rtl/>
          <w:lang w:eastAsia="de-DE"/>
        </w:rPr>
        <w:t>שניהם</w:t>
      </w:r>
      <w:r w:rsidRPr="000A1182">
        <w:rPr>
          <w:rFonts w:eastAsia="Times New Roman" w:cs="Times New Roman"/>
          <w:rtl/>
          <w:lang w:eastAsia="de-DE"/>
        </w:rPr>
        <w:t xml:space="preserve"> </w:t>
      </w:r>
      <w:r w:rsidRPr="000A1182">
        <w:rPr>
          <w:rFonts w:eastAsia="Times New Roman" w:cs="Times New Roman"/>
          <w:lang w:eastAsia="de-DE"/>
        </w:rPr>
        <w:t xml:space="preserve">zeigt gleiche Schuld und Strafe beider Partner.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im Plural zeigt doppelte Selbstverschuldung.</w:t>
      </w:r>
    </w:p>
    <w:p w14:paraId="47C6F13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ישכב</w:t>
      </w:r>
      <w:r w:rsidRPr="000A1182">
        <w:rPr>
          <w:rFonts w:eastAsia="Times New Roman" w:cs="Times New Roman"/>
          <w:rtl/>
          <w:lang w:eastAsia="de-DE"/>
        </w:rPr>
        <w:t xml:space="preserve"> </w:t>
      </w:r>
      <w:r w:rsidRPr="000A1182">
        <w:rPr>
          <w:rFonts w:eastAsia="Times New Roman" w:cs="Times New Roman"/>
          <w:lang w:eastAsia="de-DE"/>
        </w:rPr>
        <w:t xml:space="preserve">mit κοιμηθῇ (schläft), </w:t>
      </w:r>
      <w:r w:rsidRPr="000A1182">
        <w:rPr>
          <w:rFonts w:eastAsia="Times New Roman" w:cs="Times New Roman"/>
          <w:b/>
          <w:bCs/>
          <w:rtl/>
          <w:lang w:eastAsia="de-DE"/>
        </w:rPr>
        <w:t>ערות אביו</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ἀσχημοσύνην</w:t>
      </w:r>
      <w:proofErr w:type="spellEnd"/>
      <w:r w:rsidRPr="000A1182">
        <w:rPr>
          <w:rFonts w:eastAsia="Times New Roman" w:cs="Times New Roman"/>
          <w:lang w:eastAsia="de-DE"/>
        </w:rPr>
        <w:t xml:space="preserve"> πα</w:t>
      </w:r>
      <w:proofErr w:type="spellStart"/>
      <w:r w:rsidRPr="000A1182">
        <w:rPr>
          <w:rFonts w:eastAsia="Times New Roman" w:cs="Times New Roman"/>
          <w:lang w:eastAsia="de-DE"/>
        </w:rPr>
        <w:t>τρὸς</w:t>
      </w:r>
      <w:proofErr w:type="spellEnd"/>
      <w:r w:rsidRPr="000A1182">
        <w:rPr>
          <w:rFonts w:eastAsia="Times New Roman" w:cs="Times New Roman"/>
          <w:lang w:eastAsia="de-DE"/>
        </w:rPr>
        <w:t xml:space="preserve"> α</w:t>
      </w:r>
      <w:proofErr w:type="spellStart"/>
      <w:r w:rsidRPr="000A1182">
        <w:rPr>
          <w:rFonts w:eastAsia="Times New Roman" w:cs="Times New Roman"/>
          <w:lang w:eastAsia="de-DE"/>
        </w:rPr>
        <w:t>ὐτοῦ</w:t>
      </w:r>
      <w:proofErr w:type="spellEnd"/>
      <w:r w:rsidRPr="000A1182">
        <w:rPr>
          <w:rFonts w:eastAsia="Times New Roman" w:cs="Times New Roman"/>
          <w:lang w:eastAsia="de-DE"/>
        </w:rPr>
        <w:t xml:space="preserve"> (Schande seines Vaters), </w:t>
      </w:r>
      <w:r w:rsidRPr="000A1182">
        <w:rPr>
          <w:rFonts w:eastAsia="Times New Roman" w:cs="Times New Roman"/>
          <w:b/>
          <w:bCs/>
          <w:rtl/>
          <w:lang w:eastAsia="de-DE"/>
        </w:rPr>
        <w:t>יומתו</w:t>
      </w:r>
      <w:r w:rsidRPr="000A1182">
        <w:rPr>
          <w:rFonts w:eastAsia="Times New Roman" w:cs="Times New Roman"/>
          <w:rtl/>
          <w:lang w:eastAsia="de-DE"/>
        </w:rPr>
        <w:t xml:space="preserve"> </w:t>
      </w:r>
      <w:r w:rsidRPr="000A1182">
        <w:rPr>
          <w:rFonts w:eastAsia="Times New Roman" w:cs="Times New Roman"/>
          <w:lang w:eastAsia="de-DE"/>
        </w:rPr>
        <w:t>mit θανα</w:t>
      </w:r>
      <w:proofErr w:type="spellStart"/>
      <w:r w:rsidRPr="000A1182">
        <w:rPr>
          <w:rFonts w:eastAsia="Times New Roman" w:cs="Times New Roman"/>
          <w:lang w:eastAsia="de-DE"/>
        </w:rPr>
        <w:t>τωθήτωσ</w:t>
      </w:r>
      <w:proofErr w:type="spellEnd"/>
      <w:r w:rsidRPr="000A1182">
        <w:rPr>
          <w:rFonts w:eastAsia="Times New Roman" w:cs="Times New Roman"/>
          <w:lang w:eastAsia="de-DE"/>
        </w:rPr>
        <w:t xml:space="preserve">αν (sollen getötet werden) und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mit α</w:t>
      </w:r>
      <w:proofErr w:type="spellStart"/>
      <w:r w:rsidRPr="000A1182">
        <w:rPr>
          <w:rFonts w:eastAsia="Times New Roman" w:cs="Times New Roman"/>
          <w:lang w:eastAsia="de-DE"/>
        </w:rPr>
        <w:t>ἷμ</w:t>
      </w:r>
      <w:proofErr w:type="spellEnd"/>
      <w:r w:rsidRPr="000A1182">
        <w:rPr>
          <w:rFonts w:eastAsia="Times New Roman" w:cs="Times New Roman"/>
          <w:lang w:eastAsia="de-DE"/>
        </w:rPr>
        <w:t>α α</w:t>
      </w:r>
      <w:proofErr w:type="spellStart"/>
      <w:r w:rsidRPr="000A1182">
        <w:rPr>
          <w:rFonts w:eastAsia="Times New Roman" w:cs="Times New Roman"/>
          <w:lang w:eastAsia="de-DE"/>
        </w:rPr>
        <w:t>ὐτῶν</w:t>
      </w:r>
      <w:proofErr w:type="spellEnd"/>
      <w:r w:rsidRPr="000A1182">
        <w:rPr>
          <w:rFonts w:eastAsia="Times New Roman" w:cs="Times New Roman"/>
          <w:lang w:eastAsia="de-DE"/>
        </w:rPr>
        <w:t xml:space="preserve"> ἐπ᾽ α</w:t>
      </w:r>
      <w:proofErr w:type="spellStart"/>
      <w:r w:rsidRPr="000A1182">
        <w:rPr>
          <w:rFonts w:eastAsia="Times New Roman" w:cs="Times New Roman"/>
          <w:lang w:eastAsia="de-DE"/>
        </w:rPr>
        <w:t>ὐτούς</w:t>
      </w:r>
      <w:proofErr w:type="spellEnd"/>
      <w:r w:rsidRPr="000A1182">
        <w:rPr>
          <w:rFonts w:eastAsia="Times New Roman" w:cs="Times New Roman"/>
          <w:lang w:eastAsia="de-DE"/>
        </w:rPr>
        <w:t xml:space="preserve"> (ihr Blut auf sie).</w:t>
      </w:r>
    </w:p>
    <w:p w14:paraId="36204AA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Stiefmutter-Inzest-Bestrafung: Verkehr mit Stiefmutter + väterliche Ehrverletzung + Todesstrafe für beide + doppelte Selbstverschuldung.</w:t>
      </w:r>
    </w:p>
    <w:p w14:paraId="0FDDD98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bestraft Inzest mit der Stiefmutter als Verletzung väterlicher Ehre mit dem Tod für beide Beteiligten.</w:t>
      </w:r>
    </w:p>
    <w:p w14:paraId="4CEF654A"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20,12</w:t>
      </w:r>
    </w:p>
    <w:p w14:paraId="170D9FC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יִשְׁכַּב֙ אֶת־כַּלָּתוֹ֔ מ֥וֹת יוּמְת֖וּ שְׁנֵיהֶ֑ם תֶּ֥בֶל עָשׂ֖וּ דְּמֵיהֶ֥ם בָּֽם׃</w:t>
      </w:r>
    </w:p>
    <w:p w14:paraId="00B74B3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Deutsch:</w:t>
      </w:r>
      <w:r w:rsidRPr="000A1182">
        <w:rPr>
          <w:rFonts w:eastAsia="Times New Roman" w:cs="Times New Roman"/>
          <w:lang w:eastAsia="de-DE"/>
        </w:rPr>
        <w:t xml:space="preserve"> Und wenn ein Mann bei seiner Schwiegertochter liegt, so sollen beide gewiss getötet werden; sie haben eine schändliche Befleckung verübt, ihr Blut ist auf ihnen.</w:t>
      </w:r>
    </w:p>
    <w:p w14:paraId="12CE5AF9"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5CD693D0">
          <v:rect id="_x0000_i1609" style="width:0;height:1.5pt" o:hralign="center" o:hrstd="t" o:hr="t" fillcolor="#a0a0a0" stroked="f"/>
        </w:pict>
      </w:r>
    </w:p>
    <w:p w14:paraId="1184C6F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ישכב את־כלתו מות יומתו שניהם תבל עשו דמיהם בם</w:t>
      </w:r>
      <w:r w:rsidRPr="000A1182">
        <w:rPr>
          <w:rFonts w:eastAsia="Times New Roman" w:cs="Times New Roman"/>
          <w:rtl/>
          <w:lang w:eastAsia="de-DE"/>
        </w:rPr>
        <w:t xml:space="preserve"> </w:t>
      </w:r>
      <w:r w:rsidRPr="000A1182">
        <w:rPr>
          <w:rFonts w:eastAsia="Times New Roman" w:cs="Times New Roman"/>
          <w:lang w:eastAsia="de-DE"/>
        </w:rPr>
        <w:t xml:space="preserve">bestraft Schwiegertochter-Inzest. </w:t>
      </w:r>
      <w:r w:rsidRPr="000A1182">
        <w:rPr>
          <w:rFonts w:eastAsia="Times New Roman" w:cs="Times New Roman"/>
          <w:b/>
          <w:bCs/>
          <w:rtl/>
          <w:lang w:eastAsia="de-DE"/>
        </w:rPr>
        <w:t>ואיש אשר ישכב את־כלתו</w:t>
      </w:r>
      <w:r w:rsidRPr="000A1182">
        <w:rPr>
          <w:rFonts w:eastAsia="Times New Roman" w:cs="Times New Roman"/>
          <w:rtl/>
          <w:lang w:eastAsia="de-DE"/>
        </w:rPr>
        <w:t xml:space="preserve"> </w:t>
      </w:r>
      <w:r w:rsidRPr="000A1182">
        <w:rPr>
          <w:rFonts w:eastAsia="Times New Roman" w:cs="Times New Roman"/>
          <w:lang w:eastAsia="de-DE"/>
        </w:rPr>
        <w:t xml:space="preserve">(und wenn ein Mann bei seiner Schwiegertochter liegt) entspricht 18,15. </w:t>
      </w:r>
      <w:r w:rsidRPr="000A1182">
        <w:rPr>
          <w:rFonts w:eastAsia="Times New Roman" w:cs="Times New Roman"/>
          <w:b/>
          <w:bCs/>
          <w:rtl/>
          <w:lang w:eastAsia="de-DE"/>
        </w:rPr>
        <w:t>כלתו</w:t>
      </w:r>
      <w:r w:rsidRPr="000A1182">
        <w:rPr>
          <w:rFonts w:eastAsia="Times New Roman" w:cs="Times New Roman"/>
          <w:rtl/>
          <w:lang w:eastAsia="de-DE"/>
        </w:rPr>
        <w:t xml:space="preserve"> </w:t>
      </w:r>
      <w:r w:rsidRPr="000A1182">
        <w:rPr>
          <w:rFonts w:eastAsia="Times New Roman" w:cs="Times New Roman"/>
          <w:lang w:eastAsia="de-DE"/>
        </w:rPr>
        <w:t>(seiner Schwiegertochter) als Ehefrau des Sohnes.</w:t>
      </w:r>
    </w:p>
    <w:p w14:paraId="2DD0F1A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 יומתו שניהם</w:t>
      </w:r>
      <w:r w:rsidRPr="000A1182">
        <w:rPr>
          <w:rFonts w:eastAsia="Times New Roman" w:cs="Times New Roman"/>
          <w:rtl/>
          <w:lang w:eastAsia="de-DE"/>
        </w:rPr>
        <w:t xml:space="preserve"> </w:t>
      </w:r>
      <w:r w:rsidRPr="000A1182">
        <w:rPr>
          <w:rFonts w:eastAsia="Times New Roman" w:cs="Times New Roman"/>
          <w:lang w:eastAsia="de-DE"/>
        </w:rPr>
        <w:t xml:space="preserve">(so sollen beide gewiss getötet werden) entspricht V. 11. </w:t>
      </w:r>
      <w:r w:rsidRPr="000A1182">
        <w:rPr>
          <w:rFonts w:eastAsia="Times New Roman" w:cs="Times New Roman"/>
          <w:b/>
          <w:bCs/>
          <w:rtl/>
          <w:lang w:eastAsia="de-DE"/>
        </w:rPr>
        <w:t>תבל עשו</w:t>
      </w:r>
      <w:r w:rsidRPr="000A1182">
        <w:rPr>
          <w:rFonts w:eastAsia="Times New Roman" w:cs="Times New Roman"/>
          <w:rtl/>
          <w:lang w:eastAsia="de-DE"/>
        </w:rPr>
        <w:t xml:space="preserve"> </w:t>
      </w:r>
      <w:r w:rsidRPr="000A1182">
        <w:rPr>
          <w:rFonts w:eastAsia="Times New Roman" w:cs="Times New Roman"/>
          <w:lang w:eastAsia="de-DE"/>
        </w:rPr>
        <w:t xml:space="preserve">(sie haben eine schändliche Befleckung verübt) - </w:t>
      </w:r>
      <w:r w:rsidRPr="000A1182">
        <w:rPr>
          <w:rFonts w:eastAsia="Times New Roman" w:cs="Times New Roman"/>
          <w:b/>
          <w:bCs/>
          <w:rtl/>
          <w:lang w:eastAsia="de-DE"/>
        </w:rPr>
        <w:t>תבל</w:t>
      </w:r>
      <w:r w:rsidRPr="000A1182">
        <w:rPr>
          <w:rFonts w:eastAsia="Times New Roman" w:cs="Times New Roman"/>
          <w:rtl/>
          <w:lang w:eastAsia="de-DE"/>
        </w:rPr>
        <w:t xml:space="preserve"> </w:t>
      </w:r>
      <w:r w:rsidRPr="000A1182">
        <w:rPr>
          <w:rFonts w:eastAsia="Times New Roman" w:cs="Times New Roman"/>
          <w:lang w:eastAsia="de-DE"/>
        </w:rPr>
        <w:t xml:space="preserve">(schändliche Befleckung) aus 18,23, zeigt kosmische Ordnungsverwirrung. </w:t>
      </w:r>
      <w:r w:rsidRPr="000A1182">
        <w:rPr>
          <w:rFonts w:eastAsia="Times New Roman" w:cs="Times New Roman"/>
          <w:b/>
          <w:bCs/>
          <w:rtl/>
          <w:lang w:eastAsia="de-DE"/>
        </w:rPr>
        <w:t>עשו</w:t>
      </w:r>
      <w:r w:rsidRPr="000A1182">
        <w:rPr>
          <w:rFonts w:eastAsia="Times New Roman" w:cs="Times New Roman"/>
          <w:rtl/>
          <w:lang w:eastAsia="de-DE"/>
        </w:rPr>
        <w:t xml:space="preserve"> </w:t>
      </w:r>
      <w:r w:rsidRPr="000A1182">
        <w:rPr>
          <w:rFonts w:eastAsia="Times New Roman" w:cs="Times New Roman"/>
          <w:lang w:eastAsia="de-DE"/>
        </w:rPr>
        <w:t>(haben verübt) im Qal-Perfekt.</w:t>
      </w:r>
    </w:p>
    <w:p w14:paraId="43D2F9D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(ihr Blut ist auf ihnen) entspricht V. 11.</w:t>
      </w:r>
    </w:p>
    <w:p w14:paraId="0FC81D8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תבל עשו</w:t>
      </w:r>
      <w:r w:rsidRPr="000A1182">
        <w:rPr>
          <w:rFonts w:eastAsia="Times New Roman" w:cs="Times New Roman"/>
          <w:rtl/>
          <w:lang w:eastAsia="de-DE"/>
        </w:rPr>
        <w:t xml:space="preserve"> </w:t>
      </w:r>
      <w:r w:rsidRPr="000A1182">
        <w:rPr>
          <w:rFonts w:eastAsia="Times New Roman" w:cs="Times New Roman"/>
          <w:lang w:eastAsia="de-DE"/>
        </w:rPr>
        <w:t xml:space="preserve">zeigt die Qualifikation als kosmische Ordnungsverwirrung, schwerer als einfacher Inzest. </w:t>
      </w:r>
      <w:r w:rsidRPr="000A1182">
        <w:rPr>
          <w:rFonts w:eastAsia="Times New Roman" w:cs="Times New Roman"/>
          <w:b/>
          <w:bCs/>
          <w:rtl/>
          <w:lang w:eastAsia="de-DE"/>
        </w:rPr>
        <w:t>עשו</w:t>
      </w:r>
      <w:r w:rsidRPr="000A1182">
        <w:rPr>
          <w:rFonts w:eastAsia="Times New Roman" w:cs="Times New Roman"/>
          <w:rtl/>
          <w:lang w:eastAsia="de-DE"/>
        </w:rPr>
        <w:t xml:space="preserve"> </w:t>
      </w:r>
      <w:r w:rsidRPr="000A1182">
        <w:rPr>
          <w:rFonts w:eastAsia="Times New Roman" w:cs="Times New Roman"/>
          <w:lang w:eastAsia="de-DE"/>
        </w:rPr>
        <w:t>im Plural zeigt gemeinsame Verantwortung beider Partner.</w:t>
      </w:r>
    </w:p>
    <w:p w14:paraId="0B210FBF" w14:textId="4E01F77A"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תבל</w:t>
      </w:r>
      <w:r w:rsidR="004F25E8">
        <w:t xml:space="preserve"> (</w:t>
      </w:r>
      <w:proofErr w:type="spellStart"/>
      <w:r w:rsidR="004F25E8">
        <w:t>tevel</w:t>
      </w:r>
      <w:proofErr w:type="spellEnd"/>
      <w:r w:rsidR="004F25E8">
        <w:t xml:space="preserve"> - "Verworfenheit") als </w:t>
      </w:r>
      <w:proofErr w:type="spellStart"/>
      <w:r w:rsidR="004F25E8">
        <w:t>ἠσε</w:t>
      </w:r>
      <w:proofErr w:type="spellEnd"/>
      <w:r w:rsidR="004F25E8">
        <w:t>βήκασιν (sie haben gefrevelt), was eine religiöse statt einer sexuellen Kategorisierung darstellt.</w:t>
      </w:r>
    </w:p>
    <w:p w14:paraId="0E65CE1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Schwiegertochter-Inzest-Bestrafung: Schwiegertochter-Verkehr + Todesstrafe für beide + kosmische Ordnungsverwirrung + doppelte Selbstverschuldung.</w:t>
      </w:r>
    </w:p>
    <w:p w14:paraId="72A0B2B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bestraft Schwiegertochter-Inzest als </w:t>
      </w:r>
      <w:r w:rsidRPr="000A1182">
        <w:rPr>
          <w:rFonts w:eastAsia="Times New Roman" w:cs="Times New Roman"/>
          <w:b/>
          <w:bCs/>
          <w:rtl/>
          <w:lang w:eastAsia="de-DE"/>
        </w:rPr>
        <w:t>תבל</w:t>
      </w:r>
      <w:r w:rsidRPr="000A1182">
        <w:rPr>
          <w:rFonts w:eastAsia="Times New Roman" w:cs="Times New Roman"/>
          <w:rtl/>
          <w:lang w:eastAsia="de-DE"/>
        </w:rPr>
        <w:t xml:space="preserve"> </w:t>
      </w:r>
      <w:r w:rsidRPr="000A1182">
        <w:rPr>
          <w:rFonts w:eastAsia="Times New Roman" w:cs="Times New Roman"/>
          <w:lang w:eastAsia="de-DE"/>
        </w:rPr>
        <w:t>(kosmische Ordnungsverwirrung) mit dem Tod für beide Beteiligten.</w:t>
      </w:r>
    </w:p>
    <w:p w14:paraId="19F5905E"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20,13</w:t>
      </w:r>
    </w:p>
    <w:p w14:paraId="7CB0374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יִשְׁכַּ֤ב אֶת־זָכָר֙ מִשְׁכְּבֵ֣י אִשָּׁ֔ה תּוֹעֵבָ֥ה עָשׂ֖וּ שְׁנֵיהֶ֑ם מ֥וֹת יוּמָ֖תוּ דְּמֵיהֶ֥ם בָּֽם׃</w:t>
      </w:r>
    </w:p>
    <w:p w14:paraId="0F462D9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bei einem Mann liegt, wie man bei einer Frau liegt, so haben beide einen Gräuel verübt; sie sollen gewiss getötet werden, ihr Blut ist auf ihnen.</w:t>
      </w:r>
    </w:p>
    <w:p w14:paraId="124F985B"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2EF18880">
          <v:rect id="_x0000_i1610" style="width:0;height:1.5pt" o:hralign="center" o:hrstd="t" o:hr="t" fillcolor="#a0a0a0" stroked="f"/>
        </w:pict>
      </w:r>
    </w:p>
    <w:p w14:paraId="12948BC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ישכב את־זכר משכבי אשה תועבה עשו שניהם מות יומתו דמיהם בם</w:t>
      </w:r>
      <w:r w:rsidRPr="000A1182">
        <w:rPr>
          <w:rFonts w:eastAsia="Times New Roman" w:cs="Times New Roman"/>
          <w:rtl/>
          <w:lang w:eastAsia="de-DE"/>
        </w:rPr>
        <w:t xml:space="preserve"> </w:t>
      </w:r>
      <w:r w:rsidRPr="000A1182">
        <w:rPr>
          <w:rFonts w:eastAsia="Times New Roman" w:cs="Times New Roman"/>
          <w:lang w:eastAsia="de-DE"/>
        </w:rPr>
        <w:t xml:space="preserve">bestraft männliche Homosexualität. </w:t>
      </w:r>
      <w:r w:rsidRPr="000A1182">
        <w:rPr>
          <w:rFonts w:eastAsia="Times New Roman" w:cs="Times New Roman"/>
          <w:b/>
          <w:bCs/>
          <w:rtl/>
          <w:lang w:eastAsia="de-DE"/>
        </w:rPr>
        <w:t>ואיש אשר ישכב את־זכר משכבי אשה</w:t>
      </w:r>
      <w:r w:rsidRPr="000A1182">
        <w:rPr>
          <w:rFonts w:eastAsia="Times New Roman" w:cs="Times New Roman"/>
          <w:rtl/>
          <w:lang w:eastAsia="de-DE"/>
        </w:rPr>
        <w:t xml:space="preserve"> </w:t>
      </w:r>
      <w:r w:rsidRPr="000A1182">
        <w:rPr>
          <w:rFonts w:eastAsia="Times New Roman" w:cs="Times New Roman"/>
          <w:lang w:eastAsia="de-DE"/>
        </w:rPr>
        <w:t xml:space="preserve">(und wenn ein Mann bei einem Mann liegt, wie man bei einer Frau liegt) entspricht 18,22. </w:t>
      </w:r>
      <w:r w:rsidRPr="000A1182">
        <w:rPr>
          <w:rFonts w:eastAsia="Times New Roman" w:cs="Times New Roman"/>
          <w:b/>
          <w:bCs/>
          <w:rtl/>
          <w:lang w:eastAsia="de-DE"/>
        </w:rPr>
        <w:t>זכר</w:t>
      </w:r>
      <w:r w:rsidRPr="000A1182">
        <w:rPr>
          <w:rFonts w:eastAsia="Times New Roman" w:cs="Times New Roman"/>
          <w:rtl/>
          <w:lang w:eastAsia="de-DE"/>
        </w:rPr>
        <w:t xml:space="preserve"> </w:t>
      </w:r>
      <w:r w:rsidRPr="000A1182">
        <w:rPr>
          <w:rFonts w:eastAsia="Times New Roman" w:cs="Times New Roman"/>
          <w:lang w:eastAsia="de-DE"/>
        </w:rPr>
        <w:t xml:space="preserve">(Mann/Männchen) betont das biologische Geschlecht. </w:t>
      </w:r>
      <w:r w:rsidRPr="000A1182">
        <w:rPr>
          <w:rFonts w:eastAsia="Times New Roman" w:cs="Times New Roman"/>
          <w:b/>
          <w:bCs/>
          <w:rtl/>
          <w:lang w:eastAsia="de-DE"/>
        </w:rPr>
        <w:t>משכבי אשה</w:t>
      </w:r>
      <w:r w:rsidRPr="000A1182">
        <w:rPr>
          <w:rFonts w:eastAsia="Times New Roman" w:cs="Times New Roman"/>
          <w:rtl/>
          <w:lang w:eastAsia="de-DE"/>
        </w:rPr>
        <w:t xml:space="preserve"> </w:t>
      </w:r>
      <w:r w:rsidRPr="000A1182">
        <w:rPr>
          <w:rFonts w:eastAsia="Times New Roman" w:cs="Times New Roman"/>
          <w:lang w:eastAsia="de-DE"/>
        </w:rPr>
        <w:t>(wie man bei einer Frau liegt) zeigt den normativen Vergleich.</w:t>
      </w:r>
    </w:p>
    <w:p w14:paraId="67C2943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תועבה עשו שניהם</w:t>
      </w:r>
      <w:r w:rsidRPr="000A1182">
        <w:rPr>
          <w:rFonts w:eastAsia="Times New Roman" w:cs="Times New Roman"/>
          <w:rtl/>
          <w:lang w:eastAsia="de-DE"/>
        </w:rPr>
        <w:t xml:space="preserve"> </w:t>
      </w:r>
      <w:r w:rsidRPr="000A1182">
        <w:rPr>
          <w:rFonts w:eastAsia="Times New Roman" w:cs="Times New Roman"/>
          <w:lang w:eastAsia="de-DE"/>
        </w:rPr>
        <w:t xml:space="preserve">(so haben beide einen Gräuel verübt) - </w:t>
      </w:r>
      <w:r w:rsidRPr="000A1182">
        <w:rPr>
          <w:rFonts w:eastAsia="Times New Roman" w:cs="Times New Roman"/>
          <w:b/>
          <w:bCs/>
          <w:rtl/>
          <w:lang w:eastAsia="de-DE"/>
        </w:rPr>
        <w:t>תועבה</w:t>
      </w:r>
      <w:r w:rsidRPr="000A1182">
        <w:rPr>
          <w:rFonts w:eastAsia="Times New Roman" w:cs="Times New Roman"/>
          <w:rtl/>
          <w:lang w:eastAsia="de-DE"/>
        </w:rPr>
        <w:t xml:space="preserve"> </w:t>
      </w:r>
      <w:r w:rsidRPr="000A1182">
        <w:rPr>
          <w:rFonts w:eastAsia="Times New Roman" w:cs="Times New Roman"/>
          <w:lang w:eastAsia="de-DE"/>
        </w:rPr>
        <w:t xml:space="preserve">(Gräuel) aus 18,22 als schärfste moralische Verurteilung. </w:t>
      </w:r>
      <w:r w:rsidRPr="000A1182">
        <w:rPr>
          <w:rFonts w:eastAsia="Times New Roman" w:cs="Times New Roman"/>
          <w:b/>
          <w:bCs/>
          <w:rtl/>
          <w:lang w:eastAsia="de-DE"/>
        </w:rPr>
        <w:t>עשו שניהם</w:t>
      </w:r>
      <w:r w:rsidRPr="000A1182">
        <w:rPr>
          <w:rFonts w:eastAsia="Times New Roman" w:cs="Times New Roman"/>
          <w:rtl/>
          <w:lang w:eastAsia="de-DE"/>
        </w:rPr>
        <w:t xml:space="preserve"> </w:t>
      </w:r>
      <w:r w:rsidRPr="000A1182">
        <w:rPr>
          <w:rFonts w:eastAsia="Times New Roman" w:cs="Times New Roman"/>
          <w:lang w:eastAsia="de-DE"/>
        </w:rPr>
        <w:t>(haben beide verübt) zeigt gleiche Schuld beider Partner.</w:t>
      </w:r>
    </w:p>
    <w:p w14:paraId="2EBD4D7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 יומתו דמיהם בם</w:t>
      </w:r>
      <w:r w:rsidRPr="000A1182">
        <w:rPr>
          <w:rFonts w:eastAsia="Times New Roman" w:cs="Times New Roman"/>
          <w:rtl/>
          <w:lang w:eastAsia="de-DE"/>
        </w:rPr>
        <w:t xml:space="preserve"> </w:t>
      </w:r>
      <w:r w:rsidRPr="000A1182">
        <w:rPr>
          <w:rFonts w:eastAsia="Times New Roman" w:cs="Times New Roman"/>
          <w:lang w:eastAsia="de-DE"/>
        </w:rPr>
        <w:t>(sie sollen gewiss getötet werden, ihr Blut ist auf ihnen) entspricht V. 11-12.</w:t>
      </w:r>
    </w:p>
    <w:p w14:paraId="2F5274C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lastRenderedPageBreak/>
        <w:t>תועבה עשו שניהם</w:t>
      </w:r>
      <w:r w:rsidRPr="000A1182">
        <w:rPr>
          <w:rFonts w:eastAsia="Times New Roman" w:cs="Times New Roman"/>
          <w:rtl/>
          <w:lang w:eastAsia="de-DE"/>
        </w:rPr>
        <w:t xml:space="preserve"> </w:t>
      </w:r>
      <w:r w:rsidRPr="000A1182">
        <w:rPr>
          <w:rFonts w:eastAsia="Times New Roman" w:cs="Times New Roman"/>
          <w:lang w:eastAsia="de-DE"/>
        </w:rPr>
        <w:t xml:space="preserve">zeigt homosexuelle Handlungen als </w:t>
      </w:r>
      <w:r w:rsidRPr="000A1182">
        <w:rPr>
          <w:rFonts w:eastAsia="Times New Roman" w:cs="Times New Roman"/>
          <w:b/>
          <w:bCs/>
          <w:rtl/>
          <w:lang w:eastAsia="de-DE"/>
        </w:rPr>
        <w:t>תועבה</w:t>
      </w:r>
      <w:r w:rsidRPr="000A1182">
        <w:rPr>
          <w:rFonts w:eastAsia="Times New Roman" w:cs="Times New Roman"/>
          <w:rtl/>
          <w:lang w:eastAsia="de-DE"/>
        </w:rPr>
        <w:t xml:space="preserve"> </w:t>
      </w:r>
      <w:r w:rsidRPr="000A1182">
        <w:rPr>
          <w:rFonts w:eastAsia="Times New Roman" w:cs="Times New Roman"/>
          <w:lang w:eastAsia="de-DE"/>
        </w:rPr>
        <w:t>mit gleicher Schuld beider Partner. Die Struktur entspricht den anderen Sexualdelikten.</w:t>
      </w:r>
    </w:p>
    <w:p w14:paraId="0956AAE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זכר</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ἄρσενος</w:t>
      </w:r>
      <w:proofErr w:type="spellEnd"/>
      <w:r w:rsidRPr="000A1182">
        <w:rPr>
          <w:rFonts w:eastAsia="Times New Roman" w:cs="Times New Roman"/>
          <w:lang w:eastAsia="de-DE"/>
        </w:rPr>
        <w:t xml:space="preserve"> (Männchen), </w:t>
      </w:r>
      <w:r w:rsidRPr="000A1182">
        <w:rPr>
          <w:rFonts w:eastAsia="Times New Roman" w:cs="Times New Roman"/>
          <w:b/>
          <w:bCs/>
          <w:rtl/>
          <w:lang w:eastAsia="de-DE"/>
        </w:rPr>
        <w:t>משכבי אשה</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κοίτην</w:t>
      </w:r>
      <w:proofErr w:type="spellEnd"/>
      <w:r w:rsidRPr="000A1182">
        <w:rPr>
          <w:rFonts w:eastAsia="Times New Roman" w:cs="Times New Roman"/>
          <w:lang w:eastAsia="de-DE"/>
        </w:rPr>
        <w:t xml:space="preserve"> </w:t>
      </w:r>
      <w:proofErr w:type="spellStart"/>
      <w:r w:rsidRPr="000A1182">
        <w:rPr>
          <w:rFonts w:eastAsia="Times New Roman" w:cs="Times New Roman"/>
          <w:lang w:eastAsia="de-DE"/>
        </w:rPr>
        <w:t>γυν</w:t>
      </w:r>
      <w:proofErr w:type="spellEnd"/>
      <w:r w:rsidRPr="000A1182">
        <w:rPr>
          <w:rFonts w:eastAsia="Times New Roman" w:cs="Times New Roman"/>
          <w:lang w:eastAsia="de-DE"/>
        </w:rPr>
        <w:t xml:space="preserve">αικός (Lager einer Frau), </w:t>
      </w:r>
      <w:r w:rsidRPr="000A1182">
        <w:rPr>
          <w:rFonts w:eastAsia="Times New Roman" w:cs="Times New Roman"/>
          <w:b/>
          <w:bCs/>
          <w:rtl/>
          <w:lang w:eastAsia="de-DE"/>
        </w:rPr>
        <w:t>תועבה</w:t>
      </w:r>
      <w:r w:rsidRPr="000A1182">
        <w:rPr>
          <w:rFonts w:eastAsia="Times New Roman" w:cs="Times New Roman"/>
          <w:rtl/>
          <w:lang w:eastAsia="de-DE"/>
        </w:rPr>
        <w:t xml:space="preserve"> </w:t>
      </w:r>
      <w:r w:rsidRPr="000A1182">
        <w:rPr>
          <w:rFonts w:eastAsia="Times New Roman" w:cs="Times New Roman"/>
          <w:lang w:eastAsia="de-DE"/>
        </w:rPr>
        <w:t>mit β</w:t>
      </w:r>
      <w:proofErr w:type="spellStart"/>
      <w:r w:rsidRPr="000A1182">
        <w:rPr>
          <w:rFonts w:eastAsia="Times New Roman" w:cs="Times New Roman"/>
          <w:lang w:eastAsia="de-DE"/>
        </w:rPr>
        <w:t>δέλυγμ</w:t>
      </w:r>
      <w:proofErr w:type="spellEnd"/>
      <w:r w:rsidRPr="000A1182">
        <w:rPr>
          <w:rFonts w:eastAsia="Times New Roman" w:cs="Times New Roman"/>
          <w:lang w:eastAsia="de-DE"/>
        </w:rPr>
        <w:t xml:space="preserve">α (Gräuel) und </w:t>
      </w:r>
      <w:r w:rsidRPr="000A1182">
        <w:rPr>
          <w:rFonts w:eastAsia="Times New Roman" w:cs="Times New Roman"/>
          <w:b/>
          <w:bCs/>
          <w:rtl/>
          <w:lang w:eastAsia="de-DE"/>
        </w:rPr>
        <w:t>יומתו</w:t>
      </w:r>
      <w:r w:rsidRPr="000A1182">
        <w:rPr>
          <w:rFonts w:eastAsia="Times New Roman" w:cs="Times New Roman"/>
          <w:rtl/>
          <w:lang w:eastAsia="de-DE"/>
        </w:rPr>
        <w:t xml:space="preserve"> </w:t>
      </w:r>
      <w:r w:rsidRPr="000A1182">
        <w:rPr>
          <w:rFonts w:eastAsia="Times New Roman" w:cs="Times New Roman"/>
          <w:lang w:eastAsia="de-DE"/>
        </w:rPr>
        <w:t>mit θανα</w:t>
      </w:r>
      <w:proofErr w:type="spellStart"/>
      <w:r w:rsidRPr="000A1182">
        <w:rPr>
          <w:rFonts w:eastAsia="Times New Roman" w:cs="Times New Roman"/>
          <w:lang w:eastAsia="de-DE"/>
        </w:rPr>
        <w:t>τωθήτωσ</w:t>
      </w:r>
      <w:proofErr w:type="spellEnd"/>
      <w:r w:rsidRPr="000A1182">
        <w:rPr>
          <w:rFonts w:eastAsia="Times New Roman" w:cs="Times New Roman"/>
          <w:lang w:eastAsia="de-DE"/>
        </w:rPr>
        <w:t>αν (sollen getötet werden).</w:t>
      </w:r>
    </w:p>
    <w:p w14:paraId="5CE6DA4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Homosexualitätsbestrafung: männlicher Homosexualverkehr + </w:t>
      </w:r>
      <w:r w:rsidRPr="000A1182">
        <w:rPr>
          <w:rFonts w:eastAsia="Times New Roman" w:cs="Times New Roman"/>
          <w:b/>
          <w:bCs/>
          <w:rtl/>
          <w:lang w:eastAsia="de-DE"/>
        </w:rPr>
        <w:t>תועבה</w:t>
      </w:r>
      <w:r w:rsidRPr="000A1182">
        <w:rPr>
          <w:rFonts w:eastAsia="Times New Roman" w:cs="Times New Roman"/>
          <w:lang w:eastAsia="de-DE"/>
        </w:rPr>
        <w:t>-Qualifikation + gleiche Schuld beider + Todesstrafe + Selbstverschuldung.</w:t>
      </w:r>
    </w:p>
    <w:p w14:paraId="1F517DE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bestraft männliche Homosexualität als </w:t>
      </w:r>
      <w:r w:rsidRPr="000A1182">
        <w:rPr>
          <w:rFonts w:eastAsia="Times New Roman" w:cs="Times New Roman"/>
          <w:b/>
          <w:bCs/>
          <w:rtl/>
          <w:lang w:eastAsia="de-DE"/>
        </w:rPr>
        <w:t>תועבה</w:t>
      </w:r>
      <w:r w:rsidRPr="000A1182">
        <w:rPr>
          <w:rFonts w:eastAsia="Times New Roman" w:cs="Times New Roman"/>
          <w:rtl/>
          <w:lang w:eastAsia="de-DE"/>
        </w:rPr>
        <w:t xml:space="preserve"> </w:t>
      </w:r>
      <w:r w:rsidRPr="000A1182">
        <w:rPr>
          <w:rFonts w:eastAsia="Times New Roman" w:cs="Times New Roman"/>
          <w:lang w:eastAsia="de-DE"/>
        </w:rPr>
        <w:t>(Gräuel) mit dem Tod für beide Beteiligten.</w:t>
      </w:r>
    </w:p>
    <w:p w14:paraId="72D37131"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20,14</w:t>
      </w:r>
    </w:p>
    <w:p w14:paraId="34AA5D10"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יִקַּ֧ח אֶת־אִשָּׁ֛ה וְאֶת־אִמָּ֖הּ זִמָּ֣ה הִ֑וא בָּאֵ֞שׁ יִשְׂרְפ֤וּ אֹתוֹ֙ וְאֶתְהֶ֔ן וְלֹא־תִהְיֶ֥ה זִמָּ֖ה בְּתוֹכְכֶֽם׃</w:t>
      </w:r>
    </w:p>
    <w:p w14:paraId="06C0F6D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eine Frau nimmt und ihre Mutter, das ist eine Schandtat; man soll ihn und sie mit Feuer verbrennen, damit keine Schandtat in eurer Mitte sei.</w:t>
      </w:r>
    </w:p>
    <w:p w14:paraId="33C99F1F"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6664CC55">
          <v:rect id="_x0000_i1611" style="width:0;height:1.5pt" o:hralign="center" o:hrstd="t" o:hr="t" fillcolor="#a0a0a0" stroked="f"/>
        </w:pict>
      </w:r>
    </w:p>
    <w:p w14:paraId="58EA310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יקח את־אשה ואת־אמה זמה הוא באש ישרפו אתו ואתהן ולא־תהיה זמה בתוככם</w:t>
      </w:r>
      <w:r w:rsidRPr="000A1182">
        <w:rPr>
          <w:rFonts w:eastAsia="Times New Roman" w:cs="Times New Roman"/>
          <w:rtl/>
          <w:lang w:eastAsia="de-DE"/>
        </w:rPr>
        <w:t xml:space="preserve"> </w:t>
      </w:r>
      <w:r w:rsidRPr="000A1182">
        <w:rPr>
          <w:rFonts w:eastAsia="Times New Roman" w:cs="Times New Roman"/>
          <w:lang w:eastAsia="de-DE"/>
        </w:rPr>
        <w:t xml:space="preserve">zeigt die schwerste Strafe für den schlimmsten Inzest. </w:t>
      </w:r>
      <w:r w:rsidRPr="000A1182">
        <w:rPr>
          <w:rFonts w:eastAsia="Times New Roman" w:cs="Times New Roman"/>
          <w:b/>
          <w:bCs/>
          <w:rtl/>
          <w:lang w:eastAsia="de-DE"/>
        </w:rPr>
        <w:t>ואיש אשר יקח את־אשה ואת־אמה</w:t>
      </w:r>
      <w:r w:rsidRPr="000A1182">
        <w:rPr>
          <w:rFonts w:eastAsia="Times New Roman" w:cs="Times New Roman"/>
          <w:rtl/>
          <w:lang w:eastAsia="de-DE"/>
        </w:rPr>
        <w:t xml:space="preserve"> </w:t>
      </w:r>
      <w:r w:rsidRPr="000A1182">
        <w:rPr>
          <w:rFonts w:eastAsia="Times New Roman" w:cs="Times New Roman"/>
          <w:lang w:eastAsia="de-DE"/>
        </w:rPr>
        <w:t xml:space="preserve">(und wenn ein Mann eine Frau nimmt und ihre Mutter) entspricht 18,17. </w:t>
      </w:r>
      <w:r w:rsidRPr="000A1182">
        <w:rPr>
          <w:rFonts w:eastAsia="Times New Roman" w:cs="Times New Roman"/>
          <w:b/>
          <w:bCs/>
          <w:rtl/>
          <w:lang w:eastAsia="de-DE"/>
        </w:rPr>
        <w:t>יקח</w:t>
      </w:r>
      <w:r w:rsidRPr="000A1182">
        <w:rPr>
          <w:rFonts w:eastAsia="Times New Roman" w:cs="Times New Roman"/>
          <w:rtl/>
          <w:lang w:eastAsia="de-DE"/>
        </w:rPr>
        <w:t xml:space="preserve"> </w:t>
      </w:r>
      <w:r w:rsidRPr="000A1182">
        <w:rPr>
          <w:rFonts w:eastAsia="Times New Roman" w:cs="Times New Roman"/>
          <w:lang w:eastAsia="de-DE"/>
        </w:rPr>
        <w:t>(nimmt) im Qal-Imperfekt zeigt Heirat oder dauerhafte Beziehung.</w:t>
      </w:r>
    </w:p>
    <w:p w14:paraId="2B674E9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זמה הוא</w:t>
      </w:r>
      <w:r w:rsidRPr="000A1182">
        <w:rPr>
          <w:rFonts w:eastAsia="Times New Roman" w:cs="Times New Roman"/>
          <w:rtl/>
          <w:lang w:eastAsia="de-DE"/>
        </w:rPr>
        <w:t xml:space="preserve"> </w:t>
      </w:r>
      <w:r w:rsidRPr="000A1182">
        <w:rPr>
          <w:rFonts w:eastAsia="Times New Roman" w:cs="Times New Roman"/>
          <w:lang w:eastAsia="de-DE"/>
        </w:rPr>
        <w:t xml:space="preserve">(das ist eine Schandtat) - </w:t>
      </w:r>
      <w:r w:rsidRPr="000A1182">
        <w:rPr>
          <w:rFonts w:eastAsia="Times New Roman" w:cs="Times New Roman"/>
          <w:b/>
          <w:bCs/>
          <w:rtl/>
          <w:lang w:eastAsia="de-DE"/>
        </w:rPr>
        <w:t>זמה</w:t>
      </w:r>
      <w:r w:rsidRPr="000A1182">
        <w:rPr>
          <w:rFonts w:eastAsia="Times New Roman" w:cs="Times New Roman"/>
          <w:rtl/>
          <w:lang w:eastAsia="de-DE"/>
        </w:rPr>
        <w:t xml:space="preserve"> </w:t>
      </w:r>
      <w:r w:rsidRPr="000A1182">
        <w:rPr>
          <w:rFonts w:eastAsia="Times New Roman" w:cs="Times New Roman"/>
          <w:lang w:eastAsia="de-DE"/>
        </w:rPr>
        <w:t xml:space="preserve">(Schandtat) aus 18,17 als schwerste moralische Verurteilung. </w:t>
      </w:r>
      <w:r w:rsidRPr="000A1182">
        <w:rPr>
          <w:rFonts w:eastAsia="Times New Roman" w:cs="Times New Roman"/>
          <w:b/>
          <w:bCs/>
          <w:rtl/>
          <w:lang w:eastAsia="de-DE"/>
        </w:rPr>
        <w:t>באש ישרפו אתו ואתהן</w:t>
      </w:r>
      <w:r w:rsidRPr="000A1182">
        <w:rPr>
          <w:rFonts w:eastAsia="Times New Roman" w:cs="Times New Roman"/>
          <w:rtl/>
          <w:lang w:eastAsia="de-DE"/>
        </w:rPr>
        <w:t xml:space="preserve"> </w:t>
      </w:r>
      <w:r w:rsidRPr="000A1182">
        <w:rPr>
          <w:rFonts w:eastAsia="Times New Roman" w:cs="Times New Roman"/>
          <w:lang w:eastAsia="de-DE"/>
        </w:rPr>
        <w:t xml:space="preserve">(man soll ihn und sie mit Feuer verbrennen) - </w:t>
      </w:r>
      <w:r w:rsidRPr="000A1182">
        <w:rPr>
          <w:rFonts w:eastAsia="Times New Roman" w:cs="Times New Roman"/>
          <w:b/>
          <w:bCs/>
          <w:rtl/>
          <w:lang w:eastAsia="de-DE"/>
        </w:rPr>
        <w:t>ישרפו</w:t>
      </w:r>
      <w:r w:rsidRPr="000A1182">
        <w:rPr>
          <w:rFonts w:eastAsia="Times New Roman" w:cs="Times New Roman"/>
          <w:rtl/>
          <w:lang w:eastAsia="de-DE"/>
        </w:rPr>
        <w:t xml:space="preserve"> </w:t>
      </w:r>
      <w:r w:rsidRPr="000A1182">
        <w:rPr>
          <w:rFonts w:eastAsia="Times New Roman" w:cs="Times New Roman"/>
          <w:lang w:eastAsia="de-DE"/>
        </w:rPr>
        <w:t xml:space="preserve">(soll man verbrennen) im Qal-Imperfekt zeigt Verbrennung als schärfste Hinrichtungsart. </w:t>
      </w:r>
      <w:r w:rsidRPr="000A1182">
        <w:rPr>
          <w:rFonts w:eastAsia="Times New Roman" w:cs="Times New Roman"/>
          <w:b/>
          <w:bCs/>
          <w:rtl/>
          <w:lang w:eastAsia="de-DE"/>
        </w:rPr>
        <w:t>אתו ואתהן</w:t>
      </w:r>
      <w:r w:rsidRPr="000A1182">
        <w:rPr>
          <w:rFonts w:eastAsia="Times New Roman" w:cs="Times New Roman"/>
          <w:rtl/>
          <w:lang w:eastAsia="de-DE"/>
        </w:rPr>
        <w:t xml:space="preserve"> </w:t>
      </w:r>
      <w:r w:rsidRPr="000A1182">
        <w:rPr>
          <w:rFonts w:eastAsia="Times New Roman" w:cs="Times New Roman"/>
          <w:lang w:eastAsia="de-DE"/>
        </w:rPr>
        <w:t>(ihn und sie) zeigt alle drei Beteiligten.</w:t>
      </w:r>
    </w:p>
    <w:p w14:paraId="353F563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ולא־תהיה זמה בתוככם</w:t>
      </w:r>
      <w:r w:rsidRPr="000A1182">
        <w:rPr>
          <w:rFonts w:eastAsia="Times New Roman" w:cs="Times New Roman"/>
          <w:rtl/>
          <w:lang w:eastAsia="de-DE"/>
        </w:rPr>
        <w:t xml:space="preserve"> </w:t>
      </w:r>
      <w:r w:rsidRPr="000A1182">
        <w:rPr>
          <w:rFonts w:eastAsia="Times New Roman" w:cs="Times New Roman"/>
          <w:lang w:eastAsia="de-DE"/>
        </w:rPr>
        <w:t xml:space="preserve">(damit keine Schandtat in eurer Mitte sei) - </w:t>
      </w:r>
      <w:r w:rsidRPr="000A1182">
        <w:rPr>
          <w:rFonts w:eastAsia="Times New Roman" w:cs="Times New Roman"/>
          <w:b/>
          <w:bCs/>
          <w:rtl/>
          <w:lang w:eastAsia="de-DE"/>
        </w:rPr>
        <w:t>לא־תהיה</w:t>
      </w:r>
      <w:r w:rsidRPr="000A1182">
        <w:rPr>
          <w:rFonts w:eastAsia="Times New Roman" w:cs="Times New Roman"/>
          <w:rtl/>
          <w:lang w:eastAsia="de-DE"/>
        </w:rPr>
        <w:t xml:space="preserve"> </w:t>
      </w:r>
      <w:r w:rsidRPr="000A1182">
        <w:rPr>
          <w:rFonts w:eastAsia="Times New Roman" w:cs="Times New Roman"/>
          <w:lang w:eastAsia="de-DE"/>
        </w:rPr>
        <w:t xml:space="preserve">(soll nicht sein) im Qal-Imperfekt zeigt präventiven Zweck. </w:t>
      </w:r>
      <w:r w:rsidRPr="000A1182">
        <w:rPr>
          <w:rFonts w:eastAsia="Times New Roman" w:cs="Times New Roman"/>
          <w:b/>
          <w:bCs/>
          <w:rtl/>
          <w:lang w:eastAsia="de-DE"/>
        </w:rPr>
        <w:t>בתוככם</w:t>
      </w:r>
      <w:r w:rsidRPr="000A1182">
        <w:rPr>
          <w:rFonts w:eastAsia="Times New Roman" w:cs="Times New Roman"/>
          <w:rtl/>
          <w:lang w:eastAsia="de-DE"/>
        </w:rPr>
        <w:t xml:space="preserve"> </w:t>
      </w:r>
      <w:r w:rsidRPr="000A1182">
        <w:rPr>
          <w:rFonts w:eastAsia="Times New Roman" w:cs="Times New Roman"/>
          <w:lang w:eastAsia="de-DE"/>
        </w:rPr>
        <w:t>(in eurer Mitte) zeigt die Gemeinschaft als Reinigungsziel.</w:t>
      </w:r>
    </w:p>
    <w:p w14:paraId="59DB67E0"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זמה</w:t>
      </w:r>
      <w:r w:rsidRPr="000A1182">
        <w:rPr>
          <w:rFonts w:eastAsia="Times New Roman" w:cs="Times New Roman"/>
          <w:rtl/>
          <w:lang w:eastAsia="de-DE"/>
        </w:rPr>
        <w:t xml:space="preserve"> </w:t>
      </w:r>
      <w:r w:rsidRPr="000A1182">
        <w:rPr>
          <w:rFonts w:eastAsia="Times New Roman" w:cs="Times New Roman"/>
          <w:lang w:eastAsia="de-DE"/>
        </w:rPr>
        <w:t xml:space="preserve">als schwerste Verurteilung erklärt die Feuerstrafe. </w:t>
      </w:r>
      <w:r w:rsidRPr="000A1182">
        <w:rPr>
          <w:rFonts w:eastAsia="Times New Roman" w:cs="Times New Roman"/>
          <w:b/>
          <w:bCs/>
          <w:rtl/>
          <w:lang w:eastAsia="de-DE"/>
        </w:rPr>
        <w:t>באש ישרפו</w:t>
      </w:r>
      <w:r w:rsidRPr="000A1182">
        <w:rPr>
          <w:rFonts w:eastAsia="Times New Roman" w:cs="Times New Roman"/>
          <w:rtl/>
          <w:lang w:eastAsia="de-DE"/>
        </w:rPr>
        <w:t xml:space="preserve"> </w:t>
      </w:r>
      <w:r w:rsidRPr="000A1182">
        <w:rPr>
          <w:rFonts w:eastAsia="Times New Roman" w:cs="Times New Roman"/>
          <w:lang w:eastAsia="de-DE"/>
        </w:rPr>
        <w:t xml:space="preserve">als einzigartige Hinrichtungsart zeigt extreme Schwere. </w:t>
      </w:r>
      <w:r w:rsidRPr="000A1182">
        <w:rPr>
          <w:rFonts w:eastAsia="Times New Roman" w:cs="Times New Roman"/>
          <w:b/>
          <w:bCs/>
          <w:rtl/>
          <w:lang w:eastAsia="de-DE"/>
        </w:rPr>
        <w:t>ולא־תהיה זמה בתוככם</w:t>
      </w:r>
      <w:r w:rsidRPr="000A1182">
        <w:rPr>
          <w:rFonts w:eastAsia="Times New Roman" w:cs="Times New Roman"/>
          <w:rtl/>
          <w:lang w:eastAsia="de-DE"/>
        </w:rPr>
        <w:t xml:space="preserve"> </w:t>
      </w:r>
      <w:r w:rsidRPr="000A1182">
        <w:rPr>
          <w:rFonts w:eastAsia="Times New Roman" w:cs="Times New Roman"/>
          <w:lang w:eastAsia="de-DE"/>
        </w:rPr>
        <w:t>zeigt Gemeinschaftsreinigung als Zweck.</w:t>
      </w:r>
    </w:p>
    <w:p w14:paraId="512CEBCB" w14:textId="3699AAE9"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זמה</w:t>
      </w:r>
      <w:r w:rsidR="004F25E8">
        <w:t xml:space="preserve"> (</w:t>
      </w:r>
      <w:proofErr w:type="spellStart"/>
      <w:r w:rsidR="004F25E8">
        <w:t>zimma</w:t>
      </w:r>
      <w:proofErr w:type="spellEnd"/>
      <w:r w:rsidR="004F25E8">
        <w:t xml:space="preserve"> - "Unzucht/Schandtat") als </w:t>
      </w:r>
      <w:proofErr w:type="spellStart"/>
      <w:r w:rsidR="004F25E8">
        <w:t>ἀνόμημ</w:t>
      </w:r>
      <w:proofErr w:type="spellEnd"/>
      <w:r w:rsidR="004F25E8">
        <w:t>α (Gesetzlosigkeit), was eine juristische Terminologie verwendet.</w:t>
      </w:r>
    </w:p>
    <w:p w14:paraId="435EA86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schwerste Inzestbestrafung: Mutter-Tochter-Kombination + </w:t>
      </w:r>
      <w:r w:rsidRPr="000A1182">
        <w:rPr>
          <w:rFonts w:eastAsia="Times New Roman" w:cs="Times New Roman"/>
          <w:b/>
          <w:bCs/>
          <w:rtl/>
          <w:lang w:eastAsia="de-DE"/>
        </w:rPr>
        <w:t>זמה</w:t>
      </w:r>
      <w:r w:rsidRPr="000A1182">
        <w:rPr>
          <w:rFonts w:eastAsia="Times New Roman" w:cs="Times New Roman"/>
          <w:lang w:eastAsia="de-DE"/>
        </w:rPr>
        <w:t>-Qualifikation + Feuerstrafe für alle + Gemeinschaftsreinigungszweck.</w:t>
      </w:r>
    </w:p>
    <w:p w14:paraId="216F799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zeigt die Feuerstrafe als einzigartige Hinrichtung für den schwersten Inzest (Mutter-Tochter-Kombination) zur Gemeinschaftsreinigung.</w:t>
      </w:r>
    </w:p>
    <w:p w14:paraId="4C979D12"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lastRenderedPageBreak/>
        <w:t>Leviticus 20,15</w:t>
      </w:r>
    </w:p>
    <w:p w14:paraId="6F719CD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יִתֵּ֧ן שְׁכָבְתּוֹ֛ בִּבְהֵמָ֖ה מ֣וֹת יוּמָ֑ת וְאֶת־הַבְּהֵמָ֖ה תַּהֲרֹֽגוּ׃</w:t>
      </w:r>
    </w:p>
    <w:p w14:paraId="749BEEF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seinen Beischlaf einem Tier gibt, so soll er gewiss getötet werden, und das Tier sollt ihr umbringen.</w:t>
      </w:r>
    </w:p>
    <w:p w14:paraId="1D2BD041"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43FFD33D">
          <v:rect id="_x0000_i1612" style="width:0;height:1.5pt" o:hralign="center" o:hrstd="t" o:hr="t" fillcolor="#a0a0a0" stroked="f"/>
        </w:pict>
      </w:r>
    </w:p>
    <w:p w14:paraId="34E1029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יתן שכבתו בבהמה מות יומת ואת־הבהמה תהרגו</w:t>
      </w:r>
      <w:r w:rsidRPr="000A1182">
        <w:rPr>
          <w:rFonts w:eastAsia="Times New Roman" w:cs="Times New Roman"/>
          <w:rtl/>
          <w:lang w:eastAsia="de-DE"/>
        </w:rPr>
        <w:t xml:space="preserve"> </w:t>
      </w:r>
      <w:r w:rsidRPr="000A1182">
        <w:rPr>
          <w:rFonts w:eastAsia="Times New Roman" w:cs="Times New Roman"/>
          <w:lang w:eastAsia="de-DE"/>
        </w:rPr>
        <w:t xml:space="preserve">bestraft männliche Zoophilie. </w:t>
      </w:r>
      <w:r w:rsidRPr="000A1182">
        <w:rPr>
          <w:rFonts w:eastAsia="Times New Roman" w:cs="Times New Roman"/>
          <w:b/>
          <w:bCs/>
          <w:rtl/>
          <w:lang w:eastAsia="de-DE"/>
        </w:rPr>
        <w:t>ואיש אשר יתן שכבתו בבהמה</w:t>
      </w:r>
      <w:r w:rsidRPr="000A1182">
        <w:rPr>
          <w:rFonts w:eastAsia="Times New Roman" w:cs="Times New Roman"/>
          <w:rtl/>
          <w:lang w:eastAsia="de-DE"/>
        </w:rPr>
        <w:t xml:space="preserve"> </w:t>
      </w:r>
      <w:r w:rsidRPr="000A1182">
        <w:rPr>
          <w:rFonts w:eastAsia="Times New Roman" w:cs="Times New Roman"/>
          <w:lang w:eastAsia="de-DE"/>
        </w:rPr>
        <w:t xml:space="preserve">(und wenn ein Mann seinen Beischlaf einem Tier gibt) entspricht 18,23. </w:t>
      </w:r>
      <w:r w:rsidRPr="000A1182">
        <w:rPr>
          <w:rFonts w:eastAsia="Times New Roman" w:cs="Times New Roman"/>
          <w:b/>
          <w:bCs/>
          <w:rtl/>
          <w:lang w:eastAsia="de-DE"/>
        </w:rPr>
        <w:t>יתן שכבתו</w:t>
      </w:r>
      <w:r w:rsidRPr="000A1182">
        <w:rPr>
          <w:rFonts w:eastAsia="Times New Roman" w:cs="Times New Roman"/>
          <w:rtl/>
          <w:lang w:eastAsia="de-DE"/>
        </w:rPr>
        <w:t xml:space="preserve"> </w:t>
      </w:r>
      <w:r w:rsidRPr="000A1182">
        <w:rPr>
          <w:rFonts w:eastAsia="Times New Roman" w:cs="Times New Roman"/>
          <w:lang w:eastAsia="de-DE"/>
        </w:rPr>
        <w:t xml:space="preserve">(gibt seinen Beischlaf) als euphemistische Formulierung für Geschlechtsverkehr. </w:t>
      </w:r>
      <w:r w:rsidRPr="000A1182">
        <w:rPr>
          <w:rFonts w:eastAsia="Times New Roman" w:cs="Times New Roman"/>
          <w:b/>
          <w:bCs/>
          <w:rtl/>
          <w:lang w:eastAsia="de-DE"/>
        </w:rPr>
        <w:t>בבהמה</w:t>
      </w:r>
      <w:r w:rsidRPr="000A1182">
        <w:rPr>
          <w:rFonts w:eastAsia="Times New Roman" w:cs="Times New Roman"/>
          <w:rtl/>
          <w:lang w:eastAsia="de-DE"/>
        </w:rPr>
        <w:t xml:space="preserve"> </w:t>
      </w:r>
      <w:r w:rsidRPr="000A1182">
        <w:rPr>
          <w:rFonts w:eastAsia="Times New Roman" w:cs="Times New Roman"/>
          <w:lang w:eastAsia="de-DE"/>
        </w:rPr>
        <w:t>(einem Tier) zeigt universelle Anwendung auf alle Tierarten.</w:t>
      </w:r>
    </w:p>
    <w:p w14:paraId="372D1E7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 יומת</w:t>
      </w:r>
      <w:r w:rsidRPr="000A1182">
        <w:rPr>
          <w:rFonts w:eastAsia="Times New Roman" w:cs="Times New Roman"/>
          <w:rtl/>
          <w:lang w:eastAsia="de-DE"/>
        </w:rPr>
        <w:t xml:space="preserve"> </w:t>
      </w:r>
      <w:r w:rsidRPr="000A1182">
        <w:rPr>
          <w:rFonts w:eastAsia="Times New Roman" w:cs="Times New Roman"/>
          <w:lang w:eastAsia="de-DE"/>
        </w:rPr>
        <w:t xml:space="preserve">(so soll er gewiss getötet werden) als emphatische Todesformel. </w:t>
      </w:r>
      <w:r w:rsidRPr="000A1182">
        <w:rPr>
          <w:rFonts w:eastAsia="Times New Roman" w:cs="Times New Roman"/>
          <w:b/>
          <w:bCs/>
          <w:rtl/>
          <w:lang w:eastAsia="de-DE"/>
        </w:rPr>
        <w:t>ואת־הבהמה תהרגו</w:t>
      </w:r>
      <w:r w:rsidRPr="000A1182">
        <w:rPr>
          <w:rFonts w:eastAsia="Times New Roman" w:cs="Times New Roman"/>
          <w:rtl/>
          <w:lang w:eastAsia="de-DE"/>
        </w:rPr>
        <w:t xml:space="preserve"> </w:t>
      </w:r>
      <w:r w:rsidRPr="000A1182">
        <w:rPr>
          <w:rFonts w:eastAsia="Times New Roman" w:cs="Times New Roman"/>
          <w:lang w:eastAsia="de-DE"/>
        </w:rPr>
        <w:t xml:space="preserve">(und das Tier sollt ihr umbringen) - </w:t>
      </w:r>
      <w:r w:rsidRPr="000A1182">
        <w:rPr>
          <w:rFonts w:eastAsia="Times New Roman" w:cs="Times New Roman"/>
          <w:b/>
          <w:bCs/>
          <w:rtl/>
          <w:lang w:eastAsia="de-DE"/>
        </w:rPr>
        <w:t>תהרגו</w:t>
      </w:r>
      <w:r w:rsidRPr="000A1182">
        <w:rPr>
          <w:rFonts w:eastAsia="Times New Roman" w:cs="Times New Roman"/>
          <w:rtl/>
          <w:lang w:eastAsia="de-DE"/>
        </w:rPr>
        <w:t xml:space="preserve"> </w:t>
      </w:r>
      <w:r w:rsidRPr="000A1182">
        <w:rPr>
          <w:rFonts w:eastAsia="Times New Roman" w:cs="Times New Roman"/>
          <w:lang w:eastAsia="de-DE"/>
        </w:rPr>
        <w:t>(sollt ihr umbringen) im Qal-Imperfekt zeigt, dass auch das unschuldige Tier getötet werden muss.</w:t>
      </w:r>
    </w:p>
    <w:p w14:paraId="58F5A8B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יתן שכבתו</w:t>
      </w:r>
      <w:r w:rsidRPr="000A1182">
        <w:rPr>
          <w:rFonts w:eastAsia="Times New Roman" w:cs="Times New Roman"/>
          <w:rtl/>
          <w:lang w:eastAsia="de-DE"/>
        </w:rPr>
        <w:t xml:space="preserve"> </w:t>
      </w:r>
      <w:r w:rsidRPr="000A1182">
        <w:rPr>
          <w:rFonts w:eastAsia="Times New Roman" w:cs="Times New Roman"/>
          <w:lang w:eastAsia="de-DE"/>
        </w:rPr>
        <w:t xml:space="preserve">als euphemistische aber explizite Formulierung. </w:t>
      </w:r>
      <w:r w:rsidRPr="000A1182">
        <w:rPr>
          <w:rFonts w:eastAsia="Times New Roman" w:cs="Times New Roman"/>
          <w:b/>
          <w:bCs/>
          <w:rtl/>
          <w:lang w:eastAsia="de-DE"/>
        </w:rPr>
        <w:t>מות יומת</w:t>
      </w:r>
      <w:r w:rsidRPr="000A1182">
        <w:rPr>
          <w:rFonts w:eastAsia="Times New Roman" w:cs="Times New Roman"/>
          <w:rtl/>
          <w:lang w:eastAsia="de-DE"/>
        </w:rPr>
        <w:t xml:space="preserve"> </w:t>
      </w:r>
      <w:r w:rsidRPr="000A1182">
        <w:rPr>
          <w:rFonts w:eastAsia="Times New Roman" w:cs="Times New Roman"/>
          <w:lang w:eastAsia="de-DE"/>
        </w:rPr>
        <w:t xml:space="preserve">ohne </w:t>
      </w:r>
      <w:r w:rsidRPr="000A1182">
        <w:rPr>
          <w:rFonts w:eastAsia="Times New Roman" w:cs="Times New Roman"/>
          <w:b/>
          <w:bCs/>
          <w:rtl/>
          <w:lang w:eastAsia="de-DE"/>
        </w:rPr>
        <w:t>דמיו בו</w:t>
      </w:r>
      <w:r w:rsidRPr="000A1182">
        <w:rPr>
          <w:rFonts w:eastAsia="Times New Roman" w:cs="Times New Roman"/>
          <w:rtl/>
          <w:lang w:eastAsia="de-DE"/>
        </w:rPr>
        <w:t xml:space="preserve"> </w:t>
      </w:r>
      <w:r w:rsidRPr="000A1182">
        <w:rPr>
          <w:rFonts w:eastAsia="Times New Roman" w:cs="Times New Roman"/>
          <w:lang w:eastAsia="de-DE"/>
        </w:rPr>
        <w:t xml:space="preserve">zeigt einseitige Schuld nur beim Menschen. </w:t>
      </w:r>
      <w:r w:rsidRPr="000A1182">
        <w:rPr>
          <w:rFonts w:eastAsia="Times New Roman" w:cs="Times New Roman"/>
          <w:b/>
          <w:bCs/>
          <w:rtl/>
          <w:lang w:eastAsia="de-DE"/>
        </w:rPr>
        <w:t>ואת־הבהמה תהרגו</w:t>
      </w:r>
      <w:r w:rsidRPr="000A1182">
        <w:rPr>
          <w:rFonts w:eastAsia="Times New Roman" w:cs="Times New Roman"/>
          <w:rtl/>
          <w:lang w:eastAsia="de-DE"/>
        </w:rPr>
        <w:t xml:space="preserve"> </w:t>
      </w:r>
      <w:r w:rsidRPr="000A1182">
        <w:rPr>
          <w:rFonts w:eastAsia="Times New Roman" w:cs="Times New Roman"/>
          <w:lang w:eastAsia="de-DE"/>
        </w:rPr>
        <w:t>zeigt Tiertötung trotz Unschuld zur Spurenbeseitigung.</w:t>
      </w:r>
    </w:p>
    <w:p w14:paraId="63577D1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יתן שכבתו</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δώσει</w:t>
      </w:r>
      <w:proofErr w:type="spellEnd"/>
      <w:r w:rsidRPr="000A1182">
        <w:rPr>
          <w:rFonts w:eastAsia="Times New Roman" w:cs="Times New Roman"/>
          <w:lang w:eastAsia="de-DE"/>
        </w:rPr>
        <w:t xml:space="preserve"> </w:t>
      </w:r>
      <w:proofErr w:type="spellStart"/>
      <w:r w:rsidRPr="000A1182">
        <w:rPr>
          <w:rFonts w:eastAsia="Times New Roman" w:cs="Times New Roman"/>
          <w:lang w:eastAsia="de-DE"/>
        </w:rPr>
        <w:t>κοίτην</w:t>
      </w:r>
      <w:proofErr w:type="spellEnd"/>
      <w:r w:rsidRPr="000A1182">
        <w:rPr>
          <w:rFonts w:eastAsia="Times New Roman" w:cs="Times New Roman"/>
          <w:lang w:eastAsia="de-DE"/>
        </w:rPr>
        <w:t xml:space="preserve"> α</w:t>
      </w:r>
      <w:proofErr w:type="spellStart"/>
      <w:r w:rsidRPr="000A1182">
        <w:rPr>
          <w:rFonts w:eastAsia="Times New Roman" w:cs="Times New Roman"/>
          <w:lang w:eastAsia="de-DE"/>
        </w:rPr>
        <w:t>ὐτοῦ</w:t>
      </w:r>
      <w:proofErr w:type="spellEnd"/>
      <w:r w:rsidRPr="000A1182">
        <w:rPr>
          <w:rFonts w:eastAsia="Times New Roman" w:cs="Times New Roman"/>
          <w:lang w:eastAsia="de-DE"/>
        </w:rPr>
        <w:t xml:space="preserve"> (gibt sein Lager), </w:t>
      </w:r>
      <w:r w:rsidRPr="000A1182">
        <w:rPr>
          <w:rFonts w:eastAsia="Times New Roman" w:cs="Times New Roman"/>
          <w:b/>
          <w:bCs/>
          <w:rtl/>
          <w:lang w:eastAsia="de-DE"/>
        </w:rPr>
        <w:t>בבהמה</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ἐν</w:t>
      </w:r>
      <w:proofErr w:type="spellEnd"/>
      <w:r w:rsidRPr="000A1182">
        <w:rPr>
          <w:rFonts w:eastAsia="Times New Roman" w:cs="Times New Roman"/>
          <w:lang w:eastAsia="de-DE"/>
        </w:rPr>
        <w:t xml:space="preserve"> </w:t>
      </w:r>
      <w:proofErr w:type="spellStart"/>
      <w:r w:rsidRPr="000A1182">
        <w:rPr>
          <w:rFonts w:eastAsia="Times New Roman" w:cs="Times New Roman"/>
          <w:lang w:eastAsia="de-DE"/>
        </w:rPr>
        <w:t>κτήνει</w:t>
      </w:r>
      <w:proofErr w:type="spellEnd"/>
      <w:r w:rsidRPr="000A1182">
        <w:rPr>
          <w:rFonts w:eastAsia="Times New Roman" w:cs="Times New Roman"/>
          <w:lang w:eastAsia="de-DE"/>
        </w:rPr>
        <w:t xml:space="preserve"> (in einem Tier), </w:t>
      </w:r>
      <w:r w:rsidRPr="000A1182">
        <w:rPr>
          <w:rFonts w:eastAsia="Times New Roman" w:cs="Times New Roman"/>
          <w:b/>
          <w:bCs/>
          <w:rtl/>
          <w:lang w:eastAsia="de-DE"/>
        </w:rPr>
        <w:t>מות יומת</w:t>
      </w:r>
      <w:r w:rsidRPr="000A1182">
        <w:rPr>
          <w:rFonts w:eastAsia="Times New Roman" w:cs="Times New Roman"/>
          <w:rtl/>
          <w:lang w:eastAsia="de-DE"/>
        </w:rPr>
        <w:t xml:space="preserve"> </w:t>
      </w:r>
      <w:r w:rsidRPr="000A1182">
        <w:rPr>
          <w:rFonts w:eastAsia="Times New Roman" w:cs="Times New Roman"/>
          <w:lang w:eastAsia="de-DE"/>
        </w:rPr>
        <w:t>mit θα</w:t>
      </w:r>
      <w:proofErr w:type="spellStart"/>
      <w:r w:rsidRPr="000A1182">
        <w:rPr>
          <w:rFonts w:eastAsia="Times New Roman" w:cs="Times New Roman"/>
          <w:lang w:eastAsia="de-DE"/>
        </w:rPr>
        <w:t>νάτῳ</w:t>
      </w:r>
      <w:proofErr w:type="spellEnd"/>
      <w:r w:rsidRPr="000A1182">
        <w:rPr>
          <w:rFonts w:eastAsia="Times New Roman" w:cs="Times New Roman"/>
          <w:lang w:eastAsia="de-DE"/>
        </w:rPr>
        <w:t xml:space="preserve"> θανα</w:t>
      </w:r>
      <w:proofErr w:type="spellStart"/>
      <w:r w:rsidRPr="000A1182">
        <w:rPr>
          <w:rFonts w:eastAsia="Times New Roman" w:cs="Times New Roman"/>
          <w:lang w:eastAsia="de-DE"/>
        </w:rPr>
        <w:t>τούσθω</w:t>
      </w:r>
      <w:proofErr w:type="spellEnd"/>
      <w:r w:rsidRPr="000A1182">
        <w:rPr>
          <w:rFonts w:eastAsia="Times New Roman" w:cs="Times New Roman"/>
          <w:lang w:eastAsia="de-DE"/>
        </w:rPr>
        <w:t xml:space="preserve"> (mit Tod soll er getötet werden) und </w:t>
      </w:r>
      <w:r w:rsidRPr="000A1182">
        <w:rPr>
          <w:rFonts w:eastAsia="Times New Roman" w:cs="Times New Roman"/>
          <w:b/>
          <w:bCs/>
          <w:rtl/>
          <w:lang w:eastAsia="de-DE"/>
        </w:rPr>
        <w:t>תהרגו</w:t>
      </w:r>
      <w:r w:rsidRPr="000A1182">
        <w:rPr>
          <w:rFonts w:eastAsia="Times New Roman" w:cs="Times New Roman"/>
          <w:rtl/>
          <w:lang w:eastAsia="de-DE"/>
        </w:rPr>
        <w:t xml:space="preserve"> </w:t>
      </w:r>
      <w:r w:rsidRPr="000A1182">
        <w:rPr>
          <w:rFonts w:eastAsia="Times New Roman" w:cs="Times New Roman"/>
          <w:lang w:eastAsia="de-DE"/>
        </w:rPr>
        <w:t>mit ἀπ</w:t>
      </w:r>
      <w:proofErr w:type="spellStart"/>
      <w:r w:rsidRPr="000A1182">
        <w:rPr>
          <w:rFonts w:eastAsia="Times New Roman" w:cs="Times New Roman"/>
          <w:lang w:eastAsia="de-DE"/>
        </w:rPr>
        <w:t>οκτενεῖτε</w:t>
      </w:r>
      <w:proofErr w:type="spellEnd"/>
      <w:r w:rsidRPr="000A1182">
        <w:rPr>
          <w:rFonts w:eastAsia="Times New Roman" w:cs="Times New Roman"/>
          <w:lang w:eastAsia="de-DE"/>
        </w:rPr>
        <w:t xml:space="preserve"> (ihr werdet töten).</w:t>
      </w:r>
    </w:p>
    <w:p w14:paraId="2E6746D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männliche Zoophilie-Bestrafung: euphemistische Verkehrsbeschreibung + Todesstrafe für den Mann + Tiertötung.</w:t>
      </w:r>
    </w:p>
    <w:p w14:paraId="4B16156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bestraft männliche Zoophilie mit dem Tod und fordert auch die Tötung des Tieres.</w:t>
      </w:r>
    </w:p>
    <w:p w14:paraId="2940D695"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20,16</w:t>
      </w:r>
    </w:p>
    <w:p w14:paraId="3774DFC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וְאִשָּׁ֗ה אֲשֶׁ֨ר תִּקְרַ֤ב אֶל־כָּל־בְּהֵמָה֙ לְרִבְעָ֣ה אֹתָ֔הּ וְהָרַגְתָּ֥ אֶת־הָאִשָּׁ֖ה וְאֶת־הַבְּהֵמָ֑ה מ֥וֹת יוּמָ֖תוּ דְּמֵיהֶ֥ם בָּֽם׃</w:t>
      </w:r>
    </w:p>
    <w:p w14:paraId="19B8CFD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eine Frau sich irgendeinem Tier naht, um sich von ihm begatten zu lassen, so sollst du die Frau und das Tier umbringen; sie sollen gewiss getötet werden, ihr Blut ist auf ihnen.</w:t>
      </w:r>
    </w:p>
    <w:p w14:paraId="620A7E6A"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48579663">
          <v:rect id="_x0000_i1613" style="width:0;height:1.5pt" o:hralign="center" o:hrstd="t" o:hr="t" fillcolor="#a0a0a0" stroked="f"/>
        </w:pict>
      </w:r>
    </w:p>
    <w:p w14:paraId="47A0866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ואשה אשר תקרב אל־כל־בהמה לרבעה אתה והרגת את־האשה ואת־הבהמה מות יומתו דמיהם בם</w:t>
      </w:r>
      <w:r w:rsidRPr="000A1182">
        <w:rPr>
          <w:rFonts w:eastAsia="Times New Roman" w:cs="Times New Roman"/>
          <w:rtl/>
          <w:lang w:eastAsia="de-DE"/>
        </w:rPr>
        <w:t xml:space="preserve"> </w:t>
      </w:r>
      <w:r w:rsidRPr="000A1182">
        <w:rPr>
          <w:rFonts w:eastAsia="Times New Roman" w:cs="Times New Roman"/>
          <w:lang w:eastAsia="de-DE"/>
        </w:rPr>
        <w:t xml:space="preserve">bestraft weibliche Zoophilie. </w:t>
      </w:r>
      <w:r w:rsidRPr="000A1182">
        <w:rPr>
          <w:rFonts w:eastAsia="Times New Roman" w:cs="Times New Roman"/>
          <w:b/>
          <w:bCs/>
          <w:rtl/>
          <w:lang w:eastAsia="de-DE"/>
        </w:rPr>
        <w:t>ואשה אשר תקרב אל־כל־בהמה לרבעה אתה</w:t>
      </w:r>
      <w:r w:rsidRPr="000A1182">
        <w:rPr>
          <w:rFonts w:eastAsia="Times New Roman" w:cs="Times New Roman"/>
          <w:rtl/>
          <w:lang w:eastAsia="de-DE"/>
        </w:rPr>
        <w:t xml:space="preserve"> </w:t>
      </w:r>
      <w:r w:rsidRPr="000A1182">
        <w:rPr>
          <w:rFonts w:eastAsia="Times New Roman" w:cs="Times New Roman"/>
          <w:lang w:eastAsia="de-DE"/>
        </w:rPr>
        <w:t xml:space="preserve">(und wenn eine Frau sich irgendeinem Tier naht, um sich von ihm begatten zu lassen) entspricht 18,23. </w:t>
      </w:r>
      <w:r w:rsidRPr="000A1182">
        <w:rPr>
          <w:rFonts w:eastAsia="Times New Roman" w:cs="Times New Roman"/>
          <w:b/>
          <w:bCs/>
          <w:rtl/>
          <w:lang w:eastAsia="de-DE"/>
        </w:rPr>
        <w:t>תקרב אל</w:t>
      </w:r>
      <w:r w:rsidRPr="000A1182">
        <w:rPr>
          <w:rFonts w:eastAsia="Times New Roman" w:cs="Times New Roman"/>
          <w:rtl/>
          <w:lang w:eastAsia="de-DE"/>
        </w:rPr>
        <w:t xml:space="preserve"> </w:t>
      </w:r>
      <w:r w:rsidRPr="000A1182">
        <w:rPr>
          <w:rFonts w:eastAsia="Times New Roman" w:cs="Times New Roman"/>
          <w:lang w:eastAsia="de-DE"/>
        </w:rPr>
        <w:t xml:space="preserve">(naht sich) im Qal-Imperfekt zeigt Annäherung. </w:t>
      </w:r>
      <w:r w:rsidRPr="000A1182">
        <w:rPr>
          <w:rFonts w:eastAsia="Times New Roman" w:cs="Times New Roman"/>
          <w:b/>
          <w:bCs/>
          <w:rtl/>
          <w:lang w:eastAsia="de-DE"/>
        </w:rPr>
        <w:t>לרבעה אתה</w:t>
      </w:r>
      <w:r w:rsidRPr="000A1182">
        <w:rPr>
          <w:rFonts w:eastAsia="Times New Roman" w:cs="Times New Roman"/>
          <w:rtl/>
          <w:lang w:eastAsia="de-DE"/>
        </w:rPr>
        <w:t xml:space="preserve"> </w:t>
      </w:r>
      <w:r w:rsidRPr="000A1182">
        <w:rPr>
          <w:rFonts w:eastAsia="Times New Roman" w:cs="Times New Roman"/>
          <w:lang w:eastAsia="de-DE"/>
        </w:rPr>
        <w:t xml:space="preserve">(um sich begatten zu lassen) - </w:t>
      </w:r>
      <w:r w:rsidRPr="000A1182">
        <w:rPr>
          <w:rFonts w:eastAsia="Times New Roman" w:cs="Times New Roman"/>
          <w:b/>
          <w:bCs/>
          <w:rtl/>
          <w:lang w:eastAsia="de-DE"/>
        </w:rPr>
        <w:t>לרבע</w:t>
      </w:r>
      <w:r w:rsidRPr="000A1182">
        <w:rPr>
          <w:rFonts w:eastAsia="Times New Roman" w:cs="Times New Roman"/>
          <w:rtl/>
          <w:lang w:eastAsia="de-DE"/>
        </w:rPr>
        <w:t xml:space="preserve"> </w:t>
      </w:r>
      <w:r w:rsidRPr="000A1182">
        <w:rPr>
          <w:rFonts w:eastAsia="Times New Roman" w:cs="Times New Roman"/>
          <w:lang w:eastAsia="de-DE"/>
        </w:rPr>
        <w:t xml:space="preserve">als technischer Begriff für tierische Paarung, </w:t>
      </w:r>
      <w:r w:rsidRPr="000A1182">
        <w:rPr>
          <w:rFonts w:eastAsia="Times New Roman" w:cs="Times New Roman"/>
          <w:b/>
          <w:bCs/>
          <w:rtl/>
          <w:lang w:eastAsia="de-DE"/>
        </w:rPr>
        <w:t>אתה</w:t>
      </w:r>
      <w:r w:rsidRPr="000A1182">
        <w:rPr>
          <w:rFonts w:eastAsia="Times New Roman" w:cs="Times New Roman"/>
          <w:rtl/>
          <w:lang w:eastAsia="de-DE"/>
        </w:rPr>
        <w:t xml:space="preserve"> </w:t>
      </w:r>
      <w:r w:rsidRPr="000A1182">
        <w:rPr>
          <w:rFonts w:eastAsia="Times New Roman" w:cs="Times New Roman"/>
          <w:lang w:eastAsia="de-DE"/>
        </w:rPr>
        <w:t>(sie) mit feminin Suffix.</w:t>
      </w:r>
    </w:p>
    <w:p w14:paraId="74509B0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lastRenderedPageBreak/>
        <w:t>והרגת את־האשה ואת־הבהמה</w:t>
      </w:r>
      <w:r w:rsidRPr="000A1182">
        <w:rPr>
          <w:rFonts w:eastAsia="Times New Roman" w:cs="Times New Roman"/>
          <w:rtl/>
          <w:lang w:eastAsia="de-DE"/>
        </w:rPr>
        <w:t xml:space="preserve"> </w:t>
      </w:r>
      <w:r w:rsidRPr="000A1182">
        <w:rPr>
          <w:rFonts w:eastAsia="Times New Roman" w:cs="Times New Roman"/>
          <w:lang w:eastAsia="de-DE"/>
        </w:rPr>
        <w:t xml:space="preserve">(so sollst du die Frau und das Tier umbringen) - </w:t>
      </w:r>
      <w:r w:rsidRPr="000A1182">
        <w:rPr>
          <w:rFonts w:eastAsia="Times New Roman" w:cs="Times New Roman"/>
          <w:b/>
          <w:bCs/>
          <w:rtl/>
          <w:lang w:eastAsia="de-DE"/>
        </w:rPr>
        <w:t>והרגת</w:t>
      </w:r>
      <w:r w:rsidRPr="000A1182">
        <w:rPr>
          <w:rFonts w:eastAsia="Times New Roman" w:cs="Times New Roman"/>
          <w:rtl/>
          <w:lang w:eastAsia="de-DE"/>
        </w:rPr>
        <w:t xml:space="preserve"> </w:t>
      </w:r>
      <w:r w:rsidRPr="000A1182">
        <w:rPr>
          <w:rFonts w:eastAsia="Times New Roman" w:cs="Times New Roman"/>
          <w:lang w:eastAsia="de-DE"/>
        </w:rPr>
        <w:t xml:space="preserve">(und du sollst umbringen) im Qal-Perfekt mit Waw-Konsekutiv zeigt direkte Anrede. </w:t>
      </w:r>
      <w:r w:rsidRPr="000A1182">
        <w:rPr>
          <w:rFonts w:eastAsia="Times New Roman" w:cs="Times New Roman"/>
          <w:b/>
          <w:bCs/>
          <w:rtl/>
          <w:lang w:eastAsia="de-DE"/>
        </w:rPr>
        <w:t>מות יומתו דמיהם בם</w:t>
      </w:r>
      <w:r w:rsidRPr="000A1182">
        <w:rPr>
          <w:rFonts w:eastAsia="Times New Roman" w:cs="Times New Roman"/>
          <w:rtl/>
          <w:lang w:eastAsia="de-DE"/>
        </w:rPr>
        <w:t xml:space="preserve"> </w:t>
      </w:r>
      <w:r w:rsidRPr="000A1182">
        <w:rPr>
          <w:rFonts w:eastAsia="Times New Roman" w:cs="Times New Roman"/>
          <w:lang w:eastAsia="de-DE"/>
        </w:rPr>
        <w:t>(sie sollen gewiss getötet werden, ihr Blut ist auf ihnen) behandelt beide als schuldig.</w:t>
      </w:r>
    </w:p>
    <w:p w14:paraId="5357EFD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תקרב אל־כל־בהמה</w:t>
      </w:r>
      <w:r w:rsidRPr="000A1182">
        <w:rPr>
          <w:rFonts w:eastAsia="Times New Roman" w:cs="Times New Roman"/>
          <w:rtl/>
          <w:lang w:eastAsia="de-DE"/>
        </w:rPr>
        <w:t xml:space="preserve"> </w:t>
      </w:r>
      <w:r w:rsidRPr="000A1182">
        <w:rPr>
          <w:rFonts w:eastAsia="Times New Roman" w:cs="Times New Roman"/>
          <w:lang w:eastAsia="de-DE"/>
        </w:rPr>
        <w:t xml:space="preserve">zeigt universelle Anwendung auf alle Tierarten. </w:t>
      </w:r>
      <w:r w:rsidRPr="000A1182">
        <w:rPr>
          <w:rFonts w:eastAsia="Times New Roman" w:cs="Times New Roman"/>
          <w:b/>
          <w:bCs/>
          <w:rtl/>
          <w:lang w:eastAsia="de-DE"/>
        </w:rPr>
        <w:t>לרבעה אתה</w:t>
      </w:r>
      <w:r w:rsidRPr="000A1182">
        <w:rPr>
          <w:rFonts w:eastAsia="Times New Roman" w:cs="Times New Roman"/>
          <w:rtl/>
          <w:lang w:eastAsia="de-DE"/>
        </w:rPr>
        <w:t xml:space="preserve"> </w:t>
      </w:r>
      <w:r w:rsidRPr="000A1182">
        <w:rPr>
          <w:rFonts w:eastAsia="Times New Roman" w:cs="Times New Roman"/>
          <w:lang w:eastAsia="de-DE"/>
        </w:rPr>
        <w:t xml:space="preserve">zeigt die empfangende Position der Frau.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im Plural behandelt Frau und Tier als gleich schuldig.</w:t>
      </w:r>
    </w:p>
    <w:p w14:paraId="6F993A5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תקרב</w:t>
      </w:r>
      <w:r w:rsidRPr="000A1182">
        <w:rPr>
          <w:rFonts w:eastAsia="Times New Roman" w:cs="Times New Roman"/>
          <w:rtl/>
          <w:lang w:eastAsia="de-DE"/>
        </w:rPr>
        <w:t xml:space="preserve"> </w:t>
      </w:r>
      <w:r w:rsidRPr="000A1182">
        <w:rPr>
          <w:rFonts w:eastAsia="Times New Roman" w:cs="Times New Roman"/>
          <w:lang w:eastAsia="de-DE"/>
        </w:rPr>
        <w:t>mit π</w:t>
      </w:r>
      <w:proofErr w:type="spellStart"/>
      <w:r w:rsidRPr="000A1182">
        <w:rPr>
          <w:rFonts w:eastAsia="Times New Roman" w:cs="Times New Roman"/>
          <w:lang w:eastAsia="de-DE"/>
        </w:rPr>
        <w:t>ροσέλθῃ</w:t>
      </w:r>
      <w:proofErr w:type="spellEnd"/>
      <w:r w:rsidRPr="000A1182">
        <w:rPr>
          <w:rFonts w:eastAsia="Times New Roman" w:cs="Times New Roman"/>
          <w:lang w:eastAsia="de-DE"/>
        </w:rPr>
        <w:t xml:space="preserve"> (naht sich), </w:t>
      </w:r>
      <w:r w:rsidRPr="000A1182">
        <w:rPr>
          <w:rFonts w:eastAsia="Times New Roman" w:cs="Times New Roman"/>
          <w:b/>
          <w:bCs/>
          <w:rtl/>
          <w:lang w:eastAsia="de-DE"/>
        </w:rPr>
        <w:t>לרבעה</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ὀχευθῆν</w:t>
      </w:r>
      <w:proofErr w:type="spellEnd"/>
      <w:r w:rsidRPr="000A1182">
        <w:rPr>
          <w:rFonts w:eastAsia="Times New Roman" w:cs="Times New Roman"/>
          <w:lang w:eastAsia="de-DE"/>
        </w:rPr>
        <w:t xml:space="preserve">αι (begattet zu werden), </w:t>
      </w:r>
      <w:r w:rsidRPr="000A1182">
        <w:rPr>
          <w:rFonts w:eastAsia="Times New Roman" w:cs="Times New Roman"/>
          <w:b/>
          <w:bCs/>
          <w:rtl/>
          <w:lang w:eastAsia="de-DE"/>
        </w:rPr>
        <w:t>והרגת</w:t>
      </w:r>
      <w:r w:rsidRPr="000A1182">
        <w:rPr>
          <w:rFonts w:eastAsia="Times New Roman" w:cs="Times New Roman"/>
          <w:rtl/>
          <w:lang w:eastAsia="de-DE"/>
        </w:rPr>
        <w:t xml:space="preserve"> </w:t>
      </w:r>
      <w:r w:rsidRPr="000A1182">
        <w:rPr>
          <w:rFonts w:eastAsia="Times New Roman" w:cs="Times New Roman"/>
          <w:lang w:eastAsia="de-DE"/>
        </w:rPr>
        <w:t>mit ἀπ</w:t>
      </w:r>
      <w:proofErr w:type="spellStart"/>
      <w:r w:rsidRPr="000A1182">
        <w:rPr>
          <w:rFonts w:eastAsia="Times New Roman" w:cs="Times New Roman"/>
          <w:lang w:eastAsia="de-DE"/>
        </w:rPr>
        <w:t>οκτενεῖς</w:t>
      </w:r>
      <w:proofErr w:type="spellEnd"/>
      <w:r w:rsidRPr="000A1182">
        <w:rPr>
          <w:rFonts w:eastAsia="Times New Roman" w:cs="Times New Roman"/>
          <w:lang w:eastAsia="de-DE"/>
        </w:rPr>
        <w:t xml:space="preserve"> (du wirst töten) und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mit α</w:t>
      </w:r>
      <w:proofErr w:type="spellStart"/>
      <w:r w:rsidRPr="000A1182">
        <w:rPr>
          <w:rFonts w:eastAsia="Times New Roman" w:cs="Times New Roman"/>
          <w:lang w:eastAsia="de-DE"/>
        </w:rPr>
        <w:t>ἷμ</w:t>
      </w:r>
      <w:proofErr w:type="spellEnd"/>
      <w:r w:rsidRPr="000A1182">
        <w:rPr>
          <w:rFonts w:eastAsia="Times New Roman" w:cs="Times New Roman"/>
          <w:lang w:eastAsia="de-DE"/>
        </w:rPr>
        <w:t>α α</w:t>
      </w:r>
      <w:proofErr w:type="spellStart"/>
      <w:r w:rsidRPr="000A1182">
        <w:rPr>
          <w:rFonts w:eastAsia="Times New Roman" w:cs="Times New Roman"/>
          <w:lang w:eastAsia="de-DE"/>
        </w:rPr>
        <w:t>ὐτῶν</w:t>
      </w:r>
      <w:proofErr w:type="spellEnd"/>
      <w:r w:rsidRPr="000A1182">
        <w:rPr>
          <w:rFonts w:eastAsia="Times New Roman" w:cs="Times New Roman"/>
          <w:lang w:eastAsia="de-DE"/>
        </w:rPr>
        <w:t xml:space="preserve"> ἐπ᾽ α</w:t>
      </w:r>
      <w:proofErr w:type="spellStart"/>
      <w:r w:rsidRPr="000A1182">
        <w:rPr>
          <w:rFonts w:eastAsia="Times New Roman" w:cs="Times New Roman"/>
          <w:lang w:eastAsia="de-DE"/>
        </w:rPr>
        <w:t>ὐτά</w:t>
      </w:r>
      <w:proofErr w:type="spellEnd"/>
      <w:r w:rsidRPr="000A1182">
        <w:rPr>
          <w:rFonts w:eastAsia="Times New Roman" w:cs="Times New Roman"/>
          <w:lang w:eastAsia="de-DE"/>
        </w:rPr>
        <w:t xml:space="preserve"> (ihr Blut auf sie).</w:t>
      </w:r>
    </w:p>
    <w:p w14:paraId="6460D62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weibliche Zoophilie-Bestrafung: Annäherung an Tiere + Begattungszweck + Tötung beider + Todesformel + doppelte Schuldzuschreibung.</w:t>
      </w:r>
    </w:p>
    <w:p w14:paraId="7204846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bestraft weibliche Zoophilie und behandelt sowohl Frau als auch Tier als schuldig mit der Todesstrafe.</w:t>
      </w:r>
    </w:p>
    <w:p w14:paraId="3257AB39"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20,17</w:t>
      </w:r>
    </w:p>
    <w:p w14:paraId="68507AD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אֲשֶׁר־יִקַּ֣ח אֶת־אֲחֹתוֹ֡ בַּת־אָבִ֣יו א֣וֹ בַת־אִ֠מּוֹ וְרָאָ֨ה אֶת־עֶרְוָתָ֜הּ וְהִֽיא־תִרְאֶ֤ה אֶת־עֶרְוָתוֹ֙ חֶ֣סֶד ה֔וּא וְנִ֨כְרְת֔וּ לְעֵינֵ֖י בְּנֵ֣י עַמָּ֑ם עֶרְוַ֧ת אֲחֹתוֹ֛ גִּלָּ֖ה עֲוֹנֹ֥ו יִשָּֽׂא׃</w:t>
      </w:r>
    </w:p>
    <w:p w14:paraId="7285F28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seine Schwester nimmt, die Tochter seines Vaters oder die Tochter seiner Mutter, und er sieht ihre Blöße, und sie sieht seine Blöße: das ist eine Schande, und sie sollen ausgerottet werden vor den Augen der Kinder ihres Volkes; er hat die Blöße seiner Schwester aufgedeckt, er soll seine Schuld tragen.</w:t>
      </w:r>
    </w:p>
    <w:p w14:paraId="17B6367B"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63313BE3">
          <v:rect id="_x0000_i1614" style="width:0;height:1.5pt" o:hralign="center" o:hrstd="t" o:hr="t" fillcolor="#a0a0a0" stroked="f"/>
        </w:pict>
      </w:r>
    </w:p>
    <w:p w14:paraId="4454D5E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אשר־יקח את־אחתו בת־אביו או בת־אמו וראה את־ערותה והיא־תראה את־ערותו חסד הוא ונכרתו לעיני בני עמם ערות אחתו גלה עונו ישא</w:t>
      </w:r>
      <w:r w:rsidRPr="000A1182">
        <w:rPr>
          <w:rFonts w:eastAsia="Times New Roman" w:cs="Times New Roman"/>
          <w:rtl/>
          <w:lang w:eastAsia="de-DE"/>
        </w:rPr>
        <w:t xml:space="preserve"> </w:t>
      </w:r>
      <w:r w:rsidRPr="000A1182">
        <w:rPr>
          <w:rFonts w:eastAsia="Times New Roman" w:cs="Times New Roman"/>
          <w:lang w:eastAsia="de-DE"/>
        </w:rPr>
        <w:t xml:space="preserve">bestraft Geschwisterinzest. </w:t>
      </w:r>
      <w:r w:rsidRPr="000A1182">
        <w:rPr>
          <w:rFonts w:eastAsia="Times New Roman" w:cs="Times New Roman"/>
          <w:b/>
          <w:bCs/>
          <w:rtl/>
          <w:lang w:eastAsia="de-DE"/>
        </w:rPr>
        <w:t>ואיש אשר־יקח את־אחתו בת־אביו או בת־אמו</w:t>
      </w:r>
      <w:r w:rsidRPr="000A1182">
        <w:rPr>
          <w:rFonts w:eastAsia="Times New Roman" w:cs="Times New Roman"/>
          <w:rtl/>
          <w:lang w:eastAsia="de-DE"/>
        </w:rPr>
        <w:t xml:space="preserve"> </w:t>
      </w:r>
      <w:r w:rsidRPr="000A1182">
        <w:rPr>
          <w:rFonts w:eastAsia="Times New Roman" w:cs="Times New Roman"/>
          <w:lang w:eastAsia="de-DE"/>
        </w:rPr>
        <w:t xml:space="preserve">(und wenn ein Mann seine Schwester nimmt, die Tochter seines Vaters oder die Tochter seiner Mutter) entspricht 18,9. </w:t>
      </w:r>
      <w:r w:rsidRPr="000A1182">
        <w:rPr>
          <w:rFonts w:eastAsia="Times New Roman" w:cs="Times New Roman"/>
          <w:b/>
          <w:bCs/>
          <w:rtl/>
          <w:lang w:eastAsia="de-DE"/>
        </w:rPr>
        <w:t>יקח</w:t>
      </w:r>
      <w:r w:rsidRPr="000A1182">
        <w:rPr>
          <w:rFonts w:eastAsia="Times New Roman" w:cs="Times New Roman"/>
          <w:rtl/>
          <w:lang w:eastAsia="de-DE"/>
        </w:rPr>
        <w:t xml:space="preserve"> </w:t>
      </w:r>
      <w:r w:rsidRPr="000A1182">
        <w:rPr>
          <w:rFonts w:eastAsia="Times New Roman" w:cs="Times New Roman"/>
          <w:lang w:eastAsia="de-DE"/>
        </w:rPr>
        <w:t>(nimmt) zeigt Heirat oder dauerhafte Beziehung.</w:t>
      </w:r>
    </w:p>
    <w:p w14:paraId="059E511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וראה את־ערותה והיא־תראה את־ערותו</w:t>
      </w:r>
      <w:r w:rsidRPr="000A1182">
        <w:rPr>
          <w:rFonts w:eastAsia="Times New Roman" w:cs="Times New Roman"/>
          <w:rtl/>
          <w:lang w:eastAsia="de-DE"/>
        </w:rPr>
        <w:t xml:space="preserve"> </w:t>
      </w:r>
      <w:r w:rsidRPr="000A1182">
        <w:rPr>
          <w:rFonts w:eastAsia="Times New Roman" w:cs="Times New Roman"/>
          <w:lang w:eastAsia="de-DE"/>
        </w:rPr>
        <w:t xml:space="preserve">(und er sieht ihre Blöße, und sie sieht seine Blöße) zeigt gegenseitiges Sehen als Umschreibung für Geschlechtsverkehr. </w:t>
      </w:r>
      <w:r w:rsidRPr="000A1182">
        <w:rPr>
          <w:rFonts w:eastAsia="Times New Roman" w:cs="Times New Roman"/>
          <w:b/>
          <w:bCs/>
          <w:rtl/>
          <w:lang w:eastAsia="de-DE"/>
        </w:rPr>
        <w:t>חסד הוא</w:t>
      </w:r>
      <w:r w:rsidRPr="000A1182">
        <w:rPr>
          <w:rFonts w:eastAsia="Times New Roman" w:cs="Times New Roman"/>
          <w:rtl/>
          <w:lang w:eastAsia="de-DE"/>
        </w:rPr>
        <w:t xml:space="preserve"> </w:t>
      </w:r>
      <w:r w:rsidRPr="000A1182">
        <w:rPr>
          <w:rFonts w:eastAsia="Times New Roman" w:cs="Times New Roman"/>
          <w:lang w:eastAsia="de-DE"/>
        </w:rPr>
        <w:t xml:space="preserve">(das ist eine Schande) - </w:t>
      </w:r>
      <w:r w:rsidRPr="000A1182">
        <w:rPr>
          <w:rFonts w:eastAsia="Times New Roman" w:cs="Times New Roman"/>
          <w:b/>
          <w:bCs/>
          <w:rtl/>
          <w:lang w:eastAsia="de-DE"/>
        </w:rPr>
        <w:t>חסד</w:t>
      </w:r>
      <w:r w:rsidRPr="000A1182">
        <w:rPr>
          <w:rFonts w:eastAsia="Times New Roman" w:cs="Times New Roman"/>
          <w:rtl/>
          <w:lang w:eastAsia="de-DE"/>
        </w:rPr>
        <w:t xml:space="preserve"> </w:t>
      </w:r>
      <w:r w:rsidRPr="000A1182">
        <w:rPr>
          <w:rFonts w:eastAsia="Times New Roman" w:cs="Times New Roman"/>
          <w:lang w:eastAsia="de-DE"/>
        </w:rPr>
        <w:t xml:space="preserve">(Schande) als moralische Qualifikation, milder als </w:t>
      </w:r>
      <w:r w:rsidRPr="000A1182">
        <w:rPr>
          <w:rFonts w:eastAsia="Times New Roman" w:cs="Times New Roman"/>
          <w:b/>
          <w:bCs/>
          <w:rtl/>
          <w:lang w:eastAsia="de-DE"/>
        </w:rPr>
        <w:t>תועבה</w:t>
      </w:r>
      <w:r w:rsidRPr="000A1182">
        <w:rPr>
          <w:rFonts w:eastAsia="Times New Roman" w:cs="Times New Roman"/>
          <w:rtl/>
          <w:lang w:eastAsia="de-DE"/>
        </w:rPr>
        <w:t xml:space="preserve"> </w:t>
      </w:r>
      <w:r w:rsidRPr="000A1182">
        <w:rPr>
          <w:rFonts w:eastAsia="Times New Roman" w:cs="Times New Roman"/>
          <w:lang w:eastAsia="de-DE"/>
        </w:rPr>
        <w:t xml:space="preserve">oder </w:t>
      </w:r>
      <w:r w:rsidRPr="000A1182">
        <w:rPr>
          <w:rFonts w:eastAsia="Times New Roman" w:cs="Times New Roman"/>
          <w:b/>
          <w:bCs/>
          <w:rtl/>
          <w:lang w:eastAsia="de-DE"/>
        </w:rPr>
        <w:t>זמה</w:t>
      </w:r>
      <w:r w:rsidRPr="000A1182">
        <w:rPr>
          <w:rFonts w:eastAsia="Times New Roman" w:cs="Times New Roman"/>
          <w:lang w:eastAsia="de-DE"/>
        </w:rPr>
        <w:t>.</w:t>
      </w:r>
    </w:p>
    <w:p w14:paraId="2598A65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ונכרתו לעיני בני עמם</w:t>
      </w:r>
      <w:r w:rsidRPr="000A1182">
        <w:rPr>
          <w:rFonts w:eastAsia="Times New Roman" w:cs="Times New Roman"/>
          <w:rtl/>
          <w:lang w:eastAsia="de-DE"/>
        </w:rPr>
        <w:t xml:space="preserve"> </w:t>
      </w:r>
      <w:r w:rsidRPr="000A1182">
        <w:rPr>
          <w:rFonts w:eastAsia="Times New Roman" w:cs="Times New Roman"/>
          <w:lang w:eastAsia="de-DE"/>
        </w:rPr>
        <w:t xml:space="preserve">(und sie sollen ausgerottet werden vor den Augen der Kinder ihres Volkes) - </w:t>
      </w:r>
      <w:r w:rsidRPr="000A1182">
        <w:rPr>
          <w:rFonts w:eastAsia="Times New Roman" w:cs="Times New Roman"/>
          <w:b/>
          <w:bCs/>
          <w:rtl/>
          <w:lang w:eastAsia="de-DE"/>
        </w:rPr>
        <w:t>ונכרתו</w:t>
      </w:r>
      <w:r w:rsidRPr="000A1182">
        <w:rPr>
          <w:rFonts w:eastAsia="Times New Roman" w:cs="Times New Roman"/>
          <w:rtl/>
          <w:lang w:eastAsia="de-DE"/>
        </w:rPr>
        <w:t xml:space="preserve"> </w:t>
      </w:r>
      <w:r w:rsidRPr="000A1182">
        <w:rPr>
          <w:rFonts w:eastAsia="Times New Roman" w:cs="Times New Roman"/>
          <w:lang w:eastAsia="de-DE"/>
        </w:rPr>
        <w:t xml:space="preserve">(und sie sollen ausgerottet werden) im Nifal-Perfekt mit Waw-Konsekutiv zeigt </w:t>
      </w:r>
      <w:r w:rsidRPr="000A1182">
        <w:rPr>
          <w:rFonts w:eastAsia="Times New Roman" w:cs="Times New Roman"/>
          <w:b/>
          <w:bCs/>
          <w:rtl/>
          <w:lang w:eastAsia="de-DE"/>
        </w:rPr>
        <w:t>כרת</w:t>
      </w:r>
      <w:r w:rsidRPr="000A1182">
        <w:rPr>
          <w:rFonts w:eastAsia="Times New Roman" w:cs="Times New Roman"/>
          <w:lang w:eastAsia="de-DE"/>
        </w:rPr>
        <w:t xml:space="preserve">-Strafe statt Todesstrafe. </w:t>
      </w:r>
      <w:r w:rsidRPr="000A1182">
        <w:rPr>
          <w:rFonts w:eastAsia="Times New Roman" w:cs="Times New Roman"/>
          <w:b/>
          <w:bCs/>
          <w:rtl/>
          <w:lang w:eastAsia="de-DE"/>
        </w:rPr>
        <w:t>לעיני בני עמם</w:t>
      </w:r>
      <w:r w:rsidRPr="000A1182">
        <w:rPr>
          <w:rFonts w:eastAsia="Times New Roman" w:cs="Times New Roman"/>
          <w:rtl/>
          <w:lang w:eastAsia="de-DE"/>
        </w:rPr>
        <w:t xml:space="preserve"> </w:t>
      </w:r>
      <w:r w:rsidRPr="000A1182">
        <w:rPr>
          <w:rFonts w:eastAsia="Times New Roman" w:cs="Times New Roman"/>
          <w:lang w:eastAsia="de-DE"/>
        </w:rPr>
        <w:t>(vor den Augen der Kinder ihres Volkes) zeigt öffentliche Ausrottung.</w:t>
      </w:r>
    </w:p>
    <w:p w14:paraId="6C32DF3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ערות אחתו גלה עונו ישא</w:t>
      </w:r>
      <w:r w:rsidRPr="000A1182">
        <w:rPr>
          <w:rFonts w:eastAsia="Times New Roman" w:cs="Times New Roman"/>
          <w:rtl/>
          <w:lang w:eastAsia="de-DE"/>
        </w:rPr>
        <w:t xml:space="preserve"> </w:t>
      </w:r>
      <w:r w:rsidRPr="000A1182">
        <w:rPr>
          <w:rFonts w:eastAsia="Times New Roman" w:cs="Times New Roman"/>
          <w:lang w:eastAsia="de-DE"/>
        </w:rPr>
        <w:t>(er hat die Blöße seiner Schwester aufgedeckt, er soll seine Schuld tragen) wiederholt das Vergehen und zeigt zusätzliche Schuldtragung.</w:t>
      </w:r>
    </w:p>
    <w:p w14:paraId="76A9A82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חסד</w:t>
      </w:r>
      <w:r w:rsidRPr="000A1182">
        <w:rPr>
          <w:rFonts w:eastAsia="Times New Roman" w:cs="Times New Roman"/>
          <w:rtl/>
          <w:lang w:eastAsia="de-DE"/>
        </w:rPr>
        <w:t xml:space="preserve"> </w:t>
      </w:r>
      <w:r w:rsidRPr="000A1182">
        <w:rPr>
          <w:rFonts w:eastAsia="Times New Roman" w:cs="Times New Roman"/>
          <w:lang w:eastAsia="de-DE"/>
        </w:rPr>
        <w:t xml:space="preserve">als mildere Qualifikation erklärt die </w:t>
      </w:r>
      <w:r w:rsidRPr="000A1182">
        <w:rPr>
          <w:rFonts w:eastAsia="Times New Roman" w:cs="Times New Roman"/>
          <w:b/>
          <w:bCs/>
          <w:rtl/>
          <w:lang w:eastAsia="de-DE"/>
        </w:rPr>
        <w:t>כרת</w:t>
      </w:r>
      <w:r w:rsidRPr="000A1182">
        <w:rPr>
          <w:rFonts w:eastAsia="Times New Roman" w:cs="Times New Roman"/>
          <w:lang w:eastAsia="de-DE"/>
        </w:rPr>
        <w:t xml:space="preserve">-Strafe statt Todesstrafe. </w:t>
      </w:r>
      <w:r w:rsidRPr="000A1182">
        <w:rPr>
          <w:rFonts w:eastAsia="Times New Roman" w:cs="Times New Roman"/>
          <w:b/>
          <w:bCs/>
          <w:rtl/>
          <w:lang w:eastAsia="de-DE"/>
        </w:rPr>
        <w:t>לעיני בני עמם</w:t>
      </w:r>
      <w:r w:rsidRPr="000A1182">
        <w:rPr>
          <w:rFonts w:eastAsia="Times New Roman" w:cs="Times New Roman"/>
          <w:rtl/>
          <w:lang w:eastAsia="de-DE"/>
        </w:rPr>
        <w:t xml:space="preserve"> </w:t>
      </w:r>
      <w:r w:rsidRPr="000A1182">
        <w:rPr>
          <w:rFonts w:eastAsia="Times New Roman" w:cs="Times New Roman"/>
          <w:lang w:eastAsia="de-DE"/>
        </w:rPr>
        <w:t xml:space="preserve">zeigt öffentliche Vollstreckung. </w:t>
      </w:r>
      <w:r w:rsidRPr="000A1182">
        <w:rPr>
          <w:rFonts w:eastAsia="Times New Roman" w:cs="Times New Roman"/>
          <w:b/>
          <w:bCs/>
          <w:rtl/>
          <w:lang w:eastAsia="de-DE"/>
        </w:rPr>
        <w:t>עונו ישא</w:t>
      </w:r>
      <w:r w:rsidRPr="000A1182">
        <w:rPr>
          <w:rFonts w:eastAsia="Times New Roman" w:cs="Times New Roman"/>
          <w:rtl/>
          <w:lang w:eastAsia="de-DE"/>
        </w:rPr>
        <w:t xml:space="preserve"> </w:t>
      </w:r>
      <w:r w:rsidRPr="000A1182">
        <w:rPr>
          <w:rFonts w:eastAsia="Times New Roman" w:cs="Times New Roman"/>
          <w:lang w:eastAsia="de-DE"/>
        </w:rPr>
        <w:t>zeigt zusätzliche persönliche Schuldverantwortung.</w:t>
      </w:r>
    </w:p>
    <w:p w14:paraId="65A5C1E7" w14:textId="4166F64E"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Die LXX</w:t>
      </w:r>
      <w:r w:rsidRPr="000A1182">
        <w:rPr>
          <w:rFonts w:eastAsia="Times New Roman" w:cs="Times New Roman"/>
          <w:lang w:eastAsia="de-DE"/>
        </w:rPr>
        <w:t xml:space="preserve"> </w:t>
      </w:r>
      <w:r w:rsidR="004F25E8">
        <w:t xml:space="preserve">übersetzt </w:t>
      </w:r>
      <w:r w:rsidR="004F25E8">
        <w:rPr>
          <w:rtl/>
        </w:rPr>
        <w:t>חסד</w:t>
      </w:r>
      <w:r w:rsidR="004F25E8">
        <w:t xml:space="preserve"> (chesed - hier im negativen Sinn: "Schande") als </w:t>
      </w:r>
      <w:proofErr w:type="spellStart"/>
      <w:r w:rsidR="004F25E8">
        <w:t>ὄνειδος</w:t>
      </w:r>
      <w:proofErr w:type="spellEnd"/>
      <w:r w:rsidR="004F25E8">
        <w:t xml:space="preserve"> (Schmach/Vorwurf). Die Phrase </w:t>
      </w:r>
      <w:r w:rsidR="004F25E8">
        <w:rPr>
          <w:rtl/>
        </w:rPr>
        <w:t>לעיני בני עמם</w:t>
      </w:r>
      <w:r w:rsidR="004F25E8">
        <w:t xml:space="preserve"> (</w:t>
      </w:r>
      <w:proofErr w:type="spellStart"/>
      <w:r w:rsidR="004F25E8">
        <w:t>le'einei</w:t>
      </w:r>
      <w:proofErr w:type="spellEnd"/>
      <w:r w:rsidR="004F25E8">
        <w:t xml:space="preserve"> </w:t>
      </w:r>
      <w:proofErr w:type="spellStart"/>
      <w:r w:rsidR="004F25E8">
        <w:t>benei</w:t>
      </w:r>
      <w:proofErr w:type="spellEnd"/>
      <w:r w:rsidR="004F25E8">
        <w:t xml:space="preserve"> </w:t>
      </w:r>
      <w:proofErr w:type="spellStart"/>
      <w:r w:rsidR="004F25E8">
        <w:t>amam</w:t>
      </w:r>
      <w:proofErr w:type="spellEnd"/>
      <w:r w:rsidR="004F25E8">
        <w:t xml:space="preserve"> - "vor den Augen der Kinder ihres Volkes") wird als </w:t>
      </w:r>
      <w:proofErr w:type="spellStart"/>
      <w:r w:rsidR="004F25E8">
        <w:t>ἐνώ</w:t>
      </w:r>
      <w:proofErr w:type="spellEnd"/>
      <w:r w:rsidR="004F25E8">
        <w:t xml:space="preserve">πιον </w:t>
      </w:r>
      <w:proofErr w:type="spellStart"/>
      <w:r w:rsidR="004F25E8">
        <w:t>υἱῶν</w:t>
      </w:r>
      <w:proofErr w:type="spellEnd"/>
      <w:r w:rsidR="004F25E8">
        <w:t xml:space="preserve"> </w:t>
      </w:r>
      <w:proofErr w:type="spellStart"/>
      <w:r w:rsidR="004F25E8">
        <w:t>γένους</w:t>
      </w:r>
      <w:proofErr w:type="spellEnd"/>
      <w:r w:rsidR="004F25E8">
        <w:t xml:space="preserve"> α</w:t>
      </w:r>
      <w:proofErr w:type="spellStart"/>
      <w:r w:rsidR="004F25E8">
        <w:t>ὐτῶν</w:t>
      </w:r>
      <w:proofErr w:type="spellEnd"/>
      <w:r w:rsidR="004F25E8">
        <w:t xml:space="preserve"> (vor den Söhnen ihres Geschlechts) wiedergegeben.</w:t>
      </w:r>
    </w:p>
    <w:p w14:paraId="230CA8F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Geschwisterinzest-Bestrafung: Schwesternahme + gegenseitiges Sehen + </w:t>
      </w:r>
      <w:r w:rsidRPr="000A1182">
        <w:rPr>
          <w:rFonts w:eastAsia="Times New Roman" w:cs="Times New Roman"/>
          <w:b/>
          <w:bCs/>
          <w:rtl/>
          <w:lang w:eastAsia="de-DE"/>
        </w:rPr>
        <w:t>חסד</w:t>
      </w:r>
      <w:r w:rsidRPr="000A1182">
        <w:rPr>
          <w:rFonts w:eastAsia="Times New Roman" w:cs="Times New Roman"/>
          <w:lang w:eastAsia="de-DE"/>
        </w:rPr>
        <w:t xml:space="preserve">-Qualifikation + öffentliche </w:t>
      </w:r>
      <w:r w:rsidRPr="000A1182">
        <w:rPr>
          <w:rFonts w:eastAsia="Times New Roman" w:cs="Times New Roman"/>
          <w:b/>
          <w:bCs/>
          <w:rtl/>
          <w:lang w:eastAsia="de-DE"/>
        </w:rPr>
        <w:t>כרת</w:t>
      </w:r>
      <w:r w:rsidRPr="000A1182">
        <w:rPr>
          <w:rFonts w:eastAsia="Times New Roman" w:cs="Times New Roman"/>
          <w:lang w:eastAsia="de-DE"/>
        </w:rPr>
        <w:t>-Strafe + Schuldtragung.</w:t>
      </w:r>
    </w:p>
    <w:p w14:paraId="37BBC53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bestraft Geschwisterinzest als </w:t>
      </w:r>
      <w:r w:rsidRPr="000A1182">
        <w:rPr>
          <w:rFonts w:eastAsia="Times New Roman" w:cs="Times New Roman"/>
          <w:b/>
          <w:bCs/>
          <w:rtl/>
          <w:lang w:eastAsia="de-DE"/>
        </w:rPr>
        <w:t>חסד</w:t>
      </w:r>
      <w:r w:rsidRPr="000A1182">
        <w:rPr>
          <w:rFonts w:eastAsia="Times New Roman" w:cs="Times New Roman"/>
          <w:rtl/>
          <w:lang w:eastAsia="de-DE"/>
        </w:rPr>
        <w:t xml:space="preserve"> </w:t>
      </w:r>
      <w:r w:rsidRPr="000A1182">
        <w:rPr>
          <w:rFonts w:eastAsia="Times New Roman" w:cs="Times New Roman"/>
          <w:lang w:eastAsia="de-DE"/>
        </w:rPr>
        <w:t xml:space="preserve">(Schande) mit </w:t>
      </w:r>
      <w:r w:rsidRPr="000A1182">
        <w:rPr>
          <w:rFonts w:eastAsia="Times New Roman" w:cs="Times New Roman"/>
          <w:b/>
          <w:bCs/>
          <w:rtl/>
          <w:lang w:eastAsia="de-DE"/>
        </w:rPr>
        <w:t>כרת</w:t>
      </w:r>
      <w:r w:rsidRPr="000A1182">
        <w:rPr>
          <w:rFonts w:eastAsia="Times New Roman" w:cs="Times New Roman"/>
          <w:lang w:eastAsia="de-DE"/>
        </w:rPr>
        <w:t>-Strafe statt Todesstrafe.</w:t>
      </w:r>
    </w:p>
    <w:p w14:paraId="4CA425AA"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20,18</w:t>
      </w:r>
    </w:p>
    <w:p w14:paraId="5045CB7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אֲשֶׁר־יִשְׁכַּ֨ב אֶת־אִשָּׁ֜ה דָּוָ֗ה וְגִלָּ֤ה אֶת־עֶרְוָתָהּ֙ אֶת־מְקֹרָ֣הּ הֶֽעֱרָ֔ה וְהִ֕יא גִּלְּתָ֖ה אֶת־מְק֣וֹר דָּמֶ֑יהָ וְנִכְרְת֥וּ שְׁנֵיהֶ֖ם מִקֶּ֥רֶב עַמָּֽם׃</w:t>
      </w:r>
    </w:p>
    <w:p w14:paraId="209C675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bei einer Frau in ihrer Krankheit liegt und ihre Blöße aufdeckt, er hat ihre Quelle entblößt, und sie hat die Quelle ihres Blutes aufgedeckt: so sollen beide ausgerottet werden aus der Mitte ihres Volkes.</w:t>
      </w:r>
    </w:p>
    <w:p w14:paraId="2B35EBF2"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369C322C">
          <v:rect id="_x0000_i1615" style="width:0;height:1.5pt" o:hralign="center" o:hrstd="t" o:hr="t" fillcolor="#a0a0a0" stroked="f"/>
        </w:pict>
      </w:r>
    </w:p>
    <w:p w14:paraId="4EA96D3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אשר־ישכב את־אשה דוה וגלה את־ערותה את־מקרה העריה והיא גלתה את־מקור דמיה ונכרתו שניהם מקרב עמם</w:t>
      </w:r>
      <w:r w:rsidRPr="000A1182">
        <w:rPr>
          <w:rFonts w:eastAsia="Times New Roman" w:cs="Times New Roman"/>
          <w:rtl/>
          <w:lang w:eastAsia="de-DE"/>
        </w:rPr>
        <w:t xml:space="preserve"> </w:t>
      </w:r>
      <w:r w:rsidRPr="000A1182">
        <w:rPr>
          <w:rFonts w:eastAsia="Times New Roman" w:cs="Times New Roman"/>
          <w:lang w:eastAsia="de-DE"/>
        </w:rPr>
        <w:t xml:space="preserve">bestraft Verkehr während der Menstruation. </w:t>
      </w:r>
      <w:r w:rsidRPr="000A1182">
        <w:rPr>
          <w:rFonts w:eastAsia="Times New Roman" w:cs="Times New Roman"/>
          <w:b/>
          <w:bCs/>
          <w:rtl/>
          <w:lang w:eastAsia="de-DE"/>
        </w:rPr>
        <w:t>ואיש אשר־ישכב את־אשה דוה</w:t>
      </w:r>
      <w:r w:rsidRPr="000A1182">
        <w:rPr>
          <w:rFonts w:eastAsia="Times New Roman" w:cs="Times New Roman"/>
          <w:rtl/>
          <w:lang w:eastAsia="de-DE"/>
        </w:rPr>
        <w:t xml:space="preserve"> </w:t>
      </w:r>
      <w:r w:rsidRPr="000A1182">
        <w:rPr>
          <w:rFonts w:eastAsia="Times New Roman" w:cs="Times New Roman"/>
          <w:lang w:eastAsia="de-DE"/>
        </w:rPr>
        <w:t xml:space="preserve">(und wenn ein Mann bei einer Frau in ihrer Krankheit liegt) entspricht 18,19. </w:t>
      </w:r>
      <w:r w:rsidRPr="000A1182">
        <w:rPr>
          <w:rFonts w:eastAsia="Times New Roman" w:cs="Times New Roman"/>
          <w:b/>
          <w:bCs/>
          <w:rtl/>
          <w:lang w:eastAsia="de-DE"/>
        </w:rPr>
        <w:t>דוה</w:t>
      </w:r>
      <w:r w:rsidRPr="000A1182">
        <w:rPr>
          <w:rFonts w:eastAsia="Times New Roman" w:cs="Times New Roman"/>
          <w:rtl/>
          <w:lang w:eastAsia="de-DE"/>
        </w:rPr>
        <w:t xml:space="preserve"> </w:t>
      </w:r>
      <w:r w:rsidRPr="000A1182">
        <w:rPr>
          <w:rFonts w:eastAsia="Times New Roman" w:cs="Times New Roman"/>
          <w:lang w:eastAsia="de-DE"/>
        </w:rPr>
        <w:t>(Kranke) als euphemistische Bezeichnung für die menstruierende Frau.</w:t>
      </w:r>
    </w:p>
    <w:p w14:paraId="54D0C48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וגלה את־ערותה את־מקרה העריה</w:t>
      </w:r>
      <w:r w:rsidRPr="000A1182">
        <w:rPr>
          <w:rFonts w:eastAsia="Times New Roman" w:cs="Times New Roman"/>
          <w:rtl/>
          <w:lang w:eastAsia="de-DE"/>
        </w:rPr>
        <w:t xml:space="preserve"> </w:t>
      </w:r>
      <w:r w:rsidRPr="000A1182">
        <w:rPr>
          <w:rFonts w:eastAsia="Times New Roman" w:cs="Times New Roman"/>
          <w:lang w:eastAsia="de-DE"/>
        </w:rPr>
        <w:t xml:space="preserve">(und ihre Blöße aufdeckt, er hat ihre Quelle entblößt) - </w:t>
      </w:r>
      <w:r w:rsidRPr="000A1182">
        <w:rPr>
          <w:rFonts w:eastAsia="Times New Roman" w:cs="Times New Roman"/>
          <w:b/>
          <w:bCs/>
          <w:rtl/>
          <w:lang w:eastAsia="de-DE"/>
        </w:rPr>
        <w:t>וגלה</w:t>
      </w:r>
      <w:r w:rsidRPr="000A1182">
        <w:rPr>
          <w:rFonts w:eastAsia="Times New Roman" w:cs="Times New Roman"/>
          <w:rtl/>
          <w:lang w:eastAsia="de-DE"/>
        </w:rPr>
        <w:t xml:space="preserve"> </w:t>
      </w:r>
      <w:r w:rsidRPr="000A1182">
        <w:rPr>
          <w:rFonts w:eastAsia="Times New Roman" w:cs="Times New Roman"/>
          <w:lang w:eastAsia="de-DE"/>
        </w:rPr>
        <w:t xml:space="preserve">(und aufdeckt) im Piel-Perfekt mit Waw-Konsekutiv. </w:t>
      </w:r>
      <w:r w:rsidRPr="000A1182">
        <w:rPr>
          <w:rFonts w:eastAsia="Times New Roman" w:cs="Times New Roman"/>
          <w:b/>
          <w:bCs/>
          <w:rtl/>
          <w:lang w:eastAsia="de-DE"/>
        </w:rPr>
        <w:t>את־מקרה העריה</w:t>
      </w:r>
      <w:r w:rsidRPr="000A1182">
        <w:rPr>
          <w:rFonts w:eastAsia="Times New Roman" w:cs="Times New Roman"/>
          <w:rtl/>
          <w:lang w:eastAsia="de-DE"/>
        </w:rPr>
        <w:t xml:space="preserve"> </w:t>
      </w:r>
      <w:r w:rsidRPr="000A1182">
        <w:rPr>
          <w:rFonts w:eastAsia="Times New Roman" w:cs="Times New Roman"/>
          <w:lang w:eastAsia="de-DE"/>
        </w:rPr>
        <w:t xml:space="preserve">(ihre Quelle hat er entblößt) - </w:t>
      </w:r>
      <w:r w:rsidRPr="000A1182">
        <w:rPr>
          <w:rFonts w:eastAsia="Times New Roman" w:cs="Times New Roman"/>
          <w:b/>
          <w:bCs/>
          <w:rtl/>
          <w:lang w:eastAsia="de-DE"/>
        </w:rPr>
        <w:t>מקור</w:t>
      </w:r>
      <w:r w:rsidRPr="000A1182">
        <w:rPr>
          <w:rFonts w:eastAsia="Times New Roman" w:cs="Times New Roman"/>
          <w:rtl/>
          <w:lang w:eastAsia="de-DE"/>
        </w:rPr>
        <w:t xml:space="preserve"> </w:t>
      </w:r>
      <w:r w:rsidRPr="000A1182">
        <w:rPr>
          <w:rFonts w:eastAsia="Times New Roman" w:cs="Times New Roman"/>
          <w:lang w:eastAsia="de-DE"/>
        </w:rPr>
        <w:t xml:space="preserve">(Quelle) als euphemistische Bezeichnung für die weiblichen Genitalien. </w:t>
      </w:r>
      <w:r w:rsidRPr="000A1182">
        <w:rPr>
          <w:rFonts w:eastAsia="Times New Roman" w:cs="Times New Roman"/>
          <w:b/>
          <w:bCs/>
          <w:rtl/>
          <w:lang w:eastAsia="de-DE"/>
        </w:rPr>
        <w:t>העריה</w:t>
      </w:r>
      <w:r w:rsidRPr="000A1182">
        <w:rPr>
          <w:rFonts w:eastAsia="Times New Roman" w:cs="Times New Roman"/>
          <w:rtl/>
          <w:lang w:eastAsia="de-DE"/>
        </w:rPr>
        <w:t xml:space="preserve"> </w:t>
      </w:r>
      <w:r w:rsidRPr="000A1182">
        <w:rPr>
          <w:rFonts w:eastAsia="Times New Roman" w:cs="Times New Roman"/>
          <w:lang w:eastAsia="de-DE"/>
        </w:rPr>
        <w:t>(hat entblößt) im Hifil-Perfekt, das Hifil zeigt kausative Entblößung.</w:t>
      </w:r>
    </w:p>
    <w:p w14:paraId="68115E0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והיא גלתה את־מקור דמיה</w:t>
      </w:r>
      <w:r w:rsidRPr="000A1182">
        <w:rPr>
          <w:rFonts w:eastAsia="Times New Roman" w:cs="Times New Roman"/>
          <w:rtl/>
          <w:lang w:eastAsia="de-DE"/>
        </w:rPr>
        <w:t xml:space="preserve"> </w:t>
      </w:r>
      <w:r w:rsidRPr="000A1182">
        <w:rPr>
          <w:rFonts w:eastAsia="Times New Roman" w:cs="Times New Roman"/>
          <w:lang w:eastAsia="de-DE"/>
        </w:rPr>
        <w:t xml:space="preserve">(und sie hat die Quelle ihres Blutes aufgedeckt) zeigt die Frau als Mitverantwortliche. </w:t>
      </w:r>
      <w:r w:rsidRPr="000A1182">
        <w:rPr>
          <w:rFonts w:eastAsia="Times New Roman" w:cs="Times New Roman"/>
          <w:b/>
          <w:bCs/>
          <w:rtl/>
          <w:lang w:eastAsia="de-DE"/>
        </w:rPr>
        <w:t>ונכרתו שניהם מקרב עמם</w:t>
      </w:r>
      <w:r w:rsidRPr="000A1182">
        <w:rPr>
          <w:rFonts w:eastAsia="Times New Roman" w:cs="Times New Roman"/>
          <w:rtl/>
          <w:lang w:eastAsia="de-DE"/>
        </w:rPr>
        <w:t xml:space="preserve"> </w:t>
      </w:r>
      <w:r w:rsidRPr="000A1182">
        <w:rPr>
          <w:rFonts w:eastAsia="Times New Roman" w:cs="Times New Roman"/>
          <w:lang w:eastAsia="de-DE"/>
        </w:rPr>
        <w:t xml:space="preserve">(so sollen beide ausgerottet werden aus der Mitte ihres Volkes) zeigt </w:t>
      </w:r>
      <w:r w:rsidRPr="000A1182">
        <w:rPr>
          <w:rFonts w:eastAsia="Times New Roman" w:cs="Times New Roman"/>
          <w:b/>
          <w:bCs/>
          <w:rtl/>
          <w:lang w:eastAsia="de-DE"/>
        </w:rPr>
        <w:t>כרת</w:t>
      </w:r>
      <w:r w:rsidRPr="000A1182">
        <w:rPr>
          <w:rFonts w:eastAsia="Times New Roman" w:cs="Times New Roman"/>
          <w:lang w:eastAsia="de-DE"/>
        </w:rPr>
        <w:t>-Strafe für beide Partner.</w:t>
      </w:r>
    </w:p>
    <w:p w14:paraId="7D51996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דוה</w:t>
      </w:r>
      <w:r w:rsidRPr="000A1182">
        <w:rPr>
          <w:rFonts w:eastAsia="Times New Roman" w:cs="Times New Roman"/>
          <w:rtl/>
          <w:lang w:eastAsia="de-DE"/>
        </w:rPr>
        <w:t xml:space="preserve"> </w:t>
      </w:r>
      <w:r w:rsidRPr="000A1182">
        <w:rPr>
          <w:rFonts w:eastAsia="Times New Roman" w:cs="Times New Roman"/>
          <w:lang w:eastAsia="de-DE"/>
        </w:rPr>
        <w:t xml:space="preserve">als euphemistische Menstruationsbezeichnung. </w:t>
      </w:r>
      <w:r w:rsidRPr="000A1182">
        <w:rPr>
          <w:rFonts w:eastAsia="Times New Roman" w:cs="Times New Roman"/>
          <w:b/>
          <w:bCs/>
          <w:rtl/>
          <w:lang w:eastAsia="de-DE"/>
        </w:rPr>
        <w:t>מקור</w:t>
      </w:r>
      <w:r w:rsidRPr="000A1182">
        <w:rPr>
          <w:rFonts w:eastAsia="Times New Roman" w:cs="Times New Roman"/>
          <w:rtl/>
          <w:lang w:eastAsia="de-DE"/>
        </w:rPr>
        <w:t xml:space="preserve"> </w:t>
      </w:r>
      <w:r w:rsidRPr="000A1182">
        <w:rPr>
          <w:rFonts w:eastAsia="Times New Roman" w:cs="Times New Roman"/>
          <w:lang w:eastAsia="de-DE"/>
        </w:rPr>
        <w:t xml:space="preserve">als euphemistische Genitalienbezeichnung. </w:t>
      </w:r>
      <w:r w:rsidRPr="000A1182">
        <w:rPr>
          <w:rFonts w:eastAsia="Times New Roman" w:cs="Times New Roman"/>
          <w:b/>
          <w:bCs/>
          <w:rtl/>
          <w:lang w:eastAsia="de-DE"/>
        </w:rPr>
        <w:t>גלתה</w:t>
      </w:r>
      <w:r w:rsidRPr="000A1182">
        <w:rPr>
          <w:rFonts w:eastAsia="Times New Roman" w:cs="Times New Roman"/>
          <w:rtl/>
          <w:lang w:eastAsia="de-DE"/>
        </w:rPr>
        <w:t xml:space="preserve"> </w:t>
      </w:r>
      <w:r w:rsidRPr="000A1182">
        <w:rPr>
          <w:rFonts w:eastAsia="Times New Roman" w:cs="Times New Roman"/>
          <w:lang w:eastAsia="de-DE"/>
        </w:rPr>
        <w:t xml:space="preserve">zeigt auch die Frau als aktiv Beteiligte. </w:t>
      </w:r>
      <w:r w:rsidRPr="000A1182">
        <w:rPr>
          <w:rFonts w:eastAsia="Times New Roman" w:cs="Times New Roman"/>
          <w:b/>
          <w:bCs/>
          <w:rtl/>
          <w:lang w:eastAsia="de-DE"/>
        </w:rPr>
        <w:t>ונכרתו שניהם</w:t>
      </w:r>
      <w:r w:rsidRPr="000A1182">
        <w:rPr>
          <w:rFonts w:eastAsia="Times New Roman" w:cs="Times New Roman"/>
          <w:rtl/>
          <w:lang w:eastAsia="de-DE"/>
        </w:rPr>
        <w:t xml:space="preserve"> </w:t>
      </w:r>
      <w:r w:rsidRPr="000A1182">
        <w:rPr>
          <w:rFonts w:eastAsia="Times New Roman" w:cs="Times New Roman"/>
          <w:lang w:eastAsia="de-DE"/>
        </w:rPr>
        <w:t xml:space="preserve">zeigt </w:t>
      </w:r>
      <w:r w:rsidRPr="000A1182">
        <w:rPr>
          <w:rFonts w:eastAsia="Times New Roman" w:cs="Times New Roman"/>
          <w:b/>
          <w:bCs/>
          <w:rtl/>
          <w:lang w:eastAsia="de-DE"/>
        </w:rPr>
        <w:t>כרת</w:t>
      </w:r>
      <w:r w:rsidRPr="000A1182">
        <w:rPr>
          <w:rFonts w:eastAsia="Times New Roman" w:cs="Times New Roman"/>
          <w:lang w:eastAsia="de-DE"/>
        </w:rPr>
        <w:t>-Strafe statt Todesstrafe.</w:t>
      </w:r>
    </w:p>
    <w:p w14:paraId="3E76A9E2" w14:textId="5E39B67F"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דוה</w:t>
      </w:r>
      <w:r w:rsidR="004F25E8">
        <w:t xml:space="preserve"> (</w:t>
      </w:r>
      <w:proofErr w:type="spellStart"/>
      <w:r w:rsidR="004F25E8">
        <w:t>davah</w:t>
      </w:r>
      <w:proofErr w:type="spellEnd"/>
      <w:r w:rsidR="004F25E8">
        <w:t xml:space="preserve"> - "menstruierende Frau") als ἀπ</w:t>
      </w:r>
      <w:proofErr w:type="spellStart"/>
      <w:r w:rsidR="004F25E8">
        <w:t>οκ</w:t>
      </w:r>
      <w:proofErr w:type="spellEnd"/>
      <w:r w:rsidR="004F25E8">
        <w:t xml:space="preserve">αθημένης (sich absondernde) und </w:t>
      </w:r>
      <w:r w:rsidR="004F25E8">
        <w:rPr>
          <w:rtl/>
        </w:rPr>
        <w:t>מקור</w:t>
      </w:r>
      <w:r w:rsidR="004F25E8">
        <w:t xml:space="preserve"> (</w:t>
      </w:r>
      <w:proofErr w:type="spellStart"/>
      <w:r w:rsidR="004F25E8">
        <w:t>maqor</w:t>
      </w:r>
      <w:proofErr w:type="spellEnd"/>
      <w:r w:rsidR="004F25E8">
        <w:t xml:space="preserve"> - "Quelle") als π</w:t>
      </w:r>
      <w:proofErr w:type="spellStart"/>
      <w:r w:rsidR="004F25E8">
        <w:t>ηγή</w:t>
      </w:r>
      <w:proofErr w:type="spellEnd"/>
      <w:r w:rsidR="004F25E8">
        <w:t xml:space="preserve"> bzw. </w:t>
      </w:r>
      <w:proofErr w:type="spellStart"/>
      <w:r w:rsidR="004F25E8">
        <w:t>ῥύσις</w:t>
      </w:r>
      <w:proofErr w:type="spellEnd"/>
      <w:r w:rsidR="004F25E8">
        <w:t xml:space="preserve"> (Quelle/Fluss).</w:t>
      </w:r>
    </w:p>
    <w:p w14:paraId="6960160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Menstruationsverkehr-Bestrafung: Verkehr mit menstruierender Frau + männliche Entblößung + weibliche Mitverantwortung + </w:t>
      </w:r>
      <w:r w:rsidRPr="000A1182">
        <w:rPr>
          <w:rFonts w:eastAsia="Times New Roman" w:cs="Times New Roman"/>
          <w:b/>
          <w:bCs/>
          <w:rtl/>
          <w:lang w:eastAsia="de-DE"/>
        </w:rPr>
        <w:t>כרת</w:t>
      </w:r>
      <w:r w:rsidRPr="000A1182">
        <w:rPr>
          <w:rFonts w:eastAsia="Times New Roman" w:cs="Times New Roman"/>
          <w:lang w:eastAsia="de-DE"/>
        </w:rPr>
        <w:t>-Strafe für beide.</w:t>
      </w:r>
    </w:p>
    <w:p w14:paraId="263AA71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bestraft Geschlechtsverkehr während der Menstruation mit </w:t>
      </w:r>
      <w:r w:rsidRPr="000A1182">
        <w:rPr>
          <w:rFonts w:eastAsia="Times New Roman" w:cs="Times New Roman"/>
          <w:b/>
          <w:bCs/>
          <w:rtl/>
          <w:lang w:eastAsia="de-DE"/>
        </w:rPr>
        <w:t>כרת</w:t>
      </w:r>
      <w:r w:rsidRPr="000A1182">
        <w:rPr>
          <w:rFonts w:eastAsia="Times New Roman" w:cs="Times New Roman"/>
          <w:lang w:eastAsia="de-DE"/>
        </w:rPr>
        <w:t>-Strafe für beide Partner.</w:t>
      </w:r>
    </w:p>
    <w:p w14:paraId="332A2528"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20,19</w:t>
      </w:r>
    </w:p>
    <w:p w14:paraId="72E041A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Hebräisch:</w:t>
      </w:r>
      <w:r w:rsidRPr="000A1182">
        <w:rPr>
          <w:rFonts w:eastAsia="Times New Roman" w:cs="Times New Roman"/>
          <w:lang w:eastAsia="de-DE"/>
        </w:rPr>
        <w:t xml:space="preserve"> </w:t>
      </w:r>
      <w:r w:rsidRPr="000A1182">
        <w:rPr>
          <w:rFonts w:eastAsia="Times New Roman" w:cs="Times New Roman"/>
          <w:rtl/>
          <w:lang w:eastAsia="de-DE"/>
        </w:rPr>
        <w:t>וְעֶרְוַ֨ת אֲח֧וֹת אִמְּךָ֛ וַאֲח֥וֹת אָבִ֖יךָ לֹ֣א תְגַלֵּ֑ה כִּ֧י אֶת־שְׁאֵרֹ֛ו הֶעֱרָ֖ה עֲוֹנָ֥ם יִשָּֽׂאוּ׃</w:t>
      </w:r>
    </w:p>
    <w:p w14:paraId="2043808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die Blöße der Schwester deiner Mutter und der Schwester deines Vaters sollst du nicht aufdecken; denn wer das tut, hat seine Blutsverwandten entblößt: sie sollen ihre Schuld tragen.</w:t>
      </w:r>
    </w:p>
    <w:p w14:paraId="58A5B0CD"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213D97B4">
          <v:rect id="_x0000_i1616" style="width:0;height:1.5pt" o:hralign="center" o:hrstd="t" o:hr="t" fillcolor="#a0a0a0" stroked="f"/>
        </w:pict>
      </w:r>
    </w:p>
    <w:p w14:paraId="677C7D70"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וערות אחות אמך ואחות אביך לא תגלה כי את־שארו העריה עונם ישאו</w:t>
      </w:r>
      <w:r w:rsidRPr="000A1182">
        <w:rPr>
          <w:rFonts w:eastAsia="Times New Roman" w:cs="Times New Roman"/>
          <w:rtl/>
          <w:lang w:eastAsia="de-DE"/>
        </w:rPr>
        <w:t xml:space="preserve"> </w:t>
      </w:r>
      <w:r w:rsidRPr="000A1182">
        <w:rPr>
          <w:rFonts w:eastAsia="Times New Roman" w:cs="Times New Roman"/>
          <w:lang w:eastAsia="de-DE"/>
        </w:rPr>
        <w:t xml:space="preserve">verbietet Tanten-Inzest. </w:t>
      </w:r>
      <w:r w:rsidRPr="000A1182">
        <w:rPr>
          <w:rFonts w:eastAsia="Times New Roman" w:cs="Times New Roman"/>
          <w:b/>
          <w:bCs/>
          <w:rtl/>
          <w:lang w:eastAsia="de-DE"/>
        </w:rPr>
        <w:t>וערות אחות אמך ואחות אביך לא תגלה</w:t>
      </w:r>
      <w:r w:rsidRPr="000A1182">
        <w:rPr>
          <w:rFonts w:eastAsia="Times New Roman" w:cs="Times New Roman"/>
          <w:rtl/>
          <w:lang w:eastAsia="de-DE"/>
        </w:rPr>
        <w:t xml:space="preserve"> </w:t>
      </w:r>
      <w:r w:rsidRPr="000A1182">
        <w:rPr>
          <w:rFonts w:eastAsia="Times New Roman" w:cs="Times New Roman"/>
          <w:lang w:eastAsia="de-DE"/>
        </w:rPr>
        <w:t xml:space="preserve">(und die Blöße der Schwester deiner Mutter und der Schwester deines Vaters sollst du nicht aufdecken) entspricht 18,12-13. </w:t>
      </w:r>
      <w:r w:rsidRPr="000A1182">
        <w:rPr>
          <w:rFonts w:eastAsia="Times New Roman" w:cs="Times New Roman"/>
          <w:b/>
          <w:bCs/>
          <w:rtl/>
          <w:lang w:eastAsia="de-DE"/>
        </w:rPr>
        <w:t>אחות אמך ואחות אביך</w:t>
      </w:r>
      <w:r w:rsidRPr="000A1182">
        <w:rPr>
          <w:rFonts w:eastAsia="Times New Roman" w:cs="Times New Roman"/>
          <w:rtl/>
          <w:lang w:eastAsia="de-DE"/>
        </w:rPr>
        <w:t xml:space="preserve"> </w:t>
      </w:r>
      <w:r w:rsidRPr="000A1182">
        <w:rPr>
          <w:rFonts w:eastAsia="Times New Roman" w:cs="Times New Roman"/>
          <w:lang w:eastAsia="de-DE"/>
        </w:rPr>
        <w:t>(Schwester deiner Mutter und Schwester deines Vaters) erfasst beide Seiten der Familie.</w:t>
      </w:r>
    </w:p>
    <w:p w14:paraId="2DE5312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כי את־שארו העריה</w:t>
      </w:r>
      <w:r w:rsidRPr="000A1182">
        <w:rPr>
          <w:rFonts w:eastAsia="Times New Roman" w:cs="Times New Roman"/>
          <w:rtl/>
          <w:lang w:eastAsia="de-DE"/>
        </w:rPr>
        <w:t xml:space="preserve"> </w:t>
      </w:r>
      <w:r w:rsidRPr="000A1182">
        <w:rPr>
          <w:rFonts w:eastAsia="Times New Roman" w:cs="Times New Roman"/>
          <w:lang w:eastAsia="de-DE"/>
        </w:rPr>
        <w:t xml:space="preserve">(denn seine Blutsverwandten hat er entblößt) - </w:t>
      </w:r>
      <w:r w:rsidRPr="000A1182">
        <w:rPr>
          <w:rFonts w:eastAsia="Times New Roman" w:cs="Times New Roman"/>
          <w:b/>
          <w:bCs/>
          <w:rtl/>
          <w:lang w:eastAsia="de-DE"/>
        </w:rPr>
        <w:t>את־שארו</w:t>
      </w:r>
      <w:r w:rsidRPr="000A1182">
        <w:rPr>
          <w:rFonts w:eastAsia="Times New Roman" w:cs="Times New Roman"/>
          <w:rtl/>
          <w:lang w:eastAsia="de-DE"/>
        </w:rPr>
        <w:t xml:space="preserve"> </w:t>
      </w:r>
      <w:r w:rsidRPr="000A1182">
        <w:rPr>
          <w:rFonts w:eastAsia="Times New Roman" w:cs="Times New Roman"/>
          <w:lang w:eastAsia="de-DE"/>
        </w:rPr>
        <w:t xml:space="preserve">(seine Blutsverwandten) - </w:t>
      </w:r>
      <w:r w:rsidRPr="000A1182">
        <w:rPr>
          <w:rFonts w:eastAsia="Times New Roman" w:cs="Times New Roman"/>
          <w:b/>
          <w:bCs/>
          <w:rtl/>
          <w:lang w:eastAsia="de-DE"/>
        </w:rPr>
        <w:t>שאר</w:t>
      </w:r>
      <w:r w:rsidRPr="000A1182">
        <w:rPr>
          <w:rFonts w:eastAsia="Times New Roman" w:cs="Times New Roman"/>
          <w:rtl/>
          <w:lang w:eastAsia="de-DE"/>
        </w:rPr>
        <w:t xml:space="preserve"> </w:t>
      </w:r>
      <w:r w:rsidRPr="000A1182">
        <w:rPr>
          <w:rFonts w:eastAsia="Times New Roman" w:cs="Times New Roman"/>
          <w:lang w:eastAsia="de-DE"/>
        </w:rPr>
        <w:t xml:space="preserve">(Fleisch/Blutsverwandtschaft) zeigt die enge Familienbeziehung. </w:t>
      </w:r>
      <w:r w:rsidRPr="000A1182">
        <w:rPr>
          <w:rFonts w:eastAsia="Times New Roman" w:cs="Times New Roman"/>
          <w:b/>
          <w:bCs/>
          <w:rtl/>
          <w:lang w:eastAsia="de-DE"/>
        </w:rPr>
        <w:t>העריה</w:t>
      </w:r>
      <w:r w:rsidRPr="000A1182">
        <w:rPr>
          <w:rFonts w:eastAsia="Times New Roman" w:cs="Times New Roman"/>
          <w:rtl/>
          <w:lang w:eastAsia="de-DE"/>
        </w:rPr>
        <w:t xml:space="preserve"> </w:t>
      </w:r>
      <w:r w:rsidRPr="000A1182">
        <w:rPr>
          <w:rFonts w:eastAsia="Times New Roman" w:cs="Times New Roman"/>
          <w:lang w:eastAsia="de-DE"/>
        </w:rPr>
        <w:t>(hat entblößt) im Hifil-Perfekt.</w:t>
      </w:r>
    </w:p>
    <w:p w14:paraId="4C9B0AC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עונם ישאו</w:t>
      </w:r>
      <w:r w:rsidRPr="000A1182">
        <w:rPr>
          <w:rFonts w:eastAsia="Times New Roman" w:cs="Times New Roman"/>
          <w:rtl/>
          <w:lang w:eastAsia="de-DE"/>
        </w:rPr>
        <w:t xml:space="preserve"> </w:t>
      </w:r>
      <w:r w:rsidRPr="000A1182">
        <w:rPr>
          <w:rFonts w:eastAsia="Times New Roman" w:cs="Times New Roman"/>
          <w:lang w:eastAsia="de-DE"/>
        </w:rPr>
        <w:t xml:space="preserve">(sie sollen ihre Schuld tragen) - </w:t>
      </w:r>
      <w:r w:rsidRPr="000A1182">
        <w:rPr>
          <w:rFonts w:eastAsia="Times New Roman" w:cs="Times New Roman"/>
          <w:b/>
          <w:bCs/>
          <w:rtl/>
          <w:lang w:eastAsia="de-DE"/>
        </w:rPr>
        <w:t>עונם</w:t>
      </w:r>
      <w:r w:rsidRPr="000A1182">
        <w:rPr>
          <w:rFonts w:eastAsia="Times New Roman" w:cs="Times New Roman"/>
          <w:rtl/>
          <w:lang w:eastAsia="de-DE"/>
        </w:rPr>
        <w:t xml:space="preserve"> </w:t>
      </w:r>
      <w:r w:rsidRPr="000A1182">
        <w:rPr>
          <w:rFonts w:eastAsia="Times New Roman" w:cs="Times New Roman"/>
          <w:lang w:eastAsia="de-DE"/>
        </w:rPr>
        <w:t xml:space="preserve">(ihre Schuld) im Plural, </w:t>
      </w:r>
      <w:r w:rsidRPr="000A1182">
        <w:rPr>
          <w:rFonts w:eastAsia="Times New Roman" w:cs="Times New Roman"/>
          <w:b/>
          <w:bCs/>
          <w:rtl/>
          <w:lang w:eastAsia="de-DE"/>
        </w:rPr>
        <w:t>ישאו</w:t>
      </w:r>
      <w:r w:rsidRPr="000A1182">
        <w:rPr>
          <w:rFonts w:eastAsia="Times New Roman" w:cs="Times New Roman"/>
          <w:rtl/>
          <w:lang w:eastAsia="de-DE"/>
        </w:rPr>
        <w:t xml:space="preserve"> </w:t>
      </w:r>
      <w:r w:rsidRPr="000A1182">
        <w:rPr>
          <w:rFonts w:eastAsia="Times New Roman" w:cs="Times New Roman"/>
          <w:lang w:eastAsia="de-DE"/>
        </w:rPr>
        <w:t>(sollen tragen) im Qal-Imperfekt Plural zeigt Schuldtragung statt spezifischer Strafe.</w:t>
      </w:r>
    </w:p>
    <w:p w14:paraId="72F9E9F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שארו</w:t>
      </w:r>
      <w:r w:rsidRPr="000A1182">
        <w:rPr>
          <w:rFonts w:eastAsia="Times New Roman" w:cs="Times New Roman"/>
          <w:rtl/>
          <w:lang w:eastAsia="de-DE"/>
        </w:rPr>
        <w:t xml:space="preserve"> </w:t>
      </w:r>
      <w:r w:rsidRPr="000A1182">
        <w:rPr>
          <w:rFonts w:eastAsia="Times New Roman" w:cs="Times New Roman"/>
          <w:lang w:eastAsia="de-DE"/>
        </w:rPr>
        <w:t xml:space="preserve">zeigt Tanten als </w:t>
      </w:r>
      <w:r w:rsidRPr="000A1182">
        <w:rPr>
          <w:rFonts w:eastAsia="Times New Roman" w:cs="Times New Roman"/>
          <w:b/>
          <w:bCs/>
          <w:rtl/>
          <w:lang w:eastAsia="de-DE"/>
        </w:rPr>
        <w:t>שאר</w:t>
      </w:r>
      <w:r w:rsidRPr="000A1182">
        <w:rPr>
          <w:rFonts w:eastAsia="Times New Roman" w:cs="Times New Roman"/>
          <w:lang w:eastAsia="de-DE"/>
        </w:rPr>
        <w:t xml:space="preserve">-Verwandtschaft. </w:t>
      </w:r>
      <w:r w:rsidRPr="000A1182">
        <w:rPr>
          <w:rFonts w:eastAsia="Times New Roman" w:cs="Times New Roman"/>
          <w:b/>
          <w:bCs/>
          <w:rtl/>
          <w:lang w:eastAsia="de-DE"/>
        </w:rPr>
        <w:t>העריה</w:t>
      </w:r>
      <w:r w:rsidRPr="000A1182">
        <w:rPr>
          <w:rFonts w:eastAsia="Times New Roman" w:cs="Times New Roman"/>
          <w:rtl/>
          <w:lang w:eastAsia="de-DE"/>
        </w:rPr>
        <w:t xml:space="preserve"> </w:t>
      </w:r>
      <w:r w:rsidRPr="000A1182">
        <w:rPr>
          <w:rFonts w:eastAsia="Times New Roman" w:cs="Times New Roman"/>
          <w:lang w:eastAsia="de-DE"/>
        </w:rPr>
        <w:t xml:space="preserve">zeigt die Verletzung der Blutsverwandtschaft. </w:t>
      </w:r>
      <w:r w:rsidRPr="000A1182">
        <w:rPr>
          <w:rFonts w:eastAsia="Times New Roman" w:cs="Times New Roman"/>
          <w:b/>
          <w:bCs/>
          <w:rtl/>
          <w:lang w:eastAsia="de-DE"/>
        </w:rPr>
        <w:t>עונם ישאו</w:t>
      </w:r>
      <w:r w:rsidRPr="000A1182">
        <w:rPr>
          <w:rFonts w:eastAsia="Times New Roman" w:cs="Times New Roman"/>
          <w:rtl/>
          <w:lang w:eastAsia="de-DE"/>
        </w:rPr>
        <w:t xml:space="preserve"> </w:t>
      </w:r>
      <w:r w:rsidRPr="000A1182">
        <w:rPr>
          <w:rFonts w:eastAsia="Times New Roman" w:cs="Times New Roman"/>
          <w:lang w:eastAsia="de-DE"/>
        </w:rPr>
        <w:t>als mildeste Strafform zeigt Schuldtragung ohne spezifische Vollstreckung.</w:t>
      </w:r>
    </w:p>
    <w:p w14:paraId="7892330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אחות אמך</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ἀδελφὴν</w:t>
      </w:r>
      <w:proofErr w:type="spellEnd"/>
      <w:r w:rsidRPr="000A1182">
        <w:rPr>
          <w:rFonts w:eastAsia="Times New Roman" w:cs="Times New Roman"/>
          <w:lang w:eastAsia="de-DE"/>
        </w:rPr>
        <w:t xml:space="preserve"> </w:t>
      </w:r>
      <w:proofErr w:type="spellStart"/>
      <w:r w:rsidRPr="000A1182">
        <w:rPr>
          <w:rFonts w:eastAsia="Times New Roman" w:cs="Times New Roman"/>
          <w:lang w:eastAsia="de-DE"/>
        </w:rPr>
        <w:t>μητρός</w:t>
      </w:r>
      <w:proofErr w:type="spellEnd"/>
      <w:r w:rsidRPr="000A1182">
        <w:rPr>
          <w:rFonts w:eastAsia="Times New Roman" w:cs="Times New Roman"/>
          <w:lang w:eastAsia="de-DE"/>
        </w:rPr>
        <w:t xml:space="preserve"> </w:t>
      </w:r>
      <w:proofErr w:type="spellStart"/>
      <w:r w:rsidRPr="000A1182">
        <w:rPr>
          <w:rFonts w:eastAsia="Times New Roman" w:cs="Times New Roman"/>
          <w:lang w:eastAsia="de-DE"/>
        </w:rPr>
        <w:t>σου</w:t>
      </w:r>
      <w:proofErr w:type="spellEnd"/>
      <w:r w:rsidRPr="000A1182">
        <w:rPr>
          <w:rFonts w:eastAsia="Times New Roman" w:cs="Times New Roman"/>
          <w:lang w:eastAsia="de-DE"/>
        </w:rPr>
        <w:t xml:space="preserve"> (Schwester deiner Mutter), </w:t>
      </w:r>
      <w:r w:rsidRPr="000A1182">
        <w:rPr>
          <w:rFonts w:eastAsia="Times New Roman" w:cs="Times New Roman"/>
          <w:b/>
          <w:bCs/>
          <w:rtl/>
          <w:lang w:eastAsia="de-DE"/>
        </w:rPr>
        <w:t>שארו</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οἰκεῖον</w:t>
      </w:r>
      <w:proofErr w:type="spellEnd"/>
      <w:r w:rsidRPr="000A1182">
        <w:rPr>
          <w:rFonts w:eastAsia="Times New Roman" w:cs="Times New Roman"/>
          <w:lang w:eastAsia="de-DE"/>
        </w:rPr>
        <w:t xml:space="preserve"> α</w:t>
      </w:r>
      <w:proofErr w:type="spellStart"/>
      <w:r w:rsidRPr="000A1182">
        <w:rPr>
          <w:rFonts w:eastAsia="Times New Roman" w:cs="Times New Roman"/>
          <w:lang w:eastAsia="de-DE"/>
        </w:rPr>
        <w:t>ὐτοῦ</w:t>
      </w:r>
      <w:proofErr w:type="spellEnd"/>
      <w:r w:rsidRPr="000A1182">
        <w:rPr>
          <w:rFonts w:eastAsia="Times New Roman" w:cs="Times New Roman"/>
          <w:lang w:eastAsia="de-DE"/>
        </w:rPr>
        <w:t xml:space="preserve"> (seinen Verwandten), </w:t>
      </w:r>
      <w:r w:rsidRPr="000A1182">
        <w:rPr>
          <w:rFonts w:eastAsia="Times New Roman" w:cs="Times New Roman"/>
          <w:b/>
          <w:bCs/>
          <w:rtl/>
          <w:lang w:eastAsia="de-DE"/>
        </w:rPr>
        <w:t>העריה</w:t>
      </w:r>
      <w:r w:rsidRPr="000A1182">
        <w:rPr>
          <w:rFonts w:eastAsia="Times New Roman" w:cs="Times New Roman"/>
          <w:rtl/>
          <w:lang w:eastAsia="de-DE"/>
        </w:rPr>
        <w:t xml:space="preserve"> </w:t>
      </w:r>
      <w:r w:rsidRPr="000A1182">
        <w:rPr>
          <w:rFonts w:eastAsia="Times New Roman" w:cs="Times New Roman"/>
          <w:lang w:eastAsia="de-DE"/>
        </w:rPr>
        <w:t>mit ἀπ</w:t>
      </w:r>
      <w:proofErr w:type="spellStart"/>
      <w:r w:rsidRPr="000A1182">
        <w:rPr>
          <w:rFonts w:eastAsia="Times New Roman" w:cs="Times New Roman"/>
          <w:lang w:eastAsia="de-DE"/>
        </w:rPr>
        <w:t>εκάλυψεν</w:t>
      </w:r>
      <w:proofErr w:type="spellEnd"/>
      <w:r w:rsidRPr="000A1182">
        <w:rPr>
          <w:rFonts w:eastAsia="Times New Roman" w:cs="Times New Roman"/>
          <w:lang w:eastAsia="de-DE"/>
        </w:rPr>
        <w:t xml:space="preserve"> (hat aufgedeckt) und </w:t>
      </w:r>
      <w:r w:rsidRPr="000A1182">
        <w:rPr>
          <w:rFonts w:eastAsia="Times New Roman" w:cs="Times New Roman"/>
          <w:b/>
          <w:bCs/>
          <w:rtl/>
          <w:lang w:eastAsia="de-DE"/>
        </w:rPr>
        <w:t>עונם ישאו</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ἁμ</w:t>
      </w:r>
      <w:proofErr w:type="spellEnd"/>
      <w:r w:rsidRPr="000A1182">
        <w:rPr>
          <w:rFonts w:eastAsia="Times New Roman" w:cs="Times New Roman"/>
          <w:lang w:eastAsia="de-DE"/>
        </w:rPr>
        <w:t xml:space="preserve">αρτίαν </w:t>
      </w:r>
      <w:proofErr w:type="spellStart"/>
      <w:r w:rsidRPr="000A1182">
        <w:rPr>
          <w:rFonts w:eastAsia="Times New Roman" w:cs="Times New Roman"/>
          <w:lang w:eastAsia="de-DE"/>
        </w:rPr>
        <w:t>λήμψοντ</w:t>
      </w:r>
      <w:proofErr w:type="spellEnd"/>
      <w:r w:rsidRPr="000A1182">
        <w:rPr>
          <w:rFonts w:eastAsia="Times New Roman" w:cs="Times New Roman"/>
          <w:lang w:eastAsia="de-DE"/>
        </w:rPr>
        <w:t>αι (werden Sünde nehmen).</w:t>
      </w:r>
    </w:p>
    <w:p w14:paraId="1BBC5C4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Tanten-Inzest-Verbot: beidseitige Tantenaufzählung + Entblößungsverbot + Blutsverwandtschaftsverletzung + Schuldtragung.</w:t>
      </w:r>
    </w:p>
    <w:p w14:paraId="242DB7D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verbietet Tanten-Inzest als </w:t>
      </w:r>
      <w:r w:rsidRPr="000A1182">
        <w:rPr>
          <w:rFonts w:eastAsia="Times New Roman" w:cs="Times New Roman"/>
          <w:b/>
          <w:bCs/>
          <w:rtl/>
          <w:lang w:eastAsia="de-DE"/>
        </w:rPr>
        <w:t>שאר</w:t>
      </w:r>
      <w:r w:rsidRPr="000A1182">
        <w:rPr>
          <w:rFonts w:eastAsia="Times New Roman" w:cs="Times New Roman"/>
          <w:lang w:eastAsia="de-DE"/>
        </w:rPr>
        <w:t>-Verwandtschaftsverletzung mit unspezifischer Schuldtragung.</w:t>
      </w:r>
    </w:p>
    <w:p w14:paraId="08F2599F"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20,20</w:t>
      </w:r>
    </w:p>
    <w:p w14:paraId="5464EA2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יִשְׁכַּב֙ אֶת־דֹּ֣דָתוֹ֔ עֶרְוַ֥ת דֹּדֹ֖ו גִּלָּ֑ה חֶטְאָ֥ם יִשָּׂ֖אוּ עֲרִירִ֥ים יָמֻֽתוּ׃</w:t>
      </w:r>
    </w:p>
    <w:p w14:paraId="3E7889C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bei der Frau seines Onkels liegt, hat er die Blöße seines Onkels aufgedeckt; sie sollen ihre Sünde tragen, kinderlos sollen sie sterben.</w:t>
      </w:r>
    </w:p>
    <w:p w14:paraId="314A716F"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52F1A670">
          <v:rect id="_x0000_i1617" style="width:0;height:1.5pt" o:hralign="center" o:hrstd="t" o:hr="t" fillcolor="#a0a0a0" stroked="f"/>
        </w:pict>
      </w:r>
    </w:p>
    <w:p w14:paraId="0FEE768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ישכב את־דדתו ערות דדו גלה חטאם ישאו ערירים ימתו</w:t>
      </w:r>
      <w:r w:rsidRPr="000A1182">
        <w:rPr>
          <w:rFonts w:eastAsia="Times New Roman" w:cs="Times New Roman"/>
          <w:rtl/>
          <w:lang w:eastAsia="de-DE"/>
        </w:rPr>
        <w:t xml:space="preserve"> </w:t>
      </w:r>
      <w:r w:rsidRPr="000A1182">
        <w:rPr>
          <w:rFonts w:eastAsia="Times New Roman" w:cs="Times New Roman"/>
          <w:lang w:eastAsia="de-DE"/>
        </w:rPr>
        <w:t xml:space="preserve">bestraft Tanten-Inzest. </w:t>
      </w:r>
      <w:r w:rsidRPr="000A1182">
        <w:rPr>
          <w:rFonts w:eastAsia="Times New Roman" w:cs="Times New Roman"/>
          <w:b/>
          <w:bCs/>
          <w:rtl/>
          <w:lang w:eastAsia="de-DE"/>
        </w:rPr>
        <w:t>ואיש אשר ישכב את־דדתו</w:t>
      </w:r>
      <w:r w:rsidRPr="000A1182">
        <w:rPr>
          <w:rFonts w:eastAsia="Times New Roman" w:cs="Times New Roman"/>
          <w:rtl/>
          <w:lang w:eastAsia="de-DE"/>
        </w:rPr>
        <w:t xml:space="preserve"> </w:t>
      </w:r>
      <w:r w:rsidRPr="000A1182">
        <w:rPr>
          <w:rFonts w:eastAsia="Times New Roman" w:cs="Times New Roman"/>
          <w:lang w:eastAsia="de-DE"/>
        </w:rPr>
        <w:t xml:space="preserve">(und wenn ein Mann bei der Frau seines Onkels liegt) entspricht 18,14. </w:t>
      </w:r>
      <w:r w:rsidRPr="000A1182">
        <w:rPr>
          <w:rFonts w:eastAsia="Times New Roman" w:cs="Times New Roman"/>
          <w:b/>
          <w:bCs/>
          <w:rtl/>
          <w:lang w:eastAsia="de-DE"/>
        </w:rPr>
        <w:t>דדתו</w:t>
      </w:r>
      <w:r w:rsidRPr="000A1182">
        <w:rPr>
          <w:rFonts w:eastAsia="Times New Roman" w:cs="Times New Roman"/>
          <w:rtl/>
          <w:lang w:eastAsia="de-DE"/>
        </w:rPr>
        <w:t xml:space="preserve"> </w:t>
      </w:r>
      <w:r w:rsidRPr="000A1182">
        <w:rPr>
          <w:rFonts w:eastAsia="Times New Roman" w:cs="Times New Roman"/>
          <w:lang w:eastAsia="de-DE"/>
        </w:rPr>
        <w:t>(Frau seines Onkels) als Ehefrau des väterlichen Onkels.</w:t>
      </w:r>
    </w:p>
    <w:p w14:paraId="4A45222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lastRenderedPageBreak/>
        <w:t>ערות דדו גלה</w:t>
      </w:r>
      <w:r w:rsidRPr="000A1182">
        <w:rPr>
          <w:rFonts w:eastAsia="Times New Roman" w:cs="Times New Roman"/>
          <w:rtl/>
          <w:lang w:eastAsia="de-DE"/>
        </w:rPr>
        <w:t xml:space="preserve"> </w:t>
      </w:r>
      <w:r w:rsidRPr="000A1182">
        <w:rPr>
          <w:rFonts w:eastAsia="Times New Roman" w:cs="Times New Roman"/>
          <w:lang w:eastAsia="de-DE"/>
        </w:rPr>
        <w:t xml:space="preserve">(hat die Blöße seines Onkels aufgedeckt) zeigt die Verletzung der Onkelsehre parallel zu V. 11. </w:t>
      </w:r>
      <w:r w:rsidRPr="000A1182">
        <w:rPr>
          <w:rFonts w:eastAsia="Times New Roman" w:cs="Times New Roman"/>
          <w:b/>
          <w:bCs/>
          <w:rtl/>
          <w:lang w:eastAsia="de-DE"/>
        </w:rPr>
        <w:t>חטאם ישאו</w:t>
      </w:r>
      <w:r w:rsidRPr="000A1182">
        <w:rPr>
          <w:rFonts w:eastAsia="Times New Roman" w:cs="Times New Roman"/>
          <w:rtl/>
          <w:lang w:eastAsia="de-DE"/>
        </w:rPr>
        <w:t xml:space="preserve"> </w:t>
      </w:r>
      <w:r w:rsidRPr="000A1182">
        <w:rPr>
          <w:rFonts w:eastAsia="Times New Roman" w:cs="Times New Roman"/>
          <w:lang w:eastAsia="de-DE"/>
        </w:rPr>
        <w:t xml:space="preserve">(sie sollen ihre Sünde tragen) - </w:t>
      </w:r>
      <w:r w:rsidRPr="000A1182">
        <w:rPr>
          <w:rFonts w:eastAsia="Times New Roman" w:cs="Times New Roman"/>
          <w:b/>
          <w:bCs/>
          <w:rtl/>
          <w:lang w:eastAsia="de-DE"/>
        </w:rPr>
        <w:t>חטאם</w:t>
      </w:r>
      <w:r w:rsidRPr="000A1182">
        <w:rPr>
          <w:rFonts w:eastAsia="Times New Roman" w:cs="Times New Roman"/>
          <w:rtl/>
          <w:lang w:eastAsia="de-DE"/>
        </w:rPr>
        <w:t xml:space="preserve"> </w:t>
      </w:r>
      <w:r w:rsidRPr="000A1182">
        <w:rPr>
          <w:rFonts w:eastAsia="Times New Roman" w:cs="Times New Roman"/>
          <w:lang w:eastAsia="de-DE"/>
        </w:rPr>
        <w:t xml:space="preserve">(ihre Sünde) zeigt gemeinsame Schuld, </w:t>
      </w:r>
      <w:r w:rsidRPr="000A1182">
        <w:rPr>
          <w:rFonts w:eastAsia="Times New Roman" w:cs="Times New Roman"/>
          <w:b/>
          <w:bCs/>
          <w:rtl/>
          <w:lang w:eastAsia="de-DE"/>
        </w:rPr>
        <w:t>ישאו</w:t>
      </w:r>
      <w:r w:rsidRPr="000A1182">
        <w:rPr>
          <w:rFonts w:eastAsia="Times New Roman" w:cs="Times New Roman"/>
          <w:rtl/>
          <w:lang w:eastAsia="de-DE"/>
        </w:rPr>
        <w:t xml:space="preserve"> </w:t>
      </w:r>
      <w:r w:rsidRPr="000A1182">
        <w:rPr>
          <w:rFonts w:eastAsia="Times New Roman" w:cs="Times New Roman"/>
          <w:lang w:eastAsia="de-DE"/>
        </w:rPr>
        <w:t>(sollen tragen) im Qal-Imperfekt Plural.</w:t>
      </w:r>
    </w:p>
    <w:p w14:paraId="593B421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ערירים ימתו</w:t>
      </w:r>
      <w:r w:rsidRPr="000A1182">
        <w:rPr>
          <w:rFonts w:eastAsia="Times New Roman" w:cs="Times New Roman"/>
          <w:rtl/>
          <w:lang w:eastAsia="de-DE"/>
        </w:rPr>
        <w:t xml:space="preserve"> </w:t>
      </w:r>
      <w:r w:rsidRPr="000A1182">
        <w:rPr>
          <w:rFonts w:eastAsia="Times New Roman" w:cs="Times New Roman"/>
          <w:lang w:eastAsia="de-DE"/>
        </w:rPr>
        <w:t xml:space="preserve">(kinderlos sollen sie sterben) - </w:t>
      </w:r>
      <w:r w:rsidRPr="000A1182">
        <w:rPr>
          <w:rFonts w:eastAsia="Times New Roman" w:cs="Times New Roman"/>
          <w:b/>
          <w:bCs/>
          <w:rtl/>
          <w:lang w:eastAsia="de-DE"/>
        </w:rPr>
        <w:t>ערירים</w:t>
      </w:r>
      <w:r w:rsidRPr="000A1182">
        <w:rPr>
          <w:rFonts w:eastAsia="Times New Roman" w:cs="Times New Roman"/>
          <w:rtl/>
          <w:lang w:eastAsia="de-DE"/>
        </w:rPr>
        <w:t xml:space="preserve"> </w:t>
      </w:r>
      <w:r w:rsidRPr="000A1182">
        <w:rPr>
          <w:rFonts w:eastAsia="Times New Roman" w:cs="Times New Roman"/>
          <w:lang w:eastAsia="de-DE"/>
        </w:rPr>
        <w:t xml:space="preserve">(kinderlos) als spezifische Strafe: natürlicher Tod ohne Nachkommen. </w:t>
      </w:r>
      <w:r w:rsidRPr="000A1182">
        <w:rPr>
          <w:rFonts w:eastAsia="Times New Roman" w:cs="Times New Roman"/>
          <w:b/>
          <w:bCs/>
          <w:rtl/>
          <w:lang w:eastAsia="de-DE"/>
        </w:rPr>
        <w:t>ימתו</w:t>
      </w:r>
      <w:r w:rsidRPr="000A1182">
        <w:rPr>
          <w:rFonts w:eastAsia="Times New Roman" w:cs="Times New Roman"/>
          <w:rtl/>
          <w:lang w:eastAsia="de-DE"/>
        </w:rPr>
        <w:t xml:space="preserve"> </w:t>
      </w:r>
      <w:r w:rsidRPr="000A1182">
        <w:rPr>
          <w:rFonts w:eastAsia="Times New Roman" w:cs="Times New Roman"/>
          <w:lang w:eastAsia="de-DE"/>
        </w:rPr>
        <w:t>(sollen sterben) im Qal-Imperfekt zeigt natürlichen Tod.</w:t>
      </w:r>
    </w:p>
    <w:p w14:paraId="5162B6E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ערות דדו גלה</w:t>
      </w:r>
      <w:r w:rsidRPr="000A1182">
        <w:rPr>
          <w:rFonts w:eastAsia="Times New Roman" w:cs="Times New Roman"/>
          <w:rtl/>
          <w:lang w:eastAsia="de-DE"/>
        </w:rPr>
        <w:t xml:space="preserve"> </w:t>
      </w:r>
      <w:r w:rsidRPr="000A1182">
        <w:rPr>
          <w:rFonts w:eastAsia="Times New Roman" w:cs="Times New Roman"/>
          <w:lang w:eastAsia="de-DE"/>
        </w:rPr>
        <w:t xml:space="preserve">zeigt Verletzung der Onkelsehre. </w:t>
      </w:r>
      <w:r w:rsidRPr="000A1182">
        <w:rPr>
          <w:rFonts w:eastAsia="Times New Roman" w:cs="Times New Roman"/>
          <w:b/>
          <w:bCs/>
          <w:rtl/>
          <w:lang w:eastAsia="de-DE"/>
        </w:rPr>
        <w:t>חטאם</w:t>
      </w:r>
      <w:r w:rsidRPr="000A1182">
        <w:rPr>
          <w:rFonts w:eastAsia="Times New Roman" w:cs="Times New Roman"/>
          <w:rtl/>
          <w:lang w:eastAsia="de-DE"/>
        </w:rPr>
        <w:t xml:space="preserve"> </w:t>
      </w:r>
      <w:r w:rsidRPr="000A1182">
        <w:rPr>
          <w:rFonts w:eastAsia="Times New Roman" w:cs="Times New Roman"/>
          <w:lang w:eastAsia="de-DE"/>
        </w:rPr>
        <w:t xml:space="preserve">als </w:t>
      </w:r>
      <w:r w:rsidRPr="000A1182">
        <w:rPr>
          <w:rFonts w:eastAsia="Times New Roman" w:cs="Times New Roman"/>
          <w:b/>
          <w:bCs/>
          <w:rtl/>
          <w:lang w:eastAsia="de-DE"/>
        </w:rPr>
        <w:t>חטא</w:t>
      </w:r>
      <w:r w:rsidRPr="000A1182">
        <w:rPr>
          <w:rFonts w:eastAsia="Times New Roman" w:cs="Times New Roman"/>
          <w:rtl/>
          <w:lang w:eastAsia="de-DE"/>
        </w:rPr>
        <w:t xml:space="preserve"> </w:t>
      </w:r>
      <w:r w:rsidRPr="000A1182">
        <w:rPr>
          <w:rFonts w:eastAsia="Times New Roman" w:cs="Times New Roman"/>
          <w:lang w:eastAsia="de-DE"/>
        </w:rPr>
        <w:t xml:space="preserve">(Sünde) vs. </w:t>
      </w:r>
      <w:r w:rsidRPr="000A1182">
        <w:rPr>
          <w:rFonts w:eastAsia="Times New Roman" w:cs="Times New Roman"/>
          <w:b/>
          <w:bCs/>
          <w:rtl/>
          <w:lang w:eastAsia="de-DE"/>
        </w:rPr>
        <w:t>עון</w:t>
      </w:r>
      <w:r w:rsidRPr="000A1182">
        <w:rPr>
          <w:rFonts w:eastAsia="Times New Roman" w:cs="Times New Roman"/>
          <w:rtl/>
          <w:lang w:eastAsia="de-DE"/>
        </w:rPr>
        <w:t xml:space="preserve"> </w:t>
      </w:r>
      <w:r w:rsidRPr="000A1182">
        <w:rPr>
          <w:rFonts w:eastAsia="Times New Roman" w:cs="Times New Roman"/>
          <w:lang w:eastAsia="de-DE"/>
        </w:rPr>
        <w:t xml:space="preserve">aus V. 19. </w:t>
      </w:r>
      <w:r w:rsidRPr="000A1182">
        <w:rPr>
          <w:rFonts w:eastAsia="Times New Roman" w:cs="Times New Roman"/>
          <w:b/>
          <w:bCs/>
          <w:rtl/>
          <w:lang w:eastAsia="de-DE"/>
        </w:rPr>
        <w:t>ערירים ימתו</w:t>
      </w:r>
      <w:r w:rsidRPr="000A1182">
        <w:rPr>
          <w:rFonts w:eastAsia="Times New Roman" w:cs="Times New Roman"/>
          <w:rtl/>
          <w:lang w:eastAsia="de-DE"/>
        </w:rPr>
        <w:t xml:space="preserve"> </w:t>
      </w:r>
      <w:r w:rsidRPr="000A1182">
        <w:rPr>
          <w:rFonts w:eastAsia="Times New Roman" w:cs="Times New Roman"/>
          <w:lang w:eastAsia="de-DE"/>
        </w:rPr>
        <w:t>als spezifische göttliche Strafe: Kinderlosigkeit und natürlicher Tod.</w:t>
      </w:r>
    </w:p>
    <w:p w14:paraId="5310B51B" w14:textId="57C5D378"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Vers 20-21 </w:t>
      </w:r>
      <w:r w:rsidR="004F25E8">
        <w:rPr>
          <w:rtl/>
        </w:rPr>
        <w:t>עריר</w:t>
      </w:r>
      <w:r w:rsidR="004F25E8">
        <w:t xml:space="preserve"> (</w:t>
      </w:r>
      <w:proofErr w:type="spellStart"/>
      <w:r w:rsidR="004F25E8">
        <w:t>ariri</w:t>
      </w:r>
      <w:proofErr w:type="spellEnd"/>
      <w:r w:rsidR="004F25E8">
        <w:t xml:space="preserve"> - "kinderlos") als </w:t>
      </w:r>
      <w:proofErr w:type="spellStart"/>
      <w:r w:rsidR="004F25E8">
        <w:t>ἄτεκνοι</w:t>
      </w:r>
      <w:proofErr w:type="spellEnd"/>
      <w:r w:rsidR="004F25E8">
        <w:t xml:space="preserve"> (kinderlos), aber fügt ἀπ</w:t>
      </w:r>
      <w:proofErr w:type="spellStart"/>
      <w:r w:rsidR="004F25E8">
        <w:t>οθ</w:t>
      </w:r>
      <w:proofErr w:type="spellEnd"/>
      <w:r w:rsidR="004F25E8">
        <w:t>ανοῦνται (sie werden sterben) hinzu, was im Hebräischen nicht explizit steht.</w:t>
      </w:r>
    </w:p>
    <w:p w14:paraId="4300B52F" w14:textId="30E52BFC"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Onkelstanten-Inzest-Bestrafung: Verkehr mit </w:t>
      </w:r>
      <w:r w:rsidR="0047575E">
        <w:rPr>
          <w:rFonts w:eastAsia="Times New Roman" w:cs="Times New Roman"/>
          <w:lang w:eastAsia="de-DE"/>
        </w:rPr>
        <w:t>Onkels Frau</w:t>
      </w:r>
      <w:r w:rsidRPr="000A1182">
        <w:rPr>
          <w:rFonts w:eastAsia="Times New Roman" w:cs="Times New Roman"/>
          <w:lang w:eastAsia="de-DE"/>
        </w:rPr>
        <w:t xml:space="preserve"> + Onkelsehrverletzung + Sündentragung + Kinderlosigkeit als Strafe.</w:t>
      </w:r>
    </w:p>
    <w:p w14:paraId="0D33A6E4" w14:textId="29BF7089"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Dieser Vers bestraft Inzest mit der </w:t>
      </w:r>
      <w:r w:rsidR="0047575E">
        <w:rPr>
          <w:rFonts w:eastAsia="Times New Roman" w:cs="Times New Roman"/>
          <w:lang w:eastAsia="de-DE"/>
        </w:rPr>
        <w:t>Onkels Frau</w:t>
      </w:r>
      <w:r w:rsidRPr="000A1182">
        <w:rPr>
          <w:rFonts w:eastAsia="Times New Roman" w:cs="Times New Roman"/>
          <w:lang w:eastAsia="de-DE"/>
        </w:rPr>
        <w:t xml:space="preserve"> als Ehrverletzung mit Kinderlosigkeit und natürlichem Tod.</w:t>
      </w:r>
    </w:p>
    <w:p w14:paraId="11963200"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20,21</w:t>
      </w:r>
    </w:p>
    <w:p w14:paraId="4A08F42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אֲשֶׁ֥ר יִקַּ֛ח אֶת־אֵ֥שֶׁת אָחִ֖יו נִדָּ֣ה הִ֑וא עֶרְוַ֥ת אָחִ֛יו גִּלָּ֖ה עֲרִירִ֥ים יִהְיֽוּ׃</w:t>
      </w:r>
    </w:p>
    <w:p w14:paraId="548C5BC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ein Mann die Frau seines Bruders nimmt: das ist eine Unreinheit; er hat die Blöße seines Bruders aufgedeckt, sie sollen kinderlos sein.</w:t>
      </w:r>
    </w:p>
    <w:p w14:paraId="27AAD889"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1B8AEC8F">
          <v:rect id="_x0000_i1618" style="width:0;height:1.5pt" o:hralign="center" o:hrstd="t" o:hr="t" fillcolor="#a0a0a0" stroked="f"/>
        </w:pict>
      </w:r>
    </w:p>
    <w:p w14:paraId="6041CC6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ואיש אשר יקח את־אשת אחיו נדה הוא ערות אחיו גלה ערירים יהיו</w:t>
      </w:r>
      <w:r w:rsidRPr="000A1182">
        <w:rPr>
          <w:rFonts w:eastAsia="Times New Roman" w:cs="Times New Roman"/>
          <w:rtl/>
          <w:lang w:eastAsia="de-DE"/>
        </w:rPr>
        <w:t xml:space="preserve"> </w:t>
      </w:r>
      <w:r w:rsidRPr="000A1182">
        <w:rPr>
          <w:rFonts w:eastAsia="Times New Roman" w:cs="Times New Roman"/>
          <w:lang w:eastAsia="de-DE"/>
        </w:rPr>
        <w:t xml:space="preserve">bestraft Schwägerin-Inzest. </w:t>
      </w:r>
      <w:r w:rsidRPr="000A1182">
        <w:rPr>
          <w:rFonts w:eastAsia="Times New Roman" w:cs="Times New Roman"/>
          <w:b/>
          <w:bCs/>
          <w:rtl/>
          <w:lang w:eastAsia="de-DE"/>
        </w:rPr>
        <w:t>ואיש אשר יקח את־אשת אחיו</w:t>
      </w:r>
      <w:r w:rsidRPr="000A1182">
        <w:rPr>
          <w:rFonts w:eastAsia="Times New Roman" w:cs="Times New Roman"/>
          <w:rtl/>
          <w:lang w:eastAsia="de-DE"/>
        </w:rPr>
        <w:t xml:space="preserve"> </w:t>
      </w:r>
      <w:r w:rsidRPr="000A1182">
        <w:rPr>
          <w:rFonts w:eastAsia="Times New Roman" w:cs="Times New Roman"/>
          <w:lang w:eastAsia="de-DE"/>
        </w:rPr>
        <w:t xml:space="preserve">(und wenn ein Mann die Frau seines Bruders nimmt) entspricht 18,16. </w:t>
      </w:r>
      <w:r w:rsidRPr="000A1182">
        <w:rPr>
          <w:rFonts w:eastAsia="Times New Roman" w:cs="Times New Roman"/>
          <w:b/>
          <w:bCs/>
          <w:rtl/>
          <w:lang w:eastAsia="de-DE"/>
        </w:rPr>
        <w:t>יקח</w:t>
      </w:r>
      <w:r w:rsidRPr="000A1182">
        <w:rPr>
          <w:rFonts w:eastAsia="Times New Roman" w:cs="Times New Roman"/>
          <w:rtl/>
          <w:lang w:eastAsia="de-DE"/>
        </w:rPr>
        <w:t xml:space="preserve"> </w:t>
      </w:r>
      <w:r w:rsidRPr="000A1182">
        <w:rPr>
          <w:rFonts w:eastAsia="Times New Roman" w:cs="Times New Roman"/>
          <w:lang w:eastAsia="de-DE"/>
        </w:rPr>
        <w:t xml:space="preserve">(nimmt) zeigt Heirat, </w:t>
      </w:r>
      <w:r w:rsidRPr="000A1182">
        <w:rPr>
          <w:rFonts w:eastAsia="Times New Roman" w:cs="Times New Roman"/>
          <w:b/>
          <w:bCs/>
          <w:rtl/>
          <w:lang w:eastAsia="de-DE"/>
        </w:rPr>
        <w:t>אשת אחיו</w:t>
      </w:r>
      <w:r w:rsidRPr="000A1182">
        <w:rPr>
          <w:rFonts w:eastAsia="Times New Roman" w:cs="Times New Roman"/>
          <w:rtl/>
          <w:lang w:eastAsia="de-DE"/>
        </w:rPr>
        <w:t xml:space="preserve"> </w:t>
      </w:r>
      <w:r w:rsidRPr="000A1182">
        <w:rPr>
          <w:rFonts w:eastAsia="Times New Roman" w:cs="Times New Roman"/>
          <w:lang w:eastAsia="de-DE"/>
        </w:rPr>
        <w:t>(Frau seines Bruders) als Schwägerin.</w:t>
      </w:r>
    </w:p>
    <w:p w14:paraId="574C1E1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נדה הוא</w:t>
      </w:r>
      <w:r w:rsidRPr="000A1182">
        <w:rPr>
          <w:rFonts w:eastAsia="Times New Roman" w:cs="Times New Roman"/>
          <w:rtl/>
          <w:lang w:eastAsia="de-DE"/>
        </w:rPr>
        <w:t xml:space="preserve"> </w:t>
      </w:r>
      <w:r w:rsidRPr="000A1182">
        <w:rPr>
          <w:rFonts w:eastAsia="Times New Roman" w:cs="Times New Roman"/>
          <w:lang w:eastAsia="de-DE"/>
        </w:rPr>
        <w:t xml:space="preserve">(das ist eine Unreinheit) - </w:t>
      </w:r>
      <w:r w:rsidRPr="000A1182">
        <w:rPr>
          <w:rFonts w:eastAsia="Times New Roman" w:cs="Times New Roman"/>
          <w:b/>
          <w:bCs/>
          <w:rtl/>
          <w:lang w:eastAsia="de-DE"/>
        </w:rPr>
        <w:t>נדה</w:t>
      </w:r>
      <w:r w:rsidRPr="000A1182">
        <w:rPr>
          <w:rFonts w:eastAsia="Times New Roman" w:cs="Times New Roman"/>
          <w:rtl/>
          <w:lang w:eastAsia="de-DE"/>
        </w:rPr>
        <w:t xml:space="preserve"> </w:t>
      </w:r>
      <w:r w:rsidRPr="000A1182">
        <w:rPr>
          <w:rFonts w:eastAsia="Times New Roman" w:cs="Times New Roman"/>
          <w:lang w:eastAsia="de-DE"/>
        </w:rPr>
        <w:t xml:space="preserve">(Unreinheit) als moralische Qualifikation, verwendet normalerweise für rituelle Menstruationsunreinheit. </w:t>
      </w:r>
      <w:r w:rsidRPr="000A1182">
        <w:rPr>
          <w:rFonts w:eastAsia="Times New Roman" w:cs="Times New Roman"/>
          <w:b/>
          <w:bCs/>
          <w:rtl/>
          <w:lang w:eastAsia="de-DE"/>
        </w:rPr>
        <w:t>ערות אחיו גלה</w:t>
      </w:r>
      <w:r w:rsidRPr="000A1182">
        <w:rPr>
          <w:rFonts w:eastAsia="Times New Roman" w:cs="Times New Roman"/>
          <w:rtl/>
          <w:lang w:eastAsia="de-DE"/>
        </w:rPr>
        <w:t xml:space="preserve"> </w:t>
      </w:r>
      <w:r w:rsidRPr="000A1182">
        <w:rPr>
          <w:rFonts w:eastAsia="Times New Roman" w:cs="Times New Roman"/>
          <w:lang w:eastAsia="de-DE"/>
        </w:rPr>
        <w:t>(er hat die Blöße seines Bruders aufgedeckt) entspricht der Begründung in V. 11 und 20.</w:t>
      </w:r>
    </w:p>
    <w:p w14:paraId="1E2BC79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ערירים יהיו</w:t>
      </w:r>
      <w:r w:rsidRPr="000A1182">
        <w:rPr>
          <w:rFonts w:eastAsia="Times New Roman" w:cs="Times New Roman"/>
          <w:rtl/>
          <w:lang w:eastAsia="de-DE"/>
        </w:rPr>
        <w:t xml:space="preserve"> </w:t>
      </w:r>
      <w:r w:rsidRPr="000A1182">
        <w:rPr>
          <w:rFonts w:eastAsia="Times New Roman" w:cs="Times New Roman"/>
          <w:lang w:eastAsia="de-DE"/>
        </w:rPr>
        <w:t xml:space="preserve">(sie sollen kinderlos sein) entspricht V. 20, aber </w:t>
      </w:r>
      <w:r w:rsidRPr="000A1182">
        <w:rPr>
          <w:rFonts w:eastAsia="Times New Roman" w:cs="Times New Roman"/>
          <w:b/>
          <w:bCs/>
          <w:rtl/>
          <w:lang w:eastAsia="de-DE"/>
        </w:rPr>
        <w:t>יהיו</w:t>
      </w:r>
      <w:r w:rsidRPr="000A1182">
        <w:rPr>
          <w:rFonts w:eastAsia="Times New Roman" w:cs="Times New Roman"/>
          <w:rtl/>
          <w:lang w:eastAsia="de-DE"/>
        </w:rPr>
        <w:t xml:space="preserve"> </w:t>
      </w:r>
      <w:r w:rsidRPr="000A1182">
        <w:rPr>
          <w:rFonts w:eastAsia="Times New Roman" w:cs="Times New Roman"/>
          <w:lang w:eastAsia="de-DE"/>
        </w:rPr>
        <w:t xml:space="preserve">(sollen sein) im Qal-Imperfekt zeigt dauerhaften Zustand vs. </w:t>
      </w:r>
      <w:r w:rsidRPr="000A1182">
        <w:rPr>
          <w:rFonts w:eastAsia="Times New Roman" w:cs="Times New Roman"/>
          <w:b/>
          <w:bCs/>
          <w:rtl/>
          <w:lang w:eastAsia="de-DE"/>
        </w:rPr>
        <w:t>ימתו</w:t>
      </w:r>
      <w:r w:rsidRPr="000A1182">
        <w:rPr>
          <w:rFonts w:eastAsia="Times New Roman" w:cs="Times New Roman"/>
          <w:rtl/>
          <w:lang w:eastAsia="de-DE"/>
        </w:rPr>
        <w:t xml:space="preserve"> </w:t>
      </w:r>
      <w:r w:rsidRPr="000A1182">
        <w:rPr>
          <w:rFonts w:eastAsia="Times New Roman" w:cs="Times New Roman"/>
          <w:lang w:eastAsia="de-DE"/>
        </w:rPr>
        <w:t>(sollen sterben).</w:t>
      </w:r>
    </w:p>
    <w:p w14:paraId="109537F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נדה</w:t>
      </w:r>
      <w:r w:rsidRPr="000A1182">
        <w:rPr>
          <w:rFonts w:eastAsia="Times New Roman" w:cs="Times New Roman"/>
          <w:rtl/>
          <w:lang w:eastAsia="de-DE"/>
        </w:rPr>
        <w:t xml:space="preserve"> </w:t>
      </w:r>
      <w:r w:rsidRPr="000A1182">
        <w:rPr>
          <w:rFonts w:eastAsia="Times New Roman" w:cs="Times New Roman"/>
          <w:lang w:eastAsia="de-DE"/>
        </w:rPr>
        <w:t xml:space="preserve">als ungewöhnliche Verwendung für moralische statt rituelle Unreinheit. </w:t>
      </w:r>
      <w:r w:rsidRPr="000A1182">
        <w:rPr>
          <w:rFonts w:eastAsia="Times New Roman" w:cs="Times New Roman"/>
          <w:b/>
          <w:bCs/>
          <w:rtl/>
          <w:lang w:eastAsia="de-DE"/>
        </w:rPr>
        <w:t>ערות אחיו גלה</w:t>
      </w:r>
      <w:r w:rsidRPr="000A1182">
        <w:rPr>
          <w:rFonts w:eastAsia="Times New Roman" w:cs="Times New Roman"/>
          <w:rtl/>
          <w:lang w:eastAsia="de-DE"/>
        </w:rPr>
        <w:t xml:space="preserve"> </w:t>
      </w:r>
      <w:r w:rsidRPr="000A1182">
        <w:rPr>
          <w:rFonts w:eastAsia="Times New Roman" w:cs="Times New Roman"/>
          <w:lang w:eastAsia="de-DE"/>
        </w:rPr>
        <w:t xml:space="preserve">zeigt Bruderehrverletzung. </w:t>
      </w:r>
      <w:r w:rsidRPr="000A1182">
        <w:rPr>
          <w:rFonts w:eastAsia="Times New Roman" w:cs="Times New Roman"/>
          <w:b/>
          <w:bCs/>
          <w:rtl/>
          <w:lang w:eastAsia="de-DE"/>
        </w:rPr>
        <w:t>ערירים יהיו</w:t>
      </w:r>
      <w:r w:rsidRPr="000A1182">
        <w:rPr>
          <w:rFonts w:eastAsia="Times New Roman" w:cs="Times New Roman"/>
          <w:rtl/>
          <w:lang w:eastAsia="de-DE"/>
        </w:rPr>
        <w:t xml:space="preserve"> </w:t>
      </w:r>
      <w:r w:rsidRPr="000A1182">
        <w:rPr>
          <w:rFonts w:eastAsia="Times New Roman" w:cs="Times New Roman"/>
          <w:lang w:eastAsia="de-DE"/>
        </w:rPr>
        <w:t>zeigt Kinderlosigkeit als Dauerzustand.</w:t>
      </w:r>
    </w:p>
    <w:p w14:paraId="4790AA1D" w14:textId="13047D76"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נדה</w:t>
      </w:r>
      <w:r w:rsidR="004F25E8">
        <w:t xml:space="preserve"> (</w:t>
      </w:r>
      <w:proofErr w:type="spellStart"/>
      <w:r w:rsidR="004F25E8">
        <w:t>nidda</w:t>
      </w:r>
      <w:proofErr w:type="spellEnd"/>
      <w:r w:rsidR="004F25E8">
        <w:t xml:space="preserve"> - hier: "Unreinheit") als </w:t>
      </w:r>
      <w:proofErr w:type="spellStart"/>
      <w:r w:rsidR="004F25E8">
        <w:t>ἀκ</w:t>
      </w:r>
      <w:proofErr w:type="spellEnd"/>
      <w:r w:rsidR="004F25E8">
        <w:t xml:space="preserve">αθαρσία, was den </w:t>
      </w:r>
      <w:r w:rsidR="00D86F49">
        <w:t>menstrualen</w:t>
      </w:r>
      <w:r w:rsidR="004F25E8">
        <w:t xml:space="preserve"> Bezug abstrahiert.</w:t>
      </w:r>
    </w:p>
    <w:p w14:paraId="13DAFAE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Schwägerin-Inzest-Bestrafung: Bruderfrau-Heirat + </w:t>
      </w:r>
      <w:r w:rsidRPr="000A1182">
        <w:rPr>
          <w:rFonts w:eastAsia="Times New Roman" w:cs="Times New Roman"/>
          <w:b/>
          <w:bCs/>
          <w:rtl/>
          <w:lang w:eastAsia="de-DE"/>
        </w:rPr>
        <w:t>נדה</w:t>
      </w:r>
      <w:r w:rsidRPr="000A1182">
        <w:rPr>
          <w:rFonts w:eastAsia="Times New Roman" w:cs="Times New Roman"/>
          <w:lang w:eastAsia="de-DE"/>
        </w:rPr>
        <w:t>-Qualifikation + Bruderehrverletzung + Kinderlosigkeit.</w:t>
      </w:r>
    </w:p>
    <w:p w14:paraId="52D7ED4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lastRenderedPageBreak/>
        <w:t xml:space="preserve">Dieser Vers bestraft Schwägerin-Heirat als </w:t>
      </w:r>
      <w:r w:rsidRPr="000A1182">
        <w:rPr>
          <w:rFonts w:eastAsia="Times New Roman" w:cs="Times New Roman"/>
          <w:b/>
          <w:bCs/>
          <w:rtl/>
          <w:lang w:eastAsia="de-DE"/>
        </w:rPr>
        <w:t>נדה</w:t>
      </w:r>
      <w:r w:rsidRPr="000A1182">
        <w:rPr>
          <w:rFonts w:eastAsia="Times New Roman" w:cs="Times New Roman"/>
          <w:rtl/>
          <w:lang w:eastAsia="de-DE"/>
        </w:rPr>
        <w:t xml:space="preserve"> </w:t>
      </w:r>
      <w:r w:rsidRPr="000A1182">
        <w:rPr>
          <w:rFonts w:eastAsia="Times New Roman" w:cs="Times New Roman"/>
          <w:lang w:eastAsia="de-DE"/>
        </w:rPr>
        <w:t>(Unreinheit) mit dauerhafter Kinderlosigkeit.</w:t>
      </w:r>
    </w:p>
    <w:p w14:paraId="40B748BD"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20,22</w:t>
      </w:r>
    </w:p>
    <w:p w14:paraId="526E431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וּשְׁמַרְתֶּ֤ם אֶת־כָּל־חֻקֹּתַי֙ וְאֶת־כָּל־מִשְׁפָּטַ֔י וַעֲשִׂיתֶ֖ם אֹתָ֑ם וְלֹא־תָקִ֤יא אֶתְכֶם֙ הָאָ֔רֶץ אֲשֶׁ֨ר אֲנִ֜י מֵבִ֥יא אֶתְכֶ֛ם שָׁ֖מָּה לָשֶׁ֥בֶת בָּֽהּ׃</w:t>
      </w:r>
    </w:p>
    <w:p w14:paraId="6B11A22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ihr sollt alle meine Satzungen und alle meine Rechtsvorschriften beachten und sie tun, damit euch das Land nicht ausspeie, wohin ich euch bringe, um darin zu wohnen.</w:t>
      </w:r>
    </w:p>
    <w:p w14:paraId="1E876EBE"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3BA1E392">
          <v:rect id="_x0000_i1619" style="width:0;height:1.5pt" o:hralign="center" o:hrstd="t" o:hr="t" fillcolor="#a0a0a0" stroked="f"/>
        </w:pict>
      </w:r>
    </w:p>
    <w:p w14:paraId="4CB0332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ושמרתם את־כל־חקתי ואת־כל־משפטי ועשיתם אתם ולא־תקיא אתכם הארץ אשר אני מביא אתכם שמה לשבת בה</w:t>
      </w:r>
      <w:r w:rsidRPr="000A1182">
        <w:rPr>
          <w:rFonts w:eastAsia="Times New Roman" w:cs="Times New Roman"/>
          <w:rtl/>
          <w:lang w:eastAsia="de-DE"/>
        </w:rPr>
        <w:t xml:space="preserve"> </w:t>
      </w:r>
      <w:r w:rsidRPr="000A1182">
        <w:rPr>
          <w:rFonts w:eastAsia="Times New Roman" w:cs="Times New Roman"/>
          <w:lang w:eastAsia="de-DE"/>
        </w:rPr>
        <w:t xml:space="preserve">zeigt die Landkonsequenzen des Gehorsams. </w:t>
      </w:r>
      <w:r w:rsidRPr="000A1182">
        <w:rPr>
          <w:rFonts w:eastAsia="Times New Roman" w:cs="Times New Roman"/>
          <w:b/>
          <w:bCs/>
          <w:rtl/>
          <w:lang w:eastAsia="de-DE"/>
        </w:rPr>
        <w:t>ושמרתם את־כל־חקתי ואת־כל־משפטי ועשיתם אתם</w:t>
      </w:r>
      <w:r w:rsidRPr="000A1182">
        <w:rPr>
          <w:rFonts w:eastAsia="Times New Roman" w:cs="Times New Roman"/>
          <w:rtl/>
          <w:lang w:eastAsia="de-DE"/>
        </w:rPr>
        <w:t xml:space="preserve"> </w:t>
      </w:r>
      <w:r w:rsidRPr="000A1182">
        <w:rPr>
          <w:rFonts w:eastAsia="Times New Roman" w:cs="Times New Roman"/>
          <w:lang w:eastAsia="de-DE"/>
        </w:rPr>
        <w:t xml:space="preserve">(und ihr sollt alle meine Satzungen und alle meine Rechtsvorschriften beachten und sie tun) entspricht 19,37 mit doppeltem </w:t>
      </w:r>
      <w:r w:rsidRPr="000A1182">
        <w:rPr>
          <w:rFonts w:eastAsia="Times New Roman" w:cs="Times New Roman"/>
          <w:b/>
          <w:bCs/>
          <w:rtl/>
          <w:lang w:eastAsia="de-DE"/>
        </w:rPr>
        <w:t>כל</w:t>
      </w:r>
      <w:r w:rsidRPr="000A1182">
        <w:rPr>
          <w:rFonts w:eastAsia="Times New Roman" w:cs="Times New Roman"/>
          <w:rtl/>
          <w:lang w:eastAsia="de-DE"/>
        </w:rPr>
        <w:t xml:space="preserve"> </w:t>
      </w:r>
      <w:r w:rsidRPr="000A1182">
        <w:rPr>
          <w:rFonts w:eastAsia="Times New Roman" w:cs="Times New Roman"/>
          <w:lang w:eastAsia="de-DE"/>
        </w:rPr>
        <w:t>für Vollständigkeit.</w:t>
      </w:r>
    </w:p>
    <w:p w14:paraId="1EA67D7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ולא־תקיא אתכם הארץ</w:t>
      </w:r>
      <w:r w:rsidRPr="000A1182">
        <w:rPr>
          <w:rFonts w:eastAsia="Times New Roman" w:cs="Times New Roman"/>
          <w:rtl/>
          <w:lang w:eastAsia="de-DE"/>
        </w:rPr>
        <w:t xml:space="preserve"> </w:t>
      </w:r>
      <w:r w:rsidRPr="000A1182">
        <w:rPr>
          <w:rFonts w:eastAsia="Times New Roman" w:cs="Times New Roman"/>
          <w:lang w:eastAsia="de-DE"/>
        </w:rPr>
        <w:t xml:space="preserve">(damit euch das Land nicht ausspeie) - </w:t>
      </w:r>
      <w:r w:rsidRPr="000A1182">
        <w:rPr>
          <w:rFonts w:eastAsia="Times New Roman" w:cs="Times New Roman"/>
          <w:b/>
          <w:bCs/>
          <w:rtl/>
          <w:lang w:eastAsia="de-DE"/>
        </w:rPr>
        <w:t>ולא־תקיא</w:t>
      </w:r>
      <w:r w:rsidRPr="000A1182">
        <w:rPr>
          <w:rFonts w:eastAsia="Times New Roman" w:cs="Times New Roman"/>
          <w:rtl/>
          <w:lang w:eastAsia="de-DE"/>
        </w:rPr>
        <w:t xml:space="preserve"> </w:t>
      </w:r>
      <w:r w:rsidRPr="000A1182">
        <w:rPr>
          <w:rFonts w:eastAsia="Times New Roman" w:cs="Times New Roman"/>
          <w:lang w:eastAsia="de-DE"/>
        </w:rPr>
        <w:t xml:space="preserve">(und nicht ausspeien wird) im Hifil-Imperfekt von </w:t>
      </w:r>
      <w:r w:rsidRPr="000A1182">
        <w:rPr>
          <w:rFonts w:eastAsia="Times New Roman" w:cs="Times New Roman"/>
          <w:b/>
          <w:bCs/>
          <w:rtl/>
          <w:lang w:eastAsia="de-DE"/>
        </w:rPr>
        <w:t>קוא</w:t>
      </w:r>
      <w:r w:rsidRPr="000A1182">
        <w:rPr>
          <w:rFonts w:eastAsia="Times New Roman" w:cs="Times New Roman"/>
          <w:lang w:eastAsia="de-DE"/>
        </w:rPr>
        <w:t xml:space="preserve">, das Hifil zeigt kausatives Erbrechen/Ausspeien. </w:t>
      </w:r>
      <w:r w:rsidRPr="000A1182">
        <w:rPr>
          <w:rFonts w:eastAsia="Times New Roman" w:cs="Times New Roman"/>
          <w:b/>
          <w:bCs/>
          <w:rtl/>
          <w:lang w:eastAsia="de-DE"/>
        </w:rPr>
        <w:t>הארץ</w:t>
      </w:r>
      <w:r w:rsidRPr="000A1182">
        <w:rPr>
          <w:rFonts w:eastAsia="Times New Roman" w:cs="Times New Roman"/>
          <w:rtl/>
          <w:lang w:eastAsia="de-DE"/>
        </w:rPr>
        <w:t xml:space="preserve"> </w:t>
      </w:r>
      <w:r w:rsidRPr="000A1182">
        <w:rPr>
          <w:rFonts w:eastAsia="Times New Roman" w:cs="Times New Roman"/>
          <w:lang w:eastAsia="de-DE"/>
        </w:rPr>
        <w:t>(das Land) als personifizierte Größe, die auf moralische Verunreinigung mit Ausspeiung reagiert.</w:t>
      </w:r>
    </w:p>
    <w:p w14:paraId="7427F71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אשר אני מביא אתכם שמה לשבת בה</w:t>
      </w:r>
      <w:r w:rsidRPr="000A1182">
        <w:rPr>
          <w:rFonts w:eastAsia="Times New Roman" w:cs="Times New Roman"/>
          <w:rtl/>
          <w:lang w:eastAsia="de-DE"/>
        </w:rPr>
        <w:t xml:space="preserve"> </w:t>
      </w:r>
      <w:r w:rsidRPr="000A1182">
        <w:rPr>
          <w:rFonts w:eastAsia="Times New Roman" w:cs="Times New Roman"/>
          <w:lang w:eastAsia="de-DE"/>
        </w:rPr>
        <w:t>(wohin ich euch bringe, um darin zu wohnen) zeigt den Verheißungslandkontext.</w:t>
      </w:r>
    </w:p>
    <w:p w14:paraId="3C3F751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כל־חקתי וכל־משפטי</w:t>
      </w:r>
      <w:r w:rsidRPr="000A1182">
        <w:rPr>
          <w:rFonts w:eastAsia="Times New Roman" w:cs="Times New Roman"/>
          <w:rtl/>
          <w:lang w:eastAsia="de-DE"/>
        </w:rPr>
        <w:t xml:space="preserve"> </w:t>
      </w:r>
      <w:r w:rsidRPr="000A1182">
        <w:rPr>
          <w:rFonts w:eastAsia="Times New Roman" w:cs="Times New Roman"/>
          <w:lang w:eastAsia="de-DE"/>
        </w:rPr>
        <w:t xml:space="preserve">mit doppeltem </w:t>
      </w:r>
      <w:r w:rsidRPr="000A1182">
        <w:rPr>
          <w:rFonts w:eastAsia="Times New Roman" w:cs="Times New Roman"/>
          <w:b/>
          <w:bCs/>
          <w:rtl/>
          <w:lang w:eastAsia="de-DE"/>
        </w:rPr>
        <w:t>כל</w:t>
      </w:r>
      <w:r w:rsidRPr="000A1182">
        <w:rPr>
          <w:rFonts w:eastAsia="Times New Roman" w:cs="Times New Roman"/>
          <w:rtl/>
          <w:lang w:eastAsia="de-DE"/>
        </w:rPr>
        <w:t xml:space="preserve"> </w:t>
      </w:r>
      <w:r w:rsidRPr="000A1182">
        <w:rPr>
          <w:rFonts w:eastAsia="Times New Roman" w:cs="Times New Roman"/>
          <w:lang w:eastAsia="de-DE"/>
        </w:rPr>
        <w:t xml:space="preserve">betont umfassende Gehorsamspflicht. </w:t>
      </w:r>
      <w:r w:rsidRPr="000A1182">
        <w:rPr>
          <w:rFonts w:eastAsia="Times New Roman" w:cs="Times New Roman"/>
          <w:b/>
          <w:bCs/>
          <w:rtl/>
          <w:lang w:eastAsia="de-DE"/>
        </w:rPr>
        <w:t>תקיא</w:t>
      </w:r>
      <w:r w:rsidRPr="000A1182">
        <w:rPr>
          <w:rFonts w:eastAsia="Times New Roman" w:cs="Times New Roman"/>
          <w:rtl/>
          <w:lang w:eastAsia="de-DE"/>
        </w:rPr>
        <w:t xml:space="preserve"> </w:t>
      </w:r>
      <w:r w:rsidRPr="000A1182">
        <w:rPr>
          <w:rFonts w:eastAsia="Times New Roman" w:cs="Times New Roman"/>
          <w:lang w:eastAsia="de-DE"/>
        </w:rPr>
        <w:t xml:space="preserve">als drastische Metapher für Landverlust. </w:t>
      </w:r>
      <w:r w:rsidRPr="000A1182">
        <w:rPr>
          <w:rFonts w:eastAsia="Times New Roman" w:cs="Times New Roman"/>
          <w:b/>
          <w:bCs/>
          <w:rtl/>
          <w:lang w:eastAsia="de-DE"/>
        </w:rPr>
        <w:t>לשבת בה</w:t>
      </w:r>
      <w:r w:rsidRPr="000A1182">
        <w:rPr>
          <w:rFonts w:eastAsia="Times New Roman" w:cs="Times New Roman"/>
          <w:rtl/>
          <w:lang w:eastAsia="de-DE"/>
        </w:rPr>
        <w:t xml:space="preserve"> </w:t>
      </w:r>
      <w:r w:rsidRPr="000A1182">
        <w:rPr>
          <w:rFonts w:eastAsia="Times New Roman" w:cs="Times New Roman"/>
          <w:lang w:eastAsia="de-DE"/>
        </w:rPr>
        <w:t>zeigt dauerhaften Landbesitz als Ziel.</w:t>
      </w:r>
    </w:p>
    <w:p w14:paraId="697CBD4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übersetzt </w:t>
      </w:r>
      <w:r w:rsidRPr="000A1182">
        <w:rPr>
          <w:rFonts w:eastAsia="Times New Roman" w:cs="Times New Roman"/>
          <w:b/>
          <w:bCs/>
          <w:rtl/>
          <w:lang w:eastAsia="de-DE"/>
        </w:rPr>
        <w:t>ושמרתם</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φυλάξ</w:t>
      </w:r>
      <w:proofErr w:type="spellEnd"/>
      <w:r w:rsidRPr="000A1182">
        <w:rPr>
          <w:rFonts w:eastAsia="Times New Roman" w:cs="Times New Roman"/>
          <w:lang w:eastAsia="de-DE"/>
        </w:rPr>
        <w:t xml:space="preserve">ασθε (bewahrt), </w:t>
      </w:r>
      <w:r w:rsidRPr="000A1182">
        <w:rPr>
          <w:rFonts w:eastAsia="Times New Roman" w:cs="Times New Roman"/>
          <w:b/>
          <w:bCs/>
          <w:rtl/>
          <w:lang w:eastAsia="de-DE"/>
        </w:rPr>
        <w:t>תקיא</w:t>
      </w:r>
      <w:r w:rsidRPr="000A1182">
        <w:rPr>
          <w:rFonts w:eastAsia="Times New Roman" w:cs="Times New Roman"/>
          <w:rtl/>
          <w:lang w:eastAsia="de-DE"/>
        </w:rPr>
        <w:t xml:space="preserve"> </w:t>
      </w:r>
      <w:r w:rsidRPr="000A1182">
        <w:rPr>
          <w:rFonts w:eastAsia="Times New Roman" w:cs="Times New Roman"/>
          <w:lang w:eastAsia="de-DE"/>
        </w:rPr>
        <w:t>mit π</w:t>
      </w:r>
      <w:proofErr w:type="spellStart"/>
      <w:r w:rsidRPr="000A1182">
        <w:rPr>
          <w:rFonts w:eastAsia="Times New Roman" w:cs="Times New Roman"/>
          <w:lang w:eastAsia="de-DE"/>
        </w:rPr>
        <w:t>ροσοχθίσῃ</w:t>
      </w:r>
      <w:proofErr w:type="spellEnd"/>
      <w:r w:rsidRPr="000A1182">
        <w:rPr>
          <w:rFonts w:eastAsia="Times New Roman" w:cs="Times New Roman"/>
          <w:lang w:eastAsia="de-DE"/>
        </w:rPr>
        <w:t xml:space="preserve"> (wird sich ärgern), </w:t>
      </w:r>
      <w:r w:rsidRPr="000A1182">
        <w:rPr>
          <w:rFonts w:eastAsia="Times New Roman" w:cs="Times New Roman"/>
          <w:b/>
          <w:bCs/>
          <w:rtl/>
          <w:lang w:eastAsia="de-DE"/>
        </w:rPr>
        <w:t>מביא</w:t>
      </w:r>
      <w:r w:rsidRPr="000A1182">
        <w:rPr>
          <w:rFonts w:eastAsia="Times New Roman" w:cs="Times New Roman"/>
          <w:rtl/>
          <w:lang w:eastAsia="de-DE"/>
        </w:rPr>
        <w:t xml:space="preserve"> </w:t>
      </w:r>
      <w:r w:rsidRPr="000A1182">
        <w:rPr>
          <w:rFonts w:eastAsia="Times New Roman" w:cs="Times New Roman"/>
          <w:lang w:eastAsia="de-DE"/>
        </w:rPr>
        <w:t xml:space="preserve">mit </w:t>
      </w:r>
      <w:proofErr w:type="spellStart"/>
      <w:r w:rsidRPr="000A1182">
        <w:rPr>
          <w:rFonts w:eastAsia="Times New Roman" w:cs="Times New Roman"/>
          <w:lang w:eastAsia="de-DE"/>
        </w:rPr>
        <w:t>εἰσάγω</w:t>
      </w:r>
      <w:proofErr w:type="spellEnd"/>
      <w:r w:rsidRPr="000A1182">
        <w:rPr>
          <w:rFonts w:eastAsia="Times New Roman" w:cs="Times New Roman"/>
          <w:lang w:eastAsia="de-DE"/>
        </w:rPr>
        <w:t xml:space="preserve"> (bringe hinein) und </w:t>
      </w:r>
      <w:r w:rsidRPr="000A1182">
        <w:rPr>
          <w:rFonts w:eastAsia="Times New Roman" w:cs="Times New Roman"/>
          <w:b/>
          <w:bCs/>
          <w:rtl/>
          <w:lang w:eastAsia="de-DE"/>
        </w:rPr>
        <w:t>לשבת</w:t>
      </w:r>
      <w:r w:rsidRPr="000A1182">
        <w:rPr>
          <w:rFonts w:eastAsia="Times New Roman" w:cs="Times New Roman"/>
          <w:rtl/>
          <w:lang w:eastAsia="de-DE"/>
        </w:rPr>
        <w:t xml:space="preserve"> </w:t>
      </w:r>
      <w:r w:rsidRPr="000A1182">
        <w:rPr>
          <w:rFonts w:eastAsia="Times New Roman" w:cs="Times New Roman"/>
          <w:lang w:eastAsia="de-DE"/>
        </w:rPr>
        <w:t>mit κα</w:t>
      </w:r>
      <w:proofErr w:type="spellStart"/>
      <w:r w:rsidRPr="000A1182">
        <w:rPr>
          <w:rFonts w:eastAsia="Times New Roman" w:cs="Times New Roman"/>
          <w:lang w:eastAsia="de-DE"/>
        </w:rPr>
        <w:t>τοικεῖν</w:t>
      </w:r>
      <w:proofErr w:type="spellEnd"/>
      <w:r w:rsidRPr="000A1182">
        <w:rPr>
          <w:rFonts w:eastAsia="Times New Roman" w:cs="Times New Roman"/>
          <w:lang w:eastAsia="de-DE"/>
        </w:rPr>
        <w:t xml:space="preserve"> (zu wohnen).</w:t>
      </w:r>
    </w:p>
    <w:p w14:paraId="7175AA79" w14:textId="5FBA434D"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Landverheißung: umfassende Gehorsamspflicht + </w:t>
      </w:r>
      <w:r>
        <w:t>Bewahrung vor der Ausstoßung aus dem Land</w:t>
      </w:r>
      <w:r w:rsidRPr="000A1182">
        <w:rPr>
          <w:rFonts w:eastAsia="Times New Roman" w:cs="Times New Roman"/>
          <w:lang w:eastAsia="de-DE"/>
        </w:rPr>
        <w:t xml:space="preserve"> + Verheißungslandkontext.</w:t>
      </w:r>
    </w:p>
    <w:p w14:paraId="4A19DCD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zeigt Gesetzesgehorsam als Bedingung für dauerhaften Landbesitz und warnt vor Landverlust bei Ungehorsam.</w:t>
      </w:r>
    </w:p>
    <w:p w14:paraId="37C93B9D"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20,23</w:t>
      </w:r>
    </w:p>
    <w:p w14:paraId="3E00BE6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וְלֹ֤א תֵֽלְכוּ֙ בְּחֻקֹּ֣ת הַגּ֔וֹי אֲשֶׁר־אֲנִ֥י מְשַׁלֵּ֖חַ מִפְּנֵיכֶ֑ם כִּ֤י אֶת־כָּל־אֵ֨לֶּה֙ עָשׂ֔וּ וָאָקֻ֖ץ בָּֽם׃</w:t>
      </w:r>
    </w:p>
    <w:p w14:paraId="3D95D42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ihr sollt nicht wandeln in den Satzungen der Nation, die ich vor euch vertreibe; denn alle diese Dinge haben sie getan, und sie sind mir zum Ekel geworden.</w:t>
      </w:r>
    </w:p>
    <w:p w14:paraId="37F9C33A"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0F04A735">
          <v:rect id="_x0000_i1620" style="width:0;height:1.5pt" o:hralign="center" o:hrstd="t" o:hr="t" fillcolor="#a0a0a0" stroked="f"/>
        </w:pict>
      </w:r>
    </w:p>
    <w:p w14:paraId="03C34BB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ולא תלכו בחקת הגוי אשר־אני משלח מפניכם כי את־כל־אלה עשו ואקץ בם</w:t>
      </w:r>
      <w:r w:rsidRPr="000A1182">
        <w:rPr>
          <w:rFonts w:eastAsia="Times New Roman" w:cs="Times New Roman"/>
          <w:rtl/>
          <w:lang w:eastAsia="de-DE"/>
        </w:rPr>
        <w:t xml:space="preserve"> </w:t>
      </w:r>
      <w:r w:rsidRPr="000A1182">
        <w:rPr>
          <w:rFonts w:eastAsia="Times New Roman" w:cs="Times New Roman"/>
          <w:lang w:eastAsia="de-DE"/>
        </w:rPr>
        <w:t xml:space="preserve">begründet die Gebote durch das Negativbeispiel der Kanaaniter. </w:t>
      </w:r>
      <w:r w:rsidRPr="000A1182">
        <w:rPr>
          <w:rFonts w:eastAsia="Times New Roman" w:cs="Times New Roman"/>
          <w:b/>
          <w:bCs/>
          <w:rtl/>
          <w:lang w:eastAsia="de-DE"/>
        </w:rPr>
        <w:t>ולא תלכו בחקת הגוי</w:t>
      </w:r>
      <w:r w:rsidRPr="000A1182">
        <w:rPr>
          <w:rFonts w:eastAsia="Times New Roman" w:cs="Times New Roman"/>
          <w:rtl/>
          <w:lang w:eastAsia="de-DE"/>
        </w:rPr>
        <w:t xml:space="preserve"> </w:t>
      </w:r>
      <w:r w:rsidRPr="000A1182">
        <w:rPr>
          <w:rFonts w:eastAsia="Times New Roman" w:cs="Times New Roman"/>
          <w:lang w:eastAsia="de-DE"/>
        </w:rPr>
        <w:t xml:space="preserve">(und ihr sollt nicht wandeln in den Satzungen der Nation) - </w:t>
      </w:r>
      <w:r w:rsidRPr="000A1182">
        <w:rPr>
          <w:rFonts w:eastAsia="Times New Roman" w:cs="Times New Roman"/>
          <w:b/>
          <w:bCs/>
          <w:rtl/>
          <w:lang w:eastAsia="de-DE"/>
        </w:rPr>
        <w:t>לא תלכו</w:t>
      </w:r>
      <w:r w:rsidRPr="000A1182">
        <w:rPr>
          <w:rFonts w:eastAsia="Times New Roman" w:cs="Times New Roman"/>
          <w:rtl/>
          <w:lang w:eastAsia="de-DE"/>
        </w:rPr>
        <w:t xml:space="preserve"> </w:t>
      </w:r>
      <w:r w:rsidRPr="000A1182">
        <w:rPr>
          <w:rFonts w:eastAsia="Times New Roman" w:cs="Times New Roman"/>
          <w:lang w:eastAsia="de-DE"/>
        </w:rPr>
        <w:t xml:space="preserve">(ihr sollt nicht wandeln) im Qal-Imperfekt </w:t>
      </w:r>
      <w:r w:rsidRPr="000A1182">
        <w:rPr>
          <w:rFonts w:eastAsia="Times New Roman" w:cs="Times New Roman"/>
          <w:lang w:eastAsia="de-DE"/>
        </w:rPr>
        <w:lastRenderedPageBreak/>
        <w:t xml:space="preserve">zeigt Lebensweise. </w:t>
      </w:r>
      <w:r w:rsidRPr="000A1182">
        <w:rPr>
          <w:rFonts w:eastAsia="Times New Roman" w:cs="Times New Roman"/>
          <w:b/>
          <w:bCs/>
          <w:rtl/>
          <w:lang w:eastAsia="de-DE"/>
        </w:rPr>
        <w:t>בחקת הגוי</w:t>
      </w:r>
      <w:r w:rsidRPr="000A1182">
        <w:rPr>
          <w:rFonts w:eastAsia="Times New Roman" w:cs="Times New Roman"/>
          <w:rtl/>
          <w:lang w:eastAsia="de-DE"/>
        </w:rPr>
        <w:t xml:space="preserve"> </w:t>
      </w:r>
      <w:r w:rsidRPr="000A1182">
        <w:rPr>
          <w:rFonts w:eastAsia="Times New Roman" w:cs="Times New Roman"/>
          <w:lang w:eastAsia="de-DE"/>
        </w:rPr>
        <w:t xml:space="preserve">(in den Satzungen der Nation) - </w:t>
      </w:r>
      <w:r w:rsidRPr="000A1182">
        <w:rPr>
          <w:rFonts w:eastAsia="Times New Roman" w:cs="Times New Roman"/>
          <w:b/>
          <w:bCs/>
          <w:rtl/>
          <w:lang w:eastAsia="de-DE"/>
        </w:rPr>
        <w:t>חקת</w:t>
      </w:r>
      <w:r w:rsidRPr="000A1182">
        <w:rPr>
          <w:rFonts w:eastAsia="Times New Roman" w:cs="Times New Roman"/>
          <w:rtl/>
          <w:lang w:eastAsia="de-DE"/>
        </w:rPr>
        <w:t xml:space="preserve"> </w:t>
      </w:r>
      <w:r w:rsidRPr="000A1182">
        <w:rPr>
          <w:rFonts w:eastAsia="Times New Roman" w:cs="Times New Roman"/>
          <w:lang w:eastAsia="de-DE"/>
        </w:rPr>
        <w:t xml:space="preserve">(Satzungen) ironisch für heidnische Praktiken, </w:t>
      </w:r>
      <w:r w:rsidRPr="000A1182">
        <w:rPr>
          <w:rFonts w:eastAsia="Times New Roman" w:cs="Times New Roman"/>
          <w:b/>
          <w:bCs/>
          <w:rtl/>
          <w:lang w:eastAsia="de-DE"/>
        </w:rPr>
        <w:t>הגוי</w:t>
      </w:r>
      <w:r w:rsidRPr="000A1182">
        <w:rPr>
          <w:rFonts w:eastAsia="Times New Roman" w:cs="Times New Roman"/>
          <w:rtl/>
          <w:lang w:eastAsia="de-DE"/>
        </w:rPr>
        <w:t xml:space="preserve"> </w:t>
      </w:r>
      <w:r w:rsidRPr="000A1182">
        <w:rPr>
          <w:rFonts w:eastAsia="Times New Roman" w:cs="Times New Roman"/>
          <w:lang w:eastAsia="de-DE"/>
        </w:rPr>
        <w:t>(die Nation) im Singular als Kollektiv für alle Kanaaniter.</w:t>
      </w:r>
    </w:p>
    <w:p w14:paraId="763D1F9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אשר־אני משלח מפניכם</w:t>
      </w:r>
      <w:r w:rsidRPr="000A1182">
        <w:rPr>
          <w:rFonts w:eastAsia="Times New Roman" w:cs="Times New Roman"/>
          <w:rtl/>
          <w:lang w:eastAsia="de-DE"/>
        </w:rPr>
        <w:t xml:space="preserve"> </w:t>
      </w:r>
      <w:r w:rsidRPr="000A1182">
        <w:rPr>
          <w:rFonts w:eastAsia="Times New Roman" w:cs="Times New Roman"/>
          <w:lang w:eastAsia="de-DE"/>
        </w:rPr>
        <w:t xml:space="preserve">(die ich vor euch vertreibe) - </w:t>
      </w:r>
      <w:r w:rsidRPr="000A1182">
        <w:rPr>
          <w:rFonts w:eastAsia="Times New Roman" w:cs="Times New Roman"/>
          <w:b/>
          <w:bCs/>
          <w:rtl/>
          <w:lang w:eastAsia="de-DE"/>
        </w:rPr>
        <w:t>משלח</w:t>
      </w:r>
      <w:r w:rsidRPr="000A1182">
        <w:rPr>
          <w:rFonts w:eastAsia="Times New Roman" w:cs="Times New Roman"/>
          <w:rtl/>
          <w:lang w:eastAsia="de-DE"/>
        </w:rPr>
        <w:t xml:space="preserve"> </w:t>
      </w:r>
      <w:r w:rsidRPr="000A1182">
        <w:rPr>
          <w:rFonts w:eastAsia="Times New Roman" w:cs="Times New Roman"/>
          <w:lang w:eastAsia="de-DE"/>
        </w:rPr>
        <w:t xml:space="preserve">(vertreibe) im Piel-Partizip, das Piel zeigt intensive Vertreibung. </w:t>
      </w:r>
      <w:r w:rsidRPr="000A1182">
        <w:rPr>
          <w:rFonts w:eastAsia="Times New Roman" w:cs="Times New Roman"/>
          <w:b/>
          <w:bCs/>
          <w:rtl/>
          <w:lang w:eastAsia="de-DE"/>
        </w:rPr>
        <w:t>מפניכם</w:t>
      </w:r>
      <w:r w:rsidRPr="000A1182">
        <w:rPr>
          <w:rFonts w:eastAsia="Times New Roman" w:cs="Times New Roman"/>
          <w:rtl/>
          <w:lang w:eastAsia="de-DE"/>
        </w:rPr>
        <w:t xml:space="preserve"> </w:t>
      </w:r>
      <w:r w:rsidRPr="000A1182">
        <w:rPr>
          <w:rFonts w:eastAsia="Times New Roman" w:cs="Times New Roman"/>
          <w:lang w:eastAsia="de-DE"/>
        </w:rPr>
        <w:t>(vor euch) zeigt Israel als Vertreibungsgrund.</w:t>
      </w:r>
    </w:p>
    <w:p w14:paraId="21F2022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כי את־כל־אלה עשו ואקץ בם</w:t>
      </w:r>
      <w:r w:rsidRPr="000A1182">
        <w:rPr>
          <w:rFonts w:eastAsia="Times New Roman" w:cs="Times New Roman"/>
          <w:rtl/>
          <w:lang w:eastAsia="de-DE"/>
        </w:rPr>
        <w:t xml:space="preserve"> </w:t>
      </w:r>
      <w:r w:rsidRPr="000A1182">
        <w:rPr>
          <w:rFonts w:eastAsia="Times New Roman" w:cs="Times New Roman"/>
          <w:lang w:eastAsia="de-DE"/>
        </w:rPr>
        <w:t xml:space="preserve">(denn alle diese Dinge haben sie getan, und sie sind mir zum Ekel geworden) - </w:t>
      </w:r>
      <w:r w:rsidRPr="000A1182">
        <w:rPr>
          <w:rFonts w:eastAsia="Times New Roman" w:cs="Times New Roman"/>
          <w:b/>
          <w:bCs/>
          <w:rtl/>
          <w:lang w:eastAsia="de-DE"/>
        </w:rPr>
        <w:t>את־כל־אלה עשו</w:t>
      </w:r>
      <w:r w:rsidRPr="000A1182">
        <w:rPr>
          <w:rFonts w:eastAsia="Times New Roman" w:cs="Times New Roman"/>
          <w:rtl/>
          <w:lang w:eastAsia="de-DE"/>
        </w:rPr>
        <w:t xml:space="preserve"> </w:t>
      </w:r>
      <w:r w:rsidRPr="000A1182">
        <w:rPr>
          <w:rFonts w:eastAsia="Times New Roman" w:cs="Times New Roman"/>
          <w:lang w:eastAsia="de-DE"/>
        </w:rPr>
        <w:t xml:space="preserve">(alle diese Dinge haben sie getan) bezieht sich auf die in Kap. 18-20 aufgelisteten Vergehen. </w:t>
      </w:r>
      <w:r w:rsidRPr="000A1182">
        <w:rPr>
          <w:rFonts w:eastAsia="Times New Roman" w:cs="Times New Roman"/>
          <w:b/>
          <w:bCs/>
          <w:rtl/>
          <w:lang w:eastAsia="de-DE"/>
        </w:rPr>
        <w:t>ואקץ בם</w:t>
      </w:r>
      <w:r w:rsidRPr="000A1182">
        <w:rPr>
          <w:rFonts w:eastAsia="Times New Roman" w:cs="Times New Roman"/>
          <w:rtl/>
          <w:lang w:eastAsia="de-DE"/>
        </w:rPr>
        <w:t xml:space="preserve"> </w:t>
      </w:r>
      <w:r w:rsidRPr="000A1182">
        <w:rPr>
          <w:rFonts w:eastAsia="Times New Roman" w:cs="Times New Roman"/>
          <w:lang w:eastAsia="de-DE"/>
        </w:rPr>
        <w:t xml:space="preserve">(und ich habe Ekel an ihnen) - </w:t>
      </w:r>
      <w:r w:rsidRPr="000A1182">
        <w:rPr>
          <w:rFonts w:eastAsia="Times New Roman" w:cs="Times New Roman"/>
          <w:b/>
          <w:bCs/>
          <w:rtl/>
          <w:lang w:eastAsia="de-DE"/>
        </w:rPr>
        <w:t>אקץ</w:t>
      </w:r>
      <w:r w:rsidRPr="000A1182">
        <w:rPr>
          <w:rFonts w:eastAsia="Times New Roman" w:cs="Times New Roman"/>
          <w:rtl/>
          <w:lang w:eastAsia="de-DE"/>
        </w:rPr>
        <w:t xml:space="preserve"> </w:t>
      </w:r>
      <w:r w:rsidRPr="000A1182">
        <w:rPr>
          <w:rFonts w:eastAsia="Times New Roman" w:cs="Times New Roman"/>
          <w:lang w:eastAsia="de-DE"/>
        </w:rPr>
        <w:t>(habe Ekel) im Qal-Imperfekt zeigt göttliche Abscheu.</w:t>
      </w:r>
    </w:p>
    <w:p w14:paraId="5C4A713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חקת הגוי</w:t>
      </w:r>
      <w:r w:rsidRPr="000A1182">
        <w:rPr>
          <w:rFonts w:eastAsia="Times New Roman" w:cs="Times New Roman"/>
          <w:rtl/>
          <w:lang w:eastAsia="de-DE"/>
        </w:rPr>
        <w:t xml:space="preserve"> </w:t>
      </w:r>
      <w:r w:rsidRPr="000A1182">
        <w:rPr>
          <w:rFonts w:eastAsia="Times New Roman" w:cs="Times New Roman"/>
          <w:lang w:eastAsia="de-DE"/>
        </w:rPr>
        <w:t xml:space="preserve">ironisiert heidnische Praktiken als "Satzungen". </w:t>
      </w:r>
      <w:r w:rsidRPr="000A1182">
        <w:rPr>
          <w:rFonts w:eastAsia="Times New Roman" w:cs="Times New Roman"/>
          <w:b/>
          <w:bCs/>
          <w:rtl/>
          <w:lang w:eastAsia="de-DE"/>
        </w:rPr>
        <w:t>משלח מפניכם</w:t>
      </w:r>
      <w:r w:rsidRPr="000A1182">
        <w:rPr>
          <w:rFonts w:eastAsia="Times New Roman" w:cs="Times New Roman"/>
          <w:rtl/>
          <w:lang w:eastAsia="de-DE"/>
        </w:rPr>
        <w:t xml:space="preserve"> </w:t>
      </w:r>
      <w:r w:rsidRPr="000A1182">
        <w:rPr>
          <w:rFonts w:eastAsia="Times New Roman" w:cs="Times New Roman"/>
          <w:lang w:eastAsia="de-DE"/>
        </w:rPr>
        <w:t xml:space="preserve">zeigt Israel als Gottes Werkzeug der Vertreibung. </w:t>
      </w:r>
      <w:r w:rsidRPr="000A1182">
        <w:rPr>
          <w:rFonts w:eastAsia="Times New Roman" w:cs="Times New Roman"/>
          <w:b/>
          <w:bCs/>
          <w:rtl/>
          <w:lang w:eastAsia="de-DE"/>
        </w:rPr>
        <w:t>את־כל־אלה עשו</w:t>
      </w:r>
      <w:r w:rsidRPr="000A1182">
        <w:rPr>
          <w:rFonts w:eastAsia="Times New Roman" w:cs="Times New Roman"/>
          <w:rtl/>
          <w:lang w:eastAsia="de-DE"/>
        </w:rPr>
        <w:t xml:space="preserve"> </w:t>
      </w:r>
      <w:r w:rsidRPr="000A1182">
        <w:rPr>
          <w:rFonts w:eastAsia="Times New Roman" w:cs="Times New Roman"/>
          <w:lang w:eastAsia="de-DE"/>
        </w:rPr>
        <w:t xml:space="preserve">zeigt kanaanäische Praxis der verbotenen Vergehen. </w:t>
      </w:r>
      <w:r w:rsidRPr="000A1182">
        <w:rPr>
          <w:rFonts w:eastAsia="Times New Roman" w:cs="Times New Roman"/>
          <w:b/>
          <w:bCs/>
          <w:rtl/>
          <w:lang w:eastAsia="de-DE"/>
        </w:rPr>
        <w:t>ואקץ בם</w:t>
      </w:r>
      <w:r w:rsidRPr="000A1182">
        <w:rPr>
          <w:rFonts w:eastAsia="Times New Roman" w:cs="Times New Roman"/>
          <w:rtl/>
          <w:lang w:eastAsia="de-DE"/>
        </w:rPr>
        <w:t xml:space="preserve"> </w:t>
      </w:r>
      <w:r w:rsidRPr="000A1182">
        <w:rPr>
          <w:rFonts w:eastAsia="Times New Roman" w:cs="Times New Roman"/>
          <w:lang w:eastAsia="de-DE"/>
        </w:rPr>
        <w:t>zeigt göttliche Abscheu als Vertreibungsgrund.</w:t>
      </w:r>
    </w:p>
    <w:p w14:paraId="2EE5D792" w14:textId="4D792F92"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ואקץ בם</w:t>
      </w:r>
      <w:r w:rsidR="004F25E8">
        <w:t xml:space="preserve"> (</w:t>
      </w:r>
      <w:proofErr w:type="spellStart"/>
      <w:r w:rsidR="004F25E8">
        <w:t>wa'aqotz</w:t>
      </w:r>
      <w:proofErr w:type="spellEnd"/>
      <w:r w:rsidR="004F25E8">
        <w:t xml:space="preserve"> bam - "und ich empfand Ekel vor ihnen") als καὶ ἐβ</w:t>
      </w:r>
      <w:proofErr w:type="spellStart"/>
      <w:r w:rsidR="004F25E8">
        <w:t>δελυξάμην</w:t>
      </w:r>
      <w:proofErr w:type="spellEnd"/>
      <w:r w:rsidR="004F25E8">
        <w:t xml:space="preserve"> α</w:t>
      </w:r>
      <w:proofErr w:type="spellStart"/>
      <w:r w:rsidR="004F25E8">
        <w:t>ὐτούς</w:t>
      </w:r>
      <w:proofErr w:type="spellEnd"/>
      <w:r w:rsidR="004F25E8">
        <w:t xml:space="preserve"> (und ich verabscheute sie).</w:t>
      </w:r>
    </w:p>
    <w:p w14:paraId="428BC34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heidnische Abgrenzung: Verbot heidnischen Wandels + göttliche Vertreibung der Kanaaniter + kanaanäische Sündpraxis + göttliche Abscheu als Grund.</w:t>
      </w:r>
    </w:p>
    <w:p w14:paraId="06D00A7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begründet die Verbote durch das abschreckende Beispiel der zu vertreibenden Kanaaniter.</w:t>
      </w:r>
    </w:p>
    <w:p w14:paraId="762F02A6"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20,24</w:t>
      </w:r>
    </w:p>
    <w:p w14:paraId="04857EB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וָאֹמַ֣ר לָכֶ֗ם אַתֶּם֮ תִּֽירְשׁ֣וּ אֶת־אַדְמָתָם֒ וַאֲנִ֞י אֶתְּנֶ֤נָּה לָכֶם֙ לָרֶ֣שֶׁת אֹתָ֔הּ אֶ֛רֶץ זָבַ֥ת חָלָ֖ב וּדְבָ֑שׁ אֲנִי֙ יְהוָ֣ה אֱלֹֽהֵיכֶ֔ם אֲשֶׁר־הִבְדַּ֥לְתִּי אֶתְכֶ֖ם מִן־הָֽעַמִּֽים׃</w:t>
      </w:r>
    </w:p>
    <w:p w14:paraId="105ACEE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ich habe zu euch gesagt: Ihr sollt ihr Land besitzen, und ich werde es euch zum Besitz geben, ein Land, fließend von Milch und Honig. Ich bin der Ewige, euer Gott, der ich euch von den Völkern abgesondert habe.</w:t>
      </w:r>
    </w:p>
    <w:p w14:paraId="06BF6183"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408F5DD1">
          <v:rect id="_x0000_i1621" style="width:0;height:1.5pt" o:hralign="center" o:hrstd="t" o:hr="t" fillcolor="#a0a0a0" stroked="f"/>
        </w:pict>
      </w:r>
    </w:p>
    <w:p w14:paraId="770C94E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ואמר לכם אתם תירשו את־אדמתם ואני אתננה לכם לרשת אתה ארץ זבת חלב ודבש אני יהוה אלהיכם אשר־הבדלתי אתכם מן־העמים</w:t>
      </w:r>
      <w:r w:rsidRPr="000A1182">
        <w:rPr>
          <w:rFonts w:eastAsia="Times New Roman" w:cs="Times New Roman"/>
          <w:rtl/>
          <w:lang w:eastAsia="de-DE"/>
        </w:rPr>
        <w:t xml:space="preserve"> </w:t>
      </w:r>
      <w:r w:rsidRPr="000A1182">
        <w:rPr>
          <w:rFonts w:eastAsia="Times New Roman" w:cs="Times New Roman"/>
          <w:lang w:eastAsia="de-DE"/>
        </w:rPr>
        <w:t xml:space="preserve">zeigt die positive Verheißung als Gegensatz. </w:t>
      </w:r>
      <w:r w:rsidRPr="000A1182">
        <w:rPr>
          <w:rFonts w:eastAsia="Times New Roman" w:cs="Times New Roman"/>
          <w:b/>
          <w:bCs/>
          <w:rtl/>
          <w:lang w:eastAsia="de-DE"/>
        </w:rPr>
        <w:t>ואמר לכם אתם תירשו את־אדמתם</w:t>
      </w:r>
      <w:r w:rsidRPr="000A1182">
        <w:rPr>
          <w:rFonts w:eastAsia="Times New Roman" w:cs="Times New Roman"/>
          <w:rtl/>
          <w:lang w:eastAsia="de-DE"/>
        </w:rPr>
        <w:t xml:space="preserve"> </w:t>
      </w:r>
      <w:r w:rsidRPr="000A1182">
        <w:rPr>
          <w:rFonts w:eastAsia="Times New Roman" w:cs="Times New Roman"/>
          <w:lang w:eastAsia="de-DE"/>
        </w:rPr>
        <w:t xml:space="preserve">(und ich habe zu euch gesagt: Ihr sollt ihr Land besitzen) - </w:t>
      </w:r>
      <w:r w:rsidRPr="000A1182">
        <w:rPr>
          <w:rFonts w:eastAsia="Times New Roman" w:cs="Times New Roman"/>
          <w:b/>
          <w:bCs/>
          <w:rtl/>
          <w:lang w:eastAsia="de-DE"/>
        </w:rPr>
        <w:t>ואמר לכם</w:t>
      </w:r>
      <w:r w:rsidRPr="000A1182">
        <w:rPr>
          <w:rFonts w:eastAsia="Times New Roman" w:cs="Times New Roman"/>
          <w:rtl/>
          <w:lang w:eastAsia="de-DE"/>
        </w:rPr>
        <w:t xml:space="preserve"> </w:t>
      </w:r>
      <w:r w:rsidRPr="000A1182">
        <w:rPr>
          <w:rFonts w:eastAsia="Times New Roman" w:cs="Times New Roman"/>
          <w:lang w:eastAsia="de-DE"/>
        </w:rPr>
        <w:t xml:space="preserve">(und ich habe zu euch gesagt) zeigt göttliche Verheißung. </w:t>
      </w:r>
      <w:r w:rsidRPr="000A1182">
        <w:rPr>
          <w:rFonts w:eastAsia="Times New Roman" w:cs="Times New Roman"/>
          <w:b/>
          <w:bCs/>
          <w:rtl/>
          <w:lang w:eastAsia="de-DE"/>
        </w:rPr>
        <w:t>אתם תירשו</w:t>
      </w:r>
      <w:r w:rsidRPr="000A1182">
        <w:rPr>
          <w:rFonts w:eastAsia="Times New Roman" w:cs="Times New Roman"/>
          <w:rtl/>
          <w:lang w:eastAsia="de-DE"/>
        </w:rPr>
        <w:t xml:space="preserve"> </w:t>
      </w:r>
      <w:r w:rsidRPr="000A1182">
        <w:rPr>
          <w:rFonts w:eastAsia="Times New Roman" w:cs="Times New Roman"/>
          <w:lang w:eastAsia="de-DE"/>
        </w:rPr>
        <w:t xml:space="preserve">(ihr sollt besitzen) mit emphatischem </w:t>
      </w:r>
      <w:r w:rsidRPr="000A1182">
        <w:rPr>
          <w:rFonts w:eastAsia="Times New Roman" w:cs="Times New Roman"/>
          <w:b/>
          <w:bCs/>
          <w:rtl/>
          <w:lang w:eastAsia="de-DE"/>
        </w:rPr>
        <w:t>אתם</w:t>
      </w:r>
      <w:r w:rsidRPr="000A1182">
        <w:rPr>
          <w:rFonts w:eastAsia="Times New Roman" w:cs="Times New Roman"/>
          <w:rtl/>
          <w:lang w:eastAsia="de-DE"/>
        </w:rPr>
        <w:t xml:space="preserve"> </w:t>
      </w:r>
      <w:r w:rsidRPr="000A1182">
        <w:rPr>
          <w:rFonts w:eastAsia="Times New Roman" w:cs="Times New Roman"/>
          <w:lang w:eastAsia="de-DE"/>
        </w:rPr>
        <w:t xml:space="preserve">(ihr). </w:t>
      </w:r>
      <w:r w:rsidRPr="000A1182">
        <w:rPr>
          <w:rFonts w:eastAsia="Times New Roman" w:cs="Times New Roman"/>
          <w:b/>
          <w:bCs/>
          <w:rtl/>
          <w:lang w:eastAsia="de-DE"/>
        </w:rPr>
        <w:t>את־אדמתם</w:t>
      </w:r>
      <w:r w:rsidRPr="000A1182">
        <w:rPr>
          <w:rFonts w:eastAsia="Times New Roman" w:cs="Times New Roman"/>
          <w:rtl/>
          <w:lang w:eastAsia="de-DE"/>
        </w:rPr>
        <w:t xml:space="preserve"> </w:t>
      </w:r>
      <w:r w:rsidRPr="000A1182">
        <w:rPr>
          <w:rFonts w:eastAsia="Times New Roman" w:cs="Times New Roman"/>
          <w:lang w:eastAsia="de-DE"/>
        </w:rPr>
        <w:t>(ihr Land) zeigt das kanaanäische Land.</w:t>
      </w:r>
    </w:p>
    <w:p w14:paraId="38B9A2EF" w14:textId="73515F61"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ואני אתננה לכם לרשת אתה</w:t>
      </w:r>
      <w:r w:rsidRPr="000A1182">
        <w:rPr>
          <w:rFonts w:eastAsia="Times New Roman" w:cs="Times New Roman"/>
          <w:rtl/>
          <w:lang w:eastAsia="de-DE"/>
        </w:rPr>
        <w:t xml:space="preserve"> </w:t>
      </w:r>
      <w:r w:rsidRPr="000A1182">
        <w:rPr>
          <w:rFonts w:eastAsia="Times New Roman" w:cs="Times New Roman"/>
          <w:lang w:eastAsia="de-DE"/>
        </w:rPr>
        <w:t xml:space="preserve">(und ich werde es euch zum Besitz geben) - </w:t>
      </w:r>
      <w:r w:rsidRPr="000A1182">
        <w:rPr>
          <w:rFonts w:eastAsia="Times New Roman" w:cs="Times New Roman"/>
          <w:b/>
          <w:bCs/>
          <w:rtl/>
          <w:lang w:eastAsia="de-DE"/>
        </w:rPr>
        <w:t>ואני אתננה</w:t>
      </w:r>
      <w:r w:rsidRPr="000A1182">
        <w:rPr>
          <w:rFonts w:eastAsia="Times New Roman" w:cs="Times New Roman"/>
          <w:rtl/>
          <w:lang w:eastAsia="de-DE"/>
        </w:rPr>
        <w:t xml:space="preserve"> </w:t>
      </w:r>
      <w:r w:rsidRPr="000A1182">
        <w:rPr>
          <w:rFonts w:eastAsia="Times New Roman" w:cs="Times New Roman"/>
          <w:lang w:eastAsia="de-DE"/>
        </w:rPr>
        <w:t xml:space="preserve">(und ich werde es geben) mit emphatischem </w:t>
      </w:r>
      <w:r w:rsidRPr="000A1182">
        <w:rPr>
          <w:rFonts w:eastAsia="Times New Roman" w:cs="Times New Roman"/>
          <w:b/>
          <w:bCs/>
          <w:rtl/>
          <w:lang w:eastAsia="de-DE"/>
        </w:rPr>
        <w:t>אני</w:t>
      </w:r>
      <w:r w:rsidRPr="000A1182">
        <w:rPr>
          <w:rFonts w:eastAsia="Times New Roman" w:cs="Times New Roman"/>
          <w:rtl/>
          <w:lang w:eastAsia="de-DE"/>
        </w:rPr>
        <w:t xml:space="preserve"> </w:t>
      </w:r>
      <w:r w:rsidRPr="000A1182">
        <w:rPr>
          <w:rFonts w:eastAsia="Times New Roman" w:cs="Times New Roman"/>
          <w:lang w:eastAsia="de-DE"/>
        </w:rPr>
        <w:t xml:space="preserve">(ich) als göttliche Zusage. </w:t>
      </w:r>
      <w:r w:rsidRPr="000A1182">
        <w:rPr>
          <w:rFonts w:eastAsia="Times New Roman" w:cs="Times New Roman"/>
          <w:b/>
          <w:bCs/>
          <w:rtl/>
          <w:lang w:eastAsia="de-DE"/>
        </w:rPr>
        <w:t>לרשת אתה</w:t>
      </w:r>
      <w:r w:rsidRPr="000A1182">
        <w:rPr>
          <w:rFonts w:eastAsia="Times New Roman" w:cs="Times New Roman"/>
          <w:rtl/>
          <w:lang w:eastAsia="de-DE"/>
        </w:rPr>
        <w:t xml:space="preserve"> </w:t>
      </w:r>
      <w:r w:rsidRPr="000A1182">
        <w:rPr>
          <w:rFonts w:eastAsia="Times New Roman" w:cs="Times New Roman"/>
          <w:lang w:eastAsia="de-DE"/>
        </w:rPr>
        <w:t>(zum Besitz) als Infinitiv-</w:t>
      </w:r>
      <w:r w:rsidR="005407E2">
        <w:rPr>
          <w:rFonts w:eastAsia="Times New Roman" w:cs="Times New Roman"/>
          <w:lang w:eastAsia="de-DE"/>
        </w:rPr>
        <w:t>Constructus</w:t>
      </w:r>
      <w:r w:rsidRPr="000A1182">
        <w:rPr>
          <w:rFonts w:eastAsia="Times New Roman" w:cs="Times New Roman"/>
          <w:lang w:eastAsia="de-DE"/>
        </w:rPr>
        <w:t xml:space="preserve"> von </w:t>
      </w:r>
      <w:r w:rsidRPr="000A1182">
        <w:rPr>
          <w:rFonts w:eastAsia="Times New Roman" w:cs="Times New Roman"/>
          <w:b/>
          <w:bCs/>
          <w:rtl/>
          <w:lang w:eastAsia="de-DE"/>
        </w:rPr>
        <w:t>ירש</w:t>
      </w:r>
      <w:r w:rsidRPr="000A1182">
        <w:rPr>
          <w:rFonts w:eastAsia="Times New Roman" w:cs="Times New Roman"/>
          <w:lang w:eastAsia="de-DE"/>
        </w:rPr>
        <w:t>.</w:t>
      </w:r>
    </w:p>
    <w:p w14:paraId="44AC811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ארץ זבת חלב ודבש</w:t>
      </w:r>
      <w:r w:rsidRPr="000A1182">
        <w:rPr>
          <w:rFonts w:eastAsia="Times New Roman" w:cs="Times New Roman"/>
          <w:rtl/>
          <w:lang w:eastAsia="de-DE"/>
        </w:rPr>
        <w:t xml:space="preserve"> </w:t>
      </w:r>
      <w:r w:rsidRPr="000A1182">
        <w:rPr>
          <w:rFonts w:eastAsia="Times New Roman" w:cs="Times New Roman"/>
          <w:lang w:eastAsia="de-DE"/>
        </w:rPr>
        <w:t xml:space="preserve">(ein Land, fließend von Milch und Honig) als klassische Verheißungslandbezeichnung. </w:t>
      </w:r>
      <w:r w:rsidRPr="000A1182">
        <w:rPr>
          <w:rFonts w:eastAsia="Times New Roman" w:cs="Times New Roman"/>
          <w:b/>
          <w:bCs/>
          <w:rtl/>
          <w:lang w:eastAsia="de-DE"/>
        </w:rPr>
        <w:t>אני יהוה אלהיכם אשר־הבדלתי אתכם מן־העמים</w:t>
      </w:r>
      <w:r w:rsidRPr="000A1182">
        <w:rPr>
          <w:rFonts w:eastAsia="Times New Roman" w:cs="Times New Roman"/>
          <w:rtl/>
          <w:lang w:eastAsia="de-DE"/>
        </w:rPr>
        <w:t xml:space="preserve"> </w:t>
      </w:r>
      <w:r w:rsidRPr="000A1182">
        <w:rPr>
          <w:rFonts w:eastAsia="Times New Roman" w:cs="Times New Roman"/>
          <w:lang w:eastAsia="de-DE"/>
        </w:rPr>
        <w:t xml:space="preserve">(ich bin der Ewige, euer Gott, der ich euch von den Völkern abgesondert habe) - </w:t>
      </w:r>
      <w:r w:rsidRPr="000A1182">
        <w:rPr>
          <w:rFonts w:eastAsia="Times New Roman" w:cs="Times New Roman"/>
          <w:b/>
          <w:bCs/>
          <w:rtl/>
          <w:lang w:eastAsia="de-DE"/>
        </w:rPr>
        <w:t>הבדלתי</w:t>
      </w:r>
      <w:r w:rsidRPr="000A1182">
        <w:rPr>
          <w:rFonts w:eastAsia="Times New Roman" w:cs="Times New Roman"/>
          <w:rtl/>
          <w:lang w:eastAsia="de-DE"/>
        </w:rPr>
        <w:t xml:space="preserve"> </w:t>
      </w:r>
      <w:r w:rsidRPr="000A1182">
        <w:rPr>
          <w:rFonts w:eastAsia="Times New Roman" w:cs="Times New Roman"/>
          <w:lang w:eastAsia="de-DE"/>
        </w:rPr>
        <w:t>(habe abgesondert) im Hifil-Perfekt, das Hifil zeigt kausative Absonderung.</w:t>
      </w:r>
    </w:p>
    <w:p w14:paraId="28E045A4"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lastRenderedPageBreak/>
        <w:t>אתם</w:t>
      </w:r>
      <w:r w:rsidRPr="000A1182">
        <w:rPr>
          <w:rFonts w:eastAsia="Times New Roman" w:cs="Times New Roman"/>
          <w:rtl/>
          <w:lang w:eastAsia="de-DE"/>
        </w:rPr>
        <w:t xml:space="preserve"> </w:t>
      </w:r>
      <w:r w:rsidRPr="000A1182">
        <w:rPr>
          <w:rFonts w:eastAsia="Times New Roman" w:cs="Times New Roman"/>
          <w:lang w:eastAsia="de-DE"/>
        </w:rPr>
        <w:t xml:space="preserve">und </w:t>
      </w:r>
      <w:r w:rsidRPr="000A1182">
        <w:rPr>
          <w:rFonts w:eastAsia="Times New Roman" w:cs="Times New Roman"/>
          <w:b/>
          <w:bCs/>
          <w:rtl/>
          <w:lang w:eastAsia="de-DE"/>
        </w:rPr>
        <w:t>ואני</w:t>
      </w:r>
      <w:r w:rsidRPr="000A1182">
        <w:rPr>
          <w:rFonts w:eastAsia="Times New Roman" w:cs="Times New Roman"/>
          <w:rtl/>
          <w:lang w:eastAsia="de-DE"/>
        </w:rPr>
        <w:t xml:space="preserve"> </w:t>
      </w:r>
      <w:r w:rsidRPr="000A1182">
        <w:rPr>
          <w:rFonts w:eastAsia="Times New Roman" w:cs="Times New Roman"/>
          <w:lang w:eastAsia="de-DE"/>
        </w:rPr>
        <w:t xml:space="preserve">als emphatische Gegenüberstellung zeigen die Bundespartnerschaft. </w:t>
      </w:r>
      <w:r w:rsidRPr="000A1182">
        <w:rPr>
          <w:rFonts w:eastAsia="Times New Roman" w:cs="Times New Roman"/>
          <w:b/>
          <w:bCs/>
          <w:rtl/>
          <w:lang w:eastAsia="de-DE"/>
        </w:rPr>
        <w:t>ארץ זבת חלב ודבש</w:t>
      </w:r>
      <w:r w:rsidRPr="000A1182">
        <w:rPr>
          <w:rFonts w:eastAsia="Times New Roman" w:cs="Times New Roman"/>
          <w:rtl/>
          <w:lang w:eastAsia="de-DE"/>
        </w:rPr>
        <w:t xml:space="preserve"> </w:t>
      </w:r>
      <w:r w:rsidRPr="000A1182">
        <w:rPr>
          <w:rFonts w:eastAsia="Times New Roman" w:cs="Times New Roman"/>
          <w:lang w:eastAsia="de-DE"/>
        </w:rPr>
        <w:t xml:space="preserve">zeigt die Landverheißung. </w:t>
      </w:r>
      <w:r w:rsidRPr="000A1182">
        <w:rPr>
          <w:rFonts w:eastAsia="Times New Roman" w:cs="Times New Roman"/>
          <w:b/>
          <w:bCs/>
          <w:rtl/>
          <w:lang w:eastAsia="de-DE"/>
        </w:rPr>
        <w:t>הבדלתי אתכם מן־העמים</w:t>
      </w:r>
      <w:r w:rsidRPr="000A1182">
        <w:rPr>
          <w:rFonts w:eastAsia="Times New Roman" w:cs="Times New Roman"/>
          <w:rtl/>
          <w:lang w:eastAsia="de-DE"/>
        </w:rPr>
        <w:t xml:space="preserve"> </w:t>
      </w:r>
      <w:r w:rsidRPr="000A1182">
        <w:rPr>
          <w:rFonts w:eastAsia="Times New Roman" w:cs="Times New Roman"/>
          <w:lang w:eastAsia="de-DE"/>
        </w:rPr>
        <w:t>zeigt Erwählung als Absonderung.</w:t>
      </w:r>
    </w:p>
    <w:p w14:paraId="3EDC5D99" w14:textId="157FAF09"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הבדלתי</w:t>
      </w:r>
      <w:r w:rsidR="004F25E8">
        <w:t xml:space="preserve"> (</w:t>
      </w:r>
      <w:proofErr w:type="spellStart"/>
      <w:r w:rsidR="004F25E8">
        <w:t>hivdalti</w:t>
      </w:r>
      <w:proofErr w:type="spellEnd"/>
      <w:r w:rsidR="004F25E8">
        <w:t xml:space="preserve"> - "ich habe unterschieden") als </w:t>
      </w:r>
      <w:proofErr w:type="spellStart"/>
      <w:r w:rsidR="004F25E8">
        <w:t>διώρισ</w:t>
      </w:r>
      <w:proofErr w:type="spellEnd"/>
      <w:r w:rsidR="004F25E8">
        <w:t>α (ich habe abgegrenzt), was eine stärkere Separation impliziert.</w:t>
      </w:r>
    </w:p>
    <w:p w14:paraId="26FF993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Landverheißung: göttliche Landbesitzverheißung + göttliche Landgabe + klassische Landbezeichnung + Erwählungsgrund durch Völkerabsonderung.</w:t>
      </w:r>
    </w:p>
    <w:p w14:paraId="36A4A1C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kontrastiert die Landverheißung für Israel mit der Landentziehung bei den Kanaanitern.</w:t>
      </w:r>
    </w:p>
    <w:p w14:paraId="64DF12E0"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20,25</w:t>
      </w:r>
    </w:p>
    <w:p w14:paraId="5CE4156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וְהִבְדַּלְתֶּ֞ם בֵּֽין־הַבְּהֵמָ֤ה הַטְּהֹרָה֙ לַטְּמֵאָ֔ה וּבֵין־הָע֥וֹף הַטָּמֵ֖א לַטָּהֹ֑ר וְלֹֽא־תְשַׁקְּצ֨וּ אֶת־נַפְשֹֽׁתֵיכֶ֜ם בַּבְּהֵמָ֣ה וּבָע֗וֹף וּבְכֹל֙ אֲשֶׁ֣ר תִּרְמֹ֣שׂ הָֽאֲדָמָ֔ה אֲשֶׁר־הִבְדַּ֥לְתִּי לָכֶ֖ם לְטַמֵּֽא׃</w:t>
      </w:r>
    </w:p>
    <w:p w14:paraId="3517190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ihr sollt unterscheiden zwischen dem reinen Vieh und dem unreinen, und zwischen dem unreinen Geflügel und dem reinen, und ihr sollt euch selbst nicht abscheulich machen durch das Vieh und durch das Geflügel und durch alles, was sich auf dem Erdboden regt, was ich für euch ausgesondert habe, damit ihr es für unrein haltet.</w:t>
      </w:r>
    </w:p>
    <w:p w14:paraId="52288D0B"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570EF24B">
          <v:rect id="_x0000_i1622" style="width:0;height:1.5pt" o:hralign="center" o:hrstd="t" o:hr="t" fillcolor="#a0a0a0" stroked="f"/>
        </w:pict>
      </w:r>
    </w:p>
    <w:p w14:paraId="78B7B4DC"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והבדלתם בין־הבהמה הטהרה לטמאה ובין־העוף הטמא לטהר ולא־תשקצו את־נפשתיכם בבהמה ובעוף ובכל אשר תרמש האדמה אשר־הבדלתי לכם לטמא</w:t>
      </w:r>
      <w:r w:rsidRPr="000A1182">
        <w:rPr>
          <w:rFonts w:eastAsia="Times New Roman" w:cs="Times New Roman"/>
          <w:rtl/>
          <w:lang w:eastAsia="de-DE"/>
        </w:rPr>
        <w:t xml:space="preserve"> </w:t>
      </w:r>
      <w:r w:rsidRPr="000A1182">
        <w:rPr>
          <w:rFonts w:eastAsia="Times New Roman" w:cs="Times New Roman"/>
          <w:lang w:eastAsia="de-DE"/>
        </w:rPr>
        <w:t xml:space="preserve">zeigt praktische Heiligung durch Speisegesetze. </w:t>
      </w:r>
      <w:r w:rsidRPr="000A1182">
        <w:rPr>
          <w:rFonts w:eastAsia="Times New Roman" w:cs="Times New Roman"/>
          <w:b/>
          <w:bCs/>
          <w:rtl/>
          <w:lang w:eastAsia="de-DE"/>
        </w:rPr>
        <w:t>והבדלתם בין־הבהמה הטהרה לטמאה ובין־העוף הטמא לטהר</w:t>
      </w:r>
      <w:r w:rsidRPr="000A1182">
        <w:rPr>
          <w:rFonts w:eastAsia="Times New Roman" w:cs="Times New Roman"/>
          <w:rtl/>
          <w:lang w:eastAsia="de-DE"/>
        </w:rPr>
        <w:t xml:space="preserve"> </w:t>
      </w:r>
      <w:r w:rsidRPr="000A1182">
        <w:rPr>
          <w:rFonts w:eastAsia="Times New Roman" w:cs="Times New Roman"/>
          <w:lang w:eastAsia="de-DE"/>
        </w:rPr>
        <w:t xml:space="preserve">(und ihr sollt unterscheiden zwischen dem reinen Vieh und dem unreinen, und zwischen dem unreinen Geflügel und dem reinen) - </w:t>
      </w:r>
      <w:r w:rsidRPr="000A1182">
        <w:rPr>
          <w:rFonts w:eastAsia="Times New Roman" w:cs="Times New Roman"/>
          <w:b/>
          <w:bCs/>
          <w:rtl/>
          <w:lang w:eastAsia="de-DE"/>
        </w:rPr>
        <w:t>והבדלתם</w:t>
      </w:r>
      <w:r w:rsidRPr="000A1182">
        <w:rPr>
          <w:rFonts w:eastAsia="Times New Roman" w:cs="Times New Roman"/>
          <w:rtl/>
          <w:lang w:eastAsia="de-DE"/>
        </w:rPr>
        <w:t xml:space="preserve"> </w:t>
      </w:r>
      <w:r w:rsidRPr="000A1182">
        <w:rPr>
          <w:rFonts w:eastAsia="Times New Roman" w:cs="Times New Roman"/>
          <w:lang w:eastAsia="de-DE"/>
        </w:rPr>
        <w:t xml:space="preserve">(und ihr sollt unterscheiden) im Hifil-Perfekt mit Waw-Konsekutiv entspricht der göttlichen Absonderung aus V. 24. </w:t>
      </w:r>
      <w:r w:rsidRPr="000A1182">
        <w:rPr>
          <w:rFonts w:eastAsia="Times New Roman" w:cs="Times New Roman"/>
          <w:b/>
          <w:bCs/>
          <w:rtl/>
          <w:lang w:eastAsia="de-DE"/>
        </w:rPr>
        <w:t>בין...ל</w:t>
      </w:r>
      <w:r w:rsidRPr="000A1182">
        <w:rPr>
          <w:rFonts w:eastAsia="Times New Roman" w:cs="Times New Roman"/>
          <w:rtl/>
          <w:lang w:eastAsia="de-DE"/>
        </w:rPr>
        <w:t xml:space="preserve"> </w:t>
      </w:r>
      <w:r w:rsidRPr="000A1182">
        <w:rPr>
          <w:rFonts w:eastAsia="Times New Roman" w:cs="Times New Roman"/>
          <w:lang w:eastAsia="de-DE"/>
        </w:rPr>
        <w:t>(zwischen...und) zeigt die nötige Unterscheidung.</w:t>
      </w:r>
    </w:p>
    <w:p w14:paraId="3AA2624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ולא־תשקצו את־נפשתיכם בבהמה ובעוף ובכל אשר תרמש האדמה</w:t>
      </w:r>
      <w:r w:rsidRPr="000A1182">
        <w:rPr>
          <w:rFonts w:eastAsia="Times New Roman" w:cs="Times New Roman"/>
          <w:rtl/>
          <w:lang w:eastAsia="de-DE"/>
        </w:rPr>
        <w:t xml:space="preserve"> </w:t>
      </w:r>
      <w:r w:rsidRPr="000A1182">
        <w:rPr>
          <w:rFonts w:eastAsia="Times New Roman" w:cs="Times New Roman"/>
          <w:lang w:eastAsia="de-DE"/>
        </w:rPr>
        <w:t xml:space="preserve">(und ihr sollt euch selbst nicht abscheulich machen durch das Vieh und durch das Geflügel und durch alles, was sich auf dem Erdboden regt) - </w:t>
      </w:r>
      <w:r w:rsidRPr="000A1182">
        <w:rPr>
          <w:rFonts w:eastAsia="Times New Roman" w:cs="Times New Roman"/>
          <w:b/>
          <w:bCs/>
          <w:rtl/>
          <w:lang w:eastAsia="de-DE"/>
        </w:rPr>
        <w:t>לא־תשקצו</w:t>
      </w:r>
      <w:r w:rsidRPr="000A1182">
        <w:rPr>
          <w:rFonts w:eastAsia="Times New Roman" w:cs="Times New Roman"/>
          <w:rtl/>
          <w:lang w:eastAsia="de-DE"/>
        </w:rPr>
        <w:t xml:space="preserve"> </w:t>
      </w:r>
      <w:r w:rsidRPr="000A1182">
        <w:rPr>
          <w:rFonts w:eastAsia="Times New Roman" w:cs="Times New Roman"/>
          <w:lang w:eastAsia="de-DE"/>
        </w:rPr>
        <w:t xml:space="preserve">(ihr sollt nicht abscheulich machen) im Piel-Imperfekt, das Piel zeigt intensive Verabscheuung. </w:t>
      </w:r>
      <w:r w:rsidRPr="000A1182">
        <w:rPr>
          <w:rFonts w:eastAsia="Times New Roman" w:cs="Times New Roman"/>
          <w:b/>
          <w:bCs/>
          <w:rtl/>
          <w:lang w:eastAsia="de-DE"/>
        </w:rPr>
        <w:t>את־נפשתיכם</w:t>
      </w:r>
      <w:r w:rsidRPr="000A1182">
        <w:rPr>
          <w:rFonts w:eastAsia="Times New Roman" w:cs="Times New Roman"/>
          <w:rtl/>
          <w:lang w:eastAsia="de-DE"/>
        </w:rPr>
        <w:t xml:space="preserve"> </w:t>
      </w:r>
      <w:r w:rsidRPr="000A1182">
        <w:rPr>
          <w:rFonts w:eastAsia="Times New Roman" w:cs="Times New Roman"/>
          <w:lang w:eastAsia="de-DE"/>
        </w:rPr>
        <w:t>(euch selbst) zeigt Selbstverunreinigung.</w:t>
      </w:r>
    </w:p>
    <w:p w14:paraId="02A0BEC5"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אשר־הבדלתי לכם לטמא</w:t>
      </w:r>
      <w:r w:rsidRPr="000A1182">
        <w:rPr>
          <w:rFonts w:eastAsia="Times New Roman" w:cs="Times New Roman"/>
          <w:rtl/>
          <w:lang w:eastAsia="de-DE"/>
        </w:rPr>
        <w:t xml:space="preserve"> </w:t>
      </w:r>
      <w:r w:rsidRPr="000A1182">
        <w:rPr>
          <w:rFonts w:eastAsia="Times New Roman" w:cs="Times New Roman"/>
          <w:lang w:eastAsia="de-DE"/>
        </w:rPr>
        <w:t xml:space="preserve">(was ich für euch ausgesondert habe, damit ihr es für unrein haltet) - </w:t>
      </w:r>
      <w:r w:rsidRPr="000A1182">
        <w:rPr>
          <w:rFonts w:eastAsia="Times New Roman" w:cs="Times New Roman"/>
          <w:b/>
          <w:bCs/>
          <w:rtl/>
          <w:lang w:eastAsia="de-DE"/>
        </w:rPr>
        <w:t>הבדלתי</w:t>
      </w:r>
      <w:r w:rsidRPr="000A1182">
        <w:rPr>
          <w:rFonts w:eastAsia="Times New Roman" w:cs="Times New Roman"/>
          <w:rtl/>
          <w:lang w:eastAsia="de-DE"/>
        </w:rPr>
        <w:t xml:space="preserve"> </w:t>
      </w:r>
      <w:r w:rsidRPr="000A1182">
        <w:rPr>
          <w:rFonts w:eastAsia="Times New Roman" w:cs="Times New Roman"/>
          <w:lang w:eastAsia="de-DE"/>
        </w:rPr>
        <w:t xml:space="preserve">(habe ausgesondert) entspricht der Völkerabsonderung. </w:t>
      </w:r>
      <w:r w:rsidRPr="000A1182">
        <w:rPr>
          <w:rFonts w:eastAsia="Times New Roman" w:cs="Times New Roman"/>
          <w:b/>
          <w:bCs/>
          <w:rtl/>
          <w:lang w:eastAsia="de-DE"/>
        </w:rPr>
        <w:t>לטמא</w:t>
      </w:r>
      <w:r w:rsidRPr="000A1182">
        <w:rPr>
          <w:rFonts w:eastAsia="Times New Roman" w:cs="Times New Roman"/>
          <w:rtl/>
          <w:lang w:eastAsia="de-DE"/>
        </w:rPr>
        <w:t xml:space="preserve"> </w:t>
      </w:r>
      <w:r w:rsidRPr="000A1182">
        <w:rPr>
          <w:rFonts w:eastAsia="Times New Roman" w:cs="Times New Roman"/>
          <w:lang w:eastAsia="de-DE"/>
        </w:rPr>
        <w:t>(für unrein) als Zweck der göttlichen Absonderung.</w:t>
      </w:r>
    </w:p>
    <w:p w14:paraId="6BC34CE7"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והבדלתם</w:t>
      </w:r>
      <w:r w:rsidRPr="000A1182">
        <w:rPr>
          <w:rFonts w:eastAsia="Times New Roman" w:cs="Times New Roman"/>
          <w:rtl/>
          <w:lang w:eastAsia="de-DE"/>
        </w:rPr>
        <w:t xml:space="preserve"> </w:t>
      </w:r>
      <w:r w:rsidRPr="000A1182">
        <w:rPr>
          <w:rFonts w:eastAsia="Times New Roman" w:cs="Times New Roman"/>
          <w:lang w:eastAsia="de-DE"/>
        </w:rPr>
        <w:t xml:space="preserve">als menschliche Entsprechung zur göttlichen </w:t>
      </w:r>
      <w:r w:rsidRPr="000A1182">
        <w:rPr>
          <w:rFonts w:eastAsia="Times New Roman" w:cs="Times New Roman"/>
          <w:b/>
          <w:bCs/>
          <w:rtl/>
          <w:lang w:eastAsia="de-DE"/>
        </w:rPr>
        <w:t>הבדלתי</w:t>
      </w:r>
      <w:r w:rsidRPr="000A1182">
        <w:rPr>
          <w:rFonts w:eastAsia="Times New Roman" w:cs="Times New Roman"/>
          <w:lang w:eastAsia="de-DE"/>
        </w:rPr>
        <w:t xml:space="preserve">. </w:t>
      </w:r>
      <w:r w:rsidRPr="000A1182">
        <w:rPr>
          <w:rFonts w:eastAsia="Times New Roman" w:cs="Times New Roman"/>
          <w:b/>
          <w:bCs/>
          <w:rtl/>
          <w:lang w:eastAsia="de-DE"/>
        </w:rPr>
        <w:t>לא־תשקצו את־נפשתיכם</w:t>
      </w:r>
      <w:r w:rsidRPr="000A1182">
        <w:rPr>
          <w:rFonts w:eastAsia="Times New Roman" w:cs="Times New Roman"/>
          <w:rtl/>
          <w:lang w:eastAsia="de-DE"/>
        </w:rPr>
        <w:t xml:space="preserve"> </w:t>
      </w:r>
      <w:r w:rsidRPr="000A1182">
        <w:rPr>
          <w:rFonts w:eastAsia="Times New Roman" w:cs="Times New Roman"/>
          <w:lang w:eastAsia="de-DE"/>
        </w:rPr>
        <w:t xml:space="preserve">zeigt Selbstverantwortung für Reinheit. </w:t>
      </w:r>
      <w:r w:rsidRPr="000A1182">
        <w:rPr>
          <w:rFonts w:eastAsia="Times New Roman" w:cs="Times New Roman"/>
          <w:b/>
          <w:bCs/>
          <w:rtl/>
          <w:lang w:eastAsia="de-DE"/>
        </w:rPr>
        <w:t>הבדלתי לכם לטמא</w:t>
      </w:r>
      <w:r w:rsidRPr="000A1182">
        <w:rPr>
          <w:rFonts w:eastAsia="Times New Roman" w:cs="Times New Roman"/>
          <w:rtl/>
          <w:lang w:eastAsia="de-DE"/>
        </w:rPr>
        <w:t xml:space="preserve"> </w:t>
      </w:r>
      <w:r w:rsidRPr="000A1182">
        <w:rPr>
          <w:rFonts w:eastAsia="Times New Roman" w:cs="Times New Roman"/>
          <w:lang w:eastAsia="de-DE"/>
        </w:rPr>
        <w:t>zeigt göttliche Vorgabe der Unreinheitskategorien.</w:t>
      </w:r>
    </w:p>
    <w:p w14:paraId="3E6A22BF" w14:textId="3CE40904"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erweitert die Tierkategorien um </w:t>
      </w:r>
      <w:proofErr w:type="spellStart"/>
      <w:r w:rsidR="004F25E8">
        <w:t>ἑρ</w:t>
      </w:r>
      <w:proofErr w:type="spellEnd"/>
      <w:r w:rsidR="004F25E8">
        <w:t xml:space="preserve">πετοῖς </w:t>
      </w:r>
      <w:proofErr w:type="spellStart"/>
      <w:r w:rsidR="004F25E8">
        <w:t>τῆς</w:t>
      </w:r>
      <w:proofErr w:type="spellEnd"/>
      <w:r w:rsidR="004F25E8">
        <w:t xml:space="preserve"> </w:t>
      </w:r>
      <w:proofErr w:type="spellStart"/>
      <w:r w:rsidR="004F25E8">
        <w:t>γῆς</w:t>
      </w:r>
      <w:proofErr w:type="spellEnd"/>
      <w:r w:rsidR="004F25E8">
        <w:t xml:space="preserve"> (Kriechtiere der Erde) und verwendet </w:t>
      </w:r>
      <w:proofErr w:type="spellStart"/>
      <w:r w:rsidR="004F25E8">
        <w:t>ἀφώρισ</w:t>
      </w:r>
      <w:proofErr w:type="spellEnd"/>
      <w:r w:rsidR="004F25E8">
        <w:t xml:space="preserve">α (ich habe abgesondert) statt des hebräischen </w:t>
      </w:r>
      <w:r w:rsidR="004F25E8">
        <w:rPr>
          <w:rtl/>
        </w:rPr>
        <w:t>הבדלתי</w:t>
      </w:r>
      <w:r w:rsidR="004F25E8">
        <w:t>.</w:t>
      </w:r>
    </w:p>
    <w:p w14:paraId="08C3C84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Die Satzstruktur</w:t>
      </w:r>
      <w:r w:rsidRPr="000A1182">
        <w:rPr>
          <w:rFonts w:eastAsia="Times New Roman" w:cs="Times New Roman"/>
          <w:lang w:eastAsia="de-DE"/>
        </w:rPr>
        <w:t xml:space="preserve"> zeigt praktische Heiligung: menschliche Unterscheidungspflicht + Selbstverunreinigungsverbot + göttliche Vorgabe der Unreinheitskategorien.</w:t>
      </w:r>
    </w:p>
    <w:p w14:paraId="59E77C9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zeigt die Speisegesetze als praktische Entsprechung zur göttlichen Völkerabsonderung.</w:t>
      </w:r>
    </w:p>
    <w:p w14:paraId="20A4D361"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20,26</w:t>
      </w:r>
    </w:p>
    <w:p w14:paraId="6E4DEE20"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וִהְיִ֤יתֶם לִי֙ קְדֹשִׁ֔ים כִּ֥י קָד֖וֹשׁ אֲנִ֣י יְהוָ֑ה וָאַבְדִּ֥ל אֶתְכֶ֛ם מִן־הָֽעַמִּ֖ים לִהְי֥וֹת לִֽי׃</w:t>
      </w:r>
    </w:p>
    <w:p w14:paraId="3EB5432D"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ihr sollt mir heilig sein, denn ich, der Ewige, bin heilig, und ich habe euch von den Völkern abgesondert, damit ihr mein seid.</w:t>
      </w:r>
    </w:p>
    <w:p w14:paraId="4ADEF16F"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7371F924">
          <v:rect id="_x0000_i1623" style="width:0;height:1.5pt" o:hralign="center" o:hrstd="t" o:hr="t" fillcolor="#a0a0a0" stroked="f"/>
        </w:pict>
      </w:r>
    </w:p>
    <w:p w14:paraId="65E1123A"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Kommentar:</w:t>
      </w:r>
      <w:r w:rsidRPr="000A1182">
        <w:rPr>
          <w:rFonts w:eastAsia="Times New Roman" w:cs="Times New Roman"/>
          <w:lang w:eastAsia="de-DE"/>
        </w:rPr>
        <w:t xml:space="preserve"> </w:t>
      </w:r>
      <w:r w:rsidRPr="000A1182">
        <w:rPr>
          <w:rFonts w:eastAsia="Times New Roman" w:cs="Times New Roman"/>
          <w:b/>
          <w:bCs/>
          <w:rtl/>
          <w:lang w:eastAsia="de-DE"/>
        </w:rPr>
        <w:t>והייתם לי קדשים כי קדוש אני יהוה ואבדל אתכם מן־העמים להיות לי</w:t>
      </w:r>
      <w:r w:rsidRPr="000A1182">
        <w:rPr>
          <w:rFonts w:eastAsia="Times New Roman" w:cs="Times New Roman"/>
          <w:rtl/>
          <w:lang w:eastAsia="de-DE"/>
        </w:rPr>
        <w:t xml:space="preserve"> </w:t>
      </w:r>
      <w:r w:rsidRPr="000A1182">
        <w:rPr>
          <w:rFonts w:eastAsia="Times New Roman" w:cs="Times New Roman"/>
          <w:lang w:eastAsia="de-DE"/>
        </w:rPr>
        <w:t xml:space="preserve">fasst das Heiligkeitskapitel zusammen. </w:t>
      </w:r>
      <w:r w:rsidRPr="000A1182">
        <w:rPr>
          <w:rFonts w:eastAsia="Times New Roman" w:cs="Times New Roman"/>
          <w:b/>
          <w:bCs/>
          <w:rtl/>
          <w:lang w:eastAsia="de-DE"/>
        </w:rPr>
        <w:t>והייתם לי קדשים</w:t>
      </w:r>
      <w:r w:rsidRPr="000A1182">
        <w:rPr>
          <w:rFonts w:eastAsia="Times New Roman" w:cs="Times New Roman"/>
          <w:rtl/>
          <w:lang w:eastAsia="de-DE"/>
        </w:rPr>
        <w:t xml:space="preserve"> </w:t>
      </w:r>
      <w:r w:rsidRPr="000A1182">
        <w:rPr>
          <w:rFonts w:eastAsia="Times New Roman" w:cs="Times New Roman"/>
          <w:lang w:eastAsia="de-DE"/>
        </w:rPr>
        <w:t xml:space="preserve">(und ihr sollt mir heilig sein) - </w:t>
      </w:r>
      <w:r w:rsidRPr="000A1182">
        <w:rPr>
          <w:rFonts w:eastAsia="Times New Roman" w:cs="Times New Roman"/>
          <w:b/>
          <w:bCs/>
          <w:rtl/>
          <w:lang w:eastAsia="de-DE"/>
        </w:rPr>
        <w:t>והייתם</w:t>
      </w:r>
      <w:r w:rsidRPr="000A1182">
        <w:rPr>
          <w:rFonts w:eastAsia="Times New Roman" w:cs="Times New Roman"/>
          <w:rtl/>
          <w:lang w:eastAsia="de-DE"/>
        </w:rPr>
        <w:t xml:space="preserve"> </w:t>
      </w:r>
      <w:r w:rsidRPr="000A1182">
        <w:rPr>
          <w:rFonts w:eastAsia="Times New Roman" w:cs="Times New Roman"/>
          <w:lang w:eastAsia="de-DE"/>
        </w:rPr>
        <w:t xml:space="preserve">(und ihr sollt sein) im Qal-Perfekt mit Waw-Konsekutiv, </w:t>
      </w:r>
      <w:r w:rsidRPr="000A1182">
        <w:rPr>
          <w:rFonts w:eastAsia="Times New Roman" w:cs="Times New Roman"/>
          <w:b/>
          <w:bCs/>
          <w:rtl/>
          <w:lang w:eastAsia="de-DE"/>
        </w:rPr>
        <w:t>לי קדשים</w:t>
      </w:r>
      <w:r w:rsidRPr="000A1182">
        <w:rPr>
          <w:rFonts w:eastAsia="Times New Roman" w:cs="Times New Roman"/>
          <w:rtl/>
          <w:lang w:eastAsia="de-DE"/>
        </w:rPr>
        <w:t xml:space="preserve"> </w:t>
      </w:r>
      <w:r w:rsidRPr="000A1182">
        <w:rPr>
          <w:rFonts w:eastAsia="Times New Roman" w:cs="Times New Roman"/>
          <w:lang w:eastAsia="de-DE"/>
        </w:rPr>
        <w:t>(mir heilig) zeigt JHWH als Heiligkeitsziel entsprechend 19,2.</w:t>
      </w:r>
    </w:p>
    <w:p w14:paraId="0685324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כי קדוש אני יהוה</w:t>
      </w:r>
      <w:r w:rsidRPr="000A1182">
        <w:rPr>
          <w:rFonts w:eastAsia="Times New Roman" w:cs="Times New Roman"/>
          <w:rtl/>
          <w:lang w:eastAsia="de-DE"/>
        </w:rPr>
        <w:t xml:space="preserve"> </w:t>
      </w:r>
      <w:r w:rsidRPr="000A1182">
        <w:rPr>
          <w:rFonts w:eastAsia="Times New Roman" w:cs="Times New Roman"/>
          <w:lang w:eastAsia="de-DE"/>
        </w:rPr>
        <w:t xml:space="preserve">(denn ich, der Ewige, bin heilig) entspricht 19,2 und zeigt die imitatio Dei als Heiligkeitsgrund. </w:t>
      </w:r>
      <w:r w:rsidRPr="000A1182">
        <w:rPr>
          <w:rFonts w:eastAsia="Times New Roman" w:cs="Times New Roman"/>
          <w:b/>
          <w:bCs/>
          <w:rtl/>
          <w:lang w:eastAsia="de-DE"/>
        </w:rPr>
        <w:t>ואבדל אתכם מן־העמים להיות לי</w:t>
      </w:r>
      <w:r w:rsidRPr="000A1182">
        <w:rPr>
          <w:rFonts w:eastAsia="Times New Roman" w:cs="Times New Roman"/>
          <w:rtl/>
          <w:lang w:eastAsia="de-DE"/>
        </w:rPr>
        <w:t xml:space="preserve"> </w:t>
      </w:r>
      <w:r w:rsidRPr="000A1182">
        <w:rPr>
          <w:rFonts w:eastAsia="Times New Roman" w:cs="Times New Roman"/>
          <w:lang w:eastAsia="de-DE"/>
        </w:rPr>
        <w:t xml:space="preserve">(und ich habe euch von den Völkern abgesondert, damit ihr mein seid) - </w:t>
      </w:r>
      <w:r w:rsidRPr="000A1182">
        <w:rPr>
          <w:rFonts w:eastAsia="Times New Roman" w:cs="Times New Roman"/>
          <w:b/>
          <w:bCs/>
          <w:rtl/>
          <w:lang w:eastAsia="de-DE"/>
        </w:rPr>
        <w:t>ואבדל</w:t>
      </w:r>
      <w:r w:rsidRPr="000A1182">
        <w:rPr>
          <w:rFonts w:eastAsia="Times New Roman" w:cs="Times New Roman"/>
          <w:rtl/>
          <w:lang w:eastAsia="de-DE"/>
        </w:rPr>
        <w:t xml:space="preserve"> </w:t>
      </w:r>
      <w:r w:rsidRPr="000A1182">
        <w:rPr>
          <w:rFonts w:eastAsia="Times New Roman" w:cs="Times New Roman"/>
          <w:lang w:eastAsia="de-DE"/>
        </w:rPr>
        <w:t xml:space="preserve">(und ich habe abgesondert) im Hifil-Perfekt mit Waw-Konsekutiv entspricht V. 24. </w:t>
      </w:r>
      <w:r w:rsidRPr="000A1182">
        <w:rPr>
          <w:rFonts w:eastAsia="Times New Roman" w:cs="Times New Roman"/>
          <w:b/>
          <w:bCs/>
          <w:rtl/>
          <w:lang w:eastAsia="de-DE"/>
        </w:rPr>
        <w:t>להיות לי</w:t>
      </w:r>
      <w:r w:rsidRPr="000A1182">
        <w:rPr>
          <w:rFonts w:eastAsia="Times New Roman" w:cs="Times New Roman"/>
          <w:rtl/>
          <w:lang w:eastAsia="de-DE"/>
        </w:rPr>
        <w:t xml:space="preserve"> </w:t>
      </w:r>
      <w:r w:rsidRPr="000A1182">
        <w:rPr>
          <w:rFonts w:eastAsia="Times New Roman" w:cs="Times New Roman"/>
          <w:lang w:eastAsia="de-DE"/>
        </w:rPr>
        <w:t>(damit ihr mein seid) zeigt Besitzverhältnis als Absonderungszweck.</w:t>
      </w:r>
    </w:p>
    <w:p w14:paraId="3EE6CD9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לי קדשים</w:t>
      </w:r>
      <w:r w:rsidRPr="000A1182">
        <w:rPr>
          <w:rFonts w:eastAsia="Times New Roman" w:cs="Times New Roman"/>
          <w:rtl/>
          <w:lang w:eastAsia="de-DE"/>
        </w:rPr>
        <w:t xml:space="preserve"> </w:t>
      </w:r>
      <w:r w:rsidRPr="000A1182">
        <w:rPr>
          <w:rFonts w:eastAsia="Times New Roman" w:cs="Times New Roman"/>
          <w:lang w:eastAsia="de-DE"/>
        </w:rPr>
        <w:t xml:space="preserve">zeigt JHWH als Heiligkeitsziel. </w:t>
      </w:r>
      <w:r w:rsidRPr="000A1182">
        <w:rPr>
          <w:rFonts w:eastAsia="Times New Roman" w:cs="Times New Roman"/>
          <w:b/>
          <w:bCs/>
          <w:rtl/>
          <w:lang w:eastAsia="de-DE"/>
        </w:rPr>
        <w:t>כי קדוש אני יהוה</w:t>
      </w:r>
      <w:r w:rsidRPr="000A1182">
        <w:rPr>
          <w:rFonts w:eastAsia="Times New Roman" w:cs="Times New Roman"/>
          <w:rtl/>
          <w:lang w:eastAsia="de-DE"/>
        </w:rPr>
        <w:t xml:space="preserve"> </w:t>
      </w:r>
      <w:r w:rsidRPr="000A1182">
        <w:rPr>
          <w:rFonts w:eastAsia="Times New Roman" w:cs="Times New Roman"/>
          <w:lang w:eastAsia="de-DE"/>
        </w:rPr>
        <w:t xml:space="preserve">zeigt imitatio Dei als Heiligkeitsgrund. </w:t>
      </w:r>
      <w:r w:rsidRPr="000A1182">
        <w:rPr>
          <w:rFonts w:eastAsia="Times New Roman" w:cs="Times New Roman"/>
          <w:b/>
          <w:bCs/>
          <w:rtl/>
          <w:lang w:eastAsia="de-DE"/>
        </w:rPr>
        <w:t>ואבדל אתכם</w:t>
      </w:r>
      <w:r w:rsidRPr="000A1182">
        <w:rPr>
          <w:rFonts w:eastAsia="Times New Roman" w:cs="Times New Roman"/>
          <w:rtl/>
          <w:lang w:eastAsia="de-DE"/>
        </w:rPr>
        <w:t xml:space="preserve"> </w:t>
      </w:r>
      <w:r w:rsidRPr="000A1182">
        <w:rPr>
          <w:rFonts w:eastAsia="Times New Roman" w:cs="Times New Roman"/>
          <w:lang w:eastAsia="de-DE"/>
        </w:rPr>
        <w:t xml:space="preserve">zeigt Erwählung als Absonderung. </w:t>
      </w:r>
      <w:r w:rsidRPr="000A1182">
        <w:rPr>
          <w:rFonts w:eastAsia="Times New Roman" w:cs="Times New Roman"/>
          <w:b/>
          <w:bCs/>
          <w:rtl/>
          <w:lang w:eastAsia="de-DE"/>
        </w:rPr>
        <w:t>להיות לי</w:t>
      </w:r>
      <w:r w:rsidRPr="000A1182">
        <w:rPr>
          <w:rFonts w:eastAsia="Times New Roman" w:cs="Times New Roman"/>
          <w:rtl/>
          <w:lang w:eastAsia="de-DE"/>
        </w:rPr>
        <w:t xml:space="preserve"> </w:t>
      </w:r>
      <w:r w:rsidRPr="000A1182">
        <w:rPr>
          <w:rFonts w:eastAsia="Times New Roman" w:cs="Times New Roman"/>
          <w:lang w:eastAsia="de-DE"/>
        </w:rPr>
        <w:t>zeigt Bundesbesitz als Ziel.</w:t>
      </w:r>
    </w:p>
    <w:p w14:paraId="376B21F5" w14:textId="7EE6301D"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übersetzt </w:t>
      </w:r>
      <w:r w:rsidR="004F25E8">
        <w:rPr>
          <w:rtl/>
        </w:rPr>
        <w:t>ואבדל</w:t>
      </w:r>
      <w:r w:rsidR="004F25E8">
        <w:t xml:space="preserve"> (</w:t>
      </w:r>
      <w:proofErr w:type="spellStart"/>
      <w:r w:rsidR="004F25E8">
        <w:t>wa'avdil</w:t>
      </w:r>
      <w:proofErr w:type="spellEnd"/>
      <w:r w:rsidR="004F25E8">
        <w:t xml:space="preserve"> - "und ich sondere ab") als ὁ </w:t>
      </w:r>
      <w:proofErr w:type="spellStart"/>
      <w:r w:rsidR="004F25E8">
        <w:t>ἀφορίσ</w:t>
      </w:r>
      <w:proofErr w:type="spellEnd"/>
      <w:r w:rsidR="004F25E8">
        <w:t>ας (der abgesondert hat), was die göttliche Erwählung betont.</w:t>
      </w:r>
    </w:p>
    <w:p w14:paraId="24027BA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Heiligkeitszusammenfassung: Heiligkeitsziel für JHWH + imitatio Dei als Grund + Erwählung durch Völkerabsonderung + Bundesbesitz als Zweck.</w:t>
      </w:r>
    </w:p>
    <w:p w14:paraId="0E4DE892"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Vers fasst das gesamte Heiligkeitsgesetz zusammen: Heiligkeit für JHWH nach seinem Vorbild durch Erwählung zum Bundesbesitz.</w:t>
      </w:r>
    </w:p>
    <w:p w14:paraId="5DDFE009" w14:textId="77777777" w:rsidR="000A1182" w:rsidRPr="000A1182" w:rsidRDefault="000A1182" w:rsidP="000A1182">
      <w:pPr>
        <w:spacing w:before="100" w:beforeAutospacing="1" w:after="100" w:afterAutospacing="1" w:line="240" w:lineRule="auto"/>
        <w:outlineLvl w:val="1"/>
        <w:rPr>
          <w:rFonts w:eastAsia="Times New Roman" w:cs="Times New Roman"/>
          <w:b/>
          <w:bCs/>
          <w:sz w:val="36"/>
          <w:szCs w:val="36"/>
          <w:lang w:eastAsia="de-DE"/>
        </w:rPr>
      </w:pPr>
      <w:r w:rsidRPr="000A1182">
        <w:rPr>
          <w:rFonts w:eastAsia="Times New Roman" w:cs="Times New Roman"/>
          <w:b/>
          <w:bCs/>
          <w:sz w:val="36"/>
          <w:szCs w:val="36"/>
          <w:lang w:eastAsia="de-DE"/>
        </w:rPr>
        <w:t>Leviticus 20,27</w:t>
      </w:r>
    </w:p>
    <w:p w14:paraId="70A29F8B"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Hebräisch:</w:t>
      </w:r>
      <w:r w:rsidRPr="000A1182">
        <w:rPr>
          <w:rFonts w:eastAsia="Times New Roman" w:cs="Times New Roman"/>
          <w:lang w:eastAsia="de-DE"/>
        </w:rPr>
        <w:t xml:space="preserve"> </w:t>
      </w:r>
      <w:r w:rsidRPr="000A1182">
        <w:rPr>
          <w:rFonts w:eastAsia="Times New Roman" w:cs="Times New Roman"/>
          <w:rtl/>
          <w:lang w:eastAsia="de-DE"/>
        </w:rPr>
        <w:t>וְאִ֣ישׁ אֽוֹ־אִשָּׁ֗ה כִּי־יִהְיֶ֨ה בָהֶ֥ם א֛וֹב א֥וֹ יִדְּעֹנִ֖י מ֣וֹת יוּמָ֑תוּ בָּאֶ֛בֶן יִרְגְּמ֥וּ אֹתָ֖ם דְּמֵיהֶ֥ם בָּֽם׃</w:t>
      </w:r>
    </w:p>
    <w:p w14:paraId="29CF9561"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Deutsch:</w:t>
      </w:r>
      <w:r w:rsidRPr="000A1182">
        <w:rPr>
          <w:rFonts w:eastAsia="Times New Roman" w:cs="Times New Roman"/>
          <w:lang w:eastAsia="de-DE"/>
        </w:rPr>
        <w:t xml:space="preserve"> Und wenn in einem Mann oder einer Frau ein Totenbeschwörergeist oder ein Wahrsagergeist ist, so sollen sie gewiss getötet werden; man soll sie steinigen, ihr Blut ist auf ihnen.</w:t>
      </w:r>
    </w:p>
    <w:p w14:paraId="1BA263B6" w14:textId="77777777" w:rsidR="000A1182" w:rsidRPr="000A1182" w:rsidRDefault="00A57720" w:rsidP="000A1182">
      <w:pPr>
        <w:spacing w:after="0" w:line="240" w:lineRule="auto"/>
        <w:rPr>
          <w:rFonts w:eastAsia="Times New Roman" w:cs="Times New Roman"/>
          <w:lang w:eastAsia="de-DE"/>
        </w:rPr>
      </w:pPr>
      <w:r>
        <w:rPr>
          <w:rFonts w:eastAsia="Times New Roman" w:cs="Times New Roman"/>
          <w:noProof/>
          <w:lang w:eastAsia="de-DE"/>
        </w:rPr>
        <w:pict w14:anchorId="766FC85F">
          <v:rect id="_x0000_i1624" style="width:0;height:1.5pt" o:hralign="center" o:hrstd="t" o:hr="t" fillcolor="#a0a0a0" stroked="f"/>
        </w:pict>
      </w:r>
    </w:p>
    <w:p w14:paraId="3FD7FCCE"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Kommentar:</w:t>
      </w:r>
      <w:r w:rsidRPr="000A1182">
        <w:rPr>
          <w:rFonts w:eastAsia="Times New Roman" w:cs="Times New Roman"/>
          <w:lang w:eastAsia="de-DE"/>
        </w:rPr>
        <w:t xml:space="preserve"> </w:t>
      </w:r>
      <w:r w:rsidRPr="000A1182">
        <w:rPr>
          <w:rFonts w:eastAsia="Times New Roman" w:cs="Times New Roman"/>
          <w:b/>
          <w:bCs/>
          <w:rtl/>
          <w:lang w:eastAsia="de-DE"/>
        </w:rPr>
        <w:t>ואיש או־אשה כי־יהיה בהם אוב או ידעני מות יומתו באבן ירגמו אתם דמיהם בם</w:t>
      </w:r>
      <w:r w:rsidRPr="000A1182">
        <w:rPr>
          <w:rFonts w:eastAsia="Times New Roman" w:cs="Times New Roman"/>
          <w:rtl/>
          <w:lang w:eastAsia="de-DE"/>
        </w:rPr>
        <w:t xml:space="preserve"> </w:t>
      </w:r>
      <w:r w:rsidRPr="000A1182">
        <w:rPr>
          <w:rFonts w:eastAsia="Times New Roman" w:cs="Times New Roman"/>
          <w:lang w:eastAsia="de-DE"/>
        </w:rPr>
        <w:t xml:space="preserve">schließt mit der Bestrafung okkulter Praktiker. </w:t>
      </w:r>
      <w:r w:rsidRPr="000A1182">
        <w:rPr>
          <w:rFonts w:eastAsia="Times New Roman" w:cs="Times New Roman"/>
          <w:b/>
          <w:bCs/>
          <w:rtl/>
          <w:lang w:eastAsia="de-DE"/>
        </w:rPr>
        <w:t>ואיש או־אשה כי־יהיה בהם אוב או ידעני</w:t>
      </w:r>
      <w:r w:rsidRPr="000A1182">
        <w:rPr>
          <w:rFonts w:eastAsia="Times New Roman" w:cs="Times New Roman"/>
          <w:rtl/>
          <w:lang w:eastAsia="de-DE"/>
        </w:rPr>
        <w:t xml:space="preserve"> </w:t>
      </w:r>
      <w:r w:rsidRPr="000A1182">
        <w:rPr>
          <w:rFonts w:eastAsia="Times New Roman" w:cs="Times New Roman"/>
          <w:lang w:eastAsia="de-DE"/>
        </w:rPr>
        <w:t xml:space="preserve">(und wenn in einem Mann oder einer Frau ein Totenbeschwörergeist oder ein Wahrsagergeist ist) zeigt beide Geschlechter. </w:t>
      </w:r>
      <w:r w:rsidRPr="000A1182">
        <w:rPr>
          <w:rFonts w:eastAsia="Times New Roman" w:cs="Times New Roman"/>
          <w:b/>
          <w:bCs/>
          <w:rtl/>
          <w:lang w:eastAsia="de-DE"/>
        </w:rPr>
        <w:t>כי־יהיה בהם</w:t>
      </w:r>
      <w:r w:rsidRPr="000A1182">
        <w:rPr>
          <w:rFonts w:eastAsia="Times New Roman" w:cs="Times New Roman"/>
          <w:rtl/>
          <w:lang w:eastAsia="de-DE"/>
        </w:rPr>
        <w:t xml:space="preserve"> </w:t>
      </w:r>
      <w:r w:rsidRPr="000A1182">
        <w:rPr>
          <w:rFonts w:eastAsia="Times New Roman" w:cs="Times New Roman"/>
          <w:lang w:eastAsia="de-DE"/>
        </w:rPr>
        <w:t xml:space="preserve">(wenn in ihnen ist) zeigt Geistbesitz. </w:t>
      </w:r>
      <w:r w:rsidRPr="000A1182">
        <w:rPr>
          <w:rFonts w:eastAsia="Times New Roman" w:cs="Times New Roman"/>
          <w:b/>
          <w:bCs/>
          <w:rtl/>
          <w:lang w:eastAsia="de-DE"/>
        </w:rPr>
        <w:t>אוב או ידעני</w:t>
      </w:r>
      <w:r w:rsidRPr="000A1182">
        <w:rPr>
          <w:rFonts w:eastAsia="Times New Roman" w:cs="Times New Roman"/>
          <w:rtl/>
          <w:lang w:eastAsia="de-DE"/>
        </w:rPr>
        <w:t xml:space="preserve"> </w:t>
      </w:r>
      <w:r w:rsidRPr="000A1182">
        <w:rPr>
          <w:rFonts w:eastAsia="Times New Roman" w:cs="Times New Roman"/>
          <w:lang w:eastAsia="de-DE"/>
        </w:rPr>
        <w:t>(Totenbeschwörer- oder Wahrsagergeist) entspricht 19,31 und 20,6.</w:t>
      </w:r>
    </w:p>
    <w:p w14:paraId="5C0A53C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מות יומתו</w:t>
      </w:r>
      <w:r w:rsidRPr="000A1182">
        <w:rPr>
          <w:rFonts w:eastAsia="Times New Roman" w:cs="Times New Roman"/>
          <w:rtl/>
          <w:lang w:eastAsia="de-DE"/>
        </w:rPr>
        <w:t xml:space="preserve"> </w:t>
      </w:r>
      <w:r w:rsidRPr="000A1182">
        <w:rPr>
          <w:rFonts w:eastAsia="Times New Roman" w:cs="Times New Roman"/>
          <w:lang w:eastAsia="de-DE"/>
        </w:rPr>
        <w:t xml:space="preserve">(so sollen sie gewiss getötet werden) als emphatische Todesformel. </w:t>
      </w:r>
      <w:r w:rsidRPr="000A1182">
        <w:rPr>
          <w:rFonts w:eastAsia="Times New Roman" w:cs="Times New Roman"/>
          <w:b/>
          <w:bCs/>
          <w:rtl/>
          <w:lang w:eastAsia="de-DE"/>
        </w:rPr>
        <w:t>באבן ירגמו אתם</w:t>
      </w:r>
      <w:r w:rsidRPr="000A1182">
        <w:rPr>
          <w:rFonts w:eastAsia="Times New Roman" w:cs="Times New Roman"/>
          <w:rtl/>
          <w:lang w:eastAsia="de-DE"/>
        </w:rPr>
        <w:t xml:space="preserve"> </w:t>
      </w:r>
      <w:r w:rsidRPr="000A1182">
        <w:rPr>
          <w:rFonts w:eastAsia="Times New Roman" w:cs="Times New Roman"/>
          <w:lang w:eastAsia="de-DE"/>
        </w:rPr>
        <w:t xml:space="preserve">(man soll sie steinigen) entspricht V. 2. </w:t>
      </w:r>
      <w:r w:rsidRPr="000A1182">
        <w:rPr>
          <w:rFonts w:eastAsia="Times New Roman" w:cs="Times New Roman"/>
          <w:b/>
          <w:bCs/>
          <w:rtl/>
          <w:lang w:eastAsia="de-DE"/>
        </w:rPr>
        <w:t>דמיהם בם</w:t>
      </w:r>
      <w:r w:rsidRPr="000A1182">
        <w:rPr>
          <w:rFonts w:eastAsia="Times New Roman" w:cs="Times New Roman"/>
          <w:rtl/>
          <w:lang w:eastAsia="de-DE"/>
        </w:rPr>
        <w:t xml:space="preserve"> </w:t>
      </w:r>
      <w:r w:rsidRPr="000A1182">
        <w:rPr>
          <w:rFonts w:eastAsia="Times New Roman" w:cs="Times New Roman"/>
          <w:lang w:eastAsia="de-DE"/>
        </w:rPr>
        <w:t>(ihr Blut ist auf ihnen) als doppelte Selbstverschuldungsformel.</w:t>
      </w:r>
    </w:p>
    <w:p w14:paraId="133E1866"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rtl/>
          <w:lang w:eastAsia="de-DE"/>
        </w:rPr>
        <w:t>ואיש או־אשה</w:t>
      </w:r>
      <w:r w:rsidRPr="000A1182">
        <w:rPr>
          <w:rFonts w:eastAsia="Times New Roman" w:cs="Times New Roman"/>
          <w:rtl/>
          <w:lang w:eastAsia="de-DE"/>
        </w:rPr>
        <w:t xml:space="preserve"> </w:t>
      </w:r>
      <w:r w:rsidRPr="000A1182">
        <w:rPr>
          <w:rFonts w:eastAsia="Times New Roman" w:cs="Times New Roman"/>
          <w:lang w:eastAsia="de-DE"/>
        </w:rPr>
        <w:t xml:space="preserve">zeigt universelle Anwendung auf beide Geschlechter. </w:t>
      </w:r>
      <w:r w:rsidRPr="000A1182">
        <w:rPr>
          <w:rFonts w:eastAsia="Times New Roman" w:cs="Times New Roman"/>
          <w:b/>
          <w:bCs/>
          <w:rtl/>
          <w:lang w:eastAsia="de-DE"/>
        </w:rPr>
        <w:t>יהיה בהם</w:t>
      </w:r>
      <w:r w:rsidRPr="000A1182">
        <w:rPr>
          <w:rFonts w:eastAsia="Times New Roman" w:cs="Times New Roman"/>
          <w:rtl/>
          <w:lang w:eastAsia="de-DE"/>
        </w:rPr>
        <w:t xml:space="preserve"> </w:t>
      </w:r>
      <w:r w:rsidRPr="000A1182">
        <w:rPr>
          <w:rFonts w:eastAsia="Times New Roman" w:cs="Times New Roman"/>
          <w:lang w:eastAsia="de-DE"/>
        </w:rPr>
        <w:t xml:space="preserve">zeigt okkulte Geister als in den Personen befindlich. </w:t>
      </w:r>
      <w:r w:rsidRPr="000A1182">
        <w:rPr>
          <w:rFonts w:eastAsia="Times New Roman" w:cs="Times New Roman"/>
          <w:b/>
          <w:bCs/>
          <w:rtl/>
          <w:lang w:eastAsia="de-DE"/>
        </w:rPr>
        <w:t>מות יומתו באבן ירגמו</w:t>
      </w:r>
      <w:r w:rsidRPr="000A1182">
        <w:rPr>
          <w:rFonts w:eastAsia="Times New Roman" w:cs="Times New Roman"/>
          <w:rtl/>
          <w:lang w:eastAsia="de-DE"/>
        </w:rPr>
        <w:t xml:space="preserve"> </w:t>
      </w:r>
      <w:r w:rsidRPr="000A1182">
        <w:rPr>
          <w:rFonts w:eastAsia="Times New Roman" w:cs="Times New Roman"/>
          <w:lang w:eastAsia="de-DE"/>
        </w:rPr>
        <w:t>kombiniert emphatische Todesformel mit Steinigungsart.</w:t>
      </w:r>
    </w:p>
    <w:p w14:paraId="503ABF9F" w14:textId="5C8429AD"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LXX</w:t>
      </w:r>
      <w:r w:rsidRPr="000A1182">
        <w:rPr>
          <w:rFonts w:eastAsia="Times New Roman" w:cs="Times New Roman"/>
          <w:lang w:eastAsia="de-DE"/>
        </w:rPr>
        <w:t xml:space="preserve"> </w:t>
      </w:r>
      <w:r w:rsidR="004F25E8">
        <w:t xml:space="preserve">behält die Terminologie </w:t>
      </w:r>
      <w:proofErr w:type="spellStart"/>
      <w:r w:rsidR="004F25E8">
        <w:t>ἐγγ</w:t>
      </w:r>
      <w:proofErr w:type="spellEnd"/>
      <w:r w:rsidR="004F25E8">
        <w:t>αστρίμυθος (Bauchredner) und ἐπα</w:t>
      </w:r>
      <w:proofErr w:type="spellStart"/>
      <w:r w:rsidR="004F25E8">
        <w:t>οιδός</w:t>
      </w:r>
      <w:proofErr w:type="spellEnd"/>
      <w:r w:rsidR="004F25E8">
        <w:t xml:space="preserve"> (Beschwörer) bei und fügt </w:t>
      </w:r>
      <w:proofErr w:type="spellStart"/>
      <w:r w:rsidR="004F25E8">
        <w:t>ἀμφότεροι</w:t>
      </w:r>
      <w:proofErr w:type="spellEnd"/>
      <w:r w:rsidR="004F25E8">
        <w:t xml:space="preserve"> (beide) zur Klarstellung hinzu.</w:t>
      </w:r>
    </w:p>
    <w:p w14:paraId="78D603EF"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Die Satzstruktur</w:t>
      </w:r>
      <w:r w:rsidRPr="000A1182">
        <w:rPr>
          <w:rFonts w:eastAsia="Times New Roman" w:cs="Times New Roman"/>
          <w:lang w:eastAsia="de-DE"/>
        </w:rPr>
        <w:t xml:space="preserve"> zeigt okkulte Praktiker-Bestrafung: universelle Geschlechteranwendung + Geistbesitz + emphatische Todesstrafe + Steinigung + doppelte Selbstverschuldung.</w:t>
      </w:r>
    </w:p>
    <w:p w14:paraId="4561EB7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Dieser Schlussvers bestraft okkulte Praktiker mit Steinigung und schließt damit das Strafkapitel ab.</w:t>
      </w:r>
    </w:p>
    <w:p w14:paraId="7A5340DE" w14:textId="77777777" w:rsidR="00A45F99"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lang w:eastAsia="de-DE"/>
        </w:rPr>
        <w:t xml:space="preserve">Kapitel 20 zeigt die </w:t>
      </w:r>
      <w:r w:rsidRPr="000A1182">
        <w:rPr>
          <w:rFonts w:eastAsia="Times New Roman" w:cs="Times New Roman"/>
          <w:b/>
          <w:bCs/>
          <w:lang w:eastAsia="de-DE"/>
        </w:rPr>
        <w:t>Strafbestimmungen für die Vergehen aus Kapitel 18-19</w:t>
      </w:r>
      <w:r w:rsidRPr="000A1182">
        <w:rPr>
          <w:rFonts w:eastAsia="Times New Roman" w:cs="Times New Roman"/>
          <w:lang w:eastAsia="de-DE"/>
        </w:rPr>
        <w:t xml:space="preserve"> mit klarer Struktur: </w:t>
      </w:r>
    </w:p>
    <w:p w14:paraId="461E0EF4" w14:textId="783091B8"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1) Molech-Kult und Okkultismus</w:t>
      </w:r>
      <w:r w:rsidRPr="000A1182">
        <w:rPr>
          <w:rFonts w:eastAsia="Times New Roman" w:cs="Times New Roman"/>
          <w:lang w:eastAsia="de-DE"/>
        </w:rPr>
        <w:t xml:space="preserve"> (V. 1-6): Todesstrafe durch Steinigung für Molech-Kinderopfer mit zusätzlicher göttlicher </w:t>
      </w:r>
      <w:r w:rsidRPr="000A1182">
        <w:rPr>
          <w:rFonts w:eastAsia="Times New Roman" w:cs="Times New Roman"/>
          <w:b/>
          <w:bCs/>
          <w:rtl/>
          <w:lang w:eastAsia="de-DE"/>
        </w:rPr>
        <w:t>כרת</w:t>
      </w:r>
      <w:r w:rsidRPr="000A1182">
        <w:rPr>
          <w:rFonts w:eastAsia="Times New Roman" w:cs="Times New Roman"/>
          <w:lang w:eastAsia="de-DE"/>
        </w:rPr>
        <w:t xml:space="preserve">-Strafe bei unterlassener Menschenjustiz. Okkulte Praktiken werden mit </w:t>
      </w:r>
      <w:r w:rsidRPr="000A1182">
        <w:rPr>
          <w:rFonts w:eastAsia="Times New Roman" w:cs="Times New Roman"/>
          <w:b/>
          <w:bCs/>
          <w:rtl/>
          <w:lang w:eastAsia="de-DE"/>
        </w:rPr>
        <w:t>כרת</w:t>
      </w:r>
      <w:r w:rsidRPr="000A1182">
        <w:rPr>
          <w:rFonts w:eastAsia="Times New Roman" w:cs="Times New Roman"/>
          <w:lang w:eastAsia="de-DE"/>
        </w:rPr>
        <w:t>-Strafe bestraft.</w:t>
      </w:r>
    </w:p>
    <w:p w14:paraId="0A309098"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2) Heiligungsaufruf</w:t>
      </w:r>
      <w:r w:rsidRPr="000A1182">
        <w:rPr>
          <w:rFonts w:eastAsia="Times New Roman" w:cs="Times New Roman"/>
          <w:lang w:eastAsia="de-DE"/>
        </w:rPr>
        <w:t xml:space="preserve"> (V. 7-8): Positive Alternative durch Selbstheiligung nach göttlichem Vorbild mit JHWH als Heiligungsagens durch Gesetzesgehorsam.</w:t>
      </w:r>
    </w:p>
    <w:p w14:paraId="0427C48E" w14:textId="5838054F"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3) Sexuelle Vergehen mit abgestuften Strafen</w:t>
      </w:r>
      <w:r w:rsidRPr="000A1182">
        <w:rPr>
          <w:rFonts w:eastAsia="Times New Roman" w:cs="Times New Roman"/>
          <w:lang w:eastAsia="de-DE"/>
        </w:rPr>
        <w:t xml:space="preserve"> (V. 9-21): </w:t>
      </w:r>
      <w:r w:rsidRPr="000A1182">
        <w:rPr>
          <w:rFonts w:eastAsia="Times New Roman" w:cs="Times New Roman"/>
          <w:b/>
          <w:bCs/>
          <w:lang w:eastAsia="de-DE"/>
        </w:rPr>
        <w:t>Todesstrafe</w:t>
      </w:r>
      <w:r w:rsidRPr="000A1182">
        <w:rPr>
          <w:rFonts w:eastAsia="Times New Roman" w:cs="Times New Roman"/>
          <w:lang w:eastAsia="de-DE"/>
        </w:rPr>
        <w:t xml:space="preserve"> für Elternfluch, Ehebruch, Inzest mit Stiefmutter/Schwiegertochter, Homosexualität und einfache Zoophilie. </w:t>
      </w:r>
      <w:r w:rsidRPr="000A1182">
        <w:rPr>
          <w:rFonts w:eastAsia="Times New Roman" w:cs="Times New Roman"/>
          <w:b/>
          <w:bCs/>
          <w:lang w:eastAsia="de-DE"/>
        </w:rPr>
        <w:t>Feuerstrafe</w:t>
      </w:r>
      <w:r w:rsidRPr="000A1182">
        <w:rPr>
          <w:rFonts w:eastAsia="Times New Roman" w:cs="Times New Roman"/>
          <w:lang w:eastAsia="de-DE"/>
        </w:rPr>
        <w:t xml:space="preserve"> für den schwersten Inzest (Mutter-Tochter-Kombination). </w:t>
      </w:r>
      <w:r w:rsidRPr="000A1182">
        <w:rPr>
          <w:rFonts w:eastAsia="Times New Roman" w:cs="Times New Roman"/>
          <w:b/>
          <w:bCs/>
          <w:rtl/>
          <w:lang w:eastAsia="de-DE"/>
        </w:rPr>
        <w:t>כרת</w:t>
      </w:r>
      <w:r w:rsidRPr="000A1182">
        <w:rPr>
          <w:rFonts w:eastAsia="Times New Roman" w:cs="Times New Roman"/>
          <w:lang w:eastAsia="de-DE"/>
        </w:rPr>
        <w:t xml:space="preserve">-Strafe für Geschwisterinzest und Menstruationsverkehr. </w:t>
      </w:r>
      <w:r w:rsidRPr="000A1182">
        <w:rPr>
          <w:rFonts w:eastAsia="Times New Roman" w:cs="Times New Roman"/>
          <w:b/>
          <w:bCs/>
          <w:lang w:eastAsia="de-DE"/>
        </w:rPr>
        <w:t>Kinderlosigkeit</w:t>
      </w:r>
      <w:r w:rsidRPr="000A1182">
        <w:rPr>
          <w:rFonts w:eastAsia="Times New Roman" w:cs="Times New Roman"/>
          <w:lang w:eastAsia="de-DE"/>
        </w:rPr>
        <w:t xml:space="preserve"> für Inzest mit </w:t>
      </w:r>
      <w:r w:rsidR="00A45F99">
        <w:rPr>
          <w:rFonts w:eastAsia="Times New Roman" w:cs="Times New Roman"/>
          <w:lang w:eastAsia="de-DE"/>
        </w:rPr>
        <w:t>Frau des Onkels</w:t>
      </w:r>
      <w:r w:rsidRPr="000A1182">
        <w:rPr>
          <w:rFonts w:eastAsia="Times New Roman" w:cs="Times New Roman"/>
          <w:lang w:eastAsia="de-DE"/>
        </w:rPr>
        <w:t xml:space="preserve">/Schwägerin. </w:t>
      </w:r>
      <w:r w:rsidRPr="000A1182">
        <w:rPr>
          <w:rFonts w:eastAsia="Times New Roman" w:cs="Times New Roman"/>
          <w:b/>
          <w:bCs/>
          <w:lang w:eastAsia="de-DE"/>
        </w:rPr>
        <w:t>Schuldtragung</w:t>
      </w:r>
      <w:r w:rsidRPr="000A1182">
        <w:rPr>
          <w:rFonts w:eastAsia="Times New Roman" w:cs="Times New Roman"/>
          <w:lang w:eastAsia="de-DE"/>
        </w:rPr>
        <w:t xml:space="preserve"> für Tanten-Inzest.</w:t>
      </w:r>
    </w:p>
    <w:p w14:paraId="04AC2AF2" w14:textId="4E78E691"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4) Landverheißung und Völkerabsonderung</w:t>
      </w:r>
      <w:r w:rsidRPr="000A1182">
        <w:rPr>
          <w:rFonts w:eastAsia="Times New Roman" w:cs="Times New Roman"/>
          <w:lang w:eastAsia="de-DE"/>
        </w:rPr>
        <w:t xml:space="preserve"> (V. 22-26): Gesetzesgehorsam als Bedingung für Landbesitz mit Warnung vor Landaus</w:t>
      </w:r>
      <w:r w:rsidR="00A45F99">
        <w:rPr>
          <w:rFonts w:eastAsia="Times New Roman" w:cs="Times New Roman"/>
          <w:lang w:eastAsia="de-DE"/>
        </w:rPr>
        <w:t>stoßung</w:t>
      </w:r>
      <w:r w:rsidRPr="000A1182">
        <w:rPr>
          <w:rFonts w:eastAsia="Times New Roman" w:cs="Times New Roman"/>
          <w:lang w:eastAsia="de-DE"/>
        </w:rPr>
        <w:t>. Kanaanäische Sünden als Vertreibungsgrund. Israels Erwählung durch Völkerabsonderung zum Bundesbesitz. Speisegesetze als praktische Entsprechung zur Völkerabsonderung.</w:t>
      </w:r>
    </w:p>
    <w:p w14:paraId="5BF83199"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5) Okkulte Praktiker</w:t>
      </w:r>
      <w:r w:rsidRPr="000A1182">
        <w:rPr>
          <w:rFonts w:eastAsia="Times New Roman" w:cs="Times New Roman"/>
          <w:lang w:eastAsia="de-DE"/>
        </w:rPr>
        <w:t xml:space="preserve"> (V. 27): Steinigung für beide Geschlechter bei Geistbesitz.</w:t>
      </w:r>
    </w:p>
    <w:p w14:paraId="5B939073" w14:textId="77777777" w:rsidR="000A1182" w:rsidRP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t>Theologische Bedeutung:</w:t>
      </w:r>
      <w:r w:rsidRPr="000A1182">
        <w:rPr>
          <w:rFonts w:eastAsia="Times New Roman" w:cs="Times New Roman"/>
          <w:lang w:eastAsia="de-DE"/>
        </w:rPr>
        <w:t xml:space="preserve"> Das Kapitel zeigt </w:t>
      </w:r>
      <w:r w:rsidRPr="000A1182">
        <w:rPr>
          <w:rFonts w:eastAsia="Times New Roman" w:cs="Times New Roman"/>
          <w:b/>
          <w:bCs/>
          <w:lang w:eastAsia="de-DE"/>
        </w:rPr>
        <w:t>Gerechtigkeit als Kehrseite der Heiligkeit</w:t>
      </w:r>
      <w:r w:rsidRPr="000A1182">
        <w:rPr>
          <w:rFonts w:eastAsia="Times New Roman" w:cs="Times New Roman"/>
          <w:lang w:eastAsia="de-DE"/>
        </w:rPr>
        <w:t xml:space="preserve">: Vergehen gegen die Heiligkeitsordnung ziehen entsprechende Strafen nach sich. Die </w:t>
      </w:r>
      <w:r w:rsidRPr="000A1182">
        <w:rPr>
          <w:rFonts w:eastAsia="Times New Roman" w:cs="Times New Roman"/>
          <w:b/>
          <w:bCs/>
          <w:lang w:eastAsia="de-DE"/>
        </w:rPr>
        <w:t>abgestuften Strafen</w:t>
      </w:r>
      <w:r w:rsidRPr="000A1182">
        <w:rPr>
          <w:rFonts w:eastAsia="Times New Roman" w:cs="Times New Roman"/>
          <w:lang w:eastAsia="de-DE"/>
        </w:rPr>
        <w:t xml:space="preserve"> zeigen unterschiedliche Schweregrade: von Schuldtragung über </w:t>
      </w:r>
      <w:r w:rsidRPr="000A1182">
        <w:rPr>
          <w:rFonts w:eastAsia="Times New Roman" w:cs="Times New Roman"/>
          <w:b/>
          <w:bCs/>
          <w:rtl/>
          <w:lang w:eastAsia="de-DE"/>
        </w:rPr>
        <w:t>כרת</w:t>
      </w:r>
      <w:r w:rsidRPr="000A1182">
        <w:rPr>
          <w:rFonts w:eastAsia="Times New Roman" w:cs="Times New Roman"/>
          <w:lang w:eastAsia="de-DE"/>
        </w:rPr>
        <w:t>-Strafe bis zur Todesstrafe und Feuerstrafe.</w:t>
      </w:r>
    </w:p>
    <w:p w14:paraId="47196BC3" w14:textId="605EA5F5" w:rsidR="000A1182" w:rsidRDefault="000A1182" w:rsidP="000A1182">
      <w:pPr>
        <w:spacing w:before="100" w:beforeAutospacing="1" w:after="100" w:afterAutospacing="1" w:line="240" w:lineRule="auto"/>
        <w:rPr>
          <w:rFonts w:eastAsia="Times New Roman" w:cs="Times New Roman"/>
          <w:lang w:eastAsia="de-DE"/>
        </w:rPr>
      </w:pPr>
      <w:r w:rsidRPr="000A1182">
        <w:rPr>
          <w:rFonts w:eastAsia="Times New Roman" w:cs="Times New Roman"/>
          <w:b/>
          <w:bCs/>
          <w:lang w:eastAsia="de-DE"/>
        </w:rPr>
        <w:lastRenderedPageBreak/>
        <w:t>Besonderheiten:</w:t>
      </w:r>
      <w:r w:rsidRPr="000A1182">
        <w:rPr>
          <w:rFonts w:eastAsia="Times New Roman" w:cs="Times New Roman"/>
          <w:lang w:eastAsia="de-DE"/>
        </w:rPr>
        <w:t xml:space="preserve"> Die </w:t>
      </w:r>
      <w:r w:rsidRPr="000A1182">
        <w:rPr>
          <w:rFonts w:eastAsia="Times New Roman" w:cs="Times New Roman"/>
          <w:b/>
          <w:bCs/>
          <w:lang w:eastAsia="de-DE"/>
        </w:rPr>
        <w:t>doppelte Bestrafung</w:t>
      </w:r>
      <w:r w:rsidRPr="000A1182">
        <w:rPr>
          <w:rFonts w:eastAsia="Times New Roman" w:cs="Times New Roman"/>
          <w:lang w:eastAsia="de-DE"/>
        </w:rPr>
        <w:t xml:space="preserve"> (menschlich und göttlich) bei schweren Vergehen zeigt göttliche Beteiligung an der Rechtsprechung. Die </w:t>
      </w:r>
      <w:r w:rsidRPr="000A1182">
        <w:rPr>
          <w:rFonts w:eastAsia="Times New Roman" w:cs="Times New Roman"/>
          <w:b/>
          <w:bCs/>
          <w:lang w:eastAsia="de-DE"/>
        </w:rPr>
        <w:t>Landtheologie</w:t>
      </w:r>
      <w:r w:rsidRPr="000A1182">
        <w:rPr>
          <w:rFonts w:eastAsia="Times New Roman" w:cs="Times New Roman"/>
          <w:lang w:eastAsia="de-DE"/>
        </w:rPr>
        <w:t xml:space="preserve"> zeigt das Land als Bundespartner, der auf moralische Verunreinigung reagiert. Die </w:t>
      </w:r>
      <w:r w:rsidRPr="000A1182">
        <w:rPr>
          <w:rFonts w:eastAsia="Times New Roman" w:cs="Times New Roman"/>
          <w:b/>
          <w:bCs/>
          <w:lang w:eastAsia="de-DE"/>
        </w:rPr>
        <w:t>Völkerabsonderung</w:t>
      </w:r>
      <w:r w:rsidRPr="000A1182">
        <w:rPr>
          <w:rFonts w:eastAsia="Times New Roman" w:cs="Times New Roman"/>
          <w:lang w:eastAsia="de-DE"/>
        </w:rPr>
        <w:t xml:space="preserve"> begründet sowohl die Gebote als auch die Landverheißung. Das Kapitel schließt den </w:t>
      </w:r>
      <w:r w:rsidRPr="000A1182">
        <w:rPr>
          <w:rFonts w:eastAsia="Times New Roman" w:cs="Times New Roman"/>
          <w:b/>
          <w:bCs/>
          <w:lang w:eastAsia="de-DE"/>
        </w:rPr>
        <w:t>Heiligkeitskodex</w:t>
      </w:r>
      <w:r w:rsidRPr="000A1182">
        <w:rPr>
          <w:rFonts w:eastAsia="Times New Roman" w:cs="Times New Roman"/>
          <w:lang w:eastAsia="de-DE"/>
        </w:rPr>
        <w:t xml:space="preserve"> (Lev 17-20) ab und zeigt Heiligkeit als ganzheitliches System von Geboten, Begründungen und Strafbestimmungen.</w:t>
      </w:r>
    </w:p>
    <w:p w14:paraId="2A118032" w14:textId="4BB9772F" w:rsidR="004F25E8" w:rsidRPr="000A1182" w:rsidRDefault="004F25E8" w:rsidP="000A1182">
      <w:pPr>
        <w:spacing w:before="100" w:beforeAutospacing="1" w:after="100" w:afterAutospacing="1" w:line="240" w:lineRule="auto"/>
        <w:rPr>
          <w:rFonts w:eastAsia="Times New Roman" w:cs="Times New Roman"/>
          <w:lang w:eastAsia="de-DE"/>
        </w:rPr>
      </w:pPr>
      <w:r>
        <w:rPr>
          <w:rStyle w:val="Fett"/>
        </w:rPr>
        <w:t>Textkritische Beobachtung</w:t>
      </w:r>
      <w:r>
        <w:t>: Levitikus 20 zeigt in der LXX eine systematische Legalisierung und Entmythologisierung der Strafbestimmungen. Molech wird zum "Herrscher", sexuelle Begriffe werden durch juristische ersetzt, und die Todesstrafen werden durch präzise griechische Rechtssprache formuliert. Die LXX mildert die direkten hebräischen Ausdrücke und verwendet eine abstraktere, weniger körperliche Terminologie. Dies deutet auf eine Anpassung an hellenistische Rechts- und Moralvorstellungen hin, während die Schwere der Vergehen beibehalten wird.</w:t>
      </w:r>
    </w:p>
    <w:p w14:paraId="299D8C3E"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w:t>
      </w:r>
    </w:p>
    <w:p w14:paraId="1C19E8B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וַיֹּ֤אמֶר יְהוָה֙ אֶל־מֹשֶׁ֔ה אֱמֹ֥ר אֶל־הַכֹּהֲנִ֖ים בְּנֵ֣י אַהֲרֹ֑ן וְאָמַרְתָּ֣ אֲלֵהֶ֔ם לְנֶ֥פֶשׁ לֹֽא־יִטַּמָּ֖א בְּעַמָּֽיו׃</w:t>
      </w:r>
    </w:p>
    <w:p w14:paraId="29006A5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der Ewige sprach zu Mosche: Rede zu den Priestern, den Söhnen Aharons, und sage ihnen: Keiner von ihnen soll sich an einer Leiche verunreinigen unter seinen Volksgenossen,</w:t>
      </w:r>
    </w:p>
    <w:p w14:paraId="0FFBC972"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44DBE7AC">
          <v:rect id="_x0000_i1625" style="width:0;height:1.5pt" o:hralign="center" o:hrstd="t" o:hr="t" fillcolor="#a0a0a0" stroked="f"/>
        </w:pict>
      </w:r>
    </w:p>
    <w:p w14:paraId="496BE55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ויאמר יהוה אל־משה אמר אל־הכהנים בני אהרן ואמרת אלהם לנפש לא־יטמא בעמיו</w:t>
      </w:r>
      <w:r w:rsidRPr="00A45F99">
        <w:rPr>
          <w:rFonts w:eastAsia="Times New Roman" w:cs="Times New Roman"/>
          <w:rtl/>
          <w:lang w:eastAsia="de-DE"/>
        </w:rPr>
        <w:t xml:space="preserve"> </w:t>
      </w:r>
      <w:r w:rsidRPr="00A45F99">
        <w:rPr>
          <w:rFonts w:eastAsia="Times New Roman" w:cs="Times New Roman"/>
          <w:lang w:eastAsia="de-DE"/>
        </w:rPr>
        <w:t xml:space="preserve">leitet die Priestervorschriften ein. </w:t>
      </w:r>
      <w:r w:rsidRPr="00A45F99">
        <w:rPr>
          <w:rFonts w:eastAsia="Times New Roman" w:cs="Times New Roman"/>
          <w:b/>
          <w:bCs/>
          <w:rtl/>
          <w:lang w:eastAsia="de-DE"/>
        </w:rPr>
        <w:t>ויאמר יהוה אל־משה</w:t>
      </w:r>
      <w:r w:rsidRPr="00A45F99">
        <w:rPr>
          <w:rFonts w:eastAsia="Times New Roman" w:cs="Times New Roman"/>
          <w:rtl/>
          <w:lang w:eastAsia="de-DE"/>
        </w:rPr>
        <w:t xml:space="preserve"> </w:t>
      </w:r>
      <w:r w:rsidRPr="00A45F99">
        <w:rPr>
          <w:rFonts w:eastAsia="Times New Roman" w:cs="Times New Roman"/>
          <w:lang w:eastAsia="de-DE"/>
        </w:rPr>
        <w:t xml:space="preserve">(und der Ewige sprach zu Mosche) als Standardeinleitungsformel. </w:t>
      </w:r>
      <w:r w:rsidRPr="00A45F99">
        <w:rPr>
          <w:rFonts w:eastAsia="Times New Roman" w:cs="Times New Roman"/>
          <w:b/>
          <w:bCs/>
          <w:rtl/>
          <w:lang w:eastAsia="de-DE"/>
        </w:rPr>
        <w:t>אמר אל־הכהנים בני אהרן</w:t>
      </w:r>
      <w:r w:rsidRPr="00A45F99">
        <w:rPr>
          <w:rFonts w:eastAsia="Times New Roman" w:cs="Times New Roman"/>
          <w:rtl/>
          <w:lang w:eastAsia="de-DE"/>
        </w:rPr>
        <w:t xml:space="preserve"> </w:t>
      </w:r>
      <w:r w:rsidRPr="00A45F99">
        <w:rPr>
          <w:rFonts w:eastAsia="Times New Roman" w:cs="Times New Roman"/>
          <w:lang w:eastAsia="de-DE"/>
        </w:rPr>
        <w:t xml:space="preserve">(rede zu den Priestern, den Söhnen Aharons) zeigt die spezifische Adressierung an die Priesterschaft. </w:t>
      </w:r>
      <w:r w:rsidRPr="00A45F99">
        <w:rPr>
          <w:rFonts w:eastAsia="Times New Roman" w:cs="Times New Roman"/>
          <w:b/>
          <w:bCs/>
          <w:rtl/>
          <w:lang w:eastAsia="de-DE"/>
        </w:rPr>
        <w:t>ואמרת אלהם</w:t>
      </w:r>
      <w:r w:rsidRPr="00A45F99">
        <w:rPr>
          <w:rFonts w:eastAsia="Times New Roman" w:cs="Times New Roman"/>
          <w:rtl/>
          <w:lang w:eastAsia="de-DE"/>
        </w:rPr>
        <w:t xml:space="preserve"> </w:t>
      </w:r>
      <w:r w:rsidRPr="00A45F99">
        <w:rPr>
          <w:rFonts w:eastAsia="Times New Roman" w:cs="Times New Roman"/>
          <w:lang w:eastAsia="de-DE"/>
        </w:rPr>
        <w:t>(und sage ihnen) zeigt die Weiterleitungspflicht.</w:t>
      </w:r>
    </w:p>
    <w:p w14:paraId="4B4A2D0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לנפש לא־יטמא בעמיו</w:t>
      </w:r>
      <w:r w:rsidRPr="00A45F99">
        <w:rPr>
          <w:rFonts w:eastAsia="Times New Roman" w:cs="Times New Roman"/>
          <w:rtl/>
          <w:lang w:eastAsia="de-DE"/>
        </w:rPr>
        <w:t xml:space="preserve"> </w:t>
      </w:r>
      <w:r w:rsidRPr="00A45F99">
        <w:rPr>
          <w:rFonts w:eastAsia="Times New Roman" w:cs="Times New Roman"/>
          <w:lang w:eastAsia="de-DE"/>
        </w:rPr>
        <w:t xml:space="preserve">(keiner soll sich an einer Leiche verunreinigen unter seinen Volksgenossen) - </w:t>
      </w:r>
      <w:r w:rsidRPr="00A45F99">
        <w:rPr>
          <w:rFonts w:eastAsia="Times New Roman" w:cs="Times New Roman"/>
          <w:b/>
          <w:bCs/>
          <w:rtl/>
          <w:lang w:eastAsia="de-DE"/>
        </w:rPr>
        <w:t>לנפש</w:t>
      </w:r>
      <w:r w:rsidRPr="00A45F99">
        <w:rPr>
          <w:rFonts w:eastAsia="Times New Roman" w:cs="Times New Roman"/>
          <w:rtl/>
          <w:lang w:eastAsia="de-DE"/>
        </w:rPr>
        <w:t xml:space="preserve"> </w:t>
      </w:r>
      <w:r w:rsidRPr="00A45F99">
        <w:rPr>
          <w:rFonts w:eastAsia="Times New Roman" w:cs="Times New Roman"/>
          <w:lang w:eastAsia="de-DE"/>
        </w:rPr>
        <w:t xml:space="preserve">(an einer Leiche) - </w:t>
      </w:r>
      <w:r w:rsidRPr="00A45F99">
        <w:rPr>
          <w:rFonts w:eastAsia="Times New Roman" w:cs="Times New Roman"/>
          <w:b/>
          <w:bCs/>
          <w:rtl/>
          <w:lang w:eastAsia="de-DE"/>
        </w:rPr>
        <w:t>נפש</w:t>
      </w:r>
      <w:r w:rsidRPr="00A45F99">
        <w:rPr>
          <w:rFonts w:eastAsia="Times New Roman" w:cs="Times New Roman"/>
          <w:rtl/>
          <w:lang w:eastAsia="de-DE"/>
        </w:rPr>
        <w:t xml:space="preserve"> </w:t>
      </w:r>
      <w:r w:rsidRPr="00A45F99">
        <w:rPr>
          <w:rFonts w:eastAsia="Times New Roman" w:cs="Times New Roman"/>
          <w:lang w:eastAsia="de-DE"/>
        </w:rPr>
        <w:t xml:space="preserve">(Seele/Person) steht hier für den toten Körper. </w:t>
      </w:r>
      <w:r w:rsidRPr="00A45F99">
        <w:rPr>
          <w:rFonts w:eastAsia="Times New Roman" w:cs="Times New Roman"/>
          <w:b/>
          <w:bCs/>
          <w:rtl/>
          <w:lang w:eastAsia="de-DE"/>
        </w:rPr>
        <w:t>לא־יטמא</w:t>
      </w:r>
      <w:r w:rsidRPr="00A45F99">
        <w:rPr>
          <w:rFonts w:eastAsia="Times New Roman" w:cs="Times New Roman"/>
          <w:rtl/>
          <w:lang w:eastAsia="de-DE"/>
        </w:rPr>
        <w:t xml:space="preserve"> </w:t>
      </w:r>
      <w:r w:rsidRPr="00A45F99">
        <w:rPr>
          <w:rFonts w:eastAsia="Times New Roman" w:cs="Times New Roman"/>
          <w:lang w:eastAsia="de-DE"/>
        </w:rPr>
        <w:t xml:space="preserve">(soll sich nicht verunreinigen) im Nifal-Imperfekt von </w:t>
      </w:r>
      <w:r w:rsidRPr="00A45F99">
        <w:rPr>
          <w:rFonts w:eastAsia="Times New Roman" w:cs="Times New Roman"/>
          <w:b/>
          <w:bCs/>
          <w:rtl/>
          <w:lang w:eastAsia="de-DE"/>
        </w:rPr>
        <w:t>טמא</w:t>
      </w:r>
      <w:r w:rsidRPr="00A45F99">
        <w:rPr>
          <w:rFonts w:eastAsia="Times New Roman" w:cs="Times New Roman"/>
          <w:lang w:eastAsia="de-DE"/>
        </w:rPr>
        <w:t xml:space="preserve">, das Nifal zeigt passives Verunreinigt-Werden. </w:t>
      </w:r>
      <w:r w:rsidRPr="00A45F99">
        <w:rPr>
          <w:rFonts w:eastAsia="Times New Roman" w:cs="Times New Roman"/>
          <w:b/>
          <w:bCs/>
          <w:rtl/>
          <w:lang w:eastAsia="de-DE"/>
        </w:rPr>
        <w:t>בעמיו</w:t>
      </w:r>
      <w:r w:rsidRPr="00A45F99">
        <w:rPr>
          <w:rFonts w:eastAsia="Times New Roman" w:cs="Times New Roman"/>
          <w:rtl/>
          <w:lang w:eastAsia="de-DE"/>
        </w:rPr>
        <w:t xml:space="preserve"> </w:t>
      </w:r>
      <w:r w:rsidRPr="00A45F99">
        <w:rPr>
          <w:rFonts w:eastAsia="Times New Roman" w:cs="Times New Roman"/>
          <w:lang w:eastAsia="de-DE"/>
        </w:rPr>
        <w:t>(unter seinen Volksgenossen) zeigt den allgemeinen Geltungsbereich.</w:t>
      </w:r>
    </w:p>
    <w:p w14:paraId="77AE00A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הכהנים בני אהרן</w:t>
      </w:r>
      <w:r w:rsidRPr="00A45F99">
        <w:rPr>
          <w:rFonts w:eastAsia="Times New Roman" w:cs="Times New Roman"/>
          <w:rtl/>
          <w:lang w:eastAsia="de-DE"/>
        </w:rPr>
        <w:t xml:space="preserve"> </w:t>
      </w:r>
      <w:r w:rsidRPr="00A45F99">
        <w:rPr>
          <w:rFonts w:eastAsia="Times New Roman" w:cs="Times New Roman"/>
          <w:lang w:eastAsia="de-DE"/>
        </w:rPr>
        <w:t xml:space="preserve">als offizielle Priesterschaftsbezeichnung. </w:t>
      </w:r>
      <w:r w:rsidRPr="00A45F99">
        <w:rPr>
          <w:rFonts w:eastAsia="Times New Roman" w:cs="Times New Roman"/>
          <w:b/>
          <w:bCs/>
          <w:rtl/>
          <w:lang w:eastAsia="de-DE"/>
        </w:rPr>
        <w:t>לנפש</w:t>
      </w:r>
      <w:r w:rsidRPr="00A45F99">
        <w:rPr>
          <w:rFonts w:eastAsia="Times New Roman" w:cs="Times New Roman"/>
          <w:rtl/>
          <w:lang w:eastAsia="de-DE"/>
        </w:rPr>
        <w:t xml:space="preserve"> </w:t>
      </w:r>
      <w:r w:rsidRPr="00A45F99">
        <w:rPr>
          <w:rFonts w:eastAsia="Times New Roman" w:cs="Times New Roman"/>
          <w:lang w:eastAsia="de-DE"/>
        </w:rPr>
        <w:t xml:space="preserve">als euphemistische Leichenbezeichnung. </w:t>
      </w:r>
      <w:r w:rsidRPr="00A45F99">
        <w:rPr>
          <w:rFonts w:eastAsia="Times New Roman" w:cs="Times New Roman"/>
          <w:b/>
          <w:bCs/>
          <w:rtl/>
          <w:lang w:eastAsia="de-DE"/>
        </w:rPr>
        <w:t>לא־יטמא</w:t>
      </w:r>
      <w:r w:rsidRPr="00A45F99">
        <w:rPr>
          <w:rFonts w:eastAsia="Times New Roman" w:cs="Times New Roman"/>
          <w:rtl/>
          <w:lang w:eastAsia="de-DE"/>
        </w:rPr>
        <w:t xml:space="preserve"> </w:t>
      </w:r>
      <w:r w:rsidRPr="00A45F99">
        <w:rPr>
          <w:rFonts w:eastAsia="Times New Roman" w:cs="Times New Roman"/>
          <w:lang w:eastAsia="de-DE"/>
        </w:rPr>
        <w:t xml:space="preserve">als grundsätzliches Leichenverunreinigungsverbot für Priester. </w:t>
      </w:r>
      <w:r w:rsidRPr="00A45F99">
        <w:rPr>
          <w:rFonts w:eastAsia="Times New Roman" w:cs="Times New Roman"/>
          <w:b/>
          <w:bCs/>
          <w:rtl/>
          <w:lang w:eastAsia="de-DE"/>
        </w:rPr>
        <w:t>בעמיו</w:t>
      </w:r>
      <w:r w:rsidRPr="00A45F99">
        <w:rPr>
          <w:rFonts w:eastAsia="Times New Roman" w:cs="Times New Roman"/>
          <w:rtl/>
          <w:lang w:eastAsia="de-DE"/>
        </w:rPr>
        <w:t xml:space="preserve"> </w:t>
      </w:r>
      <w:r w:rsidRPr="00A45F99">
        <w:rPr>
          <w:rFonts w:eastAsia="Times New Roman" w:cs="Times New Roman"/>
          <w:lang w:eastAsia="de-DE"/>
        </w:rPr>
        <w:t>zeigt die Anwendung auf alle Volksgenossen.</w:t>
      </w:r>
    </w:p>
    <w:p w14:paraId="695C7084" w14:textId="792A636F"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לנפש לא־יטמא</w:t>
      </w:r>
      <w:r w:rsidR="0007678B">
        <w:t xml:space="preserve"> (</w:t>
      </w:r>
      <w:proofErr w:type="spellStart"/>
      <w:r w:rsidR="0007678B">
        <w:t>lenefesh</w:t>
      </w:r>
      <w:proofErr w:type="spellEnd"/>
      <w:r w:rsidR="0007678B">
        <w:t xml:space="preserve"> lo-</w:t>
      </w:r>
      <w:proofErr w:type="spellStart"/>
      <w:r w:rsidR="0007678B">
        <w:t>yittamma</w:t>
      </w:r>
      <w:proofErr w:type="spellEnd"/>
      <w:r w:rsidR="0007678B">
        <w:t xml:space="preserve"> - "an einem Toten soll er sich nicht verunreinigen") als </w:t>
      </w:r>
      <w:proofErr w:type="spellStart"/>
      <w:r w:rsidR="0007678B">
        <w:t>ἐν</w:t>
      </w:r>
      <w:proofErr w:type="spellEnd"/>
      <w:r w:rsidR="0007678B">
        <w:t xml:space="preserve"> τα</w:t>
      </w:r>
      <w:proofErr w:type="spellStart"/>
      <w:r w:rsidR="0007678B">
        <w:t>ῖς</w:t>
      </w:r>
      <w:proofErr w:type="spellEnd"/>
      <w:r w:rsidR="0007678B">
        <w:t xml:space="preserve"> </w:t>
      </w:r>
      <w:proofErr w:type="spellStart"/>
      <w:r w:rsidR="0007678B">
        <w:t>ψυχ</w:t>
      </w:r>
      <w:proofErr w:type="spellEnd"/>
      <w:r w:rsidR="0007678B">
        <w:t xml:space="preserve">αῖς </w:t>
      </w:r>
      <w:proofErr w:type="spellStart"/>
      <w:r w:rsidR="0007678B">
        <w:t>οὐ</w:t>
      </w:r>
      <w:proofErr w:type="spellEnd"/>
      <w:r w:rsidR="0007678B">
        <w:t xml:space="preserve"> </w:t>
      </w:r>
      <w:proofErr w:type="spellStart"/>
      <w:r w:rsidR="0007678B">
        <w:t>μι</w:t>
      </w:r>
      <w:proofErr w:type="spellEnd"/>
      <w:r w:rsidR="0007678B">
        <w:t>ανθήσονται (an den Seelen sollen sie sich nicht verunreinigen), was den Plural verwendet statt des hebräischen Singulars.</w:t>
      </w:r>
    </w:p>
    <w:p w14:paraId="1A55746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Priester-Leichenverbot: göttliche Anweisung + Priesteradressierung + Weiterleitungsauftrag + grundsätzliches Leichenverunreinigungsverbot.</w:t>
      </w:r>
    </w:p>
    <w:p w14:paraId="5B5FAEAB"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lastRenderedPageBreak/>
        <w:t>Dieser Vers etabliert das grundsätzliche Verbot der Leichenverunreinigung für alle aaronitischen Priester.</w:t>
      </w:r>
    </w:p>
    <w:p w14:paraId="00BCBDC0"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21,2</w:t>
      </w:r>
    </w:p>
    <w:p w14:paraId="63C82A3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כִּ֚י אִם־לִשְׁאֵרֹ֔ו הַקָּרֹ֖ב אֵלָ֑יו לְאִמֹּ֣ו וּלְאָבִ֔יו וְלִבְנֹ֥ו וּלְבִתּוֹ֖ וּלְאָחִֽיו׃</w:t>
      </w:r>
    </w:p>
    <w:p w14:paraId="11096EE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Außer für seinen Verwandten, der ihm nahe ist: für seine Mutter und für seinen Vater und für seinen Sohn und für seine Tochter und für seinen Bruder;</w:t>
      </w:r>
    </w:p>
    <w:p w14:paraId="31F08C2E"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4353913E">
          <v:rect id="_x0000_i1626" style="width:0;height:1.5pt" o:hralign="center" o:hrstd="t" o:hr="t" fillcolor="#a0a0a0" stroked="f"/>
        </w:pict>
      </w:r>
    </w:p>
    <w:p w14:paraId="743E88A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כי אם־לשארו הקרב אליו לאמו ולאביו ולבנו ולבתו ולאחיו</w:t>
      </w:r>
      <w:r w:rsidRPr="00A45F99">
        <w:rPr>
          <w:rFonts w:eastAsia="Times New Roman" w:cs="Times New Roman"/>
          <w:rtl/>
          <w:lang w:eastAsia="de-DE"/>
        </w:rPr>
        <w:t xml:space="preserve"> </w:t>
      </w:r>
      <w:r w:rsidRPr="00A45F99">
        <w:rPr>
          <w:rFonts w:eastAsia="Times New Roman" w:cs="Times New Roman"/>
          <w:lang w:eastAsia="de-DE"/>
        </w:rPr>
        <w:t xml:space="preserve">zeigt die Ausnahmen vom Leichenverbot. </w:t>
      </w:r>
      <w:r w:rsidRPr="00A45F99">
        <w:rPr>
          <w:rFonts w:eastAsia="Times New Roman" w:cs="Times New Roman"/>
          <w:b/>
          <w:bCs/>
          <w:rtl/>
          <w:lang w:eastAsia="de-DE"/>
        </w:rPr>
        <w:t>כי אם־לשארו הקרב אליו</w:t>
      </w:r>
      <w:r w:rsidRPr="00A45F99">
        <w:rPr>
          <w:rFonts w:eastAsia="Times New Roman" w:cs="Times New Roman"/>
          <w:rtl/>
          <w:lang w:eastAsia="de-DE"/>
        </w:rPr>
        <w:t xml:space="preserve"> </w:t>
      </w:r>
      <w:r w:rsidRPr="00A45F99">
        <w:rPr>
          <w:rFonts w:eastAsia="Times New Roman" w:cs="Times New Roman"/>
          <w:lang w:eastAsia="de-DE"/>
        </w:rPr>
        <w:t xml:space="preserve">(außer für seinen Verwandten, der ihm nahe ist) - </w:t>
      </w:r>
      <w:r w:rsidRPr="00A45F99">
        <w:rPr>
          <w:rFonts w:eastAsia="Times New Roman" w:cs="Times New Roman"/>
          <w:b/>
          <w:bCs/>
          <w:rtl/>
          <w:lang w:eastAsia="de-DE"/>
        </w:rPr>
        <w:t>כי אם</w:t>
      </w:r>
      <w:r w:rsidRPr="00A45F99">
        <w:rPr>
          <w:rFonts w:eastAsia="Times New Roman" w:cs="Times New Roman"/>
          <w:rtl/>
          <w:lang w:eastAsia="de-DE"/>
        </w:rPr>
        <w:t xml:space="preserve"> </w:t>
      </w:r>
      <w:r w:rsidRPr="00A45F99">
        <w:rPr>
          <w:rFonts w:eastAsia="Times New Roman" w:cs="Times New Roman"/>
          <w:lang w:eastAsia="de-DE"/>
        </w:rPr>
        <w:t xml:space="preserve">(außer/es sei denn) zeigt Ausnahme. </w:t>
      </w:r>
      <w:r w:rsidRPr="00A45F99">
        <w:rPr>
          <w:rFonts w:eastAsia="Times New Roman" w:cs="Times New Roman"/>
          <w:b/>
          <w:bCs/>
          <w:rtl/>
          <w:lang w:eastAsia="de-DE"/>
        </w:rPr>
        <w:t>לשארו</w:t>
      </w:r>
      <w:r w:rsidRPr="00A45F99">
        <w:rPr>
          <w:rFonts w:eastAsia="Times New Roman" w:cs="Times New Roman"/>
          <w:rtl/>
          <w:lang w:eastAsia="de-DE"/>
        </w:rPr>
        <w:t xml:space="preserve"> </w:t>
      </w:r>
      <w:r w:rsidRPr="00A45F99">
        <w:rPr>
          <w:rFonts w:eastAsia="Times New Roman" w:cs="Times New Roman"/>
          <w:lang w:eastAsia="de-DE"/>
        </w:rPr>
        <w:t xml:space="preserve">(für seinen Verwandten) - </w:t>
      </w:r>
      <w:r w:rsidRPr="00A45F99">
        <w:rPr>
          <w:rFonts w:eastAsia="Times New Roman" w:cs="Times New Roman"/>
          <w:b/>
          <w:bCs/>
          <w:rtl/>
          <w:lang w:eastAsia="de-DE"/>
        </w:rPr>
        <w:t>שאר</w:t>
      </w:r>
      <w:r w:rsidRPr="00A45F99">
        <w:rPr>
          <w:rFonts w:eastAsia="Times New Roman" w:cs="Times New Roman"/>
          <w:rtl/>
          <w:lang w:eastAsia="de-DE"/>
        </w:rPr>
        <w:t xml:space="preserve"> </w:t>
      </w:r>
      <w:r w:rsidRPr="00A45F99">
        <w:rPr>
          <w:rFonts w:eastAsia="Times New Roman" w:cs="Times New Roman"/>
          <w:lang w:eastAsia="de-DE"/>
        </w:rPr>
        <w:t xml:space="preserve">(Fleisch/Blutsverwandtschaft) entspricht 18,6. </w:t>
      </w:r>
      <w:r w:rsidRPr="00A45F99">
        <w:rPr>
          <w:rFonts w:eastAsia="Times New Roman" w:cs="Times New Roman"/>
          <w:b/>
          <w:bCs/>
          <w:rtl/>
          <w:lang w:eastAsia="de-DE"/>
        </w:rPr>
        <w:t>הקרב אליו</w:t>
      </w:r>
      <w:r w:rsidRPr="00A45F99">
        <w:rPr>
          <w:rFonts w:eastAsia="Times New Roman" w:cs="Times New Roman"/>
          <w:rtl/>
          <w:lang w:eastAsia="de-DE"/>
        </w:rPr>
        <w:t xml:space="preserve"> </w:t>
      </w:r>
      <w:r w:rsidRPr="00A45F99">
        <w:rPr>
          <w:rFonts w:eastAsia="Times New Roman" w:cs="Times New Roman"/>
          <w:lang w:eastAsia="de-DE"/>
        </w:rPr>
        <w:t>(der ihm nahe ist) betont die enge Verwandtschaft.</w:t>
      </w:r>
    </w:p>
    <w:p w14:paraId="1E0CE3C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לאמו ולאביו ולבנו ולבתו ולאחיו</w:t>
      </w:r>
      <w:r w:rsidRPr="00A45F99">
        <w:rPr>
          <w:rFonts w:eastAsia="Times New Roman" w:cs="Times New Roman"/>
          <w:rtl/>
          <w:lang w:eastAsia="de-DE"/>
        </w:rPr>
        <w:t xml:space="preserve"> </w:t>
      </w:r>
      <w:r w:rsidRPr="00A45F99">
        <w:rPr>
          <w:rFonts w:eastAsia="Times New Roman" w:cs="Times New Roman"/>
          <w:lang w:eastAsia="de-DE"/>
        </w:rPr>
        <w:t>(für seine Mutter und für seinen Vater und für seinen Sohn und für seine Tochter und für seinen Bruder) zählt fünf erlaubte Verwandte auf: Eltern (aufwärts), Kinder (abwärts), Bruder (seitlich).</w:t>
      </w:r>
    </w:p>
    <w:p w14:paraId="6F8C22C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שארו</w:t>
      </w:r>
      <w:r w:rsidRPr="00A45F99">
        <w:rPr>
          <w:rFonts w:eastAsia="Times New Roman" w:cs="Times New Roman"/>
          <w:rtl/>
          <w:lang w:eastAsia="de-DE"/>
        </w:rPr>
        <w:t xml:space="preserve"> </w:t>
      </w:r>
      <w:r w:rsidRPr="00A45F99">
        <w:rPr>
          <w:rFonts w:eastAsia="Times New Roman" w:cs="Times New Roman"/>
          <w:lang w:eastAsia="de-DE"/>
        </w:rPr>
        <w:t xml:space="preserve">als </w:t>
      </w:r>
      <w:r w:rsidRPr="00A45F99">
        <w:rPr>
          <w:rFonts w:eastAsia="Times New Roman" w:cs="Times New Roman"/>
          <w:b/>
          <w:bCs/>
          <w:rtl/>
          <w:lang w:eastAsia="de-DE"/>
        </w:rPr>
        <w:t>שאר</w:t>
      </w:r>
      <w:r w:rsidRPr="00A45F99">
        <w:rPr>
          <w:rFonts w:eastAsia="Times New Roman" w:cs="Times New Roman"/>
          <w:lang w:eastAsia="de-DE"/>
        </w:rPr>
        <w:t xml:space="preserve">-Verwandtschaft entspricht den Inzestbestimmungen. </w:t>
      </w:r>
      <w:r w:rsidRPr="00A45F99">
        <w:rPr>
          <w:rFonts w:eastAsia="Times New Roman" w:cs="Times New Roman"/>
          <w:b/>
          <w:bCs/>
          <w:rtl/>
          <w:lang w:eastAsia="de-DE"/>
        </w:rPr>
        <w:t>הקרב אליו</w:t>
      </w:r>
      <w:r w:rsidRPr="00A45F99">
        <w:rPr>
          <w:rFonts w:eastAsia="Times New Roman" w:cs="Times New Roman"/>
          <w:rtl/>
          <w:lang w:eastAsia="de-DE"/>
        </w:rPr>
        <w:t xml:space="preserve"> </w:t>
      </w:r>
      <w:r w:rsidRPr="00A45F99">
        <w:rPr>
          <w:rFonts w:eastAsia="Times New Roman" w:cs="Times New Roman"/>
          <w:lang w:eastAsia="de-DE"/>
        </w:rPr>
        <w:t>betont emotionale und rechtliche Nähe. Die Aufzählung folgt den natürlichen Verwandtschaftslinien: Eltern, Kinder, Geschwister.</w:t>
      </w:r>
    </w:p>
    <w:p w14:paraId="6E1F67C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כי אם</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ἀλλ</w:t>
      </w:r>
      <w:proofErr w:type="spellEnd"/>
      <w:r w:rsidRPr="00A45F99">
        <w:rPr>
          <w:rFonts w:eastAsia="Times New Roman" w:cs="Times New Roman"/>
          <w:lang w:eastAsia="de-DE"/>
        </w:rPr>
        <w:t xml:space="preserve">᾽ ἢ (außer), </w:t>
      </w:r>
      <w:r w:rsidRPr="00A45F99">
        <w:rPr>
          <w:rFonts w:eastAsia="Times New Roman" w:cs="Times New Roman"/>
          <w:b/>
          <w:bCs/>
          <w:rtl/>
          <w:lang w:eastAsia="de-DE"/>
        </w:rPr>
        <w:t>שארו</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οἰκεῖον</w:t>
      </w:r>
      <w:proofErr w:type="spellEnd"/>
      <w:r w:rsidRPr="00A45F99">
        <w:rPr>
          <w:rFonts w:eastAsia="Times New Roman" w:cs="Times New Roman"/>
          <w:lang w:eastAsia="de-DE"/>
        </w:rPr>
        <w:t xml:space="preserve"> α</w:t>
      </w:r>
      <w:proofErr w:type="spellStart"/>
      <w:r w:rsidRPr="00A45F99">
        <w:rPr>
          <w:rFonts w:eastAsia="Times New Roman" w:cs="Times New Roman"/>
          <w:lang w:eastAsia="de-DE"/>
        </w:rPr>
        <w:t>ὐτοῦ</w:t>
      </w:r>
      <w:proofErr w:type="spellEnd"/>
      <w:r w:rsidRPr="00A45F99">
        <w:rPr>
          <w:rFonts w:eastAsia="Times New Roman" w:cs="Times New Roman"/>
          <w:lang w:eastAsia="de-DE"/>
        </w:rPr>
        <w:t xml:space="preserve"> (seinem Verwandten), </w:t>
      </w:r>
      <w:r w:rsidRPr="00A45F99">
        <w:rPr>
          <w:rFonts w:eastAsia="Times New Roman" w:cs="Times New Roman"/>
          <w:b/>
          <w:bCs/>
          <w:rtl/>
          <w:lang w:eastAsia="de-DE"/>
        </w:rPr>
        <w:t>הקרב</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τὸν</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ἐγγίζοντ</w:t>
      </w:r>
      <w:proofErr w:type="spellEnd"/>
      <w:r w:rsidRPr="00A45F99">
        <w:rPr>
          <w:rFonts w:eastAsia="Times New Roman" w:cs="Times New Roman"/>
          <w:lang w:eastAsia="de-DE"/>
        </w:rPr>
        <w:t>α (den Nahestehenden) und die Verwandtenliste entsprechend.</w:t>
      </w:r>
    </w:p>
    <w:p w14:paraId="45DC8FA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Leichenverbot-Ausnahmen: Ausnahmeformel + </w:t>
      </w:r>
      <w:r w:rsidRPr="00A45F99">
        <w:rPr>
          <w:rFonts w:eastAsia="Times New Roman" w:cs="Times New Roman"/>
          <w:b/>
          <w:bCs/>
          <w:rtl/>
          <w:lang w:eastAsia="de-DE"/>
        </w:rPr>
        <w:t>שאר</w:t>
      </w:r>
      <w:r w:rsidRPr="00A45F99">
        <w:rPr>
          <w:rFonts w:eastAsia="Times New Roman" w:cs="Times New Roman"/>
          <w:lang w:eastAsia="de-DE"/>
        </w:rPr>
        <w:t>-Verwandtschaftsdefinition + Nähebetonung + fünfgliedrige Verwandtenliste.</w:t>
      </w:r>
    </w:p>
    <w:p w14:paraId="39802EE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 xml:space="preserve">Dieser Vers zeigt die ersten fünf erlaubten </w:t>
      </w:r>
      <w:r w:rsidRPr="00A45F99">
        <w:rPr>
          <w:rFonts w:eastAsia="Times New Roman" w:cs="Times New Roman"/>
          <w:b/>
          <w:bCs/>
          <w:rtl/>
          <w:lang w:eastAsia="de-DE"/>
        </w:rPr>
        <w:t>שאר</w:t>
      </w:r>
      <w:r w:rsidRPr="00A45F99">
        <w:rPr>
          <w:rFonts w:eastAsia="Times New Roman" w:cs="Times New Roman"/>
          <w:lang w:eastAsia="de-DE"/>
        </w:rPr>
        <w:t>-Verwandten für priesterliche Leichenverunreinigung.</w:t>
      </w:r>
    </w:p>
    <w:p w14:paraId="0594D620"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21,3</w:t>
      </w:r>
    </w:p>
    <w:p w14:paraId="39E73A8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וְלַאֲחֹתוֹ֤ הַבְּתוּלָה֙ הַקְּרוֹבָ֣ה אֵלָ֔יו אֲשֶׁ֥ר לֹֽא־הָיְתָ֖ה לְאִ֑ישׁ לָ֖הּ יִטַּמָּֽא׃</w:t>
      </w:r>
    </w:p>
    <w:p w14:paraId="76BE248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für seine Schwester, die Jungfrau, die ihm nahe ist, die keinem Mann geworden ist: an ihr darf er sich verunreinigen.</w:t>
      </w:r>
    </w:p>
    <w:p w14:paraId="778BA801"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77F7D69B">
          <v:rect id="_x0000_i1627" style="width:0;height:1.5pt" o:hralign="center" o:hrstd="t" o:hr="t" fillcolor="#a0a0a0" stroked="f"/>
        </w:pict>
      </w:r>
    </w:p>
    <w:p w14:paraId="43B9164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ולאחתו הבתולה הקרובה אליו אשר לא־היתה לאיש לה יטמא</w:t>
      </w:r>
      <w:r w:rsidRPr="00A45F99">
        <w:rPr>
          <w:rFonts w:eastAsia="Times New Roman" w:cs="Times New Roman"/>
          <w:rtl/>
          <w:lang w:eastAsia="de-DE"/>
        </w:rPr>
        <w:t xml:space="preserve"> </w:t>
      </w:r>
      <w:r w:rsidRPr="00A45F99">
        <w:rPr>
          <w:rFonts w:eastAsia="Times New Roman" w:cs="Times New Roman"/>
          <w:lang w:eastAsia="de-DE"/>
        </w:rPr>
        <w:t xml:space="preserve">zeigt die sechste Ausnahme mit besonderen Bedingungen. </w:t>
      </w:r>
      <w:r w:rsidRPr="00A45F99">
        <w:rPr>
          <w:rFonts w:eastAsia="Times New Roman" w:cs="Times New Roman"/>
          <w:b/>
          <w:bCs/>
          <w:rtl/>
          <w:lang w:eastAsia="de-DE"/>
        </w:rPr>
        <w:t>ולאחתו הבתולה</w:t>
      </w:r>
      <w:r w:rsidRPr="00A45F99">
        <w:rPr>
          <w:rFonts w:eastAsia="Times New Roman" w:cs="Times New Roman"/>
          <w:rtl/>
          <w:lang w:eastAsia="de-DE"/>
        </w:rPr>
        <w:t xml:space="preserve"> </w:t>
      </w:r>
      <w:r w:rsidRPr="00A45F99">
        <w:rPr>
          <w:rFonts w:eastAsia="Times New Roman" w:cs="Times New Roman"/>
          <w:lang w:eastAsia="de-DE"/>
        </w:rPr>
        <w:t xml:space="preserve">(und für seine Schwester, die Jungfrau) - </w:t>
      </w:r>
      <w:r w:rsidRPr="00A45F99">
        <w:rPr>
          <w:rFonts w:eastAsia="Times New Roman" w:cs="Times New Roman"/>
          <w:b/>
          <w:bCs/>
          <w:rtl/>
          <w:lang w:eastAsia="de-DE"/>
        </w:rPr>
        <w:t>ולאחתו</w:t>
      </w:r>
      <w:r w:rsidRPr="00A45F99">
        <w:rPr>
          <w:rFonts w:eastAsia="Times New Roman" w:cs="Times New Roman"/>
          <w:rtl/>
          <w:lang w:eastAsia="de-DE"/>
        </w:rPr>
        <w:t xml:space="preserve"> </w:t>
      </w:r>
      <w:r w:rsidRPr="00A45F99">
        <w:rPr>
          <w:rFonts w:eastAsia="Times New Roman" w:cs="Times New Roman"/>
          <w:lang w:eastAsia="de-DE"/>
        </w:rPr>
        <w:t xml:space="preserve">(und für seine Schwester) ergänzt V. 2. </w:t>
      </w:r>
      <w:r w:rsidRPr="00A45F99">
        <w:rPr>
          <w:rFonts w:eastAsia="Times New Roman" w:cs="Times New Roman"/>
          <w:b/>
          <w:bCs/>
          <w:rtl/>
          <w:lang w:eastAsia="de-DE"/>
        </w:rPr>
        <w:t>הבתולה</w:t>
      </w:r>
      <w:r w:rsidRPr="00A45F99">
        <w:rPr>
          <w:rFonts w:eastAsia="Times New Roman" w:cs="Times New Roman"/>
          <w:rtl/>
          <w:lang w:eastAsia="de-DE"/>
        </w:rPr>
        <w:t xml:space="preserve"> </w:t>
      </w:r>
      <w:r w:rsidRPr="00A45F99">
        <w:rPr>
          <w:rFonts w:eastAsia="Times New Roman" w:cs="Times New Roman"/>
          <w:lang w:eastAsia="de-DE"/>
        </w:rPr>
        <w:t>(die Jungfrau) als erste Bedingung.</w:t>
      </w:r>
    </w:p>
    <w:p w14:paraId="2E98EC5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lastRenderedPageBreak/>
        <w:t>הקרובה אליו</w:t>
      </w:r>
      <w:r w:rsidRPr="00A45F99">
        <w:rPr>
          <w:rFonts w:eastAsia="Times New Roman" w:cs="Times New Roman"/>
          <w:rtl/>
          <w:lang w:eastAsia="de-DE"/>
        </w:rPr>
        <w:t xml:space="preserve"> </w:t>
      </w:r>
      <w:r w:rsidRPr="00A45F99">
        <w:rPr>
          <w:rFonts w:eastAsia="Times New Roman" w:cs="Times New Roman"/>
          <w:lang w:eastAsia="de-DE"/>
        </w:rPr>
        <w:t xml:space="preserve">(die ihm nahe ist) entspricht V. 2 und betont die enge Beziehung. </w:t>
      </w:r>
      <w:r w:rsidRPr="00A45F99">
        <w:rPr>
          <w:rFonts w:eastAsia="Times New Roman" w:cs="Times New Roman"/>
          <w:b/>
          <w:bCs/>
          <w:rtl/>
          <w:lang w:eastAsia="de-DE"/>
        </w:rPr>
        <w:t>אשר לא־היתה לאיש</w:t>
      </w:r>
      <w:r w:rsidRPr="00A45F99">
        <w:rPr>
          <w:rFonts w:eastAsia="Times New Roman" w:cs="Times New Roman"/>
          <w:rtl/>
          <w:lang w:eastAsia="de-DE"/>
        </w:rPr>
        <w:t xml:space="preserve"> </w:t>
      </w:r>
      <w:r w:rsidRPr="00A45F99">
        <w:rPr>
          <w:rFonts w:eastAsia="Times New Roman" w:cs="Times New Roman"/>
          <w:lang w:eastAsia="de-DE"/>
        </w:rPr>
        <w:t xml:space="preserve">(die keinem Mann geworden ist) - </w:t>
      </w:r>
      <w:r w:rsidRPr="00A45F99">
        <w:rPr>
          <w:rFonts w:eastAsia="Times New Roman" w:cs="Times New Roman"/>
          <w:b/>
          <w:bCs/>
          <w:rtl/>
          <w:lang w:eastAsia="de-DE"/>
        </w:rPr>
        <w:t>לא־היתה לאיש</w:t>
      </w:r>
      <w:r w:rsidRPr="00A45F99">
        <w:rPr>
          <w:rFonts w:eastAsia="Times New Roman" w:cs="Times New Roman"/>
          <w:rtl/>
          <w:lang w:eastAsia="de-DE"/>
        </w:rPr>
        <w:t xml:space="preserve"> </w:t>
      </w:r>
      <w:r w:rsidRPr="00A45F99">
        <w:rPr>
          <w:rFonts w:eastAsia="Times New Roman" w:cs="Times New Roman"/>
          <w:lang w:eastAsia="de-DE"/>
        </w:rPr>
        <w:t>(ist nicht einem Mann geworden) als zweite Bedingung: Unverheiratet-Sein.</w:t>
      </w:r>
    </w:p>
    <w:p w14:paraId="3BAF050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לה יטמא</w:t>
      </w:r>
      <w:r w:rsidRPr="00A45F99">
        <w:rPr>
          <w:rFonts w:eastAsia="Times New Roman" w:cs="Times New Roman"/>
          <w:rtl/>
          <w:lang w:eastAsia="de-DE"/>
        </w:rPr>
        <w:t xml:space="preserve"> </w:t>
      </w:r>
      <w:r w:rsidRPr="00A45F99">
        <w:rPr>
          <w:rFonts w:eastAsia="Times New Roman" w:cs="Times New Roman"/>
          <w:lang w:eastAsia="de-DE"/>
        </w:rPr>
        <w:t xml:space="preserve">(an ihr darf er sich verunreinigen) - </w:t>
      </w:r>
      <w:r w:rsidRPr="00A45F99">
        <w:rPr>
          <w:rFonts w:eastAsia="Times New Roman" w:cs="Times New Roman"/>
          <w:b/>
          <w:bCs/>
          <w:rtl/>
          <w:lang w:eastAsia="de-DE"/>
        </w:rPr>
        <w:t>לה</w:t>
      </w:r>
      <w:r w:rsidRPr="00A45F99">
        <w:rPr>
          <w:rFonts w:eastAsia="Times New Roman" w:cs="Times New Roman"/>
          <w:rtl/>
          <w:lang w:eastAsia="de-DE"/>
        </w:rPr>
        <w:t xml:space="preserve"> </w:t>
      </w:r>
      <w:r w:rsidRPr="00A45F99">
        <w:rPr>
          <w:rFonts w:eastAsia="Times New Roman" w:cs="Times New Roman"/>
          <w:lang w:eastAsia="de-DE"/>
        </w:rPr>
        <w:t xml:space="preserve">(an ihr) mit Betonung, </w:t>
      </w:r>
      <w:r w:rsidRPr="00A45F99">
        <w:rPr>
          <w:rFonts w:eastAsia="Times New Roman" w:cs="Times New Roman"/>
          <w:b/>
          <w:bCs/>
          <w:rtl/>
          <w:lang w:eastAsia="de-DE"/>
        </w:rPr>
        <w:t>יטמא</w:t>
      </w:r>
      <w:r w:rsidRPr="00A45F99">
        <w:rPr>
          <w:rFonts w:eastAsia="Times New Roman" w:cs="Times New Roman"/>
          <w:rtl/>
          <w:lang w:eastAsia="de-DE"/>
        </w:rPr>
        <w:t xml:space="preserve"> </w:t>
      </w:r>
      <w:r w:rsidRPr="00A45F99">
        <w:rPr>
          <w:rFonts w:eastAsia="Times New Roman" w:cs="Times New Roman"/>
          <w:lang w:eastAsia="de-DE"/>
        </w:rPr>
        <w:t>(darf er sich verunreinigen) im Nifal-Imperfekt zeigt ausdrückliche Erlaubnis.</w:t>
      </w:r>
    </w:p>
    <w:p w14:paraId="446054A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הבתולה</w:t>
      </w:r>
      <w:r w:rsidRPr="00A45F99">
        <w:rPr>
          <w:rFonts w:eastAsia="Times New Roman" w:cs="Times New Roman"/>
          <w:rtl/>
          <w:lang w:eastAsia="de-DE"/>
        </w:rPr>
        <w:t xml:space="preserve"> </w:t>
      </w:r>
      <w:r w:rsidRPr="00A45F99">
        <w:rPr>
          <w:rFonts w:eastAsia="Times New Roman" w:cs="Times New Roman"/>
          <w:lang w:eastAsia="de-DE"/>
        </w:rPr>
        <w:t xml:space="preserve">zeigt Jungfräulichkeit als Bedingung. </w:t>
      </w:r>
      <w:r w:rsidRPr="00A45F99">
        <w:rPr>
          <w:rFonts w:eastAsia="Times New Roman" w:cs="Times New Roman"/>
          <w:b/>
          <w:bCs/>
          <w:rtl/>
          <w:lang w:eastAsia="de-DE"/>
        </w:rPr>
        <w:t>הקרובה אליו</w:t>
      </w:r>
      <w:r w:rsidRPr="00A45F99">
        <w:rPr>
          <w:rFonts w:eastAsia="Times New Roman" w:cs="Times New Roman"/>
          <w:rtl/>
          <w:lang w:eastAsia="de-DE"/>
        </w:rPr>
        <w:t xml:space="preserve"> </w:t>
      </w:r>
      <w:r w:rsidRPr="00A45F99">
        <w:rPr>
          <w:rFonts w:eastAsia="Times New Roman" w:cs="Times New Roman"/>
          <w:lang w:eastAsia="de-DE"/>
        </w:rPr>
        <w:t xml:space="preserve">betont emotionale Nähe. </w:t>
      </w:r>
      <w:r w:rsidRPr="00A45F99">
        <w:rPr>
          <w:rFonts w:eastAsia="Times New Roman" w:cs="Times New Roman"/>
          <w:b/>
          <w:bCs/>
          <w:rtl/>
          <w:lang w:eastAsia="de-DE"/>
        </w:rPr>
        <w:t>לא־היתה לאיש</w:t>
      </w:r>
      <w:r w:rsidRPr="00A45F99">
        <w:rPr>
          <w:rFonts w:eastAsia="Times New Roman" w:cs="Times New Roman"/>
          <w:rtl/>
          <w:lang w:eastAsia="de-DE"/>
        </w:rPr>
        <w:t xml:space="preserve"> </w:t>
      </w:r>
      <w:r w:rsidRPr="00A45F99">
        <w:rPr>
          <w:rFonts w:eastAsia="Times New Roman" w:cs="Times New Roman"/>
          <w:lang w:eastAsia="de-DE"/>
        </w:rPr>
        <w:t xml:space="preserve">zeigt Unverheiratet-Sein als entscheidend. </w:t>
      </w:r>
      <w:r w:rsidRPr="00A45F99">
        <w:rPr>
          <w:rFonts w:eastAsia="Times New Roman" w:cs="Times New Roman"/>
          <w:b/>
          <w:bCs/>
          <w:rtl/>
          <w:lang w:eastAsia="de-DE"/>
        </w:rPr>
        <w:t>לה יטמא</w:t>
      </w:r>
      <w:r w:rsidRPr="00A45F99">
        <w:rPr>
          <w:rFonts w:eastAsia="Times New Roman" w:cs="Times New Roman"/>
          <w:rtl/>
          <w:lang w:eastAsia="de-DE"/>
        </w:rPr>
        <w:t xml:space="preserve"> </w:t>
      </w:r>
      <w:r w:rsidRPr="00A45F99">
        <w:rPr>
          <w:rFonts w:eastAsia="Times New Roman" w:cs="Times New Roman"/>
          <w:lang w:eastAsia="de-DE"/>
        </w:rPr>
        <w:t>als emphatische Erlaubnis zeigt die Ausnahme von der Regel.</w:t>
      </w:r>
    </w:p>
    <w:p w14:paraId="3E9B66BA" w14:textId="0BAC16A1"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fügt zur Klarstellung hinzu: ἐπὶ </w:t>
      </w:r>
      <w:proofErr w:type="spellStart"/>
      <w:r w:rsidR="0007678B">
        <w:t>τούτοις</w:t>
      </w:r>
      <w:proofErr w:type="spellEnd"/>
      <w:r w:rsidR="0007678B">
        <w:t xml:space="preserve"> </w:t>
      </w:r>
      <w:proofErr w:type="spellStart"/>
      <w:r w:rsidR="0007678B">
        <w:t>μι</w:t>
      </w:r>
      <w:proofErr w:type="spellEnd"/>
      <w:r w:rsidR="0007678B">
        <w:t>ανθήσεται (an diesen darf er sich verunreinigen), was die Ausnahmen explizit macht.</w:t>
      </w:r>
    </w:p>
    <w:p w14:paraId="6AC0B6E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Schwester-Ausnahme: Schwesterbezeichnung + Jungfräulichkeitsbedingung + Nähebetonung + Unverheiratet-Bedingung + emphatische Verunreinigungserlaubnis.</w:t>
      </w:r>
    </w:p>
    <w:p w14:paraId="7E36754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zeigt die unverheiratete Schwester als sechste erlaubte Verwandte mit besonderen Bedingungen.</w:t>
      </w:r>
    </w:p>
    <w:p w14:paraId="0A3DA35F"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21,4</w:t>
      </w:r>
    </w:p>
    <w:p w14:paraId="79B13C1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לֹ֥א יִטַּמָּ֖א בַּ֣עַל בְּעַמָּ֑יו לְהֵ֖חַלֹּֽו׃</w:t>
      </w:r>
    </w:p>
    <w:p w14:paraId="1F5C251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Er soll sich nicht verunreinigen als Herr unter seinen Volksgenossen, sich zu entweihen.</w:t>
      </w:r>
    </w:p>
    <w:p w14:paraId="2D0897B0"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79F0E567">
          <v:rect id="_x0000_i1628" style="width:0;height:1.5pt" o:hralign="center" o:hrstd="t" o:hr="t" fillcolor="#a0a0a0" stroked="f"/>
        </w:pict>
      </w:r>
    </w:p>
    <w:p w14:paraId="3DAFFFB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לא יטמא בעל בעמיו להחלו</w:t>
      </w:r>
      <w:r w:rsidRPr="00A45F99">
        <w:rPr>
          <w:rFonts w:eastAsia="Times New Roman" w:cs="Times New Roman"/>
          <w:rtl/>
          <w:lang w:eastAsia="de-DE"/>
        </w:rPr>
        <w:t xml:space="preserve"> </w:t>
      </w:r>
      <w:r w:rsidRPr="00A45F99">
        <w:rPr>
          <w:rFonts w:eastAsia="Times New Roman" w:cs="Times New Roman"/>
          <w:lang w:eastAsia="de-DE"/>
        </w:rPr>
        <w:t xml:space="preserve">zeigt das Verbot der Verunreinigung durch angeheiratete Verwandte. </w:t>
      </w:r>
      <w:r w:rsidRPr="00A45F99">
        <w:rPr>
          <w:rFonts w:eastAsia="Times New Roman" w:cs="Times New Roman"/>
          <w:b/>
          <w:bCs/>
          <w:rtl/>
          <w:lang w:eastAsia="de-DE"/>
        </w:rPr>
        <w:t>לא יטמא בעל בעמיו</w:t>
      </w:r>
      <w:r w:rsidRPr="00A45F99">
        <w:rPr>
          <w:rFonts w:eastAsia="Times New Roman" w:cs="Times New Roman"/>
          <w:rtl/>
          <w:lang w:eastAsia="de-DE"/>
        </w:rPr>
        <w:t xml:space="preserve"> </w:t>
      </w:r>
      <w:r w:rsidRPr="00A45F99">
        <w:rPr>
          <w:rFonts w:eastAsia="Times New Roman" w:cs="Times New Roman"/>
          <w:lang w:eastAsia="de-DE"/>
        </w:rPr>
        <w:t xml:space="preserve">(er soll sich nicht verunreinigen als Herr unter seinen Volksgenossen) - </w:t>
      </w:r>
      <w:r w:rsidRPr="00A45F99">
        <w:rPr>
          <w:rFonts w:eastAsia="Times New Roman" w:cs="Times New Roman"/>
          <w:b/>
          <w:bCs/>
          <w:rtl/>
          <w:lang w:eastAsia="de-DE"/>
        </w:rPr>
        <w:t>לא יטמא</w:t>
      </w:r>
      <w:r w:rsidRPr="00A45F99">
        <w:rPr>
          <w:rFonts w:eastAsia="Times New Roman" w:cs="Times New Roman"/>
          <w:rtl/>
          <w:lang w:eastAsia="de-DE"/>
        </w:rPr>
        <w:t xml:space="preserve"> </w:t>
      </w:r>
      <w:r w:rsidRPr="00A45F99">
        <w:rPr>
          <w:rFonts w:eastAsia="Times New Roman" w:cs="Times New Roman"/>
          <w:lang w:eastAsia="de-DE"/>
        </w:rPr>
        <w:t xml:space="preserve">(soll sich nicht verunreinigen) wiederholt V. 1. </w:t>
      </w:r>
      <w:r w:rsidRPr="00A45F99">
        <w:rPr>
          <w:rFonts w:eastAsia="Times New Roman" w:cs="Times New Roman"/>
          <w:b/>
          <w:bCs/>
          <w:rtl/>
          <w:lang w:eastAsia="de-DE"/>
        </w:rPr>
        <w:t>בעל בעמיו</w:t>
      </w:r>
      <w:r w:rsidRPr="00A45F99">
        <w:rPr>
          <w:rFonts w:eastAsia="Times New Roman" w:cs="Times New Roman"/>
          <w:rtl/>
          <w:lang w:eastAsia="de-DE"/>
        </w:rPr>
        <w:t xml:space="preserve"> </w:t>
      </w:r>
      <w:r w:rsidRPr="00A45F99">
        <w:rPr>
          <w:rFonts w:eastAsia="Times New Roman" w:cs="Times New Roman"/>
          <w:lang w:eastAsia="de-DE"/>
        </w:rPr>
        <w:t xml:space="preserve">(als Herr unter seinen Volksgenossen) - </w:t>
      </w:r>
      <w:r w:rsidRPr="00A45F99">
        <w:rPr>
          <w:rFonts w:eastAsia="Times New Roman" w:cs="Times New Roman"/>
          <w:b/>
          <w:bCs/>
          <w:rtl/>
          <w:lang w:eastAsia="de-DE"/>
        </w:rPr>
        <w:t>בעל</w:t>
      </w:r>
      <w:r w:rsidRPr="00A45F99">
        <w:rPr>
          <w:rFonts w:eastAsia="Times New Roman" w:cs="Times New Roman"/>
          <w:rtl/>
          <w:lang w:eastAsia="de-DE"/>
        </w:rPr>
        <w:t xml:space="preserve"> </w:t>
      </w:r>
      <w:r w:rsidRPr="00A45F99">
        <w:rPr>
          <w:rFonts w:eastAsia="Times New Roman" w:cs="Times New Roman"/>
          <w:lang w:eastAsia="de-DE"/>
        </w:rPr>
        <w:t>(Herr/Ehemann) zeigt die Rolle als Familienoberhaupt.</w:t>
      </w:r>
    </w:p>
    <w:p w14:paraId="23F22C4F" w14:textId="09419F63"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להחלו</w:t>
      </w:r>
      <w:r w:rsidRPr="00A45F99">
        <w:rPr>
          <w:rFonts w:eastAsia="Times New Roman" w:cs="Times New Roman"/>
          <w:rtl/>
          <w:lang w:eastAsia="de-DE"/>
        </w:rPr>
        <w:t xml:space="preserve"> </w:t>
      </w:r>
      <w:r w:rsidRPr="00A45F99">
        <w:rPr>
          <w:rFonts w:eastAsia="Times New Roman" w:cs="Times New Roman"/>
          <w:lang w:eastAsia="de-DE"/>
        </w:rPr>
        <w:t xml:space="preserve">(sich zu entweihen) - </w:t>
      </w:r>
      <w:r w:rsidRPr="00A45F99">
        <w:rPr>
          <w:rFonts w:eastAsia="Times New Roman" w:cs="Times New Roman"/>
          <w:b/>
          <w:bCs/>
          <w:rtl/>
          <w:lang w:eastAsia="de-DE"/>
        </w:rPr>
        <w:t>להחל</w:t>
      </w:r>
      <w:r w:rsidRPr="00A45F99">
        <w:rPr>
          <w:rFonts w:eastAsia="Times New Roman" w:cs="Times New Roman"/>
          <w:rtl/>
          <w:lang w:eastAsia="de-DE"/>
        </w:rPr>
        <w:t xml:space="preserve"> </w:t>
      </w:r>
      <w:r w:rsidRPr="00A45F99">
        <w:rPr>
          <w:rFonts w:eastAsia="Times New Roman" w:cs="Times New Roman"/>
          <w:lang w:eastAsia="de-DE"/>
        </w:rPr>
        <w:t>(um zu entweihen) im Hifil-Infinitiv-</w:t>
      </w:r>
      <w:r w:rsidR="005407E2">
        <w:rPr>
          <w:rFonts w:eastAsia="Times New Roman" w:cs="Times New Roman"/>
          <w:lang w:eastAsia="de-DE"/>
        </w:rPr>
        <w:t>Constructus</w:t>
      </w:r>
      <w:r w:rsidRPr="00A45F99">
        <w:rPr>
          <w:rFonts w:eastAsia="Times New Roman" w:cs="Times New Roman"/>
          <w:lang w:eastAsia="de-DE"/>
        </w:rPr>
        <w:t xml:space="preserve"> mit Suffix, das Hifil zeigt kausative Entweihung. Dies zeigt den Zweck: Vermeidung der Entweihung.</w:t>
      </w:r>
    </w:p>
    <w:p w14:paraId="1C9A8CD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בעל בעמיו</w:t>
      </w:r>
      <w:r w:rsidRPr="00A45F99">
        <w:rPr>
          <w:rFonts w:eastAsia="Times New Roman" w:cs="Times New Roman"/>
          <w:rtl/>
          <w:lang w:eastAsia="de-DE"/>
        </w:rPr>
        <w:t xml:space="preserve"> </w:t>
      </w:r>
      <w:r w:rsidRPr="00A45F99">
        <w:rPr>
          <w:rFonts w:eastAsia="Times New Roman" w:cs="Times New Roman"/>
          <w:lang w:eastAsia="de-DE"/>
        </w:rPr>
        <w:t xml:space="preserve">zeigt den Priester als </w:t>
      </w:r>
      <w:r w:rsidRPr="00A45F99">
        <w:rPr>
          <w:rFonts w:eastAsia="Times New Roman" w:cs="Times New Roman"/>
          <w:b/>
          <w:bCs/>
          <w:rtl/>
          <w:lang w:eastAsia="de-DE"/>
        </w:rPr>
        <w:t>בעל</w:t>
      </w:r>
      <w:r w:rsidRPr="00A45F99">
        <w:rPr>
          <w:rFonts w:eastAsia="Times New Roman" w:cs="Times New Roman"/>
          <w:rtl/>
          <w:lang w:eastAsia="de-DE"/>
        </w:rPr>
        <w:t xml:space="preserve"> </w:t>
      </w:r>
      <w:r w:rsidRPr="00A45F99">
        <w:rPr>
          <w:rFonts w:eastAsia="Times New Roman" w:cs="Times New Roman"/>
          <w:lang w:eastAsia="de-DE"/>
        </w:rPr>
        <w:t xml:space="preserve">(Ehemann/Familienoberhaupt) in der Gemeinschaft. </w:t>
      </w:r>
      <w:r w:rsidRPr="00A45F99">
        <w:rPr>
          <w:rFonts w:eastAsia="Times New Roman" w:cs="Times New Roman"/>
          <w:b/>
          <w:bCs/>
          <w:rtl/>
          <w:lang w:eastAsia="de-DE"/>
        </w:rPr>
        <w:t>להחלו</w:t>
      </w:r>
      <w:r w:rsidRPr="00A45F99">
        <w:rPr>
          <w:rFonts w:eastAsia="Times New Roman" w:cs="Times New Roman"/>
          <w:rtl/>
          <w:lang w:eastAsia="de-DE"/>
        </w:rPr>
        <w:t xml:space="preserve"> </w:t>
      </w:r>
      <w:r w:rsidRPr="00A45F99">
        <w:rPr>
          <w:rFonts w:eastAsia="Times New Roman" w:cs="Times New Roman"/>
          <w:lang w:eastAsia="de-DE"/>
        </w:rPr>
        <w:t>zeigt, dass Verunreinigung durch angeheiratete Verwandte (wie die Ehefrau) zur Entweihung führt.</w:t>
      </w:r>
    </w:p>
    <w:p w14:paraId="701A1282" w14:textId="6DB01454"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לא יטמא בעל בעמיו להחלו</w:t>
      </w:r>
      <w:r w:rsidR="0007678B">
        <w:t xml:space="preserve"> (lo </w:t>
      </w:r>
      <w:proofErr w:type="spellStart"/>
      <w:r w:rsidR="0007678B">
        <w:t>yittamma</w:t>
      </w:r>
      <w:proofErr w:type="spellEnd"/>
      <w:r w:rsidR="0007678B">
        <w:t xml:space="preserve"> ba'al </w:t>
      </w:r>
      <w:proofErr w:type="spellStart"/>
      <w:r w:rsidR="0007678B">
        <w:t>be'amav</w:t>
      </w:r>
      <w:proofErr w:type="spellEnd"/>
      <w:r w:rsidR="0007678B">
        <w:t xml:space="preserve"> </w:t>
      </w:r>
      <w:proofErr w:type="spellStart"/>
      <w:r w:rsidR="0007678B">
        <w:t>lehachallo</w:t>
      </w:r>
      <w:proofErr w:type="spellEnd"/>
      <w:r w:rsidR="0007678B">
        <w:t xml:space="preserve"> - "er soll sich nicht verunreinigen als Ehemann unter seinem Volk, sich zu entweihen") als </w:t>
      </w:r>
      <w:proofErr w:type="spellStart"/>
      <w:r w:rsidR="0007678B">
        <w:t>οὐ</w:t>
      </w:r>
      <w:proofErr w:type="spellEnd"/>
      <w:r w:rsidR="0007678B">
        <w:t xml:space="preserve"> </w:t>
      </w:r>
      <w:proofErr w:type="spellStart"/>
      <w:r w:rsidR="0007678B">
        <w:t>μι</w:t>
      </w:r>
      <w:proofErr w:type="spellEnd"/>
      <w:r w:rsidR="0007678B">
        <w:t xml:space="preserve">ανθήσεται </w:t>
      </w:r>
      <w:proofErr w:type="spellStart"/>
      <w:r w:rsidR="0007678B">
        <w:t>ἐξά</w:t>
      </w:r>
      <w:proofErr w:type="spellEnd"/>
      <w:r w:rsidR="0007678B">
        <w:t xml:space="preserve">πινα </w:t>
      </w:r>
      <w:proofErr w:type="spellStart"/>
      <w:r w:rsidR="0007678B">
        <w:t>ἐν</w:t>
      </w:r>
      <w:proofErr w:type="spellEnd"/>
      <w:r w:rsidR="0007678B">
        <w:t xml:space="preserve"> </w:t>
      </w:r>
      <w:proofErr w:type="spellStart"/>
      <w:r w:rsidR="0007678B">
        <w:t>τῷ</w:t>
      </w:r>
      <w:proofErr w:type="spellEnd"/>
      <w:r w:rsidR="0007678B">
        <w:t xml:space="preserve"> λαῷ α</w:t>
      </w:r>
      <w:proofErr w:type="spellStart"/>
      <w:r w:rsidR="0007678B">
        <w:t>ὐτοῦ</w:t>
      </w:r>
      <w:proofErr w:type="spellEnd"/>
      <w:r w:rsidR="0007678B">
        <w:t xml:space="preserve"> </w:t>
      </w:r>
      <w:proofErr w:type="spellStart"/>
      <w:r w:rsidR="0007678B">
        <w:t>εἰς</w:t>
      </w:r>
      <w:proofErr w:type="spellEnd"/>
      <w:r w:rsidR="0007678B">
        <w:t xml:space="preserve"> βεβ</w:t>
      </w:r>
      <w:proofErr w:type="spellStart"/>
      <w:r w:rsidR="0007678B">
        <w:t>ήλωσιν</w:t>
      </w:r>
      <w:proofErr w:type="spellEnd"/>
      <w:r w:rsidR="0007678B">
        <w:t xml:space="preserve"> α</w:t>
      </w:r>
      <w:proofErr w:type="spellStart"/>
      <w:r w:rsidR="0007678B">
        <w:t>ὐτοῦ</w:t>
      </w:r>
      <w:proofErr w:type="spellEnd"/>
      <w:r w:rsidR="0007678B">
        <w:t xml:space="preserve"> (er soll sich nicht plötzlich unter seinem Volk verunreinigen zu seiner Entweihung), wobei </w:t>
      </w:r>
      <w:proofErr w:type="spellStart"/>
      <w:r w:rsidR="0007678B">
        <w:t>ἐξά</w:t>
      </w:r>
      <w:proofErr w:type="spellEnd"/>
      <w:r w:rsidR="0007678B">
        <w:t>πινα (plötzlich) eine interpretative Ergänzung darstellt.</w:t>
      </w:r>
    </w:p>
    <w:p w14:paraId="3344EF7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lastRenderedPageBreak/>
        <w:t>Die Satzstruktur</w:t>
      </w:r>
      <w:r w:rsidRPr="00A45F99">
        <w:rPr>
          <w:rFonts w:eastAsia="Times New Roman" w:cs="Times New Roman"/>
          <w:lang w:eastAsia="de-DE"/>
        </w:rPr>
        <w:t xml:space="preserve"> zeigt Angeheirateten-Verbot: Verunreinigungsverbot + </w:t>
      </w:r>
      <w:r w:rsidRPr="00A45F99">
        <w:rPr>
          <w:rFonts w:eastAsia="Times New Roman" w:cs="Times New Roman"/>
          <w:b/>
          <w:bCs/>
          <w:rtl/>
          <w:lang w:eastAsia="de-DE"/>
        </w:rPr>
        <w:t>בעל</w:t>
      </w:r>
      <w:r w:rsidRPr="00A45F99">
        <w:rPr>
          <w:rFonts w:eastAsia="Times New Roman" w:cs="Times New Roman"/>
          <w:lang w:eastAsia="de-DE"/>
        </w:rPr>
        <w:t>-Status + Gemeinschaftskontext + Entweihungsvermeidung.</w:t>
      </w:r>
    </w:p>
    <w:p w14:paraId="76A3E4A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verbietet die Verunreinigung durch angeheiratete Verwandte zur Vermeidung priesterlicher Entweihung.</w:t>
      </w:r>
    </w:p>
    <w:p w14:paraId="0BC878D5"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21,5</w:t>
      </w:r>
    </w:p>
    <w:p w14:paraId="24D03AC1"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לֹֽא־יִקְרְחָה קָרְחָה֙ בְּרֹאשָׁ֔ם וּפְאַ֥ת זְקָנָ֖ם לֹ֣א יְגַלֵּ֑חוּ וּבִ֨בְשָׂרָ֔ם לֹ֥א יִשְׂרְט֖וּ שָׂרָֽטֶת׃</w:t>
      </w:r>
    </w:p>
    <w:p w14:paraId="636ABA81"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Sie sollen keine Glatze machen auf ihrem Haupt und den Rand ihres Bartes sollen sie nicht abscheren und an ihrem Fleisch sollen sie keine Einschnitte machen.</w:t>
      </w:r>
    </w:p>
    <w:p w14:paraId="1081D024"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6D37ACBC">
          <v:rect id="_x0000_i1629" style="width:0;height:1.5pt" o:hralign="center" o:hrstd="t" o:hr="t" fillcolor="#a0a0a0" stroked="f"/>
        </w:pict>
      </w:r>
    </w:p>
    <w:p w14:paraId="5F1AB06B"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לא־יקרחה קרחה בראשם ופאת זקנם לא יגלחו ובבשרם לא ישרטו שרטת</w:t>
      </w:r>
      <w:r w:rsidRPr="00A45F99">
        <w:rPr>
          <w:rFonts w:eastAsia="Times New Roman" w:cs="Times New Roman"/>
          <w:rtl/>
          <w:lang w:eastAsia="de-DE"/>
        </w:rPr>
        <w:t xml:space="preserve"> </w:t>
      </w:r>
      <w:r w:rsidRPr="00A45F99">
        <w:rPr>
          <w:rFonts w:eastAsia="Times New Roman" w:cs="Times New Roman"/>
          <w:lang w:eastAsia="de-DE"/>
        </w:rPr>
        <w:t xml:space="preserve">verbietet heidnische Trauerpraktiken für Priester. </w:t>
      </w:r>
      <w:r w:rsidRPr="00A45F99">
        <w:rPr>
          <w:rFonts w:eastAsia="Times New Roman" w:cs="Times New Roman"/>
          <w:b/>
          <w:bCs/>
          <w:rtl/>
          <w:lang w:eastAsia="de-DE"/>
        </w:rPr>
        <w:t>לא־יקרחה קרחה בראשם</w:t>
      </w:r>
      <w:r w:rsidRPr="00A45F99">
        <w:rPr>
          <w:rFonts w:eastAsia="Times New Roman" w:cs="Times New Roman"/>
          <w:rtl/>
          <w:lang w:eastAsia="de-DE"/>
        </w:rPr>
        <w:t xml:space="preserve"> </w:t>
      </w:r>
      <w:r w:rsidRPr="00A45F99">
        <w:rPr>
          <w:rFonts w:eastAsia="Times New Roman" w:cs="Times New Roman"/>
          <w:lang w:eastAsia="de-DE"/>
        </w:rPr>
        <w:t xml:space="preserve">(sie sollen keine Glatze machen auf ihrem Haupt) - </w:t>
      </w:r>
      <w:r w:rsidRPr="00A45F99">
        <w:rPr>
          <w:rFonts w:eastAsia="Times New Roman" w:cs="Times New Roman"/>
          <w:b/>
          <w:bCs/>
          <w:rtl/>
          <w:lang w:eastAsia="de-DE"/>
        </w:rPr>
        <w:t>לא־יקרחה קרחה</w:t>
      </w:r>
      <w:r w:rsidRPr="00A45F99">
        <w:rPr>
          <w:rFonts w:eastAsia="Times New Roman" w:cs="Times New Roman"/>
          <w:rtl/>
          <w:lang w:eastAsia="de-DE"/>
        </w:rPr>
        <w:t xml:space="preserve"> </w:t>
      </w:r>
      <w:r w:rsidRPr="00A45F99">
        <w:rPr>
          <w:rFonts w:eastAsia="Times New Roman" w:cs="Times New Roman"/>
          <w:lang w:eastAsia="de-DE"/>
        </w:rPr>
        <w:t xml:space="preserve">als Figura etymologica von </w:t>
      </w:r>
      <w:r w:rsidRPr="00A45F99">
        <w:rPr>
          <w:rFonts w:eastAsia="Times New Roman" w:cs="Times New Roman"/>
          <w:b/>
          <w:bCs/>
          <w:rtl/>
          <w:lang w:eastAsia="de-DE"/>
        </w:rPr>
        <w:t>קרח</w:t>
      </w:r>
      <w:r w:rsidRPr="00A45F99">
        <w:rPr>
          <w:rFonts w:eastAsia="Times New Roman" w:cs="Times New Roman"/>
          <w:rtl/>
          <w:lang w:eastAsia="de-DE"/>
        </w:rPr>
        <w:t xml:space="preserve"> </w:t>
      </w:r>
      <w:r w:rsidRPr="00A45F99">
        <w:rPr>
          <w:rFonts w:eastAsia="Times New Roman" w:cs="Times New Roman"/>
          <w:lang w:eastAsia="de-DE"/>
        </w:rPr>
        <w:t xml:space="preserve">(kahl scheren) zeigt emphatisches Verbot. </w:t>
      </w:r>
      <w:r w:rsidRPr="00A45F99">
        <w:rPr>
          <w:rFonts w:eastAsia="Times New Roman" w:cs="Times New Roman"/>
          <w:b/>
          <w:bCs/>
          <w:rtl/>
          <w:lang w:eastAsia="de-DE"/>
        </w:rPr>
        <w:t>בראשם</w:t>
      </w:r>
      <w:r w:rsidRPr="00A45F99">
        <w:rPr>
          <w:rFonts w:eastAsia="Times New Roman" w:cs="Times New Roman"/>
          <w:rtl/>
          <w:lang w:eastAsia="de-DE"/>
        </w:rPr>
        <w:t xml:space="preserve"> </w:t>
      </w:r>
      <w:r w:rsidRPr="00A45F99">
        <w:rPr>
          <w:rFonts w:eastAsia="Times New Roman" w:cs="Times New Roman"/>
          <w:lang w:eastAsia="de-DE"/>
        </w:rPr>
        <w:t>(auf ihrem Haupt) zeigt Kopfhaar.</w:t>
      </w:r>
    </w:p>
    <w:p w14:paraId="1DEEF3A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ופאת זקנם לא יגלחו</w:t>
      </w:r>
      <w:r w:rsidRPr="00A45F99">
        <w:rPr>
          <w:rFonts w:eastAsia="Times New Roman" w:cs="Times New Roman"/>
          <w:rtl/>
          <w:lang w:eastAsia="de-DE"/>
        </w:rPr>
        <w:t xml:space="preserve"> </w:t>
      </w:r>
      <w:r w:rsidRPr="00A45F99">
        <w:rPr>
          <w:rFonts w:eastAsia="Times New Roman" w:cs="Times New Roman"/>
          <w:lang w:eastAsia="de-DE"/>
        </w:rPr>
        <w:t xml:space="preserve">(und den Rand ihres Bartes sollen sie nicht abscheren) entspricht 19,27. </w:t>
      </w:r>
      <w:r w:rsidRPr="00A45F99">
        <w:rPr>
          <w:rFonts w:eastAsia="Times New Roman" w:cs="Times New Roman"/>
          <w:b/>
          <w:bCs/>
          <w:rtl/>
          <w:lang w:eastAsia="de-DE"/>
        </w:rPr>
        <w:t>פאת זקנם</w:t>
      </w:r>
      <w:r w:rsidRPr="00A45F99">
        <w:rPr>
          <w:rFonts w:eastAsia="Times New Roman" w:cs="Times New Roman"/>
          <w:rtl/>
          <w:lang w:eastAsia="de-DE"/>
        </w:rPr>
        <w:t xml:space="preserve"> </w:t>
      </w:r>
      <w:r w:rsidRPr="00A45F99">
        <w:rPr>
          <w:rFonts w:eastAsia="Times New Roman" w:cs="Times New Roman"/>
          <w:lang w:eastAsia="de-DE"/>
        </w:rPr>
        <w:t xml:space="preserve">(Rand ihres Bartes) zeigt Bartränder. </w:t>
      </w:r>
      <w:r w:rsidRPr="00A45F99">
        <w:rPr>
          <w:rFonts w:eastAsia="Times New Roman" w:cs="Times New Roman"/>
          <w:b/>
          <w:bCs/>
          <w:rtl/>
          <w:lang w:eastAsia="de-DE"/>
        </w:rPr>
        <w:t>לא יגלחו</w:t>
      </w:r>
      <w:r w:rsidRPr="00A45F99">
        <w:rPr>
          <w:rFonts w:eastAsia="Times New Roman" w:cs="Times New Roman"/>
          <w:rtl/>
          <w:lang w:eastAsia="de-DE"/>
        </w:rPr>
        <w:t xml:space="preserve"> </w:t>
      </w:r>
      <w:r w:rsidRPr="00A45F99">
        <w:rPr>
          <w:rFonts w:eastAsia="Times New Roman" w:cs="Times New Roman"/>
          <w:lang w:eastAsia="de-DE"/>
        </w:rPr>
        <w:t>(sollen sie nicht abscheren) im Piel-Imperfekt, das Piel zeigt intensive Abscherung.</w:t>
      </w:r>
    </w:p>
    <w:p w14:paraId="730728E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ובבשרם לא ישרטו שרטת</w:t>
      </w:r>
      <w:r w:rsidRPr="00A45F99">
        <w:rPr>
          <w:rFonts w:eastAsia="Times New Roman" w:cs="Times New Roman"/>
          <w:rtl/>
          <w:lang w:eastAsia="de-DE"/>
        </w:rPr>
        <w:t xml:space="preserve"> </w:t>
      </w:r>
      <w:r w:rsidRPr="00A45F99">
        <w:rPr>
          <w:rFonts w:eastAsia="Times New Roman" w:cs="Times New Roman"/>
          <w:lang w:eastAsia="de-DE"/>
        </w:rPr>
        <w:t xml:space="preserve">(und an ihrem Fleisch sollen sie keine Einschnitte machen) entspricht 19,28. </w:t>
      </w:r>
      <w:r w:rsidRPr="00A45F99">
        <w:rPr>
          <w:rFonts w:eastAsia="Times New Roman" w:cs="Times New Roman"/>
          <w:b/>
          <w:bCs/>
          <w:rtl/>
          <w:lang w:eastAsia="de-DE"/>
        </w:rPr>
        <w:t>בבשרם</w:t>
      </w:r>
      <w:r w:rsidRPr="00A45F99">
        <w:rPr>
          <w:rFonts w:eastAsia="Times New Roman" w:cs="Times New Roman"/>
          <w:rtl/>
          <w:lang w:eastAsia="de-DE"/>
        </w:rPr>
        <w:t xml:space="preserve"> </w:t>
      </w:r>
      <w:r w:rsidRPr="00A45F99">
        <w:rPr>
          <w:rFonts w:eastAsia="Times New Roman" w:cs="Times New Roman"/>
          <w:lang w:eastAsia="de-DE"/>
        </w:rPr>
        <w:t xml:space="preserve">(an ihrem Fleisch) zeigt Körper. </w:t>
      </w:r>
      <w:r w:rsidRPr="00A45F99">
        <w:rPr>
          <w:rFonts w:eastAsia="Times New Roman" w:cs="Times New Roman"/>
          <w:b/>
          <w:bCs/>
          <w:rtl/>
          <w:lang w:eastAsia="de-DE"/>
        </w:rPr>
        <w:t>לא ישרטו שרטת</w:t>
      </w:r>
      <w:r w:rsidRPr="00A45F99">
        <w:rPr>
          <w:rFonts w:eastAsia="Times New Roman" w:cs="Times New Roman"/>
          <w:rtl/>
          <w:lang w:eastAsia="de-DE"/>
        </w:rPr>
        <w:t xml:space="preserve"> </w:t>
      </w:r>
      <w:r w:rsidRPr="00A45F99">
        <w:rPr>
          <w:rFonts w:eastAsia="Times New Roman" w:cs="Times New Roman"/>
          <w:lang w:eastAsia="de-DE"/>
        </w:rPr>
        <w:t xml:space="preserve">als Figura etymologica von </w:t>
      </w:r>
      <w:r w:rsidRPr="00A45F99">
        <w:rPr>
          <w:rFonts w:eastAsia="Times New Roman" w:cs="Times New Roman"/>
          <w:b/>
          <w:bCs/>
          <w:rtl/>
          <w:lang w:eastAsia="de-DE"/>
        </w:rPr>
        <w:t>שרט</w:t>
      </w:r>
      <w:r w:rsidRPr="00A45F99">
        <w:rPr>
          <w:rFonts w:eastAsia="Times New Roman" w:cs="Times New Roman"/>
          <w:rtl/>
          <w:lang w:eastAsia="de-DE"/>
        </w:rPr>
        <w:t xml:space="preserve"> </w:t>
      </w:r>
      <w:r w:rsidRPr="00A45F99">
        <w:rPr>
          <w:rFonts w:eastAsia="Times New Roman" w:cs="Times New Roman"/>
          <w:lang w:eastAsia="de-DE"/>
        </w:rPr>
        <w:t>(einschneiden) betont das Verbot ritueller Selbstverletzung.</w:t>
      </w:r>
    </w:p>
    <w:p w14:paraId="74B85BA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קרחה בראשם</w:t>
      </w:r>
      <w:r w:rsidRPr="00A45F99">
        <w:rPr>
          <w:rFonts w:eastAsia="Times New Roman" w:cs="Times New Roman"/>
          <w:rtl/>
          <w:lang w:eastAsia="de-DE"/>
        </w:rPr>
        <w:t xml:space="preserve"> </w:t>
      </w:r>
      <w:r w:rsidRPr="00A45F99">
        <w:rPr>
          <w:rFonts w:eastAsia="Times New Roman" w:cs="Times New Roman"/>
          <w:lang w:eastAsia="de-DE"/>
        </w:rPr>
        <w:t xml:space="preserve">als heidnische Trauerpraxis. </w:t>
      </w:r>
      <w:r w:rsidRPr="00A45F99">
        <w:rPr>
          <w:rFonts w:eastAsia="Times New Roman" w:cs="Times New Roman"/>
          <w:b/>
          <w:bCs/>
          <w:rtl/>
          <w:lang w:eastAsia="de-DE"/>
        </w:rPr>
        <w:t>פאת זקנם</w:t>
      </w:r>
      <w:r w:rsidRPr="00A45F99">
        <w:rPr>
          <w:rFonts w:eastAsia="Times New Roman" w:cs="Times New Roman"/>
          <w:rtl/>
          <w:lang w:eastAsia="de-DE"/>
        </w:rPr>
        <w:t xml:space="preserve"> </w:t>
      </w:r>
      <w:r w:rsidRPr="00A45F99">
        <w:rPr>
          <w:rFonts w:eastAsia="Times New Roman" w:cs="Times New Roman"/>
          <w:lang w:eastAsia="de-DE"/>
        </w:rPr>
        <w:t xml:space="preserve">entspricht allgemeinen Verboten aus Kapitel 19. </w:t>
      </w:r>
      <w:r w:rsidRPr="00A45F99">
        <w:rPr>
          <w:rFonts w:eastAsia="Times New Roman" w:cs="Times New Roman"/>
          <w:b/>
          <w:bCs/>
          <w:rtl/>
          <w:lang w:eastAsia="de-DE"/>
        </w:rPr>
        <w:t>שרטת בבשרם</w:t>
      </w:r>
      <w:r w:rsidRPr="00A45F99">
        <w:rPr>
          <w:rFonts w:eastAsia="Times New Roman" w:cs="Times New Roman"/>
          <w:rtl/>
          <w:lang w:eastAsia="de-DE"/>
        </w:rPr>
        <w:t xml:space="preserve"> </w:t>
      </w:r>
      <w:r w:rsidRPr="00A45F99">
        <w:rPr>
          <w:rFonts w:eastAsia="Times New Roman" w:cs="Times New Roman"/>
          <w:lang w:eastAsia="de-DE"/>
        </w:rPr>
        <w:t>als rituelle Körperverletzung. Alle drei sind heidnische Trauerpraktiken.</w:t>
      </w:r>
    </w:p>
    <w:p w14:paraId="5FA16272" w14:textId="42875490"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spezifiziert ἐπὶ </w:t>
      </w:r>
      <w:proofErr w:type="spellStart"/>
      <w:r w:rsidR="0007678B">
        <w:t>νεκρῷ</w:t>
      </w:r>
      <w:proofErr w:type="spellEnd"/>
      <w:r w:rsidR="0007678B">
        <w:t xml:space="preserve"> (über einem Toten), was im Hebräischen nicht explizit steht, und übersetzt </w:t>
      </w:r>
      <w:r w:rsidR="0007678B">
        <w:rPr>
          <w:rtl/>
        </w:rPr>
        <w:t>שרטת</w:t>
      </w:r>
      <w:r w:rsidR="0007678B">
        <w:t xml:space="preserve"> (</w:t>
      </w:r>
      <w:proofErr w:type="spellStart"/>
      <w:r w:rsidR="0007678B">
        <w:t>saretat</w:t>
      </w:r>
      <w:proofErr w:type="spellEnd"/>
      <w:r w:rsidR="0007678B">
        <w:t xml:space="preserve"> - "Einritzungen") als </w:t>
      </w:r>
      <w:proofErr w:type="spellStart"/>
      <w:r w:rsidR="0007678B">
        <w:t>ἐντομίδ</w:t>
      </w:r>
      <w:proofErr w:type="spellEnd"/>
      <w:r w:rsidR="0007678B">
        <w:t>ας (Einschnitte).</w:t>
      </w:r>
    </w:p>
    <w:p w14:paraId="4D4A999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heidnische Trauerpraktiken-Verbote: Kopfkahl-Scheren + Bartrand-Abscheren + rituelle Körpereinschnitte.</w:t>
      </w:r>
    </w:p>
    <w:p w14:paraId="41F2F81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verbietet Priestern drei heidnische Trauerpraktiken: Glatze, Bartscherung und Körpereinschnitte.</w:t>
      </w:r>
    </w:p>
    <w:p w14:paraId="21247A13"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21,6</w:t>
      </w:r>
    </w:p>
    <w:p w14:paraId="0F6BFE1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קְדֹשִׁ֤ים יִהְיוּ֙ לֵאלֹ֣הֵיהֶ֔ם וְלֹ֣א יְחַלְּל֔וּ שֵׁ֖ם אֱלֹהֵיהֶ֑ם כִּי֩ אֶת־אִשֵּׁ֨י יְהוָ֜ה לֶ֧חֶם אֱלֹהֵיהֶ֛ם הֵ֥ם מַקְרִיבִ֖ם וְהָ֥יוּ קֹֽדֶשׁ׃</w:t>
      </w:r>
    </w:p>
    <w:p w14:paraId="3CFEEA3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Heilig sollen sie sein ihrem Gott und sollen nicht entweihen den Namen ihres Gottes, denn die Feueropfer des Ewigen, das Brot ihres Gottes, bringen sie dar; und sie sollen heilig sein.</w:t>
      </w:r>
    </w:p>
    <w:p w14:paraId="1A6BBBCA"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lastRenderedPageBreak/>
        <w:pict w14:anchorId="0BEA8716">
          <v:rect id="_x0000_i1630" style="width:0;height:1.5pt" o:hralign="center" o:hrstd="t" o:hr="t" fillcolor="#a0a0a0" stroked="f"/>
        </w:pict>
      </w:r>
    </w:p>
    <w:p w14:paraId="320FE14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קדשים יהיו לאלהיהם ולא יחללו שם אלהיהם כי את־אשי יהוה לחם אלהיהם הם מקריבים והיו קדש</w:t>
      </w:r>
      <w:r w:rsidRPr="00A45F99">
        <w:rPr>
          <w:rFonts w:eastAsia="Times New Roman" w:cs="Times New Roman"/>
          <w:rtl/>
          <w:lang w:eastAsia="de-DE"/>
        </w:rPr>
        <w:t xml:space="preserve"> </w:t>
      </w:r>
      <w:r w:rsidRPr="00A45F99">
        <w:rPr>
          <w:rFonts w:eastAsia="Times New Roman" w:cs="Times New Roman"/>
          <w:lang w:eastAsia="de-DE"/>
        </w:rPr>
        <w:t xml:space="preserve">begründet die Priestervorschriften durch ihre heilige Funktion. </w:t>
      </w:r>
      <w:r w:rsidRPr="00A45F99">
        <w:rPr>
          <w:rFonts w:eastAsia="Times New Roman" w:cs="Times New Roman"/>
          <w:b/>
          <w:bCs/>
          <w:rtl/>
          <w:lang w:eastAsia="de-DE"/>
        </w:rPr>
        <w:t>קדשים יהיו לאלהיהם</w:t>
      </w:r>
      <w:r w:rsidRPr="00A45F99">
        <w:rPr>
          <w:rFonts w:eastAsia="Times New Roman" w:cs="Times New Roman"/>
          <w:rtl/>
          <w:lang w:eastAsia="de-DE"/>
        </w:rPr>
        <w:t xml:space="preserve"> </w:t>
      </w:r>
      <w:r w:rsidRPr="00A45F99">
        <w:rPr>
          <w:rFonts w:eastAsia="Times New Roman" w:cs="Times New Roman"/>
          <w:lang w:eastAsia="de-DE"/>
        </w:rPr>
        <w:t>(heilig sollen sie sein ihrem Gott) zeigt die geforderte priesterliche Heiligkeit entsprechend der allgemeinen Heiligungsforderung aus 19,2.</w:t>
      </w:r>
    </w:p>
    <w:p w14:paraId="2641BFF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ולא יחללו שם אלהיהם</w:t>
      </w:r>
      <w:r w:rsidRPr="00A45F99">
        <w:rPr>
          <w:rFonts w:eastAsia="Times New Roman" w:cs="Times New Roman"/>
          <w:rtl/>
          <w:lang w:eastAsia="de-DE"/>
        </w:rPr>
        <w:t xml:space="preserve"> </w:t>
      </w:r>
      <w:r w:rsidRPr="00A45F99">
        <w:rPr>
          <w:rFonts w:eastAsia="Times New Roman" w:cs="Times New Roman"/>
          <w:lang w:eastAsia="de-DE"/>
        </w:rPr>
        <w:t xml:space="preserve">(und sollen nicht entweihen den Namen ihres Gottes) - </w:t>
      </w:r>
      <w:r w:rsidRPr="00A45F99">
        <w:rPr>
          <w:rFonts w:eastAsia="Times New Roman" w:cs="Times New Roman"/>
          <w:b/>
          <w:bCs/>
          <w:rtl/>
          <w:lang w:eastAsia="de-DE"/>
        </w:rPr>
        <w:t>לא יחללו</w:t>
      </w:r>
      <w:r w:rsidRPr="00A45F99">
        <w:rPr>
          <w:rFonts w:eastAsia="Times New Roman" w:cs="Times New Roman"/>
          <w:rtl/>
          <w:lang w:eastAsia="de-DE"/>
        </w:rPr>
        <w:t xml:space="preserve"> </w:t>
      </w:r>
      <w:r w:rsidRPr="00A45F99">
        <w:rPr>
          <w:rFonts w:eastAsia="Times New Roman" w:cs="Times New Roman"/>
          <w:lang w:eastAsia="de-DE"/>
        </w:rPr>
        <w:t xml:space="preserve">(sollen nicht entweihen) im Piel-Imperfekt, das Piel zeigt intensive Entweihung. </w:t>
      </w:r>
      <w:r w:rsidRPr="00A45F99">
        <w:rPr>
          <w:rFonts w:eastAsia="Times New Roman" w:cs="Times New Roman"/>
          <w:b/>
          <w:bCs/>
          <w:rtl/>
          <w:lang w:eastAsia="de-DE"/>
        </w:rPr>
        <w:t>שם אלהיהם</w:t>
      </w:r>
      <w:r w:rsidRPr="00A45F99">
        <w:rPr>
          <w:rFonts w:eastAsia="Times New Roman" w:cs="Times New Roman"/>
          <w:rtl/>
          <w:lang w:eastAsia="de-DE"/>
        </w:rPr>
        <w:t xml:space="preserve"> </w:t>
      </w:r>
      <w:r w:rsidRPr="00A45F99">
        <w:rPr>
          <w:rFonts w:eastAsia="Times New Roman" w:cs="Times New Roman"/>
          <w:lang w:eastAsia="de-DE"/>
        </w:rPr>
        <w:t>(Namen ihres Gottes) zeigt Gottesnamenschändung als Folge unheiligen Verhaltens.</w:t>
      </w:r>
    </w:p>
    <w:p w14:paraId="436E9E3B"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 את־אשי יהוה לחם אלהיהם הם מקריבים</w:t>
      </w:r>
      <w:r w:rsidRPr="00A45F99">
        <w:rPr>
          <w:rFonts w:eastAsia="Times New Roman" w:cs="Times New Roman"/>
          <w:rtl/>
          <w:lang w:eastAsia="de-DE"/>
        </w:rPr>
        <w:t xml:space="preserve"> </w:t>
      </w:r>
      <w:r w:rsidRPr="00A45F99">
        <w:rPr>
          <w:rFonts w:eastAsia="Times New Roman" w:cs="Times New Roman"/>
          <w:lang w:eastAsia="de-DE"/>
        </w:rPr>
        <w:t xml:space="preserve">(denn die Feueropfer des Ewigen, das Brot ihres Gottes, bringen sie dar) - </w:t>
      </w:r>
      <w:r w:rsidRPr="00A45F99">
        <w:rPr>
          <w:rFonts w:eastAsia="Times New Roman" w:cs="Times New Roman"/>
          <w:b/>
          <w:bCs/>
          <w:rtl/>
          <w:lang w:eastAsia="de-DE"/>
        </w:rPr>
        <w:t>את־אשי יהוה</w:t>
      </w:r>
      <w:r w:rsidRPr="00A45F99">
        <w:rPr>
          <w:rFonts w:eastAsia="Times New Roman" w:cs="Times New Roman"/>
          <w:rtl/>
          <w:lang w:eastAsia="de-DE"/>
        </w:rPr>
        <w:t xml:space="preserve"> </w:t>
      </w:r>
      <w:r w:rsidRPr="00A45F99">
        <w:rPr>
          <w:rFonts w:eastAsia="Times New Roman" w:cs="Times New Roman"/>
          <w:lang w:eastAsia="de-DE"/>
        </w:rPr>
        <w:t xml:space="preserve">(die Feueropfer des Ewigen), </w:t>
      </w:r>
      <w:r w:rsidRPr="00A45F99">
        <w:rPr>
          <w:rFonts w:eastAsia="Times New Roman" w:cs="Times New Roman"/>
          <w:b/>
          <w:bCs/>
          <w:rtl/>
          <w:lang w:eastAsia="de-DE"/>
        </w:rPr>
        <w:t>לחם אלהיהם</w:t>
      </w:r>
      <w:r w:rsidRPr="00A45F99">
        <w:rPr>
          <w:rFonts w:eastAsia="Times New Roman" w:cs="Times New Roman"/>
          <w:rtl/>
          <w:lang w:eastAsia="de-DE"/>
        </w:rPr>
        <w:t xml:space="preserve"> </w:t>
      </w:r>
      <w:r w:rsidRPr="00A45F99">
        <w:rPr>
          <w:rFonts w:eastAsia="Times New Roman" w:cs="Times New Roman"/>
          <w:lang w:eastAsia="de-DE"/>
        </w:rPr>
        <w:t xml:space="preserve">(das Brot ihres Gottes) als Parallelismus für Opfer. </w:t>
      </w:r>
      <w:r w:rsidRPr="00A45F99">
        <w:rPr>
          <w:rFonts w:eastAsia="Times New Roman" w:cs="Times New Roman"/>
          <w:b/>
          <w:bCs/>
          <w:rtl/>
          <w:lang w:eastAsia="de-DE"/>
        </w:rPr>
        <w:t>הם מקריבים</w:t>
      </w:r>
      <w:r w:rsidRPr="00A45F99">
        <w:rPr>
          <w:rFonts w:eastAsia="Times New Roman" w:cs="Times New Roman"/>
          <w:rtl/>
          <w:lang w:eastAsia="de-DE"/>
        </w:rPr>
        <w:t xml:space="preserve"> </w:t>
      </w:r>
      <w:r w:rsidRPr="00A45F99">
        <w:rPr>
          <w:rFonts w:eastAsia="Times New Roman" w:cs="Times New Roman"/>
          <w:lang w:eastAsia="de-DE"/>
        </w:rPr>
        <w:t>(sie bringen dar) betont die priesterliche Opferfunktion.</w:t>
      </w:r>
    </w:p>
    <w:p w14:paraId="05B9110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והיו קדש</w:t>
      </w:r>
      <w:r w:rsidRPr="00A45F99">
        <w:rPr>
          <w:rFonts w:eastAsia="Times New Roman" w:cs="Times New Roman"/>
          <w:rtl/>
          <w:lang w:eastAsia="de-DE"/>
        </w:rPr>
        <w:t xml:space="preserve"> </w:t>
      </w:r>
      <w:r w:rsidRPr="00A45F99">
        <w:rPr>
          <w:rFonts w:eastAsia="Times New Roman" w:cs="Times New Roman"/>
          <w:lang w:eastAsia="de-DE"/>
        </w:rPr>
        <w:t>(und sie sollen heilig sein) wiederholt die Heiligungsforderung.</w:t>
      </w:r>
    </w:p>
    <w:p w14:paraId="27D014D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קדשים יהיו</w:t>
      </w:r>
      <w:r w:rsidRPr="00A45F99">
        <w:rPr>
          <w:rFonts w:eastAsia="Times New Roman" w:cs="Times New Roman"/>
          <w:rtl/>
          <w:lang w:eastAsia="de-DE"/>
        </w:rPr>
        <w:t xml:space="preserve"> </w:t>
      </w:r>
      <w:r w:rsidRPr="00A45F99">
        <w:rPr>
          <w:rFonts w:eastAsia="Times New Roman" w:cs="Times New Roman"/>
          <w:lang w:eastAsia="de-DE"/>
        </w:rPr>
        <w:t xml:space="preserve">zeigt priesterliche Heiligungsverpflichtung. </w:t>
      </w:r>
      <w:r w:rsidRPr="00A45F99">
        <w:rPr>
          <w:rFonts w:eastAsia="Times New Roman" w:cs="Times New Roman"/>
          <w:b/>
          <w:bCs/>
          <w:rtl/>
          <w:lang w:eastAsia="de-DE"/>
        </w:rPr>
        <w:t>לא יחללו שם אלהיהם</w:t>
      </w:r>
      <w:r w:rsidRPr="00A45F99">
        <w:rPr>
          <w:rFonts w:eastAsia="Times New Roman" w:cs="Times New Roman"/>
          <w:rtl/>
          <w:lang w:eastAsia="de-DE"/>
        </w:rPr>
        <w:t xml:space="preserve"> </w:t>
      </w:r>
      <w:r w:rsidRPr="00A45F99">
        <w:rPr>
          <w:rFonts w:eastAsia="Times New Roman" w:cs="Times New Roman"/>
          <w:lang w:eastAsia="de-DE"/>
        </w:rPr>
        <w:t xml:space="preserve">zeigt Gottesnamenschändung als Folge unheiligen Verhaltens. </w:t>
      </w:r>
      <w:r w:rsidRPr="00A45F99">
        <w:rPr>
          <w:rFonts w:eastAsia="Times New Roman" w:cs="Times New Roman"/>
          <w:b/>
          <w:bCs/>
          <w:rtl/>
          <w:lang w:eastAsia="de-DE"/>
        </w:rPr>
        <w:t>אשי יהוה</w:t>
      </w:r>
      <w:r w:rsidRPr="00A45F99">
        <w:rPr>
          <w:rFonts w:eastAsia="Times New Roman" w:cs="Times New Roman"/>
          <w:rtl/>
          <w:lang w:eastAsia="de-DE"/>
        </w:rPr>
        <w:t xml:space="preserve"> </w:t>
      </w:r>
      <w:r w:rsidRPr="00A45F99">
        <w:rPr>
          <w:rFonts w:eastAsia="Times New Roman" w:cs="Times New Roman"/>
          <w:lang w:eastAsia="de-DE"/>
        </w:rPr>
        <w:t xml:space="preserve">und </w:t>
      </w:r>
      <w:r w:rsidRPr="00A45F99">
        <w:rPr>
          <w:rFonts w:eastAsia="Times New Roman" w:cs="Times New Roman"/>
          <w:b/>
          <w:bCs/>
          <w:rtl/>
          <w:lang w:eastAsia="de-DE"/>
        </w:rPr>
        <w:t>לחם אלהיהם</w:t>
      </w:r>
      <w:r w:rsidRPr="00A45F99">
        <w:rPr>
          <w:rFonts w:eastAsia="Times New Roman" w:cs="Times New Roman"/>
          <w:rtl/>
          <w:lang w:eastAsia="de-DE"/>
        </w:rPr>
        <w:t xml:space="preserve"> </w:t>
      </w:r>
      <w:r w:rsidRPr="00A45F99">
        <w:rPr>
          <w:rFonts w:eastAsia="Times New Roman" w:cs="Times New Roman"/>
          <w:lang w:eastAsia="de-DE"/>
        </w:rPr>
        <w:t>als synonyme Opferbezeichnungen begründen die Heiligkeitsforderung.</w:t>
      </w:r>
    </w:p>
    <w:p w14:paraId="74BC2BE8" w14:textId="04E75818"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אשי יהוה</w:t>
      </w:r>
      <w:r w:rsidR="0007678B">
        <w:t xml:space="preserve"> (</w:t>
      </w:r>
      <w:proofErr w:type="spellStart"/>
      <w:r w:rsidR="0007678B">
        <w:t>ishei</w:t>
      </w:r>
      <w:proofErr w:type="spellEnd"/>
      <w:r w:rsidR="0007678B">
        <w:t xml:space="preserve"> YHWH - "Feueropfer des Herrn") als </w:t>
      </w:r>
      <w:proofErr w:type="spellStart"/>
      <w:r w:rsidR="0007678B">
        <w:t>τὰς</w:t>
      </w:r>
      <w:proofErr w:type="spellEnd"/>
      <w:r w:rsidR="0007678B">
        <w:t xml:space="preserve"> </w:t>
      </w:r>
      <w:proofErr w:type="spellStart"/>
      <w:r w:rsidR="0007678B">
        <w:t>θυσί</w:t>
      </w:r>
      <w:proofErr w:type="spellEnd"/>
      <w:r w:rsidR="0007678B">
        <w:t xml:space="preserve">ας </w:t>
      </w:r>
      <w:proofErr w:type="spellStart"/>
      <w:r w:rsidR="0007678B">
        <w:t>κυρίου</w:t>
      </w:r>
      <w:proofErr w:type="spellEnd"/>
      <w:r w:rsidR="0007678B">
        <w:t xml:space="preserve"> (die Opfer des Herrn) und </w:t>
      </w:r>
      <w:r w:rsidR="0007678B">
        <w:rPr>
          <w:rtl/>
        </w:rPr>
        <w:t>לחם אלהיהם</w:t>
      </w:r>
      <w:r w:rsidR="0007678B">
        <w:t xml:space="preserve"> (lechem </w:t>
      </w:r>
      <w:proofErr w:type="spellStart"/>
      <w:r w:rsidR="0007678B">
        <w:t>eloheihem</w:t>
      </w:r>
      <w:proofErr w:type="spellEnd"/>
      <w:r w:rsidR="0007678B">
        <w:t xml:space="preserve"> - "Brot ihrer Götter") als </w:t>
      </w:r>
      <w:proofErr w:type="spellStart"/>
      <w:r w:rsidR="0007678B">
        <w:t>δῶρ</w:t>
      </w:r>
      <w:proofErr w:type="spellEnd"/>
      <w:r w:rsidR="0007678B">
        <w:t xml:space="preserve">α </w:t>
      </w:r>
      <w:proofErr w:type="spellStart"/>
      <w:r w:rsidR="0007678B">
        <w:t>τοῦ</w:t>
      </w:r>
      <w:proofErr w:type="spellEnd"/>
      <w:r w:rsidR="0007678B">
        <w:t xml:space="preserve"> </w:t>
      </w:r>
      <w:proofErr w:type="spellStart"/>
      <w:r w:rsidR="0007678B">
        <w:t>θεοῦ</w:t>
      </w:r>
      <w:proofErr w:type="spellEnd"/>
      <w:r w:rsidR="0007678B">
        <w:t xml:space="preserve"> α</w:t>
      </w:r>
      <w:proofErr w:type="spellStart"/>
      <w:r w:rsidR="0007678B">
        <w:t>ὐτῶν</w:t>
      </w:r>
      <w:proofErr w:type="spellEnd"/>
      <w:r w:rsidR="0007678B">
        <w:t xml:space="preserve"> (Gaben ihres Gottes).</w:t>
      </w:r>
    </w:p>
    <w:p w14:paraId="71ED5F2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priesterliche Heiligungsbegründung: Heiligkeitsforderung + Gottesnamenschändungsverbot + Opferfunktion als Begründung + Heiligkeitswiederholung.</w:t>
      </w:r>
    </w:p>
    <w:p w14:paraId="3A67A54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begründet die priesterlichen Heiligkeitsvorschriften durch ihre Opferfunktion als Vermittler zwischen Gott und Volk.</w:t>
      </w:r>
    </w:p>
    <w:p w14:paraId="353D1785"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21,7</w:t>
      </w:r>
    </w:p>
    <w:p w14:paraId="03BC2B07"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אִשָּׁ֨ה זֹנָ֤ה וַחֲלָלָה֙ לֹ֣א יִקָּ֔חוּ וְאִשָּׁ֛ה גְּרוּשָׁ֥ה מֵאִישָׁ֖הּ לֹ֣א יִקָּ֑חוּ כִּֽי־קָדֹ֥שׁ ה֖וּא לֵאלֹהָֽיו׃</w:t>
      </w:r>
    </w:p>
    <w:p w14:paraId="64CB599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Eine Hure und eine Entehrte sollen sie nicht nehmen, und eine von ihrem Mann verstoßene Frau sollen sie nicht nehmen; denn heilig ist er seinem Gott.</w:t>
      </w:r>
    </w:p>
    <w:p w14:paraId="683A1DCC"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3F4D01ED">
          <v:rect id="_x0000_i1631" style="width:0;height:1.5pt" o:hralign="center" o:hrstd="t" o:hr="t" fillcolor="#a0a0a0" stroked="f"/>
        </w:pict>
      </w:r>
    </w:p>
    <w:p w14:paraId="189610A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אשה זנה וחללה לא יקחו ואשה גרושה מאישה לא יקחו כי־קדוש הוא לאלהיו</w:t>
      </w:r>
      <w:r w:rsidRPr="00A45F99">
        <w:rPr>
          <w:rFonts w:eastAsia="Times New Roman" w:cs="Times New Roman"/>
          <w:rtl/>
          <w:lang w:eastAsia="de-DE"/>
        </w:rPr>
        <w:t xml:space="preserve"> </w:t>
      </w:r>
      <w:r w:rsidRPr="00A45F99">
        <w:rPr>
          <w:rFonts w:eastAsia="Times New Roman" w:cs="Times New Roman"/>
          <w:lang w:eastAsia="de-DE"/>
        </w:rPr>
        <w:t xml:space="preserve">regelt priesterliche Eheschließungen. </w:t>
      </w:r>
      <w:r w:rsidRPr="00A45F99">
        <w:rPr>
          <w:rFonts w:eastAsia="Times New Roman" w:cs="Times New Roman"/>
          <w:b/>
          <w:bCs/>
          <w:rtl/>
          <w:lang w:eastAsia="de-DE"/>
        </w:rPr>
        <w:t>אשה זנה וחללה לא יקחו</w:t>
      </w:r>
      <w:r w:rsidRPr="00A45F99">
        <w:rPr>
          <w:rFonts w:eastAsia="Times New Roman" w:cs="Times New Roman"/>
          <w:rtl/>
          <w:lang w:eastAsia="de-DE"/>
        </w:rPr>
        <w:t xml:space="preserve"> </w:t>
      </w:r>
      <w:r w:rsidRPr="00A45F99">
        <w:rPr>
          <w:rFonts w:eastAsia="Times New Roman" w:cs="Times New Roman"/>
          <w:lang w:eastAsia="de-DE"/>
        </w:rPr>
        <w:t xml:space="preserve">(eine Hure und eine Entehrte sollen sie nicht nehmen) - </w:t>
      </w:r>
      <w:r w:rsidRPr="00A45F99">
        <w:rPr>
          <w:rFonts w:eastAsia="Times New Roman" w:cs="Times New Roman"/>
          <w:b/>
          <w:bCs/>
          <w:rtl/>
          <w:lang w:eastAsia="de-DE"/>
        </w:rPr>
        <w:t>אשה זנה</w:t>
      </w:r>
      <w:r w:rsidRPr="00A45F99">
        <w:rPr>
          <w:rFonts w:eastAsia="Times New Roman" w:cs="Times New Roman"/>
          <w:rtl/>
          <w:lang w:eastAsia="de-DE"/>
        </w:rPr>
        <w:t xml:space="preserve"> </w:t>
      </w:r>
      <w:r w:rsidRPr="00A45F99">
        <w:rPr>
          <w:rFonts w:eastAsia="Times New Roman" w:cs="Times New Roman"/>
          <w:lang w:eastAsia="de-DE"/>
        </w:rPr>
        <w:t xml:space="preserve">(eine Hure) zeigt Prostituierte. </w:t>
      </w:r>
      <w:r w:rsidRPr="00A45F99">
        <w:rPr>
          <w:rFonts w:eastAsia="Times New Roman" w:cs="Times New Roman"/>
          <w:b/>
          <w:bCs/>
          <w:rtl/>
          <w:lang w:eastAsia="de-DE"/>
        </w:rPr>
        <w:t>חללה</w:t>
      </w:r>
      <w:r w:rsidRPr="00A45F99">
        <w:rPr>
          <w:rFonts w:eastAsia="Times New Roman" w:cs="Times New Roman"/>
          <w:rtl/>
          <w:lang w:eastAsia="de-DE"/>
        </w:rPr>
        <w:t xml:space="preserve"> </w:t>
      </w:r>
      <w:r w:rsidRPr="00A45F99">
        <w:rPr>
          <w:rFonts w:eastAsia="Times New Roman" w:cs="Times New Roman"/>
          <w:lang w:eastAsia="de-DE"/>
        </w:rPr>
        <w:t xml:space="preserve">(Entehrte) von </w:t>
      </w:r>
      <w:r w:rsidRPr="00A45F99">
        <w:rPr>
          <w:rFonts w:eastAsia="Times New Roman" w:cs="Times New Roman"/>
          <w:b/>
          <w:bCs/>
          <w:rtl/>
          <w:lang w:eastAsia="de-DE"/>
        </w:rPr>
        <w:t>חלל</w:t>
      </w:r>
      <w:r w:rsidRPr="00A45F99">
        <w:rPr>
          <w:rFonts w:eastAsia="Times New Roman" w:cs="Times New Roman"/>
          <w:rtl/>
          <w:lang w:eastAsia="de-DE"/>
        </w:rPr>
        <w:t xml:space="preserve"> </w:t>
      </w:r>
      <w:r w:rsidRPr="00A45F99">
        <w:rPr>
          <w:rFonts w:eastAsia="Times New Roman" w:cs="Times New Roman"/>
          <w:lang w:eastAsia="de-DE"/>
        </w:rPr>
        <w:t xml:space="preserve">(entweihen) zeigt eine durch sexuelle Verfehlung entweihte Frau. </w:t>
      </w:r>
      <w:r w:rsidRPr="00A45F99">
        <w:rPr>
          <w:rFonts w:eastAsia="Times New Roman" w:cs="Times New Roman"/>
          <w:b/>
          <w:bCs/>
          <w:rtl/>
          <w:lang w:eastAsia="de-DE"/>
        </w:rPr>
        <w:t>לא יקחו</w:t>
      </w:r>
      <w:r w:rsidRPr="00A45F99">
        <w:rPr>
          <w:rFonts w:eastAsia="Times New Roman" w:cs="Times New Roman"/>
          <w:rtl/>
          <w:lang w:eastAsia="de-DE"/>
        </w:rPr>
        <w:t xml:space="preserve"> </w:t>
      </w:r>
      <w:r w:rsidRPr="00A45F99">
        <w:rPr>
          <w:rFonts w:eastAsia="Times New Roman" w:cs="Times New Roman"/>
          <w:lang w:eastAsia="de-DE"/>
        </w:rPr>
        <w:t>(sollen sie nicht nehmen) im Qal-Imperfekt zeigt Heiratsverbot.</w:t>
      </w:r>
    </w:p>
    <w:p w14:paraId="500A701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lastRenderedPageBreak/>
        <w:t>ואשה גרושה מאישה לא יקחו</w:t>
      </w:r>
      <w:r w:rsidRPr="00A45F99">
        <w:rPr>
          <w:rFonts w:eastAsia="Times New Roman" w:cs="Times New Roman"/>
          <w:rtl/>
          <w:lang w:eastAsia="de-DE"/>
        </w:rPr>
        <w:t xml:space="preserve"> </w:t>
      </w:r>
      <w:r w:rsidRPr="00A45F99">
        <w:rPr>
          <w:rFonts w:eastAsia="Times New Roman" w:cs="Times New Roman"/>
          <w:lang w:eastAsia="de-DE"/>
        </w:rPr>
        <w:t xml:space="preserve">(und eine von ihrem Mann verstoßene Frau sollen sie nicht nehmen) - </w:t>
      </w:r>
      <w:r w:rsidRPr="00A45F99">
        <w:rPr>
          <w:rFonts w:eastAsia="Times New Roman" w:cs="Times New Roman"/>
          <w:b/>
          <w:bCs/>
          <w:rtl/>
          <w:lang w:eastAsia="de-DE"/>
        </w:rPr>
        <w:t>גרושה</w:t>
      </w:r>
      <w:r w:rsidRPr="00A45F99">
        <w:rPr>
          <w:rFonts w:eastAsia="Times New Roman" w:cs="Times New Roman"/>
          <w:rtl/>
          <w:lang w:eastAsia="de-DE"/>
        </w:rPr>
        <w:t xml:space="preserve"> </w:t>
      </w:r>
      <w:r w:rsidRPr="00A45F99">
        <w:rPr>
          <w:rFonts w:eastAsia="Times New Roman" w:cs="Times New Roman"/>
          <w:lang w:eastAsia="de-DE"/>
        </w:rPr>
        <w:t xml:space="preserve">(Verstoßene) zeigt geschiedene Frau. </w:t>
      </w:r>
      <w:r w:rsidRPr="00A45F99">
        <w:rPr>
          <w:rFonts w:eastAsia="Times New Roman" w:cs="Times New Roman"/>
          <w:b/>
          <w:bCs/>
          <w:rtl/>
          <w:lang w:eastAsia="de-DE"/>
        </w:rPr>
        <w:t>מאישה</w:t>
      </w:r>
      <w:r w:rsidRPr="00A45F99">
        <w:rPr>
          <w:rFonts w:eastAsia="Times New Roman" w:cs="Times New Roman"/>
          <w:rtl/>
          <w:lang w:eastAsia="de-DE"/>
        </w:rPr>
        <w:t xml:space="preserve"> </w:t>
      </w:r>
      <w:r w:rsidRPr="00A45F99">
        <w:rPr>
          <w:rFonts w:eastAsia="Times New Roman" w:cs="Times New Roman"/>
          <w:lang w:eastAsia="de-DE"/>
        </w:rPr>
        <w:t>(von ihrem Mann) zeigt die Scheidungsursache.</w:t>
      </w:r>
    </w:p>
    <w:p w14:paraId="3B7B523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כי־קדוש הוא לאלהיו</w:t>
      </w:r>
      <w:r w:rsidRPr="00A45F99">
        <w:rPr>
          <w:rFonts w:eastAsia="Times New Roman" w:cs="Times New Roman"/>
          <w:rtl/>
          <w:lang w:eastAsia="de-DE"/>
        </w:rPr>
        <w:t xml:space="preserve"> </w:t>
      </w:r>
      <w:r w:rsidRPr="00A45F99">
        <w:rPr>
          <w:rFonts w:eastAsia="Times New Roman" w:cs="Times New Roman"/>
          <w:lang w:eastAsia="de-DE"/>
        </w:rPr>
        <w:t>(denn heilig ist er seinem Gott) begründet die Einschränkungen durch priesterliche Heiligkeit.</w:t>
      </w:r>
    </w:p>
    <w:p w14:paraId="050DC76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זנה</w:t>
      </w:r>
      <w:r w:rsidRPr="00A45F99">
        <w:rPr>
          <w:rFonts w:eastAsia="Times New Roman" w:cs="Times New Roman"/>
          <w:rtl/>
          <w:lang w:eastAsia="de-DE"/>
        </w:rPr>
        <w:t xml:space="preserve"> </w:t>
      </w:r>
      <w:r w:rsidRPr="00A45F99">
        <w:rPr>
          <w:rFonts w:eastAsia="Times New Roman" w:cs="Times New Roman"/>
          <w:lang w:eastAsia="de-DE"/>
        </w:rPr>
        <w:t xml:space="preserve">zeigt offene Prostitution. </w:t>
      </w:r>
      <w:r w:rsidRPr="00A45F99">
        <w:rPr>
          <w:rFonts w:eastAsia="Times New Roman" w:cs="Times New Roman"/>
          <w:b/>
          <w:bCs/>
          <w:rtl/>
          <w:lang w:eastAsia="de-DE"/>
        </w:rPr>
        <w:t>חללה</w:t>
      </w:r>
      <w:r w:rsidRPr="00A45F99">
        <w:rPr>
          <w:rFonts w:eastAsia="Times New Roman" w:cs="Times New Roman"/>
          <w:rtl/>
          <w:lang w:eastAsia="de-DE"/>
        </w:rPr>
        <w:t xml:space="preserve"> </w:t>
      </w:r>
      <w:r w:rsidRPr="00A45F99">
        <w:rPr>
          <w:rFonts w:eastAsia="Times New Roman" w:cs="Times New Roman"/>
          <w:lang w:eastAsia="de-DE"/>
        </w:rPr>
        <w:t xml:space="preserve">zeigt durch sexuelle Verfehlung entweihte Frau. </w:t>
      </w:r>
      <w:r w:rsidRPr="00A45F99">
        <w:rPr>
          <w:rFonts w:eastAsia="Times New Roman" w:cs="Times New Roman"/>
          <w:b/>
          <w:bCs/>
          <w:rtl/>
          <w:lang w:eastAsia="de-DE"/>
        </w:rPr>
        <w:t>גרושה</w:t>
      </w:r>
      <w:r w:rsidRPr="00A45F99">
        <w:rPr>
          <w:rFonts w:eastAsia="Times New Roman" w:cs="Times New Roman"/>
          <w:rtl/>
          <w:lang w:eastAsia="de-DE"/>
        </w:rPr>
        <w:t xml:space="preserve"> </w:t>
      </w:r>
      <w:r w:rsidRPr="00A45F99">
        <w:rPr>
          <w:rFonts w:eastAsia="Times New Roman" w:cs="Times New Roman"/>
          <w:lang w:eastAsia="de-DE"/>
        </w:rPr>
        <w:t xml:space="preserve">zeigt geschiedene Frau. </w:t>
      </w:r>
      <w:r w:rsidRPr="00A45F99">
        <w:rPr>
          <w:rFonts w:eastAsia="Times New Roman" w:cs="Times New Roman"/>
          <w:b/>
          <w:bCs/>
          <w:rtl/>
          <w:lang w:eastAsia="de-DE"/>
        </w:rPr>
        <w:t>קדוש הוא לאלהיו</w:t>
      </w:r>
      <w:r w:rsidRPr="00A45F99">
        <w:rPr>
          <w:rFonts w:eastAsia="Times New Roman" w:cs="Times New Roman"/>
          <w:rtl/>
          <w:lang w:eastAsia="de-DE"/>
        </w:rPr>
        <w:t xml:space="preserve"> </w:t>
      </w:r>
      <w:r w:rsidRPr="00A45F99">
        <w:rPr>
          <w:rFonts w:eastAsia="Times New Roman" w:cs="Times New Roman"/>
          <w:lang w:eastAsia="de-DE"/>
        </w:rPr>
        <w:t>zeigt priesterliche Heiligkeit als Grund für erhöhte Eheanforderungen.</w:t>
      </w:r>
    </w:p>
    <w:p w14:paraId="7CA6549C" w14:textId="7A939F62"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חללה</w:t>
      </w:r>
      <w:r w:rsidR="0007678B">
        <w:t xml:space="preserve"> (</w:t>
      </w:r>
      <w:proofErr w:type="spellStart"/>
      <w:r w:rsidR="0007678B">
        <w:t>chalala</w:t>
      </w:r>
      <w:proofErr w:type="spellEnd"/>
      <w:r w:rsidR="0007678B">
        <w:t xml:space="preserve"> - "Entweihte") als βεβ</w:t>
      </w:r>
      <w:proofErr w:type="spellStart"/>
      <w:r w:rsidR="0007678B">
        <w:t>ηλωμένην</w:t>
      </w:r>
      <w:proofErr w:type="spellEnd"/>
      <w:r w:rsidR="0007678B">
        <w:t xml:space="preserve"> (Entweihte) und </w:t>
      </w:r>
      <w:r w:rsidR="0007678B">
        <w:rPr>
          <w:rtl/>
        </w:rPr>
        <w:t>גרושה</w:t>
      </w:r>
      <w:r w:rsidR="0007678B">
        <w:t xml:space="preserve"> (</w:t>
      </w:r>
      <w:proofErr w:type="spellStart"/>
      <w:r w:rsidR="0007678B">
        <w:t>gerusha</w:t>
      </w:r>
      <w:proofErr w:type="spellEnd"/>
      <w:r w:rsidR="0007678B">
        <w:t xml:space="preserve"> - "Verstoßene") als </w:t>
      </w:r>
      <w:proofErr w:type="spellStart"/>
      <w:r w:rsidR="0007678B">
        <w:t>ἐκ</w:t>
      </w:r>
      <w:proofErr w:type="spellEnd"/>
      <w:r w:rsidR="0007678B">
        <w:t>βεβλημένην (Hinausgeworfene).</w:t>
      </w:r>
    </w:p>
    <w:p w14:paraId="1408E15B"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priesterliche Eheverbote: drei Kategorien ungeeigneter Frauen + Heiratsverbot + Heiligkeitsbegründung.</w:t>
      </w:r>
    </w:p>
    <w:p w14:paraId="33BA1D2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verbietet Priestern die Heirat mit drei Kategorien "entweihter" Frauen wegen ihrer heiligen Stellung.</w:t>
      </w:r>
    </w:p>
    <w:p w14:paraId="05FC2FE4"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21,8</w:t>
      </w:r>
    </w:p>
    <w:p w14:paraId="36C5FA7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וְקִדַּשְׁתּוֹ֔ כִּֽי־אֶת־לֶ֥חֶם אֱלֹהֶ֖יךָ ה֣וּא מַקְרִ֑יב קָדֹשׁ֙ יִֽהְיֶה־לָּ֔ךְ כִּ֣י קָד֔וֹשׁ אֲנִ֥י יְהוָ֖ה מְקַדִּשְׁכֶֽם׃</w:t>
      </w:r>
    </w:p>
    <w:p w14:paraId="6425BF3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du sollst ihn heiligen, denn das Brot deines Gottes bringt er dar; heilig soll er dir sein, denn heilig bin ich, der Ewige, der euch heiligt.</w:t>
      </w:r>
    </w:p>
    <w:p w14:paraId="17260FC8"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084FBE03">
          <v:rect id="_x0000_i1632" style="width:0;height:1.5pt" o:hralign="center" o:hrstd="t" o:hr="t" fillcolor="#a0a0a0" stroked="f"/>
        </w:pict>
      </w:r>
    </w:p>
    <w:p w14:paraId="2A381AD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וקדשתו כי־את־לחם אלהיך הוא מקריב קדוש יהיה־לך כי קדוש אני יהוה מקדשכם</w:t>
      </w:r>
      <w:r w:rsidRPr="00A45F99">
        <w:rPr>
          <w:rFonts w:eastAsia="Times New Roman" w:cs="Times New Roman"/>
          <w:rtl/>
          <w:lang w:eastAsia="de-DE"/>
        </w:rPr>
        <w:t xml:space="preserve"> </w:t>
      </w:r>
      <w:r w:rsidRPr="00A45F99">
        <w:rPr>
          <w:rFonts w:eastAsia="Times New Roman" w:cs="Times New Roman"/>
          <w:lang w:eastAsia="de-DE"/>
        </w:rPr>
        <w:t xml:space="preserve">zeigt die Verpflichtung des Volkes zur Priesterheiligung. </w:t>
      </w:r>
      <w:r w:rsidRPr="00A45F99">
        <w:rPr>
          <w:rFonts w:eastAsia="Times New Roman" w:cs="Times New Roman"/>
          <w:b/>
          <w:bCs/>
          <w:rtl/>
          <w:lang w:eastAsia="de-DE"/>
        </w:rPr>
        <w:t>וקדשתו</w:t>
      </w:r>
      <w:r w:rsidRPr="00A45F99">
        <w:rPr>
          <w:rFonts w:eastAsia="Times New Roman" w:cs="Times New Roman"/>
          <w:rtl/>
          <w:lang w:eastAsia="de-DE"/>
        </w:rPr>
        <w:t xml:space="preserve"> </w:t>
      </w:r>
      <w:r w:rsidRPr="00A45F99">
        <w:rPr>
          <w:rFonts w:eastAsia="Times New Roman" w:cs="Times New Roman"/>
          <w:lang w:eastAsia="de-DE"/>
        </w:rPr>
        <w:t xml:space="preserve">(und du sollst ihn heiligen) - </w:t>
      </w:r>
      <w:r w:rsidRPr="00A45F99">
        <w:rPr>
          <w:rFonts w:eastAsia="Times New Roman" w:cs="Times New Roman"/>
          <w:b/>
          <w:bCs/>
          <w:rtl/>
          <w:lang w:eastAsia="de-DE"/>
        </w:rPr>
        <w:t>וקדשתו</w:t>
      </w:r>
      <w:r w:rsidRPr="00A45F99">
        <w:rPr>
          <w:rFonts w:eastAsia="Times New Roman" w:cs="Times New Roman"/>
          <w:rtl/>
          <w:lang w:eastAsia="de-DE"/>
        </w:rPr>
        <w:t xml:space="preserve"> </w:t>
      </w:r>
      <w:r w:rsidRPr="00A45F99">
        <w:rPr>
          <w:rFonts w:eastAsia="Times New Roman" w:cs="Times New Roman"/>
          <w:lang w:eastAsia="de-DE"/>
        </w:rPr>
        <w:t>(und du sollst ihn heiligen) im Piel-Perfekt mit Waw-Konsekutiv, das Piel zeigt intensive Heiligung. Dies richtet sich an das Volk.</w:t>
      </w:r>
    </w:p>
    <w:p w14:paraId="456B546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כי־את־לחם אלהיך הוא מקריב</w:t>
      </w:r>
      <w:r w:rsidRPr="00A45F99">
        <w:rPr>
          <w:rFonts w:eastAsia="Times New Roman" w:cs="Times New Roman"/>
          <w:rtl/>
          <w:lang w:eastAsia="de-DE"/>
        </w:rPr>
        <w:t xml:space="preserve"> </w:t>
      </w:r>
      <w:r w:rsidRPr="00A45F99">
        <w:rPr>
          <w:rFonts w:eastAsia="Times New Roman" w:cs="Times New Roman"/>
          <w:lang w:eastAsia="de-DE"/>
        </w:rPr>
        <w:t xml:space="preserve">(denn das Brot deines Gottes bringt er dar) entspricht V. 6 und begründet die Heiligungspflicht durch die Opferfunktion. </w:t>
      </w:r>
      <w:r w:rsidRPr="00A45F99">
        <w:rPr>
          <w:rFonts w:eastAsia="Times New Roman" w:cs="Times New Roman"/>
          <w:b/>
          <w:bCs/>
          <w:rtl/>
          <w:lang w:eastAsia="de-DE"/>
        </w:rPr>
        <w:t>קדוש יהיה־לך</w:t>
      </w:r>
      <w:r w:rsidRPr="00A45F99">
        <w:rPr>
          <w:rFonts w:eastAsia="Times New Roman" w:cs="Times New Roman"/>
          <w:rtl/>
          <w:lang w:eastAsia="de-DE"/>
        </w:rPr>
        <w:t xml:space="preserve"> </w:t>
      </w:r>
      <w:r w:rsidRPr="00A45F99">
        <w:rPr>
          <w:rFonts w:eastAsia="Times New Roman" w:cs="Times New Roman"/>
          <w:lang w:eastAsia="de-DE"/>
        </w:rPr>
        <w:t>(heilig soll er dir sein) zeigt die geforderte Haltung des Volkes gegenüber Priestern.</w:t>
      </w:r>
    </w:p>
    <w:p w14:paraId="419184C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 קדוש אני יהוה מקדשכם</w:t>
      </w:r>
      <w:r w:rsidRPr="00A45F99">
        <w:rPr>
          <w:rFonts w:eastAsia="Times New Roman" w:cs="Times New Roman"/>
          <w:rtl/>
          <w:lang w:eastAsia="de-DE"/>
        </w:rPr>
        <w:t xml:space="preserve"> </w:t>
      </w:r>
      <w:r w:rsidRPr="00A45F99">
        <w:rPr>
          <w:rFonts w:eastAsia="Times New Roman" w:cs="Times New Roman"/>
          <w:lang w:eastAsia="de-DE"/>
        </w:rPr>
        <w:t xml:space="preserve">(denn heilig bin ich, der Ewige, der euch heiligt) entspricht 20,8 und zeigt die imitatio Dei als Grund. </w:t>
      </w:r>
      <w:r w:rsidRPr="00A45F99">
        <w:rPr>
          <w:rFonts w:eastAsia="Times New Roman" w:cs="Times New Roman"/>
          <w:b/>
          <w:bCs/>
          <w:rtl/>
          <w:lang w:eastAsia="de-DE"/>
        </w:rPr>
        <w:t>מקדשכם</w:t>
      </w:r>
      <w:r w:rsidRPr="00A45F99">
        <w:rPr>
          <w:rFonts w:eastAsia="Times New Roman" w:cs="Times New Roman"/>
          <w:rtl/>
          <w:lang w:eastAsia="de-DE"/>
        </w:rPr>
        <w:t xml:space="preserve"> </w:t>
      </w:r>
      <w:r w:rsidRPr="00A45F99">
        <w:rPr>
          <w:rFonts w:eastAsia="Times New Roman" w:cs="Times New Roman"/>
          <w:lang w:eastAsia="de-DE"/>
        </w:rPr>
        <w:t>(der euch heiligt) im Piel-Partizip zeigt JHWH als Heiligungsagens.</w:t>
      </w:r>
    </w:p>
    <w:p w14:paraId="06A08BB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וקדשתו</w:t>
      </w:r>
      <w:r w:rsidRPr="00A45F99">
        <w:rPr>
          <w:rFonts w:eastAsia="Times New Roman" w:cs="Times New Roman"/>
          <w:rtl/>
          <w:lang w:eastAsia="de-DE"/>
        </w:rPr>
        <w:t xml:space="preserve"> </w:t>
      </w:r>
      <w:r w:rsidRPr="00A45F99">
        <w:rPr>
          <w:rFonts w:eastAsia="Times New Roman" w:cs="Times New Roman"/>
          <w:lang w:eastAsia="de-DE"/>
        </w:rPr>
        <w:t xml:space="preserve">zeigt Volkspflicht zur Priesterheiligung. </w:t>
      </w:r>
      <w:r w:rsidRPr="00A45F99">
        <w:rPr>
          <w:rFonts w:eastAsia="Times New Roman" w:cs="Times New Roman"/>
          <w:b/>
          <w:bCs/>
          <w:rtl/>
          <w:lang w:eastAsia="de-DE"/>
        </w:rPr>
        <w:t>את־לחם אלהיך הוא מקריב</w:t>
      </w:r>
      <w:r w:rsidRPr="00A45F99">
        <w:rPr>
          <w:rFonts w:eastAsia="Times New Roman" w:cs="Times New Roman"/>
          <w:rtl/>
          <w:lang w:eastAsia="de-DE"/>
        </w:rPr>
        <w:t xml:space="preserve"> </w:t>
      </w:r>
      <w:r w:rsidRPr="00A45F99">
        <w:rPr>
          <w:rFonts w:eastAsia="Times New Roman" w:cs="Times New Roman"/>
          <w:lang w:eastAsia="de-DE"/>
        </w:rPr>
        <w:t xml:space="preserve">begründet durch Opferfunktion. </w:t>
      </w:r>
      <w:r w:rsidRPr="00A45F99">
        <w:rPr>
          <w:rFonts w:eastAsia="Times New Roman" w:cs="Times New Roman"/>
          <w:b/>
          <w:bCs/>
          <w:rtl/>
          <w:lang w:eastAsia="de-DE"/>
        </w:rPr>
        <w:t>קדוש יהיה־לך</w:t>
      </w:r>
      <w:r w:rsidRPr="00A45F99">
        <w:rPr>
          <w:rFonts w:eastAsia="Times New Roman" w:cs="Times New Roman"/>
          <w:rtl/>
          <w:lang w:eastAsia="de-DE"/>
        </w:rPr>
        <w:t xml:space="preserve"> </w:t>
      </w:r>
      <w:r w:rsidRPr="00A45F99">
        <w:rPr>
          <w:rFonts w:eastAsia="Times New Roman" w:cs="Times New Roman"/>
          <w:lang w:eastAsia="de-DE"/>
        </w:rPr>
        <w:t xml:space="preserve">zeigt geforderte Volkshaltung. </w:t>
      </w:r>
      <w:r w:rsidRPr="00A45F99">
        <w:rPr>
          <w:rFonts w:eastAsia="Times New Roman" w:cs="Times New Roman"/>
          <w:b/>
          <w:bCs/>
          <w:rtl/>
          <w:lang w:eastAsia="de-DE"/>
        </w:rPr>
        <w:t>קדוש אני יהוה מקדשכם</w:t>
      </w:r>
      <w:r w:rsidRPr="00A45F99">
        <w:rPr>
          <w:rFonts w:eastAsia="Times New Roman" w:cs="Times New Roman"/>
          <w:rtl/>
          <w:lang w:eastAsia="de-DE"/>
        </w:rPr>
        <w:t xml:space="preserve"> </w:t>
      </w:r>
      <w:r w:rsidRPr="00A45F99">
        <w:rPr>
          <w:rFonts w:eastAsia="Times New Roman" w:cs="Times New Roman"/>
          <w:lang w:eastAsia="de-DE"/>
        </w:rPr>
        <w:t>zeigt imitatio Dei als ultimativen Grund.</w:t>
      </w:r>
    </w:p>
    <w:p w14:paraId="581C736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וקדשתו</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ἁγιάσεις</w:t>
      </w:r>
      <w:proofErr w:type="spellEnd"/>
      <w:r w:rsidRPr="00A45F99">
        <w:rPr>
          <w:rFonts w:eastAsia="Times New Roman" w:cs="Times New Roman"/>
          <w:lang w:eastAsia="de-DE"/>
        </w:rPr>
        <w:t xml:space="preserve"> α</w:t>
      </w:r>
      <w:proofErr w:type="spellStart"/>
      <w:r w:rsidRPr="00A45F99">
        <w:rPr>
          <w:rFonts w:eastAsia="Times New Roman" w:cs="Times New Roman"/>
          <w:lang w:eastAsia="de-DE"/>
        </w:rPr>
        <w:t>ὐτόν</w:t>
      </w:r>
      <w:proofErr w:type="spellEnd"/>
      <w:r w:rsidRPr="00A45F99">
        <w:rPr>
          <w:rFonts w:eastAsia="Times New Roman" w:cs="Times New Roman"/>
          <w:lang w:eastAsia="de-DE"/>
        </w:rPr>
        <w:t xml:space="preserve"> (du wirst ihn heiligen), </w:t>
      </w:r>
      <w:r w:rsidRPr="00A45F99">
        <w:rPr>
          <w:rFonts w:eastAsia="Times New Roman" w:cs="Times New Roman"/>
          <w:b/>
          <w:bCs/>
          <w:rtl/>
          <w:lang w:eastAsia="de-DE"/>
        </w:rPr>
        <w:t>לחם אלהיך</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ἄρτους</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θεοῦ</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σου</w:t>
      </w:r>
      <w:proofErr w:type="spellEnd"/>
      <w:r w:rsidRPr="00A45F99">
        <w:rPr>
          <w:rFonts w:eastAsia="Times New Roman" w:cs="Times New Roman"/>
          <w:lang w:eastAsia="de-DE"/>
        </w:rPr>
        <w:t xml:space="preserve"> (Brote deines Gottes), </w:t>
      </w:r>
      <w:r w:rsidRPr="00A45F99">
        <w:rPr>
          <w:rFonts w:eastAsia="Times New Roman" w:cs="Times New Roman"/>
          <w:b/>
          <w:bCs/>
          <w:rtl/>
          <w:lang w:eastAsia="de-DE"/>
        </w:rPr>
        <w:t>יהיה־לך</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ἔστ</w:t>
      </w:r>
      <w:proofErr w:type="spellEnd"/>
      <w:r w:rsidRPr="00A45F99">
        <w:rPr>
          <w:rFonts w:eastAsia="Times New Roman" w:cs="Times New Roman"/>
          <w:lang w:eastAsia="de-DE"/>
        </w:rPr>
        <w:t xml:space="preserve">αι </w:t>
      </w:r>
      <w:proofErr w:type="spellStart"/>
      <w:r w:rsidRPr="00A45F99">
        <w:rPr>
          <w:rFonts w:eastAsia="Times New Roman" w:cs="Times New Roman"/>
          <w:lang w:eastAsia="de-DE"/>
        </w:rPr>
        <w:t>σοι</w:t>
      </w:r>
      <w:proofErr w:type="spellEnd"/>
      <w:r w:rsidRPr="00A45F99">
        <w:rPr>
          <w:rFonts w:eastAsia="Times New Roman" w:cs="Times New Roman"/>
          <w:lang w:eastAsia="de-DE"/>
        </w:rPr>
        <w:t xml:space="preserve"> (wird dir sein) und </w:t>
      </w:r>
      <w:r w:rsidRPr="00A45F99">
        <w:rPr>
          <w:rFonts w:eastAsia="Times New Roman" w:cs="Times New Roman"/>
          <w:b/>
          <w:bCs/>
          <w:rtl/>
          <w:lang w:eastAsia="de-DE"/>
        </w:rPr>
        <w:t>מקדשכם</w:t>
      </w:r>
      <w:r w:rsidRPr="00A45F99">
        <w:rPr>
          <w:rFonts w:eastAsia="Times New Roman" w:cs="Times New Roman"/>
          <w:rtl/>
          <w:lang w:eastAsia="de-DE"/>
        </w:rPr>
        <w:t xml:space="preserve"> </w:t>
      </w:r>
      <w:r w:rsidRPr="00A45F99">
        <w:rPr>
          <w:rFonts w:eastAsia="Times New Roman" w:cs="Times New Roman"/>
          <w:lang w:eastAsia="de-DE"/>
        </w:rPr>
        <w:t xml:space="preserve">mit ὁ </w:t>
      </w:r>
      <w:proofErr w:type="spellStart"/>
      <w:r w:rsidRPr="00A45F99">
        <w:rPr>
          <w:rFonts w:eastAsia="Times New Roman" w:cs="Times New Roman"/>
          <w:lang w:eastAsia="de-DE"/>
        </w:rPr>
        <w:t>ἁγιάζων</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ὑμᾶς</w:t>
      </w:r>
      <w:proofErr w:type="spellEnd"/>
      <w:r w:rsidRPr="00A45F99">
        <w:rPr>
          <w:rFonts w:eastAsia="Times New Roman" w:cs="Times New Roman"/>
          <w:lang w:eastAsia="de-DE"/>
        </w:rPr>
        <w:t xml:space="preserve"> (der euch heiligt).</w:t>
      </w:r>
    </w:p>
    <w:p w14:paraId="5684D9D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lastRenderedPageBreak/>
        <w:t>Die Satzstruktur</w:t>
      </w:r>
      <w:r w:rsidRPr="00A45F99">
        <w:rPr>
          <w:rFonts w:eastAsia="Times New Roman" w:cs="Times New Roman"/>
          <w:lang w:eastAsia="de-DE"/>
        </w:rPr>
        <w:t xml:space="preserve"> zeigt Volkspflicht zur Priesterheiligung: Heiligungsauftrag + Opferfunktionsbegründung + geforderte Volkshaltung + imitatio Dei als Grund.</w:t>
      </w:r>
    </w:p>
    <w:p w14:paraId="41A4E9C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verpflichtet das Volk zur Heiligung der Priester wegen deren Opferfunktion und göttlicher Heiligkeit.</w:t>
      </w:r>
    </w:p>
    <w:p w14:paraId="6EA8B893"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21,9</w:t>
      </w:r>
    </w:p>
    <w:p w14:paraId="59BDDE5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וּבַת֙ אִ֣ישׁ כֹּהֵ֔ן כִּ֥י תֵחֵ֖ל לִזְנ֑וֹת אֶת־אָבִ֨יהָ֙ הִ֣יא מְחַלֶּ֔לֶת בָּאֵ֖שׁ תִּשָּׂרֵֽף׃</w:t>
      </w:r>
    </w:p>
    <w:p w14:paraId="6407315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die Tochter eines Mannes, eines Priesters, wenn sie sich zu entweihen beginnt durch Hurerei, ihren Vater entweiht sie: Im Feuer soll sie verbrannt werden.</w:t>
      </w:r>
    </w:p>
    <w:p w14:paraId="02FC442D"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7639358E">
          <v:rect id="_x0000_i1633" style="width:0;height:1.5pt" o:hralign="center" o:hrstd="t" o:hr="t" fillcolor="#a0a0a0" stroked="f"/>
        </w:pict>
      </w:r>
    </w:p>
    <w:p w14:paraId="22D031F7" w14:textId="6431E7A4"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ובת איש כהן כי תחל לזנות את־אביה היא מחללת באש תשרף</w:t>
      </w:r>
      <w:r w:rsidRPr="00A45F99">
        <w:rPr>
          <w:rFonts w:eastAsia="Times New Roman" w:cs="Times New Roman"/>
          <w:rtl/>
          <w:lang w:eastAsia="de-DE"/>
        </w:rPr>
        <w:t xml:space="preserve"> </w:t>
      </w:r>
      <w:r w:rsidRPr="00A45F99">
        <w:rPr>
          <w:rFonts w:eastAsia="Times New Roman" w:cs="Times New Roman"/>
          <w:lang w:eastAsia="de-DE"/>
        </w:rPr>
        <w:t xml:space="preserve">zeigt verschärfte Strafe für Priestertöchter. </w:t>
      </w:r>
      <w:r w:rsidRPr="00A45F99">
        <w:rPr>
          <w:rFonts w:eastAsia="Times New Roman" w:cs="Times New Roman"/>
          <w:b/>
          <w:bCs/>
          <w:rtl/>
          <w:lang w:eastAsia="de-DE"/>
        </w:rPr>
        <w:t>ובת איש כהן</w:t>
      </w:r>
      <w:r w:rsidRPr="00A45F99">
        <w:rPr>
          <w:rFonts w:eastAsia="Times New Roman" w:cs="Times New Roman"/>
          <w:rtl/>
          <w:lang w:eastAsia="de-DE"/>
        </w:rPr>
        <w:t xml:space="preserve"> </w:t>
      </w:r>
      <w:r w:rsidRPr="00A45F99">
        <w:rPr>
          <w:rFonts w:eastAsia="Times New Roman" w:cs="Times New Roman"/>
          <w:lang w:eastAsia="de-DE"/>
        </w:rPr>
        <w:t xml:space="preserve">(und die Tochter eines Mannes, eines Priesters) zeigt Priestertochter. </w:t>
      </w:r>
      <w:r w:rsidRPr="00A45F99">
        <w:rPr>
          <w:rFonts w:eastAsia="Times New Roman" w:cs="Times New Roman"/>
          <w:b/>
          <w:bCs/>
          <w:rtl/>
          <w:lang w:eastAsia="de-DE"/>
        </w:rPr>
        <w:t>כי תחל לזנות</w:t>
      </w:r>
      <w:r w:rsidRPr="00A45F99">
        <w:rPr>
          <w:rFonts w:eastAsia="Times New Roman" w:cs="Times New Roman"/>
          <w:rtl/>
          <w:lang w:eastAsia="de-DE"/>
        </w:rPr>
        <w:t xml:space="preserve"> </w:t>
      </w:r>
      <w:r w:rsidRPr="00A45F99">
        <w:rPr>
          <w:rFonts w:eastAsia="Times New Roman" w:cs="Times New Roman"/>
          <w:lang w:eastAsia="de-DE"/>
        </w:rPr>
        <w:t xml:space="preserve">(wenn sie sich zu entweihen beginnt durch Hurerei) - </w:t>
      </w:r>
      <w:r w:rsidRPr="00A45F99">
        <w:rPr>
          <w:rFonts w:eastAsia="Times New Roman" w:cs="Times New Roman"/>
          <w:b/>
          <w:bCs/>
          <w:rtl/>
          <w:lang w:eastAsia="de-DE"/>
        </w:rPr>
        <w:t>תחל</w:t>
      </w:r>
      <w:r w:rsidRPr="00A45F99">
        <w:rPr>
          <w:rFonts w:eastAsia="Times New Roman" w:cs="Times New Roman"/>
          <w:rtl/>
          <w:lang w:eastAsia="de-DE"/>
        </w:rPr>
        <w:t xml:space="preserve"> </w:t>
      </w:r>
      <w:r w:rsidRPr="00A45F99">
        <w:rPr>
          <w:rFonts w:eastAsia="Times New Roman" w:cs="Times New Roman"/>
          <w:lang w:eastAsia="de-DE"/>
        </w:rPr>
        <w:t xml:space="preserve">(beginnt) im Hifil-Imperfekt von </w:t>
      </w:r>
      <w:r w:rsidRPr="00A45F99">
        <w:rPr>
          <w:rFonts w:eastAsia="Times New Roman" w:cs="Times New Roman"/>
          <w:b/>
          <w:bCs/>
          <w:rtl/>
          <w:lang w:eastAsia="de-DE"/>
        </w:rPr>
        <w:t>חלל</w:t>
      </w:r>
      <w:r w:rsidRPr="00A45F99">
        <w:rPr>
          <w:rFonts w:eastAsia="Times New Roman" w:cs="Times New Roman"/>
          <w:lang w:eastAsia="de-DE"/>
        </w:rPr>
        <w:t xml:space="preserve">, das Hifil zeigt kausative Entweihung. </w:t>
      </w:r>
      <w:r w:rsidRPr="00A45F99">
        <w:rPr>
          <w:rFonts w:eastAsia="Times New Roman" w:cs="Times New Roman"/>
          <w:b/>
          <w:bCs/>
          <w:rtl/>
          <w:lang w:eastAsia="de-DE"/>
        </w:rPr>
        <w:t>לזנות</w:t>
      </w:r>
      <w:r w:rsidRPr="00A45F99">
        <w:rPr>
          <w:rFonts w:eastAsia="Times New Roman" w:cs="Times New Roman"/>
          <w:rtl/>
          <w:lang w:eastAsia="de-DE"/>
        </w:rPr>
        <w:t xml:space="preserve"> </w:t>
      </w:r>
      <w:r w:rsidRPr="00A45F99">
        <w:rPr>
          <w:rFonts w:eastAsia="Times New Roman" w:cs="Times New Roman"/>
          <w:lang w:eastAsia="de-DE"/>
        </w:rPr>
        <w:t>(durch Hurerei) im Qal-Infinitiv-</w:t>
      </w:r>
      <w:r w:rsidR="005407E2">
        <w:rPr>
          <w:rFonts w:eastAsia="Times New Roman" w:cs="Times New Roman"/>
          <w:lang w:eastAsia="de-DE"/>
        </w:rPr>
        <w:t>Constructus</w:t>
      </w:r>
      <w:r w:rsidRPr="00A45F99">
        <w:rPr>
          <w:rFonts w:eastAsia="Times New Roman" w:cs="Times New Roman"/>
          <w:lang w:eastAsia="de-DE"/>
        </w:rPr>
        <w:t>.</w:t>
      </w:r>
    </w:p>
    <w:p w14:paraId="28198C61"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את־אביה היא מחללת</w:t>
      </w:r>
      <w:r w:rsidRPr="00A45F99">
        <w:rPr>
          <w:rFonts w:eastAsia="Times New Roman" w:cs="Times New Roman"/>
          <w:rtl/>
          <w:lang w:eastAsia="de-DE"/>
        </w:rPr>
        <w:t xml:space="preserve"> </w:t>
      </w:r>
      <w:r w:rsidRPr="00A45F99">
        <w:rPr>
          <w:rFonts w:eastAsia="Times New Roman" w:cs="Times New Roman"/>
          <w:lang w:eastAsia="de-DE"/>
        </w:rPr>
        <w:t xml:space="preserve">(ihren Vater entweiht sie) - </w:t>
      </w:r>
      <w:r w:rsidRPr="00A45F99">
        <w:rPr>
          <w:rFonts w:eastAsia="Times New Roman" w:cs="Times New Roman"/>
          <w:b/>
          <w:bCs/>
          <w:rtl/>
          <w:lang w:eastAsia="de-DE"/>
        </w:rPr>
        <w:t>את־אביה</w:t>
      </w:r>
      <w:r w:rsidRPr="00A45F99">
        <w:rPr>
          <w:rFonts w:eastAsia="Times New Roman" w:cs="Times New Roman"/>
          <w:rtl/>
          <w:lang w:eastAsia="de-DE"/>
        </w:rPr>
        <w:t xml:space="preserve"> </w:t>
      </w:r>
      <w:r w:rsidRPr="00A45F99">
        <w:rPr>
          <w:rFonts w:eastAsia="Times New Roman" w:cs="Times New Roman"/>
          <w:lang w:eastAsia="de-DE"/>
        </w:rPr>
        <w:t xml:space="preserve">(ihren Vater) als Objekt der Entweihung. </w:t>
      </w:r>
      <w:r w:rsidRPr="00A45F99">
        <w:rPr>
          <w:rFonts w:eastAsia="Times New Roman" w:cs="Times New Roman"/>
          <w:b/>
          <w:bCs/>
          <w:rtl/>
          <w:lang w:eastAsia="de-DE"/>
        </w:rPr>
        <w:t>היא מחללת</w:t>
      </w:r>
      <w:r w:rsidRPr="00A45F99">
        <w:rPr>
          <w:rFonts w:eastAsia="Times New Roman" w:cs="Times New Roman"/>
          <w:rtl/>
          <w:lang w:eastAsia="de-DE"/>
        </w:rPr>
        <w:t xml:space="preserve"> </w:t>
      </w:r>
      <w:r w:rsidRPr="00A45F99">
        <w:rPr>
          <w:rFonts w:eastAsia="Times New Roman" w:cs="Times New Roman"/>
          <w:lang w:eastAsia="de-DE"/>
        </w:rPr>
        <w:t>(sie entweiht) im Piel-Partizip mit Betonung, das Piel zeigt intensive Entweihung. Dies zeigt, dass ihre Entweihung auf den Vater übergreift.</w:t>
      </w:r>
    </w:p>
    <w:p w14:paraId="772B1FD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באש תשרף</w:t>
      </w:r>
      <w:r w:rsidRPr="00A45F99">
        <w:rPr>
          <w:rFonts w:eastAsia="Times New Roman" w:cs="Times New Roman"/>
          <w:rtl/>
          <w:lang w:eastAsia="de-DE"/>
        </w:rPr>
        <w:t xml:space="preserve"> </w:t>
      </w:r>
      <w:r w:rsidRPr="00A45F99">
        <w:rPr>
          <w:rFonts w:eastAsia="Times New Roman" w:cs="Times New Roman"/>
          <w:lang w:eastAsia="de-DE"/>
        </w:rPr>
        <w:t xml:space="preserve">(im Feuer soll sie verbrannt werden) - </w:t>
      </w:r>
      <w:r w:rsidRPr="00A45F99">
        <w:rPr>
          <w:rFonts w:eastAsia="Times New Roman" w:cs="Times New Roman"/>
          <w:b/>
          <w:bCs/>
          <w:rtl/>
          <w:lang w:eastAsia="de-DE"/>
        </w:rPr>
        <w:t>באש</w:t>
      </w:r>
      <w:r w:rsidRPr="00A45F99">
        <w:rPr>
          <w:rFonts w:eastAsia="Times New Roman" w:cs="Times New Roman"/>
          <w:rtl/>
          <w:lang w:eastAsia="de-DE"/>
        </w:rPr>
        <w:t xml:space="preserve"> </w:t>
      </w:r>
      <w:r w:rsidRPr="00A45F99">
        <w:rPr>
          <w:rFonts w:eastAsia="Times New Roman" w:cs="Times New Roman"/>
          <w:lang w:eastAsia="de-DE"/>
        </w:rPr>
        <w:t xml:space="preserve">(mit Feuer) zeigt die Hinrichtungsart. </w:t>
      </w:r>
      <w:r w:rsidRPr="00A45F99">
        <w:rPr>
          <w:rFonts w:eastAsia="Times New Roman" w:cs="Times New Roman"/>
          <w:b/>
          <w:bCs/>
          <w:rtl/>
          <w:lang w:eastAsia="de-DE"/>
        </w:rPr>
        <w:t>תשרף</w:t>
      </w:r>
      <w:r w:rsidRPr="00A45F99">
        <w:rPr>
          <w:rFonts w:eastAsia="Times New Roman" w:cs="Times New Roman"/>
          <w:rtl/>
          <w:lang w:eastAsia="de-DE"/>
        </w:rPr>
        <w:t xml:space="preserve"> </w:t>
      </w:r>
      <w:r w:rsidRPr="00A45F99">
        <w:rPr>
          <w:rFonts w:eastAsia="Times New Roman" w:cs="Times New Roman"/>
          <w:lang w:eastAsia="de-DE"/>
        </w:rPr>
        <w:t>(soll verbrannt werden) im Nifal-Imperfekt zeigt Feuerstrafe statt Steinigung.</w:t>
      </w:r>
    </w:p>
    <w:p w14:paraId="4C7109D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תחל לזנות</w:t>
      </w:r>
      <w:r w:rsidRPr="00A45F99">
        <w:rPr>
          <w:rFonts w:eastAsia="Times New Roman" w:cs="Times New Roman"/>
          <w:rtl/>
          <w:lang w:eastAsia="de-DE"/>
        </w:rPr>
        <w:t xml:space="preserve"> </w:t>
      </w:r>
      <w:r w:rsidRPr="00A45F99">
        <w:rPr>
          <w:rFonts w:eastAsia="Times New Roman" w:cs="Times New Roman"/>
          <w:lang w:eastAsia="de-DE"/>
        </w:rPr>
        <w:t xml:space="preserve">zeigt beginnende Hurerei als Entweihung. </w:t>
      </w:r>
      <w:r w:rsidRPr="00A45F99">
        <w:rPr>
          <w:rFonts w:eastAsia="Times New Roman" w:cs="Times New Roman"/>
          <w:b/>
          <w:bCs/>
          <w:rtl/>
          <w:lang w:eastAsia="de-DE"/>
        </w:rPr>
        <w:t>את־אביה היא מחללת</w:t>
      </w:r>
      <w:r w:rsidRPr="00A45F99">
        <w:rPr>
          <w:rFonts w:eastAsia="Times New Roman" w:cs="Times New Roman"/>
          <w:rtl/>
          <w:lang w:eastAsia="de-DE"/>
        </w:rPr>
        <w:t xml:space="preserve"> </w:t>
      </w:r>
      <w:r w:rsidRPr="00A45F99">
        <w:rPr>
          <w:rFonts w:eastAsia="Times New Roman" w:cs="Times New Roman"/>
          <w:lang w:eastAsia="de-DE"/>
        </w:rPr>
        <w:t xml:space="preserve">zeigt Übertragung der Entweihung auf den Priestervater. </w:t>
      </w:r>
      <w:r w:rsidRPr="00A45F99">
        <w:rPr>
          <w:rFonts w:eastAsia="Times New Roman" w:cs="Times New Roman"/>
          <w:b/>
          <w:bCs/>
          <w:rtl/>
          <w:lang w:eastAsia="de-DE"/>
        </w:rPr>
        <w:t>באש תשרף</w:t>
      </w:r>
      <w:r w:rsidRPr="00A45F99">
        <w:rPr>
          <w:rFonts w:eastAsia="Times New Roman" w:cs="Times New Roman"/>
          <w:rtl/>
          <w:lang w:eastAsia="de-DE"/>
        </w:rPr>
        <w:t xml:space="preserve"> </w:t>
      </w:r>
      <w:r w:rsidRPr="00A45F99">
        <w:rPr>
          <w:rFonts w:eastAsia="Times New Roman" w:cs="Times New Roman"/>
          <w:lang w:eastAsia="de-DE"/>
        </w:rPr>
        <w:t>als schärfste Hinrichtungsart entspricht 20,14.</w:t>
      </w:r>
    </w:p>
    <w:p w14:paraId="27945B3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בת איש כהן</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θυγάτηρ</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ἀνθρώ</w:t>
      </w:r>
      <w:proofErr w:type="spellEnd"/>
      <w:r w:rsidRPr="00A45F99">
        <w:rPr>
          <w:rFonts w:eastAsia="Times New Roman" w:cs="Times New Roman"/>
          <w:lang w:eastAsia="de-DE"/>
        </w:rPr>
        <w:t xml:space="preserve">που </w:t>
      </w:r>
      <w:proofErr w:type="spellStart"/>
      <w:r w:rsidRPr="00A45F99">
        <w:rPr>
          <w:rFonts w:eastAsia="Times New Roman" w:cs="Times New Roman"/>
          <w:lang w:eastAsia="de-DE"/>
        </w:rPr>
        <w:t>ἱερέως</w:t>
      </w:r>
      <w:proofErr w:type="spellEnd"/>
      <w:r w:rsidRPr="00A45F99">
        <w:rPr>
          <w:rFonts w:eastAsia="Times New Roman" w:cs="Times New Roman"/>
          <w:lang w:eastAsia="de-DE"/>
        </w:rPr>
        <w:t xml:space="preserve"> (Tochter eines Priester-Mannes), </w:t>
      </w:r>
      <w:r w:rsidRPr="00A45F99">
        <w:rPr>
          <w:rFonts w:eastAsia="Times New Roman" w:cs="Times New Roman"/>
          <w:b/>
          <w:bCs/>
          <w:rtl/>
          <w:lang w:eastAsia="de-DE"/>
        </w:rPr>
        <w:t>תחל</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ἄρξητ</w:t>
      </w:r>
      <w:proofErr w:type="spellEnd"/>
      <w:r w:rsidRPr="00A45F99">
        <w:rPr>
          <w:rFonts w:eastAsia="Times New Roman" w:cs="Times New Roman"/>
          <w:lang w:eastAsia="de-DE"/>
        </w:rPr>
        <w:t xml:space="preserve">αι (beginnt), </w:t>
      </w:r>
      <w:r w:rsidRPr="00A45F99">
        <w:rPr>
          <w:rFonts w:eastAsia="Times New Roman" w:cs="Times New Roman"/>
          <w:b/>
          <w:bCs/>
          <w:rtl/>
          <w:lang w:eastAsia="de-DE"/>
        </w:rPr>
        <w:t>לזנות</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ἐκ</w:t>
      </w:r>
      <w:proofErr w:type="spellEnd"/>
      <w:r w:rsidRPr="00A45F99">
        <w:rPr>
          <w:rFonts w:eastAsia="Times New Roman" w:cs="Times New Roman"/>
          <w:lang w:eastAsia="de-DE"/>
        </w:rPr>
        <w:t xml:space="preserve">πορνεύειν (zu huren), </w:t>
      </w:r>
      <w:r w:rsidRPr="00A45F99">
        <w:rPr>
          <w:rFonts w:eastAsia="Times New Roman" w:cs="Times New Roman"/>
          <w:b/>
          <w:bCs/>
          <w:rtl/>
          <w:lang w:eastAsia="de-DE"/>
        </w:rPr>
        <w:t>מחללת</w:t>
      </w:r>
      <w:r w:rsidRPr="00A45F99">
        <w:rPr>
          <w:rFonts w:eastAsia="Times New Roman" w:cs="Times New Roman"/>
          <w:rtl/>
          <w:lang w:eastAsia="de-DE"/>
        </w:rPr>
        <w:t xml:space="preserve"> </w:t>
      </w:r>
      <w:r w:rsidRPr="00A45F99">
        <w:rPr>
          <w:rFonts w:eastAsia="Times New Roman" w:cs="Times New Roman"/>
          <w:lang w:eastAsia="de-DE"/>
        </w:rPr>
        <w:t>mit βεβ</w:t>
      </w:r>
      <w:proofErr w:type="spellStart"/>
      <w:r w:rsidRPr="00A45F99">
        <w:rPr>
          <w:rFonts w:eastAsia="Times New Roman" w:cs="Times New Roman"/>
          <w:lang w:eastAsia="de-DE"/>
        </w:rPr>
        <w:t>ηλοῖ</w:t>
      </w:r>
      <w:proofErr w:type="spellEnd"/>
      <w:r w:rsidRPr="00A45F99">
        <w:rPr>
          <w:rFonts w:eastAsia="Times New Roman" w:cs="Times New Roman"/>
          <w:lang w:eastAsia="de-DE"/>
        </w:rPr>
        <w:t xml:space="preserve"> (entweiht) und </w:t>
      </w:r>
      <w:r w:rsidRPr="00A45F99">
        <w:rPr>
          <w:rFonts w:eastAsia="Times New Roman" w:cs="Times New Roman"/>
          <w:b/>
          <w:bCs/>
          <w:rtl/>
          <w:lang w:eastAsia="de-DE"/>
        </w:rPr>
        <w:t>תשרף</w:t>
      </w:r>
      <w:r w:rsidRPr="00A45F99">
        <w:rPr>
          <w:rFonts w:eastAsia="Times New Roman" w:cs="Times New Roman"/>
          <w:rtl/>
          <w:lang w:eastAsia="de-DE"/>
        </w:rPr>
        <w:t xml:space="preserve"> </w:t>
      </w:r>
      <w:r w:rsidRPr="00A45F99">
        <w:rPr>
          <w:rFonts w:eastAsia="Times New Roman" w:cs="Times New Roman"/>
          <w:lang w:eastAsia="de-DE"/>
        </w:rPr>
        <w:t>mit κατακα</w:t>
      </w:r>
      <w:proofErr w:type="spellStart"/>
      <w:r w:rsidRPr="00A45F99">
        <w:rPr>
          <w:rFonts w:eastAsia="Times New Roman" w:cs="Times New Roman"/>
          <w:lang w:eastAsia="de-DE"/>
        </w:rPr>
        <w:t>υθήσετ</w:t>
      </w:r>
      <w:proofErr w:type="spellEnd"/>
      <w:r w:rsidRPr="00A45F99">
        <w:rPr>
          <w:rFonts w:eastAsia="Times New Roman" w:cs="Times New Roman"/>
          <w:lang w:eastAsia="de-DE"/>
        </w:rPr>
        <w:t>αι (wird verbrannt werden).</w:t>
      </w:r>
    </w:p>
    <w:p w14:paraId="017D525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Priestertochter-Bestrafung: Priestertochter-Identifikation + Hurerei-Beginn + väterliche Entweihung + Feuerstrafe.</w:t>
      </w:r>
    </w:p>
    <w:p w14:paraId="3FCB730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zeigt die Feuerstrafe für hurende Priestertöchter wegen der Entweihung ihres Priestervaters.</w:t>
      </w:r>
    </w:p>
    <w:p w14:paraId="19D28FDE"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21,10</w:t>
      </w:r>
    </w:p>
    <w:p w14:paraId="3DE5EDF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וְהַכֹּהֵן֩ הַגָּד֨וֹל מֵאֶחָ֜יו אֲֽשֶׁר־יוּצַ֥ק עַל־רֹאשֹׁ֣ו׀ שֶׁ֤מֶן הַמִּשְׁחָה֙ וּמִלֵּ֣א אֶת־יָדֹ֔ו לִלְבֹּ֖שׁ אֶת־הַבְּגָדִ֑ים אֶת־רֹאשׁוֹ֙ לֹ֣א יִפְרָ֔ע וּבְגָדָ֖יו לֹ֥א יִפְרֹֽם׃</w:t>
      </w:r>
    </w:p>
    <w:p w14:paraId="38E7376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der Priester, der groß ist unter seinen Brüdern, auf dessen Haupt das Salböl gegossen worden ist und dessen Hand man gefüllt hat, um die Kleider anzulegen, soll sein Haupthaar nicht wachsen lassen und soll seine Kleider nicht zerreißen.</w:t>
      </w:r>
    </w:p>
    <w:p w14:paraId="194480D9"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lastRenderedPageBreak/>
        <w:pict w14:anchorId="0D12141B">
          <v:rect id="_x0000_i1634" style="width:0;height:1.5pt" o:hralign="center" o:hrstd="t" o:hr="t" fillcolor="#a0a0a0" stroked="f"/>
        </w:pict>
      </w:r>
    </w:p>
    <w:p w14:paraId="740FBAED"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והכהן הגדול מאחיו אשר־יוצק על־ראשו שמן המשחה ומלא את־ידו ללבש את־הבגדים את־ראשו לא יפרע ובגדיו לא יפרם</w:t>
      </w:r>
      <w:r w:rsidRPr="00A45F99">
        <w:rPr>
          <w:rFonts w:eastAsia="Times New Roman" w:cs="Times New Roman"/>
          <w:rtl/>
          <w:lang w:eastAsia="de-DE"/>
        </w:rPr>
        <w:t xml:space="preserve"> </w:t>
      </w:r>
      <w:r w:rsidRPr="00A45F99">
        <w:rPr>
          <w:rFonts w:eastAsia="Times New Roman" w:cs="Times New Roman"/>
          <w:lang w:eastAsia="de-DE"/>
        </w:rPr>
        <w:t xml:space="preserve">zeigt besondere Vorschriften für den Hohepriester. </w:t>
      </w:r>
      <w:r w:rsidRPr="00A45F99">
        <w:rPr>
          <w:rFonts w:eastAsia="Times New Roman" w:cs="Times New Roman"/>
          <w:b/>
          <w:bCs/>
          <w:rtl/>
          <w:lang w:eastAsia="de-DE"/>
        </w:rPr>
        <w:t>והכהן הגדול מאחיו</w:t>
      </w:r>
      <w:r w:rsidRPr="00A45F99">
        <w:rPr>
          <w:rFonts w:eastAsia="Times New Roman" w:cs="Times New Roman"/>
          <w:rtl/>
          <w:lang w:eastAsia="de-DE"/>
        </w:rPr>
        <w:t xml:space="preserve"> </w:t>
      </w:r>
      <w:r w:rsidRPr="00A45F99">
        <w:rPr>
          <w:rFonts w:eastAsia="Times New Roman" w:cs="Times New Roman"/>
          <w:lang w:eastAsia="de-DE"/>
        </w:rPr>
        <w:t xml:space="preserve">(und der Priester, der groß ist unter seinen Brüdern) - </w:t>
      </w:r>
      <w:r w:rsidRPr="00A45F99">
        <w:rPr>
          <w:rFonts w:eastAsia="Times New Roman" w:cs="Times New Roman"/>
          <w:b/>
          <w:bCs/>
          <w:rtl/>
          <w:lang w:eastAsia="de-DE"/>
        </w:rPr>
        <w:t>הכהן הגדול</w:t>
      </w:r>
      <w:r w:rsidRPr="00A45F99">
        <w:rPr>
          <w:rFonts w:eastAsia="Times New Roman" w:cs="Times New Roman"/>
          <w:rtl/>
          <w:lang w:eastAsia="de-DE"/>
        </w:rPr>
        <w:t xml:space="preserve"> </w:t>
      </w:r>
      <w:r w:rsidRPr="00A45F99">
        <w:rPr>
          <w:rFonts w:eastAsia="Times New Roman" w:cs="Times New Roman"/>
          <w:lang w:eastAsia="de-DE"/>
        </w:rPr>
        <w:t xml:space="preserve">(der große Priester) als offizielle Hohepriesterbezeichnung. </w:t>
      </w:r>
      <w:r w:rsidRPr="00A45F99">
        <w:rPr>
          <w:rFonts w:eastAsia="Times New Roman" w:cs="Times New Roman"/>
          <w:b/>
          <w:bCs/>
          <w:rtl/>
          <w:lang w:eastAsia="de-DE"/>
        </w:rPr>
        <w:t>מאחיו</w:t>
      </w:r>
      <w:r w:rsidRPr="00A45F99">
        <w:rPr>
          <w:rFonts w:eastAsia="Times New Roman" w:cs="Times New Roman"/>
          <w:rtl/>
          <w:lang w:eastAsia="de-DE"/>
        </w:rPr>
        <w:t xml:space="preserve"> </w:t>
      </w:r>
      <w:r w:rsidRPr="00A45F99">
        <w:rPr>
          <w:rFonts w:eastAsia="Times New Roman" w:cs="Times New Roman"/>
          <w:lang w:eastAsia="de-DE"/>
        </w:rPr>
        <w:t>(unter seinen Brüdern) zeigt seine Stellung unter den anderen Priestern.</w:t>
      </w:r>
    </w:p>
    <w:p w14:paraId="1A831BD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אשר־יוצק על־ראשו שמן המשחה</w:t>
      </w:r>
      <w:r w:rsidRPr="00A45F99">
        <w:rPr>
          <w:rFonts w:eastAsia="Times New Roman" w:cs="Times New Roman"/>
          <w:rtl/>
          <w:lang w:eastAsia="de-DE"/>
        </w:rPr>
        <w:t xml:space="preserve"> </w:t>
      </w:r>
      <w:r w:rsidRPr="00A45F99">
        <w:rPr>
          <w:rFonts w:eastAsia="Times New Roman" w:cs="Times New Roman"/>
          <w:lang w:eastAsia="de-DE"/>
        </w:rPr>
        <w:t xml:space="preserve">(auf dessen Haupt das Salböl gegossen worden ist) - </w:t>
      </w:r>
      <w:r w:rsidRPr="00A45F99">
        <w:rPr>
          <w:rFonts w:eastAsia="Times New Roman" w:cs="Times New Roman"/>
          <w:b/>
          <w:bCs/>
          <w:rtl/>
          <w:lang w:eastAsia="de-DE"/>
        </w:rPr>
        <w:t>יוצק</w:t>
      </w:r>
      <w:r w:rsidRPr="00A45F99">
        <w:rPr>
          <w:rFonts w:eastAsia="Times New Roman" w:cs="Times New Roman"/>
          <w:rtl/>
          <w:lang w:eastAsia="de-DE"/>
        </w:rPr>
        <w:t xml:space="preserve"> </w:t>
      </w:r>
      <w:r w:rsidRPr="00A45F99">
        <w:rPr>
          <w:rFonts w:eastAsia="Times New Roman" w:cs="Times New Roman"/>
          <w:lang w:eastAsia="de-DE"/>
        </w:rPr>
        <w:t xml:space="preserve">(gegossen worden ist) im Hofal-Perfekt zeigt die Salbung. </w:t>
      </w:r>
      <w:r w:rsidRPr="00A45F99">
        <w:rPr>
          <w:rFonts w:eastAsia="Times New Roman" w:cs="Times New Roman"/>
          <w:b/>
          <w:bCs/>
          <w:rtl/>
          <w:lang w:eastAsia="de-DE"/>
        </w:rPr>
        <w:t>שמן המשחה</w:t>
      </w:r>
      <w:r w:rsidRPr="00A45F99">
        <w:rPr>
          <w:rFonts w:eastAsia="Times New Roman" w:cs="Times New Roman"/>
          <w:rtl/>
          <w:lang w:eastAsia="de-DE"/>
        </w:rPr>
        <w:t xml:space="preserve"> </w:t>
      </w:r>
      <w:r w:rsidRPr="00A45F99">
        <w:rPr>
          <w:rFonts w:eastAsia="Times New Roman" w:cs="Times New Roman"/>
          <w:lang w:eastAsia="de-DE"/>
        </w:rPr>
        <w:t>(Salböl) als heiliges Salbungsöl.</w:t>
      </w:r>
    </w:p>
    <w:p w14:paraId="32D01027"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ומלא את־ידו ללבש את־הבגדים</w:t>
      </w:r>
      <w:r w:rsidRPr="00A45F99">
        <w:rPr>
          <w:rFonts w:eastAsia="Times New Roman" w:cs="Times New Roman"/>
          <w:rtl/>
          <w:lang w:eastAsia="de-DE"/>
        </w:rPr>
        <w:t xml:space="preserve"> </w:t>
      </w:r>
      <w:r w:rsidRPr="00A45F99">
        <w:rPr>
          <w:rFonts w:eastAsia="Times New Roman" w:cs="Times New Roman"/>
          <w:lang w:eastAsia="de-DE"/>
        </w:rPr>
        <w:t xml:space="preserve">(und dessen Hand man gefüllt hat, um die Kleider anzulegen) - </w:t>
      </w:r>
      <w:r w:rsidRPr="00A45F99">
        <w:rPr>
          <w:rFonts w:eastAsia="Times New Roman" w:cs="Times New Roman"/>
          <w:b/>
          <w:bCs/>
          <w:rtl/>
          <w:lang w:eastAsia="de-DE"/>
        </w:rPr>
        <w:t>מלא את־ידו</w:t>
      </w:r>
      <w:r w:rsidRPr="00A45F99">
        <w:rPr>
          <w:rFonts w:eastAsia="Times New Roman" w:cs="Times New Roman"/>
          <w:rtl/>
          <w:lang w:eastAsia="de-DE"/>
        </w:rPr>
        <w:t xml:space="preserve"> </w:t>
      </w:r>
      <w:r w:rsidRPr="00A45F99">
        <w:rPr>
          <w:rFonts w:eastAsia="Times New Roman" w:cs="Times New Roman"/>
          <w:lang w:eastAsia="de-DE"/>
        </w:rPr>
        <w:t xml:space="preserve">(seine Hand gefüllt) als technischer Ausdruck für Priesterweihe entsprechend Ex 29,9. </w:t>
      </w:r>
      <w:r w:rsidRPr="00A45F99">
        <w:rPr>
          <w:rFonts w:eastAsia="Times New Roman" w:cs="Times New Roman"/>
          <w:b/>
          <w:bCs/>
          <w:rtl/>
          <w:lang w:eastAsia="de-DE"/>
        </w:rPr>
        <w:t>ללבש את־הבגדים</w:t>
      </w:r>
      <w:r w:rsidRPr="00A45F99">
        <w:rPr>
          <w:rFonts w:eastAsia="Times New Roman" w:cs="Times New Roman"/>
          <w:rtl/>
          <w:lang w:eastAsia="de-DE"/>
        </w:rPr>
        <w:t xml:space="preserve"> </w:t>
      </w:r>
      <w:r w:rsidRPr="00A45F99">
        <w:rPr>
          <w:rFonts w:eastAsia="Times New Roman" w:cs="Times New Roman"/>
          <w:lang w:eastAsia="de-DE"/>
        </w:rPr>
        <w:t>(um die Kleider anzulegen) zeigt das Anlegen der Hohepriestergewänder.</w:t>
      </w:r>
    </w:p>
    <w:p w14:paraId="7308641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את־ראשו לא יפרע ובגדיו לא יפרם</w:t>
      </w:r>
      <w:r w:rsidRPr="00A45F99">
        <w:rPr>
          <w:rFonts w:eastAsia="Times New Roman" w:cs="Times New Roman"/>
          <w:rtl/>
          <w:lang w:eastAsia="de-DE"/>
        </w:rPr>
        <w:t xml:space="preserve"> </w:t>
      </w:r>
      <w:r w:rsidRPr="00A45F99">
        <w:rPr>
          <w:rFonts w:eastAsia="Times New Roman" w:cs="Times New Roman"/>
          <w:lang w:eastAsia="de-DE"/>
        </w:rPr>
        <w:t xml:space="preserve">(soll sein Haupthaar nicht wachsen lassen und soll seine Kleider nicht zerreißen) - </w:t>
      </w:r>
      <w:r w:rsidRPr="00A45F99">
        <w:rPr>
          <w:rFonts w:eastAsia="Times New Roman" w:cs="Times New Roman"/>
          <w:b/>
          <w:bCs/>
          <w:rtl/>
          <w:lang w:eastAsia="de-DE"/>
        </w:rPr>
        <w:t>לא יפרע</w:t>
      </w:r>
      <w:r w:rsidRPr="00A45F99">
        <w:rPr>
          <w:rFonts w:eastAsia="Times New Roman" w:cs="Times New Roman"/>
          <w:rtl/>
          <w:lang w:eastAsia="de-DE"/>
        </w:rPr>
        <w:t xml:space="preserve"> </w:t>
      </w:r>
      <w:r w:rsidRPr="00A45F99">
        <w:rPr>
          <w:rFonts w:eastAsia="Times New Roman" w:cs="Times New Roman"/>
          <w:lang w:eastAsia="de-DE"/>
        </w:rPr>
        <w:t xml:space="preserve">(soll nicht wachsen lassen) im Qal-Imperfekt von </w:t>
      </w:r>
      <w:r w:rsidRPr="00A45F99">
        <w:rPr>
          <w:rFonts w:eastAsia="Times New Roman" w:cs="Times New Roman"/>
          <w:b/>
          <w:bCs/>
          <w:rtl/>
          <w:lang w:eastAsia="de-DE"/>
        </w:rPr>
        <w:t>פרע</w:t>
      </w:r>
      <w:r w:rsidRPr="00A45F99">
        <w:rPr>
          <w:rFonts w:eastAsia="Times New Roman" w:cs="Times New Roman"/>
          <w:rtl/>
          <w:lang w:eastAsia="de-DE"/>
        </w:rPr>
        <w:t xml:space="preserve"> </w:t>
      </w:r>
      <w:r w:rsidRPr="00A45F99">
        <w:rPr>
          <w:rFonts w:eastAsia="Times New Roman" w:cs="Times New Roman"/>
          <w:lang w:eastAsia="de-DE"/>
        </w:rPr>
        <w:t xml:space="preserve">zeigt ungepflegte Haartracht als Trauerzeichen. </w:t>
      </w:r>
      <w:r w:rsidRPr="00A45F99">
        <w:rPr>
          <w:rFonts w:eastAsia="Times New Roman" w:cs="Times New Roman"/>
          <w:b/>
          <w:bCs/>
          <w:rtl/>
          <w:lang w:eastAsia="de-DE"/>
        </w:rPr>
        <w:t>לא יפרם</w:t>
      </w:r>
      <w:r w:rsidRPr="00A45F99">
        <w:rPr>
          <w:rFonts w:eastAsia="Times New Roman" w:cs="Times New Roman"/>
          <w:rtl/>
          <w:lang w:eastAsia="de-DE"/>
        </w:rPr>
        <w:t xml:space="preserve"> </w:t>
      </w:r>
      <w:r w:rsidRPr="00A45F99">
        <w:rPr>
          <w:rFonts w:eastAsia="Times New Roman" w:cs="Times New Roman"/>
          <w:lang w:eastAsia="de-DE"/>
        </w:rPr>
        <w:t xml:space="preserve">(soll nicht zerreißen) im Qal-Imperfekt von </w:t>
      </w:r>
      <w:r w:rsidRPr="00A45F99">
        <w:rPr>
          <w:rFonts w:eastAsia="Times New Roman" w:cs="Times New Roman"/>
          <w:b/>
          <w:bCs/>
          <w:rtl/>
          <w:lang w:eastAsia="de-DE"/>
        </w:rPr>
        <w:t>פרם</w:t>
      </w:r>
      <w:r w:rsidRPr="00A45F99">
        <w:rPr>
          <w:rFonts w:eastAsia="Times New Roman" w:cs="Times New Roman"/>
          <w:rtl/>
          <w:lang w:eastAsia="de-DE"/>
        </w:rPr>
        <w:t xml:space="preserve"> </w:t>
      </w:r>
      <w:r w:rsidRPr="00A45F99">
        <w:rPr>
          <w:rFonts w:eastAsia="Times New Roman" w:cs="Times New Roman"/>
          <w:lang w:eastAsia="de-DE"/>
        </w:rPr>
        <w:t>zeigt Kleiderzerreißen als Trauerpraxis.</w:t>
      </w:r>
    </w:p>
    <w:p w14:paraId="23F56C0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הכהן הגדול</w:t>
      </w:r>
      <w:r w:rsidRPr="00A45F99">
        <w:rPr>
          <w:rFonts w:eastAsia="Times New Roman" w:cs="Times New Roman"/>
          <w:rtl/>
          <w:lang w:eastAsia="de-DE"/>
        </w:rPr>
        <w:t xml:space="preserve"> </w:t>
      </w:r>
      <w:r w:rsidRPr="00A45F99">
        <w:rPr>
          <w:rFonts w:eastAsia="Times New Roman" w:cs="Times New Roman"/>
          <w:lang w:eastAsia="de-DE"/>
        </w:rPr>
        <w:t xml:space="preserve">als offizielle Hohepriesterbezeichnung. </w:t>
      </w:r>
      <w:r w:rsidRPr="00A45F99">
        <w:rPr>
          <w:rFonts w:eastAsia="Times New Roman" w:cs="Times New Roman"/>
          <w:b/>
          <w:bCs/>
          <w:rtl/>
          <w:lang w:eastAsia="de-DE"/>
        </w:rPr>
        <w:t>יוצק שמן המשחה</w:t>
      </w:r>
      <w:r w:rsidRPr="00A45F99">
        <w:rPr>
          <w:rFonts w:eastAsia="Times New Roman" w:cs="Times New Roman"/>
          <w:rtl/>
          <w:lang w:eastAsia="de-DE"/>
        </w:rPr>
        <w:t xml:space="preserve"> </w:t>
      </w:r>
      <w:r w:rsidRPr="00A45F99">
        <w:rPr>
          <w:rFonts w:eastAsia="Times New Roman" w:cs="Times New Roman"/>
          <w:lang w:eastAsia="de-DE"/>
        </w:rPr>
        <w:t xml:space="preserve">und </w:t>
      </w:r>
      <w:r w:rsidRPr="00A45F99">
        <w:rPr>
          <w:rFonts w:eastAsia="Times New Roman" w:cs="Times New Roman"/>
          <w:b/>
          <w:bCs/>
          <w:rtl/>
          <w:lang w:eastAsia="de-DE"/>
        </w:rPr>
        <w:t>מלא את־ידו</w:t>
      </w:r>
      <w:r w:rsidRPr="00A45F99">
        <w:rPr>
          <w:rFonts w:eastAsia="Times New Roman" w:cs="Times New Roman"/>
          <w:rtl/>
          <w:lang w:eastAsia="de-DE"/>
        </w:rPr>
        <w:t xml:space="preserve"> </w:t>
      </w:r>
      <w:r w:rsidRPr="00A45F99">
        <w:rPr>
          <w:rFonts w:eastAsia="Times New Roman" w:cs="Times New Roman"/>
          <w:lang w:eastAsia="de-DE"/>
        </w:rPr>
        <w:t xml:space="preserve">als zwei Weiheakte. </w:t>
      </w:r>
      <w:r w:rsidRPr="00A45F99">
        <w:rPr>
          <w:rFonts w:eastAsia="Times New Roman" w:cs="Times New Roman"/>
          <w:b/>
          <w:bCs/>
          <w:rtl/>
          <w:lang w:eastAsia="de-DE"/>
        </w:rPr>
        <w:t>לא יפרע</w:t>
      </w:r>
      <w:r w:rsidRPr="00A45F99">
        <w:rPr>
          <w:rFonts w:eastAsia="Times New Roman" w:cs="Times New Roman"/>
          <w:rtl/>
          <w:lang w:eastAsia="de-DE"/>
        </w:rPr>
        <w:t xml:space="preserve"> </w:t>
      </w:r>
      <w:r w:rsidRPr="00A45F99">
        <w:rPr>
          <w:rFonts w:eastAsia="Times New Roman" w:cs="Times New Roman"/>
          <w:lang w:eastAsia="de-DE"/>
        </w:rPr>
        <w:t xml:space="preserve">und </w:t>
      </w:r>
      <w:r w:rsidRPr="00A45F99">
        <w:rPr>
          <w:rFonts w:eastAsia="Times New Roman" w:cs="Times New Roman"/>
          <w:b/>
          <w:bCs/>
          <w:rtl/>
          <w:lang w:eastAsia="de-DE"/>
        </w:rPr>
        <w:t>לא יפרם</w:t>
      </w:r>
      <w:r w:rsidRPr="00A45F99">
        <w:rPr>
          <w:rFonts w:eastAsia="Times New Roman" w:cs="Times New Roman"/>
          <w:rtl/>
          <w:lang w:eastAsia="de-DE"/>
        </w:rPr>
        <w:t xml:space="preserve"> </w:t>
      </w:r>
      <w:r w:rsidRPr="00A45F99">
        <w:rPr>
          <w:rFonts w:eastAsia="Times New Roman" w:cs="Times New Roman"/>
          <w:lang w:eastAsia="de-DE"/>
        </w:rPr>
        <w:t>verbieten normale Trauerpraktiken.</w:t>
      </w:r>
    </w:p>
    <w:p w14:paraId="193D1026" w14:textId="0E78AB53"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ומלא את־ידו ללבש את־הבגדים</w:t>
      </w:r>
      <w:r w:rsidR="0007678B">
        <w:t xml:space="preserve"> (</w:t>
      </w:r>
      <w:proofErr w:type="spellStart"/>
      <w:r w:rsidR="0007678B">
        <w:t>umille</w:t>
      </w:r>
      <w:proofErr w:type="spellEnd"/>
      <w:r w:rsidR="0007678B">
        <w:t xml:space="preserve"> et-</w:t>
      </w:r>
      <w:proofErr w:type="spellStart"/>
      <w:r w:rsidR="0007678B">
        <w:t>yado</w:t>
      </w:r>
      <w:proofErr w:type="spellEnd"/>
      <w:r w:rsidR="0007678B">
        <w:t xml:space="preserve"> </w:t>
      </w:r>
      <w:proofErr w:type="spellStart"/>
      <w:r w:rsidR="0007678B">
        <w:t>lilbosh</w:t>
      </w:r>
      <w:proofErr w:type="spellEnd"/>
      <w:r w:rsidR="0007678B">
        <w:t xml:space="preserve"> et-</w:t>
      </w:r>
      <w:proofErr w:type="spellStart"/>
      <w:r w:rsidR="0007678B">
        <w:t>habegadim</w:t>
      </w:r>
      <w:proofErr w:type="spellEnd"/>
      <w:r w:rsidR="0007678B">
        <w:t xml:space="preserve"> - "und dessen Hand gefüllt wurde, die Gewänder anzuziehen") als καὶ </w:t>
      </w:r>
      <w:proofErr w:type="spellStart"/>
      <w:r w:rsidR="0007678B">
        <w:t>τετελειωμένου</w:t>
      </w:r>
      <w:proofErr w:type="spellEnd"/>
      <w:r w:rsidR="0007678B">
        <w:t xml:space="preserve"> </w:t>
      </w:r>
      <w:proofErr w:type="spellStart"/>
      <w:r w:rsidR="0007678B">
        <w:t>ἐνδύσ</w:t>
      </w:r>
      <w:proofErr w:type="spellEnd"/>
      <w:r w:rsidR="0007678B">
        <w:t xml:space="preserve">ασθαι </w:t>
      </w:r>
      <w:proofErr w:type="spellStart"/>
      <w:r w:rsidR="0007678B">
        <w:t>τὰ</w:t>
      </w:r>
      <w:proofErr w:type="spellEnd"/>
      <w:r w:rsidR="0007678B">
        <w:t xml:space="preserve"> </w:t>
      </w:r>
      <w:proofErr w:type="spellStart"/>
      <w:r w:rsidR="0007678B">
        <w:t>ἱμάτι</w:t>
      </w:r>
      <w:proofErr w:type="spellEnd"/>
      <w:r w:rsidR="0007678B">
        <w:t xml:space="preserve">α (und der vollendet wurde, die Gewänder anzuziehen). Das hebräische </w:t>
      </w:r>
      <w:r w:rsidR="0007678B">
        <w:rPr>
          <w:rtl/>
        </w:rPr>
        <w:t>לא יפרע</w:t>
      </w:r>
      <w:r w:rsidR="0007678B">
        <w:t xml:space="preserve"> (lo </w:t>
      </w:r>
      <w:proofErr w:type="spellStart"/>
      <w:r w:rsidR="0007678B">
        <w:t>yifra</w:t>
      </w:r>
      <w:proofErr w:type="spellEnd"/>
      <w:r w:rsidR="0007678B">
        <w:t xml:space="preserve">' - "soll nicht entblößen") wird als </w:t>
      </w:r>
      <w:proofErr w:type="spellStart"/>
      <w:r w:rsidR="0007678B">
        <w:t>οὐκ</w:t>
      </w:r>
      <w:proofErr w:type="spellEnd"/>
      <w:r w:rsidR="0007678B">
        <w:t xml:space="preserve"> ἀπ</w:t>
      </w:r>
      <w:proofErr w:type="spellStart"/>
      <w:r w:rsidR="0007678B">
        <w:t>οκιδ</w:t>
      </w:r>
      <w:proofErr w:type="spellEnd"/>
      <w:r w:rsidR="0007678B">
        <w:t>αρώσει (er soll nicht die Kopfbedeckung abnehmen) wiedergegeben.</w:t>
      </w:r>
    </w:p>
    <w:p w14:paraId="56A1349B"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Hohepriester-Sonderregeln: Hohepriester-Identifikation + doppelte Weihe + Trauerpraxis-Verbote.</w:t>
      </w:r>
    </w:p>
    <w:p w14:paraId="016BFDF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zeigt besondere Vorschriften für den durch Salbung und Weihe eingesetzten Hohepriester.</w:t>
      </w:r>
    </w:p>
    <w:p w14:paraId="26FBD164"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21,11</w:t>
      </w:r>
    </w:p>
    <w:p w14:paraId="259CB42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וְעַ֛ל כָּל־נַפְשֹׁ֥ת מֵ֖ת לֹ֣א יָבֹ֑א לְאָבִ֥יו וּלְאִמֹּ֖ו לֹ֥א יִטַּמָּֽא׃</w:t>
      </w:r>
    </w:p>
    <w:p w14:paraId="07B93FA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zu allen Leichen soll er nicht kommen; an seinem Vater und an seiner Mutter soll er sich nicht verunreinigen.</w:t>
      </w:r>
    </w:p>
    <w:p w14:paraId="68CC0AA6"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0999F547">
          <v:rect id="_x0000_i1635" style="width:0;height:1.5pt" o:hralign="center" o:hrstd="t" o:hr="t" fillcolor="#a0a0a0" stroked="f"/>
        </w:pict>
      </w:r>
    </w:p>
    <w:p w14:paraId="76C1791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ועל כל־נפשת מת לא יבא לאביו ולאמו לא יטמא</w:t>
      </w:r>
      <w:r w:rsidRPr="00A45F99">
        <w:rPr>
          <w:rFonts w:eastAsia="Times New Roman" w:cs="Times New Roman"/>
          <w:rtl/>
          <w:lang w:eastAsia="de-DE"/>
        </w:rPr>
        <w:t xml:space="preserve"> </w:t>
      </w:r>
      <w:r w:rsidRPr="00A45F99">
        <w:rPr>
          <w:rFonts w:eastAsia="Times New Roman" w:cs="Times New Roman"/>
          <w:lang w:eastAsia="de-DE"/>
        </w:rPr>
        <w:t xml:space="preserve">zeigt absolute Leichenverbote für den Hohepriester. </w:t>
      </w:r>
      <w:r w:rsidRPr="00A45F99">
        <w:rPr>
          <w:rFonts w:eastAsia="Times New Roman" w:cs="Times New Roman"/>
          <w:b/>
          <w:bCs/>
          <w:rtl/>
          <w:lang w:eastAsia="de-DE"/>
        </w:rPr>
        <w:t>ועל כל־נפשת מת לא יבא</w:t>
      </w:r>
      <w:r w:rsidRPr="00A45F99">
        <w:rPr>
          <w:rFonts w:eastAsia="Times New Roman" w:cs="Times New Roman"/>
          <w:rtl/>
          <w:lang w:eastAsia="de-DE"/>
        </w:rPr>
        <w:t xml:space="preserve"> </w:t>
      </w:r>
      <w:r w:rsidRPr="00A45F99">
        <w:rPr>
          <w:rFonts w:eastAsia="Times New Roman" w:cs="Times New Roman"/>
          <w:lang w:eastAsia="de-DE"/>
        </w:rPr>
        <w:t xml:space="preserve">(und zu allen Leichen soll er nicht kommen) - </w:t>
      </w:r>
      <w:r w:rsidRPr="00A45F99">
        <w:rPr>
          <w:rFonts w:eastAsia="Times New Roman" w:cs="Times New Roman"/>
          <w:b/>
          <w:bCs/>
          <w:rtl/>
          <w:lang w:eastAsia="de-DE"/>
        </w:rPr>
        <w:t>על כל־</w:t>
      </w:r>
      <w:r w:rsidRPr="00A45F99">
        <w:rPr>
          <w:rFonts w:eastAsia="Times New Roman" w:cs="Times New Roman"/>
          <w:b/>
          <w:bCs/>
          <w:rtl/>
          <w:lang w:eastAsia="de-DE"/>
        </w:rPr>
        <w:lastRenderedPageBreak/>
        <w:t>נפשת מת</w:t>
      </w:r>
      <w:r w:rsidRPr="00A45F99">
        <w:rPr>
          <w:rFonts w:eastAsia="Times New Roman" w:cs="Times New Roman"/>
          <w:rtl/>
          <w:lang w:eastAsia="de-DE"/>
        </w:rPr>
        <w:t xml:space="preserve"> </w:t>
      </w:r>
      <w:r w:rsidRPr="00A45F99">
        <w:rPr>
          <w:rFonts w:eastAsia="Times New Roman" w:cs="Times New Roman"/>
          <w:lang w:eastAsia="de-DE"/>
        </w:rPr>
        <w:t xml:space="preserve">(zu allen Leichen) mit </w:t>
      </w:r>
      <w:r w:rsidRPr="00A45F99">
        <w:rPr>
          <w:rFonts w:eastAsia="Times New Roman" w:cs="Times New Roman"/>
          <w:b/>
          <w:bCs/>
          <w:rtl/>
          <w:lang w:eastAsia="de-DE"/>
        </w:rPr>
        <w:t>כל</w:t>
      </w:r>
      <w:r w:rsidRPr="00A45F99">
        <w:rPr>
          <w:rFonts w:eastAsia="Times New Roman" w:cs="Times New Roman"/>
          <w:rtl/>
          <w:lang w:eastAsia="de-DE"/>
        </w:rPr>
        <w:t xml:space="preserve"> </w:t>
      </w:r>
      <w:r w:rsidRPr="00A45F99">
        <w:rPr>
          <w:rFonts w:eastAsia="Times New Roman" w:cs="Times New Roman"/>
          <w:lang w:eastAsia="de-DE"/>
        </w:rPr>
        <w:t xml:space="preserve">(allen) zeigt universelles Verbot ohne Ausnahmen. </w:t>
      </w:r>
      <w:r w:rsidRPr="00A45F99">
        <w:rPr>
          <w:rFonts w:eastAsia="Times New Roman" w:cs="Times New Roman"/>
          <w:b/>
          <w:bCs/>
          <w:rtl/>
          <w:lang w:eastAsia="de-DE"/>
        </w:rPr>
        <w:t>לא יבא</w:t>
      </w:r>
      <w:r w:rsidRPr="00A45F99">
        <w:rPr>
          <w:rFonts w:eastAsia="Times New Roman" w:cs="Times New Roman"/>
          <w:rtl/>
          <w:lang w:eastAsia="de-DE"/>
        </w:rPr>
        <w:t xml:space="preserve"> </w:t>
      </w:r>
      <w:r w:rsidRPr="00A45F99">
        <w:rPr>
          <w:rFonts w:eastAsia="Times New Roman" w:cs="Times New Roman"/>
          <w:lang w:eastAsia="de-DE"/>
        </w:rPr>
        <w:t>(soll er nicht kommen) im Qal-Imperfekt zeigt räumliche Annäherung.</w:t>
      </w:r>
    </w:p>
    <w:p w14:paraId="774FC717"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לאביו ולאמו לא יטמא</w:t>
      </w:r>
      <w:r w:rsidRPr="00A45F99">
        <w:rPr>
          <w:rFonts w:eastAsia="Times New Roman" w:cs="Times New Roman"/>
          <w:rtl/>
          <w:lang w:eastAsia="de-DE"/>
        </w:rPr>
        <w:t xml:space="preserve"> </w:t>
      </w:r>
      <w:r w:rsidRPr="00A45F99">
        <w:rPr>
          <w:rFonts w:eastAsia="Times New Roman" w:cs="Times New Roman"/>
          <w:lang w:eastAsia="de-DE"/>
        </w:rPr>
        <w:t xml:space="preserve">(an seinem Vater und an seiner Mutter soll er sich nicht verunreinigen) zeigt explizit, dass auch die in V. 2-3 für gewöhnliche Priester erlaubten Verwandten für den Hohepriester verboten sind. </w:t>
      </w:r>
      <w:r w:rsidRPr="00A45F99">
        <w:rPr>
          <w:rFonts w:eastAsia="Times New Roman" w:cs="Times New Roman"/>
          <w:b/>
          <w:bCs/>
          <w:rtl/>
          <w:lang w:eastAsia="de-DE"/>
        </w:rPr>
        <w:t>לאביו ולאמו</w:t>
      </w:r>
      <w:r w:rsidRPr="00A45F99">
        <w:rPr>
          <w:rFonts w:eastAsia="Times New Roman" w:cs="Times New Roman"/>
          <w:rtl/>
          <w:lang w:eastAsia="de-DE"/>
        </w:rPr>
        <w:t xml:space="preserve"> </w:t>
      </w:r>
      <w:r w:rsidRPr="00A45F99">
        <w:rPr>
          <w:rFonts w:eastAsia="Times New Roman" w:cs="Times New Roman"/>
          <w:lang w:eastAsia="de-DE"/>
        </w:rPr>
        <w:t>(an seinem Vater und seiner Mutter) als die nächsten Verwandten.</w:t>
      </w:r>
    </w:p>
    <w:p w14:paraId="4A95A5E1"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כל־נפשת מת</w:t>
      </w:r>
      <w:r w:rsidRPr="00A45F99">
        <w:rPr>
          <w:rFonts w:eastAsia="Times New Roman" w:cs="Times New Roman"/>
          <w:rtl/>
          <w:lang w:eastAsia="de-DE"/>
        </w:rPr>
        <w:t xml:space="preserve"> </w:t>
      </w:r>
      <w:r w:rsidRPr="00A45F99">
        <w:rPr>
          <w:rFonts w:eastAsia="Times New Roman" w:cs="Times New Roman"/>
          <w:lang w:eastAsia="de-DE"/>
        </w:rPr>
        <w:t xml:space="preserve">zeigt absolutes Leichenverbot ohne jede Ausnahme. </w:t>
      </w:r>
      <w:r w:rsidRPr="00A45F99">
        <w:rPr>
          <w:rFonts w:eastAsia="Times New Roman" w:cs="Times New Roman"/>
          <w:b/>
          <w:bCs/>
          <w:rtl/>
          <w:lang w:eastAsia="de-DE"/>
        </w:rPr>
        <w:t>לא יבא</w:t>
      </w:r>
      <w:r w:rsidRPr="00A45F99">
        <w:rPr>
          <w:rFonts w:eastAsia="Times New Roman" w:cs="Times New Roman"/>
          <w:rtl/>
          <w:lang w:eastAsia="de-DE"/>
        </w:rPr>
        <w:t xml:space="preserve"> </w:t>
      </w:r>
      <w:r w:rsidRPr="00A45F99">
        <w:rPr>
          <w:rFonts w:eastAsia="Times New Roman" w:cs="Times New Roman"/>
          <w:lang w:eastAsia="de-DE"/>
        </w:rPr>
        <w:t xml:space="preserve">zeigt sogar räumliche Annäherung als verboten. </w:t>
      </w:r>
      <w:r w:rsidRPr="00A45F99">
        <w:rPr>
          <w:rFonts w:eastAsia="Times New Roman" w:cs="Times New Roman"/>
          <w:b/>
          <w:bCs/>
          <w:rtl/>
          <w:lang w:eastAsia="de-DE"/>
        </w:rPr>
        <w:t>לאביו ולאמו לא יטמא</w:t>
      </w:r>
      <w:r w:rsidRPr="00A45F99">
        <w:rPr>
          <w:rFonts w:eastAsia="Times New Roman" w:cs="Times New Roman"/>
          <w:rtl/>
          <w:lang w:eastAsia="de-DE"/>
        </w:rPr>
        <w:t xml:space="preserve"> </w:t>
      </w:r>
      <w:r w:rsidRPr="00A45F99">
        <w:rPr>
          <w:rFonts w:eastAsia="Times New Roman" w:cs="Times New Roman"/>
          <w:lang w:eastAsia="de-DE"/>
        </w:rPr>
        <w:t>hebt explizit die Ausnahmen für gewöhnliche Priester auf.</w:t>
      </w:r>
    </w:p>
    <w:p w14:paraId="6A09919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על כל־נפשת מת</w:t>
      </w:r>
      <w:r w:rsidRPr="00A45F99">
        <w:rPr>
          <w:rFonts w:eastAsia="Times New Roman" w:cs="Times New Roman"/>
          <w:rtl/>
          <w:lang w:eastAsia="de-DE"/>
        </w:rPr>
        <w:t xml:space="preserve"> </w:t>
      </w:r>
      <w:r w:rsidRPr="00A45F99">
        <w:rPr>
          <w:rFonts w:eastAsia="Times New Roman" w:cs="Times New Roman"/>
          <w:lang w:eastAsia="de-DE"/>
        </w:rPr>
        <w:t>mit ἐπὶ π</w:t>
      </w:r>
      <w:proofErr w:type="spellStart"/>
      <w:r w:rsidRPr="00A45F99">
        <w:rPr>
          <w:rFonts w:eastAsia="Times New Roman" w:cs="Times New Roman"/>
          <w:lang w:eastAsia="de-DE"/>
        </w:rPr>
        <w:t>άσῃ</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ψυχῇ</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τετελευτηκυίᾳ</w:t>
      </w:r>
      <w:proofErr w:type="spellEnd"/>
      <w:r w:rsidRPr="00A45F99">
        <w:rPr>
          <w:rFonts w:eastAsia="Times New Roman" w:cs="Times New Roman"/>
          <w:lang w:eastAsia="de-DE"/>
        </w:rPr>
        <w:t xml:space="preserve"> (zu jeder verstorbenen Seele), </w:t>
      </w:r>
      <w:r w:rsidRPr="00A45F99">
        <w:rPr>
          <w:rFonts w:eastAsia="Times New Roman" w:cs="Times New Roman"/>
          <w:b/>
          <w:bCs/>
          <w:rtl/>
          <w:lang w:eastAsia="de-DE"/>
        </w:rPr>
        <w:t>לא יבא</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οὐκ</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εἰσελεύσετ</w:t>
      </w:r>
      <w:proofErr w:type="spellEnd"/>
      <w:r w:rsidRPr="00A45F99">
        <w:rPr>
          <w:rFonts w:eastAsia="Times New Roman" w:cs="Times New Roman"/>
          <w:lang w:eastAsia="de-DE"/>
        </w:rPr>
        <w:t xml:space="preserve">αι (wird nicht eintreten) und </w:t>
      </w:r>
      <w:r w:rsidRPr="00A45F99">
        <w:rPr>
          <w:rFonts w:eastAsia="Times New Roman" w:cs="Times New Roman"/>
          <w:b/>
          <w:bCs/>
          <w:rtl/>
          <w:lang w:eastAsia="de-DE"/>
        </w:rPr>
        <w:t>לא יטמא</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οὐ</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μι</w:t>
      </w:r>
      <w:proofErr w:type="spellEnd"/>
      <w:r w:rsidRPr="00A45F99">
        <w:rPr>
          <w:rFonts w:eastAsia="Times New Roman" w:cs="Times New Roman"/>
          <w:lang w:eastAsia="de-DE"/>
        </w:rPr>
        <w:t>ανθήσεται (wird sich nicht verunreinigen).</w:t>
      </w:r>
    </w:p>
    <w:p w14:paraId="0C221F9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Hohepriester-Leichenverbot: universelles Leichenverbot + explizite Eltern-Einbeziehung.</w:t>
      </w:r>
    </w:p>
    <w:p w14:paraId="1422113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zeigt das absolute Leichenverbot für den Hohepriester ohne jede Ausnahme, auch nicht für die nächsten Verwandten.</w:t>
      </w:r>
    </w:p>
    <w:p w14:paraId="79FB110A"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21,12</w:t>
      </w:r>
    </w:p>
    <w:p w14:paraId="2FC9B75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וּמִן־הַמִּקְדָּשׁ֙ לֹ֣א יֵצֵ֔א וְלֹ֣א יְחַלֵּ֔ל אֵ֖ת מִקְדַּ֣שׁ אֱלֹהָ֑יו כִּ֡י נֵ֠זֶר שֶׁ֣מֶן מִשְׁחַ֧ת אֱלֹהָ֛יו עָלָ֖יו אֲנִ֥י יְהוָֽה׃</w:t>
      </w:r>
    </w:p>
    <w:p w14:paraId="688ACD6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aus dem Heiligtum soll er nicht hinausgehen und soll nicht entweihen das Heiligtum seines Gottes; denn die Weihe des Salböls seines Gottes ist auf ihm. Ich bin der Ewige.</w:t>
      </w:r>
    </w:p>
    <w:p w14:paraId="2FF60776"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7263515F">
          <v:rect id="_x0000_i1636" style="width:0;height:1.5pt" o:hralign="center" o:hrstd="t" o:hr="t" fillcolor="#a0a0a0" stroked="f"/>
        </w:pict>
      </w:r>
    </w:p>
    <w:p w14:paraId="0C89121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ומן־המקדש לא יצא ולא יחלל את מקדש אלהיו כי נזר שמן משחת אלהיו עליו אני יהוה</w:t>
      </w:r>
      <w:r w:rsidRPr="00A45F99">
        <w:rPr>
          <w:rFonts w:eastAsia="Times New Roman" w:cs="Times New Roman"/>
          <w:rtl/>
          <w:lang w:eastAsia="de-DE"/>
        </w:rPr>
        <w:t xml:space="preserve"> </w:t>
      </w:r>
      <w:r w:rsidRPr="00A45F99">
        <w:rPr>
          <w:rFonts w:eastAsia="Times New Roman" w:cs="Times New Roman"/>
          <w:lang w:eastAsia="de-DE"/>
        </w:rPr>
        <w:t xml:space="preserve">zeigt die Heiligtumsbindung des Hohepriesters. </w:t>
      </w:r>
      <w:r w:rsidRPr="00A45F99">
        <w:rPr>
          <w:rFonts w:eastAsia="Times New Roman" w:cs="Times New Roman"/>
          <w:b/>
          <w:bCs/>
          <w:rtl/>
          <w:lang w:eastAsia="de-DE"/>
        </w:rPr>
        <w:t>ומן־המקדש לא יצא</w:t>
      </w:r>
      <w:r w:rsidRPr="00A45F99">
        <w:rPr>
          <w:rFonts w:eastAsia="Times New Roman" w:cs="Times New Roman"/>
          <w:rtl/>
          <w:lang w:eastAsia="de-DE"/>
        </w:rPr>
        <w:t xml:space="preserve"> </w:t>
      </w:r>
      <w:r w:rsidRPr="00A45F99">
        <w:rPr>
          <w:rFonts w:eastAsia="Times New Roman" w:cs="Times New Roman"/>
          <w:lang w:eastAsia="de-DE"/>
        </w:rPr>
        <w:t xml:space="preserve">(und aus dem Heiligtum soll er nicht hinausgehen) - </w:t>
      </w:r>
      <w:r w:rsidRPr="00A45F99">
        <w:rPr>
          <w:rFonts w:eastAsia="Times New Roman" w:cs="Times New Roman"/>
          <w:b/>
          <w:bCs/>
          <w:rtl/>
          <w:lang w:eastAsia="de-DE"/>
        </w:rPr>
        <w:t>מן־המקדש</w:t>
      </w:r>
      <w:r w:rsidRPr="00A45F99">
        <w:rPr>
          <w:rFonts w:eastAsia="Times New Roman" w:cs="Times New Roman"/>
          <w:rtl/>
          <w:lang w:eastAsia="de-DE"/>
        </w:rPr>
        <w:t xml:space="preserve"> </w:t>
      </w:r>
      <w:r w:rsidRPr="00A45F99">
        <w:rPr>
          <w:rFonts w:eastAsia="Times New Roman" w:cs="Times New Roman"/>
          <w:lang w:eastAsia="de-DE"/>
        </w:rPr>
        <w:t xml:space="preserve">(aus dem Heiligtum) zeigt den heiligen Bereich. </w:t>
      </w:r>
      <w:r w:rsidRPr="00A45F99">
        <w:rPr>
          <w:rFonts w:eastAsia="Times New Roman" w:cs="Times New Roman"/>
          <w:b/>
          <w:bCs/>
          <w:rtl/>
          <w:lang w:eastAsia="de-DE"/>
        </w:rPr>
        <w:t>לא יצא</w:t>
      </w:r>
      <w:r w:rsidRPr="00A45F99">
        <w:rPr>
          <w:rFonts w:eastAsia="Times New Roman" w:cs="Times New Roman"/>
          <w:rtl/>
          <w:lang w:eastAsia="de-DE"/>
        </w:rPr>
        <w:t xml:space="preserve"> </w:t>
      </w:r>
      <w:r w:rsidRPr="00A45F99">
        <w:rPr>
          <w:rFonts w:eastAsia="Times New Roman" w:cs="Times New Roman"/>
          <w:lang w:eastAsia="de-DE"/>
        </w:rPr>
        <w:t>(soll er nicht hinausgehen) im Qal-Imperfekt kann dauerhaftes Verlassen oder Verlassen für Leichenverunreinigung meinen.</w:t>
      </w:r>
    </w:p>
    <w:p w14:paraId="01869B4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ולא יחלל את מקדש אלהיו</w:t>
      </w:r>
      <w:r w:rsidRPr="00A45F99">
        <w:rPr>
          <w:rFonts w:eastAsia="Times New Roman" w:cs="Times New Roman"/>
          <w:rtl/>
          <w:lang w:eastAsia="de-DE"/>
        </w:rPr>
        <w:t xml:space="preserve"> </w:t>
      </w:r>
      <w:r w:rsidRPr="00A45F99">
        <w:rPr>
          <w:rFonts w:eastAsia="Times New Roman" w:cs="Times New Roman"/>
          <w:lang w:eastAsia="de-DE"/>
        </w:rPr>
        <w:t xml:space="preserve">(und soll nicht entweihen das Heiligtum seines Gottes) - </w:t>
      </w:r>
      <w:r w:rsidRPr="00A45F99">
        <w:rPr>
          <w:rFonts w:eastAsia="Times New Roman" w:cs="Times New Roman"/>
          <w:b/>
          <w:bCs/>
          <w:rtl/>
          <w:lang w:eastAsia="de-DE"/>
        </w:rPr>
        <w:t>לא יחלל</w:t>
      </w:r>
      <w:r w:rsidRPr="00A45F99">
        <w:rPr>
          <w:rFonts w:eastAsia="Times New Roman" w:cs="Times New Roman"/>
          <w:rtl/>
          <w:lang w:eastAsia="de-DE"/>
        </w:rPr>
        <w:t xml:space="preserve"> </w:t>
      </w:r>
      <w:r w:rsidRPr="00A45F99">
        <w:rPr>
          <w:rFonts w:eastAsia="Times New Roman" w:cs="Times New Roman"/>
          <w:lang w:eastAsia="de-DE"/>
        </w:rPr>
        <w:t xml:space="preserve">(soll nicht entweihen) im Piel-Imperfekt, das Piel zeigt intensive Entweihung. </w:t>
      </w:r>
      <w:r w:rsidRPr="00A45F99">
        <w:rPr>
          <w:rFonts w:eastAsia="Times New Roman" w:cs="Times New Roman"/>
          <w:b/>
          <w:bCs/>
          <w:rtl/>
          <w:lang w:eastAsia="de-DE"/>
        </w:rPr>
        <w:t>את מקדש אלהיו</w:t>
      </w:r>
      <w:r w:rsidRPr="00A45F99">
        <w:rPr>
          <w:rFonts w:eastAsia="Times New Roman" w:cs="Times New Roman"/>
          <w:rtl/>
          <w:lang w:eastAsia="de-DE"/>
        </w:rPr>
        <w:t xml:space="preserve"> </w:t>
      </w:r>
      <w:r w:rsidRPr="00A45F99">
        <w:rPr>
          <w:rFonts w:eastAsia="Times New Roman" w:cs="Times New Roman"/>
          <w:lang w:eastAsia="de-DE"/>
        </w:rPr>
        <w:t>(das Heiligtum seines Gottes) zeigt, dass sein Hinausgehen zur Heiligtumsentweihung führt.</w:t>
      </w:r>
    </w:p>
    <w:p w14:paraId="23FF8D6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 נזר שמן משחת אלהיו עליו</w:t>
      </w:r>
      <w:r w:rsidRPr="00A45F99">
        <w:rPr>
          <w:rFonts w:eastAsia="Times New Roman" w:cs="Times New Roman"/>
          <w:rtl/>
          <w:lang w:eastAsia="de-DE"/>
        </w:rPr>
        <w:t xml:space="preserve"> </w:t>
      </w:r>
      <w:r w:rsidRPr="00A45F99">
        <w:rPr>
          <w:rFonts w:eastAsia="Times New Roman" w:cs="Times New Roman"/>
          <w:lang w:eastAsia="de-DE"/>
        </w:rPr>
        <w:t xml:space="preserve">(denn die Weihe des Salböls seines Gottes ist auf ihm) - </w:t>
      </w:r>
      <w:r w:rsidRPr="00A45F99">
        <w:rPr>
          <w:rFonts w:eastAsia="Times New Roman" w:cs="Times New Roman"/>
          <w:b/>
          <w:bCs/>
          <w:rtl/>
          <w:lang w:eastAsia="de-DE"/>
        </w:rPr>
        <w:t>נזר</w:t>
      </w:r>
      <w:r w:rsidRPr="00A45F99">
        <w:rPr>
          <w:rFonts w:eastAsia="Times New Roman" w:cs="Times New Roman"/>
          <w:rtl/>
          <w:lang w:eastAsia="de-DE"/>
        </w:rPr>
        <w:t xml:space="preserve"> </w:t>
      </w:r>
      <w:r w:rsidRPr="00A45F99">
        <w:rPr>
          <w:rFonts w:eastAsia="Times New Roman" w:cs="Times New Roman"/>
          <w:lang w:eastAsia="de-DE"/>
        </w:rPr>
        <w:t xml:space="preserve">(Weihe) entspricht der Nasiräer-Weihe und zeigt besondere Heiligung. </w:t>
      </w:r>
      <w:r w:rsidRPr="00A45F99">
        <w:rPr>
          <w:rFonts w:eastAsia="Times New Roman" w:cs="Times New Roman"/>
          <w:b/>
          <w:bCs/>
          <w:rtl/>
          <w:lang w:eastAsia="de-DE"/>
        </w:rPr>
        <w:t>שמן משחת אלהיו</w:t>
      </w:r>
      <w:r w:rsidRPr="00A45F99">
        <w:rPr>
          <w:rFonts w:eastAsia="Times New Roman" w:cs="Times New Roman"/>
          <w:rtl/>
          <w:lang w:eastAsia="de-DE"/>
        </w:rPr>
        <w:t xml:space="preserve"> </w:t>
      </w:r>
      <w:r w:rsidRPr="00A45F99">
        <w:rPr>
          <w:rFonts w:eastAsia="Times New Roman" w:cs="Times New Roman"/>
          <w:lang w:eastAsia="de-DE"/>
        </w:rPr>
        <w:t xml:space="preserve">(Salböl seines Gottes) aus V. 10. </w:t>
      </w:r>
      <w:r w:rsidRPr="00A45F99">
        <w:rPr>
          <w:rFonts w:eastAsia="Times New Roman" w:cs="Times New Roman"/>
          <w:b/>
          <w:bCs/>
          <w:rtl/>
          <w:lang w:eastAsia="de-DE"/>
        </w:rPr>
        <w:t>עליו</w:t>
      </w:r>
      <w:r w:rsidRPr="00A45F99">
        <w:rPr>
          <w:rFonts w:eastAsia="Times New Roman" w:cs="Times New Roman"/>
          <w:rtl/>
          <w:lang w:eastAsia="de-DE"/>
        </w:rPr>
        <w:t xml:space="preserve"> </w:t>
      </w:r>
      <w:r w:rsidRPr="00A45F99">
        <w:rPr>
          <w:rFonts w:eastAsia="Times New Roman" w:cs="Times New Roman"/>
          <w:lang w:eastAsia="de-DE"/>
        </w:rPr>
        <w:t>(auf ihm) zeigt dauerhafte Salbungswirkung.</w:t>
      </w:r>
    </w:p>
    <w:p w14:paraId="1DE021A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אני יהוה</w:t>
      </w:r>
      <w:r w:rsidRPr="00A45F99">
        <w:rPr>
          <w:rFonts w:eastAsia="Times New Roman" w:cs="Times New Roman"/>
          <w:rtl/>
          <w:lang w:eastAsia="de-DE"/>
        </w:rPr>
        <w:t xml:space="preserve"> </w:t>
      </w:r>
      <w:r w:rsidRPr="00A45F99">
        <w:rPr>
          <w:rFonts w:eastAsia="Times New Roman" w:cs="Times New Roman"/>
          <w:lang w:eastAsia="de-DE"/>
        </w:rPr>
        <w:t>(ich bin der Ewige) als Autoritätsformel.</w:t>
      </w:r>
    </w:p>
    <w:p w14:paraId="3A78C1D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lastRenderedPageBreak/>
        <w:t>מן־המקדש לא יצא</w:t>
      </w:r>
      <w:r w:rsidRPr="00A45F99">
        <w:rPr>
          <w:rFonts w:eastAsia="Times New Roman" w:cs="Times New Roman"/>
          <w:rtl/>
          <w:lang w:eastAsia="de-DE"/>
        </w:rPr>
        <w:t xml:space="preserve"> </w:t>
      </w:r>
      <w:r w:rsidRPr="00A45F99">
        <w:rPr>
          <w:rFonts w:eastAsia="Times New Roman" w:cs="Times New Roman"/>
          <w:lang w:eastAsia="de-DE"/>
        </w:rPr>
        <w:t xml:space="preserve">zeigt Heiligtumsbindung. </w:t>
      </w:r>
      <w:r w:rsidRPr="00A45F99">
        <w:rPr>
          <w:rFonts w:eastAsia="Times New Roman" w:cs="Times New Roman"/>
          <w:b/>
          <w:bCs/>
          <w:rtl/>
          <w:lang w:eastAsia="de-DE"/>
        </w:rPr>
        <w:t>לא יחלל את מקדש אלהיו</w:t>
      </w:r>
      <w:r w:rsidRPr="00A45F99">
        <w:rPr>
          <w:rFonts w:eastAsia="Times New Roman" w:cs="Times New Roman"/>
          <w:rtl/>
          <w:lang w:eastAsia="de-DE"/>
        </w:rPr>
        <w:t xml:space="preserve"> </w:t>
      </w:r>
      <w:r w:rsidRPr="00A45F99">
        <w:rPr>
          <w:rFonts w:eastAsia="Times New Roman" w:cs="Times New Roman"/>
          <w:lang w:eastAsia="de-DE"/>
        </w:rPr>
        <w:t xml:space="preserve">zeigt, dass hohepriesterliches Verlassen zur Heiligtumsentweihung führt. </w:t>
      </w:r>
      <w:r w:rsidRPr="00A45F99">
        <w:rPr>
          <w:rFonts w:eastAsia="Times New Roman" w:cs="Times New Roman"/>
          <w:b/>
          <w:bCs/>
          <w:rtl/>
          <w:lang w:eastAsia="de-DE"/>
        </w:rPr>
        <w:t>נזר שמן משחת</w:t>
      </w:r>
      <w:r w:rsidRPr="00A45F99">
        <w:rPr>
          <w:rFonts w:eastAsia="Times New Roman" w:cs="Times New Roman"/>
          <w:rtl/>
          <w:lang w:eastAsia="de-DE"/>
        </w:rPr>
        <w:t xml:space="preserve"> </w:t>
      </w:r>
      <w:r w:rsidRPr="00A45F99">
        <w:rPr>
          <w:rFonts w:eastAsia="Times New Roman" w:cs="Times New Roman"/>
          <w:lang w:eastAsia="de-DE"/>
        </w:rPr>
        <w:t xml:space="preserve">zeigt die Salbung als </w:t>
      </w:r>
      <w:r w:rsidRPr="00A45F99">
        <w:rPr>
          <w:rFonts w:eastAsia="Times New Roman" w:cs="Times New Roman"/>
          <w:b/>
          <w:bCs/>
          <w:rtl/>
          <w:lang w:eastAsia="de-DE"/>
        </w:rPr>
        <w:t>נזר</w:t>
      </w:r>
      <w:r w:rsidRPr="00A45F99">
        <w:rPr>
          <w:rFonts w:eastAsia="Times New Roman" w:cs="Times New Roman"/>
          <w:lang w:eastAsia="de-DE"/>
        </w:rPr>
        <w:t>-Weihe.</w:t>
      </w:r>
    </w:p>
    <w:p w14:paraId="45B19BC7" w14:textId="5BE0191C"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w:t>
      </w:r>
      <w:r w:rsidR="0007678B">
        <w:t xml:space="preserve">übersetzt </w:t>
      </w:r>
      <w:r w:rsidR="0007678B">
        <w:rPr>
          <w:rtl/>
        </w:rPr>
        <w:t>נזר שמן משחת אלהיו</w:t>
      </w:r>
      <w:r w:rsidR="0007678B">
        <w:t xml:space="preserve"> (</w:t>
      </w:r>
      <w:proofErr w:type="spellStart"/>
      <w:r w:rsidR="0007678B">
        <w:t>nezer</w:t>
      </w:r>
      <w:proofErr w:type="spellEnd"/>
      <w:r w:rsidR="0007678B">
        <w:t xml:space="preserve"> </w:t>
      </w:r>
      <w:proofErr w:type="spellStart"/>
      <w:r w:rsidR="0007678B">
        <w:t>shemen</w:t>
      </w:r>
      <w:proofErr w:type="spellEnd"/>
      <w:r w:rsidR="0007678B">
        <w:t xml:space="preserve"> </w:t>
      </w:r>
      <w:proofErr w:type="spellStart"/>
      <w:r w:rsidR="0007678B">
        <w:t>mishchat</w:t>
      </w:r>
      <w:proofErr w:type="spellEnd"/>
      <w:r w:rsidR="0007678B">
        <w:t xml:space="preserve"> </w:t>
      </w:r>
      <w:proofErr w:type="spellStart"/>
      <w:r w:rsidR="0007678B">
        <w:t>elohav</w:t>
      </w:r>
      <w:proofErr w:type="spellEnd"/>
      <w:r w:rsidR="0007678B">
        <w:t xml:space="preserve"> - "Diadem des Salböls seines Gottes") als </w:t>
      </w:r>
      <w:proofErr w:type="spellStart"/>
      <w:r w:rsidR="0007678B">
        <w:t>τὸ</w:t>
      </w:r>
      <w:proofErr w:type="spellEnd"/>
      <w:r w:rsidR="0007678B">
        <w:t xml:space="preserve"> </w:t>
      </w:r>
      <w:proofErr w:type="spellStart"/>
      <w:r w:rsidR="0007678B">
        <w:t>ἅγιον</w:t>
      </w:r>
      <w:proofErr w:type="spellEnd"/>
      <w:r w:rsidR="0007678B">
        <w:t xml:space="preserve"> </w:t>
      </w:r>
      <w:proofErr w:type="spellStart"/>
      <w:r w:rsidR="0007678B">
        <w:t>ἔλ</w:t>
      </w:r>
      <w:proofErr w:type="spellEnd"/>
      <w:r w:rsidR="0007678B">
        <w:t xml:space="preserve">αιον </w:t>
      </w:r>
      <w:proofErr w:type="spellStart"/>
      <w:r w:rsidR="0007678B">
        <w:t>τὸ</w:t>
      </w:r>
      <w:proofErr w:type="spellEnd"/>
      <w:r w:rsidR="0007678B">
        <w:t xml:space="preserve"> </w:t>
      </w:r>
      <w:proofErr w:type="spellStart"/>
      <w:r w:rsidR="0007678B">
        <w:t>χριστὸν</w:t>
      </w:r>
      <w:proofErr w:type="spellEnd"/>
      <w:r w:rsidR="0007678B">
        <w:t xml:space="preserve"> </w:t>
      </w:r>
      <w:proofErr w:type="spellStart"/>
      <w:r w:rsidR="0007678B">
        <w:t>τοῦ</w:t>
      </w:r>
      <w:proofErr w:type="spellEnd"/>
      <w:r w:rsidR="0007678B">
        <w:t xml:space="preserve"> </w:t>
      </w:r>
      <w:proofErr w:type="spellStart"/>
      <w:r w:rsidR="0007678B">
        <w:t>θεοῦ</w:t>
      </w:r>
      <w:proofErr w:type="spellEnd"/>
      <w:r w:rsidR="0007678B">
        <w:t xml:space="preserve"> (das heilige Öl, das Gesalbte Gottes).</w:t>
      </w:r>
    </w:p>
    <w:p w14:paraId="49B1FFB4"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Hohepriester-Heiligtumsbindung: Heiligtumsverlassensverbot + Entweihungsverhinderung + </w:t>
      </w:r>
      <w:r w:rsidRPr="00A45F99">
        <w:rPr>
          <w:rFonts w:eastAsia="Times New Roman" w:cs="Times New Roman"/>
          <w:b/>
          <w:bCs/>
          <w:rtl/>
          <w:lang w:eastAsia="de-DE"/>
        </w:rPr>
        <w:t>נזר</w:t>
      </w:r>
      <w:r w:rsidRPr="00A45F99">
        <w:rPr>
          <w:rFonts w:eastAsia="Times New Roman" w:cs="Times New Roman"/>
          <w:lang w:eastAsia="de-DE"/>
        </w:rPr>
        <w:t>-Salbungsbegründung + göttliche Autorität.</w:t>
      </w:r>
    </w:p>
    <w:p w14:paraId="4CAB712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 xml:space="preserve">Dieser Vers zeigt die dauerhafte Heiligtumsbindung des Hohepriesters durch seine </w:t>
      </w:r>
      <w:r w:rsidRPr="00A45F99">
        <w:rPr>
          <w:rFonts w:eastAsia="Times New Roman" w:cs="Times New Roman"/>
          <w:b/>
          <w:bCs/>
          <w:rtl/>
          <w:lang w:eastAsia="de-DE"/>
        </w:rPr>
        <w:t>נזר</w:t>
      </w:r>
      <w:r w:rsidRPr="00A45F99">
        <w:rPr>
          <w:rFonts w:eastAsia="Times New Roman" w:cs="Times New Roman"/>
          <w:lang w:eastAsia="de-DE"/>
        </w:rPr>
        <w:t>-Salbung.</w:t>
      </w:r>
    </w:p>
    <w:p w14:paraId="68200FE6"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21,13</w:t>
      </w:r>
    </w:p>
    <w:p w14:paraId="310ECFA2"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וְה֕וּא אִשָּׁ֥ה בִבְתוּלֶ֖יהָ יִקָּֽח׃</w:t>
      </w:r>
    </w:p>
    <w:p w14:paraId="204054F7"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er soll eine Frau in ihrer Jungfräulichkeit nehmen.</w:t>
      </w:r>
    </w:p>
    <w:p w14:paraId="5F085CC6"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6735ACA2">
          <v:rect id="_x0000_i1637" style="width:0;height:1.5pt" o:hralign="center" o:hrstd="t" o:hr="t" fillcolor="#a0a0a0" stroked="f"/>
        </w:pict>
      </w:r>
    </w:p>
    <w:p w14:paraId="5EDBF7FC"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והוא אשה בבתוליה יקח</w:t>
      </w:r>
      <w:r w:rsidRPr="00A45F99">
        <w:rPr>
          <w:rFonts w:eastAsia="Times New Roman" w:cs="Times New Roman"/>
          <w:rtl/>
          <w:lang w:eastAsia="de-DE"/>
        </w:rPr>
        <w:t xml:space="preserve"> </w:t>
      </w:r>
      <w:r w:rsidRPr="00A45F99">
        <w:rPr>
          <w:rFonts w:eastAsia="Times New Roman" w:cs="Times New Roman"/>
          <w:lang w:eastAsia="de-DE"/>
        </w:rPr>
        <w:t xml:space="preserve">zeigt die Ehevorschrift für den Hohepriester. </w:t>
      </w:r>
      <w:r w:rsidRPr="00A45F99">
        <w:rPr>
          <w:rFonts w:eastAsia="Times New Roman" w:cs="Times New Roman"/>
          <w:b/>
          <w:bCs/>
          <w:rtl/>
          <w:lang w:eastAsia="de-DE"/>
        </w:rPr>
        <w:t>והוא</w:t>
      </w:r>
      <w:r w:rsidRPr="00A45F99">
        <w:rPr>
          <w:rFonts w:eastAsia="Times New Roman" w:cs="Times New Roman"/>
          <w:rtl/>
          <w:lang w:eastAsia="de-DE"/>
        </w:rPr>
        <w:t xml:space="preserve"> </w:t>
      </w:r>
      <w:r w:rsidRPr="00A45F99">
        <w:rPr>
          <w:rFonts w:eastAsia="Times New Roman" w:cs="Times New Roman"/>
          <w:lang w:eastAsia="de-DE"/>
        </w:rPr>
        <w:t xml:space="preserve">(und er) mit Betonung zeigt den Hohepriester im Gegensatz zu gewöhnlichen Priestern. </w:t>
      </w:r>
      <w:r w:rsidRPr="00A45F99">
        <w:rPr>
          <w:rFonts w:eastAsia="Times New Roman" w:cs="Times New Roman"/>
          <w:b/>
          <w:bCs/>
          <w:rtl/>
          <w:lang w:eastAsia="de-DE"/>
        </w:rPr>
        <w:t>אשה בבתוליה יקח</w:t>
      </w:r>
      <w:r w:rsidRPr="00A45F99">
        <w:rPr>
          <w:rFonts w:eastAsia="Times New Roman" w:cs="Times New Roman"/>
          <w:rtl/>
          <w:lang w:eastAsia="de-DE"/>
        </w:rPr>
        <w:t xml:space="preserve"> </w:t>
      </w:r>
      <w:r w:rsidRPr="00A45F99">
        <w:rPr>
          <w:rFonts w:eastAsia="Times New Roman" w:cs="Times New Roman"/>
          <w:lang w:eastAsia="de-DE"/>
        </w:rPr>
        <w:t xml:space="preserve">(eine Frau in ihrer Jungfräulichkeit soll er nehmen) - </w:t>
      </w:r>
      <w:r w:rsidRPr="00A45F99">
        <w:rPr>
          <w:rFonts w:eastAsia="Times New Roman" w:cs="Times New Roman"/>
          <w:b/>
          <w:bCs/>
          <w:rtl/>
          <w:lang w:eastAsia="de-DE"/>
        </w:rPr>
        <w:t>בבתוליה</w:t>
      </w:r>
      <w:r w:rsidRPr="00A45F99">
        <w:rPr>
          <w:rFonts w:eastAsia="Times New Roman" w:cs="Times New Roman"/>
          <w:rtl/>
          <w:lang w:eastAsia="de-DE"/>
        </w:rPr>
        <w:t xml:space="preserve"> </w:t>
      </w:r>
      <w:r w:rsidRPr="00A45F99">
        <w:rPr>
          <w:rFonts w:eastAsia="Times New Roman" w:cs="Times New Roman"/>
          <w:lang w:eastAsia="de-DE"/>
        </w:rPr>
        <w:t xml:space="preserve">(in ihrer Jungfräulichkeit) zeigt den geforderten Zustand der Braut. </w:t>
      </w:r>
      <w:r w:rsidRPr="00A45F99">
        <w:rPr>
          <w:rFonts w:eastAsia="Times New Roman" w:cs="Times New Roman"/>
          <w:b/>
          <w:bCs/>
          <w:rtl/>
          <w:lang w:eastAsia="de-DE"/>
        </w:rPr>
        <w:t>יקח</w:t>
      </w:r>
      <w:r w:rsidRPr="00A45F99">
        <w:rPr>
          <w:rFonts w:eastAsia="Times New Roman" w:cs="Times New Roman"/>
          <w:rtl/>
          <w:lang w:eastAsia="de-DE"/>
        </w:rPr>
        <w:t xml:space="preserve"> </w:t>
      </w:r>
      <w:r w:rsidRPr="00A45F99">
        <w:rPr>
          <w:rFonts w:eastAsia="Times New Roman" w:cs="Times New Roman"/>
          <w:lang w:eastAsia="de-DE"/>
        </w:rPr>
        <w:t>(soll er nehmen) im Qal-Imperfekt zeigt Heiratsgebot.</w:t>
      </w:r>
    </w:p>
    <w:p w14:paraId="37C57981"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והוא</w:t>
      </w:r>
      <w:r w:rsidRPr="00A45F99">
        <w:rPr>
          <w:rFonts w:eastAsia="Times New Roman" w:cs="Times New Roman"/>
          <w:rtl/>
          <w:lang w:eastAsia="de-DE"/>
        </w:rPr>
        <w:t xml:space="preserve"> </w:t>
      </w:r>
      <w:r w:rsidRPr="00A45F99">
        <w:rPr>
          <w:rFonts w:eastAsia="Times New Roman" w:cs="Times New Roman"/>
          <w:lang w:eastAsia="de-DE"/>
        </w:rPr>
        <w:t xml:space="preserve">betont die spezielle Regelung für den Hohepriester. </w:t>
      </w:r>
      <w:r w:rsidRPr="00A45F99">
        <w:rPr>
          <w:rFonts w:eastAsia="Times New Roman" w:cs="Times New Roman"/>
          <w:b/>
          <w:bCs/>
          <w:rtl/>
          <w:lang w:eastAsia="de-DE"/>
        </w:rPr>
        <w:t>בבתוליה</w:t>
      </w:r>
      <w:r w:rsidRPr="00A45F99">
        <w:rPr>
          <w:rFonts w:eastAsia="Times New Roman" w:cs="Times New Roman"/>
          <w:rtl/>
          <w:lang w:eastAsia="de-DE"/>
        </w:rPr>
        <w:t xml:space="preserve"> </w:t>
      </w:r>
      <w:r w:rsidRPr="00A45F99">
        <w:rPr>
          <w:rFonts w:eastAsia="Times New Roman" w:cs="Times New Roman"/>
          <w:lang w:eastAsia="de-DE"/>
        </w:rPr>
        <w:t xml:space="preserve">zeigt Jungfräulichkeit als Voraussetzung. </w:t>
      </w:r>
      <w:r w:rsidRPr="00A45F99">
        <w:rPr>
          <w:rFonts w:eastAsia="Times New Roman" w:cs="Times New Roman"/>
          <w:b/>
          <w:bCs/>
          <w:rtl/>
          <w:lang w:eastAsia="de-DE"/>
        </w:rPr>
        <w:t>יקח</w:t>
      </w:r>
      <w:r w:rsidRPr="00A45F99">
        <w:rPr>
          <w:rFonts w:eastAsia="Times New Roman" w:cs="Times New Roman"/>
          <w:rtl/>
          <w:lang w:eastAsia="de-DE"/>
        </w:rPr>
        <w:t xml:space="preserve"> </w:t>
      </w:r>
      <w:r w:rsidRPr="00A45F99">
        <w:rPr>
          <w:rFonts w:eastAsia="Times New Roman" w:cs="Times New Roman"/>
          <w:lang w:eastAsia="de-DE"/>
        </w:rPr>
        <w:t>zeigt positive Vorschrift im Gegensatz zu den Verboten in V. 7.</w:t>
      </w:r>
    </w:p>
    <w:p w14:paraId="2DD3267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והוא</w:t>
      </w:r>
      <w:r w:rsidRPr="00A45F99">
        <w:rPr>
          <w:rFonts w:eastAsia="Times New Roman" w:cs="Times New Roman"/>
          <w:rtl/>
          <w:lang w:eastAsia="de-DE"/>
        </w:rPr>
        <w:t xml:space="preserve"> </w:t>
      </w:r>
      <w:r w:rsidRPr="00A45F99">
        <w:rPr>
          <w:rFonts w:eastAsia="Times New Roman" w:cs="Times New Roman"/>
          <w:lang w:eastAsia="de-DE"/>
        </w:rPr>
        <w:t xml:space="preserve">mit καὶ </w:t>
      </w:r>
      <w:proofErr w:type="spellStart"/>
      <w:r w:rsidRPr="00A45F99">
        <w:rPr>
          <w:rFonts w:eastAsia="Times New Roman" w:cs="Times New Roman"/>
          <w:lang w:eastAsia="de-DE"/>
        </w:rPr>
        <w:t>οὗτος</w:t>
      </w:r>
      <w:proofErr w:type="spellEnd"/>
      <w:r w:rsidRPr="00A45F99">
        <w:rPr>
          <w:rFonts w:eastAsia="Times New Roman" w:cs="Times New Roman"/>
          <w:lang w:eastAsia="de-DE"/>
        </w:rPr>
        <w:t xml:space="preserve"> (und dieser), </w:t>
      </w:r>
      <w:r w:rsidRPr="00A45F99">
        <w:rPr>
          <w:rFonts w:eastAsia="Times New Roman" w:cs="Times New Roman"/>
          <w:b/>
          <w:bCs/>
          <w:rtl/>
          <w:lang w:eastAsia="de-DE"/>
        </w:rPr>
        <w:t>בבתוליה</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ἐν</w:t>
      </w:r>
      <w:proofErr w:type="spellEnd"/>
      <w:r w:rsidRPr="00A45F99">
        <w:rPr>
          <w:rFonts w:eastAsia="Times New Roman" w:cs="Times New Roman"/>
          <w:lang w:eastAsia="de-DE"/>
        </w:rPr>
        <w:t xml:space="preserve"> πα</w:t>
      </w:r>
      <w:proofErr w:type="spellStart"/>
      <w:r w:rsidRPr="00A45F99">
        <w:rPr>
          <w:rFonts w:eastAsia="Times New Roman" w:cs="Times New Roman"/>
          <w:lang w:eastAsia="de-DE"/>
        </w:rPr>
        <w:t>ρθενίᾳ</w:t>
      </w:r>
      <w:proofErr w:type="spellEnd"/>
      <w:r w:rsidRPr="00A45F99">
        <w:rPr>
          <w:rFonts w:eastAsia="Times New Roman" w:cs="Times New Roman"/>
          <w:lang w:eastAsia="de-DE"/>
        </w:rPr>
        <w:t xml:space="preserve"> α</w:t>
      </w:r>
      <w:proofErr w:type="spellStart"/>
      <w:r w:rsidRPr="00A45F99">
        <w:rPr>
          <w:rFonts w:eastAsia="Times New Roman" w:cs="Times New Roman"/>
          <w:lang w:eastAsia="de-DE"/>
        </w:rPr>
        <w:t>ὐτῆς</w:t>
      </w:r>
      <w:proofErr w:type="spellEnd"/>
      <w:r w:rsidRPr="00A45F99">
        <w:rPr>
          <w:rFonts w:eastAsia="Times New Roman" w:cs="Times New Roman"/>
          <w:lang w:eastAsia="de-DE"/>
        </w:rPr>
        <w:t xml:space="preserve"> (in ihrer Jungfräulichkeit) und </w:t>
      </w:r>
      <w:r w:rsidRPr="00A45F99">
        <w:rPr>
          <w:rFonts w:eastAsia="Times New Roman" w:cs="Times New Roman"/>
          <w:b/>
          <w:bCs/>
          <w:rtl/>
          <w:lang w:eastAsia="de-DE"/>
        </w:rPr>
        <w:t>יקח</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λήμψετ</w:t>
      </w:r>
      <w:proofErr w:type="spellEnd"/>
      <w:r w:rsidRPr="00A45F99">
        <w:rPr>
          <w:rFonts w:eastAsia="Times New Roman" w:cs="Times New Roman"/>
          <w:lang w:eastAsia="de-DE"/>
        </w:rPr>
        <w:t>αι (wird nehmen).</w:t>
      </w:r>
    </w:p>
    <w:p w14:paraId="1877DD4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Hohepriester-Ehegebot: emphatische Bezeichnung + Jungfräulichkeitsvoraussetzung + Heiratsgebot.</w:t>
      </w:r>
    </w:p>
    <w:p w14:paraId="4970C72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kurze Vers etabliert die positive Ehevorschrift für den Hohepriester: nur jungfräuliche Frauen.</w:t>
      </w:r>
    </w:p>
    <w:p w14:paraId="0695259F"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21,14</w:t>
      </w:r>
    </w:p>
    <w:p w14:paraId="22D1014E"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אַלְמָנָ֤ה וּגְרוּשָׁה֙ וַחֲלָלָ֣ה זֹנָ֔ה אֶת־אֵ֖לֶּה לֹ֣א יִקָּ֑ח כִּ֛י אִם־בְּתוּלָ֥ה מֵעַמָּ֖יו יִקַּ֥ח אִשָּֽׁה׃</w:t>
      </w:r>
    </w:p>
    <w:p w14:paraId="472BDE2F"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Eine Witwe und eine Verstoßene und eine Entehrte, eine Hure, diese soll er nicht nehmen; sondern eine Jungfrau aus seinen Volksgenossen soll er zur Frau nehmen,</w:t>
      </w:r>
    </w:p>
    <w:p w14:paraId="78F78A89"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112CBE43">
          <v:rect id="_x0000_i1638" style="width:0;height:1.5pt" o:hralign="center" o:hrstd="t" o:hr="t" fillcolor="#a0a0a0" stroked="f"/>
        </w:pict>
      </w:r>
    </w:p>
    <w:p w14:paraId="4B8AA55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lastRenderedPageBreak/>
        <w:t>Kommentar:</w:t>
      </w:r>
      <w:r w:rsidRPr="00A45F99">
        <w:rPr>
          <w:rFonts w:eastAsia="Times New Roman" w:cs="Times New Roman"/>
          <w:lang w:eastAsia="de-DE"/>
        </w:rPr>
        <w:t xml:space="preserve"> </w:t>
      </w:r>
      <w:r w:rsidRPr="00A45F99">
        <w:rPr>
          <w:rFonts w:eastAsia="Times New Roman" w:cs="Times New Roman"/>
          <w:b/>
          <w:bCs/>
          <w:rtl/>
          <w:lang w:eastAsia="de-DE"/>
        </w:rPr>
        <w:t>אלמנה וגרושה וחללה זנה את־אלה לא יקח כי אם־בתולה מעמיו יקח אשה</w:t>
      </w:r>
      <w:r w:rsidRPr="00A45F99">
        <w:rPr>
          <w:rFonts w:eastAsia="Times New Roman" w:cs="Times New Roman"/>
          <w:rtl/>
          <w:lang w:eastAsia="de-DE"/>
        </w:rPr>
        <w:t xml:space="preserve"> </w:t>
      </w:r>
      <w:r w:rsidRPr="00A45F99">
        <w:rPr>
          <w:rFonts w:eastAsia="Times New Roman" w:cs="Times New Roman"/>
          <w:lang w:eastAsia="de-DE"/>
        </w:rPr>
        <w:t xml:space="preserve">erweitert die Eheverbote für den Hohepriester. </w:t>
      </w:r>
      <w:r w:rsidRPr="00A45F99">
        <w:rPr>
          <w:rFonts w:eastAsia="Times New Roman" w:cs="Times New Roman"/>
          <w:b/>
          <w:bCs/>
          <w:rtl/>
          <w:lang w:eastAsia="de-DE"/>
        </w:rPr>
        <w:t>אלמנה וגרושה וחללה זנה</w:t>
      </w:r>
      <w:r w:rsidRPr="00A45F99">
        <w:rPr>
          <w:rFonts w:eastAsia="Times New Roman" w:cs="Times New Roman"/>
          <w:rtl/>
          <w:lang w:eastAsia="de-DE"/>
        </w:rPr>
        <w:t xml:space="preserve"> </w:t>
      </w:r>
      <w:r w:rsidRPr="00A45F99">
        <w:rPr>
          <w:rFonts w:eastAsia="Times New Roman" w:cs="Times New Roman"/>
          <w:lang w:eastAsia="de-DE"/>
        </w:rPr>
        <w:t xml:space="preserve">(eine Witwe und eine Verstoßene und eine Entehrte, eine Hure) erweitert V. 7 um </w:t>
      </w:r>
      <w:r w:rsidRPr="00A45F99">
        <w:rPr>
          <w:rFonts w:eastAsia="Times New Roman" w:cs="Times New Roman"/>
          <w:b/>
          <w:bCs/>
          <w:rtl/>
          <w:lang w:eastAsia="de-DE"/>
        </w:rPr>
        <w:t>אלמנה</w:t>
      </w:r>
      <w:r w:rsidRPr="00A45F99">
        <w:rPr>
          <w:rFonts w:eastAsia="Times New Roman" w:cs="Times New Roman"/>
          <w:rtl/>
          <w:lang w:eastAsia="de-DE"/>
        </w:rPr>
        <w:t xml:space="preserve"> </w:t>
      </w:r>
      <w:r w:rsidRPr="00A45F99">
        <w:rPr>
          <w:rFonts w:eastAsia="Times New Roman" w:cs="Times New Roman"/>
          <w:lang w:eastAsia="de-DE"/>
        </w:rPr>
        <w:t xml:space="preserve">(Witwe). Dies zeigt, dass der Hohepriester strenger ist als gewöhnliche Priester. </w:t>
      </w:r>
      <w:r w:rsidRPr="00A45F99">
        <w:rPr>
          <w:rFonts w:eastAsia="Times New Roman" w:cs="Times New Roman"/>
          <w:b/>
          <w:bCs/>
          <w:rtl/>
          <w:lang w:eastAsia="de-DE"/>
        </w:rPr>
        <w:t>את־אלה לא יקח</w:t>
      </w:r>
      <w:r w:rsidRPr="00A45F99">
        <w:rPr>
          <w:rFonts w:eastAsia="Times New Roman" w:cs="Times New Roman"/>
          <w:rtl/>
          <w:lang w:eastAsia="de-DE"/>
        </w:rPr>
        <w:t xml:space="preserve"> </w:t>
      </w:r>
      <w:r w:rsidRPr="00A45F99">
        <w:rPr>
          <w:rFonts w:eastAsia="Times New Roman" w:cs="Times New Roman"/>
          <w:lang w:eastAsia="de-DE"/>
        </w:rPr>
        <w:t>(diese soll er nicht nehmen) fasst alle vier Kategorien zusammen.</w:t>
      </w:r>
    </w:p>
    <w:p w14:paraId="20F54F3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 אם־בתולה מעמיו יקח אשה</w:t>
      </w:r>
      <w:r w:rsidRPr="00A45F99">
        <w:rPr>
          <w:rFonts w:eastAsia="Times New Roman" w:cs="Times New Roman"/>
          <w:rtl/>
          <w:lang w:eastAsia="de-DE"/>
        </w:rPr>
        <w:t xml:space="preserve"> </w:t>
      </w:r>
      <w:r w:rsidRPr="00A45F99">
        <w:rPr>
          <w:rFonts w:eastAsia="Times New Roman" w:cs="Times New Roman"/>
          <w:lang w:eastAsia="de-DE"/>
        </w:rPr>
        <w:t xml:space="preserve">(sondern eine Jungfrau aus seinen Volksgenossen soll er zur Frau nehmen) - </w:t>
      </w:r>
      <w:r w:rsidRPr="00A45F99">
        <w:rPr>
          <w:rFonts w:eastAsia="Times New Roman" w:cs="Times New Roman"/>
          <w:b/>
          <w:bCs/>
          <w:rtl/>
          <w:lang w:eastAsia="de-DE"/>
        </w:rPr>
        <w:t>כי אם</w:t>
      </w:r>
      <w:r w:rsidRPr="00A45F99">
        <w:rPr>
          <w:rFonts w:eastAsia="Times New Roman" w:cs="Times New Roman"/>
          <w:rtl/>
          <w:lang w:eastAsia="de-DE"/>
        </w:rPr>
        <w:t xml:space="preserve"> </w:t>
      </w:r>
      <w:r w:rsidRPr="00A45F99">
        <w:rPr>
          <w:rFonts w:eastAsia="Times New Roman" w:cs="Times New Roman"/>
          <w:lang w:eastAsia="de-DE"/>
        </w:rPr>
        <w:t xml:space="preserve">(sondern) zeigt die positive Alternative. </w:t>
      </w:r>
      <w:r w:rsidRPr="00A45F99">
        <w:rPr>
          <w:rFonts w:eastAsia="Times New Roman" w:cs="Times New Roman"/>
          <w:b/>
          <w:bCs/>
          <w:rtl/>
          <w:lang w:eastAsia="de-DE"/>
        </w:rPr>
        <w:t>בתולה מעמיו</w:t>
      </w:r>
      <w:r w:rsidRPr="00A45F99">
        <w:rPr>
          <w:rFonts w:eastAsia="Times New Roman" w:cs="Times New Roman"/>
          <w:rtl/>
          <w:lang w:eastAsia="de-DE"/>
        </w:rPr>
        <w:t xml:space="preserve"> </w:t>
      </w:r>
      <w:r w:rsidRPr="00A45F99">
        <w:rPr>
          <w:rFonts w:eastAsia="Times New Roman" w:cs="Times New Roman"/>
          <w:lang w:eastAsia="de-DE"/>
        </w:rPr>
        <w:t>(eine Jungfrau aus seinen Volksgenossen) zeigt die doppelte Voraussetzung: Jungfräulichkeit und israelitische Herkunft.</w:t>
      </w:r>
    </w:p>
    <w:p w14:paraId="7DED110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אלמנה</w:t>
      </w:r>
      <w:r w:rsidRPr="00A45F99">
        <w:rPr>
          <w:rFonts w:eastAsia="Times New Roman" w:cs="Times New Roman"/>
          <w:rtl/>
          <w:lang w:eastAsia="de-DE"/>
        </w:rPr>
        <w:t xml:space="preserve"> </w:t>
      </w:r>
      <w:r w:rsidRPr="00A45F99">
        <w:rPr>
          <w:rFonts w:eastAsia="Times New Roman" w:cs="Times New Roman"/>
          <w:lang w:eastAsia="de-DE"/>
        </w:rPr>
        <w:t xml:space="preserve">als zusätzliches Verbot für den Hohepriester zeigt dessen höhere Anforderungen. </w:t>
      </w:r>
      <w:r w:rsidRPr="00A45F99">
        <w:rPr>
          <w:rFonts w:eastAsia="Times New Roman" w:cs="Times New Roman"/>
          <w:b/>
          <w:bCs/>
          <w:rtl/>
          <w:lang w:eastAsia="de-DE"/>
        </w:rPr>
        <w:t>את־אלה</w:t>
      </w:r>
      <w:r w:rsidRPr="00A45F99">
        <w:rPr>
          <w:rFonts w:eastAsia="Times New Roman" w:cs="Times New Roman"/>
          <w:rtl/>
          <w:lang w:eastAsia="de-DE"/>
        </w:rPr>
        <w:t xml:space="preserve"> </w:t>
      </w:r>
      <w:proofErr w:type="spellStart"/>
      <w:r w:rsidRPr="00A45F99">
        <w:rPr>
          <w:rFonts w:eastAsia="Times New Roman" w:cs="Times New Roman"/>
          <w:lang w:eastAsia="de-DE"/>
        </w:rPr>
        <w:t>fasst</w:t>
      </w:r>
      <w:proofErr w:type="spellEnd"/>
      <w:r w:rsidRPr="00A45F99">
        <w:rPr>
          <w:rFonts w:eastAsia="Times New Roman" w:cs="Times New Roman"/>
          <w:lang w:eastAsia="de-DE"/>
        </w:rPr>
        <w:t xml:space="preserve"> alle vier verbotenen Kategorien zusammen. </w:t>
      </w:r>
      <w:r w:rsidRPr="00A45F99">
        <w:rPr>
          <w:rFonts w:eastAsia="Times New Roman" w:cs="Times New Roman"/>
          <w:b/>
          <w:bCs/>
          <w:rtl/>
          <w:lang w:eastAsia="de-DE"/>
        </w:rPr>
        <w:t>בתולה מעמיו</w:t>
      </w:r>
      <w:r w:rsidRPr="00A45F99">
        <w:rPr>
          <w:rFonts w:eastAsia="Times New Roman" w:cs="Times New Roman"/>
          <w:rtl/>
          <w:lang w:eastAsia="de-DE"/>
        </w:rPr>
        <w:t xml:space="preserve"> </w:t>
      </w:r>
      <w:r w:rsidRPr="00A45F99">
        <w:rPr>
          <w:rFonts w:eastAsia="Times New Roman" w:cs="Times New Roman"/>
          <w:lang w:eastAsia="de-DE"/>
        </w:rPr>
        <w:t>zeigt doppelte Voraussetzung für hohepriesterliche Ehe.</w:t>
      </w:r>
    </w:p>
    <w:p w14:paraId="0AB312C9"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LXX</w:t>
      </w:r>
      <w:r w:rsidRPr="00A45F99">
        <w:rPr>
          <w:rFonts w:eastAsia="Times New Roman" w:cs="Times New Roman"/>
          <w:lang w:eastAsia="de-DE"/>
        </w:rPr>
        <w:t xml:space="preserve"> übersetzt </w:t>
      </w:r>
      <w:r w:rsidRPr="00A45F99">
        <w:rPr>
          <w:rFonts w:eastAsia="Times New Roman" w:cs="Times New Roman"/>
          <w:b/>
          <w:bCs/>
          <w:rtl/>
          <w:lang w:eastAsia="de-DE"/>
        </w:rPr>
        <w:t>אלמנה</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χήρ</w:t>
      </w:r>
      <w:proofErr w:type="spellEnd"/>
      <w:r w:rsidRPr="00A45F99">
        <w:rPr>
          <w:rFonts w:eastAsia="Times New Roman" w:cs="Times New Roman"/>
          <w:lang w:eastAsia="de-DE"/>
        </w:rPr>
        <w:t xml:space="preserve">αν (Witwe), </w:t>
      </w:r>
      <w:r w:rsidRPr="00A45F99">
        <w:rPr>
          <w:rFonts w:eastAsia="Times New Roman" w:cs="Times New Roman"/>
          <w:b/>
          <w:bCs/>
          <w:rtl/>
          <w:lang w:eastAsia="de-DE"/>
        </w:rPr>
        <w:t>גרושה</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ἐκ</w:t>
      </w:r>
      <w:proofErr w:type="spellEnd"/>
      <w:r w:rsidRPr="00A45F99">
        <w:rPr>
          <w:rFonts w:eastAsia="Times New Roman" w:cs="Times New Roman"/>
          <w:lang w:eastAsia="de-DE"/>
        </w:rPr>
        <w:t xml:space="preserve">βεβλημένην (verstoßene), </w:t>
      </w:r>
      <w:r w:rsidRPr="00A45F99">
        <w:rPr>
          <w:rFonts w:eastAsia="Times New Roman" w:cs="Times New Roman"/>
          <w:b/>
          <w:bCs/>
          <w:rtl/>
          <w:lang w:eastAsia="de-DE"/>
        </w:rPr>
        <w:t>חללה</w:t>
      </w:r>
      <w:r w:rsidRPr="00A45F99">
        <w:rPr>
          <w:rFonts w:eastAsia="Times New Roman" w:cs="Times New Roman"/>
          <w:rtl/>
          <w:lang w:eastAsia="de-DE"/>
        </w:rPr>
        <w:t xml:space="preserve"> </w:t>
      </w:r>
      <w:r w:rsidRPr="00A45F99">
        <w:rPr>
          <w:rFonts w:eastAsia="Times New Roman" w:cs="Times New Roman"/>
          <w:lang w:eastAsia="de-DE"/>
        </w:rPr>
        <w:t>mit βεβ</w:t>
      </w:r>
      <w:proofErr w:type="spellStart"/>
      <w:r w:rsidRPr="00A45F99">
        <w:rPr>
          <w:rFonts w:eastAsia="Times New Roman" w:cs="Times New Roman"/>
          <w:lang w:eastAsia="de-DE"/>
        </w:rPr>
        <w:t>ηλωμένην</w:t>
      </w:r>
      <w:proofErr w:type="spellEnd"/>
      <w:r w:rsidRPr="00A45F99">
        <w:rPr>
          <w:rFonts w:eastAsia="Times New Roman" w:cs="Times New Roman"/>
          <w:lang w:eastAsia="de-DE"/>
        </w:rPr>
        <w:t xml:space="preserve"> (entweihte), </w:t>
      </w:r>
      <w:r w:rsidRPr="00A45F99">
        <w:rPr>
          <w:rFonts w:eastAsia="Times New Roman" w:cs="Times New Roman"/>
          <w:b/>
          <w:bCs/>
          <w:rtl/>
          <w:lang w:eastAsia="de-DE"/>
        </w:rPr>
        <w:t>זנה</w:t>
      </w:r>
      <w:r w:rsidRPr="00A45F99">
        <w:rPr>
          <w:rFonts w:eastAsia="Times New Roman" w:cs="Times New Roman"/>
          <w:rtl/>
          <w:lang w:eastAsia="de-DE"/>
        </w:rPr>
        <w:t xml:space="preserve"> </w:t>
      </w:r>
      <w:r w:rsidRPr="00A45F99">
        <w:rPr>
          <w:rFonts w:eastAsia="Times New Roman" w:cs="Times New Roman"/>
          <w:lang w:eastAsia="de-DE"/>
        </w:rPr>
        <w:t>mit π</w:t>
      </w:r>
      <w:proofErr w:type="spellStart"/>
      <w:r w:rsidRPr="00A45F99">
        <w:rPr>
          <w:rFonts w:eastAsia="Times New Roman" w:cs="Times New Roman"/>
          <w:lang w:eastAsia="de-DE"/>
        </w:rPr>
        <w:t>όρνην</w:t>
      </w:r>
      <w:proofErr w:type="spellEnd"/>
      <w:r w:rsidRPr="00A45F99">
        <w:rPr>
          <w:rFonts w:eastAsia="Times New Roman" w:cs="Times New Roman"/>
          <w:lang w:eastAsia="de-DE"/>
        </w:rPr>
        <w:t xml:space="preserve"> (Hure) und </w:t>
      </w:r>
      <w:r w:rsidRPr="00A45F99">
        <w:rPr>
          <w:rFonts w:eastAsia="Times New Roman" w:cs="Times New Roman"/>
          <w:b/>
          <w:bCs/>
          <w:rtl/>
          <w:lang w:eastAsia="de-DE"/>
        </w:rPr>
        <w:t>מעמיו</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ἐκ</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τοῦ</w:t>
      </w:r>
      <w:proofErr w:type="spellEnd"/>
      <w:r w:rsidRPr="00A45F99">
        <w:rPr>
          <w:rFonts w:eastAsia="Times New Roman" w:cs="Times New Roman"/>
          <w:lang w:eastAsia="de-DE"/>
        </w:rPr>
        <w:t xml:space="preserve"> λα</w:t>
      </w:r>
      <w:proofErr w:type="spellStart"/>
      <w:r w:rsidRPr="00A45F99">
        <w:rPr>
          <w:rFonts w:eastAsia="Times New Roman" w:cs="Times New Roman"/>
          <w:lang w:eastAsia="de-DE"/>
        </w:rPr>
        <w:t>οῦ</w:t>
      </w:r>
      <w:proofErr w:type="spellEnd"/>
      <w:r w:rsidRPr="00A45F99">
        <w:rPr>
          <w:rFonts w:eastAsia="Times New Roman" w:cs="Times New Roman"/>
          <w:lang w:eastAsia="de-DE"/>
        </w:rPr>
        <w:t xml:space="preserve"> α</w:t>
      </w:r>
      <w:proofErr w:type="spellStart"/>
      <w:r w:rsidRPr="00A45F99">
        <w:rPr>
          <w:rFonts w:eastAsia="Times New Roman" w:cs="Times New Roman"/>
          <w:lang w:eastAsia="de-DE"/>
        </w:rPr>
        <w:t>ὐτοῦ</w:t>
      </w:r>
      <w:proofErr w:type="spellEnd"/>
      <w:r w:rsidRPr="00A45F99">
        <w:rPr>
          <w:rFonts w:eastAsia="Times New Roman" w:cs="Times New Roman"/>
          <w:lang w:eastAsia="de-DE"/>
        </w:rPr>
        <w:t xml:space="preserve"> (aus seinem Volk).</w:t>
      </w:r>
    </w:p>
    <w:p w14:paraId="12E46963"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erweiterte Hohepriester-Eheverbote: vier verbotene Frauenkategorien + zusammenfassende Ablehnung + positive Alternative mit doppelter Voraussetzung.</w:t>
      </w:r>
    </w:p>
    <w:p w14:paraId="5FABAF90"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zeigt die verschärften Ehevorschriften für den Hohepriester mit vier verbotenen Kategorien und doppelter Voraussetzung für erlaubte Ehen.</w:t>
      </w:r>
    </w:p>
    <w:p w14:paraId="587B14C8" w14:textId="77777777" w:rsidR="00A45F99" w:rsidRPr="00A45F99" w:rsidRDefault="00A45F99" w:rsidP="00A45F99">
      <w:pPr>
        <w:spacing w:before="100" w:beforeAutospacing="1" w:after="100" w:afterAutospacing="1" w:line="240" w:lineRule="auto"/>
        <w:outlineLvl w:val="1"/>
        <w:rPr>
          <w:rFonts w:eastAsia="Times New Roman" w:cs="Times New Roman"/>
          <w:b/>
          <w:bCs/>
          <w:sz w:val="36"/>
          <w:szCs w:val="36"/>
          <w:lang w:eastAsia="de-DE"/>
        </w:rPr>
      </w:pPr>
      <w:r w:rsidRPr="00A45F99">
        <w:rPr>
          <w:rFonts w:eastAsia="Times New Roman" w:cs="Times New Roman"/>
          <w:b/>
          <w:bCs/>
          <w:sz w:val="36"/>
          <w:szCs w:val="36"/>
          <w:lang w:eastAsia="de-DE"/>
        </w:rPr>
        <w:t>Leviticus 21,15</w:t>
      </w:r>
    </w:p>
    <w:p w14:paraId="04D924F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Hebräisch:</w:t>
      </w:r>
      <w:r w:rsidRPr="00A45F99">
        <w:rPr>
          <w:rFonts w:eastAsia="Times New Roman" w:cs="Times New Roman"/>
          <w:lang w:eastAsia="de-DE"/>
        </w:rPr>
        <w:t xml:space="preserve"> </w:t>
      </w:r>
      <w:r w:rsidRPr="00A45F99">
        <w:rPr>
          <w:rFonts w:eastAsia="Times New Roman" w:cs="Times New Roman"/>
          <w:rtl/>
          <w:lang w:eastAsia="de-DE"/>
        </w:rPr>
        <w:t>וְלֹֽא־יְחַלֵּ֥ל זַרְעֹ֖ו בְּעַמָּ֑יו כִּ֛י אֲנִ֥י יְהוָ֖ה מְקַדְּשֹֽׁו׃</w:t>
      </w:r>
    </w:p>
    <w:p w14:paraId="196B9EDA"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Deutsch:</w:t>
      </w:r>
      <w:r w:rsidRPr="00A45F99">
        <w:rPr>
          <w:rFonts w:eastAsia="Times New Roman" w:cs="Times New Roman"/>
          <w:lang w:eastAsia="de-DE"/>
        </w:rPr>
        <w:t xml:space="preserve"> und soll nicht entweihen seinen Samen unter seinen Volksgenossen; denn ich bin der Ewige, der ihn heiligt.</w:t>
      </w:r>
    </w:p>
    <w:p w14:paraId="50B9CE7C" w14:textId="77777777" w:rsidR="00A45F99" w:rsidRPr="00A45F99" w:rsidRDefault="00A57720" w:rsidP="00A45F99">
      <w:pPr>
        <w:spacing w:after="0" w:line="240" w:lineRule="auto"/>
        <w:rPr>
          <w:rFonts w:eastAsia="Times New Roman" w:cs="Times New Roman"/>
          <w:lang w:eastAsia="de-DE"/>
        </w:rPr>
      </w:pPr>
      <w:r>
        <w:rPr>
          <w:rFonts w:eastAsia="Times New Roman" w:cs="Times New Roman"/>
          <w:noProof/>
          <w:lang w:eastAsia="de-DE"/>
        </w:rPr>
        <w:pict w14:anchorId="7C8BCA08">
          <v:rect id="_x0000_i1639" style="width:0;height:1.5pt" o:hralign="center" o:hrstd="t" o:hr="t" fillcolor="#a0a0a0" stroked="f"/>
        </w:pict>
      </w:r>
    </w:p>
    <w:p w14:paraId="03335B3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Kommentar:</w:t>
      </w:r>
      <w:r w:rsidRPr="00A45F99">
        <w:rPr>
          <w:rFonts w:eastAsia="Times New Roman" w:cs="Times New Roman"/>
          <w:lang w:eastAsia="de-DE"/>
        </w:rPr>
        <w:t xml:space="preserve"> </w:t>
      </w:r>
      <w:r w:rsidRPr="00A45F99">
        <w:rPr>
          <w:rFonts w:eastAsia="Times New Roman" w:cs="Times New Roman"/>
          <w:b/>
          <w:bCs/>
          <w:rtl/>
          <w:lang w:eastAsia="de-DE"/>
        </w:rPr>
        <w:t>ולא־יחלל זרעו בעמיו כי אני יהוה מקדשו</w:t>
      </w:r>
      <w:r w:rsidRPr="00A45F99">
        <w:rPr>
          <w:rFonts w:eastAsia="Times New Roman" w:cs="Times New Roman"/>
          <w:rtl/>
          <w:lang w:eastAsia="de-DE"/>
        </w:rPr>
        <w:t xml:space="preserve"> </w:t>
      </w:r>
      <w:r w:rsidRPr="00A45F99">
        <w:rPr>
          <w:rFonts w:eastAsia="Times New Roman" w:cs="Times New Roman"/>
          <w:lang w:eastAsia="de-DE"/>
        </w:rPr>
        <w:t xml:space="preserve">zeigt die Begründung der Ehevorschriften. </w:t>
      </w:r>
      <w:r w:rsidRPr="00A45F99">
        <w:rPr>
          <w:rFonts w:eastAsia="Times New Roman" w:cs="Times New Roman"/>
          <w:b/>
          <w:bCs/>
          <w:rtl/>
          <w:lang w:eastAsia="de-DE"/>
        </w:rPr>
        <w:t>ולא־יחלל זרעו בעמיו</w:t>
      </w:r>
      <w:r w:rsidRPr="00A45F99">
        <w:rPr>
          <w:rFonts w:eastAsia="Times New Roman" w:cs="Times New Roman"/>
          <w:rtl/>
          <w:lang w:eastAsia="de-DE"/>
        </w:rPr>
        <w:t xml:space="preserve"> </w:t>
      </w:r>
      <w:r w:rsidRPr="00A45F99">
        <w:rPr>
          <w:rFonts w:eastAsia="Times New Roman" w:cs="Times New Roman"/>
          <w:lang w:eastAsia="de-DE"/>
        </w:rPr>
        <w:t xml:space="preserve">(und soll nicht entweihen seinen Samen unter seinen Volksgenossen) - </w:t>
      </w:r>
      <w:r w:rsidRPr="00A45F99">
        <w:rPr>
          <w:rFonts w:eastAsia="Times New Roman" w:cs="Times New Roman"/>
          <w:b/>
          <w:bCs/>
          <w:rtl/>
          <w:lang w:eastAsia="de-DE"/>
        </w:rPr>
        <w:t>לא־יחלל</w:t>
      </w:r>
      <w:r w:rsidRPr="00A45F99">
        <w:rPr>
          <w:rFonts w:eastAsia="Times New Roman" w:cs="Times New Roman"/>
          <w:rtl/>
          <w:lang w:eastAsia="de-DE"/>
        </w:rPr>
        <w:t xml:space="preserve"> </w:t>
      </w:r>
      <w:r w:rsidRPr="00A45F99">
        <w:rPr>
          <w:rFonts w:eastAsia="Times New Roman" w:cs="Times New Roman"/>
          <w:lang w:eastAsia="de-DE"/>
        </w:rPr>
        <w:t xml:space="preserve">(soll nicht entweihen) im Piel-Imperfekt, das Piel zeigt intensive Entweihung. </w:t>
      </w:r>
      <w:r w:rsidRPr="00A45F99">
        <w:rPr>
          <w:rFonts w:eastAsia="Times New Roman" w:cs="Times New Roman"/>
          <w:b/>
          <w:bCs/>
          <w:rtl/>
          <w:lang w:eastAsia="de-DE"/>
        </w:rPr>
        <w:t>זרעו</w:t>
      </w:r>
      <w:r w:rsidRPr="00A45F99">
        <w:rPr>
          <w:rFonts w:eastAsia="Times New Roman" w:cs="Times New Roman"/>
          <w:rtl/>
          <w:lang w:eastAsia="de-DE"/>
        </w:rPr>
        <w:t xml:space="preserve"> </w:t>
      </w:r>
      <w:r w:rsidRPr="00A45F99">
        <w:rPr>
          <w:rFonts w:eastAsia="Times New Roman" w:cs="Times New Roman"/>
          <w:lang w:eastAsia="de-DE"/>
        </w:rPr>
        <w:t xml:space="preserve">(seinen Samen) zeigt die Nachkommenschaft. </w:t>
      </w:r>
      <w:r w:rsidRPr="00A45F99">
        <w:rPr>
          <w:rFonts w:eastAsia="Times New Roman" w:cs="Times New Roman"/>
          <w:b/>
          <w:bCs/>
          <w:rtl/>
          <w:lang w:eastAsia="de-DE"/>
        </w:rPr>
        <w:t>בעמיו</w:t>
      </w:r>
      <w:r w:rsidRPr="00A45F99">
        <w:rPr>
          <w:rFonts w:eastAsia="Times New Roman" w:cs="Times New Roman"/>
          <w:rtl/>
          <w:lang w:eastAsia="de-DE"/>
        </w:rPr>
        <w:t xml:space="preserve"> </w:t>
      </w:r>
      <w:r w:rsidRPr="00A45F99">
        <w:rPr>
          <w:rFonts w:eastAsia="Times New Roman" w:cs="Times New Roman"/>
          <w:lang w:eastAsia="de-DE"/>
        </w:rPr>
        <w:t>(unter seinen Volksgenossen) zeigt den Gemeinschaftskontext.</w:t>
      </w:r>
    </w:p>
    <w:p w14:paraId="643F2398"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כי אני יהוה מקדשו</w:t>
      </w:r>
      <w:r w:rsidRPr="00A45F99">
        <w:rPr>
          <w:rFonts w:eastAsia="Times New Roman" w:cs="Times New Roman"/>
          <w:rtl/>
          <w:lang w:eastAsia="de-DE"/>
        </w:rPr>
        <w:t xml:space="preserve"> </w:t>
      </w:r>
      <w:r w:rsidRPr="00A45F99">
        <w:rPr>
          <w:rFonts w:eastAsia="Times New Roman" w:cs="Times New Roman"/>
          <w:lang w:eastAsia="de-DE"/>
        </w:rPr>
        <w:t xml:space="preserve">(denn ich bin der Ewige, der ihn heiligt) - </w:t>
      </w:r>
      <w:r w:rsidRPr="00A45F99">
        <w:rPr>
          <w:rFonts w:eastAsia="Times New Roman" w:cs="Times New Roman"/>
          <w:b/>
          <w:bCs/>
          <w:rtl/>
          <w:lang w:eastAsia="de-DE"/>
        </w:rPr>
        <w:t>מקדשו</w:t>
      </w:r>
      <w:r w:rsidRPr="00A45F99">
        <w:rPr>
          <w:rFonts w:eastAsia="Times New Roman" w:cs="Times New Roman"/>
          <w:rtl/>
          <w:lang w:eastAsia="de-DE"/>
        </w:rPr>
        <w:t xml:space="preserve"> </w:t>
      </w:r>
      <w:r w:rsidRPr="00A45F99">
        <w:rPr>
          <w:rFonts w:eastAsia="Times New Roman" w:cs="Times New Roman"/>
          <w:lang w:eastAsia="de-DE"/>
        </w:rPr>
        <w:t>(der ihn heiligt) im Piel-Partizip mit Suffix zeigt JHWH als Heiligungsagens des Hohepriesters entsprechend 20,8.</w:t>
      </w:r>
    </w:p>
    <w:p w14:paraId="65457D8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rtl/>
          <w:lang w:eastAsia="de-DE"/>
        </w:rPr>
        <w:t>לא־יחלל זרעו</w:t>
      </w:r>
      <w:r w:rsidRPr="00A45F99">
        <w:rPr>
          <w:rFonts w:eastAsia="Times New Roman" w:cs="Times New Roman"/>
          <w:rtl/>
          <w:lang w:eastAsia="de-DE"/>
        </w:rPr>
        <w:t xml:space="preserve"> </w:t>
      </w:r>
      <w:r w:rsidRPr="00A45F99">
        <w:rPr>
          <w:rFonts w:eastAsia="Times New Roman" w:cs="Times New Roman"/>
          <w:lang w:eastAsia="de-DE"/>
        </w:rPr>
        <w:t xml:space="preserve">zeigt, dass ungeeignete Ehen zur Nachkommenschaftsentweihung führen. </w:t>
      </w:r>
      <w:r w:rsidRPr="00A45F99">
        <w:rPr>
          <w:rFonts w:eastAsia="Times New Roman" w:cs="Times New Roman"/>
          <w:b/>
          <w:bCs/>
          <w:rtl/>
          <w:lang w:eastAsia="de-DE"/>
        </w:rPr>
        <w:t>בעמיו</w:t>
      </w:r>
      <w:r w:rsidRPr="00A45F99">
        <w:rPr>
          <w:rFonts w:eastAsia="Times New Roman" w:cs="Times New Roman"/>
          <w:rtl/>
          <w:lang w:eastAsia="de-DE"/>
        </w:rPr>
        <w:t xml:space="preserve"> </w:t>
      </w:r>
      <w:r w:rsidRPr="00A45F99">
        <w:rPr>
          <w:rFonts w:eastAsia="Times New Roman" w:cs="Times New Roman"/>
          <w:lang w:eastAsia="de-DE"/>
        </w:rPr>
        <w:t xml:space="preserve">zeigt den Gemeinschaftsschaden. </w:t>
      </w:r>
      <w:r w:rsidRPr="00A45F99">
        <w:rPr>
          <w:rFonts w:eastAsia="Times New Roman" w:cs="Times New Roman"/>
          <w:b/>
          <w:bCs/>
          <w:rtl/>
          <w:lang w:eastAsia="de-DE"/>
        </w:rPr>
        <w:t>אני יהוה מקדשו</w:t>
      </w:r>
      <w:r w:rsidRPr="00A45F99">
        <w:rPr>
          <w:rFonts w:eastAsia="Times New Roman" w:cs="Times New Roman"/>
          <w:rtl/>
          <w:lang w:eastAsia="de-DE"/>
        </w:rPr>
        <w:t xml:space="preserve"> </w:t>
      </w:r>
      <w:r w:rsidRPr="00A45F99">
        <w:rPr>
          <w:rFonts w:eastAsia="Times New Roman" w:cs="Times New Roman"/>
          <w:lang w:eastAsia="de-DE"/>
        </w:rPr>
        <w:t>zeigt göttliche Heiligung als Grund für die Ehevorschriften.</w:t>
      </w:r>
    </w:p>
    <w:p w14:paraId="35ED5F76"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lastRenderedPageBreak/>
        <w:t>Die LXX</w:t>
      </w:r>
      <w:r w:rsidRPr="00A45F99">
        <w:rPr>
          <w:rFonts w:eastAsia="Times New Roman" w:cs="Times New Roman"/>
          <w:lang w:eastAsia="de-DE"/>
        </w:rPr>
        <w:t xml:space="preserve"> übersetzt </w:t>
      </w:r>
      <w:r w:rsidRPr="00A45F99">
        <w:rPr>
          <w:rFonts w:eastAsia="Times New Roman" w:cs="Times New Roman"/>
          <w:b/>
          <w:bCs/>
          <w:rtl/>
          <w:lang w:eastAsia="de-DE"/>
        </w:rPr>
        <w:t>יחלל</w:t>
      </w:r>
      <w:r w:rsidRPr="00A45F99">
        <w:rPr>
          <w:rFonts w:eastAsia="Times New Roman" w:cs="Times New Roman"/>
          <w:rtl/>
          <w:lang w:eastAsia="de-DE"/>
        </w:rPr>
        <w:t xml:space="preserve"> </w:t>
      </w:r>
      <w:r w:rsidRPr="00A45F99">
        <w:rPr>
          <w:rFonts w:eastAsia="Times New Roman" w:cs="Times New Roman"/>
          <w:lang w:eastAsia="de-DE"/>
        </w:rPr>
        <w:t>mit βεβ</w:t>
      </w:r>
      <w:proofErr w:type="spellStart"/>
      <w:r w:rsidRPr="00A45F99">
        <w:rPr>
          <w:rFonts w:eastAsia="Times New Roman" w:cs="Times New Roman"/>
          <w:lang w:eastAsia="de-DE"/>
        </w:rPr>
        <w:t>ηλώσει</w:t>
      </w:r>
      <w:proofErr w:type="spellEnd"/>
      <w:r w:rsidRPr="00A45F99">
        <w:rPr>
          <w:rFonts w:eastAsia="Times New Roman" w:cs="Times New Roman"/>
          <w:lang w:eastAsia="de-DE"/>
        </w:rPr>
        <w:t xml:space="preserve"> (wird entweihen), </w:t>
      </w:r>
      <w:r w:rsidRPr="00A45F99">
        <w:rPr>
          <w:rFonts w:eastAsia="Times New Roman" w:cs="Times New Roman"/>
          <w:b/>
          <w:bCs/>
          <w:rtl/>
          <w:lang w:eastAsia="de-DE"/>
        </w:rPr>
        <w:t>זרעו</w:t>
      </w:r>
      <w:r w:rsidRPr="00A45F99">
        <w:rPr>
          <w:rFonts w:eastAsia="Times New Roman" w:cs="Times New Roman"/>
          <w:rtl/>
          <w:lang w:eastAsia="de-DE"/>
        </w:rPr>
        <w:t xml:space="preserve"> </w:t>
      </w:r>
      <w:r w:rsidRPr="00A45F99">
        <w:rPr>
          <w:rFonts w:eastAsia="Times New Roman" w:cs="Times New Roman"/>
          <w:lang w:eastAsia="de-DE"/>
        </w:rPr>
        <w:t>mit σπ</w:t>
      </w:r>
      <w:proofErr w:type="spellStart"/>
      <w:r w:rsidRPr="00A45F99">
        <w:rPr>
          <w:rFonts w:eastAsia="Times New Roman" w:cs="Times New Roman"/>
          <w:lang w:eastAsia="de-DE"/>
        </w:rPr>
        <w:t>έρμ</w:t>
      </w:r>
      <w:proofErr w:type="spellEnd"/>
      <w:r w:rsidRPr="00A45F99">
        <w:rPr>
          <w:rFonts w:eastAsia="Times New Roman" w:cs="Times New Roman"/>
          <w:lang w:eastAsia="de-DE"/>
        </w:rPr>
        <w:t>α α</w:t>
      </w:r>
      <w:proofErr w:type="spellStart"/>
      <w:r w:rsidRPr="00A45F99">
        <w:rPr>
          <w:rFonts w:eastAsia="Times New Roman" w:cs="Times New Roman"/>
          <w:lang w:eastAsia="de-DE"/>
        </w:rPr>
        <w:t>ὐτοῦ</w:t>
      </w:r>
      <w:proofErr w:type="spellEnd"/>
      <w:r w:rsidRPr="00A45F99">
        <w:rPr>
          <w:rFonts w:eastAsia="Times New Roman" w:cs="Times New Roman"/>
          <w:lang w:eastAsia="de-DE"/>
        </w:rPr>
        <w:t xml:space="preserve"> (seinen Samen), </w:t>
      </w:r>
      <w:r w:rsidRPr="00A45F99">
        <w:rPr>
          <w:rFonts w:eastAsia="Times New Roman" w:cs="Times New Roman"/>
          <w:b/>
          <w:bCs/>
          <w:rtl/>
          <w:lang w:eastAsia="de-DE"/>
        </w:rPr>
        <w:t>בעמיו</w:t>
      </w:r>
      <w:r w:rsidRPr="00A45F99">
        <w:rPr>
          <w:rFonts w:eastAsia="Times New Roman" w:cs="Times New Roman"/>
          <w:rtl/>
          <w:lang w:eastAsia="de-DE"/>
        </w:rPr>
        <w:t xml:space="preserve"> </w:t>
      </w:r>
      <w:r w:rsidRPr="00A45F99">
        <w:rPr>
          <w:rFonts w:eastAsia="Times New Roman" w:cs="Times New Roman"/>
          <w:lang w:eastAsia="de-DE"/>
        </w:rPr>
        <w:t xml:space="preserve">mit </w:t>
      </w:r>
      <w:proofErr w:type="spellStart"/>
      <w:r w:rsidRPr="00A45F99">
        <w:rPr>
          <w:rFonts w:eastAsia="Times New Roman" w:cs="Times New Roman"/>
          <w:lang w:eastAsia="de-DE"/>
        </w:rPr>
        <w:t>ἐν</w:t>
      </w:r>
      <w:proofErr w:type="spellEnd"/>
      <w:r w:rsidRPr="00A45F99">
        <w:rPr>
          <w:rFonts w:eastAsia="Times New Roman" w:cs="Times New Roman"/>
          <w:lang w:eastAsia="de-DE"/>
        </w:rPr>
        <w:t xml:space="preserve"> </w:t>
      </w:r>
      <w:proofErr w:type="spellStart"/>
      <w:r w:rsidRPr="00A45F99">
        <w:rPr>
          <w:rFonts w:eastAsia="Times New Roman" w:cs="Times New Roman"/>
          <w:lang w:eastAsia="de-DE"/>
        </w:rPr>
        <w:t>τῷ</w:t>
      </w:r>
      <w:proofErr w:type="spellEnd"/>
      <w:r w:rsidRPr="00A45F99">
        <w:rPr>
          <w:rFonts w:eastAsia="Times New Roman" w:cs="Times New Roman"/>
          <w:lang w:eastAsia="de-DE"/>
        </w:rPr>
        <w:t xml:space="preserve"> λαῷ α</w:t>
      </w:r>
      <w:proofErr w:type="spellStart"/>
      <w:r w:rsidRPr="00A45F99">
        <w:rPr>
          <w:rFonts w:eastAsia="Times New Roman" w:cs="Times New Roman"/>
          <w:lang w:eastAsia="de-DE"/>
        </w:rPr>
        <w:t>ὐτοῦ</w:t>
      </w:r>
      <w:proofErr w:type="spellEnd"/>
      <w:r w:rsidRPr="00A45F99">
        <w:rPr>
          <w:rFonts w:eastAsia="Times New Roman" w:cs="Times New Roman"/>
          <w:lang w:eastAsia="de-DE"/>
        </w:rPr>
        <w:t xml:space="preserve"> (in seinem Volk) und </w:t>
      </w:r>
      <w:r w:rsidRPr="00A45F99">
        <w:rPr>
          <w:rFonts w:eastAsia="Times New Roman" w:cs="Times New Roman"/>
          <w:b/>
          <w:bCs/>
          <w:rtl/>
          <w:lang w:eastAsia="de-DE"/>
        </w:rPr>
        <w:t>מקדשו</w:t>
      </w:r>
      <w:r w:rsidRPr="00A45F99">
        <w:rPr>
          <w:rFonts w:eastAsia="Times New Roman" w:cs="Times New Roman"/>
          <w:rtl/>
          <w:lang w:eastAsia="de-DE"/>
        </w:rPr>
        <w:t xml:space="preserve"> </w:t>
      </w:r>
      <w:r w:rsidRPr="00A45F99">
        <w:rPr>
          <w:rFonts w:eastAsia="Times New Roman" w:cs="Times New Roman"/>
          <w:lang w:eastAsia="de-DE"/>
        </w:rPr>
        <w:t xml:space="preserve">mit ὁ </w:t>
      </w:r>
      <w:proofErr w:type="spellStart"/>
      <w:r w:rsidRPr="00A45F99">
        <w:rPr>
          <w:rFonts w:eastAsia="Times New Roman" w:cs="Times New Roman"/>
          <w:lang w:eastAsia="de-DE"/>
        </w:rPr>
        <w:t>ἁγιάζων</w:t>
      </w:r>
      <w:proofErr w:type="spellEnd"/>
      <w:r w:rsidRPr="00A45F99">
        <w:rPr>
          <w:rFonts w:eastAsia="Times New Roman" w:cs="Times New Roman"/>
          <w:lang w:eastAsia="de-DE"/>
        </w:rPr>
        <w:t xml:space="preserve"> α</w:t>
      </w:r>
      <w:proofErr w:type="spellStart"/>
      <w:r w:rsidRPr="00A45F99">
        <w:rPr>
          <w:rFonts w:eastAsia="Times New Roman" w:cs="Times New Roman"/>
          <w:lang w:eastAsia="de-DE"/>
        </w:rPr>
        <w:t>ὐτόν</w:t>
      </w:r>
      <w:proofErr w:type="spellEnd"/>
      <w:r w:rsidRPr="00A45F99">
        <w:rPr>
          <w:rFonts w:eastAsia="Times New Roman" w:cs="Times New Roman"/>
          <w:lang w:eastAsia="de-DE"/>
        </w:rPr>
        <w:t xml:space="preserve"> (der ihn heiligt).</w:t>
      </w:r>
    </w:p>
    <w:p w14:paraId="6E740D47"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b/>
          <w:bCs/>
          <w:lang w:eastAsia="de-DE"/>
        </w:rPr>
        <w:t>Die Satzstruktur</w:t>
      </w:r>
      <w:r w:rsidRPr="00A45F99">
        <w:rPr>
          <w:rFonts w:eastAsia="Times New Roman" w:cs="Times New Roman"/>
          <w:lang w:eastAsia="de-DE"/>
        </w:rPr>
        <w:t xml:space="preserve"> zeigt Ehevorschriften-Begründung: Nachkommenschafts-Entweihungsverbot + Gemeinschaftskontext + göttliche Heiligung als Grund.</w:t>
      </w:r>
    </w:p>
    <w:p w14:paraId="752E4DB5" w14:textId="77777777" w:rsidR="00A45F99" w:rsidRPr="00A45F99" w:rsidRDefault="00A45F99" w:rsidP="00A45F99">
      <w:pPr>
        <w:spacing w:before="100" w:beforeAutospacing="1" w:after="100" w:afterAutospacing="1" w:line="240" w:lineRule="auto"/>
        <w:rPr>
          <w:rFonts w:eastAsia="Times New Roman" w:cs="Times New Roman"/>
          <w:lang w:eastAsia="de-DE"/>
        </w:rPr>
      </w:pPr>
      <w:r w:rsidRPr="00A45F99">
        <w:rPr>
          <w:rFonts w:eastAsia="Times New Roman" w:cs="Times New Roman"/>
          <w:lang w:eastAsia="de-DE"/>
        </w:rPr>
        <w:t>Dieser Vers begründet die hohepriesterlichen Ehevorschriften durch die Vermeidung der Nachkommenschaftsentweihung und göttliche Heiligung.</w:t>
      </w:r>
    </w:p>
    <w:p w14:paraId="170FED71"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21,16</w:t>
      </w:r>
    </w:p>
    <w:p w14:paraId="5914D85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וַיְדַבֵּ֥ר יְהוָ֖ה אֶל־מֹשֶׁ֥ה לֵּאמֹֽר׃</w:t>
      </w:r>
    </w:p>
    <w:p w14:paraId="0FBDA9ED"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Und der Ewige redete zu Mosche, sagend:</w:t>
      </w:r>
    </w:p>
    <w:p w14:paraId="7A2CB4C6"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20BE43A3">
          <v:rect id="_x0000_i1640" style="width:0;height:1.5pt" o:hralign="center" o:hrstd="t" o:hr="t" fillcolor="#a0a0a0" stroked="f"/>
        </w:pict>
      </w:r>
    </w:p>
    <w:p w14:paraId="201FFB4E" w14:textId="645D12DB"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וידבר יהוה אל־משה לאמר</w:t>
      </w:r>
      <w:r w:rsidRPr="005407E2">
        <w:rPr>
          <w:rFonts w:eastAsia="Times New Roman" w:cs="Times New Roman"/>
          <w:rtl/>
          <w:lang w:eastAsia="de-DE"/>
        </w:rPr>
        <w:t xml:space="preserve"> </w:t>
      </w:r>
      <w:r w:rsidRPr="005407E2">
        <w:rPr>
          <w:rFonts w:eastAsia="Times New Roman" w:cs="Times New Roman"/>
          <w:lang w:eastAsia="de-DE"/>
        </w:rPr>
        <w:t xml:space="preserve">als neue Offenbarungseinleitung. </w:t>
      </w:r>
      <w:r w:rsidRPr="005407E2">
        <w:rPr>
          <w:rFonts w:eastAsia="Times New Roman" w:cs="Times New Roman"/>
          <w:b/>
          <w:bCs/>
          <w:rtl/>
          <w:lang w:eastAsia="de-DE"/>
        </w:rPr>
        <w:t>וידבר</w:t>
      </w:r>
      <w:r w:rsidRPr="005407E2">
        <w:rPr>
          <w:rFonts w:eastAsia="Times New Roman" w:cs="Times New Roman"/>
          <w:rtl/>
          <w:lang w:eastAsia="de-DE"/>
        </w:rPr>
        <w:t xml:space="preserve"> </w:t>
      </w:r>
      <w:r w:rsidRPr="005407E2">
        <w:rPr>
          <w:rFonts w:eastAsia="Times New Roman" w:cs="Times New Roman"/>
          <w:lang w:eastAsia="de-DE"/>
        </w:rPr>
        <w:t xml:space="preserve">(und er redete) im Piel-Imperfekt mit Waw-Konsekutiv - das Piel zeigt intensives, autoritatives göttliches Sprechen. </w:t>
      </w:r>
      <w:r w:rsidRPr="005407E2">
        <w:rPr>
          <w:rFonts w:eastAsia="Times New Roman" w:cs="Times New Roman"/>
          <w:b/>
          <w:bCs/>
          <w:rtl/>
          <w:lang w:eastAsia="de-DE"/>
        </w:rPr>
        <w:t>לאמר</w:t>
      </w:r>
      <w:r w:rsidRPr="005407E2">
        <w:rPr>
          <w:rFonts w:eastAsia="Times New Roman" w:cs="Times New Roman"/>
          <w:rtl/>
          <w:lang w:eastAsia="de-DE"/>
        </w:rPr>
        <w:t xml:space="preserve"> </w:t>
      </w:r>
      <w:r w:rsidRPr="005407E2">
        <w:rPr>
          <w:rFonts w:eastAsia="Times New Roman" w:cs="Times New Roman"/>
          <w:lang w:eastAsia="de-DE"/>
        </w:rPr>
        <w:t>(sagend) als Infinitiv-</w:t>
      </w:r>
      <w:r>
        <w:rPr>
          <w:rFonts w:eastAsia="Times New Roman" w:cs="Times New Roman"/>
          <w:lang w:eastAsia="de-DE"/>
        </w:rPr>
        <w:t>Constructus</w:t>
      </w:r>
      <w:r w:rsidRPr="005407E2">
        <w:rPr>
          <w:rFonts w:eastAsia="Times New Roman" w:cs="Times New Roman"/>
          <w:lang w:eastAsia="de-DE"/>
        </w:rPr>
        <w:t xml:space="preserve"> von </w:t>
      </w:r>
      <w:r w:rsidRPr="005407E2">
        <w:rPr>
          <w:rFonts w:eastAsia="Times New Roman" w:cs="Times New Roman"/>
          <w:b/>
          <w:bCs/>
          <w:rtl/>
          <w:lang w:eastAsia="de-DE"/>
        </w:rPr>
        <w:t>אמר</w:t>
      </w:r>
      <w:r w:rsidRPr="005407E2">
        <w:rPr>
          <w:rFonts w:eastAsia="Times New Roman" w:cs="Times New Roman"/>
          <w:rtl/>
          <w:lang w:eastAsia="de-DE"/>
        </w:rPr>
        <w:t xml:space="preserve"> </w:t>
      </w:r>
      <w:r w:rsidRPr="005407E2">
        <w:rPr>
          <w:rFonts w:eastAsia="Times New Roman" w:cs="Times New Roman"/>
          <w:lang w:eastAsia="de-DE"/>
        </w:rPr>
        <w:t>leitet die Vorschriften über körperliche Makel bei Priestern ein.</w:t>
      </w:r>
    </w:p>
    <w:p w14:paraId="05F89E0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וידבר</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ἐλάλησεν</w:t>
      </w:r>
      <w:proofErr w:type="spellEnd"/>
      <w:r w:rsidRPr="005407E2">
        <w:rPr>
          <w:rFonts w:eastAsia="Times New Roman" w:cs="Times New Roman"/>
          <w:lang w:eastAsia="de-DE"/>
        </w:rPr>
        <w:t xml:space="preserve"> (er sprach) und </w:t>
      </w:r>
      <w:r w:rsidRPr="005407E2">
        <w:rPr>
          <w:rFonts w:eastAsia="Times New Roman" w:cs="Times New Roman"/>
          <w:b/>
          <w:bCs/>
          <w:rtl/>
          <w:lang w:eastAsia="de-DE"/>
        </w:rPr>
        <w:t>לאמר</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λέγων</w:t>
      </w:r>
      <w:proofErr w:type="spellEnd"/>
      <w:r w:rsidRPr="005407E2">
        <w:rPr>
          <w:rFonts w:eastAsia="Times New Roman" w:cs="Times New Roman"/>
          <w:lang w:eastAsia="de-DE"/>
        </w:rPr>
        <w:t xml:space="preserve"> (sagend).</w:t>
      </w:r>
    </w:p>
    <w:p w14:paraId="2DD433D6"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neue Offenbarungseinleitung: göttliches autoritatives Sprechen + Empfängeridentifikation + Redeeinleitung.</w:t>
      </w:r>
    </w:p>
    <w:p w14:paraId="40D56DC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leitet den neuen Abschnitt über körperliche Makel bei Priestern ein.</w:t>
      </w:r>
    </w:p>
    <w:p w14:paraId="56E19814"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21,17</w:t>
      </w:r>
    </w:p>
    <w:p w14:paraId="27940BDD"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דַּבֵּ֥ר אֶֽל־אַהֲרֹ֖ן לֵאמֹ֑ר אִ֣ישׁ מִֽזַּרְעֲךָ֞ לְדֹרֹתָ֗ם אֲשֶׁ֨ר יִהְיֶ֥ה בוֹ֙ מ֔וּם לֹ֣א יִקְרַ֔ב לְהַקְרִ֖יב לֶ֥חֶם אֱלֹהָֽיו׃</w:t>
      </w:r>
    </w:p>
    <w:p w14:paraId="7597D38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Rede zu Aharon, sagend: Ein Mann von deinem Samen bei ihren Generationen, an dem ein Makel ist, soll nicht nahen, um das Brot seines Gottes darzubringen;</w:t>
      </w:r>
    </w:p>
    <w:p w14:paraId="5C9AF5BA"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3E359344">
          <v:rect id="_x0000_i1641" style="width:0;height:1.5pt" o:hralign="center" o:hrstd="t" o:hr="t" fillcolor="#a0a0a0" stroked="f"/>
        </w:pict>
      </w:r>
    </w:p>
    <w:p w14:paraId="3FD1BB02"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דבר אל־אהרן לאמר איש מזרעך לדרתם אשר יהיה בו מום לא יקרב להקריב לחם אלהיו</w:t>
      </w:r>
      <w:r w:rsidRPr="005407E2">
        <w:rPr>
          <w:rFonts w:eastAsia="Times New Roman" w:cs="Times New Roman"/>
          <w:rtl/>
          <w:lang w:eastAsia="de-DE"/>
        </w:rPr>
        <w:t xml:space="preserve"> </w:t>
      </w:r>
      <w:r w:rsidRPr="005407E2">
        <w:rPr>
          <w:rFonts w:eastAsia="Times New Roman" w:cs="Times New Roman"/>
          <w:lang w:eastAsia="de-DE"/>
        </w:rPr>
        <w:t xml:space="preserve">etabliert das Grundprinzip körperlicher Vollkommenheit für Priester. </w:t>
      </w:r>
      <w:r w:rsidRPr="005407E2">
        <w:rPr>
          <w:rFonts w:eastAsia="Times New Roman" w:cs="Times New Roman"/>
          <w:b/>
          <w:bCs/>
          <w:rtl/>
          <w:lang w:eastAsia="de-DE"/>
        </w:rPr>
        <w:t>דבר אל־אהרן לאמר</w:t>
      </w:r>
      <w:r w:rsidRPr="005407E2">
        <w:rPr>
          <w:rFonts w:eastAsia="Times New Roman" w:cs="Times New Roman"/>
          <w:rtl/>
          <w:lang w:eastAsia="de-DE"/>
        </w:rPr>
        <w:t xml:space="preserve"> </w:t>
      </w:r>
      <w:r w:rsidRPr="005407E2">
        <w:rPr>
          <w:rFonts w:eastAsia="Times New Roman" w:cs="Times New Roman"/>
          <w:lang w:eastAsia="de-DE"/>
        </w:rPr>
        <w:t>(rede zu Aharon, sagend) zeigt direkte Anrede an Aharon als Priesterstammvater.</w:t>
      </w:r>
    </w:p>
    <w:p w14:paraId="6C001EC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איש מזרעך לדרתם</w:t>
      </w:r>
      <w:r w:rsidRPr="005407E2">
        <w:rPr>
          <w:rFonts w:eastAsia="Times New Roman" w:cs="Times New Roman"/>
          <w:rtl/>
          <w:lang w:eastAsia="de-DE"/>
        </w:rPr>
        <w:t xml:space="preserve"> </w:t>
      </w:r>
      <w:r w:rsidRPr="005407E2">
        <w:rPr>
          <w:rFonts w:eastAsia="Times New Roman" w:cs="Times New Roman"/>
          <w:lang w:eastAsia="de-DE"/>
        </w:rPr>
        <w:t xml:space="preserve">(ein Mann von deinem Samen bei ihren Generationen) - </w:t>
      </w:r>
      <w:r w:rsidRPr="005407E2">
        <w:rPr>
          <w:rFonts w:eastAsia="Times New Roman" w:cs="Times New Roman"/>
          <w:b/>
          <w:bCs/>
          <w:rtl/>
          <w:lang w:eastAsia="de-DE"/>
        </w:rPr>
        <w:t>מזרעך</w:t>
      </w:r>
      <w:r w:rsidRPr="005407E2">
        <w:rPr>
          <w:rFonts w:eastAsia="Times New Roman" w:cs="Times New Roman"/>
          <w:rtl/>
          <w:lang w:eastAsia="de-DE"/>
        </w:rPr>
        <w:t xml:space="preserve"> </w:t>
      </w:r>
      <w:r w:rsidRPr="005407E2">
        <w:rPr>
          <w:rFonts w:eastAsia="Times New Roman" w:cs="Times New Roman"/>
          <w:lang w:eastAsia="de-DE"/>
        </w:rPr>
        <w:t xml:space="preserve">(von deinem Samen) zeigt aaronitische Abstammung. </w:t>
      </w:r>
      <w:r w:rsidRPr="005407E2">
        <w:rPr>
          <w:rFonts w:eastAsia="Times New Roman" w:cs="Times New Roman"/>
          <w:b/>
          <w:bCs/>
          <w:rtl/>
          <w:lang w:eastAsia="de-DE"/>
        </w:rPr>
        <w:t>לדרתם</w:t>
      </w:r>
      <w:r w:rsidRPr="005407E2">
        <w:rPr>
          <w:rFonts w:eastAsia="Times New Roman" w:cs="Times New Roman"/>
          <w:rtl/>
          <w:lang w:eastAsia="de-DE"/>
        </w:rPr>
        <w:t xml:space="preserve"> </w:t>
      </w:r>
      <w:r w:rsidRPr="005407E2">
        <w:rPr>
          <w:rFonts w:eastAsia="Times New Roman" w:cs="Times New Roman"/>
          <w:lang w:eastAsia="de-DE"/>
        </w:rPr>
        <w:t>(bei ihren Generationen) zeigt zeitlich unbegrenzte Gültigkeit.</w:t>
      </w:r>
    </w:p>
    <w:p w14:paraId="5BA9BD70"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אשר יהיה בו מום</w:t>
      </w:r>
      <w:r w:rsidRPr="005407E2">
        <w:rPr>
          <w:rFonts w:eastAsia="Times New Roman" w:cs="Times New Roman"/>
          <w:rtl/>
          <w:lang w:eastAsia="de-DE"/>
        </w:rPr>
        <w:t xml:space="preserve"> </w:t>
      </w:r>
      <w:r w:rsidRPr="005407E2">
        <w:rPr>
          <w:rFonts w:eastAsia="Times New Roman" w:cs="Times New Roman"/>
          <w:lang w:eastAsia="de-DE"/>
        </w:rPr>
        <w:t xml:space="preserve">(an dem ein Makel ist) - </w:t>
      </w:r>
      <w:r w:rsidRPr="005407E2">
        <w:rPr>
          <w:rFonts w:eastAsia="Times New Roman" w:cs="Times New Roman"/>
          <w:b/>
          <w:bCs/>
          <w:rtl/>
          <w:lang w:eastAsia="de-DE"/>
        </w:rPr>
        <w:t>מום</w:t>
      </w:r>
      <w:r w:rsidRPr="005407E2">
        <w:rPr>
          <w:rFonts w:eastAsia="Times New Roman" w:cs="Times New Roman"/>
          <w:rtl/>
          <w:lang w:eastAsia="de-DE"/>
        </w:rPr>
        <w:t xml:space="preserve"> </w:t>
      </w:r>
      <w:r w:rsidRPr="005407E2">
        <w:rPr>
          <w:rFonts w:eastAsia="Times New Roman" w:cs="Times New Roman"/>
          <w:lang w:eastAsia="de-DE"/>
        </w:rPr>
        <w:t xml:space="preserve">(Makel) als körperlicher Defekt. </w:t>
      </w:r>
      <w:r w:rsidRPr="005407E2">
        <w:rPr>
          <w:rFonts w:eastAsia="Times New Roman" w:cs="Times New Roman"/>
          <w:b/>
          <w:bCs/>
          <w:rtl/>
          <w:lang w:eastAsia="de-DE"/>
        </w:rPr>
        <w:t>יהיה בו</w:t>
      </w:r>
      <w:r w:rsidRPr="005407E2">
        <w:rPr>
          <w:rFonts w:eastAsia="Times New Roman" w:cs="Times New Roman"/>
          <w:rtl/>
          <w:lang w:eastAsia="de-DE"/>
        </w:rPr>
        <w:t xml:space="preserve"> </w:t>
      </w:r>
      <w:r w:rsidRPr="005407E2">
        <w:rPr>
          <w:rFonts w:eastAsia="Times New Roman" w:cs="Times New Roman"/>
          <w:lang w:eastAsia="de-DE"/>
        </w:rPr>
        <w:t>(ist an ihm) zeigt den Besitz des Makels.</w:t>
      </w:r>
    </w:p>
    <w:p w14:paraId="19D5695A" w14:textId="374C4F5E"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lastRenderedPageBreak/>
        <w:t>לא יקרב להקריב לחם אלהיו</w:t>
      </w:r>
      <w:r w:rsidRPr="005407E2">
        <w:rPr>
          <w:rFonts w:eastAsia="Times New Roman" w:cs="Times New Roman"/>
          <w:rtl/>
          <w:lang w:eastAsia="de-DE"/>
        </w:rPr>
        <w:t xml:space="preserve"> </w:t>
      </w:r>
      <w:r w:rsidRPr="005407E2">
        <w:rPr>
          <w:rFonts w:eastAsia="Times New Roman" w:cs="Times New Roman"/>
          <w:lang w:eastAsia="de-DE"/>
        </w:rPr>
        <w:t xml:space="preserve">(soll nicht nahen, um das Brot seines Gottes darzubringen) - </w:t>
      </w:r>
      <w:r w:rsidRPr="005407E2">
        <w:rPr>
          <w:rFonts w:eastAsia="Times New Roman" w:cs="Times New Roman"/>
          <w:b/>
          <w:bCs/>
          <w:rtl/>
          <w:lang w:eastAsia="de-DE"/>
        </w:rPr>
        <w:t>לא יקרב</w:t>
      </w:r>
      <w:r w:rsidRPr="005407E2">
        <w:rPr>
          <w:rFonts w:eastAsia="Times New Roman" w:cs="Times New Roman"/>
          <w:rtl/>
          <w:lang w:eastAsia="de-DE"/>
        </w:rPr>
        <w:t xml:space="preserve"> </w:t>
      </w:r>
      <w:r w:rsidRPr="005407E2">
        <w:rPr>
          <w:rFonts w:eastAsia="Times New Roman" w:cs="Times New Roman"/>
          <w:lang w:eastAsia="de-DE"/>
        </w:rPr>
        <w:t xml:space="preserve">(soll nicht nahen) im Qal-Imperfekt von </w:t>
      </w:r>
      <w:r w:rsidRPr="005407E2">
        <w:rPr>
          <w:rFonts w:eastAsia="Times New Roman" w:cs="Times New Roman"/>
          <w:b/>
          <w:bCs/>
          <w:rtl/>
          <w:lang w:eastAsia="de-DE"/>
        </w:rPr>
        <w:t>קרב</w:t>
      </w:r>
      <w:r w:rsidRPr="005407E2">
        <w:rPr>
          <w:rFonts w:eastAsia="Times New Roman" w:cs="Times New Roman"/>
          <w:rtl/>
          <w:lang w:eastAsia="de-DE"/>
        </w:rPr>
        <w:t xml:space="preserve"> </w:t>
      </w:r>
      <w:r w:rsidRPr="005407E2">
        <w:rPr>
          <w:rFonts w:eastAsia="Times New Roman" w:cs="Times New Roman"/>
          <w:lang w:eastAsia="de-DE"/>
        </w:rPr>
        <w:t xml:space="preserve">zeigt Annäherungsverbot. </w:t>
      </w:r>
      <w:r w:rsidRPr="005407E2">
        <w:rPr>
          <w:rFonts w:eastAsia="Times New Roman" w:cs="Times New Roman"/>
          <w:b/>
          <w:bCs/>
          <w:rtl/>
          <w:lang w:eastAsia="de-DE"/>
        </w:rPr>
        <w:t>להקריב</w:t>
      </w:r>
      <w:r w:rsidRPr="005407E2">
        <w:rPr>
          <w:rFonts w:eastAsia="Times New Roman" w:cs="Times New Roman"/>
          <w:rtl/>
          <w:lang w:eastAsia="de-DE"/>
        </w:rPr>
        <w:t xml:space="preserve"> </w:t>
      </w:r>
      <w:r w:rsidRPr="005407E2">
        <w:rPr>
          <w:rFonts w:eastAsia="Times New Roman" w:cs="Times New Roman"/>
          <w:lang w:eastAsia="de-DE"/>
        </w:rPr>
        <w:t>(um darzubringen) im Hifil-Infinitiv-</w:t>
      </w:r>
      <w:r>
        <w:rPr>
          <w:rFonts w:eastAsia="Times New Roman" w:cs="Times New Roman"/>
          <w:lang w:eastAsia="de-DE"/>
        </w:rPr>
        <w:t>Constructus</w:t>
      </w:r>
      <w:r w:rsidRPr="005407E2">
        <w:rPr>
          <w:rFonts w:eastAsia="Times New Roman" w:cs="Times New Roman"/>
          <w:lang w:eastAsia="de-DE"/>
        </w:rPr>
        <w:t xml:space="preserve"> zeigt den Zweck.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(das Brot seines Gottes) entspricht den vorherigen Opferbezeichnungen.</w:t>
      </w:r>
    </w:p>
    <w:p w14:paraId="2B37583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מזרעך לדרתם</w:t>
      </w:r>
      <w:r w:rsidRPr="005407E2">
        <w:rPr>
          <w:rFonts w:eastAsia="Times New Roman" w:cs="Times New Roman"/>
          <w:rtl/>
          <w:lang w:eastAsia="de-DE"/>
        </w:rPr>
        <w:t xml:space="preserve"> </w:t>
      </w:r>
      <w:r w:rsidRPr="005407E2">
        <w:rPr>
          <w:rFonts w:eastAsia="Times New Roman" w:cs="Times New Roman"/>
          <w:lang w:eastAsia="de-DE"/>
        </w:rPr>
        <w:t xml:space="preserve">zeigt dauerhafte Gültigkeit für alle aaronitischen Nachkommen. </w:t>
      </w:r>
      <w:r w:rsidRPr="005407E2">
        <w:rPr>
          <w:rFonts w:eastAsia="Times New Roman" w:cs="Times New Roman"/>
          <w:b/>
          <w:bCs/>
          <w:rtl/>
          <w:lang w:eastAsia="de-DE"/>
        </w:rPr>
        <w:t>מום</w:t>
      </w:r>
      <w:r w:rsidRPr="005407E2">
        <w:rPr>
          <w:rFonts w:eastAsia="Times New Roman" w:cs="Times New Roman"/>
          <w:rtl/>
          <w:lang w:eastAsia="de-DE"/>
        </w:rPr>
        <w:t xml:space="preserve"> </w:t>
      </w:r>
      <w:r w:rsidRPr="005407E2">
        <w:rPr>
          <w:rFonts w:eastAsia="Times New Roman" w:cs="Times New Roman"/>
          <w:lang w:eastAsia="de-DE"/>
        </w:rPr>
        <w:t xml:space="preserve">als körperlicher Makel. </w:t>
      </w:r>
      <w:r w:rsidRPr="005407E2">
        <w:rPr>
          <w:rFonts w:eastAsia="Times New Roman" w:cs="Times New Roman"/>
          <w:b/>
          <w:bCs/>
          <w:rtl/>
          <w:lang w:eastAsia="de-DE"/>
        </w:rPr>
        <w:t>לא יקרב</w:t>
      </w:r>
      <w:r w:rsidRPr="005407E2">
        <w:rPr>
          <w:rFonts w:eastAsia="Times New Roman" w:cs="Times New Roman"/>
          <w:rtl/>
          <w:lang w:eastAsia="de-DE"/>
        </w:rPr>
        <w:t xml:space="preserve"> </w:t>
      </w:r>
      <w:r w:rsidRPr="005407E2">
        <w:rPr>
          <w:rFonts w:eastAsia="Times New Roman" w:cs="Times New Roman"/>
          <w:lang w:eastAsia="de-DE"/>
        </w:rPr>
        <w:t xml:space="preserve">verbietet liturgische Annäherung.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zeigt Opferfunktion als betroffen.</w:t>
      </w:r>
    </w:p>
    <w:p w14:paraId="0541255C"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מזרעך</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ἐκ</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τοῦ</w:t>
      </w:r>
      <w:proofErr w:type="spellEnd"/>
      <w:r w:rsidRPr="005407E2">
        <w:rPr>
          <w:rFonts w:eastAsia="Times New Roman" w:cs="Times New Roman"/>
          <w:lang w:eastAsia="de-DE"/>
        </w:rPr>
        <w:t xml:space="preserve"> σπ</w:t>
      </w:r>
      <w:proofErr w:type="spellStart"/>
      <w:r w:rsidRPr="005407E2">
        <w:rPr>
          <w:rFonts w:eastAsia="Times New Roman" w:cs="Times New Roman"/>
          <w:lang w:eastAsia="de-DE"/>
        </w:rPr>
        <w:t>έρμ</w:t>
      </w:r>
      <w:proofErr w:type="spellEnd"/>
      <w:r w:rsidRPr="005407E2">
        <w:rPr>
          <w:rFonts w:eastAsia="Times New Roman" w:cs="Times New Roman"/>
          <w:lang w:eastAsia="de-DE"/>
        </w:rPr>
        <w:t xml:space="preserve">ατός </w:t>
      </w:r>
      <w:proofErr w:type="spellStart"/>
      <w:r w:rsidRPr="005407E2">
        <w:rPr>
          <w:rFonts w:eastAsia="Times New Roman" w:cs="Times New Roman"/>
          <w:lang w:eastAsia="de-DE"/>
        </w:rPr>
        <w:t>σου</w:t>
      </w:r>
      <w:proofErr w:type="spellEnd"/>
      <w:r w:rsidRPr="005407E2">
        <w:rPr>
          <w:rFonts w:eastAsia="Times New Roman" w:cs="Times New Roman"/>
          <w:lang w:eastAsia="de-DE"/>
        </w:rPr>
        <w:t xml:space="preserve"> (aus deinem Samen), </w:t>
      </w:r>
      <w:r w:rsidRPr="005407E2">
        <w:rPr>
          <w:rFonts w:eastAsia="Times New Roman" w:cs="Times New Roman"/>
          <w:b/>
          <w:bCs/>
          <w:rtl/>
          <w:lang w:eastAsia="de-DE"/>
        </w:rPr>
        <w:t>לדרתם</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εἰς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τὰς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γενεὰς</w:t>
      </w:r>
      <w:proofErr w:type="spellEnd"/>
      <w:r w:rsidRPr="005407E2">
        <w:rPr>
          <w:rFonts w:eastAsia="Times New Roman" w:cs="Times New Roman"/>
          <w:lang w:eastAsia="de-DE"/>
        </w:rPr>
        <w:t xml:space="preserve"> α</w:t>
      </w:r>
      <w:proofErr w:type="spellStart"/>
      <w:r w:rsidRPr="005407E2">
        <w:rPr>
          <w:rFonts w:eastAsia="Times New Roman" w:cs="Times New Roman"/>
          <w:lang w:eastAsia="de-DE"/>
        </w:rPr>
        <w:t>ὐτῶν</w:t>
      </w:r>
      <w:proofErr w:type="spellEnd"/>
      <w:r w:rsidRPr="005407E2">
        <w:rPr>
          <w:rFonts w:eastAsia="Times New Roman" w:cs="Times New Roman"/>
          <w:lang w:eastAsia="de-DE"/>
        </w:rPr>
        <w:t xml:space="preserve"> (in ihre Generationen), </w:t>
      </w:r>
      <w:r w:rsidRPr="005407E2">
        <w:rPr>
          <w:rFonts w:eastAsia="Times New Roman" w:cs="Times New Roman"/>
          <w:b/>
          <w:bCs/>
          <w:rtl/>
          <w:lang w:eastAsia="de-DE"/>
        </w:rPr>
        <w:t>מום</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μῶμος</w:t>
      </w:r>
      <w:proofErr w:type="spellEnd"/>
      <w:r w:rsidRPr="005407E2">
        <w:rPr>
          <w:rFonts w:eastAsia="Times New Roman" w:cs="Times New Roman"/>
          <w:lang w:eastAsia="de-DE"/>
        </w:rPr>
        <w:t xml:space="preserve"> (Makel), </w:t>
      </w:r>
      <w:r w:rsidRPr="005407E2">
        <w:rPr>
          <w:rFonts w:eastAsia="Times New Roman" w:cs="Times New Roman"/>
          <w:b/>
          <w:bCs/>
          <w:rtl/>
          <w:lang w:eastAsia="de-DE"/>
        </w:rPr>
        <w:t>יקרב</w:t>
      </w:r>
      <w:r w:rsidRPr="005407E2">
        <w:rPr>
          <w:rFonts w:eastAsia="Times New Roman" w:cs="Times New Roman"/>
          <w:rtl/>
          <w:lang w:eastAsia="de-DE"/>
        </w:rPr>
        <w:t xml:space="preserve"> </w:t>
      </w:r>
      <w:r w:rsidRPr="005407E2">
        <w:rPr>
          <w:rFonts w:eastAsia="Times New Roman" w:cs="Times New Roman"/>
          <w:lang w:eastAsia="de-DE"/>
        </w:rPr>
        <w:t>mit π</w:t>
      </w:r>
      <w:proofErr w:type="spellStart"/>
      <w:r w:rsidRPr="005407E2">
        <w:rPr>
          <w:rFonts w:eastAsia="Times New Roman" w:cs="Times New Roman"/>
          <w:lang w:eastAsia="de-DE"/>
        </w:rPr>
        <w:t>ροσελεύσετ</w:t>
      </w:r>
      <w:proofErr w:type="spellEnd"/>
      <w:r w:rsidRPr="005407E2">
        <w:rPr>
          <w:rFonts w:eastAsia="Times New Roman" w:cs="Times New Roman"/>
          <w:lang w:eastAsia="de-DE"/>
        </w:rPr>
        <w:t xml:space="preserve">αι (wird nahen) und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ἄρτους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θεοῦ</w:t>
      </w:r>
      <w:proofErr w:type="spellEnd"/>
      <w:r w:rsidRPr="005407E2">
        <w:rPr>
          <w:rFonts w:eastAsia="Times New Roman" w:cs="Times New Roman"/>
          <w:lang w:eastAsia="de-DE"/>
        </w:rPr>
        <w:t xml:space="preserve"> α</w:t>
      </w:r>
      <w:proofErr w:type="spellStart"/>
      <w:r w:rsidRPr="005407E2">
        <w:rPr>
          <w:rFonts w:eastAsia="Times New Roman" w:cs="Times New Roman"/>
          <w:lang w:eastAsia="de-DE"/>
        </w:rPr>
        <w:t>ὐτοῦ</w:t>
      </w:r>
      <w:proofErr w:type="spellEnd"/>
      <w:r w:rsidRPr="005407E2">
        <w:rPr>
          <w:rFonts w:eastAsia="Times New Roman" w:cs="Times New Roman"/>
          <w:lang w:eastAsia="de-DE"/>
        </w:rPr>
        <w:t xml:space="preserve"> (Brote seines Gottes).</w:t>
      </w:r>
    </w:p>
    <w:p w14:paraId="2F42DDF0"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Makel-Grundprinzip: Aharon-Anrede + aaronitische Nachkommenschaft + Generationen-Gültigkeit + Makel-Bedingung + Opfer-Annäherungsverbot.</w:t>
      </w:r>
    </w:p>
    <w:p w14:paraId="33491DC6"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etabliert das Grundprinzip: Aaronitische Priester mit körperlichen Makeln dürfen nicht opfern.</w:t>
      </w:r>
    </w:p>
    <w:p w14:paraId="170809C0"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21,18</w:t>
      </w:r>
    </w:p>
    <w:p w14:paraId="2A6AD5E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כִּ֥י כָל־אִ֛ישׁ אֲשֶׁר־בּוֹ֥ מ֖וּם לֹ֣א יִקְרָ֑ב אִ֤ישׁ עִוֵּר֙ א֣וֹ פִסֵּ֔חַ א֥וֹ חָרֻ֖ם א֥וֹ שָׂרֽוּעַ׃</w:t>
      </w:r>
    </w:p>
    <w:p w14:paraId="5F9CDFE0"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denn jeder Mann, an dem ein Makel ist, soll nicht nahen: ein blinder Mann oder ein Lahmer oder einer mit eingedrückter Nase oder mit zu langem Glied,</w:t>
      </w:r>
    </w:p>
    <w:p w14:paraId="20456FDD"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285F6362">
          <v:rect id="_x0000_i1642" style="width:0;height:1.5pt" o:hralign="center" o:hrstd="t" o:hr="t" fillcolor="#a0a0a0" stroked="f"/>
        </w:pict>
      </w:r>
    </w:p>
    <w:p w14:paraId="22E142C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כי כל־איש אשר־בו מום לא יקרב איש עור או פסח או חרם או שרוע</w:t>
      </w:r>
      <w:r w:rsidRPr="005407E2">
        <w:rPr>
          <w:rFonts w:eastAsia="Times New Roman" w:cs="Times New Roman"/>
          <w:rtl/>
          <w:lang w:eastAsia="de-DE"/>
        </w:rPr>
        <w:t xml:space="preserve"> </w:t>
      </w:r>
      <w:r w:rsidRPr="005407E2">
        <w:rPr>
          <w:rFonts w:eastAsia="Times New Roman" w:cs="Times New Roman"/>
          <w:lang w:eastAsia="de-DE"/>
        </w:rPr>
        <w:t xml:space="preserve">beginnt die konkrete Auflistung der Makel. </w:t>
      </w:r>
      <w:r w:rsidRPr="005407E2">
        <w:rPr>
          <w:rFonts w:eastAsia="Times New Roman" w:cs="Times New Roman"/>
          <w:b/>
          <w:bCs/>
          <w:rtl/>
          <w:lang w:eastAsia="de-DE"/>
        </w:rPr>
        <w:t>כי כל־איש אשר־בו מום לא יקרב</w:t>
      </w:r>
      <w:r w:rsidRPr="005407E2">
        <w:rPr>
          <w:rFonts w:eastAsia="Times New Roman" w:cs="Times New Roman"/>
          <w:rtl/>
          <w:lang w:eastAsia="de-DE"/>
        </w:rPr>
        <w:t xml:space="preserve"> </w:t>
      </w:r>
      <w:r w:rsidRPr="005407E2">
        <w:rPr>
          <w:rFonts w:eastAsia="Times New Roman" w:cs="Times New Roman"/>
          <w:lang w:eastAsia="de-DE"/>
        </w:rPr>
        <w:t xml:space="preserve">(denn jeder Mann, an dem ein Makel ist, soll nicht nahen) wiederholt und verstärkt V. 17 mit </w:t>
      </w:r>
      <w:r w:rsidRPr="005407E2">
        <w:rPr>
          <w:rFonts w:eastAsia="Times New Roman" w:cs="Times New Roman"/>
          <w:b/>
          <w:bCs/>
          <w:rtl/>
          <w:lang w:eastAsia="de-DE"/>
        </w:rPr>
        <w:t>כל</w:t>
      </w:r>
      <w:r w:rsidRPr="005407E2">
        <w:rPr>
          <w:rFonts w:eastAsia="Times New Roman" w:cs="Times New Roman"/>
          <w:rtl/>
          <w:lang w:eastAsia="de-DE"/>
        </w:rPr>
        <w:t xml:space="preserve"> </w:t>
      </w:r>
      <w:r w:rsidRPr="005407E2">
        <w:rPr>
          <w:rFonts w:eastAsia="Times New Roman" w:cs="Times New Roman"/>
          <w:lang w:eastAsia="de-DE"/>
        </w:rPr>
        <w:t>(jeder) für Vollständigkeit.</w:t>
      </w:r>
    </w:p>
    <w:p w14:paraId="36CCCAA7"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איש עור או פסח או חרם או שרוע</w:t>
      </w:r>
      <w:r w:rsidRPr="005407E2">
        <w:rPr>
          <w:rFonts w:eastAsia="Times New Roman" w:cs="Times New Roman"/>
          <w:rtl/>
          <w:lang w:eastAsia="de-DE"/>
        </w:rPr>
        <w:t xml:space="preserve"> </w:t>
      </w:r>
      <w:r w:rsidRPr="005407E2">
        <w:rPr>
          <w:rFonts w:eastAsia="Times New Roman" w:cs="Times New Roman"/>
          <w:lang w:eastAsia="de-DE"/>
        </w:rPr>
        <w:t>(ein blinder Mann oder ein Lahmer oder einer mit eingedrückter Nase oder mit zu langem Glied) zählt vier spezifische Makel auf:</w:t>
      </w:r>
    </w:p>
    <w:p w14:paraId="69873F22" w14:textId="77777777" w:rsidR="005407E2" w:rsidRPr="005407E2" w:rsidRDefault="005407E2" w:rsidP="005407E2">
      <w:pPr>
        <w:numPr>
          <w:ilvl w:val="0"/>
          <w:numId w:val="1"/>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עור</w:t>
      </w:r>
      <w:r w:rsidRPr="005407E2">
        <w:rPr>
          <w:rFonts w:eastAsia="Times New Roman" w:cs="Times New Roman"/>
          <w:rtl/>
          <w:lang w:eastAsia="de-DE"/>
        </w:rPr>
        <w:t xml:space="preserve"> </w:t>
      </w:r>
      <w:r w:rsidRPr="005407E2">
        <w:rPr>
          <w:rFonts w:eastAsia="Times New Roman" w:cs="Times New Roman"/>
          <w:lang w:eastAsia="de-DE"/>
        </w:rPr>
        <w:t>(blind) zeigt Blindheit</w:t>
      </w:r>
    </w:p>
    <w:p w14:paraId="048DECB9" w14:textId="77777777" w:rsidR="005407E2" w:rsidRPr="005407E2" w:rsidRDefault="005407E2" w:rsidP="005407E2">
      <w:pPr>
        <w:numPr>
          <w:ilvl w:val="0"/>
          <w:numId w:val="1"/>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פסח</w:t>
      </w:r>
      <w:r w:rsidRPr="005407E2">
        <w:rPr>
          <w:rFonts w:eastAsia="Times New Roman" w:cs="Times New Roman"/>
          <w:rtl/>
          <w:lang w:eastAsia="de-DE"/>
        </w:rPr>
        <w:t xml:space="preserve"> </w:t>
      </w:r>
      <w:r w:rsidRPr="005407E2">
        <w:rPr>
          <w:rFonts w:eastAsia="Times New Roman" w:cs="Times New Roman"/>
          <w:lang w:eastAsia="de-DE"/>
        </w:rPr>
        <w:t>(lahm) zeigt Lahmheit</w:t>
      </w:r>
    </w:p>
    <w:p w14:paraId="53BF21DD" w14:textId="77777777" w:rsidR="005407E2" w:rsidRPr="005407E2" w:rsidRDefault="005407E2" w:rsidP="005407E2">
      <w:pPr>
        <w:numPr>
          <w:ilvl w:val="0"/>
          <w:numId w:val="1"/>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חרם</w:t>
      </w:r>
      <w:r w:rsidRPr="005407E2">
        <w:rPr>
          <w:rFonts w:eastAsia="Times New Roman" w:cs="Times New Roman"/>
          <w:rtl/>
          <w:lang w:eastAsia="de-DE"/>
        </w:rPr>
        <w:t xml:space="preserve"> </w:t>
      </w:r>
      <w:r w:rsidRPr="005407E2">
        <w:rPr>
          <w:rFonts w:eastAsia="Times New Roman" w:cs="Times New Roman"/>
          <w:lang w:eastAsia="de-DE"/>
        </w:rPr>
        <w:t>(mit eingedrückter Nase) zeigt Nasendeformation</w:t>
      </w:r>
    </w:p>
    <w:p w14:paraId="6682FF03" w14:textId="77777777" w:rsidR="005407E2" w:rsidRPr="005407E2" w:rsidRDefault="005407E2" w:rsidP="005407E2">
      <w:pPr>
        <w:numPr>
          <w:ilvl w:val="0"/>
          <w:numId w:val="1"/>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שרוע</w:t>
      </w:r>
      <w:r w:rsidRPr="005407E2">
        <w:rPr>
          <w:rFonts w:eastAsia="Times New Roman" w:cs="Times New Roman"/>
          <w:rtl/>
          <w:lang w:eastAsia="de-DE"/>
        </w:rPr>
        <w:t xml:space="preserve"> </w:t>
      </w:r>
      <w:r w:rsidRPr="005407E2">
        <w:rPr>
          <w:rFonts w:eastAsia="Times New Roman" w:cs="Times New Roman"/>
          <w:lang w:eastAsia="de-DE"/>
        </w:rPr>
        <w:t>(mit zu langem Glied) zeigt überlange Körperglieder</w:t>
      </w:r>
    </w:p>
    <w:p w14:paraId="4A7E0D3A"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כל־איש</w:t>
      </w:r>
      <w:r w:rsidRPr="005407E2">
        <w:rPr>
          <w:rFonts w:eastAsia="Times New Roman" w:cs="Times New Roman"/>
          <w:rtl/>
          <w:lang w:eastAsia="de-DE"/>
        </w:rPr>
        <w:t xml:space="preserve"> </w:t>
      </w:r>
      <w:r w:rsidRPr="005407E2">
        <w:rPr>
          <w:rFonts w:eastAsia="Times New Roman" w:cs="Times New Roman"/>
          <w:lang w:eastAsia="de-DE"/>
        </w:rPr>
        <w:t>betont universelle Anwendung ohne Ausnahme. Die vier Makel zeigen verschiedene Kategorien: Sinnesbehinderung, Bewegungsbehinderung, Gesichtsdeformation, Körperproportionsstörung.</w:t>
      </w:r>
    </w:p>
    <w:p w14:paraId="60CE3C91" w14:textId="12DF3D52"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w:t>
      </w:r>
      <w:r w:rsidR="0007678B">
        <w:t xml:space="preserve">identifiziert spezifische Behinderungen: </w:t>
      </w:r>
      <w:r w:rsidR="0007678B">
        <w:rPr>
          <w:rtl/>
        </w:rPr>
        <w:t>עור</w:t>
      </w:r>
      <w:r w:rsidR="0007678B">
        <w:t xml:space="preserve"> (</w:t>
      </w:r>
      <w:proofErr w:type="spellStart"/>
      <w:r w:rsidR="0007678B">
        <w:t>ivver</w:t>
      </w:r>
      <w:proofErr w:type="spellEnd"/>
      <w:r w:rsidR="0007678B">
        <w:t xml:space="preserve"> - "blind") als </w:t>
      </w:r>
      <w:proofErr w:type="spellStart"/>
      <w:r w:rsidR="0007678B">
        <w:t>τυφλός</w:t>
      </w:r>
      <w:proofErr w:type="spellEnd"/>
      <w:r w:rsidR="0007678B">
        <w:t xml:space="preserve">, </w:t>
      </w:r>
      <w:r w:rsidR="0007678B">
        <w:rPr>
          <w:rtl/>
        </w:rPr>
        <w:t>פסח</w:t>
      </w:r>
      <w:r w:rsidR="0007678B">
        <w:t xml:space="preserve"> (</w:t>
      </w:r>
      <w:proofErr w:type="spellStart"/>
      <w:r w:rsidR="0007678B">
        <w:t>pisse'ach</w:t>
      </w:r>
      <w:proofErr w:type="spellEnd"/>
      <w:r w:rsidR="0007678B">
        <w:t xml:space="preserve"> - "lahm") als </w:t>
      </w:r>
      <w:proofErr w:type="spellStart"/>
      <w:r w:rsidR="0007678B">
        <w:t>χωλός</w:t>
      </w:r>
      <w:proofErr w:type="spellEnd"/>
      <w:r w:rsidR="0007678B">
        <w:t xml:space="preserve">, </w:t>
      </w:r>
      <w:r w:rsidR="0007678B">
        <w:rPr>
          <w:rtl/>
        </w:rPr>
        <w:t>חרם</w:t>
      </w:r>
      <w:r w:rsidR="0007678B">
        <w:t xml:space="preserve"> (</w:t>
      </w:r>
      <w:proofErr w:type="spellStart"/>
      <w:r w:rsidR="0007678B">
        <w:t>charum</w:t>
      </w:r>
      <w:proofErr w:type="spellEnd"/>
      <w:r w:rsidR="0007678B">
        <w:t xml:space="preserve"> - "geschlitzte Nase") als </w:t>
      </w:r>
      <w:proofErr w:type="spellStart"/>
      <w:r w:rsidR="0007678B">
        <w:t>κολο</w:t>
      </w:r>
      <w:proofErr w:type="spellEnd"/>
      <w:r w:rsidR="0007678B">
        <w:t xml:space="preserve">βόριν (stumpfnasig), und </w:t>
      </w:r>
      <w:r w:rsidR="0007678B">
        <w:rPr>
          <w:rtl/>
        </w:rPr>
        <w:t>שרוע</w:t>
      </w:r>
      <w:r w:rsidR="0007678B">
        <w:t xml:space="preserve"> (</w:t>
      </w:r>
      <w:proofErr w:type="spellStart"/>
      <w:r w:rsidR="0007678B">
        <w:t>sarua</w:t>
      </w:r>
      <w:proofErr w:type="spellEnd"/>
      <w:r w:rsidR="0007678B">
        <w:t xml:space="preserve">' - "zu lang/verkrüppelt") als </w:t>
      </w:r>
      <w:proofErr w:type="spellStart"/>
      <w:r w:rsidR="0007678B">
        <w:t>ὠτότμητος</w:t>
      </w:r>
      <w:proofErr w:type="spellEnd"/>
      <w:r w:rsidR="0007678B">
        <w:t xml:space="preserve"> (ohrverstümmelt).</w:t>
      </w:r>
    </w:p>
    <w:p w14:paraId="62F65FFD"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lastRenderedPageBreak/>
        <w:t>Die Satzstruktur</w:t>
      </w:r>
      <w:r w:rsidRPr="005407E2">
        <w:rPr>
          <w:rFonts w:eastAsia="Times New Roman" w:cs="Times New Roman"/>
          <w:lang w:eastAsia="de-DE"/>
        </w:rPr>
        <w:t xml:space="preserve"> zeigt Makel-Auflistung: universelle Bekräftigung + vier spezifische Makel-Kategorien.</w:t>
      </w:r>
    </w:p>
    <w:p w14:paraId="20CD5A8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beginnt die systematische Auflistung körperlicher Makel mit vier grundlegenden Kategorien.</w:t>
      </w:r>
    </w:p>
    <w:p w14:paraId="0116E349"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21,19</w:t>
      </w:r>
    </w:p>
    <w:p w14:paraId="661A0CC2"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א֣וֹ אִ֔ישׁ אֲשֶׁר־יִהְיֶ֥ה בוֹ֖ שֶׁ֣בֶר רָ֑גֶל א֖וֹ שֶׁ֥בֶר יָֽד׃</w:t>
      </w:r>
    </w:p>
    <w:p w14:paraId="106852E3"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oder ein Mann, an dem ein Bruch des Fußes oder ein Bruch der Hand ist,</w:t>
      </w:r>
    </w:p>
    <w:p w14:paraId="0D407655"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6E746B9C">
          <v:rect id="_x0000_i1643" style="width:0;height:1.5pt" o:hralign="center" o:hrstd="t" o:hr="t" fillcolor="#a0a0a0" stroked="f"/>
        </w:pict>
      </w:r>
    </w:p>
    <w:p w14:paraId="7D084044"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או איש אשר־יהיה בו שבר רגל או שבר יד</w:t>
      </w:r>
      <w:r w:rsidRPr="005407E2">
        <w:rPr>
          <w:rFonts w:eastAsia="Times New Roman" w:cs="Times New Roman"/>
          <w:rtl/>
          <w:lang w:eastAsia="de-DE"/>
        </w:rPr>
        <w:t xml:space="preserve"> </w:t>
      </w:r>
      <w:r w:rsidRPr="005407E2">
        <w:rPr>
          <w:rFonts w:eastAsia="Times New Roman" w:cs="Times New Roman"/>
          <w:lang w:eastAsia="de-DE"/>
        </w:rPr>
        <w:t xml:space="preserve">setzt die Makel-Auflistung fort. </w:t>
      </w:r>
      <w:r w:rsidRPr="005407E2">
        <w:rPr>
          <w:rFonts w:eastAsia="Times New Roman" w:cs="Times New Roman"/>
          <w:b/>
          <w:bCs/>
          <w:rtl/>
          <w:lang w:eastAsia="de-DE"/>
        </w:rPr>
        <w:t>או איש אשר־יהיה בו</w:t>
      </w:r>
      <w:r w:rsidRPr="005407E2">
        <w:rPr>
          <w:rFonts w:eastAsia="Times New Roman" w:cs="Times New Roman"/>
          <w:rtl/>
          <w:lang w:eastAsia="de-DE"/>
        </w:rPr>
        <w:t xml:space="preserve"> </w:t>
      </w:r>
      <w:r w:rsidRPr="005407E2">
        <w:rPr>
          <w:rFonts w:eastAsia="Times New Roman" w:cs="Times New Roman"/>
          <w:lang w:eastAsia="de-DE"/>
        </w:rPr>
        <w:t xml:space="preserve">(oder ein Mann, an dem ist) als Fortsetzungsformel. </w:t>
      </w:r>
      <w:r w:rsidRPr="005407E2">
        <w:rPr>
          <w:rFonts w:eastAsia="Times New Roman" w:cs="Times New Roman"/>
          <w:b/>
          <w:bCs/>
          <w:rtl/>
          <w:lang w:eastAsia="de-DE"/>
        </w:rPr>
        <w:t>שבר רגל או שבר יד</w:t>
      </w:r>
      <w:r w:rsidRPr="005407E2">
        <w:rPr>
          <w:rFonts w:eastAsia="Times New Roman" w:cs="Times New Roman"/>
          <w:rtl/>
          <w:lang w:eastAsia="de-DE"/>
        </w:rPr>
        <w:t xml:space="preserve"> </w:t>
      </w:r>
      <w:r w:rsidRPr="005407E2">
        <w:rPr>
          <w:rFonts w:eastAsia="Times New Roman" w:cs="Times New Roman"/>
          <w:lang w:eastAsia="de-DE"/>
        </w:rPr>
        <w:t>(ein Bruch des Fußes oder ein Bruch der Hand) zeigt zwei weitere Makel:</w:t>
      </w:r>
    </w:p>
    <w:p w14:paraId="4096630B" w14:textId="77777777" w:rsidR="005407E2" w:rsidRPr="005407E2" w:rsidRDefault="005407E2" w:rsidP="005407E2">
      <w:pPr>
        <w:numPr>
          <w:ilvl w:val="0"/>
          <w:numId w:val="2"/>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שבר רגל</w:t>
      </w:r>
      <w:r w:rsidRPr="005407E2">
        <w:rPr>
          <w:rFonts w:eastAsia="Times New Roman" w:cs="Times New Roman"/>
          <w:rtl/>
          <w:lang w:eastAsia="de-DE"/>
        </w:rPr>
        <w:t xml:space="preserve"> </w:t>
      </w:r>
      <w:r w:rsidRPr="005407E2">
        <w:rPr>
          <w:rFonts w:eastAsia="Times New Roman" w:cs="Times New Roman"/>
          <w:lang w:eastAsia="de-DE"/>
        </w:rPr>
        <w:t>(Bruch des Fußes) zeigt Fußverletzungen oder -deformationen</w:t>
      </w:r>
    </w:p>
    <w:p w14:paraId="64627E07" w14:textId="77777777" w:rsidR="005407E2" w:rsidRPr="005407E2" w:rsidRDefault="005407E2" w:rsidP="005407E2">
      <w:pPr>
        <w:numPr>
          <w:ilvl w:val="0"/>
          <w:numId w:val="2"/>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שבר יד</w:t>
      </w:r>
      <w:r w:rsidRPr="005407E2">
        <w:rPr>
          <w:rFonts w:eastAsia="Times New Roman" w:cs="Times New Roman"/>
          <w:rtl/>
          <w:lang w:eastAsia="de-DE"/>
        </w:rPr>
        <w:t xml:space="preserve"> </w:t>
      </w:r>
      <w:r w:rsidRPr="005407E2">
        <w:rPr>
          <w:rFonts w:eastAsia="Times New Roman" w:cs="Times New Roman"/>
          <w:lang w:eastAsia="de-DE"/>
        </w:rPr>
        <w:t>(Bruch der Hand) zeigt Handverletzungen oder -deformationen</w:t>
      </w:r>
    </w:p>
    <w:p w14:paraId="3189B500"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שבר</w:t>
      </w:r>
      <w:r w:rsidRPr="005407E2">
        <w:rPr>
          <w:rFonts w:eastAsia="Times New Roman" w:cs="Times New Roman"/>
          <w:rtl/>
          <w:lang w:eastAsia="de-DE"/>
        </w:rPr>
        <w:t xml:space="preserve"> </w:t>
      </w:r>
      <w:r w:rsidRPr="005407E2">
        <w:rPr>
          <w:rFonts w:eastAsia="Times New Roman" w:cs="Times New Roman"/>
          <w:lang w:eastAsia="de-DE"/>
        </w:rPr>
        <w:t xml:space="preserve">(Bruch) kann geheilte Knochenbrüche oder angeborene Deformationen bezeichnen. </w:t>
      </w:r>
      <w:r w:rsidRPr="005407E2">
        <w:rPr>
          <w:rFonts w:eastAsia="Times New Roman" w:cs="Times New Roman"/>
          <w:b/>
          <w:bCs/>
          <w:rtl/>
          <w:lang w:eastAsia="de-DE"/>
        </w:rPr>
        <w:t>רגל</w:t>
      </w:r>
      <w:r w:rsidRPr="005407E2">
        <w:rPr>
          <w:rFonts w:eastAsia="Times New Roman" w:cs="Times New Roman"/>
          <w:rtl/>
          <w:lang w:eastAsia="de-DE"/>
        </w:rPr>
        <w:t xml:space="preserve"> </w:t>
      </w:r>
      <w:r w:rsidRPr="005407E2">
        <w:rPr>
          <w:rFonts w:eastAsia="Times New Roman" w:cs="Times New Roman"/>
          <w:lang w:eastAsia="de-DE"/>
        </w:rPr>
        <w:t xml:space="preserve">und </w:t>
      </w:r>
      <w:r w:rsidRPr="005407E2">
        <w:rPr>
          <w:rFonts w:eastAsia="Times New Roman" w:cs="Times New Roman"/>
          <w:b/>
          <w:bCs/>
          <w:rtl/>
          <w:lang w:eastAsia="de-DE"/>
        </w:rPr>
        <w:t>יד</w:t>
      </w:r>
      <w:r w:rsidRPr="005407E2">
        <w:rPr>
          <w:rFonts w:eastAsia="Times New Roman" w:cs="Times New Roman"/>
          <w:rtl/>
          <w:lang w:eastAsia="de-DE"/>
        </w:rPr>
        <w:t xml:space="preserve"> </w:t>
      </w:r>
      <w:r w:rsidRPr="005407E2">
        <w:rPr>
          <w:rFonts w:eastAsia="Times New Roman" w:cs="Times New Roman"/>
          <w:lang w:eastAsia="de-DE"/>
        </w:rPr>
        <w:t>als die wichtigsten Bewegungsorgane zeigen funktionale Beeinträchtigungen.</w:t>
      </w:r>
    </w:p>
    <w:p w14:paraId="0AF18E6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שבר רגל</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σύντριμμ</w:t>
      </w:r>
      <w:proofErr w:type="spellEnd"/>
      <w:r w:rsidRPr="005407E2">
        <w:rPr>
          <w:rFonts w:eastAsia="Times New Roman" w:cs="Times New Roman"/>
          <w:lang w:eastAsia="de-DE"/>
        </w:rPr>
        <w:t>α π</w:t>
      </w:r>
      <w:proofErr w:type="spellStart"/>
      <w:r w:rsidRPr="005407E2">
        <w:rPr>
          <w:rFonts w:eastAsia="Times New Roman" w:cs="Times New Roman"/>
          <w:lang w:eastAsia="de-DE"/>
        </w:rPr>
        <w:t>οδός</w:t>
      </w:r>
      <w:proofErr w:type="spellEnd"/>
      <w:r w:rsidRPr="005407E2">
        <w:rPr>
          <w:rFonts w:eastAsia="Times New Roman" w:cs="Times New Roman"/>
          <w:lang w:eastAsia="de-DE"/>
        </w:rPr>
        <w:t xml:space="preserve"> (Zerbrechen des Fußes) und </w:t>
      </w:r>
      <w:r w:rsidRPr="005407E2">
        <w:rPr>
          <w:rFonts w:eastAsia="Times New Roman" w:cs="Times New Roman"/>
          <w:b/>
          <w:bCs/>
          <w:rtl/>
          <w:lang w:eastAsia="de-DE"/>
        </w:rPr>
        <w:t>שבר יד</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σύντριμμ</w:t>
      </w:r>
      <w:proofErr w:type="spellEnd"/>
      <w:r w:rsidRPr="005407E2">
        <w:rPr>
          <w:rFonts w:eastAsia="Times New Roman" w:cs="Times New Roman"/>
          <w:lang w:eastAsia="de-DE"/>
        </w:rPr>
        <w:t xml:space="preserve">α </w:t>
      </w:r>
      <w:proofErr w:type="spellStart"/>
      <w:r w:rsidRPr="005407E2">
        <w:rPr>
          <w:rFonts w:eastAsia="Times New Roman" w:cs="Times New Roman"/>
          <w:lang w:eastAsia="de-DE"/>
        </w:rPr>
        <w:t>χειρός</w:t>
      </w:r>
      <w:proofErr w:type="spellEnd"/>
      <w:r w:rsidRPr="005407E2">
        <w:rPr>
          <w:rFonts w:eastAsia="Times New Roman" w:cs="Times New Roman"/>
          <w:lang w:eastAsia="de-DE"/>
        </w:rPr>
        <w:t xml:space="preserve"> (Zerbrechen der Hand).</w:t>
      </w:r>
    </w:p>
    <w:p w14:paraId="6FF0D13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Makel-Fortsetzung: Fortsetzungsformel + zwei Gliedmaßen-Deformationen.</w:t>
      </w:r>
    </w:p>
    <w:p w14:paraId="049830D6"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setzt die Auflistung mit Deformationen der wichtigsten Bewegungsorgane fort.</w:t>
      </w:r>
    </w:p>
    <w:p w14:paraId="5D963837"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21,20</w:t>
      </w:r>
    </w:p>
    <w:p w14:paraId="66F771D7"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אֽוֹ־גִבֵּ֣ן אוֹ־דַ֔ק א֖וֹ תְּבַלֻּ֣ל בְּעֵינֹ֑ו א֤וֹ גָרָב֙ א֣וֹ יַלֶּ֔פֶת א֖וֹ מְר֥וֹחַ אָֽשֶׁךְ׃</w:t>
      </w:r>
    </w:p>
    <w:p w14:paraId="3DD7397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oder ein Buckliger oder ein Zwerg oder einer mit einem Fleck in seinem Auge oder einer mit Krätze oder Flechte oder mit zerdrückten Hoden.</w:t>
      </w:r>
    </w:p>
    <w:p w14:paraId="04C48DCF"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035124AE">
          <v:rect id="_x0000_i1644" style="width:0;height:1.5pt" o:hralign="center" o:hrstd="t" o:hr="t" fillcolor="#a0a0a0" stroked="f"/>
        </w:pict>
      </w:r>
    </w:p>
    <w:p w14:paraId="0380F02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או־גבן או־דק או תבלל בעינו או גרב או ילפת או מרוח אשך</w:t>
      </w:r>
      <w:r w:rsidRPr="005407E2">
        <w:rPr>
          <w:rFonts w:eastAsia="Times New Roman" w:cs="Times New Roman"/>
          <w:rtl/>
          <w:lang w:eastAsia="de-DE"/>
        </w:rPr>
        <w:t xml:space="preserve"> </w:t>
      </w:r>
      <w:r w:rsidRPr="005407E2">
        <w:rPr>
          <w:rFonts w:eastAsia="Times New Roman" w:cs="Times New Roman"/>
          <w:lang w:eastAsia="de-DE"/>
        </w:rPr>
        <w:t>schließt die Makel-Auflistung mit sechs weiteren Kategorien ab:</w:t>
      </w:r>
    </w:p>
    <w:p w14:paraId="048ACE1C"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או־גבן או־דק</w:t>
      </w:r>
      <w:r w:rsidRPr="005407E2">
        <w:rPr>
          <w:rFonts w:eastAsia="Times New Roman" w:cs="Times New Roman"/>
          <w:rtl/>
          <w:lang w:eastAsia="de-DE"/>
        </w:rPr>
        <w:t xml:space="preserve"> </w:t>
      </w:r>
      <w:r w:rsidRPr="005407E2">
        <w:rPr>
          <w:rFonts w:eastAsia="Times New Roman" w:cs="Times New Roman"/>
          <w:lang w:eastAsia="de-DE"/>
        </w:rPr>
        <w:t>(oder ein Buckliger oder ein Zwerg) zeigt Körperproportionsstörungen:</w:t>
      </w:r>
    </w:p>
    <w:p w14:paraId="5C11C0E4" w14:textId="77777777" w:rsidR="005407E2" w:rsidRPr="005407E2" w:rsidRDefault="005407E2" w:rsidP="005407E2">
      <w:pPr>
        <w:numPr>
          <w:ilvl w:val="0"/>
          <w:numId w:val="3"/>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גבן</w:t>
      </w:r>
      <w:r w:rsidRPr="005407E2">
        <w:rPr>
          <w:rFonts w:eastAsia="Times New Roman" w:cs="Times New Roman"/>
          <w:rtl/>
          <w:lang w:eastAsia="de-DE"/>
        </w:rPr>
        <w:t xml:space="preserve"> </w:t>
      </w:r>
      <w:r w:rsidRPr="005407E2">
        <w:rPr>
          <w:rFonts w:eastAsia="Times New Roman" w:cs="Times New Roman"/>
          <w:lang w:eastAsia="de-DE"/>
        </w:rPr>
        <w:t>(Buckliger) zeigt Rückendeformation</w:t>
      </w:r>
    </w:p>
    <w:p w14:paraId="3021D7ED" w14:textId="77777777" w:rsidR="005407E2" w:rsidRPr="005407E2" w:rsidRDefault="005407E2" w:rsidP="005407E2">
      <w:pPr>
        <w:numPr>
          <w:ilvl w:val="0"/>
          <w:numId w:val="3"/>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דק</w:t>
      </w:r>
      <w:r w:rsidRPr="005407E2">
        <w:rPr>
          <w:rFonts w:eastAsia="Times New Roman" w:cs="Times New Roman"/>
          <w:rtl/>
          <w:lang w:eastAsia="de-DE"/>
        </w:rPr>
        <w:t xml:space="preserve"> </w:t>
      </w:r>
      <w:r w:rsidRPr="005407E2">
        <w:rPr>
          <w:rFonts w:eastAsia="Times New Roman" w:cs="Times New Roman"/>
          <w:lang w:eastAsia="de-DE"/>
        </w:rPr>
        <w:t>(Zwerg) zeigt Kleinwüchsigkeit</w:t>
      </w:r>
    </w:p>
    <w:p w14:paraId="1D65648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lastRenderedPageBreak/>
        <w:t>או תבלל בעינו</w:t>
      </w:r>
      <w:r w:rsidRPr="005407E2">
        <w:rPr>
          <w:rFonts w:eastAsia="Times New Roman" w:cs="Times New Roman"/>
          <w:rtl/>
          <w:lang w:eastAsia="de-DE"/>
        </w:rPr>
        <w:t xml:space="preserve"> </w:t>
      </w:r>
      <w:r w:rsidRPr="005407E2">
        <w:rPr>
          <w:rFonts w:eastAsia="Times New Roman" w:cs="Times New Roman"/>
          <w:lang w:eastAsia="de-DE"/>
        </w:rPr>
        <w:t xml:space="preserve">(oder einer mit einem Fleck in seinem Auge) - </w:t>
      </w:r>
      <w:r w:rsidRPr="005407E2">
        <w:rPr>
          <w:rFonts w:eastAsia="Times New Roman" w:cs="Times New Roman"/>
          <w:b/>
          <w:bCs/>
          <w:rtl/>
          <w:lang w:eastAsia="de-DE"/>
        </w:rPr>
        <w:t>תבלל</w:t>
      </w:r>
      <w:r w:rsidRPr="005407E2">
        <w:rPr>
          <w:rFonts w:eastAsia="Times New Roman" w:cs="Times New Roman"/>
          <w:rtl/>
          <w:lang w:eastAsia="de-DE"/>
        </w:rPr>
        <w:t xml:space="preserve"> </w:t>
      </w:r>
      <w:r w:rsidRPr="005407E2">
        <w:rPr>
          <w:rFonts w:eastAsia="Times New Roman" w:cs="Times New Roman"/>
          <w:lang w:eastAsia="de-DE"/>
        </w:rPr>
        <w:t>(Fleck) zeigt Augentrübung oder andere Augendefekte.</w:t>
      </w:r>
    </w:p>
    <w:p w14:paraId="55CF840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או גרב או ילפת</w:t>
      </w:r>
      <w:r w:rsidRPr="005407E2">
        <w:rPr>
          <w:rFonts w:eastAsia="Times New Roman" w:cs="Times New Roman"/>
          <w:rtl/>
          <w:lang w:eastAsia="de-DE"/>
        </w:rPr>
        <w:t xml:space="preserve"> </w:t>
      </w:r>
      <w:r w:rsidRPr="005407E2">
        <w:rPr>
          <w:rFonts w:eastAsia="Times New Roman" w:cs="Times New Roman"/>
          <w:lang w:eastAsia="de-DE"/>
        </w:rPr>
        <w:t>(oder einer mit Krätze oder Flechte) zeigt Hautkrankheiten:</w:t>
      </w:r>
    </w:p>
    <w:p w14:paraId="15092F0E" w14:textId="77777777" w:rsidR="005407E2" w:rsidRPr="005407E2" w:rsidRDefault="005407E2" w:rsidP="005407E2">
      <w:pPr>
        <w:numPr>
          <w:ilvl w:val="0"/>
          <w:numId w:val="4"/>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גרב</w:t>
      </w:r>
      <w:r w:rsidRPr="005407E2">
        <w:rPr>
          <w:rFonts w:eastAsia="Times New Roman" w:cs="Times New Roman"/>
          <w:rtl/>
          <w:lang w:eastAsia="de-DE"/>
        </w:rPr>
        <w:t xml:space="preserve"> </w:t>
      </w:r>
      <w:r w:rsidRPr="005407E2">
        <w:rPr>
          <w:rFonts w:eastAsia="Times New Roman" w:cs="Times New Roman"/>
          <w:lang w:eastAsia="de-DE"/>
        </w:rPr>
        <w:t>(Krätze) zeigt juckende Hautkrankheit</w:t>
      </w:r>
    </w:p>
    <w:p w14:paraId="1C5EE123" w14:textId="77777777" w:rsidR="005407E2" w:rsidRPr="005407E2" w:rsidRDefault="005407E2" w:rsidP="005407E2">
      <w:pPr>
        <w:numPr>
          <w:ilvl w:val="0"/>
          <w:numId w:val="4"/>
        </w:num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ילפת</w:t>
      </w:r>
      <w:r w:rsidRPr="005407E2">
        <w:rPr>
          <w:rFonts w:eastAsia="Times New Roman" w:cs="Times New Roman"/>
          <w:rtl/>
          <w:lang w:eastAsia="de-DE"/>
        </w:rPr>
        <w:t xml:space="preserve"> </w:t>
      </w:r>
      <w:r w:rsidRPr="005407E2">
        <w:rPr>
          <w:rFonts w:eastAsia="Times New Roman" w:cs="Times New Roman"/>
          <w:lang w:eastAsia="de-DE"/>
        </w:rPr>
        <w:t>(Flechte) zeigt schuppige Hautkrankheit</w:t>
      </w:r>
    </w:p>
    <w:p w14:paraId="7EEFC644"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או מרוח אשך</w:t>
      </w:r>
      <w:r w:rsidRPr="005407E2">
        <w:rPr>
          <w:rFonts w:eastAsia="Times New Roman" w:cs="Times New Roman"/>
          <w:rtl/>
          <w:lang w:eastAsia="de-DE"/>
        </w:rPr>
        <w:t xml:space="preserve"> </w:t>
      </w:r>
      <w:r w:rsidRPr="005407E2">
        <w:rPr>
          <w:rFonts w:eastAsia="Times New Roman" w:cs="Times New Roman"/>
          <w:lang w:eastAsia="de-DE"/>
        </w:rPr>
        <w:t xml:space="preserve">(oder mit zerdrückten Hoden) - </w:t>
      </w:r>
      <w:r w:rsidRPr="005407E2">
        <w:rPr>
          <w:rFonts w:eastAsia="Times New Roman" w:cs="Times New Roman"/>
          <w:b/>
          <w:bCs/>
          <w:rtl/>
          <w:lang w:eastAsia="de-DE"/>
        </w:rPr>
        <w:t>מרוח אשך</w:t>
      </w:r>
      <w:r w:rsidRPr="005407E2">
        <w:rPr>
          <w:rFonts w:eastAsia="Times New Roman" w:cs="Times New Roman"/>
          <w:rtl/>
          <w:lang w:eastAsia="de-DE"/>
        </w:rPr>
        <w:t xml:space="preserve"> </w:t>
      </w:r>
      <w:r w:rsidRPr="005407E2">
        <w:rPr>
          <w:rFonts w:eastAsia="Times New Roman" w:cs="Times New Roman"/>
          <w:lang w:eastAsia="de-DE"/>
        </w:rPr>
        <w:t>zeigt Hodenverletzung oder -deformation.</w:t>
      </w:r>
    </w:p>
    <w:p w14:paraId="4F9614A4"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 xml:space="preserve">Die sechs Makel umfassen Körperdeformationen, Augendefekte, Hautkrankheiten und Genitalschäden. </w:t>
      </w:r>
      <w:r w:rsidRPr="005407E2">
        <w:rPr>
          <w:rFonts w:eastAsia="Times New Roman" w:cs="Times New Roman"/>
          <w:b/>
          <w:bCs/>
          <w:rtl/>
          <w:lang w:eastAsia="de-DE"/>
        </w:rPr>
        <w:t>מרוח אשך</w:t>
      </w:r>
      <w:r w:rsidRPr="005407E2">
        <w:rPr>
          <w:rFonts w:eastAsia="Times New Roman" w:cs="Times New Roman"/>
          <w:rtl/>
          <w:lang w:eastAsia="de-DE"/>
        </w:rPr>
        <w:t xml:space="preserve"> </w:t>
      </w:r>
      <w:r w:rsidRPr="005407E2">
        <w:rPr>
          <w:rFonts w:eastAsia="Times New Roman" w:cs="Times New Roman"/>
          <w:lang w:eastAsia="de-DE"/>
        </w:rPr>
        <w:t>als letzter Makel betrifft die Fortpflanzungsfähigkeit.</w:t>
      </w:r>
    </w:p>
    <w:p w14:paraId="4BA2ADD2" w14:textId="4E4BBAB3"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w:t>
      </w:r>
      <w:r w:rsidR="0007678B">
        <w:t xml:space="preserve">interpretiert </w:t>
      </w:r>
      <w:r w:rsidR="0007678B">
        <w:rPr>
          <w:rtl/>
        </w:rPr>
        <w:t>גבן</w:t>
      </w:r>
      <w:r w:rsidR="0007678B">
        <w:t xml:space="preserve"> (</w:t>
      </w:r>
      <w:proofErr w:type="spellStart"/>
      <w:r w:rsidR="0007678B">
        <w:t>giben</w:t>
      </w:r>
      <w:proofErr w:type="spellEnd"/>
      <w:r w:rsidR="0007678B">
        <w:t xml:space="preserve"> - "buckelig") als </w:t>
      </w:r>
      <w:proofErr w:type="spellStart"/>
      <w:r w:rsidR="0007678B">
        <w:t>κυρτός</w:t>
      </w:r>
      <w:proofErr w:type="spellEnd"/>
      <w:r w:rsidR="0007678B">
        <w:t xml:space="preserve"> (krumm), </w:t>
      </w:r>
      <w:r w:rsidR="0007678B">
        <w:rPr>
          <w:rtl/>
        </w:rPr>
        <w:t>דק</w:t>
      </w:r>
      <w:r w:rsidR="0007678B">
        <w:t xml:space="preserve"> (</w:t>
      </w:r>
      <w:proofErr w:type="spellStart"/>
      <w:r w:rsidR="0007678B">
        <w:t>daq</w:t>
      </w:r>
      <w:proofErr w:type="spellEnd"/>
      <w:r w:rsidR="0007678B">
        <w:t xml:space="preserve"> - "dünn/schwächlich") als </w:t>
      </w:r>
      <w:proofErr w:type="spellStart"/>
      <w:r w:rsidR="0007678B">
        <w:t>ἔφηλος</w:t>
      </w:r>
      <w:proofErr w:type="spellEnd"/>
      <w:r w:rsidR="0007678B">
        <w:t xml:space="preserve"> (warzig), </w:t>
      </w:r>
      <w:r w:rsidR="0007678B">
        <w:rPr>
          <w:rtl/>
        </w:rPr>
        <w:t>תבלל בעינו</w:t>
      </w:r>
      <w:r w:rsidR="0007678B">
        <w:t xml:space="preserve"> (</w:t>
      </w:r>
      <w:proofErr w:type="spellStart"/>
      <w:r w:rsidR="0007678B">
        <w:t>teballul</w:t>
      </w:r>
      <w:proofErr w:type="spellEnd"/>
      <w:r w:rsidR="0007678B">
        <w:t xml:space="preserve"> </w:t>
      </w:r>
      <w:proofErr w:type="spellStart"/>
      <w:r w:rsidR="0007678B">
        <w:t>be'eino</w:t>
      </w:r>
      <w:proofErr w:type="spellEnd"/>
      <w:r w:rsidR="0007678B">
        <w:t xml:space="preserve"> - "Fleck in seinem Auge") als π</w:t>
      </w:r>
      <w:proofErr w:type="spellStart"/>
      <w:r w:rsidR="0007678B">
        <w:t>τίλος</w:t>
      </w:r>
      <w:proofErr w:type="spellEnd"/>
      <w:r w:rsidR="0007678B">
        <w:t xml:space="preserve"> </w:t>
      </w:r>
      <w:proofErr w:type="spellStart"/>
      <w:r w:rsidR="0007678B">
        <w:t>τοὺς</w:t>
      </w:r>
      <w:proofErr w:type="spellEnd"/>
      <w:r w:rsidR="0007678B">
        <w:t xml:space="preserve"> </w:t>
      </w:r>
      <w:proofErr w:type="spellStart"/>
      <w:r w:rsidR="0007678B">
        <w:t>ὀφθ</w:t>
      </w:r>
      <w:proofErr w:type="spellEnd"/>
      <w:r w:rsidR="0007678B">
        <w:t xml:space="preserve">αλμούς (schielend), </w:t>
      </w:r>
      <w:r w:rsidR="0007678B">
        <w:rPr>
          <w:rtl/>
        </w:rPr>
        <w:t>גרב</w:t>
      </w:r>
      <w:r w:rsidR="0007678B">
        <w:t xml:space="preserve"> (</w:t>
      </w:r>
      <w:proofErr w:type="spellStart"/>
      <w:r w:rsidR="0007678B">
        <w:t>garav</w:t>
      </w:r>
      <w:proofErr w:type="spellEnd"/>
      <w:r w:rsidR="0007678B">
        <w:t xml:space="preserve"> - "Krätze") als </w:t>
      </w:r>
      <w:proofErr w:type="spellStart"/>
      <w:r w:rsidR="0007678B">
        <w:t>ψώρ</w:t>
      </w:r>
      <w:proofErr w:type="spellEnd"/>
      <w:r w:rsidR="0007678B">
        <w:t xml:space="preserve">α </w:t>
      </w:r>
      <w:proofErr w:type="spellStart"/>
      <w:r w:rsidR="0007678B">
        <w:t>ἀγρί</w:t>
      </w:r>
      <w:proofErr w:type="spellEnd"/>
      <w:r w:rsidR="0007678B">
        <w:t xml:space="preserve">α (wilde Krätze), </w:t>
      </w:r>
      <w:r w:rsidR="0007678B">
        <w:rPr>
          <w:rtl/>
        </w:rPr>
        <w:t>ילפת</w:t>
      </w:r>
      <w:r w:rsidR="0007678B">
        <w:t xml:space="preserve"> (</w:t>
      </w:r>
      <w:proofErr w:type="spellStart"/>
      <w:r w:rsidR="0007678B">
        <w:t>yallefet</w:t>
      </w:r>
      <w:proofErr w:type="spellEnd"/>
      <w:r w:rsidR="0007678B">
        <w:t xml:space="preserve"> - "Flechte") als </w:t>
      </w:r>
      <w:proofErr w:type="spellStart"/>
      <w:r w:rsidR="0007678B">
        <w:t>λειχήν</w:t>
      </w:r>
      <w:proofErr w:type="spellEnd"/>
      <w:r w:rsidR="0007678B">
        <w:t xml:space="preserve"> (Flechte), und </w:t>
      </w:r>
      <w:r w:rsidR="0007678B">
        <w:rPr>
          <w:rtl/>
        </w:rPr>
        <w:t>מרוח אשך</w:t>
      </w:r>
      <w:r w:rsidR="0007678B">
        <w:t xml:space="preserve"> (</w:t>
      </w:r>
      <w:proofErr w:type="spellStart"/>
      <w:r w:rsidR="0007678B">
        <w:t>meroach</w:t>
      </w:r>
      <w:proofErr w:type="spellEnd"/>
      <w:r w:rsidR="0007678B">
        <w:t xml:space="preserve"> </w:t>
      </w:r>
      <w:proofErr w:type="spellStart"/>
      <w:r w:rsidR="0007678B">
        <w:t>ashech</w:t>
      </w:r>
      <w:proofErr w:type="spellEnd"/>
      <w:r w:rsidR="0007678B">
        <w:t xml:space="preserve"> - "zerquetschte Hoden") als </w:t>
      </w:r>
      <w:proofErr w:type="spellStart"/>
      <w:r w:rsidR="0007678B">
        <w:t>μόνορχις</w:t>
      </w:r>
      <w:proofErr w:type="spellEnd"/>
      <w:r w:rsidR="0007678B">
        <w:t xml:space="preserve"> (</w:t>
      </w:r>
      <w:proofErr w:type="spellStart"/>
      <w:r w:rsidR="0007678B">
        <w:t>einhödig</w:t>
      </w:r>
      <w:proofErr w:type="spellEnd"/>
      <w:r w:rsidR="0007678B">
        <w:t>).</w:t>
      </w:r>
    </w:p>
    <w:p w14:paraId="3AF32DC0"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Makel-Abschluss: sechs abschließende Makel-Kategorien verschiedener Körperbereiche.</w:t>
      </w:r>
    </w:p>
    <w:p w14:paraId="1E2EFE23"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schließt die systematische Auflistung mit sechs weiteren Makel-Kategorien ab.</w:t>
      </w:r>
    </w:p>
    <w:p w14:paraId="0BD840F6"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21,21</w:t>
      </w:r>
    </w:p>
    <w:p w14:paraId="0240D25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כָּל־אִ֞ישׁ אֲשֶׁר־בּוֹ֣ מ֗וּם מִזֶּ֨רַע֙ אַהֲרֹ֣ן הַכֹּהֵ֔ן לֹ֣א יִגַּ֔שׁ לְהַקְרִ֖יב אֶת־אִשֵּׁ֣י יְהוָ֑ה מ֣וּם בּוֹ֔ אֵ֚ת לֶ֣חֶם אֱלֹהָ֔יו לֹ֥א יִגַּ֖שׁ לְהַקְרִֽיב׃</w:t>
      </w:r>
    </w:p>
    <w:p w14:paraId="0BD23D8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Jeder Mann von den Nachkommen Aharons, des Priesters, an dem ein Makel ist, soll nicht nahen, um die Feueropfer des Ewigen darzubringen; ein Makel ist an ihm, er soll nicht nahen, um das Brot seines Gottes darzubringen.</w:t>
      </w:r>
    </w:p>
    <w:p w14:paraId="1B904449"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5AF8D4FE">
          <v:rect id="_x0000_i1645" style="width:0;height:1.5pt" o:hralign="center" o:hrstd="t" o:hr="t" fillcolor="#a0a0a0" stroked="f"/>
        </w:pict>
      </w:r>
    </w:p>
    <w:p w14:paraId="08986AD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כל־איש אשר־בו מום מזרע אהרן הכהן לא יגש להקריב את־אשי יהוה מום בו את לחם אלהיו לא יגש להקריב</w:t>
      </w:r>
      <w:r w:rsidRPr="005407E2">
        <w:rPr>
          <w:rFonts w:eastAsia="Times New Roman" w:cs="Times New Roman"/>
          <w:rtl/>
          <w:lang w:eastAsia="de-DE"/>
        </w:rPr>
        <w:t xml:space="preserve"> </w:t>
      </w:r>
      <w:r w:rsidRPr="005407E2">
        <w:rPr>
          <w:rFonts w:eastAsia="Times New Roman" w:cs="Times New Roman"/>
          <w:lang w:eastAsia="de-DE"/>
        </w:rPr>
        <w:t xml:space="preserve">fasst das Makel-Verbot zusammen. </w:t>
      </w:r>
      <w:r w:rsidRPr="005407E2">
        <w:rPr>
          <w:rFonts w:eastAsia="Times New Roman" w:cs="Times New Roman"/>
          <w:b/>
          <w:bCs/>
          <w:rtl/>
          <w:lang w:eastAsia="de-DE"/>
        </w:rPr>
        <w:t>כל־איש אשר־בו מום מזרע אהרן הכהן</w:t>
      </w:r>
      <w:r w:rsidRPr="005407E2">
        <w:rPr>
          <w:rFonts w:eastAsia="Times New Roman" w:cs="Times New Roman"/>
          <w:rtl/>
          <w:lang w:eastAsia="de-DE"/>
        </w:rPr>
        <w:t xml:space="preserve"> </w:t>
      </w:r>
      <w:r w:rsidRPr="005407E2">
        <w:rPr>
          <w:rFonts w:eastAsia="Times New Roman" w:cs="Times New Roman"/>
          <w:lang w:eastAsia="de-DE"/>
        </w:rPr>
        <w:t xml:space="preserve">(jeder Mann von den Nachkommen Aharons, des Priesters, an dem ein Makel ist) wiederholt die Grundkategorie aus V. 17 mit </w:t>
      </w:r>
      <w:r w:rsidRPr="005407E2">
        <w:rPr>
          <w:rFonts w:eastAsia="Times New Roman" w:cs="Times New Roman"/>
          <w:b/>
          <w:bCs/>
          <w:rtl/>
          <w:lang w:eastAsia="de-DE"/>
        </w:rPr>
        <w:t>כל־איש</w:t>
      </w:r>
      <w:r w:rsidRPr="005407E2">
        <w:rPr>
          <w:rFonts w:eastAsia="Times New Roman" w:cs="Times New Roman"/>
          <w:rtl/>
          <w:lang w:eastAsia="de-DE"/>
        </w:rPr>
        <w:t xml:space="preserve"> </w:t>
      </w:r>
      <w:r w:rsidRPr="005407E2">
        <w:rPr>
          <w:rFonts w:eastAsia="Times New Roman" w:cs="Times New Roman"/>
          <w:lang w:eastAsia="de-DE"/>
        </w:rPr>
        <w:t>(jeder Mann) für Vollständigkeit.</w:t>
      </w:r>
    </w:p>
    <w:p w14:paraId="5A48A6B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לא יגש להקריב את־אשי יהוה</w:t>
      </w:r>
      <w:r w:rsidRPr="005407E2">
        <w:rPr>
          <w:rFonts w:eastAsia="Times New Roman" w:cs="Times New Roman"/>
          <w:rtl/>
          <w:lang w:eastAsia="de-DE"/>
        </w:rPr>
        <w:t xml:space="preserve"> </w:t>
      </w:r>
      <w:r w:rsidRPr="005407E2">
        <w:rPr>
          <w:rFonts w:eastAsia="Times New Roman" w:cs="Times New Roman"/>
          <w:lang w:eastAsia="de-DE"/>
        </w:rPr>
        <w:t xml:space="preserve">(soll nicht nahen, um die Feueropfer des Ewigen darzubringen) - </w:t>
      </w:r>
      <w:r w:rsidRPr="005407E2">
        <w:rPr>
          <w:rFonts w:eastAsia="Times New Roman" w:cs="Times New Roman"/>
          <w:b/>
          <w:bCs/>
          <w:rtl/>
          <w:lang w:eastAsia="de-DE"/>
        </w:rPr>
        <w:t>לא יגש</w:t>
      </w:r>
      <w:r w:rsidRPr="005407E2">
        <w:rPr>
          <w:rFonts w:eastAsia="Times New Roman" w:cs="Times New Roman"/>
          <w:rtl/>
          <w:lang w:eastAsia="de-DE"/>
        </w:rPr>
        <w:t xml:space="preserve"> </w:t>
      </w:r>
      <w:r w:rsidRPr="005407E2">
        <w:rPr>
          <w:rFonts w:eastAsia="Times New Roman" w:cs="Times New Roman"/>
          <w:lang w:eastAsia="de-DE"/>
        </w:rPr>
        <w:t xml:space="preserve">(soll nicht nahen) entspricht </w:t>
      </w:r>
      <w:r w:rsidRPr="005407E2">
        <w:rPr>
          <w:rFonts w:eastAsia="Times New Roman" w:cs="Times New Roman"/>
          <w:b/>
          <w:bCs/>
          <w:rtl/>
          <w:lang w:eastAsia="de-DE"/>
        </w:rPr>
        <w:t>לא יקרב</w:t>
      </w:r>
      <w:r w:rsidRPr="005407E2">
        <w:rPr>
          <w:rFonts w:eastAsia="Times New Roman" w:cs="Times New Roman"/>
          <w:rtl/>
          <w:lang w:eastAsia="de-DE"/>
        </w:rPr>
        <w:t xml:space="preserve"> </w:t>
      </w:r>
      <w:r w:rsidRPr="005407E2">
        <w:rPr>
          <w:rFonts w:eastAsia="Times New Roman" w:cs="Times New Roman"/>
          <w:lang w:eastAsia="de-DE"/>
        </w:rPr>
        <w:t xml:space="preserve">aus V. 17. </w:t>
      </w:r>
      <w:r w:rsidRPr="005407E2">
        <w:rPr>
          <w:rFonts w:eastAsia="Times New Roman" w:cs="Times New Roman"/>
          <w:b/>
          <w:bCs/>
          <w:rtl/>
          <w:lang w:eastAsia="de-DE"/>
        </w:rPr>
        <w:t>את־אשי יהוה</w:t>
      </w:r>
      <w:r w:rsidRPr="005407E2">
        <w:rPr>
          <w:rFonts w:eastAsia="Times New Roman" w:cs="Times New Roman"/>
          <w:rtl/>
          <w:lang w:eastAsia="de-DE"/>
        </w:rPr>
        <w:t xml:space="preserve"> </w:t>
      </w:r>
      <w:r w:rsidRPr="005407E2">
        <w:rPr>
          <w:rFonts w:eastAsia="Times New Roman" w:cs="Times New Roman"/>
          <w:lang w:eastAsia="de-DE"/>
        </w:rPr>
        <w:t>(die Feueropfer des Ewigen) als spezifische Opferbezeichnung.</w:t>
      </w:r>
    </w:p>
    <w:p w14:paraId="3031B24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מום בו את לחם אלהיו לא יגש להקריב</w:t>
      </w:r>
      <w:r w:rsidRPr="005407E2">
        <w:rPr>
          <w:rFonts w:eastAsia="Times New Roman" w:cs="Times New Roman"/>
          <w:rtl/>
          <w:lang w:eastAsia="de-DE"/>
        </w:rPr>
        <w:t xml:space="preserve"> </w:t>
      </w:r>
      <w:r w:rsidRPr="005407E2">
        <w:rPr>
          <w:rFonts w:eastAsia="Times New Roman" w:cs="Times New Roman"/>
          <w:lang w:eastAsia="de-DE"/>
        </w:rPr>
        <w:t xml:space="preserve">(ein Makel ist an ihm, er soll nicht nahen, um das Brot seines Gottes darzubringen) wiederholt das Verbot mit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(das Brot seines Gottes) als parallele Opferbezeichnung. </w:t>
      </w:r>
      <w:r w:rsidRPr="005407E2">
        <w:rPr>
          <w:rFonts w:eastAsia="Times New Roman" w:cs="Times New Roman"/>
          <w:b/>
          <w:bCs/>
          <w:rtl/>
          <w:lang w:eastAsia="de-DE"/>
        </w:rPr>
        <w:t>מום בו</w:t>
      </w:r>
      <w:r w:rsidRPr="005407E2">
        <w:rPr>
          <w:rFonts w:eastAsia="Times New Roman" w:cs="Times New Roman"/>
          <w:rtl/>
          <w:lang w:eastAsia="de-DE"/>
        </w:rPr>
        <w:t xml:space="preserve"> </w:t>
      </w:r>
      <w:r w:rsidRPr="005407E2">
        <w:rPr>
          <w:rFonts w:eastAsia="Times New Roman" w:cs="Times New Roman"/>
          <w:lang w:eastAsia="de-DE"/>
        </w:rPr>
        <w:t>(ein Makel ist an ihm) betont den Makel als Hinderungsgrund.</w:t>
      </w:r>
    </w:p>
    <w:p w14:paraId="7D9161D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lastRenderedPageBreak/>
        <w:t>כל־איש</w:t>
      </w:r>
      <w:r w:rsidRPr="005407E2">
        <w:rPr>
          <w:rFonts w:eastAsia="Times New Roman" w:cs="Times New Roman"/>
          <w:rtl/>
          <w:lang w:eastAsia="de-DE"/>
        </w:rPr>
        <w:t xml:space="preserve"> </w:t>
      </w:r>
      <w:r w:rsidRPr="005407E2">
        <w:rPr>
          <w:rFonts w:eastAsia="Times New Roman" w:cs="Times New Roman"/>
          <w:lang w:eastAsia="de-DE"/>
        </w:rPr>
        <w:t xml:space="preserve">betont universelle Anwendung. </w:t>
      </w:r>
      <w:r w:rsidRPr="005407E2">
        <w:rPr>
          <w:rFonts w:eastAsia="Times New Roman" w:cs="Times New Roman"/>
          <w:b/>
          <w:bCs/>
          <w:rtl/>
          <w:lang w:eastAsia="de-DE"/>
        </w:rPr>
        <w:t>אשי יהוה</w:t>
      </w:r>
      <w:r w:rsidRPr="005407E2">
        <w:rPr>
          <w:rFonts w:eastAsia="Times New Roman" w:cs="Times New Roman"/>
          <w:rtl/>
          <w:lang w:eastAsia="de-DE"/>
        </w:rPr>
        <w:t xml:space="preserve"> </w:t>
      </w:r>
      <w:r w:rsidRPr="005407E2">
        <w:rPr>
          <w:rFonts w:eastAsia="Times New Roman" w:cs="Times New Roman"/>
          <w:lang w:eastAsia="de-DE"/>
        </w:rPr>
        <w:t xml:space="preserve">und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als synonyme Opferbezeichnungen. </w:t>
      </w:r>
      <w:r w:rsidRPr="005407E2">
        <w:rPr>
          <w:rFonts w:eastAsia="Times New Roman" w:cs="Times New Roman"/>
          <w:b/>
          <w:bCs/>
          <w:rtl/>
          <w:lang w:eastAsia="de-DE"/>
        </w:rPr>
        <w:t>לא יגש</w:t>
      </w:r>
      <w:r w:rsidRPr="005407E2">
        <w:rPr>
          <w:rFonts w:eastAsia="Times New Roman" w:cs="Times New Roman"/>
          <w:rtl/>
          <w:lang w:eastAsia="de-DE"/>
        </w:rPr>
        <w:t xml:space="preserve"> </w:t>
      </w:r>
      <w:r w:rsidRPr="005407E2">
        <w:rPr>
          <w:rFonts w:eastAsia="Times New Roman" w:cs="Times New Roman"/>
          <w:lang w:eastAsia="de-DE"/>
        </w:rPr>
        <w:t>(zweimal) betont das Annäherungsverbot.</w:t>
      </w:r>
    </w:p>
    <w:p w14:paraId="4D63BF0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כל־איש</w:t>
      </w:r>
      <w:r w:rsidRPr="005407E2">
        <w:rPr>
          <w:rFonts w:eastAsia="Times New Roman" w:cs="Times New Roman"/>
          <w:rtl/>
          <w:lang w:eastAsia="de-DE"/>
        </w:rPr>
        <w:t xml:space="preserve"> </w:t>
      </w:r>
      <w:r w:rsidRPr="005407E2">
        <w:rPr>
          <w:rFonts w:eastAsia="Times New Roman" w:cs="Times New Roman"/>
          <w:lang w:eastAsia="de-DE"/>
        </w:rPr>
        <w:t>mit π</w:t>
      </w:r>
      <w:proofErr w:type="spellStart"/>
      <w:r w:rsidRPr="005407E2">
        <w:rPr>
          <w:rFonts w:eastAsia="Times New Roman" w:cs="Times New Roman"/>
          <w:lang w:eastAsia="de-DE"/>
        </w:rPr>
        <w:t>ᾶς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ἄνθρω</w:t>
      </w:r>
      <w:proofErr w:type="spellEnd"/>
      <w:r w:rsidRPr="005407E2">
        <w:rPr>
          <w:rFonts w:eastAsia="Times New Roman" w:cs="Times New Roman"/>
          <w:lang w:eastAsia="de-DE"/>
        </w:rPr>
        <w:t xml:space="preserve">πος (jeder Mensch), </w:t>
      </w:r>
      <w:r w:rsidRPr="005407E2">
        <w:rPr>
          <w:rFonts w:eastAsia="Times New Roman" w:cs="Times New Roman"/>
          <w:b/>
          <w:bCs/>
          <w:rtl/>
          <w:lang w:eastAsia="de-DE"/>
        </w:rPr>
        <w:t>יגש</w:t>
      </w:r>
      <w:r w:rsidRPr="005407E2">
        <w:rPr>
          <w:rFonts w:eastAsia="Times New Roman" w:cs="Times New Roman"/>
          <w:rtl/>
          <w:lang w:eastAsia="de-DE"/>
        </w:rPr>
        <w:t xml:space="preserve"> </w:t>
      </w:r>
      <w:r w:rsidRPr="005407E2">
        <w:rPr>
          <w:rFonts w:eastAsia="Times New Roman" w:cs="Times New Roman"/>
          <w:lang w:eastAsia="de-DE"/>
        </w:rPr>
        <w:t>mit π</w:t>
      </w:r>
      <w:proofErr w:type="spellStart"/>
      <w:r w:rsidRPr="005407E2">
        <w:rPr>
          <w:rFonts w:eastAsia="Times New Roman" w:cs="Times New Roman"/>
          <w:lang w:eastAsia="de-DE"/>
        </w:rPr>
        <w:t>ροσελεύσετ</w:t>
      </w:r>
      <w:proofErr w:type="spellEnd"/>
      <w:r w:rsidRPr="005407E2">
        <w:rPr>
          <w:rFonts w:eastAsia="Times New Roman" w:cs="Times New Roman"/>
          <w:lang w:eastAsia="de-DE"/>
        </w:rPr>
        <w:t xml:space="preserve">αι (wird nahen), </w:t>
      </w:r>
      <w:r w:rsidRPr="005407E2">
        <w:rPr>
          <w:rFonts w:eastAsia="Times New Roman" w:cs="Times New Roman"/>
          <w:b/>
          <w:bCs/>
          <w:rtl/>
          <w:lang w:eastAsia="de-DE"/>
        </w:rPr>
        <w:t>אשי יהוה</w:t>
      </w:r>
      <w:r w:rsidRPr="005407E2">
        <w:rPr>
          <w:rFonts w:eastAsia="Times New Roman" w:cs="Times New Roman"/>
          <w:rtl/>
          <w:lang w:eastAsia="de-DE"/>
        </w:rPr>
        <w:t xml:space="preserve"> </w:t>
      </w:r>
      <w:r w:rsidRPr="005407E2">
        <w:rPr>
          <w:rFonts w:eastAsia="Times New Roman" w:cs="Times New Roman"/>
          <w:lang w:eastAsia="de-DE"/>
        </w:rPr>
        <w:t>mit καρπ</w:t>
      </w:r>
      <w:proofErr w:type="spellStart"/>
      <w:r w:rsidRPr="005407E2">
        <w:rPr>
          <w:rFonts w:eastAsia="Times New Roman" w:cs="Times New Roman"/>
          <w:lang w:eastAsia="de-DE"/>
        </w:rPr>
        <w:t>ώμ</w:t>
      </w:r>
      <w:proofErr w:type="spellEnd"/>
      <w:r w:rsidRPr="005407E2">
        <w:rPr>
          <w:rFonts w:eastAsia="Times New Roman" w:cs="Times New Roman"/>
          <w:lang w:eastAsia="de-DE"/>
        </w:rPr>
        <w:t xml:space="preserve">ατα </w:t>
      </w:r>
      <w:proofErr w:type="spellStart"/>
      <w:r w:rsidRPr="005407E2">
        <w:rPr>
          <w:rFonts w:eastAsia="Times New Roman" w:cs="Times New Roman"/>
          <w:lang w:eastAsia="de-DE"/>
        </w:rPr>
        <w:t>κυρίου</w:t>
      </w:r>
      <w:proofErr w:type="spellEnd"/>
      <w:r w:rsidRPr="005407E2">
        <w:rPr>
          <w:rFonts w:eastAsia="Times New Roman" w:cs="Times New Roman"/>
          <w:lang w:eastAsia="de-DE"/>
        </w:rPr>
        <w:t xml:space="preserve"> (Opfergaben des Herrn) und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ἄρτους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θεοῦ</w:t>
      </w:r>
      <w:proofErr w:type="spellEnd"/>
      <w:r w:rsidRPr="005407E2">
        <w:rPr>
          <w:rFonts w:eastAsia="Times New Roman" w:cs="Times New Roman"/>
          <w:lang w:eastAsia="de-DE"/>
        </w:rPr>
        <w:t xml:space="preserve"> α</w:t>
      </w:r>
      <w:proofErr w:type="spellStart"/>
      <w:r w:rsidRPr="005407E2">
        <w:rPr>
          <w:rFonts w:eastAsia="Times New Roman" w:cs="Times New Roman"/>
          <w:lang w:eastAsia="de-DE"/>
        </w:rPr>
        <w:t>ὐτοῦ</w:t>
      </w:r>
      <w:proofErr w:type="spellEnd"/>
      <w:r w:rsidRPr="005407E2">
        <w:rPr>
          <w:rFonts w:eastAsia="Times New Roman" w:cs="Times New Roman"/>
          <w:lang w:eastAsia="de-DE"/>
        </w:rPr>
        <w:t xml:space="preserve"> (Brote seines Gottes).</w:t>
      </w:r>
    </w:p>
    <w:p w14:paraId="06A4AA31"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Makel-Verbot-Zusammenfassung: universelle Makel-Kategorie + erstes Opfer-Annäherungsverbot + Makel-Betonung + zweites Opfer-Annäherungsverbot.</w:t>
      </w:r>
    </w:p>
    <w:p w14:paraId="7621DF2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fasst das gesamte Makel-Verbot zusammen und betont das doppelte Annäherungsverbot für Opferfunktionen.</w:t>
      </w:r>
    </w:p>
    <w:p w14:paraId="70983BF7"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21,22</w:t>
      </w:r>
    </w:p>
    <w:p w14:paraId="1B4165D3"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לֶ֣חֶם אֱלֹהָ֔יו מִקָּדְשֵׁ֖י הַקֳּדָשִׁ֑ים וּמִן־הַקֳּדָשִׁ֖ים יֹאכֵֽל׃</w:t>
      </w:r>
    </w:p>
    <w:p w14:paraId="36EC0321"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Das Brot seines Gottes vom Hochheiligen und vom Heiligen darf er essen;</w:t>
      </w:r>
    </w:p>
    <w:p w14:paraId="1740DAAA"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26F92EE9">
          <v:rect id="_x0000_i1646" style="width:0;height:1.5pt" o:hralign="center" o:hrstd="t" o:hr="t" fillcolor="#a0a0a0" stroked="f"/>
        </w:pict>
      </w:r>
    </w:p>
    <w:p w14:paraId="2E115EC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לחם אלהיו מקדשי הקדשים ומן־הקדשים יאכל</w:t>
      </w:r>
      <w:r w:rsidRPr="005407E2">
        <w:rPr>
          <w:rFonts w:eastAsia="Times New Roman" w:cs="Times New Roman"/>
          <w:rtl/>
          <w:lang w:eastAsia="de-DE"/>
        </w:rPr>
        <w:t xml:space="preserve"> </w:t>
      </w:r>
      <w:r w:rsidRPr="005407E2">
        <w:rPr>
          <w:rFonts w:eastAsia="Times New Roman" w:cs="Times New Roman"/>
          <w:lang w:eastAsia="de-DE"/>
        </w:rPr>
        <w:t xml:space="preserve">zeigt die Ausnahme vom Annäherungsverbot.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(das Brot seines Gottes) entspricht den vorherigen Opferbezeichnungen und zeigt, dass der Priester mit Makel weiterhin Priester bleibt.</w:t>
      </w:r>
    </w:p>
    <w:p w14:paraId="6B6E133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מקדשי הקדשים ומן־הקדשים יאכל</w:t>
      </w:r>
      <w:r w:rsidRPr="005407E2">
        <w:rPr>
          <w:rFonts w:eastAsia="Times New Roman" w:cs="Times New Roman"/>
          <w:rtl/>
          <w:lang w:eastAsia="de-DE"/>
        </w:rPr>
        <w:t xml:space="preserve"> </w:t>
      </w:r>
      <w:r w:rsidRPr="005407E2">
        <w:rPr>
          <w:rFonts w:eastAsia="Times New Roman" w:cs="Times New Roman"/>
          <w:lang w:eastAsia="de-DE"/>
        </w:rPr>
        <w:t xml:space="preserve">(vom Hochheiligen und vom Heiligen darf er essen) - </w:t>
      </w:r>
      <w:r w:rsidRPr="005407E2">
        <w:rPr>
          <w:rFonts w:eastAsia="Times New Roman" w:cs="Times New Roman"/>
          <w:b/>
          <w:bCs/>
          <w:rtl/>
          <w:lang w:eastAsia="de-DE"/>
        </w:rPr>
        <w:t>מקדשי הקדשים</w:t>
      </w:r>
      <w:r w:rsidRPr="005407E2">
        <w:rPr>
          <w:rFonts w:eastAsia="Times New Roman" w:cs="Times New Roman"/>
          <w:rtl/>
          <w:lang w:eastAsia="de-DE"/>
        </w:rPr>
        <w:t xml:space="preserve"> </w:t>
      </w:r>
      <w:r w:rsidRPr="005407E2">
        <w:rPr>
          <w:rFonts w:eastAsia="Times New Roman" w:cs="Times New Roman"/>
          <w:lang w:eastAsia="de-DE"/>
        </w:rPr>
        <w:t xml:space="preserve">(vom Hochheiligen) zeigt die allerheiligsten Opfer, die nur Priester essen dürfen. </w:t>
      </w:r>
      <w:r w:rsidRPr="005407E2">
        <w:rPr>
          <w:rFonts w:eastAsia="Times New Roman" w:cs="Times New Roman"/>
          <w:b/>
          <w:bCs/>
          <w:rtl/>
          <w:lang w:eastAsia="de-DE"/>
        </w:rPr>
        <w:t>ומן־הקדשים</w:t>
      </w:r>
      <w:r w:rsidRPr="005407E2">
        <w:rPr>
          <w:rFonts w:eastAsia="Times New Roman" w:cs="Times New Roman"/>
          <w:rtl/>
          <w:lang w:eastAsia="de-DE"/>
        </w:rPr>
        <w:t xml:space="preserve"> </w:t>
      </w:r>
      <w:r w:rsidRPr="005407E2">
        <w:rPr>
          <w:rFonts w:eastAsia="Times New Roman" w:cs="Times New Roman"/>
          <w:lang w:eastAsia="de-DE"/>
        </w:rPr>
        <w:t xml:space="preserve">(und vom Heiligen) zeigt die weniger heiligen Opfer. </w:t>
      </w:r>
      <w:r w:rsidRPr="005407E2">
        <w:rPr>
          <w:rFonts w:eastAsia="Times New Roman" w:cs="Times New Roman"/>
          <w:b/>
          <w:bCs/>
          <w:rtl/>
          <w:lang w:eastAsia="de-DE"/>
        </w:rPr>
        <w:t>יאכל</w:t>
      </w:r>
      <w:r w:rsidRPr="005407E2">
        <w:rPr>
          <w:rFonts w:eastAsia="Times New Roman" w:cs="Times New Roman"/>
          <w:rtl/>
          <w:lang w:eastAsia="de-DE"/>
        </w:rPr>
        <w:t xml:space="preserve"> </w:t>
      </w:r>
      <w:r w:rsidRPr="005407E2">
        <w:rPr>
          <w:rFonts w:eastAsia="Times New Roman" w:cs="Times New Roman"/>
          <w:lang w:eastAsia="de-DE"/>
        </w:rPr>
        <w:t>(darf er essen) im Qal-Imperfekt zeigt ausdrückliche Erlaubnis.</w:t>
      </w:r>
    </w:p>
    <w:p w14:paraId="78E523A3"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zeigt, dass die Priesterschaft nicht verloren geht. </w:t>
      </w:r>
      <w:r w:rsidRPr="005407E2">
        <w:rPr>
          <w:rFonts w:eastAsia="Times New Roman" w:cs="Times New Roman"/>
          <w:b/>
          <w:bCs/>
          <w:rtl/>
          <w:lang w:eastAsia="de-DE"/>
        </w:rPr>
        <w:t>מקדשי הקדשים</w:t>
      </w:r>
      <w:r w:rsidRPr="005407E2">
        <w:rPr>
          <w:rFonts w:eastAsia="Times New Roman" w:cs="Times New Roman"/>
          <w:rtl/>
          <w:lang w:eastAsia="de-DE"/>
        </w:rPr>
        <w:t xml:space="preserve"> </w:t>
      </w:r>
      <w:r w:rsidRPr="005407E2">
        <w:rPr>
          <w:rFonts w:eastAsia="Times New Roman" w:cs="Times New Roman"/>
          <w:lang w:eastAsia="de-DE"/>
        </w:rPr>
        <w:t xml:space="preserve">als höchste Heiligkeitsstufe und </w:t>
      </w:r>
      <w:r w:rsidRPr="005407E2">
        <w:rPr>
          <w:rFonts w:eastAsia="Times New Roman" w:cs="Times New Roman"/>
          <w:b/>
          <w:bCs/>
          <w:rtl/>
          <w:lang w:eastAsia="de-DE"/>
        </w:rPr>
        <w:t>הקדשים</w:t>
      </w:r>
      <w:r w:rsidRPr="005407E2">
        <w:rPr>
          <w:rFonts w:eastAsia="Times New Roman" w:cs="Times New Roman"/>
          <w:rtl/>
          <w:lang w:eastAsia="de-DE"/>
        </w:rPr>
        <w:t xml:space="preserve"> </w:t>
      </w:r>
      <w:r w:rsidRPr="005407E2">
        <w:rPr>
          <w:rFonts w:eastAsia="Times New Roman" w:cs="Times New Roman"/>
          <w:lang w:eastAsia="de-DE"/>
        </w:rPr>
        <w:t xml:space="preserve">als normale Heiligkeitsstufe zeigen beide Opferkategorien als erlaubt. </w:t>
      </w:r>
      <w:r w:rsidRPr="005407E2">
        <w:rPr>
          <w:rFonts w:eastAsia="Times New Roman" w:cs="Times New Roman"/>
          <w:b/>
          <w:bCs/>
          <w:rtl/>
          <w:lang w:eastAsia="de-DE"/>
        </w:rPr>
        <w:t>יאכל</w:t>
      </w:r>
      <w:r w:rsidRPr="005407E2">
        <w:rPr>
          <w:rFonts w:eastAsia="Times New Roman" w:cs="Times New Roman"/>
          <w:rtl/>
          <w:lang w:eastAsia="de-DE"/>
        </w:rPr>
        <w:t xml:space="preserve"> </w:t>
      </w:r>
      <w:r w:rsidRPr="005407E2">
        <w:rPr>
          <w:rFonts w:eastAsia="Times New Roman" w:cs="Times New Roman"/>
          <w:lang w:eastAsia="de-DE"/>
        </w:rPr>
        <w:t xml:space="preserve">zeigt, dass das </w:t>
      </w:r>
      <w:proofErr w:type="spellStart"/>
      <w:r w:rsidRPr="005407E2">
        <w:rPr>
          <w:rFonts w:eastAsia="Times New Roman" w:cs="Times New Roman"/>
          <w:lang w:eastAsia="de-DE"/>
        </w:rPr>
        <w:t>Essrecht</w:t>
      </w:r>
      <w:proofErr w:type="spellEnd"/>
      <w:r w:rsidRPr="005407E2">
        <w:rPr>
          <w:rFonts w:eastAsia="Times New Roman" w:cs="Times New Roman"/>
          <w:lang w:eastAsia="de-DE"/>
        </w:rPr>
        <w:t xml:space="preserve"> bestehen bleibt.</w:t>
      </w:r>
    </w:p>
    <w:p w14:paraId="099516A2"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לחם אלהיו</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ἄρτους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θεοῦ</w:t>
      </w:r>
      <w:proofErr w:type="spellEnd"/>
      <w:r w:rsidRPr="005407E2">
        <w:rPr>
          <w:rFonts w:eastAsia="Times New Roman" w:cs="Times New Roman"/>
          <w:lang w:eastAsia="de-DE"/>
        </w:rPr>
        <w:t xml:space="preserve"> α</w:t>
      </w:r>
      <w:proofErr w:type="spellStart"/>
      <w:r w:rsidRPr="005407E2">
        <w:rPr>
          <w:rFonts w:eastAsia="Times New Roman" w:cs="Times New Roman"/>
          <w:lang w:eastAsia="de-DE"/>
        </w:rPr>
        <w:t>ὐτοῦ</w:t>
      </w:r>
      <w:proofErr w:type="spellEnd"/>
      <w:r w:rsidRPr="005407E2">
        <w:rPr>
          <w:rFonts w:eastAsia="Times New Roman" w:cs="Times New Roman"/>
          <w:lang w:eastAsia="de-DE"/>
        </w:rPr>
        <w:t xml:space="preserve"> (Brote seines Gottes), </w:t>
      </w:r>
      <w:r w:rsidRPr="005407E2">
        <w:rPr>
          <w:rFonts w:eastAsia="Times New Roman" w:cs="Times New Roman"/>
          <w:b/>
          <w:bCs/>
          <w:rtl/>
          <w:lang w:eastAsia="de-DE"/>
        </w:rPr>
        <w:t>מקדשי הקדשים</w:t>
      </w:r>
      <w:r w:rsidRPr="005407E2">
        <w:rPr>
          <w:rFonts w:eastAsia="Times New Roman" w:cs="Times New Roman"/>
          <w:rtl/>
          <w:lang w:eastAsia="de-DE"/>
        </w:rPr>
        <w:t xml:space="preserve"> </w:t>
      </w:r>
      <w:r w:rsidRPr="005407E2">
        <w:rPr>
          <w:rFonts w:eastAsia="Times New Roman" w:cs="Times New Roman"/>
          <w:lang w:eastAsia="de-DE"/>
        </w:rPr>
        <w:t xml:space="preserve">mit ἀπὸ </w:t>
      </w:r>
      <w:proofErr w:type="spellStart"/>
      <w:r w:rsidRPr="005407E2">
        <w:rPr>
          <w:rFonts w:eastAsia="Times New Roman" w:cs="Times New Roman"/>
          <w:lang w:eastAsia="de-DE"/>
        </w:rPr>
        <w:t>τῶν</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ἁγίων</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τῶν</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ἁγίων</w:t>
      </w:r>
      <w:proofErr w:type="spellEnd"/>
      <w:r w:rsidRPr="005407E2">
        <w:rPr>
          <w:rFonts w:eastAsia="Times New Roman" w:cs="Times New Roman"/>
          <w:lang w:eastAsia="de-DE"/>
        </w:rPr>
        <w:t xml:space="preserve"> (von den Heiligen der Heiligen), </w:t>
      </w:r>
      <w:r w:rsidRPr="005407E2">
        <w:rPr>
          <w:rFonts w:eastAsia="Times New Roman" w:cs="Times New Roman"/>
          <w:b/>
          <w:bCs/>
          <w:rtl/>
          <w:lang w:eastAsia="de-DE"/>
        </w:rPr>
        <w:t>הקדשים</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τῶν</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ἁγίων</w:t>
      </w:r>
      <w:proofErr w:type="spellEnd"/>
      <w:r w:rsidRPr="005407E2">
        <w:rPr>
          <w:rFonts w:eastAsia="Times New Roman" w:cs="Times New Roman"/>
          <w:lang w:eastAsia="de-DE"/>
        </w:rPr>
        <w:t xml:space="preserve"> (der Heiligen) und </w:t>
      </w:r>
      <w:r w:rsidRPr="005407E2">
        <w:rPr>
          <w:rFonts w:eastAsia="Times New Roman" w:cs="Times New Roman"/>
          <w:b/>
          <w:bCs/>
          <w:rtl/>
          <w:lang w:eastAsia="de-DE"/>
        </w:rPr>
        <w:t>יאכל</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φάγετ</w:t>
      </w:r>
      <w:proofErr w:type="spellEnd"/>
      <w:r w:rsidRPr="005407E2">
        <w:rPr>
          <w:rFonts w:eastAsia="Times New Roman" w:cs="Times New Roman"/>
          <w:lang w:eastAsia="de-DE"/>
        </w:rPr>
        <w:t>αι (wird essen).</w:t>
      </w:r>
    </w:p>
    <w:p w14:paraId="3792066A"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Esserlaubnis: Opferbezeichnung + beide Heiligkeitsstufen + Esserlaubnis.</w:t>
      </w:r>
    </w:p>
    <w:p w14:paraId="780CE7D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zeigt, dass Priester mit Makeln weiterhin ihre Priesterrechte beim Opferverzehr behalten.</w:t>
      </w:r>
    </w:p>
    <w:p w14:paraId="22284E46"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21,23</w:t>
      </w:r>
    </w:p>
    <w:p w14:paraId="7F4F9B6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אַ֣ךְ אֶל־הַפָּרֹ֜כֶת לֹ֣א יָבֹ֗א וְאֶל־הַמִּזְבֵּ֛חַ לֹ֥א יִגַּ֖שׁ כִּֽי־מ֣וּם בּוֹ֑ וְלֹ֤א יְחַלֵּל֙ אֶת־מִקְדָּשַׁ֔י כִּ֛י אֲנִ֥י יְהוָ֖ה מְקַדְּשָֽׁם׃</w:t>
      </w:r>
    </w:p>
    <w:p w14:paraId="2C0AE085"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lastRenderedPageBreak/>
        <w:t>Deutsch:</w:t>
      </w:r>
      <w:r w:rsidRPr="005407E2">
        <w:rPr>
          <w:rFonts w:eastAsia="Times New Roman" w:cs="Times New Roman"/>
          <w:lang w:eastAsia="de-DE"/>
        </w:rPr>
        <w:t xml:space="preserve"> Aber zum Vorhang soll er nicht kommen, und zum Altar soll er nicht nahen, denn ein Makel ist an ihm, dass er nicht entweihe meine Heiligtümer; denn ich bin der Ewige, der sie heiligt.</w:t>
      </w:r>
    </w:p>
    <w:p w14:paraId="38541713"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4089614F">
          <v:rect id="_x0000_i1647" style="width:0;height:1.5pt" o:hralign="center" o:hrstd="t" o:hr="t" fillcolor="#a0a0a0" stroked="f"/>
        </w:pict>
      </w:r>
    </w:p>
    <w:p w14:paraId="0D05F5B1"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אך אל־הפרכת לא יבא ואל־המזבח לא יגש כי־מום בו ולא יחלל את־מקדשי כי אני יהוה מקדשם</w:t>
      </w:r>
      <w:r w:rsidRPr="005407E2">
        <w:rPr>
          <w:rFonts w:eastAsia="Times New Roman" w:cs="Times New Roman"/>
          <w:rtl/>
          <w:lang w:eastAsia="de-DE"/>
        </w:rPr>
        <w:t xml:space="preserve"> </w:t>
      </w:r>
      <w:r w:rsidRPr="005407E2">
        <w:rPr>
          <w:rFonts w:eastAsia="Times New Roman" w:cs="Times New Roman"/>
          <w:lang w:eastAsia="de-DE"/>
        </w:rPr>
        <w:t xml:space="preserve">zeigt die räumlichen Beschränkungen trotz der Esserlaubnis. </w:t>
      </w:r>
      <w:r w:rsidRPr="005407E2">
        <w:rPr>
          <w:rFonts w:eastAsia="Times New Roman" w:cs="Times New Roman"/>
          <w:b/>
          <w:bCs/>
          <w:rtl/>
          <w:lang w:eastAsia="de-DE"/>
        </w:rPr>
        <w:t>אך</w:t>
      </w:r>
      <w:r w:rsidRPr="005407E2">
        <w:rPr>
          <w:rFonts w:eastAsia="Times New Roman" w:cs="Times New Roman"/>
          <w:rtl/>
          <w:lang w:eastAsia="de-DE"/>
        </w:rPr>
        <w:t xml:space="preserve"> </w:t>
      </w:r>
      <w:r w:rsidRPr="005407E2">
        <w:rPr>
          <w:rFonts w:eastAsia="Times New Roman" w:cs="Times New Roman"/>
          <w:lang w:eastAsia="de-DE"/>
        </w:rPr>
        <w:t xml:space="preserve">(aber) zeigt den Gegensatz zu V. 22. </w:t>
      </w:r>
      <w:r w:rsidRPr="005407E2">
        <w:rPr>
          <w:rFonts w:eastAsia="Times New Roman" w:cs="Times New Roman"/>
          <w:b/>
          <w:bCs/>
          <w:rtl/>
          <w:lang w:eastAsia="de-DE"/>
        </w:rPr>
        <w:t>אל־הפרכת לא יבא</w:t>
      </w:r>
      <w:r w:rsidRPr="005407E2">
        <w:rPr>
          <w:rFonts w:eastAsia="Times New Roman" w:cs="Times New Roman"/>
          <w:rtl/>
          <w:lang w:eastAsia="de-DE"/>
        </w:rPr>
        <w:t xml:space="preserve"> </w:t>
      </w:r>
      <w:r w:rsidRPr="005407E2">
        <w:rPr>
          <w:rFonts w:eastAsia="Times New Roman" w:cs="Times New Roman"/>
          <w:lang w:eastAsia="de-DE"/>
        </w:rPr>
        <w:t xml:space="preserve">(zum Vorhang soll er nicht kommen) - </w:t>
      </w:r>
      <w:r w:rsidRPr="005407E2">
        <w:rPr>
          <w:rFonts w:eastAsia="Times New Roman" w:cs="Times New Roman"/>
          <w:b/>
          <w:bCs/>
          <w:rtl/>
          <w:lang w:eastAsia="de-DE"/>
        </w:rPr>
        <w:t>הפרכת</w:t>
      </w:r>
      <w:r w:rsidRPr="005407E2">
        <w:rPr>
          <w:rFonts w:eastAsia="Times New Roman" w:cs="Times New Roman"/>
          <w:rtl/>
          <w:lang w:eastAsia="de-DE"/>
        </w:rPr>
        <w:t xml:space="preserve"> </w:t>
      </w:r>
      <w:r w:rsidRPr="005407E2">
        <w:rPr>
          <w:rFonts w:eastAsia="Times New Roman" w:cs="Times New Roman"/>
          <w:lang w:eastAsia="de-DE"/>
        </w:rPr>
        <w:t xml:space="preserve">(der Vorhang) vor dem Allerheiligsten zeigt die höchste Heiligkeitsstufe. </w:t>
      </w:r>
      <w:r w:rsidRPr="005407E2">
        <w:rPr>
          <w:rFonts w:eastAsia="Times New Roman" w:cs="Times New Roman"/>
          <w:b/>
          <w:bCs/>
          <w:rtl/>
          <w:lang w:eastAsia="de-DE"/>
        </w:rPr>
        <w:t>לא יבא</w:t>
      </w:r>
      <w:r w:rsidRPr="005407E2">
        <w:rPr>
          <w:rFonts w:eastAsia="Times New Roman" w:cs="Times New Roman"/>
          <w:rtl/>
          <w:lang w:eastAsia="de-DE"/>
        </w:rPr>
        <w:t xml:space="preserve"> </w:t>
      </w:r>
      <w:r w:rsidRPr="005407E2">
        <w:rPr>
          <w:rFonts w:eastAsia="Times New Roman" w:cs="Times New Roman"/>
          <w:lang w:eastAsia="de-DE"/>
        </w:rPr>
        <w:t>(soll er nicht kommen) im Qal-Imperfekt zeigt räumliches Annäherungsverbot.</w:t>
      </w:r>
    </w:p>
    <w:p w14:paraId="38AF4D36"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ואל־המזבח לא יגש</w:t>
      </w:r>
      <w:r w:rsidRPr="005407E2">
        <w:rPr>
          <w:rFonts w:eastAsia="Times New Roman" w:cs="Times New Roman"/>
          <w:rtl/>
          <w:lang w:eastAsia="de-DE"/>
        </w:rPr>
        <w:t xml:space="preserve"> </w:t>
      </w:r>
      <w:r w:rsidRPr="005407E2">
        <w:rPr>
          <w:rFonts w:eastAsia="Times New Roman" w:cs="Times New Roman"/>
          <w:lang w:eastAsia="de-DE"/>
        </w:rPr>
        <w:t xml:space="preserve">(und zum Altar soll er nicht nahen) - </w:t>
      </w:r>
      <w:r w:rsidRPr="005407E2">
        <w:rPr>
          <w:rFonts w:eastAsia="Times New Roman" w:cs="Times New Roman"/>
          <w:b/>
          <w:bCs/>
          <w:rtl/>
          <w:lang w:eastAsia="de-DE"/>
        </w:rPr>
        <w:t>המזבח</w:t>
      </w:r>
      <w:r w:rsidRPr="005407E2">
        <w:rPr>
          <w:rFonts w:eastAsia="Times New Roman" w:cs="Times New Roman"/>
          <w:rtl/>
          <w:lang w:eastAsia="de-DE"/>
        </w:rPr>
        <w:t xml:space="preserve"> </w:t>
      </w:r>
      <w:r w:rsidRPr="005407E2">
        <w:rPr>
          <w:rFonts w:eastAsia="Times New Roman" w:cs="Times New Roman"/>
          <w:lang w:eastAsia="de-DE"/>
        </w:rPr>
        <w:t xml:space="preserve">(der Altar) als Opferstätte. </w:t>
      </w:r>
      <w:r w:rsidRPr="005407E2">
        <w:rPr>
          <w:rFonts w:eastAsia="Times New Roman" w:cs="Times New Roman"/>
          <w:b/>
          <w:bCs/>
          <w:rtl/>
          <w:lang w:eastAsia="de-DE"/>
        </w:rPr>
        <w:t>לא יגש</w:t>
      </w:r>
      <w:r w:rsidRPr="005407E2">
        <w:rPr>
          <w:rFonts w:eastAsia="Times New Roman" w:cs="Times New Roman"/>
          <w:rtl/>
          <w:lang w:eastAsia="de-DE"/>
        </w:rPr>
        <w:t xml:space="preserve"> </w:t>
      </w:r>
      <w:r w:rsidRPr="005407E2">
        <w:rPr>
          <w:rFonts w:eastAsia="Times New Roman" w:cs="Times New Roman"/>
          <w:lang w:eastAsia="de-DE"/>
        </w:rPr>
        <w:t>(soll er nicht nahen) entspricht V. 21.</w:t>
      </w:r>
    </w:p>
    <w:p w14:paraId="3831D627"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כי־מום בו</w:t>
      </w:r>
      <w:r w:rsidRPr="005407E2">
        <w:rPr>
          <w:rFonts w:eastAsia="Times New Roman" w:cs="Times New Roman"/>
          <w:rtl/>
          <w:lang w:eastAsia="de-DE"/>
        </w:rPr>
        <w:t xml:space="preserve"> </w:t>
      </w:r>
      <w:r w:rsidRPr="005407E2">
        <w:rPr>
          <w:rFonts w:eastAsia="Times New Roman" w:cs="Times New Roman"/>
          <w:lang w:eastAsia="de-DE"/>
        </w:rPr>
        <w:t xml:space="preserve">(denn ein Makel ist an ihm) wiederholt die Begründung. </w:t>
      </w:r>
      <w:r w:rsidRPr="005407E2">
        <w:rPr>
          <w:rFonts w:eastAsia="Times New Roman" w:cs="Times New Roman"/>
          <w:b/>
          <w:bCs/>
          <w:rtl/>
          <w:lang w:eastAsia="de-DE"/>
        </w:rPr>
        <w:t>ולא יחלל את־מקדשי</w:t>
      </w:r>
      <w:r w:rsidRPr="005407E2">
        <w:rPr>
          <w:rFonts w:eastAsia="Times New Roman" w:cs="Times New Roman"/>
          <w:rtl/>
          <w:lang w:eastAsia="de-DE"/>
        </w:rPr>
        <w:t xml:space="preserve"> </w:t>
      </w:r>
      <w:r w:rsidRPr="005407E2">
        <w:rPr>
          <w:rFonts w:eastAsia="Times New Roman" w:cs="Times New Roman"/>
          <w:lang w:eastAsia="de-DE"/>
        </w:rPr>
        <w:t xml:space="preserve">(dass er nicht entweihe meine Heiligtümer) - </w:t>
      </w:r>
      <w:r w:rsidRPr="005407E2">
        <w:rPr>
          <w:rFonts w:eastAsia="Times New Roman" w:cs="Times New Roman"/>
          <w:b/>
          <w:bCs/>
          <w:rtl/>
          <w:lang w:eastAsia="de-DE"/>
        </w:rPr>
        <w:t>לא יחלל</w:t>
      </w:r>
      <w:r w:rsidRPr="005407E2">
        <w:rPr>
          <w:rFonts w:eastAsia="Times New Roman" w:cs="Times New Roman"/>
          <w:rtl/>
          <w:lang w:eastAsia="de-DE"/>
        </w:rPr>
        <w:t xml:space="preserve"> </w:t>
      </w:r>
      <w:r w:rsidRPr="005407E2">
        <w:rPr>
          <w:rFonts w:eastAsia="Times New Roman" w:cs="Times New Roman"/>
          <w:lang w:eastAsia="de-DE"/>
        </w:rPr>
        <w:t xml:space="preserve">(soll nicht entweihen) im Piel-Imperfekt zeigt den Zweck der Beschränkungen. </w:t>
      </w:r>
      <w:r w:rsidRPr="005407E2">
        <w:rPr>
          <w:rFonts w:eastAsia="Times New Roman" w:cs="Times New Roman"/>
          <w:b/>
          <w:bCs/>
          <w:rtl/>
          <w:lang w:eastAsia="de-DE"/>
        </w:rPr>
        <w:t>את־מקדשי</w:t>
      </w:r>
      <w:r w:rsidRPr="005407E2">
        <w:rPr>
          <w:rFonts w:eastAsia="Times New Roman" w:cs="Times New Roman"/>
          <w:rtl/>
          <w:lang w:eastAsia="de-DE"/>
        </w:rPr>
        <w:t xml:space="preserve"> </w:t>
      </w:r>
      <w:r w:rsidRPr="005407E2">
        <w:rPr>
          <w:rFonts w:eastAsia="Times New Roman" w:cs="Times New Roman"/>
          <w:lang w:eastAsia="de-DE"/>
        </w:rPr>
        <w:t>(meine Heiligtümer) zeigt göttlichen Besitz.</w:t>
      </w:r>
    </w:p>
    <w:p w14:paraId="6AF15F3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כי אני יהוה מקדשם</w:t>
      </w:r>
      <w:r w:rsidRPr="005407E2">
        <w:rPr>
          <w:rFonts w:eastAsia="Times New Roman" w:cs="Times New Roman"/>
          <w:rtl/>
          <w:lang w:eastAsia="de-DE"/>
        </w:rPr>
        <w:t xml:space="preserve"> </w:t>
      </w:r>
      <w:r w:rsidRPr="005407E2">
        <w:rPr>
          <w:rFonts w:eastAsia="Times New Roman" w:cs="Times New Roman"/>
          <w:lang w:eastAsia="de-DE"/>
        </w:rPr>
        <w:t xml:space="preserve">(denn ich bin der Ewige, der sie heiligt) - </w:t>
      </w:r>
      <w:r w:rsidRPr="005407E2">
        <w:rPr>
          <w:rFonts w:eastAsia="Times New Roman" w:cs="Times New Roman"/>
          <w:b/>
          <w:bCs/>
          <w:rtl/>
          <w:lang w:eastAsia="de-DE"/>
        </w:rPr>
        <w:t>מקדשם</w:t>
      </w:r>
      <w:r w:rsidRPr="005407E2">
        <w:rPr>
          <w:rFonts w:eastAsia="Times New Roman" w:cs="Times New Roman"/>
          <w:rtl/>
          <w:lang w:eastAsia="de-DE"/>
        </w:rPr>
        <w:t xml:space="preserve"> </w:t>
      </w:r>
      <w:r w:rsidRPr="005407E2">
        <w:rPr>
          <w:rFonts w:eastAsia="Times New Roman" w:cs="Times New Roman"/>
          <w:lang w:eastAsia="de-DE"/>
        </w:rPr>
        <w:t>(der sie heiligt) im Piel-Partizip zeigt JHWH als Heiligungsagens der Heiligtümer.</w:t>
      </w:r>
    </w:p>
    <w:p w14:paraId="48DEEB5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הפרכת</w:t>
      </w:r>
      <w:r w:rsidRPr="005407E2">
        <w:rPr>
          <w:rFonts w:eastAsia="Times New Roman" w:cs="Times New Roman"/>
          <w:rtl/>
          <w:lang w:eastAsia="de-DE"/>
        </w:rPr>
        <w:t xml:space="preserve"> </w:t>
      </w:r>
      <w:r w:rsidRPr="005407E2">
        <w:rPr>
          <w:rFonts w:eastAsia="Times New Roman" w:cs="Times New Roman"/>
          <w:lang w:eastAsia="de-DE"/>
        </w:rPr>
        <w:t xml:space="preserve">und </w:t>
      </w:r>
      <w:r w:rsidRPr="005407E2">
        <w:rPr>
          <w:rFonts w:eastAsia="Times New Roman" w:cs="Times New Roman"/>
          <w:b/>
          <w:bCs/>
          <w:rtl/>
          <w:lang w:eastAsia="de-DE"/>
        </w:rPr>
        <w:t>המזבח</w:t>
      </w:r>
      <w:r w:rsidRPr="005407E2">
        <w:rPr>
          <w:rFonts w:eastAsia="Times New Roman" w:cs="Times New Roman"/>
          <w:rtl/>
          <w:lang w:eastAsia="de-DE"/>
        </w:rPr>
        <w:t xml:space="preserve"> </w:t>
      </w:r>
      <w:r w:rsidRPr="005407E2">
        <w:rPr>
          <w:rFonts w:eastAsia="Times New Roman" w:cs="Times New Roman"/>
          <w:lang w:eastAsia="de-DE"/>
        </w:rPr>
        <w:t xml:space="preserve">als die beiden heiligsten Bereiche. </w:t>
      </w:r>
      <w:r w:rsidRPr="005407E2">
        <w:rPr>
          <w:rFonts w:eastAsia="Times New Roman" w:cs="Times New Roman"/>
          <w:b/>
          <w:bCs/>
          <w:rtl/>
          <w:lang w:eastAsia="de-DE"/>
        </w:rPr>
        <w:t>מום בו</w:t>
      </w:r>
      <w:r w:rsidRPr="005407E2">
        <w:rPr>
          <w:rFonts w:eastAsia="Times New Roman" w:cs="Times New Roman"/>
          <w:rtl/>
          <w:lang w:eastAsia="de-DE"/>
        </w:rPr>
        <w:t xml:space="preserve"> </w:t>
      </w:r>
      <w:r w:rsidRPr="005407E2">
        <w:rPr>
          <w:rFonts w:eastAsia="Times New Roman" w:cs="Times New Roman"/>
          <w:lang w:eastAsia="de-DE"/>
        </w:rPr>
        <w:t xml:space="preserve">als wiederholte Begründung. </w:t>
      </w:r>
      <w:r w:rsidRPr="005407E2">
        <w:rPr>
          <w:rFonts w:eastAsia="Times New Roman" w:cs="Times New Roman"/>
          <w:b/>
          <w:bCs/>
          <w:rtl/>
          <w:lang w:eastAsia="de-DE"/>
        </w:rPr>
        <w:t>לא יחלל את־מקדשי</w:t>
      </w:r>
      <w:r w:rsidRPr="005407E2">
        <w:rPr>
          <w:rFonts w:eastAsia="Times New Roman" w:cs="Times New Roman"/>
          <w:rtl/>
          <w:lang w:eastAsia="de-DE"/>
        </w:rPr>
        <w:t xml:space="preserve"> </w:t>
      </w:r>
      <w:r w:rsidRPr="005407E2">
        <w:rPr>
          <w:rFonts w:eastAsia="Times New Roman" w:cs="Times New Roman"/>
          <w:lang w:eastAsia="de-DE"/>
        </w:rPr>
        <w:t xml:space="preserve">zeigt Entweihungsverhinderung als Zweck. </w:t>
      </w:r>
      <w:r w:rsidRPr="005407E2">
        <w:rPr>
          <w:rFonts w:eastAsia="Times New Roman" w:cs="Times New Roman"/>
          <w:b/>
          <w:bCs/>
          <w:rtl/>
          <w:lang w:eastAsia="de-DE"/>
        </w:rPr>
        <w:t>מקדשם</w:t>
      </w:r>
      <w:r w:rsidRPr="005407E2">
        <w:rPr>
          <w:rFonts w:eastAsia="Times New Roman" w:cs="Times New Roman"/>
          <w:rtl/>
          <w:lang w:eastAsia="de-DE"/>
        </w:rPr>
        <w:t xml:space="preserve"> </w:t>
      </w:r>
      <w:r w:rsidRPr="005407E2">
        <w:rPr>
          <w:rFonts w:eastAsia="Times New Roman" w:cs="Times New Roman"/>
          <w:lang w:eastAsia="de-DE"/>
        </w:rPr>
        <w:t>zeigt JHWH als Heiligtumsheiliger.</w:t>
      </w:r>
    </w:p>
    <w:p w14:paraId="2AF85116" w14:textId="5572C645"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w:t>
      </w:r>
      <w:r w:rsidR="0007678B">
        <w:t xml:space="preserve">übersetzt </w:t>
      </w:r>
      <w:r w:rsidR="0007678B">
        <w:rPr>
          <w:rtl/>
        </w:rPr>
        <w:t>פרכת</w:t>
      </w:r>
      <w:r w:rsidR="0007678B">
        <w:t xml:space="preserve"> (</w:t>
      </w:r>
      <w:proofErr w:type="spellStart"/>
      <w:r w:rsidR="0007678B">
        <w:t>parochet</w:t>
      </w:r>
      <w:proofErr w:type="spellEnd"/>
      <w:r w:rsidR="0007678B">
        <w:t xml:space="preserve"> - "Vorhang") als καταπ</w:t>
      </w:r>
      <w:proofErr w:type="spellStart"/>
      <w:r w:rsidR="0007678B">
        <w:t>έτ</w:t>
      </w:r>
      <w:proofErr w:type="spellEnd"/>
      <w:r w:rsidR="0007678B">
        <w:t>ασμα und präzisiert die Einschränkungen der priesterlichen Funktionen.</w:t>
      </w:r>
    </w:p>
    <w:p w14:paraId="134B8DF7"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räumliche Beschränkungen: Gegensatz-Partikel + Vorhang-Verbot + Altar-Verbot + Makel-Begründung + Entweihungsverhinderung + göttliche Heiligungsautorität.</w:t>
      </w:r>
    </w:p>
    <w:p w14:paraId="5491EF75"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Vers zeigt, dass Priester mit Makeln zwar essen, aber nicht die heiligsten Bereiche betreten dürfen.</w:t>
      </w:r>
    </w:p>
    <w:p w14:paraId="7D9C3437" w14:textId="77777777" w:rsidR="005407E2" w:rsidRPr="005407E2" w:rsidRDefault="005407E2" w:rsidP="005407E2">
      <w:pPr>
        <w:spacing w:before="100" w:beforeAutospacing="1" w:after="100" w:afterAutospacing="1" w:line="240" w:lineRule="auto"/>
        <w:outlineLvl w:val="1"/>
        <w:rPr>
          <w:rFonts w:eastAsia="Times New Roman" w:cs="Times New Roman"/>
          <w:b/>
          <w:bCs/>
          <w:sz w:val="36"/>
          <w:szCs w:val="36"/>
          <w:lang w:eastAsia="de-DE"/>
        </w:rPr>
      </w:pPr>
      <w:r w:rsidRPr="005407E2">
        <w:rPr>
          <w:rFonts w:eastAsia="Times New Roman" w:cs="Times New Roman"/>
          <w:b/>
          <w:bCs/>
          <w:sz w:val="36"/>
          <w:szCs w:val="36"/>
          <w:lang w:eastAsia="de-DE"/>
        </w:rPr>
        <w:t>Leviticus 21,24</w:t>
      </w:r>
    </w:p>
    <w:p w14:paraId="6C8C2494"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Hebräisch:</w:t>
      </w:r>
      <w:r w:rsidRPr="005407E2">
        <w:rPr>
          <w:rFonts w:eastAsia="Times New Roman" w:cs="Times New Roman"/>
          <w:lang w:eastAsia="de-DE"/>
        </w:rPr>
        <w:t xml:space="preserve"> </w:t>
      </w:r>
      <w:r w:rsidRPr="005407E2">
        <w:rPr>
          <w:rFonts w:eastAsia="Times New Roman" w:cs="Times New Roman"/>
          <w:rtl/>
          <w:lang w:eastAsia="de-DE"/>
        </w:rPr>
        <w:t>וַיְדַבֵּ֣ר מֹשֶׁ֔ה אֶֽל־אַהֲרֹ֖ן וְאֶל־בָּנָ֑יו וְאֶֽל־כָּל־בְּנֵ֖י יִשְׂרָאֵֽל׃</w:t>
      </w:r>
    </w:p>
    <w:p w14:paraId="576432AE"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Deutsch:</w:t>
      </w:r>
      <w:r w:rsidRPr="005407E2">
        <w:rPr>
          <w:rFonts w:eastAsia="Times New Roman" w:cs="Times New Roman"/>
          <w:lang w:eastAsia="de-DE"/>
        </w:rPr>
        <w:t xml:space="preserve"> Und Mosche redete zu Aharon und zu seinen Söhnen und zu allen Söhnen Israels.</w:t>
      </w:r>
    </w:p>
    <w:p w14:paraId="39F93339" w14:textId="77777777" w:rsidR="005407E2" w:rsidRPr="005407E2" w:rsidRDefault="00A57720" w:rsidP="005407E2">
      <w:pPr>
        <w:spacing w:after="0" w:line="240" w:lineRule="auto"/>
        <w:rPr>
          <w:rFonts w:eastAsia="Times New Roman" w:cs="Times New Roman"/>
          <w:lang w:eastAsia="de-DE"/>
        </w:rPr>
      </w:pPr>
      <w:r>
        <w:rPr>
          <w:rFonts w:eastAsia="Times New Roman" w:cs="Times New Roman"/>
          <w:noProof/>
          <w:lang w:eastAsia="de-DE"/>
        </w:rPr>
        <w:pict w14:anchorId="7166E42B">
          <v:rect id="_x0000_i1648" style="width:0;height:1.5pt" o:hralign="center" o:hrstd="t" o:hr="t" fillcolor="#a0a0a0" stroked="f"/>
        </w:pict>
      </w:r>
    </w:p>
    <w:p w14:paraId="282EEEC5"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Kommentar:</w:t>
      </w:r>
      <w:r w:rsidRPr="005407E2">
        <w:rPr>
          <w:rFonts w:eastAsia="Times New Roman" w:cs="Times New Roman"/>
          <w:lang w:eastAsia="de-DE"/>
        </w:rPr>
        <w:t xml:space="preserve"> </w:t>
      </w:r>
      <w:r w:rsidRPr="005407E2">
        <w:rPr>
          <w:rFonts w:eastAsia="Times New Roman" w:cs="Times New Roman"/>
          <w:b/>
          <w:bCs/>
          <w:rtl/>
          <w:lang w:eastAsia="de-DE"/>
        </w:rPr>
        <w:t>וידבר משה אל־אהרן ואל־בניו ואל־כל־בני ישראל</w:t>
      </w:r>
      <w:r w:rsidRPr="005407E2">
        <w:rPr>
          <w:rFonts w:eastAsia="Times New Roman" w:cs="Times New Roman"/>
          <w:rtl/>
          <w:lang w:eastAsia="de-DE"/>
        </w:rPr>
        <w:t xml:space="preserve"> </w:t>
      </w:r>
      <w:r w:rsidRPr="005407E2">
        <w:rPr>
          <w:rFonts w:eastAsia="Times New Roman" w:cs="Times New Roman"/>
          <w:lang w:eastAsia="de-DE"/>
        </w:rPr>
        <w:t xml:space="preserve">zeigt die Ausführung des göttlichen Auftrags. </w:t>
      </w:r>
      <w:r w:rsidRPr="005407E2">
        <w:rPr>
          <w:rFonts w:eastAsia="Times New Roman" w:cs="Times New Roman"/>
          <w:b/>
          <w:bCs/>
          <w:rtl/>
          <w:lang w:eastAsia="de-DE"/>
        </w:rPr>
        <w:t>וידבר משה</w:t>
      </w:r>
      <w:r w:rsidRPr="005407E2">
        <w:rPr>
          <w:rFonts w:eastAsia="Times New Roman" w:cs="Times New Roman"/>
          <w:rtl/>
          <w:lang w:eastAsia="de-DE"/>
        </w:rPr>
        <w:t xml:space="preserve"> </w:t>
      </w:r>
      <w:r w:rsidRPr="005407E2">
        <w:rPr>
          <w:rFonts w:eastAsia="Times New Roman" w:cs="Times New Roman"/>
          <w:lang w:eastAsia="de-DE"/>
        </w:rPr>
        <w:t xml:space="preserve">(und Mosche redete) im Piel-Imperfekt mit Waw-Konsekutiv zeigt die Weitergabe der göttlichen Anweisungen. </w:t>
      </w:r>
      <w:r w:rsidRPr="005407E2">
        <w:rPr>
          <w:rFonts w:eastAsia="Times New Roman" w:cs="Times New Roman"/>
          <w:b/>
          <w:bCs/>
          <w:rtl/>
          <w:lang w:eastAsia="de-DE"/>
        </w:rPr>
        <w:t>אל־אהרן ואל־בניו</w:t>
      </w:r>
      <w:r w:rsidRPr="005407E2">
        <w:rPr>
          <w:rFonts w:eastAsia="Times New Roman" w:cs="Times New Roman"/>
          <w:rtl/>
          <w:lang w:eastAsia="de-DE"/>
        </w:rPr>
        <w:t xml:space="preserve"> </w:t>
      </w:r>
      <w:r w:rsidRPr="005407E2">
        <w:rPr>
          <w:rFonts w:eastAsia="Times New Roman" w:cs="Times New Roman"/>
          <w:lang w:eastAsia="de-DE"/>
        </w:rPr>
        <w:t>(zu Aharon und zu seinen Söhnen) zeigt die direkt betroffene Priesterschaft.</w:t>
      </w:r>
    </w:p>
    <w:p w14:paraId="2B8AC5F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lastRenderedPageBreak/>
        <w:t>ואל־כל־בני ישראל</w:t>
      </w:r>
      <w:r w:rsidRPr="005407E2">
        <w:rPr>
          <w:rFonts w:eastAsia="Times New Roman" w:cs="Times New Roman"/>
          <w:rtl/>
          <w:lang w:eastAsia="de-DE"/>
        </w:rPr>
        <w:t xml:space="preserve"> </w:t>
      </w:r>
      <w:r w:rsidRPr="005407E2">
        <w:rPr>
          <w:rFonts w:eastAsia="Times New Roman" w:cs="Times New Roman"/>
          <w:lang w:eastAsia="de-DE"/>
        </w:rPr>
        <w:t>(und zu allen Söhnen Israels) zeigt, dass auch das ganze Volk über die Priestervorschriften informiert werden muss, damit sie die Unterscheidungen zwischen dienstfähigen und nicht-dienstfähigen Priestern verstehen und respektieren.</w:t>
      </w:r>
    </w:p>
    <w:p w14:paraId="05D9A319"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rtl/>
          <w:lang w:eastAsia="de-DE"/>
        </w:rPr>
        <w:t>וידבר משה</w:t>
      </w:r>
      <w:r w:rsidRPr="005407E2">
        <w:rPr>
          <w:rFonts w:eastAsia="Times New Roman" w:cs="Times New Roman"/>
          <w:rtl/>
          <w:lang w:eastAsia="de-DE"/>
        </w:rPr>
        <w:t xml:space="preserve"> </w:t>
      </w:r>
      <w:r w:rsidRPr="005407E2">
        <w:rPr>
          <w:rFonts w:eastAsia="Times New Roman" w:cs="Times New Roman"/>
          <w:lang w:eastAsia="de-DE"/>
        </w:rPr>
        <w:t xml:space="preserve">zeigt Moses als Vermittler der göttlichen Anweisungen. Die dreifache Adressierung </w:t>
      </w:r>
      <w:r w:rsidRPr="005407E2">
        <w:rPr>
          <w:rFonts w:eastAsia="Times New Roman" w:cs="Times New Roman"/>
          <w:b/>
          <w:bCs/>
          <w:rtl/>
          <w:lang w:eastAsia="de-DE"/>
        </w:rPr>
        <w:t>אל־אהרן ואל־בניו ואל־כל־בני ישראל</w:t>
      </w:r>
      <w:r w:rsidRPr="005407E2">
        <w:rPr>
          <w:rFonts w:eastAsia="Times New Roman" w:cs="Times New Roman"/>
          <w:rtl/>
          <w:lang w:eastAsia="de-DE"/>
        </w:rPr>
        <w:t xml:space="preserve"> </w:t>
      </w:r>
      <w:r w:rsidRPr="005407E2">
        <w:rPr>
          <w:rFonts w:eastAsia="Times New Roman" w:cs="Times New Roman"/>
          <w:lang w:eastAsia="de-DE"/>
        </w:rPr>
        <w:t>zeigt verschiedene Betroffenheitsgrade: direkte Betroffenheit für Aharon und seine Söhne, allgemeine Information für ganz Israel.</w:t>
      </w:r>
    </w:p>
    <w:p w14:paraId="0952AE0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LXX</w:t>
      </w:r>
      <w:r w:rsidRPr="005407E2">
        <w:rPr>
          <w:rFonts w:eastAsia="Times New Roman" w:cs="Times New Roman"/>
          <w:lang w:eastAsia="de-DE"/>
        </w:rPr>
        <w:t xml:space="preserve"> übersetzt </w:t>
      </w:r>
      <w:r w:rsidRPr="005407E2">
        <w:rPr>
          <w:rFonts w:eastAsia="Times New Roman" w:cs="Times New Roman"/>
          <w:b/>
          <w:bCs/>
          <w:rtl/>
          <w:lang w:eastAsia="de-DE"/>
        </w:rPr>
        <w:t>וידבר</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ἐλάλησεν</w:t>
      </w:r>
      <w:proofErr w:type="spellEnd"/>
      <w:r w:rsidRPr="005407E2">
        <w:rPr>
          <w:rFonts w:eastAsia="Times New Roman" w:cs="Times New Roman"/>
          <w:lang w:eastAsia="de-DE"/>
        </w:rPr>
        <w:t xml:space="preserve"> (sprach), </w:t>
      </w:r>
      <w:r w:rsidRPr="005407E2">
        <w:rPr>
          <w:rFonts w:eastAsia="Times New Roman" w:cs="Times New Roman"/>
          <w:b/>
          <w:bCs/>
          <w:rtl/>
          <w:lang w:eastAsia="de-DE"/>
        </w:rPr>
        <w:t>אהרן</w:t>
      </w:r>
      <w:r w:rsidRPr="005407E2">
        <w:rPr>
          <w:rFonts w:eastAsia="Times New Roman" w:cs="Times New Roman"/>
          <w:rtl/>
          <w:lang w:eastAsia="de-DE"/>
        </w:rPr>
        <w:t xml:space="preserve"> </w:t>
      </w:r>
      <w:r w:rsidRPr="005407E2">
        <w:rPr>
          <w:rFonts w:eastAsia="Times New Roman" w:cs="Times New Roman"/>
          <w:lang w:eastAsia="de-DE"/>
        </w:rPr>
        <w:t>mit Αα</w:t>
      </w:r>
      <w:proofErr w:type="spellStart"/>
      <w:r w:rsidRPr="005407E2">
        <w:rPr>
          <w:rFonts w:eastAsia="Times New Roman" w:cs="Times New Roman"/>
          <w:lang w:eastAsia="de-DE"/>
        </w:rPr>
        <w:t>ρων</w:t>
      </w:r>
      <w:proofErr w:type="spellEnd"/>
      <w:r w:rsidRPr="005407E2">
        <w:rPr>
          <w:rFonts w:eastAsia="Times New Roman" w:cs="Times New Roman"/>
          <w:lang w:eastAsia="de-DE"/>
        </w:rPr>
        <w:t xml:space="preserve"> (Aharon), </w:t>
      </w:r>
      <w:r w:rsidRPr="005407E2">
        <w:rPr>
          <w:rFonts w:eastAsia="Times New Roman" w:cs="Times New Roman"/>
          <w:b/>
          <w:bCs/>
          <w:rtl/>
          <w:lang w:eastAsia="de-DE"/>
        </w:rPr>
        <w:t>בניו</w:t>
      </w:r>
      <w:r w:rsidRPr="005407E2">
        <w:rPr>
          <w:rFonts w:eastAsia="Times New Roman" w:cs="Times New Roman"/>
          <w:rtl/>
          <w:lang w:eastAsia="de-DE"/>
        </w:rPr>
        <w:t xml:space="preserve"> </w:t>
      </w:r>
      <w:r w:rsidRPr="005407E2">
        <w:rPr>
          <w:rFonts w:eastAsia="Times New Roman" w:cs="Times New Roman"/>
          <w:lang w:eastAsia="de-DE"/>
        </w:rPr>
        <w:t xml:space="preserve">mit </w:t>
      </w:r>
      <w:proofErr w:type="spellStart"/>
      <w:r w:rsidRPr="005407E2">
        <w:rPr>
          <w:rFonts w:eastAsia="Times New Roman" w:cs="Times New Roman"/>
          <w:lang w:eastAsia="de-DE"/>
        </w:rPr>
        <w:t>τοὺς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υἱοὺς</w:t>
      </w:r>
      <w:proofErr w:type="spellEnd"/>
      <w:r w:rsidRPr="005407E2">
        <w:rPr>
          <w:rFonts w:eastAsia="Times New Roman" w:cs="Times New Roman"/>
          <w:lang w:eastAsia="de-DE"/>
        </w:rPr>
        <w:t xml:space="preserve"> α</w:t>
      </w:r>
      <w:proofErr w:type="spellStart"/>
      <w:r w:rsidRPr="005407E2">
        <w:rPr>
          <w:rFonts w:eastAsia="Times New Roman" w:cs="Times New Roman"/>
          <w:lang w:eastAsia="de-DE"/>
        </w:rPr>
        <w:t>ὐτοῦ</w:t>
      </w:r>
      <w:proofErr w:type="spellEnd"/>
      <w:r w:rsidRPr="005407E2">
        <w:rPr>
          <w:rFonts w:eastAsia="Times New Roman" w:cs="Times New Roman"/>
          <w:lang w:eastAsia="de-DE"/>
        </w:rPr>
        <w:t xml:space="preserve"> (seine Söhne) und </w:t>
      </w:r>
      <w:r w:rsidRPr="005407E2">
        <w:rPr>
          <w:rFonts w:eastAsia="Times New Roman" w:cs="Times New Roman"/>
          <w:b/>
          <w:bCs/>
          <w:rtl/>
          <w:lang w:eastAsia="de-DE"/>
        </w:rPr>
        <w:t>כל־בני ישראל</w:t>
      </w:r>
      <w:r w:rsidRPr="005407E2">
        <w:rPr>
          <w:rFonts w:eastAsia="Times New Roman" w:cs="Times New Roman"/>
          <w:rtl/>
          <w:lang w:eastAsia="de-DE"/>
        </w:rPr>
        <w:t xml:space="preserve"> </w:t>
      </w:r>
      <w:r w:rsidRPr="005407E2">
        <w:rPr>
          <w:rFonts w:eastAsia="Times New Roman" w:cs="Times New Roman"/>
          <w:lang w:eastAsia="de-DE"/>
        </w:rPr>
        <w:t>mit π</w:t>
      </w:r>
      <w:proofErr w:type="spellStart"/>
      <w:r w:rsidRPr="005407E2">
        <w:rPr>
          <w:rFonts w:eastAsia="Times New Roman" w:cs="Times New Roman"/>
          <w:lang w:eastAsia="de-DE"/>
        </w:rPr>
        <w:t>άντ</w:t>
      </w:r>
      <w:proofErr w:type="spellEnd"/>
      <w:r w:rsidRPr="005407E2">
        <w:rPr>
          <w:rFonts w:eastAsia="Times New Roman" w:cs="Times New Roman"/>
          <w:lang w:eastAsia="de-DE"/>
        </w:rPr>
        <w:t xml:space="preserve">ας </w:t>
      </w:r>
      <w:proofErr w:type="spellStart"/>
      <w:r w:rsidRPr="005407E2">
        <w:rPr>
          <w:rFonts w:eastAsia="Times New Roman" w:cs="Times New Roman"/>
          <w:lang w:eastAsia="de-DE"/>
        </w:rPr>
        <w:t>υἱοὺς</w:t>
      </w:r>
      <w:proofErr w:type="spellEnd"/>
      <w:r w:rsidRPr="005407E2">
        <w:rPr>
          <w:rFonts w:eastAsia="Times New Roman" w:cs="Times New Roman"/>
          <w:lang w:eastAsia="de-DE"/>
        </w:rPr>
        <w:t xml:space="preserve"> </w:t>
      </w:r>
      <w:proofErr w:type="spellStart"/>
      <w:r w:rsidRPr="005407E2">
        <w:rPr>
          <w:rFonts w:eastAsia="Times New Roman" w:cs="Times New Roman"/>
          <w:lang w:eastAsia="de-DE"/>
        </w:rPr>
        <w:t>Ισρ</w:t>
      </w:r>
      <w:proofErr w:type="spellEnd"/>
      <w:r w:rsidRPr="005407E2">
        <w:rPr>
          <w:rFonts w:eastAsia="Times New Roman" w:cs="Times New Roman"/>
          <w:lang w:eastAsia="de-DE"/>
        </w:rPr>
        <w:t>αηλ (alle Söhne Israels).</w:t>
      </w:r>
    </w:p>
    <w:p w14:paraId="43EC1CDD"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Die Satzstruktur</w:t>
      </w:r>
      <w:r w:rsidRPr="005407E2">
        <w:rPr>
          <w:rFonts w:eastAsia="Times New Roman" w:cs="Times New Roman"/>
          <w:lang w:eastAsia="de-DE"/>
        </w:rPr>
        <w:t xml:space="preserve"> zeigt Ausführungsnotiz: mosaische Weitergabe + dreifache Adressierung (Aharon + seine Söhne + ganz Israel).</w:t>
      </w:r>
    </w:p>
    <w:p w14:paraId="54020F8F" w14:textId="7BAD2726"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Dieser Schlussvers zeigt die ordnungsgemäße Weitergabe der Priestervorschriften an alle Beteiligten.</w:t>
      </w:r>
    </w:p>
    <w:p w14:paraId="3991A0C7"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lang w:eastAsia="de-DE"/>
        </w:rPr>
        <w:t xml:space="preserve">Kapitel 21 regelt die </w:t>
      </w:r>
      <w:r w:rsidRPr="005407E2">
        <w:rPr>
          <w:rFonts w:eastAsia="Times New Roman" w:cs="Times New Roman"/>
          <w:b/>
          <w:bCs/>
          <w:lang w:eastAsia="de-DE"/>
        </w:rPr>
        <w:t>besonderen Heiligkeitsvorschriften für die Priesterschaft</w:t>
      </w:r>
      <w:r w:rsidRPr="005407E2">
        <w:rPr>
          <w:rFonts w:eastAsia="Times New Roman" w:cs="Times New Roman"/>
          <w:lang w:eastAsia="de-DE"/>
        </w:rPr>
        <w:t xml:space="preserve"> mit klarer Stufung zwischen gewöhnlichen Priestern und dem Hohepriester:</w:t>
      </w:r>
    </w:p>
    <w:p w14:paraId="22D1D0A1"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1) Leichenverunreinigung (V. 1-4):</w:t>
      </w:r>
      <w:r w:rsidRPr="005407E2">
        <w:rPr>
          <w:rFonts w:eastAsia="Times New Roman" w:cs="Times New Roman"/>
          <w:lang w:eastAsia="de-DE"/>
        </w:rPr>
        <w:t xml:space="preserve"> Grundsätzliches Leichenverbot für alle Priester mit Ausnahmen für die nächsten </w:t>
      </w:r>
      <w:r w:rsidRPr="005407E2">
        <w:rPr>
          <w:rFonts w:eastAsia="Times New Roman" w:cs="Times New Roman"/>
          <w:b/>
          <w:bCs/>
          <w:rtl/>
          <w:lang w:eastAsia="de-DE"/>
        </w:rPr>
        <w:t>שאר</w:t>
      </w:r>
      <w:r w:rsidRPr="005407E2">
        <w:rPr>
          <w:rFonts w:eastAsia="Times New Roman" w:cs="Times New Roman"/>
          <w:lang w:eastAsia="de-DE"/>
        </w:rPr>
        <w:t>-Verwandten: Eltern, Kinder, Bruder und unverheiratete Schwester. Verbot der Verunreinigung durch angeheiratete Verwandte zur Vermeidung priesterlicher Entweihung.</w:t>
      </w:r>
    </w:p>
    <w:p w14:paraId="663D7E43"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2) Trauerpraxis-Verbote (V. 5-6):</w:t>
      </w:r>
      <w:r w:rsidRPr="005407E2">
        <w:rPr>
          <w:rFonts w:eastAsia="Times New Roman" w:cs="Times New Roman"/>
          <w:lang w:eastAsia="de-DE"/>
        </w:rPr>
        <w:t xml:space="preserve"> Verbot heidnischer Trauerpraktiken (Glatze, Bartscherung, Körpereinschnitte) begründet durch die heilige Opferfunktion der Priester als Vermittler zwischen Gott und Volk.</w:t>
      </w:r>
    </w:p>
    <w:p w14:paraId="6021BF02"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3) Ehevorschriften (V. 7-9):</w:t>
      </w:r>
      <w:r w:rsidRPr="005407E2">
        <w:rPr>
          <w:rFonts w:eastAsia="Times New Roman" w:cs="Times New Roman"/>
          <w:lang w:eastAsia="de-DE"/>
        </w:rPr>
        <w:t xml:space="preserve"> Verbot der Heirat mit drei Kategorien "entweihter" Frauen (Huren, Entehrte, Geschiedene) wegen priesterlicher Heiligkeit. Volkspflicht zur Priesterheiligung. Feuerstrafe für hurende Priestertöchter wegen väterlicher Entweihung.</w:t>
      </w:r>
    </w:p>
    <w:p w14:paraId="09A9946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4) Hohepriester-Sondervorschriften (V. 10-15):</w:t>
      </w:r>
      <w:r w:rsidRPr="005407E2">
        <w:rPr>
          <w:rFonts w:eastAsia="Times New Roman" w:cs="Times New Roman"/>
          <w:lang w:eastAsia="de-DE"/>
        </w:rPr>
        <w:t xml:space="preserve"> Verschärfte Bestimmungen für den durch Salbung und Weihe eingesetzten Hohepriester: absolutes Leichenverbot ohne jede Ausnahme, Verbot normaler Trauerpraktiken, dauerhafte Heiligtumsbindung durch </w:t>
      </w:r>
      <w:r w:rsidRPr="005407E2">
        <w:rPr>
          <w:rFonts w:eastAsia="Times New Roman" w:cs="Times New Roman"/>
          <w:b/>
          <w:bCs/>
          <w:rtl/>
          <w:lang w:eastAsia="de-DE"/>
        </w:rPr>
        <w:t>נזר</w:t>
      </w:r>
      <w:r w:rsidRPr="005407E2">
        <w:rPr>
          <w:rFonts w:eastAsia="Times New Roman" w:cs="Times New Roman"/>
          <w:lang w:eastAsia="de-DE"/>
        </w:rPr>
        <w:t>-Salbung, nur jungfräuliche Israelitinnen als Ehefrauen (zusätzliches Witwen-Verbot), Vermeidung der Nachkommenschaftsentweihung.</w:t>
      </w:r>
    </w:p>
    <w:p w14:paraId="49B01E98"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5) Körperliche Makel-Vorschriften (V. 16-24):</w:t>
      </w:r>
      <w:r w:rsidRPr="005407E2">
        <w:rPr>
          <w:rFonts w:eastAsia="Times New Roman" w:cs="Times New Roman"/>
          <w:lang w:eastAsia="de-DE"/>
        </w:rPr>
        <w:t xml:space="preserve"> Systematische Auflistung von elf körperlichen Makeln (Blindheit, Lahmheit, Nasendeformation, überlange Glieder, Fuß-/Handbrüche, Buckel, Zwergwuchs, Augenflecken, Hautkrankheiten, Hodenschäden), die vom Opferdienst ausschließen. Priester mit Makeln behalten ihre Essrechte bei heiligen Opfern, dürfen aber nicht die heiligsten Bereiche (Vorhang, Altar) betreten.</w:t>
      </w:r>
    </w:p>
    <w:p w14:paraId="049296DF" w14:textId="77777777" w:rsidR="005407E2" w:rsidRP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t>Theologische Bedeutung:</w:t>
      </w:r>
      <w:r w:rsidRPr="005407E2">
        <w:rPr>
          <w:rFonts w:eastAsia="Times New Roman" w:cs="Times New Roman"/>
          <w:lang w:eastAsia="de-DE"/>
        </w:rPr>
        <w:t xml:space="preserve"> Das Kapitel zeigt </w:t>
      </w:r>
      <w:r w:rsidRPr="005407E2">
        <w:rPr>
          <w:rFonts w:eastAsia="Times New Roman" w:cs="Times New Roman"/>
          <w:b/>
          <w:bCs/>
          <w:lang w:eastAsia="de-DE"/>
        </w:rPr>
        <w:t>priesterliche Heiligkeit als gesteigerte Heiligkeit</w:t>
      </w:r>
      <w:r w:rsidRPr="005407E2">
        <w:rPr>
          <w:rFonts w:eastAsia="Times New Roman" w:cs="Times New Roman"/>
          <w:lang w:eastAsia="de-DE"/>
        </w:rPr>
        <w:t xml:space="preserve">: Priester haben höhere Anforderungen als das Volk, der Hohepriester höhere als gewöhnliche Priester. Die </w:t>
      </w:r>
      <w:r w:rsidRPr="005407E2">
        <w:rPr>
          <w:rFonts w:eastAsia="Times New Roman" w:cs="Times New Roman"/>
          <w:b/>
          <w:bCs/>
          <w:lang w:eastAsia="de-DE"/>
        </w:rPr>
        <w:t>körperliche Vollkommenheit</w:t>
      </w:r>
      <w:r w:rsidRPr="005407E2">
        <w:rPr>
          <w:rFonts w:eastAsia="Times New Roman" w:cs="Times New Roman"/>
          <w:lang w:eastAsia="de-DE"/>
        </w:rPr>
        <w:t xml:space="preserve"> spiegelt die göttliche Vollkommenheit wider und verhindert Heiligtumsentweihung.</w:t>
      </w:r>
    </w:p>
    <w:p w14:paraId="06B2A0D6" w14:textId="58E4AF23" w:rsidR="005407E2" w:rsidRDefault="005407E2" w:rsidP="005407E2">
      <w:pPr>
        <w:spacing w:before="100" w:beforeAutospacing="1" w:after="100" w:afterAutospacing="1" w:line="240" w:lineRule="auto"/>
        <w:rPr>
          <w:rFonts w:eastAsia="Times New Roman" w:cs="Times New Roman"/>
          <w:lang w:eastAsia="de-DE"/>
        </w:rPr>
      </w:pPr>
      <w:r w:rsidRPr="005407E2">
        <w:rPr>
          <w:rFonts w:eastAsia="Times New Roman" w:cs="Times New Roman"/>
          <w:b/>
          <w:bCs/>
          <w:lang w:eastAsia="de-DE"/>
        </w:rPr>
        <w:lastRenderedPageBreak/>
        <w:t>Besonderheiten:</w:t>
      </w:r>
      <w:r w:rsidRPr="005407E2">
        <w:rPr>
          <w:rFonts w:eastAsia="Times New Roman" w:cs="Times New Roman"/>
          <w:lang w:eastAsia="de-DE"/>
        </w:rPr>
        <w:t xml:space="preserve"> Die </w:t>
      </w:r>
      <w:r w:rsidRPr="005407E2">
        <w:rPr>
          <w:rFonts w:eastAsia="Times New Roman" w:cs="Times New Roman"/>
          <w:b/>
          <w:bCs/>
          <w:lang w:eastAsia="de-DE"/>
        </w:rPr>
        <w:t>Abstufung der Heiligkeitsanforderungen</w:t>
      </w:r>
      <w:r w:rsidRPr="005407E2">
        <w:rPr>
          <w:rFonts w:eastAsia="Times New Roman" w:cs="Times New Roman"/>
          <w:lang w:eastAsia="de-DE"/>
        </w:rPr>
        <w:t xml:space="preserve"> (Volk &lt; Priester &lt; Hohepriester) zeigt hierarchische Heiligkeitsordnung. Die </w:t>
      </w:r>
      <w:r w:rsidRPr="005407E2">
        <w:rPr>
          <w:rFonts w:eastAsia="Times New Roman" w:cs="Times New Roman"/>
          <w:b/>
          <w:bCs/>
          <w:rtl/>
          <w:lang w:eastAsia="de-DE"/>
        </w:rPr>
        <w:t>שאר</w:t>
      </w:r>
      <w:r w:rsidRPr="005407E2">
        <w:rPr>
          <w:rFonts w:eastAsia="Times New Roman" w:cs="Times New Roman"/>
          <w:lang w:eastAsia="de-DE"/>
        </w:rPr>
        <w:t xml:space="preserve">-Verwandtschaftsausnahmen verbinden mit den Inzestbestimmungen. Die </w:t>
      </w:r>
      <w:r w:rsidRPr="005407E2">
        <w:rPr>
          <w:rFonts w:eastAsia="Times New Roman" w:cs="Times New Roman"/>
          <w:b/>
          <w:bCs/>
          <w:lang w:eastAsia="de-DE"/>
        </w:rPr>
        <w:t>Makel-Vorschriften</w:t>
      </w:r>
      <w:r w:rsidRPr="005407E2">
        <w:rPr>
          <w:rFonts w:eastAsia="Times New Roman" w:cs="Times New Roman"/>
          <w:lang w:eastAsia="de-DE"/>
        </w:rPr>
        <w:t xml:space="preserve"> zeigen antike Vorstellungen von Vollkommenheit als Gottes</w:t>
      </w:r>
      <w:r>
        <w:rPr>
          <w:rFonts w:eastAsia="Times New Roman" w:cs="Times New Roman"/>
          <w:lang w:eastAsia="de-DE"/>
        </w:rPr>
        <w:t>e</w:t>
      </w:r>
      <w:r w:rsidRPr="005407E2">
        <w:rPr>
          <w:rFonts w:eastAsia="Times New Roman" w:cs="Times New Roman"/>
          <w:lang w:eastAsia="de-DE"/>
        </w:rPr>
        <w:t xml:space="preserve">benbildlichkeit. Die </w:t>
      </w:r>
      <w:r w:rsidRPr="005407E2">
        <w:rPr>
          <w:rFonts w:eastAsia="Times New Roman" w:cs="Times New Roman"/>
          <w:b/>
          <w:bCs/>
          <w:lang w:eastAsia="de-DE"/>
        </w:rPr>
        <w:t>Verbindung von Funktion und Lebensführung</w:t>
      </w:r>
      <w:r w:rsidRPr="005407E2">
        <w:rPr>
          <w:rFonts w:eastAsia="Times New Roman" w:cs="Times New Roman"/>
          <w:lang w:eastAsia="de-DE"/>
        </w:rPr>
        <w:t xml:space="preserve"> zeigt ganzheitliches Heiligkeitsverständnis. Das Kapitel etabliert </w:t>
      </w:r>
      <w:r w:rsidRPr="005407E2">
        <w:rPr>
          <w:rFonts w:eastAsia="Times New Roman" w:cs="Times New Roman"/>
          <w:b/>
          <w:bCs/>
          <w:lang w:eastAsia="de-DE"/>
        </w:rPr>
        <w:t>Priestertum als Stand mit besonderen Rechten und Pflichten</w:t>
      </w:r>
      <w:r w:rsidRPr="005407E2">
        <w:rPr>
          <w:rFonts w:eastAsia="Times New Roman" w:cs="Times New Roman"/>
          <w:lang w:eastAsia="de-DE"/>
        </w:rPr>
        <w:t>.</w:t>
      </w:r>
    </w:p>
    <w:p w14:paraId="581FC5ED" w14:textId="150D96BB" w:rsidR="0007678B" w:rsidRPr="005407E2" w:rsidRDefault="0007678B" w:rsidP="005407E2">
      <w:pPr>
        <w:spacing w:before="100" w:beforeAutospacing="1" w:after="100" w:afterAutospacing="1" w:line="240" w:lineRule="auto"/>
        <w:rPr>
          <w:rFonts w:eastAsia="Times New Roman" w:cs="Times New Roman"/>
          <w:lang w:eastAsia="de-DE"/>
        </w:rPr>
      </w:pPr>
      <w:r>
        <w:rPr>
          <w:rStyle w:val="Fett"/>
        </w:rPr>
        <w:t>Textkritische Beobachtung</w:t>
      </w:r>
      <w:r>
        <w:t>: Levitikus 21 zeigt in der LXX eine systematische medizinische Präzisierung der priesterlichen Reinheitsvorschriften. Die griechischen Übersetzer verwendeten spezifische medizinische Terminologie für körperliche Gebrechen und klarstellten ambige hebräische Begriffe. Besonders bemerkenswert ist die Interpretation des Hohepriesteramts durch griechische Weihe-Terminologie (</w:t>
      </w:r>
      <w:proofErr w:type="spellStart"/>
      <w:r>
        <w:t>τετελειωμένου</w:t>
      </w:r>
      <w:proofErr w:type="spellEnd"/>
      <w:r>
        <w:t>). Die LXX macht implizite Bestimmungen explizit und verwendet etablierte griechische religiöse und medizinische Fachsprache, was auf eine systematische Anpassung an hellenistische Leser hindeutet.</w:t>
      </w:r>
    </w:p>
    <w:p w14:paraId="26FBD9F5"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w:t>
      </w:r>
    </w:p>
    <w:p w14:paraId="26E5503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וַיְדַבֵּ֥ר יְהוָ֖ה אֶל־מֹשֶׁ֥ה לֵּאמֹֽר׃</w:t>
      </w:r>
    </w:p>
    <w:p w14:paraId="4642268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der Ewige redete zu Mosche, sagend:</w:t>
      </w:r>
    </w:p>
    <w:p w14:paraId="72CC7110"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3D452D96">
          <v:rect id="_x0000_i1649" style="width:0;height:1.5pt" o:hralign="center" o:hrstd="t" o:hr="t" fillcolor="#a0a0a0" stroked="f"/>
        </w:pict>
      </w:r>
    </w:p>
    <w:p w14:paraId="281A6E39" w14:textId="5E519BFA"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וידבר יהוה אל־משה לאמר</w:t>
      </w:r>
      <w:r w:rsidRPr="000F5B67">
        <w:rPr>
          <w:rFonts w:eastAsia="Times New Roman" w:cs="Times New Roman"/>
          <w:rtl/>
          <w:lang w:eastAsia="de-DE"/>
        </w:rPr>
        <w:t xml:space="preserve"> </w:t>
      </w:r>
      <w:r w:rsidRPr="000F5B67">
        <w:rPr>
          <w:rFonts w:eastAsia="Times New Roman" w:cs="Times New Roman"/>
          <w:lang w:eastAsia="de-DE"/>
        </w:rPr>
        <w:t xml:space="preserve">als erneute Offenbarungseinleitung. </w:t>
      </w:r>
      <w:r w:rsidRPr="000F5B67">
        <w:rPr>
          <w:rFonts w:eastAsia="Times New Roman" w:cs="Times New Roman"/>
          <w:b/>
          <w:bCs/>
          <w:rtl/>
          <w:lang w:eastAsia="de-DE"/>
        </w:rPr>
        <w:t>וידבר</w:t>
      </w:r>
      <w:r w:rsidRPr="000F5B67">
        <w:rPr>
          <w:rFonts w:eastAsia="Times New Roman" w:cs="Times New Roman"/>
          <w:rtl/>
          <w:lang w:eastAsia="de-DE"/>
        </w:rPr>
        <w:t xml:space="preserve"> </w:t>
      </w:r>
      <w:r w:rsidRPr="000F5B67">
        <w:rPr>
          <w:rFonts w:eastAsia="Times New Roman" w:cs="Times New Roman"/>
          <w:lang w:eastAsia="de-DE"/>
        </w:rPr>
        <w:t xml:space="preserve">(und er redete) im Piel-Imperfekt mit Waw-Konsekutiv - das Piel zeigt intensives, autoritatives göttliches Sprechen. </w:t>
      </w:r>
      <w:r w:rsidRPr="000F5B67">
        <w:rPr>
          <w:rFonts w:eastAsia="Times New Roman" w:cs="Times New Roman"/>
          <w:b/>
          <w:bCs/>
          <w:rtl/>
          <w:lang w:eastAsia="de-DE"/>
        </w:rPr>
        <w:t>לאמר</w:t>
      </w:r>
      <w:r w:rsidRPr="000F5B67">
        <w:rPr>
          <w:rFonts w:eastAsia="Times New Roman" w:cs="Times New Roman"/>
          <w:rtl/>
          <w:lang w:eastAsia="de-DE"/>
        </w:rPr>
        <w:t xml:space="preserve"> </w:t>
      </w:r>
      <w:r w:rsidRPr="000F5B67">
        <w:rPr>
          <w:rFonts w:eastAsia="Times New Roman" w:cs="Times New Roman"/>
          <w:lang w:eastAsia="de-DE"/>
        </w:rPr>
        <w:t>(sagend) als Infinitiv-</w:t>
      </w:r>
      <w:r w:rsidR="00DE39DD">
        <w:rPr>
          <w:rFonts w:eastAsia="Times New Roman" w:cs="Times New Roman"/>
          <w:lang w:eastAsia="de-DE"/>
        </w:rPr>
        <w:t>Constructus</w:t>
      </w:r>
      <w:r w:rsidRPr="000F5B67">
        <w:rPr>
          <w:rFonts w:eastAsia="Times New Roman" w:cs="Times New Roman"/>
          <w:lang w:eastAsia="de-DE"/>
        </w:rPr>
        <w:t xml:space="preserve"> von </w:t>
      </w:r>
      <w:r w:rsidRPr="000F5B67">
        <w:rPr>
          <w:rFonts w:eastAsia="Times New Roman" w:cs="Times New Roman"/>
          <w:b/>
          <w:bCs/>
          <w:rtl/>
          <w:lang w:eastAsia="de-DE"/>
        </w:rPr>
        <w:t>אמר</w:t>
      </w:r>
      <w:r w:rsidRPr="000F5B67">
        <w:rPr>
          <w:rFonts w:eastAsia="Times New Roman" w:cs="Times New Roman"/>
          <w:rtl/>
          <w:lang w:eastAsia="de-DE"/>
        </w:rPr>
        <w:t xml:space="preserve"> </w:t>
      </w:r>
      <w:r w:rsidRPr="000F5B67">
        <w:rPr>
          <w:rFonts w:eastAsia="Times New Roman" w:cs="Times New Roman"/>
          <w:lang w:eastAsia="de-DE"/>
        </w:rPr>
        <w:t>leitet die Vorschriften über den Umgang mit heiligen Gaben ein.</w:t>
      </w:r>
    </w:p>
    <w:p w14:paraId="19033A7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leitet einen neuen Abschnitt über priesterliche Reinheit beim Umgang mit heiligen Opfergaben ein.</w:t>
      </w:r>
    </w:p>
    <w:p w14:paraId="2BE735E2"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w:t>
      </w:r>
    </w:p>
    <w:p w14:paraId="600AF79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דַּבֵּ֨ר אֶֽל־אַהֲרֹ֜ן וְאֶל־בָּנָ֗יו וְיִנָּֽזְרוּ֙ מִקָּדְשֵׁ֣י בְנֵֽי־יִשְׂרָאֵ֔ל וְלֹ֥א יְחַלְּל֖וּ אֶת־שֵׁ֣ם קָדְשִׁ֑י אֲשֶׁ֨ר הֵ֧ם מַקְדִּשִׁ֛ים לִ֖י אֲנִ֥י יְהוָֽה׃</w:t>
      </w:r>
    </w:p>
    <w:p w14:paraId="1FC9498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Rede zu Aharon und zu seinen Söhnen, dass sie sich absondern von den heiligen Gaben der Söhne Israels, die sie mir heiligen, und nicht entweihen meinen heiligen Namen. Ich bin der Ewige.</w:t>
      </w:r>
    </w:p>
    <w:p w14:paraId="08177D11"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21F2AAA3">
          <v:rect id="_x0000_i1650" style="width:0;height:1.5pt" o:hralign="center" o:hrstd="t" o:hr="t" fillcolor="#a0a0a0" stroked="f"/>
        </w:pict>
      </w:r>
    </w:p>
    <w:p w14:paraId="0825BCA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דבר אל־אהרן ואל־בניו וינזרו מקדשי בני־ישראל ולא יחללו את־שם קדשי אשר הם מקדישים לי אני יהוה</w:t>
      </w:r>
      <w:r w:rsidRPr="000F5B67">
        <w:rPr>
          <w:rFonts w:eastAsia="Times New Roman" w:cs="Times New Roman"/>
          <w:rtl/>
          <w:lang w:eastAsia="de-DE"/>
        </w:rPr>
        <w:t xml:space="preserve"> </w:t>
      </w:r>
      <w:r w:rsidRPr="000F5B67">
        <w:rPr>
          <w:rFonts w:eastAsia="Times New Roman" w:cs="Times New Roman"/>
          <w:lang w:eastAsia="de-DE"/>
        </w:rPr>
        <w:t xml:space="preserve">etabliert das Grundprinzip priesterlicher Absonderung. </w:t>
      </w:r>
      <w:r w:rsidRPr="000F5B67">
        <w:rPr>
          <w:rFonts w:eastAsia="Times New Roman" w:cs="Times New Roman"/>
          <w:b/>
          <w:bCs/>
          <w:rtl/>
          <w:lang w:eastAsia="de-DE"/>
        </w:rPr>
        <w:t>דבר אל־אהרן ואל־בניו</w:t>
      </w:r>
      <w:r w:rsidRPr="000F5B67">
        <w:rPr>
          <w:rFonts w:eastAsia="Times New Roman" w:cs="Times New Roman"/>
          <w:rtl/>
          <w:lang w:eastAsia="de-DE"/>
        </w:rPr>
        <w:t xml:space="preserve"> </w:t>
      </w:r>
      <w:r w:rsidRPr="000F5B67">
        <w:rPr>
          <w:rFonts w:eastAsia="Times New Roman" w:cs="Times New Roman"/>
          <w:lang w:eastAsia="de-DE"/>
        </w:rPr>
        <w:t>(rede zu Aharon und zu seinen Söhnen) zeigt die direkte Adressierung der Priesterschaft.</w:t>
      </w:r>
    </w:p>
    <w:p w14:paraId="2AC35DD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וינזרו מקדשי בני־ישראל</w:t>
      </w:r>
      <w:r w:rsidRPr="000F5B67">
        <w:rPr>
          <w:rFonts w:eastAsia="Times New Roman" w:cs="Times New Roman"/>
          <w:rtl/>
          <w:lang w:eastAsia="de-DE"/>
        </w:rPr>
        <w:t xml:space="preserve"> </w:t>
      </w:r>
      <w:r w:rsidRPr="000F5B67">
        <w:rPr>
          <w:rFonts w:eastAsia="Times New Roman" w:cs="Times New Roman"/>
          <w:lang w:eastAsia="de-DE"/>
        </w:rPr>
        <w:t xml:space="preserve">(dass sie sich absondern von den heiligen Gaben der Söhne Israels) - </w:t>
      </w:r>
      <w:r w:rsidRPr="000F5B67">
        <w:rPr>
          <w:rFonts w:eastAsia="Times New Roman" w:cs="Times New Roman"/>
          <w:b/>
          <w:bCs/>
          <w:rtl/>
          <w:lang w:eastAsia="de-DE"/>
        </w:rPr>
        <w:t>וינזרו</w:t>
      </w:r>
      <w:r w:rsidRPr="000F5B67">
        <w:rPr>
          <w:rFonts w:eastAsia="Times New Roman" w:cs="Times New Roman"/>
          <w:rtl/>
          <w:lang w:eastAsia="de-DE"/>
        </w:rPr>
        <w:t xml:space="preserve"> </w:t>
      </w:r>
      <w:r w:rsidRPr="000F5B67">
        <w:rPr>
          <w:rFonts w:eastAsia="Times New Roman" w:cs="Times New Roman"/>
          <w:lang w:eastAsia="de-DE"/>
        </w:rPr>
        <w:t xml:space="preserve">(und sie sollen sich absondern) im Nifal-Imperfekt mit Waw-Konsekutiv von </w:t>
      </w:r>
      <w:r w:rsidRPr="000F5B67">
        <w:rPr>
          <w:rFonts w:eastAsia="Times New Roman" w:cs="Times New Roman"/>
          <w:b/>
          <w:bCs/>
          <w:rtl/>
          <w:lang w:eastAsia="de-DE"/>
        </w:rPr>
        <w:t>נזר</w:t>
      </w:r>
      <w:r w:rsidRPr="000F5B67">
        <w:rPr>
          <w:rFonts w:eastAsia="Times New Roman" w:cs="Times New Roman"/>
          <w:lang w:eastAsia="de-DE"/>
        </w:rPr>
        <w:t xml:space="preserve">, das </w:t>
      </w:r>
      <w:r w:rsidRPr="000F5B67">
        <w:rPr>
          <w:rFonts w:eastAsia="Times New Roman" w:cs="Times New Roman"/>
          <w:lang w:eastAsia="de-DE"/>
        </w:rPr>
        <w:lastRenderedPageBreak/>
        <w:t xml:space="preserve">Nifal zeigt reflexive Absonderung. </w:t>
      </w:r>
      <w:r w:rsidRPr="000F5B67">
        <w:rPr>
          <w:rFonts w:eastAsia="Times New Roman" w:cs="Times New Roman"/>
          <w:b/>
          <w:bCs/>
          <w:rtl/>
          <w:lang w:eastAsia="de-DE"/>
        </w:rPr>
        <w:t>מקדשי בני־ישראל</w:t>
      </w:r>
      <w:r w:rsidRPr="000F5B67">
        <w:rPr>
          <w:rFonts w:eastAsia="Times New Roman" w:cs="Times New Roman"/>
          <w:rtl/>
          <w:lang w:eastAsia="de-DE"/>
        </w:rPr>
        <w:t xml:space="preserve"> </w:t>
      </w:r>
      <w:r w:rsidRPr="000F5B67">
        <w:rPr>
          <w:rFonts w:eastAsia="Times New Roman" w:cs="Times New Roman"/>
          <w:lang w:eastAsia="de-DE"/>
        </w:rPr>
        <w:t>(von den heiligen Gaben der Söhne Israels) zeigt die Opfergaben.</w:t>
      </w:r>
    </w:p>
    <w:p w14:paraId="23F2B3C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ולא יחללו את־שם קדשי</w:t>
      </w:r>
      <w:r w:rsidRPr="000F5B67">
        <w:rPr>
          <w:rFonts w:eastAsia="Times New Roman" w:cs="Times New Roman"/>
          <w:rtl/>
          <w:lang w:eastAsia="de-DE"/>
        </w:rPr>
        <w:t xml:space="preserve"> </w:t>
      </w:r>
      <w:r w:rsidRPr="000F5B67">
        <w:rPr>
          <w:rFonts w:eastAsia="Times New Roman" w:cs="Times New Roman"/>
          <w:lang w:eastAsia="de-DE"/>
        </w:rPr>
        <w:t xml:space="preserve">(und nicht entweihen meinen heiligen Namen) - </w:t>
      </w:r>
      <w:r w:rsidRPr="000F5B67">
        <w:rPr>
          <w:rFonts w:eastAsia="Times New Roman" w:cs="Times New Roman"/>
          <w:b/>
          <w:bCs/>
          <w:rtl/>
          <w:lang w:eastAsia="de-DE"/>
        </w:rPr>
        <w:t>לא יחללו</w:t>
      </w:r>
      <w:r w:rsidRPr="000F5B67">
        <w:rPr>
          <w:rFonts w:eastAsia="Times New Roman" w:cs="Times New Roman"/>
          <w:rtl/>
          <w:lang w:eastAsia="de-DE"/>
        </w:rPr>
        <w:t xml:space="preserve"> </w:t>
      </w:r>
      <w:r w:rsidRPr="000F5B67">
        <w:rPr>
          <w:rFonts w:eastAsia="Times New Roman" w:cs="Times New Roman"/>
          <w:lang w:eastAsia="de-DE"/>
        </w:rPr>
        <w:t xml:space="preserve">(sollen nicht entweihen) im Piel-Imperfekt, das Piel zeigt intensive Entweihung. </w:t>
      </w:r>
      <w:r w:rsidRPr="000F5B67">
        <w:rPr>
          <w:rFonts w:eastAsia="Times New Roman" w:cs="Times New Roman"/>
          <w:b/>
          <w:bCs/>
          <w:rtl/>
          <w:lang w:eastAsia="de-DE"/>
        </w:rPr>
        <w:t>את־שם קדשי</w:t>
      </w:r>
      <w:r w:rsidRPr="000F5B67">
        <w:rPr>
          <w:rFonts w:eastAsia="Times New Roman" w:cs="Times New Roman"/>
          <w:rtl/>
          <w:lang w:eastAsia="de-DE"/>
        </w:rPr>
        <w:t xml:space="preserve"> </w:t>
      </w:r>
      <w:r w:rsidRPr="000F5B67">
        <w:rPr>
          <w:rFonts w:eastAsia="Times New Roman" w:cs="Times New Roman"/>
          <w:lang w:eastAsia="de-DE"/>
        </w:rPr>
        <w:t>(meinen heiligen Namen) zeigt Gottesnamenschändung als Folge unsachgemäßen Umgangs.</w:t>
      </w:r>
    </w:p>
    <w:p w14:paraId="30E8A50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אשר הם מקדישים לי</w:t>
      </w:r>
      <w:r w:rsidRPr="000F5B67">
        <w:rPr>
          <w:rFonts w:eastAsia="Times New Roman" w:cs="Times New Roman"/>
          <w:rtl/>
          <w:lang w:eastAsia="de-DE"/>
        </w:rPr>
        <w:t xml:space="preserve"> </w:t>
      </w:r>
      <w:r w:rsidRPr="000F5B67">
        <w:rPr>
          <w:rFonts w:eastAsia="Times New Roman" w:cs="Times New Roman"/>
          <w:lang w:eastAsia="de-DE"/>
        </w:rPr>
        <w:t xml:space="preserve">(die sie mir heiligen) - </w:t>
      </w:r>
      <w:r w:rsidRPr="000F5B67">
        <w:rPr>
          <w:rFonts w:eastAsia="Times New Roman" w:cs="Times New Roman"/>
          <w:b/>
          <w:bCs/>
          <w:rtl/>
          <w:lang w:eastAsia="de-DE"/>
        </w:rPr>
        <w:t>מקדישים</w:t>
      </w:r>
      <w:r w:rsidRPr="000F5B67">
        <w:rPr>
          <w:rFonts w:eastAsia="Times New Roman" w:cs="Times New Roman"/>
          <w:rtl/>
          <w:lang w:eastAsia="de-DE"/>
        </w:rPr>
        <w:t xml:space="preserve"> </w:t>
      </w:r>
      <w:r w:rsidRPr="000F5B67">
        <w:rPr>
          <w:rFonts w:eastAsia="Times New Roman" w:cs="Times New Roman"/>
          <w:lang w:eastAsia="de-DE"/>
        </w:rPr>
        <w:t xml:space="preserve">(heiligen) im Hifil-Partizip zeigt die Weihehandlung des Volkes. </w:t>
      </w: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(ich bin der Ewige) als Autoritätsformel.</w:t>
      </w:r>
    </w:p>
    <w:p w14:paraId="680ECF8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וינזרו</w:t>
      </w:r>
      <w:r w:rsidRPr="000F5B67">
        <w:rPr>
          <w:rFonts w:eastAsia="Times New Roman" w:cs="Times New Roman"/>
          <w:rtl/>
          <w:lang w:eastAsia="de-DE"/>
        </w:rPr>
        <w:t xml:space="preserve"> </w:t>
      </w:r>
      <w:r w:rsidRPr="000F5B67">
        <w:rPr>
          <w:rFonts w:eastAsia="Times New Roman" w:cs="Times New Roman"/>
          <w:lang w:eastAsia="de-DE"/>
        </w:rPr>
        <w:t xml:space="preserve">zeigt </w:t>
      </w:r>
      <w:r w:rsidRPr="000F5B67">
        <w:rPr>
          <w:rFonts w:eastAsia="Times New Roman" w:cs="Times New Roman"/>
          <w:b/>
          <w:bCs/>
          <w:rtl/>
          <w:lang w:eastAsia="de-DE"/>
        </w:rPr>
        <w:t>נזר</w:t>
      </w:r>
      <w:r w:rsidRPr="000F5B67">
        <w:rPr>
          <w:rFonts w:eastAsia="Times New Roman" w:cs="Times New Roman"/>
          <w:lang w:eastAsia="de-DE"/>
        </w:rPr>
        <w:t xml:space="preserve">-Absonderung entsprechend der Nasiräer-Weihe. </w:t>
      </w:r>
      <w:r w:rsidRPr="000F5B67">
        <w:rPr>
          <w:rFonts w:eastAsia="Times New Roman" w:cs="Times New Roman"/>
          <w:b/>
          <w:bCs/>
          <w:rtl/>
          <w:lang w:eastAsia="de-DE"/>
        </w:rPr>
        <w:t>מקדשי בני־ישראל</w:t>
      </w:r>
      <w:r w:rsidRPr="000F5B67">
        <w:rPr>
          <w:rFonts w:eastAsia="Times New Roman" w:cs="Times New Roman"/>
          <w:rtl/>
          <w:lang w:eastAsia="de-DE"/>
        </w:rPr>
        <w:t xml:space="preserve"> </w:t>
      </w:r>
      <w:r w:rsidRPr="000F5B67">
        <w:rPr>
          <w:rFonts w:eastAsia="Times New Roman" w:cs="Times New Roman"/>
          <w:lang w:eastAsia="de-DE"/>
        </w:rPr>
        <w:t xml:space="preserve">zeigt die vom Volk geweihten Gaben. </w:t>
      </w:r>
      <w:r w:rsidRPr="000F5B67">
        <w:rPr>
          <w:rFonts w:eastAsia="Times New Roman" w:cs="Times New Roman"/>
          <w:b/>
          <w:bCs/>
          <w:rtl/>
          <w:lang w:eastAsia="de-DE"/>
        </w:rPr>
        <w:t>לא יחללו את־שם קדשי</w:t>
      </w:r>
      <w:r w:rsidRPr="000F5B67">
        <w:rPr>
          <w:rFonts w:eastAsia="Times New Roman" w:cs="Times New Roman"/>
          <w:rtl/>
          <w:lang w:eastAsia="de-DE"/>
        </w:rPr>
        <w:t xml:space="preserve"> </w:t>
      </w:r>
      <w:r w:rsidRPr="000F5B67">
        <w:rPr>
          <w:rFonts w:eastAsia="Times New Roman" w:cs="Times New Roman"/>
          <w:lang w:eastAsia="de-DE"/>
        </w:rPr>
        <w:t>zeigt Gottesnamenschändung als Konsequenz unsachgemäßen Umgangs.</w:t>
      </w:r>
    </w:p>
    <w:p w14:paraId="1B3D83A2" w14:textId="27160B8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וינזרו</w:t>
      </w:r>
      <w:r w:rsidR="0007678B">
        <w:t xml:space="preserve"> (</w:t>
      </w:r>
      <w:proofErr w:type="spellStart"/>
      <w:r w:rsidR="0007678B">
        <w:t>weyinnazru</w:t>
      </w:r>
      <w:proofErr w:type="spellEnd"/>
      <w:r w:rsidR="0007678B">
        <w:t xml:space="preserve"> - "und sie sollen sich enthalten") als καὶ π</w:t>
      </w:r>
      <w:proofErr w:type="spellStart"/>
      <w:r w:rsidR="0007678B">
        <w:t>ροσεχέτωσ</w:t>
      </w:r>
      <w:proofErr w:type="spellEnd"/>
      <w:r w:rsidR="0007678B">
        <w:t>αν (und sie sollen sich hüten), was eine weniger technische, aber klarere Ausdrucksweise darstellt.</w:t>
      </w:r>
    </w:p>
    <w:p w14:paraId="21EF99C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Priester-Absonderungsgebot: Priesteradressierung + </w:t>
      </w:r>
      <w:r w:rsidRPr="000F5B67">
        <w:rPr>
          <w:rFonts w:eastAsia="Times New Roman" w:cs="Times New Roman"/>
          <w:b/>
          <w:bCs/>
          <w:rtl/>
          <w:lang w:eastAsia="de-DE"/>
        </w:rPr>
        <w:t>נזר</w:t>
      </w:r>
      <w:r w:rsidRPr="000F5B67">
        <w:rPr>
          <w:rFonts w:eastAsia="Times New Roman" w:cs="Times New Roman"/>
          <w:lang w:eastAsia="de-DE"/>
        </w:rPr>
        <w:t>-Absonderung von heiligen Gaben + Gottesnamenschändungsverbot + Weihehandlungsbezug + göttliche Autorität.</w:t>
      </w:r>
    </w:p>
    <w:p w14:paraId="7FEBE69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Dieser Vers fordert priesterliche </w:t>
      </w:r>
      <w:r w:rsidRPr="000F5B67">
        <w:rPr>
          <w:rFonts w:eastAsia="Times New Roman" w:cs="Times New Roman"/>
          <w:b/>
          <w:bCs/>
          <w:rtl/>
          <w:lang w:eastAsia="de-DE"/>
        </w:rPr>
        <w:t>נזר</w:t>
      </w:r>
      <w:r w:rsidRPr="000F5B67">
        <w:rPr>
          <w:rFonts w:eastAsia="Times New Roman" w:cs="Times New Roman"/>
          <w:lang w:eastAsia="de-DE"/>
        </w:rPr>
        <w:t>-Absonderung von heiligen Gaben zur Vermeidung der Gottesnamenschändung.</w:t>
      </w:r>
    </w:p>
    <w:p w14:paraId="17F9697A"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22,3</w:t>
      </w:r>
    </w:p>
    <w:p w14:paraId="5650194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אֱמֹ֣ר אֲלֵהֶ֗ם לְדֹרֹ֨תֵיכֶ֜ם כָּל־אִ֣ישׁ׀ אֲשֶׁר־יִקְרַ֣ב מִכָּל־זַרְעֲכֶ֗ם אֶל־הַקֳּדָשִׁים֙ אֲשֶׁ֨ר יַקְדִּ֤ישׁוּ בְנֵֽי־יִשְׂרָאֵל֙ לַֽיהוָ֔ה וְטֻמְאָתוֹ֖ עָלָ֑יו וְנִכְרְתָ֞ה הַנֶּ֧פֶשׁ הַהִ֛וא מִלְּפָנַ֖י אֲנִ֥י יְהוָֽה׃</w:t>
      </w:r>
    </w:p>
    <w:p w14:paraId="59E790B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Sage ihnen: Für eure Generationen, jeder Mann von all euren Nachkommen, der sich den heiligen Gaben nähert, welche die Kinder Israels dem Ewigen heiligen, während seine Unreinheit an ihm ist, dann soll diese Seele vor meinem Angesicht ausgerottet werden. Ich bin der Ewige.</w:t>
      </w:r>
    </w:p>
    <w:p w14:paraId="23A78BFB"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588EC34">
          <v:rect id="_x0000_i1651" style="width:0;height:1.5pt" o:hralign="center" o:hrstd="t" o:hr="t" fillcolor="#a0a0a0" stroked="f"/>
        </w:pict>
      </w:r>
    </w:p>
    <w:p w14:paraId="6DB1EB4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אמר אלהם לדרתיכם כל־איש אשר־יקרב מכל־זרעכם אל־הקדשים אשר יקדישו בני־ישראל ליהוה וטמאתו עליו ונכרתה הנפש ההוא מלפני אני יהוה</w:t>
      </w:r>
      <w:r w:rsidRPr="000F5B67">
        <w:rPr>
          <w:rFonts w:eastAsia="Times New Roman" w:cs="Times New Roman"/>
          <w:rtl/>
          <w:lang w:eastAsia="de-DE"/>
        </w:rPr>
        <w:t xml:space="preserve"> </w:t>
      </w:r>
      <w:r w:rsidRPr="000F5B67">
        <w:rPr>
          <w:rFonts w:eastAsia="Times New Roman" w:cs="Times New Roman"/>
          <w:lang w:eastAsia="de-DE"/>
        </w:rPr>
        <w:t xml:space="preserve">zeigt die schwerste Strafe für Unreinheit beim Heiligendienst. </w:t>
      </w:r>
      <w:r w:rsidRPr="000F5B67">
        <w:rPr>
          <w:rFonts w:eastAsia="Times New Roman" w:cs="Times New Roman"/>
          <w:b/>
          <w:bCs/>
          <w:rtl/>
          <w:lang w:eastAsia="de-DE"/>
        </w:rPr>
        <w:t>אמר אלהם לדרתיכם</w:t>
      </w:r>
      <w:r w:rsidRPr="000F5B67">
        <w:rPr>
          <w:rFonts w:eastAsia="Times New Roman" w:cs="Times New Roman"/>
          <w:rtl/>
          <w:lang w:eastAsia="de-DE"/>
        </w:rPr>
        <w:t xml:space="preserve"> </w:t>
      </w:r>
      <w:r w:rsidRPr="000F5B67">
        <w:rPr>
          <w:rFonts w:eastAsia="Times New Roman" w:cs="Times New Roman"/>
          <w:lang w:eastAsia="de-DE"/>
        </w:rPr>
        <w:t>(sage ihnen: für eure Generationen) zeigt zeitlich unbegrenzte Gültigkeit.</w:t>
      </w:r>
    </w:p>
    <w:p w14:paraId="5D9D085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כל־איש אשר־יקרב מכל־זרעכם אל־הקדשים</w:t>
      </w:r>
      <w:r w:rsidRPr="000F5B67">
        <w:rPr>
          <w:rFonts w:eastAsia="Times New Roman" w:cs="Times New Roman"/>
          <w:rtl/>
          <w:lang w:eastAsia="de-DE"/>
        </w:rPr>
        <w:t xml:space="preserve"> </w:t>
      </w:r>
      <w:r w:rsidRPr="000F5B67">
        <w:rPr>
          <w:rFonts w:eastAsia="Times New Roman" w:cs="Times New Roman"/>
          <w:lang w:eastAsia="de-DE"/>
        </w:rPr>
        <w:t xml:space="preserve">(jeder Mann von all euren Nachkommen, der sich den heiligen Gaben nähert) - </w:t>
      </w:r>
      <w:r w:rsidRPr="000F5B67">
        <w:rPr>
          <w:rFonts w:eastAsia="Times New Roman" w:cs="Times New Roman"/>
          <w:b/>
          <w:bCs/>
          <w:rtl/>
          <w:lang w:eastAsia="de-DE"/>
        </w:rPr>
        <w:t>כל־איש</w:t>
      </w:r>
      <w:r w:rsidRPr="000F5B67">
        <w:rPr>
          <w:rFonts w:eastAsia="Times New Roman" w:cs="Times New Roman"/>
          <w:rtl/>
          <w:lang w:eastAsia="de-DE"/>
        </w:rPr>
        <w:t xml:space="preserve"> </w:t>
      </w:r>
      <w:r w:rsidRPr="000F5B67">
        <w:rPr>
          <w:rFonts w:eastAsia="Times New Roman" w:cs="Times New Roman"/>
          <w:lang w:eastAsia="de-DE"/>
        </w:rPr>
        <w:t xml:space="preserve">(jeder Mann) zeigt universelle Anwendung. </w:t>
      </w:r>
      <w:r w:rsidRPr="000F5B67">
        <w:rPr>
          <w:rFonts w:eastAsia="Times New Roman" w:cs="Times New Roman"/>
          <w:b/>
          <w:bCs/>
          <w:rtl/>
          <w:lang w:eastAsia="de-DE"/>
        </w:rPr>
        <w:t>מכל־זרעכם</w:t>
      </w:r>
      <w:r w:rsidRPr="000F5B67">
        <w:rPr>
          <w:rFonts w:eastAsia="Times New Roman" w:cs="Times New Roman"/>
          <w:rtl/>
          <w:lang w:eastAsia="de-DE"/>
        </w:rPr>
        <w:t xml:space="preserve"> </w:t>
      </w:r>
      <w:r w:rsidRPr="000F5B67">
        <w:rPr>
          <w:rFonts w:eastAsia="Times New Roman" w:cs="Times New Roman"/>
          <w:lang w:eastAsia="de-DE"/>
        </w:rPr>
        <w:t xml:space="preserve">(von all euren Nachkommen) zeigt aaronitische Abstammung. </w:t>
      </w:r>
      <w:r w:rsidRPr="000F5B67">
        <w:rPr>
          <w:rFonts w:eastAsia="Times New Roman" w:cs="Times New Roman"/>
          <w:b/>
          <w:bCs/>
          <w:rtl/>
          <w:lang w:eastAsia="de-DE"/>
        </w:rPr>
        <w:t>יקרב אל־הקדשים</w:t>
      </w:r>
      <w:r w:rsidRPr="000F5B67">
        <w:rPr>
          <w:rFonts w:eastAsia="Times New Roman" w:cs="Times New Roman"/>
          <w:rtl/>
          <w:lang w:eastAsia="de-DE"/>
        </w:rPr>
        <w:t xml:space="preserve"> </w:t>
      </w:r>
      <w:r w:rsidRPr="000F5B67">
        <w:rPr>
          <w:rFonts w:eastAsia="Times New Roman" w:cs="Times New Roman"/>
          <w:lang w:eastAsia="de-DE"/>
        </w:rPr>
        <w:t>(nähert sich den heiligen Gaben) zeigt liturgische Annäherung.</w:t>
      </w:r>
    </w:p>
    <w:p w14:paraId="6C55FF4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אשר יקדישו בני־ישראל ליהוה</w:t>
      </w:r>
      <w:r w:rsidRPr="000F5B67">
        <w:rPr>
          <w:rFonts w:eastAsia="Times New Roman" w:cs="Times New Roman"/>
          <w:rtl/>
          <w:lang w:eastAsia="de-DE"/>
        </w:rPr>
        <w:t xml:space="preserve"> </w:t>
      </w:r>
      <w:r w:rsidRPr="000F5B67">
        <w:rPr>
          <w:rFonts w:eastAsia="Times New Roman" w:cs="Times New Roman"/>
          <w:lang w:eastAsia="de-DE"/>
        </w:rPr>
        <w:t xml:space="preserve">(welche die Kinder Israels dem Ewigen heiligen) entspricht V. 2. </w:t>
      </w:r>
      <w:r w:rsidRPr="000F5B67">
        <w:rPr>
          <w:rFonts w:eastAsia="Times New Roman" w:cs="Times New Roman"/>
          <w:b/>
          <w:bCs/>
          <w:rtl/>
          <w:lang w:eastAsia="de-DE"/>
        </w:rPr>
        <w:t>וטמאתו עליו</w:t>
      </w:r>
      <w:r w:rsidRPr="000F5B67">
        <w:rPr>
          <w:rFonts w:eastAsia="Times New Roman" w:cs="Times New Roman"/>
          <w:rtl/>
          <w:lang w:eastAsia="de-DE"/>
        </w:rPr>
        <w:t xml:space="preserve"> </w:t>
      </w:r>
      <w:r w:rsidRPr="000F5B67">
        <w:rPr>
          <w:rFonts w:eastAsia="Times New Roman" w:cs="Times New Roman"/>
          <w:lang w:eastAsia="de-DE"/>
        </w:rPr>
        <w:t xml:space="preserve">(während seine Unreinheit an ihm ist) - </w:t>
      </w:r>
      <w:r w:rsidRPr="000F5B67">
        <w:rPr>
          <w:rFonts w:eastAsia="Times New Roman" w:cs="Times New Roman"/>
          <w:b/>
          <w:bCs/>
          <w:rtl/>
          <w:lang w:eastAsia="de-DE"/>
        </w:rPr>
        <w:t>טמאתו עליו</w:t>
      </w:r>
      <w:r w:rsidRPr="000F5B67">
        <w:rPr>
          <w:rFonts w:eastAsia="Times New Roman" w:cs="Times New Roman"/>
          <w:rtl/>
          <w:lang w:eastAsia="de-DE"/>
        </w:rPr>
        <w:t xml:space="preserve"> </w:t>
      </w:r>
      <w:r w:rsidRPr="000F5B67">
        <w:rPr>
          <w:rFonts w:eastAsia="Times New Roman" w:cs="Times New Roman"/>
          <w:lang w:eastAsia="de-DE"/>
        </w:rPr>
        <w:t>(seine Unreinheit an ihm) zeigt den Unreinheitszustand als entscheidend.</w:t>
      </w:r>
    </w:p>
    <w:p w14:paraId="3A2FCC9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ונכרתה הנפש ההוא מלפני</w:t>
      </w:r>
      <w:r w:rsidRPr="000F5B67">
        <w:rPr>
          <w:rFonts w:eastAsia="Times New Roman" w:cs="Times New Roman"/>
          <w:rtl/>
          <w:lang w:eastAsia="de-DE"/>
        </w:rPr>
        <w:t xml:space="preserve"> </w:t>
      </w:r>
      <w:r w:rsidRPr="000F5B67">
        <w:rPr>
          <w:rFonts w:eastAsia="Times New Roman" w:cs="Times New Roman"/>
          <w:lang w:eastAsia="de-DE"/>
        </w:rPr>
        <w:t xml:space="preserve">(dann soll diese Seele vor meinem Angesicht ausgerottet werden) - </w:t>
      </w:r>
      <w:r w:rsidRPr="000F5B67">
        <w:rPr>
          <w:rFonts w:eastAsia="Times New Roman" w:cs="Times New Roman"/>
          <w:b/>
          <w:bCs/>
          <w:rtl/>
          <w:lang w:eastAsia="de-DE"/>
        </w:rPr>
        <w:t>ונכרתה</w:t>
      </w:r>
      <w:r w:rsidRPr="000F5B67">
        <w:rPr>
          <w:rFonts w:eastAsia="Times New Roman" w:cs="Times New Roman"/>
          <w:rtl/>
          <w:lang w:eastAsia="de-DE"/>
        </w:rPr>
        <w:t xml:space="preserve"> </w:t>
      </w:r>
      <w:r w:rsidRPr="000F5B67">
        <w:rPr>
          <w:rFonts w:eastAsia="Times New Roman" w:cs="Times New Roman"/>
          <w:lang w:eastAsia="de-DE"/>
        </w:rPr>
        <w:t xml:space="preserve">(und ausgerottet werden soll) im Nifal-Perfekt mit Waw-Konsekutiv zeigt </w:t>
      </w:r>
      <w:r w:rsidRPr="000F5B67">
        <w:rPr>
          <w:rFonts w:eastAsia="Times New Roman" w:cs="Times New Roman"/>
          <w:b/>
          <w:bCs/>
          <w:rtl/>
          <w:lang w:eastAsia="de-DE"/>
        </w:rPr>
        <w:t>כרת</w:t>
      </w:r>
      <w:r w:rsidRPr="000F5B67">
        <w:rPr>
          <w:rFonts w:eastAsia="Times New Roman" w:cs="Times New Roman"/>
          <w:lang w:eastAsia="de-DE"/>
        </w:rPr>
        <w:t xml:space="preserve">-Strafe. </w:t>
      </w:r>
      <w:r w:rsidRPr="000F5B67">
        <w:rPr>
          <w:rFonts w:eastAsia="Times New Roman" w:cs="Times New Roman"/>
          <w:b/>
          <w:bCs/>
          <w:rtl/>
          <w:lang w:eastAsia="de-DE"/>
        </w:rPr>
        <w:t>מלפני</w:t>
      </w:r>
      <w:r w:rsidRPr="000F5B67">
        <w:rPr>
          <w:rFonts w:eastAsia="Times New Roman" w:cs="Times New Roman"/>
          <w:rtl/>
          <w:lang w:eastAsia="de-DE"/>
        </w:rPr>
        <w:t xml:space="preserve"> </w:t>
      </w:r>
      <w:r w:rsidRPr="000F5B67">
        <w:rPr>
          <w:rFonts w:eastAsia="Times New Roman" w:cs="Times New Roman"/>
          <w:lang w:eastAsia="de-DE"/>
        </w:rPr>
        <w:t>(vor meinem Angesicht) zeigt direkte göttliche Vollstreckung.</w:t>
      </w:r>
    </w:p>
    <w:p w14:paraId="56C8AFD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לדרתיכם</w:t>
      </w:r>
      <w:r w:rsidRPr="000F5B67">
        <w:rPr>
          <w:rFonts w:eastAsia="Times New Roman" w:cs="Times New Roman"/>
          <w:rtl/>
          <w:lang w:eastAsia="de-DE"/>
        </w:rPr>
        <w:t xml:space="preserve"> </w:t>
      </w:r>
      <w:r w:rsidRPr="000F5B67">
        <w:rPr>
          <w:rFonts w:eastAsia="Times New Roman" w:cs="Times New Roman"/>
          <w:lang w:eastAsia="de-DE"/>
        </w:rPr>
        <w:t xml:space="preserve">zeigt dauerhafte Gültigkeit. </w:t>
      </w:r>
      <w:r w:rsidRPr="000F5B67">
        <w:rPr>
          <w:rFonts w:eastAsia="Times New Roman" w:cs="Times New Roman"/>
          <w:b/>
          <w:bCs/>
          <w:rtl/>
          <w:lang w:eastAsia="de-DE"/>
        </w:rPr>
        <w:t>וטמאתו עליו</w:t>
      </w:r>
      <w:r w:rsidRPr="000F5B67">
        <w:rPr>
          <w:rFonts w:eastAsia="Times New Roman" w:cs="Times New Roman"/>
          <w:rtl/>
          <w:lang w:eastAsia="de-DE"/>
        </w:rPr>
        <w:t xml:space="preserve"> </w:t>
      </w:r>
      <w:r w:rsidRPr="000F5B67">
        <w:rPr>
          <w:rFonts w:eastAsia="Times New Roman" w:cs="Times New Roman"/>
          <w:lang w:eastAsia="de-DE"/>
        </w:rPr>
        <w:t xml:space="preserve">als entscheidende Bedingung. </w:t>
      </w:r>
      <w:r w:rsidRPr="000F5B67">
        <w:rPr>
          <w:rFonts w:eastAsia="Times New Roman" w:cs="Times New Roman"/>
          <w:b/>
          <w:bCs/>
          <w:rtl/>
          <w:lang w:eastAsia="de-DE"/>
        </w:rPr>
        <w:t>ונכרתה מלפני</w:t>
      </w:r>
      <w:r w:rsidRPr="000F5B67">
        <w:rPr>
          <w:rFonts w:eastAsia="Times New Roman" w:cs="Times New Roman"/>
          <w:rtl/>
          <w:lang w:eastAsia="de-DE"/>
        </w:rPr>
        <w:t xml:space="preserve"> </w:t>
      </w:r>
      <w:r w:rsidRPr="000F5B67">
        <w:rPr>
          <w:rFonts w:eastAsia="Times New Roman" w:cs="Times New Roman"/>
          <w:lang w:eastAsia="de-DE"/>
        </w:rPr>
        <w:t xml:space="preserve">als </w:t>
      </w:r>
      <w:r w:rsidRPr="000F5B67">
        <w:rPr>
          <w:rFonts w:eastAsia="Times New Roman" w:cs="Times New Roman"/>
          <w:b/>
          <w:bCs/>
          <w:rtl/>
          <w:lang w:eastAsia="de-DE"/>
        </w:rPr>
        <w:t>כרת</w:t>
      </w:r>
      <w:r w:rsidRPr="000F5B67">
        <w:rPr>
          <w:rFonts w:eastAsia="Times New Roman" w:cs="Times New Roman"/>
          <w:lang w:eastAsia="de-DE"/>
        </w:rPr>
        <w:t>-Strafe vor JHWH zeigt extreme Schwere.</w:t>
      </w:r>
    </w:p>
    <w:p w14:paraId="6C0FD0E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לדרתיכם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εἰς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τὰς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γενεὰς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ὑμῶν</w:t>
      </w:r>
      <w:proofErr w:type="spellEnd"/>
      <w:r w:rsidRPr="000F5B67">
        <w:rPr>
          <w:rFonts w:eastAsia="Times New Roman" w:cs="Times New Roman"/>
          <w:lang w:eastAsia="de-DE"/>
        </w:rPr>
        <w:t xml:space="preserve"> (in eure Generationen), </w:t>
      </w:r>
      <w:r w:rsidRPr="000F5B67">
        <w:rPr>
          <w:rFonts w:eastAsia="Times New Roman" w:cs="Times New Roman"/>
          <w:b/>
          <w:bCs/>
          <w:rtl/>
          <w:lang w:eastAsia="de-DE"/>
        </w:rPr>
        <w:t>יקרב</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ροσέλθῃ</w:t>
      </w:r>
      <w:proofErr w:type="spellEnd"/>
      <w:r w:rsidRPr="000F5B67">
        <w:rPr>
          <w:rFonts w:eastAsia="Times New Roman" w:cs="Times New Roman"/>
          <w:lang w:eastAsia="de-DE"/>
        </w:rPr>
        <w:t xml:space="preserve"> (naht sich), </w:t>
      </w:r>
      <w:r w:rsidRPr="000F5B67">
        <w:rPr>
          <w:rFonts w:eastAsia="Times New Roman" w:cs="Times New Roman"/>
          <w:b/>
          <w:bCs/>
          <w:rtl/>
          <w:lang w:eastAsia="de-DE"/>
        </w:rPr>
        <w:t>טמאתו עליו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ἀκ</w:t>
      </w:r>
      <w:proofErr w:type="spellEnd"/>
      <w:r w:rsidRPr="000F5B67">
        <w:rPr>
          <w:rFonts w:eastAsia="Times New Roman" w:cs="Times New Roman"/>
          <w:lang w:eastAsia="de-DE"/>
        </w:rPr>
        <w:t>αθαρσία ἐπ᾽ α</w:t>
      </w:r>
      <w:proofErr w:type="spellStart"/>
      <w:r w:rsidRPr="000F5B67">
        <w:rPr>
          <w:rFonts w:eastAsia="Times New Roman" w:cs="Times New Roman"/>
          <w:lang w:eastAsia="de-DE"/>
        </w:rPr>
        <w:t>ὐτῷ</w:t>
      </w:r>
      <w:proofErr w:type="spellEnd"/>
      <w:r w:rsidRPr="000F5B67">
        <w:rPr>
          <w:rFonts w:eastAsia="Times New Roman" w:cs="Times New Roman"/>
          <w:lang w:eastAsia="de-DE"/>
        </w:rPr>
        <w:t xml:space="preserve"> (Unreinheit auf ihm), </w:t>
      </w:r>
      <w:r w:rsidRPr="000F5B67">
        <w:rPr>
          <w:rFonts w:eastAsia="Times New Roman" w:cs="Times New Roman"/>
          <w:b/>
          <w:bCs/>
          <w:rtl/>
          <w:lang w:eastAsia="de-DE"/>
        </w:rPr>
        <w:t>ונכרתה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ἐξολεθρευθήσετ</w:t>
      </w:r>
      <w:proofErr w:type="spellEnd"/>
      <w:r w:rsidRPr="000F5B67">
        <w:rPr>
          <w:rFonts w:eastAsia="Times New Roman" w:cs="Times New Roman"/>
          <w:lang w:eastAsia="de-DE"/>
        </w:rPr>
        <w:t xml:space="preserve">αι (wird ausgerottet werden) und </w:t>
      </w:r>
      <w:r w:rsidRPr="000F5B67">
        <w:rPr>
          <w:rFonts w:eastAsia="Times New Roman" w:cs="Times New Roman"/>
          <w:b/>
          <w:bCs/>
          <w:rtl/>
          <w:lang w:eastAsia="de-DE"/>
        </w:rPr>
        <w:t>מלפני</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ἐν</w:t>
      </w:r>
      <w:proofErr w:type="spellEnd"/>
      <w:r w:rsidRPr="000F5B67">
        <w:rPr>
          <w:rFonts w:eastAsia="Times New Roman" w:cs="Times New Roman"/>
          <w:lang w:eastAsia="de-DE"/>
        </w:rPr>
        <w:t xml:space="preserve">αντίον </w:t>
      </w:r>
      <w:proofErr w:type="spellStart"/>
      <w:r w:rsidRPr="000F5B67">
        <w:rPr>
          <w:rFonts w:eastAsia="Times New Roman" w:cs="Times New Roman"/>
          <w:lang w:eastAsia="de-DE"/>
        </w:rPr>
        <w:t>μου</w:t>
      </w:r>
      <w:proofErr w:type="spellEnd"/>
      <w:r w:rsidRPr="000F5B67">
        <w:rPr>
          <w:rFonts w:eastAsia="Times New Roman" w:cs="Times New Roman"/>
          <w:lang w:eastAsia="de-DE"/>
        </w:rPr>
        <w:t xml:space="preserve"> (vor mir).</w:t>
      </w:r>
    </w:p>
    <w:p w14:paraId="35CD43E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w:t>
      </w:r>
      <w:r w:rsidRPr="000F5B67">
        <w:rPr>
          <w:rFonts w:eastAsia="Times New Roman" w:cs="Times New Roman"/>
          <w:b/>
          <w:bCs/>
          <w:rtl/>
          <w:lang w:eastAsia="de-DE"/>
        </w:rPr>
        <w:t>כרת</w:t>
      </w:r>
      <w:r w:rsidRPr="000F5B67">
        <w:rPr>
          <w:rFonts w:eastAsia="Times New Roman" w:cs="Times New Roman"/>
          <w:lang w:eastAsia="de-DE"/>
        </w:rPr>
        <w:t xml:space="preserve">-Strafe für unreine Priester: Generationen-Gültigkeit + universelle Priester-Anwendung + Heiligen-Annäherung + Volk-Weihe + Unreinheits-Bedingung + </w:t>
      </w:r>
      <w:r w:rsidRPr="000F5B67">
        <w:rPr>
          <w:rFonts w:eastAsia="Times New Roman" w:cs="Times New Roman"/>
          <w:b/>
          <w:bCs/>
          <w:rtl/>
          <w:lang w:eastAsia="de-DE"/>
        </w:rPr>
        <w:t>כרת</w:t>
      </w:r>
      <w:r w:rsidRPr="000F5B67">
        <w:rPr>
          <w:rFonts w:eastAsia="Times New Roman" w:cs="Times New Roman"/>
          <w:lang w:eastAsia="de-DE"/>
        </w:rPr>
        <w:t>-Strafe vor JHWH + göttliche Autorität.</w:t>
      </w:r>
    </w:p>
    <w:p w14:paraId="1EB2814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Dieser Vers zeigt die </w:t>
      </w:r>
      <w:r w:rsidRPr="000F5B67">
        <w:rPr>
          <w:rFonts w:eastAsia="Times New Roman" w:cs="Times New Roman"/>
          <w:b/>
          <w:bCs/>
          <w:rtl/>
          <w:lang w:eastAsia="de-DE"/>
        </w:rPr>
        <w:t>כרת</w:t>
      </w:r>
      <w:r w:rsidRPr="000F5B67">
        <w:rPr>
          <w:rFonts w:eastAsia="Times New Roman" w:cs="Times New Roman"/>
          <w:lang w:eastAsia="de-DE"/>
        </w:rPr>
        <w:t>-Strafe für Priester, die sich in unreinem Zustand heiligen Gaben nähern.</w:t>
      </w:r>
    </w:p>
    <w:p w14:paraId="41167FDF"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22,4</w:t>
      </w:r>
    </w:p>
    <w:p w14:paraId="17346A4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אִ֣ישׁ אִ֞ישׁ מִזֶּ֣רַע אַהֲרֹ֗ן וְה֤וּא צָר֨וּעַ֙ א֣וֹ זָ֔ב בַּקֳּדָשִׁים֙ לֹ֣א יֹאכַ֔ל עַ֖ד אֲשֶׁ֣ר יִטְהָ֑ר וְהַנֹּגֵ֨עַ֙ בְּכָל־טְמֵא־נֶ֔פֶשׁ א֣וֹ אִ֔ישׁ אֲשֶׁר־תֵּצֵ֥א מִמֶּ֖נּוּ שִׁכְבַת־זָֽרַע׃</w:t>
      </w:r>
    </w:p>
    <w:p w14:paraId="50DCE3B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Jedermann von den Nachkommen Aharons, der aussätzig oder flüssig ist, soll von den heiligen Gaben nicht essen, bis er rein ist. Und wer irgendetwas durch einen Toten Verunreinigtes berührte, oder jemand, dem Samenerguss entgeht;</w:t>
      </w:r>
    </w:p>
    <w:p w14:paraId="4519458A"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20DA818D">
          <v:rect id="_x0000_i1652" style="width:0;height:1.5pt" o:hralign="center" o:hrstd="t" o:hr="t" fillcolor="#a0a0a0" stroked="f"/>
        </w:pict>
      </w:r>
    </w:p>
    <w:p w14:paraId="758D995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איש איש מזרע אהרן והוא צרוע או זב בקדשים לא יאכל עד אשר יטהר והנגע בכל־טמא־נפש או איש אשר־תצא ממנו שכבת־זרע</w:t>
      </w:r>
      <w:r w:rsidRPr="000F5B67">
        <w:rPr>
          <w:rFonts w:eastAsia="Times New Roman" w:cs="Times New Roman"/>
          <w:rtl/>
          <w:lang w:eastAsia="de-DE"/>
        </w:rPr>
        <w:t xml:space="preserve"> </w:t>
      </w:r>
      <w:r w:rsidRPr="000F5B67">
        <w:rPr>
          <w:rFonts w:eastAsia="Times New Roman" w:cs="Times New Roman"/>
          <w:lang w:eastAsia="de-DE"/>
        </w:rPr>
        <w:t xml:space="preserve">beginnt die systematische Auflistung der Unreinheitsarten. </w:t>
      </w:r>
      <w:r w:rsidRPr="000F5B67">
        <w:rPr>
          <w:rFonts w:eastAsia="Times New Roman" w:cs="Times New Roman"/>
          <w:b/>
          <w:bCs/>
          <w:rtl/>
          <w:lang w:eastAsia="de-DE"/>
        </w:rPr>
        <w:t>איש איש מזרע אהרן</w:t>
      </w:r>
      <w:r w:rsidRPr="000F5B67">
        <w:rPr>
          <w:rFonts w:eastAsia="Times New Roman" w:cs="Times New Roman"/>
          <w:rtl/>
          <w:lang w:eastAsia="de-DE"/>
        </w:rPr>
        <w:t xml:space="preserve"> </w:t>
      </w:r>
      <w:r w:rsidRPr="000F5B67">
        <w:rPr>
          <w:rFonts w:eastAsia="Times New Roman" w:cs="Times New Roman"/>
          <w:lang w:eastAsia="de-DE"/>
        </w:rPr>
        <w:t xml:space="preserve">(jedermann von den Nachkommen Aharons) - </w:t>
      </w:r>
      <w:r w:rsidRPr="000F5B67">
        <w:rPr>
          <w:rFonts w:eastAsia="Times New Roman" w:cs="Times New Roman"/>
          <w:b/>
          <w:bCs/>
          <w:rtl/>
          <w:lang w:eastAsia="de-DE"/>
        </w:rPr>
        <w:t>איש איש</w:t>
      </w:r>
      <w:r w:rsidRPr="000F5B67">
        <w:rPr>
          <w:rFonts w:eastAsia="Times New Roman" w:cs="Times New Roman"/>
          <w:rtl/>
          <w:lang w:eastAsia="de-DE"/>
        </w:rPr>
        <w:t xml:space="preserve"> </w:t>
      </w:r>
      <w:r w:rsidRPr="000F5B67">
        <w:rPr>
          <w:rFonts w:eastAsia="Times New Roman" w:cs="Times New Roman"/>
          <w:lang w:eastAsia="de-DE"/>
        </w:rPr>
        <w:t xml:space="preserve">als distributive Verdopplung zeigt universelle Anwendung. </w:t>
      </w:r>
      <w:r w:rsidRPr="000F5B67">
        <w:rPr>
          <w:rFonts w:eastAsia="Times New Roman" w:cs="Times New Roman"/>
          <w:b/>
          <w:bCs/>
          <w:rtl/>
          <w:lang w:eastAsia="de-DE"/>
        </w:rPr>
        <w:t>מזרע אהרן</w:t>
      </w:r>
      <w:r w:rsidRPr="000F5B67">
        <w:rPr>
          <w:rFonts w:eastAsia="Times New Roman" w:cs="Times New Roman"/>
          <w:rtl/>
          <w:lang w:eastAsia="de-DE"/>
        </w:rPr>
        <w:t xml:space="preserve"> </w:t>
      </w:r>
      <w:r w:rsidRPr="000F5B67">
        <w:rPr>
          <w:rFonts w:eastAsia="Times New Roman" w:cs="Times New Roman"/>
          <w:lang w:eastAsia="de-DE"/>
        </w:rPr>
        <w:t>(von den Nachkommen Aharons) zeigt aaronitische Priesterschaft.</w:t>
      </w:r>
    </w:p>
    <w:p w14:paraId="5440B97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והוא צרוע או זב</w:t>
      </w:r>
      <w:r w:rsidRPr="000F5B67">
        <w:rPr>
          <w:rFonts w:eastAsia="Times New Roman" w:cs="Times New Roman"/>
          <w:rtl/>
          <w:lang w:eastAsia="de-DE"/>
        </w:rPr>
        <w:t xml:space="preserve"> </w:t>
      </w:r>
      <w:r w:rsidRPr="000F5B67">
        <w:rPr>
          <w:rFonts w:eastAsia="Times New Roman" w:cs="Times New Roman"/>
          <w:lang w:eastAsia="de-DE"/>
        </w:rPr>
        <w:t>(der aussätzig oder flüssig ist) zeigt zwei schwere Unreinheitsarten:</w:t>
      </w:r>
    </w:p>
    <w:p w14:paraId="52188EE8" w14:textId="77777777" w:rsidR="000F5B67" w:rsidRPr="000F5B67" w:rsidRDefault="000F5B67" w:rsidP="000F5B67">
      <w:pPr>
        <w:numPr>
          <w:ilvl w:val="0"/>
          <w:numId w:val="5"/>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צרוע</w:t>
      </w:r>
      <w:r w:rsidRPr="000F5B67">
        <w:rPr>
          <w:rFonts w:eastAsia="Times New Roman" w:cs="Times New Roman"/>
          <w:rtl/>
          <w:lang w:eastAsia="de-DE"/>
        </w:rPr>
        <w:t xml:space="preserve"> </w:t>
      </w:r>
      <w:r w:rsidRPr="000F5B67">
        <w:rPr>
          <w:rFonts w:eastAsia="Times New Roman" w:cs="Times New Roman"/>
          <w:lang w:eastAsia="de-DE"/>
        </w:rPr>
        <w:t>(aussätzig) entspricht Lev 13-14</w:t>
      </w:r>
    </w:p>
    <w:p w14:paraId="132F315A" w14:textId="77777777" w:rsidR="000F5B67" w:rsidRPr="000F5B67" w:rsidRDefault="000F5B67" w:rsidP="000F5B67">
      <w:pPr>
        <w:numPr>
          <w:ilvl w:val="0"/>
          <w:numId w:val="5"/>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זב</w:t>
      </w:r>
      <w:r w:rsidRPr="000F5B67">
        <w:rPr>
          <w:rFonts w:eastAsia="Times New Roman" w:cs="Times New Roman"/>
          <w:rtl/>
          <w:lang w:eastAsia="de-DE"/>
        </w:rPr>
        <w:t xml:space="preserve"> </w:t>
      </w:r>
      <w:r w:rsidRPr="000F5B67">
        <w:rPr>
          <w:rFonts w:eastAsia="Times New Roman" w:cs="Times New Roman"/>
          <w:lang w:eastAsia="de-DE"/>
        </w:rPr>
        <w:t>(flüssig) entspricht Lev 15</w:t>
      </w:r>
    </w:p>
    <w:p w14:paraId="1484FFB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בקדשים לא יאכל עד אשר יטהר</w:t>
      </w:r>
      <w:r w:rsidRPr="000F5B67">
        <w:rPr>
          <w:rFonts w:eastAsia="Times New Roman" w:cs="Times New Roman"/>
          <w:rtl/>
          <w:lang w:eastAsia="de-DE"/>
        </w:rPr>
        <w:t xml:space="preserve"> </w:t>
      </w:r>
      <w:r w:rsidRPr="000F5B67">
        <w:rPr>
          <w:rFonts w:eastAsia="Times New Roman" w:cs="Times New Roman"/>
          <w:lang w:eastAsia="de-DE"/>
        </w:rPr>
        <w:t xml:space="preserve">(soll von den heiligen Gaben nicht essen, bis er rein ist) - </w:t>
      </w:r>
      <w:r w:rsidRPr="000F5B67">
        <w:rPr>
          <w:rFonts w:eastAsia="Times New Roman" w:cs="Times New Roman"/>
          <w:b/>
          <w:bCs/>
          <w:rtl/>
          <w:lang w:eastAsia="de-DE"/>
        </w:rPr>
        <w:t>בקדשים לא יאכל</w:t>
      </w:r>
      <w:r w:rsidRPr="000F5B67">
        <w:rPr>
          <w:rFonts w:eastAsia="Times New Roman" w:cs="Times New Roman"/>
          <w:rtl/>
          <w:lang w:eastAsia="de-DE"/>
        </w:rPr>
        <w:t xml:space="preserve"> </w:t>
      </w:r>
      <w:r w:rsidRPr="000F5B67">
        <w:rPr>
          <w:rFonts w:eastAsia="Times New Roman" w:cs="Times New Roman"/>
          <w:lang w:eastAsia="de-DE"/>
        </w:rPr>
        <w:t xml:space="preserve">(von den heiligen Gaben soll er nicht essen) zeigt Essverbot. </w:t>
      </w:r>
      <w:r w:rsidRPr="000F5B67">
        <w:rPr>
          <w:rFonts w:eastAsia="Times New Roman" w:cs="Times New Roman"/>
          <w:b/>
          <w:bCs/>
          <w:rtl/>
          <w:lang w:eastAsia="de-DE"/>
        </w:rPr>
        <w:t>עד אשר יטהר</w:t>
      </w:r>
      <w:r w:rsidRPr="000F5B67">
        <w:rPr>
          <w:rFonts w:eastAsia="Times New Roman" w:cs="Times New Roman"/>
          <w:rtl/>
          <w:lang w:eastAsia="de-DE"/>
        </w:rPr>
        <w:t xml:space="preserve"> </w:t>
      </w:r>
      <w:r w:rsidRPr="000F5B67">
        <w:rPr>
          <w:rFonts w:eastAsia="Times New Roman" w:cs="Times New Roman"/>
          <w:lang w:eastAsia="de-DE"/>
        </w:rPr>
        <w:t>(bis er rein ist) zeigt zeitliche Begrenzung.</w:t>
      </w:r>
    </w:p>
    <w:p w14:paraId="4D530E4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והנגע בכל־טמא־נפש או איש אשר־תצא ממנו שכבת־זרע</w:t>
      </w:r>
      <w:r w:rsidRPr="000F5B67">
        <w:rPr>
          <w:rFonts w:eastAsia="Times New Roman" w:cs="Times New Roman"/>
          <w:rtl/>
          <w:lang w:eastAsia="de-DE"/>
        </w:rPr>
        <w:t xml:space="preserve"> </w:t>
      </w:r>
      <w:r w:rsidRPr="000F5B67">
        <w:rPr>
          <w:rFonts w:eastAsia="Times New Roman" w:cs="Times New Roman"/>
          <w:lang w:eastAsia="de-DE"/>
        </w:rPr>
        <w:t>(und wer irgendetwas durch einen Toten Verunreinigtes berührte, oder jemand, dem Samenerguss entgeht) zeigt zwei weitere Unreinheitsarten:</w:t>
      </w:r>
    </w:p>
    <w:p w14:paraId="0656E0B5" w14:textId="77777777" w:rsidR="000F5B67" w:rsidRPr="000F5B67" w:rsidRDefault="000F5B67" w:rsidP="000F5B67">
      <w:pPr>
        <w:numPr>
          <w:ilvl w:val="0"/>
          <w:numId w:val="6"/>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הנגע בכל־טמא־נפש</w:t>
      </w:r>
      <w:r w:rsidRPr="000F5B67">
        <w:rPr>
          <w:rFonts w:eastAsia="Times New Roman" w:cs="Times New Roman"/>
          <w:rtl/>
          <w:lang w:eastAsia="de-DE"/>
        </w:rPr>
        <w:t xml:space="preserve"> </w:t>
      </w:r>
      <w:r w:rsidRPr="000F5B67">
        <w:rPr>
          <w:rFonts w:eastAsia="Times New Roman" w:cs="Times New Roman"/>
          <w:lang w:eastAsia="de-DE"/>
        </w:rPr>
        <w:t>(wer berührte alles durch einen Toten Verunreinigte) zeigt Leichenunreinheit</w:t>
      </w:r>
    </w:p>
    <w:p w14:paraId="4DF7345A" w14:textId="77777777" w:rsidR="000F5B67" w:rsidRPr="000F5B67" w:rsidRDefault="000F5B67" w:rsidP="000F5B67">
      <w:pPr>
        <w:numPr>
          <w:ilvl w:val="0"/>
          <w:numId w:val="6"/>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איש אשר־תצא ממנו שכבת־זרע</w:t>
      </w:r>
      <w:r w:rsidRPr="000F5B67">
        <w:rPr>
          <w:rFonts w:eastAsia="Times New Roman" w:cs="Times New Roman"/>
          <w:rtl/>
          <w:lang w:eastAsia="de-DE"/>
        </w:rPr>
        <w:t xml:space="preserve"> </w:t>
      </w:r>
      <w:r w:rsidRPr="000F5B67">
        <w:rPr>
          <w:rFonts w:eastAsia="Times New Roman" w:cs="Times New Roman"/>
          <w:lang w:eastAsia="de-DE"/>
        </w:rPr>
        <w:t>(jemand, dem Samenerguss entgeht) zeigt Samenfluss</w:t>
      </w:r>
    </w:p>
    <w:p w14:paraId="1FA04E2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איש איש</w:t>
      </w:r>
      <w:r w:rsidRPr="000F5B67">
        <w:rPr>
          <w:rFonts w:eastAsia="Times New Roman" w:cs="Times New Roman"/>
          <w:rtl/>
          <w:lang w:eastAsia="de-DE"/>
        </w:rPr>
        <w:t xml:space="preserve"> </w:t>
      </w:r>
      <w:r w:rsidRPr="000F5B67">
        <w:rPr>
          <w:rFonts w:eastAsia="Times New Roman" w:cs="Times New Roman"/>
          <w:lang w:eastAsia="de-DE"/>
        </w:rPr>
        <w:t xml:space="preserve">betont universelle Anwendung ohne Ausnahme. </w:t>
      </w:r>
      <w:r w:rsidRPr="000F5B67">
        <w:rPr>
          <w:rFonts w:eastAsia="Times New Roman" w:cs="Times New Roman"/>
          <w:b/>
          <w:bCs/>
          <w:rtl/>
          <w:lang w:eastAsia="de-DE"/>
        </w:rPr>
        <w:t>צרוע או זב</w:t>
      </w:r>
      <w:r w:rsidRPr="000F5B67">
        <w:rPr>
          <w:rFonts w:eastAsia="Times New Roman" w:cs="Times New Roman"/>
          <w:rtl/>
          <w:lang w:eastAsia="de-DE"/>
        </w:rPr>
        <w:t xml:space="preserve"> </w:t>
      </w:r>
      <w:r w:rsidRPr="000F5B67">
        <w:rPr>
          <w:rFonts w:eastAsia="Times New Roman" w:cs="Times New Roman"/>
          <w:lang w:eastAsia="de-DE"/>
        </w:rPr>
        <w:t xml:space="preserve">als schwere chronische Unreinheiten. </w:t>
      </w:r>
      <w:r w:rsidRPr="000F5B67">
        <w:rPr>
          <w:rFonts w:eastAsia="Times New Roman" w:cs="Times New Roman"/>
          <w:b/>
          <w:bCs/>
          <w:rtl/>
          <w:lang w:eastAsia="de-DE"/>
        </w:rPr>
        <w:t>עד אשר יטהר</w:t>
      </w:r>
      <w:r w:rsidRPr="000F5B67">
        <w:rPr>
          <w:rFonts w:eastAsia="Times New Roman" w:cs="Times New Roman"/>
          <w:rtl/>
          <w:lang w:eastAsia="de-DE"/>
        </w:rPr>
        <w:t xml:space="preserve"> </w:t>
      </w:r>
      <w:r w:rsidRPr="000F5B67">
        <w:rPr>
          <w:rFonts w:eastAsia="Times New Roman" w:cs="Times New Roman"/>
          <w:lang w:eastAsia="de-DE"/>
        </w:rPr>
        <w:t xml:space="preserve">zeigt Heilung als Voraussetzung. </w:t>
      </w:r>
      <w:r w:rsidRPr="000F5B67">
        <w:rPr>
          <w:rFonts w:eastAsia="Times New Roman" w:cs="Times New Roman"/>
          <w:b/>
          <w:bCs/>
          <w:rtl/>
          <w:lang w:eastAsia="de-DE"/>
        </w:rPr>
        <w:t>טמא־נפש</w:t>
      </w:r>
      <w:r w:rsidRPr="000F5B67">
        <w:rPr>
          <w:rFonts w:eastAsia="Times New Roman" w:cs="Times New Roman"/>
          <w:rtl/>
          <w:lang w:eastAsia="de-DE"/>
        </w:rPr>
        <w:t xml:space="preserve"> </w:t>
      </w:r>
      <w:r w:rsidRPr="000F5B67">
        <w:rPr>
          <w:rFonts w:eastAsia="Times New Roman" w:cs="Times New Roman"/>
          <w:lang w:eastAsia="de-DE"/>
        </w:rPr>
        <w:t xml:space="preserve">und </w:t>
      </w:r>
      <w:r w:rsidRPr="000F5B67">
        <w:rPr>
          <w:rFonts w:eastAsia="Times New Roman" w:cs="Times New Roman"/>
          <w:b/>
          <w:bCs/>
          <w:rtl/>
          <w:lang w:eastAsia="de-DE"/>
        </w:rPr>
        <w:t>שכבת־זרע</w:t>
      </w:r>
      <w:r w:rsidRPr="000F5B67">
        <w:rPr>
          <w:rFonts w:eastAsia="Times New Roman" w:cs="Times New Roman"/>
          <w:rtl/>
          <w:lang w:eastAsia="de-DE"/>
        </w:rPr>
        <w:t xml:space="preserve"> </w:t>
      </w:r>
      <w:r w:rsidRPr="000F5B67">
        <w:rPr>
          <w:rFonts w:eastAsia="Times New Roman" w:cs="Times New Roman"/>
          <w:lang w:eastAsia="de-DE"/>
        </w:rPr>
        <w:t>als zusätzliche Unreinheitsquellen.</w:t>
      </w:r>
    </w:p>
    <w:p w14:paraId="63E3898E" w14:textId="29D93A70"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צרוע</w:t>
      </w:r>
      <w:r w:rsidR="0007678B">
        <w:t xml:space="preserve"> (</w:t>
      </w:r>
      <w:proofErr w:type="spellStart"/>
      <w:r w:rsidR="0007678B">
        <w:t>tzarua</w:t>
      </w:r>
      <w:proofErr w:type="spellEnd"/>
      <w:r w:rsidR="0007678B">
        <w:t xml:space="preserve">' - "aussätzig") als </w:t>
      </w:r>
      <w:proofErr w:type="spellStart"/>
      <w:r w:rsidR="0007678B">
        <w:t>λε</w:t>
      </w:r>
      <w:proofErr w:type="spellEnd"/>
      <w:r w:rsidR="0007678B">
        <w:t xml:space="preserve">πρᾷ (leprakrank) und </w:t>
      </w:r>
      <w:r w:rsidR="0007678B">
        <w:rPr>
          <w:rtl/>
        </w:rPr>
        <w:t>זב</w:t>
      </w:r>
      <w:r w:rsidR="0007678B">
        <w:t xml:space="preserve"> (</w:t>
      </w:r>
      <w:proofErr w:type="spellStart"/>
      <w:r w:rsidR="0007678B">
        <w:t>zav</w:t>
      </w:r>
      <w:proofErr w:type="spellEnd"/>
      <w:r w:rsidR="0007678B">
        <w:t xml:space="preserve"> - "Fluss habend") als </w:t>
      </w:r>
      <w:proofErr w:type="spellStart"/>
      <w:r w:rsidR="0007678B">
        <w:t>γονορρυής</w:t>
      </w:r>
      <w:proofErr w:type="spellEnd"/>
      <w:r w:rsidR="0007678B">
        <w:t xml:space="preserve"> (gonorrhoisch), verwendet also etablierte griechische medizinische Terminologie.</w:t>
      </w:r>
    </w:p>
    <w:p w14:paraId="2B2106C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Priester-Unreinheits-Essverbote: universelle aaronitische Anwendung + zwei schwere Unreinheiten + Heiligen-Essverbot + Reinheitsbedingung + zwei weitere Unreinheitsarten.</w:t>
      </w:r>
    </w:p>
    <w:p w14:paraId="2D0E7D6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beginnt die systematische Auflistung der Unreinheitsarten, die Priester vom Verzehr heiliger Gaben ausschließen.</w:t>
      </w:r>
    </w:p>
    <w:p w14:paraId="1FEDA23A"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22,5</w:t>
      </w:r>
    </w:p>
    <w:p w14:paraId="7A753B5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אוֹ־אִישׁ֙ אֲשֶׁ֣ר יִגַּ֔ע בְּכָל־שֶׁ֖רֶץ אֲשֶׁ֣ר יִטְמָא־לוֹ֑ א֤וֹ בְאָדָם֙ אֲשֶׁ֣ר יִטְמָא־לוֹ֔ לְכֹ֖ל טֻמְאָתוֹ׃</w:t>
      </w:r>
    </w:p>
    <w:p w14:paraId="7E71B81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oder wer irgendein kriechendes Tier berührt, durch das er unrein wird, oder einen Menschen, durch den er unrein wird, was auch seine Unreinheit sei;</w:t>
      </w:r>
    </w:p>
    <w:p w14:paraId="6BB03B92"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9A8BF08">
          <v:rect id="_x0000_i1653" style="width:0;height:1.5pt" o:hralign="center" o:hrstd="t" o:hr="t" fillcolor="#a0a0a0" stroked="f"/>
        </w:pict>
      </w:r>
    </w:p>
    <w:p w14:paraId="62EA3B8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או־איש אשר יגע בכל־שרץ אשר יטמא־לו או באדם אשר יטמא־לו לכל טמאתו</w:t>
      </w:r>
      <w:r w:rsidRPr="000F5B67">
        <w:rPr>
          <w:rFonts w:eastAsia="Times New Roman" w:cs="Times New Roman"/>
          <w:rtl/>
          <w:lang w:eastAsia="de-DE"/>
        </w:rPr>
        <w:t xml:space="preserve"> </w:t>
      </w:r>
      <w:r w:rsidRPr="000F5B67">
        <w:rPr>
          <w:rFonts w:eastAsia="Times New Roman" w:cs="Times New Roman"/>
          <w:lang w:eastAsia="de-DE"/>
        </w:rPr>
        <w:t xml:space="preserve">setzt die Unreinheitsauflistung fort. </w:t>
      </w:r>
      <w:r w:rsidRPr="000F5B67">
        <w:rPr>
          <w:rFonts w:eastAsia="Times New Roman" w:cs="Times New Roman"/>
          <w:b/>
          <w:bCs/>
          <w:rtl/>
          <w:lang w:eastAsia="de-DE"/>
        </w:rPr>
        <w:t>או־איש אשר יגע</w:t>
      </w:r>
      <w:r w:rsidRPr="000F5B67">
        <w:rPr>
          <w:rFonts w:eastAsia="Times New Roman" w:cs="Times New Roman"/>
          <w:rtl/>
          <w:lang w:eastAsia="de-DE"/>
        </w:rPr>
        <w:t xml:space="preserve"> </w:t>
      </w:r>
      <w:r w:rsidRPr="000F5B67">
        <w:rPr>
          <w:rFonts w:eastAsia="Times New Roman" w:cs="Times New Roman"/>
          <w:lang w:eastAsia="de-DE"/>
        </w:rPr>
        <w:t>(oder wer berührt) als Fortsetzungsformel.</w:t>
      </w:r>
    </w:p>
    <w:p w14:paraId="4EFBCFF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בכל־שרץ אשר יטמא־לו</w:t>
      </w:r>
      <w:r w:rsidRPr="000F5B67">
        <w:rPr>
          <w:rFonts w:eastAsia="Times New Roman" w:cs="Times New Roman"/>
          <w:rtl/>
          <w:lang w:eastAsia="de-DE"/>
        </w:rPr>
        <w:t xml:space="preserve"> </w:t>
      </w:r>
      <w:r w:rsidRPr="000F5B67">
        <w:rPr>
          <w:rFonts w:eastAsia="Times New Roman" w:cs="Times New Roman"/>
          <w:lang w:eastAsia="de-DE"/>
        </w:rPr>
        <w:t xml:space="preserve">(irgendein kriechendes Tier, durch das er unrein wird) - </w:t>
      </w:r>
      <w:r w:rsidRPr="000F5B67">
        <w:rPr>
          <w:rFonts w:eastAsia="Times New Roman" w:cs="Times New Roman"/>
          <w:b/>
          <w:bCs/>
          <w:rtl/>
          <w:lang w:eastAsia="de-DE"/>
        </w:rPr>
        <w:t>בכל־שרץ</w:t>
      </w:r>
      <w:r w:rsidRPr="000F5B67">
        <w:rPr>
          <w:rFonts w:eastAsia="Times New Roman" w:cs="Times New Roman"/>
          <w:rtl/>
          <w:lang w:eastAsia="de-DE"/>
        </w:rPr>
        <w:t xml:space="preserve"> </w:t>
      </w:r>
      <w:r w:rsidRPr="000F5B67">
        <w:rPr>
          <w:rFonts w:eastAsia="Times New Roman" w:cs="Times New Roman"/>
          <w:lang w:eastAsia="de-DE"/>
        </w:rPr>
        <w:t xml:space="preserve">(irgendein kriechendes Tier) entspricht Lev 11. </w:t>
      </w:r>
      <w:r w:rsidRPr="000F5B67">
        <w:rPr>
          <w:rFonts w:eastAsia="Times New Roman" w:cs="Times New Roman"/>
          <w:b/>
          <w:bCs/>
          <w:rtl/>
          <w:lang w:eastAsia="de-DE"/>
        </w:rPr>
        <w:t>אשר יטמא־לו</w:t>
      </w:r>
      <w:r w:rsidRPr="000F5B67">
        <w:rPr>
          <w:rFonts w:eastAsia="Times New Roman" w:cs="Times New Roman"/>
          <w:rtl/>
          <w:lang w:eastAsia="de-DE"/>
        </w:rPr>
        <w:t xml:space="preserve"> </w:t>
      </w:r>
      <w:r w:rsidRPr="000F5B67">
        <w:rPr>
          <w:rFonts w:eastAsia="Times New Roman" w:cs="Times New Roman"/>
          <w:lang w:eastAsia="de-DE"/>
        </w:rPr>
        <w:t>(durch das er unrein wird) zeigt die verunreinigende Wirkung.</w:t>
      </w:r>
    </w:p>
    <w:p w14:paraId="2D66099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או באדם אשר יטמא־לו לכל טמאתו</w:t>
      </w:r>
      <w:r w:rsidRPr="000F5B67">
        <w:rPr>
          <w:rFonts w:eastAsia="Times New Roman" w:cs="Times New Roman"/>
          <w:rtl/>
          <w:lang w:eastAsia="de-DE"/>
        </w:rPr>
        <w:t xml:space="preserve"> </w:t>
      </w:r>
      <w:r w:rsidRPr="000F5B67">
        <w:rPr>
          <w:rFonts w:eastAsia="Times New Roman" w:cs="Times New Roman"/>
          <w:lang w:eastAsia="de-DE"/>
        </w:rPr>
        <w:t xml:space="preserve">(oder einen Menschen, durch den er unrein wird, was auch seine Unreinheit sei) - </w:t>
      </w:r>
      <w:r w:rsidRPr="000F5B67">
        <w:rPr>
          <w:rFonts w:eastAsia="Times New Roman" w:cs="Times New Roman"/>
          <w:b/>
          <w:bCs/>
          <w:rtl/>
          <w:lang w:eastAsia="de-DE"/>
        </w:rPr>
        <w:t>באדם</w:t>
      </w:r>
      <w:r w:rsidRPr="000F5B67">
        <w:rPr>
          <w:rFonts w:eastAsia="Times New Roman" w:cs="Times New Roman"/>
          <w:rtl/>
          <w:lang w:eastAsia="de-DE"/>
        </w:rPr>
        <w:t xml:space="preserve"> </w:t>
      </w:r>
      <w:r w:rsidRPr="000F5B67">
        <w:rPr>
          <w:rFonts w:eastAsia="Times New Roman" w:cs="Times New Roman"/>
          <w:lang w:eastAsia="de-DE"/>
        </w:rPr>
        <w:t xml:space="preserve">(einen Menschen) zeigt menschliche Unreinheitsübertragung. </w:t>
      </w:r>
      <w:r w:rsidRPr="000F5B67">
        <w:rPr>
          <w:rFonts w:eastAsia="Times New Roman" w:cs="Times New Roman"/>
          <w:b/>
          <w:bCs/>
          <w:rtl/>
          <w:lang w:eastAsia="de-DE"/>
        </w:rPr>
        <w:t>לכל טמאתו</w:t>
      </w:r>
      <w:r w:rsidRPr="000F5B67">
        <w:rPr>
          <w:rFonts w:eastAsia="Times New Roman" w:cs="Times New Roman"/>
          <w:rtl/>
          <w:lang w:eastAsia="de-DE"/>
        </w:rPr>
        <w:t xml:space="preserve"> </w:t>
      </w:r>
      <w:r w:rsidRPr="000F5B67">
        <w:rPr>
          <w:rFonts w:eastAsia="Times New Roman" w:cs="Times New Roman"/>
          <w:lang w:eastAsia="de-DE"/>
        </w:rPr>
        <w:t>(was auch seine Unreinheit sei) zeigt umfassende Anwendung auf alle menschlichen Unreinheitsarten.</w:t>
      </w:r>
    </w:p>
    <w:p w14:paraId="3E8B2EB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כל־שרץ</w:t>
      </w:r>
      <w:r w:rsidRPr="000F5B67">
        <w:rPr>
          <w:rFonts w:eastAsia="Times New Roman" w:cs="Times New Roman"/>
          <w:rtl/>
          <w:lang w:eastAsia="de-DE"/>
        </w:rPr>
        <w:t xml:space="preserve"> </w:t>
      </w:r>
      <w:r w:rsidRPr="000F5B67">
        <w:rPr>
          <w:rFonts w:eastAsia="Times New Roman" w:cs="Times New Roman"/>
          <w:lang w:eastAsia="de-DE"/>
        </w:rPr>
        <w:t xml:space="preserve">zeigt universelle Anwendung auf alle unreinen Tiere. </w:t>
      </w:r>
      <w:r w:rsidRPr="000F5B67">
        <w:rPr>
          <w:rFonts w:eastAsia="Times New Roman" w:cs="Times New Roman"/>
          <w:b/>
          <w:bCs/>
          <w:rtl/>
          <w:lang w:eastAsia="de-DE"/>
        </w:rPr>
        <w:t>יטמא־לו</w:t>
      </w:r>
      <w:r w:rsidRPr="000F5B67">
        <w:rPr>
          <w:rFonts w:eastAsia="Times New Roman" w:cs="Times New Roman"/>
          <w:rtl/>
          <w:lang w:eastAsia="de-DE"/>
        </w:rPr>
        <w:t xml:space="preserve"> </w:t>
      </w:r>
      <w:r w:rsidRPr="000F5B67">
        <w:rPr>
          <w:rFonts w:eastAsia="Times New Roman" w:cs="Times New Roman"/>
          <w:lang w:eastAsia="de-DE"/>
        </w:rPr>
        <w:t xml:space="preserve">(zweimal) zeigt Übertragung der Unreinheit. </w:t>
      </w:r>
      <w:r w:rsidRPr="000F5B67">
        <w:rPr>
          <w:rFonts w:eastAsia="Times New Roman" w:cs="Times New Roman"/>
          <w:b/>
          <w:bCs/>
          <w:rtl/>
          <w:lang w:eastAsia="de-DE"/>
        </w:rPr>
        <w:t>לכל טמאתו</w:t>
      </w:r>
      <w:r w:rsidRPr="000F5B67">
        <w:rPr>
          <w:rFonts w:eastAsia="Times New Roman" w:cs="Times New Roman"/>
          <w:rtl/>
          <w:lang w:eastAsia="de-DE"/>
        </w:rPr>
        <w:t xml:space="preserve"> </w:t>
      </w:r>
      <w:r w:rsidRPr="000F5B67">
        <w:rPr>
          <w:rFonts w:eastAsia="Times New Roman" w:cs="Times New Roman"/>
          <w:lang w:eastAsia="de-DE"/>
        </w:rPr>
        <w:t>als Zusammenfassung aller möglichen menschlichen Unreinheiten.</w:t>
      </w:r>
    </w:p>
    <w:p w14:paraId="7C8CE1A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Die LXX</w:t>
      </w:r>
      <w:r w:rsidRPr="000F5B67">
        <w:rPr>
          <w:rFonts w:eastAsia="Times New Roman" w:cs="Times New Roman"/>
          <w:lang w:eastAsia="de-DE"/>
        </w:rPr>
        <w:t xml:space="preserve"> übersetzt </w:t>
      </w:r>
      <w:r w:rsidRPr="000F5B67">
        <w:rPr>
          <w:rFonts w:eastAsia="Times New Roman" w:cs="Times New Roman"/>
          <w:b/>
          <w:bCs/>
          <w:rtl/>
          <w:lang w:eastAsia="de-DE"/>
        </w:rPr>
        <w:t>שרץ</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ἑρ</w:t>
      </w:r>
      <w:proofErr w:type="spellEnd"/>
      <w:r w:rsidRPr="000F5B67">
        <w:rPr>
          <w:rFonts w:eastAsia="Times New Roman" w:cs="Times New Roman"/>
          <w:lang w:eastAsia="de-DE"/>
        </w:rPr>
        <w:t xml:space="preserve">πετοῦ (kriechendes Tier), </w:t>
      </w:r>
      <w:r w:rsidRPr="000F5B67">
        <w:rPr>
          <w:rFonts w:eastAsia="Times New Roman" w:cs="Times New Roman"/>
          <w:b/>
          <w:bCs/>
          <w:rtl/>
          <w:lang w:eastAsia="de-DE"/>
        </w:rPr>
        <w:t>יטמא־לו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μι</w:t>
      </w:r>
      <w:proofErr w:type="spellEnd"/>
      <w:r w:rsidRPr="000F5B67">
        <w:rPr>
          <w:rFonts w:eastAsia="Times New Roman" w:cs="Times New Roman"/>
          <w:lang w:eastAsia="de-DE"/>
        </w:rPr>
        <w:t xml:space="preserve">ανθήσεται </w:t>
      </w:r>
      <w:proofErr w:type="spellStart"/>
      <w:r w:rsidRPr="000F5B67">
        <w:rPr>
          <w:rFonts w:eastAsia="Times New Roman" w:cs="Times New Roman"/>
          <w:lang w:eastAsia="de-DE"/>
        </w:rPr>
        <w:t>δι</w:t>
      </w:r>
      <w:proofErr w:type="spellEnd"/>
      <w:r w:rsidRPr="000F5B67">
        <w:rPr>
          <w:rFonts w:eastAsia="Times New Roman" w:cs="Times New Roman"/>
          <w:lang w:eastAsia="de-DE"/>
        </w:rPr>
        <w:t>᾽ α</w:t>
      </w:r>
      <w:proofErr w:type="spellStart"/>
      <w:r w:rsidRPr="000F5B67">
        <w:rPr>
          <w:rFonts w:eastAsia="Times New Roman" w:cs="Times New Roman"/>
          <w:lang w:eastAsia="de-DE"/>
        </w:rPr>
        <w:t>ὐτοῦ</w:t>
      </w:r>
      <w:proofErr w:type="spellEnd"/>
      <w:r w:rsidRPr="000F5B67">
        <w:rPr>
          <w:rFonts w:eastAsia="Times New Roman" w:cs="Times New Roman"/>
          <w:lang w:eastAsia="de-DE"/>
        </w:rPr>
        <w:t xml:space="preserve"> (wird durch es verunreinigt werden), </w:t>
      </w:r>
      <w:r w:rsidRPr="000F5B67">
        <w:rPr>
          <w:rFonts w:eastAsia="Times New Roman" w:cs="Times New Roman"/>
          <w:b/>
          <w:bCs/>
          <w:rtl/>
          <w:lang w:eastAsia="de-DE"/>
        </w:rPr>
        <w:t>באדם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ἀνθρώ</w:t>
      </w:r>
      <w:proofErr w:type="spellEnd"/>
      <w:r w:rsidRPr="000F5B67">
        <w:rPr>
          <w:rFonts w:eastAsia="Times New Roman" w:cs="Times New Roman"/>
          <w:lang w:eastAsia="de-DE"/>
        </w:rPr>
        <w:t xml:space="preserve">που (Menschen) und </w:t>
      </w:r>
      <w:r w:rsidRPr="000F5B67">
        <w:rPr>
          <w:rFonts w:eastAsia="Times New Roman" w:cs="Times New Roman"/>
          <w:b/>
          <w:bCs/>
          <w:rtl/>
          <w:lang w:eastAsia="de-DE"/>
        </w:rPr>
        <w:t>לכל טמאתו</w:t>
      </w:r>
      <w:r w:rsidRPr="000F5B67">
        <w:rPr>
          <w:rFonts w:eastAsia="Times New Roman" w:cs="Times New Roman"/>
          <w:rtl/>
          <w:lang w:eastAsia="de-DE"/>
        </w:rPr>
        <w:t xml:space="preserve"> </w:t>
      </w:r>
      <w:r w:rsidRPr="000F5B67">
        <w:rPr>
          <w:rFonts w:eastAsia="Times New Roman" w:cs="Times New Roman"/>
          <w:lang w:eastAsia="de-DE"/>
        </w:rPr>
        <w:t>mit κα</w:t>
      </w:r>
      <w:proofErr w:type="spellStart"/>
      <w:r w:rsidRPr="000F5B67">
        <w:rPr>
          <w:rFonts w:eastAsia="Times New Roman" w:cs="Times New Roman"/>
          <w:lang w:eastAsia="de-DE"/>
        </w:rPr>
        <w:t>τὰ</w:t>
      </w:r>
      <w:proofErr w:type="spellEnd"/>
      <w:r w:rsidRPr="000F5B67">
        <w:rPr>
          <w:rFonts w:eastAsia="Times New Roman" w:cs="Times New Roman"/>
          <w:lang w:eastAsia="de-DE"/>
        </w:rPr>
        <w:t xml:space="preserve"> π</w:t>
      </w:r>
      <w:proofErr w:type="spellStart"/>
      <w:r w:rsidRPr="000F5B67">
        <w:rPr>
          <w:rFonts w:eastAsia="Times New Roman" w:cs="Times New Roman"/>
          <w:lang w:eastAsia="de-DE"/>
        </w:rPr>
        <w:t>ᾶσ</w:t>
      </w:r>
      <w:proofErr w:type="spellEnd"/>
      <w:r w:rsidRPr="000F5B67">
        <w:rPr>
          <w:rFonts w:eastAsia="Times New Roman" w:cs="Times New Roman"/>
          <w:lang w:eastAsia="de-DE"/>
        </w:rPr>
        <w:t xml:space="preserve">αν </w:t>
      </w:r>
      <w:proofErr w:type="spellStart"/>
      <w:r w:rsidRPr="000F5B67">
        <w:rPr>
          <w:rFonts w:eastAsia="Times New Roman" w:cs="Times New Roman"/>
          <w:lang w:eastAsia="de-DE"/>
        </w:rPr>
        <w:t>ἀκ</w:t>
      </w:r>
      <w:proofErr w:type="spellEnd"/>
      <w:r w:rsidRPr="000F5B67">
        <w:rPr>
          <w:rFonts w:eastAsia="Times New Roman" w:cs="Times New Roman"/>
          <w:lang w:eastAsia="de-DE"/>
        </w:rPr>
        <w:t>αθαρσίαν α</w:t>
      </w:r>
      <w:proofErr w:type="spellStart"/>
      <w:r w:rsidRPr="000F5B67">
        <w:rPr>
          <w:rFonts w:eastAsia="Times New Roman" w:cs="Times New Roman"/>
          <w:lang w:eastAsia="de-DE"/>
        </w:rPr>
        <w:t>ὐτοῦ</w:t>
      </w:r>
      <w:proofErr w:type="spellEnd"/>
      <w:r w:rsidRPr="000F5B67">
        <w:rPr>
          <w:rFonts w:eastAsia="Times New Roman" w:cs="Times New Roman"/>
          <w:lang w:eastAsia="de-DE"/>
        </w:rPr>
        <w:t xml:space="preserve"> (gemäß aller seiner Unreinheit).</w:t>
      </w:r>
    </w:p>
    <w:p w14:paraId="43BA7B9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weitere Unreinheitsquellen: Berührung unreiner Tiere + Verunreinigungswirkung + Berührung unreiner Menschen + umfassende Unreinheitsarten.</w:t>
      </w:r>
    </w:p>
    <w:p w14:paraId="642456A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erweitert die Unreinheitsquellen auf Tierkontakt und alle Formen menschlicher Unreinheitsübertragung.</w:t>
      </w:r>
    </w:p>
    <w:p w14:paraId="611D15BD"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22,6</w:t>
      </w:r>
    </w:p>
    <w:p w14:paraId="33D7E20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נֶ֚פֶשׁ אֲשֶׁ֣ר תִּגַּע־בּוֹ֔ וְטָמְאָ֖ה עַד־הָעָ֑רֶב וְלֹ֤א יֹאכַל֙ מִן־הַקֳּדָשִׁ֔ים כִּ֛י אִם־רָחַ֥ץ בְּשָׂרֹ֖ו בַּמָּֽיִם׃</w:t>
      </w:r>
    </w:p>
    <w:p w14:paraId="7C0715B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Die Person, die so berührt wird, wird bis zum Abend unrein sein und soll nicht von den heiligen Gaben essen, es sei denn, dass er seinen Körper im Wasser gebadet hat.</w:t>
      </w:r>
    </w:p>
    <w:p w14:paraId="36D9BC6B"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59B59AAE">
          <v:rect id="_x0000_i1654" style="width:0;height:1.5pt" o:hralign="center" o:hrstd="t" o:hr="t" fillcolor="#a0a0a0" stroked="f"/>
        </w:pict>
      </w:r>
    </w:p>
    <w:p w14:paraId="5A1E16B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נפש אשר תגע־בו וטמאה עד־הערב ולא יאכל מן־הקדשים כי אם־רחץ בשרו במים</w:t>
      </w:r>
      <w:r w:rsidRPr="000F5B67">
        <w:rPr>
          <w:rFonts w:eastAsia="Times New Roman" w:cs="Times New Roman"/>
          <w:rtl/>
          <w:lang w:eastAsia="de-DE"/>
        </w:rPr>
        <w:t xml:space="preserve"> </w:t>
      </w:r>
      <w:r w:rsidRPr="000F5B67">
        <w:rPr>
          <w:rFonts w:eastAsia="Times New Roman" w:cs="Times New Roman"/>
          <w:lang w:eastAsia="de-DE"/>
        </w:rPr>
        <w:t xml:space="preserve">zeigt die Unreinheitsfolgen und Reinigungsvorschriften. </w:t>
      </w:r>
      <w:r w:rsidRPr="000F5B67">
        <w:rPr>
          <w:rFonts w:eastAsia="Times New Roman" w:cs="Times New Roman"/>
          <w:b/>
          <w:bCs/>
          <w:rtl/>
          <w:lang w:eastAsia="de-DE"/>
        </w:rPr>
        <w:t>נפש אשר תגע־בו</w:t>
      </w:r>
      <w:r w:rsidRPr="000F5B67">
        <w:rPr>
          <w:rFonts w:eastAsia="Times New Roman" w:cs="Times New Roman"/>
          <w:rtl/>
          <w:lang w:eastAsia="de-DE"/>
        </w:rPr>
        <w:t xml:space="preserve"> </w:t>
      </w:r>
      <w:r w:rsidRPr="000F5B67">
        <w:rPr>
          <w:rFonts w:eastAsia="Times New Roman" w:cs="Times New Roman"/>
          <w:lang w:eastAsia="de-DE"/>
        </w:rPr>
        <w:t xml:space="preserve">(die Person, die berührt) - </w:t>
      </w:r>
      <w:r w:rsidRPr="000F5B67">
        <w:rPr>
          <w:rFonts w:eastAsia="Times New Roman" w:cs="Times New Roman"/>
          <w:b/>
          <w:bCs/>
          <w:rtl/>
          <w:lang w:eastAsia="de-DE"/>
        </w:rPr>
        <w:t>נפש</w:t>
      </w:r>
      <w:r w:rsidRPr="000F5B67">
        <w:rPr>
          <w:rFonts w:eastAsia="Times New Roman" w:cs="Times New Roman"/>
          <w:rtl/>
          <w:lang w:eastAsia="de-DE"/>
        </w:rPr>
        <w:t xml:space="preserve"> </w:t>
      </w:r>
      <w:r w:rsidRPr="000F5B67">
        <w:rPr>
          <w:rFonts w:eastAsia="Times New Roman" w:cs="Times New Roman"/>
          <w:lang w:eastAsia="de-DE"/>
        </w:rPr>
        <w:t xml:space="preserve">(Person/Seele) zeigt den betroffenen Priester. </w:t>
      </w:r>
      <w:r w:rsidRPr="000F5B67">
        <w:rPr>
          <w:rFonts w:eastAsia="Times New Roman" w:cs="Times New Roman"/>
          <w:b/>
          <w:bCs/>
          <w:rtl/>
          <w:lang w:eastAsia="de-DE"/>
        </w:rPr>
        <w:t>תגע־בו</w:t>
      </w:r>
      <w:r w:rsidRPr="000F5B67">
        <w:rPr>
          <w:rFonts w:eastAsia="Times New Roman" w:cs="Times New Roman"/>
          <w:rtl/>
          <w:lang w:eastAsia="de-DE"/>
        </w:rPr>
        <w:t xml:space="preserve"> </w:t>
      </w:r>
      <w:r w:rsidRPr="000F5B67">
        <w:rPr>
          <w:rFonts w:eastAsia="Times New Roman" w:cs="Times New Roman"/>
          <w:lang w:eastAsia="de-DE"/>
        </w:rPr>
        <w:t>(berührt) im Qal-Imperfekt bezieht sich auf die in V. 4-5 genannten Unreinheitsquellen.</w:t>
      </w:r>
    </w:p>
    <w:p w14:paraId="4F5AF72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וטמאה עד־הערב</w:t>
      </w:r>
      <w:r w:rsidRPr="000F5B67">
        <w:rPr>
          <w:rFonts w:eastAsia="Times New Roman" w:cs="Times New Roman"/>
          <w:rtl/>
          <w:lang w:eastAsia="de-DE"/>
        </w:rPr>
        <w:t xml:space="preserve"> </w:t>
      </w:r>
      <w:r w:rsidRPr="000F5B67">
        <w:rPr>
          <w:rFonts w:eastAsia="Times New Roman" w:cs="Times New Roman"/>
          <w:lang w:eastAsia="de-DE"/>
        </w:rPr>
        <w:t xml:space="preserve">(wird bis zum Abend unrein sein) zeigt die Unreinheitsdauer entsprechend Lev 11-15. </w:t>
      </w:r>
      <w:r w:rsidRPr="000F5B67">
        <w:rPr>
          <w:rFonts w:eastAsia="Times New Roman" w:cs="Times New Roman"/>
          <w:b/>
          <w:bCs/>
          <w:rtl/>
          <w:lang w:eastAsia="de-DE"/>
        </w:rPr>
        <w:t>ולא יאכל מן־הקדשים</w:t>
      </w:r>
      <w:r w:rsidRPr="000F5B67">
        <w:rPr>
          <w:rFonts w:eastAsia="Times New Roman" w:cs="Times New Roman"/>
          <w:rtl/>
          <w:lang w:eastAsia="de-DE"/>
        </w:rPr>
        <w:t xml:space="preserve"> </w:t>
      </w:r>
      <w:r w:rsidRPr="000F5B67">
        <w:rPr>
          <w:rFonts w:eastAsia="Times New Roman" w:cs="Times New Roman"/>
          <w:lang w:eastAsia="de-DE"/>
        </w:rPr>
        <w:t>(und soll nicht von den heiligen Gaben essen) wiederholt das Essverbot.</w:t>
      </w:r>
    </w:p>
    <w:p w14:paraId="6FC93AC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כי אם־רחץ בשרו במים</w:t>
      </w:r>
      <w:r w:rsidRPr="000F5B67">
        <w:rPr>
          <w:rFonts w:eastAsia="Times New Roman" w:cs="Times New Roman"/>
          <w:rtl/>
          <w:lang w:eastAsia="de-DE"/>
        </w:rPr>
        <w:t xml:space="preserve"> </w:t>
      </w:r>
      <w:r w:rsidRPr="000F5B67">
        <w:rPr>
          <w:rFonts w:eastAsia="Times New Roman" w:cs="Times New Roman"/>
          <w:lang w:eastAsia="de-DE"/>
        </w:rPr>
        <w:t xml:space="preserve">(es sei denn, dass er seinen Körper im Wasser gebadet hat) - </w:t>
      </w:r>
      <w:r w:rsidRPr="000F5B67">
        <w:rPr>
          <w:rFonts w:eastAsia="Times New Roman" w:cs="Times New Roman"/>
          <w:b/>
          <w:bCs/>
          <w:rtl/>
          <w:lang w:eastAsia="de-DE"/>
        </w:rPr>
        <w:t>כי אם</w:t>
      </w:r>
      <w:r w:rsidRPr="000F5B67">
        <w:rPr>
          <w:rFonts w:eastAsia="Times New Roman" w:cs="Times New Roman"/>
          <w:rtl/>
          <w:lang w:eastAsia="de-DE"/>
        </w:rPr>
        <w:t xml:space="preserve"> </w:t>
      </w:r>
      <w:r w:rsidRPr="000F5B67">
        <w:rPr>
          <w:rFonts w:eastAsia="Times New Roman" w:cs="Times New Roman"/>
          <w:lang w:eastAsia="de-DE"/>
        </w:rPr>
        <w:t xml:space="preserve">(es sei denn) zeigt Ausnahme. </w:t>
      </w:r>
      <w:r w:rsidRPr="000F5B67">
        <w:rPr>
          <w:rFonts w:eastAsia="Times New Roman" w:cs="Times New Roman"/>
          <w:b/>
          <w:bCs/>
          <w:rtl/>
          <w:lang w:eastAsia="de-DE"/>
        </w:rPr>
        <w:t>רחץ בשרו במים</w:t>
      </w:r>
      <w:r w:rsidRPr="000F5B67">
        <w:rPr>
          <w:rFonts w:eastAsia="Times New Roman" w:cs="Times New Roman"/>
          <w:rtl/>
          <w:lang w:eastAsia="de-DE"/>
        </w:rPr>
        <w:t xml:space="preserve"> </w:t>
      </w:r>
      <w:r w:rsidRPr="000F5B67">
        <w:rPr>
          <w:rFonts w:eastAsia="Times New Roman" w:cs="Times New Roman"/>
          <w:lang w:eastAsia="de-DE"/>
        </w:rPr>
        <w:t>(badet seinen Körper im Wasser) zeigt die erforderliche Reinigungshandlung.</w:t>
      </w:r>
    </w:p>
    <w:p w14:paraId="15E0144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נפש</w:t>
      </w:r>
      <w:r w:rsidRPr="000F5B67">
        <w:rPr>
          <w:rFonts w:eastAsia="Times New Roman" w:cs="Times New Roman"/>
          <w:rtl/>
          <w:lang w:eastAsia="de-DE"/>
        </w:rPr>
        <w:t xml:space="preserve"> </w:t>
      </w:r>
      <w:r w:rsidRPr="000F5B67">
        <w:rPr>
          <w:rFonts w:eastAsia="Times New Roman" w:cs="Times New Roman"/>
          <w:lang w:eastAsia="de-DE"/>
        </w:rPr>
        <w:t xml:space="preserve">zeigt den ganzen Menschen als betroffen. </w:t>
      </w:r>
      <w:r w:rsidRPr="000F5B67">
        <w:rPr>
          <w:rFonts w:eastAsia="Times New Roman" w:cs="Times New Roman"/>
          <w:b/>
          <w:bCs/>
          <w:rtl/>
          <w:lang w:eastAsia="de-DE"/>
        </w:rPr>
        <w:t>עד־הערב</w:t>
      </w:r>
      <w:r w:rsidRPr="000F5B67">
        <w:rPr>
          <w:rFonts w:eastAsia="Times New Roman" w:cs="Times New Roman"/>
          <w:rtl/>
          <w:lang w:eastAsia="de-DE"/>
        </w:rPr>
        <w:t xml:space="preserve"> </w:t>
      </w:r>
      <w:r w:rsidRPr="000F5B67">
        <w:rPr>
          <w:rFonts w:eastAsia="Times New Roman" w:cs="Times New Roman"/>
          <w:lang w:eastAsia="de-DE"/>
        </w:rPr>
        <w:t xml:space="preserve">als Standardunreinheitsdauer. </w:t>
      </w:r>
      <w:r w:rsidRPr="000F5B67">
        <w:rPr>
          <w:rFonts w:eastAsia="Times New Roman" w:cs="Times New Roman"/>
          <w:b/>
          <w:bCs/>
          <w:rtl/>
          <w:lang w:eastAsia="de-DE"/>
        </w:rPr>
        <w:t>כי אם־רחץ בשרו במים</w:t>
      </w:r>
      <w:r w:rsidRPr="000F5B67">
        <w:rPr>
          <w:rFonts w:eastAsia="Times New Roman" w:cs="Times New Roman"/>
          <w:rtl/>
          <w:lang w:eastAsia="de-DE"/>
        </w:rPr>
        <w:t xml:space="preserve"> </w:t>
      </w:r>
      <w:r w:rsidRPr="000F5B67">
        <w:rPr>
          <w:rFonts w:eastAsia="Times New Roman" w:cs="Times New Roman"/>
          <w:lang w:eastAsia="de-DE"/>
        </w:rPr>
        <w:t>zeigt Wasserbad als Reinigungsvoraussetzung.</w:t>
      </w:r>
    </w:p>
    <w:p w14:paraId="5076753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נפש</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ψυχή</w:t>
      </w:r>
      <w:proofErr w:type="spellEnd"/>
      <w:r w:rsidRPr="000F5B67">
        <w:rPr>
          <w:rFonts w:eastAsia="Times New Roman" w:cs="Times New Roman"/>
          <w:lang w:eastAsia="de-DE"/>
        </w:rPr>
        <w:t xml:space="preserve"> (Seele), </w:t>
      </w:r>
      <w:r w:rsidRPr="000F5B67">
        <w:rPr>
          <w:rFonts w:eastAsia="Times New Roman" w:cs="Times New Roman"/>
          <w:b/>
          <w:bCs/>
          <w:rtl/>
          <w:lang w:eastAsia="de-DE"/>
        </w:rPr>
        <w:t>תגע־בו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ἅψητ</w:t>
      </w:r>
      <w:proofErr w:type="spellEnd"/>
      <w:r w:rsidRPr="000F5B67">
        <w:rPr>
          <w:rFonts w:eastAsia="Times New Roman" w:cs="Times New Roman"/>
          <w:lang w:eastAsia="de-DE"/>
        </w:rPr>
        <w:t>αι α</w:t>
      </w:r>
      <w:proofErr w:type="spellStart"/>
      <w:r w:rsidRPr="000F5B67">
        <w:rPr>
          <w:rFonts w:eastAsia="Times New Roman" w:cs="Times New Roman"/>
          <w:lang w:eastAsia="de-DE"/>
        </w:rPr>
        <w:t>ὐτοῦ</w:t>
      </w:r>
      <w:proofErr w:type="spellEnd"/>
      <w:r w:rsidRPr="000F5B67">
        <w:rPr>
          <w:rFonts w:eastAsia="Times New Roman" w:cs="Times New Roman"/>
          <w:lang w:eastAsia="de-DE"/>
        </w:rPr>
        <w:t xml:space="preserve"> (berührt es), </w:t>
      </w:r>
      <w:r w:rsidRPr="000F5B67">
        <w:rPr>
          <w:rFonts w:eastAsia="Times New Roman" w:cs="Times New Roman"/>
          <w:b/>
          <w:bCs/>
          <w:rtl/>
          <w:lang w:eastAsia="de-DE"/>
        </w:rPr>
        <w:t>עד־הערב</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ἕως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ἑσ</w:t>
      </w:r>
      <w:proofErr w:type="spellEnd"/>
      <w:r w:rsidRPr="000F5B67">
        <w:rPr>
          <w:rFonts w:eastAsia="Times New Roman" w:cs="Times New Roman"/>
          <w:lang w:eastAsia="de-DE"/>
        </w:rPr>
        <w:t xml:space="preserve">πέρας (bis zum Abend) und </w:t>
      </w:r>
      <w:r w:rsidRPr="000F5B67">
        <w:rPr>
          <w:rFonts w:eastAsia="Times New Roman" w:cs="Times New Roman"/>
          <w:b/>
          <w:bCs/>
          <w:rtl/>
          <w:lang w:eastAsia="de-DE"/>
        </w:rPr>
        <w:t>רחץ בשרו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λούσητ</w:t>
      </w:r>
      <w:proofErr w:type="spellEnd"/>
      <w:r w:rsidRPr="000F5B67">
        <w:rPr>
          <w:rFonts w:eastAsia="Times New Roman" w:cs="Times New Roman"/>
          <w:lang w:eastAsia="de-DE"/>
        </w:rPr>
        <w:t xml:space="preserve">αι </w:t>
      </w:r>
      <w:proofErr w:type="spellStart"/>
      <w:r w:rsidRPr="000F5B67">
        <w:rPr>
          <w:rFonts w:eastAsia="Times New Roman" w:cs="Times New Roman"/>
          <w:lang w:eastAsia="de-DE"/>
        </w:rPr>
        <w:t>τὸ</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σῶμ</w:t>
      </w:r>
      <w:proofErr w:type="spellEnd"/>
      <w:r w:rsidRPr="000F5B67">
        <w:rPr>
          <w:rFonts w:eastAsia="Times New Roman" w:cs="Times New Roman"/>
          <w:lang w:eastAsia="de-DE"/>
        </w:rPr>
        <w:t>α α</w:t>
      </w:r>
      <w:proofErr w:type="spellStart"/>
      <w:r w:rsidRPr="000F5B67">
        <w:rPr>
          <w:rFonts w:eastAsia="Times New Roman" w:cs="Times New Roman"/>
          <w:lang w:eastAsia="de-DE"/>
        </w:rPr>
        <w:t>ὐτοῦ</w:t>
      </w:r>
      <w:proofErr w:type="spellEnd"/>
      <w:r w:rsidRPr="000F5B67">
        <w:rPr>
          <w:rFonts w:eastAsia="Times New Roman" w:cs="Times New Roman"/>
          <w:lang w:eastAsia="de-DE"/>
        </w:rPr>
        <w:t xml:space="preserve"> (badet seinen Körper).</w:t>
      </w:r>
    </w:p>
    <w:p w14:paraId="6B7B396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Unreinheitsfolgen: betroffene Person + Unreinheitsdauer + Heiligen-Essverbot + Wasserbad-Ausnahme.</w:t>
      </w:r>
    </w:p>
    <w:p w14:paraId="7157469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zeigt die Unreinheitsfolgen mit Wasserbad als Reinigungsvoraussetzung vor dem Heiligenverzehr.</w:t>
      </w:r>
    </w:p>
    <w:p w14:paraId="0194701B"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22,7</w:t>
      </w:r>
    </w:p>
    <w:p w14:paraId="369D6D6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וּבָ֥א הַשֶּׁ֖מֶשׁ וְטָהֵ֑ר וְאַחַר֙ יֹאכַ֣ל מִן־הַקֳּדָשִׁ֔ים כִּ֥י לַחְמֹ֖ו הֽוּא׃</w:t>
      </w:r>
    </w:p>
    <w:p w14:paraId="507B46C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Deutsch:</w:t>
      </w:r>
      <w:r w:rsidRPr="000F5B67">
        <w:rPr>
          <w:rFonts w:eastAsia="Times New Roman" w:cs="Times New Roman"/>
          <w:lang w:eastAsia="de-DE"/>
        </w:rPr>
        <w:t xml:space="preserve"> Und wenn die Sonne untergegangen ist, wird er rein sein; und danach darf er von den heiligen Gaben essen, denn es ist seine Speise.</w:t>
      </w:r>
    </w:p>
    <w:p w14:paraId="2457E39E"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35E0517">
          <v:rect id="_x0000_i1655" style="width:0;height:1.5pt" o:hralign="center" o:hrstd="t" o:hr="t" fillcolor="#a0a0a0" stroked="f"/>
        </w:pict>
      </w:r>
    </w:p>
    <w:p w14:paraId="5AC3E04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ובא השמש וטהר ואחר יאכל מן־הקדשים כי לחמו הוא</w:t>
      </w:r>
      <w:r w:rsidRPr="000F5B67">
        <w:rPr>
          <w:rFonts w:eastAsia="Times New Roman" w:cs="Times New Roman"/>
          <w:rtl/>
          <w:lang w:eastAsia="de-DE"/>
        </w:rPr>
        <w:t xml:space="preserve"> </w:t>
      </w:r>
      <w:r w:rsidRPr="000F5B67">
        <w:rPr>
          <w:rFonts w:eastAsia="Times New Roman" w:cs="Times New Roman"/>
          <w:lang w:eastAsia="de-DE"/>
        </w:rPr>
        <w:t xml:space="preserve">zeigt den Abschluss der Reinigung. </w:t>
      </w:r>
      <w:r w:rsidRPr="000F5B67">
        <w:rPr>
          <w:rFonts w:eastAsia="Times New Roman" w:cs="Times New Roman"/>
          <w:b/>
          <w:bCs/>
          <w:rtl/>
          <w:lang w:eastAsia="de-DE"/>
        </w:rPr>
        <w:t>ובא השמש וטהר</w:t>
      </w:r>
      <w:r w:rsidRPr="000F5B67">
        <w:rPr>
          <w:rFonts w:eastAsia="Times New Roman" w:cs="Times New Roman"/>
          <w:rtl/>
          <w:lang w:eastAsia="de-DE"/>
        </w:rPr>
        <w:t xml:space="preserve"> </w:t>
      </w:r>
      <w:r w:rsidRPr="000F5B67">
        <w:rPr>
          <w:rFonts w:eastAsia="Times New Roman" w:cs="Times New Roman"/>
          <w:lang w:eastAsia="de-DE"/>
        </w:rPr>
        <w:t xml:space="preserve">(und wenn die Sonne untergegangen ist, wird er rein sein) - </w:t>
      </w:r>
      <w:r w:rsidRPr="000F5B67">
        <w:rPr>
          <w:rFonts w:eastAsia="Times New Roman" w:cs="Times New Roman"/>
          <w:b/>
          <w:bCs/>
          <w:rtl/>
          <w:lang w:eastAsia="de-DE"/>
        </w:rPr>
        <w:t>ובא השמש</w:t>
      </w:r>
      <w:r w:rsidRPr="000F5B67">
        <w:rPr>
          <w:rFonts w:eastAsia="Times New Roman" w:cs="Times New Roman"/>
          <w:rtl/>
          <w:lang w:eastAsia="de-DE"/>
        </w:rPr>
        <w:t xml:space="preserve"> </w:t>
      </w:r>
      <w:r w:rsidRPr="000F5B67">
        <w:rPr>
          <w:rFonts w:eastAsia="Times New Roman" w:cs="Times New Roman"/>
          <w:lang w:eastAsia="de-DE"/>
        </w:rPr>
        <w:t xml:space="preserve">(und die Sonne kommt/geht unter) zeigt Sonnenuntergang als Zeitmarke. </w:t>
      </w:r>
      <w:r w:rsidRPr="000F5B67">
        <w:rPr>
          <w:rFonts w:eastAsia="Times New Roman" w:cs="Times New Roman"/>
          <w:b/>
          <w:bCs/>
          <w:rtl/>
          <w:lang w:eastAsia="de-DE"/>
        </w:rPr>
        <w:t>וטהר</w:t>
      </w:r>
      <w:r w:rsidRPr="000F5B67">
        <w:rPr>
          <w:rFonts w:eastAsia="Times New Roman" w:cs="Times New Roman"/>
          <w:rtl/>
          <w:lang w:eastAsia="de-DE"/>
        </w:rPr>
        <w:t xml:space="preserve"> </w:t>
      </w:r>
      <w:r w:rsidRPr="000F5B67">
        <w:rPr>
          <w:rFonts w:eastAsia="Times New Roman" w:cs="Times New Roman"/>
          <w:lang w:eastAsia="de-DE"/>
        </w:rPr>
        <w:t>(und er wird rein) im Qal-Perfekt mit Waw-Konsekutiv zeigt automatische Reinheit nach Sonnenuntergang.</w:t>
      </w:r>
    </w:p>
    <w:p w14:paraId="277F6F9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ואחר יאכל מן־הקדשים</w:t>
      </w:r>
      <w:r w:rsidRPr="000F5B67">
        <w:rPr>
          <w:rFonts w:eastAsia="Times New Roman" w:cs="Times New Roman"/>
          <w:rtl/>
          <w:lang w:eastAsia="de-DE"/>
        </w:rPr>
        <w:t xml:space="preserve"> </w:t>
      </w:r>
      <w:r w:rsidRPr="000F5B67">
        <w:rPr>
          <w:rFonts w:eastAsia="Times New Roman" w:cs="Times New Roman"/>
          <w:lang w:eastAsia="de-DE"/>
        </w:rPr>
        <w:t xml:space="preserve">(und danach darf er von den heiligen Gaben essen) - </w:t>
      </w:r>
      <w:r w:rsidRPr="000F5B67">
        <w:rPr>
          <w:rFonts w:eastAsia="Times New Roman" w:cs="Times New Roman"/>
          <w:b/>
          <w:bCs/>
          <w:rtl/>
          <w:lang w:eastAsia="de-DE"/>
        </w:rPr>
        <w:t>ואחר</w:t>
      </w:r>
      <w:r w:rsidRPr="000F5B67">
        <w:rPr>
          <w:rFonts w:eastAsia="Times New Roman" w:cs="Times New Roman"/>
          <w:rtl/>
          <w:lang w:eastAsia="de-DE"/>
        </w:rPr>
        <w:t xml:space="preserve"> </w:t>
      </w:r>
      <w:r w:rsidRPr="000F5B67">
        <w:rPr>
          <w:rFonts w:eastAsia="Times New Roman" w:cs="Times New Roman"/>
          <w:lang w:eastAsia="de-DE"/>
        </w:rPr>
        <w:t xml:space="preserve">(und danach) zeigt die zeitliche Folge. </w:t>
      </w:r>
      <w:r w:rsidRPr="000F5B67">
        <w:rPr>
          <w:rFonts w:eastAsia="Times New Roman" w:cs="Times New Roman"/>
          <w:b/>
          <w:bCs/>
          <w:rtl/>
          <w:lang w:eastAsia="de-DE"/>
        </w:rPr>
        <w:t>יאכל מן־הקדשים</w:t>
      </w:r>
      <w:r w:rsidRPr="000F5B67">
        <w:rPr>
          <w:rFonts w:eastAsia="Times New Roman" w:cs="Times New Roman"/>
          <w:rtl/>
          <w:lang w:eastAsia="de-DE"/>
        </w:rPr>
        <w:t xml:space="preserve"> </w:t>
      </w:r>
      <w:r w:rsidRPr="000F5B67">
        <w:rPr>
          <w:rFonts w:eastAsia="Times New Roman" w:cs="Times New Roman"/>
          <w:lang w:eastAsia="de-DE"/>
        </w:rPr>
        <w:t>(darf er von den heiligen Gaben essen) zeigt die Wiedererlaubnis.</w:t>
      </w:r>
    </w:p>
    <w:p w14:paraId="5EE7BF8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כי לחמו הוא</w:t>
      </w:r>
      <w:r w:rsidRPr="000F5B67">
        <w:rPr>
          <w:rFonts w:eastAsia="Times New Roman" w:cs="Times New Roman"/>
          <w:rtl/>
          <w:lang w:eastAsia="de-DE"/>
        </w:rPr>
        <w:t xml:space="preserve"> </w:t>
      </w:r>
      <w:r w:rsidRPr="000F5B67">
        <w:rPr>
          <w:rFonts w:eastAsia="Times New Roman" w:cs="Times New Roman"/>
          <w:lang w:eastAsia="de-DE"/>
        </w:rPr>
        <w:t xml:space="preserve">(denn es ist seine Speise) - </w:t>
      </w:r>
      <w:r w:rsidRPr="000F5B67">
        <w:rPr>
          <w:rFonts w:eastAsia="Times New Roman" w:cs="Times New Roman"/>
          <w:b/>
          <w:bCs/>
          <w:rtl/>
          <w:lang w:eastAsia="de-DE"/>
        </w:rPr>
        <w:t>לחמו</w:t>
      </w:r>
      <w:r w:rsidRPr="000F5B67">
        <w:rPr>
          <w:rFonts w:eastAsia="Times New Roman" w:cs="Times New Roman"/>
          <w:rtl/>
          <w:lang w:eastAsia="de-DE"/>
        </w:rPr>
        <w:t xml:space="preserve"> </w:t>
      </w:r>
      <w:r w:rsidRPr="000F5B67">
        <w:rPr>
          <w:rFonts w:eastAsia="Times New Roman" w:cs="Times New Roman"/>
          <w:lang w:eastAsia="de-DE"/>
        </w:rPr>
        <w:t xml:space="preserve">(seine Speise) zeigt die heiligen Gaben als priesterliche Lebensgrundlage. </w:t>
      </w:r>
      <w:r w:rsidRPr="000F5B67">
        <w:rPr>
          <w:rFonts w:eastAsia="Times New Roman" w:cs="Times New Roman"/>
          <w:b/>
          <w:bCs/>
          <w:rtl/>
          <w:lang w:eastAsia="de-DE"/>
        </w:rPr>
        <w:t>הוא</w:t>
      </w:r>
      <w:r w:rsidRPr="000F5B67">
        <w:rPr>
          <w:rFonts w:eastAsia="Times New Roman" w:cs="Times New Roman"/>
          <w:rtl/>
          <w:lang w:eastAsia="de-DE"/>
        </w:rPr>
        <w:t xml:space="preserve"> </w:t>
      </w:r>
      <w:r w:rsidRPr="000F5B67">
        <w:rPr>
          <w:rFonts w:eastAsia="Times New Roman" w:cs="Times New Roman"/>
          <w:lang w:eastAsia="de-DE"/>
        </w:rPr>
        <w:t>betont die Identifikation.</w:t>
      </w:r>
    </w:p>
    <w:p w14:paraId="7BAA89A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ובא השמש</w:t>
      </w:r>
      <w:r w:rsidRPr="000F5B67">
        <w:rPr>
          <w:rFonts w:eastAsia="Times New Roman" w:cs="Times New Roman"/>
          <w:rtl/>
          <w:lang w:eastAsia="de-DE"/>
        </w:rPr>
        <w:t xml:space="preserve"> </w:t>
      </w:r>
      <w:r w:rsidRPr="000F5B67">
        <w:rPr>
          <w:rFonts w:eastAsia="Times New Roman" w:cs="Times New Roman"/>
          <w:lang w:eastAsia="de-DE"/>
        </w:rPr>
        <w:t xml:space="preserve">als Standardreinigungszeitpunkt. </w:t>
      </w:r>
      <w:r w:rsidRPr="000F5B67">
        <w:rPr>
          <w:rFonts w:eastAsia="Times New Roman" w:cs="Times New Roman"/>
          <w:b/>
          <w:bCs/>
          <w:rtl/>
          <w:lang w:eastAsia="de-DE"/>
        </w:rPr>
        <w:t>וטהר</w:t>
      </w:r>
      <w:r w:rsidRPr="000F5B67">
        <w:rPr>
          <w:rFonts w:eastAsia="Times New Roman" w:cs="Times New Roman"/>
          <w:rtl/>
          <w:lang w:eastAsia="de-DE"/>
        </w:rPr>
        <w:t xml:space="preserve"> </w:t>
      </w:r>
      <w:r w:rsidRPr="000F5B67">
        <w:rPr>
          <w:rFonts w:eastAsia="Times New Roman" w:cs="Times New Roman"/>
          <w:lang w:eastAsia="de-DE"/>
        </w:rPr>
        <w:t xml:space="preserve">zeigt automatische Reinheit ohne weitere Handlungen nach dem Wasserbad. </w:t>
      </w:r>
      <w:r w:rsidRPr="000F5B67">
        <w:rPr>
          <w:rFonts w:eastAsia="Times New Roman" w:cs="Times New Roman"/>
          <w:b/>
          <w:bCs/>
          <w:rtl/>
          <w:lang w:eastAsia="de-DE"/>
        </w:rPr>
        <w:t>כי לחמו הוא</w:t>
      </w:r>
      <w:r w:rsidRPr="000F5B67">
        <w:rPr>
          <w:rFonts w:eastAsia="Times New Roman" w:cs="Times New Roman"/>
          <w:rtl/>
          <w:lang w:eastAsia="de-DE"/>
        </w:rPr>
        <w:t xml:space="preserve"> </w:t>
      </w:r>
      <w:r w:rsidRPr="000F5B67">
        <w:rPr>
          <w:rFonts w:eastAsia="Times New Roman" w:cs="Times New Roman"/>
          <w:lang w:eastAsia="de-DE"/>
        </w:rPr>
        <w:t>begründet die Esserlaubnis durch priesterlichen Lebensunterhalt.</w:t>
      </w:r>
    </w:p>
    <w:p w14:paraId="5870E5E6" w14:textId="610AFC22"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לחמו הוא</w:t>
      </w:r>
      <w:r w:rsidR="0007678B">
        <w:t xml:space="preserve"> (</w:t>
      </w:r>
      <w:proofErr w:type="spellStart"/>
      <w:r w:rsidR="0007678B">
        <w:t>lachmo</w:t>
      </w:r>
      <w:proofErr w:type="spellEnd"/>
      <w:r w:rsidR="0007678B">
        <w:t xml:space="preserve"> hu - "es ist sein Brot") als </w:t>
      </w:r>
      <w:proofErr w:type="spellStart"/>
      <w:r w:rsidR="0007678B">
        <w:t>ἄρτος</w:t>
      </w:r>
      <w:proofErr w:type="spellEnd"/>
      <w:r w:rsidR="0007678B">
        <w:t xml:space="preserve"> </w:t>
      </w:r>
      <w:proofErr w:type="spellStart"/>
      <w:r w:rsidR="0007678B">
        <w:t>ἐστὶν</w:t>
      </w:r>
      <w:proofErr w:type="spellEnd"/>
      <w:r w:rsidR="0007678B">
        <w:t xml:space="preserve"> α</w:t>
      </w:r>
      <w:proofErr w:type="spellStart"/>
      <w:r w:rsidR="0007678B">
        <w:t>ὐτοῦ</w:t>
      </w:r>
      <w:proofErr w:type="spellEnd"/>
      <w:r w:rsidR="0007678B">
        <w:t xml:space="preserve"> (es ist sein Brot), was eine direktere Übersetzung darstellt.</w:t>
      </w:r>
    </w:p>
    <w:p w14:paraId="7E3094F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Reinigungsabschluss: Sonnenuntergang + automatische Reinheit + Esserlaubnis + Lebensunterhaltsbegründung.</w:t>
      </w:r>
    </w:p>
    <w:p w14:paraId="28D00E4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zeigt Sonnenuntergang als abschließende Reinigungsmarke mit Wiedererlaubnis des Heiligenverzehrs.</w:t>
      </w:r>
    </w:p>
    <w:p w14:paraId="50C11435"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22,8</w:t>
      </w:r>
    </w:p>
    <w:p w14:paraId="1A31219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נְבֵלָ֧ה וּטְרֵפָ֛ה לֹ֥א יֹאכַ֖ל לְטָמְאָה־בָ֑הּ אֲנִ֖י יְהוָֽה׃</w:t>
      </w:r>
    </w:p>
    <w:p w14:paraId="69E2DD7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Aas und Zerrissenes soll er nicht essen, sich dadurch zu verunreinigen. Ich bin der Ewige.</w:t>
      </w:r>
    </w:p>
    <w:p w14:paraId="3F5649B6"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48F5FAA7">
          <v:rect id="_x0000_i1656" style="width:0;height:1.5pt" o:hralign="center" o:hrstd="t" o:hr="t" fillcolor="#a0a0a0" stroked="f"/>
        </w:pict>
      </w:r>
    </w:p>
    <w:p w14:paraId="6C56A92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נבלה וטרפה לא יאכל לטמאה־בה אני יהוה</w:t>
      </w:r>
      <w:r w:rsidRPr="000F5B67">
        <w:rPr>
          <w:rFonts w:eastAsia="Times New Roman" w:cs="Times New Roman"/>
          <w:rtl/>
          <w:lang w:eastAsia="de-DE"/>
        </w:rPr>
        <w:t xml:space="preserve"> </w:t>
      </w:r>
      <w:r w:rsidRPr="000F5B67">
        <w:rPr>
          <w:rFonts w:eastAsia="Times New Roman" w:cs="Times New Roman"/>
          <w:lang w:eastAsia="de-DE"/>
        </w:rPr>
        <w:t xml:space="preserve">verbietet bestimmte Speisen für Priester. </w:t>
      </w:r>
      <w:r w:rsidRPr="000F5B67">
        <w:rPr>
          <w:rFonts w:eastAsia="Times New Roman" w:cs="Times New Roman"/>
          <w:b/>
          <w:bCs/>
          <w:rtl/>
          <w:lang w:eastAsia="de-DE"/>
        </w:rPr>
        <w:t>נבלה וטרפה</w:t>
      </w:r>
      <w:r w:rsidRPr="000F5B67">
        <w:rPr>
          <w:rFonts w:eastAsia="Times New Roman" w:cs="Times New Roman"/>
          <w:rtl/>
          <w:lang w:eastAsia="de-DE"/>
        </w:rPr>
        <w:t xml:space="preserve"> </w:t>
      </w:r>
      <w:r w:rsidRPr="000F5B67">
        <w:rPr>
          <w:rFonts w:eastAsia="Times New Roman" w:cs="Times New Roman"/>
          <w:lang w:eastAsia="de-DE"/>
        </w:rPr>
        <w:t>(Aas und Zerrissenes) entspricht Lev 17,15:</w:t>
      </w:r>
    </w:p>
    <w:p w14:paraId="53A4156F" w14:textId="77777777" w:rsidR="000F5B67" w:rsidRPr="000F5B67" w:rsidRDefault="000F5B67" w:rsidP="000F5B67">
      <w:pPr>
        <w:numPr>
          <w:ilvl w:val="0"/>
          <w:numId w:val="7"/>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נבלה</w:t>
      </w:r>
      <w:r w:rsidRPr="000F5B67">
        <w:rPr>
          <w:rFonts w:eastAsia="Times New Roman" w:cs="Times New Roman"/>
          <w:rtl/>
          <w:lang w:eastAsia="de-DE"/>
        </w:rPr>
        <w:t xml:space="preserve"> </w:t>
      </w:r>
      <w:r w:rsidRPr="000F5B67">
        <w:rPr>
          <w:rFonts w:eastAsia="Times New Roman" w:cs="Times New Roman"/>
          <w:lang w:eastAsia="de-DE"/>
        </w:rPr>
        <w:t>(Aas) zeigt natürlich verendete Tiere</w:t>
      </w:r>
    </w:p>
    <w:p w14:paraId="58D71C43" w14:textId="77777777" w:rsidR="000F5B67" w:rsidRPr="000F5B67" w:rsidRDefault="000F5B67" w:rsidP="000F5B67">
      <w:pPr>
        <w:numPr>
          <w:ilvl w:val="0"/>
          <w:numId w:val="7"/>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טרפה</w:t>
      </w:r>
      <w:r w:rsidRPr="000F5B67">
        <w:rPr>
          <w:rFonts w:eastAsia="Times New Roman" w:cs="Times New Roman"/>
          <w:rtl/>
          <w:lang w:eastAsia="de-DE"/>
        </w:rPr>
        <w:t xml:space="preserve"> </w:t>
      </w:r>
      <w:r w:rsidRPr="000F5B67">
        <w:rPr>
          <w:rFonts w:eastAsia="Times New Roman" w:cs="Times New Roman"/>
          <w:lang w:eastAsia="de-DE"/>
        </w:rPr>
        <w:t>(Zerrissenes) zeigt von wilden Tieren zerrissene Tiere</w:t>
      </w:r>
    </w:p>
    <w:p w14:paraId="4F64277B" w14:textId="69194DAF"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יאכל לטמאה־בה</w:t>
      </w:r>
      <w:r w:rsidRPr="000F5B67">
        <w:rPr>
          <w:rFonts w:eastAsia="Times New Roman" w:cs="Times New Roman"/>
          <w:rtl/>
          <w:lang w:eastAsia="de-DE"/>
        </w:rPr>
        <w:t xml:space="preserve"> </w:t>
      </w:r>
      <w:r w:rsidRPr="000F5B67">
        <w:rPr>
          <w:rFonts w:eastAsia="Times New Roman" w:cs="Times New Roman"/>
          <w:lang w:eastAsia="de-DE"/>
        </w:rPr>
        <w:t xml:space="preserve">(soll er nicht essen, sich dadurch zu verunreinigen) - </w:t>
      </w:r>
      <w:r w:rsidRPr="000F5B67">
        <w:rPr>
          <w:rFonts w:eastAsia="Times New Roman" w:cs="Times New Roman"/>
          <w:b/>
          <w:bCs/>
          <w:rtl/>
          <w:lang w:eastAsia="de-DE"/>
        </w:rPr>
        <w:t>לא יאכל</w:t>
      </w:r>
      <w:r w:rsidRPr="000F5B67">
        <w:rPr>
          <w:rFonts w:eastAsia="Times New Roman" w:cs="Times New Roman"/>
          <w:rtl/>
          <w:lang w:eastAsia="de-DE"/>
        </w:rPr>
        <w:t xml:space="preserve"> </w:t>
      </w:r>
      <w:r w:rsidRPr="000F5B67">
        <w:rPr>
          <w:rFonts w:eastAsia="Times New Roman" w:cs="Times New Roman"/>
          <w:lang w:eastAsia="de-DE"/>
        </w:rPr>
        <w:t xml:space="preserve">(soll er nicht essen) im Qal-Imperfekt zeigt Essverbot. </w:t>
      </w:r>
      <w:r w:rsidRPr="000F5B67">
        <w:rPr>
          <w:rFonts w:eastAsia="Times New Roman" w:cs="Times New Roman"/>
          <w:b/>
          <w:bCs/>
          <w:rtl/>
          <w:lang w:eastAsia="de-DE"/>
        </w:rPr>
        <w:t>לטמאה־בה</w:t>
      </w:r>
      <w:r w:rsidRPr="000F5B67">
        <w:rPr>
          <w:rFonts w:eastAsia="Times New Roman" w:cs="Times New Roman"/>
          <w:rtl/>
          <w:lang w:eastAsia="de-DE"/>
        </w:rPr>
        <w:t xml:space="preserve"> </w:t>
      </w:r>
      <w:r w:rsidRPr="000F5B67">
        <w:rPr>
          <w:rFonts w:eastAsia="Times New Roman" w:cs="Times New Roman"/>
          <w:lang w:eastAsia="de-DE"/>
        </w:rPr>
        <w:t>(um sich dadurch zu verunreinigen) im Nifal-Infinitiv-</w:t>
      </w:r>
      <w:r w:rsidR="00DE39DD">
        <w:rPr>
          <w:rFonts w:eastAsia="Times New Roman" w:cs="Times New Roman"/>
          <w:lang w:eastAsia="de-DE"/>
        </w:rPr>
        <w:t>Constructus</w:t>
      </w:r>
      <w:r w:rsidRPr="000F5B67">
        <w:rPr>
          <w:rFonts w:eastAsia="Times New Roman" w:cs="Times New Roman"/>
          <w:lang w:eastAsia="de-DE"/>
        </w:rPr>
        <w:t xml:space="preserve"> zeigt den Zweck der Vermeidung.</w:t>
      </w:r>
    </w:p>
    <w:p w14:paraId="504B7E2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אני יהוה</w:t>
      </w:r>
      <w:r w:rsidRPr="000F5B67">
        <w:rPr>
          <w:rFonts w:eastAsia="Times New Roman" w:cs="Times New Roman"/>
          <w:rtl/>
          <w:lang w:eastAsia="de-DE"/>
        </w:rPr>
        <w:t xml:space="preserve"> </w:t>
      </w:r>
      <w:r w:rsidRPr="000F5B67">
        <w:rPr>
          <w:rFonts w:eastAsia="Times New Roman" w:cs="Times New Roman"/>
          <w:lang w:eastAsia="de-DE"/>
        </w:rPr>
        <w:t>(ich bin der Ewige) als Autoritätsformel.</w:t>
      </w:r>
    </w:p>
    <w:p w14:paraId="7B33DAF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נבלה וטרפה</w:t>
      </w:r>
      <w:r w:rsidRPr="000F5B67">
        <w:rPr>
          <w:rFonts w:eastAsia="Times New Roman" w:cs="Times New Roman"/>
          <w:rtl/>
          <w:lang w:eastAsia="de-DE"/>
        </w:rPr>
        <w:t xml:space="preserve"> </w:t>
      </w:r>
      <w:r w:rsidRPr="000F5B67">
        <w:rPr>
          <w:rFonts w:eastAsia="Times New Roman" w:cs="Times New Roman"/>
          <w:lang w:eastAsia="de-DE"/>
        </w:rPr>
        <w:t xml:space="preserve">als unreine Speisen auch für Laien problematisch, für Priester absolut verboten. </w:t>
      </w:r>
      <w:r w:rsidRPr="000F5B67">
        <w:rPr>
          <w:rFonts w:eastAsia="Times New Roman" w:cs="Times New Roman"/>
          <w:b/>
          <w:bCs/>
          <w:rtl/>
          <w:lang w:eastAsia="de-DE"/>
        </w:rPr>
        <w:t>לטמאה־בה</w:t>
      </w:r>
      <w:r w:rsidRPr="000F5B67">
        <w:rPr>
          <w:rFonts w:eastAsia="Times New Roman" w:cs="Times New Roman"/>
          <w:rtl/>
          <w:lang w:eastAsia="de-DE"/>
        </w:rPr>
        <w:t xml:space="preserve"> </w:t>
      </w:r>
      <w:r w:rsidRPr="000F5B67">
        <w:rPr>
          <w:rFonts w:eastAsia="Times New Roman" w:cs="Times New Roman"/>
          <w:lang w:eastAsia="de-DE"/>
        </w:rPr>
        <w:t>zeigt Verunreinigung als Grund des Verbots.</w:t>
      </w:r>
    </w:p>
    <w:p w14:paraId="0F64EB90" w14:textId="5B1A0466"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נבלה</w:t>
      </w:r>
      <w:r w:rsidR="0007678B">
        <w:t xml:space="preserve"> (</w:t>
      </w:r>
      <w:proofErr w:type="spellStart"/>
      <w:r w:rsidR="0007678B">
        <w:t>nevela</w:t>
      </w:r>
      <w:proofErr w:type="spellEnd"/>
      <w:r w:rsidR="0007678B">
        <w:t xml:space="preserve"> - "Aas") als </w:t>
      </w:r>
      <w:proofErr w:type="spellStart"/>
      <w:r w:rsidR="0007678B">
        <w:t>θνησιμ</w:t>
      </w:r>
      <w:proofErr w:type="spellEnd"/>
      <w:r w:rsidR="0007678B">
        <w:t xml:space="preserve">αῖον (natürlich Gestorbenes) und </w:t>
      </w:r>
      <w:r w:rsidR="0007678B">
        <w:rPr>
          <w:rtl/>
        </w:rPr>
        <w:t>טרפה</w:t>
      </w:r>
      <w:r w:rsidR="0007678B">
        <w:t xml:space="preserve"> (</w:t>
      </w:r>
      <w:proofErr w:type="spellStart"/>
      <w:r w:rsidR="0007678B">
        <w:t>terefa</w:t>
      </w:r>
      <w:proofErr w:type="spellEnd"/>
      <w:r w:rsidR="0007678B">
        <w:t xml:space="preserve"> - "Zerrissenes") als </w:t>
      </w:r>
      <w:proofErr w:type="spellStart"/>
      <w:r w:rsidR="0007678B">
        <w:t>θηριάλωτον</w:t>
      </w:r>
      <w:proofErr w:type="spellEnd"/>
      <w:r w:rsidR="0007678B">
        <w:t xml:space="preserve"> (von wilden Tieren Getötetes), wie bereits in früheren Kapiteln.</w:t>
      </w:r>
    </w:p>
    <w:p w14:paraId="2DADAA1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Speiseverbot: zwei unreine Speisearten + Essverbot + Verunreinigungsvermeidung + göttliche Autorität.</w:t>
      </w:r>
    </w:p>
    <w:p w14:paraId="7A62DF5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verbietet Priestern den Verzehr von Aas und Zerrissenem zur Vermeidung kultischer Verunreinigung.</w:t>
      </w:r>
    </w:p>
    <w:p w14:paraId="3E1FD6AA"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22,9</w:t>
      </w:r>
    </w:p>
    <w:p w14:paraId="667B168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וְשָׁמְר֣וּ אֶת־מִשְׁמַרְתִּ֗י וְלֹֽא־יִשְׂא֤וּ עָלָיו֙ חֵ֔טְא וּמֵ֥תוּ בוֹ֖ כִּ֣י יְחַלְּלֻ֑הוּ אֲנִ֥י יְהוָ֖ה מְקַדְּשָֽׁם׃</w:t>
      </w:r>
    </w:p>
    <w:p w14:paraId="1B1CA3B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sie sollen meine Anordnung beachten, damit sie nicht deshalb Sünde auf sich laden und daran sterben, weil sie es entweihen. Ich bin der Ewige, der sie heiligt.</w:t>
      </w:r>
    </w:p>
    <w:p w14:paraId="34C19FCA"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1F9DB475">
          <v:rect id="_x0000_i1657" style="width:0;height:1.5pt" o:hralign="center" o:hrstd="t" o:hr="t" fillcolor="#a0a0a0" stroked="f"/>
        </w:pict>
      </w:r>
    </w:p>
    <w:p w14:paraId="031BC8F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ושמרו את־משמרתי ולא־ישאו עליו חטא ומתו בו כי יחללהו אני יהוה מקדשם</w:t>
      </w:r>
      <w:r w:rsidRPr="000F5B67">
        <w:rPr>
          <w:rFonts w:eastAsia="Times New Roman" w:cs="Times New Roman"/>
          <w:rtl/>
          <w:lang w:eastAsia="de-DE"/>
        </w:rPr>
        <w:t xml:space="preserve"> </w:t>
      </w:r>
      <w:r w:rsidRPr="000F5B67">
        <w:rPr>
          <w:rFonts w:eastAsia="Times New Roman" w:cs="Times New Roman"/>
          <w:lang w:eastAsia="de-DE"/>
        </w:rPr>
        <w:t xml:space="preserve">zeigt die Konsequenzen der Missachtung. </w:t>
      </w:r>
      <w:r w:rsidRPr="000F5B67">
        <w:rPr>
          <w:rFonts w:eastAsia="Times New Roman" w:cs="Times New Roman"/>
          <w:b/>
          <w:bCs/>
          <w:rtl/>
          <w:lang w:eastAsia="de-DE"/>
        </w:rPr>
        <w:t>ושמרו את־משמרתי</w:t>
      </w:r>
      <w:r w:rsidRPr="000F5B67">
        <w:rPr>
          <w:rFonts w:eastAsia="Times New Roman" w:cs="Times New Roman"/>
          <w:rtl/>
          <w:lang w:eastAsia="de-DE"/>
        </w:rPr>
        <w:t xml:space="preserve"> </w:t>
      </w:r>
      <w:r w:rsidRPr="000F5B67">
        <w:rPr>
          <w:rFonts w:eastAsia="Times New Roman" w:cs="Times New Roman"/>
          <w:lang w:eastAsia="de-DE"/>
        </w:rPr>
        <w:t xml:space="preserve">(und sie sollen meine Anordnung beachten) - </w:t>
      </w:r>
      <w:r w:rsidRPr="000F5B67">
        <w:rPr>
          <w:rFonts w:eastAsia="Times New Roman" w:cs="Times New Roman"/>
          <w:b/>
          <w:bCs/>
          <w:rtl/>
          <w:lang w:eastAsia="de-DE"/>
        </w:rPr>
        <w:t>ושמרו</w:t>
      </w:r>
      <w:r w:rsidRPr="000F5B67">
        <w:rPr>
          <w:rFonts w:eastAsia="Times New Roman" w:cs="Times New Roman"/>
          <w:rtl/>
          <w:lang w:eastAsia="de-DE"/>
        </w:rPr>
        <w:t xml:space="preserve"> </w:t>
      </w:r>
      <w:r w:rsidRPr="000F5B67">
        <w:rPr>
          <w:rFonts w:eastAsia="Times New Roman" w:cs="Times New Roman"/>
          <w:lang w:eastAsia="de-DE"/>
        </w:rPr>
        <w:t xml:space="preserve">(und sie sollen beachten) im Qal-Perfekt mit Waw-Konsekutiv. </w:t>
      </w:r>
      <w:r w:rsidRPr="000F5B67">
        <w:rPr>
          <w:rFonts w:eastAsia="Times New Roman" w:cs="Times New Roman"/>
          <w:b/>
          <w:bCs/>
          <w:rtl/>
          <w:lang w:eastAsia="de-DE"/>
        </w:rPr>
        <w:t>את־משמרתי</w:t>
      </w:r>
      <w:r w:rsidRPr="000F5B67">
        <w:rPr>
          <w:rFonts w:eastAsia="Times New Roman" w:cs="Times New Roman"/>
          <w:rtl/>
          <w:lang w:eastAsia="de-DE"/>
        </w:rPr>
        <w:t xml:space="preserve"> </w:t>
      </w:r>
      <w:r w:rsidRPr="000F5B67">
        <w:rPr>
          <w:rFonts w:eastAsia="Times New Roman" w:cs="Times New Roman"/>
          <w:lang w:eastAsia="de-DE"/>
        </w:rPr>
        <w:t>(meine Anordnung) zeigt göttliche Wache/Anordnung.</w:t>
      </w:r>
    </w:p>
    <w:p w14:paraId="5BF9C1F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ולא־ישאו עליו חטא</w:t>
      </w:r>
      <w:r w:rsidRPr="000F5B67">
        <w:rPr>
          <w:rFonts w:eastAsia="Times New Roman" w:cs="Times New Roman"/>
          <w:rtl/>
          <w:lang w:eastAsia="de-DE"/>
        </w:rPr>
        <w:t xml:space="preserve"> </w:t>
      </w:r>
      <w:r w:rsidRPr="000F5B67">
        <w:rPr>
          <w:rFonts w:eastAsia="Times New Roman" w:cs="Times New Roman"/>
          <w:lang w:eastAsia="de-DE"/>
        </w:rPr>
        <w:t xml:space="preserve">(damit sie nicht deshalb Sünde auf sich laden) - </w:t>
      </w:r>
      <w:r w:rsidRPr="000F5B67">
        <w:rPr>
          <w:rFonts w:eastAsia="Times New Roman" w:cs="Times New Roman"/>
          <w:b/>
          <w:bCs/>
          <w:rtl/>
          <w:lang w:eastAsia="de-DE"/>
        </w:rPr>
        <w:t>לא־ישאו</w:t>
      </w:r>
      <w:r w:rsidRPr="000F5B67">
        <w:rPr>
          <w:rFonts w:eastAsia="Times New Roman" w:cs="Times New Roman"/>
          <w:rtl/>
          <w:lang w:eastAsia="de-DE"/>
        </w:rPr>
        <w:t xml:space="preserve"> </w:t>
      </w:r>
      <w:r w:rsidRPr="000F5B67">
        <w:rPr>
          <w:rFonts w:eastAsia="Times New Roman" w:cs="Times New Roman"/>
          <w:lang w:eastAsia="de-DE"/>
        </w:rPr>
        <w:t xml:space="preserve">(sollen sie nicht tragen) im Qal-Imperfekt. </w:t>
      </w:r>
      <w:r w:rsidRPr="000F5B67">
        <w:rPr>
          <w:rFonts w:eastAsia="Times New Roman" w:cs="Times New Roman"/>
          <w:b/>
          <w:bCs/>
          <w:rtl/>
          <w:lang w:eastAsia="de-DE"/>
        </w:rPr>
        <w:t>עליו חטא</w:t>
      </w:r>
      <w:r w:rsidRPr="000F5B67">
        <w:rPr>
          <w:rFonts w:eastAsia="Times New Roman" w:cs="Times New Roman"/>
          <w:rtl/>
          <w:lang w:eastAsia="de-DE"/>
        </w:rPr>
        <w:t xml:space="preserve"> </w:t>
      </w:r>
      <w:r w:rsidRPr="000F5B67">
        <w:rPr>
          <w:rFonts w:eastAsia="Times New Roman" w:cs="Times New Roman"/>
          <w:lang w:eastAsia="de-DE"/>
        </w:rPr>
        <w:t xml:space="preserve">(deshalb Sünde) - </w:t>
      </w:r>
      <w:r w:rsidRPr="000F5B67">
        <w:rPr>
          <w:rFonts w:eastAsia="Times New Roman" w:cs="Times New Roman"/>
          <w:b/>
          <w:bCs/>
          <w:rtl/>
          <w:lang w:eastAsia="de-DE"/>
        </w:rPr>
        <w:t>עליו</w:t>
      </w:r>
      <w:r w:rsidRPr="000F5B67">
        <w:rPr>
          <w:rFonts w:eastAsia="Times New Roman" w:cs="Times New Roman"/>
          <w:rtl/>
          <w:lang w:eastAsia="de-DE"/>
        </w:rPr>
        <w:t xml:space="preserve"> </w:t>
      </w:r>
      <w:r w:rsidRPr="000F5B67">
        <w:rPr>
          <w:rFonts w:eastAsia="Times New Roman" w:cs="Times New Roman"/>
          <w:lang w:eastAsia="de-DE"/>
        </w:rPr>
        <w:t>bezieht sich auf die Anordnung.</w:t>
      </w:r>
    </w:p>
    <w:p w14:paraId="1792DB7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ומתו בו כי יחללהו</w:t>
      </w:r>
      <w:r w:rsidRPr="000F5B67">
        <w:rPr>
          <w:rFonts w:eastAsia="Times New Roman" w:cs="Times New Roman"/>
          <w:rtl/>
          <w:lang w:eastAsia="de-DE"/>
        </w:rPr>
        <w:t xml:space="preserve"> </w:t>
      </w:r>
      <w:r w:rsidRPr="000F5B67">
        <w:rPr>
          <w:rFonts w:eastAsia="Times New Roman" w:cs="Times New Roman"/>
          <w:lang w:eastAsia="de-DE"/>
        </w:rPr>
        <w:t xml:space="preserve">(und daran sterben, weil sie es entweihen) - </w:t>
      </w:r>
      <w:r w:rsidRPr="000F5B67">
        <w:rPr>
          <w:rFonts w:eastAsia="Times New Roman" w:cs="Times New Roman"/>
          <w:b/>
          <w:bCs/>
          <w:rtl/>
          <w:lang w:eastAsia="de-DE"/>
        </w:rPr>
        <w:t>ומתו בו</w:t>
      </w:r>
      <w:r w:rsidRPr="000F5B67">
        <w:rPr>
          <w:rFonts w:eastAsia="Times New Roman" w:cs="Times New Roman"/>
          <w:rtl/>
          <w:lang w:eastAsia="de-DE"/>
        </w:rPr>
        <w:t xml:space="preserve"> </w:t>
      </w:r>
      <w:r w:rsidRPr="000F5B67">
        <w:rPr>
          <w:rFonts w:eastAsia="Times New Roman" w:cs="Times New Roman"/>
          <w:lang w:eastAsia="de-DE"/>
        </w:rPr>
        <w:t xml:space="preserve">(und sterben daran) im Qal-Perfekt mit Waw-Konsekutiv zeigt Todesfolge. </w:t>
      </w:r>
      <w:r w:rsidRPr="000F5B67">
        <w:rPr>
          <w:rFonts w:eastAsia="Times New Roman" w:cs="Times New Roman"/>
          <w:b/>
          <w:bCs/>
          <w:rtl/>
          <w:lang w:eastAsia="de-DE"/>
        </w:rPr>
        <w:t>כי יחללהו</w:t>
      </w:r>
      <w:r w:rsidRPr="000F5B67">
        <w:rPr>
          <w:rFonts w:eastAsia="Times New Roman" w:cs="Times New Roman"/>
          <w:rtl/>
          <w:lang w:eastAsia="de-DE"/>
        </w:rPr>
        <w:t xml:space="preserve"> </w:t>
      </w:r>
      <w:r w:rsidRPr="000F5B67">
        <w:rPr>
          <w:rFonts w:eastAsia="Times New Roman" w:cs="Times New Roman"/>
          <w:lang w:eastAsia="de-DE"/>
        </w:rPr>
        <w:t>(weil sie es entweihen) im Piel-Imperfekt, das Piel zeigt intensive Entweihung.</w:t>
      </w:r>
    </w:p>
    <w:p w14:paraId="77FAB16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אני יהוה מקדשם</w:t>
      </w:r>
      <w:r w:rsidRPr="000F5B67">
        <w:rPr>
          <w:rFonts w:eastAsia="Times New Roman" w:cs="Times New Roman"/>
          <w:rtl/>
          <w:lang w:eastAsia="de-DE"/>
        </w:rPr>
        <w:t xml:space="preserve"> </w:t>
      </w:r>
      <w:r w:rsidRPr="000F5B67">
        <w:rPr>
          <w:rFonts w:eastAsia="Times New Roman" w:cs="Times New Roman"/>
          <w:lang w:eastAsia="de-DE"/>
        </w:rPr>
        <w:t xml:space="preserve">(ich bin der Ewige, der sie heiligt) -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(der sie heiligt) im Piel-Partizip zeigt JHWH als Heiligungsagens.</w:t>
      </w:r>
    </w:p>
    <w:p w14:paraId="6773E32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משמרתי</w:t>
      </w:r>
      <w:r w:rsidRPr="000F5B67">
        <w:rPr>
          <w:rFonts w:eastAsia="Times New Roman" w:cs="Times New Roman"/>
          <w:rtl/>
          <w:lang w:eastAsia="de-DE"/>
        </w:rPr>
        <w:t xml:space="preserve"> </w:t>
      </w:r>
      <w:r w:rsidRPr="000F5B67">
        <w:rPr>
          <w:rFonts w:eastAsia="Times New Roman" w:cs="Times New Roman"/>
          <w:lang w:eastAsia="de-DE"/>
        </w:rPr>
        <w:t xml:space="preserve">zeigt göttliche Wache/Anordnung als zu Beachtendes. </w:t>
      </w:r>
      <w:r w:rsidRPr="000F5B67">
        <w:rPr>
          <w:rFonts w:eastAsia="Times New Roman" w:cs="Times New Roman"/>
          <w:b/>
          <w:bCs/>
          <w:rtl/>
          <w:lang w:eastAsia="de-DE"/>
        </w:rPr>
        <w:t>ישאו עליו חטא</w:t>
      </w:r>
      <w:r w:rsidRPr="000F5B67">
        <w:rPr>
          <w:rFonts w:eastAsia="Times New Roman" w:cs="Times New Roman"/>
          <w:rtl/>
          <w:lang w:eastAsia="de-DE"/>
        </w:rPr>
        <w:t xml:space="preserve"> </w:t>
      </w:r>
      <w:r w:rsidRPr="000F5B67">
        <w:rPr>
          <w:rFonts w:eastAsia="Times New Roman" w:cs="Times New Roman"/>
          <w:lang w:eastAsia="de-DE"/>
        </w:rPr>
        <w:t xml:space="preserve">zeigt Sündenübernahme bei Missachtung. </w:t>
      </w:r>
      <w:r w:rsidRPr="000F5B67">
        <w:rPr>
          <w:rFonts w:eastAsia="Times New Roman" w:cs="Times New Roman"/>
          <w:b/>
          <w:bCs/>
          <w:rtl/>
          <w:lang w:eastAsia="de-DE"/>
        </w:rPr>
        <w:t>ומתו בו</w:t>
      </w:r>
      <w:r w:rsidRPr="000F5B67">
        <w:rPr>
          <w:rFonts w:eastAsia="Times New Roman" w:cs="Times New Roman"/>
          <w:rtl/>
          <w:lang w:eastAsia="de-DE"/>
        </w:rPr>
        <w:t xml:space="preserve"> </w:t>
      </w:r>
      <w:r w:rsidRPr="000F5B67">
        <w:rPr>
          <w:rFonts w:eastAsia="Times New Roman" w:cs="Times New Roman"/>
          <w:lang w:eastAsia="de-DE"/>
        </w:rPr>
        <w:t xml:space="preserve">zeigt Todesstrafe bei Entweihung.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zeigt JHWH als Priester-Heiliger.</w:t>
      </w:r>
    </w:p>
    <w:p w14:paraId="63DF28C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משמרתי</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φυλάγμ</w:t>
      </w:r>
      <w:proofErr w:type="spellEnd"/>
      <w:r w:rsidRPr="000F5B67">
        <w:rPr>
          <w:rFonts w:eastAsia="Times New Roman" w:cs="Times New Roman"/>
          <w:lang w:eastAsia="de-DE"/>
        </w:rPr>
        <w:t xml:space="preserve">ατά </w:t>
      </w:r>
      <w:proofErr w:type="spellStart"/>
      <w:r w:rsidRPr="000F5B67">
        <w:rPr>
          <w:rFonts w:eastAsia="Times New Roman" w:cs="Times New Roman"/>
          <w:lang w:eastAsia="de-DE"/>
        </w:rPr>
        <w:t>μου</w:t>
      </w:r>
      <w:proofErr w:type="spellEnd"/>
      <w:r w:rsidRPr="000F5B67">
        <w:rPr>
          <w:rFonts w:eastAsia="Times New Roman" w:cs="Times New Roman"/>
          <w:lang w:eastAsia="de-DE"/>
        </w:rPr>
        <w:t xml:space="preserve"> (meine Wachen), </w:t>
      </w:r>
      <w:r w:rsidRPr="000F5B67">
        <w:rPr>
          <w:rFonts w:eastAsia="Times New Roman" w:cs="Times New Roman"/>
          <w:b/>
          <w:bCs/>
          <w:rtl/>
          <w:lang w:eastAsia="de-DE"/>
        </w:rPr>
        <w:t>ישאו חטא</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λά</w:t>
      </w:r>
      <w:proofErr w:type="spellEnd"/>
      <w:r w:rsidRPr="000F5B67">
        <w:rPr>
          <w:rFonts w:eastAsia="Times New Roman" w:cs="Times New Roman"/>
          <w:lang w:eastAsia="de-DE"/>
        </w:rPr>
        <w:t xml:space="preserve">βωσιν </w:t>
      </w:r>
      <w:proofErr w:type="spellStart"/>
      <w:r w:rsidRPr="000F5B67">
        <w:rPr>
          <w:rFonts w:eastAsia="Times New Roman" w:cs="Times New Roman"/>
          <w:lang w:eastAsia="de-DE"/>
        </w:rPr>
        <w:t>ἁμ</w:t>
      </w:r>
      <w:proofErr w:type="spellEnd"/>
      <w:r w:rsidRPr="000F5B67">
        <w:rPr>
          <w:rFonts w:eastAsia="Times New Roman" w:cs="Times New Roman"/>
          <w:lang w:eastAsia="de-DE"/>
        </w:rPr>
        <w:t xml:space="preserve">αρτίαν (nehmen Sünde), </w:t>
      </w:r>
      <w:r w:rsidRPr="000F5B67">
        <w:rPr>
          <w:rFonts w:eastAsia="Times New Roman" w:cs="Times New Roman"/>
          <w:b/>
          <w:bCs/>
          <w:rtl/>
          <w:lang w:eastAsia="de-DE"/>
        </w:rPr>
        <w:t>ומתו</w:t>
      </w:r>
      <w:r w:rsidRPr="000F5B67">
        <w:rPr>
          <w:rFonts w:eastAsia="Times New Roman" w:cs="Times New Roman"/>
          <w:rtl/>
          <w:lang w:eastAsia="de-DE"/>
        </w:rPr>
        <w:t xml:space="preserve"> </w:t>
      </w:r>
      <w:r w:rsidRPr="000F5B67">
        <w:rPr>
          <w:rFonts w:eastAsia="Times New Roman" w:cs="Times New Roman"/>
          <w:lang w:eastAsia="de-DE"/>
        </w:rPr>
        <w:t>mit ἀπ</w:t>
      </w:r>
      <w:proofErr w:type="spellStart"/>
      <w:r w:rsidRPr="000F5B67">
        <w:rPr>
          <w:rFonts w:eastAsia="Times New Roman" w:cs="Times New Roman"/>
          <w:lang w:eastAsia="de-DE"/>
        </w:rPr>
        <w:t>οθάνωσιν</w:t>
      </w:r>
      <w:proofErr w:type="spellEnd"/>
      <w:r w:rsidRPr="000F5B67">
        <w:rPr>
          <w:rFonts w:eastAsia="Times New Roman" w:cs="Times New Roman"/>
          <w:lang w:eastAsia="de-DE"/>
        </w:rPr>
        <w:t xml:space="preserve"> (sterben), </w:t>
      </w:r>
      <w:r w:rsidRPr="000F5B67">
        <w:rPr>
          <w:rFonts w:eastAsia="Times New Roman" w:cs="Times New Roman"/>
          <w:b/>
          <w:bCs/>
          <w:rtl/>
          <w:lang w:eastAsia="de-DE"/>
        </w:rPr>
        <w:t>יחללהו</w:t>
      </w:r>
      <w:r w:rsidRPr="000F5B67">
        <w:rPr>
          <w:rFonts w:eastAsia="Times New Roman" w:cs="Times New Roman"/>
          <w:rtl/>
          <w:lang w:eastAsia="de-DE"/>
        </w:rPr>
        <w:t xml:space="preserve"> </w:t>
      </w:r>
      <w:r w:rsidRPr="000F5B67">
        <w:rPr>
          <w:rFonts w:eastAsia="Times New Roman" w:cs="Times New Roman"/>
          <w:lang w:eastAsia="de-DE"/>
        </w:rPr>
        <w:t>mit βεβ</w:t>
      </w:r>
      <w:proofErr w:type="spellStart"/>
      <w:r w:rsidRPr="000F5B67">
        <w:rPr>
          <w:rFonts w:eastAsia="Times New Roman" w:cs="Times New Roman"/>
          <w:lang w:eastAsia="de-DE"/>
        </w:rPr>
        <w:t>ηλώσωσιν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ὐτό</w:t>
      </w:r>
      <w:proofErr w:type="spellEnd"/>
      <w:r w:rsidRPr="000F5B67">
        <w:rPr>
          <w:rFonts w:eastAsia="Times New Roman" w:cs="Times New Roman"/>
          <w:lang w:eastAsia="de-DE"/>
        </w:rPr>
        <w:t xml:space="preserve"> (entweihen es) und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 xml:space="preserve">mit ὁ </w:t>
      </w:r>
      <w:proofErr w:type="spellStart"/>
      <w:r w:rsidRPr="000F5B67">
        <w:rPr>
          <w:rFonts w:eastAsia="Times New Roman" w:cs="Times New Roman"/>
          <w:lang w:eastAsia="de-DE"/>
        </w:rPr>
        <w:t>ἁγιάζων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ὐτούς</w:t>
      </w:r>
      <w:proofErr w:type="spellEnd"/>
      <w:r w:rsidRPr="000F5B67">
        <w:rPr>
          <w:rFonts w:eastAsia="Times New Roman" w:cs="Times New Roman"/>
          <w:lang w:eastAsia="de-DE"/>
        </w:rPr>
        <w:t xml:space="preserve"> (der sie heiligt).</w:t>
      </w:r>
    </w:p>
    <w:p w14:paraId="032D89E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Gehorsamskonsequenzen: Anordnungsbeachtung + Sündenvermeidung + Todesstrafe bei Entweihung + göttliche Heiligungsautorität.</w:t>
      </w:r>
    </w:p>
    <w:p w14:paraId="050F602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lastRenderedPageBreak/>
        <w:t>Dieser Vers zeigt die Todesstrafe als Konsequenz priesterlicher Entweihung der göttlichen Anordnungen.</w:t>
      </w:r>
    </w:p>
    <w:p w14:paraId="39E92CE3"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22,10</w:t>
      </w:r>
    </w:p>
    <w:p w14:paraId="416BD41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וְכָל־זָ֖ר לֹא־יֹ֣אכַל קֹ֑דֶשׁ תּוֹשַׁ֥ב כֹּהֵ֛ן וְשָׂכִ֖יר לֹא־יֹ֥אכַל קֹֽדֶשׁ׃</w:t>
      </w:r>
    </w:p>
    <w:p w14:paraId="60B3C2B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kein Unbefugter soll Heiliges essen; der Beisasse eines Priesters und der Tagelöhner sollen nichts Heiliges essen.</w:t>
      </w:r>
    </w:p>
    <w:p w14:paraId="6B425400"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020B38A">
          <v:rect id="_x0000_i1658" style="width:0;height:1.5pt" o:hralign="center" o:hrstd="t" o:hr="t" fillcolor="#a0a0a0" stroked="f"/>
        </w:pict>
      </w:r>
    </w:p>
    <w:p w14:paraId="6A9D7C8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וכל־זר לא־יאכל קדש תושב כהן ושכיר לא־יאכל קדש</w:t>
      </w:r>
      <w:r w:rsidRPr="000F5B67">
        <w:rPr>
          <w:rFonts w:eastAsia="Times New Roman" w:cs="Times New Roman"/>
          <w:rtl/>
          <w:lang w:eastAsia="de-DE"/>
        </w:rPr>
        <w:t xml:space="preserve"> </w:t>
      </w:r>
      <w:r w:rsidRPr="000F5B67">
        <w:rPr>
          <w:rFonts w:eastAsia="Times New Roman" w:cs="Times New Roman"/>
          <w:lang w:eastAsia="de-DE"/>
        </w:rPr>
        <w:t xml:space="preserve">regelt den Zugang zu heiligen Speisen für Nichtpriester. </w:t>
      </w:r>
      <w:r w:rsidRPr="000F5B67">
        <w:rPr>
          <w:rFonts w:eastAsia="Times New Roman" w:cs="Times New Roman"/>
          <w:b/>
          <w:bCs/>
          <w:rtl/>
          <w:lang w:eastAsia="de-DE"/>
        </w:rPr>
        <w:t>וכל־זר לא־יאכל קדש</w:t>
      </w:r>
      <w:r w:rsidRPr="000F5B67">
        <w:rPr>
          <w:rFonts w:eastAsia="Times New Roman" w:cs="Times New Roman"/>
          <w:rtl/>
          <w:lang w:eastAsia="de-DE"/>
        </w:rPr>
        <w:t xml:space="preserve"> </w:t>
      </w:r>
      <w:r w:rsidRPr="000F5B67">
        <w:rPr>
          <w:rFonts w:eastAsia="Times New Roman" w:cs="Times New Roman"/>
          <w:lang w:eastAsia="de-DE"/>
        </w:rPr>
        <w:t xml:space="preserve">(und kein Unbefugter soll Heiliges essen) - </w:t>
      </w:r>
      <w:r w:rsidRPr="000F5B67">
        <w:rPr>
          <w:rFonts w:eastAsia="Times New Roman" w:cs="Times New Roman"/>
          <w:b/>
          <w:bCs/>
          <w:rtl/>
          <w:lang w:eastAsia="de-DE"/>
        </w:rPr>
        <w:t>כל־זר</w:t>
      </w:r>
      <w:r w:rsidRPr="000F5B67">
        <w:rPr>
          <w:rFonts w:eastAsia="Times New Roman" w:cs="Times New Roman"/>
          <w:rtl/>
          <w:lang w:eastAsia="de-DE"/>
        </w:rPr>
        <w:t xml:space="preserve"> </w:t>
      </w:r>
      <w:r w:rsidRPr="000F5B67">
        <w:rPr>
          <w:rFonts w:eastAsia="Times New Roman" w:cs="Times New Roman"/>
          <w:lang w:eastAsia="de-DE"/>
        </w:rPr>
        <w:t xml:space="preserve">(jeder Unbefugte) zeigt alle Nichtpriester. </w:t>
      </w:r>
      <w:r w:rsidRPr="000F5B67">
        <w:rPr>
          <w:rFonts w:eastAsia="Times New Roman" w:cs="Times New Roman"/>
          <w:b/>
          <w:bCs/>
          <w:rtl/>
          <w:lang w:eastAsia="de-DE"/>
        </w:rPr>
        <w:t>לא־יאכל קדש</w:t>
      </w:r>
      <w:r w:rsidRPr="000F5B67">
        <w:rPr>
          <w:rFonts w:eastAsia="Times New Roman" w:cs="Times New Roman"/>
          <w:rtl/>
          <w:lang w:eastAsia="de-DE"/>
        </w:rPr>
        <w:t xml:space="preserve"> </w:t>
      </w:r>
      <w:r w:rsidRPr="000F5B67">
        <w:rPr>
          <w:rFonts w:eastAsia="Times New Roman" w:cs="Times New Roman"/>
          <w:lang w:eastAsia="de-DE"/>
        </w:rPr>
        <w:t>(soll nicht Heiliges essen) im Qal-Imperfekt zeigt grundsätzliches Verbot.</w:t>
      </w:r>
    </w:p>
    <w:p w14:paraId="36C05DD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תושב כהן ושכיר לא־יאכל קדש</w:t>
      </w:r>
      <w:r w:rsidRPr="000F5B67">
        <w:rPr>
          <w:rFonts w:eastAsia="Times New Roman" w:cs="Times New Roman"/>
          <w:rtl/>
          <w:lang w:eastAsia="de-DE"/>
        </w:rPr>
        <w:t xml:space="preserve"> </w:t>
      </w:r>
      <w:r w:rsidRPr="000F5B67">
        <w:rPr>
          <w:rFonts w:eastAsia="Times New Roman" w:cs="Times New Roman"/>
          <w:lang w:eastAsia="de-DE"/>
        </w:rPr>
        <w:t>(der Beisasse eines Priesters und der Tagelöhner sollen nichts Heiliges essen) spezifiziert zwei Kategorien:</w:t>
      </w:r>
    </w:p>
    <w:p w14:paraId="0CDC6CBA" w14:textId="77777777" w:rsidR="000F5B67" w:rsidRPr="000F5B67" w:rsidRDefault="000F5B67" w:rsidP="000F5B67">
      <w:pPr>
        <w:numPr>
          <w:ilvl w:val="0"/>
          <w:numId w:val="8"/>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תושב כהן</w:t>
      </w:r>
      <w:r w:rsidRPr="000F5B67">
        <w:rPr>
          <w:rFonts w:eastAsia="Times New Roman" w:cs="Times New Roman"/>
          <w:rtl/>
          <w:lang w:eastAsia="de-DE"/>
        </w:rPr>
        <w:t xml:space="preserve"> </w:t>
      </w:r>
      <w:r w:rsidRPr="000F5B67">
        <w:rPr>
          <w:rFonts w:eastAsia="Times New Roman" w:cs="Times New Roman"/>
          <w:lang w:eastAsia="de-DE"/>
        </w:rPr>
        <w:t>(Beisasse eines Priesters) zeigt Fremde, die zeitweise bei Priestern wohnen</w:t>
      </w:r>
    </w:p>
    <w:p w14:paraId="7F43E5D2" w14:textId="77777777" w:rsidR="000F5B67" w:rsidRPr="000F5B67" w:rsidRDefault="000F5B67" w:rsidP="000F5B67">
      <w:pPr>
        <w:numPr>
          <w:ilvl w:val="0"/>
          <w:numId w:val="8"/>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שכיר</w:t>
      </w:r>
      <w:r w:rsidRPr="000F5B67">
        <w:rPr>
          <w:rFonts w:eastAsia="Times New Roman" w:cs="Times New Roman"/>
          <w:rtl/>
          <w:lang w:eastAsia="de-DE"/>
        </w:rPr>
        <w:t xml:space="preserve"> </w:t>
      </w:r>
      <w:r w:rsidRPr="000F5B67">
        <w:rPr>
          <w:rFonts w:eastAsia="Times New Roman" w:cs="Times New Roman"/>
          <w:lang w:eastAsia="de-DE"/>
        </w:rPr>
        <w:t>(Tagelöhner) zeigt Lohnarbeiter der Priester</w:t>
      </w:r>
    </w:p>
    <w:p w14:paraId="6AD4A9B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זר</w:t>
      </w:r>
      <w:r w:rsidRPr="000F5B67">
        <w:rPr>
          <w:rFonts w:eastAsia="Times New Roman" w:cs="Times New Roman"/>
          <w:rtl/>
          <w:lang w:eastAsia="de-DE"/>
        </w:rPr>
        <w:t xml:space="preserve"> </w:t>
      </w:r>
      <w:r w:rsidRPr="000F5B67">
        <w:rPr>
          <w:rFonts w:eastAsia="Times New Roman" w:cs="Times New Roman"/>
          <w:lang w:eastAsia="de-DE"/>
        </w:rPr>
        <w:t xml:space="preserve">als technischer Begriff für Nichtpriester. </w:t>
      </w:r>
      <w:r w:rsidRPr="000F5B67">
        <w:rPr>
          <w:rFonts w:eastAsia="Times New Roman" w:cs="Times New Roman"/>
          <w:b/>
          <w:bCs/>
          <w:rtl/>
          <w:lang w:eastAsia="de-DE"/>
        </w:rPr>
        <w:t>תושב כהן</w:t>
      </w:r>
      <w:r w:rsidRPr="000F5B67">
        <w:rPr>
          <w:rFonts w:eastAsia="Times New Roman" w:cs="Times New Roman"/>
          <w:rtl/>
          <w:lang w:eastAsia="de-DE"/>
        </w:rPr>
        <w:t xml:space="preserve"> </w:t>
      </w:r>
      <w:r w:rsidRPr="000F5B67">
        <w:rPr>
          <w:rFonts w:eastAsia="Times New Roman" w:cs="Times New Roman"/>
          <w:lang w:eastAsia="de-DE"/>
        </w:rPr>
        <w:t xml:space="preserve">und </w:t>
      </w:r>
      <w:r w:rsidRPr="000F5B67">
        <w:rPr>
          <w:rFonts w:eastAsia="Times New Roman" w:cs="Times New Roman"/>
          <w:b/>
          <w:bCs/>
          <w:rtl/>
          <w:lang w:eastAsia="de-DE"/>
        </w:rPr>
        <w:t>שכיר</w:t>
      </w:r>
      <w:r w:rsidRPr="000F5B67">
        <w:rPr>
          <w:rFonts w:eastAsia="Times New Roman" w:cs="Times New Roman"/>
          <w:rtl/>
          <w:lang w:eastAsia="de-DE"/>
        </w:rPr>
        <w:t xml:space="preserve"> </w:t>
      </w:r>
      <w:r w:rsidRPr="000F5B67">
        <w:rPr>
          <w:rFonts w:eastAsia="Times New Roman" w:cs="Times New Roman"/>
          <w:lang w:eastAsia="de-DE"/>
        </w:rPr>
        <w:t xml:space="preserve">als Personen in priesterlichem Umfeld, aber ohne Priesterrecht. Die Wiederholung </w:t>
      </w:r>
      <w:r w:rsidRPr="000F5B67">
        <w:rPr>
          <w:rFonts w:eastAsia="Times New Roman" w:cs="Times New Roman"/>
          <w:b/>
          <w:bCs/>
          <w:rtl/>
          <w:lang w:eastAsia="de-DE"/>
        </w:rPr>
        <w:t>לא־יאכל קדש</w:t>
      </w:r>
      <w:r w:rsidRPr="000F5B67">
        <w:rPr>
          <w:rFonts w:eastAsia="Times New Roman" w:cs="Times New Roman"/>
          <w:rtl/>
          <w:lang w:eastAsia="de-DE"/>
        </w:rPr>
        <w:t xml:space="preserve"> </w:t>
      </w:r>
      <w:r w:rsidRPr="000F5B67">
        <w:rPr>
          <w:rFonts w:eastAsia="Times New Roman" w:cs="Times New Roman"/>
          <w:lang w:eastAsia="de-DE"/>
        </w:rPr>
        <w:t>betont das absolute Verbot.</w:t>
      </w:r>
    </w:p>
    <w:p w14:paraId="7B7FB834" w14:textId="594A2D9B"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זר</w:t>
      </w:r>
      <w:r w:rsidR="0007678B">
        <w:t xml:space="preserve"> (</w:t>
      </w:r>
      <w:proofErr w:type="spellStart"/>
      <w:r w:rsidR="0007678B">
        <w:t>zar</w:t>
      </w:r>
      <w:proofErr w:type="spellEnd"/>
      <w:r w:rsidR="0007678B">
        <w:t xml:space="preserve"> - "Fremder") als </w:t>
      </w:r>
      <w:proofErr w:type="spellStart"/>
      <w:r w:rsidR="0007678B">
        <w:t>ἀλλογενής</w:t>
      </w:r>
      <w:proofErr w:type="spellEnd"/>
      <w:r w:rsidR="0007678B">
        <w:t xml:space="preserve"> (Fremdstämmiger), was eine ethnische Kategorisierung betont.</w:t>
      </w:r>
    </w:p>
    <w:p w14:paraId="6DCAA44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Nichtpriester-Essverbote: universelles Unbefugten-Verbot + zwei spezifische Kategorien + wiederholtes Heiligen-Essverbot.</w:t>
      </w:r>
    </w:p>
    <w:p w14:paraId="120D9F6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verbietet allen Nichtpriestern den Verzehr heiliger Speisen, auch denen im priesterlichen Umfeld.</w:t>
      </w:r>
    </w:p>
    <w:p w14:paraId="455FC966"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22,11</w:t>
      </w:r>
    </w:p>
    <w:p w14:paraId="06BE267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וְכֹהֵ֗ן כִּֽי־יִקְנֶ֥ה נֶ֨פֶשׁ֙ קִנְיַ֣ן כַּסְפֹּ֔ו ה֖וּא יֹ֣אכַל בּוֹ֑ וִילִ֣יד בֵּיתֹ֔ו הֵ֖ם יֹאכְל֥וּ בְלַחְמֹֽו׃</w:t>
      </w:r>
    </w:p>
    <w:p w14:paraId="47D6B05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Wenn aber ein Priester eine Person für Geld erwirbt, so darf diese davon essen; und seine im Haus Geborenen, sie dürfen von seinem Brot essen.</w:t>
      </w:r>
    </w:p>
    <w:p w14:paraId="123714C1"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591A4A26">
          <v:rect id="_x0000_i1659" style="width:0;height:1.5pt" o:hralign="center" o:hrstd="t" o:hr="t" fillcolor="#a0a0a0" stroked="f"/>
        </w:pict>
      </w:r>
    </w:p>
    <w:p w14:paraId="6623F73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וכהן כי־יקנה נפש קנין כספו הוא יאכל בו וילד ביתו הם יאכלו בלחמו</w:t>
      </w:r>
      <w:r w:rsidRPr="000F5B67">
        <w:rPr>
          <w:rFonts w:eastAsia="Times New Roman" w:cs="Times New Roman"/>
          <w:rtl/>
          <w:lang w:eastAsia="de-DE"/>
        </w:rPr>
        <w:t xml:space="preserve"> </w:t>
      </w:r>
      <w:r w:rsidRPr="000F5B67">
        <w:rPr>
          <w:rFonts w:eastAsia="Times New Roman" w:cs="Times New Roman"/>
          <w:lang w:eastAsia="de-DE"/>
        </w:rPr>
        <w:t xml:space="preserve">zeigt Ausnahmen vom Verbot für priesterlichen Besitz. </w:t>
      </w:r>
      <w:r w:rsidRPr="000F5B67">
        <w:rPr>
          <w:rFonts w:eastAsia="Times New Roman" w:cs="Times New Roman"/>
          <w:b/>
          <w:bCs/>
          <w:rtl/>
          <w:lang w:eastAsia="de-DE"/>
        </w:rPr>
        <w:t>וכהן כי־יקנה נפש קנין כספו</w:t>
      </w:r>
      <w:r w:rsidRPr="000F5B67">
        <w:rPr>
          <w:rFonts w:eastAsia="Times New Roman" w:cs="Times New Roman"/>
          <w:rtl/>
          <w:lang w:eastAsia="de-DE"/>
        </w:rPr>
        <w:t xml:space="preserve"> </w:t>
      </w:r>
      <w:r w:rsidRPr="000F5B67">
        <w:rPr>
          <w:rFonts w:eastAsia="Times New Roman" w:cs="Times New Roman"/>
          <w:lang w:eastAsia="de-DE"/>
        </w:rPr>
        <w:t xml:space="preserve">(wenn aber ein Priester eine Person für Geld erwirbt) - </w:t>
      </w:r>
      <w:r w:rsidRPr="000F5B67">
        <w:rPr>
          <w:rFonts w:eastAsia="Times New Roman" w:cs="Times New Roman"/>
          <w:b/>
          <w:bCs/>
          <w:rtl/>
          <w:lang w:eastAsia="de-DE"/>
        </w:rPr>
        <w:t>כי־יקנה</w:t>
      </w:r>
      <w:r w:rsidRPr="000F5B67">
        <w:rPr>
          <w:rFonts w:eastAsia="Times New Roman" w:cs="Times New Roman"/>
          <w:rtl/>
          <w:lang w:eastAsia="de-DE"/>
        </w:rPr>
        <w:t xml:space="preserve"> </w:t>
      </w:r>
      <w:r w:rsidRPr="000F5B67">
        <w:rPr>
          <w:rFonts w:eastAsia="Times New Roman" w:cs="Times New Roman"/>
          <w:lang w:eastAsia="de-DE"/>
        </w:rPr>
        <w:t xml:space="preserve">(wenn er erwirbt) im Qal-Imperfekt. </w:t>
      </w:r>
      <w:r w:rsidRPr="000F5B67">
        <w:rPr>
          <w:rFonts w:eastAsia="Times New Roman" w:cs="Times New Roman"/>
          <w:b/>
          <w:bCs/>
          <w:rtl/>
          <w:lang w:eastAsia="de-DE"/>
        </w:rPr>
        <w:t>נפש</w:t>
      </w:r>
      <w:r w:rsidRPr="000F5B67">
        <w:rPr>
          <w:rFonts w:eastAsia="Times New Roman" w:cs="Times New Roman"/>
          <w:rtl/>
          <w:lang w:eastAsia="de-DE"/>
        </w:rPr>
        <w:t xml:space="preserve"> </w:t>
      </w:r>
      <w:r w:rsidRPr="000F5B67">
        <w:rPr>
          <w:rFonts w:eastAsia="Times New Roman" w:cs="Times New Roman"/>
          <w:lang w:eastAsia="de-DE"/>
        </w:rPr>
        <w:t xml:space="preserve">(Person) zeigt Sklaven. </w:t>
      </w:r>
      <w:r w:rsidRPr="000F5B67">
        <w:rPr>
          <w:rFonts w:eastAsia="Times New Roman" w:cs="Times New Roman"/>
          <w:b/>
          <w:bCs/>
          <w:rtl/>
          <w:lang w:eastAsia="de-DE"/>
        </w:rPr>
        <w:t>קנין כספו</w:t>
      </w:r>
      <w:r w:rsidRPr="000F5B67">
        <w:rPr>
          <w:rFonts w:eastAsia="Times New Roman" w:cs="Times New Roman"/>
          <w:rtl/>
          <w:lang w:eastAsia="de-DE"/>
        </w:rPr>
        <w:t xml:space="preserve"> </w:t>
      </w:r>
      <w:r w:rsidRPr="000F5B67">
        <w:rPr>
          <w:rFonts w:eastAsia="Times New Roman" w:cs="Times New Roman"/>
          <w:lang w:eastAsia="de-DE"/>
        </w:rPr>
        <w:t>(Erwerb seines Geldes) zeigt Kaufsklaven.</w:t>
      </w:r>
    </w:p>
    <w:p w14:paraId="0CD007A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הוא יאכל בו</w:t>
      </w:r>
      <w:r w:rsidRPr="000F5B67">
        <w:rPr>
          <w:rFonts w:eastAsia="Times New Roman" w:cs="Times New Roman"/>
          <w:rtl/>
          <w:lang w:eastAsia="de-DE"/>
        </w:rPr>
        <w:t xml:space="preserve"> </w:t>
      </w:r>
      <w:r w:rsidRPr="000F5B67">
        <w:rPr>
          <w:rFonts w:eastAsia="Times New Roman" w:cs="Times New Roman"/>
          <w:lang w:eastAsia="de-DE"/>
        </w:rPr>
        <w:t xml:space="preserve">(so darf diese davon essen) - </w:t>
      </w:r>
      <w:r w:rsidRPr="000F5B67">
        <w:rPr>
          <w:rFonts w:eastAsia="Times New Roman" w:cs="Times New Roman"/>
          <w:b/>
          <w:bCs/>
          <w:rtl/>
          <w:lang w:eastAsia="de-DE"/>
        </w:rPr>
        <w:t>הוא</w:t>
      </w:r>
      <w:r w:rsidRPr="000F5B67">
        <w:rPr>
          <w:rFonts w:eastAsia="Times New Roman" w:cs="Times New Roman"/>
          <w:rtl/>
          <w:lang w:eastAsia="de-DE"/>
        </w:rPr>
        <w:t xml:space="preserve"> </w:t>
      </w:r>
      <w:r w:rsidRPr="000F5B67">
        <w:rPr>
          <w:rFonts w:eastAsia="Times New Roman" w:cs="Times New Roman"/>
          <w:lang w:eastAsia="de-DE"/>
        </w:rPr>
        <w:t xml:space="preserve">bezieht sich auf den erworbenen Sklaven. </w:t>
      </w:r>
      <w:r w:rsidRPr="000F5B67">
        <w:rPr>
          <w:rFonts w:eastAsia="Times New Roman" w:cs="Times New Roman"/>
          <w:b/>
          <w:bCs/>
          <w:rtl/>
          <w:lang w:eastAsia="de-DE"/>
        </w:rPr>
        <w:t>יאכל בו</w:t>
      </w:r>
      <w:r w:rsidRPr="000F5B67">
        <w:rPr>
          <w:rFonts w:eastAsia="Times New Roman" w:cs="Times New Roman"/>
          <w:rtl/>
          <w:lang w:eastAsia="de-DE"/>
        </w:rPr>
        <w:t xml:space="preserve"> </w:t>
      </w:r>
      <w:r w:rsidRPr="000F5B67">
        <w:rPr>
          <w:rFonts w:eastAsia="Times New Roman" w:cs="Times New Roman"/>
          <w:lang w:eastAsia="de-DE"/>
        </w:rPr>
        <w:t>(darf davon essen) zeigt Esserlaubnis.</w:t>
      </w:r>
    </w:p>
    <w:p w14:paraId="23C218C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וילד ביתו הם יאכלו בלחמו</w:t>
      </w:r>
      <w:r w:rsidRPr="000F5B67">
        <w:rPr>
          <w:rFonts w:eastAsia="Times New Roman" w:cs="Times New Roman"/>
          <w:rtl/>
          <w:lang w:eastAsia="de-DE"/>
        </w:rPr>
        <w:t xml:space="preserve"> </w:t>
      </w:r>
      <w:r w:rsidRPr="000F5B67">
        <w:rPr>
          <w:rFonts w:eastAsia="Times New Roman" w:cs="Times New Roman"/>
          <w:lang w:eastAsia="de-DE"/>
        </w:rPr>
        <w:t xml:space="preserve">(und seine im Haus Geborenen, sie dürfen von seinem Brot essen) - </w:t>
      </w:r>
      <w:r w:rsidRPr="000F5B67">
        <w:rPr>
          <w:rFonts w:eastAsia="Times New Roman" w:cs="Times New Roman"/>
          <w:b/>
          <w:bCs/>
          <w:rtl/>
          <w:lang w:eastAsia="de-DE"/>
        </w:rPr>
        <w:t>ילד ביתו</w:t>
      </w:r>
      <w:r w:rsidRPr="000F5B67">
        <w:rPr>
          <w:rFonts w:eastAsia="Times New Roman" w:cs="Times New Roman"/>
          <w:rtl/>
          <w:lang w:eastAsia="de-DE"/>
        </w:rPr>
        <w:t xml:space="preserve"> </w:t>
      </w:r>
      <w:r w:rsidRPr="000F5B67">
        <w:rPr>
          <w:rFonts w:eastAsia="Times New Roman" w:cs="Times New Roman"/>
          <w:lang w:eastAsia="de-DE"/>
        </w:rPr>
        <w:t xml:space="preserve">(im Haus Geborene) zeigt Haussklaven. </w:t>
      </w:r>
      <w:r w:rsidRPr="000F5B67">
        <w:rPr>
          <w:rFonts w:eastAsia="Times New Roman" w:cs="Times New Roman"/>
          <w:b/>
          <w:bCs/>
          <w:rtl/>
          <w:lang w:eastAsia="de-DE"/>
        </w:rPr>
        <w:t>הם יאכלו בלחמו</w:t>
      </w:r>
      <w:r w:rsidRPr="000F5B67">
        <w:rPr>
          <w:rFonts w:eastAsia="Times New Roman" w:cs="Times New Roman"/>
          <w:rtl/>
          <w:lang w:eastAsia="de-DE"/>
        </w:rPr>
        <w:t xml:space="preserve"> </w:t>
      </w:r>
      <w:r w:rsidRPr="000F5B67">
        <w:rPr>
          <w:rFonts w:eastAsia="Times New Roman" w:cs="Times New Roman"/>
          <w:lang w:eastAsia="de-DE"/>
        </w:rPr>
        <w:t xml:space="preserve">(sie dürfen von seinem Brot essen) - </w:t>
      </w:r>
      <w:r w:rsidRPr="000F5B67">
        <w:rPr>
          <w:rFonts w:eastAsia="Times New Roman" w:cs="Times New Roman"/>
          <w:b/>
          <w:bCs/>
          <w:rtl/>
          <w:lang w:eastAsia="de-DE"/>
        </w:rPr>
        <w:t>לחמו</w:t>
      </w:r>
      <w:r w:rsidRPr="000F5B67">
        <w:rPr>
          <w:rFonts w:eastAsia="Times New Roman" w:cs="Times New Roman"/>
          <w:rtl/>
          <w:lang w:eastAsia="de-DE"/>
        </w:rPr>
        <w:t xml:space="preserve"> </w:t>
      </w:r>
      <w:r w:rsidRPr="000F5B67">
        <w:rPr>
          <w:rFonts w:eastAsia="Times New Roman" w:cs="Times New Roman"/>
          <w:lang w:eastAsia="de-DE"/>
        </w:rPr>
        <w:t>(seinem Brot) entspricht den heiligen Speisen.</w:t>
      </w:r>
    </w:p>
    <w:p w14:paraId="683DBAA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נפש קנין כספו</w:t>
      </w:r>
      <w:r w:rsidRPr="000F5B67">
        <w:rPr>
          <w:rFonts w:eastAsia="Times New Roman" w:cs="Times New Roman"/>
          <w:rtl/>
          <w:lang w:eastAsia="de-DE"/>
        </w:rPr>
        <w:t xml:space="preserve"> </w:t>
      </w:r>
      <w:r w:rsidRPr="000F5B67">
        <w:rPr>
          <w:rFonts w:eastAsia="Times New Roman" w:cs="Times New Roman"/>
          <w:lang w:eastAsia="de-DE"/>
        </w:rPr>
        <w:t xml:space="preserve">zeigt Kaufsklaven als priesterlichen Vollbesitz. </w:t>
      </w:r>
      <w:r w:rsidRPr="000F5B67">
        <w:rPr>
          <w:rFonts w:eastAsia="Times New Roman" w:cs="Times New Roman"/>
          <w:b/>
          <w:bCs/>
          <w:rtl/>
          <w:lang w:eastAsia="de-DE"/>
        </w:rPr>
        <w:t>ילד ביתו</w:t>
      </w:r>
      <w:r w:rsidRPr="000F5B67">
        <w:rPr>
          <w:rFonts w:eastAsia="Times New Roman" w:cs="Times New Roman"/>
          <w:rtl/>
          <w:lang w:eastAsia="de-DE"/>
        </w:rPr>
        <w:t xml:space="preserve"> </w:t>
      </w:r>
      <w:r w:rsidRPr="000F5B67">
        <w:rPr>
          <w:rFonts w:eastAsia="Times New Roman" w:cs="Times New Roman"/>
          <w:lang w:eastAsia="de-DE"/>
        </w:rPr>
        <w:t>zeigt Geburtssklaven. Beide gehören zum priesterlichen Hausstand und dürfen teilhaben.</w:t>
      </w:r>
    </w:p>
    <w:p w14:paraId="232F48A7" w14:textId="342F2A7C"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קנין כספו</w:t>
      </w:r>
      <w:r w:rsidR="0007678B">
        <w:t xml:space="preserve"> (</w:t>
      </w:r>
      <w:proofErr w:type="spellStart"/>
      <w:r w:rsidR="0007678B">
        <w:t>qinyan</w:t>
      </w:r>
      <w:proofErr w:type="spellEnd"/>
      <w:r w:rsidR="0007678B">
        <w:t xml:space="preserve"> </w:t>
      </w:r>
      <w:proofErr w:type="spellStart"/>
      <w:r w:rsidR="0007678B">
        <w:t>kaspo</w:t>
      </w:r>
      <w:proofErr w:type="spellEnd"/>
      <w:r w:rsidR="0007678B">
        <w:t xml:space="preserve"> - "Kauf seines Geldes") als </w:t>
      </w:r>
      <w:proofErr w:type="spellStart"/>
      <w:r w:rsidR="0007678B">
        <w:t>ἔγκτητον</w:t>
      </w:r>
      <w:proofErr w:type="spellEnd"/>
      <w:r w:rsidR="0007678B">
        <w:t xml:space="preserve"> </w:t>
      </w:r>
      <w:proofErr w:type="spellStart"/>
      <w:r w:rsidR="0007678B">
        <w:t>ἀργυρίου</w:t>
      </w:r>
      <w:proofErr w:type="spellEnd"/>
      <w:r w:rsidR="0007678B">
        <w:t xml:space="preserve"> (Besitz für Silber) und </w:t>
      </w:r>
      <w:r w:rsidR="0007678B">
        <w:rPr>
          <w:rtl/>
        </w:rPr>
        <w:t>וילד ביתו</w:t>
      </w:r>
      <w:r w:rsidR="0007678B">
        <w:t xml:space="preserve"> (</w:t>
      </w:r>
      <w:proofErr w:type="spellStart"/>
      <w:r w:rsidR="0007678B">
        <w:t>wiylid</w:t>
      </w:r>
      <w:proofErr w:type="spellEnd"/>
      <w:r w:rsidR="0007678B">
        <w:t xml:space="preserve"> </w:t>
      </w:r>
      <w:proofErr w:type="spellStart"/>
      <w:r w:rsidR="0007678B">
        <w:t>beito</w:t>
      </w:r>
      <w:proofErr w:type="spellEnd"/>
      <w:r w:rsidR="0007678B">
        <w:t xml:space="preserve"> - "Hausgeborene") als </w:t>
      </w:r>
      <w:proofErr w:type="spellStart"/>
      <w:r w:rsidR="0007678B">
        <w:t>οἱ</w:t>
      </w:r>
      <w:proofErr w:type="spellEnd"/>
      <w:r w:rsidR="0007678B">
        <w:t xml:space="preserve"> </w:t>
      </w:r>
      <w:proofErr w:type="spellStart"/>
      <w:r w:rsidR="0007678B">
        <w:t>οἰκογενεῖς</w:t>
      </w:r>
      <w:proofErr w:type="spellEnd"/>
      <w:r w:rsidR="0007678B">
        <w:t xml:space="preserve"> α</w:t>
      </w:r>
      <w:proofErr w:type="spellStart"/>
      <w:r w:rsidR="0007678B">
        <w:t>ὐτοῦ</w:t>
      </w:r>
      <w:proofErr w:type="spellEnd"/>
      <w:r w:rsidR="0007678B">
        <w:t xml:space="preserve"> (seine Hausgenossen).</w:t>
      </w:r>
    </w:p>
    <w:p w14:paraId="6803054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Sklavenausnahmen: Priester-Sklavenerwerb + Esserlaubnis für Kaufsklaven + Hausgeborene + Brot-Teilhabe.</w:t>
      </w:r>
    </w:p>
    <w:p w14:paraId="56EE9A7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erlaubt Sklaven im priesterlichen Besitz den Verzehr heiliger Speisen als Teil des Hausstandes.</w:t>
      </w:r>
    </w:p>
    <w:p w14:paraId="1AA86BA6"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22,12</w:t>
      </w:r>
    </w:p>
    <w:p w14:paraId="4A367D6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וּבַת־כֹּהֵ֔ן כִּ֥י תִהְיֶ֖ה לְאִ֣ישׁ זָ֑ר הִ֕וא בִּתְרוּמַ֥ת הַקֳּדָשִׁ֖ים לֹ֥א תֹאכֵֽל׃</w:t>
      </w:r>
    </w:p>
    <w:p w14:paraId="277661F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wenn die Tochter eines Priesters einen fremden Mann heiratet, so darf sie nicht von den Hebeopfern der heiligen Gaben essen.</w:t>
      </w:r>
    </w:p>
    <w:p w14:paraId="03991062"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609B6ADF">
          <v:rect id="_x0000_i1660" style="width:0;height:1.5pt" o:hralign="center" o:hrstd="t" o:hr="t" fillcolor="#a0a0a0" stroked="f"/>
        </w:pict>
      </w:r>
    </w:p>
    <w:p w14:paraId="2216364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ובת־כהן כי תהיה לאיש זר הוא בתרומת הקדשים לא תאכל</w:t>
      </w:r>
      <w:r w:rsidRPr="000F5B67">
        <w:rPr>
          <w:rFonts w:eastAsia="Times New Roman" w:cs="Times New Roman"/>
          <w:rtl/>
          <w:lang w:eastAsia="de-DE"/>
        </w:rPr>
        <w:t xml:space="preserve"> </w:t>
      </w:r>
      <w:r w:rsidRPr="000F5B67">
        <w:rPr>
          <w:rFonts w:eastAsia="Times New Roman" w:cs="Times New Roman"/>
          <w:lang w:eastAsia="de-DE"/>
        </w:rPr>
        <w:t xml:space="preserve">zeigt den Verlust priesterlicher Rechte durch Heirat. </w:t>
      </w:r>
      <w:r w:rsidRPr="000F5B67">
        <w:rPr>
          <w:rFonts w:eastAsia="Times New Roman" w:cs="Times New Roman"/>
          <w:b/>
          <w:bCs/>
          <w:rtl/>
          <w:lang w:eastAsia="de-DE"/>
        </w:rPr>
        <w:t>ובת־כהן כי תהיה לאיש זר</w:t>
      </w:r>
      <w:r w:rsidRPr="000F5B67">
        <w:rPr>
          <w:rFonts w:eastAsia="Times New Roman" w:cs="Times New Roman"/>
          <w:rtl/>
          <w:lang w:eastAsia="de-DE"/>
        </w:rPr>
        <w:t xml:space="preserve"> </w:t>
      </w:r>
      <w:r w:rsidRPr="000F5B67">
        <w:rPr>
          <w:rFonts w:eastAsia="Times New Roman" w:cs="Times New Roman"/>
          <w:lang w:eastAsia="de-DE"/>
        </w:rPr>
        <w:t xml:space="preserve">(und wenn die Tochter eines Priesters einen fremden Mann heiratet) - </w:t>
      </w:r>
      <w:r w:rsidRPr="000F5B67">
        <w:rPr>
          <w:rFonts w:eastAsia="Times New Roman" w:cs="Times New Roman"/>
          <w:b/>
          <w:bCs/>
          <w:rtl/>
          <w:lang w:eastAsia="de-DE"/>
        </w:rPr>
        <w:t>בת־כהן</w:t>
      </w:r>
      <w:r w:rsidRPr="000F5B67">
        <w:rPr>
          <w:rFonts w:eastAsia="Times New Roman" w:cs="Times New Roman"/>
          <w:rtl/>
          <w:lang w:eastAsia="de-DE"/>
        </w:rPr>
        <w:t xml:space="preserve"> </w:t>
      </w:r>
      <w:r w:rsidRPr="000F5B67">
        <w:rPr>
          <w:rFonts w:eastAsia="Times New Roman" w:cs="Times New Roman"/>
          <w:lang w:eastAsia="de-DE"/>
        </w:rPr>
        <w:t xml:space="preserve">(Tochter eines Priesters) zeigt priesterliche Abstammung. </w:t>
      </w:r>
      <w:r w:rsidRPr="000F5B67">
        <w:rPr>
          <w:rFonts w:eastAsia="Times New Roman" w:cs="Times New Roman"/>
          <w:b/>
          <w:bCs/>
          <w:rtl/>
          <w:lang w:eastAsia="de-DE"/>
        </w:rPr>
        <w:t>כי תהיה לאיש זר</w:t>
      </w:r>
      <w:r w:rsidRPr="000F5B67">
        <w:rPr>
          <w:rFonts w:eastAsia="Times New Roman" w:cs="Times New Roman"/>
          <w:rtl/>
          <w:lang w:eastAsia="de-DE"/>
        </w:rPr>
        <w:t xml:space="preserve"> </w:t>
      </w:r>
      <w:r w:rsidRPr="000F5B67">
        <w:rPr>
          <w:rFonts w:eastAsia="Times New Roman" w:cs="Times New Roman"/>
          <w:lang w:eastAsia="de-DE"/>
        </w:rPr>
        <w:t xml:space="preserve">(wenn sie einem fremden Mann gehört) - </w:t>
      </w:r>
      <w:r w:rsidRPr="000F5B67">
        <w:rPr>
          <w:rFonts w:eastAsia="Times New Roman" w:cs="Times New Roman"/>
          <w:b/>
          <w:bCs/>
          <w:rtl/>
          <w:lang w:eastAsia="de-DE"/>
        </w:rPr>
        <w:t>לאיש זר</w:t>
      </w:r>
      <w:r w:rsidRPr="000F5B67">
        <w:rPr>
          <w:rFonts w:eastAsia="Times New Roman" w:cs="Times New Roman"/>
          <w:rtl/>
          <w:lang w:eastAsia="de-DE"/>
        </w:rPr>
        <w:t xml:space="preserve"> </w:t>
      </w:r>
      <w:r w:rsidRPr="000F5B67">
        <w:rPr>
          <w:rFonts w:eastAsia="Times New Roman" w:cs="Times New Roman"/>
          <w:lang w:eastAsia="de-DE"/>
        </w:rPr>
        <w:t>(einem fremden Mann) zeigt Nichtpriester.</w:t>
      </w:r>
    </w:p>
    <w:p w14:paraId="492DF26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הוא בתרומת הקדשים לא תאכל</w:t>
      </w:r>
      <w:r w:rsidRPr="000F5B67">
        <w:rPr>
          <w:rFonts w:eastAsia="Times New Roman" w:cs="Times New Roman"/>
          <w:rtl/>
          <w:lang w:eastAsia="de-DE"/>
        </w:rPr>
        <w:t xml:space="preserve"> </w:t>
      </w:r>
      <w:r w:rsidRPr="000F5B67">
        <w:rPr>
          <w:rFonts w:eastAsia="Times New Roman" w:cs="Times New Roman"/>
          <w:lang w:eastAsia="de-DE"/>
        </w:rPr>
        <w:t xml:space="preserve">(so darf sie nicht von den Hebeopfern der heiligen Gaben essen) - </w:t>
      </w:r>
      <w:r w:rsidRPr="000F5B67">
        <w:rPr>
          <w:rFonts w:eastAsia="Times New Roman" w:cs="Times New Roman"/>
          <w:b/>
          <w:bCs/>
          <w:rtl/>
          <w:lang w:eastAsia="de-DE"/>
        </w:rPr>
        <w:t>הוא</w:t>
      </w:r>
      <w:r w:rsidRPr="000F5B67">
        <w:rPr>
          <w:rFonts w:eastAsia="Times New Roman" w:cs="Times New Roman"/>
          <w:rtl/>
          <w:lang w:eastAsia="de-DE"/>
        </w:rPr>
        <w:t xml:space="preserve"> </w:t>
      </w:r>
      <w:r w:rsidRPr="000F5B67">
        <w:rPr>
          <w:rFonts w:eastAsia="Times New Roman" w:cs="Times New Roman"/>
          <w:lang w:eastAsia="de-DE"/>
        </w:rPr>
        <w:t xml:space="preserve">(sie) mit Betonung. </w:t>
      </w:r>
      <w:r w:rsidRPr="000F5B67">
        <w:rPr>
          <w:rFonts w:eastAsia="Times New Roman" w:cs="Times New Roman"/>
          <w:b/>
          <w:bCs/>
          <w:rtl/>
          <w:lang w:eastAsia="de-DE"/>
        </w:rPr>
        <w:t>בתרומת הקדשים</w:t>
      </w:r>
      <w:r w:rsidRPr="000F5B67">
        <w:rPr>
          <w:rFonts w:eastAsia="Times New Roman" w:cs="Times New Roman"/>
          <w:rtl/>
          <w:lang w:eastAsia="de-DE"/>
        </w:rPr>
        <w:t xml:space="preserve"> </w:t>
      </w:r>
      <w:r w:rsidRPr="000F5B67">
        <w:rPr>
          <w:rFonts w:eastAsia="Times New Roman" w:cs="Times New Roman"/>
          <w:lang w:eastAsia="de-DE"/>
        </w:rPr>
        <w:t xml:space="preserve">(von den Hebeopfern der heiligen Gaben) zeigt spezifische Opferart. </w:t>
      </w:r>
      <w:r w:rsidRPr="000F5B67">
        <w:rPr>
          <w:rFonts w:eastAsia="Times New Roman" w:cs="Times New Roman"/>
          <w:b/>
          <w:bCs/>
          <w:rtl/>
          <w:lang w:eastAsia="de-DE"/>
        </w:rPr>
        <w:t>לא תאכל</w:t>
      </w:r>
      <w:r w:rsidRPr="000F5B67">
        <w:rPr>
          <w:rFonts w:eastAsia="Times New Roman" w:cs="Times New Roman"/>
          <w:rtl/>
          <w:lang w:eastAsia="de-DE"/>
        </w:rPr>
        <w:t xml:space="preserve"> </w:t>
      </w:r>
      <w:r w:rsidRPr="000F5B67">
        <w:rPr>
          <w:rFonts w:eastAsia="Times New Roman" w:cs="Times New Roman"/>
          <w:lang w:eastAsia="de-DE"/>
        </w:rPr>
        <w:t>(soll sie nicht essen) im Qal-Imperfekt.</w:t>
      </w:r>
    </w:p>
    <w:p w14:paraId="02B834E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בת־כהן</w:t>
      </w:r>
      <w:r w:rsidRPr="000F5B67">
        <w:rPr>
          <w:rFonts w:eastAsia="Times New Roman" w:cs="Times New Roman"/>
          <w:rtl/>
          <w:lang w:eastAsia="de-DE"/>
        </w:rPr>
        <w:t xml:space="preserve"> </w:t>
      </w:r>
      <w:r w:rsidRPr="000F5B67">
        <w:rPr>
          <w:rFonts w:eastAsia="Times New Roman" w:cs="Times New Roman"/>
          <w:lang w:eastAsia="de-DE"/>
        </w:rPr>
        <w:t xml:space="preserve">zeigt priesterliche Geburt als ursprünglich berechtigt. </w:t>
      </w:r>
      <w:r w:rsidRPr="000F5B67">
        <w:rPr>
          <w:rFonts w:eastAsia="Times New Roman" w:cs="Times New Roman"/>
          <w:b/>
          <w:bCs/>
          <w:rtl/>
          <w:lang w:eastAsia="de-DE"/>
        </w:rPr>
        <w:t>לאיש זר</w:t>
      </w:r>
      <w:r w:rsidRPr="000F5B67">
        <w:rPr>
          <w:rFonts w:eastAsia="Times New Roman" w:cs="Times New Roman"/>
          <w:rtl/>
          <w:lang w:eastAsia="de-DE"/>
        </w:rPr>
        <w:t xml:space="preserve"> </w:t>
      </w:r>
      <w:r w:rsidRPr="000F5B67">
        <w:rPr>
          <w:rFonts w:eastAsia="Times New Roman" w:cs="Times New Roman"/>
          <w:lang w:eastAsia="de-DE"/>
        </w:rPr>
        <w:t xml:space="preserve">zeigt Heirat außerhalb der Priesterschaft. </w:t>
      </w:r>
      <w:r w:rsidRPr="000F5B67">
        <w:rPr>
          <w:rFonts w:eastAsia="Times New Roman" w:cs="Times New Roman"/>
          <w:b/>
          <w:bCs/>
          <w:rtl/>
          <w:lang w:eastAsia="de-DE"/>
        </w:rPr>
        <w:t>תרומת הקדשים</w:t>
      </w:r>
      <w:r w:rsidRPr="000F5B67">
        <w:rPr>
          <w:rFonts w:eastAsia="Times New Roman" w:cs="Times New Roman"/>
          <w:rtl/>
          <w:lang w:eastAsia="de-DE"/>
        </w:rPr>
        <w:t xml:space="preserve"> </w:t>
      </w:r>
      <w:r w:rsidRPr="000F5B67">
        <w:rPr>
          <w:rFonts w:eastAsia="Times New Roman" w:cs="Times New Roman"/>
          <w:lang w:eastAsia="de-DE"/>
        </w:rPr>
        <w:t>als spezifische Opferkategorie zeigt, dass die Tochter ihre priesterlichen Essrechte verliert.</w:t>
      </w:r>
    </w:p>
    <w:p w14:paraId="6FD153B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בת־כהן</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θυγάτηρ</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ἱερέως</w:t>
      </w:r>
      <w:proofErr w:type="spellEnd"/>
      <w:r w:rsidRPr="000F5B67">
        <w:rPr>
          <w:rFonts w:eastAsia="Times New Roman" w:cs="Times New Roman"/>
          <w:lang w:eastAsia="de-DE"/>
        </w:rPr>
        <w:t xml:space="preserve"> (Tochter eines Priesters), </w:t>
      </w:r>
      <w:r w:rsidRPr="000F5B67">
        <w:rPr>
          <w:rFonts w:eastAsia="Times New Roman" w:cs="Times New Roman"/>
          <w:b/>
          <w:bCs/>
          <w:rtl/>
          <w:lang w:eastAsia="de-DE"/>
        </w:rPr>
        <w:t>לאיש זר</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ἀνδρὶ</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ἀλλογενεῖ</w:t>
      </w:r>
      <w:proofErr w:type="spellEnd"/>
      <w:r w:rsidRPr="000F5B67">
        <w:rPr>
          <w:rFonts w:eastAsia="Times New Roman" w:cs="Times New Roman"/>
          <w:lang w:eastAsia="de-DE"/>
        </w:rPr>
        <w:t xml:space="preserve"> (einem fremdstämmigen Mann), </w:t>
      </w:r>
      <w:r w:rsidRPr="000F5B67">
        <w:rPr>
          <w:rFonts w:eastAsia="Times New Roman" w:cs="Times New Roman"/>
          <w:b/>
          <w:bCs/>
          <w:rtl/>
          <w:lang w:eastAsia="de-DE"/>
        </w:rPr>
        <w:t>תרומת הקדשים</w:t>
      </w:r>
      <w:r w:rsidRPr="000F5B67">
        <w:rPr>
          <w:rFonts w:eastAsia="Times New Roman" w:cs="Times New Roman"/>
          <w:rtl/>
          <w:lang w:eastAsia="de-DE"/>
        </w:rPr>
        <w:t xml:space="preserve"> </w:t>
      </w:r>
      <w:r w:rsidRPr="000F5B67">
        <w:rPr>
          <w:rFonts w:eastAsia="Times New Roman" w:cs="Times New Roman"/>
          <w:lang w:eastAsia="de-DE"/>
        </w:rPr>
        <w:t>mit ἀπα</w:t>
      </w:r>
      <w:proofErr w:type="spellStart"/>
      <w:r w:rsidRPr="000F5B67">
        <w:rPr>
          <w:rFonts w:eastAsia="Times New Roman" w:cs="Times New Roman"/>
          <w:lang w:eastAsia="de-DE"/>
        </w:rPr>
        <w:t>ρχῶν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ἁγίων</w:t>
      </w:r>
      <w:proofErr w:type="spellEnd"/>
      <w:r w:rsidRPr="000F5B67">
        <w:rPr>
          <w:rFonts w:eastAsia="Times New Roman" w:cs="Times New Roman"/>
          <w:lang w:eastAsia="de-DE"/>
        </w:rPr>
        <w:t xml:space="preserve"> (Erstlingen der Heiligen) und </w:t>
      </w:r>
      <w:r w:rsidRPr="000F5B67">
        <w:rPr>
          <w:rFonts w:eastAsia="Times New Roman" w:cs="Times New Roman"/>
          <w:b/>
          <w:bCs/>
          <w:rtl/>
          <w:lang w:eastAsia="de-DE"/>
        </w:rPr>
        <w:t>לא תאכל</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οὐ</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φάγετ</w:t>
      </w:r>
      <w:proofErr w:type="spellEnd"/>
      <w:r w:rsidRPr="000F5B67">
        <w:rPr>
          <w:rFonts w:eastAsia="Times New Roman" w:cs="Times New Roman"/>
          <w:lang w:eastAsia="de-DE"/>
        </w:rPr>
        <w:t>αι (wird nicht essen).</w:t>
      </w:r>
    </w:p>
    <w:p w14:paraId="4C853AE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Rechtsverlust durch Heirat: Priestertochter + Heirat mit Nichtpriester + Verlust der Hebeopfer-Essrechte.</w:t>
      </w:r>
    </w:p>
    <w:p w14:paraId="2E31429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lastRenderedPageBreak/>
        <w:t>Dieser Vers zeigt, dass Priestertöchter durch Heirat mit Nichtpriestern ihre priesterlichen Essrechte verlieren.</w:t>
      </w:r>
    </w:p>
    <w:p w14:paraId="253E9C33"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22,13</w:t>
      </w:r>
    </w:p>
    <w:p w14:paraId="6DFB07D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וּבַת־כֹּהֵן֩ כִּ֨י תִהְיֶ֜ה אַלְמָנָ֣ה וּגְרוּשָׁ֗ה וְזֶרַע֮ אֵ֣ין לָהּ֒ וְשָׁבָ֞ה אֶל־בֵּ֤ית אָבִ֨יהָ֙ כִּנְעוּרֶ֔יהָ מִלֶּ֥חֶם אָבִ֖יהָ תֹּאכֵ֑ל וְכָל־זָ֖ר לֹא־יֹ֥אכַל בּוֹֽ׃</w:t>
      </w:r>
    </w:p>
    <w:p w14:paraId="5268057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Wenn aber die Tochter eines Priesters Witwe oder geschieden wird und keine Kinder hat und in das Haus ihres Vaters zurückkehrt, wie in ihrer Jugend, so darf sie von der Speise ihres Vaters essen. Aber kein Unbefugter darf davon essen.</w:t>
      </w:r>
    </w:p>
    <w:p w14:paraId="7BA58728"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70C4560">
          <v:rect id="_x0000_i1661" style="width:0;height:1.5pt" o:hralign="center" o:hrstd="t" o:hr="t" fillcolor="#a0a0a0" stroked="f"/>
        </w:pict>
      </w:r>
    </w:p>
    <w:p w14:paraId="183EF1D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ובת־כהן כי תהיה אלמנה וגרושה וזרע אין לה ושבה אל־בית אביה כנעוריה מלחם אביה תאכל וכל־זר לא־יאכל בו</w:t>
      </w:r>
      <w:r w:rsidRPr="000F5B67">
        <w:rPr>
          <w:rFonts w:eastAsia="Times New Roman" w:cs="Times New Roman"/>
          <w:rtl/>
          <w:lang w:eastAsia="de-DE"/>
        </w:rPr>
        <w:t xml:space="preserve"> </w:t>
      </w:r>
      <w:r w:rsidRPr="000F5B67">
        <w:rPr>
          <w:rFonts w:eastAsia="Times New Roman" w:cs="Times New Roman"/>
          <w:lang w:eastAsia="de-DE"/>
        </w:rPr>
        <w:t xml:space="preserve">zeigt die Wiederherstellung priesterlicher Rechte. </w:t>
      </w:r>
      <w:r w:rsidRPr="000F5B67">
        <w:rPr>
          <w:rFonts w:eastAsia="Times New Roman" w:cs="Times New Roman"/>
          <w:b/>
          <w:bCs/>
          <w:rtl/>
          <w:lang w:eastAsia="de-DE"/>
        </w:rPr>
        <w:t>ובת־כהן כי תהיה אלמנה וגרושה</w:t>
      </w:r>
      <w:r w:rsidRPr="000F5B67">
        <w:rPr>
          <w:rFonts w:eastAsia="Times New Roman" w:cs="Times New Roman"/>
          <w:rtl/>
          <w:lang w:eastAsia="de-DE"/>
        </w:rPr>
        <w:t xml:space="preserve"> </w:t>
      </w:r>
      <w:r w:rsidRPr="000F5B67">
        <w:rPr>
          <w:rFonts w:eastAsia="Times New Roman" w:cs="Times New Roman"/>
          <w:lang w:eastAsia="de-DE"/>
        </w:rPr>
        <w:t>(wenn aber die Tochter eines Priesters Witwe oder geschieden wird) zeigt zwei Situationen der Eheauflösung:</w:t>
      </w:r>
    </w:p>
    <w:p w14:paraId="41D04C39" w14:textId="77777777" w:rsidR="000F5B67" w:rsidRPr="000F5B67" w:rsidRDefault="000F5B67" w:rsidP="000F5B67">
      <w:pPr>
        <w:numPr>
          <w:ilvl w:val="0"/>
          <w:numId w:val="9"/>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אלמנה</w:t>
      </w:r>
      <w:r w:rsidRPr="000F5B67">
        <w:rPr>
          <w:rFonts w:eastAsia="Times New Roman" w:cs="Times New Roman"/>
          <w:rtl/>
          <w:lang w:eastAsia="de-DE"/>
        </w:rPr>
        <w:t xml:space="preserve"> </w:t>
      </w:r>
      <w:r w:rsidRPr="000F5B67">
        <w:rPr>
          <w:rFonts w:eastAsia="Times New Roman" w:cs="Times New Roman"/>
          <w:lang w:eastAsia="de-DE"/>
        </w:rPr>
        <w:t>(Witwe) durch Tod des Ehemanns</w:t>
      </w:r>
    </w:p>
    <w:p w14:paraId="6F090A5C" w14:textId="77777777" w:rsidR="000F5B67" w:rsidRPr="000F5B67" w:rsidRDefault="000F5B67" w:rsidP="000F5B67">
      <w:pPr>
        <w:numPr>
          <w:ilvl w:val="0"/>
          <w:numId w:val="9"/>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גרושה</w:t>
      </w:r>
      <w:r w:rsidRPr="000F5B67">
        <w:rPr>
          <w:rFonts w:eastAsia="Times New Roman" w:cs="Times New Roman"/>
          <w:rtl/>
          <w:lang w:eastAsia="de-DE"/>
        </w:rPr>
        <w:t xml:space="preserve"> </w:t>
      </w:r>
      <w:r w:rsidRPr="000F5B67">
        <w:rPr>
          <w:rFonts w:eastAsia="Times New Roman" w:cs="Times New Roman"/>
          <w:lang w:eastAsia="de-DE"/>
        </w:rPr>
        <w:t>(Geschiedene) durch Scheidung</w:t>
      </w:r>
    </w:p>
    <w:p w14:paraId="48DF5B9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וזרע אין לה</w:t>
      </w:r>
      <w:r w:rsidRPr="000F5B67">
        <w:rPr>
          <w:rFonts w:eastAsia="Times New Roman" w:cs="Times New Roman"/>
          <w:rtl/>
          <w:lang w:eastAsia="de-DE"/>
        </w:rPr>
        <w:t xml:space="preserve"> </w:t>
      </w:r>
      <w:r w:rsidRPr="000F5B67">
        <w:rPr>
          <w:rFonts w:eastAsia="Times New Roman" w:cs="Times New Roman"/>
          <w:lang w:eastAsia="de-DE"/>
        </w:rPr>
        <w:t xml:space="preserve">(und keine Kinder hat) - </w:t>
      </w:r>
      <w:r w:rsidRPr="000F5B67">
        <w:rPr>
          <w:rFonts w:eastAsia="Times New Roman" w:cs="Times New Roman"/>
          <w:b/>
          <w:bCs/>
          <w:rtl/>
          <w:lang w:eastAsia="de-DE"/>
        </w:rPr>
        <w:t>זרע אין לה</w:t>
      </w:r>
      <w:r w:rsidRPr="000F5B67">
        <w:rPr>
          <w:rFonts w:eastAsia="Times New Roman" w:cs="Times New Roman"/>
          <w:rtl/>
          <w:lang w:eastAsia="de-DE"/>
        </w:rPr>
        <w:t xml:space="preserve"> </w:t>
      </w:r>
      <w:r w:rsidRPr="000F5B67">
        <w:rPr>
          <w:rFonts w:eastAsia="Times New Roman" w:cs="Times New Roman"/>
          <w:lang w:eastAsia="de-DE"/>
        </w:rPr>
        <w:t xml:space="preserve">(Nachkommen sind nicht ihr) zeigt Kinderlosigkeit als Bedingung. </w:t>
      </w:r>
      <w:r w:rsidRPr="000F5B67">
        <w:rPr>
          <w:rFonts w:eastAsia="Times New Roman" w:cs="Times New Roman"/>
          <w:b/>
          <w:bCs/>
          <w:rtl/>
          <w:lang w:eastAsia="de-DE"/>
        </w:rPr>
        <w:t>ושבה אל־בית אביה כנעוריה</w:t>
      </w:r>
      <w:r w:rsidRPr="000F5B67">
        <w:rPr>
          <w:rFonts w:eastAsia="Times New Roman" w:cs="Times New Roman"/>
          <w:rtl/>
          <w:lang w:eastAsia="de-DE"/>
        </w:rPr>
        <w:t xml:space="preserve"> </w:t>
      </w:r>
      <w:r w:rsidRPr="000F5B67">
        <w:rPr>
          <w:rFonts w:eastAsia="Times New Roman" w:cs="Times New Roman"/>
          <w:lang w:eastAsia="de-DE"/>
        </w:rPr>
        <w:t xml:space="preserve">(und in das Haus ihres Vaters zurückkehrt, wie in ihrer Jugend) - </w:t>
      </w:r>
      <w:r w:rsidRPr="000F5B67">
        <w:rPr>
          <w:rFonts w:eastAsia="Times New Roman" w:cs="Times New Roman"/>
          <w:b/>
          <w:bCs/>
          <w:rtl/>
          <w:lang w:eastAsia="de-DE"/>
        </w:rPr>
        <w:t>שבה</w:t>
      </w:r>
      <w:r w:rsidRPr="000F5B67">
        <w:rPr>
          <w:rFonts w:eastAsia="Times New Roman" w:cs="Times New Roman"/>
          <w:rtl/>
          <w:lang w:eastAsia="de-DE"/>
        </w:rPr>
        <w:t xml:space="preserve"> </w:t>
      </w:r>
      <w:r w:rsidRPr="000F5B67">
        <w:rPr>
          <w:rFonts w:eastAsia="Times New Roman" w:cs="Times New Roman"/>
          <w:lang w:eastAsia="de-DE"/>
        </w:rPr>
        <w:t xml:space="preserve">(kehrt zurück) im Qal-Perfekt. </w:t>
      </w:r>
      <w:r w:rsidRPr="000F5B67">
        <w:rPr>
          <w:rFonts w:eastAsia="Times New Roman" w:cs="Times New Roman"/>
          <w:b/>
          <w:bCs/>
          <w:rtl/>
          <w:lang w:eastAsia="de-DE"/>
        </w:rPr>
        <w:t>כנעוריה</w:t>
      </w:r>
      <w:r w:rsidRPr="000F5B67">
        <w:rPr>
          <w:rFonts w:eastAsia="Times New Roman" w:cs="Times New Roman"/>
          <w:rtl/>
          <w:lang w:eastAsia="de-DE"/>
        </w:rPr>
        <w:t xml:space="preserve"> </w:t>
      </w:r>
      <w:r w:rsidRPr="000F5B67">
        <w:rPr>
          <w:rFonts w:eastAsia="Times New Roman" w:cs="Times New Roman"/>
          <w:lang w:eastAsia="de-DE"/>
        </w:rPr>
        <w:t>(wie in ihrer Jugend) zeigt Rückkehr zum ursprünglichen Status.</w:t>
      </w:r>
    </w:p>
    <w:p w14:paraId="3BC9868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מלחם אביה תאכל</w:t>
      </w:r>
      <w:r w:rsidRPr="000F5B67">
        <w:rPr>
          <w:rFonts w:eastAsia="Times New Roman" w:cs="Times New Roman"/>
          <w:rtl/>
          <w:lang w:eastAsia="de-DE"/>
        </w:rPr>
        <w:t xml:space="preserve"> </w:t>
      </w:r>
      <w:r w:rsidRPr="000F5B67">
        <w:rPr>
          <w:rFonts w:eastAsia="Times New Roman" w:cs="Times New Roman"/>
          <w:lang w:eastAsia="de-DE"/>
        </w:rPr>
        <w:t xml:space="preserve">(so darf sie von der Speise ihres Vaters essen) zeigt Wiederherstellung der Essrechte. </w:t>
      </w:r>
      <w:r w:rsidRPr="000F5B67">
        <w:rPr>
          <w:rFonts w:eastAsia="Times New Roman" w:cs="Times New Roman"/>
          <w:b/>
          <w:bCs/>
          <w:rtl/>
          <w:lang w:eastAsia="de-DE"/>
        </w:rPr>
        <w:t>וכל־זר לא־יאכל בו</w:t>
      </w:r>
      <w:r w:rsidRPr="000F5B67">
        <w:rPr>
          <w:rFonts w:eastAsia="Times New Roman" w:cs="Times New Roman"/>
          <w:rtl/>
          <w:lang w:eastAsia="de-DE"/>
        </w:rPr>
        <w:t xml:space="preserve"> </w:t>
      </w:r>
      <w:r w:rsidRPr="000F5B67">
        <w:rPr>
          <w:rFonts w:eastAsia="Times New Roman" w:cs="Times New Roman"/>
          <w:lang w:eastAsia="de-DE"/>
        </w:rPr>
        <w:t>(aber kein Unbefugter darf davon essen) wiederholt V. 10 und betont das allgemeine Verbot.</w:t>
      </w:r>
    </w:p>
    <w:p w14:paraId="3D3B88C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אלמנה וגרושה</w:t>
      </w:r>
      <w:r w:rsidRPr="000F5B67">
        <w:rPr>
          <w:rFonts w:eastAsia="Times New Roman" w:cs="Times New Roman"/>
          <w:rtl/>
          <w:lang w:eastAsia="de-DE"/>
        </w:rPr>
        <w:t xml:space="preserve"> </w:t>
      </w:r>
      <w:r w:rsidRPr="000F5B67">
        <w:rPr>
          <w:rFonts w:eastAsia="Times New Roman" w:cs="Times New Roman"/>
          <w:lang w:eastAsia="de-DE"/>
        </w:rPr>
        <w:t xml:space="preserve">als zwei Wege der Eheauflösung. </w:t>
      </w:r>
      <w:r w:rsidRPr="000F5B67">
        <w:rPr>
          <w:rFonts w:eastAsia="Times New Roman" w:cs="Times New Roman"/>
          <w:b/>
          <w:bCs/>
          <w:rtl/>
          <w:lang w:eastAsia="de-DE"/>
        </w:rPr>
        <w:t>וזרע אין לה</w:t>
      </w:r>
      <w:r w:rsidRPr="000F5B67">
        <w:rPr>
          <w:rFonts w:eastAsia="Times New Roman" w:cs="Times New Roman"/>
          <w:rtl/>
          <w:lang w:eastAsia="de-DE"/>
        </w:rPr>
        <w:t xml:space="preserve"> </w:t>
      </w:r>
      <w:r w:rsidRPr="000F5B67">
        <w:rPr>
          <w:rFonts w:eastAsia="Times New Roman" w:cs="Times New Roman"/>
          <w:lang w:eastAsia="de-DE"/>
        </w:rPr>
        <w:t xml:space="preserve">als entscheidende Bedingung - Kinder würden sie an den verstorbenen/geschiedenen Ehemann binden. </w:t>
      </w:r>
      <w:r w:rsidRPr="000F5B67">
        <w:rPr>
          <w:rFonts w:eastAsia="Times New Roman" w:cs="Times New Roman"/>
          <w:b/>
          <w:bCs/>
          <w:rtl/>
          <w:lang w:eastAsia="de-DE"/>
        </w:rPr>
        <w:t>כנעוריה</w:t>
      </w:r>
      <w:r w:rsidRPr="000F5B67">
        <w:rPr>
          <w:rFonts w:eastAsia="Times New Roman" w:cs="Times New Roman"/>
          <w:rtl/>
          <w:lang w:eastAsia="de-DE"/>
        </w:rPr>
        <w:t xml:space="preserve"> </w:t>
      </w:r>
      <w:r w:rsidRPr="000F5B67">
        <w:rPr>
          <w:rFonts w:eastAsia="Times New Roman" w:cs="Times New Roman"/>
          <w:lang w:eastAsia="de-DE"/>
        </w:rPr>
        <w:t>zeigt vollständige Statusrückkehr.</w:t>
      </w:r>
    </w:p>
    <w:p w14:paraId="2FFAB43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אלמנה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χήρ</w:t>
      </w:r>
      <w:proofErr w:type="spellEnd"/>
      <w:r w:rsidRPr="000F5B67">
        <w:rPr>
          <w:rFonts w:eastAsia="Times New Roman" w:cs="Times New Roman"/>
          <w:lang w:eastAsia="de-DE"/>
        </w:rPr>
        <w:t xml:space="preserve">α (Witwe), </w:t>
      </w:r>
      <w:r w:rsidRPr="000F5B67">
        <w:rPr>
          <w:rFonts w:eastAsia="Times New Roman" w:cs="Times New Roman"/>
          <w:b/>
          <w:bCs/>
          <w:rtl/>
          <w:lang w:eastAsia="de-DE"/>
        </w:rPr>
        <w:t>גרושה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βεβλημένη (verstoßene), </w:t>
      </w:r>
      <w:r w:rsidRPr="000F5B67">
        <w:rPr>
          <w:rFonts w:eastAsia="Times New Roman" w:cs="Times New Roman"/>
          <w:b/>
          <w:bCs/>
          <w:rtl/>
          <w:lang w:eastAsia="de-DE"/>
        </w:rPr>
        <w:t>זרע אין לה</w:t>
      </w:r>
      <w:r w:rsidRPr="000F5B67">
        <w:rPr>
          <w:rFonts w:eastAsia="Times New Roman" w:cs="Times New Roman"/>
          <w:rtl/>
          <w:lang w:eastAsia="de-DE"/>
        </w:rPr>
        <w:t xml:space="preserve"> </w:t>
      </w:r>
      <w:r w:rsidRPr="000F5B67">
        <w:rPr>
          <w:rFonts w:eastAsia="Times New Roman" w:cs="Times New Roman"/>
          <w:lang w:eastAsia="de-DE"/>
        </w:rPr>
        <w:t>mit σπ</w:t>
      </w:r>
      <w:proofErr w:type="spellStart"/>
      <w:r w:rsidRPr="000F5B67">
        <w:rPr>
          <w:rFonts w:eastAsia="Times New Roman" w:cs="Times New Roman"/>
          <w:lang w:eastAsia="de-DE"/>
        </w:rPr>
        <w:t>έρμ</w:t>
      </w:r>
      <w:proofErr w:type="spellEnd"/>
      <w:r w:rsidRPr="000F5B67">
        <w:rPr>
          <w:rFonts w:eastAsia="Times New Roman" w:cs="Times New Roman"/>
          <w:lang w:eastAsia="de-DE"/>
        </w:rPr>
        <w:t xml:space="preserve">α </w:t>
      </w:r>
      <w:proofErr w:type="spellStart"/>
      <w:r w:rsidRPr="000F5B67">
        <w:rPr>
          <w:rFonts w:eastAsia="Times New Roman" w:cs="Times New Roman"/>
          <w:lang w:eastAsia="de-DE"/>
        </w:rPr>
        <w:t>μὴ</w:t>
      </w:r>
      <w:proofErr w:type="spellEnd"/>
      <w:r w:rsidRPr="000F5B67">
        <w:rPr>
          <w:rFonts w:eastAsia="Times New Roman" w:cs="Times New Roman"/>
          <w:lang w:eastAsia="de-DE"/>
        </w:rPr>
        <w:t xml:space="preserve"> ᾖ α</w:t>
      </w:r>
      <w:proofErr w:type="spellStart"/>
      <w:r w:rsidRPr="000F5B67">
        <w:rPr>
          <w:rFonts w:eastAsia="Times New Roman" w:cs="Times New Roman"/>
          <w:lang w:eastAsia="de-DE"/>
        </w:rPr>
        <w:t>ὐτῇ</w:t>
      </w:r>
      <w:proofErr w:type="spellEnd"/>
      <w:r w:rsidRPr="000F5B67">
        <w:rPr>
          <w:rFonts w:eastAsia="Times New Roman" w:cs="Times New Roman"/>
          <w:lang w:eastAsia="de-DE"/>
        </w:rPr>
        <w:t xml:space="preserve"> (Nachkommen seien nicht ihr), </w:t>
      </w:r>
      <w:r w:rsidRPr="000F5B67">
        <w:rPr>
          <w:rFonts w:eastAsia="Times New Roman" w:cs="Times New Roman"/>
          <w:b/>
          <w:bCs/>
          <w:rtl/>
          <w:lang w:eastAsia="de-DE"/>
        </w:rPr>
        <w:t>ושבה</w:t>
      </w:r>
      <w:r w:rsidRPr="000F5B67">
        <w:rPr>
          <w:rFonts w:eastAsia="Times New Roman" w:cs="Times New Roman"/>
          <w:rtl/>
          <w:lang w:eastAsia="de-DE"/>
        </w:rPr>
        <w:t xml:space="preserve"> </w:t>
      </w:r>
      <w:r w:rsidRPr="000F5B67">
        <w:rPr>
          <w:rFonts w:eastAsia="Times New Roman" w:cs="Times New Roman"/>
          <w:lang w:eastAsia="de-DE"/>
        </w:rPr>
        <w:t>mit ἐπ</w:t>
      </w:r>
      <w:proofErr w:type="spellStart"/>
      <w:r w:rsidRPr="000F5B67">
        <w:rPr>
          <w:rFonts w:eastAsia="Times New Roman" w:cs="Times New Roman"/>
          <w:lang w:eastAsia="de-DE"/>
        </w:rPr>
        <w:t>ιστρέψῃ</w:t>
      </w:r>
      <w:proofErr w:type="spellEnd"/>
      <w:r w:rsidRPr="000F5B67">
        <w:rPr>
          <w:rFonts w:eastAsia="Times New Roman" w:cs="Times New Roman"/>
          <w:lang w:eastAsia="de-DE"/>
        </w:rPr>
        <w:t xml:space="preserve"> (kehrt zurück) und </w:t>
      </w:r>
      <w:r w:rsidRPr="000F5B67">
        <w:rPr>
          <w:rFonts w:eastAsia="Times New Roman" w:cs="Times New Roman"/>
          <w:b/>
          <w:bCs/>
          <w:rtl/>
          <w:lang w:eastAsia="de-DE"/>
        </w:rPr>
        <w:t>כנעוריה</w:t>
      </w:r>
      <w:r w:rsidRPr="000F5B67">
        <w:rPr>
          <w:rFonts w:eastAsia="Times New Roman" w:cs="Times New Roman"/>
          <w:rtl/>
          <w:lang w:eastAsia="de-DE"/>
        </w:rPr>
        <w:t xml:space="preserve"> </w:t>
      </w:r>
      <w:r w:rsidRPr="000F5B67">
        <w:rPr>
          <w:rFonts w:eastAsia="Times New Roman" w:cs="Times New Roman"/>
          <w:lang w:eastAsia="de-DE"/>
        </w:rPr>
        <w:t>mit κα</w:t>
      </w:r>
      <w:proofErr w:type="spellStart"/>
      <w:r w:rsidRPr="000F5B67">
        <w:rPr>
          <w:rFonts w:eastAsia="Times New Roman" w:cs="Times New Roman"/>
          <w:lang w:eastAsia="de-DE"/>
        </w:rPr>
        <w:t>τὰ</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τὴν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νεότητ</w:t>
      </w:r>
      <w:proofErr w:type="spellEnd"/>
      <w:r w:rsidRPr="000F5B67">
        <w:rPr>
          <w:rFonts w:eastAsia="Times New Roman" w:cs="Times New Roman"/>
          <w:lang w:eastAsia="de-DE"/>
        </w:rPr>
        <w:t>α α</w:t>
      </w:r>
      <w:proofErr w:type="spellStart"/>
      <w:r w:rsidRPr="000F5B67">
        <w:rPr>
          <w:rFonts w:eastAsia="Times New Roman" w:cs="Times New Roman"/>
          <w:lang w:eastAsia="de-DE"/>
        </w:rPr>
        <w:t>ὐτῆς</w:t>
      </w:r>
      <w:proofErr w:type="spellEnd"/>
      <w:r w:rsidRPr="000F5B67">
        <w:rPr>
          <w:rFonts w:eastAsia="Times New Roman" w:cs="Times New Roman"/>
          <w:lang w:eastAsia="de-DE"/>
        </w:rPr>
        <w:t xml:space="preserve"> (gemäß ihrer Jugend).</w:t>
      </w:r>
    </w:p>
    <w:p w14:paraId="3FE0D39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Rechtswiederherstellung: Priestertochter + zwei Eheauflösungsarten + Kinderlosigkeitsbedingung + Rückkehr ins Vaterhaus + Jugendstatusvergleich + Essrechtswiederherstellung + Unbefugten-Verbot.</w:t>
      </w:r>
    </w:p>
    <w:p w14:paraId="2F21018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zeigt, dass kinderlose verwitwete oder geschiedene Priestertöchter ihre priesterlichen Essrechte durch Rückkehr ins Vaterhaus wiedererlangen.</w:t>
      </w:r>
    </w:p>
    <w:p w14:paraId="20442CBA"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22,14</w:t>
      </w:r>
    </w:p>
    <w:p w14:paraId="7274942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וְאִ֕ישׁ כִּֽי־יֹאכַ֥ל קֹ֖דֶשׁ בִּשְׁגָגָ֑ה וְיָסַ֤ף חֲמִֽשִׁיתוֹ֙ עָלָ֔יו וְנָתַ֥ן לַכֹּהֵ֖ן אֶת־הַקֹּֽדֶשׁ׃</w:t>
      </w:r>
    </w:p>
    <w:p w14:paraId="7D64083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Deutsch:</w:t>
      </w:r>
      <w:r w:rsidRPr="000F5B67">
        <w:rPr>
          <w:rFonts w:eastAsia="Times New Roman" w:cs="Times New Roman"/>
          <w:lang w:eastAsia="de-DE"/>
        </w:rPr>
        <w:t xml:space="preserve"> Und wenn jemand aus Versehen Heiliges isst, so soll er den fünften Teil hinzufügen und dem Priester das Heilige erstatten.</w:t>
      </w:r>
    </w:p>
    <w:p w14:paraId="019CDA04"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2CCE67F1">
          <v:rect id="_x0000_i1662" style="width:0;height:1.5pt" o:hralign="center" o:hrstd="t" o:hr="t" fillcolor="#a0a0a0" stroked="f"/>
        </w:pict>
      </w:r>
    </w:p>
    <w:p w14:paraId="7964747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ואיש כי־יאכל קדש בשגגה ויסף חמישיתו עליו ונתן לכהן את־הקדש</w:t>
      </w:r>
      <w:r w:rsidRPr="000F5B67">
        <w:rPr>
          <w:rFonts w:eastAsia="Times New Roman" w:cs="Times New Roman"/>
          <w:rtl/>
          <w:lang w:eastAsia="de-DE"/>
        </w:rPr>
        <w:t xml:space="preserve"> </w:t>
      </w:r>
      <w:r w:rsidRPr="000F5B67">
        <w:rPr>
          <w:rFonts w:eastAsia="Times New Roman" w:cs="Times New Roman"/>
          <w:lang w:eastAsia="de-DE"/>
        </w:rPr>
        <w:t xml:space="preserve">regelt unabsichtliche Übertretungen. </w:t>
      </w:r>
      <w:r w:rsidRPr="000F5B67">
        <w:rPr>
          <w:rFonts w:eastAsia="Times New Roman" w:cs="Times New Roman"/>
          <w:b/>
          <w:bCs/>
          <w:rtl/>
          <w:lang w:eastAsia="de-DE"/>
        </w:rPr>
        <w:t>ואיש כי־יאכל קדש בשגגה</w:t>
      </w:r>
      <w:r w:rsidRPr="000F5B67">
        <w:rPr>
          <w:rFonts w:eastAsia="Times New Roman" w:cs="Times New Roman"/>
          <w:rtl/>
          <w:lang w:eastAsia="de-DE"/>
        </w:rPr>
        <w:t xml:space="preserve"> </w:t>
      </w:r>
      <w:r w:rsidRPr="000F5B67">
        <w:rPr>
          <w:rFonts w:eastAsia="Times New Roman" w:cs="Times New Roman"/>
          <w:lang w:eastAsia="de-DE"/>
        </w:rPr>
        <w:t xml:space="preserve">(und wenn jemand aus Versehen Heiliges isst) - </w:t>
      </w:r>
      <w:r w:rsidRPr="000F5B67">
        <w:rPr>
          <w:rFonts w:eastAsia="Times New Roman" w:cs="Times New Roman"/>
          <w:b/>
          <w:bCs/>
          <w:rtl/>
          <w:lang w:eastAsia="de-DE"/>
        </w:rPr>
        <w:t>איש</w:t>
      </w:r>
      <w:r w:rsidRPr="000F5B67">
        <w:rPr>
          <w:rFonts w:eastAsia="Times New Roman" w:cs="Times New Roman"/>
          <w:rtl/>
          <w:lang w:eastAsia="de-DE"/>
        </w:rPr>
        <w:t xml:space="preserve"> </w:t>
      </w:r>
      <w:r w:rsidRPr="000F5B67">
        <w:rPr>
          <w:rFonts w:eastAsia="Times New Roman" w:cs="Times New Roman"/>
          <w:lang w:eastAsia="de-DE"/>
        </w:rPr>
        <w:t xml:space="preserve">(jemand) zeigt jeden Nichtpriester. </w:t>
      </w:r>
      <w:r w:rsidRPr="000F5B67">
        <w:rPr>
          <w:rFonts w:eastAsia="Times New Roman" w:cs="Times New Roman"/>
          <w:b/>
          <w:bCs/>
          <w:rtl/>
          <w:lang w:eastAsia="de-DE"/>
        </w:rPr>
        <w:t>יאכל קדש</w:t>
      </w:r>
      <w:r w:rsidRPr="000F5B67">
        <w:rPr>
          <w:rFonts w:eastAsia="Times New Roman" w:cs="Times New Roman"/>
          <w:rtl/>
          <w:lang w:eastAsia="de-DE"/>
        </w:rPr>
        <w:t xml:space="preserve"> </w:t>
      </w:r>
      <w:r w:rsidRPr="000F5B67">
        <w:rPr>
          <w:rFonts w:eastAsia="Times New Roman" w:cs="Times New Roman"/>
          <w:lang w:eastAsia="de-DE"/>
        </w:rPr>
        <w:t xml:space="preserve">(isst Heiliges) zeigt den Verstoß. </w:t>
      </w:r>
      <w:r w:rsidRPr="000F5B67">
        <w:rPr>
          <w:rFonts w:eastAsia="Times New Roman" w:cs="Times New Roman"/>
          <w:b/>
          <w:bCs/>
          <w:rtl/>
          <w:lang w:eastAsia="de-DE"/>
        </w:rPr>
        <w:t>בשגגה</w:t>
      </w:r>
      <w:r w:rsidRPr="000F5B67">
        <w:rPr>
          <w:rFonts w:eastAsia="Times New Roman" w:cs="Times New Roman"/>
          <w:rtl/>
          <w:lang w:eastAsia="de-DE"/>
        </w:rPr>
        <w:t xml:space="preserve"> </w:t>
      </w:r>
      <w:r w:rsidRPr="000F5B67">
        <w:rPr>
          <w:rFonts w:eastAsia="Times New Roman" w:cs="Times New Roman"/>
          <w:lang w:eastAsia="de-DE"/>
        </w:rPr>
        <w:t>(aus Versehen) zeigt Unabsichtlichkeit entsprechend Lev 4.</w:t>
      </w:r>
    </w:p>
    <w:p w14:paraId="1DD3D43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ויסף חמישיתו עליו</w:t>
      </w:r>
      <w:r w:rsidRPr="000F5B67">
        <w:rPr>
          <w:rFonts w:eastAsia="Times New Roman" w:cs="Times New Roman"/>
          <w:rtl/>
          <w:lang w:eastAsia="de-DE"/>
        </w:rPr>
        <w:t xml:space="preserve"> </w:t>
      </w:r>
      <w:r w:rsidRPr="000F5B67">
        <w:rPr>
          <w:rFonts w:eastAsia="Times New Roman" w:cs="Times New Roman"/>
          <w:lang w:eastAsia="de-DE"/>
        </w:rPr>
        <w:t xml:space="preserve">(so soll er den fünften Teil hinzufügen) - </w:t>
      </w:r>
      <w:r w:rsidRPr="000F5B67">
        <w:rPr>
          <w:rFonts w:eastAsia="Times New Roman" w:cs="Times New Roman"/>
          <w:b/>
          <w:bCs/>
          <w:rtl/>
          <w:lang w:eastAsia="de-DE"/>
        </w:rPr>
        <w:t>ויסף</w:t>
      </w:r>
      <w:r w:rsidRPr="000F5B67">
        <w:rPr>
          <w:rFonts w:eastAsia="Times New Roman" w:cs="Times New Roman"/>
          <w:rtl/>
          <w:lang w:eastAsia="de-DE"/>
        </w:rPr>
        <w:t xml:space="preserve"> </w:t>
      </w:r>
      <w:r w:rsidRPr="000F5B67">
        <w:rPr>
          <w:rFonts w:eastAsia="Times New Roman" w:cs="Times New Roman"/>
          <w:lang w:eastAsia="de-DE"/>
        </w:rPr>
        <w:t xml:space="preserve">(und er soll hinzufügen) im Hifil-Perfekt mit Waw-Konsekutiv, das Hifil zeigt kausatives Hinzufügen. </w:t>
      </w:r>
      <w:r w:rsidRPr="000F5B67">
        <w:rPr>
          <w:rFonts w:eastAsia="Times New Roman" w:cs="Times New Roman"/>
          <w:b/>
          <w:bCs/>
          <w:rtl/>
          <w:lang w:eastAsia="de-DE"/>
        </w:rPr>
        <w:t>חמישיתו עליו</w:t>
      </w:r>
      <w:r w:rsidRPr="000F5B67">
        <w:rPr>
          <w:rFonts w:eastAsia="Times New Roman" w:cs="Times New Roman"/>
          <w:rtl/>
          <w:lang w:eastAsia="de-DE"/>
        </w:rPr>
        <w:t xml:space="preserve"> </w:t>
      </w:r>
      <w:r w:rsidRPr="000F5B67">
        <w:rPr>
          <w:rFonts w:eastAsia="Times New Roman" w:cs="Times New Roman"/>
          <w:lang w:eastAsia="de-DE"/>
        </w:rPr>
        <w:t>(seinen fünften Teil darauf) zeigt 20% Zuschlag.</w:t>
      </w:r>
    </w:p>
    <w:p w14:paraId="62820E9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ונתן לכהן את־הקדש</w:t>
      </w:r>
      <w:r w:rsidRPr="000F5B67">
        <w:rPr>
          <w:rFonts w:eastAsia="Times New Roman" w:cs="Times New Roman"/>
          <w:rtl/>
          <w:lang w:eastAsia="de-DE"/>
        </w:rPr>
        <w:t xml:space="preserve"> </w:t>
      </w:r>
      <w:r w:rsidRPr="000F5B67">
        <w:rPr>
          <w:rFonts w:eastAsia="Times New Roman" w:cs="Times New Roman"/>
          <w:lang w:eastAsia="de-DE"/>
        </w:rPr>
        <w:t xml:space="preserve">(und dem Priester das Heilige erstatten) - </w:t>
      </w:r>
      <w:r w:rsidRPr="000F5B67">
        <w:rPr>
          <w:rFonts w:eastAsia="Times New Roman" w:cs="Times New Roman"/>
          <w:b/>
          <w:bCs/>
          <w:rtl/>
          <w:lang w:eastAsia="de-DE"/>
        </w:rPr>
        <w:t>ונתן</w:t>
      </w:r>
      <w:r w:rsidRPr="000F5B67">
        <w:rPr>
          <w:rFonts w:eastAsia="Times New Roman" w:cs="Times New Roman"/>
          <w:rtl/>
          <w:lang w:eastAsia="de-DE"/>
        </w:rPr>
        <w:t xml:space="preserve"> </w:t>
      </w:r>
      <w:r w:rsidRPr="000F5B67">
        <w:rPr>
          <w:rFonts w:eastAsia="Times New Roman" w:cs="Times New Roman"/>
          <w:lang w:eastAsia="de-DE"/>
        </w:rPr>
        <w:t xml:space="preserve">(und geben) im Qal-Perfekt mit Waw-Konsekutiv. </w:t>
      </w:r>
      <w:r w:rsidRPr="000F5B67">
        <w:rPr>
          <w:rFonts w:eastAsia="Times New Roman" w:cs="Times New Roman"/>
          <w:b/>
          <w:bCs/>
          <w:rtl/>
          <w:lang w:eastAsia="de-DE"/>
        </w:rPr>
        <w:t>לכהן את־הקדש</w:t>
      </w:r>
      <w:r w:rsidRPr="000F5B67">
        <w:rPr>
          <w:rFonts w:eastAsia="Times New Roman" w:cs="Times New Roman"/>
          <w:rtl/>
          <w:lang w:eastAsia="de-DE"/>
        </w:rPr>
        <w:t xml:space="preserve"> </w:t>
      </w:r>
      <w:r w:rsidRPr="000F5B67">
        <w:rPr>
          <w:rFonts w:eastAsia="Times New Roman" w:cs="Times New Roman"/>
          <w:lang w:eastAsia="de-DE"/>
        </w:rPr>
        <w:t>(dem Priester das Heilige) zeigt Erstattung an den rechtmäßigen Empfänger.</w:t>
      </w:r>
    </w:p>
    <w:p w14:paraId="327675F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בשגגה</w:t>
      </w:r>
      <w:r w:rsidRPr="000F5B67">
        <w:rPr>
          <w:rFonts w:eastAsia="Times New Roman" w:cs="Times New Roman"/>
          <w:rtl/>
          <w:lang w:eastAsia="de-DE"/>
        </w:rPr>
        <w:t xml:space="preserve"> </w:t>
      </w:r>
      <w:r w:rsidRPr="000F5B67">
        <w:rPr>
          <w:rFonts w:eastAsia="Times New Roman" w:cs="Times New Roman"/>
          <w:lang w:eastAsia="de-DE"/>
        </w:rPr>
        <w:t xml:space="preserve">zeigt Unabsichtlichkeit als mildernden Umstand. </w:t>
      </w:r>
      <w:r w:rsidRPr="000F5B67">
        <w:rPr>
          <w:rFonts w:eastAsia="Times New Roman" w:cs="Times New Roman"/>
          <w:b/>
          <w:bCs/>
          <w:rtl/>
          <w:lang w:eastAsia="de-DE"/>
        </w:rPr>
        <w:t>חמישיתו עליו</w:t>
      </w:r>
      <w:r w:rsidRPr="000F5B67">
        <w:rPr>
          <w:rFonts w:eastAsia="Times New Roman" w:cs="Times New Roman"/>
          <w:rtl/>
          <w:lang w:eastAsia="de-DE"/>
        </w:rPr>
        <w:t xml:space="preserve"> </w:t>
      </w:r>
      <w:r w:rsidRPr="000F5B67">
        <w:rPr>
          <w:rFonts w:eastAsia="Times New Roman" w:cs="Times New Roman"/>
          <w:lang w:eastAsia="de-DE"/>
        </w:rPr>
        <w:t xml:space="preserve">entspricht dem Schuldopfer-Zuschlag aus Lev 5,16. </w:t>
      </w:r>
      <w:r w:rsidRPr="000F5B67">
        <w:rPr>
          <w:rFonts w:eastAsia="Times New Roman" w:cs="Times New Roman"/>
          <w:b/>
          <w:bCs/>
          <w:rtl/>
          <w:lang w:eastAsia="de-DE"/>
        </w:rPr>
        <w:t>ונתן לכהן</w:t>
      </w:r>
      <w:r w:rsidRPr="000F5B67">
        <w:rPr>
          <w:rFonts w:eastAsia="Times New Roman" w:cs="Times New Roman"/>
          <w:rtl/>
          <w:lang w:eastAsia="de-DE"/>
        </w:rPr>
        <w:t xml:space="preserve"> </w:t>
      </w:r>
      <w:r w:rsidRPr="000F5B67">
        <w:rPr>
          <w:rFonts w:eastAsia="Times New Roman" w:cs="Times New Roman"/>
          <w:lang w:eastAsia="de-DE"/>
        </w:rPr>
        <w:t>zeigt Wiedergutmachung an den Geschädigten.</w:t>
      </w:r>
    </w:p>
    <w:p w14:paraId="05979C8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בשגגה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ἀγνοίᾳ</w:t>
      </w:r>
      <w:proofErr w:type="spellEnd"/>
      <w:r w:rsidRPr="000F5B67">
        <w:rPr>
          <w:rFonts w:eastAsia="Times New Roman" w:cs="Times New Roman"/>
          <w:lang w:eastAsia="de-DE"/>
        </w:rPr>
        <w:t xml:space="preserve"> (aus Unwissen), </w:t>
      </w:r>
      <w:r w:rsidRPr="000F5B67">
        <w:rPr>
          <w:rFonts w:eastAsia="Times New Roman" w:cs="Times New Roman"/>
          <w:b/>
          <w:bCs/>
          <w:rtl/>
          <w:lang w:eastAsia="de-DE"/>
        </w:rPr>
        <w:t>ויסף חמישיתו</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ροσθήσει</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τὸ</w:t>
      </w:r>
      <w:proofErr w:type="spellEnd"/>
      <w:r w:rsidRPr="000F5B67">
        <w:rPr>
          <w:rFonts w:eastAsia="Times New Roman" w:cs="Times New Roman"/>
          <w:lang w:eastAsia="de-DE"/>
        </w:rPr>
        <w:t xml:space="preserve"> π</w:t>
      </w:r>
      <w:proofErr w:type="spellStart"/>
      <w:r w:rsidRPr="000F5B67">
        <w:rPr>
          <w:rFonts w:eastAsia="Times New Roman" w:cs="Times New Roman"/>
          <w:lang w:eastAsia="de-DE"/>
        </w:rPr>
        <w:t>έμ</w:t>
      </w:r>
      <w:proofErr w:type="spellEnd"/>
      <w:r w:rsidRPr="000F5B67">
        <w:rPr>
          <w:rFonts w:eastAsia="Times New Roman" w:cs="Times New Roman"/>
          <w:lang w:eastAsia="de-DE"/>
        </w:rPr>
        <w:t xml:space="preserve">πτον </w:t>
      </w:r>
      <w:proofErr w:type="spellStart"/>
      <w:r w:rsidRPr="000F5B67">
        <w:rPr>
          <w:rFonts w:eastAsia="Times New Roman" w:cs="Times New Roman"/>
          <w:lang w:eastAsia="de-DE"/>
        </w:rPr>
        <w:t>μέρος</w:t>
      </w:r>
      <w:proofErr w:type="spellEnd"/>
      <w:r w:rsidRPr="000F5B67">
        <w:rPr>
          <w:rFonts w:eastAsia="Times New Roman" w:cs="Times New Roman"/>
          <w:lang w:eastAsia="de-DE"/>
        </w:rPr>
        <w:t xml:space="preserve"> (wird den fünften Teil hinzufügen), </w:t>
      </w:r>
      <w:r w:rsidRPr="000F5B67">
        <w:rPr>
          <w:rFonts w:eastAsia="Times New Roman" w:cs="Times New Roman"/>
          <w:b/>
          <w:bCs/>
          <w:rtl/>
          <w:lang w:eastAsia="de-DE"/>
        </w:rPr>
        <w:t>עליו</w:t>
      </w:r>
      <w:r w:rsidRPr="000F5B67">
        <w:rPr>
          <w:rFonts w:eastAsia="Times New Roman" w:cs="Times New Roman"/>
          <w:rtl/>
          <w:lang w:eastAsia="de-DE"/>
        </w:rPr>
        <w:t xml:space="preserve"> </w:t>
      </w:r>
      <w:r w:rsidRPr="000F5B67">
        <w:rPr>
          <w:rFonts w:eastAsia="Times New Roman" w:cs="Times New Roman"/>
          <w:lang w:eastAsia="de-DE"/>
        </w:rPr>
        <w:t>mit ἐπ᾽ α</w:t>
      </w:r>
      <w:proofErr w:type="spellStart"/>
      <w:r w:rsidRPr="000F5B67">
        <w:rPr>
          <w:rFonts w:eastAsia="Times New Roman" w:cs="Times New Roman"/>
          <w:lang w:eastAsia="de-DE"/>
        </w:rPr>
        <w:t>ὐτό</w:t>
      </w:r>
      <w:proofErr w:type="spellEnd"/>
      <w:r w:rsidRPr="000F5B67">
        <w:rPr>
          <w:rFonts w:eastAsia="Times New Roman" w:cs="Times New Roman"/>
          <w:lang w:eastAsia="de-DE"/>
        </w:rPr>
        <w:t xml:space="preserve"> (darauf) und </w:t>
      </w:r>
      <w:r w:rsidRPr="000F5B67">
        <w:rPr>
          <w:rFonts w:eastAsia="Times New Roman" w:cs="Times New Roman"/>
          <w:b/>
          <w:bCs/>
          <w:rtl/>
          <w:lang w:eastAsia="de-DE"/>
        </w:rPr>
        <w:t>ונתן לכהן</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δώσει</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τῷ</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ἱερεῖ</w:t>
      </w:r>
      <w:proofErr w:type="spellEnd"/>
      <w:r w:rsidRPr="000F5B67">
        <w:rPr>
          <w:rFonts w:eastAsia="Times New Roman" w:cs="Times New Roman"/>
          <w:lang w:eastAsia="de-DE"/>
        </w:rPr>
        <w:t xml:space="preserve"> (wird dem Priester geben).</w:t>
      </w:r>
    </w:p>
    <w:p w14:paraId="245BE7A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Versehens-Wiedergutmachung: unabsichtlicher Heiligenverzehr + Fünftel-Zuschlag + Priester-Erstattung.</w:t>
      </w:r>
    </w:p>
    <w:p w14:paraId="74D346B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regelt die Wiedergutmachung für unabsichtlichen Heiligenverzehr durch Nichtpriester mit 20% Zuschlag.</w:t>
      </w:r>
    </w:p>
    <w:p w14:paraId="684BB749"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22,15</w:t>
      </w:r>
    </w:p>
    <w:p w14:paraId="3BC3545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וְלֹ֣א יְחַלְּל֔וּ אֶת־קָדְשֵׁ֖י בְּנֵ֣י יִשְׂרָאֵ֑ל אֵ֥ת אֲשֶׁר־יָרִ֖ימוּ לַיהוָֽה׃</w:t>
      </w:r>
    </w:p>
    <w:p w14:paraId="4F87923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sie sollen die heiligen Gaben der Kinder Israels nicht entweihen, die sie dem Ewigen als Hebeopfer heben.</w:t>
      </w:r>
    </w:p>
    <w:p w14:paraId="1F01A83E"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57649F8">
          <v:rect id="_x0000_i1663" style="width:0;height:1.5pt" o:hralign="center" o:hrstd="t" o:hr="t" fillcolor="#a0a0a0" stroked="f"/>
        </w:pict>
      </w:r>
    </w:p>
    <w:p w14:paraId="1DA01EF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ולא יחללו את־קדשי בני ישראל את אשר־ירימו ליהוה</w:t>
      </w:r>
      <w:r w:rsidRPr="000F5B67">
        <w:rPr>
          <w:rFonts w:eastAsia="Times New Roman" w:cs="Times New Roman"/>
          <w:rtl/>
          <w:lang w:eastAsia="de-DE"/>
        </w:rPr>
        <w:t xml:space="preserve"> </w:t>
      </w:r>
      <w:r w:rsidRPr="000F5B67">
        <w:rPr>
          <w:rFonts w:eastAsia="Times New Roman" w:cs="Times New Roman"/>
          <w:lang w:eastAsia="de-DE"/>
        </w:rPr>
        <w:t xml:space="preserve">zeigt das allgemeine Entweihungsverbot. </w:t>
      </w:r>
      <w:r w:rsidRPr="000F5B67">
        <w:rPr>
          <w:rFonts w:eastAsia="Times New Roman" w:cs="Times New Roman"/>
          <w:b/>
          <w:bCs/>
          <w:rtl/>
          <w:lang w:eastAsia="de-DE"/>
        </w:rPr>
        <w:t>ולא יחללו</w:t>
      </w:r>
      <w:r w:rsidRPr="000F5B67">
        <w:rPr>
          <w:rFonts w:eastAsia="Times New Roman" w:cs="Times New Roman"/>
          <w:rtl/>
          <w:lang w:eastAsia="de-DE"/>
        </w:rPr>
        <w:t xml:space="preserve"> </w:t>
      </w:r>
      <w:r w:rsidRPr="000F5B67">
        <w:rPr>
          <w:rFonts w:eastAsia="Times New Roman" w:cs="Times New Roman"/>
          <w:lang w:eastAsia="de-DE"/>
        </w:rPr>
        <w:t>(und sie sollen nicht entweihen) im Piel-Imperfekt - das Piel zeigt intensive Entweihung. Das Subjekt sind die Priester.</w:t>
      </w:r>
    </w:p>
    <w:p w14:paraId="22D0349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את־קדשי בני ישראל</w:t>
      </w:r>
      <w:r w:rsidRPr="000F5B67">
        <w:rPr>
          <w:rFonts w:eastAsia="Times New Roman" w:cs="Times New Roman"/>
          <w:rtl/>
          <w:lang w:eastAsia="de-DE"/>
        </w:rPr>
        <w:t xml:space="preserve"> </w:t>
      </w:r>
      <w:r w:rsidRPr="000F5B67">
        <w:rPr>
          <w:rFonts w:eastAsia="Times New Roman" w:cs="Times New Roman"/>
          <w:lang w:eastAsia="de-DE"/>
        </w:rPr>
        <w:t xml:space="preserve">(die heiligen Gaben der Kinder Israels) entspricht V. 2 und zeigt die vom Volk geweihten Gaben. </w:t>
      </w:r>
      <w:r w:rsidRPr="000F5B67">
        <w:rPr>
          <w:rFonts w:eastAsia="Times New Roman" w:cs="Times New Roman"/>
          <w:b/>
          <w:bCs/>
          <w:rtl/>
          <w:lang w:eastAsia="de-DE"/>
        </w:rPr>
        <w:t>את אשר־ירימו ליהוה</w:t>
      </w:r>
      <w:r w:rsidRPr="000F5B67">
        <w:rPr>
          <w:rFonts w:eastAsia="Times New Roman" w:cs="Times New Roman"/>
          <w:rtl/>
          <w:lang w:eastAsia="de-DE"/>
        </w:rPr>
        <w:t xml:space="preserve"> </w:t>
      </w:r>
      <w:r w:rsidRPr="000F5B67">
        <w:rPr>
          <w:rFonts w:eastAsia="Times New Roman" w:cs="Times New Roman"/>
          <w:lang w:eastAsia="de-DE"/>
        </w:rPr>
        <w:t xml:space="preserve">(die sie dem Ewigen als Hebeopfer heben) - </w:t>
      </w:r>
      <w:r w:rsidRPr="000F5B67">
        <w:rPr>
          <w:rFonts w:eastAsia="Times New Roman" w:cs="Times New Roman"/>
          <w:b/>
          <w:bCs/>
          <w:rtl/>
          <w:lang w:eastAsia="de-DE"/>
        </w:rPr>
        <w:t>ירימו</w:t>
      </w:r>
      <w:r w:rsidRPr="000F5B67">
        <w:rPr>
          <w:rFonts w:eastAsia="Times New Roman" w:cs="Times New Roman"/>
          <w:rtl/>
          <w:lang w:eastAsia="de-DE"/>
        </w:rPr>
        <w:t xml:space="preserve"> </w:t>
      </w:r>
      <w:r w:rsidRPr="000F5B67">
        <w:rPr>
          <w:rFonts w:eastAsia="Times New Roman" w:cs="Times New Roman"/>
          <w:lang w:eastAsia="de-DE"/>
        </w:rPr>
        <w:t xml:space="preserve">(heben) im Hifil-Imperfekt, das Hifil zeigt kausatives Erheben als </w:t>
      </w:r>
      <w:r w:rsidRPr="000F5B67">
        <w:rPr>
          <w:rFonts w:eastAsia="Times New Roman" w:cs="Times New Roman"/>
          <w:b/>
          <w:bCs/>
          <w:rtl/>
          <w:lang w:eastAsia="de-DE"/>
        </w:rPr>
        <w:t>תרומה</w:t>
      </w:r>
      <w:r w:rsidRPr="000F5B67">
        <w:rPr>
          <w:rFonts w:eastAsia="Times New Roman" w:cs="Times New Roman"/>
          <w:lang w:eastAsia="de-DE"/>
        </w:rPr>
        <w:t>.</w:t>
      </w:r>
    </w:p>
    <w:p w14:paraId="287F007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יחללו</w:t>
      </w:r>
      <w:r w:rsidRPr="000F5B67">
        <w:rPr>
          <w:rFonts w:eastAsia="Times New Roman" w:cs="Times New Roman"/>
          <w:rtl/>
          <w:lang w:eastAsia="de-DE"/>
        </w:rPr>
        <w:t xml:space="preserve"> </w:t>
      </w:r>
      <w:r w:rsidRPr="000F5B67">
        <w:rPr>
          <w:rFonts w:eastAsia="Times New Roman" w:cs="Times New Roman"/>
          <w:lang w:eastAsia="de-DE"/>
        </w:rPr>
        <w:t xml:space="preserve">zeigt Entweihung durch unsachgemäßen Umgang. </w:t>
      </w:r>
      <w:r w:rsidRPr="000F5B67">
        <w:rPr>
          <w:rFonts w:eastAsia="Times New Roman" w:cs="Times New Roman"/>
          <w:b/>
          <w:bCs/>
          <w:rtl/>
          <w:lang w:eastAsia="de-DE"/>
        </w:rPr>
        <w:t>קדשי בני ישראל</w:t>
      </w:r>
      <w:r w:rsidRPr="000F5B67">
        <w:rPr>
          <w:rFonts w:eastAsia="Times New Roman" w:cs="Times New Roman"/>
          <w:rtl/>
          <w:lang w:eastAsia="de-DE"/>
        </w:rPr>
        <w:t xml:space="preserve"> </w:t>
      </w:r>
      <w:r w:rsidRPr="000F5B67">
        <w:rPr>
          <w:rFonts w:eastAsia="Times New Roman" w:cs="Times New Roman"/>
          <w:lang w:eastAsia="de-DE"/>
        </w:rPr>
        <w:t xml:space="preserve">zeigt die Gaben als volkseigen, aber JHWH geweiht. </w:t>
      </w:r>
      <w:r w:rsidRPr="000F5B67">
        <w:rPr>
          <w:rFonts w:eastAsia="Times New Roman" w:cs="Times New Roman"/>
          <w:b/>
          <w:bCs/>
          <w:rtl/>
          <w:lang w:eastAsia="de-DE"/>
        </w:rPr>
        <w:t>ירימו ליהוה</w:t>
      </w:r>
      <w:r w:rsidRPr="000F5B67">
        <w:rPr>
          <w:rFonts w:eastAsia="Times New Roman" w:cs="Times New Roman"/>
          <w:rtl/>
          <w:lang w:eastAsia="de-DE"/>
        </w:rPr>
        <w:t xml:space="preserve"> </w:t>
      </w:r>
      <w:r w:rsidRPr="000F5B67">
        <w:rPr>
          <w:rFonts w:eastAsia="Times New Roman" w:cs="Times New Roman"/>
          <w:lang w:eastAsia="de-DE"/>
        </w:rPr>
        <w:t xml:space="preserve">zeigt die </w:t>
      </w:r>
      <w:r w:rsidRPr="000F5B67">
        <w:rPr>
          <w:rFonts w:eastAsia="Times New Roman" w:cs="Times New Roman"/>
          <w:b/>
          <w:bCs/>
          <w:rtl/>
          <w:lang w:eastAsia="de-DE"/>
        </w:rPr>
        <w:t>תרומה</w:t>
      </w:r>
      <w:r w:rsidRPr="000F5B67">
        <w:rPr>
          <w:rFonts w:eastAsia="Times New Roman" w:cs="Times New Roman"/>
          <w:lang w:eastAsia="de-DE"/>
        </w:rPr>
        <w:t>-Weihe an JHWH.</w:t>
      </w:r>
    </w:p>
    <w:p w14:paraId="2B41AD1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יחללו</w:t>
      </w:r>
      <w:r w:rsidRPr="000F5B67">
        <w:rPr>
          <w:rFonts w:eastAsia="Times New Roman" w:cs="Times New Roman"/>
          <w:rtl/>
          <w:lang w:eastAsia="de-DE"/>
        </w:rPr>
        <w:t xml:space="preserve"> </w:t>
      </w:r>
      <w:r w:rsidRPr="000F5B67">
        <w:rPr>
          <w:rFonts w:eastAsia="Times New Roman" w:cs="Times New Roman"/>
          <w:lang w:eastAsia="de-DE"/>
        </w:rPr>
        <w:t>mit βεβ</w:t>
      </w:r>
      <w:proofErr w:type="spellStart"/>
      <w:r w:rsidRPr="000F5B67">
        <w:rPr>
          <w:rFonts w:eastAsia="Times New Roman" w:cs="Times New Roman"/>
          <w:lang w:eastAsia="de-DE"/>
        </w:rPr>
        <w:t>ηλώσουσιν</w:t>
      </w:r>
      <w:proofErr w:type="spellEnd"/>
      <w:r w:rsidRPr="000F5B67">
        <w:rPr>
          <w:rFonts w:eastAsia="Times New Roman" w:cs="Times New Roman"/>
          <w:lang w:eastAsia="de-DE"/>
        </w:rPr>
        <w:t xml:space="preserve"> (werden entweihen), </w:t>
      </w:r>
      <w:r w:rsidRPr="000F5B67">
        <w:rPr>
          <w:rFonts w:eastAsia="Times New Roman" w:cs="Times New Roman"/>
          <w:b/>
          <w:bCs/>
          <w:rtl/>
          <w:lang w:eastAsia="de-DE"/>
        </w:rPr>
        <w:t>קדשי בני ישראל</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τὰ</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ἅγι</w:t>
      </w:r>
      <w:proofErr w:type="spellEnd"/>
      <w:r w:rsidRPr="000F5B67">
        <w:rPr>
          <w:rFonts w:eastAsia="Times New Roman" w:cs="Times New Roman"/>
          <w:lang w:eastAsia="de-DE"/>
        </w:rPr>
        <w:t xml:space="preserve">α </w:t>
      </w:r>
      <w:proofErr w:type="spellStart"/>
      <w:r w:rsidRPr="000F5B67">
        <w:rPr>
          <w:rFonts w:eastAsia="Times New Roman" w:cs="Times New Roman"/>
          <w:lang w:eastAsia="de-DE"/>
        </w:rPr>
        <w:t>υἱῶν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Ισρ</w:t>
      </w:r>
      <w:proofErr w:type="spellEnd"/>
      <w:r w:rsidRPr="000F5B67">
        <w:rPr>
          <w:rFonts w:eastAsia="Times New Roman" w:cs="Times New Roman"/>
          <w:lang w:eastAsia="de-DE"/>
        </w:rPr>
        <w:t xml:space="preserve">αηλ (die Heiligen der Söhne Israels), </w:t>
      </w:r>
      <w:r w:rsidRPr="000F5B67">
        <w:rPr>
          <w:rFonts w:eastAsia="Times New Roman" w:cs="Times New Roman"/>
          <w:b/>
          <w:bCs/>
          <w:rtl/>
          <w:lang w:eastAsia="de-DE"/>
        </w:rPr>
        <w:t>ירימו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ἀφοριοῦσιν</w:t>
      </w:r>
      <w:proofErr w:type="spellEnd"/>
      <w:r w:rsidRPr="000F5B67">
        <w:rPr>
          <w:rFonts w:eastAsia="Times New Roman" w:cs="Times New Roman"/>
          <w:lang w:eastAsia="de-DE"/>
        </w:rPr>
        <w:t xml:space="preserve"> (werden absondern) und </w:t>
      </w:r>
      <w:r w:rsidRPr="000F5B67">
        <w:rPr>
          <w:rFonts w:eastAsia="Times New Roman" w:cs="Times New Roman"/>
          <w:b/>
          <w:bCs/>
          <w:rtl/>
          <w:lang w:eastAsia="de-DE"/>
        </w:rPr>
        <w:t>ליהוה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κυρίῳ</w:t>
      </w:r>
      <w:proofErr w:type="spellEnd"/>
      <w:r w:rsidRPr="000F5B67">
        <w:rPr>
          <w:rFonts w:eastAsia="Times New Roman" w:cs="Times New Roman"/>
          <w:lang w:eastAsia="de-DE"/>
        </w:rPr>
        <w:t xml:space="preserve"> (dem Herrn).</w:t>
      </w:r>
    </w:p>
    <w:p w14:paraId="119B5A9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Entweihungsverbot: Priester-Entweihungsverbot + Volk-Heiligengaben + </w:t>
      </w:r>
      <w:r w:rsidRPr="000F5B67">
        <w:rPr>
          <w:rFonts w:eastAsia="Times New Roman" w:cs="Times New Roman"/>
          <w:b/>
          <w:bCs/>
          <w:rtl/>
          <w:lang w:eastAsia="de-DE"/>
        </w:rPr>
        <w:t>תרומה</w:t>
      </w:r>
      <w:r w:rsidRPr="000F5B67">
        <w:rPr>
          <w:rFonts w:eastAsia="Times New Roman" w:cs="Times New Roman"/>
          <w:lang w:eastAsia="de-DE"/>
        </w:rPr>
        <w:t>-Weihe an JHWH.</w:t>
      </w:r>
    </w:p>
    <w:p w14:paraId="0FEE8AD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Dieser Vers verbietet Priestern die Entweihung der vom Volk als </w:t>
      </w:r>
      <w:r w:rsidRPr="000F5B67">
        <w:rPr>
          <w:rFonts w:eastAsia="Times New Roman" w:cs="Times New Roman"/>
          <w:b/>
          <w:bCs/>
          <w:rtl/>
          <w:lang w:eastAsia="de-DE"/>
        </w:rPr>
        <w:t>תרומה</w:t>
      </w:r>
      <w:r w:rsidRPr="000F5B67">
        <w:rPr>
          <w:rFonts w:eastAsia="Times New Roman" w:cs="Times New Roman"/>
          <w:rtl/>
          <w:lang w:eastAsia="de-DE"/>
        </w:rPr>
        <w:t xml:space="preserve"> </w:t>
      </w:r>
      <w:r w:rsidRPr="000F5B67">
        <w:rPr>
          <w:rFonts w:eastAsia="Times New Roman" w:cs="Times New Roman"/>
          <w:lang w:eastAsia="de-DE"/>
        </w:rPr>
        <w:t>an JHWH geweihten heiligen Gaben.</w:t>
      </w:r>
    </w:p>
    <w:p w14:paraId="4D5191AE"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22,16</w:t>
      </w:r>
    </w:p>
    <w:p w14:paraId="4D4E9AC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וְהִשִּׂ֤יאוּ אוֹתָם֙ עֲוֹ֣ן אַשְׁמָ֔ה בְּאָכְלָ֖ם אֶת־קָדְשֵׁיהֶ֑ם כִּ֛י אֲנִ֥י יְהוָ֖ה מְקַדְּשָֽׁם׃</w:t>
      </w:r>
    </w:p>
    <w:p w14:paraId="5B95751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ihnen nicht die Schuld einer Verfehlung aufladen, wenn sie ihre heiligen Gaben essen; denn ich bin der Ewige, der sie heiligt.</w:t>
      </w:r>
    </w:p>
    <w:p w14:paraId="0FBA3CFE"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26005229">
          <v:rect id="_x0000_i1664" style="width:0;height:1.5pt" o:hralign="center" o:hrstd="t" o:hr="t" fillcolor="#a0a0a0" stroked="f"/>
        </w:pict>
      </w:r>
    </w:p>
    <w:p w14:paraId="76C287E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והשיאו אותם עון אשמה באכלם את־קדשיהם כי אני יהוה מקדשם</w:t>
      </w:r>
      <w:r w:rsidRPr="000F5B67">
        <w:rPr>
          <w:rFonts w:eastAsia="Times New Roman" w:cs="Times New Roman"/>
          <w:rtl/>
          <w:lang w:eastAsia="de-DE"/>
        </w:rPr>
        <w:t xml:space="preserve"> </w:t>
      </w:r>
      <w:r w:rsidRPr="000F5B67">
        <w:rPr>
          <w:rFonts w:eastAsia="Times New Roman" w:cs="Times New Roman"/>
          <w:lang w:eastAsia="de-DE"/>
        </w:rPr>
        <w:t xml:space="preserve">zeigt die Verantwortung der Priester für das Volk. </w:t>
      </w:r>
      <w:r w:rsidRPr="000F5B67">
        <w:rPr>
          <w:rFonts w:eastAsia="Times New Roman" w:cs="Times New Roman"/>
          <w:b/>
          <w:bCs/>
          <w:rtl/>
          <w:lang w:eastAsia="de-DE"/>
        </w:rPr>
        <w:t>והשיאו אותם עון אשמה</w:t>
      </w:r>
      <w:r w:rsidRPr="000F5B67">
        <w:rPr>
          <w:rFonts w:eastAsia="Times New Roman" w:cs="Times New Roman"/>
          <w:rtl/>
          <w:lang w:eastAsia="de-DE"/>
        </w:rPr>
        <w:t xml:space="preserve"> </w:t>
      </w:r>
      <w:r w:rsidRPr="000F5B67">
        <w:rPr>
          <w:rFonts w:eastAsia="Times New Roman" w:cs="Times New Roman"/>
          <w:lang w:eastAsia="de-DE"/>
        </w:rPr>
        <w:t xml:space="preserve">(und ihnen die Schuld einer Verfehlung aufladen) - </w:t>
      </w:r>
      <w:r w:rsidRPr="000F5B67">
        <w:rPr>
          <w:rFonts w:eastAsia="Times New Roman" w:cs="Times New Roman"/>
          <w:b/>
          <w:bCs/>
          <w:rtl/>
          <w:lang w:eastAsia="de-DE"/>
        </w:rPr>
        <w:t>והשיאו</w:t>
      </w:r>
      <w:r w:rsidRPr="000F5B67">
        <w:rPr>
          <w:rFonts w:eastAsia="Times New Roman" w:cs="Times New Roman"/>
          <w:rtl/>
          <w:lang w:eastAsia="de-DE"/>
        </w:rPr>
        <w:t xml:space="preserve"> </w:t>
      </w:r>
      <w:r w:rsidRPr="000F5B67">
        <w:rPr>
          <w:rFonts w:eastAsia="Times New Roman" w:cs="Times New Roman"/>
          <w:lang w:eastAsia="de-DE"/>
        </w:rPr>
        <w:t xml:space="preserve">(und sie laden auf) im Hifil-Perfekt mit Waw-Konsekutiv, das Hifil zeigt kausatives Aufladen. </w:t>
      </w:r>
      <w:r w:rsidRPr="000F5B67">
        <w:rPr>
          <w:rFonts w:eastAsia="Times New Roman" w:cs="Times New Roman"/>
          <w:b/>
          <w:bCs/>
          <w:rtl/>
          <w:lang w:eastAsia="de-DE"/>
        </w:rPr>
        <w:t>אותם</w:t>
      </w:r>
      <w:r w:rsidRPr="000F5B67">
        <w:rPr>
          <w:rFonts w:eastAsia="Times New Roman" w:cs="Times New Roman"/>
          <w:rtl/>
          <w:lang w:eastAsia="de-DE"/>
        </w:rPr>
        <w:t xml:space="preserve"> </w:t>
      </w:r>
      <w:r w:rsidRPr="000F5B67">
        <w:rPr>
          <w:rFonts w:eastAsia="Times New Roman" w:cs="Times New Roman"/>
          <w:lang w:eastAsia="de-DE"/>
        </w:rPr>
        <w:t xml:space="preserve">(ihnen) bezieht sich auf das Volk. </w:t>
      </w:r>
      <w:r w:rsidRPr="000F5B67">
        <w:rPr>
          <w:rFonts w:eastAsia="Times New Roman" w:cs="Times New Roman"/>
          <w:b/>
          <w:bCs/>
          <w:rtl/>
          <w:lang w:eastAsia="de-DE"/>
        </w:rPr>
        <w:t>עון אשמה</w:t>
      </w:r>
      <w:r w:rsidRPr="000F5B67">
        <w:rPr>
          <w:rFonts w:eastAsia="Times New Roman" w:cs="Times New Roman"/>
          <w:rtl/>
          <w:lang w:eastAsia="de-DE"/>
        </w:rPr>
        <w:t xml:space="preserve"> </w:t>
      </w:r>
      <w:r w:rsidRPr="000F5B67">
        <w:rPr>
          <w:rFonts w:eastAsia="Times New Roman" w:cs="Times New Roman"/>
          <w:lang w:eastAsia="de-DE"/>
        </w:rPr>
        <w:t>(Schuld einer Verfehlung) zeigt Schuldopfer-pflichtige Schuld.</w:t>
      </w:r>
    </w:p>
    <w:p w14:paraId="1FE3B801" w14:textId="6B4A0B01"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באכלם את־קדשיהם</w:t>
      </w:r>
      <w:r w:rsidRPr="000F5B67">
        <w:rPr>
          <w:rFonts w:eastAsia="Times New Roman" w:cs="Times New Roman"/>
          <w:rtl/>
          <w:lang w:eastAsia="de-DE"/>
        </w:rPr>
        <w:t xml:space="preserve"> </w:t>
      </w:r>
      <w:r w:rsidRPr="000F5B67">
        <w:rPr>
          <w:rFonts w:eastAsia="Times New Roman" w:cs="Times New Roman"/>
          <w:lang w:eastAsia="de-DE"/>
        </w:rPr>
        <w:t xml:space="preserve">(wenn sie ihre heiligen Gaben essen) - </w:t>
      </w:r>
      <w:r w:rsidRPr="000F5B67">
        <w:rPr>
          <w:rFonts w:eastAsia="Times New Roman" w:cs="Times New Roman"/>
          <w:b/>
          <w:bCs/>
          <w:rtl/>
          <w:lang w:eastAsia="de-DE"/>
        </w:rPr>
        <w:t>באכלם</w:t>
      </w:r>
      <w:r w:rsidRPr="000F5B67">
        <w:rPr>
          <w:rFonts w:eastAsia="Times New Roman" w:cs="Times New Roman"/>
          <w:rtl/>
          <w:lang w:eastAsia="de-DE"/>
        </w:rPr>
        <w:t xml:space="preserve"> </w:t>
      </w:r>
      <w:r w:rsidRPr="000F5B67">
        <w:rPr>
          <w:rFonts w:eastAsia="Times New Roman" w:cs="Times New Roman"/>
          <w:lang w:eastAsia="de-DE"/>
        </w:rPr>
        <w:t>(wenn sie essen) im Qal-Infinitiv-</w:t>
      </w:r>
      <w:r w:rsidR="00DE39DD">
        <w:rPr>
          <w:rFonts w:eastAsia="Times New Roman" w:cs="Times New Roman"/>
          <w:lang w:eastAsia="de-DE"/>
        </w:rPr>
        <w:t>Constructus</w:t>
      </w:r>
      <w:r w:rsidRPr="000F5B67">
        <w:rPr>
          <w:rFonts w:eastAsia="Times New Roman" w:cs="Times New Roman"/>
          <w:lang w:eastAsia="de-DE"/>
        </w:rPr>
        <w:t xml:space="preserve"> mit Suffix. </w:t>
      </w:r>
      <w:r w:rsidRPr="000F5B67">
        <w:rPr>
          <w:rFonts w:eastAsia="Times New Roman" w:cs="Times New Roman"/>
          <w:b/>
          <w:bCs/>
          <w:rtl/>
          <w:lang w:eastAsia="de-DE"/>
        </w:rPr>
        <w:t>את־קדשיהם</w:t>
      </w:r>
      <w:r w:rsidRPr="000F5B67">
        <w:rPr>
          <w:rFonts w:eastAsia="Times New Roman" w:cs="Times New Roman"/>
          <w:rtl/>
          <w:lang w:eastAsia="de-DE"/>
        </w:rPr>
        <w:t xml:space="preserve"> </w:t>
      </w:r>
      <w:r w:rsidRPr="000F5B67">
        <w:rPr>
          <w:rFonts w:eastAsia="Times New Roman" w:cs="Times New Roman"/>
          <w:lang w:eastAsia="de-DE"/>
        </w:rPr>
        <w:t>(ihre heiligen Gaben) zeigt, dass das Volk unwissentlich heilige Gaben isst.</w:t>
      </w:r>
    </w:p>
    <w:p w14:paraId="7E16BC2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כי אני יהוה מקדשם</w:t>
      </w:r>
      <w:r w:rsidRPr="000F5B67">
        <w:rPr>
          <w:rFonts w:eastAsia="Times New Roman" w:cs="Times New Roman"/>
          <w:rtl/>
          <w:lang w:eastAsia="de-DE"/>
        </w:rPr>
        <w:t xml:space="preserve"> </w:t>
      </w:r>
      <w:r w:rsidRPr="000F5B67">
        <w:rPr>
          <w:rFonts w:eastAsia="Times New Roman" w:cs="Times New Roman"/>
          <w:lang w:eastAsia="de-DE"/>
        </w:rPr>
        <w:t xml:space="preserve">(denn ich bin der Ewige, der sie heiligt) -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(der sie heiligt) im Piel-Partizip zeigt JHWH als Heiligungsagens der Gaben.</w:t>
      </w:r>
    </w:p>
    <w:p w14:paraId="493E04E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והשיאו אותם עון אשמה</w:t>
      </w:r>
      <w:r w:rsidRPr="000F5B67">
        <w:rPr>
          <w:rFonts w:eastAsia="Times New Roman" w:cs="Times New Roman"/>
          <w:rtl/>
          <w:lang w:eastAsia="de-DE"/>
        </w:rPr>
        <w:t xml:space="preserve"> </w:t>
      </w:r>
      <w:r w:rsidRPr="000F5B67">
        <w:rPr>
          <w:rFonts w:eastAsia="Times New Roman" w:cs="Times New Roman"/>
          <w:lang w:eastAsia="de-DE"/>
        </w:rPr>
        <w:t xml:space="preserve">zeigt priesterliche Verantwortung für Volksbelehrung. </w:t>
      </w:r>
      <w:r w:rsidRPr="000F5B67">
        <w:rPr>
          <w:rFonts w:eastAsia="Times New Roman" w:cs="Times New Roman"/>
          <w:b/>
          <w:bCs/>
          <w:rtl/>
          <w:lang w:eastAsia="de-DE"/>
        </w:rPr>
        <w:t>באכלם את־קדשיהם</w:t>
      </w:r>
      <w:r w:rsidRPr="000F5B67">
        <w:rPr>
          <w:rFonts w:eastAsia="Times New Roman" w:cs="Times New Roman"/>
          <w:rtl/>
          <w:lang w:eastAsia="de-DE"/>
        </w:rPr>
        <w:t xml:space="preserve"> </w:t>
      </w:r>
      <w:r w:rsidRPr="000F5B67">
        <w:rPr>
          <w:rFonts w:eastAsia="Times New Roman" w:cs="Times New Roman"/>
          <w:lang w:eastAsia="de-DE"/>
        </w:rPr>
        <w:t xml:space="preserve">zeigt unwissentlichen Verzehr durch das Volk.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zeigt JHWH als Gaben-Heiliger.</w:t>
      </w:r>
    </w:p>
    <w:p w14:paraId="6B4FFE9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והשיאו</w:t>
      </w:r>
      <w:r w:rsidRPr="000F5B67">
        <w:rPr>
          <w:rFonts w:eastAsia="Times New Roman" w:cs="Times New Roman"/>
          <w:rtl/>
          <w:lang w:eastAsia="de-DE"/>
        </w:rPr>
        <w:t xml:space="preserve"> </w:t>
      </w:r>
      <w:r w:rsidRPr="000F5B67">
        <w:rPr>
          <w:rFonts w:eastAsia="Times New Roman" w:cs="Times New Roman"/>
          <w:lang w:eastAsia="de-DE"/>
        </w:rPr>
        <w:t>mit ἐπ</w:t>
      </w:r>
      <w:proofErr w:type="spellStart"/>
      <w:r w:rsidRPr="000F5B67">
        <w:rPr>
          <w:rFonts w:eastAsia="Times New Roman" w:cs="Times New Roman"/>
          <w:lang w:eastAsia="de-DE"/>
        </w:rPr>
        <w:t>άξουσιν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ἐφ</w:t>
      </w:r>
      <w:proofErr w:type="spellEnd"/>
      <w:r w:rsidRPr="000F5B67">
        <w:rPr>
          <w:rFonts w:eastAsia="Times New Roman" w:cs="Times New Roman"/>
          <w:lang w:eastAsia="de-DE"/>
        </w:rPr>
        <w:t>᾽ ἑα</w:t>
      </w:r>
      <w:proofErr w:type="spellStart"/>
      <w:r w:rsidRPr="000F5B67">
        <w:rPr>
          <w:rFonts w:eastAsia="Times New Roman" w:cs="Times New Roman"/>
          <w:lang w:eastAsia="de-DE"/>
        </w:rPr>
        <w:t>υτούς</w:t>
      </w:r>
      <w:proofErr w:type="spellEnd"/>
      <w:r w:rsidRPr="000F5B67">
        <w:rPr>
          <w:rFonts w:eastAsia="Times New Roman" w:cs="Times New Roman"/>
          <w:lang w:eastAsia="de-DE"/>
        </w:rPr>
        <w:t xml:space="preserve"> (werden auf sich bringen), </w:t>
      </w:r>
      <w:r w:rsidRPr="000F5B67">
        <w:rPr>
          <w:rFonts w:eastAsia="Times New Roman" w:cs="Times New Roman"/>
          <w:b/>
          <w:bCs/>
          <w:rtl/>
          <w:lang w:eastAsia="de-DE"/>
        </w:rPr>
        <w:t>עון אשמה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ἀνομί</w:t>
      </w:r>
      <w:proofErr w:type="spellEnd"/>
      <w:r w:rsidRPr="000F5B67">
        <w:rPr>
          <w:rFonts w:eastAsia="Times New Roman" w:cs="Times New Roman"/>
          <w:lang w:eastAsia="de-DE"/>
        </w:rPr>
        <w:t>αν π</w:t>
      </w:r>
      <w:proofErr w:type="spellStart"/>
      <w:r w:rsidRPr="000F5B67">
        <w:rPr>
          <w:rFonts w:eastAsia="Times New Roman" w:cs="Times New Roman"/>
          <w:lang w:eastAsia="de-DE"/>
        </w:rPr>
        <w:t>λημμελεί</w:t>
      </w:r>
      <w:proofErr w:type="spellEnd"/>
      <w:r w:rsidRPr="000F5B67">
        <w:rPr>
          <w:rFonts w:eastAsia="Times New Roman" w:cs="Times New Roman"/>
          <w:lang w:eastAsia="de-DE"/>
        </w:rPr>
        <w:t xml:space="preserve">ας (Gesetzlosigkeit der Verfehlung), </w:t>
      </w:r>
      <w:r w:rsidRPr="000F5B67">
        <w:rPr>
          <w:rFonts w:eastAsia="Times New Roman" w:cs="Times New Roman"/>
          <w:b/>
          <w:bCs/>
          <w:rtl/>
          <w:lang w:eastAsia="de-DE"/>
        </w:rPr>
        <w:t>באכלם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τῷ</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ἐσθίειν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ὐτούς</w:t>
      </w:r>
      <w:proofErr w:type="spellEnd"/>
      <w:r w:rsidRPr="000F5B67">
        <w:rPr>
          <w:rFonts w:eastAsia="Times New Roman" w:cs="Times New Roman"/>
          <w:lang w:eastAsia="de-DE"/>
        </w:rPr>
        <w:t xml:space="preserve"> (beim Essen durch sie) und </w:t>
      </w:r>
      <w:r w:rsidRPr="000F5B67">
        <w:rPr>
          <w:rFonts w:eastAsia="Times New Roman" w:cs="Times New Roman"/>
          <w:b/>
          <w:bCs/>
          <w:rtl/>
          <w:lang w:eastAsia="de-DE"/>
        </w:rPr>
        <w:t>מקדשם</w:t>
      </w:r>
      <w:r w:rsidRPr="000F5B67">
        <w:rPr>
          <w:rFonts w:eastAsia="Times New Roman" w:cs="Times New Roman"/>
          <w:rtl/>
          <w:lang w:eastAsia="de-DE"/>
        </w:rPr>
        <w:t xml:space="preserve"> </w:t>
      </w:r>
      <w:r w:rsidRPr="000F5B67">
        <w:rPr>
          <w:rFonts w:eastAsia="Times New Roman" w:cs="Times New Roman"/>
          <w:lang w:eastAsia="de-DE"/>
        </w:rPr>
        <w:t xml:space="preserve">mit ὁ </w:t>
      </w:r>
      <w:proofErr w:type="spellStart"/>
      <w:r w:rsidRPr="000F5B67">
        <w:rPr>
          <w:rFonts w:eastAsia="Times New Roman" w:cs="Times New Roman"/>
          <w:lang w:eastAsia="de-DE"/>
        </w:rPr>
        <w:t>ἁγιάζων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ὐτά</w:t>
      </w:r>
      <w:proofErr w:type="spellEnd"/>
      <w:r w:rsidRPr="000F5B67">
        <w:rPr>
          <w:rFonts w:eastAsia="Times New Roman" w:cs="Times New Roman"/>
          <w:lang w:eastAsia="de-DE"/>
        </w:rPr>
        <w:t xml:space="preserve"> (der sie heiligt).</w:t>
      </w:r>
    </w:p>
    <w:p w14:paraId="76E6E8C7" w14:textId="2A32A12B"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Priester-Verantwortung: </w:t>
      </w:r>
      <w:r w:rsidR="00D86F49" w:rsidRPr="000F5B67">
        <w:rPr>
          <w:rFonts w:eastAsia="Times New Roman" w:cs="Times New Roman"/>
          <w:lang w:eastAsia="de-DE"/>
        </w:rPr>
        <w:t>Schuld Aufladung</w:t>
      </w:r>
      <w:r w:rsidRPr="000F5B67">
        <w:rPr>
          <w:rFonts w:eastAsia="Times New Roman" w:cs="Times New Roman"/>
          <w:lang w:eastAsia="de-DE"/>
        </w:rPr>
        <w:t xml:space="preserve"> auf das Volk + unwissentlicher Heiligenverzehr + göttliche Heiligungsautorität.</w:t>
      </w:r>
    </w:p>
    <w:p w14:paraId="137D194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zeigt die priesterliche Verantwortung, das Volk vor unwissentlichem Heiligenverzehr und daraus resultierender Schuld zu bewahren.</w:t>
      </w:r>
    </w:p>
    <w:p w14:paraId="41404DF4"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lastRenderedPageBreak/>
        <w:t>Leviticus 22,17</w:t>
      </w:r>
    </w:p>
    <w:p w14:paraId="5AFB5F3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וַיְדַבֵּ֥ר יְהוָ֖ה אֶל־מֹשֶׁ֥ה לֵּאמֹֽר׃</w:t>
      </w:r>
    </w:p>
    <w:p w14:paraId="78805EB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der Ewige redete zu Mosche, sagend:</w:t>
      </w:r>
    </w:p>
    <w:p w14:paraId="6FBEE3AD"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55CC908">
          <v:rect id="_x0000_i1665" style="width:0;height:1.5pt" o:hralign="center" o:hrstd="t" o:hr="t" fillcolor="#a0a0a0" stroked="f"/>
        </w:pict>
      </w:r>
    </w:p>
    <w:p w14:paraId="0931697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וידבר יהוה אל־משה לאמר</w:t>
      </w:r>
      <w:r w:rsidRPr="000F5B67">
        <w:rPr>
          <w:rFonts w:eastAsia="Times New Roman" w:cs="Times New Roman"/>
          <w:rtl/>
          <w:lang w:eastAsia="de-DE"/>
        </w:rPr>
        <w:t xml:space="preserve"> </w:t>
      </w:r>
      <w:r w:rsidRPr="000F5B67">
        <w:rPr>
          <w:rFonts w:eastAsia="Times New Roman" w:cs="Times New Roman"/>
          <w:lang w:eastAsia="de-DE"/>
        </w:rPr>
        <w:t xml:space="preserve">als neue Offenbarungseinleitung. </w:t>
      </w:r>
      <w:r w:rsidRPr="000F5B67">
        <w:rPr>
          <w:rFonts w:eastAsia="Times New Roman" w:cs="Times New Roman"/>
          <w:b/>
          <w:bCs/>
          <w:rtl/>
          <w:lang w:eastAsia="de-DE"/>
        </w:rPr>
        <w:t>וידבר</w:t>
      </w:r>
      <w:r w:rsidRPr="000F5B67">
        <w:rPr>
          <w:rFonts w:eastAsia="Times New Roman" w:cs="Times New Roman"/>
          <w:rtl/>
          <w:lang w:eastAsia="de-DE"/>
        </w:rPr>
        <w:t xml:space="preserve"> </w:t>
      </w:r>
      <w:r w:rsidRPr="000F5B67">
        <w:rPr>
          <w:rFonts w:eastAsia="Times New Roman" w:cs="Times New Roman"/>
          <w:lang w:eastAsia="de-DE"/>
        </w:rPr>
        <w:t xml:space="preserve">(und er redete) im Piel-Imperfekt mit Waw-Konsekutiv - das Piel zeigt intensives, autoritatives göttliches Sprechen. </w:t>
      </w:r>
      <w:r w:rsidRPr="000F5B67">
        <w:rPr>
          <w:rFonts w:eastAsia="Times New Roman" w:cs="Times New Roman"/>
          <w:b/>
          <w:bCs/>
          <w:rtl/>
          <w:lang w:eastAsia="de-DE"/>
        </w:rPr>
        <w:t>לאמר</w:t>
      </w:r>
      <w:r w:rsidRPr="000F5B67">
        <w:rPr>
          <w:rFonts w:eastAsia="Times New Roman" w:cs="Times New Roman"/>
          <w:rtl/>
          <w:lang w:eastAsia="de-DE"/>
        </w:rPr>
        <w:t xml:space="preserve"> </w:t>
      </w:r>
      <w:r w:rsidRPr="000F5B67">
        <w:rPr>
          <w:rFonts w:eastAsia="Times New Roman" w:cs="Times New Roman"/>
          <w:lang w:eastAsia="de-DE"/>
        </w:rPr>
        <w:t>(sagend) leitet die Vorschriften über Opfertierqualität ein.</w:t>
      </w:r>
    </w:p>
    <w:p w14:paraId="47A70F2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leitet einen neuen Abschnitt über die Qualitätsanforderungen an Opfertiere ein.</w:t>
      </w:r>
    </w:p>
    <w:p w14:paraId="6EFD5C14"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22,18</w:t>
      </w:r>
    </w:p>
    <w:p w14:paraId="08C2505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דַּבֵּ֨ר אֶֽל־אַהֲרֹ֜ן וְאֶל־בָּנָ֗יו וְאֶל֙ כָּל־בְּנֵ֣י יִשְׂרָאֵ֔ל וְאָמַרְתָּ֖ אֲלֵהֶ֑ם אִ֣ישׁ אִישׁ֩ מִבֵּ֨ית יִשְׂרָאֵ֜ל וּמִן־הַגֵּ֣ר בְּיִשְׂרָאֵ֗ל אֲשֶׁ֨ר יַקְרִ֤יב קָרְבָּנוֹ֙ לְכָל־נִדְרֵיהֶם֙ וּלְכָל־נִדְבוֹתָ֔ם אֲשֶׁר־יַקְרִ֥יבוּ לַיהוָ֖ה לְעֹלָֽה׃</w:t>
      </w:r>
    </w:p>
    <w:p w14:paraId="21911B29" w14:textId="34A599A4"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Rede zu Aharon und zu seinen Söhnen und zu allen Kindern Israels und sage ihnen: Jedermann vom Haus Israel und von den Fremden in Israel, der seine Opfergabe darbringt, nach all ihren Gelübden und nach all ihren freiwilligen Gaben, die sie dem Ewigen als </w:t>
      </w:r>
      <w:r w:rsidR="00DE39DD">
        <w:rPr>
          <w:rFonts w:eastAsia="Times New Roman" w:cs="Times New Roman"/>
          <w:lang w:eastAsia="de-DE"/>
        </w:rPr>
        <w:t>Aufsteigeopfer</w:t>
      </w:r>
      <w:r w:rsidRPr="000F5B67">
        <w:rPr>
          <w:rFonts w:eastAsia="Times New Roman" w:cs="Times New Roman"/>
          <w:lang w:eastAsia="de-DE"/>
        </w:rPr>
        <w:t xml:space="preserve"> darbringen -</w:t>
      </w:r>
    </w:p>
    <w:p w14:paraId="56CBA98B"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3992575">
          <v:rect id="_x0000_i1666" style="width:0;height:1.5pt" o:hralign="center" o:hrstd="t" o:hr="t" fillcolor="#a0a0a0" stroked="f"/>
        </w:pict>
      </w:r>
    </w:p>
    <w:p w14:paraId="5E34156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דבר אל־אהרן ואל־בניו ואל כל־בני ישראל ואמרת אלהם איש איש מבית ישראל ומן־הגר בישראל אשר יקריב קרבנו לכל־נדריהם ולכל־נדבותם אשר־יקריבו ליהוה לעלה</w:t>
      </w:r>
      <w:r w:rsidRPr="000F5B67">
        <w:rPr>
          <w:rFonts w:eastAsia="Times New Roman" w:cs="Times New Roman"/>
          <w:rtl/>
          <w:lang w:eastAsia="de-DE"/>
        </w:rPr>
        <w:t xml:space="preserve"> </w:t>
      </w:r>
      <w:r w:rsidRPr="000F5B67">
        <w:rPr>
          <w:rFonts w:eastAsia="Times New Roman" w:cs="Times New Roman"/>
          <w:lang w:eastAsia="de-DE"/>
        </w:rPr>
        <w:t xml:space="preserve">zeigt umfassende Adressierung für Opfervorschriften. </w:t>
      </w:r>
      <w:r w:rsidRPr="000F5B67">
        <w:rPr>
          <w:rFonts w:eastAsia="Times New Roman" w:cs="Times New Roman"/>
          <w:b/>
          <w:bCs/>
          <w:rtl/>
          <w:lang w:eastAsia="de-DE"/>
        </w:rPr>
        <w:t>דבר אל־אהרן ואל־בניו ואל כל־בני ישראל</w:t>
      </w:r>
      <w:r w:rsidRPr="000F5B67">
        <w:rPr>
          <w:rFonts w:eastAsia="Times New Roman" w:cs="Times New Roman"/>
          <w:rtl/>
          <w:lang w:eastAsia="de-DE"/>
        </w:rPr>
        <w:t xml:space="preserve"> </w:t>
      </w:r>
      <w:r w:rsidRPr="000F5B67">
        <w:rPr>
          <w:rFonts w:eastAsia="Times New Roman" w:cs="Times New Roman"/>
          <w:lang w:eastAsia="de-DE"/>
        </w:rPr>
        <w:t>(rede zu Aharon und zu seinen Söhnen und zu allen Kindern Israels) zeigt dreifache Adressierung: Hohepriester, Priester und Volk.</w:t>
      </w:r>
    </w:p>
    <w:p w14:paraId="0F27184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איש איש מבית ישראל ומן־הגר בישראל</w:t>
      </w:r>
      <w:r w:rsidRPr="000F5B67">
        <w:rPr>
          <w:rFonts w:eastAsia="Times New Roman" w:cs="Times New Roman"/>
          <w:rtl/>
          <w:lang w:eastAsia="de-DE"/>
        </w:rPr>
        <w:t xml:space="preserve"> </w:t>
      </w:r>
      <w:r w:rsidRPr="000F5B67">
        <w:rPr>
          <w:rFonts w:eastAsia="Times New Roman" w:cs="Times New Roman"/>
          <w:lang w:eastAsia="de-DE"/>
        </w:rPr>
        <w:t xml:space="preserve">(jedermann vom Haus Israel und von den Fremden in Israel) - </w:t>
      </w:r>
      <w:r w:rsidRPr="000F5B67">
        <w:rPr>
          <w:rFonts w:eastAsia="Times New Roman" w:cs="Times New Roman"/>
          <w:b/>
          <w:bCs/>
          <w:rtl/>
          <w:lang w:eastAsia="de-DE"/>
        </w:rPr>
        <w:t>איש איש</w:t>
      </w:r>
      <w:r w:rsidRPr="000F5B67">
        <w:rPr>
          <w:rFonts w:eastAsia="Times New Roman" w:cs="Times New Roman"/>
          <w:rtl/>
          <w:lang w:eastAsia="de-DE"/>
        </w:rPr>
        <w:t xml:space="preserve"> </w:t>
      </w:r>
      <w:r w:rsidRPr="000F5B67">
        <w:rPr>
          <w:rFonts w:eastAsia="Times New Roman" w:cs="Times New Roman"/>
          <w:lang w:eastAsia="de-DE"/>
        </w:rPr>
        <w:t xml:space="preserve">als distributive Verdopplung zeigt universelle Anwendung. </w:t>
      </w:r>
      <w:r w:rsidRPr="000F5B67">
        <w:rPr>
          <w:rFonts w:eastAsia="Times New Roman" w:cs="Times New Roman"/>
          <w:b/>
          <w:bCs/>
          <w:rtl/>
          <w:lang w:eastAsia="de-DE"/>
        </w:rPr>
        <w:t>מבית ישראל</w:t>
      </w:r>
      <w:r w:rsidRPr="000F5B67">
        <w:rPr>
          <w:rFonts w:eastAsia="Times New Roman" w:cs="Times New Roman"/>
          <w:rtl/>
          <w:lang w:eastAsia="de-DE"/>
        </w:rPr>
        <w:t xml:space="preserve"> </w:t>
      </w:r>
      <w:r w:rsidRPr="000F5B67">
        <w:rPr>
          <w:rFonts w:eastAsia="Times New Roman" w:cs="Times New Roman"/>
          <w:lang w:eastAsia="de-DE"/>
        </w:rPr>
        <w:t xml:space="preserve">(vom Haus Israel) zeigt Israeliten. </w:t>
      </w:r>
      <w:r w:rsidRPr="000F5B67">
        <w:rPr>
          <w:rFonts w:eastAsia="Times New Roman" w:cs="Times New Roman"/>
          <w:b/>
          <w:bCs/>
          <w:rtl/>
          <w:lang w:eastAsia="de-DE"/>
        </w:rPr>
        <w:t>ומן־הגר בישראל</w:t>
      </w:r>
      <w:r w:rsidRPr="000F5B67">
        <w:rPr>
          <w:rFonts w:eastAsia="Times New Roman" w:cs="Times New Roman"/>
          <w:rtl/>
          <w:lang w:eastAsia="de-DE"/>
        </w:rPr>
        <w:t xml:space="preserve"> </w:t>
      </w:r>
      <w:r w:rsidRPr="000F5B67">
        <w:rPr>
          <w:rFonts w:eastAsia="Times New Roman" w:cs="Times New Roman"/>
          <w:lang w:eastAsia="de-DE"/>
        </w:rPr>
        <w:t>(und von den Fremden in Israel) zeigt ansässige Fremde.</w:t>
      </w:r>
    </w:p>
    <w:p w14:paraId="69DBCE5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אשר יקריב קרבנו לכל־נדריהם ולכל־נדבותם</w:t>
      </w:r>
      <w:r w:rsidRPr="000F5B67">
        <w:rPr>
          <w:rFonts w:eastAsia="Times New Roman" w:cs="Times New Roman"/>
          <w:rtl/>
          <w:lang w:eastAsia="de-DE"/>
        </w:rPr>
        <w:t xml:space="preserve"> </w:t>
      </w:r>
      <w:r w:rsidRPr="000F5B67">
        <w:rPr>
          <w:rFonts w:eastAsia="Times New Roman" w:cs="Times New Roman"/>
          <w:lang w:eastAsia="de-DE"/>
        </w:rPr>
        <w:t xml:space="preserve">(der seine Opfergabe darbringt, nach all ihren Gelübden und nach all ihren freiwilligen Gaben) - </w:t>
      </w:r>
      <w:r w:rsidRPr="000F5B67">
        <w:rPr>
          <w:rFonts w:eastAsia="Times New Roman" w:cs="Times New Roman"/>
          <w:b/>
          <w:bCs/>
          <w:rtl/>
          <w:lang w:eastAsia="de-DE"/>
        </w:rPr>
        <w:t>יקריב קרבנו</w:t>
      </w:r>
      <w:r w:rsidRPr="000F5B67">
        <w:rPr>
          <w:rFonts w:eastAsia="Times New Roman" w:cs="Times New Roman"/>
          <w:rtl/>
          <w:lang w:eastAsia="de-DE"/>
        </w:rPr>
        <w:t xml:space="preserve"> </w:t>
      </w:r>
      <w:r w:rsidRPr="000F5B67">
        <w:rPr>
          <w:rFonts w:eastAsia="Times New Roman" w:cs="Times New Roman"/>
          <w:lang w:eastAsia="de-DE"/>
        </w:rPr>
        <w:t xml:space="preserve">(bringt seine Opfergabe dar) im Hifil-Imperfekt. </w:t>
      </w:r>
      <w:r w:rsidRPr="000F5B67">
        <w:rPr>
          <w:rFonts w:eastAsia="Times New Roman" w:cs="Times New Roman"/>
          <w:b/>
          <w:bCs/>
          <w:rtl/>
          <w:lang w:eastAsia="de-DE"/>
        </w:rPr>
        <w:t>לכל־נדריהם</w:t>
      </w:r>
      <w:r w:rsidRPr="000F5B67">
        <w:rPr>
          <w:rFonts w:eastAsia="Times New Roman" w:cs="Times New Roman"/>
          <w:rtl/>
          <w:lang w:eastAsia="de-DE"/>
        </w:rPr>
        <w:t xml:space="preserve"> </w:t>
      </w:r>
      <w:r w:rsidRPr="000F5B67">
        <w:rPr>
          <w:rFonts w:eastAsia="Times New Roman" w:cs="Times New Roman"/>
          <w:lang w:eastAsia="de-DE"/>
        </w:rPr>
        <w:t xml:space="preserve">(für alle ihre Gelübde) zeigt Gelübdeopfer. </w:t>
      </w:r>
      <w:r w:rsidRPr="000F5B67">
        <w:rPr>
          <w:rFonts w:eastAsia="Times New Roman" w:cs="Times New Roman"/>
          <w:b/>
          <w:bCs/>
          <w:rtl/>
          <w:lang w:eastAsia="de-DE"/>
        </w:rPr>
        <w:t>ולכל־נדבותם</w:t>
      </w:r>
      <w:r w:rsidRPr="000F5B67">
        <w:rPr>
          <w:rFonts w:eastAsia="Times New Roman" w:cs="Times New Roman"/>
          <w:rtl/>
          <w:lang w:eastAsia="de-DE"/>
        </w:rPr>
        <w:t xml:space="preserve"> </w:t>
      </w:r>
      <w:r w:rsidRPr="000F5B67">
        <w:rPr>
          <w:rFonts w:eastAsia="Times New Roman" w:cs="Times New Roman"/>
          <w:lang w:eastAsia="de-DE"/>
        </w:rPr>
        <w:t>(und für alle ihre freiwilligen Gaben) zeigt Freiwilligenopfer.</w:t>
      </w:r>
    </w:p>
    <w:p w14:paraId="308791F5" w14:textId="2BF139A1"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אשר־יקריבו ליהוה לעלה</w:t>
      </w:r>
      <w:r w:rsidRPr="000F5B67">
        <w:rPr>
          <w:rFonts w:eastAsia="Times New Roman" w:cs="Times New Roman"/>
          <w:rtl/>
          <w:lang w:eastAsia="de-DE"/>
        </w:rPr>
        <w:t xml:space="preserve"> </w:t>
      </w:r>
      <w:r w:rsidRPr="000F5B67">
        <w:rPr>
          <w:rFonts w:eastAsia="Times New Roman" w:cs="Times New Roman"/>
          <w:lang w:eastAsia="de-DE"/>
        </w:rPr>
        <w:t xml:space="preserve">(die sie dem Ewigen als </w:t>
      </w:r>
      <w:r w:rsidR="00DE39DD">
        <w:rPr>
          <w:rFonts w:eastAsia="Times New Roman" w:cs="Times New Roman"/>
          <w:lang w:eastAsia="de-DE"/>
        </w:rPr>
        <w:t>Aufsteigeopfer</w:t>
      </w:r>
      <w:r w:rsidRPr="000F5B67">
        <w:rPr>
          <w:rFonts w:eastAsia="Times New Roman" w:cs="Times New Roman"/>
          <w:lang w:eastAsia="de-DE"/>
        </w:rPr>
        <w:t xml:space="preserve"> darbringen) spezifiziert </w:t>
      </w:r>
      <w:r w:rsidRPr="000F5B67">
        <w:rPr>
          <w:rFonts w:eastAsia="Times New Roman" w:cs="Times New Roman"/>
          <w:b/>
          <w:bCs/>
          <w:rtl/>
          <w:lang w:eastAsia="de-DE"/>
        </w:rPr>
        <w:t>עלה</w:t>
      </w:r>
      <w:r w:rsidRPr="000F5B67">
        <w:rPr>
          <w:rFonts w:eastAsia="Times New Roman" w:cs="Times New Roman"/>
          <w:rtl/>
          <w:lang w:eastAsia="de-DE"/>
        </w:rPr>
        <w:t xml:space="preserve"> </w:t>
      </w:r>
      <w:r w:rsidRPr="000F5B67">
        <w:rPr>
          <w:rFonts w:eastAsia="Times New Roman" w:cs="Times New Roman"/>
          <w:lang w:eastAsia="de-DE"/>
        </w:rPr>
        <w:t>(</w:t>
      </w:r>
      <w:r w:rsidR="00DE39DD">
        <w:rPr>
          <w:rFonts w:eastAsia="Times New Roman" w:cs="Times New Roman"/>
          <w:lang w:eastAsia="de-DE"/>
        </w:rPr>
        <w:t>Aufsteigeopfer</w:t>
      </w:r>
      <w:r w:rsidRPr="000F5B67">
        <w:rPr>
          <w:rFonts w:eastAsia="Times New Roman" w:cs="Times New Roman"/>
          <w:lang w:eastAsia="de-DE"/>
        </w:rPr>
        <w:t>) als Opferart.</w:t>
      </w:r>
    </w:p>
    <w:p w14:paraId="5BF7403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איש איש</w:t>
      </w:r>
      <w:r w:rsidRPr="000F5B67">
        <w:rPr>
          <w:rFonts w:eastAsia="Times New Roman" w:cs="Times New Roman"/>
          <w:rtl/>
          <w:lang w:eastAsia="de-DE"/>
        </w:rPr>
        <w:t xml:space="preserve"> </w:t>
      </w:r>
      <w:r w:rsidRPr="000F5B67">
        <w:rPr>
          <w:rFonts w:eastAsia="Times New Roman" w:cs="Times New Roman"/>
          <w:lang w:eastAsia="de-DE"/>
        </w:rPr>
        <w:t xml:space="preserve">betont universelle Gültigkeit. </w:t>
      </w:r>
      <w:r w:rsidRPr="000F5B67">
        <w:rPr>
          <w:rFonts w:eastAsia="Times New Roman" w:cs="Times New Roman"/>
          <w:b/>
          <w:bCs/>
          <w:rtl/>
          <w:lang w:eastAsia="de-DE"/>
        </w:rPr>
        <w:t>מבית ישראל ומן־הגר</w:t>
      </w:r>
      <w:r w:rsidRPr="000F5B67">
        <w:rPr>
          <w:rFonts w:eastAsia="Times New Roman" w:cs="Times New Roman"/>
          <w:rtl/>
          <w:lang w:eastAsia="de-DE"/>
        </w:rPr>
        <w:t xml:space="preserve"> </w:t>
      </w:r>
      <w:r w:rsidRPr="000F5B67">
        <w:rPr>
          <w:rFonts w:eastAsia="Times New Roman" w:cs="Times New Roman"/>
          <w:lang w:eastAsia="de-DE"/>
        </w:rPr>
        <w:t xml:space="preserve">schließt Fremde ein. </w:t>
      </w:r>
      <w:r w:rsidRPr="000F5B67">
        <w:rPr>
          <w:rFonts w:eastAsia="Times New Roman" w:cs="Times New Roman"/>
          <w:b/>
          <w:bCs/>
          <w:rtl/>
          <w:lang w:eastAsia="de-DE"/>
        </w:rPr>
        <w:t>נדריהם</w:t>
      </w:r>
      <w:r w:rsidRPr="000F5B67">
        <w:rPr>
          <w:rFonts w:eastAsia="Times New Roman" w:cs="Times New Roman"/>
          <w:rtl/>
          <w:lang w:eastAsia="de-DE"/>
        </w:rPr>
        <w:t xml:space="preserve"> </w:t>
      </w:r>
      <w:r w:rsidRPr="000F5B67">
        <w:rPr>
          <w:rFonts w:eastAsia="Times New Roman" w:cs="Times New Roman"/>
          <w:lang w:eastAsia="de-DE"/>
        </w:rPr>
        <w:t xml:space="preserve">und </w:t>
      </w:r>
      <w:r w:rsidRPr="000F5B67">
        <w:rPr>
          <w:rFonts w:eastAsia="Times New Roman" w:cs="Times New Roman"/>
          <w:b/>
          <w:bCs/>
          <w:rtl/>
          <w:lang w:eastAsia="de-DE"/>
        </w:rPr>
        <w:t>נדבותם</w:t>
      </w:r>
      <w:r w:rsidRPr="000F5B67">
        <w:rPr>
          <w:rFonts w:eastAsia="Times New Roman" w:cs="Times New Roman"/>
          <w:rtl/>
          <w:lang w:eastAsia="de-DE"/>
        </w:rPr>
        <w:t xml:space="preserve"> </w:t>
      </w:r>
      <w:r w:rsidRPr="000F5B67">
        <w:rPr>
          <w:rFonts w:eastAsia="Times New Roman" w:cs="Times New Roman"/>
          <w:lang w:eastAsia="de-DE"/>
        </w:rPr>
        <w:t xml:space="preserve">als zwei Arten freiwilliger Opfer. </w:t>
      </w:r>
      <w:r w:rsidRPr="000F5B67">
        <w:rPr>
          <w:rFonts w:eastAsia="Times New Roman" w:cs="Times New Roman"/>
          <w:b/>
          <w:bCs/>
          <w:rtl/>
          <w:lang w:eastAsia="de-DE"/>
        </w:rPr>
        <w:t>לעלה</w:t>
      </w:r>
      <w:r w:rsidRPr="000F5B67">
        <w:rPr>
          <w:rFonts w:eastAsia="Times New Roman" w:cs="Times New Roman"/>
          <w:rtl/>
          <w:lang w:eastAsia="de-DE"/>
        </w:rPr>
        <w:t xml:space="preserve"> </w:t>
      </w:r>
      <w:r w:rsidRPr="000F5B67">
        <w:rPr>
          <w:rFonts w:eastAsia="Times New Roman" w:cs="Times New Roman"/>
          <w:lang w:eastAsia="de-DE"/>
        </w:rPr>
        <w:t>als spezifische Opferart.</w:t>
      </w:r>
    </w:p>
    <w:p w14:paraId="37685501" w14:textId="7E9FAD55"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Die LXX</w:t>
      </w:r>
      <w:r w:rsidRPr="000F5B67">
        <w:rPr>
          <w:rFonts w:eastAsia="Times New Roman" w:cs="Times New Roman"/>
          <w:lang w:eastAsia="de-DE"/>
        </w:rPr>
        <w:t xml:space="preserve"> </w:t>
      </w:r>
      <w:r w:rsidR="0007678B">
        <w:t xml:space="preserve">übersetzt </w:t>
      </w:r>
      <w:r w:rsidR="0007678B">
        <w:rPr>
          <w:rtl/>
        </w:rPr>
        <w:t>נדר</w:t>
      </w:r>
      <w:r w:rsidR="0007678B">
        <w:t xml:space="preserve"> (</w:t>
      </w:r>
      <w:proofErr w:type="spellStart"/>
      <w:r w:rsidR="0007678B">
        <w:t>neder</w:t>
      </w:r>
      <w:proofErr w:type="spellEnd"/>
      <w:r w:rsidR="0007678B">
        <w:t xml:space="preserve"> - "Gelübde") als </w:t>
      </w:r>
      <w:proofErr w:type="spellStart"/>
      <w:r w:rsidR="0007678B">
        <w:t>ὁμολογί</w:t>
      </w:r>
      <w:proofErr w:type="spellEnd"/>
      <w:r w:rsidR="0007678B">
        <w:t xml:space="preserve">α (Bekenntnis/Versprechen) und </w:t>
      </w:r>
      <w:r w:rsidR="0007678B">
        <w:rPr>
          <w:rtl/>
        </w:rPr>
        <w:t>נדבה</w:t>
      </w:r>
      <w:r w:rsidR="0007678B">
        <w:t xml:space="preserve"> (</w:t>
      </w:r>
      <w:proofErr w:type="spellStart"/>
      <w:r w:rsidR="0007678B">
        <w:t>nedava</w:t>
      </w:r>
      <w:proofErr w:type="spellEnd"/>
      <w:r w:rsidR="0007678B">
        <w:t xml:space="preserve"> - "Freiwilligengabe") als α</w:t>
      </w:r>
      <w:proofErr w:type="spellStart"/>
      <w:r w:rsidR="0007678B">
        <w:t>ἵρεσις</w:t>
      </w:r>
      <w:proofErr w:type="spellEnd"/>
      <w:r w:rsidR="0007678B">
        <w:t xml:space="preserve"> (Wahl/freie Entscheidung).</w:t>
      </w:r>
    </w:p>
    <w:p w14:paraId="3891CFF8" w14:textId="0E25947B"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umfassende Opfervorschriften: dreifache Adressierung + universelle Anwendung auf Israeliten und Fremde + zwei freiwillige Opferarten + </w:t>
      </w:r>
      <w:r w:rsidR="00DE39DD">
        <w:rPr>
          <w:rFonts w:eastAsia="Times New Roman" w:cs="Times New Roman"/>
          <w:lang w:eastAsia="de-DE"/>
        </w:rPr>
        <w:t>Aufsteigeopfer</w:t>
      </w:r>
      <w:r w:rsidRPr="000F5B67">
        <w:rPr>
          <w:rFonts w:eastAsia="Times New Roman" w:cs="Times New Roman"/>
          <w:lang w:eastAsia="de-DE"/>
        </w:rPr>
        <w:t>-Spezifikation.</w:t>
      </w:r>
    </w:p>
    <w:p w14:paraId="4CE4374F" w14:textId="5D837E6A"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Dieser Vers etabliert universelle Opfervorschriften für alle Bewohner Israels bei freiwilligen </w:t>
      </w:r>
      <w:r w:rsidR="00DE39DD">
        <w:rPr>
          <w:rFonts w:eastAsia="Times New Roman" w:cs="Times New Roman"/>
          <w:lang w:eastAsia="de-DE"/>
        </w:rPr>
        <w:t>Aufsteigeopfer</w:t>
      </w:r>
      <w:r w:rsidRPr="000F5B67">
        <w:rPr>
          <w:rFonts w:eastAsia="Times New Roman" w:cs="Times New Roman"/>
          <w:lang w:eastAsia="de-DE"/>
        </w:rPr>
        <w:t>n.</w:t>
      </w:r>
    </w:p>
    <w:p w14:paraId="4DDACEAB"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22,19</w:t>
      </w:r>
    </w:p>
    <w:p w14:paraId="5E37475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לִֽרְצֹנְכֶ֑ם תָּמִ֣ים זָכָ֔ר בַּבָּקָ֕ר בַּכְּשָׂבִ֖ים וּבָֽעִזִּֽים׃</w:t>
      </w:r>
    </w:p>
    <w:p w14:paraId="09B8E7E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Zum Wohlgefallen für euch soll es ein fehlerfreies männliches Tier sein, von den Rindern, von den Schafen oder von den Ziegen.</w:t>
      </w:r>
    </w:p>
    <w:p w14:paraId="15A5D9E5"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34BF3341">
          <v:rect id="_x0000_i1667" style="width:0;height:1.5pt" o:hralign="center" o:hrstd="t" o:hr="t" fillcolor="#a0a0a0" stroked="f"/>
        </w:pict>
      </w:r>
    </w:p>
    <w:p w14:paraId="16A4F086" w14:textId="3C6E2E38"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לרצנכם תמים זכר בבקר בכשבים ובעזים</w:t>
      </w:r>
      <w:r w:rsidRPr="000F5B67">
        <w:rPr>
          <w:rFonts w:eastAsia="Times New Roman" w:cs="Times New Roman"/>
          <w:rtl/>
          <w:lang w:eastAsia="de-DE"/>
        </w:rPr>
        <w:t xml:space="preserve"> </w:t>
      </w:r>
      <w:r w:rsidRPr="000F5B67">
        <w:rPr>
          <w:rFonts w:eastAsia="Times New Roman" w:cs="Times New Roman"/>
          <w:lang w:eastAsia="de-DE"/>
        </w:rPr>
        <w:t xml:space="preserve">etabliert die Grundanforderungen für </w:t>
      </w:r>
      <w:r w:rsidR="00DE39DD">
        <w:rPr>
          <w:rFonts w:eastAsia="Times New Roman" w:cs="Times New Roman"/>
          <w:lang w:eastAsia="de-DE"/>
        </w:rPr>
        <w:t>Aufsteigeopfer</w:t>
      </w:r>
      <w:r w:rsidRPr="000F5B67">
        <w:rPr>
          <w:rFonts w:eastAsia="Times New Roman" w:cs="Times New Roman"/>
          <w:lang w:eastAsia="de-DE"/>
        </w:rPr>
        <w:t xml:space="preserve">. </w:t>
      </w:r>
      <w:r w:rsidRPr="000F5B67">
        <w:rPr>
          <w:rFonts w:eastAsia="Times New Roman" w:cs="Times New Roman"/>
          <w:b/>
          <w:bCs/>
          <w:rtl/>
          <w:lang w:eastAsia="de-DE"/>
        </w:rPr>
        <w:t>לרצנכם</w:t>
      </w:r>
      <w:r w:rsidRPr="000F5B67">
        <w:rPr>
          <w:rFonts w:eastAsia="Times New Roman" w:cs="Times New Roman"/>
          <w:rtl/>
          <w:lang w:eastAsia="de-DE"/>
        </w:rPr>
        <w:t xml:space="preserve"> </w:t>
      </w:r>
      <w:r w:rsidRPr="000F5B67">
        <w:rPr>
          <w:rFonts w:eastAsia="Times New Roman" w:cs="Times New Roman"/>
          <w:lang w:eastAsia="de-DE"/>
        </w:rPr>
        <w:t xml:space="preserve">(zum Wohlgefallen für euch) - </w:t>
      </w:r>
      <w:r w:rsidRPr="000F5B67">
        <w:rPr>
          <w:rFonts w:eastAsia="Times New Roman" w:cs="Times New Roman"/>
          <w:b/>
          <w:bCs/>
          <w:rtl/>
          <w:lang w:eastAsia="de-DE"/>
        </w:rPr>
        <w:t>לרצון</w:t>
      </w:r>
      <w:r w:rsidRPr="000F5B67">
        <w:rPr>
          <w:rFonts w:eastAsia="Times New Roman" w:cs="Times New Roman"/>
          <w:rtl/>
          <w:lang w:eastAsia="de-DE"/>
        </w:rPr>
        <w:t xml:space="preserve"> </w:t>
      </w:r>
      <w:r w:rsidRPr="000F5B67">
        <w:rPr>
          <w:rFonts w:eastAsia="Times New Roman" w:cs="Times New Roman"/>
          <w:lang w:eastAsia="de-DE"/>
        </w:rPr>
        <w:t xml:space="preserve">(zum Wohlgefallen) entspricht 1,3 und zeigt göttliche Annahme als Ziel. </w:t>
      </w:r>
      <w:r w:rsidRPr="000F5B67">
        <w:rPr>
          <w:rFonts w:eastAsia="Times New Roman" w:cs="Times New Roman"/>
          <w:b/>
          <w:bCs/>
          <w:rtl/>
          <w:lang w:eastAsia="de-DE"/>
        </w:rPr>
        <w:t>תמים זכר</w:t>
      </w:r>
      <w:r w:rsidRPr="000F5B67">
        <w:rPr>
          <w:rFonts w:eastAsia="Times New Roman" w:cs="Times New Roman"/>
          <w:rtl/>
          <w:lang w:eastAsia="de-DE"/>
        </w:rPr>
        <w:t xml:space="preserve"> </w:t>
      </w:r>
      <w:r w:rsidRPr="000F5B67">
        <w:rPr>
          <w:rFonts w:eastAsia="Times New Roman" w:cs="Times New Roman"/>
          <w:lang w:eastAsia="de-DE"/>
        </w:rPr>
        <w:t>(fehlerfrei männlich) zeigt zwei Grundanforderungen:</w:t>
      </w:r>
    </w:p>
    <w:p w14:paraId="50ABFF59" w14:textId="77777777" w:rsidR="000F5B67" w:rsidRPr="000F5B67" w:rsidRDefault="000F5B67" w:rsidP="000F5B67">
      <w:pPr>
        <w:numPr>
          <w:ilvl w:val="0"/>
          <w:numId w:val="10"/>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תמים</w:t>
      </w:r>
      <w:r w:rsidRPr="000F5B67">
        <w:rPr>
          <w:rFonts w:eastAsia="Times New Roman" w:cs="Times New Roman"/>
          <w:rtl/>
          <w:lang w:eastAsia="de-DE"/>
        </w:rPr>
        <w:t xml:space="preserve"> </w:t>
      </w:r>
      <w:r w:rsidRPr="000F5B67">
        <w:rPr>
          <w:rFonts w:eastAsia="Times New Roman" w:cs="Times New Roman"/>
          <w:lang w:eastAsia="de-DE"/>
        </w:rPr>
        <w:t>(fehlerfrei) zeigt körperliche Vollkommenheit</w:t>
      </w:r>
    </w:p>
    <w:p w14:paraId="716FDBC9" w14:textId="77777777" w:rsidR="000F5B67" w:rsidRPr="000F5B67" w:rsidRDefault="000F5B67" w:rsidP="000F5B67">
      <w:pPr>
        <w:numPr>
          <w:ilvl w:val="0"/>
          <w:numId w:val="10"/>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זכר</w:t>
      </w:r>
      <w:r w:rsidRPr="000F5B67">
        <w:rPr>
          <w:rFonts w:eastAsia="Times New Roman" w:cs="Times New Roman"/>
          <w:rtl/>
          <w:lang w:eastAsia="de-DE"/>
        </w:rPr>
        <w:t xml:space="preserve"> </w:t>
      </w:r>
      <w:r w:rsidRPr="000F5B67">
        <w:rPr>
          <w:rFonts w:eastAsia="Times New Roman" w:cs="Times New Roman"/>
          <w:lang w:eastAsia="de-DE"/>
        </w:rPr>
        <w:t>(männlich) zeigt Geschlechtsanforderung</w:t>
      </w:r>
    </w:p>
    <w:p w14:paraId="6B4FA1C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בבקר בכשבים ובעזים</w:t>
      </w:r>
      <w:r w:rsidRPr="000F5B67">
        <w:rPr>
          <w:rFonts w:eastAsia="Times New Roman" w:cs="Times New Roman"/>
          <w:rtl/>
          <w:lang w:eastAsia="de-DE"/>
        </w:rPr>
        <w:t xml:space="preserve"> </w:t>
      </w:r>
      <w:r w:rsidRPr="000F5B67">
        <w:rPr>
          <w:rFonts w:eastAsia="Times New Roman" w:cs="Times New Roman"/>
          <w:lang w:eastAsia="de-DE"/>
        </w:rPr>
        <w:t>(von den Rindern, von den Schafen oder von den Ziegen) zeigt drei erlaubte Tierarten entsprechend Lev 1.</w:t>
      </w:r>
    </w:p>
    <w:p w14:paraId="68FE67EB" w14:textId="32E53E5D"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לרצנכם</w:t>
      </w:r>
      <w:r w:rsidRPr="000F5B67">
        <w:rPr>
          <w:rFonts w:eastAsia="Times New Roman" w:cs="Times New Roman"/>
          <w:rtl/>
          <w:lang w:eastAsia="de-DE"/>
        </w:rPr>
        <w:t xml:space="preserve"> </w:t>
      </w:r>
      <w:r w:rsidRPr="000F5B67">
        <w:rPr>
          <w:rFonts w:eastAsia="Times New Roman" w:cs="Times New Roman"/>
          <w:lang w:eastAsia="de-DE"/>
        </w:rPr>
        <w:t xml:space="preserve">zeigt göttliches Wohlgefallen als Zweck des Opfers. </w:t>
      </w:r>
      <w:r w:rsidRPr="000F5B67">
        <w:rPr>
          <w:rFonts w:eastAsia="Times New Roman" w:cs="Times New Roman"/>
          <w:b/>
          <w:bCs/>
          <w:rtl/>
          <w:lang w:eastAsia="de-DE"/>
        </w:rPr>
        <w:t>תמים</w:t>
      </w:r>
      <w:r w:rsidRPr="000F5B67">
        <w:rPr>
          <w:rFonts w:eastAsia="Times New Roman" w:cs="Times New Roman"/>
          <w:rtl/>
          <w:lang w:eastAsia="de-DE"/>
        </w:rPr>
        <w:t xml:space="preserve"> </w:t>
      </w:r>
      <w:r w:rsidRPr="000F5B67">
        <w:rPr>
          <w:rFonts w:eastAsia="Times New Roman" w:cs="Times New Roman"/>
          <w:lang w:eastAsia="de-DE"/>
        </w:rPr>
        <w:t xml:space="preserve">als Grundvoraussetzung entspricht der priesterlichen Vollkommenheit aus Kap 21. </w:t>
      </w:r>
      <w:r w:rsidRPr="000F5B67">
        <w:rPr>
          <w:rFonts w:eastAsia="Times New Roman" w:cs="Times New Roman"/>
          <w:b/>
          <w:bCs/>
          <w:rtl/>
          <w:lang w:eastAsia="de-DE"/>
        </w:rPr>
        <w:t>זכר</w:t>
      </w:r>
      <w:r w:rsidRPr="000F5B67">
        <w:rPr>
          <w:rFonts w:eastAsia="Times New Roman" w:cs="Times New Roman"/>
          <w:rtl/>
          <w:lang w:eastAsia="de-DE"/>
        </w:rPr>
        <w:t xml:space="preserve"> </w:t>
      </w:r>
      <w:r w:rsidRPr="000F5B67">
        <w:rPr>
          <w:rFonts w:eastAsia="Times New Roman" w:cs="Times New Roman"/>
          <w:lang w:eastAsia="de-DE"/>
        </w:rPr>
        <w:t xml:space="preserve">als Geschlechtsanforderung für </w:t>
      </w:r>
      <w:r w:rsidR="00DE39DD">
        <w:rPr>
          <w:rFonts w:eastAsia="Times New Roman" w:cs="Times New Roman"/>
          <w:lang w:eastAsia="de-DE"/>
        </w:rPr>
        <w:t>Aufsteigeopfer</w:t>
      </w:r>
      <w:r w:rsidRPr="000F5B67">
        <w:rPr>
          <w:rFonts w:eastAsia="Times New Roman" w:cs="Times New Roman"/>
          <w:lang w:eastAsia="de-DE"/>
        </w:rPr>
        <w:t>. Die drei Tierarten entsprechen den grundlegenden Opfertieren.</w:t>
      </w:r>
    </w:p>
    <w:p w14:paraId="02E5A2B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לרצנכם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δεκτὸν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ὑμῖν</w:t>
      </w:r>
      <w:proofErr w:type="spellEnd"/>
      <w:r w:rsidRPr="000F5B67">
        <w:rPr>
          <w:rFonts w:eastAsia="Times New Roman" w:cs="Times New Roman"/>
          <w:lang w:eastAsia="de-DE"/>
        </w:rPr>
        <w:t xml:space="preserve"> (annehmbar für euch), </w:t>
      </w:r>
      <w:r w:rsidRPr="000F5B67">
        <w:rPr>
          <w:rFonts w:eastAsia="Times New Roman" w:cs="Times New Roman"/>
          <w:b/>
          <w:bCs/>
          <w:rtl/>
          <w:lang w:eastAsia="de-DE"/>
        </w:rPr>
        <w:t>תמים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ἄμωμον</w:t>
      </w:r>
      <w:proofErr w:type="spellEnd"/>
      <w:r w:rsidRPr="000F5B67">
        <w:rPr>
          <w:rFonts w:eastAsia="Times New Roman" w:cs="Times New Roman"/>
          <w:lang w:eastAsia="de-DE"/>
        </w:rPr>
        <w:t xml:space="preserve"> (fehlerfrei), </w:t>
      </w:r>
      <w:r w:rsidRPr="000F5B67">
        <w:rPr>
          <w:rFonts w:eastAsia="Times New Roman" w:cs="Times New Roman"/>
          <w:b/>
          <w:bCs/>
          <w:rtl/>
          <w:lang w:eastAsia="de-DE"/>
        </w:rPr>
        <w:t>זכר</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ἄρσεν</w:t>
      </w:r>
      <w:proofErr w:type="spellEnd"/>
      <w:r w:rsidRPr="000F5B67">
        <w:rPr>
          <w:rFonts w:eastAsia="Times New Roman" w:cs="Times New Roman"/>
          <w:lang w:eastAsia="de-DE"/>
        </w:rPr>
        <w:t xml:space="preserve"> (männlich), </w:t>
      </w:r>
      <w:r w:rsidRPr="000F5B67">
        <w:rPr>
          <w:rFonts w:eastAsia="Times New Roman" w:cs="Times New Roman"/>
          <w:b/>
          <w:bCs/>
          <w:rtl/>
          <w:lang w:eastAsia="de-DE"/>
        </w:rPr>
        <w:t>בבקר</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β</w:t>
      </w:r>
      <w:proofErr w:type="spellStart"/>
      <w:r w:rsidRPr="000F5B67">
        <w:rPr>
          <w:rFonts w:eastAsia="Times New Roman" w:cs="Times New Roman"/>
          <w:lang w:eastAsia="de-DE"/>
        </w:rPr>
        <w:t>οῶν</w:t>
      </w:r>
      <w:proofErr w:type="spellEnd"/>
      <w:r w:rsidRPr="000F5B67">
        <w:rPr>
          <w:rFonts w:eastAsia="Times New Roman" w:cs="Times New Roman"/>
          <w:lang w:eastAsia="de-DE"/>
        </w:rPr>
        <w:t xml:space="preserve"> (von den Rindern), </w:t>
      </w:r>
      <w:r w:rsidRPr="000F5B67">
        <w:rPr>
          <w:rFonts w:eastAsia="Times New Roman" w:cs="Times New Roman"/>
          <w:b/>
          <w:bCs/>
          <w:rtl/>
          <w:lang w:eastAsia="de-DE"/>
        </w:rPr>
        <w:t>בכשבים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π</w:t>
      </w:r>
      <w:proofErr w:type="spellStart"/>
      <w:r w:rsidRPr="000F5B67">
        <w:rPr>
          <w:rFonts w:eastAsia="Times New Roman" w:cs="Times New Roman"/>
          <w:lang w:eastAsia="de-DE"/>
        </w:rPr>
        <w:t>ρο</w:t>
      </w:r>
      <w:proofErr w:type="spellEnd"/>
      <w:r w:rsidRPr="000F5B67">
        <w:rPr>
          <w:rFonts w:eastAsia="Times New Roman" w:cs="Times New Roman"/>
          <w:lang w:eastAsia="de-DE"/>
        </w:rPr>
        <w:t xml:space="preserve">βάτων (von den Schafen) und </w:t>
      </w:r>
      <w:r w:rsidRPr="000F5B67">
        <w:rPr>
          <w:rFonts w:eastAsia="Times New Roman" w:cs="Times New Roman"/>
          <w:b/>
          <w:bCs/>
          <w:rtl/>
          <w:lang w:eastAsia="de-DE"/>
        </w:rPr>
        <w:t>בעזים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ἰγῶν</w:t>
      </w:r>
      <w:proofErr w:type="spellEnd"/>
      <w:r w:rsidRPr="000F5B67">
        <w:rPr>
          <w:rFonts w:eastAsia="Times New Roman" w:cs="Times New Roman"/>
          <w:lang w:eastAsia="de-DE"/>
        </w:rPr>
        <w:t xml:space="preserve"> (von den Ziegen).</w:t>
      </w:r>
    </w:p>
    <w:p w14:paraId="3EA072D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Opfertier-Grundanforderungen: Wohlgefallen als Zweck + Fehlerfreiheit + männliches Geschlecht + drei Tierarten.</w:t>
      </w:r>
    </w:p>
    <w:p w14:paraId="2C618D14" w14:textId="621AFA15"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Dieser Vers etabliert fehlerfreie männliche Tiere aus drei Arten als Grundanforderung für akzeptable </w:t>
      </w:r>
      <w:r w:rsidR="00DE39DD">
        <w:rPr>
          <w:rFonts w:eastAsia="Times New Roman" w:cs="Times New Roman"/>
          <w:lang w:eastAsia="de-DE"/>
        </w:rPr>
        <w:t>Aufsteigeopfer</w:t>
      </w:r>
      <w:r w:rsidRPr="000F5B67">
        <w:rPr>
          <w:rFonts w:eastAsia="Times New Roman" w:cs="Times New Roman"/>
          <w:lang w:eastAsia="de-DE"/>
        </w:rPr>
        <w:t>.</w:t>
      </w:r>
    </w:p>
    <w:p w14:paraId="356DF7E1"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22,20</w:t>
      </w:r>
    </w:p>
    <w:p w14:paraId="56CB54B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כֹּ֛ל אֲשֶׁר־בּוֹ֥ מ֖וּם לֹ֣א תַקְרִ֑יבוּ כִּי־לֹ֥א לְרָצ֖וֹן יִהְיֶ֥ה לָכֶֽם׃</w:t>
      </w:r>
    </w:p>
    <w:p w14:paraId="517EED5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Deutsch:</w:t>
      </w:r>
      <w:r w:rsidRPr="000F5B67">
        <w:rPr>
          <w:rFonts w:eastAsia="Times New Roman" w:cs="Times New Roman"/>
          <w:lang w:eastAsia="de-DE"/>
        </w:rPr>
        <w:t xml:space="preserve"> Alles, woran ein Makel ist, sollt ihr nicht darbringen, denn es wird euch nicht zum Wohlgefallen sein.</w:t>
      </w:r>
    </w:p>
    <w:p w14:paraId="0D64072A"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261E0235">
          <v:rect id="_x0000_i1668" style="width:0;height:1.5pt" o:hralign="center" o:hrstd="t" o:hr="t" fillcolor="#a0a0a0" stroked="f"/>
        </w:pict>
      </w:r>
    </w:p>
    <w:p w14:paraId="5173809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כל אשר־בו מום לא תקריבו כי־לא לרצון יהיה לכם</w:t>
      </w:r>
      <w:r w:rsidRPr="000F5B67">
        <w:rPr>
          <w:rFonts w:eastAsia="Times New Roman" w:cs="Times New Roman"/>
          <w:rtl/>
          <w:lang w:eastAsia="de-DE"/>
        </w:rPr>
        <w:t xml:space="preserve"> </w:t>
      </w:r>
      <w:r w:rsidRPr="000F5B67">
        <w:rPr>
          <w:rFonts w:eastAsia="Times New Roman" w:cs="Times New Roman"/>
          <w:lang w:eastAsia="de-DE"/>
        </w:rPr>
        <w:t xml:space="preserve">zeigt das universelle Makel-Verbot. </w:t>
      </w:r>
      <w:r w:rsidRPr="000F5B67">
        <w:rPr>
          <w:rFonts w:eastAsia="Times New Roman" w:cs="Times New Roman"/>
          <w:b/>
          <w:bCs/>
          <w:rtl/>
          <w:lang w:eastAsia="de-DE"/>
        </w:rPr>
        <w:t>כל אשר־בו מום</w:t>
      </w:r>
      <w:r w:rsidRPr="000F5B67">
        <w:rPr>
          <w:rFonts w:eastAsia="Times New Roman" w:cs="Times New Roman"/>
          <w:rtl/>
          <w:lang w:eastAsia="de-DE"/>
        </w:rPr>
        <w:t xml:space="preserve"> </w:t>
      </w:r>
      <w:r w:rsidRPr="000F5B67">
        <w:rPr>
          <w:rFonts w:eastAsia="Times New Roman" w:cs="Times New Roman"/>
          <w:lang w:eastAsia="de-DE"/>
        </w:rPr>
        <w:t xml:space="preserve">(alles, woran ein Makel ist) - </w:t>
      </w:r>
      <w:r w:rsidRPr="000F5B67">
        <w:rPr>
          <w:rFonts w:eastAsia="Times New Roman" w:cs="Times New Roman"/>
          <w:b/>
          <w:bCs/>
          <w:rtl/>
          <w:lang w:eastAsia="de-DE"/>
        </w:rPr>
        <w:t>כל</w:t>
      </w:r>
      <w:r w:rsidRPr="000F5B67">
        <w:rPr>
          <w:rFonts w:eastAsia="Times New Roman" w:cs="Times New Roman"/>
          <w:rtl/>
          <w:lang w:eastAsia="de-DE"/>
        </w:rPr>
        <w:t xml:space="preserve"> </w:t>
      </w:r>
      <w:r w:rsidRPr="000F5B67">
        <w:rPr>
          <w:rFonts w:eastAsia="Times New Roman" w:cs="Times New Roman"/>
          <w:lang w:eastAsia="de-DE"/>
        </w:rPr>
        <w:t xml:space="preserve">(alles) zeigt universelle Anwendung. </w:t>
      </w:r>
      <w:r w:rsidRPr="000F5B67">
        <w:rPr>
          <w:rFonts w:eastAsia="Times New Roman" w:cs="Times New Roman"/>
          <w:b/>
          <w:bCs/>
          <w:rtl/>
          <w:lang w:eastAsia="de-DE"/>
        </w:rPr>
        <w:t>אשר־בו מום</w:t>
      </w:r>
      <w:r w:rsidRPr="000F5B67">
        <w:rPr>
          <w:rFonts w:eastAsia="Times New Roman" w:cs="Times New Roman"/>
          <w:rtl/>
          <w:lang w:eastAsia="de-DE"/>
        </w:rPr>
        <w:t xml:space="preserve"> </w:t>
      </w:r>
      <w:r w:rsidRPr="000F5B67">
        <w:rPr>
          <w:rFonts w:eastAsia="Times New Roman" w:cs="Times New Roman"/>
          <w:lang w:eastAsia="de-DE"/>
        </w:rPr>
        <w:t>(woran ein Makel ist) entspricht 21,17 bei Priestern und zeigt körperliche Defekte.</w:t>
      </w:r>
    </w:p>
    <w:p w14:paraId="571912B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תקריבו</w:t>
      </w:r>
      <w:r w:rsidRPr="000F5B67">
        <w:rPr>
          <w:rFonts w:eastAsia="Times New Roman" w:cs="Times New Roman"/>
          <w:rtl/>
          <w:lang w:eastAsia="de-DE"/>
        </w:rPr>
        <w:t xml:space="preserve"> </w:t>
      </w:r>
      <w:r w:rsidRPr="000F5B67">
        <w:rPr>
          <w:rFonts w:eastAsia="Times New Roman" w:cs="Times New Roman"/>
          <w:lang w:eastAsia="de-DE"/>
        </w:rPr>
        <w:t xml:space="preserve">(sollt ihr nicht darbringen) im Hifil-Imperfekt zeigt absolutes Darbringungsverbot. </w:t>
      </w:r>
      <w:r w:rsidRPr="000F5B67">
        <w:rPr>
          <w:rFonts w:eastAsia="Times New Roman" w:cs="Times New Roman"/>
          <w:b/>
          <w:bCs/>
          <w:rtl/>
          <w:lang w:eastAsia="de-DE"/>
        </w:rPr>
        <w:t>כי־לא לרצון יהיה לכם</w:t>
      </w:r>
      <w:r w:rsidRPr="000F5B67">
        <w:rPr>
          <w:rFonts w:eastAsia="Times New Roman" w:cs="Times New Roman"/>
          <w:rtl/>
          <w:lang w:eastAsia="de-DE"/>
        </w:rPr>
        <w:t xml:space="preserve"> </w:t>
      </w:r>
      <w:r w:rsidRPr="000F5B67">
        <w:rPr>
          <w:rFonts w:eastAsia="Times New Roman" w:cs="Times New Roman"/>
          <w:lang w:eastAsia="de-DE"/>
        </w:rPr>
        <w:t xml:space="preserve">(denn es wird euch nicht zum Wohlgefallen sein) - </w:t>
      </w:r>
      <w:r w:rsidRPr="000F5B67">
        <w:rPr>
          <w:rFonts w:eastAsia="Times New Roman" w:cs="Times New Roman"/>
          <w:b/>
          <w:bCs/>
          <w:rtl/>
          <w:lang w:eastAsia="de-DE"/>
        </w:rPr>
        <w:t>לא לרצון יהיה</w:t>
      </w:r>
      <w:r w:rsidRPr="000F5B67">
        <w:rPr>
          <w:rFonts w:eastAsia="Times New Roman" w:cs="Times New Roman"/>
          <w:rtl/>
          <w:lang w:eastAsia="de-DE"/>
        </w:rPr>
        <w:t xml:space="preserve"> </w:t>
      </w:r>
      <w:r w:rsidRPr="000F5B67">
        <w:rPr>
          <w:rFonts w:eastAsia="Times New Roman" w:cs="Times New Roman"/>
          <w:lang w:eastAsia="de-DE"/>
        </w:rPr>
        <w:t>(wird nicht zum Wohlgefallen sein) im Qal-Imperfekt zeigt göttliche Verweigerung der Annahme.</w:t>
      </w:r>
    </w:p>
    <w:p w14:paraId="77F106D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כל אשר־בו מום</w:t>
      </w:r>
      <w:r w:rsidRPr="000F5B67">
        <w:rPr>
          <w:rFonts w:eastAsia="Times New Roman" w:cs="Times New Roman"/>
          <w:rtl/>
          <w:lang w:eastAsia="de-DE"/>
        </w:rPr>
        <w:t xml:space="preserve"> </w:t>
      </w:r>
      <w:r w:rsidRPr="000F5B67">
        <w:rPr>
          <w:rFonts w:eastAsia="Times New Roman" w:cs="Times New Roman"/>
          <w:lang w:eastAsia="de-DE"/>
        </w:rPr>
        <w:t xml:space="preserve">betont ausnahmslose Anwendung. </w:t>
      </w:r>
      <w:r w:rsidRPr="000F5B67">
        <w:rPr>
          <w:rFonts w:eastAsia="Times New Roman" w:cs="Times New Roman"/>
          <w:b/>
          <w:bCs/>
          <w:rtl/>
          <w:lang w:eastAsia="de-DE"/>
        </w:rPr>
        <w:t>לא תקריבו</w:t>
      </w:r>
      <w:r w:rsidRPr="000F5B67">
        <w:rPr>
          <w:rFonts w:eastAsia="Times New Roman" w:cs="Times New Roman"/>
          <w:rtl/>
          <w:lang w:eastAsia="de-DE"/>
        </w:rPr>
        <w:t xml:space="preserve"> </w:t>
      </w:r>
      <w:r w:rsidRPr="000F5B67">
        <w:rPr>
          <w:rFonts w:eastAsia="Times New Roman" w:cs="Times New Roman"/>
          <w:lang w:eastAsia="de-DE"/>
        </w:rPr>
        <w:t xml:space="preserve">als kategorisches Verbot. </w:t>
      </w:r>
      <w:r w:rsidRPr="000F5B67">
        <w:rPr>
          <w:rFonts w:eastAsia="Times New Roman" w:cs="Times New Roman"/>
          <w:b/>
          <w:bCs/>
          <w:rtl/>
          <w:lang w:eastAsia="de-DE"/>
        </w:rPr>
        <w:t>לא לרצון יהיה לכם</w:t>
      </w:r>
      <w:r w:rsidRPr="000F5B67">
        <w:rPr>
          <w:rFonts w:eastAsia="Times New Roman" w:cs="Times New Roman"/>
          <w:rtl/>
          <w:lang w:eastAsia="de-DE"/>
        </w:rPr>
        <w:t xml:space="preserve"> </w:t>
      </w:r>
      <w:r w:rsidRPr="000F5B67">
        <w:rPr>
          <w:rFonts w:eastAsia="Times New Roman" w:cs="Times New Roman"/>
          <w:lang w:eastAsia="de-DE"/>
        </w:rPr>
        <w:t>zeigt, dass fehlerhafte Opfer ihr Ziel verfehlen.</w:t>
      </w:r>
    </w:p>
    <w:p w14:paraId="749F938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כל אשר־בו מום</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άντ</w:t>
      </w:r>
      <w:proofErr w:type="spellEnd"/>
      <w:r w:rsidRPr="000F5B67">
        <w:rPr>
          <w:rFonts w:eastAsia="Times New Roman" w:cs="Times New Roman"/>
          <w:lang w:eastAsia="de-DE"/>
        </w:rPr>
        <w:t xml:space="preserve">α </w:t>
      </w:r>
      <w:proofErr w:type="spellStart"/>
      <w:r w:rsidRPr="000F5B67">
        <w:rPr>
          <w:rFonts w:eastAsia="Times New Roman" w:cs="Times New Roman"/>
          <w:lang w:eastAsia="de-DE"/>
        </w:rPr>
        <w:t>ὅσ</w:t>
      </w:r>
      <w:proofErr w:type="spellEnd"/>
      <w:r w:rsidRPr="000F5B67">
        <w:rPr>
          <w:rFonts w:eastAsia="Times New Roman" w:cs="Times New Roman"/>
          <w:lang w:eastAsia="de-DE"/>
        </w:rPr>
        <w:t xml:space="preserve">α </w:t>
      </w:r>
      <w:proofErr w:type="spellStart"/>
      <w:r w:rsidRPr="000F5B67">
        <w:rPr>
          <w:rFonts w:eastAsia="Times New Roman" w:cs="Times New Roman"/>
          <w:lang w:eastAsia="de-DE"/>
        </w:rPr>
        <w:t>ἔχει</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μῶμον</w:t>
      </w:r>
      <w:proofErr w:type="spellEnd"/>
      <w:r w:rsidRPr="000F5B67">
        <w:rPr>
          <w:rFonts w:eastAsia="Times New Roman" w:cs="Times New Roman"/>
          <w:lang w:eastAsia="de-DE"/>
        </w:rPr>
        <w:t xml:space="preserve"> (alles was einen Makel hat), </w:t>
      </w:r>
      <w:r w:rsidRPr="000F5B67">
        <w:rPr>
          <w:rFonts w:eastAsia="Times New Roman" w:cs="Times New Roman"/>
          <w:b/>
          <w:bCs/>
          <w:rtl/>
          <w:lang w:eastAsia="de-DE"/>
        </w:rPr>
        <w:t>תקריבו</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ροσάξετε</w:t>
      </w:r>
      <w:proofErr w:type="spellEnd"/>
      <w:r w:rsidRPr="000F5B67">
        <w:rPr>
          <w:rFonts w:eastAsia="Times New Roman" w:cs="Times New Roman"/>
          <w:lang w:eastAsia="de-DE"/>
        </w:rPr>
        <w:t xml:space="preserve"> (ihr werdet darbringen), </w:t>
      </w:r>
      <w:r w:rsidRPr="000F5B67">
        <w:rPr>
          <w:rFonts w:eastAsia="Times New Roman" w:cs="Times New Roman"/>
          <w:b/>
          <w:bCs/>
          <w:rtl/>
          <w:lang w:eastAsia="de-DE"/>
        </w:rPr>
        <w:t>לרצון</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δεκτόν</w:t>
      </w:r>
      <w:proofErr w:type="spellEnd"/>
      <w:r w:rsidRPr="000F5B67">
        <w:rPr>
          <w:rFonts w:eastAsia="Times New Roman" w:cs="Times New Roman"/>
          <w:lang w:eastAsia="de-DE"/>
        </w:rPr>
        <w:t xml:space="preserve"> (annehmbar) und </w:t>
      </w:r>
      <w:r w:rsidRPr="000F5B67">
        <w:rPr>
          <w:rFonts w:eastAsia="Times New Roman" w:cs="Times New Roman"/>
          <w:b/>
          <w:bCs/>
          <w:rtl/>
          <w:lang w:eastAsia="de-DE"/>
        </w:rPr>
        <w:t>יהיה לכם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ἔστ</w:t>
      </w:r>
      <w:proofErr w:type="spellEnd"/>
      <w:r w:rsidRPr="000F5B67">
        <w:rPr>
          <w:rFonts w:eastAsia="Times New Roman" w:cs="Times New Roman"/>
          <w:lang w:eastAsia="de-DE"/>
        </w:rPr>
        <w:t xml:space="preserve">αι </w:t>
      </w:r>
      <w:proofErr w:type="spellStart"/>
      <w:r w:rsidRPr="000F5B67">
        <w:rPr>
          <w:rFonts w:eastAsia="Times New Roman" w:cs="Times New Roman"/>
          <w:lang w:eastAsia="de-DE"/>
        </w:rPr>
        <w:t>ὑμῖν</w:t>
      </w:r>
      <w:proofErr w:type="spellEnd"/>
      <w:r w:rsidRPr="000F5B67">
        <w:rPr>
          <w:rFonts w:eastAsia="Times New Roman" w:cs="Times New Roman"/>
          <w:lang w:eastAsia="de-DE"/>
        </w:rPr>
        <w:t xml:space="preserve"> (wird für euch sein).</w:t>
      </w:r>
    </w:p>
    <w:p w14:paraId="28EBC25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universelles Makel-Verbot: alles mit Makeln + Darbringungsverbot + Wohlgefallens-Verweigerung.</w:t>
      </w:r>
    </w:p>
    <w:p w14:paraId="778A654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etabliert das absolute Verbot, Tiere mit körperlichen Makeln zu opfern, da sie nicht göttliches Wohlgefallen erlangen.</w:t>
      </w:r>
    </w:p>
    <w:p w14:paraId="135C5C6B"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22,21</w:t>
      </w:r>
    </w:p>
    <w:p w14:paraId="59521FA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וְאִ֗ישׁ כִּֽי־יַקְרִ֤יב זֶֽבַח־שְׁלָמִים֙ לַיהוָ֔ה לְפַלֵּא־נֶ֨דֶר֙ א֣וֹ לִנְדָבָ֔ה בַּבָּקָ֖ר א֣וֹ בַצֹּ֑אן תָּמִ֤ים יִֽהְיֶה֙ לְרָצ֔וֹן כָּל־מ֖וּם לֹ֥א יִהְיֶה־בּוֹֽ׃</w:t>
      </w:r>
    </w:p>
    <w:p w14:paraId="3E953F0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wenn jemand dem Ewigen ein Friedensopfer darbringt, um ein Gelübde zu erfüllen, oder als freiwillige Gabe, vom Rind- oder Kleinvieh, so soll es ohne Fehler sein, damit es wohlgefällig sei; kein Makel soll an ihm sein.</w:t>
      </w:r>
    </w:p>
    <w:p w14:paraId="7E9EF46F"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68476A91">
          <v:rect id="_x0000_i1669" style="width:0;height:1.5pt" o:hralign="center" o:hrstd="t" o:hr="t" fillcolor="#a0a0a0" stroked="f"/>
        </w:pict>
      </w:r>
    </w:p>
    <w:p w14:paraId="331435D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ואיש כי־יקריב זבח־שלמים ליהוה לפלא־נדר או לנדבה בבקר או בצאן תמים יהיה לרצון כל־מום לא יהיה־בו</w:t>
      </w:r>
      <w:r w:rsidRPr="000F5B67">
        <w:rPr>
          <w:rFonts w:eastAsia="Times New Roman" w:cs="Times New Roman"/>
          <w:rtl/>
          <w:lang w:eastAsia="de-DE"/>
        </w:rPr>
        <w:t xml:space="preserve"> </w:t>
      </w:r>
      <w:r w:rsidRPr="000F5B67">
        <w:rPr>
          <w:rFonts w:eastAsia="Times New Roman" w:cs="Times New Roman"/>
          <w:lang w:eastAsia="de-DE"/>
        </w:rPr>
        <w:t xml:space="preserve">erweitert auf Friedensopfer. </w:t>
      </w:r>
      <w:r w:rsidRPr="000F5B67">
        <w:rPr>
          <w:rFonts w:eastAsia="Times New Roman" w:cs="Times New Roman"/>
          <w:b/>
          <w:bCs/>
          <w:rtl/>
          <w:lang w:eastAsia="de-DE"/>
        </w:rPr>
        <w:t>ואיש כי־יקריב זבח־שלמים ליהוה</w:t>
      </w:r>
      <w:r w:rsidRPr="000F5B67">
        <w:rPr>
          <w:rFonts w:eastAsia="Times New Roman" w:cs="Times New Roman"/>
          <w:rtl/>
          <w:lang w:eastAsia="de-DE"/>
        </w:rPr>
        <w:t xml:space="preserve"> </w:t>
      </w:r>
      <w:r w:rsidRPr="000F5B67">
        <w:rPr>
          <w:rFonts w:eastAsia="Times New Roman" w:cs="Times New Roman"/>
          <w:lang w:eastAsia="de-DE"/>
        </w:rPr>
        <w:t xml:space="preserve">(und wenn jemand dem Ewigen ein Friedensopfer darbringt) zeigt </w:t>
      </w:r>
      <w:r w:rsidRPr="000F5B67">
        <w:rPr>
          <w:rFonts w:eastAsia="Times New Roman" w:cs="Times New Roman"/>
          <w:b/>
          <w:bCs/>
          <w:rtl/>
          <w:lang w:eastAsia="de-DE"/>
        </w:rPr>
        <w:t>שלמים</w:t>
      </w:r>
      <w:r w:rsidRPr="000F5B67">
        <w:rPr>
          <w:rFonts w:eastAsia="Times New Roman" w:cs="Times New Roman"/>
          <w:rtl/>
          <w:lang w:eastAsia="de-DE"/>
        </w:rPr>
        <w:t xml:space="preserve"> </w:t>
      </w:r>
      <w:r w:rsidRPr="000F5B67">
        <w:rPr>
          <w:rFonts w:eastAsia="Times New Roman" w:cs="Times New Roman"/>
          <w:lang w:eastAsia="de-DE"/>
        </w:rPr>
        <w:t xml:space="preserve">(Friedensopfer) als zweite Opferart neben </w:t>
      </w:r>
      <w:r w:rsidRPr="000F5B67">
        <w:rPr>
          <w:rFonts w:eastAsia="Times New Roman" w:cs="Times New Roman"/>
          <w:b/>
          <w:bCs/>
          <w:rtl/>
          <w:lang w:eastAsia="de-DE"/>
        </w:rPr>
        <w:t>עלה</w:t>
      </w:r>
      <w:r w:rsidRPr="000F5B67">
        <w:rPr>
          <w:rFonts w:eastAsia="Times New Roman" w:cs="Times New Roman"/>
          <w:lang w:eastAsia="de-DE"/>
        </w:rPr>
        <w:t>.</w:t>
      </w:r>
    </w:p>
    <w:p w14:paraId="2961778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לפלא־נדר או לנדבה</w:t>
      </w:r>
      <w:r w:rsidRPr="000F5B67">
        <w:rPr>
          <w:rFonts w:eastAsia="Times New Roman" w:cs="Times New Roman"/>
          <w:rtl/>
          <w:lang w:eastAsia="de-DE"/>
        </w:rPr>
        <w:t xml:space="preserve"> </w:t>
      </w:r>
      <w:r w:rsidRPr="000F5B67">
        <w:rPr>
          <w:rFonts w:eastAsia="Times New Roman" w:cs="Times New Roman"/>
          <w:lang w:eastAsia="de-DE"/>
        </w:rPr>
        <w:t>(um ein Gelübde zu erfüllen, oder als freiwillige Gabe) zeigt zwei Motivationen:</w:t>
      </w:r>
    </w:p>
    <w:p w14:paraId="1B345A41" w14:textId="77777777" w:rsidR="000F5B67" w:rsidRPr="000F5B67" w:rsidRDefault="000F5B67" w:rsidP="000F5B67">
      <w:pPr>
        <w:numPr>
          <w:ilvl w:val="0"/>
          <w:numId w:val="11"/>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לפלא־נדר</w:t>
      </w:r>
      <w:r w:rsidRPr="000F5B67">
        <w:rPr>
          <w:rFonts w:eastAsia="Times New Roman" w:cs="Times New Roman"/>
          <w:rtl/>
          <w:lang w:eastAsia="de-DE"/>
        </w:rPr>
        <w:t xml:space="preserve"> </w:t>
      </w:r>
      <w:r w:rsidRPr="000F5B67">
        <w:rPr>
          <w:rFonts w:eastAsia="Times New Roman" w:cs="Times New Roman"/>
          <w:lang w:eastAsia="de-DE"/>
        </w:rPr>
        <w:t xml:space="preserve">(um ein Gelübde zu erfüllen) - </w:t>
      </w:r>
      <w:r w:rsidRPr="000F5B67">
        <w:rPr>
          <w:rFonts w:eastAsia="Times New Roman" w:cs="Times New Roman"/>
          <w:b/>
          <w:bCs/>
          <w:rtl/>
          <w:lang w:eastAsia="de-DE"/>
        </w:rPr>
        <w:t>פלא</w:t>
      </w:r>
      <w:r w:rsidRPr="000F5B67">
        <w:rPr>
          <w:rFonts w:eastAsia="Times New Roman" w:cs="Times New Roman"/>
          <w:rtl/>
          <w:lang w:eastAsia="de-DE"/>
        </w:rPr>
        <w:t xml:space="preserve"> </w:t>
      </w:r>
      <w:r w:rsidRPr="000F5B67">
        <w:rPr>
          <w:rFonts w:eastAsia="Times New Roman" w:cs="Times New Roman"/>
          <w:lang w:eastAsia="de-DE"/>
        </w:rPr>
        <w:t>(erfüllen) zeigt Gelübdeerfüllung</w:t>
      </w:r>
    </w:p>
    <w:p w14:paraId="42773705" w14:textId="77777777" w:rsidR="000F5B67" w:rsidRPr="000F5B67" w:rsidRDefault="000F5B67" w:rsidP="000F5B67">
      <w:pPr>
        <w:numPr>
          <w:ilvl w:val="0"/>
          <w:numId w:val="11"/>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או לנדבה</w:t>
      </w:r>
      <w:r w:rsidRPr="000F5B67">
        <w:rPr>
          <w:rFonts w:eastAsia="Times New Roman" w:cs="Times New Roman"/>
          <w:rtl/>
          <w:lang w:eastAsia="de-DE"/>
        </w:rPr>
        <w:t xml:space="preserve"> </w:t>
      </w:r>
      <w:r w:rsidRPr="000F5B67">
        <w:rPr>
          <w:rFonts w:eastAsia="Times New Roman" w:cs="Times New Roman"/>
          <w:lang w:eastAsia="de-DE"/>
        </w:rPr>
        <w:t>(oder als freiwillige Gabe) zeigt spontane Opfer</w:t>
      </w:r>
    </w:p>
    <w:p w14:paraId="728698A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lastRenderedPageBreak/>
        <w:t>בבקר או בצאן</w:t>
      </w:r>
      <w:r w:rsidRPr="000F5B67">
        <w:rPr>
          <w:rFonts w:eastAsia="Times New Roman" w:cs="Times New Roman"/>
          <w:rtl/>
          <w:lang w:eastAsia="de-DE"/>
        </w:rPr>
        <w:t xml:space="preserve"> </w:t>
      </w:r>
      <w:r w:rsidRPr="000F5B67">
        <w:rPr>
          <w:rFonts w:eastAsia="Times New Roman" w:cs="Times New Roman"/>
          <w:lang w:eastAsia="de-DE"/>
        </w:rPr>
        <w:t xml:space="preserve">(vom Rind- oder Kleinvieh) zeigt zwei Tierkategorien. </w:t>
      </w:r>
      <w:r w:rsidRPr="000F5B67">
        <w:rPr>
          <w:rFonts w:eastAsia="Times New Roman" w:cs="Times New Roman"/>
          <w:b/>
          <w:bCs/>
          <w:rtl/>
          <w:lang w:eastAsia="de-DE"/>
        </w:rPr>
        <w:t>תמים יהיה לרצון כל־מום לא יהיה־בו</w:t>
      </w:r>
      <w:r w:rsidRPr="000F5B67">
        <w:rPr>
          <w:rFonts w:eastAsia="Times New Roman" w:cs="Times New Roman"/>
          <w:rtl/>
          <w:lang w:eastAsia="de-DE"/>
        </w:rPr>
        <w:t xml:space="preserve"> </w:t>
      </w:r>
      <w:r w:rsidRPr="000F5B67">
        <w:rPr>
          <w:rFonts w:eastAsia="Times New Roman" w:cs="Times New Roman"/>
          <w:lang w:eastAsia="de-DE"/>
        </w:rPr>
        <w:t>(so soll es ohne Fehler sein, damit es wohlgefällig sei; kein Makel soll an ihm sein) wiederholt die Vollkommenheitsanforderung mit doppelter Betonung.</w:t>
      </w:r>
    </w:p>
    <w:p w14:paraId="309A1BD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זבח־שלמים</w:t>
      </w:r>
      <w:r w:rsidRPr="000F5B67">
        <w:rPr>
          <w:rFonts w:eastAsia="Times New Roman" w:cs="Times New Roman"/>
          <w:rtl/>
          <w:lang w:eastAsia="de-DE"/>
        </w:rPr>
        <w:t xml:space="preserve"> </w:t>
      </w:r>
      <w:r w:rsidRPr="000F5B67">
        <w:rPr>
          <w:rFonts w:eastAsia="Times New Roman" w:cs="Times New Roman"/>
          <w:lang w:eastAsia="de-DE"/>
        </w:rPr>
        <w:t xml:space="preserve">als zweite Opferart mit gleichen Anforderungen. </w:t>
      </w:r>
      <w:r w:rsidRPr="000F5B67">
        <w:rPr>
          <w:rFonts w:eastAsia="Times New Roman" w:cs="Times New Roman"/>
          <w:b/>
          <w:bCs/>
          <w:rtl/>
          <w:lang w:eastAsia="de-DE"/>
        </w:rPr>
        <w:t>לפלא־נדר או לנדבה</w:t>
      </w:r>
      <w:r w:rsidRPr="000F5B67">
        <w:rPr>
          <w:rFonts w:eastAsia="Times New Roman" w:cs="Times New Roman"/>
          <w:rtl/>
          <w:lang w:eastAsia="de-DE"/>
        </w:rPr>
        <w:t xml:space="preserve"> </w:t>
      </w:r>
      <w:r w:rsidRPr="000F5B67">
        <w:rPr>
          <w:rFonts w:eastAsia="Times New Roman" w:cs="Times New Roman"/>
          <w:lang w:eastAsia="de-DE"/>
        </w:rPr>
        <w:t xml:space="preserve">zeigt zwei Arten freiwilliger Opfer. </w:t>
      </w:r>
      <w:r w:rsidRPr="000F5B67">
        <w:rPr>
          <w:rFonts w:eastAsia="Times New Roman" w:cs="Times New Roman"/>
          <w:b/>
          <w:bCs/>
          <w:rtl/>
          <w:lang w:eastAsia="de-DE"/>
        </w:rPr>
        <w:t>כל־מום לא יהיה־בו</w:t>
      </w:r>
      <w:r w:rsidRPr="000F5B67">
        <w:rPr>
          <w:rFonts w:eastAsia="Times New Roman" w:cs="Times New Roman"/>
          <w:rtl/>
          <w:lang w:eastAsia="de-DE"/>
        </w:rPr>
        <w:t xml:space="preserve"> </w:t>
      </w:r>
      <w:r w:rsidRPr="000F5B67">
        <w:rPr>
          <w:rFonts w:eastAsia="Times New Roman" w:cs="Times New Roman"/>
          <w:lang w:eastAsia="de-DE"/>
        </w:rPr>
        <w:t>verstärkt das Makelverbot.</w:t>
      </w:r>
    </w:p>
    <w:p w14:paraId="232B391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זבח־שלמים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θυσί</w:t>
      </w:r>
      <w:proofErr w:type="spellEnd"/>
      <w:r w:rsidRPr="000F5B67">
        <w:rPr>
          <w:rFonts w:eastAsia="Times New Roman" w:cs="Times New Roman"/>
          <w:lang w:eastAsia="de-DE"/>
        </w:rPr>
        <w:t xml:space="preserve">αν </w:t>
      </w:r>
      <w:proofErr w:type="spellStart"/>
      <w:r w:rsidRPr="000F5B67">
        <w:rPr>
          <w:rFonts w:eastAsia="Times New Roman" w:cs="Times New Roman"/>
          <w:lang w:eastAsia="de-DE"/>
        </w:rPr>
        <w:t>σωτηρίου</w:t>
      </w:r>
      <w:proofErr w:type="spellEnd"/>
      <w:r w:rsidRPr="000F5B67">
        <w:rPr>
          <w:rFonts w:eastAsia="Times New Roman" w:cs="Times New Roman"/>
          <w:lang w:eastAsia="de-DE"/>
        </w:rPr>
        <w:t xml:space="preserve"> (Heilsopfer), </w:t>
      </w:r>
      <w:r w:rsidRPr="000F5B67">
        <w:rPr>
          <w:rFonts w:eastAsia="Times New Roman" w:cs="Times New Roman"/>
          <w:b/>
          <w:bCs/>
          <w:rtl/>
          <w:lang w:eastAsia="de-DE"/>
        </w:rPr>
        <w:t>לפלא־נדר</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δι</w:t>
      </w:r>
      <w:proofErr w:type="spellEnd"/>
      <w:r w:rsidRPr="000F5B67">
        <w:rPr>
          <w:rFonts w:eastAsia="Times New Roman" w:cs="Times New Roman"/>
          <w:lang w:eastAsia="de-DE"/>
        </w:rPr>
        <w:t xml:space="preserve">αστείλας </w:t>
      </w:r>
      <w:proofErr w:type="spellStart"/>
      <w:r w:rsidRPr="000F5B67">
        <w:rPr>
          <w:rFonts w:eastAsia="Times New Roman" w:cs="Times New Roman"/>
          <w:lang w:eastAsia="de-DE"/>
        </w:rPr>
        <w:t>εὐχήν</w:t>
      </w:r>
      <w:proofErr w:type="spellEnd"/>
      <w:r w:rsidRPr="000F5B67">
        <w:rPr>
          <w:rFonts w:eastAsia="Times New Roman" w:cs="Times New Roman"/>
          <w:lang w:eastAsia="de-DE"/>
        </w:rPr>
        <w:t xml:space="preserve"> (ein Gelübde erfüllend), </w:t>
      </w:r>
      <w:r w:rsidRPr="000F5B67">
        <w:rPr>
          <w:rFonts w:eastAsia="Times New Roman" w:cs="Times New Roman"/>
          <w:b/>
          <w:bCs/>
          <w:rtl/>
          <w:lang w:eastAsia="de-DE"/>
        </w:rPr>
        <w:t>לנדבה</w:t>
      </w:r>
      <w:r w:rsidRPr="000F5B67">
        <w:rPr>
          <w:rFonts w:eastAsia="Times New Roman" w:cs="Times New Roman"/>
          <w:rtl/>
          <w:lang w:eastAsia="de-DE"/>
        </w:rPr>
        <w:t xml:space="preserve"> </w:t>
      </w:r>
      <w:r w:rsidRPr="000F5B67">
        <w:rPr>
          <w:rFonts w:eastAsia="Times New Roman" w:cs="Times New Roman"/>
          <w:lang w:eastAsia="de-DE"/>
        </w:rPr>
        <w:t>mit καθ᾽ α</w:t>
      </w:r>
      <w:proofErr w:type="spellStart"/>
      <w:r w:rsidRPr="000F5B67">
        <w:rPr>
          <w:rFonts w:eastAsia="Times New Roman" w:cs="Times New Roman"/>
          <w:lang w:eastAsia="de-DE"/>
        </w:rPr>
        <w:t>ἵρεsin</w:t>
      </w:r>
      <w:proofErr w:type="spellEnd"/>
      <w:r w:rsidRPr="000F5B67">
        <w:rPr>
          <w:rFonts w:eastAsia="Times New Roman" w:cs="Times New Roman"/>
          <w:lang w:eastAsia="de-DE"/>
        </w:rPr>
        <w:t xml:space="preserve"> (nach Wahl), </w:t>
      </w:r>
      <w:r w:rsidRPr="000F5B67">
        <w:rPr>
          <w:rFonts w:eastAsia="Times New Roman" w:cs="Times New Roman"/>
          <w:b/>
          <w:bCs/>
          <w:rtl/>
          <w:lang w:eastAsia="de-DE"/>
        </w:rPr>
        <w:t>בבקר או בצאן</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β</w:t>
      </w:r>
      <w:proofErr w:type="spellStart"/>
      <w:r w:rsidRPr="000F5B67">
        <w:rPr>
          <w:rFonts w:eastAsia="Times New Roman" w:cs="Times New Roman"/>
          <w:lang w:eastAsia="de-DE"/>
        </w:rPr>
        <w:t>οῶν</w:t>
      </w:r>
      <w:proofErr w:type="spellEnd"/>
      <w:r w:rsidRPr="000F5B67">
        <w:rPr>
          <w:rFonts w:eastAsia="Times New Roman" w:cs="Times New Roman"/>
          <w:lang w:eastAsia="de-DE"/>
        </w:rPr>
        <w:t xml:space="preserve"> ἢ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τῶν</w:t>
      </w:r>
      <w:proofErr w:type="spellEnd"/>
      <w:r w:rsidRPr="000F5B67">
        <w:rPr>
          <w:rFonts w:eastAsia="Times New Roman" w:cs="Times New Roman"/>
          <w:lang w:eastAsia="de-DE"/>
        </w:rPr>
        <w:t xml:space="preserve"> π</w:t>
      </w:r>
      <w:proofErr w:type="spellStart"/>
      <w:r w:rsidRPr="000F5B67">
        <w:rPr>
          <w:rFonts w:eastAsia="Times New Roman" w:cs="Times New Roman"/>
          <w:lang w:eastAsia="de-DE"/>
        </w:rPr>
        <w:t>ρο</w:t>
      </w:r>
      <w:proofErr w:type="spellEnd"/>
      <w:r w:rsidRPr="000F5B67">
        <w:rPr>
          <w:rFonts w:eastAsia="Times New Roman" w:cs="Times New Roman"/>
          <w:lang w:eastAsia="de-DE"/>
        </w:rPr>
        <w:t xml:space="preserve">βάτων (von den Rindern oder von den Schafen) und </w:t>
      </w:r>
      <w:r w:rsidRPr="000F5B67">
        <w:rPr>
          <w:rFonts w:eastAsia="Times New Roman" w:cs="Times New Roman"/>
          <w:b/>
          <w:bCs/>
          <w:rtl/>
          <w:lang w:eastAsia="de-DE"/>
        </w:rPr>
        <w:t>כל־מום</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ᾶς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μῶμος</w:t>
      </w:r>
      <w:proofErr w:type="spellEnd"/>
      <w:r w:rsidRPr="000F5B67">
        <w:rPr>
          <w:rFonts w:eastAsia="Times New Roman" w:cs="Times New Roman"/>
          <w:lang w:eastAsia="de-DE"/>
        </w:rPr>
        <w:t xml:space="preserve"> (jeder Makel).</w:t>
      </w:r>
    </w:p>
    <w:p w14:paraId="4C38DD8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Friedensopfer-Anforderungen: Friedensopfer-Darbringung + zwei Motivationen + zwei Tierkategorien + Vollkommenheitsanforderung + doppeltes Makelverbot.</w:t>
      </w:r>
    </w:p>
    <w:p w14:paraId="3C96444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erweitert die Vollkommenheitsanforderungen auf Friedensopfer bei beiden Arten freiwilliger Motivation.</w:t>
      </w:r>
    </w:p>
    <w:p w14:paraId="6BC71EC7"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22,22</w:t>
      </w:r>
    </w:p>
    <w:p w14:paraId="50F4AC3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עַוֶּרֶת֩ א֨וֹ שָׁב֜וּר אוֹ־חָר֣וּץ אֽוֹ־יַבֶּ֗לֶת א֤וֹ גָרָב֙ א֣וֹ יַלֶּ֔פֶת לֹא־תַקְרִ֥יבוּ אֵ֖לֶּה לַיהוָ֑ה וְאִשֶּׁ֗ה לֹא־תִתְּנ֥וּ מֵהֶ֛ם עַל־הַמִּזְבֵּ֖חַ לַיהוָֽה׃</w:t>
      </w:r>
    </w:p>
    <w:p w14:paraId="557F471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Ein blindes oder verletztes oder verstümmeltes Tier, oder eines, das Geschwüre oder Krätze oder Flechten hat, diese sollt ihr dem Ewigen nicht darbringen, und ihr sollt dem Ewigen kein Feueropfer davon auf den Altar geben.</w:t>
      </w:r>
    </w:p>
    <w:p w14:paraId="0ED73565"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16D0292D">
          <v:rect id="_x0000_i1670" style="width:0;height:1.5pt" o:hralign="center" o:hrstd="t" o:hr="t" fillcolor="#a0a0a0" stroked="f"/>
        </w:pict>
      </w:r>
    </w:p>
    <w:p w14:paraId="712816B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עורת או שבור או־חרוץ או־יבלת או גרב או ילפת לא־תקריבו אלה ליהוה ואשה לא־תתנו מהם על־המזבח ליהוה</w:t>
      </w:r>
      <w:r w:rsidRPr="000F5B67">
        <w:rPr>
          <w:rFonts w:eastAsia="Times New Roman" w:cs="Times New Roman"/>
          <w:rtl/>
          <w:lang w:eastAsia="de-DE"/>
        </w:rPr>
        <w:t xml:space="preserve"> </w:t>
      </w:r>
      <w:r w:rsidRPr="000F5B67">
        <w:rPr>
          <w:rFonts w:eastAsia="Times New Roman" w:cs="Times New Roman"/>
          <w:lang w:eastAsia="de-DE"/>
        </w:rPr>
        <w:t>listet spezifische Tiermängel auf. Die sechs Makel zeigen verschiedene Kategorien:</w:t>
      </w:r>
    </w:p>
    <w:p w14:paraId="29FC5F1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עורת</w:t>
      </w:r>
      <w:r w:rsidRPr="000F5B67">
        <w:rPr>
          <w:rFonts w:eastAsia="Times New Roman" w:cs="Times New Roman"/>
          <w:rtl/>
          <w:lang w:eastAsia="de-DE"/>
        </w:rPr>
        <w:t xml:space="preserve"> </w:t>
      </w:r>
      <w:r w:rsidRPr="000F5B67">
        <w:rPr>
          <w:rFonts w:eastAsia="Times New Roman" w:cs="Times New Roman"/>
          <w:lang w:eastAsia="de-DE"/>
        </w:rPr>
        <w:t xml:space="preserve">(blindes) zeigt Blindheit entsprechend 21,18. </w:t>
      </w:r>
      <w:r w:rsidRPr="000F5B67">
        <w:rPr>
          <w:rFonts w:eastAsia="Times New Roman" w:cs="Times New Roman"/>
          <w:b/>
          <w:bCs/>
          <w:rtl/>
          <w:lang w:eastAsia="de-DE"/>
        </w:rPr>
        <w:t>או שבור</w:t>
      </w:r>
      <w:r w:rsidRPr="000F5B67">
        <w:rPr>
          <w:rFonts w:eastAsia="Times New Roman" w:cs="Times New Roman"/>
          <w:rtl/>
          <w:lang w:eastAsia="de-DE"/>
        </w:rPr>
        <w:t xml:space="preserve"> </w:t>
      </w:r>
      <w:r w:rsidRPr="000F5B67">
        <w:rPr>
          <w:rFonts w:eastAsia="Times New Roman" w:cs="Times New Roman"/>
          <w:lang w:eastAsia="de-DE"/>
        </w:rPr>
        <w:t xml:space="preserve">(oder verletztes) zeigt Knochenbrüche. </w:t>
      </w:r>
      <w:r w:rsidRPr="000F5B67">
        <w:rPr>
          <w:rFonts w:eastAsia="Times New Roman" w:cs="Times New Roman"/>
          <w:b/>
          <w:bCs/>
          <w:rtl/>
          <w:lang w:eastAsia="de-DE"/>
        </w:rPr>
        <w:t>או־חרוץ</w:t>
      </w:r>
      <w:r w:rsidRPr="000F5B67">
        <w:rPr>
          <w:rFonts w:eastAsia="Times New Roman" w:cs="Times New Roman"/>
          <w:rtl/>
          <w:lang w:eastAsia="de-DE"/>
        </w:rPr>
        <w:t xml:space="preserve"> </w:t>
      </w:r>
      <w:r w:rsidRPr="000F5B67">
        <w:rPr>
          <w:rFonts w:eastAsia="Times New Roman" w:cs="Times New Roman"/>
          <w:lang w:eastAsia="de-DE"/>
        </w:rPr>
        <w:t xml:space="preserve">(oder verstümmeltes) zeigt Verstümmelung. </w:t>
      </w:r>
      <w:r w:rsidRPr="000F5B67">
        <w:rPr>
          <w:rFonts w:eastAsia="Times New Roman" w:cs="Times New Roman"/>
          <w:b/>
          <w:bCs/>
          <w:rtl/>
          <w:lang w:eastAsia="de-DE"/>
        </w:rPr>
        <w:t>או־יבלת</w:t>
      </w:r>
      <w:r w:rsidRPr="000F5B67">
        <w:rPr>
          <w:rFonts w:eastAsia="Times New Roman" w:cs="Times New Roman"/>
          <w:rtl/>
          <w:lang w:eastAsia="de-DE"/>
        </w:rPr>
        <w:t xml:space="preserve"> </w:t>
      </w:r>
      <w:r w:rsidRPr="000F5B67">
        <w:rPr>
          <w:rFonts w:eastAsia="Times New Roman" w:cs="Times New Roman"/>
          <w:lang w:eastAsia="de-DE"/>
        </w:rPr>
        <w:t>(oder eines mit Geschwüren) zeigt Hautgeschwüre.</w:t>
      </w:r>
    </w:p>
    <w:p w14:paraId="51D8014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או גרב או ילפת</w:t>
      </w:r>
      <w:r w:rsidRPr="000F5B67">
        <w:rPr>
          <w:rFonts w:eastAsia="Times New Roman" w:cs="Times New Roman"/>
          <w:rtl/>
          <w:lang w:eastAsia="de-DE"/>
        </w:rPr>
        <w:t xml:space="preserve"> </w:t>
      </w:r>
      <w:r w:rsidRPr="000F5B67">
        <w:rPr>
          <w:rFonts w:eastAsia="Times New Roman" w:cs="Times New Roman"/>
          <w:lang w:eastAsia="de-DE"/>
        </w:rPr>
        <w:t>(oder Krätze oder Flechten) entsprechen 21,20 und zeigen Hautkrankheiten.</w:t>
      </w:r>
    </w:p>
    <w:p w14:paraId="66B6663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לא־תקריבו אלה ליהוה</w:t>
      </w:r>
      <w:r w:rsidRPr="000F5B67">
        <w:rPr>
          <w:rFonts w:eastAsia="Times New Roman" w:cs="Times New Roman"/>
          <w:rtl/>
          <w:lang w:eastAsia="de-DE"/>
        </w:rPr>
        <w:t xml:space="preserve"> </w:t>
      </w:r>
      <w:r w:rsidRPr="000F5B67">
        <w:rPr>
          <w:rFonts w:eastAsia="Times New Roman" w:cs="Times New Roman"/>
          <w:lang w:eastAsia="de-DE"/>
        </w:rPr>
        <w:t xml:space="preserve">(diese sollt ihr dem Ewigen nicht darbringen) zeigt absolutes Darbringungsverbot. </w:t>
      </w:r>
      <w:r w:rsidRPr="000F5B67">
        <w:rPr>
          <w:rFonts w:eastAsia="Times New Roman" w:cs="Times New Roman"/>
          <w:b/>
          <w:bCs/>
          <w:rtl/>
          <w:lang w:eastAsia="de-DE"/>
        </w:rPr>
        <w:t>ואשה לא־תתנו מהם על־המזבח ליהוה</w:t>
      </w:r>
      <w:r w:rsidRPr="000F5B67">
        <w:rPr>
          <w:rFonts w:eastAsia="Times New Roman" w:cs="Times New Roman"/>
          <w:rtl/>
          <w:lang w:eastAsia="de-DE"/>
        </w:rPr>
        <w:t xml:space="preserve"> </w:t>
      </w:r>
      <w:r w:rsidRPr="000F5B67">
        <w:rPr>
          <w:rFonts w:eastAsia="Times New Roman" w:cs="Times New Roman"/>
          <w:lang w:eastAsia="de-DE"/>
        </w:rPr>
        <w:t xml:space="preserve">(und ihr sollt dem Ewigen kein Feueropfer davon auf den Altar geben) - </w:t>
      </w:r>
      <w:r w:rsidRPr="000F5B67">
        <w:rPr>
          <w:rFonts w:eastAsia="Times New Roman" w:cs="Times New Roman"/>
          <w:b/>
          <w:bCs/>
          <w:rtl/>
          <w:lang w:eastAsia="de-DE"/>
        </w:rPr>
        <w:t>אשה</w:t>
      </w:r>
      <w:r w:rsidRPr="000F5B67">
        <w:rPr>
          <w:rFonts w:eastAsia="Times New Roman" w:cs="Times New Roman"/>
          <w:rtl/>
          <w:lang w:eastAsia="de-DE"/>
        </w:rPr>
        <w:t xml:space="preserve"> </w:t>
      </w:r>
      <w:r w:rsidRPr="000F5B67">
        <w:rPr>
          <w:rFonts w:eastAsia="Times New Roman" w:cs="Times New Roman"/>
          <w:lang w:eastAsia="de-DE"/>
        </w:rPr>
        <w:t xml:space="preserve">(Feueropfer) zeigt die Altarverbrennung. </w:t>
      </w:r>
      <w:r w:rsidRPr="000F5B67">
        <w:rPr>
          <w:rFonts w:eastAsia="Times New Roman" w:cs="Times New Roman"/>
          <w:b/>
          <w:bCs/>
          <w:rtl/>
          <w:lang w:eastAsia="de-DE"/>
        </w:rPr>
        <w:t>על־המזבח</w:t>
      </w:r>
      <w:r w:rsidRPr="000F5B67">
        <w:rPr>
          <w:rFonts w:eastAsia="Times New Roman" w:cs="Times New Roman"/>
          <w:rtl/>
          <w:lang w:eastAsia="de-DE"/>
        </w:rPr>
        <w:t xml:space="preserve"> </w:t>
      </w:r>
      <w:r w:rsidRPr="000F5B67">
        <w:rPr>
          <w:rFonts w:eastAsia="Times New Roman" w:cs="Times New Roman"/>
          <w:lang w:eastAsia="de-DE"/>
        </w:rPr>
        <w:t>(auf den Altar) betont den heiligen Ort.</w:t>
      </w:r>
    </w:p>
    <w:p w14:paraId="7E7C799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 sechs Makel entsprechen teilweise den Priestermängeln aus 21,18-20. </w:t>
      </w:r>
      <w:r w:rsidRPr="000F5B67">
        <w:rPr>
          <w:rFonts w:eastAsia="Times New Roman" w:cs="Times New Roman"/>
          <w:b/>
          <w:bCs/>
          <w:rtl/>
          <w:lang w:eastAsia="de-DE"/>
        </w:rPr>
        <w:t>אלה</w:t>
      </w:r>
      <w:r w:rsidRPr="000F5B67">
        <w:rPr>
          <w:rFonts w:eastAsia="Times New Roman" w:cs="Times New Roman"/>
          <w:rtl/>
          <w:lang w:eastAsia="de-DE"/>
        </w:rPr>
        <w:t xml:space="preserve"> </w:t>
      </w:r>
      <w:proofErr w:type="spellStart"/>
      <w:r w:rsidRPr="000F5B67">
        <w:rPr>
          <w:rFonts w:eastAsia="Times New Roman" w:cs="Times New Roman"/>
          <w:lang w:eastAsia="de-DE"/>
        </w:rPr>
        <w:t>fasst</w:t>
      </w:r>
      <w:proofErr w:type="spellEnd"/>
      <w:r w:rsidRPr="000F5B67">
        <w:rPr>
          <w:rFonts w:eastAsia="Times New Roman" w:cs="Times New Roman"/>
          <w:lang w:eastAsia="de-DE"/>
        </w:rPr>
        <w:t xml:space="preserve"> alle zusammen. </w:t>
      </w:r>
      <w:r w:rsidRPr="000F5B67">
        <w:rPr>
          <w:rFonts w:eastAsia="Times New Roman" w:cs="Times New Roman"/>
          <w:b/>
          <w:bCs/>
          <w:rtl/>
          <w:lang w:eastAsia="de-DE"/>
        </w:rPr>
        <w:t>ואשה לא־תתנו</w:t>
      </w:r>
      <w:r w:rsidRPr="000F5B67">
        <w:rPr>
          <w:rFonts w:eastAsia="Times New Roman" w:cs="Times New Roman"/>
          <w:rtl/>
          <w:lang w:eastAsia="de-DE"/>
        </w:rPr>
        <w:t xml:space="preserve"> </w:t>
      </w:r>
      <w:r w:rsidRPr="000F5B67">
        <w:rPr>
          <w:rFonts w:eastAsia="Times New Roman" w:cs="Times New Roman"/>
          <w:lang w:eastAsia="de-DE"/>
        </w:rPr>
        <w:t>verbietet zusätzlich die Altarverbrennung.</w:t>
      </w:r>
    </w:p>
    <w:p w14:paraId="08516A61" w14:textId="50C45FBE"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Die LXX</w:t>
      </w:r>
      <w:r w:rsidRPr="000F5B67">
        <w:rPr>
          <w:rFonts w:eastAsia="Times New Roman" w:cs="Times New Roman"/>
          <w:lang w:eastAsia="de-DE"/>
        </w:rPr>
        <w:t xml:space="preserve"> </w:t>
      </w:r>
      <w:r w:rsidR="0007678B">
        <w:t xml:space="preserve">spezifiziert die Opfergebrechen: </w:t>
      </w:r>
      <w:r w:rsidR="0007678B">
        <w:rPr>
          <w:rtl/>
        </w:rPr>
        <w:t>עורת</w:t>
      </w:r>
      <w:r w:rsidR="0007678B">
        <w:t xml:space="preserve"> (</w:t>
      </w:r>
      <w:proofErr w:type="spellStart"/>
      <w:r w:rsidR="0007678B">
        <w:t>avveret</w:t>
      </w:r>
      <w:proofErr w:type="spellEnd"/>
      <w:r w:rsidR="0007678B">
        <w:t xml:space="preserve"> - "blind") als </w:t>
      </w:r>
      <w:proofErr w:type="spellStart"/>
      <w:r w:rsidR="0007678B">
        <w:t>τυφλόν</w:t>
      </w:r>
      <w:proofErr w:type="spellEnd"/>
      <w:r w:rsidR="0007678B">
        <w:t xml:space="preserve">, </w:t>
      </w:r>
      <w:r w:rsidR="0007678B">
        <w:rPr>
          <w:rtl/>
        </w:rPr>
        <w:t>שבור</w:t>
      </w:r>
      <w:r w:rsidR="0007678B">
        <w:t xml:space="preserve"> (</w:t>
      </w:r>
      <w:proofErr w:type="spellStart"/>
      <w:r w:rsidR="0007678B">
        <w:t>shavur</w:t>
      </w:r>
      <w:proofErr w:type="spellEnd"/>
      <w:r w:rsidR="0007678B">
        <w:t xml:space="preserve"> - "gebrochen") als </w:t>
      </w:r>
      <w:proofErr w:type="spellStart"/>
      <w:r w:rsidR="0007678B">
        <w:t>συντετριμμένον</w:t>
      </w:r>
      <w:proofErr w:type="spellEnd"/>
      <w:r w:rsidR="0007678B">
        <w:t xml:space="preserve">, </w:t>
      </w:r>
      <w:r w:rsidR="0007678B">
        <w:rPr>
          <w:rtl/>
        </w:rPr>
        <w:t>חרוץ</w:t>
      </w:r>
      <w:r w:rsidR="0007678B">
        <w:t xml:space="preserve"> (</w:t>
      </w:r>
      <w:proofErr w:type="spellStart"/>
      <w:r w:rsidR="0007678B">
        <w:t>charutz</w:t>
      </w:r>
      <w:proofErr w:type="spellEnd"/>
      <w:r w:rsidR="0007678B">
        <w:t xml:space="preserve"> - "geschlitzt") als </w:t>
      </w:r>
      <w:proofErr w:type="spellStart"/>
      <w:r w:rsidR="0007678B">
        <w:t>γλωσσότμητον</w:t>
      </w:r>
      <w:proofErr w:type="spellEnd"/>
      <w:r w:rsidR="0007678B">
        <w:t xml:space="preserve"> (zungenverstümmelt), </w:t>
      </w:r>
      <w:r w:rsidR="0007678B">
        <w:rPr>
          <w:rtl/>
        </w:rPr>
        <w:t>יבלת</w:t>
      </w:r>
      <w:r w:rsidR="0007678B">
        <w:t xml:space="preserve"> (</w:t>
      </w:r>
      <w:proofErr w:type="spellStart"/>
      <w:r w:rsidR="0007678B">
        <w:t>yabbelet</w:t>
      </w:r>
      <w:proofErr w:type="spellEnd"/>
      <w:r w:rsidR="0007678B">
        <w:t xml:space="preserve"> - "Warze") als </w:t>
      </w:r>
      <w:proofErr w:type="spellStart"/>
      <w:r w:rsidR="0007678B">
        <w:t>μυρμηκιῶντ</w:t>
      </w:r>
      <w:proofErr w:type="spellEnd"/>
      <w:r w:rsidR="0007678B">
        <w:t xml:space="preserve">α (warzig), </w:t>
      </w:r>
      <w:r w:rsidR="0007678B">
        <w:rPr>
          <w:rtl/>
        </w:rPr>
        <w:t>גרב</w:t>
      </w:r>
      <w:r w:rsidR="0007678B">
        <w:t xml:space="preserve"> (</w:t>
      </w:r>
      <w:proofErr w:type="spellStart"/>
      <w:r w:rsidR="0007678B">
        <w:t>garav</w:t>
      </w:r>
      <w:proofErr w:type="spellEnd"/>
      <w:r w:rsidR="0007678B">
        <w:t xml:space="preserve"> - "Krätze") als </w:t>
      </w:r>
      <w:proofErr w:type="spellStart"/>
      <w:r w:rsidR="0007678B">
        <w:t>ψωρ</w:t>
      </w:r>
      <w:proofErr w:type="spellEnd"/>
      <w:r w:rsidR="0007678B">
        <w:t>αγριῶντα (</w:t>
      </w:r>
      <w:proofErr w:type="spellStart"/>
      <w:r w:rsidR="0007678B">
        <w:t>krätzebehaftet</w:t>
      </w:r>
      <w:proofErr w:type="spellEnd"/>
      <w:r w:rsidR="0007678B">
        <w:t xml:space="preserve">), und </w:t>
      </w:r>
      <w:r w:rsidR="0007678B">
        <w:rPr>
          <w:rtl/>
        </w:rPr>
        <w:t>ילפת</w:t>
      </w:r>
      <w:r w:rsidR="0007678B">
        <w:t xml:space="preserve"> (</w:t>
      </w:r>
      <w:proofErr w:type="spellStart"/>
      <w:r w:rsidR="0007678B">
        <w:t>yallefet</w:t>
      </w:r>
      <w:proofErr w:type="spellEnd"/>
      <w:r w:rsidR="0007678B">
        <w:t xml:space="preserve"> - "Flechte") als </w:t>
      </w:r>
      <w:proofErr w:type="spellStart"/>
      <w:r w:rsidR="0007678B">
        <w:t>λειχῆν</w:t>
      </w:r>
      <w:proofErr w:type="spellEnd"/>
      <w:r w:rsidR="0007678B">
        <w:t xml:space="preserve">ας </w:t>
      </w:r>
      <w:proofErr w:type="spellStart"/>
      <w:r w:rsidR="0007678B">
        <w:t>ἔχοντ</w:t>
      </w:r>
      <w:proofErr w:type="spellEnd"/>
      <w:r w:rsidR="0007678B">
        <w:t>α (</w:t>
      </w:r>
      <w:proofErr w:type="spellStart"/>
      <w:r w:rsidR="0007678B">
        <w:t>flechtig</w:t>
      </w:r>
      <w:proofErr w:type="spellEnd"/>
      <w:r w:rsidR="0007678B">
        <w:t>).</w:t>
      </w:r>
    </w:p>
    <w:p w14:paraId="366ABA8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spezifische Tiermängel: sechs Makel-Kategorien + Darbringungsverbot + zusätzliches Altaropferverbot.</w:t>
      </w:r>
    </w:p>
    <w:p w14:paraId="37824B6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spezifiziert sechs konkrete Tiermängel, die sowohl Darbringung als auch Altarverbrennung ausschließen.</w:t>
      </w:r>
    </w:p>
    <w:p w14:paraId="1C933BAF"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22,23</w:t>
      </w:r>
    </w:p>
    <w:p w14:paraId="576561D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וְשׁ֥וֹר וָשֶׂ֖ה שָׂר֣וּעַ וְקָל֑וּט נְדָבָה֙ תַּעֲשֶׂ֣ה אֹתוֹ֔ וּלְנֵ֖דֶר לֹ֥א יֵרָצֶֽה׃</w:t>
      </w:r>
    </w:p>
    <w:p w14:paraId="6766866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ein Rind oder ein Schaf, das zu lange oder zu kurz geratene Glieder hat, magst du als freiwillige Gabe opfern; aber für ein Gelübde wird es nicht wohlgefällig angenommen werden.</w:t>
      </w:r>
    </w:p>
    <w:p w14:paraId="634045A9"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4AC8576C">
          <v:rect id="_x0000_i1671" style="width:0;height:1.5pt" o:hralign="center" o:hrstd="t" o:hr="t" fillcolor="#a0a0a0" stroked="f"/>
        </w:pict>
      </w:r>
    </w:p>
    <w:p w14:paraId="33BD4F7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ושור ושה שרוע וקלוט נדבה תעשה אתו ולנדר לא ירצה</w:t>
      </w:r>
      <w:r w:rsidRPr="000F5B67">
        <w:rPr>
          <w:rFonts w:eastAsia="Times New Roman" w:cs="Times New Roman"/>
          <w:rtl/>
          <w:lang w:eastAsia="de-DE"/>
        </w:rPr>
        <w:t xml:space="preserve"> </w:t>
      </w:r>
      <w:r w:rsidRPr="000F5B67">
        <w:rPr>
          <w:rFonts w:eastAsia="Times New Roman" w:cs="Times New Roman"/>
          <w:lang w:eastAsia="de-DE"/>
        </w:rPr>
        <w:t xml:space="preserve">zeigt eine Ausnahme für bestimmte Proportionsfehler. </w:t>
      </w:r>
      <w:r w:rsidRPr="000F5B67">
        <w:rPr>
          <w:rFonts w:eastAsia="Times New Roman" w:cs="Times New Roman"/>
          <w:b/>
          <w:bCs/>
          <w:rtl/>
          <w:lang w:eastAsia="de-DE"/>
        </w:rPr>
        <w:t>ושור ושה שרוע וקלוט</w:t>
      </w:r>
      <w:r w:rsidRPr="000F5B67">
        <w:rPr>
          <w:rFonts w:eastAsia="Times New Roman" w:cs="Times New Roman"/>
          <w:rtl/>
          <w:lang w:eastAsia="de-DE"/>
        </w:rPr>
        <w:t xml:space="preserve"> </w:t>
      </w:r>
      <w:r w:rsidRPr="000F5B67">
        <w:rPr>
          <w:rFonts w:eastAsia="Times New Roman" w:cs="Times New Roman"/>
          <w:lang w:eastAsia="de-DE"/>
        </w:rPr>
        <w:t>(und ein Rind oder ein Schaf, das zu lange oder zu kurz geratene Glieder hat) zeigt zwei Tierarten mit zwei Proportionsfehlern:</w:t>
      </w:r>
    </w:p>
    <w:p w14:paraId="009E77BA" w14:textId="77777777" w:rsidR="000F5B67" w:rsidRPr="000F5B67" w:rsidRDefault="000F5B67" w:rsidP="000F5B67">
      <w:pPr>
        <w:numPr>
          <w:ilvl w:val="0"/>
          <w:numId w:val="12"/>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שרוע</w:t>
      </w:r>
      <w:r w:rsidRPr="000F5B67">
        <w:rPr>
          <w:rFonts w:eastAsia="Times New Roman" w:cs="Times New Roman"/>
          <w:rtl/>
          <w:lang w:eastAsia="de-DE"/>
        </w:rPr>
        <w:t xml:space="preserve"> </w:t>
      </w:r>
      <w:r w:rsidRPr="000F5B67">
        <w:rPr>
          <w:rFonts w:eastAsia="Times New Roman" w:cs="Times New Roman"/>
          <w:lang w:eastAsia="de-DE"/>
        </w:rPr>
        <w:t>(zu lange Glieder) entspricht 21,18</w:t>
      </w:r>
    </w:p>
    <w:p w14:paraId="5A63D8D6" w14:textId="77777777" w:rsidR="000F5B67" w:rsidRPr="000F5B67" w:rsidRDefault="000F5B67" w:rsidP="000F5B67">
      <w:pPr>
        <w:numPr>
          <w:ilvl w:val="0"/>
          <w:numId w:val="12"/>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קלוט</w:t>
      </w:r>
      <w:r w:rsidRPr="000F5B67">
        <w:rPr>
          <w:rFonts w:eastAsia="Times New Roman" w:cs="Times New Roman"/>
          <w:rtl/>
          <w:lang w:eastAsia="de-DE"/>
        </w:rPr>
        <w:t xml:space="preserve"> </w:t>
      </w:r>
      <w:r w:rsidRPr="000F5B67">
        <w:rPr>
          <w:rFonts w:eastAsia="Times New Roman" w:cs="Times New Roman"/>
          <w:lang w:eastAsia="de-DE"/>
        </w:rPr>
        <w:t>(zu kurz geratene Glieder) zeigt das Gegenteil</w:t>
      </w:r>
    </w:p>
    <w:p w14:paraId="4382616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נדבה תעשה אתו</w:t>
      </w:r>
      <w:r w:rsidRPr="000F5B67">
        <w:rPr>
          <w:rFonts w:eastAsia="Times New Roman" w:cs="Times New Roman"/>
          <w:rtl/>
          <w:lang w:eastAsia="de-DE"/>
        </w:rPr>
        <w:t xml:space="preserve"> </w:t>
      </w:r>
      <w:r w:rsidRPr="000F5B67">
        <w:rPr>
          <w:rFonts w:eastAsia="Times New Roman" w:cs="Times New Roman"/>
          <w:lang w:eastAsia="de-DE"/>
        </w:rPr>
        <w:t xml:space="preserve">(magst du als freiwillige Gabe opfern) - </w:t>
      </w:r>
      <w:r w:rsidRPr="000F5B67">
        <w:rPr>
          <w:rFonts w:eastAsia="Times New Roman" w:cs="Times New Roman"/>
          <w:b/>
          <w:bCs/>
          <w:rtl/>
          <w:lang w:eastAsia="de-DE"/>
        </w:rPr>
        <w:t>נדבה</w:t>
      </w:r>
      <w:r w:rsidRPr="000F5B67">
        <w:rPr>
          <w:rFonts w:eastAsia="Times New Roman" w:cs="Times New Roman"/>
          <w:rtl/>
          <w:lang w:eastAsia="de-DE"/>
        </w:rPr>
        <w:t xml:space="preserve"> </w:t>
      </w:r>
      <w:r w:rsidRPr="000F5B67">
        <w:rPr>
          <w:rFonts w:eastAsia="Times New Roman" w:cs="Times New Roman"/>
          <w:lang w:eastAsia="de-DE"/>
        </w:rPr>
        <w:t xml:space="preserve">(freiwillige Gabe) entspricht V. 21. </w:t>
      </w:r>
      <w:r w:rsidRPr="000F5B67">
        <w:rPr>
          <w:rFonts w:eastAsia="Times New Roman" w:cs="Times New Roman"/>
          <w:b/>
          <w:bCs/>
          <w:rtl/>
          <w:lang w:eastAsia="de-DE"/>
        </w:rPr>
        <w:t>תעשה אתו</w:t>
      </w:r>
      <w:r w:rsidRPr="000F5B67">
        <w:rPr>
          <w:rFonts w:eastAsia="Times New Roman" w:cs="Times New Roman"/>
          <w:rtl/>
          <w:lang w:eastAsia="de-DE"/>
        </w:rPr>
        <w:t xml:space="preserve"> </w:t>
      </w:r>
      <w:r w:rsidRPr="000F5B67">
        <w:rPr>
          <w:rFonts w:eastAsia="Times New Roman" w:cs="Times New Roman"/>
          <w:lang w:eastAsia="de-DE"/>
        </w:rPr>
        <w:t>(magst du damit machen) im Qal-Imperfekt zeigt Erlaubnis.</w:t>
      </w:r>
    </w:p>
    <w:p w14:paraId="7BDFCC0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ולנדר לא ירצה</w:t>
      </w:r>
      <w:r w:rsidRPr="000F5B67">
        <w:rPr>
          <w:rFonts w:eastAsia="Times New Roman" w:cs="Times New Roman"/>
          <w:rtl/>
          <w:lang w:eastAsia="de-DE"/>
        </w:rPr>
        <w:t xml:space="preserve"> </w:t>
      </w:r>
      <w:r w:rsidRPr="000F5B67">
        <w:rPr>
          <w:rFonts w:eastAsia="Times New Roman" w:cs="Times New Roman"/>
          <w:lang w:eastAsia="de-DE"/>
        </w:rPr>
        <w:t xml:space="preserve">(aber für ein Gelübde wird es nicht wohlgefällig angenommen werden) - </w:t>
      </w:r>
      <w:r w:rsidRPr="000F5B67">
        <w:rPr>
          <w:rFonts w:eastAsia="Times New Roman" w:cs="Times New Roman"/>
          <w:b/>
          <w:bCs/>
          <w:rtl/>
          <w:lang w:eastAsia="de-DE"/>
        </w:rPr>
        <w:t>לנדר</w:t>
      </w:r>
      <w:r w:rsidRPr="000F5B67">
        <w:rPr>
          <w:rFonts w:eastAsia="Times New Roman" w:cs="Times New Roman"/>
          <w:rtl/>
          <w:lang w:eastAsia="de-DE"/>
        </w:rPr>
        <w:t xml:space="preserve"> </w:t>
      </w:r>
      <w:r w:rsidRPr="000F5B67">
        <w:rPr>
          <w:rFonts w:eastAsia="Times New Roman" w:cs="Times New Roman"/>
          <w:lang w:eastAsia="de-DE"/>
        </w:rPr>
        <w:t xml:space="preserve">(für ein Gelübde) entspricht V. 21. </w:t>
      </w:r>
      <w:r w:rsidRPr="000F5B67">
        <w:rPr>
          <w:rFonts w:eastAsia="Times New Roman" w:cs="Times New Roman"/>
          <w:b/>
          <w:bCs/>
          <w:rtl/>
          <w:lang w:eastAsia="de-DE"/>
        </w:rPr>
        <w:t>לא ירצה</w:t>
      </w:r>
      <w:r w:rsidRPr="000F5B67">
        <w:rPr>
          <w:rFonts w:eastAsia="Times New Roman" w:cs="Times New Roman"/>
          <w:rtl/>
          <w:lang w:eastAsia="de-DE"/>
        </w:rPr>
        <w:t xml:space="preserve"> </w:t>
      </w:r>
      <w:r w:rsidRPr="000F5B67">
        <w:rPr>
          <w:rFonts w:eastAsia="Times New Roman" w:cs="Times New Roman"/>
          <w:lang w:eastAsia="de-DE"/>
        </w:rPr>
        <w:t>(wird nicht wohlgefällig sein) im Nifal-Imperfekt zeigt Verweigerung der Annahme.</w:t>
      </w:r>
    </w:p>
    <w:p w14:paraId="53A28B3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שרוע וקלוט</w:t>
      </w:r>
      <w:r w:rsidRPr="000F5B67">
        <w:rPr>
          <w:rFonts w:eastAsia="Times New Roman" w:cs="Times New Roman"/>
          <w:rtl/>
          <w:lang w:eastAsia="de-DE"/>
        </w:rPr>
        <w:t xml:space="preserve"> </w:t>
      </w:r>
      <w:r w:rsidRPr="000F5B67">
        <w:rPr>
          <w:rFonts w:eastAsia="Times New Roman" w:cs="Times New Roman"/>
          <w:lang w:eastAsia="de-DE"/>
        </w:rPr>
        <w:t xml:space="preserve">als mildere Proportionsfehler. </w:t>
      </w:r>
      <w:r w:rsidRPr="000F5B67">
        <w:rPr>
          <w:rFonts w:eastAsia="Times New Roman" w:cs="Times New Roman"/>
          <w:b/>
          <w:bCs/>
          <w:rtl/>
          <w:lang w:eastAsia="de-DE"/>
        </w:rPr>
        <w:t>נדבה</w:t>
      </w:r>
      <w:r w:rsidRPr="000F5B67">
        <w:rPr>
          <w:rFonts w:eastAsia="Times New Roman" w:cs="Times New Roman"/>
          <w:rtl/>
          <w:lang w:eastAsia="de-DE"/>
        </w:rPr>
        <w:t xml:space="preserve"> </w:t>
      </w:r>
      <w:r w:rsidRPr="000F5B67">
        <w:rPr>
          <w:rFonts w:eastAsia="Times New Roman" w:cs="Times New Roman"/>
          <w:lang w:eastAsia="de-DE"/>
        </w:rPr>
        <w:t xml:space="preserve">vs. </w:t>
      </w:r>
      <w:r w:rsidRPr="000F5B67">
        <w:rPr>
          <w:rFonts w:eastAsia="Times New Roman" w:cs="Times New Roman"/>
          <w:b/>
          <w:bCs/>
          <w:rtl/>
          <w:lang w:eastAsia="de-DE"/>
        </w:rPr>
        <w:t>נדר</w:t>
      </w:r>
      <w:r w:rsidRPr="000F5B67">
        <w:rPr>
          <w:rFonts w:eastAsia="Times New Roman" w:cs="Times New Roman"/>
          <w:rtl/>
          <w:lang w:eastAsia="de-DE"/>
        </w:rPr>
        <w:t xml:space="preserve"> </w:t>
      </w:r>
      <w:r w:rsidRPr="000F5B67">
        <w:rPr>
          <w:rFonts w:eastAsia="Times New Roman" w:cs="Times New Roman"/>
          <w:lang w:eastAsia="de-DE"/>
        </w:rPr>
        <w:t>zeigt unterschiedliche Anforderungen: freiwillige Gaben weniger streng als Gelübdeopfer.</w:t>
      </w:r>
    </w:p>
    <w:p w14:paraId="1DC4C8FB" w14:textId="393D44A3"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שרוע</w:t>
      </w:r>
      <w:r w:rsidR="0007678B">
        <w:t xml:space="preserve"> (</w:t>
      </w:r>
      <w:proofErr w:type="spellStart"/>
      <w:r w:rsidR="0007678B">
        <w:t>sarua</w:t>
      </w:r>
      <w:proofErr w:type="spellEnd"/>
      <w:r w:rsidR="0007678B">
        <w:t xml:space="preserve">' - "zu lang") als </w:t>
      </w:r>
      <w:proofErr w:type="spellStart"/>
      <w:r w:rsidR="0007678B">
        <w:t>ὠτότμητον</w:t>
      </w:r>
      <w:proofErr w:type="spellEnd"/>
      <w:r w:rsidR="0007678B">
        <w:t xml:space="preserve"> (ohrverstümmelt) und </w:t>
      </w:r>
      <w:r w:rsidR="0007678B">
        <w:rPr>
          <w:rtl/>
        </w:rPr>
        <w:t>קלוט</w:t>
      </w:r>
      <w:r w:rsidR="0007678B">
        <w:t xml:space="preserve"> (</w:t>
      </w:r>
      <w:proofErr w:type="spellStart"/>
      <w:r w:rsidR="0007678B">
        <w:t>qalut</w:t>
      </w:r>
      <w:proofErr w:type="spellEnd"/>
      <w:r w:rsidR="0007678B">
        <w:t xml:space="preserve"> - "zu kurz") als </w:t>
      </w:r>
      <w:proofErr w:type="spellStart"/>
      <w:r w:rsidR="0007678B">
        <w:t>κολο</w:t>
      </w:r>
      <w:proofErr w:type="spellEnd"/>
      <w:r w:rsidR="0007678B">
        <w:t xml:space="preserve">βόκερκον (schwanzverstümmelt). </w:t>
      </w:r>
      <w:r w:rsidR="0007678B">
        <w:rPr>
          <w:rtl/>
        </w:rPr>
        <w:t>נדבה</w:t>
      </w:r>
      <w:r w:rsidR="0007678B">
        <w:t xml:space="preserve"> (</w:t>
      </w:r>
      <w:proofErr w:type="spellStart"/>
      <w:r w:rsidR="0007678B">
        <w:t>nedava</w:t>
      </w:r>
      <w:proofErr w:type="spellEnd"/>
      <w:r w:rsidR="0007678B">
        <w:t xml:space="preserve">) wird als </w:t>
      </w:r>
      <w:proofErr w:type="spellStart"/>
      <w:r w:rsidR="0007678B">
        <w:t>σφάγι</w:t>
      </w:r>
      <w:proofErr w:type="spellEnd"/>
      <w:r w:rsidR="0007678B">
        <w:t>α (Schlachtopfer) wiedergegeben.</w:t>
      </w:r>
    </w:p>
    <w:p w14:paraId="215EF78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Proportionsfehler-Ausnahme: zwei Tierarten + zwei Proportionsfehler + Freiwilligenopfer-Erlaubnis + Gelübdeopfer-Verbot.</w:t>
      </w:r>
    </w:p>
    <w:p w14:paraId="534B1F0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erlaubt Tiere mit Proportionsfehlern für freiwillige Gaben, aber nicht für Gelübdeopfer.</w:t>
      </w:r>
    </w:p>
    <w:p w14:paraId="03F15A36"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lastRenderedPageBreak/>
        <w:t>Leviticus 22,24</w:t>
      </w:r>
    </w:p>
    <w:p w14:paraId="5D1E6BD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וּמָע֤וּךְ וְכָתוּת֙ וְנָת֣וּק וְכָר֔וּת לֹ֥א תַקְרִ֖יבוּ לַֽיהוָ֑ה וּֽבְאַרְצְכֶ֖ם לֹ֥א תַעֲשֽׂוּ׃</w:t>
      </w:r>
    </w:p>
    <w:p w14:paraId="731CB12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ein Tier, dem die Hoden zerquetscht oder zerstoßen oder ausgerissen oder ausgeschnitten sind, sollt ihr dem Ewigen nicht darbringen, und in eurem Land sollt ihr ebenso nicht tun.</w:t>
      </w:r>
    </w:p>
    <w:p w14:paraId="2EC459DE"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2CEAD4B">
          <v:rect id="_x0000_i1672" style="width:0;height:1.5pt" o:hralign="center" o:hrstd="t" o:hr="t" fillcolor="#a0a0a0" stroked="f"/>
        </w:pict>
      </w:r>
    </w:p>
    <w:p w14:paraId="3DB85E8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ומעוך וכתות ונתוק וכרות לא תקריבו ליהוה ובארצכם לא תעשו</w:t>
      </w:r>
      <w:r w:rsidRPr="000F5B67">
        <w:rPr>
          <w:rFonts w:eastAsia="Times New Roman" w:cs="Times New Roman"/>
          <w:rtl/>
          <w:lang w:eastAsia="de-DE"/>
        </w:rPr>
        <w:t xml:space="preserve"> </w:t>
      </w:r>
      <w:r w:rsidRPr="000F5B67">
        <w:rPr>
          <w:rFonts w:eastAsia="Times New Roman" w:cs="Times New Roman"/>
          <w:lang w:eastAsia="de-DE"/>
        </w:rPr>
        <w:t>verbietet kastrierte Tiere. Die vier Begriffe zeigen verschiedene Kastrationsarten:</w:t>
      </w:r>
    </w:p>
    <w:p w14:paraId="650E784B" w14:textId="77777777" w:rsidR="000F5B67" w:rsidRPr="000F5B67" w:rsidRDefault="000F5B67" w:rsidP="000F5B67">
      <w:pPr>
        <w:numPr>
          <w:ilvl w:val="0"/>
          <w:numId w:val="13"/>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מעוך</w:t>
      </w:r>
      <w:r w:rsidRPr="000F5B67">
        <w:rPr>
          <w:rFonts w:eastAsia="Times New Roman" w:cs="Times New Roman"/>
          <w:rtl/>
          <w:lang w:eastAsia="de-DE"/>
        </w:rPr>
        <w:t xml:space="preserve"> </w:t>
      </w:r>
      <w:r w:rsidRPr="000F5B67">
        <w:rPr>
          <w:rFonts w:eastAsia="Times New Roman" w:cs="Times New Roman"/>
          <w:lang w:eastAsia="de-DE"/>
        </w:rPr>
        <w:t>(zerquetscht) zeigt Hodenquetschung</w:t>
      </w:r>
    </w:p>
    <w:p w14:paraId="7729B1A1" w14:textId="77777777" w:rsidR="000F5B67" w:rsidRPr="000F5B67" w:rsidRDefault="000F5B67" w:rsidP="000F5B67">
      <w:pPr>
        <w:numPr>
          <w:ilvl w:val="0"/>
          <w:numId w:val="13"/>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כתות</w:t>
      </w:r>
      <w:r w:rsidRPr="000F5B67">
        <w:rPr>
          <w:rFonts w:eastAsia="Times New Roman" w:cs="Times New Roman"/>
          <w:rtl/>
          <w:lang w:eastAsia="de-DE"/>
        </w:rPr>
        <w:t xml:space="preserve"> </w:t>
      </w:r>
      <w:r w:rsidRPr="000F5B67">
        <w:rPr>
          <w:rFonts w:eastAsia="Times New Roman" w:cs="Times New Roman"/>
          <w:lang w:eastAsia="de-DE"/>
        </w:rPr>
        <w:t>(zerstoßen) zeigt Hodenzerstoßung</w:t>
      </w:r>
    </w:p>
    <w:p w14:paraId="15906C45" w14:textId="77777777" w:rsidR="000F5B67" w:rsidRPr="000F5B67" w:rsidRDefault="000F5B67" w:rsidP="000F5B67">
      <w:pPr>
        <w:numPr>
          <w:ilvl w:val="0"/>
          <w:numId w:val="13"/>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נתוק</w:t>
      </w:r>
      <w:r w:rsidRPr="000F5B67">
        <w:rPr>
          <w:rFonts w:eastAsia="Times New Roman" w:cs="Times New Roman"/>
          <w:rtl/>
          <w:lang w:eastAsia="de-DE"/>
        </w:rPr>
        <w:t xml:space="preserve"> </w:t>
      </w:r>
      <w:r w:rsidRPr="000F5B67">
        <w:rPr>
          <w:rFonts w:eastAsia="Times New Roman" w:cs="Times New Roman"/>
          <w:lang w:eastAsia="de-DE"/>
        </w:rPr>
        <w:t>(ausgerissen) zeigt Hodenausreißung</w:t>
      </w:r>
    </w:p>
    <w:p w14:paraId="6096536E" w14:textId="77777777" w:rsidR="000F5B67" w:rsidRPr="000F5B67" w:rsidRDefault="000F5B67" w:rsidP="000F5B67">
      <w:pPr>
        <w:numPr>
          <w:ilvl w:val="0"/>
          <w:numId w:val="13"/>
        </w:num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כרות</w:t>
      </w:r>
      <w:r w:rsidRPr="000F5B67">
        <w:rPr>
          <w:rFonts w:eastAsia="Times New Roman" w:cs="Times New Roman"/>
          <w:rtl/>
          <w:lang w:eastAsia="de-DE"/>
        </w:rPr>
        <w:t xml:space="preserve"> </w:t>
      </w:r>
      <w:r w:rsidRPr="000F5B67">
        <w:rPr>
          <w:rFonts w:eastAsia="Times New Roman" w:cs="Times New Roman"/>
          <w:lang w:eastAsia="de-DE"/>
        </w:rPr>
        <w:t>(ausgeschnitten) zeigt Hodenschneidung</w:t>
      </w:r>
    </w:p>
    <w:p w14:paraId="020B7DE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תקריבו ליהוה</w:t>
      </w:r>
      <w:r w:rsidRPr="000F5B67">
        <w:rPr>
          <w:rFonts w:eastAsia="Times New Roman" w:cs="Times New Roman"/>
          <w:rtl/>
          <w:lang w:eastAsia="de-DE"/>
        </w:rPr>
        <w:t xml:space="preserve"> </w:t>
      </w:r>
      <w:r w:rsidRPr="000F5B67">
        <w:rPr>
          <w:rFonts w:eastAsia="Times New Roman" w:cs="Times New Roman"/>
          <w:lang w:eastAsia="de-DE"/>
        </w:rPr>
        <w:t>(sollt ihr dem Ewigen nicht darbringen) zeigt absolutes Opferverbot für kastrierte Tiere.</w:t>
      </w:r>
    </w:p>
    <w:p w14:paraId="0DEAB43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ובארצכם לא תעשו</w:t>
      </w:r>
      <w:r w:rsidRPr="000F5B67">
        <w:rPr>
          <w:rFonts w:eastAsia="Times New Roman" w:cs="Times New Roman"/>
          <w:rtl/>
          <w:lang w:eastAsia="de-DE"/>
        </w:rPr>
        <w:t xml:space="preserve"> </w:t>
      </w:r>
      <w:r w:rsidRPr="000F5B67">
        <w:rPr>
          <w:rFonts w:eastAsia="Times New Roman" w:cs="Times New Roman"/>
          <w:lang w:eastAsia="de-DE"/>
        </w:rPr>
        <w:t xml:space="preserve">(und in eurem Land sollt ihr ebenso nicht tun) - </w:t>
      </w:r>
      <w:r w:rsidRPr="000F5B67">
        <w:rPr>
          <w:rFonts w:eastAsia="Times New Roman" w:cs="Times New Roman"/>
          <w:b/>
          <w:bCs/>
          <w:rtl/>
          <w:lang w:eastAsia="de-DE"/>
        </w:rPr>
        <w:t>בארצכם</w:t>
      </w:r>
      <w:r w:rsidRPr="000F5B67">
        <w:rPr>
          <w:rFonts w:eastAsia="Times New Roman" w:cs="Times New Roman"/>
          <w:rtl/>
          <w:lang w:eastAsia="de-DE"/>
        </w:rPr>
        <w:t xml:space="preserve"> </w:t>
      </w:r>
      <w:r w:rsidRPr="000F5B67">
        <w:rPr>
          <w:rFonts w:eastAsia="Times New Roman" w:cs="Times New Roman"/>
          <w:lang w:eastAsia="de-DE"/>
        </w:rPr>
        <w:t xml:space="preserve">(in eurem Land) zeigt israelitisches Territorium. </w:t>
      </w:r>
      <w:r w:rsidRPr="000F5B67">
        <w:rPr>
          <w:rFonts w:eastAsia="Times New Roman" w:cs="Times New Roman"/>
          <w:b/>
          <w:bCs/>
          <w:rtl/>
          <w:lang w:eastAsia="de-DE"/>
        </w:rPr>
        <w:t>לא תעשו</w:t>
      </w:r>
      <w:r w:rsidRPr="000F5B67">
        <w:rPr>
          <w:rFonts w:eastAsia="Times New Roman" w:cs="Times New Roman"/>
          <w:rtl/>
          <w:lang w:eastAsia="de-DE"/>
        </w:rPr>
        <w:t xml:space="preserve"> </w:t>
      </w:r>
      <w:r w:rsidRPr="000F5B67">
        <w:rPr>
          <w:rFonts w:eastAsia="Times New Roman" w:cs="Times New Roman"/>
          <w:lang w:eastAsia="de-DE"/>
        </w:rPr>
        <w:t>(sollt ihr nicht tun) im Qal-Imperfekt verbietet die Kastration selbst.</w:t>
      </w:r>
    </w:p>
    <w:p w14:paraId="0010173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Die vier Kastrationsarten zeigen umfassende Erfassung aller Methoden. </w:t>
      </w:r>
      <w:r w:rsidRPr="000F5B67">
        <w:rPr>
          <w:rFonts w:eastAsia="Times New Roman" w:cs="Times New Roman"/>
          <w:b/>
          <w:bCs/>
          <w:rtl/>
          <w:lang w:eastAsia="de-DE"/>
        </w:rPr>
        <w:t>לא תקריבו</w:t>
      </w:r>
      <w:r w:rsidRPr="000F5B67">
        <w:rPr>
          <w:rFonts w:eastAsia="Times New Roman" w:cs="Times New Roman"/>
          <w:rtl/>
          <w:lang w:eastAsia="de-DE"/>
        </w:rPr>
        <w:t xml:space="preserve"> </w:t>
      </w:r>
      <w:r w:rsidRPr="000F5B67">
        <w:rPr>
          <w:rFonts w:eastAsia="Times New Roman" w:cs="Times New Roman"/>
          <w:lang w:eastAsia="de-DE"/>
        </w:rPr>
        <w:t xml:space="preserve">verbietet Opferung kastrierter Tiere. </w:t>
      </w:r>
      <w:r w:rsidRPr="000F5B67">
        <w:rPr>
          <w:rFonts w:eastAsia="Times New Roman" w:cs="Times New Roman"/>
          <w:b/>
          <w:bCs/>
          <w:rtl/>
          <w:lang w:eastAsia="de-DE"/>
        </w:rPr>
        <w:t>ובארצכם לא תעשו</w:t>
      </w:r>
      <w:r w:rsidRPr="000F5B67">
        <w:rPr>
          <w:rFonts w:eastAsia="Times New Roman" w:cs="Times New Roman"/>
          <w:rtl/>
          <w:lang w:eastAsia="de-DE"/>
        </w:rPr>
        <w:t xml:space="preserve"> </w:t>
      </w:r>
      <w:r w:rsidRPr="000F5B67">
        <w:rPr>
          <w:rFonts w:eastAsia="Times New Roman" w:cs="Times New Roman"/>
          <w:lang w:eastAsia="de-DE"/>
        </w:rPr>
        <w:t>verbietet zusätzlich die Kastration im Land Israel.</w:t>
      </w:r>
    </w:p>
    <w:p w14:paraId="04569DA7" w14:textId="7A92C310"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interpretiert die Kastrationsbegriffe: </w:t>
      </w:r>
      <w:r w:rsidR="0007678B">
        <w:rPr>
          <w:rtl/>
        </w:rPr>
        <w:t>מעוך</w:t>
      </w:r>
      <w:r w:rsidR="0007678B">
        <w:t xml:space="preserve"> (</w:t>
      </w:r>
      <w:proofErr w:type="spellStart"/>
      <w:r w:rsidR="0007678B">
        <w:t>ma'uch</w:t>
      </w:r>
      <w:proofErr w:type="spellEnd"/>
      <w:r w:rsidR="0007678B">
        <w:t xml:space="preserve"> - "zerdrückt") als </w:t>
      </w:r>
      <w:proofErr w:type="spellStart"/>
      <w:r w:rsidR="0007678B">
        <w:t>θλ</w:t>
      </w:r>
      <w:proofErr w:type="spellEnd"/>
      <w:r w:rsidR="0007678B">
        <w:t xml:space="preserve">αδίαν (zerquetscht), </w:t>
      </w:r>
      <w:r w:rsidR="0007678B">
        <w:rPr>
          <w:rtl/>
        </w:rPr>
        <w:t>כתות</w:t>
      </w:r>
      <w:r w:rsidR="0007678B">
        <w:t xml:space="preserve"> (</w:t>
      </w:r>
      <w:proofErr w:type="spellStart"/>
      <w:r w:rsidR="0007678B">
        <w:t>kathut</w:t>
      </w:r>
      <w:proofErr w:type="spellEnd"/>
      <w:r w:rsidR="0007678B">
        <w:t xml:space="preserve"> - "zerstoßen") als </w:t>
      </w:r>
      <w:proofErr w:type="spellStart"/>
      <w:r w:rsidR="0007678B">
        <w:t>ἐκτεθλιμμένον</w:t>
      </w:r>
      <w:proofErr w:type="spellEnd"/>
      <w:r w:rsidR="0007678B">
        <w:t xml:space="preserve"> (zerdrückt), </w:t>
      </w:r>
      <w:r w:rsidR="0007678B">
        <w:rPr>
          <w:rtl/>
        </w:rPr>
        <w:t>נתוק</w:t>
      </w:r>
      <w:r w:rsidR="0007678B">
        <w:t xml:space="preserve"> (</w:t>
      </w:r>
      <w:proofErr w:type="spellStart"/>
      <w:r w:rsidR="0007678B">
        <w:t>natuq</w:t>
      </w:r>
      <w:proofErr w:type="spellEnd"/>
      <w:r w:rsidR="0007678B">
        <w:t xml:space="preserve"> - "abgerissen") als </w:t>
      </w:r>
      <w:proofErr w:type="spellStart"/>
      <w:r w:rsidR="0007678B">
        <w:t>ἐκτομί</w:t>
      </w:r>
      <w:proofErr w:type="spellEnd"/>
      <w:r w:rsidR="0007678B">
        <w:t xml:space="preserve">αν (verstümmelt), und </w:t>
      </w:r>
      <w:r w:rsidR="0007678B">
        <w:rPr>
          <w:rtl/>
        </w:rPr>
        <w:t>כרות</w:t>
      </w:r>
      <w:r w:rsidR="0007678B">
        <w:t xml:space="preserve"> (</w:t>
      </w:r>
      <w:proofErr w:type="spellStart"/>
      <w:r w:rsidR="0007678B">
        <w:t>karut</w:t>
      </w:r>
      <w:proofErr w:type="spellEnd"/>
      <w:r w:rsidR="0007678B">
        <w:t xml:space="preserve"> - "verschnitten") als ἀπ</w:t>
      </w:r>
      <w:proofErr w:type="spellStart"/>
      <w:r w:rsidR="0007678B">
        <w:t>εσ</w:t>
      </w:r>
      <w:proofErr w:type="spellEnd"/>
      <w:r w:rsidR="0007678B">
        <w:t>πασμένον (abgerissen).</w:t>
      </w:r>
    </w:p>
    <w:p w14:paraId="09EAC3E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Kastrationsverbote: vier Kastrationsarten + Opferverbot + Kastrationsverbot im Land.</w:t>
      </w:r>
    </w:p>
    <w:p w14:paraId="0E6A007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verbietet sowohl die Opferung kastrierter Tiere als auch die Kastration selbst im Land Israel.</w:t>
      </w:r>
    </w:p>
    <w:p w14:paraId="68F4B1C4"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22,25</w:t>
      </w:r>
    </w:p>
    <w:p w14:paraId="0E549B7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וּמִיַּ֣ד בֶּן־נֵכָ֗ר לֹ֥א תַקְרִ֛יבוּ אֶת־לֶ֥חֶם אֱלֹהֵיכֶ֖ם מִכָּל־אֵ֑לֶּה כִּ֣י מָשְׁחָתָ֤ם בָּהֶם֙ מ֣וּם בָּ֔ם לֹ֥א יֵרָצ֖וּ לָכֶֽם׃</w:t>
      </w:r>
    </w:p>
    <w:p w14:paraId="5EDD40A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Auch aus der Hand eines Ausländers sollt ihr keins von allen diesen als Speise eures Gottes darbringen; denn ihre Verderbnis ist an ihnen, ein Makel ist an ihnen; sie werden nicht wohlgefällig für euch angenommen werden.</w:t>
      </w:r>
    </w:p>
    <w:p w14:paraId="6907373D"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3760CBC2">
          <v:rect id="_x0000_i1673" style="width:0;height:1.5pt" o:hralign="center" o:hrstd="t" o:hr="t" fillcolor="#a0a0a0" stroked="f"/>
        </w:pict>
      </w:r>
    </w:p>
    <w:p w14:paraId="54DF0BC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Kommentar:</w:t>
      </w:r>
      <w:r w:rsidRPr="000F5B67">
        <w:rPr>
          <w:rFonts w:eastAsia="Times New Roman" w:cs="Times New Roman"/>
          <w:lang w:eastAsia="de-DE"/>
        </w:rPr>
        <w:t xml:space="preserve"> </w:t>
      </w:r>
      <w:r w:rsidRPr="000F5B67">
        <w:rPr>
          <w:rFonts w:eastAsia="Times New Roman" w:cs="Times New Roman"/>
          <w:b/>
          <w:bCs/>
          <w:rtl/>
          <w:lang w:eastAsia="de-DE"/>
        </w:rPr>
        <w:t>ומיד בן־נכר לא תקריבו את־לחם אלהיכם מכל־אלה כי משחתתם בהם מום בם לא ירצו לכם</w:t>
      </w:r>
      <w:r w:rsidRPr="000F5B67">
        <w:rPr>
          <w:rFonts w:eastAsia="Times New Roman" w:cs="Times New Roman"/>
          <w:rtl/>
          <w:lang w:eastAsia="de-DE"/>
        </w:rPr>
        <w:t xml:space="preserve"> </w:t>
      </w:r>
      <w:r w:rsidRPr="000F5B67">
        <w:rPr>
          <w:rFonts w:eastAsia="Times New Roman" w:cs="Times New Roman"/>
          <w:lang w:eastAsia="de-DE"/>
        </w:rPr>
        <w:t xml:space="preserve">verbietet den Ankauf fehlerhafter Opfertiere von Ausländern. </w:t>
      </w:r>
      <w:r w:rsidRPr="000F5B67">
        <w:rPr>
          <w:rFonts w:eastAsia="Times New Roman" w:cs="Times New Roman"/>
          <w:b/>
          <w:bCs/>
          <w:rtl/>
          <w:lang w:eastAsia="de-DE"/>
        </w:rPr>
        <w:t>ומיד בן־נכר</w:t>
      </w:r>
      <w:r w:rsidRPr="000F5B67">
        <w:rPr>
          <w:rFonts w:eastAsia="Times New Roman" w:cs="Times New Roman"/>
          <w:rtl/>
          <w:lang w:eastAsia="de-DE"/>
        </w:rPr>
        <w:t xml:space="preserve"> </w:t>
      </w:r>
      <w:r w:rsidRPr="000F5B67">
        <w:rPr>
          <w:rFonts w:eastAsia="Times New Roman" w:cs="Times New Roman"/>
          <w:lang w:eastAsia="de-DE"/>
        </w:rPr>
        <w:t xml:space="preserve">(auch aus der Hand eines Ausländers) - </w:t>
      </w:r>
      <w:r w:rsidRPr="000F5B67">
        <w:rPr>
          <w:rFonts w:eastAsia="Times New Roman" w:cs="Times New Roman"/>
          <w:b/>
          <w:bCs/>
          <w:rtl/>
          <w:lang w:eastAsia="de-DE"/>
        </w:rPr>
        <w:t>מיד</w:t>
      </w:r>
      <w:r w:rsidRPr="000F5B67">
        <w:rPr>
          <w:rFonts w:eastAsia="Times New Roman" w:cs="Times New Roman"/>
          <w:rtl/>
          <w:lang w:eastAsia="de-DE"/>
        </w:rPr>
        <w:t xml:space="preserve"> </w:t>
      </w:r>
      <w:r w:rsidRPr="000F5B67">
        <w:rPr>
          <w:rFonts w:eastAsia="Times New Roman" w:cs="Times New Roman"/>
          <w:lang w:eastAsia="de-DE"/>
        </w:rPr>
        <w:t xml:space="preserve">(aus der Hand) zeigt Erwerb. </w:t>
      </w:r>
      <w:r w:rsidRPr="000F5B67">
        <w:rPr>
          <w:rFonts w:eastAsia="Times New Roman" w:cs="Times New Roman"/>
          <w:b/>
          <w:bCs/>
          <w:rtl/>
          <w:lang w:eastAsia="de-DE"/>
        </w:rPr>
        <w:t>בן־נכר</w:t>
      </w:r>
      <w:r w:rsidRPr="000F5B67">
        <w:rPr>
          <w:rFonts w:eastAsia="Times New Roman" w:cs="Times New Roman"/>
          <w:rtl/>
          <w:lang w:eastAsia="de-DE"/>
        </w:rPr>
        <w:t xml:space="preserve"> </w:t>
      </w:r>
      <w:r w:rsidRPr="000F5B67">
        <w:rPr>
          <w:rFonts w:eastAsia="Times New Roman" w:cs="Times New Roman"/>
          <w:lang w:eastAsia="de-DE"/>
        </w:rPr>
        <w:t>(Sohn der Fremde/Ausländer) zeigt Nicht-Israeliten außerhalb des Landes.</w:t>
      </w:r>
    </w:p>
    <w:p w14:paraId="0BD4C63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תקריבו את־לחם אלהיכם מכל־אלה</w:t>
      </w:r>
      <w:r w:rsidRPr="000F5B67">
        <w:rPr>
          <w:rFonts w:eastAsia="Times New Roman" w:cs="Times New Roman"/>
          <w:rtl/>
          <w:lang w:eastAsia="de-DE"/>
        </w:rPr>
        <w:t xml:space="preserve"> </w:t>
      </w:r>
      <w:r w:rsidRPr="000F5B67">
        <w:rPr>
          <w:rFonts w:eastAsia="Times New Roman" w:cs="Times New Roman"/>
          <w:lang w:eastAsia="de-DE"/>
        </w:rPr>
        <w:t xml:space="preserve">(sollt ihr keins von allen diesen als Speise eures Gottes darbringen) - </w:t>
      </w:r>
      <w:r w:rsidRPr="000F5B67">
        <w:rPr>
          <w:rFonts w:eastAsia="Times New Roman" w:cs="Times New Roman"/>
          <w:b/>
          <w:bCs/>
          <w:rtl/>
          <w:lang w:eastAsia="de-DE"/>
        </w:rPr>
        <w:t>את־לחם אלהיכם</w:t>
      </w:r>
      <w:r w:rsidRPr="000F5B67">
        <w:rPr>
          <w:rFonts w:eastAsia="Times New Roman" w:cs="Times New Roman"/>
          <w:rtl/>
          <w:lang w:eastAsia="de-DE"/>
        </w:rPr>
        <w:t xml:space="preserve"> </w:t>
      </w:r>
      <w:r w:rsidRPr="000F5B67">
        <w:rPr>
          <w:rFonts w:eastAsia="Times New Roman" w:cs="Times New Roman"/>
          <w:lang w:eastAsia="de-DE"/>
        </w:rPr>
        <w:t xml:space="preserve">(die Speise eures Gottes) entspricht den früheren Opferbezeichnungen. </w:t>
      </w:r>
      <w:r w:rsidRPr="000F5B67">
        <w:rPr>
          <w:rFonts w:eastAsia="Times New Roman" w:cs="Times New Roman"/>
          <w:b/>
          <w:bCs/>
          <w:rtl/>
          <w:lang w:eastAsia="de-DE"/>
        </w:rPr>
        <w:t>מכל־אלה</w:t>
      </w:r>
      <w:r w:rsidRPr="000F5B67">
        <w:rPr>
          <w:rFonts w:eastAsia="Times New Roman" w:cs="Times New Roman"/>
          <w:rtl/>
          <w:lang w:eastAsia="de-DE"/>
        </w:rPr>
        <w:t xml:space="preserve"> </w:t>
      </w:r>
      <w:r w:rsidRPr="000F5B67">
        <w:rPr>
          <w:rFonts w:eastAsia="Times New Roman" w:cs="Times New Roman"/>
          <w:lang w:eastAsia="de-DE"/>
        </w:rPr>
        <w:t>(von all diesen) bezieht sich auf die fehlerhaften Tiere aus V. 22-24.</w:t>
      </w:r>
    </w:p>
    <w:p w14:paraId="7CC4E06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כי משחתתם בהם מום בם</w:t>
      </w:r>
      <w:r w:rsidRPr="000F5B67">
        <w:rPr>
          <w:rFonts w:eastAsia="Times New Roman" w:cs="Times New Roman"/>
          <w:rtl/>
          <w:lang w:eastAsia="de-DE"/>
        </w:rPr>
        <w:t xml:space="preserve"> </w:t>
      </w:r>
      <w:r w:rsidRPr="000F5B67">
        <w:rPr>
          <w:rFonts w:eastAsia="Times New Roman" w:cs="Times New Roman"/>
          <w:lang w:eastAsia="de-DE"/>
        </w:rPr>
        <w:t xml:space="preserve">(denn ihre Verderbnis ist an ihnen, ein Makel ist an ihnen) - </w:t>
      </w:r>
      <w:r w:rsidRPr="000F5B67">
        <w:rPr>
          <w:rFonts w:eastAsia="Times New Roman" w:cs="Times New Roman"/>
          <w:b/>
          <w:bCs/>
          <w:rtl/>
          <w:lang w:eastAsia="de-DE"/>
        </w:rPr>
        <w:t>משחתתם</w:t>
      </w:r>
      <w:r w:rsidRPr="000F5B67">
        <w:rPr>
          <w:rFonts w:eastAsia="Times New Roman" w:cs="Times New Roman"/>
          <w:rtl/>
          <w:lang w:eastAsia="de-DE"/>
        </w:rPr>
        <w:t xml:space="preserve"> </w:t>
      </w:r>
      <w:r w:rsidRPr="000F5B67">
        <w:rPr>
          <w:rFonts w:eastAsia="Times New Roman" w:cs="Times New Roman"/>
          <w:lang w:eastAsia="de-DE"/>
        </w:rPr>
        <w:t xml:space="preserve">(ihre Verderbnis) von </w:t>
      </w:r>
      <w:r w:rsidRPr="000F5B67">
        <w:rPr>
          <w:rFonts w:eastAsia="Times New Roman" w:cs="Times New Roman"/>
          <w:b/>
          <w:bCs/>
          <w:rtl/>
          <w:lang w:eastAsia="de-DE"/>
        </w:rPr>
        <w:t>שחת</w:t>
      </w:r>
      <w:r w:rsidRPr="000F5B67">
        <w:rPr>
          <w:rFonts w:eastAsia="Times New Roman" w:cs="Times New Roman"/>
          <w:rtl/>
          <w:lang w:eastAsia="de-DE"/>
        </w:rPr>
        <w:t xml:space="preserve"> </w:t>
      </w:r>
      <w:r w:rsidRPr="000F5B67">
        <w:rPr>
          <w:rFonts w:eastAsia="Times New Roman" w:cs="Times New Roman"/>
          <w:lang w:eastAsia="de-DE"/>
        </w:rPr>
        <w:t xml:space="preserve">(verderben) zeigt Verfall. </w:t>
      </w:r>
      <w:r w:rsidRPr="000F5B67">
        <w:rPr>
          <w:rFonts w:eastAsia="Times New Roman" w:cs="Times New Roman"/>
          <w:b/>
          <w:bCs/>
          <w:rtl/>
          <w:lang w:eastAsia="de-DE"/>
        </w:rPr>
        <w:t>מום בם</w:t>
      </w:r>
      <w:r w:rsidRPr="000F5B67">
        <w:rPr>
          <w:rFonts w:eastAsia="Times New Roman" w:cs="Times New Roman"/>
          <w:rtl/>
          <w:lang w:eastAsia="de-DE"/>
        </w:rPr>
        <w:t xml:space="preserve"> </w:t>
      </w:r>
      <w:r w:rsidRPr="000F5B67">
        <w:rPr>
          <w:rFonts w:eastAsia="Times New Roman" w:cs="Times New Roman"/>
          <w:lang w:eastAsia="de-DE"/>
        </w:rPr>
        <w:t>(ein Makel an ihnen) wiederholt die Makel-Terminologie.</w:t>
      </w:r>
    </w:p>
    <w:p w14:paraId="27E2BB7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ירצו לכם</w:t>
      </w:r>
      <w:r w:rsidRPr="000F5B67">
        <w:rPr>
          <w:rFonts w:eastAsia="Times New Roman" w:cs="Times New Roman"/>
          <w:rtl/>
          <w:lang w:eastAsia="de-DE"/>
        </w:rPr>
        <w:t xml:space="preserve"> </w:t>
      </w:r>
      <w:r w:rsidRPr="000F5B67">
        <w:rPr>
          <w:rFonts w:eastAsia="Times New Roman" w:cs="Times New Roman"/>
          <w:lang w:eastAsia="de-DE"/>
        </w:rPr>
        <w:t>(sie werden nicht wohlgefällig für euch angenommen werden) im Nifal-Imperfekt zeigt göttliche Verweigerung.</w:t>
      </w:r>
    </w:p>
    <w:p w14:paraId="403FC16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מיד בן־נכר</w:t>
      </w:r>
      <w:r w:rsidRPr="000F5B67">
        <w:rPr>
          <w:rFonts w:eastAsia="Times New Roman" w:cs="Times New Roman"/>
          <w:rtl/>
          <w:lang w:eastAsia="de-DE"/>
        </w:rPr>
        <w:t xml:space="preserve"> </w:t>
      </w:r>
      <w:r w:rsidRPr="000F5B67">
        <w:rPr>
          <w:rFonts w:eastAsia="Times New Roman" w:cs="Times New Roman"/>
          <w:lang w:eastAsia="de-DE"/>
        </w:rPr>
        <w:t xml:space="preserve">zeigt, dass auch ausländische Anbieter die Standards nicht umgehen dürfen. </w:t>
      </w:r>
      <w:r w:rsidRPr="000F5B67">
        <w:rPr>
          <w:rFonts w:eastAsia="Times New Roman" w:cs="Times New Roman"/>
          <w:b/>
          <w:bCs/>
          <w:rtl/>
          <w:lang w:eastAsia="de-DE"/>
        </w:rPr>
        <w:t>משחתתם בהם מום בם</w:t>
      </w:r>
      <w:r w:rsidRPr="000F5B67">
        <w:rPr>
          <w:rFonts w:eastAsia="Times New Roman" w:cs="Times New Roman"/>
          <w:rtl/>
          <w:lang w:eastAsia="de-DE"/>
        </w:rPr>
        <w:t xml:space="preserve"> </w:t>
      </w:r>
      <w:r w:rsidRPr="000F5B67">
        <w:rPr>
          <w:rFonts w:eastAsia="Times New Roman" w:cs="Times New Roman"/>
          <w:lang w:eastAsia="de-DE"/>
        </w:rPr>
        <w:t>zeigt doppelte Disqualifikation durch Verderb und Makel.</w:t>
      </w:r>
    </w:p>
    <w:p w14:paraId="68EAF364" w14:textId="4460A6C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משחתם</w:t>
      </w:r>
      <w:r w:rsidR="0007678B">
        <w:t xml:space="preserve"> (</w:t>
      </w:r>
      <w:proofErr w:type="spellStart"/>
      <w:r w:rsidR="0007678B">
        <w:t>mashchatam</w:t>
      </w:r>
      <w:proofErr w:type="spellEnd"/>
      <w:r w:rsidR="0007678B">
        <w:t xml:space="preserve"> - "ihre Verderbtheit") als </w:t>
      </w:r>
      <w:proofErr w:type="spellStart"/>
      <w:r w:rsidR="0007678B">
        <w:t>φθάρμ</w:t>
      </w:r>
      <w:proofErr w:type="spellEnd"/>
      <w:r w:rsidR="0007678B">
        <w:t>ατα (</w:t>
      </w:r>
      <w:proofErr w:type="spellStart"/>
      <w:r w:rsidR="0007678B">
        <w:t>Verderbnisse</w:t>
      </w:r>
      <w:proofErr w:type="spellEnd"/>
      <w:r w:rsidR="0007678B">
        <w:t xml:space="preserve">) und </w:t>
      </w:r>
      <w:r w:rsidR="0007678B">
        <w:rPr>
          <w:rtl/>
        </w:rPr>
        <w:t>בן־נכר</w:t>
      </w:r>
      <w:r w:rsidR="0007678B">
        <w:t xml:space="preserve"> (ben-</w:t>
      </w:r>
      <w:proofErr w:type="spellStart"/>
      <w:r w:rsidR="0007678B">
        <w:t>nechar</w:t>
      </w:r>
      <w:proofErr w:type="spellEnd"/>
      <w:r w:rsidR="0007678B">
        <w:t xml:space="preserve"> - "Sohn des Fremden") als </w:t>
      </w:r>
      <w:proofErr w:type="spellStart"/>
      <w:r w:rsidR="0007678B">
        <w:t>ἀλλογενοῦς</w:t>
      </w:r>
      <w:proofErr w:type="spellEnd"/>
      <w:r w:rsidR="0007678B">
        <w:t xml:space="preserve"> (Fremdstämmigen).</w:t>
      </w:r>
    </w:p>
    <w:p w14:paraId="188829E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Ausländer-Ankaufsverbot: Ausländer-Erwerb + Gottesspeise-Darbringungsverbot + doppelte Disqualifikation + Wohlgefallens-Verweigerung.</w:t>
      </w:r>
    </w:p>
    <w:p w14:paraId="3ABC764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schließt auch den Ankauf fehlerhafter Opfertiere von Ausländern aus, da diese die gleichen Qualitätsstandards nicht erfüllen.</w:t>
      </w:r>
    </w:p>
    <w:p w14:paraId="6B13840C"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22,26</w:t>
      </w:r>
    </w:p>
    <w:p w14:paraId="66BDA7E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וַיְדַבֵּ֥ר יְהוָ֖ה אֶל־מֹשֶׁ֥ה לֵּאמֹֽר׃</w:t>
      </w:r>
    </w:p>
    <w:p w14:paraId="14DF70A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der Ewige redete zu Mosche, sagend:</w:t>
      </w:r>
    </w:p>
    <w:p w14:paraId="5AF2B7A6"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17759045">
          <v:rect id="_x0000_i1674" style="width:0;height:1.5pt" o:hralign="center" o:hrstd="t" o:hr="t" fillcolor="#a0a0a0" stroked="f"/>
        </w:pict>
      </w:r>
    </w:p>
    <w:p w14:paraId="2C7C3F7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וידבר יהוה אל־משה לאמר</w:t>
      </w:r>
      <w:r w:rsidRPr="000F5B67">
        <w:rPr>
          <w:rFonts w:eastAsia="Times New Roman" w:cs="Times New Roman"/>
          <w:rtl/>
          <w:lang w:eastAsia="de-DE"/>
        </w:rPr>
        <w:t xml:space="preserve"> </w:t>
      </w:r>
      <w:r w:rsidRPr="000F5B67">
        <w:rPr>
          <w:rFonts w:eastAsia="Times New Roman" w:cs="Times New Roman"/>
          <w:lang w:eastAsia="de-DE"/>
        </w:rPr>
        <w:t>als erneute Offenbarungseinleitung. Diese leitet den Abschnitt über das Mindestalter von Opfertieren und weitere zeitliche Bestimmungen ein.</w:t>
      </w:r>
    </w:p>
    <w:p w14:paraId="359C4C44"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22,27</w:t>
      </w:r>
    </w:p>
    <w:p w14:paraId="4826ACD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שׁ֣וֹר אוֹ־כֶ֤שֶׂב אוֹ־עֵז֙ כִּ֣י יִוָּלֵ֔ד וְהָיָ֛ה שִׁבְעַ֥ת יָמִ֖ים תַּ֣חַת אִמֹּ֑ו וּמִיּ֤וֹם הַשְּׁמִינִי֙ וָהָ֔לְאָה יֵרָצֶ֕ה לְקָרְבַּ֥ן אִשֶּׁ֖ה לַיהוָֽה׃</w:t>
      </w:r>
    </w:p>
    <w:p w14:paraId="0EC1694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Wenn ein Rind oder ein Schaf oder eine Ziege geboren wird, so soll es sieben Tage bei seiner Mutter bleiben; und vom achten Tag an und weiterhin wird es wohlgefällig sein zur Opfergabe eines Feueropfers für den Ewigen.</w:t>
      </w:r>
    </w:p>
    <w:p w14:paraId="2CF1ADD4"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lastRenderedPageBreak/>
        <w:pict w14:anchorId="142C62CA">
          <v:rect id="_x0000_i1675" style="width:0;height:1.5pt" o:hralign="center" o:hrstd="t" o:hr="t" fillcolor="#a0a0a0" stroked="f"/>
        </w:pict>
      </w:r>
    </w:p>
    <w:p w14:paraId="4EA6655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שור או־כשב או־עז כי יולד והיה שבעת ימים תחת אמו ומיום השמיני והלאה ירצה לקרבן אשה ליהוה</w:t>
      </w:r>
      <w:r w:rsidRPr="000F5B67">
        <w:rPr>
          <w:rFonts w:eastAsia="Times New Roman" w:cs="Times New Roman"/>
          <w:rtl/>
          <w:lang w:eastAsia="de-DE"/>
        </w:rPr>
        <w:t xml:space="preserve"> </w:t>
      </w:r>
      <w:r w:rsidRPr="000F5B67">
        <w:rPr>
          <w:rFonts w:eastAsia="Times New Roman" w:cs="Times New Roman"/>
          <w:lang w:eastAsia="de-DE"/>
        </w:rPr>
        <w:t xml:space="preserve">regelt das Mindestalter für Opfertiere. </w:t>
      </w:r>
      <w:r w:rsidRPr="000F5B67">
        <w:rPr>
          <w:rFonts w:eastAsia="Times New Roman" w:cs="Times New Roman"/>
          <w:b/>
          <w:bCs/>
          <w:rtl/>
          <w:lang w:eastAsia="de-DE"/>
        </w:rPr>
        <w:t>שור או־כשב או־עז כי יולד</w:t>
      </w:r>
      <w:r w:rsidRPr="000F5B67">
        <w:rPr>
          <w:rFonts w:eastAsia="Times New Roman" w:cs="Times New Roman"/>
          <w:rtl/>
          <w:lang w:eastAsia="de-DE"/>
        </w:rPr>
        <w:t xml:space="preserve"> </w:t>
      </w:r>
      <w:r w:rsidRPr="000F5B67">
        <w:rPr>
          <w:rFonts w:eastAsia="Times New Roman" w:cs="Times New Roman"/>
          <w:lang w:eastAsia="de-DE"/>
        </w:rPr>
        <w:t>(wenn ein Rind oder ein Schaf oder eine Ziege geboren wird) zeigt die drei Grundopfertiere bei der Geburt.</w:t>
      </w:r>
    </w:p>
    <w:p w14:paraId="608ADE2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והיה שבעת ימים תחת אמו</w:t>
      </w:r>
      <w:r w:rsidRPr="000F5B67">
        <w:rPr>
          <w:rFonts w:eastAsia="Times New Roman" w:cs="Times New Roman"/>
          <w:rtl/>
          <w:lang w:eastAsia="de-DE"/>
        </w:rPr>
        <w:t xml:space="preserve"> </w:t>
      </w:r>
      <w:r w:rsidRPr="000F5B67">
        <w:rPr>
          <w:rFonts w:eastAsia="Times New Roman" w:cs="Times New Roman"/>
          <w:lang w:eastAsia="de-DE"/>
        </w:rPr>
        <w:t xml:space="preserve">(so soll es sieben Tage bei seiner Mutter bleiben) - </w:t>
      </w:r>
      <w:r w:rsidRPr="000F5B67">
        <w:rPr>
          <w:rFonts w:eastAsia="Times New Roman" w:cs="Times New Roman"/>
          <w:b/>
          <w:bCs/>
          <w:rtl/>
          <w:lang w:eastAsia="de-DE"/>
        </w:rPr>
        <w:t>שבעת ימים</w:t>
      </w:r>
      <w:r w:rsidRPr="000F5B67">
        <w:rPr>
          <w:rFonts w:eastAsia="Times New Roman" w:cs="Times New Roman"/>
          <w:rtl/>
          <w:lang w:eastAsia="de-DE"/>
        </w:rPr>
        <w:t xml:space="preserve"> </w:t>
      </w:r>
      <w:r w:rsidRPr="000F5B67">
        <w:rPr>
          <w:rFonts w:eastAsia="Times New Roman" w:cs="Times New Roman"/>
          <w:lang w:eastAsia="de-DE"/>
        </w:rPr>
        <w:t xml:space="preserve">(sieben Tage) als Mindestzeit. </w:t>
      </w:r>
      <w:r w:rsidRPr="000F5B67">
        <w:rPr>
          <w:rFonts w:eastAsia="Times New Roman" w:cs="Times New Roman"/>
          <w:b/>
          <w:bCs/>
          <w:rtl/>
          <w:lang w:eastAsia="de-DE"/>
        </w:rPr>
        <w:t>תחת אמו</w:t>
      </w:r>
      <w:r w:rsidRPr="000F5B67">
        <w:rPr>
          <w:rFonts w:eastAsia="Times New Roman" w:cs="Times New Roman"/>
          <w:rtl/>
          <w:lang w:eastAsia="de-DE"/>
        </w:rPr>
        <w:t xml:space="preserve"> </w:t>
      </w:r>
      <w:r w:rsidRPr="000F5B67">
        <w:rPr>
          <w:rFonts w:eastAsia="Times New Roman" w:cs="Times New Roman"/>
          <w:lang w:eastAsia="de-DE"/>
        </w:rPr>
        <w:t>(unter seiner Mutter) zeigt die Säugezeit.</w:t>
      </w:r>
    </w:p>
    <w:p w14:paraId="4A7A2BD4" w14:textId="4B4BAEF1"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ומיום השמיני והלאה ירצה לקרבן אשה ליהוה</w:t>
      </w:r>
      <w:r w:rsidRPr="000F5B67">
        <w:rPr>
          <w:rFonts w:eastAsia="Times New Roman" w:cs="Times New Roman"/>
          <w:rtl/>
          <w:lang w:eastAsia="de-DE"/>
        </w:rPr>
        <w:t xml:space="preserve"> </w:t>
      </w:r>
      <w:r w:rsidRPr="000F5B67">
        <w:rPr>
          <w:rFonts w:eastAsia="Times New Roman" w:cs="Times New Roman"/>
          <w:lang w:eastAsia="de-DE"/>
        </w:rPr>
        <w:t xml:space="preserve">(und vom achten Tag an und weiterhin wird es wohlgefällig sein zur Opfergabe eines Feueropfers für den Ewigen) - </w:t>
      </w:r>
      <w:r w:rsidRPr="000F5B67">
        <w:rPr>
          <w:rFonts w:eastAsia="Times New Roman" w:cs="Times New Roman"/>
          <w:b/>
          <w:bCs/>
          <w:rtl/>
          <w:lang w:eastAsia="de-DE"/>
        </w:rPr>
        <w:t>מיום השמיני והלאה</w:t>
      </w:r>
      <w:r w:rsidRPr="000F5B67">
        <w:rPr>
          <w:rFonts w:eastAsia="Times New Roman" w:cs="Times New Roman"/>
          <w:rtl/>
          <w:lang w:eastAsia="de-DE"/>
        </w:rPr>
        <w:t xml:space="preserve"> </w:t>
      </w:r>
      <w:r w:rsidRPr="000F5B67">
        <w:rPr>
          <w:rFonts w:eastAsia="Times New Roman" w:cs="Times New Roman"/>
          <w:lang w:eastAsia="de-DE"/>
        </w:rPr>
        <w:t xml:space="preserve">(vom achten Tag an und weiterhin) zeigt Mindestalter. </w:t>
      </w:r>
      <w:r w:rsidRPr="000F5B67">
        <w:rPr>
          <w:rFonts w:eastAsia="Times New Roman" w:cs="Times New Roman"/>
          <w:b/>
          <w:bCs/>
          <w:rtl/>
          <w:lang w:eastAsia="de-DE"/>
        </w:rPr>
        <w:t>ירצה</w:t>
      </w:r>
      <w:r w:rsidRPr="000F5B67">
        <w:rPr>
          <w:rFonts w:eastAsia="Times New Roman" w:cs="Times New Roman"/>
          <w:rtl/>
          <w:lang w:eastAsia="de-DE"/>
        </w:rPr>
        <w:t xml:space="preserve"> </w:t>
      </w:r>
      <w:r w:rsidRPr="000F5B67">
        <w:rPr>
          <w:rFonts w:eastAsia="Times New Roman" w:cs="Times New Roman"/>
          <w:lang w:eastAsia="de-DE"/>
        </w:rPr>
        <w:t xml:space="preserve">(wird es wohlgefällig sein) im Nifal-Imperfekt zeigt göttliche Annahme. </w:t>
      </w:r>
      <w:r w:rsidRPr="000F5B67">
        <w:rPr>
          <w:rFonts w:eastAsia="Times New Roman" w:cs="Times New Roman"/>
          <w:b/>
          <w:bCs/>
          <w:rtl/>
          <w:lang w:eastAsia="de-DE"/>
        </w:rPr>
        <w:t>לקרבן אשה</w:t>
      </w:r>
      <w:r w:rsidRPr="000F5B67">
        <w:rPr>
          <w:rFonts w:eastAsia="Times New Roman" w:cs="Times New Roman"/>
          <w:rtl/>
          <w:lang w:eastAsia="de-DE"/>
        </w:rPr>
        <w:t xml:space="preserve"> </w:t>
      </w:r>
      <w:r w:rsidRPr="000F5B67">
        <w:rPr>
          <w:rFonts w:eastAsia="Times New Roman" w:cs="Times New Roman"/>
          <w:lang w:eastAsia="de-DE"/>
        </w:rPr>
        <w:t xml:space="preserve">(zur Opfergabe eines Feueropfers) spezifiziert </w:t>
      </w:r>
      <w:r w:rsidR="00DE39DD">
        <w:rPr>
          <w:rFonts w:eastAsia="Times New Roman" w:cs="Times New Roman"/>
          <w:lang w:eastAsia="de-DE"/>
        </w:rPr>
        <w:t>Aufsteigeopfer</w:t>
      </w:r>
      <w:r w:rsidRPr="000F5B67">
        <w:rPr>
          <w:rFonts w:eastAsia="Times New Roman" w:cs="Times New Roman"/>
          <w:lang w:eastAsia="de-DE"/>
        </w:rPr>
        <w:t>.</w:t>
      </w:r>
    </w:p>
    <w:p w14:paraId="4BF048CB"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שבעת ימים תחת אמו</w:t>
      </w:r>
      <w:r w:rsidRPr="000F5B67">
        <w:rPr>
          <w:rFonts w:eastAsia="Times New Roman" w:cs="Times New Roman"/>
          <w:rtl/>
          <w:lang w:eastAsia="de-DE"/>
        </w:rPr>
        <w:t xml:space="preserve"> </w:t>
      </w:r>
      <w:r w:rsidRPr="000F5B67">
        <w:rPr>
          <w:rFonts w:eastAsia="Times New Roman" w:cs="Times New Roman"/>
          <w:lang w:eastAsia="de-DE"/>
        </w:rPr>
        <w:t xml:space="preserve">entspricht menschlichen Reinheitsvorschriften (Lev 12,2-3). </w:t>
      </w:r>
      <w:r w:rsidRPr="000F5B67">
        <w:rPr>
          <w:rFonts w:eastAsia="Times New Roman" w:cs="Times New Roman"/>
          <w:b/>
          <w:bCs/>
          <w:rtl/>
          <w:lang w:eastAsia="de-DE"/>
        </w:rPr>
        <w:t>יום השמיני</w:t>
      </w:r>
      <w:r w:rsidRPr="000F5B67">
        <w:rPr>
          <w:rFonts w:eastAsia="Times New Roman" w:cs="Times New Roman"/>
          <w:rtl/>
          <w:lang w:eastAsia="de-DE"/>
        </w:rPr>
        <w:t xml:space="preserve"> </w:t>
      </w:r>
      <w:r w:rsidRPr="000F5B67">
        <w:rPr>
          <w:rFonts w:eastAsia="Times New Roman" w:cs="Times New Roman"/>
          <w:lang w:eastAsia="de-DE"/>
        </w:rPr>
        <w:t>als Übergangstag entspricht der Beschneidung. Das Tier muss lebensfähig und von der Mutter unabhängig sein.</w:t>
      </w:r>
    </w:p>
    <w:p w14:paraId="5C25795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כי יולד</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ὅτ</w:t>
      </w:r>
      <w:proofErr w:type="spellEnd"/>
      <w:r w:rsidRPr="000F5B67">
        <w:rPr>
          <w:rFonts w:eastAsia="Times New Roman" w:cs="Times New Roman"/>
          <w:lang w:eastAsia="de-DE"/>
        </w:rPr>
        <w:t xml:space="preserve">αν </w:t>
      </w:r>
      <w:proofErr w:type="spellStart"/>
      <w:r w:rsidRPr="000F5B67">
        <w:rPr>
          <w:rFonts w:eastAsia="Times New Roman" w:cs="Times New Roman"/>
          <w:lang w:eastAsia="de-DE"/>
        </w:rPr>
        <w:t>τεχθῇ</w:t>
      </w:r>
      <w:proofErr w:type="spellEnd"/>
      <w:r w:rsidRPr="000F5B67">
        <w:rPr>
          <w:rFonts w:eastAsia="Times New Roman" w:cs="Times New Roman"/>
          <w:lang w:eastAsia="de-DE"/>
        </w:rPr>
        <w:t xml:space="preserve"> (wann immer geboren wird), </w:t>
      </w:r>
      <w:r w:rsidRPr="000F5B67">
        <w:rPr>
          <w:rFonts w:eastAsia="Times New Roman" w:cs="Times New Roman"/>
          <w:b/>
          <w:bCs/>
          <w:rtl/>
          <w:lang w:eastAsia="de-DE"/>
        </w:rPr>
        <w:t>שבעת ימים</w:t>
      </w:r>
      <w:r w:rsidRPr="000F5B67">
        <w:rPr>
          <w:rFonts w:eastAsia="Times New Roman" w:cs="Times New Roman"/>
          <w:rtl/>
          <w:lang w:eastAsia="de-DE"/>
        </w:rPr>
        <w:t xml:space="preserve"> </w:t>
      </w:r>
      <w:r w:rsidRPr="000F5B67">
        <w:rPr>
          <w:rFonts w:eastAsia="Times New Roman" w:cs="Times New Roman"/>
          <w:lang w:eastAsia="de-DE"/>
        </w:rPr>
        <w:t>mit ἑπ</w:t>
      </w:r>
      <w:proofErr w:type="spellStart"/>
      <w:r w:rsidRPr="000F5B67">
        <w:rPr>
          <w:rFonts w:eastAsia="Times New Roman" w:cs="Times New Roman"/>
          <w:lang w:eastAsia="de-DE"/>
        </w:rPr>
        <w:t>τὰ</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ἡμέρ</w:t>
      </w:r>
      <w:proofErr w:type="spellEnd"/>
      <w:r w:rsidRPr="000F5B67">
        <w:rPr>
          <w:rFonts w:eastAsia="Times New Roman" w:cs="Times New Roman"/>
          <w:lang w:eastAsia="de-DE"/>
        </w:rPr>
        <w:t xml:space="preserve">ας (sieben Tage), </w:t>
      </w:r>
      <w:r w:rsidRPr="000F5B67">
        <w:rPr>
          <w:rFonts w:eastAsia="Times New Roman" w:cs="Times New Roman"/>
          <w:b/>
          <w:bCs/>
          <w:rtl/>
          <w:lang w:eastAsia="de-DE"/>
        </w:rPr>
        <w:t>תחת אמו</w:t>
      </w:r>
      <w:r w:rsidRPr="000F5B67">
        <w:rPr>
          <w:rFonts w:eastAsia="Times New Roman" w:cs="Times New Roman"/>
          <w:rtl/>
          <w:lang w:eastAsia="de-DE"/>
        </w:rPr>
        <w:t xml:space="preserve"> </w:t>
      </w:r>
      <w:r w:rsidRPr="000F5B67">
        <w:rPr>
          <w:rFonts w:eastAsia="Times New Roman" w:cs="Times New Roman"/>
          <w:lang w:eastAsia="de-DE"/>
        </w:rPr>
        <w:t xml:space="preserve">mit ὑπὸ </w:t>
      </w:r>
      <w:proofErr w:type="spellStart"/>
      <w:r w:rsidRPr="000F5B67">
        <w:rPr>
          <w:rFonts w:eastAsia="Times New Roman" w:cs="Times New Roman"/>
          <w:lang w:eastAsia="de-DE"/>
        </w:rPr>
        <w:t>τὴν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μητέρ</w:t>
      </w:r>
      <w:proofErr w:type="spellEnd"/>
      <w:r w:rsidRPr="000F5B67">
        <w:rPr>
          <w:rFonts w:eastAsia="Times New Roman" w:cs="Times New Roman"/>
          <w:lang w:eastAsia="de-DE"/>
        </w:rPr>
        <w:t>α α</w:t>
      </w:r>
      <w:proofErr w:type="spellStart"/>
      <w:r w:rsidRPr="000F5B67">
        <w:rPr>
          <w:rFonts w:eastAsia="Times New Roman" w:cs="Times New Roman"/>
          <w:lang w:eastAsia="de-DE"/>
        </w:rPr>
        <w:t>ὐτοῦ</w:t>
      </w:r>
      <w:proofErr w:type="spellEnd"/>
      <w:r w:rsidRPr="000F5B67">
        <w:rPr>
          <w:rFonts w:eastAsia="Times New Roman" w:cs="Times New Roman"/>
          <w:lang w:eastAsia="de-DE"/>
        </w:rPr>
        <w:t xml:space="preserve"> (unter seiner Mutter), </w:t>
      </w:r>
      <w:r w:rsidRPr="000F5B67">
        <w:rPr>
          <w:rFonts w:eastAsia="Times New Roman" w:cs="Times New Roman"/>
          <w:b/>
          <w:bCs/>
          <w:rtl/>
          <w:lang w:eastAsia="de-DE"/>
        </w:rPr>
        <w:t>יום השמיני</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ἡμέρᾳ</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ὀγδόῃ</w:t>
      </w:r>
      <w:proofErr w:type="spellEnd"/>
      <w:r w:rsidRPr="000F5B67">
        <w:rPr>
          <w:rFonts w:eastAsia="Times New Roman" w:cs="Times New Roman"/>
          <w:lang w:eastAsia="de-DE"/>
        </w:rPr>
        <w:t xml:space="preserve"> (am achten Tag) und </w:t>
      </w:r>
      <w:r w:rsidRPr="000F5B67">
        <w:rPr>
          <w:rFonts w:eastAsia="Times New Roman" w:cs="Times New Roman"/>
          <w:b/>
          <w:bCs/>
          <w:rtl/>
          <w:lang w:eastAsia="de-DE"/>
        </w:rPr>
        <w:t>ירצה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δεχθήσετ</w:t>
      </w:r>
      <w:proofErr w:type="spellEnd"/>
      <w:r w:rsidRPr="000F5B67">
        <w:rPr>
          <w:rFonts w:eastAsia="Times New Roman" w:cs="Times New Roman"/>
          <w:lang w:eastAsia="de-DE"/>
        </w:rPr>
        <w:t>αι (wird angenommen werden).</w:t>
      </w:r>
    </w:p>
    <w:p w14:paraId="24AD30D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Mindestalter-Regelung: drei Opfertiere + Geburt + siebentägige Säugezeit + achter Tag als Mindestalter + Wohlgefallen für Feueropfer.</w:t>
      </w:r>
    </w:p>
    <w:p w14:paraId="2338467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etabliert acht Tage als Mindestalter für Opfertiere nach siebentägiger Säugezeit bei der Mutter.</w:t>
      </w:r>
    </w:p>
    <w:p w14:paraId="40F4BF5D"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22,28</w:t>
      </w:r>
    </w:p>
    <w:p w14:paraId="085E351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וְשׁ֖וֹר אוֹ־שֶׂ֑ה אֹתוֹ֣ וְאֶת־בְּנֹ֔ו לֹ֥א תִשְׁחֲט֖וּ בְּי֥וֹם אֶחָֽד׃</w:t>
      </w:r>
    </w:p>
    <w:p w14:paraId="2127992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ein Rind oder ein Schaf - es selbst und sein Junges sollt ihr nicht an einem Tag schlachten.</w:t>
      </w:r>
    </w:p>
    <w:p w14:paraId="072C7426"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5D689F2">
          <v:rect id="_x0000_i1676" style="width:0;height:1.5pt" o:hralign="center" o:hrstd="t" o:hr="t" fillcolor="#a0a0a0" stroked="f"/>
        </w:pict>
      </w:r>
    </w:p>
    <w:p w14:paraId="4F7081A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ושור או־שה אתו ואת־בנו לא תשחטו ביום אחד</w:t>
      </w:r>
      <w:r w:rsidRPr="000F5B67">
        <w:rPr>
          <w:rFonts w:eastAsia="Times New Roman" w:cs="Times New Roman"/>
          <w:rtl/>
          <w:lang w:eastAsia="de-DE"/>
        </w:rPr>
        <w:t xml:space="preserve"> </w:t>
      </w:r>
      <w:r w:rsidRPr="000F5B67">
        <w:rPr>
          <w:rFonts w:eastAsia="Times New Roman" w:cs="Times New Roman"/>
          <w:lang w:eastAsia="de-DE"/>
        </w:rPr>
        <w:t xml:space="preserve">verbietet gleichzeitige Schlachtung von Mutter und Jungtier. </w:t>
      </w:r>
      <w:r w:rsidRPr="000F5B67">
        <w:rPr>
          <w:rFonts w:eastAsia="Times New Roman" w:cs="Times New Roman"/>
          <w:b/>
          <w:bCs/>
          <w:rtl/>
          <w:lang w:eastAsia="de-DE"/>
        </w:rPr>
        <w:t>ושור או־שה</w:t>
      </w:r>
      <w:r w:rsidRPr="000F5B67">
        <w:rPr>
          <w:rFonts w:eastAsia="Times New Roman" w:cs="Times New Roman"/>
          <w:rtl/>
          <w:lang w:eastAsia="de-DE"/>
        </w:rPr>
        <w:t xml:space="preserve"> </w:t>
      </w:r>
      <w:r w:rsidRPr="000F5B67">
        <w:rPr>
          <w:rFonts w:eastAsia="Times New Roman" w:cs="Times New Roman"/>
          <w:lang w:eastAsia="de-DE"/>
        </w:rPr>
        <w:t xml:space="preserve">(und ein Rind oder ein Schaf) zeigt zwei der drei Opfertiere. </w:t>
      </w:r>
      <w:r w:rsidRPr="000F5B67">
        <w:rPr>
          <w:rFonts w:eastAsia="Times New Roman" w:cs="Times New Roman"/>
          <w:b/>
          <w:bCs/>
          <w:rtl/>
          <w:lang w:eastAsia="de-DE"/>
        </w:rPr>
        <w:t>אתו ואת־בנו</w:t>
      </w:r>
      <w:r w:rsidRPr="000F5B67">
        <w:rPr>
          <w:rFonts w:eastAsia="Times New Roman" w:cs="Times New Roman"/>
          <w:rtl/>
          <w:lang w:eastAsia="de-DE"/>
        </w:rPr>
        <w:t xml:space="preserve"> </w:t>
      </w:r>
      <w:r w:rsidRPr="000F5B67">
        <w:rPr>
          <w:rFonts w:eastAsia="Times New Roman" w:cs="Times New Roman"/>
          <w:lang w:eastAsia="de-DE"/>
        </w:rPr>
        <w:t>(es selbst und sein Junges) zeigt Mutter und Nachkommen.</w:t>
      </w:r>
    </w:p>
    <w:p w14:paraId="2A2A2E0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תשחטו ביום אחד</w:t>
      </w:r>
      <w:r w:rsidRPr="000F5B67">
        <w:rPr>
          <w:rFonts w:eastAsia="Times New Roman" w:cs="Times New Roman"/>
          <w:rtl/>
          <w:lang w:eastAsia="de-DE"/>
        </w:rPr>
        <w:t xml:space="preserve"> </w:t>
      </w:r>
      <w:r w:rsidRPr="000F5B67">
        <w:rPr>
          <w:rFonts w:eastAsia="Times New Roman" w:cs="Times New Roman"/>
          <w:lang w:eastAsia="de-DE"/>
        </w:rPr>
        <w:t xml:space="preserve">(sollt ihr nicht an einem Tag schlachten) - </w:t>
      </w:r>
      <w:r w:rsidRPr="000F5B67">
        <w:rPr>
          <w:rFonts w:eastAsia="Times New Roman" w:cs="Times New Roman"/>
          <w:b/>
          <w:bCs/>
          <w:rtl/>
          <w:lang w:eastAsia="de-DE"/>
        </w:rPr>
        <w:t>לא תשחטו</w:t>
      </w:r>
      <w:r w:rsidRPr="000F5B67">
        <w:rPr>
          <w:rFonts w:eastAsia="Times New Roman" w:cs="Times New Roman"/>
          <w:rtl/>
          <w:lang w:eastAsia="de-DE"/>
        </w:rPr>
        <w:t xml:space="preserve"> </w:t>
      </w:r>
      <w:r w:rsidRPr="000F5B67">
        <w:rPr>
          <w:rFonts w:eastAsia="Times New Roman" w:cs="Times New Roman"/>
          <w:lang w:eastAsia="de-DE"/>
        </w:rPr>
        <w:t xml:space="preserve">(sollt ihr nicht schlachten) im Qal-Imperfekt. </w:t>
      </w:r>
      <w:r w:rsidRPr="000F5B67">
        <w:rPr>
          <w:rFonts w:eastAsia="Times New Roman" w:cs="Times New Roman"/>
          <w:b/>
          <w:bCs/>
          <w:rtl/>
          <w:lang w:eastAsia="de-DE"/>
        </w:rPr>
        <w:t>ביום אחד</w:t>
      </w:r>
      <w:r w:rsidRPr="000F5B67">
        <w:rPr>
          <w:rFonts w:eastAsia="Times New Roman" w:cs="Times New Roman"/>
          <w:rtl/>
          <w:lang w:eastAsia="de-DE"/>
        </w:rPr>
        <w:t xml:space="preserve"> </w:t>
      </w:r>
      <w:r w:rsidRPr="000F5B67">
        <w:rPr>
          <w:rFonts w:eastAsia="Times New Roman" w:cs="Times New Roman"/>
          <w:lang w:eastAsia="de-DE"/>
        </w:rPr>
        <w:t>(an einem Tag) zeigt zeitliche Beschränkung.</w:t>
      </w:r>
    </w:p>
    <w:p w14:paraId="2F344D8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אתו ואת־בנו</w:t>
      </w:r>
      <w:r w:rsidRPr="000F5B67">
        <w:rPr>
          <w:rFonts w:eastAsia="Times New Roman" w:cs="Times New Roman"/>
          <w:rtl/>
          <w:lang w:eastAsia="de-DE"/>
        </w:rPr>
        <w:t xml:space="preserve"> </w:t>
      </w:r>
      <w:r w:rsidRPr="000F5B67">
        <w:rPr>
          <w:rFonts w:eastAsia="Times New Roman" w:cs="Times New Roman"/>
          <w:lang w:eastAsia="de-DE"/>
        </w:rPr>
        <w:t xml:space="preserve">erfasst sowohl männliche als auch weibliche Jungtiere. </w:t>
      </w:r>
      <w:r w:rsidRPr="000F5B67">
        <w:rPr>
          <w:rFonts w:eastAsia="Times New Roman" w:cs="Times New Roman"/>
          <w:b/>
          <w:bCs/>
          <w:rtl/>
          <w:lang w:eastAsia="de-DE"/>
        </w:rPr>
        <w:t>ביום אחד</w:t>
      </w:r>
      <w:r w:rsidRPr="000F5B67">
        <w:rPr>
          <w:rFonts w:eastAsia="Times New Roman" w:cs="Times New Roman"/>
          <w:rtl/>
          <w:lang w:eastAsia="de-DE"/>
        </w:rPr>
        <w:t xml:space="preserve"> </w:t>
      </w:r>
      <w:r w:rsidRPr="000F5B67">
        <w:rPr>
          <w:rFonts w:eastAsia="Times New Roman" w:cs="Times New Roman"/>
          <w:lang w:eastAsia="de-DE"/>
        </w:rPr>
        <w:t>verbietet gleichzeitige, nicht aufeinanderfolgende Schlachtung. Dies entspricht dem Gebot der Tierethik und Barmherzigkeit.</w:t>
      </w:r>
    </w:p>
    <w:p w14:paraId="0490355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Die LXX</w:t>
      </w:r>
      <w:r w:rsidRPr="000F5B67">
        <w:rPr>
          <w:rFonts w:eastAsia="Times New Roman" w:cs="Times New Roman"/>
          <w:lang w:eastAsia="de-DE"/>
        </w:rPr>
        <w:t xml:space="preserve"> übersetzt </w:t>
      </w:r>
      <w:r w:rsidRPr="000F5B67">
        <w:rPr>
          <w:rFonts w:eastAsia="Times New Roman" w:cs="Times New Roman"/>
          <w:b/>
          <w:bCs/>
          <w:rtl/>
          <w:lang w:eastAsia="de-DE"/>
        </w:rPr>
        <w:t>ושור או־שה</w:t>
      </w:r>
      <w:r w:rsidRPr="000F5B67">
        <w:rPr>
          <w:rFonts w:eastAsia="Times New Roman" w:cs="Times New Roman"/>
          <w:rtl/>
          <w:lang w:eastAsia="de-DE"/>
        </w:rPr>
        <w:t xml:space="preserve"> </w:t>
      </w:r>
      <w:r w:rsidRPr="000F5B67">
        <w:rPr>
          <w:rFonts w:eastAsia="Times New Roman" w:cs="Times New Roman"/>
          <w:lang w:eastAsia="de-DE"/>
        </w:rPr>
        <w:t xml:space="preserve">mit καὶ </w:t>
      </w:r>
      <w:proofErr w:type="spellStart"/>
      <w:r w:rsidRPr="000F5B67">
        <w:rPr>
          <w:rFonts w:eastAsia="Times New Roman" w:cs="Times New Roman"/>
          <w:lang w:eastAsia="de-DE"/>
        </w:rPr>
        <w:t>μόσχον</w:t>
      </w:r>
      <w:proofErr w:type="spellEnd"/>
      <w:r w:rsidRPr="000F5B67">
        <w:rPr>
          <w:rFonts w:eastAsia="Times New Roman" w:cs="Times New Roman"/>
          <w:lang w:eastAsia="de-DE"/>
        </w:rPr>
        <w:t xml:space="preserve"> ἢ π</w:t>
      </w:r>
      <w:proofErr w:type="spellStart"/>
      <w:r w:rsidRPr="000F5B67">
        <w:rPr>
          <w:rFonts w:eastAsia="Times New Roman" w:cs="Times New Roman"/>
          <w:lang w:eastAsia="de-DE"/>
        </w:rPr>
        <w:t>ρό</w:t>
      </w:r>
      <w:proofErr w:type="spellEnd"/>
      <w:r w:rsidRPr="000F5B67">
        <w:rPr>
          <w:rFonts w:eastAsia="Times New Roman" w:cs="Times New Roman"/>
          <w:lang w:eastAsia="de-DE"/>
        </w:rPr>
        <w:t xml:space="preserve">βατον (und Kalb oder Schaf), </w:t>
      </w:r>
      <w:r w:rsidRPr="000F5B67">
        <w:rPr>
          <w:rFonts w:eastAsia="Times New Roman" w:cs="Times New Roman"/>
          <w:b/>
          <w:bCs/>
          <w:lang w:eastAsia="de-DE"/>
        </w:rPr>
        <w:t>α</w:t>
      </w:r>
      <w:proofErr w:type="spellStart"/>
      <w:r w:rsidRPr="000F5B67">
        <w:rPr>
          <w:rFonts w:eastAsia="Times New Roman" w:cs="Times New Roman"/>
          <w:b/>
          <w:bCs/>
          <w:lang w:eastAsia="de-DE"/>
        </w:rPr>
        <w:t>ὐτὸ</w:t>
      </w:r>
      <w:proofErr w:type="spellEnd"/>
      <w:r w:rsidRPr="000F5B67">
        <w:rPr>
          <w:rFonts w:eastAsia="Times New Roman" w:cs="Times New Roman"/>
          <w:b/>
          <w:bCs/>
          <w:lang w:eastAsia="de-DE"/>
        </w:rPr>
        <w:t xml:space="preserve"> καὶ </w:t>
      </w:r>
      <w:proofErr w:type="spellStart"/>
      <w:r w:rsidRPr="000F5B67">
        <w:rPr>
          <w:rFonts w:eastAsia="Times New Roman" w:cs="Times New Roman"/>
          <w:b/>
          <w:bCs/>
          <w:lang w:eastAsia="de-DE"/>
        </w:rPr>
        <w:t>τὰ</w:t>
      </w:r>
      <w:proofErr w:type="spellEnd"/>
      <w:r w:rsidRPr="000F5B67">
        <w:rPr>
          <w:rFonts w:eastAsia="Times New Roman" w:cs="Times New Roman"/>
          <w:b/>
          <w:bCs/>
          <w:lang w:eastAsia="de-DE"/>
        </w:rPr>
        <w:t xml:space="preserve"> πα</w:t>
      </w:r>
      <w:proofErr w:type="spellStart"/>
      <w:r w:rsidRPr="000F5B67">
        <w:rPr>
          <w:rFonts w:eastAsia="Times New Roman" w:cs="Times New Roman"/>
          <w:b/>
          <w:bCs/>
          <w:lang w:eastAsia="de-DE"/>
        </w:rPr>
        <w:t>ιδί</w:t>
      </w:r>
      <w:proofErr w:type="spellEnd"/>
      <w:r w:rsidRPr="000F5B67">
        <w:rPr>
          <w:rFonts w:eastAsia="Times New Roman" w:cs="Times New Roman"/>
          <w:b/>
          <w:bCs/>
          <w:lang w:eastAsia="de-DE"/>
        </w:rPr>
        <w:t>α α</w:t>
      </w:r>
      <w:proofErr w:type="spellStart"/>
      <w:r w:rsidRPr="000F5B67">
        <w:rPr>
          <w:rFonts w:eastAsia="Times New Roman" w:cs="Times New Roman"/>
          <w:b/>
          <w:bCs/>
          <w:lang w:eastAsia="de-DE"/>
        </w:rPr>
        <w:t>ὐτοῦ</w:t>
      </w:r>
      <w:proofErr w:type="spellEnd"/>
      <w:r w:rsidRPr="000F5B67">
        <w:rPr>
          <w:rFonts w:eastAsia="Times New Roman" w:cs="Times New Roman"/>
          <w:lang w:eastAsia="de-DE"/>
        </w:rPr>
        <w:t xml:space="preserve"> (es und seine Kinder), </w:t>
      </w:r>
      <w:r w:rsidRPr="000F5B67">
        <w:rPr>
          <w:rFonts w:eastAsia="Times New Roman" w:cs="Times New Roman"/>
          <w:b/>
          <w:bCs/>
          <w:rtl/>
          <w:lang w:eastAsia="de-DE"/>
        </w:rPr>
        <w:t>תשחטו</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σφάξετε</w:t>
      </w:r>
      <w:proofErr w:type="spellEnd"/>
      <w:r w:rsidRPr="000F5B67">
        <w:rPr>
          <w:rFonts w:eastAsia="Times New Roman" w:cs="Times New Roman"/>
          <w:lang w:eastAsia="de-DE"/>
        </w:rPr>
        <w:t xml:space="preserve"> (werdet ihr schlachten) und </w:t>
      </w:r>
      <w:r w:rsidRPr="000F5B67">
        <w:rPr>
          <w:rFonts w:eastAsia="Times New Roman" w:cs="Times New Roman"/>
          <w:b/>
          <w:bCs/>
          <w:rtl/>
          <w:lang w:eastAsia="de-DE"/>
        </w:rPr>
        <w:t>ביום אחד</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ἡμέρᾳ</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μιᾷ</w:t>
      </w:r>
      <w:proofErr w:type="spellEnd"/>
      <w:r w:rsidRPr="000F5B67">
        <w:rPr>
          <w:rFonts w:eastAsia="Times New Roman" w:cs="Times New Roman"/>
          <w:lang w:eastAsia="de-DE"/>
        </w:rPr>
        <w:t xml:space="preserve"> (an einem Tag).</w:t>
      </w:r>
    </w:p>
    <w:p w14:paraId="2B5A8AD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Mutter-Kind-Schlachtungsverbot: zwei Tierarten + Mutter und Jungtier + Schlachtungsverbot am selben Tag.</w:t>
      </w:r>
    </w:p>
    <w:p w14:paraId="4B8D443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verbietet aus Barmherzigkeitsgründen die Schlachtung von Mutter und Jungtier am selben Tag.</w:t>
      </w:r>
    </w:p>
    <w:p w14:paraId="057E6087"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22,29</w:t>
      </w:r>
    </w:p>
    <w:p w14:paraId="5C49C22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וְכִֽי־תִזְבְּח֥וּ זֶֽבַח־תּוֹדָ֖ה לַיהוָ֑ה לִֽרְצֹנְכֶ֖ם תִּזְבָּֽחוּ׃</w:t>
      </w:r>
    </w:p>
    <w:p w14:paraId="14AA4B54"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wenn ihr dem Ewigen ein Dankopfer opfert, sollt ihr es zu eurem Wohlgefallen opfern.</w:t>
      </w:r>
    </w:p>
    <w:p w14:paraId="6418A457"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1276C2FD">
          <v:rect id="_x0000_i1677" style="width:0;height:1.5pt" o:hralign="center" o:hrstd="t" o:hr="t" fillcolor="#a0a0a0" stroked="f"/>
        </w:pict>
      </w:r>
    </w:p>
    <w:p w14:paraId="20657ABE"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וכי־תזבחו זבח־תודה ליהוה לרצנכם תזבחו</w:t>
      </w:r>
      <w:r w:rsidRPr="000F5B67">
        <w:rPr>
          <w:rFonts w:eastAsia="Times New Roman" w:cs="Times New Roman"/>
          <w:rtl/>
          <w:lang w:eastAsia="de-DE"/>
        </w:rPr>
        <w:t xml:space="preserve"> </w:t>
      </w:r>
      <w:r w:rsidRPr="000F5B67">
        <w:rPr>
          <w:rFonts w:eastAsia="Times New Roman" w:cs="Times New Roman"/>
          <w:lang w:eastAsia="de-DE"/>
        </w:rPr>
        <w:t xml:space="preserve">führt das Dankopfer ein. </w:t>
      </w:r>
      <w:r w:rsidRPr="000F5B67">
        <w:rPr>
          <w:rFonts w:eastAsia="Times New Roman" w:cs="Times New Roman"/>
          <w:b/>
          <w:bCs/>
          <w:rtl/>
          <w:lang w:eastAsia="de-DE"/>
        </w:rPr>
        <w:t>וכי־תזבחו זבח־תודה ליהוה</w:t>
      </w:r>
      <w:r w:rsidRPr="000F5B67">
        <w:rPr>
          <w:rFonts w:eastAsia="Times New Roman" w:cs="Times New Roman"/>
          <w:rtl/>
          <w:lang w:eastAsia="de-DE"/>
        </w:rPr>
        <w:t xml:space="preserve"> </w:t>
      </w:r>
      <w:r w:rsidRPr="000F5B67">
        <w:rPr>
          <w:rFonts w:eastAsia="Times New Roman" w:cs="Times New Roman"/>
          <w:lang w:eastAsia="de-DE"/>
        </w:rPr>
        <w:t xml:space="preserve">(und wenn ihr dem Ewigen ein Dankopfer opfert) - </w:t>
      </w:r>
      <w:r w:rsidRPr="000F5B67">
        <w:rPr>
          <w:rFonts w:eastAsia="Times New Roman" w:cs="Times New Roman"/>
          <w:b/>
          <w:bCs/>
          <w:rtl/>
          <w:lang w:eastAsia="de-DE"/>
        </w:rPr>
        <w:t>זבח־תודה</w:t>
      </w:r>
      <w:r w:rsidRPr="000F5B67">
        <w:rPr>
          <w:rFonts w:eastAsia="Times New Roman" w:cs="Times New Roman"/>
          <w:rtl/>
          <w:lang w:eastAsia="de-DE"/>
        </w:rPr>
        <w:t xml:space="preserve"> </w:t>
      </w:r>
      <w:r w:rsidRPr="000F5B67">
        <w:rPr>
          <w:rFonts w:eastAsia="Times New Roman" w:cs="Times New Roman"/>
          <w:lang w:eastAsia="de-DE"/>
        </w:rPr>
        <w:t xml:space="preserve">(Dankopfer) als spezifische Opferart aus der </w:t>
      </w:r>
      <w:r w:rsidRPr="000F5B67">
        <w:rPr>
          <w:rFonts w:eastAsia="Times New Roman" w:cs="Times New Roman"/>
          <w:b/>
          <w:bCs/>
          <w:rtl/>
          <w:lang w:eastAsia="de-DE"/>
        </w:rPr>
        <w:t>שלמים</w:t>
      </w:r>
      <w:r w:rsidRPr="000F5B67">
        <w:rPr>
          <w:rFonts w:eastAsia="Times New Roman" w:cs="Times New Roman"/>
          <w:lang w:eastAsia="de-DE"/>
        </w:rPr>
        <w:t xml:space="preserve">-Familie. </w:t>
      </w:r>
      <w:r w:rsidRPr="000F5B67">
        <w:rPr>
          <w:rFonts w:eastAsia="Times New Roman" w:cs="Times New Roman"/>
          <w:b/>
          <w:bCs/>
          <w:rtl/>
          <w:lang w:eastAsia="de-DE"/>
        </w:rPr>
        <w:t>תודה</w:t>
      </w:r>
      <w:r w:rsidRPr="000F5B67">
        <w:rPr>
          <w:rFonts w:eastAsia="Times New Roman" w:cs="Times New Roman"/>
          <w:rtl/>
          <w:lang w:eastAsia="de-DE"/>
        </w:rPr>
        <w:t xml:space="preserve"> </w:t>
      </w:r>
      <w:r w:rsidRPr="000F5B67">
        <w:rPr>
          <w:rFonts w:eastAsia="Times New Roman" w:cs="Times New Roman"/>
          <w:lang w:eastAsia="de-DE"/>
        </w:rPr>
        <w:t>(Dank) zeigt den Opferzweck.</w:t>
      </w:r>
    </w:p>
    <w:p w14:paraId="70229C6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לרצנכם תזבחו</w:t>
      </w:r>
      <w:r w:rsidRPr="000F5B67">
        <w:rPr>
          <w:rFonts w:eastAsia="Times New Roman" w:cs="Times New Roman"/>
          <w:rtl/>
          <w:lang w:eastAsia="de-DE"/>
        </w:rPr>
        <w:t xml:space="preserve"> </w:t>
      </w:r>
      <w:r w:rsidRPr="000F5B67">
        <w:rPr>
          <w:rFonts w:eastAsia="Times New Roman" w:cs="Times New Roman"/>
          <w:lang w:eastAsia="de-DE"/>
        </w:rPr>
        <w:t>(sollt ihr es zu eurem Wohlgefallen opfern) entspricht 19,5 und zeigt ordnungsgemäße Opferung als Voraussetzung für göttliches Wohlgefallen.</w:t>
      </w:r>
    </w:p>
    <w:p w14:paraId="7AD6B29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זבח־תודה</w:t>
      </w:r>
      <w:r w:rsidRPr="000F5B67">
        <w:rPr>
          <w:rFonts w:eastAsia="Times New Roman" w:cs="Times New Roman"/>
          <w:rtl/>
          <w:lang w:eastAsia="de-DE"/>
        </w:rPr>
        <w:t xml:space="preserve"> </w:t>
      </w:r>
      <w:r w:rsidRPr="000F5B67">
        <w:rPr>
          <w:rFonts w:eastAsia="Times New Roman" w:cs="Times New Roman"/>
          <w:lang w:eastAsia="de-DE"/>
        </w:rPr>
        <w:t xml:space="preserve">als Dankopfer für empfangene Wohltaten. </w:t>
      </w:r>
      <w:r w:rsidRPr="000F5B67">
        <w:rPr>
          <w:rFonts w:eastAsia="Times New Roman" w:cs="Times New Roman"/>
          <w:b/>
          <w:bCs/>
          <w:rtl/>
          <w:lang w:eastAsia="de-DE"/>
        </w:rPr>
        <w:t>לרצנכם</w:t>
      </w:r>
      <w:r w:rsidRPr="000F5B67">
        <w:rPr>
          <w:rFonts w:eastAsia="Times New Roman" w:cs="Times New Roman"/>
          <w:rtl/>
          <w:lang w:eastAsia="de-DE"/>
        </w:rPr>
        <w:t xml:space="preserve"> </w:t>
      </w:r>
      <w:r w:rsidRPr="000F5B67">
        <w:rPr>
          <w:rFonts w:eastAsia="Times New Roman" w:cs="Times New Roman"/>
          <w:lang w:eastAsia="de-DE"/>
        </w:rPr>
        <w:t>zeigt, dass auch beim Dankopfer die rechte Gesinnung entscheidend ist.</w:t>
      </w:r>
    </w:p>
    <w:p w14:paraId="198D69D3" w14:textId="0D38F108"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übersetzt </w:t>
      </w:r>
      <w:r w:rsidR="0007678B">
        <w:rPr>
          <w:rtl/>
        </w:rPr>
        <w:t>זבח־תודה</w:t>
      </w:r>
      <w:r w:rsidR="0007678B">
        <w:t xml:space="preserve"> (</w:t>
      </w:r>
      <w:proofErr w:type="spellStart"/>
      <w:r w:rsidR="0007678B">
        <w:t>zevach-toda</w:t>
      </w:r>
      <w:proofErr w:type="spellEnd"/>
      <w:r w:rsidR="0007678B">
        <w:t xml:space="preserve"> - "Dankopfer") als </w:t>
      </w:r>
      <w:proofErr w:type="spellStart"/>
      <w:r w:rsidR="0007678B">
        <w:t>θυσί</w:t>
      </w:r>
      <w:proofErr w:type="spellEnd"/>
      <w:r w:rsidR="0007678B">
        <w:t xml:space="preserve">αν </w:t>
      </w:r>
      <w:proofErr w:type="spellStart"/>
      <w:r w:rsidR="0007678B">
        <w:t>εὐχὴν</w:t>
      </w:r>
      <w:proofErr w:type="spellEnd"/>
      <w:r w:rsidR="0007678B">
        <w:t xml:space="preserve"> χα</w:t>
      </w:r>
      <w:proofErr w:type="spellStart"/>
      <w:r w:rsidR="0007678B">
        <w:t>ρμοσύνης</w:t>
      </w:r>
      <w:proofErr w:type="spellEnd"/>
      <w:r w:rsidR="0007678B">
        <w:t xml:space="preserve"> (Opfer des Gelübdes der Freude), was eine interpretative Expansion darstellt.</w:t>
      </w:r>
    </w:p>
    <w:p w14:paraId="612194F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Dankopfer-Einführung: Dankopfer-Darbringung + Wohlgefallen als Ziel + ordnungsgemäße Opferung.</w:t>
      </w:r>
    </w:p>
    <w:p w14:paraId="605C0B3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führt das Dankopfer als Sonderform mit der Betonung ordnungsgemäßer Opferung ein.</w:t>
      </w:r>
    </w:p>
    <w:p w14:paraId="46261345"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22,30</w:t>
      </w:r>
    </w:p>
    <w:p w14:paraId="3DBE07F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בַּיּ֤וֹם הַהוּא֙ יֵאָכֵ֔ל לֹֽא־תוֹתִ֥ירוּ מִמֶּ֖נּוּ עַד־בֹּ֑קֶר אֲנִ֖י יְהוָֽה׃</w:t>
      </w:r>
    </w:p>
    <w:p w14:paraId="3E43AC8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An demselben Tag soll es gegessen werden; ihr sollt nichts davon übrig lassen bis zum Morgen. Ich bin der Ewige.</w:t>
      </w:r>
    </w:p>
    <w:p w14:paraId="453D7F52"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1230E9E">
          <v:rect id="_x0000_i1678" style="width:0;height:1.5pt" o:hralign="center" o:hrstd="t" o:hr="t" fillcolor="#a0a0a0" stroked="f"/>
        </w:pict>
      </w:r>
    </w:p>
    <w:p w14:paraId="634A37F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ביום ההוא יאכל לא־תותירו ממנו עד־בקר אני יהוה</w:t>
      </w:r>
      <w:r w:rsidRPr="000F5B67">
        <w:rPr>
          <w:rFonts w:eastAsia="Times New Roman" w:cs="Times New Roman"/>
          <w:rtl/>
          <w:lang w:eastAsia="de-DE"/>
        </w:rPr>
        <w:t xml:space="preserve"> </w:t>
      </w:r>
      <w:r w:rsidRPr="000F5B67">
        <w:rPr>
          <w:rFonts w:eastAsia="Times New Roman" w:cs="Times New Roman"/>
          <w:lang w:eastAsia="de-DE"/>
        </w:rPr>
        <w:t xml:space="preserve">zeigt die Zeitbegrenzung für Dankopfer. </w:t>
      </w:r>
      <w:r w:rsidRPr="000F5B67">
        <w:rPr>
          <w:rFonts w:eastAsia="Times New Roman" w:cs="Times New Roman"/>
          <w:b/>
          <w:bCs/>
          <w:rtl/>
          <w:lang w:eastAsia="de-DE"/>
        </w:rPr>
        <w:t>ביום ההוא יאכל</w:t>
      </w:r>
      <w:r w:rsidRPr="000F5B67">
        <w:rPr>
          <w:rFonts w:eastAsia="Times New Roman" w:cs="Times New Roman"/>
          <w:rtl/>
          <w:lang w:eastAsia="de-DE"/>
        </w:rPr>
        <w:t xml:space="preserve"> </w:t>
      </w:r>
      <w:r w:rsidRPr="000F5B67">
        <w:rPr>
          <w:rFonts w:eastAsia="Times New Roman" w:cs="Times New Roman"/>
          <w:lang w:eastAsia="de-DE"/>
        </w:rPr>
        <w:t xml:space="preserve">(an demselben Tag soll es gegessen werden) - </w:t>
      </w:r>
      <w:r w:rsidRPr="000F5B67">
        <w:rPr>
          <w:rFonts w:eastAsia="Times New Roman" w:cs="Times New Roman"/>
          <w:b/>
          <w:bCs/>
          <w:rtl/>
          <w:lang w:eastAsia="de-DE"/>
        </w:rPr>
        <w:t>ביום ההוא</w:t>
      </w:r>
      <w:r w:rsidRPr="000F5B67">
        <w:rPr>
          <w:rFonts w:eastAsia="Times New Roman" w:cs="Times New Roman"/>
          <w:rtl/>
          <w:lang w:eastAsia="de-DE"/>
        </w:rPr>
        <w:t xml:space="preserve"> </w:t>
      </w:r>
      <w:r w:rsidRPr="000F5B67">
        <w:rPr>
          <w:rFonts w:eastAsia="Times New Roman" w:cs="Times New Roman"/>
          <w:lang w:eastAsia="de-DE"/>
        </w:rPr>
        <w:t xml:space="preserve">(an </w:t>
      </w:r>
      <w:r w:rsidRPr="000F5B67">
        <w:rPr>
          <w:rFonts w:eastAsia="Times New Roman" w:cs="Times New Roman"/>
          <w:lang w:eastAsia="de-DE"/>
        </w:rPr>
        <w:lastRenderedPageBreak/>
        <w:t xml:space="preserve">demselben Tag) zeigt den Opfertag. </w:t>
      </w:r>
      <w:r w:rsidRPr="000F5B67">
        <w:rPr>
          <w:rFonts w:eastAsia="Times New Roman" w:cs="Times New Roman"/>
          <w:b/>
          <w:bCs/>
          <w:rtl/>
          <w:lang w:eastAsia="de-DE"/>
        </w:rPr>
        <w:t>יאכל</w:t>
      </w:r>
      <w:r w:rsidRPr="000F5B67">
        <w:rPr>
          <w:rFonts w:eastAsia="Times New Roman" w:cs="Times New Roman"/>
          <w:rtl/>
          <w:lang w:eastAsia="de-DE"/>
        </w:rPr>
        <w:t xml:space="preserve"> </w:t>
      </w:r>
      <w:r w:rsidRPr="000F5B67">
        <w:rPr>
          <w:rFonts w:eastAsia="Times New Roman" w:cs="Times New Roman"/>
          <w:lang w:eastAsia="de-DE"/>
        </w:rPr>
        <w:t>(soll es gegessen werden) im Nifal-Imperfekt zeigt Verzehrgebot.</w:t>
      </w:r>
    </w:p>
    <w:p w14:paraId="3150F98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לא־תותירו ממנו עד־בקר</w:t>
      </w:r>
      <w:r w:rsidRPr="000F5B67">
        <w:rPr>
          <w:rFonts w:eastAsia="Times New Roman" w:cs="Times New Roman"/>
          <w:rtl/>
          <w:lang w:eastAsia="de-DE"/>
        </w:rPr>
        <w:t xml:space="preserve"> </w:t>
      </w:r>
      <w:r w:rsidRPr="000F5B67">
        <w:rPr>
          <w:rFonts w:eastAsia="Times New Roman" w:cs="Times New Roman"/>
          <w:lang w:eastAsia="de-DE"/>
        </w:rPr>
        <w:t xml:space="preserve">(ihr sollt nichts davon übrig lassen bis zum Morgen) - </w:t>
      </w:r>
      <w:r w:rsidRPr="000F5B67">
        <w:rPr>
          <w:rFonts w:eastAsia="Times New Roman" w:cs="Times New Roman"/>
          <w:b/>
          <w:bCs/>
          <w:rtl/>
          <w:lang w:eastAsia="de-DE"/>
        </w:rPr>
        <w:t>לא־תותירו</w:t>
      </w:r>
      <w:r w:rsidRPr="000F5B67">
        <w:rPr>
          <w:rFonts w:eastAsia="Times New Roman" w:cs="Times New Roman"/>
          <w:rtl/>
          <w:lang w:eastAsia="de-DE"/>
        </w:rPr>
        <w:t xml:space="preserve"> </w:t>
      </w:r>
      <w:r w:rsidRPr="000F5B67">
        <w:rPr>
          <w:rFonts w:eastAsia="Times New Roman" w:cs="Times New Roman"/>
          <w:lang w:eastAsia="de-DE"/>
        </w:rPr>
        <w:t xml:space="preserve">(sollt ihr nicht übrig lassen) im Hifil-Imperfekt, das Hifil zeigt kausatives Übriglassen. </w:t>
      </w:r>
      <w:r w:rsidRPr="000F5B67">
        <w:rPr>
          <w:rFonts w:eastAsia="Times New Roman" w:cs="Times New Roman"/>
          <w:b/>
          <w:bCs/>
          <w:rtl/>
          <w:lang w:eastAsia="de-DE"/>
        </w:rPr>
        <w:t>עד־בקר</w:t>
      </w:r>
      <w:r w:rsidRPr="000F5B67">
        <w:rPr>
          <w:rFonts w:eastAsia="Times New Roman" w:cs="Times New Roman"/>
          <w:rtl/>
          <w:lang w:eastAsia="de-DE"/>
        </w:rPr>
        <w:t xml:space="preserve"> </w:t>
      </w:r>
      <w:r w:rsidRPr="000F5B67">
        <w:rPr>
          <w:rFonts w:eastAsia="Times New Roman" w:cs="Times New Roman"/>
          <w:lang w:eastAsia="de-DE"/>
        </w:rPr>
        <w:t>(bis zum Morgen) zeigt die Zeitgrenze.</w:t>
      </w:r>
    </w:p>
    <w:p w14:paraId="0A80CBB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(ich bin der Ewige) als Autoritätsformel.</w:t>
      </w:r>
    </w:p>
    <w:p w14:paraId="0A13FD0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ביום ההוא</w:t>
      </w:r>
      <w:r w:rsidRPr="000F5B67">
        <w:rPr>
          <w:rFonts w:eastAsia="Times New Roman" w:cs="Times New Roman"/>
          <w:rtl/>
          <w:lang w:eastAsia="de-DE"/>
        </w:rPr>
        <w:t xml:space="preserve"> </w:t>
      </w:r>
      <w:r w:rsidRPr="000F5B67">
        <w:rPr>
          <w:rFonts w:eastAsia="Times New Roman" w:cs="Times New Roman"/>
          <w:lang w:eastAsia="de-DE"/>
        </w:rPr>
        <w:t xml:space="preserve">zeigt strengere Zeitbegrenzung als bei </w:t>
      </w:r>
      <w:r w:rsidRPr="000F5B67">
        <w:rPr>
          <w:rFonts w:eastAsia="Times New Roman" w:cs="Times New Roman"/>
          <w:b/>
          <w:bCs/>
          <w:rtl/>
          <w:lang w:eastAsia="de-DE"/>
        </w:rPr>
        <w:t>שלמים</w:t>
      </w:r>
      <w:r w:rsidRPr="000F5B67">
        <w:rPr>
          <w:rFonts w:eastAsia="Times New Roman" w:cs="Times New Roman"/>
          <w:rtl/>
          <w:lang w:eastAsia="de-DE"/>
        </w:rPr>
        <w:t xml:space="preserve"> </w:t>
      </w:r>
      <w:r w:rsidRPr="000F5B67">
        <w:rPr>
          <w:rFonts w:eastAsia="Times New Roman" w:cs="Times New Roman"/>
          <w:lang w:eastAsia="de-DE"/>
        </w:rPr>
        <w:t xml:space="preserve">(19,5-8). </w:t>
      </w:r>
      <w:r w:rsidRPr="000F5B67">
        <w:rPr>
          <w:rFonts w:eastAsia="Times New Roman" w:cs="Times New Roman"/>
          <w:b/>
          <w:bCs/>
          <w:rtl/>
          <w:lang w:eastAsia="de-DE"/>
        </w:rPr>
        <w:t>לא־תותירו עד־בקר</w:t>
      </w:r>
      <w:r w:rsidRPr="000F5B67">
        <w:rPr>
          <w:rFonts w:eastAsia="Times New Roman" w:cs="Times New Roman"/>
          <w:rtl/>
          <w:lang w:eastAsia="de-DE"/>
        </w:rPr>
        <w:t xml:space="preserve"> </w:t>
      </w:r>
      <w:r w:rsidRPr="000F5B67">
        <w:rPr>
          <w:rFonts w:eastAsia="Times New Roman" w:cs="Times New Roman"/>
          <w:lang w:eastAsia="de-DE"/>
        </w:rPr>
        <w:t xml:space="preserve">verhindert </w:t>
      </w:r>
      <w:r w:rsidRPr="000F5B67">
        <w:rPr>
          <w:rFonts w:eastAsia="Times New Roman" w:cs="Times New Roman"/>
          <w:b/>
          <w:bCs/>
          <w:rtl/>
          <w:lang w:eastAsia="de-DE"/>
        </w:rPr>
        <w:t>פגול</w:t>
      </w:r>
      <w:r w:rsidRPr="000F5B67">
        <w:rPr>
          <w:rFonts w:eastAsia="Times New Roman" w:cs="Times New Roman"/>
          <w:lang w:eastAsia="de-DE"/>
        </w:rPr>
        <w:t>. Dankopfer haben die strengste Zeitbegrenzung aller Opfer.</w:t>
      </w:r>
    </w:p>
    <w:p w14:paraId="3BDDDAD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ביום ההוא</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ἐν</w:t>
      </w:r>
      <w:proofErr w:type="spellEnd"/>
      <w:r w:rsidRPr="000F5B67">
        <w:rPr>
          <w:rFonts w:eastAsia="Times New Roman" w:cs="Times New Roman"/>
          <w:lang w:eastAsia="de-DE"/>
        </w:rPr>
        <w:t xml:space="preserve"> α</w:t>
      </w:r>
      <w:proofErr w:type="spellStart"/>
      <w:r w:rsidRPr="000F5B67">
        <w:rPr>
          <w:rFonts w:eastAsia="Times New Roman" w:cs="Times New Roman"/>
          <w:lang w:eastAsia="de-DE"/>
        </w:rPr>
        <w:t>ὐτῇ</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τῇ</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ἡμέρᾳ</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ἐκείνῃ</w:t>
      </w:r>
      <w:proofErr w:type="spellEnd"/>
      <w:r w:rsidRPr="000F5B67">
        <w:rPr>
          <w:rFonts w:eastAsia="Times New Roman" w:cs="Times New Roman"/>
          <w:lang w:eastAsia="de-DE"/>
        </w:rPr>
        <w:t xml:space="preserve"> (an eben jenem Tag), </w:t>
      </w:r>
      <w:r w:rsidRPr="000F5B67">
        <w:rPr>
          <w:rFonts w:eastAsia="Times New Roman" w:cs="Times New Roman"/>
          <w:b/>
          <w:bCs/>
          <w:rtl/>
          <w:lang w:eastAsia="de-DE"/>
        </w:rPr>
        <w:t>יאכל</w:t>
      </w:r>
      <w:r w:rsidRPr="000F5B67">
        <w:rPr>
          <w:rFonts w:eastAsia="Times New Roman" w:cs="Times New Roman"/>
          <w:rtl/>
          <w:lang w:eastAsia="de-DE"/>
        </w:rPr>
        <w:t xml:space="preserve"> </w:t>
      </w:r>
      <w:r w:rsidRPr="000F5B67">
        <w:rPr>
          <w:rFonts w:eastAsia="Times New Roman" w:cs="Times New Roman"/>
          <w:lang w:eastAsia="de-DE"/>
        </w:rPr>
        <w:t>mit β</w:t>
      </w:r>
      <w:proofErr w:type="spellStart"/>
      <w:r w:rsidRPr="000F5B67">
        <w:rPr>
          <w:rFonts w:eastAsia="Times New Roman" w:cs="Times New Roman"/>
          <w:lang w:eastAsia="de-DE"/>
        </w:rPr>
        <w:t>ρωθήσετ</w:t>
      </w:r>
      <w:proofErr w:type="spellEnd"/>
      <w:r w:rsidRPr="000F5B67">
        <w:rPr>
          <w:rFonts w:eastAsia="Times New Roman" w:cs="Times New Roman"/>
          <w:lang w:eastAsia="de-DE"/>
        </w:rPr>
        <w:t xml:space="preserve">αι (wird gegessen werden), </w:t>
      </w:r>
      <w:r w:rsidRPr="000F5B67">
        <w:rPr>
          <w:rFonts w:eastAsia="Times New Roman" w:cs="Times New Roman"/>
          <w:b/>
          <w:bCs/>
          <w:rtl/>
          <w:lang w:eastAsia="de-DE"/>
        </w:rPr>
        <w:t>תותירו</w:t>
      </w:r>
      <w:r w:rsidRPr="000F5B67">
        <w:rPr>
          <w:rFonts w:eastAsia="Times New Roman" w:cs="Times New Roman"/>
          <w:rtl/>
          <w:lang w:eastAsia="de-DE"/>
        </w:rPr>
        <w:t xml:space="preserve"> </w:t>
      </w:r>
      <w:r w:rsidRPr="000F5B67">
        <w:rPr>
          <w:rFonts w:eastAsia="Times New Roman" w:cs="Times New Roman"/>
          <w:lang w:eastAsia="de-DE"/>
        </w:rPr>
        <w:t>mit κατα</w:t>
      </w:r>
      <w:proofErr w:type="spellStart"/>
      <w:r w:rsidRPr="000F5B67">
        <w:rPr>
          <w:rFonts w:eastAsia="Times New Roman" w:cs="Times New Roman"/>
          <w:lang w:eastAsia="de-DE"/>
        </w:rPr>
        <w:t>λείψετε</w:t>
      </w:r>
      <w:proofErr w:type="spellEnd"/>
      <w:r w:rsidRPr="000F5B67">
        <w:rPr>
          <w:rFonts w:eastAsia="Times New Roman" w:cs="Times New Roman"/>
          <w:lang w:eastAsia="de-DE"/>
        </w:rPr>
        <w:t xml:space="preserve"> (werdet ihr zurücklassen) und </w:t>
      </w:r>
      <w:r w:rsidRPr="000F5B67">
        <w:rPr>
          <w:rFonts w:eastAsia="Times New Roman" w:cs="Times New Roman"/>
          <w:b/>
          <w:bCs/>
          <w:rtl/>
          <w:lang w:eastAsia="de-DE"/>
        </w:rPr>
        <w:t>עד־בקר</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εἰς</w:t>
      </w:r>
      <w:proofErr w:type="spellEnd"/>
      <w:r w:rsidRPr="000F5B67">
        <w:rPr>
          <w:rFonts w:eastAsia="Times New Roman" w:cs="Times New Roman"/>
          <w:lang w:eastAsia="de-DE"/>
        </w:rPr>
        <w:t xml:space="preserve"> π</w:t>
      </w:r>
      <w:proofErr w:type="spellStart"/>
      <w:r w:rsidRPr="000F5B67">
        <w:rPr>
          <w:rFonts w:eastAsia="Times New Roman" w:cs="Times New Roman"/>
          <w:lang w:eastAsia="de-DE"/>
        </w:rPr>
        <w:t>ρωί</w:t>
      </w:r>
      <w:proofErr w:type="spellEnd"/>
      <w:r w:rsidRPr="000F5B67">
        <w:rPr>
          <w:rFonts w:eastAsia="Times New Roman" w:cs="Times New Roman"/>
          <w:lang w:eastAsia="de-DE"/>
        </w:rPr>
        <w:t xml:space="preserve"> (bis zum Morgen).</w:t>
      </w:r>
    </w:p>
    <w:p w14:paraId="49205A6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Dankopfer-Zeitbegrenzung: Tagesdatum-Verzehr + Übriglass-Verbot bis zum Morgen + göttliche Autorität.</w:t>
      </w:r>
    </w:p>
    <w:p w14:paraId="79389FB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etabliert die strengste Zeitbegrenzung für Dankopfer: Verzehr nur am Opfertag ohne Reste bis zum Morgen.</w:t>
      </w:r>
    </w:p>
    <w:p w14:paraId="67999CCE"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22,31</w:t>
      </w:r>
    </w:p>
    <w:p w14:paraId="0B2172EA"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וּשְׁמַרְתֶּם֙ מִצְוֹתַ֔י וַעֲשִׂיתֶ֖ם אֹתָ֑ם אֲנִ֖י יְהוָֽה׃</w:t>
      </w:r>
    </w:p>
    <w:p w14:paraId="1D4239F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ihr sollt meine Gebote beachten und sie tun. Ich bin der Ewige.</w:t>
      </w:r>
    </w:p>
    <w:p w14:paraId="10B5E8EF"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56C25135">
          <v:rect id="_x0000_i1679" style="width:0;height:1.5pt" o:hralign="center" o:hrstd="t" o:hr="t" fillcolor="#a0a0a0" stroked="f"/>
        </w:pict>
      </w:r>
    </w:p>
    <w:p w14:paraId="2DB5E18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ושמרתם מצותי ועשיתם אתם אני יהוה</w:t>
      </w:r>
      <w:r w:rsidRPr="000F5B67">
        <w:rPr>
          <w:rFonts w:eastAsia="Times New Roman" w:cs="Times New Roman"/>
          <w:rtl/>
          <w:lang w:eastAsia="de-DE"/>
        </w:rPr>
        <w:t xml:space="preserve"> </w:t>
      </w:r>
      <w:r w:rsidRPr="000F5B67">
        <w:rPr>
          <w:rFonts w:eastAsia="Times New Roman" w:cs="Times New Roman"/>
          <w:lang w:eastAsia="de-DE"/>
        </w:rPr>
        <w:t xml:space="preserve">zeigt die zusammenfassende Gehorsamsforderung. </w:t>
      </w:r>
      <w:r w:rsidRPr="000F5B67">
        <w:rPr>
          <w:rFonts w:eastAsia="Times New Roman" w:cs="Times New Roman"/>
          <w:b/>
          <w:bCs/>
          <w:rtl/>
          <w:lang w:eastAsia="de-DE"/>
        </w:rPr>
        <w:t>ושמרתם מצותי</w:t>
      </w:r>
      <w:r w:rsidRPr="000F5B67">
        <w:rPr>
          <w:rFonts w:eastAsia="Times New Roman" w:cs="Times New Roman"/>
          <w:rtl/>
          <w:lang w:eastAsia="de-DE"/>
        </w:rPr>
        <w:t xml:space="preserve"> </w:t>
      </w:r>
      <w:r w:rsidRPr="000F5B67">
        <w:rPr>
          <w:rFonts w:eastAsia="Times New Roman" w:cs="Times New Roman"/>
          <w:lang w:eastAsia="de-DE"/>
        </w:rPr>
        <w:t xml:space="preserve">(und ihr sollt meine Gebote beachten) - </w:t>
      </w:r>
      <w:r w:rsidRPr="000F5B67">
        <w:rPr>
          <w:rFonts w:eastAsia="Times New Roman" w:cs="Times New Roman"/>
          <w:b/>
          <w:bCs/>
          <w:rtl/>
          <w:lang w:eastAsia="de-DE"/>
        </w:rPr>
        <w:t>ושמרתם</w:t>
      </w:r>
      <w:r w:rsidRPr="000F5B67">
        <w:rPr>
          <w:rFonts w:eastAsia="Times New Roman" w:cs="Times New Roman"/>
          <w:rtl/>
          <w:lang w:eastAsia="de-DE"/>
        </w:rPr>
        <w:t xml:space="preserve"> </w:t>
      </w:r>
      <w:r w:rsidRPr="000F5B67">
        <w:rPr>
          <w:rFonts w:eastAsia="Times New Roman" w:cs="Times New Roman"/>
          <w:lang w:eastAsia="de-DE"/>
        </w:rPr>
        <w:t xml:space="preserve">(und ihr sollt beachten) im Qal-Perfekt mit Waw-Konsekutiv. </w:t>
      </w:r>
      <w:r w:rsidRPr="000F5B67">
        <w:rPr>
          <w:rFonts w:eastAsia="Times New Roman" w:cs="Times New Roman"/>
          <w:b/>
          <w:bCs/>
          <w:rtl/>
          <w:lang w:eastAsia="de-DE"/>
        </w:rPr>
        <w:t>מצותי</w:t>
      </w:r>
      <w:r w:rsidRPr="000F5B67">
        <w:rPr>
          <w:rFonts w:eastAsia="Times New Roman" w:cs="Times New Roman"/>
          <w:rtl/>
          <w:lang w:eastAsia="de-DE"/>
        </w:rPr>
        <w:t xml:space="preserve"> </w:t>
      </w:r>
      <w:r w:rsidRPr="000F5B67">
        <w:rPr>
          <w:rFonts w:eastAsia="Times New Roman" w:cs="Times New Roman"/>
          <w:lang w:eastAsia="de-DE"/>
        </w:rPr>
        <w:t>(meine Gebote) zeigt göttliche Anweisungen.</w:t>
      </w:r>
    </w:p>
    <w:p w14:paraId="3598F30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ועשיתם אתם</w:t>
      </w:r>
      <w:r w:rsidRPr="000F5B67">
        <w:rPr>
          <w:rFonts w:eastAsia="Times New Roman" w:cs="Times New Roman"/>
          <w:rtl/>
          <w:lang w:eastAsia="de-DE"/>
        </w:rPr>
        <w:t xml:space="preserve"> </w:t>
      </w:r>
      <w:r w:rsidRPr="000F5B67">
        <w:rPr>
          <w:rFonts w:eastAsia="Times New Roman" w:cs="Times New Roman"/>
          <w:lang w:eastAsia="de-DE"/>
        </w:rPr>
        <w:t xml:space="preserve">(und sie tun) - </w:t>
      </w:r>
      <w:r w:rsidRPr="000F5B67">
        <w:rPr>
          <w:rFonts w:eastAsia="Times New Roman" w:cs="Times New Roman"/>
          <w:b/>
          <w:bCs/>
          <w:rtl/>
          <w:lang w:eastAsia="de-DE"/>
        </w:rPr>
        <w:t>ועשיתם</w:t>
      </w:r>
      <w:r w:rsidRPr="000F5B67">
        <w:rPr>
          <w:rFonts w:eastAsia="Times New Roman" w:cs="Times New Roman"/>
          <w:rtl/>
          <w:lang w:eastAsia="de-DE"/>
        </w:rPr>
        <w:t xml:space="preserve"> </w:t>
      </w:r>
      <w:r w:rsidRPr="000F5B67">
        <w:rPr>
          <w:rFonts w:eastAsia="Times New Roman" w:cs="Times New Roman"/>
          <w:lang w:eastAsia="de-DE"/>
        </w:rPr>
        <w:t xml:space="preserve">(und ihr sollt tun) im Qal-Perfekt mit Waw-Konsekutiv zeigt aktive Ausführung. </w:t>
      </w:r>
      <w:r w:rsidRPr="000F5B67">
        <w:rPr>
          <w:rFonts w:eastAsia="Times New Roman" w:cs="Times New Roman"/>
          <w:b/>
          <w:bCs/>
          <w:rtl/>
          <w:lang w:eastAsia="de-DE"/>
        </w:rPr>
        <w:t>אתם</w:t>
      </w:r>
      <w:r w:rsidRPr="000F5B67">
        <w:rPr>
          <w:rFonts w:eastAsia="Times New Roman" w:cs="Times New Roman"/>
          <w:rtl/>
          <w:lang w:eastAsia="de-DE"/>
        </w:rPr>
        <w:t xml:space="preserve"> </w:t>
      </w:r>
      <w:r w:rsidRPr="000F5B67">
        <w:rPr>
          <w:rFonts w:eastAsia="Times New Roman" w:cs="Times New Roman"/>
          <w:lang w:eastAsia="de-DE"/>
        </w:rPr>
        <w:t>(sie) mit Objektsuffix bezieht sich auf die Gebote.</w:t>
      </w:r>
    </w:p>
    <w:p w14:paraId="47B0DD63"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(ich bin der Ewige) als Autoritätsformel.</w:t>
      </w:r>
    </w:p>
    <w:p w14:paraId="672A0A7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שמרתם</w:t>
      </w:r>
      <w:r w:rsidRPr="000F5B67">
        <w:rPr>
          <w:rFonts w:eastAsia="Times New Roman" w:cs="Times New Roman"/>
          <w:rtl/>
          <w:lang w:eastAsia="de-DE"/>
        </w:rPr>
        <w:t xml:space="preserve"> </w:t>
      </w:r>
      <w:r w:rsidRPr="000F5B67">
        <w:rPr>
          <w:rFonts w:eastAsia="Times New Roman" w:cs="Times New Roman"/>
          <w:lang w:eastAsia="de-DE"/>
        </w:rPr>
        <w:t xml:space="preserve">und </w:t>
      </w:r>
      <w:r w:rsidRPr="000F5B67">
        <w:rPr>
          <w:rFonts w:eastAsia="Times New Roman" w:cs="Times New Roman"/>
          <w:b/>
          <w:bCs/>
          <w:rtl/>
          <w:lang w:eastAsia="de-DE"/>
        </w:rPr>
        <w:t>עשיתם</w:t>
      </w:r>
      <w:r w:rsidRPr="000F5B67">
        <w:rPr>
          <w:rFonts w:eastAsia="Times New Roman" w:cs="Times New Roman"/>
          <w:rtl/>
          <w:lang w:eastAsia="de-DE"/>
        </w:rPr>
        <w:t xml:space="preserve"> </w:t>
      </w:r>
      <w:r w:rsidRPr="000F5B67">
        <w:rPr>
          <w:rFonts w:eastAsia="Times New Roman" w:cs="Times New Roman"/>
          <w:lang w:eastAsia="de-DE"/>
        </w:rPr>
        <w:t xml:space="preserve">zeigen die beiden Aspekte des Gehorsams: Beachtung und Ausführung. </w:t>
      </w:r>
      <w:r w:rsidRPr="000F5B67">
        <w:rPr>
          <w:rFonts w:eastAsia="Times New Roman" w:cs="Times New Roman"/>
          <w:b/>
          <w:bCs/>
          <w:rtl/>
          <w:lang w:eastAsia="de-DE"/>
        </w:rPr>
        <w:t>מצותי</w:t>
      </w:r>
      <w:r w:rsidRPr="000F5B67">
        <w:rPr>
          <w:rFonts w:eastAsia="Times New Roman" w:cs="Times New Roman"/>
          <w:rtl/>
          <w:lang w:eastAsia="de-DE"/>
        </w:rPr>
        <w:t xml:space="preserve"> </w:t>
      </w:r>
      <w:r w:rsidRPr="000F5B67">
        <w:rPr>
          <w:rFonts w:eastAsia="Times New Roman" w:cs="Times New Roman"/>
          <w:lang w:eastAsia="de-DE"/>
        </w:rPr>
        <w:t>als umfassende Bezeichnung aller göttlichen Gebote entspricht 19,37.</w:t>
      </w:r>
    </w:p>
    <w:p w14:paraId="52E129F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ושמרתם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φυλάξ</w:t>
      </w:r>
      <w:proofErr w:type="spellEnd"/>
      <w:r w:rsidRPr="000F5B67">
        <w:rPr>
          <w:rFonts w:eastAsia="Times New Roman" w:cs="Times New Roman"/>
          <w:lang w:eastAsia="de-DE"/>
        </w:rPr>
        <w:t xml:space="preserve">ασθε (bewahrt), </w:t>
      </w:r>
      <w:r w:rsidRPr="000F5B67">
        <w:rPr>
          <w:rFonts w:eastAsia="Times New Roman" w:cs="Times New Roman"/>
          <w:b/>
          <w:bCs/>
          <w:rtl/>
          <w:lang w:eastAsia="de-DE"/>
        </w:rPr>
        <w:t>מצותי</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τὰς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ἐντολάς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μου</w:t>
      </w:r>
      <w:proofErr w:type="spellEnd"/>
      <w:r w:rsidRPr="000F5B67">
        <w:rPr>
          <w:rFonts w:eastAsia="Times New Roman" w:cs="Times New Roman"/>
          <w:lang w:eastAsia="de-DE"/>
        </w:rPr>
        <w:t xml:space="preserve"> (meine Gebote), </w:t>
      </w:r>
      <w:r w:rsidRPr="000F5B67">
        <w:rPr>
          <w:rFonts w:eastAsia="Times New Roman" w:cs="Times New Roman"/>
          <w:b/>
          <w:bCs/>
          <w:rtl/>
          <w:lang w:eastAsia="de-DE"/>
        </w:rPr>
        <w:t>ועשיתם</w:t>
      </w:r>
      <w:r w:rsidRPr="000F5B67">
        <w:rPr>
          <w:rFonts w:eastAsia="Times New Roman" w:cs="Times New Roman"/>
          <w:rtl/>
          <w:lang w:eastAsia="de-DE"/>
        </w:rPr>
        <w:t xml:space="preserve"> </w:t>
      </w:r>
      <w:r w:rsidRPr="000F5B67">
        <w:rPr>
          <w:rFonts w:eastAsia="Times New Roman" w:cs="Times New Roman"/>
          <w:lang w:eastAsia="de-DE"/>
        </w:rPr>
        <w:t>mit π</w:t>
      </w:r>
      <w:proofErr w:type="spellStart"/>
      <w:r w:rsidRPr="000F5B67">
        <w:rPr>
          <w:rFonts w:eastAsia="Times New Roman" w:cs="Times New Roman"/>
          <w:lang w:eastAsia="de-DE"/>
        </w:rPr>
        <w:t>οιήσετε</w:t>
      </w:r>
      <w:proofErr w:type="spellEnd"/>
      <w:r w:rsidRPr="000F5B67">
        <w:rPr>
          <w:rFonts w:eastAsia="Times New Roman" w:cs="Times New Roman"/>
          <w:lang w:eastAsia="de-DE"/>
        </w:rPr>
        <w:t xml:space="preserve"> (werdet ihr tun) und </w:t>
      </w:r>
      <w:r w:rsidRPr="000F5B67">
        <w:rPr>
          <w:rFonts w:eastAsia="Times New Roman" w:cs="Times New Roman"/>
          <w:b/>
          <w:bCs/>
          <w:rtl/>
          <w:lang w:eastAsia="de-DE"/>
        </w:rPr>
        <w:t>אתם</w:t>
      </w:r>
      <w:r w:rsidRPr="000F5B67">
        <w:rPr>
          <w:rFonts w:eastAsia="Times New Roman" w:cs="Times New Roman"/>
          <w:rtl/>
          <w:lang w:eastAsia="de-DE"/>
        </w:rPr>
        <w:t xml:space="preserve"> </w:t>
      </w:r>
      <w:r w:rsidRPr="000F5B67">
        <w:rPr>
          <w:rFonts w:eastAsia="Times New Roman" w:cs="Times New Roman"/>
          <w:lang w:eastAsia="de-DE"/>
        </w:rPr>
        <w:t>mit α</w:t>
      </w:r>
      <w:proofErr w:type="spellStart"/>
      <w:r w:rsidRPr="000F5B67">
        <w:rPr>
          <w:rFonts w:eastAsia="Times New Roman" w:cs="Times New Roman"/>
          <w:lang w:eastAsia="de-DE"/>
        </w:rPr>
        <w:t>ὐτάς</w:t>
      </w:r>
      <w:proofErr w:type="spellEnd"/>
      <w:r w:rsidRPr="000F5B67">
        <w:rPr>
          <w:rFonts w:eastAsia="Times New Roman" w:cs="Times New Roman"/>
          <w:lang w:eastAsia="de-DE"/>
        </w:rPr>
        <w:t xml:space="preserve"> (sie).</w:t>
      </w:r>
    </w:p>
    <w:p w14:paraId="23149AD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Gehorsamszusammenfassung: Gebotsbeachtung + Gebotsausführung + göttliche Autorität.</w:t>
      </w:r>
    </w:p>
    <w:p w14:paraId="6883F77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lastRenderedPageBreak/>
        <w:t>Dieser Vers fasst alle vorhergehenden Vorschriften in einer umfassenden Gehorsamsforderung zusammen.</w:t>
      </w:r>
    </w:p>
    <w:p w14:paraId="29B9DBF6"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22,32</w:t>
      </w:r>
    </w:p>
    <w:p w14:paraId="5A3841A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וְלֹ֤א תְחַלְּלוּ֙ אֶת־שֵׁ֣ם קָדְשִׁ֔י וְנִ֨קְדַּשְׁתִּ֔י בְּת֖וֹךְ בְּנֵ֣י יִשְׂרָאֵ֑ל אֲנִ֥י יְהוָ֖ה מְקַדִּשְׁכֶֽם׃</w:t>
      </w:r>
    </w:p>
    <w:p w14:paraId="3B3AD8D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Und ihr sollt meinen heiligen Namen nicht entweihen, damit ich in der Mitte der Kinder Israels geheiligt werde. Ich bin der Ewige, der euch heiligt.</w:t>
      </w:r>
    </w:p>
    <w:p w14:paraId="5B9C9228"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77B25310">
          <v:rect id="_x0000_i1680" style="width:0;height:1.5pt" o:hralign="center" o:hrstd="t" o:hr="t" fillcolor="#a0a0a0" stroked="f"/>
        </w:pict>
      </w:r>
    </w:p>
    <w:p w14:paraId="209FE645"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Kommentar:</w:t>
      </w:r>
      <w:r w:rsidRPr="000F5B67">
        <w:rPr>
          <w:rFonts w:eastAsia="Times New Roman" w:cs="Times New Roman"/>
          <w:lang w:eastAsia="de-DE"/>
        </w:rPr>
        <w:t xml:space="preserve"> </w:t>
      </w:r>
      <w:r w:rsidRPr="000F5B67">
        <w:rPr>
          <w:rFonts w:eastAsia="Times New Roman" w:cs="Times New Roman"/>
          <w:b/>
          <w:bCs/>
          <w:rtl/>
          <w:lang w:eastAsia="de-DE"/>
        </w:rPr>
        <w:t>ולא תחללו את־שם קדשי ונקדשתי בתוך בני ישראל אני יהוה מקדשכם</w:t>
      </w:r>
      <w:r w:rsidRPr="000F5B67">
        <w:rPr>
          <w:rFonts w:eastAsia="Times New Roman" w:cs="Times New Roman"/>
          <w:rtl/>
          <w:lang w:eastAsia="de-DE"/>
        </w:rPr>
        <w:t xml:space="preserve"> </w:t>
      </w:r>
      <w:r w:rsidRPr="000F5B67">
        <w:rPr>
          <w:rFonts w:eastAsia="Times New Roman" w:cs="Times New Roman"/>
          <w:lang w:eastAsia="de-DE"/>
        </w:rPr>
        <w:t xml:space="preserve">zeigt das zentrale Anliegen der Heiligkeitsgesetze. </w:t>
      </w:r>
      <w:r w:rsidRPr="000F5B67">
        <w:rPr>
          <w:rFonts w:eastAsia="Times New Roman" w:cs="Times New Roman"/>
          <w:b/>
          <w:bCs/>
          <w:rtl/>
          <w:lang w:eastAsia="de-DE"/>
        </w:rPr>
        <w:t>ולא תחללו את־שם קדשי</w:t>
      </w:r>
      <w:r w:rsidRPr="000F5B67">
        <w:rPr>
          <w:rFonts w:eastAsia="Times New Roman" w:cs="Times New Roman"/>
          <w:rtl/>
          <w:lang w:eastAsia="de-DE"/>
        </w:rPr>
        <w:t xml:space="preserve"> </w:t>
      </w:r>
      <w:r w:rsidRPr="000F5B67">
        <w:rPr>
          <w:rFonts w:eastAsia="Times New Roman" w:cs="Times New Roman"/>
          <w:lang w:eastAsia="de-DE"/>
        </w:rPr>
        <w:t xml:space="preserve">(und ihr sollt meinen heiligen Namen nicht entweihen) entspricht V. 2 - </w:t>
      </w:r>
      <w:r w:rsidRPr="000F5B67">
        <w:rPr>
          <w:rFonts w:eastAsia="Times New Roman" w:cs="Times New Roman"/>
          <w:b/>
          <w:bCs/>
          <w:rtl/>
          <w:lang w:eastAsia="de-DE"/>
        </w:rPr>
        <w:t>לא תחללו</w:t>
      </w:r>
      <w:r w:rsidRPr="000F5B67">
        <w:rPr>
          <w:rFonts w:eastAsia="Times New Roman" w:cs="Times New Roman"/>
          <w:rtl/>
          <w:lang w:eastAsia="de-DE"/>
        </w:rPr>
        <w:t xml:space="preserve"> </w:t>
      </w:r>
      <w:r w:rsidRPr="000F5B67">
        <w:rPr>
          <w:rFonts w:eastAsia="Times New Roman" w:cs="Times New Roman"/>
          <w:lang w:eastAsia="de-DE"/>
        </w:rPr>
        <w:t xml:space="preserve">(sollt ihr nicht entweihen) im Piel-Imperfekt, das Piel zeigt intensive Entweihung. </w:t>
      </w:r>
      <w:r w:rsidRPr="000F5B67">
        <w:rPr>
          <w:rFonts w:eastAsia="Times New Roman" w:cs="Times New Roman"/>
          <w:b/>
          <w:bCs/>
          <w:rtl/>
          <w:lang w:eastAsia="de-DE"/>
        </w:rPr>
        <w:t>את־שם קדשי</w:t>
      </w:r>
      <w:r w:rsidRPr="000F5B67">
        <w:rPr>
          <w:rFonts w:eastAsia="Times New Roman" w:cs="Times New Roman"/>
          <w:rtl/>
          <w:lang w:eastAsia="de-DE"/>
        </w:rPr>
        <w:t xml:space="preserve"> </w:t>
      </w:r>
      <w:r w:rsidRPr="000F5B67">
        <w:rPr>
          <w:rFonts w:eastAsia="Times New Roman" w:cs="Times New Roman"/>
          <w:lang w:eastAsia="de-DE"/>
        </w:rPr>
        <w:t>(meinen heiligen Namen) zeigt göttliche Reputation.</w:t>
      </w:r>
    </w:p>
    <w:p w14:paraId="3151A17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ונקדשתי בתוך בני ישראל</w:t>
      </w:r>
      <w:r w:rsidRPr="000F5B67">
        <w:rPr>
          <w:rFonts w:eastAsia="Times New Roman" w:cs="Times New Roman"/>
          <w:rtl/>
          <w:lang w:eastAsia="de-DE"/>
        </w:rPr>
        <w:t xml:space="preserve"> </w:t>
      </w:r>
      <w:r w:rsidRPr="000F5B67">
        <w:rPr>
          <w:rFonts w:eastAsia="Times New Roman" w:cs="Times New Roman"/>
          <w:lang w:eastAsia="de-DE"/>
        </w:rPr>
        <w:t xml:space="preserve">(damit ich in der Mitte der Kinder Israels geheiligt werde) - </w:t>
      </w:r>
      <w:r w:rsidRPr="000F5B67">
        <w:rPr>
          <w:rFonts w:eastAsia="Times New Roman" w:cs="Times New Roman"/>
          <w:b/>
          <w:bCs/>
          <w:rtl/>
          <w:lang w:eastAsia="de-DE"/>
        </w:rPr>
        <w:t>ונקדשתי</w:t>
      </w:r>
      <w:r w:rsidRPr="000F5B67">
        <w:rPr>
          <w:rFonts w:eastAsia="Times New Roman" w:cs="Times New Roman"/>
          <w:rtl/>
          <w:lang w:eastAsia="de-DE"/>
        </w:rPr>
        <w:t xml:space="preserve"> </w:t>
      </w:r>
      <w:r w:rsidRPr="000F5B67">
        <w:rPr>
          <w:rFonts w:eastAsia="Times New Roman" w:cs="Times New Roman"/>
          <w:lang w:eastAsia="de-DE"/>
        </w:rPr>
        <w:t xml:space="preserve">(und ich werde geheiligt) im Nifal-Perfekt mit Waw-Konsekutiv zeigt göttliche Heiligung als Ziel. </w:t>
      </w:r>
      <w:r w:rsidRPr="000F5B67">
        <w:rPr>
          <w:rFonts w:eastAsia="Times New Roman" w:cs="Times New Roman"/>
          <w:b/>
          <w:bCs/>
          <w:rtl/>
          <w:lang w:eastAsia="de-DE"/>
        </w:rPr>
        <w:t>בתוך בני ישראל</w:t>
      </w:r>
      <w:r w:rsidRPr="000F5B67">
        <w:rPr>
          <w:rFonts w:eastAsia="Times New Roman" w:cs="Times New Roman"/>
          <w:rtl/>
          <w:lang w:eastAsia="de-DE"/>
        </w:rPr>
        <w:t xml:space="preserve"> </w:t>
      </w:r>
      <w:r w:rsidRPr="000F5B67">
        <w:rPr>
          <w:rFonts w:eastAsia="Times New Roman" w:cs="Times New Roman"/>
          <w:lang w:eastAsia="de-DE"/>
        </w:rPr>
        <w:t>(in der Mitte der Kinder Israels) zeigt den Ort der Heiligung.</w:t>
      </w:r>
    </w:p>
    <w:p w14:paraId="23ABEEC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אני יהוה מקדשכם</w:t>
      </w:r>
      <w:r w:rsidRPr="000F5B67">
        <w:rPr>
          <w:rFonts w:eastAsia="Times New Roman" w:cs="Times New Roman"/>
          <w:rtl/>
          <w:lang w:eastAsia="de-DE"/>
        </w:rPr>
        <w:t xml:space="preserve"> </w:t>
      </w:r>
      <w:r w:rsidRPr="000F5B67">
        <w:rPr>
          <w:rFonts w:eastAsia="Times New Roman" w:cs="Times New Roman"/>
          <w:lang w:eastAsia="de-DE"/>
        </w:rPr>
        <w:t xml:space="preserve">(ich bin der Ewige, der euch heiligt) - </w:t>
      </w:r>
      <w:r w:rsidRPr="000F5B67">
        <w:rPr>
          <w:rFonts w:eastAsia="Times New Roman" w:cs="Times New Roman"/>
          <w:b/>
          <w:bCs/>
          <w:rtl/>
          <w:lang w:eastAsia="de-DE"/>
        </w:rPr>
        <w:t>מקדשכם</w:t>
      </w:r>
      <w:r w:rsidRPr="000F5B67">
        <w:rPr>
          <w:rFonts w:eastAsia="Times New Roman" w:cs="Times New Roman"/>
          <w:rtl/>
          <w:lang w:eastAsia="de-DE"/>
        </w:rPr>
        <w:t xml:space="preserve"> </w:t>
      </w:r>
      <w:r w:rsidRPr="000F5B67">
        <w:rPr>
          <w:rFonts w:eastAsia="Times New Roman" w:cs="Times New Roman"/>
          <w:lang w:eastAsia="de-DE"/>
        </w:rPr>
        <w:t>(der euch heiligt) im Piel-Partizip entspricht 20,8 und zeigt JHWH als Heiligungsagens.</w:t>
      </w:r>
    </w:p>
    <w:p w14:paraId="15F42A0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לא תחללו את־שם קדשי</w:t>
      </w:r>
      <w:r w:rsidRPr="000F5B67">
        <w:rPr>
          <w:rFonts w:eastAsia="Times New Roman" w:cs="Times New Roman"/>
          <w:rtl/>
          <w:lang w:eastAsia="de-DE"/>
        </w:rPr>
        <w:t xml:space="preserve"> </w:t>
      </w:r>
      <w:r w:rsidRPr="000F5B67">
        <w:rPr>
          <w:rFonts w:eastAsia="Times New Roman" w:cs="Times New Roman"/>
          <w:lang w:eastAsia="de-DE"/>
        </w:rPr>
        <w:t xml:space="preserve">vs. </w:t>
      </w:r>
      <w:r w:rsidRPr="000F5B67">
        <w:rPr>
          <w:rFonts w:eastAsia="Times New Roman" w:cs="Times New Roman"/>
          <w:b/>
          <w:bCs/>
          <w:rtl/>
          <w:lang w:eastAsia="de-DE"/>
        </w:rPr>
        <w:t>ונקדשתי</w:t>
      </w:r>
      <w:r w:rsidRPr="000F5B67">
        <w:rPr>
          <w:rFonts w:eastAsia="Times New Roman" w:cs="Times New Roman"/>
          <w:rtl/>
          <w:lang w:eastAsia="de-DE"/>
        </w:rPr>
        <w:t xml:space="preserve"> </w:t>
      </w:r>
      <w:r w:rsidRPr="000F5B67">
        <w:rPr>
          <w:rFonts w:eastAsia="Times New Roman" w:cs="Times New Roman"/>
          <w:lang w:eastAsia="de-DE"/>
        </w:rPr>
        <w:t xml:space="preserve">zeigt den Gegensatz zwischen Entweihung und Heiligung. </w:t>
      </w:r>
      <w:r w:rsidRPr="000F5B67">
        <w:rPr>
          <w:rFonts w:eastAsia="Times New Roman" w:cs="Times New Roman"/>
          <w:b/>
          <w:bCs/>
          <w:rtl/>
          <w:lang w:eastAsia="de-DE"/>
        </w:rPr>
        <w:t>בתוך בני ישראל</w:t>
      </w:r>
      <w:r w:rsidRPr="000F5B67">
        <w:rPr>
          <w:rFonts w:eastAsia="Times New Roman" w:cs="Times New Roman"/>
          <w:rtl/>
          <w:lang w:eastAsia="de-DE"/>
        </w:rPr>
        <w:t xml:space="preserve"> </w:t>
      </w:r>
      <w:r w:rsidRPr="000F5B67">
        <w:rPr>
          <w:rFonts w:eastAsia="Times New Roman" w:cs="Times New Roman"/>
          <w:lang w:eastAsia="de-DE"/>
        </w:rPr>
        <w:t xml:space="preserve">zeigt Israel als Ort der Gottesheiligung. </w:t>
      </w:r>
      <w:r w:rsidRPr="000F5B67">
        <w:rPr>
          <w:rFonts w:eastAsia="Times New Roman" w:cs="Times New Roman"/>
          <w:b/>
          <w:bCs/>
          <w:rtl/>
          <w:lang w:eastAsia="de-DE"/>
        </w:rPr>
        <w:t>מקדשכם</w:t>
      </w:r>
      <w:r w:rsidRPr="000F5B67">
        <w:rPr>
          <w:rFonts w:eastAsia="Times New Roman" w:cs="Times New Roman"/>
          <w:rtl/>
          <w:lang w:eastAsia="de-DE"/>
        </w:rPr>
        <w:t xml:space="preserve"> </w:t>
      </w:r>
      <w:r w:rsidRPr="000F5B67">
        <w:rPr>
          <w:rFonts w:eastAsia="Times New Roman" w:cs="Times New Roman"/>
          <w:lang w:eastAsia="de-DE"/>
        </w:rPr>
        <w:t>zeigt JHWH als Urheber menschlicher Heiligung.</w:t>
      </w:r>
    </w:p>
    <w:p w14:paraId="52FC1671" w14:textId="6E502824"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w:t>
      </w:r>
      <w:r w:rsidR="0007678B">
        <w:t xml:space="preserve">fügt die wichtige theologische Aussage hinzu: καὶ </w:t>
      </w:r>
      <w:proofErr w:type="spellStart"/>
      <w:r w:rsidR="0007678B">
        <w:t>ἁγι</w:t>
      </w:r>
      <w:proofErr w:type="spellEnd"/>
      <w:r w:rsidR="0007678B">
        <w:t xml:space="preserve">ασθήσομαι </w:t>
      </w:r>
      <w:proofErr w:type="spellStart"/>
      <w:r w:rsidR="0007678B">
        <w:t>ἐν</w:t>
      </w:r>
      <w:proofErr w:type="spellEnd"/>
      <w:r w:rsidR="0007678B">
        <w:t xml:space="preserve"> </w:t>
      </w:r>
      <w:proofErr w:type="spellStart"/>
      <w:r w:rsidR="0007678B">
        <w:t>μέσῳ</w:t>
      </w:r>
      <w:proofErr w:type="spellEnd"/>
      <w:r w:rsidR="0007678B">
        <w:t xml:space="preserve"> </w:t>
      </w:r>
      <w:proofErr w:type="spellStart"/>
      <w:r w:rsidR="0007678B">
        <w:t>τῶν</w:t>
      </w:r>
      <w:proofErr w:type="spellEnd"/>
      <w:r w:rsidR="0007678B">
        <w:t xml:space="preserve"> </w:t>
      </w:r>
      <w:proofErr w:type="spellStart"/>
      <w:r w:rsidR="0007678B">
        <w:t>υἱῶν</w:t>
      </w:r>
      <w:proofErr w:type="spellEnd"/>
      <w:r w:rsidR="0007678B">
        <w:t xml:space="preserve"> </w:t>
      </w:r>
      <w:proofErr w:type="spellStart"/>
      <w:r w:rsidR="0007678B">
        <w:t>Ἰσρ</w:t>
      </w:r>
      <w:proofErr w:type="spellEnd"/>
      <w:r w:rsidR="0007678B">
        <w:t xml:space="preserve">αήλ (und ich werde geheiligt werden inmitten der Söhne Israels), was das hebräische </w:t>
      </w:r>
      <w:r w:rsidR="0007678B">
        <w:rPr>
          <w:rtl/>
        </w:rPr>
        <w:t>ונקדשתי</w:t>
      </w:r>
      <w:r w:rsidR="0007678B">
        <w:t xml:space="preserve"> verstärkt.</w:t>
      </w:r>
    </w:p>
    <w:p w14:paraId="2BF5E217"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Heiligungsziel: Gottesnamens-Entweihungsverbot + göttliche Heiligung in Israel + göttliche Heiligungsautorität.</w:t>
      </w:r>
    </w:p>
    <w:p w14:paraId="12EF5B8F"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Vers zeigt das zentrale Anliegen: Vermeidung der Gottesnamenschändung und Förderung der Gottesheiligung in Israel.</w:t>
      </w:r>
    </w:p>
    <w:p w14:paraId="03983034" w14:textId="77777777" w:rsidR="000F5B67" w:rsidRPr="000F5B67" w:rsidRDefault="000F5B67" w:rsidP="000F5B67">
      <w:pPr>
        <w:spacing w:before="100" w:beforeAutospacing="1" w:after="100" w:afterAutospacing="1" w:line="240" w:lineRule="auto"/>
        <w:outlineLvl w:val="1"/>
        <w:rPr>
          <w:rFonts w:eastAsia="Times New Roman" w:cs="Times New Roman"/>
          <w:b/>
          <w:bCs/>
          <w:sz w:val="36"/>
          <w:szCs w:val="36"/>
          <w:lang w:eastAsia="de-DE"/>
        </w:rPr>
      </w:pPr>
      <w:r w:rsidRPr="000F5B67">
        <w:rPr>
          <w:rFonts w:eastAsia="Times New Roman" w:cs="Times New Roman"/>
          <w:b/>
          <w:bCs/>
          <w:sz w:val="36"/>
          <w:szCs w:val="36"/>
          <w:lang w:eastAsia="de-DE"/>
        </w:rPr>
        <w:t>Leviticus 22,33</w:t>
      </w:r>
    </w:p>
    <w:p w14:paraId="007DF7A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Hebräisch:</w:t>
      </w:r>
      <w:r w:rsidRPr="000F5B67">
        <w:rPr>
          <w:rFonts w:eastAsia="Times New Roman" w:cs="Times New Roman"/>
          <w:lang w:eastAsia="de-DE"/>
        </w:rPr>
        <w:t xml:space="preserve"> </w:t>
      </w:r>
      <w:r w:rsidRPr="000F5B67">
        <w:rPr>
          <w:rFonts w:eastAsia="Times New Roman" w:cs="Times New Roman"/>
          <w:rtl/>
          <w:lang w:eastAsia="de-DE"/>
        </w:rPr>
        <w:t>הַמּוֹצִ֤יא אֶתְכֶם֙ מֵאֶ֣רֶץ מִצְרַ֔יִם לִהְי֥וֹת לָכֶ֖ם לֵאלֹהִ֑ים אֲנִ֖י יְהוָֽה׃</w:t>
      </w:r>
    </w:p>
    <w:p w14:paraId="7B92CDC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Deutsch:</w:t>
      </w:r>
      <w:r w:rsidRPr="000F5B67">
        <w:rPr>
          <w:rFonts w:eastAsia="Times New Roman" w:cs="Times New Roman"/>
          <w:lang w:eastAsia="de-DE"/>
        </w:rPr>
        <w:t xml:space="preserve"> der euch aus dem Land Ägypten herausgeführt hat, um euer Gott zu sein. Ich bin der Ewige.</w:t>
      </w:r>
    </w:p>
    <w:p w14:paraId="49ED651F" w14:textId="77777777" w:rsidR="000F5B67" w:rsidRPr="000F5B67" w:rsidRDefault="00A57720" w:rsidP="000F5B67">
      <w:pPr>
        <w:spacing w:after="0" w:line="240" w:lineRule="auto"/>
        <w:rPr>
          <w:rFonts w:eastAsia="Times New Roman" w:cs="Times New Roman"/>
          <w:lang w:eastAsia="de-DE"/>
        </w:rPr>
      </w:pPr>
      <w:r>
        <w:rPr>
          <w:rFonts w:eastAsia="Times New Roman" w:cs="Times New Roman"/>
          <w:noProof/>
          <w:lang w:eastAsia="de-DE"/>
        </w:rPr>
        <w:pict w14:anchorId="0F2993D6">
          <v:rect id="_x0000_i1681" style="width:0;height:1.5pt" o:hralign="center" o:hrstd="t" o:hr="t" fillcolor="#a0a0a0" stroked="f"/>
        </w:pict>
      </w:r>
    </w:p>
    <w:p w14:paraId="334D3832"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Kommentar:</w:t>
      </w:r>
      <w:r w:rsidRPr="000F5B67">
        <w:rPr>
          <w:rFonts w:eastAsia="Times New Roman" w:cs="Times New Roman"/>
          <w:lang w:eastAsia="de-DE"/>
        </w:rPr>
        <w:t xml:space="preserve"> </w:t>
      </w:r>
      <w:r w:rsidRPr="000F5B67">
        <w:rPr>
          <w:rFonts w:eastAsia="Times New Roman" w:cs="Times New Roman"/>
          <w:b/>
          <w:bCs/>
          <w:rtl/>
          <w:lang w:eastAsia="de-DE"/>
        </w:rPr>
        <w:t>המוציא אתכם מארץ מצרים להיות לכם לאלהים אני יהוה</w:t>
      </w:r>
      <w:r w:rsidRPr="000F5B67">
        <w:rPr>
          <w:rFonts w:eastAsia="Times New Roman" w:cs="Times New Roman"/>
          <w:rtl/>
          <w:lang w:eastAsia="de-DE"/>
        </w:rPr>
        <w:t xml:space="preserve"> </w:t>
      </w:r>
      <w:r w:rsidRPr="000F5B67">
        <w:rPr>
          <w:rFonts w:eastAsia="Times New Roman" w:cs="Times New Roman"/>
          <w:lang w:eastAsia="de-DE"/>
        </w:rPr>
        <w:t xml:space="preserve">begründet die Heiligkeitsverpflichtung durch den Exodus. </w:t>
      </w:r>
      <w:r w:rsidRPr="000F5B67">
        <w:rPr>
          <w:rFonts w:eastAsia="Times New Roman" w:cs="Times New Roman"/>
          <w:b/>
          <w:bCs/>
          <w:rtl/>
          <w:lang w:eastAsia="de-DE"/>
        </w:rPr>
        <w:t>המוציא אתכם מארץ מצרים</w:t>
      </w:r>
      <w:r w:rsidRPr="000F5B67">
        <w:rPr>
          <w:rFonts w:eastAsia="Times New Roman" w:cs="Times New Roman"/>
          <w:rtl/>
          <w:lang w:eastAsia="de-DE"/>
        </w:rPr>
        <w:t xml:space="preserve"> </w:t>
      </w:r>
      <w:r w:rsidRPr="000F5B67">
        <w:rPr>
          <w:rFonts w:eastAsia="Times New Roman" w:cs="Times New Roman"/>
          <w:lang w:eastAsia="de-DE"/>
        </w:rPr>
        <w:t xml:space="preserve">(der euch aus dem Land Ägypten herausgeführt hat) - </w:t>
      </w:r>
      <w:r w:rsidRPr="000F5B67">
        <w:rPr>
          <w:rFonts w:eastAsia="Times New Roman" w:cs="Times New Roman"/>
          <w:b/>
          <w:bCs/>
          <w:rtl/>
          <w:lang w:eastAsia="de-DE"/>
        </w:rPr>
        <w:t>המוציא</w:t>
      </w:r>
      <w:r w:rsidRPr="000F5B67">
        <w:rPr>
          <w:rFonts w:eastAsia="Times New Roman" w:cs="Times New Roman"/>
          <w:rtl/>
          <w:lang w:eastAsia="de-DE"/>
        </w:rPr>
        <w:t xml:space="preserve"> </w:t>
      </w:r>
      <w:r w:rsidRPr="000F5B67">
        <w:rPr>
          <w:rFonts w:eastAsia="Times New Roman" w:cs="Times New Roman"/>
          <w:lang w:eastAsia="de-DE"/>
        </w:rPr>
        <w:t>(der herausführt) im Hifil-Partizip, das Hifil zeigt kausatives Herausführen. Dies ist die klassische Exodus-Formel.</w:t>
      </w:r>
    </w:p>
    <w:p w14:paraId="34719927" w14:textId="3388DBB2"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להיות לכם לאלהים</w:t>
      </w:r>
      <w:r w:rsidRPr="000F5B67">
        <w:rPr>
          <w:rFonts w:eastAsia="Times New Roman" w:cs="Times New Roman"/>
          <w:rtl/>
          <w:lang w:eastAsia="de-DE"/>
        </w:rPr>
        <w:t xml:space="preserve"> </w:t>
      </w:r>
      <w:r w:rsidRPr="000F5B67">
        <w:rPr>
          <w:rFonts w:eastAsia="Times New Roman" w:cs="Times New Roman"/>
          <w:lang w:eastAsia="de-DE"/>
        </w:rPr>
        <w:t xml:space="preserve">(um euer Gott zu sein) - </w:t>
      </w:r>
      <w:r w:rsidRPr="000F5B67">
        <w:rPr>
          <w:rFonts w:eastAsia="Times New Roman" w:cs="Times New Roman"/>
          <w:b/>
          <w:bCs/>
          <w:rtl/>
          <w:lang w:eastAsia="de-DE"/>
        </w:rPr>
        <w:t>להיות</w:t>
      </w:r>
      <w:r w:rsidRPr="000F5B67">
        <w:rPr>
          <w:rFonts w:eastAsia="Times New Roman" w:cs="Times New Roman"/>
          <w:rtl/>
          <w:lang w:eastAsia="de-DE"/>
        </w:rPr>
        <w:t xml:space="preserve"> </w:t>
      </w:r>
      <w:r w:rsidRPr="000F5B67">
        <w:rPr>
          <w:rFonts w:eastAsia="Times New Roman" w:cs="Times New Roman"/>
          <w:lang w:eastAsia="de-DE"/>
        </w:rPr>
        <w:t>(um zu sein) im Qal-Infinitiv-</w:t>
      </w:r>
      <w:r w:rsidR="00DE39DD">
        <w:rPr>
          <w:rFonts w:eastAsia="Times New Roman" w:cs="Times New Roman"/>
          <w:lang w:eastAsia="de-DE"/>
        </w:rPr>
        <w:t>Constructus</w:t>
      </w:r>
      <w:r w:rsidRPr="000F5B67">
        <w:rPr>
          <w:rFonts w:eastAsia="Times New Roman" w:cs="Times New Roman"/>
          <w:lang w:eastAsia="de-DE"/>
        </w:rPr>
        <w:t xml:space="preserve"> zeigt den Zweck des Exodus. </w:t>
      </w:r>
      <w:r w:rsidRPr="000F5B67">
        <w:rPr>
          <w:rFonts w:eastAsia="Times New Roman" w:cs="Times New Roman"/>
          <w:b/>
          <w:bCs/>
          <w:rtl/>
          <w:lang w:eastAsia="de-DE"/>
        </w:rPr>
        <w:t>לכם לאלהים</w:t>
      </w:r>
      <w:r w:rsidRPr="000F5B67">
        <w:rPr>
          <w:rFonts w:eastAsia="Times New Roman" w:cs="Times New Roman"/>
          <w:rtl/>
          <w:lang w:eastAsia="de-DE"/>
        </w:rPr>
        <w:t xml:space="preserve"> </w:t>
      </w:r>
      <w:r w:rsidRPr="000F5B67">
        <w:rPr>
          <w:rFonts w:eastAsia="Times New Roman" w:cs="Times New Roman"/>
          <w:lang w:eastAsia="de-DE"/>
        </w:rPr>
        <w:t>(euer Gott) zeigt die Bundesbeziehung.</w:t>
      </w:r>
    </w:p>
    <w:p w14:paraId="050D2F7C"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(ich bin der Ewige) als abschließende Selbstbezeichnung.</w:t>
      </w:r>
    </w:p>
    <w:p w14:paraId="65E35201"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rtl/>
          <w:lang w:eastAsia="de-DE"/>
        </w:rPr>
        <w:t>המוציא אתכם מארץ מצרים</w:t>
      </w:r>
      <w:r w:rsidRPr="000F5B67">
        <w:rPr>
          <w:rFonts w:eastAsia="Times New Roman" w:cs="Times New Roman"/>
          <w:rtl/>
          <w:lang w:eastAsia="de-DE"/>
        </w:rPr>
        <w:t xml:space="preserve"> </w:t>
      </w:r>
      <w:r w:rsidRPr="000F5B67">
        <w:rPr>
          <w:rFonts w:eastAsia="Times New Roman" w:cs="Times New Roman"/>
          <w:lang w:eastAsia="de-DE"/>
        </w:rPr>
        <w:t xml:space="preserve">als klassische Bundesgrundlage entspricht Ex 20,2. </w:t>
      </w:r>
      <w:r w:rsidRPr="000F5B67">
        <w:rPr>
          <w:rFonts w:eastAsia="Times New Roman" w:cs="Times New Roman"/>
          <w:b/>
          <w:bCs/>
          <w:rtl/>
          <w:lang w:eastAsia="de-DE"/>
        </w:rPr>
        <w:t>להיות לכם לאלהים</w:t>
      </w:r>
      <w:r w:rsidRPr="000F5B67">
        <w:rPr>
          <w:rFonts w:eastAsia="Times New Roman" w:cs="Times New Roman"/>
          <w:rtl/>
          <w:lang w:eastAsia="de-DE"/>
        </w:rPr>
        <w:t xml:space="preserve"> </w:t>
      </w:r>
      <w:r w:rsidRPr="000F5B67">
        <w:rPr>
          <w:rFonts w:eastAsia="Times New Roman" w:cs="Times New Roman"/>
          <w:lang w:eastAsia="de-DE"/>
        </w:rPr>
        <w:t xml:space="preserve">zeigt den Exodus-Zweck: Gottesbeziehung. </w:t>
      </w: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als finale Bekräftigung der Identität des Bundesgottes.</w:t>
      </w:r>
    </w:p>
    <w:p w14:paraId="5CCDE5C6"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LXX</w:t>
      </w:r>
      <w:r w:rsidRPr="000F5B67">
        <w:rPr>
          <w:rFonts w:eastAsia="Times New Roman" w:cs="Times New Roman"/>
          <w:lang w:eastAsia="de-DE"/>
        </w:rPr>
        <w:t xml:space="preserve"> übersetzt </w:t>
      </w:r>
      <w:r w:rsidRPr="000F5B67">
        <w:rPr>
          <w:rFonts w:eastAsia="Times New Roman" w:cs="Times New Roman"/>
          <w:b/>
          <w:bCs/>
          <w:rtl/>
          <w:lang w:eastAsia="de-DE"/>
        </w:rPr>
        <w:t>המוציא</w:t>
      </w:r>
      <w:r w:rsidRPr="000F5B67">
        <w:rPr>
          <w:rFonts w:eastAsia="Times New Roman" w:cs="Times New Roman"/>
          <w:rtl/>
          <w:lang w:eastAsia="de-DE"/>
        </w:rPr>
        <w:t xml:space="preserve"> </w:t>
      </w:r>
      <w:r w:rsidRPr="000F5B67">
        <w:rPr>
          <w:rFonts w:eastAsia="Times New Roman" w:cs="Times New Roman"/>
          <w:lang w:eastAsia="de-DE"/>
        </w:rPr>
        <w:t xml:space="preserve">mit ὁ </w:t>
      </w:r>
      <w:proofErr w:type="spellStart"/>
      <w:r w:rsidRPr="000F5B67">
        <w:rPr>
          <w:rFonts w:eastAsia="Times New Roman" w:cs="Times New Roman"/>
          <w:lang w:eastAsia="de-DE"/>
        </w:rPr>
        <w:t>ἐξ</w:t>
      </w:r>
      <w:proofErr w:type="spellEnd"/>
      <w:r w:rsidRPr="000F5B67">
        <w:rPr>
          <w:rFonts w:eastAsia="Times New Roman" w:cs="Times New Roman"/>
          <w:lang w:eastAsia="de-DE"/>
        </w:rPr>
        <w:t xml:space="preserve">αγαγών (der herausgeführt hat), </w:t>
      </w:r>
      <w:r w:rsidRPr="000F5B67">
        <w:rPr>
          <w:rFonts w:eastAsia="Times New Roman" w:cs="Times New Roman"/>
          <w:b/>
          <w:bCs/>
          <w:rtl/>
          <w:lang w:eastAsia="de-DE"/>
        </w:rPr>
        <w:t>מארץ מצרים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ἐκ</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γῆς</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Αἰγύ</w:t>
      </w:r>
      <w:proofErr w:type="spellEnd"/>
      <w:r w:rsidRPr="000F5B67">
        <w:rPr>
          <w:rFonts w:eastAsia="Times New Roman" w:cs="Times New Roman"/>
          <w:lang w:eastAsia="de-DE"/>
        </w:rPr>
        <w:t xml:space="preserve">πτου (aus dem Land Ägypten), </w:t>
      </w:r>
      <w:r w:rsidRPr="000F5B67">
        <w:rPr>
          <w:rFonts w:eastAsia="Times New Roman" w:cs="Times New Roman"/>
          <w:b/>
          <w:bCs/>
          <w:rtl/>
          <w:lang w:eastAsia="de-DE"/>
        </w:rPr>
        <w:t>להיות לכם לאלהים</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εἶν</w:t>
      </w:r>
      <w:proofErr w:type="spellEnd"/>
      <w:r w:rsidRPr="000F5B67">
        <w:rPr>
          <w:rFonts w:eastAsia="Times New Roman" w:cs="Times New Roman"/>
          <w:lang w:eastAsia="de-DE"/>
        </w:rPr>
        <w:t xml:space="preserve">αι </w:t>
      </w:r>
      <w:proofErr w:type="spellStart"/>
      <w:r w:rsidRPr="000F5B67">
        <w:rPr>
          <w:rFonts w:eastAsia="Times New Roman" w:cs="Times New Roman"/>
          <w:lang w:eastAsia="de-DE"/>
        </w:rPr>
        <w:t>ὑμῶν</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θεός</w:t>
      </w:r>
      <w:proofErr w:type="spellEnd"/>
      <w:r w:rsidRPr="000F5B67">
        <w:rPr>
          <w:rFonts w:eastAsia="Times New Roman" w:cs="Times New Roman"/>
          <w:lang w:eastAsia="de-DE"/>
        </w:rPr>
        <w:t xml:space="preserve"> (euer Gott zu sein) und </w:t>
      </w:r>
      <w:r w:rsidRPr="000F5B67">
        <w:rPr>
          <w:rFonts w:eastAsia="Times New Roman" w:cs="Times New Roman"/>
          <w:b/>
          <w:bCs/>
          <w:rtl/>
          <w:lang w:eastAsia="de-DE"/>
        </w:rPr>
        <w:t>אני יהוה</w:t>
      </w:r>
      <w:r w:rsidRPr="000F5B67">
        <w:rPr>
          <w:rFonts w:eastAsia="Times New Roman" w:cs="Times New Roman"/>
          <w:rtl/>
          <w:lang w:eastAsia="de-DE"/>
        </w:rPr>
        <w:t xml:space="preserve"> </w:t>
      </w:r>
      <w:r w:rsidRPr="000F5B67">
        <w:rPr>
          <w:rFonts w:eastAsia="Times New Roman" w:cs="Times New Roman"/>
          <w:lang w:eastAsia="de-DE"/>
        </w:rPr>
        <w:t xml:space="preserve">mit </w:t>
      </w:r>
      <w:proofErr w:type="spellStart"/>
      <w:r w:rsidRPr="000F5B67">
        <w:rPr>
          <w:rFonts w:eastAsia="Times New Roman" w:cs="Times New Roman"/>
          <w:lang w:eastAsia="de-DE"/>
        </w:rPr>
        <w:t>ἐγὼ</w:t>
      </w:r>
      <w:proofErr w:type="spellEnd"/>
      <w:r w:rsidRPr="000F5B67">
        <w:rPr>
          <w:rFonts w:eastAsia="Times New Roman" w:cs="Times New Roman"/>
          <w:lang w:eastAsia="de-DE"/>
        </w:rPr>
        <w:t xml:space="preserve"> </w:t>
      </w:r>
      <w:proofErr w:type="spellStart"/>
      <w:r w:rsidRPr="000F5B67">
        <w:rPr>
          <w:rFonts w:eastAsia="Times New Roman" w:cs="Times New Roman"/>
          <w:lang w:eastAsia="de-DE"/>
        </w:rPr>
        <w:t>κύριος</w:t>
      </w:r>
      <w:proofErr w:type="spellEnd"/>
      <w:r w:rsidRPr="000F5B67">
        <w:rPr>
          <w:rFonts w:eastAsia="Times New Roman" w:cs="Times New Roman"/>
          <w:lang w:eastAsia="de-DE"/>
        </w:rPr>
        <w:t xml:space="preserve"> (ich bin der Herr).</w:t>
      </w:r>
    </w:p>
    <w:p w14:paraId="61F4CEF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Die Satzstruktur</w:t>
      </w:r>
      <w:r w:rsidRPr="000F5B67">
        <w:rPr>
          <w:rFonts w:eastAsia="Times New Roman" w:cs="Times New Roman"/>
          <w:lang w:eastAsia="de-DE"/>
        </w:rPr>
        <w:t xml:space="preserve"> zeigt Exodus-Begründung: Exodus-Herausführung + Gottesbeziehungs-Zweck + göttliche Selbstbezeichnung.</w:t>
      </w:r>
    </w:p>
    <w:p w14:paraId="07B4EB7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Dieser Schlussvers begründet alle Heiligkeitsgesetze durch den Exodus als Grundlage der Bundesbeziehung.</w:t>
      </w:r>
    </w:p>
    <w:p w14:paraId="1EB684B8"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lang w:eastAsia="de-DE"/>
        </w:rPr>
        <w:t xml:space="preserve">Kapitel 22 regelt </w:t>
      </w:r>
      <w:r w:rsidRPr="000F5B67">
        <w:rPr>
          <w:rFonts w:eastAsia="Times New Roman" w:cs="Times New Roman"/>
          <w:b/>
          <w:bCs/>
          <w:lang w:eastAsia="de-DE"/>
        </w:rPr>
        <w:t>drei zentrale Bereiche der Heiligkeit</w:t>
      </w:r>
      <w:r w:rsidRPr="000F5B67">
        <w:rPr>
          <w:rFonts w:eastAsia="Times New Roman" w:cs="Times New Roman"/>
          <w:lang w:eastAsia="de-DE"/>
        </w:rPr>
        <w:t>: priesterliche Reinheit beim Umgang mit heiligen Gaben, Zugangsrechte zu heiligen Speisen und Qualitätsanforderungen an Opfertiere.</w:t>
      </w:r>
    </w:p>
    <w:p w14:paraId="5B0E4050"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1) Priesterliche Reinheit (V. 1-9):</w:t>
      </w:r>
      <w:r w:rsidRPr="000F5B67">
        <w:rPr>
          <w:rFonts w:eastAsia="Times New Roman" w:cs="Times New Roman"/>
          <w:lang w:eastAsia="de-DE"/>
        </w:rPr>
        <w:t xml:space="preserve"> </w:t>
      </w:r>
      <w:r w:rsidRPr="000F5B67">
        <w:rPr>
          <w:rFonts w:eastAsia="Times New Roman" w:cs="Times New Roman"/>
          <w:b/>
          <w:bCs/>
          <w:rtl/>
          <w:lang w:eastAsia="de-DE"/>
        </w:rPr>
        <w:t>נזר</w:t>
      </w:r>
      <w:r w:rsidRPr="000F5B67">
        <w:rPr>
          <w:rFonts w:eastAsia="Times New Roman" w:cs="Times New Roman"/>
          <w:lang w:eastAsia="de-DE"/>
        </w:rPr>
        <w:t xml:space="preserve">-Absonderung der Priester von heiligen Gaben zur Vermeidung der Gottesnamenschändung. Systematische Auflistung der Unreinheitsarten (Aussatz, Fluss, Leichenberührung, Samenerguss, Tierberührung, menschliche Unreinheitsübertragung) mit </w:t>
      </w:r>
      <w:r w:rsidRPr="000F5B67">
        <w:rPr>
          <w:rFonts w:eastAsia="Times New Roman" w:cs="Times New Roman"/>
          <w:b/>
          <w:bCs/>
          <w:rtl/>
          <w:lang w:eastAsia="de-DE"/>
        </w:rPr>
        <w:t>כרת</w:t>
      </w:r>
      <w:r w:rsidRPr="000F5B67">
        <w:rPr>
          <w:rFonts w:eastAsia="Times New Roman" w:cs="Times New Roman"/>
          <w:lang w:eastAsia="de-DE"/>
        </w:rPr>
        <w:t>-Strafe für unreine Annäherung. Wasserbad und Sonnenuntergang als Reinigungsvoraussetzungen. Verbot von Aas und Zerrissenem. Todesstrafe bei Entweihung der göttlichen Anordnungen.</w:t>
      </w:r>
    </w:p>
    <w:p w14:paraId="4CC6231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2) Zugangsrechte zu heiligen Speisen (V. 10-16):</w:t>
      </w:r>
      <w:r w:rsidRPr="000F5B67">
        <w:rPr>
          <w:rFonts w:eastAsia="Times New Roman" w:cs="Times New Roman"/>
          <w:lang w:eastAsia="de-DE"/>
        </w:rPr>
        <w:t xml:space="preserve"> Grundsätzliches Verbot für alle </w:t>
      </w:r>
      <w:r w:rsidRPr="000F5B67">
        <w:rPr>
          <w:rFonts w:eastAsia="Times New Roman" w:cs="Times New Roman"/>
          <w:b/>
          <w:bCs/>
          <w:rtl/>
          <w:lang w:eastAsia="de-DE"/>
        </w:rPr>
        <w:t>זר</w:t>
      </w:r>
      <w:r w:rsidRPr="000F5B67">
        <w:rPr>
          <w:rFonts w:eastAsia="Times New Roman" w:cs="Times New Roman"/>
          <w:rtl/>
          <w:lang w:eastAsia="de-DE"/>
        </w:rPr>
        <w:t xml:space="preserve"> </w:t>
      </w:r>
      <w:r w:rsidRPr="000F5B67">
        <w:rPr>
          <w:rFonts w:eastAsia="Times New Roman" w:cs="Times New Roman"/>
          <w:lang w:eastAsia="de-DE"/>
        </w:rPr>
        <w:t>(Unbefugte) einschließlich Beisassen und Tagelöhnern. Erlaubnis für Sklaven als priesterlichen Vollbesitz. Verlust priesterlicher Essrechte durch Heirat mit Nichtpriestern, Wiedererlaubnis für kinderlose Witwen/Geschiedene bei Rückkehr ins Vaterhaus. Wiedergutmachung für versehentlichen Heiligenverzehr mit 20% Zuschlag. Priesterliche Verantwortung zur Volksbelehrung.</w:t>
      </w:r>
    </w:p>
    <w:p w14:paraId="683DF882" w14:textId="107406E0"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3) Opfertierqualität (V. 17-33):</w:t>
      </w:r>
      <w:r w:rsidRPr="000F5B67">
        <w:rPr>
          <w:rFonts w:eastAsia="Times New Roman" w:cs="Times New Roman"/>
          <w:lang w:eastAsia="de-DE"/>
        </w:rPr>
        <w:t xml:space="preserve"> Universelle Anwendung auf Israeliten und Fremde bei freiwilligen Opfern. Fehlerfreie männliche Tiere als Grundanforderung für </w:t>
      </w:r>
      <w:r w:rsidR="00DE39DD">
        <w:rPr>
          <w:rFonts w:eastAsia="Times New Roman" w:cs="Times New Roman"/>
          <w:lang w:eastAsia="de-DE"/>
        </w:rPr>
        <w:t>Aufsteigeopfer</w:t>
      </w:r>
      <w:r w:rsidRPr="000F5B67">
        <w:rPr>
          <w:rFonts w:eastAsia="Times New Roman" w:cs="Times New Roman"/>
          <w:lang w:eastAsia="de-DE"/>
        </w:rPr>
        <w:t>. Absolute Makelverbote mit systematischer Auflistung (Blindheit, Verletzungen, Verstümmelungen, Geschwüre, Hautkrankheiten). Sonderregelung für Proportionsfehler: erlaubt bei Freiwilligen-, verboten bei Gelübdeopfern. Kastrationsverbot sowohl für Opfer als auch generell im Land. Ausschluss ausländischer Tiere. Mindestalter von acht Tagen nach siebentägiger Säugezeit. Verbot der gleichzeitigen Schlachtung von Mutter und Jungtier. Dankopfer mit strengster Zeitbegrenzung (nur am Opfertag).</w:t>
      </w:r>
    </w:p>
    <w:p w14:paraId="2C737F6D"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lastRenderedPageBreak/>
        <w:t>4) Theologische Zusammenfassung (V. 31-33):</w:t>
      </w:r>
      <w:r w:rsidRPr="000F5B67">
        <w:rPr>
          <w:rFonts w:eastAsia="Times New Roman" w:cs="Times New Roman"/>
          <w:lang w:eastAsia="de-DE"/>
        </w:rPr>
        <w:t xml:space="preserve"> Umfassende Gehorsamsforderung. Zentrale Zielsetzung: Vermeidung der Gottesnamenschändung und Förderung der Gottesheiligung in Israel. Exodus als Begründung aller Heiligkeitsgesetze.</w:t>
      </w:r>
    </w:p>
    <w:p w14:paraId="65EC3729" w14:textId="77777777" w:rsidR="000F5B67" w:rsidRP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Theologische Bedeutung:</w:t>
      </w:r>
      <w:r w:rsidRPr="000F5B67">
        <w:rPr>
          <w:rFonts w:eastAsia="Times New Roman" w:cs="Times New Roman"/>
          <w:lang w:eastAsia="de-DE"/>
        </w:rPr>
        <w:t xml:space="preserve"> Das Kapitel zeigt </w:t>
      </w:r>
      <w:r w:rsidRPr="000F5B67">
        <w:rPr>
          <w:rFonts w:eastAsia="Times New Roman" w:cs="Times New Roman"/>
          <w:b/>
          <w:bCs/>
          <w:lang w:eastAsia="de-DE"/>
        </w:rPr>
        <w:t>Heiligkeit als ganzheitliches System</w:t>
      </w:r>
      <w:r w:rsidRPr="000F5B67">
        <w:rPr>
          <w:rFonts w:eastAsia="Times New Roman" w:cs="Times New Roman"/>
          <w:lang w:eastAsia="de-DE"/>
        </w:rPr>
        <w:t xml:space="preserve"> von priesterlicher Reinheit, korrektem Zugang zu heiligen Gaben und vollkommenen Opfern. Die </w:t>
      </w:r>
      <w:r w:rsidRPr="000F5B67">
        <w:rPr>
          <w:rFonts w:eastAsia="Times New Roman" w:cs="Times New Roman"/>
          <w:b/>
          <w:bCs/>
          <w:lang w:eastAsia="de-DE"/>
        </w:rPr>
        <w:t>Qualitätsanforderungen</w:t>
      </w:r>
      <w:r w:rsidRPr="000F5B67">
        <w:rPr>
          <w:rFonts w:eastAsia="Times New Roman" w:cs="Times New Roman"/>
          <w:lang w:eastAsia="de-DE"/>
        </w:rPr>
        <w:t xml:space="preserve"> spiegeln göttliche Vollkommenheit wider. Die </w:t>
      </w:r>
      <w:r w:rsidRPr="000F5B67">
        <w:rPr>
          <w:rFonts w:eastAsia="Times New Roman" w:cs="Times New Roman"/>
          <w:b/>
          <w:bCs/>
          <w:lang w:eastAsia="de-DE"/>
        </w:rPr>
        <w:t>Zeitbestimmungen</w:t>
      </w:r>
      <w:r w:rsidRPr="000F5B67">
        <w:rPr>
          <w:rFonts w:eastAsia="Times New Roman" w:cs="Times New Roman"/>
          <w:lang w:eastAsia="de-DE"/>
        </w:rPr>
        <w:t xml:space="preserve"> zeigen verschiedene Heiligkeitsgrade bei Opfern.</w:t>
      </w:r>
    </w:p>
    <w:p w14:paraId="320D136F" w14:textId="661D37BE" w:rsidR="000F5B67" w:rsidRDefault="000F5B67" w:rsidP="000F5B67">
      <w:pPr>
        <w:spacing w:before="100" w:beforeAutospacing="1" w:after="100" w:afterAutospacing="1" w:line="240" w:lineRule="auto"/>
        <w:rPr>
          <w:rFonts w:eastAsia="Times New Roman" w:cs="Times New Roman"/>
          <w:lang w:eastAsia="de-DE"/>
        </w:rPr>
      </w:pPr>
      <w:r w:rsidRPr="000F5B67">
        <w:rPr>
          <w:rFonts w:eastAsia="Times New Roman" w:cs="Times New Roman"/>
          <w:b/>
          <w:bCs/>
          <w:lang w:eastAsia="de-DE"/>
        </w:rPr>
        <w:t>Besonderheiten:</w:t>
      </w:r>
      <w:r w:rsidRPr="000F5B67">
        <w:rPr>
          <w:rFonts w:eastAsia="Times New Roman" w:cs="Times New Roman"/>
          <w:lang w:eastAsia="de-DE"/>
        </w:rPr>
        <w:t xml:space="preserve"> Die </w:t>
      </w:r>
      <w:r w:rsidRPr="000F5B67">
        <w:rPr>
          <w:rFonts w:eastAsia="Times New Roman" w:cs="Times New Roman"/>
          <w:b/>
          <w:bCs/>
          <w:lang w:eastAsia="de-DE"/>
        </w:rPr>
        <w:t>Abstufung der Reinheitsanforderungen</w:t>
      </w:r>
      <w:r w:rsidRPr="000F5B67">
        <w:rPr>
          <w:rFonts w:eastAsia="Times New Roman" w:cs="Times New Roman"/>
          <w:lang w:eastAsia="de-DE"/>
        </w:rPr>
        <w:t xml:space="preserve"> für verschiedene Personengruppen. Die </w:t>
      </w:r>
      <w:r w:rsidRPr="000F5B67">
        <w:rPr>
          <w:rFonts w:eastAsia="Times New Roman" w:cs="Times New Roman"/>
          <w:b/>
          <w:bCs/>
          <w:lang w:eastAsia="de-DE"/>
        </w:rPr>
        <w:t>Parallelität zwischen Priester- und Tierqualifikationen</w:t>
      </w:r>
      <w:r w:rsidRPr="000F5B67">
        <w:rPr>
          <w:rFonts w:eastAsia="Times New Roman" w:cs="Times New Roman"/>
          <w:lang w:eastAsia="de-DE"/>
        </w:rPr>
        <w:t xml:space="preserve"> (beide müssen </w:t>
      </w:r>
      <w:r w:rsidRPr="000F5B67">
        <w:rPr>
          <w:rFonts w:eastAsia="Times New Roman" w:cs="Times New Roman"/>
          <w:b/>
          <w:bCs/>
          <w:rtl/>
          <w:lang w:eastAsia="de-DE"/>
        </w:rPr>
        <w:t>תמים</w:t>
      </w:r>
      <w:r w:rsidRPr="000F5B67">
        <w:rPr>
          <w:rFonts w:eastAsia="Times New Roman" w:cs="Times New Roman"/>
          <w:rtl/>
          <w:lang w:eastAsia="de-DE"/>
        </w:rPr>
        <w:t xml:space="preserve"> </w:t>
      </w:r>
      <w:r w:rsidRPr="000F5B67">
        <w:rPr>
          <w:rFonts w:eastAsia="Times New Roman" w:cs="Times New Roman"/>
          <w:lang w:eastAsia="de-DE"/>
        </w:rPr>
        <w:t xml:space="preserve">sein). Die </w:t>
      </w:r>
      <w:r w:rsidRPr="000F5B67">
        <w:rPr>
          <w:rFonts w:eastAsia="Times New Roman" w:cs="Times New Roman"/>
          <w:b/>
          <w:bCs/>
          <w:lang w:eastAsia="de-DE"/>
        </w:rPr>
        <w:t>Integration von Barmherzigkeit</w:t>
      </w:r>
      <w:r w:rsidRPr="000F5B67">
        <w:rPr>
          <w:rFonts w:eastAsia="Times New Roman" w:cs="Times New Roman"/>
          <w:lang w:eastAsia="de-DE"/>
        </w:rPr>
        <w:t xml:space="preserve"> (Mutter-Kind-Schlachtungsverbot, Säugezeit) in die Opfergesetze. Die </w:t>
      </w:r>
      <w:r w:rsidRPr="000F5B67">
        <w:rPr>
          <w:rFonts w:eastAsia="Times New Roman" w:cs="Times New Roman"/>
          <w:b/>
          <w:bCs/>
          <w:lang w:eastAsia="de-DE"/>
        </w:rPr>
        <w:t>universelle Gültigkeit</w:t>
      </w:r>
      <w:r w:rsidRPr="000F5B67">
        <w:rPr>
          <w:rFonts w:eastAsia="Times New Roman" w:cs="Times New Roman"/>
          <w:lang w:eastAsia="de-DE"/>
        </w:rPr>
        <w:t xml:space="preserve"> auch für </w:t>
      </w:r>
      <w:r w:rsidRPr="000F5B67">
        <w:rPr>
          <w:rFonts w:eastAsia="Times New Roman" w:cs="Times New Roman"/>
          <w:b/>
          <w:bCs/>
          <w:rtl/>
          <w:lang w:eastAsia="de-DE"/>
        </w:rPr>
        <w:t>גר</w:t>
      </w:r>
      <w:r w:rsidRPr="000F5B67">
        <w:rPr>
          <w:rFonts w:eastAsia="Times New Roman" w:cs="Times New Roman"/>
          <w:rtl/>
          <w:lang w:eastAsia="de-DE"/>
        </w:rPr>
        <w:t xml:space="preserve"> </w:t>
      </w:r>
      <w:r w:rsidRPr="000F5B67">
        <w:rPr>
          <w:rFonts w:eastAsia="Times New Roman" w:cs="Times New Roman"/>
          <w:lang w:eastAsia="de-DE"/>
        </w:rPr>
        <w:t xml:space="preserve">zeigt Inklusion ansässiger Fremder. Das Kapitel schließt mit der </w:t>
      </w:r>
      <w:r w:rsidRPr="000F5B67">
        <w:rPr>
          <w:rFonts w:eastAsia="Times New Roman" w:cs="Times New Roman"/>
          <w:b/>
          <w:bCs/>
          <w:lang w:eastAsia="de-DE"/>
        </w:rPr>
        <w:t>Gottesheiligung als Ziel</w:t>
      </w:r>
      <w:r w:rsidRPr="000F5B67">
        <w:rPr>
          <w:rFonts w:eastAsia="Times New Roman" w:cs="Times New Roman"/>
          <w:lang w:eastAsia="de-DE"/>
        </w:rPr>
        <w:t xml:space="preserve"> aller Bestimmungen.</w:t>
      </w:r>
    </w:p>
    <w:p w14:paraId="09F06731" w14:textId="40E0138B" w:rsidR="0007678B" w:rsidRPr="000F5B67" w:rsidRDefault="0007678B" w:rsidP="000F5B67">
      <w:pPr>
        <w:spacing w:before="100" w:beforeAutospacing="1" w:after="100" w:afterAutospacing="1" w:line="240" w:lineRule="auto"/>
        <w:rPr>
          <w:rFonts w:eastAsia="Times New Roman" w:cs="Times New Roman"/>
          <w:lang w:eastAsia="de-DE"/>
        </w:rPr>
      </w:pPr>
      <w:r>
        <w:rPr>
          <w:rStyle w:val="Fett"/>
        </w:rPr>
        <w:t>Textkritische Beobachtung</w:t>
      </w:r>
      <w:r>
        <w:t xml:space="preserve">: Levitikus 22 zeigt in der LXX eine systematische Präzisierung der priesterlichen Reinheitsvorschriften und Opferbestimmungen. Die griechischen Übersetzer verwendeten spezifische medizinische und veterinärmedizinische Terminologie für körperliche Gebrechen bei Menschen und Tieren. Besonders bemerkenswert ist die theologische Verstärkung in Vers 32, wo die göttliche Heiligung betont wird. </w:t>
      </w:r>
      <w:r w:rsidRPr="00D86F49">
        <w:rPr>
          <w:b/>
          <w:bCs/>
        </w:rPr>
        <w:t>Die LXX</w:t>
      </w:r>
      <w:r>
        <w:t xml:space="preserve"> macht komplexe hebräische Begriffe durch etablierte griechische Fachterminologie zugänglicher, während sie die rituellen und ethischen Kernanforderungen beibehält.</w:t>
      </w:r>
    </w:p>
    <w:p w14:paraId="6081E55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w:t>
      </w:r>
    </w:p>
    <w:p w14:paraId="7248429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592FDB6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1C01912F"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4AA8E5C">
          <v:rect id="_x0000_i1682" style="width:0;height:1.5pt" o:hralign="center" o:hrstd="t" o:hr="t" fillcolor="#a0a0a0" stroked="f"/>
        </w:pict>
      </w:r>
    </w:p>
    <w:p w14:paraId="032B6E7A" w14:textId="3A0D1859"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 xml:space="preserve">als Offenbarungseinleitung für das Festkalenderkapitel. </w:t>
      </w:r>
      <w:r w:rsidRPr="004637CC">
        <w:rPr>
          <w:rFonts w:eastAsia="Times New Roman" w:cs="Times New Roman"/>
          <w:b/>
          <w:bCs/>
          <w:rtl/>
          <w:lang w:eastAsia="de-DE"/>
        </w:rPr>
        <w:t>וידבר</w:t>
      </w:r>
      <w:r w:rsidRPr="004637CC">
        <w:rPr>
          <w:rFonts w:eastAsia="Times New Roman" w:cs="Times New Roman"/>
          <w:rtl/>
          <w:lang w:eastAsia="de-DE"/>
        </w:rPr>
        <w:t xml:space="preserve"> </w:t>
      </w:r>
      <w:r w:rsidRPr="004637CC">
        <w:rPr>
          <w:rFonts w:eastAsia="Times New Roman" w:cs="Times New Roman"/>
          <w:lang w:eastAsia="de-DE"/>
        </w:rPr>
        <w:t xml:space="preserve">(und er redete) im Piel-Imperfekt mit Waw-Konsekutiv - das Piel zeigt intensives, autoritatives göttliches Sprechen. </w:t>
      </w:r>
      <w:r w:rsidRPr="004637CC">
        <w:rPr>
          <w:rFonts w:eastAsia="Times New Roman" w:cs="Times New Roman"/>
          <w:b/>
          <w:bCs/>
          <w:rtl/>
          <w:lang w:eastAsia="de-DE"/>
        </w:rPr>
        <w:t>לאמר</w:t>
      </w:r>
      <w:r w:rsidRPr="004637CC">
        <w:rPr>
          <w:rFonts w:eastAsia="Times New Roman" w:cs="Times New Roman"/>
          <w:rtl/>
          <w:lang w:eastAsia="de-DE"/>
        </w:rPr>
        <w:t xml:space="preserve"> </w:t>
      </w:r>
      <w:r w:rsidRPr="004637CC">
        <w:rPr>
          <w:rFonts w:eastAsia="Times New Roman" w:cs="Times New Roman"/>
          <w:lang w:eastAsia="de-DE"/>
        </w:rPr>
        <w:t>(sagend) als Infinitiv-</w:t>
      </w:r>
      <w:r w:rsidR="00DE39DD">
        <w:rPr>
          <w:rFonts w:eastAsia="Times New Roman" w:cs="Times New Roman"/>
          <w:lang w:eastAsia="de-DE"/>
        </w:rPr>
        <w:t>Constructus</w:t>
      </w:r>
      <w:r w:rsidRPr="004637CC">
        <w:rPr>
          <w:rFonts w:eastAsia="Times New Roman" w:cs="Times New Roman"/>
          <w:lang w:eastAsia="de-DE"/>
        </w:rPr>
        <w:t xml:space="preserve"> von </w:t>
      </w:r>
      <w:r w:rsidRPr="004637CC">
        <w:rPr>
          <w:rFonts w:eastAsia="Times New Roman" w:cs="Times New Roman"/>
          <w:b/>
          <w:bCs/>
          <w:rtl/>
          <w:lang w:eastAsia="de-DE"/>
        </w:rPr>
        <w:t>אמר</w:t>
      </w:r>
      <w:r w:rsidRPr="004637CC">
        <w:rPr>
          <w:rFonts w:eastAsia="Times New Roman" w:cs="Times New Roman"/>
          <w:rtl/>
          <w:lang w:eastAsia="de-DE"/>
        </w:rPr>
        <w:t xml:space="preserve"> </w:t>
      </w:r>
      <w:r w:rsidRPr="004637CC">
        <w:rPr>
          <w:rFonts w:eastAsia="Times New Roman" w:cs="Times New Roman"/>
          <w:lang w:eastAsia="de-DE"/>
        </w:rPr>
        <w:t>leitet die umfassenden Festvorschriften ein.</w:t>
      </w:r>
    </w:p>
    <w:p w14:paraId="3439ECD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וידבר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ἐλάλησεν</w:t>
      </w:r>
      <w:proofErr w:type="spellEnd"/>
      <w:r w:rsidRPr="004637CC">
        <w:rPr>
          <w:rFonts w:eastAsia="Times New Roman" w:cs="Times New Roman"/>
          <w:lang w:eastAsia="de-DE"/>
        </w:rPr>
        <w:t xml:space="preserve"> (er sprach) und </w:t>
      </w:r>
      <w:r w:rsidRPr="004637CC">
        <w:rPr>
          <w:rFonts w:eastAsia="Times New Roman" w:cs="Times New Roman"/>
          <w:b/>
          <w:bCs/>
          <w:rtl/>
          <w:lang w:eastAsia="de-DE"/>
        </w:rPr>
        <w:t>לאמר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λέγων</w:t>
      </w:r>
      <w:proofErr w:type="spellEnd"/>
      <w:r w:rsidRPr="004637CC">
        <w:rPr>
          <w:rFonts w:eastAsia="Times New Roman" w:cs="Times New Roman"/>
          <w:lang w:eastAsia="de-DE"/>
        </w:rPr>
        <w:t xml:space="preserve"> (sagend).</w:t>
      </w:r>
    </w:p>
    <w:p w14:paraId="2D40395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Offenbarungseinleitung: göttliches autoritatives Sprechen + Empfängeridentifikation + Redeeinleitung.</w:t>
      </w:r>
    </w:p>
    <w:p w14:paraId="13E3CC4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das zentrale Kapitel über den israelitischen Festkalender ein.</w:t>
      </w:r>
    </w:p>
    <w:p w14:paraId="25201F8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w:t>
      </w:r>
    </w:p>
    <w:p w14:paraId="5C65405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דַּבֵּ֞ר אֶל־בְּנֵ֤י יִשְׂרָאֵל֙ וְאָמַרְתָּ֣ אֲלֵהֶ֔ם מוֹעֲדֵ֣י יְהוָ֔ה אֲשֶׁר־תִּקְרְא֥וּ אֹתָ֖ם מִקְרָאֵ֣י קֹ֑דֶשׁ אֵ֥לֶּה הֵ֖ם מוֹעֲדָֽי׃</w:t>
      </w:r>
    </w:p>
    <w:p w14:paraId="33618D4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Deutsch:</w:t>
      </w:r>
      <w:r w:rsidRPr="004637CC">
        <w:rPr>
          <w:rFonts w:eastAsia="Times New Roman" w:cs="Times New Roman"/>
          <w:lang w:eastAsia="de-DE"/>
        </w:rPr>
        <w:t xml:space="preserve"> Rede zu den Kindern Israels und sage ihnen: Die Feste des Ewigen, die ihr als heilige Versammlungen ausrufen sollt, meine Feste sind diese:</w:t>
      </w:r>
    </w:p>
    <w:p w14:paraId="40762141"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E2451D7">
          <v:rect id="_x0000_i1683" style="width:0;height:1.5pt" o:hralign="center" o:hrstd="t" o:hr="t" fillcolor="#a0a0a0" stroked="f"/>
        </w:pict>
      </w:r>
    </w:p>
    <w:p w14:paraId="0EE69E7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דבר אל־בני ישראל ואמרת אלהם מועדי יהוה אשר־תקראו אתם מקראי קדש אלה הם מועדי</w:t>
      </w:r>
      <w:r w:rsidRPr="004637CC">
        <w:rPr>
          <w:rFonts w:eastAsia="Times New Roman" w:cs="Times New Roman"/>
          <w:rtl/>
          <w:lang w:eastAsia="de-DE"/>
        </w:rPr>
        <w:t xml:space="preserve"> </w:t>
      </w:r>
      <w:r w:rsidRPr="004637CC">
        <w:rPr>
          <w:rFonts w:eastAsia="Times New Roman" w:cs="Times New Roman"/>
          <w:lang w:eastAsia="de-DE"/>
        </w:rPr>
        <w:t xml:space="preserve">etabliert die göttlichen Feste als zentrale Institution. </w:t>
      </w:r>
      <w:r w:rsidRPr="004637CC">
        <w:rPr>
          <w:rFonts w:eastAsia="Times New Roman" w:cs="Times New Roman"/>
          <w:b/>
          <w:bCs/>
          <w:rtl/>
          <w:lang w:eastAsia="de-DE"/>
        </w:rPr>
        <w:t>דבר אל־בני ישראל ואמרת אלהם</w:t>
      </w:r>
      <w:r w:rsidRPr="004637CC">
        <w:rPr>
          <w:rFonts w:eastAsia="Times New Roman" w:cs="Times New Roman"/>
          <w:rtl/>
          <w:lang w:eastAsia="de-DE"/>
        </w:rPr>
        <w:t xml:space="preserve"> </w:t>
      </w:r>
      <w:r w:rsidRPr="004637CC">
        <w:rPr>
          <w:rFonts w:eastAsia="Times New Roman" w:cs="Times New Roman"/>
          <w:lang w:eastAsia="de-DE"/>
        </w:rPr>
        <w:t>(rede zu den Kindern Israels und sage ihnen) zeigt die Adressierung des ganzen Volkes.</w:t>
      </w:r>
    </w:p>
    <w:p w14:paraId="405B267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(die Feste des Ewigen) -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(Feste) von </w:t>
      </w:r>
      <w:r w:rsidRPr="004637CC">
        <w:rPr>
          <w:rFonts w:eastAsia="Times New Roman" w:cs="Times New Roman"/>
          <w:b/>
          <w:bCs/>
          <w:rtl/>
          <w:lang w:eastAsia="de-DE"/>
        </w:rPr>
        <w:t>יעד</w:t>
      </w:r>
      <w:r w:rsidRPr="004637CC">
        <w:rPr>
          <w:rFonts w:eastAsia="Times New Roman" w:cs="Times New Roman"/>
          <w:rtl/>
          <w:lang w:eastAsia="de-DE"/>
        </w:rPr>
        <w:t xml:space="preserve"> </w:t>
      </w:r>
      <w:r w:rsidRPr="004637CC">
        <w:rPr>
          <w:rFonts w:eastAsia="Times New Roman" w:cs="Times New Roman"/>
          <w:lang w:eastAsia="de-DE"/>
        </w:rPr>
        <w:t xml:space="preserve">(bestimmen/verabreden) zeigt festgesetzte Zeiten. </w:t>
      </w:r>
      <w:r w:rsidRPr="004637CC">
        <w:rPr>
          <w:rFonts w:eastAsia="Times New Roman" w:cs="Times New Roman"/>
          <w:b/>
          <w:bCs/>
          <w:rtl/>
          <w:lang w:eastAsia="de-DE"/>
        </w:rPr>
        <w:t>יהוה</w:t>
      </w:r>
      <w:r w:rsidRPr="004637CC">
        <w:rPr>
          <w:rFonts w:eastAsia="Times New Roman" w:cs="Times New Roman"/>
          <w:rtl/>
          <w:lang w:eastAsia="de-DE"/>
        </w:rPr>
        <w:t xml:space="preserve"> </w:t>
      </w:r>
      <w:r w:rsidRPr="004637CC">
        <w:rPr>
          <w:rFonts w:eastAsia="Times New Roman" w:cs="Times New Roman"/>
          <w:lang w:eastAsia="de-DE"/>
        </w:rPr>
        <w:t>zeigt göttlichen Besitz der Feste.</w:t>
      </w:r>
    </w:p>
    <w:p w14:paraId="03E02D4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אשר־תקראו אתם מקראי קדש</w:t>
      </w:r>
      <w:r w:rsidRPr="004637CC">
        <w:rPr>
          <w:rFonts w:eastAsia="Times New Roman" w:cs="Times New Roman"/>
          <w:rtl/>
          <w:lang w:eastAsia="de-DE"/>
        </w:rPr>
        <w:t xml:space="preserve"> </w:t>
      </w:r>
      <w:r w:rsidRPr="004637CC">
        <w:rPr>
          <w:rFonts w:eastAsia="Times New Roman" w:cs="Times New Roman"/>
          <w:lang w:eastAsia="de-DE"/>
        </w:rPr>
        <w:t xml:space="preserve">(die ihr als heilige Versammlungen ausrufen sollt) - </w:t>
      </w:r>
      <w:r w:rsidRPr="004637CC">
        <w:rPr>
          <w:rFonts w:eastAsia="Times New Roman" w:cs="Times New Roman"/>
          <w:b/>
          <w:bCs/>
          <w:rtl/>
          <w:lang w:eastAsia="de-DE"/>
        </w:rPr>
        <w:t>תקראו</w:t>
      </w:r>
      <w:r w:rsidRPr="004637CC">
        <w:rPr>
          <w:rFonts w:eastAsia="Times New Roman" w:cs="Times New Roman"/>
          <w:rtl/>
          <w:lang w:eastAsia="de-DE"/>
        </w:rPr>
        <w:t xml:space="preserve"> </w:t>
      </w:r>
      <w:r w:rsidRPr="004637CC">
        <w:rPr>
          <w:rFonts w:eastAsia="Times New Roman" w:cs="Times New Roman"/>
          <w:lang w:eastAsia="de-DE"/>
        </w:rPr>
        <w:t xml:space="preserve">(sollt ihr ausrufen) im Qal-Imperfekt von </w:t>
      </w:r>
      <w:r w:rsidRPr="004637CC">
        <w:rPr>
          <w:rFonts w:eastAsia="Times New Roman" w:cs="Times New Roman"/>
          <w:b/>
          <w:bCs/>
          <w:rtl/>
          <w:lang w:eastAsia="de-DE"/>
        </w:rPr>
        <w:t>קרא</w:t>
      </w:r>
      <w:r w:rsidRPr="004637CC">
        <w:rPr>
          <w:rFonts w:eastAsia="Times New Roman" w:cs="Times New Roman"/>
          <w:rtl/>
          <w:lang w:eastAsia="de-DE"/>
        </w:rPr>
        <w:t xml:space="preserve"> </w:t>
      </w:r>
      <w:r w:rsidRPr="004637CC">
        <w:rPr>
          <w:rFonts w:eastAsia="Times New Roman" w:cs="Times New Roman"/>
          <w:lang w:eastAsia="de-DE"/>
        </w:rPr>
        <w:t xml:space="preserve">zeigt Proklamationspflicht.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(heilige Versammlungen) zeigt den Charakter der Feste.</w:t>
      </w:r>
    </w:p>
    <w:p w14:paraId="4A36BD0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אלה הם מועדי</w:t>
      </w:r>
      <w:r w:rsidRPr="004637CC">
        <w:rPr>
          <w:rFonts w:eastAsia="Times New Roman" w:cs="Times New Roman"/>
          <w:rtl/>
          <w:lang w:eastAsia="de-DE"/>
        </w:rPr>
        <w:t xml:space="preserve"> </w:t>
      </w:r>
      <w:r w:rsidRPr="004637CC">
        <w:rPr>
          <w:rFonts w:eastAsia="Times New Roman" w:cs="Times New Roman"/>
          <w:lang w:eastAsia="de-DE"/>
        </w:rPr>
        <w:t xml:space="preserve">(meine Feste sind diese) - </w:t>
      </w:r>
      <w:r w:rsidRPr="004637CC">
        <w:rPr>
          <w:rFonts w:eastAsia="Times New Roman" w:cs="Times New Roman"/>
          <w:b/>
          <w:bCs/>
          <w:rtl/>
          <w:lang w:eastAsia="de-DE"/>
        </w:rPr>
        <w:t>אלה</w:t>
      </w:r>
      <w:r w:rsidRPr="004637CC">
        <w:rPr>
          <w:rFonts w:eastAsia="Times New Roman" w:cs="Times New Roman"/>
          <w:rtl/>
          <w:lang w:eastAsia="de-DE"/>
        </w:rPr>
        <w:t xml:space="preserve"> </w:t>
      </w:r>
      <w:r w:rsidRPr="004637CC">
        <w:rPr>
          <w:rFonts w:eastAsia="Times New Roman" w:cs="Times New Roman"/>
          <w:lang w:eastAsia="de-DE"/>
        </w:rPr>
        <w:t xml:space="preserve">(diese) zeigt auf die folgende Auflistung. </w:t>
      </w:r>
      <w:r w:rsidRPr="004637CC">
        <w:rPr>
          <w:rFonts w:eastAsia="Times New Roman" w:cs="Times New Roman"/>
          <w:b/>
          <w:bCs/>
          <w:rtl/>
          <w:lang w:eastAsia="de-DE"/>
        </w:rPr>
        <w:t>מועדי</w:t>
      </w:r>
      <w:r w:rsidRPr="004637CC">
        <w:rPr>
          <w:rFonts w:eastAsia="Times New Roman" w:cs="Times New Roman"/>
          <w:rtl/>
          <w:lang w:eastAsia="de-DE"/>
        </w:rPr>
        <w:t xml:space="preserve"> </w:t>
      </w:r>
      <w:r w:rsidRPr="004637CC">
        <w:rPr>
          <w:rFonts w:eastAsia="Times New Roman" w:cs="Times New Roman"/>
          <w:lang w:eastAsia="de-DE"/>
        </w:rPr>
        <w:t>(meine Feste) mit göttlichem Suffix betont erneut den göttlichen Besitz.</w:t>
      </w:r>
    </w:p>
    <w:p w14:paraId="30FEE8D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vs. </w:t>
      </w:r>
      <w:r w:rsidRPr="004637CC">
        <w:rPr>
          <w:rFonts w:eastAsia="Times New Roman" w:cs="Times New Roman"/>
          <w:b/>
          <w:bCs/>
          <w:rtl/>
          <w:lang w:eastAsia="de-DE"/>
        </w:rPr>
        <w:t>מועדי</w:t>
      </w:r>
      <w:r w:rsidRPr="004637CC">
        <w:rPr>
          <w:rFonts w:eastAsia="Times New Roman" w:cs="Times New Roman"/>
          <w:rtl/>
          <w:lang w:eastAsia="de-DE"/>
        </w:rPr>
        <w:t xml:space="preserve"> </w:t>
      </w:r>
      <w:r w:rsidRPr="004637CC">
        <w:rPr>
          <w:rFonts w:eastAsia="Times New Roman" w:cs="Times New Roman"/>
          <w:lang w:eastAsia="de-DE"/>
        </w:rPr>
        <w:t xml:space="preserve">zeigt doppelte Besitzbetonung. </w:t>
      </w:r>
      <w:r w:rsidRPr="004637CC">
        <w:rPr>
          <w:rFonts w:eastAsia="Times New Roman" w:cs="Times New Roman"/>
          <w:b/>
          <w:bCs/>
          <w:rtl/>
          <w:lang w:eastAsia="de-DE"/>
        </w:rPr>
        <w:t>תקראו</w:t>
      </w:r>
      <w:r w:rsidRPr="004637CC">
        <w:rPr>
          <w:rFonts w:eastAsia="Times New Roman" w:cs="Times New Roman"/>
          <w:rtl/>
          <w:lang w:eastAsia="de-DE"/>
        </w:rPr>
        <w:t xml:space="preserve"> </w:t>
      </w:r>
      <w:r w:rsidRPr="004637CC">
        <w:rPr>
          <w:rFonts w:eastAsia="Times New Roman" w:cs="Times New Roman"/>
          <w:lang w:eastAsia="de-DE"/>
        </w:rPr>
        <w:t xml:space="preserve">zeigt menschliche Proklamationspflicht.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zeigt heiligen Versammlungscharakter.</w:t>
      </w:r>
    </w:p>
    <w:p w14:paraId="3E3799DC" w14:textId="349707E9"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מועדי</w:t>
      </w:r>
      <w:r w:rsidR="00775F21">
        <w:t xml:space="preserve"> (</w:t>
      </w:r>
      <w:proofErr w:type="spellStart"/>
      <w:r w:rsidR="00775F21">
        <w:t>mo'adei</w:t>
      </w:r>
      <w:proofErr w:type="spellEnd"/>
      <w:r w:rsidR="00775F21">
        <w:t xml:space="preserve"> - "Festzeiten") als </w:t>
      </w:r>
      <w:proofErr w:type="spellStart"/>
      <w:r w:rsidR="00775F21">
        <w:t>ἑορτ</w:t>
      </w:r>
      <w:proofErr w:type="spellEnd"/>
      <w:r w:rsidR="00775F21">
        <w:t xml:space="preserve">αί (Feste) und </w:t>
      </w:r>
      <w:r w:rsidR="00775F21">
        <w:rPr>
          <w:rtl/>
        </w:rPr>
        <w:t>מקראי קדש</w:t>
      </w:r>
      <w:r w:rsidR="00775F21">
        <w:t xml:space="preserve"> (</w:t>
      </w:r>
      <w:proofErr w:type="spellStart"/>
      <w:r w:rsidR="00775F21">
        <w:t>miqra'ei</w:t>
      </w:r>
      <w:proofErr w:type="spellEnd"/>
      <w:r w:rsidR="00775F21">
        <w:t xml:space="preserve"> </w:t>
      </w:r>
      <w:proofErr w:type="spellStart"/>
      <w:r w:rsidR="00775F21">
        <w:t>qodesh</w:t>
      </w:r>
      <w:proofErr w:type="spellEnd"/>
      <w:r w:rsidR="00775F21">
        <w:t xml:space="preserve"> - "heilige Versammlungen") als </w:t>
      </w:r>
      <w:proofErr w:type="spellStart"/>
      <w:r w:rsidR="00775F21">
        <w:t>κλητὰς</w:t>
      </w:r>
      <w:proofErr w:type="spellEnd"/>
      <w:r w:rsidR="00775F21">
        <w:t xml:space="preserve"> </w:t>
      </w:r>
      <w:proofErr w:type="spellStart"/>
      <w:r w:rsidR="00775F21">
        <w:t>ἁγί</w:t>
      </w:r>
      <w:proofErr w:type="spellEnd"/>
      <w:r w:rsidR="00775F21">
        <w:t>ας (heilige Berufungen).</w:t>
      </w:r>
    </w:p>
    <w:p w14:paraId="76165C4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Fest-Grundlegung: Volks-Adressierung + göttliche Fest-Bezeichnung + Proklamationspflicht + heiliger Versammlungscharakter + göttliche Besitzbetonung.</w:t>
      </w:r>
    </w:p>
    <w:p w14:paraId="52DEAA9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die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als göttlich bestimmte, vom Volk auszurufende heilige Versammlungen.</w:t>
      </w:r>
    </w:p>
    <w:p w14:paraId="43444A7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w:t>
      </w:r>
    </w:p>
    <w:p w14:paraId="2DE878C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שֵׁ֣שֶׁת יָמִים֮ תֵּעָשֶׂ֣ה מְלָאכָה֒ וּבַיּ֣וֹם הַשְּׁבִיעִ֗י שַׁבַּ֤ת שַׁבָּתוֹן֙ מִקְרָא־קֹ֔דֶשׁ כָּל־מְלָאכָ֖ה לֹ֣א תַעֲשׂ֑וּ שַׁבָּ֥ת הִוא֙ לַֽיהוָ֔ה בְּכֹ֖ל מֽוֹשְׁבֹתֵיכֶֽם׃</w:t>
      </w:r>
    </w:p>
    <w:p w14:paraId="4A6DB50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Sechs Tage soll Arbeit getan werden, aber am siebten Tag ist ein Schabbat der Ruhe, eine heilige Versammlung; keinerlei Arbeit sollt ihr tun; es ist ein Schabbat für den Ewigen in allen euren Wohnsitzen.</w:t>
      </w:r>
    </w:p>
    <w:p w14:paraId="6DC65509"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2646698">
          <v:rect id="_x0000_i1684" style="width:0;height:1.5pt" o:hralign="center" o:hrstd="t" o:hr="t" fillcolor="#a0a0a0" stroked="f"/>
        </w:pict>
      </w:r>
    </w:p>
    <w:p w14:paraId="6CB91A6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ששת ימים תעשה מלאכה וביום השביעי שבת שבתון מקרא־קדש כל־מלאכה לא תעשו שבת הוא ליהוה בכל מושבתיכם</w:t>
      </w:r>
      <w:r w:rsidRPr="004637CC">
        <w:rPr>
          <w:rFonts w:eastAsia="Times New Roman" w:cs="Times New Roman"/>
          <w:rtl/>
          <w:lang w:eastAsia="de-DE"/>
        </w:rPr>
        <w:t xml:space="preserve"> </w:t>
      </w:r>
      <w:r w:rsidRPr="004637CC">
        <w:rPr>
          <w:rFonts w:eastAsia="Times New Roman" w:cs="Times New Roman"/>
          <w:lang w:eastAsia="de-DE"/>
        </w:rPr>
        <w:t xml:space="preserve">stellt den wöchentlichen Schabbat an die Spitze der Feste. </w:t>
      </w:r>
      <w:r w:rsidRPr="004637CC">
        <w:rPr>
          <w:rFonts w:eastAsia="Times New Roman" w:cs="Times New Roman"/>
          <w:b/>
          <w:bCs/>
          <w:rtl/>
          <w:lang w:eastAsia="de-DE"/>
        </w:rPr>
        <w:t>ששת ימים תעשה מלאכה</w:t>
      </w:r>
      <w:r w:rsidRPr="004637CC">
        <w:rPr>
          <w:rFonts w:eastAsia="Times New Roman" w:cs="Times New Roman"/>
          <w:rtl/>
          <w:lang w:eastAsia="de-DE"/>
        </w:rPr>
        <w:t xml:space="preserve"> </w:t>
      </w:r>
      <w:r w:rsidRPr="004637CC">
        <w:rPr>
          <w:rFonts w:eastAsia="Times New Roman" w:cs="Times New Roman"/>
          <w:lang w:eastAsia="de-DE"/>
        </w:rPr>
        <w:t xml:space="preserve">(sechs Tage soll Arbeit getan werden) - </w:t>
      </w:r>
      <w:r w:rsidRPr="004637CC">
        <w:rPr>
          <w:rFonts w:eastAsia="Times New Roman" w:cs="Times New Roman"/>
          <w:b/>
          <w:bCs/>
          <w:rtl/>
          <w:lang w:eastAsia="de-DE"/>
        </w:rPr>
        <w:t>ששת ימים</w:t>
      </w:r>
      <w:r w:rsidRPr="004637CC">
        <w:rPr>
          <w:rFonts w:eastAsia="Times New Roman" w:cs="Times New Roman"/>
          <w:rtl/>
          <w:lang w:eastAsia="de-DE"/>
        </w:rPr>
        <w:t xml:space="preserve"> </w:t>
      </w:r>
      <w:r w:rsidRPr="004637CC">
        <w:rPr>
          <w:rFonts w:eastAsia="Times New Roman" w:cs="Times New Roman"/>
          <w:lang w:eastAsia="de-DE"/>
        </w:rPr>
        <w:t xml:space="preserve">(sechs Tage) entspricht Ex 20,9. </w:t>
      </w:r>
      <w:r w:rsidRPr="004637CC">
        <w:rPr>
          <w:rFonts w:eastAsia="Times New Roman" w:cs="Times New Roman"/>
          <w:b/>
          <w:bCs/>
          <w:rtl/>
          <w:lang w:eastAsia="de-DE"/>
        </w:rPr>
        <w:t>תעשה מלאכה</w:t>
      </w:r>
      <w:r w:rsidRPr="004637CC">
        <w:rPr>
          <w:rFonts w:eastAsia="Times New Roman" w:cs="Times New Roman"/>
          <w:rtl/>
          <w:lang w:eastAsia="de-DE"/>
        </w:rPr>
        <w:t xml:space="preserve"> </w:t>
      </w:r>
      <w:r w:rsidRPr="004637CC">
        <w:rPr>
          <w:rFonts w:eastAsia="Times New Roman" w:cs="Times New Roman"/>
          <w:lang w:eastAsia="de-DE"/>
        </w:rPr>
        <w:t>(soll Arbeit getan werden) im Nifal-Imperfekt zeigt erlaubte Werktätigkeit.</w:t>
      </w:r>
    </w:p>
    <w:p w14:paraId="1436BD0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וביום השביעי שבת שבתון מקרא־קדש</w:t>
      </w:r>
      <w:r w:rsidRPr="004637CC">
        <w:rPr>
          <w:rFonts w:eastAsia="Times New Roman" w:cs="Times New Roman"/>
          <w:rtl/>
          <w:lang w:eastAsia="de-DE"/>
        </w:rPr>
        <w:t xml:space="preserve"> </w:t>
      </w:r>
      <w:r w:rsidRPr="004637CC">
        <w:rPr>
          <w:rFonts w:eastAsia="Times New Roman" w:cs="Times New Roman"/>
          <w:lang w:eastAsia="de-DE"/>
        </w:rPr>
        <w:t xml:space="preserve">(aber am siebten Tag ist ein Schabbat der Ruhe, eine heilige Versammlung) - </w:t>
      </w: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 xml:space="preserve">als verstärkte Formulierung zeigt absolute Ruhe.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entspricht V. 2 und zeigt den Versammlungscharakter.</w:t>
      </w:r>
    </w:p>
    <w:p w14:paraId="12FFA19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כל־מלאכה לא תעשו</w:t>
      </w:r>
      <w:r w:rsidRPr="004637CC">
        <w:rPr>
          <w:rFonts w:eastAsia="Times New Roman" w:cs="Times New Roman"/>
          <w:rtl/>
          <w:lang w:eastAsia="de-DE"/>
        </w:rPr>
        <w:t xml:space="preserve"> </w:t>
      </w:r>
      <w:r w:rsidRPr="004637CC">
        <w:rPr>
          <w:rFonts w:eastAsia="Times New Roman" w:cs="Times New Roman"/>
          <w:lang w:eastAsia="de-DE"/>
        </w:rPr>
        <w:t xml:space="preserve">(keinerlei Arbeit sollt ihr tun) -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(jede Arbeit) zeigt universelles Arbeitsverbot. </w:t>
      </w:r>
      <w:r w:rsidRPr="004637CC">
        <w:rPr>
          <w:rFonts w:eastAsia="Times New Roman" w:cs="Times New Roman"/>
          <w:b/>
          <w:bCs/>
          <w:rtl/>
          <w:lang w:eastAsia="de-DE"/>
        </w:rPr>
        <w:t>שבת הוא ליהוה בכל מושבתיכם</w:t>
      </w:r>
      <w:r w:rsidRPr="004637CC">
        <w:rPr>
          <w:rFonts w:eastAsia="Times New Roman" w:cs="Times New Roman"/>
          <w:rtl/>
          <w:lang w:eastAsia="de-DE"/>
        </w:rPr>
        <w:t xml:space="preserve"> </w:t>
      </w:r>
      <w:r w:rsidRPr="004637CC">
        <w:rPr>
          <w:rFonts w:eastAsia="Times New Roman" w:cs="Times New Roman"/>
          <w:lang w:eastAsia="de-DE"/>
        </w:rPr>
        <w:t xml:space="preserve">(es ist ein Schabbat für den Ewigen in allen euren Wohnsitzen) - </w:t>
      </w:r>
      <w:r w:rsidRPr="004637CC">
        <w:rPr>
          <w:rFonts w:eastAsia="Times New Roman" w:cs="Times New Roman"/>
          <w:b/>
          <w:bCs/>
          <w:rtl/>
          <w:lang w:eastAsia="de-DE"/>
        </w:rPr>
        <w:t>ליהוה</w:t>
      </w:r>
      <w:r w:rsidRPr="004637CC">
        <w:rPr>
          <w:rFonts w:eastAsia="Times New Roman" w:cs="Times New Roman"/>
          <w:rtl/>
          <w:lang w:eastAsia="de-DE"/>
        </w:rPr>
        <w:t xml:space="preserve"> </w:t>
      </w:r>
      <w:r w:rsidRPr="004637CC">
        <w:rPr>
          <w:rFonts w:eastAsia="Times New Roman" w:cs="Times New Roman"/>
          <w:lang w:eastAsia="de-DE"/>
        </w:rPr>
        <w:t xml:space="preserve">zeigt göttlichen Bezug. </w:t>
      </w:r>
      <w:r w:rsidRPr="004637CC">
        <w:rPr>
          <w:rFonts w:eastAsia="Times New Roman" w:cs="Times New Roman"/>
          <w:b/>
          <w:bCs/>
          <w:rtl/>
          <w:lang w:eastAsia="de-DE"/>
        </w:rPr>
        <w:t>בכל מושבתיכם</w:t>
      </w:r>
      <w:r w:rsidRPr="004637CC">
        <w:rPr>
          <w:rFonts w:eastAsia="Times New Roman" w:cs="Times New Roman"/>
          <w:rtl/>
          <w:lang w:eastAsia="de-DE"/>
        </w:rPr>
        <w:t xml:space="preserve"> </w:t>
      </w:r>
      <w:r w:rsidRPr="004637CC">
        <w:rPr>
          <w:rFonts w:eastAsia="Times New Roman" w:cs="Times New Roman"/>
          <w:lang w:eastAsia="de-DE"/>
        </w:rPr>
        <w:t>(in allen euren Wohnsitzen) zeigt universelle örtliche Gültigkeit.</w:t>
      </w:r>
    </w:p>
    <w:p w14:paraId="73E81AF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 xml:space="preserve">als Superlativ-Formulierung zeigt höchste Ruheintensität.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verbindet den Schabbat mit den </w:t>
      </w:r>
      <w:r w:rsidRPr="004637CC">
        <w:rPr>
          <w:rFonts w:eastAsia="Times New Roman" w:cs="Times New Roman"/>
          <w:b/>
          <w:bCs/>
          <w:rtl/>
          <w:lang w:eastAsia="de-DE"/>
        </w:rPr>
        <w:t>מועדים</w:t>
      </w:r>
      <w:r w:rsidRPr="004637CC">
        <w:rPr>
          <w:rFonts w:eastAsia="Times New Roman" w:cs="Times New Roman"/>
          <w:lang w:eastAsia="de-DE"/>
        </w:rPr>
        <w:t xml:space="preserve">. </w:t>
      </w:r>
      <w:r w:rsidRPr="004637CC">
        <w:rPr>
          <w:rFonts w:eastAsia="Times New Roman" w:cs="Times New Roman"/>
          <w:b/>
          <w:bCs/>
          <w:rtl/>
          <w:lang w:eastAsia="de-DE"/>
        </w:rPr>
        <w:t>בכל מושבתיכם</w:t>
      </w:r>
      <w:r w:rsidRPr="004637CC">
        <w:rPr>
          <w:rFonts w:eastAsia="Times New Roman" w:cs="Times New Roman"/>
          <w:rtl/>
          <w:lang w:eastAsia="de-DE"/>
        </w:rPr>
        <w:t xml:space="preserve"> </w:t>
      </w:r>
      <w:r w:rsidRPr="004637CC">
        <w:rPr>
          <w:rFonts w:eastAsia="Times New Roman" w:cs="Times New Roman"/>
          <w:lang w:eastAsia="de-DE"/>
        </w:rPr>
        <w:t>zeigt dezentrale Feier im Gegensatz zu zentralen Tempelfesten.</w:t>
      </w:r>
    </w:p>
    <w:p w14:paraId="2A5E62A6" w14:textId="0A96B4BC"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שבת שבתון</w:t>
      </w:r>
      <w:r w:rsidR="00775F21">
        <w:t xml:space="preserve"> (</w:t>
      </w:r>
      <w:proofErr w:type="spellStart"/>
      <w:r w:rsidR="00775F21">
        <w:t>shabbat</w:t>
      </w:r>
      <w:proofErr w:type="spellEnd"/>
      <w:r w:rsidR="00775F21">
        <w:t xml:space="preserve"> </w:t>
      </w:r>
      <w:proofErr w:type="spellStart"/>
      <w:r w:rsidR="00775F21">
        <w:t>shabbaton</w:t>
      </w:r>
      <w:proofErr w:type="spellEnd"/>
      <w:r w:rsidR="00775F21">
        <w:t xml:space="preserve"> - "Sabbat der Sabbate") als </w:t>
      </w:r>
      <w:proofErr w:type="spellStart"/>
      <w:r w:rsidR="00775F21">
        <w:t>σά</w:t>
      </w:r>
      <w:proofErr w:type="spellEnd"/>
      <w:r w:rsidR="00775F21">
        <w:t xml:space="preserve">ββατα </w:t>
      </w:r>
      <w:proofErr w:type="spellStart"/>
      <w:r w:rsidR="00775F21">
        <w:t>ἀνά</w:t>
      </w:r>
      <w:proofErr w:type="spellEnd"/>
      <w:r w:rsidR="00775F21">
        <w:t>παυσις (Sabbate der Ruhe).</w:t>
      </w:r>
    </w:p>
    <w:p w14:paraId="01FB3EB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Schabbat-Grundlegung: sechstägige Arbeitserlaubnis + siebentägige </w:t>
      </w:r>
      <w:r w:rsidRPr="004637CC">
        <w:rPr>
          <w:rFonts w:eastAsia="Times New Roman" w:cs="Times New Roman"/>
          <w:b/>
          <w:bCs/>
          <w:rtl/>
          <w:lang w:eastAsia="de-DE"/>
        </w:rPr>
        <w:t>שבת שבתון</w:t>
      </w:r>
      <w:r w:rsidRPr="004637CC">
        <w:rPr>
          <w:rFonts w:eastAsia="Times New Roman" w:cs="Times New Roman"/>
          <w:lang w:eastAsia="de-DE"/>
        </w:rPr>
        <w:t>-Ruhe + heiliger Versammlungscharakter + universelles Arbeitsverbot + göttlicher Bezug + universelle örtliche Gültigkeit.</w:t>
      </w:r>
    </w:p>
    <w:p w14:paraId="1EA1C61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stellt den wöchentlichen Schabbat als Grundlage aller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dar und verbindet ihn mit dem heiligen Versammlungscharakter.</w:t>
      </w:r>
    </w:p>
    <w:p w14:paraId="3F39A233"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w:t>
      </w:r>
    </w:p>
    <w:p w14:paraId="2110455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אֵ֚לֶּה מוֹעֲדֵ֣י יְהוָ֔ה מִקְרָאֵ֖י קֹ֑דֶשׁ אֲשֶׁר־תִּקְרְא֥וּ אֹתָ֖ם בְּמוֹעֲדָֽם׃</w:t>
      </w:r>
    </w:p>
    <w:p w14:paraId="0840C0A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Dies sind die Feste des Ewigen, heilige Versammlungen, die ihr ausrufen sollt zu ihrer bestimmten Zeit:</w:t>
      </w:r>
    </w:p>
    <w:p w14:paraId="372C447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0C0A59E">
          <v:rect id="_x0000_i1685" style="width:0;height:1.5pt" o:hralign="center" o:hrstd="t" o:hr="t" fillcolor="#a0a0a0" stroked="f"/>
        </w:pict>
      </w:r>
    </w:p>
    <w:p w14:paraId="384AD1E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אלה מועדי יהוה מקראי קדש אשר־תקראו אתם במועדם</w:t>
      </w:r>
      <w:r w:rsidRPr="004637CC">
        <w:rPr>
          <w:rFonts w:eastAsia="Times New Roman" w:cs="Times New Roman"/>
          <w:rtl/>
          <w:lang w:eastAsia="de-DE"/>
        </w:rPr>
        <w:t xml:space="preserve"> </w:t>
      </w:r>
      <w:r w:rsidRPr="004637CC">
        <w:rPr>
          <w:rFonts w:eastAsia="Times New Roman" w:cs="Times New Roman"/>
          <w:lang w:eastAsia="de-DE"/>
        </w:rPr>
        <w:t xml:space="preserve">leitet die jährlichen Feste ein. </w:t>
      </w:r>
      <w:r w:rsidRPr="004637CC">
        <w:rPr>
          <w:rFonts w:eastAsia="Times New Roman" w:cs="Times New Roman"/>
          <w:b/>
          <w:bCs/>
          <w:rtl/>
          <w:lang w:eastAsia="de-DE"/>
        </w:rPr>
        <w:t>אלה מועדי יהוה מקראי קדש</w:t>
      </w:r>
      <w:r w:rsidRPr="004637CC">
        <w:rPr>
          <w:rFonts w:eastAsia="Times New Roman" w:cs="Times New Roman"/>
          <w:rtl/>
          <w:lang w:eastAsia="de-DE"/>
        </w:rPr>
        <w:t xml:space="preserve"> </w:t>
      </w:r>
      <w:r w:rsidRPr="004637CC">
        <w:rPr>
          <w:rFonts w:eastAsia="Times New Roman" w:cs="Times New Roman"/>
          <w:lang w:eastAsia="de-DE"/>
        </w:rPr>
        <w:t>(dies sind die Feste des Ewigen, heilige Versammlungen) wiederholt V. 2 und zeigt den Übergang vom wöchentlichen Schabbat zu den jährlichen Festen.</w:t>
      </w:r>
    </w:p>
    <w:p w14:paraId="296495B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אשר־תקראו אתם במועדם</w:t>
      </w:r>
      <w:r w:rsidRPr="004637CC">
        <w:rPr>
          <w:rFonts w:eastAsia="Times New Roman" w:cs="Times New Roman"/>
          <w:rtl/>
          <w:lang w:eastAsia="de-DE"/>
        </w:rPr>
        <w:t xml:space="preserve"> </w:t>
      </w:r>
      <w:r w:rsidRPr="004637CC">
        <w:rPr>
          <w:rFonts w:eastAsia="Times New Roman" w:cs="Times New Roman"/>
          <w:lang w:eastAsia="de-DE"/>
        </w:rPr>
        <w:t xml:space="preserve">(die ihr ausrufen sollt zu ihrer bestimmten Zeit) - </w:t>
      </w:r>
      <w:r w:rsidRPr="004637CC">
        <w:rPr>
          <w:rFonts w:eastAsia="Times New Roman" w:cs="Times New Roman"/>
          <w:b/>
          <w:bCs/>
          <w:rtl/>
          <w:lang w:eastAsia="de-DE"/>
        </w:rPr>
        <w:t>תקראו</w:t>
      </w:r>
      <w:r w:rsidRPr="004637CC">
        <w:rPr>
          <w:rFonts w:eastAsia="Times New Roman" w:cs="Times New Roman"/>
          <w:rtl/>
          <w:lang w:eastAsia="de-DE"/>
        </w:rPr>
        <w:t xml:space="preserve"> </w:t>
      </w:r>
      <w:r w:rsidRPr="004637CC">
        <w:rPr>
          <w:rFonts w:eastAsia="Times New Roman" w:cs="Times New Roman"/>
          <w:lang w:eastAsia="de-DE"/>
        </w:rPr>
        <w:t xml:space="preserve">(sollt ihr ausrufen) entspricht V. 2. </w:t>
      </w:r>
      <w:r w:rsidRPr="004637CC">
        <w:rPr>
          <w:rFonts w:eastAsia="Times New Roman" w:cs="Times New Roman"/>
          <w:b/>
          <w:bCs/>
          <w:rtl/>
          <w:lang w:eastAsia="de-DE"/>
        </w:rPr>
        <w:t>במועדם</w:t>
      </w:r>
      <w:r w:rsidRPr="004637CC">
        <w:rPr>
          <w:rFonts w:eastAsia="Times New Roman" w:cs="Times New Roman"/>
          <w:rtl/>
          <w:lang w:eastAsia="de-DE"/>
        </w:rPr>
        <w:t xml:space="preserve"> </w:t>
      </w:r>
      <w:r w:rsidRPr="004637CC">
        <w:rPr>
          <w:rFonts w:eastAsia="Times New Roman" w:cs="Times New Roman"/>
          <w:lang w:eastAsia="de-DE"/>
        </w:rPr>
        <w:t xml:space="preserve">(zu ihrer bestimmten Zeit) - </w:t>
      </w:r>
      <w:r w:rsidRPr="004637CC">
        <w:rPr>
          <w:rFonts w:eastAsia="Times New Roman" w:cs="Times New Roman"/>
          <w:b/>
          <w:bCs/>
          <w:rtl/>
          <w:lang w:eastAsia="de-DE"/>
        </w:rPr>
        <w:t>מועדם</w:t>
      </w:r>
      <w:r w:rsidRPr="004637CC">
        <w:rPr>
          <w:rFonts w:eastAsia="Times New Roman" w:cs="Times New Roman"/>
          <w:rtl/>
          <w:lang w:eastAsia="de-DE"/>
        </w:rPr>
        <w:t xml:space="preserve"> </w:t>
      </w:r>
      <w:r w:rsidRPr="004637CC">
        <w:rPr>
          <w:rFonts w:eastAsia="Times New Roman" w:cs="Times New Roman"/>
          <w:lang w:eastAsia="de-DE"/>
        </w:rPr>
        <w:t>(ihre bestimmte Zeit) betont die zeitliche Festlegung.</w:t>
      </w:r>
    </w:p>
    <w:p w14:paraId="12D069C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אלה</w:t>
      </w:r>
      <w:r w:rsidRPr="004637CC">
        <w:rPr>
          <w:rFonts w:eastAsia="Times New Roman" w:cs="Times New Roman"/>
          <w:rtl/>
          <w:lang w:eastAsia="de-DE"/>
        </w:rPr>
        <w:t xml:space="preserve"> </w:t>
      </w:r>
      <w:r w:rsidRPr="004637CC">
        <w:rPr>
          <w:rFonts w:eastAsia="Times New Roman" w:cs="Times New Roman"/>
          <w:lang w:eastAsia="de-DE"/>
        </w:rPr>
        <w:t xml:space="preserve">zeigt auf die folgenden Feste. </w:t>
      </w:r>
      <w:r w:rsidRPr="004637CC">
        <w:rPr>
          <w:rFonts w:eastAsia="Times New Roman" w:cs="Times New Roman"/>
          <w:b/>
          <w:bCs/>
          <w:rtl/>
          <w:lang w:eastAsia="de-DE"/>
        </w:rPr>
        <w:t>מועדי יהוה מקראי קדש</w:t>
      </w:r>
      <w:r w:rsidRPr="004637CC">
        <w:rPr>
          <w:rFonts w:eastAsia="Times New Roman" w:cs="Times New Roman"/>
          <w:rtl/>
          <w:lang w:eastAsia="de-DE"/>
        </w:rPr>
        <w:t xml:space="preserve"> </w:t>
      </w:r>
      <w:r w:rsidRPr="004637CC">
        <w:rPr>
          <w:rFonts w:eastAsia="Times New Roman" w:cs="Times New Roman"/>
          <w:lang w:eastAsia="de-DE"/>
        </w:rPr>
        <w:t xml:space="preserve">als doppelte Charakterisierung. </w:t>
      </w:r>
      <w:r w:rsidRPr="004637CC">
        <w:rPr>
          <w:rFonts w:eastAsia="Times New Roman" w:cs="Times New Roman"/>
          <w:b/>
          <w:bCs/>
          <w:rtl/>
          <w:lang w:eastAsia="de-DE"/>
        </w:rPr>
        <w:t>במועדם</w:t>
      </w:r>
      <w:r w:rsidRPr="004637CC">
        <w:rPr>
          <w:rFonts w:eastAsia="Times New Roman" w:cs="Times New Roman"/>
          <w:rtl/>
          <w:lang w:eastAsia="de-DE"/>
        </w:rPr>
        <w:t xml:space="preserve"> </w:t>
      </w:r>
      <w:r w:rsidRPr="004637CC">
        <w:rPr>
          <w:rFonts w:eastAsia="Times New Roman" w:cs="Times New Roman"/>
          <w:lang w:eastAsia="de-DE"/>
        </w:rPr>
        <w:t>zeigt göttlich festgesetzte Zeiten im Unterschied zum wöchentlichen Schabbat.</w:t>
      </w:r>
    </w:p>
    <w:p w14:paraId="6077623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אלה</w:t>
      </w:r>
      <w:r w:rsidRPr="004637CC">
        <w:rPr>
          <w:rFonts w:eastAsia="Times New Roman" w:cs="Times New Roman"/>
          <w:rtl/>
          <w:lang w:eastAsia="de-DE"/>
        </w:rPr>
        <w:t xml:space="preserve"> </w:t>
      </w:r>
      <w:r w:rsidRPr="004637CC">
        <w:rPr>
          <w:rFonts w:eastAsia="Times New Roman" w:cs="Times New Roman"/>
          <w:lang w:eastAsia="de-DE"/>
        </w:rPr>
        <w:t>mit α</w:t>
      </w:r>
      <w:proofErr w:type="spellStart"/>
      <w:r w:rsidRPr="004637CC">
        <w:rPr>
          <w:rFonts w:eastAsia="Times New Roman" w:cs="Times New Roman"/>
          <w:lang w:eastAsia="de-DE"/>
        </w:rPr>
        <w:t>ὗτ</w:t>
      </w:r>
      <w:proofErr w:type="spellEnd"/>
      <w:r w:rsidRPr="004637CC">
        <w:rPr>
          <w:rFonts w:eastAsia="Times New Roman" w:cs="Times New Roman"/>
          <w:lang w:eastAsia="de-DE"/>
        </w:rPr>
        <w:t xml:space="preserve">αί </w:t>
      </w:r>
      <w:proofErr w:type="spellStart"/>
      <w:r w:rsidRPr="004637CC">
        <w:rPr>
          <w:rFonts w:eastAsia="Times New Roman" w:cs="Times New Roman"/>
          <w:lang w:eastAsia="de-DE"/>
        </w:rPr>
        <w:t>εἰσιν</w:t>
      </w:r>
      <w:proofErr w:type="spellEnd"/>
      <w:r w:rsidRPr="004637CC">
        <w:rPr>
          <w:rFonts w:eastAsia="Times New Roman" w:cs="Times New Roman"/>
          <w:lang w:eastAsia="de-DE"/>
        </w:rPr>
        <w:t xml:space="preserve"> (diese sind), </w:t>
      </w: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ἑορτ</w:t>
      </w:r>
      <w:proofErr w:type="spellEnd"/>
      <w:r w:rsidRPr="004637CC">
        <w:rPr>
          <w:rFonts w:eastAsia="Times New Roman" w:cs="Times New Roman"/>
          <w:lang w:eastAsia="de-DE"/>
        </w:rPr>
        <w:t xml:space="preserve">αὶ </w:t>
      </w:r>
      <w:proofErr w:type="spellStart"/>
      <w:r w:rsidRPr="004637CC">
        <w:rPr>
          <w:rFonts w:eastAsia="Times New Roman" w:cs="Times New Roman"/>
          <w:lang w:eastAsia="de-DE"/>
        </w:rPr>
        <w:t>κυρίου</w:t>
      </w:r>
      <w:proofErr w:type="spellEnd"/>
      <w:r w:rsidRPr="004637CC">
        <w:rPr>
          <w:rFonts w:eastAsia="Times New Roman" w:cs="Times New Roman"/>
          <w:lang w:eastAsia="de-DE"/>
        </w:rPr>
        <w:t xml:space="preserve"> (Feste des Herrn),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κλητὰι</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ἅγι</w:t>
      </w:r>
      <w:proofErr w:type="spellEnd"/>
      <w:r w:rsidRPr="004637CC">
        <w:rPr>
          <w:rFonts w:eastAsia="Times New Roman" w:cs="Times New Roman"/>
          <w:lang w:eastAsia="de-DE"/>
        </w:rPr>
        <w:t xml:space="preserve">αι (heilige Berufungen) und </w:t>
      </w:r>
      <w:r w:rsidRPr="004637CC">
        <w:rPr>
          <w:rFonts w:eastAsia="Times New Roman" w:cs="Times New Roman"/>
          <w:b/>
          <w:bCs/>
          <w:rtl/>
          <w:lang w:eastAsia="de-DE"/>
        </w:rPr>
        <w:t>במועדם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τοῖς</w:t>
      </w:r>
      <w:proofErr w:type="spellEnd"/>
      <w:r w:rsidRPr="004637CC">
        <w:rPr>
          <w:rFonts w:eastAsia="Times New Roman" w:cs="Times New Roman"/>
          <w:lang w:eastAsia="de-DE"/>
        </w:rPr>
        <w:t xml:space="preserve"> κα</w:t>
      </w:r>
      <w:proofErr w:type="spellStart"/>
      <w:r w:rsidRPr="004637CC">
        <w:rPr>
          <w:rFonts w:eastAsia="Times New Roman" w:cs="Times New Roman"/>
          <w:lang w:eastAsia="de-DE"/>
        </w:rPr>
        <w:t>ιροῖς</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ὐτῶν</w:t>
      </w:r>
      <w:proofErr w:type="spellEnd"/>
      <w:r w:rsidRPr="004637CC">
        <w:rPr>
          <w:rFonts w:eastAsia="Times New Roman" w:cs="Times New Roman"/>
          <w:lang w:eastAsia="de-DE"/>
        </w:rPr>
        <w:t xml:space="preserve"> (zu ihren Zeiten).</w:t>
      </w:r>
    </w:p>
    <w:p w14:paraId="5EFEDCA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Satzstruktur</w:t>
      </w:r>
      <w:r w:rsidRPr="004637CC">
        <w:rPr>
          <w:rFonts w:eastAsia="Times New Roman" w:cs="Times New Roman"/>
          <w:lang w:eastAsia="de-DE"/>
        </w:rPr>
        <w:t xml:space="preserve"> zeigt jährliche Fest-Einleitung: demonstrative Bezeichnung + göttliche Fest-Charakterisierung + heiliger Versammlungscharakter + Proklamationspflicht + zeitliche Festlegung.</w:t>
      </w:r>
    </w:p>
    <w:p w14:paraId="7263A6E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die spezifischen jährlichen Feste mit ihrer göttlich festgesetzten Zeitordnung ein.</w:t>
      </w:r>
    </w:p>
    <w:p w14:paraId="740669D1"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23,5</w:t>
      </w:r>
    </w:p>
    <w:p w14:paraId="351673D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בַּחֹ֣דֶשׁ הָרִאשׁ֗וֹן בְּאַרְבָּעָ֥ה עָשָׂ֛ר לַחֹ֖דֶשׁ בֵּ֣ין הָעַרְבָּ֑יִם פֶּ֖סַח לַיהוָֽה׃</w:t>
      </w:r>
    </w:p>
    <w:p w14:paraId="3966846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Im ersten Monat, am 14. des Monats, zwischen den beiden Abenden, ist Pesach für den Ewigen.</w:t>
      </w:r>
    </w:p>
    <w:p w14:paraId="2CF31F78"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99E746B">
          <v:rect id="_x0000_i1686" style="width:0;height:1.5pt" o:hralign="center" o:hrstd="t" o:hr="t" fillcolor="#a0a0a0" stroked="f"/>
        </w:pict>
      </w:r>
    </w:p>
    <w:p w14:paraId="060AF83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בחדש הראשון בארבעה עשר לחדש בין הערבים פסח ליהוה</w:t>
      </w:r>
      <w:r w:rsidRPr="004637CC">
        <w:rPr>
          <w:rFonts w:eastAsia="Times New Roman" w:cs="Times New Roman"/>
          <w:rtl/>
          <w:lang w:eastAsia="de-DE"/>
        </w:rPr>
        <w:t xml:space="preserve"> </w:t>
      </w:r>
      <w:r w:rsidRPr="004637CC">
        <w:rPr>
          <w:rFonts w:eastAsia="Times New Roman" w:cs="Times New Roman"/>
          <w:lang w:eastAsia="de-DE"/>
        </w:rPr>
        <w:t xml:space="preserve">etabliert das erste jährliche Fest. </w:t>
      </w:r>
      <w:r w:rsidRPr="004637CC">
        <w:rPr>
          <w:rFonts w:eastAsia="Times New Roman" w:cs="Times New Roman"/>
          <w:b/>
          <w:bCs/>
          <w:rtl/>
          <w:lang w:eastAsia="de-DE"/>
        </w:rPr>
        <w:t>בחדש הראשון בארבעה עשר לחדש</w:t>
      </w:r>
      <w:r w:rsidRPr="004637CC">
        <w:rPr>
          <w:rFonts w:eastAsia="Times New Roman" w:cs="Times New Roman"/>
          <w:rtl/>
          <w:lang w:eastAsia="de-DE"/>
        </w:rPr>
        <w:t xml:space="preserve"> </w:t>
      </w:r>
      <w:r w:rsidRPr="004637CC">
        <w:rPr>
          <w:rFonts w:eastAsia="Times New Roman" w:cs="Times New Roman"/>
          <w:lang w:eastAsia="de-DE"/>
        </w:rPr>
        <w:t xml:space="preserve">(im ersten Monat, am 14. des Monats) - </w:t>
      </w:r>
      <w:r w:rsidRPr="004637CC">
        <w:rPr>
          <w:rFonts w:eastAsia="Times New Roman" w:cs="Times New Roman"/>
          <w:b/>
          <w:bCs/>
          <w:rtl/>
          <w:lang w:eastAsia="de-DE"/>
        </w:rPr>
        <w:t>חדש הראשון</w:t>
      </w:r>
      <w:r w:rsidRPr="004637CC">
        <w:rPr>
          <w:rFonts w:eastAsia="Times New Roman" w:cs="Times New Roman"/>
          <w:rtl/>
          <w:lang w:eastAsia="de-DE"/>
        </w:rPr>
        <w:t xml:space="preserve"> </w:t>
      </w:r>
      <w:r w:rsidRPr="004637CC">
        <w:rPr>
          <w:rFonts w:eastAsia="Times New Roman" w:cs="Times New Roman"/>
          <w:lang w:eastAsia="de-DE"/>
        </w:rPr>
        <w:t xml:space="preserve">(erster Monat) entspricht Nissan/Abib. </w:t>
      </w:r>
      <w:r w:rsidRPr="004637CC">
        <w:rPr>
          <w:rFonts w:eastAsia="Times New Roman" w:cs="Times New Roman"/>
          <w:b/>
          <w:bCs/>
          <w:rtl/>
          <w:lang w:eastAsia="de-DE"/>
        </w:rPr>
        <w:t>ארבעה עשר לחדש</w:t>
      </w:r>
      <w:r w:rsidRPr="004637CC">
        <w:rPr>
          <w:rFonts w:eastAsia="Times New Roman" w:cs="Times New Roman"/>
          <w:rtl/>
          <w:lang w:eastAsia="de-DE"/>
        </w:rPr>
        <w:t xml:space="preserve"> </w:t>
      </w:r>
      <w:r w:rsidRPr="004637CC">
        <w:rPr>
          <w:rFonts w:eastAsia="Times New Roman" w:cs="Times New Roman"/>
          <w:lang w:eastAsia="de-DE"/>
        </w:rPr>
        <w:t>(14. des Monats) zeigt das genaue Datum.</w:t>
      </w:r>
    </w:p>
    <w:p w14:paraId="6DE1239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בין הערבים</w:t>
      </w:r>
      <w:r w:rsidRPr="004637CC">
        <w:rPr>
          <w:rFonts w:eastAsia="Times New Roman" w:cs="Times New Roman"/>
          <w:rtl/>
          <w:lang w:eastAsia="de-DE"/>
        </w:rPr>
        <w:t xml:space="preserve"> </w:t>
      </w:r>
      <w:r w:rsidRPr="004637CC">
        <w:rPr>
          <w:rFonts w:eastAsia="Times New Roman" w:cs="Times New Roman"/>
          <w:lang w:eastAsia="de-DE"/>
        </w:rPr>
        <w:t>(zwischen den beiden Abenden) zeigt die Tageszeit - traditionell zwischen Mittag und Sonnenuntergang oder zwischen Sonnenuntergang und völliger Dunkelheit.</w:t>
      </w:r>
    </w:p>
    <w:p w14:paraId="711FD20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פסח ליהוה</w:t>
      </w:r>
      <w:r w:rsidRPr="004637CC">
        <w:rPr>
          <w:rFonts w:eastAsia="Times New Roman" w:cs="Times New Roman"/>
          <w:rtl/>
          <w:lang w:eastAsia="de-DE"/>
        </w:rPr>
        <w:t xml:space="preserve"> </w:t>
      </w:r>
      <w:r w:rsidRPr="004637CC">
        <w:rPr>
          <w:rFonts w:eastAsia="Times New Roman" w:cs="Times New Roman"/>
          <w:lang w:eastAsia="de-DE"/>
        </w:rPr>
        <w:t xml:space="preserve">(Pesach für den Ewigen) - </w:t>
      </w:r>
      <w:r w:rsidRPr="004637CC">
        <w:rPr>
          <w:rFonts w:eastAsia="Times New Roman" w:cs="Times New Roman"/>
          <w:b/>
          <w:bCs/>
          <w:rtl/>
          <w:lang w:eastAsia="de-DE"/>
        </w:rPr>
        <w:t>פסח</w:t>
      </w:r>
      <w:r w:rsidRPr="004637CC">
        <w:rPr>
          <w:rFonts w:eastAsia="Times New Roman" w:cs="Times New Roman"/>
          <w:rtl/>
          <w:lang w:eastAsia="de-DE"/>
        </w:rPr>
        <w:t xml:space="preserve"> </w:t>
      </w:r>
      <w:r w:rsidRPr="004637CC">
        <w:rPr>
          <w:rFonts w:eastAsia="Times New Roman" w:cs="Times New Roman"/>
          <w:lang w:eastAsia="de-DE"/>
        </w:rPr>
        <w:t xml:space="preserve">(Pesach) von </w:t>
      </w:r>
      <w:r w:rsidRPr="004637CC">
        <w:rPr>
          <w:rFonts w:eastAsia="Times New Roman" w:cs="Times New Roman"/>
          <w:b/>
          <w:bCs/>
          <w:rtl/>
          <w:lang w:eastAsia="de-DE"/>
        </w:rPr>
        <w:t>פסח</w:t>
      </w:r>
      <w:r w:rsidRPr="004637CC">
        <w:rPr>
          <w:rFonts w:eastAsia="Times New Roman" w:cs="Times New Roman"/>
          <w:rtl/>
          <w:lang w:eastAsia="de-DE"/>
        </w:rPr>
        <w:t xml:space="preserve"> </w:t>
      </w:r>
      <w:r w:rsidRPr="004637CC">
        <w:rPr>
          <w:rFonts w:eastAsia="Times New Roman" w:cs="Times New Roman"/>
          <w:lang w:eastAsia="de-DE"/>
        </w:rPr>
        <w:t xml:space="preserve">(vorübergehen/verschonen) entspricht Ex 12. </w:t>
      </w:r>
      <w:r w:rsidRPr="004637CC">
        <w:rPr>
          <w:rFonts w:eastAsia="Times New Roman" w:cs="Times New Roman"/>
          <w:b/>
          <w:bCs/>
          <w:rtl/>
          <w:lang w:eastAsia="de-DE"/>
        </w:rPr>
        <w:t>ליהוה</w:t>
      </w:r>
      <w:r w:rsidRPr="004637CC">
        <w:rPr>
          <w:rFonts w:eastAsia="Times New Roman" w:cs="Times New Roman"/>
          <w:rtl/>
          <w:lang w:eastAsia="de-DE"/>
        </w:rPr>
        <w:t xml:space="preserve"> </w:t>
      </w:r>
      <w:r w:rsidRPr="004637CC">
        <w:rPr>
          <w:rFonts w:eastAsia="Times New Roman" w:cs="Times New Roman"/>
          <w:lang w:eastAsia="de-DE"/>
        </w:rPr>
        <w:t>(für den Ewigen) zeigt göttlichen Bezug.</w:t>
      </w:r>
    </w:p>
    <w:p w14:paraId="6CC9B6A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חדש הראשון</w:t>
      </w:r>
      <w:r w:rsidRPr="004637CC">
        <w:rPr>
          <w:rFonts w:eastAsia="Times New Roman" w:cs="Times New Roman"/>
          <w:rtl/>
          <w:lang w:eastAsia="de-DE"/>
        </w:rPr>
        <w:t xml:space="preserve"> </w:t>
      </w:r>
      <w:r w:rsidRPr="004637CC">
        <w:rPr>
          <w:rFonts w:eastAsia="Times New Roman" w:cs="Times New Roman"/>
          <w:lang w:eastAsia="de-DE"/>
        </w:rPr>
        <w:t xml:space="preserve">zeigt Frühjahrsanfang des religiösen Kalenders. </w:t>
      </w:r>
      <w:r w:rsidRPr="004637CC">
        <w:rPr>
          <w:rFonts w:eastAsia="Times New Roman" w:cs="Times New Roman"/>
          <w:b/>
          <w:bCs/>
          <w:rtl/>
          <w:lang w:eastAsia="de-DE"/>
        </w:rPr>
        <w:t>ארבעה עשר</w:t>
      </w:r>
      <w:r w:rsidRPr="004637CC">
        <w:rPr>
          <w:rFonts w:eastAsia="Times New Roman" w:cs="Times New Roman"/>
          <w:rtl/>
          <w:lang w:eastAsia="de-DE"/>
        </w:rPr>
        <w:t xml:space="preserve"> </w:t>
      </w:r>
      <w:r w:rsidRPr="004637CC">
        <w:rPr>
          <w:rFonts w:eastAsia="Times New Roman" w:cs="Times New Roman"/>
          <w:lang w:eastAsia="de-DE"/>
        </w:rPr>
        <w:t xml:space="preserve">als Vollmondzeit. </w:t>
      </w:r>
      <w:r w:rsidRPr="004637CC">
        <w:rPr>
          <w:rFonts w:eastAsia="Times New Roman" w:cs="Times New Roman"/>
          <w:b/>
          <w:bCs/>
          <w:rtl/>
          <w:lang w:eastAsia="de-DE"/>
        </w:rPr>
        <w:t>בין הערבים</w:t>
      </w:r>
      <w:r w:rsidRPr="004637CC">
        <w:rPr>
          <w:rFonts w:eastAsia="Times New Roman" w:cs="Times New Roman"/>
          <w:rtl/>
          <w:lang w:eastAsia="de-DE"/>
        </w:rPr>
        <w:t xml:space="preserve"> </w:t>
      </w:r>
      <w:r w:rsidRPr="004637CC">
        <w:rPr>
          <w:rFonts w:eastAsia="Times New Roman" w:cs="Times New Roman"/>
          <w:lang w:eastAsia="de-DE"/>
        </w:rPr>
        <w:t xml:space="preserve">zeigt präzise Zeitangabe. </w:t>
      </w:r>
      <w:r w:rsidRPr="004637CC">
        <w:rPr>
          <w:rFonts w:eastAsia="Times New Roman" w:cs="Times New Roman"/>
          <w:b/>
          <w:bCs/>
          <w:rtl/>
          <w:lang w:eastAsia="de-DE"/>
        </w:rPr>
        <w:t>פסח ליהוה</w:t>
      </w:r>
      <w:r w:rsidRPr="004637CC">
        <w:rPr>
          <w:rFonts w:eastAsia="Times New Roman" w:cs="Times New Roman"/>
          <w:rtl/>
          <w:lang w:eastAsia="de-DE"/>
        </w:rPr>
        <w:t xml:space="preserve"> </w:t>
      </w:r>
      <w:r w:rsidRPr="004637CC">
        <w:rPr>
          <w:rFonts w:eastAsia="Times New Roman" w:cs="Times New Roman"/>
          <w:lang w:eastAsia="de-DE"/>
        </w:rPr>
        <w:t>verbindet das Fest mit dem Exodus-Ereignis.</w:t>
      </w:r>
    </w:p>
    <w:p w14:paraId="11710999" w14:textId="275AD9AE"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בין הערבים</w:t>
      </w:r>
      <w:r w:rsidR="00775F21">
        <w:t xml:space="preserve"> (</w:t>
      </w:r>
      <w:proofErr w:type="spellStart"/>
      <w:r w:rsidR="00775F21">
        <w:t>bein</w:t>
      </w:r>
      <w:proofErr w:type="spellEnd"/>
      <w:r w:rsidR="00775F21">
        <w:t xml:space="preserve"> </w:t>
      </w:r>
      <w:proofErr w:type="spellStart"/>
      <w:r w:rsidR="00775F21">
        <w:t>ha'arbayim</w:t>
      </w:r>
      <w:proofErr w:type="spellEnd"/>
      <w:r w:rsidR="00775F21">
        <w:t xml:space="preserve"> - "zwischen den Abenden") als </w:t>
      </w:r>
      <w:proofErr w:type="spellStart"/>
      <w:r w:rsidR="00775F21">
        <w:t>ἀνὰ</w:t>
      </w:r>
      <w:proofErr w:type="spellEnd"/>
      <w:r w:rsidR="00775F21">
        <w:t xml:space="preserve"> </w:t>
      </w:r>
      <w:proofErr w:type="spellStart"/>
      <w:r w:rsidR="00775F21">
        <w:t>μέσον</w:t>
      </w:r>
      <w:proofErr w:type="spellEnd"/>
      <w:r w:rsidR="00775F21">
        <w:t xml:space="preserve"> </w:t>
      </w:r>
      <w:proofErr w:type="spellStart"/>
      <w:r w:rsidR="00775F21">
        <w:t>τῶν</w:t>
      </w:r>
      <w:proofErr w:type="spellEnd"/>
      <w:r w:rsidR="00775F21">
        <w:t xml:space="preserve"> </w:t>
      </w:r>
      <w:proofErr w:type="spellStart"/>
      <w:r w:rsidR="00775F21">
        <w:t>ἑσ</w:t>
      </w:r>
      <w:proofErr w:type="spellEnd"/>
      <w:r w:rsidR="00775F21">
        <w:t>περινῶν (zwischen den Abendzeiten).</w:t>
      </w:r>
    </w:p>
    <w:p w14:paraId="3889FFD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Pesach-Festlegung: erster Monat + 14. Tag + Abendzeit + Pesach-Bezeichnung + göttlicher Bezug.</w:t>
      </w:r>
    </w:p>
    <w:p w14:paraId="212872A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Pesach als erstes jährliches Fest mit präziser Zeit- und Datumsangabe.</w:t>
      </w:r>
    </w:p>
    <w:p w14:paraId="27C28C0B"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23,6</w:t>
      </w:r>
    </w:p>
    <w:p w14:paraId="6D8337A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וּבַחֲמִשָּׁ֨ה עָשָׂ֥ר יוֹם֙ לַחֹ֣דֶשׁ הַזֶּ֔ה חַ֥ג הַמַּצּ֖וֹת לַיהוָ֑ה שִׁבְעַ֥ת יָמִ֖ים מַצּ֥וֹת תֹּאכֵֽלוּ׃</w:t>
      </w:r>
    </w:p>
    <w:p w14:paraId="5DFA90E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am 15. Tag dieses Monats ist das Fest der ungesäuerten Brote für den Ewigen; sieben Tage sollt ihr ungesäuertes Brot essen.</w:t>
      </w:r>
    </w:p>
    <w:p w14:paraId="7094DCC7"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EE4F46D">
          <v:rect id="_x0000_i1687" style="width:0;height:1.5pt" o:hralign="center" o:hrstd="t" o:hr="t" fillcolor="#a0a0a0" stroked="f"/>
        </w:pict>
      </w:r>
    </w:p>
    <w:p w14:paraId="19E6C4B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ובחמשה עשר יום לחדש הזה חג המצות ליהוה שבעת ימים מצות תאכלו</w:t>
      </w:r>
      <w:r w:rsidRPr="004637CC">
        <w:rPr>
          <w:rFonts w:eastAsia="Times New Roman" w:cs="Times New Roman"/>
          <w:rtl/>
          <w:lang w:eastAsia="de-DE"/>
        </w:rPr>
        <w:t xml:space="preserve"> </w:t>
      </w:r>
      <w:r w:rsidRPr="004637CC">
        <w:rPr>
          <w:rFonts w:eastAsia="Times New Roman" w:cs="Times New Roman"/>
          <w:lang w:eastAsia="de-DE"/>
        </w:rPr>
        <w:t xml:space="preserve">führt das Mazzotfest als Fortsetzung von Pesach ein. </w:t>
      </w:r>
      <w:r w:rsidRPr="004637CC">
        <w:rPr>
          <w:rFonts w:eastAsia="Times New Roman" w:cs="Times New Roman"/>
          <w:b/>
          <w:bCs/>
          <w:rtl/>
          <w:lang w:eastAsia="de-DE"/>
        </w:rPr>
        <w:t>ובחמשה עשר יום לחדש הזה</w:t>
      </w:r>
      <w:r w:rsidRPr="004637CC">
        <w:rPr>
          <w:rFonts w:eastAsia="Times New Roman" w:cs="Times New Roman"/>
          <w:rtl/>
          <w:lang w:eastAsia="de-DE"/>
        </w:rPr>
        <w:t xml:space="preserve"> </w:t>
      </w:r>
      <w:r w:rsidRPr="004637CC">
        <w:rPr>
          <w:rFonts w:eastAsia="Times New Roman" w:cs="Times New Roman"/>
          <w:lang w:eastAsia="de-DE"/>
        </w:rPr>
        <w:t xml:space="preserve">(und am 15. Tag dieses </w:t>
      </w:r>
      <w:r w:rsidRPr="004637CC">
        <w:rPr>
          <w:rFonts w:eastAsia="Times New Roman" w:cs="Times New Roman"/>
          <w:lang w:eastAsia="de-DE"/>
        </w:rPr>
        <w:lastRenderedPageBreak/>
        <w:t xml:space="preserve">Monats) - </w:t>
      </w:r>
      <w:r w:rsidRPr="004637CC">
        <w:rPr>
          <w:rFonts w:eastAsia="Times New Roman" w:cs="Times New Roman"/>
          <w:b/>
          <w:bCs/>
          <w:rtl/>
          <w:lang w:eastAsia="de-DE"/>
        </w:rPr>
        <w:t>חמשה עשר</w:t>
      </w:r>
      <w:r w:rsidRPr="004637CC">
        <w:rPr>
          <w:rFonts w:eastAsia="Times New Roman" w:cs="Times New Roman"/>
          <w:rtl/>
          <w:lang w:eastAsia="de-DE"/>
        </w:rPr>
        <w:t xml:space="preserve"> </w:t>
      </w:r>
      <w:r w:rsidRPr="004637CC">
        <w:rPr>
          <w:rFonts w:eastAsia="Times New Roman" w:cs="Times New Roman"/>
          <w:lang w:eastAsia="de-DE"/>
        </w:rPr>
        <w:t xml:space="preserve">(15.) zeigt den Tag nach Pesach. </w:t>
      </w:r>
      <w:r w:rsidRPr="004637CC">
        <w:rPr>
          <w:rFonts w:eastAsia="Times New Roman" w:cs="Times New Roman"/>
          <w:b/>
          <w:bCs/>
          <w:rtl/>
          <w:lang w:eastAsia="de-DE"/>
        </w:rPr>
        <w:t>לחדש הזה</w:t>
      </w:r>
      <w:r w:rsidRPr="004637CC">
        <w:rPr>
          <w:rFonts w:eastAsia="Times New Roman" w:cs="Times New Roman"/>
          <w:rtl/>
          <w:lang w:eastAsia="de-DE"/>
        </w:rPr>
        <w:t xml:space="preserve"> </w:t>
      </w:r>
      <w:r w:rsidRPr="004637CC">
        <w:rPr>
          <w:rFonts w:eastAsia="Times New Roman" w:cs="Times New Roman"/>
          <w:lang w:eastAsia="de-DE"/>
        </w:rPr>
        <w:t>(dieses Monats) bezieht sich auf den ersten Monat.</w:t>
      </w:r>
    </w:p>
    <w:p w14:paraId="4515753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חג המצות ליהוה</w:t>
      </w:r>
      <w:r w:rsidRPr="004637CC">
        <w:rPr>
          <w:rFonts w:eastAsia="Times New Roman" w:cs="Times New Roman"/>
          <w:rtl/>
          <w:lang w:eastAsia="de-DE"/>
        </w:rPr>
        <w:t xml:space="preserve"> </w:t>
      </w:r>
      <w:r w:rsidRPr="004637CC">
        <w:rPr>
          <w:rFonts w:eastAsia="Times New Roman" w:cs="Times New Roman"/>
          <w:lang w:eastAsia="de-DE"/>
        </w:rPr>
        <w:t xml:space="preserve">(das Fest der ungesäuerten Brote für den Ewigen) - </w:t>
      </w:r>
      <w:r w:rsidRPr="004637CC">
        <w:rPr>
          <w:rFonts w:eastAsia="Times New Roman" w:cs="Times New Roman"/>
          <w:b/>
          <w:bCs/>
          <w:rtl/>
          <w:lang w:eastAsia="de-DE"/>
        </w:rPr>
        <w:t>חג</w:t>
      </w:r>
      <w:r w:rsidRPr="004637CC">
        <w:rPr>
          <w:rFonts w:eastAsia="Times New Roman" w:cs="Times New Roman"/>
          <w:rtl/>
          <w:lang w:eastAsia="de-DE"/>
        </w:rPr>
        <w:t xml:space="preserve"> </w:t>
      </w:r>
      <w:r w:rsidRPr="004637CC">
        <w:rPr>
          <w:rFonts w:eastAsia="Times New Roman" w:cs="Times New Roman"/>
          <w:lang w:eastAsia="de-DE"/>
        </w:rPr>
        <w:t xml:space="preserve">(Fest) zeigt Pilgerfest im Unterschied zu </w:t>
      </w:r>
      <w:r w:rsidRPr="004637CC">
        <w:rPr>
          <w:rFonts w:eastAsia="Times New Roman" w:cs="Times New Roman"/>
          <w:b/>
          <w:bCs/>
          <w:rtl/>
          <w:lang w:eastAsia="de-DE"/>
        </w:rPr>
        <w:t>מועד</w:t>
      </w:r>
      <w:r w:rsidRPr="004637CC">
        <w:rPr>
          <w:rFonts w:eastAsia="Times New Roman" w:cs="Times New Roman"/>
          <w:lang w:eastAsia="de-DE"/>
        </w:rPr>
        <w:t xml:space="preserve">. </w:t>
      </w:r>
      <w:r w:rsidRPr="004637CC">
        <w:rPr>
          <w:rFonts w:eastAsia="Times New Roman" w:cs="Times New Roman"/>
          <w:b/>
          <w:bCs/>
          <w:rtl/>
          <w:lang w:eastAsia="de-DE"/>
        </w:rPr>
        <w:t>המצות</w:t>
      </w:r>
      <w:r w:rsidRPr="004637CC">
        <w:rPr>
          <w:rFonts w:eastAsia="Times New Roman" w:cs="Times New Roman"/>
          <w:rtl/>
          <w:lang w:eastAsia="de-DE"/>
        </w:rPr>
        <w:t xml:space="preserve"> </w:t>
      </w:r>
      <w:r w:rsidRPr="004637CC">
        <w:rPr>
          <w:rFonts w:eastAsia="Times New Roman" w:cs="Times New Roman"/>
          <w:lang w:eastAsia="de-DE"/>
        </w:rPr>
        <w:t xml:space="preserve">(der ungesäuerten Brote) von </w:t>
      </w:r>
      <w:r w:rsidRPr="004637CC">
        <w:rPr>
          <w:rFonts w:eastAsia="Times New Roman" w:cs="Times New Roman"/>
          <w:b/>
          <w:bCs/>
          <w:rtl/>
          <w:lang w:eastAsia="de-DE"/>
        </w:rPr>
        <w:t>מצה</w:t>
      </w:r>
      <w:r w:rsidRPr="004637CC">
        <w:rPr>
          <w:rFonts w:eastAsia="Times New Roman" w:cs="Times New Roman"/>
          <w:rtl/>
          <w:lang w:eastAsia="de-DE"/>
        </w:rPr>
        <w:t xml:space="preserve"> </w:t>
      </w:r>
      <w:r w:rsidRPr="004637CC">
        <w:rPr>
          <w:rFonts w:eastAsia="Times New Roman" w:cs="Times New Roman"/>
          <w:lang w:eastAsia="de-DE"/>
        </w:rPr>
        <w:t xml:space="preserve">(ungesäuertes Brot). </w:t>
      </w:r>
      <w:r w:rsidRPr="004637CC">
        <w:rPr>
          <w:rFonts w:eastAsia="Times New Roman" w:cs="Times New Roman"/>
          <w:b/>
          <w:bCs/>
          <w:rtl/>
          <w:lang w:eastAsia="de-DE"/>
        </w:rPr>
        <w:t>ליהוה</w:t>
      </w:r>
      <w:r w:rsidRPr="004637CC">
        <w:rPr>
          <w:rFonts w:eastAsia="Times New Roman" w:cs="Times New Roman"/>
          <w:rtl/>
          <w:lang w:eastAsia="de-DE"/>
        </w:rPr>
        <w:t xml:space="preserve"> </w:t>
      </w:r>
      <w:r w:rsidRPr="004637CC">
        <w:rPr>
          <w:rFonts w:eastAsia="Times New Roman" w:cs="Times New Roman"/>
          <w:lang w:eastAsia="de-DE"/>
        </w:rPr>
        <w:t>entspricht V. 5.</w:t>
      </w:r>
    </w:p>
    <w:p w14:paraId="633EF64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שבעת ימים מצות תאכלו</w:t>
      </w:r>
      <w:r w:rsidRPr="004637CC">
        <w:rPr>
          <w:rFonts w:eastAsia="Times New Roman" w:cs="Times New Roman"/>
          <w:rtl/>
          <w:lang w:eastAsia="de-DE"/>
        </w:rPr>
        <w:t xml:space="preserve"> </w:t>
      </w:r>
      <w:r w:rsidRPr="004637CC">
        <w:rPr>
          <w:rFonts w:eastAsia="Times New Roman" w:cs="Times New Roman"/>
          <w:lang w:eastAsia="de-DE"/>
        </w:rPr>
        <w:t xml:space="preserve">(sieben Tage sollt ihr ungesäuertes Brot essen) -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 xml:space="preserve">(sieben Tage) zeigt die Festdauer. </w:t>
      </w:r>
      <w:r w:rsidRPr="004637CC">
        <w:rPr>
          <w:rFonts w:eastAsia="Times New Roman" w:cs="Times New Roman"/>
          <w:b/>
          <w:bCs/>
          <w:rtl/>
          <w:lang w:eastAsia="de-DE"/>
        </w:rPr>
        <w:t>מצות תאכלו</w:t>
      </w:r>
      <w:r w:rsidRPr="004637CC">
        <w:rPr>
          <w:rFonts w:eastAsia="Times New Roman" w:cs="Times New Roman"/>
          <w:rtl/>
          <w:lang w:eastAsia="de-DE"/>
        </w:rPr>
        <w:t xml:space="preserve"> </w:t>
      </w:r>
      <w:r w:rsidRPr="004637CC">
        <w:rPr>
          <w:rFonts w:eastAsia="Times New Roman" w:cs="Times New Roman"/>
          <w:lang w:eastAsia="de-DE"/>
        </w:rPr>
        <w:t>(ungesäuertes Brot sollt ihr essen) im Qal-Imperfekt zeigt Speisevorschrift.</w:t>
      </w:r>
    </w:p>
    <w:p w14:paraId="017A00B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חמשה עשר</w:t>
      </w:r>
      <w:r w:rsidRPr="004637CC">
        <w:rPr>
          <w:rFonts w:eastAsia="Times New Roman" w:cs="Times New Roman"/>
          <w:rtl/>
          <w:lang w:eastAsia="de-DE"/>
        </w:rPr>
        <w:t xml:space="preserve"> </w:t>
      </w:r>
      <w:r w:rsidRPr="004637CC">
        <w:rPr>
          <w:rFonts w:eastAsia="Times New Roman" w:cs="Times New Roman"/>
          <w:lang w:eastAsia="de-DE"/>
        </w:rPr>
        <w:t xml:space="preserve">direkt nach Pesach zeigt Festkontinuität. </w:t>
      </w:r>
      <w:r w:rsidRPr="004637CC">
        <w:rPr>
          <w:rFonts w:eastAsia="Times New Roman" w:cs="Times New Roman"/>
          <w:b/>
          <w:bCs/>
          <w:rtl/>
          <w:lang w:eastAsia="de-DE"/>
        </w:rPr>
        <w:t>חג המצות</w:t>
      </w:r>
      <w:r w:rsidRPr="004637CC">
        <w:rPr>
          <w:rFonts w:eastAsia="Times New Roman" w:cs="Times New Roman"/>
          <w:rtl/>
          <w:lang w:eastAsia="de-DE"/>
        </w:rPr>
        <w:t xml:space="preserve"> </w:t>
      </w:r>
      <w:r w:rsidRPr="004637CC">
        <w:rPr>
          <w:rFonts w:eastAsia="Times New Roman" w:cs="Times New Roman"/>
          <w:lang w:eastAsia="de-DE"/>
        </w:rPr>
        <w:t xml:space="preserve">als eigenständiges Fest mit eigener Charakteristik.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als heilige Siebenzahl.</w:t>
      </w:r>
    </w:p>
    <w:p w14:paraId="4079616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חמשה עשר</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εντεκ</w:t>
      </w:r>
      <w:proofErr w:type="spellEnd"/>
      <w:r w:rsidRPr="004637CC">
        <w:rPr>
          <w:rFonts w:eastAsia="Times New Roman" w:cs="Times New Roman"/>
          <w:lang w:eastAsia="de-DE"/>
        </w:rPr>
        <w:t xml:space="preserve">αιδεκάτῃ (am fünfzehnten), </w:t>
      </w:r>
      <w:r w:rsidRPr="004637CC">
        <w:rPr>
          <w:rFonts w:eastAsia="Times New Roman" w:cs="Times New Roman"/>
          <w:b/>
          <w:bCs/>
          <w:rtl/>
          <w:lang w:eastAsia="de-DE"/>
        </w:rPr>
        <w:t>חג המצות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ἑορτὴ</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τῶν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ἀζύμων</w:t>
      </w:r>
      <w:proofErr w:type="spellEnd"/>
      <w:r w:rsidRPr="004637CC">
        <w:rPr>
          <w:rFonts w:eastAsia="Times New Roman" w:cs="Times New Roman"/>
          <w:lang w:eastAsia="de-DE"/>
        </w:rPr>
        <w:t xml:space="preserve"> (Fest der ungesäuerten Brote),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mit ἑπ</w:t>
      </w:r>
      <w:proofErr w:type="spellStart"/>
      <w:r w:rsidRPr="004637CC">
        <w:rPr>
          <w:rFonts w:eastAsia="Times New Roman" w:cs="Times New Roman"/>
          <w:lang w:eastAsia="de-DE"/>
        </w:rPr>
        <w:t>τὰ</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 xml:space="preserve">ας (sieben Tage) und </w:t>
      </w:r>
      <w:r w:rsidRPr="004637CC">
        <w:rPr>
          <w:rFonts w:eastAsia="Times New Roman" w:cs="Times New Roman"/>
          <w:b/>
          <w:bCs/>
          <w:rtl/>
          <w:lang w:eastAsia="de-DE"/>
        </w:rPr>
        <w:t>מצות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ἄζυμ</w:t>
      </w:r>
      <w:proofErr w:type="spellEnd"/>
      <w:r w:rsidRPr="004637CC">
        <w:rPr>
          <w:rFonts w:eastAsia="Times New Roman" w:cs="Times New Roman"/>
          <w:lang w:eastAsia="de-DE"/>
        </w:rPr>
        <w:t>α (Ungesäuertes).</w:t>
      </w:r>
    </w:p>
    <w:p w14:paraId="0B9AF48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Mazzot-Fest-Etablierung: 15. Tag desselben Monats + Fest-Bezeichnung + göttlicher Bezug + siebentägige Dauer + Speisevorschrift.</w:t>
      </w:r>
    </w:p>
    <w:p w14:paraId="52A4B0B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das Mazzotfest als siebentägiges Fest direkt nach Pesach mit spezifischer Speisevorschrift.</w:t>
      </w:r>
    </w:p>
    <w:p w14:paraId="1CDA5A7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23,7</w:t>
      </w:r>
    </w:p>
    <w:p w14:paraId="7FCC2E0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בַּיּוֹם֙ הָֽרִאשׁ֔וֹן מִקְרָא־קֹ֖דֶשׁ יִהְיֶ֣ה לָכֶ֑ם כָּל־מְלֶ֥אכֶת עֲבֹדָ֖ה לֹ֥א תַעֲשֽׂוּ׃</w:t>
      </w:r>
    </w:p>
    <w:p w14:paraId="570E133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Am ersten Tag soll euch eine heilige Versammlung sein; keine Dienstarbeit sollt ihr tun.</w:t>
      </w:r>
    </w:p>
    <w:p w14:paraId="5202FA11"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B797693">
          <v:rect id="_x0000_i1688" style="width:0;height:1.5pt" o:hralign="center" o:hrstd="t" o:hr="t" fillcolor="#a0a0a0" stroked="f"/>
        </w:pict>
      </w:r>
    </w:p>
    <w:p w14:paraId="5740520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ביום הראשון מקרא־קדש יהיה לכם 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zeigt die Arbeitsruhe am ersten Tag des Mazzotfestes. </w:t>
      </w:r>
      <w:r w:rsidRPr="004637CC">
        <w:rPr>
          <w:rFonts w:eastAsia="Times New Roman" w:cs="Times New Roman"/>
          <w:b/>
          <w:bCs/>
          <w:rtl/>
          <w:lang w:eastAsia="de-DE"/>
        </w:rPr>
        <w:t>ביום הראשון</w:t>
      </w:r>
      <w:r w:rsidRPr="004637CC">
        <w:rPr>
          <w:rFonts w:eastAsia="Times New Roman" w:cs="Times New Roman"/>
          <w:rtl/>
          <w:lang w:eastAsia="de-DE"/>
        </w:rPr>
        <w:t xml:space="preserve"> </w:t>
      </w:r>
      <w:r w:rsidRPr="004637CC">
        <w:rPr>
          <w:rFonts w:eastAsia="Times New Roman" w:cs="Times New Roman"/>
          <w:lang w:eastAsia="de-DE"/>
        </w:rPr>
        <w:t xml:space="preserve">(am ersten Tag) bezieht sich auf den 15. des ersten Monats. </w:t>
      </w:r>
      <w:r w:rsidRPr="004637CC">
        <w:rPr>
          <w:rFonts w:eastAsia="Times New Roman" w:cs="Times New Roman"/>
          <w:b/>
          <w:bCs/>
          <w:rtl/>
          <w:lang w:eastAsia="de-DE"/>
        </w:rPr>
        <w:t>מקרא־קדש יהיה לכם</w:t>
      </w:r>
      <w:r w:rsidRPr="004637CC">
        <w:rPr>
          <w:rFonts w:eastAsia="Times New Roman" w:cs="Times New Roman"/>
          <w:rtl/>
          <w:lang w:eastAsia="de-DE"/>
        </w:rPr>
        <w:t xml:space="preserve"> </w:t>
      </w:r>
      <w:r w:rsidRPr="004637CC">
        <w:rPr>
          <w:rFonts w:eastAsia="Times New Roman" w:cs="Times New Roman"/>
          <w:lang w:eastAsia="de-DE"/>
        </w:rPr>
        <w:t>(soll euch eine heilige Versammlung sein) entspricht V. 2-4 und zeigt den Versammlungscharakter.</w:t>
      </w:r>
    </w:p>
    <w:p w14:paraId="5997363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(keine Dienstarbeit sollt ihr tun) - </w:t>
      </w:r>
      <w:r w:rsidRPr="004637CC">
        <w:rPr>
          <w:rFonts w:eastAsia="Times New Roman" w:cs="Times New Roman"/>
          <w:b/>
          <w:bCs/>
          <w:rtl/>
          <w:lang w:eastAsia="de-DE"/>
        </w:rPr>
        <w:t>כל־מלאכת עבדה</w:t>
      </w:r>
      <w:r w:rsidRPr="004637CC">
        <w:rPr>
          <w:rFonts w:eastAsia="Times New Roman" w:cs="Times New Roman"/>
          <w:rtl/>
          <w:lang w:eastAsia="de-DE"/>
        </w:rPr>
        <w:t xml:space="preserve"> </w:t>
      </w:r>
      <w:r w:rsidRPr="004637CC">
        <w:rPr>
          <w:rFonts w:eastAsia="Times New Roman" w:cs="Times New Roman"/>
          <w:lang w:eastAsia="de-DE"/>
        </w:rPr>
        <w:t xml:space="preserve">(jede Dienstarbeit) zeigt spezifische Arbeitsarten im Unterschied zu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beim Schabbat. </w:t>
      </w:r>
      <w:r w:rsidRPr="004637CC">
        <w:rPr>
          <w:rFonts w:eastAsia="Times New Roman" w:cs="Times New Roman"/>
          <w:b/>
          <w:bCs/>
          <w:rtl/>
          <w:lang w:eastAsia="de-DE"/>
        </w:rPr>
        <w:t>לא תעשו</w:t>
      </w:r>
      <w:r w:rsidRPr="004637CC">
        <w:rPr>
          <w:rFonts w:eastAsia="Times New Roman" w:cs="Times New Roman"/>
          <w:rtl/>
          <w:lang w:eastAsia="de-DE"/>
        </w:rPr>
        <w:t xml:space="preserve"> </w:t>
      </w:r>
      <w:r w:rsidRPr="004637CC">
        <w:rPr>
          <w:rFonts w:eastAsia="Times New Roman" w:cs="Times New Roman"/>
          <w:lang w:eastAsia="de-DE"/>
        </w:rPr>
        <w:t>(sollt ihr nicht tun) im Qal-Imperfekt zeigt Arbeitsverbot.</w:t>
      </w:r>
    </w:p>
    <w:p w14:paraId="1909041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יום הראשון</w:t>
      </w:r>
      <w:r w:rsidRPr="004637CC">
        <w:rPr>
          <w:rFonts w:eastAsia="Times New Roman" w:cs="Times New Roman"/>
          <w:rtl/>
          <w:lang w:eastAsia="de-DE"/>
        </w:rPr>
        <w:t xml:space="preserve"> </w:t>
      </w:r>
      <w:r w:rsidRPr="004637CC">
        <w:rPr>
          <w:rFonts w:eastAsia="Times New Roman" w:cs="Times New Roman"/>
          <w:lang w:eastAsia="de-DE"/>
        </w:rPr>
        <w:t xml:space="preserve">zeigt Festbeginn mit besonderer Heiligkeit.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verbindet mit der </w:t>
      </w:r>
      <w:r w:rsidRPr="004637CC">
        <w:rPr>
          <w:rFonts w:eastAsia="Times New Roman" w:cs="Times New Roman"/>
          <w:b/>
          <w:bCs/>
          <w:rtl/>
          <w:lang w:eastAsia="de-DE"/>
        </w:rPr>
        <w:t>מועדים</w:t>
      </w:r>
      <w:r w:rsidRPr="004637CC">
        <w:rPr>
          <w:rFonts w:eastAsia="Times New Roman" w:cs="Times New Roman"/>
          <w:lang w:eastAsia="de-DE"/>
        </w:rPr>
        <w:t xml:space="preserve">-Terminologie.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als mildere Arbeitsruhe im Vergleich zum Schabbat.</w:t>
      </w:r>
    </w:p>
    <w:p w14:paraId="79C340E1" w14:textId="36498CF7" w:rsidR="00775F21" w:rsidRDefault="004637CC" w:rsidP="00775F21">
      <w:pPr>
        <w:spacing w:before="100" w:beforeAutospacing="1" w:after="100" w:afterAutospacing="1" w:line="240" w:lineRule="auto"/>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in </w:t>
      </w:r>
      <w:r w:rsidR="00775F21" w:rsidRPr="00775F21">
        <w:rPr>
          <w:b/>
          <w:bCs/>
        </w:rPr>
        <w:t>Vers 7-8</w:t>
      </w:r>
      <w:r w:rsidR="00775F21">
        <w:t xml:space="preserve"> </w:t>
      </w:r>
      <w:r w:rsidR="00775F21">
        <w:rPr>
          <w:rtl/>
        </w:rPr>
        <w:t>מלאכת עבדה</w:t>
      </w:r>
      <w:r w:rsidR="00775F21">
        <w:t xml:space="preserve"> (</w:t>
      </w:r>
      <w:proofErr w:type="spellStart"/>
      <w:r w:rsidR="00775F21">
        <w:t>melecht</w:t>
      </w:r>
      <w:proofErr w:type="spellEnd"/>
      <w:r w:rsidR="00775F21">
        <w:t xml:space="preserve"> </w:t>
      </w:r>
      <w:proofErr w:type="spellStart"/>
      <w:r w:rsidR="00775F21">
        <w:t>avoda</w:t>
      </w:r>
      <w:proofErr w:type="spellEnd"/>
      <w:r w:rsidR="00775F21">
        <w:t xml:space="preserve"> - "Dienstarbeit") als </w:t>
      </w:r>
      <w:proofErr w:type="spellStart"/>
      <w:r w:rsidR="00775F21">
        <w:t>ἔργον</w:t>
      </w:r>
      <w:proofErr w:type="spellEnd"/>
      <w:r w:rsidR="00775F21">
        <w:t xml:space="preserve"> λα</w:t>
      </w:r>
      <w:proofErr w:type="spellStart"/>
      <w:r w:rsidR="00775F21">
        <w:t>τρευτόν</w:t>
      </w:r>
      <w:proofErr w:type="spellEnd"/>
      <w:r w:rsidR="00775F21">
        <w:t xml:space="preserve"> (kultische Arbeit), was eine spezifischere religiöse Terminologie darstellt.</w:t>
      </w:r>
    </w:p>
    <w:p w14:paraId="10CF9302" w14:textId="5524A463" w:rsidR="004637CC" w:rsidRPr="004637CC" w:rsidRDefault="004637CC" w:rsidP="00775F21">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Satzstruktur</w:t>
      </w:r>
      <w:r w:rsidRPr="004637CC">
        <w:rPr>
          <w:rFonts w:eastAsia="Times New Roman" w:cs="Times New Roman"/>
          <w:lang w:eastAsia="de-DE"/>
        </w:rPr>
        <w:t xml:space="preserve"> zeigt Mazzot-Festbeginn: erster Tag + heiliger Versammlungscharakter + Dienstarbeitsverbot.</w:t>
      </w:r>
    </w:p>
    <w:p w14:paraId="0647713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den ersten Tag des Mazzotfestes als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mit eingeschränkter Arbeitsruhe.</w:t>
      </w:r>
    </w:p>
    <w:p w14:paraId="7DD0363B"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23,8</w:t>
      </w:r>
    </w:p>
    <w:p w14:paraId="37BD660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וְהִקְרַבְתֶּ֥ם אִשֶּׁ֛ה לַיהוָ֖ה שִׁבְעַ֣ת יָמִ֑ים בַּיּ֤וֹם הַשְּׁבִיעִי֙ מִקְרָא־קֹ֔דֶשׁ כָּל־מְלֶ֥אכֶת עֲבֹדָ֖ה לֹ֥א תַעֲשֽׂוּ׃</w:t>
      </w:r>
    </w:p>
    <w:p w14:paraId="7800DAD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dem Ewigen ein Feueropfer darbringen sieben Tage lang; am siebten Tag ist eine heilige Versammlung, keinerlei Dienstarbeit sollt ihr tun.</w:t>
      </w:r>
    </w:p>
    <w:p w14:paraId="53D91777"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DC6CB3A">
          <v:rect id="_x0000_i1689" style="width:0;height:1.5pt" o:hralign="center" o:hrstd="t" o:hr="t" fillcolor="#a0a0a0" stroked="f"/>
        </w:pict>
      </w:r>
    </w:p>
    <w:p w14:paraId="4A661FA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והקרבתם אשה ליהוה שבעת ימים ביום השביעי מקרא־קדש 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zeigt die Opferpflicht und den Festabschluss. </w:t>
      </w:r>
      <w:r w:rsidRPr="004637CC">
        <w:rPr>
          <w:rFonts w:eastAsia="Times New Roman" w:cs="Times New Roman"/>
          <w:b/>
          <w:bCs/>
          <w:rtl/>
          <w:lang w:eastAsia="de-DE"/>
        </w:rPr>
        <w:t>והקרבתם אשה ליהוה שבעת ימים</w:t>
      </w:r>
      <w:r w:rsidRPr="004637CC">
        <w:rPr>
          <w:rFonts w:eastAsia="Times New Roman" w:cs="Times New Roman"/>
          <w:rtl/>
          <w:lang w:eastAsia="de-DE"/>
        </w:rPr>
        <w:t xml:space="preserve"> </w:t>
      </w:r>
      <w:r w:rsidRPr="004637CC">
        <w:rPr>
          <w:rFonts w:eastAsia="Times New Roman" w:cs="Times New Roman"/>
          <w:lang w:eastAsia="de-DE"/>
        </w:rPr>
        <w:t xml:space="preserve">(und ihr sollt dem Ewigen ein Feueropfer darbringen sieben Tage lang) - </w:t>
      </w:r>
      <w:r w:rsidRPr="004637CC">
        <w:rPr>
          <w:rFonts w:eastAsia="Times New Roman" w:cs="Times New Roman"/>
          <w:b/>
          <w:bCs/>
          <w:rtl/>
          <w:lang w:eastAsia="de-DE"/>
        </w:rPr>
        <w:t>והקרבתם</w:t>
      </w:r>
      <w:r w:rsidRPr="004637CC">
        <w:rPr>
          <w:rFonts w:eastAsia="Times New Roman" w:cs="Times New Roman"/>
          <w:rtl/>
          <w:lang w:eastAsia="de-DE"/>
        </w:rPr>
        <w:t xml:space="preserve"> </w:t>
      </w:r>
      <w:r w:rsidRPr="004637CC">
        <w:rPr>
          <w:rFonts w:eastAsia="Times New Roman" w:cs="Times New Roman"/>
          <w:lang w:eastAsia="de-DE"/>
        </w:rPr>
        <w:t xml:space="preserve">(und ihr sollt darbringen) im Hifil-Perfekt mit Waw-Konsekutiv. </w:t>
      </w:r>
      <w:r w:rsidRPr="004637CC">
        <w:rPr>
          <w:rFonts w:eastAsia="Times New Roman" w:cs="Times New Roman"/>
          <w:b/>
          <w:bCs/>
          <w:rtl/>
          <w:lang w:eastAsia="de-DE"/>
        </w:rPr>
        <w:t>אשה</w:t>
      </w:r>
      <w:r w:rsidRPr="004637CC">
        <w:rPr>
          <w:rFonts w:eastAsia="Times New Roman" w:cs="Times New Roman"/>
          <w:rtl/>
          <w:lang w:eastAsia="de-DE"/>
        </w:rPr>
        <w:t xml:space="preserve"> </w:t>
      </w:r>
      <w:r w:rsidRPr="004637CC">
        <w:rPr>
          <w:rFonts w:eastAsia="Times New Roman" w:cs="Times New Roman"/>
          <w:lang w:eastAsia="de-DE"/>
        </w:rPr>
        <w:t xml:space="preserve">(Feueropfer) zeigt tägliche Opfer.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(sieben Tage lang) zeigt die gesamte Festdauer.</w:t>
      </w:r>
    </w:p>
    <w:p w14:paraId="4AD900F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ביום השביעי מקרא־קדש</w:t>
      </w:r>
      <w:r w:rsidRPr="004637CC">
        <w:rPr>
          <w:rFonts w:eastAsia="Times New Roman" w:cs="Times New Roman"/>
          <w:rtl/>
          <w:lang w:eastAsia="de-DE"/>
        </w:rPr>
        <w:t xml:space="preserve"> </w:t>
      </w:r>
      <w:r w:rsidRPr="004637CC">
        <w:rPr>
          <w:rFonts w:eastAsia="Times New Roman" w:cs="Times New Roman"/>
          <w:lang w:eastAsia="de-DE"/>
        </w:rPr>
        <w:t xml:space="preserve">(am siebten Tag ist eine heilige Versammlung) zeigt den Festabschluss wie den Festbeginn. </w:t>
      </w: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entspricht V. 7.</w:t>
      </w:r>
    </w:p>
    <w:p w14:paraId="0206DF8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אשה ליהוה שבעת ימים</w:t>
      </w:r>
      <w:r w:rsidRPr="004637CC">
        <w:rPr>
          <w:rFonts w:eastAsia="Times New Roman" w:cs="Times New Roman"/>
          <w:rtl/>
          <w:lang w:eastAsia="de-DE"/>
        </w:rPr>
        <w:t xml:space="preserve"> </w:t>
      </w:r>
      <w:r w:rsidRPr="004637CC">
        <w:rPr>
          <w:rFonts w:eastAsia="Times New Roman" w:cs="Times New Roman"/>
          <w:lang w:eastAsia="de-DE"/>
        </w:rPr>
        <w:t xml:space="preserve">zeigt kontinuierliche Opferpflicht während der gesamten Festwoche. </w:t>
      </w:r>
      <w:r w:rsidRPr="004637CC">
        <w:rPr>
          <w:rFonts w:eastAsia="Times New Roman" w:cs="Times New Roman"/>
          <w:b/>
          <w:bCs/>
          <w:rtl/>
          <w:lang w:eastAsia="de-DE"/>
        </w:rPr>
        <w:t>יום השביעי</w:t>
      </w:r>
      <w:r w:rsidRPr="004637CC">
        <w:rPr>
          <w:rFonts w:eastAsia="Times New Roman" w:cs="Times New Roman"/>
          <w:rtl/>
          <w:lang w:eastAsia="de-DE"/>
        </w:rPr>
        <w:t xml:space="preserve"> </w:t>
      </w:r>
      <w:r w:rsidRPr="004637CC">
        <w:rPr>
          <w:rFonts w:eastAsia="Times New Roman" w:cs="Times New Roman"/>
          <w:lang w:eastAsia="de-DE"/>
        </w:rPr>
        <w:t xml:space="preserve">als Festabschluss parallel zum ersten Tag.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rahmt das Fest.</w:t>
      </w:r>
    </w:p>
    <w:p w14:paraId="5CB9B85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והקרבתם אשה</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ροσάξετε</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κάρ</w:t>
      </w:r>
      <w:proofErr w:type="spellEnd"/>
      <w:r w:rsidRPr="004637CC">
        <w:rPr>
          <w:rFonts w:eastAsia="Times New Roman" w:cs="Times New Roman"/>
          <w:lang w:eastAsia="de-DE"/>
        </w:rPr>
        <w:t xml:space="preserve">πωμα (ihr werdet Opfergabe darbringen),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mit ἑπ</w:t>
      </w:r>
      <w:proofErr w:type="spellStart"/>
      <w:r w:rsidRPr="004637CC">
        <w:rPr>
          <w:rFonts w:eastAsia="Times New Roman" w:cs="Times New Roman"/>
          <w:lang w:eastAsia="de-DE"/>
        </w:rPr>
        <w:t>τὰ</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 xml:space="preserve">ας (sieben Tage), </w:t>
      </w:r>
      <w:r w:rsidRPr="004637CC">
        <w:rPr>
          <w:rFonts w:eastAsia="Times New Roman" w:cs="Times New Roman"/>
          <w:b/>
          <w:bCs/>
          <w:rtl/>
          <w:lang w:eastAsia="de-DE"/>
        </w:rPr>
        <w:t>ביום השביעי</w:t>
      </w:r>
      <w:r w:rsidRPr="004637CC">
        <w:rPr>
          <w:rFonts w:eastAsia="Times New Roman" w:cs="Times New Roman"/>
          <w:rtl/>
          <w:lang w:eastAsia="de-DE"/>
        </w:rPr>
        <w:t xml:space="preserve"> </w:t>
      </w:r>
      <w:r w:rsidRPr="004637CC">
        <w:rPr>
          <w:rFonts w:eastAsia="Times New Roman" w:cs="Times New Roman"/>
          <w:lang w:eastAsia="de-DE"/>
        </w:rPr>
        <w:t xml:space="preserve">mit ἡ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α ἡ ἑβ</w:t>
      </w:r>
      <w:proofErr w:type="spellStart"/>
      <w:r w:rsidRPr="004637CC">
        <w:rPr>
          <w:rFonts w:eastAsia="Times New Roman" w:cs="Times New Roman"/>
          <w:lang w:eastAsia="de-DE"/>
        </w:rPr>
        <w:t>δόμη</w:t>
      </w:r>
      <w:proofErr w:type="spellEnd"/>
      <w:r w:rsidRPr="004637CC">
        <w:rPr>
          <w:rFonts w:eastAsia="Times New Roman" w:cs="Times New Roman"/>
          <w:lang w:eastAsia="de-DE"/>
        </w:rPr>
        <w:t xml:space="preserve"> (der siebte Tag) und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κλητὸς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ἅγιος</w:t>
      </w:r>
      <w:proofErr w:type="spellEnd"/>
      <w:r w:rsidRPr="004637CC">
        <w:rPr>
          <w:rFonts w:eastAsia="Times New Roman" w:cs="Times New Roman"/>
          <w:lang w:eastAsia="de-DE"/>
        </w:rPr>
        <w:t xml:space="preserve"> (heilige Berufung).</w:t>
      </w:r>
    </w:p>
    <w:p w14:paraId="5BE20FA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Mazzot-Festordnung: siebentägige Feueropfer-Darbringung + siebter Tag als heilige Versammlung + Dienstarbeitsverbot.</w:t>
      </w:r>
    </w:p>
    <w:p w14:paraId="0A7FDBB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die liturgische Ordnung des Mazzotfestes mit täglichen Opfern und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am ersten und siebten Tag.</w:t>
      </w:r>
    </w:p>
    <w:p w14:paraId="661D48C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23,9</w:t>
      </w:r>
    </w:p>
    <w:p w14:paraId="0C7E152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5BFEFDC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605A3EAA"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E6F6A81">
          <v:rect id="_x0000_i1690" style="width:0;height:1.5pt" o:hralign="center" o:hrstd="t" o:hr="t" fillcolor="#a0a0a0" stroked="f"/>
        </w:pict>
      </w:r>
    </w:p>
    <w:p w14:paraId="0122E04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als neue Offenbarungseinleitung für das Omergesetz. Diese leitet einen neuen thematischen Abschnitt über die Erstlingsgabe ein, der mit dem Mazzotfest verbunden ist.</w:t>
      </w:r>
    </w:p>
    <w:p w14:paraId="320268B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lastRenderedPageBreak/>
        <w:t>Dieser Vers leitet die Vorschriften über die Erstlingsgarbe (</w:t>
      </w:r>
      <w:r w:rsidRPr="004637CC">
        <w:rPr>
          <w:rFonts w:eastAsia="Times New Roman" w:cs="Times New Roman"/>
          <w:b/>
          <w:bCs/>
          <w:rtl/>
          <w:lang w:eastAsia="de-DE"/>
        </w:rPr>
        <w:t>עמר</w:t>
      </w:r>
      <w:r w:rsidRPr="004637CC">
        <w:rPr>
          <w:rFonts w:eastAsia="Times New Roman" w:cs="Times New Roman"/>
          <w:lang w:eastAsia="de-DE"/>
        </w:rPr>
        <w:t>) und das Wochenfest ein.</w:t>
      </w:r>
    </w:p>
    <w:p w14:paraId="21792B46"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23,10</w:t>
      </w:r>
    </w:p>
    <w:p w14:paraId="407DF12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דַּבֵּ֞ר אֶל־בְּנֵ֤י יִשְׂרָאֵל֙ וְאָמַרְתָּ֣ אֲלֵהֶ֔ם כִּֽי־תָבֹ֣אוּ אֶל־הָאָ֗רֶץ אֲשֶׁ֤ר אֲנִי֙ נֹתֵ֣ן לָכֶ֔ם וּקְצַרְתֶּ֖ם אֶת־קְצִירָ֑הּ וַהֲבֵאתֶ֥ם אֶת־עֹ֛מֶר רֵאשִׁ֥ית קְצִירְכֶ֖ם אֶל־הַכֹּהֵֽן׃</w:t>
      </w:r>
    </w:p>
    <w:p w14:paraId="3A989F9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Rede zu den Kindern Israels und sage ihnen: Wenn ihr in das Land kommt, das ich euch gebe, und ihr seine Ernte erntet, so sollt ihr eine Garbe der Erstlinge eurer Ernte zum Priester bringen.</w:t>
      </w:r>
    </w:p>
    <w:p w14:paraId="0C2F8481"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355A910">
          <v:rect id="_x0000_i1691" style="width:0;height:1.5pt" o:hralign="center" o:hrstd="t" o:hr="t" fillcolor="#a0a0a0" stroked="f"/>
        </w:pict>
      </w:r>
    </w:p>
    <w:p w14:paraId="15FB0D2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דבר אל־בני ישראל ואמרת אלהם כי־תבאו אל־הארץ אשר אני נתן לכם וקצרתם את־קצירה והבאתם את־עמר ראשית קצירכם אל־הכהן</w:t>
      </w:r>
      <w:r w:rsidRPr="004637CC">
        <w:rPr>
          <w:rFonts w:eastAsia="Times New Roman" w:cs="Times New Roman"/>
          <w:rtl/>
          <w:lang w:eastAsia="de-DE"/>
        </w:rPr>
        <w:t xml:space="preserve"> </w:t>
      </w:r>
      <w:r w:rsidRPr="004637CC">
        <w:rPr>
          <w:rFonts w:eastAsia="Times New Roman" w:cs="Times New Roman"/>
          <w:lang w:eastAsia="de-DE"/>
        </w:rPr>
        <w:t xml:space="preserve">etabliert das Omergesetz für die Landnahmezeit. </w:t>
      </w:r>
      <w:r w:rsidRPr="004637CC">
        <w:rPr>
          <w:rFonts w:eastAsia="Times New Roman" w:cs="Times New Roman"/>
          <w:b/>
          <w:bCs/>
          <w:rtl/>
          <w:lang w:eastAsia="de-DE"/>
        </w:rPr>
        <w:t>דבר אל־בני ישראל ואמרת אלהם</w:t>
      </w:r>
      <w:r w:rsidRPr="004637CC">
        <w:rPr>
          <w:rFonts w:eastAsia="Times New Roman" w:cs="Times New Roman"/>
          <w:rtl/>
          <w:lang w:eastAsia="de-DE"/>
        </w:rPr>
        <w:t xml:space="preserve"> </w:t>
      </w:r>
      <w:r w:rsidRPr="004637CC">
        <w:rPr>
          <w:rFonts w:eastAsia="Times New Roman" w:cs="Times New Roman"/>
          <w:lang w:eastAsia="de-DE"/>
        </w:rPr>
        <w:t>entspricht V. 2.</w:t>
      </w:r>
    </w:p>
    <w:p w14:paraId="5B334A4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כי־תבאו אל־הארץ אשר אני נתן לכם</w:t>
      </w:r>
      <w:r w:rsidRPr="004637CC">
        <w:rPr>
          <w:rFonts w:eastAsia="Times New Roman" w:cs="Times New Roman"/>
          <w:rtl/>
          <w:lang w:eastAsia="de-DE"/>
        </w:rPr>
        <w:t xml:space="preserve"> </w:t>
      </w:r>
      <w:r w:rsidRPr="004637CC">
        <w:rPr>
          <w:rFonts w:eastAsia="Times New Roman" w:cs="Times New Roman"/>
          <w:lang w:eastAsia="de-DE"/>
        </w:rPr>
        <w:t xml:space="preserve">(wenn ihr in das Land kommt, das ich euch gebe) zeigt den Verheißungslandkontext. </w:t>
      </w:r>
      <w:r w:rsidRPr="004637CC">
        <w:rPr>
          <w:rFonts w:eastAsia="Times New Roman" w:cs="Times New Roman"/>
          <w:b/>
          <w:bCs/>
          <w:rtl/>
          <w:lang w:eastAsia="de-DE"/>
        </w:rPr>
        <w:t>וקצרתם את־קצירה</w:t>
      </w:r>
      <w:r w:rsidRPr="004637CC">
        <w:rPr>
          <w:rFonts w:eastAsia="Times New Roman" w:cs="Times New Roman"/>
          <w:rtl/>
          <w:lang w:eastAsia="de-DE"/>
        </w:rPr>
        <w:t xml:space="preserve"> </w:t>
      </w:r>
      <w:r w:rsidRPr="004637CC">
        <w:rPr>
          <w:rFonts w:eastAsia="Times New Roman" w:cs="Times New Roman"/>
          <w:lang w:eastAsia="de-DE"/>
        </w:rPr>
        <w:t xml:space="preserve">(und ihr seine Ernte erntet) - </w:t>
      </w:r>
      <w:r w:rsidRPr="004637CC">
        <w:rPr>
          <w:rFonts w:eastAsia="Times New Roman" w:cs="Times New Roman"/>
          <w:b/>
          <w:bCs/>
          <w:rtl/>
          <w:lang w:eastAsia="de-DE"/>
        </w:rPr>
        <w:t>קצרתם</w:t>
      </w:r>
      <w:r w:rsidRPr="004637CC">
        <w:rPr>
          <w:rFonts w:eastAsia="Times New Roman" w:cs="Times New Roman"/>
          <w:rtl/>
          <w:lang w:eastAsia="de-DE"/>
        </w:rPr>
        <w:t xml:space="preserve"> </w:t>
      </w:r>
      <w:r w:rsidRPr="004637CC">
        <w:rPr>
          <w:rFonts w:eastAsia="Times New Roman" w:cs="Times New Roman"/>
          <w:lang w:eastAsia="de-DE"/>
        </w:rPr>
        <w:t xml:space="preserve">(ihr erntet) im Qal-Perfekt. </w:t>
      </w:r>
      <w:r w:rsidRPr="004637CC">
        <w:rPr>
          <w:rFonts w:eastAsia="Times New Roman" w:cs="Times New Roman"/>
          <w:b/>
          <w:bCs/>
          <w:rtl/>
          <w:lang w:eastAsia="de-DE"/>
        </w:rPr>
        <w:t>את־קצירה</w:t>
      </w:r>
      <w:r w:rsidRPr="004637CC">
        <w:rPr>
          <w:rFonts w:eastAsia="Times New Roman" w:cs="Times New Roman"/>
          <w:rtl/>
          <w:lang w:eastAsia="de-DE"/>
        </w:rPr>
        <w:t xml:space="preserve"> </w:t>
      </w:r>
      <w:r w:rsidRPr="004637CC">
        <w:rPr>
          <w:rFonts w:eastAsia="Times New Roman" w:cs="Times New Roman"/>
          <w:lang w:eastAsia="de-DE"/>
        </w:rPr>
        <w:t>(seine Ernte) zeigt die Landesernte.</w:t>
      </w:r>
    </w:p>
    <w:p w14:paraId="59B68FB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והבאתם את־עמר ראשית קצירכם אל־הכהן</w:t>
      </w:r>
      <w:r w:rsidRPr="004637CC">
        <w:rPr>
          <w:rFonts w:eastAsia="Times New Roman" w:cs="Times New Roman"/>
          <w:rtl/>
          <w:lang w:eastAsia="de-DE"/>
        </w:rPr>
        <w:t xml:space="preserve"> </w:t>
      </w:r>
      <w:r w:rsidRPr="004637CC">
        <w:rPr>
          <w:rFonts w:eastAsia="Times New Roman" w:cs="Times New Roman"/>
          <w:lang w:eastAsia="de-DE"/>
        </w:rPr>
        <w:t xml:space="preserve">(so sollt ihr eine Garbe der Erstlinge eurer Ernte zum Priester bringen) - </w:t>
      </w:r>
      <w:r w:rsidRPr="004637CC">
        <w:rPr>
          <w:rFonts w:eastAsia="Times New Roman" w:cs="Times New Roman"/>
          <w:b/>
          <w:bCs/>
          <w:rtl/>
          <w:lang w:eastAsia="de-DE"/>
        </w:rPr>
        <w:t>עמר</w:t>
      </w:r>
      <w:r w:rsidRPr="004637CC">
        <w:rPr>
          <w:rFonts w:eastAsia="Times New Roman" w:cs="Times New Roman"/>
          <w:rtl/>
          <w:lang w:eastAsia="de-DE"/>
        </w:rPr>
        <w:t xml:space="preserve"> </w:t>
      </w:r>
      <w:r w:rsidRPr="004637CC">
        <w:rPr>
          <w:rFonts w:eastAsia="Times New Roman" w:cs="Times New Roman"/>
          <w:lang w:eastAsia="de-DE"/>
        </w:rPr>
        <w:t xml:space="preserve">(Garbe) als Maßeinheit. </w:t>
      </w:r>
      <w:r w:rsidRPr="004637CC">
        <w:rPr>
          <w:rFonts w:eastAsia="Times New Roman" w:cs="Times New Roman"/>
          <w:b/>
          <w:bCs/>
          <w:rtl/>
          <w:lang w:eastAsia="de-DE"/>
        </w:rPr>
        <w:t>ראשית קצירכם</w:t>
      </w:r>
      <w:r w:rsidRPr="004637CC">
        <w:rPr>
          <w:rFonts w:eastAsia="Times New Roman" w:cs="Times New Roman"/>
          <w:rtl/>
          <w:lang w:eastAsia="de-DE"/>
        </w:rPr>
        <w:t xml:space="preserve"> </w:t>
      </w:r>
      <w:r w:rsidRPr="004637CC">
        <w:rPr>
          <w:rFonts w:eastAsia="Times New Roman" w:cs="Times New Roman"/>
          <w:lang w:eastAsia="de-DE"/>
        </w:rPr>
        <w:t xml:space="preserve">(Erstlinge eurer Ernte) zeigt den </w:t>
      </w:r>
      <w:r w:rsidRPr="004637CC">
        <w:rPr>
          <w:rFonts w:eastAsia="Times New Roman" w:cs="Times New Roman"/>
          <w:b/>
          <w:bCs/>
          <w:rtl/>
          <w:lang w:eastAsia="de-DE"/>
        </w:rPr>
        <w:t>ראשית</w:t>
      </w:r>
      <w:r w:rsidRPr="004637CC">
        <w:rPr>
          <w:rFonts w:eastAsia="Times New Roman" w:cs="Times New Roman"/>
          <w:lang w:eastAsia="de-DE"/>
        </w:rPr>
        <w:t xml:space="preserve">-Charakter. </w:t>
      </w:r>
      <w:r w:rsidRPr="004637CC">
        <w:rPr>
          <w:rFonts w:eastAsia="Times New Roman" w:cs="Times New Roman"/>
          <w:b/>
          <w:bCs/>
          <w:rtl/>
          <w:lang w:eastAsia="de-DE"/>
        </w:rPr>
        <w:t>אל־הכהן</w:t>
      </w:r>
      <w:r w:rsidRPr="004637CC">
        <w:rPr>
          <w:rFonts w:eastAsia="Times New Roman" w:cs="Times New Roman"/>
          <w:rtl/>
          <w:lang w:eastAsia="de-DE"/>
        </w:rPr>
        <w:t xml:space="preserve"> </w:t>
      </w:r>
      <w:r w:rsidRPr="004637CC">
        <w:rPr>
          <w:rFonts w:eastAsia="Times New Roman" w:cs="Times New Roman"/>
          <w:lang w:eastAsia="de-DE"/>
        </w:rPr>
        <w:t>(zum Priester) zeigt priesterliche Vermittlung.</w:t>
      </w:r>
    </w:p>
    <w:p w14:paraId="4BB34EB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כי־תבאו אל־הארץ</w:t>
      </w:r>
      <w:r w:rsidRPr="004637CC">
        <w:rPr>
          <w:rFonts w:eastAsia="Times New Roman" w:cs="Times New Roman"/>
          <w:rtl/>
          <w:lang w:eastAsia="de-DE"/>
        </w:rPr>
        <w:t xml:space="preserve"> </w:t>
      </w:r>
      <w:r w:rsidRPr="004637CC">
        <w:rPr>
          <w:rFonts w:eastAsia="Times New Roman" w:cs="Times New Roman"/>
          <w:lang w:eastAsia="de-DE"/>
        </w:rPr>
        <w:t xml:space="preserve">zeigt zukünftige Gültigkeit nach der Landnahme. </w:t>
      </w:r>
      <w:r w:rsidRPr="004637CC">
        <w:rPr>
          <w:rFonts w:eastAsia="Times New Roman" w:cs="Times New Roman"/>
          <w:b/>
          <w:bCs/>
          <w:rtl/>
          <w:lang w:eastAsia="de-DE"/>
        </w:rPr>
        <w:t>עמר ראשית</w:t>
      </w:r>
      <w:r w:rsidRPr="004637CC">
        <w:rPr>
          <w:rFonts w:eastAsia="Times New Roman" w:cs="Times New Roman"/>
          <w:rtl/>
          <w:lang w:eastAsia="de-DE"/>
        </w:rPr>
        <w:t xml:space="preserve"> </w:t>
      </w:r>
      <w:r w:rsidRPr="004637CC">
        <w:rPr>
          <w:rFonts w:eastAsia="Times New Roman" w:cs="Times New Roman"/>
          <w:lang w:eastAsia="de-DE"/>
        </w:rPr>
        <w:t xml:space="preserve">verbindet Maßeinheit mit Erstlingsstatus. </w:t>
      </w:r>
      <w:r w:rsidRPr="004637CC">
        <w:rPr>
          <w:rFonts w:eastAsia="Times New Roman" w:cs="Times New Roman"/>
          <w:b/>
          <w:bCs/>
          <w:rtl/>
          <w:lang w:eastAsia="de-DE"/>
        </w:rPr>
        <w:t>אל־הכהן</w:t>
      </w:r>
      <w:r w:rsidRPr="004637CC">
        <w:rPr>
          <w:rFonts w:eastAsia="Times New Roman" w:cs="Times New Roman"/>
          <w:rtl/>
          <w:lang w:eastAsia="de-DE"/>
        </w:rPr>
        <w:t xml:space="preserve"> </w:t>
      </w:r>
      <w:r w:rsidRPr="004637CC">
        <w:rPr>
          <w:rFonts w:eastAsia="Times New Roman" w:cs="Times New Roman"/>
          <w:lang w:eastAsia="de-DE"/>
        </w:rPr>
        <w:t>zeigt priesterliche Rolle.</w:t>
      </w:r>
    </w:p>
    <w:p w14:paraId="38DFC562" w14:textId="4E79E174"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עמר</w:t>
      </w:r>
      <w:r w:rsidR="00775F21">
        <w:t xml:space="preserve"> (</w:t>
      </w:r>
      <w:proofErr w:type="spellStart"/>
      <w:r w:rsidR="00775F21">
        <w:t>omer</w:t>
      </w:r>
      <w:proofErr w:type="spellEnd"/>
      <w:r w:rsidR="00775F21">
        <w:t xml:space="preserve"> - Garbe) als </w:t>
      </w:r>
      <w:proofErr w:type="spellStart"/>
      <w:r w:rsidR="00775F21">
        <w:t>δράγμ</w:t>
      </w:r>
      <w:proofErr w:type="spellEnd"/>
      <w:r w:rsidR="00775F21">
        <w:t xml:space="preserve">α (Bündel/Garbe) und </w:t>
      </w:r>
      <w:r w:rsidR="00775F21">
        <w:rPr>
          <w:rtl/>
        </w:rPr>
        <w:t>ראשית</w:t>
      </w:r>
      <w:r w:rsidR="00775F21">
        <w:t xml:space="preserve"> (</w:t>
      </w:r>
      <w:proofErr w:type="spellStart"/>
      <w:r w:rsidR="00775F21">
        <w:t>reshit</w:t>
      </w:r>
      <w:proofErr w:type="spellEnd"/>
      <w:r w:rsidR="00775F21">
        <w:t xml:space="preserve"> - "Erstling") als ἀπα</w:t>
      </w:r>
      <w:proofErr w:type="spellStart"/>
      <w:r w:rsidR="00775F21">
        <w:t>ρχή</w:t>
      </w:r>
      <w:proofErr w:type="spellEnd"/>
      <w:r w:rsidR="00775F21">
        <w:t xml:space="preserve"> (Erstfrucht).</w:t>
      </w:r>
    </w:p>
    <w:p w14:paraId="7BA4009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Omer-Gesetz-Etablierung: Volks-Adressierung + Landnahme-Kontext + Ernte-Voraussetzung + Erstlingsgarbe-Darbringung + priesterliche Vermittlung.</w:t>
      </w:r>
    </w:p>
    <w:p w14:paraId="5DB77F5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die </w:t>
      </w:r>
      <w:r w:rsidRPr="004637CC">
        <w:rPr>
          <w:rFonts w:eastAsia="Times New Roman" w:cs="Times New Roman"/>
          <w:b/>
          <w:bCs/>
          <w:rtl/>
          <w:lang w:eastAsia="de-DE"/>
        </w:rPr>
        <w:t>עמר</w:t>
      </w:r>
      <w:r w:rsidRPr="004637CC">
        <w:rPr>
          <w:rFonts w:eastAsia="Times New Roman" w:cs="Times New Roman"/>
          <w:lang w:eastAsia="de-DE"/>
        </w:rPr>
        <w:t>-Darbringung als Erstlingsgabe der Gerstenernte nach der Landnahme.</w:t>
      </w:r>
    </w:p>
    <w:p w14:paraId="639D0864"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23,11</w:t>
      </w:r>
    </w:p>
    <w:p w14:paraId="1A57D1B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וְהֵנִ֧יף אֶת־הָעֹ֛מֶר לִפְנֵ֥י יְהוָ֖ה לִֽרְצֹנְכֶ֑ם מִֽמָּחֳרַת֙ הַשַּׁבָּ֔ת יְנִיפֶ֖נּוּ הַכֹּהֵֽן׃</w:t>
      </w:r>
    </w:p>
    <w:p w14:paraId="3615878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er soll die Garbe vor dem Ewigen schwingen zum Wohlgefallen für euch; am Tag nach dem Schabbat soll sie der Priester schwingen.</w:t>
      </w:r>
    </w:p>
    <w:p w14:paraId="72FD9119"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8438842">
          <v:rect id="_x0000_i1692" style="width:0;height:1.5pt" o:hralign="center" o:hrstd="t" o:hr="t" fillcolor="#a0a0a0" stroked="f"/>
        </w:pict>
      </w:r>
    </w:p>
    <w:p w14:paraId="04B44F5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והניף את־העמר לפני יהוה לרצנכם ממחרת השבת יניפנו הכהן</w:t>
      </w:r>
      <w:r w:rsidRPr="004637CC">
        <w:rPr>
          <w:rFonts w:eastAsia="Times New Roman" w:cs="Times New Roman"/>
          <w:rtl/>
          <w:lang w:eastAsia="de-DE"/>
        </w:rPr>
        <w:t xml:space="preserve"> </w:t>
      </w:r>
      <w:r w:rsidRPr="004637CC">
        <w:rPr>
          <w:rFonts w:eastAsia="Times New Roman" w:cs="Times New Roman"/>
          <w:lang w:eastAsia="de-DE"/>
        </w:rPr>
        <w:t xml:space="preserve">zeigt das Schwingopfer-Ritual. </w:t>
      </w:r>
      <w:r w:rsidRPr="004637CC">
        <w:rPr>
          <w:rFonts w:eastAsia="Times New Roman" w:cs="Times New Roman"/>
          <w:b/>
          <w:bCs/>
          <w:rtl/>
          <w:lang w:eastAsia="de-DE"/>
        </w:rPr>
        <w:t>והניף את־העמר לפני יהוה</w:t>
      </w:r>
      <w:r w:rsidRPr="004637CC">
        <w:rPr>
          <w:rFonts w:eastAsia="Times New Roman" w:cs="Times New Roman"/>
          <w:rtl/>
          <w:lang w:eastAsia="de-DE"/>
        </w:rPr>
        <w:t xml:space="preserve"> </w:t>
      </w:r>
      <w:r w:rsidRPr="004637CC">
        <w:rPr>
          <w:rFonts w:eastAsia="Times New Roman" w:cs="Times New Roman"/>
          <w:lang w:eastAsia="de-DE"/>
        </w:rPr>
        <w:t xml:space="preserve">(und er soll die Garbe vor dem Ewigen schwingen) - </w:t>
      </w:r>
      <w:r w:rsidRPr="004637CC">
        <w:rPr>
          <w:rFonts w:eastAsia="Times New Roman" w:cs="Times New Roman"/>
          <w:b/>
          <w:bCs/>
          <w:rtl/>
          <w:lang w:eastAsia="de-DE"/>
        </w:rPr>
        <w:t>והניף</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lang w:eastAsia="de-DE"/>
        </w:rPr>
        <w:lastRenderedPageBreak/>
        <w:t xml:space="preserve">er soll schwingen) im Hifil-Perfekt mit Waw-Konsekutiv, das Hifil zeigt kausatives Schwingen. </w:t>
      </w:r>
      <w:r w:rsidRPr="004637CC">
        <w:rPr>
          <w:rFonts w:eastAsia="Times New Roman" w:cs="Times New Roman"/>
          <w:b/>
          <w:bCs/>
          <w:rtl/>
          <w:lang w:eastAsia="de-DE"/>
        </w:rPr>
        <w:t>לפני יהוה</w:t>
      </w:r>
      <w:r w:rsidRPr="004637CC">
        <w:rPr>
          <w:rFonts w:eastAsia="Times New Roman" w:cs="Times New Roman"/>
          <w:rtl/>
          <w:lang w:eastAsia="de-DE"/>
        </w:rPr>
        <w:t xml:space="preserve"> </w:t>
      </w:r>
      <w:r w:rsidRPr="004637CC">
        <w:rPr>
          <w:rFonts w:eastAsia="Times New Roman" w:cs="Times New Roman"/>
          <w:lang w:eastAsia="de-DE"/>
        </w:rPr>
        <w:t>(vor dem Ewigen) zeigt liturgische Präsentation.</w:t>
      </w:r>
    </w:p>
    <w:p w14:paraId="1455703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לרצנכם</w:t>
      </w:r>
      <w:r w:rsidRPr="004637CC">
        <w:rPr>
          <w:rFonts w:eastAsia="Times New Roman" w:cs="Times New Roman"/>
          <w:rtl/>
          <w:lang w:eastAsia="de-DE"/>
        </w:rPr>
        <w:t xml:space="preserve"> </w:t>
      </w:r>
      <w:r w:rsidRPr="004637CC">
        <w:rPr>
          <w:rFonts w:eastAsia="Times New Roman" w:cs="Times New Roman"/>
          <w:lang w:eastAsia="de-DE"/>
        </w:rPr>
        <w:t xml:space="preserve">(zum Wohlgefallen für euch) entspricht den Opferformeln und zeigt göttliche Annahme als Ziel. </w:t>
      </w:r>
      <w:r w:rsidRPr="004637CC">
        <w:rPr>
          <w:rFonts w:eastAsia="Times New Roman" w:cs="Times New Roman"/>
          <w:b/>
          <w:bCs/>
          <w:rtl/>
          <w:lang w:eastAsia="de-DE"/>
        </w:rPr>
        <w:t>ממחרת השבת יניפנו הכהן</w:t>
      </w:r>
      <w:r w:rsidRPr="004637CC">
        <w:rPr>
          <w:rFonts w:eastAsia="Times New Roman" w:cs="Times New Roman"/>
          <w:rtl/>
          <w:lang w:eastAsia="de-DE"/>
        </w:rPr>
        <w:t xml:space="preserve"> </w:t>
      </w:r>
      <w:r w:rsidRPr="004637CC">
        <w:rPr>
          <w:rFonts w:eastAsia="Times New Roman" w:cs="Times New Roman"/>
          <w:lang w:eastAsia="de-DE"/>
        </w:rPr>
        <w:t xml:space="preserve">(am Tag nach dem Schabbat soll sie der Priester schwingen) - </w:t>
      </w:r>
      <w:r w:rsidRPr="004637CC">
        <w:rPr>
          <w:rFonts w:eastAsia="Times New Roman" w:cs="Times New Roman"/>
          <w:b/>
          <w:bCs/>
          <w:rtl/>
          <w:lang w:eastAsia="de-DE"/>
        </w:rPr>
        <w:t>ממחרת השבת</w:t>
      </w:r>
      <w:r w:rsidRPr="004637CC">
        <w:rPr>
          <w:rFonts w:eastAsia="Times New Roman" w:cs="Times New Roman"/>
          <w:rtl/>
          <w:lang w:eastAsia="de-DE"/>
        </w:rPr>
        <w:t xml:space="preserve"> </w:t>
      </w:r>
      <w:r w:rsidRPr="004637CC">
        <w:rPr>
          <w:rFonts w:eastAsia="Times New Roman" w:cs="Times New Roman"/>
          <w:lang w:eastAsia="de-DE"/>
        </w:rPr>
        <w:t xml:space="preserve">(am Tag nach dem Schabbat) zeigt den zeitlichen Bezug. </w:t>
      </w:r>
      <w:r w:rsidRPr="004637CC">
        <w:rPr>
          <w:rFonts w:eastAsia="Times New Roman" w:cs="Times New Roman"/>
          <w:b/>
          <w:bCs/>
          <w:rtl/>
          <w:lang w:eastAsia="de-DE"/>
        </w:rPr>
        <w:t>יניפנו הכהן</w:t>
      </w:r>
      <w:r w:rsidRPr="004637CC">
        <w:rPr>
          <w:rFonts w:eastAsia="Times New Roman" w:cs="Times New Roman"/>
          <w:rtl/>
          <w:lang w:eastAsia="de-DE"/>
        </w:rPr>
        <w:t xml:space="preserve"> </w:t>
      </w:r>
      <w:r w:rsidRPr="004637CC">
        <w:rPr>
          <w:rFonts w:eastAsia="Times New Roman" w:cs="Times New Roman"/>
          <w:lang w:eastAsia="de-DE"/>
        </w:rPr>
        <w:t>(soll sie der Priester schwingen) zeigt priesterliche Ausführung.</w:t>
      </w:r>
    </w:p>
    <w:p w14:paraId="2CBDAD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והניף</w:t>
      </w:r>
      <w:r w:rsidRPr="004637CC">
        <w:rPr>
          <w:rFonts w:eastAsia="Times New Roman" w:cs="Times New Roman"/>
          <w:rtl/>
          <w:lang w:eastAsia="de-DE"/>
        </w:rPr>
        <w:t xml:space="preserve"> </w:t>
      </w:r>
      <w:r w:rsidRPr="004637CC">
        <w:rPr>
          <w:rFonts w:eastAsia="Times New Roman" w:cs="Times New Roman"/>
          <w:lang w:eastAsia="de-DE"/>
        </w:rPr>
        <w:t xml:space="preserve">zeigt das </w:t>
      </w:r>
      <w:r w:rsidRPr="004637CC">
        <w:rPr>
          <w:rFonts w:eastAsia="Times New Roman" w:cs="Times New Roman"/>
          <w:b/>
          <w:bCs/>
          <w:rtl/>
          <w:lang w:eastAsia="de-DE"/>
        </w:rPr>
        <w:t>תנופה</w:t>
      </w:r>
      <w:r w:rsidRPr="004637CC">
        <w:rPr>
          <w:rFonts w:eastAsia="Times New Roman" w:cs="Times New Roman"/>
          <w:lang w:eastAsia="de-DE"/>
        </w:rPr>
        <w:t xml:space="preserve">-Ritual. </w:t>
      </w:r>
      <w:r w:rsidRPr="004637CC">
        <w:rPr>
          <w:rFonts w:eastAsia="Times New Roman" w:cs="Times New Roman"/>
          <w:b/>
          <w:bCs/>
          <w:rtl/>
          <w:lang w:eastAsia="de-DE"/>
        </w:rPr>
        <w:t>לרצנכם</w:t>
      </w:r>
      <w:r w:rsidRPr="004637CC">
        <w:rPr>
          <w:rFonts w:eastAsia="Times New Roman" w:cs="Times New Roman"/>
          <w:rtl/>
          <w:lang w:eastAsia="de-DE"/>
        </w:rPr>
        <w:t xml:space="preserve"> </w:t>
      </w:r>
      <w:r w:rsidRPr="004637CC">
        <w:rPr>
          <w:rFonts w:eastAsia="Times New Roman" w:cs="Times New Roman"/>
          <w:lang w:eastAsia="de-DE"/>
        </w:rPr>
        <w:t xml:space="preserve">zeigt stellvertretende Darbringung für das Volk. </w:t>
      </w:r>
      <w:r w:rsidRPr="004637CC">
        <w:rPr>
          <w:rFonts w:eastAsia="Times New Roman" w:cs="Times New Roman"/>
          <w:b/>
          <w:bCs/>
          <w:rtl/>
          <w:lang w:eastAsia="de-DE"/>
        </w:rPr>
        <w:t>ממחרת השבת</w:t>
      </w:r>
      <w:r w:rsidRPr="004637CC">
        <w:rPr>
          <w:rFonts w:eastAsia="Times New Roman" w:cs="Times New Roman"/>
          <w:rtl/>
          <w:lang w:eastAsia="de-DE"/>
        </w:rPr>
        <w:t xml:space="preserve"> </w:t>
      </w:r>
      <w:r w:rsidRPr="004637CC">
        <w:rPr>
          <w:rFonts w:eastAsia="Times New Roman" w:cs="Times New Roman"/>
          <w:lang w:eastAsia="de-DE"/>
        </w:rPr>
        <w:t>ist interpretativ umstritten: Sabbat innerhalb der Mazzot-Woche oder der erste Tag des Mazzotfestes.</w:t>
      </w:r>
    </w:p>
    <w:p w14:paraId="03ACDCA7" w14:textId="658A0C0F"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interpretiert </w:t>
      </w:r>
      <w:r w:rsidR="00775F21">
        <w:rPr>
          <w:rtl/>
        </w:rPr>
        <w:t>ממחרת השבת</w:t>
      </w:r>
      <w:r w:rsidR="00775F21">
        <w:t xml:space="preserve"> (</w:t>
      </w:r>
      <w:proofErr w:type="spellStart"/>
      <w:r w:rsidR="00775F21">
        <w:t>mimacharat</w:t>
      </w:r>
      <w:proofErr w:type="spellEnd"/>
      <w:r w:rsidR="00775F21">
        <w:t xml:space="preserve"> hashabbat - "am Tag nach dem Sabbat") als </w:t>
      </w:r>
      <w:proofErr w:type="spellStart"/>
      <w:r w:rsidR="00775F21">
        <w:t>τῇ</w:t>
      </w:r>
      <w:proofErr w:type="spellEnd"/>
      <w:r w:rsidR="00775F21">
        <w:t xml:space="preserve"> ἐπα</w:t>
      </w:r>
      <w:proofErr w:type="spellStart"/>
      <w:r w:rsidR="00775F21">
        <w:t>ύριον</w:t>
      </w:r>
      <w:proofErr w:type="spellEnd"/>
      <w:r w:rsidR="00775F21">
        <w:t xml:space="preserve"> </w:t>
      </w:r>
      <w:proofErr w:type="spellStart"/>
      <w:r w:rsidR="00775F21">
        <w:t>τῆς</w:t>
      </w:r>
      <w:proofErr w:type="spellEnd"/>
      <w:r w:rsidR="00775F21">
        <w:t xml:space="preserve"> π</w:t>
      </w:r>
      <w:proofErr w:type="spellStart"/>
      <w:r w:rsidR="00775F21">
        <w:t>ρώτης</w:t>
      </w:r>
      <w:proofErr w:type="spellEnd"/>
      <w:r w:rsidR="00775F21">
        <w:t xml:space="preserve"> (am Tag nach dem ersten [Tag]), was eine spezifische kalendarische Interpretation darstellt.</w:t>
      </w:r>
    </w:p>
    <w:p w14:paraId="1999A91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Omer-Schwingungsritual: Garben-Schwingung vor JHWH + Wohlgefallen als Ziel + Tag nach dem Sabbat + priesterliche Ausführung.</w:t>
      </w:r>
    </w:p>
    <w:p w14:paraId="36F7C61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w:t>
      </w:r>
      <w:r w:rsidRPr="004637CC">
        <w:rPr>
          <w:rFonts w:eastAsia="Times New Roman" w:cs="Times New Roman"/>
          <w:b/>
          <w:bCs/>
          <w:rtl/>
          <w:lang w:eastAsia="de-DE"/>
        </w:rPr>
        <w:t>תנופה</w:t>
      </w:r>
      <w:r w:rsidRPr="004637CC">
        <w:rPr>
          <w:rFonts w:eastAsia="Times New Roman" w:cs="Times New Roman"/>
          <w:lang w:eastAsia="de-DE"/>
        </w:rPr>
        <w:t>-Ritual für die Erstlingsgarbe am Tag nach dem Sabbat.</w:t>
      </w:r>
    </w:p>
    <w:p w14:paraId="5A7672A9"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23,12</w:t>
      </w:r>
    </w:p>
    <w:p w14:paraId="0D199A3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וַעֲשִׂיתֶ֕ם בְּי֥וֹם הֲנִֽיפְכֶ֖ם אֶת־הָעֹ֑מֶר כֶּ֣בֶשׂ תָּמִ֧ים בֶּן־שְׁנָתוֹ֛ לְעֹלָ֖ה לַיהוָֽה׃</w:t>
      </w:r>
    </w:p>
    <w:p w14:paraId="2A3EA54C" w14:textId="65EB8EC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an dem Tag, da ihr die Garbe schwingt, ein fehlerfreies einjähriges Lamm als </w:t>
      </w:r>
      <w:r w:rsidR="00DE39DD">
        <w:rPr>
          <w:rFonts w:eastAsia="Times New Roman" w:cs="Times New Roman"/>
          <w:lang w:eastAsia="de-DE"/>
        </w:rPr>
        <w:t>Aufsteigeopfer</w:t>
      </w:r>
      <w:r w:rsidRPr="004637CC">
        <w:rPr>
          <w:rFonts w:eastAsia="Times New Roman" w:cs="Times New Roman"/>
          <w:lang w:eastAsia="de-DE"/>
        </w:rPr>
        <w:t xml:space="preserve"> für den Ewigen opfern.</w:t>
      </w:r>
    </w:p>
    <w:p w14:paraId="4058229C"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1CEFD5B">
          <v:rect id="_x0000_i1693" style="width:0;height:1.5pt" o:hralign="center" o:hrstd="t" o:hr="t" fillcolor="#a0a0a0" stroked="f"/>
        </w:pict>
      </w:r>
    </w:p>
    <w:p w14:paraId="103497E3" w14:textId="0F80AD7E"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ועשיתם ביום הניפכם את־העמר כבש תמים בן־שנתו לעלה ליהוה</w:t>
      </w:r>
      <w:r w:rsidRPr="004637CC">
        <w:rPr>
          <w:rFonts w:eastAsia="Times New Roman" w:cs="Times New Roman"/>
          <w:rtl/>
          <w:lang w:eastAsia="de-DE"/>
        </w:rPr>
        <w:t xml:space="preserve"> </w:t>
      </w:r>
      <w:r w:rsidRPr="004637CC">
        <w:rPr>
          <w:rFonts w:eastAsia="Times New Roman" w:cs="Times New Roman"/>
          <w:lang w:eastAsia="de-DE"/>
        </w:rPr>
        <w:t xml:space="preserve">zeigt das begleitende </w:t>
      </w:r>
      <w:r w:rsidR="00DE39DD">
        <w:rPr>
          <w:rFonts w:eastAsia="Times New Roman" w:cs="Times New Roman"/>
          <w:lang w:eastAsia="de-DE"/>
        </w:rPr>
        <w:t>Aufsteigeopfer</w:t>
      </w:r>
      <w:r w:rsidRPr="004637CC">
        <w:rPr>
          <w:rFonts w:eastAsia="Times New Roman" w:cs="Times New Roman"/>
          <w:lang w:eastAsia="de-DE"/>
        </w:rPr>
        <w:t xml:space="preserve">. </w:t>
      </w:r>
      <w:r w:rsidRPr="004637CC">
        <w:rPr>
          <w:rFonts w:eastAsia="Times New Roman" w:cs="Times New Roman"/>
          <w:b/>
          <w:bCs/>
          <w:rtl/>
          <w:lang w:eastAsia="de-DE"/>
        </w:rPr>
        <w:t>ועשיתם ביום הניפכם את־העמר</w:t>
      </w:r>
      <w:r w:rsidRPr="004637CC">
        <w:rPr>
          <w:rFonts w:eastAsia="Times New Roman" w:cs="Times New Roman"/>
          <w:rtl/>
          <w:lang w:eastAsia="de-DE"/>
        </w:rPr>
        <w:t xml:space="preserve"> </w:t>
      </w:r>
      <w:r w:rsidRPr="004637CC">
        <w:rPr>
          <w:rFonts w:eastAsia="Times New Roman" w:cs="Times New Roman"/>
          <w:lang w:eastAsia="de-DE"/>
        </w:rPr>
        <w:t xml:space="preserve">(und ihr sollt an dem Tag, da ihr die Garbe schwingt) - </w:t>
      </w:r>
      <w:r w:rsidRPr="004637CC">
        <w:rPr>
          <w:rFonts w:eastAsia="Times New Roman" w:cs="Times New Roman"/>
          <w:b/>
          <w:bCs/>
          <w:rtl/>
          <w:lang w:eastAsia="de-DE"/>
        </w:rPr>
        <w:t>ביום הניפכם</w:t>
      </w:r>
      <w:r w:rsidRPr="004637CC">
        <w:rPr>
          <w:rFonts w:eastAsia="Times New Roman" w:cs="Times New Roman"/>
          <w:rtl/>
          <w:lang w:eastAsia="de-DE"/>
        </w:rPr>
        <w:t xml:space="preserve"> </w:t>
      </w:r>
      <w:r w:rsidRPr="004637CC">
        <w:rPr>
          <w:rFonts w:eastAsia="Times New Roman" w:cs="Times New Roman"/>
          <w:lang w:eastAsia="de-DE"/>
        </w:rPr>
        <w:t xml:space="preserve">(an dem Tag eures Schwingens) verbindet das Opfer zeitlich mit der </w:t>
      </w:r>
      <w:r w:rsidRPr="004637CC">
        <w:rPr>
          <w:rFonts w:eastAsia="Times New Roman" w:cs="Times New Roman"/>
          <w:b/>
          <w:bCs/>
          <w:rtl/>
          <w:lang w:eastAsia="de-DE"/>
        </w:rPr>
        <w:t>תנופה</w:t>
      </w:r>
      <w:r w:rsidRPr="004637CC">
        <w:rPr>
          <w:rFonts w:eastAsia="Times New Roman" w:cs="Times New Roman"/>
          <w:lang w:eastAsia="de-DE"/>
        </w:rPr>
        <w:t>.</w:t>
      </w:r>
    </w:p>
    <w:p w14:paraId="4CB39171" w14:textId="2446AAFB"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כבש תמים בן־שנתו לעלה ליהוה</w:t>
      </w:r>
      <w:r w:rsidRPr="004637CC">
        <w:rPr>
          <w:rFonts w:eastAsia="Times New Roman" w:cs="Times New Roman"/>
          <w:rtl/>
          <w:lang w:eastAsia="de-DE"/>
        </w:rPr>
        <w:t xml:space="preserve"> </w:t>
      </w:r>
      <w:r w:rsidRPr="004637CC">
        <w:rPr>
          <w:rFonts w:eastAsia="Times New Roman" w:cs="Times New Roman"/>
          <w:lang w:eastAsia="de-DE"/>
        </w:rPr>
        <w:t xml:space="preserve">(ein fehlerfreies einjähriges Lamm als </w:t>
      </w:r>
      <w:r w:rsidR="00DE39DD">
        <w:rPr>
          <w:rFonts w:eastAsia="Times New Roman" w:cs="Times New Roman"/>
          <w:lang w:eastAsia="de-DE"/>
        </w:rPr>
        <w:t>Aufsteigeopfer</w:t>
      </w:r>
      <w:r w:rsidRPr="004637CC">
        <w:rPr>
          <w:rFonts w:eastAsia="Times New Roman" w:cs="Times New Roman"/>
          <w:lang w:eastAsia="de-DE"/>
        </w:rPr>
        <w:t xml:space="preserve"> für den Ewigen) - </w:t>
      </w:r>
      <w:r w:rsidRPr="004637CC">
        <w:rPr>
          <w:rFonts w:eastAsia="Times New Roman" w:cs="Times New Roman"/>
          <w:b/>
          <w:bCs/>
          <w:rtl/>
          <w:lang w:eastAsia="de-DE"/>
        </w:rPr>
        <w:t>כבש</w:t>
      </w:r>
      <w:r w:rsidRPr="004637CC">
        <w:rPr>
          <w:rFonts w:eastAsia="Times New Roman" w:cs="Times New Roman"/>
          <w:rtl/>
          <w:lang w:eastAsia="de-DE"/>
        </w:rPr>
        <w:t xml:space="preserve"> </w:t>
      </w:r>
      <w:r w:rsidRPr="004637CC">
        <w:rPr>
          <w:rFonts w:eastAsia="Times New Roman" w:cs="Times New Roman"/>
          <w:lang w:eastAsia="de-DE"/>
        </w:rPr>
        <w:t xml:space="preserve">(Lamm) zeigt das Opfertier. </w:t>
      </w:r>
      <w:r w:rsidRPr="004637CC">
        <w:rPr>
          <w:rFonts w:eastAsia="Times New Roman" w:cs="Times New Roman"/>
          <w:b/>
          <w:bCs/>
          <w:rtl/>
          <w:lang w:eastAsia="de-DE"/>
        </w:rPr>
        <w:t>תמים</w:t>
      </w:r>
      <w:r w:rsidRPr="004637CC">
        <w:rPr>
          <w:rFonts w:eastAsia="Times New Roman" w:cs="Times New Roman"/>
          <w:rtl/>
          <w:lang w:eastAsia="de-DE"/>
        </w:rPr>
        <w:t xml:space="preserve"> </w:t>
      </w:r>
      <w:r w:rsidRPr="004637CC">
        <w:rPr>
          <w:rFonts w:eastAsia="Times New Roman" w:cs="Times New Roman"/>
          <w:lang w:eastAsia="de-DE"/>
        </w:rPr>
        <w:t xml:space="preserve">(fehlerfrei) entspricht den Opfervorschriften. </w:t>
      </w:r>
      <w:r w:rsidRPr="004637CC">
        <w:rPr>
          <w:rFonts w:eastAsia="Times New Roman" w:cs="Times New Roman"/>
          <w:b/>
          <w:bCs/>
          <w:rtl/>
          <w:lang w:eastAsia="de-DE"/>
        </w:rPr>
        <w:t>בן־שנתו</w:t>
      </w:r>
      <w:r w:rsidRPr="004637CC">
        <w:rPr>
          <w:rFonts w:eastAsia="Times New Roman" w:cs="Times New Roman"/>
          <w:rtl/>
          <w:lang w:eastAsia="de-DE"/>
        </w:rPr>
        <w:t xml:space="preserve"> </w:t>
      </w:r>
      <w:r w:rsidRPr="004637CC">
        <w:rPr>
          <w:rFonts w:eastAsia="Times New Roman" w:cs="Times New Roman"/>
          <w:lang w:eastAsia="de-DE"/>
        </w:rPr>
        <w:t xml:space="preserve">(einjährig) zeigt das Alter. </w:t>
      </w:r>
      <w:r w:rsidRPr="004637CC">
        <w:rPr>
          <w:rFonts w:eastAsia="Times New Roman" w:cs="Times New Roman"/>
          <w:b/>
          <w:bCs/>
          <w:rtl/>
          <w:lang w:eastAsia="de-DE"/>
        </w:rPr>
        <w:t>לעלה</w:t>
      </w:r>
      <w:r w:rsidRPr="004637CC">
        <w:rPr>
          <w:rFonts w:eastAsia="Times New Roman" w:cs="Times New Roman"/>
          <w:rtl/>
          <w:lang w:eastAsia="de-DE"/>
        </w:rPr>
        <w:t xml:space="preserve"> </w:t>
      </w:r>
      <w:r w:rsidRPr="004637CC">
        <w:rPr>
          <w:rFonts w:eastAsia="Times New Roman" w:cs="Times New Roman"/>
          <w:lang w:eastAsia="de-DE"/>
        </w:rPr>
        <w:t xml:space="preserve">(als </w:t>
      </w:r>
      <w:r w:rsidR="00DE39DD">
        <w:rPr>
          <w:rFonts w:eastAsia="Times New Roman" w:cs="Times New Roman"/>
          <w:lang w:eastAsia="de-DE"/>
        </w:rPr>
        <w:t>Aufsteigeopfer</w:t>
      </w:r>
      <w:r w:rsidRPr="004637CC">
        <w:rPr>
          <w:rFonts w:eastAsia="Times New Roman" w:cs="Times New Roman"/>
          <w:lang w:eastAsia="de-DE"/>
        </w:rPr>
        <w:t xml:space="preserve">) zeigt die Opferart. </w:t>
      </w:r>
      <w:r w:rsidRPr="004637CC">
        <w:rPr>
          <w:rFonts w:eastAsia="Times New Roman" w:cs="Times New Roman"/>
          <w:b/>
          <w:bCs/>
          <w:rtl/>
          <w:lang w:eastAsia="de-DE"/>
        </w:rPr>
        <w:t>ליהוה</w:t>
      </w:r>
      <w:r w:rsidRPr="004637CC">
        <w:rPr>
          <w:rFonts w:eastAsia="Times New Roman" w:cs="Times New Roman"/>
          <w:rtl/>
          <w:lang w:eastAsia="de-DE"/>
        </w:rPr>
        <w:t xml:space="preserve"> </w:t>
      </w:r>
      <w:r w:rsidRPr="004637CC">
        <w:rPr>
          <w:rFonts w:eastAsia="Times New Roman" w:cs="Times New Roman"/>
          <w:lang w:eastAsia="de-DE"/>
        </w:rPr>
        <w:t>zeigt göttlichen Bezug.</w:t>
      </w:r>
    </w:p>
    <w:p w14:paraId="1FDF7BD0" w14:textId="37F4D188"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ביום הניפכם</w:t>
      </w:r>
      <w:r w:rsidRPr="004637CC">
        <w:rPr>
          <w:rFonts w:eastAsia="Times New Roman" w:cs="Times New Roman"/>
          <w:rtl/>
          <w:lang w:eastAsia="de-DE"/>
        </w:rPr>
        <w:t xml:space="preserve"> </w:t>
      </w:r>
      <w:r w:rsidRPr="004637CC">
        <w:rPr>
          <w:rFonts w:eastAsia="Times New Roman" w:cs="Times New Roman"/>
          <w:lang w:eastAsia="de-DE"/>
        </w:rPr>
        <w:t xml:space="preserve">verbindet </w:t>
      </w:r>
      <w:r w:rsidRPr="004637CC">
        <w:rPr>
          <w:rFonts w:eastAsia="Times New Roman" w:cs="Times New Roman"/>
          <w:b/>
          <w:bCs/>
          <w:rtl/>
          <w:lang w:eastAsia="de-DE"/>
        </w:rPr>
        <w:t>תנופה</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עלה</w:t>
      </w:r>
      <w:r w:rsidRPr="004637CC">
        <w:rPr>
          <w:rFonts w:eastAsia="Times New Roman" w:cs="Times New Roman"/>
          <w:lang w:eastAsia="de-DE"/>
        </w:rPr>
        <w:t xml:space="preserve">-Opfer. </w:t>
      </w:r>
      <w:r w:rsidRPr="004637CC">
        <w:rPr>
          <w:rFonts w:eastAsia="Times New Roman" w:cs="Times New Roman"/>
          <w:b/>
          <w:bCs/>
          <w:rtl/>
          <w:lang w:eastAsia="de-DE"/>
        </w:rPr>
        <w:t>כבש תמים בן־שנתו</w:t>
      </w:r>
      <w:r w:rsidRPr="004637CC">
        <w:rPr>
          <w:rFonts w:eastAsia="Times New Roman" w:cs="Times New Roman"/>
          <w:rtl/>
          <w:lang w:eastAsia="de-DE"/>
        </w:rPr>
        <w:t xml:space="preserve"> </w:t>
      </w:r>
      <w:r w:rsidRPr="004637CC">
        <w:rPr>
          <w:rFonts w:eastAsia="Times New Roman" w:cs="Times New Roman"/>
          <w:lang w:eastAsia="de-DE"/>
        </w:rPr>
        <w:t>als Standard-</w:t>
      </w:r>
      <w:r w:rsidR="009A271E">
        <w:rPr>
          <w:rFonts w:eastAsia="Times New Roman" w:cs="Times New Roman"/>
          <w:lang w:eastAsia="de-DE"/>
        </w:rPr>
        <w:t>Aufsteige Opfe</w:t>
      </w:r>
      <w:r w:rsidR="009A271E" w:rsidRPr="004637CC">
        <w:rPr>
          <w:rFonts w:eastAsia="Times New Roman" w:cs="Times New Roman"/>
          <w:lang w:eastAsia="de-DE"/>
        </w:rPr>
        <w:t>rtier</w:t>
      </w:r>
      <w:r w:rsidRPr="004637CC">
        <w:rPr>
          <w:rFonts w:eastAsia="Times New Roman" w:cs="Times New Roman"/>
          <w:lang w:eastAsia="de-DE"/>
        </w:rPr>
        <w:t xml:space="preserve">. </w:t>
      </w:r>
      <w:r w:rsidRPr="004637CC">
        <w:rPr>
          <w:rFonts w:eastAsia="Times New Roman" w:cs="Times New Roman"/>
          <w:b/>
          <w:bCs/>
          <w:rtl/>
          <w:lang w:eastAsia="de-DE"/>
        </w:rPr>
        <w:t>לעלה ליהוה</w:t>
      </w:r>
      <w:r w:rsidRPr="004637CC">
        <w:rPr>
          <w:rFonts w:eastAsia="Times New Roman" w:cs="Times New Roman"/>
          <w:rtl/>
          <w:lang w:eastAsia="de-DE"/>
        </w:rPr>
        <w:t xml:space="preserve"> </w:t>
      </w:r>
      <w:r w:rsidRPr="004637CC">
        <w:rPr>
          <w:rFonts w:eastAsia="Times New Roman" w:cs="Times New Roman"/>
          <w:lang w:eastAsia="de-DE"/>
        </w:rPr>
        <w:t>als vollständige Hingabe an JHWH.</w:t>
      </w:r>
    </w:p>
    <w:p w14:paraId="5B9D934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ביום הניפכם</w:t>
      </w:r>
      <w:r w:rsidRPr="004637CC">
        <w:rPr>
          <w:rFonts w:eastAsia="Times New Roman" w:cs="Times New Roman"/>
          <w:rtl/>
          <w:lang w:eastAsia="de-DE"/>
        </w:rPr>
        <w:t xml:space="preserve"> </w:t>
      </w:r>
      <w:r w:rsidRPr="004637CC">
        <w:rPr>
          <w:rFonts w:eastAsia="Times New Roman" w:cs="Times New Roman"/>
          <w:lang w:eastAsia="de-DE"/>
        </w:rPr>
        <w:t xml:space="preserve">mit ᾗ </w:t>
      </w:r>
      <w:proofErr w:type="spellStart"/>
      <w:r w:rsidRPr="004637CC">
        <w:rPr>
          <w:rFonts w:eastAsia="Times New Roman" w:cs="Times New Roman"/>
          <w:lang w:eastAsia="de-DE"/>
        </w:rPr>
        <w:t>ἡμέρᾳ</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ἂν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φέρητε</w:t>
      </w:r>
      <w:proofErr w:type="spellEnd"/>
      <w:r w:rsidRPr="004637CC">
        <w:rPr>
          <w:rFonts w:eastAsia="Times New Roman" w:cs="Times New Roman"/>
          <w:lang w:eastAsia="de-DE"/>
        </w:rPr>
        <w:t xml:space="preserve"> (an dem Tag, an dem ihr bringt), </w:t>
      </w:r>
      <w:r w:rsidRPr="004637CC">
        <w:rPr>
          <w:rFonts w:eastAsia="Times New Roman" w:cs="Times New Roman"/>
          <w:b/>
          <w:bCs/>
          <w:rtl/>
          <w:lang w:eastAsia="de-DE"/>
        </w:rPr>
        <w:t>כבש תמים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ἀμνὸν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ἄμωμον</w:t>
      </w:r>
      <w:proofErr w:type="spellEnd"/>
      <w:r w:rsidRPr="004637CC">
        <w:rPr>
          <w:rFonts w:eastAsia="Times New Roman" w:cs="Times New Roman"/>
          <w:lang w:eastAsia="de-DE"/>
        </w:rPr>
        <w:t xml:space="preserve"> (fehlerloses Lamm), </w:t>
      </w:r>
      <w:r w:rsidRPr="004637CC">
        <w:rPr>
          <w:rFonts w:eastAsia="Times New Roman" w:cs="Times New Roman"/>
          <w:b/>
          <w:bCs/>
          <w:rtl/>
          <w:lang w:eastAsia="de-DE"/>
        </w:rPr>
        <w:t>בן־שנתו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ἐνι</w:t>
      </w:r>
      <w:proofErr w:type="spellEnd"/>
      <w:r w:rsidRPr="004637CC">
        <w:rPr>
          <w:rFonts w:eastAsia="Times New Roman" w:cs="Times New Roman"/>
          <w:lang w:eastAsia="de-DE"/>
        </w:rPr>
        <w:t xml:space="preserve">αύσιον (einjährig) und </w:t>
      </w:r>
      <w:r w:rsidRPr="004637CC">
        <w:rPr>
          <w:rFonts w:eastAsia="Times New Roman" w:cs="Times New Roman"/>
          <w:b/>
          <w:bCs/>
          <w:rtl/>
          <w:lang w:eastAsia="de-DE"/>
        </w:rPr>
        <w:t>לעלה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εἰς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ὁλοκάρ</w:t>
      </w:r>
      <w:proofErr w:type="spellEnd"/>
      <w:r w:rsidRPr="004637CC">
        <w:rPr>
          <w:rFonts w:eastAsia="Times New Roman" w:cs="Times New Roman"/>
          <w:lang w:eastAsia="de-DE"/>
        </w:rPr>
        <w:t>πωσιν (zu Ganzopfern).</w:t>
      </w:r>
    </w:p>
    <w:p w14:paraId="47281E40" w14:textId="0DC45A82"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Omer-Begleitopfer: zeitliche Verbindung mit Garben-Schwingung + fehlerloses einjähriges Lamm + </w:t>
      </w:r>
      <w:r w:rsidR="00DE39DD">
        <w:rPr>
          <w:rFonts w:eastAsia="Times New Roman" w:cs="Times New Roman"/>
          <w:lang w:eastAsia="de-DE"/>
        </w:rPr>
        <w:t>Aufsteigeopfer</w:t>
      </w:r>
      <w:r w:rsidRPr="004637CC">
        <w:rPr>
          <w:rFonts w:eastAsia="Times New Roman" w:cs="Times New Roman"/>
          <w:lang w:eastAsia="de-DE"/>
        </w:rPr>
        <w:t xml:space="preserve"> für JHWH.</w:t>
      </w:r>
    </w:p>
    <w:p w14:paraId="691D6912" w14:textId="2A123680"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lastRenderedPageBreak/>
        <w:t xml:space="preserve">Dieser Vers verbindet die Erstlingsgarbe mit einem </w:t>
      </w:r>
      <w:r w:rsidR="00DE39DD">
        <w:rPr>
          <w:rFonts w:eastAsia="Times New Roman" w:cs="Times New Roman"/>
          <w:lang w:eastAsia="de-DE"/>
        </w:rPr>
        <w:t>Aufsteigeopfer</w:t>
      </w:r>
      <w:r w:rsidRPr="004637CC">
        <w:rPr>
          <w:rFonts w:eastAsia="Times New Roman" w:cs="Times New Roman"/>
          <w:lang w:eastAsia="de-DE"/>
        </w:rPr>
        <w:t xml:space="preserve"> am gleichen Tag.</w:t>
      </w:r>
    </w:p>
    <w:p w14:paraId="3B2DC473"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23,13</w:t>
      </w:r>
    </w:p>
    <w:p w14:paraId="65D64C0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וּמִנְחָתוֹ֩ שְׁנֵ֨י עֶשְׂרֹנִ֜ים סֹ֣לֶת בְּלוּלָ֥ה בַשֶּׁ֛מֶן אִשֶּׁ֥ה לַיהוָ֖ה רֵ֣יחַ נִיחֹ֑חַ וְנִסְכֹּ֥ה יַ֖יִן רְבִיעִ֥ת הַהִֽין׃</w:t>
      </w:r>
    </w:p>
    <w:p w14:paraId="692EFFE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sein Speisopfer: zwei Zehntel Feinmehl, mit Öl vermengt, ein Feueropfer für den Ewigen zum wohlgefälligen Geruch; und sein Trankopfer: ein Viertel Hin Wein.</w:t>
      </w:r>
    </w:p>
    <w:p w14:paraId="4B1D3C6E"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41245DE">
          <v:rect id="_x0000_i1694" style="width:0;height:1.5pt" o:hralign="center" o:hrstd="t" o:hr="t" fillcolor="#a0a0a0" stroked="f"/>
        </w:pict>
      </w:r>
    </w:p>
    <w:p w14:paraId="3BA4222D" w14:textId="7A900F5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ומנחתו שני עשרנים סלת בלולה בשמן אשה ליהוה ריח ניחח ונסכה יין רביעת ההין</w:t>
      </w:r>
      <w:r w:rsidRPr="004637CC">
        <w:rPr>
          <w:rFonts w:eastAsia="Times New Roman" w:cs="Times New Roman"/>
          <w:rtl/>
          <w:lang w:eastAsia="de-DE"/>
        </w:rPr>
        <w:t xml:space="preserve"> </w:t>
      </w:r>
      <w:r w:rsidRPr="004637CC">
        <w:rPr>
          <w:rFonts w:eastAsia="Times New Roman" w:cs="Times New Roman"/>
          <w:lang w:eastAsia="de-DE"/>
        </w:rPr>
        <w:t xml:space="preserve">zeigt die begleitenden Opfer zum </w:t>
      </w:r>
      <w:r w:rsidR="00DE39DD">
        <w:rPr>
          <w:rFonts w:eastAsia="Times New Roman" w:cs="Times New Roman"/>
          <w:lang w:eastAsia="de-DE"/>
        </w:rPr>
        <w:t>Aufsteigeopfer</w:t>
      </w:r>
      <w:r w:rsidRPr="004637CC">
        <w:rPr>
          <w:rFonts w:eastAsia="Times New Roman" w:cs="Times New Roman"/>
          <w:lang w:eastAsia="de-DE"/>
        </w:rPr>
        <w:t xml:space="preserve">. </w:t>
      </w:r>
      <w:r w:rsidRPr="004637CC">
        <w:rPr>
          <w:rFonts w:eastAsia="Times New Roman" w:cs="Times New Roman"/>
          <w:b/>
          <w:bCs/>
          <w:rtl/>
          <w:lang w:eastAsia="de-DE"/>
        </w:rPr>
        <w:t>ומנחתו</w:t>
      </w:r>
      <w:r w:rsidRPr="004637CC">
        <w:rPr>
          <w:rFonts w:eastAsia="Times New Roman" w:cs="Times New Roman"/>
          <w:rtl/>
          <w:lang w:eastAsia="de-DE"/>
        </w:rPr>
        <w:t xml:space="preserve"> </w:t>
      </w:r>
      <w:r w:rsidRPr="004637CC">
        <w:rPr>
          <w:rFonts w:eastAsia="Times New Roman" w:cs="Times New Roman"/>
          <w:lang w:eastAsia="de-DE"/>
        </w:rPr>
        <w:t xml:space="preserve">(und sein Speisopfer) bezieht sich auf das Lamm aus V. 12. </w:t>
      </w:r>
      <w:r w:rsidRPr="004637CC">
        <w:rPr>
          <w:rFonts w:eastAsia="Times New Roman" w:cs="Times New Roman"/>
          <w:b/>
          <w:bCs/>
          <w:rtl/>
          <w:lang w:eastAsia="de-DE"/>
        </w:rPr>
        <w:t>שני עשרנים סלת בלולה בשמן</w:t>
      </w:r>
      <w:r w:rsidRPr="004637CC">
        <w:rPr>
          <w:rFonts w:eastAsia="Times New Roman" w:cs="Times New Roman"/>
          <w:rtl/>
          <w:lang w:eastAsia="de-DE"/>
        </w:rPr>
        <w:t xml:space="preserve"> </w:t>
      </w:r>
      <w:r w:rsidRPr="004637CC">
        <w:rPr>
          <w:rFonts w:eastAsia="Times New Roman" w:cs="Times New Roman"/>
          <w:lang w:eastAsia="de-DE"/>
        </w:rPr>
        <w:t xml:space="preserve">(zwei Zehntel Feinmehl, mit Öl vermengt) - </w:t>
      </w: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 xml:space="preserve">(zwei Zehntel) zeigt die doppelte Standardmenge. </w:t>
      </w:r>
      <w:r w:rsidRPr="004637CC">
        <w:rPr>
          <w:rFonts w:eastAsia="Times New Roman" w:cs="Times New Roman"/>
          <w:b/>
          <w:bCs/>
          <w:rtl/>
          <w:lang w:eastAsia="de-DE"/>
        </w:rPr>
        <w:t>סלת</w:t>
      </w:r>
      <w:r w:rsidRPr="004637CC">
        <w:rPr>
          <w:rFonts w:eastAsia="Times New Roman" w:cs="Times New Roman"/>
          <w:rtl/>
          <w:lang w:eastAsia="de-DE"/>
        </w:rPr>
        <w:t xml:space="preserve"> </w:t>
      </w:r>
      <w:r w:rsidRPr="004637CC">
        <w:rPr>
          <w:rFonts w:eastAsia="Times New Roman" w:cs="Times New Roman"/>
          <w:lang w:eastAsia="de-DE"/>
        </w:rPr>
        <w:t xml:space="preserve">(Feinmehl) als Grundzutat. </w:t>
      </w:r>
      <w:r w:rsidRPr="004637CC">
        <w:rPr>
          <w:rFonts w:eastAsia="Times New Roman" w:cs="Times New Roman"/>
          <w:b/>
          <w:bCs/>
          <w:rtl/>
          <w:lang w:eastAsia="de-DE"/>
        </w:rPr>
        <w:t>בלולה בשמן</w:t>
      </w:r>
      <w:r w:rsidRPr="004637CC">
        <w:rPr>
          <w:rFonts w:eastAsia="Times New Roman" w:cs="Times New Roman"/>
          <w:rtl/>
          <w:lang w:eastAsia="de-DE"/>
        </w:rPr>
        <w:t xml:space="preserve"> </w:t>
      </w:r>
      <w:r w:rsidRPr="004637CC">
        <w:rPr>
          <w:rFonts w:eastAsia="Times New Roman" w:cs="Times New Roman"/>
          <w:lang w:eastAsia="de-DE"/>
        </w:rPr>
        <w:t>(mit Öl vermengt) zeigt die Zubereitung.</w:t>
      </w:r>
    </w:p>
    <w:p w14:paraId="22BFE68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אשה ליהוה ריח ניחח</w:t>
      </w:r>
      <w:r w:rsidRPr="004637CC">
        <w:rPr>
          <w:rFonts w:eastAsia="Times New Roman" w:cs="Times New Roman"/>
          <w:rtl/>
          <w:lang w:eastAsia="de-DE"/>
        </w:rPr>
        <w:t xml:space="preserve"> </w:t>
      </w:r>
      <w:r w:rsidRPr="004637CC">
        <w:rPr>
          <w:rFonts w:eastAsia="Times New Roman" w:cs="Times New Roman"/>
          <w:lang w:eastAsia="de-DE"/>
        </w:rPr>
        <w:t xml:space="preserve">(ein Feueropfer für den Ewigen zum wohlgefälligen Geruch) - </w:t>
      </w:r>
      <w:r w:rsidRPr="004637CC">
        <w:rPr>
          <w:rFonts w:eastAsia="Times New Roman" w:cs="Times New Roman"/>
          <w:b/>
          <w:bCs/>
          <w:rtl/>
          <w:lang w:eastAsia="de-DE"/>
        </w:rPr>
        <w:t>אשה</w:t>
      </w:r>
      <w:r w:rsidRPr="004637CC">
        <w:rPr>
          <w:rFonts w:eastAsia="Times New Roman" w:cs="Times New Roman"/>
          <w:rtl/>
          <w:lang w:eastAsia="de-DE"/>
        </w:rPr>
        <w:t xml:space="preserve"> </w:t>
      </w:r>
      <w:r w:rsidRPr="004637CC">
        <w:rPr>
          <w:rFonts w:eastAsia="Times New Roman" w:cs="Times New Roman"/>
          <w:lang w:eastAsia="de-DE"/>
        </w:rPr>
        <w:t xml:space="preserve">(Feueropfer) zeigt Altarverbrennung. </w:t>
      </w:r>
      <w:r w:rsidRPr="004637CC">
        <w:rPr>
          <w:rFonts w:eastAsia="Times New Roman" w:cs="Times New Roman"/>
          <w:b/>
          <w:bCs/>
          <w:rtl/>
          <w:lang w:eastAsia="de-DE"/>
        </w:rPr>
        <w:t>ריח ניחח</w:t>
      </w:r>
      <w:r w:rsidRPr="004637CC">
        <w:rPr>
          <w:rFonts w:eastAsia="Times New Roman" w:cs="Times New Roman"/>
          <w:rtl/>
          <w:lang w:eastAsia="de-DE"/>
        </w:rPr>
        <w:t xml:space="preserve"> </w:t>
      </w:r>
      <w:r w:rsidRPr="004637CC">
        <w:rPr>
          <w:rFonts w:eastAsia="Times New Roman" w:cs="Times New Roman"/>
          <w:lang w:eastAsia="de-DE"/>
        </w:rPr>
        <w:t>(wohlgefälliger Geruch) als klassische Opferformel.</w:t>
      </w:r>
    </w:p>
    <w:p w14:paraId="36FA814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ונסכה יין רביעת ההין</w:t>
      </w:r>
      <w:r w:rsidRPr="004637CC">
        <w:rPr>
          <w:rFonts w:eastAsia="Times New Roman" w:cs="Times New Roman"/>
          <w:rtl/>
          <w:lang w:eastAsia="de-DE"/>
        </w:rPr>
        <w:t xml:space="preserve"> </w:t>
      </w:r>
      <w:r w:rsidRPr="004637CC">
        <w:rPr>
          <w:rFonts w:eastAsia="Times New Roman" w:cs="Times New Roman"/>
          <w:lang w:eastAsia="de-DE"/>
        </w:rPr>
        <w:t xml:space="preserve">(und sein Trankopfer: ein Viertel Hin Wein) - </w:t>
      </w:r>
      <w:r w:rsidRPr="004637CC">
        <w:rPr>
          <w:rFonts w:eastAsia="Times New Roman" w:cs="Times New Roman"/>
          <w:b/>
          <w:bCs/>
          <w:rtl/>
          <w:lang w:eastAsia="de-DE"/>
        </w:rPr>
        <w:t>נסכה</w:t>
      </w:r>
      <w:r w:rsidRPr="004637CC">
        <w:rPr>
          <w:rFonts w:eastAsia="Times New Roman" w:cs="Times New Roman"/>
          <w:rtl/>
          <w:lang w:eastAsia="de-DE"/>
        </w:rPr>
        <w:t xml:space="preserve"> </w:t>
      </w:r>
      <w:r w:rsidRPr="004637CC">
        <w:rPr>
          <w:rFonts w:eastAsia="Times New Roman" w:cs="Times New Roman"/>
          <w:lang w:eastAsia="de-DE"/>
        </w:rPr>
        <w:t xml:space="preserve">(sein Trankopfer) ergänzt das Opfer. </w:t>
      </w:r>
      <w:r w:rsidRPr="004637CC">
        <w:rPr>
          <w:rFonts w:eastAsia="Times New Roman" w:cs="Times New Roman"/>
          <w:b/>
          <w:bCs/>
          <w:rtl/>
          <w:lang w:eastAsia="de-DE"/>
        </w:rPr>
        <w:t>יין</w:t>
      </w:r>
      <w:r w:rsidRPr="004637CC">
        <w:rPr>
          <w:rFonts w:eastAsia="Times New Roman" w:cs="Times New Roman"/>
          <w:rtl/>
          <w:lang w:eastAsia="de-DE"/>
        </w:rPr>
        <w:t xml:space="preserve"> </w:t>
      </w:r>
      <w:r w:rsidRPr="004637CC">
        <w:rPr>
          <w:rFonts w:eastAsia="Times New Roman" w:cs="Times New Roman"/>
          <w:lang w:eastAsia="de-DE"/>
        </w:rPr>
        <w:t xml:space="preserve">(Wein) als Trankopfersubstanz. </w:t>
      </w:r>
      <w:r w:rsidRPr="004637CC">
        <w:rPr>
          <w:rFonts w:eastAsia="Times New Roman" w:cs="Times New Roman"/>
          <w:b/>
          <w:bCs/>
          <w:rtl/>
          <w:lang w:eastAsia="de-DE"/>
        </w:rPr>
        <w:t>רביעת ההין</w:t>
      </w:r>
      <w:r w:rsidRPr="004637CC">
        <w:rPr>
          <w:rFonts w:eastAsia="Times New Roman" w:cs="Times New Roman"/>
          <w:rtl/>
          <w:lang w:eastAsia="de-DE"/>
        </w:rPr>
        <w:t xml:space="preserve"> </w:t>
      </w:r>
      <w:r w:rsidRPr="004637CC">
        <w:rPr>
          <w:rFonts w:eastAsia="Times New Roman" w:cs="Times New Roman"/>
          <w:lang w:eastAsia="de-DE"/>
        </w:rPr>
        <w:t>(ein Viertel Hin) zeigt die Menge.</w:t>
      </w:r>
    </w:p>
    <w:p w14:paraId="433E9D9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 xml:space="preserve">als erhöhte Menge für das besondere Fest. </w:t>
      </w:r>
      <w:r w:rsidRPr="004637CC">
        <w:rPr>
          <w:rFonts w:eastAsia="Times New Roman" w:cs="Times New Roman"/>
          <w:b/>
          <w:bCs/>
          <w:rtl/>
          <w:lang w:eastAsia="de-DE"/>
        </w:rPr>
        <w:t>ריח ניחח</w:t>
      </w:r>
      <w:r w:rsidRPr="004637CC">
        <w:rPr>
          <w:rFonts w:eastAsia="Times New Roman" w:cs="Times New Roman"/>
          <w:rtl/>
          <w:lang w:eastAsia="de-DE"/>
        </w:rPr>
        <w:t xml:space="preserve"> </w:t>
      </w:r>
      <w:r w:rsidRPr="004637CC">
        <w:rPr>
          <w:rFonts w:eastAsia="Times New Roman" w:cs="Times New Roman"/>
          <w:lang w:eastAsia="de-DE"/>
        </w:rPr>
        <w:t xml:space="preserve">verbindet mit anderen Opferformeln. </w:t>
      </w:r>
      <w:r w:rsidRPr="004637CC">
        <w:rPr>
          <w:rFonts w:eastAsia="Times New Roman" w:cs="Times New Roman"/>
          <w:b/>
          <w:bCs/>
          <w:rtl/>
          <w:lang w:eastAsia="de-DE"/>
        </w:rPr>
        <w:t>רביעת ההין</w:t>
      </w:r>
      <w:r w:rsidRPr="004637CC">
        <w:rPr>
          <w:rFonts w:eastAsia="Times New Roman" w:cs="Times New Roman"/>
          <w:rtl/>
          <w:lang w:eastAsia="de-DE"/>
        </w:rPr>
        <w:t xml:space="preserve"> </w:t>
      </w:r>
      <w:r w:rsidRPr="004637CC">
        <w:rPr>
          <w:rFonts w:eastAsia="Times New Roman" w:cs="Times New Roman"/>
          <w:lang w:eastAsia="de-DE"/>
        </w:rPr>
        <w:t>als Standardweinmenge für Lämmer.</w:t>
      </w:r>
    </w:p>
    <w:p w14:paraId="543196E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ומנחתו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θυσί</w:t>
      </w:r>
      <w:proofErr w:type="spellEnd"/>
      <w:r w:rsidRPr="004637CC">
        <w:rPr>
          <w:rFonts w:eastAsia="Times New Roman" w:cs="Times New Roman"/>
          <w:lang w:eastAsia="de-DE"/>
        </w:rPr>
        <w:t>α α</w:t>
      </w:r>
      <w:proofErr w:type="spellStart"/>
      <w:r w:rsidRPr="004637CC">
        <w:rPr>
          <w:rFonts w:eastAsia="Times New Roman" w:cs="Times New Roman"/>
          <w:lang w:eastAsia="de-DE"/>
        </w:rPr>
        <w:t>ὐτοῦ</w:t>
      </w:r>
      <w:proofErr w:type="spellEnd"/>
      <w:r w:rsidRPr="004637CC">
        <w:rPr>
          <w:rFonts w:eastAsia="Times New Roman" w:cs="Times New Roman"/>
          <w:lang w:eastAsia="de-DE"/>
        </w:rPr>
        <w:t xml:space="preserve"> (sein Opfer), </w:t>
      </w: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δύο</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δέκ</w:t>
      </w:r>
      <w:proofErr w:type="spellEnd"/>
      <w:r w:rsidRPr="004637CC">
        <w:rPr>
          <w:rFonts w:eastAsia="Times New Roman" w:cs="Times New Roman"/>
          <w:lang w:eastAsia="de-DE"/>
        </w:rPr>
        <w:t xml:space="preserve">ατα (zwei Zehntel), </w:t>
      </w:r>
      <w:r w:rsidRPr="004637CC">
        <w:rPr>
          <w:rFonts w:eastAsia="Times New Roman" w:cs="Times New Roman"/>
          <w:b/>
          <w:bCs/>
          <w:rtl/>
          <w:lang w:eastAsia="de-DE"/>
        </w:rPr>
        <w:t>בלולה בשמן</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ἀν</w:t>
      </w:r>
      <w:proofErr w:type="spellEnd"/>
      <w:r w:rsidRPr="004637CC">
        <w:rPr>
          <w:rFonts w:eastAsia="Times New Roman" w:cs="Times New Roman"/>
          <w:lang w:eastAsia="de-DE"/>
        </w:rPr>
        <w:t xml:space="preserve">απεποιημένη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ἐλ</w:t>
      </w:r>
      <w:proofErr w:type="spellEnd"/>
      <w:r w:rsidRPr="004637CC">
        <w:rPr>
          <w:rFonts w:eastAsia="Times New Roman" w:cs="Times New Roman"/>
          <w:lang w:eastAsia="de-DE"/>
        </w:rPr>
        <w:t xml:space="preserve">αίῳ (mit Öl bereitet), </w:t>
      </w:r>
      <w:r w:rsidRPr="004637CC">
        <w:rPr>
          <w:rFonts w:eastAsia="Times New Roman" w:cs="Times New Roman"/>
          <w:b/>
          <w:bCs/>
          <w:rtl/>
          <w:lang w:eastAsia="de-DE"/>
        </w:rPr>
        <w:t>ריח ניחח</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ὀσμὴν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εὐωδί</w:t>
      </w:r>
      <w:proofErr w:type="spellEnd"/>
      <w:r w:rsidRPr="004637CC">
        <w:rPr>
          <w:rFonts w:eastAsia="Times New Roman" w:cs="Times New Roman"/>
          <w:lang w:eastAsia="de-DE"/>
        </w:rPr>
        <w:t xml:space="preserve">ας (Geruch des Wohlgeruchs) und </w:t>
      </w:r>
      <w:r w:rsidRPr="004637CC">
        <w:rPr>
          <w:rFonts w:eastAsia="Times New Roman" w:cs="Times New Roman"/>
          <w:b/>
          <w:bCs/>
          <w:rtl/>
          <w:lang w:eastAsia="de-DE"/>
        </w:rPr>
        <w:t>רביעת ההין</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τέτ</w:t>
      </w:r>
      <w:proofErr w:type="spellEnd"/>
      <w:r w:rsidRPr="004637CC">
        <w:rPr>
          <w:rFonts w:eastAsia="Times New Roman" w:cs="Times New Roman"/>
          <w:lang w:eastAsia="de-DE"/>
        </w:rPr>
        <w:t xml:space="preserve">αρτον </w:t>
      </w:r>
      <w:proofErr w:type="spellStart"/>
      <w:r w:rsidRPr="004637CC">
        <w:rPr>
          <w:rFonts w:eastAsia="Times New Roman" w:cs="Times New Roman"/>
          <w:lang w:eastAsia="de-DE"/>
        </w:rPr>
        <w:t>ἱν</w:t>
      </w:r>
      <w:proofErr w:type="spellEnd"/>
      <w:r w:rsidRPr="004637CC">
        <w:rPr>
          <w:rFonts w:eastAsia="Times New Roman" w:cs="Times New Roman"/>
          <w:lang w:eastAsia="de-DE"/>
        </w:rPr>
        <w:t xml:space="preserve"> (Viertel Hin).</w:t>
      </w:r>
    </w:p>
    <w:p w14:paraId="0D771A5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Omer-Begleitopfer: Speisopfer mit doppelter Mehlmenge und Öl + Feueropferformel + wohlgefälliger Geruch + Weintrankopfer.</w:t>
      </w:r>
    </w:p>
    <w:p w14:paraId="2D39A60A" w14:textId="299BB9EC"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vervollständigt das Omer-Opfer mit </w:t>
      </w:r>
      <w:r w:rsidRPr="004637CC">
        <w:rPr>
          <w:rFonts w:eastAsia="Times New Roman" w:cs="Times New Roman"/>
          <w:b/>
          <w:bCs/>
          <w:rtl/>
          <w:lang w:eastAsia="de-DE"/>
        </w:rPr>
        <w:t>מנחה</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נסך</w:t>
      </w:r>
      <w:r w:rsidRPr="004637CC">
        <w:rPr>
          <w:rFonts w:eastAsia="Times New Roman" w:cs="Times New Roman"/>
          <w:rtl/>
          <w:lang w:eastAsia="de-DE"/>
        </w:rPr>
        <w:t xml:space="preserve"> </w:t>
      </w:r>
      <w:r w:rsidRPr="004637CC">
        <w:rPr>
          <w:rFonts w:eastAsia="Times New Roman" w:cs="Times New Roman"/>
          <w:lang w:eastAsia="de-DE"/>
        </w:rPr>
        <w:t xml:space="preserve">als Begleitopfer zum </w:t>
      </w:r>
      <w:r w:rsidR="00DE39DD">
        <w:rPr>
          <w:rFonts w:eastAsia="Times New Roman" w:cs="Times New Roman"/>
          <w:lang w:eastAsia="de-DE"/>
        </w:rPr>
        <w:t>Aufsteigeopfer</w:t>
      </w:r>
      <w:r w:rsidRPr="004637CC">
        <w:rPr>
          <w:rFonts w:eastAsia="Times New Roman" w:cs="Times New Roman"/>
          <w:lang w:eastAsia="de-DE"/>
        </w:rPr>
        <w:t>.</w:t>
      </w:r>
    </w:p>
    <w:p w14:paraId="17A396D7"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23,14</w:t>
      </w:r>
    </w:p>
    <w:p w14:paraId="79DE7B5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וְלֶחֶם֩ וְקָלִ֨י וְכַרְמֶ֜ל לֹ֣א תֹֽאכְל֗וּ עַד־עֶ֨צֶם֙ הַיּ֣וֹם הַזֶּ֔ה עַ֚ד הֲבִ֣יאֲכֶ֔ם אֶת־קָרְבַּ֖ן אֱלֹהֵיכֶ֑ם חֻקַּ֤ת עוֹלָם֙ לְדֹרֹ֣תֵיכֶ֔ם בְּכֹ֖ל מֽוֹשְׁבֹתֵיכֶֽם׃</w:t>
      </w:r>
    </w:p>
    <w:p w14:paraId="672E8C2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Brot und geröstete Körner und frische Ähren sollt ihr nicht essen bis zu diesem Tag, bis ihr die Opfergabe eures Gottes gebracht habt: eine ewige Satzung bei euren Generationen in allen euren Wohnsitzen.</w:t>
      </w:r>
    </w:p>
    <w:p w14:paraId="7FC37C05"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C0F31AA">
          <v:rect id="_x0000_i1695" style="width:0;height:1.5pt" o:hralign="center" o:hrstd="t" o:hr="t" fillcolor="#a0a0a0" stroked="f"/>
        </w:pict>
      </w:r>
    </w:p>
    <w:p w14:paraId="0979D37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Kommentar:</w:t>
      </w:r>
      <w:r w:rsidRPr="004637CC">
        <w:rPr>
          <w:rFonts w:eastAsia="Times New Roman" w:cs="Times New Roman"/>
          <w:lang w:eastAsia="de-DE"/>
        </w:rPr>
        <w:t xml:space="preserve"> </w:t>
      </w:r>
      <w:r w:rsidRPr="004637CC">
        <w:rPr>
          <w:rFonts w:eastAsia="Times New Roman" w:cs="Times New Roman"/>
          <w:b/>
          <w:bCs/>
          <w:rtl/>
          <w:lang w:eastAsia="de-DE"/>
        </w:rPr>
        <w:t>ולחם וקלי וכרמל לא תאכלו עד־עצם היום הזה עד הביאכם את־קרבן אלהיכם חקת עולם לדרתיכם בכל מושבתיכם</w:t>
      </w:r>
      <w:r w:rsidRPr="004637CC">
        <w:rPr>
          <w:rFonts w:eastAsia="Times New Roman" w:cs="Times New Roman"/>
          <w:rtl/>
          <w:lang w:eastAsia="de-DE"/>
        </w:rPr>
        <w:t xml:space="preserve"> </w:t>
      </w:r>
      <w:r w:rsidRPr="004637CC">
        <w:rPr>
          <w:rFonts w:eastAsia="Times New Roman" w:cs="Times New Roman"/>
          <w:lang w:eastAsia="de-DE"/>
        </w:rPr>
        <w:t xml:space="preserve">verbietet den Genuss neuer Ernte vor der Erstlingsopferung. </w:t>
      </w:r>
      <w:r w:rsidRPr="004637CC">
        <w:rPr>
          <w:rFonts w:eastAsia="Times New Roman" w:cs="Times New Roman"/>
          <w:b/>
          <w:bCs/>
          <w:rtl/>
          <w:lang w:eastAsia="de-DE"/>
        </w:rPr>
        <w:t>ולחם וקלי וכרמל לא תאכלו</w:t>
      </w:r>
      <w:r w:rsidRPr="004637CC">
        <w:rPr>
          <w:rFonts w:eastAsia="Times New Roman" w:cs="Times New Roman"/>
          <w:rtl/>
          <w:lang w:eastAsia="de-DE"/>
        </w:rPr>
        <w:t xml:space="preserve"> </w:t>
      </w:r>
      <w:r w:rsidRPr="004637CC">
        <w:rPr>
          <w:rFonts w:eastAsia="Times New Roman" w:cs="Times New Roman"/>
          <w:lang w:eastAsia="de-DE"/>
        </w:rPr>
        <w:t>(und Brot und geröstete Körner und frische Ähren sollt ihr nicht essen) zeigt drei Formen neuen Getreides:</w:t>
      </w:r>
    </w:p>
    <w:p w14:paraId="21B140D6" w14:textId="77777777" w:rsidR="004637CC" w:rsidRPr="004637CC" w:rsidRDefault="004637CC" w:rsidP="004637CC">
      <w:pPr>
        <w:numPr>
          <w:ilvl w:val="0"/>
          <w:numId w:val="14"/>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לחם</w:t>
      </w:r>
      <w:r w:rsidRPr="004637CC">
        <w:rPr>
          <w:rFonts w:eastAsia="Times New Roman" w:cs="Times New Roman"/>
          <w:rtl/>
          <w:lang w:eastAsia="de-DE"/>
        </w:rPr>
        <w:t xml:space="preserve"> </w:t>
      </w:r>
      <w:r w:rsidRPr="004637CC">
        <w:rPr>
          <w:rFonts w:eastAsia="Times New Roman" w:cs="Times New Roman"/>
          <w:lang w:eastAsia="de-DE"/>
        </w:rPr>
        <w:t>(Brot) aus neuem Getreide</w:t>
      </w:r>
    </w:p>
    <w:p w14:paraId="281120B8" w14:textId="77777777" w:rsidR="004637CC" w:rsidRPr="004637CC" w:rsidRDefault="004637CC" w:rsidP="004637CC">
      <w:pPr>
        <w:numPr>
          <w:ilvl w:val="0"/>
          <w:numId w:val="14"/>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קלי</w:t>
      </w:r>
      <w:r w:rsidRPr="004637CC">
        <w:rPr>
          <w:rFonts w:eastAsia="Times New Roman" w:cs="Times New Roman"/>
          <w:rtl/>
          <w:lang w:eastAsia="de-DE"/>
        </w:rPr>
        <w:t xml:space="preserve"> </w:t>
      </w:r>
      <w:r w:rsidRPr="004637CC">
        <w:rPr>
          <w:rFonts w:eastAsia="Times New Roman" w:cs="Times New Roman"/>
          <w:lang w:eastAsia="de-DE"/>
        </w:rPr>
        <w:t>(geröstete Körner)</w:t>
      </w:r>
    </w:p>
    <w:p w14:paraId="3420F78E" w14:textId="77777777" w:rsidR="004637CC" w:rsidRPr="004637CC" w:rsidRDefault="004637CC" w:rsidP="004637CC">
      <w:pPr>
        <w:numPr>
          <w:ilvl w:val="0"/>
          <w:numId w:val="14"/>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כרמל</w:t>
      </w:r>
      <w:r w:rsidRPr="004637CC">
        <w:rPr>
          <w:rFonts w:eastAsia="Times New Roman" w:cs="Times New Roman"/>
          <w:rtl/>
          <w:lang w:eastAsia="de-DE"/>
        </w:rPr>
        <w:t xml:space="preserve"> </w:t>
      </w:r>
      <w:r w:rsidRPr="004637CC">
        <w:rPr>
          <w:rFonts w:eastAsia="Times New Roman" w:cs="Times New Roman"/>
          <w:lang w:eastAsia="de-DE"/>
        </w:rPr>
        <w:t>(frische Ähren)</w:t>
      </w:r>
    </w:p>
    <w:p w14:paraId="6FC5CBB7" w14:textId="7D71B4C2"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עד־עצם היום הזה עד הביאכם את־קרבן אלהיכם</w:t>
      </w:r>
      <w:r w:rsidRPr="004637CC">
        <w:rPr>
          <w:rFonts w:eastAsia="Times New Roman" w:cs="Times New Roman"/>
          <w:rtl/>
          <w:lang w:eastAsia="de-DE"/>
        </w:rPr>
        <w:t xml:space="preserve"> </w:t>
      </w:r>
      <w:r w:rsidRPr="004637CC">
        <w:rPr>
          <w:rFonts w:eastAsia="Times New Roman" w:cs="Times New Roman"/>
          <w:lang w:eastAsia="de-DE"/>
        </w:rPr>
        <w:t xml:space="preserve">(bis zu diesem Tag, bis ihr die Opfergabe eures Gottes gebracht habt) - </w:t>
      </w:r>
      <w:r w:rsidRPr="004637CC">
        <w:rPr>
          <w:rFonts w:eastAsia="Times New Roman" w:cs="Times New Roman"/>
          <w:b/>
          <w:bCs/>
          <w:rtl/>
          <w:lang w:eastAsia="de-DE"/>
        </w:rPr>
        <w:t>עד־עצם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(bis zu diesem Tag) betont die Zeitgrenze. </w:t>
      </w:r>
      <w:r w:rsidRPr="004637CC">
        <w:rPr>
          <w:rFonts w:eastAsia="Times New Roman" w:cs="Times New Roman"/>
          <w:b/>
          <w:bCs/>
          <w:rtl/>
          <w:lang w:eastAsia="de-DE"/>
        </w:rPr>
        <w:t>עד הביאכם</w:t>
      </w:r>
      <w:r w:rsidRPr="004637CC">
        <w:rPr>
          <w:rFonts w:eastAsia="Times New Roman" w:cs="Times New Roman"/>
          <w:rtl/>
          <w:lang w:eastAsia="de-DE"/>
        </w:rPr>
        <w:t xml:space="preserve"> </w:t>
      </w:r>
      <w:r w:rsidRPr="004637CC">
        <w:rPr>
          <w:rFonts w:eastAsia="Times New Roman" w:cs="Times New Roman"/>
          <w:lang w:eastAsia="de-DE"/>
        </w:rPr>
        <w:t>(bis ihr gebracht habt) im Hifil-Infinitiv-</w:t>
      </w:r>
      <w:r w:rsidR="00DE39DD">
        <w:rPr>
          <w:rFonts w:eastAsia="Times New Roman" w:cs="Times New Roman"/>
          <w:lang w:eastAsia="de-DE"/>
        </w:rPr>
        <w:t>Constructus</w:t>
      </w:r>
      <w:r w:rsidRPr="004637CC">
        <w:rPr>
          <w:rFonts w:eastAsia="Times New Roman" w:cs="Times New Roman"/>
          <w:lang w:eastAsia="de-DE"/>
        </w:rPr>
        <w:t xml:space="preserve"> zeigt die Bedingung. </w:t>
      </w:r>
      <w:r w:rsidRPr="004637CC">
        <w:rPr>
          <w:rFonts w:eastAsia="Times New Roman" w:cs="Times New Roman"/>
          <w:b/>
          <w:bCs/>
          <w:rtl/>
          <w:lang w:eastAsia="de-DE"/>
        </w:rPr>
        <w:t>קרבן אלהיכם</w:t>
      </w:r>
      <w:r w:rsidRPr="004637CC">
        <w:rPr>
          <w:rFonts w:eastAsia="Times New Roman" w:cs="Times New Roman"/>
          <w:rtl/>
          <w:lang w:eastAsia="de-DE"/>
        </w:rPr>
        <w:t xml:space="preserve"> </w:t>
      </w:r>
      <w:r w:rsidRPr="004637CC">
        <w:rPr>
          <w:rFonts w:eastAsia="Times New Roman" w:cs="Times New Roman"/>
          <w:lang w:eastAsia="de-DE"/>
        </w:rPr>
        <w:t>(Opfergabe eures Gottes) bezieht sich auf die Omer-Darbringung.</w:t>
      </w:r>
    </w:p>
    <w:p w14:paraId="1225101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חקת עולם לדרתיכם בכל מושבתיכם</w:t>
      </w:r>
      <w:r w:rsidRPr="004637CC">
        <w:rPr>
          <w:rFonts w:eastAsia="Times New Roman" w:cs="Times New Roman"/>
          <w:rtl/>
          <w:lang w:eastAsia="de-DE"/>
        </w:rPr>
        <w:t xml:space="preserve"> </w:t>
      </w:r>
      <w:r w:rsidRPr="004637CC">
        <w:rPr>
          <w:rFonts w:eastAsia="Times New Roman" w:cs="Times New Roman"/>
          <w:lang w:eastAsia="de-DE"/>
        </w:rPr>
        <w:t>(eine ewige Satzung bei euren Generationen in allen euren Wohnsitzen) entspricht V. 3 und zeigt dauerhafte universelle Gültigkeit.</w:t>
      </w:r>
    </w:p>
    <w:p w14:paraId="32E7D9E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לחם וקלי וכרמל</w:t>
      </w:r>
      <w:r w:rsidRPr="004637CC">
        <w:rPr>
          <w:rFonts w:eastAsia="Times New Roman" w:cs="Times New Roman"/>
          <w:rtl/>
          <w:lang w:eastAsia="de-DE"/>
        </w:rPr>
        <w:t xml:space="preserve"> </w:t>
      </w:r>
      <w:r w:rsidRPr="004637CC">
        <w:rPr>
          <w:rFonts w:eastAsia="Times New Roman" w:cs="Times New Roman"/>
          <w:lang w:eastAsia="de-DE"/>
        </w:rPr>
        <w:t xml:space="preserve">erfasst alle Formen des Getreidekonsums. </w:t>
      </w:r>
      <w:r w:rsidRPr="004637CC">
        <w:rPr>
          <w:rFonts w:eastAsia="Times New Roman" w:cs="Times New Roman"/>
          <w:b/>
          <w:bCs/>
          <w:rtl/>
          <w:lang w:eastAsia="de-DE"/>
        </w:rPr>
        <w:t>עד־עצם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zeigt absolute Zeitgrenze.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zeigt dauerhafte Verpflichtung.</w:t>
      </w:r>
    </w:p>
    <w:p w14:paraId="039FB463" w14:textId="07053109"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קלי</w:t>
      </w:r>
      <w:r w:rsidR="00775F21">
        <w:t xml:space="preserve"> (</w:t>
      </w:r>
      <w:proofErr w:type="spellStart"/>
      <w:r w:rsidR="00775F21">
        <w:t>qali</w:t>
      </w:r>
      <w:proofErr w:type="spellEnd"/>
      <w:r w:rsidR="00775F21">
        <w:t xml:space="preserve"> - "geröstetes Getreide") als π</w:t>
      </w:r>
      <w:proofErr w:type="spellStart"/>
      <w:r w:rsidR="00775F21">
        <w:t>εφρυγμέν</w:t>
      </w:r>
      <w:proofErr w:type="spellEnd"/>
      <w:r w:rsidR="00775F21">
        <w:t xml:space="preserve">α (Geröstetes) und </w:t>
      </w:r>
      <w:r w:rsidR="00775F21">
        <w:rPr>
          <w:rtl/>
        </w:rPr>
        <w:t>כרמל</w:t>
      </w:r>
      <w:r w:rsidR="00775F21">
        <w:t xml:space="preserve"> (</w:t>
      </w:r>
      <w:proofErr w:type="spellStart"/>
      <w:r w:rsidR="00775F21">
        <w:t>karmel</w:t>
      </w:r>
      <w:proofErr w:type="spellEnd"/>
      <w:r w:rsidR="00775F21">
        <w:t xml:space="preserve"> - "frische Ähren") als </w:t>
      </w:r>
      <w:proofErr w:type="spellStart"/>
      <w:r w:rsidR="00775F21">
        <w:t>χίδρ</w:t>
      </w:r>
      <w:proofErr w:type="spellEnd"/>
      <w:r w:rsidR="00775F21">
        <w:t xml:space="preserve">α </w:t>
      </w:r>
      <w:proofErr w:type="spellStart"/>
      <w:r w:rsidR="00775F21">
        <w:t>νέ</w:t>
      </w:r>
      <w:proofErr w:type="spellEnd"/>
      <w:r w:rsidR="00775F21">
        <w:t>α (neue Körner).</w:t>
      </w:r>
    </w:p>
    <w:p w14:paraId="20D7ED4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Neuernte-Verbot: drei Getreideformen + Essverbot + Zeitgrenze bis zur Opferdarbringung + ewige Satzung + universelle Gültigkeit.</w:t>
      </w:r>
    </w:p>
    <w:p w14:paraId="16B719F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verbietet den Genuss neuer Ernte bis zur Erstlingsopferung und etabliert dies als ewige Satzung.</w:t>
      </w:r>
    </w:p>
    <w:p w14:paraId="096C93D2"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23,15</w:t>
      </w:r>
    </w:p>
    <w:p w14:paraId="256F866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וּסְפַרְתֶּ֤ם לָכֶם֙ מִמָּחֳרַ֣ת הַשַּׁבָּ֔ת מִיּוֹם֙ הֲבִ֣יאֲכֶ֔ם אֶת־עֹ֖מֶר הַתְּנוּפָ֑ה שֶׁ֥בַע שַׁבָּת֖וֹת תְּמִימֹ֥ת תִּהְיֶֽינָה׃</w:t>
      </w:r>
    </w:p>
    <w:p w14:paraId="4283F03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euch zählen vom Tag nach dem Schabbat, von dem Tag, da ihr die Garbe des Schwingopfers gebracht habt: Es sollen sieben volle Wochen sein.</w:t>
      </w:r>
    </w:p>
    <w:p w14:paraId="5AA33CCE"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3DF0FC55">
          <v:rect id="_x0000_i1696" style="width:0;height:1.5pt" o:hralign="center" o:hrstd="t" o:hr="t" fillcolor="#a0a0a0" stroked="f"/>
        </w:pict>
      </w:r>
    </w:p>
    <w:p w14:paraId="436087F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וספרתם לכם ממחרת השבת מיום הביאכם את־עמר התנופה שבע שבתות תמימת תהיינה</w:t>
      </w:r>
      <w:r w:rsidRPr="004637CC">
        <w:rPr>
          <w:rFonts w:eastAsia="Times New Roman" w:cs="Times New Roman"/>
          <w:rtl/>
          <w:lang w:eastAsia="de-DE"/>
        </w:rPr>
        <w:t xml:space="preserve"> </w:t>
      </w:r>
      <w:r w:rsidRPr="004637CC">
        <w:rPr>
          <w:rFonts w:eastAsia="Times New Roman" w:cs="Times New Roman"/>
          <w:lang w:eastAsia="de-DE"/>
        </w:rPr>
        <w:t xml:space="preserve">beginnt die Omer-Zählung zum Wochenfest. </w:t>
      </w:r>
      <w:r w:rsidRPr="004637CC">
        <w:rPr>
          <w:rFonts w:eastAsia="Times New Roman" w:cs="Times New Roman"/>
          <w:b/>
          <w:bCs/>
          <w:rtl/>
          <w:lang w:eastAsia="de-DE"/>
        </w:rPr>
        <w:t>וספרתם לכם</w:t>
      </w:r>
      <w:r w:rsidRPr="004637CC">
        <w:rPr>
          <w:rFonts w:eastAsia="Times New Roman" w:cs="Times New Roman"/>
          <w:rtl/>
          <w:lang w:eastAsia="de-DE"/>
        </w:rPr>
        <w:t xml:space="preserve"> </w:t>
      </w:r>
      <w:r w:rsidRPr="004637CC">
        <w:rPr>
          <w:rFonts w:eastAsia="Times New Roman" w:cs="Times New Roman"/>
          <w:lang w:eastAsia="de-DE"/>
        </w:rPr>
        <w:t xml:space="preserve">(und ihr sollt euch zählen) - </w:t>
      </w:r>
      <w:r w:rsidRPr="004637CC">
        <w:rPr>
          <w:rFonts w:eastAsia="Times New Roman" w:cs="Times New Roman"/>
          <w:b/>
          <w:bCs/>
          <w:rtl/>
          <w:lang w:eastAsia="de-DE"/>
        </w:rPr>
        <w:t>ספרתם</w:t>
      </w:r>
      <w:r w:rsidRPr="004637CC">
        <w:rPr>
          <w:rFonts w:eastAsia="Times New Roman" w:cs="Times New Roman"/>
          <w:rtl/>
          <w:lang w:eastAsia="de-DE"/>
        </w:rPr>
        <w:t xml:space="preserve"> </w:t>
      </w:r>
      <w:r w:rsidRPr="004637CC">
        <w:rPr>
          <w:rFonts w:eastAsia="Times New Roman" w:cs="Times New Roman"/>
          <w:lang w:eastAsia="de-DE"/>
        </w:rPr>
        <w:t xml:space="preserve">(sollt ihr zählen) im Qal-Perfekt. </w:t>
      </w:r>
      <w:r w:rsidRPr="004637CC">
        <w:rPr>
          <w:rFonts w:eastAsia="Times New Roman" w:cs="Times New Roman"/>
          <w:b/>
          <w:bCs/>
          <w:rtl/>
          <w:lang w:eastAsia="de-DE"/>
        </w:rPr>
        <w:t>לכם</w:t>
      </w:r>
      <w:r w:rsidRPr="004637CC">
        <w:rPr>
          <w:rFonts w:eastAsia="Times New Roman" w:cs="Times New Roman"/>
          <w:rtl/>
          <w:lang w:eastAsia="de-DE"/>
        </w:rPr>
        <w:t xml:space="preserve"> </w:t>
      </w:r>
      <w:r w:rsidRPr="004637CC">
        <w:rPr>
          <w:rFonts w:eastAsia="Times New Roman" w:cs="Times New Roman"/>
          <w:lang w:eastAsia="de-DE"/>
        </w:rPr>
        <w:t>(für euch) zeigt persönliche Verpflichtung.</w:t>
      </w:r>
    </w:p>
    <w:p w14:paraId="694D2CD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ממחרת השבת מיום הביאכם את־עמר התנופה</w:t>
      </w:r>
      <w:r w:rsidRPr="004637CC">
        <w:rPr>
          <w:rFonts w:eastAsia="Times New Roman" w:cs="Times New Roman"/>
          <w:rtl/>
          <w:lang w:eastAsia="de-DE"/>
        </w:rPr>
        <w:t xml:space="preserve"> </w:t>
      </w:r>
      <w:r w:rsidRPr="004637CC">
        <w:rPr>
          <w:rFonts w:eastAsia="Times New Roman" w:cs="Times New Roman"/>
          <w:lang w:eastAsia="de-DE"/>
        </w:rPr>
        <w:t xml:space="preserve">(vom Tag nach dem Schabbat, von dem Tag, da ihr die Garbe des Schwingopfers gebracht habt) - </w:t>
      </w:r>
      <w:r w:rsidRPr="004637CC">
        <w:rPr>
          <w:rFonts w:eastAsia="Times New Roman" w:cs="Times New Roman"/>
          <w:b/>
          <w:bCs/>
          <w:rtl/>
          <w:lang w:eastAsia="de-DE"/>
        </w:rPr>
        <w:t>ממחרת השבת</w:t>
      </w:r>
      <w:r w:rsidRPr="004637CC">
        <w:rPr>
          <w:rFonts w:eastAsia="Times New Roman" w:cs="Times New Roman"/>
          <w:rtl/>
          <w:lang w:eastAsia="de-DE"/>
        </w:rPr>
        <w:t xml:space="preserve"> </w:t>
      </w:r>
      <w:r w:rsidRPr="004637CC">
        <w:rPr>
          <w:rFonts w:eastAsia="Times New Roman" w:cs="Times New Roman"/>
          <w:lang w:eastAsia="de-DE"/>
        </w:rPr>
        <w:t xml:space="preserve">entspricht V. 11. </w:t>
      </w:r>
      <w:r w:rsidRPr="004637CC">
        <w:rPr>
          <w:rFonts w:eastAsia="Times New Roman" w:cs="Times New Roman"/>
          <w:b/>
          <w:bCs/>
          <w:rtl/>
          <w:lang w:eastAsia="de-DE"/>
        </w:rPr>
        <w:t>מיום הביאכם</w:t>
      </w:r>
      <w:r w:rsidRPr="004637CC">
        <w:rPr>
          <w:rFonts w:eastAsia="Times New Roman" w:cs="Times New Roman"/>
          <w:rtl/>
          <w:lang w:eastAsia="de-DE"/>
        </w:rPr>
        <w:t xml:space="preserve"> </w:t>
      </w:r>
      <w:r w:rsidRPr="004637CC">
        <w:rPr>
          <w:rFonts w:eastAsia="Times New Roman" w:cs="Times New Roman"/>
          <w:lang w:eastAsia="de-DE"/>
        </w:rPr>
        <w:t xml:space="preserve">(von dem Tag eures Bringens) präzisiert den Ausgangspunkt. </w:t>
      </w:r>
      <w:r w:rsidRPr="004637CC">
        <w:rPr>
          <w:rFonts w:eastAsia="Times New Roman" w:cs="Times New Roman"/>
          <w:b/>
          <w:bCs/>
          <w:rtl/>
          <w:lang w:eastAsia="de-DE"/>
        </w:rPr>
        <w:t>עמר התנופה</w:t>
      </w:r>
      <w:r w:rsidRPr="004637CC">
        <w:rPr>
          <w:rFonts w:eastAsia="Times New Roman" w:cs="Times New Roman"/>
          <w:rtl/>
          <w:lang w:eastAsia="de-DE"/>
        </w:rPr>
        <w:t xml:space="preserve"> </w:t>
      </w:r>
      <w:r w:rsidRPr="004637CC">
        <w:rPr>
          <w:rFonts w:eastAsia="Times New Roman" w:cs="Times New Roman"/>
          <w:lang w:eastAsia="de-DE"/>
        </w:rPr>
        <w:t>(Garbe des Schwingopfers) verbindet mit V. 11.</w:t>
      </w:r>
    </w:p>
    <w:p w14:paraId="50BDA4E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שבע שבתות תמימת תהיינה</w:t>
      </w:r>
      <w:r w:rsidRPr="004637CC">
        <w:rPr>
          <w:rFonts w:eastAsia="Times New Roman" w:cs="Times New Roman"/>
          <w:rtl/>
          <w:lang w:eastAsia="de-DE"/>
        </w:rPr>
        <w:t xml:space="preserve"> </w:t>
      </w:r>
      <w:r w:rsidRPr="004637CC">
        <w:rPr>
          <w:rFonts w:eastAsia="Times New Roman" w:cs="Times New Roman"/>
          <w:lang w:eastAsia="de-DE"/>
        </w:rPr>
        <w:t xml:space="preserve">(es sollen sieben volle Wochen sein) - </w:t>
      </w:r>
      <w:r w:rsidRPr="004637CC">
        <w:rPr>
          <w:rFonts w:eastAsia="Times New Roman" w:cs="Times New Roman"/>
          <w:b/>
          <w:bCs/>
          <w:rtl/>
          <w:lang w:eastAsia="de-DE"/>
        </w:rPr>
        <w:t>שבע שבתות</w:t>
      </w:r>
      <w:r w:rsidRPr="004637CC">
        <w:rPr>
          <w:rFonts w:eastAsia="Times New Roman" w:cs="Times New Roman"/>
          <w:rtl/>
          <w:lang w:eastAsia="de-DE"/>
        </w:rPr>
        <w:t xml:space="preserve"> </w:t>
      </w:r>
      <w:r w:rsidRPr="004637CC">
        <w:rPr>
          <w:rFonts w:eastAsia="Times New Roman" w:cs="Times New Roman"/>
          <w:lang w:eastAsia="de-DE"/>
        </w:rPr>
        <w:t xml:space="preserve">(sieben Wochen) zeigt die Zählperiode. </w:t>
      </w:r>
      <w:r w:rsidRPr="004637CC">
        <w:rPr>
          <w:rFonts w:eastAsia="Times New Roman" w:cs="Times New Roman"/>
          <w:b/>
          <w:bCs/>
          <w:rtl/>
          <w:lang w:eastAsia="de-DE"/>
        </w:rPr>
        <w:t>תמימת</w:t>
      </w:r>
      <w:r w:rsidRPr="004637CC">
        <w:rPr>
          <w:rFonts w:eastAsia="Times New Roman" w:cs="Times New Roman"/>
          <w:rtl/>
          <w:lang w:eastAsia="de-DE"/>
        </w:rPr>
        <w:t xml:space="preserve"> </w:t>
      </w:r>
      <w:r w:rsidRPr="004637CC">
        <w:rPr>
          <w:rFonts w:eastAsia="Times New Roman" w:cs="Times New Roman"/>
          <w:lang w:eastAsia="de-DE"/>
        </w:rPr>
        <w:t xml:space="preserve">(volle) betont Vollständigkeit. </w:t>
      </w:r>
      <w:r w:rsidRPr="004637CC">
        <w:rPr>
          <w:rFonts w:eastAsia="Times New Roman" w:cs="Times New Roman"/>
          <w:b/>
          <w:bCs/>
          <w:rtl/>
          <w:lang w:eastAsia="de-DE"/>
        </w:rPr>
        <w:t>תהיינה</w:t>
      </w:r>
      <w:r w:rsidRPr="004637CC">
        <w:rPr>
          <w:rFonts w:eastAsia="Times New Roman" w:cs="Times New Roman"/>
          <w:rtl/>
          <w:lang w:eastAsia="de-DE"/>
        </w:rPr>
        <w:t xml:space="preserve"> </w:t>
      </w:r>
      <w:r w:rsidRPr="004637CC">
        <w:rPr>
          <w:rFonts w:eastAsia="Times New Roman" w:cs="Times New Roman"/>
          <w:lang w:eastAsia="de-DE"/>
        </w:rPr>
        <w:t>(sollen sein) im Qal-Imperfekt.</w:t>
      </w:r>
    </w:p>
    <w:p w14:paraId="166BC3E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וספרתם לכם</w:t>
      </w:r>
      <w:r w:rsidRPr="004637CC">
        <w:rPr>
          <w:rFonts w:eastAsia="Times New Roman" w:cs="Times New Roman"/>
          <w:rtl/>
          <w:lang w:eastAsia="de-DE"/>
        </w:rPr>
        <w:t xml:space="preserve"> </w:t>
      </w:r>
      <w:r w:rsidRPr="004637CC">
        <w:rPr>
          <w:rFonts w:eastAsia="Times New Roman" w:cs="Times New Roman"/>
          <w:lang w:eastAsia="de-DE"/>
        </w:rPr>
        <w:t xml:space="preserve">zeigt individuelle Zählpflicht. </w:t>
      </w:r>
      <w:r w:rsidRPr="004637CC">
        <w:rPr>
          <w:rFonts w:eastAsia="Times New Roman" w:cs="Times New Roman"/>
          <w:b/>
          <w:bCs/>
          <w:rtl/>
          <w:lang w:eastAsia="de-DE"/>
        </w:rPr>
        <w:t>ממחרת השבת</w:t>
      </w:r>
      <w:r w:rsidRPr="004637CC">
        <w:rPr>
          <w:rFonts w:eastAsia="Times New Roman" w:cs="Times New Roman"/>
          <w:rtl/>
          <w:lang w:eastAsia="de-DE"/>
        </w:rPr>
        <w:t xml:space="preserve"> </w:t>
      </w:r>
      <w:r w:rsidRPr="004637CC">
        <w:rPr>
          <w:rFonts w:eastAsia="Times New Roman" w:cs="Times New Roman"/>
          <w:lang w:eastAsia="de-DE"/>
        </w:rPr>
        <w:t xml:space="preserve">als fester Ausgangspunkt. </w:t>
      </w:r>
      <w:r w:rsidRPr="004637CC">
        <w:rPr>
          <w:rFonts w:eastAsia="Times New Roman" w:cs="Times New Roman"/>
          <w:b/>
          <w:bCs/>
          <w:rtl/>
          <w:lang w:eastAsia="de-DE"/>
        </w:rPr>
        <w:t>שבע שבתות תמימת</w:t>
      </w:r>
      <w:r w:rsidRPr="004637CC">
        <w:rPr>
          <w:rFonts w:eastAsia="Times New Roman" w:cs="Times New Roman"/>
          <w:rtl/>
          <w:lang w:eastAsia="de-DE"/>
        </w:rPr>
        <w:t xml:space="preserve"> </w:t>
      </w:r>
      <w:r w:rsidRPr="004637CC">
        <w:rPr>
          <w:rFonts w:eastAsia="Times New Roman" w:cs="Times New Roman"/>
          <w:lang w:eastAsia="de-DE"/>
        </w:rPr>
        <w:t>als 49 Tage.</w:t>
      </w:r>
    </w:p>
    <w:p w14:paraId="3F473F2C" w14:textId="40AD07D0"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in </w:t>
      </w:r>
      <w:r w:rsidR="00775F21" w:rsidRPr="00775F21">
        <w:rPr>
          <w:b/>
          <w:bCs/>
        </w:rPr>
        <w:t>Vers 15-16</w:t>
      </w:r>
      <w:r w:rsidR="00775F21">
        <w:t xml:space="preserve"> die Omer-Zählung präzise als ἑπ</w:t>
      </w:r>
      <w:proofErr w:type="spellStart"/>
      <w:r w:rsidR="00775F21">
        <w:t>τὰ</w:t>
      </w:r>
      <w:proofErr w:type="spellEnd"/>
      <w:r w:rsidR="00775F21">
        <w:t xml:space="preserve"> ἑβ</w:t>
      </w:r>
      <w:proofErr w:type="spellStart"/>
      <w:r w:rsidR="00775F21">
        <w:t>δομάδ</w:t>
      </w:r>
      <w:proofErr w:type="spellEnd"/>
      <w:r w:rsidR="00775F21">
        <w:t xml:space="preserve">ας </w:t>
      </w:r>
      <w:proofErr w:type="spellStart"/>
      <w:r w:rsidR="00775F21">
        <w:t>ὁλοκλήρους</w:t>
      </w:r>
      <w:proofErr w:type="spellEnd"/>
      <w:r w:rsidR="00775F21">
        <w:t xml:space="preserve"> (sieben vollständige Wochen) bis π</w:t>
      </w:r>
      <w:proofErr w:type="spellStart"/>
      <w:r w:rsidR="00775F21">
        <w:t>εντήκοντ</w:t>
      </w:r>
      <w:proofErr w:type="spellEnd"/>
      <w:r w:rsidR="00775F21">
        <w:t xml:space="preserve">α </w:t>
      </w:r>
      <w:proofErr w:type="spellStart"/>
      <w:r w:rsidR="00775F21">
        <w:t>ἡμέρ</w:t>
      </w:r>
      <w:proofErr w:type="spellEnd"/>
      <w:r w:rsidR="00775F21">
        <w:t>ας (fünfzig Tage).</w:t>
      </w:r>
    </w:p>
    <w:p w14:paraId="2B4F550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Omer-Zählung: persönliche Zählpflicht + Ausgangspunkt nach dem Sabbat + Bezug zur Schwinggarbe + sieben volle Wochen.</w:t>
      </w:r>
    </w:p>
    <w:p w14:paraId="1D7E93F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49-tägige Omer-Zählung vom Tag der Schwinggarbe bis zum Wochenfest.</w:t>
      </w:r>
    </w:p>
    <w:p w14:paraId="1BFE2B37"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23,16</w:t>
      </w:r>
    </w:p>
    <w:p w14:paraId="00CCAC5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עַ֣ד מִֽמָּחֳרַ֤ת הַשַּׁבָּת֙ הַשְּׁבִיעִ֔ת תִּסְפְּר֖וּ חֲמִשִּׁ֣ים י֑וֹם וְהִקְרַבְתֶּ֛ם מִנְחָ֥ה חֲדָשָׁ֖ה לַיהוָֽה׃</w:t>
      </w:r>
    </w:p>
    <w:p w14:paraId="46FBFA1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Bis zum Tag nach dem siebten Schabbat sollt ihr 50 Tage zählen; und ihr sollt dem Ewigen ein neues Speisopfer darbringen.</w:t>
      </w:r>
    </w:p>
    <w:p w14:paraId="4BB53911"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10D1DD9">
          <v:rect id="_x0000_i1697" style="width:0;height:1.5pt" o:hralign="center" o:hrstd="t" o:hr="t" fillcolor="#a0a0a0" stroked="f"/>
        </w:pict>
      </w:r>
    </w:p>
    <w:p w14:paraId="025B0CC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עד ממחרת השבת השביעת תספרו חמשים יום והקרבתם מנחה חדשה ליהוה</w:t>
      </w:r>
      <w:r w:rsidRPr="004637CC">
        <w:rPr>
          <w:rFonts w:eastAsia="Times New Roman" w:cs="Times New Roman"/>
          <w:rtl/>
          <w:lang w:eastAsia="de-DE"/>
        </w:rPr>
        <w:t xml:space="preserve"> </w:t>
      </w:r>
      <w:r w:rsidRPr="004637CC">
        <w:rPr>
          <w:rFonts w:eastAsia="Times New Roman" w:cs="Times New Roman"/>
          <w:lang w:eastAsia="de-DE"/>
        </w:rPr>
        <w:t xml:space="preserve">zeigt das Ende der Omer-Zählung und das Wochenfest. </w:t>
      </w:r>
      <w:r w:rsidRPr="004637CC">
        <w:rPr>
          <w:rFonts w:eastAsia="Times New Roman" w:cs="Times New Roman"/>
          <w:b/>
          <w:bCs/>
          <w:rtl/>
          <w:lang w:eastAsia="de-DE"/>
        </w:rPr>
        <w:t>עד ממחרת השבת השביעת תספרו חמשים יום</w:t>
      </w:r>
      <w:r w:rsidRPr="004637CC">
        <w:rPr>
          <w:rFonts w:eastAsia="Times New Roman" w:cs="Times New Roman"/>
          <w:rtl/>
          <w:lang w:eastAsia="de-DE"/>
        </w:rPr>
        <w:t xml:space="preserve"> </w:t>
      </w:r>
      <w:r w:rsidRPr="004637CC">
        <w:rPr>
          <w:rFonts w:eastAsia="Times New Roman" w:cs="Times New Roman"/>
          <w:lang w:eastAsia="de-DE"/>
        </w:rPr>
        <w:t xml:space="preserve">(bis zum Tag nach dem siebten Schabbat sollt ihr 50 Tage zählen) - </w:t>
      </w:r>
      <w:r w:rsidRPr="004637CC">
        <w:rPr>
          <w:rFonts w:eastAsia="Times New Roman" w:cs="Times New Roman"/>
          <w:b/>
          <w:bCs/>
          <w:rtl/>
          <w:lang w:eastAsia="de-DE"/>
        </w:rPr>
        <w:t>עד ממחרת השבת השביעת</w:t>
      </w:r>
      <w:r w:rsidRPr="004637CC">
        <w:rPr>
          <w:rFonts w:eastAsia="Times New Roman" w:cs="Times New Roman"/>
          <w:rtl/>
          <w:lang w:eastAsia="de-DE"/>
        </w:rPr>
        <w:t xml:space="preserve"> </w:t>
      </w:r>
      <w:r w:rsidRPr="004637CC">
        <w:rPr>
          <w:rFonts w:eastAsia="Times New Roman" w:cs="Times New Roman"/>
          <w:lang w:eastAsia="de-DE"/>
        </w:rPr>
        <w:t xml:space="preserve">(bis zum Tag nach dem siebten Schabbat) zeigt den Endpunkt. </w:t>
      </w:r>
      <w:r w:rsidRPr="004637CC">
        <w:rPr>
          <w:rFonts w:eastAsia="Times New Roman" w:cs="Times New Roman"/>
          <w:b/>
          <w:bCs/>
          <w:rtl/>
          <w:lang w:eastAsia="de-DE"/>
        </w:rPr>
        <w:t>תספרו חמשים יום</w:t>
      </w:r>
      <w:r w:rsidRPr="004637CC">
        <w:rPr>
          <w:rFonts w:eastAsia="Times New Roman" w:cs="Times New Roman"/>
          <w:rtl/>
          <w:lang w:eastAsia="de-DE"/>
        </w:rPr>
        <w:t xml:space="preserve"> </w:t>
      </w:r>
      <w:r w:rsidRPr="004637CC">
        <w:rPr>
          <w:rFonts w:eastAsia="Times New Roman" w:cs="Times New Roman"/>
          <w:lang w:eastAsia="de-DE"/>
        </w:rPr>
        <w:t xml:space="preserve">(sollt ihr 50 Tage zählen) - </w:t>
      </w:r>
      <w:r w:rsidRPr="004637CC">
        <w:rPr>
          <w:rFonts w:eastAsia="Times New Roman" w:cs="Times New Roman"/>
          <w:b/>
          <w:bCs/>
          <w:rtl/>
          <w:lang w:eastAsia="de-DE"/>
        </w:rPr>
        <w:t>חמשים יום</w:t>
      </w:r>
      <w:r w:rsidRPr="004637CC">
        <w:rPr>
          <w:rFonts w:eastAsia="Times New Roman" w:cs="Times New Roman"/>
          <w:rtl/>
          <w:lang w:eastAsia="de-DE"/>
        </w:rPr>
        <w:t xml:space="preserve"> </w:t>
      </w:r>
      <w:r w:rsidRPr="004637CC">
        <w:rPr>
          <w:rFonts w:eastAsia="Times New Roman" w:cs="Times New Roman"/>
          <w:lang w:eastAsia="de-DE"/>
        </w:rPr>
        <w:t>(50 Tage) als 7 x 7 + 1.</w:t>
      </w:r>
    </w:p>
    <w:p w14:paraId="7A0612B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והקרבתם מנחה חדשה ליהוה</w:t>
      </w:r>
      <w:r w:rsidRPr="004637CC">
        <w:rPr>
          <w:rFonts w:eastAsia="Times New Roman" w:cs="Times New Roman"/>
          <w:rtl/>
          <w:lang w:eastAsia="de-DE"/>
        </w:rPr>
        <w:t xml:space="preserve"> </w:t>
      </w:r>
      <w:r w:rsidRPr="004637CC">
        <w:rPr>
          <w:rFonts w:eastAsia="Times New Roman" w:cs="Times New Roman"/>
          <w:lang w:eastAsia="de-DE"/>
        </w:rPr>
        <w:t xml:space="preserve">(und ihr sollt dem Ewigen ein neues Speisopfer darbringen) - </w:t>
      </w:r>
      <w:r w:rsidRPr="004637CC">
        <w:rPr>
          <w:rFonts w:eastAsia="Times New Roman" w:cs="Times New Roman"/>
          <w:b/>
          <w:bCs/>
          <w:rtl/>
          <w:lang w:eastAsia="de-DE"/>
        </w:rPr>
        <w:t>והקרבתם</w:t>
      </w:r>
      <w:r w:rsidRPr="004637CC">
        <w:rPr>
          <w:rFonts w:eastAsia="Times New Roman" w:cs="Times New Roman"/>
          <w:rtl/>
          <w:lang w:eastAsia="de-DE"/>
        </w:rPr>
        <w:t xml:space="preserve"> </w:t>
      </w:r>
      <w:r w:rsidRPr="004637CC">
        <w:rPr>
          <w:rFonts w:eastAsia="Times New Roman" w:cs="Times New Roman"/>
          <w:lang w:eastAsia="de-DE"/>
        </w:rPr>
        <w:t xml:space="preserve">(und ihr sollt darbringen) im Hifil-Perfekt mit Waw-Konsekutiv. </w:t>
      </w:r>
      <w:r w:rsidRPr="004637CC">
        <w:rPr>
          <w:rFonts w:eastAsia="Times New Roman" w:cs="Times New Roman"/>
          <w:b/>
          <w:bCs/>
          <w:rtl/>
          <w:lang w:eastAsia="de-DE"/>
        </w:rPr>
        <w:t>מנחה חדשה</w:t>
      </w:r>
      <w:r w:rsidRPr="004637CC">
        <w:rPr>
          <w:rFonts w:eastAsia="Times New Roman" w:cs="Times New Roman"/>
          <w:rtl/>
          <w:lang w:eastAsia="de-DE"/>
        </w:rPr>
        <w:t xml:space="preserve"> </w:t>
      </w:r>
      <w:r w:rsidRPr="004637CC">
        <w:rPr>
          <w:rFonts w:eastAsia="Times New Roman" w:cs="Times New Roman"/>
          <w:lang w:eastAsia="de-DE"/>
        </w:rPr>
        <w:t>(neues Speisopfer) zeigt das Wochenfest-Opfer aus der neuen Weizenernte.</w:t>
      </w:r>
    </w:p>
    <w:p w14:paraId="56081FC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ממחרת השבת השביעת</w:t>
      </w:r>
      <w:r w:rsidRPr="004637CC">
        <w:rPr>
          <w:rFonts w:eastAsia="Times New Roman" w:cs="Times New Roman"/>
          <w:rtl/>
          <w:lang w:eastAsia="de-DE"/>
        </w:rPr>
        <w:t xml:space="preserve"> </w:t>
      </w:r>
      <w:r w:rsidRPr="004637CC">
        <w:rPr>
          <w:rFonts w:eastAsia="Times New Roman" w:cs="Times New Roman"/>
          <w:lang w:eastAsia="de-DE"/>
        </w:rPr>
        <w:t xml:space="preserve">als 50. Tag nach der Omer-Darbringung. </w:t>
      </w:r>
      <w:r w:rsidRPr="004637CC">
        <w:rPr>
          <w:rFonts w:eastAsia="Times New Roman" w:cs="Times New Roman"/>
          <w:b/>
          <w:bCs/>
          <w:rtl/>
          <w:lang w:eastAsia="de-DE"/>
        </w:rPr>
        <w:t>חמשים יום</w:t>
      </w:r>
      <w:r w:rsidRPr="004637CC">
        <w:rPr>
          <w:rFonts w:eastAsia="Times New Roman" w:cs="Times New Roman"/>
          <w:rtl/>
          <w:lang w:eastAsia="de-DE"/>
        </w:rPr>
        <w:t xml:space="preserve"> </w:t>
      </w:r>
      <w:r w:rsidRPr="004637CC">
        <w:rPr>
          <w:rFonts w:eastAsia="Times New Roman" w:cs="Times New Roman"/>
          <w:lang w:eastAsia="de-DE"/>
        </w:rPr>
        <w:t xml:space="preserve">als exakte Tageszahl. </w:t>
      </w:r>
      <w:r w:rsidRPr="004637CC">
        <w:rPr>
          <w:rFonts w:eastAsia="Times New Roman" w:cs="Times New Roman"/>
          <w:b/>
          <w:bCs/>
          <w:rtl/>
          <w:lang w:eastAsia="de-DE"/>
        </w:rPr>
        <w:t>מנחה חדשה</w:t>
      </w:r>
      <w:r w:rsidRPr="004637CC">
        <w:rPr>
          <w:rFonts w:eastAsia="Times New Roman" w:cs="Times New Roman"/>
          <w:rtl/>
          <w:lang w:eastAsia="de-DE"/>
        </w:rPr>
        <w:t xml:space="preserve"> </w:t>
      </w:r>
      <w:r w:rsidRPr="004637CC">
        <w:rPr>
          <w:rFonts w:eastAsia="Times New Roman" w:cs="Times New Roman"/>
          <w:lang w:eastAsia="de-DE"/>
        </w:rPr>
        <w:t>aus der neuen Weizenernte im Gegensatz zur Gerste bei Omer.</w:t>
      </w:r>
    </w:p>
    <w:p w14:paraId="10B87329" w14:textId="4A76EF98"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00775F21">
        <w:rPr>
          <w:rFonts w:eastAsia="Times New Roman" w:cs="Times New Roman"/>
          <w:b/>
          <w:bCs/>
          <w:lang w:eastAsia="de-DE"/>
        </w:rPr>
        <w:t>s. Vers 15.</w:t>
      </w:r>
    </w:p>
    <w:p w14:paraId="0F26992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Omer-Zählungsende: Endpunkt nach der siebten Woche + 50-Tage-Zählung + neues Speisopfer für JHWH.</w:t>
      </w:r>
    </w:p>
    <w:p w14:paraId="56CE3BE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das Ende der Omer-Zählung am 50. Tag mit dem Wochenfest und seinem charakteristischen </w:t>
      </w:r>
      <w:r w:rsidRPr="004637CC">
        <w:rPr>
          <w:rFonts w:eastAsia="Times New Roman" w:cs="Times New Roman"/>
          <w:b/>
          <w:bCs/>
          <w:rtl/>
          <w:lang w:eastAsia="de-DE"/>
        </w:rPr>
        <w:t>מנחה חדשה</w:t>
      </w:r>
      <w:r w:rsidRPr="004637CC">
        <w:rPr>
          <w:rFonts w:eastAsia="Times New Roman" w:cs="Times New Roman"/>
          <w:lang w:eastAsia="de-DE"/>
        </w:rPr>
        <w:t>.</w:t>
      </w:r>
    </w:p>
    <w:p w14:paraId="40DD7C8A"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23,17</w:t>
      </w:r>
    </w:p>
    <w:p w14:paraId="0BFF8F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מִמּוֹשְׁבֹ֨תֵיכֶ֜ם תָּבִ֣יאּוּ׀ לֶ֣חֶם תְּנוּפָ֗ה שְׁ֚תַּיִם שְׁנֵ֣י עֶשְׂרֹנִ֔ים סֹ֣לֶת תִּהְיֶ֔ינָה חָמֵ֖ץ תֵּאָפֶ֑ינָה בִּכּוּרִ֖ים לַֽיהוָֽה׃</w:t>
      </w:r>
    </w:p>
    <w:p w14:paraId="6635D0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Deutsch:</w:t>
      </w:r>
      <w:r w:rsidRPr="004637CC">
        <w:rPr>
          <w:rFonts w:eastAsia="Times New Roman" w:cs="Times New Roman"/>
          <w:lang w:eastAsia="de-DE"/>
        </w:rPr>
        <w:t xml:space="preserve"> Aus euren Wohnungen sollt ihr Schwingbrot bringen, zwei von zwei Zehnteln Feinmehl sollen es sein, gesäuert sollen sie gebacken werden, als Erstlinge für den Ewigen.</w:t>
      </w:r>
    </w:p>
    <w:p w14:paraId="399192B8"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F3EE6EC">
          <v:rect id="_x0000_i1698" style="width:0;height:1.5pt" o:hralign="center" o:hrstd="t" o:hr="t" fillcolor="#a0a0a0" stroked="f"/>
        </w:pict>
      </w:r>
    </w:p>
    <w:p w14:paraId="20B67BB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ממושבתיכם תביאו לחם תנופה שתים שני עשרנים סלת תהיינה חמץ תאפינה בכורים ליהוה</w:t>
      </w:r>
      <w:r w:rsidRPr="004637CC">
        <w:rPr>
          <w:rFonts w:eastAsia="Times New Roman" w:cs="Times New Roman"/>
          <w:rtl/>
          <w:lang w:eastAsia="de-DE"/>
        </w:rPr>
        <w:t xml:space="preserve"> </w:t>
      </w:r>
      <w:r w:rsidRPr="004637CC">
        <w:rPr>
          <w:rFonts w:eastAsia="Times New Roman" w:cs="Times New Roman"/>
          <w:lang w:eastAsia="de-DE"/>
        </w:rPr>
        <w:t xml:space="preserve">zeigt das charakteristische Wochenfest-Opfer. </w:t>
      </w:r>
      <w:r w:rsidRPr="004637CC">
        <w:rPr>
          <w:rFonts w:eastAsia="Times New Roman" w:cs="Times New Roman"/>
          <w:b/>
          <w:bCs/>
          <w:rtl/>
          <w:lang w:eastAsia="de-DE"/>
        </w:rPr>
        <w:t>ממושבתיכם תביאו</w:t>
      </w:r>
      <w:r w:rsidRPr="004637CC">
        <w:rPr>
          <w:rFonts w:eastAsia="Times New Roman" w:cs="Times New Roman"/>
          <w:rtl/>
          <w:lang w:eastAsia="de-DE"/>
        </w:rPr>
        <w:t xml:space="preserve"> </w:t>
      </w:r>
      <w:r w:rsidRPr="004637CC">
        <w:rPr>
          <w:rFonts w:eastAsia="Times New Roman" w:cs="Times New Roman"/>
          <w:lang w:eastAsia="de-DE"/>
        </w:rPr>
        <w:t xml:space="preserve">(aus euren Wohnungen sollt ihr bringen) - </w:t>
      </w:r>
      <w:r w:rsidRPr="004637CC">
        <w:rPr>
          <w:rFonts w:eastAsia="Times New Roman" w:cs="Times New Roman"/>
          <w:b/>
          <w:bCs/>
          <w:rtl/>
          <w:lang w:eastAsia="de-DE"/>
        </w:rPr>
        <w:t>ממושבתיכם</w:t>
      </w:r>
      <w:r w:rsidRPr="004637CC">
        <w:rPr>
          <w:rFonts w:eastAsia="Times New Roman" w:cs="Times New Roman"/>
          <w:rtl/>
          <w:lang w:eastAsia="de-DE"/>
        </w:rPr>
        <w:t xml:space="preserve"> </w:t>
      </w:r>
      <w:r w:rsidRPr="004637CC">
        <w:rPr>
          <w:rFonts w:eastAsia="Times New Roman" w:cs="Times New Roman"/>
          <w:lang w:eastAsia="de-DE"/>
        </w:rPr>
        <w:t xml:space="preserve">(aus euren Wohnungen) zeigt dezentrale Herstellung. </w:t>
      </w:r>
      <w:r w:rsidRPr="004637CC">
        <w:rPr>
          <w:rFonts w:eastAsia="Times New Roman" w:cs="Times New Roman"/>
          <w:b/>
          <w:bCs/>
          <w:rtl/>
          <w:lang w:eastAsia="de-DE"/>
        </w:rPr>
        <w:t>תביאו</w:t>
      </w:r>
      <w:r w:rsidRPr="004637CC">
        <w:rPr>
          <w:rFonts w:eastAsia="Times New Roman" w:cs="Times New Roman"/>
          <w:rtl/>
          <w:lang w:eastAsia="de-DE"/>
        </w:rPr>
        <w:t xml:space="preserve"> </w:t>
      </w:r>
      <w:r w:rsidRPr="004637CC">
        <w:rPr>
          <w:rFonts w:eastAsia="Times New Roman" w:cs="Times New Roman"/>
          <w:lang w:eastAsia="de-DE"/>
        </w:rPr>
        <w:t>(sollt ihr bringen) im Hifil-Imperfekt.</w:t>
      </w:r>
    </w:p>
    <w:p w14:paraId="13B4809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לחם תנופה שתים</w:t>
      </w:r>
      <w:r w:rsidRPr="004637CC">
        <w:rPr>
          <w:rFonts w:eastAsia="Times New Roman" w:cs="Times New Roman"/>
          <w:rtl/>
          <w:lang w:eastAsia="de-DE"/>
        </w:rPr>
        <w:t xml:space="preserve"> </w:t>
      </w:r>
      <w:r w:rsidRPr="004637CC">
        <w:rPr>
          <w:rFonts w:eastAsia="Times New Roman" w:cs="Times New Roman"/>
          <w:lang w:eastAsia="de-DE"/>
        </w:rPr>
        <w:t xml:space="preserve">(Schwingbrot, zwei) - </w:t>
      </w:r>
      <w:r w:rsidRPr="004637CC">
        <w:rPr>
          <w:rFonts w:eastAsia="Times New Roman" w:cs="Times New Roman"/>
          <w:b/>
          <w:bCs/>
          <w:rtl/>
          <w:lang w:eastAsia="de-DE"/>
        </w:rPr>
        <w:t>לחם תנופה</w:t>
      </w:r>
      <w:r w:rsidRPr="004637CC">
        <w:rPr>
          <w:rFonts w:eastAsia="Times New Roman" w:cs="Times New Roman"/>
          <w:rtl/>
          <w:lang w:eastAsia="de-DE"/>
        </w:rPr>
        <w:t xml:space="preserve"> </w:t>
      </w:r>
      <w:r w:rsidRPr="004637CC">
        <w:rPr>
          <w:rFonts w:eastAsia="Times New Roman" w:cs="Times New Roman"/>
          <w:lang w:eastAsia="de-DE"/>
        </w:rPr>
        <w:t xml:space="preserve">(Schwingbrot) als </w:t>
      </w:r>
      <w:r w:rsidRPr="004637CC">
        <w:rPr>
          <w:rFonts w:eastAsia="Times New Roman" w:cs="Times New Roman"/>
          <w:b/>
          <w:bCs/>
          <w:rtl/>
          <w:lang w:eastAsia="de-DE"/>
        </w:rPr>
        <w:t>תנופה</w:t>
      </w:r>
      <w:r w:rsidRPr="004637CC">
        <w:rPr>
          <w:rFonts w:eastAsia="Times New Roman" w:cs="Times New Roman"/>
          <w:lang w:eastAsia="de-DE"/>
        </w:rPr>
        <w:t xml:space="preserve">-Opfer. </w:t>
      </w:r>
      <w:r w:rsidRPr="004637CC">
        <w:rPr>
          <w:rFonts w:eastAsia="Times New Roman" w:cs="Times New Roman"/>
          <w:b/>
          <w:bCs/>
          <w:rtl/>
          <w:lang w:eastAsia="de-DE"/>
        </w:rPr>
        <w:t>שתים</w:t>
      </w:r>
      <w:r w:rsidRPr="004637CC">
        <w:rPr>
          <w:rFonts w:eastAsia="Times New Roman" w:cs="Times New Roman"/>
          <w:rtl/>
          <w:lang w:eastAsia="de-DE"/>
        </w:rPr>
        <w:t xml:space="preserve"> </w:t>
      </w:r>
      <w:r w:rsidRPr="004637CC">
        <w:rPr>
          <w:rFonts w:eastAsia="Times New Roman" w:cs="Times New Roman"/>
          <w:lang w:eastAsia="de-DE"/>
        </w:rPr>
        <w:t>(zwei) zeigt die Anzahl der Brote.</w:t>
      </w:r>
    </w:p>
    <w:p w14:paraId="0EB5A5F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שני עשרנים סלת תהיינה חמץ תאפינה</w:t>
      </w:r>
      <w:r w:rsidRPr="004637CC">
        <w:rPr>
          <w:rFonts w:eastAsia="Times New Roman" w:cs="Times New Roman"/>
          <w:rtl/>
          <w:lang w:eastAsia="de-DE"/>
        </w:rPr>
        <w:t xml:space="preserve"> </w:t>
      </w:r>
      <w:r w:rsidRPr="004637CC">
        <w:rPr>
          <w:rFonts w:eastAsia="Times New Roman" w:cs="Times New Roman"/>
          <w:lang w:eastAsia="de-DE"/>
        </w:rPr>
        <w:t xml:space="preserve">(von zwei Zehnteln Feinmehl sollen es sein, gesäuert sollen sie gebacken werden) - </w:t>
      </w:r>
      <w:r w:rsidRPr="004637CC">
        <w:rPr>
          <w:rFonts w:eastAsia="Times New Roman" w:cs="Times New Roman"/>
          <w:b/>
          <w:bCs/>
          <w:rtl/>
          <w:lang w:eastAsia="de-DE"/>
        </w:rPr>
        <w:t>שני עשרנים סלת</w:t>
      </w:r>
      <w:r w:rsidRPr="004637CC">
        <w:rPr>
          <w:rFonts w:eastAsia="Times New Roman" w:cs="Times New Roman"/>
          <w:rtl/>
          <w:lang w:eastAsia="de-DE"/>
        </w:rPr>
        <w:t xml:space="preserve"> </w:t>
      </w:r>
      <w:r w:rsidRPr="004637CC">
        <w:rPr>
          <w:rFonts w:eastAsia="Times New Roman" w:cs="Times New Roman"/>
          <w:lang w:eastAsia="de-DE"/>
        </w:rPr>
        <w:t xml:space="preserve">(zwei Zehntel Feinmehl) zeigt die Menge pro Brot. </w:t>
      </w:r>
      <w:r w:rsidRPr="004637CC">
        <w:rPr>
          <w:rFonts w:eastAsia="Times New Roman" w:cs="Times New Roman"/>
          <w:b/>
          <w:bCs/>
          <w:rtl/>
          <w:lang w:eastAsia="de-DE"/>
        </w:rPr>
        <w:t>תהיינה</w:t>
      </w:r>
      <w:r w:rsidRPr="004637CC">
        <w:rPr>
          <w:rFonts w:eastAsia="Times New Roman" w:cs="Times New Roman"/>
          <w:rtl/>
          <w:lang w:eastAsia="de-DE"/>
        </w:rPr>
        <w:t xml:space="preserve"> </w:t>
      </w:r>
      <w:r w:rsidRPr="004637CC">
        <w:rPr>
          <w:rFonts w:eastAsia="Times New Roman" w:cs="Times New Roman"/>
          <w:lang w:eastAsia="de-DE"/>
        </w:rPr>
        <w:t xml:space="preserve">(sollen sie sein) im Qal-Imperfekt. </w:t>
      </w:r>
      <w:r w:rsidRPr="004637CC">
        <w:rPr>
          <w:rFonts w:eastAsia="Times New Roman" w:cs="Times New Roman"/>
          <w:b/>
          <w:bCs/>
          <w:rtl/>
          <w:lang w:eastAsia="de-DE"/>
        </w:rPr>
        <w:t>חמץ תאפינה</w:t>
      </w:r>
      <w:r w:rsidRPr="004637CC">
        <w:rPr>
          <w:rFonts w:eastAsia="Times New Roman" w:cs="Times New Roman"/>
          <w:rtl/>
          <w:lang w:eastAsia="de-DE"/>
        </w:rPr>
        <w:t xml:space="preserve"> </w:t>
      </w:r>
      <w:r w:rsidRPr="004637CC">
        <w:rPr>
          <w:rFonts w:eastAsia="Times New Roman" w:cs="Times New Roman"/>
          <w:lang w:eastAsia="de-DE"/>
        </w:rPr>
        <w:t xml:space="preserve">(gesäuert sollen sie gebacken werden) - </w:t>
      </w:r>
      <w:r w:rsidRPr="004637CC">
        <w:rPr>
          <w:rFonts w:eastAsia="Times New Roman" w:cs="Times New Roman"/>
          <w:b/>
          <w:bCs/>
          <w:rtl/>
          <w:lang w:eastAsia="de-DE"/>
        </w:rPr>
        <w:t>חמץ</w:t>
      </w:r>
      <w:r w:rsidRPr="004637CC">
        <w:rPr>
          <w:rFonts w:eastAsia="Times New Roman" w:cs="Times New Roman"/>
          <w:rtl/>
          <w:lang w:eastAsia="de-DE"/>
        </w:rPr>
        <w:t xml:space="preserve"> </w:t>
      </w:r>
      <w:r w:rsidRPr="004637CC">
        <w:rPr>
          <w:rFonts w:eastAsia="Times New Roman" w:cs="Times New Roman"/>
          <w:lang w:eastAsia="de-DE"/>
        </w:rPr>
        <w:t xml:space="preserve">(gesäuert) im Gegensatz zu </w:t>
      </w:r>
      <w:r w:rsidRPr="004637CC">
        <w:rPr>
          <w:rFonts w:eastAsia="Times New Roman" w:cs="Times New Roman"/>
          <w:b/>
          <w:bCs/>
          <w:rtl/>
          <w:lang w:eastAsia="de-DE"/>
        </w:rPr>
        <w:t>מצות</w:t>
      </w:r>
      <w:r w:rsidRPr="004637CC">
        <w:rPr>
          <w:rFonts w:eastAsia="Times New Roman" w:cs="Times New Roman"/>
          <w:lang w:eastAsia="de-DE"/>
        </w:rPr>
        <w:t xml:space="preserve">. </w:t>
      </w:r>
      <w:r w:rsidRPr="004637CC">
        <w:rPr>
          <w:rFonts w:eastAsia="Times New Roman" w:cs="Times New Roman"/>
          <w:b/>
          <w:bCs/>
          <w:rtl/>
          <w:lang w:eastAsia="de-DE"/>
        </w:rPr>
        <w:t>תאפינה</w:t>
      </w:r>
      <w:r w:rsidRPr="004637CC">
        <w:rPr>
          <w:rFonts w:eastAsia="Times New Roman" w:cs="Times New Roman"/>
          <w:rtl/>
          <w:lang w:eastAsia="de-DE"/>
        </w:rPr>
        <w:t xml:space="preserve"> </w:t>
      </w:r>
      <w:r w:rsidRPr="004637CC">
        <w:rPr>
          <w:rFonts w:eastAsia="Times New Roman" w:cs="Times New Roman"/>
          <w:lang w:eastAsia="de-DE"/>
        </w:rPr>
        <w:t>(sollen sie gebacken werden) im Nifal-Imperfekt.</w:t>
      </w:r>
    </w:p>
    <w:p w14:paraId="69AC429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בכורים ליהוה</w:t>
      </w:r>
      <w:r w:rsidRPr="004637CC">
        <w:rPr>
          <w:rFonts w:eastAsia="Times New Roman" w:cs="Times New Roman"/>
          <w:rtl/>
          <w:lang w:eastAsia="de-DE"/>
        </w:rPr>
        <w:t xml:space="preserve"> </w:t>
      </w:r>
      <w:r w:rsidRPr="004637CC">
        <w:rPr>
          <w:rFonts w:eastAsia="Times New Roman" w:cs="Times New Roman"/>
          <w:lang w:eastAsia="de-DE"/>
        </w:rPr>
        <w:t xml:space="preserve">(als Erstlinge für den Ewigen) zeigt den </w:t>
      </w:r>
      <w:r w:rsidRPr="004637CC">
        <w:rPr>
          <w:rFonts w:eastAsia="Times New Roman" w:cs="Times New Roman"/>
          <w:b/>
          <w:bCs/>
          <w:rtl/>
          <w:lang w:eastAsia="de-DE"/>
        </w:rPr>
        <w:t>בכורים</w:t>
      </w:r>
      <w:r w:rsidRPr="004637CC">
        <w:rPr>
          <w:rFonts w:eastAsia="Times New Roman" w:cs="Times New Roman"/>
          <w:lang w:eastAsia="de-DE"/>
        </w:rPr>
        <w:t>-Charakter der Weizenernte.</w:t>
      </w:r>
    </w:p>
    <w:p w14:paraId="1083FA4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ממושבתיכם</w:t>
      </w:r>
      <w:r w:rsidRPr="004637CC">
        <w:rPr>
          <w:rFonts w:eastAsia="Times New Roman" w:cs="Times New Roman"/>
          <w:rtl/>
          <w:lang w:eastAsia="de-DE"/>
        </w:rPr>
        <w:t xml:space="preserve"> </w:t>
      </w:r>
      <w:r w:rsidRPr="004637CC">
        <w:rPr>
          <w:rFonts w:eastAsia="Times New Roman" w:cs="Times New Roman"/>
          <w:lang w:eastAsia="de-DE"/>
        </w:rPr>
        <w:t xml:space="preserve">zeigt dezentrale Herstellung vs. zentrale Darbringung. </w:t>
      </w:r>
      <w:r w:rsidRPr="004637CC">
        <w:rPr>
          <w:rFonts w:eastAsia="Times New Roman" w:cs="Times New Roman"/>
          <w:b/>
          <w:bCs/>
          <w:rtl/>
          <w:lang w:eastAsia="de-DE"/>
        </w:rPr>
        <w:t>לחם תנופה שתים</w:t>
      </w:r>
      <w:r w:rsidRPr="004637CC">
        <w:rPr>
          <w:rFonts w:eastAsia="Times New Roman" w:cs="Times New Roman"/>
          <w:rtl/>
          <w:lang w:eastAsia="de-DE"/>
        </w:rPr>
        <w:t xml:space="preserve"> </w:t>
      </w:r>
      <w:r w:rsidRPr="004637CC">
        <w:rPr>
          <w:rFonts w:eastAsia="Times New Roman" w:cs="Times New Roman"/>
          <w:lang w:eastAsia="de-DE"/>
        </w:rPr>
        <w:t xml:space="preserve">als einzigartiges Doppelbrot-Opfer. </w:t>
      </w:r>
      <w:r w:rsidRPr="004637CC">
        <w:rPr>
          <w:rFonts w:eastAsia="Times New Roman" w:cs="Times New Roman"/>
          <w:b/>
          <w:bCs/>
          <w:rtl/>
          <w:lang w:eastAsia="de-DE"/>
        </w:rPr>
        <w:t>חמץ</w:t>
      </w:r>
      <w:r w:rsidRPr="004637CC">
        <w:rPr>
          <w:rFonts w:eastAsia="Times New Roman" w:cs="Times New Roman"/>
          <w:rtl/>
          <w:lang w:eastAsia="de-DE"/>
        </w:rPr>
        <w:t xml:space="preserve"> </w:t>
      </w:r>
      <w:r w:rsidRPr="004637CC">
        <w:rPr>
          <w:rFonts w:eastAsia="Times New Roman" w:cs="Times New Roman"/>
          <w:lang w:eastAsia="de-DE"/>
        </w:rPr>
        <w:t>als Ausnahme vom Sauerteigverbot bei Opfern.</w:t>
      </w:r>
    </w:p>
    <w:p w14:paraId="3225DBC0" w14:textId="21557F55"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die Wochenbrote als </w:t>
      </w:r>
      <w:proofErr w:type="spellStart"/>
      <w:r w:rsidR="00775F21">
        <w:t>ἐζυμωμένοι</w:t>
      </w:r>
      <w:proofErr w:type="spellEnd"/>
      <w:r w:rsidR="00775F21">
        <w:t xml:space="preserve"> π</w:t>
      </w:r>
      <w:proofErr w:type="spellStart"/>
      <w:r w:rsidR="00775F21">
        <w:t>εφθήσοντ</w:t>
      </w:r>
      <w:proofErr w:type="spellEnd"/>
      <w:r w:rsidR="00775F21">
        <w:t>αι π</w:t>
      </w:r>
      <w:proofErr w:type="spellStart"/>
      <w:r w:rsidR="00775F21">
        <w:t>ρωτογενημάτων</w:t>
      </w:r>
      <w:proofErr w:type="spellEnd"/>
      <w:r w:rsidR="00775F21">
        <w:t xml:space="preserve"> (mit Sauerteig gebacken als Erstlinge), was die Besonderheit des Sauerteigs betont.</w:t>
      </w:r>
    </w:p>
    <w:p w14:paraId="716C19A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Wochenfest-Brotopfer: dezentrale Herstellung + Schwingbrot-Paar + Mehlmengen-Spezifikation + Sauerteig-Besonderheit + Erstlingscharakter.</w:t>
      </w:r>
    </w:p>
    <w:p w14:paraId="5B222C9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einzigartige gesäuerte Doppelbrot-Schwingopfer als </w:t>
      </w:r>
      <w:r w:rsidRPr="004637CC">
        <w:rPr>
          <w:rFonts w:eastAsia="Times New Roman" w:cs="Times New Roman"/>
          <w:b/>
          <w:bCs/>
          <w:rtl/>
          <w:lang w:eastAsia="de-DE"/>
        </w:rPr>
        <w:t>בכורים</w:t>
      </w:r>
      <w:r w:rsidRPr="004637CC">
        <w:rPr>
          <w:rFonts w:eastAsia="Times New Roman" w:cs="Times New Roman"/>
          <w:rtl/>
          <w:lang w:eastAsia="de-DE"/>
        </w:rPr>
        <w:t xml:space="preserve"> </w:t>
      </w:r>
      <w:r w:rsidRPr="004637CC">
        <w:rPr>
          <w:rFonts w:eastAsia="Times New Roman" w:cs="Times New Roman"/>
          <w:lang w:eastAsia="de-DE"/>
        </w:rPr>
        <w:t>der Weizenernte.</w:t>
      </w:r>
    </w:p>
    <w:p w14:paraId="7C699A0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23,18</w:t>
      </w:r>
    </w:p>
    <w:p w14:paraId="7A47164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וְהִקְרַבְתֶּ֣ם עַל־הַלֶּ֗חֶם שִׁבְעַ֨ת כְּבָשִׂ֤ים תְּמִימִם֙ בְּנֵ֣י שָׁנָ֔ה וּפַ֧ר בֶּן־בָּקָ֛ר אֶחָ֖ד וְאֵילִ֣ם שְׁנָ֑יִם יִהְי֤וּ עֹלָה֙ לַֽיהוָ֔ה וּמִנְחָתָם֙ וְנִסְכֵּיהֶ֔ם אִשֵּׁ֥ה רֵֽיחַ־נִיחֹ֖חַ לַיהוָֽה׃</w:t>
      </w:r>
    </w:p>
    <w:p w14:paraId="142E4E87" w14:textId="49B362B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zu dem Brot darbringen sieben einjährige fehlerfreie Lämmer und einen jungen Stier und zwei Widder. Sie sollen ein </w:t>
      </w:r>
      <w:r w:rsidR="00DE39DD">
        <w:rPr>
          <w:rFonts w:eastAsia="Times New Roman" w:cs="Times New Roman"/>
          <w:lang w:eastAsia="de-DE"/>
        </w:rPr>
        <w:t>Aufsteigeopfer</w:t>
      </w:r>
      <w:r w:rsidRPr="004637CC">
        <w:rPr>
          <w:rFonts w:eastAsia="Times New Roman" w:cs="Times New Roman"/>
          <w:lang w:eastAsia="de-DE"/>
        </w:rPr>
        <w:t xml:space="preserve"> für den Ewigen sein, und ihr Speisopfer und ihre Trankopfer: ein Feueropfer wohlgefälligen Geruchs für den Ewigen.</w:t>
      </w:r>
    </w:p>
    <w:p w14:paraId="4F875574"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354425A5">
          <v:rect id="_x0000_i1699" style="width:0;height:1.5pt" o:hralign="center" o:hrstd="t" o:hr="t" fillcolor="#a0a0a0" stroked="f"/>
        </w:pict>
      </w:r>
    </w:p>
    <w:p w14:paraId="15E616C3" w14:textId="6F089AE4"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והקרבתם על־הלחם שבעת כבשים תמימם בני שנה ופר בן־בקר אחד ואילם שנים יהיו עלה ליהוה ומנחתם ונסכיהם אשה ריח־ניחח ליהוה</w:t>
      </w:r>
      <w:r w:rsidRPr="004637CC">
        <w:rPr>
          <w:rFonts w:eastAsia="Times New Roman" w:cs="Times New Roman"/>
          <w:rtl/>
          <w:lang w:eastAsia="de-DE"/>
        </w:rPr>
        <w:t xml:space="preserve"> </w:t>
      </w:r>
      <w:r w:rsidRPr="004637CC">
        <w:rPr>
          <w:rFonts w:eastAsia="Times New Roman" w:cs="Times New Roman"/>
          <w:lang w:eastAsia="de-DE"/>
        </w:rPr>
        <w:t xml:space="preserve">zeigt die umfangreichen </w:t>
      </w:r>
      <w:r w:rsidR="00DE39DD">
        <w:rPr>
          <w:rFonts w:eastAsia="Times New Roman" w:cs="Times New Roman"/>
          <w:lang w:eastAsia="de-DE"/>
        </w:rPr>
        <w:t>Aufsteigeopfer</w:t>
      </w:r>
      <w:r w:rsidRPr="004637CC">
        <w:rPr>
          <w:rFonts w:eastAsia="Times New Roman" w:cs="Times New Roman"/>
          <w:lang w:eastAsia="de-DE"/>
        </w:rPr>
        <w:t xml:space="preserve"> zum Wochenfest. </w:t>
      </w:r>
      <w:r w:rsidRPr="004637CC">
        <w:rPr>
          <w:rFonts w:eastAsia="Times New Roman" w:cs="Times New Roman"/>
          <w:b/>
          <w:bCs/>
          <w:rtl/>
          <w:lang w:eastAsia="de-DE"/>
        </w:rPr>
        <w:t>והקרבתם על־הלחם</w:t>
      </w:r>
      <w:r w:rsidRPr="004637CC">
        <w:rPr>
          <w:rFonts w:eastAsia="Times New Roman" w:cs="Times New Roman"/>
          <w:rtl/>
          <w:lang w:eastAsia="de-DE"/>
        </w:rPr>
        <w:t xml:space="preserve"> </w:t>
      </w:r>
      <w:r w:rsidRPr="004637CC">
        <w:rPr>
          <w:rFonts w:eastAsia="Times New Roman" w:cs="Times New Roman"/>
          <w:lang w:eastAsia="de-DE"/>
        </w:rPr>
        <w:t xml:space="preserve">(und ihr sollt zu dem Brot darbringen) - </w:t>
      </w:r>
      <w:r w:rsidRPr="004637CC">
        <w:rPr>
          <w:rFonts w:eastAsia="Times New Roman" w:cs="Times New Roman"/>
          <w:b/>
          <w:bCs/>
          <w:rtl/>
          <w:lang w:eastAsia="de-DE"/>
        </w:rPr>
        <w:t>על־הלחם</w:t>
      </w:r>
      <w:r w:rsidRPr="004637CC">
        <w:rPr>
          <w:rFonts w:eastAsia="Times New Roman" w:cs="Times New Roman"/>
          <w:rtl/>
          <w:lang w:eastAsia="de-DE"/>
        </w:rPr>
        <w:t xml:space="preserve"> </w:t>
      </w:r>
      <w:r w:rsidRPr="004637CC">
        <w:rPr>
          <w:rFonts w:eastAsia="Times New Roman" w:cs="Times New Roman"/>
          <w:lang w:eastAsia="de-DE"/>
        </w:rPr>
        <w:t>(zu dem Brot) zeigt den Bezug zum Schwingbrot aus V. 17.</w:t>
      </w:r>
    </w:p>
    <w:p w14:paraId="3704059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שבעת כבשים תמימם בני שנה</w:t>
      </w:r>
      <w:r w:rsidRPr="004637CC">
        <w:rPr>
          <w:rFonts w:eastAsia="Times New Roman" w:cs="Times New Roman"/>
          <w:rtl/>
          <w:lang w:eastAsia="de-DE"/>
        </w:rPr>
        <w:t xml:space="preserve"> </w:t>
      </w:r>
      <w:r w:rsidRPr="004637CC">
        <w:rPr>
          <w:rFonts w:eastAsia="Times New Roman" w:cs="Times New Roman"/>
          <w:lang w:eastAsia="de-DE"/>
        </w:rPr>
        <w:t xml:space="preserve">(sieben einjährige fehlerfreie Lämmer) - </w:t>
      </w:r>
      <w:r w:rsidRPr="004637CC">
        <w:rPr>
          <w:rFonts w:eastAsia="Times New Roman" w:cs="Times New Roman"/>
          <w:b/>
          <w:bCs/>
          <w:rtl/>
          <w:lang w:eastAsia="de-DE"/>
        </w:rPr>
        <w:t>שבעת</w:t>
      </w:r>
      <w:r w:rsidRPr="004637CC">
        <w:rPr>
          <w:rFonts w:eastAsia="Times New Roman" w:cs="Times New Roman"/>
          <w:rtl/>
          <w:lang w:eastAsia="de-DE"/>
        </w:rPr>
        <w:t xml:space="preserve"> </w:t>
      </w:r>
      <w:r w:rsidRPr="004637CC">
        <w:rPr>
          <w:rFonts w:eastAsia="Times New Roman" w:cs="Times New Roman"/>
          <w:lang w:eastAsia="de-DE"/>
        </w:rPr>
        <w:t xml:space="preserve">(sieben) als heilige Zahl. </w:t>
      </w:r>
      <w:r w:rsidRPr="004637CC">
        <w:rPr>
          <w:rFonts w:eastAsia="Times New Roman" w:cs="Times New Roman"/>
          <w:b/>
          <w:bCs/>
          <w:rtl/>
          <w:lang w:eastAsia="de-DE"/>
        </w:rPr>
        <w:t>כבשים תמימם</w:t>
      </w:r>
      <w:r w:rsidRPr="004637CC">
        <w:rPr>
          <w:rFonts w:eastAsia="Times New Roman" w:cs="Times New Roman"/>
          <w:rtl/>
          <w:lang w:eastAsia="de-DE"/>
        </w:rPr>
        <w:t xml:space="preserve"> </w:t>
      </w:r>
      <w:r w:rsidRPr="004637CC">
        <w:rPr>
          <w:rFonts w:eastAsia="Times New Roman" w:cs="Times New Roman"/>
          <w:lang w:eastAsia="de-DE"/>
        </w:rPr>
        <w:t xml:space="preserve">(fehlerfreie Lämmer) entspricht den Opfervorschriften. </w:t>
      </w:r>
      <w:r w:rsidRPr="004637CC">
        <w:rPr>
          <w:rFonts w:eastAsia="Times New Roman" w:cs="Times New Roman"/>
          <w:b/>
          <w:bCs/>
          <w:rtl/>
          <w:lang w:eastAsia="de-DE"/>
        </w:rPr>
        <w:t>בני שנה</w:t>
      </w:r>
      <w:r w:rsidRPr="004637CC">
        <w:rPr>
          <w:rFonts w:eastAsia="Times New Roman" w:cs="Times New Roman"/>
          <w:rtl/>
          <w:lang w:eastAsia="de-DE"/>
        </w:rPr>
        <w:t xml:space="preserve"> </w:t>
      </w:r>
      <w:r w:rsidRPr="004637CC">
        <w:rPr>
          <w:rFonts w:eastAsia="Times New Roman" w:cs="Times New Roman"/>
          <w:lang w:eastAsia="de-DE"/>
        </w:rPr>
        <w:t>(einjährige) zeigt das Alter.</w:t>
      </w:r>
    </w:p>
    <w:p w14:paraId="30574806" w14:textId="693C4232"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ופר בן־בקר אחד ואילם שנים</w:t>
      </w:r>
      <w:r w:rsidRPr="004637CC">
        <w:rPr>
          <w:rFonts w:eastAsia="Times New Roman" w:cs="Times New Roman"/>
          <w:rtl/>
          <w:lang w:eastAsia="de-DE"/>
        </w:rPr>
        <w:t xml:space="preserve"> </w:t>
      </w:r>
      <w:r w:rsidRPr="004637CC">
        <w:rPr>
          <w:rFonts w:eastAsia="Times New Roman" w:cs="Times New Roman"/>
          <w:lang w:eastAsia="de-DE"/>
        </w:rPr>
        <w:t xml:space="preserve">(und einen jungen Stier und zwei Widder) erweitert die Opfertiere. </w:t>
      </w:r>
      <w:r w:rsidRPr="004637CC">
        <w:rPr>
          <w:rFonts w:eastAsia="Times New Roman" w:cs="Times New Roman"/>
          <w:b/>
          <w:bCs/>
          <w:rtl/>
          <w:lang w:eastAsia="de-DE"/>
        </w:rPr>
        <w:t>יהיו עלה ליהוה</w:t>
      </w:r>
      <w:r w:rsidRPr="004637CC">
        <w:rPr>
          <w:rFonts w:eastAsia="Times New Roman" w:cs="Times New Roman"/>
          <w:rtl/>
          <w:lang w:eastAsia="de-DE"/>
        </w:rPr>
        <w:t xml:space="preserve"> </w:t>
      </w:r>
      <w:r w:rsidRPr="004637CC">
        <w:rPr>
          <w:rFonts w:eastAsia="Times New Roman" w:cs="Times New Roman"/>
          <w:lang w:eastAsia="de-DE"/>
        </w:rPr>
        <w:t xml:space="preserve">(sie sollen ein </w:t>
      </w:r>
      <w:r w:rsidR="00DE39DD">
        <w:rPr>
          <w:rFonts w:eastAsia="Times New Roman" w:cs="Times New Roman"/>
          <w:lang w:eastAsia="de-DE"/>
        </w:rPr>
        <w:t>Aufsteigeopfer</w:t>
      </w:r>
      <w:r w:rsidRPr="004637CC">
        <w:rPr>
          <w:rFonts w:eastAsia="Times New Roman" w:cs="Times New Roman"/>
          <w:lang w:eastAsia="de-DE"/>
        </w:rPr>
        <w:t xml:space="preserve"> für den Ewigen sein) zeigt die Opferart.</w:t>
      </w:r>
    </w:p>
    <w:p w14:paraId="1F72E3A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ומנחתם ונסכיהם אשה ריח־ניחח ליהוה</w:t>
      </w:r>
      <w:r w:rsidRPr="004637CC">
        <w:rPr>
          <w:rFonts w:eastAsia="Times New Roman" w:cs="Times New Roman"/>
          <w:rtl/>
          <w:lang w:eastAsia="de-DE"/>
        </w:rPr>
        <w:t xml:space="preserve"> </w:t>
      </w:r>
      <w:r w:rsidRPr="004637CC">
        <w:rPr>
          <w:rFonts w:eastAsia="Times New Roman" w:cs="Times New Roman"/>
          <w:lang w:eastAsia="de-DE"/>
        </w:rPr>
        <w:t xml:space="preserve">(und ihr Speisopfer und ihre Trankopfer: ein Feueropfer wohlgefälligen Geruchs für den Ewigen) zeigt die begleitenden Opfer. </w:t>
      </w:r>
      <w:r w:rsidRPr="004637CC">
        <w:rPr>
          <w:rFonts w:eastAsia="Times New Roman" w:cs="Times New Roman"/>
          <w:b/>
          <w:bCs/>
          <w:rtl/>
          <w:lang w:eastAsia="de-DE"/>
        </w:rPr>
        <w:t>ריח־ניחח</w:t>
      </w:r>
      <w:r w:rsidRPr="004637CC">
        <w:rPr>
          <w:rFonts w:eastAsia="Times New Roman" w:cs="Times New Roman"/>
          <w:rtl/>
          <w:lang w:eastAsia="de-DE"/>
        </w:rPr>
        <w:t xml:space="preserve"> </w:t>
      </w:r>
      <w:r w:rsidRPr="004637CC">
        <w:rPr>
          <w:rFonts w:eastAsia="Times New Roman" w:cs="Times New Roman"/>
          <w:lang w:eastAsia="de-DE"/>
        </w:rPr>
        <w:t>als klassische Opferformel.</w:t>
      </w:r>
    </w:p>
    <w:p w14:paraId="159520F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על־הלחם</w:t>
      </w:r>
      <w:r w:rsidRPr="004637CC">
        <w:rPr>
          <w:rFonts w:eastAsia="Times New Roman" w:cs="Times New Roman"/>
          <w:rtl/>
          <w:lang w:eastAsia="de-DE"/>
        </w:rPr>
        <w:t xml:space="preserve"> </w:t>
      </w:r>
      <w:r w:rsidRPr="004637CC">
        <w:rPr>
          <w:rFonts w:eastAsia="Times New Roman" w:cs="Times New Roman"/>
          <w:lang w:eastAsia="de-DE"/>
        </w:rPr>
        <w:t xml:space="preserve">verbindet die Tieropfer mit dem Brotopfer. </w:t>
      </w:r>
      <w:r w:rsidRPr="004637CC">
        <w:rPr>
          <w:rFonts w:eastAsia="Times New Roman" w:cs="Times New Roman"/>
          <w:b/>
          <w:bCs/>
          <w:rtl/>
          <w:lang w:eastAsia="de-DE"/>
        </w:rPr>
        <w:t>שבעת כבשים...ופר...ואילם שנים</w:t>
      </w:r>
      <w:r w:rsidRPr="004637CC">
        <w:rPr>
          <w:rFonts w:eastAsia="Times New Roman" w:cs="Times New Roman"/>
          <w:rtl/>
          <w:lang w:eastAsia="de-DE"/>
        </w:rPr>
        <w:t xml:space="preserve"> </w:t>
      </w:r>
      <w:r w:rsidRPr="004637CC">
        <w:rPr>
          <w:rFonts w:eastAsia="Times New Roman" w:cs="Times New Roman"/>
          <w:lang w:eastAsia="de-DE"/>
        </w:rPr>
        <w:t xml:space="preserve">als umfangreiche Opfergaben. </w:t>
      </w:r>
      <w:r w:rsidRPr="004637CC">
        <w:rPr>
          <w:rFonts w:eastAsia="Times New Roman" w:cs="Times New Roman"/>
          <w:b/>
          <w:bCs/>
          <w:rtl/>
          <w:lang w:eastAsia="de-DE"/>
        </w:rPr>
        <w:t>ומנחתם ונסכיהם</w:t>
      </w:r>
      <w:r w:rsidRPr="004637CC">
        <w:rPr>
          <w:rFonts w:eastAsia="Times New Roman" w:cs="Times New Roman"/>
          <w:rtl/>
          <w:lang w:eastAsia="de-DE"/>
        </w:rPr>
        <w:t xml:space="preserve"> </w:t>
      </w:r>
      <w:r w:rsidRPr="004637CC">
        <w:rPr>
          <w:rFonts w:eastAsia="Times New Roman" w:cs="Times New Roman"/>
          <w:lang w:eastAsia="de-DE"/>
        </w:rPr>
        <w:t>vervollständigen das Opfer.</w:t>
      </w:r>
    </w:p>
    <w:p w14:paraId="151F6C2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על־הלחם</w:t>
      </w:r>
      <w:r w:rsidRPr="004637CC">
        <w:rPr>
          <w:rFonts w:eastAsia="Times New Roman" w:cs="Times New Roman"/>
          <w:rtl/>
          <w:lang w:eastAsia="de-DE"/>
        </w:rPr>
        <w:t xml:space="preserve"> </w:t>
      </w:r>
      <w:r w:rsidRPr="004637CC">
        <w:rPr>
          <w:rFonts w:eastAsia="Times New Roman" w:cs="Times New Roman"/>
          <w:lang w:eastAsia="de-DE"/>
        </w:rPr>
        <w:t xml:space="preserve">mit ἐπὶ </w:t>
      </w:r>
      <w:proofErr w:type="spellStart"/>
      <w:r w:rsidRPr="004637CC">
        <w:rPr>
          <w:rFonts w:eastAsia="Times New Roman" w:cs="Times New Roman"/>
          <w:lang w:eastAsia="de-DE"/>
        </w:rPr>
        <w:t>τοῖς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ἄρτοις</w:t>
      </w:r>
      <w:proofErr w:type="spellEnd"/>
      <w:r w:rsidRPr="004637CC">
        <w:rPr>
          <w:rFonts w:eastAsia="Times New Roman" w:cs="Times New Roman"/>
          <w:lang w:eastAsia="de-DE"/>
        </w:rPr>
        <w:t xml:space="preserve"> (auf den Broten), </w:t>
      </w:r>
      <w:r w:rsidRPr="004637CC">
        <w:rPr>
          <w:rFonts w:eastAsia="Times New Roman" w:cs="Times New Roman"/>
          <w:b/>
          <w:bCs/>
          <w:rtl/>
          <w:lang w:eastAsia="de-DE"/>
        </w:rPr>
        <w:t>שבעת כבשים תמימם</w:t>
      </w:r>
      <w:r w:rsidRPr="004637CC">
        <w:rPr>
          <w:rFonts w:eastAsia="Times New Roman" w:cs="Times New Roman"/>
          <w:rtl/>
          <w:lang w:eastAsia="de-DE"/>
        </w:rPr>
        <w:t xml:space="preserve"> </w:t>
      </w:r>
      <w:r w:rsidRPr="004637CC">
        <w:rPr>
          <w:rFonts w:eastAsia="Times New Roman" w:cs="Times New Roman"/>
          <w:lang w:eastAsia="de-DE"/>
        </w:rPr>
        <w:t>mit ἑπ</w:t>
      </w:r>
      <w:proofErr w:type="spellStart"/>
      <w:r w:rsidRPr="004637CC">
        <w:rPr>
          <w:rFonts w:eastAsia="Times New Roman" w:cs="Times New Roman"/>
          <w:lang w:eastAsia="de-DE"/>
        </w:rPr>
        <w:t>τὰ</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ἀμνοὺς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ἀμώμους</w:t>
      </w:r>
      <w:proofErr w:type="spellEnd"/>
      <w:r w:rsidRPr="004637CC">
        <w:rPr>
          <w:rFonts w:eastAsia="Times New Roman" w:cs="Times New Roman"/>
          <w:lang w:eastAsia="de-DE"/>
        </w:rPr>
        <w:t xml:space="preserve"> (sieben fehlerlose Lämmer), </w:t>
      </w:r>
      <w:r w:rsidRPr="004637CC">
        <w:rPr>
          <w:rFonts w:eastAsia="Times New Roman" w:cs="Times New Roman"/>
          <w:b/>
          <w:bCs/>
          <w:rtl/>
          <w:lang w:eastAsia="de-DE"/>
        </w:rPr>
        <w:t>פר בן־בקר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μόσχον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ἐκ</w:t>
      </w:r>
      <w:proofErr w:type="spellEnd"/>
      <w:r w:rsidRPr="004637CC">
        <w:rPr>
          <w:rFonts w:eastAsia="Times New Roman" w:cs="Times New Roman"/>
          <w:lang w:eastAsia="de-DE"/>
        </w:rPr>
        <w:t xml:space="preserve"> β</w:t>
      </w:r>
      <w:proofErr w:type="spellStart"/>
      <w:r w:rsidRPr="004637CC">
        <w:rPr>
          <w:rFonts w:eastAsia="Times New Roman" w:cs="Times New Roman"/>
          <w:lang w:eastAsia="de-DE"/>
        </w:rPr>
        <w:t>οῶν</w:t>
      </w:r>
      <w:proofErr w:type="spellEnd"/>
      <w:r w:rsidRPr="004637CC">
        <w:rPr>
          <w:rFonts w:eastAsia="Times New Roman" w:cs="Times New Roman"/>
          <w:lang w:eastAsia="de-DE"/>
        </w:rPr>
        <w:t xml:space="preserve"> (Kalb von Rindern), </w:t>
      </w:r>
      <w:r w:rsidRPr="004637CC">
        <w:rPr>
          <w:rFonts w:eastAsia="Times New Roman" w:cs="Times New Roman"/>
          <w:b/>
          <w:bCs/>
          <w:rtl/>
          <w:lang w:eastAsia="de-DE"/>
        </w:rPr>
        <w:t>ריח־ניחח</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ὀσμὴ</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εὐωδί</w:t>
      </w:r>
      <w:proofErr w:type="spellEnd"/>
      <w:r w:rsidRPr="004637CC">
        <w:rPr>
          <w:rFonts w:eastAsia="Times New Roman" w:cs="Times New Roman"/>
          <w:lang w:eastAsia="de-DE"/>
        </w:rPr>
        <w:t>ας (Geruch des Wohlgeruchs).</w:t>
      </w:r>
    </w:p>
    <w:p w14:paraId="71847FEF" w14:textId="2321CA49"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Wochenfest-</w:t>
      </w:r>
      <w:r w:rsidR="00DE39DD">
        <w:rPr>
          <w:rFonts w:eastAsia="Times New Roman" w:cs="Times New Roman"/>
          <w:lang w:eastAsia="de-DE"/>
        </w:rPr>
        <w:t>Aufsteigeopfer</w:t>
      </w:r>
      <w:r w:rsidRPr="004637CC">
        <w:rPr>
          <w:rFonts w:eastAsia="Times New Roman" w:cs="Times New Roman"/>
          <w:lang w:eastAsia="de-DE"/>
        </w:rPr>
        <w:t xml:space="preserve">: Bezug zum Brotopfer + sieben Lämmer + ein Stier + zwei Widder + </w:t>
      </w:r>
      <w:r w:rsidR="00DE39DD">
        <w:rPr>
          <w:rFonts w:eastAsia="Times New Roman" w:cs="Times New Roman"/>
          <w:lang w:eastAsia="de-DE"/>
        </w:rPr>
        <w:t>Aufsteigeopfer</w:t>
      </w:r>
      <w:r w:rsidRPr="004637CC">
        <w:rPr>
          <w:rFonts w:eastAsia="Times New Roman" w:cs="Times New Roman"/>
          <w:lang w:eastAsia="de-DE"/>
        </w:rPr>
        <w:t>-Bestimmung + begleitende Opfer + wohlgefälliger Geruch.</w:t>
      </w:r>
    </w:p>
    <w:p w14:paraId="032CF262" w14:textId="36900C2D"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die umfangreichen </w:t>
      </w:r>
      <w:r w:rsidR="00DE39DD">
        <w:rPr>
          <w:rFonts w:eastAsia="Times New Roman" w:cs="Times New Roman"/>
          <w:lang w:eastAsia="de-DE"/>
        </w:rPr>
        <w:t>Aufsteigeopfer</w:t>
      </w:r>
      <w:r w:rsidRPr="004637CC">
        <w:rPr>
          <w:rFonts w:eastAsia="Times New Roman" w:cs="Times New Roman"/>
          <w:lang w:eastAsia="de-DE"/>
        </w:rPr>
        <w:t xml:space="preserve"> des Wochenfestes mit zehn Tieren plus begleitenden Speise- und Trankopfern.</w:t>
      </w:r>
    </w:p>
    <w:p w14:paraId="6E5B4522"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23,19</w:t>
      </w:r>
    </w:p>
    <w:p w14:paraId="3E7817A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וַעֲשִׂיתֶ֛ם שְׂעִיר־עִזִּ֥ים אֶחָ֖ד לְחַטָּ֑את וּשְׁנֵ֧י כְבָשִׂ֛ים בְּנֵ֥י שָׁנָ֖ה לְזֶ֥בַח שְׁלָמִֽים׃</w:t>
      </w:r>
    </w:p>
    <w:p w14:paraId="2030143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einen Ziegenbock zum Sündopfer opfern und zwei einjährige Lämmer zum Friedensopfer.</w:t>
      </w:r>
    </w:p>
    <w:p w14:paraId="6F857FAA"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2650BE7">
          <v:rect id="_x0000_i1700" style="width:0;height:1.5pt" o:hralign="center" o:hrstd="t" o:hr="t" fillcolor="#a0a0a0" stroked="f"/>
        </w:pict>
      </w:r>
    </w:p>
    <w:p w14:paraId="6F7F813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ועשיתם שעיר־עזים אחד לחטאת ושני כבשים בני שנה לזבח שלמים</w:t>
      </w:r>
      <w:r w:rsidRPr="004637CC">
        <w:rPr>
          <w:rFonts w:eastAsia="Times New Roman" w:cs="Times New Roman"/>
          <w:rtl/>
          <w:lang w:eastAsia="de-DE"/>
        </w:rPr>
        <w:t xml:space="preserve"> </w:t>
      </w:r>
      <w:r w:rsidRPr="004637CC">
        <w:rPr>
          <w:rFonts w:eastAsia="Times New Roman" w:cs="Times New Roman"/>
          <w:lang w:eastAsia="de-DE"/>
        </w:rPr>
        <w:t xml:space="preserve">ergänzt weitere Opferarten für das Wochenfest. </w:t>
      </w:r>
      <w:r w:rsidRPr="004637CC">
        <w:rPr>
          <w:rFonts w:eastAsia="Times New Roman" w:cs="Times New Roman"/>
          <w:b/>
          <w:bCs/>
          <w:rtl/>
          <w:lang w:eastAsia="de-DE"/>
        </w:rPr>
        <w:t>ועשיתם</w:t>
      </w:r>
      <w:r w:rsidRPr="004637CC">
        <w:rPr>
          <w:rFonts w:eastAsia="Times New Roman" w:cs="Times New Roman"/>
          <w:rtl/>
          <w:lang w:eastAsia="de-DE"/>
        </w:rPr>
        <w:t xml:space="preserve"> </w:t>
      </w:r>
      <w:r w:rsidRPr="004637CC">
        <w:rPr>
          <w:rFonts w:eastAsia="Times New Roman" w:cs="Times New Roman"/>
          <w:lang w:eastAsia="de-DE"/>
        </w:rPr>
        <w:t>(und ihr sollt opfern) im Qal-Perfekt mit Waw-Konsekutiv.</w:t>
      </w:r>
    </w:p>
    <w:p w14:paraId="098DCAF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שעיר־עזים אחד לחטאת</w:t>
      </w:r>
      <w:r w:rsidRPr="004637CC">
        <w:rPr>
          <w:rFonts w:eastAsia="Times New Roman" w:cs="Times New Roman"/>
          <w:rtl/>
          <w:lang w:eastAsia="de-DE"/>
        </w:rPr>
        <w:t xml:space="preserve"> </w:t>
      </w:r>
      <w:r w:rsidRPr="004637CC">
        <w:rPr>
          <w:rFonts w:eastAsia="Times New Roman" w:cs="Times New Roman"/>
          <w:lang w:eastAsia="de-DE"/>
        </w:rPr>
        <w:t xml:space="preserve">(einen Ziegenbock zum Sündopfer) - </w:t>
      </w:r>
      <w:r w:rsidRPr="004637CC">
        <w:rPr>
          <w:rFonts w:eastAsia="Times New Roman" w:cs="Times New Roman"/>
          <w:b/>
          <w:bCs/>
          <w:rtl/>
          <w:lang w:eastAsia="de-DE"/>
        </w:rPr>
        <w:t>שעיר־עזים</w:t>
      </w:r>
      <w:r w:rsidRPr="004637CC">
        <w:rPr>
          <w:rFonts w:eastAsia="Times New Roman" w:cs="Times New Roman"/>
          <w:rtl/>
          <w:lang w:eastAsia="de-DE"/>
        </w:rPr>
        <w:t xml:space="preserve"> </w:t>
      </w:r>
      <w:r w:rsidRPr="004637CC">
        <w:rPr>
          <w:rFonts w:eastAsia="Times New Roman" w:cs="Times New Roman"/>
          <w:lang w:eastAsia="de-DE"/>
        </w:rPr>
        <w:t xml:space="preserve">(Ziegenbock) als übliches </w:t>
      </w:r>
      <w:r w:rsidRPr="004637CC">
        <w:rPr>
          <w:rFonts w:eastAsia="Times New Roman" w:cs="Times New Roman"/>
          <w:b/>
          <w:bCs/>
          <w:rtl/>
          <w:lang w:eastAsia="de-DE"/>
        </w:rPr>
        <w:t>חטאת</w:t>
      </w:r>
      <w:r w:rsidRPr="004637CC">
        <w:rPr>
          <w:rFonts w:eastAsia="Times New Roman" w:cs="Times New Roman"/>
          <w:lang w:eastAsia="de-DE"/>
        </w:rPr>
        <w:t xml:space="preserve">-Tier. </w:t>
      </w:r>
      <w:r w:rsidRPr="004637CC">
        <w:rPr>
          <w:rFonts w:eastAsia="Times New Roman" w:cs="Times New Roman"/>
          <w:b/>
          <w:bCs/>
          <w:rtl/>
          <w:lang w:eastAsia="de-DE"/>
        </w:rPr>
        <w:t>אחד</w:t>
      </w:r>
      <w:r w:rsidRPr="004637CC">
        <w:rPr>
          <w:rFonts w:eastAsia="Times New Roman" w:cs="Times New Roman"/>
          <w:rtl/>
          <w:lang w:eastAsia="de-DE"/>
        </w:rPr>
        <w:t xml:space="preserve"> </w:t>
      </w:r>
      <w:r w:rsidRPr="004637CC">
        <w:rPr>
          <w:rFonts w:eastAsia="Times New Roman" w:cs="Times New Roman"/>
          <w:lang w:eastAsia="de-DE"/>
        </w:rPr>
        <w:t xml:space="preserve">(einen) zeigt die Anzahl. </w:t>
      </w:r>
      <w:r w:rsidRPr="004637CC">
        <w:rPr>
          <w:rFonts w:eastAsia="Times New Roman" w:cs="Times New Roman"/>
          <w:b/>
          <w:bCs/>
          <w:rtl/>
          <w:lang w:eastAsia="de-DE"/>
        </w:rPr>
        <w:t>לחטאת</w:t>
      </w:r>
      <w:r w:rsidRPr="004637CC">
        <w:rPr>
          <w:rFonts w:eastAsia="Times New Roman" w:cs="Times New Roman"/>
          <w:rtl/>
          <w:lang w:eastAsia="de-DE"/>
        </w:rPr>
        <w:t xml:space="preserve"> </w:t>
      </w:r>
      <w:r w:rsidRPr="004637CC">
        <w:rPr>
          <w:rFonts w:eastAsia="Times New Roman" w:cs="Times New Roman"/>
          <w:lang w:eastAsia="de-DE"/>
        </w:rPr>
        <w:t>(zum Sündopfer) zeigt die Opferart.</w:t>
      </w:r>
    </w:p>
    <w:p w14:paraId="1FB03C6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ושני כבשים בני שנה לזבח שלמים</w:t>
      </w:r>
      <w:r w:rsidRPr="004637CC">
        <w:rPr>
          <w:rFonts w:eastAsia="Times New Roman" w:cs="Times New Roman"/>
          <w:rtl/>
          <w:lang w:eastAsia="de-DE"/>
        </w:rPr>
        <w:t xml:space="preserve"> </w:t>
      </w:r>
      <w:r w:rsidRPr="004637CC">
        <w:rPr>
          <w:rFonts w:eastAsia="Times New Roman" w:cs="Times New Roman"/>
          <w:lang w:eastAsia="de-DE"/>
        </w:rPr>
        <w:t xml:space="preserve">(und zwei einjährige Lämmer zum Friedensopfer) - </w:t>
      </w:r>
      <w:r w:rsidRPr="004637CC">
        <w:rPr>
          <w:rFonts w:eastAsia="Times New Roman" w:cs="Times New Roman"/>
          <w:b/>
          <w:bCs/>
          <w:rtl/>
          <w:lang w:eastAsia="de-DE"/>
        </w:rPr>
        <w:t>שני כבשים</w:t>
      </w:r>
      <w:r w:rsidRPr="004637CC">
        <w:rPr>
          <w:rFonts w:eastAsia="Times New Roman" w:cs="Times New Roman"/>
          <w:rtl/>
          <w:lang w:eastAsia="de-DE"/>
        </w:rPr>
        <w:t xml:space="preserve"> </w:t>
      </w:r>
      <w:r w:rsidRPr="004637CC">
        <w:rPr>
          <w:rFonts w:eastAsia="Times New Roman" w:cs="Times New Roman"/>
          <w:lang w:eastAsia="de-DE"/>
        </w:rPr>
        <w:t xml:space="preserve">(zwei Lämmer) als </w:t>
      </w:r>
      <w:r w:rsidRPr="004637CC">
        <w:rPr>
          <w:rFonts w:eastAsia="Times New Roman" w:cs="Times New Roman"/>
          <w:b/>
          <w:bCs/>
          <w:rtl/>
          <w:lang w:eastAsia="de-DE"/>
        </w:rPr>
        <w:t>שלמים</w:t>
      </w:r>
      <w:r w:rsidRPr="004637CC">
        <w:rPr>
          <w:rFonts w:eastAsia="Times New Roman" w:cs="Times New Roman"/>
          <w:lang w:eastAsia="de-DE"/>
        </w:rPr>
        <w:t xml:space="preserve">-Tiere. </w:t>
      </w:r>
      <w:r w:rsidRPr="004637CC">
        <w:rPr>
          <w:rFonts w:eastAsia="Times New Roman" w:cs="Times New Roman"/>
          <w:b/>
          <w:bCs/>
          <w:rtl/>
          <w:lang w:eastAsia="de-DE"/>
        </w:rPr>
        <w:t>בני שנה</w:t>
      </w:r>
      <w:r w:rsidRPr="004637CC">
        <w:rPr>
          <w:rFonts w:eastAsia="Times New Roman" w:cs="Times New Roman"/>
          <w:rtl/>
          <w:lang w:eastAsia="de-DE"/>
        </w:rPr>
        <w:t xml:space="preserve"> </w:t>
      </w:r>
      <w:r w:rsidRPr="004637CC">
        <w:rPr>
          <w:rFonts w:eastAsia="Times New Roman" w:cs="Times New Roman"/>
          <w:lang w:eastAsia="de-DE"/>
        </w:rPr>
        <w:t xml:space="preserve">entspricht V. 18. </w:t>
      </w:r>
      <w:r w:rsidRPr="004637CC">
        <w:rPr>
          <w:rFonts w:eastAsia="Times New Roman" w:cs="Times New Roman"/>
          <w:b/>
          <w:bCs/>
          <w:rtl/>
          <w:lang w:eastAsia="de-DE"/>
        </w:rPr>
        <w:t>לזבח שלמים</w:t>
      </w:r>
      <w:r w:rsidRPr="004637CC">
        <w:rPr>
          <w:rFonts w:eastAsia="Times New Roman" w:cs="Times New Roman"/>
          <w:rtl/>
          <w:lang w:eastAsia="de-DE"/>
        </w:rPr>
        <w:t xml:space="preserve"> </w:t>
      </w:r>
      <w:r w:rsidRPr="004637CC">
        <w:rPr>
          <w:rFonts w:eastAsia="Times New Roman" w:cs="Times New Roman"/>
          <w:lang w:eastAsia="de-DE"/>
        </w:rPr>
        <w:t>(zum Friedensopfer) ergänzt die Opferarten.</w:t>
      </w:r>
    </w:p>
    <w:p w14:paraId="470ADB2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שעיר־עזים לחטאת</w:t>
      </w:r>
      <w:r w:rsidRPr="004637CC">
        <w:rPr>
          <w:rFonts w:eastAsia="Times New Roman" w:cs="Times New Roman"/>
          <w:rtl/>
          <w:lang w:eastAsia="de-DE"/>
        </w:rPr>
        <w:t xml:space="preserve"> </w:t>
      </w:r>
      <w:r w:rsidRPr="004637CC">
        <w:rPr>
          <w:rFonts w:eastAsia="Times New Roman" w:cs="Times New Roman"/>
          <w:lang w:eastAsia="de-DE"/>
        </w:rPr>
        <w:t xml:space="preserve">als Sühne für das Volk. </w:t>
      </w:r>
      <w:r w:rsidRPr="004637CC">
        <w:rPr>
          <w:rFonts w:eastAsia="Times New Roman" w:cs="Times New Roman"/>
          <w:b/>
          <w:bCs/>
          <w:rtl/>
          <w:lang w:eastAsia="de-DE"/>
        </w:rPr>
        <w:t>שני כבשים...לזבח שלמים</w:t>
      </w:r>
      <w:r w:rsidRPr="004637CC">
        <w:rPr>
          <w:rFonts w:eastAsia="Times New Roman" w:cs="Times New Roman"/>
          <w:rtl/>
          <w:lang w:eastAsia="de-DE"/>
        </w:rPr>
        <w:t xml:space="preserve"> </w:t>
      </w:r>
      <w:r w:rsidRPr="004637CC">
        <w:rPr>
          <w:rFonts w:eastAsia="Times New Roman" w:cs="Times New Roman"/>
          <w:lang w:eastAsia="de-DE"/>
        </w:rPr>
        <w:t xml:space="preserve">für Gemeinschaftsmahl. Die Kombination von </w:t>
      </w:r>
      <w:r w:rsidRPr="004637CC">
        <w:rPr>
          <w:rFonts w:eastAsia="Times New Roman" w:cs="Times New Roman"/>
          <w:b/>
          <w:bCs/>
          <w:rtl/>
          <w:lang w:eastAsia="de-DE"/>
        </w:rPr>
        <w:t>עלה</w:t>
      </w:r>
      <w:r w:rsidRPr="004637CC">
        <w:rPr>
          <w:rFonts w:eastAsia="Times New Roman" w:cs="Times New Roman"/>
          <w:lang w:eastAsia="de-DE"/>
        </w:rPr>
        <w:t xml:space="preserve">, </w:t>
      </w:r>
      <w:r w:rsidRPr="004637CC">
        <w:rPr>
          <w:rFonts w:eastAsia="Times New Roman" w:cs="Times New Roman"/>
          <w:b/>
          <w:bCs/>
          <w:rtl/>
          <w:lang w:eastAsia="de-DE"/>
        </w:rPr>
        <w:t>חטאת</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שלמים</w:t>
      </w:r>
      <w:r w:rsidRPr="004637CC">
        <w:rPr>
          <w:rFonts w:eastAsia="Times New Roman" w:cs="Times New Roman"/>
          <w:rtl/>
          <w:lang w:eastAsia="de-DE"/>
        </w:rPr>
        <w:t xml:space="preserve"> </w:t>
      </w:r>
      <w:r w:rsidRPr="004637CC">
        <w:rPr>
          <w:rFonts w:eastAsia="Times New Roman" w:cs="Times New Roman"/>
          <w:lang w:eastAsia="de-DE"/>
        </w:rPr>
        <w:t>zeigt vollständige Opferordnung.</w:t>
      </w:r>
    </w:p>
    <w:p w14:paraId="0685E11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LXX</w:t>
      </w:r>
      <w:r w:rsidRPr="004637CC">
        <w:rPr>
          <w:rFonts w:eastAsia="Times New Roman" w:cs="Times New Roman"/>
          <w:lang w:eastAsia="de-DE"/>
        </w:rPr>
        <w:t xml:space="preserve"> übersetzt </w:t>
      </w:r>
      <w:r w:rsidRPr="004637CC">
        <w:rPr>
          <w:rFonts w:eastAsia="Times New Roman" w:cs="Times New Roman"/>
          <w:b/>
          <w:bCs/>
          <w:rtl/>
          <w:lang w:eastAsia="de-DE"/>
        </w:rPr>
        <w:t>שעיר־עזים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χίμ</w:t>
      </w:r>
      <w:proofErr w:type="spellEnd"/>
      <w:r w:rsidRPr="004637CC">
        <w:rPr>
          <w:rFonts w:eastAsia="Times New Roman" w:cs="Times New Roman"/>
          <w:lang w:eastAsia="de-DE"/>
        </w:rPr>
        <w:t xml:space="preserve">αρον </w:t>
      </w:r>
      <w:proofErr w:type="spellStart"/>
      <w:r w:rsidRPr="004637CC">
        <w:rPr>
          <w:rFonts w:eastAsia="Times New Roman" w:cs="Times New Roman"/>
          <w:lang w:eastAsia="de-DE"/>
        </w:rPr>
        <w:t>ἐξ</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ἰγῶν</w:t>
      </w:r>
      <w:proofErr w:type="spellEnd"/>
      <w:r w:rsidRPr="004637CC">
        <w:rPr>
          <w:rFonts w:eastAsia="Times New Roman" w:cs="Times New Roman"/>
          <w:lang w:eastAsia="de-DE"/>
        </w:rPr>
        <w:t xml:space="preserve"> (Ziegenbock von Ziegen), </w:t>
      </w:r>
      <w:r w:rsidRPr="004637CC">
        <w:rPr>
          <w:rFonts w:eastAsia="Times New Roman" w:cs="Times New Roman"/>
          <w:b/>
          <w:bCs/>
          <w:rtl/>
          <w:lang w:eastAsia="de-DE"/>
        </w:rPr>
        <w:t>לחטאת</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ερὶ</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ἁμ</w:t>
      </w:r>
      <w:proofErr w:type="spellEnd"/>
      <w:r w:rsidRPr="004637CC">
        <w:rPr>
          <w:rFonts w:eastAsia="Times New Roman" w:cs="Times New Roman"/>
          <w:lang w:eastAsia="de-DE"/>
        </w:rPr>
        <w:t xml:space="preserve">αρτίας (wegen Sünde), </w:t>
      </w:r>
      <w:r w:rsidRPr="004637CC">
        <w:rPr>
          <w:rFonts w:eastAsia="Times New Roman" w:cs="Times New Roman"/>
          <w:b/>
          <w:bCs/>
          <w:rtl/>
          <w:lang w:eastAsia="de-DE"/>
        </w:rPr>
        <w:t>שני כבשים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δύο</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ἀμνούς</w:t>
      </w:r>
      <w:proofErr w:type="spellEnd"/>
      <w:r w:rsidRPr="004637CC">
        <w:rPr>
          <w:rFonts w:eastAsia="Times New Roman" w:cs="Times New Roman"/>
          <w:lang w:eastAsia="de-DE"/>
        </w:rPr>
        <w:t xml:space="preserve"> (zwei Lämmer) und </w:t>
      </w:r>
      <w:r w:rsidRPr="004637CC">
        <w:rPr>
          <w:rFonts w:eastAsia="Times New Roman" w:cs="Times New Roman"/>
          <w:b/>
          <w:bCs/>
          <w:rtl/>
          <w:lang w:eastAsia="de-DE"/>
        </w:rPr>
        <w:t>לזבח שלמים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εἰς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θυσί</w:t>
      </w:r>
      <w:proofErr w:type="spellEnd"/>
      <w:r w:rsidRPr="004637CC">
        <w:rPr>
          <w:rFonts w:eastAsia="Times New Roman" w:cs="Times New Roman"/>
          <w:lang w:eastAsia="de-DE"/>
        </w:rPr>
        <w:t xml:space="preserve">αν </w:t>
      </w:r>
      <w:proofErr w:type="spellStart"/>
      <w:r w:rsidRPr="004637CC">
        <w:rPr>
          <w:rFonts w:eastAsia="Times New Roman" w:cs="Times New Roman"/>
          <w:lang w:eastAsia="de-DE"/>
        </w:rPr>
        <w:t>σωτηρίου</w:t>
      </w:r>
      <w:proofErr w:type="spellEnd"/>
      <w:r w:rsidRPr="004637CC">
        <w:rPr>
          <w:rFonts w:eastAsia="Times New Roman" w:cs="Times New Roman"/>
          <w:lang w:eastAsia="de-DE"/>
        </w:rPr>
        <w:t xml:space="preserve"> (zu Heilsopfern).</w:t>
      </w:r>
    </w:p>
    <w:p w14:paraId="591960E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Wochenfest-Ergänzungsopfer: ein Ziegenbock als Sündopfer + zwei einjährige Lämmer als Friedensopfer.</w:t>
      </w:r>
    </w:p>
    <w:p w14:paraId="3DA89D6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ergänzt das Wochenfest um </w:t>
      </w:r>
      <w:r w:rsidRPr="004637CC">
        <w:rPr>
          <w:rFonts w:eastAsia="Times New Roman" w:cs="Times New Roman"/>
          <w:b/>
          <w:bCs/>
          <w:rtl/>
          <w:lang w:eastAsia="de-DE"/>
        </w:rPr>
        <w:t>חטאת</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שלמים</w:t>
      </w:r>
      <w:r w:rsidRPr="004637CC">
        <w:rPr>
          <w:rFonts w:eastAsia="Times New Roman" w:cs="Times New Roman"/>
          <w:rtl/>
          <w:lang w:eastAsia="de-DE"/>
        </w:rPr>
        <w:t xml:space="preserve"> </w:t>
      </w:r>
      <w:r w:rsidRPr="004637CC">
        <w:rPr>
          <w:rFonts w:eastAsia="Times New Roman" w:cs="Times New Roman"/>
          <w:lang w:eastAsia="de-DE"/>
        </w:rPr>
        <w:t>und vervollständigt damit die Opferarten.</w:t>
      </w:r>
    </w:p>
    <w:p w14:paraId="08AB0D1A"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23,20</w:t>
      </w:r>
    </w:p>
    <w:p w14:paraId="2522570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וְהֵנִ֣יף הַכֹּהֵ֣ן׀ אֹתָ֡ם עַל֩ לֶ֨חֶם הַבִּכּוּרִ֤ים תְּנוּפָה֙ לִפְנֵ֣י יְהוָ֔ה עַל־שְׁנֵ֖י כְּבָשִׂ֑ים קֹ֛דֶשׁ יִהְי֥וּ לַיהוָ֖ה לַכֹּהֵֽן׃</w:t>
      </w:r>
    </w:p>
    <w:p w14:paraId="3171139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Priester soll sie schwingen samt dem Brot der Erstlinge als Schwingopfer vor dem Ewigen, samt den zwei Lämmern; sie sollen dem Ewigen heilig sein für den Priester.</w:t>
      </w:r>
    </w:p>
    <w:p w14:paraId="5A0A3BBC"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986520B">
          <v:rect id="_x0000_i1701" style="width:0;height:1.5pt" o:hralign="center" o:hrstd="t" o:hr="t" fillcolor="#a0a0a0" stroked="f"/>
        </w:pict>
      </w:r>
    </w:p>
    <w:p w14:paraId="55A282F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והניף הכהן אתם על לחם הבכורים תנופה לפני יהוה על־שני כבשים קדש יהיו ליהוה לכהן</w:t>
      </w:r>
      <w:r w:rsidRPr="004637CC">
        <w:rPr>
          <w:rFonts w:eastAsia="Times New Roman" w:cs="Times New Roman"/>
          <w:rtl/>
          <w:lang w:eastAsia="de-DE"/>
        </w:rPr>
        <w:t xml:space="preserve"> </w:t>
      </w:r>
      <w:r w:rsidRPr="004637CC">
        <w:rPr>
          <w:rFonts w:eastAsia="Times New Roman" w:cs="Times New Roman"/>
          <w:lang w:eastAsia="de-DE"/>
        </w:rPr>
        <w:t xml:space="preserve">zeigt das </w:t>
      </w:r>
      <w:r w:rsidRPr="004637CC">
        <w:rPr>
          <w:rFonts w:eastAsia="Times New Roman" w:cs="Times New Roman"/>
          <w:b/>
          <w:bCs/>
          <w:rtl/>
          <w:lang w:eastAsia="de-DE"/>
        </w:rPr>
        <w:t>תנופה</w:t>
      </w:r>
      <w:r w:rsidRPr="004637CC">
        <w:rPr>
          <w:rFonts w:eastAsia="Times New Roman" w:cs="Times New Roman"/>
          <w:lang w:eastAsia="de-DE"/>
        </w:rPr>
        <w:t xml:space="preserve">-Ritual des Wochenfestes. </w:t>
      </w:r>
      <w:r w:rsidRPr="004637CC">
        <w:rPr>
          <w:rFonts w:eastAsia="Times New Roman" w:cs="Times New Roman"/>
          <w:b/>
          <w:bCs/>
          <w:rtl/>
          <w:lang w:eastAsia="de-DE"/>
        </w:rPr>
        <w:t>והניף הכהן אתם</w:t>
      </w:r>
      <w:r w:rsidRPr="004637CC">
        <w:rPr>
          <w:rFonts w:eastAsia="Times New Roman" w:cs="Times New Roman"/>
          <w:rtl/>
          <w:lang w:eastAsia="de-DE"/>
        </w:rPr>
        <w:t xml:space="preserve"> </w:t>
      </w:r>
      <w:r w:rsidRPr="004637CC">
        <w:rPr>
          <w:rFonts w:eastAsia="Times New Roman" w:cs="Times New Roman"/>
          <w:lang w:eastAsia="de-DE"/>
        </w:rPr>
        <w:t xml:space="preserve">(und der Priester soll sie schwingen) - </w:t>
      </w:r>
      <w:r w:rsidRPr="004637CC">
        <w:rPr>
          <w:rFonts w:eastAsia="Times New Roman" w:cs="Times New Roman"/>
          <w:b/>
          <w:bCs/>
          <w:rtl/>
          <w:lang w:eastAsia="de-DE"/>
        </w:rPr>
        <w:t>והניף</w:t>
      </w:r>
      <w:r w:rsidRPr="004637CC">
        <w:rPr>
          <w:rFonts w:eastAsia="Times New Roman" w:cs="Times New Roman"/>
          <w:rtl/>
          <w:lang w:eastAsia="de-DE"/>
        </w:rPr>
        <w:t xml:space="preserve"> </w:t>
      </w:r>
      <w:r w:rsidRPr="004637CC">
        <w:rPr>
          <w:rFonts w:eastAsia="Times New Roman" w:cs="Times New Roman"/>
          <w:lang w:eastAsia="de-DE"/>
        </w:rPr>
        <w:t xml:space="preserve">im Hifil-Perfekt mit Waw-Konsekutiv entspricht V. 11. </w:t>
      </w:r>
      <w:r w:rsidRPr="004637CC">
        <w:rPr>
          <w:rFonts w:eastAsia="Times New Roman" w:cs="Times New Roman"/>
          <w:b/>
          <w:bCs/>
          <w:rtl/>
          <w:lang w:eastAsia="de-DE"/>
        </w:rPr>
        <w:t>אתם</w:t>
      </w:r>
      <w:r w:rsidRPr="004637CC">
        <w:rPr>
          <w:rFonts w:eastAsia="Times New Roman" w:cs="Times New Roman"/>
          <w:rtl/>
          <w:lang w:eastAsia="de-DE"/>
        </w:rPr>
        <w:t xml:space="preserve"> </w:t>
      </w:r>
      <w:r w:rsidRPr="004637CC">
        <w:rPr>
          <w:rFonts w:eastAsia="Times New Roman" w:cs="Times New Roman"/>
          <w:lang w:eastAsia="de-DE"/>
        </w:rPr>
        <w:t xml:space="preserve">bezieht sich auf die </w:t>
      </w:r>
      <w:r w:rsidRPr="004637CC">
        <w:rPr>
          <w:rFonts w:eastAsia="Times New Roman" w:cs="Times New Roman"/>
          <w:b/>
          <w:bCs/>
          <w:rtl/>
          <w:lang w:eastAsia="de-DE"/>
        </w:rPr>
        <w:t>שלמים</w:t>
      </w:r>
      <w:r w:rsidRPr="004637CC">
        <w:rPr>
          <w:rFonts w:eastAsia="Times New Roman" w:cs="Times New Roman"/>
          <w:lang w:eastAsia="de-DE"/>
        </w:rPr>
        <w:t>-Lämmer.</w:t>
      </w:r>
    </w:p>
    <w:p w14:paraId="5688597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על לחם הבכורים תנופה לפני יהוה</w:t>
      </w:r>
      <w:r w:rsidRPr="004637CC">
        <w:rPr>
          <w:rFonts w:eastAsia="Times New Roman" w:cs="Times New Roman"/>
          <w:rtl/>
          <w:lang w:eastAsia="de-DE"/>
        </w:rPr>
        <w:t xml:space="preserve"> </w:t>
      </w:r>
      <w:r w:rsidRPr="004637CC">
        <w:rPr>
          <w:rFonts w:eastAsia="Times New Roman" w:cs="Times New Roman"/>
          <w:lang w:eastAsia="de-DE"/>
        </w:rPr>
        <w:t xml:space="preserve">(samt dem Brot der Erstlinge als Schwingopfer vor dem Ewigen) - </w:t>
      </w:r>
      <w:r w:rsidRPr="004637CC">
        <w:rPr>
          <w:rFonts w:eastAsia="Times New Roman" w:cs="Times New Roman"/>
          <w:b/>
          <w:bCs/>
          <w:rtl/>
          <w:lang w:eastAsia="de-DE"/>
        </w:rPr>
        <w:t>על לחם הבכורים</w:t>
      </w:r>
      <w:r w:rsidRPr="004637CC">
        <w:rPr>
          <w:rFonts w:eastAsia="Times New Roman" w:cs="Times New Roman"/>
          <w:rtl/>
          <w:lang w:eastAsia="de-DE"/>
        </w:rPr>
        <w:t xml:space="preserve"> </w:t>
      </w:r>
      <w:r w:rsidRPr="004637CC">
        <w:rPr>
          <w:rFonts w:eastAsia="Times New Roman" w:cs="Times New Roman"/>
          <w:lang w:eastAsia="de-DE"/>
        </w:rPr>
        <w:t xml:space="preserve">(samt dem Brot der Erstlinge) verbindet die Lämmer mit dem Brot aus V. 17. </w:t>
      </w:r>
      <w:r w:rsidRPr="004637CC">
        <w:rPr>
          <w:rFonts w:eastAsia="Times New Roman" w:cs="Times New Roman"/>
          <w:b/>
          <w:bCs/>
          <w:rtl/>
          <w:lang w:eastAsia="de-DE"/>
        </w:rPr>
        <w:t>תנופה לפני יהוה</w:t>
      </w:r>
      <w:r w:rsidRPr="004637CC">
        <w:rPr>
          <w:rFonts w:eastAsia="Times New Roman" w:cs="Times New Roman"/>
          <w:rtl/>
          <w:lang w:eastAsia="de-DE"/>
        </w:rPr>
        <w:t xml:space="preserve"> </w:t>
      </w:r>
      <w:r w:rsidRPr="004637CC">
        <w:rPr>
          <w:rFonts w:eastAsia="Times New Roman" w:cs="Times New Roman"/>
          <w:lang w:eastAsia="de-DE"/>
        </w:rPr>
        <w:t xml:space="preserve">zeigt das </w:t>
      </w:r>
      <w:r w:rsidRPr="004637CC">
        <w:rPr>
          <w:rFonts w:eastAsia="Times New Roman" w:cs="Times New Roman"/>
          <w:b/>
          <w:bCs/>
          <w:rtl/>
          <w:lang w:eastAsia="de-DE"/>
        </w:rPr>
        <w:t>תנופה</w:t>
      </w:r>
      <w:r w:rsidRPr="004637CC">
        <w:rPr>
          <w:rFonts w:eastAsia="Times New Roman" w:cs="Times New Roman"/>
          <w:lang w:eastAsia="de-DE"/>
        </w:rPr>
        <w:t>-Ritual.</w:t>
      </w:r>
    </w:p>
    <w:p w14:paraId="47DCE22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על־שני כבשים</w:t>
      </w:r>
      <w:r w:rsidRPr="004637CC">
        <w:rPr>
          <w:rFonts w:eastAsia="Times New Roman" w:cs="Times New Roman"/>
          <w:rtl/>
          <w:lang w:eastAsia="de-DE"/>
        </w:rPr>
        <w:t xml:space="preserve"> </w:t>
      </w:r>
      <w:r w:rsidRPr="004637CC">
        <w:rPr>
          <w:rFonts w:eastAsia="Times New Roman" w:cs="Times New Roman"/>
          <w:lang w:eastAsia="de-DE"/>
        </w:rPr>
        <w:t xml:space="preserve">(samt den zwei Lämmern) präzisiert die Bezugnahme auf die </w:t>
      </w:r>
      <w:r w:rsidRPr="004637CC">
        <w:rPr>
          <w:rFonts w:eastAsia="Times New Roman" w:cs="Times New Roman"/>
          <w:b/>
          <w:bCs/>
          <w:rtl/>
          <w:lang w:eastAsia="de-DE"/>
        </w:rPr>
        <w:t>שלמים</w:t>
      </w:r>
      <w:r w:rsidRPr="004637CC">
        <w:rPr>
          <w:rFonts w:eastAsia="Times New Roman" w:cs="Times New Roman"/>
          <w:lang w:eastAsia="de-DE"/>
        </w:rPr>
        <w:t xml:space="preserve">-Lämmer aus V. 19. </w:t>
      </w:r>
      <w:r w:rsidRPr="004637CC">
        <w:rPr>
          <w:rFonts w:eastAsia="Times New Roman" w:cs="Times New Roman"/>
          <w:b/>
          <w:bCs/>
          <w:rtl/>
          <w:lang w:eastAsia="de-DE"/>
        </w:rPr>
        <w:t>קדש יהיו ליהוה לכהן</w:t>
      </w:r>
      <w:r w:rsidRPr="004637CC">
        <w:rPr>
          <w:rFonts w:eastAsia="Times New Roman" w:cs="Times New Roman"/>
          <w:rtl/>
          <w:lang w:eastAsia="de-DE"/>
        </w:rPr>
        <w:t xml:space="preserve"> </w:t>
      </w:r>
      <w:r w:rsidRPr="004637CC">
        <w:rPr>
          <w:rFonts w:eastAsia="Times New Roman" w:cs="Times New Roman"/>
          <w:lang w:eastAsia="de-DE"/>
        </w:rPr>
        <w:t xml:space="preserve">(sie sollen dem Ewigen heilig sein für den Priester) zeigt priesterliches Anrecht an den </w:t>
      </w:r>
      <w:r w:rsidRPr="004637CC">
        <w:rPr>
          <w:rFonts w:eastAsia="Times New Roman" w:cs="Times New Roman"/>
          <w:b/>
          <w:bCs/>
          <w:rtl/>
          <w:lang w:eastAsia="de-DE"/>
        </w:rPr>
        <w:t>שלמים</w:t>
      </w:r>
      <w:r w:rsidRPr="004637CC">
        <w:rPr>
          <w:rFonts w:eastAsia="Times New Roman" w:cs="Times New Roman"/>
          <w:lang w:eastAsia="de-DE"/>
        </w:rPr>
        <w:t>.</w:t>
      </w:r>
    </w:p>
    <w:p w14:paraId="7FDBD2C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והניף הכהן</w:t>
      </w:r>
      <w:r w:rsidRPr="004637CC">
        <w:rPr>
          <w:rFonts w:eastAsia="Times New Roman" w:cs="Times New Roman"/>
          <w:rtl/>
          <w:lang w:eastAsia="de-DE"/>
        </w:rPr>
        <w:t xml:space="preserve"> </w:t>
      </w:r>
      <w:r w:rsidRPr="004637CC">
        <w:rPr>
          <w:rFonts w:eastAsia="Times New Roman" w:cs="Times New Roman"/>
          <w:lang w:eastAsia="de-DE"/>
        </w:rPr>
        <w:t xml:space="preserve">zeigt priesterliche </w:t>
      </w:r>
      <w:r w:rsidRPr="004637CC">
        <w:rPr>
          <w:rFonts w:eastAsia="Times New Roman" w:cs="Times New Roman"/>
          <w:b/>
          <w:bCs/>
          <w:rtl/>
          <w:lang w:eastAsia="de-DE"/>
        </w:rPr>
        <w:t>תנופה</w:t>
      </w:r>
      <w:r w:rsidRPr="004637CC">
        <w:rPr>
          <w:rFonts w:eastAsia="Times New Roman" w:cs="Times New Roman"/>
          <w:lang w:eastAsia="de-DE"/>
        </w:rPr>
        <w:t xml:space="preserve">-Ausführung. </w:t>
      </w:r>
      <w:r w:rsidRPr="004637CC">
        <w:rPr>
          <w:rFonts w:eastAsia="Times New Roman" w:cs="Times New Roman"/>
          <w:b/>
          <w:bCs/>
          <w:rtl/>
          <w:lang w:eastAsia="de-DE"/>
        </w:rPr>
        <w:t>על לחם הבכורים</w:t>
      </w:r>
      <w:r w:rsidRPr="004637CC">
        <w:rPr>
          <w:rFonts w:eastAsia="Times New Roman" w:cs="Times New Roman"/>
          <w:rtl/>
          <w:lang w:eastAsia="de-DE"/>
        </w:rPr>
        <w:t xml:space="preserve"> </w:t>
      </w:r>
      <w:r w:rsidRPr="004637CC">
        <w:rPr>
          <w:rFonts w:eastAsia="Times New Roman" w:cs="Times New Roman"/>
          <w:lang w:eastAsia="de-DE"/>
        </w:rPr>
        <w:t xml:space="preserve">verbindet Brot und Lämmer im Ritual. </w:t>
      </w:r>
      <w:r w:rsidRPr="004637CC">
        <w:rPr>
          <w:rFonts w:eastAsia="Times New Roman" w:cs="Times New Roman"/>
          <w:b/>
          <w:bCs/>
          <w:rtl/>
          <w:lang w:eastAsia="de-DE"/>
        </w:rPr>
        <w:t>קדש יהיו...לכהן</w:t>
      </w:r>
      <w:r w:rsidRPr="004637CC">
        <w:rPr>
          <w:rFonts w:eastAsia="Times New Roman" w:cs="Times New Roman"/>
          <w:rtl/>
          <w:lang w:eastAsia="de-DE"/>
        </w:rPr>
        <w:t xml:space="preserve"> </w:t>
      </w:r>
      <w:r w:rsidRPr="004637CC">
        <w:rPr>
          <w:rFonts w:eastAsia="Times New Roman" w:cs="Times New Roman"/>
          <w:lang w:eastAsia="de-DE"/>
        </w:rPr>
        <w:t xml:space="preserve">zeigt priesterlichen Anteil an den </w:t>
      </w:r>
      <w:r w:rsidRPr="004637CC">
        <w:rPr>
          <w:rFonts w:eastAsia="Times New Roman" w:cs="Times New Roman"/>
          <w:b/>
          <w:bCs/>
          <w:rtl/>
          <w:lang w:eastAsia="de-DE"/>
        </w:rPr>
        <w:t>שלמים</w:t>
      </w:r>
      <w:r w:rsidRPr="004637CC">
        <w:rPr>
          <w:rFonts w:eastAsia="Times New Roman" w:cs="Times New Roman"/>
          <w:lang w:eastAsia="de-DE"/>
        </w:rPr>
        <w:t>.</w:t>
      </w:r>
    </w:p>
    <w:p w14:paraId="2F32A88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והניף</w:t>
      </w:r>
      <w:r w:rsidRPr="004637CC">
        <w:rPr>
          <w:rFonts w:eastAsia="Times New Roman" w:cs="Times New Roman"/>
          <w:rtl/>
          <w:lang w:eastAsia="de-DE"/>
        </w:rPr>
        <w:t xml:space="preserve"> </w:t>
      </w:r>
      <w:r w:rsidRPr="004637CC">
        <w:rPr>
          <w:rFonts w:eastAsia="Times New Roman" w:cs="Times New Roman"/>
          <w:lang w:eastAsia="de-DE"/>
        </w:rPr>
        <w:t>mit ἐπ</w:t>
      </w:r>
      <w:proofErr w:type="spellStart"/>
      <w:r w:rsidRPr="004637CC">
        <w:rPr>
          <w:rFonts w:eastAsia="Times New Roman" w:cs="Times New Roman"/>
          <w:lang w:eastAsia="de-DE"/>
        </w:rPr>
        <w:t>ιθήσει</w:t>
      </w:r>
      <w:proofErr w:type="spellEnd"/>
      <w:r w:rsidRPr="004637CC">
        <w:rPr>
          <w:rFonts w:eastAsia="Times New Roman" w:cs="Times New Roman"/>
          <w:lang w:eastAsia="de-DE"/>
        </w:rPr>
        <w:t xml:space="preserve"> (wird auflegen), </w:t>
      </w:r>
      <w:r w:rsidRPr="004637CC">
        <w:rPr>
          <w:rFonts w:eastAsia="Times New Roman" w:cs="Times New Roman"/>
          <w:b/>
          <w:bCs/>
          <w:rtl/>
          <w:lang w:eastAsia="de-DE"/>
        </w:rPr>
        <w:t>לחם הבכורים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ἄρτους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τῶν</w:t>
      </w:r>
      <w:proofErr w:type="spellEnd"/>
      <w:r w:rsidRPr="004637CC">
        <w:rPr>
          <w:rFonts w:eastAsia="Times New Roman" w:cs="Times New Roman"/>
          <w:lang w:eastAsia="de-DE"/>
        </w:rPr>
        <w:t xml:space="preserve"> π</w:t>
      </w:r>
      <w:proofErr w:type="spellStart"/>
      <w:r w:rsidRPr="004637CC">
        <w:rPr>
          <w:rFonts w:eastAsia="Times New Roman" w:cs="Times New Roman"/>
          <w:lang w:eastAsia="de-DE"/>
        </w:rPr>
        <w:t>ρωτογενημάτων</w:t>
      </w:r>
      <w:proofErr w:type="spellEnd"/>
      <w:r w:rsidRPr="004637CC">
        <w:rPr>
          <w:rFonts w:eastAsia="Times New Roman" w:cs="Times New Roman"/>
          <w:lang w:eastAsia="de-DE"/>
        </w:rPr>
        <w:t xml:space="preserve"> (Brote der Erstlinge), </w:t>
      </w:r>
      <w:r w:rsidRPr="004637CC">
        <w:rPr>
          <w:rFonts w:eastAsia="Times New Roman" w:cs="Times New Roman"/>
          <w:b/>
          <w:bCs/>
          <w:rtl/>
          <w:lang w:eastAsia="de-DE"/>
        </w:rPr>
        <w:t>תנופה</w:t>
      </w:r>
      <w:r w:rsidRPr="004637CC">
        <w:rPr>
          <w:rFonts w:eastAsia="Times New Roman" w:cs="Times New Roman"/>
          <w:rtl/>
          <w:lang w:eastAsia="de-DE"/>
        </w:rPr>
        <w:t xml:space="preserve"> </w:t>
      </w:r>
      <w:r w:rsidRPr="004637CC">
        <w:rPr>
          <w:rFonts w:eastAsia="Times New Roman" w:cs="Times New Roman"/>
          <w:lang w:eastAsia="de-DE"/>
        </w:rPr>
        <w:t>mit ἐπ</w:t>
      </w:r>
      <w:proofErr w:type="spellStart"/>
      <w:r w:rsidRPr="004637CC">
        <w:rPr>
          <w:rFonts w:eastAsia="Times New Roman" w:cs="Times New Roman"/>
          <w:lang w:eastAsia="de-DE"/>
        </w:rPr>
        <w:t>ίθεμ</w:t>
      </w:r>
      <w:proofErr w:type="spellEnd"/>
      <w:r w:rsidRPr="004637CC">
        <w:rPr>
          <w:rFonts w:eastAsia="Times New Roman" w:cs="Times New Roman"/>
          <w:lang w:eastAsia="de-DE"/>
        </w:rPr>
        <w:t xml:space="preserve">α (Aufsatz), </w:t>
      </w:r>
      <w:r w:rsidRPr="004637CC">
        <w:rPr>
          <w:rFonts w:eastAsia="Times New Roman" w:cs="Times New Roman"/>
          <w:b/>
          <w:bCs/>
          <w:rtl/>
          <w:lang w:eastAsia="de-DE"/>
        </w:rPr>
        <w:t>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ἅγι</w:t>
      </w:r>
      <w:proofErr w:type="spellEnd"/>
      <w:r w:rsidRPr="004637CC">
        <w:rPr>
          <w:rFonts w:eastAsia="Times New Roman" w:cs="Times New Roman"/>
          <w:lang w:eastAsia="de-DE"/>
        </w:rPr>
        <w:t xml:space="preserve">α (Heiliges) und </w:t>
      </w:r>
      <w:r w:rsidRPr="004637CC">
        <w:rPr>
          <w:rFonts w:eastAsia="Times New Roman" w:cs="Times New Roman"/>
          <w:b/>
          <w:bCs/>
          <w:rtl/>
          <w:lang w:eastAsia="de-DE"/>
        </w:rPr>
        <w:t>לכהן</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ἱερεῖ</w:t>
      </w:r>
      <w:proofErr w:type="spellEnd"/>
      <w:r w:rsidRPr="004637CC">
        <w:rPr>
          <w:rFonts w:eastAsia="Times New Roman" w:cs="Times New Roman"/>
          <w:lang w:eastAsia="de-DE"/>
        </w:rPr>
        <w:t xml:space="preserve"> (dem Priester).</w:t>
      </w:r>
    </w:p>
    <w:p w14:paraId="4578741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Wochenfest-Schwingungsritual: priesterliche Schwingung + Erstlingsbrot-Verbindung + </w:t>
      </w:r>
      <w:r w:rsidRPr="004637CC">
        <w:rPr>
          <w:rFonts w:eastAsia="Times New Roman" w:cs="Times New Roman"/>
          <w:b/>
          <w:bCs/>
          <w:rtl/>
          <w:lang w:eastAsia="de-DE"/>
        </w:rPr>
        <w:t>תנופה</w:t>
      </w:r>
      <w:r w:rsidRPr="004637CC">
        <w:rPr>
          <w:rFonts w:eastAsia="Times New Roman" w:cs="Times New Roman"/>
          <w:rtl/>
          <w:lang w:eastAsia="de-DE"/>
        </w:rPr>
        <w:t xml:space="preserve"> </w:t>
      </w:r>
      <w:r w:rsidRPr="004637CC">
        <w:rPr>
          <w:rFonts w:eastAsia="Times New Roman" w:cs="Times New Roman"/>
          <w:lang w:eastAsia="de-DE"/>
        </w:rPr>
        <w:t>vor JHWH + zwei Lämmer + priesterliches Heiligtumsrecht.</w:t>
      </w:r>
    </w:p>
    <w:p w14:paraId="390AC53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das charakteristische </w:t>
      </w:r>
      <w:r w:rsidRPr="004637CC">
        <w:rPr>
          <w:rFonts w:eastAsia="Times New Roman" w:cs="Times New Roman"/>
          <w:b/>
          <w:bCs/>
          <w:rtl/>
          <w:lang w:eastAsia="de-DE"/>
        </w:rPr>
        <w:t>תנופה</w:t>
      </w:r>
      <w:r w:rsidRPr="004637CC">
        <w:rPr>
          <w:rFonts w:eastAsia="Times New Roman" w:cs="Times New Roman"/>
          <w:lang w:eastAsia="de-DE"/>
        </w:rPr>
        <w:t>-Ritual des Wochenfestes mit Brot und Lämmern und priesterlichem Anrecht.</w:t>
      </w:r>
    </w:p>
    <w:p w14:paraId="6D3D8D0C"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23,21</w:t>
      </w:r>
    </w:p>
    <w:p w14:paraId="6D59080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Hebräisch:</w:t>
      </w:r>
      <w:r w:rsidRPr="004637CC">
        <w:rPr>
          <w:rFonts w:eastAsia="Times New Roman" w:cs="Times New Roman"/>
          <w:lang w:eastAsia="de-DE"/>
        </w:rPr>
        <w:t xml:space="preserve"> </w:t>
      </w:r>
      <w:r w:rsidRPr="004637CC">
        <w:rPr>
          <w:rFonts w:eastAsia="Times New Roman" w:cs="Times New Roman"/>
          <w:rtl/>
          <w:lang w:eastAsia="de-DE"/>
        </w:rPr>
        <w:t>וּקְרָאתֶ֞ם בְּעֶ֣צֶם׀ הַיּ֣וֹם הַזֶּ֗ה מִֽקְרָא־קֹ֨דֶשׁ֙ יִהְיֶ֣ה לָכֶ֔ם כָּל־מְלֶ֥אכֶת עֲבֹדָ֖ה לֹ֣א תַעֲשׂ֑וּ חֻקַּ֥ת עוֹלָ֛ם בְּכָל־מוֹשְׁבֹ֥תֵיכֶ֖ם לְדֹרֹֽתֵיכֶֽם׃</w:t>
      </w:r>
    </w:p>
    <w:p w14:paraId="0B9612B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an diesem Tag ausrufen: Eine heilige Versammlung soll euch sein; keine Dienstarbeit sollt ihr tun: Eine ewige Satzung in allen euren Wohnsitzen bei euren Generationen.</w:t>
      </w:r>
    </w:p>
    <w:p w14:paraId="1758E168"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1064185">
          <v:rect id="_x0000_i1702" style="width:0;height:1.5pt" o:hralign="center" o:hrstd="t" o:hr="t" fillcolor="#a0a0a0" stroked="f"/>
        </w:pict>
      </w:r>
    </w:p>
    <w:p w14:paraId="47CC0DF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וקראתם בעצם היום הזה מקרא־קדש יהיה לכם כל־מלאכת עבדה לא תעשו חקת עולם בכל־מושבתיכם לדרתיכם</w:t>
      </w:r>
      <w:r w:rsidRPr="004637CC">
        <w:rPr>
          <w:rFonts w:eastAsia="Times New Roman" w:cs="Times New Roman"/>
          <w:rtl/>
          <w:lang w:eastAsia="de-DE"/>
        </w:rPr>
        <w:t xml:space="preserve"> </w:t>
      </w:r>
      <w:r w:rsidRPr="004637CC">
        <w:rPr>
          <w:rFonts w:eastAsia="Times New Roman" w:cs="Times New Roman"/>
          <w:lang w:eastAsia="de-DE"/>
        </w:rPr>
        <w:t xml:space="preserve">etabliert den Wochenfest-Feiertag. </w:t>
      </w:r>
      <w:r w:rsidRPr="004637CC">
        <w:rPr>
          <w:rFonts w:eastAsia="Times New Roman" w:cs="Times New Roman"/>
          <w:b/>
          <w:bCs/>
          <w:rtl/>
          <w:lang w:eastAsia="de-DE"/>
        </w:rPr>
        <w:t>וקראתם בעצם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(und ihr sollt an diesem Tag ausrufen) - </w:t>
      </w:r>
      <w:r w:rsidRPr="004637CC">
        <w:rPr>
          <w:rFonts w:eastAsia="Times New Roman" w:cs="Times New Roman"/>
          <w:b/>
          <w:bCs/>
          <w:rtl/>
          <w:lang w:eastAsia="de-DE"/>
        </w:rPr>
        <w:t>וקראתם</w:t>
      </w:r>
      <w:r w:rsidRPr="004637CC">
        <w:rPr>
          <w:rFonts w:eastAsia="Times New Roman" w:cs="Times New Roman"/>
          <w:rtl/>
          <w:lang w:eastAsia="de-DE"/>
        </w:rPr>
        <w:t xml:space="preserve"> </w:t>
      </w:r>
      <w:r w:rsidRPr="004637CC">
        <w:rPr>
          <w:rFonts w:eastAsia="Times New Roman" w:cs="Times New Roman"/>
          <w:lang w:eastAsia="de-DE"/>
        </w:rPr>
        <w:t xml:space="preserve">(und ihr sollt ausrufen) entspricht der </w:t>
      </w:r>
      <w:r w:rsidRPr="004637CC">
        <w:rPr>
          <w:rFonts w:eastAsia="Times New Roman" w:cs="Times New Roman"/>
          <w:b/>
          <w:bCs/>
          <w:rtl/>
          <w:lang w:eastAsia="de-DE"/>
        </w:rPr>
        <w:t>מקרא</w:t>
      </w:r>
      <w:r w:rsidRPr="004637CC">
        <w:rPr>
          <w:rFonts w:eastAsia="Times New Roman" w:cs="Times New Roman"/>
          <w:lang w:eastAsia="de-DE"/>
        </w:rPr>
        <w:t xml:space="preserve">-Terminologie aus V. 2,4. </w:t>
      </w: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(an diesem Tag) betont das genaue Datum.</w:t>
      </w:r>
    </w:p>
    <w:p w14:paraId="7A40F65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מקרא־קדש יהיה לכם</w:t>
      </w:r>
      <w:r w:rsidRPr="004637CC">
        <w:rPr>
          <w:rFonts w:eastAsia="Times New Roman" w:cs="Times New Roman"/>
          <w:rtl/>
          <w:lang w:eastAsia="de-DE"/>
        </w:rPr>
        <w:t xml:space="preserve"> </w:t>
      </w:r>
      <w:r w:rsidRPr="004637CC">
        <w:rPr>
          <w:rFonts w:eastAsia="Times New Roman" w:cs="Times New Roman"/>
          <w:lang w:eastAsia="de-DE"/>
        </w:rPr>
        <w:t xml:space="preserve">(eine heilige Versammlung soll euch sein) entspricht V. 7-8 beim Mazzotfest. </w:t>
      </w: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(keine Dienstarbeit sollt ihr tun) entspricht den anderen </w:t>
      </w:r>
      <w:r w:rsidRPr="004637CC">
        <w:rPr>
          <w:rFonts w:eastAsia="Times New Roman" w:cs="Times New Roman"/>
          <w:b/>
          <w:bCs/>
          <w:rtl/>
          <w:lang w:eastAsia="de-DE"/>
        </w:rPr>
        <w:t>מועדים</w:t>
      </w:r>
      <w:r w:rsidRPr="004637CC">
        <w:rPr>
          <w:rFonts w:eastAsia="Times New Roman" w:cs="Times New Roman"/>
          <w:lang w:eastAsia="de-DE"/>
        </w:rPr>
        <w:t>.</w:t>
      </w:r>
    </w:p>
    <w:p w14:paraId="2936CB6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חקת עולם בכל־מושבתיכם לדרתיכם</w:t>
      </w:r>
      <w:r w:rsidRPr="004637CC">
        <w:rPr>
          <w:rFonts w:eastAsia="Times New Roman" w:cs="Times New Roman"/>
          <w:rtl/>
          <w:lang w:eastAsia="de-DE"/>
        </w:rPr>
        <w:t xml:space="preserve"> </w:t>
      </w:r>
      <w:r w:rsidRPr="004637CC">
        <w:rPr>
          <w:rFonts w:eastAsia="Times New Roman" w:cs="Times New Roman"/>
          <w:lang w:eastAsia="de-DE"/>
        </w:rPr>
        <w:t>(eine ewige Satzung in allen euren Wohnsitzen bei euren Generationen) entspricht V. 14 und zeigt dauerhafte universelle Gültigkeit.</w:t>
      </w:r>
    </w:p>
    <w:p w14:paraId="36272FC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betont das präzise Datum des 50. Tages.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verbindet mit der </w:t>
      </w:r>
      <w:r w:rsidRPr="004637CC">
        <w:rPr>
          <w:rFonts w:eastAsia="Times New Roman" w:cs="Times New Roman"/>
          <w:b/>
          <w:bCs/>
          <w:rtl/>
          <w:lang w:eastAsia="de-DE"/>
        </w:rPr>
        <w:t>מועדים</w:t>
      </w:r>
      <w:r w:rsidRPr="004637CC">
        <w:rPr>
          <w:rFonts w:eastAsia="Times New Roman" w:cs="Times New Roman"/>
          <w:lang w:eastAsia="de-DE"/>
        </w:rPr>
        <w:t xml:space="preserve">-Terminologie.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zeigt bleibende Verpflichtung.</w:t>
      </w:r>
    </w:p>
    <w:p w14:paraId="18609F9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וקראתם</w:t>
      </w:r>
      <w:r w:rsidRPr="004637CC">
        <w:rPr>
          <w:rFonts w:eastAsia="Times New Roman" w:cs="Times New Roman"/>
          <w:rtl/>
          <w:lang w:eastAsia="de-DE"/>
        </w:rPr>
        <w:t xml:space="preserve"> </w:t>
      </w:r>
      <w:r w:rsidRPr="004637CC">
        <w:rPr>
          <w:rFonts w:eastAsia="Times New Roman" w:cs="Times New Roman"/>
          <w:lang w:eastAsia="de-DE"/>
        </w:rPr>
        <w:t>mit κα</w:t>
      </w:r>
      <w:proofErr w:type="spellStart"/>
      <w:r w:rsidRPr="004637CC">
        <w:rPr>
          <w:rFonts w:eastAsia="Times New Roman" w:cs="Times New Roman"/>
          <w:lang w:eastAsia="de-DE"/>
        </w:rPr>
        <w:t>λέσετε</w:t>
      </w:r>
      <w:proofErr w:type="spellEnd"/>
      <w:r w:rsidRPr="004637CC">
        <w:rPr>
          <w:rFonts w:eastAsia="Times New Roman" w:cs="Times New Roman"/>
          <w:lang w:eastAsia="de-DE"/>
        </w:rPr>
        <w:t xml:space="preserve"> (werdet ihr rufen), </w:t>
      </w: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mit α</w:t>
      </w:r>
      <w:proofErr w:type="spellStart"/>
      <w:r w:rsidRPr="004637CC">
        <w:rPr>
          <w:rFonts w:eastAsia="Times New Roman" w:cs="Times New Roman"/>
          <w:lang w:eastAsia="de-DE"/>
        </w:rPr>
        <w:t>ὐτῇ</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τῇ</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ἡμέρᾳ</w:t>
      </w:r>
      <w:proofErr w:type="spellEnd"/>
      <w:r w:rsidRPr="004637CC">
        <w:rPr>
          <w:rFonts w:eastAsia="Times New Roman" w:cs="Times New Roman"/>
          <w:lang w:eastAsia="de-DE"/>
        </w:rPr>
        <w:t xml:space="preserve"> τα</w:t>
      </w:r>
      <w:proofErr w:type="spellStart"/>
      <w:r w:rsidRPr="004637CC">
        <w:rPr>
          <w:rFonts w:eastAsia="Times New Roman" w:cs="Times New Roman"/>
          <w:lang w:eastAsia="de-DE"/>
        </w:rPr>
        <w:t>ύτῃ</w:t>
      </w:r>
      <w:proofErr w:type="spellEnd"/>
      <w:r w:rsidRPr="004637CC">
        <w:rPr>
          <w:rFonts w:eastAsia="Times New Roman" w:cs="Times New Roman"/>
          <w:lang w:eastAsia="de-DE"/>
        </w:rPr>
        <w:t xml:space="preserve"> (an eben diesem Tag),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κλητὸς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ἅγιος</w:t>
      </w:r>
      <w:proofErr w:type="spellEnd"/>
      <w:r w:rsidRPr="004637CC">
        <w:rPr>
          <w:rFonts w:eastAsia="Times New Roman" w:cs="Times New Roman"/>
          <w:lang w:eastAsia="de-DE"/>
        </w:rPr>
        <w:t xml:space="preserve"> (heilige Berufung) und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νόμιμον</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ἰώνιον</w:t>
      </w:r>
      <w:proofErr w:type="spellEnd"/>
      <w:r w:rsidRPr="004637CC">
        <w:rPr>
          <w:rFonts w:eastAsia="Times New Roman" w:cs="Times New Roman"/>
          <w:lang w:eastAsia="de-DE"/>
        </w:rPr>
        <w:t xml:space="preserve"> (ewiges Gesetz).</w:t>
      </w:r>
    </w:p>
    <w:p w14:paraId="4DD7237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Wochenfest-Feiertag: Ausrufung an diesem Tag + heilige Versammlung + Dienstarbeitsverbot + ewige Satzung + universelle Gültigkeit.</w:t>
      </w:r>
    </w:p>
    <w:p w14:paraId="5178949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Wochenfest als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mit Arbeitsruhe und ewiger Gültigkeit.</w:t>
      </w:r>
    </w:p>
    <w:p w14:paraId="19E9A1E7"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23,22</w:t>
      </w:r>
    </w:p>
    <w:p w14:paraId="32F4D91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וּֽבְקֻצְרְכֶ֞ם אֶת־קְצִ֣יר אַרְצְכֶ֗ם לֹֽא־תְכַלֶּ֞ה פְּאַ֤ת שָֽׂדְךָ֙ בְּקֻצְרֶ֔ךָ וְלֶ֥קֶט קְצִירְךָ֖ לֹ֣א תְלַקֵּ֑ט לֶֽעָנִ֤י וְלַגֵּר֙ תַּעֲזֹ֣ב אֹתָ֔ם אֲנִ֖י יְהוָ֥ה אֱלֹהֵיכֶֽם׃</w:t>
      </w:r>
    </w:p>
    <w:p w14:paraId="7639D7D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wenn ihr die Ernte eures Landes erntet, sollst du den Rand deines Feldes nicht vollständig abernten bei deiner Ernte, und sollst keine Nachlese deiner Ernte halten; für den Armen und für den Fremden sollst du sie zurücklassen. Ich bin der Ewige, euer Gott.</w:t>
      </w:r>
    </w:p>
    <w:p w14:paraId="241B518B"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80C56C5">
          <v:rect id="_x0000_i1703" style="width:0;height:1.5pt" o:hralign="center" o:hrstd="t" o:hr="t" fillcolor="#a0a0a0" stroked="f"/>
        </w:pict>
      </w:r>
    </w:p>
    <w:p w14:paraId="4713F89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ובקצרכם את־קציר ארצכם לא־תכלה פאת שדך בקצרך ולקט קצירך לא תלקט לעני ולגר תעזב אתם אני יהוה אלהיכם</w:t>
      </w:r>
      <w:r w:rsidRPr="004637CC">
        <w:rPr>
          <w:rFonts w:eastAsia="Times New Roman" w:cs="Times New Roman"/>
          <w:rtl/>
          <w:lang w:eastAsia="de-DE"/>
        </w:rPr>
        <w:t xml:space="preserve"> </w:t>
      </w:r>
      <w:r w:rsidRPr="004637CC">
        <w:rPr>
          <w:rFonts w:eastAsia="Times New Roman" w:cs="Times New Roman"/>
          <w:lang w:eastAsia="de-DE"/>
        </w:rPr>
        <w:t xml:space="preserve">wiederholt die Armengesetze aus 19,9-10 im Kontext der Erstlingsfeste. </w:t>
      </w:r>
      <w:r w:rsidRPr="004637CC">
        <w:rPr>
          <w:rFonts w:eastAsia="Times New Roman" w:cs="Times New Roman"/>
          <w:b/>
          <w:bCs/>
          <w:rtl/>
          <w:lang w:eastAsia="de-DE"/>
        </w:rPr>
        <w:t>ובקצרכם את־קציר ארצכם</w:t>
      </w:r>
      <w:r w:rsidRPr="004637CC">
        <w:rPr>
          <w:rFonts w:eastAsia="Times New Roman" w:cs="Times New Roman"/>
          <w:rtl/>
          <w:lang w:eastAsia="de-DE"/>
        </w:rPr>
        <w:t xml:space="preserve"> </w:t>
      </w:r>
      <w:r w:rsidRPr="004637CC">
        <w:rPr>
          <w:rFonts w:eastAsia="Times New Roman" w:cs="Times New Roman"/>
          <w:lang w:eastAsia="de-DE"/>
        </w:rPr>
        <w:t>(und wenn ihr die Ernte eures Landes erntet) zeigt den Erntekontext, der zur Erstlingszeit relevant ist.</w:t>
      </w:r>
    </w:p>
    <w:p w14:paraId="6433BFE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לא־תכלה פאת שדך בקצרך</w:t>
      </w:r>
      <w:r w:rsidRPr="004637CC">
        <w:rPr>
          <w:rFonts w:eastAsia="Times New Roman" w:cs="Times New Roman"/>
          <w:rtl/>
          <w:lang w:eastAsia="de-DE"/>
        </w:rPr>
        <w:t xml:space="preserve"> </w:t>
      </w:r>
      <w:r w:rsidRPr="004637CC">
        <w:rPr>
          <w:rFonts w:eastAsia="Times New Roman" w:cs="Times New Roman"/>
          <w:lang w:eastAsia="de-DE"/>
        </w:rPr>
        <w:t xml:space="preserve">(sollst du den Rand deines Feldes nicht vollständig abernten bei deiner Ernte) entspricht 19,9 - </w:t>
      </w:r>
      <w:r w:rsidRPr="004637CC">
        <w:rPr>
          <w:rFonts w:eastAsia="Times New Roman" w:cs="Times New Roman"/>
          <w:b/>
          <w:bCs/>
          <w:rtl/>
          <w:lang w:eastAsia="de-DE"/>
        </w:rPr>
        <w:t>פאת שדך</w:t>
      </w:r>
      <w:r w:rsidRPr="004637CC">
        <w:rPr>
          <w:rFonts w:eastAsia="Times New Roman" w:cs="Times New Roman"/>
          <w:rtl/>
          <w:lang w:eastAsia="de-DE"/>
        </w:rPr>
        <w:t xml:space="preserve"> </w:t>
      </w:r>
      <w:r w:rsidRPr="004637CC">
        <w:rPr>
          <w:rFonts w:eastAsia="Times New Roman" w:cs="Times New Roman"/>
          <w:lang w:eastAsia="de-DE"/>
        </w:rPr>
        <w:t xml:space="preserve">(Rand deines Feldes) als </w:t>
      </w:r>
      <w:r w:rsidRPr="004637CC">
        <w:rPr>
          <w:rFonts w:eastAsia="Times New Roman" w:cs="Times New Roman"/>
          <w:b/>
          <w:bCs/>
          <w:rtl/>
          <w:lang w:eastAsia="de-DE"/>
        </w:rPr>
        <w:t>פאה</w:t>
      </w:r>
      <w:r w:rsidRPr="004637CC">
        <w:rPr>
          <w:rFonts w:eastAsia="Times New Roman" w:cs="Times New Roman"/>
          <w:lang w:eastAsia="de-DE"/>
        </w:rPr>
        <w:t xml:space="preserve">-Gesetz. </w:t>
      </w:r>
      <w:r w:rsidRPr="004637CC">
        <w:rPr>
          <w:rFonts w:eastAsia="Times New Roman" w:cs="Times New Roman"/>
          <w:b/>
          <w:bCs/>
          <w:rtl/>
          <w:lang w:eastAsia="de-DE"/>
        </w:rPr>
        <w:t>ולקט קצירך לא תלקט</w:t>
      </w:r>
      <w:r w:rsidRPr="004637CC">
        <w:rPr>
          <w:rFonts w:eastAsia="Times New Roman" w:cs="Times New Roman"/>
          <w:rtl/>
          <w:lang w:eastAsia="de-DE"/>
        </w:rPr>
        <w:t xml:space="preserve"> </w:t>
      </w:r>
      <w:r w:rsidRPr="004637CC">
        <w:rPr>
          <w:rFonts w:eastAsia="Times New Roman" w:cs="Times New Roman"/>
          <w:lang w:eastAsia="de-DE"/>
        </w:rPr>
        <w:t xml:space="preserve">(und sollst keine Nachlese deiner Ernte halten) zeigt </w:t>
      </w:r>
      <w:r w:rsidRPr="004637CC">
        <w:rPr>
          <w:rFonts w:eastAsia="Times New Roman" w:cs="Times New Roman"/>
          <w:b/>
          <w:bCs/>
          <w:rtl/>
          <w:lang w:eastAsia="de-DE"/>
        </w:rPr>
        <w:t>לקט</w:t>
      </w:r>
      <w:r w:rsidRPr="004637CC">
        <w:rPr>
          <w:rFonts w:eastAsia="Times New Roman" w:cs="Times New Roman"/>
          <w:lang w:eastAsia="de-DE"/>
        </w:rPr>
        <w:t>-Verbot.</w:t>
      </w:r>
    </w:p>
    <w:p w14:paraId="3056942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לעני ולגר תעזב אתם אני יהוה אלהיכם</w:t>
      </w:r>
      <w:r w:rsidRPr="004637CC">
        <w:rPr>
          <w:rFonts w:eastAsia="Times New Roman" w:cs="Times New Roman"/>
          <w:rtl/>
          <w:lang w:eastAsia="de-DE"/>
        </w:rPr>
        <w:t xml:space="preserve"> </w:t>
      </w:r>
      <w:r w:rsidRPr="004637CC">
        <w:rPr>
          <w:rFonts w:eastAsia="Times New Roman" w:cs="Times New Roman"/>
          <w:lang w:eastAsia="de-DE"/>
        </w:rPr>
        <w:t>(für den Armen und für den Fremden sollst du sie zurücklassen. Ich bin der Ewige, euer Gott) entspricht 19,10 mit den beiden Begünstigten und der Autoritätsformel.</w:t>
      </w:r>
    </w:p>
    <w:p w14:paraId="047D963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 Wiederholung der </w:t>
      </w:r>
      <w:r w:rsidRPr="004637CC">
        <w:rPr>
          <w:rFonts w:eastAsia="Times New Roman" w:cs="Times New Roman"/>
          <w:b/>
          <w:bCs/>
          <w:rtl/>
          <w:lang w:eastAsia="de-DE"/>
        </w:rPr>
        <w:t>פאה</w:t>
      </w:r>
      <w:r w:rsidRPr="004637CC">
        <w:rPr>
          <w:rFonts w:eastAsia="Times New Roman" w:cs="Times New Roman"/>
          <w:lang w:eastAsia="de-DE"/>
        </w:rPr>
        <w:t xml:space="preserve">- und </w:t>
      </w:r>
      <w:r w:rsidRPr="004637CC">
        <w:rPr>
          <w:rFonts w:eastAsia="Times New Roman" w:cs="Times New Roman"/>
          <w:b/>
          <w:bCs/>
          <w:rtl/>
          <w:lang w:eastAsia="de-DE"/>
        </w:rPr>
        <w:t>לקט</w:t>
      </w:r>
      <w:r w:rsidRPr="004637CC">
        <w:rPr>
          <w:rFonts w:eastAsia="Times New Roman" w:cs="Times New Roman"/>
          <w:lang w:eastAsia="de-DE"/>
        </w:rPr>
        <w:t xml:space="preserve">-Gesetze im Festkontext zeigt den Zusammenhang zwischen Erstlingsfeier und Armenversorgung. </w:t>
      </w:r>
      <w:r w:rsidRPr="004637CC">
        <w:rPr>
          <w:rFonts w:eastAsia="Times New Roman" w:cs="Times New Roman"/>
          <w:b/>
          <w:bCs/>
          <w:rtl/>
          <w:lang w:eastAsia="de-DE"/>
        </w:rPr>
        <w:t>עני וגר</w:t>
      </w:r>
      <w:r w:rsidRPr="004637CC">
        <w:rPr>
          <w:rFonts w:eastAsia="Times New Roman" w:cs="Times New Roman"/>
          <w:rtl/>
          <w:lang w:eastAsia="de-DE"/>
        </w:rPr>
        <w:t xml:space="preserve"> </w:t>
      </w:r>
      <w:r w:rsidRPr="004637CC">
        <w:rPr>
          <w:rFonts w:eastAsia="Times New Roman" w:cs="Times New Roman"/>
          <w:lang w:eastAsia="de-DE"/>
        </w:rPr>
        <w:t>als gesellschaftlich Benachteiligte.</w:t>
      </w:r>
    </w:p>
    <w:p w14:paraId="60F7DEB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ובקצרכם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ὅτ</w:t>
      </w:r>
      <w:proofErr w:type="spellEnd"/>
      <w:r w:rsidRPr="004637CC">
        <w:rPr>
          <w:rFonts w:eastAsia="Times New Roman" w:cs="Times New Roman"/>
          <w:lang w:eastAsia="de-DE"/>
        </w:rPr>
        <w:t xml:space="preserve">αν </w:t>
      </w:r>
      <w:proofErr w:type="spellStart"/>
      <w:r w:rsidRPr="004637CC">
        <w:rPr>
          <w:rFonts w:eastAsia="Times New Roman" w:cs="Times New Roman"/>
          <w:lang w:eastAsia="de-DE"/>
        </w:rPr>
        <w:t>δὲ</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θερίζητε</w:t>
      </w:r>
      <w:proofErr w:type="spellEnd"/>
      <w:r w:rsidRPr="004637CC">
        <w:rPr>
          <w:rFonts w:eastAsia="Times New Roman" w:cs="Times New Roman"/>
          <w:lang w:eastAsia="de-DE"/>
        </w:rPr>
        <w:t xml:space="preserve"> (wann immer ihr aber erntet), </w:t>
      </w:r>
      <w:r w:rsidRPr="004637CC">
        <w:rPr>
          <w:rFonts w:eastAsia="Times New Roman" w:cs="Times New Roman"/>
          <w:b/>
          <w:bCs/>
          <w:rtl/>
          <w:lang w:eastAsia="de-DE"/>
        </w:rPr>
        <w:t>פאת שדך</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τὰ</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ἔσχ</w:t>
      </w:r>
      <w:proofErr w:type="spellEnd"/>
      <w:r w:rsidRPr="004637CC">
        <w:rPr>
          <w:rFonts w:eastAsia="Times New Roman" w:cs="Times New Roman"/>
          <w:lang w:eastAsia="de-DE"/>
        </w:rPr>
        <w:t xml:space="preserve">ατα </w:t>
      </w:r>
      <w:proofErr w:type="spellStart"/>
      <w:r w:rsidRPr="004637CC">
        <w:rPr>
          <w:rFonts w:eastAsia="Times New Roman" w:cs="Times New Roman"/>
          <w:lang w:eastAsia="de-DE"/>
        </w:rPr>
        <w:t>τοῦ</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ἀγροῦ</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σου</w:t>
      </w:r>
      <w:proofErr w:type="spellEnd"/>
      <w:r w:rsidRPr="004637CC">
        <w:rPr>
          <w:rFonts w:eastAsia="Times New Roman" w:cs="Times New Roman"/>
          <w:lang w:eastAsia="de-DE"/>
        </w:rPr>
        <w:t xml:space="preserve"> (die äußersten Teile deines Feldes), </w:t>
      </w:r>
      <w:r w:rsidRPr="004637CC">
        <w:rPr>
          <w:rFonts w:eastAsia="Times New Roman" w:cs="Times New Roman"/>
          <w:b/>
          <w:bCs/>
          <w:rtl/>
          <w:lang w:eastAsia="de-DE"/>
        </w:rPr>
        <w:t>ולקט</w:t>
      </w:r>
      <w:r w:rsidRPr="004637CC">
        <w:rPr>
          <w:rFonts w:eastAsia="Times New Roman" w:cs="Times New Roman"/>
          <w:rtl/>
          <w:lang w:eastAsia="de-DE"/>
        </w:rPr>
        <w:t xml:space="preserve"> </w:t>
      </w:r>
      <w:r w:rsidRPr="004637CC">
        <w:rPr>
          <w:rFonts w:eastAsia="Times New Roman" w:cs="Times New Roman"/>
          <w:lang w:eastAsia="de-DE"/>
        </w:rPr>
        <w:t>mit κα</w:t>
      </w:r>
      <w:proofErr w:type="spellStart"/>
      <w:r w:rsidRPr="004637CC">
        <w:rPr>
          <w:rFonts w:eastAsia="Times New Roman" w:cs="Times New Roman"/>
          <w:lang w:eastAsia="de-DE"/>
        </w:rPr>
        <w:t>λάμ</w:t>
      </w:r>
      <w:proofErr w:type="spellEnd"/>
      <w:r w:rsidRPr="004637CC">
        <w:rPr>
          <w:rFonts w:eastAsia="Times New Roman" w:cs="Times New Roman"/>
          <w:lang w:eastAsia="de-DE"/>
        </w:rPr>
        <w:t xml:space="preserve">ας (Halme) und </w:t>
      </w:r>
      <w:r w:rsidRPr="004637CC">
        <w:rPr>
          <w:rFonts w:eastAsia="Times New Roman" w:cs="Times New Roman"/>
          <w:b/>
          <w:bCs/>
          <w:rtl/>
          <w:lang w:eastAsia="de-DE"/>
        </w:rPr>
        <w:t>לעני ולגר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π</w:t>
      </w:r>
      <w:proofErr w:type="spellStart"/>
      <w:r w:rsidRPr="004637CC">
        <w:rPr>
          <w:rFonts w:eastAsia="Times New Roman" w:cs="Times New Roman"/>
          <w:lang w:eastAsia="de-DE"/>
        </w:rPr>
        <w:t>τωχῷ</w:t>
      </w:r>
      <w:proofErr w:type="spellEnd"/>
      <w:r w:rsidRPr="004637CC">
        <w:rPr>
          <w:rFonts w:eastAsia="Times New Roman" w:cs="Times New Roman"/>
          <w:lang w:eastAsia="de-DE"/>
        </w:rPr>
        <w:t xml:space="preserve"> καὶ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π</w:t>
      </w:r>
      <w:proofErr w:type="spellStart"/>
      <w:r w:rsidRPr="004637CC">
        <w:rPr>
          <w:rFonts w:eastAsia="Times New Roman" w:cs="Times New Roman"/>
          <w:lang w:eastAsia="de-DE"/>
        </w:rPr>
        <w:t>ροσηλύτῳ</w:t>
      </w:r>
      <w:proofErr w:type="spellEnd"/>
      <w:r w:rsidRPr="004637CC">
        <w:rPr>
          <w:rFonts w:eastAsia="Times New Roman" w:cs="Times New Roman"/>
          <w:lang w:eastAsia="de-DE"/>
        </w:rPr>
        <w:t xml:space="preserve"> (dem Armen und dem Proselyten).</w:t>
      </w:r>
    </w:p>
    <w:p w14:paraId="2027270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Erstlings-Armengesetz: Landerntekontext + </w:t>
      </w:r>
      <w:r w:rsidRPr="004637CC">
        <w:rPr>
          <w:rFonts w:eastAsia="Times New Roman" w:cs="Times New Roman"/>
          <w:b/>
          <w:bCs/>
          <w:rtl/>
          <w:lang w:eastAsia="de-DE"/>
        </w:rPr>
        <w:t>פאה</w:t>
      </w:r>
      <w:r w:rsidRPr="004637CC">
        <w:rPr>
          <w:rFonts w:eastAsia="Times New Roman" w:cs="Times New Roman"/>
          <w:lang w:eastAsia="de-DE"/>
        </w:rPr>
        <w:t xml:space="preserve">-Verbot + </w:t>
      </w:r>
      <w:r w:rsidRPr="004637CC">
        <w:rPr>
          <w:rFonts w:eastAsia="Times New Roman" w:cs="Times New Roman"/>
          <w:b/>
          <w:bCs/>
          <w:rtl/>
          <w:lang w:eastAsia="de-DE"/>
        </w:rPr>
        <w:t>לקט</w:t>
      </w:r>
      <w:r w:rsidRPr="004637CC">
        <w:rPr>
          <w:rFonts w:eastAsia="Times New Roman" w:cs="Times New Roman"/>
          <w:lang w:eastAsia="de-DE"/>
        </w:rPr>
        <w:t>-Verbot + Armenversorgung für Arme und Fremde + göttliche Autorität.</w:t>
      </w:r>
    </w:p>
    <w:p w14:paraId="19114BF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verbindet die Erstlingsfeier mit sozialer Verantwortung durch Wiederholung der </w:t>
      </w:r>
      <w:r w:rsidRPr="004637CC">
        <w:rPr>
          <w:rFonts w:eastAsia="Times New Roman" w:cs="Times New Roman"/>
          <w:b/>
          <w:bCs/>
          <w:rtl/>
          <w:lang w:eastAsia="de-DE"/>
        </w:rPr>
        <w:t>פאה</w:t>
      </w:r>
      <w:r w:rsidRPr="004637CC">
        <w:rPr>
          <w:rFonts w:eastAsia="Times New Roman" w:cs="Times New Roman"/>
          <w:lang w:eastAsia="de-DE"/>
        </w:rPr>
        <w:t xml:space="preserve">- und </w:t>
      </w:r>
      <w:r w:rsidRPr="004637CC">
        <w:rPr>
          <w:rFonts w:eastAsia="Times New Roman" w:cs="Times New Roman"/>
          <w:b/>
          <w:bCs/>
          <w:rtl/>
          <w:lang w:eastAsia="de-DE"/>
        </w:rPr>
        <w:t>לקט</w:t>
      </w:r>
      <w:r w:rsidRPr="004637CC">
        <w:rPr>
          <w:rFonts w:eastAsia="Times New Roman" w:cs="Times New Roman"/>
          <w:lang w:eastAsia="de-DE"/>
        </w:rPr>
        <w:t>-Gesetze.</w:t>
      </w:r>
    </w:p>
    <w:p w14:paraId="68E973D6"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23,23</w:t>
      </w:r>
    </w:p>
    <w:p w14:paraId="5F0DBF9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2D7CF94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2E74BDD7"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AEA1AE1">
          <v:rect id="_x0000_i1704" style="width:0;height:1.5pt" o:hralign="center" o:hrstd="t" o:hr="t" fillcolor="#a0a0a0" stroked="f"/>
        </w:pict>
      </w:r>
    </w:p>
    <w:p w14:paraId="4FA3A3C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als neue Offenbarungseinleitung für die Herbstfeste. Diese leitet den Abschnitt über die Feste des siebten Monats ein, der mit dem Posaunentag beginnt.</w:t>
      </w:r>
    </w:p>
    <w:p w14:paraId="53CF6F8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die drei Herbstfeste des siebten Monats ein: Posaunentag, Versöhnungstag und Laubhüttenfest.</w:t>
      </w:r>
    </w:p>
    <w:p w14:paraId="57F72EAA"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23,24</w:t>
      </w:r>
    </w:p>
    <w:p w14:paraId="40C623A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דַּבֵּ֛ר אֶל־בְּנֵ֥י יִשְׂרָאֵ֖ל לֵאמֹ֑ר בַּחֹ֨דֶשׁ הַשְּׁבִיעִ֜י בְּאֶחָ֣ד לַחֹ֗דֶשׁ יִהְיֶ֤ה לָכֶם֙ שַׁבָּת֔וֹן זִכְר֥וֹן תְּרוּעָ֖ה מִקְרָא־קֹֽדֶשׁ׃</w:t>
      </w:r>
    </w:p>
    <w:p w14:paraId="0C53574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Rede zu den Kindern Israels: Im siebten Monat, am Ersten des Monats, soll euch Ruhetag sein, ein Gedenken des Lärmblasens, eine heilige Versammlung.</w:t>
      </w:r>
    </w:p>
    <w:p w14:paraId="7446FCF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21617E3">
          <v:rect id="_x0000_i1705" style="width:0;height:1.5pt" o:hralign="center" o:hrstd="t" o:hr="t" fillcolor="#a0a0a0" stroked="f"/>
        </w:pict>
      </w:r>
    </w:p>
    <w:p w14:paraId="6262FA2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דבר אל־בני ישראל לאמר בחדש השביעי באחד לחדש יהיה לכם שבתון זכרון תרועה מקרא־קדש</w:t>
      </w:r>
      <w:r w:rsidRPr="004637CC">
        <w:rPr>
          <w:rFonts w:eastAsia="Times New Roman" w:cs="Times New Roman"/>
          <w:rtl/>
          <w:lang w:eastAsia="de-DE"/>
        </w:rPr>
        <w:t xml:space="preserve"> </w:t>
      </w:r>
      <w:r w:rsidRPr="004637CC">
        <w:rPr>
          <w:rFonts w:eastAsia="Times New Roman" w:cs="Times New Roman"/>
          <w:lang w:eastAsia="de-DE"/>
        </w:rPr>
        <w:t xml:space="preserve">etabliert den Posaunentag. </w:t>
      </w:r>
      <w:r w:rsidRPr="004637CC">
        <w:rPr>
          <w:rFonts w:eastAsia="Times New Roman" w:cs="Times New Roman"/>
          <w:b/>
          <w:bCs/>
          <w:rtl/>
          <w:lang w:eastAsia="de-DE"/>
        </w:rPr>
        <w:t>דבר אל־בני ישראל לאמר</w:t>
      </w:r>
      <w:r w:rsidRPr="004637CC">
        <w:rPr>
          <w:rFonts w:eastAsia="Times New Roman" w:cs="Times New Roman"/>
          <w:rtl/>
          <w:lang w:eastAsia="de-DE"/>
        </w:rPr>
        <w:t xml:space="preserve"> </w:t>
      </w:r>
      <w:r w:rsidRPr="004637CC">
        <w:rPr>
          <w:rFonts w:eastAsia="Times New Roman" w:cs="Times New Roman"/>
          <w:lang w:eastAsia="de-DE"/>
        </w:rPr>
        <w:t>entspricht V. 2,10.</w:t>
      </w:r>
    </w:p>
    <w:p w14:paraId="0A23780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בחדש השביעי באחד לחדש</w:t>
      </w:r>
      <w:r w:rsidRPr="004637CC">
        <w:rPr>
          <w:rFonts w:eastAsia="Times New Roman" w:cs="Times New Roman"/>
          <w:rtl/>
          <w:lang w:eastAsia="de-DE"/>
        </w:rPr>
        <w:t xml:space="preserve"> </w:t>
      </w:r>
      <w:r w:rsidRPr="004637CC">
        <w:rPr>
          <w:rFonts w:eastAsia="Times New Roman" w:cs="Times New Roman"/>
          <w:lang w:eastAsia="de-DE"/>
        </w:rPr>
        <w:t xml:space="preserve">(im siebten Monat, am Ersten des Monats) - </w:t>
      </w:r>
      <w:r w:rsidRPr="004637CC">
        <w:rPr>
          <w:rFonts w:eastAsia="Times New Roman" w:cs="Times New Roman"/>
          <w:b/>
          <w:bCs/>
          <w:rtl/>
          <w:lang w:eastAsia="de-DE"/>
        </w:rPr>
        <w:t>חדש השביעי</w:t>
      </w:r>
      <w:r w:rsidRPr="004637CC">
        <w:rPr>
          <w:rFonts w:eastAsia="Times New Roman" w:cs="Times New Roman"/>
          <w:rtl/>
          <w:lang w:eastAsia="de-DE"/>
        </w:rPr>
        <w:t xml:space="preserve"> </w:t>
      </w:r>
      <w:r w:rsidRPr="004637CC">
        <w:rPr>
          <w:rFonts w:eastAsia="Times New Roman" w:cs="Times New Roman"/>
          <w:lang w:eastAsia="de-DE"/>
        </w:rPr>
        <w:t xml:space="preserve">(siebter Monat) entspricht Tischri. </w:t>
      </w:r>
      <w:r w:rsidRPr="004637CC">
        <w:rPr>
          <w:rFonts w:eastAsia="Times New Roman" w:cs="Times New Roman"/>
          <w:b/>
          <w:bCs/>
          <w:rtl/>
          <w:lang w:eastAsia="de-DE"/>
        </w:rPr>
        <w:t>באחד לחדש</w:t>
      </w:r>
      <w:r w:rsidRPr="004637CC">
        <w:rPr>
          <w:rFonts w:eastAsia="Times New Roman" w:cs="Times New Roman"/>
          <w:rtl/>
          <w:lang w:eastAsia="de-DE"/>
        </w:rPr>
        <w:t xml:space="preserve"> </w:t>
      </w:r>
      <w:r w:rsidRPr="004637CC">
        <w:rPr>
          <w:rFonts w:eastAsia="Times New Roman" w:cs="Times New Roman"/>
          <w:lang w:eastAsia="de-DE"/>
        </w:rPr>
        <w:t>(am Ersten des Monats) zeigt Monatsanfang/Neumond.</w:t>
      </w:r>
    </w:p>
    <w:p w14:paraId="0DC0271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יהיה לכם שבתון</w:t>
      </w:r>
      <w:r w:rsidRPr="004637CC">
        <w:rPr>
          <w:rFonts w:eastAsia="Times New Roman" w:cs="Times New Roman"/>
          <w:rtl/>
          <w:lang w:eastAsia="de-DE"/>
        </w:rPr>
        <w:t xml:space="preserve"> </w:t>
      </w:r>
      <w:r w:rsidRPr="004637CC">
        <w:rPr>
          <w:rFonts w:eastAsia="Times New Roman" w:cs="Times New Roman"/>
          <w:lang w:eastAsia="de-DE"/>
        </w:rPr>
        <w:t xml:space="preserve">(soll euch Ruhetag sein) -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 xml:space="preserve">entspricht V. 3 und zeigt Arbeitsruhe. </w:t>
      </w:r>
      <w:r w:rsidRPr="004637CC">
        <w:rPr>
          <w:rFonts w:eastAsia="Times New Roman" w:cs="Times New Roman"/>
          <w:b/>
          <w:bCs/>
          <w:rtl/>
          <w:lang w:eastAsia="de-DE"/>
        </w:rPr>
        <w:t>זכרון תרועה</w:t>
      </w:r>
      <w:r w:rsidRPr="004637CC">
        <w:rPr>
          <w:rFonts w:eastAsia="Times New Roman" w:cs="Times New Roman"/>
          <w:rtl/>
          <w:lang w:eastAsia="de-DE"/>
        </w:rPr>
        <w:t xml:space="preserve"> </w:t>
      </w:r>
      <w:r w:rsidRPr="004637CC">
        <w:rPr>
          <w:rFonts w:eastAsia="Times New Roman" w:cs="Times New Roman"/>
          <w:lang w:eastAsia="de-DE"/>
        </w:rPr>
        <w:t xml:space="preserve">(ein Gedenken des Lärmblasens) - </w:t>
      </w:r>
      <w:r w:rsidRPr="004637CC">
        <w:rPr>
          <w:rFonts w:eastAsia="Times New Roman" w:cs="Times New Roman"/>
          <w:b/>
          <w:bCs/>
          <w:rtl/>
          <w:lang w:eastAsia="de-DE"/>
        </w:rPr>
        <w:t>זכרון</w:t>
      </w:r>
      <w:r w:rsidRPr="004637CC">
        <w:rPr>
          <w:rFonts w:eastAsia="Times New Roman" w:cs="Times New Roman"/>
          <w:rtl/>
          <w:lang w:eastAsia="de-DE"/>
        </w:rPr>
        <w:t xml:space="preserve"> </w:t>
      </w:r>
      <w:r w:rsidRPr="004637CC">
        <w:rPr>
          <w:rFonts w:eastAsia="Times New Roman" w:cs="Times New Roman"/>
          <w:lang w:eastAsia="de-DE"/>
        </w:rPr>
        <w:t xml:space="preserve">(Gedenken) zeigt Erinnerungscharakter. </w:t>
      </w:r>
      <w:r w:rsidRPr="004637CC">
        <w:rPr>
          <w:rFonts w:eastAsia="Times New Roman" w:cs="Times New Roman"/>
          <w:b/>
          <w:bCs/>
          <w:rtl/>
          <w:lang w:eastAsia="de-DE"/>
        </w:rPr>
        <w:t>תרועה</w:t>
      </w:r>
      <w:r w:rsidRPr="004637CC">
        <w:rPr>
          <w:rFonts w:eastAsia="Times New Roman" w:cs="Times New Roman"/>
          <w:rtl/>
          <w:lang w:eastAsia="de-DE"/>
        </w:rPr>
        <w:t xml:space="preserve"> </w:t>
      </w:r>
      <w:r w:rsidRPr="004637CC">
        <w:rPr>
          <w:rFonts w:eastAsia="Times New Roman" w:cs="Times New Roman"/>
          <w:lang w:eastAsia="de-DE"/>
        </w:rPr>
        <w:t xml:space="preserve">(Lärmblasen) von </w:t>
      </w:r>
      <w:r w:rsidRPr="004637CC">
        <w:rPr>
          <w:rFonts w:eastAsia="Times New Roman" w:cs="Times New Roman"/>
          <w:b/>
          <w:bCs/>
          <w:rtl/>
          <w:lang w:eastAsia="de-DE"/>
        </w:rPr>
        <w:t>רוע</w:t>
      </w:r>
      <w:r w:rsidRPr="004637CC">
        <w:rPr>
          <w:rFonts w:eastAsia="Times New Roman" w:cs="Times New Roman"/>
          <w:rtl/>
          <w:lang w:eastAsia="de-DE"/>
        </w:rPr>
        <w:t xml:space="preserve"> </w:t>
      </w:r>
      <w:r w:rsidRPr="004637CC">
        <w:rPr>
          <w:rFonts w:eastAsia="Times New Roman" w:cs="Times New Roman"/>
          <w:lang w:eastAsia="de-DE"/>
        </w:rPr>
        <w:t>(Lärm machen) zeigt Posaunen-/Hörnerblasen.</w:t>
      </w:r>
    </w:p>
    <w:p w14:paraId="1FA87DF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(eine heilige Versammlung) entspricht der </w:t>
      </w:r>
      <w:r w:rsidRPr="004637CC">
        <w:rPr>
          <w:rFonts w:eastAsia="Times New Roman" w:cs="Times New Roman"/>
          <w:b/>
          <w:bCs/>
          <w:rtl/>
          <w:lang w:eastAsia="de-DE"/>
        </w:rPr>
        <w:t>מועדים</w:t>
      </w:r>
      <w:r w:rsidRPr="004637CC">
        <w:rPr>
          <w:rFonts w:eastAsia="Times New Roman" w:cs="Times New Roman"/>
          <w:lang w:eastAsia="de-DE"/>
        </w:rPr>
        <w:t>-Terminologie.</w:t>
      </w:r>
    </w:p>
    <w:p w14:paraId="1DF43F3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חדש השביעי</w:t>
      </w:r>
      <w:r w:rsidRPr="004637CC">
        <w:rPr>
          <w:rFonts w:eastAsia="Times New Roman" w:cs="Times New Roman"/>
          <w:rtl/>
          <w:lang w:eastAsia="de-DE"/>
        </w:rPr>
        <w:t xml:space="preserve"> </w:t>
      </w:r>
      <w:r w:rsidRPr="004637CC">
        <w:rPr>
          <w:rFonts w:eastAsia="Times New Roman" w:cs="Times New Roman"/>
          <w:lang w:eastAsia="de-DE"/>
        </w:rPr>
        <w:t xml:space="preserve">als Höhepunkt des Festjahres. </w:t>
      </w:r>
      <w:r w:rsidRPr="004637CC">
        <w:rPr>
          <w:rFonts w:eastAsia="Times New Roman" w:cs="Times New Roman"/>
          <w:b/>
          <w:bCs/>
          <w:rtl/>
          <w:lang w:eastAsia="de-DE"/>
        </w:rPr>
        <w:t>באחד לחדש</w:t>
      </w:r>
      <w:r w:rsidRPr="004637CC">
        <w:rPr>
          <w:rFonts w:eastAsia="Times New Roman" w:cs="Times New Roman"/>
          <w:rtl/>
          <w:lang w:eastAsia="de-DE"/>
        </w:rPr>
        <w:t xml:space="preserve"> </w:t>
      </w:r>
      <w:r w:rsidRPr="004637CC">
        <w:rPr>
          <w:rFonts w:eastAsia="Times New Roman" w:cs="Times New Roman"/>
          <w:lang w:eastAsia="de-DE"/>
        </w:rPr>
        <w:t xml:space="preserve">als Neumond-Fest. </w:t>
      </w:r>
      <w:r w:rsidRPr="004637CC">
        <w:rPr>
          <w:rFonts w:eastAsia="Times New Roman" w:cs="Times New Roman"/>
          <w:b/>
          <w:bCs/>
          <w:rtl/>
          <w:lang w:eastAsia="de-DE"/>
        </w:rPr>
        <w:t>זכרון תרועה</w:t>
      </w:r>
      <w:r w:rsidRPr="004637CC">
        <w:rPr>
          <w:rFonts w:eastAsia="Times New Roman" w:cs="Times New Roman"/>
          <w:rtl/>
          <w:lang w:eastAsia="de-DE"/>
        </w:rPr>
        <w:t xml:space="preserve"> </w:t>
      </w:r>
      <w:r w:rsidRPr="004637CC">
        <w:rPr>
          <w:rFonts w:eastAsia="Times New Roman" w:cs="Times New Roman"/>
          <w:lang w:eastAsia="de-DE"/>
        </w:rPr>
        <w:t>zeigt den charakteristischen Posaunenschall.</w:t>
      </w:r>
    </w:p>
    <w:p w14:paraId="3E29474B" w14:textId="5FBF7DDD"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זכרון תרועה</w:t>
      </w:r>
      <w:r w:rsidR="00775F21">
        <w:t xml:space="preserve"> (</w:t>
      </w:r>
      <w:proofErr w:type="spellStart"/>
      <w:r w:rsidR="00775F21">
        <w:t>zichron</w:t>
      </w:r>
      <w:proofErr w:type="spellEnd"/>
      <w:r w:rsidR="00775F21">
        <w:t xml:space="preserve"> </w:t>
      </w:r>
      <w:proofErr w:type="spellStart"/>
      <w:r w:rsidR="00775F21">
        <w:t>teru'a</w:t>
      </w:r>
      <w:proofErr w:type="spellEnd"/>
      <w:r w:rsidR="00775F21">
        <w:t xml:space="preserve"> - "Erinnerung des Posaunenschalls") als </w:t>
      </w:r>
      <w:proofErr w:type="spellStart"/>
      <w:r w:rsidR="00775F21">
        <w:t>μνημόσυνον</w:t>
      </w:r>
      <w:proofErr w:type="spellEnd"/>
      <w:r w:rsidR="00775F21">
        <w:t xml:space="preserve"> σαλπ</w:t>
      </w:r>
      <w:proofErr w:type="spellStart"/>
      <w:r w:rsidR="00775F21">
        <w:t>ίγγων</w:t>
      </w:r>
      <w:proofErr w:type="spellEnd"/>
      <w:r w:rsidR="00775F21">
        <w:t xml:space="preserve"> (Gedächtnis der Trompeten).</w:t>
      </w:r>
    </w:p>
    <w:p w14:paraId="50A0D1D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Posaunentag-Etablierung: Volks-Adressierung + siebter Monat + erster Tag + </w:t>
      </w:r>
      <w:r w:rsidRPr="004637CC">
        <w:rPr>
          <w:rFonts w:eastAsia="Times New Roman" w:cs="Times New Roman"/>
          <w:b/>
          <w:bCs/>
          <w:rtl/>
          <w:lang w:eastAsia="de-DE"/>
        </w:rPr>
        <w:t>שבתון</w:t>
      </w:r>
      <w:r w:rsidRPr="004637CC">
        <w:rPr>
          <w:rFonts w:eastAsia="Times New Roman" w:cs="Times New Roman"/>
          <w:lang w:eastAsia="de-DE"/>
        </w:rPr>
        <w:t>-Ruhe + Posaunen-Gedenken + heilige Versammlung.</w:t>
      </w:r>
    </w:p>
    <w:p w14:paraId="449E73B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den Posaunentag (Rosch </w:t>
      </w:r>
      <w:proofErr w:type="spellStart"/>
      <w:r w:rsidRPr="004637CC">
        <w:rPr>
          <w:rFonts w:eastAsia="Times New Roman" w:cs="Times New Roman"/>
          <w:lang w:eastAsia="de-DE"/>
        </w:rPr>
        <w:t>Haschana</w:t>
      </w:r>
      <w:proofErr w:type="spellEnd"/>
      <w:r w:rsidRPr="004637CC">
        <w:rPr>
          <w:rFonts w:eastAsia="Times New Roman" w:cs="Times New Roman"/>
          <w:lang w:eastAsia="de-DE"/>
        </w:rPr>
        <w:t xml:space="preserve">) als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 xml:space="preserve">mit charakteristischem </w:t>
      </w:r>
      <w:r w:rsidRPr="004637CC">
        <w:rPr>
          <w:rFonts w:eastAsia="Times New Roman" w:cs="Times New Roman"/>
          <w:b/>
          <w:bCs/>
          <w:rtl/>
          <w:lang w:eastAsia="de-DE"/>
        </w:rPr>
        <w:t>תרועה</w:t>
      </w:r>
      <w:r w:rsidRPr="004637CC">
        <w:rPr>
          <w:rFonts w:eastAsia="Times New Roman" w:cs="Times New Roman"/>
          <w:lang w:eastAsia="de-DE"/>
        </w:rPr>
        <w:t>-Blasen am Ersten des siebten Monats.</w:t>
      </w:r>
    </w:p>
    <w:p w14:paraId="0DCA8BE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23,25</w:t>
      </w:r>
    </w:p>
    <w:p w14:paraId="2E64DA0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כָּל־מְלֶ֥אכֶת עֲבֹדָ֖ה לֹ֣א תַעֲשׂ֑וּ וְהִקְרַבְתֶּ֥ם אִשֶּׁ֖ה לַיהוָֽה׃</w:t>
      </w:r>
    </w:p>
    <w:p w14:paraId="6E0D2D9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Keinerlei Dienstarbeit sollt ihr tun, und ihr sollt dem Ewigen ein Feueropfer darbringen.</w:t>
      </w:r>
    </w:p>
    <w:p w14:paraId="0A9AB4AE"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49F138B">
          <v:rect id="_x0000_i1706" style="width:0;height:1.5pt" o:hralign="center" o:hrstd="t" o:hr="t" fillcolor="#a0a0a0" stroked="f"/>
        </w:pict>
      </w:r>
    </w:p>
    <w:p w14:paraId="6C121AF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כל־מלאכת עבדה לא תעשו והקרבתם אשה ליהוה</w:t>
      </w:r>
      <w:r w:rsidRPr="004637CC">
        <w:rPr>
          <w:rFonts w:eastAsia="Times New Roman" w:cs="Times New Roman"/>
          <w:rtl/>
          <w:lang w:eastAsia="de-DE"/>
        </w:rPr>
        <w:t xml:space="preserve"> </w:t>
      </w:r>
      <w:r w:rsidRPr="004637CC">
        <w:rPr>
          <w:rFonts w:eastAsia="Times New Roman" w:cs="Times New Roman"/>
          <w:lang w:eastAsia="de-DE"/>
        </w:rPr>
        <w:t xml:space="preserve">zeigt die Arbeitsruhe und Opferpflicht am Posaunentag. </w:t>
      </w: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(keinerlei Dienstarbeit sollt ihr tun) entspricht V. 7-8,21 und zeigt die übliche </w:t>
      </w:r>
      <w:r w:rsidRPr="004637CC">
        <w:rPr>
          <w:rFonts w:eastAsia="Times New Roman" w:cs="Times New Roman"/>
          <w:b/>
          <w:bCs/>
          <w:rtl/>
          <w:lang w:eastAsia="de-DE"/>
        </w:rPr>
        <w:t>מועד</w:t>
      </w:r>
      <w:r w:rsidRPr="004637CC">
        <w:rPr>
          <w:rFonts w:eastAsia="Times New Roman" w:cs="Times New Roman"/>
          <w:lang w:eastAsia="de-DE"/>
        </w:rPr>
        <w:t>-Arbeitsruhe.</w:t>
      </w:r>
    </w:p>
    <w:p w14:paraId="0DA0CEC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והקרבתם אשה ליהוה</w:t>
      </w:r>
      <w:r w:rsidRPr="004637CC">
        <w:rPr>
          <w:rFonts w:eastAsia="Times New Roman" w:cs="Times New Roman"/>
          <w:rtl/>
          <w:lang w:eastAsia="de-DE"/>
        </w:rPr>
        <w:t xml:space="preserve"> </w:t>
      </w:r>
      <w:r w:rsidRPr="004637CC">
        <w:rPr>
          <w:rFonts w:eastAsia="Times New Roman" w:cs="Times New Roman"/>
          <w:lang w:eastAsia="de-DE"/>
        </w:rPr>
        <w:t>(und ihr sollt dem Ewigen ein Feueropfer darbringen) entspricht V. 8 und zeigt liturgische Opferpflicht.</w:t>
      </w:r>
    </w:p>
    <w:p w14:paraId="6D29240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 xml:space="preserve">als mildere Arbeitsruhe im Vergleich zum Versöhnungstag. </w:t>
      </w:r>
      <w:r w:rsidRPr="004637CC">
        <w:rPr>
          <w:rFonts w:eastAsia="Times New Roman" w:cs="Times New Roman"/>
          <w:b/>
          <w:bCs/>
          <w:rtl/>
          <w:lang w:eastAsia="de-DE"/>
        </w:rPr>
        <w:t>אשה ליהוה</w:t>
      </w:r>
      <w:r w:rsidRPr="004637CC">
        <w:rPr>
          <w:rFonts w:eastAsia="Times New Roman" w:cs="Times New Roman"/>
          <w:rtl/>
          <w:lang w:eastAsia="de-DE"/>
        </w:rPr>
        <w:t xml:space="preserve"> </w:t>
      </w:r>
      <w:r w:rsidRPr="004637CC">
        <w:rPr>
          <w:rFonts w:eastAsia="Times New Roman" w:cs="Times New Roman"/>
          <w:lang w:eastAsia="de-DE"/>
        </w:rPr>
        <w:t>als allgemeine Opferbezeichnung ohne spezifische Details.</w:t>
      </w:r>
    </w:p>
    <w:p w14:paraId="5E57C67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ἔργον</w:t>
      </w:r>
      <w:proofErr w:type="spellEnd"/>
      <w:r w:rsidRPr="004637CC">
        <w:rPr>
          <w:rFonts w:eastAsia="Times New Roman" w:cs="Times New Roman"/>
          <w:lang w:eastAsia="de-DE"/>
        </w:rPr>
        <w:t xml:space="preserve"> λα</w:t>
      </w:r>
      <w:proofErr w:type="spellStart"/>
      <w:r w:rsidRPr="004637CC">
        <w:rPr>
          <w:rFonts w:eastAsia="Times New Roman" w:cs="Times New Roman"/>
          <w:lang w:eastAsia="de-DE"/>
        </w:rPr>
        <w:t>τρευτόν</w:t>
      </w:r>
      <w:proofErr w:type="spellEnd"/>
      <w:r w:rsidRPr="004637CC">
        <w:rPr>
          <w:rFonts w:eastAsia="Times New Roman" w:cs="Times New Roman"/>
          <w:lang w:eastAsia="de-DE"/>
        </w:rPr>
        <w:t xml:space="preserve"> (Dienstwerk) und </w:t>
      </w:r>
      <w:r w:rsidRPr="004637CC">
        <w:rPr>
          <w:rFonts w:eastAsia="Times New Roman" w:cs="Times New Roman"/>
          <w:b/>
          <w:bCs/>
          <w:rtl/>
          <w:lang w:eastAsia="de-DE"/>
        </w:rPr>
        <w:t>אשה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κάρ</w:t>
      </w:r>
      <w:proofErr w:type="spellEnd"/>
      <w:r w:rsidRPr="004637CC">
        <w:rPr>
          <w:rFonts w:eastAsia="Times New Roman" w:cs="Times New Roman"/>
          <w:lang w:eastAsia="de-DE"/>
        </w:rPr>
        <w:t>πωμα (Opfergabe).</w:t>
      </w:r>
    </w:p>
    <w:p w14:paraId="68654D0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Posaunentag-Ordnung: Dienstarbeitsverbot + Feueropfer für JHWH.</w:t>
      </w:r>
    </w:p>
    <w:p w14:paraId="1149975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grundlegenden Verpflichtungen des Posaunentages: Arbeitsruhe und Opferdarbringung.</w:t>
      </w:r>
    </w:p>
    <w:p w14:paraId="4F3F66C7"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23,26</w:t>
      </w:r>
    </w:p>
    <w:p w14:paraId="4E56C46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71B94A4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6C647696"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5BD7832">
          <v:rect id="_x0000_i1707" style="width:0;height:1.5pt" o:hralign="center" o:hrstd="t" o:hr="t" fillcolor="#a0a0a0" stroked="f"/>
        </w:pict>
      </w:r>
    </w:p>
    <w:p w14:paraId="65265A3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als neue Offenbarungseinleitung für den Versöhnungstag. Diese leitet die Vorschriften über Jom Kippur ein, das wichtigste Fest des jüdischen Kalenders.</w:t>
      </w:r>
    </w:p>
    <w:p w14:paraId="0B5EF3D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die Versöhnungstag-Vorschriften ein, die den Höhepunkt des Festkalenders darstellen.</w:t>
      </w:r>
    </w:p>
    <w:p w14:paraId="54BCC051"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23,27</w:t>
      </w:r>
    </w:p>
    <w:p w14:paraId="682AB50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אַ֡ךְ בֶּעָשׂ֣וֹר לַחֹדֶשׁ֩ הַשְּׁבִיעִ֨י הַזֶּ֜ה י֧וֹם הַכִּפֻּרִ֣ים ה֗וּא מִֽקְרָא־קֹ֨דֶשׁ֙ יִהְיֶ֣ה לָכֶ֔ם וְעִנִּיתֶ֖ם אֶת־נַפְשֹׁתֵיכֶ֑ם וְהִקְרַבְתֶּ֥ם אִשֶּׁ֖ה לַיהוָֽה׃</w:t>
      </w:r>
    </w:p>
    <w:p w14:paraId="496F799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Doch am Zehnten dieses siebten Monats ist der Versöhnungstag; eine heilige Versammlung soll euch sein, und ihr sollt eure Seelen kasteien, und sollt dem Ewigen ein Feueropfer darbringen.</w:t>
      </w:r>
    </w:p>
    <w:p w14:paraId="5498DB4A"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0B8BF39">
          <v:rect id="_x0000_i1708" style="width:0;height:1.5pt" o:hralign="center" o:hrstd="t" o:hr="t" fillcolor="#a0a0a0" stroked="f"/>
        </w:pict>
      </w:r>
    </w:p>
    <w:p w14:paraId="072197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אך בעשור לחדש השביעי הזה יום הכפרים הוא מקרא־קדש יהיה לכם ועניתם את־נפשתיכם והקרבתם אשה ליהוה</w:t>
      </w:r>
      <w:r w:rsidRPr="004637CC">
        <w:rPr>
          <w:rFonts w:eastAsia="Times New Roman" w:cs="Times New Roman"/>
          <w:rtl/>
          <w:lang w:eastAsia="de-DE"/>
        </w:rPr>
        <w:t xml:space="preserve"> </w:t>
      </w:r>
      <w:r w:rsidRPr="004637CC">
        <w:rPr>
          <w:rFonts w:eastAsia="Times New Roman" w:cs="Times New Roman"/>
          <w:lang w:eastAsia="de-DE"/>
        </w:rPr>
        <w:t xml:space="preserve">etabliert den Versöhnungstag. </w:t>
      </w:r>
      <w:r w:rsidRPr="004637CC">
        <w:rPr>
          <w:rFonts w:eastAsia="Times New Roman" w:cs="Times New Roman"/>
          <w:b/>
          <w:bCs/>
          <w:rtl/>
          <w:lang w:eastAsia="de-DE"/>
        </w:rPr>
        <w:t>אך בעשור לחדש השביעי הזה</w:t>
      </w:r>
      <w:r w:rsidRPr="004637CC">
        <w:rPr>
          <w:rFonts w:eastAsia="Times New Roman" w:cs="Times New Roman"/>
          <w:rtl/>
          <w:lang w:eastAsia="de-DE"/>
        </w:rPr>
        <w:t xml:space="preserve"> </w:t>
      </w:r>
      <w:r w:rsidRPr="004637CC">
        <w:rPr>
          <w:rFonts w:eastAsia="Times New Roman" w:cs="Times New Roman"/>
          <w:lang w:eastAsia="de-DE"/>
        </w:rPr>
        <w:t xml:space="preserve">(doch am Zehnten dieses siebten Monats) - </w:t>
      </w:r>
      <w:r w:rsidRPr="004637CC">
        <w:rPr>
          <w:rFonts w:eastAsia="Times New Roman" w:cs="Times New Roman"/>
          <w:b/>
          <w:bCs/>
          <w:rtl/>
          <w:lang w:eastAsia="de-DE"/>
        </w:rPr>
        <w:t>אך</w:t>
      </w:r>
      <w:r w:rsidRPr="004637CC">
        <w:rPr>
          <w:rFonts w:eastAsia="Times New Roman" w:cs="Times New Roman"/>
          <w:rtl/>
          <w:lang w:eastAsia="de-DE"/>
        </w:rPr>
        <w:t xml:space="preserve"> </w:t>
      </w:r>
      <w:r w:rsidRPr="004637CC">
        <w:rPr>
          <w:rFonts w:eastAsia="Times New Roman" w:cs="Times New Roman"/>
          <w:lang w:eastAsia="de-DE"/>
        </w:rPr>
        <w:t xml:space="preserve">(doch) als Einleitungspartikel. </w:t>
      </w:r>
      <w:r w:rsidRPr="004637CC">
        <w:rPr>
          <w:rFonts w:eastAsia="Times New Roman" w:cs="Times New Roman"/>
          <w:b/>
          <w:bCs/>
          <w:rtl/>
          <w:lang w:eastAsia="de-DE"/>
        </w:rPr>
        <w:t>בעשור</w:t>
      </w:r>
      <w:r w:rsidRPr="004637CC">
        <w:rPr>
          <w:rFonts w:eastAsia="Times New Roman" w:cs="Times New Roman"/>
          <w:rtl/>
          <w:lang w:eastAsia="de-DE"/>
        </w:rPr>
        <w:t xml:space="preserve"> </w:t>
      </w:r>
      <w:r w:rsidRPr="004637CC">
        <w:rPr>
          <w:rFonts w:eastAsia="Times New Roman" w:cs="Times New Roman"/>
          <w:lang w:eastAsia="de-DE"/>
        </w:rPr>
        <w:t xml:space="preserve">(am Zehnten) zeigt das genaue Datum. </w:t>
      </w:r>
      <w:r w:rsidRPr="004637CC">
        <w:rPr>
          <w:rFonts w:eastAsia="Times New Roman" w:cs="Times New Roman"/>
          <w:b/>
          <w:bCs/>
          <w:rtl/>
          <w:lang w:eastAsia="de-DE"/>
        </w:rPr>
        <w:t>לחדש השביעי הזה</w:t>
      </w:r>
      <w:r w:rsidRPr="004637CC">
        <w:rPr>
          <w:rFonts w:eastAsia="Times New Roman" w:cs="Times New Roman"/>
          <w:rtl/>
          <w:lang w:eastAsia="de-DE"/>
        </w:rPr>
        <w:t xml:space="preserve"> </w:t>
      </w:r>
      <w:r w:rsidRPr="004637CC">
        <w:rPr>
          <w:rFonts w:eastAsia="Times New Roman" w:cs="Times New Roman"/>
          <w:lang w:eastAsia="de-DE"/>
        </w:rPr>
        <w:t>(dieses siebten Monats) bezieht sich auf V. 24.</w:t>
      </w:r>
    </w:p>
    <w:p w14:paraId="2EC2A4A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יום הכפרים הוא</w:t>
      </w:r>
      <w:r w:rsidRPr="004637CC">
        <w:rPr>
          <w:rFonts w:eastAsia="Times New Roman" w:cs="Times New Roman"/>
          <w:rtl/>
          <w:lang w:eastAsia="de-DE"/>
        </w:rPr>
        <w:t xml:space="preserve"> </w:t>
      </w:r>
      <w:r w:rsidRPr="004637CC">
        <w:rPr>
          <w:rFonts w:eastAsia="Times New Roman" w:cs="Times New Roman"/>
          <w:lang w:eastAsia="de-DE"/>
        </w:rPr>
        <w:t xml:space="preserve">(ist der Versöhnungstag) - </w:t>
      </w:r>
      <w:r w:rsidRPr="004637CC">
        <w:rPr>
          <w:rFonts w:eastAsia="Times New Roman" w:cs="Times New Roman"/>
          <w:b/>
          <w:bCs/>
          <w:rtl/>
          <w:lang w:eastAsia="de-DE"/>
        </w:rPr>
        <w:t>יום הכפרים</w:t>
      </w:r>
      <w:r w:rsidRPr="004637CC">
        <w:rPr>
          <w:rFonts w:eastAsia="Times New Roman" w:cs="Times New Roman"/>
          <w:rtl/>
          <w:lang w:eastAsia="de-DE"/>
        </w:rPr>
        <w:t xml:space="preserve"> </w:t>
      </w:r>
      <w:r w:rsidRPr="004637CC">
        <w:rPr>
          <w:rFonts w:eastAsia="Times New Roman" w:cs="Times New Roman"/>
          <w:lang w:eastAsia="de-DE"/>
        </w:rPr>
        <w:t xml:space="preserve">(Tag der Sühnungen) von </w:t>
      </w:r>
      <w:r w:rsidRPr="004637CC">
        <w:rPr>
          <w:rFonts w:eastAsia="Times New Roman" w:cs="Times New Roman"/>
          <w:b/>
          <w:bCs/>
          <w:rtl/>
          <w:lang w:eastAsia="de-DE"/>
        </w:rPr>
        <w:t>כפר</w:t>
      </w:r>
      <w:r w:rsidRPr="004637CC">
        <w:rPr>
          <w:rFonts w:eastAsia="Times New Roman" w:cs="Times New Roman"/>
          <w:rtl/>
          <w:lang w:eastAsia="de-DE"/>
        </w:rPr>
        <w:t xml:space="preserve"> </w:t>
      </w:r>
      <w:r w:rsidRPr="004637CC">
        <w:rPr>
          <w:rFonts w:eastAsia="Times New Roman" w:cs="Times New Roman"/>
          <w:lang w:eastAsia="de-DE"/>
        </w:rPr>
        <w:t xml:space="preserve">(sühnen) zeigt den Charakter des Tages. </w:t>
      </w:r>
      <w:r w:rsidRPr="004637CC">
        <w:rPr>
          <w:rFonts w:eastAsia="Times New Roman" w:cs="Times New Roman"/>
          <w:b/>
          <w:bCs/>
          <w:rtl/>
          <w:lang w:eastAsia="de-DE"/>
        </w:rPr>
        <w:t>ועניתם את־נפשתיכם</w:t>
      </w:r>
      <w:r w:rsidRPr="004637CC">
        <w:rPr>
          <w:rFonts w:eastAsia="Times New Roman" w:cs="Times New Roman"/>
          <w:rtl/>
          <w:lang w:eastAsia="de-DE"/>
        </w:rPr>
        <w:t xml:space="preserve"> </w:t>
      </w:r>
      <w:r w:rsidRPr="004637CC">
        <w:rPr>
          <w:rFonts w:eastAsia="Times New Roman" w:cs="Times New Roman"/>
          <w:lang w:eastAsia="de-DE"/>
        </w:rPr>
        <w:t xml:space="preserve">(und ihr sollt eure Seelen kasteien) - </w:t>
      </w:r>
      <w:r w:rsidRPr="004637CC">
        <w:rPr>
          <w:rFonts w:eastAsia="Times New Roman" w:cs="Times New Roman"/>
          <w:b/>
          <w:bCs/>
          <w:rtl/>
          <w:lang w:eastAsia="de-DE"/>
        </w:rPr>
        <w:t>עניתם</w:t>
      </w:r>
      <w:r w:rsidRPr="004637CC">
        <w:rPr>
          <w:rFonts w:eastAsia="Times New Roman" w:cs="Times New Roman"/>
          <w:rtl/>
          <w:lang w:eastAsia="de-DE"/>
        </w:rPr>
        <w:t xml:space="preserve"> </w:t>
      </w:r>
      <w:r w:rsidRPr="004637CC">
        <w:rPr>
          <w:rFonts w:eastAsia="Times New Roman" w:cs="Times New Roman"/>
          <w:lang w:eastAsia="de-DE"/>
        </w:rPr>
        <w:t xml:space="preserve">(sollt ihr kasteien) im Piel-Perfekt, das Piel zeigt intensive Demütigung. </w:t>
      </w:r>
      <w:r w:rsidRPr="004637CC">
        <w:rPr>
          <w:rFonts w:eastAsia="Times New Roman" w:cs="Times New Roman"/>
          <w:b/>
          <w:bCs/>
          <w:rtl/>
          <w:lang w:eastAsia="de-DE"/>
        </w:rPr>
        <w:t>את־נפשתיכם</w:t>
      </w:r>
      <w:r w:rsidRPr="004637CC">
        <w:rPr>
          <w:rFonts w:eastAsia="Times New Roman" w:cs="Times New Roman"/>
          <w:rtl/>
          <w:lang w:eastAsia="de-DE"/>
        </w:rPr>
        <w:t xml:space="preserve"> </w:t>
      </w:r>
      <w:r w:rsidRPr="004637CC">
        <w:rPr>
          <w:rFonts w:eastAsia="Times New Roman" w:cs="Times New Roman"/>
          <w:lang w:eastAsia="de-DE"/>
        </w:rPr>
        <w:t>(eure Seelen) zeigt die ganze Person.</w:t>
      </w:r>
    </w:p>
    <w:p w14:paraId="7C325D3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מקרא־קדש יהיה לכם</w:t>
      </w:r>
      <w:r w:rsidRPr="004637CC">
        <w:rPr>
          <w:rFonts w:eastAsia="Times New Roman" w:cs="Times New Roman"/>
          <w:rtl/>
          <w:lang w:eastAsia="de-DE"/>
        </w:rPr>
        <w:t xml:space="preserve"> </w:t>
      </w:r>
      <w:r w:rsidRPr="004637CC">
        <w:rPr>
          <w:rFonts w:eastAsia="Times New Roman" w:cs="Times New Roman"/>
          <w:lang w:eastAsia="de-DE"/>
        </w:rPr>
        <w:t xml:space="preserve">entspricht der </w:t>
      </w:r>
      <w:r w:rsidRPr="004637CC">
        <w:rPr>
          <w:rFonts w:eastAsia="Times New Roman" w:cs="Times New Roman"/>
          <w:b/>
          <w:bCs/>
          <w:rtl/>
          <w:lang w:eastAsia="de-DE"/>
        </w:rPr>
        <w:t>מועדים</w:t>
      </w:r>
      <w:r w:rsidRPr="004637CC">
        <w:rPr>
          <w:rFonts w:eastAsia="Times New Roman" w:cs="Times New Roman"/>
          <w:lang w:eastAsia="de-DE"/>
        </w:rPr>
        <w:t xml:space="preserve">-Terminologie. </w:t>
      </w:r>
      <w:r w:rsidRPr="004637CC">
        <w:rPr>
          <w:rFonts w:eastAsia="Times New Roman" w:cs="Times New Roman"/>
          <w:b/>
          <w:bCs/>
          <w:rtl/>
          <w:lang w:eastAsia="de-DE"/>
        </w:rPr>
        <w:t>והקרבתם אשה ליהוה</w:t>
      </w:r>
      <w:r w:rsidRPr="004637CC">
        <w:rPr>
          <w:rFonts w:eastAsia="Times New Roman" w:cs="Times New Roman"/>
          <w:rtl/>
          <w:lang w:eastAsia="de-DE"/>
        </w:rPr>
        <w:t xml:space="preserve"> </w:t>
      </w:r>
      <w:r w:rsidRPr="004637CC">
        <w:rPr>
          <w:rFonts w:eastAsia="Times New Roman" w:cs="Times New Roman"/>
          <w:lang w:eastAsia="de-DE"/>
        </w:rPr>
        <w:t>entspricht V. 25.</w:t>
      </w:r>
    </w:p>
    <w:p w14:paraId="333032E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יום הכפרים</w:t>
      </w:r>
      <w:r w:rsidRPr="004637CC">
        <w:rPr>
          <w:rFonts w:eastAsia="Times New Roman" w:cs="Times New Roman"/>
          <w:rtl/>
          <w:lang w:eastAsia="de-DE"/>
        </w:rPr>
        <w:t xml:space="preserve"> </w:t>
      </w:r>
      <w:r w:rsidRPr="004637CC">
        <w:rPr>
          <w:rFonts w:eastAsia="Times New Roman" w:cs="Times New Roman"/>
          <w:lang w:eastAsia="de-DE"/>
        </w:rPr>
        <w:t xml:space="preserve">als offizieller Name zeigt zentrale Sühnefunktion. </w:t>
      </w:r>
      <w:r w:rsidRPr="004637CC">
        <w:rPr>
          <w:rFonts w:eastAsia="Times New Roman" w:cs="Times New Roman"/>
          <w:b/>
          <w:bCs/>
          <w:rtl/>
          <w:lang w:eastAsia="de-DE"/>
        </w:rPr>
        <w:t>ועניתם את־נפשתיכם</w:t>
      </w:r>
      <w:r w:rsidRPr="004637CC">
        <w:rPr>
          <w:rFonts w:eastAsia="Times New Roman" w:cs="Times New Roman"/>
          <w:rtl/>
          <w:lang w:eastAsia="de-DE"/>
        </w:rPr>
        <w:t xml:space="preserve"> </w:t>
      </w:r>
      <w:r w:rsidRPr="004637CC">
        <w:rPr>
          <w:rFonts w:eastAsia="Times New Roman" w:cs="Times New Roman"/>
          <w:lang w:eastAsia="de-DE"/>
        </w:rPr>
        <w:t>zeigt Fasten und Selbstdemütigung als charakteristisch.</w:t>
      </w:r>
    </w:p>
    <w:p w14:paraId="5B1D6284" w14:textId="6DA9374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יום הכפרים</w:t>
      </w:r>
      <w:r w:rsidR="00775F21">
        <w:t xml:space="preserve"> (yom </w:t>
      </w:r>
      <w:proofErr w:type="spellStart"/>
      <w:r w:rsidR="00775F21">
        <w:t>hakippurim</w:t>
      </w:r>
      <w:proofErr w:type="spellEnd"/>
      <w:r w:rsidR="00775F21">
        <w:t xml:space="preserve"> - "Tag der Sühnungen") als </w:t>
      </w:r>
      <w:proofErr w:type="spellStart"/>
      <w:r w:rsidR="00775F21">
        <w:t>ἡμέρ</w:t>
      </w:r>
      <w:proofErr w:type="spellEnd"/>
      <w:r w:rsidR="00775F21">
        <w:t xml:space="preserve">α </w:t>
      </w:r>
      <w:proofErr w:type="spellStart"/>
      <w:r w:rsidR="00775F21">
        <w:t>ἐξιλ</w:t>
      </w:r>
      <w:proofErr w:type="spellEnd"/>
      <w:r w:rsidR="00775F21">
        <w:t>ασμοῦ (Tag der Versöhnung).</w:t>
      </w:r>
    </w:p>
    <w:p w14:paraId="11594E4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Versöhnungstag-Etablierung: zehnter Tag des siebten Monats + Versöhnungstag-Bezeichnung + heilige Versammlung + Seelen-Kasteiung + Feueropfer.</w:t>
      </w:r>
    </w:p>
    <w:p w14:paraId="2A1DAC7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Jom Kippur am 10. Tischri als </w:t>
      </w:r>
      <w:r w:rsidRPr="004637CC">
        <w:rPr>
          <w:rFonts w:eastAsia="Times New Roman" w:cs="Times New Roman"/>
          <w:b/>
          <w:bCs/>
          <w:rtl/>
          <w:lang w:eastAsia="de-DE"/>
        </w:rPr>
        <w:t>יום הכפרים</w:t>
      </w:r>
      <w:r w:rsidRPr="004637CC">
        <w:rPr>
          <w:rFonts w:eastAsia="Times New Roman" w:cs="Times New Roman"/>
          <w:rtl/>
          <w:lang w:eastAsia="de-DE"/>
        </w:rPr>
        <w:t xml:space="preserve"> </w:t>
      </w:r>
      <w:r w:rsidRPr="004637CC">
        <w:rPr>
          <w:rFonts w:eastAsia="Times New Roman" w:cs="Times New Roman"/>
          <w:lang w:eastAsia="de-DE"/>
        </w:rPr>
        <w:t xml:space="preserve">mit charakteristischer </w:t>
      </w:r>
      <w:r w:rsidRPr="004637CC">
        <w:rPr>
          <w:rFonts w:eastAsia="Times New Roman" w:cs="Times New Roman"/>
          <w:b/>
          <w:bCs/>
          <w:rtl/>
          <w:lang w:eastAsia="de-DE"/>
        </w:rPr>
        <w:t>עינוי נפש</w:t>
      </w:r>
      <w:r w:rsidRPr="004637CC">
        <w:rPr>
          <w:rFonts w:eastAsia="Times New Roman" w:cs="Times New Roman"/>
          <w:rtl/>
          <w:lang w:eastAsia="de-DE"/>
        </w:rPr>
        <w:t xml:space="preserve"> </w:t>
      </w:r>
      <w:r w:rsidRPr="004637CC">
        <w:rPr>
          <w:rFonts w:eastAsia="Times New Roman" w:cs="Times New Roman"/>
          <w:lang w:eastAsia="de-DE"/>
        </w:rPr>
        <w:t>(Seelenbeugung).</w:t>
      </w:r>
    </w:p>
    <w:p w14:paraId="4F6E8941"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23,28</w:t>
      </w:r>
    </w:p>
    <w:p w14:paraId="5E9460A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Hebräisch:</w:t>
      </w:r>
      <w:r w:rsidRPr="004637CC">
        <w:rPr>
          <w:rFonts w:eastAsia="Times New Roman" w:cs="Times New Roman"/>
          <w:lang w:eastAsia="de-DE"/>
        </w:rPr>
        <w:t xml:space="preserve"> </w:t>
      </w:r>
      <w:r w:rsidRPr="004637CC">
        <w:rPr>
          <w:rFonts w:eastAsia="Times New Roman" w:cs="Times New Roman"/>
          <w:rtl/>
          <w:lang w:eastAsia="de-DE"/>
        </w:rPr>
        <w:t>וְכָל־מְלָאכָה֙ לֹ֣א תַעֲשׂ֔וּ בְּעֶ֖צֶם הַיּ֣וֹם הַזֶּ֑ה כִּ֣י י֤וֹם כִּפֻּרִים֙ ה֔וּא לְכַפֵּ֣ר עֲלֵיכֶ֔ם לִפְנֵ֖י יְהוָ֥ה אֱלֹהֵיכֶֽם׃</w:t>
      </w:r>
    </w:p>
    <w:p w14:paraId="7D4C989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keinerlei Arbeit sollt ihr tun an diesem Tag; denn es ist der Versöhnungstag, um für euch Sühne zu erwirken vor dem Ewigen, eurem Gott.</w:t>
      </w:r>
    </w:p>
    <w:p w14:paraId="7E85F1D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A8CDC3A">
          <v:rect id="_x0000_i1709" style="width:0;height:1.5pt" o:hralign="center" o:hrstd="t" o:hr="t" fillcolor="#a0a0a0" stroked="f"/>
        </w:pict>
      </w:r>
    </w:p>
    <w:p w14:paraId="739B354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וכל־מלאכה לא תעשו בעצם היום הזה כי יום כפרים הוא לכפר עליכם לפני יהוה אלהיכם</w:t>
      </w:r>
      <w:r w:rsidRPr="004637CC">
        <w:rPr>
          <w:rFonts w:eastAsia="Times New Roman" w:cs="Times New Roman"/>
          <w:rtl/>
          <w:lang w:eastAsia="de-DE"/>
        </w:rPr>
        <w:t xml:space="preserve"> </w:t>
      </w:r>
      <w:r w:rsidRPr="004637CC">
        <w:rPr>
          <w:rFonts w:eastAsia="Times New Roman" w:cs="Times New Roman"/>
          <w:lang w:eastAsia="de-DE"/>
        </w:rPr>
        <w:t xml:space="preserve">zeigt die absolute Arbeitsruhe des Versöhnungstages. </w:t>
      </w:r>
      <w:r w:rsidRPr="004637CC">
        <w:rPr>
          <w:rFonts w:eastAsia="Times New Roman" w:cs="Times New Roman"/>
          <w:b/>
          <w:bCs/>
          <w:rtl/>
          <w:lang w:eastAsia="de-DE"/>
        </w:rPr>
        <w:t>וכל־מלאכה לא תעשו</w:t>
      </w:r>
      <w:r w:rsidRPr="004637CC">
        <w:rPr>
          <w:rFonts w:eastAsia="Times New Roman" w:cs="Times New Roman"/>
          <w:rtl/>
          <w:lang w:eastAsia="de-DE"/>
        </w:rPr>
        <w:t xml:space="preserve"> </w:t>
      </w:r>
      <w:r w:rsidRPr="004637CC">
        <w:rPr>
          <w:rFonts w:eastAsia="Times New Roman" w:cs="Times New Roman"/>
          <w:lang w:eastAsia="de-DE"/>
        </w:rPr>
        <w:t xml:space="preserve">(und keinerlei Arbeit sollt ihr tun) -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(jede Arbeit) zeigt absolutes Arbeitsverbot wie beim Sabbat, nicht nur </w:t>
      </w:r>
      <w:r w:rsidRPr="004637CC">
        <w:rPr>
          <w:rFonts w:eastAsia="Times New Roman" w:cs="Times New Roman"/>
          <w:b/>
          <w:bCs/>
          <w:rtl/>
          <w:lang w:eastAsia="de-DE"/>
        </w:rPr>
        <w:t>מלאכת עבדה</w:t>
      </w:r>
      <w:r w:rsidRPr="004637CC">
        <w:rPr>
          <w:rFonts w:eastAsia="Times New Roman" w:cs="Times New Roman"/>
          <w:lang w:eastAsia="de-DE"/>
        </w:rPr>
        <w:t>.</w:t>
      </w:r>
    </w:p>
    <w:p w14:paraId="24587203" w14:textId="71C79FA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(an diesem Tag) betont die Wichtigkeit dieses spezifischen Tages. </w:t>
      </w:r>
      <w:r w:rsidRPr="004637CC">
        <w:rPr>
          <w:rFonts w:eastAsia="Times New Roman" w:cs="Times New Roman"/>
          <w:b/>
          <w:bCs/>
          <w:rtl/>
          <w:lang w:eastAsia="de-DE"/>
        </w:rPr>
        <w:t>כי יום כפרים הוא לכפר עליכם לפני יהוה אלהיכם</w:t>
      </w:r>
      <w:r w:rsidRPr="004637CC">
        <w:rPr>
          <w:rFonts w:eastAsia="Times New Roman" w:cs="Times New Roman"/>
          <w:rtl/>
          <w:lang w:eastAsia="de-DE"/>
        </w:rPr>
        <w:t xml:space="preserve"> </w:t>
      </w:r>
      <w:r w:rsidRPr="004637CC">
        <w:rPr>
          <w:rFonts w:eastAsia="Times New Roman" w:cs="Times New Roman"/>
          <w:lang w:eastAsia="de-DE"/>
        </w:rPr>
        <w:t xml:space="preserve">(denn es ist der Versöhnungstag, um für euch Sühne zu erwirken vor dem Ewigen, eurem Gott) - </w:t>
      </w:r>
      <w:r w:rsidRPr="004637CC">
        <w:rPr>
          <w:rFonts w:eastAsia="Times New Roman" w:cs="Times New Roman"/>
          <w:b/>
          <w:bCs/>
          <w:rtl/>
          <w:lang w:eastAsia="de-DE"/>
        </w:rPr>
        <w:t>לכפר עליכם</w:t>
      </w:r>
      <w:r w:rsidRPr="004637CC">
        <w:rPr>
          <w:rFonts w:eastAsia="Times New Roman" w:cs="Times New Roman"/>
          <w:rtl/>
          <w:lang w:eastAsia="de-DE"/>
        </w:rPr>
        <w:t xml:space="preserve"> </w:t>
      </w:r>
      <w:r w:rsidRPr="004637CC">
        <w:rPr>
          <w:rFonts w:eastAsia="Times New Roman" w:cs="Times New Roman"/>
          <w:lang w:eastAsia="de-DE"/>
        </w:rPr>
        <w:t>(um für euch Sühne zu erwirken) im Piel-Infinitiv-</w:t>
      </w:r>
      <w:r w:rsidR="00DE39DD">
        <w:rPr>
          <w:rFonts w:eastAsia="Times New Roman" w:cs="Times New Roman"/>
          <w:lang w:eastAsia="de-DE"/>
        </w:rPr>
        <w:t>Constructus</w:t>
      </w:r>
      <w:r w:rsidRPr="004637CC">
        <w:rPr>
          <w:rFonts w:eastAsia="Times New Roman" w:cs="Times New Roman"/>
          <w:lang w:eastAsia="de-DE"/>
        </w:rPr>
        <w:t xml:space="preserve"> zeigt den Zweck des Tages. </w:t>
      </w:r>
      <w:r w:rsidRPr="004637CC">
        <w:rPr>
          <w:rFonts w:eastAsia="Times New Roman" w:cs="Times New Roman"/>
          <w:b/>
          <w:bCs/>
          <w:rtl/>
          <w:lang w:eastAsia="de-DE"/>
        </w:rPr>
        <w:t>לפני יהוה אלהיכם</w:t>
      </w:r>
      <w:r w:rsidRPr="004637CC">
        <w:rPr>
          <w:rFonts w:eastAsia="Times New Roman" w:cs="Times New Roman"/>
          <w:rtl/>
          <w:lang w:eastAsia="de-DE"/>
        </w:rPr>
        <w:t xml:space="preserve"> </w:t>
      </w:r>
      <w:r w:rsidRPr="004637CC">
        <w:rPr>
          <w:rFonts w:eastAsia="Times New Roman" w:cs="Times New Roman"/>
          <w:lang w:eastAsia="de-DE"/>
        </w:rPr>
        <w:t>zeigt göttliche Gegenwart.</w:t>
      </w:r>
    </w:p>
    <w:p w14:paraId="701AA8F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vs.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 xml:space="preserve">zeigt verschärfte Arbeitsruhe wie beim Sabbat. </w:t>
      </w:r>
      <w:r w:rsidRPr="004637CC">
        <w:rPr>
          <w:rFonts w:eastAsia="Times New Roman" w:cs="Times New Roman"/>
          <w:b/>
          <w:bCs/>
          <w:rtl/>
          <w:lang w:eastAsia="de-DE"/>
        </w:rPr>
        <w:t>יום כפרים</w:t>
      </w:r>
      <w:r w:rsidRPr="004637CC">
        <w:rPr>
          <w:rFonts w:eastAsia="Times New Roman" w:cs="Times New Roman"/>
          <w:rtl/>
          <w:lang w:eastAsia="de-DE"/>
        </w:rPr>
        <w:t xml:space="preserve"> </w:t>
      </w:r>
      <w:r w:rsidRPr="004637CC">
        <w:rPr>
          <w:rFonts w:eastAsia="Times New Roman" w:cs="Times New Roman"/>
          <w:lang w:eastAsia="de-DE"/>
        </w:rPr>
        <w:t xml:space="preserve">wiederholt die Bezeichnung. </w:t>
      </w:r>
      <w:r w:rsidRPr="004637CC">
        <w:rPr>
          <w:rFonts w:eastAsia="Times New Roman" w:cs="Times New Roman"/>
          <w:b/>
          <w:bCs/>
          <w:rtl/>
          <w:lang w:eastAsia="de-DE"/>
        </w:rPr>
        <w:t>לכפר עליכם</w:t>
      </w:r>
      <w:r w:rsidRPr="004637CC">
        <w:rPr>
          <w:rFonts w:eastAsia="Times New Roman" w:cs="Times New Roman"/>
          <w:rtl/>
          <w:lang w:eastAsia="de-DE"/>
        </w:rPr>
        <w:t xml:space="preserve"> </w:t>
      </w:r>
      <w:r w:rsidRPr="004637CC">
        <w:rPr>
          <w:rFonts w:eastAsia="Times New Roman" w:cs="Times New Roman"/>
          <w:lang w:eastAsia="de-DE"/>
        </w:rPr>
        <w:t>zeigt stellvertretende Sühne für das Volk.</w:t>
      </w:r>
    </w:p>
    <w:p w14:paraId="49D1F23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ᾶν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ἔργον</w:t>
      </w:r>
      <w:proofErr w:type="spellEnd"/>
      <w:r w:rsidRPr="004637CC">
        <w:rPr>
          <w:rFonts w:eastAsia="Times New Roman" w:cs="Times New Roman"/>
          <w:lang w:eastAsia="de-DE"/>
        </w:rPr>
        <w:t xml:space="preserve"> (jedes Werk), </w:t>
      </w: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mit α</w:t>
      </w:r>
      <w:proofErr w:type="spellStart"/>
      <w:r w:rsidRPr="004637CC">
        <w:rPr>
          <w:rFonts w:eastAsia="Times New Roman" w:cs="Times New Roman"/>
          <w:lang w:eastAsia="de-DE"/>
        </w:rPr>
        <w:t>ὐτῇ</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τῇ</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ἡμέρᾳ</w:t>
      </w:r>
      <w:proofErr w:type="spellEnd"/>
      <w:r w:rsidRPr="004637CC">
        <w:rPr>
          <w:rFonts w:eastAsia="Times New Roman" w:cs="Times New Roman"/>
          <w:lang w:eastAsia="de-DE"/>
        </w:rPr>
        <w:t xml:space="preserve"> τα</w:t>
      </w:r>
      <w:proofErr w:type="spellStart"/>
      <w:r w:rsidRPr="004637CC">
        <w:rPr>
          <w:rFonts w:eastAsia="Times New Roman" w:cs="Times New Roman"/>
          <w:lang w:eastAsia="de-DE"/>
        </w:rPr>
        <w:t>ύτῃ</w:t>
      </w:r>
      <w:proofErr w:type="spellEnd"/>
      <w:r w:rsidRPr="004637CC">
        <w:rPr>
          <w:rFonts w:eastAsia="Times New Roman" w:cs="Times New Roman"/>
          <w:lang w:eastAsia="de-DE"/>
        </w:rPr>
        <w:t xml:space="preserve"> (an eben diesem Tag), </w:t>
      </w:r>
      <w:r w:rsidRPr="004637CC">
        <w:rPr>
          <w:rFonts w:eastAsia="Times New Roman" w:cs="Times New Roman"/>
          <w:b/>
          <w:bCs/>
          <w:rtl/>
          <w:lang w:eastAsia="de-DE"/>
        </w:rPr>
        <w:t>לכפר עליכם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ἐξιλάσ</w:t>
      </w:r>
      <w:proofErr w:type="spellEnd"/>
      <w:r w:rsidRPr="004637CC">
        <w:rPr>
          <w:rFonts w:eastAsia="Times New Roman" w:cs="Times New Roman"/>
          <w:lang w:eastAsia="de-DE"/>
        </w:rPr>
        <w:t>ασθαι π</w:t>
      </w:r>
      <w:proofErr w:type="spellStart"/>
      <w:r w:rsidRPr="004637CC">
        <w:rPr>
          <w:rFonts w:eastAsia="Times New Roman" w:cs="Times New Roman"/>
          <w:lang w:eastAsia="de-DE"/>
        </w:rPr>
        <w:t>ερὶ</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(Sühne zu erwirken für euch).</w:t>
      </w:r>
    </w:p>
    <w:p w14:paraId="1644F41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Versöhnungstag-Arbeitsverbot: absolutes Arbeitsverbot + Tagesdatum-Betonung + Versöhnungstag-Begründung + Sühnezweck vor JHWH.</w:t>
      </w:r>
    </w:p>
    <w:p w14:paraId="6E54788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zeigt die sabbatähnliche absolute Arbeitsruhe des Versöhnungstages und begründet sie durch seinen Sühnecharakter.</w:t>
      </w:r>
    </w:p>
    <w:p w14:paraId="57C166AB"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23,29</w:t>
      </w:r>
    </w:p>
    <w:p w14:paraId="318C88D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כִּ֤י כָל־הַנֶּ֨פֶשׁ֙ אֲשֶׁ֣ר לֹֽא־תְעֻנֶּ֔ה בְּעֶ֖צֶם הַיּ֣וֹם הַזֶּ֑ה וְנִכְרְתָ֖ה מֵֽעַמֶּֽיהָ׃</w:t>
      </w:r>
    </w:p>
    <w:p w14:paraId="776B387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Denn jede Seele, die sich nicht kasteit an diesem Tag, die soll ausgerottet werden aus ihren Volksgenossen.</w:t>
      </w:r>
    </w:p>
    <w:p w14:paraId="6762E1B5"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8E2987D">
          <v:rect id="_x0000_i1710" style="width:0;height:1.5pt" o:hralign="center" o:hrstd="t" o:hr="t" fillcolor="#a0a0a0" stroked="f"/>
        </w:pict>
      </w:r>
    </w:p>
    <w:p w14:paraId="5779D5E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כי כל־הנפש אשר לא־תענה בעצם היום הזה ונכרתה מעמיה</w:t>
      </w:r>
      <w:r w:rsidRPr="004637CC">
        <w:rPr>
          <w:rFonts w:eastAsia="Times New Roman" w:cs="Times New Roman"/>
          <w:rtl/>
          <w:lang w:eastAsia="de-DE"/>
        </w:rPr>
        <w:t xml:space="preserve"> </w:t>
      </w:r>
      <w:r w:rsidRPr="004637CC">
        <w:rPr>
          <w:rFonts w:eastAsia="Times New Roman" w:cs="Times New Roman"/>
          <w:lang w:eastAsia="de-DE"/>
        </w:rPr>
        <w:t xml:space="preserve">zeigt die </w:t>
      </w:r>
      <w:r w:rsidRPr="004637CC">
        <w:rPr>
          <w:rFonts w:eastAsia="Times New Roman" w:cs="Times New Roman"/>
          <w:b/>
          <w:bCs/>
          <w:rtl/>
          <w:lang w:eastAsia="de-DE"/>
        </w:rPr>
        <w:t>כרת</w:t>
      </w:r>
      <w:r w:rsidRPr="004637CC">
        <w:rPr>
          <w:rFonts w:eastAsia="Times New Roman" w:cs="Times New Roman"/>
          <w:lang w:eastAsia="de-DE"/>
        </w:rPr>
        <w:t xml:space="preserve">-Strafe für Nichtbefolgung der Kasteiung. </w:t>
      </w:r>
      <w:r w:rsidRPr="004637CC">
        <w:rPr>
          <w:rFonts w:eastAsia="Times New Roman" w:cs="Times New Roman"/>
          <w:b/>
          <w:bCs/>
          <w:rtl/>
          <w:lang w:eastAsia="de-DE"/>
        </w:rPr>
        <w:t>כי כל־הנפש אשר לא־תענה</w:t>
      </w:r>
      <w:r w:rsidRPr="004637CC">
        <w:rPr>
          <w:rFonts w:eastAsia="Times New Roman" w:cs="Times New Roman"/>
          <w:rtl/>
          <w:lang w:eastAsia="de-DE"/>
        </w:rPr>
        <w:t xml:space="preserve"> </w:t>
      </w:r>
      <w:r w:rsidRPr="004637CC">
        <w:rPr>
          <w:rFonts w:eastAsia="Times New Roman" w:cs="Times New Roman"/>
          <w:lang w:eastAsia="de-DE"/>
        </w:rPr>
        <w:t xml:space="preserve">(denn jede Seele, die sich nicht kasteit) - </w:t>
      </w:r>
      <w:r w:rsidRPr="004637CC">
        <w:rPr>
          <w:rFonts w:eastAsia="Times New Roman" w:cs="Times New Roman"/>
          <w:b/>
          <w:bCs/>
          <w:rtl/>
          <w:lang w:eastAsia="de-DE"/>
        </w:rPr>
        <w:t>כל־הנפש</w:t>
      </w:r>
      <w:r w:rsidRPr="004637CC">
        <w:rPr>
          <w:rFonts w:eastAsia="Times New Roman" w:cs="Times New Roman"/>
          <w:rtl/>
          <w:lang w:eastAsia="de-DE"/>
        </w:rPr>
        <w:t xml:space="preserve"> </w:t>
      </w:r>
      <w:r w:rsidRPr="004637CC">
        <w:rPr>
          <w:rFonts w:eastAsia="Times New Roman" w:cs="Times New Roman"/>
          <w:lang w:eastAsia="de-DE"/>
        </w:rPr>
        <w:t xml:space="preserve">(jede Seele) zeigt universelle Anwendung. </w:t>
      </w:r>
      <w:r w:rsidRPr="004637CC">
        <w:rPr>
          <w:rFonts w:eastAsia="Times New Roman" w:cs="Times New Roman"/>
          <w:b/>
          <w:bCs/>
          <w:rtl/>
          <w:lang w:eastAsia="de-DE"/>
        </w:rPr>
        <w:t>אשר לא־תענה</w:t>
      </w:r>
      <w:r w:rsidRPr="004637CC">
        <w:rPr>
          <w:rFonts w:eastAsia="Times New Roman" w:cs="Times New Roman"/>
          <w:rtl/>
          <w:lang w:eastAsia="de-DE"/>
        </w:rPr>
        <w:t xml:space="preserve"> </w:t>
      </w:r>
      <w:r w:rsidRPr="004637CC">
        <w:rPr>
          <w:rFonts w:eastAsia="Times New Roman" w:cs="Times New Roman"/>
          <w:lang w:eastAsia="de-DE"/>
        </w:rPr>
        <w:t xml:space="preserve">(die sich nicht kasteit) - </w:t>
      </w:r>
      <w:r w:rsidRPr="004637CC">
        <w:rPr>
          <w:rFonts w:eastAsia="Times New Roman" w:cs="Times New Roman"/>
          <w:b/>
          <w:bCs/>
          <w:rtl/>
          <w:lang w:eastAsia="de-DE"/>
        </w:rPr>
        <w:t>תענה</w:t>
      </w:r>
      <w:r w:rsidRPr="004637CC">
        <w:rPr>
          <w:rFonts w:eastAsia="Times New Roman" w:cs="Times New Roman"/>
          <w:rtl/>
          <w:lang w:eastAsia="de-DE"/>
        </w:rPr>
        <w:t xml:space="preserve"> </w:t>
      </w:r>
      <w:r w:rsidRPr="004637CC">
        <w:rPr>
          <w:rFonts w:eastAsia="Times New Roman" w:cs="Times New Roman"/>
          <w:lang w:eastAsia="de-DE"/>
        </w:rPr>
        <w:t xml:space="preserve">(sich kasteien) im Nifal-Imperfekt von </w:t>
      </w:r>
      <w:r w:rsidRPr="004637CC">
        <w:rPr>
          <w:rFonts w:eastAsia="Times New Roman" w:cs="Times New Roman"/>
          <w:b/>
          <w:bCs/>
          <w:rtl/>
          <w:lang w:eastAsia="de-DE"/>
        </w:rPr>
        <w:t>ענה</w:t>
      </w:r>
      <w:r w:rsidRPr="004637CC">
        <w:rPr>
          <w:rFonts w:eastAsia="Times New Roman" w:cs="Times New Roman"/>
          <w:lang w:eastAsia="de-DE"/>
        </w:rPr>
        <w:t>, das Nifal zeigt reflexive Selbstdemütigung.</w:t>
      </w:r>
    </w:p>
    <w:p w14:paraId="781040D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(an diesem Tag) entspricht V. 28 und betont die Wichtigkeit des spezifischen Datums. </w:t>
      </w:r>
      <w:r w:rsidRPr="004637CC">
        <w:rPr>
          <w:rFonts w:eastAsia="Times New Roman" w:cs="Times New Roman"/>
          <w:b/>
          <w:bCs/>
          <w:rtl/>
          <w:lang w:eastAsia="de-DE"/>
        </w:rPr>
        <w:t>ונכרתה מעמיה</w:t>
      </w:r>
      <w:r w:rsidRPr="004637CC">
        <w:rPr>
          <w:rFonts w:eastAsia="Times New Roman" w:cs="Times New Roman"/>
          <w:rtl/>
          <w:lang w:eastAsia="de-DE"/>
        </w:rPr>
        <w:t xml:space="preserve"> </w:t>
      </w:r>
      <w:r w:rsidRPr="004637CC">
        <w:rPr>
          <w:rFonts w:eastAsia="Times New Roman" w:cs="Times New Roman"/>
          <w:lang w:eastAsia="de-DE"/>
        </w:rPr>
        <w:t xml:space="preserve">(die soll ausgerottet werden aus ihren Volksgenossen) - </w:t>
      </w:r>
      <w:r w:rsidRPr="004637CC">
        <w:rPr>
          <w:rFonts w:eastAsia="Times New Roman" w:cs="Times New Roman"/>
          <w:b/>
          <w:bCs/>
          <w:rtl/>
          <w:lang w:eastAsia="de-DE"/>
        </w:rPr>
        <w:t>ונכרתה</w:t>
      </w:r>
      <w:r w:rsidRPr="004637CC">
        <w:rPr>
          <w:rFonts w:eastAsia="Times New Roman" w:cs="Times New Roman"/>
          <w:rtl/>
          <w:lang w:eastAsia="de-DE"/>
        </w:rPr>
        <w:t xml:space="preserve"> </w:t>
      </w:r>
      <w:r w:rsidRPr="004637CC">
        <w:rPr>
          <w:rFonts w:eastAsia="Times New Roman" w:cs="Times New Roman"/>
          <w:lang w:eastAsia="de-DE"/>
        </w:rPr>
        <w:t xml:space="preserve">(und sie </w:t>
      </w:r>
      <w:r w:rsidRPr="004637CC">
        <w:rPr>
          <w:rFonts w:eastAsia="Times New Roman" w:cs="Times New Roman"/>
          <w:lang w:eastAsia="de-DE"/>
        </w:rPr>
        <w:lastRenderedPageBreak/>
        <w:t xml:space="preserve">soll ausgerottet werden) im Nifal-Perfekt mit Waw-Konsekutiv zeigt </w:t>
      </w:r>
      <w:r w:rsidRPr="004637CC">
        <w:rPr>
          <w:rFonts w:eastAsia="Times New Roman" w:cs="Times New Roman"/>
          <w:b/>
          <w:bCs/>
          <w:rtl/>
          <w:lang w:eastAsia="de-DE"/>
        </w:rPr>
        <w:t>כרת</w:t>
      </w:r>
      <w:r w:rsidRPr="004637CC">
        <w:rPr>
          <w:rFonts w:eastAsia="Times New Roman" w:cs="Times New Roman"/>
          <w:lang w:eastAsia="de-DE"/>
        </w:rPr>
        <w:t xml:space="preserve">-Strafe. </w:t>
      </w:r>
      <w:r w:rsidRPr="004637CC">
        <w:rPr>
          <w:rFonts w:eastAsia="Times New Roman" w:cs="Times New Roman"/>
          <w:b/>
          <w:bCs/>
          <w:rtl/>
          <w:lang w:eastAsia="de-DE"/>
        </w:rPr>
        <w:t>מעמיה</w:t>
      </w:r>
      <w:r w:rsidRPr="004637CC">
        <w:rPr>
          <w:rFonts w:eastAsia="Times New Roman" w:cs="Times New Roman"/>
          <w:rtl/>
          <w:lang w:eastAsia="de-DE"/>
        </w:rPr>
        <w:t xml:space="preserve"> </w:t>
      </w:r>
      <w:r w:rsidRPr="004637CC">
        <w:rPr>
          <w:rFonts w:eastAsia="Times New Roman" w:cs="Times New Roman"/>
          <w:lang w:eastAsia="de-DE"/>
        </w:rPr>
        <w:t>(aus ihren Volksgenossen) zeigt Ausschluss aus der Gemeinschaft.</w:t>
      </w:r>
    </w:p>
    <w:p w14:paraId="2294088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כל־הנפש</w:t>
      </w:r>
      <w:r w:rsidRPr="004637CC">
        <w:rPr>
          <w:rFonts w:eastAsia="Times New Roman" w:cs="Times New Roman"/>
          <w:rtl/>
          <w:lang w:eastAsia="de-DE"/>
        </w:rPr>
        <w:t xml:space="preserve"> </w:t>
      </w:r>
      <w:r w:rsidRPr="004637CC">
        <w:rPr>
          <w:rFonts w:eastAsia="Times New Roman" w:cs="Times New Roman"/>
          <w:lang w:eastAsia="de-DE"/>
        </w:rPr>
        <w:t xml:space="preserve">betont individuelle Verantwortung. </w:t>
      </w:r>
      <w:r w:rsidRPr="004637CC">
        <w:rPr>
          <w:rFonts w:eastAsia="Times New Roman" w:cs="Times New Roman"/>
          <w:b/>
          <w:bCs/>
          <w:rtl/>
          <w:lang w:eastAsia="de-DE"/>
        </w:rPr>
        <w:t>לא־תענה</w:t>
      </w:r>
      <w:r w:rsidRPr="004637CC">
        <w:rPr>
          <w:rFonts w:eastAsia="Times New Roman" w:cs="Times New Roman"/>
          <w:rtl/>
          <w:lang w:eastAsia="de-DE"/>
        </w:rPr>
        <w:t xml:space="preserve"> </w:t>
      </w:r>
      <w:r w:rsidRPr="004637CC">
        <w:rPr>
          <w:rFonts w:eastAsia="Times New Roman" w:cs="Times New Roman"/>
          <w:lang w:eastAsia="de-DE"/>
        </w:rPr>
        <w:t xml:space="preserve">zeigt Verweigerung der </w:t>
      </w:r>
      <w:r w:rsidRPr="004637CC">
        <w:rPr>
          <w:rFonts w:eastAsia="Times New Roman" w:cs="Times New Roman"/>
          <w:b/>
          <w:bCs/>
          <w:rtl/>
          <w:lang w:eastAsia="de-DE"/>
        </w:rPr>
        <w:t>עינוי נפש</w:t>
      </w:r>
      <w:r w:rsidRPr="004637CC">
        <w:rPr>
          <w:rFonts w:eastAsia="Times New Roman" w:cs="Times New Roman"/>
          <w:lang w:eastAsia="de-DE"/>
        </w:rPr>
        <w:t xml:space="preserve">. </w:t>
      </w:r>
      <w:r w:rsidRPr="004637CC">
        <w:rPr>
          <w:rFonts w:eastAsia="Times New Roman" w:cs="Times New Roman"/>
          <w:b/>
          <w:bCs/>
          <w:rtl/>
          <w:lang w:eastAsia="de-DE"/>
        </w:rPr>
        <w:t>כרת</w:t>
      </w:r>
      <w:r w:rsidRPr="004637CC">
        <w:rPr>
          <w:rFonts w:eastAsia="Times New Roman" w:cs="Times New Roman"/>
          <w:rtl/>
          <w:lang w:eastAsia="de-DE"/>
        </w:rPr>
        <w:t xml:space="preserve"> </w:t>
      </w:r>
      <w:r w:rsidRPr="004637CC">
        <w:rPr>
          <w:rFonts w:eastAsia="Times New Roman" w:cs="Times New Roman"/>
          <w:lang w:eastAsia="de-DE"/>
        </w:rPr>
        <w:t>als göttliche Strafmaßnahme für Versöhnungstag-Verweigerung.</w:t>
      </w:r>
    </w:p>
    <w:p w14:paraId="2417816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כל־הנפש</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ᾶσ</w:t>
      </w:r>
      <w:proofErr w:type="spellEnd"/>
      <w:r w:rsidRPr="004637CC">
        <w:rPr>
          <w:rFonts w:eastAsia="Times New Roman" w:cs="Times New Roman"/>
          <w:lang w:eastAsia="de-DE"/>
        </w:rPr>
        <w:t xml:space="preserve">α </w:t>
      </w:r>
      <w:proofErr w:type="spellStart"/>
      <w:r w:rsidRPr="004637CC">
        <w:rPr>
          <w:rFonts w:eastAsia="Times New Roman" w:cs="Times New Roman"/>
          <w:lang w:eastAsia="de-DE"/>
        </w:rPr>
        <w:t>ψυχή</w:t>
      </w:r>
      <w:proofErr w:type="spellEnd"/>
      <w:r w:rsidRPr="004637CC">
        <w:rPr>
          <w:rFonts w:eastAsia="Times New Roman" w:cs="Times New Roman"/>
          <w:lang w:eastAsia="de-DE"/>
        </w:rPr>
        <w:t xml:space="preserve"> (jede Seele), </w:t>
      </w:r>
      <w:r w:rsidRPr="004637CC">
        <w:rPr>
          <w:rFonts w:eastAsia="Times New Roman" w:cs="Times New Roman"/>
          <w:b/>
          <w:bCs/>
          <w:rtl/>
          <w:lang w:eastAsia="de-DE"/>
        </w:rPr>
        <w:t>לא־תענה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μὴ</w:t>
      </w:r>
      <w:proofErr w:type="spellEnd"/>
      <w:r w:rsidRPr="004637CC">
        <w:rPr>
          <w:rFonts w:eastAsia="Times New Roman" w:cs="Times New Roman"/>
          <w:lang w:eastAsia="de-DE"/>
        </w:rPr>
        <w:t xml:space="preserve"> ταπ</w:t>
      </w:r>
      <w:proofErr w:type="spellStart"/>
      <w:r w:rsidRPr="004637CC">
        <w:rPr>
          <w:rFonts w:eastAsia="Times New Roman" w:cs="Times New Roman"/>
          <w:lang w:eastAsia="de-DE"/>
        </w:rPr>
        <w:t>εινωθήσετ</w:t>
      </w:r>
      <w:proofErr w:type="spellEnd"/>
      <w:r w:rsidRPr="004637CC">
        <w:rPr>
          <w:rFonts w:eastAsia="Times New Roman" w:cs="Times New Roman"/>
          <w:lang w:eastAsia="de-DE"/>
        </w:rPr>
        <w:t xml:space="preserve">αι (nicht gedemütigt wird), </w:t>
      </w:r>
      <w:r w:rsidRPr="004637CC">
        <w:rPr>
          <w:rFonts w:eastAsia="Times New Roman" w:cs="Times New Roman"/>
          <w:b/>
          <w:bCs/>
          <w:rtl/>
          <w:lang w:eastAsia="de-DE"/>
        </w:rPr>
        <w:t>ונכרתה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ἐξολεθρευθήσετ</w:t>
      </w:r>
      <w:proofErr w:type="spellEnd"/>
      <w:r w:rsidRPr="004637CC">
        <w:rPr>
          <w:rFonts w:eastAsia="Times New Roman" w:cs="Times New Roman"/>
          <w:lang w:eastAsia="de-DE"/>
        </w:rPr>
        <w:t xml:space="preserve">αι (wird ausgerottet werden) und </w:t>
      </w:r>
      <w:r w:rsidRPr="004637CC">
        <w:rPr>
          <w:rFonts w:eastAsia="Times New Roman" w:cs="Times New Roman"/>
          <w:b/>
          <w:bCs/>
          <w:rtl/>
          <w:lang w:eastAsia="de-DE"/>
        </w:rPr>
        <w:t>מעמיה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ἐκ</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τοῦ</w:t>
      </w:r>
      <w:proofErr w:type="spellEnd"/>
      <w:r w:rsidRPr="004637CC">
        <w:rPr>
          <w:rFonts w:eastAsia="Times New Roman" w:cs="Times New Roman"/>
          <w:lang w:eastAsia="de-DE"/>
        </w:rPr>
        <w:t xml:space="preserve"> λα</w:t>
      </w:r>
      <w:proofErr w:type="spellStart"/>
      <w:r w:rsidRPr="004637CC">
        <w:rPr>
          <w:rFonts w:eastAsia="Times New Roman" w:cs="Times New Roman"/>
          <w:lang w:eastAsia="de-DE"/>
        </w:rPr>
        <w:t>οῦ</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ὐτῆς</w:t>
      </w:r>
      <w:proofErr w:type="spellEnd"/>
      <w:r w:rsidRPr="004637CC">
        <w:rPr>
          <w:rFonts w:eastAsia="Times New Roman" w:cs="Times New Roman"/>
          <w:lang w:eastAsia="de-DE"/>
        </w:rPr>
        <w:t xml:space="preserve"> (aus ihrem Volk).</w:t>
      </w:r>
    </w:p>
    <w:p w14:paraId="34CC10E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Kasteiungsgebot-Strafandrohung: jede Seele + Kasteiungsverweigerung + spezifisches Tagesdatum + </w:t>
      </w:r>
      <w:r w:rsidRPr="004637CC">
        <w:rPr>
          <w:rFonts w:eastAsia="Times New Roman" w:cs="Times New Roman"/>
          <w:b/>
          <w:bCs/>
          <w:rtl/>
          <w:lang w:eastAsia="de-DE"/>
        </w:rPr>
        <w:t>כרת</w:t>
      </w:r>
      <w:r w:rsidRPr="004637CC">
        <w:rPr>
          <w:rFonts w:eastAsia="Times New Roman" w:cs="Times New Roman"/>
          <w:lang w:eastAsia="de-DE"/>
        </w:rPr>
        <w:t>-Ausrottung aus dem Volk.</w:t>
      </w:r>
    </w:p>
    <w:p w14:paraId="13B1488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androht </w:t>
      </w:r>
      <w:r w:rsidRPr="004637CC">
        <w:rPr>
          <w:rFonts w:eastAsia="Times New Roman" w:cs="Times New Roman"/>
          <w:b/>
          <w:bCs/>
          <w:rtl/>
          <w:lang w:eastAsia="de-DE"/>
        </w:rPr>
        <w:t>כרת</w:t>
      </w:r>
      <w:r w:rsidRPr="004637CC">
        <w:rPr>
          <w:rFonts w:eastAsia="Times New Roman" w:cs="Times New Roman"/>
          <w:lang w:eastAsia="de-DE"/>
        </w:rPr>
        <w:t>-Strafe für jeden, der die Versöhnungstag-Kasteiung verweigert.</w:t>
      </w:r>
    </w:p>
    <w:p w14:paraId="13376DDC"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23,30</w:t>
      </w:r>
    </w:p>
    <w:p w14:paraId="507E411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וְכָל־הַנֶּ֗פֶשׁ אֲשֶׁ֤ר תַּעֲשֶׂה֙ כָּל־מְלָאכָ֔ה בְּעֶ֖צֶם הַיּ֣וֹם הַזֶּ֑ה וְהַֽאֲבַדְתִּ֛י אֶת־הַנֶּ֥פֶשׁ הַהִ֖וא מִקֶּ֥רֶב עַמָּֽהּ׃</w:t>
      </w:r>
    </w:p>
    <w:p w14:paraId="1694546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jede Seele, die irgendeine Arbeit tut an diesem Tag, diese Seele werde ich aus der Mitte ihres Volkes vertilgen.</w:t>
      </w:r>
    </w:p>
    <w:p w14:paraId="53775BC5"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800EF0B">
          <v:rect id="_x0000_i1711" style="width:0;height:1.5pt" o:hralign="center" o:hrstd="t" o:hr="t" fillcolor="#a0a0a0" stroked="f"/>
        </w:pict>
      </w:r>
    </w:p>
    <w:p w14:paraId="250878A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וכל־הנפש אשר תעשה כל־מלאכה בעצם היום הזה והאבדתי את־הנפש ההוא מקרב עמה</w:t>
      </w:r>
      <w:r w:rsidRPr="004637CC">
        <w:rPr>
          <w:rFonts w:eastAsia="Times New Roman" w:cs="Times New Roman"/>
          <w:rtl/>
          <w:lang w:eastAsia="de-DE"/>
        </w:rPr>
        <w:t xml:space="preserve"> </w:t>
      </w:r>
      <w:r w:rsidRPr="004637CC">
        <w:rPr>
          <w:rFonts w:eastAsia="Times New Roman" w:cs="Times New Roman"/>
          <w:lang w:eastAsia="de-DE"/>
        </w:rPr>
        <w:t xml:space="preserve">zeigt göttliche Vernichtungsandrohung für Arbeit am Versöhnungstag. </w:t>
      </w:r>
      <w:r w:rsidRPr="004637CC">
        <w:rPr>
          <w:rFonts w:eastAsia="Times New Roman" w:cs="Times New Roman"/>
          <w:b/>
          <w:bCs/>
          <w:rtl/>
          <w:lang w:eastAsia="de-DE"/>
        </w:rPr>
        <w:t>וכל־הנפש אשר תעשה כל־מלאכה</w:t>
      </w:r>
      <w:r w:rsidRPr="004637CC">
        <w:rPr>
          <w:rFonts w:eastAsia="Times New Roman" w:cs="Times New Roman"/>
          <w:rtl/>
          <w:lang w:eastAsia="de-DE"/>
        </w:rPr>
        <w:t xml:space="preserve"> </w:t>
      </w:r>
      <w:r w:rsidRPr="004637CC">
        <w:rPr>
          <w:rFonts w:eastAsia="Times New Roman" w:cs="Times New Roman"/>
          <w:lang w:eastAsia="de-DE"/>
        </w:rPr>
        <w:t xml:space="preserve">(und jede Seele, die irgendeine Arbeit tut) - </w:t>
      </w:r>
      <w:r w:rsidRPr="004637CC">
        <w:rPr>
          <w:rFonts w:eastAsia="Times New Roman" w:cs="Times New Roman"/>
          <w:b/>
          <w:bCs/>
          <w:rtl/>
          <w:lang w:eastAsia="de-DE"/>
        </w:rPr>
        <w:t>כל־הנפש</w:t>
      </w:r>
      <w:r w:rsidRPr="004637CC">
        <w:rPr>
          <w:rFonts w:eastAsia="Times New Roman" w:cs="Times New Roman"/>
          <w:rtl/>
          <w:lang w:eastAsia="de-DE"/>
        </w:rPr>
        <w:t xml:space="preserve"> </w:t>
      </w:r>
      <w:r w:rsidRPr="004637CC">
        <w:rPr>
          <w:rFonts w:eastAsia="Times New Roman" w:cs="Times New Roman"/>
          <w:lang w:eastAsia="de-DE"/>
        </w:rPr>
        <w:t xml:space="preserve">entspricht V. 29. </w:t>
      </w:r>
      <w:r w:rsidRPr="004637CC">
        <w:rPr>
          <w:rFonts w:eastAsia="Times New Roman" w:cs="Times New Roman"/>
          <w:b/>
          <w:bCs/>
          <w:rtl/>
          <w:lang w:eastAsia="de-DE"/>
        </w:rPr>
        <w:t>תעשה כל־מלאכה</w:t>
      </w:r>
      <w:r w:rsidRPr="004637CC">
        <w:rPr>
          <w:rFonts w:eastAsia="Times New Roman" w:cs="Times New Roman"/>
          <w:rtl/>
          <w:lang w:eastAsia="de-DE"/>
        </w:rPr>
        <w:t xml:space="preserve"> </w:t>
      </w:r>
      <w:r w:rsidRPr="004637CC">
        <w:rPr>
          <w:rFonts w:eastAsia="Times New Roman" w:cs="Times New Roman"/>
          <w:lang w:eastAsia="de-DE"/>
        </w:rPr>
        <w:t>(tut irgendeine Arbeit) zeigt Verstoß gegen das absolute Arbeitsverbot aus V. 28.</w:t>
      </w:r>
    </w:p>
    <w:p w14:paraId="510A2BB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בעצם היום הזה</w:t>
      </w:r>
      <w:r w:rsidRPr="004637CC">
        <w:rPr>
          <w:rFonts w:eastAsia="Times New Roman" w:cs="Times New Roman"/>
          <w:rtl/>
          <w:lang w:eastAsia="de-DE"/>
        </w:rPr>
        <w:t xml:space="preserve"> </w:t>
      </w:r>
      <w:r w:rsidRPr="004637CC">
        <w:rPr>
          <w:rFonts w:eastAsia="Times New Roman" w:cs="Times New Roman"/>
          <w:lang w:eastAsia="de-DE"/>
        </w:rPr>
        <w:t xml:space="preserve">entspricht V. 28-29. </w:t>
      </w:r>
      <w:r w:rsidRPr="004637CC">
        <w:rPr>
          <w:rFonts w:eastAsia="Times New Roman" w:cs="Times New Roman"/>
          <w:b/>
          <w:bCs/>
          <w:rtl/>
          <w:lang w:eastAsia="de-DE"/>
        </w:rPr>
        <w:t>והאבדתי את־הנפש ההוא מקרב עמה</w:t>
      </w:r>
      <w:r w:rsidRPr="004637CC">
        <w:rPr>
          <w:rFonts w:eastAsia="Times New Roman" w:cs="Times New Roman"/>
          <w:rtl/>
          <w:lang w:eastAsia="de-DE"/>
        </w:rPr>
        <w:t xml:space="preserve"> </w:t>
      </w:r>
      <w:r w:rsidRPr="004637CC">
        <w:rPr>
          <w:rFonts w:eastAsia="Times New Roman" w:cs="Times New Roman"/>
          <w:lang w:eastAsia="de-DE"/>
        </w:rPr>
        <w:t xml:space="preserve">(diese Seele werde ich aus der Mitte ihres Volkes vertilgen) - </w:t>
      </w:r>
      <w:r w:rsidRPr="004637CC">
        <w:rPr>
          <w:rFonts w:eastAsia="Times New Roman" w:cs="Times New Roman"/>
          <w:b/>
          <w:bCs/>
          <w:rtl/>
          <w:lang w:eastAsia="de-DE"/>
        </w:rPr>
        <w:t>והאבדתי</w:t>
      </w:r>
      <w:r w:rsidRPr="004637CC">
        <w:rPr>
          <w:rFonts w:eastAsia="Times New Roman" w:cs="Times New Roman"/>
          <w:rtl/>
          <w:lang w:eastAsia="de-DE"/>
        </w:rPr>
        <w:t xml:space="preserve"> </w:t>
      </w:r>
      <w:r w:rsidRPr="004637CC">
        <w:rPr>
          <w:rFonts w:eastAsia="Times New Roman" w:cs="Times New Roman"/>
          <w:lang w:eastAsia="de-DE"/>
        </w:rPr>
        <w:t xml:space="preserve">(und ich werde vertilgen) im Hifil-Perfekt mit Waw-Konsekutiv, das Hifil zeigt kausative Vernichtung. </w:t>
      </w:r>
      <w:r w:rsidRPr="004637CC">
        <w:rPr>
          <w:rFonts w:eastAsia="Times New Roman" w:cs="Times New Roman"/>
          <w:b/>
          <w:bCs/>
          <w:rtl/>
          <w:lang w:eastAsia="de-DE"/>
        </w:rPr>
        <w:t>את־הנפש ההוא</w:t>
      </w:r>
      <w:r w:rsidRPr="004637CC">
        <w:rPr>
          <w:rFonts w:eastAsia="Times New Roman" w:cs="Times New Roman"/>
          <w:rtl/>
          <w:lang w:eastAsia="de-DE"/>
        </w:rPr>
        <w:t xml:space="preserve"> </w:t>
      </w:r>
      <w:r w:rsidRPr="004637CC">
        <w:rPr>
          <w:rFonts w:eastAsia="Times New Roman" w:cs="Times New Roman"/>
          <w:lang w:eastAsia="de-DE"/>
        </w:rPr>
        <w:t xml:space="preserve">(diese Seele) zeigt individuelle Bestrafung. </w:t>
      </w:r>
      <w:r w:rsidRPr="004637CC">
        <w:rPr>
          <w:rFonts w:eastAsia="Times New Roman" w:cs="Times New Roman"/>
          <w:b/>
          <w:bCs/>
          <w:rtl/>
          <w:lang w:eastAsia="de-DE"/>
        </w:rPr>
        <w:t>מקרב עמה</w:t>
      </w:r>
      <w:r w:rsidRPr="004637CC">
        <w:rPr>
          <w:rFonts w:eastAsia="Times New Roman" w:cs="Times New Roman"/>
          <w:rtl/>
          <w:lang w:eastAsia="de-DE"/>
        </w:rPr>
        <w:t xml:space="preserve"> </w:t>
      </w:r>
      <w:r w:rsidRPr="004637CC">
        <w:rPr>
          <w:rFonts w:eastAsia="Times New Roman" w:cs="Times New Roman"/>
          <w:lang w:eastAsia="de-DE"/>
        </w:rPr>
        <w:t>(aus der Mitte ihres Volkes) zeigt Entfernung aus der Gemeinschaft.</w:t>
      </w:r>
    </w:p>
    <w:p w14:paraId="0E3CAF8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entspricht dem sabbatähnlichen Arbeitsverbot. </w:t>
      </w:r>
      <w:r w:rsidRPr="004637CC">
        <w:rPr>
          <w:rFonts w:eastAsia="Times New Roman" w:cs="Times New Roman"/>
          <w:b/>
          <w:bCs/>
          <w:rtl/>
          <w:lang w:eastAsia="de-DE"/>
        </w:rPr>
        <w:t>והאבדתי</w:t>
      </w:r>
      <w:r w:rsidRPr="004637CC">
        <w:rPr>
          <w:rFonts w:eastAsia="Times New Roman" w:cs="Times New Roman"/>
          <w:rtl/>
          <w:lang w:eastAsia="de-DE"/>
        </w:rPr>
        <w:t xml:space="preserve"> </w:t>
      </w:r>
      <w:r w:rsidRPr="004637CC">
        <w:rPr>
          <w:rFonts w:eastAsia="Times New Roman" w:cs="Times New Roman"/>
          <w:lang w:eastAsia="de-DE"/>
        </w:rPr>
        <w:t xml:space="preserve">als direktere göttliche Intervention im Vergleich zu </w:t>
      </w:r>
      <w:r w:rsidRPr="004637CC">
        <w:rPr>
          <w:rFonts w:eastAsia="Times New Roman" w:cs="Times New Roman"/>
          <w:b/>
          <w:bCs/>
          <w:rtl/>
          <w:lang w:eastAsia="de-DE"/>
        </w:rPr>
        <w:t>כרת</w:t>
      </w:r>
      <w:r w:rsidRPr="004637CC">
        <w:rPr>
          <w:rFonts w:eastAsia="Times New Roman" w:cs="Times New Roman"/>
          <w:rtl/>
          <w:lang w:eastAsia="de-DE"/>
        </w:rPr>
        <w:t xml:space="preserve"> </w:t>
      </w:r>
      <w:r w:rsidRPr="004637CC">
        <w:rPr>
          <w:rFonts w:eastAsia="Times New Roman" w:cs="Times New Roman"/>
          <w:lang w:eastAsia="de-DE"/>
        </w:rPr>
        <w:t xml:space="preserve">in V. 29. </w:t>
      </w:r>
      <w:r w:rsidRPr="004637CC">
        <w:rPr>
          <w:rFonts w:eastAsia="Times New Roman" w:cs="Times New Roman"/>
          <w:b/>
          <w:bCs/>
          <w:rtl/>
          <w:lang w:eastAsia="de-DE"/>
        </w:rPr>
        <w:t>מקרב עמה</w:t>
      </w:r>
      <w:r w:rsidRPr="004637CC">
        <w:rPr>
          <w:rFonts w:eastAsia="Times New Roman" w:cs="Times New Roman"/>
          <w:rtl/>
          <w:lang w:eastAsia="de-DE"/>
        </w:rPr>
        <w:t xml:space="preserve"> </w:t>
      </w:r>
      <w:r w:rsidRPr="004637CC">
        <w:rPr>
          <w:rFonts w:eastAsia="Times New Roman" w:cs="Times New Roman"/>
          <w:lang w:eastAsia="de-DE"/>
        </w:rPr>
        <w:t>zeigt Ausschluss aus der Volksgemeinschaft.</w:t>
      </w:r>
    </w:p>
    <w:p w14:paraId="49278F6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תעשה כל־מלאכה</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οιήσῃ</w:t>
      </w:r>
      <w:proofErr w:type="spellEnd"/>
      <w:r w:rsidRPr="004637CC">
        <w:rPr>
          <w:rFonts w:eastAsia="Times New Roman" w:cs="Times New Roman"/>
          <w:lang w:eastAsia="de-DE"/>
        </w:rPr>
        <w:t xml:space="preserve"> π</w:t>
      </w:r>
      <w:proofErr w:type="spellStart"/>
      <w:r w:rsidRPr="004637CC">
        <w:rPr>
          <w:rFonts w:eastAsia="Times New Roman" w:cs="Times New Roman"/>
          <w:lang w:eastAsia="de-DE"/>
        </w:rPr>
        <w:t>ᾶν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ἔργον</w:t>
      </w:r>
      <w:proofErr w:type="spellEnd"/>
      <w:r w:rsidRPr="004637CC">
        <w:rPr>
          <w:rFonts w:eastAsia="Times New Roman" w:cs="Times New Roman"/>
          <w:lang w:eastAsia="de-DE"/>
        </w:rPr>
        <w:t xml:space="preserve"> (tun wird jedes Werk), </w:t>
      </w:r>
      <w:r w:rsidRPr="004637CC">
        <w:rPr>
          <w:rFonts w:eastAsia="Times New Roman" w:cs="Times New Roman"/>
          <w:b/>
          <w:bCs/>
          <w:rtl/>
          <w:lang w:eastAsia="de-DE"/>
        </w:rPr>
        <w:t>והאבדתי</w:t>
      </w:r>
      <w:r w:rsidRPr="004637CC">
        <w:rPr>
          <w:rFonts w:eastAsia="Times New Roman" w:cs="Times New Roman"/>
          <w:rtl/>
          <w:lang w:eastAsia="de-DE"/>
        </w:rPr>
        <w:t xml:space="preserve"> </w:t>
      </w:r>
      <w:r w:rsidRPr="004637CC">
        <w:rPr>
          <w:rFonts w:eastAsia="Times New Roman" w:cs="Times New Roman"/>
          <w:lang w:eastAsia="de-DE"/>
        </w:rPr>
        <w:t>mit ἀπ</w:t>
      </w:r>
      <w:proofErr w:type="spellStart"/>
      <w:r w:rsidRPr="004637CC">
        <w:rPr>
          <w:rFonts w:eastAsia="Times New Roman" w:cs="Times New Roman"/>
          <w:lang w:eastAsia="de-DE"/>
        </w:rPr>
        <w:t>ολῶ</w:t>
      </w:r>
      <w:proofErr w:type="spellEnd"/>
      <w:r w:rsidRPr="004637CC">
        <w:rPr>
          <w:rFonts w:eastAsia="Times New Roman" w:cs="Times New Roman"/>
          <w:lang w:eastAsia="de-DE"/>
        </w:rPr>
        <w:t xml:space="preserve"> (werde ich vernichten) und </w:t>
      </w:r>
      <w:r w:rsidRPr="004637CC">
        <w:rPr>
          <w:rFonts w:eastAsia="Times New Roman" w:cs="Times New Roman"/>
          <w:b/>
          <w:bCs/>
          <w:rtl/>
          <w:lang w:eastAsia="de-DE"/>
        </w:rPr>
        <w:t>מקרב עמה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ἐκ</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μέσου</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τοῦ</w:t>
      </w:r>
      <w:proofErr w:type="spellEnd"/>
      <w:r w:rsidRPr="004637CC">
        <w:rPr>
          <w:rFonts w:eastAsia="Times New Roman" w:cs="Times New Roman"/>
          <w:lang w:eastAsia="de-DE"/>
        </w:rPr>
        <w:t xml:space="preserve"> λα</w:t>
      </w:r>
      <w:proofErr w:type="spellStart"/>
      <w:r w:rsidRPr="004637CC">
        <w:rPr>
          <w:rFonts w:eastAsia="Times New Roman" w:cs="Times New Roman"/>
          <w:lang w:eastAsia="de-DE"/>
        </w:rPr>
        <w:t>οῦ</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ὐτῆς</w:t>
      </w:r>
      <w:proofErr w:type="spellEnd"/>
      <w:r w:rsidRPr="004637CC">
        <w:rPr>
          <w:rFonts w:eastAsia="Times New Roman" w:cs="Times New Roman"/>
          <w:lang w:eastAsia="de-DE"/>
        </w:rPr>
        <w:t xml:space="preserve"> (aus der Mitte ihres Volkes).</w:t>
      </w:r>
    </w:p>
    <w:p w14:paraId="0DB58B2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Arbeitsverbot-Strafandrohung: jede Seele + Arbeit am spezifischen Tag + göttliche Vernichtungsandrohung + Entfernung aus dem Volk.</w:t>
      </w:r>
    </w:p>
    <w:p w14:paraId="08A8597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androht direkte göttliche Vernichtung für jeden, der am Versöhnungstag arbeitet.</w:t>
      </w:r>
    </w:p>
    <w:p w14:paraId="3D7D259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23,31</w:t>
      </w:r>
    </w:p>
    <w:p w14:paraId="0516DE6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Hebräisch:</w:t>
      </w:r>
      <w:r w:rsidRPr="004637CC">
        <w:rPr>
          <w:rFonts w:eastAsia="Times New Roman" w:cs="Times New Roman"/>
          <w:lang w:eastAsia="de-DE"/>
        </w:rPr>
        <w:t xml:space="preserve"> </w:t>
      </w:r>
      <w:r w:rsidRPr="004637CC">
        <w:rPr>
          <w:rFonts w:eastAsia="Times New Roman" w:cs="Times New Roman"/>
          <w:rtl/>
          <w:lang w:eastAsia="de-DE"/>
        </w:rPr>
        <w:t>כָּל־מְלָאכָ֖ה לֹ֣א תַעֲשׂ֑וּ חֻקַּ֤ת עוֹלָם֙ לְדֹרֹ֣תֵיכֶ֔ם בְּכֹ֖ל מֹֽשְׁבֹֽתֵיכֶֽם׃</w:t>
      </w:r>
    </w:p>
    <w:p w14:paraId="595EEE2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Keinerlei Arbeit sollt ihr tun; eine ewige Satzung bei euren Generationen in allen euren Wohnsitzen.</w:t>
      </w:r>
    </w:p>
    <w:p w14:paraId="29E26A97"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6DF47BF">
          <v:rect id="_x0000_i1712" style="width:0;height:1.5pt" o:hralign="center" o:hrstd="t" o:hr="t" fillcolor="#a0a0a0" stroked="f"/>
        </w:pict>
      </w:r>
    </w:p>
    <w:p w14:paraId="6E1FED5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כל־מלאכה לא תעשו חקת עולם לדרתיכם בכל מושבתיכם</w:t>
      </w:r>
      <w:r w:rsidRPr="004637CC">
        <w:rPr>
          <w:rFonts w:eastAsia="Times New Roman" w:cs="Times New Roman"/>
          <w:rtl/>
          <w:lang w:eastAsia="de-DE"/>
        </w:rPr>
        <w:t xml:space="preserve"> </w:t>
      </w:r>
      <w:r w:rsidRPr="004637CC">
        <w:rPr>
          <w:rFonts w:eastAsia="Times New Roman" w:cs="Times New Roman"/>
          <w:lang w:eastAsia="de-DE"/>
        </w:rPr>
        <w:t xml:space="preserve">bekräftigt das absolute Arbeitsverbot als ewige Satzung. </w:t>
      </w:r>
      <w:r w:rsidRPr="004637CC">
        <w:rPr>
          <w:rFonts w:eastAsia="Times New Roman" w:cs="Times New Roman"/>
          <w:b/>
          <w:bCs/>
          <w:rtl/>
          <w:lang w:eastAsia="de-DE"/>
        </w:rPr>
        <w:t>כל־מלאכה לא תעשו</w:t>
      </w:r>
      <w:r w:rsidRPr="004637CC">
        <w:rPr>
          <w:rFonts w:eastAsia="Times New Roman" w:cs="Times New Roman"/>
          <w:rtl/>
          <w:lang w:eastAsia="de-DE"/>
        </w:rPr>
        <w:t xml:space="preserve"> </w:t>
      </w:r>
      <w:r w:rsidRPr="004637CC">
        <w:rPr>
          <w:rFonts w:eastAsia="Times New Roman" w:cs="Times New Roman"/>
          <w:lang w:eastAsia="de-DE"/>
        </w:rPr>
        <w:t>(keinerlei Arbeit sollt ihr tun) wiederholt V. 28 zur Bekräftigung.</w:t>
      </w:r>
    </w:p>
    <w:p w14:paraId="59E0C4D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חקת עולם לדרתיכם בכל מושבתיכם</w:t>
      </w:r>
      <w:r w:rsidRPr="004637CC">
        <w:rPr>
          <w:rFonts w:eastAsia="Times New Roman" w:cs="Times New Roman"/>
          <w:rtl/>
          <w:lang w:eastAsia="de-DE"/>
        </w:rPr>
        <w:t xml:space="preserve"> </w:t>
      </w:r>
      <w:r w:rsidRPr="004637CC">
        <w:rPr>
          <w:rFonts w:eastAsia="Times New Roman" w:cs="Times New Roman"/>
          <w:lang w:eastAsia="de-DE"/>
        </w:rPr>
        <w:t>(eine ewige Satzung bei euren Generationen in allen euren Wohnsitzen) entspricht V. 14,21 und zeigt dauerhafte universelle Gültigkeit des Versöhnungstag-Arbeitsverbots.</w:t>
      </w:r>
    </w:p>
    <w:p w14:paraId="1EEC931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als Wiederholung zur Betonung.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 xml:space="preserve">zeigt bleibende Verpflichtung. </w:t>
      </w:r>
      <w:r w:rsidRPr="004637CC">
        <w:rPr>
          <w:rFonts w:eastAsia="Times New Roman" w:cs="Times New Roman"/>
          <w:b/>
          <w:bCs/>
          <w:rtl/>
          <w:lang w:eastAsia="de-DE"/>
        </w:rPr>
        <w:t>בכל מושבתיכם</w:t>
      </w:r>
      <w:r w:rsidRPr="004637CC">
        <w:rPr>
          <w:rFonts w:eastAsia="Times New Roman" w:cs="Times New Roman"/>
          <w:rtl/>
          <w:lang w:eastAsia="de-DE"/>
        </w:rPr>
        <w:t xml:space="preserve"> </w:t>
      </w:r>
      <w:r w:rsidRPr="004637CC">
        <w:rPr>
          <w:rFonts w:eastAsia="Times New Roman" w:cs="Times New Roman"/>
          <w:lang w:eastAsia="de-DE"/>
        </w:rPr>
        <w:t>zeigt universelle örtliche Gültigkeit.</w:t>
      </w:r>
    </w:p>
    <w:p w14:paraId="74D4E16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ᾶν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ἔργον</w:t>
      </w:r>
      <w:proofErr w:type="spellEnd"/>
      <w:r w:rsidRPr="004637CC">
        <w:rPr>
          <w:rFonts w:eastAsia="Times New Roman" w:cs="Times New Roman"/>
          <w:lang w:eastAsia="de-DE"/>
        </w:rPr>
        <w:t xml:space="preserve"> (jedes Werk),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νόμιμον</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ἰώνιον</w:t>
      </w:r>
      <w:proofErr w:type="spellEnd"/>
      <w:r w:rsidRPr="004637CC">
        <w:rPr>
          <w:rFonts w:eastAsia="Times New Roman" w:cs="Times New Roman"/>
          <w:lang w:eastAsia="de-DE"/>
        </w:rPr>
        <w:t xml:space="preserve"> (ewiges Gesetz) und </w:t>
      </w:r>
      <w:r w:rsidRPr="004637CC">
        <w:rPr>
          <w:rFonts w:eastAsia="Times New Roman" w:cs="Times New Roman"/>
          <w:b/>
          <w:bCs/>
          <w:rtl/>
          <w:lang w:eastAsia="de-DE"/>
        </w:rPr>
        <w:t>מושבתיכם</w:t>
      </w:r>
      <w:r w:rsidRPr="004637CC">
        <w:rPr>
          <w:rFonts w:eastAsia="Times New Roman" w:cs="Times New Roman"/>
          <w:rtl/>
          <w:lang w:eastAsia="de-DE"/>
        </w:rPr>
        <w:t xml:space="preserve"> </w:t>
      </w:r>
      <w:r w:rsidRPr="004637CC">
        <w:rPr>
          <w:rFonts w:eastAsia="Times New Roman" w:cs="Times New Roman"/>
          <w:lang w:eastAsia="de-DE"/>
        </w:rPr>
        <w:t>mit κα</w:t>
      </w:r>
      <w:proofErr w:type="spellStart"/>
      <w:r w:rsidRPr="004637CC">
        <w:rPr>
          <w:rFonts w:eastAsia="Times New Roman" w:cs="Times New Roman"/>
          <w:lang w:eastAsia="de-DE"/>
        </w:rPr>
        <w:t>τοικί</w:t>
      </w:r>
      <w:proofErr w:type="spellEnd"/>
      <w:r w:rsidRPr="004637CC">
        <w:rPr>
          <w:rFonts w:eastAsia="Times New Roman" w:cs="Times New Roman"/>
          <w:lang w:eastAsia="de-DE"/>
        </w:rPr>
        <w:t xml:space="preserve">αις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(euren Wohnsitzen).</w:t>
      </w:r>
    </w:p>
    <w:p w14:paraId="25D72D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Arbeitsverbot-Bekräftigung: absolutes Arbeitsverbot + ewige Satzung + generationenübergreifende Gültigkeit + universelle örtliche Anwendung.</w:t>
      </w:r>
    </w:p>
    <w:p w14:paraId="4AF05A4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bekräftigt das absolute Arbeitsverbot des Versöhnungstages als ewige universelle Satzung.</w:t>
      </w:r>
    </w:p>
    <w:p w14:paraId="01C32D35"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23,32</w:t>
      </w:r>
    </w:p>
    <w:p w14:paraId="37AA099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שַׁבַּ֨ת שַׁבָּת֥וֹן הוּא֙ לָכֶ֔ם וְעִנִּיתֶ֖ם אֶת־נַפְשֹׁתֵיכֶ֑ם בְּתִשְׁעָ֤ה לַחֹ֨דֶשׁ֙ בָּעֶ֔רֶב מֵעֶ֣רֶב עַד־עֶ֔רֶב תִּשְׁבְּת֖וּ שַׁבַּתְּכֶֽם׃</w:t>
      </w:r>
    </w:p>
    <w:p w14:paraId="113DEC2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Ein Schabbat der Ruhe soll es euch sein, und ihr sollt eure Seelen kasteien; am Neunten des Monats am Abend, vom Abend bis zum Abend sollt ihr euren Schabbat feiern.</w:t>
      </w:r>
    </w:p>
    <w:p w14:paraId="0F9A456E"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ED0408D">
          <v:rect id="_x0000_i1713" style="width:0;height:1.5pt" o:hralign="center" o:hrstd="t" o:hr="t" fillcolor="#a0a0a0" stroked="f"/>
        </w:pict>
      </w:r>
    </w:p>
    <w:p w14:paraId="2C66409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שבת שבתון הוא לכם ועניתם את־נפשתיכם בתשעה לחדש בערב מערב עד־ערב תשבתו שבתכם</w:t>
      </w:r>
      <w:r w:rsidRPr="004637CC">
        <w:rPr>
          <w:rFonts w:eastAsia="Times New Roman" w:cs="Times New Roman"/>
          <w:rtl/>
          <w:lang w:eastAsia="de-DE"/>
        </w:rPr>
        <w:t xml:space="preserve"> </w:t>
      </w:r>
      <w:r w:rsidRPr="004637CC">
        <w:rPr>
          <w:rFonts w:eastAsia="Times New Roman" w:cs="Times New Roman"/>
          <w:lang w:eastAsia="de-DE"/>
        </w:rPr>
        <w:t xml:space="preserve">zeigt den sabbatähnlichen Charakter und die Zeitrechnung des Versöhnungstages. </w:t>
      </w:r>
      <w:r w:rsidRPr="004637CC">
        <w:rPr>
          <w:rFonts w:eastAsia="Times New Roman" w:cs="Times New Roman"/>
          <w:b/>
          <w:bCs/>
          <w:rtl/>
          <w:lang w:eastAsia="de-DE"/>
        </w:rPr>
        <w:t>שבת שבתון הוא לכם</w:t>
      </w:r>
      <w:r w:rsidRPr="004637CC">
        <w:rPr>
          <w:rFonts w:eastAsia="Times New Roman" w:cs="Times New Roman"/>
          <w:rtl/>
          <w:lang w:eastAsia="de-DE"/>
        </w:rPr>
        <w:t xml:space="preserve"> </w:t>
      </w:r>
      <w:r w:rsidRPr="004637CC">
        <w:rPr>
          <w:rFonts w:eastAsia="Times New Roman" w:cs="Times New Roman"/>
          <w:lang w:eastAsia="de-DE"/>
        </w:rPr>
        <w:t xml:space="preserve">(ein Schabbat der Ruhe soll es euch sein) - </w:t>
      </w: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entspricht V. 3 und zeigt höchste Ruheintensität wie beim wöchentlichen Schabbat.</w:t>
      </w:r>
    </w:p>
    <w:p w14:paraId="69C89A1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ועניתם את־נפשתיכם</w:t>
      </w:r>
      <w:r w:rsidRPr="004637CC">
        <w:rPr>
          <w:rFonts w:eastAsia="Times New Roman" w:cs="Times New Roman"/>
          <w:rtl/>
          <w:lang w:eastAsia="de-DE"/>
        </w:rPr>
        <w:t xml:space="preserve"> </w:t>
      </w:r>
      <w:r w:rsidRPr="004637CC">
        <w:rPr>
          <w:rFonts w:eastAsia="Times New Roman" w:cs="Times New Roman"/>
          <w:lang w:eastAsia="de-DE"/>
        </w:rPr>
        <w:t xml:space="preserve">(und ihr sollt eure Seelen kasteien) wiederholt V. 27 zur Betonung der charakteristischen </w:t>
      </w:r>
      <w:r w:rsidRPr="004637CC">
        <w:rPr>
          <w:rFonts w:eastAsia="Times New Roman" w:cs="Times New Roman"/>
          <w:b/>
          <w:bCs/>
          <w:rtl/>
          <w:lang w:eastAsia="de-DE"/>
        </w:rPr>
        <w:t>עינוי נפש</w:t>
      </w:r>
      <w:r w:rsidRPr="004637CC">
        <w:rPr>
          <w:rFonts w:eastAsia="Times New Roman" w:cs="Times New Roman"/>
          <w:lang w:eastAsia="de-DE"/>
        </w:rPr>
        <w:t>.</w:t>
      </w:r>
    </w:p>
    <w:p w14:paraId="4FCCA89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בתשעה לחדש בערב מערב עד־ערב תשבתו שבתכם</w:t>
      </w:r>
      <w:r w:rsidRPr="004637CC">
        <w:rPr>
          <w:rFonts w:eastAsia="Times New Roman" w:cs="Times New Roman"/>
          <w:rtl/>
          <w:lang w:eastAsia="de-DE"/>
        </w:rPr>
        <w:t xml:space="preserve"> </w:t>
      </w:r>
      <w:r w:rsidRPr="004637CC">
        <w:rPr>
          <w:rFonts w:eastAsia="Times New Roman" w:cs="Times New Roman"/>
          <w:lang w:eastAsia="de-DE"/>
        </w:rPr>
        <w:t xml:space="preserve">(am Neunten des Monats am Abend, vom Abend bis zum Abend sollt ihr euren Schabbat feiern) - </w:t>
      </w:r>
      <w:r w:rsidRPr="004637CC">
        <w:rPr>
          <w:rFonts w:eastAsia="Times New Roman" w:cs="Times New Roman"/>
          <w:b/>
          <w:bCs/>
          <w:rtl/>
          <w:lang w:eastAsia="de-DE"/>
        </w:rPr>
        <w:t>בתשעה לחדש בערב</w:t>
      </w:r>
      <w:r w:rsidRPr="004637CC">
        <w:rPr>
          <w:rFonts w:eastAsia="Times New Roman" w:cs="Times New Roman"/>
          <w:rtl/>
          <w:lang w:eastAsia="de-DE"/>
        </w:rPr>
        <w:t xml:space="preserve"> </w:t>
      </w:r>
      <w:r w:rsidRPr="004637CC">
        <w:rPr>
          <w:rFonts w:eastAsia="Times New Roman" w:cs="Times New Roman"/>
          <w:lang w:eastAsia="de-DE"/>
        </w:rPr>
        <w:t xml:space="preserve">(am Neunten des Monats am Abend) zeigt Beginn am Abend des 9. Tischri. </w:t>
      </w:r>
      <w:r w:rsidRPr="004637CC">
        <w:rPr>
          <w:rFonts w:eastAsia="Times New Roman" w:cs="Times New Roman"/>
          <w:b/>
          <w:bCs/>
          <w:rtl/>
          <w:lang w:eastAsia="de-DE"/>
        </w:rPr>
        <w:t>מערב עד־ערב</w:t>
      </w:r>
      <w:r w:rsidRPr="004637CC">
        <w:rPr>
          <w:rFonts w:eastAsia="Times New Roman" w:cs="Times New Roman"/>
          <w:rtl/>
          <w:lang w:eastAsia="de-DE"/>
        </w:rPr>
        <w:t xml:space="preserve"> </w:t>
      </w:r>
      <w:r w:rsidRPr="004637CC">
        <w:rPr>
          <w:rFonts w:eastAsia="Times New Roman" w:cs="Times New Roman"/>
          <w:lang w:eastAsia="de-DE"/>
        </w:rPr>
        <w:t xml:space="preserve">(vom Abend bis zum Abend) zeigt die 24-stündige Dauer. </w:t>
      </w:r>
      <w:r w:rsidRPr="004637CC">
        <w:rPr>
          <w:rFonts w:eastAsia="Times New Roman" w:cs="Times New Roman"/>
          <w:b/>
          <w:bCs/>
          <w:rtl/>
          <w:lang w:eastAsia="de-DE"/>
        </w:rPr>
        <w:t>תשבתו שבתכם</w:t>
      </w:r>
      <w:r w:rsidRPr="004637CC">
        <w:rPr>
          <w:rFonts w:eastAsia="Times New Roman" w:cs="Times New Roman"/>
          <w:rtl/>
          <w:lang w:eastAsia="de-DE"/>
        </w:rPr>
        <w:t xml:space="preserve"> </w:t>
      </w:r>
      <w:r w:rsidRPr="004637CC">
        <w:rPr>
          <w:rFonts w:eastAsia="Times New Roman" w:cs="Times New Roman"/>
          <w:lang w:eastAsia="de-DE"/>
        </w:rPr>
        <w:t xml:space="preserve">(sollt ihr euren Schabbat feiern) - </w:t>
      </w:r>
      <w:r w:rsidRPr="004637CC">
        <w:rPr>
          <w:rFonts w:eastAsia="Times New Roman" w:cs="Times New Roman"/>
          <w:b/>
          <w:bCs/>
          <w:rtl/>
          <w:lang w:eastAsia="de-DE"/>
        </w:rPr>
        <w:t>תשבתו</w:t>
      </w:r>
      <w:r w:rsidRPr="004637CC">
        <w:rPr>
          <w:rFonts w:eastAsia="Times New Roman" w:cs="Times New Roman"/>
          <w:rtl/>
          <w:lang w:eastAsia="de-DE"/>
        </w:rPr>
        <w:t xml:space="preserve"> </w:t>
      </w:r>
      <w:r w:rsidRPr="004637CC">
        <w:rPr>
          <w:rFonts w:eastAsia="Times New Roman" w:cs="Times New Roman"/>
          <w:lang w:eastAsia="de-DE"/>
        </w:rPr>
        <w:t xml:space="preserve">(sollt ihr feiern) im Qal-Imperfekt von </w:t>
      </w:r>
      <w:r w:rsidRPr="004637CC">
        <w:rPr>
          <w:rFonts w:eastAsia="Times New Roman" w:cs="Times New Roman"/>
          <w:b/>
          <w:bCs/>
          <w:rtl/>
          <w:lang w:eastAsia="de-DE"/>
        </w:rPr>
        <w:t>שבת</w:t>
      </w:r>
      <w:r w:rsidRPr="004637CC">
        <w:rPr>
          <w:rFonts w:eastAsia="Times New Roman" w:cs="Times New Roman"/>
          <w:lang w:eastAsia="de-DE"/>
        </w:rPr>
        <w:t>.</w:t>
      </w:r>
    </w:p>
    <w:p w14:paraId="796C9E3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שבת שבתון</w:t>
      </w:r>
      <w:r w:rsidRPr="004637CC">
        <w:rPr>
          <w:rFonts w:eastAsia="Times New Roman" w:cs="Times New Roman"/>
          <w:rtl/>
          <w:lang w:eastAsia="de-DE"/>
        </w:rPr>
        <w:t xml:space="preserve"> </w:t>
      </w:r>
      <w:r w:rsidRPr="004637CC">
        <w:rPr>
          <w:rFonts w:eastAsia="Times New Roman" w:cs="Times New Roman"/>
          <w:lang w:eastAsia="de-DE"/>
        </w:rPr>
        <w:t xml:space="preserve">zeigt sabbatähnliche Heiligkeit. </w:t>
      </w:r>
      <w:r w:rsidRPr="004637CC">
        <w:rPr>
          <w:rFonts w:eastAsia="Times New Roman" w:cs="Times New Roman"/>
          <w:b/>
          <w:bCs/>
          <w:rtl/>
          <w:lang w:eastAsia="de-DE"/>
        </w:rPr>
        <w:t>מערב עד־ערב</w:t>
      </w:r>
      <w:r w:rsidRPr="004637CC">
        <w:rPr>
          <w:rFonts w:eastAsia="Times New Roman" w:cs="Times New Roman"/>
          <w:rtl/>
          <w:lang w:eastAsia="de-DE"/>
        </w:rPr>
        <w:t xml:space="preserve"> </w:t>
      </w:r>
      <w:r w:rsidRPr="004637CC">
        <w:rPr>
          <w:rFonts w:eastAsia="Times New Roman" w:cs="Times New Roman"/>
          <w:lang w:eastAsia="de-DE"/>
        </w:rPr>
        <w:t xml:space="preserve">etabliert Abend-zu-Abend-Rechnung. </w:t>
      </w:r>
      <w:r w:rsidRPr="004637CC">
        <w:rPr>
          <w:rFonts w:eastAsia="Times New Roman" w:cs="Times New Roman"/>
          <w:b/>
          <w:bCs/>
          <w:rtl/>
          <w:lang w:eastAsia="de-DE"/>
        </w:rPr>
        <w:t>שבתכם</w:t>
      </w:r>
      <w:r w:rsidRPr="004637CC">
        <w:rPr>
          <w:rFonts w:eastAsia="Times New Roman" w:cs="Times New Roman"/>
          <w:rtl/>
          <w:lang w:eastAsia="de-DE"/>
        </w:rPr>
        <w:t xml:space="preserve"> </w:t>
      </w:r>
      <w:r w:rsidRPr="004637CC">
        <w:rPr>
          <w:rFonts w:eastAsia="Times New Roman" w:cs="Times New Roman"/>
          <w:lang w:eastAsia="de-DE"/>
        </w:rPr>
        <w:t>zeigt den besonderen Schabbatcharakter des Versöhnungstages.</w:t>
      </w:r>
    </w:p>
    <w:p w14:paraId="56FDA8DF" w14:textId="2D6056E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spezifiziert die Sabbatzeit: ἀπὸ </w:t>
      </w:r>
      <w:proofErr w:type="spellStart"/>
      <w:r w:rsidR="00775F21">
        <w:t>ἐνάτης</w:t>
      </w:r>
      <w:proofErr w:type="spellEnd"/>
      <w:r w:rsidR="00775F21">
        <w:t xml:space="preserve"> </w:t>
      </w:r>
      <w:proofErr w:type="spellStart"/>
      <w:r w:rsidR="00775F21">
        <w:t>τοῦ</w:t>
      </w:r>
      <w:proofErr w:type="spellEnd"/>
      <w:r w:rsidR="00775F21">
        <w:t xml:space="preserve"> </w:t>
      </w:r>
      <w:proofErr w:type="spellStart"/>
      <w:r w:rsidR="00775F21">
        <w:t>μηνὸς</w:t>
      </w:r>
      <w:proofErr w:type="spellEnd"/>
      <w:r w:rsidR="00775F21">
        <w:t xml:space="preserve"> ἀπὸ </w:t>
      </w:r>
      <w:proofErr w:type="spellStart"/>
      <w:r w:rsidR="00775F21">
        <w:t>ἑσ</w:t>
      </w:r>
      <w:proofErr w:type="spellEnd"/>
      <w:r w:rsidR="00775F21">
        <w:t xml:space="preserve">πέρας </w:t>
      </w:r>
      <w:proofErr w:type="spellStart"/>
      <w:r w:rsidR="00775F21">
        <w:t>ἕως</w:t>
      </w:r>
      <w:proofErr w:type="spellEnd"/>
      <w:r w:rsidR="00775F21">
        <w:t xml:space="preserve"> </w:t>
      </w:r>
      <w:proofErr w:type="spellStart"/>
      <w:r w:rsidR="00775F21">
        <w:t>ἑσ</w:t>
      </w:r>
      <w:proofErr w:type="spellEnd"/>
      <w:r w:rsidR="00775F21">
        <w:t>πέρας σαββα</w:t>
      </w:r>
      <w:proofErr w:type="spellStart"/>
      <w:r w:rsidR="00775F21">
        <w:t>τιεῖτε</w:t>
      </w:r>
      <w:proofErr w:type="spellEnd"/>
      <w:r w:rsidR="00775F21">
        <w:t xml:space="preserve"> (vom neunten des Monats, vom Abend bis zum Abend sollt ihr </w:t>
      </w:r>
      <w:proofErr w:type="spellStart"/>
      <w:r w:rsidR="00775F21">
        <w:t>sabbaten</w:t>
      </w:r>
      <w:proofErr w:type="spellEnd"/>
      <w:r w:rsidR="00775F21">
        <w:t>).</w:t>
      </w:r>
    </w:p>
    <w:p w14:paraId="5C44629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Versöhnungstag-Sabbat: </w:t>
      </w:r>
      <w:r w:rsidRPr="004637CC">
        <w:rPr>
          <w:rFonts w:eastAsia="Times New Roman" w:cs="Times New Roman"/>
          <w:b/>
          <w:bCs/>
          <w:rtl/>
          <w:lang w:eastAsia="de-DE"/>
        </w:rPr>
        <w:t>שבת שבתון</w:t>
      </w:r>
      <w:r w:rsidRPr="004637CC">
        <w:rPr>
          <w:rFonts w:eastAsia="Times New Roman" w:cs="Times New Roman"/>
          <w:lang w:eastAsia="de-DE"/>
        </w:rPr>
        <w:t>-Charakter + Seelenbeugung + Zeitrechnung vom 9. Abend + Abend-zu-Abend-Dauer + Sabbatfeier.</w:t>
      </w:r>
    </w:p>
    <w:p w14:paraId="4686B35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den Versöhnungstag als </w:t>
      </w: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mit Abend-zu-Abend-Rechnung vom 9. zum 10. Tischri.</w:t>
      </w:r>
    </w:p>
    <w:p w14:paraId="389BCA55"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23,33</w:t>
      </w:r>
    </w:p>
    <w:p w14:paraId="4BADE6A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6976BBA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0B0AFDB2"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6495D15">
          <v:rect id="_x0000_i1714" style="width:0;height:1.5pt" o:hralign="center" o:hrstd="t" o:hr="t" fillcolor="#a0a0a0" stroked="f"/>
        </w:pict>
      </w:r>
    </w:p>
    <w:p w14:paraId="3FB3565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als neue Offenbarungseinleitung für das Laubhüttenfest. Diese leitet das letzte der drei großen Pilgerfeste ein, das den Festkalender beschließt.</w:t>
      </w:r>
    </w:p>
    <w:p w14:paraId="5E03A4F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die umfangreichen Vorschriften über das siebentägige Laubhüttenfest ein.</w:t>
      </w:r>
    </w:p>
    <w:p w14:paraId="4CDD5AE5"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23,34</w:t>
      </w:r>
    </w:p>
    <w:p w14:paraId="62F4ECF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דַּבֵּ֛ר אֶל־בְּנֵ֥י יִשְׂרָאֵ֖ל לֵאמֹ֑ר בַּחֲמִשָּׁ֨ה עָשָׂ֜ר י֗וֹם לַחֹ֤דֶשׁ הַשְּׁבִיעִי֙ הַזֶּ֔ה חַ֧ג הַסֻּכּ֛וֹת שִׁבְעַ֥ת יָמִ֖ים לַיהֹוָֽה׃</w:t>
      </w:r>
    </w:p>
    <w:p w14:paraId="6934920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Rede zu den Kindern Israels: Am 15. Tag dieses siebten Monats ist das Laubhüttenfest, sieben Tage für den Ewigen.</w:t>
      </w:r>
    </w:p>
    <w:p w14:paraId="20D31ADE"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784ABD9">
          <v:rect id="_x0000_i1715" style="width:0;height:1.5pt" o:hralign="center" o:hrstd="t" o:hr="t" fillcolor="#a0a0a0" stroked="f"/>
        </w:pict>
      </w:r>
    </w:p>
    <w:p w14:paraId="5DBA87F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דבר אל־בני ישראל לאמר בחמשה עשר יום לחדש השביעי הזה חג הסכות שבעת ימים ליהוה</w:t>
      </w:r>
      <w:r w:rsidRPr="004637CC">
        <w:rPr>
          <w:rFonts w:eastAsia="Times New Roman" w:cs="Times New Roman"/>
          <w:rtl/>
          <w:lang w:eastAsia="de-DE"/>
        </w:rPr>
        <w:t xml:space="preserve"> </w:t>
      </w:r>
      <w:r w:rsidRPr="004637CC">
        <w:rPr>
          <w:rFonts w:eastAsia="Times New Roman" w:cs="Times New Roman"/>
          <w:lang w:eastAsia="de-DE"/>
        </w:rPr>
        <w:t xml:space="preserve">etabliert das Laubhüttenfest. </w:t>
      </w:r>
      <w:r w:rsidRPr="004637CC">
        <w:rPr>
          <w:rFonts w:eastAsia="Times New Roman" w:cs="Times New Roman"/>
          <w:b/>
          <w:bCs/>
          <w:rtl/>
          <w:lang w:eastAsia="de-DE"/>
        </w:rPr>
        <w:t>דבר אל־בני ישראל לאמר</w:t>
      </w:r>
      <w:r w:rsidRPr="004637CC">
        <w:rPr>
          <w:rFonts w:eastAsia="Times New Roman" w:cs="Times New Roman"/>
          <w:rtl/>
          <w:lang w:eastAsia="de-DE"/>
        </w:rPr>
        <w:t xml:space="preserve"> </w:t>
      </w:r>
      <w:r w:rsidRPr="004637CC">
        <w:rPr>
          <w:rFonts w:eastAsia="Times New Roman" w:cs="Times New Roman"/>
          <w:lang w:eastAsia="de-DE"/>
        </w:rPr>
        <w:t>entspricht der üblichen Adressierungsformel.</w:t>
      </w:r>
    </w:p>
    <w:p w14:paraId="57FE2BD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בחמשה עשר יום לחדש השביעי הזה</w:t>
      </w:r>
      <w:r w:rsidRPr="004637CC">
        <w:rPr>
          <w:rFonts w:eastAsia="Times New Roman" w:cs="Times New Roman"/>
          <w:rtl/>
          <w:lang w:eastAsia="de-DE"/>
        </w:rPr>
        <w:t xml:space="preserve"> </w:t>
      </w:r>
      <w:r w:rsidRPr="004637CC">
        <w:rPr>
          <w:rFonts w:eastAsia="Times New Roman" w:cs="Times New Roman"/>
          <w:lang w:eastAsia="de-DE"/>
        </w:rPr>
        <w:t xml:space="preserve">(am 15. Tag dieses siebten Monats) - </w:t>
      </w:r>
      <w:r w:rsidRPr="004637CC">
        <w:rPr>
          <w:rFonts w:eastAsia="Times New Roman" w:cs="Times New Roman"/>
          <w:b/>
          <w:bCs/>
          <w:rtl/>
          <w:lang w:eastAsia="de-DE"/>
        </w:rPr>
        <w:t>חמשה עשר</w:t>
      </w:r>
      <w:r w:rsidRPr="004637CC">
        <w:rPr>
          <w:rFonts w:eastAsia="Times New Roman" w:cs="Times New Roman"/>
          <w:rtl/>
          <w:lang w:eastAsia="de-DE"/>
        </w:rPr>
        <w:t xml:space="preserve"> </w:t>
      </w:r>
      <w:r w:rsidRPr="004637CC">
        <w:rPr>
          <w:rFonts w:eastAsia="Times New Roman" w:cs="Times New Roman"/>
          <w:lang w:eastAsia="de-DE"/>
        </w:rPr>
        <w:t xml:space="preserve">(15.) zeigt das Datum fünf Tage nach dem Versöhnungstag. </w:t>
      </w:r>
      <w:r w:rsidRPr="004637CC">
        <w:rPr>
          <w:rFonts w:eastAsia="Times New Roman" w:cs="Times New Roman"/>
          <w:b/>
          <w:bCs/>
          <w:rtl/>
          <w:lang w:eastAsia="de-DE"/>
        </w:rPr>
        <w:t>לחדש השביעי הזה</w:t>
      </w:r>
      <w:r w:rsidRPr="004637CC">
        <w:rPr>
          <w:rFonts w:eastAsia="Times New Roman" w:cs="Times New Roman"/>
          <w:rtl/>
          <w:lang w:eastAsia="de-DE"/>
        </w:rPr>
        <w:t xml:space="preserve"> </w:t>
      </w:r>
      <w:r w:rsidRPr="004637CC">
        <w:rPr>
          <w:rFonts w:eastAsia="Times New Roman" w:cs="Times New Roman"/>
          <w:lang w:eastAsia="de-DE"/>
        </w:rPr>
        <w:t>bezieht sich auf V. 24,27.</w:t>
      </w:r>
    </w:p>
    <w:p w14:paraId="4CE4207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חג הסכות שבעת ימים ליהוה</w:t>
      </w:r>
      <w:r w:rsidRPr="004637CC">
        <w:rPr>
          <w:rFonts w:eastAsia="Times New Roman" w:cs="Times New Roman"/>
          <w:rtl/>
          <w:lang w:eastAsia="de-DE"/>
        </w:rPr>
        <w:t xml:space="preserve"> </w:t>
      </w:r>
      <w:r w:rsidRPr="004637CC">
        <w:rPr>
          <w:rFonts w:eastAsia="Times New Roman" w:cs="Times New Roman"/>
          <w:lang w:eastAsia="de-DE"/>
        </w:rPr>
        <w:t xml:space="preserve">(das Laubhüttenfest, sieben Tage für den Ewigen) - </w:t>
      </w:r>
      <w:r w:rsidRPr="004637CC">
        <w:rPr>
          <w:rFonts w:eastAsia="Times New Roman" w:cs="Times New Roman"/>
          <w:b/>
          <w:bCs/>
          <w:rtl/>
          <w:lang w:eastAsia="de-DE"/>
        </w:rPr>
        <w:t>חג הסכות</w:t>
      </w:r>
      <w:r w:rsidRPr="004637CC">
        <w:rPr>
          <w:rFonts w:eastAsia="Times New Roman" w:cs="Times New Roman"/>
          <w:rtl/>
          <w:lang w:eastAsia="de-DE"/>
        </w:rPr>
        <w:t xml:space="preserve"> </w:t>
      </w:r>
      <w:r w:rsidRPr="004637CC">
        <w:rPr>
          <w:rFonts w:eastAsia="Times New Roman" w:cs="Times New Roman"/>
          <w:lang w:eastAsia="de-DE"/>
        </w:rPr>
        <w:t xml:space="preserve">(Laubhüttenfest) von </w:t>
      </w:r>
      <w:r w:rsidRPr="004637CC">
        <w:rPr>
          <w:rFonts w:eastAsia="Times New Roman" w:cs="Times New Roman"/>
          <w:b/>
          <w:bCs/>
          <w:rtl/>
          <w:lang w:eastAsia="de-DE"/>
        </w:rPr>
        <w:t>סכה</w:t>
      </w:r>
      <w:r w:rsidRPr="004637CC">
        <w:rPr>
          <w:rFonts w:eastAsia="Times New Roman" w:cs="Times New Roman"/>
          <w:rtl/>
          <w:lang w:eastAsia="de-DE"/>
        </w:rPr>
        <w:t xml:space="preserve"> </w:t>
      </w:r>
      <w:r w:rsidRPr="004637CC">
        <w:rPr>
          <w:rFonts w:eastAsia="Times New Roman" w:cs="Times New Roman"/>
          <w:lang w:eastAsia="de-DE"/>
        </w:rPr>
        <w:t xml:space="preserve">(Hütte/Laubhütte) zeigt den charakteristischen Namen.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 xml:space="preserve">(sieben Tage) entspricht dem Mazzotfest. </w:t>
      </w:r>
      <w:r w:rsidRPr="004637CC">
        <w:rPr>
          <w:rFonts w:eastAsia="Times New Roman" w:cs="Times New Roman"/>
          <w:b/>
          <w:bCs/>
          <w:rtl/>
          <w:lang w:eastAsia="de-DE"/>
        </w:rPr>
        <w:t>ליהוה</w:t>
      </w:r>
      <w:r w:rsidRPr="004637CC">
        <w:rPr>
          <w:rFonts w:eastAsia="Times New Roman" w:cs="Times New Roman"/>
          <w:rtl/>
          <w:lang w:eastAsia="de-DE"/>
        </w:rPr>
        <w:t xml:space="preserve"> </w:t>
      </w:r>
      <w:r w:rsidRPr="004637CC">
        <w:rPr>
          <w:rFonts w:eastAsia="Times New Roman" w:cs="Times New Roman"/>
          <w:lang w:eastAsia="de-DE"/>
        </w:rPr>
        <w:t>zeigt göttlichen Bezug.</w:t>
      </w:r>
    </w:p>
    <w:p w14:paraId="66BEFEE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חמשה עשר</w:t>
      </w:r>
      <w:r w:rsidRPr="004637CC">
        <w:rPr>
          <w:rFonts w:eastAsia="Times New Roman" w:cs="Times New Roman"/>
          <w:rtl/>
          <w:lang w:eastAsia="de-DE"/>
        </w:rPr>
        <w:t xml:space="preserve"> </w:t>
      </w:r>
      <w:r w:rsidRPr="004637CC">
        <w:rPr>
          <w:rFonts w:eastAsia="Times New Roman" w:cs="Times New Roman"/>
          <w:lang w:eastAsia="de-DE"/>
        </w:rPr>
        <w:t xml:space="preserve">als Vollmondzeit nach der Sühnzeit. </w:t>
      </w:r>
      <w:r w:rsidRPr="004637CC">
        <w:rPr>
          <w:rFonts w:eastAsia="Times New Roman" w:cs="Times New Roman"/>
          <w:b/>
          <w:bCs/>
          <w:rtl/>
          <w:lang w:eastAsia="de-DE"/>
        </w:rPr>
        <w:t>חג הסכות</w:t>
      </w:r>
      <w:r w:rsidRPr="004637CC">
        <w:rPr>
          <w:rFonts w:eastAsia="Times New Roman" w:cs="Times New Roman"/>
          <w:rtl/>
          <w:lang w:eastAsia="de-DE"/>
        </w:rPr>
        <w:t xml:space="preserve"> </w:t>
      </w:r>
      <w:r w:rsidRPr="004637CC">
        <w:rPr>
          <w:rFonts w:eastAsia="Times New Roman" w:cs="Times New Roman"/>
          <w:lang w:eastAsia="de-DE"/>
        </w:rPr>
        <w:t xml:space="preserve">als charakteristische Bezeichnung.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als heilige Festdauer.</w:t>
      </w:r>
    </w:p>
    <w:p w14:paraId="4846A7AF" w14:textId="2ECD42F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LXX</w:t>
      </w:r>
      <w:r w:rsidRPr="004637CC">
        <w:rPr>
          <w:rFonts w:eastAsia="Times New Roman" w:cs="Times New Roman"/>
          <w:lang w:eastAsia="de-DE"/>
        </w:rPr>
        <w:t xml:space="preserve"> </w:t>
      </w:r>
      <w:r w:rsidR="00775F21">
        <w:t xml:space="preserve">übersetzt </w:t>
      </w:r>
      <w:r w:rsidR="00775F21">
        <w:rPr>
          <w:rtl/>
        </w:rPr>
        <w:t>חג הסכות</w:t>
      </w:r>
      <w:r w:rsidR="00775F21">
        <w:t xml:space="preserve"> (</w:t>
      </w:r>
      <w:proofErr w:type="spellStart"/>
      <w:r w:rsidR="00775F21">
        <w:t>chag</w:t>
      </w:r>
      <w:proofErr w:type="spellEnd"/>
      <w:r w:rsidR="00775F21">
        <w:t xml:space="preserve"> </w:t>
      </w:r>
      <w:proofErr w:type="spellStart"/>
      <w:r w:rsidR="00775F21">
        <w:t>hasukkot</w:t>
      </w:r>
      <w:proofErr w:type="spellEnd"/>
      <w:r w:rsidR="00775F21">
        <w:t xml:space="preserve"> - "Fest der Hütten") als </w:t>
      </w:r>
      <w:proofErr w:type="spellStart"/>
      <w:r w:rsidR="00775F21">
        <w:t>ἑορτὴ</w:t>
      </w:r>
      <w:proofErr w:type="spellEnd"/>
      <w:r w:rsidR="00775F21">
        <w:t xml:space="preserve"> </w:t>
      </w:r>
      <w:proofErr w:type="spellStart"/>
      <w:r w:rsidR="00775F21">
        <w:t>σκηνῶν</w:t>
      </w:r>
      <w:proofErr w:type="spellEnd"/>
      <w:r w:rsidR="00775F21">
        <w:t xml:space="preserve"> (Fest der Zelte).</w:t>
      </w:r>
    </w:p>
    <w:p w14:paraId="599BB96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Laubhüttenfest-Etablierung: Volks-Adressierung + 15. Tag des siebten Monats + Laubhüttenfest-Bezeichnung + siebentägige Dauer für JHWH.</w:t>
      </w:r>
    </w:p>
    <w:p w14:paraId="462422D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Laubhüttenfest am 15. Tischri als siebentägiges </w:t>
      </w:r>
      <w:r w:rsidRPr="004637CC">
        <w:rPr>
          <w:rFonts w:eastAsia="Times New Roman" w:cs="Times New Roman"/>
          <w:b/>
          <w:bCs/>
          <w:rtl/>
          <w:lang w:eastAsia="de-DE"/>
        </w:rPr>
        <w:t>חג</w:t>
      </w:r>
      <w:r w:rsidRPr="004637CC">
        <w:rPr>
          <w:rFonts w:eastAsia="Times New Roman" w:cs="Times New Roman"/>
          <w:rtl/>
          <w:lang w:eastAsia="de-DE"/>
        </w:rPr>
        <w:t xml:space="preserve"> </w:t>
      </w:r>
      <w:r w:rsidRPr="004637CC">
        <w:rPr>
          <w:rFonts w:eastAsia="Times New Roman" w:cs="Times New Roman"/>
          <w:lang w:eastAsia="de-DE"/>
        </w:rPr>
        <w:t>für JHWH.</w:t>
      </w:r>
    </w:p>
    <w:p w14:paraId="06365886"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23,35</w:t>
      </w:r>
    </w:p>
    <w:p w14:paraId="6DEED26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בַּיּ֥וֹם הָרִאשׁ֖וֹן מִקְרָא־קֹ֑דֶשׁ כָּל־מְלֶ֥אכֶת עֲבֹדָ֖ה לֹ֥א תַעֲשֽׂוּ׃</w:t>
      </w:r>
    </w:p>
    <w:p w14:paraId="7E0BF0A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Am ersten Tag soll eine heilige Versammlung sein; keine Dienstarbeit sollt ihr tun.</w:t>
      </w:r>
    </w:p>
    <w:p w14:paraId="2B1BE1C1"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2E99C1D7">
          <v:rect id="_x0000_i1716" style="width:0;height:1.5pt" o:hralign="center" o:hrstd="t" o:hr="t" fillcolor="#a0a0a0" stroked="f"/>
        </w:pict>
      </w:r>
    </w:p>
    <w:p w14:paraId="67B06DA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ביום הראשון מקרא־קדש 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zeigt die Arbeitsruhe am ersten Tag des Laubhüttenfestes. </w:t>
      </w:r>
      <w:r w:rsidRPr="004637CC">
        <w:rPr>
          <w:rFonts w:eastAsia="Times New Roman" w:cs="Times New Roman"/>
          <w:b/>
          <w:bCs/>
          <w:rtl/>
          <w:lang w:eastAsia="de-DE"/>
        </w:rPr>
        <w:t>ביום הראשון מקרא־קדש</w:t>
      </w:r>
      <w:r w:rsidRPr="004637CC">
        <w:rPr>
          <w:rFonts w:eastAsia="Times New Roman" w:cs="Times New Roman"/>
          <w:rtl/>
          <w:lang w:eastAsia="de-DE"/>
        </w:rPr>
        <w:t xml:space="preserve"> </w:t>
      </w:r>
      <w:r w:rsidRPr="004637CC">
        <w:rPr>
          <w:rFonts w:eastAsia="Times New Roman" w:cs="Times New Roman"/>
          <w:lang w:eastAsia="de-DE"/>
        </w:rPr>
        <w:t xml:space="preserve">(am ersten Tag soll eine heilige Versammlung sein) entspricht V. 7 beim Mazzotfest und zeigt den </w:t>
      </w:r>
      <w:r w:rsidRPr="004637CC">
        <w:rPr>
          <w:rFonts w:eastAsia="Times New Roman" w:cs="Times New Roman"/>
          <w:b/>
          <w:bCs/>
          <w:rtl/>
          <w:lang w:eastAsia="de-DE"/>
        </w:rPr>
        <w:t>מקרא־קדש</w:t>
      </w:r>
      <w:r w:rsidRPr="004637CC">
        <w:rPr>
          <w:rFonts w:eastAsia="Times New Roman" w:cs="Times New Roman"/>
          <w:lang w:eastAsia="de-DE"/>
        </w:rPr>
        <w:t>-Charakter des Festbeginns.</w:t>
      </w:r>
    </w:p>
    <w:p w14:paraId="766C410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(keine Dienstarbeit sollt ihr tun) entspricht den anderen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und zeigt eingeschränkte Arbeitsruhe (nicht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wie beim Schabbat oder Versöhnungstag).</w:t>
      </w:r>
    </w:p>
    <w:p w14:paraId="3208098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יום הראשון</w:t>
      </w:r>
      <w:r w:rsidRPr="004637CC">
        <w:rPr>
          <w:rFonts w:eastAsia="Times New Roman" w:cs="Times New Roman"/>
          <w:rtl/>
          <w:lang w:eastAsia="de-DE"/>
        </w:rPr>
        <w:t xml:space="preserve"> </w:t>
      </w:r>
      <w:r w:rsidRPr="004637CC">
        <w:rPr>
          <w:rFonts w:eastAsia="Times New Roman" w:cs="Times New Roman"/>
          <w:lang w:eastAsia="de-DE"/>
        </w:rPr>
        <w:t xml:space="preserve">als Festbeginn mit besonderer Heiligkeit.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verbindet mit der </w:t>
      </w:r>
      <w:r w:rsidRPr="004637CC">
        <w:rPr>
          <w:rFonts w:eastAsia="Times New Roman" w:cs="Times New Roman"/>
          <w:b/>
          <w:bCs/>
          <w:rtl/>
          <w:lang w:eastAsia="de-DE"/>
        </w:rPr>
        <w:t>מועדים</w:t>
      </w:r>
      <w:r w:rsidRPr="004637CC">
        <w:rPr>
          <w:rFonts w:eastAsia="Times New Roman" w:cs="Times New Roman"/>
          <w:lang w:eastAsia="de-DE"/>
        </w:rPr>
        <w:t xml:space="preserve">-Terminologie.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als mildere Arbeitsruhe.</w:t>
      </w:r>
    </w:p>
    <w:p w14:paraId="796170D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ביום הראשון</w:t>
      </w:r>
      <w:r w:rsidRPr="004637CC">
        <w:rPr>
          <w:rFonts w:eastAsia="Times New Roman" w:cs="Times New Roman"/>
          <w:rtl/>
          <w:lang w:eastAsia="de-DE"/>
        </w:rPr>
        <w:t xml:space="preserve"> </w:t>
      </w:r>
      <w:r w:rsidRPr="004637CC">
        <w:rPr>
          <w:rFonts w:eastAsia="Times New Roman" w:cs="Times New Roman"/>
          <w:lang w:eastAsia="de-DE"/>
        </w:rPr>
        <w:t xml:space="preserve">mit ἡ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α ἡ π</w:t>
      </w:r>
      <w:proofErr w:type="spellStart"/>
      <w:r w:rsidRPr="004637CC">
        <w:rPr>
          <w:rFonts w:eastAsia="Times New Roman" w:cs="Times New Roman"/>
          <w:lang w:eastAsia="de-DE"/>
        </w:rPr>
        <w:t>ρώτη</w:t>
      </w:r>
      <w:proofErr w:type="spellEnd"/>
      <w:r w:rsidRPr="004637CC">
        <w:rPr>
          <w:rFonts w:eastAsia="Times New Roman" w:cs="Times New Roman"/>
          <w:lang w:eastAsia="de-DE"/>
        </w:rPr>
        <w:t xml:space="preserve"> (der erste Tag),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κλητὸς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ἅγιος</w:t>
      </w:r>
      <w:proofErr w:type="spellEnd"/>
      <w:r w:rsidRPr="004637CC">
        <w:rPr>
          <w:rFonts w:eastAsia="Times New Roman" w:cs="Times New Roman"/>
          <w:lang w:eastAsia="de-DE"/>
        </w:rPr>
        <w:t xml:space="preserve"> (heilige Berufung) und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ἔργον</w:t>
      </w:r>
      <w:proofErr w:type="spellEnd"/>
      <w:r w:rsidRPr="004637CC">
        <w:rPr>
          <w:rFonts w:eastAsia="Times New Roman" w:cs="Times New Roman"/>
          <w:lang w:eastAsia="de-DE"/>
        </w:rPr>
        <w:t xml:space="preserve"> λα</w:t>
      </w:r>
      <w:proofErr w:type="spellStart"/>
      <w:r w:rsidRPr="004637CC">
        <w:rPr>
          <w:rFonts w:eastAsia="Times New Roman" w:cs="Times New Roman"/>
          <w:lang w:eastAsia="de-DE"/>
        </w:rPr>
        <w:t>τρευτόν</w:t>
      </w:r>
      <w:proofErr w:type="spellEnd"/>
      <w:r w:rsidRPr="004637CC">
        <w:rPr>
          <w:rFonts w:eastAsia="Times New Roman" w:cs="Times New Roman"/>
          <w:lang w:eastAsia="de-DE"/>
        </w:rPr>
        <w:t xml:space="preserve"> (Dienstwerk).</w:t>
      </w:r>
    </w:p>
    <w:p w14:paraId="2A3356F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Laubhüttenfest-Beginn: erster Tag + heilige Versammlung + Dienstarbeitsverbot.</w:t>
      </w:r>
    </w:p>
    <w:p w14:paraId="0E9C915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den ersten Tag des Laubhüttenfestes als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mit eingeschränkter Arbeitsruhe.</w:t>
      </w:r>
    </w:p>
    <w:p w14:paraId="2781366A"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23,36</w:t>
      </w:r>
    </w:p>
    <w:p w14:paraId="231138A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שִׁבְעַ֣ת יָמִ֔ים תַּקְרִ֥יבוּ אִשֶּׁ֖ה לַיהוָ֑ה בַּיּ֣וֹם הַשְּׁמִינִ֡י מִקְרָא־קֹדֶשׁ֩ יִהְיֶ֨ה לָכֶ֜ם וְהִקְרַבְתֶּ֨ם אִשֶּׁ֤ה לַֽיהוָה֙ עֲצֶ֣רֶת הִ֔וא כָּל־מְלֶ֥אכֶת עֲבֹדָ֖ה לֹ֥א תַעֲשֽׂוּ׃</w:t>
      </w:r>
    </w:p>
    <w:p w14:paraId="66B6543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Sieben Tage sollt ihr dem Ewigen ein Feueropfer darbringen; am achten Tag soll euch eine heilige Versammlung sein, und ihr sollt dem Ewigen ein Feueropfer darbringen: Es ist eine Festversammlung, keinerlei Dienstarbeit sollt ihr tun.</w:t>
      </w:r>
    </w:p>
    <w:p w14:paraId="7BC90EF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BAE1910">
          <v:rect id="_x0000_i1717" style="width:0;height:1.5pt" o:hralign="center" o:hrstd="t" o:hr="t" fillcolor="#a0a0a0" stroked="f"/>
        </w:pict>
      </w:r>
    </w:p>
    <w:p w14:paraId="6B4F8C1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שבעת ימים תקריבו אשה ליהוה ביום השמיני מקרא־קדש יהיה לכם והקרבתם אשה ליהוה עצרת הוא 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 xml:space="preserve">zeigt die siebentägige Opferordnung und den achten Tag. </w:t>
      </w:r>
      <w:r w:rsidRPr="004637CC">
        <w:rPr>
          <w:rFonts w:eastAsia="Times New Roman" w:cs="Times New Roman"/>
          <w:b/>
          <w:bCs/>
          <w:rtl/>
          <w:lang w:eastAsia="de-DE"/>
        </w:rPr>
        <w:lastRenderedPageBreak/>
        <w:t>שבעת ימים תקריבו אשה ליהוה</w:t>
      </w:r>
      <w:r w:rsidRPr="004637CC">
        <w:rPr>
          <w:rFonts w:eastAsia="Times New Roman" w:cs="Times New Roman"/>
          <w:rtl/>
          <w:lang w:eastAsia="de-DE"/>
        </w:rPr>
        <w:t xml:space="preserve"> </w:t>
      </w:r>
      <w:r w:rsidRPr="004637CC">
        <w:rPr>
          <w:rFonts w:eastAsia="Times New Roman" w:cs="Times New Roman"/>
          <w:lang w:eastAsia="de-DE"/>
        </w:rPr>
        <w:t>(sieben Tage sollt ihr dem Ewigen ein Feueropfer darbringen) entspricht V. 8 beim Mazzotfest und zeigt kontinuierliche Opferpflicht während der Festwoche.</w:t>
      </w:r>
    </w:p>
    <w:p w14:paraId="65BE4C7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ביום השמיני מקרא־קדש יהיה לכם</w:t>
      </w:r>
      <w:r w:rsidRPr="004637CC">
        <w:rPr>
          <w:rFonts w:eastAsia="Times New Roman" w:cs="Times New Roman"/>
          <w:rtl/>
          <w:lang w:eastAsia="de-DE"/>
        </w:rPr>
        <w:t xml:space="preserve"> </w:t>
      </w:r>
      <w:r w:rsidRPr="004637CC">
        <w:rPr>
          <w:rFonts w:eastAsia="Times New Roman" w:cs="Times New Roman"/>
          <w:lang w:eastAsia="de-DE"/>
        </w:rPr>
        <w:t xml:space="preserve">(am achten Tag soll euch eine heilige Versammlung sein) - </w:t>
      </w:r>
      <w:r w:rsidRPr="004637CC">
        <w:rPr>
          <w:rFonts w:eastAsia="Times New Roman" w:cs="Times New Roman"/>
          <w:b/>
          <w:bCs/>
          <w:rtl/>
          <w:lang w:eastAsia="de-DE"/>
        </w:rPr>
        <w:t>ביום השמיני</w:t>
      </w:r>
      <w:r w:rsidRPr="004637CC">
        <w:rPr>
          <w:rFonts w:eastAsia="Times New Roman" w:cs="Times New Roman"/>
          <w:rtl/>
          <w:lang w:eastAsia="de-DE"/>
        </w:rPr>
        <w:t xml:space="preserve"> </w:t>
      </w:r>
      <w:r w:rsidRPr="004637CC">
        <w:rPr>
          <w:rFonts w:eastAsia="Times New Roman" w:cs="Times New Roman"/>
          <w:lang w:eastAsia="de-DE"/>
        </w:rPr>
        <w:t xml:space="preserve">(am achten Tag) zeigt einen zusätzlichen Tag nach dem siebentägigen Fest.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entspricht der </w:t>
      </w:r>
      <w:r w:rsidRPr="004637CC">
        <w:rPr>
          <w:rFonts w:eastAsia="Times New Roman" w:cs="Times New Roman"/>
          <w:b/>
          <w:bCs/>
          <w:rtl/>
          <w:lang w:eastAsia="de-DE"/>
        </w:rPr>
        <w:t>מועדים</w:t>
      </w:r>
      <w:r w:rsidRPr="004637CC">
        <w:rPr>
          <w:rFonts w:eastAsia="Times New Roman" w:cs="Times New Roman"/>
          <w:lang w:eastAsia="de-DE"/>
        </w:rPr>
        <w:t>-Terminologie.</w:t>
      </w:r>
    </w:p>
    <w:p w14:paraId="5088195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והקרבתם אשה ליהוה עצרת הוא</w:t>
      </w:r>
      <w:r w:rsidRPr="004637CC">
        <w:rPr>
          <w:rFonts w:eastAsia="Times New Roman" w:cs="Times New Roman"/>
          <w:rtl/>
          <w:lang w:eastAsia="de-DE"/>
        </w:rPr>
        <w:t xml:space="preserve"> </w:t>
      </w:r>
      <w:r w:rsidRPr="004637CC">
        <w:rPr>
          <w:rFonts w:eastAsia="Times New Roman" w:cs="Times New Roman"/>
          <w:lang w:eastAsia="de-DE"/>
        </w:rPr>
        <w:t xml:space="preserve">(und ihr sollt dem Ewigen ein Feueropfer darbringen: Es ist eine Festversammlung) - </w:t>
      </w:r>
      <w:r w:rsidRPr="004637CC">
        <w:rPr>
          <w:rFonts w:eastAsia="Times New Roman" w:cs="Times New Roman"/>
          <w:b/>
          <w:bCs/>
          <w:rtl/>
          <w:lang w:eastAsia="de-DE"/>
        </w:rPr>
        <w:t>עצרת</w:t>
      </w:r>
      <w:r w:rsidRPr="004637CC">
        <w:rPr>
          <w:rFonts w:eastAsia="Times New Roman" w:cs="Times New Roman"/>
          <w:rtl/>
          <w:lang w:eastAsia="de-DE"/>
        </w:rPr>
        <w:t xml:space="preserve"> </w:t>
      </w:r>
      <w:r w:rsidRPr="004637CC">
        <w:rPr>
          <w:rFonts w:eastAsia="Times New Roman" w:cs="Times New Roman"/>
          <w:lang w:eastAsia="de-DE"/>
        </w:rPr>
        <w:t xml:space="preserve">(Festversammlung) von </w:t>
      </w:r>
      <w:r w:rsidRPr="004637CC">
        <w:rPr>
          <w:rFonts w:eastAsia="Times New Roman" w:cs="Times New Roman"/>
          <w:b/>
          <w:bCs/>
          <w:rtl/>
          <w:lang w:eastAsia="de-DE"/>
        </w:rPr>
        <w:t>עצר</w:t>
      </w:r>
      <w:r w:rsidRPr="004637CC">
        <w:rPr>
          <w:rFonts w:eastAsia="Times New Roman" w:cs="Times New Roman"/>
          <w:rtl/>
          <w:lang w:eastAsia="de-DE"/>
        </w:rPr>
        <w:t xml:space="preserve"> </w:t>
      </w:r>
      <w:r w:rsidRPr="004637CC">
        <w:rPr>
          <w:rFonts w:eastAsia="Times New Roman" w:cs="Times New Roman"/>
          <w:lang w:eastAsia="de-DE"/>
        </w:rPr>
        <w:t>(zurückhalten/versammeln) zeigt den besonderen Charakter des achten Tages.</w:t>
      </w:r>
    </w:p>
    <w:p w14:paraId="1040191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כל־מלאכת עבדה לא תעשו</w:t>
      </w:r>
      <w:r w:rsidRPr="004637CC">
        <w:rPr>
          <w:rFonts w:eastAsia="Times New Roman" w:cs="Times New Roman"/>
          <w:rtl/>
          <w:lang w:eastAsia="de-DE"/>
        </w:rPr>
        <w:t xml:space="preserve"> </w:t>
      </w:r>
      <w:r w:rsidRPr="004637CC">
        <w:rPr>
          <w:rFonts w:eastAsia="Times New Roman" w:cs="Times New Roman"/>
          <w:lang w:eastAsia="de-DE"/>
        </w:rPr>
        <w:t>entspricht V. 35.</w:t>
      </w:r>
    </w:p>
    <w:p w14:paraId="060F209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 xml:space="preserve">als Hauptfestdauer. </w:t>
      </w:r>
      <w:r w:rsidRPr="004637CC">
        <w:rPr>
          <w:rFonts w:eastAsia="Times New Roman" w:cs="Times New Roman"/>
          <w:b/>
          <w:bCs/>
          <w:rtl/>
          <w:lang w:eastAsia="de-DE"/>
        </w:rPr>
        <w:t>יום השמיני</w:t>
      </w:r>
      <w:r w:rsidRPr="004637CC">
        <w:rPr>
          <w:rFonts w:eastAsia="Times New Roman" w:cs="Times New Roman"/>
          <w:rtl/>
          <w:lang w:eastAsia="de-DE"/>
        </w:rPr>
        <w:t xml:space="preserve"> </w:t>
      </w:r>
      <w:r w:rsidRPr="004637CC">
        <w:rPr>
          <w:rFonts w:eastAsia="Times New Roman" w:cs="Times New Roman"/>
          <w:lang w:eastAsia="de-DE"/>
        </w:rPr>
        <w:t xml:space="preserve">als zusätzlicher </w:t>
      </w:r>
      <w:r w:rsidRPr="004637CC">
        <w:rPr>
          <w:rFonts w:eastAsia="Times New Roman" w:cs="Times New Roman"/>
          <w:b/>
          <w:bCs/>
          <w:rtl/>
          <w:lang w:eastAsia="de-DE"/>
        </w:rPr>
        <w:t>עצרת</w:t>
      </w:r>
      <w:r w:rsidRPr="004637CC">
        <w:rPr>
          <w:rFonts w:eastAsia="Times New Roman" w:cs="Times New Roman"/>
          <w:lang w:eastAsia="de-DE"/>
        </w:rPr>
        <w:t xml:space="preserve">-Tag. </w:t>
      </w:r>
      <w:r w:rsidRPr="004637CC">
        <w:rPr>
          <w:rFonts w:eastAsia="Times New Roman" w:cs="Times New Roman"/>
          <w:b/>
          <w:bCs/>
          <w:rtl/>
          <w:lang w:eastAsia="de-DE"/>
        </w:rPr>
        <w:t>עצרת</w:t>
      </w:r>
      <w:r w:rsidRPr="004637CC">
        <w:rPr>
          <w:rFonts w:eastAsia="Times New Roman" w:cs="Times New Roman"/>
          <w:rtl/>
          <w:lang w:eastAsia="de-DE"/>
        </w:rPr>
        <w:t xml:space="preserve"> </w:t>
      </w:r>
      <w:r w:rsidRPr="004637CC">
        <w:rPr>
          <w:rFonts w:eastAsia="Times New Roman" w:cs="Times New Roman"/>
          <w:lang w:eastAsia="de-DE"/>
        </w:rPr>
        <w:t>als besondere Bezeichnung für Festabschluss.</w:t>
      </w:r>
    </w:p>
    <w:p w14:paraId="0D62BC51" w14:textId="056306D3"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עצרת</w:t>
      </w:r>
      <w:r w:rsidR="00775F21">
        <w:t xml:space="preserve"> (</w:t>
      </w:r>
      <w:proofErr w:type="spellStart"/>
      <w:r w:rsidR="00775F21">
        <w:t>atzeret</w:t>
      </w:r>
      <w:proofErr w:type="spellEnd"/>
      <w:r w:rsidR="00775F21">
        <w:t xml:space="preserve"> - "Versammlung/Schlussfeier") als </w:t>
      </w:r>
      <w:proofErr w:type="spellStart"/>
      <w:r w:rsidR="00775F21">
        <w:t>ἐξόδιον</w:t>
      </w:r>
      <w:proofErr w:type="spellEnd"/>
      <w:r w:rsidR="00775F21">
        <w:t xml:space="preserve"> (Abschluss/Ausgang).</w:t>
      </w:r>
    </w:p>
    <w:p w14:paraId="1FDF396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Laubhüttenfest-Ordnung: siebentägige Feueropfer + achter Tag als heilige Versammlung + Feueropfer + </w:t>
      </w:r>
      <w:r w:rsidRPr="004637CC">
        <w:rPr>
          <w:rFonts w:eastAsia="Times New Roman" w:cs="Times New Roman"/>
          <w:b/>
          <w:bCs/>
          <w:rtl/>
          <w:lang w:eastAsia="de-DE"/>
        </w:rPr>
        <w:t>עצרת</w:t>
      </w:r>
      <w:r w:rsidRPr="004637CC">
        <w:rPr>
          <w:rFonts w:eastAsia="Times New Roman" w:cs="Times New Roman"/>
          <w:lang w:eastAsia="de-DE"/>
        </w:rPr>
        <w:t>-Charakter + Dienstarbeitsverbot.</w:t>
      </w:r>
    </w:p>
    <w:p w14:paraId="51A922C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die siebentägige Laubhüttenfest-Ordnung mit einem zusätzlichen achten Tag als </w:t>
      </w:r>
      <w:r w:rsidRPr="004637CC">
        <w:rPr>
          <w:rFonts w:eastAsia="Times New Roman" w:cs="Times New Roman"/>
          <w:b/>
          <w:bCs/>
          <w:rtl/>
          <w:lang w:eastAsia="de-DE"/>
        </w:rPr>
        <w:t>עצרת</w:t>
      </w:r>
      <w:r w:rsidRPr="004637CC">
        <w:rPr>
          <w:rFonts w:eastAsia="Times New Roman" w:cs="Times New Roman"/>
          <w:rtl/>
          <w:lang w:eastAsia="de-DE"/>
        </w:rPr>
        <w:t xml:space="preserve"> </w:t>
      </w:r>
      <w:r w:rsidRPr="004637CC">
        <w:rPr>
          <w:rFonts w:eastAsia="Times New Roman" w:cs="Times New Roman"/>
          <w:lang w:eastAsia="de-DE"/>
        </w:rPr>
        <w:t>(Festversammlung).</w:t>
      </w:r>
    </w:p>
    <w:p w14:paraId="60A89671"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23,37</w:t>
      </w:r>
    </w:p>
    <w:p w14:paraId="3EA05EF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אֵ֚לֶּה מוֹעֲדֵ֣י יְהוָ֔ה אֲשֶׁר־תִּקְרְא֥וּ אֹתָ֖ם מִקְרָאֵ֣י קֹ֑דֶשׁ לְהַקְרִ֨יב אִשֶּׁ֜ה לַיהוָ֗ה עֹלָ֧ה וּמִנְחָ֛ה זֶ֥בַח וּנְסָכִ֖ים דְּבַר־י֥וֹם בְּיוֹמֹֽו׃</w:t>
      </w:r>
    </w:p>
    <w:p w14:paraId="296720FD" w14:textId="7AD4E858"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Dies sind die Feste des Ewigen, die ihr als heilige Versammlungen ausrufen sollt, um dem Ewigen Feueropfer darzubringen: </w:t>
      </w:r>
      <w:r w:rsidR="00DE39DD">
        <w:rPr>
          <w:rFonts w:eastAsia="Times New Roman" w:cs="Times New Roman"/>
          <w:lang w:eastAsia="de-DE"/>
        </w:rPr>
        <w:t>Aufsteigeopfer</w:t>
      </w:r>
      <w:r w:rsidRPr="004637CC">
        <w:rPr>
          <w:rFonts w:eastAsia="Times New Roman" w:cs="Times New Roman"/>
          <w:lang w:eastAsia="de-DE"/>
        </w:rPr>
        <w:t xml:space="preserve"> und Speisopfer, Schlachtopfer und Trankopfer, die Gebühr eines jeden Tages an seinem (jeweiligen) Tag;</w:t>
      </w:r>
    </w:p>
    <w:p w14:paraId="746950CA"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1047159">
          <v:rect id="_x0000_i1718" style="width:0;height:1.5pt" o:hralign="center" o:hrstd="t" o:hr="t" fillcolor="#a0a0a0" stroked="f"/>
        </w:pict>
      </w:r>
    </w:p>
    <w:p w14:paraId="074D4F2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אלה מועדי יהוה אשר־תקראו אתם מקראי קדש להקריב אשה ליהוה עלה ומנחה זבח ונסכים דבר־יום ביומו</w:t>
      </w:r>
      <w:r w:rsidRPr="004637CC">
        <w:rPr>
          <w:rFonts w:eastAsia="Times New Roman" w:cs="Times New Roman"/>
          <w:rtl/>
          <w:lang w:eastAsia="de-DE"/>
        </w:rPr>
        <w:t xml:space="preserve"> </w:t>
      </w:r>
      <w:r w:rsidRPr="004637CC">
        <w:rPr>
          <w:rFonts w:eastAsia="Times New Roman" w:cs="Times New Roman"/>
          <w:lang w:eastAsia="de-DE"/>
        </w:rPr>
        <w:t xml:space="preserve">fasst die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zusammen. </w:t>
      </w:r>
      <w:r w:rsidRPr="004637CC">
        <w:rPr>
          <w:rFonts w:eastAsia="Times New Roman" w:cs="Times New Roman"/>
          <w:b/>
          <w:bCs/>
          <w:rtl/>
          <w:lang w:eastAsia="de-DE"/>
        </w:rPr>
        <w:t>אלה מועדי יהוה אשר־תקראו אתם מקראי קדש</w:t>
      </w:r>
      <w:r w:rsidRPr="004637CC">
        <w:rPr>
          <w:rFonts w:eastAsia="Times New Roman" w:cs="Times New Roman"/>
          <w:rtl/>
          <w:lang w:eastAsia="de-DE"/>
        </w:rPr>
        <w:t xml:space="preserve"> </w:t>
      </w:r>
      <w:r w:rsidRPr="004637CC">
        <w:rPr>
          <w:rFonts w:eastAsia="Times New Roman" w:cs="Times New Roman"/>
          <w:lang w:eastAsia="de-DE"/>
        </w:rPr>
        <w:t>(dies sind die Feste des Ewigen, die ihr als heilige Versammlungen ausrufen sollt) entspricht V. 2,4 und zeigt zusammenfassende Wiederholung.</w:t>
      </w:r>
    </w:p>
    <w:p w14:paraId="3BE1F85D" w14:textId="0CD5FC6E"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להקריב אשה ליהוה</w:t>
      </w:r>
      <w:r w:rsidRPr="004637CC">
        <w:rPr>
          <w:rFonts w:eastAsia="Times New Roman" w:cs="Times New Roman"/>
          <w:rtl/>
          <w:lang w:eastAsia="de-DE"/>
        </w:rPr>
        <w:t xml:space="preserve"> </w:t>
      </w:r>
      <w:r w:rsidRPr="004637CC">
        <w:rPr>
          <w:rFonts w:eastAsia="Times New Roman" w:cs="Times New Roman"/>
          <w:lang w:eastAsia="de-DE"/>
        </w:rPr>
        <w:t xml:space="preserve">(um dem Ewigen Feueropfer darzubringen) zeigt den Zweck der </w:t>
      </w:r>
      <w:r w:rsidRPr="004637CC">
        <w:rPr>
          <w:rFonts w:eastAsia="Times New Roman" w:cs="Times New Roman"/>
          <w:b/>
          <w:bCs/>
          <w:rtl/>
          <w:lang w:eastAsia="de-DE"/>
        </w:rPr>
        <w:t>מועדים</w:t>
      </w:r>
      <w:r w:rsidRPr="004637CC">
        <w:rPr>
          <w:rFonts w:eastAsia="Times New Roman" w:cs="Times New Roman"/>
          <w:lang w:eastAsia="de-DE"/>
        </w:rPr>
        <w:t xml:space="preserve">. </w:t>
      </w:r>
      <w:r w:rsidRPr="004637CC">
        <w:rPr>
          <w:rFonts w:eastAsia="Times New Roman" w:cs="Times New Roman"/>
          <w:b/>
          <w:bCs/>
          <w:rtl/>
          <w:lang w:eastAsia="de-DE"/>
        </w:rPr>
        <w:t>עלה ומנחה זבח ונסכים</w:t>
      </w:r>
      <w:r w:rsidRPr="004637CC">
        <w:rPr>
          <w:rFonts w:eastAsia="Times New Roman" w:cs="Times New Roman"/>
          <w:rtl/>
          <w:lang w:eastAsia="de-DE"/>
        </w:rPr>
        <w:t xml:space="preserve"> </w:t>
      </w:r>
      <w:r w:rsidRPr="004637CC">
        <w:rPr>
          <w:rFonts w:eastAsia="Times New Roman" w:cs="Times New Roman"/>
          <w:lang w:eastAsia="de-DE"/>
        </w:rPr>
        <w:t>(</w:t>
      </w:r>
      <w:r w:rsidR="00DE39DD">
        <w:rPr>
          <w:rFonts w:eastAsia="Times New Roman" w:cs="Times New Roman"/>
          <w:lang w:eastAsia="de-DE"/>
        </w:rPr>
        <w:t>Aufsteigeopfer</w:t>
      </w:r>
      <w:r w:rsidRPr="004637CC">
        <w:rPr>
          <w:rFonts w:eastAsia="Times New Roman" w:cs="Times New Roman"/>
          <w:lang w:eastAsia="de-DE"/>
        </w:rPr>
        <w:t xml:space="preserve"> und Speisopfer, Schlachtopfer und Trankopfer) zeigt die vier Grundopferarten:</w:t>
      </w:r>
    </w:p>
    <w:p w14:paraId="6701CAEB" w14:textId="5E0B1A7C" w:rsidR="004637CC" w:rsidRPr="004637CC" w:rsidRDefault="004637CC" w:rsidP="004637CC">
      <w:pPr>
        <w:numPr>
          <w:ilvl w:val="0"/>
          <w:numId w:val="15"/>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עלה</w:t>
      </w:r>
      <w:r w:rsidRPr="004637CC">
        <w:rPr>
          <w:rFonts w:eastAsia="Times New Roman" w:cs="Times New Roman"/>
          <w:rtl/>
          <w:lang w:eastAsia="de-DE"/>
        </w:rPr>
        <w:t xml:space="preserve"> </w:t>
      </w:r>
      <w:r w:rsidRPr="004637CC">
        <w:rPr>
          <w:rFonts w:eastAsia="Times New Roman" w:cs="Times New Roman"/>
          <w:lang w:eastAsia="de-DE"/>
        </w:rPr>
        <w:t>(</w:t>
      </w:r>
      <w:r w:rsidR="00DE39DD">
        <w:rPr>
          <w:rFonts w:eastAsia="Times New Roman" w:cs="Times New Roman"/>
          <w:lang w:eastAsia="de-DE"/>
        </w:rPr>
        <w:t>Aufsteigeopfer</w:t>
      </w:r>
      <w:r w:rsidRPr="004637CC">
        <w:rPr>
          <w:rFonts w:eastAsia="Times New Roman" w:cs="Times New Roman"/>
          <w:lang w:eastAsia="de-DE"/>
        </w:rPr>
        <w:t>)</w:t>
      </w:r>
    </w:p>
    <w:p w14:paraId="4AD28FFB" w14:textId="77777777" w:rsidR="004637CC" w:rsidRPr="004637CC" w:rsidRDefault="004637CC" w:rsidP="004637CC">
      <w:pPr>
        <w:numPr>
          <w:ilvl w:val="0"/>
          <w:numId w:val="15"/>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מנחה</w:t>
      </w:r>
      <w:r w:rsidRPr="004637CC">
        <w:rPr>
          <w:rFonts w:eastAsia="Times New Roman" w:cs="Times New Roman"/>
          <w:rtl/>
          <w:lang w:eastAsia="de-DE"/>
        </w:rPr>
        <w:t xml:space="preserve"> </w:t>
      </w:r>
      <w:r w:rsidRPr="004637CC">
        <w:rPr>
          <w:rFonts w:eastAsia="Times New Roman" w:cs="Times New Roman"/>
          <w:lang w:eastAsia="de-DE"/>
        </w:rPr>
        <w:t>(Speisopfer)</w:t>
      </w:r>
    </w:p>
    <w:p w14:paraId="0AEA7EA2" w14:textId="77777777" w:rsidR="004637CC" w:rsidRPr="004637CC" w:rsidRDefault="004637CC" w:rsidP="004637CC">
      <w:pPr>
        <w:numPr>
          <w:ilvl w:val="0"/>
          <w:numId w:val="15"/>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זבח</w:t>
      </w:r>
      <w:r w:rsidRPr="004637CC">
        <w:rPr>
          <w:rFonts w:eastAsia="Times New Roman" w:cs="Times New Roman"/>
          <w:rtl/>
          <w:lang w:eastAsia="de-DE"/>
        </w:rPr>
        <w:t xml:space="preserve"> </w:t>
      </w:r>
      <w:r w:rsidRPr="004637CC">
        <w:rPr>
          <w:rFonts w:eastAsia="Times New Roman" w:cs="Times New Roman"/>
          <w:lang w:eastAsia="de-DE"/>
        </w:rPr>
        <w:t>(Schlachtopfer)</w:t>
      </w:r>
    </w:p>
    <w:p w14:paraId="6108B649" w14:textId="77777777" w:rsidR="004637CC" w:rsidRPr="004637CC" w:rsidRDefault="004637CC" w:rsidP="004637CC">
      <w:pPr>
        <w:numPr>
          <w:ilvl w:val="0"/>
          <w:numId w:val="15"/>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נסכים</w:t>
      </w:r>
      <w:r w:rsidRPr="004637CC">
        <w:rPr>
          <w:rFonts w:eastAsia="Times New Roman" w:cs="Times New Roman"/>
          <w:rtl/>
          <w:lang w:eastAsia="de-DE"/>
        </w:rPr>
        <w:t xml:space="preserve"> </w:t>
      </w:r>
      <w:r w:rsidRPr="004637CC">
        <w:rPr>
          <w:rFonts w:eastAsia="Times New Roman" w:cs="Times New Roman"/>
          <w:lang w:eastAsia="de-DE"/>
        </w:rPr>
        <w:t>(Trankopfer)</w:t>
      </w:r>
    </w:p>
    <w:p w14:paraId="2645F98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דבר־יום ביומו</w:t>
      </w:r>
      <w:r w:rsidRPr="004637CC">
        <w:rPr>
          <w:rFonts w:eastAsia="Times New Roman" w:cs="Times New Roman"/>
          <w:rtl/>
          <w:lang w:eastAsia="de-DE"/>
        </w:rPr>
        <w:t xml:space="preserve"> </w:t>
      </w:r>
      <w:r w:rsidRPr="004637CC">
        <w:rPr>
          <w:rFonts w:eastAsia="Times New Roman" w:cs="Times New Roman"/>
          <w:lang w:eastAsia="de-DE"/>
        </w:rPr>
        <w:t>(die Gebühr eines jeden Tages an seinem Tag) zeigt tagesspezifische Opferordnungen.</w:t>
      </w:r>
    </w:p>
    <w:p w14:paraId="6582257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אלה מועדי יהוה</w:t>
      </w:r>
      <w:r w:rsidRPr="004637CC">
        <w:rPr>
          <w:rFonts w:eastAsia="Times New Roman" w:cs="Times New Roman"/>
          <w:rtl/>
          <w:lang w:eastAsia="de-DE"/>
        </w:rPr>
        <w:t xml:space="preserve"> </w:t>
      </w:r>
      <w:r w:rsidRPr="004637CC">
        <w:rPr>
          <w:rFonts w:eastAsia="Times New Roman" w:cs="Times New Roman"/>
          <w:lang w:eastAsia="de-DE"/>
        </w:rPr>
        <w:t xml:space="preserve">als zusammenfassende Formel. </w:t>
      </w:r>
      <w:r w:rsidRPr="004637CC">
        <w:rPr>
          <w:rFonts w:eastAsia="Times New Roman" w:cs="Times New Roman"/>
          <w:b/>
          <w:bCs/>
          <w:rtl/>
          <w:lang w:eastAsia="de-DE"/>
        </w:rPr>
        <w:t>עלה ומנחה זבח ונסכים</w:t>
      </w:r>
      <w:r w:rsidRPr="004637CC">
        <w:rPr>
          <w:rFonts w:eastAsia="Times New Roman" w:cs="Times New Roman"/>
          <w:rtl/>
          <w:lang w:eastAsia="de-DE"/>
        </w:rPr>
        <w:t xml:space="preserve"> </w:t>
      </w:r>
      <w:r w:rsidRPr="004637CC">
        <w:rPr>
          <w:rFonts w:eastAsia="Times New Roman" w:cs="Times New Roman"/>
          <w:lang w:eastAsia="de-DE"/>
        </w:rPr>
        <w:t xml:space="preserve">als vollständige Opfertypologie. </w:t>
      </w:r>
      <w:r w:rsidRPr="004637CC">
        <w:rPr>
          <w:rFonts w:eastAsia="Times New Roman" w:cs="Times New Roman"/>
          <w:b/>
          <w:bCs/>
          <w:rtl/>
          <w:lang w:eastAsia="de-DE"/>
        </w:rPr>
        <w:t>דבר־יום ביומו</w:t>
      </w:r>
      <w:r w:rsidRPr="004637CC">
        <w:rPr>
          <w:rFonts w:eastAsia="Times New Roman" w:cs="Times New Roman"/>
          <w:rtl/>
          <w:lang w:eastAsia="de-DE"/>
        </w:rPr>
        <w:t xml:space="preserve"> </w:t>
      </w:r>
      <w:r w:rsidRPr="004637CC">
        <w:rPr>
          <w:rFonts w:eastAsia="Times New Roman" w:cs="Times New Roman"/>
          <w:lang w:eastAsia="de-DE"/>
        </w:rPr>
        <w:t>zeigt differenzierte Tagesordnungen.</w:t>
      </w:r>
    </w:p>
    <w:p w14:paraId="4CE4A21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אלה מועדי יהוה</w:t>
      </w:r>
      <w:r w:rsidRPr="004637CC">
        <w:rPr>
          <w:rFonts w:eastAsia="Times New Roman" w:cs="Times New Roman"/>
          <w:rtl/>
          <w:lang w:eastAsia="de-DE"/>
        </w:rPr>
        <w:t xml:space="preserve"> </w:t>
      </w:r>
      <w:r w:rsidRPr="004637CC">
        <w:rPr>
          <w:rFonts w:eastAsia="Times New Roman" w:cs="Times New Roman"/>
          <w:lang w:eastAsia="de-DE"/>
        </w:rPr>
        <w:t>mit α</w:t>
      </w:r>
      <w:proofErr w:type="spellStart"/>
      <w:r w:rsidRPr="004637CC">
        <w:rPr>
          <w:rFonts w:eastAsia="Times New Roman" w:cs="Times New Roman"/>
          <w:lang w:eastAsia="de-DE"/>
        </w:rPr>
        <w:t>ὗτ</w:t>
      </w:r>
      <w:proofErr w:type="spellEnd"/>
      <w:r w:rsidRPr="004637CC">
        <w:rPr>
          <w:rFonts w:eastAsia="Times New Roman" w:cs="Times New Roman"/>
          <w:lang w:eastAsia="de-DE"/>
        </w:rPr>
        <w:t xml:space="preserve">αί </w:t>
      </w:r>
      <w:proofErr w:type="spellStart"/>
      <w:r w:rsidRPr="004637CC">
        <w:rPr>
          <w:rFonts w:eastAsia="Times New Roman" w:cs="Times New Roman"/>
          <w:lang w:eastAsia="de-DE"/>
        </w:rPr>
        <w:t>εἰσιν</w:t>
      </w:r>
      <w:proofErr w:type="spellEnd"/>
      <w:r w:rsidRPr="004637CC">
        <w:rPr>
          <w:rFonts w:eastAsia="Times New Roman" w:cs="Times New Roman"/>
          <w:lang w:eastAsia="de-DE"/>
        </w:rPr>
        <w:t xml:space="preserve"> αἱ </w:t>
      </w:r>
      <w:proofErr w:type="spellStart"/>
      <w:r w:rsidRPr="004637CC">
        <w:rPr>
          <w:rFonts w:eastAsia="Times New Roman" w:cs="Times New Roman"/>
          <w:lang w:eastAsia="de-DE"/>
        </w:rPr>
        <w:t>ἑορτ</w:t>
      </w:r>
      <w:proofErr w:type="spellEnd"/>
      <w:r w:rsidRPr="004637CC">
        <w:rPr>
          <w:rFonts w:eastAsia="Times New Roman" w:cs="Times New Roman"/>
          <w:lang w:eastAsia="de-DE"/>
        </w:rPr>
        <w:t xml:space="preserve">αὶ </w:t>
      </w:r>
      <w:proofErr w:type="spellStart"/>
      <w:r w:rsidRPr="004637CC">
        <w:rPr>
          <w:rFonts w:eastAsia="Times New Roman" w:cs="Times New Roman"/>
          <w:lang w:eastAsia="de-DE"/>
        </w:rPr>
        <w:t>κυρίου</w:t>
      </w:r>
      <w:proofErr w:type="spellEnd"/>
      <w:r w:rsidRPr="004637CC">
        <w:rPr>
          <w:rFonts w:eastAsia="Times New Roman" w:cs="Times New Roman"/>
          <w:lang w:eastAsia="de-DE"/>
        </w:rPr>
        <w:t xml:space="preserve"> (dies sind die Feste des Herrn), </w:t>
      </w:r>
      <w:r w:rsidRPr="004637CC">
        <w:rPr>
          <w:rFonts w:eastAsia="Times New Roman" w:cs="Times New Roman"/>
          <w:b/>
          <w:bCs/>
          <w:rtl/>
          <w:lang w:eastAsia="de-DE"/>
        </w:rPr>
        <w:t>עלה ומנחה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ὁλοκ</w:t>
      </w:r>
      <w:proofErr w:type="spellEnd"/>
      <w:r w:rsidRPr="004637CC">
        <w:rPr>
          <w:rFonts w:eastAsia="Times New Roman" w:cs="Times New Roman"/>
          <w:lang w:eastAsia="de-DE"/>
        </w:rPr>
        <w:t xml:space="preserve">αύτωμα καὶ </w:t>
      </w:r>
      <w:proofErr w:type="spellStart"/>
      <w:r w:rsidRPr="004637CC">
        <w:rPr>
          <w:rFonts w:eastAsia="Times New Roman" w:cs="Times New Roman"/>
          <w:lang w:eastAsia="de-DE"/>
        </w:rPr>
        <w:t>θυσί</w:t>
      </w:r>
      <w:proofErr w:type="spellEnd"/>
      <w:r w:rsidRPr="004637CC">
        <w:rPr>
          <w:rFonts w:eastAsia="Times New Roman" w:cs="Times New Roman"/>
          <w:lang w:eastAsia="de-DE"/>
        </w:rPr>
        <w:t xml:space="preserve">αν (Ganzopfer und Opfer), </w:t>
      </w:r>
      <w:r w:rsidRPr="004637CC">
        <w:rPr>
          <w:rFonts w:eastAsia="Times New Roman" w:cs="Times New Roman"/>
          <w:b/>
          <w:bCs/>
          <w:rtl/>
          <w:lang w:eastAsia="de-DE"/>
        </w:rPr>
        <w:t>דבר־יום ביומו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τὸ</w:t>
      </w:r>
      <w:proofErr w:type="spellEnd"/>
      <w:r w:rsidRPr="004637CC">
        <w:rPr>
          <w:rFonts w:eastAsia="Times New Roman" w:cs="Times New Roman"/>
          <w:lang w:eastAsia="de-DE"/>
        </w:rPr>
        <w:t xml:space="preserve"> καθ᾽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 xml:space="preserve">αν </w:t>
      </w:r>
      <w:proofErr w:type="spellStart"/>
      <w:r w:rsidRPr="004637CC">
        <w:rPr>
          <w:rFonts w:eastAsia="Times New Roman" w:cs="Times New Roman"/>
          <w:lang w:eastAsia="de-DE"/>
        </w:rPr>
        <w:t>εἰς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w:t>
      </w:r>
      <w:proofErr w:type="spellEnd"/>
      <w:r w:rsidRPr="004637CC">
        <w:rPr>
          <w:rFonts w:eastAsia="Times New Roman" w:cs="Times New Roman"/>
          <w:lang w:eastAsia="de-DE"/>
        </w:rPr>
        <w:t>αν (das Tägliche für jeden Tag).</w:t>
      </w:r>
    </w:p>
    <w:p w14:paraId="7A2A63D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t>
      </w:r>
      <w:r w:rsidRPr="004637CC">
        <w:rPr>
          <w:rFonts w:eastAsia="Times New Roman" w:cs="Times New Roman"/>
          <w:b/>
          <w:bCs/>
          <w:rtl/>
          <w:lang w:eastAsia="de-DE"/>
        </w:rPr>
        <w:t>מועדים</w:t>
      </w:r>
      <w:r w:rsidRPr="004637CC">
        <w:rPr>
          <w:rFonts w:eastAsia="Times New Roman" w:cs="Times New Roman"/>
          <w:lang w:eastAsia="de-DE"/>
        </w:rPr>
        <w:t>-Zusammenfassung: göttliche Feste + Proklamation als heilige Versammlungen + Feueropfer-Zweck + vier Opferarten + tagesspezifische Ordnungen.</w:t>
      </w:r>
    </w:p>
    <w:p w14:paraId="4744AD4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fasst alle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als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mit spezifischen täglichen Opferordnungen zusammen.</w:t>
      </w:r>
    </w:p>
    <w:p w14:paraId="30B97BC1"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23,38</w:t>
      </w:r>
    </w:p>
    <w:p w14:paraId="56CD5C9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מִלְּבַ֖ד שַׁבְּתֹ֣ת יְהוָ֑ה וּמִלְּבַ֣ד מַתְּנֽוֹתֵיכֶ֗ם וּמִלְּבַ֤ד כָּל־נִדְרֵיכֶם֙ וּמִלְּבַד֙ כָּל־נִדְב֣וֹתֵיכֶ֔ם אֲשֶׁ֥ר תִּתְּנ֖וּ לַיהוָֽה׃</w:t>
      </w:r>
    </w:p>
    <w:p w14:paraId="1F66505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außer den Schabbaten des Ewigen und außer euren Gaben und außer allen euren Gelübden und außer allen euren freiwilligen Gaben, die ihr dem Ewigen gebt.</w:t>
      </w:r>
    </w:p>
    <w:p w14:paraId="332515FD"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27D4ACE">
          <v:rect id="_x0000_i1719" style="width:0;height:1.5pt" o:hralign="center" o:hrstd="t" o:hr="t" fillcolor="#a0a0a0" stroked="f"/>
        </w:pict>
      </w:r>
    </w:p>
    <w:p w14:paraId="30C9527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מלבד שבתת יהוה ומלבד מתנותיכם ומלבד כל־נדריכם ומלבד כל־נדבותיכם אשר תתנו ליהוה</w:t>
      </w:r>
      <w:r w:rsidRPr="004637CC">
        <w:rPr>
          <w:rFonts w:eastAsia="Times New Roman" w:cs="Times New Roman"/>
          <w:rtl/>
          <w:lang w:eastAsia="de-DE"/>
        </w:rPr>
        <w:t xml:space="preserve"> </w:t>
      </w:r>
      <w:r w:rsidRPr="004637CC">
        <w:rPr>
          <w:rFonts w:eastAsia="Times New Roman" w:cs="Times New Roman"/>
          <w:lang w:eastAsia="de-DE"/>
        </w:rPr>
        <w:t xml:space="preserve">zeigt zusätzliche Opfer außerhalb der </w:t>
      </w:r>
      <w:r w:rsidRPr="004637CC">
        <w:rPr>
          <w:rFonts w:eastAsia="Times New Roman" w:cs="Times New Roman"/>
          <w:b/>
          <w:bCs/>
          <w:rtl/>
          <w:lang w:eastAsia="de-DE"/>
        </w:rPr>
        <w:t>מועדים</w:t>
      </w:r>
      <w:r w:rsidRPr="004637CC">
        <w:rPr>
          <w:rFonts w:eastAsia="Times New Roman" w:cs="Times New Roman"/>
          <w:lang w:eastAsia="de-DE"/>
        </w:rPr>
        <w:t xml:space="preserve">. </w:t>
      </w:r>
      <w:r w:rsidRPr="004637CC">
        <w:rPr>
          <w:rFonts w:eastAsia="Times New Roman" w:cs="Times New Roman"/>
          <w:b/>
          <w:bCs/>
          <w:rtl/>
          <w:lang w:eastAsia="de-DE"/>
        </w:rPr>
        <w:t>מלבד</w:t>
      </w:r>
      <w:r w:rsidRPr="004637CC">
        <w:rPr>
          <w:rFonts w:eastAsia="Times New Roman" w:cs="Times New Roman"/>
          <w:rtl/>
          <w:lang w:eastAsia="de-DE"/>
        </w:rPr>
        <w:t xml:space="preserve"> </w:t>
      </w:r>
      <w:r w:rsidRPr="004637CC">
        <w:rPr>
          <w:rFonts w:eastAsia="Times New Roman" w:cs="Times New Roman"/>
          <w:lang w:eastAsia="de-DE"/>
        </w:rPr>
        <w:t>(außer) wird viermal wiederholt und zeigt zusätzliche Opferkategorien:</w:t>
      </w:r>
    </w:p>
    <w:p w14:paraId="366D8AFA" w14:textId="77777777" w:rsidR="004637CC" w:rsidRPr="004637CC" w:rsidRDefault="004637CC" w:rsidP="004637CC">
      <w:pPr>
        <w:numPr>
          <w:ilvl w:val="0"/>
          <w:numId w:val="16"/>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מלבד שבתת יהוה</w:t>
      </w:r>
      <w:r w:rsidRPr="004637CC">
        <w:rPr>
          <w:rFonts w:eastAsia="Times New Roman" w:cs="Times New Roman"/>
          <w:rtl/>
          <w:lang w:eastAsia="de-DE"/>
        </w:rPr>
        <w:t xml:space="preserve"> </w:t>
      </w:r>
      <w:r w:rsidRPr="004637CC">
        <w:rPr>
          <w:rFonts w:eastAsia="Times New Roman" w:cs="Times New Roman"/>
          <w:lang w:eastAsia="de-DE"/>
        </w:rPr>
        <w:t xml:space="preserve">(außer den Schabbaten des Ewigen) - </w:t>
      </w:r>
      <w:r w:rsidRPr="004637CC">
        <w:rPr>
          <w:rFonts w:eastAsia="Times New Roman" w:cs="Times New Roman"/>
          <w:b/>
          <w:bCs/>
          <w:rtl/>
          <w:lang w:eastAsia="de-DE"/>
        </w:rPr>
        <w:t>שבתת יהוה</w:t>
      </w:r>
      <w:r w:rsidRPr="004637CC">
        <w:rPr>
          <w:rFonts w:eastAsia="Times New Roman" w:cs="Times New Roman"/>
          <w:rtl/>
          <w:lang w:eastAsia="de-DE"/>
        </w:rPr>
        <w:t xml:space="preserve"> </w:t>
      </w:r>
      <w:r w:rsidRPr="004637CC">
        <w:rPr>
          <w:rFonts w:eastAsia="Times New Roman" w:cs="Times New Roman"/>
          <w:lang w:eastAsia="de-DE"/>
        </w:rPr>
        <w:t xml:space="preserve">zeigt wöchentliche Schabbat-Opfer zusätzlich zu den </w:t>
      </w:r>
      <w:r w:rsidRPr="004637CC">
        <w:rPr>
          <w:rFonts w:eastAsia="Times New Roman" w:cs="Times New Roman"/>
          <w:b/>
          <w:bCs/>
          <w:rtl/>
          <w:lang w:eastAsia="de-DE"/>
        </w:rPr>
        <w:t>מועדים</w:t>
      </w:r>
      <w:r w:rsidRPr="004637CC">
        <w:rPr>
          <w:rFonts w:eastAsia="Times New Roman" w:cs="Times New Roman"/>
          <w:lang w:eastAsia="de-DE"/>
        </w:rPr>
        <w:t>.</w:t>
      </w:r>
    </w:p>
    <w:p w14:paraId="23797A4E" w14:textId="77777777" w:rsidR="004637CC" w:rsidRPr="004637CC" w:rsidRDefault="004637CC" w:rsidP="004637CC">
      <w:pPr>
        <w:numPr>
          <w:ilvl w:val="0"/>
          <w:numId w:val="16"/>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ומלבד מתנותיכם</w:t>
      </w:r>
      <w:r w:rsidRPr="004637CC">
        <w:rPr>
          <w:rFonts w:eastAsia="Times New Roman" w:cs="Times New Roman"/>
          <w:rtl/>
          <w:lang w:eastAsia="de-DE"/>
        </w:rPr>
        <w:t xml:space="preserve"> </w:t>
      </w:r>
      <w:r w:rsidRPr="004637CC">
        <w:rPr>
          <w:rFonts w:eastAsia="Times New Roman" w:cs="Times New Roman"/>
          <w:lang w:eastAsia="de-DE"/>
        </w:rPr>
        <w:t xml:space="preserve">(und außer euren Gaben) - </w:t>
      </w:r>
      <w:r w:rsidRPr="004637CC">
        <w:rPr>
          <w:rFonts w:eastAsia="Times New Roman" w:cs="Times New Roman"/>
          <w:b/>
          <w:bCs/>
          <w:rtl/>
          <w:lang w:eastAsia="de-DE"/>
        </w:rPr>
        <w:t>מתנותיכם</w:t>
      </w:r>
      <w:r w:rsidRPr="004637CC">
        <w:rPr>
          <w:rFonts w:eastAsia="Times New Roman" w:cs="Times New Roman"/>
          <w:rtl/>
          <w:lang w:eastAsia="de-DE"/>
        </w:rPr>
        <w:t xml:space="preserve"> </w:t>
      </w:r>
      <w:r w:rsidRPr="004637CC">
        <w:rPr>
          <w:rFonts w:eastAsia="Times New Roman" w:cs="Times New Roman"/>
          <w:lang w:eastAsia="de-DE"/>
        </w:rPr>
        <w:t>(eure Gaben) zeigt allgemeine Geschenke.</w:t>
      </w:r>
    </w:p>
    <w:p w14:paraId="0655C1E1" w14:textId="77777777" w:rsidR="004637CC" w:rsidRPr="004637CC" w:rsidRDefault="004637CC" w:rsidP="004637CC">
      <w:pPr>
        <w:numPr>
          <w:ilvl w:val="0"/>
          <w:numId w:val="16"/>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ומלבד כל־נדריכם</w:t>
      </w:r>
      <w:r w:rsidRPr="004637CC">
        <w:rPr>
          <w:rFonts w:eastAsia="Times New Roman" w:cs="Times New Roman"/>
          <w:rtl/>
          <w:lang w:eastAsia="de-DE"/>
        </w:rPr>
        <w:t xml:space="preserve"> </w:t>
      </w:r>
      <w:r w:rsidRPr="004637CC">
        <w:rPr>
          <w:rFonts w:eastAsia="Times New Roman" w:cs="Times New Roman"/>
          <w:lang w:eastAsia="de-DE"/>
        </w:rPr>
        <w:t xml:space="preserve">(und außer allen euren Gelübden) - </w:t>
      </w:r>
      <w:r w:rsidRPr="004637CC">
        <w:rPr>
          <w:rFonts w:eastAsia="Times New Roman" w:cs="Times New Roman"/>
          <w:b/>
          <w:bCs/>
          <w:rtl/>
          <w:lang w:eastAsia="de-DE"/>
        </w:rPr>
        <w:t>נדריכם</w:t>
      </w:r>
      <w:r w:rsidRPr="004637CC">
        <w:rPr>
          <w:rFonts w:eastAsia="Times New Roman" w:cs="Times New Roman"/>
          <w:rtl/>
          <w:lang w:eastAsia="de-DE"/>
        </w:rPr>
        <w:t xml:space="preserve"> </w:t>
      </w:r>
      <w:r w:rsidRPr="004637CC">
        <w:rPr>
          <w:rFonts w:eastAsia="Times New Roman" w:cs="Times New Roman"/>
          <w:lang w:eastAsia="de-DE"/>
        </w:rPr>
        <w:t>zeigt Gelübdeopfer.</w:t>
      </w:r>
    </w:p>
    <w:p w14:paraId="22FB896A" w14:textId="77777777" w:rsidR="004637CC" w:rsidRPr="004637CC" w:rsidRDefault="004637CC" w:rsidP="004637CC">
      <w:pPr>
        <w:numPr>
          <w:ilvl w:val="0"/>
          <w:numId w:val="16"/>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ומלבד כל־נדבותיכם</w:t>
      </w:r>
      <w:r w:rsidRPr="004637CC">
        <w:rPr>
          <w:rFonts w:eastAsia="Times New Roman" w:cs="Times New Roman"/>
          <w:rtl/>
          <w:lang w:eastAsia="de-DE"/>
        </w:rPr>
        <w:t xml:space="preserve"> </w:t>
      </w:r>
      <w:r w:rsidRPr="004637CC">
        <w:rPr>
          <w:rFonts w:eastAsia="Times New Roman" w:cs="Times New Roman"/>
          <w:lang w:eastAsia="de-DE"/>
        </w:rPr>
        <w:t xml:space="preserve">(und außer allen euren freiwilligen Gaben) - </w:t>
      </w:r>
      <w:r w:rsidRPr="004637CC">
        <w:rPr>
          <w:rFonts w:eastAsia="Times New Roman" w:cs="Times New Roman"/>
          <w:b/>
          <w:bCs/>
          <w:rtl/>
          <w:lang w:eastAsia="de-DE"/>
        </w:rPr>
        <w:t>נדבותיכם</w:t>
      </w:r>
      <w:r w:rsidRPr="004637CC">
        <w:rPr>
          <w:rFonts w:eastAsia="Times New Roman" w:cs="Times New Roman"/>
          <w:rtl/>
          <w:lang w:eastAsia="de-DE"/>
        </w:rPr>
        <w:t xml:space="preserve"> </w:t>
      </w:r>
      <w:r w:rsidRPr="004637CC">
        <w:rPr>
          <w:rFonts w:eastAsia="Times New Roman" w:cs="Times New Roman"/>
          <w:lang w:eastAsia="de-DE"/>
        </w:rPr>
        <w:t>zeigt Freiwilligenopfer.</w:t>
      </w:r>
    </w:p>
    <w:p w14:paraId="26D3759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אשר תתנו ליהוה</w:t>
      </w:r>
      <w:r w:rsidRPr="004637CC">
        <w:rPr>
          <w:rFonts w:eastAsia="Times New Roman" w:cs="Times New Roman"/>
          <w:rtl/>
          <w:lang w:eastAsia="de-DE"/>
        </w:rPr>
        <w:t xml:space="preserve"> </w:t>
      </w:r>
      <w:r w:rsidRPr="004637CC">
        <w:rPr>
          <w:rFonts w:eastAsia="Times New Roman" w:cs="Times New Roman"/>
          <w:lang w:eastAsia="de-DE"/>
        </w:rPr>
        <w:t>(die ihr dem Ewigen gebt) zeigt die Ausrichtung aller zusätzlichen Opfer an JHWH.</w:t>
      </w:r>
    </w:p>
    <w:p w14:paraId="1952B95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מלבד</w:t>
      </w:r>
      <w:r w:rsidRPr="004637CC">
        <w:rPr>
          <w:rFonts w:eastAsia="Times New Roman" w:cs="Times New Roman"/>
          <w:rtl/>
          <w:lang w:eastAsia="de-DE"/>
        </w:rPr>
        <w:t xml:space="preserve"> </w:t>
      </w:r>
      <w:r w:rsidRPr="004637CC">
        <w:rPr>
          <w:rFonts w:eastAsia="Times New Roman" w:cs="Times New Roman"/>
          <w:lang w:eastAsia="de-DE"/>
        </w:rPr>
        <w:t xml:space="preserve">viermal zeigt umfassende zusätzliche Opferkategorien. </w:t>
      </w:r>
      <w:r w:rsidRPr="004637CC">
        <w:rPr>
          <w:rFonts w:eastAsia="Times New Roman" w:cs="Times New Roman"/>
          <w:b/>
          <w:bCs/>
          <w:rtl/>
          <w:lang w:eastAsia="de-DE"/>
        </w:rPr>
        <w:t>שבתת יהוה</w:t>
      </w:r>
      <w:r w:rsidRPr="004637CC">
        <w:rPr>
          <w:rFonts w:eastAsia="Times New Roman" w:cs="Times New Roman"/>
          <w:rtl/>
          <w:lang w:eastAsia="de-DE"/>
        </w:rPr>
        <w:t xml:space="preserve"> </w:t>
      </w:r>
      <w:r w:rsidRPr="004637CC">
        <w:rPr>
          <w:rFonts w:eastAsia="Times New Roman" w:cs="Times New Roman"/>
          <w:lang w:eastAsia="de-DE"/>
        </w:rPr>
        <w:t xml:space="preserve">vs. </w:t>
      </w: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zeigt Unterscheidung zwischen wöchentlichen und jährlichen Festen.</w:t>
      </w:r>
    </w:p>
    <w:p w14:paraId="159BDFE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מלבד</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λὴν</w:t>
      </w:r>
      <w:proofErr w:type="spellEnd"/>
      <w:r w:rsidRPr="004637CC">
        <w:rPr>
          <w:rFonts w:eastAsia="Times New Roman" w:cs="Times New Roman"/>
          <w:lang w:eastAsia="de-DE"/>
        </w:rPr>
        <w:t xml:space="preserve"> (außer), </w:t>
      </w:r>
      <w:r w:rsidRPr="004637CC">
        <w:rPr>
          <w:rFonts w:eastAsia="Times New Roman" w:cs="Times New Roman"/>
          <w:b/>
          <w:bCs/>
          <w:rtl/>
          <w:lang w:eastAsia="de-DE"/>
        </w:rPr>
        <w:t>שבתת יהוה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τῶν</w:t>
      </w:r>
      <w:proofErr w:type="spellEnd"/>
      <w:r w:rsidRPr="004637CC">
        <w:rPr>
          <w:rFonts w:eastAsia="Times New Roman" w:cs="Times New Roman"/>
          <w:lang w:eastAsia="de-DE"/>
        </w:rPr>
        <w:t xml:space="preserve"> σαββ</w:t>
      </w:r>
      <w:proofErr w:type="spellStart"/>
      <w:r w:rsidRPr="004637CC">
        <w:rPr>
          <w:rFonts w:eastAsia="Times New Roman" w:cs="Times New Roman"/>
          <w:lang w:eastAsia="de-DE"/>
        </w:rPr>
        <w:t>άτων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κυρίου</w:t>
      </w:r>
      <w:proofErr w:type="spellEnd"/>
      <w:r w:rsidRPr="004637CC">
        <w:rPr>
          <w:rFonts w:eastAsia="Times New Roman" w:cs="Times New Roman"/>
          <w:lang w:eastAsia="de-DE"/>
        </w:rPr>
        <w:t xml:space="preserve"> (der Sabbate des Herrn), </w:t>
      </w:r>
      <w:r w:rsidRPr="004637CC">
        <w:rPr>
          <w:rFonts w:eastAsia="Times New Roman" w:cs="Times New Roman"/>
          <w:b/>
          <w:bCs/>
          <w:rtl/>
          <w:lang w:eastAsia="de-DE"/>
        </w:rPr>
        <w:t>מתנותיכם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δωρημάτων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(eurer Geschenke), </w:t>
      </w:r>
      <w:r w:rsidRPr="004637CC">
        <w:rPr>
          <w:rFonts w:eastAsia="Times New Roman" w:cs="Times New Roman"/>
          <w:b/>
          <w:bCs/>
          <w:rtl/>
          <w:lang w:eastAsia="de-DE"/>
        </w:rPr>
        <w:t>נדריכם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εὐχῶν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(eurer Gelübde) und </w:t>
      </w:r>
      <w:r w:rsidRPr="004637CC">
        <w:rPr>
          <w:rFonts w:eastAsia="Times New Roman" w:cs="Times New Roman"/>
          <w:b/>
          <w:bCs/>
          <w:rtl/>
          <w:lang w:eastAsia="de-DE"/>
        </w:rPr>
        <w:t>נדבותיכם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ἑκουσίων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(eurer freiwilligen Gaben).</w:t>
      </w:r>
    </w:p>
    <w:p w14:paraId="17EA1A8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Satzstruktur</w:t>
      </w:r>
      <w:r w:rsidRPr="004637CC">
        <w:rPr>
          <w:rFonts w:eastAsia="Times New Roman" w:cs="Times New Roman"/>
          <w:lang w:eastAsia="de-DE"/>
        </w:rPr>
        <w:t xml:space="preserve"> zeigt Zusatzopfer-Kategorien: vierfache </w:t>
      </w:r>
      <w:r w:rsidRPr="004637CC">
        <w:rPr>
          <w:rFonts w:eastAsia="Times New Roman" w:cs="Times New Roman"/>
          <w:b/>
          <w:bCs/>
          <w:rtl/>
          <w:lang w:eastAsia="de-DE"/>
        </w:rPr>
        <w:t>מלבד</w:t>
      </w:r>
      <w:r w:rsidRPr="004637CC">
        <w:rPr>
          <w:rFonts w:eastAsia="Times New Roman" w:cs="Times New Roman"/>
          <w:lang w:eastAsia="de-DE"/>
        </w:rPr>
        <w:t>-Formel + Schabbat-Opfer + allgemeine Gaben + Gelübdeopfer + Freiwilligenopfer + JHWH-Ausrichtung.</w:t>
      </w:r>
    </w:p>
    <w:p w14:paraId="0B07A26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dass die </w:t>
      </w:r>
      <w:r w:rsidRPr="004637CC">
        <w:rPr>
          <w:rFonts w:eastAsia="Times New Roman" w:cs="Times New Roman"/>
          <w:b/>
          <w:bCs/>
          <w:rtl/>
          <w:lang w:eastAsia="de-DE"/>
        </w:rPr>
        <w:t>מועדים</w:t>
      </w:r>
      <w:r w:rsidRPr="004637CC">
        <w:rPr>
          <w:rFonts w:eastAsia="Times New Roman" w:cs="Times New Roman"/>
          <w:lang w:eastAsia="de-DE"/>
        </w:rPr>
        <w:t>-Opfer zusätzlich zu Schabbat-Opfern und verschiedenen freiwilligen Opfern darzubringen sind.</w:t>
      </w:r>
    </w:p>
    <w:p w14:paraId="3EEF0817"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23,39</w:t>
      </w:r>
    </w:p>
    <w:p w14:paraId="731621A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אַ֡ךְ בַּחֲמִשָּׁה֩ עָשָׂ֨ר י֜וֹם לַחֹ֣דֶשׁ הַשְּׁבִיעִ֗י בְּאָסְפְּכֶם֙ אֶת־תְּבוּאַ֣ת הָאָ֔רֶץ תָּחֹ֥גּוּ אֶת־חַג־יְהוָ֖ה שִׁבְעַ֣ת יָמִ֑ים בַּיּ֤וֹם הָֽרִאשׁוֹן֙ שַׁבָּת֔וֹן וּבַיּ֥וֹם הַשְּׁמִינִ֖י שַׁבָּתֽוֹן׃</w:t>
      </w:r>
    </w:p>
    <w:p w14:paraId="331733C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Doch am 15. Tag des siebten Monats, wenn ihr den Ertrag des Landes einsammelt, sollt ihr das Fest des Ewigen sieben Tage lang feiern; am ersten Tag soll Ruhetag sein, und am achten Tag soll Ruhetag sein.</w:t>
      </w:r>
    </w:p>
    <w:p w14:paraId="1C2A4737"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BABBB1E">
          <v:rect id="_x0000_i1720" style="width:0;height:1.5pt" o:hralign="center" o:hrstd="t" o:hr="t" fillcolor="#a0a0a0" stroked="f"/>
        </w:pict>
      </w:r>
    </w:p>
    <w:p w14:paraId="1CFACE5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אך בחמשה עשר יום לחדש השביעי באספכם את־תבואת הארץ תחגו את־חג־יהוה שבעת ימים ביום הראשון שבתון וביום השמיני שבתון</w:t>
      </w:r>
      <w:r w:rsidRPr="004637CC">
        <w:rPr>
          <w:rFonts w:eastAsia="Times New Roman" w:cs="Times New Roman"/>
          <w:rtl/>
          <w:lang w:eastAsia="de-DE"/>
        </w:rPr>
        <w:t xml:space="preserve"> </w:t>
      </w:r>
      <w:r w:rsidRPr="004637CC">
        <w:rPr>
          <w:rFonts w:eastAsia="Times New Roman" w:cs="Times New Roman"/>
          <w:lang w:eastAsia="de-DE"/>
        </w:rPr>
        <w:t xml:space="preserve">zeigt den landwirtschaftlichen Kontext und </w:t>
      </w:r>
      <w:r w:rsidRPr="004637CC">
        <w:rPr>
          <w:rFonts w:eastAsia="Times New Roman" w:cs="Times New Roman"/>
          <w:b/>
          <w:bCs/>
          <w:rtl/>
          <w:lang w:eastAsia="de-DE"/>
        </w:rPr>
        <w:t>שבתון</w:t>
      </w:r>
      <w:r w:rsidRPr="004637CC">
        <w:rPr>
          <w:rFonts w:eastAsia="Times New Roman" w:cs="Times New Roman"/>
          <w:lang w:eastAsia="de-DE"/>
        </w:rPr>
        <w:t xml:space="preserve">-Charakter des Laubhüttenfestes. </w:t>
      </w:r>
      <w:r w:rsidRPr="004637CC">
        <w:rPr>
          <w:rFonts w:eastAsia="Times New Roman" w:cs="Times New Roman"/>
          <w:b/>
          <w:bCs/>
          <w:rtl/>
          <w:lang w:eastAsia="de-DE"/>
        </w:rPr>
        <w:t>אך בחמשה עשר יום לחדש השביעי</w:t>
      </w:r>
      <w:r w:rsidRPr="004637CC">
        <w:rPr>
          <w:rFonts w:eastAsia="Times New Roman" w:cs="Times New Roman"/>
          <w:rtl/>
          <w:lang w:eastAsia="de-DE"/>
        </w:rPr>
        <w:t xml:space="preserve"> </w:t>
      </w:r>
      <w:r w:rsidRPr="004637CC">
        <w:rPr>
          <w:rFonts w:eastAsia="Times New Roman" w:cs="Times New Roman"/>
          <w:lang w:eastAsia="de-DE"/>
        </w:rPr>
        <w:t xml:space="preserve">(doch am 15. Tag des siebten Monats) entspricht V. 34 mit </w:t>
      </w:r>
      <w:r w:rsidRPr="004637CC">
        <w:rPr>
          <w:rFonts w:eastAsia="Times New Roman" w:cs="Times New Roman"/>
          <w:b/>
          <w:bCs/>
          <w:rtl/>
          <w:lang w:eastAsia="de-DE"/>
        </w:rPr>
        <w:t>אך</w:t>
      </w:r>
      <w:r w:rsidRPr="004637CC">
        <w:rPr>
          <w:rFonts w:eastAsia="Times New Roman" w:cs="Times New Roman"/>
          <w:rtl/>
          <w:lang w:eastAsia="de-DE"/>
        </w:rPr>
        <w:t xml:space="preserve"> </w:t>
      </w:r>
      <w:r w:rsidRPr="004637CC">
        <w:rPr>
          <w:rFonts w:eastAsia="Times New Roman" w:cs="Times New Roman"/>
          <w:lang w:eastAsia="de-DE"/>
        </w:rPr>
        <w:t>als Betonungspartikel.</w:t>
      </w:r>
    </w:p>
    <w:p w14:paraId="5CCBA744" w14:textId="055A59E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באספכם את־תבואת הארץ</w:t>
      </w:r>
      <w:r w:rsidRPr="004637CC">
        <w:rPr>
          <w:rFonts w:eastAsia="Times New Roman" w:cs="Times New Roman"/>
          <w:rtl/>
          <w:lang w:eastAsia="de-DE"/>
        </w:rPr>
        <w:t xml:space="preserve"> </w:t>
      </w:r>
      <w:r w:rsidRPr="004637CC">
        <w:rPr>
          <w:rFonts w:eastAsia="Times New Roman" w:cs="Times New Roman"/>
          <w:lang w:eastAsia="de-DE"/>
        </w:rPr>
        <w:t xml:space="preserve">(wenn ihr den Ertrag des Landes einsammelt) - </w:t>
      </w:r>
      <w:r w:rsidRPr="004637CC">
        <w:rPr>
          <w:rFonts w:eastAsia="Times New Roman" w:cs="Times New Roman"/>
          <w:b/>
          <w:bCs/>
          <w:rtl/>
          <w:lang w:eastAsia="de-DE"/>
        </w:rPr>
        <w:t>באספכם</w:t>
      </w:r>
      <w:r w:rsidRPr="004637CC">
        <w:rPr>
          <w:rFonts w:eastAsia="Times New Roman" w:cs="Times New Roman"/>
          <w:rtl/>
          <w:lang w:eastAsia="de-DE"/>
        </w:rPr>
        <w:t xml:space="preserve"> </w:t>
      </w:r>
      <w:r w:rsidRPr="004637CC">
        <w:rPr>
          <w:rFonts w:eastAsia="Times New Roman" w:cs="Times New Roman"/>
          <w:lang w:eastAsia="de-DE"/>
        </w:rPr>
        <w:t>(wenn ihr einsammelt) im Qal-Infinitiv-</w:t>
      </w:r>
      <w:r w:rsidR="00DE39DD">
        <w:rPr>
          <w:rFonts w:eastAsia="Times New Roman" w:cs="Times New Roman"/>
          <w:lang w:eastAsia="de-DE"/>
        </w:rPr>
        <w:t>Constructus</w:t>
      </w:r>
      <w:r w:rsidRPr="004637CC">
        <w:rPr>
          <w:rFonts w:eastAsia="Times New Roman" w:cs="Times New Roman"/>
          <w:lang w:eastAsia="de-DE"/>
        </w:rPr>
        <w:t xml:space="preserve"> von </w:t>
      </w:r>
      <w:r w:rsidRPr="004637CC">
        <w:rPr>
          <w:rFonts w:eastAsia="Times New Roman" w:cs="Times New Roman"/>
          <w:b/>
          <w:bCs/>
          <w:rtl/>
          <w:lang w:eastAsia="de-DE"/>
        </w:rPr>
        <w:t>אסף</w:t>
      </w:r>
      <w:r w:rsidRPr="004637CC">
        <w:rPr>
          <w:rFonts w:eastAsia="Times New Roman" w:cs="Times New Roman"/>
          <w:rtl/>
          <w:lang w:eastAsia="de-DE"/>
        </w:rPr>
        <w:t xml:space="preserve"> </w:t>
      </w:r>
      <w:r w:rsidRPr="004637CC">
        <w:rPr>
          <w:rFonts w:eastAsia="Times New Roman" w:cs="Times New Roman"/>
          <w:lang w:eastAsia="de-DE"/>
        </w:rPr>
        <w:t xml:space="preserve">zeigt Erntezeit. </w:t>
      </w:r>
      <w:r w:rsidRPr="004637CC">
        <w:rPr>
          <w:rFonts w:eastAsia="Times New Roman" w:cs="Times New Roman"/>
          <w:b/>
          <w:bCs/>
          <w:rtl/>
          <w:lang w:eastAsia="de-DE"/>
        </w:rPr>
        <w:t>תבואת הארץ</w:t>
      </w:r>
      <w:r w:rsidRPr="004637CC">
        <w:rPr>
          <w:rFonts w:eastAsia="Times New Roman" w:cs="Times New Roman"/>
          <w:rtl/>
          <w:lang w:eastAsia="de-DE"/>
        </w:rPr>
        <w:t xml:space="preserve"> </w:t>
      </w:r>
      <w:r w:rsidRPr="004637CC">
        <w:rPr>
          <w:rFonts w:eastAsia="Times New Roman" w:cs="Times New Roman"/>
          <w:lang w:eastAsia="de-DE"/>
        </w:rPr>
        <w:t>(Ertrag des Landes) zeigt landwirtschaftlichen Bezug.</w:t>
      </w:r>
    </w:p>
    <w:p w14:paraId="0BDCC19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תחגו את־חג־יהוה שבעת ימים</w:t>
      </w:r>
      <w:r w:rsidRPr="004637CC">
        <w:rPr>
          <w:rFonts w:eastAsia="Times New Roman" w:cs="Times New Roman"/>
          <w:rtl/>
          <w:lang w:eastAsia="de-DE"/>
        </w:rPr>
        <w:t xml:space="preserve"> </w:t>
      </w:r>
      <w:r w:rsidRPr="004637CC">
        <w:rPr>
          <w:rFonts w:eastAsia="Times New Roman" w:cs="Times New Roman"/>
          <w:lang w:eastAsia="de-DE"/>
        </w:rPr>
        <w:t xml:space="preserve">(sollt ihr das Fest des Ewigen sieben Tage lang feiern) - </w:t>
      </w:r>
      <w:r w:rsidRPr="004637CC">
        <w:rPr>
          <w:rFonts w:eastAsia="Times New Roman" w:cs="Times New Roman"/>
          <w:b/>
          <w:bCs/>
          <w:rtl/>
          <w:lang w:eastAsia="de-DE"/>
        </w:rPr>
        <w:t>תחגו</w:t>
      </w:r>
      <w:r w:rsidRPr="004637CC">
        <w:rPr>
          <w:rFonts w:eastAsia="Times New Roman" w:cs="Times New Roman"/>
          <w:rtl/>
          <w:lang w:eastAsia="de-DE"/>
        </w:rPr>
        <w:t xml:space="preserve"> </w:t>
      </w:r>
      <w:r w:rsidRPr="004637CC">
        <w:rPr>
          <w:rFonts w:eastAsia="Times New Roman" w:cs="Times New Roman"/>
          <w:lang w:eastAsia="de-DE"/>
        </w:rPr>
        <w:t xml:space="preserve">(sollt ihr feiern) im Qal-Imperfekt von </w:t>
      </w:r>
      <w:r w:rsidRPr="004637CC">
        <w:rPr>
          <w:rFonts w:eastAsia="Times New Roman" w:cs="Times New Roman"/>
          <w:b/>
          <w:bCs/>
          <w:rtl/>
          <w:lang w:eastAsia="de-DE"/>
        </w:rPr>
        <w:t>חגג</w:t>
      </w:r>
      <w:r w:rsidRPr="004637CC">
        <w:rPr>
          <w:rFonts w:eastAsia="Times New Roman" w:cs="Times New Roman"/>
          <w:lang w:eastAsia="de-DE"/>
        </w:rPr>
        <w:t xml:space="preserve">. </w:t>
      </w:r>
      <w:r w:rsidRPr="004637CC">
        <w:rPr>
          <w:rFonts w:eastAsia="Times New Roman" w:cs="Times New Roman"/>
          <w:b/>
          <w:bCs/>
          <w:rtl/>
          <w:lang w:eastAsia="de-DE"/>
        </w:rPr>
        <w:t>חג־יהוה</w:t>
      </w:r>
      <w:r w:rsidRPr="004637CC">
        <w:rPr>
          <w:rFonts w:eastAsia="Times New Roman" w:cs="Times New Roman"/>
          <w:rtl/>
          <w:lang w:eastAsia="de-DE"/>
        </w:rPr>
        <w:t xml:space="preserve"> </w:t>
      </w:r>
      <w:r w:rsidRPr="004637CC">
        <w:rPr>
          <w:rFonts w:eastAsia="Times New Roman" w:cs="Times New Roman"/>
          <w:lang w:eastAsia="de-DE"/>
        </w:rPr>
        <w:t xml:space="preserve">als alternative Bezeichnung zu </w:t>
      </w:r>
      <w:r w:rsidRPr="004637CC">
        <w:rPr>
          <w:rFonts w:eastAsia="Times New Roman" w:cs="Times New Roman"/>
          <w:b/>
          <w:bCs/>
          <w:rtl/>
          <w:lang w:eastAsia="de-DE"/>
        </w:rPr>
        <w:t>חג הסכות</w:t>
      </w:r>
      <w:r w:rsidRPr="004637CC">
        <w:rPr>
          <w:rFonts w:eastAsia="Times New Roman" w:cs="Times New Roman"/>
          <w:lang w:eastAsia="de-DE"/>
        </w:rPr>
        <w:t>.</w:t>
      </w:r>
    </w:p>
    <w:p w14:paraId="2EFC325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ביום הראשון שבתון וביום השמיני שבתון</w:t>
      </w:r>
      <w:r w:rsidRPr="004637CC">
        <w:rPr>
          <w:rFonts w:eastAsia="Times New Roman" w:cs="Times New Roman"/>
          <w:rtl/>
          <w:lang w:eastAsia="de-DE"/>
        </w:rPr>
        <w:t xml:space="preserve"> </w:t>
      </w:r>
      <w:r w:rsidRPr="004637CC">
        <w:rPr>
          <w:rFonts w:eastAsia="Times New Roman" w:cs="Times New Roman"/>
          <w:lang w:eastAsia="de-DE"/>
        </w:rPr>
        <w:t xml:space="preserve">(am ersten Tag soll Ruhetag sein, und am achten Tag soll Ruhetag sein) zeigt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 xml:space="preserve">am Festbeginn und beim </w:t>
      </w:r>
      <w:r w:rsidRPr="004637CC">
        <w:rPr>
          <w:rFonts w:eastAsia="Times New Roman" w:cs="Times New Roman"/>
          <w:b/>
          <w:bCs/>
          <w:rtl/>
          <w:lang w:eastAsia="de-DE"/>
        </w:rPr>
        <w:t>עצרת</w:t>
      </w:r>
      <w:r w:rsidRPr="004637CC">
        <w:rPr>
          <w:rFonts w:eastAsia="Times New Roman" w:cs="Times New Roman"/>
          <w:lang w:eastAsia="de-DE"/>
        </w:rPr>
        <w:t>-Abschluss.</w:t>
      </w:r>
    </w:p>
    <w:p w14:paraId="1C244E6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באספכם את־תבואת הארץ</w:t>
      </w:r>
      <w:r w:rsidRPr="004637CC">
        <w:rPr>
          <w:rFonts w:eastAsia="Times New Roman" w:cs="Times New Roman"/>
          <w:rtl/>
          <w:lang w:eastAsia="de-DE"/>
        </w:rPr>
        <w:t xml:space="preserve"> </w:t>
      </w:r>
      <w:r w:rsidRPr="004637CC">
        <w:rPr>
          <w:rFonts w:eastAsia="Times New Roman" w:cs="Times New Roman"/>
          <w:lang w:eastAsia="de-DE"/>
        </w:rPr>
        <w:t xml:space="preserve">zeigt Herbsternte-Kontext. </w:t>
      </w:r>
      <w:r w:rsidRPr="004637CC">
        <w:rPr>
          <w:rFonts w:eastAsia="Times New Roman" w:cs="Times New Roman"/>
          <w:b/>
          <w:bCs/>
          <w:rtl/>
          <w:lang w:eastAsia="de-DE"/>
        </w:rPr>
        <w:t>חג־יהוה</w:t>
      </w:r>
      <w:r w:rsidRPr="004637CC">
        <w:rPr>
          <w:rFonts w:eastAsia="Times New Roman" w:cs="Times New Roman"/>
          <w:rtl/>
          <w:lang w:eastAsia="de-DE"/>
        </w:rPr>
        <w:t xml:space="preserve"> </w:t>
      </w:r>
      <w:r w:rsidRPr="004637CC">
        <w:rPr>
          <w:rFonts w:eastAsia="Times New Roman" w:cs="Times New Roman"/>
          <w:lang w:eastAsia="de-DE"/>
        </w:rPr>
        <w:t xml:space="preserve">als umfassende Bezeichnung.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am ersten und achten Tag rahmt das Fest.</w:t>
      </w:r>
    </w:p>
    <w:p w14:paraId="37E0CFF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באספכם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ὅτ</w:t>
      </w:r>
      <w:proofErr w:type="spellEnd"/>
      <w:r w:rsidRPr="004637CC">
        <w:rPr>
          <w:rFonts w:eastAsia="Times New Roman" w:cs="Times New Roman"/>
          <w:lang w:eastAsia="de-DE"/>
        </w:rPr>
        <w:t xml:space="preserve">αν </w:t>
      </w:r>
      <w:proofErr w:type="spellStart"/>
      <w:r w:rsidRPr="004637CC">
        <w:rPr>
          <w:rFonts w:eastAsia="Times New Roman" w:cs="Times New Roman"/>
          <w:lang w:eastAsia="de-DE"/>
        </w:rPr>
        <w:t>συν</w:t>
      </w:r>
      <w:proofErr w:type="spellEnd"/>
      <w:r w:rsidRPr="004637CC">
        <w:rPr>
          <w:rFonts w:eastAsia="Times New Roman" w:cs="Times New Roman"/>
          <w:lang w:eastAsia="de-DE"/>
        </w:rPr>
        <w:t xml:space="preserve">αγάγητε (wann immer ihr sammelt), </w:t>
      </w:r>
      <w:r w:rsidRPr="004637CC">
        <w:rPr>
          <w:rFonts w:eastAsia="Times New Roman" w:cs="Times New Roman"/>
          <w:b/>
          <w:bCs/>
          <w:rtl/>
          <w:lang w:eastAsia="de-DE"/>
        </w:rPr>
        <w:t>תבואת הארץ</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τὰ</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γενήμ</w:t>
      </w:r>
      <w:proofErr w:type="spellEnd"/>
      <w:r w:rsidRPr="004637CC">
        <w:rPr>
          <w:rFonts w:eastAsia="Times New Roman" w:cs="Times New Roman"/>
          <w:lang w:eastAsia="de-DE"/>
        </w:rPr>
        <w:t xml:space="preserve">ατα </w:t>
      </w:r>
      <w:proofErr w:type="spellStart"/>
      <w:r w:rsidRPr="004637CC">
        <w:rPr>
          <w:rFonts w:eastAsia="Times New Roman" w:cs="Times New Roman"/>
          <w:lang w:eastAsia="de-DE"/>
        </w:rPr>
        <w:t>τῆς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γῆς</w:t>
      </w:r>
      <w:proofErr w:type="spellEnd"/>
      <w:r w:rsidRPr="004637CC">
        <w:rPr>
          <w:rFonts w:eastAsia="Times New Roman" w:cs="Times New Roman"/>
          <w:lang w:eastAsia="de-DE"/>
        </w:rPr>
        <w:t xml:space="preserve"> (die Erzeugnisse der Erde), </w:t>
      </w:r>
      <w:r w:rsidRPr="004637CC">
        <w:rPr>
          <w:rFonts w:eastAsia="Times New Roman" w:cs="Times New Roman"/>
          <w:b/>
          <w:bCs/>
          <w:rtl/>
          <w:lang w:eastAsia="de-DE"/>
        </w:rPr>
        <w:t>תחגו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ἑορτάσετε</w:t>
      </w:r>
      <w:proofErr w:type="spellEnd"/>
      <w:r w:rsidRPr="004637CC">
        <w:rPr>
          <w:rFonts w:eastAsia="Times New Roman" w:cs="Times New Roman"/>
          <w:lang w:eastAsia="de-DE"/>
        </w:rPr>
        <w:t xml:space="preserve"> (werdet ihr feiern) und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ἀνά</w:t>
      </w:r>
      <w:proofErr w:type="spellEnd"/>
      <w:r w:rsidRPr="004637CC">
        <w:rPr>
          <w:rFonts w:eastAsia="Times New Roman" w:cs="Times New Roman"/>
          <w:lang w:eastAsia="de-DE"/>
        </w:rPr>
        <w:t>παυσις (Ruhe).</w:t>
      </w:r>
    </w:p>
    <w:p w14:paraId="4696E49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Laubhüttenfest-Kontext: 15. Tag des siebten Monats + Ernte-Einsammlungszeit + siebentägige JHWH-Festfeier +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am ersten und achten Tag.</w:t>
      </w:r>
    </w:p>
    <w:p w14:paraId="25CC2E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verbindet das Laubhüttenfest mit der Herbsternte und zeigt </w:t>
      </w:r>
      <w:r w:rsidRPr="004637CC">
        <w:rPr>
          <w:rFonts w:eastAsia="Times New Roman" w:cs="Times New Roman"/>
          <w:b/>
          <w:bCs/>
          <w:rtl/>
          <w:lang w:eastAsia="de-DE"/>
        </w:rPr>
        <w:t>שבתון</w:t>
      </w:r>
      <w:r w:rsidRPr="004637CC">
        <w:rPr>
          <w:rFonts w:eastAsia="Times New Roman" w:cs="Times New Roman"/>
          <w:lang w:eastAsia="de-DE"/>
        </w:rPr>
        <w:t>-Ruhe am ersten und achten Tag.</w:t>
      </w:r>
    </w:p>
    <w:p w14:paraId="53E5035D"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23,40</w:t>
      </w:r>
    </w:p>
    <w:p w14:paraId="13BEDB0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וּלְקַחְתֶּ֨ם לָכֶ֜ם בַּיּ֣וֹם הָרִאשׁ֗וֹן פְּרִ֨י עֵ֤ץ הָדָר֙ כַּפֹּ֣ת תְּמָרִ֔ים וַעֲנַ֥ף עֵץ־עָבֹ֖ת וְעַרְבֵי־נָ֑חַל וּשְׂמַחְתֶּ֗ם לִפְנֵ֛י יְהוָ֥ה אֱלֹהֵיכֶ֖ם שִׁבְעַ֥ת יָמִֽים׃</w:t>
      </w:r>
    </w:p>
    <w:p w14:paraId="1BE4958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Deutsch:</w:t>
      </w:r>
      <w:r w:rsidRPr="004637CC">
        <w:rPr>
          <w:rFonts w:eastAsia="Times New Roman" w:cs="Times New Roman"/>
          <w:lang w:eastAsia="de-DE"/>
        </w:rPr>
        <w:t xml:space="preserve"> Und ihr sollt euch am ersten Tag Frucht von üppigen Bäumen nehmen, Palmzweige und Zweige von dichtbelaubten Bäumen und Bachweiden, und sollt euch freuen vor dem Ewigen, eurem Gott, sieben Tage.</w:t>
      </w:r>
    </w:p>
    <w:p w14:paraId="2B4804B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3799AE8">
          <v:rect id="_x0000_i1721" style="width:0;height:1.5pt" o:hralign="center" o:hrstd="t" o:hr="t" fillcolor="#a0a0a0" stroked="f"/>
        </w:pict>
      </w:r>
    </w:p>
    <w:p w14:paraId="04E91F8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ולקחתם לכם ביום הראשון פרי עץ הדר כפת תמרים וענף עץ־עבת וערבי־נחל ושמחתם לפני יהוה אלהיכם שבעת ימים</w:t>
      </w:r>
      <w:r w:rsidRPr="004637CC">
        <w:rPr>
          <w:rFonts w:eastAsia="Times New Roman" w:cs="Times New Roman"/>
          <w:rtl/>
          <w:lang w:eastAsia="de-DE"/>
        </w:rPr>
        <w:t xml:space="preserve"> </w:t>
      </w:r>
      <w:r w:rsidRPr="004637CC">
        <w:rPr>
          <w:rFonts w:eastAsia="Times New Roman" w:cs="Times New Roman"/>
          <w:lang w:eastAsia="de-DE"/>
        </w:rPr>
        <w:t>zeigt die vier Pflanzenarten (</w:t>
      </w:r>
      <w:r w:rsidRPr="004637CC">
        <w:rPr>
          <w:rFonts w:eastAsia="Times New Roman" w:cs="Times New Roman"/>
          <w:b/>
          <w:bCs/>
          <w:rtl/>
          <w:lang w:eastAsia="de-DE"/>
        </w:rPr>
        <w:t>ארבעת המינים</w:t>
      </w:r>
      <w:r w:rsidRPr="004637CC">
        <w:rPr>
          <w:rFonts w:eastAsia="Times New Roman" w:cs="Times New Roman"/>
          <w:lang w:eastAsia="de-DE"/>
        </w:rPr>
        <w:t xml:space="preserve">) des Laubhüttenfestes. </w:t>
      </w:r>
      <w:r w:rsidRPr="004637CC">
        <w:rPr>
          <w:rFonts w:eastAsia="Times New Roman" w:cs="Times New Roman"/>
          <w:b/>
          <w:bCs/>
          <w:rtl/>
          <w:lang w:eastAsia="de-DE"/>
        </w:rPr>
        <w:t>ולקחתם לכם ביום הראשון</w:t>
      </w:r>
      <w:r w:rsidRPr="004637CC">
        <w:rPr>
          <w:rFonts w:eastAsia="Times New Roman" w:cs="Times New Roman"/>
          <w:rtl/>
          <w:lang w:eastAsia="de-DE"/>
        </w:rPr>
        <w:t xml:space="preserve"> </w:t>
      </w:r>
      <w:r w:rsidRPr="004637CC">
        <w:rPr>
          <w:rFonts w:eastAsia="Times New Roman" w:cs="Times New Roman"/>
          <w:lang w:eastAsia="de-DE"/>
        </w:rPr>
        <w:t xml:space="preserve">(und ihr sollt euch am ersten Tag nehmen) - </w:t>
      </w:r>
      <w:r w:rsidRPr="004637CC">
        <w:rPr>
          <w:rFonts w:eastAsia="Times New Roman" w:cs="Times New Roman"/>
          <w:b/>
          <w:bCs/>
          <w:rtl/>
          <w:lang w:eastAsia="de-DE"/>
        </w:rPr>
        <w:t>ולקחתם לכם</w:t>
      </w:r>
      <w:r w:rsidRPr="004637CC">
        <w:rPr>
          <w:rFonts w:eastAsia="Times New Roman" w:cs="Times New Roman"/>
          <w:rtl/>
          <w:lang w:eastAsia="de-DE"/>
        </w:rPr>
        <w:t xml:space="preserve"> </w:t>
      </w:r>
      <w:r w:rsidRPr="004637CC">
        <w:rPr>
          <w:rFonts w:eastAsia="Times New Roman" w:cs="Times New Roman"/>
          <w:lang w:eastAsia="de-DE"/>
        </w:rPr>
        <w:t xml:space="preserve">(und ihr sollt für euch nehmen) im Qal-Perfekt mit Waw-Konsekutiv. </w:t>
      </w:r>
      <w:r w:rsidRPr="004637CC">
        <w:rPr>
          <w:rFonts w:eastAsia="Times New Roman" w:cs="Times New Roman"/>
          <w:b/>
          <w:bCs/>
          <w:rtl/>
          <w:lang w:eastAsia="de-DE"/>
        </w:rPr>
        <w:t>ביום הראשון</w:t>
      </w:r>
      <w:r w:rsidRPr="004637CC">
        <w:rPr>
          <w:rFonts w:eastAsia="Times New Roman" w:cs="Times New Roman"/>
          <w:rtl/>
          <w:lang w:eastAsia="de-DE"/>
        </w:rPr>
        <w:t xml:space="preserve"> </w:t>
      </w:r>
      <w:r w:rsidRPr="004637CC">
        <w:rPr>
          <w:rFonts w:eastAsia="Times New Roman" w:cs="Times New Roman"/>
          <w:lang w:eastAsia="de-DE"/>
        </w:rPr>
        <w:t>zeigt den ersten Festtag.</w:t>
      </w:r>
    </w:p>
    <w:p w14:paraId="7E6AF8A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 vier Pflanzenarten:</w:t>
      </w:r>
    </w:p>
    <w:p w14:paraId="68D1CF25" w14:textId="77777777" w:rsidR="004637CC" w:rsidRPr="004637CC" w:rsidRDefault="004637CC" w:rsidP="004637CC">
      <w:pPr>
        <w:numPr>
          <w:ilvl w:val="0"/>
          <w:numId w:val="17"/>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פרי עץ הדר</w:t>
      </w:r>
      <w:r w:rsidRPr="004637CC">
        <w:rPr>
          <w:rFonts w:eastAsia="Times New Roman" w:cs="Times New Roman"/>
          <w:rtl/>
          <w:lang w:eastAsia="de-DE"/>
        </w:rPr>
        <w:t xml:space="preserve"> </w:t>
      </w:r>
      <w:r w:rsidRPr="004637CC">
        <w:rPr>
          <w:rFonts w:eastAsia="Times New Roman" w:cs="Times New Roman"/>
          <w:lang w:eastAsia="de-DE"/>
        </w:rPr>
        <w:t xml:space="preserve">(Frucht von üppigen Bäumen) - </w:t>
      </w:r>
      <w:r w:rsidRPr="004637CC">
        <w:rPr>
          <w:rFonts w:eastAsia="Times New Roman" w:cs="Times New Roman"/>
          <w:b/>
          <w:bCs/>
          <w:rtl/>
          <w:lang w:eastAsia="de-DE"/>
        </w:rPr>
        <w:t>עץ הדר</w:t>
      </w:r>
      <w:r w:rsidRPr="004637CC">
        <w:rPr>
          <w:rFonts w:eastAsia="Times New Roman" w:cs="Times New Roman"/>
          <w:rtl/>
          <w:lang w:eastAsia="de-DE"/>
        </w:rPr>
        <w:t xml:space="preserve"> </w:t>
      </w:r>
      <w:r w:rsidRPr="004637CC">
        <w:rPr>
          <w:rFonts w:eastAsia="Times New Roman" w:cs="Times New Roman"/>
          <w:lang w:eastAsia="de-DE"/>
        </w:rPr>
        <w:t xml:space="preserve">(üppiger/prächtiger Baum) traditionell als </w:t>
      </w:r>
      <w:r w:rsidRPr="004637CC">
        <w:rPr>
          <w:rFonts w:eastAsia="Times New Roman" w:cs="Times New Roman"/>
          <w:b/>
          <w:bCs/>
          <w:rtl/>
          <w:lang w:eastAsia="de-DE"/>
        </w:rPr>
        <w:t>אתרוג</w:t>
      </w:r>
      <w:r w:rsidRPr="004637CC">
        <w:rPr>
          <w:rFonts w:eastAsia="Times New Roman" w:cs="Times New Roman"/>
          <w:rtl/>
          <w:lang w:eastAsia="de-DE"/>
        </w:rPr>
        <w:t xml:space="preserve"> </w:t>
      </w:r>
      <w:r w:rsidRPr="004637CC">
        <w:rPr>
          <w:rFonts w:eastAsia="Times New Roman" w:cs="Times New Roman"/>
          <w:lang w:eastAsia="de-DE"/>
        </w:rPr>
        <w:t>(Zitrusfrucht) verstanden</w:t>
      </w:r>
    </w:p>
    <w:p w14:paraId="5404AC5C" w14:textId="77777777" w:rsidR="004637CC" w:rsidRPr="004637CC" w:rsidRDefault="004637CC" w:rsidP="004637CC">
      <w:pPr>
        <w:numPr>
          <w:ilvl w:val="0"/>
          <w:numId w:val="17"/>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כפת תמרים</w:t>
      </w:r>
      <w:r w:rsidRPr="004637CC">
        <w:rPr>
          <w:rFonts w:eastAsia="Times New Roman" w:cs="Times New Roman"/>
          <w:rtl/>
          <w:lang w:eastAsia="de-DE"/>
        </w:rPr>
        <w:t xml:space="preserve"> </w:t>
      </w:r>
      <w:r w:rsidRPr="004637CC">
        <w:rPr>
          <w:rFonts w:eastAsia="Times New Roman" w:cs="Times New Roman"/>
          <w:lang w:eastAsia="de-DE"/>
        </w:rPr>
        <w:t xml:space="preserve">(Palmzweige) - </w:t>
      </w:r>
      <w:r w:rsidRPr="004637CC">
        <w:rPr>
          <w:rFonts w:eastAsia="Times New Roman" w:cs="Times New Roman"/>
          <w:b/>
          <w:bCs/>
          <w:rtl/>
          <w:lang w:eastAsia="de-DE"/>
        </w:rPr>
        <w:t>כפת</w:t>
      </w:r>
      <w:r w:rsidRPr="004637CC">
        <w:rPr>
          <w:rFonts w:eastAsia="Times New Roman" w:cs="Times New Roman"/>
          <w:rtl/>
          <w:lang w:eastAsia="de-DE"/>
        </w:rPr>
        <w:t xml:space="preserve"> </w:t>
      </w:r>
      <w:r w:rsidRPr="004637CC">
        <w:rPr>
          <w:rFonts w:eastAsia="Times New Roman" w:cs="Times New Roman"/>
          <w:lang w:eastAsia="de-DE"/>
        </w:rPr>
        <w:t xml:space="preserve">(Zweige/Wedel) von </w:t>
      </w:r>
      <w:r w:rsidRPr="004637CC">
        <w:rPr>
          <w:rFonts w:eastAsia="Times New Roman" w:cs="Times New Roman"/>
          <w:b/>
          <w:bCs/>
          <w:rtl/>
          <w:lang w:eastAsia="de-DE"/>
        </w:rPr>
        <w:t>תמרים</w:t>
      </w:r>
      <w:r w:rsidRPr="004637CC">
        <w:rPr>
          <w:rFonts w:eastAsia="Times New Roman" w:cs="Times New Roman"/>
          <w:rtl/>
          <w:lang w:eastAsia="de-DE"/>
        </w:rPr>
        <w:t xml:space="preserve"> </w:t>
      </w:r>
      <w:r w:rsidRPr="004637CC">
        <w:rPr>
          <w:rFonts w:eastAsia="Times New Roman" w:cs="Times New Roman"/>
          <w:lang w:eastAsia="de-DE"/>
        </w:rPr>
        <w:t>(Dattelpalmen)</w:t>
      </w:r>
    </w:p>
    <w:p w14:paraId="5255312B" w14:textId="77777777" w:rsidR="004637CC" w:rsidRPr="004637CC" w:rsidRDefault="004637CC" w:rsidP="004637CC">
      <w:pPr>
        <w:numPr>
          <w:ilvl w:val="0"/>
          <w:numId w:val="17"/>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וענף עץ־עבת</w:t>
      </w:r>
      <w:r w:rsidRPr="004637CC">
        <w:rPr>
          <w:rFonts w:eastAsia="Times New Roman" w:cs="Times New Roman"/>
          <w:rtl/>
          <w:lang w:eastAsia="de-DE"/>
        </w:rPr>
        <w:t xml:space="preserve"> </w:t>
      </w:r>
      <w:r w:rsidRPr="004637CC">
        <w:rPr>
          <w:rFonts w:eastAsia="Times New Roman" w:cs="Times New Roman"/>
          <w:lang w:eastAsia="de-DE"/>
        </w:rPr>
        <w:t xml:space="preserve">(und Zweige von dichtbelaubten Bäumen) - </w:t>
      </w:r>
      <w:r w:rsidRPr="004637CC">
        <w:rPr>
          <w:rFonts w:eastAsia="Times New Roman" w:cs="Times New Roman"/>
          <w:b/>
          <w:bCs/>
          <w:rtl/>
          <w:lang w:eastAsia="de-DE"/>
        </w:rPr>
        <w:t>עץ־עבת</w:t>
      </w:r>
      <w:r w:rsidRPr="004637CC">
        <w:rPr>
          <w:rFonts w:eastAsia="Times New Roman" w:cs="Times New Roman"/>
          <w:rtl/>
          <w:lang w:eastAsia="de-DE"/>
        </w:rPr>
        <w:t xml:space="preserve"> </w:t>
      </w:r>
      <w:r w:rsidRPr="004637CC">
        <w:rPr>
          <w:rFonts w:eastAsia="Times New Roman" w:cs="Times New Roman"/>
          <w:lang w:eastAsia="de-DE"/>
        </w:rPr>
        <w:t xml:space="preserve">(dichtbelaubter Baum) traditionell </w:t>
      </w:r>
      <w:r w:rsidRPr="004637CC">
        <w:rPr>
          <w:rFonts w:eastAsia="Times New Roman" w:cs="Times New Roman"/>
          <w:b/>
          <w:bCs/>
          <w:rtl/>
          <w:lang w:eastAsia="de-DE"/>
        </w:rPr>
        <w:t>הדס</w:t>
      </w:r>
      <w:r w:rsidRPr="004637CC">
        <w:rPr>
          <w:rFonts w:eastAsia="Times New Roman" w:cs="Times New Roman"/>
          <w:rtl/>
          <w:lang w:eastAsia="de-DE"/>
        </w:rPr>
        <w:t xml:space="preserve"> </w:t>
      </w:r>
      <w:r w:rsidRPr="004637CC">
        <w:rPr>
          <w:rFonts w:eastAsia="Times New Roman" w:cs="Times New Roman"/>
          <w:lang w:eastAsia="de-DE"/>
        </w:rPr>
        <w:t>(Myrte)</w:t>
      </w:r>
    </w:p>
    <w:p w14:paraId="294C201B" w14:textId="77777777" w:rsidR="004637CC" w:rsidRPr="004637CC" w:rsidRDefault="004637CC" w:rsidP="004637CC">
      <w:pPr>
        <w:numPr>
          <w:ilvl w:val="0"/>
          <w:numId w:val="17"/>
        </w:num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וערבי־נחל</w:t>
      </w:r>
      <w:r w:rsidRPr="004637CC">
        <w:rPr>
          <w:rFonts w:eastAsia="Times New Roman" w:cs="Times New Roman"/>
          <w:rtl/>
          <w:lang w:eastAsia="de-DE"/>
        </w:rPr>
        <w:t xml:space="preserve"> </w:t>
      </w:r>
      <w:r w:rsidRPr="004637CC">
        <w:rPr>
          <w:rFonts w:eastAsia="Times New Roman" w:cs="Times New Roman"/>
          <w:lang w:eastAsia="de-DE"/>
        </w:rPr>
        <w:t xml:space="preserve">(und Bachweiden) - </w:t>
      </w:r>
      <w:r w:rsidRPr="004637CC">
        <w:rPr>
          <w:rFonts w:eastAsia="Times New Roman" w:cs="Times New Roman"/>
          <w:b/>
          <w:bCs/>
          <w:rtl/>
          <w:lang w:eastAsia="de-DE"/>
        </w:rPr>
        <w:t>ערבי־נחל</w:t>
      </w:r>
      <w:r w:rsidRPr="004637CC">
        <w:rPr>
          <w:rFonts w:eastAsia="Times New Roman" w:cs="Times New Roman"/>
          <w:rtl/>
          <w:lang w:eastAsia="de-DE"/>
        </w:rPr>
        <w:t xml:space="preserve"> </w:t>
      </w:r>
      <w:r w:rsidRPr="004637CC">
        <w:rPr>
          <w:rFonts w:eastAsia="Times New Roman" w:cs="Times New Roman"/>
          <w:lang w:eastAsia="de-DE"/>
        </w:rPr>
        <w:t>(Bachweiden) als Wasserpflanzen</w:t>
      </w:r>
    </w:p>
    <w:p w14:paraId="68786B5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ושמחתם לפני יהוה אלהיכם שבעת ימים</w:t>
      </w:r>
      <w:r w:rsidRPr="004637CC">
        <w:rPr>
          <w:rFonts w:eastAsia="Times New Roman" w:cs="Times New Roman"/>
          <w:rtl/>
          <w:lang w:eastAsia="de-DE"/>
        </w:rPr>
        <w:t xml:space="preserve"> </w:t>
      </w:r>
      <w:r w:rsidRPr="004637CC">
        <w:rPr>
          <w:rFonts w:eastAsia="Times New Roman" w:cs="Times New Roman"/>
          <w:lang w:eastAsia="de-DE"/>
        </w:rPr>
        <w:t xml:space="preserve">(und sollt euch freuen vor dem Ewigen, eurem Gott, sieben Tage) - </w:t>
      </w:r>
      <w:r w:rsidRPr="004637CC">
        <w:rPr>
          <w:rFonts w:eastAsia="Times New Roman" w:cs="Times New Roman"/>
          <w:b/>
          <w:bCs/>
          <w:rtl/>
          <w:lang w:eastAsia="de-DE"/>
        </w:rPr>
        <w:t>ושמחתם</w:t>
      </w:r>
      <w:r w:rsidRPr="004637CC">
        <w:rPr>
          <w:rFonts w:eastAsia="Times New Roman" w:cs="Times New Roman"/>
          <w:rtl/>
          <w:lang w:eastAsia="de-DE"/>
        </w:rPr>
        <w:t xml:space="preserve"> </w:t>
      </w:r>
      <w:r w:rsidRPr="004637CC">
        <w:rPr>
          <w:rFonts w:eastAsia="Times New Roman" w:cs="Times New Roman"/>
          <w:lang w:eastAsia="de-DE"/>
        </w:rPr>
        <w:t xml:space="preserve">(und ihr sollt euch freuen) im Qal-Perfekt mit Waw-Konsekutiv zeigt Freudencharakter. </w:t>
      </w:r>
      <w:r w:rsidRPr="004637CC">
        <w:rPr>
          <w:rFonts w:eastAsia="Times New Roman" w:cs="Times New Roman"/>
          <w:b/>
          <w:bCs/>
          <w:rtl/>
          <w:lang w:eastAsia="de-DE"/>
        </w:rPr>
        <w:t>לפני יהוה אלהיכם</w:t>
      </w:r>
      <w:r w:rsidRPr="004637CC">
        <w:rPr>
          <w:rFonts w:eastAsia="Times New Roman" w:cs="Times New Roman"/>
          <w:rtl/>
          <w:lang w:eastAsia="de-DE"/>
        </w:rPr>
        <w:t xml:space="preserve"> </w:t>
      </w:r>
      <w:r w:rsidRPr="004637CC">
        <w:rPr>
          <w:rFonts w:eastAsia="Times New Roman" w:cs="Times New Roman"/>
          <w:lang w:eastAsia="de-DE"/>
        </w:rPr>
        <w:t xml:space="preserve">zeigt göttliche Gegenwart.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zeigt siebentägige Dauer.</w:t>
      </w:r>
    </w:p>
    <w:p w14:paraId="6EBB105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ארבעת המינים</w:t>
      </w:r>
      <w:r w:rsidRPr="004637CC">
        <w:rPr>
          <w:rFonts w:eastAsia="Times New Roman" w:cs="Times New Roman"/>
          <w:rtl/>
          <w:lang w:eastAsia="de-DE"/>
        </w:rPr>
        <w:t xml:space="preserve"> </w:t>
      </w:r>
      <w:r w:rsidRPr="004637CC">
        <w:rPr>
          <w:rFonts w:eastAsia="Times New Roman" w:cs="Times New Roman"/>
          <w:lang w:eastAsia="de-DE"/>
        </w:rPr>
        <w:t xml:space="preserve">als charakteristisches Laubhüttenfest-Ritual. </w:t>
      </w:r>
      <w:r w:rsidRPr="004637CC">
        <w:rPr>
          <w:rFonts w:eastAsia="Times New Roman" w:cs="Times New Roman"/>
          <w:b/>
          <w:bCs/>
          <w:rtl/>
          <w:lang w:eastAsia="de-DE"/>
        </w:rPr>
        <w:t>ושמחתם</w:t>
      </w:r>
      <w:r w:rsidRPr="004637CC">
        <w:rPr>
          <w:rFonts w:eastAsia="Times New Roman" w:cs="Times New Roman"/>
          <w:rtl/>
          <w:lang w:eastAsia="de-DE"/>
        </w:rPr>
        <w:t xml:space="preserve"> </w:t>
      </w:r>
      <w:r w:rsidRPr="004637CC">
        <w:rPr>
          <w:rFonts w:eastAsia="Times New Roman" w:cs="Times New Roman"/>
          <w:lang w:eastAsia="de-DE"/>
        </w:rPr>
        <w:t xml:space="preserve">zeigt Freude als Festcharakteristik. </w:t>
      </w:r>
      <w:r w:rsidRPr="004637CC">
        <w:rPr>
          <w:rFonts w:eastAsia="Times New Roman" w:cs="Times New Roman"/>
          <w:b/>
          <w:bCs/>
          <w:rtl/>
          <w:lang w:eastAsia="de-DE"/>
        </w:rPr>
        <w:t>לפני יהוה אלהיכם</w:t>
      </w:r>
      <w:r w:rsidRPr="004637CC">
        <w:rPr>
          <w:rFonts w:eastAsia="Times New Roman" w:cs="Times New Roman"/>
          <w:rtl/>
          <w:lang w:eastAsia="de-DE"/>
        </w:rPr>
        <w:t xml:space="preserve"> </w:t>
      </w:r>
      <w:r w:rsidRPr="004637CC">
        <w:rPr>
          <w:rFonts w:eastAsia="Times New Roman" w:cs="Times New Roman"/>
          <w:lang w:eastAsia="de-DE"/>
        </w:rPr>
        <w:t>zeigt liturgischen Kontext.</w:t>
      </w:r>
    </w:p>
    <w:p w14:paraId="196FDA97" w14:textId="218873C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erweitert die Aufzählung der Laubhüttenpflanzen erheblich: </w:t>
      </w:r>
      <w:r w:rsidR="00775F21">
        <w:rPr>
          <w:rtl/>
        </w:rPr>
        <w:t>פרי עץ הדר</w:t>
      </w:r>
      <w:r w:rsidR="00775F21">
        <w:t xml:space="preserve"> (</w:t>
      </w:r>
      <w:proofErr w:type="spellStart"/>
      <w:r w:rsidR="00775F21">
        <w:t>peri</w:t>
      </w:r>
      <w:proofErr w:type="spellEnd"/>
      <w:r w:rsidR="00775F21">
        <w:t xml:space="preserve"> </w:t>
      </w:r>
      <w:proofErr w:type="spellStart"/>
      <w:r w:rsidR="00775F21">
        <w:t>etz</w:t>
      </w:r>
      <w:proofErr w:type="spellEnd"/>
      <w:r w:rsidR="00775F21">
        <w:t xml:space="preserve"> </w:t>
      </w:r>
      <w:proofErr w:type="spellStart"/>
      <w:r w:rsidR="00775F21">
        <w:t>hadar</w:t>
      </w:r>
      <w:proofErr w:type="spellEnd"/>
      <w:r w:rsidR="00775F21">
        <w:t xml:space="preserve"> - "Frucht des Prachtbaums") wird zu καρπ</w:t>
      </w:r>
      <w:proofErr w:type="spellStart"/>
      <w:r w:rsidR="00775F21">
        <w:t>ὸν</w:t>
      </w:r>
      <w:proofErr w:type="spellEnd"/>
      <w:r w:rsidR="00775F21">
        <w:t xml:space="preserve"> </w:t>
      </w:r>
      <w:proofErr w:type="spellStart"/>
      <w:r w:rsidR="00775F21">
        <w:t>ξύλου</w:t>
      </w:r>
      <w:proofErr w:type="spellEnd"/>
      <w:r w:rsidR="00775F21">
        <w:t xml:space="preserve"> </w:t>
      </w:r>
      <w:proofErr w:type="spellStart"/>
      <w:r w:rsidR="00775F21">
        <w:t>ὡρ</w:t>
      </w:r>
      <w:proofErr w:type="spellEnd"/>
      <w:r w:rsidR="00775F21">
        <w:t xml:space="preserve">αῖον (Frucht des schönen Baums), </w:t>
      </w:r>
      <w:r w:rsidR="00775F21">
        <w:rPr>
          <w:rtl/>
        </w:rPr>
        <w:t>כפת תמרים</w:t>
      </w:r>
      <w:r w:rsidR="00775F21">
        <w:t xml:space="preserve"> (</w:t>
      </w:r>
      <w:proofErr w:type="spellStart"/>
      <w:r w:rsidR="00775F21">
        <w:t>kappot</w:t>
      </w:r>
      <w:proofErr w:type="spellEnd"/>
      <w:r w:rsidR="00775F21">
        <w:t xml:space="preserve"> </w:t>
      </w:r>
      <w:proofErr w:type="spellStart"/>
      <w:r w:rsidR="00775F21">
        <w:t>temarim</w:t>
      </w:r>
      <w:proofErr w:type="spellEnd"/>
      <w:r w:rsidR="00775F21">
        <w:t xml:space="preserve"> - "Palmenwedel") zu </w:t>
      </w:r>
      <w:proofErr w:type="spellStart"/>
      <w:r w:rsidR="00775F21">
        <w:t>κάλλυνθρ</w:t>
      </w:r>
      <w:proofErr w:type="spellEnd"/>
      <w:r w:rsidR="00775F21">
        <w:t xml:space="preserve">α </w:t>
      </w:r>
      <w:proofErr w:type="spellStart"/>
      <w:r w:rsidR="00775F21">
        <w:t>φοινίκων</w:t>
      </w:r>
      <w:proofErr w:type="spellEnd"/>
      <w:r w:rsidR="00775F21">
        <w:t xml:space="preserve"> (Palmenschmuck), </w:t>
      </w:r>
      <w:r w:rsidR="00775F21">
        <w:rPr>
          <w:rtl/>
        </w:rPr>
        <w:t>וענף עץ־עבת</w:t>
      </w:r>
      <w:r w:rsidR="00775F21">
        <w:t xml:space="preserve"> (</w:t>
      </w:r>
      <w:proofErr w:type="spellStart"/>
      <w:r w:rsidR="00775F21">
        <w:t>we'anaf</w:t>
      </w:r>
      <w:proofErr w:type="spellEnd"/>
      <w:r w:rsidR="00775F21">
        <w:t xml:space="preserve"> </w:t>
      </w:r>
      <w:proofErr w:type="spellStart"/>
      <w:r w:rsidR="00775F21">
        <w:t>etz-avot</w:t>
      </w:r>
      <w:proofErr w:type="spellEnd"/>
      <w:r w:rsidR="00775F21">
        <w:t xml:space="preserve"> - "Zweige dichter Bäume") zu </w:t>
      </w:r>
      <w:proofErr w:type="spellStart"/>
      <w:r w:rsidR="00775F21">
        <w:t>κλάδους</w:t>
      </w:r>
      <w:proofErr w:type="spellEnd"/>
      <w:r w:rsidR="00775F21">
        <w:t xml:space="preserve"> </w:t>
      </w:r>
      <w:proofErr w:type="spellStart"/>
      <w:r w:rsidR="00775F21">
        <w:t>ξύλου</w:t>
      </w:r>
      <w:proofErr w:type="spellEnd"/>
      <w:r w:rsidR="00775F21">
        <w:t xml:space="preserve"> δα</w:t>
      </w:r>
      <w:proofErr w:type="spellStart"/>
      <w:r w:rsidR="00775F21">
        <w:t>σεῖς</w:t>
      </w:r>
      <w:proofErr w:type="spellEnd"/>
      <w:r w:rsidR="00775F21">
        <w:t xml:space="preserve"> (Zweige dichter Bäume), und </w:t>
      </w:r>
      <w:r w:rsidR="00775F21">
        <w:rPr>
          <w:rtl/>
        </w:rPr>
        <w:t>וערבי־נחל</w:t>
      </w:r>
      <w:r w:rsidR="00775F21">
        <w:t xml:space="preserve"> (</w:t>
      </w:r>
      <w:proofErr w:type="spellStart"/>
      <w:r w:rsidR="00775F21">
        <w:t>we'arvei-nachal</w:t>
      </w:r>
      <w:proofErr w:type="spellEnd"/>
      <w:r w:rsidR="00775F21">
        <w:t xml:space="preserve"> - "Bachweiden") wird zu </w:t>
      </w:r>
      <w:proofErr w:type="spellStart"/>
      <w:r w:rsidR="00775F21">
        <w:t>ἰτέ</w:t>
      </w:r>
      <w:proofErr w:type="spellEnd"/>
      <w:r w:rsidR="00775F21">
        <w:t xml:space="preserve">ας καὶ </w:t>
      </w:r>
      <w:proofErr w:type="spellStart"/>
      <w:r w:rsidR="00775F21">
        <w:t>ἄγνου</w:t>
      </w:r>
      <w:proofErr w:type="spellEnd"/>
      <w:r w:rsidR="00775F21">
        <w:t xml:space="preserve"> </w:t>
      </w:r>
      <w:proofErr w:type="spellStart"/>
      <w:r w:rsidR="00775F21">
        <w:t>κλάδους</w:t>
      </w:r>
      <w:proofErr w:type="spellEnd"/>
      <w:r w:rsidR="00775F21">
        <w:t xml:space="preserve"> </w:t>
      </w:r>
      <w:proofErr w:type="spellStart"/>
      <w:r w:rsidR="00775F21">
        <w:t>ἐκ</w:t>
      </w:r>
      <w:proofErr w:type="spellEnd"/>
      <w:r w:rsidR="00775F21">
        <w:t xml:space="preserve"> </w:t>
      </w:r>
      <w:proofErr w:type="spellStart"/>
      <w:r w:rsidR="00775F21">
        <w:t>χειμάρρου</w:t>
      </w:r>
      <w:proofErr w:type="spellEnd"/>
      <w:r w:rsidR="00775F21">
        <w:t xml:space="preserve"> (Weiden und Keuschbaum-Zweige vom Wildbach).</w:t>
      </w:r>
    </w:p>
    <w:p w14:paraId="732190D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Laubhüttenfest-Ritual: Pflanzennahme am ersten Tag + vier Pflanzenarten + siebentägige Freude vor JHWH.</w:t>
      </w:r>
    </w:p>
    <w:p w14:paraId="69BDAA7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w:t>
      </w:r>
      <w:r w:rsidRPr="004637CC">
        <w:rPr>
          <w:rFonts w:eastAsia="Times New Roman" w:cs="Times New Roman"/>
          <w:b/>
          <w:bCs/>
          <w:rtl/>
          <w:lang w:eastAsia="de-DE"/>
        </w:rPr>
        <w:t>ארבעת המינים</w:t>
      </w:r>
      <w:r w:rsidRPr="004637CC">
        <w:rPr>
          <w:rFonts w:eastAsia="Times New Roman" w:cs="Times New Roman"/>
          <w:lang w:eastAsia="de-DE"/>
        </w:rPr>
        <w:t>-Ritual mit vier spezifischen Pflanzenarten und siebentägiger Freude vor JHWH.</w:t>
      </w:r>
    </w:p>
    <w:p w14:paraId="2C40AF75"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23,41</w:t>
      </w:r>
    </w:p>
    <w:p w14:paraId="4897DF6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וְחַגֹּתֶ֤ם אֹתוֹ֙ חַ֣ג לַֽיהוָ֔ה שִׁבְעַ֥ת יָמִ֖ים בַּשָּׁנָ֑ה חֻקַּ֤ת עוֹלָם֙ לְדֹרֹ֣תֵיכֶ֔ם בַּחֹ֥דֶשׁ הַשְּׁבִיעִ֖י תָּחֹ֥גּוּ אֹתוֹֽ׃</w:t>
      </w:r>
    </w:p>
    <w:p w14:paraId="0561C88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ihr sollt es als Fest für den Ewigen feiern sieben Tage im Jahr: Eine ewige Satzung bei euren Generationen; im siebten Monat sollt ihr es feiern.</w:t>
      </w:r>
    </w:p>
    <w:p w14:paraId="1356F502"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B385A2B">
          <v:rect id="_x0000_i1722" style="width:0;height:1.5pt" o:hralign="center" o:hrstd="t" o:hr="t" fillcolor="#a0a0a0" stroked="f"/>
        </w:pict>
      </w:r>
    </w:p>
    <w:p w14:paraId="0A01FAE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Kommentar:</w:t>
      </w:r>
      <w:r w:rsidRPr="004637CC">
        <w:rPr>
          <w:rFonts w:eastAsia="Times New Roman" w:cs="Times New Roman"/>
          <w:lang w:eastAsia="de-DE"/>
        </w:rPr>
        <w:t xml:space="preserve"> </w:t>
      </w:r>
      <w:r w:rsidRPr="004637CC">
        <w:rPr>
          <w:rFonts w:eastAsia="Times New Roman" w:cs="Times New Roman"/>
          <w:b/>
          <w:bCs/>
          <w:rtl/>
          <w:lang w:eastAsia="de-DE"/>
        </w:rPr>
        <w:t>וחגתם אתו חג ליהוה שבעת ימים בשנה חקת עולם לדרתיכם בחדש השביעי תחגו אתו</w:t>
      </w:r>
      <w:r w:rsidRPr="004637CC">
        <w:rPr>
          <w:rFonts w:eastAsia="Times New Roman" w:cs="Times New Roman"/>
          <w:rtl/>
          <w:lang w:eastAsia="de-DE"/>
        </w:rPr>
        <w:t xml:space="preserve"> </w:t>
      </w:r>
      <w:r w:rsidRPr="004637CC">
        <w:rPr>
          <w:rFonts w:eastAsia="Times New Roman" w:cs="Times New Roman"/>
          <w:lang w:eastAsia="de-DE"/>
        </w:rPr>
        <w:t xml:space="preserve">etabliert das Laubhüttenfest als jährliche ewige Satzung. </w:t>
      </w:r>
      <w:r w:rsidRPr="004637CC">
        <w:rPr>
          <w:rFonts w:eastAsia="Times New Roman" w:cs="Times New Roman"/>
          <w:b/>
          <w:bCs/>
          <w:rtl/>
          <w:lang w:eastAsia="de-DE"/>
        </w:rPr>
        <w:t>וחגתם אתו חג ליהוה שבעת ימים בשנה</w:t>
      </w:r>
      <w:r w:rsidRPr="004637CC">
        <w:rPr>
          <w:rFonts w:eastAsia="Times New Roman" w:cs="Times New Roman"/>
          <w:rtl/>
          <w:lang w:eastAsia="de-DE"/>
        </w:rPr>
        <w:t xml:space="preserve"> </w:t>
      </w:r>
      <w:r w:rsidRPr="004637CC">
        <w:rPr>
          <w:rFonts w:eastAsia="Times New Roman" w:cs="Times New Roman"/>
          <w:lang w:eastAsia="de-DE"/>
        </w:rPr>
        <w:t xml:space="preserve">(und ihr sollt es als Fest für den Ewigen feiern sieben Tage im Jahr) - </w:t>
      </w:r>
      <w:r w:rsidRPr="004637CC">
        <w:rPr>
          <w:rFonts w:eastAsia="Times New Roman" w:cs="Times New Roman"/>
          <w:b/>
          <w:bCs/>
          <w:rtl/>
          <w:lang w:eastAsia="de-DE"/>
        </w:rPr>
        <w:t>וחגתם אתו</w:t>
      </w:r>
      <w:r w:rsidRPr="004637CC">
        <w:rPr>
          <w:rFonts w:eastAsia="Times New Roman" w:cs="Times New Roman"/>
          <w:rtl/>
          <w:lang w:eastAsia="de-DE"/>
        </w:rPr>
        <w:t xml:space="preserve"> </w:t>
      </w:r>
      <w:r w:rsidRPr="004637CC">
        <w:rPr>
          <w:rFonts w:eastAsia="Times New Roman" w:cs="Times New Roman"/>
          <w:lang w:eastAsia="de-DE"/>
        </w:rPr>
        <w:t xml:space="preserve">(und ihr sollt es feiern) im Qal-Perfekt mit Waw-Konsekutiv von </w:t>
      </w:r>
      <w:r w:rsidRPr="004637CC">
        <w:rPr>
          <w:rFonts w:eastAsia="Times New Roman" w:cs="Times New Roman"/>
          <w:b/>
          <w:bCs/>
          <w:rtl/>
          <w:lang w:eastAsia="de-DE"/>
        </w:rPr>
        <w:t>חגג</w:t>
      </w:r>
      <w:r w:rsidRPr="004637CC">
        <w:rPr>
          <w:rFonts w:eastAsia="Times New Roman" w:cs="Times New Roman"/>
          <w:lang w:eastAsia="de-DE"/>
        </w:rPr>
        <w:t xml:space="preserve">. </w:t>
      </w:r>
      <w:r w:rsidRPr="004637CC">
        <w:rPr>
          <w:rFonts w:eastAsia="Times New Roman" w:cs="Times New Roman"/>
          <w:b/>
          <w:bCs/>
          <w:rtl/>
          <w:lang w:eastAsia="de-DE"/>
        </w:rPr>
        <w:t>חג ליהוה</w:t>
      </w:r>
      <w:r w:rsidRPr="004637CC">
        <w:rPr>
          <w:rFonts w:eastAsia="Times New Roman" w:cs="Times New Roman"/>
          <w:rtl/>
          <w:lang w:eastAsia="de-DE"/>
        </w:rPr>
        <w:t xml:space="preserve"> </w:t>
      </w:r>
      <w:r w:rsidRPr="004637CC">
        <w:rPr>
          <w:rFonts w:eastAsia="Times New Roman" w:cs="Times New Roman"/>
          <w:lang w:eastAsia="de-DE"/>
        </w:rPr>
        <w:t xml:space="preserve">entspricht V. 39. </w:t>
      </w:r>
      <w:r w:rsidRPr="004637CC">
        <w:rPr>
          <w:rFonts w:eastAsia="Times New Roman" w:cs="Times New Roman"/>
          <w:b/>
          <w:bCs/>
          <w:rtl/>
          <w:lang w:eastAsia="de-DE"/>
        </w:rPr>
        <w:t>שבעת ימים בשנה</w:t>
      </w:r>
      <w:r w:rsidRPr="004637CC">
        <w:rPr>
          <w:rFonts w:eastAsia="Times New Roman" w:cs="Times New Roman"/>
          <w:rtl/>
          <w:lang w:eastAsia="de-DE"/>
        </w:rPr>
        <w:t xml:space="preserve"> </w:t>
      </w:r>
      <w:r w:rsidRPr="004637CC">
        <w:rPr>
          <w:rFonts w:eastAsia="Times New Roman" w:cs="Times New Roman"/>
          <w:lang w:eastAsia="de-DE"/>
        </w:rPr>
        <w:t>(sieben Tage im Jahr) zeigt jährliche Wiederholung.</w:t>
      </w:r>
    </w:p>
    <w:p w14:paraId="0903846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חקת עולם לדרתיכם</w:t>
      </w:r>
      <w:r w:rsidRPr="004637CC">
        <w:rPr>
          <w:rFonts w:eastAsia="Times New Roman" w:cs="Times New Roman"/>
          <w:rtl/>
          <w:lang w:eastAsia="de-DE"/>
        </w:rPr>
        <w:t xml:space="preserve"> </w:t>
      </w:r>
      <w:r w:rsidRPr="004637CC">
        <w:rPr>
          <w:rFonts w:eastAsia="Times New Roman" w:cs="Times New Roman"/>
          <w:lang w:eastAsia="de-DE"/>
        </w:rPr>
        <w:t xml:space="preserve">(eine ewige Satzung bei euren Generationen) entspricht V. 14,21,31 und zeigt dauerhafte Verpflichtung. </w:t>
      </w:r>
      <w:r w:rsidRPr="004637CC">
        <w:rPr>
          <w:rFonts w:eastAsia="Times New Roman" w:cs="Times New Roman"/>
          <w:b/>
          <w:bCs/>
          <w:rtl/>
          <w:lang w:eastAsia="de-DE"/>
        </w:rPr>
        <w:t>בחדש השביעי תחגו אתו</w:t>
      </w:r>
      <w:r w:rsidRPr="004637CC">
        <w:rPr>
          <w:rFonts w:eastAsia="Times New Roman" w:cs="Times New Roman"/>
          <w:rtl/>
          <w:lang w:eastAsia="de-DE"/>
        </w:rPr>
        <w:t xml:space="preserve"> </w:t>
      </w:r>
      <w:r w:rsidRPr="004637CC">
        <w:rPr>
          <w:rFonts w:eastAsia="Times New Roman" w:cs="Times New Roman"/>
          <w:lang w:eastAsia="de-DE"/>
        </w:rPr>
        <w:t>(im siebten Monat sollt ihr es feiern) wiederholt die Zeitangabe zur Bekräftigung.</w:t>
      </w:r>
    </w:p>
    <w:p w14:paraId="66FC23E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חג ליהוה שבעת ימים בשנה</w:t>
      </w:r>
      <w:r w:rsidRPr="004637CC">
        <w:rPr>
          <w:rFonts w:eastAsia="Times New Roman" w:cs="Times New Roman"/>
          <w:rtl/>
          <w:lang w:eastAsia="de-DE"/>
        </w:rPr>
        <w:t xml:space="preserve"> </w:t>
      </w:r>
      <w:r w:rsidRPr="004637CC">
        <w:rPr>
          <w:rFonts w:eastAsia="Times New Roman" w:cs="Times New Roman"/>
          <w:lang w:eastAsia="de-DE"/>
        </w:rPr>
        <w:t xml:space="preserve">zeigt jährliche Regelmäßigkeit. </w:t>
      </w:r>
      <w:r w:rsidRPr="004637CC">
        <w:rPr>
          <w:rFonts w:eastAsia="Times New Roman" w:cs="Times New Roman"/>
          <w:b/>
          <w:bCs/>
          <w:rtl/>
          <w:lang w:eastAsia="de-DE"/>
        </w:rPr>
        <w:t>חקת עולם לדרתיכם</w:t>
      </w:r>
      <w:r w:rsidRPr="004637CC">
        <w:rPr>
          <w:rFonts w:eastAsia="Times New Roman" w:cs="Times New Roman"/>
          <w:rtl/>
          <w:lang w:eastAsia="de-DE"/>
        </w:rPr>
        <w:t xml:space="preserve"> </w:t>
      </w:r>
      <w:r w:rsidRPr="004637CC">
        <w:rPr>
          <w:rFonts w:eastAsia="Times New Roman" w:cs="Times New Roman"/>
          <w:lang w:eastAsia="de-DE"/>
        </w:rPr>
        <w:t xml:space="preserve">zeigt generationenübergreifende Gültigkeit. </w:t>
      </w:r>
      <w:r w:rsidRPr="004637CC">
        <w:rPr>
          <w:rFonts w:eastAsia="Times New Roman" w:cs="Times New Roman"/>
          <w:b/>
          <w:bCs/>
          <w:rtl/>
          <w:lang w:eastAsia="de-DE"/>
        </w:rPr>
        <w:t>בחדש השביעי</w:t>
      </w:r>
      <w:r w:rsidRPr="004637CC">
        <w:rPr>
          <w:rFonts w:eastAsia="Times New Roman" w:cs="Times New Roman"/>
          <w:rtl/>
          <w:lang w:eastAsia="de-DE"/>
        </w:rPr>
        <w:t xml:space="preserve"> </w:t>
      </w:r>
      <w:r w:rsidRPr="004637CC">
        <w:rPr>
          <w:rFonts w:eastAsia="Times New Roman" w:cs="Times New Roman"/>
          <w:lang w:eastAsia="de-DE"/>
        </w:rPr>
        <w:t>bekräftigt die Zeitbestimmung.</w:t>
      </w:r>
    </w:p>
    <w:p w14:paraId="71F9909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וחגתם אתו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ἑορτάσ</w:t>
      </w:r>
      <w:proofErr w:type="spellEnd"/>
      <w:r w:rsidRPr="004637CC">
        <w:rPr>
          <w:rFonts w:eastAsia="Times New Roman" w:cs="Times New Roman"/>
          <w:lang w:eastAsia="de-DE"/>
        </w:rPr>
        <w:t>ατε α</w:t>
      </w:r>
      <w:proofErr w:type="spellStart"/>
      <w:r w:rsidRPr="004637CC">
        <w:rPr>
          <w:rFonts w:eastAsia="Times New Roman" w:cs="Times New Roman"/>
          <w:lang w:eastAsia="de-DE"/>
        </w:rPr>
        <w:t>ὐτήν</w:t>
      </w:r>
      <w:proofErr w:type="spellEnd"/>
      <w:r w:rsidRPr="004637CC">
        <w:rPr>
          <w:rFonts w:eastAsia="Times New Roman" w:cs="Times New Roman"/>
          <w:lang w:eastAsia="de-DE"/>
        </w:rPr>
        <w:t xml:space="preserve"> (feiert es), </w:t>
      </w:r>
      <w:r w:rsidRPr="004637CC">
        <w:rPr>
          <w:rFonts w:eastAsia="Times New Roman" w:cs="Times New Roman"/>
          <w:b/>
          <w:bCs/>
          <w:rtl/>
          <w:lang w:eastAsia="de-DE"/>
        </w:rPr>
        <w:t>חג ליהוה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ἑορτὴν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κυρίῳ</w:t>
      </w:r>
      <w:proofErr w:type="spellEnd"/>
      <w:r w:rsidRPr="004637CC">
        <w:rPr>
          <w:rFonts w:eastAsia="Times New Roman" w:cs="Times New Roman"/>
          <w:lang w:eastAsia="de-DE"/>
        </w:rPr>
        <w:t xml:space="preserve"> (Fest dem Herrn), </w:t>
      </w:r>
      <w:r w:rsidRPr="004637CC">
        <w:rPr>
          <w:rFonts w:eastAsia="Times New Roman" w:cs="Times New Roman"/>
          <w:b/>
          <w:bCs/>
          <w:rtl/>
          <w:lang w:eastAsia="de-DE"/>
        </w:rPr>
        <w:t>בשנה</w:t>
      </w:r>
      <w:r w:rsidRPr="004637CC">
        <w:rPr>
          <w:rFonts w:eastAsia="Times New Roman" w:cs="Times New Roman"/>
          <w:rtl/>
          <w:lang w:eastAsia="de-DE"/>
        </w:rPr>
        <w:t xml:space="preserve"> </w:t>
      </w:r>
      <w:r w:rsidRPr="004637CC">
        <w:rPr>
          <w:rFonts w:eastAsia="Times New Roman" w:cs="Times New Roman"/>
          <w:lang w:eastAsia="de-DE"/>
        </w:rPr>
        <w:t xml:space="preserve">mit κατ᾽ </w:t>
      </w:r>
      <w:proofErr w:type="spellStart"/>
      <w:r w:rsidRPr="004637CC">
        <w:rPr>
          <w:rFonts w:eastAsia="Times New Roman" w:cs="Times New Roman"/>
          <w:lang w:eastAsia="de-DE"/>
        </w:rPr>
        <w:t>ἐνι</w:t>
      </w:r>
      <w:proofErr w:type="spellEnd"/>
      <w:r w:rsidRPr="004637CC">
        <w:rPr>
          <w:rFonts w:eastAsia="Times New Roman" w:cs="Times New Roman"/>
          <w:lang w:eastAsia="de-DE"/>
        </w:rPr>
        <w:t xml:space="preserve">αυτόν (jährlich),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νόμιμον</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ἰώνιον</w:t>
      </w:r>
      <w:proofErr w:type="spellEnd"/>
      <w:r w:rsidRPr="004637CC">
        <w:rPr>
          <w:rFonts w:eastAsia="Times New Roman" w:cs="Times New Roman"/>
          <w:lang w:eastAsia="de-DE"/>
        </w:rPr>
        <w:t xml:space="preserve"> (ewiges Gesetz) und </w:t>
      </w:r>
      <w:r w:rsidRPr="004637CC">
        <w:rPr>
          <w:rFonts w:eastAsia="Times New Roman" w:cs="Times New Roman"/>
          <w:b/>
          <w:bCs/>
          <w:rtl/>
          <w:lang w:eastAsia="de-DE"/>
        </w:rPr>
        <w:t>בחדש השביעי</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μηνὶ</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ἑβ</w:t>
      </w:r>
      <w:proofErr w:type="spellStart"/>
      <w:r w:rsidRPr="004637CC">
        <w:rPr>
          <w:rFonts w:eastAsia="Times New Roman" w:cs="Times New Roman"/>
          <w:lang w:eastAsia="de-DE"/>
        </w:rPr>
        <w:t>δόμῳ</w:t>
      </w:r>
      <w:proofErr w:type="spellEnd"/>
      <w:r w:rsidRPr="004637CC">
        <w:rPr>
          <w:rFonts w:eastAsia="Times New Roman" w:cs="Times New Roman"/>
          <w:lang w:eastAsia="de-DE"/>
        </w:rPr>
        <w:t xml:space="preserve"> (im siebten Monat).</w:t>
      </w:r>
    </w:p>
    <w:p w14:paraId="0E2C8B2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Laubhüttenfest-Etablierung: jährliche siebentägige JHWH-Festfeier + ewige Satzung + generationenübergreifende Gültigkeit + Monats-Bekräftigung.</w:t>
      </w:r>
    </w:p>
    <w:p w14:paraId="5DE34E1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Laubhüttenfest als jährliche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im siebten Monat für alle Generationen.</w:t>
      </w:r>
    </w:p>
    <w:p w14:paraId="7437393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23,42</w:t>
      </w:r>
    </w:p>
    <w:p w14:paraId="059AFF0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בַּסֻּכֹּ֥ת תֵּשְׁב֖וּ שִׁבְעַ֣ת יָמִ֑ים כָּל־הָֽאֶזְרָח֙ בְּיִשְׂרָאֵ֔ל יֵשְׁב֖וּ בַּסֻּכֹּֽת׃</w:t>
      </w:r>
    </w:p>
    <w:p w14:paraId="26364F6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In Laubhütten sollt ihr sieben Tage wohnen; alle Einheimischen in Israel sollen in Laubhütten wohnen,</w:t>
      </w:r>
    </w:p>
    <w:p w14:paraId="0C906A60"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BE8240C">
          <v:rect id="_x0000_i1723" style="width:0;height:1.5pt" o:hralign="center" o:hrstd="t" o:hr="t" fillcolor="#a0a0a0" stroked="f"/>
        </w:pict>
      </w:r>
    </w:p>
    <w:p w14:paraId="1B4D9D7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בסכת תשבו שבעת ימים כל־האזרח בישראל ישבו בסכת</w:t>
      </w:r>
      <w:r w:rsidRPr="004637CC">
        <w:rPr>
          <w:rFonts w:eastAsia="Times New Roman" w:cs="Times New Roman"/>
          <w:rtl/>
          <w:lang w:eastAsia="de-DE"/>
        </w:rPr>
        <w:t xml:space="preserve"> </w:t>
      </w:r>
      <w:r w:rsidRPr="004637CC">
        <w:rPr>
          <w:rFonts w:eastAsia="Times New Roman" w:cs="Times New Roman"/>
          <w:lang w:eastAsia="de-DE"/>
        </w:rPr>
        <w:t xml:space="preserve">zeigt die charakteristische </w:t>
      </w:r>
      <w:r w:rsidRPr="004637CC">
        <w:rPr>
          <w:rFonts w:eastAsia="Times New Roman" w:cs="Times New Roman"/>
          <w:b/>
          <w:bCs/>
          <w:rtl/>
          <w:lang w:eastAsia="de-DE"/>
        </w:rPr>
        <w:t>סכה</w:t>
      </w:r>
      <w:r w:rsidRPr="004637CC">
        <w:rPr>
          <w:rFonts w:eastAsia="Times New Roman" w:cs="Times New Roman"/>
          <w:lang w:eastAsia="de-DE"/>
        </w:rPr>
        <w:t xml:space="preserve">-Wohnpflicht. </w:t>
      </w:r>
      <w:r w:rsidRPr="004637CC">
        <w:rPr>
          <w:rFonts w:eastAsia="Times New Roman" w:cs="Times New Roman"/>
          <w:b/>
          <w:bCs/>
          <w:rtl/>
          <w:lang w:eastAsia="de-DE"/>
        </w:rPr>
        <w:t>בסכת תשבו שבעת ימים</w:t>
      </w:r>
      <w:r w:rsidRPr="004637CC">
        <w:rPr>
          <w:rFonts w:eastAsia="Times New Roman" w:cs="Times New Roman"/>
          <w:rtl/>
          <w:lang w:eastAsia="de-DE"/>
        </w:rPr>
        <w:t xml:space="preserve"> </w:t>
      </w:r>
      <w:r w:rsidRPr="004637CC">
        <w:rPr>
          <w:rFonts w:eastAsia="Times New Roman" w:cs="Times New Roman"/>
          <w:lang w:eastAsia="de-DE"/>
        </w:rPr>
        <w:t xml:space="preserve">(in Laubhütten sollt ihr sieben Tage wohnen) - </w:t>
      </w:r>
      <w:r w:rsidRPr="004637CC">
        <w:rPr>
          <w:rFonts w:eastAsia="Times New Roman" w:cs="Times New Roman"/>
          <w:b/>
          <w:bCs/>
          <w:rtl/>
          <w:lang w:eastAsia="de-DE"/>
        </w:rPr>
        <w:t>בסכת</w:t>
      </w:r>
      <w:r w:rsidRPr="004637CC">
        <w:rPr>
          <w:rFonts w:eastAsia="Times New Roman" w:cs="Times New Roman"/>
          <w:rtl/>
          <w:lang w:eastAsia="de-DE"/>
        </w:rPr>
        <w:t xml:space="preserve"> </w:t>
      </w:r>
      <w:r w:rsidRPr="004637CC">
        <w:rPr>
          <w:rFonts w:eastAsia="Times New Roman" w:cs="Times New Roman"/>
          <w:lang w:eastAsia="de-DE"/>
        </w:rPr>
        <w:t xml:space="preserve">(in Laubhütten) von </w:t>
      </w:r>
      <w:r w:rsidRPr="004637CC">
        <w:rPr>
          <w:rFonts w:eastAsia="Times New Roman" w:cs="Times New Roman"/>
          <w:b/>
          <w:bCs/>
          <w:rtl/>
          <w:lang w:eastAsia="de-DE"/>
        </w:rPr>
        <w:t>סכה</w:t>
      </w:r>
      <w:r w:rsidRPr="004637CC">
        <w:rPr>
          <w:rFonts w:eastAsia="Times New Roman" w:cs="Times New Roman"/>
          <w:rtl/>
          <w:lang w:eastAsia="de-DE"/>
        </w:rPr>
        <w:t xml:space="preserve"> </w:t>
      </w:r>
      <w:r w:rsidRPr="004637CC">
        <w:rPr>
          <w:rFonts w:eastAsia="Times New Roman" w:cs="Times New Roman"/>
          <w:lang w:eastAsia="de-DE"/>
        </w:rPr>
        <w:t xml:space="preserve">(Hütte/Laube) zeigt temporäre Behausungen. </w:t>
      </w:r>
      <w:r w:rsidRPr="004637CC">
        <w:rPr>
          <w:rFonts w:eastAsia="Times New Roman" w:cs="Times New Roman"/>
          <w:b/>
          <w:bCs/>
          <w:rtl/>
          <w:lang w:eastAsia="de-DE"/>
        </w:rPr>
        <w:t>תשבו</w:t>
      </w:r>
      <w:r w:rsidRPr="004637CC">
        <w:rPr>
          <w:rFonts w:eastAsia="Times New Roman" w:cs="Times New Roman"/>
          <w:rtl/>
          <w:lang w:eastAsia="de-DE"/>
        </w:rPr>
        <w:t xml:space="preserve"> </w:t>
      </w:r>
      <w:r w:rsidRPr="004637CC">
        <w:rPr>
          <w:rFonts w:eastAsia="Times New Roman" w:cs="Times New Roman"/>
          <w:lang w:eastAsia="de-DE"/>
        </w:rPr>
        <w:t xml:space="preserve">(sollt ihr wohnen) im Qal-Imperfekt von </w:t>
      </w:r>
      <w:r w:rsidRPr="004637CC">
        <w:rPr>
          <w:rFonts w:eastAsia="Times New Roman" w:cs="Times New Roman"/>
          <w:b/>
          <w:bCs/>
          <w:rtl/>
          <w:lang w:eastAsia="de-DE"/>
        </w:rPr>
        <w:t>ישב</w:t>
      </w:r>
      <w:r w:rsidRPr="004637CC">
        <w:rPr>
          <w:rFonts w:eastAsia="Times New Roman" w:cs="Times New Roman"/>
          <w:rtl/>
          <w:lang w:eastAsia="de-DE"/>
        </w:rPr>
        <w:t xml:space="preserve"> </w:t>
      </w:r>
      <w:r w:rsidRPr="004637CC">
        <w:rPr>
          <w:rFonts w:eastAsia="Times New Roman" w:cs="Times New Roman"/>
          <w:lang w:eastAsia="de-DE"/>
        </w:rPr>
        <w:t xml:space="preserve">zeigt Wohnpflicht. </w:t>
      </w:r>
      <w:r w:rsidRPr="004637CC">
        <w:rPr>
          <w:rFonts w:eastAsia="Times New Roman" w:cs="Times New Roman"/>
          <w:b/>
          <w:bCs/>
          <w:rtl/>
          <w:lang w:eastAsia="de-DE"/>
        </w:rPr>
        <w:t>שבעת ימים</w:t>
      </w:r>
      <w:r w:rsidRPr="004637CC">
        <w:rPr>
          <w:rFonts w:eastAsia="Times New Roman" w:cs="Times New Roman"/>
          <w:rtl/>
          <w:lang w:eastAsia="de-DE"/>
        </w:rPr>
        <w:t xml:space="preserve"> </w:t>
      </w:r>
      <w:r w:rsidRPr="004637CC">
        <w:rPr>
          <w:rFonts w:eastAsia="Times New Roman" w:cs="Times New Roman"/>
          <w:lang w:eastAsia="de-DE"/>
        </w:rPr>
        <w:t>zeigt die Festdauer.</w:t>
      </w:r>
    </w:p>
    <w:p w14:paraId="0B9DFD9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כל־האזרח בישראל ישבו בסכת</w:t>
      </w:r>
      <w:r w:rsidRPr="004637CC">
        <w:rPr>
          <w:rFonts w:eastAsia="Times New Roman" w:cs="Times New Roman"/>
          <w:rtl/>
          <w:lang w:eastAsia="de-DE"/>
        </w:rPr>
        <w:t xml:space="preserve"> </w:t>
      </w:r>
      <w:r w:rsidRPr="004637CC">
        <w:rPr>
          <w:rFonts w:eastAsia="Times New Roman" w:cs="Times New Roman"/>
          <w:lang w:eastAsia="de-DE"/>
        </w:rPr>
        <w:t xml:space="preserve">(alle Einheimischen in Israel sollen in Laubhütten wohnen) - </w:t>
      </w:r>
      <w:r w:rsidRPr="004637CC">
        <w:rPr>
          <w:rFonts w:eastAsia="Times New Roman" w:cs="Times New Roman"/>
          <w:b/>
          <w:bCs/>
          <w:rtl/>
          <w:lang w:eastAsia="de-DE"/>
        </w:rPr>
        <w:t>כל־האזרח בישראל</w:t>
      </w:r>
      <w:r w:rsidRPr="004637CC">
        <w:rPr>
          <w:rFonts w:eastAsia="Times New Roman" w:cs="Times New Roman"/>
          <w:rtl/>
          <w:lang w:eastAsia="de-DE"/>
        </w:rPr>
        <w:t xml:space="preserve"> </w:t>
      </w:r>
      <w:r w:rsidRPr="004637CC">
        <w:rPr>
          <w:rFonts w:eastAsia="Times New Roman" w:cs="Times New Roman"/>
          <w:lang w:eastAsia="de-DE"/>
        </w:rPr>
        <w:t xml:space="preserve">(alle Einheimischen in Israel) - </w:t>
      </w:r>
      <w:r w:rsidRPr="004637CC">
        <w:rPr>
          <w:rFonts w:eastAsia="Times New Roman" w:cs="Times New Roman"/>
          <w:b/>
          <w:bCs/>
          <w:rtl/>
          <w:lang w:eastAsia="de-DE"/>
        </w:rPr>
        <w:t>אזרח</w:t>
      </w:r>
      <w:r w:rsidRPr="004637CC">
        <w:rPr>
          <w:rFonts w:eastAsia="Times New Roman" w:cs="Times New Roman"/>
          <w:rtl/>
          <w:lang w:eastAsia="de-DE"/>
        </w:rPr>
        <w:t xml:space="preserve"> </w:t>
      </w:r>
      <w:r w:rsidRPr="004637CC">
        <w:rPr>
          <w:rFonts w:eastAsia="Times New Roman" w:cs="Times New Roman"/>
          <w:lang w:eastAsia="de-DE"/>
        </w:rPr>
        <w:t xml:space="preserve">(Einheimischer) zeigt geborene Israeliten im Unterschied zu </w:t>
      </w:r>
      <w:r w:rsidRPr="004637CC">
        <w:rPr>
          <w:rFonts w:eastAsia="Times New Roman" w:cs="Times New Roman"/>
          <w:b/>
          <w:bCs/>
          <w:rtl/>
          <w:lang w:eastAsia="de-DE"/>
        </w:rPr>
        <w:t>גר</w:t>
      </w:r>
      <w:r w:rsidRPr="004637CC">
        <w:rPr>
          <w:rFonts w:eastAsia="Times New Roman" w:cs="Times New Roman"/>
          <w:rtl/>
          <w:lang w:eastAsia="de-DE"/>
        </w:rPr>
        <w:t xml:space="preserve"> </w:t>
      </w:r>
      <w:r w:rsidRPr="004637CC">
        <w:rPr>
          <w:rFonts w:eastAsia="Times New Roman" w:cs="Times New Roman"/>
          <w:lang w:eastAsia="de-DE"/>
        </w:rPr>
        <w:t xml:space="preserve">(Fremden). </w:t>
      </w:r>
      <w:r w:rsidRPr="004637CC">
        <w:rPr>
          <w:rFonts w:eastAsia="Times New Roman" w:cs="Times New Roman"/>
          <w:b/>
          <w:bCs/>
          <w:rtl/>
          <w:lang w:eastAsia="de-DE"/>
        </w:rPr>
        <w:t>ישבו בסכת</w:t>
      </w:r>
      <w:r w:rsidRPr="004637CC">
        <w:rPr>
          <w:rFonts w:eastAsia="Times New Roman" w:cs="Times New Roman"/>
          <w:rtl/>
          <w:lang w:eastAsia="de-DE"/>
        </w:rPr>
        <w:t xml:space="preserve"> </w:t>
      </w:r>
      <w:r w:rsidRPr="004637CC">
        <w:rPr>
          <w:rFonts w:eastAsia="Times New Roman" w:cs="Times New Roman"/>
          <w:lang w:eastAsia="de-DE"/>
        </w:rPr>
        <w:t>wiederholt die Wohnpflicht.</w:t>
      </w:r>
    </w:p>
    <w:p w14:paraId="4715BE1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בסכת</w:t>
      </w:r>
      <w:r w:rsidRPr="004637CC">
        <w:rPr>
          <w:rFonts w:eastAsia="Times New Roman" w:cs="Times New Roman"/>
          <w:rtl/>
          <w:lang w:eastAsia="de-DE"/>
        </w:rPr>
        <w:t xml:space="preserve"> </w:t>
      </w:r>
      <w:r w:rsidRPr="004637CC">
        <w:rPr>
          <w:rFonts w:eastAsia="Times New Roman" w:cs="Times New Roman"/>
          <w:lang w:eastAsia="de-DE"/>
        </w:rPr>
        <w:t xml:space="preserve">als charakteristisches Element des Festes. </w:t>
      </w:r>
      <w:r w:rsidRPr="004637CC">
        <w:rPr>
          <w:rFonts w:eastAsia="Times New Roman" w:cs="Times New Roman"/>
          <w:b/>
          <w:bCs/>
          <w:rtl/>
          <w:lang w:eastAsia="de-DE"/>
        </w:rPr>
        <w:t>תשבו</w:t>
      </w:r>
      <w:r w:rsidRPr="004637CC">
        <w:rPr>
          <w:rFonts w:eastAsia="Times New Roman" w:cs="Times New Roman"/>
          <w:rtl/>
          <w:lang w:eastAsia="de-DE"/>
        </w:rPr>
        <w:t xml:space="preserve"> </w:t>
      </w:r>
      <w:r w:rsidRPr="004637CC">
        <w:rPr>
          <w:rFonts w:eastAsia="Times New Roman" w:cs="Times New Roman"/>
          <w:lang w:eastAsia="de-DE"/>
        </w:rPr>
        <w:t xml:space="preserve">zeigt temporäres Wohnen außerhalb der normalen Häuser. </w:t>
      </w:r>
      <w:r w:rsidRPr="004637CC">
        <w:rPr>
          <w:rFonts w:eastAsia="Times New Roman" w:cs="Times New Roman"/>
          <w:b/>
          <w:bCs/>
          <w:rtl/>
          <w:lang w:eastAsia="de-DE"/>
        </w:rPr>
        <w:t>אזרח בישראל</w:t>
      </w:r>
      <w:r w:rsidRPr="004637CC">
        <w:rPr>
          <w:rFonts w:eastAsia="Times New Roman" w:cs="Times New Roman"/>
          <w:rtl/>
          <w:lang w:eastAsia="de-DE"/>
        </w:rPr>
        <w:t xml:space="preserve"> </w:t>
      </w:r>
      <w:r w:rsidRPr="004637CC">
        <w:rPr>
          <w:rFonts w:eastAsia="Times New Roman" w:cs="Times New Roman"/>
          <w:lang w:eastAsia="de-DE"/>
        </w:rPr>
        <w:t>zeigt Beschränkung auf geborene Israeliten.</w:t>
      </w:r>
    </w:p>
    <w:p w14:paraId="282AD326" w14:textId="3191C536"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האזרח</w:t>
      </w:r>
      <w:r w:rsidR="00775F21">
        <w:t xml:space="preserve"> (</w:t>
      </w:r>
      <w:proofErr w:type="spellStart"/>
      <w:r w:rsidR="00775F21">
        <w:t>ha'ezrach</w:t>
      </w:r>
      <w:proofErr w:type="spellEnd"/>
      <w:r w:rsidR="00775F21">
        <w:t xml:space="preserve"> - "Einheimischer") als ὁ α</w:t>
      </w:r>
      <w:proofErr w:type="spellStart"/>
      <w:r w:rsidR="00775F21">
        <w:t>ὐτόχθων</w:t>
      </w:r>
      <w:proofErr w:type="spellEnd"/>
      <w:r w:rsidR="00775F21">
        <w:t xml:space="preserve"> (der Eingeborene).</w:t>
      </w:r>
    </w:p>
    <w:p w14:paraId="0DF31B4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t>
      </w:r>
      <w:r w:rsidRPr="004637CC">
        <w:rPr>
          <w:rFonts w:eastAsia="Times New Roman" w:cs="Times New Roman"/>
          <w:b/>
          <w:bCs/>
          <w:rtl/>
          <w:lang w:eastAsia="de-DE"/>
        </w:rPr>
        <w:t>סכות</w:t>
      </w:r>
      <w:r w:rsidRPr="004637CC">
        <w:rPr>
          <w:rFonts w:eastAsia="Times New Roman" w:cs="Times New Roman"/>
          <w:lang w:eastAsia="de-DE"/>
        </w:rPr>
        <w:t>-Wohnpflicht: siebentägiges Laubhüttenwohnen + alle Einheimischen in Israel + Laubhüttenwohnen.</w:t>
      </w:r>
    </w:p>
    <w:p w14:paraId="4269DDF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lastRenderedPageBreak/>
        <w:t xml:space="preserve">Dieser Vers etabliert die charakteristische </w:t>
      </w:r>
      <w:r w:rsidRPr="004637CC">
        <w:rPr>
          <w:rFonts w:eastAsia="Times New Roman" w:cs="Times New Roman"/>
          <w:b/>
          <w:bCs/>
          <w:rtl/>
          <w:lang w:eastAsia="de-DE"/>
        </w:rPr>
        <w:t>סכה</w:t>
      </w:r>
      <w:r w:rsidRPr="004637CC">
        <w:rPr>
          <w:rFonts w:eastAsia="Times New Roman" w:cs="Times New Roman"/>
          <w:lang w:eastAsia="de-DE"/>
        </w:rPr>
        <w:t>-Wohnpflicht für alle geborenen Israeliten während der sieben Festtage.</w:t>
      </w:r>
    </w:p>
    <w:p w14:paraId="72751389"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23,43</w:t>
      </w:r>
    </w:p>
    <w:p w14:paraId="107B619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לְמַעַן֮ יֵדְע֣וּ דֹרֹֽתֵיכֶם֒ כִּ֣י בַסֻּכּ֗וֹת הוֹשַׁ֨בְתִּי֙ אֶת־בְּנֵ֣י יִשְׂרָאֵ֔ל בְּהוֹצִיאִ֥י אוֹתָ֖ם מֵאֶ֣רֶץ מִצְרָ֑יִם אֲנִ֖י יְהוָ֥ה אֱלֹהֵיכֶֽם׃</w:t>
      </w:r>
    </w:p>
    <w:p w14:paraId="685A8F4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damit eure Generationen wissen, dass ich die Kinder Israels in Hütten wohnen ließ, als ich sie aus dem Land Ägypten herausführte. Ich bin der Ewige, euer Gott.</w:t>
      </w:r>
    </w:p>
    <w:p w14:paraId="753778F2"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3BBC716">
          <v:rect id="_x0000_i1724" style="width:0;height:1.5pt" o:hralign="center" o:hrstd="t" o:hr="t" fillcolor="#a0a0a0" stroked="f"/>
        </w:pict>
      </w:r>
    </w:p>
    <w:p w14:paraId="6C27DA2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למען ידעו דרתיכם כי בסכות הושבתי את־בני ישראל בהוציאי אותם מארץ מצרים אני יהוה אלהיכם</w:t>
      </w:r>
      <w:r w:rsidRPr="004637CC">
        <w:rPr>
          <w:rFonts w:eastAsia="Times New Roman" w:cs="Times New Roman"/>
          <w:rtl/>
          <w:lang w:eastAsia="de-DE"/>
        </w:rPr>
        <w:t xml:space="preserve"> </w:t>
      </w:r>
      <w:r w:rsidRPr="004637CC">
        <w:rPr>
          <w:rFonts w:eastAsia="Times New Roman" w:cs="Times New Roman"/>
          <w:lang w:eastAsia="de-DE"/>
        </w:rPr>
        <w:t xml:space="preserve">zeigt die historische Begründung des Laubhüttenfestes. </w:t>
      </w:r>
      <w:r w:rsidRPr="004637CC">
        <w:rPr>
          <w:rFonts w:eastAsia="Times New Roman" w:cs="Times New Roman"/>
          <w:b/>
          <w:bCs/>
          <w:rtl/>
          <w:lang w:eastAsia="de-DE"/>
        </w:rPr>
        <w:t>למען ידעו דרתיכם</w:t>
      </w:r>
      <w:r w:rsidRPr="004637CC">
        <w:rPr>
          <w:rFonts w:eastAsia="Times New Roman" w:cs="Times New Roman"/>
          <w:rtl/>
          <w:lang w:eastAsia="de-DE"/>
        </w:rPr>
        <w:t xml:space="preserve"> </w:t>
      </w:r>
      <w:r w:rsidRPr="004637CC">
        <w:rPr>
          <w:rFonts w:eastAsia="Times New Roman" w:cs="Times New Roman"/>
          <w:lang w:eastAsia="de-DE"/>
        </w:rPr>
        <w:t xml:space="preserve">(damit eure Generationen wissen) - </w:t>
      </w:r>
      <w:r w:rsidRPr="004637CC">
        <w:rPr>
          <w:rFonts w:eastAsia="Times New Roman" w:cs="Times New Roman"/>
          <w:b/>
          <w:bCs/>
          <w:rtl/>
          <w:lang w:eastAsia="de-DE"/>
        </w:rPr>
        <w:t>למען</w:t>
      </w:r>
      <w:r w:rsidRPr="004637CC">
        <w:rPr>
          <w:rFonts w:eastAsia="Times New Roman" w:cs="Times New Roman"/>
          <w:rtl/>
          <w:lang w:eastAsia="de-DE"/>
        </w:rPr>
        <w:t xml:space="preserve"> </w:t>
      </w:r>
      <w:r w:rsidRPr="004637CC">
        <w:rPr>
          <w:rFonts w:eastAsia="Times New Roman" w:cs="Times New Roman"/>
          <w:lang w:eastAsia="de-DE"/>
        </w:rPr>
        <w:t xml:space="preserve">(damit) als Zweckangabe. </w:t>
      </w:r>
      <w:r w:rsidRPr="004637CC">
        <w:rPr>
          <w:rFonts w:eastAsia="Times New Roman" w:cs="Times New Roman"/>
          <w:b/>
          <w:bCs/>
          <w:rtl/>
          <w:lang w:eastAsia="de-DE"/>
        </w:rPr>
        <w:t>ידעו</w:t>
      </w:r>
      <w:r w:rsidRPr="004637CC">
        <w:rPr>
          <w:rFonts w:eastAsia="Times New Roman" w:cs="Times New Roman"/>
          <w:rtl/>
          <w:lang w:eastAsia="de-DE"/>
        </w:rPr>
        <w:t xml:space="preserve"> </w:t>
      </w:r>
      <w:r w:rsidRPr="004637CC">
        <w:rPr>
          <w:rFonts w:eastAsia="Times New Roman" w:cs="Times New Roman"/>
          <w:lang w:eastAsia="de-DE"/>
        </w:rPr>
        <w:t xml:space="preserve">(wissen) im Qal-Imperfekt. </w:t>
      </w:r>
      <w:r w:rsidRPr="004637CC">
        <w:rPr>
          <w:rFonts w:eastAsia="Times New Roman" w:cs="Times New Roman"/>
          <w:b/>
          <w:bCs/>
          <w:rtl/>
          <w:lang w:eastAsia="de-DE"/>
        </w:rPr>
        <w:t>דרתיכם</w:t>
      </w:r>
      <w:r w:rsidRPr="004637CC">
        <w:rPr>
          <w:rFonts w:eastAsia="Times New Roman" w:cs="Times New Roman"/>
          <w:rtl/>
          <w:lang w:eastAsia="de-DE"/>
        </w:rPr>
        <w:t xml:space="preserve"> </w:t>
      </w:r>
      <w:r w:rsidRPr="004637CC">
        <w:rPr>
          <w:rFonts w:eastAsia="Times New Roman" w:cs="Times New Roman"/>
          <w:lang w:eastAsia="de-DE"/>
        </w:rPr>
        <w:t>(eure Generationen) zeigt pädagogischen Zweck.</w:t>
      </w:r>
    </w:p>
    <w:p w14:paraId="4FE98002" w14:textId="3E6F5588"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כי בסכות הושבתי את־בני ישראל בהוציאי אותם מארץ מצרים</w:t>
      </w:r>
      <w:r w:rsidRPr="004637CC">
        <w:rPr>
          <w:rFonts w:eastAsia="Times New Roman" w:cs="Times New Roman"/>
          <w:rtl/>
          <w:lang w:eastAsia="de-DE"/>
        </w:rPr>
        <w:t xml:space="preserve"> </w:t>
      </w:r>
      <w:r w:rsidRPr="004637CC">
        <w:rPr>
          <w:rFonts w:eastAsia="Times New Roman" w:cs="Times New Roman"/>
          <w:lang w:eastAsia="de-DE"/>
        </w:rPr>
        <w:t xml:space="preserve">(dass ich die Kinder Israels in Hütten wohnen ließ, als ich sie aus dem Land Ägypten herausführte) - </w:t>
      </w:r>
      <w:r w:rsidRPr="004637CC">
        <w:rPr>
          <w:rFonts w:eastAsia="Times New Roman" w:cs="Times New Roman"/>
          <w:b/>
          <w:bCs/>
          <w:rtl/>
          <w:lang w:eastAsia="de-DE"/>
        </w:rPr>
        <w:t>בסכות הושבתי</w:t>
      </w:r>
      <w:r w:rsidRPr="004637CC">
        <w:rPr>
          <w:rFonts w:eastAsia="Times New Roman" w:cs="Times New Roman"/>
          <w:rtl/>
          <w:lang w:eastAsia="de-DE"/>
        </w:rPr>
        <w:t xml:space="preserve"> </w:t>
      </w:r>
      <w:r w:rsidRPr="004637CC">
        <w:rPr>
          <w:rFonts w:eastAsia="Times New Roman" w:cs="Times New Roman"/>
          <w:lang w:eastAsia="de-DE"/>
        </w:rPr>
        <w:t xml:space="preserve">(in Hütten ließ ich wohnen) im Hifil-Perfekt, das Hifil zeigt kausatives </w:t>
      </w:r>
      <w:r w:rsidR="009A271E" w:rsidRPr="004637CC">
        <w:rPr>
          <w:rFonts w:eastAsia="Times New Roman" w:cs="Times New Roman"/>
          <w:lang w:eastAsia="de-DE"/>
        </w:rPr>
        <w:t>Wohnen lassen</w:t>
      </w:r>
      <w:r w:rsidRPr="004637CC">
        <w:rPr>
          <w:rFonts w:eastAsia="Times New Roman" w:cs="Times New Roman"/>
          <w:lang w:eastAsia="de-DE"/>
        </w:rPr>
        <w:t xml:space="preserve">. </w:t>
      </w:r>
      <w:r w:rsidRPr="004637CC">
        <w:rPr>
          <w:rFonts w:eastAsia="Times New Roman" w:cs="Times New Roman"/>
          <w:b/>
          <w:bCs/>
          <w:rtl/>
          <w:lang w:eastAsia="de-DE"/>
        </w:rPr>
        <w:t>בהוציאי אותם מארץ מצרים</w:t>
      </w:r>
      <w:r w:rsidRPr="004637CC">
        <w:rPr>
          <w:rFonts w:eastAsia="Times New Roman" w:cs="Times New Roman"/>
          <w:rtl/>
          <w:lang w:eastAsia="de-DE"/>
        </w:rPr>
        <w:t xml:space="preserve"> </w:t>
      </w:r>
      <w:r w:rsidRPr="004637CC">
        <w:rPr>
          <w:rFonts w:eastAsia="Times New Roman" w:cs="Times New Roman"/>
          <w:lang w:eastAsia="de-DE"/>
        </w:rPr>
        <w:t xml:space="preserve">(als ich sie aus dem Land Ägypten herausführte) - </w:t>
      </w:r>
      <w:r w:rsidRPr="004637CC">
        <w:rPr>
          <w:rFonts w:eastAsia="Times New Roman" w:cs="Times New Roman"/>
          <w:b/>
          <w:bCs/>
          <w:rtl/>
          <w:lang w:eastAsia="de-DE"/>
        </w:rPr>
        <w:t>בהוציאי</w:t>
      </w:r>
      <w:r w:rsidRPr="004637CC">
        <w:rPr>
          <w:rFonts w:eastAsia="Times New Roman" w:cs="Times New Roman"/>
          <w:rtl/>
          <w:lang w:eastAsia="de-DE"/>
        </w:rPr>
        <w:t xml:space="preserve"> </w:t>
      </w:r>
      <w:r w:rsidRPr="004637CC">
        <w:rPr>
          <w:rFonts w:eastAsia="Times New Roman" w:cs="Times New Roman"/>
          <w:lang w:eastAsia="de-DE"/>
        </w:rPr>
        <w:t>(als ich herausführte) im Hifil-Infinitiv-</w:t>
      </w:r>
      <w:r w:rsidR="00DE39DD">
        <w:rPr>
          <w:rFonts w:eastAsia="Times New Roman" w:cs="Times New Roman"/>
          <w:lang w:eastAsia="de-DE"/>
        </w:rPr>
        <w:t>Constructus</w:t>
      </w:r>
      <w:r w:rsidRPr="004637CC">
        <w:rPr>
          <w:rFonts w:eastAsia="Times New Roman" w:cs="Times New Roman"/>
          <w:lang w:eastAsia="de-DE"/>
        </w:rPr>
        <w:t xml:space="preserve"> mit Suffix zeigt den Exodus-Kontext.</w:t>
      </w:r>
    </w:p>
    <w:p w14:paraId="4BE0A53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אני יהוה אלהיכם</w:t>
      </w:r>
      <w:r w:rsidRPr="004637CC">
        <w:rPr>
          <w:rFonts w:eastAsia="Times New Roman" w:cs="Times New Roman"/>
          <w:rtl/>
          <w:lang w:eastAsia="de-DE"/>
        </w:rPr>
        <w:t xml:space="preserve"> </w:t>
      </w:r>
      <w:r w:rsidRPr="004637CC">
        <w:rPr>
          <w:rFonts w:eastAsia="Times New Roman" w:cs="Times New Roman"/>
          <w:lang w:eastAsia="de-DE"/>
        </w:rPr>
        <w:t>(ich bin der Ewige, euer Gott) als Autoritäts- und Bundesformel.</w:t>
      </w:r>
    </w:p>
    <w:p w14:paraId="042F1CA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למען ידעו דרתיכם</w:t>
      </w:r>
      <w:r w:rsidRPr="004637CC">
        <w:rPr>
          <w:rFonts w:eastAsia="Times New Roman" w:cs="Times New Roman"/>
          <w:rtl/>
          <w:lang w:eastAsia="de-DE"/>
        </w:rPr>
        <w:t xml:space="preserve"> </w:t>
      </w:r>
      <w:r w:rsidRPr="004637CC">
        <w:rPr>
          <w:rFonts w:eastAsia="Times New Roman" w:cs="Times New Roman"/>
          <w:lang w:eastAsia="de-DE"/>
        </w:rPr>
        <w:t xml:space="preserve">zeigt pädagogischen </w:t>
      </w:r>
      <w:r w:rsidRPr="004637CC">
        <w:rPr>
          <w:rFonts w:eastAsia="Times New Roman" w:cs="Times New Roman"/>
          <w:b/>
          <w:bCs/>
          <w:rtl/>
          <w:lang w:eastAsia="de-DE"/>
        </w:rPr>
        <w:t>זכרון</w:t>
      </w:r>
      <w:r w:rsidRPr="004637CC">
        <w:rPr>
          <w:rFonts w:eastAsia="Times New Roman" w:cs="Times New Roman"/>
          <w:lang w:eastAsia="de-DE"/>
        </w:rPr>
        <w:t xml:space="preserve">-Zweck. </w:t>
      </w:r>
      <w:r w:rsidRPr="004637CC">
        <w:rPr>
          <w:rFonts w:eastAsia="Times New Roman" w:cs="Times New Roman"/>
          <w:b/>
          <w:bCs/>
          <w:rtl/>
          <w:lang w:eastAsia="de-DE"/>
        </w:rPr>
        <w:t>בסכות הושבתי</w:t>
      </w:r>
      <w:r w:rsidRPr="004637CC">
        <w:rPr>
          <w:rFonts w:eastAsia="Times New Roman" w:cs="Times New Roman"/>
          <w:rtl/>
          <w:lang w:eastAsia="de-DE"/>
        </w:rPr>
        <w:t xml:space="preserve"> </w:t>
      </w:r>
      <w:r w:rsidRPr="004637CC">
        <w:rPr>
          <w:rFonts w:eastAsia="Times New Roman" w:cs="Times New Roman"/>
          <w:lang w:eastAsia="de-DE"/>
        </w:rPr>
        <w:t xml:space="preserve">verbindet das Fest mit der Wüstenzeit. </w:t>
      </w:r>
      <w:r w:rsidRPr="004637CC">
        <w:rPr>
          <w:rFonts w:eastAsia="Times New Roman" w:cs="Times New Roman"/>
          <w:b/>
          <w:bCs/>
          <w:rtl/>
          <w:lang w:eastAsia="de-DE"/>
        </w:rPr>
        <w:t>בהוציאי אותם מארץ מצרים</w:t>
      </w:r>
      <w:r w:rsidRPr="004637CC">
        <w:rPr>
          <w:rFonts w:eastAsia="Times New Roman" w:cs="Times New Roman"/>
          <w:rtl/>
          <w:lang w:eastAsia="de-DE"/>
        </w:rPr>
        <w:t xml:space="preserve"> </w:t>
      </w:r>
      <w:r w:rsidRPr="004637CC">
        <w:rPr>
          <w:rFonts w:eastAsia="Times New Roman" w:cs="Times New Roman"/>
          <w:lang w:eastAsia="de-DE"/>
        </w:rPr>
        <w:t>zeigt Exodus als historischen Bezugspunkt.</w:t>
      </w:r>
    </w:p>
    <w:p w14:paraId="1E6BEFB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למען ידעו</w:t>
      </w:r>
      <w:r w:rsidRPr="004637CC">
        <w:rPr>
          <w:rFonts w:eastAsia="Times New Roman" w:cs="Times New Roman"/>
          <w:rtl/>
          <w:lang w:eastAsia="de-DE"/>
        </w:rPr>
        <w:t xml:space="preserve"> </w:t>
      </w:r>
      <w:r w:rsidRPr="004637CC">
        <w:rPr>
          <w:rFonts w:eastAsia="Times New Roman" w:cs="Times New Roman"/>
          <w:lang w:eastAsia="de-DE"/>
        </w:rPr>
        <w:t>mit ὅπ</w:t>
      </w:r>
      <w:proofErr w:type="spellStart"/>
      <w:r w:rsidRPr="004637CC">
        <w:rPr>
          <w:rFonts w:eastAsia="Times New Roman" w:cs="Times New Roman"/>
          <w:lang w:eastAsia="de-DE"/>
        </w:rPr>
        <w:t>ως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ἴδωσιν</w:t>
      </w:r>
      <w:proofErr w:type="spellEnd"/>
      <w:r w:rsidRPr="004637CC">
        <w:rPr>
          <w:rFonts w:eastAsia="Times New Roman" w:cs="Times New Roman"/>
          <w:lang w:eastAsia="de-DE"/>
        </w:rPr>
        <w:t xml:space="preserve"> (damit sie sehen), </w:t>
      </w:r>
      <w:r w:rsidRPr="004637CC">
        <w:rPr>
          <w:rFonts w:eastAsia="Times New Roman" w:cs="Times New Roman"/>
          <w:b/>
          <w:bCs/>
          <w:rtl/>
          <w:lang w:eastAsia="de-DE"/>
        </w:rPr>
        <w:t>דרתיכם</w:t>
      </w:r>
      <w:r w:rsidRPr="004637CC">
        <w:rPr>
          <w:rFonts w:eastAsia="Times New Roman" w:cs="Times New Roman"/>
          <w:rtl/>
          <w:lang w:eastAsia="de-DE"/>
        </w:rPr>
        <w:t xml:space="preserve"> </w:t>
      </w:r>
      <w:r w:rsidRPr="004637CC">
        <w:rPr>
          <w:rFonts w:eastAsia="Times New Roman" w:cs="Times New Roman"/>
          <w:lang w:eastAsia="de-DE"/>
        </w:rPr>
        <w:t xml:space="preserve">mit αἱ </w:t>
      </w:r>
      <w:proofErr w:type="spellStart"/>
      <w:r w:rsidRPr="004637CC">
        <w:rPr>
          <w:rFonts w:eastAsia="Times New Roman" w:cs="Times New Roman"/>
          <w:lang w:eastAsia="de-DE"/>
        </w:rPr>
        <w:t>γενε</w:t>
      </w:r>
      <w:proofErr w:type="spellEnd"/>
      <w:r w:rsidRPr="004637CC">
        <w:rPr>
          <w:rFonts w:eastAsia="Times New Roman" w:cs="Times New Roman"/>
          <w:lang w:eastAsia="de-DE"/>
        </w:rPr>
        <w:t xml:space="preserve">αὶ </w:t>
      </w:r>
      <w:proofErr w:type="spellStart"/>
      <w:r w:rsidRPr="004637CC">
        <w:rPr>
          <w:rFonts w:eastAsia="Times New Roman" w:cs="Times New Roman"/>
          <w:lang w:eastAsia="de-DE"/>
        </w:rPr>
        <w:t>ὑμῶν</w:t>
      </w:r>
      <w:proofErr w:type="spellEnd"/>
      <w:r w:rsidRPr="004637CC">
        <w:rPr>
          <w:rFonts w:eastAsia="Times New Roman" w:cs="Times New Roman"/>
          <w:lang w:eastAsia="de-DE"/>
        </w:rPr>
        <w:t xml:space="preserve"> (eure Generationen), </w:t>
      </w:r>
      <w:r w:rsidRPr="004637CC">
        <w:rPr>
          <w:rFonts w:eastAsia="Times New Roman" w:cs="Times New Roman"/>
          <w:b/>
          <w:bCs/>
          <w:rtl/>
          <w:lang w:eastAsia="de-DE"/>
        </w:rPr>
        <w:t>בסכות הושבתי</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σκην</w:t>
      </w:r>
      <w:proofErr w:type="spellEnd"/>
      <w:r w:rsidRPr="004637CC">
        <w:rPr>
          <w:rFonts w:eastAsia="Times New Roman" w:cs="Times New Roman"/>
          <w:lang w:eastAsia="de-DE"/>
        </w:rPr>
        <w:t>αῖς κα</w:t>
      </w:r>
      <w:proofErr w:type="spellStart"/>
      <w:r w:rsidRPr="004637CC">
        <w:rPr>
          <w:rFonts w:eastAsia="Times New Roman" w:cs="Times New Roman"/>
          <w:lang w:eastAsia="de-DE"/>
        </w:rPr>
        <w:t>τῴκισ</w:t>
      </w:r>
      <w:proofErr w:type="spellEnd"/>
      <w:r w:rsidRPr="004637CC">
        <w:rPr>
          <w:rFonts w:eastAsia="Times New Roman" w:cs="Times New Roman"/>
          <w:lang w:eastAsia="de-DE"/>
        </w:rPr>
        <w:t xml:space="preserve">α (in Zelten ließ ich wohnen), </w:t>
      </w:r>
      <w:r w:rsidRPr="004637CC">
        <w:rPr>
          <w:rFonts w:eastAsia="Times New Roman" w:cs="Times New Roman"/>
          <w:b/>
          <w:bCs/>
          <w:rtl/>
          <w:lang w:eastAsia="de-DE"/>
        </w:rPr>
        <w:t>בהוציאי</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τῷ</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ἐξ</w:t>
      </w:r>
      <w:proofErr w:type="spellEnd"/>
      <w:r w:rsidRPr="004637CC">
        <w:rPr>
          <w:rFonts w:eastAsia="Times New Roman" w:cs="Times New Roman"/>
          <w:lang w:eastAsia="de-DE"/>
        </w:rPr>
        <w:t xml:space="preserve">αγαγεῖν </w:t>
      </w:r>
      <w:proofErr w:type="spellStart"/>
      <w:r w:rsidRPr="004637CC">
        <w:rPr>
          <w:rFonts w:eastAsia="Times New Roman" w:cs="Times New Roman"/>
          <w:lang w:eastAsia="de-DE"/>
        </w:rPr>
        <w:t>με</w:t>
      </w:r>
      <w:proofErr w:type="spellEnd"/>
      <w:r w:rsidRPr="004637CC">
        <w:rPr>
          <w:rFonts w:eastAsia="Times New Roman" w:cs="Times New Roman"/>
          <w:lang w:eastAsia="de-DE"/>
        </w:rPr>
        <w:t xml:space="preserve"> (beim Herausführen durch mich) und </w:t>
      </w:r>
      <w:r w:rsidRPr="004637CC">
        <w:rPr>
          <w:rFonts w:eastAsia="Times New Roman" w:cs="Times New Roman"/>
          <w:b/>
          <w:bCs/>
          <w:rtl/>
          <w:lang w:eastAsia="de-DE"/>
        </w:rPr>
        <w:t>מארץ מצרים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ἐκ</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γῆς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Αἰγύ</w:t>
      </w:r>
      <w:proofErr w:type="spellEnd"/>
      <w:r w:rsidRPr="004637CC">
        <w:rPr>
          <w:rFonts w:eastAsia="Times New Roman" w:cs="Times New Roman"/>
          <w:lang w:eastAsia="de-DE"/>
        </w:rPr>
        <w:t>πτου (aus dem Land Ägypten).</w:t>
      </w:r>
    </w:p>
    <w:p w14:paraId="2DD720C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Laubhüttenfest-Begründung: generationenübergreifendes Wissen + historisches Hüttenwohnen in der Wüste + Exodus-Kontext + göttliche Bundesautorität.</w:t>
      </w:r>
    </w:p>
    <w:p w14:paraId="31117D7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begründet das Laubhüttenfest als </w:t>
      </w:r>
      <w:r w:rsidRPr="004637CC">
        <w:rPr>
          <w:rFonts w:eastAsia="Times New Roman" w:cs="Times New Roman"/>
          <w:b/>
          <w:bCs/>
          <w:rtl/>
          <w:lang w:eastAsia="de-DE"/>
        </w:rPr>
        <w:t>זכרון</w:t>
      </w:r>
      <w:r w:rsidRPr="004637CC">
        <w:rPr>
          <w:rFonts w:eastAsia="Times New Roman" w:cs="Times New Roman"/>
          <w:rtl/>
          <w:lang w:eastAsia="de-DE"/>
        </w:rPr>
        <w:t xml:space="preserve"> </w:t>
      </w:r>
      <w:r w:rsidRPr="004637CC">
        <w:rPr>
          <w:rFonts w:eastAsia="Times New Roman" w:cs="Times New Roman"/>
          <w:lang w:eastAsia="de-DE"/>
        </w:rPr>
        <w:t>(Gedenken) an die Wüstenzeit während des Exodus aus Ägypten.</w:t>
      </w:r>
    </w:p>
    <w:p w14:paraId="0705F0EE"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23,44</w:t>
      </w:r>
    </w:p>
    <w:p w14:paraId="09F899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מֹשֶׁ֔ה אֶת־מֹעֲדֵ֖י יְהוָ֑ה אֶל־בְּנֵ֖י יִשְׂרָאֵֽל׃</w:t>
      </w:r>
    </w:p>
    <w:p w14:paraId="212A6DB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Mosche verkündete den Kindern Israels die Feste des Ewigen.</w:t>
      </w:r>
    </w:p>
    <w:p w14:paraId="73BEB540"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5D17208">
          <v:rect id="_x0000_i1725" style="width:0;height:1.5pt" o:hralign="center" o:hrstd="t" o:hr="t" fillcolor="#a0a0a0" stroked="f"/>
        </w:pict>
      </w:r>
    </w:p>
    <w:p w14:paraId="763C60E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Kommentar:</w:t>
      </w:r>
      <w:r w:rsidRPr="004637CC">
        <w:rPr>
          <w:rFonts w:eastAsia="Times New Roman" w:cs="Times New Roman"/>
          <w:lang w:eastAsia="de-DE"/>
        </w:rPr>
        <w:t xml:space="preserve"> </w:t>
      </w:r>
      <w:r w:rsidRPr="004637CC">
        <w:rPr>
          <w:rFonts w:eastAsia="Times New Roman" w:cs="Times New Roman"/>
          <w:b/>
          <w:bCs/>
          <w:rtl/>
          <w:lang w:eastAsia="de-DE"/>
        </w:rPr>
        <w:t>וידבר משה את־מועדי יהוה אל־בני ישראל</w:t>
      </w:r>
      <w:r w:rsidRPr="004637CC">
        <w:rPr>
          <w:rFonts w:eastAsia="Times New Roman" w:cs="Times New Roman"/>
          <w:rtl/>
          <w:lang w:eastAsia="de-DE"/>
        </w:rPr>
        <w:t xml:space="preserve"> </w:t>
      </w:r>
      <w:r w:rsidRPr="004637CC">
        <w:rPr>
          <w:rFonts w:eastAsia="Times New Roman" w:cs="Times New Roman"/>
          <w:lang w:eastAsia="de-DE"/>
        </w:rPr>
        <w:t xml:space="preserve">zeigt den Abschluss der </w:t>
      </w:r>
      <w:r w:rsidRPr="004637CC">
        <w:rPr>
          <w:rFonts w:eastAsia="Times New Roman" w:cs="Times New Roman"/>
          <w:b/>
          <w:bCs/>
          <w:rtl/>
          <w:lang w:eastAsia="de-DE"/>
        </w:rPr>
        <w:t>מועדים</w:t>
      </w:r>
      <w:r w:rsidRPr="004637CC">
        <w:rPr>
          <w:rFonts w:eastAsia="Times New Roman" w:cs="Times New Roman"/>
          <w:lang w:eastAsia="de-DE"/>
        </w:rPr>
        <w:t xml:space="preserve">-Offenbarung durch mosaische Verkündigung. </w:t>
      </w:r>
      <w:r w:rsidRPr="004637CC">
        <w:rPr>
          <w:rFonts w:eastAsia="Times New Roman" w:cs="Times New Roman"/>
          <w:b/>
          <w:bCs/>
          <w:rtl/>
          <w:lang w:eastAsia="de-DE"/>
        </w:rPr>
        <w:t>וידבר משה</w:t>
      </w:r>
      <w:r w:rsidRPr="004637CC">
        <w:rPr>
          <w:rFonts w:eastAsia="Times New Roman" w:cs="Times New Roman"/>
          <w:rtl/>
          <w:lang w:eastAsia="de-DE"/>
        </w:rPr>
        <w:t xml:space="preserve"> </w:t>
      </w:r>
      <w:r w:rsidRPr="004637CC">
        <w:rPr>
          <w:rFonts w:eastAsia="Times New Roman" w:cs="Times New Roman"/>
          <w:lang w:eastAsia="de-DE"/>
        </w:rPr>
        <w:t xml:space="preserve">(und Mosche verkündete) - </w:t>
      </w:r>
      <w:r w:rsidRPr="004637CC">
        <w:rPr>
          <w:rFonts w:eastAsia="Times New Roman" w:cs="Times New Roman"/>
          <w:b/>
          <w:bCs/>
          <w:rtl/>
          <w:lang w:eastAsia="de-DE"/>
        </w:rPr>
        <w:t>וידבר</w:t>
      </w:r>
      <w:r w:rsidRPr="004637CC">
        <w:rPr>
          <w:rFonts w:eastAsia="Times New Roman" w:cs="Times New Roman"/>
          <w:rtl/>
          <w:lang w:eastAsia="de-DE"/>
        </w:rPr>
        <w:t xml:space="preserve"> </w:t>
      </w:r>
      <w:r w:rsidRPr="004637CC">
        <w:rPr>
          <w:rFonts w:eastAsia="Times New Roman" w:cs="Times New Roman"/>
          <w:lang w:eastAsia="de-DE"/>
        </w:rPr>
        <w:t xml:space="preserve">(und er verkündete) im Piel-Imperfekt mit Waw-Konsekutiv, das Piel zeigt intensive Verkündigung. </w:t>
      </w:r>
      <w:r w:rsidRPr="004637CC">
        <w:rPr>
          <w:rFonts w:eastAsia="Times New Roman" w:cs="Times New Roman"/>
          <w:b/>
          <w:bCs/>
          <w:rtl/>
          <w:lang w:eastAsia="de-DE"/>
        </w:rPr>
        <w:t>משה</w:t>
      </w:r>
      <w:r w:rsidRPr="004637CC">
        <w:rPr>
          <w:rFonts w:eastAsia="Times New Roman" w:cs="Times New Roman"/>
          <w:rtl/>
          <w:lang w:eastAsia="de-DE"/>
        </w:rPr>
        <w:t xml:space="preserve"> </w:t>
      </w:r>
      <w:r w:rsidRPr="004637CC">
        <w:rPr>
          <w:rFonts w:eastAsia="Times New Roman" w:cs="Times New Roman"/>
          <w:lang w:eastAsia="de-DE"/>
        </w:rPr>
        <w:t>als Offenbarungsvermittler.</w:t>
      </w:r>
    </w:p>
    <w:p w14:paraId="055EFD3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את־מועדי יהוה</w:t>
      </w:r>
      <w:r w:rsidRPr="004637CC">
        <w:rPr>
          <w:rFonts w:eastAsia="Times New Roman" w:cs="Times New Roman"/>
          <w:rtl/>
          <w:lang w:eastAsia="de-DE"/>
        </w:rPr>
        <w:t xml:space="preserve"> </w:t>
      </w:r>
      <w:r w:rsidRPr="004637CC">
        <w:rPr>
          <w:rFonts w:eastAsia="Times New Roman" w:cs="Times New Roman"/>
          <w:lang w:eastAsia="de-DE"/>
        </w:rPr>
        <w:t xml:space="preserve">(die Feste des Ewigen) entspricht V. 2,4,37 und fasst alle göttlichen Feste zusammen. </w:t>
      </w:r>
      <w:r w:rsidRPr="004637CC">
        <w:rPr>
          <w:rFonts w:eastAsia="Times New Roman" w:cs="Times New Roman"/>
          <w:b/>
          <w:bCs/>
          <w:rtl/>
          <w:lang w:eastAsia="de-DE"/>
        </w:rPr>
        <w:t>אל־בני ישראל</w:t>
      </w:r>
      <w:r w:rsidRPr="004637CC">
        <w:rPr>
          <w:rFonts w:eastAsia="Times New Roman" w:cs="Times New Roman"/>
          <w:rtl/>
          <w:lang w:eastAsia="de-DE"/>
        </w:rPr>
        <w:t xml:space="preserve"> </w:t>
      </w:r>
      <w:r w:rsidRPr="004637CC">
        <w:rPr>
          <w:rFonts w:eastAsia="Times New Roman" w:cs="Times New Roman"/>
          <w:lang w:eastAsia="de-DE"/>
        </w:rPr>
        <w:t>(den Kindern Israels) zeigt die Empfänger der Verkündigung.</w:t>
      </w:r>
    </w:p>
    <w:p w14:paraId="282461A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וידבר משה</w:t>
      </w:r>
      <w:r w:rsidRPr="004637CC">
        <w:rPr>
          <w:rFonts w:eastAsia="Times New Roman" w:cs="Times New Roman"/>
          <w:rtl/>
          <w:lang w:eastAsia="de-DE"/>
        </w:rPr>
        <w:t xml:space="preserve"> </w:t>
      </w:r>
      <w:r w:rsidRPr="004637CC">
        <w:rPr>
          <w:rFonts w:eastAsia="Times New Roman" w:cs="Times New Roman"/>
          <w:lang w:eastAsia="de-DE"/>
        </w:rPr>
        <w:t xml:space="preserve">zeigt mosaische Vermittlungsrolle. </w:t>
      </w: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als zusammenfassende Bezeichnung aller Feste. </w:t>
      </w:r>
      <w:r w:rsidRPr="004637CC">
        <w:rPr>
          <w:rFonts w:eastAsia="Times New Roman" w:cs="Times New Roman"/>
          <w:b/>
          <w:bCs/>
          <w:rtl/>
          <w:lang w:eastAsia="de-DE"/>
        </w:rPr>
        <w:t>אל־בני ישראל</w:t>
      </w:r>
      <w:r w:rsidRPr="004637CC">
        <w:rPr>
          <w:rFonts w:eastAsia="Times New Roman" w:cs="Times New Roman"/>
          <w:rtl/>
          <w:lang w:eastAsia="de-DE"/>
        </w:rPr>
        <w:t xml:space="preserve"> </w:t>
      </w:r>
      <w:r w:rsidRPr="004637CC">
        <w:rPr>
          <w:rFonts w:eastAsia="Times New Roman" w:cs="Times New Roman"/>
          <w:lang w:eastAsia="de-DE"/>
        </w:rPr>
        <w:t>zeigt das ganze Volk als Adressat.</w:t>
      </w:r>
    </w:p>
    <w:p w14:paraId="16C3DCA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וידבר משה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ἐλάλησεν</w:t>
      </w:r>
      <w:proofErr w:type="spellEnd"/>
      <w:r w:rsidRPr="004637CC">
        <w:rPr>
          <w:rFonts w:eastAsia="Times New Roman" w:cs="Times New Roman"/>
          <w:lang w:eastAsia="de-DE"/>
        </w:rPr>
        <w:t xml:space="preserve"> Μωυσῆς (sprach Mose), </w:t>
      </w: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τὰς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ἑορτὰς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κυρίου</w:t>
      </w:r>
      <w:proofErr w:type="spellEnd"/>
      <w:r w:rsidRPr="004637CC">
        <w:rPr>
          <w:rFonts w:eastAsia="Times New Roman" w:cs="Times New Roman"/>
          <w:lang w:eastAsia="de-DE"/>
        </w:rPr>
        <w:t xml:space="preserve"> (die Feste des Herrn) und </w:t>
      </w:r>
      <w:r w:rsidRPr="004637CC">
        <w:rPr>
          <w:rFonts w:eastAsia="Times New Roman" w:cs="Times New Roman"/>
          <w:b/>
          <w:bCs/>
          <w:rtl/>
          <w:lang w:eastAsia="de-DE"/>
        </w:rPr>
        <w:t>אל־בני ישראל</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ρὸς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τοὺς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υἱοὺς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Ισρ</w:t>
      </w:r>
      <w:proofErr w:type="spellEnd"/>
      <w:r w:rsidRPr="004637CC">
        <w:rPr>
          <w:rFonts w:eastAsia="Times New Roman" w:cs="Times New Roman"/>
          <w:lang w:eastAsia="de-DE"/>
        </w:rPr>
        <w:t>αηλ (zu den Söhnen Israels).</w:t>
      </w:r>
    </w:p>
    <w:p w14:paraId="72F4ABF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t>
      </w:r>
      <w:r w:rsidRPr="004637CC">
        <w:rPr>
          <w:rFonts w:eastAsia="Times New Roman" w:cs="Times New Roman"/>
          <w:b/>
          <w:bCs/>
          <w:rtl/>
          <w:lang w:eastAsia="de-DE"/>
        </w:rPr>
        <w:t>מועדים</w:t>
      </w:r>
      <w:r w:rsidRPr="004637CC">
        <w:rPr>
          <w:rFonts w:eastAsia="Times New Roman" w:cs="Times New Roman"/>
          <w:lang w:eastAsia="de-DE"/>
        </w:rPr>
        <w:t>-Verkündigung: mosaische Verkündigung + göttliche Feste + Volks-Adressat.</w:t>
      </w:r>
    </w:p>
    <w:p w14:paraId="7EA39465" w14:textId="4335BDA8"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Abschlussvers zeigt Mosche als Vermittler der göttlichen </w:t>
      </w:r>
      <w:r w:rsidRPr="004637CC">
        <w:rPr>
          <w:rFonts w:eastAsia="Times New Roman" w:cs="Times New Roman"/>
          <w:b/>
          <w:bCs/>
          <w:rtl/>
          <w:lang w:eastAsia="de-DE"/>
        </w:rPr>
        <w:t>מועדים</w:t>
      </w:r>
      <w:r w:rsidRPr="004637CC">
        <w:rPr>
          <w:rFonts w:eastAsia="Times New Roman" w:cs="Times New Roman"/>
          <w:lang w:eastAsia="de-DE"/>
        </w:rPr>
        <w:t>-Ordnung an das Volk Israel.</w:t>
      </w:r>
    </w:p>
    <w:p w14:paraId="3D0A74D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Kapitel 23 etabliert </w:t>
      </w:r>
      <w:r w:rsidRPr="004637CC">
        <w:rPr>
          <w:rFonts w:eastAsia="Times New Roman" w:cs="Times New Roman"/>
          <w:b/>
          <w:bCs/>
          <w:lang w:eastAsia="de-DE"/>
        </w:rPr>
        <w:t>den israelitischen Festkalender</w:t>
      </w:r>
      <w:r w:rsidRPr="004637CC">
        <w:rPr>
          <w:rFonts w:eastAsia="Times New Roman" w:cs="Times New Roman"/>
          <w:lang w:eastAsia="de-DE"/>
        </w:rPr>
        <w:t xml:space="preserve"> als göttlich geordnetes System heiliger Zeiten (</w:t>
      </w:r>
      <w:r w:rsidRPr="004637CC">
        <w:rPr>
          <w:rFonts w:eastAsia="Times New Roman" w:cs="Times New Roman"/>
          <w:b/>
          <w:bCs/>
          <w:rtl/>
          <w:lang w:eastAsia="de-DE"/>
        </w:rPr>
        <w:t>מועדי יהוה</w:t>
      </w:r>
      <w:r w:rsidRPr="004637CC">
        <w:rPr>
          <w:rFonts w:eastAsia="Times New Roman" w:cs="Times New Roman"/>
          <w:lang w:eastAsia="de-DE"/>
        </w:rPr>
        <w:t xml:space="preserve">), die als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(heilige Versammlungen) vom Volk proklamiert werden sollen.</w:t>
      </w:r>
    </w:p>
    <w:p w14:paraId="553113B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Grundlegung (V. 1-4):</w:t>
      </w:r>
      <w:r w:rsidRPr="004637CC">
        <w:rPr>
          <w:rFonts w:eastAsia="Times New Roman" w:cs="Times New Roman"/>
          <w:lang w:eastAsia="de-DE"/>
        </w:rPr>
        <w:t xml:space="preserve"> </w:t>
      </w:r>
      <w:r w:rsidRPr="004637CC">
        <w:rPr>
          <w:rFonts w:eastAsia="Times New Roman" w:cs="Times New Roman"/>
          <w:b/>
          <w:bCs/>
          <w:rtl/>
          <w:lang w:eastAsia="de-DE"/>
        </w:rPr>
        <w:t>מועדי יהוה</w:t>
      </w:r>
      <w:r w:rsidRPr="004637CC">
        <w:rPr>
          <w:rFonts w:eastAsia="Times New Roman" w:cs="Times New Roman"/>
          <w:rtl/>
          <w:lang w:eastAsia="de-DE"/>
        </w:rPr>
        <w:t xml:space="preserve"> </w:t>
      </w:r>
      <w:r w:rsidRPr="004637CC">
        <w:rPr>
          <w:rFonts w:eastAsia="Times New Roman" w:cs="Times New Roman"/>
          <w:lang w:eastAsia="de-DE"/>
        </w:rPr>
        <w:t xml:space="preserve">als göttlich bestimmte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mit Proklamationspflicht des Volkes zu festgesetzten Zeiten.</w:t>
      </w:r>
    </w:p>
    <w:p w14:paraId="56CDB1B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Wöchentlicher Sabbat (V. 3):</w:t>
      </w:r>
      <w:r w:rsidRPr="004637CC">
        <w:rPr>
          <w:rFonts w:eastAsia="Times New Roman" w:cs="Times New Roman"/>
          <w:lang w:eastAsia="de-DE"/>
        </w:rPr>
        <w:t xml:space="preserve"> </w:t>
      </w: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 xml:space="preserve">als Grundlage aller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mit absoluter Arbeitsruhe (</w:t>
      </w:r>
      <w:r w:rsidRPr="004637CC">
        <w:rPr>
          <w:rFonts w:eastAsia="Times New Roman" w:cs="Times New Roman"/>
          <w:b/>
          <w:bCs/>
          <w:rtl/>
          <w:lang w:eastAsia="de-DE"/>
        </w:rPr>
        <w:t>כל־מלאכה</w:t>
      </w:r>
      <w:r w:rsidRPr="004637CC">
        <w:rPr>
          <w:rFonts w:eastAsia="Times New Roman" w:cs="Times New Roman"/>
          <w:lang w:eastAsia="de-DE"/>
        </w:rPr>
        <w:t xml:space="preserve">) und universeller Gültigkeit </w:t>
      </w:r>
      <w:r w:rsidRPr="004637CC">
        <w:rPr>
          <w:rFonts w:eastAsia="Times New Roman" w:cs="Times New Roman"/>
          <w:b/>
          <w:bCs/>
          <w:rtl/>
          <w:lang w:eastAsia="de-DE"/>
        </w:rPr>
        <w:t>בכל מושבתיכם</w:t>
      </w:r>
      <w:r w:rsidRPr="004637CC">
        <w:rPr>
          <w:rFonts w:eastAsia="Times New Roman" w:cs="Times New Roman"/>
          <w:lang w:eastAsia="de-DE"/>
        </w:rPr>
        <w:t>.</w:t>
      </w:r>
    </w:p>
    <w:p w14:paraId="2C2689D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Frühjahrsfeste (V. 5-22):</w:t>
      </w:r>
    </w:p>
    <w:p w14:paraId="5D832CA9" w14:textId="77777777" w:rsidR="004637CC" w:rsidRPr="004637CC" w:rsidRDefault="004637CC" w:rsidP="004637CC">
      <w:pPr>
        <w:numPr>
          <w:ilvl w:val="0"/>
          <w:numId w:val="18"/>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Pesach</w:t>
      </w:r>
      <w:r w:rsidRPr="004637CC">
        <w:rPr>
          <w:rFonts w:eastAsia="Times New Roman" w:cs="Times New Roman"/>
          <w:lang w:eastAsia="de-DE"/>
        </w:rPr>
        <w:t xml:space="preserve"> (V. 5): 14. Nissan </w:t>
      </w:r>
      <w:r w:rsidRPr="004637CC">
        <w:rPr>
          <w:rFonts w:eastAsia="Times New Roman" w:cs="Times New Roman"/>
          <w:b/>
          <w:bCs/>
          <w:rtl/>
          <w:lang w:eastAsia="de-DE"/>
        </w:rPr>
        <w:t>בין הערבים</w:t>
      </w:r>
      <w:r w:rsidRPr="004637CC">
        <w:rPr>
          <w:rFonts w:eastAsia="Times New Roman" w:cs="Times New Roman"/>
          <w:rtl/>
          <w:lang w:eastAsia="de-DE"/>
        </w:rPr>
        <w:t xml:space="preserve"> </w:t>
      </w:r>
      <w:r w:rsidRPr="004637CC">
        <w:rPr>
          <w:rFonts w:eastAsia="Times New Roman" w:cs="Times New Roman"/>
          <w:lang w:eastAsia="de-DE"/>
        </w:rPr>
        <w:t>als erstes jährliches Fest</w:t>
      </w:r>
    </w:p>
    <w:p w14:paraId="0C553FA4" w14:textId="77777777" w:rsidR="004637CC" w:rsidRPr="004637CC" w:rsidRDefault="004637CC" w:rsidP="004637CC">
      <w:pPr>
        <w:numPr>
          <w:ilvl w:val="0"/>
          <w:numId w:val="18"/>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Mazzot</w:t>
      </w:r>
      <w:r w:rsidRPr="004637CC">
        <w:rPr>
          <w:rFonts w:eastAsia="Times New Roman" w:cs="Times New Roman"/>
          <w:lang w:eastAsia="de-DE"/>
        </w:rPr>
        <w:t xml:space="preserve"> (V. 6-8): 15.-21. Nissan mit siebentägiger </w:t>
      </w:r>
      <w:r w:rsidRPr="004637CC">
        <w:rPr>
          <w:rFonts w:eastAsia="Times New Roman" w:cs="Times New Roman"/>
          <w:b/>
          <w:bCs/>
          <w:rtl/>
          <w:lang w:eastAsia="de-DE"/>
        </w:rPr>
        <w:t>מצות</w:t>
      </w:r>
      <w:r w:rsidRPr="004637CC">
        <w:rPr>
          <w:rFonts w:eastAsia="Times New Roman" w:cs="Times New Roman"/>
          <w:lang w:eastAsia="de-DE"/>
        </w:rPr>
        <w:t xml:space="preserve">-Speisevorschrift, </w:t>
      </w:r>
      <w:r w:rsidRPr="004637CC">
        <w:rPr>
          <w:rFonts w:eastAsia="Times New Roman" w:cs="Times New Roman"/>
          <w:b/>
          <w:bCs/>
          <w:rtl/>
          <w:lang w:eastAsia="de-DE"/>
        </w:rPr>
        <w:t>מקרא־קדש</w:t>
      </w:r>
      <w:r w:rsidRPr="004637CC">
        <w:rPr>
          <w:rFonts w:eastAsia="Times New Roman" w:cs="Times New Roman"/>
          <w:rtl/>
          <w:lang w:eastAsia="de-DE"/>
        </w:rPr>
        <w:t xml:space="preserve"> </w:t>
      </w:r>
      <w:r w:rsidRPr="004637CC">
        <w:rPr>
          <w:rFonts w:eastAsia="Times New Roman" w:cs="Times New Roman"/>
          <w:lang w:eastAsia="de-DE"/>
        </w:rPr>
        <w:t xml:space="preserve">am ersten und siebten Tag, tägliche </w:t>
      </w:r>
      <w:r w:rsidRPr="004637CC">
        <w:rPr>
          <w:rFonts w:eastAsia="Times New Roman" w:cs="Times New Roman"/>
          <w:b/>
          <w:bCs/>
          <w:rtl/>
          <w:lang w:eastAsia="de-DE"/>
        </w:rPr>
        <w:t>אשה</w:t>
      </w:r>
      <w:r w:rsidRPr="004637CC">
        <w:rPr>
          <w:rFonts w:eastAsia="Times New Roman" w:cs="Times New Roman"/>
          <w:lang w:eastAsia="de-DE"/>
        </w:rPr>
        <w:t>-Opfer</w:t>
      </w:r>
    </w:p>
    <w:p w14:paraId="3D772DCD" w14:textId="127D6C1C" w:rsidR="004637CC" w:rsidRPr="004637CC" w:rsidRDefault="004637CC" w:rsidP="004637CC">
      <w:pPr>
        <w:numPr>
          <w:ilvl w:val="0"/>
          <w:numId w:val="18"/>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Omer-Erstlinge</w:t>
      </w:r>
      <w:r w:rsidRPr="004637CC">
        <w:rPr>
          <w:rFonts w:eastAsia="Times New Roman" w:cs="Times New Roman"/>
          <w:lang w:eastAsia="de-DE"/>
        </w:rPr>
        <w:t xml:space="preserve"> (V. 9-14): </w:t>
      </w:r>
      <w:r w:rsidRPr="004637CC">
        <w:rPr>
          <w:rFonts w:eastAsia="Times New Roman" w:cs="Times New Roman"/>
          <w:b/>
          <w:bCs/>
          <w:rtl/>
          <w:lang w:eastAsia="de-DE"/>
        </w:rPr>
        <w:t>עמר ראשית</w:t>
      </w:r>
      <w:r w:rsidRPr="004637CC">
        <w:rPr>
          <w:rFonts w:eastAsia="Times New Roman" w:cs="Times New Roman"/>
          <w:rtl/>
          <w:lang w:eastAsia="de-DE"/>
        </w:rPr>
        <w:t xml:space="preserve"> </w:t>
      </w:r>
      <w:r w:rsidRPr="004637CC">
        <w:rPr>
          <w:rFonts w:eastAsia="Times New Roman" w:cs="Times New Roman"/>
          <w:lang w:eastAsia="de-DE"/>
        </w:rPr>
        <w:t xml:space="preserve">der Gerstenernte als </w:t>
      </w:r>
      <w:r w:rsidRPr="004637CC">
        <w:rPr>
          <w:rFonts w:eastAsia="Times New Roman" w:cs="Times New Roman"/>
          <w:b/>
          <w:bCs/>
          <w:rtl/>
          <w:lang w:eastAsia="de-DE"/>
        </w:rPr>
        <w:t>תנופה</w:t>
      </w:r>
      <w:r w:rsidRPr="004637CC">
        <w:rPr>
          <w:rFonts w:eastAsia="Times New Roman" w:cs="Times New Roman"/>
          <w:rtl/>
          <w:lang w:eastAsia="de-DE"/>
        </w:rPr>
        <w:t xml:space="preserve"> </w:t>
      </w:r>
      <w:r w:rsidRPr="004637CC">
        <w:rPr>
          <w:rFonts w:eastAsia="Times New Roman" w:cs="Times New Roman"/>
          <w:b/>
          <w:bCs/>
          <w:rtl/>
          <w:lang w:eastAsia="de-DE"/>
        </w:rPr>
        <w:t>ממחרת השבת</w:t>
      </w:r>
      <w:r w:rsidRPr="004637CC">
        <w:rPr>
          <w:rFonts w:eastAsia="Times New Roman" w:cs="Times New Roman"/>
          <w:rtl/>
          <w:lang w:eastAsia="de-DE"/>
        </w:rPr>
        <w:t xml:space="preserve"> </w:t>
      </w:r>
      <w:r w:rsidRPr="004637CC">
        <w:rPr>
          <w:rFonts w:eastAsia="Times New Roman" w:cs="Times New Roman"/>
          <w:lang w:eastAsia="de-DE"/>
        </w:rPr>
        <w:t xml:space="preserve">mit </w:t>
      </w:r>
      <w:r w:rsidR="00DE39DD">
        <w:rPr>
          <w:rFonts w:eastAsia="Times New Roman" w:cs="Times New Roman"/>
          <w:lang w:eastAsia="de-DE"/>
        </w:rPr>
        <w:t>Aufsteigeopfer</w:t>
      </w:r>
      <w:r w:rsidRPr="004637CC">
        <w:rPr>
          <w:rFonts w:eastAsia="Times New Roman" w:cs="Times New Roman"/>
          <w:lang w:eastAsia="de-DE"/>
        </w:rPr>
        <w:t xml:space="preserve">, </w:t>
      </w:r>
      <w:r w:rsidRPr="004637CC">
        <w:rPr>
          <w:rFonts w:eastAsia="Times New Roman" w:cs="Times New Roman"/>
          <w:b/>
          <w:bCs/>
          <w:rtl/>
          <w:lang w:eastAsia="de-DE"/>
        </w:rPr>
        <w:t>מנחה</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נסך</w:t>
      </w:r>
      <w:r w:rsidRPr="004637CC">
        <w:rPr>
          <w:rFonts w:eastAsia="Times New Roman" w:cs="Times New Roman"/>
          <w:lang w:eastAsia="de-DE"/>
        </w:rPr>
        <w:t>; Verbot des Genusses neuer Ernte bis zur Opferung</w:t>
      </w:r>
    </w:p>
    <w:p w14:paraId="2024E64B" w14:textId="23EFA9CE" w:rsidR="004637CC" w:rsidRPr="004637CC" w:rsidRDefault="004637CC" w:rsidP="004637CC">
      <w:pPr>
        <w:numPr>
          <w:ilvl w:val="0"/>
          <w:numId w:val="18"/>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Wochenfest</w:t>
      </w:r>
      <w:r w:rsidRPr="004637CC">
        <w:rPr>
          <w:rFonts w:eastAsia="Times New Roman" w:cs="Times New Roman"/>
          <w:lang w:eastAsia="de-DE"/>
        </w:rPr>
        <w:t xml:space="preserve"> (V. 15-22): Nach 50-tägiger Omer-Zählung (</w:t>
      </w:r>
      <w:r w:rsidRPr="004637CC">
        <w:rPr>
          <w:rFonts w:eastAsia="Times New Roman" w:cs="Times New Roman"/>
          <w:b/>
          <w:bCs/>
          <w:rtl/>
          <w:lang w:eastAsia="de-DE"/>
        </w:rPr>
        <w:t>שבע שבתות תמימת</w:t>
      </w:r>
      <w:r w:rsidRPr="004637CC">
        <w:rPr>
          <w:rFonts w:eastAsia="Times New Roman" w:cs="Times New Roman"/>
          <w:lang w:eastAsia="de-DE"/>
        </w:rPr>
        <w:t xml:space="preserve">) </w:t>
      </w:r>
      <w:r w:rsidRPr="004637CC">
        <w:rPr>
          <w:rFonts w:eastAsia="Times New Roman" w:cs="Times New Roman"/>
          <w:b/>
          <w:bCs/>
          <w:rtl/>
          <w:lang w:eastAsia="de-DE"/>
        </w:rPr>
        <w:t>מנחה חדשה</w:t>
      </w:r>
      <w:r w:rsidRPr="004637CC">
        <w:rPr>
          <w:rFonts w:eastAsia="Times New Roman" w:cs="Times New Roman"/>
          <w:rtl/>
          <w:lang w:eastAsia="de-DE"/>
        </w:rPr>
        <w:t xml:space="preserve"> </w:t>
      </w:r>
      <w:r w:rsidRPr="004637CC">
        <w:rPr>
          <w:rFonts w:eastAsia="Times New Roman" w:cs="Times New Roman"/>
          <w:lang w:eastAsia="de-DE"/>
        </w:rPr>
        <w:t>aus gesäuertem Weizenbrot (</w:t>
      </w:r>
      <w:r w:rsidRPr="004637CC">
        <w:rPr>
          <w:rFonts w:eastAsia="Times New Roman" w:cs="Times New Roman"/>
          <w:b/>
          <w:bCs/>
          <w:rtl/>
          <w:lang w:eastAsia="de-DE"/>
        </w:rPr>
        <w:t>לחם תנופה</w:t>
      </w:r>
      <w:r w:rsidRPr="004637CC">
        <w:rPr>
          <w:rFonts w:eastAsia="Times New Roman" w:cs="Times New Roman"/>
          <w:lang w:eastAsia="de-DE"/>
        </w:rPr>
        <w:t xml:space="preserve">) als </w:t>
      </w:r>
      <w:r w:rsidRPr="004637CC">
        <w:rPr>
          <w:rFonts w:eastAsia="Times New Roman" w:cs="Times New Roman"/>
          <w:b/>
          <w:bCs/>
          <w:rtl/>
          <w:lang w:eastAsia="de-DE"/>
        </w:rPr>
        <w:t>בכורים</w:t>
      </w:r>
      <w:r w:rsidRPr="004637CC">
        <w:rPr>
          <w:rFonts w:eastAsia="Times New Roman" w:cs="Times New Roman"/>
          <w:lang w:eastAsia="de-DE"/>
        </w:rPr>
        <w:t xml:space="preserve">, umfangreiche Tieropfer (10 </w:t>
      </w:r>
      <w:r w:rsidR="00DE39DD">
        <w:rPr>
          <w:rFonts w:eastAsia="Times New Roman" w:cs="Times New Roman"/>
          <w:lang w:eastAsia="de-DE"/>
        </w:rPr>
        <w:t>Aufsteigeopfer</w:t>
      </w:r>
      <w:r w:rsidRPr="004637CC">
        <w:rPr>
          <w:rFonts w:eastAsia="Times New Roman" w:cs="Times New Roman"/>
          <w:lang w:eastAsia="de-DE"/>
        </w:rPr>
        <w:t xml:space="preserve"> + </w:t>
      </w:r>
      <w:r w:rsidRPr="004637CC">
        <w:rPr>
          <w:rFonts w:eastAsia="Times New Roman" w:cs="Times New Roman"/>
          <w:b/>
          <w:bCs/>
          <w:rtl/>
          <w:lang w:eastAsia="de-DE"/>
        </w:rPr>
        <w:t>חטאת</w:t>
      </w:r>
      <w:r w:rsidRPr="004637CC">
        <w:rPr>
          <w:rFonts w:eastAsia="Times New Roman" w:cs="Times New Roman"/>
          <w:rtl/>
          <w:lang w:eastAsia="de-DE"/>
        </w:rPr>
        <w:t xml:space="preserve"> </w:t>
      </w:r>
      <w:r w:rsidRPr="004637CC">
        <w:rPr>
          <w:rFonts w:eastAsia="Times New Roman" w:cs="Times New Roman"/>
          <w:lang w:eastAsia="de-DE"/>
        </w:rPr>
        <w:t xml:space="preserve">+ </w:t>
      </w:r>
      <w:r w:rsidRPr="004637CC">
        <w:rPr>
          <w:rFonts w:eastAsia="Times New Roman" w:cs="Times New Roman"/>
          <w:b/>
          <w:bCs/>
          <w:rtl/>
          <w:lang w:eastAsia="de-DE"/>
        </w:rPr>
        <w:t>שלמים</w:t>
      </w:r>
      <w:r w:rsidRPr="004637CC">
        <w:rPr>
          <w:rFonts w:eastAsia="Times New Roman" w:cs="Times New Roman"/>
          <w:lang w:eastAsia="de-DE"/>
        </w:rPr>
        <w:t xml:space="preserve">), </w:t>
      </w:r>
      <w:r w:rsidRPr="004637CC">
        <w:rPr>
          <w:rFonts w:eastAsia="Times New Roman" w:cs="Times New Roman"/>
          <w:b/>
          <w:bCs/>
          <w:rtl/>
          <w:lang w:eastAsia="de-DE"/>
        </w:rPr>
        <w:t>תנופה</w:t>
      </w:r>
      <w:r w:rsidRPr="004637CC">
        <w:rPr>
          <w:rFonts w:eastAsia="Times New Roman" w:cs="Times New Roman"/>
          <w:lang w:eastAsia="de-DE"/>
        </w:rPr>
        <w:t xml:space="preserve">-Ritual mit Brot und Lämmern; Wiederholung der </w:t>
      </w:r>
      <w:r w:rsidRPr="004637CC">
        <w:rPr>
          <w:rFonts w:eastAsia="Times New Roman" w:cs="Times New Roman"/>
          <w:b/>
          <w:bCs/>
          <w:rtl/>
          <w:lang w:eastAsia="de-DE"/>
        </w:rPr>
        <w:t>פאה</w:t>
      </w:r>
      <w:r w:rsidRPr="004637CC">
        <w:rPr>
          <w:rFonts w:eastAsia="Times New Roman" w:cs="Times New Roman"/>
          <w:lang w:eastAsia="de-DE"/>
        </w:rPr>
        <w:t xml:space="preserve">- und </w:t>
      </w:r>
      <w:r w:rsidRPr="004637CC">
        <w:rPr>
          <w:rFonts w:eastAsia="Times New Roman" w:cs="Times New Roman"/>
          <w:b/>
          <w:bCs/>
          <w:rtl/>
          <w:lang w:eastAsia="de-DE"/>
        </w:rPr>
        <w:t>לקט</w:t>
      </w:r>
      <w:r w:rsidRPr="004637CC">
        <w:rPr>
          <w:rFonts w:eastAsia="Times New Roman" w:cs="Times New Roman"/>
          <w:lang w:eastAsia="de-DE"/>
        </w:rPr>
        <w:t>-Gesetze</w:t>
      </w:r>
    </w:p>
    <w:p w14:paraId="42A3966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Herbstfeste (V. 23-43):</w:t>
      </w:r>
    </w:p>
    <w:p w14:paraId="18CDA804" w14:textId="77777777" w:rsidR="004637CC" w:rsidRPr="004637CC" w:rsidRDefault="004637CC" w:rsidP="004637CC">
      <w:pPr>
        <w:numPr>
          <w:ilvl w:val="0"/>
          <w:numId w:val="19"/>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Posaunentag</w:t>
      </w:r>
      <w:r w:rsidRPr="004637CC">
        <w:rPr>
          <w:rFonts w:eastAsia="Times New Roman" w:cs="Times New Roman"/>
          <w:lang w:eastAsia="de-DE"/>
        </w:rPr>
        <w:t xml:space="preserve"> (V. 24-25): 1. Tischri als </w:t>
      </w:r>
      <w:r w:rsidRPr="004637CC">
        <w:rPr>
          <w:rFonts w:eastAsia="Times New Roman" w:cs="Times New Roman"/>
          <w:b/>
          <w:bCs/>
          <w:rtl/>
          <w:lang w:eastAsia="de-DE"/>
        </w:rPr>
        <w:t>שבתון</w:t>
      </w:r>
      <w:r w:rsidRPr="004637CC">
        <w:rPr>
          <w:rFonts w:eastAsia="Times New Roman" w:cs="Times New Roman"/>
          <w:rtl/>
          <w:lang w:eastAsia="de-DE"/>
        </w:rPr>
        <w:t xml:space="preserve"> </w:t>
      </w:r>
      <w:r w:rsidRPr="004637CC">
        <w:rPr>
          <w:rFonts w:eastAsia="Times New Roman" w:cs="Times New Roman"/>
          <w:lang w:eastAsia="de-DE"/>
        </w:rPr>
        <w:t xml:space="preserve">mit </w:t>
      </w:r>
      <w:r w:rsidRPr="004637CC">
        <w:rPr>
          <w:rFonts w:eastAsia="Times New Roman" w:cs="Times New Roman"/>
          <w:b/>
          <w:bCs/>
          <w:rtl/>
          <w:lang w:eastAsia="de-DE"/>
        </w:rPr>
        <w:t>זכרון תרועה</w:t>
      </w:r>
      <w:r w:rsidRPr="004637CC">
        <w:rPr>
          <w:rFonts w:eastAsia="Times New Roman" w:cs="Times New Roman"/>
          <w:rtl/>
          <w:lang w:eastAsia="de-DE"/>
        </w:rPr>
        <w:t xml:space="preserve"> </w:t>
      </w:r>
      <w:r w:rsidRPr="004637CC">
        <w:rPr>
          <w:rFonts w:eastAsia="Times New Roman" w:cs="Times New Roman"/>
          <w:lang w:eastAsia="de-DE"/>
        </w:rPr>
        <w:t xml:space="preserve">und </w:t>
      </w:r>
      <w:r w:rsidRPr="004637CC">
        <w:rPr>
          <w:rFonts w:eastAsia="Times New Roman" w:cs="Times New Roman"/>
          <w:b/>
          <w:bCs/>
          <w:rtl/>
          <w:lang w:eastAsia="de-DE"/>
        </w:rPr>
        <w:t>מקרא־קדש</w:t>
      </w:r>
    </w:p>
    <w:p w14:paraId="24B35694" w14:textId="77777777" w:rsidR="004637CC" w:rsidRPr="004637CC" w:rsidRDefault="004637CC" w:rsidP="004637CC">
      <w:pPr>
        <w:numPr>
          <w:ilvl w:val="0"/>
          <w:numId w:val="19"/>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Versöhnungstag</w:t>
      </w:r>
      <w:r w:rsidRPr="004637CC">
        <w:rPr>
          <w:rFonts w:eastAsia="Times New Roman" w:cs="Times New Roman"/>
          <w:lang w:eastAsia="de-DE"/>
        </w:rPr>
        <w:t xml:space="preserve"> (V. 26-32): 10. Tischri als </w:t>
      </w:r>
      <w:r w:rsidRPr="004637CC">
        <w:rPr>
          <w:rFonts w:eastAsia="Times New Roman" w:cs="Times New Roman"/>
          <w:b/>
          <w:bCs/>
          <w:rtl/>
          <w:lang w:eastAsia="de-DE"/>
        </w:rPr>
        <w:t>יום הכפרים</w:t>
      </w:r>
      <w:r w:rsidRPr="004637CC">
        <w:rPr>
          <w:rFonts w:eastAsia="Times New Roman" w:cs="Times New Roman"/>
          <w:rtl/>
          <w:lang w:eastAsia="de-DE"/>
        </w:rPr>
        <w:t xml:space="preserve"> </w:t>
      </w:r>
      <w:r w:rsidRPr="004637CC">
        <w:rPr>
          <w:rFonts w:eastAsia="Times New Roman" w:cs="Times New Roman"/>
          <w:lang w:eastAsia="de-DE"/>
        </w:rPr>
        <w:t xml:space="preserve">mit </w:t>
      </w:r>
      <w:r w:rsidRPr="004637CC">
        <w:rPr>
          <w:rFonts w:eastAsia="Times New Roman" w:cs="Times New Roman"/>
          <w:b/>
          <w:bCs/>
          <w:rtl/>
          <w:lang w:eastAsia="de-DE"/>
        </w:rPr>
        <w:t>עינוי נפש</w:t>
      </w:r>
      <w:r w:rsidRPr="004637CC">
        <w:rPr>
          <w:rFonts w:eastAsia="Times New Roman" w:cs="Times New Roman"/>
          <w:rtl/>
          <w:lang w:eastAsia="de-DE"/>
        </w:rPr>
        <w:t xml:space="preserve"> </w:t>
      </w:r>
      <w:r w:rsidRPr="004637CC">
        <w:rPr>
          <w:rFonts w:eastAsia="Times New Roman" w:cs="Times New Roman"/>
          <w:lang w:eastAsia="de-DE"/>
        </w:rPr>
        <w:t>(Seelenbeugung), absoluter Arbeitsruhe (</w:t>
      </w:r>
      <w:r w:rsidRPr="004637CC">
        <w:rPr>
          <w:rFonts w:eastAsia="Times New Roman" w:cs="Times New Roman"/>
          <w:b/>
          <w:bCs/>
          <w:rtl/>
          <w:lang w:eastAsia="de-DE"/>
        </w:rPr>
        <w:t>כל־מלאכה</w:t>
      </w:r>
      <w:r w:rsidRPr="004637CC">
        <w:rPr>
          <w:rFonts w:eastAsia="Times New Roman" w:cs="Times New Roman"/>
          <w:lang w:eastAsia="de-DE"/>
        </w:rPr>
        <w:t xml:space="preserve">), </w:t>
      </w:r>
      <w:r w:rsidRPr="004637CC">
        <w:rPr>
          <w:rFonts w:eastAsia="Times New Roman" w:cs="Times New Roman"/>
          <w:b/>
          <w:bCs/>
          <w:rtl/>
          <w:lang w:eastAsia="de-DE"/>
        </w:rPr>
        <w:t>כרת</w:t>
      </w:r>
      <w:r w:rsidRPr="004637CC">
        <w:rPr>
          <w:rFonts w:eastAsia="Times New Roman" w:cs="Times New Roman"/>
          <w:lang w:eastAsia="de-DE"/>
        </w:rPr>
        <w:t xml:space="preserve">-Strafe für Nicht-Kasteiung, göttliche Vernichtung für Arbeitsverstoß, </w:t>
      </w:r>
      <w:r w:rsidRPr="004637CC">
        <w:rPr>
          <w:rFonts w:eastAsia="Times New Roman" w:cs="Times New Roman"/>
          <w:b/>
          <w:bCs/>
          <w:rtl/>
          <w:lang w:eastAsia="de-DE"/>
        </w:rPr>
        <w:t>שבת שבתון</w:t>
      </w:r>
      <w:r w:rsidRPr="004637CC">
        <w:rPr>
          <w:rFonts w:eastAsia="Times New Roman" w:cs="Times New Roman"/>
          <w:rtl/>
          <w:lang w:eastAsia="de-DE"/>
        </w:rPr>
        <w:t xml:space="preserve"> </w:t>
      </w:r>
      <w:r w:rsidRPr="004637CC">
        <w:rPr>
          <w:rFonts w:eastAsia="Times New Roman" w:cs="Times New Roman"/>
          <w:lang w:eastAsia="de-DE"/>
        </w:rPr>
        <w:t>von Abend zu Abend (9.-10. Tischri)</w:t>
      </w:r>
    </w:p>
    <w:p w14:paraId="0F0D3D4A" w14:textId="77777777" w:rsidR="004637CC" w:rsidRPr="004637CC" w:rsidRDefault="004637CC" w:rsidP="004637CC">
      <w:pPr>
        <w:numPr>
          <w:ilvl w:val="0"/>
          <w:numId w:val="19"/>
        </w:num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Laubhüttenfest</w:t>
      </w:r>
      <w:r w:rsidRPr="004637CC">
        <w:rPr>
          <w:rFonts w:eastAsia="Times New Roman" w:cs="Times New Roman"/>
          <w:lang w:eastAsia="de-DE"/>
        </w:rPr>
        <w:t xml:space="preserve"> (V. 34-43): 15.-21. Tischri mit </w:t>
      </w:r>
      <w:r w:rsidRPr="004637CC">
        <w:rPr>
          <w:rFonts w:eastAsia="Times New Roman" w:cs="Times New Roman"/>
          <w:b/>
          <w:bCs/>
          <w:rtl/>
          <w:lang w:eastAsia="de-DE"/>
        </w:rPr>
        <w:t>עצרת</w:t>
      </w:r>
      <w:r w:rsidRPr="004637CC">
        <w:rPr>
          <w:rFonts w:eastAsia="Times New Roman" w:cs="Times New Roman"/>
          <w:rtl/>
          <w:lang w:eastAsia="de-DE"/>
        </w:rPr>
        <w:t xml:space="preserve"> </w:t>
      </w:r>
      <w:r w:rsidRPr="004637CC">
        <w:rPr>
          <w:rFonts w:eastAsia="Times New Roman" w:cs="Times New Roman"/>
          <w:lang w:eastAsia="de-DE"/>
        </w:rPr>
        <w:t xml:space="preserve">am achten Tag; </w:t>
      </w:r>
      <w:r w:rsidRPr="004637CC">
        <w:rPr>
          <w:rFonts w:eastAsia="Times New Roman" w:cs="Times New Roman"/>
          <w:b/>
          <w:bCs/>
          <w:rtl/>
          <w:lang w:eastAsia="de-DE"/>
        </w:rPr>
        <w:t>ארבעת המינים</w:t>
      </w:r>
      <w:r w:rsidRPr="004637CC">
        <w:rPr>
          <w:rFonts w:eastAsia="Times New Roman" w:cs="Times New Roman"/>
          <w:lang w:eastAsia="de-DE"/>
        </w:rPr>
        <w:t xml:space="preserve">-Ritual (Zitrusfrucht, Palmzweige, Myrte, Bachweiden) mit siebentägiger </w:t>
      </w:r>
      <w:r w:rsidRPr="004637CC">
        <w:rPr>
          <w:rFonts w:eastAsia="Times New Roman" w:cs="Times New Roman"/>
          <w:b/>
          <w:bCs/>
          <w:rtl/>
          <w:lang w:eastAsia="de-DE"/>
        </w:rPr>
        <w:t>שמחה לפני יהוה</w:t>
      </w:r>
      <w:r w:rsidRPr="004637CC">
        <w:rPr>
          <w:rFonts w:eastAsia="Times New Roman" w:cs="Times New Roman"/>
          <w:lang w:eastAsia="de-DE"/>
        </w:rPr>
        <w:t xml:space="preserve">; </w:t>
      </w:r>
      <w:r w:rsidRPr="004637CC">
        <w:rPr>
          <w:rFonts w:eastAsia="Times New Roman" w:cs="Times New Roman"/>
          <w:b/>
          <w:bCs/>
          <w:rtl/>
          <w:lang w:eastAsia="de-DE"/>
        </w:rPr>
        <w:t>סכות</w:t>
      </w:r>
      <w:r w:rsidRPr="004637CC">
        <w:rPr>
          <w:rFonts w:eastAsia="Times New Roman" w:cs="Times New Roman"/>
          <w:lang w:eastAsia="de-DE"/>
        </w:rPr>
        <w:t xml:space="preserve">-Wohnpflicht für </w:t>
      </w:r>
      <w:r w:rsidRPr="004637CC">
        <w:rPr>
          <w:rFonts w:eastAsia="Times New Roman" w:cs="Times New Roman"/>
          <w:b/>
          <w:bCs/>
          <w:rtl/>
          <w:lang w:eastAsia="de-DE"/>
        </w:rPr>
        <w:t>אזרח בישראל</w:t>
      </w:r>
      <w:r w:rsidRPr="004637CC">
        <w:rPr>
          <w:rFonts w:eastAsia="Times New Roman" w:cs="Times New Roman"/>
          <w:rtl/>
          <w:lang w:eastAsia="de-DE"/>
        </w:rPr>
        <w:t xml:space="preserve"> </w:t>
      </w:r>
      <w:r w:rsidRPr="004637CC">
        <w:rPr>
          <w:rFonts w:eastAsia="Times New Roman" w:cs="Times New Roman"/>
          <w:lang w:eastAsia="de-DE"/>
        </w:rPr>
        <w:t xml:space="preserve">als </w:t>
      </w:r>
      <w:r w:rsidRPr="004637CC">
        <w:rPr>
          <w:rFonts w:eastAsia="Times New Roman" w:cs="Times New Roman"/>
          <w:b/>
          <w:bCs/>
          <w:rtl/>
          <w:lang w:eastAsia="de-DE"/>
        </w:rPr>
        <w:t>זכרון</w:t>
      </w:r>
      <w:r w:rsidRPr="004637CC">
        <w:rPr>
          <w:rFonts w:eastAsia="Times New Roman" w:cs="Times New Roman"/>
          <w:rtl/>
          <w:lang w:eastAsia="de-DE"/>
        </w:rPr>
        <w:t xml:space="preserve"> </w:t>
      </w:r>
      <w:r w:rsidRPr="004637CC">
        <w:rPr>
          <w:rFonts w:eastAsia="Times New Roman" w:cs="Times New Roman"/>
          <w:lang w:eastAsia="de-DE"/>
        </w:rPr>
        <w:t>der Wüstenzeit</w:t>
      </w:r>
    </w:p>
    <w:p w14:paraId="09F50B5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Abschluss (V. 37-44):</w:t>
      </w:r>
      <w:r w:rsidRPr="004637CC">
        <w:rPr>
          <w:rFonts w:eastAsia="Times New Roman" w:cs="Times New Roman"/>
          <w:lang w:eastAsia="de-DE"/>
        </w:rPr>
        <w:t xml:space="preserve"> Zusammenfassung aller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als </w:t>
      </w:r>
      <w:r w:rsidRPr="004637CC">
        <w:rPr>
          <w:rFonts w:eastAsia="Times New Roman" w:cs="Times New Roman"/>
          <w:b/>
          <w:bCs/>
          <w:rtl/>
          <w:lang w:eastAsia="de-DE"/>
        </w:rPr>
        <w:t>מקראי קדש</w:t>
      </w:r>
      <w:r w:rsidRPr="004637CC">
        <w:rPr>
          <w:rFonts w:eastAsia="Times New Roman" w:cs="Times New Roman"/>
          <w:rtl/>
          <w:lang w:eastAsia="de-DE"/>
        </w:rPr>
        <w:t xml:space="preserve"> </w:t>
      </w:r>
      <w:r w:rsidRPr="004637CC">
        <w:rPr>
          <w:rFonts w:eastAsia="Times New Roman" w:cs="Times New Roman"/>
          <w:lang w:eastAsia="de-DE"/>
        </w:rPr>
        <w:t>mit spezifischen Opferordnungen (</w:t>
      </w:r>
      <w:r w:rsidRPr="004637CC">
        <w:rPr>
          <w:rFonts w:eastAsia="Times New Roman" w:cs="Times New Roman"/>
          <w:b/>
          <w:bCs/>
          <w:rtl/>
          <w:lang w:eastAsia="de-DE"/>
        </w:rPr>
        <w:t>עלה</w:t>
      </w:r>
      <w:r w:rsidRPr="004637CC">
        <w:rPr>
          <w:rFonts w:eastAsia="Times New Roman" w:cs="Times New Roman"/>
          <w:lang w:eastAsia="de-DE"/>
        </w:rPr>
        <w:t xml:space="preserve">, </w:t>
      </w:r>
      <w:r w:rsidRPr="004637CC">
        <w:rPr>
          <w:rFonts w:eastAsia="Times New Roman" w:cs="Times New Roman"/>
          <w:b/>
          <w:bCs/>
          <w:rtl/>
          <w:lang w:eastAsia="de-DE"/>
        </w:rPr>
        <w:t>מנחה</w:t>
      </w:r>
      <w:r w:rsidRPr="004637CC">
        <w:rPr>
          <w:rFonts w:eastAsia="Times New Roman" w:cs="Times New Roman"/>
          <w:lang w:eastAsia="de-DE"/>
        </w:rPr>
        <w:t xml:space="preserve">, </w:t>
      </w:r>
      <w:r w:rsidRPr="004637CC">
        <w:rPr>
          <w:rFonts w:eastAsia="Times New Roman" w:cs="Times New Roman"/>
          <w:b/>
          <w:bCs/>
          <w:rtl/>
          <w:lang w:eastAsia="de-DE"/>
        </w:rPr>
        <w:t>זבח</w:t>
      </w:r>
      <w:r w:rsidRPr="004637CC">
        <w:rPr>
          <w:rFonts w:eastAsia="Times New Roman" w:cs="Times New Roman"/>
          <w:lang w:eastAsia="de-DE"/>
        </w:rPr>
        <w:t xml:space="preserve">, </w:t>
      </w:r>
      <w:r w:rsidRPr="004637CC">
        <w:rPr>
          <w:rFonts w:eastAsia="Times New Roman" w:cs="Times New Roman"/>
          <w:b/>
          <w:bCs/>
          <w:rtl/>
          <w:lang w:eastAsia="de-DE"/>
        </w:rPr>
        <w:t>נסכים</w:t>
      </w:r>
      <w:r w:rsidRPr="004637CC">
        <w:rPr>
          <w:rFonts w:eastAsia="Times New Roman" w:cs="Times New Roman"/>
          <w:lang w:eastAsia="de-DE"/>
        </w:rPr>
        <w:t xml:space="preserve">) </w:t>
      </w:r>
      <w:r w:rsidRPr="004637CC">
        <w:rPr>
          <w:rFonts w:eastAsia="Times New Roman" w:cs="Times New Roman"/>
          <w:b/>
          <w:bCs/>
          <w:rtl/>
          <w:lang w:eastAsia="de-DE"/>
        </w:rPr>
        <w:t>דבר־יום ביומו</w:t>
      </w:r>
      <w:r w:rsidRPr="004637CC">
        <w:rPr>
          <w:rFonts w:eastAsia="Times New Roman" w:cs="Times New Roman"/>
          <w:lang w:eastAsia="de-DE"/>
        </w:rPr>
        <w:t>, zusätzlich zu Sabbat-Opfern und freiwilligen Gaben; mosaische Verkündigung an Israel.</w:t>
      </w:r>
    </w:p>
    <w:p w14:paraId="18C0B8B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Theologische Bedeutung:</w:t>
      </w:r>
      <w:r w:rsidRPr="004637CC">
        <w:rPr>
          <w:rFonts w:eastAsia="Times New Roman" w:cs="Times New Roman"/>
          <w:lang w:eastAsia="de-DE"/>
        </w:rPr>
        <w:t xml:space="preserve"> Die </w:t>
      </w:r>
      <w:r w:rsidRPr="004637CC">
        <w:rPr>
          <w:rFonts w:eastAsia="Times New Roman" w:cs="Times New Roman"/>
          <w:b/>
          <w:bCs/>
          <w:rtl/>
          <w:lang w:eastAsia="de-DE"/>
        </w:rPr>
        <w:t>מועדים</w:t>
      </w:r>
      <w:r w:rsidRPr="004637CC">
        <w:rPr>
          <w:rFonts w:eastAsia="Times New Roman" w:cs="Times New Roman"/>
          <w:rtl/>
          <w:lang w:eastAsia="de-DE"/>
        </w:rPr>
        <w:t xml:space="preserve"> </w:t>
      </w:r>
      <w:r w:rsidRPr="004637CC">
        <w:rPr>
          <w:rFonts w:eastAsia="Times New Roman" w:cs="Times New Roman"/>
          <w:lang w:eastAsia="de-DE"/>
        </w:rPr>
        <w:t xml:space="preserve">strukturieren das Jahr als heilige Zeit mit </w:t>
      </w:r>
      <w:r w:rsidRPr="004637CC">
        <w:rPr>
          <w:rFonts w:eastAsia="Times New Roman" w:cs="Times New Roman"/>
          <w:b/>
          <w:bCs/>
          <w:lang w:eastAsia="de-DE"/>
        </w:rPr>
        <w:t>landwirtschaftlichen Bezügen</w:t>
      </w:r>
      <w:r w:rsidRPr="004637CC">
        <w:rPr>
          <w:rFonts w:eastAsia="Times New Roman" w:cs="Times New Roman"/>
          <w:lang w:eastAsia="de-DE"/>
        </w:rPr>
        <w:t xml:space="preserve"> (Gersten-/Weizenernte, Herbstsammlung) und </w:t>
      </w:r>
      <w:r w:rsidRPr="004637CC">
        <w:rPr>
          <w:rFonts w:eastAsia="Times New Roman" w:cs="Times New Roman"/>
          <w:b/>
          <w:bCs/>
          <w:lang w:eastAsia="de-DE"/>
        </w:rPr>
        <w:t>historischen Erinnerungen</w:t>
      </w:r>
      <w:r w:rsidRPr="004637CC">
        <w:rPr>
          <w:rFonts w:eastAsia="Times New Roman" w:cs="Times New Roman"/>
          <w:lang w:eastAsia="de-DE"/>
        </w:rPr>
        <w:t xml:space="preserve"> (Exodus, Wüstenzeit). </w:t>
      </w:r>
      <w:r w:rsidRPr="004637CC">
        <w:rPr>
          <w:rFonts w:eastAsia="Times New Roman" w:cs="Times New Roman"/>
          <w:b/>
          <w:bCs/>
          <w:lang w:eastAsia="de-DE"/>
        </w:rPr>
        <w:t>Arbeitsruhe-Abstufungen</w:t>
      </w:r>
      <w:r w:rsidRPr="004637CC">
        <w:rPr>
          <w:rFonts w:eastAsia="Times New Roman" w:cs="Times New Roman"/>
          <w:lang w:eastAsia="de-DE"/>
        </w:rPr>
        <w:t xml:space="preserve"> zeigen verschiedene Heiligkeitsgrade: </w:t>
      </w:r>
      <w:r w:rsidRPr="004637CC">
        <w:rPr>
          <w:rFonts w:eastAsia="Times New Roman" w:cs="Times New Roman"/>
          <w:b/>
          <w:bCs/>
          <w:rtl/>
          <w:lang w:eastAsia="de-DE"/>
        </w:rPr>
        <w:t>כל־מלאכה</w:t>
      </w:r>
      <w:r w:rsidRPr="004637CC">
        <w:rPr>
          <w:rFonts w:eastAsia="Times New Roman" w:cs="Times New Roman"/>
          <w:rtl/>
          <w:lang w:eastAsia="de-DE"/>
        </w:rPr>
        <w:t xml:space="preserve"> </w:t>
      </w:r>
      <w:r w:rsidRPr="004637CC">
        <w:rPr>
          <w:rFonts w:eastAsia="Times New Roman" w:cs="Times New Roman"/>
          <w:lang w:eastAsia="de-DE"/>
        </w:rPr>
        <w:t xml:space="preserve">(Sabbat, Versöhnungstag), </w:t>
      </w:r>
      <w:r w:rsidRPr="004637CC">
        <w:rPr>
          <w:rFonts w:eastAsia="Times New Roman" w:cs="Times New Roman"/>
          <w:b/>
          <w:bCs/>
          <w:rtl/>
          <w:lang w:eastAsia="de-DE"/>
        </w:rPr>
        <w:t>מלאכת עבדה</w:t>
      </w:r>
      <w:r w:rsidRPr="004637CC">
        <w:rPr>
          <w:rFonts w:eastAsia="Times New Roman" w:cs="Times New Roman"/>
          <w:rtl/>
          <w:lang w:eastAsia="de-DE"/>
        </w:rPr>
        <w:t xml:space="preserve"> </w:t>
      </w:r>
      <w:r w:rsidRPr="004637CC">
        <w:rPr>
          <w:rFonts w:eastAsia="Times New Roman" w:cs="Times New Roman"/>
          <w:lang w:eastAsia="de-DE"/>
        </w:rPr>
        <w:t xml:space="preserve">(andere </w:t>
      </w:r>
      <w:r w:rsidRPr="004637CC">
        <w:rPr>
          <w:rFonts w:eastAsia="Times New Roman" w:cs="Times New Roman"/>
          <w:b/>
          <w:bCs/>
          <w:rtl/>
          <w:lang w:eastAsia="de-DE"/>
        </w:rPr>
        <w:t>מועדים</w:t>
      </w:r>
      <w:r w:rsidRPr="004637CC">
        <w:rPr>
          <w:rFonts w:eastAsia="Times New Roman" w:cs="Times New Roman"/>
          <w:lang w:eastAsia="de-DE"/>
        </w:rPr>
        <w:t xml:space="preserve">). </w:t>
      </w:r>
      <w:r w:rsidRPr="004637CC">
        <w:rPr>
          <w:rFonts w:eastAsia="Times New Roman" w:cs="Times New Roman"/>
          <w:b/>
          <w:bCs/>
          <w:lang w:eastAsia="de-DE"/>
        </w:rPr>
        <w:t>Opfersystematik</w:t>
      </w:r>
      <w:r w:rsidRPr="004637CC">
        <w:rPr>
          <w:rFonts w:eastAsia="Times New Roman" w:cs="Times New Roman"/>
          <w:lang w:eastAsia="de-DE"/>
        </w:rPr>
        <w:t xml:space="preserve"> mit tagesspezifischen Ordnungen. </w:t>
      </w:r>
      <w:r w:rsidRPr="004637CC">
        <w:rPr>
          <w:rFonts w:eastAsia="Times New Roman" w:cs="Times New Roman"/>
          <w:b/>
          <w:bCs/>
          <w:lang w:eastAsia="de-DE"/>
        </w:rPr>
        <w:t>Generationenübergreifende Gültigkeit</w:t>
      </w:r>
      <w:r w:rsidRPr="004637CC">
        <w:rPr>
          <w:rFonts w:eastAsia="Times New Roman" w:cs="Times New Roman"/>
          <w:lang w:eastAsia="de-DE"/>
        </w:rPr>
        <w:t xml:space="preserve"> durch </w:t>
      </w:r>
      <w:r w:rsidRPr="004637CC">
        <w:rPr>
          <w:rFonts w:eastAsia="Times New Roman" w:cs="Times New Roman"/>
          <w:b/>
          <w:bCs/>
          <w:rtl/>
          <w:lang w:eastAsia="de-DE"/>
        </w:rPr>
        <w:t>חקת עולם</w:t>
      </w:r>
      <w:r w:rsidRPr="004637CC">
        <w:rPr>
          <w:rFonts w:eastAsia="Times New Roman" w:cs="Times New Roman"/>
          <w:lang w:eastAsia="de-DE"/>
        </w:rPr>
        <w:t xml:space="preserve">-Formeln. </w:t>
      </w:r>
      <w:r w:rsidRPr="004637CC">
        <w:rPr>
          <w:rFonts w:eastAsia="Times New Roman" w:cs="Times New Roman"/>
          <w:b/>
          <w:bCs/>
          <w:lang w:eastAsia="de-DE"/>
        </w:rPr>
        <w:t>Pädagogischer Zweck</w:t>
      </w:r>
      <w:r w:rsidRPr="004637CC">
        <w:rPr>
          <w:rFonts w:eastAsia="Times New Roman" w:cs="Times New Roman"/>
          <w:lang w:eastAsia="de-DE"/>
        </w:rPr>
        <w:t xml:space="preserve"> durch </w:t>
      </w:r>
      <w:r w:rsidRPr="004637CC">
        <w:rPr>
          <w:rFonts w:eastAsia="Times New Roman" w:cs="Times New Roman"/>
          <w:b/>
          <w:bCs/>
          <w:rtl/>
          <w:lang w:eastAsia="de-DE"/>
        </w:rPr>
        <w:t>זכרון</w:t>
      </w:r>
      <w:r w:rsidRPr="004637CC">
        <w:rPr>
          <w:rFonts w:eastAsia="Times New Roman" w:cs="Times New Roman"/>
          <w:lang w:eastAsia="de-DE"/>
        </w:rPr>
        <w:t>-Charakter für kommende Generationen.</w:t>
      </w:r>
    </w:p>
    <w:p w14:paraId="347AE91F" w14:textId="02497C4E" w:rsid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Besonderheiten:</w:t>
      </w:r>
      <w:r w:rsidRPr="004637CC">
        <w:rPr>
          <w:rFonts w:eastAsia="Times New Roman" w:cs="Times New Roman"/>
          <w:lang w:eastAsia="de-DE"/>
        </w:rPr>
        <w:t xml:space="preserve"> </w:t>
      </w:r>
      <w:r w:rsidRPr="004637CC">
        <w:rPr>
          <w:rFonts w:eastAsia="Times New Roman" w:cs="Times New Roman"/>
          <w:b/>
          <w:bCs/>
          <w:lang w:eastAsia="de-DE"/>
        </w:rPr>
        <w:t>Doppelte Besitzbetonung</w:t>
      </w:r>
      <w:r w:rsidRPr="004637CC">
        <w:rPr>
          <w:rFonts w:eastAsia="Times New Roman" w:cs="Times New Roman"/>
          <w:lang w:eastAsia="de-DE"/>
        </w:rPr>
        <w:t xml:space="preserve"> (</w:t>
      </w:r>
      <w:r w:rsidRPr="004637CC">
        <w:rPr>
          <w:rFonts w:eastAsia="Times New Roman" w:cs="Times New Roman"/>
          <w:b/>
          <w:bCs/>
          <w:rtl/>
          <w:lang w:eastAsia="de-DE"/>
        </w:rPr>
        <w:t>מועדי יהוה</w:t>
      </w:r>
      <w:r w:rsidRPr="004637CC">
        <w:rPr>
          <w:rFonts w:eastAsia="Times New Roman" w:cs="Times New Roman"/>
          <w:lang w:eastAsia="de-DE"/>
        </w:rPr>
        <w:t>/</w:t>
      </w:r>
      <w:r w:rsidRPr="004637CC">
        <w:rPr>
          <w:rFonts w:eastAsia="Times New Roman" w:cs="Times New Roman"/>
          <w:b/>
          <w:bCs/>
          <w:rtl/>
          <w:lang w:eastAsia="de-DE"/>
        </w:rPr>
        <w:t>מועדי</w:t>
      </w:r>
      <w:r w:rsidRPr="004637CC">
        <w:rPr>
          <w:rFonts w:eastAsia="Times New Roman" w:cs="Times New Roman"/>
          <w:lang w:eastAsia="de-DE"/>
        </w:rPr>
        <w:t xml:space="preserve">). </w:t>
      </w:r>
      <w:r w:rsidRPr="004637CC">
        <w:rPr>
          <w:rFonts w:eastAsia="Times New Roman" w:cs="Times New Roman"/>
          <w:b/>
          <w:bCs/>
          <w:lang w:eastAsia="de-DE"/>
        </w:rPr>
        <w:t>Proklamationspflicht</w:t>
      </w:r>
      <w:r w:rsidRPr="004637CC">
        <w:rPr>
          <w:rFonts w:eastAsia="Times New Roman" w:cs="Times New Roman"/>
          <w:lang w:eastAsia="de-DE"/>
        </w:rPr>
        <w:t xml:space="preserve"> des Volkes bei </w:t>
      </w:r>
      <w:r w:rsidRPr="004637CC">
        <w:rPr>
          <w:rFonts w:eastAsia="Times New Roman" w:cs="Times New Roman"/>
          <w:b/>
          <w:bCs/>
          <w:rtl/>
          <w:lang w:eastAsia="de-DE"/>
        </w:rPr>
        <w:t>מקראי קדש</w:t>
      </w:r>
      <w:r w:rsidRPr="004637CC">
        <w:rPr>
          <w:rFonts w:eastAsia="Times New Roman" w:cs="Times New Roman"/>
          <w:lang w:eastAsia="de-DE"/>
        </w:rPr>
        <w:t xml:space="preserve">. </w:t>
      </w:r>
      <w:r w:rsidRPr="004637CC">
        <w:rPr>
          <w:rFonts w:eastAsia="Times New Roman" w:cs="Times New Roman"/>
          <w:b/>
          <w:bCs/>
          <w:lang w:eastAsia="de-DE"/>
        </w:rPr>
        <w:t>Einzigartige Rituale</w:t>
      </w:r>
      <w:r w:rsidRPr="004637CC">
        <w:rPr>
          <w:rFonts w:eastAsia="Times New Roman" w:cs="Times New Roman"/>
          <w:lang w:eastAsia="de-DE"/>
        </w:rPr>
        <w:t xml:space="preserve">: gesäuertes Wochenfest-Brot, </w:t>
      </w:r>
      <w:r w:rsidRPr="004637CC">
        <w:rPr>
          <w:rFonts w:eastAsia="Times New Roman" w:cs="Times New Roman"/>
          <w:b/>
          <w:bCs/>
          <w:rtl/>
          <w:lang w:eastAsia="de-DE"/>
        </w:rPr>
        <w:t>ארבעת המינים</w:t>
      </w:r>
      <w:r w:rsidRPr="004637CC">
        <w:rPr>
          <w:rFonts w:eastAsia="Times New Roman" w:cs="Times New Roman"/>
          <w:lang w:eastAsia="de-DE"/>
        </w:rPr>
        <w:t xml:space="preserve">, </w:t>
      </w:r>
      <w:r w:rsidRPr="004637CC">
        <w:rPr>
          <w:rFonts w:eastAsia="Times New Roman" w:cs="Times New Roman"/>
          <w:b/>
          <w:bCs/>
          <w:rtl/>
          <w:lang w:eastAsia="de-DE"/>
        </w:rPr>
        <w:t>סכות</w:t>
      </w:r>
      <w:r w:rsidRPr="004637CC">
        <w:rPr>
          <w:rFonts w:eastAsia="Times New Roman" w:cs="Times New Roman"/>
          <w:lang w:eastAsia="de-DE"/>
        </w:rPr>
        <w:t xml:space="preserve">-Wohnen. </w:t>
      </w:r>
      <w:r w:rsidRPr="004637CC">
        <w:rPr>
          <w:rFonts w:eastAsia="Times New Roman" w:cs="Times New Roman"/>
          <w:b/>
          <w:bCs/>
          <w:lang w:eastAsia="de-DE"/>
        </w:rPr>
        <w:t>Soziale Integration</w:t>
      </w:r>
      <w:r w:rsidRPr="004637CC">
        <w:rPr>
          <w:rFonts w:eastAsia="Times New Roman" w:cs="Times New Roman"/>
          <w:lang w:eastAsia="de-DE"/>
        </w:rPr>
        <w:t xml:space="preserve"> durch </w:t>
      </w:r>
      <w:r w:rsidRPr="004637CC">
        <w:rPr>
          <w:rFonts w:eastAsia="Times New Roman" w:cs="Times New Roman"/>
          <w:b/>
          <w:bCs/>
          <w:rtl/>
          <w:lang w:eastAsia="de-DE"/>
        </w:rPr>
        <w:t>פאה</w:t>
      </w:r>
      <w:r w:rsidRPr="004637CC">
        <w:rPr>
          <w:rFonts w:eastAsia="Times New Roman" w:cs="Times New Roman"/>
          <w:lang w:eastAsia="de-DE"/>
        </w:rPr>
        <w:t>/</w:t>
      </w:r>
      <w:r w:rsidRPr="004637CC">
        <w:rPr>
          <w:rFonts w:eastAsia="Times New Roman" w:cs="Times New Roman"/>
          <w:b/>
          <w:bCs/>
          <w:rtl/>
          <w:lang w:eastAsia="de-DE"/>
        </w:rPr>
        <w:t>לקט</w:t>
      </w:r>
      <w:r w:rsidRPr="004637CC">
        <w:rPr>
          <w:rFonts w:eastAsia="Times New Roman" w:cs="Times New Roman"/>
          <w:lang w:eastAsia="de-DE"/>
        </w:rPr>
        <w:t xml:space="preserve">-Wiederholung. </w:t>
      </w:r>
      <w:r w:rsidRPr="004637CC">
        <w:rPr>
          <w:rFonts w:eastAsia="Times New Roman" w:cs="Times New Roman"/>
          <w:b/>
          <w:bCs/>
          <w:lang w:eastAsia="de-DE"/>
        </w:rPr>
        <w:t>Universelle vs. partikuläre Anwendung</w:t>
      </w:r>
      <w:r w:rsidRPr="004637CC">
        <w:rPr>
          <w:rFonts w:eastAsia="Times New Roman" w:cs="Times New Roman"/>
          <w:lang w:eastAsia="de-DE"/>
        </w:rPr>
        <w:t xml:space="preserve"> (</w:t>
      </w:r>
      <w:r w:rsidRPr="004637CC">
        <w:rPr>
          <w:rFonts w:eastAsia="Times New Roman" w:cs="Times New Roman"/>
          <w:b/>
          <w:bCs/>
          <w:rtl/>
          <w:lang w:eastAsia="de-DE"/>
        </w:rPr>
        <w:t>אזרח</w:t>
      </w:r>
      <w:r w:rsidRPr="004637CC">
        <w:rPr>
          <w:rFonts w:eastAsia="Times New Roman" w:cs="Times New Roman"/>
          <w:rtl/>
          <w:lang w:eastAsia="de-DE"/>
        </w:rPr>
        <w:t xml:space="preserve"> </w:t>
      </w:r>
      <w:r w:rsidRPr="004637CC">
        <w:rPr>
          <w:rFonts w:eastAsia="Times New Roman" w:cs="Times New Roman"/>
          <w:lang w:eastAsia="de-DE"/>
        </w:rPr>
        <w:t xml:space="preserve">bei </w:t>
      </w:r>
      <w:r w:rsidRPr="004637CC">
        <w:rPr>
          <w:rFonts w:eastAsia="Times New Roman" w:cs="Times New Roman"/>
          <w:b/>
          <w:bCs/>
          <w:rtl/>
          <w:lang w:eastAsia="de-DE"/>
        </w:rPr>
        <w:t>סכות</w:t>
      </w:r>
      <w:r w:rsidRPr="004637CC">
        <w:rPr>
          <w:rFonts w:eastAsia="Times New Roman" w:cs="Times New Roman"/>
          <w:lang w:eastAsia="de-DE"/>
        </w:rPr>
        <w:t>).</w:t>
      </w:r>
    </w:p>
    <w:p w14:paraId="58327DAC" w14:textId="6F8ABC84" w:rsidR="00775F21" w:rsidRPr="004637CC" w:rsidRDefault="00775F21" w:rsidP="004637CC">
      <w:pPr>
        <w:spacing w:before="100" w:beforeAutospacing="1" w:after="100" w:afterAutospacing="1" w:line="240" w:lineRule="auto"/>
        <w:rPr>
          <w:rFonts w:eastAsia="Times New Roman" w:cs="Times New Roman"/>
          <w:lang w:eastAsia="de-DE"/>
        </w:rPr>
      </w:pPr>
      <w:r>
        <w:rPr>
          <w:rStyle w:val="Fett"/>
        </w:rPr>
        <w:t>Textkritische Beobachtung</w:t>
      </w:r>
      <w:r>
        <w:t>: Levitikus 23 zeigt in der LXX eine systematische Präzisierung und teilweise Interpretation der Festkalender. Besonders bemerkenswert sind die botanischen Spezifizierungen beim Laubhüttenfest (Vers 40), wo die LXX konkrete griechische Pflanzenarten identifiziert. Die kalendarischen Bestimmungen werden durch griechische Terminologie klargestellt, und kultische Begriffe werden durch etablierte griechische religiöse Fachsprache ersetzt. Dies deutet auf eine systematische Anpassung an hellenistische religiöse und botanische Kenntnisse hin, während die rituellen Strukturen beibehalten werden.</w:t>
      </w:r>
    </w:p>
    <w:p w14:paraId="47D74F80"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24,1</w:t>
      </w:r>
    </w:p>
    <w:p w14:paraId="2A11ADD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וַיְדַבֵּ֥ר יְהוָ֖ה אֶל־מֹשֶׁ֥ה לֵּאמֹֽר׃</w:t>
      </w:r>
    </w:p>
    <w:p w14:paraId="0347618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Ewige redete zu Mosche, sagend:</w:t>
      </w:r>
    </w:p>
    <w:p w14:paraId="64766ADC"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5C174B9F">
          <v:rect id="_x0000_i1726" style="width:0;height:1.5pt" o:hralign="center" o:hrstd="t" o:hr="t" fillcolor="#a0a0a0" stroked="f"/>
        </w:pict>
      </w:r>
    </w:p>
    <w:p w14:paraId="2DEE77C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וידבר יהוה אל־משה לאמר</w:t>
      </w:r>
      <w:r w:rsidRPr="004637CC">
        <w:rPr>
          <w:rFonts w:eastAsia="Times New Roman" w:cs="Times New Roman"/>
          <w:rtl/>
          <w:lang w:eastAsia="de-DE"/>
        </w:rPr>
        <w:t xml:space="preserve"> </w:t>
      </w:r>
      <w:r w:rsidRPr="004637CC">
        <w:rPr>
          <w:rFonts w:eastAsia="Times New Roman" w:cs="Times New Roman"/>
          <w:lang w:eastAsia="de-DE"/>
        </w:rPr>
        <w:t xml:space="preserve">als Offenbarungseinleitung für die Heiligtums-Beleuchtungsvorschriften. </w:t>
      </w:r>
      <w:r w:rsidRPr="004637CC">
        <w:rPr>
          <w:rFonts w:eastAsia="Times New Roman" w:cs="Times New Roman"/>
          <w:b/>
          <w:bCs/>
          <w:rtl/>
          <w:lang w:eastAsia="de-DE"/>
        </w:rPr>
        <w:t>וידבר</w:t>
      </w:r>
      <w:r w:rsidRPr="004637CC">
        <w:rPr>
          <w:rFonts w:eastAsia="Times New Roman" w:cs="Times New Roman"/>
          <w:rtl/>
          <w:lang w:eastAsia="de-DE"/>
        </w:rPr>
        <w:t xml:space="preserve"> </w:t>
      </w:r>
      <w:r w:rsidRPr="004637CC">
        <w:rPr>
          <w:rFonts w:eastAsia="Times New Roman" w:cs="Times New Roman"/>
          <w:lang w:eastAsia="de-DE"/>
        </w:rPr>
        <w:t xml:space="preserve">(und er redete) im Piel-Imperfekt mit Waw-Konsekutiv - das Piel zeigt intensives, autoritatives göttliches Sprechen. </w:t>
      </w:r>
      <w:r w:rsidRPr="004637CC">
        <w:rPr>
          <w:rFonts w:eastAsia="Times New Roman" w:cs="Times New Roman"/>
          <w:b/>
          <w:bCs/>
          <w:rtl/>
          <w:lang w:eastAsia="de-DE"/>
        </w:rPr>
        <w:t>לאמר</w:t>
      </w:r>
      <w:r w:rsidRPr="004637CC">
        <w:rPr>
          <w:rFonts w:eastAsia="Times New Roman" w:cs="Times New Roman"/>
          <w:rtl/>
          <w:lang w:eastAsia="de-DE"/>
        </w:rPr>
        <w:t xml:space="preserve"> </w:t>
      </w:r>
      <w:r w:rsidRPr="004637CC">
        <w:rPr>
          <w:rFonts w:eastAsia="Times New Roman" w:cs="Times New Roman"/>
          <w:lang w:eastAsia="de-DE"/>
        </w:rPr>
        <w:t>(sagend) leitet die Vorschriften über die beständige Beleuchtung und das Schaubrot ein.</w:t>
      </w:r>
    </w:p>
    <w:p w14:paraId="3076EA4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וידבר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ἐλάλησεν</w:t>
      </w:r>
      <w:proofErr w:type="spellEnd"/>
      <w:r w:rsidRPr="004637CC">
        <w:rPr>
          <w:rFonts w:eastAsia="Times New Roman" w:cs="Times New Roman"/>
          <w:lang w:eastAsia="de-DE"/>
        </w:rPr>
        <w:t xml:space="preserve"> (er sprach) und </w:t>
      </w:r>
      <w:r w:rsidRPr="004637CC">
        <w:rPr>
          <w:rFonts w:eastAsia="Times New Roman" w:cs="Times New Roman"/>
          <w:b/>
          <w:bCs/>
          <w:rtl/>
          <w:lang w:eastAsia="de-DE"/>
        </w:rPr>
        <w:t>לאמר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λέγων</w:t>
      </w:r>
      <w:proofErr w:type="spellEnd"/>
      <w:r w:rsidRPr="004637CC">
        <w:rPr>
          <w:rFonts w:eastAsia="Times New Roman" w:cs="Times New Roman"/>
          <w:lang w:eastAsia="de-DE"/>
        </w:rPr>
        <w:t xml:space="preserve"> (sagend).</w:t>
      </w:r>
    </w:p>
    <w:p w14:paraId="5D07B5A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Offenbarungseinleitung: göttliches autoritatives Sprechen + Empfängeridentifikation + Redeeinleitung.</w:t>
      </w:r>
    </w:p>
    <w:p w14:paraId="0BD1E46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leitet die Vorschriften über die kontinuierliche Heiligtumspflege ein.</w:t>
      </w:r>
    </w:p>
    <w:p w14:paraId="0E32FCA3"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lastRenderedPageBreak/>
        <w:t>Leviticus 24,2</w:t>
      </w:r>
    </w:p>
    <w:p w14:paraId="5512B0D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צַ֞ו אֶת־בְּנֵ֣י יִשְׂרָאֵ֗ל וְיִקְח֨וּ אֵלֶ֜יךָ שֶׁ֣מֶן זַ֥יִת זָ֛ךְ כָּתִ֖ית לַמָּא֑וֹר לְהַעֲלֹ֥ת נֵ֖ר תָּמִֽיד׃</w:t>
      </w:r>
    </w:p>
    <w:p w14:paraId="4915ECD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Befiehl den Kindern Israels, dass sie dir reines Öl aus zerstoßenen Oliven für die Beleuchtung bringen, um beständig Lampen anzuzünden.</w:t>
      </w:r>
    </w:p>
    <w:p w14:paraId="692C90D5"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4BD0AE0">
          <v:rect id="_x0000_i1727" style="width:0;height:1.5pt" o:hralign="center" o:hrstd="t" o:hr="t" fillcolor="#a0a0a0" stroked="f"/>
        </w:pict>
      </w:r>
    </w:p>
    <w:p w14:paraId="6DBD1E3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צו את־בני ישראל ויקחו אליך שמן זית זך כתית למאור להעלת נר תמיד</w:t>
      </w:r>
      <w:r w:rsidRPr="004637CC">
        <w:rPr>
          <w:rFonts w:eastAsia="Times New Roman" w:cs="Times New Roman"/>
          <w:rtl/>
          <w:lang w:eastAsia="de-DE"/>
        </w:rPr>
        <w:t xml:space="preserve"> </w:t>
      </w:r>
      <w:r w:rsidRPr="004637CC">
        <w:rPr>
          <w:rFonts w:eastAsia="Times New Roman" w:cs="Times New Roman"/>
          <w:lang w:eastAsia="de-DE"/>
        </w:rPr>
        <w:t xml:space="preserve">etabliert die Ölversorgung für die Heiligtums-Beleuchtung. </w:t>
      </w:r>
      <w:r w:rsidRPr="004637CC">
        <w:rPr>
          <w:rFonts w:eastAsia="Times New Roman" w:cs="Times New Roman"/>
          <w:b/>
          <w:bCs/>
          <w:rtl/>
          <w:lang w:eastAsia="de-DE"/>
        </w:rPr>
        <w:t>צו את־בני ישראל</w:t>
      </w:r>
      <w:r w:rsidRPr="004637CC">
        <w:rPr>
          <w:rFonts w:eastAsia="Times New Roman" w:cs="Times New Roman"/>
          <w:rtl/>
          <w:lang w:eastAsia="de-DE"/>
        </w:rPr>
        <w:t xml:space="preserve"> </w:t>
      </w:r>
      <w:r w:rsidRPr="004637CC">
        <w:rPr>
          <w:rFonts w:eastAsia="Times New Roman" w:cs="Times New Roman"/>
          <w:lang w:eastAsia="de-DE"/>
        </w:rPr>
        <w:t xml:space="preserve">(befiehl den Kindern Israels) - </w:t>
      </w:r>
      <w:r w:rsidRPr="004637CC">
        <w:rPr>
          <w:rFonts w:eastAsia="Times New Roman" w:cs="Times New Roman"/>
          <w:b/>
          <w:bCs/>
          <w:rtl/>
          <w:lang w:eastAsia="de-DE"/>
        </w:rPr>
        <w:t>צו</w:t>
      </w:r>
      <w:r w:rsidRPr="004637CC">
        <w:rPr>
          <w:rFonts w:eastAsia="Times New Roman" w:cs="Times New Roman"/>
          <w:rtl/>
          <w:lang w:eastAsia="de-DE"/>
        </w:rPr>
        <w:t xml:space="preserve"> </w:t>
      </w:r>
      <w:r w:rsidRPr="004637CC">
        <w:rPr>
          <w:rFonts w:eastAsia="Times New Roman" w:cs="Times New Roman"/>
          <w:lang w:eastAsia="de-DE"/>
        </w:rPr>
        <w:t>(befiehl) im Piel-Imperativ zeigt autoritativen Befehl an das ganze Volk.</w:t>
      </w:r>
    </w:p>
    <w:p w14:paraId="0B3CC78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ויקחו אליך שמן זית זך כתית למאור</w:t>
      </w:r>
      <w:r w:rsidRPr="004637CC">
        <w:rPr>
          <w:rFonts w:eastAsia="Times New Roman" w:cs="Times New Roman"/>
          <w:rtl/>
          <w:lang w:eastAsia="de-DE"/>
        </w:rPr>
        <w:t xml:space="preserve"> </w:t>
      </w:r>
      <w:r w:rsidRPr="004637CC">
        <w:rPr>
          <w:rFonts w:eastAsia="Times New Roman" w:cs="Times New Roman"/>
          <w:lang w:eastAsia="de-DE"/>
        </w:rPr>
        <w:t xml:space="preserve">(dass sie dir reines Öl aus zerstoßenen Oliven für die Beleuchtung bringen) - </w:t>
      </w:r>
      <w:r w:rsidRPr="004637CC">
        <w:rPr>
          <w:rFonts w:eastAsia="Times New Roman" w:cs="Times New Roman"/>
          <w:b/>
          <w:bCs/>
          <w:rtl/>
          <w:lang w:eastAsia="de-DE"/>
        </w:rPr>
        <w:t>ויקחו אליך</w:t>
      </w:r>
      <w:r w:rsidRPr="004637CC">
        <w:rPr>
          <w:rFonts w:eastAsia="Times New Roman" w:cs="Times New Roman"/>
          <w:rtl/>
          <w:lang w:eastAsia="de-DE"/>
        </w:rPr>
        <w:t xml:space="preserve"> </w:t>
      </w:r>
      <w:r w:rsidRPr="004637CC">
        <w:rPr>
          <w:rFonts w:eastAsia="Times New Roman" w:cs="Times New Roman"/>
          <w:lang w:eastAsia="de-DE"/>
        </w:rPr>
        <w:t xml:space="preserve">(und sie sollen zu dir nehmen/bringen) im Qal-Imperfekt mit Waw-Konsekutiv. </w:t>
      </w:r>
      <w:r w:rsidRPr="004637CC">
        <w:rPr>
          <w:rFonts w:eastAsia="Times New Roman" w:cs="Times New Roman"/>
          <w:b/>
          <w:bCs/>
          <w:rtl/>
          <w:lang w:eastAsia="de-DE"/>
        </w:rPr>
        <w:t>שמן זית</w:t>
      </w:r>
      <w:r w:rsidRPr="004637CC">
        <w:rPr>
          <w:rFonts w:eastAsia="Times New Roman" w:cs="Times New Roman"/>
          <w:rtl/>
          <w:lang w:eastAsia="de-DE"/>
        </w:rPr>
        <w:t xml:space="preserve"> </w:t>
      </w:r>
      <w:r w:rsidRPr="004637CC">
        <w:rPr>
          <w:rFonts w:eastAsia="Times New Roman" w:cs="Times New Roman"/>
          <w:lang w:eastAsia="de-DE"/>
        </w:rPr>
        <w:t xml:space="preserve">(Olivenöl) als Grundstoff. </w:t>
      </w:r>
      <w:r w:rsidRPr="004637CC">
        <w:rPr>
          <w:rFonts w:eastAsia="Times New Roman" w:cs="Times New Roman"/>
          <w:b/>
          <w:bCs/>
          <w:rtl/>
          <w:lang w:eastAsia="de-DE"/>
        </w:rPr>
        <w:t>זך</w:t>
      </w:r>
      <w:r w:rsidRPr="004637CC">
        <w:rPr>
          <w:rFonts w:eastAsia="Times New Roman" w:cs="Times New Roman"/>
          <w:rtl/>
          <w:lang w:eastAsia="de-DE"/>
        </w:rPr>
        <w:t xml:space="preserve"> </w:t>
      </w:r>
      <w:r w:rsidRPr="004637CC">
        <w:rPr>
          <w:rFonts w:eastAsia="Times New Roman" w:cs="Times New Roman"/>
          <w:lang w:eastAsia="de-DE"/>
        </w:rPr>
        <w:t xml:space="preserve">(rein) zeigt Qualitätsanforderung. </w:t>
      </w:r>
      <w:r w:rsidRPr="004637CC">
        <w:rPr>
          <w:rFonts w:eastAsia="Times New Roman" w:cs="Times New Roman"/>
          <w:b/>
          <w:bCs/>
          <w:rtl/>
          <w:lang w:eastAsia="de-DE"/>
        </w:rPr>
        <w:t>כתית</w:t>
      </w:r>
      <w:r w:rsidRPr="004637CC">
        <w:rPr>
          <w:rFonts w:eastAsia="Times New Roman" w:cs="Times New Roman"/>
          <w:rtl/>
          <w:lang w:eastAsia="de-DE"/>
        </w:rPr>
        <w:t xml:space="preserve"> </w:t>
      </w:r>
      <w:r w:rsidRPr="004637CC">
        <w:rPr>
          <w:rFonts w:eastAsia="Times New Roman" w:cs="Times New Roman"/>
          <w:lang w:eastAsia="de-DE"/>
        </w:rPr>
        <w:t xml:space="preserve">(zerstoßen) von </w:t>
      </w:r>
      <w:r w:rsidRPr="004637CC">
        <w:rPr>
          <w:rFonts w:eastAsia="Times New Roman" w:cs="Times New Roman"/>
          <w:b/>
          <w:bCs/>
          <w:rtl/>
          <w:lang w:eastAsia="de-DE"/>
        </w:rPr>
        <w:t>כתת</w:t>
      </w:r>
      <w:r w:rsidRPr="004637CC">
        <w:rPr>
          <w:rFonts w:eastAsia="Times New Roman" w:cs="Times New Roman"/>
          <w:rtl/>
          <w:lang w:eastAsia="de-DE"/>
        </w:rPr>
        <w:t xml:space="preserve"> </w:t>
      </w:r>
      <w:r w:rsidRPr="004637CC">
        <w:rPr>
          <w:rFonts w:eastAsia="Times New Roman" w:cs="Times New Roman"/>
          <w:lang w:eastAsia="de-DE"/>
        </w:rPr>
        <w:t xml:space="preserve">(zerstoßen) zeigt die Herstellungsart durch Stampfen im Gegensatz zu Pressen. </w:t>
      </w:r>
      <w:r w:rsidRPr="004637CC">
        <w:rPr>
          <w:rFonts w:eastAsia="Times New Roman" w:cs="Times New Roman"/>
          <w:b/>
          <w:bCs/>
          <w:rtl/>
          <w:lang w:eastAsia="de-DE"/>
        </w:rPr>
        <w:t>למאור</w:t>
      </w:r>
      <w:r w:rsidRPr="004637CC">
        <w:rPr>
          <w:rFonts w:eastAsia="Times New Roman" w:cs="Times New Roman"/>
          <w:rtl/>
          <w:lang w:eastAsia="de-DE"/>
        </w:rPr>
        <w:t xml:space="preserve"> </w:t>
      </w:r>
      <w:r w:rsidRPr="004637CC">
        <w:rPr>
          <w:rFonts w:eastAsia="Times New Roman" w:cs="Times New Roman"/>
          <w:lang w:eastAsia="de-DE"/>
        </w:rPr>
        <w:t>(für die Beleuchtung) zeigt den Verwendungszweck.</w:t>
      </w:r>
    </w:p>
    <w:p w14:paraId="35BE30DF" w14:textId="110946C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להעלת נר תמיד</w:t>
      </w:r>
      <w:r w:rsidRPr="004637CC">
        <w:rPr>
          <w:rFonts w:eastAsia="Times New Roman" w:cs="Times New Roman"/>
          <w:rtl/>
          <w:lang w:eastAsia="de-DE"/>
        </w:rPr>
        <w:t xml:space="preserve"> </w:t>
      </w:r>
      <w:r w:rsidRPr="004637CC">
        <w:rPr>
          <w:rFonts w:eastAsia="Times New Roman" w:cs="Times New Roman"/>
          <w:lang w:eastAsia="de-DE"/>
        </w:rPr>
        <w:t xml:space="preserve">(um beständig Lampen anzuzünden) - </w:t>
      </w:r>
      <w:r w:rsidRPr="004637CC">
        <w:rPr>
          <w:rFonts w:eastAsia="Times New Roman" w:cs="Times New Roman"/>
          <w:b/>
          <w:bCs/>
          <w:rtl/>
          <w:lang w:eastAsia="de-DE"/>
        </w:rPr>
        <w:t>להעלת</w:t>
      </w:r>
      <w:r w:rsidRPr="004637CC">
        <w:rPr>
          <w:rFonts w:eastAsia="Times New Roman" w:cs="Times New Roman"/>
          <w:rtl/>
          <w:lang w:eastAsia="de-DE"/>
        </w:rPr>
        <w:t xml:space="preserve"> </w:t>
      </w:r>
      <w:r w:rsidRPr="004637CC">
        <w:rPr>
          <w:rFonts w:eastAsia="Times New Roman" w:cs="Times New Roman"/>
          <w:lang w:eastAsia="de-DE"/>
        </w:rPr>
        <w:t>(um anzuzünden) im Hifil-Infinitiv-</w:t>
      </w:r>
      <w:r w:rsidR="00DE39DD">
        <w:rPr>
          <w:rFonts w:eastAsia="Times New Roman" w:cs="Times New Roman"/>
          <w:lang w:eastAsia="de-DE"/>
        </w:rPr>
        <w:t>Constructus</w:t>
      </w:r>
      <w:r w:rsidRPr="004637CC">
        <w:rPr>
          <w:rFonts w:eastAsia="Times New Roman" w:cs="Times New Roman"/>
          <w:lang w:eastAsia="de-DE"/>
        </w:rPr>
        <w:t xml:space="preserve">, das Hifil zeigt kausatives Aufsteigenlassen der Flamme. </w:t>
      </w:r>
      <w:r w:rsidRPr="004637CC">
        <w:rPr>
          <w:rFonts w:eastAsia="Times New Roman" w:cs="Times New Roman"/>
          <w:b/>
          <w:bCs/>
          <w:rtl/>
          <w:lang w:eastAsia="de-DE"/>
        </w:rPr>
        <w:t>נר תמיד</w:t>
      </w:r>
      <w:r w:rsidRPr="004637CC">
        <w:rPr>
          <w:rFonts w:eastAsia="Times New Roman" w:cs="Times New Roman"/>
          <w:rtl/>
          <w:lang w:eastAsia="de-DE"/>
        </w:rPr>
        <w:t xml:space="preserve"> </w:t>
      </w:r>
      <w:r w:rsidRPr="004637CC">
        <w:rPr>
          <w:rFonts w:eastAsia="Times New Roman" w:cs="Times New Roman"/>
          <w:lang w:eastAsia="de-DE"/>
        </w:rPr>
        <w:t>(beständige Lampe) zeigt kontinuierliches Brennen.</w:t>
      </w:r>
    </w:p>
    <w:p w14:paraId="5C65BDC4" w14:textId="3A7A12FA"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צו את־בני ישראל</w:t>
      </w:r>
      <w:r w:rsidRPr="004637CC">
        <w:rPr>
          <w:rFonts w:eastAsia="Times New Roman" w:cs="Times New Roman"/>
          <w:rtl/>
          <w:lang w:eastAsia="de-DE"/>
        </w:rPr>
        <w:t xml:space="preserve"> </w:t>
      </w:r>
      <w:r w:rsidRPr="004637CC">
        <w:rPr>
          <w:rFonts w:eastAsia="Times New Roman" w:cs="Times New Roman"/>
          <w:lang w:eastAsia="de-DE"/>
        </w:rPr>
        <w:t>zeigt Volks</w:t>
      </w:r>
      <w:r w:rsidR="009A271E">
        <w:rPr>
          <w:rFonts w:eastAsia="Times New Roman" w:cs="Times New Roman"/>
          <w:lang w:eastAsia="de-DE"/>
        </w:rPr>
        <w:t>verantwortung</w:t>
      </w:r>
      <w:r w:rsidRPr="004637CC">
        <w:rPr>
          <w:rFonts w:eastAsia="Times New Roman" w:cs="Times New Roman"/>
          <w:lang w:eastAsia="de-DE"/>
        </w:rPr>
        <w:t xml:space="preserve"> für Heiligtums-Versorgung. </w:t>
      </w:r>
      <w:r w:rsidRPr="004637CC">
        <w:rPr>
          <w:rFonts w:eastAsia="Times New Roman" w:cs="Times New Roman"/>
          <w:b/>
          <w:bCs/>
          <w:rtl/>
          <w:lang w:eastAsia="de-DE"/>
        </w:rPr>
        <w:t>שמן זית זך כתית</w:t>
      </w:r>
      <w:r w:rsidRPr="004637CC">
        <w:rPr>
          <w:rFonts w:eastAsia="Times New Roman" w:cs="Times New Roman"/>
          <w:rtl/>
          <w:lang w:eastAsia="de-DE"/>
        </w:rPr>
        <w:t xml:space="preserve"> </w:t>
      </w:r>
      <w:r w:rsidRPr="004637CC">
        <w:rPr>
          <w:rFonts w:eastAsia="Times New Roman" w:cs="Times New Roman"/>
          <w:lang w:eastAsia="de-DE"/>
        </w:rPr>
        <w:t xml:space="preserve">als höchste Ölqualität durch Zerstoßung der ersten Pressung. </w:t>
      </w:r>
      <w:r w:rsidRPr="004637CC">
        <w:rPr>
          <w:rFonts w:eastAsia="Times New Roman" w:cs="Times New Roman"/>
          <w:b/>
          <w:bCs/>
          <w:rtl/>
          <w:lang w:eastAsia="de-DE"/>
        </w:rPr>
        <w:t>נר תמיד</w:t>
      </w:r>
      <w:r w:rsidRPr="004637CC">
        <w:rPr>
          <w:rFonts w:eastAsia="Times New Roman" w:cs="Times New Roman"/>
          <w:rtl/>
          <w:lang w:eastAsia="de-DE"/>
        </w:rPr>
        <w:t xml:space="preserve"> </w:t>
      </w:r>
      <w:r w:rsidRPr="004637CC">
        <w:rPr>
          <w:rFonts w:eastAsia="Times New Roman" w:cs="Times New Roman"/>
          <w:lang w:eastAsia="de-DE"/>
        </w:rPr>
        <w:t>als liturgische Kontinuität.</w:t>
      </w:r>
    </w:p>
    <w:p w14:paraId="462DF17A" w14:textId="0A04E990"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übersetzt </w:t>
      </w:r>
      <w:r w:rsidR="00775F21">
        <w:rPr>
          <w:rtl/>
        </w:rPr>
        <w:t>שמן זית זך כתית</w:t>
      </w:r>
      <w:r w:rsidR="00775F21">
        <w:t xml:space="preserve"> (</w:t>
      </w:r>
      <w:proofErr w:type="spellStart"/>
      <w:r w:rsidR="00775F21">
        <w:t>shemen</w:t>
      </w:r>
      <w:proofErr w:type="spellEnd"/>
      <w:r w:rsidR="00775F21">
        <w:t xml:space="preserve"> </w:t>
      </w:r>
      <w:proofErr w:type="spellStart"/>
      <w:r w:rsidR="00775F21">
        <w:t>zayit</w:t>
      </w:r>
      <w:proofErr w:type="spellEnd"/>
      <w:r w:rsidR="00775F21">
        <w:t xml:space="preserve"> zach </w:t>
      </w:r>
      <w:proofErr w:type="spellStart"/>
      <w:r w:rsidR="00775F21">
        <w:t>kathit</w:t>
      </w:r>
      <w:proofErr w:type="spellEnd"/>
      <w:r w:rsidR="00775F21">
        <w:t xml:space="preserve"> - "reines, zerstoßenes Olivenöl") als </w:t>
      </w:r>
      <w:proofErr w:type="spellStart"/>
      <w:r w:rsidR="00775F21">
        <w:t>ἔλ</w:t>
      </w:r>
      <w:proofErr w:type="spellEnd"/>
      <w:r w:rsidR="00775F21">
        <w:t xml:space="preserve">αιον </w:t>
      </w:r>
      <w:proofErr w:type="spellStart"/>
      <w:r w:rsidR="00775F21">
        <w:t>ἐλάινον</w:t>
      </w:r>
      <w:proofErr w:type="spellEnd"/>
      <w:r w:rsidR="00775F21">
        <w:t xml:space="preserve"> καθα</w:t>
      </w:r>
      <w:proofErr w:type="spellStart"/>
      <w:r w:rsidR="00775F21">
        <w:t>ρὸν</w:t>
      </w:r>
      <w:proofErr w:type="spellEnd"/>
      <w:r w:rsidR="00775F21">
        <w:t xml:space="preserve"> </w:t>
      </w:r>
      <w:proofErr w:type="spellStart"/>
      <w:r w:rsidR="00775F21">
        <w:t>κεκομμένον</w:t>
      </w:r>
      <w:proofErr w:type="spellEnd"/>
      <w:r w:rsidR="00775F21">
        <w:t xml:space="preserve"> (reines Olivenöl, zerstoßen). Das hebräische </w:t>
      </w:r>
      <w:r w:rsidR="00775F21">
        <w:rPr>
          <w:rtl/>
        </w:rPr>
        <w:t>למאור</w:t>
      </w:r>
      <w:r w:rsidR="00775F21">
        <w:t xml:space="preserve"> (</w:t>
      </w:r>
      <w:proofErr w:type="spellStart"/>
      <w:r w:rsidR="00775F21">
        <w:t>lama'or</w:t>
      </w:r>
      <w:proofErr w:type="spellEnd"/>
      <w:r w:rsidR="00775F21">
        <w:t xml:space="preserve"> - "für das Licht") wird als </w:t>
      </w:r>
      <w:proofErr w:type="spellStart"/>
      <w:r w:rsidR="00775F21">
        <w:t>εἰς</w:t>
      </w:r>
      <w:proofErr w:type="spellEnd"/>
      <w:r w:rsidR="00775F21">
        <w:t xml:space="preserve"> </w:t>
      </w:r>
      <w:proofErr w:type="spellStart"/>
      <w:r w:rsidR="00775F21">
        <w:t>φῶς</w:t>
      </w:r>
      <w:proofErr w:type="spellEnd"/>
      <w:r w:rsidR="00775F21">
        <w:t xml:space="preserve"> (zum Licht) wiedergegeben, und </w:t>
      </w:r>
      <w:r w:rsidR="00775F21">
        <w:rPr>
          <w:rtl/>
        </w:rPr>
        <w:t>תמיד</w:t>
      </w:r>
      <w:r w:rsidR="00775F21">
        <w:t xml:space="preserve"> (</w:t>
      </w:r>
      <w:proofErr w:type="spellStart"/>
      <w:r w:rsidR="00775F21">
        <w:t>tamid</w:t>
      </w:r>
      <w:proofErr w:type="spellEnd"/>
      <w:r w:rsidR="00775F21">
        <w:t xml:space="preserve"> - "beständig") als </w:t>
      </w:r>
      <w:proofErr w:type="spellStart"/>
      <w:r w:rsidR="00775F21">
        <w:t>διὰ</w:t>
      </w:r>
      <w:proofErr w:type="spellEnd"/>
      <w:r w:rsidR="00775F21">
        <w:t xml:space="preserve"> πα</w:t>
      </w:r>
      <w:proofErr w:type="spellStart"/>
      <w:r w:rsidR="00775F21">
        <w:t>ντός</w:t>
      </w:r>
      <w:proofErr w:type="spellEnd"/>
      <w:r w:rsidR="00775F21">
        <w:t xml:space="preserve"> (durch alles hindurch/beständig).</w:t>
      </w:r>
    </w:p>
    <w:p w14:paraId="6B95B70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Ölversorgungsbefehl: Volksbefehl + Ölbringung zu Mosche + reines zerstoßenes Olivenöl + Beleuchtungszweck + beständige Lampenanzündung.</w:t>
      </w:r>
    </w:p>
    <w:p w14:paraId="699B5BF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Volksverantwortung für die Versorgung mit reinstem Olivenöl für die beständige Heiligtums-Beleuchtung.</w:t>
      </w:r>
    </w:p>
    <w:p w14:paraId="0824C7AA"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24,3</w:t>
      </w:r>
    </w:p>
    <w:p w14:paraId="060C749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מִחוּץ֩ לְפָרֹ֨כֶת הָעֵדֻ֜ת בְּאֹ֣הֶל מוֹעֵ֗ד יַעֲרֹךְ֩ אֹתוֹ֨ אַהֲרֹ֜ן מֵעֶ֧רֶב עַד־בֹּ֛קֶר לִפְנֵ֥י יְהוָ֖ה תָּמִ֑יד חֻקַּ֥ת עוֹלָ֖ם לְדֹרֹֽתֵיכֶֽם׃</w:t>
      </w:r>
    </w:p>
    <w:p w14:paraId="26E08DC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Außerhalb des Vorhangs des Zeugnisses im Zelt der Begegnung soll Aharon es richten vom Abend bis zum Morgen vor dem Ewigen beständig; eine ewige Satzung bei euren Generationen.</w:t>
      </w:r>
    </w:p>
    <w:p w14:paraId="0FACFB58"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356ED5E">
          <v:rect id="_x0000_i1728" style="width:0;height:1.5pt" o:hralign="center" o:hrstd="t" o:hr="t" fillcolor="#a0a0a0" stroked="f"/>
        </w:pict>
      </w:r>
    </w:p>
    <w:p w14:paraId="7A331AD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Kommentar:</w:t>
      </w:r>
      <w:r w:rsidRPr="004637CC">
        <w:rPr>
          <w:rFonts w:eastAsia="Times New Roman" w:cs="Times New Roman"/>
          <w:lang w:eastAsia="de-DE"/>
        </w:rPr>
        <w:t xml:space="preserve"> </w:t>
      </w:r>
      <w:r w:rsidRPr="004637CC">
        <w:rPr>
          <w:rFonts w:eastAsia="Times New Roman" w:cs="Times New Roman"/>
          <w:b/>
          <w:bCs/>
          <w:rtl/>
          <w:lang w:eastAsia="de-DE"/>
        </w:rPr>
        <w:t>מחוץ לפרכת העדת באהל מועד יערך אתו אהרן מערב עד־בקר לפני יהוה תמיד חקת עולם לדרתיכם</w:t>
      </w:r>
      <w:r w:rsidRPr="004637CC">
        <w:rPr>
          <w:rFonts w:eastAsia="Times New Roman" w:cs="Times New Roman"/>
          <w:rtl/>
          <w:lang w:eastAsia="de-DE"/>
        </w:rPr>
        <w:t xml:space="preserve"> </w:t>
      </w:r>
      <w:r w:rsidRPr="004637CC">
        <w:rPr>
          <w:rFonts w:eastAsia="Times New Roman" w:cs="Times New Roman"/>
          <w:lang w:eastAsia="de-DE"/>
        </w:rPr>
        <w:t xml:space="preserve">zeigt die örtliche Platzierung und priesterliche Verantwortung für die Beleuchtung. </w:t>
      </w:r>
      <w:r w:rsidRPr="004637CC">
        <w:rPr>
          <w:rFonts w:eastAsia="Times New Roman" w:cs="Times New Roman"/>
          <w:b/>
          <w:bCs/>
          <w:rtl/>
          <w:lang w:eastAsia="de-DE"/>
        </w:rPr>
        <w:t>מחוץ לפרכת העדת באהל מועד</w:t>
      </w:r>
      <w:r w:rsidRPr="004637CC">
        <w:rPr>
          <w:rFonts w:eastAsia="Times New Roman" w:cs="Times New Roman"/>
          <w:rtl/>
          <w:lang w:eastAsia="de-DE"/>
        </w:rPr>
        <w:t xml:space="preserve"> </w:t>
      </w:r>
      <w:r w:rsidRPr="004637CC">
        <w:rPr>
          <w:rFonts w:eastAsia="Times New Roman" w:cs="Times New Roman"/>
          <w:lang w:eastAsia="de-DE"/>
        </w:rPr>
        <w:t xml:space="preserve">(außerhalb des Vorhangs des Zeugnisses im Zelt der Begegnung) - </w:t>
      </w:r>
      <w:r w:rsidRPr="004637CC">
        <w:rPr>
          <w:rFonts w:eastAsia="Times New Roman" w:cs="Times New Roman"/>
          <w:b/>
          <w:bCs/>
          <w:rtl/>
          <w:lang w:eastAsia="de-DE"/>
        </w:rPr>
        <w:t>מחוץ לפרכת העדת</w:t>
      </w:r>
      <w:r w:rsidRPr="004637CC">
        <w:rPr>
          <w:rFonts w:eastAsia="Times New Roman" w:cs="Times New Roman"/>
          <w:rtl/>
          <w:lang w:eastAsia="de-DE"/>
        </w:rPr>
        <w:t xml:space="preserve"> </w:t>
      </w:r>
      <w:r w:rsidRPr="004637CC">
        <w:rPr>
          <w:rFonts w:eastAsia="Times New Roman" w:cs="Times New Roman"/>
          <w:lang w:eastAsia="de-DE"/>
        </w:rPr>
        <w:t xml:space="preserve">(außerhalb des Vorhangs des Zeugnisses) zeigt die Position im Heiligen, nicht im Allerheiligsten. </w:t>
      </w:r>
      <w:r w:rsidRPr="004637CC">
        <w:rPr>
          <w:rFonts w:eastAsia="Times New Roman" w:cs="Times New Roman"/>
          <w:b/>
          <w:bCs/>
          <w:rtl/>
          <w:lang w:eastAsia="de-DE"/>
        </w:rPr>
        <w:t>פרכת העדת</w:t>
      </w:r>
      <w:r w:rsidRPr="004637CC">
        <w:rPr>
          <w:rFonts w:eastAsia="Times New Roman" w:cs="Times New Roman"/>
          <w:rtl/>
          <w:lang w:eastAsia="de-DE"/>
        </w:rPr>
        <w:t xml:space="preserve"> </w:t>
      </w:r>
      <w:r w:rsidRPr="004637CC">
        <w:rPr>
          <w:rFonts w:eastAsia="Times New Roman" w:cs="Times New Roman"/>
          <w:lang w:eastAsia="de-DE"/>
        </w:rPr>
        <w:t xml:space="preserve">(Vorhang des Zeugnisses) bezieht sich auf den Vorhang vor der Bundeslade. </w:t>
      </w:r>
      <w:r w:rsidRPr="004637CC">
        <w:rPr>
          <w:rFonts w:eastAsia="Times New Roman" w:cs="Times New Roman"/>
          <w:b/>
          <w:bCs/>
          <w:rtl/>
          <w:lang w:eastAsia="de-DE"/>
        </w:rPr>
        <w:t>באהל מועד</w:t>
      </w:r>
      <w:r w:rsidRPr="004637CC">
        <w:rPr>
          <w:rFonts w:eastAsia="Times New Roman" w:cs="Times New Roman"/>
          <w:rtl/>
          <w:lang w:eastAsia="de-DE"/>
        </w:rPr>
        <w:t xml:space="preserve"> </w:t>
      </w:r>
      <w:r w:rsidRPr="004637CC">
        <w:rPr>
          <w:rFonts w:eastAsia="Times New Roman" w:cs="Times New Roman"/>
          <w:lang w:eastAsia="de-DE"/>
        </w:rPr>
        <w:t>spezifiziert den Ort.</w:t>
      </w:r>
    </w:p>
    <w:p w14:paraId="1599629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יערך אתו אהרן מערב עד־בקר</w:t>
      </w:r>
      <w:r w:rsidRPr="004637CC">
        <w:rPr>
          <w:rFonts w:eastAsia="Times New Roman" w:cs="Times New Roman"/>
          <w:rtl/>
          <w:lang w:eastAsia="de-DE"/>
        </w:rPr>
        <w:t xml:space="preserve"> </w:t>
      </w:r>
      <w:r w:rsidRPr="004637CC">
        <w:rPr>
          <w:rFonts w:eastAsia="Times New Roman" w:cs="Times New Roman"/>
          <w:lang w:eastAsia="de-DE"/>
        </w:rPr>
        <w:t xml:space="preserve">(soll Aharon es richten vom Abend bis zum Morgen) - </w:t>
      </w:r>
      <w:r w:rsidRPr="004637CC">
        <w:rPr>
          <w:rFonts w:eastAsia="Times New Roman" w:cs="Times New Roman"/>
          <w:b/>
          <w:bCs/>
          <w:rtl/>
          <w:lang w:eastAsia="de-DE"/>
        </w:rPr>
        <w:t>יערך</w:t>
      </w:r>
      <w:r w:rsidRPr="004637CC">
        <w:rPr>
          <w:rFonts w:eastAsia="Times New Roman" w:cs="Times New Roman"/>
          <w:rtl/>
          <w:lang w:eastAsia="de-DE"/>
        </w:rPr>
        <w:t xml:space="preserve"> </w:t>
      </w:r>
      <w:r w:rsidRPr="004637CC">
        <w:rPr>
          <w:rFonts w:eastAsia="Times New Roman" w:cs="Times New Roman"/>
          <w:lang w:eastAsia="de-DE"/>
        </w:rPr>
        <w:t xml:space="preserve">(soll richten/ordnen) im Qal-Imperfekt von </w:t>
      </w:r>
      <w:r w:rsidRPr="004637CC">
        <w:rPr>
          <w:rFonts w:eastAsia="Times New Roman" w:cs="Times New Roman"/>
          <w:b/>
          <w:bCs/>
          <w:rtl/>
          <w:lang w:eastAsia="de-DE"/>
        </w:rPr>
        <w:t>ערך</w:t>
      </w:r>
      <w:r w:rsidRPr="004637CC">
        <w:rPr>
          <w:rFonts w:eastAsia="Times New Roman" w:cs="Times New Roman"/>
          <w:rtl/>
          <w:lang w:eastAsia="de-DE"/>
        </w:rPr>
        <w:t xml:space="preserve"> </w:t>
      </w:r>
      <w:r w:rsidRPr="004637CC">
        <w:rPr>
          <w:rFonts w:eastAsia="Times New Roman" w:cs="Times New Roman"/>
          <w:lang w:eastAsia="de-DE"/>
        </w:rPr>
        <w:t xml:space="preserve">zeigt priesterliche Wartung. </w:t>
      </w:r>
      <w:r w:rsidRPr="004637CC">
        <w:rPr>
          <w:rFonts w:eastAsia="Times New Roman" w:cs="Times New Roman"/>
          <w:b/>
          <w:bCs/>
          <w:rtl/>
          <w:lang w:eastAsia="de-DE"/>
        </w:rPr>
        <w:t>אהרן</w:t>
      </w:r>
      <w:r w:rsidRPr="004637CC">
        <w:rPr>
          <w:rFonts w:eastAsia="Times New Roman" w:cs="Times New Roman"/>
          <w:rtl/>
          <w:lang w:eastAsia="de-DE"/>
        </w:rPr>
        <w:t xml:space="preserve"> </w:t>
      </w:r>
      <w:r w:rsidRPr="004637CC">
        <w:rPr>
          <w:rFonts w:eastAsia="Times New Roman" w:cs="Times New Roman"/>
          <w:lang w:eastAsia="de-DE"/>
        </w:rPr>
        <w:t xml:space="preserve">zeigt hohepriesterliche Verantwortung. </w:t>
      </w:r>
      <w:r w:rsidRPr="004637CC">
        <w:rPr>
          <w:rFonts w:eastAsia="Times New Roman" w:cs="Times New Roman"/>
          <w:b/>
          <w:bCs/>
          <w:rtl/>
          <w:lang w:eastAsia="de-DE"/>
        </w:rPr>
        <w:t>מערב עד־בקר</w:t>
      </w:r>
      <w:r w:rsidRPr="004637CC">
        <w:rPr>
          <w:rFonts w:eastAsia="Times New Roman" w:cs="Times New Roman"/>
          <w:rtl/>
          <w:lang w:eastAsia="de-DE"/>
        </w:rPr>
        <w:t xml:space="preserve"> </w:t>
      </w:r>
      <w:r w:rsidRPr="004637CC">
        <w:rPr>
          <w:rFonts w:eastAsia="Times New Roman" w:cs="Times New Roman"/>
          <w:lang w:eastAsia="de-DE"/>
        </w:rPr>
        <w:t>(vom Abend bis zum Morgen) zeigt die nächtliche Brenndauer.</w:t>
      </w:r>
    </w:p>
    <w:p w14:paraId="3868864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לפני יהוה תמיד</w:t>
      </w:r>
      <w:r w:rsidRPr="004637CC">
        <w:rPr>
          <w:rFonts w:eastAsia="Times New Roman" w:cs="Times New Roman"/>
          <w:rtl/>
          <w:lang w:eastAsia="de-DE"/>
        </w:rPr>
        <w:t xml:space="preserve"> </w:t>
      </w:r>
      <w:r w:rsidRPr="004637CC">
        <w:rPr>
          <w:rFonts w:eastAsia="Times New Roman" w:cs="Times New Roman"/>
          <w:lang w:eastAsia="de-DE"/>
        </w:rPr>
        <w:t xml:space="preserve">(vor dem Ewigen beständig) zeigt kontinuierliche göttliche Präsenz. </w:t>
      </w:r>
      <w:r w:rsidRPr="004637CC">
        <w:rPr>
          <w:rFonts w:eastAsia="Times New Roman" w:cs="Times New Roman"/>
          <w:b/>
          <w:bCs/>
          <w:rtl/>
          <w:lang w:eastAsia="de-DE"/>
        </w:rPr>
        <w:t>חקת עולם לדרתיכם</w:t>
      </w:r>
      <w:r w:rsidRPr="004637CC">
        <w:rPr>
          <w:rFonts w:eastAsia="Times New Roman" w:cs="Times New Roman"/>
          <w:rtl/>
          <w:lang w:eastAsia="de-DE"/>
        </w:rPr>
        <w:t xml:space="preserve"> </w:t>
      </w:r>
      <w:r w:rsidRPr="004637CC">
        <w:rPr>
          <w:rFonts w:eastAsia="Times New Roman" w:cs="Times New Roman"/>
          <w:lang w:eastAsia="de-DE"/>
        </w:rPr>
        <w:t>(eine ewige Satzung bei euren Generationen) entspricht den anderen ewigen Satzungen und zeigt dauerhafte Verpflichtung.</w:t>
      </w:r>
    </w:p>
    <w:p w14:paraId="1CF47E4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מחוץ לפרכת העדת</w:t>
      </w:r>
      <w:r w:rsidRPr="004637CC">
        <w:rPr>
          <w:rFonts w:eastAsia="Times New Roman" w:cs="Times New Roman"/>
          <w:rtl/>
          <w:lang w:eastAsia="de-DE"/>
        </w:rPr>
        <w:t xml:space="preserve"> </w:t>
      </w:r>
      <w:r w:rsidRPr="004637CC">
        <w:rPr>
          <w:rFonts w:eastAsia="Times New Roman" w:cs="Times New Roman"/>
          <w:lang w:eastAsia="de-DE"/>
        </w:rPr>
        <w:t xml:space="preserve">zeigt Position im Heiligen vor dem Allerheiligsten. </w:t>
      </w:r>
      <w:r w:rsidRPr="004637CC">
        <w:rPr>
          <w:rFonts w:eastAsia="Times New Roman" w:cs="Times New Roman"/>
          <w:b/>
          <w:bCs/>
          <w:rtl/>
          <w:lang w:eastAsia="de-DE"/>
        </w:rPr>
        <w:t>מערב עד־בקר</w:t>
      </w:r>
      <w:r w:rsidRPr="004637CC">
        <w:rPr>
          <w:rFonts w:eastAsia="Times New Roman" w:cs="Times New Roman"/>
          <w:rtl/>
          <w:lang w:eastAsia="de-DE"/>
        </w:rPr>
        <w:t xml:space="preserve"> </w:t>
      </w:r>
      <w:r w:rsidRPr="004637CC">
        <w:rPr>
          <w:rFonts w:eastAsia="Times New Roman" w:cs="Times New Roman"/>
          <w:lang w:eastAsia="de-DE"/>
        </w:rPr>
        <w:t xml:space="preserve">zeigt nächtliche Beleuchtung. </w:t>
      </w:r>
      <w:r w:rsidRPr="004637CC">
        <w:rPr>
          <w:rFonts w:eastAsia="Times New Roman" w:cs="Times New Roman"/>
          <w:b/>
          <w:bCs/>
          <w:rtl/>
          <w:lang w:eastAsia="de-DE"/>
        </w:rPr>
        <w:t>תמיד</w:t>
      </w:r>
      <w:r w:rsidRPr="004637CC">
        <w:rPr>
          <w:rFonts w:eastAsia="Times New Roman" w:cs="Times New Roman"/>
          <w:rtl/>
          <w:lang w:eastAsia="de-DE"/>
        </w:rPr>
        <w:t xml:space="preserve"> </w:t>
      </w:r>
      <w:r w:rsidRPr="004637CC">
        <w:rPr>
          <w:rFonts w:eastAsia="Times New Roman" w:cs="Times New Roman"/>
          <w:lang w:eastAsia="de-DE"/>
        </w:rPr>
        <w:t xml:space="preserve">betont Kontinuität. </w:t>
      </w:r>
      <w:r w:rsidRPr="004637CC">
        <w:rPr>
          <w:rFonts w:eastAsia="Times New Roman" w:cs="Times New Roman"/>
          <w:b/>
          <w:bCs/>
          <w:rtl/>
          <w:lang w:eastAsia="de-DE"/>
        </w:rPr>
        <w:t>חקת עולם</w:t>
      </w:r>
      <w:r w:rsidRPr="004637CC">
        <w:rPr>
          <w:rFonts w:eastAsia="Times New Roman" w:cs="Times New Roman"/>
          <w:rtl/>
          <w:lang w:eastAsia="de-DE"/>
        </w:rPr>
        <w:t xml:space="preserve"> </w:t>
      </w:r>
      <w:r w:rsidRPr="004637CC">
        <w:rPr>
          <w:rFonts w:eastAsia="Times New Roman" w:cs="Times New Roman"/>
          <w:lang w:eastAsia="de-DE"/>
        </w:rPr>
        <w:t>zeigt dauerhafte Gültigkeit.</w:t>
      </w:r>
    </w:p>
    <w:p w14:paraId="6A9D48E0" w14:textId="103F965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fügt zur Klarstellung hinzu: καὶ κα</w:t>
      </w:r>
      <w:proofErr w:type="spellStart"/>
      <w:r w:rsidR="00775F21">
        <w:t>ύσουσιν</w:t>
      </w:r>
      <w:proofErr w:type="spellEnd"/>
      <w:r w:rsidR="00775F21">
        <w:t xml:space="preserve"> α</w:t>
      </w:r>
      <w:proofErr w:type="spellStart"/>
      <w:r w:rsidR="00775F21">
        <w:t>ὐτὸν</w:t>
      </w:r>
      <w:proofErr w:type="spellEnd"/>
      <w:r w:rsidR="00775F21">
        <w:t xml:space="preserve"> Ἀα</w:t>
      </w:r>
      <w:proofErr w:type="spellStart"/>
      <w:r w:rsidR="00775F21">
        <w:t>ρὼν</w:t>
      </w:r>
      <w:proofErr w:type="spellEnd"/>
      <w:r w:rsidR="00775F21">
        <w:t xml:space="preserve"> καὶ </w:t>
      </w:r>
      <w:proofErr w:type="spellStart"/>
      <w:r w:rsidR="00775F21">
        <w:t>οἱ</w:t>
      </w:r>
      <w:proofErr w:type="spellEnd"/>
      <w:r w:rsidR="00775F21">
        <w:t xml:space="preserve"> </w:t>
      </w:r>
      <w:proofErr w:type="spellStart"/>
      <w:r w:rsidR="00775F21">
        <w:t>υἱοὶ</w:t>
      </w:r>
      <w:proofErr w:type="spellEnd"/>
      <w:r w:rsidR="00775F21">
        <w:t xml:space="preserve"> α</w:t>
      </w:r>
      <w:proofErr w:type="spellStart"/>
      <w:r w:rsidR="00775F21">
        <w:t>ὐτοῦ</w:t>
      </w:r>
      <w:proofErr w:type="spellEnd"/>
      <w:r w:rsidR="00775F21">
        <w:t xml:space="preserve"> (und Aaron und seine Söhne sollen es anzünden), was im hebräischen Text nur durch </w:t>
      </w:r>
      <w:r w:rsidR="00775F21">
        <w:rPr>
          <w:rtl/>
        </w:rPr>
        <w:t>יערך אתו אהרן</w:t>
      </w:r>
      <w:r w:rsidR="00775F21">
        <w:t xml:space="preserve"> (</w:t>
      </w:r>
      <w:proofErr w:type="spellStart"/>
      <w:r w:rsidR="00775F21">
        <w:t>ya'aroch</w:t>
      </w:r>
      <w:proofErr w:type="spellEnd"/>
      <w:r w:rsidR="00775F21">
        <w:t xml:space="preserve"> </w:t>
      </w:r>
      <w:proofErr w:type="spellStart"/>
      <w:r w:rsidR="00775F21">
        <w:t>oto</w:t>
      </w:r>
      <w:proofErr w:type="spellEnd"/>
      <w:r w:rsidR="00775F21">
        <w:t xml:space="preserve"> </w:t>
      </w:r>
      <w:proofErr w:type="spellStart"/>
      <w:r w:rsidR="00775F21">
        <w:t>aharon</w:t>
      </w:r>
      <w:proofErr w:type="spellEnd"/>
      <w:r w:rsidR="00775F21">
        <w:t xml:space="preserve"> - "Aaron soll es zubereiten") ausgedrückt wird.</w:t>
      </w:r>
    </w:p>
    <w:p w14:paraId="2F01A67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Beleuchtungs-Ordnung: Position außerhalb des Zeugnisvorhangs + Aarons Wartungsverantwortung + nächtliche Brenndauer + beständige Präsenz vor JHWH + ewige Satzung.</w:t>
      </w:r>
    </w:p>
    <w:p w14:paraId="6D5C356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örtliche Platzierung der Beleuchtung im Heiligen und Aarons nächtliche Wartungsverantwortung als ewige Satzung.</w:t>
      </w:r>
    </w:p>
    <w:p w14:paraId="057A0BF6"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24,4</w:t>
      </w:r>
    </w:p>
    <w:p w14:paraId="362997F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עַ֚ל הַמְּנֹרָ֣ה הַטְּהֹרָ֔ה יַעֲרֹ֖ךְ אֶת־הַנֵּר֑וֹת לִפְנֵ֥י יְהוָ֖ה תָּמִֽיד׃</w:t>
      </w:r>
    </w:p>
    <w:p w14:paraId="74B6952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Auf dem reinen Leuchter soll er die Lampen vor dem Ewigen beständig richten.</w:t>
      </w:r>
    </w:p>
    <w:p w14:paraId="1B85A1A9"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18DD1F9E">
          <v:rect id="_x0000_i1729" style="width:0;height:1.5pt" o:hralign="center" o:hrstd="t" o:hr="t" fillcolor="#a0a0a0" stroked="f"/>
        </w:pict>
      </w:r>
    </w:p>
    <w:p w14:paraId="7097A0C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על המנרה הטהרה יערך את־הנרות לפני יהוה תמיד</w:t>
      </w:r>
      <w:r w:rsidRPr="004637CC">
        <w:rPr>
          <w:rFonts w:eastAsia="Times New Roman" w:cs="Times New Roman"/>
          <w:rtl/>
          <w:lang w:eastAsia="de-DE"/>
        </w:rPr>
        <w:t xml:space="preserve"> </w:t>
      </w:r>
      <w:r w:rsidRPr="004637CC">
        <w:rPr>
          <w:rFonts w:eastAsia="Times New Roman" w:cs="Times New Roman"/>
          <w:lang w:eastAsia="de-DE"/>
        </w:rPr>
        <w:t xml:space="preserve">spezifiziert den goldenen Leuchter als Träger der Beleuchtung. </w:t>
      </w:r>
      <w:r w:rsidRPr="004637CC">
        <w:rPr>
          <w:rFonts w:eastAsia="Times New Roman" w:cs="Times New Roman"/>
          <w:b/>
          <w:bCs/>
          <w:rtl/>
          <w:lang w:eastAsia="de-DE"/>
        </w:rPr>
        <w:t>על המנרה הטהרה</w:t>
      </w:r>
      <w:r w:rsidRPr="004637CC">
        <w:rPr>
          <w:rFonts w:eastAsia="Times New Roman" w:cs="Times New Roman"/>
          <w:rtl/>
          <w:lang w:eastAsia="de-DE"/>
        </w:rPr>
        <w:t xml:space="preserve"> </w:t>
      </w:r>
      <w:r w:rsidRPr="004637CC">
        <w:rPr>
          <w:rFonts w:eastAsia="Times New Roman" w:cs="Times New Roman"/>
          <w:lang w:eastAsia="de-DE"/>
        </w:rPr>
        <w:t xml:space="preserve">(auf dem reinen Leuchter) - </w:t>
      </w:r>
      <w:r w:rsidRPr="004637CC">
        <w:rPr>
          <w:rFonts w:eastAsia="Times New Roman" w:cs="Times New Roman"/>
          <w:b/>
          <w:bCs/>
          <w:rtl/>
          <w:lang w:eastAsia="de-DE"/>
        </w:rPr>
        <w:t>המנרה</w:t>
      </w:r>
      <w:r w:rsidRPr="004637CC">
        <w:rPr>
          <w:rFonts w:eastAsia="Times New Roman" w:cs="Times New Roman"/>
          <w:rtl/>
          <w:lang w:eastAsia="de-DE"/>
        </w:rPr>
        <w:t xml:space="preserve"> </w:t>
      </w:r>
      <w:r w:rsidRPr="004637CC">
        <w:rPr>
          <w:rFonts w:eastAsia="Times New Roman" w:cs="Times New Roman"/>
          <w:lang w:eastAsia="de-DE"/>
        </w:rPr>
        <w:t xml:space="preserve">(der Leuchter) zeigt den siebenarmigen goldenen Leuchter aus Ex 25,31-40. </w:t>
      </w:r>
      <w:r w:rsidRPr="004637CC">
        <w:rPr>
          <w:rFonts w:eastAsia="Times New Roman" w:cs="Times New Roman"/>
          <w:b/>
          <w:bCs/>
          <w:rtl/>
          <w:lang w:eastAsia="de-DE"/>
        </w:rPr>
        <w:t>הטהרה</w:t>
      </w:r>
      <w:r w:rsidRPr="004637CC">
        <w:rPr>
          <w:rFonts w:eastAsia="Times New Roman" w:cs="Times New Roman"/>
          <w:rtl/>
          <w:lang w:eastAsia="de-DE"/>
        </w:rPr>
        <w:t xml:space="preserve"> </w:t>
      </w:r>
      <w:r w:rsidRPr="004637CC">
        <w:rPr>
          <w:rFonts w:eastAsia="Times New Roman" w:cs="Times New Roman"/>
          <w:lang w:eastAsia="de-DE"/>
        </w:rPr>
        <w:t>(die reine) zeigt das reine Gold als Material.</w:t>
      </w:r>
    </w:p>
    <w:p w14:paraId="040061C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יערך את־הנרות</w:t>
      </w:r>
      <w:r w:rsidRPr="004637CC">
        <w:rPr>
          <w:rFonts w:eastAsia="Times New Roman" w:cs="Times New Roman"/>
          <w:rtl/>
          <w:lang w:eastAsia="de-DE"/>
        </w:rPr>
        <w:t xml:space="preserve"> </w:t>
      </w:r>
      <w:r w:rsidRPr="004637CC">
        <w:rPr>
          <w:rFonts w:eastAsia="Times New Roman" w:cs="Times New Roman"/>
          <w:lang w:eastAsia="de-DE"/>
        </w:rPr>
        <w:t xml:space="preserve">(soll er die Lampen richten) - </w:t>
      </w:r>
      <w:r w:rsidRPr="004637CC">
        <w:rPr>
          <w:rFonts w:eastAsia="Times New Roman" w:cs="Times New Roman"/>
          <w:b/>
          <w:bCs/>
          <w:rtl/>
          <w:lang w:eastAsia="de-DE"/>
        </w:rPr>
        <w:t>יערך</w:t>
      </w:r>
      <w:r w:rsidRPr="004637CC">
        <w:rPr>
          <w:rFonts w:eastAsia="Times New Roman" w:cs="Times New Roman"/>
          <w:rtl/>
          <w:lang w:eastAsia="de-DE"/>
        </w:rPr>
        <w:t xml:space="preserve"> </w:t>
      </w:r>
      <w:r w:rsidRPr="004637CC">
        <w:rPr>
          <w:rFonts w:eastAsia="Times New Roman" w:cs="Times New Roman"/>
          <w:lang w:eastAsia="de-DE"/>
        </w:rPr>
        <w:t xml:space="preserve">entspricht V. 3. </w:t>
      </w:r>
      <w:r w:rsidRPr="004637CC">
        <w:rPr>
          <w:rFonts w:eastAsia="Times New Roman" w:cs="Times New Roman"/>
          <w:b/>
          <w:bCs/>
          <w:rtl/>
          <w:lang w:eastAsia="de-DE"/>
        </w:rPr>
        <w:t>את־הנרות</w:t>
      </w:r>
      <w:r w:rsidRPr="004637CC">
        <w:rPr>
          <w:rFonts w:eastAsia="Times New Roman" w:cs="Times New Roman"/>
          <w:rtl/>
          <w:lang w:eastAsia="de-DE"/>
        </w:rPr>
        <w:t xml:space="preserve"> </w:t>
      </w:r>
      <w:r w:rsidRPr="004637CC">
        <w:rPr>
          <w:rFonts w:eastAsia="Times New Roman" w:cs="Times New Roman"/>
          <w:lang w:eastAsia="de-DE"/>
        </w:rPr>
        <w:t>(die Lampen) im Plural zeigt die sieben Lampen des Leuchters.</w:t>
      </w:r>
    </w:p>
    <w:p w14:paraId="1DB363C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לפני יהוה תמיד</w:t>
      </w:r>
      <w:r w:rsidRPr="004637CC">
        <w:rPr>
          <w:rFonts w:eastAsia="Times New Roman" w:cs="Times New Roman"/>
          <w:rtl/>
          <w:lang w:eastAsia="de-DE"/>
        </w:rPr>
        <w:t xml:space="preserve"> </w:t>
      </w:r>
      <w:r w:rsidRPr="004637CC">
        <w:rPr>
          <w:rFonts w:eastAsia="Times New Roman" w:cs="Times New Roman"/>
          <w:lang w:eastAsia="de-DE"/>
        </w:rPr>
        <w:t>(vor dem Ewigen beständig) entspricht V. 3 und betont kontinuierliche Präsenz.</w:t>
      </w:r>
    </w:p>
    <w:p w14:paraId="0606F53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המנרה הטהרה</w:t>
      </w:r>
      <w:r w:rsidRPr="004637CC">
        <w:rPr>
          <w:rFonts w:eastAsia="Times New Roman" w:cs="Times New Roman"/>
          <w:rtl/>
          <w:lang w:eastAsia="de-DE"/>
        </w:rPr>
        <w:t xml:space="preserve"> </w:t>
      </w:r>
      <w:r w:rsidRPr="004637CC">
        <w:rPr>
          <w:rFonts w:eastAsia="Times New Roman" w:cs="Times New Roman"/>
          <w:lang w:eastAsia="de-DE"/>
        </w:rPr>
        <w:t xml:space="preserve">als spezifischer goldener Leuchter. </w:t>
      </w:r>
      <w:r w:rsidRPr="004637CC">
        <w:rPr>
          <w:rFonts w:eastAsia="Times New Roman" w:cs="Times New Roman"/>
          <w:b/>
          <w:bCs/>
          <w:rtl/>
          <w:lang w:eastAsia="de-DE"/>
        </w:rPr>
        <w:t>נרות</w:t>
      </w:r>
      <w:r w:rsidRPr="004637CC">
        <w:rPr>
          <w:rFonts w:eastAsia="Times New Roman" w:cs="Times New Roman"/>
          <w:rtl/>
          <w:lang w:eastAsia="de-DE"/>
        </w:rPr>
        <w:t xml:space="preserve"> </w:t>
      </w:r>
      <w:r w:rsidRPr="004637CC">
        <w:rPr>
          <w:rFonts w:eastAsia="Times New Roman" w:cs="Times New Roman"/>
          <w:lang w:eastAsia="de-DE"/>
        </w:rPr>
        <w:t xml:space="preserve">als Mehrzahl der sieben Lampen. </w:t>
      </w:r>
      <w:r w:rsidRPr="004637CC">
        <w:rPr>
          <w:rFonts w:eastAsia="Times New Roman" w:cs="Times New Roman"/>
          <w:b/>
          <w:bCs/>
          <w:rtl/>
          <w:lang w:eastAsia="de-DE"/>
        </w:rPr>
        <w:t>תמיד</w:t>
      </w:r>
      <w:r w:rsidRPr="004637CC">
        <w:rPr>
          <w:rFonts w:eastAsia="Times New Roman" w:cs="Times New Roman"/>
          <w:rtl/>
          <w:lang w:eastAsia="de-DE"/>
        </w:rPr>
        <w:t xml:space="preserve"> </w:t>
      </w:r>
      <w:r w:rsidRPr="004637CC">
        <w:rPr>
          <w:rFonts w:eastAsia="Times New Roman" w:cs="Times New Roman"/>
          <w:lang w:eastAsia="de-DE"/>
        </w:rPr>
        <w:t>als Kontinuitätsbetonung.</w:t>
      </w:r>
    </w:p>
    <w:p w14:paraId="53FA6D3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המנרה הטהרה</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λυχνί</w:t>
      </w:r>
      <w:proofErr w:type="spellEnd"/>
      <w:r w:rsidRPr="004637CC">
        <w:rPr>
          <w:rFonts w:eastAsia="Times New Roman" w:cs="Times New Roman"/>
          <w:lang w:eastAsia="de-DE"/>
        </w:rPr>
        <w:t xml:space="preserve">ας </w:t>
      </w:r>
      <w:proofErr w:type="spellStart"/>
      <w:r w:rsidRPr="004637CC">
        <w:rPr>
          <w:rFonts w:eastAsia="Times New Roman" w:cs="Times New Roman"/>
          <w:lang w:eastAsia="de-DE"/>
        </w:rPr>
        <w:t>τῆς</w:t>
      </w:r>
      <w:proofErr w:type="spellEnd"/>
      <w:r w:rsidRPr="004637CC">
        <w:rPr>
          <w:rFonts w:eastAsia="Times New Roman" w:cs="Times New Roman"/>
          <w:lang w:eastAsia="de-DE"/>
        </w:rPr>
        <w:t xml:space="preserve"> καθα</w:t>
      </w:r>
      <w:proofErr w:type="spellStart"/>
      <w:r w:rsidRPr="004637CC">
        <w:rPr>
          <w:rFonts w:eastAsia="Times New Roman" w:cs="Times New Roman"/>
          <w:lang w:eastAsia="de-DE"/>
        </w:rPr>
        <w:t>ρᾶς</w:t>
      </w:r>
      <w:proofErr w:type="spellEnd"/>
      <w:r w:rsidRPr="004637CC">
        <w:rPr>
          <w:rFonts w:eastAsia="Times New Roman" w:cs="Times New Roman"/>
          <w:lang w:eastAsia="de-DE"/>
        </w:rPr>
        <w:t xml:space="preserve"> (der reinen Lampe), </w:t>
      </w:r>
      <w:r w:rsidRPr="004637CC">
        <w:rPr>
          <w:rFonts w:eastAsia="Times New Roman" w:cs="Times New Roman"/>
          <w:b/>
          <w:bCs/>
          <w:rtl/>
          <w:lang w:eastAsia="de-DE"/>
        </w:rPr>
        <w:t>יערך את־הנרות</w:t>
      </w:r>
      <w:r w:rsidRPr="004637CC">
        <w:rPr>
          <w:rFonts w:eastAsia="Times New Roman" w:cs="Times New Roman"/>
          <w:rtl/>
          <w:lang w:eastAsia="de-DE"/>
        </w:rPr>
        <w:t xml:space="preserve"> </w:t>
      </w:r>
      <w:r w:rsidRPr="004637CC">
        <w:rPr>
          <w:rFonts w:eastAsia="Times New Roman" w:cs="Times New Roman"/>
          <w:lang w:eastAsia="de-DE"/>
        </w:rPr>
        <w:t>mit κα</w:t>
      </w:r>
      <w:proofErr w:type="spellStart"/>
      <w:r w:rsidRPr="004637CC">
        <w:rPr>
          <w:rFonts w:eastAsia="Times New Roman" w:cs="Times New Roman"/>
          <w:lang w:eastAsia="de-DE"/>
        </w:rPr>
        <w:t>ύσει</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τοὺς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λύχνους</w:t>
      </w:r>
      <w:proofErr w:type="spellEnd"/>
      <w:r w:rsidRPr="004637CC">
        <w:rPr>
          <w:rFonts w:eastAsia="Times New Roman" w:cs="Times New Roman"/>
          <w:lang w:eastAsia="de-DE"/>
        </w:rPr>
        <w:t xml:space="preserve"> (wird die Lampen brennen) und </w:t>
      </w:r>
      <w:r w:rsidRPr="004637CC">
        <w:rPr>
          <w:rFonts w:eastAsia="Times New Roman" w:cs="Times New Roman"/>
          <w:b/>
          <w:bCs/>
          <w:rtl/>
          <w:lang w:eastAsia="de-DE"/>
        </w:rPr>
        <w:t>תמיד</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διὰ</w:t>
      </w:r>
      <w:proofErr w:type="spellEnd"/>
      <w:r w:rsidRPr="004637CC">
        <w:rPr>
          <w:rFonts w:eastAsia="Times New Roman" w:cs="Times New Roman"/>
          <w:lang w:eastAsia="de-DE"/>
        </w:rPr>
        <w:t xml:space="preserve"> πα</w:t>
      </w:r>
      <w:proofErr w:type="spellStart"/>
      <w:r w:rsidRPr="004637CC">
        <w:rPr>
          <w:rFonts w:eastAsia="Times New Roman" w:cs="Times New Roman"/>
          <w:lang w:eastAsia="de-DE"/>
        </w:rPr>
        <w:t>ντός</w:t>
      </w:r>
      <w:proofErr w:type="spellEnd"/>
      <w:r w:rsidRPr="004637CC">
        <w:rPr>
          <w:rFonts w:eastAsia="Times New Roman" w:cs="Times New Roman"/>
          <w:lang w:eastAsia="de-DE"/>
        </w:rPr>
        <w:t xml:space="preserve"> (beständig).</w:t>
      </w:r>
    </w:p>
    <w:p w14:paraId="493BB05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Leuchter-Spezifikation: reiner goldener Leuchter + Lampen-Wartung + beständige Präsenz vor JHWH.</w:t>
      </w:r>
    </w:p>
    <w:p w14:paraId="11E8D4A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spezifiziert den goldenen Leuchter mit seinen sieben Lampen als Ort der beständigen Beleuchtung vor JHWH.</w:t>
      </w:r>
    </w:p>
    <w:p w14:paraId="2C328C05"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24,5</w:t>
      </w:r>
    </w:p>
    <w:p w14:paraId="2A3259A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וְלָקַחְתָּ֣ סֹ֔לֶת וְאָפִיתָ֣ אֹתָ֔הּ שְׁתֵּ֥ים עֶשְׂרֵ֖ה חַלּ֑וֹת שְׁנֵי֙ עֶשְׂרֹנִ֔ים יִהְיֶ֖ה הַֽחַלָּ֥ה הָאֶחָֽת׃</w:t>
      </w:r>
    </w:p>
    <w:p w14:paraId="68A5701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du sollst Feinmehl nehmen und daraus zwölf Kuchen backen; zwei Zehntel soll jeder Kuchen enthalten.</w:t>
      </w:r>
    </w:p>
    <w:p w14:paraId="2DC942AC"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612BC86">
          <v:rect id="_x0000_i1730" style="width:0;height:1.5pt" o:hralign="center" o:hrstd="t" o:hr="t" fillcolor="#a0a0a0" stroked="f"/>
        </w:pict>
      </w:r>
    </w:p>
    <w:p w14:paraId="1D0F9C0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ולקחת סלת ואפית אתה שתים עשרה חלות שני עשרנים יהיה החלה האחת</w:t>
      </w:r>
      <w:r w:rsidRPr="004637CC">
        <w:rPr>
          <w:rFonts w:eastAsia="Times New Roman" w:cs="Times New Roman"/>
          <w:rtl/>
          <w:lang w:eastAsia="de-DE"/>
        </w:rPr>
        <w:t xml:space="preserve"> </w:t>
      </w:r>
      <w:r w:rsidRPr="004637CC">
        <w:rPr>
          <w:rFonts w:eastAsia="Times New Roman" w:cs="Times New Roman"/>
          <w:lang w:eastAsia="de-DE"/>
        </w:rPr>
        <w:t xml:space="preserve">führt das Schaubrot ein. </w:t>
      </w:r>
      <w:r w:rsidRPr="004637CC">
        <w:rPr>
          <w:rFonts w:eastAsia="Times New Roman" w:cs="Times New Roman"/>
          <w:b/>
          <w:bCs/>
          <w:rtl/>
          <w:lang w:eastAsia="de-DE"/>
        </w:rPr>
        <w:t>ולקחת סלת ואפית אתה</w:t>
      </w:r>
      <w:r w:rsidRPr="004637CC">
        <w:rPr>
          <w:rFonts w:eastAsia="Times New Roman" w:cs="Times New Roman"/>
          <w:rtl/>
          <w:lang w:eastAsia="de-DE"/>
        </w:rPr>
        <w:t xml:space="preserve"> </w:t>
      </w:r>
      <w:r w:rsidRPr="004637CC">
        <w:rPr>
          <w:rFonts w:eastAsia="Times New Roman" w:cs="Times New Roman"/>
          <w:lang w:eastAsia="de-DE"/>
        </w:rPr>
        <w:t xml:space="preserve">(und du sollst Feinmehl nehmen und es backen) - </w:t>
      </w:r>
      <w:r w:rsidRPr="004637CC">
        <w:rPr>
          <w:rFonts w:eastAsia="Times New Roman" w:cs="Times New Roman"/>
          <w:b/>
          <w:bCs/>
          <w:rtl/>
          <w:lang w:eastAsia="de-DE"/>
        </w:rPr>
        <w:t>ולקחת</w:t>
      </w:r>
      <w:r w:rsidRPr="004637CC">
        <w:rPr>
          <w:rFonts w:eastAsia="Times New Roman" w:cs="Times New Roman"/>
          <w:rtl/>
          <w:lang w:eastAsia="de-DE"/>
        </w:rPr>
        <w:t xml:space="preserve"> </w:t>
      </w:r>
      <w:r w:rsidRPr="004637CC">
        <w:rPr>
          <w:rFonts w:eastAsia="Times New Roman" w:cs="Times New Roman"/>
          <w:lang w:eastAsia="de-DE"/>
        </w:rPr>
        <w:t xml:space="preserve">(und du sollst nehmen) im Qal-Perfekt mit Waw-Konsekutiv. </w:t>
      </w:r>
      <w:r w:rsidRPr="004637CC">
        <w:rPr>
          <w:rFonts w:eastAsia="Times New Roman" w:cs="Times New Roman"/>
          <w:b/>
          <w:bCs/>
          <w:rtl/>
          <w:lang w:eastAsia="de-DE"/>
        </w:rPr>
        <w:t>סלת</w:t>
      </w:r>
      <w:r w:rsidRPr="004637CC">
        <w:rPr>
          <w:rFonts w:eastAsia="Times New Roman" w:cs="Times New Roman"/>
          <w:rtl/>
          <w:lang w:eastAsia="de-DE"/>
        </w:rPr>
        <w:t xml:space="preserve"> </w:t>
      </w:r>
      <w:r w:rsidRPr="004637CC">
        <w:rPr>
          <w:rFonts w:eastAsia="Times New Roman" w:cs="Times New Roman"/>
          <w:lang w:eastAsia="de-DE"/>
        </w:rPr>
        <w:t xml:space="preserve">(Feinmehl) als hochwertigste Mehlqualität. </w:t>
      </w:r>
      <w:r w:rsidRPr="004637CC">
        <w:rPr>
          <w:rFonts w:eastAsia="Times New Roman" w:cs="Times New Roman"/>
          <w:b/>
          <w:bCs/>
          <w:rtl/>
          <w:lang w:eastAsia="de-DE"/>
        </w:rPr>
        <w:t>ואפית אתה</w:t>
      </w:r>
      <w:r w:rsidRPr="004637CC">
        <w:rPr>
          <w:rFonts w:eastAsia="Times New Roman" w:cs="Times New Roman"/>
          <w:rtl/>
          <w:lang w:eastAsia="de-DE"/>
        </w:rPr>
        <w:t xml:space="preserve"> </w:t>
      </w:r>
      <w:r w:rsidRPr="004637CC">
        <w:rPr>
          <w:rFonts w:eastAsia="Times New Roman" w:cs="Times New Roman"/>
          <w:lang w:eastAsia="de-DE"/>
        </w:rPr>
        <w:t>(und es backen) im Qal-Perfekt mit Waw-Konsekutiv.</w:t>
      </w:r>
    </w:p>
    <w:p w14:paraId="7AE250D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שתים עשרה חלות</w:t>
      </w:r>
      <w:r w:rsidRPr="004637CC">
        <w:rPr>
          <w:rFonts w:eastAsia="Times New Roman" w:cs="Times New Roman"/>
          <w:rtl/>
          <w:lang w:eastAsia="de-DE"/>
        </w:rPr>
        <w:t xml:space="preserve"> </w:t>
      </w:r>
      <w:r w:rsidRPr="004637CC">
        <w:rPr>
          <w:rFonts w:eastAsia="Times New Roman" w:cs="Times New Roman"/>
          <w:lang w:eastAsia="de-DE"/>
        </w:rPr>
        <w:t xml:space="preserve">(zwölf Kuchen) - </w:t>
      </w:r>
      <w:r w:rsidRPr="004637CC">
        <w:rPr>
          <w:rFonts w:eastAsia="Times New Roman" w:cs="Times New Roman"/>
          <w:b/>
          <w:bCs/>
          <w:rtl/>
          <w:lang w:eastAsia="de-DE"/>
        </w:rPr>
        <w:t>שתים עשרה</w:t>
      </w:r>
      <w:r w:rsidRPr="004637CC">
        <w:rPr>
          <w:rFonts w:eastAsia="Times New Roman" w:cs="Times New Roman"/>
          <w:rtl/>
          <w:lang w:eastAsia="de-DE"/>
        </w:rPr>
        <w:t xml:space="preserve"> </w:t>
      </w:r>
      <w:r w:rsidRPr="004637CC">
        <w:rPr>
          <w:rFonts w:eastAsia="Times New Roman" w:cs="Times New Roman"/>
          <w:lang w:eastAsia="de-DE"/>
        </w:rPr>
        <w:t xml:space="preserve">(zwölf) entspricht den zwölf Stämmen Israels. </w:t>
      </w:r>
      <w:r w:rsidRPr="004637CC">
        <w:rPr>
          <w:rFonts w:eastAsia="Times New Roman" w:cs="Times New Roman"/>
          <w:b/>
          <w:bCs/>
          <w:rtl/>
          <w:lang w:eastAsia="de-DE"/>
        </w:rPr>
        <w:t>חלות</w:t>
      </w:r>
      <w:r w:rsidRPr="004637CC">
        <w:rPr>
          <w:rFonts w:eastAsia="Times New Roman" w:cs="Times New Roman"/>
          <w:rtl/>
          <w:lang w:eastAsia="de-DE"/>
        </w:rPr>
        <w:t xml:space="preserve"> </w:t>
      </w:r>
      <w:r w:rsidRPr="004637CC">
        <w:rPr>
          <w:rFonts w:eastAsia="Times New Roman" w:cs="Times New Roman"/>
          <w:lang w:eastAsia="de-DE"/>
        </w:rPr>
        <w:t>(Kuchen/Brote) als gebackene Brote.</w:t>
      </w:r>
    </w:p>
    <w:p w14:paraId="5744828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שני עשרנים יהיה החלה האחת</w:t>
      </w:r>
      <w:r w:rsidRPr="004637CC">
        <w:rPr>
          <w:rFonts w:eastAsia="Times New Roman" w:cs="Times New Roman"/>
          <w:rtl/>
          <w:lang w:eastAsia="de-DE"/>
        </w:rPr>
        <w:t xml:space="preserve"> </w:t>
      </w:r>
      <w:r w:rsidRPr="004637CC">
        <w:rPr>
          <w:rFonts w:eastAsia="Times New Roman" w:cs="Times New Roman"/>
          <w:lang w:eastAsia="de-DE"/>
        </w:rPr>
        <w:t xml:space="preserve">(zwei Zehntel soll jeder Kuchen enthalten) - </w:t>
      </w: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 xml:space="preserve">(zwei Zehntel) zeigt die Mehlmenge pro Brot. </w:t>
      </w:r>
      <w:r w:rsidRPr="004637CC">
        <w:rPr>
          <w:rFonts w:eastAsia="Times New Roman" w:cs="Times New Roman"/>
          <w:b/>
          <w:bCs/>
          <w:rtl/>
          <w:lang w:eastAsia="de-DE"/>
        </w:rPr>
        <w:t>יהיה החלה האחת</w:t>
      </w:r>
      <w:r w:rsidRPr="004637CC">
        <w:rPr>
          <w:rFonts w:eastAsia="Times New Roman" w:cs="Times New Roman"/>
          <w:rtl/>
          <w:lang w:eastAsia="de-DE"/>
        </w:rPr>
        <w:t xml:space="preserve"> </w:t>
      </w:r>
      <w:r w:rsidRPr="004637CC">
        <w:rPr>
          <w:rFonts w:eastAsia="Times New Roman" w:cs="Times New Roman"/>
          <w:lang w:eastAsia="de-DE"/>
        </w:rPr>
        <w:t>(soll der eine Kuchen sein) zeigt Einheitlichkeit.</w:t>
      </w:r>
    </w:p>
    <w:p w14:paraId="7A504BE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סלת</w:t>
      </w:r>
      <w:r w:rsidRPr="004637CC">
        <w:rPr>
          <w:rFonts w:eastAsia="Times New Roman" w:cs="Times New Roman"/>
          <w:rtl/>
          <w:lang w:eastAsia="de-DE"/>
        </w:rPr>
        <w:t xml:space="preserve"> </w:t>
      </w:r>
      <w:r w:rsidRPr="004637CC">
        <w:rPr>
          <w:rFonts w:eastAsia="Times New Roman" w:cs="Times New Roman"/>
          <w:lang w:eastAsia="de-DE"/>
        </w:rPr>
        <w:t xml:space="preserve">als feinste Mehlqualität für heilige Zwecke. </w:t>
      </w:r>
      <w:r w:rsidRPr="004637CC">
        <w:rPr>
          <w:rFonts w:eastAsia="Times New Roman" w:cs="Times New Roman"/>
          <w:b/>
          <w:bCs/>
          <w:rtl/>
          <w:lang w:eastAsia="de-DE"/>
        </w:rPr>
        <w:t>שתים עשרה</w:t>
      </w:r>
      <w:r w:rsidRPr="004637CC">
        <w:rPr>
          <w:rFonts w:eastAsia="Times New Roman" w:cs="Times New Roman"/>
          <w:rtl/>
          <w:lang w:eastAsia="de-DE"/>
        </w:rPr>
        <w:t xml:space="preserve"> </w:t>
      </w:r>
      <w:r w:rsidRPr="004637CC">
        <w:rPr>
          <w:rFonts w:eastAsia="Times New Roman" w:cs="Times New Roman"/>
          <w:lang w:eastAsia="de-DE"/>
        </w:rPr>
        <w:t xml:space="preserve">als Zwölferstamm-Symbolik. </w:t>
      </w: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als doppelte Standardmenge pro Brot.</w:t>
      </w:r>
    </w:p>
    <w:p w14:paraId="757C0AF2"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ולקחת סלת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λήμψῃ</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σεμίδ</w:t>
      </w:r>
      <w:proofErr w:type="spellEnd"/>
      <w:r w:rsidRPr="004637CC">
        <w:rPr>
          <w:rFonts w:eastAsia="Times New Roman" w:cs="Times New Roman"/>
          <w:lang w:eastAsia="de-DE"/>
        </w:rPr>
        <w:t xml:space="preserve">αλιν (wirst du Feinmehl nehmen), </w:t>
      </w:r>
      <w:r w:rsidRPr="004637CC">
        <w:rPr>
          <w:rFonts w:eastAsia="Times New Roman" w:cs="Times New Roman"/>
          <w:b/>
          <w:bCs/>
          <w:rtl/>
          <w:lang w:eastAsia="de-DE"/>
        </w:rPr>
        <w:t>ואפית</w:t>
      </w:r>
      <w:r w:rsidRPr="004637CC">
        <w:rPr>
          <w:rFonts w:eastAsia="Times New Roman" w:cs="Times New Roman"/>
          <w:rtl/>
          <w:lang w:eastAsia="de-DE"/>
        </w:rPr>
        <w:t xml:space="preserve"> </w:t>
      </w:r>
      <w:r w:rsidRPr="004637CC">
        <w:rPr>
          <w:rFonts w:eastAsia="Times New Roman" w:cs="Times New Roman"/>
          <w:lang w:eastAsia="de-DE"/>
        </w:rPr>
        <w:t>mit π</w:t>
      </w:r>
      <w:proofErr w:type="spellStart"/>
      <w:r w:rsidRPr="004637CC">
        <w:rPr>
          <w:rFonts w:eastAsia="Times New Roman" w:cs="Times New Roman"/>
          <w:lang w:eastAsia="de-DE"/>
        </w:rPr>
        <w:t>οιήσεις</w:t>
      </w:r>
      <w:proofErr w:type="spellEnd"/>
      <w:r w:rsidRPr="004637CC">
        <w:rPr>
          <w:rFonts w:eastAsia="Times New Roman" w:cs="Times New Roman"/>
          <w:lang w:eastAsia="de-DE"/>
        </w:rPr>
        <w:t xml:space="preserve"> (wirst du machen), </w:t>
      </w:r>
      <w:r w:rsidRPr="004637CC">
        <w:rPr>
          <w:rFonts w:eastAsia="Times New Roman" w:cs="Times New Roman"/>
          <w:b/>
          <w:bCs/>
          <w:rtl/>
          <w:lang w:eastAsia="de-DE"/>
        </w:rPr>
        <w:t>שתים עשרה חלות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δώδεκ</w:t>
      </w:r>
      <w:proofErr w:type="spellEnd"/>
      <w:r w:rsidRPr="004637CC">
        <w:rPr>
          <w:rFonts w:eastAsia="Times New Roman" w:cs="Times New Roman"/>
          <w:lang w:eastAsia="de-DE"/>
        </w:rPr>
        <w:t xml:space="preserve">α </w:t>
      </w:r>
      <w:proofErr w:type="spellStart"/>
      <w:r w:rsidRPr="004637CC">
        <w:rPr>
          <w:rFonts w:eastAsia="Times New Roman" w:cs="Times New Roman"/>
          <w:lang w:eastAsia="de-DE"/>
        </w:rPr>
        <w:t>ἄρτους</w:t>
      </w:r>
      <w:proofErr w:type="spellEnd"/>
      <w:r w:rsidRPr="004637CC">
        <w:rPr>
          <w:rFonts w:eastAsia="Times New Roman" w:cs="Times New Roman"/>
          <w:lang w:eastAsia="de-DE"/>
        </w:rPr>
        <w:t xml:space="preserve"> (zwölf Brote) und </w:t>
      </w:r>
      <w:r w:rsidRPr="004637CC">
        <w:rPr>
          <w:rFonts w:eastAsia="Times New Roman" w:cs="Times New Roman"/>
          <w:b/>
          <w:bCs/>
          <w:rtl/>
          <w:lang w:eastAsia="de-DE"/>
        </w:rPr>
        <w:t>שני עשרנים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δύο</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δέκ</w:t>
      </w:r>
      <w:proofErr w:type="spellEnd"/>
      <w:r w:rsidRPr="004637CC">
        <w:rPr>
          <w:rFonts w:eastAsia="Times New Roman" w:cs="Times New Roman"/>
          <w:lang w:eastAsia="de-DE"/>
        </w:rPr>
        <w:t>ατα (zwei Zehntel).</w:t>
      </w:r>
    </w:p>
    <w:p w14:paraId="32BCCAD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Schaubrot-Herstellung: Feinmehl-Nahme + Backvorgang + zwölf Kuchen + zwei Zehntel pro Kuchen.</w:t>
      </w:r>
    </w:p>
    <w:p w14:paraId="0FBE8DB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Herstellung von zwölf Schaubroten aus Feinmehl mit je zwei Zehntel als Symbolik der zwölf Stämme.</w:t>
      </w:r>
    </w:p>
    <w:p w14:paraId="71C8706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24,6</w:t>
      </w:r>
    </w:p>
    <w:p w14:paraId="318D353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וְשַׂמְתָּ֥ אוֹתָ֛ם שְׁתַּ֥יִם מַֽעֲרָכ֖וֹת שֵׁ֣שׁ הַֽמַּעֲרָ֑כֶת עַ֛ל הַשֻּׁלְחָ֥ן הַטָּהֹ֖ר לִפְנֵ֥י יְהוָֽה׃</w:t>
      </w:r>
    </w:p>
    <w:p w14:paraId="113EC3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Deutsch:</w:t>
      </w:r>
      <w:r w:rsidRPr="004637CC">
        <w:rPr>
          <w:rFonts w:eastAsia="Times New Roman" w:cs="Times New Roman"/>
          <w:lang w:eastAsia="de-DE"/>
        </w:rPr>
        <w:t xml:space="preserve"> Und du sollst sie in zwei Reihen legen, sechs in einer Reihe, auf den reinen Tisch vor dem Ewigen.</w:t>
      </w:r>
    </w:p>
    <w:p w14:paraId="2FD5C419"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1D8C949">
          <v:rect id="_x0000_i1731" style="width:0;height:1.5pt" o:hralign="center" o:hrstd="t" o:hr="t" fillcolor="#a0a0a0" stroked="f"/>
        </w:pict>
      </w:r>
    </w:p>
    <w:p w14:paraId="36D0B5F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ושמת אותם שתים מערכות שש המערכת על השלחן הטהר לפני יהוה</w:t>
      </w:r>
      <w:r w:rsidRPr="004637CC">
        <w:rPr>
          <w:rFonts w:eastAsia="Times New Roman" w:cs="Times New Roman"/>
          <w:rtl/>
          <w:lang w:eastAsia="de-DE"/>
        </w:rPr>
        <w:t xml:space="preserve"> </w:t>
      </w:r>
      <w:r w:rsidRPr="004637CC">
        <w:rPr>
          <w:rFonts w:eastAsia="Times New Roman" w:cs="Times New Roman"/>
          <w:lang w:eastAsia="de-DE"/>
        </w:rPr>
        <w:t xml:space="preserve">zeigt die Anordnung der Schaubrote. </w:t>
      </w:r>
      <w:r w:rsidRPr="004637CC">
        <w:rPr>
          <w:rFonts w:eastAsia="Times New Roman" w:cs="Times New Roman"/>
          <w:b/>
          <w:bCs/>
          <w:rtl/>
          <w:lang w:eastAsia="de-DE"/>
        </w:rPr>
        <w:t>ושמת אותם שתים מערכות</w:t>
      </w:r>
      <w:r w:rsidRPr="004637CC">
        <w:rPr>
          <w:rFonts w:eastAsia="Times New Roman" w:cs="Times New Roman"/>
          <w:rtl/>
          <w:lang w:eastAsia="de-DE"/>
        </w:rPr>
        <w:t xml:space="preserve"> </w:t>
      </w:r>
      <w:r w:rsidRPr="004637CC">
        <w:rPr>
          <w:rFonts w:eastAsia="Times New Roman" w:cs="Times New Roman"/>
          <w:lang w:eastAsia="de-DE"/>
        </w:rPr>
        <w:t xml:space="preserve">(und du sollst sie in zwei Reihen legen) - </w:t>
      </w:r>
      <w:r w:rsidRPr="004637CC">
        <w:rPr>
          <w:rFonts w:eastAsia="Times New Roman" w:cs="Times New Roman"/>
          <w:b/>
          <w:bCs/>
          <w:rtl/>
          <w:lang w:eastAsia="de-DE"/>
        </w:rPr>
        <w:t>ושמת</w:t>
      </w:r>
      <w:r w:rsidRPr="004637CC">
        <w:rPr>
          <w:rFonts w:eastAsia="Times New Roman" w:cs="Times New Roman"/>
          <w:rtl/>
          <w:lang w:eastAsia="de-DE"/>
        </w:rPr>
        <w:t xml:space="preserve"> </w:t>
      </w:r>
      <w:r w:rsidRPr="004637CC">
        <w:rPr>
          <w:rFonts w:eastAsia="Times New Roman" w:cs="Times New Roman"/>
          <w:lang w:eastAsia="de-DE"/>
        </w:rPr>
        <w:t xml:space="preserve">(und du sollst legen) im Qal-Perfekt mit Waw-Konsekutiv. </w:t>
      </w:r>
      <w:r w:rsidRPr="004637CC">
        <w:rPr>
          <w:rFonts w:eastAsia="Times New Roman" w:cs="Times New Roman"/>
          <w:b/>
          <w:bCs/>
          <w:rtl/>
          <w:lang w:eastAsia="de-DE"/>
        </w:rPr>
        <w:t>אותם</w:t>
      </w:r>
      <w:r w:rsidRPr="004637CC">
        <w:rPr>
          <w:rFonts w:eastAsia="Times New Roman" w:cs="Times New Roman"/>
          <w:rtl/>
          <w:lang w:eastAsia="de-DE"/>
        </w:rPr>
        <w:t xml:space="preserve"> </w:t>
      </w:r>
      <w:r w:rsidRPr="004637CC">
        <w:rPr>
          <w:rFonts w:eastAsia="Times New Roman" w:cs="Times New Roman"/>
          <w:lang w:eastAsia="de-DE"/>
        </w:rPr>
        <w:t xml:space="preserve">bezieht sich auf die zwölf Brote. </w:t>
      </w:r>
      <w:r w:rsidRPr="004637CC">
        <w:rPr>
          <w:rFonts w:eastAsia="Times New Roman" w:cs="Times New Roman"/>
          <w:b/>
          <w:bCs/>
          <w:rtl/>
          <w:lang w:eastAsia="de-DE"/>
        </w:rPr>
        <w:t>שתים מערכות</w:t>
      </w:r>
      <w:r w:rsidRPr="004637CC">
        <w:rPr>
          <w:rFonts w:eastAsia="Times New Roman" w:cs="Times New Roman"/>
          <w:rtl/>
          <w:lang w:eastAsia="de-DE"/>
        </w:rPr>
        <w:t xml:space="preserve"> </w:t>
      </w:r>
      <w:r w:rsidRPr="004637CC">
        <w:rPr>
          <w:rFonts w:eastAsia="Times New Roman" w:cs="Times New Roman"/>
          <w:lang w:eastAsia="de-DE"/>
        </w:rPr>
        <w:t xml:space="preserve">(zwei Reihen) - </w:t>
      </w:r>
      <w:r w:rsidRPr="004637CC">
        <w:rPr>
          <w:rFonts w:eastAsia="Times New Roman" w:cs="Times New Roman"/>
          <w:b/>
          <w:bCs/>
          <w:rtl/>
          <w:lang w:eastAsia="de-DE"/>
        </w:rPr>
        <w:t>מערכות</w:t>
      </w:r>
      <w:r w:rsidRPr="004637CC">
        <w:rPr>
          <w:rFonts w:eastAsia="Times New Roman" w:cs="Times New Roman"/>
          <w:rtl/>
          <w:lang w:eastAsia="de-DE"/>
        </w:rPr>
        <w:t xml:space="preserve"> </w:t>
      </w:r>
      <w:r w:rsidRPr="004637CC">
        <w:rPr>
          <w:rFonts w:eastAsia="Times New Roman" w:cs="Times New Roman"/>
          <w:lang w:eastAsia="de-DE"/>
        </w:rPr>
        <w:t xml:space="preserve">(Reihen/Anordnungen) von </w:t>
      </w:r>
      <w:r w:rsidRPr="004637CC">
        <w:rPr>
          <w:rFonts w:eastAsia="Times New Roman" w:cs="Times New Roman"/>
          <w:b/>
          <w:bCs/>
          <w:rtl/>
          <w:lang w:eastAsia="de-DE"/>
        </w:rPr>
        <w:t>ערך</w:t>
      </w:r>
      <w:r w:rsidRPr="004637CC">
        <w:rPr>
          <w:rFonts w:eastAsia="Times New Roman" w:cs="Times New Roman"/>
          <w:rtl/>
          <w:lang w:eastAsia="de-DE"/>
        </w:rPr>
        <w:t xml:space="preserve"> </w:t>
      </w:r>
      <w:r w:rsidRPr="004637CC">
        <w:rPr>
          <w:rFonts w:eastAsia="Times New Roman" w:cs="Times New Roman"/>
          <w:lang w:eastAsia="de-DE"/>
        </w:rPr>
        <w:t>(anordnen).</w:t>
      </w:r>
    </w:p>
    <w:p w14:paraId="7FE2B2F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שש המערכת</w:t>
      </w:r>
      <w:r w:rsidRPr="004637CC">
        <w:rPr>
          <w:rFonts w:eastAsia="Times New Roman" w:cs="Times New Roman"/>
          <w:rtl/>
          <w:lang w:eastAsia="de-DE"/>
        </w:rPr>
        <w:t xml:space="preserve"> </w:t>
      </w:r>
      <w:r w:rsidRPr="004637CC">
        <w:rPr>
          <w:rFonts w:eastAsia="Times New Roman" w:cs="Times New Roman"/>
          <w:lang w:eastAsia="de-DE"/>
        </w:rPr>
        <w:t xml:space="preserve">(sechs in einer Reihe) zeigt 2 x 6 = 12 Brote. </w:t>
      </w:r>
      <w:r w:rsidRPr="004637CC">
        <w:rPr>
          <w:rFonts w:eastAsia="Times New Roman" w:cs="Times New Roman"/>
          <w:b/>
          <w:bCs/>
          <w:rtl/>
          <w:lang w:eastAsia="de-DE"/>
        </w:rPr>
        <w:t>על השלחן הטהר לפני יהוה</w:t>
      </w:r>
      <w:r w:rsidRPr="004637CC">
        <w:rPr>
          <w:rFonts w:eastAsia="Times New Roman" w:cs="Times New Roman"/>
          <w:rtl/>
          <w:lang w:eastAsia="de-DE"/>
        </w:rPr>
        <w:t xml:space="preserve"> </w:t>
      </w:r>
      <w:r w:rsidRPr="004637CC">
        <w:rPr>
          <w:rFonts w:eastAsia="Times New Roman" w:cs="Times New Roman"/>
          <w:lang w:eastAsia="de-DE"/>
        </w:rPr>
        <w:t xml:space="preserve">(auf den reinen Tisch vor dem Ewigen) - </w:t>
      </w:r>
      <w:r w:rsidRPr="004637CC">
        <w:rPr>
          <w:rFonts w:eastAsia="Times New Roman" w:cs="Times New Roman"/>
          <w:b/>
          <w:bCs/>
          <w:rtl/>
          <w:lang w:eastAsia="de-DE"/>
        </w:rPr>
        <w:t>השלחן הטהר</w:t>
      </w:r>
      <w:r w:rsidRPr="004637CC">
        <w:rPr>
          <w:rFonts w:eastAsia="Times New Roman" w:cs="Times New Roman"/>
          <w:rtl/>
          <w:lang w:eastAsia="de-DE"/>
        </w:rPr>
        <w:t xml:space="preserve"> </w:t>
      </w:r>
      <w:r w:rsidRPr="004637CC">
        <w:rPr>
          <w:rFonts w:eastAsia="Times New Roman" w:cs="Times New Roman"/>
          <w:lang w:eastAsia="de-DE"/>
        </w:rPr>
        <w:t xml:space="preserve">(der reine Tisch) zeigt den goldenen Schaubrottisch aus Ex 25,23-30. </w:t>
      </w:r>
      <w:r w:rsidRPr="004637CC">
        <w:rPr>
          <w:rFonts w:eastAsia="Times New Roman" w:cs="Times New Roman"/>
          <w:b/>
          <w:bCs/>
          <w:rtl/>
          <w:lang w:eastAsia="de-DE"/>
        </w:rPr>
        <w:t>לפני יהוה</w:t>
      </w:r>
      <w:r w:rsidRPr="004637CC">
        <w:rPr>
          <w:rFonts w:eastAsia="Times New Roman" w:cs="Times New Roman"/>
          <w:rtl/>
          <w:lang w:eastAsia="de-DE"/>
        </w:rPr>
        <w:t xml:space="preserve"> </w:t>
      </w:r>
      <w:r w:rsidRPr="004637CC">
        <w:rPr>
          <w:rFonts w:eastAsia="Times New Roman" w:cs="Times New Roman"/>
          <w:lang w:eastAsia="de-DE"/>
        </w:rPr>
        <w:t>zeigt göttliche Präsenz.</w:t>
      </w:r>
    </w:p>
    <w:p w14:paraId="36F91BA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שתים מערכות</w:t>
      </w:r>
      <w:r w:rsidRPr="004637CC">
        <w:rPr>
          <w:rFonts w:eastAsia="Times New Roman" w:cs="Times New Roman"/>
          <w:rtl/>
          <w:lang w:eastAsia="de-DE"/>
        </w:rPr>
        <w:t xml:space="preserve"> </w:t>
      </w:r>
      <w:r w:rsidRPr="004637CC">
        <w:rPr>
          <w:rFonts w:eastAsia="Times New Roman" w:cs="Times New Roman"/>
          <w:lang w:eastAsia="de-DE"/>
        </w:rPr>
        <w:t xml:space="preserve">als systematische Anordnung. </w:t>
      </w:r>
      <w:r w:rsidRPr="004637CC">
        <w:rPr>
          <w:rFonts w:eastAsia="Times New Roman" w:cs="Times New Roman"/>
          <w:b/>
          <w:bCs/>
          <w:rtl/>
          <w:lang w:eastAsia="de-DE"/>
        </w:rPr>
        <w:t>שש המערכת</w:t>
      </w:r>
      <w:r w:rsidRPr="004637CC">
        <w:rPr>
          <w:rFonts w:eastAsia="Times New Roman" w:cs="Times New Roman"/>
          <w:rtl/>
          <w:lang w:eastAsia="de-DE"/>
        </w:rPr>
        <w:t xml:space="preserve"> </w:t>
      </w:r>
      <w:r w:rsidRPr="004637CC">
        <w:rPr>
          <w:rFonts w:eastAsia="Times New Roman" w:cs="Times New Roman"/>
          <w:lang w:eastAsia="de-DE"/>
        </w:rPr>
        <w:t xml:space="preserve">zeigt gleichmäßige Verteilung. </w:t>
      </w:r>
      <w:r w:rsidRPr="004637CC">
        <w:rPr>
          <w:rFonts w:eastAsia="Times New Roman" w:cs="Times New Roman"/>
          <w:b/>
          <w:bCs/>
          <w:rtl/>
          <w:lang w:eastAsia="de-DE"/>
        </w:rPr>
        <w:t>השלחן הטהר</w:t>
      </w:r>
      <w:r w:rsidRPr="004637CC">
        <w:rPr>
          <w:rFonts w:eastAsia="Times New Roman" w:cs="Times New Roman"/>
          <w:rtl/>
          <w:lang w:eastAsia="de-DE"/>
        </w:rPr>
        <w:t xml:space="preserve"> </w:t>
      </w:r>
      <w:r w:rsidRPr="004637CC">
        <w:rPr>
          <w:rFonts w:eastAsia="Times New Roman" w:cs="Times New Roman"/>
          <w:lang w:eastAsia="de-DE"/>
        </w:rPr>
        <w:t>als spezifischer goldener Tisch.</w:t>
      </w:r>
    </w:p>
    <w:p w14:paraId="0DA5BE3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ושמת אותם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θήσεις</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ὐτούς</w:t>
      </w:r>
      <w:proofErr w:type="spellEnd"/>
      <w:r w:rsidRPr="004637CC">
        <w:rPr>
          <w:rFonts w:eastAsia="Times New Roman" w:cs="Times New Roman"/>
          <w:lang w:eastAsia="de-DE"/>
        </w:rPr>
        <w:t xml:space="preserve"> (wirst du sie setzen), </w:t>
      </w:r>
      <w:r w:rsidRPr="004637CC">
        <w:rPr>
          <w:rFonts w:eastAsia="Times New Roman" w:cs="Times New Roman"/>
          <w:b/>
          <w:bCs/>
          <w:rtl/>
          <w:lang w:eastAsia="de-DE"/>
        </w:rPr>
        <w:t>שתים מערכות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δύο</w:t>
      </w:r>
      <w:proofErr w:type="spellEnd"/>
      <w:r w:rsidRPr="004637CC">
        <w:rPr>
          <w:rFonts w:eastAsia="Times New Roman" w:cs="Times New Roman"/>
          <w:lang w:eastAsia="de-DE"/>
        </w:rPr>
        <w:t xml:space="preserve"> παρα</w:t>
      </w:r>
      <w:proofErr w:type="spellStart"/>
      <w:r w:rsidRPr="004637CC">
        <w:rPr>
          <w:rFonts w:eastAsia="Times New Roman" w:cs="Times New Roman"/>
          <w:lang w:eastAsia="de-DE"/>
        </w:rPr>
        <w:t>θέσεις</w:t>
      </w:r>
      <w:proofErr w:type="spellEnd"/>
      <w:r w:rsidRPr="004637CC">
        <w:rPr>
          <w:rFonts w:eastAsia="Times New Roman" w:cs="Times New Roman"/>
          <w:lang w:eastAsia="de-DE"/>
        </w:rPr>
        <w:t xml:space="preserve"> (zwei Aufstellungen), </w:t>
      </w:r>
      <w:r w:rsidRPr="004637CC">
        <w:rPr>
          <w:rFonts w:eastAsia="Times New Roman" w:cs="Times New Roman"/>
          <w:b/>
          <w:bCs/>
          <w:rtl/>
          <w:lang w:eastAsia="de-DE"/>
        </w:rPr>
        <w:t>שש המערכת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ἓξ</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ἄρτους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τὴν</w:t>
      </w:r>
      <w:proofErr w:type="spellEnd"/>
      <w:r w:rsidRPr="004637CC">
        <w:rPr>
          <w:rFonts w:eastAsia="Times New Roman" w:cs="Times New Roman"/>
          <w:lang w:eastAsia="de-DE"/>
        </w:rPr>
        <w:t xml:space="preserve"> πα</w:t>
      </w:r>
      <w:proofErr w:type="spellStart"/>
      <w:r w:rsidRPr="004637CC">
        <w:rPr>
          <w:rFonts w:eastAsia="Times New Roman" w:cs="Times New Roman"/>
          <w:lang w:eastAsia="de-DE"/>
        </w:rPr>
        <w:t>ράθεσιν</w:t>
      </w:r>
      <w:proofErr w:type="spellEnd"/>
      <w:r w:rsidRPr="004637CC">
        <w:rPr>
          <w:rFonts w:eastAsia="Times New Roman" w:cs="Times New Roman"/>
          <w:lang w:eastAsia="de-DE"/>
        </w:rPr>
        <w:t xml:space="preserve"> (sechs Brote die Aufstellung) und </w:t>
      </w:r>
      <w:r w:rsidRPr="004637CC">
        <w:rPr>
          <w:rFonts w:eastAsia="Times New Roman" w:cs="Times New Roman"/>
          <w:b/>
          <w:bCs/>
          <w:rtl/>
          <w:lang w:eastAsia="de-DE"/>
        </w:rPr>
        <w:t>השלחן הטהר</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τρά</w:t>
      </w:r>
      <w:proofErr w:type="spellEnd"/>
      <w:r w:rsidRPr="004637CC">
        <w:rPr>
          <w:rFonts w:eastAsia="Times New Roman" w:cs="Times New Roman"/>
          <w:lang w:eastAsia="de-DE"/>
        </w:rPr>
        <w:t>πεζαν καθα</w:t>
      </w:r>
      <w:proofErr w:type="spellStart"/>
      <w:r w:rsidRPr="004637CC">
        <w:rPr>
          <w:rFonts w:eastAsia="Times New Roman" w:cs="Times New Roman"/>
          <w:lang w:eastAsia="de-DE"/>
        </w:rPr>
        <w:t>ράν</w:t>
      </w:r>
      <w:proofErr w:type="spellEnd"/>
      <w:r w:rsidRPr="004637CC">
        <w:rPr>
          <w:rFonts w:eastAsia="Times New Roman" w:cs="Times New Roman"/>
          <w:lang w:eastAsia="de-DE"/>
        </w:rPr>
        <w:t xml:space="preserve"> (reinen Tisch).</w:t>
      </w:r>
    </w:p>
    <w:p w14:paraId="2A80005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Schaubrot-Anordnung: zwölf Brote in zwei Reihen + je sechs pro Reihe + goldener reiner Tisch + Position vor JHWH.</w:t>
      </w:r>
    </w:p>
    <w:p w14:paraId="0B996C03"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die systematische 2x6-Anordnung der zwölf Schaubrote auf dem goldenen Tisch vor JHWH.</w:t>
      </w:r>
    </w:p>
    <w:p w14:paraId="17D16C3C"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24,7</w:t>
      </w:r>
    </w:p>
    <w:p w14:paraId="5831F5A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וְנָתַתָּ֥ עַל־הַֽמַּעֲרֶ֖כֶת לְבֹנָ֣ה זַכָּ֑ה וְהָיְתָ֤ה לַלֶּ֨חֶם֙ לְאַזְכָּרָ֔ה אִשֶּׁ֖ה לַֽיהוָֽה׃</w:t>
      </w:r>
    </w:p>
    <w:p w14:paraId="0FAA599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du sollst auf jeder Reihe reinen Weihrauch legen, und er soll für das Brot als Gedenkopfer sein, ein Feueropfer für den Ewigen.</w:t>
      </w:r>
    </w:p>
    <w:p w14:paraId="153CDA98"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74AEB5A8">
          <v:rect id="_x0000_i1732" style="width:0;height:1.5pt" o:hralign="center" o:hrstd="t" o:hr="t" fillcolor="#a0a0a0" stroked="f"/>
        </w:pict>
      </w:r>
    </w:p>
    <w:p w14:paraId="5A9AA4A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ונתת על־המערכת לבנה זכה והיתה ללחם לאזכרה אשה ליהוה</w:t>
      </w:r>
      <w:r w:rsidRPr="004637CC">
        <w:rPr>
          <w:rFonts w:eastAsia="Times New Roman" w:cs="Times New Roman"/>
          <w:rtl/>
          <w:lang w:eastAsia="de-DE"/>
        </w:rPr>
        <w:t xml:space="preserve"> </w:t>
      </w:r>
      <w:r w:rsidRPr="004637CC">
        <w:rPr>
          <w:rFonts w:eastAsia="Times New Roman" w:cs="Times New Roman"/>
          <w:lang w:eastAsia="de-DE"/>
        </w:rPr>
        <w:t xml:space="preserve">zeigt die Weihrauch-Beigabe zum Schaubrot. </w:t>
      </w:r>
      <w:r w:rsidRPr="004637CC">
        <w:rPr>
          <w:rFonts w:eastAsia="Times New Roman" w:cs="Times New Roman"/>
          <w:b/>
          <w:bCs/>
          <w:rtl/>
          <w:lang w:eastAsia="de-DE"/>
        </w:rPr>
        <w:t>ונתת על־המערכת לבנה זכה</w:t>
      </w:r>
      <w:r w:rsidRPr="004637CC">
        <w:rPr>
          <w:rFonts w:eastAsia="Times New Roman" w:cs="Times New Roman"/>
          <w:rtl/>
          <w:lang w:eastAsia="de-DE"/>
        </w:rPr>
        <w:t xml:space="preserve"> </w:t>
      </w:r>
      <w:r w:rsidRPr="004637CC">
        <w:rPr>
          <w:rFonts w:eastAsia="Times New Roman" w:cs="Times New Roman"/>
          <w:lang w:eastAsia="de-DE"/>
        </w:rPr>
        <w:t xml:space="preserve">(und du sollst auf jeder Reihe reinen Weihrauch legen) - </w:t>
      </w:r>
      <w:r w:rsidRPr="004637CC">
        <w:rPr>
          <w:rFonts w:eastAsia="Times New Roman" w:cs="Times New Roman"/>
          <w:b/>
          <w:bCs/>
          <w:rtl/>
          <w:lang w:eastAsia="de-DE"/>
        </w:rPr>
        <w:t>ונתת</w:t>
      </w:r>
      <w:r w:rsidRPr="004637CC">
        <w:rPr>
          <w:rFonts w:eastAsia="Times New Roman" w:cs="Times New Roman"/>
          <w:rtl/>
          <w:lang w:eastAsia="de-DE"/>
        </w:rPr>
        <w:t xml:space="preserve"> </w:t>
      </w:r>
      <w:r w:rsidRPr="004637CC">
        <w:rPr>
          <w:rFonts w:eastAsia="Times New Roman" w:cs="Times New Roman"/>
          <w:lang w:eastAsia="de-DE"/>
        </w:rPr>
        <w:t xml:space="preserve">(und du sollst geben/legen) im Qal-Perfekt mit Waw-Konsekutiv. </w:t>
      </w:r>
      <w:r w:rsidRPr="004637CC">
        <w:rPr>
          <w:rFonts w:eastAsia="Times New Roman" w:cs="Times New Roman"/>
          <w:b/>
          <w:bCs/>
          <w:rtl/>
          <w:lang w:eastAsia="de-DE"/>
        </w:rPr>
        <w:t>על־המערכת</w:t>
      </w:r>
      <w:r w:rsidRPr="004637CC">
        <w:rPr>
          <w:rFonts w:eastAsia="Times New Roman" w:cs="Times New Roman"/>
          <w:rtl/>
          <w:lang w:eastAsia="de-DE"/>
        </w:rPr>
        <w:t xml:space="preserve"> </w:t>
      </w:r>
      <w:r w:rsidRPr="004637CC">
        <w:rPr>
          <w:rFonts w:eastAsia="Times New Roman" w:cs="Times New Roman"/>
          <w:lang w:eastAsia="de-DE"/>
        </w:rPr>
        <w:t xml:space="preserve">(auf die Reihe) bezieht sich auf beide Reihen. </w:t>
      </w:r>
      <w:r w:rsidRPr="004637CC">
        <w:rPr>
          <w:rFonts w:eastAsia="Times New Roman" w:cs="Times New Roman"/>
          <w:b/>
          <w:bCs/>
          <w:rtl/>
          <w:lang w:eastAsia="de-DE"/>
        </w:rPr>
        <w:t>לבנה זכה</w:t>
      </w:r>
      <w:r w:rsidRPr="004637CC">
        <w:rPr>
          <w:rFonts w:eastAsia="Times New Roman" w:cs="Times New Roman"/>
          <w:rtl/>
          <w:lang w:eastAsia="de-DE"/>
        </w:rPr>
        <w:t xml:space="preserve"> </w:t>
      </w:r>
      <w:r w:rsidRPr="004637CC">
        <w:rPr>
          <w:rFonts w:eastAsia="Times New Roman" w:cs="Times New Roman"/>
          <w:lang w:eastAsia="de-DE"/>
        </w:rPr>
        <w:t xml:space="preserve">(reiner Weihrauch) - </w:t>
      </w:r>
      <w:r w:rsidRPr="004637CC">
        <w:rPr>
          <w:rFonts w:eastAsia="Times New Roman" w:cs="Times New Roman"/>
          <w:b/>
          <w:bCs/>
          <w:rtl/>
          <w:lang w:eastAsia="de-DE"/>
        </w:rPr>
        <w:t>לבנה</w:t>
      </w:r>
      <w:r w:rsidRPr="004637CC">
        <w:rPr>
          <w:rFonts w:eastAsia="Times New Roman" w:cs="Times New Roman"/>
          <w:rtl/>
          <w:lang w:eastAsia="de-DE"/>
        </w:rPr>
        <w:t xml:space="preserve"> </w:t>
      </w:r>
      <w:r w:rsidRPr="004637CC">
        <w:rPr>
          <w:rFonts w:eastAsia="Times New Roman" w:cs="Times New Roman"/>
          <w:lang w:eastAsia="de-DE"/>
        </w:rPr>
        <w:t xml:space="preserve">(Weihrauch) als aromatisches Harz. </w:t>
      </w:r>
      <w:r w:rsidRPr="004637CC">
        <w:rPr>
          <w:rFonts w:eastAsia="Times New Roman" w:cs="Times New Roman"/>
          <w:b/>
          <w:bCs/>
          <w:rtl/>
          <w:lang w:eastAsia="de-DE"/>
        </w:rPr>
        <w:t>זכה</w:t>
      </w:r>
      <w:r w:rsidRPr="004637CC">
        <w:rPr>
          <w:rFonts w:eastAsia="Times New Roman" w:cs="Times New Roman"/>
          <w:rtl/>
          <w:lang w:eastAsia="de-DE"/>
        </w:rPr>
        <w:t xml:space="preserve"> </w:t>
      </w:r>
      <w:r w:rsidRPr="004637CC">
        <w:rPr>
          <w:rFonts w:eastAsia="Times New Roman" w:cs="Times New Roman"/>
          <w:lang w:eastAsia="de-DE"/>
        </w:rPr>
        <w:t>(rein) zeigt Qualitätsanforderung.</w:t>
      </w:r>
    </w:p>
    <w:p w14:paraId="79AC682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והיתה ללחם לאזכרה אשה ליהוה</w:t>
      </w:r>
      <w:r w:rsidRPr="004637CC">
        <w:rPr>
          <w:rFonts w:eastAsia="Times New Roman" w:cs="Times New Roman"/>
          <w:rtl/>
          <w:lang w:eastAsia="de-DE"/>
        </w:rPr>
        <w:t xml:space="preserve"> </w:t>
      </w:r>
      <w:r w:rsidRPr="004637CC">
        <w:rPr>
          <w:rFonts w:eastAsia="Times New Roman" w:cs="Times New Roman"/>
          <w:lang w:eastAsia="de-DE"/>
        </w:rPr>
        <w:t xml:space="preserve">(und er soll für das Brot als Gedenkopfer sein, ein Feueropfer für den Ewigen) - </w:t>
      </w:r>
      <w:r w:rsidRPr="004637CC">
        <w:rPr>
          <w:rFonts w:eastAsia="Times New Roman" w:cs="Times New Roman"/>
          <w:b/>
          <w:bCs/>
          <w:rtl/>
          <w:lang w:eastAsia="de-DE"/>
        </w:rPr>
        <w:t>והיתה</w:t>
      </w:r>
      <w:r w:rsidRPr="004637CC">
        <w:rPr>
          <w:rFonts w:eastAsia="Times New Roman" w:cs="Times New Roman"/>
          <w:rtl/>
          <w:lang w:eastAsia="de-DE"/>
        </w:rPr>
        <w:t xml:space="preserve"> </w:t>
      </w:r>
      <w:r w:rsidRPr="004637CC">
        <w:rPr>
          <w:rFonts w:eastAsia="Times New Roman" w:cs="Times New Roman"/>
          <w:lang w:eastAsia="de-DE"/>
        </w:rPr>
        <w:t xml:space="preserve">(und er soll sein) im Qal-Perfekt mit Waw-Konsekutiv. </w:t>
      </w:r>
      <w:r w:rsidRPr="004637CC">
        <w:rPr>
          <w:rFonts w:eastAsia="Times New Roman" w:cs="Times New Roman"/>
          <w:b/>
          <w:bCs/>
          <w:rtl/>
          <w:lang w:eastAsia="de-DE"/>
        </w:rPr>
        <w:t>ללחם לאזכרה</w:t>
      </w:r>
      <w:r w:rsidRPr="004637CC">
        <w:rPr>
          <w:rFonts w:eastAsia="Times New Roman" w:cs="Times New Roman"/>
          <w:rtl/>
          <w:lang w:eastAsia="de-DE"/>
        </w:rPr>
        <w:t xml:space="preserve"> </w:t>
      </w:r>
      <w:r w:rsidRPr="004637CC">
        <w:rPr>
          <w:rFonts w:eastAsia="Times New Roman" w:cs="Times New Roman"/>
          <w:lang w:eastAsia="de-DE"/>
        </w:rPr>
        <w:t xml:space="preserve">(für das Brot als Gedenkopfer) - </w:t>
      </w:r>
      <w:r w:rsidRPr="004637CC">
        <w:rPr>
          <w:rFonts w:eastAsia="Times New Roman" w:cs="Times New Roman"/>
          <w:b/>
          <w:bCs/>
          <w:rtl/>
          <w:lang w:eastAsia="de-DE"/>
        </w:rPr>
        <w:t>אזכרה</w:t>
      </w:r>
      <w:r w:rsidRPr="004637CC">
        <w:rPr>
          <w:rFonts w:eastAsia="Times New Roman" w:cs="Times New Roman"/>
          <w:rtl/>
          <w:lang w:eastAsia="de-DE"/>
        </w:rPr>
        <w:t xml:space="preserve"> </w:t>
      </w:r>
      <w:r w:rsidRPr="004637CC">
        <w:rPr>
          <w:rFonts w:eastAsia="Times New Roman" w:cs="Times New Roman"/>
          <w:lang w:eastAsia="de-DE"/>
        </w:rPr>
        <w:t xml:space="preserve">(Gedenkopfer) von </w:t>
      </w:r>
      <w:r w:rsidRPr="004637CC">
        <w:rPr>
          <w:rFonts w:eastAsia="Times New Roman" w:cs="Times New Roman"/>
          <w:b/>
          <w:bCs/>
          <w:rtl/>
          <w:lang w:eastAsia="de-DE"/>
        </w:rPr>
        <w:t>זכר</w:t>
      </w:r>
      <w:r w:rsidRPr="004637CC">
        <w:rPr>
          <w:rFonts w:eastAsia="Times New Roman" w:cs="Times New Roman"/>
          <w:rtl/>
          <w:lang w:eastAsia="de-DE"/>
        </w:rPr>
        <w:t xml:space="preserve"> </w:t>
      </w:r>
      <w:r w:rsidRPr="004637CC">
        <w:rPr>
          <w:rFonts w:eastAsia="Times New Roman" w:cs="Times New Roman"/>
          <w:lang w:eastAsia="de-DE"/>
        </w:rPr>
        <w:t xml:space="preserve">(gedenken) zeigt den stellvertretenden Verbrennungsteil. </w:t>
      </w:r>
      <w:r w:rsidRPr="004637CC">
        <w:rPr>
          <w:rFonts w:eastAsia="Times New Roman" w:cs="Times New Roman"/>
          <w:b/>
          <w:bCs/>
          <w:rtl/>
          <w:lang w:eastAsia="de-DE"/>
        </w:rPr>
        <w:t>אשה ליהוה</w:t>
      </w:r>
      <w:r w:rsidRPr="004637CC">
        <w:rPr>
          <w:rFonts w:eastAsia="Times New Roman" w:cs="Times New Roman"/>
          <w:rtl/>
          <w:lang w:eastAsia="de-DE"/>
        </w:rPr>
        <w:t xml:space="preserve"> </w:t>
      </w:r>
      <w:r w:rsidRPr="004637CC">
        <w:rPr>
          <w:rFonts w:eastAsia="Times New Roman" w:cs="Times New Roman"/>
          <w:lang w:eastAsia="de-DE"/>
        </w:rPr>
        <w:t>(ein Feueropfer für den Ewigen) zeigt Altarverbrennung.</w:t>
      </w:r>
    </w:p>
    <w:p w14:paraId="66254C5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lastRenderedPageBreak/>
        <w:t>לבנה זכה</w:t>
      </w:r>
      <w:r w:rsidRPr="004637CC">
        <w:rPr>
          <w:rFonts w:eastAsia="Times New Roman" w:cs="Times New Roman"/>
          <w:rtl/>
          <w:lang w:eastAsia="de-DE"/>
        </w:rPr>
        <w:t xml:space="preserve"> </w:t>
      </w:r>
      <w:r w:rsidRPr="004637CC">
        <w:rPr>
          <w:rFonts w:eastAsia="Times New Roman" w:cs="Times New Roman"/>
          <w:lang w:eastAsia="de-DE"/>
        </w:rPr>
        <w:t xml:space="preserve">als hochwertiger Weihrauch. </w:t>
      </w:r>
      <w:r w:rsidRPr="004637CC">
        <w:rPr>
          <w:rFonts w:eastAsia="Times New Roman" w:cs="Times New Roman"/>
          <w:b/>
          <w:bCs/>
          <w:rtl/>
          <w:lang w:eastAsia="de-DE"/>
        </w:rPr>
        <w:t>על־המערכת</w:t>
      </w:r>
      <w:r w:rsidRPr="004637CC">
        <w:rPr>
          <w:rFonts w:eastAsia="Times New Roman" w:cs="Times New Roman"/>
          <w:rtl/>
          <w:lang w:eastAsia="de-DE"/>
        </w:rPr>
        <w:t xml:space="preserve"> </w:t>
      </w:r>
      <w:r w:rsidRPr="004637CC">
        <w:rPr>
          <w:rFonts w:eastAsia="Times New Roman" w:cs="Times New Roman"/>
          <w:lang w:eastAsia="de-DE"/>
        </w:rPr>
        <w:t xml:space="preserve">zeigt Beigabe zu beiden Reihen. </w:t>
      </w:r>
      <w:r w:rsidRPr="004637CC">
        <w:rPr>
          <w:rFonts w:eastAsia="Times New Roman" w:cs="Times New Roman"/>
          <w:b/>
          <w:bCs/>
          <w:rtl/>
          <w:lang w:eastAsia="de-DE"/>
        </w:rPr>
        <w:t>אזכרה</w:t>
      </w:r>
      <w:r w:rsidRPr="004637CC">
        <w:rPr>
          <w:rFonts w:eastAsia="Times New Roman" w:cs="Times New Roman"/>
          <w:rtl/>
          <w:lang w:eastAsia="de-DE"/>
        </w:rPr>
        <w:t xml:space="preserve"> </w:t>
      </w:r>
      <w:r w:rsidRPr="004637CC">
        <w:rPr>
          <w:rFonts w:eastAsia="Times New Roman" w:cs="Times New Roman"/>
          <w:lang w:eastAsia="de-DE"/>
        </w:rPr>
        <w:t>zeigt stellvertretende Verbrennung statt des Brotes.</w:t>
      </w:r>
    </w:p>
    <w:p w14:paraId="3FEE2588" w14:textId="6E6FE591"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775F21">
        <w:t xml:space="preserve">fügt καὶ </w:t>
      </w:r>
      <w:proofErr w:type="spellStart"/>
      <w:r w:rsidR="00775F21">
        <w:t>ἅλ</w:t>
      </w:r>
      <w:proofErr w:type="spellEnd"/>
      <w:r w:rsidR="00775F21">
        <w:t xml:space="preserve">α (und Salz) hinzu, was im hebräischen Text nicht steht. Das hebräische </w:t>
      </w:r>
      <w:r w:rsidR="00775F21">
        <w:rPr>
          <w:rtl/>
        </w:rPr>
        <w:t>לאזכרה</w:t>
      </w:r>
      <w:r w:rsidR="00775F21">
        <w:t xml:space="preserve"> (</w:t>
      </w:r>
      <w:proofErr w:type="spellStart"/>
      <w:r w:rsidR="00775F21">
        <w:t>le'azkara</w:t>
      </w:r>
      <w:proofErr w:type="spellEnd"/>
      <w:r w:rsidR="00775F21">
        <w:t xml:space="preserve"> - "zum Gedächtnis") wird als </w:t>
      </w:r>
      <w:proofErr w:type="spellStart"/>
      <w:r w:rsidR="00775F21">
        <w:t>εἰς</w:t>
      </w:r>
      <w:proofErr w:type="spellEnd"/>
      <w:r w:rsidR="00775F21">
        <w:t xml:space="preserve"> </w:t>
      </w:r>
      <w:proofErr w:type="spellStart"/>
      <w:r w:rsidR="00775F21">
        <w:t>ἀνάμνησιν</w:t>
      </w:r>
      <w:proofErr w:type="spellEnd"/>
      <w:r w:rsidR="00775F21">
        <w:t xml:space="preserve"> (zum Gedenken) wiedergegeben.</w:t>
      </w:r>
    </w:p>
    <w:p w14:paraId="2E22A54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Weihrauch-Beigabe: reiner Weihrauch auf jeder Reihe + Gedenkopfer-Funktion für das Brot + Feueropfer für JHWH.</w:t>
      </w:r>
    </w:p>
    <w:p w14:paraId="022B6A9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zeigt die Weihrauch-Beigabe als </w:t>
      </w:r>
      <w:r w:rsidRPr="004637CC">
        <w:rPr>
          <w:rFonts w:eastAsia="Times New Roman" w:cs="Times New Roman"/>
          <w:b/>
          <w:bCs/>
          <w:rtl/>
          <w:lang w:eastAsia="de-DE"/>
        </w:rPr>
        <w:t>אזכרה</w:t>
      </w:r>
      <w:r w:rsidRPr="004637CC">
        <w:rPr>
          <w:rFonts w:eastAsia="Times New Roman" w:cs="Times New Roman"/>
          <w:rtl/>
          <w:lang w:eastAsia="de-DE"/>
        </w:rPr>
        <w:t xml:space="preserve"> </w:t>
      </w:r>
      <w:r w:rsidRPr="004637CC">
        <w:rPr>
          <w:rFonts w:eastAsia="Times New Roman" w:cs="Times New Roman"/>
          <w:lang w:eastAsia="de-DE"/>
        </w:rPr>
        <w:t>(Gedenkopfer), das stellvertretend für das Brot verbrannt wird.</w:t>
      </w:r>
    </w:p>
    <w:p w14:paraId="56A4D582"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24,8</w:t>
      </w:r>
    </w:p>
    <w:p w14:paraId="0C9FADF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בְּי֨וֹם הַשַּׁבָּ֜ת בְּי֣וֹם הַשַּׁבָּ֗ת יַֽעַרְכֶ֛נּוּ לִפְנֵ֥י יְהוָ֖ה תָּמִ֑יד מֵאֵ֥ת בְּנֵֽי־יִשְׂרָאֵ֖ל בְּרִ֥ית עוֹלָֽם׃</w:t>
      </w:r>
    </w:p>
    <w:p w14:paraId="64E220D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Jeden Schabbattag soll er es beständig vor dem Ewigen richten, von den Kindern Israels als ewiger Bund.</w:t>
      </w:r>
    </w:p>
    <w:p w14:paraId="5211D953"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6D7BDA74">
          <v:rect id="_x0000_i1733" style="width:0;height:1.5pt" o:hralign="center" o:hrstd="t" o:hr="t" fillcolor="#a0a0a0" stroked="f"/>
        </w:pict>
      </w:r>
    </w:p>
    <w:p w14:paraId="11CB387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ביום השבת ביום השבת יערכנו לפני יהוה תמיד מאת בני־ישראל ברית עולם</w:t>
      </w:r>
      <w:r w:rsidRPr="004637CC">
        <w:rPr>
          <w:rFonts w:eastAsia="Times New Roman" w:cs="Times New Roman"/>
          <w:rtl/>
          <w:lang w:eastAsia="de-DE"/>
        </w:rPr>
        <w:t xml:space="preserve"> </w:t>
      </w:r>
      <w:r w:rsidRPr="004637CC">
        <w:rPr>
          <w:rFonts w:eastAsia="Times New Roman" w:cs="Times New Roman"/>
          <w:lang w:eastAsia="de-DE"/>
        </w:rPr>
        <w:t xml:space="preserve">zeigt den wöchentlichen Erneuerungsrhythmus des Schaubrotes. </w:t>
      </w:r>
      <w:r w:rsidRPr="004637CC">
        <w:rPr>
          <w:rFonts w:eastAsia="Times New Roman" w:cs="Times New Roman"/>
          <w:b/>
          <w:bCs/>
          <w:rtl/>
          <w:lang w:eastAsia="de-DE"/>
        </w:rPr>
        <w:t>ביום השבת ביום השבת</w:t>
      </w:r>
      <w:r w:rsidRPr="004637CC">
        <w:rPr>
          <w:rFonts w:eastAsia="Times New Roman" w:cs="Times New Roman"/>
          <w:rtl/>
          <w:lang w:eastAsia="de-DE"/>
        </w:rPr>
        <w:t xml:space="preserve"> </w:t>
      </w:r>
      <w:r w:rsidRPr="004637CC">
        <w:rPr>
          <w:rFonts w:eastAsia="Times New Roman" w:cs="Times New Roman"/>
          <w:lang w:eastAsia="de-DE"/>
        </w:rPr>
        <w:t xml:space="preserve">(jeden Schabbattag) - die Wiederholung </w:t>
      </w:r>
      <w:r w:rsidRPr="004637CC">
        <w:rPr>
          <w:rFonts w:eastAsia="Times New Roman" w:cs="Times New Roman"/>
          <w:b/>
          <w:bCs/>
          <w:rtl/>
          <w:lang w:eastAsia="de-DE"/>
        </w:rPr>
        <w:t>ביום השבת ביום השבת</w:t>
      </w:r>
      <w:r w:rsidRPr="004637CC">
        <w:rPr>
          <w:rFonts w:eastAsia="Times New Roman" w:cs="Times New Roman"/>
          <w:rtl/>
          <w:lang w:eastAsia="de-DE"/>
        </w:rPr>
        <w:t xml:space="preserve"> </w:t>
      </w:r>
      <w:r w:rsidRPr="004637CC">
        <w:rPr>
          <w:rFonts w:eastAsia="Times New Roman" w:cs="Times New Roman"/>
          <w:lang w:eastAsia="de-DE"/>
        </w:rPr>
        <w:t>betont die regelmäßige wöchentliche Erneuerung jeden Sabbat.</w:t>
      </w:r>
    </w:p>
    <w:p w14:paraId="3C421BF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יערכנו לפני יהוה תמיד</w:t>
      </w:r>
      <w:r w:rsidRPr="004637CC">
        <w:rPr>
          <w:rFonts w:eastAsia="Times New Roman" w:cs="Times New Roman"/>
          <w:rtl/>
          <w:lang w:eastAsia="de-DE"/>
        </w:rPr>
        <w:t xml:space="preserve"> </w:t>
      </w:r>
      <w:r w:rsidRPr="004637CC">
        <w:rPr>
          <w:rFonts w:eastAsia="Times New Roman" w:cs="Times New Roman"/>
          <w:lang w:eastAsia="de-DE"/>
        </w:rPr>
        <w:t xml:space="preserve">(soll er es beständig vor dem Ewigen richten) - </w:t>
      </w:r>
      <w:r w:rsidRPr="004637CC">
        <w:rPr>
          <w:rFonts w:eastAsia="Times New Roman" w:cs="Times New Roman"/>
          <w:b/>
          <w:bCs/>
          <w:rtl/>
          <w:lang w:eastAsia="de-DE"/>
        </w:rPr>
        <w:t>יערכנו</w:t>
      </w:r>
      <w:r w:rsidRPr="004637CC">
        <w:rPr>
          <w:rFonts w:eastAsia="Times New Roman" w:cs="Times New Roman"/>
          <w:rtl/>
          <w:lang w:eastAsia="de-DE"/>
        </w:rPr>
        <w:t xml:space="preserve"> </w:t>
      </w:r>
      <w:r w:rsidRPr="004637CC">
        <w:rPr>
          <w:rFonts w:eastAsia="Times New Roman" w:cs="Times New Roman"/>
          <w:lang w:eastAsia="de-DE"/>
        </w:rPr>
        <w:t xml:space="preserve">(soll er es richten) im Qal-Imperfekt mit Suffix bezieht sich auf das Schaubrot. </w:t>
      </w:r>
      <w:r w:rsidRPr="004637CC">
        <w:rPr>
          <w:rFonts w:eastAsia="Times New Roman" w:cs="Times New Roman"/>
          <w:b/>
          <w:bCs/>
          <w:rtl/>
          <w:lang w:eastAsia="de-DE"/>
        </w:rPr>
        <w:t>לפני יהוה תמיד</w:t>
      </w:r>
      <w:r w:rsidRPr="004637CC">
        <w:rPr>
          <w:rFonts w:eastAsia="Times New Roman" w:cs="Times New Roman"/>
          <w:rtl/>
          <w:lang w:eastAsia="de-DE"/>
        </w:rPr>
        <w:t xml:space="preserve"> </w:t>
      </w:r>
      <w:r w:rsidRPr="004637CC">
        <w:rPr>
          <w:rFonts w:eastAsia="Times New Roman" w:cs="Times New Roman"/>
          <w:lang w:eastAsia="de-DE"/>
        </w:rPr>
        <w:t>entspricht V. 3-4.</w:t>
      </w:r>
    </w:p>
    <w:p w14:paraId="4F380B2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מאת בני־ישראל ברית עולם</w:t>
      </w:r>
      <w:r w:rsidRPr="004637CC">
        <w:rPr>
          <w:rFonts w:eastAsia="Times New Roman" w:cs="Times New Roman"/>
          <w:rtl/>
          <w:lang w:eastAsia="de-DE"/>
        </w:rPr>
        <w:t xml:space="preserve"> </w:t>
      </w:r>
      <w:r w:rsidRPr="004637CC">
        <w:rPr>
          <w:rFonts w:eastAsia="Times New Roman" w:cs="Times New Roman"/>
          <w:lang w:eastAsia="de-DE"/>
        </w:rPr>
        <w:t xml:space="preserve">(von den Kindern Israels als ewiger Bund) - </w:t>
      </w:r>
      <w:r w:rsidRPr="004637CC">
        <w:rPr>
          <w:rFonts w:eastAsia="Times New Roman" w:cs="Times New Roman"/>
          <w:b/>
          <w:bCs/>
          <w:rtl/>
          <w:lang w:eastAsia="de-DE"/>
        </w:rPr>
        <w:t>מאת בני־ישראל</w:t>
      </w:r>
      <w:r w:rsidRPr="004637CC">
        <w:rPr>
          <w:rFonts w:eastAsia="Times New Roman" w:cs="Times New Roman"/>
          <w:rtl/>
          <w:lang w:eastAsia="de-DE"/>
        </w:rPr>
        <w:t xml:space="preserve"> </w:t>
      </w:r>
      <w:r w:rsidRPr="004637CC">
        <w:rPr>
          <w:rFonts w:eastAsia="Times New Roman" w:cs="Times New Roman"/>
          <w:lang w:eastAsia="de-DE"/>
        </w:rPr>
        <w:t xml:space="preserve">(von den Kindern Israels) zeigt Volksverantwortung. </w:t>
      </w:r>
      <w:r w:rsidRPr="004637CC">
        <w:rPr>
          <w:rFonts w:eastAsia="Times New Roman" w:cs="Times New Roman"/>
          <w:b/>
          <w:bCs/>
          <w:rtl/>
          <w:lang w:eastAsia="de-DE"/>
        </w:rPr>
        <w:t>ברית עולם</w:t>
      </w:r>
      <w:r w:rsidRPr="004637CC">
        <w:rPr>
          <w:rFonts w:eastAsia="Times New Roman" w:cs="Times New Roman"/>
          <w:rtl/>
          <w:lang w:eastAsia="de-DE"/>
        </w:rPr>
        <w:t xml:space="preserve"> </w:t>
      </w:r>
      <w:r w:rsidRPr="004637CC">
        <w:rPr>
          <w:rFonts w:eastAsia="Times New Roman" w:cs="Times New Roman"/>
          <w:lang w:eastAsia="de-DE"/>
        </w:rPr>
        <w:t>(ewiger Bund) zeigt den Bundescharakter des Schaubrotes.</w:t>
      </w:r>
    </w:p>
    <w:p w14:paraId="340FCB8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ביום השבת ביום השבת</w:t>
      </w:r>
      <w:r w:rsidRPr="004637CC">
        <w:rPr>
          <w:rFonts w:eastAsia="Times New Roman" w:cs="Times New Roman"/>
          <w:rtl/>
          <w:lang w:eastAsia="de-DE"/>
        </w:rPr>
        <w:t xml:space="preserve"> </w:t>
      </w:r>
      <w:r w:rsidRPr="004637CC">
        <w:rPr>
          <w:rFonts w:eastAsia="Times New Roman" w:cs="Times New Roman"/>
          <w:lang w:eastAsia="de-DE"/>
        </w:rPr>
        <w:t xml:space="preserve">als emphatische Wiederholung zeigt wöchentlichen Rhythmus. </w:t>
      </w:r>
      <w:r w:rsidRPr="004637CC">
        <w:rPr>
          <w:rFonts w:eastAsia="Times New Roman" w:cs="Times New Roman"/>
          <w:b/>
          <w:bCs/>
          <w:rtl/>
          <w:lang w:eastAsia="de-DE"/>
        </w:rPr>
        <w:t>תמיד</w:t>
      </w:r>
      <w:r w:rsidRPr="004637CC">
        <w:rPr>
          <w:rFonts w:eastAsia="Times New Roman" w:cs="Times New Roman"/>
          <w:rtl/>
          <w:lang w:eastAsia="de-DE"/>
        </w:rPr>
        <w:t xml:space="preserve"> </w:t>
      </w:r>
      <w:r w:rsidRPr="004637CC">
        <w:rPr>
          <w:rFonts w:eastAsia="Times New Roman" w:cs="Times New Roman"/>
          <w:lang w:eastAsia="de-DE"/>
        </w:rPr>
        <w:t xml:space="preserve">zeigt kontinuierliche Präsenz. </w:t>
      </w:r>
      <w:r w:rsidRPr="004637CC">
        <w:rPr>
          <w:rFonts w:eastAsia="Times New Roman" w:cs="Times New Roman"/>
          <w:b/>
          <w:bCs/>
          <w:rtl/>
          <w:lang w:eastAsia="de-DE"/>
        </w:rPr>
        <w:t>ברית עולם</w:t>
      </w:r>
      <w:r w:rsidRPr="004637CC">
        <w:rPr>
          <w:rFonts w:eastAsia="Times New Roman" w:cs="Times New Roman"/>
          <w:rtl/>
          <w:lang w:eastAsia="de-DE"/>
        </w:rPr>
        <w:t xml:space="preserve"> </w:t>
      </w:r>
      <w:r w:rsidRPr="004637CC">
        <w:rPr>
          <w:rFonts w:eastAsia="Times New Roman" w:cs="Times New Roman"/>
          <w:lang w:eastAsia="de-DE"/>
        </w:rPr>
        <w:t>zeigt Bundesbedeutung.</w:t>
      </w:r>
    </w:p>
    <w:p w14:paraId="5CFED78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ביום השבת ביום השבת</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τῇ</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ἡμέρᾳ</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τῶν</w:t>
      </w:r>
      <w:proofErr w:type="spellEnd"/>
      <w:r w:rsidRPr="004637CC">
        <w:rPr>
          <w:rFonts w:eastAsia="Times New Roman" w:cs="Times New Roman"/>
          <w:lang w:eastAsia="de-DE"/>
        </w:rPr>
        <w:t xml:space="preserve"> σαββ</w:t>
      </w:r>
      <w:proofErr w:type="spellStart"/>
      <w:r w:rsidRPr="004637CC">
        <w:rPr>
          <w:rFonts w:eastAsia="Times New Roman" w:cs="Times New Roman"/>
          <w:lang w:eastAsia="de-DE"/>
        </w:rPr>
        <w:t>άτων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διὰ</w:t>
      </w:r>
      <w:proofErr w:type="spellEnd"/>
      <w:r w:rsidRPr="004637CC">
        <w:rPr>
          <w:rFonts w:eastAsia="Times New Roman" w:cs="Times New Roman"/>
          <w:lang w:eastAsia="de-DE"/>
        </w:rPr>
        <w:t xml:space="preserve"> πα</w:t>
      </w:r>
      <w:proofErr w:type="spellStart"/>
      <w:r w:rsidRPr="004637CC">
        <w:rPr>
          <w:rFonts w:eastAsia="Times New Roman" w:cs="Times New Roman"/>
          <w:lang w:eastAsia="de-DE"/>
        </w:rPr>
        <w:t>ντός</w:t>
      </w:r>
      <w:proofErr w:type="spellEnd"/>
      <w:r w:rsidRPr="004637CC">
        <w:rPr>
          <w:rFonts w:eastAsia="Times New Roman" w:cs="Times New Roman"/>
          <w:lang w:eastAsia="de-DE"/>
        </w:rPr>
        <w:t xml:space="preserve"> (am Tag der Sabbate beständig), </w:t>
      </w:r>
      <w:r w:rsidRPr="004637CC">
        <w:rPr>
          <w:rFonts w:eastAsia="Times New Roman" w:cs="Times New Roman"/>
          <w:b/>
          <w:bCs/>
          <w:rtl/>
          <w:lang w:eastAsia="de-DE"/>
        </w:rPr>
        <w:t>יערכנו</w:t>
      </w:r>
      <w:r w:rsidRPr="004637CC">
        <w:rPr>
          <w:rFonts w:eastAsia="Times New Roman" w:cs="Times New Roman"/>
          <w:rtl/>
          <w:lang w:eastAsia="de-DE"/>
        </w:rPr>
        <w:t xml:space="preserve"> </w:t>
      </w:r>
      <w:r w:rsidRPr="004637CC">
        <w:rPr>
          <w:rFonts w:eastAsia="Times New Roman" w:cs="Times New Roman"/>
          <w:lang w:eastAsia="de-DE"/>
        </w:rPr>
        <w:t>mit παρα</w:t>
      </w:r>
      <w:proofErr w:type="spellStart"/>
      <w:r w:rsidRPr="004637CC">
        <w:rPr>
          <w:rFonts w:eastAsia="Times New Roman" w:cs="Times New Roman"/>
          <w:lang w:eastAsia="de-DE"/>
        </w:rPr>
        <w:t>θήσει</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ὐτούς</w:t>
      </w:r>
      <w:proofErr w:type="spellEnd"/>
      <w:r w:rsidRPr="004637CC">
        <w:rPr>
          <w:rFonts w:eastAsia="Times New Roman" w:cs="Times New Roman"/>
          <w:lang w:eastAsia="de-DE"/>
        </w:rPr>
        <w:t xml:space="preserve"> (wird sie aufstellen) und </w:t>
      </w:r>
      <w:r w:rsidRPr="004637CC">
        <w:rPr>
          <w:rFonts w:eastAsia="Times New Roman" w:cs="Times New Roman"/>
          <w:b/>
          <w:bCs/>
          <w:rtl/>
          <w:lang w:eastAsia="de-DE"/>
        </w:rPr>
        <w:t>ברית עולם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δι</w:t>
      </w:r>
      <w:proofErr w:type="spellEnd"/>
      <w:r w:rsidRPr="004637CC">
        <w:rPr>
          <w:rFonts w:eastAsia="Times New Roman" w:cs="Times New Roman"/>
          <w:lang w:eastAsia="de-DE"/>
        </w:rPr>
        <w:t>αθήκην α</w:t>
      </w:r>
      <w:proofErr w:type="spellStart"/>
      <w:r w:rsidRPr="004637CC">
        <w:rPr>
          <w:rFonts w:eastAsia="Times New Roman" w:cs="Times New Roman"/>
          <w:lang w:eastAsia="de-DE"/>
        </w:rPr>
        <w:t>ἰώνιον</w:t>
      </w:r>
      <w:proofErr w:type="spellEnd"/>
      <w:r w:rsidRPr="004637CC">
        <w:rPr>
          <w:rFonts w:eastAsia="Times New Roman" w:cs="Times New Roman"/>
          <w:lang w:eastAsia="de-DE"/>
        </w:rPr>
        <w:t xml:space="preserve"> (ewigen Bund).</w:t>
      </w:r>
    </w:p>
    <w:p w14:paraId="379F0A5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Schaubrot-Rhythmus: wöchentliche Sabbat-Erneuerung + beständige Aufstellung vor JHWH + Israels Bundesverantwortung + ewiger Bundescharakter.</w:t>
      </w:r>
    </w:p>
    <w:p w14:paraId="6B5CA39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etabliert den wöchentlichen Sabbat-Rhythmus der Schaubrot-Erneuerung als ewigen Bund Israels mit JHWH.</w:t>
      </w:r>
    </w:p>
    <w:p w14:paraId="5BFBC418"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24,9</w:t>
      </w:r>
    </w:p>
    <w:p w14:paraId="649EC56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Hebräisch:</w:t>
      </w:r>
      <w:r w:rsidRPr="004637CC">
        <w:rPr>
          <w:rFonts w:eastAsia="Times New Roman" w:cs="Times New Roman"/>
          <w:lang w:eastAsia="de-DE"/>
        </w:rPr>
        <w:t xml:space="preserve"> </w:t>
      </w:r>
      <w:r w:rsidRPr="004637CC">
        <w:rPr>
          <w:rFonts w:eastAsia="Times New Roman" w:cs="Times New Roman"/>
          <w:rtl/>
          <w:lang w:eastAsia="de-DE"/>
        </w:rPr>
        <w:t>וְהָֽיְתָה֙ לְאַהֲרֹ֣ן וּלְבָנָ֔יו וַאֲכָלֻ֖הוּ בְּמָק֣וֹם קָדֹ֑שׁ כִּ֡י קֹדֶשׁ֩ קָֽדָשִׁ֨ים ה֥וּא לוֹ֛ מֵאִשֵּׁ֥י יְהוָ֖ה חָק־עוֹלָֽם׃</w:t>
      </w:r>
    </w:p>
    <w:p w14:paraId="3A08D85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es soll Aharon und seinen Söhnen gehören, und sie sollen es an heiliger Stätte essen; denn als ein Hochheiliges von den Feueropfern des Ewigen soll es ihm gehören, eine ewige Satzung.</w:t>
      </w:r>
    </w:p>
    <w:p w14:paraId="0060511C"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3787E9D">
          <v:rect id="_x0000_i1734" style="width:0;height:1.5pt" o:hralign="center" o:hrstd="t" o:hr="t" fillcolor="#a0a0a0" stroked="f"/>
        </w:pict>
      </w:r>
    </w:p>
    <w:p w14:paraId="0A1447F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והיתה לאהרן ולבניו ואכלהו במקום קדש כי קדש קדשים הוא לו מאשי יהוה חק־עולם</w:t>
      </w:r>
      <w:r w:rsidRPr="004637CC">
        <w:rPr>
          <w:rFonts w:eastAsia="Times New Roman" w:cs="Times New Roman"/>
          <w:rtl/>
          <w:lang w:eastAsia="de-DE"/>
        </w:rPr>
        <w:t xml:space="preserve"> </w:t>
      </w:r>
      <w:r w:rsidRPr="004637CC">
        <w:rPr>
          <w:rFonts w:eastAsia="Times New Roman" w:cs="Times New Roman"/>
          <w:lang w:eastAsia="de-DE"/>
        </w:rPr>
        <w:t xml:space="preserve">zeigt das priesterliche Verzehrrecht am Schaubrot. </w:t>
      </w:r>
      <w:r w:rsidRPr="004637CC">
        <w:rPr>
          <w:rFonts w:eastAsia="Times New Roman" w:cs="Times New Roman"/>
          <w:b/>
          <w:bCs/>
          <w:rtl/>
          <w:lang w:eastAsia="de-DE"/>
        </w:rPr>
        <w:t>והיתה לאהרן ולבניו</w:t>
      </w:r>
      <w:r w:rsidRPr="004637CC">
        <w:rPr>
          <w:rFonts w:eastAsia="Times New Roman" w:cs="Times New Roman"/>
          <w:rtl/>
          <w:lang w:eastAsia="de-DE"/>
        </w:rPr>
        <w:t xml:space="preserve"> </w:t>
      </w:r>
      <w:r w:rsidRPr="004637CC">
        <w:rPr>
          <w:rFonts w:eastAsia="Times New Roman" w:cs="Times New Roman"/>
          <w:lang w:eastAsia="de-DE"/>
        </w:rPr>
        <w:t xml:space="preserve">(und es soll Aharon und seinen Söhnen gehören) zeigt priesterliches Eigentumsrecht. </w:t>
      </w:r>
      <w:r w:rsidRPr="004637CC">
        <w:rPr>
          <w:rFonts w:eastAsia="Times New Roman" w:cs="Times New Roman"/>
          <w:b/>
          <w:bCs/>
          <w:rtl/>
          <w:lang w:eastAsia="de-DE"/>
        </w:rPr>
        <w:t>ואכלהו במקום קדש</w:t>
      </w:r>
      <w:r w:rsidRPr="004637CC">
        <w:rPr>
          <w:rFonts w:eastAsia="Times New Roman" w:cs="Times New Roman"/>
          <w:rtl/>
          <w:lang w:eastAsia="de-DE"/>
        </w:rPr>
        <w:t xml:space="preserve"> </w:t>
      </w:r>
      <w:r w:rsidRPr="004637CC">
        <w:rPr>
          <w:rFonts w:eastAsia="Times New Roman" w:cs="Times New Roman"/>
          <w:lang w:eastAsia="de-DE"/>
        </w:rPr>
        <w:t xml:space="preserve">(und sie sollen es an heiliger Stätte essen) - </w:t>
      </w:r>
      <w:r w:rsidRPr="004637CC">
        <w:rPr>
          <w:rFonts w:eastAsia="Times New Roman" w:cs="Times New Roman"/>
          <w:b/>
          <w:bCs/>
          <w:rtl/>
          <w:lang w:eastAsia="de-DE"/>
        </w:rPr>
        <w:t>ואכלהו</w:t>
      </w:r>
      <w:r w:rsidRPr="004637CC">
        <w:rPr>
          <w:rFonts w:eastAsia="Times New Roman" w:cs="Times New Roman"/>
          <w:rtl/>
          <w:lang w:eastAsia="de-DE"/>
        </w:rPr>
        <w:t xml:space="preserve"> </w:t>
      </w:r>
      <w:r w:rsidRPr="004637CC">
        <w:rPr>
          <w:rFonts w:eastAsia="Times New Roman" w:cs="Times New Roman"/>
          <w:lang w:eastAsia="de-DE"/>
        </w:rPr>
        <w:t xml:space="preserve">(und sie sollen es essen) im Qal-Perfekt mit Waw-Konsekutiv. </w:t>
      </w:r>
      <w:r w:rsidRPr="004637CC">
        <w:rPr>
          <w:rFonts w:eastAsia="Times New Roman" w:cs="Times New Roman"/>
          <w:b/>
          <w:bCs/>
          <w:rtl/>
          <w:lang w:eastAsia="de-DE"/>
        </w:rPr>
        <w:t>במקום קדש</w:t>
      </w:r>
      <w:r w:rsidRPr="004637CC">
        <w:rPr>
          <w:rFonts w:eastAsia="Times New Roman" w:cs="Times New Roman"/>
          <w:rtl/>
          <w:lang w:eastAsia="de-DE"/>
        </w:rPr>
        <w:t xml:space="preserve"> </w:t>
      </w:r>
      <w:r w:rsidRPr="004637CC">
        <w:rPr>
          <w:rFonts w:eastAsia="Times New Roman" w:cs="Times New Roman"/>
          <w:lang w:eastAsia="de-DE"/>
        </w:rPr>
        <w:t>(an heiliger Stätte) zeigt Ortsrestriktion auf das Heiligtum.</w:t>
      </w:r>
    </w:p>
    <w:p w14:paraId="47186E79"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כי קדש קדשים הוא לו מאשי יהוה</w:t>
      </w:r>
      <w:r w:rsidRPr="004637CC">
        <w:rPr>
          <w:rFonts w:eastAsia="Times New Roman" w:cs="Times New Roman"/>
          <w:rtl/>
          <w:lang w:eastAsia="de-DE"/>
        </w:rPr>
        <w:t xml:space="preserve"> </w:t>
      </w:r>
      <w:r w:rsidRPr="004637CC">
        <w:rPr>
          <w:rFonts w:eastAsia="Times New Roman" w:cs="Times New Roman"/>
          <w:lang w:eastAsia="de-DE"/>
        </w:rPr>
        <w:t xml:space="preserve">(denn als ein Hochheiliges von den Feueropfern des Ewigen soll es ihm gehören) - </w:t>
      </w:r>
      <w:r w:rsidRPr="004637CC">
        <w:rPr>
          <w:rFonts w:eastAsia="Times New Roman" w:cs="Times New Roman"/>
          <w:b/>
          <w:bCs/>
          <w:rtl/>
          <w:lang w:eastAsia="de-DE"/>
        </w:rPr>
        <w:t>קדש קדשים</w:t>
      </w:r>
      <w:r w:rsidRPr="004637CC">
        <w:rPr>
          <w:rFonts w:eastAsia="Times New Roman" w:cs="Times New Roman"/>
          <w:rtl/>
          <w:lang w:eastAsia="de-DE"/>
        </w:rPr>
        <w:t xml:space="preserve"> </w:t>
      </w:r>
      <w:r w:rsidRPr="004637CC">
        <w:rPr>
          <w:rFonts w:eastAsia="Times New Roman" w:cs="Times New Roman"/>
          <w:lang w:eastAsia="de-DE"/>
        </w:rPr>
        <w:t xml:space="preserve">(Hochheiliges) zeigt höchste Heiligkeitsstufe. </w:t>
      </w:r>
      <w:r w:rsidRPr="004637CC">
        <w:rPr>
          <w:rFonts w:eastAsia="Times New Roman" w:cs="Times New Roman"/>
          <w:b/>
          <w:bCs/>
          <w:rtl/>
          <w:lang w:eastAsia="de-DE"/>
        </w:rPr>
        <w:t>הוא לו</w:t>
      </w:r>
      <w:r w:rsidRPr="004637CC">
        <w:rPr>
          <w:rFonts w:eastAsia="Times New Roman" w:cs="Times New Roman"/>
          <w:rtl/>
          <w:lang w:eastAsia="de-DE"/>
        </w:rPr>
        <w:t xml:space="preserve"> </w:t>
      </w:r>
      <w:r w:rsidRPr="004637CC">
        <w:rPr>
          <w:rFonts w:eastAsia="Times New Roman" w:cs="Times New Roman"/>
          <w:lang w:eastAsia="de-DE"/>
        </w:rPr>
        <w:t xml:space="preserve">(es ihm) bezieht sich auf Aharon. </w:t>
      </w:r>
      <w:r w:rsidRPr="004637CC">
        <w:rPr>
          <w:rFonts w:eastAsia="Times New Roman" w:cs="Times New Roman"/>
          <w:b/>
          <w:bCs/>
          <w:rtl/>
          <w:lang w:eastAsia="de-DE"/>
        </w:rPr>
        <w:t>מאשי יהוה</w:t>
      </w:r>
      <w:r w:rsidRPr="004637CC">
        <w:rPr>
          <w:rFonts w:eastAsia="Times New Roman" w:cs="Times New Roman"/>
          <w:rtl/>
          <w:lang w:eastAsia="de-DE"/>
        </w:rPr>
        <w:t xml:space="preserve"> </w:t>
      </w:r>
      <w:r w:rsidRPr="004637CC">
        <w:rPr>
          <w:rFonts w:eastAsia="Times New Roman" w:cs="Times New Roman"/>
          <w:lang w:eastAsia="de-DE"/>
        </w:rPr>
        <w:t xml:space="preserve">(von den Feueropfern des Ewigen) klassifiziert das Schaubrot als </w:t>
      </w:r>
      <w:r w:rsidRPr="004637CC">
        <w:rPr>
          <w:rFonts w:eastAsia="Times New Roman" w:cs="Times New Roman"/>
          <w:b/>
          <w:bCs/>
          <w:rtl/>
          <w:lang w:eastAsia="de-DE"/>
        </w:rPr>
        <w:t>אשה</w:t>
      </w:r>
      <w:r w:rsidRPr="004637CC">
        <w:rPr>
          <w:rFonts w:eastAsia="Times New Roman" w:cs="Times New Roman"/>
          <w:lang w:eastAsia="de-DE"/>
        </w:rPr>
        <w:t>.</w:t>
      </w:r>
    </w:p>
    <w:p w14:paraId="0F52E73A"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חק־עולם</w:t>
      </w:r>
      <w:r w:rsidRPr="004637CC">
        <w:rPr>
          <w:rFonts w:eastAsia="Times New Roman" w:cs="Times New Roman"/>
          <w:rtl/>
          <w:lang w:eastAsia="de-DE"/>
        </w:rPr>
        <w:t xml:space="preserve"> </w:t>
      </w:r>
      <w:r w:rsidRPr="004637CC">
        <w:rPr>
          <w:rFonts w:eastAsia="Times New Roman" w:cs="Times New Roman"/>
          <w:lang w:eastAsia="de-DE"/>
        </w:rPr>
        <w:t>(eine ewige Satzung) entspricht den anderen ewigen Satzungen.</w:t>
      </w:r>
    </w:p>
    <w:p w14:paraId="7A7D470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לאהרן ולבניו</w:t>
      </w:r>
      <w:r w:rsidRPr="004637CC">
        <w:rPr>
          <w:rFonts w:eastAsia="Times New Roman" w:cs="Times New Roman"/>
          <w:rtl/>
          <w:lang w:eastAsia="de-DE"/>
        </w:rPr>
        <w:t xml:space="preserve"> </w:t>
      </w:r>
      <w:r w:rsidRPr="004637CC">
        <w:rPr>
          <w:rFonts w:eastAsia="Times New Roman" w:cs="Times New Roman"/>
          <w:lang w:eastAsia="de-DE"/>
        </w:rPr>
        <w:t xml:space="preserve">zeigt priesterliches Kollektiv. </w:t>
      </w:r>
      <w:r w:rsidRPr="004637CC">
        <w:rPr>
          <w:rFonts w:eastAsia="Times New Roman" w:cs="Times New Roman"/>
          <w:b/>
          <w:bCs/>
          <w:rtl/>
          <w:lang w:eastAsia="de-DE"/>
        </w:rPr>
        <w:t>במקום קדש</w:t>
      </w:r>
      <w:r w:rsidRPr="004637CC">
        <w:rPr>
          <w:rFonts w:eastAsia="Times New Roman" w:cs="Times New Roman"/>
          <w:rtl/>
          <w:lang w:eastAsia="de-DE"/>
        </w:rPr>
        <w:t xml:space="preserve"> </w:t>
      </w:r>
      <w:r w:rsidRPr="004637CC">
        <w:rPr>
          <w:rFonts w:eastAsia="Times New Roman" w:cs="Times New Roman"/>
          <w:lang w:eastAsia="de-DE"/>
        </w:rPr>
        <w:t xml:space="preserve">zeigt Ortsrestriktion. </w:t>
      </w:r>
      <w:r w:rsidRPr="004637CC">
        <w:rPr>
          <w:rFonts w:eastAsia="Times New Roman" w:cs="Times New Roman"/>
          <w:b/>
          <w:bCs/>
          <w:rtl/>
          <w:lang w:eastAsia="de-DE"/>
        </w:rPr>
        <w:t>קדש קדשים</w:t>
      </w:r>
      <w:r w:rsidRPr="004637CC">
        <w:rPr>
          <w:rFonts w:eastAsia="Times New Roman" w:cs="Times New Roman"/>
          <w:rtl/>
          <w:lang w:eastAsia="de-DE"/>
        </w:rPr>
        <w:t xml:space="preserve"> </w:t>
      </w:r>
      <w:r w:rsidRPr="004637CC">
        <w:rPr>
          <w:rFonts w:eastAsia="Times New Roman" w:cs="Times New Roman"/>
          <w:lang w:eastAsia="de-DE"/>
        </w:rPr>
        <w:t xml:space="preserve">zeigt höchste Heiligkeitsstufe. </w:t>
      </w:r>
      <w:r w:rsidRPr="004637CC">
        <w:rPr>
          <w:rFonts w:eastAsia="Times New Roman" w:cs="Times New Roman"/>
          <w:b/>
          <w:bCs/>
          <w:rtl/>
          <w:lang w:eastAsia="de-DE"/>
        </w:rPr>
        <w:t>מאשי יהוה</w:t>
      </w:r>
      <w:r w:rsidRPr="004637CC">
        <w:rPr>
          <w:rFonts w:eastAsia="Times New Roman" w:cs="Times New Roman"/>
          <w:rtl/>
          <w:lang w:eastAsia="de-DE"/>
        </w:rPr>
        <w:t xml:space="preserve"> </w:t>
      </w:r>
      <w:r w:rsidRPr="004637CC">
        <w:rPr>
          <w:rFonts w:eastAsia="Times New Roman" w:cs="Times New Roman"/>
          <w:lang w:eastAsia="de-DE"/>
        </w:rPr>
        <w:t>klassifiziert als Feueropfer.</w:t>
      </w:r>
    </w:p>
    <w:p w14:paraId="3319CE47"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übersetzt </w:t>
      </w:r>
      <w:r w:rsidRPr="004637CC">
        <w:rPr>
          <w:rFonts w:eastAsia="Times New Roman" w:cs="Times New Roman"/>
          <w:b/>
          <w:bCs/>
          <w:rtl/>
          <w:lang w:eastAsia="de-DE"/>
        </w:rPr>
        <w:t>והיתה לאהרן ולבניו</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ἔστ</w:t>
      </w:r>
      <w:proofErr w:type="spellEnd"/>
      <w:r w:rsidRPr="004637CC">
        <w:rPr>
          <w:rFonts w:eastAsia="Times New Roman" w:cs="Times New Roman"/>
          <w:lang w:eastAsia="de-DE"/>
        </w:rPr>
        <w:t>αι Αα</w:t>
      </w:r>
      <w:proofErr w:type="spellStart"/>
      <w:r w:rsidRPr="004637CC">
        <w:rPr>
          <w:rFonts w:eastAsia="Times New Roman" w:cs="Times New Roman"/>
          <w:lang w:eastAsia="de-DE"/>
        </w:rPr>
        <w:t>ρων</w:t>
      </w:r>
      <w:proofErr w:type="spellEnd"/>
      <w:r w:rsidRPr="004637CC">
        <w:rPr>
          <w:rFonts w:eastAsia="Times New Roman" w:cs="Times New Roman"/>
          <w:lang w:eastAsia="de-DE"/>
        </w:rPr>
        <w:t xml:space="preserve"> καὶ </w:t>
      </w:r>
      <w:proofErr w:type="spellStart"/>
      <w:r w:rsidRPr="004637CC">
        <w:rPr>
          <w:rFonts w:eastAsia="Times New Roman" w:cs="Times New Roman"/>
          <w:lang w:eastAsia="de-DE"/>
        </w:rPr>
        <w:t>τοῖς</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υἱοῖς</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ὐτοῦ</w:t>
      </w:r>
      <w:proofErr w:type="spellEnd"/>
      <w:r w:rsidRPr="004637CC">
        <w:rPr>
          <w:rFonts w:eastAsia="Times New Roman" w:cs="Times New Roman"/>
          <w:lang w:eastAsia="de-DE"/>
        </w:rPr>
        <w:t xml:space="preserve"> (wird Aarons und seinen Söhnen gehören), </w:t>
      </w:r>
      <w:r w:rsidRPr="004637CC">
        <w:rPr>
          <w:rFonts w:eastAsia="Times New Roman" w:cs="Times New Roman"/>
          <w:b/>
          <w:bCs/>
          <w:rtl/>
          <w:lang w:eastAsia="de-DE"/>
        </w:rPr>
        <w:t>במקום קדש</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ἐν</w:t>
      </w:r>
      <w:proofErr w:type="spellEnd"/>
      <w:r w:rsidRPr="004637CC">
        <w:rPr>
          <w:rFonts w:eastAsia="Times New Roman" w:cs="Times New Roman"/>
          <w:lang w:eastAsia="de-DE"/>
        </w:rPr>
        <w:t xml:space="preserve"> </w:t>
      </w:r>
      <w:proofErr w:type="spellStart"/>
      <w:r w:rsidRPr="004637CC">
        <w:rPr>
          <w:rFonts w:eastAsia="Times New Roman" w:cs="Times New Roman"/>
          <w:lang w:eastAsia="de-DE"/>
        </w:rPr>
        <w:t>τό</w:t>
      </w:r>
      <w:proofErr w:type="spellEnd"/>
      <w:r w:rsidRPr="004637CC">
        <w:rPr>
          <w:rFonts w:eastAsia="Times New Roman" w:cs="Times New Roman"/>
          <w:lang w:eastAsia="de-DE"/>
        </w:rPr>
        <w:t xml:space="preserve">πῳ </w:t>
      </w:r>
      <w:proofErr w:type="spellStart"/>
      <w:r w:rsidRPr="004637CC">
        <w:rPr>
          <w:rFonts w:eastAsia="Times New Roman" w:cs="Times New Roman"/>
          <w:lang w:eastAsia="de-DE"/>
        </w:rPr>
        <w:t>ἁγίῳ</w:t>
      </w:r>
      <w:proofErr w:type="spellEnd"/>
      <w:r w:rsidRPr="004637CC">
        <w:rPr>
          <w:rFonts w:eastAsia="Times New Roman" w:cs="Times New Roman"/>
          <w:lang w:eastAsia="de-DE"/>
        </w:rPr>
        <w:t xml:space="preserve"> (an heiligem Ort), </w:t>
      </w:r>
      <w:r w:rsidRPr="004637CC">
        <w:rPr>
          <w:rFonts w:eastAsia="Times New Roman" w:cs="Times New Roman"/>
          <w:b/>
          <w:bCs/>
          <w:rtl/>
          <w:lang w:eastAsia="de-DE"/>
        </w:rPr>
        <w:t>קדש קדשים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ἅγι</w:t>
      </w:r>
      <w:proofErr w:type="spellEnd"/>
      <w:r w:rsidRPr="004637CC">
        <w:rPr>
          <w:rFonts w:eastAsia="Times New Roman" w:cs="Times New Roman"/>
          <w:lang w:eastAsia="de-DE"/>
        </w:rPr>
        <w:t xml:space="preserve">α </w:t>
      </w:r>
      <w:proofErr w:type="spellStart"/>
      <w:r w:rsidRPr="004637CC">
        <w:rPr>
          <w:rFonts w:eastAsia="Times New Roman" w:cs="Times New Roman"/>
          <w:lang w:eastAsia="de-DE"/>
        </w:rPr>
        <w:t>ἁγίων</w:t>
      </w:r>
      <w:proofErr w:type="spellEnd"/>
      <w:r w:rsidRPr="004637CC">
        <w:rPr>
          <w:rFonts w:eastAsia="Times New Roman" w:cs="Times New Roman"/>
          <w:lang w:eastAsia="de-DE"/>
        </w:rPr>
        <w:t xml:space="preserve"> (Heiliges der Heiligen) und </w:t>
      </w:r>
      <w:r w:rsidRPr="004637CC">
        <w:rPr>
          <w:rFonts w:eastAsia="Times New Roman" w:cs="Times New Roman"/>
          <w:b/>
          <w:bCs/>
          <w:rtl/>
          <w:lang w:eastAsia="de-DE"/>
        </w:rPr>
        <w:t>חק־עולם</w:t>
      </w:r>
      <w:r w:rsidRPr="004637CC">
        <w:rPr>
          <w:rFonts w:eastAsia="Times New Roman" w:cs="Times New Roman"/>
          <w:rtl/>
          <w:lang w:eastAsia="de-DE"/>
        </w:rPr>
        <w:t xml:space="preserve"> </w:t>
      </w:r>
      <w:r w:rsidRPr="004637CC">
        <w:rPr>
          <w:rFonts w:eastAsia="Times New Roman" w:cs="Times New Roman"/>
          <w:lang w:eastAsia="de-DE"/>
        </w:rPr>
        <w:t xml:space="preserve">mit </w:t>
      </w:r>
      <w:proofErr w:type="spellStart"/>
      <w:r w:rsidRPr="004637CC">
        <w:rPr>
          <w:rFonts w:eastAsia="Times New Roman" w:cs="Times New Roman"/>
          <w:lang w:eastAsia="de-DE"/>
        </w:rPr>
        <w:t>νόμιμον</w:t>
      </w:r>
      <w:proofErr w:type="spellEnd"/>
      <w:r w:rsidRPr="004637CC">
        <w:rPr>
          <w:rFonts w:eastAsia="Times New Roman" w:cs="Times New Roman"/>
          <w:lang w:eastAsia="de-DE"/>
        </w:rPr>
        <w:t xml:space="preserve"> α</w:t>
      </w:r>
      <w:proofErr w:type="spellStart"/>
      <w:r w:rsidRPr="004637CC">
        <w:rPr>
          <w:rFonts w:eastAsia="Times New Roman" w:cs="Times New Roman"/>
          <w:lang w:eastAsia="de-DE"/>
        </w:rPr>
        <w:t>ἰώνιον</w:t>
      </w:r>
      <w:proofErr w:type="spellEnd"/>
      <w:r w:rsidRPr="004637CC">
        <w:rPr>
          <w:rFonts w:eastAsia="Times New Roman" w:cs="Times New Roman"/>
          <w:lang w:eastAsia="de-DE"/>
        </w:rPr>
        <w:t xml:space="preserve"> (ewiges Gesetz).</w:t>
      </w:r>
    </w:p>
    <w:p w14:paraId="000B36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priesterliches Schaubrot-Recht: Eigentumsrecht für Aharon und Söhne + Verzehr an heiliger Stätte + </w:t>
      </w:r>
      <w:r w:rsidRPr="004637CC">
        <w:rPr>
          <w:rFonts w:eastAsia="Times New Roman" w:cs="Times New Roman"/>
          <w:b/>
          <w:bCs/>
          <w:rtl/>
          <w:lang w:eastAsia="de-DE"/>
        </w:rPr>
        <w:t>קדש קדשים</w:t>
      </w:r>
      <w:r w:rsidRPr="004637CC">
        <w:rPr>
          <w:rFonts w:eastAsia="Times New Roman" w:cs="Times New Roman"/>
          <w:lang w:eastAsia="de-DE"/>
        </w:rPr>
        <w:t>-Status + Klassifikation als Feueropfer + ewige Satzung.</w:t>
      </w:r>
    </w:p>
    <w:p w14:paraId="492D723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 xml:space="preserve">Dieser Vers etabliert das priesterliche Recht auf das Schaubrot als </w:t>
      </w:r>
      <w:r w:rsidRPr="004637CC">
        <w:rPr>
          <w:rFonts w:eastAsia="Times New Roman" w:cs="Times New Roman"/>
          <w:b/>
          <w:bCs/>
          <w:rtl/>
          <w:lang w:eastAsia="de-DE"/>
        </w:rPr>
        <w:t>קדש קדשים</w:t>
      </w:r>
      <w:r w:rsidRPr="004637CC">
        <w:rPr>
          <w:rFonts w:eastAsia="Times New Roman" w:cs="Times New Roman"/>
          <w:rtl/>
          <w:lang w:eastAsia="de-DE"/>
        </w:rPr>
        <w:t xml:space="preserve"> </w:t>
      </w:r>
      <w:r w:rsidRPr="004637CC">
        <w:rPr>
          <w:rFonts w:eastAsia="Times New Roman" w:cs="Times New Roman"/>
          <w:lang w:eastAsia="de-DE"/>
        </w:rPr>
        <w:t>mit Verzehrbeschränkung auf das Heiligtum.</w:t>
      </w:r>
    </w:p>
    <w:p w14:paraId="6F83ABEE"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24,10</w:t>
      </w:r>
    </w:p>
    <w:p w14:paraId="2967ABEB"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וַיֵּצֵא֙ בֶּן־אִשָּׁ֣ה יִשְׂרְאֵלִ֔ית וְהוּא֙ בֶּן־אִ֣ישׁ מִצְרִ֔י בְּת֖וֹךְ בְּנֵ֣י יִשְׂרָאֵ֑ל וַיִּנָּצוּ֙ בַּֽמַּחֲנֶ֔ה בֶּ֚ן הַיִּשְׂרְאֵלִ֔ית וְאִ֖ישׁ הַיִּשְׂרְאֵלִֽי׃</w:t>
      </w:r>
    </w:p>
    <w:p w14:paraId="093B23ED"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Sohn einer Frau, einer Israelin, war aber der Sohn eines Mannes, eines Ägypters, er ging aus unter die Kinder Israels; und der Sohn der Israelin und ein Mann, ein Israeli stritten im Lager.</w:t>
      </w:r>
    </w:p>
    <w:p w14:paraId="3CDDEE80"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009E2B39">
          <v:rect id="_x0000_i1735" style="width:0;height:1.5pt" o:hralign="center" o:hrstd="t" o:hr="t" fillcolor="#a0a0a0" stroked="f"/>
        </w:pict>
      </w:r>
    </w:p>
    <w:p w14:paraId="29136F35"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ויצא בן־אשה ישראלית והוא בן־איש מצרי בתוך בני ישראל וינצו במחנה בן הישראלית ואיש הישראלי</w:t>
      </w:r>
      <w:r w:rsidRPr="004637CC">
        <w:rPr>
          <w:rFonts w:eastAsia="Times New Roman" w:cs="Times New Roman"/>
          <w:rtl/>
          <w:lang w:eastAsia="de-DE"/>
        </w:rPr>
        <w:t xml:space="preserve"> </w:t>
      </w:r>
      <w:r w:rsidRPr="004637CC">
        <w:rPr>
          <w:rFonts w:eastAsia="Times New Roman" w:cs="Times New Roman"/>
          <w:lang w:eastAsia="de-DE"/>
        </w:rPr>
        <w:t xml:space="preserve">führt einen Rechtsfall ein. </w:t>
      </w:r>
      <w:r w:rsidRPr="004637CC">
        <w:rPr>
          <w:rFonts w:eastAsia="Times New Roman" w:cs="Times New Roman"/>
          <w:b/>
          <w:bCs/>
          <w:rtl/>
          <w:lang w:eastAsia="de-DE"/>
        </w:rPr>
        <w:t>ויצא בן־אשה ישראלית והוא בן־איש מצרי</w:t>
      </w:r>
      <w:r w:rsidRPr="004637CC">
        <w:rPr>
          <w:rFonts w:eastAsia="Times New Roman" w:cs="Times New Roman"/>
          <w:rtl/>
          <w:lang w:eastAsia="de-DE"/>
        </w:rPr>
        <w:t xml:space="preserve"> </w:t>
      </w:r>
      <w:r w:rsidRPr="004637CC">
        <w:rPr>
          <w:rFonts w:eastAsia="Times New Roman" w:cs="Times New Roman"/>
          <w:lang w:eastAsia="de-DE"/>
        </w:rPr>
        <w:t>(und der Sohn einer Frau, einer Israelin, war aber der Sohn eines Mannes, eines Ägypters) zeigt Mischehen-</w:t>
      </w:r>
      <w:r w:rsidRPr="004637CC">
        <w:rPr>
          <w:rFonts w:eastAsia="Times New Roman" w:cs="Times New Roman"/>
          <w:lang w:eastAsia="de-DE"/>
        </w:rPr>
        <w:lastRenderedPageBreak/>
        <w:t xml:space="preserve">Abstammung. </w:t>
      </w:r>
      <w:r w:rsidRPr="004637CC">
        <w:rPr>
          <w:rFonts w:eastAsia="Times New Roman" w:cs="Times New Roman"/>
          <w:b/>
          <w:bCs/>
          <w:rtl/>
          <w:lang w:eastAsia="de-DE"/>
        </w:rPr>
        <w:t>ויצא</w:t>
      </w:r>
      <w:r w:rsidRPr="004637CC">
        <w:rPr>
          <w:rFonts w:eastAsia="Times New Roman" w:cs="Times New Roman"/>
          <w:rtl/>
          <w:lang w:eastAsia="de-DE"/>
        </w:rPr>
        <w:t xml:space="preserve"> </w:t>
      </w:r>
      <w:r w:rsidRPr="004637CC">
        <w:rPr>
          <w:rFonts w:eastAsia="Times New Roman" w:cs="Times New Roman"/>
          <w:lang w:eastAsia="de-DE"/>
        </w:rPr>
        <w:t xml:space="preserve">(und er ging aus) im Qal-Imperfekt mit Waw-Konsekutiv. </w:t>
      </w:r>
      <w:r w:rsidRPr="004637CC">
        <w:rPr>
          <w:rFonts w:eastAsia="Times New Roman" w:cs="Times New Roman"/>
          <w:b/>
          <w:bCs/>
          <w:rtl/>
          <w:lang w:eastAsia="de-DE"/>
        </w:rPr>
        <w:t>בן־אשה ישראלית</w:t>
      </w:r>
      <w:r w:rsidRPr="004637CC">
        <w:rPr>
          <w:rFonts w:eastAsia="Times New Roman" w:cs="Times New Roman"/>
          <w:rtl/>
          <w:lang w:eastAsia="de-DE"/>
        </w:rPr>
        <w:t xml:space="preserve"> </w:t>
      </w:r>
      <w:r w:rsidRPr="004637CC">
        <w:rPr>
          <w:rFonts w:eastAsia="Times New Roman" w:cs="Times New Roman"/>
          <w:lang w:eastAsia="de-DE"/>
        </w:rPr>
        <w:t xml:space="preserve">(Sohn einer israelitischen Frau) zeigt mütterliche Abstammung. </w:t>
      </w:r>
      <w:r w:rsidRPr="004637CC">
        <w:rPr>
          <w:rFonts w:eastAsia="Times New Roman" w:cs="Times New Roman"/>
          <w:b/>
          <w:bCs/>
          <w:rtl/>
          <w:lang w:eastAsia="de-DE"/>
        </w:rPr>
        <w:t>והוא בן־איש מצרי</w:t>
      </w:r>
      <w:r w:rsidRPr="004637CC">
        <w:rPr>
          <w:rFonts w:eastAsia="Times New Roman" w:cs="Times New Roman"/>
          <w:rtl/>
          <w:lang w:eastAsia="de-DE"/>
        </w:rPr>
        <w:t xml:space="preserve"> </w:t>
      </w:r>
      <w:r w:rsidRPr="004637CC">
        <w:rPr>
          <w:rFonts w:eastAsia="Times New Roman" w:cs="Times New Roman"/>
          <w:lang w:eastAsia="de-DE"/>
        </w:rPr>
        <w:t>(und er war Sohn eines ägyptischen Mannes) zeigt väterliche Abstammung.</w:t>
      </w:r>
    </w:p>
    <w:p w14:paraId="699DFB6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בתוך בני ישראל</w:t>
      </w:r>
      <w:r w:rsidRPr="004637CC">
        <w:rPr>
          <w:rFonts w:eastAsia="Times New Roman" w:cs="Times New Roman"/>
          <w:rtl/>
          <w:lang w:eastAsia="de-DE"/>
        </w:rPr>
        <w:t xml:space="preserve"> </w:t>
      </w:r>
      <w:r w:rsidRPr="004637CC">
        <w:rPr>
          <w:rFonts w:eastAsia="Times New Roman" w:cs="Times New Roman"/>
          <w:lang w:eastAsia="de-DE"/>
        </w:rPr>
        <w:t xml:space="preserve">(unter die Kinder Israels) zeigt Integration in das Volk. </w:t>
      </w:r>
      <w:r w:rsidRPr="004637CC">
        <w:rPr>
          <w:rFonts w:eastAsia="Times New Roman" w:cs="Times New Roman"/>
          <w:b/>
          <w:bCs/>
          <w:rtl/>
          <w:lang w:eastAsia="de-DE"/>
        </w:rPr>
        <w:t>וינצו במחנה בן הישראלית ואיש הישראלי</w:t>
      </w:r>
      <w:r w:rsidRPr="004637CC">
        <w:rPr>
          <w:rFonts w:eastAsia="Times New Roman" w:cs="Times New Roman"/>
          <w:rtl/>
          <w:lang w:eastAsia="de-DE"/>
        </w:rPr>
        <w:t xml:space="preserve"> </w:t>
      </w:r>
      <w:r w:rsidRPr="004637CC">
        <w:rPr>
          <w:rFonts w:eastAsia="Times New Roman" w:cs="Times New Roman"/>
          <w:lang w:eastAsia="de-DE"/>
        </w:rPr>
        <w:t xml:space="preserve">(und der Sohn der Israelin und ein Mann, ein Israeli stritten im Lager) - </w:t>
      </w:r>
      <w:r w:rsidRPr="004637CC">
        <w:rPr>
          <w:rFonts w:eastAsia="Times New Roman" w:cs="Times New Roman"/>
          <w:b/>
          <w:bCs/>
          <w:rtl/>
          <w:lang w:eastAsia="de-DE"/>
        </w:rPr>
        <w:t>וינצו</w:t>
      </w:r>
      <w:r w:rsidRPr="004637CC">
        <w:rPr>
          <w:rFonts w:eastAsia="Times New Roman" w:cs="Times New Roman"/>
          <w:rtl/>
          <w:lang w:eastAsia="de-DE"/>
        </w:rPr>
        <w:t xml:space="preserve"> </w:t>
      </w:r>
      <w:r w:rsidRPr="004637CC">
        <w:rPr>
          <w:rFonts w:eastAsia="Times New Roman" w:cs="Times New Roman"/>
          <w:lang w:eastAsia="de-DE"/>
        </w:rPr>
        <w:t xml:space="preserve">(und sie stritten) im Nifal-Imperfekt mit Waw-Konsekutiv von </w:t>
      </w:r>
      <w:r w:rsidRPr="004637CC">
        <w:rPr>
          <w:rFonts w:eastAsia="Times New Roman" w:cs="Times New Roman"/>
          <w:b/>
          <w:bCs/>
          <w:rtl/>
          <w:lang w:eastAsia="de-DE"/>
        </w:rPr>
        <w:t>נצה</w:t>
      </w:r>
      <w:r w:rsidRPr="004637CC">
        <w:rPr>
          <w:rFonts w:eastAsia="Times New Roman" w:cs="Times New Roman"/>
          <w:rtl/>
          <w:lang w:eastAsia="de-DE"/>
        </w:rPr>
        <w:t xml:space="preserve"> </w:t>
      </w:r>
      <w:r w:rsidRPr="004637CC">
        <w:rPr>
          <w:rFonts w:eastAsia="Times New Roman" w:cs="Times New Roman"/>
          <w:lang w:eastAsia="de-DE"/>
        </w:rPr>
        <w:t xml:space="preserve">(streiten). </w:t>
      </w:r>
      <w:r w:rsidRPr="004637CC">
        <w:rPr>
          <w:rFonts w:eastAsia="Times New Roman" w:cs="Times New Roman"/>
          <w:b/>
          <w:bCs/>
          <w:rtl/>
          <w:lang w:eastAsia="de-DE"/>
        </w:rPr>
        <w:t>במחנה</w:t>
      </w:r>
      <w:r w:rsidRPr="004637CC">
        <w:rPr>
          <w:rFonts w:eastAsia="Times New Roman" w:cs="Times New Roman"/>
          <w:rtl/>
          <w:lang w:eastAsia="de-DE"/>
        </w:rPr>
        <w:t xml:space="preserve"> </w:t>
      </w:r>
      <w:r w:rsidRPr="004637CC">
        <w:rPr>
          <w:rFonts w:eastAsia="Times New Roman" w:cs="Times New Roman"/>
          <w:lang w:eastAsia="de-DE"/>
        </w:rPr>
        <w:t xml:space="preserve">(im Lager) zeigt Wüstensituation. </w:t>
      </w:r>
      <w:r w:rsidRPr="004637CC">
        <w:rPr>
          <w:rFonts w:eastAsia="Times New Roman" w:cs="Times New Roman"/>
          <w:b/>
          <w:bCs/>
          <w:rtl/>
          <w:lang w:eastAsia="de-DE"/>
        </w:rPr>
        <w:t>בן הישראלית</w:t>
      </w:r>
      <w:r w:rsidRPr="004637CC">
        <w:rPr>
          <w:rFonts w:eastAsia="Times New Roman" w:cs="Times New Roman"/>
          <w:rtl/>
          <w:lang w:eastAsia="de-DE"/>
        </w:rPr>
        <w:t xml:space="preserve"> </w:t>
      </w:r>
      <w:r w:rsidRPr="004637CC">
        <w:rPr>
          <w:rFonts w:eastAsia="Times New Roman" w:cs="Times New Roman"/>
          <w:lang w:eastAsia="de-DE"/>
        </w:rPr>
        <w:t xml:space="preserve">wiederholt die Bezeichnung. </w:t>
      </w:r>
      <w:r w:rsidRPr="004637CC">
        <w:rPr>
          <w:rFonts w:eastAsia="Times New Roman" w:cs="Times New Roman"/>
          <w:b/>
          <w:bCs/>
          <w:rtl/>
          <w:lang w:eastAsia="de-DE"/>
        </w:rPr>
        <w:t>איש הישראלי</w:t>
      </w:r>
      <w:r w:rsidRPr="004637CC">
        <w:rPr>
          <w:rFonts w:eastAsia="Times New Roman" w:cs="Times New Roman"/>
          <w:rtl/>
          <w:lang w:eastAsia="de-DE"/>
        </w:rPr>
        <w:t xml:space="preserve"> </w:t>
      </w:r>
      <w:r w:rsidRPr="004637CC">
        <w:rPr>
          <w:rFonts w:eastAsia="Times New Roman" w:cs="Times New Roman"/>
          <w:lang w:eastAsia="de-DE"/>
        </w:rPr>
        <w:t>zeigt den Streitgegner.</w:t>
      </w:r>
    </w:p>
    <w:p w14:paraId="6CC26C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בן־אשה ישראלית והוא בן־איש מצרי</w:t>
      </w:r>
      <w:r w:rsidRPr="004637CC">
        <w:rPr>
          <w:rFonts w:eastAsia="Times New Roman" w:cs="Times New Roman"/>
          <w:rtl/>
          <w:lang w:eastAsia="de-DE"/>
        </w:rPr>
        <w:t xml:space="preserve"> </w:t>
      </w:r>
      <w:r w:rsidRPr="004637CC">
        <w:rPr>
          <w:rFonts w:eastAsia="Times New Roman" w:cs="Times New Roman"/>
          <w:lang w:eastAsia="de-DE"/>
        </w:rPr>
        <w:t xml:space="preserve">zeigt komplizierte Identität durch Mischehe. </w:t>
      </w:r>
      <w:r w:rsidRPr="004637CC">
        <w:rPr>
          <w:rFonts w:eastAsia="Times New Roman" w:cs="Times New Roman"/>
          <w:b/>
          <w:bCs/>
          <w:rtl/>
          <w:lang w:eastAsia="de-DE"/>
        </w:rPr>
        <w:t>וינצו</w:t>
      </w:r>
      <w:r w:rsidRPr="004637CC">
        <w:rPr>
          <w:rFonts w:eastAsia="Times New Roman" w:cs="Times New Roman"/>
          <w:rtl/>
          <w:lang w:eastAsia="de-DE"/>
        </w:rPr>
        <w:t xml:space="preserve"> </w:t>
      </w:r>
      <w:r w:rsidRPr="004637CC">
        <w:rPr>
          <w:rFonts w:eastAsia="Times New Roman" w:cs="Times New Roman"/>
          <w:lang w:eastAsia="de-DE"/>
        </w:rPr>
        <w:t xml:space="preserve">zeigt Konflikt. </w:t>
      </w:r>
      <w:r w:rsidRPr="004637CC">
        <w:rPr>
          <w:rFonts w:eastAsia="Times New Roman" w:cs="Times New Roman"/>
          <w:b/>
          <w:bCs/>
          <w:rtl/>
          <w:lang w:eastAsia="de-DE"/>
        </w:rPr>
        <w:t>במחנה</w:t>
      </w:r>
      <w:r w:rsidRPr="004637CC">
        <w:rPr>
          <w:rFonts w:eastAsia="Times New Roman" w:cs="Times New Roman"/>
          <w:rtl/>
          <w:lang w:eastAsia="de-DE"/>
        </w:rPr>
        <w:t xml:space="preserve"> </w:t>
      </w:r>
      <w:r w:rsidRPr="004637CC">
        <w:rPr>
          <w:rFonts w:eastAsia="Times New Roman" w:cs="Times New Roman"/>
          <w:lang w:eastAsia="de-DE"/>
        </w:rPr>
        <w:t>zeigt Gemeinschaftskontext.</w:t>
      </w:r>
    </w:p>
    <w:p w14:paraId="79C06256" w14:textId="7F69BDCF"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LXX</w:t>
      </w:r>
      <w:r w:rsidRPr="004637CC">
        <w:rPr>
          <w:rFonts w:eastAsia="Times New Roman" w:cs="Times New Roman"/>
          <w:lang w:eastAsia="de-DE"/>
        </w:rPr>
        <w:t xml:space="preserve"> </w:t>
      </w:r>
      <w:r w:rsidR="009104A2">
        <w:t xml:space="preserve">übersetzt </w:t>
      </w:r>
      <w:r w:rsidR="009104A2">
        <w:rPr>
          <w:rtl/>
        </w:rPr>
        <w:t>וינצו</w:t>
      </w:r>
      <w:r w:rsidR="009104A2">
        <w:t xml:space="preserve"> (</w:t>
      </w:r>
      <w:proofErr w:type="spellStart"/>
      <w:r w:rsidR="009104A2">
        <w:t>wayyinnatzu</w:t>
      </w:r>
      <w:proofErr w:type="spellEnd"/>
      <w:r w:rsidR="009104A2">
        <w:t xml:space="preserve"> - "und sie stritten") als καὶ </w:t>
      </w:r>
      <w:proofErr w:type="spellStart"/>
      <w:r w:rsidR="009104A2">
        <w:t>ἐμ</w:t>
      </w:r>
      <w:proofErr w:type="spellEnd"/>
      <w:r w:rsidR="009104A2">
        <w:t>αχέσαντο (und sie kämpften), was eine intensivere Konfrontation impliziert.</w:t>
      </w:r>
    </w:p>
    <w:p w14:paraId="6489845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Rechtsfall-Einleitung: Mischehen-Sohn + israelitische Mutter + ägyptischer Vater + Integration ins Volk + Streit im Lager.</w:t>
      </w:r>
    </w:p>
    <w:p w14:paraId="0AA6C444"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führt einen Rechtsfall mit einem Sohn aus israelitisch-ägyptischer Mischehe ein, der im Lager in Streit gerät.</w:t>
      </w:r>
    </w:p>
    <w:p w14:paraId="3AC42332" w14:textId="77777777" w:rsidR="004637CC" w:rsidRPr="004637CC" w:rsidRDefault="004637CC" w:rsidP="004637CC">
      <w:pPr>
        <w:spacing w:before="100" w:beforeAutospacing="1" w:after="100" w:afterAutospacing="1" w:line="240" w:lineRule="auto"/>
        <w:outlineLvl w:val="1"/>
        <w:rPr>
          <w:rFonts w:eastAsia="Times New Roman" w:cs="Times New Roman"/>
          <w:b/>
          <w:bCs/>
          <w:sz w:val="36"/>
          <w:szCs w:val="36"/>
          <w:lang w:eastAsia="de-DE"/>
        </w:rPr>
      </w:pPr>
      <w:r w:rsidRPr="004637CC">
        <w:rPr>
          <w:rFonts w:eastAsia="Times New Roman" w:cs="Times New Roman"/>
          <w:b/>
          <w:bCs/>
          <w:sz w:val="36"/>
          <w:szCs w:val="36"/>
          <w:lang w:eastAsia="de-DE"/>
        </w:rPr>
        <w:t>Leviticus 24,11</w:t>
      </w:r>
    </w:p>
    <w:p w14:paraId="1186FB60"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Hebräisch:</w:t>
      </w:r>
      <w:r w:rsidRPr="004637CC">
        <w:rPr>
          <w:rFonts w:eastAsia="Times New Roman" w:cs="Times New Roman"/>
          <w:lang w:eastAsia="de-DE"/>
        </w:rPr>
        <w:t xml:space="preserve"> </w:t>
      </w:r>
      <w:r w:rsidRPr="004637CC">
        <w:rPr>
          <w:rFonts w:eastAsia="Times New Roman" w:cs="Times New Roman"/>
          <w:rtl/>
          <w:lang w:eastAsia="de-DE"/>
        </w:rPr>
        <w:t>וַ֠יִּקֹּב בֶּן־הָֽאִשָּׁ֨ה הַיִּשְׂרְאֵלִ֤ית אֶת־הַשֵּׁם֙ וַיְקַלֵּ֔ל וַיָּבִ֥יאוּ אֹתוֹ֖ אֶל־מֹשֶׁ֑ה וְשֵׁ֥ם אִמֹּ֛ו שְׁלֹמִ֥ית בַּת־דִּבְרִ֖י לְמַטֵּה־דָֽן׃</w:t>
      </w:r>
    </w:p>
    <w:p w14:paraId="02664CEC"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Deutsch:</w:t>
      </w:r>
      <w:r w:rsidRPr="004637CC">
        <w:rPr>
          <w:rFonts w:eastAsia="Times New Roman" w:cs="Times New Roman"/>
          <w:lang w:eastAsia="de-DE"/>
        </w:rPr>
        <w:t xml:space="preserve"> Und der Sohn der Frau, der Israelin, lästerte den Namen und fluchte. Da brachten sie ihn zu Mosche; und der Name seiner Mutter war Schelomit, die Tochter Divris, vom Stamm Dan.</w:t>
      </w:r>
    </w:p>
    <w:p w14:paraId="29A1B24F" w14:textId="77777777" w:rsidR="004637CC" w:rsidRPr="004637CC" w:rsidRDefault="00A57720" w:rsidP="004637CC">
      <w:pPr>
        <w:spacing w:after="0" w:line="240" w:lineRule="auto"/>
        <w:rPr>
          <w:rFonts w:eastAsia="Times New Roman" w:cs="Times New Roman"/>
          <w:lang w:eastAsia="de-DE"/>
        </w:rPr>
      </w:pPr>
      <w:r>
        <w:rPr>
          <w:rFonts w:eastAsia="Times New Roman" w:cs="Times New Roman"/>
          <w:noProof/>
          <w:lang w:eastAsia="de-DE"/>
        </w:rPr>
        <w:pict w14:anchorId="4EECE98C">
          <v:rect id="_x0000_i1736" style="width:0;height:1.5pt" o:hralign="center" o:hrstd="t" o:hr="t" fillcolor="#a0a0a0" stroked="f"/>
        </w:pict>
      </w:r>
    </w:p>
    <w:p w14:paraId="3B42397F"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Kommentar:</w:t>
      </w:r>
      <w:r w:rsidRPr="004637CC">
        <w:rPr>
          <w:rFonts w:eastAsia="Times New Roman" w:cs="Times New Roman"/>
          <w:lang w:eastAsia="de-DE"/>
        </w:rPr>
        <w:t xml:space="preserve"> </w:t>
      </w:r>
      <w:r w:rsidRPr="004637CC">
        <w:rPr>
          <w:rFonts w:eastAsia="Times New Roman" w:cs="Times New Roman"/>
          <w:b/>
          <w:bCs/>
          <w:rtl/>
          <w:lang w:eastAsia="de-DE"/>
        </w:rPr>
        <w:t>ויקב בן־האשה הישראלית את־השם ויקלל ויביאו אתו אל־משה ושם אמו שלמית בת־דברי למטה־דן</w:t>
      </w:r>
      <w:r w:rsidRPr="004637CC">
        <w:rPr>
          <w:rFonts w:eastAsia="Times New Roman" w:cs="Times New Roman"/>
          <w:rtl/>
          <w:lang w:eastAsia="de-DE"/>
        </w:rPr>
        <w:t xml:space="preserve"> </w:t>
      </w:r>
      <w:r w:rsidRPr="004637CC">
        <w:rPr>
          <w:rFonts w:eastAsia="Times New Roman" w:cs="Times New Roman"/>
          <w:lang w:eastAsia="de-DE"/>
        </w:rPr>
        <w:t xml:space="preserve">zeigt das Vergehen der Gotteslästerung. </w:t>
      </w:r>
      <w:r w:rsidRPr="004637CC">
        <w:rPr>
          <w:rFonts w:eastAsia="Times New Roman" w:cs="Times New Roman"/>
          <w:b/>
          <w:bCs/>
          <w:rtl/>
          <w:lang w:eastAsia="de-DE"/>
        </w:rPr>
        <w:t>ויקב בן־האשה הישראלית את־השם ויקלל</w:t>
      </w:r>
      <w:r w:rsidRPr="004637CC">
        <w:rPr>
          <w:rFonts w:eastAsia="Times New Roman" w:cs="Times New Roman"/>
          <w:rtl/>
          <w:lang w:eastAsia="de-DE"/>
        </w:rPr>
        <w:t xml:space="preserve"> </w:t>
      </w:r>
      <w:r w:rsidRPr="004637CC">
        <w:rPr>
          <w:rFonts w:eastAsia="Times New Roman" w:cs="Times New Roman"/>
          <w:lang w:eastAsia="de-DE"/>
        </w:rPr>
        <w:t xml:space="preserve">(und der Sohn der Frau, der Israelin, lästerte den Namen und fluchte) - </w:t>
      </w:r>
      <w:r w:rsidRPr="004637CC">
        <w:rPr>
          <w:rFonts w:eastAsia="Times New Roman" w:cs="Times New Roman"/>
          <w:b/>
          <w:bCs/>
          <w:rtl/>
          <w:lang w:eastAsia="de-DE"/>
        </w:rPr>
        <w:t>ויקב</w:t>
      </w:r>
      <w:r w:rsidRPr="004637CC">
        <w:rPr>
          <w:rFonts w:eastAsia="Times New Roman" w:cs="Times New Roman"/>
          <w:rtl/>
          <w:lang w:eastAsia="de-DE"/>
        </w:rPr>
        <w:t xml:space="preserve"> </w:t>
      </w:r>
      <w:r w:rsidRPr="004637CC">
        <w:rPr>
          <w:rFonts w:eastAsia="Times New Roman" w:cs="Times New Roman"/>
          <w:lang w:eastAsia="de-DE"/>
        </w:rPr>
        <w:t xml:space="preserve">(und er lästerte) im Qal-Imperfekt mit Waw-Konsekutiv von </w:t>
      </w:r>
      <w:r w:rsidRPr="004637CC">
        <w:rPr>
          <w:rFonts w:eastAsia="Times New Roman" w:cs="Times New Roman"/>
          <w:b/>
          <w:bCs/>
          <w:rtl/>
          <w:lang w:eastAsia="de-DE"/>
        </w:rPr>
        <w:t>נקב</w:t>
      </w:r>
      <w:r w:rsidRPr="004637CC">
        <w:rPr>
          <w:rFonts w:eastAsia="Times New Roman" w:cs="Times New Roman"/>
          <w:rtl/>
          <w:lang w:eastAsia="de-DE"/>
        </w:rPr>
        <w:t xml:space="preserve"> </w:t>
      </w:r>
      <w:r w:rsidRPr="004637CC">
        <w:rPr>
          <w:rFonts w:eastAsia="Times New Roman" w:cs="Times New Roman"/>
          <w:lang w:eastAsia="de-DE"/>
        </w:rPr>
        <w:t xml:space="preserve">(durchbohren/lästern). </w:t>
      </w:r>
      <w:r w:rsidRPr="004637CC">
        <w:rPr>
          <w:rFonts w:eastAsia="Times New Roman" w:cs="Times New Roman"/>
          <w:b/>
          <w:bCs/>
          <w:rtl/>
          <w:lang w:eastAsia="de-DE"/>
        </w:rPr>
        <w:t>את־השם</w:t>
      </w:r>
      <w:r w:rsidRPr="004637CC">
        <w:rPr>
          <w:rFonts w:eastAsia="Times New Roman" w:cs="Times New Roman"/>
          <w:rtl/>
          <w:lang w:eastAsia="de-DE"/>
        </w:rPr>
        <w:t xml:space="preserve"> </w:t>
      </w:r>
      <w:r w:rsidRPr="004637CC">
        <w:rPr>
          <w:rFonts w:eastAsia="Times New Roman" w:cs="Times New Roman"/>
          <w:lang w:eastAsia="de-DE"/>
        </w:rPr>
        <w:t xml:space="preserve">(den Namen) zeigt den Gottesnamen JHWH. </w:t>
      </w:r>
      <w:r w:rsidRPr="004637CC">
        <w:rPr>
          <w:rFonts w:eastAsia="Times New Roman" w:cs="Times New Roman"/>
          <w:b/>
          <w:bCs/>
          <w:rtl/>
          <w:lang w:eastAsia="de-DE"/>
        </w:rPr>
        <w:t>ויקלל</w:t>
      </w:r>
      <w:r w:rsidRPr="004637CC">
        <w:rPr>
          <w:rFonts w:eastAsia="Times New Roman" w:cs="Times New Roman"/>
          <w:rtl/>
          <w:lang w:eastAsia="de-DE"/>
        </w:rPr>
        <w:t xml:space="preserve"> </w:t>
      </w:r>
      <w:r w:rsidRPr="004637CC">
        <w:rPr>
          <w:rFonts w:eastAsia="Times New Roman" w:cs="Times New Roman"/>
          <w:lang w:eastAsia="de-DE"/>
        </w:rPr>
        <w:t xml:space="preserve">(und er fluchte) im Piel-Imperfekt mit Waw-Konsekutiv von </w:t>
      </w:r>
      <w:r w:rsidRPr="004637CC">
        <w:rPr>
          <w:rFonts w:eastAsia="Times New Roman" w:cs="Times New Roman"/>
          <w:b/>
          <w:bCs/>
          <w:rtl/>
          <w:lang w:eastAsia="de-DE"/>
        </w:rPr>
        <w:t>קלל</w:t>
      </w:r>
      <w:r w:rsidRPr="004637CC">
        <w:rPr>
          <w:rFonts w:eastAsia="Times New Roman" w:cs="Times New Roman"/>
          <w:lang w:eastAsia="de-DE"/>
        </w:rPr>
        <w:t>.</w:t>
      </w:r>
    </w:p>
    <w:p w14:paraId="76A4A1D6"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ויביאו אתו אל־משה</w:t>
      </w:r>
      <w:r w:rsidRPr="004637CC">
        <w:rPr>
          <w:rFonts w:eastAsia="Times New Roman" w:cs="Times New Roman"/>
          <w:rtl/>
          <w:lang w:eastAsia="de-DE"/>
        </w:rPr>
        <w:t xml:space="preserve"> </w:t>
      </w:r>
      <w:r w:rsidRPr="004637CC">
        <w:rPr>
          <w:rFonts w:eastAsia="Times New Roman" w:cs="Times New Roman"/>
          <w:lang w:eastAsia="de-DE"/>
        </w:rPr>
        <w:t xml:space="preserve">(da brachten sie ihn zu Mosche) zeigt die Reaktion der Gemeinschaft. </w:t>
      </w:r>
      <w:r w:rsidRPr="004637CC">
        <w:rPr>
          <w:rFonts w:eastAsia="Times New Roman" w:cs="Times New Roman"/>
          <w:b/>
          <w:bCs/>
          <w:rtl/>
          <w:lang w:eastAsia="de-DE"/>
        </w:rPr>
        <w:t>ושם אמו שלמית בת־דברי למטה־דן</w:t>
      </w:r>
      <w:r w:rsidRPr="004637CC">
        <w:rPr>
          <w:rFonts w:eastAsia="Times New Roman" w:cs="Times New Roman"/>
          <w:rtl/>
          <w:lang w:eastAsia="de-DE"/>
        </w:rPr>
        <w:t xml:space="preserve"> </w:t>
      </w:r>
      <w:r w:rsidRPr="004637CC">
        <w:rPr>
          <w:rFonts w:eastAsia="Times New Roman" w:cs="Times New Roman"/>
          <w:lang w:eastAsia="de-DE"/>
        </w:rPr>
        <w:t xml:space="preserve">(und der Name seiner Mutter war Schelomit, die Tochter Divris, vom Stamm Dan) - </w:t>
      </w:r>
      <w:r w:rsidRPr="004637CC">
        <w:rPr>
          <w:rFonts w:eastAsia="Times New Roman" w:cs="Times New Roman"/>
          <w:b/>
          <w:bCs/>
          <w:rtl/>
          <w:lang w:eastAsia="de-DE"/>
        </w:rPr>
        <w:t>שלמית</w:t>
      </w:r>
      <w:r w:rsidRPr="004637CC">
        <w:rPr>
          <w:rFonts w:eastAsia="Times New Roman" w:cs="Times New Roman"/>
          <w:rtl/>
          <w:lang w:eastAsia="de-DE"/>
        </w:rPr>
        <w:t xml:space="preserve"> </w:t>
      </w:r>
      <w:r w:rsidRPr="004637CC">
        <w:rPr>
          <w:rFonts w:eastAsia="Times New Roman" w:cs="Times New Roman"/>
          <w:lang w:eastAsia="de-DE"/>
        </w:rPr>
        <w:t xml:space="preserve">(Schelomit) als Name. </w:t>
      </w:r>
      <w:r w:rsidRPr="004637CC">
        <w:rPr>
          <w:rFonts w:eastAsia="Times New Roman" w:cs="Times New Roman"/>
          <w:b/>
          <w:bCs/>
          <w:rtl/>
          <w:lang w:eastAsia="de-DE"/>
        </w:rPr>
        <w:t>בת־דברי</w:t>
      </w:r>
      <w:r w:rsidRPr="004637CC">
        <w:rPr>
          <w:rFonts w:eastAsia="Times New Roman" w:cs="Times New Roman"/>
          <w:rtl/>
          <w:lang w:eastAsia="de-DE"/>
        </w:rPr>
        <w:t xml:space="preserve"> </w:t>
      </w:r>
      <w:r w:rsidRPr="004637CC">
        <w:rPr>
          <w:rFonts w:eastAsia="Times New Roman" w:cs="Times New Roman"/>
          <w:lang w:eastAsia="de-DE"/>
        </w:rPr>
        <w:t xml:space="preserve">(Tochter des </w:t>
      </w:r>
      <w:proofErr w:type="spellStart"/>
      <w:r w:rsidRPr="004637CC">
        <w:rPr>
          <w:rFonts w:eastAsia="Times New Roman" w:cs="Times New Roman"/>
          <w:lang w:eastAsia="de-DE"/>
        </w:rPr>
        <w:t>Divri</w:t>
      </w:r>
      <w:proofErr w:type="spellEnd"/>
      <w:r w:rsidRPr="004637CC">
        <w:rPr>
          <w:rFonts w:eastAsia="Times New Roman" w:cs="Times New Roman"/>
          <w:lang w:eastAsia="de-DE"/>
        </w:rPr>
        <w:t xml:space="preserve">). </w:t>
      </w:r>
      <w:r w:rsidRPr="004637CC">
        <w:rPr>
          <w:rFonts w:eastAsia="Times New Roman" w:cs="Times New Roman"/>
          <w:b/>
          <w:bCs/>
          <w:rtl/>
          <w:lang w:eastAsia="de-DE"/>
        </w:rPr>
        <w:t>למטה־דן</w:t>
      </w:r>
      <w:r w:rsidRPr="004637CC">
        <w:rPr>
          <w:rFonts w:eastAsia="Times New Roman" w:cs="Times New Roman"/>
          <w:rtl/>
          <w:lang w:eastAsia="de-DE"/>
        </w:rPr>
        <w:t xml:space="preserve"> </w:t>
      </w:r>
      <w:r w:rsidRPr="004637CC">
        <w:rPr>
          <w:rFonts w:eastAsia="Times New Roman" w:cs="Times New Roman"/>
          <w:lang w:eastAsia="de-DE"/>
        </w:rPr>
        <w:t>(vom Stamm Dan) zeigt Stammeszugehörigkeit der Mutter.</w:t>
      </w:r>
    </w:p>
    <w:p w14:paraId="24E193BE"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rtl/>
          <w:lang w:eastAsia="de-DE"/>
        </w:rPr>
        <w:t>ויקב את־השם</w:t>
      </w:r>
      <w:r w:rsidRPr="004637CC">
        <w:rPr>
          <w:rFonts w:eastAsia="Times New Roman" w:cs="Times New Roman"/>
          <w:rtl/>
          <w:lang w:eastAsia="de-DE"/>
        </w:rPr>
        <w:t xml:space="preserve"> </w:t>
      </w:r>
      <w:r w:rsidRPr="004637CC">
        <w:rPr>
          <w:rFonts w:eastAsia="Times New Roman" w:cs="Times New Roman"/>
          <w:lang w:eastAsia="de-DE"/>
        </w:rPr>
        <w:t xml:space="preserve">zeigt schwere Gotteslästerung. </w:t>
      </w:r>
      <w:r w:rsidRPr="004637CC">
        <w:rPr>
          <w:rFonts w:eastAsia="Times New Roman" w:cs="Times New Roman"/>
          <w:b/>
          <w:bCs/>
          <w:rtl/>
          <w:lang w:eastAsia="de-DE"/>
        </w:rPr>
        <w:t>ויקלל</w:t>
      </w:r>
      <w:r w:rsidRPr="004637CC">
        <w:rPr>
          <w:rFonts w:eastAsia="Times New Roman" w:cs="Times New Roman"/>
          <w:rtl/>
          <w:lang w:eastAsia="de-DE"/>
        </w:rPr>
        <w:t xml:space="preserve"> </w:t>
      </w:r>
      <w:r w:rsidRPr="004637CC">
        <w:rPr>
          <w:rFonts w:eastAsia="Times New Roman" w:cs="Times New Roman"/>
          <w:lang w:eastAsia="de-DE"/>
        </w:rPr>
        <w:t xml:space="preserve">verstärkt das Vergehen. </w:t>
      </w:r>
      <w:r w:rsidRPr="004637CC">
        <w:rPr>
          <w:rFonts w:eastAsia="Times New Roman" w:cs="Times New Roman"/>
          <w:b/>
          <w:bCs/>
          <w:rtl/>
          <w:lang w:eastAsia="de-DE"/>
        </w:rPr>
        <w:t>אל־משה</w:t>
      </w:r>
      <w:r w:rsidRPr="004637CC">
        <w:rPr>
          <w:rFonts w:eastAsia="Times New Roman" w:cs="Times New Roman"/>
          <w:rtl/>
          <w:lang w:eastAsia="de-DE"/>
        </w:rPr>
        <w:t xml:space="preserve"> </w:t>
      </w:r>
      <w:r w:rsidRPr="004637CC">
        <w:rPr>
          <w:rFonts w:eastAsia="Times New Roman" w:cs="Times New Roman"/>
          <w:lang w:eastAsia="de-DE"/>
        </w:rPr>
        <w:t xml:space="preserve">zeigt Rechtssuchung. </w:t>
      </w:r>
      <w:r w:rsidRPr="004637CC">
        <w:rPr>
          <w:rFonts w:eastAsia="Times New Roman" w:cs="Times New Roman"/>
          <w:b/>
          <w:bCs/>
          <w:rtl/>
          <w:lang w:eastAsia="de-DE"/>
        </w:rPr>
        <w:t>למטה־דן</w:t>
      </w:r>
      <w:r w:rsidRPr="004637CC">
        <w:rPr>
          <w:rFonts w:eastAsia="Times New Roman" w:cs="Times New Roman"/>
          <w:rtl/>
          <w:lang w:eastAsia="de-DE"/>
        </w:rPr>
        <w:t xml:space="preserve"> </w:t>
      </w:r>
      <w:r w:rsidRPr="004637CC">
        <w:rPr>
          <w:rFonts w:eastAsia="Times New Roman" w:cs="Times New Roman"/>
          <w:lang w:eastAsia="de-DE"/>
        </w:rPr>
        <w:t>zeigt mütterliche Stammeszugehörigkeit.</w:t>
      </w:r>
    </w:p>
    <w:p w14:paraId="7CEDA361" w14:textId="4BC96E3F"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lastRenderedPageBreak/>
        <w:t>Die LXX</w:t>
      </w:r>
      <w:r w:rsidRPr="004637CC">
        <w:rPr>
          <w:rFonts w:eastAsia="Times New Roman" w:cs="Times New Roman"/>
          <w:lang w:eastAsia="de-DE"/>
        </w:rPr>
        <w:t xml:space="preserve"> </w:t>
      </w:r>
      <w:r w:rsidR="009104A2">
        <w:t xml:space="preserve">interpretiert </w:t>
      </w:r>
      <w:r w:rsidR="009104A2">
        <w:rPr>
          <w:rtl/>
        </w:rPr>
        <w:t>ויקב את־השם</w:t>
      </w:r>
      <w:r w:rsidR="009104A2">
        <w:t xml:space="preserve"> (</w:t>
      </w:r>
      <w:proofErr w:type="spellStart"/>
      <w:r w:rsidR="009104A2">
        <w:t>wayyiqqov</w:t>
      </w:r>
      <w:proofErr w:type="spellEnd"/>
      <w:r w:rsidR="009104A2">
        <w:t xml:space="preserve"> et-</w:t>
      </w:r>
      <w:proofErr w:type="spellStart"/>
      <w:r w:rsidR="009104A2">
        <w:t>hashem</w:t>
      </w:r>
      <w:proofErr w:type="spellEnd"/>
      <w:r w:rsidR="009104A2">
        <w:t xml:space="preserve"> - "und er durchbohrte/nannte den Namen") als καὶ ἐπ</w:t>
      </w:r>
      <w:proofErr w:type="spellStart"/>
      <w:r w:rsidR="009104A2">
        <w:t>ονομάσ</w:t>
      </w:r>
      <w:proofErr w:type="spellEnd"/>
      <w:r w:rsidR="009104A2">
        <w:t xml:space="preserve">ας... </w:t>
      </w:r>
      <w:proofErr w:type="spellStart"/>
      <w:r w:rsidR="009104A2">
        <w:t>τὸ</w:t>
      </w:r>
      <w:proofErr w:type="spellEnd"/>
      <w:r w:rsidR="009104A2">
        <w:t xml:space="preserve"> </w:t>
      </w:r>
      <w:proofErr w:type="spellStart"/>
      <w:r w:rsidR="009104A2">
        <w:t>ὄνομ</w:t>
      </w:r>
      <w:proofErr w:type="spellEnd"/>
      <w:r w:rsidR="009104A2">
        <w:t>α κα</w:t>
      </w:r>
      <w:proofErr w:type="spellStart"/>
      <w:r w:rsidR="009104A2">
        <w:t>τηράσ</w:t>
      </w:r>
      <w:proofErr w:type="spellEnd"/>
      <w:r w:rsidR="009104A2">
        <w:t>ατο (und nachdem er den Namen genannt hatte, verfluchte er), was eine zweistufige Handlung beschreibt. Die Namen werden als Σα</w:t>
      </w:r>
      <w:proofErr w:type="spellStart"/>
      <w:r w:rsidR="009104A2">
        <w:t>λωμὶθ</w:t>
      </w:r>
      <w:proofErr w:type="spellEnd"/>
      <w:r w:rsidR="009104A2">
        <w:t xml:space="preserve"> </w:t>
      </w:r>
      <w:proofErr w:type="spellStart"/>
      <w:r w:rsidR="009104A2">
        <w:t>θυγάτηρ</w:t>
      </w:r>
      <w:proofErr w:type="spellEnd"/>
      <w:r w:rsidR="009104A2">
        <w:t xml:space="preserve"> Δαβ</w:t>
      </w:r>
      <w:proofErr w:type="spellStart"/>
      <w:r w:rsidR="009104A2">
        <w:t>ρί</w:t>
      </w:r>
      <w:proofErr w:type="spellEnd"/>
      <w:r w:rsidR="009104A2">
        <w:t xml:space="preserve"> (</w:t>
      </w:r>
      <w:proofErr w:type="spellStart"/>
      <w:r w:rsidR="009104A2">
        <w:t>Salomith</w:t>
      </w:r>
      <w:proofErr w:type="spellEnd"/>
      <w:r w:rsidR="009104A2">
        <w:t xml:space="preserve">, Tochter des </w:t>
      </w:r>
      <w:proofErr w:type="spellStart"/>
      <w:r w:rsidR="009104A2">
        <w:t>Dabri</w:t>
      </w:r>
      <w:proofErr w:type="spellEnd"/>
      <w:r w:rsidR="009104A2">
        <w:t>) wiedergegeben.</w:t>
      </w:r>
    </w:p>
    <w:p w14:paraId="43A1CBC1"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b/>
          <w:bCs/>
          <w:lang w:eastAsia="de-DE"/>
        </w:rPr>
        <w:t>Die Satzstruktur</w:t>
      </w:r>
      <w:r w:rsidRPr="004637CC">
        <w:rPr>
          <w:rFonts w:eastAsia="Times New Roman" w:cs="Times New Roman"/>
          <w:lang w:eastAsia="de-DE"/>
        </w:rPr>
        <w:t xml:space="preserve"> zeigt Gotteslästerung: Namenslästerung + Fluch + Verhaftung zu Mosche + Mutteridentifikation + Stammeszugehörigkeit.</w:t>
      </w:r>
    </w:p>
    <w:p w14:paraId="31128D58" w14:textId="77777777" w:rsidR="004637CC" w:rsidRPr="004637CC" w:rsidRDefault="004637CC" w:rsidP="004637CC">
      <w:pPr>
        <w:spacing w:before="100" w:beforeAutospacing="1" w:after="100" w:afterAutospacing="1" w:line="240" w:lineRule="auto"/>
        <w:rPr>
          <w:rFonts w:eastAsia="Times New Roman" w:cs="Times New Roman"/>
          <w:lang w:eastAsia="de-DE"/>
        </w:rPr>
      </w:pPr>
      <w:r w:rsidRPr="004637CC">
        <w:rPr>
          <w:rFonts w:eastAsia="Times New Roman" w:cs="Times New Roman"/>
          <w:lang w:eastAsia="de-DE"/>
        </w:rPr>
        <w:t>Dieser Vers zeigt das schwere Vergehen der Gotteslästerung durch den Mischehen-Sohn und seine Überführung zu Mosche.</w:t>
      </w:r>
    </w:p>
    <w:p w14:paraId="5B88E0F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24,12</w:t>
      </w:r>
    </w:p>
    <w:p w14:paraId="2D2BAC6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וַיַּנִּיחֻ֖הוּ בַּמִּשְׁמָ֑ר לִפְרֹ֥שׁ לָהֶ֖ם עַל־פִּ֥י יְהוָֽה׃</w:t>
      </w:r>
    </w:p>
    <w:p w14:paraId="7F813C6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sie legten ihn in Gewahrsam, damit ihnen Weisung erteilt würde nach dem Mund des Ewigen.</w:t>
      </w:r>
    </w:p>
    <w:p w14:paraId="1BF872C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CA3C8D8">
          <v:rect id="_x0000_i1737" style="width:0;height:1.5pt" o:hralign="center" o:hrstd="t" o:hr="t" fillcolor="#a0a0a0" stroked="f"/>
        </w:pict>
      </w:r>
    </w:p>
    <w:p w14:paraId="2558DB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ויניחהו במשמר לפרש להם על־פי יהוה</w:t>
      </w:r>
      <w:r w:rsidRPr="00CC6F7E">
        <w:rPr>
          <w:rFonts w:eastAsia="Times New Roman" w:cs="Times New Roman"/>
          <w:rtl/>
          <w:lang w:eastAsia="de-DE"/>
        </w:rPr>
        <w:t xml:space="preserve"> </w:t>
      </w:r>
      <w:r w:rsidRPr="00CC6F7E">
        <w:rPr>
          <w:rFonts w:eastAsia="Times New Roman" w:cs="Times New Roman"/>
          <w:lang w:eastAsia="de-DE"/>
        </w:rPr>
        <w:t xml:space="preserve">zeigt das Verfahren bei ungeklärten Rechtsfällen. </w:t>
      </w:r>
      <w:r w:rsidRPr="00CC6F7E">
        <w:rPr>
          <w:rFonts w:eastAsia="Times New Roman" w:cs="Times New Roman"/>
          <w:b/>
          <w:bCs/>
          <w:rtl/>
          <w:lang w:eastAsia="de-DE"/>
        </w:rPr>
        <w:t>ויניחהו במשמר</w:t>
      </w:r>
      <w:r w:rsidRPr="00CC6F7E">
        <w:rPr>
          <w:rFonts w:eastAsia="Times New Roman" w:cs="Times New Roman"/>
          <w:rtl/>
          <w:lang w:eastAsia="de-DE"/>
        </w:rPr>
        <w:t xml:space="preserve"> </w:t>
      </w:r>
      <w:r w:rsidRPr="00CC6F7E">
        <w:rPr>
          <w:rFonts w:eastAsia="Times New Roman" w:cs="Times New Roman"/>
          <w:lang w:eastAsia="de-DE"/>
        </w:rPr>
        <w:t xml:space="preserve">(und sie legten ihn in Gewahrsam) - </w:t>
      </w:r>
      <w:r w:rsidRPr="00CC6F7E">
        <w:rPr>
          <w:rFonts w:eastAsia="Times New Roman" w:cs="Times New Roman"/>
          <w:b/>
          <w:bCs/>
          <w:rtl/>
          <w:lang w:eastAsia="de-DE"/>
        </w:rPr>
        <w:t>ויניחהו</w:t>
      </w:r>
      <w:r w:rsidRPr="00CC6F7E">
        <w:rPr>
          <w:rFonts w:eastAsia="Times New Roman" w:cs="Times New Roman"/>
          <w:rtl/>
          <w:lang w:eastAsia="de-DE"/>
        </w:rPr>
        <w:t xml:space="preserve"> </w:t>
      </w:r>
      <w:r w:rsidRPr="00CC6F7E">
        <w:rPr>
          <w:rFonts w:eastAsia="Times New Roman" w:cs="Times New Roman"/>
          <w:lang w:eastAsia="de-DE"/>
        </w:rPr>
        <w:t xml:space="preserve">(und sie legten ihn) im Hifil-Imperfekt mit Waw-Konsekutiv von </w:t>
      </w:r>
      <w:r w:rsidRPr="00CC6F7E">
        <w:rPr>
          <w:rFonts w:eastAsia="Times New Roman" w:cs="Times New Roman"/>
          <w:b/>
          <w:bCs/>
          <w:rtl/>
          <w:lang w:eastAsia="de-DE"/>
        </w:rPr>
        <w:t>נוח</w:t>
      </w:r>
      <w:r w:rsidRPr="00CC6F7E">
        <w:rPr>
          <w:rFonts w:eastAsia="Times New Roman" w:cs="Times New Roman"/>
          <w:rtl/>
          <w:lang w:eastAsia="de-DE"/>
        </w:rPr>
        <w:t xml:space="preserve"> </w:t>
      </w:r>
      <w:r w:rsidRPr="00CC6F7E">
        <w:rPr>
          <w:rFonts w:eastAsia="Times New Roman" w:cs="Times New Roman"/>
          <w:lang w:eastAsia="de-DE"/>
        </w:rPr>
        <w:t xml:space="preserve">(ruhen lassen). </w:t>
      </w:r>
      <w:r w:rsidRPr="00CC6F7E">
        <w:rPr>
          <w:rFonts w:eastAsia="Times New Roman" w:cs="Times New Roman"/>
          <w:b/>
          <w:bCs/>
          <w:rtl/>
          <w:lang w:eastAsia="de-DE"/>
        </w:rPr>
        <w:t>במשמר</w:t>
      </w:r>
      <w:r w:rsidRPr="00CC6F7E">
        <w:rPr>
          <w:rFonts w:eastAsia="Times New Roman" w:cs="Times New Roman"/>
          <w:rtl/>
          <w:lang w:eastAsia="de-DE"/>
        </w:rPr>
        <w:t xml:space="preserve"> </w:t>
      </w:r>
      <w:r w:rsidRPr="00CC6F7E">
        <w:rPr>
          <w:rFonts w:eastAsia="Times New Roman" w:cs="Times New Roman"/>
          <w:lang w:eastAsia="de-DE"/>
        </w:rPr>
        <w:t>(in Gewahrsam) zeigt Untersuchungshaft.</w:t>
      </w:r>
    </w:p>
    <w:p w14:paraId="5CE393A3" w14:textId="3F477C1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לפרש להם על־פי יהוה</w:t>
      </w:r>
      <w:r w:rsidRPr="00CC6F7E">
        <w:rPr>
          <w:rFonts w:eastAsia="Times New Roman" w:cs="Times New Roman"/>
          <w:rtl/>
          <w:lang w:eastAsia="de-DE"/>
        </w:rPr>
        <w:t xml:space="preserve"> </w:t>
      </w:r>
      <w:r w:rsidRPr="00CC6F7E">
        <w:rPr>
          <w:rFonts w:eastAsia="Times New Roman" w:cs="Times New Roman"/>
          <w:lang w:eastAsia="de-DE"/>
        </w:rPr>
        <w:t xml:space="preserve">(damit ihnen Weisung erteilt würde nach dem Mund des Ewigen) - </w:t>
      </w:r>
      <w:r w:rsidRPr="00CC6F7E">
        <w:rPr>
          <w:rFonts w:eastAsia="Times New Roman" w:cs="Times New Roman"/>
          <w:b/>
          <w:bCs/>
          <w:rtl/>
          <w:lang w:eastAsia="de-DE"/>
        </w:rPr>
        <w:t>לפרש</w:t>
      </w:r>
      <w:r w:rsidRPr="00CC6F7E">
        <w:rPr>
          <w:rFonts w:eastAsia="Times New Roman" w:cs="Times New Roman"/>
          <w:rtl/>
          <w:lang w:eastAsia="de-DE"/>
        </w:rPr>
        <w:t xml:space="preserve"> </w:t>
      </w:r>
      <w:r w:rsidRPr="00CC6F7E">
        <w:rPr>
          <w:rFonts w:eastAsia="Times New Roman" w:cs="Times New Roman"/>
          <w:lang w:eastAsia="de-DE"/>
        </w:rPr>
        <w:t>(um zu erklären/zu deuten) im Qal-Infinitiv-</w:t>
      </w:r>
      <w:r w:rsidR="00DE39DD">
        <w:rPr>
          <w:rFonts w:eastAsia="Times New Roman" w:cs="Times New Roman"/>
          <w:lang w:eastAsia="de-DE"/>
        </w:rPr>
        <w:t>Constructus</w:t>
      </w:r>
      <w:r w:rsidRPr="00CC6F7E">
        <w:rPr>
          <w:rFonts w:eastAsia="Times New Roman" w:cs="Times New Roman"/>
          <w:lang w:eastAsia="de-DE"/>
        </w:rPr>
        <w:t xml:space="preserve"> von </w:t>
      </w:r>
      <w:r w:rsidRPr="00CC6F7E">
        <w:rPr>
          <w:rFonts w:eastAsia="Times New Roman" w:cs="Times New Roman"/>
          <w:b/>
          <w:bCs/>
          <w:rtl/>
          <w:lang w:eastAsia="de-DE"/>
        </w:rPr>
        <w:t>פרש</w:t>
      </w:r>
      <w:r w:rsidRPr="00CC6F7E">
        <w:rPr>
          <w:rFonts w:eastAsia="Times New Roman" w:cs="Times New Roman"/>
          <w:rtl/>
          <w:lang w:eastAsia="de-DE"/>
        </w:rPr>
        <w:t xml:space="preserve"> </w:t>
      </w:r>
      <w:r w:rsidRPr="00CC6F7E">
        <w:rPr>
          <w:rFonts w:eastAsia="Times New Roman" w:cs="Times New Roman"/>
          <w:lang w:eastAsia="de-DE"/>
        </w:rPr>
        <w:t xml:space="preserve">zeigt Rechtsentscheidung. </w:t>
      </w:r>
      <w:r w:rsidRPr="00CC6F7E">
        <w:rPr>
          <w:rFonts w:eastAsia="Times New Roman" w:cs="Times New Roman"/>
          <w:b/>
          <w:bCs/>
          <w:rtl/>
          <w:lang w:eastAsia="de-DE"/>
        </w:rPr>
        <w:t>להם</w:t>
      </w:r>
      <w:r w:rsidRPr="00CC6F7E">
        <w:rPr>
          <w:rFonts w:eastAsia="Times New Roman" w:cs="Times New Roman"/>
          <w:rtl/>
          <w:lang w:eastAsia="de-DE"/>
        </w:rPr>
        <w:t xml:space="preserve"> </w:t>
      </w:r>
      <w:r w:rsidRPr="00CC6F7E">
        <w:rPr>
          <w:rFonts w:eastAsia="Times New Roman" w:cs="Times New Roman"/>
          <w:lang w:eastAsia="de-DE"/>
        </w:rPr>
        <w:t xml:space="preserve">(ihnen) bezieht sich auf die Gemeinschaft. </w:t>
      </w:r>
      <w:r w:rsidRPr="00CC6F7E">
        <w:rPr>
          <w:rFonts w:eastAsia="Times New Roman" w:cs="Times New Roman"/>
          <w:b/>
          <w:bCs/>
          <w:rtl/>
          <w:lang w:eastAsia="de-DE"/>
        </w:rPr>
        <w:t>על־פי יהוה</w:t>
      </w:r>
      <w:r w:rsidRPr="00CC6F7E">
        <w:rPr>
          <w:rFonts w:eastAsia="Times New Roman" w:cs="Times New Roman"/>
          <w:rtl/>
          <w:lang w:eastAsia="de-DE"/>
        </w:rPr>
        <w:t xml:space="preserve"> </w:t>
      </w:r>
      <w:r w:rsidRPr="00CC6F7E">
        <w:rPr>
          <w:rFonts w:eastAsia="Times New Roman" w:cs="Times New Roman"/>
          <w:lang w:eastAsia="de-DE"/>
        </w:rPr>
        <w:t>(nach dem Mund des Ewigen) zeigt göttliche Rechtsprechung.</w:t>
      </w:r>
    </w:p>
    <w:p w14:paraId="21A3B7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במשמר</w:t>
      </w:r>
      <w:r w:rsidRPr="00CC6F7E">
        <w:rPr>
          <w:rFonts w:eastAsia="Times New Roman" w:cs="Times New Roman"/>
          <w:rtl/>
          <w:lang w:eastAsia="de-DE"/>
        </w:rPr>
        <w:t xml:space="preserve"> </w:t>
      </w:r>
      <w:r w:rsidRPr="00CC6F7E">
        <w:rPr>
          <w:rFonts w:eastAsia="Times New Roman" w:cs="Times New Roman"/>
          <w:lang w:eastAsia="de-DE"/>
        </w:rPr>
        <w:t xml:space="preserve">zeigt ordnungsgemäßes Verfahren bis zur Urteilsfindung. </w:t>
      </w:r>
      <w:r w:rsidRPr="00CC6F7E">
        <w:rPr>
          <w:rFonts w:eastAsia="Times New Roman" w:cs="Times New Roman"/>
          <w:b/>
          <w:bCs/>
          <w:rtl/>
          <w:lang w:eastAsia="de-DE"/>
        </w:rPr>
        <w:t>לפרש על־פי יהוה</w:t>
      </w:r>
      <w:r w:rsidRPr="00CC6F7E">
        <w:rPr>
          <w:rFonts w:eastAsia="Times New Roman" w:cs="Times New Roman"/>
          <w:rtl/>
          <w:lang w:eastAsia="de-DE"/>
        </w:rPr>
        <w:t xml:space="preserve"> </w:t>
      </w:r>
      <w:r w:rsidRPr="00CC6F7E">
        <w:rPr>
          <w:rFonts w:eastAsia="Times New Roman" w:cs="Times New Roman"/>
          <w:lang w:eastAsia="de-DE"/>
        </w:rPr>
        <w:t>zeigt göttliche Rechtsprechungsautorität bei Präzedenzfällen.</w:t>
      </w:r>
    </w:p>
    <w:p w14:paraId="20CECF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ויניחהו במשמר</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έθεντο</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φυλ</w:t>
      </w:r>
      <w:proofErr w:type="spellEnd"/>
      <w:r w:rsidRPr="00CC6F7E">
        <w:rPr>
          <w:rFonts w:eastAsia="Times New Roman" w:cs="Times New Roman"/>
          <w:lang w:eastAsia="de-DE"/>
        </w:rPr>
        <w:t xml:space="preserve">ακήν (legten ihn ins Gefängnis), </w:t>
      </w:r>
      <w:r w:rsidRPr="00CC6F7E">
        <w:rPr>
          <w:rFonts w:eastAsia="Times New Roman" w:cs="Times New Roman"/>
          <w:b/>
          <w:bCs/>
          <w:rtl/>
          <w:lang w:eastAsia="de-DE"/>
        </w:rPr>
        <w:t>לפרש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ασαφῆσαι (zu erklären) und </w:t>
      </w:r>
      <w:r w:rsidRPr="00CC6F7E">
        <w:rPr>
          <w:rFonts w:eastAsia="Times New Roman" w:cs="Times New Roman"/>
          <w:b/>
          <w:bCs/>
          <w:rtl/>
          <w:lang w:eastAsia="de-DE"/>
        </w:rPr>
        <w:t>על־פי 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διὰ</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ροστάγμ</w:t>
      </w:r>
      <w:proofErr w:type="spellEnd"/>
      <w:r w:rsidRPr="00CC6F7E">
        <w:rPr>
          <w:rFonts w:eastAsia="Times New Roman" w:cs="Times New Roman"/>
          <w:lang w:eastAsia="de-DE"/>
        </w:rPr>
        <w:t xml:space="preserve">ατος </w:t>
      </w:r>
      <w:proofErr w:type="spellStart"/>
      <w:r w:rsidRPr="00CC6F7E">
        <w:rPr>
          <w:rFonts w:eastAsia="Times New Roman" w:cs="Times New Roman"/>
          <w:lang w:eastAsia="de-DE"/>
        </w:rPr>
        <w:t>κυρίου</w:t>
      </w:r>
      <w:proofErr w:type="spellEnd"/>
      <w:r w:rsidRPr="00CC6F7E">
        <w:rPr>
          <w:rFonts w:eastAsia="Times New Roman" w:cs="Times New Roman"/>
          <w:lang w:eastAsia="de-DE"/>
        </w:rPr>
        <w:t xml:space="preserve"> (durch Befehl des Herrn).</w:t>
      </w:r>
    </w:p>
    <w:p w14:paraId="390C51A7" w14:textId="6B191AF2"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Rechtsverfahren: </w:t>
      </w:r>
      <w:r w:rsidR="009A271E" w:rsidRPr="00CC6F7E">
        <w:rPr>
          <w:rFonts w:eastAsia="Times New Roman" w:cs="Times New Roman"/>
          <w:lang w:eastAsia="de-DE"/>
        </w:rPr>
        <w:t>Ingewahrsamnahme</w:t>
      </w:r>
      <w:r w:rsidRPr="00CC6F7E">
        <w:rPr>
          <w:rFonts w:eastAsia="Times New Roman" w:cs="Times New Roman"/>
          <w:lang w:eastAsia="de-DE"/>
        </w:rPr>
        <w:t xml:space="preserve"> + Wartung auf göttliche Weisung + göttliche Rechtsprechungsautorität.</w:t>
      </w:r>
    </w:p>
    <w:p w14:paraId="28A54C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 ordnungsgemäße Verfahren bei ungeklärten Rechtsfällen durch Gewahrsam bis zur göttlichen Rechtsweisung.</w:t>
      </w:r>
    </w:p>
    <w:p w14:paraId="686A681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24,13</w:t>
      </w:r>
    </w:p>
    <w:p w14:paraId="552859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וַיְדַבֵּ֥ר יְהוָ֖ה אֶל־מֹשֶׁ֥ה לֵּאמֹֽר׃</w:t>
      </w:r>
    </w:p>
    <w:p w14:paraId="0809FBB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der Ewige redete zu Mosche, sagend:</w:t>
      </w:r>
    </w:p>
    <w:p w14:paraId="02099690"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lastRenderedPageBreak/>
        <w:pict w14:anchorId="325D03FA">
          <v:rect id="_x0000_i1738" style="width:0;height:1.5pt" o:hralign="center" o:hrstd="t" o:hr="t" fillcolor="#a0a0a0" stroked="f"/>
        </w:pict>
      </w:r>
    </w:p>
    <w:p w14:paraId="44E1BCF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וידבר יהוה אל־משה לאמר</w:t>
      </w:r>
      <w:r w:rsidRPr="00CC6F7E">
        <w:rPr>
          <w:rFonts w:eastAsia="Times New Roman" w:cs="Times New Roman"/>
          <w:rtl/>
          <w:lang w:eastAsia="de-DE"/>
        </w:rPr>
        <w:t xml:space="preserve"> </w:t>
      </w:r>
      <w:r w:rsidRPr="00CC6F7E">
        <w:rPr>
          <w:rFonts w:eastAsia="Times New Roman" w:cs="Times New Roman"/>
          <w:lang w:eastAsia="de-DE"/>
        </w:rPr>
        <w:t>als Offenbarungseinleitung für das göttliche Urteil im Gotteslästerungsfall. Diese göttliche Antwort etabliert das Präzedenzrecht für zukünftige ähnliche Fälle.</w:t>
      </w:r>
    </w:p>
    <w:p w14:paraId="231A77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leitet die göttliche Rechtsprechung im Gotteslästerungsfall ein.</w:t>
      </w:r>
    </w:p>
    <w:p w14:paraId="49604261"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24,14</w:t>
      </w:r>
    </w:p>
    <w:p w14:paraId="0CDF68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הוֹצֵ֣א אֶת־הַֽמְקַלֵּ֗ל אֶל־מִחוּץ֙ לַֽמַּחֲנֶ֔ה וְסָמְכ֧וּ כָֽל־הַשֹּׁמְעִ֛ים אֶת־יְדֵיהֶ֖ם עַל־רֹאשֹׁ֑ו וְרָגְמ֥וּ אֹתוֹ֖ כָּל־הָעֵדָֽה׃</w:t>
      </w:r>
    </w:p>
    <w:p w14:paraId="71C8C58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Führe den Flucher hinaus vor das Lager, und alle, die es gehört haben, sollen ihre Hände auf seinen Kopf stützen, und die ganze Gemeinde soll ihn steinigen.</w:t>
      </w:r>
    </w:p>
    <w:p w14:paraId="3E4DC04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56E4AE3">
          <v:rect id="_x0000_i1739" style="width:0;height:1.5pt" o:hralign="center" o:hrstd="t" o:hr="t" fillcolor="#a0a0a0" stroked="f"/>
        </w:pict>
      </w:r>
    </w:p>
    <w:p w14:paraId="47D72D1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הוצא את־המקלל אל־מחוץ למחנה וסמכו כל־השמעים את־ידיהם על־ראשו ורגמו אתו כל־העדה</w:t>
      </w:r>
      <w:r w:rsidRPr="00CC6F7E">
        <w:rPr>
          <w:rFonts w:eastAsia="Times New Roman" w:cs="Times New Roman"/>
          <w:rtl/>
          <w:lang w:eastAsia="de-DE"/>
        </w:rPr>
        <w:t xml:space="preserve"> </w:t>
      </w:r>
      <w:r w:rsidRPr="00CC6F7E">
        <w:rPr>
          <w:rFonts w:eastAsia="Times New Roman" w:cs="Times New Roman"/>
          <w:lang w:eastAsia="de-DE"/>
        </w:rPr>
        <w:t xml:space="preserve">zeigt das Todesurteil und Hinrichtungsverfahren. </w:t>
      </w:r>
      <w:r w:rsidRPr="00CC6F7E">
        <w:rPr>
          <w:rFonts w:eastAsia="Times New Roman" w:cs="Times New Roman"/>
          <w:b/>
          <w:bCs/>
          <w:rtl/>
          <w:lang w:eastAsia="de-DE"/>
        </w:rPr>
        <w:t>הוצא את־המקלל אל־מחוץ למחנה</w:t>
      </w:r>
      <w:r w:rsidRPr="00CC6F7E">
        <w:rPr>
          <w:rFonts w:eastAsia="Times New Roman" w:cs="Times New Roman"/>
          <w:rtl/>
          <w:lang w:eastAsia="de-DE"/>
        </w:rPr>
        <w:t xml:space="preserve"> </w:t>
      </w:r>
      <w:r w:rsidRPr="00CC6F7E">
        <w:rPr>
          <w:rFonts w:eastAsia="Times New Roman" w:cs="Times New Roman"/>
          <w:lang w:eastAsia="de-DE"/>
        </w:rPr>
        <w:t xml:space="preserve">(führe den Flucher hinaus vor das Lager) - </w:t>
      </w:r>
      <w:r w:rsidRPr="00CC6F7E">
        <w:rPr>
          <w:rFonts w:eastAsia="Times New Roman" w:cs="Times New Roman"/>
          <w:b/>
          <w:bCs/>
          <w:rtl/>
          <w:lang w:eastAsia="de-DE"/>
        </w:rPr>
        <w:t>הוצא</w:t>
      </w:r>
      <w:r w:rsidRPr="00CC6F7E">
        <w:rPr>
          <w:rFonts w:eastAsia="Times New Roman" w:cs="Times New Roman"/>
          <w:rtl/>
          <w:lang w:eastAsia="de-DE"/>
        </w:rPr>
        <w:t xml:space="preserve"> </w:t>
      </w:r>
      <w:r w:rsidRPr="00CC6F7E">
        <w:rPr>
          <w:rFonts w:eastAsia="Times New Roman" w:cs="Times New Roman"/>
          <w:lang w:eastAsia="de-DE"/>
        </w:rPr>
        <w:t xml:space="preserve">(führe hinaus) im Hifil-Imperativ. </w:t>
      </w:r>
      <w:r w:rsidRPr="00CC6F7E">
        <w:rPr>
          <w:rFonts w:eastAsia="Times New Roman" w:cs="Times New Roman"/>
          <w:b/>
          <w:bCs/>
          <w:rtl/>
          <w:lang w:eastAsia="de-DE"/>
        </w:rPr>
        <w:t>את־המקלל</w:t>
      </w:r>
      <w:r w:rsidRPr="00CC6F7E">
        <w:rPr>
          <w:rFonts w:eastAsia="Times New Roman" w:cs="Times New Roman"/>
          <w:rtl/>
          <w:lang w:eastAsia="de-DE"/>
        </w:rPr>
        <w:t xml:space="preserve"> </w:t>
      </w:r>
      <w:r w:rsidRPr="00CC6F7E">
        <w:rPr>
          <w:rFonts w:eastAsia="Times New Roman" w:cs="Times New Roman"/>
          <w:lang w:eastAsia="de-DE"/>
        </w:rPr>
        <w:t xml:space="preserve">(den Flucher) von </w:t>
      </w:r>
      <w:r w:rsidRPr="00CC6F7E">
        <w:rPr>
          <w:rFonts w:eastAsia="Times New Roman" w:cs="Times New Roman"/>
          <w:b/>
          <w:bCs/>
          <w:rtl/>
          <w:lang w:eastAsia="de-DE"/>
        </w:rPr>
        <w:t>קלל</w:t>
      </w:r>
      <w:r w:rsidRPr="00CC6F7E">
        <w:rPr>
          <w:rFonts w:eastAsia="Times New Roman" w:cs="Times New Roman"/>
          <w:lang w:eastAsia="de-DE"/>
        </w:rPr>
        <w:t xml:space="preserve">. </w:t>
      </w:r>
      <w:r w:rsidRPr="00CC6F7E">
        <w:rPr>
          <w:rFonts w:eastAsia="Times New Roman" w:cs="Times New Roman"/>
          <w:b/>
          <w:bCs/>
          <w:rtl/>
          <w:lang w:eastAsia="de-DE"/>
        </w:rPr>
        <w:t>אל־מחוץ למחנה</w:t>
      </w:r>
      <w:r w:rsidRPr="00CC6F7E">
        <w:rPr>
          <w:rFonts w:eastAsia="Times New Roman" w:cs="Times New Roman"/>
          <w:rtl/>
          <w:lang w:eastAsia="de-DE"/>
        </w:rPr>
        <w:t xml:space="preserve"> </w:t>
      </w:r>
      <w:r w:rsidRPr="00CC6F7E">
        <w:rPr>
          <w:rFonts w:eastAsia="Times New Roman" w:cs="Times New Roman"/>
          <w:lang w:eastAsia="de-DE"/>
        </w:rPr>
        <w:t>zeigt Hinrichtung außerhalb des heiligen Lagerbereichs.</w:t>
      </w:r>
    </w:p>
    <w:p w14:paraId="24EA243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וסמכו כל־השמעים את־ידיהם על־ראשו</w:t>
      </w:r>
      <w:r w:rsidRPr="00CC6F7E">
        <w:rPr>
          <w:rFonts w:eastAsia="Times New Roman" w:cs="Times New Roman"/>
          <w:rtl/>
          <w:lang w:eastAsia="de-DE"/>
        </w:rPr>
        <w:t xml:space="preserve"> </w:t>
      </w:r>
      <w:r w:rsidRPr="00CC6F7E">
        <w:rPr>
          <w:rFonts w:eastAsia="Times New Roman" w:cs="Times New Roman"/>
          <w:lang w:eastAsia="de-DE"/>
        </w:rPr>
        <w:t xml:space="preserve">(und alle, die es gehört haben, sollen ihre Hände auf seinen Kopf stützen) - </w:t>
      </w:r>
      <w:r w:rsidRPr="00CC6F7E">
        <w:rPr>
          <w:rFonts w:eastAsia="Times New Roman" w:cs="Times New Roman"/>
          <w:b/>
          <w:bCs/>
          <w:rtl/>
          <w:lang w:eastAsia="de-DE"/>
        </w:rPr>
        <w:t>וסמכו</w:t>
      </w:r>
      <w:r w:rsidRPr="00CC6F7E">
        <w:rPr>
          <w:rFonts w:eastAsia="Times New Roman" w:cs="Times New Roman"/>
          <w:rtl/>
          <w:lang w:eastAsia="de-DE"/>
        </w:rPr>
        <w:t xml:space="preserve"> </w:t>
      </w:r>
      <w:r w:rsidRPr="00CC6F7E">
        <w:rPr>
          <w:rFonts w:eastAsia="Times New Roman" w:cs="Times New Roman"/>
          <w:lang w:eastAsia="de-DE"/>
        </w:rPr>
        <w:t xml:space="preserve">(und sie sollen stützen) im Qal-Perfekt mit Waw-Konsekutiv von </w:t>
      </w:r>
      <w:r w:rsidRPr="00CC6F7E">
        <w:rPr>
          <w:rFonts w:eastAsia="Times New Roman" w:cs="Times New Roman"/>
          <w:b/>
          <w:bCs/>
          <w:rtl/>
          <w:lang w:eastAsia="de-DE"/>
        </w:rPr>
        <w:t>סמך</w:t>
      </w:r>
      <w:r w:rsidRPr="00CC6F7E">
        <w:rPr>
          <w:rFonts w:eastAsia="Times New Roman" w:cs="Times New Roman"/>
          <w:lang w:eastAsia="de-DE"/>
        </w:rPr>
        <w:t xml:space="preserve">. </w:t>
      </w:r>
      <w:r w:rsidRPr="00CC6F7E">
        <w:rPr>
          <w:rFonts w:eastAsia="Times New Roman" w:cs="Times New Roman"/>
          <w:b/>
          <w:bCs/>
          <w:rtl/>
          <w:lang w:eastAsia="de-DE"/>
        </w:rPr>
        <w:t>כל־השמעים</w:t>
      </w:r>
      <w:r w:rsidRPr="00CC6F7E">
        <w:rPr>
          <w:rFonts w:eastAsia="Times New Roman" w:cs="Times New Roman"/>
          <w:rtl/>
          <w:lang w:eastAsia="de-DE"/>
        </w:rPr>
        <w:t xml:space="preserve"> </w:t>
      </w:r>
      <w:r w:rsidRPr="00CC6F7E">
        <w:rPr>
          <w:rFonts w:eastAsia="Times New Roman" w:cs="Times New Roman"/>
          <w:lang w:eastAsia="de-DE"/>
        </w:rPr>
        <w:t xml:space="preserve">(alle Hörenden) zeigt die Zeugen. </w:t>
      </w:r>
      <w:r w:rsidRPr="00CC6F7E">
        <w:rPr>
          <w:rFonts w:eastAsia="Times New Roman" w:cs="Times New Roman"/>
          <w:b/>
          <w:bCs/>
          <w:rtl/>
          <w:lang w:eastAsia="de-DE"/>
        </w:rPr>
        <w:t>את־ידיהם על־ראשו</w:t>
      </w:r>
      <w:r w:rsidRPr="00CC6F7E">
        <w:rPr>
          <w:rFonts w:eastAsia="Times New Roman" w:cs="Times New Roman"/>
          <w:rtl/>
          <w:lang w:eastAsia="de-DE"/>
        </w:rPr>
        <w:t xml:space="preserve"> </w:t>
      </w:r>
      <w:r w:rsidRPr="00CC6F7E">
        <w:rPr>
          <w:rFonts w:eastAsia="Times New Roman" w:cs="Times New Roman"/>
          <w:lang w:eastAsia="de-DE"/>
        </w:rPr>
        <w:t xml:space="preserve">(ihre Hände auf seinen Kopf) zeigt </w:t>
      </w:r>
      <w:r w:rsidRPr="00CC6F7E">
        <w:rPr>
          <w:rFonts w:eastAsia="Times New Roman" w:cs="Times New Roman"/>
          <w:b/>
          <w:bCs/>
          <w:rtl/>
          <w:lang w:eastAsia="de-DE"/>
        </w:rPr>
        <w:t>סמיכה</w:t>
      </w:r>
      <w:r w:rsidRPr="00CC6F7E">
        <w:rPr>
          <w:rFonts w:eastAsia="Times New Roman" w:cs="Times New Roman"/>
          <w:lang w:eastAsia="de-DE"/>
        </w:rPr>
        <w:t>-Ritual zur Übertragung der Verantwortung/Schuld zurück auf den Täter.</w:t>
      </w:r>
    </w:p>
    <w:p w14:paraId="457B85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ורגמו אתו כל־העדה</w:t>
      </w:r>
      <w:r w:rsidRPr="00CC6F7E">
        <w:rPr>
          <w:rFonts w:eastAsia="Times New Roman" w:cs="Times New Roman"/>
          <w:rtl/>
          <w:lang w:eastAsia="de-DE"/>
        </w:rPr>
        <w:t xml:space="preserve"> </w:t>
      </w:r>
      <w:r w:rsidRPr="00CC6F7E">
        <w:rPr>
          <w:rFonts w:eastAsia="Times New Roman" w:cs="Times New Roman"/>
          <w:lang w:eastAsia="de-DE"/>
        </w:rPr>
        <w:t xml:space="preserve">(und die ganze Gemeinde soll ihn steinigen) - </w:t>
      </w:r>
      <w:r w:rsidRPr="00CC6F7E">
        <w:rPr>
          <w:rFonts w:eastAsia="Times New Roman" w:cs="Times New Roman"/>
          <w:b/>
          <w:bCs/>
          <w:rtl/>
          <w:lang w:eastAsia="de-DE"/>
        </w:rPr>
        <w:t>ורגמו</w:t>
      </w:r>
      <w:r w:rsidRPr="00CC6F7E">
        <w:rPr>
          <w:rFonts w:eastAsia="Times New Roman" w:cs="Times New Roman"/>
          <w:rtl/>
          <w:lang w:eastAsia="de-DE"/>
        </w:rPr>
        <w:t xml:space="preserve"> </w:t>
      </w:r>
      <w:r w:rsidRPr="00CC6F7E">
        <w:rPr>
          <w:rFonts w:eastAsia="Times New Roman" w:cs="Times New Roman"/>
          <w:lang w:eastAsia="de-DE"/>
        </w:rPr>
        <w:t xml:space="preserve">(und sie sollen steinigen) im Qal-Perfekt mit Waw-Konsekutiv von </w:t>
      </w:r>
      <w:r w:rsidRPr="00CC6F7E">
        <w:rPr>
          <w:rFonts w:eastAsia="Times New Roman" w:cs="Times New Roman"/>
          <w:b/>
          <w:bCs/>
          <w:rtl/>
          <w:lang w:eastAsia="de-DE"/>
        </w:rPr>
        <w:t>רגם</w:t>
      </w:r>
      <w:r w:rsidRPr="00CC6F7E">
        <w:rPr>
          <w:rFonts w:eastAsia="Times New Roman" w:cs="Times New Roman"/>
          <w:lang w:eastAsia="de-DE"/>
        </w:rPr>
        <w:t xml:space="preserve">. </w:t>
      </w:r>
      <w:r w:rsidRPr="00CC6F7E">
        <w:rPr>
          <w:rFonts w:eastAsia="Times New Roman" w:cs="Times New Roman"/>
          <w:b/>
          <w:bCs/>
          <w:rtl/>
          <w:lang w:eastAsia="de-DE"/>
        </w:rPr>
        <w:t>כל־העדה</w:t>
      </w:r>
      <w:r w:rsidRPr="00CC6F7E">
        <w:rPr>
          <w:rFonts w:eastAsia="Times New Roman" w:cs="Times New Roman"/>
          <w:rtl/>
          <w:lang w:eastAsia="de-DE"/>
        </w:rPr>
        <w:t xml:space="preserve"> </w:t>
      </w:r>
      <w:r w:rsidRPr="00CC6F7E">
        <w:rPr>
          <w:rFonts w:eastAsia="Times New Roman" w:cs="Times New Roman"/>
          <w:lang w:eastAsia="de-DE"/>
        </w:rPr>
        <w:t>(die ganze Gemeinde) zeigt Gemeinschaftsverantwortung für die Hinrichtung.</w:t>
      </w:r>
    </w:p>
    <w:p w14:paraId="2EC247C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אל־מחוץ למחנה</w:t>
      </w:r>
      <w:r w:rsidRPr="00CC6F7E">
        <w:rPr>
          <w:rFonts w:eastAsia="Times New Roman" w:cs="Times New Roman"/>
          <w:rtl/>
          <w:lang w:eastAsia="de-DE"/>
        </w:rPr>
        <w:t xml:space="preserve"> </w:t>
      </w:r>
      <w:r w:rsidRPr="00CC6F7E">
        <w:rPr>
          <w:rFonts w:eastAsia="Times New Roman" w:cs="Times New Roman"/>
          <w:lang w:eastAsia="de-DE"/>
        </w:rPr>
        <w:t xml:space="preserve">zeigt Entfernung der Unreinheit. </w:t>
      </w:r>
      <w:r w:rsidRPr="00CC6F7E">
        <w:rPr>
          <w:rFonts w:eastAsia="Times New Roman" w:cs="Times New Roman"/>
          <w:b/>
          <w:bCs/>
          <w:rtl/>
          <w:lang w:eastAsia="de-DE"/>
        </w:rPr>
        <w:t>כל־השמעים</w:t>
      </w:r>
      <w:r w:rsidRPr="00CC6F7E">
        <w:rPr>
          <w:rFonts w:eastAsia="Times New Roman" w:cs="Times New Roman"/>
          <w:rtl/>
          <w:lang w:eastAsia="de-DE"/>
        </w:rPr>
        <w:t xml:space="preserve"> </w:t>
      </w:r>
      <w:r w:rsidRPr="00CC6F7E">
        <w:rPr>
          <w:rFonts w:eastAsia="Times New Roman" w:cs="Times New Roman"/>
          <w:lang w:eastAsia="de-DE"/>
        </w:rPr>
        <w:t xml:space="preserve">betont Zeugenrolle. </w:t>
      </w:r>
      <w:r w:rsidRPr="00CC6F7E">
        <w:rPr>
          <w:rFonts w:eastAsia="Times New Roman" w:cs="Times New Roman"/>
          <w:b/>
          <w:bCs/>
          <w:rtl/>
          <w:lang w:eastAsia="de-DE"/>
        </w:rPr>
        <w:t>סמיכה</w:t>
      </w:r>
      <w:r w:rsidRPr="00CC6F7E">
        <w:rPr>
          <w:rFonts w:eastAsia="Times New Roman" w:cs="Times New Roman"/>
          <w:rtl/>
          <w:lang w:eastAsia="de-DE"/>
        </w:rPr>
        <w:t xml:space="preserve"> </w:t>
      </w:r>
      <w:r w:rsidRPr="00CC6F7E">
        <w:rPr>
          <w:rFonts w:eastAsia="Times New Roman" w:cs="Times New Roman"/>
          <w:lang w:eastAsia="de-DE"/>
        </w:rPr>
        <w:t xml:space="preserve">als Verantwortungsübertragung. </w:t>
      </w:r>
      <w:r w:rsidRPr="00CC6F7E">
        <w:rPr>
          <w:rFonts w:eastAsia="Times New Roman" w:cs="Times New Roman"/>
          <w:b/>
          <w:bCs/>
          <w:rtl/>
          <w:lang w:eastAsia="de-DE"/>
        </w:rPr>
        <w:t>כל־העדה</w:t>
      </w:r>
      <w:r w:rsidRPr="00CC6F7E">
        <w:rPr>
          <w:rFonts w:eastAsia="Times New Roman" w:cs="Times New Roman"/>
          <w:rtl/>
          <w:lang w:eastAsia="de-DE"/>
        </w:rPr>
        <w:t xml:space="preserve"> </w:t>
      </w:r>
      <w:r w:rsidRPr="00CC6F7E">
        <w:rPr>
          <w:rFonts w:eastAsia="Times New Roman" w:cs="Times New Roman"/>
          <w:lang w:eastAsia="de-DE"/>
        </w:rPr>
        <w:t>zeigt kollektive Hinrichtung.</w:t>
      </w:r>
    </w:p>
    <w:p w14:paraId="6E498D43" w14:textId="6816ADDD"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המקלל</w:t>
      </w:r>
      <w:r w:rsidR="009104A2">
        <w:t xml:space="preserve"> (</w:t>
      </w:r>
      <w:proofErr w:type="spellStart"/>
      <w:r w:rsidR="009104A2">
        <w:t>hameqallel</w:t>
      </w:r>
      <w:proofErr w:type="spellEnd"/>
      <w:r w:rsidR="009104A2">
        <w:t xml:space="preserve"> - "der Flucher") als </w:t>
      </w:r>
      <w:proofErr w:type="spellStart"/>
      <w:r w:rsidR="009104A2">
        <w:t>τὸν</w:t>
      </w:r>
      <w:proofErr w:type="spellEnd"/>
      <w:r w:rsidR="009104A2">
        <w:t xml:space="preserve"> καταρα</w:t>
      </w:r>
      <w:proofErr w:type="spellStart"/>
      <w:r w:rsidR="009104A2">
        <w:t>σάμενον</w:t>
      </w:r>
      <w:proofErr w:type="spellEnd"/>
      <w:r w:rsidR="009104A2">
        <w:t xml:space="preserve"> (den Verfluchenden). Das Handauflegen-Ritual wird präzise wiedergegeben: ἐπ</w:t>
      </w:r>
      <w:proofErr w:type="spellStart"/>
      <w:r w:rsidR="009104A2">
        <w:t>ιθήσουσιν</w:t>
      </w:r>
      <w:proofErr w:type="spellEnd"/>
      <w:r w:rsidR="009104A2">
        <w:t xml:space="preserve">... </w:t>
      </w:r>
      <w:proofErr w:type="spellStart"/>
      <w:r w:rsidR="009104A2">
        <w:t>τὰς</w:t>
      </w:r>
      <w:proofErr w:type="spellEnd"/>
      <w:r w:rsidR="009104A2">
        <w:t xml:space="preserve"> </w:t>
      </w:r>
      <w:proofErr w:type="spellStart"/>
      <w:r w:rsidR="009104A2">
        <w:t>χεῖρ</w:t>
      </w:r>
      <w:proofErr w:type="spellEnd"/>
      <w:r w:rsidR="009104A2">
        <w:t>ας α</w:t>
      </w:r>
      <w:proofErr w:type="spellStart"/>
      <w:r w:rsidR="009104A2">
        <w:t>ὐτῶν</w:t>
      </w:r>
      <w:proofErr w:type="spellEnd"/>
      <w:r w:rsidR="009104A2">
        <w:t xml:space="preserve"> ἐπὶ </w:t>
      </w:r>
      <w:proofErr w:type="spellStart"/>
      <w:r w:rsidR="009104A2">
        <w:t>τὴν</w:t>
      </w:r>
      <w:proofErr w:type="spellEnd"/>
      <w:r w:rsidR="009104A2">
        <w:t xml:space="preserve"> </w:t>
      </w:r>
      <w:proofErr w:type="spellStart"/>
      <w:r w:rsidR="009104A2">
        <w:t>κεφ</w:t>
      </w:r>
      <w:proofErr w:type="spellEnd"/>
      <w:r w:rsidR="009104A2">
        <w:t>αλὴν α</w:t>
      </w:r>
      <w:proofErr w:type="spellStart"/>
      <w:r w:rsidR="009104A2">
        <w:t>ὐτοῦ</w:t>
      </w:r>
      <w:proofErr w:type="spellEnd"/>
      <w:r w:rsidR="009104A2">
        <w:t xml:space="preserve"> (sie sollen ihre Hände auf seinen Kopf legen).</w:t>
      </w:r>
    </w:p>
    <w:p w14:paraId="16BD44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Hinrichtungsverfahren: Herausführung aus dem Lager + Zeugen-</w:t>
      </w:r>
      <w:r w:rsidRPr="00CC6F7E">
        <w:rPr>
          <w:rFonts w:eastAsia="Times New Roman" w:cs="Times New Roman"/>
          <w:b/>
          <w:bCs/>
          <w:rtl/>
          <w:lang w:eastAsia="de-DE"/>
        </w:rPr>
        <w:t>סמיכה</w:t>
      </w:r>
      <w:r w:rsidRPr="00CC6F7E">
        <w:rPr>
          <w:rFonts w:eastAsia="Times New Roman" w:cs="Times New Roman"/>
          <w:rtl/>
          <w:lang w:eastAsia="de-DE"/>
        </w:rPr>
        <w:t xml:space="preserve"> </w:t>
      </w:r>
      <w:r w:rsidRPr="00CC6F7E">
        <w:rPr>
          <w:rFonts w:eastAsia="Times New Roman" w:cs="Times New Roman"/>
          <w:lang w:eastAsia="de-DE"/>
        </w:rPr>
        <w:t>+ Gemeinschafts-Steinigung.</w:t>
      </w:r>
    </w:p>
    <w:p w14:paraId="760B9AD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Hinrichtungsverfahren für Gotteslästerung mit Zeugen-</w:t>
      </w:r>
      <w:r w:rsidRPr="00CC6F7E">
        <w:rPr>
          <w:rFonts w:eastAsia="Times New Roman" w:cs="Times New Roman"/>
          <w:b/>
          <w:bCs/>
          <w:rtl/>
          <w:lang w:eastAsia="de-DE"/>
        </w:rPr>
        <w:t>סמיכה</w:t>
      </w:r>
      <w:r w:rsidRPr="00CC6F7E">
        <w:rPr>
          <w:rFonts w:eastAsia="Times New Roman" w:cs="Times New Roman"/>
          <w:rtl/>
          <w:lang w:eastAsia="de-DE"/>
        </w:rPr>
        <w:t xml:space="preserve"> </w:t>
      </w:r>
      <w:r w:rsidRPr="00CC6F7E">
        <w:rPr>
          <w:rFonts w:eastAsia="Times New Roman" w:cs="Times New Roman"/>
          <w:lang w:eastAsia="de-DE"/>
        </w:rPr>
        <w:t>und Gemeinschafts-Steinigung.</w:t>
      </w:r>
    </w:p>
    <w:p w14:paraId="3640CFA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24,15</w:t>
      </w:r>
    </w:p>
    <w:p w14:paraId="6F6BED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וְאֶל־בְּנֵ֥י יִשְׂרָאֵ֖ל תְּדַבֵּ֣ר לֵאמֹ֑ר אִ֥ישׁ אִ֛ישׁ כִּֽי־יְקַלֵּ֥ל אֱלֹהָ֖יו וְנָשָׂ֥א חֶטְאֹֽו׃</w:t>
      </w:r>
    </w:p>
    <w:p w14:paraId="1A73BC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zu den Kindern Israels sollst du reden: Jedermann, der seinem Gott flucht, soll seine Sünde tragen.</w:t>
      </w:r>
    </w:p>
    <w:p w14:paraId="650D0A9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33BC1BA">
          <v:rect id="_x0000_i1740" style="width:0;height:1.5pt" o:hralign="center" o:hrstd="t" o:hr="t" fillcolor="#a0a0a0" stroked="f"/>
        </w:pict>
      </w:r>
    </w:p>
    <w:p w14:paraId="405BB9B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ואל־בני ישראל תדבר לאמר איש איש כי־יקלל אלהיו ונשא חטאו</w:t>
      </w:r>
      <w:r w:rsidRPr="00CC6F7E">
        <w:rPr>
          <w:rFonts w:eastAsia="Times New Roman" w:cs="Times New Roman"/>
          <w:rtl/>
          <w:lang w:eastAsia="de-DE"/>
        </w:rPr>
        <w:t xml:space="preserve"> </w:t>
      </w:r>
      <w:r w:rsidRPr="00CC6F7E">
        <w:rPr>
          <w:rFonts w:eastAsia="Times New Roman" w:cs="Times New Roman"/>
          <w:lang w:eastAsia="de-DE"/>
        </w:rPr>
        <w:t xml:space="preserve">etabliert das allgemeine Prinzip der Gottesfluch-Bestrafung. </w:t>
      </w:r>
      <w:r w:rsidRPr="00CC6F7E">
        <w:rPr>
          <w:rFonts w:eastAsia="Times New Roman" w:cs="Times New Roman"/>
          <w:b/>
          <w:bCs/>
          <w:rtl/>
          <w:lang w:eastAsia="de-DE"/>
        </w:rPr>
        <w:t>ואל־בני ישראל תדבר לאמר</w:t>
      </w:r>
      <w:r w:rsidRPr="00CC6F7E">
        <w:rPr>
          <w:rFonts w:eastAsia="Times New Roman" w:cs="Times New Roman"/>
          <w:rtl/>
          <w:lang w:eastAsia="de-DE"/>
        </w:rPr>
        <w:t xml:space="preserve"> </w:t>
      </w:r>
      <w:r w:rsidRPr="00CC6F7E">
        <w:rPr>
          <w:rFonts w:eastAsia="Times New Roman" w:cs="Times New Roman"/>
          <w:lang w:eastAsia="de-DE"/>
        </w:rPr>
        <w:t>(und zu den Kindern Israels sollst du reden) zeigt Gesetzesverkündigung an das ganze Volk.</w:t>
      </w:r>
    </w:p>
    <w:p w14:paraId="19F0752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איש איש כי־יקלל אלהיו ונשא חטאו</w:t>
      </w:r>
      <w:r w:rsidRPr="00CC6F7E">
        <w:rPr>
          <w:rFonts w:eastAsia="Times New Roman" w:cs="Times New Roman"/>
          <w:rtl/>
          <w:lang w:eastAsia="de-DE"/>
        </w:rPr>
        <w:t xml:space="preserve"> </w:t>
      </w:r>
      <w:r w:rsidRPr="00CC6F7E">
        <w:rPr>
          <w:rFonts w:eastAsia="Times New Roman" w:cs="Times New Roman"/>
          <w:lang w:eastAsia="de-DE"/>
        </w:rPr>
        <w:t xml:space="preserve">(jedermann, der seinem Gott flucht, soll seine Sünde tragen) - </w:t>
      </w:r>
      <w:r w:rsidRPr="00CC6F7E">
        <w:rPr>
          <w:rFonts w:eastAsia="Times New Roman" w:cs="Times New Roman"/>
          <w:b/>
          <w:bCs/>
          <w:rtl/>
          <w:lang w:eastAsia="de-DE"/>
        </w:rPr>
        <w:t>איש איש</w:t>
      </w:r>
      <w:r w:rsidRPr="00CC6F7E">
        <w:rPr>
          <w:rFonts w:eastAsia="Times New Roman" w:cs="Times New Roman"/>
          <w:rtl/>
          <w:lang w:eastAsia="de-DE"/>
        </w:rPr>
        <w:t xml:space="preserve"> </w:t>
      </w:r>
      <w:r w:rsidRPr="00CC6F7E">
        <w:rPr>
          <w:rFonts w:eastAsia="Times New Roman" w:cs="Times New Roman"/>
          <w:lang w:eastAsia="de-DE"/>
        </w:rPr>
        <w:t xml:space="preserve">als distributive Verdopplung zeigt universelle Anwendung. </w:t>
      </w:r>
      <w:r w:rsidRPr="00CC6F7E">
        <w:rPr>
          <w:rFonts w:eastAsia="Times New Roman" w:cs="Times New Roman"/>
          <w:b/>
          <w:bCs/>
          <w:rtl/>
          <w:lang w:eastAsia="de-DE"/>
        </w:rPr>
        <w:t>כי־יקלל אלהיו</w:t>
      </w:r>
      <w:r w:rsidRPr="00CC6F7E">
        <w:rPr>
          <w:rFonts w:eastAsia="Times New Roman" w:cs="Times New Roman"/>
          <w:rtl/>
          <w:lang w:eastAsia="de-DE"/>
        </w:rPr>
        <w:t xml:space="preserve"> </w:t>
      </w:r>
      <w:r w:rsidRPr="00CC6F7E">
        <w:rPr>
          <w:rFonts w:eastAsia="Times New Roman" w:cs="Times New Roman"/>
          <w:lang w:eastAsia="de-DE"/>
        </w:rPr>
        <w:t xml:space="preserve">(wenn er seinem Gott flucht) - </w:t>
      </w:r>
      <w:r w:rsidRPr="00CC6F7E">
        <w:rPr>
          <w:rFonts w:eastAsia="Times New Roman" w:cs="Times New Roman"/>
          <w:b/>
          <w:bCs/>
          <w:rtl/>
          <w:lang w:eastAsia="de-DE"/>
        </w:rPr>
        <w:t>יקלל</w:t>
      </w:r>
      <w:r w:rsidRPr="00CC6F7E">
        <w:rPr>
          <w:rFonts w:eastAsia="Times New Roman" w:cs="Times New Roman"/>
          <w:rtl/>
          <w:lang w:eastAsia="de-DE"/>
        </w:rPr>
        <w:t xml:space="preserve"> </w:t>
      </w:r>
      <w:r w:rsidRPr="00CC6F7E">
        <w:rPr>
          <w:rFonts w:eastAsia="Times New Roman" w:cs="Times New Roman"/>
          <w:lang w:eastAsia="de-DE"/>
        </w:rPr>
        <w:t xml:space="preserve">im Piel-Imperfekt von </w:t>
      </w:r>
      <w:r w:rsidRPr="00CC6F7E">
        <w:rPr>
          <w:rFonts w:eastAsia="Times New Roman" w:cs="Times New Roman"/>
          <w:b/>
          <w:bCs/>
          <w:rtl/>
          <w:lang w:eastAsia="de-DE"/>
        </w:rPr>
        <w:t>קלל</w:t>
      </w:r>
      <w:r w:rsidRPr="00CC6F7E">
        <w:rPr>
          <w:rFonts w:eastAsia="Times New Roman" w:cs="Times New Roman"/>
          <w:lang w:eastAsia="de-DE"/>
        </w:rPr>
        <w:t xml:space="preserve">. </w:t>
      </w:r>
      <w:r w:rsidRPr="00CC6F7E">
        <w:rPr>
          <w:rFonts w:eastAsia="Times New Roman" w:cs="Times New Roman"/>
          <w:b/>
          <w:bCs/>
          <w:rtl/>
          <w:lang w:eastAsia="de-DE"/>
        </w:rPr>
        <w:t>אלהיו</w:t>
      </w:r>
      <w:r w:rsidRPr="00CC6F7E">
        <w:rPr>
          <w:rFonts w:eastAsia="Times New Roman" w:cs="Times New Roman"/>
          <w:rtl/>
          <w:lang w:eastAsia="de-DE"/>
        </w:rPr>
        <w:t xml:space="preserve"> </w:t>
      </w:r>
      <w:r w:rsidRPr="00CC6F7E">
        <w:rPr>
          <w:rFonts w:eastAsia="Times New Roman" w:cs="Times New Roman"/>
          <w:lang w:eastAsia="de-DE"/>
        </w:rPr>
        <w:t xml:space="preserve">(seinem Gott) zeigt allgemeine Gottesbeziehung. </w:t>
      </w:r>
      <w:r w:rsidRPr="00CC6F7E">
        <w:rPr>
          <w:rFonts w:eastAsia="Times New Roman" w:cs="Times New Roman"/>
          <w:b/>
          <w:bCs/>
          <w:rtl/>
          <w:lang w:eastAsia="de-DE"/>
        </w:rPr>
        <w:t>ונשא חטאו</w:t>
      </w:r>
      <w:r w:rsidRPr="00CC6F7E">
        <w:rPr>
          <w:rFonts w:eastAsia="Times New Roman" w:cs="Times New Roman"/>
          <w:rtl/>
          <w:lang w:eastAsia="de-DE"/>
        </w:rPr>
        <w:t xml:space="preserve"> </w:t>
      </w:r>
      <w:r w:rsidRPr="00CC6F7E">
        <w:rPr>
          <w:rFonts w:eastAsia="Times New Roman" w:cs="Times New Roman"/>
          <w:lang w:eastAsia="de-DE"/>
        </w:rPr>
        <w:t xml:space="preserve">(und er soll seine Sünde tragen) - </w:t>
      </w:r>
      <w:r w:rsidRPr="00CC6F7E">
        <w:rPr>
          <w:rFonts w:eastAsia="Times New Roman" w:cs="Times New Roman"/>
          <w:b/>
          <w:bCs/>
          <w:rtl/>
          <w:lang w:eastAsia="de-DE"/>
        </w:rPr>
        <w:t>ונשא</w:t>
      </w:r>
      <w:r w:rsidRPr="00CC6F7E">
        <w:rPr>
          <w:rFonts w:eastAsia="Times New Roman" w:cs="Times New Roman"/>
          <w:rtl/>
          <w:lang w:eastAsia="de-DE"/>
        </w:rPr>
        <w:t xml:space="preserve"> </w:t>
      </w:r>
      <w:r w:rsidRPr="00CC6F7E">
        <w:rPr>
          <w:rFonts w:eastAsia="Times New Roman" w:cs="Times New Roman"/>
          <w:lang w:eastAsia="de-DE"/>
        </w:rPr>
        <w:t xml:space="preserve">im Qal-Perfekt mit Waw-Konsekutiv von </w:t>
      </w:r>
      <w:r w:rsidRPr="00CC6F7E">
        <w:rPr>
          <w:rFonts w:eastAsia="Times New Roman" w:cs="Times New Roman"/>
          <w:b/>
          <w:bCs/>
          <w:rtl/>
          <w:lang w:eastAsia="de-DE"/>
        </w:rPr>
        <w:t>נשא</w:t>
      </w:r>
      <w:r w:rsidRPr="00CC6F7E">
        <w:rPr>
          <w:rFonts w:eastAsia="Times New Roman" w:cs="Times New Roman"/>
          <w:rtl/>
          <w:lang w:eastAsia="de-DE"/>
        </w:rPr>
        <w:t xml:space="preserve"> </w:t>
      </w:r>
      <w:r w:rsidRPr="00CC6F7E">
        <w:rPr>
          <w:rFonts w:eastAsia="Times New Roman" w:cs="Times New Roman"/>
          <w:lang w:eastAsia="de-DE"/>
        </w:rPr>
        <w:t>zeigt Sündentragung.</w:t>
      </w:r>
    </w:p>
    <w:p w14:paraId="38CC151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איש איש</w:t>
      </w:r>
      <w:r w:rsidRPr="00CC6F7E">
        <w:rPr>
          <w:rFonts w:eastAsia="Times New Roman" w:cs="Times New Roman"/>
          <w:rtl/>
          <w:lang w:eastAsia="de-DE"/>
        </w:rPr>
        <w:t xml:space="preserve"> </w:t>
      </w:r>
      <w:r w:rsidRPr="00CC6F7E">
        <w:rPr>
          <w:rFonts w:eastAsia="Times New Roman" w:cs="Times New Roman"/>
          <w:lang w:eastAsia="de-DE"/>
        </w:rPr>
        <w:t xml:space="preserve">betont individuelle Verantwortung. </w:t>
      </w:r>
      <w:r w:rsidRPr="00CC6F7E">
        <w:rPr>
          <w:rFonts w:eastAsia="Times New Roman" w:cs="Times New Roman"/>
          <w:b/>
          <w:bCs/>
          <w:rtl/>
          <w:lang w:eastAsia="de-DE"/>
        </w:rPr>
        <w:t>אלהיו</w:t>
      </w:r>
      <w:r w:rsidRPr="00CC6F7E">
        <w:rPr>
          <w:rFonts w:eastAsia="Times New Roman" w:cs="Times New Roman"/>
          <w:rtl/>
          <w:lang w:eastAsia="de-DE"/>
        </w:rPr>
        <w:t xml:space="preserve"> </w:t>
      </w:r>
      <w:r w:rsidRPr="00CC6F7E">
        <w:rPr>
          <w:rFonts w:eastAsia="Times New Roman" w:cs="Times New Roman"/>
          <w:lang w:eastAsia="de-DE"/>
        </w:rPr>
        <w:t xml:space="preserve">(seinem Gott) im Unterschied zu </w:t>
      </w:r>
      <w:r w:rsidRPr="00CC6F7E">
        <w:rPr>
          <w:rFonts w:eastAsia="Times New Roman" w:cs="Times New Roman"/>
          <w:b/>
          <w:bCs/>
          <w:rtl/>
          <w:lang w:eastAsia="de-DE"/>
        </w:rPr>
        <w:t>השם</w:t>
      </w:r>
      <w:r w:rsidRPr="00CC6F7E">
        <w:rPr>
          <w:rFonts w:eastAsia="Times New Roman" w:cs="Times New Roman"/>
          <w:rtl/>
          <w:lang w:eastAsia="de-DE"/>
        </w:rPr>
        <w:t xml:space="preserve"> </w:t>
      </w:r>
      <w:r w:rsidRPr="00CC6F7E">
        <w:rPr>
          <w:rFonts w:eastAsia="Times New Roman" w:cs="Times New Roman"/>
          <w:lang w:eastAsia="de-DE"/>
        </w:rPr>
        <w:t xml:space="preserve">(dem Namen) zeigt allgemeine vs. spezifische Lästerung. </w:t>
      </w:r>
      <w:r w:rsidRPr="00CC6F7E">
        <w:rPr>
          <w:rFonts w:eastAsia="Times New Roman" w:cs="Times New Roman"/>
          <w:b/>
          <w:bCs/>
          <w:rtl/>
          <w:lang w:eastAsia="de-DE"/>
        </w:rPr>
        <w:t>ונשא חטאו</w:t>
      </w:r>
      <w:r w:rsidRPr="00CC6F7E">
        <w:rPr>
          <w:rFonts w:eastAsia="Times New Roman" w:cs="Times New Roman"/>
          <w:rtl/>
          <w:lang w:eastAsia="de-DE"/>
        </w:rPr>
        <w:t xml:space="preserve"> </w:t>
      </w:r>
      <w:r w:rsidRPr="00CC6F7E">
        <w:rPr>
          <w:rFonts w:eastAsia="Times New Roman" w:cs="Times New Roman"/>
          <w:lang w:eastAsia="de-DE"/>
        </w:rPr>
        <w:t>zeigt Sündentragung ohne spezifische Strafe.</w:t>
      </w:r>
    </w:p>
    <w:p w14:paraId="0850FF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איש איש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ἄνθρω</w:t>
      </w:r>
      <w:proofErr w:type="spellEnd"/>
      <w:r w:rsidRPr="00CC6F7E">
        <w:rPr>
          <w:rFonts w:eastAsia="Times New Roman" w:cs="Times New Roman"/>
          <w:lang w:eastAsia="de-DE"/>
        </w:rPr>
        <w:t xml:space="preserve">πος </w:t>
      </w:r>
      <w:proofErr w:type="spellStart"/>
      <w:r w:rsidRPr="00CC6F7E">
        <w:rPr>
          <w:rFonts w:eastAsia="Times New Roman" w:cs="Times New Roman"/>
          <w:lang w:eastAsia="de-DE"/>
        </w:rPr>
        <w:t>ἄνθρω</w:t>
      </w:r>
      <w:proofErr w:type="spellEnd"/>
      <w:r w:rsidRPr="00CC6F7E">
        <w:rPr>
          <w:rFonts w:eastAsia="Times New Roman" w:cs="Times New Roman"/>
          <w:lang w:eastAsia="de-DE"/>
        </w:rPr>
        <w:t xml:space="preserve">πος (Mensch Mensch), </w:t>
      </w:r>
      <w:r w:rsidRPr="00CC6F7E">
        <w:rPr>
          <w:rFonts w:eastAsia="Times New Roman" w:cs="Times New Roman"/>
          <w:b/>
          <w:bCs/>
          <w:rtl/>
          <w:lang w:eastAsia="de-DE"/>
        </w:rPr>
        <w:t>יקלל אלהיו</w:t>
      </w:r>
      <w:r w:rsidRPr="00CC6F7E">
        <w:rPr>
          <w:rFonts w:eastAsia="Times New Roman" w:cs="Times New Roman"/>
          <w:rtl/>
          <w:lang w:eastAsia="de-DE"/>
        </w:rPr>
        <w:t xml:space="preserve"> </w:t>
      </w:r>
      <w:r w:rsidRPr="00CC6F7E">
        <w:rPr>
          <w:rFonts w:eastAsia="Times New Roman" w:cs="Times New Roman"/>
          <w:lang w:eastAsia="de-DE"/>
        </w:rPr>
        <w:t>mit κατα</w:t>
      </w:r>
      <w:proofErr w:type="spellStart"/>
      <w:r w:rsidRPr="00CC6F7E">
        <w:rPr>
          <w:rFonts w:eastAsia="Times New Roman" w:cs="Times New Roman"/>
          <w:lang w:eastAsia="de-DE"/>
        </w:rPr>
        <w:t>ράσητ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θεόν</w:t>
      </w:r>
      <w:proofErr w:type="spellEnd"/>
      <w:r w:rsidRPr="00CC6F7E">
        <w:rPr>
          <w:rFonts w:eastAsia="Times New Roman" w:cs="Times New Roman"/>
          <w:lang w:eastAsia="de-DE"/>
        </w:rPr>
        <w:t xml:space="preserve"> (verflucht Gott) und </w:t>
      </w:r>
      <w:r w:rsidRPr="00CC6F7E">
        <w:rPr>
          <w:rFonts w:eastAsia="Times New Roman" w:cs="Times New Roman"/>
          <w:b/>
          <w:bCs/>
          <w:rtl/>
          <w:lang w:eastAsia="de-DE"/>
        </w:rPr>
        <w:t>ונשא חטאו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λήμψετ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ἁμ</w:t>
      </w:r>
      <w:proofErr w:type="spellEnd"/>
      <w:r w:rsidRPr="00CC6F7E">
        <w:rPr>
          <w:rFonts w:eastAsia="Times New Roman" w:cs="Times New Roman"/>
          <w:lang w:eastAsia="de-DE"/>
        </w:rPr>
        <w:t>αρτίαν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(wird seine Sünde nehmen).</w:t>
      </w:r>
    </w:p>
    <w:p w14:paraId="265C03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allgemeines Gottesfluch-Gesetz: Volksverkündigung + universelle Anwendung + Gottesfluch + Sündentragung.</w:t>
      </w:r>
    </w:p>
    <w:p w14:paraId="3301FE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allgemeine Prinzip der Sündentragung bei Gottesfluch ohne spezifische Todesstrafe.</w:t>
      </w:r>
    </w:p>
    <w:p w14:paraId="6E88E99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24,16</w:t>
      </w:r>
    </w:p>
    <w:p w14:paraId="157626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וְנֹקֵ֤ב שֵׁם־יְהוָה֙ מ֣וֹת יוּמָ֔ת רָג֥וֹם יִרְגְּמוּ־בוֹ֖ כָּל־הָעֵדָ֑ה כַּגֵּר֙ כָּֽאֶזְרָ֔ח בְּנָקְבוֹ־שֵׁ֖ם יוּמָֽת׃</w:t>
      </w:r>
    </w:p>
    <w:p w14:paraId="70B335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wer den Namen des Ewigen lästert, soll gewiss getötet werden, steinigen soll ihn die ganze Gemeinde; wie der Fremde, so der Einheimische: Wenn er den Namen lästert, soll er getötet werden.</w:t>
      </w:r>
    </w:p>
    <w:p w14:paraId="2618C77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683DF8E">
          <v:rect id="_x0000_i1741" style="width:0;height:1.5pt" o:hralign="center" o:hrstd="t" o:hr="t" fillcolor="#a0a0a0" stroked="f"/>
        </w:pict>
      </w:r>
    </w:p>
    <w:p w14:paraId="1FA826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ונקב שם־יהוה מות יומת רגום ירגמו־בו כל־העדה כגר כאזרח בנקבו־שם יומת</w:t>
      </w:r>
      <w:r w:rsidRPr="00CC6F7E">
        <w:rPr>
          <w:rFonts w:eastAsia="Times New Roman" w:cs="Times New Roman"/>
          <w:rtl/>
          <w:lang w:eastAsia="de-DE"/>
        </w:rPr>
        <w:t xml:space="preserve"> </w:t>
      </w:r>
      <w:r w:rsidRPr="00CC6F7E">
        <w:rPr>
          <w:rFonts w:eastAsia="Times New Roman" w:cs="Times New Roman"/>
          <w:lang w:eastAsia="de-DE"/>
        </w:rPr>
        <w:t xml:space="preserve">verschärft die Strafe bei spezifischer JHWH-Namenslästerung. </w:t>
      </w:r>
      <w:r w:rsidRPr="00CC6F7E">
        <w:rPr>
          <w:rFonts w:eastAsia="Times New Roman" w:cs="Times New Roman"/>
          <w:b/>
          <w:bCs/>
          <w:rtl/>
          <w:lang w:eastAsia="de-DE"/>
        </w:rPr>
        <w:t>ונקב שם־יהוה מות יומת</w:t>
      </w:r>
      <w:r w:rsidRPr="00CC6F7E">
        <w:rPr>
          <w:rFonts w:eastAsia="Times New Roman" w:cs="Times New Roman"/>
          <w:rtl/>
          <w:lang w:eastAsia="de-DE"/>
        </w:rPr>
        <w:t xml:space="preserve"> </w:t>
      </w:r>
      <w:r w:rsidRPr="00CC6F7E">
        <w:rPr>
          <w:rFonts w:eastAsia="Times New Roman" w:cs="Times New Roman"/>
          <w:lang w:eastAsia="de-DE"/>
        </w:rPr>
        <w:t xml:space="preserve">(und wer den Namen des Ewigen lästert, soll gewiss getötet werden) - </w:t>
      </w:r>
      <w:r w:rsidRPr="00CC6F7E">
        <w:rPr>
          <w:rFonts w:eastAsia="Times New Roman" w:cs="Times New Roman"/>
          <w:b/>
          <w:bCs/>
          <w:rtl/>
          <w:lang w:eastAsia="de-DE"/>
        </w:rPr>
        <w:t>ונקב</w:t>
      </w:r>
      <w:r w:rsidRPr="00CC6F7E">
        <w:rPr>
          <w:rFonts w:eastAsia="Times New Roman" w:cs="Times New Roman"/>
          <w:rtl/>
          <w:lang w:eastAsia="de-DE"/>
        </w:rPr>
        <w:t xml:space="preserve"> </w:t>
      </w:r>
      <w:r w:rsidRPr="00CC6F7E">
        <w:rPr>
          <w:rFonts w:eastAsia="Times New Roman" w:cs="Times New Roman"/>
          <w:lang w:eastAsia="de-DE"/>
        </w:rPr>
        <w:t xml:space="preserve">(und wer lästert) im Qal-Partizip von </w:t>
      </w:r>
      <w:r w:rsidRPr="00CC6F7E">
        <w:rPr>
          <w:rFonts w:eastAsia="Times New Roman" w:cs="Times New Roman"/>
          <w:b/>
          <w:bCs/>
          <w:rtl/>
          <w:lang w:eastAsia="de-DE"/>
        </w:rPr>
        <w:t>נקב</w:t>
      </w:r>
      <w:r w:rsidRPr="00CC6F7E">
        <w:rPr>
          <w:rFonts w:eastAsia="Times New Roman" w:cs="Times New Roman"/>
          <w:lang w:eastAsia="de-DE"/>
        </w:rPr>
        <w:t xml:space="preserve">. </w:t>
      </w:r>
      <w:r w:rsidRPr="00CC6F7E">
        <w:rPr>
          <w:rFonts w:eastAsia="Times New Roman" w:cs="Times New Roman"/>
          <w:b/>
          <w:bCs/>
          <w:rtl/>
          <w:lang w:eastAsia="de-DE"/>
        </w:rPr>
        <w:t>שם־יהוה</w:t>
      </w:r>
      <w:r w:rsidRPr="00CC6F7E">
        <w:rPr>
          <w:rFonts w:eastAsia="Times New Roman" w:cs="Times New Roman"/>
          <w:rtl/>
          <w:lang w:eastAsia="de-DE"/>
        </w:rPr>
        <w:t xml:space="preserve"> </w:t>
      </w:r>
      <w:r w:rsidRPr="00CC6F7E">
        <w:rPr>
          <w:rFonts w:eastAsia="Times New Roman" w:cs="Times New Roman"/>
          <w:lang w:eastAsia="de-DE"/>
        </w:rPr>
        <w:t xml:space="preserve">(Name des Ewigen) zeigt spezifische JHWH-Namenslästerung.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als emphatische Todesformel.</w:t>
      </w:r>
    </w:p>
    <w:p w14:paraId="10E442E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רגום ירגמו־בו כל־העדה</w:t>
      </w:r>
      <w:r w:rsidRPr="00CC6F7E">
        <w:rPr>
          <w:rFonts w:eastAsia="Times New Roman" w:cs="Times New Roman"/>
          <w:rtl/>
          <w:lang w:eastAsia="de-DE"/>
        </w:rPr>
        <w:t xml:space="preserve"> </w:t>
      </w:r>
      <w:r w:rsidRPr="00CC6F7E">
        <w:rPr>
          <w:rFonts w:eastAsia="Times New Roman" w:cs="Times New Roman"/>
          <w:lang w:eastAsia="de-DE"/>
        </w:rPr>
        <w:t xml:space="preserve">(steinigen soll ihn die ganze Gemeinde) - </w:t>
      </w:r>
      <w:r w:rsidRPr="00CC6F7E">
        <w:rPr>
          <w:rFonts w:eastAsia="Times New Roman" w:cs="Times New Roman"/>
          <w:b/>
          <w:bCs/>
          <w:rtl/>
          <w:lang w:eastAsia="de-DE"/>
        </w:rPr>
        <w:t>רגום ירגמו־בו</w:t>
      </w:r>
      <w:r w:rsidRPr="00CC6F7E">
        <w:rPr>
          <w:rFonts w:eastAsia="Times New Roman" w:cs="Times New Roman"/>
          <w:rtl/>
          <w:lang w:eastAsia="de-DE"/>
        </w:rPr>
        <w:t xml:space="preserve"> </w:t>
      </w:r>
      <w:r w:rsidRPr="00CC6F7E">
        <w:rPr>
          <w:rFonts w:eastAsia="Times New Roman" w:cs="Times New Roman"/>
          <w:lang w:eastAsia="de-DE"/>
        </w:rPr>
        <w:t xml:space="preserve">als emphatische Steinigungsformel mit Infinitiv Absolut + Imperfekt. </w:t>
      </w:r>
      <w:r w:rsidRPr="00CC6F7E">
        <w:rPr>
          <w:rFonts w:eastAsia="Times New Roman" w:cs="Times New Roman"/>
          <w:b/>
          <w:bCs/>
          <w:rtl/>
          <w:lang w:eastAsia="de-DE"/>
        </w:rPr>
        <w:t>כל־העדה</w:t>
      </w:r>
      <w:r w:rsidRPr="00CC6F7E">
        <w:rPr>
          <w:rFonts w:eastAsia="Times New Roman" w:cs="Times New Roman"/>
          <w:rtl/>
          <w:lang w:eastAsia="de-DE"/>
        </w:rPr>
        <w:t xml:space="preserve"> </w:t>
      </w:r>
      <w:r w:rsidRPr="00CC6F7E">
        <w:rPr>
          <w:rFonts w:eastAsia="Times New Roman" w:cs="Times New Roman"/>
          <w:lang w:eastAsia="de-DE"/>
        </w:rPr>
        <w:t>entspricht V. 14.</w:t>
      </w:r>
    </w:p>
    <w:p w14:paraId="1FE7BB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כגר כאזרח בנקבו־שם יומת</w:t>
      </w:r>
      <w:r w:rsidRPr="00CC6F7E">
        <w:rPr>
          <w:rFonts w:eastAsia="Times New Roman" w:cs="Times New Roman"/>
          <w:rtl/>
          <w:lang w:eastAsia="de-DE"/>
        </w:rPr>
        <w:t xml:space="preserve"> </w:t>
      </w:r>
      <w:r w:rsidRPr="00CC6F7E">
        <w:rPr>
          <w:rFonts w:eastAsia="Times New Roman" w:cs="Times New Roman"/>
          <w:lang w:eastAsia="de-DE"/>
        </w:rPr>
        <w:t xml:space="preserve">(wie der Fremde, so der Einheimische: Wenn er den Namen lästert, soll er getötet werden) - </w:t>
      </w:r>
      <w:r w:rsidRPr="00CC6F7E">
        <w:rPr>
          <w:rFonts w:eastAsia="Times New Roman" w:cs="Times New Roman"/>
          <w:b/>
          <w:bCs/>
          <w:rtl/>
          <w:lang w:eastAsia="de-DE"/>
        </w:rPr>
        <w:t>כגר כאזרח</w:t>
      </w:r>
      <w:r w:rsidRPr="00CC6F7E">
        <w:rPr>
          <w:rFonts w:eastAsia="Times New Roman" w:cs="Times New Roman"/>
          <w:rtl/>
          <w:lang w:eastAsia="de-DE"/>
        </w:rPr>
        <w:t xml:space="preserve"> </w:t>
      </w:r>
      <w:r w:rsidRPr="00CC6F7E">
        <w:rPr>
          <w:rFonts w:eastAsia="Times New Roman" w:cs="Times New Roman"/>
          <w:lang w:eastAsia="de-DE"/>
        </w:rPr>
        <w:t xml:space="preserve">zeigt Rechtsgleichheit zwischen </w:t>
      </w:r>
      <w:r w:rsidRPr="00CC6F7E">
        <w:rPr>
          <w:rFonts w:eastAsia="Times New Roman" w:cs="Times New Roman"/>
          <w:b/>
          <w:bCs/>
          <w:rtl/>
          <w:lang w:eastAsia="de-DE"/>
        </w:rPr>
        <w:t>גר</w:t>
      </w:r>
      <w:r w:rsidRPr="00CC6F7E">
        <w:rPr>
          <w:rFonts w:eastAsia="Times New Roman" w:cs="Times New Roman"/>
          <w:rtl/>
          <w:lang w:eastAsia="de-DE"/>
        </w:rPr>
        <w:t xml:space="preserve"> </w:t>
      </w:r>
      <w:r w:rsidRPr="00CC6F7E">
        <w:rPr>
          <w:rFonts w:eastAsia="Times New Roman" w:cs="Times New Roman"/>
          <w:lang w:eastAsia="de-DE"/>
        </w:rPr>
        <w:t xml:space="preserve">(Fremden) und </w:t>
      </w:r>
      <w:r w:rsidRPr="00CC6F7E">
        <w:rPr>
          <w:rFonts w:eastAsia="Times New Roman" w:cs="Times New Roman"/>
          <w:b/>
          <w:bCs/>
          <w:rtl/>
          <w:lang w:eastAsia="de-DE"/>
        </w:rPr>
        <w:t>אזרח</w:t>
      </w:r>
      <w:r w:rsidRPr="00CC6F7E">
        <w:rPr>
          <w:rFonts w:eastAsia="Times New Roman" w:cs="Times New Roman"/>
          <w:rtl/>
          <w:lang w:eastAsia="de-DE"/>
        </w:rPr>
        <w:t xml:space="preserve"> </w:t>
      </w:r>
      <w:r w:rsidRPr="00CC6F7E">
        <w:rPr>
          <w:rFonts w:eastAsia="Times New Roman" w:cs="Times New Roman"/>
          <w:lang w:eastAsia="de-DE"/>
        </w:rPr>
        <w:t xml:space="preserve">(Einheimischen). </w:t>
      </w:r>
      <w:r w:rsidRPr="00CC6F7E">
        <w:rPr>
          <w:rFonts w:eastAsia="Times New Roman" w:cs="Times New Roman"/>
          <w:b/>
          <w:bCs/>
          <w:rtl/>
          <w:lang w:eastAsia="de-DE"/>
        </w:rPr>
        <w:t>בנקבו־שם</w:t>
      </w:r>
      <w:r w:rsidRPr="00CC6F7E">
        <w:rPr>
          <w:rFonts w:eastAsia="Times New Roman" w:cs="Times New Roman"/>
          <w:rtl/>
          <w:lang w:eastAsia="de-DE"/>
        </w:rPr>
        <w:t xml:space="preserve"> </w:t>
      </w:r>
      <w:r w:rsidRPr="00CC6F7E">
        <w:rPr>
          <w:rFonts w:eastAsia="Times New Roman" w:cs="Times New Roman"/>
          <w:lang w:eastAsia="de-DE"/>
        </w:rPr>
        <w:t xml:space="preserve">(wenn er den Namen lästert) wiederholt die Tat. </w:t>
      </w:r>
      <w:r w:rsidRPr="00CC6F7E">
        <w:rPr>
          <w:rFonts w:eastAsia="Times New Roman" w:cs="Times New Roman"/>
          <w:b/>
          <w:bCs/>
          <w:rtl/>
          <w:lang w:eastAsia="de-DE"/>
        </w:rPr>
        <w:t>יומת</w:t>
      </w:r>
      <w:r w:rsidRPr="00CC6F7E">
        <w:rPr>
          <w:rFonts w:eastAsia="Times New Roman" w:cs="Times New Roman"/>
          <w:rtl/>
          <w:lang w:eastAsia="de-DE"/>
        </w:rPr>
        <w:t xml:space="preserve"> </w:t>
      </w:r>
      <w:r w:rsidRPr="00CC6F7E">
        <w:rPr>
          <w:rFonts w:eastAsia="Times New Roman" w:cs="Times New Roman"/>
          <w:lang w:eastAsia="de-DE"/>
        </w:rPr>
        <w:t>wiederholt die Todesstrafe.</w:t>
      </w:r>
    </w:p>
    <w:p w14:paraId="180AB22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שם־יהוה</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אלהיו</w:t>
      </w:r>
      <w:r w:rsidRPr="00CC6F7E">
        <w:rPr>
          <w:rFonts w:eastAsia="Times New Roman" w:cs="Times New Roman"/>
          <w:rtl/>
          <w:lang w:eastAsia="de-DE"/>
        </w:rPr>
        <w:t xml:space="preserve"> </w:t>
      </w:r>
      <w:r w:rsidRPr="00CC6F7E">
        <w:rPr>
          <w:rFonts w:eastAsia="Times New Roman" w:cs="Times New Roman"/>
          <w:lang w:eastAsia="de-DE"/>
        </w:rPr>
        <w:t xml:space="preserve">(V. 15) zeigt Unterscheidung zwischen JHWH-Namenslästerung und allgemeinem Gottesfluch.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רגום ירגמו</w:t>
      </w:r>
      <w:r w:rsidRPr="00CC6F7E">
        <w:rPr>
          <w:rFonts w:eastAsia="Times New Roman" w:cs="Times New Roman"/>
          <w:rtl/>
          <w:lang w:eastAsia="de-DE"/>
        </w:rPr>
        <w:t xml:space="preserve"> </w:t>
      </w:r>
      <w:r w:rsidRPr="00CC6F7E">
        <w:rPr>
          <w:rFonts w:eastAsia="Times New Roman" w:cs="Times New Roman"/>
          <w:lang w:eastAsia="de-DE"/>
        </w:rPr>
        <w:t xml:space="preserve">als emphatische Formeln. </w:t>
      </w:r>
      <w:r w:rsidRPr="00CC6F7E">
        <w:rPr>
          <w:rFonts w:eastAsia="Times New Roman" w:cs="Times New Roman"/>
          <w:b/>
          <w:bCs/>
          <w:rtl/>
          <w:lang w:eastAsia="de-DE"/>
        </w:rPr>
        <w:t>כגר כאזרח</w:t>
      </w:r>
      <w:r w:rsidRPr="00CC6F7E">
        <w:rPr>
          <w:rFonts w:eastAsia="Times New Roman" w:cs="Times New Roman"/>
          <w:rtl/>
          <w:lang w:eastAsia="de-DE"/>
        </w:rPr>
        <w:t xml:space="preserve"> </w:t>
      </w:r>
      <w:r w:rsidRPr="00CC6F7E">
        <w:rPr>
          <w:rFonts w:eastAsia="Times New Roman" w:cs="Times New Roman"/>
          <w:lang w:eastAsia="de-DE"/>
        </w:rPr>
        <w:t>zeigt universelle Rechtsgleichheit.</w:t>
      </w:r>
    </w:p>
    <w:p w14:paraId="6D6148D3" w14:textId="547CBF2F"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ונקב שם־יהוה</w:t>
      </w:r>
      <w:r w:rsidR="009104A2">
        <w:t xml:space="preserve"> (</w:t>
      </w:r>
      <w:proofErr w:type="spellStart"/>
      <w:r w:rsidR="009104A2">
        <w:t>wenoqev</w:t>
      </w:r>
      <w:proofErr w:type="spellEnd"/>
      <w:r w:rsidR="009104A2">
        <w:t xml:space="preserve"> </w:t>
      </w:r>
      <w:proofErr w:type="spellStart"/>
      <w:r w:rsidR="009104A2">
        <w:t>shem</w:t>
      </w:r>
      <w:proofErr w:type="spellEnd"/>
      <w:r w:rsidR="009104A2">
        <w:t xml:space="preserve">-YHWH - "und wer den Namen des Herrn durchbohrt/nennt") als </w:t>
      </w:r>
      <w:proofErr w:type="spellStart"/>
      <w:r w:rsidR="009104A2">
        <w:t>ὀνομάζων</w:t>
      </w:r>
      <w:proofErr w:type="spellEnd"/>
      <w:r w:rsidR="009104A2">
        <w:t xml:space="preserve"> </w:t>
      </w:r>
      <w:proofErr w:type="spellStart"/>
      <w:r w:rsidR="009104A2">
        <w:t>δὲ</w:t>
      </w:r>
      <w:proofErr w:type="spellEnd"/>
      <w:r w:rsidR="009104A2">
        <w:t xml:space="preserve"> </w:t>
      </w:r>
      <w:proofErr w:type="spellStart"/>
      <w:r w:rsidR="009104A2">
        <w:t>τὸ</w:t>
      </w:r>
      <w:proofErr w:type="spellEnd"/>
      <w:r w:rsidR="009104A2">
        <w:t xml:space="preserve"> </w:t>
      </w:r>
      <w:proofErr w:type="spellStart"/>
      <w:r w:rsidR="009104A2">
        <w:t>ὄνομ</w:t>
      </w:r>
      <w:proofErr w:type="spellEnd"/>
      <w:r w:rsidR="009104A2">
        <w:t xml:space="preserve">α </w:t>
      </w:r>
      <w:proofErr w:type="spellStart"/>
      <w:r w:rsidR="009104A2">
        <w:t>κυρίου</w:t>
      </w:r>
      <w:proofErr w:type="spellEnd"/>
      <w:r w:rsidR="009104A2">
        <w:t xml:space="preserve"> (der aber den Namen des Herrn nennt), was die Handlung als "Benennung" statt als "Durchbohrung" interpretiert.</w:t>
      </w:r>
    </w:p>
    <w:p w14:paraId="4833AB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verschärftes JHWH-Lästerungsgesetz: JHWH-Namenslästerung + emphatische Todesformel + emphatische Steinigungsformel + universelle Rechtsgleichheit + Wiederholung der Strafe.</w:t>
      </w:r>
    </w:p>
    <w:p w14:paraId="014760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verschärft die Strafe bei spezifischer JHWH-Namenslästerung zur obligatorischen Steinigung mit universeller Rechtsgleichheit.</w:t>
      </w:r>
    </w:p>
    <w:p w14:paraId="2A51237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24,17</w:t>
      </w:r>
    </w:p>
    <w:p w14:paraId="05CAAFA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וְאִ֕ישׁ כִּ֥י יַכֶּ֖ה כָּל־נֶ֣פֶשׁ אָדָ֑ם מ֖וֹת יוּמָֽת׃</w:t>
      </w:r>
    </w:p>
    <w:p w14:paraId="4BC15EB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jemand irgendeinen Menschen erschlägt, soll er gewiss getötet werden.</w:t>
      </w:r>
    </w:p>
    <w:p w14:paraId="545B67C9"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C23FC0B">
          <v:rect id="_x0000_i1742" style="width:0;height:1.5pt" o:hralign="center" o:hrstd="t" o:hr="t" fillcolor="#a0a0a0" stroked="f"/>
        </w:pict>
      </w:r>
    </w:p>
    <w:p w14:paraId="51A96F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ואיש כי יכה כל־נפש אדם מות יומת</w:t>
      </w:r>
      <w:r w:rsidRPr="00CC6F7E">
        <w:rPr>
          <w:rFonts w:eastAsia="Times New Roman" w:cs="Times New Roman"/>
          <w:rtl/>
          <w:lang w:eastAsia="de-DE"/>
        </w:rPr>
        <w:t xml:space="preserve"> </w:t>
      </w:r>
      <w:r w:rsidRPr="00CC6F7E">
        <w:rPr>
          <w:rFonts w:eastAsia="Times New Roman" w:cs="Times New Roman"/>
          <w:lang w:eastAsia="de-DE"/>
        </w:rPr>
        <w:t xml:space="preserve">etabliert das grundlegende Tötungsverbot mit Todesstrafe. </w:t>
      </w:r>
      <w:r w:rsidRPr="00CC6F7E">
        <w:rPr>
          <w:rFonts w:eastAsia="Times New Roman" w:cs="Times New Roman"/>
          <w:b/>
          <w:bCs/>
          <w:rtl/>
          <w:lang w:eastAsia="de-DE"/>
        </w:rPr>
        <w:t>ואיש כי יכה כל־נפש אדם</w:t>
      </w:r>
      <w:r w:rsidRPr="00CC6F7E">
        <w:rPr>
          <w:rFonts w:eastAsia="Times New Roman" w:cs="Times New Roman"/>
          <w:rtl/>
          <w:lang w:eastAsia="de-DE"/>
        </w:rPr>
        <w:t xml:space="preserve"> </w:t>
      </w:r>
      <w:r w:rsidRPr="00CC6F7E">
        <w:rPr>
          <w:rFonts w:eastAsia="Times New Roman" w:cs="Times New Roman"/>
          <w:lang w:eastAsia="de-DE"/>
        </w:rPr>
        <w:t xml:space="preserve">(und wenn jemand irgendeinen Menschen erschlägt) - </w:t>
      </w:r>
      <w:r w:rsidRPr="00CC6F7E">
        <w:rPr>
          <w:rFonts w:eastAsia="Times New Roman" w:cs="Times New Roman"/>
          <w:b/>
          <w:bCs/>
          <w:rtl/>
          <w:lang w:eastAsia="de-DE"/>
        </w:rPr>
        <w:t>איש</w:t>
      </w:r>
      <w:r w:rsidRPr="00CC6F7E">
        <w:rPr>
          <w:rFonts w:eastAsia="Times New Roman" w:cs="Times New Roman"/>
          <w:rtl/>
          <w:lang w:eastAsia="de-DE"/>
        </w:rPr>
        <w:t xml:space="preserve"> </w:t>
      </w:r>
      <w:r w:rsidRPr="00CC6F7E">
        <w:rPr>
          <w:rFonts w:eastAsia="Times New Roman" w:cs="Times New Roman"/>
          <w:lang w:eastAsia="de-DE"/>
        </w:rPr>
        <w:t xml:space="preserve">(jemand) zeigt universelle Anwendung. </w:t>
      </w:r>
      <w:r w:rsidRPr="00CC6F7E">
        <w:rPr>
          <w:rFonts w:eastAsia="Times New Roman" w:cs="Times New Roman"/>
          <w:b/>
          <w:bCs/>
          <w:rtl/>
          <w:lang w:eastAsia="de-DE"/>
        </w:rPr>
        <w:t>כי יכה</w:t>
      </w:r>
      <w:r w:rsidRPr="00CC6F7E">
        <w:rPr>
          <w:rFonts w:eastAsia="Times New Roman" w:cs="Times New Roman"/>
          <w:rtl/>
          <w:lang w:eastAsia="de-DE"/>
        </w:rPr>
        <w:t xml:space="preserve"> </w:t>
      </w:r>
      <w:r w:rsidRPr="00CC6F7E">
        <w:rPr>
          <w:rFonts w:eastAsia="Times New Roman" w:cs="Times New Roman"/>
          <w:lang w:eastAsia="de-DE"/>
        </w:rPr>
        <w:t xml:space="preserve">(wenn er schlägt) im Hifil-Imperfekt von </w:t>
      </w:r>
      <w:r w:rsidRPr="00CC6F7E">
        <w:rPr>
          <w:rFonts w:eastAsia="Times New Roman" w:cs="Times New Roman"/>
          <w:b/>
          <w:bCs/>
          <w:rtl/>
          <w:lang w:eastAsia="de-DE"/>
        </w:rPr>
        <w:t>נכה</w:t>
      </w:r>
      <w:r w:rsidRPr="00CC6F7E">
        <w:rPr>
          <w:rFonts w:eastAsia="Times New Roman" w:cs="Times New Roman"/>
          <w:rtl/>
          <w:lang w:eastAsia="de-DE"/>
        </w:rPr>
        <w:t xml:space="preserve"> </w:t>
      </w:r>
      <w:r w:rsidRPr="00CC6F7E">
        <w:rPr>
          <w:rFonts w:eastAsia="Times New Roman" w:cs="Times New Roman"/>
          <w:lang w:eastAsia="de-DE"/>
        </w:rPr>
        <w:t xml:space="preserve">zeigt tödliches Schlagen. </w:t>
      </w:r>
      <w:r w:rsidRPr="00CC6F7E">
        <w:rPr>
          <w:rFonts w:eastAsia="Times New Roman" w:cs="Times New Roman"/>
          <w:b/>
          <w:bCs/>
          <w:rtl/>
          <w:lang w:eastAsia="de-DE"/>
        </w:rPr>
        <w:t>כל־נפש אדם</w:t>
      </w:r>
      <w:r w:rsidRPr="00CC6F7E">
        <w:rPr>
          <w:rFonts w:eastAsia="Times New Roman" w:cs="Times New Roman"/>
          <w:rtl/>
          <w:lang w:eastAsia="de-DE"/>
        </w:rPr>
        <w:t xml:space="preserve"> </w:t>
      </w:r>
      <w:r w:rsidRPr="00CC6F7E">
        <w:rPr>
          <w:rFonts w:eastAsia="Times New Roman" w:cs="Times New Roman"/>
          <w:lang w:eastAsia="de-DE"/>
        </w:rPr>
        <w:t xml:space="preserve">(irgendeinen Menschen) - </w:t>
      </w:r>
      <w:r w:rsidRPr="00CC6F7E">
        <w:rPr>
          <w:rFonts w:eastAsia="Times New Roman" w:cs="Times New Roman"/>
          <w:b/>
          <w:bCs/>
          <w:rtl/>
          <w:lang w:eastAsia="de-DE"/>
        </w:rPr>
        <w:t>כל־נפש</w:t>
      </w:r>
      <w:r w:rsidRPr="00CC6F7E">
        <w:rPr>
          <w:rFonts w:eastAsia="Times New Roman" w:cs="Times New Roman"/>
          <w:rtl/>
          <w:lang w:eastAsia="de-DE"/>
        </w:rPr>
        <w:t xml:space="preserve"> </w:t>
      </w:r>
      <w:r w:rsidRPr="00CC6F7E">
        <w:rPr>
          <w:rFonts w:eastAsia="Times New Roman" w:cs="Times New Roman"/>
          <w:lang w:eastAsia="de-DE"/>
        </w:rPr>
        <w:t>(jede Seele) zeigt universelle Gültigkeit für alle Menschen.</w:t>
      </w:r>
    </w:p>
    <w:p w14:paraId="6C208C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(soll er gewiss getötet werden) entspricht V. 16 als emphatische Todesformel.</w:t>
      </w:r>
    </w:p>
    <w:p w14:paraId="37C6A9E1" w14:textId="4C1D73D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כל־נפש אדם</w:t>
      </w:r>
      <w:r w:rsidRPr="00CC6F7E">
        <w:rPr>
          <w:rFonts w:eastAsia="Times New Roman" w:cs="Times New Roman"/>
          <w:rtl/>
          <w:lang w:eastAsia="de-DE"/>
        </w:rPr>
        <w:t xml:space="preserve"> </w:t>
      </w:r>
      <w:r w:rsidRPr="00CC6F7E">
        <w:rPr>
          <w:rFonts w:eastAsia="Times New Roman" w:cs="Times New Roman"/>
          <w:lang w:eastAsia="de-DE"/>
        </w:rPr>
        <w:t xml:space="preserve">zeigt universellen Menschenschutz.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als absolute Vergeltung für Mord. </w:t>
      </w:r>
      <w:r w:rsidR="00E05781">
        <w:t>Der Vers etabliert das Prinzip: Leben für Leben.</w:t>
      </w:r>
    </w:p>
    <w:p w14:paraId="5B6FFE12" w14:textId="40DA55C1"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erweitert die Formulierung: </w:t>
      </w:r>
      <w:proofErr w:type="spellStart"/>
      <w:r w:rsidR="009104A2">
        <w:t>ὃς</w:t>
      </w:r>
      <w:proofErr w:type="spellEnd"/>
      <w:r w:rsidR="009104A2">
        <w:t xml:space="preserve"> </w:t>
      </w:r>
      <w:proofErr w:type="spellStart"/>
      <w:r w:rsidR="009104A2">
        <w:t>ἂν</w:t>
      </w:r>
      <w:proofErr w:type="spellEnd"/>
      <w:r w:rsidR="009104A2">
        <w:t xml:space="preserve"> πα</w:t>
      </w:r>
      <w:proofErr w:type="spellStart"/>
      <w:r w:rsidR="009104A2">
        <w:t>τάξῃ</w:t>
      </w:r>
      <w:proofErr w:type="spellEnd"/>
      <w:r w:rsidR="009104A2">
        <w:t xml:space="preserve"> </w:t>
      </w:r>
      <w:proofErr w:type="spellStart"/>
      <w:r w:rsidR="009104A2">
        <w:t>ψυχὴν</w:t>
      </w:r>
      <w:proofErr w:type="spellEnd"/>
      <w:r w:rsidR="009104A2">
        <w:t xml:space="preserve"> </w:t>
      </w:r>
      <w:proofErr w:type="spellStart"/>
      <w:r w:rsidR="009104A2">
        <w:t>ἀνθρώ</w:t>
      </w:r>
      <w:proofErr w:type="spellEnd"/>
      <w:r w:rsidR="009104A2">
        <w:t>που, καὶ ἀπ</w:t>
      </w:r>
      <w:proofErr w:type="spellStart"/>
      <w:r w:rsidR="009104A2">
        <w:t>οθάνῃ</w:t>
      </w:r>
      <w:proofErr w:type="spellEnd"/>
      <w:r w:rsidR="009104A2">
        <w:t xml:space="preserve"> (wer eine Menschenseele schlägt, und sie stirbt), was den kausalen Zusammenhang zwischen Schlag und Tod betont.</w:t>
      </w:r>
    </w:p>
    <w:p w14:paraId="7272D0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Tötungsverbot: universeller Täter + Menschentötung + emphatische Todesstrafe.</w:t>
      </w:r>
    </w:p>
    <w:p w14:paraId="39B5C825" w14:textId="1F4C8BEB" w:rsidR="00CC6F7E" w:rsidRPr="00CC6F7E" w:rsidRDefault="00E05781" w:rsidP="00CC6F7E">
      <w:pPr>
        <w:spacing w:before="100" w:beforeAutospacing="1" w:after="100" w:afterAutospacing="1" w:line="240" w:lineRule="auto"/>
        <w:rPr>
          <w:rFonts w:eastAsia="Times New Roman" w:cs="Times New Roman"/>
          <w:lang w:eastAsia="de-DE"/>
        </w:rPr>
      </w:pPr>
      <w:r>
        <w:t>Der Vers begrenzt die Vergeltung auf eine gleichwertige Strafe: Im Fall einer Tötung darf nur der Täter selbst getötet werden, nicht seine gesamte Familie (Begrenzungsfunktion des lex talionis).</w:t>
      </w:r>
    </w:p>
    <w:p w14:paraId="49A51AD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24,18</w:t>
      </w:r>
    </w:p>
    <w:p w14:paraId="5E0315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וּמַכֵּ֥ה נֶֽפֶשׁ־בְּהֵמָ֖ה יְשַׁלְּמֶ֑נָּה נֶ֖פֶשׁ תַּ֥חַת נָֽפֶשׁ׃</w:t>
      </w:r>
    </w:p>
    <w:p w14:paraId="376B0A9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wer ein Vieh erschlägt, soll es erstatten: Leben um Leben.</w:t>
      </w:r>
    </w:p>
    <w:p w14:paraId="20812E80"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6366E77">
          <v:rect id="_x0000_i1743" style="width:0;height:1.5pt" o:hralign="center" o:hrstd="t" o:hr="t" fillcolor="#a0a0a0" stroked="f"/>
        </w:pict>
      </w:r>
    </w:p>
    <w:p w14:paraId="16E1A5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ומכה נפש־בהמה ישלמנה נפש תחת נפש</w:t>
      </w:r>
      <w:r w:rsidRPr="00CC6F7E">
        <w:rPr>
          <w:rFonts w:eastAsia="Times New Roman" w:cs="Times New Roman"/>
          <w:rtl/>
          <w:lang w:eastAsia="de-DE"/>
        </w:rPr>
        <w:t xml:space="preserve"> </w:t>
      </w:r>
      <w:r w:rsidRPr="00CC6F7E">
        <w:rPr>
          <w:rFonts w:eastAsia="Times New Roman" w:cs="Times New Roman"/>
          <w:lang w:eastAsia="de-DE"/>
        </w:rPr>
        <w:t xml:space="preserve">zeigt die Unterscheidung zwischen Menschen- und Tiertötung. </w:t>
      </w:r>
      <w:r w:rsidRPr="00CC6F7E">
        <w:rPr>
          <w:rFonts w:eastAsia="Times New Roman" w:cs="Times New Roman"/>
          <w:b/>
          <w:bCs/>
          <w:rtl/>
          <w:lang w:eastAsia="de-DE"/>
        </w:rPr>
        <w:t>ומכה נפש־בהמה ישלמנה</w:t>
      </w:r>
      <w:r w:rsidRPr="00CC6F7E">
        <w:rPr>
          <w:rFonts w:eastAsia="Times New Roman" w:cs="Times New Roman"/>
          <w:rtl/>
          <w:lang w:eastAsia="de-DE"/>
        </w:rPr>
        <w:t xml:space="preserve"> </w:t>
      </w:r>
      <w:r w:rsidRPr="00CC6F7E">
        <w:rPr>
          <w:rFonts w:eastAsia="Times New Roman" w:cs="Times New Roman"/>
          <w:lang w:eastAsia="de-DE"/>
        </w:rPr>
        <w:t xml:space="preserve">(und wer ein Vieh erschlägt, soll es erstatten) - </w:t>
      </w:r>
      <w:r w:rsidRPr="00CC6F7E">
        <w:rPr>
          <w:rFonts w:eastAsia="Times New Roman" w:cs="Times New Roman"/>
          <w:b/>
          <w:bCs/>
          <w:rtl/>
          <w:lang w:eastAsia="de-DE"/>
        </w:rPr>
        <w:t>ומכה</w:t>
      </w:r>
      <w:r w:rsidRPr="00CC6F7E">
        <w:rPr>
          <w:rFonts w:eastAsia="Times New Roman" w:cs="Times New Roman"/>
          <w:rtl/>
          <w:lang w:eastAsia="de-DE"/>
        </w:rPr>
        <w:t xml:space="preserve"> </w:t>
      </w:r>
      <w:r w:rsidRPr="00CC6F7E">
        <w:rPr>
          <w:rFonts w:eastAsia="Times New Roman" w:cs="Times New Roman"/>
          <w:lang w:eastAsia="de-DE"/>
        </w:rPr>
        <w:t xml:space="preserve">(und wer schlägt) im Hifil-Partizip von </w:t>
      </w:r>
      <w:r w:rsidRPr="00CC6F7E">
        <w:rPr>
          <w:rFonts w:eastAsia="Times New Roman" w:cs="Times New Roman"/>
          <w:b/>
          <w:bCs/>
          <w:rtl/>
          <w:lang w:eastAsia="de-DE"/>
        </w:rPr>
        <w:t>נכה</w:t>
      </w:r>
      <w:r w:rsidRPr="00CC6F7E">
        <w:rPr>
          <w:rFonts w:eastAsia="Times New Roman" w:cs="Times New Roman"/>
          <w:rtl/>
          <w:lang w:eastAsia="de-DE"/>
        </w:rPr>
        <w:t xml:space="preserve"> </w:t>
      </w:r>
      <w:r w:rsidRPr="00CC6F7E">
        <w:rPr>
          <w:rFonts w:eastAsia="Times New Roman" w:cs="Times New Roman"/>
          <w:lang w:eastAsia="de-DE"/>
        </w:rPr>
        <w:t xml:space="preserve">entspricht V. 17. </w:t>
      </w:r>
      <w:r w:rsidRPr="00CC6F7E">
        <w:rPr>
          <w:rFonts w:eastAsia="Times New Roman" w:cs="Times New Roman"/>
          <w:b/>
          <w:bCs/>
          <w:rtl/>
          <w:lang w:eastAsia="de-DE"/>
        </w:rPr>
        <w:t>נפש־בהמה</w:t>
      </w:r>
      <w:r w:rsidRPr="00CC6F7E">
        <w:rPr>
          <w:rFonts w:eastAsia="Times New Roman" w:cs="Times New Roman"/>
          <w:rtl/>
          <w:lang w:eastAsia="de-DE"/>
        </w:rPr>
        <w:t xml:space="preserve"> </w:t>
      </w:r>
      <w:r w:rsidRPr="00CC6F7E">
        <w:rPr>
          <w:rFonts w:eastAsia="Times New Roman" w:cs="Times New Roman"/>
          <w:lang w:eastAsia="de-DE"/>
        </w:rPr>
        <w:t xml:space="preserve">(Viehseele) zeigt Tierleben. </w:t>
      </w:r>
      <w:r w:rsidRPr="00CC6F7E">
        <w:rPr>
          <w:rFonts w:eastAsia="Times New Roman" w:cs="Times New Roman"/>
          <w:b/>
          <w:bCs/>
          <w:rtl/>
          <w:lang w:eastAsia="de-DE"/>
        </w:rPr>
        <w:t>ישלמנה</w:t>
      </w:r>
      <w:r w:rsidRPr="00CC6F7E">
        <w:rPr>
          <w:rFonts w:eastAsia="Times New Roman" w:cs="Times New Roman"/>
          <w:rtl/>
          <w:lang w:eastAsia="de-DE"/>
        </w:rPr>
        <w:t xml:space="preserve"> </w:t>
      </w:r>
      <w:r w:rsidRPr="00CC6F7E">
        <w:rPr>
          <w:rFonts w:eastAsia="Times New Roman" w:cs="Times New Roman"/>
          <w:lang w:eastAsia="de-DE"/>
        </w:rPr>
        <w:t xml:space="preserve">(soll es erstatten) im Piel-Imperfekt von </w:t>
      </w:r>
      <w:r w:rsidRPr="00CC6F7E">
        <w:rPr>
          <w:rFonts w:eastAsia="Times New Roman" w:cs="Times New Roman"/>
          <w:b/>
          <w:bCs/>
          <w:rtl/>
          <w:lang w:eastAsia="de-DE"/>
        </w:rPr>
        <w:t>שלם</w:t>
      </w:r>
      <w:r w:rsidRPr="00CC6F7E">
        <w:rPr>
          <w:rFonts w:eastAsia="Times New Roman" w:cs="Times New Roman"/>
          <w:rtl/>
          <w:lang w:eastAsia="de-DE"/>
        </w:rPr>
        <w:t xml:space="preserve"> </w:t>
      </w:r>
      <w:r w:rsidRPr="00CC6F7E">
        <w:rPr>
          <w:rFonts w:eastAsia="Times New Roman" w:cs="Times New Roman"/>
          <w:lang w:eastAsia="de-DE"/>
        </w:rPr>
        <w:t>zeigt Ersatz statt Todesstrafe.</w:t>
      </w:r>
    </w:p>
    <w:p w14:paraId="69958C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נפש תחת נפש</w:t>
      </w:r>
      <w:r w:rsidRPr="00CC6F7E">
        <w:rPr>
          <w:rFonts w:eastAsia="Times New Roman" w:cs="Times New Roman"/>
          <w:rtl/>
          <w:lang w:eastAsia="de-DE"/>
        </w:rPr>
        <w:t xml:space="preserve"> </w:t>
      </w:r>
      <w:r w:rsidRPr="00CC6F7E">
        <w:rPr>
          <w:rFonts w:eastAsia="Times New Roman" w:cs="Times New Roman"/>
          <w:lang w:eastAsia="de-DE"/>
        </w:rPr>
        <w:t xml:space="preserve">(Leben um Leben) zeigt </w:t>
      </w:r>
      <w:r w:rsidRPr="00CC6F7E">
        <w:rPr>
          <w:rFonts w:eastAsia="Times New Roman" w:cs="Times New Roman"/>
          <w:b/>
          <w:bCs/>
          <w:lang w:eastAsia="de-DE"/>
        </w:rPr>
        <w:t>lex talionis</w:t>
      </w:r>
      <w:r w:rsidRPr="00CC6F7E">
        <w:rPr>
          <w:rFonts w:eastAsia="Times New Roman" w:cs="Times New Roman"/>
          <w:lang w:eastAsia="de-DE"/>
        </w:rPr>
        <w:t xml:space="preserve">-Prinzip mit Wertäquivalenz - </w:t>
      </w:r>
      <w:r w:rsidRPr="00CC6F7E">
        <w:rPr>
          <w:rFonts w:eastAsia="Times New Roman" w:cs="Times New Roman"/>
          <w:b/>
          <w:bCs/>
          <w:rtl/>
          <w:lang w:eastAsia="de-DE"/>
        </w:rPr>
        <w:t>תחת</w:t>
      </w:r>
      <w:r w:rsidRPr="00CC6F7E">
        <w:rPr>
          <w:rFonts w:eastAsia="Times New Roman" w:cs="Times New Roman"/>
          <w:rtl/>
          <w:lang w:eastAsia="de-DE"/>
        </w:rPr>
        <w:t xml:space="preserve"> </w:t>
      </w:r>
      <w:r w:rsidRPr="00CC6F7E">
        <w:rPr>
          <w:rFonts w:eastAsia="Times New Roman" w:cs="Times New Roman"/>
          <w:lang w:eastAsia="de-DE"/>
        </w:rPr>
        <w:t>(anstelle von) zeigt Ersatzprinzip.</w:t>
      </w:r>
    </w:p>
    <w:p w14:paraId="2930E67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נפש־בהמה</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נפש אדם</w:t>
      </w:r>
      <w:r w:rsidRPr="00CC6F7E">
        <w:rPr>
          <w:rFonts w:eastAsia="Times New Roman" w:cs="Times New Roman"/>
          <w:rtl/>
          <w:lang w:eastAsia="de-DE"/>
        </w:rPr>
        <w:t xml:space="preserve"> </w:t>
      </w:r>
      <w:r w:rsidRPr="00CC6F7E">
        <w:rPr>
          <w:rFonts w:eastAsia="Times New Roman" w:cs="Times New Roman"/>
          <w:lang w:eastAsia="de-DE"/>
        </w:rPr>
        <w:t xml:space="preserve">(V. 17) zeigt unterschiedliche Bewertung von Tier- und Menschenleben. </w:t>
      </w:r>
      <w:r w:rsidRPr="00CC6F7E">
        <w:rPr>
          <w:rFonts w:eastAsia="Times New Roman" w:cs="Times New Roman"/>
          <w:b/>
          <w:bCs/>
          <w:rtl/>
          <w:lang w:eastAsia="de-DE"/>
        </w:rPr>
        <w:t>ישלמנה</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zeigt Ersatz vs. Todesstrafe. </w:t>
      </w:r>
      <w:r w:rsidRPr="00CC6F7E">
        <w:rPr>
          <w:rFonts w:eastAsia="Times New Roman" w:cs="Times New Roman"/>
          <w:b/>
          <w:bCs/>
          <w:rtl/>
          <w:lang w:eastAsia="de-DE"/>
        </w:rPr>
        <w:t>נפש תחת נפש</w:t>
      </w:r>
      <w:r w:rsidRPr="00CC6F7E">
        <w:rPr>
          <w:rFonts w:eastAsia="Times New Roman" w:cs="Times New Roman"/>
          <w:rtl/>
          <w:lang w:eastAsia="de-DE"/>
        </w:rPr>
        <w:t xml:space="preserve"> </w:t>
      </w:r>
      <w:r w:rsidRPr="00CC6F7E">
        <w:rPr>
          <w:rFonts w:eastAsia="Times New Roman" w:cs="Times New Roman"/>
          <w:lang w:eastAsia="de-DE"/>
        </w:rPr>
        <w:t>als Äquivalenzprinzip.</w:t>
      </w:r>
    </w:p>
    <w:p w14:paraId="5406E7F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ומכה נפש־בהמה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ὃς</w:t>
      </w:r>
      <w:proofErr w:type="spellEnd"/>
      <w:r w:rsidRPr="00CC6F7E">
        <w:rPr>
          <w:rFonts w:eastAsia="Times New Roman" w:cs="Times New Roman"/>
          <w:lang w:eastAsia="de-DE"/>
        </w:rPr>
        <w:t xml:space="preserve"> δ᾽ </w:t>
      </w:r>
      <w:proofErr w:type="spellStart"/>
      <w:r w:rsidRPr="00CC6F7E">
        <w:rPr>
          <w:rFonts w:eastAsia="Times New Roman" w:cs="Times New Roman"/>
          <w:lang w:eastAsia="de-DE"/>
        </w:rPr>
        <w:t>ἂν</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τάξῃ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ψυχὴν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κτήνους</w:t>
      </w:r>
      <w:proofErr w:type="spellEnd"/>
      <w:r w:rsidRPr="00CC6F7E">
        <w:rPr>
          <w:rFonts w:eastAsia="Times New Roman" w:cs="Times New Roman"/>
          <w:lang w:eastAsia="de-DE"/>
        </w:rPr>
        <w:t xml:space="preserve"> (wer aber die Seele eines Viehs schlagen wird), </w:t>
      </w:r>
      <w:r w:rsidRPr="00CC6F7E">
        <w:rPr>
          <w:rFonts w:eastAsia="Times New Roman" w:cs="Times New Roman"/>
          <w:b/>
          <w:bCs/>
          <w:rtl/>
          <w:lang w:eastAsia="de-DE"/>
        </w:rPr>
        <w:t>ישלמנה</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οτείσει</w:t>
      </w:r>
      <w:proofErr w:type="spellEnd"/>
      <w:r w:rsidRPr="00CC6F7E">
        <w:rPr>
          <w:rFonts w:eastAsia="Times New Roman" w:cs="Times New Roman"/>
          <w:lang w:eastAsia="de-DE"/>
        </w:rPr>
        <w:t xml:space="preserve"> (wird erstatten) und </w:t>
      </w:r>
      <w:r w:rsidRPr="00CC6F7E">
        <w:rPr>
          <w:rFonts w:eastAsia="Times New Roman" w:cs="Times New Roman"/>
          <w:b/>
          <w:bCs/>
          <w:rtl/>
          <w:lang w:eastAsia="de-DE"/>
        </w:rPr>
        <w:t>נפש תחת נפש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ψυχὴν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ἀντὶ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ψυχῆς</w:t>
      </w:r>
      <w:proofErr w:type="spellEnd"/>
      <w:r w:rsidRPr="00CC6F7E">
        <w:rPr>
          <w:rFonts w:eastAsia="Times New Roman" w:cs="Times New Roman"/>
          <w:lang w:eastAsia="de-DE"/>
        </w:rPr>
        <w:t xml:space="preserve"> (Seele für Seele).</w:t>
      </w:r>
    </w:p>
    <w:p w14:paraId="27FE663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Vieh-Tötungsersatz: Viehtötung + Erstattungspflicht + Leben-für-Leben-Prinzip.</w:t>
      </w:r>
    </w:p>
    <w:p w14:paraId="65A44A9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unterscheidet Tier- von Menschentötung durch Erstattung statt Todesstrafe nach </w:t>
      </w:r>
      <w:r w:rsidRPr="00CC6F7E">
        <w:rPr>
          <w:rFonts w:eastAsia="Times New Roman" w:cs="Times New Roman"/>
          <w:b/>
          <w:bCs/>
          <w:lang w:eastAsia="de-DE"/>
        </w:rPr>
        <w:t>lex talionis</w:t>
      </w:r>
      <w:r w:rsidRPr="00CC6F7E">
        <w:rPr>
          <w:rFonts w:eastAsia="Times New Roman" w:cs="Times New Roman"/>
          <w:lang w:eastAsia="de-DE"/>
        </w:rPr>
        <w:t>-Prinzip.</w:t>
      </w:r>
    </w:p>
    <w:p w14:paraId="6ACF1B7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24,19</w:t>
      </w:r>
    </w:p>
    <w:p w14:paraId="265D611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וְאִ֕ישׁ כִּֽי־יִתֵּ֥ן מ֖וּם בַּעֲמִיתֹ֑ו כַּאֲשֶׁ֣ר עָשָׂ֔ה כֵּ֖ן יֵעָ֥שֶׂה לּוֹ׃</w:t>
      </w:r>
    </w:p>
    <w:p w14:paraId="6761DC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jemand seinem Nächsten einen Leibesschaden zufügt: Wie er getan hat, so soll ihm getan werden:</w:t>
      </w:r>
    </w:p>
    <w:p w14:paraId="304BBF5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1388FA3">
          <v:rect id="_x0000_i1744" style="width:0;height:1.5pt" o:hralign="center" o:hrstd="t" o:hr="t" fillcolor="#a0a0a0" stroked="f"/>
        </w:pict>
      </w:r>
    </w:p>
    <w:p w14:paraId="64F783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ואיש כי־יתן מום בעמיתו כאשר עשה כן יעשה לו</w:t>
      </w:r>
      <w:r w:rsidRPr="00CC6F7E">
        <w:rPr>
          <w:rFonts w:eastAsia="Times New Roman" w:cs="Times New Roman"/>
          <w:rtl/>
          <w:lang w:eastAsia="de-DE"/>
        </w:rPr>
        <w:t xml:space="preserve"> </w:t>
      </w:r>
      <w:r w:rsidRPr="00CC6F7E">
        <w:rPr>
          <w:rFonts w:eastAsia="Times New Roman" w:cs="Times New Roman"/>
          <w:lang w:eastAsia="de-DE"/>
        </w:rPr>
        <w:t xml:space="preserve">etabliert das </w:t>
      </w:r>
      <w:r w:rsidRPr="00CC6F7E">
        <w:rPr>
          <w:rFonts w:eastAsia="Times New Roman" w:cs="Times New Roman"/>
          <w:b/>
          <w:bCs/>
          <w:lang w:eastAsia="de-DE"/>
        </w:rPr>
        <w:t>lex talionis</w:t>
      </w:r>
      <w:r w:rsidRPr="00CC6F7E">
        <w:rPr>
          <w:rFonts w:eastAsia="Times New Roman" w:cs="Times New Roman"/>
          <w:lang w:eastAsia="de-DE"/>
        </w:rPr>
        <w:t xml:space="preserve">-Prinzip für Körperverletzung. </w:t>
      </w:r>
      <w:r w:rsidRPr="00CC6F7E">
        <w:rPr>
          <w:rFonts w:eastAsia="Times New Roman" w:cs="Times New Roman"/>
          <w:b/>
          <w:bCs/>
          <w:rtl/>
          <w:lang w:eastAsia="de-DE"/>
        </w:rPr>
        <w:t>ואיש כי־יתן מום בעמיתו</w:t>
      </w:r>
      <w:r w:rsidRPr="00CC6F7E">
        <w:rPr>
          <w:rFonts w:eastAsia="Times New Roman" w:cs="Times New Roman"/>
          <w:rtl/>
          <w:lang w:eastAsia="de-DE"/>
        </w:rPr>
        <w:t xml:space="preserve"> </w:t>
      </w:r>
      <w:r w:rsidRPr="00CC6F7E">
        <w:rPr>
          <w:rFonts w:eastAsia="Times New Roman" w:cs="Times New Roman"/>
          <w:lang w:eastAsia="de-DE"/>
        </w:rPr>
        <w:t xml:space="preserve">(und wenn jemand seinem Nächsten einen Leibesschaden zufügt) - </w:t>
      </w:r>
      <w:r w:rsidRPr="00CC6F7E">
        <w:rPr>
          <w:rFonts w:eastAsia="Times New Roman" w:cs="Times New Roman"/>
          <w:b/>
          <w:bCs/>
          <w:rtl/>
          <w:lang w:eastAsia="de-DE"/>
        </w:rPr>
        <w:t>איש</w:t>
      </w:r>
      <w:r w:rsidRPr="00CC6F7E">
        <w:rPr>
          <w:rFonts w:eastAsia="Times New Roman" w:cs="Times New Roman"/>
          <w:rtl/>
          <w:lang w:eastAsia="de-DE"/>
        </w:rPr>
        <w:t xml:space="preserve"> </w:t>
      </w:r>
      <w:r w:rsidRPr="00CC6F7E">
        <w:rPr>
          <w:rFonts w:eastAsia="Times New Roman" w:cs="Times New Roman"/>
          <w:lang w:eastAsia="de-DE"/>
        </w:rPr>
        <w:t xml:space="preserve">entspricht V. 17-18. </w:t>
      </w:r>
      <w:r w:rsidRPr="00CC6F7E">
        <w:rPr>
          <w:rFonts w:eastAsia="Times New Roman" w:cs="Times New Roman"/>
          <w:b/>
          <w:bCs/>
          <w:rtl/>
          <w:lang w:eastAsia="de-DE"/>
        </w:rPr>
        <w:t>כי־יתן מום</w:t>
      </w:r>
      <w:r w:rsidRPr="00CC6F7E">
        <w:rPr>
          <w:rFonts w:eastAsia="Times New Roman" w:cs="Times New Roman"/>
          <w:rtl/>
          <w:lang w:eastAsia="de-DE"/>
        </w:rPr>
        <w:t xml:space="preserve"> </w:t>
      </w:r>
      <w:r w:rsidRPr="00CC6F7E">
        <w:rPr>
          <w:rFonts w:eastAsia="Times New Roman" w:cs="Times New Roman"/>
          <w:lang w:eastAsia="de-DE"/>
        </w:rPr>
        <w:t xml:space="preserve">(wenn er einen Makel/Schaden verursacht) - </w:t>
      </w:r>
      <w:r w:rsidRPr="00CC6F7E">
        <w:rPr>
          <w:rFonts w:eastAsia="Times New Roman" w:cs="Times New Roman"/>
          <w:b/>
          <w:bCs/>
          <w:rtl/>
          <w:lang w:eastAsia="de-DE"/>
        </w:rPr>
        <w:t>יתן</w:t>
      </w:r>
      <w:r w:rsidRPr="00CC6F7E">
        <w:rPr>
          <w:rFonts w:eastAsia="Times New Roman" w:cs="Times New Roman"/>
          <w:rtl/>
          <w:lang w:eastAsia="de-DE"/>
        </w:rPr>
        <w:t xml:space="preserve"> </w:t>
      </w:r>
      <w:r w:rsidRPr="00CC6F7E">
        <w:rPr>
          <w:rFonts w:eastAsia="Times New Roman" w:cs="Times New Roman"/>
          <w:lang w:eastAsia="de-DE"/>
        </w:rPr>
        <w:t xml:space="preserve">(gibt/verursacht) im Qal-Imperfekt. </w:t>
      </w:r>
      <w:r w:rsidRPr="00CC6F7E">
        <w:rPr>
          <w:rFonts w:eastAsia="Times New Roman" w:cs="Times New Roman"/>
          <w:b/>
          <w:bCs/>
          <w:rtl/>
          <w:lang w:eastAsia="de-DE"/>
        </w:rPr>
        <w:t>מום</w:t>
      </w:r>
      <w:r w:rsidRPr="00CC6F7E">
        <w:rPr>
          <w:rFonts w:eastAsia="Times New Roman" w:cs="Times New Roman"/>
          <w:rtl/>
          <w:lang w:eastAsia="de-DE"/>
        </w:rPr>
        <w:t xml:space="preserve"> </w:t>
      </w:r>
      <w:r w:rsidRPr="00CC6F7E">
        <w:rPr>
          <w:rFonts w:eastAsia="Times New Roman" w:cs="Times New Roman"/>
          <w:lang w:eastAsia="de-DE"/>
        </w:rPr>
        <w:t xml:space="preserve">(Makel/Schaden) entspricht den Opfertier-Mängeln und zeigt körperliche Beeinträchtigung. </w:t>
      </w:r>
      <w:r w:rsidRPr="00CC6F7E">
        <w:rPr>
          <w:rFonts w:eastAsia="Times New Roman" w:cs="Times New Roman"/>
          <w:b/>
          <w:bCs/>
          <w:rtl/>
          <w:lang w:eastAsia="de-DE"/>
        </w:rPr>
        <w:t>בעמיתו</w:t>
      </w:r>
      <w:r w:rsidRPr="00CC6F7E">
        <w:rPr>
          <w:rFonts w:eastAsia="Times New Roman" w:cs="Times New Roman"/>
          <w:rtl/>
          <w:lang w:eastAsia="de-DE"/>
        </w:rPr>
        <w:t xml:space="preserve"> </w:t>
      </w:r>
      <w:r w:rsidRPr="00CC6F7E">
        <w:rPr>
          <w:rFonts w:eastAsia="Times New Roman" w:cs="Times New Roman"/>
          <w:lang w:eastAsia="de-DE"/>
        </w:rPr>
        <w:t xml:space="preserve">(seinem Nächsten) - </w:t>
      </w:r>
      <w:r w:rsidRPr="00CC6F7E">
        <w:rPr>
          <w:rFonts w:eastAsia="Times New Roman" w:cs="Times New Roman"/>
          <w:b/>
          <w:bCs/>
          <w:rtl/>
          <w:lang w:eastAsia="de-DE"/>
        </w:rPr>
        <w:t>עמית</w:t>
      </w:r>
      <w:r w:rsidRPr="00CC6F7E">
        <w:rPr>
          <w:rFonts w:eastAsia="Times New Roman" w:cs="Times New Roman"/>
          <w:rtl/>
          <w:lang w:eastAsia="de-DE"/>
        </w:rPr>
        <w:t xml:space="preserve"> </w:t>
      </w:r>
      <w:r w:rsidRPr="00CC6F7E">
        <w:rPr>
          <w:rFonts w:eastAsia="Times New Roman" w:cs="Times New Roman"/>
          <w:lang w:eastAsia="de-DE"/>
        </w:rPr>
        <w:t>(Mitmensch/Nächster) zeigt Gemeinschaftsmitglied.</w:t>
      </w:r>
    </w:p>
    <w:p w14:paraId="067BE59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כאשר עשה כן יעשה לו</w:t>
      </w:r>
      <w:r w:rsidRPr="00CC6F7E">
        <w:rPr>
          <w:rFonts w:eastAsia="Times New Roman" w:cs="Times New Roman"/>
          <w:rtl/>
          <w:lang w:eastAsia="de-DE"/>
        </w:rPr>
        <w:t xml:space="preserve"> </w:t>
      </w:r>
      <w:r w:rsidRPr="00CC6F7E">
        <w:rPr>
          <w:rFonts w:eastAsia="Times New Roman" w:cs="Times New Roman"/>
          <w:lang w:eastAsia="de-DE"/>
        </w:rPr>
        <w:t xml:space="preserve">(wie er getan hat, so soll ihm getan werden) - </w:t>
      </w:r>
      <w:r w:rsidRPr="00CC6F7E">
        <w:rPr>
          <w:rFonts w:eastAsia="Times New Roman" w:cs="Times New Roman"/>
          <w:b/>
          <w:bCs/>
          <w:rtl/>
          <w:lang w:eastAsia="de-DE"/>
        </w:rPr>
        <w:t>כאשר עשה</w:t>
      </w:r>
      <w:r w:rsidRPr="00CC6F7E">
        <w:rPr>
          <w:rFonts w:eastAsia="Times New Roman" w:cs="Times New Roman"/>
          <w:rtl/>
          <w:lang w:eastAsia="de-DE"/>
        </w:rPr>
        <w:t xml:space="preserve"> </w:t>
      </w:r>
      <w:r w:rsidRPr="00CC6F7E">
        <w:rPr>
          <w:rFonts w:eastAsia="Times New Roman" w:cs="Times New Roman"/>
          <w:lang w:eastAsia="de-DE"/>
        </w:rPr>
        <w:t xml:space="preserve">(wie er getan hat) zeigt die Tat. </w:t>
      </w:r>
      <w:r w:rsidRPr="00CC6F7E">
        <w:rPr>
          <w:rFonts w:eastAsia="Times New Roman" w:cs="Times New Roman"/>
          <w:b/>
          <w:bCs/>
          <w:rtl/>
          <w:lang w:eastAsia="de-DE"/>
        </w:rPr>
        <w:t>כן יעשה לו</w:t>
      </w:r>
      <w:r w:rsidRPr="00CC6F7E">
        <w:rPr>
          <w:rFonts w:eastAsia="Times New Roman" w:cs="Times New Roman"/>
          <w:rtl/>
          <w:lang w:eastAsia="de-DE"/>
        </w:rPr>
        <w:t xml:space="preserve"> </w:t>
      </w:r>
      <w:r w:rsidRPr="00CC6F7E">
        <w:rPr>
          <w:rFonts w:eastAsia="Times New Roman" w:cs="Times New Roman"/>
          <w:lang w:eastAsia="de-DE"/>
        </w:rPr>
        <w:t xml:space="preserve">(so soll ihm getan werden) im Nifal-Imperfekt zeigt entsprechende Vergeltung nach </w:t>
      </w:r>
      <w:r w:rsidRPr="00CC6F7E">
        <w:rPr>
          <w:rFonts w:eastAsia="Times New Roman" w:cs="Times New Roman"/>
          <w:b/>
          <w:bCs/>
          <w:lang w:eastAsia="de-DE"/>
        </w:rPr>
        <w:t>lex talionis</w:t>
      </w:r>
      <w:r w:rsidRPr="00CC6F7E">
        <w:rPr>
          <w:rFonts w:eastAsia="Times New Roman" w:cs="Times New Roman"/>
          <w:lang w:eastAsia="de-DE"/>
        </w:rPr>
        <w:t>.</w:t>
      </w:r>
    </w:p>
    <w:p w14:paraId="5A23BE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מום</w:t>
      </w:r>
      <w:r w:rsidRPr="00CC6F7E">
        <w:rPr>
          <w:rFonts w:eastAsia="Times New Roman" w:cs="Times New Roman"/>
          <w:rtl/>
          <w:lang w:eastAsia="de-DE"/>
        </w:rPr>
        <w:t xml:space="preserve"> </w:t>
      </w:r>
      <w:r w:rsidRPr="00CC6F7E">
        <w:rPr>
          <w:rFonts w:eastAsia="Times New Roman" w:cs="Times New Roman"/>
          <w:lang w:eastAsia="de-DE"/>
        </w:rPr>
        <w:t xml:space="preserve">zeigt dauerhafte körperliche Schädigung. </w:t>
      </w:r>
      <w:r w:rsidRPr="00CC6F7E">
        <w:rPr>
          <w:rFonts w:eastAsia="Times New Roman" w:cs="Times New Roman"/>
          <w:b/>
          <w:bCs/>
          <w:rtl/>
          <w:lang w:eastAsia="de-DE"/>
        </w:rPr>
        <w:t>בעמיתו</w:t>
      </w:r>
      <w:r w:rsidRPr="00CC6F7E">
        <w:rPr>
          <w:rFonts w:eastAsia="Times New Roman" w:cs="Times New Roman"/>
          <w:rtl/>
          <w:lang w:eastAsia="de-DE"/>
        </w:rPr>
        <w:t xml:space="preserve"> </w:t>
      </w:r>
      <w:r w:rsidRPr="00CC6F7E">
        <w:rPr>
          <w:rFonts w:eastAsia="Times New Roman" w:cs="Times New Roman"/>
          <w:lang w:eastAsia="de-DE"/>
        </w:rPr>
        <w:t xml:space="preserve">zeigt Gemeinschaftsbezug. </w:t>
      </w:r>
      <w:r w:rsidRPr="00CC6F7E">
        <w:rPr>
          <w:rFonts w:eastAsia="Times New Roman" w:cs="Times New Roman"/>
          <w:b/>
          <w:bCs/>
          <w:rtl/>
          <w:lang w:eastAsia="de-DE"/>
        </w:rPr>
        <w:t>כאשר עשה כן יעשה לו</w:t>
      </w:r>
      <w:r w:rsidRPr="00CC6F7E">
        <w:rPr>
          <w:rFonts w:eastAsia="Times New Roman" w:cs="Times New Roman"/>
          <w:rtl/>
          <w:lang w:eastAsia="de-DE"/>
        </w:rPr>
        <w:t xml:space="preserve"> </w:t>
      </w:r>
      <w:r w:rsidRPr="00CC6F7E">
        <w:rPr>
          <w:rFonts w:eastAsia="Times New Roman" w:cs="Times New Roman"/>
          <w:lang w:eastAsia="de-DE"/>
        </w:rPr>
        <w:t xml:space="preserve">als klassische </w:t>
      </w:r>
      <w:r w:rsidRPr="00CC6F7E">
        <w:rPr>
          <w:rFonts w:eastAsia="Times New Roman" w:cs="Times New Roman"/>
          <w:b/>
          <w:bCs/>
          <w:lang w:eastAsia="de-DE"/>
        </w:rPr>
        <w:t>lex talionis</w:t>
      </w:r>
      <w:r w:rsidRPr="00CC6F7E">
        <w:rPr>
          <w:rFonts w:eastAsia="Times New Roman" w:cs="Times New Roman"/>
          <w:lang w:eastAsia="de-DE"/>
        </w:rPr>
        <w:t>-Formel.</w:t>
      </w:r>
    </w:p>
    <w:p w14:paraId="285E7C3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כי־יתן מום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μῶμον</w:t>
      </w:r>
      <w:proofErr w:type="spellEnd"/>
      <w:r w:rsidRPr="00CC6F7E">
        <w:rPr>
          <w:rFonts w:eastAsia="Times New Roman" w:cs="Times New Roman"/>
          <w:lang w:eastAsia="de-DE"/>
        </w:rPr>
        <w:t xml:space="preserve"> (geben wird einen Makel), </w:t>
      </w:r>
      <w:r w:rsidRPr="00CC6F7E">
        <w:rPr>
          <w:rFonts w:eastAsia="Times New Roman" w:cs="Times New Roman"/>
          <w:b/>
          <w:bCs/>
          <w:rtl/>
          <w:lang w:eastAsia="de-DE"/>
        </w:rPr>
        <w:t>בעמיתו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λησίον</w:t>
      </w:r>
      <w:proofErr w:type="spellEnd"/>
      <w:r w:rsidRPr="00CC6F7E">
        <w:rPr>
          <w:rFonts w:eastAsia="Times New Roman" w:cs="Times New Roman"/>
          <w:lang w:eastAsia="de-DE"/>
        </w:rPr>
        <w:t xml:space="preserve"> (dem Nächsten) und </w:t>
      </w:r>
      <w:r w:rsidRPr="00CC6F7E">
        <w:rPr>
          <w:rFonts w:eastAsia="Times New Roman" w:cs="Times New Roman"/>
          <w:b/>
          <w:bCs/>
          <w:rtl/>
          <w:lang w:eastAsia="de-DE"/>
        </w:rPr>
        <w:t>כאשר עשה כן יעשה לו</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θότι</w:t>
      </w:r>
      <w:proofErr w:type="spellEnd"/>
      <w:r w:rsidRPr="00CC6F7E">
        <w:rPr>
          <w:rFonts w:eastAsia="Times New Roman" w:cs="Times New Roman"/>
          <w:lang w:eastAsia="de-DE"/>
        </w:rPr>
        <w:t xml:space="preserve"> ἐπ</w:t>
      </w:r>
      <w:proofErr w:type="spellStart"/>
      <w:r w:rsidRPr="00CC6F7E">
        <w:rPr>
          <w:rFonts w:eastAsia="Times New Roman" w:cs="Times New Roman"/>
          <w:lang w:eastAsia="de-DE"/>
        </w:rPr>
        <w:t>οίησεν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οὕτως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οιηθήσετ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(wie er getan hat, so soll ihm getan werden).</w:t>
      </w:r>
    </w:p>
    <w:p w14:paraId="4BD0A9A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Körperverletzungs-</w:t>
      </w:r>
      <w:r w:rsidRPr="00CC6F7E">
        <w:rPr>
          <w:rFonts w:eastAsia="Times New Roman" w:cs="Times New Roman"/>
          <w:b/>
          <w:bCs/>
          <w:lang w:eastAsia="de-DE"/>
        </w:rPr>
        <w:t>lex talionis</w:t>
      </w:r>
      <w:r w:rsidRPr="00CC6F7E">
        <w:rPr>
          <w:rFonts w:eastAsia="Times New Roman" w:cs="Times New Roman"/>
          <w:lang w:eastAsia="de-DE"/>
        </w:rPr>
        <w:t xml:space="preserve">: Schadenszufügung am Nächsten + entsprechende Vergeltung + </w:t>
      </w:r>
      <w:r w:rsidRPr="00CC6F7E">
        <w:rPr>
          <w:rFonts w:eastAsia="Times New Roman" w:cs="Times New Roman"/>
          <w:b/>
          <w:bCs/>
          <w:lang w:eastAsia="de-DE"/>
        </w:rPr>
        <w:t>lex talionis</w:t>
      </w:r>
      <w:r w:rsidRPr="00CC6F7E">
        <w:rPr>
          <w:rFonts w:eastAsia="Times New Roman" w:cs="Times New Roman"/>
          <w:lang w:eastAsia="de-DE"/>
        </w:rPr>
        <w:t>-Formel.</w:t>
      </w:r>
    </w:p>
    <w:p w14:paraId="1F08D9F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das </w:t>
      </w:r>
      <w:r w:rsidRPr="00CC6F7E">
        <w:rPr>
          <w:rFonts w:eastAsia="Times New Roman" w:cs="Times New Roman"/>
          <w:b/>
          <w:bCs/>
          <w:lang w:eastAsia="de-DE"/>
        </w:rPr>
        <w:t>lex talionis</w:t>
      </w:r>
      <w:r w:rsidRPr="00CC6F7E">
        <w:rPr>
          <w:rFonts w:eastAsia="Times New Roman" w:cs="Times New Roman"/>
          <w:lang w:eastAsia="de-DE"/>
        </w:rPr>
        <w:t>-Prinzip für Körperverletzung mit entsprechender Vergeltung.</w:t>
      </w:r>
    </w:p>
    <w:p w14:paraId="319F777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24,20</w:t>
      </w:r>
    </w:p>
    <w:p w14:paraId="4DB788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שֶׁ֚בֶר תַּ֣חַת שֶׁ֔בֶר עַ֚יִן תַּ֣חַת עַ֔יִן שֵׁ֖ן תַּ֣חַת שֵׁ֑ן כַּאֲשֶׁ֨ר יִתֵּ֥ן מוּם֙ בָּֽאָדָ֔ם כֵּ֖ן יִנָּ֥תֶן בּוֹ׃</w:t>
      </w:r>
    </w:p>
    <w:p w14:paraId="1509942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Bruch um Bruch, Auge um Auge, Zahn um Zahn; wie er einem Menschen einen Leibesschaden zugefügt hat, so soll ihm zugefügt werden.</w:t>
      </w:r>
    </w:p>
    <w:p w14:paraId="2B861D5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1EB5A33">
          <v:rect id="_x0000_i1745" style="width:0;height:1.5pt" o:hralign="center" o:hrstd="t" o:hr="t" fillcolor="#a0a0a0" stroked="f"/>
        </w:pict>
      </w:r>
    </w:p>
    <w:p w14:paraId="531FBB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שבר תחת שבר עין תחת עין שן תחת שן כאשר יתן מום באדם כן ינתן בו</w:t>
      </w:r>
      <w:r w:rsidRPr="00CC6F7E">
        <w:rPr>
          <w:rFonts w:eastAsia="Times New Roman" w:cs="Times New Roman"/>
          <w:rtl/>
          <w:lang w:eastAsia="de-DE"/>
        </w:rPr>
        <w:t xml:space="preserve"> </w:t>
      </w:r>
      <w:r w:rsidRPr="00CC6F7E">
        <w:rPr>
          <w:rFonts w:eastAsia="Times New Roman" w:cs="Times New Roman"/>
          <w:lang w:eastAsia="de-DE"/>
        </w:rPr>
        <w:t xml:space="preserve">spezifiziert das </w:t>
      </w:r>
      <w:r w:rsidRPr="00CC6F7E">
        <w:rPr>
          <w:rFonts w:eastAsia="Times New Roman" w:cs="Times New Roman"/>
          <w:b/>
          <w:bCs/>
          <w:lang w:eastAsia="de-DE"/>
        </w:rPr>
        <w:t>lex talionis</w:t>
      </w:r>
      <w:r w:rsidRPr="00CC6F7E">
        <w:rPr>
          <w:rFonts w:eastAsia="Times New Roman" w:cs="Times New Roman"/>
          <w:lang w:eastAsia="de-DE"/>
        </w:rPr>
        <w:t xml:space="preserve">-Prinzip durch konkrete Beispiele. </w:t>
      </w:r>
      <w:r w:rsidRPr="00CC6F7E">
        <w:rPr>
          <w:rFonts w:eastAsia="Times New Roman" w:cs="Times New Roman"/>
          <w:b/>
          <w:bCs/>
          <w:rtl/>
          <w:lang w:eastAsia="de-DE"/>
        </w:rPr>
        <w:t>שבר תחת שבר עין תחת עין שן תחת שן</w:t>
      </w:r>
      <w:r w:rsidRPr="00CC6F7E">
        <w:rPr>
          <w:rFonts w:eastAsia="Times New Roman" w:cs="Times New Roman"/>
          <w:rtl/>
          <w:lang w:eastAsia="de-DE"/>
        </w:rPr>
        <w:t xml:space="preserve"> </w:t>
      </w:r>
      <w:r w:rsidRPr="00CC6F7E">
        <w:rPr>
          <w:rFonts w:eastAsia="Times New Roman" w:cs="Times New Roman"/>
          <w:lang w:eastAsia="de-DE"/>
        </w:rPr>
        <w:t>(Bruch um Bruch, Auge um Auge, Zahn um Zahn) zeigt drei Kategorien körperlicher Schäden:</w:t>
      </w:r>
    </w:p>
    <w:p w14:paraId="036D544D" w14:textId="77777777" w:rsidR="00CC6F7E" w:rsidRPr="00CC6F7E" w:rsidRDefault="00CC6F7E" w:rsidP="00CC6F7E">
      <w:pPr>
        <w:numPr>
          <w:ilvl w:val="0"/>
          <w:numId w:val="20"/>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שבר תחת שבר</w:t>
      </w:r>
      <w:r w:rsidRPr="00CC6F7E">
        <w:rPr>
          <w:rFonts w:eastAsia="Times New Roman" w:cs="Times New Roman"/>
          <w:rtl/>
          <w:lang w:eastAsia="de-DE"/>
        </w:rPr>
        <w:t xml:space="preserve"> </w:t>
      </w:r>
      <w:r w:rsidRPr="00CC6F7E">
        <w:rPr>
          <w:rFonts w:eastAsia="Times New Roman" w:cs="Times New Roman"/>
          <w:lang w:eastAsia="de-DE"/>
        </w:rPr>
        <w:t xml:space="preserve">(Bruch um Bruch) - </w:t>
      </w:r>
      <w:r w:rsidRPr="00CC6F7E">
        <w:rPr>
          <w:rFonts w:eastAsia="Times New Roman" w:cs="Times New Roman"/>
          <w:b/>
          <w:bCs/>
          <w:rtl/>
          <w:lang w:eastAsia="de-DE"/>
        </w:rPr>
        <w:t>שבר</w:t>
      </w:r>
      <w:r w:rsidRPr="00CC6F7E">
        <w:rPr>
          <w:rFonts w:eastAsia="Times New Roman" w:cs="Times New Roman"/>
          <w:rtl/>
          <w:lang w:eastAsia="de-DE"/>
        </w:rPr>
        <w:t xml:space="preserve"> </w:t>
      </w:r>
      <w:r w:rsidRPr="00CC6F7E">
        <w:rPr>
          <w:rFonts w:eastAsia="Times New Roman" w:cs="Times New Roman"/>
          <w:lang w:eastAsia="de-DE"/>
        </w:rPr>
        <w:t>(Bruch) zeigt Knochenbruch</w:t>
      </w:r>
    </w:p>
    <w:p w14:paraId="1447AE6B" w14:textId="77777777" w:rsidR="00CC6F7E" w:rsidRPr="00CC6F7E" w:rsidRDefault="00CC6F7E" w:rsidP="00CC6F7E">
      <w:pPr>
        <w:numPr>
          <w:ilvl w:val="0"/>
          <w:numId w:val="20"/>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עין תחת עין</w:t>
      </w:r>
      <w:r w:rsidRPr="00CC6F7E">
        <w:rPr>
          <w:rFonts w:eastAsia="Times New Roman" w:cs="Times New Roman"/>
          <w:rtl/>
          <w:lang w:eastAsia="de-DE"/>
        </w:rPr>
        <w:t xml:space="preserve"> </w:t>
      </w:r>
      <w:r w:rsidRPr="00CC6F7E">
        <w:rPr>
          <w:rFonts w:eastAsia="Times New Roman" w:cs="Times New Roman"/>
          <w:lang w:eastAsia="de-DE"/>
        </w:rPr>
        <w:t>(Auge um Auge) zeigt Sehschädigung</w:t>
      </w:r>
    </w:p>
    <w:p w14:paraId="1CFB0B4D" w14:textId="77777777" w:rsidR="00CC6F7E" w:rsidRPr="00CC6F7E" w:rsidRDefault="00CC6F7E" w:rsidP="00CC6F7E">
      <w:pPr>
        <w:numPr>
          <w:ilvl w:val="0"/>
          <w:numId w:val="20"/>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שן תחת שן</w:t>
      </w:r>
      <w:r w:rsidRPr="00CC6F7E">
        <w:rPr>
          <w:rFonts w:eastAsia="Times New Roman" w:cs="Times New Roman"/>
          <w:rtl/>
          <w:lang w:eastAsia="de-DE"/>
        </w:rPr>
        <w:t xml:space="preserve"> </w:t>
      </w:r>
      <w:r w:rsidRPr="00CC6F7E">
        <w:rPr>
          <w:rFonts w:eastAsia="Times New Roman" w:cs="Times New Roman"/>
          <w:lang w:eastAsia="de-DE"/>
        </w:rPr>
        <w:t>(Zahn um Zahn) zeigt Zahnschädigung</w:t>
      </w:r>
    </w:p>
    <w:p w14:paraId="65ED46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תחת</w:t>
      </w:r>
      <w:r w:rsidRPr="00CC6F7E">
        <w:rPr>
          <w:rFonts w:eastAsia="Times New Roman" w:cs="Times New Roman"/>
          <w:rtl/>
          <w:lang w:eastAsia="de-DE"/>
        </w:rPr>
        <w:t xml:space="preserve"> </w:t>
      </w:r>
      <w:r w:rsidRPr="00CC6F7E">
        <w:rPr>
          <w:rFonts w:eastAsia="Times New Roman" w:cs="Times New Roman"/>
          <w:lang w:eastAsia="de-DE"/>
        </w:rPr>
        <w:t>(anstelle von) zeigt jeweils das Vergeltungsprinzip.</w:t>
      </w:r>
    </w:p>
    <w:p w14:paraId="5AC747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כאשר יתן מום באדם כן ינתן בו</w:t>
      </w:r>
      <w:r w:rsidRPr="00CC6F7E">
        <w:rPr>
          <w:rFonts w:eastAsia="Times New Roman" w:cs="Times New Roman"/>
          <w:rtl/>
          <w:lang w:eastAsia="de-DE"/>
        </w:rPr>
        <w:t xml:space="preserve"> </w:t>
      </w:r>
      <w:r w:rsidRPr="00CC6F7E">
        <w:rPr>
          <w:rFonts w:eastAsia="Times New Roman" w:cs="Times New Roman"/>
          <w:lang w:eastAsia="de-DE"/>
        </w:rPr>
        <w:t xml:space="preserve">(wie er einem Menschen einen Leibesschaden zugefügt hat, so soll ihm zugefügt werden) wiederholt V. 19 und generalisiert das Prinzip. </w:t>
      </w:r>
      <w:r w:rsidRPr="00CC6F7E">
        <w:rPr>
          <w:rFonts w:eastAsia="Times New Roman" w:cs="Times New Roman"/>
          <w:b/>
          <w:bCs/>
          <w:rtl/>
          <w:lang w:eastAsia="de-DE"/>
        </w:rPr>
        <w:t>באדם</w:t>
      </w:r>
      <w:r w:rsidRPr="00CC6F7E">
        <w:rPr>
          <w:rFonts w:eastAsia="Times New Roman" w:cs="Times New Roman"/>
          <w:rtl/>
          <w:lang w:eastAsia="de-DE"/>
        </w:rPr>
        <w:t xml:space="preserve"> </w:t>
      </w:r>
      <w:r w:rsidRPr="00CC6F7E">
        <w:rPr>
          <w:rFonts w:eastAsia="Times New Roman" w:cs="Times New Roman"/>
          <w:lang w:eastAsia="de-DE"/>
        </w:rPr>
        <w:t xml:space="preserve">(am Menschen) zeigt universelle Anwendung. </w:t>
      </w:r>
      <w:r w:rsidRPr="00CC6F7E">
        <w:rPr>
          <w:rFonts w:eastAsia="Times New Roman" w:cs="Times New Roman"/>
          <w:b/>
          <w:bCs/>
          <w:rtl/>
          <w:lang w:eastAsia="de-DE"/>
        </w:rPr>
        <w:t>כן ינתן בו</w:t>
      </w:r>
      <w:r w:rsidRPr="00CC6F7E">
        <w:rPr>
          <w:rFonts w:eastAsia="Times New Roman" w:cs="Times New Roman"/>
          <w:rtl/>
          <w:lang w:eastAsia="de-DE"/>
        </w:rPr>
        <w:t xml:space="preserve"> </w:t>
      </w:r>
      <w:r w:rsidRPr="00CC6F7E">
        <w:rPr>
          <w:rFonts w:eastAsia="Times New Roman" w:cs="Times New Roman"/>
          <w:lang w:eastAsia="de-DE"/>
        </w:rPr>
        <w:t xml:space="preserve">(so soll ihm gegeben werden) im Nifal-Imperfekt von </w:t>
      </w:r>
      <w:r w:rsidRPr="00CC6F7E">
        <w:rPr>
          <w:rFonts w:eastAsia="Times New Roman" w:cs="Times New Roman"/>
          <w:b/>
          <w:bCs/>
          <w:rtl/>
          <w:lang w:eastAsia="de-DE"/>
        </w:rPr>
        <w:t>נתן</w:t>
      </w:r>
      <w:r w:rsidRPr="00CC6F7E">
        <w:rPr>
          <w:rFonts w:eastAsia="Times New Roman" w:cs="Times New Roman"/>
          <w:lang w:eastAsia="de-DE"/>
        </w:rPr>
        <w:t>.</w:t>
      </w:r>
    </w:p>
    <w:p w14:paraId="2A08D2D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drei Beispiele zeigen verschiedene Arten von </w:t>
      </w:r>
      <w:r w:rsidRPr="00CC6F7E">
        <w:rPr>
          <w:rFonts w:eastAsia="Times New Roman" w:cs="Times New Roman"/>
          <w:b/>
          <w:bCs/>
          <w:rtl/>
          <w:lang w:eastAsia="de-DE"/>
        </w:rPr>
        <w:t>מום</w:t>
      </w:r>
      <w:r w:rsidRPr="00CC6F7E">
        <w:rPr>
          <w:rFonts w:eastAsia="Times New Roman" w:cs="Times New Roman"/>
          <w:lang w:eastAsia="de-DE"/>
        </w:rPr>
        <w:t xml:space="preserve">: Knochenbruch, Sinnesschädigung, Zahnverlust. </w:t>
      </w:r>
      <w:r w:rsidRPr="00CC6F7E">
        <w:rPr>
          <w:rFonts w:eastAsia="Times New Roman" w:cs="Times New Roman"/>
          <w:b/>
          <w:bCs/>
          <w:rtl/>
          <w:lang w:eastAsia="de-DE"/>
        </w:rPr>
        <w:t>תחת</w:t>
      </w:r>
      <w:r w:rsidRPr="00CC6F7E">
        <w:rPr>
          <w:rFonts w:eastAsia="Times New Roman" w:cs="Times New Roman"/>
          <w:rtl/>
          <w:lang w:eastAsia="de-DE"/>
        </w:rPr>
        <w:t xml:space="preserve"> </w:t>
      </w:r>
      <w:r w:rsidRPr="00CC6F7E">
        <w:rPr>
          <w:rFonts w:eastAsia="Times New Roman" w:cs="Times New Roman"/>
          <w:lang w:eastAsia="de-DE"/>
        </w:rPr>
        <w:t xml:space="preserve">als Äquivalenzformel. </w:t>
      </w:r>
      <w:r w:rsidRPr="00CC6F7E">
        <w:rPr>
          <w:rFonts w:eastAsia="Times New Roman" w:cs="Times New Roman"/>
          <w:b/>
          <w:bCs/>
          <w:rtl/>
          <w:lang w:eastAsia="de-DE"/>
        </w:rPr>
        <w:t>באדם</w:t>
      </w:r>
      <w:r w:rsidRPr="00CC6F7E">
        <w:rPr>
          <w:rFonts w:eastAsia="Times New Roman" w:cs="Times New Roman"/>
          <w:rtl/>
          <w:lang w:eastAsia="de-DE"/>
        </w:rPr>
        <w:t xml:space="preserve"> </w:t>
      </w:r>
      <w:r w:rsidRPr="00CC6F7E">
        <w:rPr>
          <w:rFonts w:eastAsia="Times New Roman" w:cs="Times New Roman"/>
          <w:lang w:eastAsia="de-DE"/>
        </w:rPr>
        <w:t>zeigt universelle menschliche Gültigkeit.</w:t>
      </w:r>
    </w:p>
    <w:p w14:paraId="2F8E1E3C" w14:textId="728FB4D2"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gibt das Talionsgesetz präzise wieder: </w:t>
      </w:r>
      <w:proofErr w:type="spellStart"/>
      <w:r w:rsidR="009104A2">
        <w:t>σύντριμμ</w:t>
      </w:r>
      <w:proofErr w:type="spellEnd"/>
      <w:r w:rsidR="009104A2">
        <w:t xml:space="preserve">α </w:t>
      </w:r>
      <w:proofErr w:type="spellStart"/>
      <w:r w:rsidR="009104A2">
        <w:t>ἀντὶ</w:t>
      </w:r>
      <w:proofErr w:type="spellEnd"/>
      <w:r w:rsidR="009104A2">
        <w:t xml:space="preserve"> </w:t>
      </w:r>
      <w:proofErr w:type="spellStart"/>
      <w:r w:rsidR="009104A2">
        <w:t>συντρίμμ</w:t>
      </w:r>
      <w:proofErr w:type="spellEnd"/>
      <w:r w:rsidR="009104A2">
        <w:t xml:space="preserve">ατος, </w:t>
      </w:r>
      <w:proofErr w:type="spellStart"/>
      <w:r w:rsidR="009104A2">
        <w:t>ὀφθ</w:t>
      </w:r>
      <w:proofErr w:type="spellEnd"/>
      <w:r w:rsidR="009104A2">
        <w:t xml:space="preserve">αλμὸν </w:t>
      </w:r>
      <w:proofErr w:type="spellStart"/>
      <w:r w:rsidR="009104A2">
        <w:t>ἀντὶ</w:t>
      </w:r>
      <w:proofErr w:type="spellEnd"/>
      <w:r w:rsidR="009104A2">
        <w:t xml:space="preserve"> </w:t>
      </w:r>
      <w:proofErr w:type="spellStart"/>
      <w:r w:rsidR="009104A2">
        <w:t>ὀφθ</w:t>
      </w:r>
      <w:proofErr w:type="spellEnd"/>
      <w:r w:rsidR="009104A2">
        <w:t xml:space="preserve">αλμοῦ, </w:t>
      </w:r>
      <w:proofErr w:type="spellStart"/>
      <w:r w:rsidR="009104A2">
        <w:t>ὀδόντ</w:t>
      </w:r>
      <w:proofErr w:type="spellEnd"/>
      <w:r w:rsidR="009104A2">
        <w:t xml:space="preserve">α </w:t>
      </w:r>
      <w:proofErr w:type="spellStart"/>
      <w:r w:rsidR="009104A2">
        <w:t>ἀντὶ</w:t>
      </w:r>
      <w:proofErr w:type="spellEnd"/>
      <w:r w:rsidR="009104A2">
        <w:t xml:space="preserve"> </w:t>
      </w:r>
      <w:proofErr w:type="spellStart"/>
      <w:r w:rsidR="009104A2">
        <w:t>ὀδόντος</w:t>
      </w:r>
      <w:proofErr w:type="spellEnd"/>
      <w:r w:rsidR="009104A2">
        <w:t xml:space="preserve"> (Bruch für Bruch, Auge für Auge, Zahn für Zahn).</w:t>
      </w:r>
    </w:p>
    <w:p w14:paraId="7A2AB5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spezifische </w:t>
      </w:r>
      <w:r w:rsidRPr="00CC6F7E">
        <w:rPr>
          <w:rFonts w:eastAsia="Times New Roman" w:cs="Times New Roman"/>
          <w:b/>
          <w:bCs/>
          <w:lang w:eastAsia="de-DE"/>
        </w:rPr>
        <w:t>lex talionis</w:t>
      </w:r>
      <w:r w:rsidRPr="00CC6F7E">
        <w:rPr>
          <w:rFonts w:eastAsia="Times New Roman" w:cs="Times New Roman"/>
          <w:lang w:eastAsia="de-DE"/>
        </w:rPr>
        <w:t xml:space="preserve">: drei konkrete Schadensarten + </w:t>
      </w:r>
      <w:r w:rsidRPr="00CC6F7E">
        <w:rPr>
          <w:rFonts w:eastAsia="Times New Roman" w:cs="Times New Roman"/>
          <w:b/>
          <w:bCs/>
          <w:rtl/>
          <w:lang w:eastAsia="de-DE"/>
        </w:rPr>
        <w:t>תחת</w:t>
      </w:r>
      <w:r w:rsidRPr="00CC6F7E">
        <w:rPr>
          <w:rFonts w:eastAsia="Times New Roman" w:cs="Times New Roman"/>
          <w:lang w:eastAsia="de-DE"/>
        </w:rPr>
        <w:t xml:space="preserve">-Formel + allgemeine </w:t>
      </w:r>
      <w:r w:rsidRPr="00CC6F7E">
        <w:rPr>
          <w:rFonts w:eastAsia="Times New Roman" w:cs="Times New Roman"/>
          <w:b/>
          <w:bCs/>
          <w:lang w:eastAsia="de-DE"/>
        </w:rPr>
        <w:t>lex talionis</w:t>
      </w:r>
      <w:r w:rsidRPr="00CC6F7E">
        <w:rPr>
          <w:rFonts w:eastAsia="Times New Roman" w:cs="Times New Roman"/>
          <w:lang w:eastAsia="de-DE"/>
        </w:rPr>
        <w:t>-Wiederholung.</w:t>
      </w:r>
    </w:p>
    <w:p w14:paraId="5377F6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 xml:space="preserve">Dieser Vers konkretisiert das </w:t>
      </w:r>
      <w:r w:rsidRPr="00CC6F7E">
        <w:rPr>
          <w:rFonts w:eastAsia="Times New Roman" w:cs="Times New Roman"/>
          <w:b/>
          <w:bCs/>
          <w:lang w:eastAsia="de-DE"/>
        </w:rPr>
        <w:t>lex talionis</w:t>
      </w:r>
      <w:r w:rsidRPr="00CC6F7E">
        <w:rPr>
          <w:rFonts w:eastAsia="Times New Roman" w:cs="Times New Roman"/>
          <w:lang w:eastAsia="de-DE"/>
        </w:rPr>
        <w:t>-Prinzip durch die klassische Formel "Auge um Auge, Zahn um Zahn" für verschiedene Körperschäden.</w:t>
      </w:r>
    </w:p>
    <w:p w14:paraId="3C33754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24,21</w:t>
      </w:r>
    </w:p>
    <w:p w14:paraId="1D25F0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וּמַכֵּ֥ה בְהֵמָ֖ה יְשַׁלְּמֶ֑נָּה וּמַכֵּ֥ה אָדָ֖ם יוּמָֽת׃</w:t>
      </w:r>
    </w:p>
    <w:p w14:paraId="539450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wer ein Vieh erschlägt, soll es erstatten; wer aber einen Menschen erschlägt, soll getötet werden.</w:t>
      </w:r>
    </w:p>
    <w:p w14:paraId="7BD693C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CF02547">
          <v:rect id="_x0000_i1746" style="width:0;height:1.5pt" o:hralign="center" o:hrstd="t" o:hr="t" fillcolor="#a0a0a0" stroked="f"/>
        </w:pict>
      </w:r>
    </w:p>
    <w:p w14:paraId="71F09A9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ומכה בהמה ישלמנה ומכה אדם יומת</w:t>
      </w:r>
      <w:r w:rsidRPr="00CC6F7E">
        <w:rPr>
          <w:rFonts w:eastAsia="Times New Roman" w:cs="Times New Roman"/>
          <w:rtl/>
          <w:lang w:eastAsia="de-DE"/>
        </w:rPr>
        <w:t xml:space="preserve"> </w:t>
      </w:r>
      <w:r w:rsidRPr="00CC6F7E">
        <w:rPr>
          <w:rFonts w:eastAsia="Times New Roman" w:cs="Times New Roman"/>
          <w:lang w:eastAsia="de-DE"/>
        </w:rPr>
        <w:t xml:space="preserve">fasst die Unterscheidung zwischen Tier- und Menschentötung zusammen. </w:t>
      </w:r>
      <w:r w:rsidRPr="00CC6F7E">
        <w:rPr>
          <w:rFonts w:eastAsia="Times New Roman" w:cs="Times New Roman"/>
          <w:b/>
          <w:bCs/>
          <w:rtl/>
          <w:lang w:eastAsia="de-DE"/>
        </w:rPr>
        <w:t>ומכה בהמה ישלמנה</w:t>
      </w:r>
      <w:r w:rsidRPr="00CC6F7E">
        <w:rPr>
          <w:rFonts w:eastAsia="Times New Roman" w:cs="Times New Roman"/>
          <w:rtl/>
          <w:lang w:eastAsia="de-DE"/>
        </w:rPr>
        <w:t xml:space="preserve"> </w:t>
      </w:r>
      <w:r w:rsidRPr="00CC6F7E">
        <w:rPr>
          <w:rFonts w:eastAsia="Times New Roman" w:cs="Times New Roman"/>
          <w:lang w:eastAsia="de-DE"/>
        </w:rPr>
        <w:t xml:space="preserve">(und wer ein Vieh erschlägt, soll es erstatten) wiederholt V. 18 exakt. </w:t>
      </w:r>
      <w:r w:rsidRPr="00CC6F7E">
        <w:rPr>
          <w:rFonts w:eastAsia="Times New Roman" w:cs="Times New Roman"/>
          <w:b/>
          <w:bCs/>
          <w:rtl/>
          <w:lang w:eastAsia="de-DE"/>
        </w:rPr>
        <w:t>ומכה אדם יומת</w:t>
      </w:r>
      <w:r w:rsidRPr="00CC6F7E">
        <w:rPr>
          <w:rFonts w:eastAsia="Times New Roman" w:cs="Times New Roman"/>
          <w:rtl/>
          <w:lang w:eastAsia="de-DE"/>
        </w:rPr>
        <w:t xml:space="preserve"> </w:t>
      </w:r>
      <w:r w:rsidRPr="00CC6F7E">
        <w:rPr>
          <w:rFonts w:eastAsia="Times New Roman" w:cs="Times New Roman"/>
          <w:lang w:eastAsia="de-DE"/>
        </w:rPr>
        <w:t xml:space="preserve">(wer aber einen Menschen erschlägt, soll getötet werden) entspricht V. 17 mit </w:t>
      </w:r>
      <w:r w:rsidRPr="00CC6F7E">
        <w:rPr>
          <w:rFonts w:eastAsia="Times New Roman" w:cs="Times New Roman"/>
          <w:b/>
          <w:bCs/>
          <w:rtl/>
          <w:lang w:eastAsia="de-DE"/>
        </w:rPr>
        <w:t>יומת</w:t>
      </w:r>
      <w:r w:rsidRPr="00CC6F7E">
        <w:rPr>
          <w:rFonts w:eastAsia="Times New Roman" w:cs="Times New Roman"/>
          <w:rtl/>
          <w:lang w:eastAsia="de-DE"/>
        </w:rPr>
        <w:t xml:space="preserve"> </w:t>
      </w:r>
      <w:r w:rsidRPr="00CC6F7E">
        <w:rPr>
          <w:rFonts w:eastAsia="Times New Roman" w:cs="Times New Roman"/>
          <w:lang w:eastAsia="de-DE"/>
        </w:rPr>
        <w:t xml:space="preserve">statt </w:t>
      </w:r>
      <w:r w:rsidRPr="00CC6F7E">
        <w:rPr>
          <w:rFonts w:eastAsia="Times New Roman" w:cs="Times New Roman"/>
          <w:b/>
          <w:bCs/>
          <w:rtl/>
          <w:lang w:eastAsia="de-DE"/>
        </w:rPr>
        <w:t>מות יומת</w:t>
      </w:r>
      <w:r w:rsidRPr="00CC6F7E">
        <w:rPr>
          <w:rFonts w:eastAsia="Times New Roman" w:cs="Times New Roman"/>
          <w:lang w:eastAsia="de-DE"/>
        </w:rPr>
        <w:t>.</w:t>
      </w:r>
    </w:p>
    <w:p w14:paraId="3667E74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parallele Struktur </w:t>
      </w:r>
      <w:r w:rsidRPr="00CC6F7E">
        <w:rPr>
          <w:rFonts w:eastAsia="Times New Roman" w:cs="Times New Roman"/>
          <w:b/>
          <w:bCs/>
          <w:rtl/>
          <w:lang w:eastAsia="de-DE"/>
        </w:rPr>
        <w:t>ומכה בהמה...ומכה אדם</w:t>
      </w:r>
      <w:r w:rsidRPr="00CC6F7E">
        <w:rPr>
          <w:rFonts w:eastAsia="Times New Roman" w:cs="Times New Roman"/>
          <w:rtl/>
          <w:lang w:eastAsia="de-DE"/>
        </w:rPr>
        <w:t xml:space="preserve"> </w:t>
      </w:r>
      <w:r w:rsidRPr="00CC6F7E">
        <w:rPr>
          <w:rFonts w:eastAsia="Times New Roman" w:cs="Times New Roman"/>
          <w:lang w:eastAsia="de-DE"/>
        </w:rPr>
        <w:t xml:space="preserve">zeigt den direkten Kontrast zwischen Tier- und Menschentötung. </w:t>
      </w:r>
      <w:r w:rsidRPr="00CC6F7E">
        <w:rPr>
          <w:rFonts w:eastAsia="Times New Roman" w:cs="Times New Roman"/>
          <w:b/>
          <w:bCs/>
          <w:rtl/>
          <w:lang w:eastAsia="de-DE"/>
        </w:rPr>
        <w:t>ישלמנה</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יומת</w:t>
      </w:r>
      <w:r w:rsidRPr="00CC6F7E">
        <w:rPr>
          <w:rFonts w:eastAsia="Times New Roman" w:cs="Times New Roman"/>
          <w:rtl/>
          <w:lang w:eastAsia="de-DE"/>
        </w:rPr>
        <w:t xml:space="preserve"> </w:t>
      </w:r>
      <w:r w:rsidRPr="00CC6F7E">
        <w:rPr>
          <w:rFonts w:eastAsia="Times New Roman" w:cs="Times New Roman"/>
          <w:lang w:eastAsia="de-DE"/>
        </w:rPr>
        <w:t>betont den fundamentalen Unterschied: Ersatz vs. Todesstrafe.</w:t>
      </w:r>
    </w:p>
    <w:p w14:paraId="4B2066D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ומכה בהמה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ὃς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ἂν</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τάξῃ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κτῆνος</w:t>
      </w:r>
      <w:proofErr w:type="spellEnd"/>
      <w:r w:rsidRPr="00CC6F7E">
        <w:rPr>
          <w:rFonts w:eastAsia="Times New Roman" w:cs="Times New Roman"/>
          <w:lang w:eastAsia="de-DE"/>
        </w:rPr>
        <w:t xml:space="preserve"> (wer ein Vieh schlägt), </w:t>
      </w:r>
      <w:r w:rsidRPr="00CC6F7E">
        <w:rPr>
          <w:rFonts w:eastAsia="Times New Roman" w:cs="Times New Roman"/>
          <w:b/>
          <w:bCs/>
          <w:rtl/>
          <w:lang w:eastAsia="de-DE"/>
        </w:rPr>
        <w:t>ישלמנה</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οτείσει</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ὐτό</w:t>
      </w:r>
      <w:proofErr w:type="spellEnd"/>
      <w:r w:rsidRPr="00CC6F7E">
        <w:rPr>
          <w:rFonts w:eastAsia="Times New Roman" w:cs="Times New Roman"/>
          <w:lang w:eastAsia="de-DE"/>
        </w:rPr>
        <w:t xml:space="preserve"> (wird es erstatten), </w:t>
      </w:r>
      <w:r w:rsidRPr="00CC6F7E">
        <w:rPr>
          <w:rFonts w:eastAsia="Times New Roman" w:cs="Times New Roman"/>
          <w:b/>
          <w:bCs/>
          <w:rtl/>
          <w:lang w:eastAsia="de-DE"/>
        </w:rPr>
        <w:t>ומכה אדם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ὃς</w:t>
      </w:r>
      <w:proofErr w:type="spellEnd"/>
      <w:r w:rsidRPr="00CC6F7E">
        <w:rPr>
          <w:rFonts w:eastAsia="Times New Roman" w:cs="Times New Roman"/>
          <w:lang w:eastAsia="de-DE"/>
        </w:rPr>
        <w:t xml:space="preserve"> δ᾽ </w:t>
      </w:r>
      <w:proofErr w:type="spellStart"/>
      <w:r w:rsidRPr="00CC6F7E">
        <w:rPr>
          <w:rFonts w:eastAsia="Times New Roman" w:cs="Times New Roman"/>
          <w:lang w:eastAsia="de-DE"/>
        </w:rPr>
        <w:t>ἂν</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τάξῃ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ἄνθρω</w:t>
      </w:r>
      <w:proofErr w:type="spellEnd"/>
      <w:r w:rsidRPr="00CC6F7E">
        <w:rPr>
          <w:rFonts w:eastAsia="Times New Roman" w:cs="Times New Roman"/>
          <w:lang w:eastAsia="de-DE"/>
        </w:rPr>
        <w:t xml:space="preserve">πον (wer aber einen Menschen schlägt) und </w:t>
      </w:r>
      <w:r w:rsidRPr="00CC6F7E">
        <w:rPr>
          <w:rFonts w:eastAsia="Times New Roman" w:cs="Times New Roman"/>
          <w:b/>
          <w:bCs/>
          <w:rtl/>
          <w:lang w:eastAsia="de-DE"/>
        </w:rPr>
        <w:t>יומת</w:t>
      </w:r>
      <w:r w:rsidRPr="00CC6F7E">
        <w:rPr>
          <w:rFonts w:eastAsia="Times New Roman" w:cs="Times New Roman"/>
          <w:rtl/>
          <w:lang w:eastAsia="de-DE"/>
        </w:rPr>
        <w:t xml:space="preserve"> </w:t>
      </w:r>
      <w:r w:rsidRPr="00CC6F7E">
        <w:rPr>
          <w:rFonts w:eastAsia="Times New Roman" w:cs="Times New Roman"/>
          <w:lang w:eastAsia="de-DE"/>
        </w:rPr>
        <w:t>mit θανα</w:t>
      </w:r>
      <w:proofErr w:type="spellStart"/>
      <w:r w:rsidRPr="00CC6F7E">
        <w:rPr>
          <w:rFonts w:eastAsia="Times New Roman" w:cs="Times New Roman"/>
          <w:lang w:eastAsia="de-DE"/>
        </w:rPr>
        <w:t>τωθήσετ</w:t>
      </w:r>
      <w:proofErr w:type="spellEnd"/>
      <w:r w:rsidRPr="00CC6F7E">
        <w:rPr>
          <w:rFonts w:eastAsia="Times New Roman" w:cs="Times New Roman"/>
          <w:lang w:eastAsia="de-DE"/>
        </w:rPr>
        <w:t>αι (wird getötet werden).</w:t>
      </w:r>
    </w:p>
    <w:p w14:paraId="3515E3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Tötungs-Unterscheidung: Viehtötung + Erstattung vs. Menschentötung + Todesstrafe.</w:t>
      </w:r>
    </w:p>
    <w:p w14:paraId="23CA60B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fasst die grundlegende Unterscheidung zwischen der Behandlung von Tier- und Menschentötung zusammen.</w:t>
      </w:r>
    </w:p>
    <w:p w14:paraId="25EC51E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24,22</w:t>
      </w:r>
    </w:p>
    <w:p w14:paraId="760EB8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מִשְׁפַּ֤ט אֶחָד֙ יִהְיֶ֣ה לָכֶ֔ם כַּגֵּ֥ר כָּאֶזְרָ֖ח יִהְיֶ֑ה כִּ֛י אֲנִ֥י יְהוָ֖ה אֱלֹהֵיכֶֽם׃</w:t>
      </w:r>
    </w:p>
    <w:p w14:paraId="2DB985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Einerlei Recht sollt ihr haben: Wie der Fremde, so soll der Einheimische sein; denn ich bin der Ewige, euer Gott.</w:t>
      </w:r>
    </w:p>
    <w:p w14:paraId="4138DC8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3D2EAF6">
          <v:rect id="_x0000_i1747" style="width:0;height:1.5pt" o:hralign="center" o:hrstd="t" o:hr="t" fillcolor="#a0a0a0" stroked="f"/>
        </w:pict>
      </w:r>
    </w:p>
    <w:p w14:paraId="3D704A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משפט אחד יהיה לכם כגר כאזרח יהיה כי 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etabliert das Prinzip der Rechtsgleichheit. </w:t>
      </w:r>
      <w:r w:rsidRPr="00CC6F7E">
        <w:rPr>
          <w:rFonts w:eastAsia="Times New Roman" w:cs="Times New Roman"/>
          <w:b/>
          <w:bCs/>
          <w:rtl/>
          <w:lang w:eastAsia="de-DE"/>
        </w:rPr>
        <w:t>משפט אחד יהיה לכם</w:t>
      </w:r>
      <w:r w:rsidRPr="00CC6F7E">
        <w:rPr>
          <w:rFonts w:eastAsia="Times New Roman" w:cs="Times New Roman"/>
          <w:rtl/>
          <w:lang w:eastAsia="de-DE"/>
        </w:rPr>
        <w:t xml:space="preserve"> </w:t>
      </w:r>
      <w:r w:rsidRPr="00CC6F7E">
        <w:rPr>
          <w:rFonts w:eastAsia="Times New Roman" w:cs="Times New Roman"/>
          <w:lang w:eastAsia="de-DE"/>
        </w:rPr>
        <w:t xml:space="preserve">(einerlei Recht sollt ihr haben) - </w:t>
      </w:r>
      <w:r w:rsidRPr="00CC6F7E">
        <w:rPr>
          <w:rFonts w:eastAsia="Times New Roman" w:cs="Times New Roman"/>
          <w:b/>
          <w:bCs/>
          <w:rtl/>
          <w:lang w:eastAsia="de-DE"/>
        </w:rPr>
        <w:t>משפט אחד</w:t>
      </w:r>
      <w:r w:rsidRPr="00CC6F7E">
        <w:rPr>
          <w:rFonts w:eastAsia="Times New Roman" w:cs="Times New Roman"/>
          <w:rtl/>
          <w:lang w:eastAsia="de-DE"/>
        </w:rPr>
        <w:t xml:space="preserve"> </w:t>
      </w:r>
      <w:r w:rsidRPr="00CC6F7E">
        <w:rPr>
          <w:rFonts w:eastAsia="Times New Roman" w:cs="Times New Roman"/>
          <w:lang w:eastAsia="de-DE"/>
        </w:rPr>
        <w:t xml:space="preserve">(ein Recht) zeigt einheitliche Rechtsprechung. </w:t>
      </w:r>
      <w:r w:rsidRPr="00CC6F7E">
        <w:rPr>
          <w:rFonts w:eastAsia="Times New Roman" w:cs="Times New Roman"/>
          <w:b/>
          <w:bCs/>
          <w:rtl/>
          <w:lang w:eastAsia="de-DE"/>
        </w:rPr>
        <w:t>יהיה לכם</w:t>
      </w:r>
      <w:r w:rsidRPr="00CC6F7E">
        <w:rPr>
          <w:rFonts w:eastAsia="Times New Roman" w:cs="Times New Roman"/>
          <w:rtl/>
          <w:lang w:eastAsia="de-DE"/>
        </w:rPr>
        <w:t xml:space="preserve"> </w:t>
      </w:r>
      <w:r w:rsidRPr="00CC6F7E">
        <w:rPr>
          <w:rFonts w:eastAsia="Times New Roman" w:cs="Times New Roman"/>
          <w:lang w:eastAsia="de-DE"/>
        </w:rPr>
        <w:t>(sollt ihr haben) zeigt Verpflichtung zur Rechtsgleichheit.</w:t>
      </w:r>
    </w:p>
    <w:p w14:paraId="17DE8AF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כגר כאזרח יהיה</w:t>
      </w:r>
      <w:r w:rsidRPr="00CC6F7E">
        <w:rPr>
          <w:rFonts w:eastAsia="Times New Roman" w:cs="Times New Roman"/>
          <w:rtl/>
          <w:lang w:eastAsia="de-DE"/>
        </w:rPr>
        <w:t xml:space="preserve"> </w:t>
      </w:r>
      <w:r w:rsidRPr="00CC6F7E">
        <w:rPr>
          <w:rFonts w:eastAsia="Times New Roman" w:cs="Times New Roman"/>
          <w:lang w:eastAsia="de-DE"/>
        </w:rPr>
        <w:t xml:space="preserve">(wie der Fremde, so soll der Einheimische sein) entspricht V. 16 und zeigt Gleichbehandlung von </w:t>
      </w:r>
      <w:r w:rsidRPr="00CC6F7E">
        <w:rPr>
          <w:rFonts w:eastAsia="Times New Roman" w:cs="Times New Roman"/>
          <w:b/>
          <w:bCs/>
          <w:rtl/>
          <w:lang w:eastAsia="de-DE"/>
        </w:rPr>
        <w:t>גר</w:t>
      </w:r>
      <w:r w:rsidRPr="00CC6F7E">
        <w:rPr>
          <w:rFonts w:eastAsia="Times New Roman" w:cs="Times New Roman"/>
          <w:rtl/>
          <w:lang w:eastAsia="de-DE"/>
        </w:rPr>
        <w:t xml:space="preserve"> </w:t>
      </w:r>
      <w:r w:rsidRPr="00CC6F7E">
        <w:rPr>
          <w:rFonts w:eastAsia="Times New Roman" w:cs="Times New Roman"/>
          <w:lang w:eastAsia="de-DE"/>
        </w:rPr>
        <w:t xml:space="preserve">(ansässigen Fremden) und </w:t>
      </w:r>
      <w:r w:rsidRPr="00CC6F7E">
        <w:rPr>
          <w:rFonts w:eastAsia="Times New Roman" w:cs="Times New Roman"/>
          <w:b/>
          <w:bCs/>
          <w:rtl/>
          <w:lang w:eastAsia="de-DE"/>
        </w:rPr>
        <w:t>אזרח</w:t>
      </w:r>
      <w:r w:rsidRPr="00CC6F7E">
        <w:rPr>
          <w:rFonts w:eastAsia="Times New Roman" w:cs="Times New Roman"/>
          <w:rtl/>
          <w:lang w:eastAsia="de-DE"/>
        </w:rPr>
        <w:t xml:space="preserve"> </w:t>
      </w:r>
      <w:r w:rsidRPr="00CC6F7E">
        <w:rPr>
          <w:rFonts w:eastAsia="Times New Roman" w:cs="Times New Roman"/>
          <w:lang w:eastAsia="de-DE"/>
        </w:rPr>
        <w:t>(geborenen Einheimischen).</w:t>
      </w:r>
    </w:p>
    <w:p w14:paraId="4F8510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כי אני יהוה אלהיכם</w:t>
      </w:r>
      <w:r w:rsidRPr="00CC6F7E">
        <w:rPr>
          <w:rFonts w:eastAsia="Times New Roman" w:cs="Times New Roman"/>
          <w:rtl/>
          <w:lang w:eastAsia="de-DE"/>
        </w:rPr>
        <w:t xml:space="preserve"> </w:t>
      </w:r>
      <w:r w:rsidRPr="00CC6F7E">
        <w:rPr>
          <w:rFonts w:eastAsia="Times New Roman" w:cs="Times New Roman"/>
          <w:lang w:eastAsia="de-DE"/>
        </w:rPr>
        <w:t>(denn ich bin der Ewige, euer Gott) als Begründungsformel zeigt göttliche Autorität für Rechtsgleichheit.</w:t>
      </w:r>
    </w:p>
    <w:p w14:paraId="3EE151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משפט אחד</w:t>
      </w:r>
      <w:r w:rsidRPr="00CC6F7E">
        <w:rPr>
          <w:rFonts w:eastAsia="Times New Roman" w:cs="Times New Roman"/>
          <w:rtl/>
          <w:lang w:eastAsia="de-DE"/>
        </w:rPr>
        <w:t xml:space="preserve"> </w:t>
      </w:r>
      <w:r w:rsidRPr="00CC6F7E">
        <w:rPr>
          <w:rFonts w:eastAsia="Times New Roman" w:cs="Times New Roman"/>
          <w:lang w:eastAsia="de-DE"/>
        </w:rPr>
        <w:t xml:space="preserve">als fundamentales Rechtsprinzip. </w:t>
      </w:r>
      <w:r w:rsidRPr="00CC6F7E">
        <w:rPr>
          <w:rFonts w:eastAsia="Times New Roman" w:cs="Times New Roman"/>
          <w:b/>
          <w:bCs/>
          <w:rtl/>
          <w:lang w:eastAsia="de-DE"/>
        </w:rPr>
        <w:t>כגר כאזרח</w:t>
      </w:r>
      <w:r w:rsidRPr="00CC6F7E">
        <w:rPr>
          <w:rFonts w:eastAsia="Times New Roman" w:cs="Times New Roman"/>
          <w:rtl/>
          <w:lang w:eastAsia="de-DE"/>
        </w:rPr>
        <w:t xml:space="preserve"> </w:t>
      </w:r>
      <w:r w:rsidRPr="00CC6F7E">
        <w:rPr>
          <w:rFonts w:eastAsia="Times New Roman" w:cs="Times New Roman"/>
          <w:lang w:eastAsia="de-DE"/>
        </w:rPr>
        <w:t xml:space="preserve">zeigt Inklusion der Fremden.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begründet Rechtsgleichheit durch göttliche Autorität.</w:t>
      </w:r>
    </w:p>
    <w:p w14:paraId="650EBEF6" w14:textId="52F10FBB"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משפט אחד</w:t>
      </w:r>
      <w:r w:rsidR="009104A2">
        <w:t xml:space="preserve"> (mishpat </w:t>
      </w:r>
      <w:proofErr w:type="spellStart"/>
      <w:r w:rsidR="009104A2">
        <w:t>echad</w:t>
      </w:r>
      <w:proofErr w:type="spellEnd"/>
      <w:r w:rsidR="009104A2">
        <w:t xml:space="preserve"> - "ein Recht") als </w:t>
      </w:r>
      <w:proofErr w:type="spellStart"/>
      <w:r w:rsidR="009104A2">
        <w:t>δικ</w:t>
      </w:r>
      <w:proofErr w:type="spellEnd"/>
      <w:r w:rsidR="009104A2">
        <w:t xml:space="preserve">αίωσις </w:t>
      </w:r>
      <w:proofErr w:type="spellStart"/>
      <w:r w:rsidR="009104A2">
        <w:t>μί</w:t>
      </w:r>
      <w:proofErr w:type="spellEnd"/>
      <w:r w:rsidR="009104A2">
        <w:t xml:space="preserve">α (eine Rechtfertigung) und </w:t>
      </w:r>
      <w:r w:rsidR="009104A2">
        <w:rPr>
          <w:rtl/>
        </w:rPr>
        <w:t>האזרח</w:t>
      </w:r>
      <w:r w:rsidR="009104A2">
        <w:t xml:space="preserve"> (</w:t>
      </w:r>
      <w:proofErr w:type="spellStart"/>
      <w:r w:rsidR="009104A2">
        <w:t>ha'ezrach</w:t>
      </w:r>
      <w:proofErr w:type="spellEnd"/>
      <w:r w:rsidR="009104A2">
        <w:t xml:space="preserve"> - "Einheimischer") als </w:t>
      </w:r>
      <w:proofErr w:type="spellStart"/>
      <w:r w:rsidR="009104A2">
        <w:t>ἐγχώριος</w:t>
      </w:r>
      <w:proofErr w:type="spellEnd"/>
      <w:r w:rsidR="009104A2">
        <w:t xml:space="preserve"> (Ortsansässiger).</w:t>
      </w:r>
    </w:p>
    <w:p w14:paraId="01C0D33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Rechtsgleichheits-Prinzip: einheitliches Recht + Gleichbehandlung von Fremden und Einheimischen + göttliche Begründung.</w:t>
      </w:r>
    </w:p>
    <w:p w14:paraId="5D7485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fundamentale Prinzip der Rechtsgleichheit zwischen Fremden und Einheimischen unter göttlicher Autorität.</w:t>
      </w:r>
    </w:p>
    <w:p w14:paraId="5A41D85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24,23</w:t>
      </w:r>
    </w:p>
    <w:p w14:paraId="2B1588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וַיְדַבֵּ֣ר מֹשֶׁה֮ אֶל־בְּנֵ֣י יִשְׂרָאֵל֒ וַיּוֹצִ֣יאוּ אֶת־הַֽמְקַלֵּ֗ל אֶל־מִחוּץ֙ לַֽמַּחֲנֶ֔ה וַיִּרְגְּמ֥וּ אֹתוֹ֖ אָ֑בֶן וּבְנֵֽי־יִשְׂרָאֵ֣ל עָשׂ֔וּ כַּֽאֲשֶׁ֛ר צִוָּ֥ה יְהוָ֖ה אֶת־מֹשֶֽׁה׃</w:t>
      </w:r>
    </w:p>
    <w:p w14:paraId="7418E8B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Mosche redete zu den Kindern Israels, und sie führten den Flucher vor das Lager hinaus und steinigten ihn. Und die Kinder Israels taten, wie der Ewige Mosche geboten hatte.</w:t>
      </w:r>
    </w:p>
    <w:p w14:paraId="7AA5DDF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D8CB4DC">
          <v:rect id="_x0000_i1748" style="width:0;height:1.5pt" o:hralign="center" o:hrstd="t" o:hr="t" fillcolor="#a0a0a0" stroked="f"/>
        </w:pict>
      </w:r>
    </w:p>
    <w:p w14:paraId="48426E2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וידבר משה אל־בני ישראל ויוציאו את־המקלל אל־מחוץ למחנה וירגמו אתו אבן ובני־ישראל עשו כאשר צוה יהוה את־משה</w:t>
      </w:r>
      <w:r w:rsidRPr="00CC6F7E">
        <w:rPr>
          <w:rFonts w:eastAsia="Times New Roman" w:cs="Times New Roman"/>
          <w:rtl/>
          <w:lang w:eastAsia="de-DE"/>
        </w:rPr>
        <w:t xml:space="preserve"> </w:t>
      </w:r>
      <w:r w:rsidRPr="00CC6F7E">
        <w:rPr>
          <w:rFonts w:eastAsia="Times New Roman" w:cs="Times New Roman"/>
          <w:lang w:eastAsia="de-DE"/>
        </w:rPr>
        <w:t xml:space="preserve">zeigt die Ausführung des göttlichen Urteils. </w:t>
      </w:r>
      <w:r w:rsidRPr="00CC6F7E">
        <w:rPr>
          <w:rFonts w:eastAsia="Times New Roman" w:cs="Times New Roman"/>
          <w:b/>
          <w:bCs/>
          <w:rtl/>
          <w:lang w:eastAsia="de-DE"/>
        </w:rPr>
        <w:t>וידבר משה אל־בני ישראל</w:t>
      </w:r>
      <w:r w:rsidRPr="00CC6F7E">
        <w:rPr>
          <w:rFonts w:eastAsia="Times New Roman" w:cs="Times New Roman"/>
          <w:rtl/>
          <w:lang w:eastAsia="de-DE"/>
        </w:rPr>
        <w:t xml:space="preserve"> </w:t>
      </w:r>
      <w:r w:rsidRPr="00CC6F7E">
        <w:rPr>
          <w:rFonts w:eastAsia="Times New Roman" w:cs="Times New Roman"/>
          <w:lang w:eastAsia="de-DE"/>
        </w:rPr>
        <w:t>(und Mosche redete zu den Kindern Israels) zeigt mosaische Vermittlung der göttlichen Anweisung.</w:t>
      </w:r>
    </w:p>
    <w:p w14:paraId="3788CB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ויוציאו את־המקלל אל־מחוץ למחנה וירגמו אתו אבן</w:t>
      </w:r>
      <w:r w:rsidRPr="00CC6F7E">
        <w:rPr>
          <w:rFonts w:eastAsia="Times New Roman" w:cs="Times New Roman"/>
          <w:rtl/>
          <w:lang w:eastAsia="de-DE"/>
        </w:rPr>
        <w:t xml:space="preserve"> </w:t>
      </w:r>
      <w:r w:rsidRPr="00CC6F7E">
        <w:rPr>
          <w:rFonts w:eastAsia="Times New Roman" w:cs="Times New Roman"/>
          <w:lang w:eastAsia="de-DE"/>
        </w:rPr>
        <w:t xml:space="preserve">(und sie führten den Flucher vor das Lager hinaus und steinigten ihn) - </w:t>
      </w:r>
      <w:r w:rsidRPr="00CC6F7E">
        <w:rPr>
          <w:rFonts w:eastAsia="Times New Roman" w:cs="Times New Roman"/>
          <w:b/>
          <w:bCs/>
          <w:rtl/>
          <w:lang w:eastAsia="de-DE"/>
        </w:rPr>
        <w:t>ויוציאו</w:t>
      </w:r>
      <w:r w:rsidRPr="00CC6F7E">
        <w:rPr>
          <w:rFonts w:eastAsia="Times New Roman" w:cs="Times New Roman"/>
          <w:rtl/>
          <w:lang w:eastAsia="de-DE"/>
        </w:rPr>
        <w:t xml:space="preserve"> </w:t>
      </w:r>
      <w:r w:rsidRPr="00CC6F7E">
        <w:rPr>
          <w:rFonts w:eastAsia="Times New Roman" w:cs="Times New Roman"/>
          <w:lang w:eastAsia="de-DE"/>
        </w:rPr>
        <w:t xml:space="preserve">entspricht V. 14 </w:t>
      </w:r>
      <w:r w:rsidRPr="00CC6F7E">
        <w:rPr>
          <w:rFonts w:eastAsia="Times New Roman" w:cs="Times New Roman"/>
          <w:b/>
          <w:bCs/>
          <w:rtl/>
          <w:lang w:eastAsia="de-DE"/>
        </w:rPr>
        <w:t>הוצא</w:t>
      </w:r>
      <w:r w:rsidRPr="00CC6F7E">
        <w:rPr>
          <w:rFonts w:eastAsia="Times New Roman" w:cs="Times New Roman"/>
          <w:lang w:eastAsia="de-DE"/>
        </w:rPr>
        <w:t xml:space="preserve">. </w:t>
      </w:r>
      <w:r w:rsidRPr="00CC6F7E">
        <w:rPr>
          <w:rFonts w:eastAsia="Times New Roman" w:cs="Times New Roman"/>
          <w:b/>
          <w:bCs/>
          <w:rtl/>
          <w:lang w:eastAsia="de-DE"/>
        </w:rPr>
        <w:t>את־המקלל אל־מחוץ למחנה</w:t>
      </w:r>
      <w:r w:rsidRPr="00CC6F7E">
        <w:rPr>
          <w:rFonts w:eastAsia="Times New Roman" w:cs="Times New Roman"/>
          <w:rtl/>
          <w:lang w:eastAsia="de-DE"/>
        </w:rPr>
        <w:t xml:space="preserve"> </w:t>
      </w:r>
      <w:r w:rsidRPr="00CC6F7E">
        <w:rPr>
          <w:rFonts w:eastAsia="Times New Roman" w:cs="Times New Roman"/>
          <w:lang w:eastAsia="de-DE"/>
        </w:rPr>
        <w:t xml:space="preserve">entspricht V. 14. </w:t>
      </w:r>
      <w:r w:rsidRPr="00CC6F7E">
        <w:rPr>
          <w:rFonts w:eastAsia="Times New Roman" w:cs="Times New Roman"/>
          <w:b/>
          <w:bCs/>
          <w:rtl/>
          <w:lang w:eastAsia="de-DE"/>
        </w:rPr>
        <w:t>וירגמו אתו אבן</w:t>
      </w:r>
      <w:r w:rsidRPr="00CC6F7E">
        <w:rPr>
          <w:rFonts w:eastAsia="Times New Roman" w:cs="Times New Roman"/>
          <w:rtl/>
          <w:lang w:eastAsia="de-DE"/>
        </w:rPr>
        <w:t xml:space="preserve"> </w:t>
      </w:r>
      <w:r w:rsidRPr="00CC6F7E">
        <w:rPr>
          <w:rFonts w:eastAsia="Times New Roman" w:cs="Times New Roman"/>
          <w:lang w:eastAsia="de-DE"/>
        </w:rPr>
        <w:t xml:space="preserve">(und sie steinigten ihn mit Steinen) - </w:t>
      </w:r>
      <w:r w:rsidRPr="00CC6F7E">
        <w:rPr>
          <w:rFonts w:eastAsia="Times New Roman" w:cs="Times New Roman"/>
          <w:b/>
          <w:bCs/>
          <w:rtl/>
          <w:lang w:eastAsia="de-DE"/>
        </w:rPr>
        <w:t>אבן</w:t>
      </w:r>
      <w:r w:rsidRPr="00CC6F7E">
        <w:rPr>
          <w:rFonts w:eastAsia="Times New Roman" w:cs="Times New Roman"/>
          <w:rtl/>
          <w:lang w:eastAsia="de-DE"/>
        </w:rPr>
        <w:t xml:space="preserve"> </w:t>
      </w:r>
      <w:r w:rsidRPr="00CC6F7E">
        <w:rPr>
          <w:rFonts w:eastAsia="Times New Roman" w:cs="Times New Roman"/>
          <w:lang w:eastAsia="de-DE"/>
        </w:rPr>
        <w:t>(Stein) zeigt die Hinrichtungsmethode.</w:t>
      </w:r>
    </w:p>
    <w:p w14:paraId="15EEE95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ובני־ישראל עשו כאשר צוה יהוה את־משה</w:t>
      </w:r>
      <w:r w:rsidRPr="00CC6F7E">
        <w:rPr>
          <w:rFonts w:eastAsia="Times New Roman" w:cs="Times New Roman"/>
          <w:rtl/>
          <w:lang w:eastAsia="de-DE"/>
        </w:rPr>
        <w:t xml:space="preserve"> </w:t>
      </w:r>
      <w:r w:rsidRPr="00CC6F7E">
        <w:rPr>
          <w:rFonts w:eastAsia="Times New Roman" w:cs="Times New Roman"/>
          <w:lang w:eastAsia="de-DE"/>
        </w:rPr>
        <w:t xml:space="preserve">(und die Kinder Israels taten, wie der Ewige Mosche geboten hatte) zeigt vollständigen Gehorsam. </w:t>
      </w:r>
      <w:r w:rsidRPr="00CC6F7E">
        <w:rPr>
          <w:rFonts w:eastAsia="Times New Roman" w:cs="Times New Roman"/>
          <w:b/>
          <w:bCs/>
          <w:rtl/>
          <w:lang w:eastAsia="de-DE"/>
        </w:rPr>
        <w:t>עשו כאשר צוה</w:t>
      </w:r>
      <w:r w:rsidRPr="00CC6F7E">
        <w:rPr>
          <w:rFonts w:eastAsia="Times New Roman" w:cs="Times New Roman"/>
          <w:rtl/>
          <w:lang w:eastAsia="de-DE"/>
        </w:rPr>
        <w:t xml:space="preserve"> </w:t>
      </w:r>
      <w:r w:rsidRPr="00CC6F7E">
        <w:rPr>
          <w:rFonts w:eastAsia="Times New Roman" w:cs="Times New Roman"/>
          <w:lang w:eastAsia="de-DE"/>
        </w:rPr>
        <w:t>als Gehorsamsformel.</w:t>
      </w:r>
    </w:p>
    <w:p w14:paraId="097B2CD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וידבר משה</w:t>
      </w:r>
      <w:r w:rsidRPr="00CC6F7E">
        <w:rPr>
          <w:rFonts w:eastAsia="Times New Roman" w:cs="Times New Roman"/>
          <w:rtl/>
          <w:lang w:eastAsia="de-DE"/>
        </w:rPr>
        <w:t xml:space="preserve"> </w:t>
      </w:r>
      <w:r w:rsidRPr="00CC6F7E">
        <w:rPr>
          <w:rFonts w:eastAsia="Times New Roman" w:cs="Times New Roman"/>
          <w:lang w:eastAsia="de-DE"/>
        </w:rPr>
        <w:t xml:space="preserve">zeigt Vermittlerrolle. </w:t>
      </w:r>
      <w:r w:rsidRPr="00CC6F7E">
        <w:rPr>
          <w:rFonts w:eastAsia="Times New Roman" w:cs="Times New Roman"/>
          <w:b/>
          <w:bCs/>
          <w:rtl/>
          <w:lang w:eastAsia="de-DE"/>
        </w:rPr>
        <w:t>ויוציאו...וירגמו</w:t>
      </w:r>
      <w:r w:rsidRPr="00CC6F7E">
        <w:rPr>
          <w:rFonts w:eastAsia="Times New Roman" w:cs="Times New Roman"/>
          <w:rtl/>
          <w:lang w:eastAsia="de-DE"/>
        </w:rPr>
        <w:t xml:space="preserve"> </w:t>
      </w:r>
      <w:r w:rsidRPr="00CC6F7E">
        <w:rPr>
          <w:rFonts w:eastAsia="Times New Roman" w:cs="Times New Roman"/>
          <w:lang w:eastAsia="de-DE"/>
        </w:rPr>
        <w:t xml:space="preserve">zeigt exakte Befolgung von V. 14. </w:t>
      </w:r>
      <w:r w:rsidRPr="00CC6F7E">
        <w:rPr>
          <w:rFonts w:eastAsia="Times New Roman" w:cs="Times New Roman"/>
          <w:b/>
          <w:bCs/>
          <w:rtl/>
          <w:lang w:eastAsia="de-DE"/>
        </w:rPr>
        <w:t>עשו כאשר צוה יהוה</w:t>
      </w:r>
      <w:r w:rsidRPr="00CC6F7E">
        <w:rPr>
          <w:rFonts w:eastAsia="Times New Roman" w:cs="Times New Roman"/>
          <w:rtl/>
          <w:lang w:eastAsia="de-DE"/>
        </w:rPr>
        <w:t xml:space="preserve"> </w:t>
      </w:r>
      <w:r w:rsidRPr="00CC6F7E">
        <w:rPr>
          <w:rFonts w:eastAsia="Times New Roman" w:cs="Times New Roman"/>
          <w:lang w:eastAsia="de-DE"/>
        </w:rPr>
        <w:t>bestätigt göttlichen Gehorsam.</w:t>
      </w:r>
    </w:p>
    <w:p w14:paraId="5573F358" w14:textId="2493AA8E"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beendet mit der Ausführungsformel: καὶ </w:t>
      </w:r>
      <w:proofErr w:type="spellStart"/>
      <w:r w:rsidR="009104A2">
        <w:t>οἱ</w:t>
      </w:r>
      <w:proofErr w:type="spellEnd"/>
      <w:r w:rsidR="009104A2">
        <w:t xml:space="preserve"> </w:t>
      </w:r>
      <w:proofErr w:type="spellStart"/>
      <w:r w:rsidR="009104A2">
        <w:t>υἱοὶ</w:t>
      </w:r>
      <w:proofErr w:type="spellEnd"/>
      <w:r w:rsidR="009104A2">
        <w:t xml:space="preserve"> </w:t>
      </w:r>
      <w:proofErr w:type="spellStart"/>
      <w:r w:rsidR="009104A2">
        <w:t>Ἰσρ</w:t>
      </w:r>
      <w:proofErr w:type="spellEnd"/>
      <w:r w:rsidR="009104A2">
        <w:t>αὴλ ἐπ</w:t>
      </w:r>
      <w:proofErr w:type="spellStart"/>
      <w:r w:rsidR="009104A2">
        <w:t>οίησ</w:t>
      </w:r>
      <w:proofErr w:type="spellEnd"/>
      <w:r w:rsidR="009104A2">
        <w:t>αν κα</w:t>
      </w:r>
      <w:proofErr w:type="spellStart"/>
      <w:r w:rsidR="009104A2">
        <w:t>θὰ</w:t>
      </w:r>
      <w:proofErr w:type="spellEnd"/>
      <w:r w:rsidR="009104A2">
        <w:t xml:space="preserve"> </w:t>
      </w:r>
      <w:proofErr w:type="spellStart"/>
      <w:r w:rsidR="009104A2">
        <w:t>συνέτ</w:t>
      </w:r>
      <w:proofErr w:type="spellEnd"/>
      <w:r w:rsidR="009104A2">
        <w:t xml:space="preserve">αξεν </w:t>
      </w:r>
      <w:proofErr w:type="spellStart"/>
      <w:r w:rsidR="009104A2">
        <w:t>κύριος</w:t>
      </w:r>
      <w:proofErr w:type="spellEnd"/>
      <w:r w:rsidR="009104A2">
        <w:t xml:space="preserve"> </w:t>
      </w:r>
      <w:proofErr w:type="spellStart"/>
      <w:r w:rsidR="009104A2">
        <w:t>τῷ</w:t>
      </w:r>
      <w:proofErr w:type="spellEnd"/>
      <w:r w:rsidR="009104A2">
        <w:t xml:space="preserve"> </w:t>
      </w:r>
      <w:proofErr w:type="spellStart"/>
      <w:r w:rsidR="009104A2">
        <w:t>Μωυσῇ</w:t>
      </w:r>
      <w:proofErr w:type="spellEnd"/>
      <w:r w:rsidR="009104A2">
        <w:t xml:space="preserve"> (und die Söhne Israels taten, wie der Herr dem Mose befohlen hatte).</w:t>
      </w:r>
    </w:p>
    <w:p w14:paraId="5C4B5C7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Urteils-Vollstreckung: mosaische Verkündigung + Herausführung + Steinigung + vollständiger Gehorsam gegenüber JHWH.</w:t>
      </w:r>
    </w:p>
    <w:p w14:paraId="522852B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Dieser Abschlussvers zeigt die ordnungsgemäße Vollstreckung des göttlichen Urteils durch das Volk unter mosaischer Leitung.</w:t>
      </w:r>
    </w:p>
    <w:p w14:paraId="3AB7CE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Kapitel 24 behandelt </w:t>
      </w:r>
      <w:r w:rsidRPr="00CC6F7E">
        <w:rPr>
          <w:rFonts w:eastAsia="Times New Roman" w:cs="Times New Roman"/>
          <w:b/>
          <w:bCs/>
          <w:lang w:eastAsia="de-DE"/>
        </w:rPr>
        <w:t>zwei zentrale Bereiche</w:t>
      </w:r>
      <w:r w:rsidRPr="00CC6F7E">
        <w:rPr>
          <w:rFonts w:eastAsia="Times New Roman" w:cs="Times New Roman"/>
          <w:lang w:eastAsia="de-DE"/>
        </w:rPr>
        <w:t>: die kontinuierliche Heiligtums-Pflege (V. 1-9) und das Rechtsverfahren im Gotteslästerungsfall mit grundlegenden Rechtsprinzipien (V. 10-23).</w:t>
      </w:r>
    </w:p>
    <w:p w14:paraId="38708E0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1) Heiligtums-Beleuchtung (V. 1-4):</w:t>
      </w:r>
      <w:r w:rsidRPr="00CC6F7E">
        <w:rPr>
          <w:rFonts w:eastAsia="Times New Roman" w:cs="Times New Roman"/>
          <w:lang w:eastAsia="de-DE"/>
        </w:rPr>
        <w:t xml:space="preserve"> Volksverantwortung für </w:t>
      </w:r>
      <w:r w:rsidRPr="00CC6F7E">
        <w:rPr>
          <w:rFonts w:eastAsia="Times New Roman" w:cs="Times New Roman"/>
          <w:b/>
          <w:bCs/>
          <w:rtl/>
          <w:lang w:eastAsia="de-DE"/>
        </w:rPr>
        <w:t>שמן זית זך כתית</w:t>
      </w:r>
      <w:r w:rsidRPr="00CC6F7E">
        <w:rPr>
          <w:rFonts w:eastAsia="Times New Roman" w:cs="Times New Roman"/>
          <w:rtl/>
          <w:lang w:eastAsia="de-DE"/>
        </w:rPr>
        <w:t xml:space="preserve"> </w:t>
      </w:r>
      <w:r w:rsidRPr="00CC6F7E">
        <w:rPr>
          <w:rFonts w:eastAsia="Times New Roman" w:cs="Times New Roman"/>
          <w:lang w:eastAsia="de-DE"/>
        </w:rPr>
        <w:t xml:space="preserve">(reines zerstoßenes Olivenöl) höchster Qualität. Aarons nächtliche Wartungspflicht </w:t>
      </w:r>
      <w:r w:rsidRPr="00CC6F7E">
        <w:rPr>
          <w:rFonts w:eastAsia="Times New Roman" w:cs="Times New Roman"/>
          <w:b/>
          <w:bCs/>
          <w:rtl/>
          <w:lang w:eastAsia="de-DE"/>
        </w:rPr>
        <w:t>מערב עד־בקר</w:t>
      </w:r>
      <w:r w:rsidRPr="00CC6F7E">
        <w:rPr>
          <w:rFonts w:eastAsia="Times New Roman" w:cs="Times New Roman"/>
          <w:rtl/>
          <w:lang w:eastAsia="de-DE"/>
        </w:rPr>
        <w:t xml:space="preserve"> </w:t>
      </w:r>
      <w:r w:rsidRPr="00CC6F7E">
        <w:rPr>
          <w:rFonts w:eastAsia="Times New Roman" w:cs="Times New Roman"/>
          <w:lang w:eastAsia="de-DE"/>
        </w:rPr>
        <w:t xml:space="preserve">für die </w:t>
      </w:r>
      <w:r w:rsidRPr="00CC6F7E">
        <w:rPr>
          <w:rFonts w:eastAsia="Times New Roman" w:cs="Times New Roman"/>
          <w:b/>
          <w:bCs/>
          <w:rtl/>
          <w:lang w:eastAsia="de-DE"/>
        </w:rPr>
        <w:t>מנרה הטהרה</w:t>
      </w:r>
      <w:r w:rsidRPr="00CC6F7E">
        <w:rPr>
          <w:rFonts w:eastAsia="Times New Roman" w:cs="Times New Roman"/>
          <w:rtl/>
          <w:lang w:eastAsia="de-DE"/>
        </w:rPr>
        <w:t xml:space="preserve"> </w:t>
      </w:r>
      <w:r w:rsidRPr="00CC6F7E">
        <w:rPr>
          <w:rFonts w:eastAsia="Times New Roman" w:cs="Times New Roman"/>
          <w:lang w:eastAsia="de-DE"/>
        </w:rPr>
        <w:t xml:space="preserve">(goldenen Leuchter) </w:t>
      </w:r>
      <w:r w:rsidRPr="00CC6F7E">
        <w:rPr>
          <w:rFonts w:eastAsia="Times New Roman" w:cs="Times New Roman"/>
          <w:b/>
          <w:bCs/>
          <w:rtl/>
          <w:lang w:eastAsia="de-DE"/>
        </w:rPr>
        <w:t>מחוץ לפרכת העדת</w:t>
      </w:r>
      <w:r w:rsidRPr="00CC6F7E">
        <w:rPr>
          <w:rFonts w:eastAsia="Times New Roman" w:cs="Times New Roman"/>
          <w:rtl/>
          <w:lang w:eastAsia="de-DE"/>
        </w:rPr>
        <w:t xml:space="preserve"> </w:t>
      </w:r>
      <w:r w:rsidRPr="00CC6F7E">
        <w:rPr>
          <w:rFonts w:eastAsia="Times New Roman" w:cs="Times New Roman"/>
          <w:lang w:eastAsia="de-DE"/>
        </w:rPr>
        <w:t xml:space="preserve">(außerhalb des Zeugnisvorhangs) im Heiligen. </w:t>
      </w:r>
      <w:r w:rsidRPr="00CC6F7E">
        <w:rPr>
          <w:rFonts w:eastAsia="Times New Roman" w:cs="Times New Roman"/>
          <w:b/>
          <w:bCs/>
          <w:rtl/>
          <w:lang w:eastAsia="de-DE"/>
        </w:rPr>
        <w:t>נר תמיד לפני יהוה</w:t>
      </w:r>
      <w:r w:rsidRPr="00CC6F7E">
        <w:rPr>
          <w:rFonts w:eastAsia="Times New Roman" w:cs="Times New Roman"/>
          <w:rtl/>
          <w:lang w:eastAsia="de-DE"/>
        </w:rPr>
        <w:t xml:space="preserve"> </w:t>
      </w:r>
      <w:r w:rsidRPr="00CC6F7E">
        <w:rPr>
          <w:rFonts w:eastAsia="Times New Roman" w:cs="Times New Roman"/>
          <w:lang w:eastAsia="de-DE"/>
        </w:rPr>
        <w:t xml:space="preserve">(beständige Lampe vor JHWH) als </w:t>
      </w:r>
      <w:r w:rsidRPr="00CC6F7E">
        <w:rPr>
          <w:rFonts w:eastAsia="Times New Roman" w:cs="Times New Roman"/>
          <w:b/>
          <w:bCs/>
          <w:rtl/>
          <w:lang w:eastAsia="de-DE"/>
        </w:rPr>
        <w:t>חקת עולם</w:t>
      </w:r>
      <w:r w:rsidRPr="00CC6F7E">
        <w:rPr>
          <w:rFonts w:eastAsia="Times New Roman" w:cs="Times New Roman"/>
          <w:rtl/>
          <w:lang w:eastAsia="de-DE"/>
        </w:rPr>
        <w:t xml:space="preserve"> </w:t>
      </w:r>
      <w:r w:rsidRPr="00CC6F7E">
        <w:rPr>
          <w:rFonts w:eastAsia="Times New Roman" w:cs="Times New Roman"/>
          <w:lang w:eastAsia="de-DE"/>
        </w:rPr>
        <w:t>(ewige Satzung).</w:t>
      </w:r>
    </w:p>
    <w:p w14:paraId="5106348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2) Schaubrot-Ordnung (V. 5-9):</w:t>
      </w:r>
      <w:r w:rsidRPr="00CC6F7E">
        <w:rPr>
          <w:rFonts w:eastAsia="Times New Roman" w:cs="Times New Roman"/>
          <w:lang w:eastAsia="de-DE"/>
        </w:rPr>
        <w:t xml:space="preserve"> Zwölf </w:t>
      </w:r>
      <w:r w:rsidRPr="00CC6F7E">
        <w:rPr>
          <w:rFonts w:eastAsia="Times New Roman" w:cs="Times New Roman"/>
          <w:b/>
          <w:bCs/>
          <w:rtl/>
          <w:lang w:eastAsia="de-DE"/>
        </w:rPr>
        <w:t>חלות</w:t>
      </w:r>
      <w:r w:rsidRPr="00CC6F7E">
        <w:rPr>
          <w:rFonts w:eastAsia="Times New Roman" w:cs="Times New Roman"/>
          <w:rtl/>
          <w:lang w:eastAsia="de-DE"/>
        </w:rPr>
        <w:t xml:space="preserve"> </w:t>
      </w:r>
      <w:r w:rsidRPr="00CC6F7E">
        <w:rPr>
          <w:rFonts w:eastAsia="Times New Roman" w:cs="Times New Roman"/>
          <w:lang w:eastAsia="de-DE"/>
        </w:rPr>
        <w:t xml:space="preserve">aus </w:t>
      </w:r>
      <w:r w:rsidRPr="00CC6F7E">
        <w:rPr>
          <w:rFonts w:eastAsia="Times New Roman" w:cs="Times New Roman"/>
          <w:b/>
          <w:bCs/>
          <w:rtl/>
          <w:lang w:eastAsia="de-DE"/>
        </w:rPr>
        <w:t>סלת</w:t>
      </w:r>
      <w:r w:rsidRPr="00CC6F7E">
        <w:rPr>
          <w:rFonts w:eastAsia="Times New Roman" w:cs="Times New Roman"/>
          <w:rtl/>
          <w:lang w:eastAsia="de-DE"/>
        </w:rPr>
        <w:t xml:space="preserve"> </w:t>
      </w:r>
      <w:r w:rsidRPr="00CC6F7E">
        <w:rPr>
          <w:rFonts w:eastAsia="Times New Roman" w:cs="Times New Roman"/>
          <w:lang w:eastAsia="de-DE"/>
        </w:rPr>
        <w:t xml:space="preserve">(Feinmehl) mit je </w:t>
      </w:r>
      <w:r w:rsidRPr="00CC6F7E">
        <w:rPr>
          <w:rFonts w:eastAsia="Times New Roman" w:cs="Times New Roman"/>
          <w:b/>
          <w:bCs/>
          <w:rtl/>
          <w:lang w:eastAsia="de-DE"/>
        </w:rPr>
        <w:t>שני עשרנים</w:t>
      </w:r>
      <w:r w:rsidRPr="00CC6F7E">
        <w:rPr>
          <w:rFonts w:eastAsia="Times New Roman" w:cs="Times New Roman"/>
          <w:rtl/>
          <w:lang w:eastAsia="de-DE"/>
        </w:rPr>
        <w:t xml:space="preserve"> </w:t>
      </w:r>
      <w:r w:rsidRPr="00CC6F7E">
        <w:rPr>
          <w:rFonts w:eastAsia="Times New Roman" w:cs="Times New Roman"/>
          <w:lang w:eastAsia="de-DE"/>
        </w:rPr>
        <w:t xml:space="preserve">(zwei Zehntel) als Stammessymbolik. </w:t>
      </w:r>
      <w:r w:rsidRPr="00CC6F7E">
        <w:rPr>
          <w:rFonts w:eastAsia="Times New Roman" w:cs="Times New Roman"/>
          <w:b/>
          <w:bCs/>
          <w:rtl/>
          <w:lang w:eastAsia="de-DE"/>
        </w:rPr>
        <w:t>שתים מערכות שש המערכת</w:t>
      </w:r>
      <w:r w:rsidRPr="00CC6F7E">
        <w:rPr>
          <w:rFonts w:eastAsia="Times New Roman" w:cs="Times New Roman"/>
          <w:rtl/>
          <w:lang w:eastAsia="de-DE"/>
        </w:rPr>
        <w:t xml:space="preserve"> </w:t>
      </w:r>
      <w:r w:rsidRPr="00CC6F7E">
        <w:rPr>
          <w:rFonts w:eastAsia="Times New Roman" w:cs="Times New Roman"/>
          <w:lang w:eastAsia="de-DE"/>
        </w:rPr>
        <w:t xml:space="preserve">(2x6-Anordnung) auf dem </w:t>
      </w:r>
      <w:r w:rsidRPr="00CC6F7E">
        <w:rPr>
          <w:rFonts w:eastAsia="Times New Roman" w:cs="Times New Roman"/>
          <w:b/>
          <w:bCs/>
          <w:rtl/>
          <w:lang w:eastAsia="de-DE"/>
        </w:rPr>
        <w:t>שלחן הטהר</w:t>
      </w:r>
      <w:r w:rsidRPr="00CC6F7E">
        <w:rPr>
          <w:rFonts w:eastAsia="Times New Roman" w:cs="Times New Roman"/>
          <w:rtl/>
          <w:lang w:eastAsia="de-DE"/>
        </w:rPr>
        <w:t xml:space="preserve"> </w:t>
      </w:r>
      <w:r w:rsidRPr="00CC6F7E">
        <w:rPr>
          <w:rFonts w:eastAsia="Times New Roman" w:cs="Times New Roman"/>
          <w:lang w:eastAsia="de-DE"/>
        </w:rPr>
        <w:t xml:space="preserve">(goldenen Tisch). </w:t>
      </w:r>
      <w:r w:rsidRPr="00CC6F7E">
        <w:rPr>
          <w:rFonts w:eastAsia="Times New Roman" w:cs="Times New Roman"/>
          <w:b/>
          <w:bCs/>
          <w:rtl/>
          <w:lang w:eastAsia="de-DE"/>
        </w:rPr>
        <w:t>לבנה זכה</w:t>
      </w:r>
      <w:r w:rsidRPr="00CC6F7E">
        <w:rPr>
          <w:rFonts w:eastAsia="Times New Roman" w:cs="Times New Roman"/>
          <w:rtl/>
          <w:lang w:eastAsia="de-DE"/>
        </w:rPr>
        <w:t xml:space="preserve"> </w:t>
      </w:r>
      <w:r w:rsidRPr="00CC6F7E">
        <w:rPr>
          <w:rFonts w:eastAsia="Times New Roman" w:cs="Times New Roman"/>
          <w:lang w:eastAsia="de-DE"/>
        </w:rPr>
        <w:t xml:space="preserve">(reiner Weihrauch) als </w:t>
      </w:r>
      <w:r w:rsidRPr="00CC6F7E">
        <w:rPr>
          <w:rFonts w:eastAsia="Times New Roman" w:cs="Times New Roman"/>
          <w:b/>
          <w:bCs/>
          <w:rtl/>
          <w:lang w:eastAsia="de-DE"/>
        </w:rPr>
        <w:t>אזכרה</w:t>
      </w:r>
      <w:r w:rsidRPr="00CC6F7E">
        <w:rPr>
          <w:rFonts w:eastAsia="Times New Roman" w:cs="Times New Roman"/>
          <w:rtl/>
          <w:lang w:eastAsia="de-DE"/>
        </w:rPr>
        <w:t xml:space="preserve"> </w:t>
      </w:r>
      <w:r w:rsidRPr="00CC6F7E">
        <w:rPr>
          <w:rFonts w:eastAsia="Times New Roman" w:cs="Times New Roman"/>
          <w:lang w:eastAsia="de-DE"/>
        </w:rPr>
        <w:t xml:space="preserve">(Gedenkopfer) für stellvertretende Verbrennung. Wöchentliche Sabbat-Erneuerung als </w:t>
      </w:r>
      <w:r w:rsidRPr="00CC6F7E">
        <w:rPr>
          <w:rFonts w:eastAsia="Times New Roman" w:cs="Times New Roman"/>
          <w:b/>
          <w:bCs/>
          <w:rtl/>
          <w:lang w:eastAsia="de-DE"/>
        </w:rPr>
        <w:t>ברית עולם</w:t>
      </w:r>
      <w:r w:rsidRPr="00CC6F7E">
        <w:rPr>
          <w:rFonts w:eastAsia="Times New Roman" w:cs="Times New Roman"/>
          <w:rtl/>
          <w:lang w:eastAsia="de-DE"/>
        </w:rPr>
        <w:t xml:space="preserve"> </w:t>
      </w:r>
      <w:r w:rsidRPr="00CC6F7E">
        <w:rPr>
          <w:rFonts w:eastAsia="Times New Roman" w:cs="Times New Roman"/>
          <w:lang w:eastAsia="de-DE"/>
        </w:rPr>
        <w:t xml:space="preserve">(ewiger Bund). Priesterlicher Verzehr als </w:t>
      </w:r>
      <w:r w:rsidRPr="00CC6F7E">
        <w:rPr>
          <w:rFonts w:eastAsia="Times New Roman" w:cs="Times New Roman"/>
          <w:b/>
          <w:bCs/>
          <w:rtl/>
          <w:lang w:eastAsia="de-DE"/>
        </w:rPr>
        <w:t>קדש קדשים במקום קדש</w:t>
      </w:r>
      <w:r w:rsidRPr="00CC6F7E">
        <w:rPr>
          <w:rFonts w:eastAsia="Times New Roman" w:cs="Times New Roman"/>
          <w:rtl/>
          <w:lang w:eastAsia="de-DE"/>
        </w:rPr>
        <w:t xml:space="preserve"> </w:t>
      </w:r>
      <w:r w:rsidRPr="00CC6F7E">
        <w:rPr>
          <w:rFonts w:eastAsia="Times New Roman" w:cs="Times New Roman"/>
          <w:lang w:eastAsia="de-DE"/>
        </w:rPr>
        <w:t>(Hochheiliges an heiliger Stätte).</w:t>
      </w:r>
    </w:p>
    <w:p w14:paraId="761B0F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3) Gotteslästerungsfall (V. 10-12):</w:t>
      </w:r>
      <w:r w:rsidRPr="00CC6F7E">
        <w:rPr>
          <w:rFonts w:eastAsia="Times New Roman" w:cs="Times New Roman"/>
          <w:lang w:eastAsia="de-DE"/>
        </w:rPr>
        <w:t xml:space="preserve"> </w:t>
      </w:r>
      <w:r w:rsidRPr="00CC6F7E">
        <w:rPr>
          <w:rFonts w:eastAsia="Times New Roman" w:cs="Times New Roman"/>
          <w:b/>
          <w:bCs/>
          <w:rtl/>
          <w:lang w:eastAsia="de-DE"/>
        </w:rPr>
        <w:t>בן־אשה ישראלית והוא בן־איש מצרי</w:t>
      </w:r>
      <w:r w:rsidRPr="00CC6F7E">
        <w:rPr>
          <w:rFonts w:eastAsia="Times New Roman" w:cs="Times New Roman"/>
          <w:rtl/>
          <w:lang w:eastAsia="de-DE"/>
        </w:rPr>
        <w:t xml:space="preserve"> </w:t>
      </w:r>
      <w:r w:rsidRPr="00CC6F7E">
        <w:rPr>
          <w:rFonts w:eastAsia="Times New Roman" w:cs="Times New Roman"/>
          <w:lang w:eastAsia="de-DE"/>
        </w:rPr>
        <w:t xml:space="preserve">(Mischehen-Sohn) lästert </w:t>
      </w:r>
      <w:r w:rsidRPr="00CC6F7E">
        <w:rPr>
          <w:rFonts w:eastAsia="Times New Roman" w:cs="Times New Roman"/>
          <w:b/>
          <w:bCs/>
          <w:rtl/>
          <w:lang w:eastAsia="de-DE"/>
        </w:rPr>
        <w:t>את־השם</w:t>
      </w:r>
      <w:r w:rsidRPr="00CC6F7E">
        <w:rPr>
          <w:rFonts w:eastAsia="Times New Roman" w:cs="Times New Roman"/>
          <w:rtl/>
          <w:lang w:eastAsia="de-DE"/>
        </w:rPr>
        <w:t xml:space="preserve"> </w:t>
      </w:r>
      <w:r w:rsidRPr="00CC6F7E">
        <w:rPr>
          <w:rFonts w:eastAsia="Times New Roman" w:cs="Times New Roman"/>
          <w:lang w:eastAsia="de-DE"/>
        </w:rPr>
        <w:t xml:space="preserve">(den Namen JHWH) und flucht. </w:t>
      </w:r>
      <w:r w:rsidRPr="00CC6F7E">
        <w:rPr>
          <w:rFonts w:eastAsia="Times New Roman" w:cs="Times New Roman"/>
          <w:b/>
          <w:bCs/>
          <w:rtl/>
          <w:lang w:eastAsia="de-DE"/>
        </w:rPr>
        <w:t>שלמית בת־דברי למטה־דן</w:t>
      </w:r>
      <w:r w:rsidRPr="00CC6F7E">
        <w:rPr>
          <w:rFonts w:eastAsia="Times New Roman" w:cs="Times New Roman"/>
          <w:rtl/>
          <w:lang w:eastAsia="de-DE"/>
        </w:rPr>
        <w:t xml:space="preserve"> </w:t>
      </w:r>
      <w:r w:rsidRPr="00CC6F7E">
        <w:rPr>
          <w:rFonts w:eastAsia="Times New Roman" w:cs="Times New Roman"/>
          <w:lang w:eastAsia="de-DE"/>
        </w:rPr>
        <w:t xml:space="preserve">als Mutteridentifikation. Untersuchungshaft </w:t>
      </w:r>
      <w:r w:rsidRPr="00CC6F7E">
        <w:rPr>
          <w:rFonts w:eastAsia="Times New Roman" w:cs="Times New Roman"/>
          <w:b/>
          <w:bCs/>
          <w:rtl/>
          <w:lang w:eastAsia="de-DE"/>
        </w:rPr>
        <w:t>במשמר</w:t>
      </w:r>
      <w:r w:rsidRPr="00CC6F7E">
        <w:rPr>
          <w:rFonts w:eastAsia="Times New Roman" w:cs="Times New Roman"/>
          <w:rtl/>
          <w:lang w:eastAsia="de-DE"/>
        </w:rPr>
        <w:t xml:space="preserve"> </w:t>
      </w:r>
      <w:r w:rsidRPr="00CC6F7E">
        <w:rPr>
          <w:rFonts w:eastAsia="Times New Roman" w:cs="Times New Roman"/>
          <w:lang w:eastAsia="de-DE"/>
        </w:rPr>
        <w:t xml:space="preserve">bis zur göttlichen Rechtsweisung </w:t>
      </w:r>
      <w:r w:rsidRPr="00CC6F7E">
        <w:rPr>
          <w:rFonts w:eastAsia="Times New Roman" w:cs="Times New Roman"/>
          <w:b/>
          <w:bCs/>
          <w:rtl/>
          <w:lang w:eastAsia="de-DE"/>
        </w:rPr>
        <w:t>על־פי יהוה</w:t>
      </w:r>
      <w:r w:rsidRPr="00CC6F7E">
        <w:rPr>
          <w:rFonts w:eastAsia="Times New Roman" w:cs="Times New Roman"/>
          <w:lang w:eastAsia="de-DE"/>
        </w:rPr>
        <w:t>.</w:t>
      </w:r>
    </w:p>
    <w:p w14:paraId="072A471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4) Göttliches Rechtsurteil (V. 13-16):</w:t>
      </w:r>
      <w:r w:rsidRPr="00CC6F7E">
        <w:rPr>
          <w:rFonts w:eastAsia="Times New Roman" w:cs="Times New Roman"/>
          <w:lang w:eastAsia="de-DE"/>
        </w:rPr>
        <w:t xml:space="preserve"> Hinrichtungsverfahren </w:t>
      </w:r>
      <w:r w:rsidRPr="00CC6F7E">
        <w:rPr>
          <w:rFonts w:eastAsia="Times New Roman" w:cs="Times New Roman"/>
          <w:b/>
          <w:bCs/>
          <w:rtl/>
          <w:lang w:eastAsia="de-DE"/>
        </w:rPr>
        <w:t>אל־מחוץ למחנה</w:t>
      </w:r>
      <w:r w:rsidRPr="00CC6F7E">
        <w:rPr>
          <w:rFonts w:eastAsia="Times New Roman" w:cs="Times New Roman"/>
          <w:rtl/>
          <w:lang w:eastAsia="de-DE"/>
        </w:rPr>
        <w:t xml:space="preserve"> </w:t>
      </w:r>
      <w:r w:rsidRPr="00CC6F7E">
        <w:rPr>
          <w:rFonts w:eastAsia="Times New Roman" w:cs="Times New Roman"/>
          <w:lang w:eastAsia="de-DE"/>
        </w:rPr>
        <w:t xml:space="preserve">(außerhalb des Lagers). </w:t>
      </w:r>
      <w:r w:rsidRPr="00CC6F7E">
        <w:rPr>
          <w:rFonts w:eastAsia="Times New Roman" w:cs="Times New Roman"/>
          <w:b/>
          <w:bCs/>
          <w:rtl/>
          <w:lang w:eastAsia="de-DE"/>
        </w:rPr>
        <w:t>סמיכה</w:t>
      </w:r>
      <w:r w:rsidRPr="00CC6F7E">
        <w:rPr>
          <w:rFonts w:eastAsia="Times New Roman" w:cs="Times New Roman"/>
          <w:lang w:eastAsia="de-DE"/>
        </w:rPr>
        <w:t xml:space="preserve">-Ritual der </w:t>
      </w:r>
      <w:r w:rsidRPr="00CC6F7E">
        <w:rPr>
          <w:rFonts w:eastAsia="Times New Roman" w:cs="Times New Roman"/>
          <w:b/>
          <w:bCs/>
          <w:rtl/>
          <w:lang w:eastAsia="de-DE"/>
        </w:rPr>
        <w:t>השמעים</w:t>
      </w:r>
      <w:r w:rsidRPr="00CC6F7E">
        <w:rPr>
          <w:rFonts w:eastAsia="Times New Roman" w:cs="Times New Roman"/>
          <w:rtl/>
          <w:lang w:eastAsia="de-DE"/>
        </w:rPr>
        <w:t xml:space="preserve"> </w:t>
      </w:r>
      <w:r w:rsidRPr="00CC6F7E">
        <w:rPr>
          <w:rFonts w:eastAsia="Times New Roman" w:cs="Times New Roman"/>
          <w:lang w:eastAsia="de-DE"/>
        </w:rPr>
        <w:t xml:space="preserve">(Zeugen) zur Verantwortungsübertragung. </w:t>
      </w:r>
      <w:r w:rsidRPr="00CC6F7E">
        <w:rPr>
          <w:rFonts w:eastAsia="Times New Roman" w:cs="Times New Roman"/>
          <w:b/>
          <w:bCs/>
          <w:rtl/>
          <w:lang w:eastAsia="de-DE"/>
        </w:rPr>
        <w:t>רגמו אתו כל־העדה</w:t>
      </w:r>
      <w:r w:rsidRPr="00CC6F7E">
        <w:rPr>
          <w:rFonts w:eastAsia="Times New Roman" w:cs="Times New Roman"/>
          <w:rtl/>
          <w:lang w:eastAsia="de-DE"/>
        </w:rPr>
        <w:t xml:space="preserve"> </w:t>
      </w:r>
      <w:r w:rsidRPr="00CC6F7E">
        <w:rPr>
          <w:rFonts w:eastAsia="Times New Roman" w:cs="Times New Roman"/>
          <w:lang w:eastAsia="de-DE"/>
        </w:rPr>
        <w:t>(Gemeinschafts-Steinigung). Unterscheidung zwischen allgemeinem Gottesfluch (</w:t>
      </w:r>
      <w:r w:rsidRPr="00CC6F7E">
        <w:rPr>
          <w:rFonts w:eastAsia="Times New Roman" w:cs="Times New Roman"/>
          <w:b/>
          <w:bCs/>
          <w:rtl/>
          <w:lang w:eastAsia="de-DE"/>
        </w:rPr>
        <w:t>אלהיו</w:t>
      </w:r>
      <w:r w:rsidRPr="00CC6F7E">
        <w:rPr>
          <w:rFonts w:eastAsia="Times New Roman" w:cs="Times New Roman"/>
          <w:rtl/>
          <w:lang w:eastAsia="de-DE"/>
        </w:rPr>
        <w:t xml:space="preserve"> </w:t>
      </w:r>
      <w:r w:rsidRPr="00CC6F7E">
        <w:rPr>
          <w:rFonts w:eastAsia="Times New Roman" w:cs="Times New Roman"/>
          <w:lang w:eastAsia="de-DE"/>
        </w:rPr>
        <w:t xml:space="preserve">- </w:t>
      </w:r>
      <w:r w:rsidRPr="00CC6F7E">
        <w:rPr>
          <w:rFonts w:eastAsia="Times New Roman" w:cs="Times New Roman"/>
          <w:b/>
          <w:bCs/>
          <w:rtl/>
          <w:lang w:eastAsia="de-DE"/>
        </w:rPr>
        <w:t>ונשא חטאו</w:t>
      </w:r>
      <w:r w:rsidRPr="00CC6F7E">
        <w:rPr>
          <w:rFonts w:eastAsia="Times New Roman" w:cs="Times New Roman"/>
          <w:lang w:eastAsia="de-DE"/>
        </w:rPr>
        <w:t>) und spezifischer JHWH-Namenslästerung (</w:t>
      </w:r>
      <w:r w:rsidRPr="00CC6F7E">
        <w:rPr>
          <w:rFonts w:eastAsia="Times New Roman" w:cs="Times New Roman"/>
          <w:b/>
          <w:bCs/>
          <w:rtl/>
          <w:lang w:eastAsia="de-DE"/>
        </w:rPr>
        <w:t>שם־יהוה</w:t>
      </w:r>
      <w:r w:rsidRPr="00CC6F7E">
        <w:rPr>
          <w:rFonts w:eastAsia="Times New Roman" w:cs="Times New Roman"/>
          <w:rtl/>
          <w:lang w:eastAsia="de-DE"/>
        </w:rPr>
        <w:t xml:space="preserve"> </w:t>
      </w:r>
      <w:r w:rsidRPr="00CC6F7E">
        <w:rPr>
          <w:rFonts w:eastAsia="Times New Roman" w:cs="Times New Roman"/>
          <w:lang w:eastAsia="de-DE"/>
        </w:rPr>
        <w:t xml:space="preserve">- </w:t>
      </w:r>
      <w:r w:rsidRPr="00CC6F7E">
        <w:rPr>
          <w:rFonts w:eastAsia="Times New Roman" w:cs="Times New Roman"/>
          <w:b/>
          <w:bCs/>
          <w:rtl/>
          <w:lang w:eastAsia="de-DE"/>
        </w:rPr>
        <w:t>מות יומת רגום ירגמו</w:t>
      </w:r>
      <w:r w:rsidRPr="00CC6F7E">
        <w:rPr>
          <w:rFonts w:eastAsia="Times New Roman" w:cs="Times New Roman"/>
          <w:lang w:eastAsia="de-DE"/>
        </w:rPr>
        <w:t xml:space="preserve">). </w:t>
      </w:r>
      <w:r w:rsidRPr="00CC6F7E">
        <w:rPr>
          <w:rFonts w:eastAsia="Times New Roman" w:cs="Times New Roman"/>
          <w:b/>
          <w:bCs/>
          <w:rtl/>
          <w:lang w:eastAsia="de-DE"/>
        </w:rPr>
        <w:t>כגר כאזרח</w:t>
      </w:r>
      <w:r w:rsidRPr="00CC6F7E">
        <w:rPr>
          <w:rFonts w:eastAsia="Times New Roman" w:cs="Times New Roman"/>
          <w:rtl/>
          <w:lang w:eastAsia="de-DE"/>
        </w:rPr>
        <w:t xml:space="preserve"> </w:t>
      </w:r>
      <w:r w:rsidRPr="00CC6F7E">
        <w:rPr>
          <w:rFonts w:eastAsia="Times New Roman" w:cs="Times New Roman"/>
          <w:lang w:eastAsia="de-DE"/>
        </w:rPr>
        <w:t>(universelle Rechtsgleichheit).</w:t>
      </w:r>
    </w:p>
    <w:p w14:paraId="7BF54B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5) Lex Talionis-Gesetze (V. 17-22):</w:t>
      </w:r>
      <w:r w:rsidRPr="00CC6F7E">
        <w:rPr>
          <w:rFonts w:eastAsia="Times New Roman" w:cs="Times New Roman"/>
          <w:lang w:eastAsia="de-DE"/>
        </w:rPr>
        <w:t xml:space="preserve"> Grundlegendes Tötungsverbot für Menschen (</w:t>
      </w:r>
      <w:r w:rsidRPr="00CC6F7E">
        <w:rPr>
          <w:rFonts w:eastAsia="Times New Roman" w:cs="Times New Roman"/>
          <w:b/>
          <w:bCs/>
          <w:rtl/>
          <w:lang w:eastAsia="de-DE"/>
        </w:rPr>
        <w:t>מות יומת</w:t>
      </w:r>
      <w:r w:rsidRPr="00CC6F7E">
        <w:rPr>
          <w:rFonts w:eastAsia="Times New Roman" w:cs="Times New Roman"/>
          <w:lang w:eastAsia="de-DE"/>
        </w:rPr>
        <w:t>) vs. Vieh-Erstattung (</w:t>
      </w:r>
      <w:r w:rsidRPr="00CC6F7E">
        <w:rPr>
          <w:rFonts w:eastAsia="Times New Roman" w:cs="Times New Roman"/>
          <w:b/>
          <w:bCs/>
          <w:rtl/>
          <w:lang w:eastAsia="de-DE"/>
        </w:rPr>
        <w:t>ישלמנה נפש תחת נפש</w:t>
      </w:r>
      <w:r w:rsidRPr="00CC6F7E">
        <w:rPr>
          <w:rFonts w:eastAsia="Times New Roman" w:cs="Times New Roman"/>
          <w:lang w:eastAsia="de-DE"/>
        </w:rPr>
        <w:t xml:space="preserve">). </w:t>
      </w:r>
      <w:r w:rsidRPr="00CC6F7E">
        <w:rPr>
          <w:rFonts w:eastAsia="Times New Roman" w:cs="Times New Roman"/>
          <w:b/>
          <w:bCs/>
          <w:lang w:eastAsia="de-DE"/>
        </w:rPr>
        <w:t>Lex talionis</w:t>
      </w:r>
      <w:r w:rsidRPr="00CC6F7E">
        <w:rPr>
          <w:rFonts w:eastAsia="Times New Roman" w:cs="Times New Roman"/>
          <w:lang w:eastAsia="de-DE"/>
        </w:rPr>
        <w:t xml:space="preserve"> für Körperverletzung: </w:t>
      </w:r>
      <w:r w:rsidRPr="00CC6F7E">
        <w:rPr>
          <w:rFonts w:eastAsia="Times New Roman" w:cs="Times New Roman"/>
          <w:b/>
          <w:bCs/>
          <w:rtl/>
          <w:lang w:eastAsia="de-DE"/>
        </w:rPr>
        <w:t>כאשר עשה כן יעשה לו</w:t>
      </w:r>
      <w:r w:rsidRPr="00CC6F7E">
        <w:rPr>
          <w:rFonts w:eastAsia="Times New Roman" w:cs="Times New Roman"/>
          <w:rtl/>
          <w:lang w:eastAsia="de-DE"/>
        </w:rPr>
        <w:t xml:space="preserve"> </w:t>
      </w:r>
      <w:r w:rsidRPr="00CC6F7E">
        <w:rPr>
          <w:rFonts w:eastAsia="Times New Roman" w:cs="Times New Roman"/>
          <w:lang w:eastAsia="de-DE"/>
        </w:rPr>
        <w:t xml:space="preserve">mit konkreten Beispielen </w:t>
      </w:r>
      <w:r w:rsidRPr="00CC6F7E">
        <w:rPr>
          <w:rFonts w:eastAsia="Times New Roman" w:cs="Times New Roman"/>
          <w:b/>
          <w:bCs/>
          <w:rtl/>
          <w:lang w:eastAsia="de-DE"/>
        </w:rPr>
        <w:t>שבר תחת שבר עין תחת עין שן תחת שן</w:t>
      </w:r>
      <w:r w:rsidRPr="00CC6F7E">
        <w:rPr>
          <w:rFonts w:eastAsia="Times New Roman" w:cs="Times New Roman"/>
          <w:lang w:eastAsia="de-DE"/>
        </w:rPr>
        <w:t xml:space="preserve">. </w:t>
      </w:r>
      <w:r w:rsidRPr="00CC6F7E">
        <w:rPr>
          <w:rFonts w:eastAsia="Times New Roman" w:cs="Times New Roman"/>
          <w:b/>
          <w:bCs/>
          <w:rtl/>
          <w:lang w:eastAsia="de-DE"/>
        </w:rPr>
        <w:t>משפט אחד</w:t>
      </w:r>
      <w:r w:rsidRPr="00CC6F7E">
        <w:rPr>
          <w:rFonts w:eastAsia="Times New Roman" w:cs="Times New Roman"/>
          <w:rtl/>
          <w:lang w:eastAsia="de-DE"/>
        </w:rPr>
        <w:t xml:space="preserve"> </w:t>
      </w:r>
      <w:r w:rsidRPr="00CC6F7E">
        <w:rPr>
          <w:rFonts w:eastAsia="Times New Roman" w:cs="Times New Roman"/>
          <w:lang w:eastAsia="de-DE"/>
        </w:rPr>
        <w:t xml:space="preserve">(einheitliches Recht) für </w:t>
      </w:r>
      <w:r w:rsidRPr="00CC6F7E">
        <w:rPr>
          <w:rFonts w:eastAsia="Times New Roman" w:cs="Times New Roman"/>
          <w:b/>
          <w:bCs/>
          <w:rtl/>
          <w:lang w:eastAsia="de-DE"/>
        </w:rPr>
        <w:t>גר</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אזרח</w:t>
      </w:r>
      <w:r w:rsidRPr="00CC6F7E">
        <w:rPr>
          <w:rFonts w:eastAsia="Times New Roman" w:cs="Times New Roman"/>
          <w:rtl/>
          <w:lang w:eastAsia="de-DE"/>
        </w:rPr>
        <w:t xml:space="preserve"> </w:t>
      </w:r>
      <w:r w:rsidRPr="00CC6F7E">
        <w:rPr>
          <w:rFonts w:eastAsia="Times New Roman" w:cs="Times New Roman"/>
          <w:lang w:eastAsia="de-DE"/>
        </w:rPr>
        <w:t>unter göttlicher Autorität.</w:t>
      </w:r>
    </w:p>
    <w:p w14:paraId="0C71099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6) Urteilsvollstreckung (V. 23):</w:t>
      </w:r>
      <w:r w:rsidRPr="00CC6F7E">
        <w:rPr>
          <w:rFonts w:eastAsia="Times New Roman" w:cs="Times New Roman"/>
          <w:lang w:eastAsia="de-DE"/>
        </w:rPr>
        <w:t xml:space="preserve"> Ordnungsgemäße Steinigung </w:t>
      </w:r>
      <w:r w:rsidRPr="00CC6F7E">
        <w:rPr>
          <w:rFonts w:eastAsia="Times New Roman" w:cs="Times New Roman"/>
          <w:b/>
          <w:bCs/>
          <w:rtl/>
          <w:lang w:eastAsia="de-DE"/>
        </w:rPr>
        <w:t>כאשר צוה יהוה את־משה</w:t>
      </w:r>
      <w:r w:rsidRPr="00CC6F7E">
        <w:rPr>
          <w:rFonts w:eastAsia="Times New Roman" w:cs="Times New Roman"/>
          <w:rtl/>
          <w:lang w:eastAsia="de-DE"/>
        </w:rPr>
        <w:t xml:space="preserve"> </w:t>
      </w:r>
      <w:r w:rsidRPr="00CC6F7E">
        <w:rPr>
          <w:rFonts w:eastAsia="Times New Roman" w:cs="Times New Roman"/>
          <w:lang w:eastAsia="de-DE"/>
        </w:rPr>
        <w:t>(wie JHWH Mosche befohlen hatte).</w:t>
      </w:r>
    </w:p>
    <w:p w14:paraId="6788E5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Theologische Bedeutung:</w:t>
      </w:r>
      <w:r w:rsidRPr="00CC6F7E">
        <w:rPr>
          <w:rFonts w:eastAsia="Times New Roman" w:cs="Times New Roman"/>
          <w:lang w:eastAsia="de-DE"/>
        </w:rPr>
        <w:t xml:space="preserve"> Das Kapitel zeigt </w:t>
      </w:r>
      <w:r w:rsidRPr="00CC6F7E">
        <w:rPr>
          <w:rFonts w:eastAsia="Times New Roman" w:cs="Times New Roman"/>
          <w:b/>
          <w:bCs/>
          <w:lang w:eastAsia="de-DE"/>
        </w:rPr>
        <w:t>Heiligkeit als kontinuierliche Verpflichtung</w:t>
      </w:r>
      <w:r w:rsidRPr="00CC6F7E">
        <w:rPr>
          <w:rFonts w:eastAsia="Times New Roman" w:cs="Times New Roman"/>
          <w:lang w:eastAsia="de-DE"/>
        </w:rPr>
        <w:t xml:space="preserve"> durch beständige Beleuchtung und wöchentliches Schaubrot als Zeichen göttlicher Gegenwart. </w:t>
      </w:r>
      <w:r w:rsidRPr="00CC6F7E">
        <w:rPr>
          <w:rFonts w:eastAsia="Times New Roman" w:cs="Times New Roman"/>
          <w:b/>
          <w:bCs/>
          <w:lang w:eastAsia="de-DE"/>
        </w:rPr>
        <w:t>Rechtsprechung als göttliche Domäne</w:t>
      </w:r>
      <w:r w:rsidRPr="00CC6F7E">
        <w:rPr>
          <w:rFonts w:eastAsia="Times New Roman" w:cs="Times New Roman"/>
          <w:lang w:eastAsia="de-DE"/>
        </w:rPr>
        <w:t xml:space="preserve"> bei Präzedenzfällen. </w:t>
      </w:r>
      <w:r w:rsidRPr="00CC6F7E">
        <w:rPr>
          <w:rFonts w:eastAsia="Times New Roman" w:cs="Times New Roman"/>
          <w:b/>
          <w:bCs/>
          <w:lang w:eastAsia="de-DE"/>
        </w:rPr>
        <w:t>Heiligkeit des Gottesnamens</w:t>
      </w:r>
      <w:r w:rsidRPr="00CC6F7E">
        <w:rPr>
          <w:rFonts w:eastAsia="Times New Roman" w:cs="Times New Roman"/>
          <w:lang w:eastAsia="de-DE"/>
        </w:rPr>
        <w:t xml:space="preserve"> mit verschärfter Strafe bei JHWH-Lästerung. </w:t>
      </w:r>
      <w:r w:rsidRPr="00CC6F7E">
        <w:rPr>
          <w:rFonts w:eastAsia="Times New Roman" w:cs="Times New Roman"/>
          <w:b/>
          <w:bCs/>
          <w:lang w:eastAsia="de-DE"/>
        </w:rPr>
        <w:t>Lex talionis</w:t>
      </w:r>
      <w:r w:rsidRPr="00CC6F7E">
        <w:rPr>
          <w:rFonts w:eastAsia="Times New Roman" w:cs="Times New Roman"/>
          <w:lang w:eastAsia="de-DE"/>
        </w:rPr>
        <w:t xml:space="preserve"> als gerechtes Vergeltungsprinzip mit Verhältnismäßigkeit. </w:t>
      </w:r>
      <w:r w:rsidRPr="00CC6F7E">
        <w:rPr>
          <w:rFonts w:eastAsia="Times New Roman" w:cs="Times New Roman"/>
          <w:b/>
          <w:bCs/>
          <w:lang w:eastAsia="de-DE"/>
        </w:rPr>
        <w:t>Rechtsgleichheit</w:t>
      </w:r>
      <w:r w:rsidRPr="00CC6F7E">
        <w:rPr>
          <w:rFonts w:eastAsia="Times New Roman" w:cs="Times New Roman"/>
          <w:lang w:eastAsia="de-DE"/>
        </w:rPr>
        <w:t xml:space="preserve"> zwischen Einheimischen und Fremden als göttliches Prinzip.</w:t>
      </w:r>
    </w:p>
    <w:p w14:paraId="09E4D96B" w14:textId="2B2C49AC" w:rsid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Besonderheiten:</w:t>
      </w:r>
      <w:r w:rsidRPr="00CC6F7E">
        <w:rPr>
          <w:rFonts w:eastAsia="Times New Roman" w:cs="Times New Roman"/>
          <w:lang w:eastAsia="de-DE"/>
        </w:rPr>
        <w:t xml:space="preserve"> </w:t>
      </w:r>
      <w:r w:rsidRPr="00CC6F7E">
        <w:rPr>
          <w:rFonts w:eastAsia="Times New Roman" w:cs="Times New Roman"/>
          <w:b/>
          <w:bCs/>
          <w:lang w:eastAsia="de-DE"/>
        </w:rPr>
        <w:t>Volksverantwortung</w:t>
      </w:r>
      <w:r w:rsidRPr="00CC6F7E">
        <w:rPr>
          <w:rFonts w:eastAsia="Times New Roman" w:cs="Times New Roman"/>
          <w:lang w:eastAsia="de-DE"/>
        </w:rPr>
        <w:t xml:space="preserve"> für Heiligtums-Versorgung. </w:t>
      </w:r>
      <w:r w:rsidRPr="00CC6F7E">
        <w:rPr>
          <w:rFonts w:eastAsia="Times New Roman" w:cs="Times New Roman"/>
          <w:b/>
          <w:bCs/>
          <w:lang w:eastAsia="de-DE"/>
        </w:rPr>
        <w:t>Qualitätsanforderungen</w:t>
      </w:r>
      <w:r w:rsidRPr="00CC6F7E">
        <w:rPr>
          <w:rFonts w:eastAsia="Times New Roman" w:cs="Times New Roman"/>
          <w:lang w:eastAsia="de-DE"/>
        </w:rPr>
        <w:t xml:space="preserve"> für heilige Substanzen (</w:t>
      </w:r>
      <w:r w:rsidRPr="00CC6F7E">
        <w:rPr>
          <w:rFonts w:eastAsia="Times New Roman" w:cs="Times New Roman"/>
          <w:b/>
          <w:bCs/>
          <w:rtl/>
          <w:lang w:eastAsia="de-DE"/>
        </w:rPr>
        <w:t>זך כתית</w:t>
      </w:r>
      <w:r w:rsidRPr="00CC6F7E">
        <w:rPr>
          <w:rFonts w:eastAsia="Times New Roman" w:cs="Times New Roman"/>
          <w:lang w:eastAsia="de-DE"/>
        </w:rPr>
        <w:t xml:space="preserve">). </w:t>
      </w:r>
      <w:r w:rsidRPr="00CC6F7E">
        <w:rPr>
          <w:rFonts w:eastAsia="Times New Roman" w:cs="Times New Roman"/>
          <w:b/>
          <w:bCs/>
          <w:lang w:eastAsia="de-DE"/>
        </w:rPr>
        <w:t>Mischehen-Problematik</w:t>
      </w:r>
      <w:r w:rsidRPr="00CC6F7E">
        <w:rPr>
          <w:rFonts w:eastAsia="Times New Roman" w:cs="Times New Roman"/>
          <w:lang w:eastAsia="de-DE"/>
        </w:rPr>
        <w:t xml:space="preserve"> im Rechtssystem. </w:t>
      </w:r>
      <w:r w:rsidRPr="00CC6F7E">
        <w:rPr>
          <w:rFonts w:eastAsia="Times New Roman" w:cs="Times New Roman"/>
          <w:b/>
          <w:bCs/>
          <w:lang w:eastAsia="de-DE"/>
        </w:rPr>
        <w:t>Zeugen-S</w:t>
      </w:r>
      <w:r w:rsidRPr="00CC6F7E">
        <w:rPr>
          <w:rFonts w:eastAsia="Times New Roman" w:cs="Times New Roman"/>
          <w:b/>
          <w:bCs/>
          <w:rtl/>
          <w:lang w:eastAsia="de-DE"/>
        </w:rPr>
        <w:t>מיכה</w:t>
      </w:r>
      <w:r w:rsidRPr="00CC6F7E">
        <w:rPr>
          <w:rFonts w:eastAsia="Times New Roman" w:cs="Times New Roman"/>
          <w:rtl/>
          <w:lang w:eastAsia="de-DE"/>
        </w:rPr>
        <w:t xml:space="preserve"> </w:t>
      </w:r>
      <w:r w:rsidRPr="00CC6F7E">
        <w:rPr>
          <w:rFonts w:eastAsia="Times New Roman" w:cs="Times New Roman"/>
          <w:lang w:eastAsia="de-DE"/>
        </w:rPr>
        <w:t xml:space="preserve">als prozedurales Element. </w:t>
      </w:r>
      <w:r w:rsidRPr="00CC6F7E">
        <w:rPr>
          <w:rFonts w:eastAsia="Times New Roman" w:cs="Times New Roman"/>
          <w:b/>
          <w:bCs/>
          <w:lang w:eastAsia="de-DE"/>
        </w:rPr>
        <w:t>Differenzierte Strafen</w:t>
      </w:r>
      <w:r w:rsidRPr="00CC6F7E">
        <w:rPr>
          <w:rFonts w:eastAsia="Times New Roman" w:cs="Times New Roman"/>
          <w:lang w:eastAsia="de-DE"/>
        </w:rPr>
        <w:t xml:space="preserve"> je nach Vergehen-Schwere. </w:t>
      </w:r>
      <w:r w:rsidRPr="00CC6F7E">
        <w:rPr>
          <w:rFonts w:eastAsia="Times New Roman" w:cs="Times New Roman"/>
          <w:b/>
          <w:bCs/>
          <w:lang w:eastAsia="de-DE"/>
        </w:rPr>
        <w:t>Gemeinschafts-Hinrichtung</w:t>
      </w:r>
      <w:r w:rsidRPr="00CC6F7E">
        <w:rPr>
          <w:rFonts w:eastAsia="Times New Roman" w:cs="Times New Roman"/>
          <w:lang w:eastAsia="de-DE"/>
        </w:rPr>
        <w:t xml:space="preserve"> als kollektive Verantwortung. </w:t>
      </w:r>
      <w:r w:rsidRPr="00CC6F7E">
        <w:rPr>
          <w:rFonts w:eastAsia="Times New Roman" w:cs="Times New Roman"/>
          <w:b/>
          <w:bCs/>
          <w:lang w:eastAsia="de-DE"/>
        </w:rPr>
        <w:t>Stammessymbolik</w:t>
      </w:r>
      <w:r w:rsidRPr="00CC6F7E">
        <w:rPr>
          <w:rFonts w:eastAsia="Times New Roman" w:cs="Times New Roman"/>
          <w:lang w:eastAsia="de-DE"/>
        </w:rPr>
        <w:t xml:space="preserve"> im Schaubrot.</w:t>
      </w:r>
    </w:p>
    <w:p w14:paraId="5D132758" w14:textId="185E2F7A" w:rsidR="009104A2" w:rsidRPr="00CC6F7E" w:rsidRDefault="009104A2" w:rsidP="00CC6F7E">
      <w:pPr>
        <w:spacing w:before="100" w:beforeAutospacing="1" w:after="100" w:afterAutospacing="1" w:line="240" w:lineRule="auto"/>
        <w:rPr>
          <w:rFonts w:eastAsia="Times New Roman" w:cs="Times New Roman"/>
          <w:lang w:eastAsia="de-DE"/>
        </w:rPr>
      </w:pPr>
      <w:r>
        <w:rPr>
          <w:rStyle w:val="Fett"/>
        </w:rPr>
        <w:lastRenderedPageBreak/>
        <w:t>Textkritische Beobachtung</w:t>
      </w:r>
      <w:r>
        <w:t xml:space="preserve">: Levitikus 24 zeigt in der LXX bedeutende interpretative Entscheidungen, besonders bei Gotteslästerung. Die LXX interpretiert das umstrittene hebräische </w:t>
      </w:r>
      <w:r>
        <w:rPr>
          <w:rtl/>
        </w:rPr>
        <w:t>נקב</w:t>
      </w:r>
      <w:r>
        <w:t xml:space="preserve"> als "nennen" statt "durchbohren", was eine weniger dramatische, aber spezifischere juristische Kategorisierung darstellt. Die Hinzufügung von Salz beim Schaubrot (Vers 7) zeigt eine liturgische Ergänzung. Die Namen werden präzise transkribiert, was auf sorgfältige Überlieferung hindeutet. Die gesamte Passage zeigt eine systematische Anpassung an griechische Rechts- und Kultterminologie, während die narrative Struktur und die juridischen Prinzipien beibehalten werden.</w:t>
      </w:r>
    </w:p>
    <w:p w14:paraId="763D1A9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w:t>
      </w:r>
    </w:p>
    <w:p w14:paraId="2130FB6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וַיְדַבֵּ֤ר יְהוָה֙ אֶל־מֹשֶׁ֔ה בְּהַ֥ר סִינַ֖י לֵאמֹֽר׃</w:t>
      </w:r>
    </w:p>
    <w:p w14:paraId="6F2A5A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der Ewige redete zu Mosche auf dem Berg Sinai, sagend:</w:t>
      </w:r>
    </w:p>
    <w:p w14:paraId="46EBC69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A3D00DD">
          <v:rect id="_x0000_i1749" style="width:0;height:1.5pt" o:hralign="center" o:hrstd="t" o:hr="t" fillcolor="#a0a0a0" stroked="f"/>
        </w:pict>
      </w:r>
    </w:p>
    <w:p w14:paraId="5E2D883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וידבר יהוה אל־משה בהר סיני לאמר</w:t>
      </w:r>
      <w:r w:rsidRPr="00CC6F7E">
        <w:rPr>
          <w:rFonts w:eastAsia="Times New Roman" w:cs="Times New Roman"/>
          <w:rtl/>
          <w:lang w:eastAsia="de-DE"/>
        </w:rPr>
        <w:t xml:space="preserve"> </w:t>
      </w:r>
      <w:r w:rsidRPr="00CC6F7E">
        <w:rPr>
          <w:rFonts w:eastAsia="Times New Roman" w:cs="Times New Roman"/>
          <w:lang w:eastAsia="de-DE"/>
        </w:rPr>
        <w:t xml:space="preserve">als besondere Offenbarungseinleitung für die Sabbat- und Jobeljahr-Gesetze. </w:t>
      </w:r>
      <w:r w:rsidRPr="00CC6F7E">
        <w:rPr>
          <w:rFonts w:eastAsia="Times New Roman" w:cs="Times New Roman"/>
          <w:b/>
          <w:bCs/>
          <w:rtl/>
          <w:lang w:eastAsia="de-DE"/>
        </w:rPr>
        <w:t>וידבר</w:t>
      </w:r>
      <w:r w:rsidRPr="00CC6F7E">
        <w:rPr>
          <w:rFonts w:eastAsia="Times New Roman" w:cs="Times New Roman"/>
          <w:rtl/>
          <w:lang w:eastAsia="de-DE"/>
        </w:rPr>
        <w:t xml:space="preserve"> </w:t>
      </w:r>
      <w:r w:rsidRPr="00CC6F7E">
        <w:rPr>
          <w:rFonts w:eastAsia="Times New Roman" w:cs="Times New Roman"/>
          <w:lang w:eastAsia="de-DE"/>
        </w:rPr>
        <w:t xml:space="preserve">(und er redete) im Piel-Imperfekt mit Waw-Konsekutiv - das Piel zeigt intensives, autoritatives göttliches Sprechen. </w:t>
      </w:r>
      <w:r w:rsidRPr="00CC6F7E">
        <w:rPr>
          <w:rFonts w:eastAsia="Times New Roman" w:cs="Times New Roman"/>
          <w:b/>
          <w:bCs/>
          <w:rtl/>
          <w:lang w:eastAsia="de-DE"/>
        </w:rPr>
        <w:t>בהר סיני</w:t>
      </w:r>
      <w:r w:rsidRPr="00CC6F7E">
        <w:rPr>
          <w:rFonts w:eastAsia="Times New Roman" w:cs="Times New Roman"/>
          <w:rtl/>
          <w:lang w:eastAsia="de-DE"/>
        </w:rPr>
        <w:t xml:space="preserve"> </w:t>
      </w:r>
      <w:r w:rsidRPr="00CC6F7E">
        <w:rPr>
          <w:rFonts w:eastAsia="Times New Roman" w:cs="Times New Roman"/>
          <w:lang w:eastAsia="de-DE"/>
        </w:rPr>
        <w:t>(auf dem Berg Sinai) ist eine ungewöhnliche Ortsangabe, die nur hier und in 26,46; 27,34 erscheint und die besondere Autorität dieser Gesetze unterstreicht.</w:t>
      </w:r>
    </w:p>
    <w:p w14:paraId="13CF49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בהר סיני</w:t>
      </w:r>
      <w:r w:rsidRPr="00CC6F7E">
        <w:rPr>
          <w:rFonts w:eastAsia="Times New Roman" w:cs="Times New Roman"/>
          <w:rtl/>
          <w:lang w:eastAsia="de-DE"/>
        </w:rPr>
        <w:t xml:space="preserve"> </w:t>
      </w:r>
      <w:r w:rsidRPr="00CC6F7E">
        <w:rPr>
          <w:rFonts w:eastAsia="Times New Roman" w:cs="Times New Roman"/>
          <w:lang w:eastAsia="de-DE"/>
        </w:rPr>
        <w:t xml:space="preserve">zeigt die Sinai-Offenbarung als Ursprung der sozialen Ordnungsgesetze. </w:t>
      </w:r>
      <w:r w:rsidRPr="00CC6F7E">
        <w:rPr>
          <w:rFonts w:eastAsia="Times New Roman" w:cs="Times New Roman"/>
          <w:b/>
          <w:bCs/>
          <w:rtl/>
          <w:lang w:eastAsia="de-DE"/>
        </w:rPr>
        <w:t>לאמר</w:t>
      </w:r>
      <w:r w:rsidRPr="00CC6F7E">
        <w:rPr>
          <w:rFonts w:eastAsia="Times New Roman" w:cs="Times New Roman"/>
          <w:rtl/>
          <w:lang w:eastAsia="de-DE"/>
        </w:rPr>
        <w:t xml:space="preserve"> </w:t>
      </w:r>
      <w:r w:rsidRPr="00CC6F7E">
        <w:rPr>
          <w:rFonts w:eastAsia="Times New Roman" w:cs="Times New Roman"/>
          <w:lang w:eastAsia="de-DE"/>
        </w:rPr>
        <w:t>leitet die grundlegenden Sabbatjahr- und Jobelvorschriften ein.</w:t>
      </w:r>
    </w:p>
    <w:p w14:paraId="124EEA35" w14:textId="778D8E63"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fügt die Ortsangabe </w:t>
      </w:r>
      <w:proofErr w:type="spellStart"/>
      <w:r w:rsidR="009104A2">
        <w:t>ἐν</w:t>
      </w:r>
      <w:proofErr w:type="spellEnd"/>
      <w:r w:rsidR="009104A2">
        <w:t xml:space="preserve"> </w:t>
      </w:r>
      <w:proofErr w:type="spellStart"/>
      <w:r w:rsidR="009104A2">
        <w:t>τῷ</w:t>
      </w:r>
      <w:proofErr w:type="spellEnd"/>
      <w:r w:rsidR="009104A2">
        <w:t xml:space="preserve"> </w:t>
      </w:r>
      <w:proofErr w:type="spellStart"/>
      <w:r w:rsidR="009104A2">
        <w:t>ὄρει</w:t>
      </w:r>
      <w:proofErr w:type="spellEnd"/>
      <w:r w:rsidR="009104A2">
        <w:t xml:space="preserve"> </w:t>
      </w:r>
      <w:proofErr w:type="spellStart"/>
      <w:r w:rsidR="009104A2">
        <w:t>Σινὰ</w:t>
      </w:r>
      <w:proofErr w:type="spellEnd"/>
      <w:r w:rsidR="009104A2">
        <w:t xml:space="preserve"> (auf dem Berg Sinai) hinzu, was die Autorität der folgenden Gesetze betont.</w:t>
      </w:r>
    </w:p>
    <w:p w14:paraId="787BB79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besondere Offenbarungseinleitung: göttliches autoritatives Sprechen + Sinai-Ortsangabe + Redeeinleitung.</w:t>
      </w:r>
    </w:p>
    <w:p w14:paraId="3D3EE88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unterstreicht durch die Sinai-Erwähnung die besondere Autorität der folgenden sozialen Ordnungsgesetze.</w:t>
      </w:r>
    </w:p>
    <w:p w14:paraId="316A962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w:t>
      </w:r>
    </w:p>
    <w:p w14:paraId="610FF2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דַּבֵּ֞ר אֶל־בְּנֵ֤י יִשְׂרָאֵל֙ וְאָמַרְתָּ֣ אֲלֵהֶ֔ם כִּ֤י תָבֹ֨אוּ֙ אֶל־הָאָ֔רֶץ אֲשֶׁ֥ר אֲנִ֖י נֹתֵ֣ן לָכֶ֑ם וְשָׁבְתָ֣ה הָאָ֔רֶץ שַׁבָּ֖ת לַיהוָֽה׃</w:t>
      </w:r>
    </w:p>
    <w:p w14:paraId="3BE05E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Rede zu den Kindern Israels und sage zu ihnen: Wenn ihr in das Land kommt, das ich euch gebe, soll das Land dem Ewigen einen Schabbat feiern.</w:t>
      </w:r>
    </w:p>
    <w:p w14:paraId="298DC248"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156CB2A">
          <v:rect id="_x0000_i1750" style="width:0;height:1.5pt" o:hralign="center" o:hrstd="t" o:hr="t" fillcolor="#a0a0a0" stroked="f"/>
        </w:pict>
      </w:r>
    </w:p>
    <w:p w14:paraId="3E62FA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דבר אל־בני ישראל ואמרת אלהם כי תבאו אל־הארץ אשר אני נתן לכם ושבתה הארץ שבת ליהוה</w:t>
      </w:r>
      <w:r w:rsidRPr="00CC6F7E">
        <w:rPr>
          <w:rFonts w:eastAsia="Times New Roman" w:cs="Times New Roman"/>
          <w:rtl/>
          <w:lang w:eastAsia="de-DE"/>
        </w:rPr>
        <w:t xml:space="preserve"> </w:t>
      </w:r>
      <w:r w:rsidRPr="00CC6F7E">
        <w:rPr>
          <w:rFonts w:eastAsia="Times New Roman" w:cs="Times New Roman"/>
          <w:lang w:eastAsia="de-DE"/>
        </w:rPr>
        <w:t xml:space="preserve">etabliert das Sabbatjahr-Prinzip. </w:t>
      </w:r>
      <w:r w:rsidRPr="00CC6F7E">
        <w:rPr>
          <w:rFonts w:eastAsia="Times New Roman" w:cs="Times New Roman"/>
          <w:b/>
          <w:bCs/>
          <w:rtl/>
          <w:lang w:eastAsia="de-DE"/>
        </w:rPr>
        <w:t>דבר אל־בני ישראל ואמרת אלהם</w:t>
      </w:r>
      <w:r w:rsidRPr="00CC6F7E">
        <w:rPr>
          <w:rFonts w:eastAsia="Times New Roman" w:cs="Times New Roman"/>
          <w:rtl/>
          <w:lang w:eastAsia="de-DE"/>
        </w:rPr>
        <w:t xml:space="preserve"> </w:t>
      </w:r>
      <w:r w:rsidRPr="00CC6F7E">
        <w:rPr>
          <w:rFonts w:eastAsia="Times New Roman" w:cs="Times New Roman"/>
          <w:lang w:eastAsia="de-DE"/>
        </w:rPr>
        <w:t>entspricht der üblichen Adressierungsformel.</w:t>
      </w:r>
    </w:p>
    <w:p w14:paraId="7635CE59" w14:textId="341F523B"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כי תבאו אל־הארץ אשר אני נתן לכם</w:t>
      </w:r>
      <w:r w:rsidRPr="00CC6F7E">
        <w:rPr>
          <w:rFonts w:eastAsia="Times New Roman" w:cs="Times New Roman"/>
          <w:rtl/>
          <w:lang w:eastAsia="de-DE"/>
        </w:rPr>
        <w:t xml:space="preserve"> </w:t>
      </w:r>
      <w:r w:rsidRPr="00CC6F7E">
        <w:rPr>
          <w:rFonts w:eastAsia="Times New Roman" w:cs="Times New Roman"/>
          <w:lang w:eastAsia="de-DE"/>
        </w:rPr>
        <w:t xml:space="preserve">(wenn ihr in das Land kommt, das ich euch gebe) zeigt den Verheißungsland-Kontext und zukünftige Anwendung nach der Landnahme. </w:t>
      </w:r>
      <w:r w:rsidRPr="00CC6F7E">
        <w:rPr>
          <w:rFonts w:eastAsia="Times New Roman" w:cs="Times New Roman"/>
          <w:b/>
          <w:bCs/>
          <w:rtl/>
          <w:lang w:eastAsia="de-DE"/>
        </w:rPr>
        <w:t>ושבתה הארץ שבת ליהוה</w:t>
      </w:r>
      <w:r w:rsidRPr="00CC6F7E">
        <w:rPr>
          <w:rFonts w:eastAsia="Times New Roman" w:cs="Times New Roman"/>
          <w:rtl/>
          <w:lang w:eastAsia="de-DE"/>
        </w:rPr>
        <w:t xml:space="preserve"> </w:t>
      </w:r>
      <w:r w:rsidRPr="00CC6F7E">
        <w:rPr>
          <w:rFonts w:eastAsia="Times New Roman" w:cs="Times New Roman"/>
          <w:lang w:eastAsia="de-DE"/>
        </w:rPr>
        <w:t xml:space="preserve">(soll das Land dem Ewigen einen Schabbat feiern) - </w:t>
      </w:r>
      <w:r w:rsidRPr="00CC6F7E">
        <w:rPr>
          <w:rFonts w:eastAsia="Times New Roman" w:cs="Times New Roman"/>
          <w:b/>
          <w:bCs/>
          <w:rtl/>
          <w:lang w:eastAsia="de-DE"/>
        </w:rPr>
        <w:t>ושבתה</w:t>
      </w:r>
      <w:r w:rsidRPr="00CC6F7E">
        <w:rPr>
          <w:rFonts w:eastAsia="Times New Roman" w:cs="Times New Roman"/>
          <w:rtl/>
          <w:lang w:eastAsia="de-DE"/>
        </w:rPr>
        <w:t xml:space="preserve"> </w:t>
      </w:r>
      <w:r w:rsidRPr="00CC6F7E">
        <w:rPr>
          <w:rFonts w:eastAsia="Times New Roman" w:cs="Times New Roman"/>
          <w:lang w:eastAsia="de-DE"/>
        </w:rPr>
        <w:t xml:space="preserve">(und es soll feiern/ruhen) im Qal-Perfekt mit Waw-Konsekutiv von </w:t>
      </w:r>
      <w:r w:rsidRPr="00CC6F7E">
        <w:rPr>
          <w:rFonts w:eastAsia="Times New Roman" w:cs="Times New Roman"/>
          <w:b/>
          <w:bCs/>
          <w:rtl/>
          <w:lang w:eastAsia="de-DE"/>
        </w:rPr>
        <w:t>שבת</w:t>
      </w:r>
      <w:r w:rsidRPr="00CC6F7E">
        <w:rPr>
          <w:rFonts w:eastAsia="Times New Roman" w:cs="Times New Roman"/>
          <w:lang w:eastAsia="de-DE"/>
        </w:rPr>
        <w:t xml:space="preserve">. </w:t>
      </w:r>
      <w:r w:rsidRPr="00CC6F7E">
        <w:rPr>
          <w:rFonts w:eastAsia="Times New Roman" w:cs="Times New Roman"/>
          <w:b/>
          <w:bCs/>
          <w:rtl/>
          <w:lang w:eastAsia="de-DE"/>
        </w:rPr>
        <w:t>הארץ</w:t>
      </w:r>
      <w:r w:rsidRPr="00CC6F7E">
        <w:rPr>
          <w:rFonts w:eastAsia="Times New Roman" w:cs="Times New Roman"/>
          <w:rtl/>
          <w:lang w:eastAsia="de-DE"/>
        </w:rPr>
        <w:t xml:space="preserve"> </w:t>
      </w:r>
      <w:r w:rsidRPr="00CC6F7E">
        <w:rPr>
          <w:rFonts w:eastAsia="Times New Roman" w:cs="Times New Roman"/>
          <w:lang w:eastAsia="de-DE"/>
        </w:rPr>
        <w:t xml:space="preserve">(das Land) als Subjekt zeigt, dass das Land selbst sabbatiert. </w:t>
      </w:r>
      <w:r w:rsidRPr="00CC6F7E">
        <w:rPr>
          <w:rFonts w:eastAsia="Times New Roman" w:cs="Times New Roman"/>
          <w:b/>
          <w:bCs/>
          <w:rtl/>
          <w:lang w:eastAsia="de-DE"/>
        </w:rPr>
        <w:t>שבת ליהוה</w:t>
      </w:r>
      <w:r w:rsidRPr="00CC6F7E">
        <w:rPr>
          <w:rFonts w:eastAsia="Times New Roman" w:cs="Times New Roman"/>
          <w:rtl/>
          <w:lang w:eastAsia="de-DE"/>
        </w:rPr>
        <w:t xml:space="preserve"> </w:t>
      </w:r>
      <w:r w:rsidRPr="00CC6F7E">
        <w:rPr>
          <w:rFonts w:eastAsia="Times New Roman" w:cs="Times New Roman"/>
          <w:lang w:eastAsia="de-DE"/>
        </w:rPr>
        <w:t xml:space="preserve">zeigt göttliche Ausrichtung des </w:t>
      </w:r>
      <w:r w:rsidR="00E05781" w:rsidRPr="00CC6F7E">
        <w:rPr>
          <w:rFonts w:eastAsia="Times New Roman" w:cs="Times New Roman"/>
          <w:lang w:eastAsia="de-DE"/>
        </w:rPr>
        <w:t>Land Schabbats</w:t>
      </w:r>
      <w:r w:rsidRPr="00CC6F7E">
        <w:rPr>
          <w:rFonts w:eastAsia="Times New Roman" w:cs="Times New Roman"/>
          <w:lang w:eastAsia="de-DE"/>
        </w:rPr>
        <w:t>.</w:t>
      </w:r>
    </w:p>
    <w:p w14:paraId="093A20B3" w14:textId="08D6C85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 תבאו אל־הארץ</w:t>
      </w:r>
      <w:r w:rsidRPr="00CC6F7E">
        <w:rPr>
          <w:rFonts w:eastAsia="Times New Roman" w:cs="Times New Roman"/>
          <w:rtl/>
          <w:lang w:eastAsia="de-DE"/>
        </w:rPr>
        <w:t xml:space="preserve"> </w:t>
      </w:r>
      <w:r w:rsidRPr="00CC6F7E">
        <w:rPr>
          <w:rFonts w:eastAsia="Times New Roman" w:cs="Times New Roman"/>
          <w:lang w:eastAsia="de-DE"/>
        </w:rPr>
        <w:t xml:space="preserve">zeigt zukünftige Landnahme-Verpflichtung. </w:t>
      </w:r>
      <w:r w:rsidRPr="00CC6F7E">
        <w:rPr>
          <w:rFonts w:eastAsia="Times New Roman" w:cs="Times New Roman"/>
          <w:b/>
          <w:bCs/>
          <w:rtl/>
          <w:lang w:eastAsia="de-DE"/>
        </w:rPr>
        <w:t>ושבתה הארץ</w:t>
      </w:r>
      <w:r w:rsidRPr="00CC6F7E">
        <w:rPr>
          <w:rFonts w:eastAsia="Times New Roman" w:cs="Times New Roman"/>
          <w:rtl/>
          <w:lang w:eastAsia="de-DE"/>
        </w:rPr>
        <w:t xml:space="preserve"> </w:t>
      </w:r>
      <w:r w:rsidRPr="00CC6F7E">
        <w:rPr>
          <w:rFonts w:eastAsia="Times New Roman" w:cs="Times New Roman"/>
          <w:lang w:eastAsia="de-DE"/>
        </w:rPr>
        <w:t xml:space="preserve">personifiziert das Land als sabbatierende Entität. </w:t>
      </w:r>
      <w:r w:rsidRPr="00CC6F7E">
        <w:rPr>
          <w:rFonts w:eastAsia="Times New Roman" w:cs="Times New Roman"/>
          <w:b/>
          <w:bCs/>
          <w:rtl/>
          <w:lang w:eastAsia="de-DE"/>
        </w:rPr>
        <w:t>ליהוה</w:t>
      </w:r>
      <w:r w:rsidRPr="00CC6F7E">
        <w:rPr>
          <w:rFonts w:eastAsia="Times New Roman" w:cs="Times New Roman"/>
          <w:rtl/>
          <w:lang w:eastAsia="de-DE"/>
        </w:rPr>
        <w:t xml:space="preserve"> </w:t>
      </w:r>
      <w:r w:rsidRPr="00CC6F7E">
        <w:rPr>
          <w:rFonts w:eastAsia="Times New Roman" w:cs="Times New Roman"/>
          <w:lang w:eastAsia="de-DE"/>
        </w:rPr>
        <w:t xml:space="preserve">zeigt göttliche Bestimmung des </w:t>
      </w:r>
      <w:r w:rsidR="00E05781" w:rsidRPr="00CC6F7E">
        <w:rPr>
          <w:rFonts w:eastAsia="Times New Roman" w:cs="Times New Roman"/>
          <w:lang w:eastAsia="de-DE"/>
        </w:rPr>
        <w:t>Land Schabbats</w:t>
      </w:r>
      <w:r w:rsidRPr="00CC6F7E">
        <w:rPr>
          <w:rFonts w:eastAsia="Times New Roman" w:cs="Times New Roman"/>
          <w:lang w:eastAsia="de-DE"/>
        </w:rPr>
        <w:t>.</w:t>
      </w:r>
    </w:p>
    <w:p w14:paraId="160529F4" w14:textId="499780C5"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wiederholt </w:t>
      </w:r>
      <w:proofErr w:type="spellStart"/>
      <w:r w:rsidR="009104A2">
        <w:t>ἣν</w:t>
      </w:r>
      <w:proofErr w:type="spellEnd"/>
      <w:r w:rsidR="009104A2">
        <w:t xml:space="preserve"> </w:t>
      </w:r>
      <w:proofErr w:type="spellStart"/>
      <w:r w:rsidR="009104A2">
        <w:t>ἐγὼ</w:t>
      </w:r>
      <w:proofErr w:type="spellEnd"/>
      <w:r w:rsidR="009104A2">
        <w:t xml:space="preserve"> </w:t>
      </w:r>
      <w:proofErr w:type="spellStart"/>
      <w:r w:rsidR="009104A2">
        <w:t>δίδωμι</w:t>
      </w:r>
      <w:proofErr w:type="spellEnd"/>
      <w:r w:rsidR="009104A2">
        <w:t xml:space="preserve"> </w:t>
      </w:r>
      <w:proofErr w:type="spellStart"/>
      <w:r w:rsidR="009104A2">
        <w:t>ὑμῖν</w:t>
      </w:r>
      <w:proofErr w:type="spellEnd"/>
      <w:r w:rsidR="009104A2">
        <w:t xml:space="preserve"> (die ich euch gebe) zweimal, was im hebräischen Text nur einmal steht, zur Betonung der göttlichen Landgabe.</w:t>
      </w:r>
    </w:p>
    <w:p w14:paraId="5F272E9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Sabbatjahr-Etablierung: Volks-Adressierung + Landnahme-Kontext + Land-Sabbatierung für JHWH.</w:t>
      </w:r>
    </w:p>
    <w:p w14:paraId="7D330C2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Sabbatjahr als göttliches Ruhegebot für das Land nach der Landnahme.</w:t>
      </w:r>
    </w:p>
    <w:p w14:paraId="2A652D7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w:t>
      </w:r>
    </w:p>
    <w:p w14:paraId="068D582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שֵׁ֤שׁ שָׁנִים֙ תִּזְרַ֣ע שָׂדֶ֔ךָ וְשֵׁ֥שׁ שָׁנִ֖ים תִּזְמֹ֣ר כַּרְמֶ֑ךָ וְאָסַפְתָּ֖ אֶת־תְּבוּאָתָֽהּ׃</w:t>
      </w:r>
    </w:p>
    <w:p w14:paraId="777B1B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Sechs Jahre sollst du dein Feld besäen und sechs Jahre deinen Weinberg beschneiden und seinen Ertrag einsammeln.</w:t>
      </w:r>
    </w:p>
    <w:p w14:paraId="48E8F5B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9BD02E4">
          <v:rect id="_x0000_i1751" style="width:0;height:1.5pt" o:hralign="center" o:hrstd="t" o:hr="t" fillcolor="#a0a0a0" stroked="f"/>
        </w:pict>
      </w:r>
    </w:p>
    <w:p w14:paraId="2C27D7E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שש שנים תזרע שדך ושש שנים תזמר כרמך ואספת את־תבואתה</w:t>
      </w:r>
      <w:r w:rsidRPr="00CC6F7E">
        <w:rPr>
          <w:rFonts w:eastAsia="Times New Roman" w:cs="Times New Roman"/>
          <w:rtl/>
          <w:lang w:eastAsia="de-DE"/>
        </w:rPr>
        <w:t xml:space="preserve"> </w:t>
      </w:r>
      <w:r w:rsidRPr="00CC6F7E">
        <w:rPr>
          <w:rFonts w:eastAsia="Times New Roman" w:cs="Times New Roman"/>
          <w:lang w:eastAsia="de-DE"/>
        </w:rPr>
        <w:t xml:space="preserve">zeigt den sechsjährigen Arbeitszyklus. </w:t>
      </w:r>
      <w:r w:rsidRPr="00CC6F7E">
        <w:rPr>
          <w:rFonts w:eastAsia="Times New Roman" w:cs="Times New Roman"/>
          <w:b/>
          <w:bCs/>
          <w:rtl/>
          <w:lang w:eastAsia="de-DE"/>
        </w:rPr>
        <w:t>שש שנים תזרע שדך</w:t>
      </w:r>
      <w:r w:rsidRPr="00CC6F7E">
        <w:rPr>
          <w:rFonts w:eastAsia="Times New Roman" w:cs="Times New Roman"/>
          <w:rtl/>
          <w:lang w:eastAsia="de-DE"/>
        </w:rPr>
        <w:t xml:space="preserve"> </w:t>
      </w:r>
      <w:r w:rsidRPr="00CC6F7E">
        <w:rPr>
          <w:rFonts w:eastAsia="Times New Roman" w:cs="Times New Roman"/>
          <w:lang w:eastAsia="de-DE"/>
        </w:rPr>
        <w:t xml:space="preserve">(sechs Jahre sollst du dein Feld besäen) - </w:t>
      </w:r>
      <w:r w:rsidRPr="00CC6F7E">
        <w:rPr>
          <w:rFonts w:eastAsia="Times New Roman" w:cs="Times New Roman"/>
          <w:b/>
          <w:bCs/>
          <w:rtl/>
          <w:lang w:eastAsia="de-DE"/>
        </w:rPr>
        <w:t>שש שנים</w:t>
      </w:r>
      <w:r w:rsidRPr="00CC6F7E">
        <w:rPr>
          <w:rFonts w:eastAsia="Times New Roman" w:cs="Times New Roman"/>
          <w:rtl/>
          <w:lang w:eastAsia="de-DE"/>
        </w:rPr>
        <w:t xml:space="preserve"> </w:t>
      </w:r>
      <w:r w:rsidRPr="00CC6F7E">
        <w:rPr>
          <w:rFonts w:eastAsia="Times New Roman" w:cs="Times New Roman"/>
          <w:lang w:eastAsia="de-DE"/>
        </w:rPr>
        <w:t xml:space="preserve">als Arbeitsperiode entspricht dem Sechstagewerk. </w:t>
      </w:r>
      <w:r w:rsidRPr="00CC6F7E">
        <w:rPr>
          <w:rFonts w:eastAsia="Times New Roman" w:cs="Times New Roman"/>
          <w:b/>
          <w:bCs/>
          <w:rtl/>
          <w:lang w:eastAsia="de-DE"/>
        </w:rPr>
        <w:t>תזרע שדך</w:t>
      </w:r>
      <w:r w:rsidRPr="00CC6F7E">
        <w:rPr>
          <w:rFonts w:eastAsia="Times New Roman" w:cs="Times New Roman"/>
          <w:rtl/>
          <w:lang w:eastAsia="de-DE"/>
        </w:rPr>
        <w:t xml:space="preserve"> </w:t>
      </w:r>
      <w:r w:rsidRPr="00CC6F7E">
        <w:rPr>
          <w:rFonts w:eastAsia="Times New Roman" w:cs="Times New Roman"/>
          <w:lang w:eastAsia="de-DE"/>
        </w:rPr>
        <w:t>(sollst du dein Feld besäen) im Qal-Imperfekt zeigt landwirtschaftliche Grundtätigkeit.</w:t>
      </w:r>
    </w:p>
    <w:p w14:paraId="0F93AC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ושש שנים תזמר כרמך</w:t>
      </w:r>
      <w:r w:rsidRPr="00CC6F7E">
        <w:rPr>
          <w:rFonts w:eastAsia="Times New Roman" w:cs="Times New Roman"/>
          <w:rtl/>
          <w:lang w:eastAsia="de-DE"/>
        </w:rPr>
        <w:t xml:space="preserve"> </w:t>
      </w:r>
      <w:r w:rsidRPr="00CC6F7E">
        <w:rPr>
          <w:rFonts w:eastAsia="Times New Roman" w:cs="Times New Roman"/>
          <w:lang w:eastAsia="de-DE"/>
        </w:rPr>
        <w:t xml:space="preserve">(und sechs Jahre deinen Weinberg beschneiden) - </w:t>
      </w:r>
      <w:r w:rsidRPr="00CC6F7E">
        <w:rPr>
          <w:rFonts w:eastAsia="Times New Roman" w:cs="Times New Roman"/>
          <w:b/>
          <w:bCs/>
          <w:rtl/>
          <w:lang w:eastAsia="de-DE"/>
        </w:rPr>
        <w:t>תזמר</w:t>
      </w:r>
      <w:r w:rsidRPr="00CC6F7E">
        <w:rPr>
          <w:rFonts w:eastAsia="Times New Roman" w:cs="Times New Roman"/>
          <w:rtl/>
          <w:lang w:eastAsia="de-DE"/>
        </w:rPr>
        <w:t xml:space="preserve"> </w:t>
      </w:r>
      <w:r w:rsidRPr="00CC6F7E">
        <w:rPr>
          <w:rFonts w:eastAsia="Times New Roman" w:cs="Times New Roman"/>
          <w:lang w:eastAsia="de-DE"/>
        </w:rPr>
        <w:t xml:space="preserve">(sollst du beschneiden) im Qal-Imperfekt von </w:t>
      </w:r>
      <w:r w:rsidRPr="00CC6F7E">
        <w:rPr>
          <w:rFonts w:eastAsia="Times New Roman" w:cs="Times New Roman"/>
          <w:b/>
          <w:bCs/>
          <w:rtl/>
          <w:lang w:eastAsia="de-DE"/>
        </w:rPr>
        <w:t>זמר</w:t>
      </w:r>
      <w:r w:rsidRPr="00CC6F7E">
        <w:rPr>
          <w:rFonts w:eastAsia="Times New Roman" w:cs="Times New Roman"/>
          <w:rtl/>
          <w:lang w:eastAsia="de-DE"/>
        </w:rPr>
        <w:t xml:space="preserve"> </w:t>
      </w:r>
      <w:r w:rsidRPr="00CC6F7E">
        <w:rPr>
          <w:rFonts w:eastAsia="Times New Roman" w:cs="Times New Roman"/>
          <w:lang w:eastAsia="de-DE"/>
        </w:rPr>
        <w:t xml:space="preserve">zeigt Rebenschnitt. </w:t>
      </w:r>
      <w:r w:rsidRPr="00CC6F7E">
        <w:rPr>
          <w:rFonts w:eastAsia="Times New Roman" w:cs="Times New Roman"/>
          <w:b/>
          <w:bCs/>
          <w:rtl/>
          <w:lang w:eastAsia="de-DE"/>
        </w:rPr>
        <w:t>כרמך</w:t>
      </w:r>
      <w:r w:rsidRPr="00CC6F7E">
        <w:rPr>
          <w:rFonts w:eastAsia="Times New Roman" w:cs="Times New Roman"/>
          <w:rtl/>
          <w:lang w:eastAsia="de-DE"/>
        </w:rPr>
        <w:t xml:space="preserve"> </w:t>
      </w:r>
      <w:r w:rsidRPr="00CC6F7E">
        <w:rPr>
          <w:rFonts w:eastAsia="Times New Roman" w:cs="Times New Roman"/>
          <w:lang w:eastAsia="de-DE"/>
        </w:rPr>
        <w:t>(deinen Weinberg) als zweite Hauptkultur neben Getreide.</w:t>
      </w:r>
    </w:p>
    <w:p w14:paraId="2F5B673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ואספת את־תבואתה</w:t>
      </w:r>
      <w:r w:rsidRPr="00CC6F7E">
        <w:rPr>
          <w:rFonts w:eastAsia="Times New Roman" w:cs="Times New Roman"/>
          <w:rtl/>
          <w:lang w:eastAsia="de-DE"/>
        </w:rPr>
        <w:t xml:space="preserve"> </w:t>
      </w:r>
      <w:r w:rsidRPr="00CC6F7E">
        <w:rPr>
          <w:rFonts w:eastAsia="Times New Roman" w:cs="Times New Roman"/>
          <w:lang w:eastAsia="de-DE"/>
        </w:rPr>
        <w:t xml:space="preserve">(und seinen Ertrag einsammeln) - </w:t>
      </w:r>
      <w:r w:rsidRPr="00CC6F7E">
        <w:rPr>
          <w:rFonts w:eastAsia="Times New Roman" w:cs="Times New Roman"/>
          <w:b/>
          <w:bCs/>
          <w:rtl/>
          <w:lang w:eastAsia="de-DE"/>
        </w:rPr>
        <w:t>ואספת</w:t>
      </w:r>
      <w:r w:rsidRPr="00CC6F7E">
        <w:rPr>
          <w:rFonts w:eastAsia="Times New Roman" w:cs="Times New Roman"/>
          <w:rtl/>
          <w:lang w:eastAsia="de-DE"/>
        </w:rPr>
        <w:t xml:space="preserve"> </w:t>
      </w:r>
      <w:r w:rsidRPr="00CC6F7E">
        <w:rPr>
          <w:rFonts w:eastAsia="Times New Roman" w:cs="Times New Roman"/>
          <w:lang w:eastAsia="de-DE"/>
        </w:rPr>
        <w:t xml:space="preserve">(und du sollst einsammeln) im Qal-Perfekt mit Waw-Konsekutiv. </w:t>
      </w:r>
      <w:r w:rsidRPr="00CC6F7E">
        <w:rPr>
          <w:rFonts w:eastAsia="Times New Roman" w:cs="Times New Roman"/>
          <w:b/>
          <w:bCs/>
          <w:rtl/>
          <w:lang w:eastAsia="de-DE"/>
        </w:rPr>
        <w:t>את־תבואתה</w:t>
      </w:r>
      <w:r w:rsidRPr="00CC6F7E">
        <w:rPr>
          <w:rFonts w:eastAsia="Times New Roman" w:cs="Times New Roman"/>
          <w:rtl/>
          <w:lang w:eastAsia="de-DE"/>
        </w:rPr>
        <w:t xml:space="preserve"> </w:t>
      </w:r>
      <w:r w:rsidRPr="00CC6F7E">
        <w:rPr>
          <w:rFonts w:eastAsia="Times New Roman" w:cs="Times New Roman"/>
          <w:lang w:eastAsia="de-DE"/>
        </w:rPr>
        <w:t>(seinen Ertrag) zeigt das Ergebnis der Arbeit.</w:t>
      </w:r>
    </w:p>
    <w:p w14:paraId="6094578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שש שנים</w:t>
      </w:r>
      <w:r w:rsidRPr="00CC6F7E">
        <w:rPr>
          <w:rFonts w:eastAsia="Times New Roman" w:cs="Times New Roman"/>
          <w:rtl/>
          <w:lang w:eastAsia="de-DE"/>
        </w:rPr>
        <w:t xml:space="preserve"> </w:t>
      </w:r>
      <w:r w:rsidRPr="00CC6F7E">
        <w:rPr>
          <w:rFonts w:eastAsia="Times New Roman" w:cs="Times New Roman"/>
          <w:lang w:eastAsia="de-DE"/>
        </w:rPr>
        <w:t xml:space="preserve">als Arbeitsperiode parallel zum sechstägigen Arbeitsrhythmus. </w:t>
      </w:r>
      <w:r w:rsidRPr="00CC6F7E">
        <w:rPr>
          <w:rFonts w:eastAsia="Times New Roman" w:cs="Times New Roman"/>
          <w:b/>
          <w:bCs/>
          <w:rtl/>
          <w:lang w:eastAsia="de-DE"/>
        </w:rPr>
        <w:t>תזרע...תזמר</w:t>
      </w:r>
      <w:r w:rsidRPr="00CC6F7E">
        <w:rPr>
          <w:rFonts w:eastAsia="Times New Roman" w:cs="Times New Roman"/>
          <w:rtl/>
          <w:lang w:eastAsia="de-DE"/>
        </w:rPr>
        <w:t xml:space="preserve"> </w:t>
      </w:r>
      <w:r w:rsidRPr="00CC6F7E">
        <w:rPr>
          <w:rFonts w:eastAsia="Times New Roman" w:cs="Times New Roman"/>
          <w:lang w:eastAsia="de-DE"/>
        </w:rPr>
        <w:t xml:space="preserve">zeigen die beiden Hauptkulturen. </w:t>
      </w:r>
      <w:r w:rsidRPr="00CC6F7E">
        <w:rPr>
          <w:rFonts w:eastAsia="Times New Roman" w:cs="Times New Roman"/>
          <w:b/>
          <w:bCs/>
          <w:rtl/>
          <w:lang w:eastAsia="de-DE"/>
        </w:rPr>
        <w:t>ואספת את־תבואתה</w:t>
      </w:r>
      <w:r w:rsidRPr="00CC6F7E">
        <w:rPr>
          <w:rFonts w:eastAsia="Times New Roman" w:cs="Times New Roman"/>
          <w:rtl/>
          <w:lang w:eastAsia="de-DE"/>
        </w:rPr>
        <w:t xml:space="preserve"> </w:t>
      </w:r>
      <w:r w:rsidRPr="00CC6F7E">
        <w:rPr>
          <w:rFonts w:eastAsia="Times New Roman" w:cs="Times New Roman"/>
          <w:lang w:eastAsia="de-DE"/>
        </w:rPr>
        <w:t>zeigt das Arbeitsergebnis.</w:t>
      </w:r>
    </w:p>
    <w:p w14:paraId="35EF34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שש 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ἓξ</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(sechs Jahre), </w:t>
      </w:r>
      <w:r w:rsidRPr="00CC6F7E">
        <w:rPr>
          <w:rFonts w:eastAsia="Times New Roman" w:cs="Times New Roman"/>
          <w:b/>
          <w:bCs/>
          <w:rtl/>
          <w:lang w:eastAsia="de-DE"/>
        </w:rPr>
        <w:t>תזרע שדך</w:t>
      </w:r>
      <w:r w:rsidRPr="00CC6F7E">
        <w:rPr>
          <w:rFonts w:eastAsia="Times New Roman" w:cs="Times New Roman"/>
          <w:rtl/>
          <w:lang w:eastAsia="de-DE"/>
        </w:rPr>
        <w:t xml:space="preserve"> </w:t>
      </w:r>
      <w:r w:rsidRPr="00CC6F7E">
        <w:rPr>
          <w:rFonts w:eastAsia="Times New Roman" w:cs="Times New Roman"/>
          <w:lang w:eastAsia="de-DE"/>
        </w:rPr>
        <w:t>mit σπ</w:t>
      </w:r>
      <w:proofErr w:type="spellStart"/>
      <w:r w:rsidRPr="00CC6F7E">
        <w:rPr>
          <w:rFonts w:eastAsia="Times New Roman" w:cs="Times New Roman"/>
          <w:lang w:eastAsia="de-DE"/>
        </w:rPr>
        <w:t>ερεῖς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ἀγρόν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(wirst du dein Feld säen), </w:t>
      </w:r>
      <w:r w:rsidRPr="00CC6F7E">
        <w:rPr>
          <w:rFonts w:eastAsia="Times New Roman" w:cs="Times New Roman"/>
          <w:b/>
          <w:bCs/>
          <w:rtl/>
          <w:lang w:eastAsia="de-DE"/>
        </w:rPr>
        <w:t>תזמר כרמך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κλ</w:t>
      </w:r>
      <w:proofErr w:type="spellEnd"/>
      <w:r w:rsidRPr="00CC6F7E">
        <w:rPr>
          <w:rFonts w:eastAsia="Times New Roman" w:cs="Times New Roman"/>
          <w:lang w:eastAsia="de-DE"/>
        </w:rPr>
        <w:t xml:space="preserve">αδεύσεις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ἄμ</w:t>
      </w:r>
      <w:proofErr w:type="spellEnd"/>
      <w:r w:rsidRPr="00CC6F7E">
        <w:rPr>
          <w:rFonts w:eastAsia="Times New Roman" w:cs="Times New Roman"/>
          <w:lang w:eastAsia="de-DE"/>
        </w:rPr>
        <w:t xml:space="preserve">πελόν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(wirst du deinen Weinstock beschneiden) und </w:t>
      </w:r>
      <w:r w:rsidRPr="00CC6F7E">
        <w:rPr>
          <w:rFonts w:eastAsia="Times New Roman" w:cs="Times New Roman"/>
          <w:b/>
          <w:bCs/>
          <w:rtl/>
          <w:lang w:eastAsia="de-DE"/>
        </w:rPr>
        <w:t>ואספת את־תבואתה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συνάξεις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καρπ</w:t>
      </w:r>
      <w:proofErr w:type="spellStart"/>
      <w:r w:rsidRPr="00CC6F7E">
        <w:rPr>
          <w:rFonts w:eastAsia="Times New Roman" w:cs="Times New Roman"/>
          <w:lang w:eastAsia="de-DE"/>
        </w:rPr>
        <w:t>ὸν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(wirst du ihre Frucht sammeln).</w:t>
      </w:r>
    </w:p>
    <w:p w14:paraId="34C99D5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sechsjährige Arbeitsperiode: sechs Jahre Feldsaat + sechs Jahre Rebenschnitt + Ertragseinsammlung.</w:t>
      </w:r>
    </w:p>
    <w:p w14:paraId="35A649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den normalen sechsjährigen landwirtschaftlichen Arbeitszyklus als Basis für das Sabbatjahr.</w:t>
      </w:r>
    </w:p>
    <w:p w14:paraId="475902B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w:t>
      </w:r>
    </w:p>
    <w:p w14:paraId="3CCA44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וּבַשָּׁנָ֣ה הַשְּׁבִיעִ֗ת שַׁבַּ֤ת שַׁבָּתוֹן֙ יִהְיֶ֣ה לָאָ֔רֶץ שַׁבָּ֖ת לַיהוָ֑ה שָֽׂדְךָ֙ לֹ֣א תִזְרָ֔ע וְכַרְמְךָ֖ לֹ֥א תִזְמֹֽר׃</w:t>
      </w:r>
    </w:p>
    <w:p w14:paraId="36BE65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Aber im siebten Jahr soll ein Schabbat der Ruhe für das Land sein, ein Schabbat für den Ewigen. Dein Feld sollst du nicht besäen und deinen Weinberg nicht beschneiden.</w:t>
      </w:r>
    </w:p>
    <w:p w14:paraId="413F675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324CF9A">
          <v:rect id="_x0000_i1752" style="width:0;height:1.5pt" o:hralign="center" o:hrstd="t" o:hr="t" fillcolor="#a0a0a0" stroked="f"/>
        </w:pict>
      </w:r>
    </w:p>
    <w:p w14:paraId="386BA68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ובשנה השביעת שבת שבתון יהיה לארץ שבת ליהוה שדך לא תזרע וכרמך לא תזמר</w:t>
      </w:r>
      <w:r w:rsidRPr="00CC6F7E">
        <w:rPr>
          <w:rFonts w:eastAsia="Times New Roman" w:cs="Times New Roman"/>
          <w:rtl/>
          <w:lang w:eastAsia="de-DE"/>
        </w:rPr>
        <w:t xml:space="preserve"> </w:t>
      </w:r>
      <w:r w:rsidRPr="00CC6F7E">
        <w:rPr>
          <w:rFonts w:eastAsia="Times New Roman" w:cs="Times New Roman"/>
          <w:lang w:eastAsia="de-DE"/>
        </w:rPr>
        <w:t xml:space="preserve">etabliert das siebte Jahr als Landschabbat. </w:t>
      </w:r>
      <w:r w:rsidRPr="00CC6F7E">
        <w:rPr>
          <w:rFonts w:eastAsia="Times New Roman" w:cs="Times New Roman"/>
          <w:b/>
          <w:bCs/>
          <w:rtl/>
          <w:lang w:eastAsia="de-DE"/>
        </w:rPr>
        <w:t>ובשנה השביעת</w:t>
      </w:r>
      <w:r w:rsidRPr="00CC6F7E">
        <w:rPr>
          <w:rFonts w:eastAsia="Times New Roman" w:cs="Times New Roman"/>
          <w:rtl/>
          <w:lang w:eastAsia="de-DE"/>
        </w:rPr>
        <w:t xml:space="preserve"> </w:t>
      </w:r>
      <w:r w:rsidRPr="00CC6F7E">
        <w:rPr>
          <w:rFonts w:eastAsia="Times New Roman" w:cs="Times New Roman"/>
          <w:lang w:eastAsia="de-DE"/>
        </w:rPr>
        <w:t xml:space="preserve">(aber im siebten Jahr) zeigt den Gegensatz zu den sechs Arbeitsjahren. </w:t>
      </w:r>
      <w:r w:rsidRPr="00CC6F7E">
        <w:rPr>
          <w:rFonts w:eastAsia="Times New Roman" w:cs="Times New Roman"/>
          <w:b/>
          <w:bCs/>
          <w:rtl/>
          <w:lang w:eastAsia="de-DE"/>
        </w:rPr>
        <w:t>שבת שבתון יהיה לארץ</w:t>
      </w:r>
      <w:r w:rsidRPr="00CC6F7E">
        <w:rPr>
          <w:rFonts w:eastAsia="Times New Roman" w:cs="Times New Roman"/>
          <w:rtl/>
          <w:lang w:eastAsia="de-DE"/>
        </w:rPr>
        <w:t xml:space="preserve"> </w:t>
      </w:r>
      <w:r w:rsidRPr="00CC6F7E">
        <w:rPr>
          <w:rFonts w:eastAsia="Times New Roman" w:cs="Times New Roman"/>
          <w:lang w:eastAsia="de-DE"/>
        </w:rPr>
        <w:t xml:space="preserve">(soll ein Schabbat der Ruhe für das Land sein) - </w:t>
      </w: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 xml:space="preserve">entspricht 23,3 als verstärkte Sabbatruhe-Formel. </w:t>
      </w:r>
      <w:r w:rsidRPr="00CC6F7E">
        <w:rPr>
          <w:rFonts w:eastAsia="Times New Roman" w:cs="Times New Roman"/>
          <w:b/>
          <w:bCs/>
          <w:rtl/>
          <w:lang w:eastAsia="de-DE"/>
        </w:rPr>
        <w:t>לארץ</w:t>
      </w:r>
      <w:r w:rsidRPr="00CC6F7E">
        <w:rPr>
          <w:rFonts w:eastAsia="Times New Roman" w:cs="Times New Roman"/>
          <w:rtl/>
          <w:lang w:eastAsia="de-DE"/>
        </w:rPr>
        <w:t xml:space="preserve"> </w:t>
      </w:r>
      <w:r w:rsidRPr="00CC6F7E">
        <w:rPr>
          <w:rFonts w:eastAsia="Times New Roman" w:cs="Times New Roman"/>
          <w:lang w:eastAsia="de-DE"/>
        </w:rPr>
        <w:t>zeigt das Land als Subjekt der Ruhe.</w:t>
      </w:r>
    </w:p>
    <w:p w14:paraId="14E07E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שבת ליהוה</w:t>
      </w:r>
      <w:r w:rsidRPr="00CC6F7E">
        <w:rPr>
          <w:rFonts w:eastAsia="Times New Roman" w:cs="Times New Roman"/>
          <w:rtl/>
          <w:lang w:eastAsia="de-DE"/>
        </w:rPr>
        <w:t xml:space="preserve"> </w:t>
      </w:r>
      <w:r w:rsidRPr="00CC6F7E">
        <w:rPr>
          <w:rFonts w:eastAsia="Times New Roman" w:cs="Times New Roman"/>
          <w:lang w:eastAsia="de-DE"/>
        </w:rPr>
        <w:t xml:space="preserve">(ein Schabbat für den Ewigen) wiederholt V. 2 und zeigt göttliche Bestimmung. </w:t>
      </w:r>
      <w:r w:rsidRPr="00CC6F7E">
        <w:rPr>
          <w:rFonts w:eastAsia="Times New Roman" w:cs="Times New Roman"/>
          <w:b/>
          <w:bCs/>
          <w:rtl/>
          <w:lang w:eastAsia="de-DE"/>
        </w:rPr>
        <w:t>שדך לא תזרע וכרמך לא תזמר</w:t>
      </w:r>
      <w:r w:rsidRPr="00CC6F7E">
        <w:rPr>
          <w:rFonts w:eastAsia="Times New Roman" w:cs="Times New Roman"/>
          <w:rtl/>
          <w:lang w:eastAsia="de-DE"/>
        </w:rPr>
        <w:t xml:space="preserve"> </w:t>
      </w:r>
      <w:r w:rsidRPr="00CC6F7E">
        <w:rPr>
          <w:rFonts w:eastAsia="Times New Roman" w:cs="Times New Roman"/>
          <w:lang w:eastAsia="de-DE"/>
        </w:rPr>
        <w:t>(dein Feld sollst du nicht besäen und deinen Weinberg nicht beschneiden) verbietet die beiden Haupttätigkeiten aus V. 3.</w:t>
      </w:r>
    </w:p>
    <w:p w14:paraId="0371596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 xml:space="preserve">als höchste Ruheintensität entspricht dem wöchentlichen Schabbat und Versöhnungstag. </w:t>
      </w:r>
      <w:r w:rsidRPr="00CC6F7E">
        <w:rPr>
          <w:rFonts w:eastAsia="Times New Roman" w:cs="Times New Roman"/>
          <w:b/>
          <w:bCs/>
          <w:rtl/>
          <w:lang w:eastAsia="de-DE"/>
        </w:rPr>
        <w:t>לארץ</w:t>
      </w:r>
      <w:r w:rsidRPr="00CC6F7E">
        <w:rPr>
          <w:rFonts w:eastAsia="Times New Roman" w:cs="Times New Roman"/>
          <w:rtl/>
          <w:lang w:eastAsia="de-DE"/>
        </w:rPr>
        <w:t xml:space="preserve"> </w:t>
      </w:r>
      <w:r w:rsidRPr="00CC6F7E">
        <w:rPr>
          <w:rFonts w:eastAsia="Times New Roman" w:cs="Times New Roman"/>
          <w:lang w:eastAsia="de-DE"/>
        </w:rPr>
        <w:t xml:space="preserve">zeigt das Land als Ruhesubjekt. </w:t>
      </w:r>
      <w:r w:rsidRPr="00CC6F7E">
        <w:rPr>
          <w:rFonts w:eastAsia="Times New Roman" w:cs="Times New Roman"/>
          <w:b/>
          <w:bCs/>
          <w:rtl/>
          <w:lang w:eastAsia="de-DE"/>
        </w:rPr>
        <w:t>לא תזרע...לא תזמר</w:t>
      </w:r>
      <w:r w:rsidRPr="00CC6F7E">
        <w:rPr>
          <w:rFonts w:eastAsia="Times New Roman" w:cs="Times New Roman"/>
          <w:rtl/>
          <w:lang w:eastAsia="de-DE"/>
        </w:rPr>
        <w:t xml:space="preserve"> </w:t>
      </w:r>
      <w:r w:rsidRPr="00CC6F7E">
        <w:rPr>
          <w:rFonts w:eastAsia="Times New Roman" w:cs="Times New Roman"/>
          <w:lang w:eastAsia="de-DE"/>
        </w:rPr>
        <w:t>verbietet aktive Landwirtschaft.</w:t>
      </w:r>
    </w:p>
    <w:p w14:paraId="2E7FBD6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ובשנה השביעת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δὲ</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ἔτει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ἑβ</w:t>
      </w:r>
      <w:proofErr w:type="spellStart"/>
      <w:r w:rsidRPr="00CC6F7E">
        <w:rPr>
          <w:rFonts w:eastAsia="Times New Roman" w:cs="Times New Roman"/>
          <w:lang w:eastAsia="de-DE"/>
        </w:rPr>
        <w:t>δόμῳ</w:t>
      </w:r>
      <w:proofErr w:type="spellEnd"/>
      <w:r w:rsidRPr="00CC6F7E">
        <w:rPr>
          <w:rFonts w:eastAsia="Times New Roman" w:cs="Times New Roman"/>
          <w:lang w:eastAsia="de-DE"/>
        </w:rPr>
        <w:t xml:space="preserve"> (im siebten Jahr aber), </w:t>
      </w: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σά</w:t>
      </w:r>
      <w:proofErr w:type="spellEnd"/>
      <w:r w:rsidRPr="00CC6F7E">
        <w:rPr>
          <w:rFonts w:eastAsia="Times New Roman" w:cs="Times New Roman"/>
          <w:lang w:eastAsia="de-DE"/>
        </w:rPr>
        <w:t xml:space="preserve">ββατα </w:t>
      </w:r>
      <w:proofErr w:type="spellStart"/>
      <w:r w:rsidRPr="00CC6F7E">
        <w:rPr>
          <w:rFonts w:eastAsia="Times New Roman" w:cs="Times New Roman"/>
          <w:lang w:eastAsia="de-DE"/>
        </w:rPr>
        <w:t>ἀνά</w:t>
      </w:r>
      <w:proofErr w:type="spellEnd"/>
      <w:r w:rsidRPr="00CC6F7E">
        <w:rPr>
          <w:rFonts w:eastAsia="Times New Roman" w:cs="Times New Roman"/>
          <w:lang w:eastAsia="de-DE"/>
        </w:rPr>
        <w:t xml:space="preserve">παυσις (Sabbat der Ruhe), </w:t>
      </w:r>
      <w:r w:rsidRPr="00CC6F7E">
        <w:rPr>
          <w:rFonts w:eastAsia="Times New Roman" w:cs="Times New Roman"/>
          <w:b/>
          <w:bCs/>
          <w:rtl/>
          <w:lang w:eastAsia="de-DE"/>
        </w:rPr>
        <w:t>לארץ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γῇ</w:t>
      </w:r>
      <w:proofErr w:type="spellEnd"/>
      <w:r w:rsidRPr="00CC6F7E">
        <w:rPr>
          <w:rFonts w:eastAsia="Times New Roman" w:cs="Times New Roman"/>
          <w:lang w:eastAsia="de-DE"/>
        </w:rPr>
        <w:t xml:space="preserve"> (dem Land), </w:t>
      </w:r>
      <w:r w:rsidRPr="00CC6F7E">
        <w:rPr>
          <w:rFonts w:eastAsia="Times New Roman" w:cs="Times New Roman"/>
          <w:b/>
          <w:bCs/>
          <w:rtl/>
          <w:lang w:eastAsia="de-DE"/>
        </w:rPr>
        <w:t>שבת ליהוה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σά</w:t>
      </w:r>
      <w:proofErr w:type="spellEnd"/>
      <w:r w:rsidRPr="00CC6F7E">
        <w:rPr>
          <w:rFonts w:eastAsia="Times New Roman" w:cs="Times New Roman"/>
          <w:lang w:eastAsia="de-DE"/>
        </w:rPr>
        <w:t xml:space="preserve">ββατα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κυρίῳ</w:t>
      </w:r>
      <w:proofErr w:type="spellEnd"/>
      <w:r w:rsidRPr="00CC6F7E">
        <w:rPr>
          <w:rFonts w:eastAsia="Times New Roman" w:cs="Times New Roman"/>
          <w:lang w:eastAsia="de-DE"/>
        </w:rPr>
        <w:t xml:space="preserve"> (Sabbate dem Herrn).</w:t>
      </w:r>
    </w:p>
    <w:p w14:paraId="7592E5D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Sabbatjahr-Ordnung: siebtes Jahr + </w:t>
      </w: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für das Land + Schabbat für JHWH + Verbot der Haupttätigkeiten.</w:t>
      </w:r>
    </w:p>
    <w:p w14:paraId="1F889B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das siebte Jahr als </w:t>
      </w: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für das Land mit Verbot der landwirtschaftlichen Haupttätigkeiten.</w:t>
      </w:r>
    </w:p>
    <w:p w14:paraId="01ADF1A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w:t>
      </w:r>
    </w:p>
    <w:p w14:paraId="091B29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אֵ֣ת סְפִ֤יחַ קְצִֽירְךָ֙ לֹ֣א תִקְצ֔וֹר וְאֶת־עִנְּבֵ֥י נְזִירֶ֖ךָ לֹ֣א תִבְצֹ֑ר שְׁנַ֥ת שַׁבָּת֖וֹן יִהְיֶ֥ה לָאָֽרֶץ׃</w:t>
      </w:r>
    </w:p>
    <w:p w14:paraId="720ED55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Den Nachwuchs deiner Ernte sollst du nicht ernten, und die Trauben deines unbeschnittenen Weinstocks sollst du nicht lesen. Ein Jahr der Ruhe soll es für das Land sein.</w:t>
      </w:r>
    </w:p>
    <w:p w14:paraId="3E1C35E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01AF59D">
          <v:rect id="_x0000_i1753" style="width:0;height:1.5pt" o:hralign="center" o:hrstd="t" o:hr="t" fillcolor="#a0a0a0" stroked="f"/>
        </w:pict>
      </w:r>
    </w:p>
    <w:p w14:paraId="5B4DBE6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את ספיח קצירך לא תקצור ואת־ענבי נזירך לא תבצר שנת שבתון יהיה לארץ</w:t>
      </w:r>
      <w:r w:rsidRPr="00CC6F7E">
        <w:rPr>
          <w:rFonts w:eastAsia="Times New Roman" w:cs="Times New Roman"/>
          <w:rtl/>
          <w:lang w:eastAsia="de-DE"/>
        </w:rPr>
        <w:t xml:space="preserve"> </w:t>
      </w:r>
      <w:r w:rsidRPr="00CC6F7E">
        <w:rPr>
          <w:rFonts w:eastAsia="Times New Roman" w:cs="Times New Roman"/>
          <w:lang w:eastAsia="de-DE"/>
        </w:rPr>
        <w:t xml:space="preserve">verbietet auch die Ernte von Selbstgewachsenem. </w:t>
      </w:r>
      <w:r w:rsidRPr="00CC6F7E">
        <w:rPr>
          <w:rFonts w:eastAsia="Times New Roman" w:cs="Times New Roman"/>
          <w:b/>
          <w:bCs/>
          <w:rtl/>
          <w:lang w:eastAsia="de-DE"/>
        </w:rPr>
        <w:t>את ספיח קצירך לא תקצור</w:t>
      </w:r>
      <w:r w:rsidRPr="00CC6F7E">
        <w:rPr>
          <w:rFonts w:eastAsia="Times New Roman" w:cs="Times New Roman"/>
          <w:rtl/>
          <w:lang w:eastAsia="de-DE"/>
        </w:rPr>
        <w:t xml:space="preserve"> </w:t>
      </w:r>
      <w:r w:rsidRPr="00CC6F7E">
        <w:rPr>
          <w:rFonts w:eastAsia="Times New Roman" w:cs="Times New Roman"/>
          <w:lang w:eastAsia="de-DE"/>
        </w:rPr>
        <w:t xml:space="preserve">(den Nachwuchs deiner Ernte sollst du nicht ernten) - </w:t>
      </w:r>
      <w:r w:rsidRPr="00CC6F7E">
        <w:rPr>
          <w:rFonts w:eastAsia="Times New Roman" w:cs="Times New Roman"/>
          <w:b/>
          <w:bCs/>
          <w:rtl/>
          <w:lang w:eastAsia="de-DE"/>
        </w:rPr>
        <w:t>ספיח</w:t>
      </w:r>
      <w:r w:rsidRPr="00CC6F7E">
        <w:rPr>
          <w:rFonts w:eastAsia="Times New Roman" w:cs="Times New Roman"/>
          <w:rtl/>
          <w:lang w:eastAsia="de-DE"/>
        </w:rPr>
        <w:t xml:space="preserve"> </w:t>
      </w:r>
      <w:r w:rsidRPr="00CC6F7E">
        <w:rPr>
          <w:rFonts w:eastAsia="Times New Roman" w:cs="Times New Roman"/>
          <w:lang w:eastAsia="de-DE"/>
        </w:rPr>
        <w:t xml:space="preserve">(Nachwuchs/Selbstgewachsenes) zeigt spontanes Wachstum aus vorjährigem Samen. </w:t>
      </w:r>
      <w:r w:rsidRPr="00CC6F7E">
        <w:rPr>
          <w:rFonts w:eastAsia="Times New Roman" w:cs="Times New Roman"/>
          <w:b/>
          <w:bCs/>
          <w:rtl/>
          <w:lang w:eastAsia="de-DE"/>
        </w:rPr>
        <w:t>קצירך</w:t>
      </w:r>
      <w:r w:rsidRPr="00CC6F7E">
        <w:rPr>
          <w:rFonts w:eastAsia="Times New Roman" w:cs="Times New Roman"/>
          <w:rtl/>
          <w:lang w:eastAsia="de-DE"/>
        </w:rPr>
        <w:t xml:space="preserve"> </w:t>
      </w:r>
      <w:r w:rsidRPr="00CC6F7E">
        <w:rPr>
          <w:rFonts w:eastAsia="Times New Roman" w:cs="Times New Roman"/>
          <w:lang w:eastAsia="de-DE"/>
        </w:rPr>
        <w:t xml:space="preserve">(deiner Ernte) zeigt Besitzbezug. </w:t>
      </w:r>
      <w:r w:rsidRPr="00CC6F7E">
        <w:rPr>
          <w:rFonts w:eastAsia="Times New Roman" w:cs="Times New Roman"/>
          <w:b/>
          <w:bCs/>
          <w:rtl/>
          <w:lang w:eastAsia="de-DE"/>
        </w:rPr>
        <w:t>לא תקצור</w:t>
      </w:r>
      <w:r w:rsidRPr="00CC6F7E">
        <w:rPr>
          <w:rFonts w:eastAsia="Times New Roman" w:cs="Times New Roman"/>
          <w:rtl/>
          <w:lang w:eastAsia="de-DE"/>
        </w:rPr>
        <w:t xml:space="preserve"> </w:t>
      </w:r>
      <w:r w:rsidRPr="00CC6F7E">
        <w:rPr>
          <w:rFonts w:eastAsia="Times New Roman" w:cs="Times New Roman"/>
          <w:lang w:eastAsia="de-DE"/>
        </w:rPr>
        <w:t>(sollst du nicht ernten) im Qal-Imperfekt verbietet organisierte Ernte.</w:t>
      </w:r>
    </w:p>
    <w:p w14:paraId="508E788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ואת־ענבי נזירך לא תבצר</w:t>
      </w:r>
      <w:r w:rsidRPr="00CC6F7E">
        <w:rPr>
          <w:rFonts w:eastAsia="Times New Roman" w:cs="Times New Roman"/>
          <w:rtl/>
          <w:lang w:eastAsia="de-DE"/>
        </w:rPr>
        <w:t xml:space="preserve"> </w:t>
      </w:r>
      <w:r w:rsidRPr="00CC6F7E">
        <w:rPr>
          <w:rFonts w:eastAsia="Times New Roman" w:cs="Times New Roman"/>
          <w:lang w:eastAsia="de-DE"/>
        </w:rPr>
        <w:t xml:space="preserve">(und die Trauben deines unbeschnittenen Weinstocks sollst du nicht lesen) - </w:t>
      </w:r>
      <w:r w:rsidRPr="00CC6F7E">
        <w:rPr>
          <w:rFonts w:eastAsia="Times New Roman" w:cs="Times New Roman"/>
          <w:b/>
          <w:bCs/>
          <w:rtl/>
          <w:lang w:eastAsia="de-DE"/>
        </w:rPr>
        <w:t>ענבי נזירך</w:t>
      </w:r>
      <w:r w:rsidRPr="00CC6F7E">
        <w:rPr>
          <w:rFonts w:eastAsia="Times New Roman" w:cs="Times New Roman"/>
          <w:rtl/>
          <w:lang w:eastAsia="de-DE"/>
        </w:rPr>
        <w:t xml:space="preserve"> </w:t>
      </w:r>
      <w:r w:rsidRPr="00CC6F7E">
        <w:rPr>
          <w:rFonts w:eastAsia="Times New Roman" w:cs="Times New Roman"/>
          <w:lang w:eastAsia="de-DE"/>
        </w:rPr>
        <w:t xml:space="preserve">(Trauben deines </w:t>
      </w:r>
      <w:r w:rsidRPr="00CC6F7E">
        <w:rPr>
          <w:rFonts w:eastAsia="Times New Roman" w:cs="Times New Roman"/>
          <w:b/>
          <w:bCs/>
          <w:rtl/>
          <w:lang w:eastAsia="de-DE"/>
        </w:rPr>
        <w:t>נזיר</w:t>
      </w:r>
      <w:r w:rsidRPr="00CC6F7E">
        <w:rPr>
          <w:rFonts w:eastAsia="Times New Roman" w:cs="Times New Roman"/>
          <w:lang w:eastAsia="de-DE"/>
        </w:rPr>
        <w:t xml:space="preserve">) - </w:t>
      </w:r>
      <w:r w:rsidRPr="00CC6F7E">
        <w:rPr>
          <w:rFonts w:eastAsia="Times New Roman" w:cs="Times New Roman"/>
          <w:b/>
          <w:bCs/>
          <w:rtl/>
          <w:lang w:eastAsia="de-DE"/>
        </w:rPr>
        <w:t>נזיר</w:t>
      </w:r>
      <w:r w:rsidRPr="00CC6F7E">
        <w:rPr>
          <w:rFonts w:eastAsia="Times New Roman" w:cs="Times New Roman"/>
          <w:rtl/>
          <w:lang w:eastAsia="de-DE"/>
        </w:rPr>
        <w:t xml:space="preserve"> </w:t>
      </w:r>
      <w:r w:rsidRPr="00CC6F7E">
        <w:rPr>
          <w:rFonts w:eastAsia="Times New Roman" w:cs="Times New Roman"/>
          <w:lang w:eastAsia="de-DE"/>
        </w:rPr>
        <w:t xml:space="preserve">(unbeschnittener Weinstock) von </w:t>
      </w:r>
      <w:r w:rsidRPr="00CC6F7E">
        <w:rPr>
          <w:rFonts w:eastAsia="Times New Roman" w:cs="Times New Roman"/>
          <w:b/>
          <w:bCs/>
          <w:rtl/>
          <w:lang w:eastAsia="de-DE"/>
        </w:rPr>
        <w:t>נזר</w:t>
      </w:r>
      <w:r w:rsidRPr="00CC6F7E">
        <w:rPr>
          <w:rFonts w:eastAsia="Times New Roman" w:cs="Times New Roman"/>
          <w:rtl/>
          <w:lang w:eastAsia="de-DE"/>
        </w:rPr>
        <w:t xml:space="preserve"> </w:t>
      </w:r>
      <w:r w:rsidRPr="00CC6F7E">
        <w:rPr>
          <w:rFonts w:eastAsia="Times New Roman" w:cs="Times New Roman"/>
          <w:lang w:eastAsia="de-DE"/>
        </w:rPr>
        <w:t xml:space="preserve">(sich enthalten) zeigt ungeschnittene Reben. </w:t>
      </w:r>
      <w:r w:rsidRPr="00CC6F7E">
        <w:rPr>
          <w:rFonts w:eastAsia="Times New Roman" w:cs="Times New Roman"/>
          <w:b/>
          <w:bCs/>
          <w:rtl/>
          <w:lang w:eastAsia="de-DE"/>
        </w:rPr>
        <w:t>לא תבצר</w:t>
      </w:r>
      <w:r w:rsidRPr="00CC6F7E">
        <w:rPr>
          <w:rFonts w:eastAsia="Times New Roman" w:cs="Times New Roman"/>
          <w:rtl/>
          <w:lang w:eastAsia="de-DE"/>
        </w:rPr>
        <w:t xml:space="preserve"> </w:t>
      </w:r>
      <w:r w:rsidRPr="00CC6F7E">
        <w:rPr>
          <w:rFonts w:eastAsia="Times New Roman" w:cs="Times New Roman"/>
          <w:lang w:eastAsia="de-DE"/>
        </w:rPr>
        <w:t xml:space="preserve">(sollst du nicht lesen) im Qal-Imperfekt von </w:t>
      </w:r>
      <w:r w:rsidRPr="00CC6F7E">
        <w:rPr>
          <w:rFonts w:eastAsia="Times New Roman" w:cs="Times New Roman"/>
          <w:b/>
          <w:bCs/>
          <w:rtl/>
          <w:lang w:eastAsia="de-DE"/>
        </w:rPr>
        <w:t>בצר</w:t>
      </w:r>
      <w:r w:rsidRPr="00CC6F7E">
        <w:rPr>
          <w:rFonts w:eastAsia="Times New Roman" w:cs="Times New Roman"/>
          <w:rtl/>
          <w:lang w:eastAsia="de-DE"/>
        </w:rPr>
        <w:t xml:space="preserve"> </w:t>
      </w:r>
      <w:r w:rsidRPr="00CC6F7E">
        <w:rPr>
          <w:rFonts w:eastAsia="Times New Roman" w:cs="Times New Roman"/>
          <w:lang w:eastAsia="de-DE"/>
        </w:rPr>
        <w:t>verbietet Weinlese.</w:t>
      </w:r>
    </w:p>
    <w:p w14:paraId="04B341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שנת שבתון יהיה לארץ</w:t>
      </w:r>
      <w:r w:rsidRPr="00CC6F7E">
        <w:rPr>
          <w:rFonts w:eastAsia="Times New Roman" w:cs="Times New Roman"/>
          <w:rtl/>
          <w:lang w:eastAsia="de-DE"/>
        </w:rPr>
        <w:t xml:space="preserve"> </w:t>
      </w:r>
      <w:r w:rsidRPr="00CC6F7E">
        <w:rPr>
          <w:rFonts w:eastAsia="Times New Roman" w:cs="Times New Roman"/>
          <w:lang w:eastAsia="de-DE"/>
        </w:rPr>
        <w:t xml:space="preserve">(ein Jahr der Ruhe soll es für das Land sein) bekräftigt V. 4 mit </w:t>
      </w:r>
      <w:r w:rsidRPr="00CC6F7E">
        <w:rPr>
          <w:rFonts w:eastAsia="Times New Roman" w:cs="Times New Roman"/>
          <w:b/>
          <w:bCs/>
          <w:rtl/>
          <w:lang w:eastAsia="de-DE"/>
        </w:rPr>
        <w:t>שנת שבתון</w:t>
      </w:r>
      <w:r w:rsidRPr="00CC6F7E">
        <w:rPr>
          <w:rFonts w:eastAsia="Times New Roman" w:cs="Times New Roman"/>
          <w:rtl/>
          <w:lang w:eastAsia="de-DE"/>
        </w:rPr>
        <w:t xml:space="preserve"> </w:t>
      </w:r>
      <w:r w:rsidRPr="00CC6F7E">
        <w:rPr>
          <w:rFonts w:eastAsia="Times New Roman" w:cs="Times New Roman"/>
          <w:lang w:eastAsia="de-DE"/>
        </w:rPr>
        <w:t>(Jahr der Ruhe) als zusammenfassende Bezeichnung.</w:t>
      </w:r>
    </w:p>
    <w:p w14:paraId="6BE06B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ספיח</w:t>
      </w:r>
      <w:r w:rsidRPr="00CC6F7E">
        <w:rPr>
          <w:rFonts w:eastAsia="Times New Roman" w:cs="Times New Roman"/>
          <w:rtl/>
          <w:lang w:eastAsia="de-DE"/>
        </w:rPr>
        <w:t xml:space="preserve"> </w:t>
      </w:r>
      <w:r w:rsidRPr="00CC6F7E">
        <w:rPr>
          <w:rFonts w:eastAsia="Times New Roman" w:cs="Times New Roman"/>
          <w:lang w:eastAsia="de-DE"/>
        </w:rPr>
        <w:t xml:space="preserve">zeigt Selbstgewachsenes vs. </w:t>
      </w:r>
      <w:r w:rsidRPr="00CC6F7E">
        <w:rPr>
          <w:rFonts w:eastAsia="Times New Roman" w:cs="Times New Roman"/>
          <w:b/>
          <w:bCs/>
          <w:rtl/>
          <w:lang w:eastAsia="de-DE"/>
        </w:rPr>
        <w:t>זרע</w:t>
      </w:r>
      <w:r w:rsidRPr="00CC6F7E">
        <w:rPr>
          <w:rFonts w:eastAsia="Times New Roman" w:cs="Times New Roman"/>
          <w:rtl/>
          <w:lang w:eastAsia="de-DE"/>
        </w:rPr>
        <w:t xml:space="preserve"> </w:t>
      </w:r>
      <w:r w:rsidRPr="00CC6F7E">
        <w:rPr>
          <w:rFonts w:eastAsia="Times New Roman" w:cs="Times New Roman"/>
          <w:lang w:eastAsia="de-DE"/>
        </w:rPr>
        <w:t xml:space="preserve">(Gesätes). </w:t>
      </w:r>
      <w:r w:rsidRPr="00CC6F7E">
        <w:rPr>
          <w:rFonts w:eastAsia="Times New Roman" w:cs="Times New Roman"/>
          <w:b/>
          <w:bCs/>
          <w:rtl/>
          <w:lang w:eastAsia="de-DE"/>
        </w:rPr>
        <w:t>נזיר</w:t>
      </w:r>
      <w:r w:rsidRPr="00CC6F7E">
        <w:rPr>
          <w:rFonts w:eastAsia="Times New Roman" w:cs="Times New Roman"/>
          <w:rtl/>
          <w:lang w:eastAsia="de-DE"/>
        </w:rPr>
        <w:t xml:space="preserve"> </w:t>
      </w:r>
      <w:r w:rsidRPr="00CC6F7E">
        <w:rPr>
          <w:rFonts w:eastAsia="Times New Roman" w:cs="Times New Roman"/>
          <w:lang w:eastAsia="de-DE"/>
        </w:rPr>
        <w:t xml:space="preserve">zeigt unbeschnittene Reben vs. </w:t>
      </w:r>
      <w:r w:rsidRPr="00CC6F7E">
        <w:rPr>
          <w:rFonts w:eastAsia="Times New Roman" w:cs="Times New Roman"/>
          <w:b/>
          <w:bCs/>
          <w:rtl/>
          <w:lang w:eastAsia="de-DE"/>
        </w:rPr>
        <w:t>זמר</w:t>
      </w:r>
      <w:r w:rsidRPr="00CC6F7E">
        <w:rPr>
          <w:rFonts w:eastAsia="Times New Roman" w:cs="Times New Roman"/>
          <w:rtl/>
          <w:lang w:eastAsia="de-DE"/>
        </w:rPr>
        <w:t xml:space="preserve"> </w:t>
      </w:r>
      <w:r w:rsidRPr="00CC6F7E">
        <w:rPr>
          <w:rFonts w:eastAsia="Times New Roman" w:cs="Times New Roman"/>
          <w:lang w:eastAsia="de-DE"/>
        </w:rPr>
        <w:t xml:space="preserve">(Beschnittene). </w:t>
      </w:r>
      <w:r w:rsidRPr="00CC6F7E">
        <w:rPr>
          <w:rFonts w:eastAsia="Times New Roman" w:cs="Times New Roman"/>
          <w:b/>
          <w:bCs/>
          <w:rtl/>
          <w:lang w:eastAsia="de-DE"/>
        </w:rPr>
        <w:t>שנת שבתון</w:t>
      </w:r>
      <w:r w:rsidRPr="00CC6F7E">
        <w:rPr>
          <w:rFonts w:eastAsia="Times New Roman" w:cs="Times New Roman"/>
          <w:rtl/>
          <w:lang w:eastAsia="de-DE"/>
        </w:rPr>
        <w:t xml:space="preserve"> </w:t>
      </w:r>
      <w:r w:rsidRPr="00CC6F7E">
        <w:rPr>
          <w:rFonts w:eastAsia="Times New Roman" w:cs="Times New Roman"/>
          <w:lang w:eastAsia="de-DE"/>
        </w:rPr>
        <w:t>als Jahresbezeichnung.</w:t>
      </w:r>
    </w:p>
    <w:p w14:paraId="1B86F79E" w14:textId="6D048B03"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ספיח</w:t>
      </w:r>
      <w:r w:rsidR="009104A2">
        <w:t xml:space="preserve"> (</w:t>
      </w:r>
      <w:proofErr w:type="spellStart"/>
      <w:r w:rsidR="009104A2">
        <w:t>safiach</w:t>
      </w:r>
      <w:proofErr w:type="spellEnd"/>
      <w:r w:rsidR="009104A2">
        <w:t xml:space="preserve"> - "Nachwuchs") als </w:t>
      </w:r>
      <w:proofErr w:type="spellStart"/>
      <w:r w:rsidR="009104A2">
        <w:t>τὰ</w:t>
      </w:r>
      <w:proofErr w:type="spellEnd"/>
      <w:r w:rsidR="009104A2">
        <w:t xml:space="preserve"> α</w:t>
      </w:r>
      <w:proofErr w:type="spellStart"/>
      <w:r w:rsidR="009104A2">
        <w:t>ὐτόμ</w:t>
      </w:r>
      <w:proofErr w:type="spellEnd"/>
      <w:r w:rsidR="009104A2">
        <w:t xml:space="preserve">ατα </w:t>
      </w:r>
      <w:proofErr w:type="spellStart"/>
      <w:r w:rsidR="009104A2">
        <w:t>τὰ</w:t>
      </w:r>
      <w:proofErr w:type="spellEnd"/>
      <w:r w:rsidR="009104A2">
        <w:t xml:space="preserve"> </w:t>
      </w:r>
      <w:proofErr w:type="spellStart"/>
      <w:r w:rsidR="009104A2">
        <w:t>ἀν</w:t>
      </w:r>
      <w:proofErr w:type="spellEnd"/>
      <w:r w:rsidR="009104A2">
        <w:t xml:space="preserve">αβαίνοντα (das von selbst Aufgehende) und </w:t>
      </w:r>
      <w:r w:rsidR="009104A2">
        <w:rPr>
          <w:rtl/>
        </w:rPr>
        <w:t>נזיר</w:t>
      </w:r>
      <w:r w:rsidR="009104A2">
        <w:t xml:space="preserve"> (</w:t>
      </w:r>
      <w:proofErr w:type="spellStart"/>
      <w:r w:rsidR="009104A2">
        <w:t>nazir</w:t>
      </w:r>
      <w:proofErr w:type="spellEnd"/>
      <w:r w:rsidR="009104A2">
        <w:t xml:space="preserve"> - "ungeschnittene Reben") als </w:t>
      </w:r>
      <w:proofErr w:type="spellStart"/>
      <w:r w:rsidR="009104A2">
        <w:t>τὸ</w:t>
      </w:r>
      <w:proofErr w:type="spellEnd"/>
      <w:r w:rsidR="009104A2">
        <w:t xml:space="preserve"> </w:t>
      </w:r>
      <w:proofErr w:type="spellStart"/>
      <w:r w:rsidR="009104A2">
        <w:t>ἁγί</w:t>
      </w:r>
      <w:proofErr w:type="spellEnd"/>
      <w:r w:rsidR="009104A2">
        <w:t>ασμα (das Geheiligte).</w:t>
      </w:r>
    </w:p>
    <w:p w14:paraId="23D61DF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Sabbatjahr-Ernteverbot: Verbot der Nachwuchs-Ernte + Verbot der Traubenlese von unbeschnittenen Reben + Jahr der Ruhe für das Land.</w:t>
      </w:r>
    </w:p>
    <w:p w14:paraId="6848AE6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verbietet auch die Ernte von Selbstgewachsenem und bekräftigt das Sabbatjahr als </w:t>
      </w:r>
      <w:r w:rsidRPr="00CC6F7E">
        <w:rPr>
          <w:rFonts w:eastAsia="Times New Roman" w:cs="Times New Roman"/>
          <w:b/>
          <w:bCs/>
          <w:rtl/>
          <w:lang w:eastAsia="de-DE"/>
        </w:rPr>
        <w:t>שנת שבתון</w:t>
      </w:r>
      <w:r w:rsidRPr="00CC6F7E">
        <w:rPr>
          <w:rFonts w:eastAsia="Times New Roman" w:cs="Times New Roman"/>
          <w:lang w:eastAsia="de-DE"/>
        </w:rPr>
        <w:t>.</w:t>
      </w:r>
    </w:p>
    <w:p w14:paraId="475864B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25,6</w:t>
      </w:r>
    </w:p>
    <w:p w14:paraId="251B8CA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וְ֠הָיְתָה שַׁבַּ֨ת הָאָ֤רֶץ לָכֶם֙ לְאָכְלָ֔ה לְךָ֖ וּלְעַבְדְּךָ֣ וְלַאֲמָתֶ֑ךָ וְלִשְׂכִֽירְךָ֙ וּלְתוֹשָׁ֣בְךָ֔ הַגָּרִ֖ים עִמָּֽךְ׃</w:t>
      </w:r>
    </w:p>
    <w:p w14:paraId="2CEFBE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der Schabbat des Landes soll euch zur Speise sein, dir und deinem Knecht und deiner Magd und deinem Tagelöhner und deinem Beisassen, die bei dir wohnen.</w:t>
      </w:r>
    </w:p>
    <w:p w14:paraId="047B94C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54D4EFD">
          <v:rect id="_x0000_i1754" style="width:0;height:1.5pt" o:hralign="center" o:hrstd="t" o:hr="t" fillcolor="#a0a0a0" stroked="f"/>
        </w:pict>
      </w:r>
    </w:p>
    <w:p w14:paraId="1406C57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והיתה שבת הארץ לכם לאכלה לך ולעבדך ולאמתך ולשכירך ולתושבך הגרים עמך</w:t>
      </w:r>
      <w:r w:rsidRPr="00CC6F7E">
        <w:rPr>
          <w:rFonts w:eastAsia="Times New Roman" w:cs="Times New Roman"/>
          <w:rtl/>
          <w:lang w:eastAsia="de-DE"/>
        </w:rPr>
        <w:t xml:space="preserve"> </w:t>
      </w:r>
      <w:r w:rsidRPr="00CC6F7E">
        <w:rPr>
          <w:rFonts w:eastAsia="Times New Roman" w:cs="Times New Roman"/>
          <w:lang w:eastAsia="de-DE"/>
        </w:rPr>
        <w:t xml:space="preserve">zeigt die erlaubte Nutzung des Sabbatjahr-Ertrags. </w:t>
      </w:r>
      <w:r w:rsidRPr="00CC6F7E">
        <w:rPr>
          <w:rFonts w:eastAsia="Times New Roman" w:cs="Times New Roman"/>
          <w:b/>
          <w:bCs/>
          <w:rtl/>
          <w:lang w:eastAsia="de-DE"/>
        </w:rPr>
        <w:t>והיתה שבת הארץ לכם לאכלה</w:t>
      </w:r>
      <w:r w:rsidRPr="00CC6F7E">
        <w:rPr>
          <w:rFonts w:eastAsia="Times New Roman" w:cs="Times New Roman"/>
          <w:rtl/>
          <w:lang w:eastAsia="de-DE"/>
        </w:rPr>
        <w:t xml:space="preserve"> </w:t>
      </w:r>
      <w:r w:rsidRPr="00CC6F7E">
        <w:rPr>
          <w:rFonts w:eastAsia="Times New Roman" w:cs="Times New Roman"/>
          <w:lang w:eastAsia="de-DE"/>
        </w:rPr>
        <w:t xml:space="preserve">(und der Schabbat des Landes soll euch zur Speise sein) - </w:t>
      </w:r>
      <w:r w:rsidRPr="00CC6F7E">
        <w:rPr>
          <w:rFonts w:eastAsia="Times New Roman" w:cs="Times New Roman"/>
          <w:b/>
          <w:bCs/>
          <w:rtl/>
          <w:lang w:eastAsia="de-DE"/>
        </w:rPr>
        <w:t>שבת הארץ</w:t>
      </w:r>
      <w:r w:rsidRPr="00CC6F7E">
        <w:rPr>
          <w:rFonts w:eastAsia="Times New Roman" w:cs="Times New Roman"/>
          <w:rtl/>
          <w:lang w:eastAsia="de-DE"/>
        </w:rPr>
        <w:t xml:space="preserve"> </w:t>
      </w:r>
      <w:r w:rsidRPr="00CC6F7E">
        <w:rPr>
          <w:rFonts w:eastAsia="Times New Roman" w:cs="Times New Roman"/>
          <w:lang w:eastAsia="de-DE"/>
        </w:rPr>
        <w:t xml:space="preserve">(Schabbat des Landes) zeigt das spontane Wachstum während der Landruhe. </w:t>
      </w:r>
      <w:r w:rsidRPr="00CC6F7E">
        <w:rPr>
          <w:rFonts w:eastAsia="Times New Roman" w:cs="Times New Roman"/>
          <w:b/>
          <w:bCs/>
          <w:rtl/>
          <w:lang w:eastAsia="de-DE"/>
        </w:rPr>
        <w:t>לכם לאכלה</w:t>
      </w:r>
      <w:r w:rsidRPr="00CC6F7E">
        <w:rPr>
          <w:rFonts w:eastAsia="Times New Roman" w:cs="Times New Roman"/>
          <w:rtl/>
          <w:lang w:eastAsia="de-DE"/>
        </w:rPr>
        <w:t xml:space="preserve"> </w:t>
      </w:r>
      <w:r w:rsidRPr="00CC6F7E">
        <w:rPr>
          <w:rFonts w:eastAsia="Times New Roman" w:cs="Times New Roman"/>
          <w:lang w:eastAsia="de-DE"/>
        </w:rPr>
        <w:t>(euch zur Speise) zeigt erlaubten Verzehr.</w:t>
      </w:r>
    </w:p>
    <w:p w14:paraId="62D180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 Aufzählung zeigt soziale Inklusion:</w:t>
      </w:r>
    </w:p>
    <w:p w14:paraId="1A406EA4" w14:textId="77777777" w:rsidR="00CC6F7E" w:rsidRPr="00CC6F7E" w:rsidRDefault="00CC6F7E" w:rsidP="00CC6F7E">
      <w:pPr>
        <w:numPr>
          <w:ilvl w:val="0"/>
          <w:numId w:val="2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לך</w:t>
      </w:r>
      <w:r w:rsidRPr="00CC6F7E">
        <w:rPr>
          <w:rFonts w:eastAsia="Times New Roman" w:cs="Times New Roman"/>
          <w:rtl/>
          <w:lang w:eastAsia="de-DE"/>
        </w:rPr>
        <w:t xml:space="preserve"> </w:t>
      </w:r>
      <w:r w:rsidRPr="00CC6F7E">
        <w:rPr>
          <w:rFonts w:eastAsia="Times New Roman" w:cs="Times New Roman"/>
          <w:lang w:eastAsia="de-DE"/>
        </w:rPr>
        <w:t>(dir) - Landbesitzer</w:t>
      </w:r>
    </w:p>
    <w:p w14:paraId="34E14E5D" w14:textId="77777777" w:rsidR="00CC6F7E" w:rsidRPr="00CC6F7E" w:rsidRDefault="00CC6F7E" w:rsidP="00CC6F7E">
      <w:pPr>
        <w:numPr>
          <w:ilvl w:val="0"/>
          <w:numId w:val="2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ולעבדך ולאמתך</w:t>
      </w:r>
      <w:r w:rsidRPr="00CC6F7E">
        <w:rPr>
          <w:rFonts w:eastAsia="Times New Roman" w:cs="Times New Roman"/>
          <w:rtl/>
          <w:lang w:eastAsia="de-DE"/>
        </w:rPr>
        <w:t xml:space="preserve"> </w:t>
      </w:r>
      <w:r w:rsidRPr="00CC6F7E">
        <w:rPr>
          <w:rFonts w:eastAsia="Times New Roman" w:cs="Times New Roman"/>
          <w:lang w:eastAsia="de-DE"/>
        </w:rPr>
        <w:t>(und deinem Knecht und deiner Magd) - Sklaven</w:t>
      </w:r>
    </w:p>
    <w:p w14:paraId="428815E2" w14:textId="77777777" w:rsidR="00CC6F7E" w:rsidRPr="00CC6F7E" w:rsidRDefault="00CC6F7E" w:rsidP="00CC6F7E">
      <w:pPr>
        <w:numPr>
          <w:ilvl w:val="0"/>
          <w:numId w:val="2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ולשכירך</w:t>
      </w:r>
      <w:r w:rsidRPr="00CC6F7E">
        <w:rPr>
          <w:rFonts w:eastAsia="Times New Roman" w:cs="Times New Roman"/>
          <w:rtl/>
          <w:lang w:eastAsia="de-DE"/>
        </w:rPr>
        <w:t xml:space="preserve"> </w:t>
      </w:r>
      <w:r w:rsidRPr="00CC6F7E">
        <w:rPr>
          <w:rFonts w:eastAsia="Times New Roman" w:cs="Times New Roman"/>
          <w:lang w:eastAsia="de-DE"/>
        </w:rPr>
        <w:t xml:space="preserve">(und deinem Tagelöhner) - </w:t>
      </w:r>
      <w:r w:rsidRPr="00CC6F7E">
        <w:rPr>
          <w:rFonts w:eastAsia="Times New Roman" w:cs="Times New Roman"/>
          <w:b/>
          <w:bCs/>
          <w:rtl/>
          <w:lang w:eastAsia="de-DE"/>
        </w:rPr>
        <w:t>שכיר</w:t>
      </w:r>
      <w:r w:rsidRPr="00CC6F7E">
        <w:rPr>
          <w:rFonts w:eastAsia="Times New Roman" w:cs="Times New Roman"/>
          <w:rtl/>
          <w:lang w:eastAsia="de-DE"/>
        </w:rPr>
        <w:t xml:space="preserve"> </w:t>
      </w:r>
      <w:r w:rsidRPr="00CC6F7E">
        <w:rPr>
          <w:rFonts w:eastAsia="Times New Roman" w:cs="Times New Roman"/>
          <w:lang w:eastAsia="de-DE"/>
        </w:rPr>
        <w:t>(Lohnarbeiter)</w:t>
      </w:r>
    </w:p>
    <w:p w14:paraId="79BC5F9B" w14:textId="77777777" w:rsidR="00CC6F7E" w:rsidRPr="00CC6F7E" w:rsidRDefault="00CC6F7E" w:rsidP="00CC6F7E">
      <w:pPr>
        <w:numPr>
          <w:ilvl w:val="0"/>
          <w:numId w:val="2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ולתושבך הגרים עמך</w:t>
      </w:r>
      <w:r w:rsidRPr="00CC6F7E">
        <w:rPr>
          <w:rFonts w:eastAsia="Times New Roman" w:cs="Times New Roman"/>
          <w:rtl/>
          <w:lang w:eastAsia="de-DE"/>
        </w:rPr>
        <w:t xml:space="preserve"> </w:t>
      </w:r>
      <w:r w:rsidRPr="00CC6F7E">
        <w:rPr>
          <w:rFonts w:eastAsia="Times New Roman" w:cs="Times New Roman"/>
          <w:lang w:eastAsia="de-DE"/>
        </w:rPr>
        <w:t xml:space="preserve">(und deinem Beisassen, die bei dir wohnen) - </w:t>
      </w:r>
      <w:r w:rsidRPr="00CC6F7E">
        <w:rPr>
          <w:rFonts w:eastAsia="Times New Roman" w:cs="Times New Roman"/>
          <w:b/>
          <w:bCs/>
          <w:rtl/>
          <w:lang w:eastAsia="de-DE"/>
        </w:rPr>
        <w:t>תושב</w:t>
      </w:r>
      <w:r w:rsidRPr="00CC6F7E">
        <w:rPr>
          <w:rFonts w:eastAsia="Times New Roman" w:cs="Times New Roman"/>
          <w:rtl/>
          <w:lang w:eastAsia="de-DE"/>
        </w:rPr>
        <w:t xml:space="preserve"> </w:t>
      </w:r>
      <w:r w:rsidRPr="00CC6F7E">
        <w:rPr>
          <w:rFonts w:eastAsia="Times New Roman" w:cs="Times New Roman"/>
          <w:lang w:eastAsia="de-DE"/>
        </w:rPr>
        <w:t xml:space="preserve">(Beisasse) und </w:t>
      </w:r>
      <w:r w:rsidRPr="00CC6F7E">
        <w:rPr>
          <w:rFonts w:eastAsia="Times New Roman" w:cs="Times New Roman"/>
          <w:b/>
          <w:bCs/>
          <w:rtl/>
          <w:lang w:eastAsia="de-DE"/>
        </w:rPr>
        <w:t>גר</w:t>
      </w:r>
      <w:r w:rsidRPr="00CC6F7E">
        <w:rPr>
          <w:rFonts w:eastAsia="Times New Roman" w:cs="Times New Roman"/>
          <w:rtl/>
          <w:lang w:eastAsia="de-DE"/>
        </w:rPr>
        <w:t xml:space="preserve"> </w:t>
      </w:r>
      <w:r w:rsidRPr="00CC6F7E">
        <w:rPr>
          <w:rFonts w:eastAsia="Times New Roman" w:cs="Times New Roman"/>
          <w:lang w:eastAsia="de-DE"/>
        </w:rPr>
        <w:t>(Fremder)</w:t>
      </w:r>
    </w:p>
    <w:p w14:paraId="4AACBBB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שבת הארץ</w:t>
      </w:r>
      <w:r w:rsidRPr="00CC6F7E">
        <w:rPr>
          <w:rFonts w:eastAsia="Times New Roman" w:cs="Times New Roman"/>
          <w:rtl/>
          <w:lang w:eastAsia="de-DE"/>
        </w:rPr>
        <w:t xml:space="preserve"> </w:t>
      </w:r>
      <w:r w:rsidRPr="00CC6F7E">
        <w:rPr>
          <w:rFonts w:eastAsia="Times New Roman" w:cs="Times New Roman"/>
          <w:lang w:eastAsia="de-DE"/>
        </w:rPr>
        <w:t>zeigt natürliches Wachstum ohne menschliche Arbeit. Die fünffache Personenaufzählung zeigt soziale Gleichberechtigung beim Sabbatjahr-Ertrag.</w:t>
      </w:r>
    </w:p>
    <w:p w14:paraId="5FAA1F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שבת הארץ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σά</w:t>
      </w:r>
      <w:proofErr w:type="spellEnd"/>
      <w:r w:rsidRPr="00CC6F7E">
        <w:rPr>
          <w:rFonts w:eastAsia="Times New Roman" w:cs="Times New Roman"/>
          <w:lang w:eastAsia="de-DE"/>
        </w:rPr>
        <w:t xml:space="preserve">ββατα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γῆς</w:t>
      </w:r>
      <w:proofErr w:type="spellEnd"/>
      <w:r w:rsidRPr="00CC6F7E">
        <w:rPr>
          <w:rFonts w:eastAsia="Times New Roman" w:cs="Times New Roman"/>
          <w:lang w:eastAsia="de-DE"/>
        </w:rPr>
        <w:t xml:space="preserve"> (die Sabbate der Erde), </w:t>
      </w:r>
      <w:r w:rsidRPr="00CC6F7E">
        <w:rPr>
          <w:rFonts w:eastAsia="Times New Roman" w:cs="Times New Roman"/>
          <w:b/>
          <w:bCs/>
          <w:rtl/>
          <w:lang w:eastAsia="de-DE"/>
        </w:rPr>
        <w:t>לאכלה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β</w:t>
      </w:r>
      <w:proofErr w:type="spellStart"/>
      <w:r w:rsidRPr="00CC6F7E">
        <w:rPr>
          <w:rFonts w:eastAsia="Times New Roman" w:cs="Times New Roman"/>
          <w:lang w:eastAsia="de-DE"/>
        </w:rPr>
        <w:t>ρῶσιν</w:t>
      </w:r>
      <w:proofErr w:type="spellEnd"/>
      <w:r w:rsidRPr="00CC6F7E">
        <w:rPr>
          <w:rFonts w:eastAsia="Times New Roman" w:cs="Times New Roman"/>
          <w:lang w:eastAsia="de-DE"/>
        </w:rPr>
        <w:t xml:space="preserve"> (zur Speise), </w:t>
      </w:r>
      <w:r w:rsidRPr="00CC6F7E">
        <w:rPr>
          <w:rFonts w:eastAsia="Times New Roman" w:cs="Times New Roman"/>
          <w:b/>
          <w:bCs/>
          <w:rtl/>
          <w:lang w:eastAsia="de-DE"/>
        </w:rPr>
        <w:t>עבדך ולאמתך</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ιδί</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καὶ πα</w:t>
      </w:r>
      <w:proofErr w:type="spellStart"/>
      <w:r w:rsidRPr="00CC6F7E">
        <w:rPr>
          <w:rFonts w:eastAsia="Times New Roman" w:cs="Times New Roman"/>
          <w:lang w:eastAsia="de-DE"/>
        </w:rPr>
        <w:t>ιδίσκῃ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(deinem Knaben und deiner Magd), </w:t>
      </w:r>
      <w:r w:rsidRPr="00CC6F7E">
        <w:rPr>
          <w:rFonts w:eastAsia="Times New Roman" w:cs="Times New Roman"/>
          <w:b/>
          <w:bCs/>
          <w:rtl/>
          <w:lang w:eastAsia="de-DE"/>
        </w:rPr>
        <w:t>שכירך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μισθωτῷ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(deinem Lohnarbeiter) und </w:t>
      </w:r>
      <w:r w:rsidRPr="00CC6F7E">
        <w:rPr>
          <w:rFonts w:eastAsia="Times New Roman" w:cs="Times New Roman"/>
          <w:b/>
          <w:bCs/>
          <w:rtl/>
          <w:lang w:eastAsia="de-DE"/>
        </w:rPr>
        <w:t>תושבך הגרים</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ροίκῳ</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ροσκειμένῳ</w:t>
      </w:r>
      <w:proofErr w:type="spellEnd"/>
      <w:r w:rsidRPr="00CC6F7E">
        <w:rPr>
          <w:rFonts w:eastAsia="Times New Roman" w:cs="Times New Roman"/>
          <w:lang w:eastAsia="de-DE"/>
        </w:rPr>
        <w:t xml:space="preserve"> (deinem Beisassen, dem Hinzugekommenen).</w:t>
      </w:r>
    </w:p>
    <w:p w14:paraId="1C8502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Sabbatjahr-Nutzungsrecht: Landschabbat als Speise + fünf soziale Gruppen mit gleichem Nutzungsrecht.</w:t>
      </w:r>
    </w:p>
    <w:p w14:paraId="35B32C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egalitäre Nutzung des Sabbatjahr-Ertrags durch alle Gesellschaftsschichten.</w:t>
      </w:r>
    </w:p>
    <w:p w14:paraId="35B2DAF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25,7</w:t>
      </w:r>
    </w:p>
    <w:p w14:paraId="29882CE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וְלִ֨בְהֶמְתְּךָ֔ וְלַֽחַיָּ֖ה אֲשֶׁ֣ר בְּאַרְצֶ֑ךָ תִּהְיֶ֥ה כָל־תְּבוּאָתָ֖הּ לֶאֱכֹֽל׃</w:t>
      </w:r>
    </w:p>
    <w:p w14:paraId="682F39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deinem Vieh und dem Wild, das in deinem Land ist, soll sein ganzer Ertrag zur Speise sein.</w:t>
      </w:r>
    </w:p>
    <w:p w14:paraId="76B3B02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1DC40A3">
          <v:rect id="_x0000_i1755" style="width:0;height:1.5pt" o:hralign="center" o:hrstd="t" o:hr="t" fillcolor="#a0a0a0" stroked="f"/>
        </w:pict>
      </w:r>
    </w:p>
    <w:p w14:paraId="66799D9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ולבהמתך ולחיה אשר בארצך תהיה כל־תבואתה לאכל</w:t>
      </w:r>
      <w:r w:rsidRPr="00CC6F7E">
        <w:rPr>
          <w:rFonts w:eastAsia="Times New Roman" w:cs="Times New Roman"/>
          <w:rtl/>
          <w:lang w:eastAsia="de-DE"/>
        </w:rPr>
        <w:t xml:space="preserve"> </w:t>
      </w:r>
      <w:r w:rsidRPr="00CC6F7E">
        <w:rPr>
          <w:rFonts w:eastAsia="Times New Roman" w:cs="Times New Roman"/>
          <w:lang w:eastAsia="de-DE"/>
        </w:rPr>
        <w:t xml:space="preserve">erweitert die Nutzungsberechtigung auf Tiere. </w:t>
      </w:r>
      <w:r w:rsidRPr="00CC6F7E">
        <w:rPr>
          <w:rFonts w:eastAsia="Times New Roman" w:cs="Times New Roman"/>
          <w:b/>
          <w:bCs/>
          <w:rtl/>
          <w:lang w:eastAsia="de-DE"/>
        </w:rPr>
        <w:t>ולבהמתך ולחיה אשר בארצך</w:t>
      </w:r>
      <w:r w:rsidRPr="00CC6F7E">
        <w:rPr>
          <w:rFonts w:eastAsia="Times New Roman" w:cs="Times New Roman"/>
          <w:rtl/>
          <w:lang w:eastAsia="de-DE"/>
        </w:rPr>
        <w:t xml:space="preserve"> </w:t>
      </w:r>
      <w:r w:rsidRPr="00CC6F7E">
        <w:rPr>
          <w:rFonts w:eastAsia="Times New Roman" w:cs="Times New Roman"/>
          <w:lang w:eastAsia="de-DE"/>
        </w:rPr>
        <w:t>(und deinem Vieh und dem Wild, das in deinem Land ist) zeigt zwei Tierkategorien:</w:t>
      </w:r>
    </w:p>
    <w:p w14:paraId="629F6007" w14:textId="77777777" w:rsidR="00CC6F7E" w:rsidRPr="00CC6F7E" w:rsidRDefault="00CC6F7E" w:rsidP="00CC6F7E">
      <w:pPr>
        <w:numPr>
          <w:ilvl w:val="0"/>
          <w:numId w:val="2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בהמתך</w:t>
      </w:r>
      <w:r w:rsidRPr="00CC6F7E">
        <w:rPr>
          <w:rFonts w:eastAsia="Times New Roman" w:cs="Times New Roman"/>
          <w:rtl/>
          <w:lang w:eastAsia="de-DE"/>
        </w:rPr>
        <w:t xml:space="preserve"> </w:t>
      </w:r>
      <w:r w:rsidRPr="00CC6F7E">
        <w:rPr>
          <w:rFonts w:eastAsia="Times New Roman" w:cs="Times New Roman"/>
          <w:lang w:eastAsia="de-DE"/>
        </w:rPr>
        <w:t>(dein Vieh) - Haustiere</w:t>
      </w:r>
    </w:p>
    <w:p w14:paraId="1733D2E6" w14:textId="77777777" w:rsidR="00CC6F7E" w:rsidRPr="00CC6F7E" w:rsidRDefault="00CC6F7E" w:rsidP="00CC6F7E">
      <w:pPr>
        <w:numPr>
          <w:ilvl w:val="0"/>
          <w:numId w:val="2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חיה אשר בארצך</w:t>
      </w:r>
      <w:r w:rsidRPr="00CC6F7E">
        <w:rPr>
          <w:rFonts w:eastAsia="Times New Roman" w:cs="Times New Roman"/>
          <w:rtl/>
          <w:lang w:eastAsia="de-DE"/>
        </w:rPr>
        <w:t xml:space="preserve"> </w:t>
      </w:r>
      <w:r w:rsidRPr="00CC6F7E">
        <w:rPr>
          <w:rFonts w:eastAsia="Times New Roman" w:cs="Times New Roman"/>
          <w:lang w:eastAsia="de-DE"/>
        </w:rPr>
        <w:t>(Wild, das in deinem Land ist) - Wildtiere</w:t>
      </w:r>
    </w:p>
    <w:p w14:paraId="3A2E79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תהיה כל־תבואתה לאכל</w:t>
      </w:r>
      <w:r w:rsidRPr="00CC6F7E">
        <w:rPr>
          <w:rFonts w:eastAsia="Times New Roman" w:cs="Times New Roman"/>
          <w:rtl/>
          <w:lang w:eastAsia="de-DE"/>
        </w:rPr>
        <w:t xml:space="preserve"> </w:t>
      </w:r>
      <w:r w:rsidRPr="00CC6F7E">
        <w:rPr>
          <w:rFonts w:eastAsia="Times New Roman" w:cs="Times New Roman"/>
          <w:lang w:eastAsia="de-DE"/>
        </w:rPr>
        <w:t xml:space="preserve">(soll sein ganzer Ertrag zur Speise sein) - </w:t>
      </w:r>
      <w:r w:rsidRPr="00CC6F7E">
        <w:rPr>
          <w:rFonts w:eastAsia="Times New Roman" w:cs="Times New Roman"/>
          <w:b/>
          <w:bCs/>
          <w:rtl/>
          <w:lang w:eastAsia="de-DE"/>
        </w:rPr>
        <w:t>כל־תבואתה</w:t>
      </w:r>
      <w:r w:rsidRPr="00CC6F7E">
        <w:rPr>
          <w:rFonts w:eastAsia="Times New Roman" w:cs="Times New Roman"/>
          <w:rtl/>
          <w:lang w:eastAsia="de-DE"/>
        </w:rPr>
        <w:t xml:space="preserve"> </w:t>
      </w:r>
      <w:r w:rsidRPr="00CC6F7E">
        <w:rPr>
          <w:rFonts w:eastAsia="Times New Roman" w:cs="Times New Roman"/>
          <w:lang w:eastAsia="de-DE"/>
        </w:rPr>
        <w:t xml:space="preserve">(sein ganzer Ertrag) zeigt den gesamten Sabbatjahr-Ertrag. </w:t>
      </w:r>
      <w:r w:rsidRPr="00CC6F7E">
        <w:rPr>
          <w:rFonts w:eastAsia="Times New Roman" w:cs="Times New Roman"/>
          <w:b/>
          <w:bCs/>
          <w:rtl/>
          <w:lang w:eastAsia="de-DE"/>
        </w:rPr>
        <w:t>לאכל</w:t>
      </w:r>
      <w:r w:rsidRPr="00CC6F7E">
        <w:rPr>
          <w:rFonts w:eastAsia="Times New Roman" w:cs="Times New Roman"/>
          <w:rtl/>
          <w:lang w:eastAsia="de-DE"/>
        </w:rPr>
        <w:t xml:space="preserve"> </w:t>
      </w:r>
      <w:r w:rsidRPr="00CC6F7E">
        <w:rPr>
          <w:rFonts w:eastAsia="Times New Roman" w:cs="Times New Roman"/>
          <w:lang w:eastAsia="de-DE"/>
        </w:rPr>
        <w:t>(zur Speise) entspricht V. 6.</w:t>
      </w:r>
    </w:p>
    <w:p w14:paraId="23FEBD9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Einbeziehung der Tiere zeigt ökologische Ganzheitlichkeit des Sabbatjahrs. </w:t>
      </w:r>
      <w:r w:rsidRPr="00CC6F7E">
        <w:rPr>
          <w:rFonts w:eastAsia="Times New Roman" w:cs="Times New Roman"/>
          <w:b/>
          <w:bCs/>
          <w:rtl/>
          <w:lang w:eastAsia="de-DE"/>
        </w:rPr>
        <w:t>חיה אשר בארצך</w:t>
      </w:r>
      <w:r w:rsidRPr="00CC6F7E">
        <w:rPr>
          <w:rFonts w:eastAsia="Times New Roman" w:cs="Times New Roman"/>
          <w:rtl/>
          <w:lang w:eastAsia="de-DE"/>
        </w:rPr>
        <w:t xml:space="preserve"> </w:t>
      </w:r>
      <w:r w:rsidRPr="00CC6F7E">
        <w:rPr>
          <w:rFonts w:eastAsia="Times New Roman" w:cs="Times New Roman"/>
          <w:lang w:eastAsia="de-DE"/>
        </w:rPr>
        <w:t>zeigt auch wilde Tiere als Nutznießer der Landruhe.</w:t>
      </w:r>
    </w:p>
    <w:p w14:paraId="7EBAFD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בהמתך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κτήνεσίν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(deinem Vieh), </w:t>
      </w:r>
      <w:r w:rsidRPr="00CC6F7E">
        <w:rPr>
          <w:rFonts w:eastAsia="Times New Roman" w:cs="Times New Roman"/>
          <w:b/>
          <w:bCs/>
          <w:rtl/>
          <w:lang w:eastAsia="de-DE"/>
        </w:rPr>
        <w:t>חיה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θηρίοις</w:t>
      </w:r>
      <w:proofErr w:type="spellEnd"/>
      <w:r w:rsidRPr="00CC6F7E">
        <w:rPr>
          <w:rFonts w:eastAsia="Times New Roman" w:cs="Times New Roman"/>
          <w:lang w:eastAsia="de-DE"/>
        </w:rPr>
        <w:t xml:space="preserve"> (wilden Tieren), </w:t>
      </w:r>
      <w:r w:rsidRPr="00CC6F7E">
        <w:rPr>
          <w:rFonts w:eastAsia="Times New Roman" w:cs="Times New Roman"/>
          <w:b/>
          <w:bCs/>
          <w:rtl/>
          <w:lang w:eastAsia="de-DE"/>
        </w:rPr>
        <w:t>אשר בארצך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(denen in deinem Land) und </w:t>
      </w:r>
      <w:r w:rsidRPr="00CC6F7E">
        <w:rPr>
          <w:rFonts w:eastAsia="Times New Roman" w:cs="Times New Roman"/>
          <w:b/>
          <w:bCs/>
          <w:rtl/>
          <w:lang w:eastAsia="de-DE"/>
        </w:rPr>
        <w:t>כל־תבואתה</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άντ</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γενήμ</w:t>
      </w:r>
      <w:proofErr w:type="spellEnd"/>
      <w:r w:rsidRPr="00CC6F7E">
        <w:rPr>
          <w:rFonts w:eastAsia="Times New Roman" w:cs="Times New Roman"/>
          <w:lang w:eastAsia="de-DE"/>
        </w:rPr>
        <w:t>ατα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(alle ihre Erzeugnisse).</w:t>
      </w:r>
    </w:p>
    <w:p w14:paraId="669731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Tier-Nutzungsrecht: Haustiere + Wildtiere im Land + gesamter Sabbatjahr-Ertrag zur Speise.</w:t>
      </w:r>
    </w:p>
    <w:p w14:paraId="514C3B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erweitert die Sabbatjahr-Nutzung auf Haus- und Wildtiere und zeigt die ökologische Dimension der Landruhe.</w:t>
      </w:r>
    </w:p>
    <w:p w14:paraId="748A215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25,8</w:t>
      </w:r>
    </w:p>
    <w:p w14:paraId="722E53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Hebräisch:</w:t>
      </w:r>
      <w:r w:rsidRPr="00CC6F7E">
        <w:rPr>
          <w:rFonts w:eastAsia="Times New Roman" w:cs="Times New Roman"/>
          <w:lang w:eastAsia="de-DE"/>
        </w:rPr>
        <w:t xml:space="preserve"> </w:t>
      </w:r>
      <w:r w:rsidRPr="00CC6F7E">
        <w:rPr>
          <w:rFonts w:eastAsia="Times New Roman" w:cs="Times New Roman"/>
          <w:rtl/>
          <w:lang w:eastAsia="de-DE"/>
        </w:rPr>
        <w:t>וְסָפַרְתָּ֣ לְךָ֗ שֶׁ֚בַע שַׁבְּתֹ֣ת שָׁנִ֔ים שֶׁ֥בַע שָׁנִ֖ים שֶׁ֣בַע פְּעָמִ֑ים וְהָי֣וּ לְךָ֗ יְמֵי֙ שֶׁ֚בַע שַׁבְּתֹ֣ת הַשָּׁנִ֔ים תֵּ֥שַׁע וְאַרְבָּעִ֖ים שָׁנָֽה׃</w:t>
      </w:r>
    </w:p>
    <w:p w14:paraId="7641C0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du sollst dir sieben Sabbatjahre zählen, siebenmal sieben Jahre, so dass die Tage der sieben Sabbatjahre 49 Jahre sind.</w:t>
      </w:r>
    </w:p>
    <w:p w14:paraId="538D549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9A88973">
          <v:rect id="_x0000_i1756" style="width:0;height:1.5pt" o:hralign="center" o:hrstd="t" o:hr="t" fillcolor="#a0a0a0" stroked="f"/>
        </w:pict>
      </w:r>
    </w:p>
    <w:p w14:paraId="6FF38EB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וספרת לך שבע שבתת שנים שבע שנים שבע פעמים והיו לך ימי שבע שבתת השנים תשע וארבעים שנה</w:t>
      </w:r>
      <w:r w:rsidRPr="00CC6F7E">
        <w:rPr>
          <w:rFonts w:eastAsia="Times New Roman" w:cs="Times New Roman"/>
          <w:rtl/>
          <w:lang w:eastAsia="de-DE"/>
        </w:rPr>
        <w:t xml:space="preserve"> </w:t>
      </w:r>
      <w:r w:rsidRPr="00CC6F7E">
        <w:rPr>
          <w:rFonts w:eastAsia="Times New Roman" w:cs="Times New Roman"/>
          <w:lang w:eastAsia="de-DE"/>
        </w:rPr>
        <w:t xml:space="preserve">führt das Jobel-System ein. </w:t>
      </w:r>
      <w:r w:rsidRPr="00CC6F7E">
        <w:rPr>
          <w:rFonts w:eastAsia="Times New Roman" w:cs="Times New Roman"/>
          <w:b/>
          <w:bCs/>
          <w:rtl/>
          <w:lang w:eastAsia="de-DE"/>
        </w:rPr>
        <w:t>וספרת לך</w:t>
      </w:r>
      <w:r w:rsidRPr="00CC6F7E">
        <w:rPr>
          <w:rFonts w:eastAsia="Times New Roman" w:cs="Times New Roman"/>
          <w:rtl/>
          <w:lang w:eastAsia="de-DE"/>
        </w:rPr>
        <w:t xml:space="preserve"> </w:t>
      </w:r>
      <w:r w:rsidRPr="00CC6F7E">
        <w:rPr>
          <w:rFonts w:eastAsia="Times New Roman" w:cs="Times New Roman"/>
          <w:lang w:eastAsia="de-DE"/>
        </w:rPr>
        <w:t>(und du sollst dir zählen) im Qal-Perfekt mit Waw-Konsekutiv zeigt persönliche Zählpflicht entsprechend der Omer-Zählung in 23,15.</w:t>
      </w:r>
    </w:p>
    <w:p w14:paraId="6DB68BC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שבע שבתת שנים שבע שנים שבע פעמים</w:t>
      </w:r>
      <w:r w:rsidRPr="00CC6F7E">
        <w:rPr>
          <w:rFonts w:eastAsia="Times New Roman" w:cs="Times New Roman"/>
          <w:rtl/>
          <w:lang w:eastAsia="de-DE"/>
        </w:rPr>
        <w:t xml:space="preserve"> </w:t>
      </w:r>
      <w:r w:rsidRPr="00CC6F7E">
        <w:rPr>
          <w:rFonts w:eastAsia="Times New Roman" w:cs="Times New Roman"/>
          <w:lang w:eastAsia="de-DE"/>
        </w:rPr>
        <w:t xml:space="preserve">(sieben Sabbatjahre, siebenmal sieben Jahre) - </w:t>
      </w:r>
      <w:r w:rsidRPr="00CC6F7E">
        <w:rPr>
          <w:rFonts w:eastAsia="Times New Roman" w:cs="Times New Roman"/>
          <w:b/>
          <w:bCs/>
          <w:rtl/>
          <w:lang w:eastAsia="de-DE"/>
        </w:rPr>
        <w:t>שבע שבתת שנים</w:t>
      </w:r>
      <w:r w:rsidRPr="00CC6F7E">
        <w:rPr>
          <w:rFonts w:eastAsia="Times New Roman" w:cs="Times New Roman"/>
          <w:rtl/>
          <w:lang w:eastAsia="de-DE"/>
        </w:rPr>
        <w:t xml:space="preserve"> </w:t>
      </w:r>
      <w:r w:rsidRPr="00CC6F7E">
        <w:rPr>
          <w:rFonts w:eastAsia="Times New Roman" w:cs="Times New Roman"/>
          <w:lang w:eastAsia="de-DE"/>
        </w:rPr>
        <w:t xml:space="preserve">(sieben Sabbatjahre) zeigt </w:t>
      </w:r>
      <w:r w:rsidRPr="00CC6F7E">
        <w:rPr>
          <w:rFonts w:eastAsia="Times New Roman" w:cs="Times New Roman"/>
          <w:b/>
          <w:bCs/>
          <w:rtl/>
          <w:lang w:eastAsia="de-DE"/>
        </w:rPr>
        <w:t>שבתת שנים</w:t>
      </w:r>
      <w:r w:rsidRPr="00CC6F7E">
        <w:rPr>
          <w:rFonts w:eastAsia="Times New Roman" w:cs="Times New Roman"/>
          <w:rtl/>
          <w:lang w:eastAsia="de-DE"/>
        </w:rPr>
        <w:t xml:space="preserve"> </w:t>
      </w:r>
      <w:r w:rsidRPr="00CC6F7E">
        <w:rPr>
          <w:rFonts w:eastAsia="Times New Roman" w:cs="Times New Roman"/>
          <w:lang w:eastAsia="de-DE"/>
        </w:rPr>
        <w:t xml:space="preserve">(Sabbatjahre) als Einheit. </w:t>
      </w:r>
      <w:r w:rsidRPr="00CC6F7E">
        <w:rPr>
          <w:rFonts w:eastAsia="Times New Roman" w:cs="Times New Roman"/>
          <w:b/>
          <w:bCs/>
          <w:rtl/>
          <w:lang w:eastAsia="de-DE"/>
        </w:rPr>
        <w:t>שבע שנים שבע פעמים</w:t>
      </w:r>
      <w:r w:rsidRPr="00CC6F7E">
        <w:rPr>
          <w:rFonts w:eastAsia="Times New Roman" w:cs="Times New Roman"/>
          <w:rtl/>
          <w:lang w:eastAsia="de-DE"/>
        </w:rPr>
        <w:t xml:space="preserve"> </w:t>
      </w:r>
      <w:r w:rsidRPr="00CC6F7E">
        <w:rPr>
          <w:rFonts w:eastAsia="Times New Roman" w:cs="Times New Roman"/>
          <w:lang w:eastAsia="de-DE"/>
        </w:rPr>
        <w:t>(siebenmal sieben Jahre) erklärt die Berechnung: 7 x 7 = 49.</w:t>
      </w:r>
    </w:p>
    <w:p w14:paraId="0F1CF27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והיו לך ימי שבע שבתת השנים תשע וארבעים שנה</w:t>
      </w:r>
      <w:r w:rsidRPr="00CC6F7E">
        <w:rPr>
          <w:rFonts w:eastAsia="Times New Roman" w:cs="Times New Roman"/>
          <w:rtl/>
          <w:lang w:eastAsia="de-DE"/>
        </w:rPr>
        <w:t xml:space="preserve"> </w:t>
      </w:r>
      <w:r w:rsidRPr="00CC6F7E">
        <w:rPr>
          <w:rFonts w:eastAsia="Times New Roman" w:cs="Times New Roman"/>
          <w:lang w:eastAsia="de-DE"/>
        </w:rPr>
        <w:t xml:space="preserve">(so dass die Tage der sieben Sabbatjahre 49 Jahre sind) - </w:t>
      </w:r>
      <w:r w:rsidRPr="00CC6F7E">
        <w:rPr>
          <w:rFonts w:eastAsia="Times New Roman" w:cs="Times New Roman"/>
          <w:b/>
          <w:bCs/>
          <w:rtl/>
          <w:lang w:eastAsia="de-DE"/>
        </w:rPr>
        <w:t>והיו לך ימי</w:t>
      </w:r>
      <w:r w:rsidRPr="00CC6F7E">
        <w:rPr>
          <w:rFonts w:eastAsia="Times New Roman" w:cs="Times New Roman"/>
          <w:rtl/>
          <w:lang w:eastAsia="de-DE"/>
        </w:rPr>
        <w:t xml:space="preserve"> </w:t>
      </w:r>
      <w:r w:rsidRPr="00CC6F7E">
        <w:rPr>
          <w:rFonts w:eastAsia="Times New Roman" w:cs="Times New Roman"/>
          <w:lang w:eastAsia="de-DE"/>
        </w:rPr>
        <w:t xml:space="preserve">(und es sollen für dich die Tage sein) zeigt das Ergebnis. </w:t>
      </w:r>
      <w:r w:rsidRPr="00CC6F7E">
        <w:rPr>
          <w:rFonts w:eastAsia="Times New Roman" w:cs="Times New Roman"/>
          <w:b/>
          <w:bCs/>
          <w:rtl/>
          <w:lang w:eastAsia="de-DE"/>
        </w:rPr>
        <w:t>תשע וארבעים שנה</w:t>
      </w:r>
      <w:r w:rsidRPr="00CC6F7E">
        <w:rPr>
          <w:rFonts w:eastAsia="Times New Roman" w:cs="Times New Roman"/>
          <w:rtl/>
          <w:lang w:eastAsia="de-DE"/>
        </w:rPr>
        <w:t xml:space="preserve"> </w:t>
      </w:r>
      <w:r w:rsidRPr="00CC6F7E">
        <w:rPr>
          <w:rFonts w:eastAsia="Times New Roman" w:cs="Times New Roman"/>
          <w:lang w:eastAsia="de-DE"/>
        </w:rPr>
        <w:t>(49 Jahre) als exakte Berechnung.</w:t>
      </w:r>
    </w:p>
    <w:p w14:paraId="648F6A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וספרת לך</w:t>
      </w:r>
      <w:r w:rsidRPr="00CC6F7E">
        <w:rPr>
          <w:rFonts w:eastAsia="Times New Roman" w:cs="Times New Roman"/>
          <w:rtl/>
          <w:lang w:eastAsia="de-DE"/>
        </w:rPr>
        <w:t xml:space="preserve"> </w:t>
      </w:r>
      <w:r w:rsidRPr="00CC6F7E">
        <w:rPr>
          <w:rFonts w:eastAsia="Times New Roman" w:cs="Times New Roman"/>
          <w:lang w:eastAsia="de-DE"/>
        </w:rPr>
        <w:t xml:space="preserve">entspricht der Omer-Zählung und zeigt individuelle Verantwortung. </w:t>
      </w:r>
      <w:r w:rsidRPr="00CC6F7E">
        <w:rPr>
          <w:rFonts w:eastAsia="Times New Roman" w:cs="Times New Roman"/>
          <w:b/>
          <w:bCs/>
          <w:rtl/>
          <w:lang w:eastAsia="de-DE"/>
        </w:rPr>
        <w:t>ש</w:t>
      </w:r>
      <w:r w:rsidRPr="00CC6F7E">
        <w:rPr>
          <w:rFonts w:eastAsia="Times New Roman" w:cs="Times New Roman"/>
          <w:b/>
          <w:bCs/>
          <w:rtl/>
          <w:lang w:eastAsia="de-DE" w:bidi="ar-SA"/>
        </w:rPr>
        <w:t xml:space="preserve">بع </w:t>
      </w:r>
      <w:r w:rsidRPr="00CC6F7E">
        <w:rPr>
          <w:rFonts w:eastAsia="Times New Roman" w:cs="Times New Roman"/>
          <w:b/>
          <w:bCs/>
          <w:rtl/>
          <w:lang w:eastAsia="de-DE"/>
        </w:rPr>
        <w:t>פעמים</w:t>
      </w:r>
      <w:r w:rsidRPr="00CC6F7E">
        <w:rPr>
          <w:rFonts w:eastAsia="Times New Roman" w:cs="Times New Roman"/>
          <w:rtl/>
          <w:lang w:eastAsia="de-DE"/>
        </w:rPr>
        <w:t xml:space="preserve"> </w:t>
      </w:r>
      <w:r w:rsidRPr="00CC6F7E">
        <w:rPr>
          <w:rFonts w:eastAsia="Times New Roman" w:cs="Times New Roman"/>
          <w:lang w:eastAsia="de-DE"/>
        </w:rPr>
        <w:t xml:space="preserve">betont die Siebenzahl. </w:t>
      </w:r>
      <w:r w:rsidRPr="00CC6F7E">
        <w:rPr>
          <w:rFonts w:eastAsia="Times New Roman" w:cs="Times New Roman"/>
          <w:b/>
          <w:bCs/>
          <w:rtl/>
          <w:lang w:eastAsia="de-DE"/>
        </w:rPr>
        <w:t>תשע וארבעים</w:t>
      </w:r>
      <w:r w:rsidRPr="00CC6F7E">
        <w:rPr>
          <w:rFonts w:eastAsia="Times New Roman" w:cs="Times New Roman"/>
          <w:rtl/>
          <w:lang w:eastAsia="de-DE"/>
        </w:rPr>
        <w:t xml:space="preserve"> </w:t>
      </w:r>
      <w:r w:rsidRPr="00CC6F7E">
        <w:rPr>
          <w:rFonts w:eastAsia="Times New Roman" w:cs="Times New Roman"/>
          <w:lang w:eastAsia="de-DE"/>
        </w:rPr>
        <w:t>(49) als 7² - 7 Jahre.</w:t>
      </w:r>
    </w:p>
    <w:p w14:paraId="6D03AF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וספרת לך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w:t>
      </w:r>
      <w:proofErr w:type="spellEnd"/>
      <w:r w:rsidRPr="00CC6F7E">
        <w:rPr>
          <w:rFonts w:eastAsia="Times New Roman" w:cs="Times New Roman"/>
          <w:lang w:eastAsia="de-DE"/>
        </w:rPr>
        <w:t xml:space="preserve">αριθμήσῃ </w:t>
      </w:r>
      <w:proofErr w:type="spellStart"/>
      <w:r w:rsidRPr="00CC6F7E">
        <w:rPr>
          <w:rFonts w:eastAsia="Times New Roman" w:cs="Times New Roman"/>
          <w:lang w:eastAsia="de-DE"/>
        </w:rPr>
        <w:t>σε</w:t>
      </w:r>
      <w:proofErr w:type="spellEnd"/>
      <w:r w:rsidRPr="00CC6F7E">
        <w:rPr>
          <w:rFonts w:eastAsia="Times New Roman" w:cs="Times New Roman"/>
          <w:lang w:eastAsia="de-DE"/>
        </w:rPr>
        <w:t xml:space="preserve">αυτῷ (wirst du dir abzählen), </w:t>
      </w:r>
      <w:r w:rsidRPr="00CC6F7E">
        <w:rPr>
          <w:rFonts w:eastAsia="Times New Roman" w:cs="Times New Roman"/>
          <w:b/>
          <w:bCs/>
          <w:rtl/>
          <w:lang w:eastAsia="de-DE"/>
        </w:rPr>
        <w:t>שבע שבתת שנים</w:t>
      </w:r>
      <w:r w:rsidRPr="00CC6F7E">
        <w:rPr>
          <w:rFonts w:eastAsia="Times New Roman" w:cs="Times New Roman"/>
          <w:rtl/>
          <w:lang w:eastAsia="de-DE"/>
        </w:rPr>
        <w:t xml:space="preserve"> </w:t>
      </w:r>
      <w:r w:rsidRPr="00CC6F7E">
        <w:rPr>
          <w:rFonts w:eastAsia="Times New Roman" w:cs="Times New Roman"/>
          <w:lang w:eastAsia="de-DE"/>
        </w:rPr>
        <w:t>mit ἑπ</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ἀνά</w:t>
      </w:r>
      <w:proofErr w:type="spellEnd"/>
      <w:r w:rsidRPr="00CC6F7E">
        <w:rPr>
          <w:rFonts w:eastAsia="Times New Roman" w:cs="Times New Roman"/>
          <w:lang w:eastAsia="de-DE"/>
        </w:rPr>
        <w:t xml:space="preserve">παυσιν </w:t>
      </w:r>
      <w:proofErr w:type="spellStart"/>
      <w:r w:rsidRPr="00CC6F7E">
        <w:rPr>
          <w:rFonts w:eastAsia="Times New Roman" w:cs="Times New Roman"/>
          <w:lang w:eastAsia="de-DE"/>
        </w:rPr>
        <w:t>ἐτῶν</w:t>
      </w:r>
      <w:proofErr w:type="spellEnd"/>
      <w:r w:rsidRPr="00CC6F7E">
        <w:rPr>
          <w:rFonts w:eastAsia="Times New Roman" w:cs="Times New Roman"/>
          <w:lang w:eastAsia="de-DE"/>
        </w:rPr>
        <w:t xml:space="preserve"> (sieben Ruhen von Jahren), </w:t>
      </w:r>
      <w:r w:rsidRPr="00CC6F7E">
        <w:rPr>
          <w:rFonts w:eastAsia="Times New Roman" w:cs="Times New Roman"/>
          <w:b/>
          <w:bCs/>
          <w:rtl/>
          <w:lang w:eastAsia="de-DE"/>
        </w:rPr>
        <w:t>שבע פעמים</w:t>
      </w:r>
      <w:r w:rsidRPr="00CC6F7E">
        <w:rPr>
          <w:rFonts w:eastAsia="Times New Roman" w:cs="Times New Roman"/>
          <w:rtl/>
          <w:lang w:eastAsia="de-DE"/>
        </w:rPr>
        <w:t xml:space="preserve"> </w:t>
      </w:r>
      <w:r w:rsidRPr="00CC6F7E">
        <w:rPr>
          <w:rFonts w:eastAsia="Times New Roman" w:cs="Times New Roman"/>
          <w:lang w:eastAsia="de-DE"/>
        </w:rPr>
        <w:t>mit ἑπ</w:t>
      </w:r>
      <w:proofErr w:type="spellStart"/>
      <w:r w:rsidRPr="00CC6F7E">
        <w:rPr>
          <w:rFonts w:eastAsia="Times New Roman" w:cs="Times New Roman"/>
          <w:lang w:eastAsia="de-DE"/>
        </w:rPr>
        <w:t>τάκις</w:t>
      </w:r>
      <w:proofErr w:type="spellEnd"/>
      <w:r w:rsidRPr="00CC6F7E">
        <w:rPr>
          <w:rFonts w:eastAsia="Times New Roman" w:cs="Times New Roman"/>
          <w:lang w:eastAsia="de-DE"/>
        </w:rPr>
        <w:t xml:space="preserve"> (siebenmal) und </w:t>
      </w:r>
      <w:r w:rsidRPr="00CC6F7E">
        <w:rPr>
          <w:rFonts w:eastAsia="Times New Roman" w:cs="Times New Roman"/>
          <w:b/>
          <w:bCs/>
          <w:rtl/>
          <w:lang w:eastAsia="de-DE"/>
        </w:rPr>
        <w:t>תשע וארבעים שנה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ἐννέ</w:t>
      </w:r>
      <w:proofErr w:type="spellEnd"/>
      <w:r w:rsidRPr="00CC6F7E">
        <w:rPr>
          <w:rFonts w:eastAsia="Times New Roman" w:cs="Times New Roman"/>
          <w:lang w:eastAsia="de-DE"/>
        </w:rPr>
        <w:t xml:space="preserve">α καὶ </w:t>
      </w:r>
      <w:proofErr w:type="spellStart"/>
      <w:r w:rsidRPr="00CC6F7E">
        <w:rPr>
          <w:rFonts w:eastAsia="Times New Roman" w:cs="Times New Roman"/>
          <w:lang w:eastAsia="de-DE"/>
        </w:rPr>
        <w:t>τεσσ</w:t>
      </w:r>
      <w:proofErr w:type="spellEnd"/>
      <w:r w:rsidRPr="00CC6F7E">
        <w:rPr>
          <w:rFonts w:eastAsia="Times New Roman" w:cs="Times New Roman"/>
          <w:lang w:eastAsia="de-DE"/>
        </w:rPr>
        <w:t xml:space="preserve">αράκοντα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(49 Jahre).</w:t>
      </w:r>
    </w:p>
    <w:p w14:paraId="416133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Jobel-Zählung: persönliche Zählpflicht + sieben Sabbatjahre + siebenmal sieben Jahre + 49-Jahre-Berechnung.</w:t>
      </w:r>
    </w:p>
    <w:p w14:paraId="490F80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die 49-Jahre-Zählung von sieben Sabbatzyklen als Grundlage für das 50. Jobeljahr.</w:t>
      </w:r>
    </w:p>
    <w:p w14:paraId="78443E7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25,9</w:t>
      </w:r>
    </w:p>
    <w:p w14:paraId="6D1E793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וְהַֽעֲבַרְתָּ֞ שׁוֹפַ֤ר תְּרוּעָה֙ בַּחֹ֣דֶשׁ הַשְּׁבִעִ֔י בֶּעָשׂ֖וֹר לַחֹ֑דֶשׁ בְּיוֹם֙ הַכִּפֻּרִ֔ים תַּעֲבִ֥ירוּ שׁוֹפָ֖ר בְּכָל־אַרְצְכֶֽם׃</w:t>
      </w:r>
    </w:p>
    <w:p w14:paraId="451CD5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Dann sollst du im siebten Monat, am Zehnten des Monats, die Posaune des Lärmblasens erschallen lassen; am Versöhnungstag sollt ihr die Posaune durch euer ganzes Land erschallen lassen.</w:t>
      </w:r>
    </w:p>
    <w:p w14:paraId="7E43C4F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A0651F2">
          <v:rect id="_x0000_i1757" style="width:0;height:1.5pt" o:hralign="center" o:hrstd="t" o:hr="t" fillcolor="#a0a0a0" stroked="f"/>
        </w:pict>
      </w:r>
    </w:p>
    <w:p w14:paraId="08E7EBE2" w14:textId="01D492CC"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והעברת שופר תרועה בחדש השביעי בעשור לחדש ביום הכפרים תעבירו שופר בכל־ארצכם</w:t>
      </w:r>
      <w:r w:rsidRPr="00CC6F7E">
        <w:rPr>
          <w:rFonts w:eastAsia="Times New Roman" w:cs="Times New Roman"/>
          <w:rtl/>
          <w:lang w:eastAsia="de-DE"/>
        </w:rPr>
        <w:t xml:space="preserve"> </w:t>
      </w:r>
      <w:r w:rsidRPr="00CC6F7E">
        <w:rPr>
          <w:rFonts w:eastAsia="Times New Roman" w:cs="Times New Roman"/>
          <w:lang w:eastAsia="de-DE"/>
        </w:rPr>
        <w:t xml:space="preserve">zeigt die Jobel-Proklamation am Versöhnungstag. </w:t>
      </w:r>
      <w:r w:rsidRPr="00CC6F7E">
        <w:rPr>
          <w:rFonts w:eastAsia="Times New Roman" w:cs="Times New Roman"/>
          <w:b/>
          <w:bCs/>
          <w:rtl/>
          <w:lang w:eastAsia="de-DE"/>
        </w:rPr>
        <w:t>והעברת שופר תרועה</w:t>
      </w:r>
      <w:r w:rsidRPr="00CC6F7E">
        <w:rPr>
          <w:rFonts w:eastAsia="Times New Roman" w:cs="Times New Roman"/>
          <w:rtl/>
          <w:lang w:eastAsia="de-DE"/>
        </w:rPr>
        <w:t xml:space="preserve"> </w:t>
      </w:r>
      <w:r w:rsidRPr="00CC6F7E">
        <w:rPr>
          <w:rFonts w:eastAsia="Times New Roman" w:cs="Times New Roman"/>
          <w:lang w:eastAsia="de-DE"/>
        </w:rPr>
        <w:t xml:space="preserve">(dann sollst du die Posaune des Lärmblasens erschallen lassen) - </w:t>
      </w:r>
      <w:r w:rsidRPr="00CC6F7E">
        <w:rPr>
          <w:rFonts w:eastAsia="Times New Roman" w:cs="Times New Roman"/>
          <w:b/>
          <w:bCs/>
          <w:rtl/>
          <w:lang w:eastAsia="de-DE"/>
        </w:rPr>
        <w:t>והעברת</w:t>
      </w:r>
      <w:r w:rsidRPr="00CC6F7E">
        <w:rPr>
          <w:rFonts w:eastAsia="Times New Roman" w:cs="Times New Roman"/>
          <w:rtl/>
          <w:lang w:eastAsia="de-DE"/>
        </w:rPr>
        <w:t xml:space="preserve"> </w:t>
      </w:r>
      <w:r w:rsidRPr="00CC6F7E">
        <w:rPr>
          <w:rFonts w:eastAsia="Times New Roman" w:cs="Times New Roman"/>
          <w:lang w:eastAsia="de-DE"/>
        </w:rPr>
        <w:t xml:space="preserve">(und du sollst erschallen lassen) im Hifil-Perfekt mit Waw-Konsekutiv, das Hifil zeigt kausatives </w:t>
      </w:r>
      <w:r w:rsidR="00BB61E9" w:rsidRPr="00CC6F7E">
        <w:rPr>
          <w:rFonts w:eastAsia="Times New Roman" w:cs="Times New Roman"/>
          <w:lang w:eastAsia="de-DE"/>
        </w:rPr>
        <w:t>Ertönen lassen</w:t>
      </w:r>
      <w:r w:rsidRPr="00CC6F7E">
        <w:rPr>
          <w:rFonts w:eastAsia="Times New Roman" w:cs="Times New Roman"/>
          <w:lang w:eastAsia="de-DE"/>
        </w:rPr>
        <w:t xml:space="preserve">. </w:t>
      </w:r>
      <w:r w:rsidRPr="00CC6F7E">
        <w:rPr>
          <w:rFonts w:eastAsia="Times New Roman" w:cs="Times New Roman"/>
          <w:b/>
          <w:bCs/>
          <w:rtl/>
          <w:lang w:eastAsia="de-DE"/>
        </w:rPr>
        <w:t>שופר תרועה</w:t>
      </w:r>
      <w:r w:rsidRPr="00CC6F7E">
        <w:rPr>
          <w:rFonts w:eastAsia="Times New Roman" w:cs="Times New Roman"/>
          <w:rtl/>
          <w:lang w:eastAsia="de-DE"/>
        </w:rPr>
        <w:t xml:space="preserve"> </w:t>
      </w:r>
      <w:r w:rsidRPr="00CC6F7E">
        <w:rPr>
          <w:rFonts w:eastAsia="Times New Roman" w:cs="Times New Roman"/>
          <w:lang w:eastAsia="de-DE"/>
        </w:rPr>
        <w:t xml:space="preserve">(Posaune des Lärmblasens) - </w:t>
      </w:r>
      <w:r w:rsidRPr="00CC6F7E">
        <w:rPr>
          <w:rFonts w:eastAsia="Times New Roman" w:cs="Times New Roman"/>
          <w:b/>
          <w:bCs/>
          <w:rtl/>
          <w:lang w:eastAsia="de-DE"/>
        </w:rPr>
        <w:t>שופר</w:t>
      </w:r>
      <w:r w:rsidRPr="00CC6F7E">
        <w:rPr>
          <w:rFonts w:eastAsia="Times New Roman" w:cs="Times New Roman"/>
          <w:rtl/>
          <w:lang w:eastAsia="de-DE"/>
        </w:rPr>
        <w:t xml:space="preserve"> </w:t>
      </w:r>
      <w:r w:rsidRPr="00CC6F7E">
        <w:rPr>
          <w:rFonts w:eastAsia="Times New Roman" w:cs="Times New Roman"/>
          <w:lang w:eastAsia="de-DE"/>
        </w:rPr>
        <w:t xml:space="preserve">(Widderhorn) und </w:t>
      </w:r>
      <w:r w:rsidRPr="00CC6F7E">
        <w:rPr>
          <w:rFonts w:eastAsia="Times New Roman" w:cs="Times New Roman"/>
          <w:b/>
          <w:bCs/>
          <w:rtl/>
          <w:lang w:eastAsia="de-DE"/>
        </w:rPr>
        <w:t>תרועה</w:t>
      </w:r>
      <w:r w:rsidRPr="00CC6F7E">
        <w:rPr>
          <w:rFonts w:eastAsia="Times New Roman" w:cs="Times New Roman"/>
          <w:rtl/>
          <w:lang w:eastAsia="de-DE"/>
        </w:rPr>
        <w:t xml:space="preserve"> </w:t>
      </w:r>
      <w:r w:rsidRPr="00CC6F7E">
        <w:rPr>
          <w:rFonts w:eastAsia="Times New Roman" w:cs="Times New Roman"/>
          <w:lang w:eastAsia="de-DE"/>
        </w:rPr>
        <w:t>entspricht 23,24 und zeigt lautes Blasen.</w:t>
      </w:r>
    </w:p>
    <w:p w14:paraId="445100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בחדש השביעי בעשור לחדש ביום הכפרים</w:t>
      </w:r>
      <w:r w:rsidRPr="00CC6F7E">
        <w:rPr>
          <w:rFonts w:eastAsia="Times New Roman" w:cs="Times New Roman"/>
          <w:rtl/>
          <w:lang w:eastAsia="de-DE"/>
        </w:rPr>
        <w:t xml:space="preserve"> </w:t>
      </w:r>
      <w:r w:rsidRPr="00CC6F7E">
        <w:rPr>
          <w:rFonts w:eastAsia="Times New Roman" w:cs="Times New Roman"/>
          <w:lang w:eastAsia="de-DE"/>
        </w:rPr>
        <w:t xml:space="preserve">(im siebten Monat, am Zehnten des Monats, am Versöhnungstag) entspricht exakt 23,27 und zeigt den Versöhnungstag als Proklamationstermin. </w:t>
      </w:r>
      <w:r w:rsidRPr="00CC6F7E">
        <w:rPr>
          <w:rFonts w:eastAsia="Times New Roman" w:cs="Times New Roman"/>
          <w:b/>
          <w:bCs/>
          <w:rtl/>
          <w:lang w:eastAsia="de-DE"/>
        </w:rPr>
        <w:t>תעבירו שופר בכל־ארצכם</w:t>
      </w:r>
      <w:r w:rsidRPr="00CC6F7E">
        <w:rPr>
          <w:rFonts w:eastAsia="Times New Roman" w:cs="Times New Roman"/>
          <w:rtl/>
          <w:lang w:eastAsia="de-DE"/>
        </w:rPr>
        <w:t xml:space="preserve"> </w:t>
      </w:r>
      <w:r w:rsidRPr="00CC6F7E">
        <w:rPr>
          <w:rFonts w:eastAsia="Times New Roman" w:cs="Times New Roman"/>
          <w:lang w:eastAsia="de-DE"/>
        </w:rPr>
        <w:t xml:space="preserve">(sollt ihr die Posaune durch euer ganzes Land erschallen lassen) - </w:t>
      </w:r>
      <w:r w:rsidRPr="00CC6F7E">
        <w:rPr>
          <w:rFonts w:eastAsia="Times New Roman" w:cs="Times New Roman"/>
          <w:b/>
          <w:bCs/>
          <w:rtl/>
          <w:lang w:eastAsia="de-DE"/>
        </w:rPr>
        <w:t>תעבירו</w:t>
      </w:r>
      <w:r w:rsidRPr="00CC6F7E">
        <w:rPr>
          <w:rFonts w:eastAsia="Times New Roman" w:cs="Times New Roman"/>
          <w:rtl/>
          <w:lang w:eastAsia="de-DE"/>
        </w:rPr>
        <w:t xml:space="preserve"> </w:t>
      </w:r>
      <w:r w:rsidRPr="00CC6F7E">
        <w:rPr>
          <w:rFonts w:eastAsia="Times New Roman" w:cs="Times New Roman"/>
          <w:lang w:eastAsia="de-DE"/>
        </w:rPr>
        <w:t xml:space="preserve">(sollt ihr erschallen lassen) im Hifil-Imperfekt zeigt kollektive Ausführung. </w:t>
      </w:r>
      <w:r w:rsidRPr="00CC6F7E">
        <w:rPr>
          <w:rFonts w:eastAsia="Times New Roman" w:cs="Times New Roman"/>
          <w:b/>
          <w:bCs/>
          <w:rtl/>
          <w:lang w:eastAsia="de-DE"/>
        </w:rPr>
        <w:t>בכל־ארצכם</w:t>
      </w:r>
      <w:r w:rsidRPr="00CC6F7E">
        <w:rPr>
          <w:rFonts w:eastAsia="Times New Roman" w:cs="Times New Roman"/>
          <w:rtl/>
          <w:lang w:eastAsia="de-DE"/>
        </w:rPr>
        <w:t xml:space="preserve"> </w:t>
      </w:r>
      <w:r w:rsidRPr="00CC6F7E">
        <w:rPr>
          <w:rFonts w:eastAsia="Times New Roman" w:cs="Times New Roman"/>
          <w:lang w:eastAsia="de-DE"/>
        </w:rPr>
        <w:t>(durch euer ganzes Land) zeigt universelle Verkündigung.</w:t>
      </w:r>
    </w:p>
    <w:p w14:paraId="7297138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שופר תרועה</w:t>
      </w:r>
      <w:r w:rsidRPr="00CC6F7E">
        <w:rPr>
          <w:rFonts w:eastAsia="Times New Roman" w:cs="Times New Roman"/>
          <w:rtl/>
          <w:lang w:eastAsia="de-DE"/>
        </w:rPr>
        <w:t xml:space="preserve"> </w:t>
      </w:r>
      <w:r w:rsidRPr="00CC6F7E">
        <w:rPr>
          <w:rFonts w:eastAsia="Times New Roman" w:cs="Times New Roman"/>
          <w:lang w:eastAsia="de-DE"/>
        </w:rPr>
        <w:t xml:space="preserve">verbindet mit dem Posaunentag (23,24). </w:t>
      </w:r>
      <w:r w:rsidRPr="00CC6F7E">
        <w:rPr>
          <w:rFonts w:eastAsia="Times New Roman" w:cs="Times New Roman"/>
          <w:b/>
          <w:bCs/>
          <w:rtl/>
          <w:lang w:eastAsia="de-DE"/>
        </w:rPr>
        <w:t>ביום הכפרים</w:t>
      </w:r>
      <w:r w:rsidRPr="00CC6F7E">
        <w:rPr>
          <w:rFonts w:eastAsia="Times New Roman" w:cs="Times New Roman"/>
          <w:rtl/>
          <w:lang w:eastAsia="de-DE"/>
        </w:rPr>
        <w:t xml:space="preserve"> </w:t>
      </w:r>
      <w:r w:rsidRPr="00CC6F7E">
        <w:rPr>
          <w:rFonts w:eastAsia="Times New Roman" w:cs="Times New Roman"/>
          <w:lang w:eastAsia="de-DE"/>
        </w:rPr>
        <w:t xml:space="preserve">zeigt den Versöhnungstag als Jobel-Proklamation. </w:t>
      </w:r>
      <w:r w:rsidRPr="00CC6F7E">
        <w:rPr>
          <w:rFonts w:eastAsia="Times New Roman" w:cs="Times New Roman"/>
          <w:b/>
          <w:bCs/>
          <w:rtl/>
          <w:lang w:eastAsia="de-DE"/>
        </w:rPr>
        <w:t>בכל־ארצכם</w:t>
      </w:r>
      <w:r w:rsidRPr="00CC6F7E">
        <w:rPr>
          <w:rFonts w:eastAsia="Times New Roman" w:cs="Times New Roman"/>
          <w:rtl/>
          <w:lang w:eastAsia="de-DE"/>
        </w:rPr>
        <w:t xml:space="preserve"> </w:t>
      </w:r>
      <w:r w:rsidRPr="00CC6F7E">
        <w:rPr>
          <w:rFonts w:eastAsia="Times New Roman" w:cs="Times New Roman"/>
          <w:lang w:eastAsia="de-DE"/>
        </w:rPr>
        <w:t>zeigt landesweite Verkündigung.</w:t>
      </w:r>
    </w:p>
    <w:p w14:paraId="28D40D7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והעברת שופר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αβιβάσεις </w:t>
      </w:r>
      <w:proofErr w:type="spellStart"/>
      <w:r w:rsidRPr="00CC6F7E">
        <w:rPr>
          <w:rFonts w:eastAsia="Times New Roman" w:cs="Times New Roman"/>
          <w:lang w:eastAsia="de-DE"/>
        </w:rPr>
        <w:t>σάλ</w:t>
      </w:r>
      <w:proofErr w:type="spellEnd"/>
      <w:r w:rsidRPr="00CC6F7E">
        <w:rPr>
          <w:rFonts w:eastAsia="Times New Roman" w:cs="Times New Roman"/>
          <w:lang w:eastAsia="de-DE"/>
        </w:rPr>
        <w:t xml:space="preserve">πιγγι (wirst vorüberziehen lassen mit Trompete), </w:t>
      </w:r>
      <w:r w:rsidRPr="00CC6F7E">
        <w:rPr>
          <w:rFonts w:eastAsia="Times New Roman" w:cs="Times New Roman"/>
          <w:b/>
          <w:bCs/>
          <w:rtl/>
          <w:lang w:eastAsia="de-DE"/>
        </w:rPr>
        <w:t>תרועה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σημ</w:t>
      </w:r>
      <w:proofErr w:type="spellEnd"/>
      <w:r w:rsidRPr="00CC6F7E">
        <w:rPr>
          <w:rFonts w:eastAsia="Times New Roman" w:cs="Times New Roman"/>
          <w:lang w:eastAsia="de-DE"/>
        </w:rPr>
        <w:t xml:space="preserve">ασίας (des Signals), </w:t>
      </w:r>
      <w:r w:rsidRPr="00CC6F7E">
        <w:rPr>
          <w:rFonts w:eastAsia="Times New Roman" w:cs="Times New Roman"/>
          <w:b/>
          <w:bCs/>
          <w:rtl/>
          <w:lang w:eastAsia="de-DE"/>
        </w:rPr>
        <w:t>בחדש השביעי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μηνὶ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ἑβ</w:t>
      </w:r>
      <w:proofErr w:type="spellStart"/>
      <w:r w:rsidRPr="00CC6F7E">
        <w:rPr>
          <w:rFonts w:eastAsia="Times New Roman" w:cs="Times New Roman"/>
          <w:lang w:eastAsia="de-DE"/>
        </w:rPr>
        <w:t>δόμῳ</w:t>
      </w:r>
      <w:proofErr w:type="spellEnd"/>
      <w:r w:rsidRPr="00CC6F7E">
        <w:rPr>
          <w:rFonts w:eastAsia="Times New Roman" w:cs="Times New Roman"/>
          <w:lang w:eastAsia="de-DE"/>
        </w:rPr>
        <w:t xml:space="preserve"> (im siebten Monat), </w:t>
      </w:r>
      <w:r w:rsidRPr="00CC6F7E">
        <w:rPr>
          <w:rFonts w:eastAsia="Times New Roman" w:cs="Times New Roman"/>
          <w:b/>
          <w:bCs/>
          <w:rtl/>
          <w:lang w:eastAsia="de-DE"/>
        </w:rPr>
        <w:t>בעשור לחדש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δεκάτῃ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μηνός</w:t>
      </w:r>
      <w:proofErr w:type="spellEnd"/>
      <w:r w:rsidRPr="00CC6F7E">
        <w:rPr>
          <w:rFonts w:eastAsia="Times New Roman" w:cs="Times New Roman"/>
          <w:lang w:eastAsia="de-DE"/>
        </w:rPr>
        <w:t xml:space="preserve"> (am zehnten des Monats) und </w:t>
      </w:r>
      <w:r w:rsidRPr="00CC6F7E">
        <w:rPr>
          <w:rFonts w:eastAsia="Times New Roman" w:cs="Times New Roman"/>
          <w:b/>
          <w:bCs/>
          <w:rtl/>
          <w:lang w:eastAsia="de-DE"/>
        </w:rPr>
        <w:t>ביום הכפרים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ἡμέρᾳ</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ἱλ</w:t>
      </w:r>
      <w:proofErr w:type="spellEnd"/>
      <w:r w:rsidRPr="00CC6F7E">
        <w:rPr>
          <w:rFonts w:eastAsia="Times New Roman" w:cs="Times New Roman"/>
          <w:lang w:eastAsia="de-DE"/>
        </w:rPr>
        <w:t>ασμοῦ (am Tag der Sühne).</w:t>
      </w:r>
    </w:p>
    <w:p w14:paraId="6A153A5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Jobel-Proklamation: Posaunen-</w:t>
      </w:r>
      <w:r w:rsidRPr="00CC6F7E">
        <w:rPr>
          <w:rFonts w:eastAsia="Times New Roman" w:cs="Times New Roman"/>
          <w:b/>
          <w:bCs/>
          <w:rtl/>
          <w:lang w:eastAsia="de-DE"/>
        </w:rPr>
        <w:t>תרועה</w:t>
      </w:r>
      <w:r w:rsidRPr="00CC6F7E">
        <w:rPr>
          <w:rFonts w:eastAsia="Times New Roman" w:cs="Times New Roman"/>
          <w:rtl/>
          <w:lang w:eastAsia="de-DE"/>
        </w:rPr>
        <w:t xml:space="preserve"> </w:t>
      </w:r>
      <w:r w:rsidRPr="00CC6F7E">
        <w:rPr>
          <w:rFonts w:eastAsia="Times New Roman" w:cs="Times New Roman"/>
          <w:lang w:eastAsia="de-DE"/>
        </w:rPr>
        <w:t>+ siebter Monat + zehnter Tag + Versöhnungstag + landesweite Posaunen-Verkündigung.</w:t>
      </w:r>
    </w:p>
    <w:p w14:paraId="4B6CDB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zeigt die feierliche Proklamation des Jobeljahrs durch </w:t>
      </w:r>
      <w:r w:rsidRPr="00CC6F7E">
        <w:rPr>
          <w:rFonts w:eastAsia="Times New Roman" w:cs="Times New Roman"/>
          <w:b/>
          <w:bCs/>
          <w:rtl/>
          <w:lang w:eastAsia="de-DE"/>
        </w:rPr>
        <w:t>שופר תרועה</w:t>
      </w:r>
      <w:r w:rsidRPr="00CC6F7E">
        <w:rPr>
          <w:rFonts w:eastAsia="Times New Roman" w:cs="Times New Roman"/>
          <w:rtl/>
          <w:lang w:eastAsia="de-DE"/>
        </w:rPr>
        <w:t xml:space="preserve"> </w:t>
      </w:r>
      <w:r w:rsidRPr="00CC6F7E">
        <w:rPr>
          <w:rFonts w:eastAsia="Times New Roman" w:cs="Times New Roman"/>
          <w:lang w:eastAsia="de-DE"/>
        </w:rPr>
        <w:t>am Versöhnungstag im ganzen Land.</w:t>
      </w:r>
    </w:p>
    <w:p w14:paraId="2A1E3BB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25,10</w:t>
      </w:r>
    </w:p>
    <w:p w14:paraId="64E538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וְקִדַּשְׁתֶּ֗ם אֵ֣ת שְׁנַ֤ת הַחֲמִשִּׁים֙ שָׁנָ֔ה וּקְרָאתֶ֥ם דְּר֛וֹר בָּאָ֖רֶץ לְכָל־יֹשְׁבֶ֑יהָ יוֹבֵ֥ל הִוא֙ תִּהְיֶ֣ה לָכֶ֔ם וְשַׁבְתֶּ֗ם אִ֚ישׁ אֶל־אֲחֻזָּתוֹ֔ וְאִ֥ישׁ אֶל־מִשְׁפַּחְתּוֹ֖ תָּשֻֽׁבוּ׃</w:t>
      </w:r>
    </w:p>
    <w:p w14:paraId="48AC544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sollt das 50. Jahr heiligen und sollt im Land Freiheit ausrufen für alle seine Bewohner. Ein Jobel soll es für euch sein, und ihr sollt zurückkehren, ein jeder zu seinem Besitztum und ein jeder zu seiner Familie sollt ihr zurückkehren.</w:t>
      </w:r>
    </w:p>
    <w:p w14:paraId="162B18B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F82A25B">
          <v:rect id="_x0000_i1758" style="width:0;height:1.5pt" o:hralign="center" o:hrstd="t" o:hr="t" fillcolor="#a0a0a0" stroked="f"/>
        </w:pict>
      </w:r>
    </w:p>
    <w:p w14:paraId="0E60F3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וקדשתם את שנת החמשים שנה וקראתם דרור בארץ לכל־ישביה יובל הוא תהיה לכם ושבתם איש אל־אחזתו ואיש אל־משפחתו תשבו</w:t>
      </w:r>
      <w:r w:rsidRPr="00CC6F7E">
        <w:rPr>
          <w:rFonts w:eastAsia="Times New Roman" w:cs="Times New Roman"/>
          <w:rtl/>
          <w:lang w:eastAsia="de-DE"/>
        </w:rPr>
        <w:t xml:space="preserve"> </w:t>
      </w:r>
      <w:r w:rsidRPr="00CC6F7E">
        <w:rPr>
          <w:rFonts w:eastAsia="Times New Roman" w:cs="Times New Roman"/>
          <w:lang w:eastAsia="de-DE"/>
        </w:rPr>
        <w:t xml:space="preserve">etabliert das 50. Jahr als Jobeljahr. </w:t>
      </w:r>
      <w:r w:rsidRPr="00CC6F7E">
        <w:rPr>
          <w:rFonts w:eastAsia="Times New Roman" w:cs="Times New Roman"/>
          <w:b/>
          <w:bCs/>
          <w:rtl/>
          <w:lang w:eastAsia="de-DE"/>
        </w:rPr>
        <w:t>וקדשתם את שנת החמשים שנה</w:t>
      </w:r>
      <w:r w:rsidRPr="00CC6F7E">
        <w:rPr>
          <w:rFonts w:eastAsia="Times New Roman" w:cs="Times New Roman"/>
          <w:rtl/>
          <w:lang w:eastAsia="de-DE"/>
        </w:rPr>
        <w:t xml:space="preserve"> </w:t>
      </w:r>
      <w:r w:rsidRPr="00CC6F7E">
        <w:rPr>
          <w:rFonts w:eastAsia="Times New Roman" w:cs="Times New Roman"/>
          <w:lang w:eastAsia="de-DE"/>
        </w:rPr>
        <w:t xml:space="preserve">(und ihr sollt das 50. Jahr heiligen) - </w:t>
      </w:r>
      <w:r w:rsidRPr="00CC6F7E">
        <w:rPr>
          <w:rFonts w:eastAsia="Times New Roman" w:cs="Times New Roman"/>
          <w:b/>
          <w:bCs/>
          <w:rtl/>
          <w:lang w:eastAsia="de-DE"/>
        </w:rPr>
        <w:t>וקדשתם</w:t>
      </w:r>
      <w:r w:rsidRPr="00CC6F7E">
        <w:rPr>
          <w:rFonts w:eastAsia="Times New Roman" w:cs="Times New Roman"/>
          <w:rtl/>
          <w:lang w:eastAsia="de-DE"/>
        </w:rPr>
        <w:t xml:space="preserve"> </w:t>
      </w:r>
      <w:r w:rsidRPr="00CC6F7E">
        <w:rPr>
          <w:rFonts w:eastAsia="Times New Roman" w:cs="Times New Roman"/>
          <w:lang w:eastAsia="de-DE"/>
        </w:rPr>
        <w:t xml:space="preserve">(und ihr sollt heiligen) im Piel-Perfekt mit Waw-Konsekutiv, das Piel zeigt intensive Heiligung. </w:t>
      </w:r>
      <w:r w:rsidRPr="00CC6F7E">
        <w:rPr>
          <w:rFonts w:eastAsia="Times New Roman" w:cs="Times New Roman"/>
          <w:b/>
          <w:bCs/>
          <w:rtl/>
          <w:lang w:eastAsia="de-DE"/>
        </w:rPr>
        <w:t>שנת החמשים</w:t>
      </w:r>
      <w:r w:rsidRPr="00CC6F7E">
        <w:rPr>
          <w:rFonts w:eastAsia="Times New Roman" w:cs="Times New Roman"/>
          <w:rtl/>
          <w:lang w:eastAsia="de-DE"/>
        </w:rPr>
        <w:t xml:space="preserve"> </w:t>
      </w:r>
      <w:r w:rsidRPr="00CC6F7E">
        <w:rPr>
          <w:rFonts w:eastAsia="Times New Roman" w:cs="Times New Roman"/>
          <w:lang w:eastAsia="de-DE"/>
        </w:rPr>
        <w:t>(das 50. Jahr) als Jahr nach den 49 Jahren.</w:t>
      </w:r>
    </w:p>
    <w:p w14:paraId="387539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וקראתם דרור בארץ לכל־ישביה</w:t>
      </w:r>
      <w:r w:rsidRPr="00CC6F7E">
        <w:rPr>
          <w:rFonts w:eastAsia="Times New Roman" w:cs="Times New Roman"/>
          <w:rtl/>
          <w:lang w:eastAsia="de-DE"/>
        </w:rPr>
        <w:t xml:space="preserve"> </w:t>
      </w:r>
      <w:r w:rsidRPr="00CC6F7E">
        <w:rPr>
          <w:rFonts w:eastAsia="Times New Roman" w:cs="Times New Roman"/>
          <w:lang w:eastAsia="de-DE"/>
        </w:rPr>
        <w:t xml:space="preserve">(und sollt im Land Freiheit ausrufen für alle seine Bewohner) - </w:t>
      </w:r>
      <w:r w:rsidRPr="00CC6F7E">
        <w:rPr>
          <w:rFonts w:eastAsia="Times New Roman" w:cs="Times New Roman"/>
          <w:b/>
          <w:bCs/>
          <w:rtl/>
          <w:lang w:eastAsia="de-DE"/>
        </w:rPr>
        <w:t>וקראתם דרור</w:t>
      </w:r>
      <w:r w:rsidRPr="00CC6F7E">
        <w:rPr>
          <w:rFonts w:eastAsia="Times New Roman" w:cs="Times New Roman"/>
          <w:rtl/>
          <w:lang w:eastAsia="de-DE"/>
        </w:rPr>
        <w:t xml:space="preserve"> </w:t>
      </w:r>
      <w:r w:rsidRPr="00CC6F7E">
        <w:rPr>
          <w:rFonts w:eastAsia="Times New Roman" w:cs="Times New Roman"/>
          <w:lang w:eastAsia="de-DE"/>
        </w:rPr>
        <w:t xml:space="preserve">(und ihr sollt Freiheit ausrufen) - </w:t>
      </w:r>
      <w:r w:rsidRPr="00CC6F7E">
        <w:rPr>
          <w:rFonts w:eastAsia="Times New Roman" w:cs="Times New Roman"/>
          <w:b/>
          <w:bCs/>
          <w:rtl/>
          <w:lang w:eastAsia="de-DE"/>
        </w:rPr>
        <w:t>דרור</w:t>
      </w:r>
      <w:r w:rsidRPr="00CC6F7E">
        <w:rPr>
          <w:rFonts w:eastAsia="Times New Roman" w:cs="Times New Roman"/>
          <w:rtl/>
          <w:lang w:eastAsia="de-DE"/>
        </w:rPr>
        <w:t xml:space="preserve"> </w:t>
      </w:r>
      <w:r w:rsidRPr="00CC6F7E">
        <w:rPr>
          <w:rFonts w:eastAsia="Times New Roman" w:cs="Times New Roman"/>
          <w:lang w:eastAsia="de-DE"/>
        </w:rPr>
        <w:t xml:space="preserve">(Freiheit) von </w:t>
      </w:r>
      <w:r w:rsidRPr="00CC6F7E">
        <w:rPr>
          <w:rFonts w:eastAsia="Times New Roman" w:cs="Times New Roman"/>
          <w:b/>
          <w:bCs/>
          <w:rtl/>
          <w:lang w:eastAsia="de-DE"/>
        </w:rPr>
        <w:t>דרר</w:t>
      </w:r>
      <w:r w:rsidRPr="00CC6F7E">
        <w:rPr>
          <w:rFonts w:eastAsia="Times New Roman" w:cs="Times New Roman"/>
          <w:rtl/>
          <w:lang w:eastAsia="de-DE"/>
        </w:rPr>
        <w:t xml:space="preserve"> </w:t>
      </w:r>
      <w:r w:rsidRPr="00CC6F7E">
        <w:rPr>
          <w:rFonts w:eastAsia="Times New Roman" w:cs="Times New Roman"/>
          <w:lang w:eastAsia="de-DE"/>
        </w:rPr>
        <w:t xml:space="preserve">(frei fließen) zeigt Befreiung. </w:t>
      </w:r>
      <w:r w:rsidRPr="00CC6F7E">
        <w:rPr>
          <w:rFonts w:eastAsia="Times New Roman" w:cs="Times New Roman"/>
          <w:b/>
          <w:bCs/>
          <w:rtl/>
          <w:lang w:eastAsia="de-DE"/>
        </w:rPr>
        <w:t>בארץ לכל־ישביה</w:t>
      </w:r>
      <w:r w:rsidRPr="00CC6F7E">
        <w:rPr>
          <w:rFonts w:eastAsia="Times New Roman" w:cs="Times New Roman"/>
          <w:rtl/>
          <w:lang w:eastAsia="de-DE"/>
        </w:rPr>
        <w:t xml:space="preserve"> </w:t>
      </w:r>
      <w:r w:rsidRPr="00CC6F7E">
        <w:rPr>
          <w:rFonts w:eastAsia="Times New Roman" w:cs="Times New Roman"/>
          <w:lang w:eastAsia="de-DE"/>
        </w:rPr>
        <w:t>(im Land für alle seine Bewohner) zeigt universelle Anwendung.</w:t>
      </w:r>
    </w:p>
    <w:p w14:paraId="0436D71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יובל הוא תהיה לכם</w:t>
      </w:r>
      <w:r w:rsidRPr="00CC6F7E">
        <w:rPr>
          <w:rFonts w:eastAsia="Times New Roman" w:cs="Times New Roman"/>
          <w:rtl/>
          <w:lang w:eastAsia="de-DE"/>
        </w:rPr>
        <w:t xml:space="preserve"> </w:t>
      </w:r>
      <w:r w:rsidRPr="00CC6F7E">
        <w:rPr>
          <w:rFonts w:eastAsia="Times New Roman" w:cs="Times New Roman"/>
          <w:lang w:eastAsia="de-DE"/>
        </w:rPr>
        <w:t xml:space="preserve">(ein Jobel soll es für euch sein) - </w:t>
      </w:r>
      <w:r w:rsidRPr="00CC6F7E">
        <w:rPr>
          <w:rFonts w:eastAsia="Times New Roman" w:cs="Times New Roman"/>
          <w:b/>
          <w:bCs/>
          <w:rtl/>
          <w:lang w:eastAsia="de-DE"/>
        </w:rPr>
        <w:t>יובל</w:t>
      </w:r>
      <w:r w:rsidRPr="00CC6F7E">
        <w:rPr>
          <w:rFonts w:eastAsia="Times New Roman" w:cs="Times New Roman"/>
          <w:rtl/>
          <w:lang w:eastAsia="de-DE"/>
        </w:rPr>
        <w:t xml:space="preserve"> </w:t>
      </w:r>
      <w:r w:rsidRPr="00CC6F7E">
        <w:rPr>
          <w:rFonts w:eastAsia="Times New Roman" w:cs="Times New Roman"/>
          <w:lang w:eastAsia="de-DE"/>
        </w:rPr>
        <w:t xml:space="preserve">(Jobel) möglicherweise von </w:t>
      </w:r>
      <w:r w:rsidRPr="00CC6F7E">
        <w:rPr>
          <w:rFonts w:eastAsia="Times New Roman" w:cs="Times New Roman"/>
          <w:b/>
          <w:bCs/>
          <w:rtl/>
          <w:lang w:eastAsia="de-DE"/>
        </w:rPr>
        <w:t>יבל</w:t>
      </w:r>
      <w:r w:rsidRPr="00CC6F7E">
        <w:rPr>
          <w:rFonts w:eastAsia="Times New Roman" w:cs="Times New Roman"/>
          <w:rtl/>
          <w:lang w:eastAsia="de-DE"/>
        </w:rPr>
        <w:t xml:space="preserve"> </w:t>
      </w:r>
      <w:r w:rsidRPr="00CC6F7E">
        <w:rPr>
          <w:rFonts w:eastAsia="Times New Roman" w:cs="Times New Roman"/>
          <w:lang w:eastAsia="de-DE"/>
        </w:rPr>
        <w:t xml:space="preserve">(führen/bringen) oder </w:t>
      </w:r>
      <w:r w:rsidRPr="00CC6F7E">
        <w:rPr>
          <w:rFonts w:eastAsia="Times New Roman" w:cs="Times New Roman"/>
          <w:b/>
          <w:bCs/>
          <w:rtl/>
          <w:lang w:eastAsia="de-DE"/>
        </w:rPr>
        <w:t>יובל</w:t>
      </w:r>
      <w:r w:rsidRPr="00CC6F7E">
        <w:rPr>
          <w:rFonts w:eastAsia="Times New Roman" w:cs="Times New Roman"/>
          <w:rtl/>
          <w:lang w:eastAsia="de-DE"/>
        </w:rPr>
        <w:t xml:space="preserve"> </w:t>
      </w:r>
      <w:r w:rsidRPr="00CC6F7E">
        <w:rPr>
          <w:rFonts w:eastAsia="Times New Roman" w:cs="Times New Roman"/>
          <w:lang w:eastAsia="de-DE"/>
        </w:rPr>
        <w:t>(Widderhorn) zeigt die offizielle Bezeichnung.</w:t>
      </w:r>
    </w:p>
    <w:p w14:paraId="46E59B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ושבתם איש אל־אחזתו ואיש אל־משפחתו תשבו</w:t>
      </w:r>
      <w:r w:rsidRPr="00CC6F7E">
        <w:rPr>
          <w:rFonts w:eastAsia="Times New Roman" w:cs="Times New Roman"/>
          <w:rtl/>
          <w:lang w:eastAsia="de-DE"/>
        </w:rPr>
        <w:t xml:space="preserve"> </w:t>
      </w:r>
      <w:r w:rsidRPr="00CC6F7E">
        <w:rPr>
          <w:rFonts w:eastAsia="Times New Roman" w:cs="Times New Roman"/>
          <w:lang w:eastAsia="de-DE"/>
        </w:rPr>
        <w:t>(und ihr sollt zurückkehren, ein jeder zu seinem Besitztum und ein jeder zu seiner Familie sollt ihr zurückkehren) zeigt zwei Arten der Rückkehr:</w:t>
      </w:r>
    </w:p>
    <w:p w14:paraId="7189FA78" w14:textId="77777777" w:rsidR="00CC6F7E" w:rsidRPr="00CC6F7E" w:rsidRDefault="00CC6F7E" w:rsidP="00CC6F7E">
      <w:pPr>
        <w:numPr>
          <w:ilvl w:val="0"/>
          <w:numId w:val="23"/>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אל־אחזתו</w:t>
      </w:r>
      <w:r w:rsidRPr="00CC6F7E">
        <w:rPr>
          <w:rFonts w:eastAsia="Times New Roman" w:cs="Times New Roman"/>
          <w:rtl/>
          <w:lang w:eastAsia="de-DE"/>
        </w:rPr>
        <w:t xml:space="preserve"> </w:t>
      </w:r>
      <w:r w:rsidRPr="00CC6F7E">
        <w:rPr>
          <w:rFonts w:eastAsia="Times New Roman" w:cs="Times New Roman"/>
          <w:lang w:eastAsia="de-DE"/>
        </w:rPr>
        <w:t>(zu seinem Besitztum) - Landbesitz</w:t>
      </w:r>
    </w:p>
    <w:p w14:paraId="555AD06B" w14:textId="77777777" w:rsidR="00CC6F7E" w:rsidRPr="00CC6F7E" w:rsidRDefault="00CC6F7E" w:rsidP="00CC6F7E">
      <w:pPr>
        <w:numPr>
          <w:ilvl w:val="0"/>
          <w:numId w:val="23"/>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אל־משפחתו</w:t>
      </w:r>
      <w:r w:rsidRPr="00CC6F7E">
        <w:rPr>
          <w:rFonts w:eastAsia="Times New Roman" w:cs="Times New Roman"/>
          <w:rtl/>
          <w:lang w:eastAsia="de-DE"/>
        </w:rPr>
        <w:t xml:space="preserve"> </w:t>
      </w:r>
      <w:r w:rsidRPr="00CC6F7E">
        <w:rPr>
          <w:rFonts w:eastAsia="Times New Roman" w:cs="Times New Roman"/>
          <w:lang w:eastAsia="de-DE"/>
        </w:rPr>
        <w:t>(zu seiner Familie) - Familienzugehörigkeit</w:t>
      </w:r>
    </w:p>
    <w:p w14:paraId="17FA786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שנת החמשים</w:t>
      </w:r>
      <w:r w:rsidRPr="00CC6F7E">
        <w:rPr>
          <w:rFonts w:eastAsia="Times New Roman" w:cs="Times New Roman"/>
          <w:rtl/>
          <w:lang w:eastAsia="de-DE"/>
        </w:rPr>
        <w:t xml:space="preserve"> </w:t>
      </w:r>
      <w:r w:rsidRPr="00CC6F7E">
        <w:rPr>
          <w:rFonts w:eastAsia="Times New Roman" w:cs="Times New Roman"/>
          <w:lang w:eastAsia="de-DE"/>
        </w:rPr>
        <w:t xml:space="preserve">als 50. Jahr nach den 49. </w:t>
      </w:r>
      <w:r w:rsidRPr="00CC6F7E">
        <w:rPr>
          <w:rFonts w:eastAsia="Times New Roman" w:cs="Times New Roman"/>
          <w:b/>
          <w:bCs/>
          <w:rtl/>
          <w:lang w:eastAsia="de-DE"/>
        </w:rPr>
        <w:t>דרור</w:t>
      </w:r>
      <w:r w:rsidRPr="00CC6F7E">
        <w:rPr>
          <w:rFonts w:eastAsia="Times New Roman" w:cs="Times New Roman"/>
          <w:rtl/>
          <w:lang w:eastAsia="de-DE"/>
        </w:rPr>
        <w:t xml:space="preserve"> </w:t>
      </w:r>
      <w:r w:rsidRPr="00CC6F7E">
        <w:rPr>
          <w:rFonts w:eastAsia="Times New Roman" w:cs="Times New Roman"/>
          <w:lang w:eastAsia="de-DE"/>
        </w:rPr>
        <w:t xml:space="preserve">als umfassende Befreiung. </w:t>
      </w:r>
      <w:r w:rsidRPr="00CC6F7E">
        <w:rPr>
          <w:rFonts w:eastAsia="Times New Roman" w:cs="Times New Roman"/>
          <w:b/>
          <w:bCs/>
          <w:rtl/>
          <w:lang w:eastAsia="de-DE"/>
        </w:rPr>
        <w:t>יובל</w:t>
      </w:r>
      <w:r w:rsidRPr="00CC6F7E">
        <w:rPr>
          <w:rFonts w:eastAsia="Times New Roman" w:cs="Times New Roman"/>
          <w:rtl/>
          <w:lang w:eastAsia="de-DE"/>
        </w:rPr>
        <w:t xml:space="preserve"> </w:t>
      </w:r>
      <w:r w:rsidRPr="00CC6F7E">
        <w:rPr>
          <w:rFonts w:eastAsia="Times New Roman" w:cs="Times New Roman"/>
          <w:lang w:eastAsia="de-DE"/>
        </w:rPr>
        <w:t xml:space="preserve">als technischer Name. Die doppelte </w:t>
      </w:r>
      <w:r w:rsidRPr="00CC6F7E">
        <w:rPr>
          <w:rFonts w:eastAsia="Times New Roman" w:cs="Times New Roman"/>
          <w:b/>
          <w:bCs/>
          <w:rtl/>
          <w:lang w:eastAsia="de-DE"/>
        </w:rPr>
        <w:t>שוב</w:t>
      </w:r>
      <w:r w:rsidRPr="00CC6F7E">
        <w:rPr>
          <w:rFonts w:eastAsia="Times New Roman" w:cs="Times New Roman"/>
          <w:lang w:eastAsia="de-DE"/>
        </w:rPr>
        <w:t>-Formulierung betont Besitz- und Familienrestitution.</w:t>
      </w:r>
    </w:p>
    <w:p w14:paraId="7EE9F7F5" w14:textId="5023C722"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יובל</w:t>
      </w:r>
      <w:r w:rsidR="009104A2">
        <w:t xml:space="preserve"> (</w:t>
      </w:r>
      <w:proofErr w:type="spellStart"/>
      <w:r w:rsidR="009104A2">
        <w:t>yovel</w:t>
      </w:r>
      <w:proofErr w:type="spellEnd"/>
      <w:r w:rsidR="009104A2">
        <w:t xml:space="preserve"> - "Jobeljahr") als </w:t>
      </w:r>
      <w:proofErr w:type="spellStart"/>
      <w:r w:rsidR="009104A2">
        <w:t>ἀφέσεως</w:t>
      </w:r>
      <w:proofErr w:type="spellEnd"/>
      <w:r w:rsidR="009104A2">
        <w:t xml:space="preserve"> </w:t>
      </w:r>
      <w:proofErr w:type="spellStart"/>
      <w:r w:rsidR="009104A2">
        <w:t>σημ</w:t>
      </w:r>
      <w:proofErr w:type="spellEnd"/>
      <w:r w:rsidR="009104A2">
        <w:t xml:space="preserve">ασία (Zeichen der Befreiung) und </w:t>
      </w:r>
      <w:r w:rsidR="009104A2">
        <w:rPr>
          <w:rtl/>
        </w:rPr>
        <w:t>דרור</w:t>
      </w:r>
      <w:r w:rsidR="009104A2">
        <w:t xml:space="preserve"> (</w:t>
      </w:r>
      <w:proofErr w:type="spellStart"/>
      <w:r w:rsidR="009104A2">
        <w:t>deror</w:t>
      </w:r>
      <w:proofErr w:type="spellEnd"/>
      <w:r w:rsidR="009104A2">
        <w:t xml:space="preserve"> - "Freilassung") als </w:t>
      </w:r>
      <w:proofErr w:type="spellStart"/>
      <w:r w:rsidR="009104A2">
        <w:t>ἄφεσιν</w:t>
      </w:r>
      <w:proofErr w:type="spellEnd"/>
      <w:r w:rsidR="009104A2">
        <w:t xml:space="preserve"> (Befreiung). Das hebräische </w:t>
      </w:r>
      <w:r w:rsidR="009104A2">
        <w:rPr>
          <w:rtl/>
        </w:rPr>
        <w:t>משפחה</w:t>
      </w:r>
      <w:r w:rsidR="009104A2">
        <w:t xml:space="preserve"> (</w:t>
      </w:r>
      <w:proofErr w:type="spellStart"/>
      <w:r w:rsidR="009104A2">
        <w:t>mishpacha</w:t>
      </w:r>
      <w:proofErr w:type="spellEnd"/>
      <w:r w:rsidR="009104A2">
        <w:t xml:space="preserve"> - "Familie/Sippe") wird als πα</w:t>
      </w:r>
      <w:proofErr w:type="spellStart"/>
      <w:r w:rsidR="009104A2">
        <w:t>τριά</w:t>
      </w:r>
      <w:proofErr w:type="spellEnd"/>
      <w:r w:rsidR="009104A2">
        <w:t xml:space="preserve"> (Geschlecht) wiedergegeben.</w:t>
      </w:r>
    </w:p>
    <w:p w14:paraId="70DA6B7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Jobeljahr-Etablierung: 50. Jahr heiligen + </w:t>
      </w:r>
      <w:r w:rsidRPr="00CC6F7E">
        <w:rPr>
          <w:rFonts w:eastAsia="Times New Roman" w:cs="Times New Roman"/>
          <w:b/>
          <w:bCs/>
          <w:rtl/>
          <w:lang w:eastAsia="de-DE"/>
        </w:rPr>
        <w:t>דרור</w:t>
      </w:r>
      <w:r w:rsidRPr="00CC6F7E">
        <w:rPr>
          <w:rFonts w:eastAsia="Times New Roman" w:cs="Times New Roman"/>
          <w:lang w:eastAsia="de-DE"/>
        </w:rPr>
        <w:t xml:space="preserve">-Ausrufung für alle Landesbewohner + </w:t>
      </w:r>
      <w:r w:rsidRPr="00CC6F7E">
        <w:rPr>
          <w:rFonts w:eastAsia="Times New Roman" w:cs="Times New Roman"/>
          <w:b/>
          <w:bCs/>
          <w:rtl/>
          <w:lang w:eastAsia="de-DE"/>
        </w:rPr>
        <w:t>יובל</w:t>
      </w:r>
      <w:r w:rsidRPr="00CC6F7E">
        <w:rPr>
          <w:rFonts w:eastAsia="Times New Roman" w:cs="Times New Roman"/>
          <w:lang w:eastAsia="de-DE"/>
        </w:rPr>
        <w:t>-Bezeichnung + Rückkehr zu Besitztum und Familie.</w:t>
      </w:r>
    </w:p>
    <w:p w14:paraId="065978A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das 50. Jahr als </w:t>
      </w:r>
      <w:r w:rsidRPr="00CC6F7E">
        <w:rPr>
          <w:rFonts w:eastAsia="Times New Roman" w:cs="Times New Roman"/>
          <w:b/>
          <w:bCs/>
          <w:rtl/>
          <w:lang w:eastAsia="de-DE"/>
        </w:rPr>
        <w:t>יובל</w:t>
      </w:r>
      <w:r w:rsidRPr="00CC6F7E">
        <w:rPr>
          <w:rFonts w:eastAsia="Times New Roman" w:cs="Times New Roman"/>
          <w:rtl/>
          <w:lang w:eastAsia="de-DE"/>
        </w:rPr>
        <w:t xml:space="preserve"> </w:t>
      </w:r>
      <w:r w:rsidRPr="00CC6F7E">
        <w:rPr>
          <w:rFonts w:eastAsia="Times New Roman" w:cs="Times New Roman"/>
          <w:lang w:eastAsia="de-DE"/>
        </w:rPr>
        <w:t xml:space="preserve">mit universeller </w:t>
      </w:r>
      <w:r w:rsidRPr="00CC6F7E">
        <w:rPr>
          <w:rFonts w:eastAsia="Times New Roman" w:cs="Times New Roman"/>
          <w:b/>
          <w:bCs/>
          <w:rtl/>
          <w:lang w:eastAsia="de-DE"/>
        </w:rPr>
        <w:t>דרור</w:t>
      </w:r>
      <w:r w:rsidRPr="00CC6F7E">
        <w:rPr>
          <w:rFonts w:eastAsia="Times New Roman" w:cs="Times New Roman"/>
          <w:lang w:eastAsia="de-DE"/>
        </w:rPr>
        <w:t>-Befreiung und Restitution von Besitz und Familie.</w:t>
      </w:r>
    </w:p>
    <w:p w14:paraId="3175FF4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25,11</w:t>
      </w:r>
    </w:p>
    <w:p w14:paraId="16CEF62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יוֹבֵ֣ל הִ֗וא שְׁנַ֛ת הַחֲמִשִּׁ֥ים שָׁנָ֖ה תִּהְיֶ֣ה לָכֶ֑ם לֹ֣א תִזְרָ֔עוּ וְלֹ֤א תִקְצְרוּ֙ אֶת־סְפִיחֶ֔יהָ וְלֹ֥א תִבְצְר֖וּ אֶת־נְזִרֶֽיהָ׃</w:t>
      </w:r>
    </w:p>
    <w:p w14:paraId="1CC5E1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Ein Jobel soll dieses 50. Jahr für euch sein. Ihr sollt nicht säen und seinen Nachwuchs nicht ernten und seine unbeschnittenen Weinstöcke nicht lesen.</w:t>
      </w:r>
    </w:p>
    <w:p w14:paraId="6E763E10"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19B570D">
          <v:rect id="_x0000_i1759" style="width:0;height:1.5pt" o:hralign="center" o:hrstd="t" o:hr="t" fillcolor="#a0a0a0" stroked="f"/>
        </w:pict>
      </w:r>
    </w:p>
    <w:p w14:paraId="4937CB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יובל הוא שנת החמשים שנה תהיה לכם לא תזרעו ולא תקצרו את־ספיחיה ולא תבצרו את־נזריה</w:t>
      </w:r>
      <w:r w:rsidRPr="00CC6F7E">
        <w:rPr>
          <w:rFonts w:eastAsia="Times New Roman" w:cs="Times New Roman"/>
          <w:rtl/>
          <w:lang w:eastAsia="de-DE"/>
        </w:rPr>
        <w:t xml:space="preserve"> </w:t>
      </w:r>
      <w:r w:rsidRPr="00CC6F7E">
        <w:rPr>
          <w:rFonts w:eastAsia="Times New Roman" w:cs="Times New Roman"/>
          <w:lang w:eastAsia="de-DE"/>
        </w:rPr>
        <w:t xml:space="preserve">zeigt das Jobeljahr als Sabbatjahr. </w:t>
      </w:r>
      <w:r w:rsidRPr="00CC6F7E">
        <w:rPr>
          <w:rFonts w:eastAsia="Times New Roman" w:cs="Times New Roman"/>
          <w:b/>
          <w:bCs/>
          <w:rtl/>
          <w:lang w:eastAsia="de-DE"/>
        </w:rPr>
        <w:t>יובל הוא שנת החמשים שנה תהיה לכם</w:t>
      </w:r>
      <w:r w:rsidRPr="00CC6F7E">
        <w:rPr>
          <w:rFonts w:eastAsia="Times New Roman" w:cs="Times New Roman"/>
          <w:rtl/>
          <w:lang w:eastAsia="de-DE"/>
        </w:rPr>
        <w:t xml:space="preserve"> </w:t>
      </w:r>
      <w:r w:rsidRPr="00CC6F7E">
        <w:rPr>
          <w:rFonts w:eastAsia="Times New Roman" w:cs="Times New Roman"/>
          <w:lang w:eastAsia="de-DE"/>
        </w:rPr>
        <w:t>(ein Jobel soll dieses 50. Jahr für euch sein) wiederholt V. 10 zur Betonung.</w:t>
      </w:r>
    </w:p>
    <w:p w14:paraId="7C921EC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תזרעו ולא תקצרו את־ספיחיה ולא תבצרו את־נזריה</w:t>
      </w:r>
      <w:r w:rsidRPr="00CC6F7E">
        <w:rPr>
          <w:rFonts w:eastAsia="Times New Roman" w:cs="Times New Roman"/>
          <w:rtl/>
          <w:lang w:eastAsia="de-DE"/>
        </w:rPr>
        <w:t xml:space="preserve"> </w:t>
      </w:r>
      <w:r w:rsidRPr="00CC6F7E">
        <w:rPr>
          <w:rFonts w:eastAsia="Times New Roman" w:cs="Times New Roman"/>
          <w:lang w:eastAsia="de-DE"/>
        </w:rPr>
        <w:t>(ihr sollt nicht säen und seinen Nachwuchs nicht ernten und seine unbeschnittenen Weinstöcke nicht lesen) entspricht exakt V. 4-5 und zeigt, dass das Jobeljahr dieselben Sabbatjahr-Regeln hat wie das siebte Jahr.</w:t>
      </w:r>
    </w:p>
    <w:p w14:paraId="0CB4D2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 drei Verbote:</w:t>
      </w:r>
    </w:p>
    <w:p w14:paraId="100BAA62" w14:textId="77777777" w:rsidR="00CC6F7E" w:rsidRPr="00CC6F7E" w:rsidRDefault="00CC6F7E" w:rsidP="00CC6F7E">
      <w:pPr>
        <w:numPr>
          <w:ilvl w:val="0"/>
          <w:numId w:val="24"/>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תזרעו</w:t>
      </w:r>
      <w:r w:rsidRPr="00CC6F7E">
        <w:rPr>
          <w:rFonts w:eastAsia="Times New Roman" w:cs="Times New Roman"/>
          <w:rtl/>
          <w:lang w:eastAsia="de-DE"/>
        </w:rPr>
        <w:t xml:space="preserve"> </w:t>
      </w:r>
      <w:r w:rsidRPr="00CC6F7E">
        <w:rPr>
          <w:rFonts w:eastAsia="Times New Roman" w:cs="Times New Roman"/>
          <w:lang w:eastAsia="de-DE"/>
        </w:rPr>
        <w:t>(ihr sollt nicht säen) entspricht V. 4</w:t>
      </w:r>
    </w:p>
    <w:p w14:paraId="2A942980" w14:textId="77777777" w:rsidR="00CC6F7E" w:rsidRPr="00CC6F7E" w:rsidRDefault="00CC6F7E" w:rsidP="00CC6F7E">
      <w:pPr>
        <w:numPr>
          <w:ilvl w:val="0"/>
          <w:numId w:val="24"/>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תקצרו את־ספיחיה</w:t>
      </w:r>
      <w:r w:rsidRPr="00CC6F7E">
        <w:rPr>
          <w:rFonts w:eastAsia="Times New Roman" w:cs="Times New Roman"/>
          <w:rtl/>
          <w:lang w:eastAsia="de-DE"/>
        </w:rPr>
        <w:t xml:space="preserve"> </w:t>
      </w:r>
      <w:r w:rsidRPr="00CC6F7E">
        <w:rPr>
          <w:rFonts w:eastAsia="Times New Roman" w:cs="Times New Roman"/>
          <w:lang w:eastAsia="de-DE"/>
        </w:rPr>
        <w:t>(seinen Nachwuchs nicht ernten) entspricht V. 5</w:t>
      </w:r>
    </w:p>
    <w:p w14:paraId="1108DA4F" w14:textId="77777777" w:rsidR="00CC6F7E" w:rsidRPr="00CC6F7E" w:rsidRDefault="00CC6F7E" w:rsidP="00CC6F7E">
      <w:pPr>
        <w:numPr>
          <w:ilvl w:val="0"/>
          <w:numId w:val="24"/>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תבצרו את־נזריה</w:t>
      </w:r>
      <w:r w:rsidRPr="00CC6F7E">
        <w:rPr>
          <w:rFonts w:eastAsia="Times New Roman" w:cs="Times New Roman"/>
          <w:rtl/>
          <w:lang w:eastAsia="de-DE"/>
        </w:rPr>
        <w:t xml:space="preserve"> </w:t>
      </w:r>
      <w:r w:rsidRPr="00CC6F7E">
        <w:rPr>
          <w:rFonts w:eastAsia="Times New Roman" w:cs="Times New Roman"/>
          <w:lang w:eastAsia="de-DE"/>
        </w:rPr>
        <w:t>(seine unbeschnittenen Weinstöcke nicht lesen) entspricht V. 5</w:t>
      </w:r>
    </w:p>
    <w:p w14:paraId="1BABD52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יובל הוא</w:t>
      </w:r>
      <w:r w:rsidRPr="00CC6F7E">
        <w:rPr>
          <w:rFonts w:eastAsia="Times New Roman" w:cs="Times New Roman"/>
          <w:rtl/>
          <w:lang w:eastAsia="de-DE"/>
        </w:rPr>
        <w:t xml:space="preserve"> </w:t>
      </w:r>
      <w:r w:rsidRPr="00CC6F7E">
        <w:rPr>
          <w:rFonts w:eastAsia="Times New Roman" w:cs="Times New Roman"/>
          <w:lang w:eastAsia="de-DE"/>
        </w:rPr>
        <w:t xml:space="preserve">betont die </w:t>
      </w:r>
      <w:r w:rsidRPr="00CC6F7E">
        <w:rPr>
          <w:rFonts w:eastAsia="Times New Roman" w:cs="Times New Roman"/>
          <w:b/>
          <w:bCs/>
          <w:rtl/>
          <w:lang w:eastAsia="de-DE"/>
        </w:rPr>
        <w:t>יובל</w:t>
      </w:r>
      <w:r w:rsidRPr="00CC6F7E">
        <w:rPr>
          <w:rFonts w:eastAsia="Times New Roman" w:cs="Times New Roman"/>
          <w:lang w:eastAsia="de-DE"/>
        </w:rPr>
        <w:t>-Identität. Die dreifachen Verbote zeigen, dass das Jobeljahr ein Sabbatjahr ist mit zusätzlichen sozialen Restitutionen.</w:t>
      </w:r>
    </w:p>
    <w:p w14:paraId="2A1C10F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יובל הוא</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ὕτη</w:t>
      </w:r>
      <w:proofErr w:type="spellEnd"/>
      <w:r w:rsidRPr="00CC6F7E">
        <w:rPr>
          <w:rFonts w:eastAsia="Times New Roman" w:cs="Times New Roman"/>
          <w:lang w:eastAsia="de-DE"/>
        </w:rPr>
        <w:t xml:space="preserve"> (dieses ist ein Erlass), </w:t>
      </w:r>
      <w:r w:rsidRPr="00CC6F7E">
        <w:rPr>
          <w:rFonts w:eastAsia="Times New Roman" w:cs="Times New Roman"/>
          <w:b/>
          <w:bCs/>
          <w:rtl/>
          <w:lang w:eastAsia="de-DE"/>
        </w:rPr>
        <w:t>שנת החמשים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ἐνι</w:t>
      </w:r>
      <w:proofErr w:type="spellEnd"/>
      <w:r w:rsidRPr="00CC6F7E">
        <w:rPr>
          <w:rFonts w:eastAsia="Times New Roman" w:cs="Times New Roman"/>
          <w:lang w:eastAsia="de-DE"/>
        </w:rPr>
        <w:t>αυτὸς π</w:t>
      </w:r>
      <w:proofErr w:type="spellStart"/>
      <w:r w:rsidRPr="00CC6F7E">
        <w:rPr>
          <w:rFonts w:eastAsia="Times New Roman" w:cs="Times New Roman"/>
          <w:lang w:eastAsia="de-DE"/>
        </w:rPr>
        <w:t>εντηκοστός</w:t>
      </w:r>
      <w:proofErr w:type="spellEnd"/>
      <w:r w:rsidRPr="00CC6F7E">
        <w:rPr>
          <w:rFonts w:eastAsia="Times New Roman" w:cs="Times New Roman"/>
          <w:lang w:eastAsia="de-DE"/>
        </w:rPr>
        <w:t xml:space="preserve"> (das 50. Jahr), </w:t>
      </w:r>
      <w:r w:rsidRPr="00CC6F7E">
        <w:rPr>
          <w:rFonts w:eastAsia="Times New Roman" w:cs="Times New Roman"/>
          <w:b/>
          <w:bCs/>
          <w:rtl/>
          <w:lang w:eastAsia="de-DE"/>
        </w:rPr>
        <w:t>ספיחיה</w:t>
      </w:r>
      <w:r w:rsidRPr="00CC6F7E">
        <w:rPr>
          <w:rFonts w:eastAsia="Times New Roman" w:cs="Times New Roman"/>
          <w:rtl/>
          <w:lang w:eastAsia="de-DE"/>
        </w:rPr>
        <w:t xml:space="preserve"> </w:t>
      </w:r>
      <w:r w:rsidRPr="00CC6F7E">
        <w:rPr>
          <w:rFonts w:eastAsia="Times New Roman" w:cs="Times New Roman"/>
          <w:lang w:eastAsia="de-DE"/>
        </w:rPr>
        <w:t>mit α</w:t>
      </w:r>
      <w:proofErr w:type="spellStart"/>
      <w:r w:rsidRPr="00CC6F7E">
        <w:rPr>
          <w:rFonts w:eastAsia="Times New Roman" w:cs="Times New Roman"/>
          <w:lang w:eastAsia="de-DE"/>
        </w:rPr>
        <w:t>ὐτόμ</w:t>
      </w:r>
      <w:proofErr w:type="spellEnd"/>
      <w:r w:rsidRPr="00CC6F7E">
        <w:rPr>
          <w:rFonts w:eastAsia="Times New Roman" w:cs="Times New Roman"/>
          <w:lang w:eastAsia="de-DE"/>
        </w:rPr>
        <w:t>ατα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(ihr Selbstgewachsenes) und </w:t>
      </w:r>
      <w:r w:rsidRPr="00CC6F7E">
        <w:rPr>
          <w:rFonts w:eastAsia="Times New Roman" w:cs="Times New Roman"/>
          <w:b/>
          <w:bCs/>
          <w:rtl/>
          <w:lang w:eastAsia="de-DE"/>
        </w:rPr>
        <w:t>נזריה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ἡγι</w:t>
      </w:r>
      <w:proofErr w:type="spellEnd"/>
      <w:r w:rsidRPr="00CC6F7E">
        <w:rPr>
          <w:rFonts w:eastAsia="Times New Roman" w:cs="Times New Roman"/>
          <w:lang w:eastAsia="de-DE"/>
        </w:rPr>
        <w:t>ασμένα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(ihre Geweihten).</w:t>
      </w:r>
    </w:p>
    <w:p w14:paraId="11C342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Jobeljahr-Sabbatregeln: </w:t>
      </w:r>
      <w:r w:rsidRPr="00CC6F7E">
        <w:rPr>
          <w:rFonts w:eastAsia="Times New Roman" w:cs="Times New Roman"/>
          <w:b/>
          <w:bCs/>
          <w:rtl/>
          <w:lang w:eastAsia="de-DE"/>
        </w:rPr>
        <w:t>יובל</w:t>
      </w:r>
      <w:r w:rsidRPr="00CC6F7E">
        <w:rPr>
          <w:rFonts w:eastAsia="Times New Roman" w:cs="Times New Roman"/>
          <w:lang w:eastAsia="de-DE"/>
        </w:rPr>
        <w:t>-Bezeichnung des 50. Jahrs + dreifaches landwirtschaftliches Verbot.</w:t>
      </w:r>
    </w:p>
    <w:p w14:paraId="0AE664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dass das Jobeljahr dieselben Sabbatjahr-Regeln wie das siebte Jahr befolgt.</w:t>
      </w:r>
    </w:p>
    <w:p w14:paraId="4397305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25,12</w:t>
      </w:r>
    </w:p>
    <w:p w14:paraId="1A253E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כִּ֚י יוֹבֵ֣ל הִ֔וא קֹ֖דֶשׁ תִּהְיֶ֣ה לָכֶ֑ם מִן־הַ֨שָּׂדֶ֔ה תֹּאכְל֖וּ אֶת־תְּבוּאָתָֽהּ׃</w:t>
      </w:r>
    </w:p>
    <w:p w14:paraId="21DBEC1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Denn ein Jobel ist es, heilig soll es für euch sein; vom Feld weg sollt ihr seinen Ertrag essen.</w:t>
      </w:r>
    </w:p>
    <w:p w14:paraId="0CFC6F7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F6746F9">
          <v:rect id="_x0000_i1760" style="width:0;height:1.5pt" o:hralign="center" o:hrstd="t" o:hr="t" fillcolor="#a0a0a0" stroked="f"/>
        </w:pict>
      </w:r>
    </w:p>
    <w:p w14:paraId="4B4DFF6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כי יובל הוא קדש תהיה לכם מן־השדה תאכלו את־תבואתה</w:t>
      </w:r>
      <w:r w:rsidRPr="00CC6F7E">
        <w:rPr>
          <w:rFonts w:eastAsia="Times New Roman" w:cs="Times New Roman"/>
          <w:rtl/>
          <w:lang w:eastAsia="de-DE"/>
        </w:rPr>
        <w:t xml:space="preserve"> </w:t>
      </w:r>
      <w:r w:rsidRPr="00CC6F7E">
        <w:rPr>
          <w:rFonts w:eastAsia="Times New Roman" w:cs="Times New Roman"/>
          <w:lang w:eastAsia="de-DE"/>
        </w:rPr>
        <w:t xml:space="preserve">begründet die Jobeljahr-Heiligkeit und zeigt die erlaubte Nutzung. </w:t>
      </w:r>
      <w:r w:rsidRPr="00CC6F7E">
        <w:rPr>
          <w:rFonts w:eastAsia="Times New Roman" w:cs="Times New Roman"/>
          <w:b/>
          <w:bCs/>
          <w:rtl/>
          <w:lang w:eastAsia="de-DE"/>
        </w:rPr>
        <w:t>כי יובל הוא קדש תהיה לכם</w:t>
      </w:r>
      <w:r w:rsidRPr="00CC6F7E">
        <w:rPr>
          <w:rFonts w:eastAsia="Times New Roman" w:cs="Times New Roman"/>
          <w:rtl/>
          <w:lang w:eastAsia="de-DE"/>
        </w:rPr>
        <w:t xml:space="preserve"> </w:t>
      </w:r>
      <w:r w:rsidRPr="00CC6F7E">
        <w:rPr>
          <w:rFonts w:eastAsia="Times New Roman" w:cs="Times New Roman"/>
          <w:lang w:eastAsia="de-DE"/>
        </w:rPr>
        <w:t xml:space="preserve">(denn ein Jobel ist es, heilig soll es für euch sein) - </w:t>
      </w:r>
      <w:r w:rsidRPr="00CC6F7E">
        <w:rPr>
          <w:rFonts w:eastAsia="Times New Roman" w:cs="Times New Roman"/>
          <w:b/>
          <w:bCs/>
          <w:rtl/>
          <w:lang w:eastAsia="de-DE"/>
        </w:rPr>
        <w:t>כי</w:t>
      </w:r>
      <w:r w:rsidRPr="00CC6F7E">
        <w:rPr>
          <w:rFonts w:eastAsia="Times New Roman" w:cs="Times New Roman"/>
          <w:rtl/>
          <w:lang w:eastAsia="de-DE"/>
        </w:rPr>
        <w:t xml:space="preserve"> </w:t>
      </w:r>
      <w:r w:rsidRPr="00CC6F7E">
        <w:rPr>
          <w:rFonts w:eastAsia="Times New Roman" w:cs="Times New Roman"/>
          <w:lang w:eastAsia="de-DE"/>
        </w:rPr>
        <w:t xml:space="preserve">zeigt Begründung. </w:t>
      </w:r>
      <w:r w:rsidRPr="00CC6F7E">
        <w:rPr>
          <w:rFonts w:eastAsia="Times New Roman" w:cs="Times New Roman"/>
          <w:b/>
          <w:bCs/>
          <w:rtl/>
          <w:lang w:eastAsia="de-DE"/>
        </w:rPr>
        <w:t>יובל הוא</w:t>
      </w:r>
      <w:r w:rsidRPr="00CC6F7E">
        <w:rPr>
          <w:rFonts w:eastAsia="Times New Roman" w:cs="Times New Roman"/>
          <w:rtl/>
          <w:lang w:eastAsia="de-DE"/>
        </w:rPr>
        <w:t xml:space="preserve"> </w:t>
      </w:r>
      <w:r w:rsidRPr="00CC6F7E">
        <w:rPr>
          <w:rFonts w:eastAsia="Times New Roman" w:cs="Times New Roman"/>
          <w:lang w:eastAsia="de-DE"/>
        </w:rPr>
        <w:t xml:space="preserve">entspricht V. 11. </w:t>
      </w:r>
      <w:r w:rsidRPr="00CC6F7E">
        <w:rPr>
          <w:rFonts w:eastAsia="Times New Roman" w:cs="Times New Roman"/>
          <w:b/>
          <w:bCs/>
          <w:rtl/>
          <w:lang w:eastAsia="de-DE"/>
        </w:rPr>
        <w:t>קדש תהיה לכם</w:t>
      </w:r>
      <w:r w:rsidRPr="00CC6F7E">
        <w:rPr>
          <w:rFonts w:eastAsia="Times New Roman" w:cs="Times New Roman"/>
          <w:rtl/>
          <w:lang w:eastAsia="de-DE"/>
        </w:rPr>
        <w:t xml:space="preserve"> </w:t>
      </w:r>
      <w:r w:rsidRPr="00CC6F7E">
        <w:rPr>
          <w:rFonts w:eastAsia="Times New Roman" w:cs="Times New Roman"/>
          <w:lang w:eastAsia="de-DE"/>
        </w:rPr>
        <w:t xml:space="preserve">(heilig soll es für euch sein) zeigt den </w:t>
      </w:r>
      <w:r w:rsidRPr="00CC6F7E">
        <w:rPr>
          <w:rFonts w:eastAsia="Times New Roman" w:cs="Times New Roman"/>
          <w:b/>
          <w:bCs/>
          <w:rtl/>
          <w:lang w:eastAsia="de-DE"/>
        </w:rPr>
        <w:t>קדש</w:t>
      </w:r>
      <w:r w:rsidRPr="00CC6F7E">
        <w:rPr>
          <w:rFonts w:eastAsia="Times New Roman" w:cs="Times New Roman"/>
          <w:lang w:eastAsia="de-DE"/>
        </w:rPr>
        <w:t>-Status des Jobeljahrs entsprechend Sabbat und Festen.</w:t>
      </w:r>
    </w:p>
    <w:p w14:paraId="0A4BE8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מן־השדה תאכלו את־תבואתה</w:t>
      </w:r>
      <w:r w:rsidRPr="00CC6F7E">
        <w:rPr>
          <w:rFonts w:eastAsia="Times New Roman" w:cs="Times New Roman"/>
          <w:rtl/>
          <w:lang w:eastAsia="de-DE"/>
        </w:rPr>
        <w:t xml:space="preserve"> </w:t>
      </w:r>
      <w:r w:rsidRPr="00CC6F7E">
        <w:rPr>
          <w:rFonts w:eastAsia="Times New Roman" w:cs="Times New Roman"/>
          <w:lang w:eastAsia="de-DE"/>
        </w:rPr>
        <w:t xml:space="preserve">(vom Feld weg sollt ihr seinen Ertrag essen) - </w:t>
      </w:r>
      <w:r w:rsidRPr="00CC6F7E">
        <w:rPr>
          <w:rFonts w:eastAsia="Times New Roman" w:cs="Times New Roman"/>
          <w:b/>
          <w:bCs/>
          <w:rtl/>
          <w:lang w:eastAsia="de-DE"/>
        </w:rPr>
        <w:t>מן־השדה</w:t>
      </w:r>
      <w:r w:rsidRPr="00CC6F7E">
        <w:rPr>
          <w:rFonts w:eastAsia="Times New Roman" w:cs="Times New Roman"/>
          <w:rtl/>
          <w:lang w:eastAsia="de-DE"/>
        </w:rPr>
        <w:t xml:space="preserve"> </w:t>
      </w:r>
      <w:r w:rsidRPr="00CC6F7E">
        <w:rPr>
          <w:rFonts w:eastAsia="Times New Roman" w:cs="Times New Roman"/>
          <w:lang w:eastAsia="de-DE"/>
        </w:rPr>
        <w:t xml:space="preserve">(vom Feld weg) zeigt direkten Verzehr ohne Lagerung oder Verkauf. </w:t>
      </w:r>
      <w:r w:rsidRPr="00CC6F7E">
        <w:rPr>
          <w:rFonts w:eastAsia="Times New Roman" w:cs="Times New Roman"/>
          <w:b/>
          <w:bCs/>
          <w:rtl/>
          <w:lang w:eastAsia="de-DE"/>
        </w:rPr>
        <w:t>תאכלו את־תבואתה</w:t>
      </w:r>
      <w:r w:rsidRPr="00CC6F7E">
        <w:rPr>
          <w:rFonts w:eastAsia="Times New Roman" w:cs="Times New Roman"/>
          <w:rtl/>
          <w:lang w:eastAsia="de-DE"/>
        </w:rPr>
        <w:t xml:space="preserve"> </w:t>
      </w:r>
      <w:r w:rsidRPr="00CC6F7E">
        <w:rPr>
          <w:rFonts w:eastAsia="Times New Roman" w:cs="Times New Roman"/>
          <w:lang w:eastAsia="de-DE"/>
        </w:rPr>
        <w:t>(sollt ihr seinen Ertrag essen) entspricht V. 6-7.</w:t>
      </w:r>
    </w:p>
    <w:p w14:paraId="1D34F7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קדש תהיה</w:t>
      </w:r>
      <w:r w:rsidRPr="00CC6F7E">
        <w:rPr>
          <w:rFonts w:eastAsia="Times New Roman" w:cs="Times New Roman"/>
          <w:rtl/>
          <w:lang w:eastAsia="de-DE"/>
        </w:rPr>
        <w:t xml:space="preserve"> </w:t>
      </w:r>
      <w:r w:rsidRPr="00CC6F7E">
        <w:rPr>
          <w:rFonts w:eastAsia="Times New Roman" w:cs="Times New Roman"/>
          <w:lang w:eastAsia="de-DE"/>
        </w:rPr>
        <w:t xml:space="preserve">zeigt heiligen Status entsprechend anderen heiligen Zeiten. </w:t>
      </w:r>
      <w:r w:rsidRPr="00CC6F7E">
        <w:rPr>
          <w:rFonts w:eastAsia="Times New Roman" w:cs="Times New Roman"/>
          <w:b/>
          <w:bCs/>
          <w:rtl/>
          <w:lang w:eastAsia="de-DE"/>
        </w:rPr>
        <w:t>מן־השדה</w:t>
      </w:r>
      <w:r w:rsidRPr="00CC6F7E">
        <w:rPr>
          <w:rFonts w:eastAsia="Times New Roman" w:cs="Times New Roman"/>
          <w:rtl/>
          <w:lang w:eastAsia="de-DE"/>
        </w:rPr>
        <w:t xml:space="preserve"> </w:t>
      </w:r>
      <w:r w:rsidRPr="00CC6F7E">
        <w:rPr>
          <w:rFonts w:eastAsia="Times New Roman" w:cs="Times New Roman"/>
          <w:lang w:eastAsia="de-DE"/>
        </w:rPr>
        <w:t>betont direkten Feldverzehr vs. organisierte Ernte und Lagerung.</w:t>
      </w:r>
    </w:p>
    <w:p w14:paraId="1401938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יובל הוא</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ἐστίν</w:t>
      </w:r>
      <w:proofErr w:type="spellEnd"/>
      <w:r w:rsidRPr="00CC6F7E">
        <w:rPr>
          <w:rFonts w:eastAsia="Times New Roman" w:cs="Times New Roman"/>
          <w:lang w:eastAsia="de-DE"/>
        </w:rPr>
        <w:t xml:space="preserve"> (ist ein Erlass), </w:t>
      </w:r>
      <w:r w:rsidRPr="00CC6F7E">
        <w:rPr>
          <w:rFonts w:eastAsia="Times New Roman" w:cs="Times New Roman"/>
          <w:b/>
          <w:bCs/>
          <w:rtl/>
          <w:lang w:eastAsia="de-DE"/>
        </w:rPr>
        <w:t>קדש תהיה לכם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ἅγιον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ἔστ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ὑμῖν</w:t>
      </w:r>
      <w:proofErr w:type="spellEnd"/>
      <w:r w:rsidRPr="00CC6F7E">
        <w:rPr>
          <w:rFonts w:eastAsia="Times New Roman" w:cs="Times New Roman"/>
          <w:lang w:eastAsia="de-DE"/>
        </w:rPr>
        <w:t xml:space="preserve"> (heilig wird es für euch sein) und </w:t>
      </w:r>
      <w:r w:rsidRPr="00CC6F7E">
        <w:rPr>
          <w:rFonts w:eastAsia="Times New Roman" w:cs="Times New Roman"/>
          <w:b/>
          <w:bCs/>
          <w:rtl/>
          <w:lang w:eastAsia="de-DE"/>
        </w:rPr>
        <w:t>מן־השדה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ἐκ</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εδίου</w:t>
      </w:r>
      <w:proofErr w:type="spellEnd"/>
      <w:r w:rsidRPr="00CC6F7E">
        <w:rPr>
          <w:rFonts w:eastAsia="Times New Roman" w:cs="Times New Roman"/>
          <w:lang w:eastAsia="de-DE"/>
        </w:rPr>
        <w:t xml:space="preserve"> (vom Feld).</w:t>
      </w:r>
    </w:p>
    <w:p w14:paraId="1B849F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Jobeljahr-Heiligkeit: </w:t>
      </w:r>
      <w:r w:rsidRPr="00CC6F7E">
        <w:rPr>
          <w:rFonts w:eastAsia="Times New Roman" w:cs="Times New Roman"/>
          <w:b/>
          <w:bCs/>
          <w:rtl/>
          <w:lang w:eastAsia="de-DE"/>
        </w:rPr>
        <w:t>יובל</w:t>
      </w:r>
      <w:r w:rsidRPr="00CC6F7E">
        <w:rPr>
          <w:rFonts w:eastAsia="Times New Roman" w:cs="Times New Roman"/>
          <w:lang w:eastAsia="de-DE"/>
        </w:rPr>
        <w:t>-Begründung + heiliger Status + direkter Feldverzehr des Ertrags.</w:t>
      </w:r>
    </w:p>
    <w:p w14:paraId="49F9BA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begründet das Jobeljahr als </w:t>
      </w:r>
      <w:r w:rsidRPr="00CC6F7E">
        <w:rPr>
          <w:rFonts w:eastAsia="Times New Roman" w:cs="Times New Roman"/>
          <w:b/>
          <w:bCs/>
          <w:rtl/>
          <w:lang w:eastAsia="de-DE"/>
        </w:rPr>
        <w:t>קדש</w:t>
      </w:r>
      <w:r w:rsidRPr="00CC6F7E">
        <w:rPr>
          <w:rFonts w:eastAsia="Times New Roman" w:cs="Times New Roman"/>
          <w:rtl/>
          <w:lang w:eastAsia="de-DE"/>
        </w:rPr>
        <w:t xml:space="preserve"> </w:t>
      </w:r>
      <w:r w:rsidRPr="00CC6F7E">
        <w:rPr>
          <w:rFonts w:eastAsia="Times New Roman" w:cs="Times New Roman"/>
          <w:lang w:eastAsia="de-DE"/>
        </w:rPr>
        <w:t>und erlaubt nur direkten Feldverzehr ohne organisierte Wirtschaft.</w:t>
      </w:r>
    </w:p>
    <w:p w14:paraId="0C6EA63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25,13</w:t>
      </w:r>
    </w:p>
    <w:p w14:paraId="0BEBB3E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בִּשְׁנַ֥ת הַיּוֹבֵ֖ל הַזֹּ֑את תָּשֻׁ֕בוּ אִ֖ישׁ אֶל־אֲחֻזָּתוֹ֔</w:t>
      </w:r>
    </w:p>
    <w:p w14:paraId="6C61343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In diesem Jobeljahr sollt ihr zurückkehren, ein jeder zu seinem Besitztum.</w:t>
      </w:r>
    </w:p>
    <w:p w14:paraId="681C8AD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81A693F">
          <v:rect id="_x0000_i1761" style="width:0;height:1.5pt" o:hralign="center" o:hrstd="t" o:hr="t" fillcolor="#a0a0a0" stroked="f"/>
        </w:pict>
      </w:r>
    </w:p>
    <w:p w14:paraId="2A06BC1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בשנת היובל הזאת תשבו איש אל־אחזתו</w:t>
      </w:r>
      <w:r w:rsidRPr="00CC6F7E">
        <w:rPr>
          <w:rFonts w:eastAsia="Times New Roman" w:cs="Times New Roman"/>
          <w:rtl/>
          <w:lang w:eastAsia="de-DE"/>
        </w:rPr>
        <w:t xml:space="preserve"> </w:t>
      </w:r>
      <w:r w:rsidRPr="00CC6F7E">
        <w:rPr>
          <w:rFonts w:eastAsia="Times New Roman" w:cs="Times New Roman"/>
          <w:lang w:eastAsia="de-DE"/>
        </w:rPr>
        <w:t xml:space="preserve">bekräftigt das Restitutionsprinzip. </w:t>
      </w:r>
      <w:r w:rsidRPr="00CC6F7E">
        <w:rPr>
          <w:rFonts w:eastAsia="Times New Roman" w:cs="Times New Roman"/>
          <w:b/>
          <w:bCs/>
          <w:rtl/>
          <w:lang w:eastAsia="de-DE"/>
        </w:rPr>
        <w:t>בשנת היובל הזאת</w:t>
      </w:r>
      <w:r w:rsidRPr="00CC6F7E">
        <w:rPr>
          <w:rFonts w:eastAsia="Times New Roman" w:cs="Times New Roman"/>
          <w:rtl/>
          <w:lang w:eastAsia="de-DE"/>
        </w:rPr>
        <w:t xml:space="preserve"> </w:t>
      </w:r>
      <w:r w:rsidRPr="00CC6F7E">
        <w:rPr>
          <w:rFonts w:eastAsia="Times New Roman" w:cs="Times New Roman"/>
          <w:lang w:eastAsia="de-DE"/>
        </w:rPr>
        <w:t xml:space="preserve">(in diesem Jobeljahr) - </w:t>
      </w:r>
      <w:r w:rsidRPr="00CC6F7E">
        <w:rPr>
          <w:rFonts w:eastAsia="Times New Roman" w:cs="Times New Roman"/>
          <w:b/>
          <w:bCs/>
          <w:rtl/>
          <w:lang w:eastAsia="de-DE"/>
        </w:rPr>
        <w:t>שנת היובל</w:t>
      </w:r>
      <w:r w:rsidRPr="00CC6F7E">
        <w:rPr>
          <w:rFonts w:eastAsia="Times New Roman" w:cs="Times New Roman"/>
          <w:rtl/>
          <w:lang w:eastAsia="de-DE"/>
        </w:rPr>
        <w:t xml:space="preserve"> </w:t>
      </w:r>
      <w:r w:rsidRPr="00CC6F7E">
        <w:rPr>
          <w:rFonts w:eastAsia="Times New Roman" w:cs="Times New Roman"/>
          <w:lang w:eastAsia="de-DE"/>
        </w:rPr>
        <w:t xml:space="preserve">(Jobeljahr) entspricht V. 10-11. </w:t>
      </w:r>
      <w:r w:rsidRPr="00CC6F7E">
        <w:rPr>
          <w:rFonts w:eastAsia="Times New Roman" w:cs="Times New Roman"/>
          <w:b/>
          <w:bCs/>
          <w:rtl/>
          <w:lang w:eastAsia="de-DE"/>
        </w:rPr>
        <w:t>הזאת</w:t>
      </w:r>
      <w:r w:rsidRPr="00CC6F7E">
        <w:rPr>
          <w:rFonts w:eastAsia="Times New Roman" w:cs="Times New Roman"/>
          <w:rtl/>
          <w:lang w:eastAsia="de-DE"/>
        </w:rPr>
        <w:t xml:space="preserve"> </w:t>
      </w:r>
      <w:r w:rsidRPr="00CC6F7E">
        <w:rPr>
          <w:rFonts w:eastAsia="Times New Roman" w:cs="Times New Roman"/>
          <w:lang w:eastAsia="de-DE"/>
        </w:rPr>
        <w:t>(diesem) zeigt das konkrete 50. Jahr.</w:t>
      </w:r>
    </w:p>
    <w:p w14:paraId="5F696B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תשבו איש אל־אחזתו</w:t>
      </w:r>
      <w:r w:rsidRPr="00CC6F7E">
        <w:rPr>
          <w:rFonts w:eastAsia="Times New Roman" w:cs="Times New Roman"/>
          <w:rtl/>
          <w:lang w:eastAsia="de-DE"/>
        </w:rPr>
        <w:t xml:space="preserve"> </w:t>
      </w:r>
      <w:r w:rsidRPr="00CC6F7E">
        <w:rPr>
          <w:rFonts w:eastAsia="Times New Roman" w:cs="Times New Roman"/>
          <w:lang w:eastAsia="de-DE"/>
        </w:rPr>
        <w:t xml:space="preserve">(sollt ihr zurückkehren, ein jeder zu seinem Besitztum) entspricht V. 10 und betont die </w:t>
      </w:r>
      <w:r w:rsidRPr="00CC6F7E">
        <w:rPr>
          <w:rFonts w:eastAsia="Times New Roman" w:cs="Times New Roman"/>
          <w:b/>
          <w:bCs/>
          <w:rtl/>
          <w:lang w:eastAsia="de-DE"/>
        </w:rPr>
        <w:t>אחזה</w:t>
      </w:r>
      <w:r w:rsidRPr="00CC6F7E">
        <w:rPr>
          <w:rFonts w:eastAsia="Times New Roman" w:cs="Times New Roman"/>
          <w:lang w:eastAsia="de-DE"/>
        </w:rPr>
        <w:t xml:space="preserve">-Restitution. </w:t>
      </w:r>
      <w:r w:rsidRPr="00CC6F7E">
        <w:rPr>
          <w:rFonts w:eastAsia="Times New Roman" w:cs="Times New Roman"/>
          <w:b/>
          <w:bCs/>
          <w:rtl/>
          <w:lang w:eastAsia="de-DE"/>
        </w:rPr>
        <w:t>איש איש</w:t>
      </w:r>
      <w:r w:rsidRPr="00CC6F7E">
        <w:rPr>
          <w:rFonts w:eastAsia="Times New Roman" w:cs="Times New Roman"/>
          <w:rtl/>
          <w:lang w:eastAsia="de-DE"/>
        </w:rPr>
        <w:t xml:space="preserve"> </w:t>
      </w:r>
      <w:r w:rsidRPr="00CC6F7E">
        <w:rPr>
          <w:rFonts w:eastAsia="Times New Roman" w:cs="Times New Roman"/>
          <w:lang w:eastAsia="de-DE"/>
        </w:rPr>
        <w:t xml:space="preserve">(ein jeder) zeigt universelle Anwendung. </w:t>
      </w:r>
      <w:r w:rsidRPr="00CC6F7E">
        <w:rPr>
          <w:rFonts w:eastAsia="Times New Roman" w:cs="Times New Roman"/>
          <w:b/>
          <w:bCs/>
          <w:rtl/>
          <w:lang w:eastAsia="de-DE"/>
        </w:rPr>
        <w:t>אל־אחזתו</w:t>
      </w:r>
      <w:r w:rsidRPr="00CC6F7E">
        <w:rPr>
          <w:rFonts w:eastAsia="Times New Roman" w:cs="Times New Roman"/>
          <w:rtl/>
          <w:lang w:eastAsia="de-DE"/>
        </w:rPr>
        <w:t xml:space="preserve"> </w:t>
      </w:r>
      <w:r w:rsidRPr="00CC6F7E">
        <w:rPr>
          <w:rFonts w:eastAsia="Times New Roman" w:cs="Times New Roman"/>
          <w:lang w:eastAsia="de-DE"/>
        </w:rPr>
        <w:t>(zu seinem Besitztum) zeigt ursprünglichen Familienbesitz.</w:t>
      </w:r>
    </w:p>
    <w:p w14:paraId="6A4E2E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שנת היובל הזאת</w:t>
      </w:r>
      <w:r w:rsidRPr="00CC6F7E">
        <w:rPr>
          <w:rFonts w:eastAsia="Times New Roman" w:cs="Times New Roman"/>
          <w:rtl/>
          <w:lang w:eastAsia="de-DE"/>
        </w:rPr>
        <w:t xml:space="preserve"> </w:t>
      </w:r>
      <w:r w:rsidRPr="00CC6F7E">
        <w:rPr>
          <w:rFonts w:eastAsia="Times New Roman" w:cs="Times New Roman"/>
          <w:lang w:eastAsia="de-DE"/>
        </w:rPr>
        <w:t xml:space="preserve">betont das spezifische Jahr. </w:t>
      </w:r>
      <w:r w:rsidRPr="00CC6F7E">
        <w:rPr>
          <w:rFonts w:eastAsia="Times New Roman" w:cs="Times New Roman"/>
          <w:b/>
          <w:bCs/>
          <w:rtl/>
          <w:lang w:eastAsia="de-DE"/>
        </w:rPr>
        <w:t>תשבו</w:t>
      </w:r>
      <w:r w:rsidRPr="00CC6F7E">
        <w:rPr>
          <w:rFonts w:eastAsia="Times New Roman" w:cs="Times New Roman"/>
          <w:rtl/>
          <w:lang w:eastAsia="de-DE"/>
        </w:rPr>
        <w:t xml:space="preserve"> </w:t>
      </w:r>
      <w:r w:rsidRPr="00CC6F7E">
        <w:rPr>
          <w:rFonts w:eastAsia="Times New Roman" w:cs="Times New Roman"/>
          <w:lang w:eastAsia="de-DE"/>
        </w:rPr>
        <w:t xml:space="preserve">zeigt Rückkehrgebot. </w:t>
      </w:r>
      <w:r w:rsidRPr="00CC6F7E">
        <w:rPr>
          <w:rFonts w:eastAsia="Times New Roman" w:cs="Times New Roman"/>
          <w:b/>
          <w:bCs/>
          <w:rtl/>
          <w:lang w:eastAsia="de-DE"/>
        </w:rPr>
        <w:t>אחזתו</w:t>
      </w:r>
      <w:r w:rsidRPr="00CC6F7E">
        <w:rPr>
          <w:rFonts w:eastAsia="Times New Roman" w:cs="Times New Roman"/>
          <w:rtl/>
          <w:lang w:eastAsia="de-DE"/>
        </w:rPr>
        <w:t xml:space="preserve"> </w:t>
      </w:r>
      <w:r w:rsidRPr="00CC6F7E">
        <w:rPr>
          <w:rFonts w:eastAsia="Times New Roman" w:cs="Times New Roman"/>
          <w:lang w:eastAsia="de-DE"/>
        </w:rPr>
        <w:t>zeigt ursprünglichen Erbbesitz.</w:t>
      </w:r>
    </w:p>
    <w:p w14:paraId="54670AE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בשנת היובל הזאת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αυτῷ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τα</w:t>
      </w:r>
      <w:proofErr w:type="spellStart"/>
      <w:r w:rsidRPr="00CC6F7E">
        <w:rPr>
          <w:rFonts w:eastAsia="Times New Roman" w:cs="Times New Roman"/>
          <w:lang w:eastAsia="de-DE"/>
        </w:rPr>
        <w:t>ύτῃ</w:t>
      </w:r>
      <w:proofErr w:type="spellEnd"/>
      <w:r w:rsidRPr="00CC6F7E">
        <w:rPr>
          <w:rFonts w:eastAsia="Times New Roman" w:cs="Times New Roman"/>
          <w:lang w:eastAsia="de-DE"/>
        </w:rPr>
        <w:t xml:space="preserve"> (in diesem Jahr des Erlasses), </w:t>
      </w:r>
      <w:r w:rsidRPr="00CC6F7E">
        <w:rPr>
          <w:rFonts w:eastAsia="Times New Roman" w:cs="Times New Roman"/>
          <w:b/>
          <w:bCs/>
          <w:rtl/>
          <w:lang w:eastAsia="de-DE"/>
        </w:rPr>
        <w:t>תשבו</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ελεύσεσθε</w:t>
      </w:r>
      <w:proofErr w:type="spellEnd"/>
      <w:r w:rsidRPr="00CC6F7E">
        <w:rPr>
          <w:rFonts w:eastAsia="Times New Roman" w:cs="Times New Roman"/>
          <w:lang w:eastAsia="de-DE"/>
        </w:rPr>
        <w:t xml:space="preserve"> (werdet ihr weggehen) und </w:t>
      </w:r>
      <w:r w:rsidRPr="00CC6F7E">
        <w:rPr>
          <w:rFonts w:eastAsia="Times New Roman" w:cs="Times New Roman"/>
          <w:b/>
          <w:bCs/>
          <w:rtl/>
          <w:lang w:eastAsia="de-DE"/>
        </w:rPr>
        <w:t>אל־אחזתו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κτῆσιν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(zu seinem Besitz).</w:t>
      </w:r>
    </w:p>
    <w:p w14:paraId="101A06E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Jobeljahr-Restitution: spezifisches Jobeljahr + universelle Rückkehr + individueller Besitztum.</w:t>
      </w:r>
    </w:p>
    <w:p w14:paraId="518699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bekräftigt die zentrale Jobeljahr-Funktion der universellen </w:t>
      </w:r>
      <w:r w:rsidRPr="00CC6F7E">
        <w:rPr>
          <w:rFonts w:eastAsia="Times New Roman" w:cs="Times New Roman"/>
          <w:b/>
          <w:bCs/>
          <w:rtl/>
          <w:lang w:eastAsia="de-DE"/>
        </w:rPr>
        <w:t>אחזה</w:t>
      </w:r>
      <w:r w:rsidRPr="00CC6F7E">
        <w:rPr>
          <w:rFonts w:eastAsia="Times New Roman" w:cs="Times New Roman"/>
          <w:lang w:eastAsia="de-DE"/>
        </w:rPr>
        <w:t>-Restitution.</w:t>
      </w:r>
    </w:p>
    <w:p w14:paraId="197FACE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25,14</w:t>
      </w:r>
    </w:p>
    <w:p w14:paraId="5219454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וְכִֽי־תִמְכְּר֤וּ מִמְכָּר֙ לַעֲמִיתֶ֔ךָ א֥וֹ קָנֹ֖ה מִיַּ֣ד עֲמִיתֶ֑ךָ אַל־תּוֹנ֖וּ אִ֥ישׁ אֶת־אָחִֽיו׃</w:t>
      </w:r>
    </w:p>
    <w:p w14:paraId="2E839E7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verkauft einen Verkauf eurem Nächsten oder kauft von der Hand deines Nächsten, so übervorteilt nicht einer seinen Bruder.</w:t>
      </w:r>
    </w:p>
    <w:p w14:paraId="0A62333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8A0968B">
          <v:rect id="_x0000_i1762" style="width:0;height:1.5pt" o:hralign="center" o:hrstd="t" o:hr="t" fillcolor="#a0a0a0" stroked="f"/>
        </w:pict>
      </w:r>
    </w:p>
    <w:p w14:paraId="74546AF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וכי־תמכרו ממכר לעמיתך או קנה מיד עמיתך אל־תונו איש את־אחיו</w:t>
      </w:r>
      <w:r w:rsidRPr="00CC6F7E">
        <w:rPr>
          <w:rFonts w:eastAsia="Times New Roman" w:cs="Times New Roman"/>
          <w:rtl/>
          <w:lang w:eastAsia="de-DE"/>
        </w:rPr>
        <w:t xml:space="preserve"> </w:t>
      </w:r>
      <w:r w:rsidRPr="00CC6F7E">
        <w:rPr>
          <w:rFonts w:eastAsia="Times New Roman" w:cs="Times New Roman"/>
          <w:lang w:eastAsia="de-DE"/>
        </w:rPr>
        <w:t xml:space="preserve">etabliert faire Handelspraktiken im Jobel-Kontext. </w:t>
      </w:r>
      <w:r w:rsidRPr="00CC6F7E">
        <w:rPr>
          <w:rFonts w:eastAsia="Times New Roman" w:cs="Times New Roman"/>
          <w:b/>
          <w:bCs/>
          <w:rtl/>
          <w:lang w:eastAsia="de-DE"/>
        </w:rPr>
        <w:t>וכי־תמכרו ממכר לעמיתך או קנה מיד עמיתך</w:t>
      </w:r>
      <w:r w:rsidRPr="00CC6F7E">
        <w:rPr>
          <w:rFonts w:eastAsia="Times New Roman" w:cs="Times New Roman"/>
          <w:rtl/>
          <w:lang w:eastAsia="de-DE"/>
        </w:rPr>
        <w:t xml:space="preserve"> </w:t>
      </w:r>
      <w:r w:rsidRPr="00CC6F7E">
        <w:rPr>
          <w:rFonts w:eastAsia="Times New Roman" w:cs="Times New Roman"/>
          <w:lang w:eastAsia="de-DE"/>
        </w:rPr>
        <w:t>(und wenn ihr verkauft einen Verkauf eurem Nächsten oder kauft von der Hand deines Nächsten) zeigt zwei Handelsrichtungen:</w:t>
      </w:r>
    </w:p>
    <w:p w14:paraId="6599AF8C" w14:textId="77777777" w:rsidR="00CC6F7E" w:rsidRPr="00CC6F7E" w:rsidRDefault="00CC6F7E" w:rsidP="00CC6F7E">
      <w:pPr>
        <w:numPr>
          <w:ilvl w:val="0"/>
          <w:numId w:val="25"/>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תמכרו ממכר לעמיתך</w:t>
      </w:r>
      <w:r w:rsidRPr="00CC6F7E">
        <w:rPr>
          <w:rFonts w:eastAsia="Times New Roman" w:cs="Times New Roman"/>
          <w:rtl/>
          <w:lang w:eastAsia="de-DE"/>
        </w:rPr>
        <w:t xml:space="preserve"> </w:t>
      </w:r>
      <w:r w:rsidRPr="00CC6F7E">
        <w:rPr>
          <w:rFonts w:eastAsia="Times New Roman" w:cs="Times New Roman"/>
          <w:lang w:eastAsia="de-DE"/>
        </w:rPr>
        <w:t xml:space="preserve">(ihr verkauft einen Verkauf eurem Nächsten) - Verkauf an den </w:t>
      </w:r>
      <w:r w:rsidRPr="00CC6F7E">
        <w:rPr>
          <w:rFonts w:eastAsia="Times New Roman" w:cs="Times New Roman"/>
          <w:b/>
          <w:bCs/>
          <w:rtl/>
          <w:lang w:eastAsia="de-DE"/>
        </w:rPr>
        <w:t>עמית</w:t>
      </w:r>
      <w:r w:rsidRPr="00CC6F7E">
        <w:rPr>
          <w:rFonts w:eastAsia="Times New Roman" w:cs="Times New Roman"/>
          <w:rtl/>
          <w:lang w:eastAsia="de-DE"/>
        </w:rPr>
        <w:t xml:space="preserve"> </w:t>
      </w:r>
      <w:r w:rsidRPr="00CC6F7E">
        <w:rPr>
          <w:rFonts w:eastAsia="Times New Roman" w:cs="Times New Roman"/>
          <w:lang w:eastAsia="de-DE"/>
        </w:rPr>
        <w:t>(Nächsten/Mitbürger)</w:t>
      </w:r>
    </w:p>
    <w:p w14:paraId="53F071E3" w14:textId="77777777" w:rsidR="00CC6F7E" w:rsidRPr="00CC6F7E" w:rsidRDefault="00CC6F7E" w:rsidP="00CC6F7E">
      <w:pPr>
        <w:numPr>
          <w:ilvl w:val="0"/>
          <w:numId w:val="25"/>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 קנה מיד עמיתך</w:t>
      </w:r>
      <w:r w:rsidRPr="00CC6F7E">
        <w:rPr>
          <w:rFonts w:eastAsia="Times New Roman" w:cs="Times New Roman"/>
          <w:rtl/>
          <w:lang w:eastAsia="de-DE"/>
        </w:rPr>
        <w:t xml:space="preserve"> </w:t>
      </w:r>
      <w:r w:rsidRPr="00CC6F7E">
        <w:rPr>
          <w:rFonts w:eastAsia="Times New Roman" w:cs="Times New Roman"/>
          <w:lang w:eastAsia="de-DE"/>
        </w:rPr>
        <w:t xml:space="preserve">(oder kauft von der Hand deines Nächsten) - Kauf vom </w:t>
      </w:r>
      <w:r w:rsidRPr="00CC6F7E">
        <w:rPr>
          <w:rFonts w:eastAsia="Times New Roman" w:cs="Times New Roman"/>
          <w:b/>
          <w:bCs/>
          <w:rtl/>
          <w:lang w:eastAsia="de-DE"/>
        </w:rPr>
        <w:t>עמית</w:t>
      </w:r>
    </w:p>
    <w:p w14:paraId="4A4DFE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אל־תונו איש את־אחיו</w:t>
      </w:r>
      <w:r w:rsidRPr="00CC6F7E">
        <w:rPr>
          <w:rFonts w:eastAsia="Times New Roman" w:cs="Times New Roman"/>
          <w:rtl/>
          <w:lang w:eastAsia="de-DE"/>
        </w:rPr>
        <w:t xml:space="preserve"> </w:t>
      </w:r>
      <w:r w:rsidRPr="00CC6F7E">
        <w:rPr>
          <w:rFonts w:eastAsia="Times New Roman" w:cs="Times New Roman"/>
          <w:lang w:eastAsia="de-DE"/>
        </w:rPr>
        <w:t xml:space="preserve">(so übervorteilt nicht einer seinen Bruder) - </w:t>
      </w:r>
      <w:r w:rsidRPr="00CC6F7E">
        <w:rPr>
          <w:rFonts w:eastAsia="Times New Roman" w:cs="Times New Roman"/>
          <w:b/>
          <w:bCs/>
          <w:rtl/>
          <w:lang w:eastAsia="de-DE"/>
        </w:rPr>
        <w:t>אל־תונו</w:t>
      </w:r>
      <w:r w:rsidRPr="00CC6F7E">
        <w:rPr>
          <w:rFonts w:eastAsia="Times New Roman" w:cs="Times New Roman"/>
          <w:rtl/>
          <w:lang w:eastAsia="de-DE"/>
        </w:rPr>
        <w:t xml:space="preserve"> </w:t>
      </w:r>
      <w:r w:rsidRPr="00CC6F7E">
        <w:rPr>
          <w:rFonts w:eastAsia="Times New Roman" w:cs="Times New Roman"/>
          <w:lang w:eastAsia="de-DE"/>
        </w:rPr>
        <w:t xml:space="preserve">(sollt ihr nicht übervorteilen) im Hifil-Imperfekt von </w:t>
      </w:r>
      <w:r w:rsidRPr="00CC6F7E">
        <w:rPr>
          <w:rFonts w:eastAsia="Times New Roman" w:cs="Times New Roman"/>
          <w:b/>
          <w:bCs/>
          <w:rtl/>
          <w:lang w:eastAsia="de-DE"/>
        </w:rPr>
        <w:t>ינה</w:t>
      </w:r>
      <w:r w:rsidRPr="00CC6F7E">
        <w:rPr>
          <w:rFonts w:eastAsia="Times New Roman" w:cs="Times New Roman"/>
          <w:rtl/>
          <w:lang w:eastAsia="de-DE"/>
        </w:rPr>
        <w:t xml:space="preserve"> </w:t>
      </w:r>
      <w:r w:rsidRPr="00CC6F7E">
        <w:rPr>
          <w:rFonts w:eastAsia="Times New Roman" w:cs="Times New Roman"/>
          <w:lang w:eastAsia="de-DE"/>
        </w:rPr>
        <w:t xml:space="preserve">(unterdrücken/übervorteilen). </w:t>
      </w:r>
      <w:r w:rsidRPr="00CC6F7E">
        <w:rPr>
          <w:rFonts w:eastAsia="Times New Roman" w:cs="Times New Roman"/>
          <w:b/>
          <w:bCs/>
          <w:rtl/>
          <w:lang w:eastAsia="de-DE"/>
        </w:rPr>
        <w:t>איש את־אחיו</w:t>
      </w:r>
      <w:r w:rsidRPr="00CC6F7E">
        <w:rPr>
          <w:rFonts w:eastAsia="Times New Roman" w:cs="Times New Roman"/>
          <w:rtl/>
          <w:lang w:eastAsia="de-DE"/>
        </w:rPr>
        <w:t xml:space="preserve"> </w:t>
      </w:r>
      <w:r w:rsidRPr="00CC6F7E">
        <w:rPr>
          <w:rFonts w:eastAsia="Times New Roman" w:cs="Times New Roman"/>
          <w:lang w:eastAsia="de-DE"/>
        </w:rPr>
        <w:t>(einer seinen Bruder) zeigt die Bruderschaftsbeziehung im Volk.</w:t>
      </w:r>
    </w:p>
    <w:p w14:paraId="2D1A608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עמיתך</w:t>
      </w:r>
      <w:r w:rsidRPr="00CC6F7E">
        <w:rPr>
          <w:rFonts w:eastAsia="Times New Roman" w:cs="Times New Roman"/>
          <w:rtl/>
          <w:lang w:eastAsia="de-DE"/>
        </w:rPr>
        <w:t xml:space="preserve"> </w:t>
      </w:r>
      <w:r w:rsidRPr="00CC6F7E">
        <w:rPr>
          <w:rFonts w:eastAsia="Times New Roman" w:cs="Times New Roman"/>
          <w:lang w:eastAsia="de-DE"/>
        </w:rPr>
        <w:t xml:space="preserve">zeigt Mitbürgerschaft. </w:t>
      </w:r>
      <w:r w:rsidRPr="00CC6F7E">
        <w:rPr>
          <w:rFonts w:eastAsia="Times New Roman" w:cs="Times New Roman"/>
          <w:b/>
          <w:bCs/>
          <w:rtl/>
          <w:lang w:eastAsia="de-DE"/>
        </w:rPr>
        <w:t>ממכר</w:t>
      </w:r>
      <w:r w:rsidRPr="00CC6F7E">
        <w:rPr>
          <w:rFonts w:eastAsia="Times New Roman" w:cs="Times New Roman"/>
          <w:rtl/>
          <w:lang w:eastAsia="de-DE"/>
        </w:rPr>
        <w:t xml:space="preserve"> </w:t>
      </w:r>
      <w:r w:rsidRPr="00CC6F7E">
        <w:rPr>
          <w:rFonts w:eastAsia="Times New Roman" w:cs="Times New Roman"/>
          <w:lang w:eastAsia="de-DE"/>
        </w:rPr>
        <w:t xml:space="preserve">(Verkauf) als Handelsgeschäft. </w:t>
      </w:r>
      <w:r w:rsidRPr="00CC6F7E">
        <w:rPr>
          <w:rFonts w:eastAsia="Times New Roman" w:cs="Times New Roman"/>
          <w:b/>
          <w:bCs/>
          <w:rtl/>
          <w:lang w:eastAsia="de-DE"/>
        </w:rPr>
        <w:t>תונו</w:t>
      </w:r>
      <w:r w:rsidRPr="00CC6F7E">
        <w:rPr>
          <w:rFonts w:eastAsia="Times New Roman" w:cs="Times New Roman"/>
          <w:rtl/>
          <w:lang w:eastAsia="de-DE"/>
        </w:rPr>
        <w:t xml:space="preserve"> </w:t>
      </w:r>
      <w:r w:rsidRPr="00CC6F7E">
        <w:rPr>
          <w:rFonts w:eastAsia="Times New Roman" w:cs="Times New Roman"/>
          <w:lang w:eastAsia="de-DE"/>
        </w:rPr>
        <w:t xml:space="preserve">zeigt unfaire Preisgestaltung oder Ausnutzung. </w:t>
      </w:r>
      <w:r w:rsidRPr="00CC6F7E">
        <w:rPr>
          <w:rFonts w:eastAsia="Times New Roman" w:cs="Times New Roman"/>
          <w:b/>
          <w:bCs/>
          <w:rtl/>
          <w:lang w:eastAsia="de-DE"/>
        </w:rPr>
        <w:t>איש את־אחיו</w:t>
      </w:r>
      <w:r w:rsidRPr="00CC6F7E">
        <w:rPr>
          <w:rFonts w:eastAsia="Times New Roman" w:cs="Times New Roman"/>
          <w:rtl/>
          <w:lang w:eastAsia="de-DE"/>
        </w:rPr>
        <w:t xml:space="preserve"> </w:t>
      </w:r>
      <w:r w:rsidRPr="00CC6F7E">
        <w:rPr>
          <w:rFonts w:eastAsia="Times New Roman" w:cs="Times New Roman"/>
          <w:lang w:eastAsia="de-DE"/>
        </w:rPr>
        <w:t>betont Bruderschaftsethik.</w:t>
      </w:r>
    </w:p>
    <w:p w14:paraId="67F6B5AC" w14:textId="443A659C"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אל־תונו</w:t>
      </w:r>
      <w:r w:rsidR="009104A2">
        <w:t xml:space="preserve"> (al-</w:t>
      </w:r>
      <w:proofErr w:type="spellStart"/>
      <w:r w:rsidR="009104A2">
        <w:t>tonu</w:t>
      </w:r>
      <w:proofErr w:type="spellEnd"/>
      <w:r w:rsidR="009104A2">
        <w:t xml:space="preserve"> - "bedrückt nicht") als </w:t>
      </w:r>
      <w:proofErr w:type="spellStart"/>
      <w:r w:rsidR="009104A2">
        <w:t>μὴ</w:t>
      </w:r>
      <w:proofErr w:type="spellEnd"/>
      <w:r w:rsidR="009104A2">
        <w:t xml:space="preserve"> </w:t>
      </w:r>
      <w:proofErr w:type="spellStart"/>
      <w:r w:rsidR="009104A2">
        <w:t>θλι</w:t>
      </w:r>
      <w:proofErr w:type="spellEnd"/>
      <w:r w:rsidR="009104A2">
        <w:t>βέτω (soll nicht bedrängen), was eine stärkere Formulierung darstellt.</w:t>
      </w:r>
    </w:p>
    <w:p w14:paraId="7EA467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Handelsethik: Verkauf an/Kauf von Nächsten + Übervorteilungs-Verbot + Bruderschafts-Prinzip.</w:t>
      </w:r>
    </w:p>
    <w:p w14:paraId="0410F50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Verbot der Übervorteilung bei Handel zwischen Volksgenossen als Grundlage fairer Jobel-Preisgestaltung.</w:t>
      </w:r>
    </w:p>
    <w:p w14:paraId="1993ADE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25,15</w:t>
      </w:r>
    </w:p>
    <w:p w14:paraId="518289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בְּמִסְפַּ֤ר שָׁנִים֙ אַחַ֣ר הַיּוֹבֵ֔ל תִּקְנֶ֖ה מֵאֵ֣ת עֲמִיתֶ֑ךָ בְּמִסְפַּ֥ר שְׁנֵֽי־תְבוּאֹ֖ת יִמְכָּר־לָֽךְ׃</w:t>
      </w:r>
    </w:p>
    <w:p w14:paraId="17DCEC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Nach der Zahl der Jahre nach dem Jobel sollst du von deinem Nächsten kaufen; nach der Zahl der Erntejahre soll er dir verkaufen.</w:t>
      </w:r>
    </w:p>
    <w:p w14:paraId="1161802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lastRenderedPageBreak/>
        <w:pict w14:anchorId="43BC3B52">
          <v:rect id="_x0000_i1763" style="width:0;height:1.5pt" o:hralign="center" o:hrstd="t" o:hr="t" fillcolor="#a0a0a0" stroked="f"/>
        </w:pict>
      </w:r>
    </w:p>
    <w:p w14:paraId="647DB3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במספר שנים אחר היובל תקנה מאת עמיתך במספר שני־תבואת ימכר־לך</w:t>
      </w:r>
      <w:r w:rsidRPr="00CC6F7E">
        <w:rPr>
          <w:rFonts w:eastAsia="Times New Roman" w:cs="Times New Roman"/>
          <w:rtl/>
          <w:lang w:eastAsia="de-DE"/>
        </w:rPr>
        <w:t xml:space="preserve"> </w:t>
      </w:r>
      <w:r w:rsidRPr="00CC6F7E">
        <w:rPr>
          <w:rFonts w:eastAsia="Times New Roman" w:cs="Times New Roman"/>
          <w:lang w:eastAsia="de-DE"/>
        </w:rPr>
        <w:t xml:space="preserve">zeigt die Jobel-basierte Preisberechnung. </w:t>
      </w:r>
      <w:r w:rsidRPr="00CC6F7E">
        <w:rPr>
          <w:rFonts w:eastAsia="Times New Roman" w:cs="Times New Roman"/>
          <w:b/>
          <w:bCs/>
          <w:rtl/>
          <w:lang w:eastAsia="de-DE"/>
        </w:rPr>
        <w:t>במספר שנים אחר היובל תקנה מאת עמיתך</w:t>
      </w:r>
      <w:r w:rsidRPr="00CC6F7E">
        <w:rPr>
          <w:rFonts w:eastAsia="Times New Roman" w:cs="Times New Roman"/>
          <w:rtl/>
          <w:lang w:eastAsia="de-DE"/>
        </w:rPr>
        <w:t xml:space="preserve"> </w:t>
      </w:r>
      <w:r w:rsidRPr="00CC6F7E">
        <w:rPr>
          <w:rFonts w:eastAsia="Times New Roman" w:cs="Times New Roman"/>
          <w:lang w:eastAsia="de-DE"/>
        </w:rPr>
        <w:t xml:space="preserve">(nach der Zahl der Jahre nach dem Jobel sollst du von deinem Nächsten kaufen) - </w:t>
      </w:r>
      <w:r w:rsidRPr="00CC6F7E">
        <w:rPr>
          <w:rFonts w:eastAsia="Times New Roman" w:cs="Times New Roman"/>
          <w:b/>
          <w:bCs/>
          <w:rtl/>
          <w:lang w:eastAsia="de-DE"/>
        </w:rPr>
        <w:t>במספר שנים אחר היובל</w:t>
      </w:r>
      <w:r w:rsidRPr="00CC6F7E">
        <w:rPr>
          <w:rFonts w:eastAsia="Times New Roman" w:cs="Times New Roman"/>
          <w:rtl/>
          <w:lang w:eastAsia="de-DE"/>
        </w:rPr>
        <w:t xml:space="preserve"> </w:t>
      </w:r>
      <w:r w:rsidRPr="00CC6F7E">
        <w:rPr>
          <w:rFonts w:eastAsia="Times New Roman" w:cs="Times New Roman"/>
          <w:lang w:eastAsia="de-DE"/>
        </w:rPr>
        <w:t xml:space="preserve">(nach der Zahl der Jahre nach dem Jobel) zeigt den Berechnungsmaßstab: verbleibende Jahre bis zum nächsten Jobel. </w:t>
      </w:r>
      <w:r w:rsidRPr="00CC6F7E">
        <w:rPr>
          <w:rFonts w:eastAsia="Times New Roman" w:cs="Times New Roman"/>
          <w:b/>
          <w:bCs/>
          <w:rtl/>
          <w:lang w:eastAsia="de-DE"/>
        </w:rPr>
        <w:t>תקנה מאת עמיתך</w:t>
      </w:r>
      <w:r w:rsidRPr="00CC6F7E">
        <w:rPr>
          <w:rFonts w:eastAsia="Times New Roman" w:cs="Times New Roman"/>
          <w:rtl/>
          <w:lang w:eastAsia="de-DE"/>
        </w:rPr>
        <w:t xml:space="preserve"> </w:t>
      </w:r>
      <w:r w:rsidRPr="00CC6F7E">
        <w:rPr>
          <w:rFonts w:eastAsia="Times New Roman" w:cs="Times New Roman"/>
          <w:lang w:eastAsia="de-DE"/>
        </w:rPr>
        <w:t>(sollst du von deinem Nächsten kaufen) zeigt Kaufvorgang.</w:t>
      </w:r>
    </w:p>
    <w:p w14:paraId="4568A2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במספר שני־תבואת ימכר־לך</w:t>
      </w:r>
      <w:r w:rsidRPr="00CC6F7E">
        <w:rPr>
          <w:rFonts w:eastAsia="Times New Roman" w:cs="Times New Roman"/>
          <w:rtl/>
          <w:lang w:eastAsia="de-DE"/>
        </w:rPr>
        <w:t xml:space="preserve"> </w:t>
      </w:r>
      <w:r w:rsidRPr="00CC6F7E">
        <w:rPr>
          <w:rFonts w:eastAsia="Times New Roman" w:cs="Times New Roman"/>
          <w:lang w:eastAsia="de-DE"/>
        </w:rPr>
        <w:t xml:space="preserve">(nach der Zahl der Erntejahre soll er dir verkaufen) - </w:t>
      </w:r>
      <w:r w:rsidRPr="00CC6F7E">
        <w:rPr>
          <w:rFonts w:eastAsia="Times New Roman" w:cs="Times New Roman"/>
          <w:b/>
          <w:bCs/>
          <w:rtl/>
          <w:lang w:eastAsia="de-DE"/>
        </w:rPr>
        <w:t>במספר שני־תבואת</w:t>
      </w:r>
      <w:r w:rsidRPr="00CC6F7E">
        <w:rPr>
          <w:rFonts w:eastAsia="Times New Roman" w:cs="Times New Roman"/>
          <w:rtl/>
          <w:lang w:eastAsia="de-DE"/>
        </w:rPr>
        <w:t xml:space="preserve"> </w:t>
      </w:r>
      <w:r w:rsidRPr="00CC6F7E">
        <w:rPr>
          <w:rFonts w:eastAsia="Times New Roman" w:cs="Times New Roman"/>
          <w:lang w:eastAsia="de-DE"/>
        </w:rPr>
        <w:t xml:space="preserve">(nach der Zahl der Erntejahre) - </w:t>
      </w:r>
      <w:r w:rsidRPr="00CC6F7E">
        <w:rPr>
          <w:rFonts w:eastAsia="Times New Roman" w:cs="Times New Roman"/>
          <w:b/>
          <w:bCs/>
          <w:rtl/>
          <w:lang w:eastAsia="de-DE"/>
        </w:rPr>
        <w:t>שני־תבואת</w:t>
      </w:r>
      <w:r w:rsidRPr="00CC6F7E">
        <w:rPr>
          <w:rFonts w:eastAsia="Times New Roman" w:cs="Times New Roman"/>
          <w:rtl/>
          <w:lang w:eastAsia="de-DE"/>
        </w:rPr>
        <w:t xml:space="preserve"> </w:t>
      </w:r>
      <w:r w:rsidRPr="00CC6F7E">
        <w:rPr>
          <w:rFonts w:eastAsia="Times New Roman" w:cs="Times New Roman"/>
          <w:lang w:eastAsia="de-DE"/>
        </w:rPr>
        <w:t xml:space="preserve">(Jahre der Erträge) zeigt produktive Jahre. </w:t>
      </w:r>
      <w:r w:rsidRPr="00CC6F7E">
        <w:rPr>
          <w:rFonts w:eastAsia="Times New Roman" w:cs="Times New Roman"/>
          <w:b/>
          <w:bCs/>
          <w:rtl/>
          <w:lang w:eastAsia="de-DE"/>
        </w:rPr>
        <w:t>ימכר־לך</w:t>
      </w:r>
      <w:r w:rsidRPr="00CC6F7E">
        <w:rPr>
          <w:rFonts w:eastAsia="Times New Roman" w:cs="Times New Roman"/>
          <w:rtl/>
          <w:lang w:eastAsia="de-DE"/>
        </w:rPr>
        <w:t xml:space="preserve"> </w:t>
      </w:r>
      <w:r w:rsidRPr="00CC6F7E">
        <w:rPr>
          <w:rFonts w:eastAsia="Times New Roman" w:cs="Times New Roman"/>
          <w:lang w:eastAsia="de-DE"/>
        </w:rPr>
        <w:t>(soll er dir verkaufen) zeigt Verkaufsvorgang.</w:t>
      </w:r>
    </w:p>
    <w:p w14:paraId="5A22BA9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במספר שנים אחר היובל</w:t>
      </w:r>
      <w:r w:rsidRPr="00CC6F7E">
        <w:rPr>
          <w:rFonts w:eastAsia="Times New Roman" w:cs="Times New Roman"/>
          <w:rtl/>
          <w:lang w:eastAsia="de-DE"/>
        </w:rPr>
        <w:t xml:space="preserve"> </w:t>
      </w:r>
      <w:r w:rsidRPr="00CC6F7E">
        <w:rPr>
          <w:rFonts w:eastAsia="Times New Roman" w:cs="Times New Roman"/>
          <w:lang w:eastAsia="de-DE"/>
        </w:rPr>
        <w:t xml:space="preserve">zeigt Zeitberechnung ab dem letzten Jobel. </w:t>
      </w:r>
      <w:r w:rsidRPr="00CC6F7E">
        <w:rPr>
          <w:rFonts w:eastAsia="Times New Roman" w:cs="Times New Roman"/>
          <w:b/>
          <w:bCs/>
          <w:rtl/>
          <w:lang w:eastAsia="de-DE"/>
        </w:rPr>
        <w:t>שני־תבואת</w:t>
      </w:r>
      <w:r w:rsidRPr="00CC6F7E">
        <w:rPr>
          <w:rFonts w:eastAsia="Times New Roman" w:cs="Times New Roman"/>
          <w:rtl/>
          <w:lang w:eastAsia="de-DE"/>
        </w:rPr>
        <w:t xml:space="preserve"> </w:t>
      </w:r>
      <w:r w:rsidRPr="00CC6F7E">
        <w:rPr>
          <w:rFonts w:eastAsia="Times New Roman" w:cs="Times New Roman"/>
          <w:lang w:eastAsia="de-DE"/>
        </w:rPr>
        <w:t>zeigt Nutzungsjahre als Wertmaßstab. Der Landwert basiert auf verbleibenden Nutzungsjahren bis zur Jobel-Restitution.</w:t>
      </w:r>
    </w:p>
    <w:p w14:paraId="015C30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במספר שנים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ἀριθμὸν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ἐτῶν</w:t>
      </w:r>
      <w:proofErr w:type="spellEnd"/>
      <w:r w:rsidRPr="00CC6F7E">
        <w:rPr>
          <w:rFonts w:eastAsia="Times New Roman" w:cs="Times New Roman"/>
          <w:lang w:eastAsia="de-DE"/>
        </w:rPr>
        <w:t xml:space="preserve"> (nach der Zahl von Jahren), </w:t>
      </w:r>
      <w:r w:rsidRPr="00CC6F7E">
        <w:rPr>
          <w:rFonts w:eastAsia="Times New Roman" w:cs="Times New Roman"/>
          <w:b/>
          <w:bCs/>
          <w:rtl/>
          <w:lang w:eastAsia="de-DE"/>
        </w:rPr>
        <w:t>אחר היובל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ἄφεσιν</w:t>
      </w:r>
      <w:proofErr w:type="spellEnd"/>
      <w:r w:rsidRPr="00CC6F7E">
        <w:rPr>
          <w:rFonts w:eastAsia="Times New Roman" w:cs="Times New Roman"/>
          <w:lang w:eastAsia="de-DE"/>
        </w:rPr>
        <w:t xml:space="preserve"> (nach dem Erlass), </w:t>
      </w:r>
      <w:r w:rsidRPr="00CC6F7E">
        <w:rPr>
          <w:rFonts w:eastAsia="Times New Roman" w:cs="Times New Roman"/>
          <w:b/>
          <w:bCs/>
          <w:rtl/>
          <w:lang w:eastAsia="de-DE"/>
        </w:rPr>
        <w:t>שני־תבואת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γενημάτων</w:t>
      </w:r>
      <w:proofErr w:type="spellEnd"/>
      <w:r w:rsidRPr="00CC6F7E">
        <w:rPr>
          <w:rFonts w:eastAsia="Times New Roman" w:cs="Times New Roman"/>
          <w:lang w:eastAsia="de-DE"/>
        </w:rPr>
        <w:t xml:space="preserve"> (Jahre der Erzeugnisse) und </w:t>
      </w:r>
      <w:r w:rsidRPr="00CC6F7E">
        <w:rPr>
          <w:rFonts w:eastAsia="Times New Roman" w:cs="Times New Roman"/>
          <w:b/>
          <w:bCs/>
          <w:rtl/>
          <w:lang w:eastAsia="de-DE"/>
        </w:rPr>
        <w:t>ימכר־לך</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οδώσετ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σοι</w:t>
      </w:r>
      <w:proofErr w:type="spellEnd"/>
      <w:r w:rsidRPr="00CC6F7E">
        <w:rPr>
          <w:rFonts w:eastAsia="Times New Roman" w:cs="Times New Roman"/>
          <w:lang w:eastAsia="de-DE"/>
        </w:rPr>
        <w:t xml:space="preserve"> (wird er dir verkaufen).</w:t>
      </w:r>
    </w:p>
    <w:p w14:paraId="48B136F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Jobel-Preisberechnung: Jahre nach dem Jobel + Kauf vom Nächsten + Erntejahre-Zählung + entsprechender Verkauf.</w:t>
      </w:r>
    </w:p>
    <w:p w14:paraId="51959A6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Jobel-System als Grundlage für faire Landpreise basierend auf verbleibenden Nutzungsjahren.</w:t>
      </w:r>
    </w:p>
    <w:p w14:paraId="735191C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25,16</w:t>
      </w:r>
    </w:p>
    <w:p w14:paraId="1B532F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לְפִ֣י׀ רֹ֣ב הַשָּׁנִ֗ים תַּרְבֶּה֙ מִקְנָתוֹ֔ וּלְפִי֙ מְעֹ֣ט הַשָּׁנִ֔ים תַּמְעִ֖יט מִקְנָתוֹ֑ כִּ֚י מִסְפַּ֣ר תְּבוּאֹ֔ת ה֥וּא מֹכֵ֖ר לָֽךְ׃</w:t>
      </w:r>
    </w:p>
    <w:p w14:paraId="61498D7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Gemäß der Vielzahl der Jahre sollst du seinen Kaufpreis mehren, und gemäß der Wenigkeit der Jahre sollst du seinen Kaufpreis mindern; denn eine Zahl von Ernten verkauft er dir.</w:t>
      </w:r>
    </w:p>
    <w:p w14:paraId="5DC5ADF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73C9720">
          <v:rect id="_x0000_i1764" style="width:0;height:1.5pt" o:hralign="center" o:hrstd="t" o:hr="t" fillcolor="#a0a0a0" stroked="f"/>
        </w:pict>
      </w:r>
    </w:p>
    <w:p w14:paraId="03AF56A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לפי רב השנים תרבה מקנתו ולפי מעט השנים תמעיט מקנתו כי מספר תבואת הוא מכר לך</w:t>
      </w:r>
      <w:r w:rsidRPr="00CC6F7E">
        <w:rPr>
          <w:rFonts w:eastAsia="Times New Roman" w:cs="Times New Roman"/>
          <w:rtl/>
          <w:lang w:eastAsia="de-DE"/>
        </w:rPr>
        <w:t xml:space="preserve"> </w:t>
      </w:r>
      <w:r w:rsidRPr="00CC6F7E">
        <w:rPr>
          <w:rFonts w:eastAsia="Times New Roman" w:cs="Times New Roman"/>
          <w:lang w:eastAsia="de-DE"/>
        </w:rPr>
        <w:t xml:space="preserve">erklärt das Proportionalitätsprinzip der Jobel-Preisgestaltung. </w:t>
      </w:r>
      <w:r w:rsidRPr="00CC6F7E">
        <w:rPr>
          <w:rFonts w:eastAsia="Times New Roman" w:cs="Times New Roman"/>
          <w:b/>
          <w:bCs/>
          <w:rtl/>
          <w:lang w:eastAsia="de-DE"/>
        </w:rPr>
        <w:t>לפי רב השנים תרבה מקנתו</w:t>
      </w:r>
      <w:r w:rsidRPr="00CC6F7E">
        <w:rPr>
          <w:rFonts w:eastAsia="Times New Roman" w:cs="Times New Roman"/>
          <w:rtl/>
          <w:lang w:eastAsia="de-DE"/>
        </w:rPr>
        <w:t xml:space="preserve"> </w:t>
      </w:r>
      <w:r w:rsidRPr="00CC6F7E">
        <w:rPr>
          <w:rFonts w:eastAsia="Times New Roman" w:cs="Times New Roman"/>
          <w:lang w:eastAsia="de-DE"/>
        </w:rPr>
        <w:t xml:space="preserve">(gemäß der Vielzahl der Jahre sollst du seinen Kaufpreis mehren) - </w:t>
      </w:r>
      <w:r w:rsidRPr="00CC6F7E">
        <w:rPr>
          <w:rFonts w:eastAsia="Times New Roman" w:cs="Times New Roman"/>
          <w:b/>
          <w:bCs/>
          <w:rtl/>
          <w:lang w:eastAsia="de-DE"/>
        </w:rPr>
        <w:t>לפי</w:t>
      </w:r>
      <w:r w:rsidRPr="00CC6F7E">
        <w:rPr>
          <w:rFonts w:eastAsia="Times New Roman" w:cs="Times New Roman"/>
          <w:rtl/>
          <w:lang w:eastAsia="de-DE"/>
        </w:rPr>
        <w:t xml:space="preserve"> </w:t>
      </w:r>
      <w:r w:rsidRPr="00CC6F7E">
        <w:rPr>
          <w:rFonts w:eastAsia="Times New Roman" w:cs="Times New Roman"/>
          <w:lang w:eastAsia="de-DE"/>
        </w:rPr>
        <w:t xml:space="preserve">(gemäß/entsprechend) zeigt Proportionalität. </w:t>
      </w:r>
      <w:r w:rsidRPr="00CC6F7E">
        <w:rPr>
          <w:rFonts w:eastAsia="Times New Roman" w:cs="Times New Roman"/>
          <w:b/>
          <w:bCs/>
          <w:rtl/>
          <w:lang w:eastAsia="de-DE"/>
        </w:rPr>
        <w:t>רב השנים</w:t>
      </w:r>
      <w:r w:rsidRPr="00CC6F7E">
        <w:rPr>
          <w:rFonts w:eastAsia="Times New Roman" w:cs="Times New Roman"/>
          <w:rtl/>
          <w:lang w:eastAsia="de-DE"/>
        </w:rPr>
        <w:t xml:space="preserve"> </w:t>
      </w:r>
      <w:r w:rsidRPr="00CC6F7E">
        <w:rPr>
          <w:rFonts w:eastAsia="Times New Roman" w:cs="Times New Roman"/>
          <w:lang w:eastAsia="de-DE"/>
        </w:rPr>
        <w:t xml:space="preserve">(Vielzahl der Jahre) zeigt viele Jahre bis zum nächsten Jobel. </w:t>
      </w:r>
      <w:r w:rsidRPr="00CC6F7E">
        <w:rPr>
          <w:rFonts w:eastAsia="Times New Roman" w:cs="Times New Roman"/>
          <w:b/>
          <w:bCs/>
          <w:rtl/>
          <w:lang w:eastAsia="de-DE"/>
        </w:rPr>
        <w:t>תרבה מקנתו</w:t>
      </w:r>
      <w:r w:rsidRPr="00CC6F7E">
        <w:rPr>
          <w:rFonts w:eastAsia="Times New Roman" w:cs="Times New Roman"/>
          <w:rtl/>
          <w:lang w:eastAsia="de-DE"/>
        </w:rPr>
        <w:t xml:space="preserve"> </w:t>
      </w:r>
      <w:r w:rsidRPr="00CC6F7E">
        <w:rPr>
          <w:rFonts w:eastAsia="Times New Roman" w:cs="Times New Roman"/>
          <w:lang w:eastAsia="de-DE"/>
        </w:rPr>
        <w:t xml:space="preserve">(sollst du seinen Kaufpreis mehren) - </w:t>
      </w:r>
      <w:r w:rsidRPr="00CC6F7E">
        <w:rPr>
          <w:rFonts w:eastAsia="Times New Roman" w:cs="Times New Roman"/>
          <w:b/>
          <w:bCs/>
          <w:rtl/>
          <w:lang w:eastAsia="de-DE"/>
        </w:rPr>
        <w:t>תרבה</w:t>
      </w:r>
      <w:r w:rsidRPr="00CC6F7E">
        <w:rPr>
          <w:rFonts w:eastAsia="Times New Roman" w:cs="Times New Roman"/>
          <w:rtl/>
          <w:lang w:eastAsia="de-DE"/>
        </w:rPr>
        <w:t xml:space="preserve"> </w:t>
      </w:r>
      <w:r w:rsidRPr="00CC6F7E">
        <w:rPr>
          <w:rFonts w:eastAsia="Times New Roman" w:cs="Times New Roman"/>
          <w:lang w:eastAsia="de-DE"/>
        </w:rPr>
        <w:t xml:space="preserve">(sollst du mehren) im Hifil-Imperfekt, </w:t>
      </w:r>
      <w:r w:rsidRPr="00CC6F7E">
        <w:rPr>
          <w:rFonts w:eastAsia="Times New Roman" w:cs="Times New Roman"/>
          <w:b/>
          <w:bCs/>
          <w:rtl/>
          <w:lang w:eastAsia="de-DE"/>
        </w:rPr>
        <w:t>מקנתו</w:t>
      </w:r>
      <w:r w:rsidRPr="00CC6F7E">
        <w:rPr>
          <w:rFonts w:eastAsia="Times New Roman" w:cs="Times New Roman"/>
          <w:rtl/>
          <w:lang w:eastAsia="de-DE"/>
        </w:rPr>
        <w:t xml:space="preserve"> </w:t>
      </w:r>
      <w:r w:rsidRPr="00CC6F7E">
        <w:rPr>
          <w:rFonts w:eastAsia="Times New Roman" w:cs="Times New Roman"/>
          <w:lang w:eastAsia="de-DE"/>
        </w:rPr>
        <w:t>(seinen Kaufpreis) zeigt Preissteigerung.</w:t>
      </w:r>
    </w:p>
    <w:p w14:paraId="789C763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ולפי מעט השנים תמעיט מקנתו</w:t>
      </w:r>
      <w:r w:rsidRPr="00CC6F7E">
        <w:rPr>
          <w:rFonts w:eastAsia="Times New Roman" w:cs="Times New Roman"/>
          <w:rtl/>
          <w:lang w:eastAsia="de-DE"/>
        </w:rPr>
        <w:t xml:space="preserve"> </w:t>
      </w:r>
      <w:r w:rsidRPr="00CC6F7E">
        <w:rPr>
          <w:rFonts w:eastAsia="Times New Roman" w:cs="Times New Roman"/>
          <w:lang w:eastAsia="de-DE"/>
        </w:rPr>
        <w:t xml:space="preserve">(und gemäß der Wenigkeit der Jahre sollst du seinen Kaufpreis mindern) zeigt umgekehrte Proportionalität. </w:t>
      </w:r>
      <w:r w:rsidRPr="00CC6F7E">
        <w:rPr>
          <w:rFonts w:eastAsia="Times New Roman" w:cs="Times New Roman"/>
          <w:b/>
          <w:bCs/>
          <w:rtl/>
          <w:lang w:eastAsia="de-DE"/>
        </w:rPr>
        <w:t>מעט השנים</w:t>
      </w:r>
      <w:r w:rsidRPr="00CC6F7E">
        <w:rPr>
          <w:rFonts w:eastAsia="Times New Roman" w:cs="Times New Roman"/>
          <w:rtl/>
          <w:lang w:eastAsia="de-DE"/>
        </w:rPr>
        <w:t xml:space="preserve"> </w:t>
      </w:r>
      <w:r w:rsidRPr="00CC6F7E">
        <w:rPr>
          <w:rFonts w:eastAsia="Times New Roman" w:cs="Times New Roman"/>
          <w:lang w:eastAsia="de-DE"/>
        </w:rPr>
        <w:t xml:space="preserve">(Wenigkeit der Jahre) zeigt wenige Jahre bis zum Jobel. </w:t>
      </w:r>
      <w:r w:rsidRPr="00CC6F7E">
        <w:rPr>
          <w:rFonts w:eastAsia="Times New Roman" w:cs="Times New Roman"/>
          <w:b/>
          <w:bCs/>
          <w:rtl/>
          <w:lang w:eastAsia="de-DE"/>
        </w:rPr>
        <w:t>תמעיט</w:t>
      </w:r>
      <w:r w:rsidRPr="00CC6F7E">
        <w:rPr>
          <w:rFonts w:eastAsia="Times New Roman" w:cs="Times New Roman"/>
          <w:rtl/>
          <w:lang w:eastAsia="de-DE"/>
        </w:rPr>
        <w:t xml:space="preserve"> </w:t>
      </w:r>
      <w:r w:rsidRPr="00CC6F7E">
        <w:rPr>
          <w:rFonts w:eastAsia="Times New Roman" w:cs="Times New Roman"/>
          <w:lang w:eastAsia="de-DE"/>
        </w:rPr>
        <w:t>(sollst du mindern) im Hifil-Imperfekt zeigt Preisminderung.</w:t>
      </w:r>
    </w:p>
    <w:p w14:paraId="25713B7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כי מספר תבואת הוא מכר לך</w:t>
      </w:r>
      <w:r w:rsidRPr="00CC6F7E">
        <w:rPr>
          <w:rFonts w:eastAsia="Times New Roman" w:cs="Times New Roman"/>
          <w:rtl/>
          <w:lang w:eastAsia="de-DE"/>
        </w:rPr>
        <w:t xml:space="preserve"> </w:t>
      </w:r>
      <w:r w:rsidRPr="00CC6F7E">
        <w:rPr>
          <w:rFonts w:eastAsia="Times New Roman" w:cs="Times New Roman"/>
          <w:lang w:eastAsia="de-DE"/>
        </w:rPr>
        <w:t xml:space="preserve">(denn eine Zahl von Ernten verkauft er dir) begründet das Prinzip - </w:t>
      </w:r>
      <w:r w:rsidRPr="00CC6F7E">
        <w:rPr>
          <w:rFonts w:eastAsia="Times New Roman" w:cs="Times New Roman"/>
          <w:b/>
          <w:bCs/>
          <w:rtl/>
          <w:lang w:eastAsia="de-DE"/>
        </w:rPr>
        <w:t>מספר תבואת</w:t>
      </w:r>
      <w:r w:rsidRPr="00CC6F7E">
        <w:rPr>
          <w:rFonts w:eastAsia="Times New Roman" w:cs="Times New Roman"/>
          <w:rtl/>
          <w:lang w:eastAsia="de-DE"/>
        </w:rPr>
        <w:t xml:space="preserve"> </w:t>
      </w:r>
      <w:r w:rsidRPr="00CC6F7E">
        <w:rPr>
          <w:rFonts w:eastAsia="Times New Roman" w:cs="Times New Roman"/>
          <w:lang w:eastAsia="de-DE"/>
        </w:rPr>
        <w:t>(eine Zahl von Ernten) zeigt, dass Land nur temporär verkauft wird basierend auf verbleibenden Ernten.</w:t>
      </w:r>
    </w:p>
    <w:p w14:paraId="0402D8F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לפי רב השנים</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לפי מעט השנים</w:t>
      </w:r>
      <w:r w:rsidRPr="00CC6F7E">
        <w:rPr>
          <w:rFonts w:eastAsia="Times New Roman" w:cs="Times New Roman"/>
          <w:rtl/>
          <w:lang w:eastAsia="de-DE"/>
        </w:rPr>
        <w:t xml:space="preserve"> </w:t>
      </w:r>
      <w:r w:rsidRPr="00CC6F7E">
        <w:rPr>
          <w:rFonts w:eastAsia="Times New Roman" w:cs="Times New Roman"/>
          <w:lang w:eastAsia="de-DE"/>
        </w:rPr>
        <w:t xml:space="preserve">zeigen inverse Beziehung zwischen verbleibenden Jahren und Preis. </w:t>
      </w:r>
      <w:r w:rsidRPr="00CC6F7E">
        <w:rPr>
          <w:rFonts w:eastAsia="Times New Roman" w:cs="Times New Roman"/>
          <w:b/>
          <w:bCs/>
          <w:rtl/>
          <w:lang w:eastAsia="de-DE"/>
        </w:rPr>
        <w:t>מספר תבואת</w:t>
      </w:r>
      <w:r w:rsidRPr="00CC6F7E">
        <w:rPr>
          <w:rFonts w:eastAsia="Times New Roman" w:cs="Times New Roman"/>
          <w:rtl/>
          <w:lang w:eastAsia="de-DE"/>
        </w:rPr>
        <w:t xml:space="preserve"> </w:t>
      </w:r>
      <w:r w:rsidRPr="00CC6F7E">
        <w:rPr>
          <w:rFonts w:eastAsia="Times New Roman" w:cs="Times New Roman"/>
          <w:lang w:eastAsia="de-DE"/>
        </w:rPr>
        <w:t>zeigt, dass Landverkauf eigentlich Ernteverkauf ist.</w:t>
      </w:r>
    </w:p>
    <w:p w14:paraId="7C4B21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לפי רב השנים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θὸ</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ἂν</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λεῖον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ἐτῶν</w:t>
      </w:r>
      <w:proofErr w:type="spellEnd"/>
      <w:r w:rsidRPr="00CC6F7E">
        <w:rPr>
          <w:rFonts w:eastAsia="Times New Roman" w:cs="Times New Roman"/>
          <w:lang w:eastAsia="de-DE"/>
        </w:rPr>
        <w:t xml:space="preserve"> (je nachdem wie mehr von den Jahren), </w:t>
      </w:r>
      <w:r w:rsidRPr="00CC6F7E">
        <w:rPr>
          <w:rFonts w:eastAsia="Times New Roman" w:cs="Times New Roman"/>
          <w:b/>
          <w:bCs/>
          <w:rtl/>
          <w:lang w:eastAsia="de-DE"/>
        </w:rPr>
        <w:t>תרבה מקנתו</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ληθύνεις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κτῆσιν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(wirst du seinen Erwerb mehren), </w:t>
      </w:r>
      <w:r w:rsidRPr="00CC6F7E">
        <w:rPr>
          <w:rFonts w:eastAsia="Times New Roman" w:cs="Times New Roman"/>
          <w:b/>
          <w:bCs/>
          <w:rtl/>
          <w:lang w:eastAsia="de-DE"/>
        </w:rPr>
        <w:t>מעט השנים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ἔλ</w:t>
      </w:r>
      <w:proofErr w:type="spellEnd"/>
      <w:r w:rsidRPr="00CC6F7E">
        <w:rPr>
          <w:rFonts w:eastAsia="Times New Roman" w:cs="Times New Roman"/>
          <w:lang w:eastAsia="de-DE"/>
        </w:rPr>
        <w:t xml:space="preserve">αττον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ἐτῶν</w:t>
      </w:r>
      <w:proofErr w:type="spellEnd"/>
      <w:r w:rsidRPr="00CC6F7E">
        <w:rPr>
          <w:rFonts w:eastAsia="Times New Roman" w:cs="Times New Roman"/>
          <w:lang w:eastAsia="de-DE"/>
        </w:rPr>
        <w:t xml:space="preserve"> (weniger von den Jahren) und </w:t>
      </w:r>
      <w:r w:rsidRPr="00CC6F7E">
        <w:rPr>
          <w:rFonts w:eastAsia="Times New Roman" w:cs="Times New Roman"/>
          <w:b/>
          <w:bCs/>
          <w:rtl/>
          <w:lang w:eastAsia="de-DE"/>
        </w:rPr>
        <w:t>מספר תבואת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ἀριθμὸν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γενημάτων</w:t>
      </w:r>
      <w:proofErr w:type="spellEnd"/>
      <w:r w:rsidRPr="00CC6F7E">
        <w:rPr>
          <w:rFonts w:eastAsia="Times New Roman" w:cs="Times New Roman"/>
          <w:lang w:eastAsia="de-DE"/>
        </w:rPr>
        <w:t xml:space="preserve"> (Zahl von Erzeugnissen).</w:t>
      </w:r>
    </w:p>
    <w:p w14:paraId="694F13D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Proportionalitätsprinzip: viele Jahre = höherer Preis + wenige Jahre = niedrigerer Preis + Begründung durch Erntenzahl-Verkauf.</w:t>
      </w:r>
    </w:p>
    <w:p w14:paraId="19B8071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erklärt das Jobel-Preissystem: Der Landpreis ist proportional zu den verbleibenden Nutzungsjahren bis zur Restitution.</w:t>
      </w:r>
    </w:p>
    <w:p w14:paraId="43F44F0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25,17</w:t>
      </w:r>
    </w:p>
    <w:p w14:paraId="0E8975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וְלֹ֤א תוֹנוּ֙ אִ֣ישׁ אֶת־עֲמִיתֹ֔ו וְיָרֵ֖אתָ מֵֽאֱלֹהֶ֑יךָ כִּ֛י אֲנִ֥י יְהֹוָ֖ה אֱלֹהֵיכֶֽם׃</w:t>
      </w:r>
    </w:p>
    <w:p w14:paraId="4A79D9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sollt nicht einer seinen Nächsten übervorteilen und sollst dich fürchten vor deinem Gott; denn ich bin der Ewige, euer Gott.</w:t>
      </w:r>
    </w:p>
    <w:p w14:paraId="3FA53F2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A7E7466">
          <v:rect id="_x0000_i1765" style="width:0;height:1.5pt" o:hralign="center" o:hrstd="t" o:hr="t" fillcolor="#a0a0a0" stroked="f"/>
        </w:pict>
      </w:r>
    </w:p>
    <w:p w14:paraId="41747F0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ולא תונו איש את־עמיתו ויראת מאלהיך כי 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bekräftigt das Übervorteilungsverbot mit göttlicher Begründung. </w:t>
      </w:r>
      <w:r w:rsidRPr="00CC6F7E">
        <w:rPr>
          <w:rFonts w:eastAsia="Times New Roman" w:cs="Times New Roman"/>
          <w:b/>
          <w:bCs/>
          <w:rtl/>
          <w:lang w:eastAsia="de-DE"/>
        </w:rPr>
        <w:t>ולא תונו איש את־עמיתו</w:t>
      </w:r>
      <w:r w:rsidRPr="00CC6F7E">
        <w:rPr>
          <w:rFonts w:eastAsia="Times New Roman" w:cs="Times New Roman"/>
          <w:rtl/>
          <w:lang w:eastAsia="de-DE"/>
        </w:rPr>
        <w:t xml:space="preserve"> </w:t>
      </w:r>
      <w:r w:rsidRPr="00CC6F7E">
        <w:rPr>
          <w:rFonts w:eastAsia="Times New Roman" w:cs="Times New Roman"/>
          <w:lang w:eastAsia="de-DE"/>
        </w:rPr>
        <w:t xml:space="preserve">(und ihr sollt nicht einer seinen Nächsten übervorteilen) entspricht V. 14 mit </w:t>
      </w:r>
      <w:r w:rsidRPr="00CC6F7E">
        <w:rPr>
          <w:rFonts w:eastAsia="Times New Roman" w:cs="Times New Roman"/>
          <w:b/>
          <w:bCs/>
          <w:rtl/>
          <w:lang w:eastAsia="de-DE"/>
        </w:rPr>
        <w:t>עמיתו</w:t>
      </w:r>
      <w:r w:rsidRPr="00CC6F7E">
        <w:rPr>
          <w:rFonts w:eastAsia="Times New Roman" w:cs="Times New Roman"/>
          <w:rtl/>
          <w:lang w:eastAsia="de-DE"/>
        </w:rPr>
        <w:t xml:space="preserve"> </w:t>
      </w:r>
      <w:r w:rsidRPr="00CC6F7E">
        <w:rPr>
          <w:rFonts w:eastAsia="Times New Roman" w:cs="Times New Roman"/>
          <w:lang w:eastAsia="de-DE"/>
        </w:rPr>
        <w:t xml:space="preserve">(seinen Nächsten) statt </w:t>
      </w:r>
      <w:r w:rsidRPr="00CC6F7E">
        <w:rPr>
          <w:rFonts w:eastAsia="Times New Roman" w:cs="Times New Roman"/>
          <w:b/>
          <w:bCs/>
          <w:rtl/>
          <w:lang w:eastAsia="de-DE"/>
        </w:rPr>
        <w:t>אחיו</w:t>
      </w:r>
      <w:r w:rsidRPr="00CC6F7E">
        <w:rPr>
          <w:rFonts w:eastAsia="Times New Roman" w:cs="Times New Roman"/>
          <w:rtl/>
          <w:lang w:eastAsia="de-DE"/>
        </w:rPr>
        <w:t xml:space="preserve"> </w:t>
      </w:r>
      <w:r w:rsidRPr="00CC6F7E">
        <w:rPr>
          <w:rFonts w:eastAsia="Times New Roman" w:cs="Times New Roman"/>
          <w:lang w:eastAsia="de-DE"/>
        </w:rPr>
        <w:t>(seinen Bruder).</w:t>
      </w:r>
    </w:p>
    <w:p w14:paraId="2D3B054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(und sollst dich fürchten vor deinem Gott) - </w:t>
      </w:r>
      <w:r w:rsidRPr="00CC6F7E">
        <w:rPr>
          <w:rFonts w:eastAsia="Times New Roman" w:cs="Times New Roman"/>
          <w:b/>
          <w:bCs/>
          <w:rtl/>
          <w:lang w:eastAsia="de-DE"/>
        </w:rPr>
        <w:t>ויראת</w:t>
      </w:r>
      <w:r w:rsidRPr="00CC6F7E">
        <w:rPr>
          <w:rFonts w:eastAsia="Times New Roman" w:cs="Times New Roman"/>
          <w:rtl/>
          <w:lang w:eastAsia="de-DE"/>
        </w:rPr>
        <w:t xml:space="preserve"> </w:t>
      </w:r>
      <w:r w:rsidRPr="00CC6F7E">
        <w:rPr>
          <w:rFonts w:eastAsia="Times New Roman" w:cs="Times New Roman"/>
          <w:lang w:eastAsia="de-DE"/>
        </w:rPr>
        <w:t xml:space="preserve">(und du sollst dich fürchten) im Qal-Perfekt mit Waw-Konsekutiv von </w:t>
      </w:r>
      <w:r w:rsidRPr="00CC6F7E">
        <w:rPr>
          <w:rFonts w:eastAsia="Times New Roman" w:cs="Times New Roman"/>
          <w:b/>
          <w:bCs/>
          <w:rtl/>
          <w:lang w:eastAsia="de-DE"/>
        </w:rPr>
        <w:t>ירא</w:t>
      </w:r>
      <w:r w:rsidRPr="00CC6F7E">
        <w:rPr>
          <w:rFonts w:eastAsia="Times New Roman" w:cs="Times New Roman"/>
          <w:rtl/>
          <w:lang w:eastAsia="de-DE"/>
        </w:rPr>
        <w:t xml:space="preserve"> </w:t>
      </w:r>
      <w:r w:rsidRPr="00CC6F7E">
        <w:rPr>
          <w:rFonts w:eastAsia="Times New Roman" w:cs="Times New Roman"/>
          <w:lang w:eastAsia="de-DE"/>
        </w:rPr>
        <w:t xml:space="preserve">zeigt </w:t>
      </w:r>
      <w:r w:rsidRPr="00CC6F7E">
        <w:rPr>
          <w:rFonts w:eastAsia="Times New Roman" w:cs="Times New Roman"/>
          <w:b/>
          <w:bCs/>
          <w:rtl/>
          <w:lang w:eastAsia="de-DE"/>
        </w:rPr>
        <w:t>יראת אלהים</w:t>
      </w:r>
      <w:r w:rsidRPr="00CC6F7E">
        <w:rPr>
          <w:rFonts w:eastAsia="Times New Roman" w:cs="Times New Roman"/>
          <w:rtl/>
          <w:lang w:eastAsia="de-DE"/>
        </w:rPr>
        <w:t xml:space="preserve"> </w:t>
      </w:r>
      <w:r w:rsidRPr="00CC6F7E">
        <w:rPr>
          <w:rFonts w:eastAsia="Times New Roman" w:cs="Times New Roman"/>
          <w:lang w:eastAsia="de-DE"/>
        </w:rPr>
        <w:t xml:space="preserve">(Gottesfurcht) als Motivation für ethisches Handeln. </w:t>
      </w:r>
      <w:r w:rsidRPr="00CC6F7E">
        <w:rPr>
          <w:rFonts w:eastAsia="Times New Roman" w:cs="Times New Roman"/>
          <w:b/>
          <w:bCs/>
          <w:rtl/>
          <w:lang w:eastAsia="de-DE"/>
        </w:rPr>
        <w:t>מאלהיך</w:t>
      </w:r>
      <w:r w:rsidRPr="00CC6F7E">
        <w:rPr>
          <w:rFonts w:eastAsia="Times New Roman" w:cs="Times New Roman"/>
          <w:rtl/>
          <w:lang w:eastAsia="de-DE"/>
        </w:rPr>
        <w:t xml:space="preserve"> </w:t>
      </w:r>
      <w:r w:rsidRPr="00CC6F7E">
        <w:rPr>
          <w:rFonts w:eastAsia="Times New Roman" w:cs="Times New Roman"/>
          <w:lang w:eastAsia="de-DE"/>
        </w:rPr>
        <w:t>(vor deinem Gott) zeigt persönliche Gottesbeziehung.</w:t>
      </w:r>
    </w:p>
    <w:p w14:paraId="4C46D3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 אני יהוה אלהיכם</w:t>
      </w:r>
      <w:r w:rsidRPr="00CC6F7E">
        <w:rPr>
          <w:rFonts w:eastAsia="Times New Roman" w:cs="Times New Roman"/>
          <w:rtl/>
          <w:lang w:eastAsia="de-DE"/>
        </w:rPr>
        <w:t xml:space="preserve"> </w:t>
      </w:r>
      <w:r w:rsidRPr="00CC6F7E">
        <w:rPr>
          <w:rFonts w:eastAsia="Times New Roman" w:cs="Times New Roman"/>
          <w:lang w:eastAsia="de-DE"/>
        </w:rPr>
        <w:t>(denn ich bin der Ewige, euer Gott) als Autoritäts- und Bundesformel.</w:t>
      </w:r>
    </w:p>
    <w:p w14:paraId="542BE9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תונו</w:t>
      </w:r>
      <w:r w:rsidRPr="00CC6F7E">
        <w:rPr>
          <w:rFonts w:eastAsia="Times New Roman" w:cs="Times New Roman"/>
          <w:rtl/>
          <w:lang w:eastAsia="de-DE"/>
        </w:rPr>
        <w:t xml:space="preserve"> </w:t>
      </w:r>
      <w:r w:rsidRPr="00CC6F7E">
        <w:rPr>
          <w:rFonts w:eastAsia="Times New Roman" w:cs="Times New Roman"/>
          <w:lang w:eastAsia="de-DE"/>
        </w:rPr>
        <w:t xml:space="preserve">zeigt Übervorteilung bei der Jobel-Preisgestaltung. </w:t>
      </w:r>
      <w:r w:rsidRPr="00CC6F7E">
        <w:rPr>
          <w:rFonts w:eastAsia="Times New Roman" w:cs="Times New Roman"/>
          <w:b/>
          <w:bCs/>
          <w:rtl/>
          <w:lang w:eastAsia="de-DE"/>
        </w:rPr>
        <w:t>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zeigt Gottesfurcht als ethische Grundlage.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begründet göttliche Autorität für Handelsethik.</w:t>
      </w:r>
    </w:p>
    <w:p w14:paraId="339F443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תונו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θλίψεις</w:t>
      </w:r>
      <w:proofErr w:type="spellEnd"/>
      <w:r w:rsidRPr="00CC6F7E">
        <w:rPr>
          <w:rFonts w:eastAsia="Times New Roman" w:cs="Times New Roman"/>
          <w:lang w:eastAsia="de-DE"/>
        </w:rPr>
        <w:t xml:space="preserve"> (wirst du bedrängen), </w:t>
      </w:r>
      <w:r w:rsidRPr="00CC6F7E">
        <w:rPr>
          <w:rFonts w:eastAsia="Times New Roman" w:cs="Times New Roman"/>
          <w:b/>
          <w:bCs/>
          <w:rtl/>
          <w:lang w:eastAsia="de-DE"/>
        </w:rPr>
        <w:t>עמיתו</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λησίον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(seinen Nächsten), </w:t>
      </w:r>
      <w:r w:rsidRPr="00CC6F7E">
        <w:rPr>
          <w:rFonts w:eastAsia="Times New Roman" w:cs="Times New Roman"/>
          <w:b/>
          <w:bCs/>
          <w:rtl/>
          <w:lang w:eastAsia="de-DE"/>
        </w:rPr>
        <w:t>ויראת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φο</w:t>
      </w:r>
      <w:proofErr w:type="spellEnd"/>
      <w:r w:rsidRPr="00CC6F7E">
        <w:rPr>
          <w:rFonts w:eastAsia="Times New Roman" w:cs="Times New Roman"/>
          <w:lang w:eastAsia="de-DE"/>
        </w:rPr>
        <w:t xml:space="preserve">βηθήσῃ (wirst du dich fürchten) und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ὅτι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ἐγώ</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εἰμι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κύριος</w:t>
      </w:r>
      <w:proofErr w:type="spellEnd"/>
      <w:r w:rsidRPr="00CC6F7E">
        <w:rPr>
          <w:rFonts w:eastAsia="Times New Roman" w:cs="Times New Roman"/>
          <w:lang w:eastAsia="de-DE"/>
        </w:rPr>
        <w:t xml:space="preserve"> ὁ </w:t>
      </w:r>
      <w:proofErr w:type="spellStart"/>
      <w:r w:rsidRPr="00CC6F7E">
        <w:rPr>
          <w:rFonts w:eastAsia="Times New Roman" w:cs="Times New Roman"/>
          <w:lang w:eastAsia="de-DE"/>
        </w:rPr>
        <w:t>θεὸς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(denn ich bin der Herr, euer Gott).</w:t>
      </w:r>
    </w:p>
    <w:p w14:paraId="0008CC4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ethische Verstärkung: Übervorteilungs-Verbot + Gottesfurcht-Gebot + göttliche Autoritätsbegründung.</w:t>
      </w:r>
    </w:p>
    <w:p w14:paraId="6C9148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verstärkt die Jobel-Handelsethik durch Gottesfurcht und göttliche Autorität.</w:t>
      </w:r>
    </w:p>
    <w:p w14:paraId="1C8B1A1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25,18</w:t>
      </w:r>
    </w:p>
    <w:p w14:paraId="1F7535A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וַעֲשִׂיתֶם֙ אֶת־חֻקֹּתַ֔י וְאֶת־מִשְׁפָּטַ֥י תִּשְׁמְר֖וּ וַעֲשִׂיתֶ֣ם אֹתָ֑ם וִֽישַׁבְתֶּ֥ם עַל־הָאָ֖רֶץ לָבֶֽטַח׃</w:t>
      </w:r>
    </w:p>
    <w:p w14:paraId="6E9747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sollt meine Satzungen tun und meine Rechte beachten und sie tun, so werdet ihr sicher im Land wohnen.</w:t>
      </w:r>
    </w:p>
    <w:p w14:paraId="3CA621D9"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0445BB9">
          <v:rect id="_x0000_i1766" style="width:0;height:1.5pt" o:hralign="center" o:hrstd="t" o:hr="t" fillcolor="#a0a0a0" stroked="f"/>
        </w:pict>
      </w:r>
    </w:p>
    <w:p w14:paraId="4C6D65D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ועשיתם את־חקתי ואת־משפטי תשמרו ועשיתם אתם וישבתם על־הארץ לבטח</w:t>
      </w:r>
      <w:r w:rsidRPr="00CC6F7E">
        <w:rPr>
          <w:rFonts w:eastAsia="Times New Roman" w:cs="Times New Roman"/>
          <w:rtl/>
          <w:lang w:eastAsia="de-DE"/>
        </w:rPr>
        <w:t xml:space="preserve"> </w:t>
      </w:r>
      <w:r w:rsidRPr="00CC6F7E">
        <w:rPr>
          <w:rFonts w:eastAsia="Times New Roman" w:cs="Times New Roman"/>
          <w:lang w:eastAsia="de-DE"/>
        </w:rPr>
        <w:t xml:space="preserve">verknüpft Gehorsam mit Landbesitzsicherheit. </w:t>
      </w:r>
      <w:r w:rsidRPr="00CC6F7E">
        <w:rPr>
          <w:rFonts w:eastAsia="Times New Roman" w:cs="Times New Roman"/>
          <w:b/>
          <w:bCs/>
          <w:rtl/>
          <w:lang w:eastAsia="de-DE"/>
        </w:rPr>
        <w:t>ועשיתם את־חקתי ואת־משפטי תשמרו ועשיתם אתם</w:t>
      </w:r>
      <w:r w:rsidRPr="00CC6F7E">
        <w:rPr>
          <w:rFonts w:eastAsia="Times New Roman" w:cs="Times New Roman"/>
          <w:rtl/>
          <w:lang w:eastAsia="de-DE"/>
        </w:rPr>
        <w:t xml:space="preserve"> </w:t>
      </w:r>
      <w:r w:rsidRPr="00CC6F7E">
        <w:rPr>
          <w:rFonts w:eastAsia="Times New Roman" w:cs="Times New Roman"/>
          <w:lang w:eastAsia="de-DE"/>
        </w:rPr>
        <w:t>(und ihr sollt meine Satzungen tun und meine Rechte beachten und sie tun) zeigt zwei Arten göttlicher Anweisungen:</w:t>
      </w:r>
    </w:p>
    <w:p w14:paraId="1BE99592" w14:textId="77777777" w:rsidR="00CC6F7E" w:rsidRPr="00CC6F7E" w:rsidRDefault="00CC6F7E" w:rsidP="00CC6F7E">
      <w:pPr>
        <w:numPr>
          <w:ilvl w:val="0"/>
          <w:numId w:val="26"/>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חקתי</w:t>
      </w:r>
      <w:r w:rsidRPr="00CC6F7E">
        <w:rPr>
          <w:rFonts w:eastAsia="Times New Roman" w:cs="Times New Roman"/>
          <w:rtl/>
          <w:lang w:eastAsia="de-DE"/>
        </w:rPr>
        <w:t xml:space="preserve"> </w:t>
      </w:r>
      <w:r w:rsidRPr="00CC6F7E">
        <w:rPr>
          <w:rFonts w:eastAsia="Times New Roman" w:cs="Times New Roman"/>
          <w:lang w:eastAsia="de-DE"/>
        </w:rPr>
        <w:t>(meine Satzungen) - kultische/rituelle Gesetze</w:t>
      </w:r>
    </w:p>
    <w:p w14:paraId="6B1BC40C" w14:textId="77777777" w:rsidR="00CC6F7E" w:rsidRPr="00CC6F7E" w:rsidRDefault="00CC6F7E" w:rsidP="00CC6F7E">
      <w:pPr>
        <w:numPr>
          <w:ilvl w:val="0"/>
          <w:numId w:val="26"/>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משפטי</w:t>
      </w:r>
      <w:r w:rsidRPr="00CC6F7E">
        <w:rPr>
          <w:rFonts w:eastAsia="Times New Roman" w:cs="Times New Roman"/>
          <w:rtl/>
          <w:lang w:eastAsia="de-DE"/>
        </w:rPr>
        <w:t xml:space="preserve"> </w:t>
      </w:r>
      <w:r w:rsidRPr="00CC6F7E">
        <w:rPr>
          <w:rFonts w:eastAsia="Times New Roman" w:cs="Times New Roman"/>
          <w:lang w:eastAsia="de-DE"/>
        </w:rPr>
        <w:t>(meine Rechte) - Rechtsbestimmungen</w:t>
      </w:r>
    </w:p>
    <w:p w14:paraId="233D018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תשמרו</w:t>
      </w:r>
      <w:r w:rsidRPr="00CC6F7E">
        <w:rPr>
          <w:rFonts w:eastAsia="Times New Roman" w:cs="Times New Roman"/>
          <w:rtl/>
          <w:lang w:eastAsia="de-DE"/>
        </w:rPr>
        <w:t xml:space="preserve"> </w:t>
      </w:r>
      <w:r w:rsidRPr="00CC6F7E">
        <w:rPr>
          <w:rFonts w:eastAsia="Times New Roman" w:cs="Times New Roman"/>
          <w:lang w:eastAsia="de-DE"/>
        </w:rPr>
        <w:t xml:space="preserve">(sollt ihr beachten) und </w:t>
      </w:r>
      <w:r w:rsidRPr="00CC6F7E">
        <w:rPr>
          <w:rFonts w:eastAsia="Times New Roman" w:cs="Times New Roman"/>
          <w:b/>
          <w:bCs/>
          <w:rtl/>
          <w:lang w:eastAsia="de-DE"/>
        </w:rPr>
        <w:t>ועשיתם</w:t>
      </w:r>
      <w:r w:rsidRPr="00CC6F7E">
        <w:rPr>
          <w:rFonts w:eastAsia="Times New Roman" w:cs="Times New Roman"/>
          <w:rtl/>
          <w:lang w:eastAsia="de-DE"/>
        </w:rPr>
        <w:t xml:space="preserve"> </w:t>
      </w:r>
      <w:r w:rsidRPr="00CC6F7E">
        <w:rPr>
          <w:rFonts w:eastAsia="Times New Roman" w:cs="Times New Roman"/>
          <w:lang w:eastAsia="de-DE"/>
        </w:rPr>
        <w:t>(und sollt tun) zeigen Beachtung und Ausführung.</w:t>
      </w:r>
    </w:p>
    <w:p w14:paraId="7670C44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וישבתם על־הארץ לבטח</w:t>
      </w:r>
      <w:r w:rsidRPr="00CC6F7E">
        <w:rPr>
          <w:rFonts w:eastAsia="Times New Roman" w:cs="Times New Roman"/>
          <w:rtl/>
          <w:lang w:eastAsia="de-DE"/>
        </w:rPr>
        <w:t xml:space="preserve"> </w:t>
      </w:r>
      <w:r w:rsidRPr="00CC6F7E">
        <w:rPr>
          <w:rFonts w:eastAsia="Times New Roman" w:cs="Times New Roman"/>
          <w:lang w:eastAsia="de-DE"/>
        </w:rPr>
        <w:t xml:space="preserve">(so werdet ihr sicher im Land wohnen) zeigt die Segensverheißung - </w:t>
      </w:r>
      <w:r w:rsidRPr="00CC6F7E">
        <w:rPr>
          <w:rFonts w:eastAsia="Times New Roman" w:cs="Times New Roman"/>
          <w:b/>
          <w:bCs/>
          <w:rtl/>
          <w:lang w:eastAsia="de-DE"/>
        </w:rPr>
        <w:t>וישבתם</w:t>
      </w:r>
      <w:r w:rsidRPr="00CC6F7E">
        <w:rPr>
          <w:rFonts w:eastAsia="Times New Roman" w:cs="Times New Roman"/>
          <w:rtl/>
          <w:lang w:eastAsia="de-DE"/>
        </w:rPr>
        <w:t xml:space="preserve"> </w:t>
      </w:r>
      <w:r w:rsidRPr="00CC6F7E">
        <w:rPr>
          <w:rFonts w:eastAsia="Times New Roman" w:cs="Times New Roman"/>
          <w:lang w:eastAsia="de-DE"/>
        </w:rPr>
        <w:t xml:space="preserve">(und ihr werdet wohnen) im Qal-Perfekt mit Waw-Konsekutiv. </w:t>
      </w:r>
      <w:r w:rsidRPr="00CC6F7E">
        <w:rPr>
          <w:rFonts w:eastAsia="Times New Roman" w:cs="Times New Roman"/>
          <w:b/>
          <w:bCs/>
          <w:rtl/>
          <w:lang w:eastAsia="de-DE"/>
        </w:rPr>
        <w:t>על־הארץ</w:t>
      </w:r>
      <w:r w:rsidRPr="00CC6F7E">
        <w:rPr>
          <w:rFonts w:eastAsia="Times New Roman" w:cs="Times New Roman"/>
          <w:rtl/>
          <w:lang w:eastAsia="de-DE"/>
        </w:rPr>
        <w:t xml:space="preserve"> </w:t>
      </w:r>
      <w:r w:rsidRPr="00CC6F7E">
        <w:rPr>
          <w:rFonts w:eastAsia="Times New Roman" w:cs="Times New Roman"/>
          <w:lang w:eastAsia="de-DE"/>
        </w:rPr>
        <w:t xml:space="preserve">(im Land) zeigt das Verheißungsland. </w:t>
      </w:r>
      <w:r w:rsidRPr="00CC6F7E">
        <w:rPr>
          <w:rFonts w:eastAsia="Times New Roman" w:cs="Times New Roman"/>
          <w:b/>
          <w:bCs/>
          <w:rtl/>
          <w:lang w:eastAsia="de-DE"/>
        </w:rPr>
        <w:t>לבטח</w:t>
      </w:r>
      <w:r w:rsidRPr="00CC6F7E">
        <w:rPr>
          <w:rFonts w:eastAsia="Times New Roman" w:cs="Times New Roman"/>
          <w:rtl/>
          <w:lang w:eastAsia="de-DE"/>
        </w:rPr>
        <w:t xml:space="preserve"> </w:t>
      </w:r>
      <w:r w:rsidRPr="00CC6F7E">
        <w:rPr>
          <w:rFonts w:eastAsia="Times New Roman" w:cs="Times New Roman"/>
          <w:lang w:eastAsia="de-DE"/>
        </w:rPr>
        <w:t>(sicher) zeigt Sicherheit ohne Bedrohung.</w:t>
      </w:r>
    </w:p>
    <w:p w14:paraId="5F27AE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חקתי ומשפטי</w:t>
      </w:r>
      <w:r w:rsidRPr="00CC6F7E">
        <w:rPr>
          <w:rFonts w:eastAsia="Times New Roman" w:cs="Times New Roman"/>
          <w:rtl/>
          <w:lang w:eastAsia="de-DE"/>
        </w:rPr>
        <w:t xml:space="preserve"> </w:t>
      </w:r>
      <w:r w:rsidRPr="00CC6F7E">
        <w:rPr>
          <w:rFonts w:eastAsia="Times New Roman" w:cs="Times New Roman"/>
          <w:lang w:eastAsia="de-DE"/>
        </w:rPr>
        <w:t xml:space="preserve">als umfassende Gesetzeskategorien. </w:t>
      </w:r>
      <w:r w:rsidRPr="00CC6F7E">
        <w:rPr>
          <w:rFonts w:eastAsia="Times New Roman" w:cs="Times New Roman"/>
          <w:b/>
          <w:bCs/>
          <w:rtl/>
          <w:lang w:eastAsia="de-DE"/>
        </w:rPr>
        <w:t>תשמרו...ועשיתם</w:t>
      </w:r>
      <w:r w:rsidRPr="00CC6F7E">
        <w:rPr>
          <w:rFonts w:eastAsia="Times New Roman" w:cs="Times New Roman"/>
          <w:rtl/>
          <w:lang w:eastAsia="de-DE"/>
        </w:rPr>
        <w:t xml:space="preserve"> </w:t>
      </w:r>
      <w:r w:rsidRPr="00CC6F7E">
        <w:rPr>
          <w:rFonts w:eastAsia="Times New Roman" w:cs="Times New Roman"/>
          <w:lang w:eastAsia="de-DE"/>
        </w:rPr>
        <w:t xml:space="preserve">zeigen doppelte Gehorsamsverpflichtung. </w:t>
      </w:r>
      <w:r w:rsidRPr="00CC6F7E">
        <w:rPr>
          <w:rFonts w:eastAsia="Times New Roman" w:cs="Times New Roman"/>
          <w:b/>
          <w:bCs/>
          <w:rtl/>
          <w:lang w:eastAsia="de-DE"/>
        </w:rPr>
        <w:t>לבטח</w:t>
      </w:r>
      <w:r w:rsidRPr="00CC6F7E">
        <w:rPr>
          <w:rFonts w:eastAsia="Times New Roman" w:cs="Times New Roman"/>
          <w:rtl/>
          <w:lang w:eastAsia="de-DE"/>
        </w:rPr>
        <w:t xml:space="preserve"> </w:t>
      </w:r>
      <w:r w:rsidRPr="00CC6F7E">
        <w:rPr>
          <w:rFonts w:eastAsia="Times New Roman" w:cs="Times New Roman"/>
          <w:lang w:eastAsia="de-DE"/>
        </w:rPr>
        <w:t>zeigt Landbesitzsicherheit als Segenslohn.</w:t>
      </w:r>
    </w:p>
    <w:p w14:paraId="105ED13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חקתי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δικ</w:t>
      </w:r>
      <w:proofErr w:type="spellEnd"/>
      <w:r w:rsidRPr="00CC6F7E">
        <w:rPr>
          <w:rFonts w:eastAsia="Times New Roman" w:cs="Times New Roman"/>
          <w:lang w:eastAsia="de-DE"/>
        </w:rPr>
        <w:t xml:space="preserve">αιώματά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Rechtsbestimmungen), </w:t>
      </w:r>
      <w:r w:rsidRPr="00CC6F7E">
        <w:rPr>
          <w:rFonts w:eastAsia="Times New Roman" w:cs="Times New Roman"/>
          <w:b/>
          <w:bCs/>
          <w:rtl/>
          <w:lang w:eastAsia="de-DE"/>
        </w:rPr>
        <w:t>משפטי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κρίμ</w:t>
      </w:r>
      <w:proofErr w:type="spellEnd"/>
      <w:r w:rsidRPr="00CC6F7E">
        <w:rPr>
          <w:rFonts w:eastAsia="Times New Roman" w:cs="Times New Roman"/>
          <w:lang w:eastAsia="de-DE"/>
        </w:rPr>
        <w:t xml:space="preserve">ατά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Urteile), </w:t>
      </w:r>
      <w:r w:rsidRPr="00CC6F7E">
        <w:rPr>
          <w:rFonts w:eastAsia="Times New Roman" w:cs="Times New Roman"/>
          <w:b/>
          <w:bCs/>
          <w:rtl/>
          <w:lang w:eastAsia="de-DE"/>
        </w:rPr>
        <w:t>תשמרו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φυλάξ</w:t>
      </w:r>
      <w:proofErr w:type="spellEnd"/>
      <w:r w:rsidRPr="00CC6F7E">
        <w:rPr>
          <w:rFonts w:eastAsia="Times New Roman" w:cs="Times New Roman"/>
          <w:lang w:eastAsia="de-DE"/>
        </w:rPr>
        <w:t xml:space="preserve">ασθε (bewahrt), </w:t>
      </w:r>
      <w:r w:rsidRPr="00CC6F7E">
        <w:rPr>
          <w:rFonts w:eastAsia="Times New Roman" w:cs="Times New Roman"/>
          <w:b/>
          <w:bCs/>
          <w:rtl/>
          <w:lang w:eastAsia="de-DE"/>
        </w:rPr>
        <w:t>לבטח</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πεπ</w:t>
      </w:r>
      <w:proofErr w:type="spellStart"/>
      <w:r w:rsidRPr="00CC6F7E">
        <w:rPr>
          <w:rFonts w:eastAsia="Times New Roman" w:cs="Times New Roman"/>
          <w:lang w:eastAsia="de-DE"/>
        </w:rPr>
        <w:t>οιθήσεως</w:t>
      </w:r>
      <w:proofErr w:type="spellEnd"/>
      <w:r w:rsidRPr="00CC6F7E">
        <w:rPr>
          <w:rFonts w:eastAsia="Times New Roman" w:cs="Times New Roman"/>
          <w:lang w:eastAsia="de-DE"/>
        </w:rPr>
        <w:t xml:space="preserve"> (mit Vertrauen).</w:t>
      </w:r>
    </w:p>
    <w:p w14:paraId="208C63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Gehorsam-Segen-Verknüpfung: Satzungen tun + Rechte beachten und tun + sichere Landwohnung als Folge.</w:t>
      </w:r>
    </w:p>
    <w:p w14:paraId="44DD73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verknüpft Gehorsam gegenüber den Jobel-Gesetzen mit sicherer Landbesitzgarantie.</w:t>
      </w:r>
    </w:p>
    <w:p w14:paraId="2749D16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25,19</w:t>
      </w:r>
    </w:p>
    <w:p w14:paraId="55F31D9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וְנָתְנָ֤ה הָאָ֨רֶץ֙ פִּרְיָ֔הּ וַאֲכַלְתֶּ֖ם לָשֹׂ֑בַע וִֽישַׁבְתֶּ֥ם לָבֶ֖טַח עָלֶֽיהָ׃</w:t>
      </w:r>
    </w:p>
    <w:p w14:paraId="6AC39E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das Land wird seine Frucht geben, und ihr werdet essen bis zur Sättigung und sicher darin wohnen.</w:t>
      </w:r>
    </w:p>
    <w:p w14:paraId="6D98CAA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096E11E">
          <v:rect id="_x0000_i1767" style="width:0;height:1.5pt" o:hralign="center" o:hrstd="t" o:hr="t" fillcolor="#a0a0a0" stroked="f"/>
        </w:pict>
      </w:r>
    </w:p>
    <w:p w14:paraId="19A3C8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ונתנה הארץ פריה ואכלתם לשבע וישבתם לבטח עליה</w:t>
      </w:r>
      <w:r w:rsidRPr="00CC6F7E">
        <w:rPr>
          <w:rFonts w:eastAsia="Times New Roman" w:cs="Times New Roman"/>
          <w:rtl/>
          <w:lang w:eastAsia="de-DE"/>
        </w:rPr>
        <w:t xml:space="preserve"> </w:t>
      </w:r>
      <w:r w:rsidRPr="00CC6F7E">
        <w:rPr>
          <w:rFonts w:eastAsia="Times New Roman" w:cs="Times New Roman"/>
          <w:lang w:eastAsia="de-DE"/>
        </w:rPr>
        <w:t xml:space="preserve">zeigt die göttliche Segensverheißung bei Gehorsam. </w:t>
      </w:r>
      <w:r w:rsidRPr="00CC6F7E">
        <w:rPr>
          <w:rFonts w:eastAsia="Times New Roman" w:cs="Times New Roman"/>
          <w:b/>
          <w:bCs/>
          <w:rtl/>
          <w:lang w:eastAsia="de-DE"/>
        </w:rPr>
        <w:t>ונתנה הארץ פריה</w:t>
      </w:r>
      <w:r w:rsidRPr="00CC6F7E">
        <w:rPr>
          <w:rFonts w:eastAsia="Times New Roman" w:cs="Times New Roman"/>
          <w:rtl/>
          <w:lang w:eastAsia="de-DE"/>
        </w:rPr>
        <w:t xml:space="preserve"> </w:t>
      </w:r>
      <w:r w:rsidRPr="00CC6F7E">
        <w:rPr>
          <w:rFonts w:eastAsia="Times New Roman" w:cs="Times New Roman"/>
          <w:lang w:eastAsia="de-DE"/>
        </w:rPr>
        <w:t xml:space="preserve">(und das Land wird seine Frucht geben) - </w:t>
      </w:r>
      <w:r w:rsidRPr="00CC6F7E">
        <w:rPr>
          <w:rFonts w:eastAsia="Times New Roman" w:cs="Times New Roman"/>
          <w:b/>
          <w:bCs/>
          <w:rtl/>
          <w:lang w:eastAsia="de-DE"/>
        </w:rPr>
        <w:t>ונתנה</w:t>
      </w:r>
      <w:r w:rsidRPr="00CC6F7E">
        <w:rPr>
          <w:rFonts w:eastAsia="Times New Roman" w:cs="Times New Roman"/>
          <w:rtl/>
          <w:lang w:eastAsia="de-DE"/>
        </w:rPr>
        <w:t xml:space="preserve"> </w:t>
      </w:r>
      <w:r w:rsidRPr="00CC6F7E">
        <w:rPr>
          <w:rFonts w:eastAsia="Times New Roman" w:cs="Times New Roman"/>
          <w:lang w:eastAsia="de-DE"/>
        </w:rPr>
        <w:t xml:space="preserve">(und es wird geben) im Qal-Perfekt mit Waw-Konsekutiv. </w:t>
      </w:r>
      <w:r w:rsidRPr="00CC6F7E">
        <w:rPr>
          <w:rFonts w:eastAsia="Times New Roman" w:cs="Times New Roman"/>
          <w:b/>
          <w:bCs/>
          <w:rtl/>
          <w:lang w:eastAsia="de-DE"/>
        </w:rPr>
        <w:t>הארץ</w:t>
      </w:r>
      <w:r w:rsidRPr="00CC6F7E">
        <w:rPr>
          <w:rFonts w:eastAsia="Times New Roman" w:cs="Times New Roman"/>
          <w:rtl/>
          <w:lang w:eastAsia="de-DE"/>
        </w:rPr>
        <w:t xml:space="preserve"> </w:t>
      </w:r>
      <w:r w:rsidRPr="00CC6F7E">
        <w:rPr>
          <w:rFonts w:eastAsia="Times New Roman" w:cs="Times New Roman"/>
          <w:lang w:eastAsia="de-DE"/>
        </w:rPr>
        <w:t xml:space="preserve">(das Land) als Subjekt zeigt Landproduktivität. </w:t>
      </w:r>
      <w:r w:rsidRPr="00CC6F7E">
        <w:rPr>
          <w:rFonts w:eastAsia="Times New Roman" w:cs="Times New Roman"/>
          <w:b/>
          <w:bCs/>
          <w:rtl/>
          <w:lang w:eastAsia="de-DE"/>
        </w:rPr>
        <w:t>פריה</w:t>
      </w:r>
      <w:r w:rsidRPr="00CC6F7E">
        <w:rPr>
          <w:rFonts w:eastAsia="Times New Roman" w:cs="Times New Roman"/>
          <w:rtl/>
          <w:lang w:eastAsia="de-DE"/>
        </w:rPr>
        <w:t xml:space="preserve"> </w:t>
      </w:r>
      <w:r w:rsidRPr="00CC6F7E">
        <w:rPr>
          <w:rFonts w:eastAsia="Times New Roman" w:cs="Times New Roman"/>
          <w:lang w:eastAsia="de-DE"/>
        </w:rPr>
        <w:t>(seine Frucht) zeigt natürlichen Ertrag.</w:t>
      </w:r>
    </w:p>
    <w:p w14:paraId="3B4360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ואכלתם לשבע</w:t>
      </w:r>
      <w:r w:rsidRPr="00CC6F7E">
        <w:rPr>
          <w:rFonts w:eastAsia="Times New Roman" w:cs="Times New Roman"/>
          <w:rtl/>
          <w:lang w:eastAsia="de-DE"/>
        </w:rPr>
        <w:t xml:space="preserve"> </w:t>
      </w:r>
      <w:r w:rsidRPr="00CC6F7E">
        <w:rPr>
          <w:rFonts w:eastAsia="Times New Roman" w:cs="Times New Roman"/>
          <w:lang w:eastAsia="de-DE"/>
        </w:rPr>
        <w:t xml:space="preserve">(und ihr werdet essen bis zur Sättigung) - </w:t>
      </w:r>
      <w:r w:rsidRPr="00CC6F7E">
        <w:rPr>
          <w:rFonts w:eastAsia="Times New Roman" w:cs="Times New Roman"/>
          <w:b/>
          <w:bCs/>
          <w:rtl/>
          <w:lang w:eastAsia="de-DE"/>
        </w:rPr>
        <w:t>ואכלתם</w:t>
      </w:r>
      <w:r w:rsidRPr="00CC6F7E">
        <w:rPr>
          <w:rFonts w:eastAsia="Times New Roman" w:cs="Times New Roman"/>
          <w:rtl/>
          <w:lang w:eastAsia="de-DE"/>
        </w:rPr>
        <w:t xml:space="preserve"> </w:t>
      </w:r>
      <w:r w:rsidRPr="00CC6F7E">
        <w:rPr>
          <w:rFonts w:eastAsia="Times New Roman" w:cs="Times New Roman"/>
          <w:lang w:eastAsia="de-DE"/>
        </w:rPr>
        <w:t xml:space="preserve">(und ihr werdet essen) im Qal-Perfekt mit Waw-Konsekutiv. </w:t>
      </w:r>
      <w:r w:rsidRPr="00CC6F7E">
        <w:rPr>
          <w:rFonts w:eastAsia="Times New Roman" w:cs="Times New Roman"/>
          <w:b/>
          <w:bCs/>
          <w:rtl/>
          <w:lang w:eastAsia="de-DE"/>
        </w:rPr>
        <w:t>לשבע</w:t>
      </w:r>
      <w:r w:rsidRPr="00CC6F7E">
        <w:rPr>
          <w:rFonts w:eastAsia="Times New Roman" w:cs="Times New Roman"/>
          <w:rtl/>
          <w:lang w:eastAsia="de-DE"/>
        </w:rPr>
        <w:t xml:space="preserve"> </w:t>
      </w:r>
      <w:r w:rsidRPr="00CC6F7E">
        <w:rPr>
          <w:rFonts w:eastAsia="Times New Roman" w:cs="Times New Roman"/>
          <w:lang w:eastAsia="de-DE"/>
        </w:rPr>
        <w:t>(bis zur Sättigung) zeigt Überfluss statt Mangel.</w:t>
      </w:r>
    </w:p>
    <w:p w14:paraId="22D08B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וישבתם לבטח עליה</w:t>
      </w:r>
      <w:r w:rsidRPr="00CC6F7E">
        <w:rPr>
          <w:rFonts w:eastAsia="Times New Roman" w:cs="Times New Roman"/>
          <w:rtl/>
          <w:lang w:eastAsia="de-DE"/>
        </w:rPr>
        <w:t xml:space="preserve"> </w:t>
      </w:r>
      <w:r w:rsidRPr="00CC6F7E">
        <w:rPr>
          <w:rFonts w:eastAsia="Times New Roman" w:cs="Times New Roman"/>
          <w:lang w:eastAsia="de-DE"/>
        </w:rPr>
        <w:t xml:space="preserve">(und sicher darin wohnen) entspricht V. 18 mit </w:t>
      </w:r>
      <w:r w:rsidRPr="00CC6F7E">
        <w:rPr>
          <w:rFonts w:eastAsia="Times New Roman" w:cs="Times New Roman"/>
          <w:b/>
          <w:bCs/>
          <w:rtl/>
          <w:lang w:eastAsia="de-DE"/>
        </w:rPr>
        <w:t>עליה</w:t>
      </w:r>
      <w:r w:rsidRPr="00CC6F7E">
        <w:rPr>
          <w:rFonts w:eastAsia="Times New Roman" w:cs="Times New Roman"/>
          <w:rtl/>
          <w:lang w:eastAsia="de-DE"/>
        </w:rPr>
        <w:t xml:space="preserve"> </w:t>
      </w:r>
      <w:r w:rsidRPr="00CC6F7E">
        <w:rPr>
          <w:rFonts w:eastAsia="Times New Roman" w:cs="Times New Roman"/>
          <w:lang w:eastAsia="de-DE"/>
        </w:rPr>
        <w:t xml:space="preserve">(darauf/darin) statt </w:t>
      </w:r>
      <w:r w:rsidRPr="00CC6F7E">
        <w:rPr>
          <w:rFonts w:eastAsia="Times New Roman" w:cs="Times New Roman"/>
          <w:b/>
          <w:bCs/>
          <w:rtl/>
          <w:lang w:eastAsia="de-DE"/>
        </w:rPr>
        <w:t>על־הארץ</w:t>
      </w:r>
      <w:r w:rsidRPr="00CC6F7E">
        <w:rPr>
          <w:rFonts w:eastAsia="Times New Roman" w:cs="Times New Roman"/>
          <w:lang w:eastAsia="de-DE"/>
        </w:rPr>
        <w:t>.</w:t>
      </w:r>
    </w:p>
    <w:p w14:paraId="358E6B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הארץ פריה</w:t>
      </w:r>
      <w:r w:rsidRPr="00CC6F7E">
        <w:rPr>
          <w:rFonts w:eastAsia="Times New Roman" w:cs="Times New Roman"/>
          <w:rtl/>
          <w:lang w:eastAsia="de-DE"/>
        </w:rPr>
        <w:t xml:space="preserve"> </w:t>
      </w:r>
      <w:r w:rsidRPr="00CC6F7E">
        <w:rPr>
          <w:rFonts w:eastAsia="Times New Roman" w:cs="Times New Roman"/>
          <w:lang w:eastAsia="de-DE"/>
        </w:rPr>
        <w:t xml:space="preserve">zeigt Landertrag als göttlichen Segen. </w:t>
      </w:r>
      <w:r w:rsidRPr="00CC6F7E">
        <w:rPr>
          <w:rFonts w:eastAsia="Times New Roman" w:cs="Times New Roman"/>
          <w:b/>
          <w:bCs/>
          <w:rtl/>
          <w:lang w:eastAsia="de-DE"/>
        </w:rPr>
        <w:t>לשבע</w:t>
      </w:r>
      <w:r w:rsidRPr="00CC6F7E">
        <w:rPr>
          <w:rFonts w:eastAsia="Times New Roman" w:cs="Times New Roman"/>
          <w:rtl/>
          <w:lang w:eastAsia="de-DE"/>
        </w:rPr>
        <w:t xml:space="preserve"> </w:t>
      </w:r>
      <w:r w:rsidRPr="00CC6F7E">
        <w:rPr>
          <w:rFonts w:eastAsia="Times New Roman" w:cs="Times New Roman"/>
          <w:lang w:eastAsia="de-DE"/>
        </w:rPr>
        <w:t xml:space="preserve">zeigt Sättigungsgarantie. </w:t>
      </w:r>
      <w:r w:rsidRPr="00CC6F7E">
        <w:rPr>
          <w:rFonts w:eastAsia="Times New Roman" w:cs="Times New Roman"/>
          <w:b/>
          <w:bCs/>
          <w:rtl/>
          <w:lang w:eastAsia="de-DE"/>
        </w:rPr>
        <w:t>לבטח עליה</w:t>
      </w:r>
      <w:r w:rsidRPr="00CC6F7E">
        <w:rPr>
          <w:rFonts w:eastAsia="Times New Roman" w:cs="Times New Roman"/>
          <w:rtl/>
          <w:lang w:eastAsia="de-DE"/>
        </w:rPr>
        <w:t xml:space="preserve"> </w:t>
      </w:r>
      <w:r w:rsidRPr="00CC6F7E">
        <w:rPr>
          <w:rFonts w:eastAsia="Times New Roman" w:cs="Times New Roman"/>
          <w:lang w:eastAsia="de-DE"/>
        </w:rPr>
        <w:t>zeigt sichere Landwohnung als Segensverheißung.</w:t>
      </w:r>
    </w:p>
    <w:p w14:paraId="33C913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ונתנה הארץ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δώσει</w:t>
      </w:r>
      <w:proofErr w:type="spellEnd"/>
      <w:r w:rsidRPr="00CC6F7E">
        <w:rPr>
          <w:rFonts w:eastAsia="Times New Roman" w:cs="Times New Roman"/>
          <w:lang w:eastAsia="de-DE"/>
        </w:rPr>
        <w:t xml:space="preserve"> ἡ </w:t>
      </w:r>
      <w:proofErr w:type="spellStart"/>
      <w:r w:rsidRPr="00CC6F7E">
        <w:rPr>
          <w:rFonts w:eastAsia="Times New Roman" w:cs="Times New Roman"/>
          <w:lang w:eastAsia="de-DE"/>
        </w:rPr>
        <w:t>γῆ</w:t>
      </w:r>
      <w:proofErr w:type="spellEnd"/>
      <w:r w:rsidRPr="00CC6F7E">
        <w:rPr>
          <w:rFonts w:eastAsia="Times New Roman" w:cs="Times New Roman"/>
          <w:lang w:eastAsia="de-DE"/>
        </w:rPr>
        <w:t xml:space="preserve"> (wird das Land geben), </w:t>
      </w:r>
      <w:r w:rsidRPr="00CC6F7E">
        <w:rPr>
          <w:rFonts w:eastAsia="Times New Roman" w:cs="Times New Roman"/>
          <w:b/>
          <w:bCs/>
          <w:rtl/>
          <w:lang w:eastAsia="de-DE"/>
        </w:rPr>
        <w:t>פריה</w:t>
      </w:r>
      <w:r w:rsidRPr="00CC6F7E">
        <w:rPr>
          <w:rFonts w:eastAsia="Times New Roman" w:cs="Times New Roman"/>
          <w:rtl/>
          <w:lang w:eastAsia="de-DE"/>
        </w:rPr>
        <w:t xml:space="preserve"> </w:t>
      </w:r>
      <w:r w:rsidRPr="00CC6F7E">
        <w:rPr>
          <w:rFonts w:eastAsia="Times New Roman" w:cs="Times New Roman"/>
          <w:lang w:eastAsia="de-DE"/>
        </w:rPr>
        <w:t>mit καρπ</w:t>
      </w:r>
      <w:proofErr w:type="spellStart"/>
      <w:r w:rsidRPr="00CC6F7E">
        <w:rPr>
          <w:rFonts w:eastAsia="Times New Roman" w:cs="Times New Roman"/>
          <w:lang w:eastAsia="de-DE"/>
        </w:rPr>
        <w:t>ὸν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(seine Frucht), </w:t>
      </w:r>
      <w:r w:rsidRPr="00CC6F7E">
        <w:rPr>
          <w:rFonts w:eastAsia="Times New Roman" w:cs="Times New Roman"/>
          <w:b/>
          <w:bCs/>
          <w:rtl/>
          <w:lang w:eastAsia="de-DE"/>
        </w:rPr>
        <w:t>לשבע</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λησμονήν</w:t>
      </w:r>
      <w:proofErr w:type="spellEnd"/>
      <w:r w:rsidRPr="00CC6F7E">
        <w:rPr>
          <w:rFonts w:eastAsia="Times New Roman" w:cs="Times New Roman"/>
          <w:lang w:eastAsia="de-DE"/>
        </w:rPr>
        <w:t xml:space="preserve"> (zur Sättigung) und </w:t>
      </w:r>
      <w:r w:rsidRPr="00CC6F7E">
        <w:rPr>
          <w:rFonts w:eastAsia="Times New Roman" w:cs="Times New Roman"/>
          <w:b/>
          <w:bCs/>
          <w:rtl/>
          <w:lang w:eastAsia="de-DE"/>
        </w:rPr>
        <w:t>לבטח</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πεπ</w:t>
      </w:r>
      <w:proofErr w:type="spellStart"/>
      <w:r w:rsidRPr="00CC6F7E">
        <w:rPr>
          <w:rFonts w:eastAsia="Times New Roman" w:cs="Times New Roman"/>
          <w:lang w:eastAsia="de-DE"/>
        </w:rPr>
        <w:t>οιθήσεως</w:t>
      </w:r>
      <w:proofErr w:type="spellEnd"/>
      <w:r w:rsidRPr="00CC6F7E">
        <w:rPr>
          <w:rFonts w:eastAsia="Times New Roman" w:cs="Times New Roman"/>
          <w:lang w:eastAsia="de-DE"/>
        </w:rPr>
        <w:t xml:space="preserve"> (mit Vertrauen).</w:t>
      </w:r>
    </w:p>
    <w:p w14:paraId="43F717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Segens-Verheißung: Land gibt Frucht + Sättigungsessen + sichere Landwohnung.</w:t>
      </w:r>
    </w:p>
    <w:p w14:paraId="79597D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bei Gehorsam reichen Landertrag, Sättigung und sichere Wohnung.</w:t>
      </w:r>
    </w:p>
    <w:p w14:paraId="792C8F0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25,20</w:t>
      </w:r>
    </w:p>
    <w:p w14:paraId="3D785C8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וְכִ֣י תֹאמְר֔וּ מַה־נֹּאכַ֖ל בַּשָּׁנָ֣ה הַשְּׁבִיעִ֑ת הֵ֚ן לֹ֣א נִזְרָ֔ע וְלֹ֥א נֶאֱסֹ֖ף אֶת־תְּבוּאָתֵֽנוּ׃</w:t>
      </w:r>
    </w:p>
    <w:p w14:paraId="4D81B4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sagt: Was sollen wir im siebten Jahr essen? Siehe, wir säen nicht und sammeln unseren Ertrag nicht ein!</w:t>
      </w:r>
    </w:p>
    <w:p w14:paraId="03E4515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746EE2D">
          <v:rect id="_x0000_i1768" style="width:0;height:1.5pt" o:hralign="center" o:hrstd="t" o:hr="t" fillcolor="#a0a0a0" stroked="f"/>
        </w:pict>
      </w:r>
    </w:p>
    <w:p w14:paraId="6911B7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וכי תאמרו מה־נאכל בשנה השביעת הן לא נזרע ולא נאסף את־תבואתנו</w:t>
      </w:r>
      <w:r w:rsidRPr="00CC6F7E">
        <w:rPr>
          <w:rFonts w:eastAsia="Times New Roman" w:cs="Times New Roman"/>
          <w:rtl/>
          <w:lang w:eastAsia="de-DE"/>
        </w:rPr>
        <w:t xml:space="preserve"> </w:t>
      </w:r>
      <w:r w:rsidRPr="00CC6F7E">
        <w:rPr>
          <w:rFonts w:eastAsia="Times New Roman" w:cs="Times New Roman"/>
          <w:lang w:eastAsia="de-DE"/>
        </w:rPr>
        <w:t xml:space="preserve">antizipiert praktische Sorgen bezüglich des Sabbatjahrs. </w:t>
      </w:r>
      <w:r w:rsidRPr="00CC6F7E">
        <w:rPr>
          <w:rFonts w:eastAsia="Times New Roman" w:cs="Times New Roman"/>
          <w:b/>
          <w:bCs/>
          <w:rtl/>
          <w:lang w:eastAsia="de-DE"/>
        </w:rPr>
        <w:t>וכי תאמרו מה־נאכל בשנה השביעת</w:t>
      </w:r>
      <w:r w:rsidRPr="00CC6F7E">
        <w:rPr>
          <w:rFonts w:eastAsia="Times New Roman" w:cs="Times New Roman"/>
          <w:rtl/>
          <w:lang w:eastAsia="de-DE"/>
        </w:rPr>
        <w:t xml:space="preserve"> </w:t>
      </w:r>
      <w:r w:rsidRPr="00CC6F7E">
        <w:rPr>
          <w:rFonts w:eastAsia="Times New Roman" w:cs="Times New Roman"/>
          <w:lang w:eastAsia="de-DE"/>
        </w:rPr>
        <w:t xml:space="preserve">(und wenn ihr sagt: Was sollen wir im siebten Jahr essen?) zeigt menschliche Zweifel und praktische Sorgen. </w:t>
      </w:r>
      <w:r w:rsidRPr="00CC6F7E">
        <w:rPr>
          <w:rFonts w:eastAsia="Times New Roman" w:cs="Times New Roman"/>
          <w:b/>
          <w:bCs/>
          <w:rtl/>
          <w:lang w:eastAsia="de-DE"/>
        </w:rPr>
        <w:t>מה־נאכל</w:t>
      </w:r>
      <w:r w:rsidRPr="00CC6F7E">
        <w:rPr>
          <w:rFonts w:eastAsia="Times New Roman" w:cs="Times New Roman"/>
          <w:rtl/>
          <w:lang w:eastAsia="de-DE"/>
        </w:rPr>
        <w:t xml:space="preserve"> </w:t>
      </w:r>
      <w:r w:rsidRPr="00CC6F7E">
        <w:rPr>
          <w:rFonts w:eastAsia="Times New Roman" w:cs="Times New Roman"/>
          <w:lang w:eastAsia="de-DE"/>
        </w:rPr>
        <w:t>(was sollen wir essen) als existentielle Frage.</w:t>
      </w:r>
    </w:p>
    <w:p w14:paraId="67AFC5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הן לא נזרע ולא נאסף את־תבואתנו</w:t>
      </w:r>
      <w:r w:rsidRPr="00CC6F7E">
        <w:rPr>
          <w:rFonts w:eastAsia="Times New Roman" w:cs="Times New Roman"/>
          <w:rtl/>
          <w:lang w:eastAsia="de-DE"/>
        </w:rPr>
        <w:t xml:space="preserve"> </w:t>
      </w:r>
      <w:r w:rsidRPr="00CC6F7E">
        <w:rPr>
          <w:rFonts w:eastAsia="Times New Roman" w:cs="Times New Roman"/>
          <w:lang w:eastAsia="de-DE"/>
        </w:rPr>
        <w:t xml:space="preserve">(siehe, wir säen nicht und sammeln unseren Ertrag nicht ein) - </w:t>
      </w:r>
      <w:r w:rsidRPr="00CC6F7E">
        <w:rPr>
          <w:rFonts w:eastAsia="Times New Roman" w:cs="Times New Roman"/>
          <w:b/>
          <w:bCs/>
          <w:rtl/>
          <w:lang w:eastAsia="de-DE"/>
        </w:rPr>
        <w:t>הן</w:t>
      </w:r>
      <w:r w:rsidRPr="00CC6F7E">
        <w:rPr>
          <w:rFonts w:eastAsia="Times New Roman" w:cs="Times New Roman"/>
          <w:rtl/>
          <w:lang w:eastAsia="de-DE"/>
        </w:rPr>
        <w:t xml:space="preserve"> </w:t>
      </w:r>
      <w:r w:rsidRPr="00CC6F7E">
        <w:rPr>
          <w:rFonts w:eastAsia="Times New Roman" w:cs="Times New Roman"/>
          <w:lang w:eastAsia="de-DE"/>
        </w:rPr>
        <w:t xml:space="preserve">(siehe) als verstärkende Partikel. </w:t>
      </w:r>
      <w:r w:rsidRPr="00CC6F7E">
        <w:rPr>
          <w:rFonts w:eastAsia="Times New Roman" w:cs="Times New Roman"/>
          <w:b/>
          <w:bCs/>
          <w:rtl/>
          <w:lang w:eastAsia="de-DE"/>
        </w:rPr>
        <w:t>לא נזרע</w:t>
      </w:r>
      <w:r w:rsidRPr="00CC6F7E">
        <w:rPr>
          <w:rFonts w:eastAsia="Times New Roman" w:cs="Times New Roman"/>
          <w:rtl/>
          <w:lang w:eastAsia="de-DE"/>
        </w:rPr>
        <w:t xml:space="preserve"> </w:t>
      </w:r>
      <w:r w:rsidRPr="00CC6F7E">
        <w:rPr>
          <w:rFonts w:eastAsia="Times New Roman" w:cs="Times New Roman"/>
          <w:lang w:eastAsia="de-DE"/>
        </w:rPr>
        <w:t xml:space="preserve">(wir säen nicht) entspricht V. 4. </w:t>
      </w:r>
      <w:r w:rsidRPr="00CC6F7E">
        <w:rPr>
          <w:rFonts w:eastAsia="Times New Roman" w:cs="Times New Roman"/>
          <w:b/>
          <w:bCs/>
          <w:rtl/>
          <w:lang w:eastAsia="de-DE"/>
        </w:rPr>
        <w:t>ולא נאסף את־תבואתנו</w:t>
      </w:r>
      <w:r w:rsidRPr="00CC6F7E">
        <w:rPr>
          <w:rFonts w:eastAsia="Times New Roman" w:cs="Times New Roman"/>
          <w:rtl/>
          <w:lang w:eastAsia="de-DE"/>
        </w:rPr>
        <w:t xml:space="preserve"> </w:t>
      </w:r>
      <w:r w:rsidRPr="00CC6F7E">
        <w:rPr>
          <w:rFonts w:eastAsia="Times New Roman" w:cs="Times New Roman"/>
          <w:lang w:eastAsia="de-DE"/>
        </w:rPr>
        <w:t xml:space="preserve">(und sammeln unseren Ertrag nicht ein) - </w:t>
      </w:r>
      <w:r w:rsidRPr="00CC6F7E">
        <w:rPr>
          <w:rFonts w:eastAsia="Times New Roman" w:cs="Times New Roman"/>
          <w:b/>
          <w:bCs/>
          <w:rtl/>
          <w:lang w:eastAsia="de-DE"/>
        </w:rPr>
        <w:t>נאסף</w:t>
      </w:r>
      <w:r w:rsidRPr="00CC6F7E">
        <w:rPr>
          <w:rFonts w:eastAsia="Times New Roman" w:cs="Times New Roman"/>
          <w:rtl/>
          <w:lang w:eastAsia="de-DE"/>
        </w:rPr>
        <w:t xml:space="preserve"> </w:t>
      </w:r>
      <w:r w:rsidRPr="00CC6F7E">
        <w:rPr>
          <w:rFonts w:eastAsia="Times New Roman" w:cs="Times New Roman"/>
          <w:lang w:eastAsia="de-DE"/>
        </w:rPr>
        <w:t xml:space="preserve">(sammeln wir ein) im Qal-Imperfekt von </w:t>
      </w:r>
      <w:r w:rsidRPr="00CC6F7E">
        <w:rPr>
          <w:rFonts w:eastAsia="Times New Roman" w:cs="Times New Roman"/>
          <w:b/>
          <w:bCs/>
          <w:rtl/>
          <w:lang w:eastAsia="de-DE"/>
        </w:rPr>
        <w:t>אסף</w:t>
      </w:r>
      <w:r w:rsidRPr="00CC6F7E">
        <w:rPr>
          <w:rFonts w:eastAsia="Times New Roman" w:cs="Times New Roman"/>
          <w:lang w:eastAsia="de-DE"/>
        </w:rPr>
        <w:t>.</w:t>
      </w:r>
    </w:p>
    <w:p w14:paraId="5D3E62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מה־נאכל</w:t>
      </w:r>
      <w:r w:rsidRPr="00CC6F7E">
        <w:rPr>
          <w:rFonts w:eastAsia="Times New Roman" w:cs="Times New Roman"/>
          <w:rtl/>
          <w:lang w:eastAsia="de-DE"/>
        </w:rPr>
        <w:t xml:space="preserve"> </w:t>
      </w:r>
      <w:r w:rsidRPr="00CC6F7E">
        <w:rPr>
          <w:rFonts w:eastAsia="Times New Roman" w:cs="Times New Roman"/>
          <w:lang w:eastAsia="de-DE"/>
        </w:rPr>
        <w:t xml:space="preserve">zeigt natürliche menschliche Sorge. </w:t>
      </w:r>
      <w:r w:rsidRPr="00CC6F7E">
        <w:rPr>
          <w:rFonts w:eastAsia="Times New Roman" w:cs="Times New Roman"/>
          <w:b/>
          <w:bCs/>
          <w:rtl/>
          <w:lang w:eastAsia="de-DE"/>
        </w:rPr>
        <w:t>הן</w:t>
      </w:r>
      <w:r w:rsidRPr="00CC6F7E">
        <w:rPr>
          <w:rFonts w:eastAsia="Times New Roman" w:cs="Times New Roman"/>
          <w:rtl/>
          <w:lang w:eastAsia="de-DE"/>
        </w:rPr>
        <w:t xml:space="preserve"> </w:t>
      </w:r>
      <w:r w:rsidRPr="00CC6F7E">
        <w:rPr>
          <w:rFonts w:eastAsia="Times New Roman" w:cs="Times New Roman"/>
          <w:lang w:eastAsia="de-DE"/>
        </w:rPr>
        <w:t xml:space="preserve">betont die scheinbare Logik der Sorge. </w:t>
      </w:r>
      <w:r w:rsidRPr="00CC6F7E">
        <w:rPr>
          <w:rFonts w:eastAsia="Times New Roman" w:cs="Times New Roman"/>
          <w:b/>
          <w:bCs/>
          <w:rtl/>
          <w:lang w:eastAsia="de-DE"/>
        </w:rPr>
        <w:t>לא נזרע ולא נאסף</w:t>
      </w:r>
      <w:r w:rsidRPr="00CC6F7E">
        <w:rPr>
          <w:rFonts w:eastAsia="Times New Roman" w:cs="Times New Roman"/>
          <w:rtl/>
          <w:lang w:eastAsia="de-DE"/>
        </w:rPr>
        <w:t xml:space="preserve"> </w:t>
      </w:r>
      <w:r w:rsidRPr="00CC6F7E">
        <w:rPr>
          <w:rFonts w:eastAsia="Times New Roman" w:cs="Times New Roman"/>
          <w:lang w:eastAsia="de-DE"/>
        </w:rPr>
        <w:t>zeigt die sabbatjährlichen Beschränkungen als Grund für Sorge.</w:t>
      </w:r>
    </w:p>
    <w:p w14:paraId="3D50B4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וכי תאמרו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ἐὰν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δὲ</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λέγητε</w:t>
      </w:r>
      <w:proofErr w:type="spellEnd"/>
      <w:r w:rsidRPr="00CC6F7E">
        <w:rPr>
          <w:rFonts w:eastAsia="Times New Roman" w:cs="Times New Roman"/>
          <w:lang w:eastAsia="de-DE"/>
        </w:rPr>
        <w:t xml:space="preserve"> (wenn aber ihr sagt), </w:t>
      </w:r>
      <w:r w:rsidRPr="00CC6F7E">
        <w:rPr>
          <w:rFonts w:eastAsia="Times New Roman" w:cs="Times New Roman"/>
          <w:b/>
          <w:bCs/>
          <w:rtl/>
          <w:lang w:eastAsia="de-DE"/>
        </w:rPr>
        <w:t>מה־נאכל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τί</w:t>
      </w:r>
      <w:proofErr w:type="spellEnd"/>
      <w:r w:rsidRPr="00CC6F7E">
        <w:rPr>
          <w:rFonts w:eastAsia="Times New Roman" w:cs="Times New Roman"/>
          <w:lang w:eastAsia="de-DE"/>
        </w:rPr>
        <w:t xml:space="preserve"> φα</w:t>
      </w:r>
      <w:proofErr w:type="spellStart"/>
      <w:r w:rsidRPr="00CC6F7E">
        <w:rPr>
          <w:rFonts w:eastAsia="Times New Roman" w:cs="Times New Roman"/>
          <w:lang w:eastAsia="de-DE"/>
        </w:rPr>
        <w:t>γόμεθ</w:t>
      </w:r>
      <w:proofErr w:type="spellEnd"/>
      <w:r w:rsidRPr="00CC6F7E">
        <w:rPr>
          <w:rFonts w:eastAsia="Times New Roman" w:cs="Times New Roman"/>
          <w:lang w:eastAsia="de-DE"/>
        </w:rPr>
        <w:t xml:space="preserve">α (was werden wir essen), </w:t>
      </w:r>
      <w:r w:rsidRPr="00CC6F7E">
        <w:rPr>
          <w:rFonts w:eastAsia="Times New Roman" w:cs="Times New Roman"/>
          <w:b/>
          <w:bCs/>
          <w:rtl/>
          <w:lang w:eastAsia="de-DE"/>
        </w:rPr>
        <w:t>בשנה השביעת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ἔτει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ἑβ</w:t>
      </w:r>
      <w:proofErr w:type="spellStart"/>
      <w:r w:rsidRPr="00CC6F7E">
        <w:rPr>
          <w:rFonts w:eastAsia="Times New Roman" w:cs="Times New Roman"/>
          <w:lang w:eastAsia="de-DE"/>
        </w:rPr>
        <w:t>δόμῳ</w:t>
      </w:r>
      <w:proofErr w:type="spellEnd"/>
      <w:r w:rsidRPr="00CC6F7E">
        <w:rPr>
          <w:rFonts w:eastAsia="Times New Roman" w:cs="Times New Roman"/>
          <w:lang w:eastAsia="de-DE"/>
        </w:rPr>
        <w:t xml:space="preserve"> (im siebten Jahr), </w:t>
      </w:r>
      <w:r w:rsidRPr="00CC6F7E">
        <w:rPr>
          <w:rFonts w:eastAsia="Times New Roman" w:cs="Times New Roman"/>
          <w:b/>
          <w:bCs/>
          <w:rtl/>
          <w:lang w:eastAsia="de-DE"/>
        </w:rPr>
        <w:t>הן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ἰδού</w:t>
      </w:r>
      <w:proofErr w:type="spellEnd"/>
      <w:r w:rsidRPr="00CC6F7E">
        <w:rPr>
          <w:rFonts w:eastAsia="Times New Roman" w:cs="Times New Roman"/>
          <w:lang w:eastAsia="de-DE"/>
        </w:rPr>
        <w:t xml:space="preserve"> (siehe) und </w:t>
      </w:r>
      <w:r w:rsidRPr="00CC6F7E">
        <w:rPr>
          <w:rFonts w:eastAsia="Times New Roman" w:cs="Times New Roman"/>
          <w:b/>
          <w:bCs/>
          <w:rtl/>
          <w:lang w:eastAsia="de-DE"/>
        </w:rPr>
        <w:t>נאסף</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συνάξομεν</w:t>
      </w:r>
      <w:proofErr w:type="spellEnd"/>
      <w:r w:rsidRPr="00CC6F7E">
        <w:rPr>
          <w:rFonts w:eastAsia="Times New Roman" w:cs="Times New Roman"/>
          <w:lang w:eastAsia="de-DE"/>
        </w:rPr>
        <w:t xml:space="preserve"> (werden wir sammeln).</w:t>
      </w:r>
    </w:p>
    <w:p w14:paraId="5C1718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Sorgen-Antizipation: Sabbatjahr-Essensfrage + Begründung durch Saat- und Ernteverbot.</w:t>
      </w:r>
    </w:p>
    <w:p w14:paraId="7D01BA2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antizipiert realistische menschliche Sorgen über die Nahrungsversorgung während des Sabbatjahrs.</w:t>
      </w:r>
    </w:p>
    <w:p w14:paraId="4650574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25,21</w:t>
      </w:r>
    </w:p>
    <w:p w14:paraId="1331B75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וְצִוִּ֤יתִי אֶת־בִּרְכָתִי֙ לָכֶ֔ם בַּשָּׁנָ֖ה הַשִּׁשִּׁ֑ית וְעָשָׂת֙ אֶת־הַתְּבוּאָ֔ה לִשְׁלֹ֖שׁ הַשָּׁנִֽים׃</w:t>
      </w:r>
    </w:p>
    <w:p w14:paraId="7552FE9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werde ich euch meinen Segen im sechsten Jahr entbieten, dass es den Ertrag für drei Jahre bringt.</w:t>
      </w:r>
    </w:p>
    <w:p w14:paraId="0BFE927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72C099E">
          <v:rect id="_x0000_i1769" style="width:0;height:1.5pt" o:hralign="center" o:hrstd="t" o:hr="t" fillcolor="#a0a0a0" stroked="f"/>
        </w:pict>
      </w:r>
    </w:p>
    <w:p w14:paraId="4046D44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וצויתי את־ברכתי לכם בשנה השישת ועשת את־התבואה לשלש השנים</w:t>
      </w:r>
      <w:r w:rsidRPr="00CC6F7E">
        <w:rPr>
          <w:rFonts w:eastAsia="Times New Roman" w:cs="Times New Roman"/>
          <w:rtl/>
          <w:lang w:eastAsia="de-DE"/>
        </w:rPr>
        <w:t xml:space="preserve"> </w:t>
      </w:r>
      <w:r w:rsidRPr="00CC6F7E">
        <w:rPr>
          <w:rFonts w:eastAsia="Times New Roman" w:cs="Times New Roman"/>
          <w:lang w:eastAsia="de-DE"/>
        </w:rPr>
        <w:t xml:space="preserve">zeigt göttliche Wunderversorgung für das Sabbatjahr. </w:t>
      </w:r>
      <w:r w:rsidRPr="00CC6F7E">
        <w:rPr>
          <w:rFonts w:eastAsia="Times New Roman" w:cs="Times New Roman"/>
          <w:b/>
          <w:bCs/>
          <w:rtl/>
          <w:lang w:eastAsia="de-DE"/>
        </w:rPr>
        <w:t>וצויתי את־ברכתי לכם בשנה השישת</w:t>
      </w:r>
      <w:r w:rsidRPr="00CC6F7E">
        <w:rPr>
          <w:rFonts w:eastAsia="Times New Roman" w:cs="Times New Roman"/>
          <w:rtl/>
          <w:lang w:eastAsia="de-DE"/>
        </w:rPr>
        <w:t xml:space="preserve"> </w:t>
      </w:r>
      <w:r w:rsidRPr="00CC6F7E">
        <w:rPr>
          <w:rFonts w:eastAsia="Times New Roman" w:cs="Times New Roman"/>
          <w:lang w:eastAsia="de-DE"/>
        </w:rPr>
        <w:t xml:space="preserve">(so werde ich euch meinen Segen im sechsten Jahr entbieten) - </w:t>
      </w:r>
      <w:r w:rsidRPr="00CC6F7E">
        <w:rPr>
          <w:rFonts w:eastAsia="Times New Roman" w:cs="Times New Roman"/>
          <w:b/>
          <w:bCs/>
          <w:rtl/>
          <w:lang w:eastAsia="de-DE"/>
        </w:rPr>
        <w:t>וצויתי</w:t>
      </w:r>
      <w:r w:rsidRPr="00CC6F7E">
        <w:rPr>
          <w:rFonts w:eastAsia="Times New Roman" w:cs="Times New Roman"/>
          <w:rtl/>
          <w:lang w:eastAsia="de-DE"/>
        </w:rPr>
        <w:t xml:space="preserve"> </w:t>
      </w:r>
      <w:r w:rsidRPr="00CC6F7E">
        <w:rPr>
          <w:rFonts w:eastAsia="Times New Roman" w:cs="Times New Roman"/>
          <w:lang w:eastAsia="de-DE"/>
        </w:rPr>
        <w:t xml:space="preserve">(und ich werde entbieten/befehlen) im Piel-Perfekt mit Waw-Konsekutiv, das Piel zeigt intensive göttliche Segensaktivierung. </w:t>
      </w:r>
      <w:r w:rsidRPr="00CC6F7E">
        <w:rPr>
          <w:rFonts w:eastAsia="Times New Roman" w:cs="Times New Roman"/>
          <w:b/>
          <w:bCs/>
          <w:rtl/>
          <w:lang w:eastAsia="de-DE"/>
        </w:rPr>
        <w:t>את־ברכתי</w:t>
      </w:r>
      <w:r w:rsidRPr="00CC6F7E">
        <w:rPr>
          <w:rFonts w:eastAsia="Times New Roman" w:cs="Times New Roman"/>
          <w:rtl/>
          <w:lang w:eastAsia="de-DE"/>
        </w:rPr>
        <w:t xml:space="preserve"> </w:t>
      </w:r>
      <w:r w:rsidRPr="00CC6F7E">
        <w:rPr>
          <w:rFonts w:eastAsia="Times New Roman" w:cs="Times New Roman"/>
          <w:lang w:eastAsia="de-DE"/>
        </w:rPr>
        <w:t xml:space="preserve">(meinen Segen) zeigt göttlichen Segen. </w:t>
      </w:r>
      <w:r w:rsidRPr="00CC6F7E">
        <w:rPr>
          <w:rFonts w:eastAsia="Times New Roman" w:cs="Times New Roman"/>
          <w:b/>
          <w:bCs/>
          <w:rtl/>
          <w:lang w:eastAsia="de-DE"/>
        </w:rPr>
        <w:t>בשנה השישת</w:t>
      </w:r>
      <w:r w:rsidRPr="00CC6F7E">
        <w:rPr>
          <w:rFonts w:eastAsia="Times New Roman" w:cs="Times New Roman"/>
          <w:rtl/>
          <w:lang w:eastAsia="de-DE"/>
        </w:rPr>
        <w:t xml:space="preserve"> </w:t>
      </w:r>
      <w:r w:rsidRPr="00CC6F7E">
        <w:rPr>
          <w:rFonts w:eastAsia="Times New Roman" w:cs="Times New Roman"/>
          <w:lang w:eastAsia="de-DE"/>
        </w:rPr>
        <w:t>(im sechsten Jahr) zeigt das Jahr vor dem Sabbatjahr.</w:t>
      </w:r>
    </w:p>
    <w:p w14:paraId="784B50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ועשת את־התבואה לשלש השנים</w:t>
      </w:r>
      <w:r w:rsidRPr="00CC6F7E">
        <w:rPr>
          <w:rFonts w:eastAsia="Times New Roman" w:cs="Times New Roman"/>
          <w:rtl/>
          <w:lang w:eastAsia="de-DE"/>
        </w:rPr>
        <w:t xml:space="preserve"> </w:t>
      </w:r>
      <w:r w:rsidRPr="00CC6F7E">
        <w:rPr>
          <w:rFonts w:eastAsia="Times New Roman" w:cs="Times New Roman"/>
          <w:lang w:eastAsia="de-DE"/>
        </w:rPr>
        <w:t xml:space="preserve">(dass es den Ertrag für drei Jahre bringt) - </w:t>
      </w:r>
      <w:r w:rsidRPr="00CC6F7E">
        <w:rPr>
          <w:rFonts w:eastAsia="Times New Roman" w:cs="Times New Roman"/>
          <w:b/>
          <w:bCs/>
          <w:rtl/>
          <w:lang w:eastAsia="de-DE"/>
        </w:rPr>
        <w:t>ועשת</w:t>
      </w:r>
      <w:r w:rsidRPr="00CC6F7E">
        <w:rPr>
          <w:rFonts w:eastAsia="Times New Roman" w:cs="Times New Roman"/>
          <w:rtl/>
          <w:lang w:eastAsia="de-DE"/>
        </w:rPr>
        <w:t xml:space="preserve"> </w:t>
      </w:r>
      <w:r w:rsidRPr="00CC6F7E">
        <w:rPr>
          <w:rFonts w:eastAsia="Times New Roman" w:cs="Times New Roman"/>
          <w:lang w:eastAsia="de-DE"/>
        </w:rPr>
        <w:t xml:space="preserve">(und es wird machen/bringen) im Qal-Perfekt mit Waw-Konsekutiv. </w:t>
      </w:r>
      <w:r w:rsidRPr="00CC6F7E">
        <w:rPr>
          <w:rFonts w:eastAsia="Times New Roman" w:cs="Times New Roman"/>
          <w:b/>
          <w:bCs/>
          <w:rtl/>
          <w:lang w:eastAsia="de-DE"/>
        </w:rPr>
        <w:t>את־התבואה</w:t>
      </w:r>
      <w:r w:rsidRPr="00CC6F7E">
        <w:rPr>
          <w:rFonts w:eastAsia="Times New Roman" w:cs="Times New Roman"/>
          <w:rtl/>
          <w:lang w:eastAsia="de-DE"/>
        </w:rPr>
        <w:t xml:space="preserve"> </w:t>
      </w:r>
      <w:r w:rsidRPr="00CC6F7E">
        <w:rPr>
          <w:rFonts w:eastAsia="Times New Roman" w:cs="Times New Roman"/>
          <w:lang w:eastAsia="de-DE"/>
        </w:rPr>
        <w:t xml:space="preserve">(den Ertrag) zeigt außerordentlichen Ertrag. </w:t>
      </w:r>
      <w:r w:rsidRPr="00CC6F7E">
        <w:rPr>
          <w:rFonts w:eastAsia="Times New Roman" w:cs="Times New Roman"/>
          <w:b/>
          <w:bCs/>
          <w:rtl/>
          <w:lang w:eastAsia="de-DE"/>
        </w:rPr>
        <w:t>לשלש השנים</w:t>
      </w:r>
      <w:r w:rsidRPr="00CC6F7E">
        <w:rPr>
          <w:rFonts w:eastAsia="Times New Roman" w:cs="Times New Roman"/>
          <w:rtl/>
          <w:lang w:eastAsia="de-DE"/>
        </w:rPr>
        <w:t xml:space="preserve"> </w:t>
      </w:r>
      <w:r w:rsidRPr="00CC6F7E">
        <w:rPr>
          <w:rFonts w:eastAsia="Times New Roman" w:cs="Times New Roman"/>
          <w:lang w:eastAsia="de-DE"/>
        </w:rPr>
        <w:t>(für drei Jahre) zeigt dreifachen Ertrag: 6. Jahr, 7. Jahr (Sabbatjahr), 8. Jahr (bis zur neuen Ernte).</w:t>
      </w:r>
    </w:p>
    <w:p w14:paraId="7C56B0B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וצויתי את־ברכתי</w:t>
      </w:r>
      <w:r w:rsidRPr="00CC6F7E">
        <w:rPr>
          <w:rFonts w:eastAsia="Times New Roman" w:cs="Times New Roman"/>
          <w:rtl/>
          <w:lang w:eastAsia="de-DE"/>
        </w:rPr>
        <w:t xml:space="preserve"> </w:t>
      </w:r>
      <w:r w:rsidRPr="00CC6F7E">
        <w:rPr>
          <w:rFonts w:eastAsia="Times New Roman" w:cs="Times New Roman"/>
          <w:lang w:eastAsia="de-DE"/>
        </w:rPr>
        <w:t xml:space="preserve">zeigt aktive göttliche Segensintervention. </w:t>
      </w:r>
      <w:r w:rsidRPr="00CC6F7E">
        <w:rPr>
          <w:rFonts w:eastAsia="Times New Roman" w:cs="Times New Roman"/>
          <w:b/>
          <w:bCs/>
          <w:rtl/>
          <w:lang w:eastAsia="de-DE"/>
        </w:rPr>
        <w:t>בשנה השישת</w:t>
      </w:r>
      <w:r w:rsidRPr="00CC6F7E">
        <w:rPr>
          <w:rFonts w:eastAsia="Times New Roman" w:cs="Times New Roman"/>
          <w:rtl/>
          <w:lang w:eastAsia="de-DE"/>
        </w:rPr>
        <w:t xml:space="preserve"> </w:t>
      </w:r>
      <w:r w:rsidRPr="00CC6F7E">
        <w:rPr>
          <w:rFonts w:eastAsia="Times New Roman" w:cs="Times New Roman"/>
          <w:lang w:eastAsia="de-DE"/>
        </w:rPr>
        <w:t xml:space="preserve">zeigt präventive Versorgung. </w:t>
      </w:r>
      <w:r w:rsidRPr="00CC6F7E">
        <w:rPr>
          <w:rFonts w:eastAsia="Times New Roman" w:cs="Times New Roman"/>
          <w:b/>
          <w:bCs/>
          <w:rtl/>
          <w:lang w:eastAsia="de-DE"/>
        </w:rPr>
        <w:t>לשלש השנים</w:t>
      </w:r>
      <w:r w:rsidRPr="00CC6F7E">
        <w:rPr>
          <w:rFonts w:eastAsia="Times New Roman" w:cs="Times New Roman"/>
          <w:rtl/>
          <w:lang w:eastAsia="de-DE"/>
        </w:rPr>
        <w:t xml:space="preserve"> </w:t>
      </w:r>
      <w:r w:rsidRPr="00CC6F7E">
        <w:rPr>
          <w:rFonts w:eastAsia="Times New Roman" w:cs="Times New Roman"/>
          <w:lang w:eastAsia="de-DE"/>
        </w:rPr>
        <w:t>zeigt wunderhafte Ertragsvermehrung zur Überbrückung der Sabbatzeit.</w:t>
      </w:r>
    </w:p>
    <w:p w14:paraId="24C6277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וצויתי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ἐντελοῦμ</w:t>
      </w:r>
      <w:proofErr w:type="spellEnd"/>
      <w:r w:rsidRPr="00CC6F7E">
        <w:rPr>
          <w:rFonts w:eastAsia="Times New Roman" w:cs="Times New Roman"/>
          <w:lang w:eastAsia="de-DE"/>
        </w:rPr>
        <w:t xml:space="preserve">αι (werde ich befehlen), </w:t>
      </w:r>
      <w:r w:rsidRPr="00CC6F7E">
        <w:rPr>
          <w:rFonts w:eastAsia="Times New Roman" w:cs="Times New Roman"/>
          <w:b/>
          <w:bCs/>
          <w:rtl/>
          <w:lang w:eastAsia="de-DE"/>
        </w:rPr>
        <w:t>ברכתי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εὐλογί</w:t>
      </w:r>
      <w:proofErr w:type="spellEnd"/>
      <w:r w:rsidRPr="00CC6F7E">
        <w:rPr>
          <w:rFonts w:eastAsia="Times New Roman" w:cs="Times New Roman"/>
          <w:lang w:eastAsia="de-DE"/>
        </w:rPr>
        <w:t xml:space="preserve">αν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(meinen Segen), </w:t>
      </w:r>
      <w:r w:rsidRPr="00CC6F7E">
        <w:rPr>
          <w:rFonts w:eastAsia="Times New Roman" w:cs="Times New Roman"/>
          <w:b/>
          <w:bCs/>
          <w:rtl/>
          <w:lang w:eastAsia="de-DE"/>
        </w:rPr>
        <w:t>בשנה השישת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ἔτει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ἕκτῳ</w:t>
      </w:r>
      <w:proofErr w:type="spellEnd"/>
      <w:r w:rsidRPr="00CC6F7E">
        <w:rPr>
          <w:rFonts w:eastAsia="Times New Roman" w:cs="Times New Roman"/>
          <w:lang w:eastAsia="de-DE"/>
        </w:rPr>
        <w:t xml:space="preserve"> (im sechsten Jahr) und </w:t>
      </w:r>
      <w:r w:rsidRPr="00CC6F7E">
        <w:rPr>
          <w:rFonts w:eastAsia="Times New Roman" w:cs="Times New Roman"/>
          <w:b/>
          <w:bCs/>
          <w:rtl/>
          <w:lang w:eastAsia="de-DE"/>
        </w:rPr>
        <w:t>לשלש השנים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τρί</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(für die drei Jahre).</w:t>
      </w:r>
    </w:p>
    <w:p w14:paraId="60E5932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 Segens-Antwort: Segen-Entbietung im sechsten Jahr + dreijähriger Ertrag.</w:t>
      </w:r>
    </w:p>
    <w:p w14:paraId="624AB6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göttliche Wunderversorgung durch dreifachen Ertrag im sechsten Jahr zur Sabbatjahr-Überbrückung.</w:t>
      </w:r>
    </w:p>
    <w:p w14:paraId="6752BCF1"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25,22</w:t>
      </w:r>
    </w:p>
    <w:p w14:paraId="6C2762C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וּזְרַעְתֶּ֗ם אֵ֚ת הַשָּׁנָ֣ה הַשְּׁמִינִ֔ת וַאֲכַלְתֶּ֖ם מִן־הַתְּבוּאָ֣ה יָשָׁ֑ן עַ֣ד׀ הַשָּׁנָ֣ה הַתְּשִׁיעִ֗ת עַד־בּוֹא֙ תְּב֣וּאָתָ֔הּ תֹּאכְל֖וּ יָשָֽׁן׃</w:t>
      </w:r>
    </w:p>
    <w:p w14:paraId="3E058ED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werdet im achten Jahr säen und von dem alten Ertrag essen; bis ins neunte Jahr, bis sein Ertrag einkommt, werdet ihr Altes essen.</w:t>
      </w:r>
    </w:p>
    <w:p w14:paraId="76449AA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F79CC77">
          <v:rect id="_x0000_i1770" style="width:0;height:1.5pt" o:hralign="center" o:hrstd="t" o:hr="t" fillcolor="#a0a0a0" stroked="f"/>
        </w:pict>
      </w:r>
    </w:p>
    <w:p w14:paraId="40EDD1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וזרעתם את השנה השמינת ואכלתם מן־התבואה ישן עד השנה התשיעת עד־בוא תבואתה תאכלו ישן</w:t>
      </w:r>
      <w:r w:rsidRPr="00CC6F7E">
        <w:rPr>
          <w:rFonts w:eastAsia="Times New Roman" w:cs="Times New Roman"/>
          <w:rtl/>
          <w:lang w:eastAsia="de-DE"/>
        </w:rPr>
        <w:t xml:space="preserve"> </w:t>
      </w:r>
      <w:r w:rsidRPr="00CC6F7E">
        <w:rPr>
          <w:rFonts w:eastAsia="Times New Roman" w:cs="Times New Roman"/>
          <w:lang w:eastAsia="de-DE"/>
        </w:rPr>
        <w:t xml:space="preserve">zeigt die kontinuierliche Versorgung durch den Sechstjahres-Segen. </w:t>
      </w:r>
      <w:r w:rsidRPr="00CC6F7E">
        <w:rPr>
          <w:rFonts w:eastAsia="Times New Roman" w:cs="Times New Roman"/>
          <w:b/>
          <w:bCs/>
          <w:rtl/>
          <w:lang w:eastAsia="de-DE"/>
        </w:rPr>
        <w:t>וזרעתם את השנה השמינת</w:t>
      </w:r>
      <w:r w:rsidRPr="00CC6F7E">
        <w:rPr>
          <w:rFonts w:eastAsia="Times New Roman" w:cs="Times New Roman"/>
          <w:rtl/>
          <w:lang w:eastAsia="de-DE"/>
        </w:rPr>
        <w:t xml:space="preserve"> </w:t>
      </w:r>
      <w:r w:rsidRPr="00CC6F7E">
        <w:rPr>
          <w:rFonts w:eastAsia="Times New Roman" w:cs="Times New Roman"/>
          <w:lang w:eastAsia="de-DE"/>
        </w:rPr>
        <w:t>(und ihr werdet im achten Jahr säen) zeigt Wiederaufnahme der normalen Landwirtschaft nach dem Sabbatjahr.</w:t>
      </w:r>
    </w:p>
    <w:p w14:paraId="7E8678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ואכלתם מן־התבואה ישן</w:t>
      </w:r>
      <w:r w:rsidRPr="00CC6F7E">
        <w:rPr>
          <w:rFonts w:eastAsia="Times New Roman" w:cs="Times New Roman"/>
          <w:rtl/>
          <w:lang w:eastAsia="de-DE"/>
        </w:rPr>
        <w:t xml:space="preserve"> </w:t>
      </w:r>
      <w:r w:rsidRPr="00CC6F7E">
        <w:rPr>
          <w:rFonts w:eastAsia="Times New Roman" w:cs="Times New Roman"/>
          <w:lang w:eastAsia="de-DE"/>
        </w:rPr>
        <w:t xml:space="preserve">(und von dem alten Ertrag essen) - </w:t>
      </w:r>
      <w:r w:rsidRPr="00CC6F7E">
        <w:rPr>
          <w:rFonts w:eastAsia="Times New Roman" w:cs="Times New Roman"/>
          <w:b/>
          <w:bCs/>
          <w:rtl/>
          <w:lang w:eastAsia="de-DE"/>
        </w:rPr>
        <w:t>התבואה ישן</w:t>
      </w:r>
      <w:r w:rsidRPr="00CC6F7E">
        <w:rPr>
          <w:rFonts w:eastAsia="Times New Roman" w:cs="Times New Roman"/>
          <w:rtl/>
          <w:lang w:eastAsia="de-DE"/>
        </w:rPr>
        <w:t xml:space="preserve"> </w:t>
      </w:r>
      <w:r w:rsidRPr="00CC6F7E">
        <w:rPr>
          <w:rFonts w:eastAsia="Times New Roman" w:cs="Times New Roman"/>
          <w:lang w:eastAsia="de-DE"/>
        </w:rPr>
        <w:t xml:space="preserve">(alter Ertrag) zeigt den Ertrag des sechsten Jahres. </w:t>
      </w:r>
      <w:r w:rsidRPr="00CC6F7E">
        <w:rPr>
          <w:rFonts w:eastAsia="Times New Roman" w:cs="Times New Roman"/>
          <w:b/>
          <w:bCs/>
          <w:rtl/>
          <w:lang w:eastAsia="de-DE"/>
        </w:rPr>
        <w:t>עד השנה התשיעת עד־בוא תבואתה תאכלו ישן</w:t>
      </w:r>
      <w:r w:rsidRPr="00CC6F7E">
        <w:rPr>
          <w:rFonts w:eastAsia="Times New Roman" w:cs="Times New Roman"/>
          <w:rtl/>
          <w:lang w:eastAsia="de-DE"/>
        </w:rPr>
        <w:t xml:space="preserve"> </w:t>
      </w:r>
      <w:r w:rsidRPr="00CC6F7E">
        <w:rPr>
          <w:rFonts w:eastAsia="Times New Roman" w:cs="Times New Roman"/>
          <w:lang w:eastAsia="de-DE"/>
        </w:rPr>
        <w:t>(bis ins neunte Jahr, bis sein Ertrag einkommt, werdet ihr Altes essen) zeigt, dass der Sechstjahres-Ertrag bis zur neuen Ernte des achten Jahres (die im neunten Jahr eingebracht wird) reicht.</w:t>
      </w:r>
    </w:p>
    <w:p w14:paraId="07D69A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השנה השמינת</w:t>
      </w:r>
      <w:r w:rsidRPr="00CC6F7E">
        <w:rPr>
          <w:rFonts w:eastAsia="Times New Roman" w:cs="Times New Roman"/>
          <w:rtl/>
          <w:lang w:eastAsia="de-DE"/>
        </w:rPr>
        <w:t xml:space="preserve"> </w:t>
      </w:r>
      <w:r w:rsidRPr="00CC6F7E">
        <w:rPr>
          <w:rFonts w:eastAsia="Times New Roman" w:cs="Times New Roman"/>
          <w:lang w:eastAsia="de-DE"/>
        </w:rPr>
        <w:t xml:space="preserve">als Wiederaufnahme der Arbeit. </w:t>
      </w:r>
      <w:r w:rsidRPr="00CC6F7E">
        <w:rPr>
          <w:rFonts w:eastAsia="Times New Roman" w:cs="Times New Roman"/>
          <w:b/>
          <w:bCs/>
          <w:rtl/>
          <w:lang w:eastAsia="de-DE"/>
        </w:rPr>
        <w:t>התבואה ישן</w:t>
      </w:r>
      <w:r w:rsidRPr="00CC6F7E">
        <w:rPr>
          <w:rFonts w:eastAsia="Times New Roman" w:cs="Times New Roman"/>
          <w:rtl/>
          <w:lang w:eastAsia="de-DE"/>
        </w:rPr>
        <w:t xml:space="preserve"> </w:t>
      </w:r>
      <w:r w:rsidRPr="00CC6F7E">
        <w:rPr>
          <w:rFonts w:eastAsia="Times New Roman" w:cs="Times New Roman"/>
          <w:lang w:eastAsia="de-DE"/>
        </w:rPr>
        <w:t xml:space="preserve">zeigt den übrigen Segen des sechsten Jahres. </w:t>
      </w:r>
      <w:r w:rsidRPr="00CC6F7E">
        <w:rPr>
          <w:rFonts w:eastAsia="Times New Roman" w:cs="Times New Roman"/>
          <w:b/>
          <w:bCs/>
          <w:rtl/>
          <w:lang w:eastAsia="de-DE"/>
        </w:rPr>
        <w:t>עד־בוא תבואתה</w:t>
      </w:r>
      <w:r w:rsidRPr="00CC6F7E">
        <w:rPr>
          <w:rFonts w:eastAsia="Times New Roman" w:cs="Times New Roman"/>
          <w:rtl/>
          <w:lang w:eastAsia="de-DE"/>
        </w:rPr>
        <w:t xml:space="preserve"> </w:t>
      </w:r>
      <w:r w:rsidRPr="00CC6F7E">
        <w:rPr>
          <w:rFonts w:eastAsia="Times New Roman" w:cs="Times New Roman"/>
          <w:lang w:eastAsia="de-DE"/>
        </w:rPr>
        <w:t>zeigt die Überbrückung bis zur nächsten Ernte.</w:t>
      </w:r>
    </w:p>
    <w:p w14:paraId="4EF5353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וזרע</w:t>
      </w:r>
      <w:r w:rsidRPr="00CC6F7E">
        <w:rPr>
          <w:rFonts w:eastAsia="Times New Roman" w:cs="Times New Roman"/>
          <w:b/>
          <w:bCs/>
          <w:rtl/>
          <w:lang w:eastAsia="de-DE" w:bidi="ar-SA"/>
        </w:rPr>
        <w:t>ت</w:t>
      </w:r>
      <w:r w:rsidRPr="00CC6F7E">
        <w:rPr>
          <w:rFonts w:eastAsia="Times New Roman" w:cs="Times New Roman"/>
          <w:b/>
          <w:bCs/>
          <w:rtl/>
          <w:lang w:eastAsia="de-DE"/>
        </w:rPr>
        <w:t>ם</w:t>
      </w:r>
      <w:r w:rsidRPr="00CC6F7E">
        <w:rPr>
          <w:rFonts w:eastAsia="Times New Roman" w:cs="Times New Roman"/>
          <w:rtl/>
          <w:lang w:eastAsia="de-DE"/>
        </w:rPr>
        <w:t xml:space="preserve"> </w:t>
      </w:r>
      <w:r w:rsidRPr="00CC6F7E">
        <w:rPr>
          <w:rFonts w:eastAsia="Times New Roman" w:cs="Times New Roman"/>
          <w:lang w:eastAsia="de-DE"/>
        </w:rPr>
        <w:t>mit σπ</w:t>
      </w:r>
      <w:proofErr w:type="spellStart"/>
      <w:r w:rsidRPr="00CC6F7E">
        <w:rPr>
          <w:rFonts w:eastAsia="Times New Roman" w:cs="Times New Roman"/>
          <w:lang w:eastAsia="de-DE"/>
        </w:rPr>
        <w:t>ερεῖτε</w:t>
      </w:r>
      <w:proofErr w:type="spellEnd"/>
      <w:r w:rsidRPr="00CC6F7E">
        <w:rPr>
          <w:rFonts w:eastAsia="Times New Roman" w:cs="Times New Roman"/>
          <w:lang w:eastAsia="de-DE"/>
        </w:rPr>
        <w:t xml:space="preserve"> (werdet ihr säen), </w:t>
      </w:r>
      <w:r w:rsidRPr="00CC6F7E">
        <w:rPr>
          <w:rFonts w:eastAsia="Times New Roman" w:cs="Times New Roman"/>
          <w:b/>
          <w:bCs/>
          <w:rtl/>
          <w:lang w:eastAsia="de-DE"/>
        </w:rPr>
        <w:t>השמינת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ὀγδόῳ</w:t>
      </w:r>
      <w:proofErr w:type="spellEnd"/>
      <w:r w:rsidRPr="00CC6F7E">
        <w:rPr>
          <w:rFonts w:eastAsia="Times New Roman" w:cs="Times New Roman"/>
          <w:lang w:eastAsia="de-DE"/>
        </w:rPr>
        <w:t xml:space="preserve"> (achten), </w:t>
      </w:r>
      <w:r w:rsidRPr="00CC6F7E">
        <w:rPr>
          <w:rFonts w:eastAsia="Times New Roman" w:cs="Times New Roman"/>
          <w:b/>
          <w:bCs/>
          <w:rtl/>
          <w:lang w:eastAsia="de-DE"/>
        </w:rPr>
        <w:t>התבואה ישן</w:t>
      </w:r>
      <w:r w:rsidRPr="00CC6F7E">
        <w:rPr>
          <w:rFonts w:eastAsia="Times New Roman" w:cs="Times New Roman"/>
          <w:rtl/>
          <w:lang w:eastAsia="de-DE"/>
        </w:rPr>
        <w:t xml:space="preserve"> </w:t>
      </w:r>
      <w:r w:rsidRPr="00CC6F7E">
        <w:rPr>
          <w:rFonts w:eastAsia="Times New Roman" w:cs="Times New Roman"/>
          <w:lang w:eastAsia="de-DE"/>
        </w:rPr>
        <w:t>mit παλα</w:t>
      </w:r>
      <w:proofErr w:type="spellStart"/>
      <w:r w:rsidRPr="00CC6F7E">
        <w:rPr>
          <w:rFonts w:eastAsia="Times New Roman" w:cs="Times New Roman"/>
          <w:lang w:eastAsia="de-DE"/>
        </w:rPr>
        <w:t>ιῶν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γενημάτων</w:t>
      </w:r>
      <w:proofErr w:type="spellEnd"/>
      <w:r w:rsidRPr="00CC6F7E">
        <w:rPr>
          <w:rFonts w:eastAsia="Times New Roman" w:cs="Times New Roman"/>
          <w:lang w:eastAsia="de-DE"/>
        </w:rPr>
        <w:t xml:space="preserve"> (alter Erzeugnisse), </w:t>
      </w:r>
      <w:r w:rsidRPr="00CC6F7E">
        <w:rPr>
          <w:rFonts w:eastAsia="Times New Roman" w:cs="Times New Roman"/>
          <w:b/>
          <w:bCs/>
          <w:rtl/>
          <w:lang w:eastAsia="de-DE"/>
        </w:rPr>
        <w:t>התשיעת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ἐνάτῳ</w:t>
      </w:r>
      <w:proofErr w:type="spellEnd"/>
      <w:r w:rsidRPr="00CC6F7E">
        <w:rPr>
          <w:rFonts w:eastAsia="Times New Roman" w:cs="Times New Roman"/>
          <w:lang w:eastAsia="de-DE"/>
        </w:rPr>
        <w:t xml:space="preserve"> (neunten) und </w:t>
      </w:r>
      <w:r w:rsidRPr="00CC6F7E">
        <w:rPr>
          <w:rFonts w:eastAsia="Times New Roman" w:cs="Times New Roman"/>
          <w:b/>
          <w:bCs/>
          <w:rtl/>
          <w:lang w:eastAsia="de-DE"/>
        </w:rPr>
        <w:t>עד־בוא תבואתה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ἕως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ἐλθεῖν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γένημ</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(bis ihr Erzeugnis kommt).</w:t>
      </w:r>
    </w:p>
    <w:p w14:paraId="30089A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Segens-Kontinuität: achtes Jahr säen + alten Ertrag essen + bis neuntes Jahr + bis neue Ernte kommt + weiter Altes essen.</w:t>
      </w:r>
    </w:p>
    <w:p w14:paraId="550A378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wie der göttliche Segen des sechsten Jahres nahtlos bis zur nächsten normalen Ernte reicht.</w:t>
      </w:r>
    </w:p>
    <w:p w14:paraId="0401950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25,23</w:t>
      </w:r>
    </w:p>
    <w:p w14:paraId="4BBF1C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וְהָאָ֗רֶץ לֹ֤א תִמָּכֵר֙ לִצְמִתֻ֔ת כִּי־לִ֖י הָאָ֑רֶץ כִּֽי־גֵרִ֧ים וְתוֹשָׁבִ֛ים אַתֶּ֖ם עִמָּדִֽי׃</w:t>
      </w:r>
    </w:p>
    <w:p w14:paraId="7DC6E7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das Land soll nicht für immer verkauft werden, denn mein ist das Land; denn Fremde und Beisassen seid ihr bei mir.</w:t>
      </w:r>
    </w:p>
    <w:p w14:paraId="5299D35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EA5B171">
          <v:rect id="_x0000_i1771" style="width:0;height:1.5pt" o:hralign="center" o:hrstd="t" o:hr="t" fillcolor="#a0a0a0" stroked="f"/>
        </w:pict>
      </w:r>
    </w:p>
    <w:p w14:paraId="724D2A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והארץ לא תמכר לצמיתת כי־לי הארץ כי־גרים ותושבים אתם עמדי</w:t>
      </w:r>
      <w:r w:rsidRPr="00CC6F7E">
        <w:rPr>
          <w:rFonts w:eastAsia="Times New Roman" w:cs="Times New Roman"/>
          <w:rtl/>
          <w:lang w:eastAsia="de-DE"/>
        </w:rPr>
        <w:t xml:space="preserve"> </w:t>
      </w:r>
      <w:r w:rsidRPr="00CC6F7E">
        <w:rPr>
          <w:rFonts w:eastAsia="Times New Roman" w:cs="Times New Roman"/>
          <w:lang w:eastAsia="de-DE"/>
        </w:rPr>
        <w:t xml:space="preserve">etabliert das theologische Fundament des Jobel-Systems. </w:t>
      </w:r>
      <w:r w:rsidRPr="00CC6F7E">
        <w:rPr>
          <w:rFonts w:eastAsia="Times New Roman" w:cs="Times New Roman"/>
          <w:b/>
          <w:bCs/>
          <w:rtl/>
          <w:lang w:eastAsia="de-DE"/>
        </w:rPr>
        <w:t>והארץ לא תמכר לצמיתת</w:t>
      </w:r>
      <w:r w:rsidRPr="00CC6F7E">
        <w:rPr>
          <w:rFonts w:eastAsia="Times New Roman" w:cs="Times New Roman"/>
          <w:rtl/>
          <w:lang w:eastAsia="de-DE"/>
        </w:rPr>
        <w:t xml:space="preserve"> </w:t>
      </w:r>
      <w:r w:rsidRPr="00CC6F7E">
        <w:rPr>
          <w:rFonts w:eastAsia="Times New Roman" w:cs="Times New Roman"/>
          <w:lang w:eastAsia="de-DE"/>
        </w:rPr>
        <w:t xml:space="preserve">(und das Land soll nicht für immer verkauft werden) - </w:t>
      </w:r>
      <w:r w:rsidRPr="00CC6F7E">
        <w:rPr>
          <w:rFonts w:eastAsia="Times New Roman" w:cs="Times New Roman"/>
          <w:b/>
          <w:bCs/>
          <w:rtl/>
          <w:lang w:eastAsia="de-DE"/>
        </w:rPr>
        <w:t>לא תמכר</w:t>
      </w:r>
      <w:r w:rsidRPr="00CC6F7E">
        <w:rPr>
          <w:rFonts w:eastAsia="Times New Roman" w:cs="Times New Roman"/>
          <w:rtl/>
          <w:lang w:eastAsia="de-DE"/>
        </w:rPr>
        <w:t xml:space="preserve"> </w:t>
      </w:r>
      <w:r w:rsidRPr="00CC6F7E">
        <w:rPr>
          <w:rFonts w:eastAsia="Times New Roman" w:cs="Times New Roman"/>
          <w:lang w:eastAsia="de-DE"/>
        </w:rPr>
        <w:t xml:space="preserve">(soll nicht verkauft werden) im Nifal-Imperfekt. </w:t>
      </w:r>
      <w:r w:rsidRPr="00CC6F7E">
        <w:rPr>
          <w:rFonts w:eastAsia="Times New Roman" w:cs="Times New Roman"/>
          <w:b/>
          <w:bCs/>
          <w:rtl/>
          <w:lang w:eastAsia="de-DE"/>
        </w:rPr>
        <w:t>לצמיתת</w:t>
      </w:r>
      <w:r w:rsidRPr="00CC6F7E">
        <w:rPr>
          <w:rFonts w:eastAsia="Times New Roman" w:cs="Times New Roman"/>
          <w:rtl/>
          <w:lang w:eastAsia="de-DE"/>
        </w:rPr>
        <w:t xml:space="preserve"> </w:t>
      </w:r>
      <w:r w:rsidRPr="00CC6F7E">
        <w:rPr>
          <w:rFonts w:eastAsia="Times New Roman" w:cs="Times New Roman"/>
          <w:lang w:eastAsia="de-DE"/>
        </w:rPr>
        <w:t xml:space="preserve">(für immer/endgültig) von </w:t>
      </w:r>
      <w:r w:rsidRPr="00CC6F7E">
        <w:rPr>
          <w:rFonts w:eastAsia="Times New Roman" w:cs="Times New Roman"/>
          <w:b/>
          <w:bCs/>
          <w:rtl/>
          <w:lang w:eastAsia="de-DE"/>
        </w:rPr>
        <w:t>צמת</w:t>
      </w:r>
      <w:r w:rsidRPr="00CC6F7E">
        <w:rPr>
          <w:rFonts w:eastAsia="Times New Roman" w:cs="Times New Roman"/>
          <w:rtl/>
          <w:lang w:eastAsia="de-DE"/>
        </w:rPr>
        <w:t xml:space="preserve"> </w:t>
      </w:r>
      <w:r w:rsidRPr="00CC6F7E">
        <w:rPr>
          <w:rFonts w:eastAsia="Times New Roman" w:cs="Times New Roman"/>
          <w:lang w:eastAsia="de-DE"/>
        </w:rPr>
        <w:t>zeigt permanenten Verkauf.</w:t>
      </w:r>
    </w:p>
    <w:p w14:paraId="1576ED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כי־לי הארץ</w:t>
      </w:r>
      <w:r w:rsidRPr="00CC6F7E">
        <w:rPr>
          <w:rFonts w:eastAsia="Times New Roman" w:cs="Times New Roman"/>
          <w:rtl/>
          <w:lang w:eastAsia="de-DE"/>
        </w:rPr>
        <w:t xml:space="preserve"> </w:t>
      </w:r>
      <w:r w:rsidRPr="00CC6F7E">
        <w:rPr>
          <w:rFonts w:eastAsia="Times New Roman" w:cs="Times New Roman"/>
          <w:lang w:eastAsia="de-DE"/>
        </w:rPr>
        <w:t xml:space="preserve">(denn mein ist das Land) zeigt göttliches Landbesitzrecht als Grundlage aller Landgesetze. </w:t>
      </w:r>
      <w:r w:rsidRPr="00CC6F7E">
        <w:rPr>
          <w:rFonts w:eastAsia="Times New Roman" w:cs="Times New Roman"/>
          <w:b/>
          <w:bCs/>
          <w:rtl/>
          <w:lang w:eastAsia="de-DE"/>
        </w:rPr>
        <w:t>כי־גרים ותושבים אתם עמדי</w:t>
      </w:r>
      <w:r w:rsidRPr="00CC6F7E">
        <w:rPr>
          <w:rFonts w:eastAsia="Times New Roman" w:cs="Times New Roman"/>
          <w:rtl/>
          <w:lang w:eastAsia="de-DE"/>
        </w:rPr>
        <w:t xml:space="preserve"> </w:t>
      </w:r>
      <w:r w:rsidRPr="00CC6F7E">
        <w:rPr>
          <w:rFonts w:eastAsia="Times New Roman" w:cs="Times New Roman"/>
          <w:lang w:eastAsia="de-DE"/>
        </w:rPr>
        <w:t>(denn Fremde und Beisassen seid ihr bei mir) zeigt den menschlichen Status:</w:t>
      </w:r>
    </w:p>
    <w:p w14:paraId="0E8F71AE" w14:textId="77777777" w:rsidR="00CC6F7E" w:rsidRPr="00CC6F7E" w:rsidRDefault="00CC6F7E" w:rsidP="00CC6F7E">
      <w:pPr>
        <w:numPr>
          <w:ilvl w:val="0"/>
          <w:numId w:val="27"/>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גרים</w:t>
      </w:r>
      <w:r w:rsidRPr="00CC6F7E">
        <w:rPr>
          <w:rFonts w:eastAsia="Times New Roman" w:cs="Times New Roman"/>
          <w:rtl/>
          <w:lang w:eastAsia="de-DE"/>
        </w:rPr>
        <w:t xml:space="preserve"> </w:t>
      </w:r>
      <w:r w:rsidRPr="00CC6F7E">
        <w:rPr>
          <w:rFonts w:eastAsia="Times New Roman" w:cs="Times New Roman"/>
          <w:lang w:eastAsia="de-DE"/>
        </w:rPr>
        <w:t>(Fremde) - ohne dauerhaftes Aufenthaltsrecht</w:t>
      </w:r>
    </w:p>
    <w:p w14:paraId="3008DD81" w14:textId="77777777" w:rsidR="00CC6F7E" w:rsidRPr="00CC6F7E" w:rsidRDefault="00CC6F7E" w:rsidP="00CC6F7E">
      <w:pPr>
        <w:numPr>
          <w:ilvl w:val="0"/>
          <w:numId w:val="27"/>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תושבים</w:t>
      </w:r>
      <w:r w:rsidRPr="00CC6F7E">
        <w:rPr>
          <w:rFonts w:eastAsia="Times New Roman" w:cs="Times New Roman"/>
          <w:rtl/>
          <w:lang w:eastAsia="de-DE"/>
        </w:rPr>
        <w:t xml:space="preserve"> </w:t>
      </w:r>
      <w:r w:rsidRPr="00CC6F7E">
        <w:rPr>
          <w:rFonts w:eastAsia="Times New Roman" w:cs="Times New Roman"/>
          <w:lang w:eastAsia="de-DE"/>
        </w:rPr>
        <w:t>(Beisassen) - temporäre Bewohner</w:t>
      </w:r>
    </w:p>
    <w:p w14:paraId="5F2667AB" w14:textId="77777777" w:rsidR="00CC6F7E" w:rsidRPr="00CC6F7E" w:rsidRDefault="00CC6F7E" w:rsidP="00CC6F7E">
      <w:pPr>
        <w:numPr>
          <w:ilvl w:val="0"/>
          <w:numId w:val="27"/>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עמדי</w:t>
      </w:r>
      <w:r w:rsidRPr="00CC6F7E">
        <w:rPr>
          <w:rFonts w:eastAsia="Times New Roman" w:cs="Times New Roman"/>
          <w:rtl/>
          <w:lang w:eastAsia="de-DE"/>
        </w:rPr>
        <w:t xml:space="preserve"> </w:t>
      </w:r>
      <w:r w:rsidRPr="00CC6F7E">
        <w:rPr>
          <w:rFonts w:eastAsia="Times New Roman" w:cs="Times New Roman"/>
          <w:lang w:eastAsia="de-DE"/>
        </w:rPr>
        <w:t>(bei mir) zeigt Gottes Landherrenschaft</w:t>
      </w:r>
    </w:p>
    <w:p w14:paraId="5F63E1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לצמיתת</w:t>
      </w:r>
      <w:r w:rsidRPr="00CC6F7E">
        <w:rPr>
          <w:rFonts w:eastAsia="Times New Roman" w:cs="Times New Roman"/>
          <w:rtl/>
          <w:lang w:eastAsia="de-DE"/>
        </w:rPr>
        <w:t xml:space="preserve"> </w:t>
      </w:r>
      <w:r w:rsidRPr="00CC6F7E">
        <w:rPr>
          <w:rFonts w:eastAsia="Times New Roman" w:cs="Times New Roman"/>
          <w:lang w:eastAsia="de-DE"/>
        </w:rPr>
        <w:t xml:space="preserve">verbietet dauerhaften Landverkauf. </w:t>
      </w:r>
      <w:r w:rsidRPr="00CC6F7E">
        <w:rPr>
          <w:rFonts w:eastAsia="Times New Roman" w:cs="Times New Roman"/>
          <w:b/>
          <w:bCs/>
          <w:rtl/>
          <w:lang w:eastAsia="de-DE"/>
        </w:rPr>
        <w:t>לי הארץ</w:t>
      </w:r>
      <w:r w:rsidRPr="00CC6F7E">
        <w:rPr>
          <w:rFonts w:eastAsia="Times New Roman" w:cs="Times New Roman"/>
          <w:rtl/>
          <w:lang w:eastAsia="de-DE"/>
        </w:rPr>
        <w:t xml:space="preserve"> </w:t>
      </w:r>
      <w:r w:rsidRPr="00CC6F7E">
        <w:rPr>
          <w:rFonts w:eastAsia="Times New Roman" w:cs="Times New Roman"/>
          <w:lang w:eastAsia="de-DE"/>
        </w:rPr>
        <w:t xml:space="preserve">als göttlicher Landbesitzanspruch. </w:t>
      </w:r>
      <w:r w:rsidRPr="00CC6F7E">
        <w:rPr>
          <w:rFonts w:eastAsia="Times New Roman" w:cs="Times New Roman"/>
          <w:b/>
          <w:bCs/>
          <w:rtl/>
          <w:lang w:eastAsia="de-DE"/>
        </w:rPr>
        <w:t>גרים ותושבים</w:t>
      </w:r>
      <w:r w:rsidRPr="00CC6F7E">
        <w:rPr>
          <w:rFonts w:eastAsia="Times New Roman" w:cs="Times New Roman"/>
          <w:rtl/>
          <w:lang w:eastAsia="de-DE"/>
        </w:rPr>
        <w:t xml:space="preserve"> </w:t>
      </w:r>
      <w:r w:rsidRPr="00CC6F7E">
        <w:rPr>
          <w:rFonts w:eastAsia="Times New Roman" w:cs="Times New Roman"/>
          <w:lang w:eastAsia="de-DE"/>
        </w:rPr>
        <w:t>zeigt menschliche Pächterstellung statt Eigentum.</w:t>
      </w:r>
    </w:p>
    <w:p w14:paraId="15D7E89A" w14:textId="7269A3F3"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לצמתת</w:t>
      </w:r>
      <w:r w:rsidR="009104A2">
        <w:t xml:space="preserve"> (</w:t>
      </w:r>
      <w:proofErr w:type="spellStart"/>
      <w:r w:rsidR="009104A2">
        <w:t>litzmiut</w:t>
      </w:r>
      <w:proofErr w:type="spellEnd"/>
      <w:r w:rsidR="009104A2">
        <w:t xml:space="preserve"> - "für immer") als </w:t>
      </w:r>
      <w:proofErr w:type="spellStart"/>
      <w:r w:rsidR="009104A2">
        <w:t>εἰς</w:t>
      </w:r>
      <w:proofErr w:type="spellEnd"/>
      <w:r w:rsidR="009104A2">
        <w:t xml:space="preserve"> βεβα</w:t>
      </w:r>
      <w:proofErr w:type="spellStart"/>
      <w:r w:rsidR="009104A2">
        <w:t>ίωσιν</w:t>
      </w:r>
      <w:proofErr w:type="spellEnd"/>
      <w:r w:rsidR="009104A2">
        <w:t xml:space="preserve"> (zur Bestätigung/Sicherheit) und </w:t>
      </w:r>
      <w:r w:rsidR="009104A2">
        <w:rPr>
          <w:rtl/>
        </w:rPr>
        <w:t>גרים ותושבים</w:t>
      </w:r>
      <w:r w:rsidR="009104A2">
        <w:t xml:space="preserve"> (</w:t>
      </w:r>
      <w:proofErr w:type="spellStart"/>
      <w:r w:rsidR="009104A2">
        <w:t>gerim</w:t>
      </w:r>
      <w:proofErr w:type="spellEnd"/>
      <w:r w:rsidR="009104A2">
        <w:t xml:space="preserve"> </w:t>
      </w:r>
      <w:proofErr w:type="spellStart"/>
      <w:r w:rsidR="009104A2">
        <w:t>wetoshavim</w:t>
      </w:r>
      <w:proofErr w:type="spellEnd"/>
      <w:r w:rsidR="009104A2">
        <w:t xml:space="preserve"> - "Fremdlinge und Beisassen") als π</w:t>
      </w:r>
      <w:proofErr w:type="spellStart"/>
      <w:r w:rsidR="009104A2">
        <w:t>ροσήλυτοι</w:t>
      </w:r>
      <w:proofErr w:type="spellEnd"/>
      <w:r w:rsidR="009104A2">
        <w:t xml:space="preserve"> καὶ π</w:t>
      </w:r>
      <w:proofErr w:type="spellStart"/>
      <w:r w:rsidR="009104A2">
        <w:t>άροικοι</w:t>
      </w:r>
      <w:proofErr w:type="spellEnd"/>
      <w:r w:rsidR="009104A2">
        <w:t xml:space="preserve"> (Proselyten und Beisassen).</w:t>
      </w:r>
    </w:p>
    <w:p w14:paraId="170326B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theologische Landordnung: Verbot dauerhaften Landverkaufs + göttlicher Landbesitz + menschliche Fremdlings-/Beisassen-Stellung bei Gott.</w:t>
      </w:r>
    </w:p>
    <w:p w14:paraId="6EF16BA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Dieser zentrale Vers begründet das gesamte Jobel-System theologisch: Gott ist Landbesitzer, Menschen sind nur temporäre Pächter.</w:t>
      </w:r>
    </w:p>
    <w:p w14:paraId="3EBD08A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25,24</w:t>
      </w:r>
    </w:p>
    <w:p w14:paraId="750257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וּבְכֹ֖ל אֶ֣רֶץ אֲחֻזַּתְכֶ֑ם גְּאֻלָּ֖ה תִּתְּנ֥וּ לָאָֽרֶץ׃</w:t>
      </w:r>
    </w:p>
    <w:p w14:paraId="75EDFD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im ganzen Land eures Besitztums sollt ihr eine Einlösung für das Land geben.</w:t>
      </w:r>
    </w:p>
    <w:p w14:paraId="4627D40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5952F70">
          <v:rect id="_x0000_i1772" style="width:0;height:1.5pt" o:hralign="center" o:hrstd="t" o:hr="t" fillcolor="#a0a0a0" stroked="f"/>
        </w:pict>
      </w:r>
    </w:p>
    <w:p w14:paraId="00FE79A6" w14:textId="391B1FCE"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ובכל ארץ אחזתכם גאלה תתנו לארץ</w:t>
      </w:r>
      <w:r w:rsidRPr="00CC6F7E">
        <w:rPr>
          <w:rFonts w:eastAsia="Times New Roman" w:cs="Times New Roman"/>
          <w:rtl/>
          <w:lang w:eastAsia="de-DE"/>
        </w:rPr>
        <w:t xml:space="preserve"> </w:t>
      </w:r>
      <w:r w:rsidRPr="00CC6F7E">
        <w:rPr>
          <w:rFonts w:eastAsia="Times New Roman" w:cs="Times New Roman"/>
          <w:lang w:eastAsia="de-DE"/>
        </w:rPr>
        <w:t xml:space="preserve">etabliert das universelle Einlösungsrecht basierend auf V. 23. </w:t>
      </w:r>
      <w:r w:rsidRPr="00CC6F7E">
        <w:rPr>
          <w:rFonts w:eastAsia="Times New Roman" w:cs="Times New Roman"/>
          <w:b/>
          <w:bCs/>
          <w:rtl/>
          <w:lang w:eastAsia="de-DE"/>
        </w:rPr>
        <w:t>ובכל ארץ אחזתכם</w:t>
      </w:r>
      <w:r w:rsidRPr="00CC6F7E">
        <w:rPr>
          <w:rFonts w:eastAsia="Times New Roman" w:cs="Times New Roman"/>
          <w:rtl/>
          <w:lang w:eastAsia="de-DE"/>
        </w:rPr>
        <w:t xml:space="preserve"> </w:t>
      </w:r>
      <w:r w:rsidRPr="00CC6F7E">
        <w:rPr>
          <w:rFonts w:eastAsia="Times New Roman" w:cs="Times New Roman"/>
          <w:lang w:eastAsia="de-DE"/>
        </w:rPr>
        <w:t xml:space="preserve">(und im ganzen Land eures Besitztums) - </w:t>
      </w:r>
      <w:r w:rsidRPr="00CC6F7E">
        <w:rPr>
          <w:rFonts w:eastAsia="Times New Roman" w:cs="Times New Roman"/>
          <w:b/>
          <w:bCs/>
          <w:rtl/>
          <w:lang w:eastAsia="de-DE"/>
        </w:rPr>
        <w:t>בכל</w:t>
      </w:r>
      <w:r w:rsidRPr="00CC6F7E">
        <w:rPr>
          <w:rFonts w:eastAsia="Times New Roman" w:cs="Times New Roman"/>
          <w:rtl/>
          <w:lang w:eastAsia="de-DE"/>
        </w:rPr>
        <w:t xml:space="preserve"> </w:t>
      </w:r>
      <w:r w:rsidRPr="00CC6F7E">
        <w:rPr>
          <w:rFonts w:eastAsia="Times New Roman" w:cs="Times New Roman"/>
          <w:lang w:eastAsia="de-DE"/>
        </w:rPr>
        <w:t xml:space="preserve">(im </w:t>
      </w:r>
      <w:r w:rsidR="00E05781" w:rsidRPr="00CC6F7E">
        <w:rPr>
          <w:rFonts w:eastAsia="Times New Roman" w:cs="Times New Roman"/>
          <w:lang w:eastAsia="de-DE"/>
        </w:rPr>
        <w:t>Ganzen</w:t>
      </w:r>
      <w:r w:rsidRPr="00CC6F7E">
        <w:rPr>
          <w:rFonts w:eastAsia="Times New Roman" w:cs="Times New Roman"/>
          <w:lang w:eastAsia="de-DE"/>
        </w:rPr>
        <w:t xml:space="preserve">) zeigt universelle Anwendung. </w:t>
      </w:r>
      <w:r w:rsidRPr="00CC6F7E">
        <w:rPr>
          <w:rFonts w:eastAsia="Times New Roman" w:cs="Times New Roman"/>
          <w:b/>
          <w:bCs/>
          <w:rtl/>
          <w:lang w:eastAsia="de-DE"/>
        </w:rPr>
        <w:t>ארץ אחזתכם</w:t>
      </w:r>
      <w:r w:rsidRPr="00CC6F7E">
        <w:rPr>
          <w:rFonts w:eastAsia="Times New Roman" w:cs="Times New Roman"/>
          <w:rtl/>
          <w:lang w:eastAsia="de-DE"/>
        </w:rPr>
        <w:t xml:space="preserve"> </w:t>
      </w:r>
      <w:r w:rsidRPr="00CC6F7E">
        <w:rPr>
          <w:rFonts w:eastAsia="Times New Roman" w:cs="Times New Roman"/>
          <w:lang w:eastAsia="de-DE"/>
        </w:rPr>
        <w:t xml:space="preserve">(Land eures Besitztums) -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(Besitztum/Erbland) zeigt das den Stämmen zugeteilte Land.</w:t>
      </w:r>
    </w:p>
    <w:p w14:paraId="3D8D8C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גאלה תתנו לארץ</w:t>
      </w:r>
      <w:r w:rsidRPr="00CC6F7E">
        <w:rPr>
          <w:rFonts w:eastAsia="Times New Roman" w:cs="Times New Roman"/>
          <w:rtl/>
          <w:lang w:eastAsia="de-DE"/>
        </w:rPr>
        <w:t xml:space="preserve"> </w:t>
      </w:r>
      <w:r w:rsidRPr="00CC6F7E">
        <w:rPr>
          <w:rFonts w:eastAsia="Times New Roman" w:cs="Times New Roman"/>
          <w:lang w:eastAsia="de-DE"/>
        </w:rPr>
        <w:t xml:space="preserve">(sollt ihr eine Einlösung für das Land geben) -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(Einlösung) von </w:t>
      </w:r>
      <w:r w:rsidRPr="00CC6F7E">
        <w:rPr>
          <w:rFonts w:eastAsia="Times New Roman" w:cs="Times New Roman"/>
          <w:b/>
          <w:bCs/>
          <w:rtl/>
          <w:lang w:eastAsia="de-DE"/>
        </w:rPr>
        <w:t>גאל</w:t>
      </w:r>
      <w:r w:rsidRPr="00CC6F7E">
        <w:rPr>
          <w:rFonts w:eastAsia="Times New Roman" w:cs="Times New Roman"/>
          <w:rtl/>
          <w:lang w:eastAsia="de-DE"/>
        </w:rPr>
        <w:t xml:space="preserve"> </w:t>
      </w:r>
      <w:r w:rsidRPr="00CC6F7E">
        <w:rPr>
          <w:rFonts w:eastAsia="Times New Roman" w:cs="Times New Roman"/>
          <w:lang w:eastAsia="de-DE"/>
        </w:rPr>
        <w:t xml:space="preserve">(lösen/erlösen) ist das zentrale </w:t>
      </w:r>
      <w:r w:rsidRPr="00CC6F7E">
        <w:rPr>
          <w:rFonts w:eastAsia="Times New Roman" w:cs="Times New Roman"/>
          <w:b/>
          <w:bCs/>
          <w:rtl/>
          <w:lang w:eastAsia="de-DE"/>
        </w:rPr>
        <w:t>גאל</w:t>
      </w:r>
      <w:r w:rsidRPr="00CC6F7E">
        <w:rPr>
          <w:rFonts w:eastAsia="Times New Roman" w:cs="Times New Roman"/>
          <w:lang w:eastAsia="de-DE"/>
        </w:rPr>
        <w:t xml:space="preserve">-Konzept. </w:t>
      </w:r>
      <w:r w:rsidRPr="00CC6F7E">
        <w:rPr>
          <w:rFonts w:eastAsia="Times New Roman" w:cs="Times New Roman"/>
          <w:b/>
          <w:bCs/>
          <w:rtl/>
          <w:lang w:eastAsia="de-DE"/>
        </w:rPr>
        <w:t>תתנו</w:t>
      </w:r>
      <w:r w:rsidRPr="00CC6F7E">
        <w:rPr>
          <w:rFonts w:eastAsia="Times New Roman" w:cs="Times New Roman"/>
          <w:rtl/>
          <w:lang w:eastAsia="de-DE"/>
        </w:rPr>
        <w:t xml:space="preserve"> </w:t>
      </w:r>
      <w:r w:rsidRPr="00CC6F7E">
        <w:rPr>
          <w:rFonts w:eastAsia="Times New Roman" w:cs="Times New Roman"/>
          <w:lang w:eastAsia="de-DE"/>
        </w:rPr>
        <w:t xml:space="preserve">(sollt ihr geben) im Qal-Imperfekt zeigt Verpflichtung. </w:t>
      </w:r>
      <w:r w:rsidRPr="00CC6F7E">
        <w:rPr>
          <w:rFonts w:eastAsia="Times New Roman" w:cs="Times New Roman"/>
          <w:b/>
          <w:bCs/>
          <w:rtl/>
          <w:lang w:eastAsia="de-DE"/>
        </w:rPr>
        <w:t>לארץ</w:t>
      </w:r>
      <w:r w:rsidRPr="00CC6F7E">
        <w:rPr>
          <w:rFonts w:eastAsia="Times New Roman" w:cs="Times New Roman"/>
          <w:rtl/>
          <w:lang w:eastAsia="de-DE"/>
        </w:rPr>
        <w:t xml:space="preserve"> </w:t>
      </w:r>
      <w:r w:rsidRPr="00CC6F7E">
        <w:rPr>
          <w:rFonts w:eastAsia="Times New Roman" w:cs="Times New Roman"/>
          <w:lang w:eastAsia="de-DE"/>
        </w:rPr>
        <w:t>(für das Land) zeigt das Land als Einlösungsobjekt.</w:t>
      </w:r>
    </w:p>
    <w:p w14:paraId="7A40CC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ובכל ארץ אחזתכם</w:t>
      </w:r>
      <w:r w:rsidRPr="00CC6F7E">
        <w:rPr>
          <w:rFonts w:eastAsia="Times New Roman" w:cs="Times New Roman"/>
          <w:rtl/>
          <w:lang w:eastAsia="de-DE"/>
        </w:rPr>
        <w:t xml:space="preserve"> </w:t>
      </w:r>
      <w:r w:rsidRPr="00CC6F7E">
        <w:rPr>
          <w:rFonts w:eastAsia="Times New Roman" w:cs="Times New Roman"/>
          <w:lang w:eastAsia="de-DE"/>
        </w:rPr>
        <w:t xml:space="preserve">zeigt universelle territoriale Gültigkeit.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als Kernkonzept des Jobel-Systems zeigt Rückkaufsrecht. </w:t>
      </w:r>
      <w:r w:rsidRPr="00CC6F7E">
        <w:rPr>
          <w:rFonts w:eastAsia="Times New Roman" w:cs="Times New Roman"/>
          <w:b/>
          <w:bCs/>
          <w:rtl/>
          <w:lang w:eastAsia="de-DE"/>
        </w:rPr>
        <w:t>תתנו לארץ</w:t>
      </w:r>
      <w:r w:rsidRPr="00CC6F7E">
        <w:rPr>
          <w:rFonts w:eastAsia="Times New Roman" w:cs="Times New Roman"/>
          <w:rtl/>
          <w:lang w:eastAsia="de-DE"/>
        </w:rPr>
        <w:t xml:space="preserve"> </w:t>
      </w:r>
      <w:r w:rsidRPr="00CC6F7E">
        <w:rPr>
          <w:rFonts w:eastAsia="Times New Roman" w:cs="Times New Roman"/>
          <w:lang w:eastAsia="de-DE"/>
        </w:rPr>
        <w:t>zeigt Einlösungsverpflichtung.</w:t>
      </w:r>
    </w:p>
    <w:p w14:paraId="22FC6EA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ובכל ארץ אחזתכם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άσῃ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γῇ</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σχέσεως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(in allem Land eures Besitzes),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λύτρωσιν</w:t>
      </w:r>
      <w:proofErr w:type="spellEnd"/>
      <w:r w:rsidRPr="00CC6F7E">
        <w:rPr>
          <w:rFonts w:eastAsia="Times New Roman" w:cs="Times New Roman"/>
          <w:lang w:eastAsia="de-DE"/>
        </w:rPr>
        <w:t xml:space="preserve"> (Loskauf) und </w:t>
      </w:r>
      <w:r w:rsidRPr="00CC6F7E">
        <w:rPr>
          <w:rFonts w:eastAsia="Times New Roman" w:cs="Times New Roman"/>
          <w:b/>
          <w:bCs/>
          <w:rtl/>
          <w:lang w:eastAsia="de-DE"/>
        </w:rPr>
        <w:t>תתנו לארץ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δώσετε</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γῇ</w:t>
      </w:r>
      <w:proofErr w:type="spellEnd"/>
      <w:r w:rsidRPr="00CC6F7E">
        <w:rPr>
          <w:rFonts w:eastAsia="Times New Roman" w:cs="Times New Roman"/>
          <w:lang w:eastAsia="de-DE"/>
        </w:rPr>
        <w:t xml:space="preserve"> (werdet ihr dem Land geben).</w:t>
      </w:r>
    </w:p>
    <w:p w14:paraId="492E6C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Einlösungsrecht-Etablierung: ganzes Besitzland + Einlösungsrecht für das Land.</w:t>
      </w:r>
    </w:p>
    <w:p w14:paraId="1505C7F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das universelle Landeinlösungsrecht (</w:t>
      </w:r>
      <w:r w:rsidRPr="00CC6F7E">
        <w:rPr>
          <w:rFonts w:eastAsia="Times New Roman" w:cs="Times New Roman"/>
          <w:b/>
          <w:bCs/>
          <w:rtl/>
          <w:lang w:eastAsia="de-DE"/>
        </w:rPr>
        <w:t>גאלה</w:t>
      </w:r>
      <w:r w:rsidRPr="00CC6F7E">
        <w:rPr>
          <w:rFonts w:eastAsia="Times New Roman" w:cs="Times New Roman"/>
          <w:lang w:eastAsia="de-DE"/>
        </w:rPr>
        <w:t>) als praktische Konsequenz der göttlichen Landherrschaft.</w:t>
      </w:r>
    </w:p>
    <w:p w14:paraId="5FCAE1F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25,25</w:t>
      </w:r>
    </w:p>
    <w:p w14:paraId="054A989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כִּֽי־יָמ֣וּךְ אָחִ֔יךָ וּמָכַ֖ר מֵאֲחֻזָּתוֹ֑ וּבָ֤א גֹֽאֲלֹו֙ הַקָּרֹ֣ב אֵלָ֔יו וְגָאַ֕ל אֵ֖ת מִמְכַּ֥ר אָחִֽיו׃</w:t>
      </w:r>
    </w:p>
    <w:p w14:paraId="19CCC1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dein Bruder verarmt und von seinem Besitztum verkauft, so soll sein Löser, der ihm nahe ist, kommen und einlösen das Verkaufte seines Bruders.</w:t>
      </w:r>
    </w:p>
    <w:p w14:paraId="5F3A8DF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EB6777C">
          <v:rect id="_x0000_i1773" style="width:0;height:1.5pt" o:hralign="center" o:hrstd="t" o:hr="t" fillcolor="#a0a0a0" stroked="f"/>
        </w:pict>
      </w:r>
    </w:p>
    <w:p w14:paraId="6464A6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כי־ימוך אחיך ומכר מאחזתו ובא גאלו הקרב אליו וגאל את ממכר אחיו</w:t>
      </w:r>
      <w:r w:rsidRPr="00CC6F7E">
        <w:rPr>
          <w:rFonts w:eastAsia="Times New Roman" w:cs="Times New Roman"/>
          <w:rtl/>
          <w:lang w:eastAsia="de-DE"/>
        </w:rPr>
        <w:t xml:space="preserve"> </w:t>
      </w:r>
      <w:r w:rsidRPr="00CC6F7E">
        <w:rPr>
          <w:rFonts w:eastAsia="Times New Roman" w:cs="Times New Roman"/>
          <w:lang w:eastAsia="de-DE"/>
        </w:rPr>
        <w:t xml:space="preserve">führt den ersten </w:t>
      </w:r>
      <w:r w:rsidRPr="00CC6F7E">
        <w:rPr>
          <w:rFonts w:eastAsia="Times New Roman" w:cs="Times New Roman"/>
          <w:b/>
          <w:bCs/>
          <w:rtl/>
          <w:lang w:eastAsia="de-DE"/>
        </w:rPr>
        <w:t>גאלה</w:t>
      </w:r>
      <w:r w:rsidRPr="00CC6F7E">
        <w:rPr>
          <w:rFonts w:eastAsia="Times New Roman" w:cs="Times New Roman"/>
          <w:lang w:eastAsia="de-DE"/>
        </w:rPr>
        <w:t xml:space="preserve">-Fall ein: Verarmung und Verwandteneinlösung. </w:t>
      </w:r>
      <w:r w:rsidRPr="00CC6F7E">
        <w:rPr>
          <w:rFonts w:eastAsia="Times New Roman" w:cs="Times New Roman"/>
          <w:b/>
          <w:bCs/>
          <w:rtl/>
          <w:lang w:eastAsia="de-DE"/>
        </w:rPr>
        <w:t>כי־ימוך אחיך ומכר מאחזתו</w:t>
      </w:r>
      <w:r w:rsidRPr="00CC6F7E">
        <w:rPr>
          <w:rFonts w:eastAsia="Times New Roman" w:cs="Times New Roman"/>
          <w:rtl/>
          <w:lang w:eastAsia="de-DE"/>
        </w:rPr>
        <w:t xml:space="preserve"> </w:t>
      </w:r>
      <w:r w:rsidRPr="00CC6F7E">
        <w:rPr>
          <w:rFonts w:eastAsia="Times New Roman" w:cs="Times New Roman"/>
          <w:lang w:eastAsia="de-DE"/>
        </w:rPr>
        <w:t xml:space="preserve">(wenn dein Bruder verarmt und von seinem Besitztum verkauft) - </w:t>
      </w:r>
      <w:r w:rsidRPr="00CC6F7E">
        <w:rPr>
          <w:rFonts w:eastAsia="Times New Roman" w:cs="Times New Roman"/>
          <w:b/>
          <w:bCs/>
          <w:rtl/>
          <w:lang w:eastAsia="de-DE"/>
        </w:rPr>
        <w:t>כי־ימוך אחיך</w:t>
      </w:r>
      <w:r w:rsidRPr="00CC6F7E">
        <w:rPr>
          <w:rFonts w:eastAsia="Times New Roman" w:cs="Times New Roman"/>
          <w:rtl/>
          <w:lang w:eastAsia="de-DE"/>
        </w:rPr>
        <w:t xml:space="preserve"> </w:t>
      </w:r>
      <w:r w:rsidRPr="00CC6F7E">
        <w:rPr>
          <w:rFonts w:eastAsia="Times New Roman" w:cs="Times New Roman"/>
          <w:lang w:eastAsia="de-DE"/>
        </w:rPr>
        <w:t xml:space="preserve">(wenn dein Bruder verarmt) - </w:t>
      </w:r>
      <w:r w:rsidRPr="00CC6F7E">
        <w:rPr>
          <w:rFonts w:eastAsia="Times New Roman" w:cs="Times New Roman"/>
          <w:b/>
          <w:bCs/>
          <w:rtl/>
          <w:lang w:eastAsia="de-DE"/>
        </w:rPr>
        <w:t>ימוך</w:t>
      </w:r>
      <w:r w:rsidRPr="00CC6F7E">
        <w:rPr>
          <w:rFonts w:eastAsia="Times New Roman" w:cs="Times New Roman"/>
          <w:rtl/>
          <w:lang w:eastAsia="de-DE"/>
        </w:rPr>
        <w:t xml:space="preserve"> </w:t>
      </w:r>
      <w:r w:rsidRPr="00CC6F7E">
        <w:rPr>
          <w:rFonts w:eastAsia="Times New Roman" w:cs="Times New Roman"/>
          <w:lang w:eastAsia="de-DE"/>
        </w:rPr>
        <w:t xml:space="preserve">(verarmt) im Qal-Imperfekt von </w:t>
      </w:r>
      <w:r w:rsidRPr="00CC6F7E">
        <w:rPr>
          <w:rFonts w:eastAsia="Times New Roman" w:cs="Times New Roman"/>
          <w:b/>
          <w:bCs/>
          <w:rtl/>
          <w:lang w:eastAsia="de-DE"/>
        </w:rPr>
        <w:t>מוך</w:t>
      </w:r>
      <w:r w:rsidRPr="00CC6F7E">
        <w:rPr>
          <w:rFonts w:eastAsia="Times New Roman" w:cs="Times New Roman"/>
          <w:rtl/>
          <w:lang w:eastAsia="de-DE"/>
        </w:rPr>
        <w:t xml:space="preserve"> </w:t>
      </w:r>
      <w:r w:rsidRPr="00CC6F7E">
        <w:rPr>
          <w:rFonts w:eastAsia="Times New Roman" w:cs="Times New Roman"/>
          <w:lang w:eastAsia="de-DE"/>
        </w:rPr>
        <w:t xml:space="preserve">(niedrig werden/verarmen) zeigt wirtschaftlichen Niedergang. </w:t>
      </w:r>
      <w:r w:rsidRPr="00CC6F7E">
        <w:rPr>
          <w:rFonts w:eastAsia="Times New Roman" w:cs="Times New Roman"/>
          <w:b/>
          <w:bCs/>
          <w:rtl/>
          <w:lang w:eastAsia="de-DE"/>
        </w:rPr>
        <w:t>אחיך</w:t>
      </w:r>
      <w:r w:rsidRPr="00CC6F7E">
        <w:rPr>
          <w:rFonts w:eastAsia="Times New Roman" w:cs="Times New Roman"/>
          <w:rtl/>
          <w:lang w:eastAsia="de-DE"/>
        </w:rPr>
        <w:t xml:space="preserve"> </w:t>
      </w:r>
      <w:r w:rsidRPr="00CC6F7E">
        <w:rPr>
          <w:rFonts w:eastAsia="Times New Roman" w:cs="Times New Roman"/>
          <w:lang w:eastAsia="de-DE"/>
        </w:rPr>
        <w:t xml:space="preserve">(dein Bruder) zeigt Volksgenossenschaft. </w:t>
      </w:r>
      <w:r w:rsidRPr="00CC6F7E">
        <w:rPr>
          <w:rFonts w:eastAsia="Times New Roman" w:cs="Times New Roman"/>
          <w:b/>
          <w:bCs/>
          <w:rtl/>
          <w:lang w:eastAsia="de-DE"/>
        </w:rPr>
        <w:t>ומכר מאחזתו</w:t>
      </w:r>
      <w:r w:rsidRPr="00CC6F7E">
        <w:rPr>
          <w:rFonts w:eastAsia="Times New Roman" w:cs="Times New Roman"/>
          <w:rtl/>
          <w:lang w:eastAsia="de-DE"/>
        </w:rPr>
        <w:t xml:space="preserve"> </w:t>
      </w:r>
      <w:r w:rsidRPr="00CC6F7E">
        <w:rPr>
          <w:rFonts w:eastAsia="Times New Roman" w:cs="Times New Roman"/>
          <w:lang w:eastAsia="de-DE"/>
        </w:rPr>
        <w:t xml:space="preserve">(und von seinem Besitztum verkauft) - </w:t>
      </w:r>
      <w:r w:rsidRPr="00CC6F7E">
        <w:rPr>
          <w:rFonts w:eastAsia="Times New Roman" w:cs="Times New Roman"/>
          <w:b/>
          <w:bCs/>
          <w:rtl/>
          <w:lang w:eastAsia="de-DE"/>
        </w:rPr>
        <w:t>מכר</w:t>
      </w:r>
      <w:r w:rsidRPr="00CC6F7E">
        <w:rPr>
          <w:rFonts w:eastAsia="Times New Roman" w:cs="Times New Roman"/>
          <w:rtl/>
          <w:lang w:eastAsia="de-DE"/>
        </w:rPr>
        <w:t xml:space="preserve"> </w:t>
      </w:r>
      <w:r w:rsidRPr="00CC6F7E">
        <w:rPr>
          <w:rFonts w:eastAsia="Times New Roman" w:cs="Times New Roman"/>
          <w:lang w:eastAsia="de-DE"/>
        </w:rPr>
        <w:t xml:space="preserve">(verkauft) im Qal-Perfekt. </w:t>
      </w:r>
      <w:r w:rsidRPr="00CC6F7E">
        <w:rPr>
          <w:rFonts w:eastAsia="Times New Roman" w:cs="Times New Roman"/>
          <w:b/>
          <w:bCs/>
          <w:rtl/>
          <w:lang w:eastAsia="de-DE"/>
        </w:rPr>
        <w:t>מאחזתו</w:t>
      </w:r>
      <w:r w:rsidRPr="00CC6F7E">
        <w:rPr>
          <w:rFonts w:eastAsia="Times New Roman" w:cs="Times New Roman"/>
          <w:rtl/>
          <w:lang w:eastAsia="de-DE"/>
        </w:rPr>
        <w:t xml:space="preserve"> </w:t>
      </w:r>
      <w:r w:rsidRPr="00CC6F7E">
        <w:rPr>
          <w:rFonts w:eastAsia="Times New Roman" w:cs="Times New Roman"/>
          <w:lang w:eastAsia="de-DE"/>
        </w:rPr>
        <w:t>(von seinem Besitztum) zeigt Notverkauf von Erbland.</w:t>
      </w:r>
    </w:p>
    <w:p w14:paraId="044DB2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ובא גאלו הקרב אליו וגאל את ממכר אחיו</w:t>
      </w:r>
      <w:r w:rsidRPr="00CC6F7E">
        <w:rPr>
          <w:rFonts w:eastAsia="Times New Roman" w:cs="Times New Roman"/>
          <w:rtl/>
          <w:lang w:eastAsia="de-DE"/>
        </w:rPr>
        <w:t xml:space="preserve"> </w:t>
      </w:r>
      <w:r w:rsidRPr="00CC6F7E">
        <w:rPr>
          <w:rFonts w:eastAsia="Times New Roman" w:cs="Times New Roman"/>
          <w:lang w:eastAsia="de-DE"/>
        </w:rPr>
        <w:t xml:space="preserve">(so soll sein Löser, der ihm nahe ist, kommen und einlösen das Verkaufte seines Bruders) - </w:t>
      </w:r>
      <w:r w:rsidRPr="00CC6F7E">
        <w:rPr>
          <w:rFonts w:eastAsia="Times New Roman" w:cs="Times New Roman"/>
          <w:b/>
          <w:bCs/>
          <w:rtl/>
          <w:lang w:eastAsia="de-DE"/>
        </w:rPr>
        <w:t>ובא גאלו הקרב אליו</w:t>
      </w:r>
      <w:r w:rsidRPr="00CC6F7E">
        <w:rPr>
          <w:rFonts w:eastAsia="Times New Roman" w:cs="Times New Roman"/>
          <w:rtl/>
          <w:lang w:eastAsia="de-DE"/>
        </w:rPr>
        <w:t xml:space="preserve"> </w:t>
      </w:r>
      <w:r w:rsidRPr="00CC6F7E">
        <w:rPr>
          <w:rFonts w:eastAsia="Times New Roman" w:cs="Times New Roman"/>
          <w:lang w:eastAsia="de-DE"/>
        </w:rPr>
        <w:t xml:space="preserve">(und es soll sein Löser kommen, der ihm nahe ist) - </w:t>
      </w:r>
      <w:r w:rsidRPr="00CC6F7E">
        <w:rPr>
          <w:rFonts w:eastAsia="Times New Roman" w:cs="Times New Roman"/>
          <w:b/>
          <w:bCs/>
          <w:rtl/>
          <w:lang w:eastAsia="de-DE"/>
        </w:rPr>
        <w:t>גאלו</w:t>
      </w:r>
      <w:r w:rsidRPr="00CC6F7E">
        <w:rPr>
          <w:rFonts w:eastAsia="Times New Roman" w:cs="Times New Roman"/>
          <w:rtl/>
          <w:lang w:eastAsia="de-DE"/>
        </w:rPr>
        <w:t xml:space="preserve"> </w:t>
      </w:r>
      <w:r w:rsidRPr="00CC6F7E">
        <w:rPr>
          <w:rFonts w:eastAsia="Times New Roman" w:cs="Times New Roman"/>
          <w:lang w:eastAsia="de-DE"/>
        </w:rPr>
        <w:t xml:space="preserve">(sein Löser) von </w:t>
      </w:r>
      <w:r w:rsidRPr="00CC6F7E">
        <w:rPr>
          <w:rFonts w:eastAsia="Times New Roman" w:cs="Times New Roman"/>
          <w:b/>
          <w:bCs/>
          <w:rtl/>
          <w:lang w:eastAsia="de-DE"/>
        </w:rPr>
        <w:t>גאל</w:t>
      </w:r>
      <w:r w:rsidRPr="00CC6F7E">
        <w:rPr>
          <w:rFonts w:eastAsia="Times New Roman" w:cs="Times New Roman"/>
          <w:rtl/>
          <w:lang w:eastAsia="de-DE"/>
        </w:rPr>
        <w:t xml:space="preserve"> </w:t>
      </w:r>
      <w:r w:rsidRPr="00CC6F7E">
        <w:rPr>
          <w:rFonts w:eastAsia="Times New Roman" w:cs="Times New Roman"/>
          <w:lang w:eastAsia="de-DE"/>
        </w:rPr>
        <w:t xml:space="preserve">(lösen/erlösen). </w:t>
      </w:r>
      <w:r w:rsidRPr="00CC6F7E">
        <w:rPr>
          <w:rFonts w:eastAsia="Times New Roman" w:cs="Times New Roman"/>
          <w:b/>
          <w:bCs/>
          <w:rtl/>
          <w:lang w:eastAsia="de-DE"/>
        </w:rPr>
        <w:t>הקרב אליו</w:t>
      </w:r>
      <w:r w:rsidRPr="00CC6F7E">
        <w:rPr>
          <w:rFonts w:eastAsia="Times New Roman" w:cs="Times New Roman"/>
          <w:rtl/>
          <w:lang w:eastAsia="de-DE"/>
        </w:rPr>
        <w:t xml:space="preserve"> </w:t>
      </w:r>
      <w:r w:rsidRPr="00CC6F7E">
        <w:rPr>
          <w:rFonts w:eastAsia="Times New Roman" w:cs="Times New Roman"/>
          <w:lang w:eastAsia="de-DE"/>
        </w:rPr>
        <w:t xml:space="preserve">(der ihm nahe ist) zeigt verwandtschaftliche Nähe. </w:t>
      </w:r>
      <w:r w:rsidRPr="00CC6F7E">
        <w:rPr>
          <w:rFonts w:eastAsia="Times New Roman" w:cs="Times New Roman"/>
          <w:b/>
          <w:bCs/>
          <w:rtl/>
          <w:lang w:eastAsia="de-DE"/>
        </w:rPr>
        <w:t>וגאל את ממכר אחיו</w:t>
      </w:r>
      <w:r w:rsidRPr="00CC6F7E">
        <w:rPr>
          <w:rFonts w:eastAsia="Times New Roman" w:cs="Times New Roman"/>
          <w:rtl/>
          <w:lang w:eastAsia="de-DE"/>
        </w:rPr>
        <w:t xml:space="preserve"> </w:t>
      </w:r>
      <w:r w:rsidRPr="00CC6F7E">
        <w:rPr>
          <w:rFonts w:eastAsia="Times New Roman" w:cs="Times New Roman"/>
          <w:lang w:eastAsia="de-DE"/>
        </w:rPr>
        <w:t xml:space="preserve">(und einlösen das Verkaufte seines Bruders) - </w:t>
      </w:r>
      <w:r w:rsidRPr="00CC6F7E">
        <w:rPr>
          <w:rFonts w:eastAsia="Times New Roman" w:cs="Times New Roman"/>
          <w:b/>
          <w:bCs/>
          <w:rtl/>
          <w:lang w:eastAsia="de-DE"/>
        </w:rPr>
        <w:t>גאל</w:t>
      </w:r>
      <w:r w:rsidRPr="00CC6F7E">
        <w:rPr>
          <w:rFonts w:eastAsia="Times New Roman" w:cs="Times New Roman"/>
          <w:rtl/>
          <w:lang w:eastAsia="de-DE"/>
        </w:rPr>
        <w:t xml:space="preserve"> </w:t>
      </w:r>
      <w:r w:rsidRPr="00CC6F7E">
        <w:rPr>
          <w:rFonts w:eastAsia="Times New Roman" w:cs="Times New Roman"/>
          <w:lang w:eastAsia="de-DE"/>
        </w:rPr>
        <w:t xml:space="preserve">(soll einlösen) im Qal-Perfekt. </w:t>
      </w:r>
      <w:r w:rsidRPr="00CC6F7E">
        <w:rPr>
          <w:rFonts w:eastAsia="Times New Roman" w:cs="Times New Roman"/>
          <w:b/>
          <w:bCs/>
          <w:rtl/>
          <w:lang w:eastAsia="de-DE"/>
        </w:rPr>
        <w:t>ממכר אחיו</w:t>
      </w:r>
      <w:r w:rsidRPr="00CC6F7E">
        <w:rPr>
          <w:rFonts w:eastAsia="Times New Roman" w:cs="Times New Roman"/>
          <w:rtl/>
          <w:lang w:eastAsia="de-DE"/>
        </w:rPr>
        <w:t xml:space="preserve"> </w:t>
      </w:r>
      <w:r w:rsidRPr="00CC6F7E">
        <w:rPr>
          <w:rFonts w:eastAsia="Times New Roman" w:cs="Times New Roman"/>
          <w:lang w:eastAsia="de-DE"/>
        </w:rPr>
        <w:t>(das Verkaufte seines Bruders) zeigt das verkaufte Erbland.</w:t>
      </w:r>
    </w:p>
    <w:p w14:paraId="33C36F4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ימוך אחיך</w:t>
      </w:r>
      <w:r w:rsidRPr="00CC6F7E">
        <w:rPr>
          <w:rFonts w:eastAsia="Times New Roman" w:cs="Times New Roman"/>
          <w:rtl/>
          <w:lang w:eastAsia="de-DE"/>
        </w:rPr>
        <w:t xml:space="preserve"> </w:t>
      </w:r>
      <w:r w:rsidRPr="00CC6F7E">
        <w:rPr>
          <w:rFonts w:eastAsia="Times New Roman" w:cs="Times New Roman"/>
          <w:lang w:eastAsia="de-DE"/>
        </w:rPr>
        <w:t xml:space="preserve">zeigt Verarmung des Volksgenossen. </w:t>
      </w:r>
      <w:r w:rsidRPr="00CC6F7E">
        <w:rPr>
          <w:rFonts w:eastAsia="Times New Roman" w:cs="Times New Roman"/>
          <w:b/>
          <w:bCs/>
          <w:rtl/>
          <w:lang w:eastAsia="de-DE"/>
        </w:rPr>
        <w:t>מאחזתו</w:t>
      </w:r>
      <w:r w:rsidRPr="00CC6F7E">
        <w:rPr>
          <w:rFonts w:eastAsia="Times New Roman" w:cs="Times New Roman"/>
          <w:rtl/>
          <w:lang w:eastAsia="de-DE"/>
        </w:rPr>
        <w:t xml:space="preserve"> </w:t>
      </w:r>
      <w:r w:rsidRPr="00CC6F7E">
        <w:rPr>
          <w:rFonts w:eastAsia="Times New Roman" w:cs="Times New Roman"/>
          <w:lang w:eastAsia="de-DE"/>
        </w:rPr>
        <w:t xml:space="preserve">zeigt Notverkauf des Erblandes. </w:t>
      </w:r>
      <w:r w:rsidRPr="00CC6F7E">
        <w:rPr>
          <w:rFonts w:eastAsia="Times New Roman" w:cs="Times New Roman"/>
          <w:b/>
          <w:bCs/>
          <w:rtl/>
          <w:lang w:eastAsia="de-DE"/>
        </w:rPr>
        <w:t>גאלו הקרב אליו</w:t>
      </w:r>
      <w:r w:rsidRPr="00CC6F7E">
        <w:rPr>
          <w:rFonts w:eastAsia="Times New Roman" w:cs="Times New Roman"/>
          <w:rtl/>
          <w:lang w:eastAsia="de-DE"/>
        </w:rPr>
        <w:t xml:space="preserve"> </w:t>
      </w:r>
      <w:r w:rsidRPr="00CC6F7E">
        <w:rPr>
          <w:rFonts w:eastAsia="Times New Roman" w:cs="Times New Roman"/>
          <w:lang w:eastAsia="de-DE"/>
        </w:rPr>
        <w:t xml:space="preserve">zeigt verwandtschaftliche </w:t>
      </w:r>
      <w:r w:rsidRPr="00CC6F7E">
        <w:rPr>
          <w:rFonts w:eastAsia="Times New Roman" w:cs="Times New Roman"/>
          <w:b/>
          <w:bCs/>
          <w:rtl/>
          <w:lang w:eastAsia="de-DE"/>
        </w:rPr>
        <w:t>גאל</w:t>
      </w:r>
      <w:r w:rsidRPr="00CC6F7E">
        <w:rPr>
          <w:rFonts w:eastAsia="Times New Roman" w:cs="Times New Roman"/>
          <w:lang w:eastAsia="de-DE"/>
        </w:rPr>
        <w:t xml:space="preserve">-Verpflichtung. </w:t>
      </w:r>
      <w:r w:rsidRPr="00CC6F7E">
        <w:rPr>
          <w:rFonts w:eastAsia="Times New Roman" w:cs="Times New Roman"/>
          <w:b/>
          <w:bCs/>
          <w:rtl/>
          <w:lang w:eastAsia="de-DE"/>
        </w:rPr>
        <w:t>ממכר אחיו</w:t>
      </w:r>
      <w:r w:rsidRPr="00CC6F7E">
        <w:rPr>
          <w:rFonts w:eastAsia="Times New Roman" w:cs="Times New Roman"/>
          <w:rtl/>
          <w:lang w:eastAsia="de-DE"/>
        </w:rPr>
        <w:t xml:space="preserve"> </w:t>
      </w:r>
      <w:r w:rsidRPr="00CC6F7E">
        <w:rPr>
          <w:rFonts w:eastAsia="Times New Roman" w:cs="Times New Roman"/>
          <w:lang w:eastAsia="de-DE"/>
        </w:rPr>
        <w:t>zeigt das einzulösende Verkaufsobjekt.</w:t>
      </w:r>
    </w:p>
    <w:p w14:paraId="6B916CB5" w14:textId="3A8A0D5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interpretiert das Lösungsrecht systematisch: ὁ </w:t>
      </w:r>
      <w:proofErr w:type="spellStart"/>
      <w:r w:rsidR="009104A2">
        <w:t>ἀγχιστεύων</w:t>
      </w:r>
      <w:proofErr w:type="spellEnd"/>
      <w:r w:rsidR="009104A2">
        <w:t xml:space="preserve"> ὁ </w:t>
      </w:r>
      <w:proofErr w:type="spellStart"/>
      <w:r w:rsidR="009104A2">
        <w:t>ἔγγιστ</w:t>
      </w:r>
      <w:proofErr w:type="spellEnd"/>
      <w:r w:rsidR="009104A2">
        <w:t>α α</w:t>
      </w:r>
      <w:proofErr w:type="spellStart"/>
      <w:r w:rsidR="009104A2">
        <w:t>ὐτοῦ</w:t>
      </w:r>
      <w:proofErr w:type="spellEnd"/>
      <w:r w:rsidR="009104A2">
        <w:t xml:space="preserve"> (der nächste Verwandte) für </w:t>
      </w:r>
      <w:r w:rsidR="009104A2">
        <w:rPr>
          <w:rtl/>
        </w:rPr>
        <w:t>גאלו הקרב אליו</w:t>
      </w:r>
      <w:r w:rsidR="009104A2">
        <w:t xml:space="preserve"> (</w:t>
      </w:r>
      <w:proofErr w:type="spellStart"/>
      <w:r w:rsidR="009104A2">
        <w:t>go'alo</w:t>
      </w:r>
      <w:proofErr w:type="spellEnd"/>
      <w:r w:rsidR="009104A2">
        <w:t xml:space="preserve"> </w:t>
      </w:r>
      <w:proofErr w:type="spellStart"/>
      <w:r w:rsidR="009104A2">
        <w:t>haqarov</w:t>
      </w:r>
      <w:proofErr w:type="spellEnd"/>
      <w:r w:rsidR="009104A2">
        <w:t xml:space="preserve"> </w:t>
      </w:r>
      <w:proofErr w:type="spellStart"/>
      <w:r w:rsidR="009104A2">
        <w:t>elav</w:t>
      </w:r>
      <w:proofErr w:type="spellEnd"/>
      <w:r w:rsidR="009104A2">
        <w:t>).</w:t>
      </w:r>
    </w:p>
    <w:p w14:paraId="45043B2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Verwandten-</w:t>
      </w:r>
      <w:r w:rsidRPr="00CC6F7E">
        <w:rPr>
          <w:rFonts w:eastAsia="Times New Roman" w:cs="Times New Roman"/>
          <w:b/>
          <w:bCs/>
          <w:rtl/>
          <w:lang w:eastAsia="de-DE"/>
        </w:rPr>
        <w:t>גאלה</w:t>
      </w:r>
      <w:r w:rsidRPr="00CC6F7E">
        <w:rPr>
          <w:rFonts w:eastAsia="Times New Roman" w:cs="Times New Roman"/>
          <w:lang w:eastAsia="de-DE"/>
        </w:rPr>
        <w:t>: Bruder-Verarmung + Besitztum-Verkauf + naher Löser kommt + Einlösung des Verkauften.</w:t>
      </w:r>
    </w:p>
    <w:p w14:paraId="4E5D90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das verwandtschaftliche </w:t>
      </w:r>
      <w:r w:rsidRPr="00CC6F7E">
        <w:rPr>
          <w:rFonts w:eastAsia="Times New Roman" w:cs="Times New Roman"/>
          <w:b/>
          <w:bCs/>
          <w:rtl/>
          <w:lang w:eastAsia="de-DE"/>
        </w:rPr>
        <w:t>גאל</w:t>
      </w:r>
      <w:r w:rsidRPr="00CC6F7E">
        <w:rPr>
          <w:rFonts w:eastAsia="Times New Roman" w:cs="Times New Roman"/>
          <w:lang w:eastAsia="de-DE"/>
        </w:rPr>
        <w:t>-System: Bei Verarmung soll der nächste Verwandte das verkaufte Erbland einlösen.</w:t>
      </w:r>
    </w:p>
    <w:p w14:paraId="767954F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25,26</w:t>
      </w:r>
    </w:p>
    <w:p w14:paraId="27BEA0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וְאִ֕ישׁ כִּ֛י לֹ֥א יִֽהְיֶה־לּוֹ֖ גֹּאֵ֑ל וְהִשִּׂ֣יגָה יָדֹ֔ו וּמָצָ֖א כְּדֵ֥י גְאֻלָּתוֹֽ׃</w:t>
      </w:r>
    </w:p>
    <w:p w14:paraId="571EC9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ein Mann keinen Löser hat, aber es seine Hand aufbringt und er findet genug zu seiner Einlösung,</w:t>
      </w:r>
    </w:p>
    <w:p w14:paraId="5320410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912C05D">
          <v:rect id="_x0000_i1774" style="width:0;height:1.5pt" o:hralign="center" o:hrstd="t" o:hr="t" fillcolor="#a0a0a0" stroked="f"/>
        </w:pict>
      </w:r>
    </w:p>
    <w:p w14:paraId="176BFC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ואיש כי לא יהיה־לו גאל והשיגה ידו ומצא כדי גאלתו</w:t>
      </w:r>
      <w:r w:rsidRPr="00CC6F7E">
        <w:rPr>
          <w:rFonts w:eastAsia="Times New Roman" w:cs="Times New Roman"/>
          <w:rtl/>
          <w:lang w:eastAsia="de-DE"/>
        </w:rPr>
        <w:t xml:space="preserve"> </w:t>
      </w:r>
      <w:r w:rsidRPr="00CC6F7E">
        <w:rPr>
          <w:rFonts w:eastAsia="Times New Roman" w:cs="Times New Roman"/>
          <w:lang w:eastAsia="de-DE"/>
        </w:rPr>
        <w:t>zeigt Selbsteinlösung bei fehlendem Verwandten-</w:t>
      </w:r>
      <w:r w:rsidRPr="00CC6F7E">
        <w:rPr>
          <w:rFonts w:eastAsia="Times New Roman" w:cs="Times New Roman"/>
          <w:b/>
          <w:bCs/>
          <w:rtl/>
          <w:lang w:eastAsia="de-DE"/>
        </w:rPr>
        <w:t>גאל</w:t>
      </w:r>
      <w:r w:rsidRPr="00CC6F7E">
        <w:rPr>
          <w:rFonts w:eastAsia="Times New Roman" w:cs="Times New Roman"/>
          <w:lang w:eastAsia="de-DE"/>
        </w:rPr>
        <w:t xml:space="preserve">. </w:t>
      </w:r>
      <w:r w:rsidRPr="00CC6F7E">
        <w:rPr>
          <w:rFonts w:eastAsia="Times New Roman" w:cs="Times New Roman"/>
          <w:b/>
          <w:bCs/>
          <w:rtl/>
          <w:lang w:eastAsia="de-DE"/>
        </w:rPr>
        <w:t>ואיש כי לא יהיה־לו גאל</w:t>
      </w:r>
      <w:r w:rsidRPr="00CC6F7E">
        <w:rPr>
          <w:rFonts w:eastAsia="Times New Roman" w:cs="Times New Roman"/>
          <w:rtl/>
          <w:lang w:eastAsia="de-DE"/>
        </w:rPr>
        <w:t xml:space="preserve"> </w:t>
      </w:r>
      <w:r w:rsidRPr="00CC6F7E">
        <w:rPr>
          <w:rFonts w:eastAsia="Times New Roman" w:cs="Times New Roman"/>
          <w:lang w:eastAsia="de-DE"/>
        </w:rPr>
        <w:t xml:space="preserve">(und wenn ein Mann keinen Löser hat) - </w:t>
      </w:r>
      <w:r w:rsidRPr="00CC6F7E">
        <w:rPr>
          <w:rFonts w:eastAsia="Times New Roman" w:cs="Times New Roman"/>
          <w:b/>
          <w:bCs/>
          <w:rtl/>
          <w:lang w:eastAsia="de-DE"/>
        </w:rPr>
        <w:t>איש</w:t>
      </w:r>
      <w:r w:rsidRPr="00CC6F7E">
        <w:rPr>
          <w:rFonts w:eastAsia="Times New Roman" w:cs="Times New Roman"/>
          <w:rtl/>
          <w:lang w:eastAsia="de-DE"/>
        </w:rPr>
        <w:t xml:space="preserve"> </w:t>
      </w:r>
      <w:r w:rsidRPr="00CC6F7E">
        <w:rPr>
          <w:rFonts w:eastAsia="Times New Roman" w:cs="Times New Roman"/>
          <w:lang w:eastAsia="de-DE"/>
        </w:rPr>
        <w:t xml:space="preserve">zeigt den Verkäufer. </w:t>
      </w:r>
      <w:r w:rsidRPr="00CC6F7E">
        <w:rPr>
          <w:rFonts w:eastAsia="Times New Roman" w:cs="Times New Roman"/>
          <w:b/>
          <w:bCs/>
          <w:rtl/>
          <w:lang w:eastAsia="de-DE"/>
        </w:rPr>
        <w:t>כי לא יהיה־לו גאל</w:t>
      </w:r>
      <w:r w:rsidRPr="00CC6F7E">
        <w:rPr>
          <w:rFonts w:eastAsia="Times New Roman" w:cs="Times New Roman"/>
          <w:rtl/>
          <w:lang w:eastAsia="de-DE"/>
        </w:rPr>
        <w:t xml:space="preserve"> </w:t>
      </w:r>
      <w:r w:rsidRPr="00CC6F7E">
        <w:rPr>
          <w:rFonts w:eastAsia="Times New Roman" w:cs="Times New Roman"/>
          <w:lang w:eastAsia="de-DE"/>
        </w:rPr>
        <w:t xml:space="preserve">(wenn kein Löser für ihn da ist) zeigt Fehlen verwandtschaftlicher </w:t>
      </w:r>
      <w:r w:rsidRPr="00CC6F7E">
        <w:rPr>
          <w:rFonts w:eastAsia="Times New Roman" w:cs="Times New Roman"/>
          <w:b/>
          <w:bCs/>
          <w:rtl/>
          <w:lang w:eastAsia="de-DE"/>
        </w:rPr>
        <w:t>גאל</w:t>
      </w:r>
      <w:r w:rsidRPr="00CC6F7E">
        <w:rPr>
          <w:rFonts w:eastAsia="Times New Roman" w:cs="Times New Roman"/>
          <w:lang w:eastAsia="de-DE"/>
        </w:rPr>
        <w:t>-Hilfe.</w:t>
      </w:r>
    </w:p>
    <w:p w14:paraId="24BB878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והשיגה ידו ומצא כדי גאלתו</w:t>
      </w:r>
      <w:r w:rsidRPr="00CC6F7E">
        <w:rPr>
          <w:rFonts w:eastAsia="Times New Roman" w:cs="Times New Roman"/>
          <w:rtl/>
          <w:lang w:eastAsia="de-DE"/>
        </w:rPr>
        <w:t xml:space="preserve"> </w:t>
      </w:r>
      <w:r w:rsidRPr="00CC6F7E">
        <w:rPr>
          <w:rFonts w:eastAsia="Times New Roman" w:cs="Times New Roman"/>
          <w:lang w:eastAsia="de-DE"/>
        </w:rPr>
        <w:t xml:space="preserve">(aber es seine Hand aufbringt und er findet genug zu seiner Einlösung) - </w:t>
      </w:r>
      <w:r w:rsidRPr="00CC6F7E">
        <w:rPr>
          <w:rFonts w:eastAsia="Times New Roman" w:cs="Times New Roman"/>
          <w:b/>
          <w:bCs/>
          <w:rtl/>
          <w:lang w:eastAsia="de-DE"/>
        </w:rPr>
        <w:t>והשיגה ידו</w:t>
      </w:r>
      <w:r w:rsidRPr="00CC6F7E">
        <w:rPr>
          <w:rFonts w:eastAsia="Times New Roman" w:cs="Times New Roman"/>
          <w:rtl/>
          <w:lang w:eastAsia="de-DE"/>
        </w:rPr>
        <w:t xml:space="preserve"> </w:t>
      </w:r>
      <w:r w:rsidRPr="00CC6F7E">
        <w:rPr>
          <w:rFonts w:eastAsia="Times New Roman" w:cs="Times New Roman"/>
          <w:lang w:eastAsia="de-DE"/>
        </w:rPr>
        <w:t xml:space="preserve">(und seine Hand erreicht/bringt auf) - </w:t>
      </w:r>
      <w:r w:rsidRPr="00CC6F7E">
        <w:rPr>
          <w:rFonts w:eastAsia="Times New Roman" w:cs="Times New Roman"/>
          <w:b/>
          <w:bCs/>
          <w:rtl/>
          <w:lang w:eastAsia="de-DE"/>
        </w:rPr>
        <w:t>השיגה ידו</w:t>
      </w:r>
      <w:r w:rsidRPr="00CC6F7E">
        <w:rPr>
          <w:rFonts w:eastAsia="Times New Roman" w:cs="Times New Roman"/>
          <w:rtl/>
          <w:lang w:eastAsia="de-DE"/>
        </w:rPr>
        <w:t xml:space="preserve"> </w:t>
      </w:r>
      <w:r w:rsidRPr="00CC6F7E">
        <w:rPr>
          <w:rFonts w:eastAsia="Times New Roman" w:cs="Times New Roman"/>
          <w:lang w:eastAsia="de-DE"/>
        </w:rPr>
        <w:t xml:space="preserve">als idiomatische Wendung für wirtschaftliche Erholung. </w:t>
      </w:r>
      <w:r w:rsidRPr="00CC6F7E">
        <w:rPr>
          <w:rFonts w:eastAsia="Times New Roman" w:cs="Times New Roman"/>
          <w:b/>
          <w:bCs/>
          <w:rtl/>
          <w:lang w:eastAsia="de-DE"/>
        </w:rPr>
        <w:t>ומצא כדי גאלתו</w:t>
      </w:r>
      <w:r w:rsidRPr="00CC6F7E">
        <w:rPr>
          <w:rFonts w:eastAsia="Times New Roman" w:cs="Times New Roman"/>
          <w:rtl/>
          <w:lang w:eastAsia="de-DE"/>
        </w:rPr>
        <w:t xml:space="preserve"> </w:t>
      </w:r>
      <w:r w:rsidRPr="00CC6F7E">
        <w:rPr>
          <w:rFonts w:eastAsia="Times New Roman" w:cs="Times New Roman"/>
          <w:lang w:eastAsia="de-DE"/>
        </w:rPr>
        <w:t xml:space="preserve">(und er findet genug zu seiner Einlösung) - </w:t>
      </w:r>
      <w:r w:rsidRPr="00CC6F7E">
        <w:rPr>
          <w:rFonts w:eastAsia="Times New Roman" w:cs="Times New Roman"/>
          <w:b/>
          <w:bCs/>
          <w:rtl/>
          <w:lang w:eastAsia="de-DE"/>
        </w:rPr>
        <w:t>מצא</w:t>
      </w:r>
      <w:r w:rsidRPr="00CC6F7E">
        <w:rPr>
          <w:rFonts w:eastAsia="Times New Roman" w:cs="Times New Roman"/>
          <w:rtl/>
          <w:lang w:eastAsia="de-DE"/>
        </w:rPr>
        <w:t xml:space="preserve"> </w:t>
      </w:r>
      <w:r w:rsidRPr="00CC6F7E">
        <w:rPr>
          <w:rFonts w:eastAsia="Times New Roman" w:cs="Times New Roman"/>
          <w:lang w:eastAsia="de-DE"/>
        </w:rPr>
        <w:t xml:space="preserve">(findet) im Qal-Perfekt. </w:t>
      </w:r>
      <w:r w:rsidRPr="00CC6F7E">
        <w:rPr>
          <w:rFonts w:eastAsia="Times New Roman" w:cs="Times New Roman"/>
          <w:b/>
          <w:bCs/>
          <w:rtl/>
          <w:lang w:eastAsia="de-DE"/>
        </w:rPr>
        <w:t>כדי גאלתו</w:t>
      </w:r>
      <w:r w:rsidRPr="00CC6F7E">
        <w:rPr>
          <w:rFonts w:eastAsia="Times New Roman" w:cs="Times New Roman"/>
          <w:rtl/>
          <w:lang w:eastAsia="de-DE"/>
        </w:rPr>
        <w:t xml:space="preserve"> </w:t>
      </w:r>
      <w:r w:rsidRPr="00CC6F7E">
        <w:rPr>
          <w:rFonts w:eastAsia="Times New Roman" w:cs="Times New Roman"/>
          <w:lang w:eastAsia="de-DE"/>
        </w:rPr>
        <w:t xml:space="preserve">(genug zu seiner Einlösung) - </w:t>
      </w:r>
      <w:r w:rsidRPr="00CC6F7E">
        <w:rPr>
          <w:rFonts w:eastAsia="Times New Roman" w:cs="Times New Roman"/>
          <w:b/>
          <w:bCs/>
          <w:rtl/>
          <w:lang w:eastAsia="de-DE"/>
        </w:rPr>
        <w:t>כדי</w:t>
      </w:r>
      <w:r w:rsidRPr="00CC6F7E">
        <w:rPr>
          <w:rFonts w:eastAsia="Times New Roman" w:cs="Times New Roman"/>
          <w:rtl/>
          <w:lang w:eastAsia="de-DE"/>
        </w:rPr>
        <w:t xml:space="preserve"> </w:t>
      </w:r>
      <w:r w:rsidRPr="00CC6F7E">
        <w:rPr>
          <w:rFonts w:eastAsia="Times New Roman" w:cs="Times New Roman"/>
          <w:lang w:eastAsia="de-DE"/>
        </w:rPr>
        <w:t>(genug für) zeigt ausreichende Mittel.</w:t>
      </w:r>
    </w:p>
    <w:p w14:paraId="494BAA5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יהיה־לו גאל</w:t>
      </w:r>
      <w:r w:rsidRPr="00CC6F7E">
        <w:rPr>
          <w:rFonts w:eastAsia="Times New Roman" w:cs="Times New Roman"/>
          <w:rtl/>
          <w:lang w:eastAsia="de-DE"/>
        </w:rPr>
        <w:t xml:space="preserve"> </w:t>
      </w:r>
      <w:r w:rsidRPr="00CC6F7E">
        <w:rPr>
          <w:rFonts w:eastAsia="Times New Roman" w:cs="Times New Roman"/>
          <w:lang w:eastAsia="de-DE"/>
        </w:rPr>
        <w:t xml:space="preserve">zeigt Isolation ohne verwandtschaftliche Hilfe. </w:t>
      </w:r>
      <w:r w:rsidRPr="00CC6F7E">
        <w:rPr>
          <w:rFonts w:eastAsia="Times New Roman" w:cs="Times New Roman"/>
          <w:b/>
          <w:bCs/>
          <w:rtl/>
          <w:lang w:eastAsia="de-DE"/>
        </w:rPr>
        <w:t>השיגה ידו</w:t>
      </w:r>
      <w:r w:rsidRPr="00CC6F7E">
        <w:rPr>
          <w:rFonts w:eastAsia="Times New Roman" w:cs="Times New Roman"/>
          <w:rtl/>
          <w:lang w:eastAsia="de-DE"/>
        </w:rPr>
        <w:t xml:space="preserve"> </w:t>
      </w:r>
      <w:r w:rsidRPr="00CC6F7E">
        <w:rPr>
          <w:rFonts w:eastAsia="Times New Roman" w:cs="Times New Roman"/>
          <w:lang w:eastAsia="de-DE"/>
        </w:rPr>
        <w:t xml:space="preserve">zeigt wirtschaftliche Erholung. </w:t>
      </w:r>
      <w:r w:rsidRPr="00CC6F7E">
        <w:rPr>
          <w:rFonts w:eastAsia="Times New Roman" w:cs="Times New Roman"/>
          <w:b/>
          <w:bCs/>
          <w:rtl/>
          <w:lang w:eastAsia="de-DE"/>
        </w:rPr>
        <w:t>כדי גאלתו</w:t>
      </w:r>
      <w:r w:rsidRPr="00CC6F7E">
        <w:rPr>
          <w:rFonts w:eastAsia="Times New Roman" w:cs="Times New Roman"/>
          <w:rtl/>
          <w:lang w:eastAsia="de-DE"/>
        </w:rPr>
        <w:t xml:space="preserve"> </w:t>
      </w:r>
      <w:r w:rsidRPr="00CC6F7E">
        <w:rPr>
          <w:rFonts w:eastAsia="Times New Roman" w:cs="Times New Roman"/>
          <w:lang w:eastAsia="de-DE"/>
        </w:rPr>
        <w:t>zeigt Selbsteinlösungsfähigkeit.</w:t>
      </w:r>
    </w:p>
    <w:p w14:paraId="76D303C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לא יהיה־לו גאל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ᾖ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ἀγχιστεύς</w:t>
      </w:r>
      <w:proofErr w:type="spellEnd"/>
      <w:r w:rsidRPr="00CC6F7E">
        <w:rPr>
          <w:rFonts w:eastAsia="Times New Roman" w:cs="Times New Roman"/>
          <w:lang w:eastAsia="de-DE"/>
        </w:rPr>
        <w:t xml:space="preserve"> (nicht sei ihm ein Verwandter), </w:t>
      </w:r>
      <w:r w:rsidRPr="00CC6F7E">
        <w:rPr>
          <w:rFonts w:eastAsia="Times New Roman" w:cs="Times New Roman"/>
          <w:b/>
          <w:bCs/>
          <w:rtl/>
          <w:lang w:eastAsia="de-DE"/>
        </w:rPr>
        <w:t>והשיגה ידו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εὐ</w:t>
      </w:r>
      <w:proofErr w:type="spellEnd"/>
      <w:r w:rsidRPr="00CC6F7E">
        <w:rPr>
          <w:rFonts w:eastAsia="Times New Roman" w:cs="Times New Roman"/>
          <w:lang w:eastAsia="de-DE"/>
        </w:rPr>
        <w:t xml:space="preserve">πορηθῇ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χειρί</w:t>
      </w:r>
      <w:proofErr w:type="spellEnd"/>
      <w:r w:rsidRPr="00CC6F7E">
        <w:rPr>
          <w:rFonts w:eastAsia="Times New Roman" w:cs="Times New Roman"/>
          <w:lang w:eastAsia="de-DE"/>
        </w:rPr>
        <w:t xml:space="preserve"> (wohlhabend wird mit der Hand) und </w:t>
      </w:r>
      <w:r w:rsidRPr="00CC6F7E">
        <w:rPr>
          <w:rFonts w:eastAsia="Times New Roman" w:cs="Times New Roman"/>
          <w:b/>
          <w:bCs/>
          <w:rtl/>
          <w:lang w:eastAsia="de-DE"/>
        </w:rPr>
        <w:t>כד</w:t>
      </w:r>
      <w:r w:rsidRPr="00CC6F7E">
        <w:rPr>
          <w:rFonts w:eastAsia="Times New Roman" w:cs="Times New Roman"/>
          <w:b/>
          <w:bCs/>
          <w:lang w:eastAsia="de-DE"/>
        </w:rPr>
        <w:t xml:space="preserve">ei </w:t>
      </w:r>
      <w:r w:rsidRPr="00CC6F7E">
        <w:rPr>
          <w:rFonts w:eastAsia="Times New Roman" w:cs="Times New Roman"/>
          <w:b/>
          <w:bCs/>
          <w:rtl/>
          <w:lang w:eastAsia="de-DE"/>
        </w:rPr>
        <w:t>גאלתו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ἱκ</w:t>
      </w:r>
      <w:proofErr w:type="spellEnd"/>
      <w:r w:rsidRPr="00CC6F7E">
        <w:rPr>
          <w:rFonts w:eastAsia="Times New Roman" w:cs="Times New Roman"/>
          <w:lang w:eastAsia="de-DE"/>
        </w:rPr>
        <w:t xml:space="preserve">ανὰ </w:t>
      </w:r>
      <w:proofErr w:type="spellStart"/>
      <w:r w:rsidRPr="00CC6F7E">
        <w:rPr>
          <w:rFonts w:eastAsia="Times New Roman" w:cs="Times New Roman"/>
          <w:lang w:eastAsia="de-DE"/>
        </w:rPr>
        <w:t>λυτρώσεως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(das Genügende seiner Lösung).</w:t>
      </w:r>
    </w:p>
    <w:p w14:paraId="1844D54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Selbst-</w:t>
      </w:r>
      <w:r w:rsidRPr="00CC6F7E">
        <w:rPr>
          <w:rFonts w:eastAsia="Times New Roman" w:cs="Times New Roman"/>
          <w:b/>
          <w:bCs/>
          <w:rtl/>
          <w:lang w:eastAsia="de-DE"/>
        </w:rPr>
        <w:t>גאלה</w:t>
      </w:r>
      <w:r w:rsidRPr="00CC6F7E">
        <w:rPr>
          <w:rFonts w:eastAsia="Times New Roman" w:cs="Times New Roman"/>
          <w:lang w:eastAsia="de-DE"/>
        </w:rPr>
        <w:t>: kein Löser vorhanden + Hand bringt auf + genug für Einlösung gefunden.</w:t>
      </w:r>
    </w:p>
    <w:p w14:paraId="23B661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Dieser Vers zeigt die Alternative zur Verwandten-</w:t>
      </w:r>
      <w:r w:rsidRPr="00CC6F7E">
        <w:rPr>
          <w:rFonts w:eastAsia="Times New Roman" w:cs="Times New Roman"/>
          <w:b/>
          <w:bCs/>
          <w:rtl/>
          <w:lang w:eastAsia="de-DE"/>
        </w:rPr>
        <w:t>גאלה</w:t>
      </w:r>
      <w:r w:rsidRPr="00CC6F7E">
        <w:rPr>
          <w:rFonts w:eastAsia="Times New Roman" w:cs="Times New Roman"/>
          <w:lang w:eastAsia="de-DE"/>
        </w:rPr>
        <w:t>: Selbsteinlösung bei wirtschaftlicher Erholung.</w:t>
      </w:r>
    </w:p>
    <w:p w14:paraId="26D2D5F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25,27</w:t>
      </w:r>
    </w:p>
    <w:p w14:paraId="0167D6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וְחִשַּׁב֙ אֶת־שְׁנֵ֣י מִמְכָּרוֹ֔ וְהֵשִׁיב֙ אֶת־הָ֣עֹדֵ֔ף לָאִ֖ישׁ אֲשֶׁ֣ר מָֽכַר־לוֹ֑ וְשָׁ֖ב לַאֲחֻזָּתוֹ֔</w:t>
      </w:r>
    </w:p>
    <w:p w14:paraId="079232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soll er die Jahre seines Verkaufs berechnen und das Übrige dem Mann zurückerstatten, dem er es verkauft hat, und zurückkehren zu seinem Besitztum.</w:t>
      </w:r>
    </w:p>
    <w:p w14:paraId="0EB9AA3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F6A9456">
          <v:rect id="_x0000_i1775" style="width:0;height:1.5pt" o:hralign="center" o:hrstd="t" o:hr="t" fillcolor="#a0a0a0" stroked="f"/>
        </w:pict>
      </w:r>
    </w:p>
    <w:p w14:paraId="03C3AA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וחשב את־שני ממכרו והשיב את־העדף לאיש אשר מכר־לו ושב לאחזתו</w:t>
      </w:r>
      <w:r w:rsidRPr="00CC6F7E">
        <w:rPr>
          <w:rFonts w:eastAsia="Times New Roman" w:cs="Times New Roman"/>
          <w:rtl/>
          <w:lang w:eastAsia="de-DE"/>
        </w:rPr>
        <w:t xml:space="preserve"> </w:t>
      </w:r>
      <w:r w:rsidRPr="00CC6F7E">
        <w:rPr>
          <w:rFonts w:eastAsia="Times New Roman" w:cs="Times New Roman"/>
          <w:lang w:eastAsia="de-DE"/>
        </w:rPr>
        <w:t xml:space="preserve">zeigt das Berechnungsverfahren der Selbsteinlösung. </w:t>
      </w:r>
      <w:r w:rsidRPr="00CC6F7E">
        <w:rPr>
          <w:rFonts w:eastAsia="Times New Roman" w:cs="Times New Roman"/>
          <w:b/>
          <w:bCs/>
          <w:rtl/>
          <w:lang w:eastAsia="de-DE"/>
        </w:rPr>
        <w:t>וחשב את־שני ממכרו</w:t>
      </w:r>
      <w:r w:rsidRPr="00CC6F7E">
        <w:rPr>
          <w:rFonts w:eastAsia="Times New Roman" w:cs="Times New Roman"/>
          <w:rtl/>
          <w:lang w:eastAsia="de-DE"/>
        </w:rPr>
        <w:t xml:space="preserve"> </w:t>
      </w:r>
      <w:r w:rsidRPr="00CC6F7E">
        <w:rPr>
          <w:rFonts w:eastAsia="Times New Roman" w:cs="Times New Roman"/>
          <w:lang w:eastAsia="de-DE"/>
        </w:rPr>
        <w:t xml:space="preserve">(so soll er die Jahre seines Verkaufs berechnen) - </w:t>
      </w:r>
      <w:r w:rsidRPr="00CC6F7E">
        <w:rPr>
          <w:rFonts w:eastAsia="Times New Roman" w:cs="Times New Roman"/>
          <w:b/>
          <w:bCs/>
          <w:rtl/>
          <w:lang w:eastAsia="de-DE"/>
        </w:rPr>
        <w:t>וחשב</w:t>
      </w:r>
      <w:r w:rsidRPr="00CC6F7E">
        <w:rPr>
          <w:rFonts w:eastAsia="Times New Roman" w:cs="Times New Roman"/>
          <w:rtl/>
          <w:lang w:eastAsia="de-DE"/>
        </w:rPr>
        <w:t xml:space="preserve"> </w:t>
      </w:r>
      <w:r w:rsidRPr="00CC6F7E">
        <w:rPr>
          <w:rFonts w:eastAsia="Times New Roman" w:cs="Times New Roman"/>
          <w:lang w:eastAsia="de-DE"/>
        </w:rPr>
        <w:t xml:space="preserve">(und er soll berechnen) im Piel-Perfekt mit Waw-Konsekutiv, das Piel zeigt genaue Berechnung. </w:t>
      </w:r>
      <w:r w:rsidRPr="00CC6F7E">
        <w:rPr>
          <w:rFonts w:eastAsia="Times New Roman" w:cs="Times New Roman"/>
          <w:b/>
          <w:bCs/>
          <w:rtl/>
          <w:lang w:eastAsia="de-DE"/>
        </w:rPr>
        <w:t>את־שני ממכרו</w:t>
      </w:r>
      <w:r w:rsidRPr="00CC6F7E">
        <w:rPr>
          <w:rFonts w:eastAsia="Times New Roman" w:cs="Times New Roman"/>
          <w:rtl/>
          <w:lang w:eastAsia="de-DE"/>
        </w:rPr>
        <w:t xml:space="preserve"> </w:t>
      </w:r>
      <w:r w:rsidRPr="00CC6F7E">
        <w:rPr>
          <w:rFonts w:eastAsia="Times New Roman" w:cs="Times New Roman"/>
          <w:lang w:eastAsia="de-DE"/>
        </w:rPr>
        <w:t xml:space="preserve">(die Jahre seines Verkaufs) - </w:t>
      </w:r>
      <w:r w:rsidRPr="00CC6F7E">
        <w:rPr>
          <w:rFonts w:eastAsia="Times New Roman" w:cs="Times New Roman"/>
          <w:b/>
          <w:bCs/>
          <w:rtl/>
          <w:lang w:eastAsia="de-DE"/>
        </w:rPr>
        <w:t>שני</w:t>
      </w:r>
      <w:r w:rsidRPr="00CC6F7E">
        <w:rPr>
          <w:rFonts w:eastAsia="Times New Roman" w:cs="Times New Roman"/>
          <w:rtl/>
          <w:lang w:eastAsia="de-DE"/>
        </w:rPr>
        <w:t xml:space="preserve"> </w:t>
      </w:r>
      <w:r w:rsidRPr="00CC6F7E">
        <w:rPr>
          <w:rFonts w:eastAsia="Times New Roman" w:cs="Times New Roman"/>
          <w:lang w:eastAsia="de-DE"/>
        </w:rPr>
        <w:t xml:space="preserve">(Jahre) zeigt Zeitberechnung. </w:t>
      </w:r>
      <w:r w:rsidRPr="00CC6F7E">
        <w:rPr>
          <w:rFonts w:eastAsia="Times New Roman" w:cs="Times New Roman"/>
          <w:b/>
          <w:bCs/>
          <w:rtl/>
          <w:lang w:eastAsia="de-DE"/>
        </w:rPr>
        <w:t>ממכרו</w:t>
      </w:r>
      <w:r w:rsidRPr="00CC6F7E">
        <w:rPr>
          <w:rFonts w:eastAsia="Times New Roman" w:cs="Times New Roman"/>
          <w:rtl/>
          <w:lang w:eastAsia="de-DE"/>
        </w:rPr>
        <w:t xml:space="preserve"> </w:t>
      </w:r>
      <w:r w:rsidRPr="00CC6F7E">
        <w:rPr>
          <w:rFonts w:eastAsia="Times New Roman" w:cs="Times New Roman"/>
          <w:lang w:eastAsia="de-DE"/>
        </w:rPr>
        <w:t>(seines Verkaufs) zeigt den ursprünglichen Verkauf.</w:t>
      </w:r>
    </w:p>
    <w:p w14:paraId="046B20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והשיב את־העדף לאיש אשר מכר־לו</w:t>
      </w:r>
      <w:r w:rsidRPr="00CC6F7E">
        <w:rPr>
          <w:rFonts w:eastAsia="Times New Roman" w:cs="Times New Roman"/>
          <w:rtl/>
          <w:lang w:eastAsia="de-DE"/>
        </w:rPr>
        <w:t xml:space="preserve"> </w:t>
      </w:r>
      <w:r w:rsidRPr="00CC6F7E">
        <w:rPr>
          <w:rFonts w:eastAsia="Times New Roman" w:cs="Times New Roman"/>
          <w:lang w:eastAsia="de-DE"/>
        </w:rPr>
        <w:t xml:space="preserve">(und das Übrige dem Mann zurückerstatten, dem er es verkauft hat) - </w:t>
      </w:r>
      <w:r w:rsidRPr="00CC6F7E">
        <w:rPr>
          <w:rFonts w:eastAsia="Times New Roman" w:cs="Times New Roman"/>
          <w:b/>
          <w:bCs/>
          <w:rtl/>
          <w:lang w:eastAsia="de-DE"/>
        </w:rPr>
        <w:t>והשיב את־העדף</w:t>
      </w:r>
      <w:r w:rsidRPr="00CC6F7E">
        <w:rPr>
          <w:rFonts w:eastAsia="Times New Roman" w:cs="Times New Roman"/>
          <w:rtl/>
          <w:lang w:eastAsia="de-DE"/>
        </w:rPr>
        <w:t xml:space="preserve"> </w:t>
      </w:r>
      <w:r w:rsidRPr="00CC6F7E">
        <w:rPr>
          <w:rFonts w:eastAsia="Times New Roman" w:cs="Times New Roman"/>
          <w:lang w:eastAsia="de-DE"/>
        </w:rPr>
        <w:t xml:space="preserve">(und er soll das Übrige zurückerstatten) - </w:t>
      </w:r>
      <w:r w:rsidRPr="00CC6F7E">
        <w:rPr>
          <w:rFonts w:eastAsia="Times New Roman" w:cs="Times New Roman"/>
          <w:b/>
          <w:bCs/>
          <w:rtl/>
          <w:lang w:eastAsia="de-DE"/>
        </w:rPr>
        <w:t>השיב</w:t>
      </w:r>
      <w:r w:rsidRPr="00CC6F7E">
        <w:rPr>
          <w:rFonts w:eastAsia="Times New Roman" w:cs="Times New Roman"/>
          <w:rtl/>
          <w:lang w:eastAsia="de-DE"/>
        </w:rPr>
        <w:t xml:space="preserve"> </w:t>
      </w:r>
      <w:r w:rsidRPr="00CC6F7E">
        <w:rPr>
          <w:rFonts w:eastAsia="Times New Roman" w:cs="Times New Roman"/>
          <w:lang w:eastAsia="de-DE"/>
        </w:rPr>
        <w:t xml:space="preserve">(zurückerstatten) im Hifil-Perfekt, das Hifil zeigt kausatives Zurückgeben. </w:t>
      </w:r>
      <w:r w:rsidRPr="00CC6F7E">
        <w:rPr>
          <w:rFonts w:eastAsia="Times New Roman" w:cs="Times New Roman"/>
          <w:b/>
          <w:bCs/>
          <w:rtl/>
          <w:lang w:eastAsia="de-DE"/>
        </w:rPr>
        <w:t>העדף</w:t>
      </w:r>
      <w:r w:rsidRPr="00CC6F7E">
        <w:rPr>
          <w:rFonts w:eastAsia="Times New Roman" w:cs="Times New Roman"/>
          <w:rtl/>
          <w:lang w:eastAsia="de-DE"/>
        </w:rPr>
        <w:t xml:space="preserve"> </w:t>
      </w:r>
      <w:r w:rsidRPr="00CC6F7E">
        <w:rPr>
          <w:rFonts w:eastAsia="Times New Roman" w:cs="Times New Roman"/>
          <w:lang w:eastAsia="de-DE"/>
        </w:rPr>
        <w:t xml:space="preserve">(das Übrige/der Überschuss) zeigt den zu erstattenden Betrag. </w:t>
      </w:r>
      <w:r w:rsidRPr="00CC6F7E">
        <w:rPr>
          <w:rFonts w:eastAsia="Times New Roman" w:cs="Times New Roman"/>
          <w:b/>
          <w:bCs/>
          <w:rtl/>
          <w:lang w:eastAsia="de-DE"/>
        </w:rPr>
        <w:t>לאיש אשר מכר־לו</w:t>
      </w:r>
      <w:r w:rsidRPr="00CC6F7E">
        <w:rPr>
          <w:rFonts w:eastAsia="Times New Roman" w:cs="Times New Roman"/>
          <w:rtl/>
          <w:lang w:eastAsia="de-DE"/>
        </w:rPr>
        <w:t xml:space="preserve"> </w:t>
      </w:r>
      <w:r w:rsidRPr="00CC6F7E">
        <w:rPr>
          <w:rFonts w:eastAsia="Times New Roman" w:cs="Times New Roman"/>
          <w:lang w:eastAsia="de-DE"/>
        </w:rPr>
        <w:t>(dem Mann, dem er verkauft hat) zeigt den ursprünglichen Käufer.</w:t>
      </w:r>
    </w:p>
    <w:p w14:paraId="1CD993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ושב לאחזתו</w:t>
      </w:r>
      <w:r w:rsidRPr="00CC6F7E">
        <w:rPr>
          <w:rFonts w:eastAsia="Times New Roman" w:cs="Times New Roman"/>
          <w:rtl/>
          <w:lang w:eastAsia="de-DE"/>
        </w:rPr>
        <w:t xml:space="preserve"> </w:t>
      </w:r>
      <w:r w:rsidRPr="00CC6F7E">
        <w:rPr>
          <w:rFonts w:eastAsia="Times New Roman" w:cs="Times New Roman"/>
          <w:lang w:eastAsia="de-DE"/>
        </w:rPr>
        <w:t>(und zurückkehren zu seinem Besitztum) zeigt das Ziel: Wiedererlangung des Erblandes.</w:t>
      </w:r>
    </w:p>
    <w:p w14:paraId="61EA143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וחשב את־שני ממכרו</w:t>
      </w:r>
      <w:r w:rsidRPr="00CC6F7E">
        <w:rPr>
          <w:rFonts w:eastAsia="Times New Roman" w:cs="Times New Roman"/>
          <w:rtl/>
          <w:lang w:eastAsia="de-DE"/>
        </w:rPr>
        <w:t xml:space="preserve"> </w:t>
      </w:r>
      <w:r w:rsidRPr="00CC6F7E">
        <w:rPr>
          <w:rFonts w:eastAsia="Times New Roman" w:cs="Times New Roman"/>
          <w:lang w:eastAsia="de-DE"/>
        </w:rPr>
        <w:t xml:space="preserve">zeigt Zeitberechnung entsprechend V. 15-16. </w:t>
      </w:r>
      <w:r w:rsidRPr="00CC6F7E">
        <w:rPr>
          <w:rFonts w:eastAsia="Times New Roman" w:cs="Times New Roman"/>
          <w:b/>
          <w:bCs/>
          <w:rtl/>
          <w:lang w:eastAsia="de-DE"/>
        </w:rPr>
        <w:t>את־העדף</w:t>
      </w:r>
      <w:r w:rsidRPr="00CC6F7E">
        <w:rPr>
          <w:rFonts w:eastAsia="Times New Roman" w:cs="Times New Roman"/>
          <w:rtl/>
          <w:lang w:eastAsia="de-DE"/>
        </w:rPr>
        <w:t xml:space="preserve"> </w:t>
      </w:r>
      <w:r w:rsidRPr="00CC6F7E">
        <w:rPr>
          <w:rFonts w:eastAsia="Times New Roman" w:cs="Times New Roman"/>
          <w:lang w:eastAsia="de-DE"/>
        </w:rPr>
        <w:t xml:space="preserve">zeigt proportionalen Rückerstattungsbetrag. </w:t>
      </w:r>
      <w:r w:rsidRPr="00CC6F7E">
        <w:rPr>
          <w:rFonts w:eastAsia="Times New Roman" w:cs="Times New Roman"/>
          <w:b/>
          <w:bCs/>
          <w:rtl/>
          <w:lang w:eastAsia="de-DE"/>
        </w:rPr>
        <w:t>ושב לאחזתו</w:t>
      </w:r>
      <w:r w:rsidRPr="00CC6F7E">
        <w:rPr>
          <w:rFonts w:eastAsia="Times New Roman" w:cs="Times New Roman"/>
          <w:rtl/>
          <w:lang w:eastAsia="de-DE"/>
        </w:rPr>
        <w:t xml:space="preserve"> </w:t>
      </w:r>
      <w:r w:rsidRPr="00CC6F7E">
        <w:rPr>
          <w:rFonts w:eastAsia="Times New Roman" w:cs="Times New Roman"/>
          <w:lang w:eastAsia="de-DE"/>
        </w:rPr>
        <w:t xml:space="preserve">zeigt erfolgreiche </w:t>
      </w:r>
      <w:r w:rsidRPr="00CC6F7E">
        <w:rPr>
          <w:rFonts w:eastAsia="Times New Roman" w:cs="Times New Roman"/>
          <w:b/>
          <w:bCs/>
          <w:rtl/>
          <w:lang w:eastAsia="de-DE"/>
        </w:rPr>
        <w:t>אחזה</w:t>
      </w:r>
      <w:r w:rsidRPr="00CC6F7E">
        <w:rPr>
          <w:rFonts w:eastAsia="Times New Roman" w:cs="Times New Roman"/>
          <w:lang w:eastAsia="de-DE"/>
        </w:rPr>
        <w:t>-Restitution.</w:t>
      </w:r>
    </w:p>
    <w:p w14:paraId="6C17AC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וחשב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συλλογιεῖτ</w:t>
      </w:r>
      <w:proofErr w:type="spellEnd"/>
      <w:r w:rsidRPr="00CC6F7E">
        <w:rPr>
          <w:rFonts w:eastAsia="Times New Roman" w:cs="Times New Roman"/>
          <w:lang w:eastAsia="de-DE"/>
        </w:rPr>
        <w:t xml:space="preserve">αι (wird berechnen), </w:t>
      </w:r>
      <w:r w:rsidRPr="00CC6F7E">
        <w:rPr>
          <w:rFonts w:eastAsia="Times New Roman" w:cs="Times New Roman"/>
          <w:b/>
          <w:bCs/>
          <w:rtl/>
          <w:lang w:eastAsia="de-DE"/>
        </w:rPr>
        <w:t>את־שני ממכרו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ράσεως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(die Jahre seines Verkaufs), </w:t>
      </w:r>
      <w:r w:rsidRPr="00CC6F7E">
        <w:rPr>
          <w:rFonts w:eastAsia="Times New Roman" w:cs="Times New Roman"/>
          <w:b/>
          <w:bCs/>
          <w:rtl/>
          <w:lang w:eastAsia="de-DE"/>
        </w:rPr>
        <w:t>העדף</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ερισσόν</w:t>
      </w:r>
      <w:proofErr w:type="spellEnd"/>
      <w:r w:rsidRPr="00CC6F7E">
        <w:rPr>
          <w:rFonts w:eastAsia="Times New Roman" w:cs="Times New Roman"/>
          <w:lang w:eastAsia="de-DE"/>
        </w:rPr>
        <w:t xml:space="preserve"> (Überschuss) und </w:t>
      </w:r>
      <w:r w:rsidRPr="00CC6F7E">
        <w:rPr>
          <w:rFonts w:eastAsia="Times New Roman" w:cs="Times New Roman"/>
          <w:b/>
          <w:bCs/>
          <w:rtl/>
          <w:lang w:eastAsia="de-DE"/>
        </w:rPr>
        <w:t>ושב לאחזתו</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ελεύσετ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κα</w:t>
      </w:r>
      <w:proofErr w:type="spellStart"/>
      <w:r w:rsidRPr="00CC6F7E">
        <w:rPr>
          <w:rFonts w:eastAsia="Times New Roman" w:cs="Times New Roman"/>
          <w:lang w:eastAsia="de-DE"/>
        </w:rPr>
        <w:t>τάσχεσιν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(wird weggehen zu seinem Besitz).</w:t>
      </w:r>
    </w:p>
    <w:p w14:paraId="635043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Selbsteinlösungs-Verfahren: Jahre-Berechnung + Überschuss-Rückerstattung an Käufer + Rückkehr zum Besitztum.</w:t>
      </w:r>
    </w:p>
    <w:p w14:paraId="192CFC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proportionale Berechnung bei Selbsteinlösung: Rückerstattung des Käufers entsprechend den verbleibenden Jahren bis zum Jobel.</w:t>
      </w:r>
    </w:p>
    <w:p w14:paraId="6DD0F9A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25,28</w:t>
      </w:r>
    </w:p>
    <w:p w14:paraId="0505F4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לֹֽא־מָֽצְאָ֜ה יָדֹ֗ו דֵּי֮ הָשִׁ֣יב לוֹ֒ וְהָיָ֣ה מִמְכָּרֹ֗ו בְּיַד֙ הַקֹּנֶ֣ה אֹתוֹ֔ עַ֖ד שְׁנַ֣ת הַיּוֹבֵ֑ל וְיָצָא֙ בַּיֹּבֵ֔ל וְשָׁ֖ב לַאֲחֻזָּתוֹ֔</w:t>
      </w:r>
    </w:p>
    <w:p w14:paraId="507815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seine Hand nicht genug findet, um ihm zurückzuerstatten, so soll das von ihm Verkaufte in der Hand des Käufers bleiben bis zum Jobeljahr; und im Jobeljahr soll es frei ausgehen, und er soll zu seinem Besitztum zurückkehren.</w:t>
      </w:r>
    </w:p>
    <w:p w14:paraId="29EAA3B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6C99E4D">
          <v:rect id="_x0000_i1776" style="width:0;height:1.5pt" o:hralign="center" o:hrstd="t" o:hr="t" fillcolor="#a0a0a0" stroked="f"/>
        </w:pict>
      </w:r>
    </w:p>
    <w:p w14:paraId="299839D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ואם לא־מצאה ידו די השיב לו והיה ממכרו ביד הקנה אתו עד שנת היובל ויצא ביבל ושב לאחזתו</w:t>
      </w:r>
      <w:r w:rsidRPr="00CC6F7E">
        <w:rPr>
          <w:rFonts w:eastAsia="Times New Roman" w:cs="Times New Roman"/>
          <w:rtl/>
          <w:lang w:eastAsia="de-DE"/>
        </w:rPr>
        <w:t xml:space="preserve"> </w:t>
      </w:r>
      <w:r w:rsidRPr="00CC6F7E">
        <w:rPr>
          <w:rFonts w:eastAsia="Times New Roman" w:cs="Times New Roman"/>
          <w:lang w:eastAsia="de-DE"/>
        </w:rPr>
        <w:t xml:space="preserve">zeigt das Jobel als ultimative </w:t>
      </w:r>
      <w:r w:rsidRPr="00CC6F7E">
        <w:rPr>
          <w:rFonts w:eastAsia="Times New Roman" w:cs="Times New Roman"/>
          <w:b/>
          <w:bCs/>
          <w:rtl/>
          <w:lang w:eastAsia="de-DE"/>
        </w:rPr>
        <w:t>גאלה</w:t>
      </w:r>
      <w:r w:rsidRPr="00CC6F7E">
        <w:rPr>
          <w:rFonts w:eastAsia="Times New Roman" w:cs="Times New Roman"/>
          <w:lang w:eastAsia="de-DE"/>
        </w:rPr>
        <w:t xml:space="preserve">-Lösung. </w:t>
      </w:r>
      <w:r w:rsidRPr="00CC6F7E">
        <w:rPr>
          <w:rFonts w:eastAsia="Times New Roman" w:cs="Times New Roman"/>
          <w:b/>
          <w:bCs/>
          <w:rtl/>
          <w:lang w:eastAsia="de-DE"/>
        </w:rPr>
        <w:t>ואם לא־מצאה ידו די השיב לו</w:t>
      </w:r>
      <w:r w:rsidRPr="00CC6F7E">
        <w:rPr>
          <w:rFonts w:eastAsia="Times New Roman" w:cs="Times New Roman"/>
          <w:rtl/>
          <w:lang w:eastAsia="de-DE"/>
        </w:rPr>
        <w:t xml:space="preserve"> </w:t>
      </w:r>
      <w:r w:rsidRPr="00CC6F7E">
        <w:rPr>
          <w:rFonts w:eastAsia="Times New Roman" w:cs="Times New Roman"/>
          <w:lang w:eastAsia="de-DE"/>
        </w:rPr>
        <w:t xml:space="preserve">(und wenn seine Hand nicht genug findet, um ihm zurückzuerstatten) - </w:t>
      </w:r>
      <w:r w:rsidRPr="00CC6F7E">
        <w:rPr>
          <w:rFonts w:eastAsia="Times New Roman" w:cs="Times New Roman"/>
          <w:b/>
          <w:bCs/>
          <w:rtl/>
          <w:lang w:eastAsia="de-DE"/>
        </w:rPr>
        <w:t>לא־מצאה ידו</w:t>
      </w:r>
      <w:r w:rsidRPr="00CC6F7E">
        <w:rPr>
          <w:rFonts w:eastAsia="Times New Roman" w:cs="Times New Roman"/>
          <w:rtl/>
          <w:lang w:eastAsia="de-DE"/>
        </w:rPr>
        <w:t xml:space="preserve"> </w:t>
      </w:r>
      <w:r w:rsidRPr="00CC6F7E">
        <w:rPr>
          <w:rFonts w:eastAsia="Times New Roman" w:cs="Times New Roman"/>
          <w:lang w:eastAsia="de-DE"/>
        </w:rPr>
        <w:t xml:space="preserve">entspricht V. 26 negativ. </w:t>
      </w:r>
      <w:r w:rsidRPr="00CC6F7E">
        <w:rPr>
          <w:rFonts w:eastAsia="Times New Roman" w:cs="Times New Roman"/>
          <w:b/>
          <w:bCs/>
          <w:rtl/>
          <w:lang w:eastAsia="de-DE"/>
        </w:rPr>
        <w:t>די השיב לו</w:t>
      </w:r>
      <w:r w:rsidRPr="00CC6F7E">
        <w:rPr>
          <w:rFonts w:eastAsia="Times New Roman" w:cs="Times New Roman"/>
          <w:rtl/>
          <w:lang w:eastAsia="de-DE"/>
        </w:rPr>
        <w:t xml:space="preserve"> </w:t>
      </w:r>
      <w:r w:rsidRPr="00CC6F7E">
        <w:rPr>
          <w:rFonts w:eastAsia="Times New Roman" w:cs="Times New Roman"/>
          <w:lang w:eastAsia="de-DE"/>
        </w:rPr>
        <w:t>(genug, um ihm zurückzuerstatten) zeigt unzureichende Mittel für Selbsteinlösung.</w:t>
      </w:r>
    </w:p>
    <w:p w14:paraId="4FEFBF1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ממכרו ביד הקנה אתו 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(so soll das von ihm Verkaufte in der Hand des Käufers bleiben bis zum Jobeljahr) - </w:t>
      </w:r>
      <w:r w:rsidRPr="00CC6F7E">
        <w:rPr>
          <w:rFonts w:eastAsia="Times New Roman" w:cs="Times New Roman"/>
          <w:b/>
          <w:bCs/>
          <w:rtl/>
          <w:lang w:eastAsia="de-DE"/>
        </w:rPr>
        <w:t>והיה ממכרו ביד הקנה אתו</w:t>
      </w:r>
      <w:r w:rsidRPr="00CC6F7E">
        <w:rPr>
          <w:rFonts w:eastAsia="Times New Roman" w:cs="Times New Roman"/>
          <w:rtl/>
          <w:lang w:eastAsia="de-DE"/>
        </w:rPr>
        <w:t xml:space="preserve"> </w:t>
      </w:r>
      <w:r w:rsidRPr="00CC6F7E">
        <w:rPr>
          <w:rFonts w:eastAsia="Times New Roman" w:cs="Times New Roman"/>
          <w:lang w:eastAsia="de-DE"/>
        </w:rPr>
        <w:t xml:space="preserve">(und das von ihm Verkaufte soll in der Hand des Käufers sein) zeigt temporären Käuferbesitz. </w:t>
      </w:r>
      <w:r w:rsidRPr="00CC6F7E">
        <w:rPr>
          <w:rFonts w:eastAsia="Times New Roman" w:cs="Times New Roman"/>
          <w:b/>
          <w:bCs/>
          <w:rtl/>
          <w:lang w:eastAsia="de-DE"/>
        </w:rPr>
        <w:t>עד שנת היובל</w:t>
      </w:r>
      <w:r w:rsidRPr="00CC6F7E">
        <w:rPr>
          <w:rFonts w:eastAsia="Times New Roman" w:cs="Times New Roman"/>
          <w:rtl/>
          <w:lang w:eastAsia="de-DE"/>
        </w:rPr>
        <w:t xml:space="preserve"> </w:t>
      </w:r>
      <w:r w:rsidRPr="00CC6F7E">
        <w:rPr>
          <w:rFonts w:eastAsia="Times New Roman" w:cs="Times New Roman"/>
          <w:lang w:eastAsia="de-DE"/>
        </w:rPr>
        <w:t>(bis zum Jobeljahr) zeigt die Zeitgrenze.</w:t>
      </w:r>
    </w:p>
    <w:p w14:paraId="3B82312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ויצא ביבל ושב לאחזתו</w:t>
      </w:r>
      <w:r w:rsidRPr="00CC6F7E">
        <w:rPr>
          <w:rFonts w:eastAsia="Times New Roman" w:cs="Times New Roman"/>
          <w:rtl/>
          <w:lang w:eastAsia="de-DE"/>
        </w:rPr>
        <w:t xml:space="preserve"> </w:t>
      </w:r>
      <w:r w:rsidRPr="00CC6F7E">
        <w:rPr>
          <w:rFonts w:eastAsia="Times New Roman" w:cs="Times New Roman"/>
          <w:lang w:eastAsia="de-DE"/>
        </w:rPr>
        <w:t xml:space="preserve">(und im Jobeljahr soll es frei ausgehen, und er soll zu seinem Besitztum zurückkehren) - </w:t>
      </w:r>
      <w:r w:rsidRPr="00CC6F7E">
        <w:rPr>
          <w:rFonts w:eastAsia="Times New Roman" w:cs="Times New Roman"/>
          <w:b/>
          <w:bCs/>
          <w:rtl/>
          <w:lang w:eastAsia="de-DE"/>
        </w:rPr>
        <w:t>ויצא ביבל</w:t>
      </w:r>
      <w:r w:rsidRPr="00CC6F7E">
        <w:rPr>
          <w:rFonts w:eastAsia="Times New Roman" w:cs="Times New Roman"/>
          <w:rtl/>
          <w:lang w:eastAsia="de-DE"/>
        </w:rPr>
        <w:t xml:space="preserve"> </w:t>
      </w:r>
      <w:r w:rsidRPr="00CC6F7E">
        <w:rPr>
          <w:rFonts w:eastAsia="Times New Roman" w:cs="Times New Roman"/>
          <w:lang w:eastAsia="de-DE"/>
        </w:rPr>
        <w:t xml:space="preserve">(und es soll im Jobel frei ausgehen) - </w:t>
      </w:r>
      <w:r w:rsidRPr="00CC6F7E">
        <w:rPr>
          <w:rFonts w:eastAsia="Times New Roman" w:cs="Times New Roman"/>
          <w:b/>
          <w:bCs/>
          <w:rtl/>
          <w:lang w:eastAsia="de-DE"/>
        </w:rPr>
        <w:t>יצא</w:t>
      </w:r>
      <w:r w:rsidRPr="00CC6F7E">
        <w:rPr>
          <w:rFonts w:eastAsia="Times New Roman" w:cs="Times New Roman"/>
          <w:rtl/>
          <w:lang w:eastAsia="de-DE"/>
        </w:rPr>
        <w:t xml:space="preserve"> </w:t>
      </w:r>
      <w:r w:rsidRPr="00CC6F7E">
        <w:rPr>
          <w:rFonts w:eastAsia="Times New Roman" w:cs="Times New Roman"/>
          <w:lang w:eastAsia="de-DE"/>
        </w:rPr>
        <w:t xml:space="preserve">(soll ausgehen/frei werden) zeigt automatische Befreiung. </w:t>
      </w:r>
      <w:r w:rsidRPr="00CC6F7E">
        <w:rPr>
          <w:rFonts w:eastAsia="Times New Roman" w:cs="Times New Roman"/>
          <w:b/>
          <w:bCs/>
          <w:rtl/>
          <w:lang w:eastAsia="de-DE"/>
        </w:rPr>
        <w:t>ושב לאחזתו</w:t>
      </w:r>
      <w:r w:rsidRPr="00CC6F7E">
        <w:rPr>
          <w:rFonts w:eastAsia="Times New Roman" w:cs="Times New Roman"/>
          <w:rtl/>
          <w:lang w:eastAsia="de-DE"/>
        </w:rPr>
        <w:t xml:space="preserve"> </w:t>
      </w:r>
      <w:r w:rsidRPr="00CC6F7E">
        <w:rPr>
          <w:rFonts w:eastAsia="Times New Roman" w:cs="Times New Roman"/>
          <w:lang w:eastAsia="de-DE"/>
        </w:rPr>
        <w:t>entspricht V. 27.</w:t>
      </w:r>
    </w:p>
    <w:p w14:paraId="0CA4FC5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לא־מצאה ידו די</w:t>
      </w:r>
      <w:r w:rsidRPr="00CC6F7E">
        <w:rPr>
          <w:rFonts w:eastAsia="Times New Roman" w:cs="Times New Roman"/>
          <w:rtl/>
          <w:lang w:eastAsia="de-DE"/>
        </w:rPr>
        <w:t xml:space="preserve"> </w:t>
      </w:r>
      <w:r w:rsidRPr="00CC6F7E">
        <w:rPr>
          <w:rFonts w:eastAsia="Times New Roman" w:cs="Times New Roman"/>
          <w:lang w:eastAsia="de-DE"/>
        </w:rPr>
        <w:t xml:space="preserve">zeigt wirtschaftliche Unfähigkeit zur Selbsteinlösung. </w:t>
      </w:r>
      <w:r w:rsidRPr="00CC6F7E">
        <w:rPr>
          <w:rFonts w:eastAsia="Times New Roman" w:cs="Times New Roman"/>
          <w:b/>
          <w:bCs/>
          <w:rtl/>
          <w:lang w:eastAsia="de-DE"/>
        </w:rPr>
        <w:t>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zeigt Jobel als Deadline. </w:t>
      </w:r>
      <w:r w:rsidRPr="00CC6F7E">
        <w:rPr>
          <w:rFonts w:eastAsia="Times New Roman" w:cs="Times New Roman"/>
          <w:b/>
          <w:bCs/>
          <w:rtl/>
          <w:lang w:eastAsia="de-DE"/>
        </w:rPr>
        <w:t>ויצא ביבל</w:t>
      </w:r>
      <w:r w:rsidRPr="00CC6F7E">
        <w:rPr>
          <w:rFonts w:eastAsia="Times New Roman" w:cs="Times New Roman"/>
          <w:rtl/>
          <w:lang w:eastAsia="de-DE"/>
        </w:rPr>
        <w:t xml:space="preserve"> </w:t>
      </w:r>
      <w:r w:rsidRPr="00CC6F7E">
        <w:rPr>
          <w:rFonts w:eastAsia="Times New Roman" w:cs="Times New Roman"/>
          <w:lang w:eastAsia="de-DE"/>
        </w:rPr>
        <w:t>zeigt automatische Jobel-Restitution.</w:t>
      </w:r>
    </w:p>
    <w:p w14:paraId="307249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לא־מצאה ידו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εὐ</w:t>
      </w:r>
      <w:proofErr w:type="spellEnd"/>
      <w:r w:rsidRPr="00CC6F7E">
        <w:rPr>
          <w:rFonts w:eastAsia="Times New Roman" w:cs="Times New Roman"/>
          <w:lang w:eastAsia="de-DE"/>
        </w:rPr>
        <w:t xml:space="preserve">πορηθῇ ἡ </w:t>
      </w:r>
      <w:proofErr w:type="spellStart"/>
      <w:r w:rsidRPr="00CC6F7E">
        <w:rPr>
          <w:rFonts w:eastAsia="Times New Roman" w:cs="Times New Roman"/>
          <w:lang w:eastAsia="de-DE"/>
        </w:rPr>
        <w:t>χεὶρ</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(nicht wohlhabend wird seine Hand), </w:t>
      </w:r>
      <w:r w:rsidRPr="00CC6F7E">
        <w:rPr>
          <w:rFonts w:eastAsia="Times New Roman" w:cs="Times New Roman"/>
          <w:b/>
          <w:bCs/>
          <w:rtl/>
          <w:lang w:eastAsia="de-DE"/>
        </w:rPr>
        <w:t>הקנה אתו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κεκτημένου</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ὐτό</w:t>
      </w:r>
      <w:proofErr w:type="spellEnd"/>
      <w:r w:rsidRPr="00CC6F7E">
        <w:rPr>
          <w:rFonts w:eastAsia="Times New Roman" w:cs="Times New Roman"/>
          <w:lang w:eastAsia="de-DE"/>
        </w:rPr>
        <w:t xml:space="preserve"> (des Besitzenden es), </w:t>
      </w:r>
      <w:r w:rsidRPr="00CC6F7E">
        <w:rPr>
          <w:rFonts w:eastAsia="Times New Roman" w:cs="Times New Roman"/>
          <w:b/>
          <w:bCs/>
          <w:rtl/>
          <w:lang w:eastAsia="de-DE"/>
        </w:rPr>
        <w:t>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ἕως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αυτοῦ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(bis zum Jahr des Erlasses) und </w:t>
      </w:r>
      <w:r w:rsidRPr="00CC6F7E">
        <w:rPr>
          <w:rFonts w:eastAsia="Times New Roman" w:cs="Times New Roman"/>
          <w:b/>
          <w:bCs/>
          <w:rtl/>
          <w:lang w:eastAsia="de-DE"/>
        </w:rPr>
        <w:t>ויצא ביבל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ἐξελεύσετ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ἀφέσει</w:t>
      </w:r>
      <w:proofErr w:type="spellEnd"/>
      <w:r w:rsidRPr="00CC6F7E">
        <w:rPr>
          <w:rFonts w:eastAsia="Times New Roman" w:cs="Times New Roman"/>
          <w:lang w:eastAsia="de-DE"/>
        </w:rPr>
        <w:t xml:space="preserve"> (wird ausgehen im Erlass).</w:t>
      </w:r>
    </w:p>
    <w:p w14:paraId="2B68C28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w:t>
      </w:r>
      <w:r w:rsidRPr="00CC6F7E">
        <w:rPr>
          <w:rFonts w:eastAsia="Times New Roman" w:cs="Times New Roman"/>
          <w:b/>
          <w:bCs/>
          <w:rtl/>
          <w:lang w:eastAsia="de-DE"/>
        </w:rPr>
        <w:t>גאלה</w:t>
      </w:r>
      <w:r w:rsidRPr="00CC6F7E">
        <w:rPr>
          <w:rFonts w:eastAsia="Times New Roman" w:cs="Times New Roman"/>
          <w:lang w:eastAsia="de-DE"/>
        </w:rPr>
        <w:t>: unzureichende Mittel + Verkauftes beim Käufer bis Jobeljahr + Jobel-Befreiung + Besitztum-Rückkehr.</w:t>
      </w:r>
    </w:p>
    <w:p w14:paraId="6CFB69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 Jobeljahr als ultimative Sicherung: Auch bei gescheiterter Selbst- oder Verwandteneinlösung erfolgt automatische Restitution im 50. Jahr.</w:t>
      </w:r>
    </w:p>
    <w:p w14:paraId="5C46AFD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25,29</w:t>
      </w:r>
    </w:p>
    <w:p w14:paraId="1ED50B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וְאִ֗ישׁ כִּֽי־יִמְכֹּ֤ר בֵּית־מוֹשַׁב֙ עִ֣יר חוֹמָ֔ה וְהָיְתָה֙ גְּאֻלָּתוֹ֔ עַד־תֹּ֖ם שְׁנַ֣ת מִמְכָּרוֹ֑ יָמִ֖ים תִּהְיֶ֥ה גְאֻלָּתוֹ֔</w:t>
      </w:r>
    </w:p>
    <w:p w14:paraId="6E2218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ein Mann ein Wohnhaus in einer Stadt mit Mauer verkauft, so soll sein Lösungsrecht bestehen bis zum Ende des Jahres seines Verkaufs; (diese) Tage soll sein Lösungsrecht bestehen.</w:t>
      </w:r>
    </w:p>
    <w:p w14:paraId="2D1E296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0147A27">
          <v:rect id="_x0000_i1777" style="width:0;height:1.5pt" o:hralign="center" o:hrstd="t" o:hr="t" fillcolor="#a0a0a0" stroked="f"/>
        </w:pict>
      </w:r>
    </w:p>
    <w:p w14:paraId="7927C9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ואיש כי־ימכר בית־מושב עיר חומה והיתה גאלתו עד־תם שנת ממכרו ימים תהיה גאלתו</w:t>
      </w:r>
      <w:r w:rsidRPr="00CC6F7E">
        <w:rPr>
          <w:rFonts w:eastAsia="Times New Roman" w:cs="Times New Roman"/>
          <w:rtl/>
          <w:lang w:eastAsia="de-DE"/>
        </w:rPr>
        <w:t xml:space="preserve"> </w:t>
      </w:r>
      <w:r w:rsidRPr="00CC6F7E">
        <w:rPr>
          <w:rFonts w:eastAsia="Times New Roman" w:cs="Times New Roman"/>
          <w:lang w:eastAsia="de-DE"/>
        </w:rPr>
        <w:t xml:space="preserve">führt Sonderregeln für städtische Immobilien ein. </w:t>
      </w:r>
      <w:r w:rsidRPr="00CC6F7E">
        <w:rPr>
          <w:rFonts w:eastAsia="Times New Roman" w:cs="Times New Roman"/>
          <w:b/>
          <w:bCs/>
          <w:rtl/>
          <w:lang w:eastAsia="de-DE"/>
        </w:rPr>
        <w:t>ואיש כי־ימכר בית־מושב עיר חומה</w:t>
      </w:r>
      <w:r w:rsidRPr="00CC6F7E">
        <w:rPr>
          <w:rFonts w:eastAsia="Times New Roman" w:cs="Times New Roman"/>
          <w:rtl/>
          <w:lang w:eastAsia="de-DE"/>
        </w:rPr>
        <w:t xml:space="preserve"> </w:t>
      </w:r>
      <w:r w:rsidRPr="00CC6F7E">
        <w:rPr>
          <w:rFonts w:eastAsia="Times New Roman" w:cs="Times New Roman"/>
          <w:lang w:eastAsia="de-DE"/>
        </w:rPr>
        <w:t xml:space="preserve">(und wenn ein Mann ein Wohnhaus in einer Stadt mit Mauer verkauft) - </w:t>
      </w:r>
      <w:r w:rsidRPr="00CC6F7E">
        <w:rPr>
          <w:rFonts w:eastAsia="Times New Roman" w:cs="Times New Roman"/>
          <w:b/>
          <w:bCs/>
          <w:rtl/>
          <w:lang w:eastAsia="de-DE"/>
        </w:rPr>
        <w:t>בית־מושב</w:t>
      </w:r>
      <w:r w:rsidRPr="00CC6F7E">
        <w:rPr>
          <w:rFonts w:eastAsia="Times New Roman" w:cs="Times New Roman"/>
          <w:rtl/>
          <w:lang w:eastAsia="de-DE"/>
        </w:rPr>
        <w:t xml:space="preserve"> </w:t>
      </w:r>
      <w:r w:rsidRPr="00CC6F7E">
        <w:rPr>
          <w:rFonts w:eastAsia="Times New Roman" w:cs="Times New Roman"/>
          <w:lang w:eastAsia="de-DE"/>
        </w:rPr>
        <w:t xml:space="preserve">(Wohnhaus) - </w:t>
      </w:r>
      <w:r w:rsidRPr="00CC6F7E">
        <w:rPr>
          <w:rFonts w:eastAsia="Times New Roman" w:cs="Times New Roman"/>
          <w:b/>
          <w:bCs/>
          <w:rtl/>
          <w:lang w:eastAsia="de-DE"/>
        </w:rPr>
        <w:t>מושב</w:t>
      </w:r>
      <w:r w:rsidRPr="00CC6F7E">
        <w:rPr>
          <w:rFonts w:eastAsia="Times New Roman" w:cs="Times New Roman"/>
          <w:rtl/>
          <w:lang w:eastAsia="de-DE"/>
        </w:rPr>
        <w:t xml:space="preserve"> </w:t>
      </w:r>
      <w:r w:rsidRPr="00CC6F7E">
        <w:rPr>
          <w:rFonts w:eastAsia="Times New Roman" w:cs="Times New Roman"/>
          <w:lang w:eastAsia="de-DE"/>
        </w:rPr>
        <w:t xml:space="preserve">(Wohnsitz) zeigt städtische Residenz. </w:t>
      </w:r>
      <w:r w:rsidRPr="00CC6F7E">
        <w:rPr>
          <w:rFonts w:eastAsia="Times New Roman" w:cs="Times New Roman"/>
          <w:b/>
          <w:bCs/>
          <w:rtl/>
          <w:lang w:eastAsia="de-DE"/>
        </w:rPr>
        <w:t>עיר חומה</w:t>
      </w:r>
      <w:r w:rsidRPr="00CC6F7E">
        <w:rPr>
          <w:rFonts w:eastAsia="Times New Roman" w:cs="Times New Roman"/>
          <w:rtl/>
          <w:lang w:eastAsia="de-DE"/>
        </w:rPr>
        <w:t xml:space="preserve"> </w:t>
      </w:r>
      <w:r w:rsidRPr="00CC6F7E">
        <w:rPr>
          <w:rFonts w:eastAsia="Times New Roman" w:cs="Times New Roman"/>
          <w:lang w:eastAsia="de-DE"/>
        </w:rPr>
        <w:t>(Stadt mit Mauer) zeigt befestigte Städte als besondere Kategorie.</w:t>
      </w:r>
    </w:p>
    <w:p w14:paraId="066A5F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והיתה גאלתו עד־תם שנת ממכרו ימים תהיה גאלתו</w:t>
      </w:r>
      <w:r w:rsidRPr="00CC6F7E">
        <w:rPr>
          <w:rFonts w:eastAsia="Times New Roman" w:cs="Times New Roman"/>
          <w:rtl/>
          <w:lang w:eastAsia="de-DE"/>
        </w:rPr>
        <w:t xml:space="preserve"> </w:t>
      </w:r>
      <w:r w:rsidRPr="00CC6F7E">
        <w:rPr>
          <w:rFonts w:eastAsia="Times New Roman" w:cs="Times New Roman"/>
          <w:lang w:eastAsia="de-DE"/>
        </w:rPr>
        <w:t xml:space="preserve">(so soll sein Lösungsrecht bestehen bis zum Ende des Jahres seines Verkaufs; (diese) Tage soll sein Lösungsrecht bestehen) - </w:t>
      </w:r>
      <w:r w:rsidRPr="00CC6F7E">
        <w:rPr>
          <w:rFonts w:eastAsia="Times New Roman" w:cs="Times New Roman"/>
          <w:b/>
          <w:bCs/>
          <w:rtl/>
          <w:lang w:eastAsia="de-DE"/>
        </w:rPr>
        <w:t>והיתה גאלתו</w:t>
      </w:r>
      <w:r w:rsidRPr="00CC6F7E">
        <w:rPr>
          <w:rFonts w:eastAsia="Times New Roman" w:cs="Times New Roman"/>
          <w:rtl/>
          <w:lang w:eastAsia="de-DE"/>
        </w:rPr>
        <w:t xml:space="preserve"> </w:t>
      </w:r>
      <w:r w:rsidRPr="00CC6F7E">
        <w:rPr>
          <w:rFonts w:eastAsia="Times New Roman" w:cs="Times New Roman"/>
          <w:lang w:eastAsia="de-DE"/>
        </w:rPr>
        <w:t xml:space="preserve">(und sein Lösungsrecht soll bestehen) zeigt temporäres </w:t>
      </w:r>
      <w:r w:rsidRPr="00CC6F7E">
        <w:rPr>
          <w:rFonts w:eastAsia="Times New Roman" w:cs="Times New Roman"/>
          <w:b/>
          <w:bCs/>
          <w:rtl/>
          <w:lang w:eastAsia="de-DE"/>
        </w:rPr>
        <w:t>גאלה</w:t>
      </w:r>
      <w:r w:rsidRPr="00CC6F7E">
        <w:rPr>
          <w:rFonts w:eastAsia="Times New Roman" w:cs="Times New Roman"/>
          <w:lang w:eastAsia="de-DE"/>
        </w:rPr>
        <w:t xml:space="preserve">-Recht. </w:t>
      </w:r>
      <w:r w:rsidRPr="00CC6F7E">
        <w:rPr>
          <w:rFonts w:eastAsia="Times New Roman" w:cs="Times New Roman"/>
          <w:b/>
          <w:bCs/>
          <w:rtl/>
          <w:lang w:eastAsia="de-DE"/>
        </w:rPr>
        <w:t>עד־תם שנת ממכרו</w:t>
      </w:r>
      <w:r w:rsidRPr="00CC6F7E">
        <w:rPr>
          <w:rFonts w:eastAsia="Times New Roman" w:cs="Times New Roman"/>
          <w:rtl/>
          <w:lang w:eastAsia="de-DE"/>
        </w:rPr>
        <w:t xml:space="preserve"> </w:t>
      </w:r>
      <w:r w:rsidRPr="00CC6F7E">
        <w:rPr>
          <w:rFonts w:eastAsia="Times New Roman" w:cs="Times New Roman"/>
          <w:lang w:eastAsia="de-DE"/>
        </w:rPr>
        <w:t xml:space="preserve">(bis zum Ende des Jahres seines Verkaufs) zeigt einjährige Frist. </w:t>
      </w:r>
      <w:r w:rsidRPr="00CC6F7E">
        <w:rPr>
          <w:rFonts w:eastAsia="Times New Roman" w:cs="Times New Roman"/>
          <w:b/>
          <w:bCs/>
          <w:rtl/>
          <w:lang w:eastAsia="de-DE"/>
        </w:rPr>
        <w:t>ימים תהיה גאלתו</w:t>
      </w:r>
      <w:r w:rsidRPr="00CC6F7E">
        <w:rPr>
          <w:rFonts w:eastAsia="Times New Roman" w:cs="Times New Roman"/>
          <w:rtl/>
          <w:lang w:eastAsia="de-DE"/>
        </w:rPr>
        <w:t xml:space="preserve"> </w:t>
      </w:r>
      <w:r w:rsidRPr="00CC6F7E">
        <w:rPr>
          <w:rFonts w:eastAsia="Times New Roman" w:cs="Times New Roman"/>
          <w:lang w:eastAsia="de-DE"/>
        </w:rPr>
        <w:t xml:space="preserve">(Tage soll sein Lösungsrecht bestehen) - </w:t>
      </w:r>
      <w:r w:rsidRPr="00CC6F7E">
        <w:rPr>
          <w:rFonts w:eastAsia="Times New Roman" w:cs="Times New Roman"/>
          <w:b/>
          <w:bCs/>
          <w:rtl/>
          <w:lang w:eastAsia="de-DE"/>
        </w:rPr>
        <w:t>ימים</w:t>
      </w:r>
      <w:r w:rsidRPr="00CC6F7E">
        <w:rPr>
          <w:rFonts w:eastAsia="Times New Roman" w:cs="Times New Roman"/>
          <w:rtl/>
          <w:lang w:eastAsia="de-DE"/>
        </w:rPr>
        <w:t xml:space="preserve"> </w:t>
      </w:r>
      <w:r w:rsidRPr="00CC6F7E">
        <w:rPr>
          <w:rFonts w:eastAsia="Times New Roman" w:cs="Times New Roman"/>
          <w:lang w:eastAsia="de-DE"/>
        </w:rPr>
        <w:t>(Tage) betont die begrenzte Zeit.</w:t>
      </w:r>
    </w:p>
    <w:p w14:paraId="39E5A64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בית־מושב עיר חומה</w:t>
      </w:r>
      <w:r w:rsidRPr="00CC6F7E">
        <w:rPr>
          <w:rFonts w:eastAsia="Times New Roman" w:cs="Times New Roman"/>
          <w:rtl/>
          <w:lang w:eastAsia="de-DE"/>
        </w:rPr>
        <w:t xml:space="preserve"> </w:t>
      </w:r>
      <w:r w:rsidRPr="00CC6F7E">
        <w:rPr>
          <w:rFonts w:eastAsia="Times New Roman" w:cs="Times New Roman"/>
          <w:lang w:eastAsia="de-DE"/>
        </w:rPr>
        <w:t xml:space="preserve">unterscheidet städtische von ländlichen Immobilien. </w:t>
      </w:r>
      <w:r w:rsidRPr="00CC6F7E">
        <w:rPr>
          <w:rFonts w:eastAsia="Times New Roman" w:cs="Times New Roman"/>
          <w:b/>
          <w:bCs/>
          <w:rtl/>
          <w:lang w:eastAsia="de-DE"/>
        </w:rPr>
        <w:t>עד־תם שנת ממכרו</w:t>
      </w:r>
      <w:r w:rsidRPr="00CC6F7E">
        <w:rPr>
          <w:rFonts w:eastAsia="Times New Roman" w:cs="Times New Roman"/>
          <w:rtl/>
          <w:lang w:eastAsia="de-DE"/>
        </w:rPr>
        <w:t xml:space="preserve"> </w:t>
      </w:r>
      <w:r w:rsidRPr="00CC6F7E">
        <w:rPr>
          <w:rFonts w:eastAsia="Times New Roman" w:cs="Times New Roman"/>
          <w:lang w:eastAsia="de-DE"/>
        </w:rPr>
        <w:t xml:space="preserve">zeigt einjährige statt Jobel-Frist. </w:t>
      </w:r>
      <w:r w:rsidRPr="00CC6F7E">
        <w:rPr>
          <w:rFonts w:eastAsia="Times New Roman" w:cs="Times New Roman"/>
          <w:b/>
          <w:bCs/>
          <w:rtl/>
          <w:lang w:eastAsia="de-DE"/>
        </w:rPr>
        <w:t>ימים תהיה</w:t>
      </w:r>
      <w:r w:rsidRPr="00CC6F7E">
        <w:rPr>
          <w:rFonts w:eastAsia="Times New Roman" w:cs="Times New Roman"/>
          <w:rtl/>
          <w:lang w:eastAsia="de-DE"/>
        </w:rPr>
        <w:t xml:space="preserve"> </w:t>
      </w:r>
      <w:r w:rsidRPr="00CC6F7E">
        <w:rPr>
          <w:rFonts w:eastAsia="Times New Roman" w:cs="Times New Roman"/>
          <w:lang w:eastAsia="de-DE"/>
        </w:rPr>
        <w:t>betont Zeitbegrenzung.</w:t>
      </w:r>
    </w:p>
    <w:p w14:paraId="3A2996C3" w14:textId="45A6233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spezifiziert in </w:t>
      </w:r>
      <w:r w:rsidR="009104A2" w:rsidRPr="009104A2">
        <w:rPr>
          <w:b/>
          <w:bCs/>
        </w:rPr>
        <w:t>Vers 29-30</w:t>
      </w:r>
      <w:r w:rsidR="009104A2">
        <w:t xml:space="preserve"> die Stadtgesetze: </w:t>
      </w:r>
      <w:r w:rsidR="009104A2">
        <w:rPr>
          <w:rtl/>
        </w:rPr>
        <w:t>עיר חומה</w:t>
      </w:r>
      <w:r w:rsidR="009104A2">
        <w:t xml:space="preserve"> (ir </w:t>
      </w:r>
      <w:proofErr w:type="spellStart"/>
      <w:r w:rsidR="009104A2">
        <w:t>choma</w:t>
      </w:r>
      <w:proofErr w:type="spellEnd"/>
      <w:r w:rsidR="009104A2">
        <w:t xml:space="preserve"> - "ummauerte Stadt") wird als π</w:t>
      </w:r>
      <w:proofErr w:type="spellStart"/>
      <w:r w:rsidR="009104A2">
        <w:t>όλει</w:t>
      </w:r>
      <w:proofErr w:type="spellEnd"/>
      <w:r w:rsidR="009104A2">
        <w:t xml:space="preserve"> </w:t>
      </w:r>
      <w:proofErr w:type="spellStart"/>
      <w:r w:rsidR="009104A2">
        <w:t>τετειχισμένῃ</w:t>
      </w:r>
      <w:proofErr w:type="spellEnd"/>
      <w:r w:rsidR="009104A2">
        <w:t xml:space="preserve"> (befestigte Stadt) übersetzt, und </w:t>
      </w:r>
      <w:r w:rsidR="009104A2">
        <w:rPr>
          <w:rtl/>
        </w:rPr>
        <w:t>לצמיתת</w:t>
      </w:r>
      <w:r w:rsidR="009104A2">
        <w:t xml:space="preserve"> (</w:t>
      </w:r>
      <w:proofErr w:type="spellStart"/>
      <w:r w:rsidR="009104A2">
        <w:t>latzmiut</w:t>
      </w:r>
      <w:proofErr w:type="spellEnd"/>
      <w:r w:rsidR="009104A2">
        <w:t xml:space="preserve"> - "für immer") als βεβα</w:t>
      </w:r>
      <w:proofErr w:type="spellStart"/>
      <w:r w:rsidR="009104A2">
        <w:t>ίως</w:t>
      </w:r>
      <w:proofErr w:type="spellEnd"/>
      <w:r w:rsidR="009104A2">
        <w:t xml:space="preserve">... </w:t>
      </w:r>
      <w:proofErr w:type="spellStart"/>
      <w:r w:rsidR="009104A2">
        <w:t>εἰς</w:t>
      </w:r>
      <w:proofErr w:type="spellEnd"/>
      <w:r w:rsidR="009104A2">
        <w:t xml:space="preserve"> </w:t>
      </w:r>
      <w:proofErr w:type="spellStart"/>
      <w:r w:rsidR="009104A2">
        <w:t>τὰς</w:t>
      </w:r>
      <w:proofErr w:type="spellEnd"/>
      <w:r w:rsidR="009104A2">
        <w:t xml:space="preserve"> </w:t>
      </w:r>
      <w:proofErr w:type="spellStart"/>
      <w:r w:rsidR="009104A2">
        <w:t>γενεὰς</w:t>
      </w:r>
      <w:proofErr w:type="spellEnd"/>
      <w:r w:rsidR="009104A2">
        <w:t xml:space="preserve"> α</w:t>
      </w:r>
      <w:proofErr w:type="spellStart"/>
      <w:r w:rsidR="009104A2">
        <w:t>ὐτοῦ</w:t>
      </w:r>
      <w:proofErr w:type="spellEnd"/>
      <w:r w:rsidR="009104A2">
        <w:t xml:space="preserve"> (sicher für seine Generationen).</w:t>
      </w:r>
    </w:p>
    <w:p w14:paraId="688998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städtische </w:t>
      </w:r>
      <w:r w:rsidRPr="00CC6F7E">
        <w:rPr>
          <w:rFonts w:eastAsia="Times New Roman" w:cs="Times New Roman"/>
          <w:b/>
          <w:bCs/>
          <w:rtl/>
          <w:lang w:eastAsia="de-DE"/>
        </w:rPr>
        <w:t>גאלה</w:t>
      </w:r>
      <w:r w:rsidRPr="00CC6F7E">
        <w:rPr>
          <w:rFonts w:eastAsia="Times New Roman" w:cs="Times New Roman"/>
          <w:lang w:eastAsia="de-DE"/>
        </w:rPr>
        <w:t>-Sonderregelung: Wohnhaus-Verkauf in Mauerstadt + einjähriges Lösungsrecht + Tage-Betonung der Zeitbegrenzung.</w:t>
      </w:r>
    </w:p>
    <w:p w14:paraId="01BC66A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für befestigte Städte eine einjährige statt Jobel-</w:t>
      </w:r>
      <w:r w:rsidRPr="00CC6F7E">
        <w:rPr>
          <w:rFonts w:eastAsia="Times New Roman" w:cs="Times New Roman"/>
          <w:b/>
          <w:bCs/>
          <w:rtl/>
          <w:lang w:eastAsia="de-DE"/>
        </w:rPr>
        <w:t>גאלה</w:t>
      </w:r>
      <w:r w:rsidRPr="00CC6F7E">
        <w:rPr>
          <w:rFonts w:eastAsia="Times New Roman" w:cs="Times New Roman"/>
          <w:lang w:eastAsia="de-DE"/>
        </w:rPr>
        <w:t>-Frist.</w:t>
      </w:r>
    </w:p>
    <w:p w14:paraId="33BB1B7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25,30</w:t>
      </w:r>
    </w:p>
    <w:p w14:paraId="2C1975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לֹֽא־יִגָּאֵ֗ל עַד־מְלֹ֣את לוֹ֮ שָׁנָ֣ה תְמִימָה֒ וְ֠קָם הַבַּ֨יִת אֲשֶׁר־בָּעִ֜יר אֲשֶׁר־לֹא חֹמָ֗ה לַצְּמִיתֻ֛ת לַקֹּנֶ֥ה אֹתוֹ֖ לְדֹרֹתָ֑יו לֹ֥א יֵצֵ֖א בַּיֹּבֵֽל׃</w:t>
      </w:r>
    </w:p>
    <w:p w14:paraId="67B610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es aber nicht eingelöst wird, bis sich ihm ein ganzes Jahr erfüllt, so soll das Haus, das in der Stadt, die eine Mauer hat, ist, endgültig dem es Kaufenden verbleiben für seine Generationen; es soll im Jobeljahr nicht frei ausgehen.</w:t>
      </w:r>
    </w:p>
    <w:p w14:paraId="4E9DE618"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C9F0A00">
          <v:rect id="_x0000_i1778" style="width:0;height:1.5pt" o:hralign="center" o:hrstd="t" o:hr="t" fillcolor="#a0a0a0" stroked="f"/>
        </w:pict>
      </w:r>
    </w:p>
    <w:p w14:paraId="1A9116A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לא־יגאל עד־מלאת לו שנה תמימה וקם הבית אשר־בעיר אשר־לא חמה לצמיתת לקנה אתו לדרתיו לא יצא ביבל</w:t>
      </w:r>
      <w:r w:rsidRPr="00CC6F7E">
        <w:rPr>
          <w:rFonts w:eastAsia="Times New Roman" w:cs="Times New Roman"/>
          <w:rtl/>
          <w:lang w:eastAsia="de-DE"/>
        </w:rPr>
        <w:t xml:space="preserve"> </w:t>
      </w:r>
      <w:r w:rsidRPr="00CC6F7E">
        <w:rPr>
          <w:rFonts w:eastAsia="Times New Roman" w:cs="Times New Roman"/>
          <w:lang w:eastAsia="de-DE"/>
        </w:rPr>
        <w:t xml:space="preserve">zeigt die dauerhafte Übertragung bei versäumter städtischer </w:t>
      </w:r>
      <w:r w:rsidRPr="00CC6F7E">
        <w:rPr>
          <w:rFonts w:eastAsia="Times New Roman" w:cs="Times New Roman"/>
          <w:b/>
          <w:bCs/>
          <w:rtl/>
          <w:lang w:eastAsia="de-DE"/>
        </w:rPr>
        <w:t>גאלה</w:t>
      </w:r>
      <w:r w:rsidRPr="00CC6F7E">
        <w:rPr>
          <w:rFonts w:eastAsia="Times New Roman" w:cs="Times New Roman"/>
          <w:lang w:eastAsia="de-DE"/>
        </w:rPr>
        <w:t xml:space="preserve">. </w:t>
      </w:r>
      <w:r w:rsidRPr="00CC6F7E">
        <w:rPr>
          <w:rFonts w:eastAsia="Times New Roman" w:cs="Times New Roman"/>
          <w:b/>
          <w:bCs/>
          <w:rtl/>
          <w:lang w:eastAsia="de-DE"/>
        </w:rPr>
        <w:t>ואם לא־יגאל עד־מלאת לו שנה תמימה</w:t>
      </w:r>
      <w:r w:rsidRPr="00CC6F7E">
        <w:rPr>
          <w:rFonts w:eastAsia="Times New Roman" w:cs="Times New Roman"/>
          <w:rtl/>
          <w:lang w:eastAsia="de-DE"/>
        </w:rPr>
        <w:t xml:space="preserve"> </w:t>
      </w:r>
      <w:r w:rsidRPr="00CC6F7E">
        <w:rPr>
          <w:rFonts w:eastAsia="Times New Roman" w:cs="Times New Roman"/>
          <w:lang w:eastAsia="de-DE"/>
        </w:rPr>
        <w:t xml:space="preserve">(wenn es aber nicht eingelöst wird, bis sich ihm ein ganzes Jahr erfüllt) - </w:t>
      </w:r>
      <w:r w:rsidRPr="00CC6F7E">
        <w:rPr>
          <w:rFonts w:eastAsia="Times New Roman" w:cs="Times New Roman"/>
          <w:b/>
          <w:bCs/>
          <w:rtl/>
          <w:lang w:eastAsia="de-DE"/>
        </w:rPr>
        <w:t>לא־יגאל</w:t>
      </w:r>
      <w:r w:rsidRPr="00CC6F7E">
        <w:rPr>
          <w:rFonts w:eastAsia="Times New Roman" w:cs="Times New Roman"/>
          <w:rtl/>
          <w:lang w:eastAsia="de-DE"/>
        </w:rPr>
        <w:t xml:space="preserve"> </w:t>
      </w:r>
      <w:r w:rsidRPr="00CC6F7E">
        <w:rPr>
          <w:rFonts w:eastAsia="Times New Roman" w:cs="Times New Roman"/>
          <w:lang w:eastAsia="de-DE"/>
        </w:rPr>
        <w:t xml:space="preserve">(nicht eingelöst wird) im Nifal-Imperfekt zeigt versäumte </w:t>
      </w:r>
      <w:r w:rsidRPr="00CC6F7E">
        <w:rPr>
          <w:rFonts w:eastAsia="Times New Roman" w:cs="Times New Roman"/>
          <w:b/>
          <w:bCs/>
          <w:rtl/>
          <w:lang w:eastAsia="de-DE"/>
        </w:rPr>
        <w:t>גאלה</w:t>
      </w:r>
      <w:r w:rsidRPr="00CC6F7E">
        <w:rPr>
          <w:rFonts w:eastAsia="Times New Roman" w:cs="Times New Roman"/>
          <w:lang w:eastAsia="de-DE"/>
        </w:rPr>
        <w:t xml:space="preserve">. </w:t>
      </w:r>
      <w:r w:rsidRPr="00CC6F7E">
        <w:rPr>
          <w:rFonts w:eastAsia="Times New Roman" w:cs="Times New Roman"/>
          <w:b/>
          <w:bCs/>
          <w:rtl/>
          <w:lang w:eastAsia="de-DE"/>
        </w:rPr>
        <w:t>עד־מלאת לו שנה תמימה</w:t>
      </w:r>
      <w:r w:rsidRPr="00CC6F7E">
        <w:rPr>
          <w:rFonts w:eastAsia="Times New Roman" w:cs="Times New Roman"/>
          <w:rtl/>
          <w:lang w:eastAsia="de-DE"/>
        </w:rPr>
        <w:t xml:space="preserve"> </w:t>
      </w:r>
      <w:r w:rsidRPr="00CC6F7E">
        <w:rPr>
          <w:rFonts w:eastAsia="Times New Roman" w:cs="Times New Roman"/>
          <w:lang w:eastAsia="de-DE"/>
        </w:rPr>
        <w:t xml:space="preserve">(bis sich ihm ein ganzes Jahr erfüllt) - </w:t>
      </w:r>
      <w:r w:rsidRPr="00CC6F7E">
        <w:rPr>
          <w:rFonts w:eastAsia="Times New Roman" w:cs="Times New Roman"/>
          <w:b/>
          <w:bCs/>
          <w:rtl/>
          <w:lang w:eastAsia="de-DE"/>
        </w:rPr>
        <w:t>מלאת</w:t>
      </w:r>
      <w:r w:rsidRPr="00CC6F7E">
        <w:rPr>
          <w:rFonts w:eastAsia="Times New Roman" w:cs="Times New Roman"/>
          <w:rtl/>
          <w:lang w:eastAsia="de-DE"/>
        </w:rPr>
        <w:t xml:space="preserve"> </w:t>
      </w:r>
      <w:r w:rsidRPr="00CC6F7E">
        <w:rPr>
          <w:rFonts w:eastAsia="Times New Roman" w:cs="Times New Roman"/>
          <w:lang w:eastAsia="de-DE"/>
        </w:rPr>
        <w:t xml:space="preserve">(Erfüllung) zeigt Ablauf der Jahresfrist. </w:t>
      </w:r>
      <w:r w:rsidRPr="00CC6F7E">
        <w:rPr>
          <w:rFonts w:eastAsia="Times New Roman" w:cs="Times New Roman"/>
          <w:b/>
          <w:bCs/>
          <w:rtl/>
          <w:lang w:eastAsia="de-DE"/>
        </w:rPr>
        <w:t>שנה תמימה</w:t>
      </w:r>
      <w:r w:rsidRPr="00CC6F7E">
        <w:rPr>
          <w:rFonts w:eastAsia="Times New Roman" w:cs="Times New Roman"/>
          <w:rtl/>
          <w:lang w:eastAsia="de-DE"/>
        </w:rPr>
        <w:t xml:space="preserve"> </w:t>
      </w:r>
      <w:r w:rsidRPr="00CC6F7E">
        <w:rPr>
          <w:rFonts w:eastAsia="Times New Roman" w:cs="Times New Roman"/>
          <w:lang w:eastAsia="de-DE"/>
        </w:rPr>
        <w:t>(ganzes Jahr) betont Vollständigkeit.</w:t>
      </w:r>
    </w:p>
    <w:p w14:paraId="4B1F39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וקם הבית אשר־בעיר אשר־לא חמה לצמיתת לקנה אתו לדרתיו</w:t>
      </w:r>
      <w:r w:rsidRPr="00CC6F7E">
        <w:rPr>
          <w:rFonts w:eastAsia="Times New Roman" w:cs="Times New Roman"/>
          <w:rtl/>
          <w:lang w:eastAsia="de-DE"/>
        </w:rPr>
        <w:t xml:space="preserve"> </w:t>
      </w:r>
      <w:r w:rsidRPr="00CC6F7E">
        <w:rPr>
          <w:rFonts w:eastAsia="Times New Roman" w:cs="Times New Roman"/>
          <w:lang w:eastAsia="de-DE"/>
        </w:rPr>
        <w:t xml:space="preserve">(so soll das Haus, das in der Stadt, die eine Mauer hat, ist, endgültig dem es Kaufenden verbleiben für seine Generationen) - </w:t>
      </w:r>
      <w:r w:rsidRPr="00CC6F7E">
        <w:rPr>
          <w:rFonts w:eastAsia="Times New Roman" w:cs="Times New Roman"/>
          <w:b/>
          <w:bCs/>
          <w:rtl/>
          <w:lang w:eastAsia="de-DE"/>
        </w:rPr>
        <w:t>וקם</w:t>
      </w:r>
      <w:r w:rsidRPr="00CC6F7E">
        <w:rPr>
          <w:rFonts w:eastAsia="Times New Roman" w:cs="Times New Roman"/>
          <w:rtl/>
          <w:lang w:eastAsia="de-DE"/>
        </w:rPr>
        <w:t xml:space="preserve"> </w:t>
      </w:r>
      <w:r w:rsidRPr="00CC6F7E">
        <w:rPr>
          <w:rFonts w:eastAsia="Times New Roman" w:cs="Times New Roman"/>
          <w:lang w:eastAsia="de-DE"/>
        </w:rPr>
        <w:t xml:space="preserve">(und es soll bestehen/verbleiben) im Qal-Perfekt mit Waw-Konsekutiv. </w:t>
      </w:r>
      <w:r w:rsidRPr="00CC6F7E">
        <w:rPr>
          <w:rFonts w:eastAsia="Times New Roman" w:cs="Times New Roman"/>
          <w:b/>
          <w:bCs/>
          <w:rtl/>
          <w:lang w:eastAsia="de-DE"/>
        </w:rPr>
        <w:t>אשר־לא חמה</w:t>
      </w:r>
      <w:r w:rsidRPr="00CC6F7E">
        <w:rPr>
          <w:rFonts w:eastAsia="Times New Roman" w:cs="Times New Roman"/>
          <w:rtl/>
          <w:lang w:eastAsia="de-DE"/>
        </w:rPr>
        <w:t xml:space="preserve"> </w:t>
      </w:r>
      <w:r w:rsidRPr="00CC6F7E">
        <w:rPr>
          <w:rFonts w:eastAsia="Times New Roman" w:cs="Times New Roman"/>
          <w:lang w:eastAsia="de-DE"/>
        </w:rPr>
        <w:t xml:space="preserve">sollte </w:t>
      </w:r>
      <w:r w:rsidRPr="00CC6F7E">
        <w:rPr>
          <w:rFonts w:eastAsia="Times New Roman" w:cs="Times New Roman"/>
          <w:b/>
          <w:bCs/>
          <w:rtl/>
          <w:lang w:eastAsia="de-DE"/>
        </w:rPr>
        <w:t>אשר־לה חמה</w:t>
      </w:r>
      <w:r w:rsidRPr="00CC6F7E">
        <w:rPr>
          <w:rFonts w:eastAsia="Times New Roman" w:cs="Times New Roman"/>
          <w:rtl/>
          <w:lang w:eastAsia="de-DE"/>
        </w:rPr>
        <w:t xml:space="preserve"> </w:t>
      </w:r>
      <w:r w:rsidRPr="00CC6F7E">
        <w:rPr>
          <w:rFonts w:eastAsia="Times New Roman" w:cs="Times New Roman"/>
          <w:lang w:eastAsia="de-DE"/>
        </w:rPr>
        <w:t xml:space="preserve">(die eine Mauer hat) sein. </w:t>
      </w:r>
      <w:r w:rsidRPr="00CC6F7E">
        <w:rPr>
          <w:rFonts w:eastAsia="Times New Roman" w:cs="Times New Roman"/>
          <w:b/>
          <w:bCs/>
          <w:rtl/>
          <w:lang w:eastAsia="de-DE"/>
        </w:rPr>
        <w:t>לצמיתת</w:t>
      </w:r>
      <w:r w:rsidRPr="00CC6F7E">
        <w:rPr>
          <w:rFonts w:eastAsia="Times New Roman" w:cs="Times New Roman"/>
          <w:rtl/>
          <w:lang w:eastAsia="de-DE"/>
        </w:rPr>
        <w:t xml:space="preserve"> </w:t>
      </w:r>
      <w:r w:rsidRPr="00CC6F7E">
        <w:rPr>
          <w:rFonts w:eastAsia="Times New Roman" w:cs="Times New Roman"/>
          <w:lang w:eastAsia="de-DE"/>
        </w:rPr>
        <w:t xml:space="preserve">(endgültig) entspricht V. 23. </w:t>
      </w:r>
      <w:r w:rsidRPr="00CC6F7E">
        <w:rPr>
          <w:rFonts w:eastAsia="Times New Roman" w:cs="Times New Roman"/>
          <w:b/>
          <w:bCs/>
          <w:rtl/>
          <w:lang w:eastAsia="de-DE"/>
        </w:rPr>
        <w:t>לקנה אתו לדרתיו</w:t>
      </w:r>
      <w:r w:rsidRPr="00CC6F7E">
        <w:rPr>
          <w:rFonts w:eastAsia="Times New Roman" w:cs="Times New Roman"/>
          <w:rtl/>
          <w:lang w:eastAsia="de-DE"/>
        </w:rPr>
        <w:t xml:space="preserve"> </w:t>
      </w:r>
      <w:r w:rsidRPr="00CC6F7E">
        <w:rPr>
          <w:rFonts w:eastAsia="Times New Roman" w:cs="Times New Roman"/>
          <w:lang w:eastAsia="de-DE"/>
        </w:rPr>
        <w:t>(dem es Kaufenden für seine Generationen) zeigt dauerhafte Erbübertragung.</w:t>
      </w:r>
    </w:p>
    <w:p w14:paraId="07EC95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יצא ביבל</w:t>
      </w:r>
      <w:r w:rsidRPr="00CC6F7E">
        <w:rPr>
          <w:rFonts w:eastAsia="Times New Roman" w:cs="Times New Roman"/>
          <w:rtl/>
          <w:lang w:eastAsia="de-DE"/>
        </w:rPr>
        <w:t xml:space="preserve"> </w:t>
      </w:r>
      <w:r w:rsidRPr="00CC6F7E">
        <w:rPr>
          <w:rFonts w:eastAsia="Times New Roman" w:cs="Times New Roman"/>
          <w:lang w:eastAsia="de-DE"/>
        </w:rPr>
        <w:t>(es soll im Jobeljahr nicht frei ausgehen) zeigt Ausnahme vom Jobel-Prinzip.</w:t>
      </w:r>
    </w:p>
    <w:p w14:paraId="1A3F62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עד־מלאת לו שנה תמימה</w:t>
      </w:r>
      <w:r w:rsidRPr="00CC6F7E">
        <w:rPr>
          <w:rFonts w:eastAsia="Times New Roman" w:cs="Times New Roman"/>
          <w:rtl/>
          <w:lang w:eastAsia="de-DE"/>
        </w:rPr>
        <w:t xml:space="preserve"> </w:t>
      </w:r>
      <w:r w:rsidRPr="00CC6F7E">
        <w:rPr>
          <w:rFonts w:eastAsia="Times New Roman" w:cs="Times New Roman"/>
          <w:lang w:eastAsia="de-DE"/>
        </w:rPr>
        <w:t xml:space="preserve">zeigt absolute Jahresfrist. </w:t>
      </w:r>
      <w:r w:rsidRPr="00CC6F7E">
        <w:rPr>
          <w:rFonts w:eastAsia="Times New Roman" w:cs="Times New Roman"/>
          <w:b/>
          <w:bCs/>
          <w:rtl/>
          <w:lang w:eastAsia="de-DE"/>
        </w:rPr>
        <w:t>לצמיתת לקנה אתו לדרתיו</w:t>
      </w:r>
      <w:r w:rsidRPr="00CC6F7E">
        <w:rPr>
          <w:rFonts w:eastAsia="Times New Roman" w:cs="Times New Roman"/>
          <w:rtl/>
          <w:lang w:eastAsia="de-DE"/>
        </w:rPr>
        <w:t xml:space="preserve"> </w:t>
      </w:r>
      <w:r w:rsidRPr="00CC6F7E">
        <w:rPr>
          <w:rFonts w:eastAsia="Times New Roman" w:cs="Times New Roman"/>
          <w:lang w:eastAsia="de-DE"/>
        </w:rPr>
        <w:t xml:space="preserve">zeigt Dauerbesitz statt temporäre Nutzung. </w:t>
      </w:r>
      <w:r w:rsidRPr="00CC6F7E">
        <w:rPr>
          <w:rFonts w:eastAsia="Times New Roman" w:cs="Times New Roman"/>
          <w:b/>
          <w:bCs/>
          <w:rtl/>
          <w:lang w:eastAsia="de-DE"/>
        </w:rPr>
        <w:t>לא יצא ביבל</w:t>
      </w:r>
      <w:r w:rsidRPr="00CC6F7E">
        <w:rPr>
          <w:rFonts w:eastAsia="Times New Roman" w:cs="Times New Roman"/>
          <w:rtl/>
          <w:lang w:eastAsia="de-DE"/>
        </w:rPr>
        <w:t xml:space="preserve"> </w:t>
      </w:r>
      <w:r w:rsidRPr="00CC6F7E">
        <w:rPr>
          <w:rFonts w:eastAsia="Times New Roman" w:cs="Times New Roman"/>
          <w:lang w:eastAsia="de-DE"/>
        </w:rPr>
        <w:t>zeigt städtische Ausnahme vom Jobel-System.</w:t>
      </w:r>
    </w:p>
    <w:p w14:paraId="0CA77A4D" w14:textId="6B43BE0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rPr>
          <w:rFonts w:eastAsia="Times New Roman" w:cs="Times New Roman"/>
          <w:lang w:eastAsia="de-DE"/>
        </w:rPr>
        <w:t xml:space="preserve">s. </w:t>
      </w:r>
      <w:r w:rsidR="009104A2" w:rsidRPr="009104A2">
        <w:rPr>
          <w:rFonts w:eastAsia="Times New Roman" w:cs="Times New Roman"/>
          <w:b/>
          <w:bCs/>
          <w:lang w:eastAsia="de-DE"/>
        </w:rPr>
        <w:t>Vers 29</w:t>
      </w:r>
      <w:r w:rsidR="009104A2">
        <w:rPr>
          <w:rFonts w:eastAsia="Times New Roman" w:cs="Times New Roman"/>
          <w:lang w:eastAsia="de-DE"/>
        </w:rPr>
        <w:t>.</w:t>
      </w:r>
    </w:p>
    <w:p w14:paraId="100B96C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städtische </w:t>
      </w:r>
      <w:r w:rsidRPr="00CC6F7E">
        <w:rPr>
          <w:rFonts w:eastAsia="Times New Roman" w:cs="Times New Roman"/>
          <w:b/>
          <w:bCs/>
          <w:rtl/>
          <w:lang w:eastAsia="de-DE"/>
        </w:rPr>
        <w:t>גאלה</w:t>
      </w:r>
      <w:r w:rsidRPr="00CC6F7E">
        <w:rPr>
          <w:rFonts w:eastAsia="Times New Roman" w:cs="Times New Roman"/>
          <w:lang w:eastAsia="de-DE"/>
        </w:rPr>
        <w:t>-Versäumnis-Folgen: keine Einlösung binnen Jahresfrist + Haus-Dauerverbleib beim Käufer + generationenübergreifend + keine Jobel-Befreiung.</w:t>
      </w:r>
    </w:p>
    <w:p w14:paraId="27A4B3C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zeigt die drastische Ausnahme: Städtische Häuser werden bei versäumter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dauerhaft ohne Jobel-Restitution übertragen.</w:t>
      </w:r>
    </w:p>
    <w:p w14:paraId="74919E7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25,31</w:t>
      </w:r>
    </w:p>
    <w:p w14:paraId="117894B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וּבָתֵּ֣י הַחֲצֵרִ֗ים אֲשֶׁ֨ר אֵין־לָהֶ֤ם חֹמָה֙ סָבִ֔יב עַל־שְׂדֵ֥ה הָאָ֖רֶץ יֵחָשֵׁ֑ב גְּאֻלָּה֙ תִּהְיֶה־לּוֹ֔ וּבַיֹּבֵ֖ל יֵצֵֽא׃</w:t>
      </w:r>
    </w:p>
    <w:p w14:paraId="59EE22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Aber die Häuser der Dörfer, die keine Mauer ringsum haben, sollen dem Feld des Landes gleichgerechnet werden; es soll Einlösung für sie sein, und im Jobeljahr sollen sie frei ausgehen.</w:t>
      </w:r>
    </w:p>
    <w:p w14:paraId="1FBD930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C4F880E">
          <v:rect id="_x0000_i1779" style="width:0;height:1.5pt" o:hralign="center" o:hrstd="t" o:hr="t" fillcolor="#a0a0a0" stroked="f"/>
        </w:pict>
      </w:r>
    </w:p>
    <w:p w14:paraId="46BEDD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ובתי החצרים אשר אין־להם חמה סביב על־שדה הארץ יחשב גאלה תהיה־לו וביבל יצא</w:t>
      </w:r>
      <w:r w:rsidRPr="00CC6F7E">
        <w:rPr>
          <w:rFonts w:eastAsia="Times New Roman" w:cs="Times New Roman"/>
          <w:rtl/>
          <w:lang w:eastAsia="de-DE"/>
        </w:rPr>
        <w:t xml:space="preserve"> </w:t>
      </w:r>
      <w:r w:rsidRPr="00CC6F7E">
        <w:rPr>
          <w:rFonts w:eastAsia="Times New Roman" w:cs="Times New Roman"/>
          <w:lang w:eastAsia="de-DE"/>
        </w:rPr>
        <w:t xml:space="preserve">zeigt den Gegensatz zu befestigten Städten. </w:t>
      </w:r>
      <w:r w:rsidRPr="00CC6F7E">
        <w:rPr>
          <w:rFonts w:eastAsia="Times New Roman" w:cs="Times New Roman"/>
          <w:b/>
          <w:bCs/>
          <w:rtl/>
          <w:lang w:eastAsia="de-DE"/>
        </w:rPr>
        <w:t>ובתי החצרים אשר אין־להם חמה סביב</w:t>
      </w:r>
      <w:r w:rsidRPr="00CC6F7E">
        <w:rPr>
          <w:rFonts w:eastAsia="Times New Roman" w:cs="Times New Roman"/>
          <w:rtl/>
          <w:lang w:eastAsia="de-DE"/>
        </w:rPr>
        <w:t xml:space="preserve"> </w:t>
      </w:r>
      <w:r w:rsidRPr="00CC6F7E">
        <w:rPr>
          <w:rFonts w:eastAsia="Times New Roman" w:cs="Times New Roman"/>
          <w:lang w:eastAsia="de-DE"/>
        </w:rPr>
        <w:t xml:space="preserve">(aber die Häuser der Dörfer, die keine Mauer ringsum haben) - </w:t>
      </w:r>
      <w:r w:rsidRPr="00CC6F7E">
        <w:rPr>
          <w:rFonts w:eastAsia="Times New Roman" w:cs="Times New Roman"/>
          <w:b/>
          <w:bCs/>
          <w:rtl/>
          <w:lang w:eastAsia="de-DE"/>
        </w:rPr>
        <w:t>בתי החצרים</w:t>
      </w:r>
      <w:r w:rsidRPr="00CC6F7E">
        <w:rPr>
          <w:rFonts w:eastAsia="Times New Roman" w:cs="Times New Roman"/>
          <w:rtl/>
          <w:lang w:eastAsia="de-DE"/>
        </w:rPr>
        <w:t xml:space="preserve"> </w:t>
      </w:r>
      <w:r w:rsidRPr="00CC6F7E">
        <w:rPr>
          <w:rFonts w:eastAsia="Times New Roman" w:cs="Times New Roman"/>
          <w:lang w:eastAsia="de-DE"/>
        </w:rPr>
        <w:t xml:space="preserve">(Häuser der Dörfer) - </w:t>
      </w:r>
      <w:r w:rsidRPr="00CC6F7E">
        <w:rPr>
          <w:rFonts w:eastAsia="Times New Roman" w:cs="Times New Roman"/>
          <w:b/>
          <w:bCs/>
          <w:rtl/>
          <w:lang w:eastAsia="de-DE"/>
        </w:rPr>
        <w:t>חצרים</w:t>
      </w:r>
      <w:r w:rsidRPr="00CC6F7E">
        <w:rPr>
          <w:rFonts w:eastAsia="Times New Roman" w:cs="Times New Roman"/>
          <w:rtl/>
          <w:lang w:eastAsia="de-DE"/>
        </w:rPr>
        <w:t xml:space="preserve"> </w:t>
      </w:r>
      <w:r w:rsidRPr="00CC6F7E">
        <w:rPr>
          <w:rFonts w:eastAsia="Times New Roman" w:cs="Times New Roman"/>
          <w:lang w:eastAsia="de-DE"/>
        </w:rPr>
        <w:t xml:space="preserve">(Dörfer/Gehöfte) zeigt unbefestigte Siedlungen. </w:t>
      </w:r>
      <w:r w:rsidRPr="00CC6F7E">
        <w:rPr>
          <w:rFonts w:eastAsia="Times New Roman" w:cs="Times New Roman"/>
          <w:b/>
          <w:bCs/>
          <w:rtl/>
          <w:lang w:eastAsia="de-DE"/>
        </w:rPr>
        <w:t>אשר אין־להם חמה סביב</w:t>
      </w:r>
      <w:r w:rsidRPr="00CC6F7E">
        <w:rPr>
          <w:rFonts w:eastAsia="Times New Roman" w:cs="Times New Roman"/>
          <w:rtl/>
          <w:lang w:eastAsia="de-DE"/>
        </w:rPr>
        <w:t xml:space="preserve"> </w:t>
      </w:r>
      <w:r w:rsidRPr="00CC6F7E">
        <w:rPr>
          <w:rFonts w:eastAsia="Times New Roman" w:cs="Times New Roman"/>
          <w:lang w:eastAsia="de-DE"/>
        </w:rPr>
        <w:t>(die keine Mauer ringsum haben) zeigt fehlende Befestigung.</w:t>
      </w:r>
    </w:p>
    <w:p w14:paraId="234041B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על־שדה הארץ יחשב</w:t>
      </w:r>
      <w:r w:rsidRPr="00CC6F7E">
        <w:rPr>
          <w:rFonts w:eastAsia="Times New Roman" w:cs="Times New Roman"/>
          <w:rtl/>
          <w:lang w:eastAsia="de-DE"/>
        </w:rPr>
        <w:t xml:space="preserve"> </w:t>
      </w:r>
      <w:r w:rsidRPr="00CC6F7E">
        <w:rPr>
          <w:rFonts w:eastAsia="Times New Roman" w:cs="Times New Roman"/>
          <w:lang w:eastAsia="de-DE"/>
        </w:rPr>
        <w:t xml:space="preserve">(sollen dem Feld des Landes gleichgerechnet werden) - </w:t>
      </w:r>
      <w:r w:rsidRPr="00CC6F7E">
        <w:rPr>
          <w:rFonts w:eastAsia="Times New Roman" w:cs="Times New Roman"/>
          <w:b/>
          <w:bCs/>
          <w:rtl/>
          <w:lang w:eastAsia="de-DE"/>
        </w:rPr>
        <w:t>על־שדה הארץ</w:t>
      </w:r>
      <w:r w:rsidRPr="00CC6F7E">
        <w:rPr>
          <w:rFonts w:eastAsia="Times New Roman" w:cs="Times New Roman"/>
          <w:rtl/>
          <w:lang w:eastAsia="de-DE"/>
        </w:rPr>
        <w:t xml:space="preserve"> </w:t>
      </w:r>
      <w:r w:rsidRPr="00CC6F7E">
        <w:rPr>
          <w:rFonts w:eastAsia="Times New Roman" w:cs="Times New Roman"/>
          <w:lang w:eastAsia="de-DE"/>
        </w:rPr>
        <w:t xml:space="preserve">(dem Feld des Landes) zeigt ländliche Gleichstellung. </w:t>
      </w:r>
      <w:r w:rsidRPr="00CC6F7E">
        <w:rPr>
          <w:rFonts w:eastAsia="Times New Roman" w:cs="Times New Roman"/>
          <w:b/>
          <w:bCs/>
          <w:rtl/>
          <w:lang w:eastAsia="de-DE"/>
        </w:rPr>
        <w:t>יחשב</w:t>
      </w:r>
      <w:r w:rsidRPr="00CC6F7E">
        <w:rPr>
          <w:rFonts w:eastAsia="Times New Roman" w:cs="Times New Roman"/>
          <w:rtl/>
          <w:lang w:eastAsia="de-DE"/>
        </w:rPr>
        <w:t xml:space="preserve"> </w:t>
      </w:r>
      <w:r w:rsidRPr="00CC6F7E">
        <w:rPr>
          <w:rFonts w:eastAsia="Times New Roman" w:cs="Times New Roman"/>
          <w:lang w:eastAsia="de-DE"/>
        </w:rPr>
        <w:t>(soll gerechnet/behandelt werden) im Nifal-Imperfekt zeigt rechtliche Gleichstellung mit Ackerland.</w:t>
      </w:r>
    </w:p>
    <w:p w14:paraId="7325AAA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גאלה תהיה־לו וביבל יצא</w:t>
      </w:r>
      <w:r w:rsidRPr="00CC6F7E">
        <w:rPr>
          <w:rFonts w:eastAsia="Times New Roman" w:cs="Times New Roman"/>
          <w:rtl/>
          <w:lang w:eastAsia="de-DE"/>
        </w:rPr>
        <w:t xml:space="preserve"> </w:t>
      </w:r>
      <w:r w:rsidRPr="00CC6F7E">
        <w:rPr>
          <w:rFonts w:eastAsia="Times New Roman" w:cs="Times New Roman"/>
          <w:lang w:eastAsia="de-DE"/>
        </w:rPr>
        <w:t xml:space="preserve">(es soll Einlösung für sie sein, und im Jobeljahr sollen sie frei ausgehen) entspricht dem normalen </w:t>
      </w:r>
      <w:r w:rsidRPr="00CC6F7E">
        <w:rPr>
          <w:rFonts w:eastAsia="Times New Roman" w:cs="Times New Roman"/>
          <w:b/>
          <w:bCs/>
          <w:rtl/>
          <w:lang w:eastAsia="de-DE"/>
        </w:rPr>
        <w:t>גאלה</w:t>
      </w:r>
      <w:r w:rsidRPr="00CC6F7E">
        <w:rPr>
          <w:rFonts w:eastAsia="Times New Roman" w:cs="Times New Roman"/>
          <w:lang w:eastAsia="de-DE"/>
        </w:rPr>
        <w:t>-System der Verse 25-28.</w:t>
      </w:r>
    </w:p>
    <w:p w14:paraId="071174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חצרים אשר אין־להם חמה</w:t>
      </w:r>
      <w:r w:rsidRPr="00CC6F7E">
        <w:rPr>
          <w:rFonts w:eastAsia="Times New Roman" w:cs="Times New Roman"/>
          <w:rtl/>
          <w:lang w:eastAsia="de-DE"/>
        </w:rPr>
        <w:t xml:space="preserve"> </w:t>
      </w:r>
      <w:r w:rsidRPr="00CC6F7E">
        <w:rPr>
          <w:rFonts w:eastAsia="Times New Roman" w:cs="Times New Roman"/>
          <w:lang w:eastAsia="de-DE"/>
        </w:rPr>
        <w:t xml:space="preserve">zeigt unbefestigte Dörfer vs. </w:t>
      </w:r>
      <w:r w:rsidRPr="00CC6F7E">
        <w:rPr>
          <w:rFonts w:eastAsia="Times New Roman" w:cs="Times New Roman"/>
          <w:b/>
          <w:bCs/>
          <w:rtl/>
          <w:lang w:eastAsia="de-DE"/>
        </w:rPr>
        <w:t>עיר חמה</w:t>
      </w:r>
      <w:r w:rsidRPr="00CC6F7E">
        <w:rPr>
          <w:rFonts w:eastAsia="Times New Roman" w:cs="Times New Roman"/>
          <w:rtl/>
          <w:lang w:eastAsia="de-DE"/>
        </w:rPr>
        <w:t xml:space="preserve"> </w:t>
      </w:r>
      <w:r w:rsidRPr="00CC6F7E">
        <w:rPr>
          <w:rFonts w:eastAsia="Times New Roman" w:cs="Times New Roman"/>
          <w:lang w:eastAsia="de-DE"/>
        </w:rPr>
        <w:t xml:space="preserve">(befestigte Stadt). </w:t>
      </w:r>
      <w:r w:rsidRPr="00CC6F7E">
        <w:rPr>
          <w:rFonts w:eastAsia="Times New Roman" w:cs="Times New Roman"/>
          <w:b/>
          <w:bCs/>
          <w:rtl/>
          <w:lang w:eastAsia="de-DE"/>
        </w:rPr>
        <w:t>על־שדה הארץ יחשב</w:t>
      </w:r>
      <w:r w:rsidRPr="00CC6F7E">
        <w:rPr>
          <w:rFonts w:eastAsia="Times New Roman" w:cs="Times New Roman"/>
          <w:rtl/>
          <w:lang w:eastAsia="de-DE"/>
        </w:rPr>
        <w:t xml:space="preserve"> </w:t>
      </w:r>
      <w:r w:rsidRPr="00CC6F7E">
        <w:rPr>
          <w:rFonts w:eastAsia="Times New Roman" w:cs="Times New Roman"/>
          <w:lang w:eastAsia="de-DE"/>
        </w:rPr>
        <w:t xml:space="preserve">zeigt ländliche Rechtstellung. </w:t>
      </w:r>
      <w:r w:rsidRPr="00CC6F7E">
        <w:rPr>
          <w:rFonts w:eastAsia="Times New Roman" w:cs="Times New Roman"/>
          <w:b/>
          <w:bCs/>
          <w:rtl/>
          <w:lang w:eastAsia="de-DE"/>
        </w:rPr>
        <w:t>גאלה תהיה־לו וביבל יצא</w:t>
      </w:r>
      <w:r w:rsidRPr="00CC6F7E">
        <w:rPr>
          <w:rFonts w:eastAsia="Times New Roman" w:cs="Times New Roman"/>
          <w:rtl/>
          <w:lang w:eastAsia="de-DE"/>
        </w:rPr>
        <w:t xml:space="preserve"> </w:t>
      </w:r>
      <w:r w:rsidRPr="00CC6F7E">
        <w:rPr>
          <w:rFonts w:eastAsia="Times New Roman" w:cs="Times New Roman"/>
          <w:lang w:eastAsia="de-DE"/>
        </w:rPr>
        <w:t xml:space="preserve">zeigt normales </w:t>
      </w:r>
      <w:r w:rsidRPr="00CC6F7E">
        <w:rPr>
          <w:rFonts w:eastAsia="Times New Roman" w:cs="Times New Roman"/>
          <w:b/>
          <w:bCs/>
          <w:rtl/>
          <w:lang w:eastAsia="de-DE"/>
        </w:rPr>
        <w:t>גאלה</w:t>
      </w:r>
      <w:r w:rsidRPr="00CC6F7E">
        <w:rPr>
          <w:rFonts w:eastAsia="Times New Roman" w:cs="Times New Roman"/>
          <w:lang w:eastAsia="de-DE"/>
        </w:rPr>
        <w:t>-System.</w:t>
      </w:r>
    </w:p>
    <w:p w14:paraId="43A4DD1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בתי החצרים</w:t>
      </w:r>
      <w:r w:rsidRPr="00CC6F7E">
        <w:rPr>
          <w:rFonts w:eastAsia="Times New Roman" w:cs="Times New Roman"/>
          <w:rtl/>
          <w:lang w:eastAsia="de-DE"/>
        </w:rPr>
        <w:t xml:space="preserve"> </w:t>
      </w:r>
      <w:r w:rsidRPr="00CC6F7E">
        <w:rPr>
          <w:rFonts w:eastAsia="Times New Roman" w:cs="Times New Roman"/>
          <w:lang w:eastAsia="de-DE"/>
        </w:rPr>
        <w:t xml:space="preserve">mit αἱ </w:t>
      </w:r>
      <w:proofErr w:type="spellStart"/>
      <w:r w:rsidRPr="00CC6F7E">
        <w:rPr>
          <w:rFonts w:eastAsia="Times New Roman" w:cs="Times New Roman"/>
          <w:lang w:eastAsia="de-DE"/>
        </w:rPr>
        <w:t>οἰκί</w:t>
      </w:r>
      <w:proofErr w:type="spellEnd"/>
      <w:r w:rsidRPr="00CC6F7E">
        <w:rPr>
          <w:rFonts w:eastAsia="Times New Roman" w:cs="Times New Roman"/>
          <w:lang w:eastAsia="de-DE"/>
        </w:rPr>
        <w:t xml:space="preserve">αι αἱ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ἐπα</w:t>
      </w:r>
      <w:proofErr w:type="spellStart"/>
      <w:r w:rsidRPr="00CC6F7E">
        <w:rPr>
          <w:rFonts w:eastAsia="Times New Roman" w:cs="Times New Roman"/>
          <w:lang w:eastAsia="de-DE"/>
        </w:rPr>
        <w:t>ύλεσιν</w:t>
      </w:r>
      <w:proofErr w:type="spellEnd"/>
      <w:r w:rsidRPr="00CC6F7E">
        <w:rPr>
          <w:rFonts w:eastAsia="Times New Roman" w:cs="Times New Roman"/>
          <w:lang w:eastAsia="de-DE"/>
        </w:rPr>
        <w:t xml:space="preserve"> (die Häuser in Gehöften), </w:t>
      </w:r>
      <w:r w:rsidRPr="00CC6F7E">
        <w:rPr>
          <w:rFonts w:eastAsia="Times New Roman" w:cs="Times New Roman"/>
          <w:b/>
          <w:bCs/>
          <w:rtl/>
          <w:lang w:eastAsia="de-DE"/>
        </w:rPr>
        <w:t>אין־להם חמה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οὐκ</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ἔστιν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w:t>
      </w:r>
      <w:proofErr w:type="spellEnd"/>
      <w:r w:rsidRPr="00CC6F7E">
        <w:rPr>
          <w:rFonts w:eastAsia="Times New Roman" w:cs="Times New Roman"/>
          <w:lang w:eastAsia="de-DE"/>
        </w:rPr>
        <w:t xml:space="preserve">αῖς </w:t>
      </w:r>
      <w:proofErr w:type="spellStart"/>
      <w:r w:rsidRPr="00CC6F7E">
        <w:rPr>
          <w:rFonts w:eastAsia="Times New Roman" w:cs="Times New Roman"/>
          <w:lang w:eastAsia="de-DE"/>
        </w:rPr>
        <w:t>τεῖχος</w:t>
      </w:r>
      <w:proofErr w:type="spellEnd"/>
      <w:r w:rsidRPr="00CC6F7E">
        <w:rPr>
          <w:rFonts w:eastAsia="Times New Roman" w:cs="Times New Roman"/>
          <w:lang w:eastAsia="de-DE"/>
        </w:rPr>
        <w:t xml:space="preserve"> (ist ihnen keine Mauer), </w:t>
      </w:r>
      <w:r w:rsidRPr="00CC6F7E">
        <w:rPr>
          <w:rFonts w:eastAsia="Times New Roman" w:cs="Times New Roman"/>
          <w:b/>
          <w:bCs/>
          <w:rtl/>
          <w:lang w:eastAsia="de-DE"/>
        </w:rPr>
        <w:t>על־שדה הארץ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ἀγρῷ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γῆς</w:t>
      </w:r>
      <w:proofErr w:type="spellEnd"/>
      <w:r w:rsidRPr="00CC6F7E">
        <w:rPr>
          <w:rFonts w:eastAsia="Times New Roman" w:cs="Times New Roman"/>
          <w:lang w:eastAsia="de-DE"/>
        </w:rPr>
        <w:t xml:space="preserve"> (Feld der Erde) und </w:t>
      </w:r>
      <w:r w:rsidRPr="00CC6F7E">
        <w:rPr>
          <w:rFonts w:eastAsia="Times New Roman" w:cs="Times New Roman"/>
          <w:b/>
          <w:bCs/>
          <w:rtl/>
          <w:lang w:eastAsia="de-DE"/>
        </w:rPr>
        <w:t>יחשב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λογισθήσετ</w:t>
      </w:r>
      <w:proofErr w:type="spellEnd"/>
      <w:r w:rsidRPr="00CC6F7E">
        <w:rPr>
          <w:rFonts w:eastAsia="Times New Roman" w:cs="Times New Roman"/>
          <w:lang w:eastAsia="de-DE"/>
        </w:rPr>
        <w:t>αι (wird gerechnet werden).</w:t>
      </w:r>
    </w:p>
    <w:p w14:paraId="26C1A2A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Dorf-</w:t>
      </w:r>
      <w:r w:rsidRPr="00CC6F7E">
        <w:rPr>
          <w:rFonts w:eastAsia="Times New Roman" w:cs="Times New Roman"/>
          <w:b/>
          <w:bCs/>
          <w:rtl/>
          <w:lang w:eastAsia="de-DE"/>
        </w:rPr>
        <w:t>גאלה</w:t>
      </w:r>
      <w:r w:rsidRPr="00CC6F7E">
        <w:rPr>
          <w:rFonts w:eastAsia="Times New Roman" w:cs="Times New Roman"/>
          <w:lang w:eastAsia="de-DE"/>
        </w:rPr>
        <w:t xml:space="preserve">-Normalregelung: Dorfhäuser ohne Mauer + Feld-Gleichstellung + normale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Jobel-Befreiung.</w:t>
      </w:r>
    </w:p>
    <w:p w14:paraId="6D89B37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stellt Dorfhäuser rechtlich Ackerland gleich und unterwirft sie dem normalen </w:t>
      </w:r>
      <w:r w:rsidRPr="00CC6F7E">
        <w:rPr>
          <w:rFonts w:eastAsia="Times New Roman" w:cs="Times New Roman"/>
          <w:b/>
          <w:bCs/>
          <w:rtl/>
          <w:lang w:eastAsia="de-DE"/>
        </w:rPr>
        <w:t>גאלה</w:t>
      </w:r>
      <w:r w:rsidRPr="00CC6F7E">
        <w:rPr>
          <w:rFonts w:eastAsia="Times New Roman" w:cs="Times New Roman"/>
          <w:lang w:eastAsia="de-DE"/>
        </w:rPr>
        <w:t>- und Jobel-System.</w:t>
      </w:r>
    </w:p>
    <w:p w14:paraId="56B6AB0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25,32</w:t>
      </w:r>
    </w:p>
    <w:p w14:paraId="38CD153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וְעָרֵי֙ הַלְוִיִּ֔ם בָּתֵּ֖י עָרֵ֣י אֲחֻזָּתָ֑ם גְּאֻלַּ֥ת עוֹלָ֖ם תִּהְיֶ֥ה לַלְוִיִּֽם׃</w:t>
      </w:r>
    </w:p>
    <w:p w14:paraId="2EB3FD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die Städte der Leviten, die Häuser ihrer Besitzstädte, ein ewiges Lösungsrecht soll für die Leviten sein.</w:t>
      </w:r>
    </w:p>
    <w:p w14:paraId="4A00CC2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22343B2">
          <v:rect id="_x0000_i1780" style="width:0;height:1.5pt" o:hralign="center" o:hrstd="t" o:hr="t" fillcolor="#a0a0a0" stroked="f"/>
        </w:pict>
      </w:r>
    </w:p>
    <w:p w14:paraId="1BA4862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וערי הלוים בתי ערי אחזתם גאלת עולם תהיה ללוים</w:t>
      </w:r>
      <w:r w:rsidRPr="00CC6F7E">
        <w:rPr>
          <w:rFonts w:eastAsia="Times New Roman" w:cs="Times New Roman"/>
          <w:rtl/>
          <w:lang w:eastAsia="de-DE"/>
        </w:rPr>
        <w:t xml:space="preserve"> </w:t>
      </w:r>
      <w:r w:rsidRPr="00CC6F7E">
        <w:rPr>
          <w:rFonts w:eastAsia="Times New Roman" w:cs="Times New Roman"/>
          <w:lang w:eastAsia="de-DE"/>
        </w:rPr>
        <w:t xml:space="preserve">etabliert Sonderrechte für levitische Städte. </w:t>
      </w:r>
      <w:r w:rsidRPr="00CC6F7E">
        <w:rPr>
          <w:rFonts w:eastAsia="Times New Roman" w:cs="Times New Roman"/>
          <w:b/>
          <w:bCs/>
          <w:rtl/>
          <w:lang w:eastAsia="de-DE"/>
        </w:rPr>
        <w:t>וערי הלוים בתי ערי אחזתם</w:t>
      </w:r>
      <w:r w:rsidRPr="00CC6F7E">
        <w:rPr>
          <w:rFonts w:eastAsia="Times New Roman" w:cs="Times New Roman"/>
          <w:rtl/>
          <w:lang w:eastAsia="de-DE"/>
        </w:rPr>
        <w:t xml:space="preserve"> </w:t>
      </w:r>
      <w:r w:rsidRPr="00CC6F7E">
        <w:rPr>
          <w:rFonts w:eastAsia="Times New Roman" w:cs="Times New Roman"/>
          <w:lang w:eastAsia="de-DE"/>
        </w:rPr>
        <w:t xml:space="preserve">(und die Städte der Leviten, die Häuser ihrer Besitzstädte) - </w:t>
      </w:r>
      <w:r w:rsidRPr="00CC6F7E">
        <w:rPr>
          <w:rFonts w:eastAsia="Times New Roman" w:cs="Times New Roman"/>
          <w:b/>
          <w:bCs/>
          <w:rtl/>
          <w:lang w:eastAsia="de-DE"/>
        </w:rPr>
        <w:t>ערי הלוים</w:t>
      </w:r>
      <w:r w:rsidRPr="00CC6F7E">
        <w:rPr>
          <w:rFonts w:eastAsia="Times New Roman" w:cs="Times New Roman"/>
          <w:rtl/>
          <w:lang w:eastAsia="de-DE"/>
        </w:rPr>
        <w:t xml:space="preserve"> </w:t>
      </w:r>
      <w:r w:rsidRPr="00CC6F7E">
        <w:rPr>
          <w:rFonts w:eastAsia="Times New Roman" w:cs="Times New Roman"/>
          <w:lang w:eastAsia="de-DE"/>
        </w:rPr>
        <w:t xml:space="preserve">(Städte der Leviten) zeigt die 48 Levitenstädte aus Num 35. </w:t>
      </w:r>
      <w:r w:rsidRPr="00CC6F7E">
        <w:rPr>
          <w:rFonts w:eastAsia="Times New Roman" w:cs="Times New Roman"/>
          <w:b/>
          <w:bCs/>
          <w:rtl/>
          <w:lang w:eastAsia="de-DE"/>
        </w:rPr>
        <w:t>בתי ערי אחזתם</w:t>
      </w:r>
      <w:r w:rsidRPr="00CC6F7E">
        <w:rPr>
          <w:rFonts w:eastAsia="Times New Roman" w:cs="Times New Roman"/>
          <w:rtl/>
          <w:lang w:eastAsia="de-DE"/>
        </w:rPr>
        <w:t xml:space="preserve"> </w:t>
      </w:r>
      <w:r w:rsidRPr="00CC6F7E">
        <w:rPr>
          <w:rFonts w:eastAsia="Times New Roman" w:cs="Times New Roman"/>
          <w:lang w:eastAsia="de-DE"/>
        </w:rPr>
        <w:t xml:space="preserve">(Häuser ihrer Besitzstädte) - </w:t>
      </w:r>
      <w:r w:rsidRPr="00CC6F7E">
        <w:rPr>
          <w:rFonts w:eastAsia="Times New Roman" w:cs="Times New Roman"/>
          <w:b/>
          <w:bCs/>
          <w:rtl/>
          <w:lang w:eastAsia="de-DE"/>
        </w:rPr>
        <w:t>ערי אחזתם</w:t>
      </w:r>
      <w:r w:rsidRPr="00CC6F7E">
        <w:rPr>
          <w:rFonts w:eastAsia="Times New Roman" w:cs="Times New Roman"/>
          <w:rtl/>
          <w:lang w:eastAsia="de-DE"/>
        </w:rPr>
        <w:t xml:space="preserve"> </w:t>
      </w:r>
      <w:r w:rsidRPr="00CC6F7E">
        <w:rPr>
          <w:rFonts w:eastAsia="Times New Roman" w:cs="Times New Roman"/>
          <w:lang w:eastAsia="de-DE"/>
        </w:rPr>
        <w:t>(ihre Besitzstädte) zeigt levitischen Stadtbesitz.</w:t>
      </w:r>
    </w:p>
    <w:p w14:paraId="11BB506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גאלת עולם תהיה ללוים</w:t>
      </w:r>
      <w:r w:rsidRPr="00CC6F7E">
        <w:rPr>
          <w:rFonts w:eastAsia="Times New Roman" w:cs="Times New Roman"/>
          <w:rtl/>
          <w:lang w:eastAsia="de-DE"/>
        </w:rPr>
        <w:t xml:space="preserve"> </w:t>
      </w:r>
      <w:r w:rsidRPr="00CC6F7E">
        <w:rPr>
          <w:rFonts w:eastAsia="Times New Roman" w:cs="Times New Roman"/>
          <w:lang w:eastAsia="de-DE"/>
        </w:rPr>
        <w:t xml:space="preserve">(ein ewiges Lösungsrecht soll für die Leviten sein) - </w:t>
      </w:r>
      <w:r w:rsidRPr="00CC6F7E">
        <w:rPr>
          <w:rFonts w:eastAsia="Times New Roman" w:cs="Times New Roman"/>
          <w:b/>
          <w:bCs/>
          <w:rtl/>
          <w:lang w:eastAsia="de-DE"/>
        </w:rPr>
        <w:t>גאלת עולם</w:t>
      </w:r>
      <w:r w:rsidRPr="00CC6F7E">
        <w:rPr>
          <w:rFonts w:eastAsia="Times New Roman" w:cs="Times New Roman"/>
          <w:rtl/>
          <w:lang w:eastAsia="de-DE"/>
        </w:rPr>
        <w:t xml:space="preserve"> </w:t>
      </w:r>
      <w:r w:rsidRPr="00CC6F7E">
        <w:rPr>
          <w:rFonts w:eastAsia="Times New Roman" w:cs="Times New Roman"/>
          <w:lang w:eastAsia="de-DE"/>
        </w:rPr>
        <w:t xml:space="preserve">(ewiges Lösungsrecht) zeigt zeitlich unbeschränkte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im Gegensatz zur einjährigen Frist für normale Städte. </w:t>
      </w:r>
      <w:r w:rsidRPr="00CC6F7E">
        <w:rPr>
          <w:rFonts w:eastAsia="Times New Roman" w:cs="Times New Roman"/>
          <w:b/>
          <w:bCs/>
          <w:rtl/>
          <w:lang w:eastAsia="de-DE"/>
        </w:rPr>
        <w:t>תהיה ללוים</w:t>
      </w:r>
      <w:r w:rsidRPr="00CC6F7E">
        <w:rPr>
          <w:rFonts w:eastAsia="Times New Roman" w:cs="Times New Roman"/>
          <w:rtl/>
          <w:lang w:eastAsia="de-DE"/>
        </w:rPr>
        <w:t xml:space="preserve"> </w:t>
      </w:r>
      <w:r w:rsidRPr="00CC6F7E">
        <w:rPr>
          <w:rFonts w:eastAsia="Times New Roman" w:cs="Times New Roman"/>
          <w:lang w:eastAsia="de-DE"/>
        </w:rPr>
        <w:t>(soll für die Leviten sein) zeigt levitisches Sonderrecht.</w:t>
      </w:r>
    </w:p>
    <w:p w14:paraId="5A09194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ערי הלוים</w:t>
      </w:r>
      <w:r w:rsidRPr="00CC6F7E">
        <w:rPr>
          <w:rFonts w:eastAsia="Times New Roman" w:cs="Times New Roman"/>
          <w:rtl/>
          <w:lang w:eastAsia="de-DE"/>
        </w:rPr>
        <w:t xml:space="preserve"> </w:t>
      </w:r>
      <w:r w:rsidRPr="00CC6F7E">
        <w:rPr>
          <w:rFonts w:eastAsia="Times New Roman" w:cs="Times New Roman"/>
          <w:lang w:eastAsia="de-DE"/>
        </w:rPr>
        <w:t xml:space="preserve">zeigt die 48 Levitenstädte als Sonderkategorie. </w:t>
      </w:r>
      <w:r w:rsidRPr="00CC6F7E">
        <w:rPr>
          <w:rFonts w:eastAsia="Times New Roman" w:cs="Times New Roman"/>
          <w:b/>
          <w:bCs/>
          <w:rtl/>
          <w:lang w:eastAsia="de-DE"/>
        </w:rPr>
        <w:t>גאלת עולם</w:t>
      </w:r>
      <w:r w:rsidRPr="00CC6F7E">
        <w:rPr>
          <w:rFonts w:eastAsia="Times New Roman" w:cs="Times New Roman"/>
          <w:rtl/>
          <w:lang w:eastAsia="de-DE"/>
        </w:rPr>
        <w:t xml:space="preserve"> </w:t>
      </w:r>
      <w:r w:rsidRPr="00CC6F7E">
        <w:rPr>
          <w:rFonts w:eastAsia="Times New Roman" w:cs="Times New Roman"/>
          <w:lang w:eastAsia="de-DE"/>
        </w:rPr>
        <w:t xml:space="preserve">hebt die Jahresfrist-Beschränkung für Leviten auf. </w:t>
      </w:r>
      <w:r w:rsidRPr="00CC6F7E">
        <w:rPr>
          <w:rFonts w:eastAsia="Times New Roman" w:cs="Times New Roman"/>
          <w:b/>
          <w:bCs/>
          <w:rtl/>
          <w:lang w:eastAsia="de-DE"/>
        </w:rPr>
        <w:t>ללוים</w:t>
      </w:r>
      <w:r w:rsidRPr="00CC6F7E">
        <w:rPr>
          <w:rFonts w:eastAsia="Times New Roman" w:cs="Times New Roman"/>
          <w:rtl/>
          <w:lang w:eastAsia="de-DE"/>
        </w:rPr>
        <w:t xml:space="preserve"> </w:t>
      </w:r>
      <w:r w:rsidRPr="00CC6F7E">
        <w:rPr>
          <w:rFonts w:eastAsia="Times New Roman" w:cs="Times New Roman"/>
          <w:lang w:eastAsia="de-DE"/>
        </w:rPr>
        <w:t>zeigt stammesbasiertes Sonderrecht.</w:t>
      </w:r>
    </w:p>
    <w:p w14:paraId="2A1C5F30" w14:textId="7F32940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behandelt in </w:t>
      </w:r>
      <w:r w:rsidR="009104A2" w:rsidRPr="009104A2">
        <w:rPr>
          <w:b/>
          <w:bCs/>
        </w:rPr>
        <w:t>Vers 32-34</w:t>
      </w:r>
      <w:r w:rsidR="009104A2">
        <w:t xml:space="preserve"> die Levitenstädte detailliert: </w:t>
      </w:r>
      <w:r w:rsidR="009104A2">
        <w:rPr>
          <w:rtl/>
        </w:rPr>
        <w:t>גאלת עולם</w:t>
      </w:r>
      <w:r w:rsidR="009104A2">
        <w:t xml:space="preserve"> (</w:t>
      </w:r>
      <w:proofErr w:type="spellStart"/>
      <w:r w:rsidR="009104A2">
        <w:t>ge'ullat</w:t>
      </w:r>
      <w:proofErr w:type="spellEnd"/>
      <w:r w:rsidR="009104A2">
        <w:t xml:space="preserve"> olam - "ewiges Lösungsrecht") wird als </w:t>
      </w:r>
      <w:proofErr w:type="spellStart"/>
      <w:r w:rsidR="009104A2">
        <w:t>λυτρωτ</w:t>
      </w:r>
      <w:proofErr w:type="spellEnd"/>
      <w:r w:rsidR="009104A2">
        <w:t xml:space="preserve">αὶ </w:t>
      </w:r>
      <w:proofErr w:type="spellStart"/>
      <w:r w:rsidR="009104A2">
        <w:t>διὰ</w:t>
      </w:r>
      <w:proofErr w:type="spellEnd"/>
      <w:r w:rsidR="009104A2">
        <w:t xml:space="preserve"> πα</w:t>
      </w:r>
      <w:proofErr w:type="spellStart"/>
      <w:r w:rsidR="009104A2">
        <w:t>ντὸς</w:t>
      </w:r>
      <w:proofErr w:type="spellEnd"/>
      <w:r w:rsidR="009104A2">
        <w:t xml:space="preserve"> (Lösbare für immer) übersetzt, und </w:t>
      </w:r>
      <w:r w:rsidR="009104A2">
        <w:rPr>
          <w:rtl/>
        </w:rPr>
        <w:t>מגרש</w:t>
      </w:r>
      <w:r w:rsidR="009104A2">
        <w:t xml:space="preserve"> (</w:t>
      </w:r>
      <w:proofErr w:type="spellStart"/>
      <w:r w:rsidR="009104A2">
        <w:t>migrash</w:t>
      </w:r>
      <w:proofErr w:type="spellEnd"/>
      <w:r w:rsidR="009104A2">
        <w:t xml:space="preserve"> - "Weideland") als </w:t>
      </w:r>
      <w:proofErr w:type="spellStart"/>
      <w:r w:rsidR="009104A2">
        <w:t>ἀγροὶ</w:t>
      </w:r>
      <w:proofErr w:type="spellEnd"/>
      <w:r w:rsidR="009104A2">
        <w:t xml:space="preserve"> </w:t>
      </w:r>
      <w:proofErr w:type="spellStart"/>
      <w:r w:rsidR="009104A2">
        <w:t>ἀφωρισμένοι</w:t>
      </w:r>
      <w:proofErr w:type="spellEnd"/>
      <w:r w:rsidR="009104A2">
        <w:t xml:space="preserve"> (abgetrennte Felder).</w:t>
      </w:r>
    </w:p>
    <w:p w14:paraId="1D7C81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Leviten-</w:t>
      </w:r>
      <w:r w:rsidRPr="00CC6F7E">
        <w:rPr>
          <w:rFonts w:eastAsia="Times New Roman" w:cs="Times New Roman"/>
          <w:b/>
          <w:bCs/>
          <w:rtl/>
          <w:lang w:eastAsia="de-DE"/>
        </w:rPr>
        <w:t>גאלה</w:t>
      </w:r>
      <w:r w:rsidRPr="00CC6F7E">
        <w:rPr>
          <w:rFonts w:eastAsia="Times New Roman" w:cs="Times New Roman"/>
          <w:lang w:eastAsia="de-DE"/>
        </w:rPr>
        <w:t>-Sonderrecht: Levitenstädte + Häuser ihrer Besitzstädte + ewiges Lösungsrecht für Leviten.</w:t>
      </w:r>
    </w:p>
    <w:p w14:paraId="4C7F81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gewährt Leviten ein unbefristetes </w:t>
      </w:r>
      <w:r w:rsidRPr="00CC6F7E">
        <w:rPr>
          <w:rFonts w:eastAsia="Times New Roman" w:cs="Times New Roman"/>
          <w:b/>
          <w:bCs/>
          <w:rtl/>
          <w:lang w:eastAsia="de-DE"/>
        </w:rPr>
        <w:t>גאלה</w:t>
      </w:r>
      <w:r w:rsidRPr="00CC6F7E">
        <w:rPr>
          <w:rFonts w:eastAsia="Times New Roman" w:cs="Times New Roman"/>
          <w:lang w:eastAsia="de-DE"/>
        </w:rPr>
        <w:t>-Recht für ihre Stadthäuser, unabhängig von der einjährigen Frist anderer Städte.</w:t>
      </w:r>
    </w:p>
    <w:p w14:paraId="529AF251"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25,33</w:t>
      </w:r>
    </w:p>
    <w:p w14:paraId="1D4EE85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וַאֲשֶׁ֤ר יִגְאַל֙ מִן־הַלְוִיִּ֔ם וְיָצָ֧א מִמְכַּר־בַּ֛יִת וְעִ֥יר אֲחֻזָּתוֹ֖ בַּיֹּבֵ֑ל כִּ֣י בָתֵּ֞י עָרֵ֣י הַלְוִיִּ֗ם הִ֚וא אֲחֻזָּתָ֔ם בְּת֖וֹךְ בְּנֵ֥י יִשְׂרָאֵֽל׃</w:t>
      </w:r>
    </w:p>
    <w:p w14:paraId="77332B9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wer von den Leviten einlöst, so soll das verkaufte Haus und die Stadt seines Besitztums im Jobeljahr ausgehen; denn die Häuser der Städte der Leviten sind ihr Besitztum unter den Kindern Israels.</w:t>
      </w:r>
    </w:p>
    <w:p w14:paraId="011B1FB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DE8EFDD">
          <v:rect id="_x0000_i1781" style="width:0;height:1.5pt" o:hralign="center" o:hrstd="t" o:hr="t" fillcolor="#a0a0a0" stroked="f"/>
        </w:pict>
      </w:r>
    </w:p>
    <w:p w14:paraId="089D42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ואשר יגאל מן־הלוים ויצא ממכר־בית ועיר אחזתו ביבל כי בתי ערי הלוים הוא אחזתם בתוך בני ישראל</w:t>
      </w:r>
      <w:r w:rsidRPr="00CC6F7E">
        <w:rPr>
          <w:rFonts w:eastAsia="Times New Roman" w:cs="Times New Roman"/>
          <w:rtl/>
          <w:lang w:eastAsia="de-DE"/>
        </w:rPr>
        <w:t xml:space="preserve"> </w:t>
      </w:r>
      <w:r w:rsidRPr="00CC6F7E">
        <w:rPr>
          <w:rFonts w:eastAsia="Times New Roman" w:cs="Times New Roman"/>
          <w:lang w:eastAsia="de-DE"/>
        </w:rPr>
        <w:t xml:space="preserve">zeigt levitische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und Jobel-Restitution. </w:t>
      </w:r>
      <w:r w:rsidRPr="00CC6F7E">
        <w:rPr>
          <w:rFonts w:eastAsia="Times New Roman" w:cs="Times New Roman"/>
          <w:b/>
          <w:bCs/>
          <w:rtl/>
          <w:lang w:eastAsia="de-DE"/>
        </w:rPr>
        <w:t>ואשר יגאל מן־הלוים</w:t>
      </w:r>
      <w:r w:rsidRPr="00CC6F7E">
        <w:rPr>
          <w:rFonts w:eastAsia="Times New Roman" w:cs="Times New Roman"/>
          <w:rtl/>
          <w:lang w:eastAsia="de-DE"/>
        </w:rPr>
        <w:t xml:space="preserve"> </w:t>
      </w:r>
      <w:r w:rsidRPr="00CC6F7E">
        <w:rPr>
          <w:rFonts w:eastAsia="Times New Roman" w:cs="Times New Roman"/>
          <w:lang w:eastAsia="de-DE"/>
        </w:rPr>
        <w:t xml:space="preserve">(und wer von den Leviten einlöst) zeigt levitische </w:t>
      </w:r>
      <w:r w:rsidRPr="00CC6F7E">
        <w:rPr>
          <w:rFonts w:eastAsia="Times New Roman" w:cs="Times New Roman"/>
          <w:b/>
          <w:bCs/>
          <w:rtl/>
          <w:lang w:eastAsia="de-DE"/>
        </w:rPr>
        <w:t>גאל</w:t>
      </w:r>
      <w:r w:rsidRPr="00CC6F7E">
        <w:rPr>
          <w:rFonts w:eastAsia="Times New Roman" w:cs="Times New Roman"/>
          <w:lang w:eastAsia="de-DE"/>
        </w:rPr>
        <w:t xml:space="preserve">-Aktivität. </w:t>
      </w:r>
      <w:r w:rsidRPr="00CC6F7E">
        <w:rPr>
          <w:rFonts w:eastAsia="Times New Roman" w:cs="Times New Roman"/>
          <w:b/>
          <w:bCs/>
          <w:rtl/>
          <w:lang w:eastAsia="de-DE"/>
        </w:rPr>
        <w:t>ויצא ממכר־בית ועיר אחזתו ביבל</w:t>
      </w:r>
      <w:r w:rsidRPr="00CC6F7E">
        <w:rPr>
          <w:rFonts w:eastAsia="Times New Roman" w:cs="Times New Roman"/>
          <w:rtl/>
          <w:lang w:eastAsia="de-DE"/>
        </w:rPr>
        <w:t xml:space="preserve"> </w:t>
      </w:r>
      <w:r w:rsidRPr="00CC6F7E">
        <w:rPr>
          <w:rFonts w:eastAsia="Times New Roman" w:cs="Times New Roman"/>
          <w:lang w:eastAsia="de-DE"/>
        </w:rPr>
        <w:t xml:space="preserve">(so soll das verkaufte Haus und die Stadt seines Besitztums im Jobeljahr ausgehen) - </w:t>
      </w:r>
      <w:r w:rsidRPr="00CC6F7E">
        <w:rPr>
          <w:rFonts w:eastAsia="Times New Roman" w:cs="Times New Roman"/>
          <w:b/>
          <w:bCs/>
          <w:rtl/>
          <w:lang w:eastAsia="de-DE"/>
        </w:rPr>
        <w:t>ויצא...ביבל</w:t>
      </w:r>
      <w:r w:rsidRPr="00CC6F7E">
        <w:rPr>
          <w:rFonts w:eastAsia="Times New Roman" w:cs="Times New Roman"/>
          <w:rtl/>
          <w:lang w:eastAsia="de-DE"/>
        </w:rPr>
        <w:t xml:space="preserve"> </w:t>
      </w:r>
      <w:r w:rsidRPr="00CC6F7E">
        <w:rPr>
          <w:rFonts w:eastAsia="Times New Roman" w:cs="Times New Roman"/>
          <w:lang w:eastAsia="de-DE"/>
        </w:rPr>
        <w:t xml:space="preserve">zeigt Jobel-Befreiung. </w:t>
      </w:r>
      <w:r w:rsidRPr="00CC6F7E">
        <w:rPr>
          <w:rFonts w:eastAsia="Times New Roman" w:cs="Times New Roman"/>
          <w:b/>
          <w:bCs/>
          <w:rtl/>
          <w:lang w:eastAsia="de-DE"/>
        </w:rPr>
        <w:t>ממכר־בית ועיר אחזתו</w:t>
      </w:r>
      <w:r w:rsidRPr="00CC6F7E">
        <w:rPr>
          <w:rFonts w:eastAsia="Times New Roman" w:cs="Times New Roman"/>
          <w:rtl/>
          <w:lang w:eastAsia="de-DE"/>
        </w:rPr>
        <w:t xml:space="preserve"> </w:t>
      </w:r>
      <w:r w:rsidRPr="00CC6F7E">
        <w:rPr>
          <w:rFonts w:eastAsia="Times New Roman" w:cs="Times New Roman"/>
          <w:lang w:eastAsia="de-DE"/>
        </w:rPr>
        <w:t>(verkauftes Haus und Stadt seines Besitztums) zeigt levitischen Stadtbesitz.</w:t>
      </w:r>
    </w:p>
    <w:p w14:paraId="141A20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 בתי ערי הלוים הוא אחזתם בתוך בני ישראל</w:t>
      </w:r>
      <w:r w:rsidRPr="00CC6F7E">
        <w:rPr>
          <w:rFonts w:eastAsia="Times New Roman" w:cs="Times New Roman"/>
          <w:rtl/>
          <w:lang w:eastAsia="de-DE"/>
        </w:rPr>
        <w:t xml:space="preserve"> </w:t>
      </w:r>
      <w:r w:rsidRPr="00CC6F7E">
        <w:rPr>
          <w:rFonts w:eastAsia="Times New Roman" w:cs="Times New Roman"/>
          <w:lang w:eastAsia="de-DE"/>
        </w:rPr>
        <w:t xml:space="preserve">(denn die Häuser der Städte der Leviten sind ihr Besitztum unter den Kindern Israels) begründet die Sonderstellung - </w:t>
      </w:r>
      <w:r w:rsidRPr="00CC6F7E">
        <w:rPr>
          <w:rFonts w:eastAsia="Times New Roman" w:cs="Times New Roman"/>
          <w:b/>
          <w:bCs/>
          <w:rtl/>
          <w:lang w:eastAsia="de-DE"/>
        </w:rPr>
        <w:t>בתי ערי הלוים הוא אחזתם</w:t>
      </w:r>
      <w:r w:rsidRPr="00CC6F7E">
        <w:rPr>
          <w:rFonts w:eastAsia="Times New Roman" w:cs="Times New Roman"/>
          <w:rtl/>
          <w:lang w:eastAsia="de-DE"/>
        </w:rPr>
        <w:t xml:space="preserve"> </w:t>
      </w:r>
      <w:r w:rsidRPr="00CC6F7E">
        <w:rPr>
          <w:rFonts w:eastAsia="Times New Roman" w:cs="Times New Roman"/>
          <w:lang w:eastAsia="de-DE"/>
        </w:rPr>
        <w:t xml:space="preserve">(die Häuser der Levitenstädte sind ihr Besitztum) zeigt levitische </w:t>
      </w:r>
      <w:r w:rsidRPr="00CC6F7E">
        <w:rPr>
          <w:rFonts w:eastAsia="Times New Roman" w:cs="Times New Roman"/>
          <w:b/>
          <w:bCs/>
          <w:rtl/>
          <w:lang w:eastAsia="de-DE"/>
        </w:rPr>
        <w:t>אחזה</w:t>
      </w:r>
      <w:r w:rsidRPr="00CC6F7E">
        <w:rPr>
          <w:rFonts w:eastAsia="Times New Roman" w:cs="Times New Roman"/>
          <w:lang w:eastAsia="de-DE"/>
        </w:rPr>
        <w:t xml:space="preserve">. </w:t>
      </w:r>
      <w:r w:rsidRPr="00CC6F7E">
        <w:rPr>
          <w:rFonts w:eastAsia="Times New Roman" w:cs="Times New Roman"/>
          <w:b/>
          <w:bCs/>
          <w:rtl/>
          <w:lang w:eastAsia="de-DE"/>
        </w:rPr>
        <w:t>בתוך בני ישראל</w:t>
      </w:r>
      <w:r w:rsidRPr="00CC6F7E">
        <w:rPr>
          <w:rFonts w:eastAsia="Times New Roman" w:cs="Times New Roman"/>
          <w:rtl/>
          <w:lang w:eastAsia="de-DE"/>
        </w:rPr>
        <w:t xml:space="preserve"> </w:t>
      </w:r>
      <w:r w:rsidRPr="00CC6F7E">
        <w:rPr>
          <w:rFonts w:eastAsia="Times New Roman" w:cs="Times New Roman"/>
          <w:lang w:eastAsia="de-DE"/>
        </w:rPr>
        <w:t>(unter den Kindern Israels) zeigt ihre Sonderstellung im Volk.</w:t>
      </w:r>
    </w:p>
    <w:p w14:paraId="49541D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ואשר יגאל מן־הלוים</w:t>
      </w:r>
      <w:r w:rsidRPr="00CC6F7E">
        <w:rPr>
          <w:rFonts w:eastAsia="Times New Roman" w:cs="Times New Roman"/>
          <w:rtl/>
          <w:lang w:eastAsia="de-DE"/>
        </w:rPr>
        <w:t xml:space="preserve"> </w:t>
      </w:r>
      <w:r w:rsidRPr="00CC6F7E">
        <w:rPr>
          <w:rFonts w:eastAsia="Times New Roman" w:cs="Times New Roman"/>
          <w:lang w:eastAsia="de-DE"/>
        </w:rPr>
        <w:t xml:space="preserve">zeigt levitische </w:t>
      </w:r>
      <w:r w:rsidRPr="00CC6F7E">
        <w:rPr>
          <w:rFonts w:eastAsia="Times New Roman" w:cs="Times New Roman"/>
          <w:b/>
          <w:bCs/>
          <w:rtl/>
          <w:lang w:eastAsia="de-DE"/>
        </w:rPr>
        <w:t>גאלה</w:t>
      </w:r>
      <w:r w:rsidRPr="00CC6F7E">
        <w:rPr>
          <w:rFonts w:eastAsia="Times New Roman" w:cs="Times New Roman"/>
          <w:lang w:eastAsia="de-DE"/>
        </w:rPr>
        <w:t xml:space="preserve">-Berechtigung. </w:t>
      </w:r>
      <w:r w:rsidRPr="00CC6F7E">
        <w:rPr>
          <w:rFonts w:eastAsia="Times New Roman" w:cs="Times New Roman"/>
          <w:b/>
          <w:bCs/>
          <w:rtl/>
          <w:lang w:eastAsia="de-DE"/>
        </w:rPr>
        <w:t>ויצא ביבל</w:t>
      </w:r>
      <w:r w:rsidRPr="00CC6F7E">
        <w:rPr>
          <w:rFonts w:eastAsia="Times New Roman" w:cs="Times New Roman"/>
          <w:rtl/>
          <w:lang w:eastAsia="de-DE"/>
        </w:rPr>
        <w:t xml:space="preserve"> </w:t>
      </w:r>
      <w:r w:rsidRPr="00CC6F7E">
        <w:rPr>
          <w:rFonts w:eastAsia="Times New Roman" w:cs="Times New Roman"/>
          <w:lang w:eastAsia="de-DE"/>
        </w:rPr>
        <w:t xml:space="preserve">zeigt, dass auch Levitenstädte der Jobel-Restitution unterliegen. </w:t>
      </w:r>
      <w:r w:rsidRPr="00CC6F7E">
        <w:rPr>
          <w:rFonts w:eastAsia="Times New Roman" w:cs="Times New Roman"/>
          <w:b/>
          <w:bCs/>
          <w:rtl/>
          <w:lang w:eastAsia="de-DE"/>
        </w:rPr>
        <w:t>הוא אחזתם בתוך בני ישראל</w:t>
      </w:r>
      <w:r w:rsidRPr="00CC6F7E">
        <w:rPr>
          <w:rFonts w:eastAsia="Times New Roman" w:cs="Times New Roman"/>
          <w:rtl/>
          <w:lang w:eastAsia="de-DE"/>
        </w:rPr>
        <w:t xml:space="preserve"> </w:t>
      </w:r>
      <w:r w:rsidRPr="00CC6F7E">
        <w:rPr>
          <w:rFonts w:eastAsia="Times New Roman" w:cs="Times New Roman"/>
          <w:lang w:eastAsia="de-DE"/>
        </w:rPr>
        <w:t xml:space="preserve">begründet levitische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als Sonderbesitz.</w:t>
      </w:r>
    </w:p>
    <w:p w14:paraId="3AEAEC6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ואשר יגאל מן־הלוים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ὃς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ἂν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αι πα</w:t>
      </w:r>
      <w:proofErr w:type="spellStart"/>
      <w:r w:rsidRPr="00CC6F7E">
        <w:rPr>
          <w:rFonts w:eastAsia="Times New Roman" w:cs="Times New Roman"/>
          <w:lang w:eastAsia="de-DE"/>
        </w:rPr>
        <w:t>ρὰ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Λευιτῶν</w:t>
      </w:r>
      <w:proofErr w:type="spellEnd"/>
      <w:r w:rsidRPr="00CC6F7E">
        <w:rPr>
          <w:rFonts w:eastAsia="Times New Roman" w:cs="Times New Roman"/>
          <w:lang w:eastAsia="de-DE"/>
        </w:rPr>
        <w:t xml:space="preserve"> (wer lösen wird von den Leviten), </w:t>
      </w:r>
      <w:r w:rsidRPr="00CC6F7E">
        <w:rPr>
          <w:rFonts w:eastAsia="Times New Roman" w:cs="Times New Roman"/>
          <w:b/>
          <w:bCs/>
          <w:rtl/>
          <w:lang w:eastAsia="de-DE"/>
        </w:rPr>
        <w:t>ממכר־בית</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ρᾶσις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οἰκί</w:t>
      </w:r>
      <w:proofErr w:type="spellEnd"/>
      <w:r w:rsidRPr="00CC6F7E">
        <w:rPr>
          <w:rFonts w:eastAsia="Times New Roman" w:cs="Times New Roman"/>
          <w:lang w:eastAsia="de-DE"/>
        </w:rPr>
        <w:t xml:space="preserve">ας (Verkauf eines Hauses), </w:t>
      </w:r>
      <w:r w:rsidRPr="00CC6F7E">
        <w:rPr>
          <w:rFonts w:eastAsia="Times New Roman" w:cs="Times New Roman"/>
          <w:b/>
          <w:bCs/>
          <w:rtl/>
          <w:lang w:eastAsia="de-DE"/>
        </w:rPr>
        <w:t>עיר אחזתו</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όλις</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σχέσεως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(Stadt seines Besitzes) und </w:t>
      </w:r>
      <w:r w:rsidRPr="00CC6F7E">
        <w:rPr>
          <w:rFonts w:eastAsia="Times New Roman" w:cs="Times New Roman"/>
          <w:b/>
          <w:bCs/>
          <w:rtl/>
          <w:lang w:eastAsia="de-DE"/>
        </w:rPr>
        <w:t>אחזתם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τάσχεσις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(ihr Besitz).</w:t>
      </w:r>
    </w:p>
    <w:p w14:paraId="617BEC7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Leviten-</w:t>
      </w:r>
      <w:r w:rsidRPr="00CC6F7E">
        <w:rPr>
          <w:rFonts w:eastAsia="Times New Roman" w:cs="Times New Roman"/>
          <w:b/>
          <w:bCs/>
          <w:rtl/>
          <w:lang w:eastAsia="de-DE"/>
        </w:rPr>
        <w:t>גאלה</w:t>
      </w:r>
      <w:r w:rsidRPr="00CC6F7E">
        <w:rPr>
          <w:rFonts w:eastAsia="Times New Roman" w:cs="Times New Roman"/>
          <w:lang w:eastAsia="de-DE"/>
        </w:rPr>
        <w:t xml:space="preserve">-Jobel: levitische Einlösung + verkauftes Haus und Besitzstadt + Jobel-Ausgang + Begründung durch levitische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im Volk.</w:t>
      </w:r>
    </w:p>
    <w:p w14:paraId="6A2B117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zeigt, dass levitische Stadthäuser sowohl unbefristeter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als auch Jobel-Restitution unterliegen, da sie levitische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darstellen.</w:t>
      </w:r>
    </w:p>
    <w:p w14:paraId="49A16BF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25,34</w:t>
      </w:r>
    </w:p>
    <w:p w14:paraId="50B82E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וּֽשְׂדֵ֛ה מִגְרַ֥שׁ עָרֵיהֶ֖ם לֹ֣א יִמָּכֵ֑ר כִּֽי־אֲחֻזַּ֥ת עוֹלָ֛ם ה֖וּא לָהֶֽם׃</w:t>
      </w:r>
    </w:p>
    <w:p w14:paraId="44D57A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Aber das Feld des Bezirks ihrer Städte soll nicht verkauft werden, denn es ist ihr ewiges Besitztum.</w:t>
      </w:r>
    </w:p>
    <w:p w14:paraId="4CC54B88"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F33E39B">
          <v:rect id="_x0000_i1782" style="width:0;height:1.5pt" o:hralign="center" o:hrstd="t" o:hr="t" fillcolor="#a0a0a0" stroked="f"/>
        </w:pict>
      </w:r>
    </w:p>
    <w:p w14:paraId="47EF8E4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ושדה מגרש עריהם לא ימכר כי־אחזת עולם הוא להם</w:t>
      </w:r>
      <w:r w:rsidRPr="00CC6F7E">
        <w:rPr>
          <w:rFonts w:eastAsia="Times New Roman" w:cs="Times New Roman"/>
          <w:rtl/>
          <w:lang w:eastAsia="de-DE"/>
        </w:rPr>
        <w:t xml:space="preserve"> </w:t>
      </w:r>
      <w:r w:rsidRPr="00CC6F7E">
        <w:rPr>
          <w:rFonts w:eastAsia="Times New Roman" w:cs="Times New Roman"/>
          <w:lang w:eastAsia="de-DE"/>
        </w:rPr>
        <w:t xml:space="preserve">zeigt das absolute Verkaufsverbot für levitisches Weideland. </w:t>
      </w:r>
      <w:r w:rsidRPr="00CC6F7E">
        <w:rPr>
          <w:rFonts w:eastAsia="Times New Roman" w:cs="Times New Roman"/>
          <w:b/>
          <w:bCs/>
          <w:rtl/>
          <w:lang w:eastAsia="de-DE"/>
        </w:rPr>
        <w:t>ושדה מגרש עריהם</w:t>
      </w:r>
      <w:r w:rsidRPr="00CC6F7E">
        <w:rPr>
          <w:rFonts w:eastAsia="Times New Roman" w:cs="Times New Roman"/>
          <w:rtl/>
          <w:lang w:eastAsia="de-DE"/>
        </w:rPr>
        <w:t xml:space="preserve"> </w:t>
      </w:r>
      <w:r w:rsidRPr="00CC6F7E">
        <w:rPr>
          <w:rFonts w:eastAsia="Times New Roman" w:cs="Times New Roman"/>
          <w:lang w:eastAsia="de-DE"/>
        </w:rPr>
        <w:t xml:space="preserve">(aber das Feld des Bezirks ihrer Städte) - </w:t>
      </w:r>
      <w:r w:rsidRPr="00CC6F7E">
        <w:rPr>
          <w:rFonts w:eastAsia="Times New Roman" w:cs="Times New Roman"/>
          <w:b/>
          <w:bCs/>
          <w:rtl/>
          <w:lang w:eastAsia="de-DE"/>
        </w:rPr>
        <w:t>שדה מגרש</w:t>
      </w:r>
      <w:r w:rsidRPr="00CC6F7E">
        <w:rPr>
          <w:rFonts w:eastAsia="Times New Roman" w:cs="Times New Roman"/>
          <w:rtl/>
          <w:lang w:eastAsia="de-DE"/>
        </w:rPr>
        <w:t xml:space="preserve"> </w:t>
      </w:r>
      <w:r w:rsidRPr="00CC6F7E">
        <w:rPr>
          <w:rFonts w:eastAsia="Times New Roman" w:cs="Times New Roman"/>
          <w:lang w:eastAsia="de-DE"/>
        </w:rPr>
        <w:t xml:space="preserve">(Feld des Bezirks) zeigt das Weideland um die Levitenstädte. </w:t>
      </w:r>
      <w:r w:rsidRPr="00CC6F7E">
        <w:rPr>
          <w:rFonts w:eastAsia="Times New Roman" w:cs="Times New Roman"/>
          <w:b/>
          <w:bCs/>
          <w:rtl/>
          <w:lang w:eastAsia="de-DE"/>
        </w:rPr>
        <w:t>עריהם</w:t>
      </w:r>
      <w:r w:rsidRPr="00CC6F7E">
        <w:rPr>
          <w:rFonts w:eastAsia="Times New Roman" w:cs="Times New Roman"/>
          <w:rtl/>
          <w:lang w:eastAsia="de-DE"/>
        </w:rPr>
        <w:t xml:space="preserve"> </w:t>
      </w:r>
      <w:r w:rsidRPr="00CC6F7E">
        <w:rPr>
          <w:rFonts w:eastAsia="Times New Roman" w:cs="Times New Roman"/>
          <w:lang w:eastAsia="de-DE"/>
        </w:rPr>
        <w:t xml:space="preserve">(ihrer Städte) bezieht sich auf die 48 Levitenstädte. </w:t>
      </w:r>
      <w:r w:rsidRPr="00CC6F7E">
        <w:rPr>
          <w:rFonts w:eastAsia="Times New Roman" w:cs="Times New Roman"/>
          <w:b/>
          <w:bCs/>
          <w:rtl/>
          <w:lang w:eastAsia="de-DE"/>
        </w:rPr>
        <w:t>מגרש</w:t>
      </w:r>
      <w:r w:rsidRPr="00CC6F7E">
        <w:rPr>
          <w:rFonts w:eastAsia="Times New Roman" w:cs="Times New Roman"/>
          <w:rtl/>
          <w:lang w:eastAsia="de-DE"/>
        </w:rPr>
        <w:t xml:space="preserve"> </w:t>
      </w:r>
      <w:r w:rsidRPr="00CC6F7E">
        <w:rPr>
          <w:rFonts w:eastAsia="Times New Roman" w:cs="Times New Roman"/>
          <w:lang w:eastAsia="de-DE"/>
        </w:rPr>
        <w:t>(Bezirk/Weideland) zeigt das Gebiet von 1000 Ellen um jede Levitenstadt (Num 35,4).</w:t>
      </w:r>
    </w:p>
    <w:p w14:paraId="4C3112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ימכר</w:t>
      </w:r>
      <w:r w:rsidRPr="00CC6F7E">
        <w:rPr>
          <w:rFonts w:eastAsia="Times New Roman" w:cs="Times New Roman"/>
          <w:rtl/>
          <w:lang w:eastAsia="de-DE"/>
        </w:rPr>
        <w:t xml:space="preserve"> </w:t>
      </w:r>
      <w:r w:rsidRPr="00CC6F7E">
        <w:rPr>
          <w:rFonts w:eastAsia="Times New Roman" w:cs="Times New Roman"/>
          <w:lang w:eastAsia="de-DE"/>
        </w:rPr>
        <w:t xml:space="preserve">(soll nicht verkauft werden) im Nifal-Imperfekt zeigt absolutes Verkaufsverbot. </w:t>
      </w:r>
      <w:r w:rsidRPr="00CC6F7E">
        <w:rPr>
          <w:rFonts w:eastAsia="Times New Roman" w:cs="Times New Roman"/>
          <w:b/>
          <w:bCs/>
          <w:rtl/>
          <w:lang w:eastAsia="de-DE"/>
        </w:rPr>
        <w:t>כי־אחזת עולם הוא להם</w:t>
      </w:r>
      <w:r w:rsidRPr="00CC6F7E">
        <w:rPr>
          <w:rFonts w:eastAsia="Times New Roman" w:cs="Times New Roman"/>
          <w:rtl/>
          <w:lang w:eastAsia="de-DE"/>
        </w:rPr>
        <w:t xml:space="preserve"> </w:t>
      </w:r>
      <w:r w:rsidRPr="00CC6F7E">
        <w:rPr>
          <w:rFonts w:eastAsia="Times New Roman" w:cs="Times New Roman"/>
          <w:lang w:eastAsia="de-DE"/>
        </w:rPr>
        <w:t xml:space="preserve">(denn es ist ihr ewiges Besitztum) begründet das Verbot - </w:t>
      </w:r>
      <w:r w:rsidRPr="00CC6F7E">
        <w:rPr>
          <w:rFonts w:eastAsia="Times New Roman" w:cs="Times New Roman"/>
          <w:b/>
          <w:bCs/>
          <w:rtl/>
          <w:lang w:eastAsia="de-DE"/>
        </w:rPr>
        <w:t>אחזת עולם</w:t>
      </w:r>
      <w:r w:rsidRPr="00CC6F7E">
        <w:rPr>
          <w:rFonts w:eastAsia="Times New Roman" w:cs="Times New Roman"/>
          <w:rtl/>
          <w:lang w:eastAsia="de-DE"/>
        </w:rPr>
        <w:t xml:space="preserve"> </w:t>
      </w:r>
      <w:r w:rsidRPr="00CC6F7E">
        <w:rPr>
          <w:rFonts w:eastAsia="Times New Roman" w:cs="Times New Roman"/>
          <w:lang w:eastAsia="de-DE"/>
        </w:rPr>
        <w:t xml:space="preserve">(ewiges Besitztum) zeigt unantastbaren Dauerbesitz. </w:t>
      </w:r>
      <w:r w:rsidRPr="00CC6F7E">
        <w:rPr>
          <w:rFonts w:eastAsia="Times New Roman" w:cs="Times New Roman"/>
          <w:b/>
          <w:bCs/>
          <w:rtl/>
          <w:lang w:eastAsia="de-DE"/>
        </w:rPr>
        <w:t>הוא להם</w:t>
      </w:r>
      <w:r w:rsidRPr="00CC6F7E">
        <w:rPr>
          <w:rFonts w:eastAsia="Times New Roman" w:cs="Times New Roman"/>
          <w:rtl/>
          <w:lang w:eastAsia="de-DE"/>
        </w:rPr>
        <w:t xml:space="preserve"> </w:t>
      </w:r>
      <w:r w:rsidRPr="00CC6F7E">
        <w:rPr>
          <w:rFonts w:eastAsia="Times New Roman" w:cs="Times New Roman"/>
          <w:lang w:eastAsia="de-DE"/>
        </w:rPr>
        <w:t>(es ist ihnen) zeigt kollektiven Leviten-Besitz.</w:t>
      </w:r>
    </w:p>
    <w:p w14:paraId="118D7C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שדה מגרש עריהם</w:t>
      </w:r>
      <w:r w:rsidRPr="00CC6F7E">
        <w:rPr>
          <w:rFonts w:eastAsia="Times New Roman" w:cs="Times New Roman"/>
          <w:rtl/>
          <w:lang w:eastAsia="de-DE"/>
        </w:rPr>
        <w:t xml:space="preserve"> </w:t>
      </w:r>
      <w:r w:rsidRPr="00CC6F7E">
        <w:rPr>
          <w:rFonts w:eastAsia="Times New Roman" w:cs="Times New Roman"/>
          <w:lang w:eastAsia="de-DE"/>
        </w:rPr>
        <w:t xml:space="preserve">zeigt das Weideland als unveräußerliches levitisches Gemeingut. </w:t>
      </w:r>
      <w:r w:rsidRPr="00CC6F7E">
        <w:rPr>
          <w:rFonts w:eastAsia="Times New Roman" w:cs="Times New Roman"/>
          <w:b/>
          <w:bCs/>
          <w:rtl/>
          <w:lang w:eastAsia="de-DE"/>
        </w:rPr>
        <w:t>לא ימכר</w:t>
      </w:r>
      <w:r w:rsidRPr="00CC6F7E">
        <w:rPr>
          <w:rFonts w:eastAsia="Times New Roman" w:cs="Times New Roman"/>
          <w:rtl/>
          <w:lang w:eastAsia="de-DE"/>
        </w:rPr>
        <w:t xml:space="preserve"> </w:t>
      </w:r>
      <w:r w:rsidRPr="00CC6F7E">
        <w:rPr>
          <w:rFonts w:eastAsia="Times New Roman" w:cs="Times New Roman"/>
          <w:lang w:eastAsia="de-DE"/>
        </w:rPr>
        <w:t xml:space="preserve">zeigt striktes Verkaufsverbot im Gegensatz zu den Häusern. </w:t>
      </w:r>
      <w:r w:rsidRPr="00CC6F7E">
        <w:rPr>
          <w:rFonts w:eastAsia="Times New Roman" w:cs="Times New Roman"/>
          <w:b/>
          <w:bCs/>
          <w:rtl/>
          <w:lang w:eastAsia="de-DE"/>
        </w:rPr>
        <w:t>אחזת עולם</w:t>
      </w:r>
      <w:r w:rsidRPr="00CC6F7E">
        <w:rPr>
          <w:rFonts w:eastAsia="Times New Roman" w:cs="Times New Roman"/>
          <w:rtl/>
          <w:lang w:eastAsia="de-DE"/>
        </w:rPr>
        <w:t xml:space="preserve"> </w:t>
      </w:r>
      <w:r w:rsidRPr="00CC6F7E">
        <w:rPr>
          <w:rFonts w:eastAsia="Times New Roman" w:cs="Times New Roman"/>
          <w:lang w:eastAsia="de-DE"/>
        </w:rPr>
        <w:t>zeigt höchsten Besitzstatus.</w:t>
      </w:r>
    </w:p>
    <w:p w14:paraId="7BE07C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שדה מגרש עריהם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ἀγροὶ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ἀφωρισμένοι</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όλεων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(abgegrenzte Felder ihrer Städte), </w:t>
      </w:r>
      <w:r w:rsidRPr="00CC6F7E">
        <w:rPr>
          <w:rFonts w:eastAsia="Times New Roman" w:cs="Times New Roman"/>
          <w:b/>
          <w:bCs/>
          <w:rtl/>
          <w:lang w:eastAsia="de-DE"/>
        </w:rPr>
        <w:t>לא ימכר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πρα</w:t>
      </w:r>
      <w:proofErr w:type="spellStart"/>
      <w:r w:rsidRPr="00CC6F7E">
        <w:rPr>
          <w:rFonts w:eastAsia="Times New Roman" w:cs="Times New Roman"/>
          <w:lang w:eastAsia="de-DE"/>
        </w:rPr>
        <w:t>θήσετ</w:t>
      </w:r>
      <w:proofErr w:type="spellEnd"/>
      <w:r w:rsidRPr="00CC6F7E">
        <w:rPr>
          <w:rFonts w:eastAsia="Times New Roman" w:cs="Times New Roman"/>
          <w:lang w:eastAsia="de-DE"/>
        </w:rPr>
        <w:t xml:space="preserve">αι (wird nicht verkauft werden) und </w:t>
      </w:r>
      <w:r w:rsidRPr="00CC6F7E">
        <w:rPr>
          <w:rFonts w:eastAsia="Times New Roman" w:cs="Times New Roman"/>
          <w:b/>
          <w:bCs/>
          <w:rtl/>
          <w:lang w:eastAsia="de-DE"/>
        </w:rPr>
        <w:t>אחזת עולם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τάσχεσις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ἰώνιος</w:t>
      </w:r>
      <w:proofErr w:type="spellEnd"/>
      <w:r w:rsidRPr="00CC6F7E">
        <w:rPr>
          <w:rFonts w:eastAsia="Times New Roman" w:cs="Times New Roman"/>
          <w:lang w:eastAsia="de-DE"/>
        </w:rPr>
        <w:t xml:space="preserve"> (ewiger Besitz).</w:t>
      </w:r>
    </w:p>
    <w:p w14:paraId="6E2714A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Leviten-Weideland-Unveräußerlichkeit: Bezirksfeld ihrer Städte + absolutes Verkaufsverbot + Begründung durch ewigen Besitzstatus.</w:t>
      </w:r>
    </w:p>
    <w:p w14:paraId="6C502D7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das levitische Weideland als absolut unveräußerlich - während Häuser der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unterliegen, ist das Weideland ewig unverkäuflich.</w:t>
      </w:r>
    </w:p>
    <w:p w14:paraId="5AEE517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25,35</w:t>
      </w:r>
    </w:p>
    <w:p w14:paraId="03B7B3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וְכִֽי־יָמ֣וּךְ אָחִ֔יךָ וּמָ֥טָה יָדֹ֖ו עִמָּ֑ךְ וְהֶֽחֱזַ֣קְתָּ בּוֹ֔ גֵּ֧ר וְתוֹשָׁ֛ב וָחַ֖י עִמָּֽךְ׃</w:t>
      </w:r>
    </w:p>
    <w:p w14:paraId="397864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dein Bruder verarmt und seine Hand bei dir wankt, so sollst du ihn unterstützen; als Fremder und Beisasse soll er bei dir leben.</w:t>
      </w:r>
    </w:p>
    <w:p w14:paraId="5AAA193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4AFA693">
          <v:rect id="_x0000_i1783" style="width:0;height:1.5pt" o:hralign="center" o:hrstd="t" o:hr="t" fillcolor="#a0a0a0" stroked="f"/>
        </w:pict>
      </w:r>
    </w:p>
    <w:p w14:paraId="4A95BD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וכי־ימוך אחיך ומטה ידו עמך והחזקת בו גר ותושב וחי עמך</w:t>
      </w:r>
      <w:r w:rsidRPr="00CC6F7E">
        <w:rPr>
          <w:rFonts w:eastAsia="Times New Roman" w:cs="Times New Roman"/>
          <w:rtl/>
          <w:lang w:eastAsia="de-DE"/>
        </w:rPr>
        <w:t xml:space="preserve"> </w:t>
      </w:r>
      <w:r w:rsidRPr="00CC6F7E">
        <w:rPr>
          <w:rFonts w:eastAsia="Times New Roman" w:cs="Times New Roman"/>
          <w:lang w:eastAsia="de-DE"/>
        </w:rPr>
        <w:t xml:space="preserve">führt die Unterstützungspflicht für verarmte Volksgenossen ein. </w:t>
      </w:r>
      <w:r w:rsidRPr="00CC6F7E">
        <w:rPr>
          <w:rFonts w:eastAsia="Times New Roman" w:cs="Times New Roman"/>
          <w:b/>
          <w:bCs/>
          <w:rtl/>
          <w:lang w:eastAsia="de-DE"/>
        </w:rPr>
        <w:t>וכי־ימוך אחיך ומטה ידו עמך</w:t>
      </w:r>
      <w:r w:rsidRPr="00CC6F7E">
        <w:rPr>
          <w:rFonts w:eastAsia="Times New Roman" w:cs="Times New Roman"/>
          <w:rtl/>
          <w:lang w:eastAsia="de-DE"/>
        </w:rPr>
        <w:t xml:space="preserve"> </w:t>
      </w:r>
      <w:r w:rsidRPr="00CC6F7E">
        <w:rPr>
          <w:rFonts w:eastAsia="Times New Roman" w:cs="Times New Roman"/>
          <w:lang w:eastAsia="de-DE"/>
        </w:rPr>
        <w:t xml:space="preserve">(und wenn dein Bruder verarmt und seine Hand bei dir wankt) - </w:t>
      </w:r>
      <w:r w:rsidRPr="00CC6F7E">
        <w:rPr>
          <w:rFonts w:eastAsia="Times New Roman" w:cs="Times New Roman"/>
          <w:b/>
          <w:bCs/>
          <w:rtl/>
          <w:lang w:eastAsia="de-DE"/>
        </w:rPr>
        <w:t>ימוך אחיך</w:t>
      </w:r>
      <w:r w:rsidRPr="00CC6F7E">
        <w:rPr>
          <w:rFonts w:eastAsia="Times New Roman" w:cs="Times New Roman"/>
          <w:rtl/>
          <w:lang w:eastAsia="de-DE"/>
        </w:rPr>
        <w:t xml:space="preserve"> </w:t>
      </w:r>
      <w:r w:rsidRPr="00CC6F7E">
        <w:rPr>
          <w:rFonts w:eastAsia="Times New Roman" w:cs="Times New Roman"/>
          <w:lang w:eastAsia="de-DE"/>
        </w:rPr>
        <w:t xml:space="preserve">entspricht V. 25 und zeigt Verarmung des Bruders. </w:t>
      </w:r>
      <w:r w:rsidRPr="00CC6F7E">
        <w:rPr>
          <w:rFonts w:eastAsia="Times New Roman" w:cs="Times New Roman"/>
          <w:b/>
          <w:bCs/>
          <w:rtl/>
          <w:lang w:eastAsia="de-DE"/>
        </w:rPr>
        <w:t>ומטה ידו עמך</w:t>
      </w:r>
      <w:r w:rsidRPr="00CC6F7E">
        <w:rPr>
          <w:rFonts w:eastAsia="Times New Roman" w:cs="Times New Roman"/>
          <w:rtl/>
          <w:lang w:eastAsia="de-DE"/>
        </w:rPr>
        <w:t xml:space="preserve"> </w:t>
      </w:r>
      <w:r w:rsidRPr="00CC6F7E">
        <w:rPr>
          <w:rFonts w:eastAsia="Times New Roman" w:cs="Times New Roman"/>
          <w:lang w:eastAsia="de-DE"/>
        </w:rPr>
        <w:t xml:space="preserve">(und seine Hand wankt bei dir) - </w:t>
      </w:r>
      <w:r w:rsidRPr="00CC6F7E">
        <w:rPr>
          <w:rFonts w:eastAsia="Times New Roman" w:cs="Times New Roman"/>
          <w:b/>
          <w:bCs/>
          <w:rtl/>
          <w:lang w:eastAsia="de-DE"/>
        </w:rPr>
        <w:t>מטה ידו</w:t>
      </w:r>
      <w:r w:rsidRPr="00CC6F7E">
        <w:rPr>
          <w:rFonts w:eastAsia="Times New Roman" w:cs="Times New Roman"/>
          <w:rtl/>
          <w:lang w:eastAsia="de-DE"/>
        </w:rPr>
        <w:t xml:space="preserve"> </w:t>
      </w:r>
      <w:r w:rsidRPr="00CC6F7E">
        <w:rPr>
          <w:rFonts w:eastAsia="Times New Roman" w:cs="Times New Roman"/>
          <w:lang w:eastAsia="de-DE"/>
        </w:rPr>
        <w:t xml:space="preserve">(seine Hand wankt) von </w:t>
      </w:r>
      <w:r w:rsidRPr="00CC6F7E">
        <w:rPr>
          <w:rFonts w:eastAsia="Times New Roman" w:cs="Times New Roman"/>
          <w:b/>
          <w:bCs/>
          <w:rtl/>
          <w:lang w:eastAsia="de-DE"/>
        </w:rPr>
        <w:t>מוט</w:t>
      </w:r>
      <w:r w:rsidRPr="00CC6F7E">
        <w:rPr>
          <w:rFonts w:eastAsia="Times New Roman" w:cs="Times New Roman"/>
          <w:rtl/>
          <w:lang w:eastAsia="de-DE"/>
        </w:rPr>
        <w:t xml:space="preserve"> </w:t>
      </w:r>
      <w:r w:rsidRPr="00CC6F7E">
        <w:rPr>
          <w:rFonts w:eastAsia="Times New Roman" w:cs="Times New Roman"/>
          <w:lang w:eastAsia="de-DE"/>
        </w:rPr>
        <w:t xml:space="preserve">(wanken) zeigt wirtschaftliche Instabilität. </w:t>
      </w:r>
      <w:r w:rsidRPr="00CC6F7E">
        <w:rPr>
          <w:rFonts w:eastAsia="Times New Roman" w:cs="Times New Roman"/>
          <w:b/>
          <w:bCs/>
          <w:rtl/>
          <w:lang w:eastAsia="de-DE"/>
        </w:rPr>
        <w:t>עמך</w:t>
      </w:r>
      <w:r w:rsidRPr="00CC6F7E">
        <w:rPr>
          <w:rFonts w:eastAsia="Times New Roman" w:cs="Times New Roman"/>
          <w:rtl/>
          <w:lang w:eastAsia="de-DE"/>
        </w:rPr>
        <w:t xml:space="preserve"> </w:t>
      </w:r>
      <w:r w:rsidRPr="00CC6F7E">
        <w:rPr>
          <w:rFonts w:eastAsia="Times New Roman" w:cs="Times New Roman"/>
          <w:lang w:eastAsia="de-DE"/>
        </w:rPr>
        <w:t>(bei dir) zeigt die Beziehung zum Helfenden.</w:t>
      </w:r>
    </w:p>
    <w:p w14:paraId="6D9B65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והחזקת בו</w:t>
      </w:r>
      <w:r w:rsidRPr="00CC6F7E">
        <w:rPr>
          <w:rFonts w:eastAsia="Times New Roman" w:cs="Times New Roman"/>
          <w:rtl/>
          <w:lang w:eastAsia="de-DE"/>
        </w:rPr>
        <w:t xml:space="preserve"> </w:t>
      </w:r>
      <w:r w:rsidRPr="00CC6F7E">
        <w:rPr>
          <w:rFonts w:eastAsia="Times New Roman" w:cs="Times New Roman"/>
          <w:lang w:eastAsia="de-DE"/>
        </w:rPr>
        <w:t xml:space="preserve">(so sollst du ihn unterstützen) - </w:t>
      </w:r>
      <w:r w:rsidRPr="00CC6F7E">
        <w:rPr>
          <w:rFonts w:eastAsia="Times New Roman" w:cs="Times New Roman"/>
          <w:b/>
          <w:bCs/>
          <w:rtl/>
          <w:lang w:eastAsia="de-DE"/>
        </w:rPr>
        <w:t>והחזקת בו</w:t>
      </w:r>
      <w:r w:rsidRPr="00CC6F7E">
        <w:rPr>
          <w:rFonts w:eastAsia="Times New Roman" w:cs="Times New Roman"/>
          <w:rtl/>
          <w:lang w:eastAsia="de-DE"/>
        </w:rPr>
        <w:t xml:space="preserve"> </w:t>
      </w:r>
      <w:r w:rsidRPr="00CC6F7E">
        <w:rPr>
          <w:rFonts w:eastAsia="Times New Roman" w:cs="Times New Roman"/>
          <w:lang w:eastAsia="de-DE"/>
        </w:rPr>
        <w:t xml:space="preserve">(und du sollst ihn stärken) im Hifil-Perfekt mit Waw-Konsekutiv von </w:t>
      </w:r>
      <w:r w:rsidRPr="00CC6F7E">
        <w:rPr>
          <w:rFonts w:eastAsia="Times New Roman" w:cs="Times New Roman"/>
          <w:b/>
          <w:bCs/>
          <w:rtl/>
          <w:lang w:eastAsia="de-DE"/>
        </w:rPr>
        <w:t>חזק</w:t>
      </w:r>
      <w:r w:rsidRPr="00CC6F7E">
        <w:rPr>
          <w:rFonts w:eastAsia="Times New Roman" w:cs="Times New Roman"/>
          <w:lang w:eastAsia="de-DE"/>
        </w:rPr>
        <w:t>, das Hifil zeigt kausative Stärkung/Unterstützung.</w:t>
      </w:r>
    </w:p>
    <w:p w14:paraId="7D9B5BE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גר ותושב וחי עמך</w:t>
      </w:r>
      <w:r w:rsidRPr="00CC6F7E">
        <w:rPr>
          <w:rFonts w:eastAsia="Times New Roman" w:cs="Times New Roman"/>
          <w:rtl/>
          <w:lang w:eastAsia="de-DE"/>
        </w:rPr>
        <w:t xml:space="preserve"> </w:t>
      </w:r>
      <w:r w:rsidRPr="00CC6F7E">
        <w:rPr>
          <w:rFonts w:eastAsia="Times New Roman" w:cs="Times New Roman"/>
          <w:lang w:eastAsia="de-DE"/>
        </w:rPr>
        <w:t xml:space="preserve">(als Fremder und Beisasse soll er bei dir leben) - </w:t>
      </w:r>
      <w:r w:rsidRPr="00CC6F7E">
        <w:rPr>
          <w:rFonts w:eastAsia="Times New Roman" w:cs="Times New Roman"/>
          <w:b/>
          <w:bCs/>
          <w:rtl/>
          <w:lang w:eastAsia="de-DE"/>
        </w:rPr>
        <w:t>גר ותושב</w:t>
      </w:r>
      <w:r w:rsidRPr="00CC6F7E">
        <w:rPr>
          <w:rFonts w:eastAsia="Times New Roman" w:cs="Times New Roman"/>
          <w:rtl/>
          <w:lang w:eastAsia="de-DE"/>
        </w:rPr>
        <w:t xml:space="preserve"> </w:t>
      </w:r>
      <w:r w:rsidRPr="00CC6F7E">
        <w:rPr>
          <w:rFonts w:eastAsia="Times New Roman" w:cs="Times New Roman"/>
          <w:lang w:eastAsia="de-DE"/>
        </w:rPr>
        <w:t xml:space="preserve">entspricht V. 23 und zeigt den Status des Unterstützten. </w:t>
      </w:r>
      <w:r w:rsidRPr="00CC6F7E">
        <w:rPr>
          <w:rFonts w:eastAsia="Times New Roman" w:cs="Times New Roman"/>
          <w:b/>
          <w:bCs/>
          <w:rtl/>
          <w:lang w:eastAsia="de-DE"/>
        </w:rPr>
        <w:t>וחי עמך</w:t>
      </w:r>
      <w:r w:rsidRPr="00CC6F7E">
        <w:rPr>
          <w:rFonts w:eastAsia="Times New Roman" w:cs="Times New Roman"/>
          <w:rtl/>
          <w:lang w:eastAsia="de-DE"/>
        </w:rPr>
        <w:t xml:space="preserve"> </w:t>
      </w:r>
      <w:r w:rsidRPr="00CC6F7E">
        <w:rPr>
          <w:rFonts w:eastAsia="Times New Roman" w:cs="Times New Roman"/>
          <w:lang w:eastAsia="de-DE"/>
        </w:rPr>
        <w:t>(und er soll bei dir leben) zeigt das Ziel: Überleben in der Gemeinschaft.</w:t>
      </w:r>
    </w:p>
    <w:p w14:paraId="4C218F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ימוך אחיך</w:t>
      </w:r>
      <w:r w:rsidRPr="00CC6F7E">
        <w:rPr>
          <w:rFonts w:eastAsia="Times New Roman" w:cs="Times New Roman"/>
          <w:rtl/>
          <w:lang w:eastAsia="de-DE"/>
        </w:rPr>
        <w:t xml:space="preserve"> </w:t>
      </w:r>
      <w:r w:rsidRPr="00CC6F7E">
        <w:rPr>
          <w:rFonts w:eastAsia="Times New Roman" w:cs="Times New Roman"/>
          <w:lang w:eastAsia="de-DE"/>
        </w:rPr>
        <w:t xml:space="preserve">zeigt erneut Bruder-Verarmung. </w:t>
      </w:r>
      <w:r w:rsidRPr="00CC6F7E">
        <w:rPr>
          <w:rFonts w:eastAsia="Times New Roman" w:cs="Times New Roman"/>
          <w:b/>
          <w:bCs/>
          <w:rtl/>
          <w:lang w:eastAsia="de-DE"/>
        </w:rPr>
        <w:t>מטה ידו עמך</w:t>
      </w:r>
      <w:r w:rsidRPr="00CC6F7E">
        <w:rPr>
          <w:rFonts w:eastAsia="Times New Roman" w:cs="Times New Roman"/>
          <w:rtl/>
          <w:lang w:eastAsia="de-DE"/>
        </w:rPr>
        <w:t xml:space="preserve"> </w:t>
      </w:r>
      <w:r w:rsidRPr="00CC6F7E">
        <w:rPr>
          <w:rFonts w:eastAsia="Times New Roman" w:cs="Times New Roman"/>
          <w:lang w:eastAsia="de-DE"/>
        </w:rPr>
        <w:t xml:space="preserve">zeigt wirtschaftlichen Kollaps. </w:t>
      </w:r>
      <w:r w:rsidRPr="00CC6F7E">
        <w:rPr>
          <w:rFonts w:eastAsia="Times New Roman" w:cs="Times New Roman"/>
          <w:b/>
          <w:bCs/>
          <w:rtl/>
          <w:lang w:eastAsia="de-DE"/>
        </w:rPr>
        <w:t>והחזקת בו</w:t>
      </w:r>
      <w:r w:rsidRPr="00CC6F7E">
        <w:rPr>
          <w:rFonts w:eastAsia="Times New Roman" w:cs="Times New Roman"/>
          <w:rtl/>
          <w:lang w:eastAsia="de-DE"/>
        </w:rPr>
        <w:t xml:space="preserve"> </w:t>
      </w:r>
      <w:r w:rsidRPr="00CC6F7E">
        <w:rPr>
          <w:rFonts w:eastAsia="Times New Roman" w:cs="Times New Roman"/>
          <w:lang w:eastAsia="de-DE"/>
        </w:rPr>
        <w:t xml:space="preserve">zeigt aktive Hilfspflicht. </w:t>
      </w:r>
      <w:r w:rsidRPr="00CC6F7E">
        <w:rPr>
          <w:rFonts w:eastAsia="Times New Roman" w:cs="Times New Roman"/>
          <w:b/>
          <w:bCs/>
          <w:rtl/>
          <w:lang w:eastAsia="de-DE"/>
        </w:rPr>
        <w:t>גר ותושב</w:t>
      </w:r>
      <w:r w:rsidRPr="00CC6F7E">
        <w:rPr>
          <w:rFonts w:eastAsia="Times New Roman" w:cs="Times New Roman"/>
          <w:rtl/>
          <w:lang w:eastAsia="de-DE"/>
        </w:rPr>
        <w:t xml:space="preserve"> </w:t>
      </w:r>
      <w:r w:rsidRPr="00CC6F7E">
        <w:rPr>
          <w:rFonts w:eastAsia="Times New Roman" w:cs="Times New Roman"/>
          <w:lang w:eastAsia="de-DE"/>
        </w:rPr>
        <w:t>zeigt den temporären Abhängigkeitsstatus.</w:t>
      </w:r>
    </w:p>
    <w:p w14:paraId="3E7D83BD" w14:textId="58392D94"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מטה ידו</w:t>
      </w:r>
      <w:r w:rsidR="009104A2">
        <w:t xml:space="preserve"> (</w:t>
      </w:r>
      <w:proofErr w:type="spellStart"/>
      <w:r w:rsidR="009104A2">
        <w:t>mata</w:t>
      </w:r>
      <w:proofErr w:type="spellEnd"/>
      <w:r w:rsidR="009104A2">
        <w:t xml:space="preserve"> </w:t>
      </w:r>
      <w:proofErr w:type="spellStart"/>
      <w:r w:rsidR="009104A2">
        <w:t>yado</w:t>
      </w:r>
      <w:proofErr w:type="spellEnd"/>
      <w:r w:rsidR="009104A2">
        <w:t xml:space="preserve"> - "seine Hand wankt") als </w:t>
      </w:r>
      <w:proofErr w:type="spellStart"/>
      <w:r w:rsidR="009104A2">
        <w:t>ἀδυν</w:t>
      </w:r>
      <w:proofErr w:type="spellEnd"/>
      <w:r w:rsidR="009104A2">
        <w:t>ατήσῃ τα</w:t>
      </w:r>
      <w:proofErr w:type="spellStart"/>
      <w:r w:rsidR="009104A2">
        <w:t>ῖς</w:t>
      </w:r>
      <w:proofErr w:type="spellEnd"/>
      <w:r w:rsidR="009104A2">
        <w:t xml:space="preserve"> </w:t>
      </w:r>
      <w:proofErr w:type="spellStart"/>
      <w:r w:rsidR="009104A2">
        <w:t>χερσίν</w:t>
      </w:r>
      <w:proofErr w:type="spellEnd"/>
      <w:r w:rsidR="009104A2">
        <w:t xml:space="preserve"> (kraftlos wird mit den Händen).</w:t>
      </w:r>
    </w:p>
    <w:p w14:paraId="7033C8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Unterstützungspflicht: Bruder-Verarmung + Hand-Wanken + Unterstützungsgebot + Status als Fremder/Beisasse + Leben bei dir.</w:t>
      </w:r>
    </w:p>
    <w:p w14:paraId="0DABEDF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die Hilfspflicht bei Verarmung: Der verarmte Bruder soll wie ein </w:t>
      </w:r>
      <w:r w:rsidRPr="00CC6F7E">
        <w:rPr>
          <w:rFonts w:eastAsia="Times New Roman" w:cs="Times New Roman"/>
          <w:b/>
          <w:bCs/>
          <w:rtl/>
          <w:lang w:eastAsia="de-DE"/>
        </w:rPr>
        <w:t>גר ותושב</w:t>
      </w:r>
      <w:r w:rsidRPr="00CC6F7E">
        <w:rPr>
          <w:rFonts w:eastAsia="Times New Roman" w:cs="Times New Roman"/>
          <w:rtl/>
          <w:lang w:eastAsia="de-DE"/>
        </w:rPr>
        <w:t xml:space="preserve"> </w:t>
      </w:r>
      <w:r w:rsidRPr="00CC6F7E">
        <w:rPr>
          <w:rFonts w:eastAsia="Times New Roman" w:cs="Times New Roman"/>
          <w:lang w:eastAsia="de-DE"/>
        </w:rPr>
        <w:t>unterstützt werden.</w:t>
      </w:r>
    </w:p>
    <w:p w14:paraId="17D5EAB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25,36</w:t>
      </w:r>
    </w:p>
    <w:p w14:paraId="04992B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אַל־תִּקַּ֤ח מֵֽאִתּוֹ֙ נֶ֣שֶׁךְ וְתַרְבִּ֔ית וְיָרֵ֖אתָ מֵֽאֱלֹהֶ֑יךָ וְחֵ֥י אָחִ֖יךָ עִמָּֽךְ׃</w:t>
      </w:r>
    </w:p>
    <w:p w14:paraId="03218F4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Du sollst nicht von ihm Zins und Wucher nehmen und sollst dich fürchten vor deinem Gott, damit dein Bruder mit dir lebe.</w:t>
      </w:r>
    </w:p>
    <w:p w14:paraId="3982D11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1961338">
          <v:rect id="_x0000_i1784" style="width:0;height:1.5pt" o:hralign="center" o:hrstd="t" o:hr="t" fillcolor="#a0a0a0" stroked="f"/>
        </w:pict>
      </w:r>
    </w:p>
    <w:p w14:paraId="6A9B42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אל־תקח מאתו נשך ותרבית ויראת מאלהיך וחי אחיך עמך</w:t>
      </w:r>
      <w:r w:rsidRPr="00CC6F7E">
        <w:rPr>
          <w:rFonts w:eastAsia="Times New Roman" w:cs="Times New Roman"/>
          <w:rtl/>
          <w:lang w:eastAsia="de-DE"/>
        </w:rPr>
        <w:t xml:space="preserve"> </w:t>
      </w:r>
      <w:r w:rsidRPr="00CC6F7E">
        <w:rPr>
          <w:rFonts w:eastAsia="Times New Roman" w:cs="Times New Roman"/>
          <w:lang w:eastAsia="de-DE"/>
        </w:rPr>
        <w:t xml:space="preserve">verbietet Zins bei Notlagen. </w:t>
      </w:r>
      <w:r w:rsidRPr="00CC6F7E">
        <w:rPr>
          <w:rFonts w:eastAsia="Times New Roman" w:cs="Times New Roman"/>
          <w:b/>
          <w:bCs/>
          <w:rtl/>
          <w:lang w:eastAsia="de-DE"/>
        </w:rPr>
        <w:t>אל־תקח מאתו נשך ותרבית</w:t>
      </w:r>
      <w:r w:rsidRPr="00CC6F7E">
        <w:rPr>
          <w:rFonts w:eastAsia="Times New Roman" w:cs="Times New Roman"/>
          <w:rtl/>
          <w:lang w:eastAsia="de-DE"/>
        </w:rPr>
        <w:t xml:space="preserve"> </w:t>
      </w:r>
      <w:r w:rsidRPr="00CC6F7E">
        <w:rPr>
          <w:rFonts w:eastAsia="Times New Roman" w:cs="Times New Roman"/>
          <w:lang w:eastAsia="de-DE"/>
        </w:rPr>
        <w:t xml:space="preserve">(du sollst nicht von ihm Zins und Wucher nehmen) - </w:t>
      </w:r>
      <w:r w:rsidRPr="00CC6F7E">
        <w:rPr>
          <w:rFonts w:eastAsia="Times New Roman" w:cs="Times New Roman"/>
          <w:b/>
          <w:bCs/>
          <w:rtl/>
          <w:lang w:eastAsia="de-DE"/>
        </w:rPr>
        <w:t>אל־תקח</w:t>
      </w:r>
      <w:r w:rsidRPr="00CC6F7E">
        <w:rPr>
          <w:rFonts w:eastAsia="Times New Roman" w:cs="Times New Roman"/>
          <w:rtl/>
          <w:lang w:eastAsia="de-DE"/>
        </w:rPr>
        <w:t xml:space="preserve"> </w:t>
      </w:r>
      <w:r w:rsidRPr="00CC6F7E">
        <w:rPr>
          <w:rFonts w:eastAsia="Times New Roman" w:cs="Times New Roman"/>
          <w:lang w:eastAsia="de-DE"/>
        </w:rPr>
        <w:t xml:space="preserve">(du sollst nicht nehmen) im Qal-Imperfekt als Verbot. </w:t>
      </w:r>
      <w:r w:rsidRPr="00CC6F7E">
        <w:rPr>
          <w:rFonts w:eastAsia="Times New Roman" w:cs="Times New Roman"/>
          <w:b/>
          <w:bCs/>
          <w:rtl/>
          <w:lang w:eastAsia="de-DE"/>
        </w:rPr>
        <w:t>נשך ותרבית</w:t>
      </w:r>
      <w:r w:rsidRPr="00CC6F7E">
        <w:rPr>
          <w:rFonts w:eastAsia="Times New Roman" w:cs="Times New Roman"/>
          <w:rtl/>
          <w:lang w:eastAsia="de-DE"/>
        </w:rPr>
        <w:t xml:space="preserve"> </w:t>
      </w:r>
      <w:r w:rsidRPr="00CC6F7E">
        <w:rPr>
          <w:rFonts w:eastAsia="Times New Roman" w:cs="Times New Roman"/>
          <w:lang w:eastAsia="de-DE"/>
        </w:rPr>
        <w:t>zeigt zwei Arten von Zinsen:</w:t>
      </w:r>
    </w:p>
    <w:p w14:paraId="6143065B" w14:textId="77777777" w:rsidR="00CC6F7E" w:rsidRPr="00CC6F7E" w:rsidRDefault="00CC6F7E" w:rsidP="00CC6F7E">
      <w:pPr>
        <w:numPr>
          <w:ilvl w:val="0"/>
          <w:numId w:val="28"/>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נשך</w:t>
      </w:r>
      <w:r w:rsidRPr="00CC6F7E">
        <w:rPr>
          <w:rFonts w:eastAsia="Times New Roman" w:cs="Times New Roman"/>
          <w:rtl/>
          <w:lang w:eastAsia="de-DE"/>
        </w:rPr>
        <w:t xml:space="preserve"> </w:t>
      </w:r>
      <w:r w:rsidRPr="00CC6F7E">
        <w:rPr>
          <w:rFonts w:eastAsia="Times New Roman" w:cs="Times New Roman"/>
          <w:lang w:eastAsia="de-DE"/>
        </w:rPr>
        <w:t xml:space="preserve">(Zins) von </w:t>
      </w:r>
      <w:r w:rsidRPr="00CC6F7E">
        <w:rPr>
          <w:rFonts w:eastAsia="Times New Roman" w:cs="Times New Roman"/>
          <w:b/>
          <w:bCs/>
          <w:rtl/>
          <w:lang w:eastAsia="de-DE"/>
        </w:rPr>
        <w:t>נשך</w:t>
      </w:r>
      <w:r w:rsidRPr="00CC6F7E">
        <w:rPr>
          <w:rFonts w:eastAsia="Times New Roman" w:cs="Times New Roman"/>
          <w:rtl/>
          <w:lang w:eastAsia="de-DE"/>
        </w:rPr>
        <w:t xml:space="preserve"> </w:t>
      </w:r>
      <w:r w:rsidRPr="00CC6F7E">
        <w:rPr>
          <w:rFonts w:eastAsia="Times New Roman" w:cs="Times New Roman"/>
          <w:lang w:eastAsia="de-DE"/>
        </w:rPr>
        <w:t>(beißen) zeigt Vorauszins</w:t>
      </w:r>
    </w:p>
    <w:p w14:paraId="6357AC05" w14:textId="77777777" w:rsidR="00CC6F7E" w:rsidRPr="00CC6F7E" w:rsidRDefault="00CC6F7E" w:rsidP="00CC6F7E">
      <w:pPr>
        <w:numPr>
          <w:ilvl w:val="0"/>
          <w:numId w:val="28"/>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תרבית</w:t>
      </w:r>
      <w:r w:rsidRPr="00CC6F7E">
        <w:rPr>
          <w:rFonts w:eastAsia="Times New Roman" w:cs="Times New Roman"/>
          <w:rtl/>
          <w:lang w:eastAsia="de-DE"/>
        </w:rPr>
        <w:t xml:space="preserve"> </w:t>
      </w:r>
      <w:r w:rsidRPr="00CC6F7E">
        <w:rPr>
          <w:rFonts w:eastAsia="Times New Roman" w:cs="Times New Roman"/>
          <w:lang w:eastAsia="de-DE"/>
        </w:rPr>
        <w:t xml:space="preserve">(Wucher) von </w:t>
      </w:r>
      <w:r w:rsidRPr="00CC6F7E">
        <w:rPr>
          <w:rFonts w:eastAsia="Times New Roman" w:cs="Times New Roman"/>
          <w:b/>
          <w:bCs/>
          <w:rtl/>
          <w:lang w:eastAsia="de-DE"/>
        </w:rPr>
        <w:t>רבה</w:t>
      </w:r>
      <w:r w:rsidRPr="00CC6F7E">
        <w:rPr>
          <w:rFonts w:eastAsia="Times New Roman" w:cs="Times New Roman"/>
          <w:rtl/>
          <w:lang w:eastAsia="de-DE"/>
        </w:rPr>
        <w:t xml:space="preserve"> </w:t>
      </w:r>
      <w:r w:rsidRPr="00CC6F7E">
        <w:rPr>
          <w:rFonts w:eastAsia="Times New Roman" w:cs="Times New Roman"/>
          <w:lang w:eastAsia="de-DE"/>
        </w:rPr>
        <w:t>(mehren) zeigt Aufschlag</w:t>
      </w:r>
    </w:p>
    <w:p w14:paraId="356F29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(und du sollst dich fürchten vor deinem Gott) entspricht V. 17 und zeigt </w:t>
      </w:r>
      <w:r w:rsidRPr="00CC6F7E">
        <w:rPr>
          <w:rFonts w:eastAsia="Times New Roman" w:cs="Times New Roman"/>
          <w:b/>
          <w:bCs/>
          <w:rtl/>
          <w:lang w:eastAsia="de-DE"/>
        </w:rPr>
        <w:t>יראת אלהים</w:t>
      </w:r>
      <w:r w:rsidRPr="00CC6F7E">
        <w:rPr>
          <w:rFonts w:eastAsia="Times New Roman" w:cs="Times New Roman"/>
          <w:rtl/>
          <w:lang w:eastAsia="de-DE"/>
        </w:rPr>
        <w:t xml:space="preserve"> </w:t>
      </w:r>
      <w:r w:rsidRPr="00CC6F7E">
        <w:rPr>
          <w:rFonts w:eastAsia="Times New Roman" w:cs="Times New Roman"/>
          <w:lang w:eastAsia="de-DE"/>
        </w:rPr>
        <w:t>als ethische Motivation.</w:t>
      </w:r>
    </w:p>
    <w:p w14:paraId="048FBD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וחי אחיך עמך</w:t>
      </w:r>
      <w:r w:rsidRPr="00CC6F7E">
        <w:rPr>
          <w:rFonts w:eastAsia="Times New Roman" w:cs="Times New Roman"/>
          <w:rtl/>
          <w:lang w:eastAsia="de-DE"/>
        </w:rPr>
        <w:t xml:space="preserve"> </w:t>
      </w:r>
      <w:r w:rsidRPr="00CC6F7E">
        <w:rPr>
          <w:rFonts w:eastAsia="Times New Roman" w:cs="Times New Roman"/>
          <w:lang w:eastAsia="de-DE"/>
        </w:rPr>
        <w:t xml:space="preserve">(damit dein Bruder mit dir lebe) zeigt das Ziel: Überleben des Bruders in der Gemeinschaft. </w:t>
      </w:r>
      <w:r w:rsidRPr="00CC6F7E">
        <w:rPr>
          <w:rFonts w:eastAsia="Times New Roman" w:cs="Times New Roman"/>
          <w:b/>
          <w:bCs/>
          <w:rtl/>
          <w:lang w:eastAsia="de-DE"/>
        </w:rPr>
        <w:t>חי</w:t>
      </w:r>
      <w:r w:rsidRPr="00CC6F7E">
        <w:rPr>
          <w:rFonts w:eastAsia="Times New Roman" w:cs="Times New Roman"/>
          <w:rtl/>
          <w:lang w:eastAsia="de-DE"/>
        </w:rPr>
        <w:t xml:space="preserve"> </w:t>
      </w:r>
      <w:r w:rsidRPr="00CC6F7E">
        <w:rPr>
          <w:rFonts w:eastAsia="Times New Roman" w:cs="Times New Roman"/>
          <w:lang w:eastAsia="de-DE"/>
        </w:rPr>
        <w:t>(lebe) entspricht V. 35.</w:t>
      </w:r>
    </w:p>
    <w:p w14:paraId="1971F52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נשך ותרבית</w:t>
      </w:r>
      <w:r w:rsidRPr="00CC6F7E">
        <w:rPr>
          <w:rFonts w:eastAsia="Times New Roman" w:cs="Times New Roman"/>
          <w:rtl/>
          <w:lang w:eastAsia="de-DE"/>
        </w:rPr>
        <w:t xml:space="preserve"> </w:t>
      </w:r>
      <w:r w:rsidRPr="00CC6F7E">
        <w:rPr>
          <w:rFonts w:eastAsia="Times New Roman" w:cs="Times New Roman"/>
          <w:lang w:eastAsia="de-DE"/>
        </w:rPr>
        <w:t xml:space="preserve">zeigt umfassende Zinsverbote. </w:t>
      </w:r>
      <w:r w:rsidRPr="00CC6F7E">
        <w:rPr>
          <w:rFonts w:eastAsia="Times New Roman" w:cs="Times New Roman"/>
          <w:b/>
          <w:bCs/>
          <w:rtl/>
          <w:lang w:eastAsia="de-DE"/>
        </w:rPr>
        <w:t>ויראת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zeigt Gottesfurcht als Basis der Bruderhilfe. </w:t>
      </w:r>
      <w:r w:rsidRPr="00CC6F7E">
        <w:rPr>
          <w:rFonts w:eastAsia="Times New Roman" w:cs="Times New Roman"/>
          <w:b/>
          <w:bCs/>
          <w:rtl/>
          <w:lang w:eastAsia="de-DE"/>
        </w:rPr>
        <w:t>וחי אחיך עמך</w:t>
      </w:r>
      <w:r w:rsidRPr="00CC6F7E">
        <w:rPr>
          <w:rFonts w:eastAsia="Times New Roman" w:cs="Times New Roman"/>
          <w:rtl/>
          <w:lang w:eastAsia="de-DE"/>
        </w:rPr>
        <w:t xml:space="preserve"> </w:t>
      </w:r>
      <w:r w:rsidRPr="00CC6F7E">
        <w:rPr>
          <w:rFonts w:eastAsia="Times New Roman" w:cs="Times New Roman"/>
          <w:lang w:eastAsia="de-DE"/>
        </w:rPr>
        <w:t>zeigt solidarisches Überleben als Ziel.</w:t>
      </w:r>
    </w:p>
    <w:p w14:paraId="43D5FD02" w14:textId="14602A6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unterscheidet in </w:t>
      </w:r>
      <w:r w:rsidR="009104A2" w:rsidRPr="009104A2">
        <w:rPr>
          <w:b/>
          <w:bCs/>
        </w:rPr>
        <w:t>Vers 36-37</w:t>
      </w:r>
      <w:r w:rsidR="009104A2">
        <w:t xml:space="preserve"> </w:t>
      </w:r>
      <w:r w:rsidR="009104A2">
        <w:rPr>
          <w:rtl/>
        </w:rPr>
        <w:t>נשך</w:t>
      </w:r>
      <w:r w:rsidR="009104A2">
        <w:t xml:space="preserve"> (</w:t>
      </w:r>
      <w:proofErr w:type="spellStart"/>
      <w:r w:rsidR="009104A2">
        <w:t>neshech</w:t>
      </w:r>
      <w:proofErr w:type="spellEnd"/>
      <w:r w:rsidR="009104A2">
        <w:t xml:space="preserve"> - "Zins") als </w:t>
      </w:r>
      <w:proofErr w:type="spellStart"/>
      <w:r w:rsidR="009104A2">
        <w:t>τόκος</w:t>
      </w:r>
      <w:proofErr w:type="spellEnd"/>
      <w:r w:rsidR="009104A2">
        <w:t xml:space="preserve"> und </w:t>
      </w:r>
      <w:r w:rsidR="009104A2">
        <w:rPr>
          <w:rtl/>
        </w:rPr>
        <w:t>תרבית</w:t>
      </w:r>
      <w:r w:rsidR="009104A2">
        <w:t xml:space="preserve"> (</w:t>
      </w:r>
      <w:proofErr w:type="spellStart"/>
      <w:r w:rsidR="009104A2">
        <w:t>tarbit</w:t>
      </w:r>
      <w:proofErr w:type="spellEnd"/>
      <w:r w:rsidR="009104A2">
        <w:t xml:space="preserve"> - "Aufschlag") als π</w:t>
      </w:r>
      <w:proofErr w:type="spellStart"/>
      <w:r w:rsidR="009104A2">
        <w:t>λῆθος</w:t>
      </w:r>
      <w:proofErr w:type="spellEnd"/>
      <w:r w:rsidR="009104A2">
        <w:t>/π</w:t>
      </w:r>
      <w:proofErr w:type="spellStart"/>
      <w:r w:rsidR="009104A2">
        <w:t>λεον</w:t>
      </w:r>
      <w:proofErr w:type="spellEnd"/>
      <w:r w:rsidR="009104A2">
        <w:t>ασμός (Vermehrung/Übermaß).</w:t>
      </w:r>
    </w:p>
    <w:p w14:paraId="0357FF8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Zinsverbot: </w:t>
      </w:r>
      <w:r w:rsidRPr="00CC6F7E">
        <w:rPr>
          <w:rFonts w:eastAsia="Times New Roman" w:cs="Times New Roman"/>
          <w:b/>
          <w:bCs/>
          <w:rtl/>
          <w:lang w:eastAsia="de-DE"/>
        </w:rPr>
        <w:t>נשך</w:t>
      </w:r>
      <w:r w:rsidRPr="00CC6F7E">
        <w:rPr>
          <w:rFonts w:eastAsia="Times New Roman" w:cs="Times New Roman"/>
          <w:lang w:eastAsia="de-DE"/>
        </w:rPr>
        <w:t xml:space="preserve">- und </w:t>
      </w:r>
      <w:r w:rsidRPr="00CC6F7E">
        <w:rPr>
          <w:rFonts w:eastAsia="Times New Roman" w:cs="Times New Roman"/>
          <w:b/>
          <w:bCs/>
          <w:rtl/>
          <w:lang w:eastAsia="de-DE"/>
        </w:rPr>
        <w:t>תרבית</w:t>
      </w:r>
      <w:r w:rsidRPr="00CC6F7E">
        <w:rPr>
          <w:rFonts w:eastAsia="Times New Roman" w:cs="Times New Roman"/>
          <w:lang w:eastAsia="de-DE"/>
        </w:rPr>
        <w:t>-Verbot + Gottesfurcht-Motivation + Bruder-Überleben als Ziel.</w:t>
      </w:r>
    </w:p>
    <w:p w14:paraId="61F2DB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verbietet jede Art von Zinsen bei Notlagenhilfe und begründet dies mit Gottesfurcht und brüderlicher Solidarität.</w:t>
      </w:r>
    </w:p>
    <w:p w14:paraId="3CC94E1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25,37</w:t>
      </w:r>
    </w:p>
    <w:p w14:paraId="11C6C60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אֶ֨ת־כַּסְפְּךָ֔ לֹֽא־תִתֵּ֥ן לוֹ֖ בְּנֶ֑שֶׁךְ וּבְמַרְבִּ֖ית לֹא־תִתֵּ֥ן אָכְלֶֽךָ׃</w:t>
      </w:r>
    </w:p>
    <w:p w14:paraId="11A8521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Dein Geld sollst du ihm nicht um Zins geben und deine Speise nicht um Wucher.</w:t>
      </w:r>
    </w:p>
    <w:p w14:paraId="0162EC4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56C1F91">
          <v:rect id="_x0000_i1785" style="width:0;height:1.5pt" o:hralign="center" o:hrstd="t" o:hr="t" fillcolor="#a0a0a0" stroked="f"/>
        </w:pict>
      </w:r>
    </w:p>
    <w:p w14:paraId="4B0EBC5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את־כספך לא־תתן לו בנשך ובמרבית לא־תתן אכלך</w:t>
      </w:r>
      <w:r w:rsidRPr="00CC6F7E">
        <w:rPr>
          <w:rFonts w:eastAsia="Times New Roman" w:cs="Times New Roman"/>
          <w:rtl/>
          <w:lang w:eastAsia="de-DE"/>
        </w:rPr>
        <w:t xml:space="preserve"> </w:t>
      </w:r>
      <w:r w:rsidRPr="00CC6F7E">
        <w:rPr>
          <w:rFonts w:eastAsia="Times New Roman" w:cs="Times New Roman"/>
          <w:lang w:eastAsia="de-DE"/>
        </w:rPr>
        <w:t xml:space="preserve">konkretisiert das Zinsverbot für Geld- und Naturalleihen. </w:t>
      </w:r>
      <w:r w:rsidRPr="00CC6F7E">
        <w:rPr>
          <w:rFonts w:eastAsia="Times New Roman" w:cs="Times New Roman"/>
          <w:b/>
          <w:bCs/>
          <w:rtl/>
          <w:lang w:eastAsia="de-DE"/>
        </w:rPr>
        <w:t>את־כספך לא־תתן לו בנשך</w:t>
      </w:r>
      <w:r w:rsidRPr="00CC6F7E">
        <w:rPr>
          <w:rFonts w:eastAsia="Times New Roman" w:cs="Times New Roman"/>
          <w:rtl/>
          <w:lang w:eastAsia="de-DE"/>
        </w:rPr>
        <w:t xml:space="preserve"> </w:t>
      </w:r>
      <w:r w:rsidRPr="00CC6F7E">
        <w:rPr>
          <w:rFonts w:eastAsia="Times New Roman" w:cs="Times New Roman"/>
          <w:lang w:eastAsia="de-DE"/>
        </w:rPr>
        <w:t xml:space="preserve">(dein Geld sollst du ihm nicht um Zins geben) - </w:t>
      </w:r>
      <w:r w:rsidRPr="00CC6F7E">
        <w:rPr>
          <w:rFonts w:eastAsia="Times New Roman" w:cs="Times New Roman"/>
          <w:b/>
          <w:bCs/>
          <w:rtl/>
          <w:lang w:eastAsia="de-DE"/>
        </w:rPr>
        <w:t>את־כספך</w:t>
      </w:r>
      <w:r w:rsidRPr="00CC6F7E">
        <w:rPr>
          <w:rFonts w:eastAsia="Times New Roman" w:cs="Times New Roman"/>
          <w:rtl/>
          <w:lang w:eastAsia="de-DE"/>
        </w:rPr>
        <w:t xml:space="preserve"> </w:t>
      </w:r>
      <w:r w:rsidRPr="00CC6F7E">
        <w:rPr>
          <w:rFonts w:eastAsia="Times New Roman" w:cs="Times New Roman"/>
          <w:lang w:eastAsia="de-DE"/>
        </w:rPr>
        <w:t xml:space="preserve">(dein Geld) zeigt Geldleihen. </w:t>
      </w:r>
      <w:r w:rsidRPr="00CC6F7E">
        <w:rPr>
          <w:rFonts w:eastAsia="Times New Roman" w:cs="Times New Roman"/>
          <w:b/>
          <w:bCs/>
          <w:rtl/>
          <w:lang w:eastAsia="de-DE"/>
        </w:rPr>
        <w:t>לא־תתן לו בנשך</w:t>
      </w:r>
      <w:r w:rsidRPr="00CC6F7E">
        <w:rPr>
          <w:rFonts w:eastAsia="Times New Roman" w:cs="Times New Roman"/>
          <w:rtl/>
          <w:lang w:eastAsia="de-DE"/>
        </w:rPr>
        <w:t xml:space="preserve"> </w:t>
      </w:r>
      <w:r w:rsidRPr="00CC6F7E">
        <w:rPr>
          <w:rFonts w:eastAsia="Times New Roman" w:cs="Times New Roman"/>
          <w:lang w:eastAsia="de-DE"/>
        </w:rPr>
        <w:t xml:space="preserve">(sollst du ihm nicht um Zins geben) - </w:t>
      </w:r>
      <w:r w:rsidRPr="00CC6F7E">
        <w:rPr>
          <w:rFonts w:eastAsia="Times New Roman" w:cs="Times New Roman"/>
          <w:b/>
          <w:bCs/>
          <w:rtl/>
          <w:lang w:eastAsia="de-DE"/>
        </w:rPr>
        <w:t>בנשך</w:t>
      </w:r>
      <w:r w:rsidRPr="00CC6F7E">
        <w:rPr>
          <w:rFonts w:eastAsia="Times New Roman" w:cs="Times New Roman"/>
          <w:rtl/>
          <w:lang w:eastAsia="de-DE"/>
        </w:rPr>
        <w:t xml:space="preserve"> </w:t>
      </w:r>
      <w:r w:rsidRPr="00CC6F7E">
        <w:rPr>
          <w:rFonts w:eastAsia="Times New Roman" w:cs="Times New Roman"/>
          <w:lang w:eastAsia="de-DE"/>
        </w:rPr>
        <w:t>(um Zins) zeigt Zinsforderung bei Geldverleihung.</w:t>
      </w:r>
    </w:p>
    <w:p w14:paraId="0F5CA5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ובמרבית לא־תתן אכלך</w:t>
      </w:r>
      <w:r w:rsidRPr="00CC6F7E">
        <w:rPr>
          <w:rFonts w:eastAsia="Times New Roman" w:cs="Times New Roman"/>
          <w:rtl/>
          <w:lang w:eastAsia="de-DE"/>
        </w:rPr>
        <w:t xml:space="preserve"> </w:t>
      </w:r>
      <w:r w:rsidRPr="00CC6F7E">
        <w:rPr>
          <w:rFonts w:eastAsia="Times New Roman" w:cs="Times New Roman"/>
          <w:lang w:eastAsia="de-DE"/>
        </w:rPr>
        <w:t xml:space="preserve">(und deine Speise nicht um Wucher) - </w:t>
      </w:r>
      <w:r w:rsidRPr="00CC6F7E">
        <w:rPr>
          <w:rFonts w:eastAsia="Times New Roman" w:cs="Times New Roman"/>
          <w:b/>
          <w:bCs/>
          <w:rtl/>
          <w:lang w:eastAsia="de-DE"/>
        </w:rPr>
        <w:t>ובמרבית</w:t>
      </w:r>
      <w:r w:rsidRPr="00CC6F7E">
        <w:rPr>
          <w:rFonts w:eastAsia="Times New Roman" w:cs="Times New Roman"/>
          <w:rtl/>
          <w:lang w:eastAsia="de-DE"/>
        </w:rPr>
        <w:t xml:space="preserve"> </w:t>
      </w:r>
      <w:r w:rsidRPr="00CC6F7E">
        <w:rPr>
          <w:rFonts w:eastAsia="Times New Roman" w:cs="Times New Roman"/>
          <w:lang w:eastAsia="de-DE"/>
        </w:rPr>
        <w:t xml:space="preserve">(und um Wucher) entspricht V. 36. </w:t>
      </w:r>
      <w:r w:rsidRPr="00CC6F7E">
        <w:rPr>
          <w:rFonts w:eastAsia="Times New Roman" w:cs="Times New Roman"/>
          <w:b/>
          <w:bCs/>
          <w:rtl/>
          <w:lang w:eastAsia="de-DE"/>
        </w:rPr>
        <w:t>לא־תתן אכלך</w:t>
      </w:r>
      <w:r w:rsidRPr="00CC6F7E">
        <w:rPr>
          <w:rFonts w:eastAsia="Times New Roman" w:cs="Times New Roman"/>
          <w:rtl/>
          <w:lang w:eastAsia="de-DE"/>
        </w:rPr>
        <w:t xml:space="preserve"> </w:t>
      </w:r>
      <w:r w:rsidRPr="00CC6F7E">
        <w:rPr>
          <w:rFonts w:eastAsia="Times New Roman" w:cs="Times New Roman"/>
          <w:lang w:eastAsia="de-DE"/>
        </w:rPr>
        <w:t xml:space="preserve">(sollst du deine Speise nicht geben) - </w:t>
      </w:r>
      <w:r w:rsidRPr="00CC6F7E">
        <w:rPr>
          <w:rFonts w:eastAsia="Times New Roman" w:cs="Times New Roman"/>
          <w:b/>
          <w:bCs/>
          <w:rtl/>
          <w:lang w:eastAsia="de-DE"/>
        </w:rPr>
        <w:t>אכלך</w:t>
      </w:r>
      <w:r w:rsidRPr="00CC6F7E">
        <w:rPr>
          <w:rFonts w:eastAsia="Times New Roman" w:cs="Times New Roman"/>
          <w:rtl/>
          <w:lang w:eastAsia="de-DE"/>
        </w:rPr>
        <w:t xml:space="preserve"> </w:t>
      </w:r>
      <w:r w:rsidRPr="00CC6F7E">
        <w:rPr>
          <w:rFonts w:eastAsia="Times New Roman" w:cs="Times New Roman"/>
          <w:lang w:eastAsia="de-DE"/>
        </w:rPr>
        <w:t>(deine Speise) zeigt Naturalienverleihung. Die Struktur zeigt Parallelismus zwischen Geld- und Naturalverleihung.</w:t>
      </w:r>
    </w:p>
    <w:p w14:paraId="704FD9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כספך...בנשך</w:t>
      </w:r>
      <w:r w:rsidRPr="00CC6F7E">
        <w:rPr>
          <w:rFonts w:eastAsia="Times New Roman" w:cs="Times New Roman"/>
          <w:rtl/>
          <w:lang w:eastAsia="de-DE"/>
        </w:rPr>
        <w:t xml:space="preserve"> </w:t>
      </w:r>
      <w:r w:rsidRPr="00CC6F7E">
        <w:rPr>
          <w:rFonts w:eastAsia="Times New Roman" w:cs="Times New Roman"/>
          <w:lang w:eastAsia="de-DE"/>
        </w:rPr>
        <w:t xml:space="preserve">zeigt Geldverleihung mit </w:t>
      </w:r>
      <w:r w:rsidRPr="00CC6F7E">
        <w:rPr>
          <w:rFonts w:eastAsia="Times New Roman" w:cs="Times New Roman"/>
          <w:b/>
          <w:bCs/>
          <w:rtl/>
          <w:lang w:eastAsia="de-DE"/>
        </w:rPr>
        <w:t>נשך</w:t>
      </w:r>
      <w:r w:rsidRPr="00CC6F7E">
        <w:rPr>
          <w:rFonts w:eastAsia="Times New Roman" w:cs="Times New Roman"/>
          <w:lang w:eastAsia="de-DE"/>
        </w:rPr>
        <w:t xml:space="preserve">-Verbot. </w:t>
      </w:r>
      <w:r w:rsidRPr="00CC6F7E">
        <w:rPr>
          <w:rFonts w:eastAsia="Times New Roman" w:cs="Times New Roman"/>
          <w:b/>
          <w:bCs/>
          <w:rtl/>
          <w:lang w:eastAsia="de-DE"/>
        </w:rPr>
        <w:t>אכלך...במרבית</w:t>
      </w:r>
      <w:r w:rsidRPr="00CC6F7E">
        <w:rPr>
          <w:rFonts w:eastAsia="Times New Roman" w:cs="Times New Roman"/>
          <w:rtl/>
          <w:lang w:eastAsia="de-DE"/>
        </w:rPr>
        <w:t xml:space="preserve"> </w:t>
      </w:r>
      <w:r w:rsidRPr="00CC6F7E">
        <w:rPr>
          <w:rFonts w:eastAsia="Times New Roman" w:cs="Times New Roman"/>
          <w:lang w:eastAsia="de-DE"/>
        </w:rPr>
        <w:t xml:space="preserve">zeigt Naturalverleihung mit </w:t>
      </w:r>
      <w:r w:rsidRPr="00CC6F7E">
        <w:rPr>
          <w:rFonts w:eastAsia="Times New Roman" w:cs="Times New Roman"/>
          <w:b/>
          <w:bCs/>
          <w:rtl/>
          <w:lang w:eastAsia="de-DE"/>
        </w:rPr>
        <w:t>תרבית</w:t>
      </w:r>
      <w:r w:rsidRPr="00CC6F7E">
        <w:rPr>
          <w:rFonts w:eastAsia="Times New Roman" w:cs="Times New Roman"/>
          <w:lang w:eastAsia="de-DE"/>
        </w:rPr>
        <w:t>-Verbot. Die Kombination erfasst alle Leiharten.</w:t>
      </w:r>
    </w:p>
    <w:p w14:paraId="4251E4F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את־כספך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τὸ</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ἀργύριόν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(dein Silber), </w:t>
      </w:r>
      <w:r w:rsidRPr="00CC6F7E">
        <w:rPr>
          <w:rFonts w:eastAsia="Times New Roman" w:cs="Times New Roman"/>
          <w:b/>
          <w:bCs/>
          <w:rtl/>
          <w:lang w:eastAsia="de-DE"/>
        </w:rPr>
        <w:t>בנשך</w:t>
      </w:r>
      <w:r w:rsidRPr="00CC6F7E">
        <w:rPr>
          <w:rFonts w:eastAsia="Times New Roman" w:cs="Times New Roman"/>
          <w:rtl/>
          <w:lang w:eastAsia="de-DE"/>
        </w:rPr>
        <w:t xml:space="preserve"> </w:t>
      </w:r>
      <w:r w:rsidRPr="00CC6F7E">
        <w:rPr>
          <w:rFonts w:eastAsia="Times New Roman" w:cs="Times New Roman"/>
          <w:lang w:eastAsia="de-DE"/>
        </w:rPr>
        <w:t xml:space="preserve">mit ἐπὶ </w:t>
      </w:r>
      <w:proofErr w:type="spellStart"/>
      <w:r w:rsidRPr="00CC6F7E">
        <w:rPr>
          <w:rFonts w:eastAsia="Times New Roman" w:cs="Times New Roman"/>
          <w:lang w:eastAsia="de-DE"/>
        </w:rPr>
        <w:t>τόκῳ</w:t>
      </w:r>
      <w:proofErr w:type="spellEnd"/>
      <w:r w:rsidRPr="00CC6F7E">
        <w:rPr>
          <w:rFonts w:eastAsia="Times New Roman" w:cs="Times New Roman"/>
          <w:lang w:eastAsia="de-DE"/>
        </w:rPr>
        <w:t xml:space="preserve"> (auf Zins), </w:t>
      </w:r>
      <w:r w:rsidRPr="00CC6F7E">
        <w:rPr>
          <w:rFonts w:eastAsia="Times New Roman" w:cs="Times New Roman"/>
          <w:b/>
          <w:bCs/>
          <w:rtl/>
          <w:lang w:eastAsia="de-DE"/>
        </w:rPr>
        <w:t>אכלך</w:t>
      </w:r>
      <w:r w:rsidRPr="00CC6F7E">
        <w:rPr>
          <w:rFonts w:eastAsia="Times New Roman" w:cs="Times New Roman"/>
          <w:rtl/>
          <w:lang w:eastAsia="de-DE"/>
        </w:rPr>
        <w:t xml:space="preserve"> </w:t>
      </w:r>
      <w:r w:rsidRPr="00CC6F7E">
        <w:rPr>
          <w:rFonts w:eastAsia="Times New Roman" w:cs="Times New Roman"/>
          <w:lang w:eastAsia="de-DE"/>
        </w:rPr>
        <w:t>mit β</w:t>
      </w:r>
      <w:proofErr w:type="spellStart"/>
      <w:r w:rsidRPr="00CC6F7E">
        <w:rPr>
          <w:rFonts w:eastAsia="Times New Roman" w:cs="Times New Roman"/>
          <w:lang w:eastAsia="de-DE"/>
        </w:rPr>
        <w:t>ρώμ</w:t>
      </w:r>
      <w:proofErr w:type="spellEnd"/>
      <w:r w:rsidRPr="00CC6F7E">
        <w:rPr>
          <w:rFonts w:eastAsia="Times New Roman" w:cs="Times New Roman"/>
          <w:lang w:eastAsia="de-DE"/>
        </w:rPr>
        <w:t xml:space="preserve">ατά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(deine Speisen) und </w:t>
      </w:r>
      <w:r w:rsidRPr="00CC6F7E">
        <w:rPr>
          <w:rFonts w:eastAsia="Times New Roman" w:cs="Times New Roman"/>
          <w:b/>
          <w:bCs/>
          <w:rtl/>
          <w:lang w:eastAsia="de-DE"/>
        </w:rPr>
        <w:t>במרבית</w:t>
      </w:r>
      <w:r w:rsidRPr="00CC6F7E">
        <w:rPr>
          <w:rFonts w:eastAsia="Times New Roman" w:cs="Times New Roman"/>
          <w:rtl/>
          <w:lang w:eastAsia="de-DE"/>
        </w:rPr>
        <w:t xml:space="preserve"> </w:t>
      </w:r>
      <w:r w:rsidRPr="00CC6F7E">
        <w:rPr>
          <w:rFonts w:eastAsia="Times New Roman" w:cs="Times New Roman"/>
          <w:lang w:eastAsia="de-DE"/>
        </w:rPr>
        <w:t>mit ἐπὶ π</w:t>
      </w:r>
      <w:proofErr w:type="spellStart"/>
      <w:r w:rsidRPr="00CC6F7E">
        <w:rPr>
          <w:rFonts w:eastAsia="Times New Roman" w:cs="Times New Roman"/>
          <w:lang w:eastAsia="de-DE"/>
        </w:rPr>
        <w:t>λήθει</w:t>
      </w:r>
      <w:proofErr w:type="spellEnd"/>
      <w:r w:rsidRPr="00CC6F7E">
        <w:rPr>
          <w:rFonts w:eastAsia="Times New Roman" w:cs="Times New Roman"/>
          <w:lang w:eastAsia="de-DE"/>
        </w:rPr>
        <w:t xml:space="preserve"> (auf Vermehrung).</w:t>
      </w:r>
    </w:p>
    <w:p w14:paraId="5AC932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spezifische Zinsverbote: Geld nicht um </w:t>
      </w:r>
      <w:r w:rsidRPr="00CC6F7E">
        <w:rPr>
          <w:rFonts w:eastAsia="Times New Roman" w:cs="Times New Roman"/>
          <w:b/>
          <w:bCs/>
          <w:rtl/>
          <w:lang w:eastAsia="de-DE"/>
        </w:rPr>
        <w:t>נשך</w:t>
      </w:r>
      <w:r w:rsidRPr="00CC6F7E">
        <w:rPr>
          <w:rFonts w:eastAsia="Times New Roman" w:cs="Times New Roman"/>
          <w:rtl/>
          <w:lang w:eastAsia="de-DE"/>
        </w:rPr>
        <w:t xml:space="preserve"> </w:t>
      </w:r>
      <w:r w:rsidRPr="00CC6F7E">
        <w:rPr>
          <w:rFonts w:eastAsia="Times New Roman" w:cs="Times New Roman"/>
          <w:lang w:eastAsia="de-DE"/>
        </w:rPr>
        <w:t xml:space="preserve">+ Speise nicht um </w:t>
      </w:r>
      <w:r w:rsidRPr="00CC6F7E">
        <w:rPr>
          <w:rFonts w:eastAsia="Times New Roman" w:cs="Times New Roman"/>
          <w:b/>
          <w:bCs/>
          <w:rtl/>
          <w:lang w:eastAsia="de-DE"/>
        </w:rPr>
        <w:t>תרבית</w:t>
      </w:r>
      <w:r w:rsidRPr="00CC6F7E">
        <w:rPr>
          <w:rFonts w:eastAsia="Times New Roman" w:cs="Times New Roman"/>
          <w:lang w:eastAsia="de-DE"/>
        </w:rPr>
        <w:t>.</w:t>
      </w:r>
    </w:p>
    <w:p w14:paraId="739D1B4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verbietet sowohl Geldzinsen (</w:t>
      </w:r>
      <w:r w:rsidRPr="00CC6F7E">
        <w:rPr>
          <w:rFonts w:eastAsia="Times New Roman" w:cs="Times New Roman"/>
          <w:b/>
          <w:bCs/>
          <w:rtl/>
          <w:lang w:eastAsia="de-DE"/>
        </w:rPr>
        <w:t>נשך</w:t>
      </w:r>
      <w:r w:rsidRPr="00CC6F7E">
        <w:rPr>
          <w:rFonts w:eastAsia="Times New Roman" w:cs="Times New Roman"/>
          <w:lang w:eastAsia="de-DE"/>
        </w:rPr>
        <w:t>) als auch Naturalwucher (</w:t>
      </w:r>
      <w:r w:rsidRPr="00CC6F7E">
        <w:rPr>
          <w:rFonts w:eastAsia="Times New Roman" w:cs="Times New Roman"/>
          <w:b/>
          <w:bCs/>
          <w:rtl/>
          <w:lang w:eastAsia="de-DE"/>
        </w:rPr>
        <w:t>תרבית</w:t>
      </w:r>
      <w:r w:rsidRPr="00CC6F7E">
        <w:rPr>
          <w:rFonts w:eastAsia="Times New Roman" w:cs="Times New Roman"/>
          <w:lang w:eastAsia="de-DE"/>
        </w:rPr>
        <w:t>) und erfasst damit alle Leihformen.</w:t>
      </w:r>
    </w:p>
    <w:p w14:paraId="6D2D682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25,38</w:t>
      </w:r>
    </w:p>
    <w:p w14:paraId="0201CB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אֲנִ֗י יְהוָה֙ אֱלֹ֣הֵיכֶ֔ם אֲשֶׁר־הוֹצֵ֥אתִי אֶתְכֶ֖ם מֵאֶ֣רֶץ מִצְרָ֑יִם לָתֵ֤ת לָכֶם֙ אֶת־אֶ֣רֶץ כְּנַ֔עַן לִהְי֥וֹת לָכֶ֖ם לֵאלֹהִֽים׃</w:t>
      </w:r>
    </w:p>
    <w:p w14:paraId="19DE644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Ich bin der Ewige, euer Gott, der ich euch aus dem Land Ägypten herausgeführt habe, um euch das Land Kanaan zu geben, um euer Gott zu sein.</w:t>
      </w:r>
    </w:p>
    <w:p w14:paraId="03BA13C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003B773">
          <v:rect id="_x0000_i1786" style="width:0;height:1.5pt" o:hralign="center" o:hrstd="t" o:hr="t" fillcolor="#a0a0a0" stroked="f"/>
        </w:pict>
      </w:r>
    </w:p>
    <w:p w14:paraId="14964A5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אני יהוה אלהיכם אשר־הוצאתי אתכם מארץ מצרים לתת לכם את־ארץ כנען להיות לכם לאלהים</w:t>
      </w:r>
      <w:r w:rsidRPr="00CC6F7E">
        <w:rPr>
          <w:rFonts w:eastAsia="Times New Roman" w:cs="Times New Roman"/>
          <w:rtl/>
          <w:lang w:eastAsia="de-DE"/>
        </w:rPr>
        <w:t xml:space="preserve"> </w:t>
      </w:r>
      <w:r w:rsidRPr="00CC6F7E">
        <w:rPr>
          <w:rFonts w:eastAsia="Times New Roman" w:cs="Times New Roman"/>
          <w:lang w:eastAsia="de-DE"/>
        </w:rPr>
        <w:t xml:space="preserve">begründet die Zinsverbote durch den Exodus und Bundesschluss.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(ich bin der Ewige, euer Gott) als Bundesformel. </w:t>
      </w:r>
      <w:r w:rsidRPr="00CC6F7E">
        <w:rPr>
          <w:rFonts w:eastAsia="Times New Roman" w:cs="Times New Roman"/>
          <w:b/>
          <w:bCs/>
          <w:rtl/>
          <w:lang w:eastAsia="de-DE"/>
        </w:rPr>
        <w:t>אשר־הוצאתי אתכם מארץ מצרים</w:t>
      </w:r>
      <w:r w:rsidRPr="00CC6F7E">
        <w:rPr>
          <w:rFonts w:eastAsia="Times New Roman" w:cs="Times New Roman"/>
          <w:rtl/>
          <w:lang w:eastAsia="de-DE"/>
        </w:rPr>
        <w:t xml:space="preserve"> </w:t>
      </w:r>
      <w:r w:rsidRPr="00CC6F7E">
        <w:rPr>
          <w:rFonts w:eastAsia="Times New Roman" w:cs="Times New Roman"/>
          <w:lang w:eastAsia="de-DE"/>
        </w:rPr>
        <w:t>(der ich euch aus dem Land Ägypten herausgeführt habe) zeigt die klassische Exodus-Begründung entsprechend Ex 20,2.</w:t>
      </w:r>
    </w:p>
    <w:p w14:paraId="64AE74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לתת לכם את־ארץ כנען</w:t>
      </w:r>
      <w:r w:rsidRPr="00CC6F7E">
        <w:rPr>
          <w:rFonts w:eastAsia="Times New Roman" w:cs="Times New Roman"/>
          <w:rtl/>
          <w:lang w:eastAsia="de-DE"/>
        </w:rPr>
        <w:t xml:space="preserve"> </w:t>
      </w:r>
      <w:r w:rsidRPr="00CC6F7E">
        <w:rPr>
          <w:rFonts w:eastAsia="Times New Roman" w:cs="Times New Roman"/>
          <w:lang w:eastAsia="de-DE"/>
        </w:rPr>
        <w:t xml:space="preserve">(um euch das Land Kanaan zu geben) zeigt den ersten Exodus-Zweck: Landgabe. </w:t>
      </w:r>
      <w:r w:rsidRPr="00CC6F7E">
        <w:rPr>
          <w:rFonts w:eastAsia="Times New Roman" w:cs="Times New Roman"/>
          <w:b/>
          <w:bCs/>
          <w:rtl/>
          <w:lang w:eastAsia="de-DE"/>
        </w:rPr>
        <w:t>להיות לכם לאלהים</w:t>
      </w:r>
      <w:r w:rsidRPr="00CC6F7E">
        <w:rPr>
          <w:rFonts w:eastAsia="Times New Roman" w:cs="Times New Roman"/>
          <w:rtl/>
          <w:lang w:eastAsia="de-DE"/>
        </w:rPr>
        <w:t xml:space="preserve"> </w:t>
      </w:r>
      <w:r w:rsidRPr="00CC6F7E">
        <w:rPr>
          <w:rFonts w:eastAsia="Times New Roman" w:cs="Times New Roman"/>
          <w:lang w:eastAsia="de-DE"/>
        </w:rPr>
        <w:t>(um euer Gott zu sein) zeigt den zweiten Zweck: Bundesbeziehung.</w:t>
      </w:r>
    </w:p>
    <w:p w14:paraId="13C483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als Bundesidentität. </w:t>
      </w:r>
      <w:r w:rsidRPr="00CC6F7E">
        <w:rPr>
          <w:rFonts w:eastAsia="Times New Roman" w:cs="Times New Roman"/>
          <w:b/>
          <w:bCs/>
          <w:rtl/>
          <w:lang w:eastAsia="de-DE"/>
        </w:rPr>
        <w:t>הוצאתי אתכם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als Bundesgrundlage. </w:t>
      </w:r>
      <w:r w:rsidRPr="00CC6F7E">
        <w:rPr>
          <w:rFonts w:eastAsia="Times New Roman" w:cs="Times New Roman"/>
          <w:b/>
          <w:bCs/>
          <w:rtl/>
          <w:lang w:eastAsia="de-DE"/>
        </w:rPr>
        <w:t>לתת...את־ארץ כנען</w:t>
      </w:r>
      <w:r w:rsidRPr="00CC6F7E">
        <w:rPr>
          <w:rFonts w:eastAsia="Times New Roman" w:cs="Times New Roman"/>
          <w:rtl/>
          <w:lang w:eastAsia="de-DE"/>
        </w:rPr>
        <w:t xml:space="preserve"> </w:t>
      </w:r>
      <w:r w:rsidRPr="00CC6F7E">
        <w:rPr>
          <w:rFonts w:eastAsia="Times New Roman" w:cs="Times New Roman"/>
          <w:lang w:eastAsia="de-DE"/>
        </w:rPr>
        <w:t xml:space="preserve">zeigt Landgabe als Bundesleistung. </w:t>
      </w:r>
      <w:r w:rsidRPr="00CC6F7E">
        <w:rPr>
          <w:rFonts w:eastAsia="Times New Roman" w:cs="Times New Roman"/>
          <w:b/>
          <w:bCs/>
          <w:rtl/>
          <w:lang w:eastAsia="de-DE"/>
        </w:rPr>
        <w:t>להיות לכם לאלהים</w:t>
      </w:r>
      <w:r w:rsidRPr="00CC6F7E">
        <w:rPr>
          <w:rFonts w:eastAsia="Times New Roman" w:cs="Times New Roman"/>
          <w:rtl/>
          <w:lang w:eastAsia="de-DE"/>
        </w:rPr>
        <w:t xml:space="preserve"> </w:t>
      </w:r>
      <w:r w:rsidRPr="00CC6F7E">
        <w:rPr>
          <w:rFonts w:eastAsia="Times New Roman" w:cs="Times New Roman"/>
          <w:lang w:eastAsia="de-DE"/>
        </w:rPr>
        <w:t>zeigt Bundesbeziehung als Ziel.</w:t>
      </w:r>
    </w:p>
    <w:p w14:paraId="74EBAB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ἐγώ</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εἰμι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κύριος</w:t>
      </w:r>
      <w:proofErr w:type="spellEnd"/>
      <w:r w:rsidRPr="00CC6F7E">
        <w:rPr>
          <w:rFonts w:eastAsia="Times New Roman" w:cs="Times New Roman"/>
          <w:lang w:eastAsia="de-DE"/>
        </w:rPr>
        <w:t xml:space="preserve"> ὁ </w:t>
      </w:r>
      <w:proofErr w:type="spellStart"/>
      <w:r w:rsidRPr="00CC6F7E">
        <w:rPr>
          <w:rFonts w:eastAsia="Times New Roman" w:cs="Times New Roman"/>
          <w:lang w:eastAsia="de-DE"/>
        </w:rPr>
        <w:t>θεὸς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(ich bin der Herr, euer Gott), </w:t>
      </w:r>
      <w:r w:rsidRPr="00CC6F7E">
        <w:rPr>
          <w:rFonts w:eastAsia="Times New Roman" w:cs="Times New Roman"/>
          <w:b/>
          <w:bCs/>
          <w:rtl/>
          <w:lang w:eastAsia="de-DE"/>
        </w:rPr>
        <w:t>הוצאתי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ἐξήγ</w:t>
      </w:r>
      <w:proofErr w:type="spellEnd"/>
      <w:r w:rsidRPr="00CC6F7E">
        <w:rPr>
          <w:rFonts w:eastAsia="Times New Roman" w:cs="Times New Roman"/>
          <w:lang w:eastAsia="de-DE"/>
        </w:rPr>
        <w:t xml:space="preserve">αγον (führte ich heraus), </w:t>
      </w:r>
      <w:r w:rsidRPr="00CC6F7E">
        <w:rPr>
          <w:rFonts w:eastAsia="Times New Roman" w:cs="Times New Roman"/>
          <w:b/>
          <w:bCs/>
          <w:rtl/>
          <w:lang w:eastAsia="de-DE"/>
        </w:rPr>
        <w:t>לתת לכם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δοῦν</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ὑμῖν</w:t>
      </w:r>
      <w:proofErr w:type="spellEnd"/>
      <w:r w:rsidRPr="00CC6F7E">
        <w:rPr>
          <w:rFonts w:eastAsia="Times New Roman" w:cs="Times New Roman"/>
          <w:lang w:eastAsia="de-DE"/>
        </w:rPr>
        <w:t xml:space="preserve"> (euch zu geben) und </w:t>
      </w:r>
      <w:r w:rsidRPr="00CC6F7E">
        <w:rPr>
          <w:rFonts w:eastAsia="Times New Roman" w:cs="Times New Roman"/>
          <w:b/>
          <w:bCs/>
          <w:rtl/>
          <w:lang w:eastAsia="de-DE"/>
        </w:rPr>
        <w:t>להיות לכם לאלהים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εἶν</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θεός</w:t>
      </w:r>
      <w:proofErr w:type="spellEnd"/>
      <w:r w:rsidRPr="00CC6F7E">
        <w:rPr>
          <w:rFonts w:eastAsia="Times New Roman" w:cs="Times New Roman"/>
          <w:lang w:eastAsia="de-DE"/>
        </w:rPr>
        <w:t xml:space="preserve"> (euer Gott zu sein).</w:t>
      </w:r>
    </w:p>
    <w:p w14:paraId="100D0CA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Exodus-Bundesbegründung: JHWH als Bundesgott + Exodus-Herausführung + Landgabe-Zweck + Gottesbeziehungs-Zweck.</w:t>
      </w:r>
    </w:p>
    <w:p w14:paraId="5FAB25B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begründet die sozialen Bruderpflichten durch den Exodus-Bundesschluss: Wer von JHWH befreit wurde, soll Brüder nicht unterdrücken.</w:t>
      </w:r>
    </w:p>
    <w:p w14:paraId="3D6D430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25,39</w:t>
      </w:r>
    </w:p>
    <w:p w14:paraId="23B1F8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וְכִֽי־יָמ֥וּךְ אָחִ֛יךָ עִמָּ֖ךְ וְנִמְכַּר־לָ֑ךְ לֹא־תַעֲבֹ֥ד בּוֹ֖ עֲבֹ֥דַת עָֽבֶד׃</w:t>
      </w:r>
    </w:p>
    <w:p w14:paraId="7D87E7F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dein Bruder bei dir verarmt und sich dir verkauft, sollst du ihn nicht Sklavenarbeit verrichten lassen.</w:t>
      </w:r>
    </w:p>
    <w:p w14:paraId="61DBE05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FC4C9AC">
          <v:rect id="_x0000_i1787" style="width:0;height:1.5pt" o:hralign="center" o:hrstd="t" o:hr="t" fillcolor="#a0a0a0" stroked="f"/>
        </w:pict>
      </w:r>
    </w:p>
    <w:p w14:paraId="4B3AB7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וכי־ימוך אחיך עמך ונמכר־לך לא־תעבד בו עבדת עבד</w:t>
      </w:r>
      <w:r w:rsidRPr="00CC6F7E">
        <w:rPr>
          <w:rFonts w:eastAsia="Times New Roman" w:cs="Times New Roman"/>
          <w:rtl/>
          <w:lang w:eastAsia="de-DE"/>
        </w:rPr>
        <w:t xml:space="preserve"> </w:t>
      </w:r>
      <w:r w:rsidRPr="00CC6F7E">
        <w:rPr>
          <w:rFonts w:eastAsia="Times New Roman" w:cs="Times New Roman"/>
          <w:lang w:eastAsia="de-DE"/>
        </w:rPr>
        <w:t xml:space="preserve">führt den schwersten Fall der Verarmung ein: Selbstverkauf. </w:t>
      </w:r>
      <w:r w:rsidRPr="00CC6F7E">
        <w:rPr>
          <w:rFonts w:eastAsia="Times New Roman" w:cs="Times New Roman"/>
          <w:b/>
          <w:bCs/>
          <w:rtl/>
          <w:lang w:eastAsia="de-DE"/>
        </w:rPr>
        <w:t>וכי־ימוך אחיך עמך ונמכר־לך</w:t>
      </w:r>
      <w:r w:rsidRPr="00CC6F7E">
        <w:rPr>
          <w:rFonts w:eastAsia="Times New Roman" w:cs="Times New Roman"/>
          <w:rtl/>
          <w:lang w:eastAsia="de-DE"/>
        </w:rPr>
        <w:t xml:space="preserve"> </w:t>
      </w:r>
      <w:r w:rsidRPr="00CC6F7E">
        <w:rPr>
          <w:rFonts w:eastAsia="Times New Roman" w:cs="Times New Roman"/>
          <w:lang w:eastAsia="de-DE"/>
        </w:rPr>
        <w:t xml:space="preserve">(und wenn dein Bruder bei dir verarmt und sich dir verkauft) - </w:t>
      </w:r>
      <w:r w:rsidRPr="00CC6F7E">
        <w:rPr>
          <w:rFonts w:eastAsia="Times New Roman" w:cs="Times New Roman"/>
          <w:b/>
          <w:bCs/>
          <w:rtl/>
          <w:lang w:eastAsia="de-DE"/>
        </w:rPr>
        <w:t>ימוך אחיך עמך</w:t>
      </w:r>
      <w:r w:rsidRPr="00CC6F7E">
        <w:rPr>
          <w:rFonts w:eastAsia="Times New Roman" w:cs="Times New Roman"/>
          <w:rtl/>
          <w:lang w:eastAsia="de-DE"/>
        </w:rPr>
        <w:t xml:space="preserve"> </w:t>
      </w:r>
      <w:r w:rsidRPr="00CC6F7E">
        <w:rPr>
          <w:rFonts w:eastAsia="Times New Roman" w:cs="Times New Roman"/>
          <w:lang w:eastAsia="de-DE"/>
        </w:rPr>
        <w:t xml:space="preserve">entspricht V. 35 und zeigt erneut Bruderverarmung. </w:t>
      </w:r>
      <w:r w:rsidRPr="00CC6F7E">
        <w:rPr>
          <w:rFonts w:eastAsia="Times New Roman" w:cs="Times New Roman"/>
          <w:b/>
          <w:bCs/>
          <w:rtl/>
          <w:lang w:eastAsia="de-DE"/>
        </w:rPr>
        <w:t>ונמכר־לך</w:t>
      </w:r>
      <w:r w:rsidRPr="00CC6F7E">
        <w:rPr>
          <w:rFonts w:eastAsia="Times New Roman" w:cs="Times New Roman"/>
          <w:rtl/>
          <w:lang w:eastAsia="de-DE"/>
        </w:rPr>
        <w:t xml:space="preserve"> </w:t>
      </w:r>
      <w:r w:rsidRPr="00CC6F7E">
        <w:rPr>
          <w:rFonts w:eastAsia="Times New Roman" w:cs="Times New Roman"/>
          <w:lang w:eastAsia="de-DE"/>
        </w:rPr>
        <w:t>(und sich dir verkauft) im Nifal-Perfekt mit Waw-Konsekutiv zeigt Selbstverkauf als letzten Ausweg.</w:t>
      </w:r>
    </w:p>
    <w:p w14:paraId="26AD351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לא־תעבד בו עבדת עבד</w:t>
      </w:r>
      <w:r w:rsidRPr="00CC6F7E">
        <w:rPr>
          <w:rFonts w:eastAsia="Times New Roman" w:cs="Times New Roman"/>
          <w:rtl/>
          <w:lang w:eastAsia="de-DE"/>
        </w:rPr>
        <w:t xml:space="preserve"> </w:t>
      </w:r>
      <w:r w:rsidRPr="00CC6F7E">
        <w:rPr>
          <w:rFonts w:eastAsia="Times New Roman" w:cs="Times New Roman"/>
          <w:lang w:eastAsia="de-DE"/>
        </w:rPr>
        <w:t xml:space="preserve">(sollst du ihn nicht Sklavenarbeit verrichten lassen) - </w:t>
      </w:r>
      <w:r w:rsidRPr="00CC6F7E">
        <w:rPr>
          <w:rFonts w:eastAsia="Times New Roman" w:cs="Times New Roman"/>
          <w:b/>
          <w:bCs/>
          <w:rtl/>
          <w:lang w:eastAsia="de-DE"/>
        </w:rPr>
        <w:t>לא־תעבד בו</w:t>
      </w:r>
      <w:r w:rsidRPr="00CC6F7E">
        <w:rPr>
          <w:rFonts w:eastAsia="Times New Roman" w:cs="Times New Roman"/>
          <w:rtl/>
          <w:lang w:eastAsia="de-DE"/>
        </w:rPr>
        <w:t xml:space="preserve"> </w:t>
      </w:r>
      <w:r w:rsidRPr="00CC6F7E">
        <w:rPr>
          <w:rFonts w:eastAsia="Times New Roman" w:cs="Times New Roman"/>
          <w:lang w:eastAsia="de-DE"/>
        </w:rPr>
        <w:t xml:space="preserve">(sollst du ihn nicht arbeiten lassen) im Hifil-Imperfekt als Verbot. </w:t>
      </w:r>
      <w:r w:rsidRPr="00CC6F7E">
        <w:rPr>
          <w:rFonts w:eastAsia="Times New Roman" w:cs="Times New Roman"/>
          <w:b/>
          <w:bCs/>
          <w:rtl/>
          <w:lang w:eastAsia="de-DE"/>
        </w:rPr>
        <w:t>עבדת עבד</w:t>
      </w:r>
      <w:r w:rsidRPr="00CC6F7E">
        <w:rPr>
          <w:rFonts w:eastAsia="Times New Roman" w:cs="Times New Roman"/>
          <w:rtl/>
          <w:lang w:eastAsia="de-DE"/>
        </w:rPr>
        <w:t xml:space="preserve"> </w:t>
      </w:r>
      <w:r w:rsidRPr="00CC6F7E">
        <w:rPr>
          <w:rFonts w:eastAsia="Times New Roman" w:cs="Times New Roman"/>
          <w:lang w:eastAsia="de-DE"/>
        </w:rPr>
        <w:t xml:space="preserve">(Sklavenarbeit) - </w:t>
      </w:r>
      <w:r w:rsidRPr="00CC6F7E">
        <w:rPr>
          <w:rFonts w:eastAsia="Times New Roman" w:cs="Times New Roman"/>
          <w:b/>
          <w:bCs/>
          <w:rtl/>
          <w:lang w:eastAsia="de-DE"/>
        </w:rPr>
        <w:t>עבדת</w:t>
      </w:r>
      <w:r w:rsidRPr="00CC6F7E">
        <w:rPr>
          <w:rFonts w:eastAsia="Times New Roman" w:cs="Times New Roman"/>
          <w:rtl/>
          <w:lang w:eastAsia="de-DE"/>
        </w:rPr>
        <w:t xml:space="preserve"> </w:t>
      </w:r>
      <w:r w:rsidRPr="00CC6F7E">
        <w:rPr>
          <w:rFonts w:eastAsia="Times New Roman" w:cs="Times New Roman"/>
          <w:lang w:eastAsia="de-DE"/>
        </w:rPr>
        <w:t xml:space="preserve">(Arbeit von) </w:t>
      </w:r>
      <w:r w:rsidRPr="00CC6F7E">
        <w:rPr>
          <w:rFonts w:eastAsia="Times New Roman" w:cs="Times New Roman"/>
          <w:b/>
          <w:bCs/>
          <w:rtl/>
          <w:lang w:eastAsia="de-DE"/>
        </w:rPr>
        <w:t>עבד</w:t>
      </w:r>
      <w:r w:rsidRPr="00CC6F7E">
        <w:rPr>
          <w:rFonts w:eastAsia="Times New Roman" w:cs="Times New Roman"/>
          <w:rtl/>
          <w:lang w:eastAsia="de-DE"/>
        </w:rPr>
        <w:t xml:space="preserve"> </w:t>
      </w:r>
      <w:r w:rsidRPr="00CC6F7E">
        <w:rPr>
          <w:rFonts w:eastAsia="Times New Roman" w:cs="Times New Roman"/>
          <w:lang w:eastAsia="de-DE"/>
        </w:rPr>
        <w:t>(Sklave) zeigt harte Sklavenbehandlung.</w:t>
      </w:r>
    </w:p>
    <w:p w14:paraId="5DDB75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ימוך אחיך עמך</w:t>
      </w:r>
      <w:r w:rsidRPr="00CC6F7E">
        <w:rPr>
          <w:rFonts w:eastAsia="Times New Roman" w:cs="Times New Roman"/>
          <w:rtl/>
          <w:lang w:eastAsia="de-DE"/>
        </w:rPr>
        <w:t xml:space="preserve"> </w:t>
      </w:r>
      <w:r w:rsidRPr="00CC6F7E">
        <w:rPr>
          <w:rFonts w:eastAsia="Times New Roman" w:cs="Times New Roman"/>
          <w:lang w:eastAsia="de-DE"/>
        </w:rPr>
        <w:t xml:space="preserve">zeigt die dritte Verarmungsstufe nach V. 25,35. </w:t>
      </w:r>
      <w:r w:rsidRPr="00CC6F7E">
        <w:rPr>
          <w:rFonts w:eastAsia="Times New Roman" w:cs="Times New Roman"/>
          <w:b/>
          <w:bCs/>
          <w:rtl/>
          <w:lang w:eastAsia="de-DE"/>
        </w:rPr>
        <w:t>ונמכר־לך</w:t>
      </w:r>
      <w:r w:rsidRPr="00CC6F7E">
        <w:rPr>
          <w:rFonts w:eastAsia="Times New Roman" w:cs="Times New Roman"/>
          <w:rtl/>
          <w:lang w:eastAsia="de-DE"/>
        </w:rPr>
        <w:t xml:space="preserve"> </w:t>
      </w:r>
      <w:r w:rsidRPr="00CC6F7E">
        <w:rPr>
          <w:rFonts w:eastAsia="Times New Roman" w:cs="Times New Roman"/>
          <w:lang w:eastAsia="de-DE"/>
        </w:rPr>
        <w:t xml:space="preserve">zeigt Selbstverkauf als extremste Notlage. </w:t>
      </w:r>
      <w:r w:rsidRPr="00CC6F7E">
        <w:rPr>
          <w:rFonts w:eastAsia="Times New Roman" w:cs="Times New Roman"/>
          <w:b/>
          <w:bCs/>
          <w:rtl/>
          <w:lang w:eastAsia="de-DE"/>
        </w:rPr>
        <w:t>עבדת עבד</w:t>
      </w:r>
      <w:r w:rsidRPr="00CC6F7E">
        <w:rPr>
          <w:rFonts w:eastAsia="Times New Roman" w:cs="Times New Roman"/>
          <w:rtl/>
          <w:lang w:eastAsia="de-DE"/>
        </w:rPr>
        <w:t xml:space="preserve"> </w:t>
      </w:r>
      <w:r w:rsidRPr="00CC6F7E">
        <w:rPr>
          <w:rFonts w:eastAsia="Times New Roman" w:cs="Times New Roman"/>
          <w:lang w:eastAsia="de-DE"/>
        </w:rPr>
        <w:t>zeigt verbotene Sklavenbehandlung des verkauften Bruders.</w:t>
      </w:r>
    </w:p>
    <w:p w14:paraId="473677ED" w14:textId="3BC7F67F"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עבדת עבד</w:t>
      </w:r>
      <w:r w:rsidR="009104A2">
        <w:t xml:space="preserve"> (</w:t>
      </w:r>
      <w:proofErr w:type="spellStart"/>
      <w:r w:rsidR="009104A2">
        <w:t>avodat</w:t>
      </w:r>
      <w:proofErr w:type="spellEnd"/>
      <w:r w:rsidR="009104A2">
        <w:t xml:space="preserve"> </w:t>
      </w:r>
      <w:proofErr w:type="spellStart"/>
      <w:r w:rsidR="009104A2">
        <w:t>aved</w:t>
      </w:r>
      <w:proofErr w:type="spellEnd"/>
      <w:r w:rsidR="009104A2">
        <w:t xml:space="preserve"> - "Sklavenarbeit") als </w:t>
      </w:r>
      <w:proofErr w:type="spellStart"/>
      <w:r w:rsidR="009104A2">
        <w:t>δουλεί</w:t>
      </w:r>
      <w:proofErr w:type="spellEnd"/>
      <w:r w:rsidR="009104A2">
        <w:t xml:space="preserve">αν </w:t>
      </w:r>
      <w:proofErr w:type="spellStart"/>
      <w:r w:rsidR="009104A2">
        <w:t>οἰκέτου</w:t>
      </w:r>
      <w:proofErr w:type="spellEnd"/>
      <w:r w:rsidR="009104A2">
        <w:t xml:space="preserve"> (Hausdienerschaft), was eine mildere Terminologie darstellt.</w:t>
      </w:r>
    </w:p>
    <w:p w14:paraId="0FA3983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Selbstverkaufs-Regelung: Bruder-Verarmung + Selbstverkauf + Verbot der Sklavenarbeits-Behandlung.</w:t>
      </w:r>
    </w:p>
    <w:p w14:paraId="1212422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verbietet die Behandlung des sich verkaufenden Bruders als </w:t>
      </w:r>
      <w:r w:rsidRPr="00CC6F7E">
        <w:rPr>
          <w:rFonts w:eastAsia="Times New Roman" w:cs="Times New Roman"/>
          <w:b/>
          <w:bCs/>
          <w:rtl/>
          <w:lang w:eastAsia="de-DE"/>
        </w:rPr>
        <w:t>עבד</w:t>
      </w:r>
      <w:r w:rsidRPr="00CC6F7E">
        <w:rPr>
          <w:rFonts w:eastAsia="Times New Roman" w:cs="Times New Roman"/>
          <w:rtl/>
          <w:lang w:eastAsia="de-DE"/>
        </w:rPr>
        <w:t xml:space="preserve"> </w:t>
      </w:r>
      <w:r w:rsidRPr="00CC6F7E">
        <w:rPr>
          <w:rFonts w:eastAsia="Times New Roman" w:cs="Times New Roman"/>
          <w:lang w:eastAsia="de-DE"/>
        </w:rPr>
        <w:t>(Sklave) trotz des Verkaufs.</w:t>
      </w:r>
    </w:p>
    <w:p w14:paraId="6180AE6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25,40</w:t>
      </w:r>
    </w:p>
    <w:p w14:paraId="20AF96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כְּשָׂכִ֥יר כְּתוֹשָׁ֖ב יִהְיֶ֣ה עִמָּ֑ךְ עַד־שְׁנַ֥ת הַיֹּבֵ֖ל יַעֲבֹ֥ד עִמָּֽךְ׃</w:t>
      </w:r>
    </w:p>
    <w:p w14:paraId="0B2450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Wie ein Tagelöhner, wie ein Beisasse soll er bei dir sein; bis zum Jobeljahr soll er bei dir dienen.</w:t>
      </w:r>
    </w:p>
    <w:p w14:paraId="0B422E2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B79A2A1">
          <v:rect id="_x0000_i1788" style="width:0;height:1.5pt" o:hralign="center" o:hrstd="t" o:hr="t" fillcolor="#a0a0a0" stroked="f"/>
        </w:pict>
      </w:r>
    </w:p>
    <w:p w14:paraId="04F0762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כשכיר כתושב יהיה עמך עד־שנת היבל יעבד עמך</w:t>
      </w:r>
      <w:r w:rsidRPr="00CC6F7E">
        <w:rPr>
          <w:rFonts w:eastAsia="Times New Roman" w:cs="Times New Roman"/>
          <w:rtl/>
          <w:lang w:eastAsia="de-DE"/>
        </w:rPr>
        <w:t xml:space="preserve"> </w:t>
      </w:r>
      <w:r w:rsidRPr="00CC6F7E">
        <w:rPr>
          <w:rFonts w:eastAsia="Times New Roman" w:cs="Times New Roman"/>
          <w:lang w:eastAsia="de-DE"/>
        </w:rPr>
        <w:t xml:space="preserve">zeigt den alternativen Status für den verkauften Bruder. </w:t>
      </w:r>
      <w:r w:rsidRPr="00CC6F7E">
        <w:rPr>
          <w:rFonts w:eastAsia="Times New Roman" w:cs="Times New Roman"/>
          <w:b/>
          <w:bCs/>
          <w:rtl/>
          <w:lang w:eastAsia="de-DE"/>
        </w:rPr>
        <w:t>כשכיר כתושב יהיה עמך</w:t>
      </w:r>
      <w:r w:rsidRPr="00CC6F7E">
        <w:rPr>
          <w:rFonts w:eastAsia="Times New Roman" w:cs="Times New Roman"/>
          <w:rtl/>
          <w:lang w:eastAsia="de-DE"/>
        </w:rPr>
        <w:t xml:space="preserve"> </w:t>
      </w:r>
      <w:r w:rsidRPr="00CC6F7E">
        <w:rPr>
          <w:rFonts w:eastAsia="Times New Roman" w:cs="Times New Roman"/>
          <w:lang w:eastAsia="de-DE"/>
        </w:rPr>
        <w:t>(wie ein Tagelöhner, wie ein Beisasse soll er bei dir sein) zeigt zwei Vergleichsmodelle:</w:t>
      </w:r>
    </w:p>
    <w:p w14:paraId="17F107DD" w14:textId="77777777" w:rsidR="00CC6F7E" w:rsidRPr="00CC6F7E" w:rsidRDefault="00CC6F7E" w:rsidP="00CC6F7E">
      <w:pPr>
        <w:numPr>
          <w:ilvl w:val="0"/>
          <w:numId w:val="29"/>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כשכיר</w:t>
      </w:r>
      <w:r w:rsidRPr="00CC6F7E">
        <w:rPr>
          <w:rFonts w:eastAsia="Times New Roman" w:cs="Times New Roman"/>
          <w:rtl/>
          <w:lang w:eastAsia="de-DE"/>
        </w:rPr>
        <w:t xml:space="preserve"> </w:t>
      </w:r>
      <w:r w:rsidRPr="00CC6F7E">
        <w:rPr>
          <w:rFonts w:eastAsia="Times New Roman" w:cs="Times New Roman"/>
          <w:lang w:eastAsia="de-DE"/>
        </w:rPr>
        <w:t xml:space="preserve">(wie ein Tagelöhner) - </w:t>
      </w:r>
      <w:r w:rsidRPr="00CC6F7E">
        <w:rPr>
          <w:rFonts w:eastAsia="Times New Roman" w:cs="Times New Roman"/>
          <w:b/>
          <w:bCs/>
          <w:rtl/>
          <w:lang w:eastAsia="de-DE"/>
        </w:rPr>
        <w:t>שכיר</w:t>
      </w:r>
      <w:r w:rsidRPr="00CC6F7E">
        <w:rPr>
          <w:rFonts w:eastAsia="Times New Roman" w:cs="Times New Roman"/>
          <w:rtl/>
          <w:lang w:eastAsia="de-DE"/>
        </w:rPr>
        <w:t xml:space="preserve"> </w:t>
      </w:r>
      <w:r w:rsidRPr="00CC6F7E">
        <w:rPr>
          <w:rFonts w:eastAsia="Times New Roman" w:cs="Times New Roman"/>
          <w:lang w:eastAsia="de-DE"/>
        </w:rPr>
        <w:t>(Lohnarbeiter) zeigt bezahlte Arbeit</w:t>
      </w:r>
    </w:p>
    <w:p w14:paraId="14C77963" w14:textId="77777777" w:rsidR="00CC6F7E" w:rsidRPr="00CC6F7E" w:rsidRDefault="00CC6F7E" w:rsidP="00CC6F7E">
      <w:pPr>
        <w:numPr>
          <w:ilvl w:val="0"/>
          <w:numId w:val="29"/>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כתושב</w:t>
      </w:r>
      <w:r w:rsidRPr="00CC6F7E">
        <w:rPr>
          <w:rFonts w:eastAsia="Times New Roman" w:cs="Times New Roman"/>
          <w:rtl/>
          <w:lang w:eastAsia="de-DE"/>
        </w:rPr>
        <w:t xml:space="preserve"> </w:t>
      </w:r>
      <w:r w:rsidRPr="00CC6F7E">
        <w:rPr>
          <w:rFonts w:eastAsia="Times New Roman" w:cs="Times New Roman"/>
          <w:lang w:eastAsia="de-DE"/>
        </w:rPr>
        <w:t xml:space="preserve">(wie ein Beisasse) - </w:t>
      </w:r>
      <w:r w:rsidRPr="00CC6F7E">
        <w:rPr>
          <w:rFonts w:eastAsia="Times New Roman" w:cs="Times New Roman"/>
          <w:b/>
          <w:bCs/>
          <w:rtl/>
          <w:lang w:eastAsia="de-DE"/>
        </w:rPr>
        <w:t>תושב</w:t>
      </w:r>
      <w:r w:rsidRPr="00CC6F7E">
        <w:rPr>
          <w:rFonts w:eastAsia="Times New Roman" w:cs="Times New Roman"/>
          <w:rtl/>
          <w:lang w:eastAsia="de-DE"/>
        </w:rPr>
        <w:t xml:space="preserve"> </w:t>
      </w:r>
      <w:r w:rsidRPr="00CC6F7E">
        <w:rPr>
          <w:rFonts w:eastAsia="Times New Roman" w:cs="Times New Roman"/>
          <w:lang w:eastAsia="de-DE"/>
        </w:rPr>
        <w:t>entspricht V. 6,23,35 und zeigt temporären Bewohnerstatus</w:t>
      </w:r>
    </w:p>
    <w:p w14:paraId="438885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עד־שנת היבל יעבד עמך</w:t>
      </w:r>
      <w:r w:rsidRPr="00CC6F7E">
        <w:rPr>
          <w:rFonts w:eastAsia="Times New Roman" w:cs="Times New Roman"/>
          <w:rtl/>
          <w:lang w:eastAsia="de-DE"/>
        </w:rPr>
        <w:t xml:space="preserve"> </w:t>
      </w:r>
      <w:r w:rsidRPr="00CC6F7E">
        <w:rPr>
          <w:rFonts w:eastAsia="Times New Roman" w:cs="Times New Roman"/>
          <w:lang w:eastAsia="de-DE"/>
        </w:rPr>
        <w:t xml:space="preserve">(bis zum Jobeljahr soll er bei dir dienen) zeigt die zeitliche Begrenzung - </w:t>
      </w:r>
      <w:r w:rsidRPr="00CC6F7E">
        <w:rPr>
          <w:rFonts w:eastAsia="Times New Roman" w:cs="Times New Roman"/>
          <w:b/>
          <w:bCs/>
          <w:rtl/>
          <w:lang w:eastAsia="de-DE"/>
        </w:rPr>
        <w:t>עד־שנת היבל</w:t>
      </w:r>
      <w:r w:rsidRPr="00CC6F7E">
        <w:rPr>
          <w:rFonts w:eastAsia="Times New Roman" w:cs="Times New Roman"/>
          <w:rtl/>
          <w:lang w:eastAsia="de-DE"/>
        </w:rPr>
        <w:t xml:space="preserve"> </w:t>
      </w:r>
      <w:r w:rsidRPr="00CC6F7E">
        <w:rPr>
          <w:rFonts w:eastAsia="Times New Roman" w:cs="Times New Roman"/>
          <w:lang w:eastAsia="de-DE"/>
        </w:rPr>
        <w:t xml:space="preserve">(bis zum Jobeljahr) als Zeitlimit. </w:t>
      </w:r>
      <w:r w:rsidRPr="00CC6F7E">
        <w:rPr>
          <w:rFonts w:eastAsia="Times New Roman" w:cs="Times New Roman"/>
          <w:b/>
          <w:bCs/>
          <w:rtl/>
          <w:lang w:eastAsia="de-DE"/>
        </w:rPr>
        <w:t>יעבד עמך</w:t>
      </w:r>
      <w:r w:rsidRPr="00CC6F7E">
        <w:rPr>
          <w:rFonts w:eastAsia="Times New Roman" w:cs="Times New Roman"/>
          <w:rtl/>
          <w:lang w:eastAsia="de-DE"/>
        </w:rPr>
        <w:t xml:space="preserve"> </w:t>
      </w:r>
      <w:r w:rsidRPr="00CC6F7E">
        <w:rPr>
          <w:rFonts w:eastAsia="Times New Roman" w:cs="Times New Roman"/>
          <w:lang w:eastAsia="de-DE"/>
        </w:rPr>
        <w:t xml:space="preserve">(soll er bei dir dienen) - </w:t>
      </w:r>
      <w:r w:rsidRPr="00CC6F7E">
        <w:rPr>
          <w:rFonts w:eastAsia="Times New Roman" w:cs="Times New Roman"/>
          <w:b/>
          <w:bCs/>
          <w:rtl/>
          <w:lang w:eastAsia="de-DE"/>
        </w:rPr>
        <w:t>עמך</w:t>
      </w:r>
      <w:r w:rsidRPr="00CC6F7E">
        <w:rPr>
          <w:rFonts w:eastAsia="Times New Roman" w:cs="Times New Roman"/>
          <w:rtl/>
          <w:lang w:eastAsia="de-DE"/>
        </w:rPr>
        <w:t xml:space="preserve"> </w:t>
      </w:r>
      <w:r w:rsidRPr="00CC6F7E">
        <w:rPr>
          <w:rFonts w:eastAsia="Times New Roman" w:cs="Times New Roman"/>
          <w:lang w:eastAsia="de-DE"/>
        </w:rPr>
        <w:t>(bei dir) zeigt Mitarbeit statt Unterwerfung.</w:t>
      </w:r>
    </w:p>
    <w:p w14:paraId="67675B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כשכיר כתושב</w:t>
      </w:r>
      <w:r w:rsidRPr="00CC6F7E">
        <w:rPr>
          <w:rFonts w:eastAsia="Times New Roman" w:cs="Times New Roman"/>
          <w:rtl/>
          <w:lang w:eastAsia="de-DE"/>
        </w:rPr>
        <w:t xml:space="preserve"> </w:t>
      </w:r>
      <w:r w:rsidRPr="00CC6F7E">
        <w:rPr>
          <w:rFonts w:eastAsia="Times New Roman" w:cs="Times New Roman"/>
          <w:lang w:eastAsia="de-DE"/>
        </w:rPr>
        <w:t xml:space="preserve">zeigen respektvolle Arbeitsbeziehungen vs. </w:t>
      </w:r>
      <w:r w:rsidRPr="00CC6F7E">
        <w:rPr>
          <w:rFonts w:eastAsia="Times New Roman" w:cs="Times New Roman"/>
          <w:b/>
          <w:bCs/>
          <w:rtl/>
          <w:lang w:eastAsia="de-DE"/>
        </w:rPr>
        <w:t>עבדת עבד</w:t>
      </w:r>
      <w:r w:rsidRPr="00CC6F7E">
        <w:rPr>
          <w:rFonts w:eastAsia="Times New Roman" w:cs="Times New Roman"/>
          <w:lang w:eastAsia="de-DE"/>
        </w:rPr>
        <w:t xml:space="preserve">. </w:t>
      </w:r>
      <w:r w:rsidRPr="00CC6F7E">
        <w:rPr>
          <w:rFonts w:eastAsia="Times New Roman" w:cs="Times New Roman"/>
          <w:b/>
          <w:bCs/>
          <w:rtl/>
          <w:lang w:eastAsia="de-DE"/>
        </w:rPr>
        <w:t>עד־שנת היבל</w:t>
      </w:r>
      <w:r w:rsidRPr="00CC6F7E">
        <w:rPr>
          <w:rFonts w:eastAsia="Times New Roman" w:cs="Times New Roman"/>
          <w:rtl/>
          <w:lang w:eastAsia="de-DE"/>
        </w:rPr>
        <w:t xml:space="preserve"> </w:t>
      </w:r>
      <w:r w:rsidRPr="00CC6F7E">
        <w:rPr>
          <w:rFonts w:eastAsia="Times New Roman" w:cs="Times New Roman"/>
          <w:lang w:eastAsia="de-DE"/>
        </w:rPr>
        <w:t xml:space="preserve">zeigt Jobel als Befreiungsgrenze. </w:t>
      </w:r>
      <w:r w:rsidRPr="00CC6F7E">
        <w:rPr>
          <w:rFonts w:eastAsia="Times New Roman" w:cs="Times New Roman"/>
          <w:b/>
          <w:bCs/>
          <w:rtl/>
          <w:lang w:eastAsia="de-DE"/>
        </w:rPr>
        <w:t>יעבד עמך</w:t>
      </w:r>
      <w:r w:rsidRPr="00CC6F7E">
        <w:rPr>
          <w:rFonts w:eastAsia="Times New Roman" w:cs="Times New Roman"/>
          <w:rtl/>
          <w:lang w:eastAsia="de-DE"/>
        </w:rPr>
        <w:t xml:space="preserve"> </w:t>
      </w:r>
      <w:r w:rsidRPr="00CC6F7E">
        <w:rPr>
          <w:rFonts w:eastAsia="Times New Roman" w:cs="Times New Roman"/>
          <w:lang w:eastAsia="de-DE"/>
        </w:rPr>
        <w:t>zeigt Zusammenarbeit.</w:t>
      </w:r>
    </w:p>
    <w:p w14:paraId="032310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כשכיר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ὡς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μισθωτός</w:t>
      </w:r>
      <w:proofErr w:type="spellEnd"/>
      <w:r w:rsidRPr="00CC6F7E">
        <w:rPr>
          <w:rFonts w:eastAsia="Times New Roman" w:cs="Times New Roman"/>
          <w:lang w:eastAsia="de-DE"/>
        </w:rPr>
        <w:t xml:space="preserve"> (wie ein Lohnarbeiter), </w:t>
      </w:r>
      <w:r w:rsidRPr="00CC6F7E">
        <w:rPr>
          <w:rFonts w:eastAsia="Times New Roman" w:cs="Times New Roman"/>
          <w:b/>
          <w:bCs/>
          <w:rtl/>
          <w:lang w:eastAsia="de-DE"/>
        </w:rPr>
        <w:t>כתושב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ὡς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άροικος</w:t>
      </w:r>
      <w:proofErr w:type="spellEnd"/>
      <w:r w:rsidRPr="00CC6F7E">
        <w:rPr>
          <w:rFonts w:eastAsia="Times New Roman" w:cs="Times New Roman"/>
          <w:lang w:eastAsia="de-DE"/>
        </w:rPr>
        <w:t xml:space="preserve"> (wie ein Beisasse), </w:t>
      </w:r>
      <w:r w:rsidRPr="00CC6F7E">
        <w:rPr>
          <w:rFonts w:eastAsia="Times New Roman" w:cs="Times New Roman"/>
          <w:b/>
          <w:bCs/>
          <w:rtl/>
          <w:lang w:eastAsia="de-DE"/>
        </w:rPr>
        <w:t>עד־שנת היבל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ἕως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ἔτους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(bis zum Jahr des Erlasses) und </w:t>
      </w:r>
      <w:r w:rsidRPr="00CC6F7E">
        <w:rPr>
          <w:rFonts w:eastAsia="Times New Roman" w:cs="Times New Roman"/>
          <w:b/>
          <w:bCs/>
          <w:rtl/>
          <w:lang w:eastAsia="de-DE"/>
        </w:rPr>
        <w:t>יעבד עמך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ἐργᾶτ</w:t>
      </w:r>
      <w:proofErr w:type="spellEnd"/>
      <w:r w:rsidRPr="00CC6F7E">
        <w:rPr>
          <w:rFonts w:eastAsia="Times New Roman" w:cs="Times New Roman"/>
          <w:lang w:eastAsia="de-DE"/>
        </w:rPr>
        <w:t>αι πα</w:t>
      </w:r>
      <w:proofErr w:type="spellStart"/>
      <w:r w:rsidRPr="00CC6F7E">
        <w:rPr>
          <w:rFonts w:eastAsia="Times New Roman" w:cs="Times New Roman"/>
          <w:lang w:eastAsia="de-DE"/>
        </w:rPr>
        <w:t>ρὰ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σοί</w:t>
      </w:r>
      <w:proofErr w:type="spellEnd"/>
      <w:r w:rsidRPr="00CC6F7E">
        <w:rPr>
          <w:rFonts w:eastAsia="Times New Roman" w:cs="Times New Roman"/>
          <w:lang w:eastAsia="de-DE"/>
        </w:rPr>
        <w:t xml:space="preserve"> (wird arbeiten bei dir).</w:t>
      </w:r>
    </w:p>
    <w:p w14:paraId="734ADD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Bruder-Dienst-Status: wie Tagelöhner + wie Beisasse + bei dir sein + bis Jobeljahr + bei dir dienen.</w:t>
      </w:r>
    </w:p>
    <w:p w14:paraId="1A2DDF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den verkauften Bruder als </w:t>
      </w:r>
      <w:r w:rsidRPr="00CC6F7E">
        <w:rPr>
          <w:rFonts w:eastAsia="Times New Roman" w:cs="Times New Roman"/>
          <w:b/>
          <w:bCs/>
          <w:rtl/>
          <w:lang w:eastAsia="de-DE"/>
        </w:rPr>
        <w:t>שכיר</w:t>
      </w:r>
      <w:r w:rsidRPr="00CC6F7E">
        <w:rPr>
          <w:rFonts w:eastAsia="Times New Roman" w:cs="Times New Roman"/>
          <w:lang w:eastAsia="de-DE"/>
        </w:rPr>
        <w:t>/</w:t>
      </w:r>
      <w:r w:rsidRPr="00CC6F7E">
        <w:rPr>
          <w:rFonts w:eastAsia="Times New Roman" w:cs="Times New Roman"/>
          <w:b/>
          <w:bCs/>
          <w:rtl/>
          <w:lang w:eastAsia="de-DE"/>
        </w:rPr>
        <w:t>תושב</w:t>
      </w:r>
      <w:r w:rsidRPr="00CC6F7E">
        <w:rPr>
          <w:rFonts w:eastAsia="Times New Roman" w:cs="Times New Roman"/>
          <w:rtl/>
          <w:lang w:eastAsia="de-DE"/>
        </w:rPr>
        <w:t xml:space="preserve"> </w:t>
      </w:r>
      <w:r w:rsidRPr="00CC6F7E">
        <w:rPr>
          <w:rFonts w:eastAsia="Times New Roman" w:cs="Times New Roman"/>
          <w:lang w:eastAsia="de-DE"/>
        </w:rPr>
        <w:t>mit zeitlich begrenztem Dienst bis zum Jobel.</w:t>
      </w:r>
    </w:p>
    <w:p w14:paraId="6CEF595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25,41</w:t>
      </w:r>
    </w:p>
    <w:p w14:paraId="354457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וְיָצָא֙ מֵֽעִמָּ֔ךְ ה֖וּא וּבָנָ֣יו עִמּוֹ֑ וְשָׁב֙ אֶל־מִשְׁפַּחְתּוֹ֔ וְאֶל־אֲחֻזַּ֥ת אֲבֹתָ֖יו יָשֽׁוּב׃</w:t>
      </w:r>
    </w:p>
    <w:p w14:paraId="19D1F0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Dann soll er ausgehen von dir, er und seine Kinder mit ihm, und zu seiner Familie zurückkehren und zum Besitztum seiner Väter zurückkehren.</w:t>
      </w:r>
    </w:p>
    <w:p w14:paraId="25FCC3B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460B77A">
          <v:rect id="_x0000_i1789" style="width:0;height:1.5pt" o:hralign="center" o:hrstd="t" o:hr="t" fillcolor="#a0a0a0" stroked="f"/>
        </w:pict>
      </w:r>
    </w:p>
    <w:p w14:paraId="6CEC319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ויצא מעמך הוא ובניו עמו ושב אל־משפחתו ואל־אחזת אבתיו ישוב</w:t>
      </w:r>
      <w:r w:rsidRPr="00CC6F7E">
        <w:rPr>
          <w:rFonts w:eastAsia="Times New Roman" w:cs="Times New Roman"/>
          <w:rtl/>
          <w:lang w:eastAsia="de-DE"/>
        </w:rPr>
        <w:t xml:space="preserve"> </w:t>
      </w:r>
      <w:r w:rsidRPr="00CC6F7E">
        <w:rPr>
          <w:rFonts w:eastAsia="Times New Roman" w:cs="Times New Roman"/>
          <w:lang w:eastAsia="de-DE"/>
        </w:rPr>
        <w:t xml:space="preserve">zeigt die Jobel-Befreiung des verkauften Bruders. </w:t>
      </w:r>
      <w:r w:rsidRPr="00CC6F7E">
        <w:rPr>
          <w:rFonts w:eastAsia="Times New Roman" w:cs="Times New Roman"/>
          <w:b/>
          <w:bCs/>
          <w:rtl/>
          <w:lang w:eastAsia="de-DE"/>
        </w:rPr>
        <w:t>ויצא מעמך הוא ובניו עמו</w:t>
      </w:r>
      <w:r w:rsidRPr="00CC6F7E">
        <w:rPr>
          <w:rFonts w:eastAsia="Times New Roman" w:cs="Times New Roman"/>
          <w:rtl/>
          <w:lang w:eastAsia="de-DE"/>
        </w:rPr>
        <w:t xml:space="preserve"> </w:t>
      </w:r>
      <w:r w:rsidRPr="00CC6F7E">
        <w:rPr>
          <w:rFonts w:eastAsia="Times New Roman" w:cs="Times New Roman"/>
          <w:lang w:eastAsia="de-DE"/>
        </w:rPr>
        <w:t xml:space="preserve">(dann soll er ausgehen von dir, er und seine Kinder mit ihm) - </w:t>
      </w:r>
      <w:r w:rsidRPr="00CC6F7E">
        <w:rPr>
          <w:rFonts w:eastAsia="Times New Roman" w:cs="Times New Roman"/>
          <w:b/>
          <w:bCs/>
          <w:rtl/>
          <w:lang w:eastAsia="de-DE"/>
        </w:rPr>
        <w:t>ויצא מעמך</w:t>
      </w:r>
      <w:r w:rsidRPr="00CC6F7E">
        <w:rPr>
          <w:rFonts w:eastAsia="Times New Roman" w:cs="Times New Roman"/>
          <w:rtl/>
          <w:lang w:eastAsia="de-DE"/>
        </w:rPr>
        <w:t xml:space="preserve"> </w:t>
      </w:r>
      <w:r w:rsidRPr="00CC6F7E">
        <w:rPr>
          <w:rFonts w:eastAsia="Times New Roman" w:cs="Times New Roman"/>
          <w:lang w:eastAsia="de-DE"/>
        </w:rPr>
        <w:t xml:space="preserve">(und er soll von dir ausgehen) entspricht der Jobel-Befreiung von V. 28. </w:t>
      </w:r>
      <w:r w:rsidRPr="00CC6F7E">
        <w:rPr>
          <w:rFonts w:eastAsia="Times New Roman" w:cs="Times New Roman"/>
          <w:b/>
          <w:bCs/>
          <w:rtl/>
          <w:lang w:eastAsia="de-DE"/>
        </w:rPr>
        <w:t>הוא ובניו עמו</w:t>
      </w:r>
      <w:r w:rsidRPr="00CC6F7E">
        <w:rPr>
          <w:rFonts w:eastAsia="Times New Roman" w:cs="Times New Roman"/>
          <w:rtl/>
          <w:lang w:eastAsia="de-DE"/>
        </w:rPr>
        <w:t xml:space="preserve"> </w:t>
      </w:r>
      <w:r w:rsidRPr="00CC6F7E">
        <w:rPr>
          <w:rFonts w:eastAsia="Times New Roman" w:cs="Times New Roman"/>
          <w:lang w:eastAsia="de-DE"/>
        </w:rPr>
        <w:t xml:space="preserve">(er und seine Kinder mit ihm) zeigt Familienbefreiung - die </w:t>
      </w:r>
      <w:r w:rsidRPr="00CC6F7E">
        <w:rPr>
          <w:rFonts w:eastAsia="Times New Roman" w:cs="Times New Roman"/>
          <w:b/>
          <w:bCs/>
          <w:rtl/>
          <w:lang w:eastAsia="de-DE"/>
        </w:rPr>
        <w:t>בנים</w:t>
      </w:r>
      <w:r w:rsidRPr="00CC6F7E">
        <w:rPr>
          <w:rFonts w:eastAsia="Times New Roman" w:cs="Times New Roman"/>
          <w:rtl/>
          <w:lang w:eastAsia="de-DE"/>
        </w:rPr>
        <w:t xml:space="preserve"> </w:t>
      </w:r>
      <w:r w:rsidRPr="00CC6F7E">
        <w:rPr>
          <w:rFonts w:eastAsia="Times New Roman" w:cs="Times New Roman"/>
          <w:lang w:eastAsia="de-DE"/>
        </w:rPr>
        <w:t>(Kinder) sind vermutlich während der Dienstzeit geboren.</w:t>
      </w:r>
    </w:p>
    <w:p w14:paraId="3C377B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ושב אל־משפחתו ואל־אחזת אבתיו ישוב</w:t>
      </w:r>
      <w:r w:rsidRPr="00CC6F7E">
        <w:rPr>
          <w:rFonts w:eastAsia="Times New Roman" w:cs="Times New Roman"/>
          <w:rtl/>
          <w:lang w:eastAsia="de-DE"/>
        </w:rPr>
        <w:t xml:space="preserve"> </w:t>
      </w:r>
      <w:r w:rsidRPr="00CC6F7E">
        <w:rPr>
          <w:rFonts w:eastAsia="Times New Roman" w:cs="Times New Roman"/>
          <w:lang w:eastAsia="de-DE"/>
        </w:rPr>
        <w:t>(und zu seiner Familie zurückkehren und zum Besitztum seiner Väter zurückkehren) zeigt zwei Arten der Rückkehr:</w:t>
      </w:r>
    </w:p>
    <w:p w14:paraId="3782D03B" w14:textId="77777777" w:rsidR="00CC6F7E" w:rsidRPr="00CC6F7E" w:rsidRDefault="00CC6F7E" w:rsidP="00CC6F7E">
      <w:pPr>
        <w:numPr>
          <w:ilvl w:val="0"/>
          <w:numId w:val="30"/>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אל־משפחתו</w:t>
      </w:r>
      <w:r w:rsidRPr="00CC6F7E">
        <w:rPr>
          <w:rFonts w:eastAsia="Times New Roman" w:cs="Times New Roman"/>
          <w:rtl/>
          <w:lang w:eastAsia="de-DE"/>
        </w:rPr>
        <w:t xml:space="preserve"> </w:t>
      </w:r>
      <w:r w:rsidRPr="00CC6F7E">
        <w:rPr>
          <w:rFonts w:eastAsia="Times New Roman" w:cs="Times New Roman"/>
          <w:lang w:eastAsia="de-DE"/>
        </w:rPr>
        <w:t>(zu seiner Familie) entspricht V. 10 und zeigt Familienwiedereingliederung</w:t>
      </w:r>
    </w:p>
    <w:p w14:paraId="307B404D" w14:textId="77777777" w:rsidR="00CC6F7E" w:rsidRPr="00CC6F7E" w:rsidRDefault="00CC6F7E" w:rsidP="00CC6F7E">
      <w:pPr>
        <w:numPr>
          <w:ilvl w:val="0"/>
          <w:numId w:val="30"/>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אל־אחזת אבתיו ישוב</w:t>
      </w:r>
      <w:r w:rsidRPr="00CC6F7E">
        <w:rPr>
          <w:rFonts w:eastAsia="Times New Roman" w:cs="Times New Roman"/>
          <w:rtl/>
          <w:lang w:eastAsia="de-DE"/>
        </w:rPr>
        <w:t xml:space="preserve"> </w:t>
      </w:r>
      <w:r w:rsidRPr="00CC6F7E">
        <w:rPr>
          <w:rFonts w:eastAsia="Times New Roman" w:cs="Times New Roman"/>
          <w:lang w:eastAsia="de-DE"/>
        </w:rPr>
        <w:t>(zum Besitztum seiner Väter soll er zurückkehren) zeigt Landrestitution</w:t>
      </w:r>
    </w:p>
    <w:p w14:paraId="035E8D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ויצא מעמך</w:t>
      </w:r>
      <w:r w:rsidRPr="00CC6F7E">
        <w:rPr>
          <w:rFonts w:eastAsia="Times New Roman" w:cs="Times New Roman"/>
          <w:rtl/>
          <w:lang w:eastAsia="de-DE"/>
        </w:rPr>
        <w:t xml:space="preserve"> </w:t>
      </w:r>
      <w:r w:rsidRPr="00CC6F7E">
        <w:rPr>
          <w:rFonts w:eastAsia="Times New Roman" w:cs="Times New Roman"/>
          <w:lang w:eastAsia="de-DE"/>
        </w:rPr>
        <w:t xml:space="preserve">zeigt Jobel-Befreiung. </w:t>
      </w:r>
      <w:r w:rsidRPr="00CC6F7E">
        <w:rPr>
          <w:rFonts w:eastAsia="Times New Roman" w:cs="Times New Roman"/>
          <w:b/>
          <w:bCs/>
          <w:rtl/>
          <w:lang w:eastAsia="de-DE"/>
        </w:rPr>
        <w:t>הוא ובניו עמו</w:t>
      </w:r>
      <w:r w:rsidRPr="00CC6F7E">
        <w:rPr>
          <w:rFonts w:eastAsia="Times New Roman" w:cs="Times New Roman"/>
          <w:rtl/>
          <w:lang w:eastAsia="de-DE"/>
        </w:rPr>
        <w:t xml:space="preserve"> </w:t>
      </w:r>
      <w:r w:rsidRPr="00CC6F7E">
        <w:rPr>
          <w:rFonts w:eastAsia="Times New Roman" w:cs="Times New Roman"/>
          <w:lang w:eastAsia="de-DE"/>
        </w:rPr>
        <w:t xml:space="preserve">zeigt Generationen umfassende Befreiung. Die doppelte </w:t>
      </w:r>
      <w:r w:rsidRPr="00CC6F7E">
        <w:rPr>
          <w:rFonts w:eastAsia="Times New Roman" w:cs="Times New Roman"/>
          <w:b/>
          <w:bCs/>
          <w:rtl/>
          <w:lang w:eastAsia="de-DE"/>
        </w:rPr>
        <w:t>שוב</w:t>
      </w:r>
      <w:r w:rsidRPr="00CC6F7E">
        <w:rPr>
          <w:rFonts w:eastAsia="Times New Roman" w:cs="Times New Roman"/>
          <w:lang w:eastAsia="de-DE"/>
        </w:rPr>
        <w:t>-Formulierung betont Familie- und Besitzrestitution.</w:t>
      </w:r>
    </w:p>
    <w:p w14:paraId="5D721A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ויצא מעמך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ἐξελεύσετ</w:t>
      </w:r>
      <w:proofErr w:type="spellEnd"/>
      <w:r w:rsidRPr="00CC6F7E">
        <w:rPr>
          <w:rFonts w:eastAsia="Times New Roman" w:cs="Times New Roman"/>
          <w:lang w:eastAsia="de-DE"/>
        </w:rPr>
        <w:t xml:space="preserve">αι ἀπὸ </w:t>
      </w:r>
      <w:proofErr w:type="spellStart"/>
      <w:r w:rsidRPr="00CC6F7E">
        <w:rPr>
          <w:rFonts w:eastAsia="Times New Roman" w:cs="Times New Roman"/>
          <w:lang w:eastAsia="de-DE"/>
        </w:rPr>
        <w:t>σοῦ</w:t>
      </w:r>
      <w:proofErr w:type="spellEnd"/>
      <w:r w:rsidRPr="00CC6F7E">
        <w:rPr>
          <w:rFonts w:eastAsia="Times New Roman" w:cs="Times New Roman"/>
          <w:lang w:eastAsia="de-DE"/>
        </w:rPr>
        <w:t xml:space="preserve"> (wird ausgehen von dir), </w:t>
      </w:r>
      <w:r w:rsidRPr="00CC6F7E">
        <w:rPr>
          <w:rFonts w:eastAsia="Times New Roman" w:cs="Times New Roman"/>
          <w:b/>
          <w:bCs/>
          <w:rtl/>
          <w:lang w:eastAsia="de-DE"/>
        </w:rPr>
        <w:t>ובניו עמו</w:t>
      </w:r>
      <w:r w:rsidRPr="00CC6F7E">
        <w:rPr>
          <w:rFonts w:eastAsia="Times New Roman" w:cs="Times New Roman"/>
          <w:rtl/>
          <w:lang w:eastAsia="de-DE"/>
        </w:rPr>
        <w:t xml:space="preserve"> </w:t>
      </w:r>
      <w:r w:rsidRPr="00CC6F7E">
        <w:rPr>
          <w:rFonts w:eastAsia="Times New Roman" w:cs="Times New Roman"/>
          <w:lang w:eastAsia="de-DE"/>
        </w:rPr>
        <w:t xml:space="preserve">mit καὶ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ιδί</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μετ</w:t>
      </w:r>
      <w:proofErr w:type="spellEnd"/>
      <w:r w:rsidRPr="00CC6F7E">
        <w:rPr>
          <w:rFonts w:eastAsia="Times New Roman" w:cs="Times New Roman"/>
          <w:lang w:eastAsia="de-DE"/>
        </w:rPr>
        <w:t>᾽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(und seine Kinder mit ihm), </w:t>
      </w:r>
      <w:r w:rsidRPr="00CC6F7E">
        <w:rPr>
          <w:rFonts w:eastAsia="Times New Roman" w:cs="Times New Roman"/>
          <w:b/>
          <w:bCs/>
          <w:rtl/>
          <w:lang w:eastAsia="de-DE"/>
        </w:rPr>
        <w:t>משפחתו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γένος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(sein Geschlecht) und </w:t>
      </w:r>
      <w:r w:rsidRPr="00CC6F7E">
        <w:rPr>
          <w:rFonts w:eastAsia="Times New Roman" w:cs="Times New Roman"/>
          <w:b/>
          <w:bCs/>
          <w:rtl/>
          <w:lang w:eastAsia="de-DE"/>
        </w:rPr>
        <w:t>אחזת אבתיו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κτῆσιν</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τρῴ</w:t>
      </w:r>
      <w:proofErr w:type="spellEnd"/>
      <w:r w:rsidRPr="00CC6F7E">
        <w:rPr>
          <w:rFonts w:eastAsia="Times New Roman" w:cs="Times New Roman"/>
          <w:lang w:eastAsia="de-DE"/>
        </w:rPr>
        <w:t>αν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(väterlichen Besitz).</w:t>
      </w:r>
    </w:p>
    <w:p w14:paraId="7D661F5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Jobel-Befreiung des Verkauften: Ausgang von dir + er und Kinder + Rückkehr zur Familie + Rückkehr zum Väterbesitz.</w:t>
      </w:r>
    </w:p>
    <w:p w14:paraId="51CCD30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vollständige Jobel-Restitution: Der verkaufte Bruder und seine Familie kehren zu Familie und Erbland zurück.</w:t>
      </w:r>
    </w:p>
    <w:p w14:paraId="39C9652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25,42</w:t>
      </w:r>
    </w:p>
    <w:p w14:paraId="7E3B45D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כִּֽי־עֲבָדַ֣י הֵ֔ם אֲשֶׁר־הוֹצֵ֥אתִי אֹתָ֖ם מֵאֶ֣רֶץ מִצְרָ֑יִם לֹ֥א יִמָּכְר֖וּ מִמְכֶּ֥רֶת עָֽבֶד׃</w:t>
      </w:r>
    </w:p>
    <w:p w14:paraId="42F22D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Denn meine Knechte sind sie, die ich aus dem Land Ägypten herausgeführt habe; sie sollen nicht verkauft werden im Verkauf eines Sklaven.</w:t>
      </w:r>
    </w:p>
    <w:p w14:paraId="5FD8D68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D6BBDFA">
          <v:rect id="_x0000_i1790" style="width:0;height:1.5pt" o:hralign="center" o:hrstd="t" o:hr="t" fillcolor="#a0a0a0" stroked="f"/>
        </w:pict>
      </w:r>
    </w:p>
    <w:p w14:paraId="1CABF04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כי־עבדי הם אשר־הוצאתי אתם מארץ מצרים לא ימכרו ממכרת עבד</w:t>
      </w:r>
      <w:r w:rsidRPr="00CC6F7E">
        <w:rPr>
          <w:rFonts w:eastAsia="Times New Roman" w:cs="Times New Roman"/>
          <w:rtl/>
          <w:lang w:eastAsia="de-DE"/>
        </w:rPr>
        <w:t xml:space="preserve"> </w:t>
      </w:r>
      <w:r w:rsidRPr="00CC6F7E">
        <w:rPr>
          <w:rFonts w:eastAsia="Times New Roman" w:cs="Times New Roman"/>
          <w:lang w:eastAsia="de-DE"/>
        </w:rPr>
        <w:t xml:space="preserve">begründet die Sonderbehandlung verkaufter Israeliten theologisch. </w:t>
      </w:r>
      <w:r w:rsidRPr="00CC6F7E">
        <w:rPr>
          <w:rFonts w:eastAsia="Times New Roman" w:cs="Times New Roman"/>
          <w:b/>
          <w:bCs/>
          <w:rtl/>
          <w:lang w:eastAsia="de-DE"/>
        </w:rPr>
        <w:t>כי־עבדי הם אשר־הוצאתי אתם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(denn meine Knechte sind sie, die ich aus dem Land Ägypten herausgeführt habe) - </w:t>
      </w:r>
      <w:r w:rsidRPr="00CC6F7E">
        <w:rPr>
          <w:rFonts w:eastAsia="Times New Roman" w:cs="Times New Roman"/>
          <w:b/>
          <w:bCs/>
          <w:rtl/>
          <w:lang w:eastAsia="de-DE"/>
        </w:rPr>
        <w:t>עבדי הם</w:t>
      </w:r>
      <w:r w:rsidRPr="00CC6F7E">
        <w:rPr>
          <w:rFonts w:eastAsia="Times New Roman" w:cs="Times New Roman"/>
          <w:rtl/>
          <w:lang w:eastAsia="de-DE"/>
        </w:rPr>
        <w:t xml:space="preserve"> </w:t>
      </w:r>
      <w:r w:rsidRPr="00CC6F7E">
        <w:rPr>
          <w:rFonts w:eastAsia="Times New Roman" w:cs="Times New Roman"/>
          <w:lang w:eastAsia="de-DE"/>
        </w:rPr>
        <w:t xml:space="preserve">(meine Knechte sind sie) zeigt exklusiven göttlichen </w:t>
      </w:r>
      <w:r w:rsidRPr="00CC6F7E">
        <w:rPr>
          <w:rFonts w:eastAsia="Times New Roman" w:cs="Times New Roman"/>
          <w:b/>
          <w:bCs/>
          <w:rtl/>
          <w:lang w:eastAsia="de-DE"/>
        </w:rPr>
        <w:t>עבד</w:t>
      </w:r>
      <w:r w:rsidRPr="00CC6F7E">
        <w:rPr>
          <w:rFonts w:eastAsia="Times New Roman" w:cs="Times New Roman"/>
          <w:lang w:eastAsia="de-DE"/>
        </w:rPr>
        <w:t xml:space="preserve">-Status der Israeliten. </w:t>
      </w:r>
      <w:r w:rsidRPr="00CC6F7E">
        <w:rPr>
          <w:rFonts w:eastAsia="Times New Roman" w:cs="Times New Roman"/>
          <w:b/>
          <w:bCs/>
          <w:rtl/>
          <w:lang w:eastAsia="de-DE"/>
        </w:rPr>
        <w:t>אשר־הוצאתי אתם מארץ מצרים</w:t>
      </w:r>
      <w:r w:rsidRPr="00CC6F7E">
        <w:rPr>
          <w:rFonts w:eastAsia="Times New Roman" w:cs="Times New Roman"/>
          <w:rtl/>
          <w:lang w:eastAsia="de-DE"/>
        </w:rPr>
        <w:t xml:space="preserve"> </w:t>
      </w:r>
      <w:r w:rsidRPr="00CC6F7E">
        <w:rPr>
          <w:rFonts w:eastAsia="Times New Roman" w:cs="Times New Roman"/>
          <w:lang w:eastAsia="de-DE"/>
        </w:rPr>
        <w:t>entspricht V. 38 und zeigt Exodus als Begründung.</w:t>
      </w:r>
    </w:p>
    <w:p w14:paraId="0B2DED2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ימכרו ממכרת עבד</w:t>
      </w:r>
      <w:r w:rsidRPr="00CC6F7E">
        <w:rPr>
          <w:rFonts w:eastAsia="Times New Roman" w:cs="Times New Roman"/>
          <w:rtl/>
          <w:lang w:eastAsia="de-DE"/>
        </w:rPr>
        <w:t xml:space="preserve"> </w:t>
      </w:r>
      <w:r w:rsidRPr="00CC6F7E">
        <w:rPr>
          <w:rFonts w:eastAsia="Times New Roman" w:cs="Times New Roman"/>
          <w:lang w:eastAsia="de-DE"/>
        </w:rPr>
        <w:t xml:space="preserve">(sie sollen nicht verkauft werden im Verkauf eines Sklaven) - </w:t>
      </w:r>
      <w:r w:rsidRPr="00CC6F7E">
        <w:rPr>
          <w:rFonts w:eastAsia="Times New Roman" w:cs="Times New Roman"/>
          <w:b/>
          <w:bCs/>
          <w:rtl/>
          <w:lang w:eastAsia="de-DE"/>
        </w:rPr>
        <w:t>לא ימכרו</w:t>
      </w:r>
      <w:r w:rsidRPr="00CC6F7E">
        <w:rPr>
          <w:rFonts w:eastAsia="Times New Roman" w:cs="Times New Roman"/>
          <w:rtl/>
          <w:lang w:eastAsia="de-DE"/>
        </w:rPr>
        <w:t xml:space="preserve"> </w:t>
      </w:r>
      <w:r w:rsidRPr="00CC6F7E">
        <w:rPr>
          <w:rFonts w:eastAsia="Times New Roman" w:cs="Times New Roman"/>
          <w:lang w:eastAsia="de-DE"/>
        </w:rPr>
        <w:t xml:space="preserve">(sie sollen nicht verkauft werden) im Nifal-Imperfekt. </w:t>
      </w:r>
      <w:r w:rsidRPr="00CC6F7E">
        <w:rPr>
          <w:rFonts w:eastAsia="Times New Roman" w:cs="Times New Roman"/>
          <w:b/>
          <w:bCs/>
          <w:rtl/>
          <w:lang w:eastAsia="de-DE"/>
        </w:rPr>
        <w:t>ממכרת עבד</w:t>
      </w:r>
      <w:r w:rsidRPr="00CC6F7E">
        <w:rPr>
          <w:rFonts w:eastAsia="Times New Roman" w:cs="Times New Roman"/>
          <w:rtl/>
          <w:lang w:eastAsia="de-DE"/>
        </w:rPr>
        <w:t xml:space="preserve"> </w:t>
      </w:r>
      <w:r w:rsidRPr="00CC6F7E">
        <w:rPr>
          <w:rFonts w:eastAsia="Times New Roman" w:cs="Times New Roman"/>
          <w:lang w:eastAsia="de-DE"/>
        </w:rPr>
        <w:t xml:space="preserve">(im Verkauf eines Sklaven) - </w:t>
      </w:r>
      <w:r w:rsidRPr="00CC6F7E">
        <w:rPr>
          <w:rFonts w:eastAsia="Times New Roman" w:cs="Times New Roman"/>
          <w:b/>
          <w:bCs/>
          <w:rtl/>
          <w:lang w:eastAsia="de-DE"/>
        </w:rPr>
        <w:t>ממכרת</w:t>
      </w:r>
      <w:r w:rsidRPr="00CC6F7E">
        <w:rPr>
          <w:rFonts w:eastAsia="Times New Roman" w:cs="Times New Roman"/>
          <w:rtl/>
          <w:lang w:eastAsia="de-DE"/>
        </w:rPr>
        <w:t xml:space="preserve"> </w:t>
      </w:r>
      <w:r w:rsidRPr="00CC6F7E">
        <w:rPr>
          <w:rFonts w:eastAsia="Times New Roman" w:cs="Times New Roman"/>
          <w:lang w:eastAsia="de-DE"/>
        </w:rPr>
        <w:t xml:space="preserve">(Verkauf) </w:t>
      </w:r>
      <w:r w:rsidRPr="00CC6F7E">
        <w:rPr>
          <w:rFonts w:eastAsia="Times New Roman" w:cs="Times New Roman"/>
          <w:b/>
          <w:bCs/>
          <w:rtl/>
          <w:lang w:eastAsia="de-DE"/>
        </w:rPr>
        <w:t>עבד</w:t>
      </w:r>
      <w:r w:rsidRPr="00CC6F7E">
        <w:rPr>
          <w:rFonts w:eastAsia="Times New Roman" w:cs="Times New Roman"/>
          <w:rtl/>
          <w:lang w:eastAsia="de-DE"/>
        </w:rPr>
        <w:t xml:space="preserve"> </w:t>
      </w:r>
      <w:r w:rsidRPr="00CC6F7E">
        <w:rPr>
          <w:rFonts w:eastAsia="Times New Roman" w:cs="Times New Roman"/>
          <w:lang w:eastAsia="de-DE"/>
        </w:rPr>
        <w:t>(Sklave) zeigt verbotene Sklavenverkaufsbehandlung.</w:t>
      </w:r>
    </w:p>
    <w:p w14:paraId="7BF083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עבדי הם</w:t>
      </w:r>
      <w:r w:rsidRPr="00CC6F7E">
        <w:rPr>
          <w:rFonts w:eastAsia="Times New Roman" w:cs="Times New Roman"/>
          <w:rtl/>
          <w:lang w:eastAsia="de-DE"/>
        </w:rPr>
        <w:t xml:space="preserve"> </w:t>
      </w:r>
      <w:r w:rsidRPr="00CC6F7E">
        <w:rPr>
          <w:rFonts w:eastAsia="Times New Roman" w:cs="Times New Roman"/>
          <w:lang w:eastAsia="de-DE"/>
        </w:rPr>
        <w:t xml:space="preserve">zeigt exklusiven göttlichen Anspruch auf Israel. </w:t>
      </w:r>
      <w:r w:rsidRPr="00CC6F7E">
        <w:rPr>
          <w:rFonts w:eastAsia="Times New Roman" w:cs="Times New Roman"/>
          <w:b/>
          <w:bCs/>
          <w:rtl/>
          <w:lang w:eastAsia="de-DE"/>
        </w:rPr>
        <w:t>הוצאתי אתם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begründet diesen Anspruch durch Befreiungshandeln. </w:t>
      </w:r>
      <w:r w:rsidRPr="00CC6F7E">
        <w:rPr>
          <w:rFonts w:eastAsia="Times New Roman" w:cs="Times New Roman"/>
          <w:b/>
          <w:bCs/>
          <w:rtl/>
          <w:lang w:eastAsia="de-DE"/>
        </w:rPr>
        <w:t>ממכרת עבד</w:t>
      </w:r>
      <w:r w:rsidRPr="00CC6F7E">
        <w:rPr>
          <w:rFonts w:eastAsia="Times New Roman" w:cs="Times New Roman"/>
          <w:rtl/>
          <w:lang w:eastAsia="de-DE"/>
        </w:rPr>
        <w:t xml:space="preserve"> </w:t>
      </w:r>
      <w:r w:rsidRPr="00CC6F7E">
        <w:rPr>
          <w:rFonts w:eastAsia="Times New Roman" w:cs="Times New Roman"/>
          <w:lang w:eastAsia="de-DE"/>
        </w:rPr>
        <w:t>zeigt verbotene Behandlung als gewöhnliche Sklaven.</w:t>
      </w:r>
    </w:p>
    <w:p w14:paraId="54FF3E5A" w14:textId="476E454C"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w:t>
      </w:r>
      <w:r w:rsidR="009104A2">
        <w:t xml:space="preserve">betont die theologische Begründung: </w:t>
      </w:r>
      <w:proofErr w:type="spellStart"/>
      <w:r w:rsidR="009104A2">
        <w:t>οἰκέτ</w:t>
      </w:r>
      <w:proofErr w:type="spellEnd"/>
      <w:r w:rsidR="009104A2">
        <w:t xml:space="preserve">αι </w:t>
      </w:r>
      <w:proofErr w:type="spellStart"/>
      <w:r w:rsidR="009104A2">
        <w:t>μού</w:t>
      </w:r>
      <w:proofErr w:type="spellEnd"/>
      <w:r w:rsidR="009104A2">
        <w:t xml:space="preserve"> </w:t>
      </w:r>
      <w:proofErr w:type="spellStart"/>
      <w:r w:rsidR="009104A2">
        <w:t>εἰσιν</w:t>
      </w:r>
      <w:proofErr w:type="spellEnd"/>
      <w:r w:rsidR="009104A2">
        <w:t xml:space="preserve"> </w:t>
      </w:r>
      <w:proofErr w:type="spellStart"/>
      <w:r w:rsidR="009104A2">
        <w:t>οὗτοι</w:t>
      </w:r>
      <w:proofErr w:type="spellEnd"/>
      <w:r w:rsidR="009104A2">
        <w:t xml:space="preserve"> (diese sind meine Diener), was die göttliche Eigentumsbeziehung unterstreicht.</w:t>
      </w:r>
    </w:p>
    <w:p w14:paraId="5F07DB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theologische Begründung: Israeliten als JHWH-Knechte + Exodus-Begründung + Verbot des Sklavenverkaufs.</w:t>
      </w:r>
    </w:p>
    <w:p w14:paraId="4B8786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zentrale Vers begründet die Sonderstellung verkaufter Israeliten: Sie gehören JHWH seit dem Exodus und dürfen nicht wie gewöhnliche Sklaven behandelt werden.</w:t>
      </w:r>
    </w:p>
    <w:p w14:paraId="2948B68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25,43</w:t>
      </w:r>
    </w:p>
    <w:p w14:paraId="658F703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לֹא־תִרְדֶּ֥ה בוֹ֖ בְּפָ֑רֶךְ וְיָרֵ֖אתָ מֵאֱלֹהֶֽיךָ׃</w:t>
      </w:r>
    </w:p>
    <w:p w14:paraId="4AD20F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Du sollst nicht mit Härte über ihn herrschen und sollst dich fürchten vor deinem Gott.</w:t>
      </w:r>
    </w:p>
    <w:p w14:paraId="77B71EC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96406FF">
          <v:rect id="_x0000_i1791" style="width:0;height:1.5pt" o:hralign="center" o:hrstd="t" o:hr="t" fillcolor="#a0a0a0" stroked="f"/>
        </w:pict>
      </w:r>
    </w:p>
    <w:p w14:paraId="4724601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לא־תרדה בו בפרך ויראת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verbietet harte Behandlung mit Gottesfurcht-Motivation. </w:t>
      </w:r>
      <w:r w:rsidRPr="00CC6F7E">
        <w:rPr>
          <w:rFonts w:eastAsia="Times New Roman" w:cs="Times New Roman"/>
          <w:b/>
          <w:bCs/>
          <w:rtl/>
          <w:lang w:eastAsia="de-DE"/>
        </w:rPr>
        <w:t>לא־תרדה בו בפרך</w:t>
      </w:r>
      <w:r w:rsidRPr="00CC6F7E">
        <w:rPr>
          <w:rFonts w:eastAsia="Times New Roman" w:cs="Times New Roman"/>
          <w:rtl/>
          <w:lang w:eastAsia="de-DE"/>
        </w:rPr>
        <w:t xml:space="preserve"> </w:t>
      </w:r>
      <w:r w:rsidRPr="00CC6F7E">
        <w:rPr>
          <w:rFonts w:eastAsia="Times New Roman" w:cs="Times New Roman"/>
          <w:lang w:eastAsia="de-DE"/>
        </w:rPr>
        <w:t xml:space="preserve">(du sollst nicht mit Härte über ihn herrschen) - </w:t>
      </w:r>
      <w:r w:rsidRPr="00CC6F7E">
        <w:rPr>
          <w:rFonts w:eastAsia="Times New Roman" w:cs="Times New Roman"/>
          <w:b/>
          <w:bCs/>
          <w:rtl/>
          <w:lang w:eastAsia="de-DE"/>
        </w:rPr>
        <w:t>לא־תרדה בו</w:t>
      </w:r>
      <w:r w:rsidRPr="00CC6F7E">
        <w:rPr>
          <w:rFonts w:eastAsia="Times New Roman" w:cs="Times New Roman"/>
          <w:rtl/>
          <w:lang w:eastAsia="de-DE"/>
        </w:rPr>
        <w:t xml:space="preserve"> </w:t>
      </w:r>
      <w:r w:rsidRPr="00CC6F7E">
        <w:rPr>
          <w:rFonts w:eastAsia="Times New Roman" w:cs="Times New Roman"/>
          <w:lang w:eastAsia="de-DE"/>
        </w:rPr>
        <w:t xml:space="preserve">(du sollst nicht über ihn herrschen) im Qal-Imperfekt von </w:t>
      </w:r>
      <w:r w:rsidRPr="00CC6F7E">
        <w:rPr>
          <w:rFonts w:eastAsia="Times New Roman" w:cs="Times New Roman"/>
          <w:b/>
          <w:bCs/>
          <w:rtl/>
          <w:lang w:eastAsia="de-DE"/>
        </w:rPr>
        <w:t>רדה</w:t>
      </w:r>
      <w:r w:rsidRPr="00CC6F7E">
        <w:rPr>
          <w:rFonts w:eastAsia="Times New Roman" w:cs="Times New Roman"/>
          <w:rtl/>
          <w:lang w:eastAsia="de-DE"/>
        </w:rPr>
        <w:t xml:space="preserve"> </w:t>
      </w:r>
      <w:r w:rsidRPr="00CC6F7E">
        <w:rPr>
          <w:rFonts w:eastAsia="Times New Roman" w:cs="Times New Roman"/>
          <w:lang w:eastAsia="de-DE"/>
        </w:rPr>
        <w:t xml:space="preserve">(herrschen). </w:t>
      </w:r>
      <w:r w:rsidRPr="00CC6F7E">
        <w:rPr>
          <w:rFonts w:eastAsia="Times New Roman" w:cs="Times New Roman"/>
          <w:b/>
          <w:bCs/>
          <w:rtl/>
          <w:lang w:eastAsia="de-DE"/>
        </w:rPr>
        <w:t>בפרך</w:t>
      </w:r>
      <w:r w:rsidRPr="00CC6F7E">
        <w:rPr>
          <w:rFonts w:eastAsia="Times New Roman" w:cs="Times New Roman"/>
          <w:rtl/>
          <w:lang w:eastAsia="de-DE"/>
        </w:rPr>
        <w:t xml:space="preserve"> </w:t>
      </w:r>
      <w:r w:rsidRPr="00CC6F7E">
        <w:rPr>
          <w:rFonts w:eastAsia="Times New Roman" w:cs="Times New Roman"/>
          <w:lang w:eastAsia="de-DE"/>
        </w:rPr>
        <w:t xml:space="preserve">(mit Härte) von </w:t>
      </w:r>
      <w:r w:rsidRPr="00CC6F7E">
        <w:rPr>
          <w:rFonts w:eastAsia="Times New Roman" w:cs="Times New Roman"/>
          <w:b/>
          <w:bCs/>
          <w:rtl/>
          <w:lang w:eastAsia="de-DE"/>
        </w:rPr>
        <w:t>פרך</w:t>
      </w:r>
      <w:r w:rsidRPr="00CC6F7E">
        <w:rPr>
          <w:rFonts w:eastAsia="Times New Roman" w:cs="Times New Roman"/>
          <w:rtl/>
          <w:lang w:eastAsia="de-DE"/>
        </w:rPr>
        <w:t xml:space="preserve"> </w:t>
      </w:r>
      <w:r w:rsidRPr="00CC6F7E">
        <w:rPr>
          <w:rFonts w:eastAsia="Times New Roman" w:cs="Times New Roman"/>
          <w:lang w:eastAsia="de-DE"/>
        </w:rPr>
        <w:t>(Gewalt/Härte) entspricht der Ägypten-Unterdrückung in Ex 1,13-14.</w:t>
      </w:r>
    </w:p>
    <w:p w14:paraId="5986CA7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ויראת מאלהיך</w:t>
      </w:r>
      <w:r w:rsidRPr="00CC6F7E">
        <w:rPr>
          <w:rFonts w:eastAsia="Times New Roman" w:cs="Times New Roman"/>
          <w:rtl/>
          <w:lang w:eastAsia="de-DE"/>
        </w:rPr>
        <w:t xml:space="preserve"> </w:t>
      </w:r>
      <w:r w:rsidRPr="00CC6F7E">
        <w:rPr>
          <w:rFonts w:eastAsia="Times New Roman" w:cs="Times New Roman"/>
          <w:lang w:eastAsia="de-DE"/>
        </w:rPr>
        <w:t xml:space="preserve">(und du sollst dich fürchten vor deinem Gott) entspricht V. 17,36 und zeigt </w:t>
      </w:r>
      <w:r w:rsidRPr="00CC6F7E">
        <w:rPr>
          <w:rFonts w:eastAsia="Times New Roman" w:cs="Times New Roman"/>
          <w:b/>
          <w:bCs/>
          <w:rtl/>
          <w:lang w:eastAsia="de-DE"/>
        </w:rPr>
        <w:t>יראת אלהים</w:t>
      </w:r>
      <w:r w:rsidRPr="00CC6F7E">
        <w:rPr>
          <w:rFonts w:eastAsia="Times New Roman" w:cs="Times New Roman"/>
          <w:rtl/>
          <w:lang w:eastAsia="de-DE"/>
        </w:rPr>
        <w:t xml:space="preserve"> </w:t>
      </w:r>
      <w:r w:rsidRPr="00CC6F7E">
        <w:rPr>
          <w:rFonts w:eastAsia="Times New Roman" w:cs="Times New Roman"/>
          <w:lang w:eastAsia="de-DE"/>
        </w:rPr>
        <w:t>als ethische Grundlage.</w:t>
      </w:r>
    </w:p>
    <w:p w14:paraId="2312F4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לא־תרדה בו בפרך</w:t>
      </w:r>
      <w:r w:rsidRPr="00CC6F7E">
        <w:rPr>
          <w:rFonts w:eastAsia="Times New Roman" w:cs="Times New Roman"/>
          <w:rtl/>
          <w:lang w:eastAsia="de-DE"/>
        </w:rPr>
        <w:t xml:space="preserve"> </w:t>
      </w:r>
      <w:r w:rsidRPr="00CC6F7E">
        <w:rPr>
          <w:rFonts w:eastAsia="Times New Roman" w:cs="Times New Roman"/>
          <w:lang w:eastAsia="de-DE"/>
        </w:rPr>
        <w:t xml:space="preserve">verbietet ägypten-ähnliche Unterdrückung. </w:t>
      </w:r>
      <w:r w:rsidRPr="00CC6F7E">
        <w:rPr>
          <w:rFonts w:eastAsia="Times New Roman" w:cs="Times New Roman"/>
          <w:b/>
          <w:bCs/>
          <w:rtl/>
          <w:lang w:eastAsia="de-DE"/>
        </w:rPr>
        <w:t>פרך</w:t>
      </w:r>
      <w:r w:rsidRPr="00CC6F7E">
        <w:rPr>
          <w:rFonts w:eastAsia="Times New Roman" w:cs="Times New Roman"/>
          <w:rtl/>
          <w:lang w:eastAsia="de-DE"/>
        </w:rPr>
        <w:t xml:space="preserve"> </w:t>
      </w:r>
      <w:r w:rsidRPr="00CC6F7E">
        <w:rPr>
          <w:rFonts w:eastAsia="Times New Roman" w:cs="Times New Roman"/>
          <w:lang w:eastAsia="de-DE"/>
        </w:rPr>
        <w:t xml:space="preserve">als charakteristisches Wort für ägyptische Sklavenbehandlung. </w:t>
      </w:r>
      <w:r w:rsidRPr="00CC6F7E">
        <w:rPr>
          <w:rFonts w:eastAsia="Times New Roman" w:cs="Times New Roman"/>
          <w:b/>
          <w:bCs/>
          <w:rtl/>
          <w:lang w:eastAsia="de-DE"/>
        </w:rPr>
        <w:t>ויראת מאלהיך</w:t>
      </w:r>
      <w:r w:rsidRPr="00CC6F7E">
        <w:rPr>
          <w:rFonts w:eastAsia="Times New Roman" w:cs="Times New Roman"/>
          <w:rtl/>
          <w:lang w:eastAsia="de-DE"/>
        </w:rPr>
        <w:t xml:space="preserve"> </w:t>
      </w:r>
      <w:r w:rsidRPr="00CC6F7E">
        <w:rPr>
          <w:rFonts w:eastAsia="Times New Roman" w:cs="Times New Roman"/>
          <w:lang w:eastAsia="de-DE"/>
        </w:rPr>
        <w:t>zeigt Gottesfurcht als Alternative zu Menschenfurcht.</w:t>
      </w:r>
    </w:p>
    <w:p w14:paraId="2939C8B5" w14:textId="39584BF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לא־תרדה בו בפרך</w:t>
      </w:r>
      <w:r w:rsidR="009104A2">
        <w:t xml:space="preserve"> (lo-</w:t>
      </w:r>
      <w:proofErr w:type="spellStart"/>
      <w:r w:rsidR="009104A2">
        <w:t>tirdeh</w:t>
      </w:r>
      <w:proofErr w:type="spellEnd"/>
      <w:r w:rsidR="009104A2">
        <w:t xml:space="preserve"> </w:t>
      </w:r>
      <w:proofErr w:type="spellStart"/>
      <w:r w:rsidR="009104A2">
        <w:t>vo</w:t>
      </w:r>
      <w:proofErr w:type="spellEnd"/>
      <w:r w:rsidR="009104A2">
        <w:t xml:space="preserve"> </w:t>
      </w:r>
      <w:proofErr w:type="spellStart"/>
      <w:r w:rsidR="009104A2">
        <w:t>befarch</w:t>
      </w:r>
      <w:proofErr w:type="spellEnd"/>
      <w:r w:rsidR="009104A2">
        <w:t xml:space="preserve"> - "herrsche nicht hart über ihn") als </w:t>
      </w:r>
      <w:proofErr w:type="spellStart"/>
      <w:r w:rsidR="009104A2">
        <w:t>οὐ</w:t>
      </w:r>
      <w:proofErr w:type="spellEnd"/>
      <w:r w:rsidR="009104A2">
        <w:t xml:space="preserve"> κατα</w:t>
      </w:r>
      <w:proofErr w:type="spellStart"/>
      <w:r w:rsidR="009104A2">
        <w:t>τενεῖς</w:t>
      </w:r>
      <w:proofErr w:type="spellEnd"/>
      <w:r w:rsidR="009104A2">
        <w:t xml:space="preserve"> α</w:t>
      </w:r>
      <w:proofErr w:type="spellStart"/>
      <w:r w:rsidR="009104A2">
        <w:t>ὐτὸν</w:t>
      </w:r>
      <w:proofErr w:type="spellEnd"/>
      <w:r w:rsidR="009104A2">
        <w:t xml:space="preserve"> </w:t>
      </w:r>
      <w:proofErr w:type="spellStart"/>
      <w:r w:rsidR="009104A2">
        <w:t>ἐν</w:t>
      </w:r>
      <w:proofErr w:type="spellEnd"/>
      <w:r w:rsidR="009104A2">
        <w:t xml:space="preserve"> </w:t>
      </w:r>
      <w:proofErr w:type="spellStart"/>
      <w:r w:rsidR="009104A2">
        <w:t>τῷ</w:t>
      </w:r>
      <w:proofErr w:type="spellEnd"/>
      <w:r w:rsidR="009104A2">
        <w:t xml:space="preserve"> </w:t>
      </w:r>
      <w:proofErr w:type="spellStart"/>
      <w:r w:rsidR="009104A2">
        <w:t>μόχθῳ</w:t>
      </w:r>
      <w:proofErr w:type="spellEnd"/>
      <w:r w:rsidR="009104A2">
        <w:t xml:space="preserve"> (du sollst ihn nicht in Mühsal niederdrücken).</w:t>
      </w:r>
    </w:p>
    <w:p w14:paraId="28D5A02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Behandlungsverbot: keine harte Herrschaft + Gottesfurcht-Motivation.</w:t>
      </w:r>
    </w:p>
    <w:p w14:paraId="266E785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verbietet die harte </w:t>
      </w:r>
      <w:r w:rsidRPr="00CC6F7E">
        <w:rPr>
          <w:rFonts w:eastAsia="Times New Roman" w:cs="Times New Roman"/>
          <w:b/>
          <w:bCs/>
          <w:rtl/>
          <w:lang w:eastAsia="de-DE"/>
        </w:rPr>
        <w:t>פרך</w:t>
      </w:r>
      <w:r w:rsidRPr="00CC6F7E">
        <w:rPr>
          <w:rFonts w:eastAsia="Times New Roman" w:cs="Times New Roman"/>
          <w:lang w:eastAsia="de-DE"/>
        </w:rPr>
        <w:t>-Behandlung (wie in Ägypten) und motiviert durch Gottesfurcht zu menschlicher Behandlung.</w:t>
      </w:r>
    </w:p>
    <w:p w14:paraId="5E71F47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25,44</w:t>
      </w:r>
    </w:p>
    <w:p w14:paraId="54BD5D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וְעַבְדְּךָ֥ וַאֲמָתְךָ֖ אֲשֶׁ֣ר יִהְיוּ־לָ֑ךְ מֵאֵ֣ת הַגּוֹיִ֗ם אֲשֶׁר֙ סְבִיבֹ֣תֵיכֶ֔ם מֵהֶ֥ם תִּקְנ֖וּ עֶ֥בֶד וְאָמָֽה׃</w:t>
      </w:r>
    </w:p>
    <w:p w14:paraId="7FB95F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was deinen Knecht und deine Magd (betrifft): Von den Völkern, die rings um euch sind, von ihnen sollt ihr Knecht und Magd kaufen.</w:t>
      </w:r>
    </w:p>
    <w:p w14:paraId="058AF33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C527B41">
          <v:rect id="_x0000_i1792" style="width:0;height:1.5pt" o:hralign="center" o:hrstd="t" o:hr="t" fillcolor="#a0a0a0" stroked="f"/>
        </w:pict>
      </w:r>
    </w:p>
    <w:p w14:paraId="3EA0FC1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ועבדך ואמתך אשר יהיו־לך מאת הגוים אשר סביבתיכם מהם תקנו עבד ואמה</w:t>
      </w:r>
      <w:r w:rsidRPr="00CC6F7E">
        <w:rPr>
          <w:rFonts w:eastAsia="Times New Roman" w:cs="Times New Roman"/>
          <w:rtl/>
          <w:lang w:eastAsia="de-DE"/>
        </w:rPr>
        <w:t xml:space="preserve"> </w:t>
      </w:r>
      <w:r w:rsidRPr="00CC6F7E">
        <w:rPr>
          <w:rFonts w:eastAsia="Times New Roman" w:cs="Times New Roman"/>
          <w:lang w:eastAsia="de-DE"/>
        </w:rPr>
        <w:t xml:space="preserve">zeigt den Kontrast zur israelitischen Bruderbehandlung. </w:t>
      </w:r>
      <w:r w:rsidRPr="00CC6F7E">
        <w:rPr>
          <w:rFonts w:eastAsia="Times New Roman" w:cs="Times New Roman"/>
          <w:b/>
          <w:bCs/>
          <w:rtl/>
          <w:lang w:eastAsia="de-DE"/>
        </w:rPr>
        <w:t>ועבדך ואמתך אשר יהיו־לך</w:t>
      </w:r>
      <w:r w:rsidRPr="00CC6F7E">
        <w:rPr>
          <w:rFonts w:eastAsia="Times New Roman" w:cs="Times New Roman"/>
          <w:rtl/>
          <w:lang w:eastAsia="de-DE"/>
        </w:rPr>
        <w:t xml:space="preserve"> </w:t>
      </w:r>
      <w:r w:rsidRPr="00CC6F7E">
        <w:rPr>
          <w:rFonts w:eastAsia="Times New Roman" w:cs="Times New Roman"/>
          <w:lang w:eastAsia="de-DE"/>
        </w:rPr>
        <w:t>(und was deinen Knecht und deine Magd betrifft, die dir gehören werden) zeigt echte Sklaven im Gegensatz zu den verkauften Brüdern.</w:t>
      </w:r>
    </w:p>
    <w:p w14:paraId="40F2DA6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מאת הגוים אשר סביבתיכם מהם תקנו עבד ואמה</w:t>
      </w:r>
      <w:r w:rsidRPr="00CC6F7E">
        <w:rPr>
          <w:rFonts w:eastAsia="Times New Roman" w:cs="Times New Roman"/>
          <w:rtl/>
          <w:lang w:eastAsia="de-DE"/>
        </w:rPr>
        <w:t xml:space="preserve"> </w:t>
      </w:r>
      <w:r w:rsidRPr="00CC6F7E">
        <w:rPr>
          <w:rFonts w:eastAsia="Times New Roman" w:cs="Times New Roman"/>
          <w:lang w:eastAsia="de-DE"/>
        </w:rPr>
        <w:t xml:space="preserve">(von den Völkern, die rings um euch sind, von ihnen sollt ihr Knecht und Magd kaufen) - </w:t>
      </w:r>
      <w:r w:rsidRPr="00CC6F7E">
        <w:rPr>
          <w:rFonts w:eastAsia="Times New Roman" w:cs="Times New Roman"/>
          <w:b/>
          <w:bCs/>
          <w:rtl/>
          <w:lang w:eastAsia="de-DE"/>
        </w:rPr>
        <w:t>מאת הגוים</w:t>
      </w:r>
      <w:r w:rsidRPr="00CC6F7E">
        <w:rPr>
          <w:rFonts w:eastAsia="Times New Roman" w:cs="Times New Roman"/>
          <w:rtl/>
          <w:lang w:eastAsia="de-DE"/>
        </w:rPr>
        <w:t xml:space="preserve"> </w:t>
      </w:r>
      <w:r w:rsidRPr="00CC6F7E">
        <w:rPr>
          <w:rFonts w:eastAsia="Times New Roman" w:cs="Times New Roman"/>
          <w:lang w:eastAsia="de-DE"/>
        </w:rPr>
        <w:t xml:space="preserve">(von den Völkern) zeigt Nicht-Israeliten als Quelle echter Sklaven. </w:t>
      </w:r>
      <w:r w:rsidRPr="00CC6F7E">
        <w:rPr>
          <w:rFonts w:eastAsia="Times New Roman" w:cs="Times New Roman"/>
          <w:b/>
          <w:bCs/>
          <w:rtl/>
          <w:lang w:eastAsia="de-DE"/>
        </w:rPr>
        <w:t>אשר סביבתיכם</w:t>
      </w:r>
      <w:r w:rsidRPr="00CC6F7E">
        <w:rPr>
          <w:rFonts w:eastAsia="Times New Roman" w:cs="Times New Roman"/>
          <w:rtl/>
          <w:lang w:eastAsia="de-DE"/>
        </w:rPr>
        <w:t xml:space="preserve"> </w:t>
      </w:r>
      <w:r w:rsidRPr="00CC6F7E">
        <w:rPr>
          <w:rFonts w:eastAsia="Times New Roman" w:cs="Times New Roman"/>
          <w:lang w:eastAsia="de-DE"/>
        </w:rPr>
        <w:t xml:space="preserve">(die rings um euch sind) zeigt Nachbarvölker. </w:t>
      </w:r>
      <w:r w:rsidRPr="00CC6F7E">
        <w:rPr>
          <w:rFonts w:eastAsia="Times New Roman" w:cs="Times New Roman"/>
          <w:b/>
          <w:bCs/>
          <w:rtl/>
          <w:lang w:eastAsia="de-DE"/>
        </w:rPr>
        <w:t>מהם תקנו עבד ואמה</w:t>
      </w:r>
      <w:r w:rsidRPr="00CC6F7E">
        <w:rPr>
          <w:rFonts w:eastAsia="Times New Roman" w:cs="Times New Roman"/>
          <w:rtl/>
          <w:lang w:eastAsia="de-DE"/>
        </w:rPr>
        <w:t xml:space="preserve"> </w:t>
      </w:r>
      <w:r w:rsidRPr="00CC6F7E">
        <w:rPr>
          <w:rFonts w:eastAsia="Times New Roman" w:cs="Times New Roman"/>
          <w:lang w:eastAsia="de-DE"/>
        </w:rPr>
        <w:t>(von ihnen sollt ihr kaufen Knecht und Magd) erlaubt echten Sklavenerwerb von Fremden.</w:t>
      </w:r>
    </w:p>
    <w:p w14:paraId="3FB1DD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עבדך ואמתך</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אחיך</w:t>
      </w:r>
      <w:r w:rsidRPr="00CC6F7E">
        <w:rPr>
          <w:rFonts w:eastAsia="Times New Roman" w:cs="Times New Roman"/>
          <w:rtl/>
          <w:lang w:eastAsia="de-DE"/>
        </w:rPr>
        <w:t xml:space="preserve"> </w:t>
      </w:r>
      <w:r w:rsidRPr="00CC6F7E">
        <w:rPr>
          <w:rFonts w:eastAsia="Times New Roman" w:cs="Times New Roman"/>
          <w:lang w:eastAsia="de-DE"/>
        </w:rPr>
        <w:t xml:space="preserve">zeigt den Unterschied zwischen echten Sklaven und verkauften Brüdern. </w:t>
      </w:r>
      <w:r w:rsidRPr="00CC6F7E">
        <w:rPr>
          <w:rFonts w:eastAsia="Times New Roman" w:cs="Times New Roman"/>
          <w:b/>
          <w:bCs/>
          <w:rtl/>
          <w:lang w:eastAsia="de-DE"/>
        </w:rPr>
        <w:t>מאת הגוים</w:t>
      </w:r>
      <w:r w:rsidRPr="00CC6F7E">
        <w:rPr>
          <w:rFonts w:eastAsia="Times New Roman" w:cs="Times New Roman"/>
          <w:rtl/>
          <w:lang w:eastAsia="de-DE"/>
        </w:rPr>
        <w:t xml:space="preserve"> </w:t>
      </w:r>
      <w:r w:rsidRPr="00CC6F7E">
        <w:rPr>
          <w:rFonts w:eastAsia="Times New Roman" w:cs="Times New Roman"/>
          <w:lang w:eastAsia="de-DE"/>
        </w:rPr>
        <w:t xml:space="preserve">zeigt Nicht-Israeliten als legitime Sklavenquelle. </w:t>
      </w:r>
      <w:r w:rsidRPr="00CC6F7E">
        <w:rPr>
          <w:rFonts w:eastAsia="Times New Roman" w:cs="Times New Roman"/>
          <w:b/>
          <w:bCs/>
          <w:rtl/>
          <w:lang w:eastAsia="de-DE"/>
        </w:rPr>
        <w:t>סביבתיכם</w:t>
      </w:r>
      <w:r w:rsidRPr="00CC6F7E">
        <w:rPr>
          <w:rFonts w:eastAsia="Times New Roman" w:cs="Times New Roman"/>
          <w:rtl/>
          <w:lang w:eastAsia="de-DE"/>
        </w:rPr>
        <w:t xml:space="preserve"> </w:t>
      </w:r>
      <w:r w:rsidRPr="00CC6F7E">
        <w:rPr>
          <w:rFonts w:eastAsia="Times New Roman" w:cs="Times New Roman"/>
          <w:lang w:eastAsia="de-DE"/>
        </w:rPr>
        <w:t>zeigt geographische Nähe.</w:t>
      </w:r>
    </w:p>
    <w:p w14:paraId="25993A7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עבדך ואמתך</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ῖς</w:t>
      </w:r>
      <w:proofErr w:type="spellEnd"/>
      <w:r w:rsidRPr="00CC6F7E">
        <w:rPr>
          <w:rFonts w:eastAsia="Times New Roman" w:cs="Times New Roman"/>
          <w:lang w:eastAsia="de-DE"/>
        </w:rPr>
        <w:t xml:space="preserve"> καὶ πα</w:t>
      </w:r>
      <w:proofErr w:type="spellStart"/>
      <w:r w:rsidRPr="00CC6F7E">
        <w:rPr>
          <w:rFonts w:eastAsia="Times New Roman" w:cs="Times New Roman"/>
          <w:lang w:eastAsia="de-DE"/>
        </w:rPr>
        <w:t>ιδίσκη</w:t>
      </w:r>
      <w:proofErr w:type="spellEnd"/>
      <w:r w:rsidRPr="00CC6F7E">
        <w:rPr>
          <w:rFonts w:eastAsia="Times New Roman" w:cs="Times New Roman"/>
          <w:lang w:eastAsia="de-DE"/>
        </w:rPr>
        <w:t xml:space="preserve"> (Knabe und Magd), </w:t>
      </w:r>
      <w:r w:rsidRPr="00CC6F7E">
        <w:rPr>
          <w:rFonts w:eastAsia="Times New Roman" w:cs="Times New Roman"/>
          <w:b/>
          <w:bCs/>
          <w:rtl/>
          <w:lang w:eastAsia="de-DE"/>
        </w:rPr>
        <w:t>הגוים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ἐθνῶν</w:t>
      </w:r>
      <w:proofErr w:type="spellEnd"/>
      <w:r w:rsidRPr="00CC6F7E">
        <w:rPr>
          <w:rFonts w:eastAsia="Times New Roman" w:cs="Times New Roman"/>
          <w:lang w:eastAsia="de-DE"/>
        </w:rPr>
        <w:t xml:space="preserve"> (Völker), </w:t>
      </w:r>
      <w:r w:rsidRPr="00CC6F7E">
        <w:rPr>
          <w:rFonts w:eastAsia="Times New Roman" w:cs="Times New Roman"/>
          <w:b/>
          <w:bCs/>
          <w:rtl/>
          <w:lang w:eastAsia="de-DE"/>
        </w:rPr>
        <w:t>סביבתיכם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κύκλῳ</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(rings um euch) und </w:t>
      </w:r>
      <w:r w:rsidRPr="00CC6F7E">
        <w:rPr>
          <w:rFonts w:eastAsia="Times New Roman" w:cs="Times New Roman"/>
          <w:b/>
          <w:bCs/>
          <w:rtl/>
          <w:lang w:eastAsia="de-DE"/>
        </w:rPr>
        <w:t>תקנו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κτήσ</w:t>
      </w:r>
      <w:proofErr w:type="spellEnd"/>
      <w:r w:rsidRPr="00CC6F7E">
        <w:rPr>
          <w:rFonts w:eastAsia="Times New Roman" w:cs="Times New Roman"/>
          <w:lang w:eastAsia="de-DE"/>
        </w:rPr>
        <w:t>ασθε (werdet ihr erwerben).</w:t>
      </w:r>
    </w:p>
    <w:p w14:paraId="026465D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Fremdvölker-Sklaverei: echter Knecht und Magd + von den Völkern ringsum + Kauf-Erlaubnis für Knecht und Magd.</w:t>
      </w:r>
    </w:p>
    <w:p w14:paraId="60A27EB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erlaubt echte Sklaverei bei Nicht-Israeliten im Gegensatz zur </w:t>
      </w:r>
      <w:r w:rsidRPr="00CC6F7E">
        <w:rPr>
          <w:rFonts w:eastAsia="Times New Roman" w:cs="Times New Roman"/>
          <w:b/>
          <w:bCs/>
          <w:rtl/>
          <w:lang w:eastAsia="de-DE"/>
        </w:rPr>
        <w:t>שכיר</w:t>
      </w:r>
      <w:r w:rsidRPr="00CC6F7E">
        <w:rPr>
          <w:rFonts w:eastAsia="Times New Roman" w:cs="Times New Roman"/>
          <w:lang w:eastAsia="de-DE"/>
        </w:rPr>
        <w:t>/</w:t>
      </w:r>
      <w:r w:rsidRPr="00CC6F7E">
        <w:rPr>
          <w:rFonts w:eastAsia="Times New Roman" w:cs="Times New Roman"/>
          <w:b/>
          <w:bCs/>
          <w:rtl/>
          <w:lang w:eastAsia="de-DE"/>
        </w:rPr>
        <w:t>תושב</w:t>
      </w:r>
      <w:r w:rsidRPr="00CC6F7E">
        <w:rPr>
          <w:rFonts w:eastAsia="Times New Roman" w:cs="Times New Roman"/>
          <w:lang w:eastAsia="de-DE"/>
        </w:rPr>
        <w:t>-Behandlung der Brüder.</w:t>
      </w:r>
    </w:p>
    <w:p w14:paraId="54E49F2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25,45</w:t>
      </w:r>
    </w:p>
    <w:p w14:paraId="61BB90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וְ֠גַם מִבְּנֵ֨י הַתּוֹשָׁבִ֜ים הַגָּרִ֤ים עִמָּכֶם֙ מֵהֶ֣ם תִּקְנ֔וּ וּמִמִּשְׁפַּחְתָּם֙ אֲשֶׁ֣ר עִמָּכֶ֔ם אֲשֶׁ֥ר הוֹלִ֖ידוּ בְּאַרְצְכֶ֑ם וְהָי֥וּ לָכֶ֖ם לַֽאֲחֻזָּֽה׃</w:t>
      </w:r>
    </w:p>
    <w:p w14:paraId="73B5F54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auch von den Kindern der Beisassen, die sich bei euch aufhalten, von ihnen mögt ihr kaufen und von ihrer Familie, die bei euch ist, die sie in eurem Land gezeugt haben; und sie mögen euch zum Besitz sein.</w:t>
      </w:r>
    </w:p>
    <w:p w14:paraId="268E930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34F2C14">
          <v:rect id="_x0000_i1793" style="width:0;height:1.5pt" o:hralign="center" o:hrstd="t" o:hr="t" fillcolor="#a0a0a0" stroked="f"/>
        </w:pict>
      </w:r>
    </w:p>
    <w:p w14:paraId="46AC753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וגם מבני התושבים הגרים עמכם מהם תקנו וממשפחתם אשר עמכם אשר הולידו בארצכם והיו לכם לאחזה</w:t>
      </w:r>
      <w:r w:rsidRPr="00CC6F7E">
        <w:rPr>
          <w:rFonts w:eastAsia="Times New Roman" w:cs="Times New Roman"/>
          <w:rtl/>
          <w:lang w:eastAsia="de-DE"/>
        </w:rPr>
        <w:t xml:space="preserve"> </w:t>
      </w:r>
      <w:r w:rsidRPr="00CC6F7E">
        <w:rPr>
          <w:rFonts w:eastAsia="Times New Roman" w:cs="Times New Roman"/>
          <w:lang w:eastAsia="de-DE"/>
        </w:rPr>
        <w:t xml:space="preserve">erweitert die Sklavenquellen auf ansässige Fremde. </w:t>
      </w:r>
      <w:r w:rsidRPr="00CC6F7E">
        <w:rPr>
          <w:rFonts w:eastAsia="Times New Roman" w:cs="Times New Roman"/>
          <w:b/>
          <w:bCs/>
          <w:rtl/>
          <w:lang w:eastAsia="de-DE"/>
        </w:rPr>
        <w:t>וגם מבני התושבים הגרים עמכם</w:t>
      </w:r>
      <w:r w:rsidRPr="00CC6F7E">
        <w:rPr>
          <w:rFonts w:eastAsia="Times New Roman" w:cs="Times New Roman"/>
          <w:rtl/>
          <w:lang w:eastAsia="de-DE"/>
        </w:rPr>
        <w:t xml:space="preserve"> </w:t>
      </w:r>
      <w:r w:rsidRPr="00CC6F7E">
        <w:rPr>
          <w:rFonts w:eastAsia="Times New Roman" w:cs="Times New Roman"/>
          <w:lang w:eastAsia="de-DE"/>
        </w:rPr>
        <w:t xml:space="preserve">(und auch von den Kindern der Beisassen, die sich bei euch aufhalten) - </w:t>
      </w:r>
      <w:r w:rsidRPr="00CC6F7E">
        <w:rPr>
          <w:rFonts w:eastAsia="Times New Roman" w:cs="Times New Roman"/>
          <w:b/>
          <w:bCs/>
          <w:rtl/>
          <w:lang w:eastAsia="de-DE"/>
        </w:rPr>
        <w:t>מבני התושבים הגרים</w:t>
      </w:r>
      <w:r w:rsidRPr="00CC6F7E">
        <w:rPr>
          <w:rFonts w:eastAsia="Times New Roman" w:cs="Times New Roman"/>
          <w:rtl/>
          <w:lang w:eastAsia="de-DE"/>
        </w:rPr>
        <w:t xml:space="preserve"> </w:t>
      </w:r>
      <w:r w:rsidRPr="00CC6F7E">
        <w:rPr>
          <w:rFonts w:eastAsia="Times New Roman" w:cs="Times New Roman"/>
          <w:lang w:eastAsia="de-DE"/>
        </w:rPr>
        <w:t xml:space="preserve">(von den Kindern der Beisassen, die sich aufhalten) zeigt die zweite Generation von </w:t>
      </w:r>
      <w:r w:rsidRPr="00CC6F7E">
        <w:rPr>
          <w:rFonts w:eastAsia="Times New Roman" w:cs="Times New Roman"/>
          <w:b/>
          <w:bCs/>
          <w:rtl/>
          <w:lang w:eastAsia="de-DE"/>
        </w:rPr>
        <w:t>תושבים</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גרים</w:t>
      </w:r>
      <w:r w:rsidRPr="00CC6F7E">
        <w:rPr>
          <w:rFonts w:eastAsia="Times New Roman" w:cs="Times New Roman"/>
          <w:lang w:eastAsia="de-DE"/>
        </w:rPr>
        <w:t xml:space="preserve">. </w:t>
      </w:r>
      <w:r w:rsidRPr="00CC6F7E">
        <w:rPr>
          <w:rFonts w:eastAsia="Times New Roman" w:cs="Times New Roman"/>
          <w:b/>
          <w:bCs/>
          <w:rtl/>
          <w:lang w:eastAsia="de-DE"/>
        </w:rPr>
        <w:t>עמכם</w:t>
      </w:r>
      <w:r w:rsidRPr="00CC6F7E">
        <w:rPr>
          <w:rFonts w:eastAsia="Times New Roman" w:cs="Times New Roman"/>
          <w:rtl/>
          <w:lang w:eastAsia="de-DE"/>
        </w:rPr>
        <w:t xml:space="preserve"> </w:t>
      </w:r>
      <w:r w:rsidRPr="00CC6F7E">
        <w:rPr>
          <w:rFonts w:eastAsia="Times New Roman" w:cs="Times New Roman"/>
          <w:lang w:eastAsia="de-DE"/>
        </w:rPr>
        <w:t>(bei euch) zeigt Integration in die israelitische Gesellschaft.</w:t>
      </w:r>
    </w:p>
    <w:p w14:paraId="6118FBB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מהם תקנו וממשפחתם אשר עמכם אשר הולידו בארצכם</w:t>
      </w:r>
      <w:r w:rsidRPr="00CC6F7E">
        <w:rPr>
          <w:rFonts w:eastAsia="Times New Roman" w:cs="Times New Roman"/>
          <w:rtl/>
          <w:lang w:eastAsia="de-DE"/>
        </w:rPr>
        <w:t xml:space="preserve"> </w:t>
      </w:r>
      <w:r w:rsidRPr="00CC6F7E">
        <w:rPr>
          <w:rFonts w:eastAsia="Times New Roman" w:cs="Times New Roman"/>
          <w:lang w:eastAsia="de-DE"/>
        </w:rPr>
        <w:t xml:space="preserve">(von ihnen mögt ihr kaufen und von ihrer Familie, die bei euch ist, die sie in eurem Land gezeugt haben) - </w:t>
      </w:r>
      <w:r w:rsidRPr="00CC6F7E">
        <w:rPr>
          <w:rFonts w:eastAsia="Times New Roman" w:cs="Times New Roman"/>
          <w:b/>
          <w:bCs/>
          <w:rtl/>
          <w:lang w:eastAsia="de-DE"/>
        </w:rPr>
        <w:t>מהם תקנו</w:t>
      </w:r>
      <w:r w:rsidRPr="00CC6F7E">
        <w:rPr>
          <w:rFonts w:eastAsia="Times New Roman" w:cs="Times New Roman"/>
          <w:rtl/>
          <w:lang w:eastAsia="de-DE"/>
        </w:rPr>
        <w:t xml:space="preserve"> </w:t>
      </w:r>
      <w:r w:rsidRPr="00CC6F7E">
        <w:rPr>
          <w:rFonts w:eastAsia="Times New Roman" w:cs="Times New Roman"/>
          <w:lang w:eastAsia="de-DE"/>
        </w:rPr>
        <w:t xml:space="preserve">entspricht V. 44. </w:t>
      </w:r>
      <w:r w:rsidRPr="00CC6F7E">
        <w:rPr>
          <w:rFonts w:eastAsia="Times New Roman" w:cs="Times New Roman"/>
          <w:b/>
          <w:bCs/>
          <w:rtl/>
          <w:lang w:eastAsia="de-DE"/>
        </w:rPr>
        <w:t>וממשפחתם אשר עמכם</w:t>
      </w:r>
      <w:r w:rsidRPr="00CC6F7E">
        <w:rPr>
          <w:rFonts w:eastAsia="Times New Roman" w:cs="Times New Roman"/>
          <w:rtl/>
          <w:lang w:eastAsia="de-DE"/>
        </w:rPr>
        <w:t xml:space="preserve"> </w:t>
      </w:r>
      <w:r w:rsidRPr="00CC6F7E">
        <w:rPr>
          <w:rFonts w:eastAsia="Times New Roman" w:cs="Times New Roman"/>
          <w:lang w:eastAsia="de-DE"/>
        </w:rPr>
        <w:t xml:space="preserve">(und von ihrer Familie, die bei euch ist) erweitert auf Familienkreise. </w:t>
      </w:r>
      <w:r w:rsidRPr="00CC6F7E">
        <w:rPr>
          <w:rFonts w:eastAsia="Times New Roman" w:cs="Times New Roman"/>
          <w:b/>
          <w:bCs/>
          <w:rtl/>
          <w:lang w:eastAsia="de-DE"/>
        </w:rPr>
        <w:t>אשר הולידו בארצכם</w:t>
      </w:r>
      <w:r w:rsidRPr="00CC6F7E">
        <w:rPr>
          <w:rFonts w:eastAsia="Times New Roman" w:cs="Times New Roman"/>
          <w:rtl/>
          <w:lang w:eastAsia="de-DE"/>
        </w:rPr>
        <w:t xml:space="preserve"> </w:t>
      </w:r>
      <w:r w:rsidRPr="00CC6F7E">
        <w:rPr>
          <w:rFonts w:eastAsia="Times New Roman" w:cs="Times New Roman"/>
          <w:lang w:eastAsia="de-DE"/>
        </w:rPr>
        <w:t>(die sie in eurem Land gezeugt haben) zeigt im Land geborene Nachkommen.</w:t>
      </w:r>
    </w:p>
    <w:p w14:paraId="167CB12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והיו לכם לאחזה</w:t>
      </w:r>
      <w:r w:rsidRPr="00CC6F7E">
        <w:rPr>
          <w:rFonts w:eastAsia="Times New Roman" w:cs="Times New Roman"/>
          <w:rtl/>
          <w:lang w:eastAsia="de-DE"/>
        </w:rPr>
        <w:t xml:space="preserve"> </w:t>
      </w:r>
      <w:r w:rsidRPr="00CC6F7E">
        <w:rPr>
          <w:rFonts w:eastAsia="Times New Roman" w:cs="Times New Roman"/>
          <w:lang w:eastAsia="de-DE"/>
        </w:rPr>
        <w:t xml:space="preserve">(und sie mögen euch zum Besitz sein) - </w:t>
      </w:r>
      <w:r w:rsidRPr="00CC6F7E">
        <w:rPr>
          <w:rFonts w:eastAsia="Times New Roman" w:cs="Times New Roman"/>
          <w:b/>
          <w:bCs/>
          <w:rtl/>
          <w:lang w:eastAsia="de-DE"/>
        </w:rPr>
        <w:t>לאחזה</w:t>
      </w:r>
      <w:r w:rsidRPr="00CC6F7E">
        <w:rPr>
          <w:rFonts w:eastAsia="Times New Roman" w:cs="Times New Roman"/>
          <w:rtl/>
          <w:lang w:eastAsia="de-DE"/>
        </w:rPr>
        <w:t xml:space="preserve"> </w:t>
      </w:r>
      <w:r w:rsidRPr="00CC6F7E">
        <w:rPr>
          <w:rFonts w:eastAsia="Times New Roman" w:cs="Times New Roman"/>
          <w:lang w:eastAsia="de-DE"/>
        </w:rPr>
        <w:t>(zum Besitz) zeigt echten Besitzstatus.</w:t>
      </w:r>
    </w:p>
    <w:p w14:paraId="48A52F0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מבני התושבים הגרים</w:t>
      </w:r>
      <w:r w:rsidRPr="00CC6F7E">
        <w:rPr>
          <w:rFonts w:eastAsia="Times New Roman" w:cs="Times New Roman"/>
          <w:rtl/>
          <w:lang w:eastAsia="de-DE"/>
        </w:rPr>
        <w:t xml:space="preserve"> </w:t>
      </w:r>
      <w:r w:rsidRPr="00CC6F7E">
        <w:rPr>
          <w:rFonts w:eastAsia="Times New Roman" w:cs="Times New Roman"/>
          <w:lang w:eastAsia="de-DE"/>
        </w:rPr>
        <w:t xml:space="preserve">zeigt im Land ansässige Fremde als Sklavenquelle. </w:t>
      </w:r>
      <w:r w:rsidRPr="00CC6F7E">
        <w:rPr>
          <w:rFonts w:eastAsia="Times New Roman" w:cs="Times New Roman"/>
          <w:b/>
          <w:bCs/>
          <w:rtl/>
          <w:lang w:eastAsia="de-DE"/>
        </w:rPr>
        <w:t>הולידו בארצכם</w:t>
      </w:r>
      <w:r w:rsidRPr="00CC6F7E">
        <w:rPr>
          <w:rFonts w:eastAsia="Times New Roman" w:cs="Times New Roman"/>
          <w:rtl/>
          <w:lang w:eastAsia="de-DE"/>
        </w:rPr>
        <w:t xml:space="preserve"> </w:t>
      </w:r>
      <w:r w:rsidRPr="00CC6F7E">
        <w:rPr>
          <w:rFonts w:eastAsia="Times New Roman" w:cs="Times New Roman"/>
          <w:lang w:eastAsia="de-DE"/>
        </w:rPr>
        <w:t xml:space="preserve">zeigt die im Land geborene Generation. </w:t>
      </w:r>
      <w:r w:rsidRPr="00CC6F7E">
        <w:rPr>
          <w:rFonts w:eastAsia="Times New Roman" w:cs="Times New Roman"/>
          <w:b/>
          <w:bCs/>
          <w:rtl/>
          <w:lang w:eastAsia="de-DE"/>
        </w:rPr>
        <w:t>לאחזה</w:t>
      </w:r>
      <w:r w:rsidRPr="00CC6F7E">
        <w:rPr>
          <w:rFonts w:eastAsia="Times New Roman" w:cs="Times New Roman"/>
          <w:rtl/>
          <w:lang w:eastAsia="de-DE"/>
        </w:rPr>
        <w:t xml:space="preserve"> </w:t>
      </w:r>
      <w:r w:rsidRPr="00CC6F7E">
        <w:rPr>
          <w:rFonts w:eastAsia="Times New Roman" w:cs="Times New Roman"/>
          <w:lang w:eastAsia="de-DE"/>
        </w:rPr>
        <w:t>zeigt echten Sklavenbesitz.</w:t>
      </w:r>
    </w:p>
    <w:p w14:paraId="040A4E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בני התושבים הגרים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υἱῶν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ροίκων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ροσκειμένων</w:t>
      </w:r>
      <w:proofErr w:type="spellEnd"/>
      <w:r w:rsidRPr="00CC6F7E">
        <w:rPr>
          <w:rFonts w:eastAsia="Times New Roman" w:cs="Times New Roman"/>
          <w:lang w:eastAsia="de-DE"/>
        </w:rPr>
        <w:t xml:space="preserve"> (Söhne der Beisassen, der Hinzugekommenen), </w:t>
      </w:r>
      <w:r w:rsidRPr="00CC6F7E">
        <w:rPr>
          <w:rFonts w:eastAsia="Times New Roman" w:cs="Times New Roman"/>
          <w:b/>
          <w:bCs/>
          <w:rtl/>
          <w:lang w:eastAsia="de-DE"/>
        </w:rPr>
        <w:t>הולידו בארצכם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ἐγέννησ</w:t>
      </w:r>
      <w:proofErr w:type="spellEnd"/>
      <w:r w:rsidRPr="00CC6F7E">
        <w:rPr>
          <w:rFonts w:eastAsia="Times New Roman" w:cs="Times New Roman"/>
          <w:lang w:eastAsia="de-DE"/>
        </w:rPr>
        <w:t xml:space="preserve">αν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(zeugten in eurem Land) und </w:t>
      </w:r>
      <w:r w:rsidRPr="00CC6F7E">
        <w:rPr>
          <w:rFonts w:eastAsia="Times New Roman" w:cs="Times New Roman"/>
          <w:b/>
          <w:bCs/>
          <w:rtl/>
          <w:lang w:eastAsia="de-DE"/>
        </w:rPr>
        <w:t>לאחזה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κα</w:t>
      </w:r>
      <w:proofErr w:type="spellStart"/>
      <w:r w:rsidRPr="00CC6F7E">
        <w:rPr>
          <w:rFonts w:eastAsia="Times New Roman" w:cs="Times New Roman"/>
          <w:lang w:eastAsia="de-DE"/>
        </w:rPr>
        <w:t>τάσχεσιν</w:t>
      </w:r>
      <w:proofErr w:type="spellEnd"/>
      <w:r w:rsidRPr="00CC6F7E">
        <w:rPr>
          <w:rFonts w:eastAsia="Times New Roman" w:cs="Times New Roman"/>
          <w:lang w:eastAsia="de-DE"/>
        </w:rPr>
        <w:t xml:space="preserve"> (zu Besitz).</w:t>
      </w:r>
    </w:p>
    <w:p w14:paraId="1A72635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erweiterte Sklavenquellen: Kinder der Beisassen-Fremden + Kauf-Erlaubnis + ihre bei euch wohnende Familie + im Land Gezeugte + Besitzstatus.</w:t>
      </w:r>
    </w:p>
    <w:p w14:paraId="315A98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erweitert legitime Sklavenquellen auf ansässige Fremde und ihre im Land geborenen Nachkommen.</w:t>
      </w:r>
    </w:p>
    <w:p w14:paraId="7B9D90D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25,46</w:t>
      </w:r>
    </w:p>
    <w:p w14:paraId="66CB08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וְהִתְנַחֲלְתֶּ֨ם אֹתָ֜ם לִבְנֵיכֶ֤ם אַחֲרֵיכֶם֙ לָרֶ֣שֶׁת אֲחֻזָּ֔ה לְעֹלָ֖ם בָּהֶ֣ם תַּעֲבֹ֑דוּ וּבְאַ֨חֵיכֶ֤ם בְּנֵֽי־יִשְׂרָאֵל֙ אִ֣ישׁ בְּאָחִ֔יו לֹא־תִרְדֶּ֥ה בוֹ֖ בְּפָֽרֶךְ׃</w:t>
      </w:r>
    </w:p>
    <w:p w14:paraId="1620B28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mögt sie euren Söhnen nach euch vererben, um sie als Besitz zu behalten: Für immer mögt ihr sie dienen lassen. Aber über eure Brüder, die Kinder Israels, sollt ihr nicht einer über den anderen mit Härte herrschen.</w:t>
      </w:r>
    </w:p>
    <w:p w14:paraId="7F6D922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F5ACF56">
          <v:rect id="_x0000_i1794" style="width:0;height:1.5pt" o:hralign="center" o:hrstd="t" o:hr="t" fillcolor="#a0a0a0" stroked="f"/>
        </w:pict>
      </w:r>
    </w:p>
    <w:p w14:paraId="298CA2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והתנחלתם אתם לבניכם אחריכם לרשת אחזה לעלם בהם תעבדו ובאחיכם בני־ישראל איש באחיו לא־תרדה בו בפרך</w:t>
      </w:r>
      <w:r w:rsidRPr="00CC6F7E">
        <w:rPr>
          <w:rFonts w:eastAsia="Times New Roman" w:cs="Times New Roman"/>
          <w:rtl/>
          <w:lang w:eastAsia="de-DE"/>
        </w:rPr>
        <w:t xml:space="preserve"> </w:t>
      </w:r>
      <w:r w:rsidRPr="00CC6F7E">
        <w:rPr>
          <w:rFonts w:eastAsia="Times New Roman" w:cs="Times New Roman"/>
          <w:lang w:eastAsia="de-DE"/>
        </w:rPr>
        <w:t xml:space="preserve">zeigt den fundamentalen Unterschied zwischen Fremd- und Brudersklaverei. </w:t>
      </w:r>
      <w:r w:rsidRPr="00CC6F7E">
        <w:rPr>
          <w:rFonts w:eastAsia="Times New Roman" w:cs="Times New Roman"/>
          <w:b/>
          <w:bCs/>
          <w:rtl/>
          <w:lang w:eastAsia="de-DE"/>
        </w:rPr>
        <w:t>והתנחלתם אתם לבניכם אחריכם לרשת אחזה</w:t>
      </w:r>
      <w:r w:rsidRPr="00CC6F7E">
        <w:rPr>
          <w:rFonts w:eastAsia="Times New Roman" w:cs="Times New Roman"/>
          <w:rtl/>
          <w:lang w:eastAsia="de-DE"/>
        </w:rPr>
        <w:t xml:space="preserve"> </w:t>
      </w:r>
      <w:r w:rsidRPr="00CC6F7E">
        <w:rPr>
          <w:rFonts w:eastAsia="Times New Roman" w:cs="Times New Roman"/>
          <w:lang w:eastAsia="de-DE"/>
        </w:rPr>
        <w:t xml:space="preserve">(und ihr mögt sie euren Söhnen nach euch vererben, um sie als Besitz zu behalten) - </w:t>
      </w:r>
      <w:r w:rsidRPr="00CC6F7E">
        <w:rPr>
          <w:rFonts w:eastAsia="Times New Roman" w:cs="Times New Roman"/>
          <w:b/>
          <w:bCs/>
          <w:rtl/>
          <w:lang w:eastAsia="de-DE"/>
        </w:rPr>
        <w:t>והתנחלתם</w:t>
      </w:r>
      <w:r w:rsidRPr="00CC6F7E">
        <w:rPr>
          <w:rFonts w:eastAsia="Times New Roman" w:cs="Times New Roman"/>
          <w:rtl/>
          <w:lang w:eastAsia="de-DE"/>
        </w:rPr>
        <w:t xml:space="preserve"> </w:t>
      </w:r>
      <w:r w:rsidRPr="00CC6F7E">
        <w:rPr>
          <w:rFonts w:eastAsia="Times New Roman" w:cs="Times New Roman"/>
          <w:lang w:eastAsia="de-DE"/>
        </w:rPr>
        <w:t xml:space="preserve">(und ihr mögt vererben) im Hifil-Perfekt mit Waw-Konsekutiv von </w:t>
      </w:r>
      <w:r w:rsidRPr="00CC6F7E">
        <w:rPr>
          <w:rFonts w:eastAsia="Times New Roman" w:cs="Times New Roman"/>
          <w:b/>
          <w:bCs/>
          <w:rtl/>
          <w:lang w:eastAsia="de-DE"/>
        </w:rPr>
        <w:t>נחל</w:t>
      </w:r>
      <w:r w:rsidRPr="00CC6F7E">
        <w:rPr>
          <w:rFonts w:eastAsia="Times New Roman" w:cs="Times New Roman"/>
          <w:rtl/>
          <w:lang w:eastAsia="de-DE"/>
        </w:rPr>
        <w:t xml:space="preserve"> </w:t>
      </w:r>
      <w:r w:rsidRPr="00CC6F7E">
        <w:rPr>
          <w:rFonts w:eastAsia="Times New Roman" w:cs="Times New Roman"/>
          <w:lang w:eastAsia="de-DE"/>
        </w:rPr>
        <w:t xml:space="preserve">(erben/vererben). </w:t>
      </w:r>
      <w:r w:rsidRPr="00CC6F7E">
        <w:rPr>
          <w:rFonts w:eastAsia="Times New Roman" w:cs="Times New Roman"/>
          <w:b/>
          <w:bCs/>
          <w:rtl/>
          <w:lang w:eastAsia="de-DE"/>
        </w:rPr>
        <w:t>לבניכם אחריכם</w:t>
      </w:r>
      <w:r w:rsidRPr="00CC6F7E">
        <w:rPr>
          <w:rFonts w:eastAsia="Times New Roman" w:cs="Times New Roman"/>
          <w:rtl/>
          <w:lang w:eastAsia="de-DE"/>
        </w:rPr>
        <w:t xml:space="preserve"> </w:t>
      </w:r>
      <w:r w:rsidRPr="00CC6F7E">
        <w:rPr>
          <w:rFonts w:eastAsia="Times New Roman" w:cs="Times New Roman"/>
          <w:lang w:eastAsia="de-DE"/>
        </w:rPr>
        <w:t xml:space="preserve">(euren Söhnen nach euch) zeigt generationenübergreifende Vererbung. </w:t>
      </w:r>
      <w:r w:rsidRPr="00CC6F7E">
        <w:rPr>
          <w:rFonts w:eastAsia="Times New Roman" w:cs="Times New Roman"/>
          <w:b/>
          <w:bCs/>
          <w:rtl/>
          <w:lang w:eastAsia="de-DE"/>
        </w:rPr>
        <w:t>לרשת אחזה</w:t>
      </w:r>
      <w:r w:rsidRPr="00CC6F7E">
        <w:rPr>
          <w:rFonts w:eastAsia="Times New Roman" w:cs="Times New Roman"/>
          <w:rtl/>
          <w:lang w:eastAsia="de-DE"/>
        </w:rPr>
        <w:t xml:space="preserve"> </w:t>
      </w:r>
      <w:r w:rsidRPr="00CC6F7E">
        <w:rPr>
          <w:rFonts w:eastAsia="Times New Roman" w:cs="Times New Roman"/>
          <w:lang w:eastAsia="de-DE"/>
        </w:rPr>
        <w:t xml:space="preserve">(um als Besitz zu behalten) -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zeigt dauerhaften Erbbesitz.</w:t>
      </w:r>
    </w:p>
    <w:p w14:paraId="135555A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לעלם בהם תעבדו</w:t>
      </w:r>
      <w:r w:rsidRPr="00CC6F7E">
        <w:rPr>
          <w:rFonts w:eastAsia="Times New Roman" w:cs="Times New Roman"/>
          <w:rtl/>
          <w:lang w:eastAsia="de-DE"/>
        </w:rPr>
        <w:t xml:space="preserve"> </w:t>
      </w:r>
      <w:r w:rsidRPr="00CC6F7E">
        <w:rPr>
          <w:rFonts w:eastAsia="Times New Roman" w:cs="Times New Roman"/>
          <w:lang w:eastAsia="de-DE"/>
        </w:rPr>
        <w:t xml:space="preserve">(für immer mögt ihr sie dienen lassen) - </w:t>
      </w:r>
      <w:r w:rsidRPr="00CC6F7E">
        <w:rPr>
          <w:rFonts w:eastAsia="Times New Roman" w:cs="Times New Roman"/>
          <w:b/>
          <w:bCs/>
          <w:rtl/>
          <w:lang w:eastAsia="de-DE"/>
        </w:rPr>
        <w:t>לעלם</w:t>
      </w:r>
      <w:r w:rsidRPr="00CC6F7E">
        <w:rPr>
          <w:rFonts w:eastAsia="Times New Roman" w:cs="Times New Roman"/>
          <w:rtl/>
          <w:lang w:eastAsia="de-DE"/>
        </w:rPr>
        <w:t xml:space="preserve"> </w:t>
      </w:r>
      <w:r w:rsidRPr="00CC6F7E">
        <w:rPr>
          <w:rFonts w:eastAsia="Times New Roman" w:cs="Times New Roman"/>
          <w:lang w:eastAsia="de-DE"/>
        </w:rPr>
        <w:t xml:space="preserve">(für immer) zeigt zeitlich unbegrenzte Sklaverei. </w:t>
      </w:r>
      <w:r w:rsidRPr="00CC6F7E">
        <w:rPr>
          <w:rFonts w:eastAsia="Times New Roman" w:cs="Times New Roman"/>
          <w:b/>
          <w:bCs/>
          <w:rtl/>
          <w:lang w:eastAsia="de-DE"/>
        </w:rPr>
        <w:t>בהם תעבדו</w:t>
      </w:r>
      <w:r w:rsidRPr="00CC6F7E">
        <w:rPr>
          <w:rFonts w:eastAsia="Times New Roman" w:cs="Times New Roman"/>
          <w:rtl/>
          <w:lang w:eastAsia="de-DE"/>
        </w:rPr>
        <w:t xml:space="preserve"> </w:t>
      </w:r>
      <w:r w:rsidRPr="00CC6F7E">
        <w:rPr>
          <w:rFonts w:eastAsia="Times New Roman" w:cs="Times New Roman"/>
          <w:lang w:eastAsia="de-DE"/>
        </w:rPr>
        <w:t>(sie dienen lassen) im Hifil-Imperfekt.</w:t>
      </w:r>
    </w:p>
    <w:p w14:paraId="4BC45CD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ובאחיכם בני־ישראל איש באחיו לא־תרדה בו בפרך</w:t>
      </w:r>
      <w:r w:rsidRPr="00CC6F7E">
        <w:rPr>
          <w:rFonts w:eastAsia="Times New Roman" w:cs="Times New Roman"/>
          <w:rtl/>
          <w:lang w:eastAsia="de-DE"/>
        </w:rPr>
        <w:t xml:space="preserve"> </w:t>
      </w:r>
      <w:r w:rsidRPr="00CC6F7E">
        <w:rPr>
          <w:rFonts w:eastAsia="Times New Roman" w:cs="Times New Roman"/>
          <w:lang w:eastAsia="de-DE"/>
        </w:rPr>
        <w:t xml:space="preserve">(aber über eure Brüder, die Kinder Israels, sollt ihr nicht einer über den anderen mit Härte herrschen) zeigt den Kontrast - </w:t>
      </w:r>
      <w:r w:rsidRPr="00CC6F7E">
        <w:rPr>
          <w:rFonts w:eastAsia="Times New Roman" w:cs="Times New Roman"/>
          <w:b/>
          <w:bCs/>
          <w:rtl/>
          <w:lang w:eastAsia="de-DE"/>
        </w:rPr>
        <w:t>ובאחיכם בני־ישראל</w:t>
      </w:r>
      <w:r w:rsidRPr="00CC6F7E">
        <w:rPr>
          <w:rFonts w:eastAsia="Times New Roman" w:cs="Times New Roman"/>
          <w:rtl/>
          <w:lang w:eastAsia="de-DE"/>
        </w:rPr>
        <w:t xml:space="preserve"> </w:t>
      </w:r>
      <w:r w:rsidRPr="00CC6F7E">
        <w:rPr>
          <w:rFonts w:eastAsia="Times New Roman" w:cs="Times New Roman"/>
          <w:lang w:eastAsia="de-DE"/>
        </w:rPr>
        <w:t xml:space="preserve">(aber über eure Brüder, die Kinder Israels) als Gegensatz zu den fremden Sklaven. </w:t>
      </w:r>
      <w:r w:rsidRPr="00CC6F7E">
        <w:rPr>
          <w:rFonts w:eastAsia="Times New Roman" w:cs="Times New Roman"/>
          <w:b/>
          <w:bCs/>
          <w:rtl/>
          <w:lang w:eastAsia="de-DE"/>
        </w:rPr>
        <w:t>איש באחיו</w:t>
      </w:r>
      <w:r w:rsidRPr="00CC6F7E">
        <w:rPr>
          <w:rFonts w:eastAsia="Times New Roman" w:cs="Times New Roman"/>
          <w:rtl/>
          <w:lang w:eastAsia="de-DE"/>
        </w:rPr>
        <w:t xml:space="preserve"> </w:t>
      </w:r>
      <w:r w:rsidRPr="00CC6F7E">
        <w:rPr>
          <w:rFonts w:eastAsia="Times New Roman" w:cs="Times New Roman"/>
          <w:lang w:eastAsia="de-DE"/>
        </w:rPr>
        <w:t xml:space="preserve">(einer über den anderen) zeigt universelle Anwendung unter Israeliten. </w:t>
      </w:r>
      <w:r w:rsidRPr="00CC6F7E">
        <w:rPr>
          <w:rFonts w:eastAsia="Times New Roman" w:cs="Times New Roman"/>
          <w:b/>
          <w:bCs/>
          <w:rtl/>
          <w:lang w:eastAsia="de-DE"/>
        </w:rPr>
        <w:t>לא־תרדה בו בפרך</w:t>
      </w:r>
      <w:r w:rsidRPr="00CC6F7E">
        <w:rPr>
          <w:rFonts w:eastAsia="Times New Roman" w:cs="Times New Roman"/>
          <w:rtl/>
          <w:lang w:eastAsia="de-DE"/>
        </w:rPr>
        <w:t xml:space="preserve"> </w:t>
      </w:r>
      <w:r w:rsidRPr="00CC6F7E">
        <w:rPr>
          <w:rFonts w:eastAsia="Times New Roman" w:cs="Times New Roman"/>
          <w:lang w:eastAsia="de-DE"/>
        </w:rPr>
        <w:t>entspricht V. 43.</w:t>
      </w:r>
    </w:p>
    <w:p w14:paraId="472A3D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והתנחלתם אתם לבניכם</w:t>
      </w:r>
      <w:r w:rsidRPr="00CC6F7E">
        <w:rPr>
          <w:rFonts w:eastAsia="Times New Roman" w:cs="Times New Roman"/>
          <w:rtl/>
          <w:lang w:eastAsia="de-DE"/>
        </w:rPr>
        <w:t xml:space="preserve"> </w:t>
      </w:r>
      <w:r w:rsidRPr="00CC6F7E">
        <w:rPr>
          <w:rFonts w:eastAsia="Times New Roman" w:cs="Times New Roman"/>
          <w:lang w:eastAsia="de-DE"/>
        </w:rPr>
        <w:t xml:space="preserve">zeigt Sklavenvererbung. </w:t>
      </w:r>
      <w:r w:rsidRPr="00CC6F7E">
        <w:rPr>
          <w:rFonts w:eastAsia="Times New Roman" w:cs="Times New Roman"/>
          <w:b/>
          <w:bCs/>
          <w:rtl/>
          <w:lang w:eastAsia="de-DE"/>
        </w:rPr>
        <w:t>לעלם בהם תעבדו</w:t>
      </w:r>
      <w:r w:rsidRPr="00CC6F7E">
        <w:rPr>
          <w:rFonts w:eastAsia="Times New Roman" w:cs="Times New Roman"/>
          <w:rtl/>
          <w:lang w:eastAsia="de-DE"/>
        </w:rPr>
        <w:t xml:space="preserve"> </w:t>
      </w:r>
      <w:r w:rsidRPr="00CC6F7E">
        <w:rPr>
          <w:rFonts w:eastAsia="Times New Roman" w:cs="Times New Roman"/>
          <w:lang w:eastAsia="de-DE"/>
        </w:rPr>
        <w:t xml:space="preserve">vs. zeitliche Begrenzung bei Israeliten. </w:t>
      </w:r>
      <w:r w:rsidRPr="00CC6F7E">
        <w:rPr>
          <w:rFonts w:eastAsia="Times New Roman" w:cs="Times New Roman"/>
          <w:b/>
          <w:bCs/>
          <w:rtl/>
          <w:lang w:eastAsia="de-DE"/>
        </w:rPr>
        <w:t>איש באחיו לא־תרדה בפרך</w:t>
      </w:r>
      <w:r w:rsidRPr="00CC6F7E">
        <w:rPr>
          <w:rFonts w:eastAsia="Times New Roman" w:cs="Times New Roman"/>
          <w:rtl/>
          <w:lang w:eastAsia="de-DE"/>
        </w:rPr>
        <w:t xml:space="preserve"> </w:t>
      </w:r>
      <w:r w:rsidRPr="00CC6F7E">
        <w:rPr>
          <w:rFonts w:eastAsia="Times New Roman" w:cs="Times New Roman"/>
          <w:lang w:eastAsia="de-DE"/>
        </w:rPr>
        <w:t xml:space="preserve">zeigt absolutes </w:t>
      </w:r>
      <w:r w:rsidRPr="00CC6F7E">
        <w:rPr>
          <w:rFonts w:eastAsia="Times New Roman" w:cs="Times New Roman"/>
          <w:b/>
          <w:bCs/>
          <w:rtl/>
          <w:lang w:eastAsia="de-DE"/>
        </w:rPr>
        <w:t>פרך</w:t>
      </w:r>
      <w:r w:rsidRPr="00CC6F7E">
        <w:rPr>
          <w:rFonts w:eastAsia="Times New Roman" w:cs="Times New Roman"/>
          <w:lang w:eastAsia="de-DE"/>
        </w:rPr>
        <w:t>-Verbot unter Brüdern.</w:t>
      </w:r>
    </w:p>
    <w:p w14:paraId="3A91ED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והתנחלתם</w:t>
      </w:r>
      <w:r w:rsidRPr="00CC6F7E">
        <w:rPr>
          <w:rFonts w:eastAsia="Times New Roman" w:cs="Times New Roman"/>
          <w:rtl/>
          <w:lang w:eastAsia="de-DE"/>
        </w:rPr>
        <w:t xml:space="preserve"> </w:t>
      </w:r>
      <w:r w:rsidRPr="00CC6F7E">
        <w:rPr>
          <w:rFonts w:eastAsia="Times New Roman" w:cs="Times New Roman"/>
          <w:lang w:eastAsia="de-DE"/>
        </w:rPr>
        <w:t>mit κατα</w:t>
      </w:r>
      <w:proofErr w:type="spellStart"/>
      <w:r w:rsidRPr="00CC6F7E">
        <w:rPr>
          <w:rFonts w:eastAsia="Times New Roman" w:cs="Times New Roman"/>
          <w:lang w:eastAsia="de-DE"/>
        </w:rPr>
        <w:t>κληρονομήσετε</w:t>
      </w:r>
      <w:proofErr w:type="spellEnd"/>
      <w:r w:rsidRPr="00CC6F7E">
        <w:rPr>
          <w:rFonts w:eastAsia="Times New Roman" w:cs="Times New Roman"/>
          <w:lang w:eastAsia="de-DE"/>
        </w:rPr>
        <w:t xml:space="preserve"> (werdet ihr vererben), </w:t>
      </w:r>
      <w:r w:rsidRPr="00CC6F7E">
        <w:rPr>
          <w:rFonts w:eastAsia="Times New Roman" w:cs="Times New Roman"/>
          <w:b/>
          <w:bCs/>
          <w:rtl/>
          <w:lang w:eastAsia="de-DE"/>
        </w:rPr>
        <w:t>לרשת אחזה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κληρονομεῖν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κτῆσιν</w:t>
      </w:r>
      <w:proofErr w:type="spellEnd"/>
      <w:r w:rsidRPr="00CC6F7E">
        <w:rPr>
          <w:rFonts w:eastAsia="Times New Roman" w:cs="Times New Roman"/>
          <w:lang w:eastAsia="de-DE"/>
        </w:rPr>
        <w:t xml:space="preserve"> (zu besitzen als Besitz), </w:t>
      </w:r>
      <w:r w:rsidRPr="00CC6F7E">
        <w:rPr>
          <w:rFonts w:eastAsia="Times New Roman" w:cs="Times New Roman"/>
          <w:b/>
          <w:bCs/>
          <w:rtl/>
          <w:lang w:eastAsia="de-DE"/>
        </w:rPr>
        <w:t>לעלם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ἰῶν</w:t>
      </w:r>
      <w:proofErr w:type="spellEnd"/>
      <w:r w:rsidRPr="00CC6F7E">
        <w:rPr>
          <w:rFonts w:eastAsia="Times New Roman" w:cs="Times New Roman"/>
          <w:lang w:eastAsia="de-DE"/>
        </w:rPr>
        <w:t xml:space="preserve">α (für die Ewigkeit) und </w:t>
      </w:r>
      <w:r w:rsidRPr="00CC6F7E">
        <w:rPr>
          <w:rFonts w:eastAsia="Times New Roman" w:cs="Times New Roman"/>
          <w:b/>
          <w:bCs/>
          <w:rtl/>
          <w:lang w:eastAsia="de-DE"/>
        </w:rPr>
        <w:lastRenderedPageBreak/>
        <w:t>לא־תרדה בו בפרך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τενεῖς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μόχθῳ</w:t>
      </w:r>
      <w:proofErr w:type="spellEnd"/>
      <w:r w:rsidRPr="00CC6F7E">
        <w:rPr>
          <w:rFonts w:eastAsia="Times New Roman" w:cs="Times New Roman"/>
          <w:lang w:eastAsia="de-DE"/>
        </w:rPr>
        <w:t xml:space="preserve"> (wirst ihn nicht niederdrücken mit Mühsal).</w:t>
      </w:r>
    </w:p>
    <w:p w14:paraId="0B49077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Sklaverei-Dualismus: fremde Sklaven vererbbar + ewig dienstbar vs. Bruder-Israeliten + keiner über anderen + keine </w:t>
      </w:r>
      <w:r w:rsidRPr="00CC6F7E">
        <w:rPr>
          <w:rFonts w:eastAsia="Times New Roman" w:cs="Times New Roman"/>
          <w:b/>
          <w:bCs/>
          <w:rtl/>
          <w:lang w:eastAsia="de-DE"/>
        </w:rPr>
        <w:t>פרך</w:t>
      </w:r>
      <w:r w:rsidRPr="00CC6F7E">
        <w:rPr>
          <w:rFonts w:eastAsia="Times New Roman" w:cs="Times New Roman"/>
          <w:lang w:eastAsia="de-DE"/>
        </w:rPr>
        <w:t>-Härte.</w:t>
      </w:r>
    </w:p>
    <w:p w14:paraId="0BB093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zentrale Vers zeigt den fundamentalen Unterschied: Fremde können ewig vererbt werden, Israeliten dürfen nie mit </w:t>
      </w:r>
      <w:r w:rsidRPr="00CC6F7E">
        <w:rPr>
          <w:rFonts w:eastAsia="Times New Roman" w:cs="Times New Roman"/>
          <w:b/>
          <w:bCs/>
          <w:rtl/>
          <w:lang w:eastAsia="de-DE"/>
        </w:rPr>
        <w:t>פרך</w:t>
      </w:r>
      <w:r w:rsidRPr="00CC6F7E">
        <w:rPr>
          <w:rFonts w:eastAsia="Times New Roman" w:cs="Times New Roman"/>
          <w:rtl/>
          <w:lang w:eastAsia="de-DE"/>
        </w:rPr>
        <w:t xml:space="preserve"> </w:t>
      </w:r>
      <w:r w:rsidRPr="00CC6F7E">
        <w:rPr>
          <w:rFonts w:eastAsia="Times New Roman" w:cs="Times New Roman"/>
          <w:lang w:eastAsia="de-DE"/>
        </w:rPr>
        <w:t>behandelt werden.</w:t>
      </w:r>
    </w:p>
    <w:p w14:paraId="10215B6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25,47</w:t>
      </w:r>
    </w:p>
    <w:p w14:paraId="6ABC8E2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וְכִ֣י תַשִּׂ֗יג יַ֣ד גֵּ֤ר וְתוֹשָׁב֙ עִמָּ֔ךְ וּמָ֥ךְ אָחִ֖יךָ עִמּוֹ֑ וְנִמְכַּ֗ר לְגֵ֤ר תּוֹשָׁב֙ עִמָּ֔ךְ א֥וֹ לְעֵ֖קֶר מִשְׁפַּ֥חַת גֵּֽר׃</w:t>
      </w:r>
    </w:p>
    <w:p w14:paraId="5EA570A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die Hand eines Fremden oder Beisassen bei dir Vermögen erlangt, und dein Bruder bei ihm verarmt und sich dem Fremden, dem Beisassen bei dir, oder einem Abkömmling aus der Familie des Fremden verkauft,</w:t>
      </w:r>
    </w:p>
    <w:p w14:paraId="0BDFFA1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9D0E86F">
          <v:rect id="_x0000_i1795" style="width:0;height:1.5pt" o:hralign="center" o:hrstd="t" o:hr="t" fillcolor="#a0a0a0" stroked="f"/>
        </w:pict>
      </w:r>
    </w:p>
    <w:p w14:paraId="2A89C6A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וכי תשיג יד גר ותושב עמך ומך אחיך עמו ונמכר לגר תושב עמך או לעקר משפחת גר</w:t>
      </w:r>
      <w:r w:rsidRPr="00CC6F7E">
        <w:rPr>
          <w:rFonts w:eastAsia="Times New Roman" w:cs="Times New Roman"/>
          <w:rtl/>
          <w:lang w:eastAsia="de-DE"/>
        </w:rPr>
        <w:t xml:space="preserve"> </w:t>
      </w:r>
      <w:r w:rsidRPr="00CC6F7E">
        <w:rPr>
          <w:rFonts w:eastAsia="Times New Roman" w:cs="Times New Roman"/>
          <w:lang w:eastAsia="de-DE"/>
        </w:rPr>
        <w:t xml:space="preserve">führt die umgekehrte Situation ein: Israelit verkauft sich an Fremden. </w:t>
      </w:r>
      <w:r w:rsidRPr="00CC6F7E">
        <w:rPr>
          <w:rFonts w:eastAsia="Times New Roman" w:cs="Times New Roman"/>
          <w:b/>
          <w:bCs/>
          <w:rtl/>
          <w:lang w:eastAsia="de-DE"/>
        </w:rPr>
        <w:t>וכי תשיג יד גר ותושב עמך</w:t>
      </w:r>
      <w:r w:rsidRPr="00CC6F7E">
        <w:rPr>
          <w:rFonts w:eastAsia="Times New Roman" w:cs="Times New Roman"/>
          <w:rtl/>
          <w:lang w:eastAsia="de-DE"/>
        </w:rPr>
        <w:t xml:space="preserve"> </w:t>
      </w:r>
      <w:r w:rsidRPr="00CC6F7E">
        <w:rPr>
          <w:rFonts w:eastAsia="Times New Roman" w:cs="Times New Roman"/>
          <w:lang w:eastAsia="de-DE"/>
        </w:rPr>
        <w:t xml:space="preserve">(und wenn die Hand eines Fremden oder Beisassen bei dir Vermögen erlangt) - </w:t>
      </w:r>
      <w:r w:rsidRPr="00CC6F7E">
        <w:rPr>
          <w:rFonts w:eastAsia="Times New Roman" w:cs="Times New Roman"/>
          <w:b/>
          <w:bCs/>
          <w:rtl/>
          <w:lang w:eastAsia="de-DE"/>
        </w:rPr>
        <w:t>תשיג יד</w:t>
      </w:r>
      <w:r w:rsidRPr="00CC6F7E">
        <w:rPr>
          <w:rFonts w:eastAsia="Times New Roman" w:cs="Times New Roman"/>
          <w:rtl/>
          <w:lang w:eastAsia="de-DE"/>
        </w:rPr>
        <w:t xml:space="preserve"> </w:t>
      </w:r>
      <w:r w:rsidRPr="00CC6F7E">
        <w:rPr>
          <w:rFonts w:eastAsia="Times New Roman" w:cs="Times New Roman"/>
          <w:lang w:eastAsia="de-DE"/>
        </w:rPr>
        <w:t xml:space="preserve">entspricht V. 26 und zeigt wirtschaftlichen Erfolg. </w:t>
      </w:r>
      <w:r w:rsidRPr="00CC6F7E">
        <w:rPr>
          <w:rFonts w:eastAsia="Times New Roman" w:cs="Times New Roman"/>
          <w:b/>
          <w:bCs/>
          <w:rtl/>
          <w:lang w:eastAsia="de-DE"/>
        </w:rPr>
        <w:t>גר ותושב עמך</w:t>
      </w:r>
      <w:r w:rsidRPr="00CC6F7E">
        <w:rPr>
          <w:rFonts w:eastAsia="Times New Roman" w:cs="Times New Roman"/>
          <w:rtl/>
          <w:lang w:eastAsia="de-DE"/>
        </w:rPr>
        <w:t xml:space="preserve"> </w:t>
      </w:r>
      <w:r w:rsidRPr="00CC6F7E">
        <w:rPr>
          <w:rFonts w:eastAsia="Times New Roman" w:cs="Times New Roman"/>
          <w:lang w:eastAsia="de-DE"/>
        </w:rPr>
        <w:t>zeigt ansässige Fremde mit Wohlstand.</w:t>
      </w:r>
    </w:p>
    <w:p w14:paraId="0297CC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ומך אחיך עמו</w:t>
      </w:r>
      <w:r w:rsidRPr="00CC6F7E">
        <w:rPr>
          <w:rFonts w:eastAsia="Times New Roman" w:cs="Times New Roman"/>
          <w:rtl/>
          <w:lang w:eastAsia="de-DE"/>
        </w:rPr>
        <w:t xml:space="preserve"> </w:t>
      </w:r>
      <w:r w:rsidRPr="00CC6F7E">
        <w:rPr>
          <w:rFonts w:eastAsia="Times New Roman" w:cs="Times New Roman"/>
          <w:lang w:eastAsia="de-DE"/>
        </w:rPr>
        <w:t xml:space="preserve">(und dein Bruder bei ihm verarmt) - </w:t>
      </w:r>
      <w:r w:rsidRPr="00CC6F7E">
        <w:rPr>
          <w:rFonts w:eastAsia="Times New Roman" w:cs="Times New Roman"/>
          <w:b/>
          <w:bCs/>
          <w:rtl/>
          <w:lang w:eastAsia="de-DE"/>
        </w:rPr>
        <w:t>מך אחיך</w:t>
      </w:r>
      <w:r w:rsidRPr="00CC6F7E">
        <w:rPr>
          <w:rFonts w:eastAsia="Times New Roman" w:cs="Times New Roman"/>
          <w:rtl/>
          <w:lang w:eastAsia="de-DE"/>
        </w:rPr>
        <w:t xml:space="preserve"> </w:t>
      </w:r>
      <w:r w:rsidRPr="00CC6F7E">
        <w:rPr>
          <w:rFonts w:eastAsia="Times New Roman" w:cs="Times New Roman"/>
          <w:lang w:eastAsia="de-DE"/>
        </w:rPr>
        <w:t xml:space="preserve">entspricht der dreifachen Verarmungsformel, aber </w:t>
      </w:r>
      <w:r w:rsidRPr="00CC6F7E">
        <w:rPr>
          <w:rFonts w:eastAsia="Times New Roman" w:cs="Times New Roman"/>
          <w:b/>
          <w:bCs/>
          <w:rtl/>
          <w:lang w:eastAsia="de-DE"/>
        </w:rPr>
        <w:t>עמו</w:t>
      </w:r>
      <w:r w:rsidRPr="00CC6F7E">
        <w:rPr>
          <w:rFonts w:eastAsia="Times New Roman" w:cs="Times New Roman"/>
          <w:rtl/>
          <w:lang w:eastAsia="de-DE"/>
        </w:rPr>
        <w:t xml:space="preserve"> </w:t>
      </w:r>
      <w:r w:rsidRPr="00CC6F7E">
        <w:rPr>
          <w:rFonts w:eastAsia="Times New Roman" w:cs="Times New Roman"/>
          <w:lang w:eastAsia="de-DE"/>
        </w:rPr>
        <w:t>(bei ihm) zeigt Verarmung gegenüber dem Fremden.</w:t>
      </w:r>
    </w:p>
    <w:p w14:paraId="149C0BD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ונמכר לגר תושב עמך או לעקר משפחת גר</w:t>
      </w:r>
      <w:r w:rsidRPr="00CC6F7E">
        <w:rPr>
          <w:rFonts w:eastAsia="Times New Roman" w:cs="Times New Roman"/>
          <w:rtl/>
          <w:lang w:eastAsia="de-DE"/>
        </w:rPr>
        <w:t xml:space="preserve"> </w:t>
      </w:r>
      <w:r w:rsidRPr="00CC6F7E">
        <w:rPr>
          <w:rFonts w:eastAsia="Times New Roman" w:cs="Times New Roman"/>
          <w:lang w:eastAsia="de-DE"/>
        </w:rPr>
        <w:t>(und sich dem Fremden, dem Beisassen bei dir, oder einem Abkömmling aus der Familie des Fremden verkauft) zeigt zwei Verkaufsmöglichkeiten:</w:t>
      </w:r>
    </w:p>
    <w:p w14:paraId="417EF5C0" w14:textId="77777777" w:rsidR="00CC6F7E" w:rsidRPr="00CC6F7E" w:rsidRDefault="00CC6F7E" w:rsidP="00CC6F7E">
      <w:pPr>
        <w:numPr>
          <w:ilvl w:val="0"/>
          <w:numId w:val="3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לגר תושב עמך</w:t>
      </w:r>
      <w:r w:rsidRPr="00CC6F7E">
        <w:rPr>
          <w:rFonts w:eastAsia="Times New Roman" w:cs="Times New Roman"/>
          <w:rtl/>
          <w:lang w:eastAsia="de-DE"/>
        </w:rPr>
        <w:t xml:space="preserve"> </w:t>
      </w:r>
      <w:r w:rsidRPr="00CC6F7E">
        <w:rPr>
          <w:rFonts w:eastAsia="Times New Roman" w:cs="Times New Roman"/>
          <w:lang w:eastAsia="de-DE"/>
        </w:rPr>
        <w:t>(dem Fremden, Beisassen bei dir) - dem Fremden selbst</w:t>
      </w:r>
    </w:p>
    <w:p w14:paraId="3EA68B89" w14:textId="77777777" w:rsidR="00CC6F7E" w:rsidRPr="00CC6F7E" w:rsidRDefault="00CC6F7E" w:rsidP="00CC6F7E">
      <w:pPr>
        <w:numPr>
          <w:ilvl w:val="0"/>
          <w:numId w:val="31"/>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 לעקר משפחת גר</w:t>
      </w:r>
      <w:r w:rsidRPr="00CC6F7E">
        <w:rPr>
          <w:rFonts w:eastAsia="Times New Roman" w:cs="Times New Roman"/>
          <w:rtl/>
          <w:lang w:eastAsia="de-DE"/>
        </w:rPr>
        <w:t xml:space="preserve"> </w:t>
      </w:r>
      <w:r w:rsidRPr="00CC6F7E">
        <w:rPr>
          <w:rFonts w:eastAsia="Times New Roman" w:cs="Times New Roman"/>
          <w:lang w:eastAsia="de-DE"/>
        </w:rPr>
        <w:t xml:space="preserve">(oder einem Abkömmling aus der Familie des Fremden) - </w:t>
      </w:r>
      <w:r w:rsidRPr="00CC6F7E">
        <w:rPr>
          <w:rFonts w:eastAsia="Times New Roman" w:cs="Times New Roman"/>
          <w:b/>
          <w:bCs/>
          <w:rtl/>
          <w:lang w:eastAsia="de-DE"/>
        </w:rPr>
        <w:t>עקר</w:t>
      </w:r>
      <w:r w:rsidRPr="00CC6F7E">
        <w:rPr>
          <w:rFonts w:eastAsia="Times New Roman" w:cs="Times New Roman"/>
          <w:rtl/>
          <w:lang w:eastAsia="de-DE"/>
        </w:rPr>
        <w:t xml:space="preserve"> </w:t>
      </w:r>
      <w:r w:rsidRPr="00CC6F7E">
        <w:rPr>
          <w:rFonts w:eastAsia="Times New Roman" w:cs="Times New Roman"/>
          <w:lang w:eastAsia="de-DE"/>
        </w:rPr>
        <w:t>(Abkömmling/Wurzel) zeigt Nachkommen des Fremden</w:t>
      </w:r>
    </w:p>
    <w:p w14:paraId="1643D6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תשיג יד גר ותושב</w:t>
      </w:r>
      <w:r w:rsidRPr="00CC6F7E">
        <w:rPr>
          <w:rFonts w:eastAsia="Times New Roman" w:cs="Times New Roman"/>
          <w:rtl/>
          <w:lang w:eastAsia="de-DE"/>
        </w:rPr>
        <w:t xml:space="preserve"> </w:t>
      </w:r>
      <w:r w:rsidRPr="00CC6F7E">
        <w:rPr>
          <w:rFonts w:eastAsia="Times New Roman" w:cs="Times New Roman"/>
          <w:lang w:eastAsia="de-DE"/>
        </w:rPr>
        <w:t xml:space="preserve">zeigt Wohlstandsumkehr zwischen Israelit und Fremdem. </w:t>
      </w:r>
      <w:r w:rsidRPr="00CC6F7E">
        <w:rPr>
          <w:rFonts w:eastAsia="Times New Roman" w:cs="Times New Roman"/>
          <w:b/>
          <w:bCs/>
          <w:rtl/>
          <w:lang w:eastAsia="de-DE"/>
        </w:rPr>
        <w:t>מך אחיך עמו</w:t>
      </w:r>
      <w:r w:rsidRPr="00CC6F7E">
        <w:rPr>
          <w:rFonts w:eastAsia="Times New Roman" w:cs="Times New Roman"/>
          <w:rtl/>
          <w:lang w:eastAsia="de-DE"/>
        </w:rPr>
        <w:t xml:space="preserve"> </w:t>
      </w:r>
      <w:r w:rsidRPr="00CC6F7E">
        <w:rPr>
          <w:rFonts w:eastAsia="Times New Roman" w:cs="Times New Roman"/>
          <w:lang w:eastAsia="de-DE"/>
        </w:rPr>
        <w:t xml:space="preserve">zeigt Bruder-Verarmung gegenüber dem Fremden. </w:t>
      </w:r>
      <w:r w:rsidRPr="00CC6F7E">
        <w:rPr>
          <w:rFonts w:eastAsia="Times New Roman" w:cs="Times New Roman"/>
          <w:b/>
          <w:bCs/>
          <w:rtl/>
          <w:lang w:eastAsia="de-DE"/>
        </w:rPr>
        <w:t>עקר משפחת גר</w:t>
      </w:r>
      <w:r w:rsidRPr="00CC6F7E">
        <w:rPr>
          <w:rFonts w:eastAsia="Times New Roman" w:cs="Times New Roman"/>
          <w:rtl/>
          <w:lang w:eastAsia="de-DE"/>
        </w:rPr>
        <w:t xml:space="preserve"> </w:t>
      </w:r>
      <w:r w:rsidRPr="00CC6F7E">
        <w:rPr>
          <w:rFonts w:eastAsia="Times New Roman" w:cs="Times New Roman"/>
          <w:lang w:eastAsia="de-DE"/>
        </w:rPr>
        <w:t>erweitert auf Fremdenfamilien.</w:t>
      </w:r>
    </w:p>
    <w:p w14:paraId="4396E328" w14:textId="39DF40A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übersetzt </w:t>
      </w:r>
      <w:r w:rsidR="009104A2">
        <w:rPr>
          <w:rtl/>
        </w:rPr>
        <w:t>לעקר משפחת גר</w:t>
      </w:r>
      <w:r w:rsidR="009104A2">
        <w:t xml:space="preserve"> (</w:t>
      </w:r>
      <w:proofErr w:type="spellStart"/>
      <w:r w:rsidR="009104A2">
        <w:t>le'eqer</w:t>
      </w:r>
      <w:proofErr w:type="spellEnd"/>
      <w:r w:rsidR="009104A2">
        <w:t xml:space="preserve"> </w:t>
      </w:r>
      <w:proofErr w:type="spellStart"/>
      <w:r w:rsidR="009104A2">
        <w:t>mishpachat</w:t>
      </w:r>
      <w:proofErr w:type="spellEnd"/>
      <w:r w:rsidR="009104A2">
        <w:t xml:space="preserve"> </w:t>
      </w:r>
      <w:proofErr w:type="spellStart"/>
      <w:r w:rsidR="009104A2">
        <w:t>ger</w:t>
      </w:r>
      <w:proofErr w:type="spellEnd"/>
      <w:r w:rsidR="009104A2">
        <w:t xml:space="preserve"> - "an den Stamm einer Fremdlingsfamilie") als </w:t>
      </w:r>
      <w:proofErr w:type="spellStart"/>
      <w:r w:rsidR="009104A2">
        <w:t>ἐκ</w:t>
      </w:r>
      <w:proofErr w:type="spellEnd"/>
      <w:r w:rsidR="009104A2">
        <w:t xml:space="preserve"> </w:t>
      </w:r>
      <w:proofErr w:type="spellStart"/>
      <w:r w:rsidR="009104A2">
        <w:t>γενετῆς</w:t>
      </w:r>
      <w:proofErr w:type="spellEnd"/>
      <w:r w:rsidR="009104A2">
        <w:t xml:space="preserve"> π</w:t>
      </w:r>
      <w:proofErr w:type="spellStart"/>
      <w:r w:rsidR="009104A2">
        <w:t>ροσηλύτῳ</w:t>
      </w:r>
      <w:proofErr w:type="spellEnd"/>
      <w:r w:rsidR="009104A2">
        <w:t xml:space="preserve"> (an einen geborenen Proselyten).</w:t>
      </w:r>
    </w:p>
    <w:p w14:paraId="0E954D9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umgekehrte Verkaufssituation: Fremder/Beisasse erlangt Wohlstand + Bruder verarmt bei ihm + Verkauf an Fremden/Beisassen oder Fremden-Nachkommen.</w:t>
      </w:r>
    </w:p>
    <w:p w14:paraId="10CDC4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führt die problematische Situation ein: Ein Israelit muss sich an einen wohlhabend gewordenen Fremden verkaufen.</w:t>
      </w:r>
    </w:p>
    <w:p w14:paraId="0E25611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25,48</w:t>
      </w:r>
    </w:p>
    <w:p w14:paraId="4B0BA31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Hebräisch:</w:t>
      </w:r>
      <w:r w:rsidRPr="00CC6F7E">
        <w:rPr>
          <w:rFonts w:eastAsia="Times New Roman" w:cs="Times New Roman"/>
          <w:lang w:eastAsia="de-DE"/>
        </w:rPr>
        <w:t xml:space="preserve"> </w:t>
      </w:r>
      <w:r w:rsidRPr="00CC6F7E">
        <w:rPr>
          <w:rFonts w:eastAsia="Times New Roman" w:cs="Times New Roman"/>
          <w:rtl/>
          <w:lang w:eastAsia="de-DE"/>
        </w:rPr>
        <w:t>אַחֲרֵ֣י נִמְכַּ֔ר גְּאֻלָּ֖ה תִּהְיֶה־לּוֹ֑ אֶחָ֥ד מֵאֶחָ֖יו יִגְאָלֶֽנּוּ׃</w:t>
      </w:r>
    </w:p>
    <w:p w14:paraId="187BEE5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Nachdem er sich verkauft hat, soll Einlösung für ihn sein; einer seiner Brüder soll ihn einlösen.</w:t>
      </w:r>
    </w:p>
    <w:p w14:paraId="657247C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B24A816">
          <v:rect id="_x0000_i1796" style="width:0;height:1.5pt" o:hralign="center" o:hrstd="t" o:hr="t" fillcolor="#a0a0a0" stroked="f"/>
        </w:pict>
      </w:r>
    </w:p>
    <w:p w14:paraId="6C3994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אחרי נמכר גאלה תהיה־לו אחד מאחיו יגאלנו</w:t>
      </w:r>
      <w:r w:rsidRPr="00CC6F7E">
        <w:rPr>
          <w:rFonts w:eastAsia="Times New Roman" w:cs="Times New Roman"/>
          <w:rtl/>
          <w:lang w:eastAsia="de-DE"/>
        </w:rPr>
        <w:t xml:space="preserve"> </w:t>
      </w:r>
      <w:r w:rsidRPr="00CC6F7E">
        <w:rPr>
          <w:rFonts w:eastAsia="Times New Roman" w:cs="Times New Roman"/>
          <w:lang w:eastAsia="de-DE"/>
        </w:rPr>
        <w:t xml:space="preserve">etabliert das </w:t>
      </w:r>
      <w:r w:rsidRPr="00CC6F7E">
        <w:rPr>
          <w:rFonts w:eastAsia="Times New Roman" w:cs="Times New Roman"/>
          <w:b/>
          <w:bCs/>
          <w:rtl/>
          <w:lang w:eastAsia="de-DE"/>
        </w:rPr>
        <w:t>גאלה</w:t>
      </w:r>
      <w:r w:rsidRPr="00CC6F7E">
        <w:rPr>
          <w:rFonts w:eastAsia="Times New Roman" w:cs="Times New Roman"/>
          <w:lang w:eastAsia="de-DE"/>
        </w:rPr>
        <w:t xml:space="preserve">-Recht auch bei Verkauf an Fremde. </w:t>
      </w:r>
      <w:r w:rsidRPr="00CC6F7E">
        <w:rPr>
          <w:rFonts w:eastAsia="Times New Roman" w:cs="Times New Roman"/>
          <w:b/>
          <w:bCs/>
          <w:rtl/>
          <w:lang w:eastAsia="de-DE"/>
        </w:rPr>
        <w:t>אחרי נמכר</w:t>
      </w:r>
      <w:r w:rsidRPr="00CC6F7E">
        <w:rPr>
          <w:rFonts w:eastAsia="Times New Roman" w:cs="Times New Roman"/>
          <w:rtl/>
          <w:lang w:eastAsia="de-DE"/>
        </w:rPr>
        <w:t xml:space="preserve"> </w:t>
      </w:r>
      <w:r w:rsidRPr="00CC6F7E">
        <w:rPr>
          <w:rFonts w:eastAsia="Times New Roman" w:cs="Times New Roman"/>
          <w:lang w:eastAsia="de-DE"/>
        </w:rPr>
        <w:t xml:space="preserve">(nachdem er sich verkauft hat) bezieht sich auf den Verkauf an den Fremden aus V. 47. </w:t>
      </w:r>
      <w:r w:rsidRPr="00CC6F7E">
        <w:rPr>
          <w:rFonts w:eastAsia="Times New Roman" w:cs="Times New Roman"/>
          <w:b/>
          <w:bCs/>
          <w:rtl/>
          <w:lang w:eastAsia="de-DE"/>
        </w:rPr>
        <w:t>גאלה תהיה־לו</w:t>
      </w:r>
      <w:r w:rsidRPr="00CC6F7E">
        <w:rPr>
          <w:rFonts w:eastAsia="Times New Roman" w:cs="Times New Roman"/>
          <w:rtl/>
          <w:lang w:eastAsia="de-DE"/>
        </w:rPr>
        <w:t xml:space="preserve"> </w:t>
      </w:r>
      <w:r w:rsidRPr="00CC6F7E">
        <w:rPr>
          <w:rFonts w:eastAsia="Times New Roman" w:cs="Times New Roman"/>
          <w:lang w:eastAsia="de-DE"/>
        </w:rPr>
        <w:t xml:space="preserve">(soll Einlösung für ihn sein) entspricht V. 24 und zeigt das </w:t>
      </w:r>
      <w:r w:rsidRPr="00CC6F7E">
        <w:rPr>
          <w:rFonts w:eastAsia="Times New Roman" w:cs="Times New Roman"/>
          <w:b/>
          <w:bCs/>
          <w:rtl/>
          <w:lang w:eastAsia="de-DE"/>
        </w:rPr>
        <w:t>גאלה</w:t>
      </w:r>
      <w:r w:rsidRPr="00CC6F7E">
        <w:rPr>
          <w:rFonts w:eastAsia="Times New Roman" w:cs="Times New Roman"/>
          <w:lang w:eastAsia="de-DE"/>
        </w:rPr>
        <w:t>-Recht auch in dieser Situation.</w:t>
      </w:r>
    </w:p>
    <w:p w14:paraId="77FE58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אחד מאחיו יגאלנו</w:t>
      </w:r>
      <w:r w:rsidRPr="00CC6F7E">
        <w:rPr>
          <w:rFonts w:eastAsia="Times New Roman" w:cs="Times New Roman"/>
          <w:rtl/>
          <w:lang w:eastAsia="de-DE"/>
        </w:rPr>
        <w:t xml:space="preserve"> </w:t>
      </w:r>
      <w:r w:rsidRPr="00CC6F7E">
        <w:rPr>
          <w:rFonts w:eastAsia="Times New Roman" w:cs="Times New Roman"/>
          <w:lang w:eastAsia="de-DE"/>
        </w:rPr>
        <w:t xml:space="preserve">(einer seiner Brüder soll ihn einlösen) - </w:t>
      </w:r>
      <w:r w:rsidRPr="00CC6F7E">
        <w:rPr>
          <w:rFonts w:eastAsia="Times New Roman" w:cs="Times New Roman"/>
          <w:b/>
          <w:bCs/>
          <w:rtl/>
          <w:lang w:eastAsia="de-DE"/>
        </w:rPr>
        <w:t>אחד מאחיו</w:t>
      </w:r>
      <w:r w:rsidRPr="00CC6F7E">
        <w:rPr>
          <w:rFonts w:eastAsia="Times New Roman" w:cs="Times New Roman"/>
          <w:rtl/>
          <w:lang w:eastAsia="de-DE"/>
        </w:rPr>
        <w:t xml:space="preserve"> </w:t>
      </w:r>
      <w:r w:rsidRPr="00CC6F7E">
        <w:rPr>
          <w:rFonts w:eastAsia="Times New Roman" w:cs="Times New Roman"/>
          <w:lang w:eastAsia="de-DE"/>
        </w:rPr>
        <w:t xml:space="preserve">(einer seiner Brüder) zeigt verwandtschaftliche </w:t>
      </w:r>
      <w:r w:rsidRPr="00CC6F7E">
        <w:rPr>
          <w:rFonts w:eastAsia="Times New Roman" w:cs="Times New Roman"/>
          <w:b/>
          <w:bCs/>
          <w:rtl/>
          <w:lang w:eastAsia="de-DE"/>
        </w:rPr>
        <w:t>גאל</w:t>
      </w:r>
      <w:r w:rsidRPr="00CC6F7E">
        <w:rPr>
          <w:rFonts w:eastAsia="Times New Roman" w:cs="Times New Roman"/>
          <w:lang w:eastAsia="de-DE"/>
        </w:rPr>
        <w:t xml:space="preserve">-Verpflichtung entsprechend V. 25. </w:t>
      </w:r>
      <w:r w:rsidRPr="00CC6F7E">
        <w:rPr>
          <w:rFonts w:eastAsia="Times New Roman" w:cs="Times New Roman"/>
          <w:b/>
          <w:bCs/>
          <w:rtl/>
          <w:lang w:eastAsia="de-DE"/>
        </w:rPr>
        <w:t>יגאלנו</w:t>
      </w:r>
      <w:r w:rsidRPr="00CC6F7E">
        <w:rPr>
          <w:rFonts w:eastAsia="Times New Roman" w:cs="Times New Roman"/>
          <w:rtl/>
          <w:lang w:eastAsia="de-DE"/>
        </w:rPr>
        <w:t xml:space="preserve"> </w:t>
      </w:r>
      <w:r w:rsidRPr="00CC6F7E">
        <w:rPr>
          <w:rFonts w:eastAsia="Times New Roman" w:cs="Times New Roman"/>
          <w:lang w:eastAsia="de-DE"/>
        </w:rPr>
        <w:t xml:space="preserve">(soll ihn einlösen) im Qal-Imperfekt zeigt die </w:t>
      </w:r>
      <w:r w:rsidRPr="00CC6F7E">
        <w:rPr>
          <w:rFonts w:eastAsia="Times New Roman" w:cs="Times New Roman"/>
          <w:b/>
          <w:bCs/>
          <w:rtl/>
          <w:lang w:eastAsia="de-DE"/>
        </w:rPr>
        <w:t>גאל</w:t>
      </w:r>
      <w:r w:rsidRPr="00CC6F7E">
        <w:rPr>
          <w:rFonts w:eastAsia="Times New Roman" w:cs="Times New Roman"/>
          <w:lang w:eastAsia="de-DE"/>
        </w:rPr>
        <w:t>-Handlung.</w:t>
      </w:r>
    </w:p>
    <w:p w14:paraId="739CE6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אחרי נמכר</w:t>
      </w:r>
      <w:r w:rsidRPr="00CC6F7E">
        <w:rPr>
          <w:rFonts w:eastAsia="Times New Roman" w:cs="Times New Roman"/>
          <w:rtl/>
          <w:lang w:eastAsia="de-DE"/>
        </w:rPr>
        <w:t xml:space="preserve"> </w:t>
      </w:r>
      <w:r w:rsidRPr="00CC6F7E">
        <w:rPr>
          <w:rFonts w:eastAsia="Times New Roman" w:cs="Times New Roman"/>
          <w:lang w:eastAsia="de-DE"/>
        </w:rPr>
        <w:t xml:space="preserve">zeigt, dass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auch nach vollzogenem Verkauf möglich ist. </w:t>
      </w:r>
      <w:r w:rsidRPr="00CC6F7E">
        <w:rPr>
          <w:rFonts w:eastAsia="Times New Roman" w:cs="Times New Roman"/>
          <w:b/>
          <w:bCs/>
          <w:rtl/>
          <w:lang w:eastAsia="de-DE"/>
        </w:rPr>
        <w:t>גאלה תהיה־לו</w:t>
      </w:r>
      <w:r w:rsidRPr="00CC6F7E">
        <w:rPr>
          <w:rFonts w:eastAsia="Times New Roman" w:cs="Times New Roman"/>
          <w:rtl/>
          <w:lang w:eastAsia="de-DE"/>
        </w:rPr>
        <w:t xml:space="preserve"> </w:t>
      </w:r>
      <w:r w:rsidRPr="00CC6F7E">
        <w:rPr>
          <w:rFonts w:eastAsia="Times New Roman" w:cs="Times New Roman"/>
          <w:lang w:eastAsia="de-DE"/>
        </w:rPr>
        <w:t xml:space="preserve">betont das Recht auf Einlösung. </w:t>
      </w:r>
      <w:r w:rsidRPr="00CC6F7E">
        <w:rPr>
          <w:rFonts w:eastAsia="Times New Roman" w:cs="Times New Roman"/>
          <w:b/>
          <w:bCs/>
          <w:rtl/>
          <w:lang w:eastAsia="de-DE"/>
        </w:rPr>
        <w:t>אחד מאחיו</w:t>
      </w:r>
      <w:r w:rsidRPr="00CC6F7E">
        <w:rPr>
          <w:rFonts w:eastAsia="Times New Roman" w:cs="Times New Roman"/>
          <w:rtl/>
          <w:lang w:eastAsia="de-DE"/>
        </w:rPr>
        <w:t xml:space="preserve"> </w:t>
      </w:r>
      <w:r w:rsidRPr="00CC6F7E">
        <w:rPr>
          <w:rFonts w:eastAsia="Times New Roman" w:cs="Times New Roman"/>
          <w:lang w:eastAsia="de-DE"/>
        </w:rPr>
        <w:t>zeigt Bruder-</w:t>
      </w:r>
      <w:r w:rsidRPr="00CC6F7E">
        <w:rPr>
          <w:rFonts w:eastAsia="Times New Roman" w:cs="Times New Roman"/>
          <w:b/>
          <w:bCs/>
          <w:rtl/>
          <w:lang w:eastAsia="de-DE"/>
        </w:rPr>
        <w:t>גאל</w:t>
      </w:r>
      <w:r w:rsidRPr="00CC6F7E">
        <w:rPr>
          <w:rFonts w:eastAsia="Times New Roman" w:cs="Times New Roman"/>
          <w:lang w:eastAsia="de-DE"/>
        </w:rPr>
        <w:t>-Verpflichtung auch bei Fremdherren.</w:t>
      </w:r>
    </w:p>
    <w:p w14:paraId="653FB32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אחרי נמכר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w:t>
      </w:r>
      <w:proofErr w:type="spellEnd"/>
      <w:r w:rsidRPr="00CC6F7E">
        <w:rPr>
          <w:rFonts w:eastAsia="Times New Roman" w:cs="Times New Roman"/>
          <w:lang w:eastAsia="de-DE"/>
        </w:rPr>
        <w:t xml:space="preserve"> πρα</w:t>
      </w:r>
      <w:proofErr w:type="spellStart"/>
      <w:r w:rsidRPr="00CC6F7E">
        <w:rPr>
          <w:rFonts w:eastAsia="Times New Roman" w:cs="Times New Roman"/>
          <w:lang w:eastAsia="de-DE"/>
        </w:rPr>
        <w:t>θῆν</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ὐτόν</w:t>
      </w:r>
      <w:proofErr w:type="spellEnd"/>
      <w:r w:rsidRPr="00CC6F7E">
        <w:rPr>
          <w:rFonts w:eastAsia="Times New Roman" w:cs="Times New Roman"/>
          <w:lang w:eastAsia="de-DE"/>
        </w:rPr>
        <w:t xml:space="preserve"> (nachdem er verkauft wurde), </w:t>
      </w:r>
      <w:r w:rsidRPr="00CC6F7E">
        <w:rPr>
          <w:rFonts w:eastAsia="Times New Roman" w:cs="Times New Roman"/>
          <w:b/>
          <w:bCs/>
          <w:rtl/>
          <w:lang w:eastAsia="de-DE"/>
        </w:rPr>
        <w:t>גאלה תהיה־לו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λύτρωσις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ἔστ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(Lösung wird ihm sein) und </w:t>
      </w:r>
      <w:r w:rsidRPr="00CC6F7E">
        <w:rPr>
          <w:rFonts w:eastAsia="Times New Roman" w:cs="Times New Roman"/>
          <w:b/>
          <w:bCs/>
          <w:rtl/>
          <w:lang w:eastAsia="de-DE"/>
        </w:rPr>
        <w:t>אחד מאחיו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εἷς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ἀδελφῶν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(einer seiner Brüder).</w:t>
      </w:r>
    </w:p>
    <w:p w14:paraId="57C84F0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Fremden-Verkauf-</w:t>
      </w:r>
      <w:r w:rsidRPr="00CC6F7E">
        <w:rPr>
          <w:rFonts w:eastAsia="Times New Roman" w:cs="Times New Roman"/>
          <w:b/>
          <w:bCs/>
          <w:rtl/>
          <w:lang w:eastAsia="de-DE"/>
        </w:rPr>
        <w:t>גאלה</w:t>
      </w:r>
      <w:r w:rsidRPr="00CC6F7E">
        <w:rPr>
          <w:rFonts w:eastAsia="Times New Roman" w:cs="Times New Roman"/>
          <w:lang w:eastAsia="de-DE"/>
        </w:rPr>
        <w:t>: nach vollzogenem Verkauf + Einlösungsrecht für ihn + Bruder-Einlösungspflicht.</w:t>
      </w:r>
    </w:p>
    <w:p w14:paraId="3A8DCA4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gewährleistet das </w:t>
      </w:r>
      <w:r w:rsidRPr="00CC6F7E">
        <w:rPr>
          <w:rFonts w:eastAsia="Times New Roman" w:cs="Times New Roman"/>
          <w:b/>
          <w:bCs/>
          <w:rtl/>
          <w:lang w:eastAsia="de-DE"/>
        </w:rPr>
        <w:t>גאלה</w:t>
      </w:r>
      <w:r w:rsidRPr="00CC6F7E">
        <w:rPr>
          <w:rFonts w:eastAsia="Times New Roman" w:cs="Times New Roman"/>
          <w:lang w:eastAsia="de-DE"/>
        </w:rPr>
        <w:t>-Recht auch bei Verkauf an Fremde durch verwandtschaftliche Einlösung.</w:t>
      </w:r>
    </w:p>
    <w:p w14:paraId="6C95680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25,49</w:t>
      </w:r>
    </w:p>
    <w:p w14:paraId="3AC569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אוֹ־דֹדוֹ֞ א֤וֹ בֶן־דֹּדוֹ֙ יִגְאָלֶ֔נּוּ אֽוֹ־מִשְּׁאֵ֧ר בְּשָׂרוֹ֛ מִמִּשְׁפַּחְתּוֹ֖ יִגְאָלֶ֑נּוּ אֽוֹ־הִשִּׂ֥יגָה יָדוֹ֖ וְנִגְאָֽל׃</w:t>
      </w:r>
    </w:p>
    <w:p w14:paraId="427D93B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Entweder soll sein Onkel oder der Sohn seines Onkels ihn einlösen, oder einer seiner nächsten Blutsverwandten aus seiner Familie soll ihn einlösen; oder wenn seine Hand Vermögen erlangt, so soll er sich selbst einlösen.</w:t>
      </w:r>
    </w:p>
    <w:p w14:paraId="6698E5E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8513B8B">
          <v:rect id="_x0000_i1797" style="width:0;height:1.5pt" o:hralign="center" o:hrstd="t" o:hr="t" fillcolor="#a0a0a0" stroked="f"/>
        </w:pict>
      </w:r>
    </w:p>
    <w:p w14:paraId="12B832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או־דדו או בן־דדו יגאלנו או־משאר בשרו ממשפחתו יגאלנו או־השיגה ידו ונגאל</w:t>
      </w:r>
      <w:r w:rsidRPr="00CC6F7E">
        <w:rPr>
          <w:rFonts w:eastAsia="Times New Roman" w:cs="Times New Roman"/>
          <w:rtl/>
          <w:lang w:eastAsia="de-DE"/>
        </w:rPr>
        <w:t xml:space="preserve"> </w:t>
      </w:r>
      <w:r w:rsidRPr="00CC6F7E">
        <w:rPr>
          <w:rFonts w:eastAsia="Times New Roman" w:cs="Times New Roman"/>
          <w:lang w:eastAsia="de-DE"/>
        </w:rPr>
        <w:t xml:space="preserve">erweitert die </w:t>
      </w:r>
      <w:r w:rsidRPr="00CC6F7E">
        <w:rPr>
          <w:rFonts w:eastAsia="Times New Roman" w:cs="Times New Roman"/>
          <w:b/>
          <w:bCs/>
          <w:rtl/>
          <w:lang w:eastAsia="de-DE"/>
        </w:rPr>
        <w:t>גאל</w:t>
      </w:r>
      <w:r w:rsidRPr="00CC6F7E">
        <w:rPr>
          <w:rFonts w:eastAsia="Times New Roman" w:cs="Times New Roman"/>
          <w:lang w:eastAsia="de-DE"/>
        </w:rPr>
        <w:t xml:space="preserve">-Berechtigung systematisch. Der Vers zeigt vier </w:t>
      </w:r>
      <w:r w:rsidRPr="00CC6F7E">
        <w:rPr>
          <w:rFonts w:eastAsia="Times New Roman" w:cs="Times New Roman"/>
          <w:b/>
          <w:bCs/>
          <w:rtl/>
          <w:lang w:eastAsia="de-DE"/>
        </w:rPr>
        <w:t>גאלה</w:t>
      </w:r>
      <w:r w:rsidRPr="00CC6F7E">
        <w:rPr>
          <w:rFonts w:eastAsia="Times New Roman" w:cs="Times New Roman"/>
          <w:lang w:eastAsia="de-DE"/>
        </w:rPr>
        <w:t>-Möglichkeiten:</w:t>
      </w:r>
    </w:p>
    <w:p w14:paraId="3F8277B5" w14:textId="77777777" w:rsidR="00CC6F7E" w:rsidRPr="00CC6F7E" w:rsidRDefault="00CC6F7E" w:rsidP="00CC6F7E">
      <w:pPr>
        <w:numPr>
          <w:ilvl w:val="0"/>
          <w:numId w:val="3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או־דדו</w:t>
      </w:r>
      <w:r w:rsidRPr="00CC6F7E">
        <w:rPr>
          <w:rFonts w:eastAsia="Times New Roman" w:cs="Times New Roman"/>
          <w:rtl/>
          <w:lang w:eastAsia="de-DE"/>
        </w:rPr>
        <w:t xml:space="preserve"> </w:t>
      </w:r>
      <w:r w:rsidRPr="00CC6F7E">
        <w:rPr>
          <w:rFonts w:eastAsia="Times New Roman" w:cs="Times New Roman"/>
          <w:lang w:eastAsia="de-DE"/>
        </w:rPr>
        <w:t xml:space="preserve">(oder sein Onkel) - </w:t>
      </w:r>
      <w:r w:rsidRPr="00CC6F7E">
        <w:rPr>
          <w:rFonts w:eastAsia="Times New Roman" w:cs="Times New Roman"/>
          <w:b/>
          <w:bCs/>
          <w:rtl/>
          <w:lang w:eastAsia="de-DE"/>
        </w:rPr>
        <w:t>דד</w:t>
      </w:r>
      <w:r w:rsidRPr="00CC6F7E">
        <w:rPr>
          <w:rFonts w:eastAsia="Times New Roman" w:cs="Times New Roman"/>
          <w:rtl/>
          <w:lang w:eastAsia="de-DE"/>
        </w:rPr>
        <w:t xml:space="preserve"> </w:t>
      </w:r>
      <w:r w:rsidRPr="00CC6F7E">
        <w:rPr>
          <w:rFonts w:eastAsia="Times New Roman" w:cs="Times New Roman"/>
          <w:lang w:eastAsia="de-DE"/>
        </w:rPr>
        <w:t>(Onkel) zeigt väterliche Verwandtschaft</w:t>
      </w:r>
    </w:p>
    <w:p w14:paraId="0B37374B" w14:textId="77777777" w:rsidR="00CC6F7E" w:rsidRPr="00CC6F7E" w:rsidRDefault="00CC6F7E" w:rsidP="00CC6F7E">
      <w:pPr>
        <w:numPr>
          <w:ilvl w:val="0"/>
          <w:numId w:val="3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 בן־דדו יגאלנו</w:t>
      </w:r>
      <w:r w:rsidRPr="00CC6F7E">
        <w:rPr>
          <w:rFonts w:eastAsia="Times New Roman" w:cs="Times New Roman"/>
          <w:rtl/>
          <w:lang w:eastAsia="de-DE"/>
        </w:rPr>
        <w:t xml:space="preserve"> </w:t>
      </w:r>
      <w:r w:rsidRPr="00CC6F7E">
        <w:rPr>
          <w:rFonts w:eastAsia="Times New Roman" w:cs="Times New Roman"/>
          <w:lang w:eastAsia="de-DE"/>
        </w:rPr>
        <w:t xml:space="preserve">(oder der Sohn seines Onkels soll ihn einlösen) - </w:t>
      </w:r>
      <w:r w:rsidRPr="00CC6F7E">
        <w:rPr>
          <w:rFonts w:eastAsia="Times New Roman" w:cs="Times New Roman"/>
          <w:b/>
          <w:bCs/>
          <w:rtl/>
          <w:lang w:eastAsia="de-DE"/>
        </w:rPr>
        <w:t>בן־דדו</w:t>
      </w:r>
      <w:r w:rsidRPr="00CC6F7E">
        <w:rPr>
          <w:rFonts w:eastAsia="Times New Roman" w:cs="Times New Roman"/>
          <w:rtl/>
          <w:lang w:eastAsia="de-DE"/>
        </w:rPr>
        <w:t xml:space="preserve"> </w:t>
      </w:r>
      <w:r w:rsidRPr="00CC6F7E">
        <w:rPr>
          <w:rFonts w:eastAsia="Times New Roman" w:cs="Times New Roman"/>
          <w:lang w:eastAsia="de-DE"/>
        </w:rPr>
        <w:t>(Sohn seines Onkels/Cousin) erweitert auf die nächste Generation</w:t>
      </w:r>
    </w:p>
    <w:p w14:paraId="6050F83C" w14:textId="77777777" w:rsidR="00CC6F7E" w:rsidRPr="00CC6F7E" w:rsidRDefault="00CC6F7E" w:rsidP="00CC6F7E">
      <w:pPr>
        <w:numPr>
          <w:ilvl w:val="0"/>
          <w:numId w:val="3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או־משאר בשרו ממשפחתו יגאלנו</w:t>
      </w:r>
      <w:r w:rsidRPr="00CC6F7E">
        <w:rPr>
          <w:rFonts w:eastAsia="Times New Roman" w:cs="Times New Roman"/>
          <w:rtl/>
          <w:lang w:eastAsia="de-DE"/>
        </w:rPr>
        <w:t xml:space="preserve"> </w:t>
      </w:r>
      <w:r w:rsidRPr="00CC6F7E">
        <w:rPr>
          <w:rFonts w:eastAsia="Times New Roman" w:cs="Times New Roman"/>
          <w:lang w:eastAsia="de-DE"/>
        </w:rPr>
        <w:t xml:space="preserve">(oder einer seiner nächsten Blutsverwandten aus seiner Familie soll ihn einlösen) - </w:t>
      </w:r>
      <w:r w:rsidRPr="00CC6F7E">
        <w:rPr>
          <w:rFonts w:eastAsia="Times New Roman" w:cs="Times New Roman"/>
          <w:b/>
          <w:bCs/>
          <w:rtl/>
          <w:lang w:eastAsia="de-DE"/>
        </w:rPr>
        <w:t>משאר בשרו</w:t>
      </w:r>
      <w:r w:rsidRPr="00CC6F7E">
        <w:rPr>
          <w:rFonts w:eastAsia="Times New Roman" w:cs="Times New Roman"/>
          <w:rtl/>
          <w:lang w:eastAsia="de-DE"/>
        </w:rPr>
        <w:t xml:space="preserve"> </w:t>
      </w:r>
      <w:r w:rsidRPr="00CC6F7E">
        <w:rPr>
          <w:rFonts w:eastAsia="Times New Roman" w:cs="Times New Roman"/>
          <w:lang w:eastAsia="de-DE"/>
        </w:rPr>
        <w:t xml:space="preserve">(von seinem Fleischesrest) zeigt Blutsverwandtschaft. </w:t>
      </w:r>
      <w:r w:rsidRPr="00CC6F7E">
        <w:rPr>
          <w:rFonts w:eastAsia="Times New Roman" w:cs="Times New Roman"/>
          <w:b/>
          <w:bCs/>
          <w:rtl/>
          <w:lang w:eastAsia="de-DE"/>
        </w:rPr>
        <w:t>ממשפחתו</w:t>
      </w:r>
      <w:r w:rsidRPr="00CC6F7E">
        <w:rPr>
          <w:rFonts w:eastAsia="Times New Roman" w:cs="Times New Roman"/>
          <w:rtl/>
          <w:lang w:eastAsia="de-DE"/>
        </w:rPr>
        <w:t xml:space="preserve"> </w:t>
      </w:r>
      <w:r w:rsidRPr="00CC6F7E">
        <w:rPr>
          <w:rFonts w:eastAsia="Times New Roman" w:cs="Times New Roman"/>
          <w:lang w:eastAsia="de-DE"/>
        </w:rPr>
        <w:t>(aus seiner Familie) zeigt Familienzugehörigkeit</w:t>
      </w:r>
    </w:p>
    <w:p w14:paraId="1D4FF449" w14:textId="77777777" w:rsidR="00CC6F7E" w:rsidRPr="00CC6F7E" w:rsidRDefault="00CC6F7E" w:rsidP="00CC6F7E">
      <w:pPr>
        <w:numPr>
          <w:ilvl w:val="0"/>
          <w:numId w:val="32"/>
        </w:num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או־השיגה ידו ונגאל</w:t>
      </w:r>
      <w:r w:rsidRPr="00CC6F7E">
        <w:rPr>
          <w:rFonts w:eastAsia="Times New Roman" w:cs="Times New Roman"/>
          <w:rtl/>
          <w:lang w:eastAsia="de-DE"/>
        </w:rPr>
        <w:t xml:space="preserve"> </w:t>
      </w:r>
      <w:r w:rsidRPr="00CC6F7E">
        <w:rPr>
          <w:rFonts w:eastAsia="Times New Roman" w:cs="Times New Roman"/>
          <w:lang w:eastAsia="de-DE"/>
        </w:rPr>
        <w:t>(oder wenn seine Hand Vermögen erlangt, so soll er sich selbst einlösen) entspricht V. 26 und zeigt Selbsteinlösung</w:t>
      </w:r>
    </w:p>
    <w:p w14:paraId="1F5B49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דדו...בן־דדו</w:t>
      </w:r>
      <w:r w:rsidRPr="00CC6F7E">
        <w:rPr>
          <w:rFonts w:eastAsia="Times New Roman" w:cs="Times New Roman"/>
          <w:rtl/>
          <w:lang w:eastAsia="de-DE"/>
        </w:rPr>
        <w:t xml:space="preserve"> </w:t>
      </w:r>
      <w:r w:rsidRPr="00CC6F7E">
        <w:rPr>
          <w:rFonts w:eastAsia="Times New Roman" w:cs="Times New Roman"/>
          <w:lang w:eastAsia="de-DE"/>
        </w:rPr>
        <w:t xml:space="preserve">zeigt erweiterte Verwandtschaftskreise. </w:t>
      </w:r>
      <w:r w:rsidRPr="00CC6F7E">
        <w:rPr>
          <w:rFonts w:eastAsia="Times New Roman" w:cs="Times New Roman"/>
          <w:b/>
          <w:bCs/>
          <w:rtl/>
          <w:lang w:eastAsia="de-DE"/>
        </w:rPr>
        <w:t>משאר בשרו</w:t>
      </w:r>
      <w:r w:rsidRPr="00CC6F7E">
        <w:rPr>
          <w:rFonts w:eastAsia="Times New Roman" w:cs="Times New Roman"/>
          <w:rtl/>
          <w:lang w:eastAsia="de-DE"/>
        </w:rPr>
        <w:t xml:space="preserve"> </w:t>
      </w:r>
      <w:r w:rsidRPr="00CC6F7E">
        <w:rPr>
          <w:rFonts w:eastAsia="Times New Roman" w:cs="Times New Roman"/>
          <w:lang w:eastAsia="de-DE"/>
        </w:rPr>
        <w:t xml:space="preserve">zeigt Blutsverwandtschaft als </w:t>
      </w:r>
      <w:r w:rsidRPr="00CC6F7E">
        <w:rPr>
          <w:rFonts w:eastAsia="Times New Roman" w:cs="Times New Roman"/>
          <w:b/>
          <w:bCs/>
          <w:rtl/>
          <w:lang w:eastAsia="de-DE"/>
        </w:rPr>
        <w:t>גאל</w:t>
      </w:r>
      <w:r w:rsidRPr="00CC6F7E">
        <w:rPr>
          <w:rFonts w:eastAsia="Times New Roman" w:cs="Times New Roman"/>
          <w:lang w:eastAsia="de-DE"/>
        </w:rPr>
        <w:t xml:space="preserve">-Grundlage. </w:t>
      </w:r>
      <w:r w:rsidRPr="00CC6F7E">
        <w:rPr>
          <w:rFonts w:eastAsia="Times New Roman" w:cs="Times New Roman"/>
          <w:b/>
          <w:bCs/>
          <w:rtl/>
          <w:lang w:eastAsia="de-DE"/>
        </w:rPr>
        <w:t>השיגה ידו ונגאל</w:t>
      </w:r>
      <w:r w:rsidRPr="00CC6F7E">
        <w:rPr>
          <w:rFonts w:eastAsia="Times New Roman" w:cs="Times New Roman"/>
          <w:rtl/>
          <w:lang w:eastAsia="de-DE"/>
        </w:rPr>
        <w:t xml:space="preserve"> </w:t>
      </w:r>
      <w:r w:rsidRPr="00CC6F7E">
        <w:rPr>
          <w:rFonts w:eastAsia="Times New Roman" w:cs="Times New Roman"/>
          <w:lang w:eastAsia="de-DE"/>
        </w:rPr>
        <w:t>zeigt Selbsteinlösung als ultima ratio.</w:t>
      </w:r>
    </w:p>
    <w:p w14:paraId="0C2DB014" w14:textId="53105BB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דדו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ἀδελφὸς</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τρός</w:t>
      </w:r>
      <w:proofErr w:type="spellEnd"/>
      <w:r w:rsidRPr="00CC6F7E">
        <w:rPr>
          <w:rFonts w:eastAsia="Times New Roman" w:cs="Times New Roman"/>
          <w:lang w:eastAsia="de-DE"/>
        </w:rPr>
        <w:t xml:space="preserve"> (Bruder des Vaters), </w:t>
      </w:r>
      <w:r w:rsidRPr="00CC6F7E">
        <w:rPr>
          <w:rFonts w:eastAsia="Times New Roman" w:cs="Times New Roman"/>
          <w:b/>
          <w:bCs/>
          <w:rtl/>
          <w:lang w:eastAsia="de-DE"/>
        </w:rPr>
        <w:t>בן־דדו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υἱὸς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ἀδελφοῦ</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τρός</w:t>
      </w:r>
      <w:proofErr w:type="spellEnd"/>
      <w:r w:rsidRPr="00CC6F7E">
        <w:rPr>
          <w:rFonts w:eastAsia="Times New Roman" w:cs="Times New Roman"/>
          <w:lang w:eastAsia="de-DE"/>
        </w:rPr>
        <w:t xml:space="preserve"> (Sohn des Brudervaters), </w:t>
      </w:r>
      <w:r w:rsidRPr="00CC6F7E">
        <w:rPr>
          <w:rFonts w:eastAsia="Times New Roman" w:cs="Times New Roman"/>
          <w:b/>
          <w:bCs/>
          <w:rtl/>
          <w:lang w:eastAsia="de-DE"/>
        </w:rPr>
        <w:t>משאר בשרו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οἰκεῖος</w:t>
      </w:r>
      <w:proofErr w:type="spellEnd"/>
      <w:r w:rsidRPr="00CC6F7E">
        <w:rPr>
          <w:rFonts w:eastAsia="Times New Roman" w:cs="Times New Roman"/>
          <w:lang w:eastAsia="de-DE"/>
        </w:rPr>
        <w:t xml:space="preserve"> σα</w:t>
      </w:r>
      <w:proofErr w:type="spellStart"/>
      <w:r w:rsidRPr="00CC6F7E">
        <w:rPr>
          <w:rFonts w:eastAsia="Times New Roman" w:cs="Times New Roman"/>
          <w:lang w:eastAsia="de-DE"/>
        </w:rPr>
        <w:t>ρκὸς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(Verwandter seines Fleisches) und </w:t>
      </w:r>
      <w:r w:rsidRPr="00CC6F7E">
        <w:rPr>
          <w:rFonts w:eastAsia="Times New Roman" w:cs="Times New Roman"/>
          <w:b/>
          <w:bCs/>
          <w:rtl/>
          <w:lang w:eastAsia="de-DE"/>
        </w:rPr>
        <w:t>השיגה ידו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εὐ</w:t>
      </w:r>
      <w:proofErr w:type="spellEnd"/>
      <w:r w:rsidRPr="00CC6F7E">
        <w:rPr>
          <w:rFonts w:eastAsia="Times New Roman" w:cs="Times New Roman"/>
          <w:lang w:eastAsia="de-DE"/>
        </w:rPr>
        <w:t xml:space="preserve">πορηθῇ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χειρί</w:t>
      </w:r>
      <w:proofErr w:type="spellEnd"/>
      <w:r w:rsidRPr="00CC6F7E">
        <w:rPr>
          <w:rFonts w:eastAsia="Times New Roman" w:cs="Times New Roman"/>
          <w:lang w:eastAsia="de-DE"/>
        </w:rPr>
        <w:t xml:space="preserve"> (wohlhabend wird mit der Hand).</w:t>
      </w:r>
    </w:p>
    <w:p w14:paraId="4FC8AE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w:t>
      </w:r>
      <w:r w:rsidRPr="00CC6F7E">
        <w:rPr>
          <w:rFonts w:eastAsia="Times New Roman" w:cs="Times New Roman"/>
          <w:b/>
          <w:bCs/>
          <w:rtl/>
          <w:lang w:eastAsia="de-DE"/>
        </w:rPr>
        <w:t>גאל</w:t>
      </w:r>
      <w:r w:rsidRPr="00CC6F7E">
        <w:rPr>
          <w:rFonts w:eastAsia="Times New Roman" w:cs="Times New Roman"/>
          <w:lang w:eastAsia="de-DE"/>
        </w:rPr>
        <w:t>-Hierarchie: Onkel + Cousin + Blutsverwandter aus Familie + Selbsteinlösung bei Vermögen.</w:t>
      </w:r>
    </w:p>
    <w:p w14:paraId="60D5B0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die </w:t>
      </w:r>
      <w:r w:rsidRPr="00CC6F7E">
        <w:rPr>
          <w:rFonts w:eastAsia="Times New Roman" w:cs="Times New Roman"/>
          <w:b/>
          <w:bCs/>
          <w:rtl/>
          <w:lang w:eastAsia="de-DE"/>
        </w:rPr>
        <w:t>גאל</w:t>
      </w:r>
      <w:r w:rsidRPr="00CC6F7E">
        <w:rPr>
          <w:rFonts w:eastAsia="Times New Roman" w:cs="Times New Roman"/>
          <w:lang w:eastAsia="de-DE"/>
        </w:rPr>
        <w:t>-Hierarchie: von nahen Verwandten über entferntere Blutsverwandte bis zur Selbsteinlösung.</w:t>
      </w:r>
    </w:p>
    <w:p w14:paraId="00E6B71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25,50</w:t>
      </w:r>
    </w:p>
    <w:p w14:paraId="2E0B68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וְחִשַּׁב֙ עִם־קֹנֵ֔הוּ מִשְּׁנַת֙ הִמָּ֣כְרֹו לוֹ֔ עַ֖ד שְׁנַ֣ת הַיֹּבֵ֑ל וְהָיָ֞ה כֶּ֤סֶף מִמְכָּרוֹ֙ בְּמִסְפַּ֣ר שָׁנִ֔ים כִּימֵ֥י שָׂכִ֖יר יִהְיֶ֥ה עִמּוֹ׃</w:t>
      </w:r>
    </w:p>
    <w:p w14:paraId="06BE04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er soll mit seinem Käufer rechnen von dem Jahr an, da er sich ihm verkauft hat, bis zum Jobeljahr; und der Kaufpreis seines Verkaufs soll der Zahl der Jahre entsprechend sein; wie die Tage eines Tagelöhners soll er bei ihm sein.</w:t>
      </w:r>
    </w:p>
    <w:p w14:paraId="42ACB4E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F661E62">
          <v:rect id="_x0000_i1798" style="width:0;height:1.5pt" o:hralign="center" o:hrstd="t" o:hr="t" fillcolor="#a0a0a0" stroked="f"/>
        </w:pict>
      </w:r>
    </w:p>
    <w:p w14:paraId="76A4E0E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וחשב עם־קנהו משנת המכרו לו עד שנת היבל והיה כסף ממכרו במספר שנים כימי שכיר יהיה עמו</w:t>
      </w:r>
      <w:r w:rsidRPr="00CC6F7E">
        <w:rPr>
          <w:rFonts w:eastAsia="Times New Roman" w:cs="Times New Roman"/>
          <w:rtl/>
          <w:lang w:eastAsia="de-DE"/>
        </w:rPr>
        <w:t xml:space="preserve"> </w:t>
      </w:r>
      <w:r w:rsidRPr="00CC6F7E">
        <w:rPr>
          <w:rFonts w:eastAsia="Times New Roman" w:cs="Times New Roman"/>
          <w:lang w:eastAsia="de-DE"/>
        </w:rPr>
        <w:t xml:space="preserve">zeigt die Berechnungsgrundlage für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 xml:space="preserve">bei Fremdherren. </w:t>
      </w:r>
      <w:r w:rsidRPr="00CC6F7E">
        <w:rPr>
          <w:rFonts w:eastAsia="Times New Roman" w:cs="Times New Roman"/>
          <w:b/>
          <w:bCs/>
          <w:rtl/>
          <w:lang w:eastAsia="de-DE"/>
        </w:rPr>
        <w:t>וחשב עם־קנהו משנת המכרו לו עד שנת היבל</w:t>
      </w:r>
      <w:r w:rsidRPr="00CC6F7E">
        <w:rPr>
          <w:rFonts w:eastAsia="Times New Roman" w:cs="Times New Roman"/>
          <w:rtl/>
          <w:lang w:eastAsia="de-DE"/>
        </w:rPr>
        <w:t xml:space="preserve"> </w:t>
      </w:r>
      <w:r w:rsidRPr="00CC6F7E">
        <w:rPr>
          <w:rFonts w:eastAsia="Times New Roman" w:cs="Times New Roman"/>
          <w:lang w:eastAsia="de-DE"/>
        </w:rPr>
        <w:t>(und er soll mit seinem Käufer rechnen von dem Jahr an, da er sich ihm verkauft hat, bis zum Jobeljahr) entspricht V. 27 und zeigt Zeitberechnung vom Verkauf bis zum Jobel.</w:t>
      </w:r>
    </w:p>
    <w:p w14:paraId="2E545A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כסף ממכרו במספר שנים</w:t>
      </w:r>
      <w:r w:rsidRPr="00CC6F7E">
        <w:rPr>
          <w:rFonts w:eastAsia="Times New Roman" w:cs="Times New Roman"/>
          <w:rtl/>
          <w:lang w:eastAsia="de-DE"/>
        </w:rPr>
        <w:t xml:space="preserve"> </w:t>
      </w:r>
      <w:r w:rsidRPr="00CC6F7E">
        <w:rPr>
          <w:rFonts w:eastAsia="Times New Roman" w:cs="Times New Roman"/>
          <w:lang w:eastAsia="de-DE"/>
        </w:rPr>
        <w:t xml:space="preserve">(und der Kaufpreis seines Verkaufs soll der Zahl der Jahre entsprechend sein) - </w:t>
      </w:r>
      <w:r w:rsidRPr="00CC6F7E">
        <w:rPr>
          <w:rFonts w:eastAsia="Times New Roman" w:cs="Times New Roman"/>
          <w:b/>
          <w:bCs/>
          <w:rtl/>
          <w:lang w:eastAsia="de-DE"/>
        </w:rPr>
        <w:t>כסף ממכרו</w:t>
      </w:r>
      <w:r w:rsidRPr="00CC6F7E">
        <w:rPr>
          <w:rFonts w:eastAsia="Times New Roman" w:cs="Times New Roman"/>
          <w:rtl/>
          <w:lang w:eastAsia="de-DE"/>
        </w:rPr>
        <w:t xml:space="preserve"> </w:t>
      </w:r>
      <w:r w:rsidRPr="00CC6F7E">
        <w:rPr>
          <w:rFonts w:eastAsia="Times New Roman" w:cs="Times New Roman"/>
          <w:lang w:eastAsia="de-DE"/>
        </w:rPr>
        <w:t xml:space="preserve">(Geld seines Verkaufs) zeigt den ursprünglichen Kaufpreis. </w:t>
      </w:r>
      <w:r w:rsidRPr="00CC6F7E">
        <w:rPr>
          <w:rFonts w:eastAsia="Times New Roman" w:cs="Times New Roman"/>
          <w:b/>
          <w:bCs/>
          <w:rtl/>
          <w:lang w:eastAsia="de-DE"/>
        </w:rPr>
        <w:t>במספר שנים</w:t>
      </w:r>
      <w:r w:rsidRPr="00CC6F7E">
        <w:rPr>
          <w:rFonts w:eastAsia="Times New Roman" w:cs="Times New Roman"/>
          <w:rtl/>
          <w:lang w:eastAsia="de-DE"/>
        </w:rPr>
        <w:t xml:space="preserve"> </w:t>
      </w:r>
      <w:r w:rsidRPr="00CC6F7E">
        <w:rPr>
          <w:rFonts w:eastAsia="Times New Roman" w:cs="Times New Roman"/>
          <w:lang w:eastAsia="de-DE"/>
        </w:rPr>
        <w:t>(entsprechend der Zahl der Jahre) zeigt proportionale Berechnung.</w:t>
      </w:r>
    </w:p>
    <w:p w14:paraId="751737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כימי שכיר יהיה עמו</w:t>
      </w:r>
      <w:r w:rsidRPr="00CC6F7E">
        <w:rPr>
          <w:rFonts w:eastAsia="Times New Roman" w:cs="Times New Roman"/>
          <w:rtl/>
          <w:lang w:eastAsia="de-DE"/>
        </w:rPr>
        <w:t xml:space="preserve"> </w:t>
      </w:r>
      <w:r w:rsidRPr="00CC6F7E">
        <w:rPr>
          <w:rFonts w:eastAsia="Times New Roman" w:cs="Times New Roman"/>
          <w:lang w:eastAsia="de-DE"/>
        </w:rPr>
        <w:t xml:space="preserve">(wie die Tage eines Tagelöhners soll er bei ihm sein) - </w:t>
      </w:r>
      <w:r w:rsidRPr="00CC6F7E">
        <w:rPr>
          <w:rFonts w:eastAsia="Times New Roman" w:cs="Times New Roman"/>
          <w:b/>
          <w:bCs/>
          <w:rtl/>
          <w:lang w:eastAsia="de-DE"/>
        </w:rPr>
        <w:t>כימי שכיר</w:t>
      </w:r>
      <w:r w:rsidRPr="00CC6F7E">
        <w:rPr>
          <w:rFonts w:eastAsia="Times New Roman" w:cs="Times New Roman"/>
          <w:rtl/>
          <w:lang w:eastAsia="de-DE"/>
        </w:rPr>
        <w:t xml:space="preserve"> </w:t>
      </w:r>
      <w:r w:rsidRPr="00CC6F7E">
        <w:rPr>
          <w:rFonts w:eastAsia="Times New Roman" w:cs="Times New Roman"/>
          <w:lang w:eastAsia="de-DE"/>
        </w:rPr>
        <w:t xml:space="preserve">(wie Tage eines Tagelöhners) zeigt die Bewertungsgrundlage: Lohntagewerk statt Sklavenarbeit. </w:t>
      </w:r>
      <w:r w:rsidRPr="00CC6F7E">
        <w:rPr>
          <w:rFonts w:eastAsia="Times New Roman" w:cs="Times New Roman"/>
          <w:b/>
          <w:bCs/>
          <w:rtl/>
          <w:lang w:eastAsia="de-DE"/>
        </w:rPr>
        <w:t>יהיה עמו</w:t>
      </w:r>
      <w:r w:rsidRPr="00CC6F7E">
        <w:rPr>
          <w:rFonts w:eastAsia="Times New Roman" w:cs="Times New Roman"/>
          <w:rtl/>
          <w:lang w:eastAsia="de-DE"/>
        </w:rPr>
        <w:t xml:space="preserve"> </w:t>
      </w:r>
      <w:r w:rsidRPr="00CC6F7E">
        <w:rPr>
          <w:rFonts w:eastAsia="Times New Roman" w:cs="Times New Roman"/>
          <w:lang w:eastAsia="de-DE"/>
        </w:rPr>
        <w:t>entspricht V. 40.</w:t>
      </w:r>
    </w:p>
    <w:p w14:paraId="16C3575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וחשב עם־קנהו</w:t>
      </w:r>
      <w:r w:rsidRPr="00CC6F7E">
        <w:rPr>
          <w:rFonts w:eastAsia="Times New Roman" w:cs="Times New Roman"/>
          <w:rtl/>
          <w:lang w:eastAsia="de-DE"/>
        </w:rPr>
        <w:t xml:space="preserve"> </w:t>
      </w:r>
      <w:r w:rsidRPr="00CC6F7E">
        <w:rPr>
          <w:rFonts w:eastAsia="Times New Roman" w:cs="Times New Roman"/>
          <w:lang w:eastAsia="de-DE"/>
        </w:rPr>
        <w:t xml:space="preserve">zeigt gemeinsame Berechnung zwischen Verkäufer/Familie und Käufer. </w:t>
      </w:r>
      <w:r w:rsidRPr="00CC6F7E">
        <w:rPr>
          <w:rFonts w:eastAsia="Times New Roman" w:cs="Times New Roman"/>
          <w:b/>
          <w:bCs/>
          <w:rtl/>
          <w:lang w:eastAsia="de-DE"/>
        </w:rPr>
        <w:t>במספר שנים</w:t>
      </w:r>
      <w:r w:rsidRPr="00CC6F7E">
        <w:rPr>
          <w:rFonts w:eastAsia="Times New Roman" w:cs="Times New Roman"/>
          <w:rtl/>
          <w:lang w:eastAsia="de-DE"/>
        </w:rPr>
        <w:t xml:space="preserve"> </w:t>
      </w:r>
      <w:r w:rsidRPr="00CC6F7E">
        <w:rPr>
          <w:rFonts w:eastAsia="Times New Roman" w:cs="Times New Roman"/>
          <w:lang w:eastAsia="de-DE"/>
        </w:rPr>
        <w:t xml:space="preserve">zeigt proportionale Zeitberechnung. </w:t>
      </w:r>
      <w:r w:rsidRPr="00CC6F7E">
        <w:rPr>
          <w:rFonts w:eastAsia="Times New Roman" w:cs="Times New Roman"/>
          <w:b/>
          <w:bCs/>
          <w:rtl/>
          <w:lang w:eastAsia="de-DE"/>
        </w:rPr>
        <w:t>כימי שכיר</w:t>
      </w:r>
      <w:r w:rsidRPr="00CC6F7E">
        <w:rPr>
          <w:rFonts w:eastAsia="Times New Roman" w:cs="Times New Roman"/>
          <w:rtl/>
          <w:lang w:eastAsia="de-DE"/>
        </w:rPr>
        <w:t xml:space="preserve"> </w:t>
      </w:r>
      <w:r w:rsidRPr="00CC6F7E">
        <w:rPr>
          <w:rFonts w:eastAsia="Times New Roman" w:cs="Times New Roman"/>
          <w:lang w:eastAsia="de-DE"/>
        </w:rPr>
        <w:t>zeigt Tagelöhner-Bewertung statt Sklavenwert.</w:t>
      </w:r>
    </w:p>
    <w:p w14:paraId="5EFA3EE7" w14:textId="42FC72DA"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9104A2">
        <w:t xml:space="preserve">präzisiert die Berechnung: </w:t>
      </w:r>
      <w:proofErr w:type="spellStart"/>
      <w:r w:rsidR="009104A2">
        <w:t>κίμεί</w:t>
      </w:r>
      <w:proofErr w:type="spellEnd"/>
      <w:r w:rsidR="009104A2">
        <w:t xml:space="preserve"> </w:t>
      </w:r>
      <w:r w:rsidR="009104A2">
        <w:rPr>
          <w:rtl/>
        </w:rPr>
        <w:t>שכיר</w:t>
      </w:r>
      <w:r w:rsidR="009104A2">
        <w:t xml:space="preserve"> (</w:t>
      </w:r>
      <w:proofErr w:type="spellStart"/>
      <w:r w:rsidR="009104A2">
        <w:t>kimei</w:t>
      </w:r>
      <w:proofErr w:type="spellEnd"/>
      <w:r w:rsidR="009104A2">
        <w:t xml:space="preserve"> </w:t>
      </w:r>
      <w:proofErr w:type="spellStart"/>
      <w:r w:rsidR="009104A2">
        <w:t>sachir</w:t>
      </w:r>
      <w:proofErr w:type="spellEnd"/>
      <w:r w:rsidR="009104A2">
        <w:t xml:space="preserve"> - "wie die Tage eines Tagelöhners") wird als </w:t>
      </w:r>
      <w:proofErr w:type="spellStart"/>
      <w:r w:rsidR="009104A2">
        <w:t>ὡς</w:t>
      </w:r>
      <w:proofErr w:type="spellEnd"/>
      <w:r w:rsidR="009104A2">
        <w:t xml:space="preserve"> </w:t>
      </w:r>
      <w:proofErr w:type="spellStart"/>
      <w:r w:rsidR="009104A2">
        <w:t>μισθίου</w:t>
      </w:r>
      <w:proofErr w:type="spellEnd"/>
      <w:r w:rsidR="009104A2">
        <w:t xml:space="preserve">· </w:t>
      </w:r>
      <w:proofErr w:type="spellStart"/>
      <w:r w:rsidR="009104A2">
        <w:t>ἔτος</w:t>
      </w:r>
      <w:proofErr w:type="spellEnd"/>
      <w:r w:rsidR="009104A2">
        <w:t xml:space="preserve"> </w:t>
      </w:r>
      <w:proofErr w:type="spellStart"/>
      <w:r w:rsidR="009104A2">
        <w:t>ἐξ</w:t>
      </w:r>
      <w:proofErr w:type="spellEnd"/>
      <w:r w:rsidR="009104A2">
        <w:t xml:space="preserve"> </w:t>
      </w:r>
      <w:proofErr w:type="spellStart"/>
      <w:r w:rsidR="009104A2">
        <w:t>ἔτους</w:t>
      </w:r>
      <w:proofErr w:type="spellEnd"/>
      <w:r w:rsidR="009104A2">
        <w:t xml:space="preserve"> (wie eines Tagelöhners: Jahr für Jahr) wiedergegeben.</w:t>
      </w:r>
    </w:p>
    <w:p w14:paraId="414C1A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Fremdherr-</w:t>
      </w:r>
      <w:r w:rsidRPr="00CC6F7E">
        <w:rPr>
          <w:rFonts w:eastAsia="Times New Roman" w:cs="Times New Roman"/>
          <w:b/>
          <w:bCs/>
          <w:rtl/>
          <w:lang w:eastAsia="de-DE"/>
        </w:rPr>
        <w:t>גאלה</w:t>
      </w:r>
      <w:r w:rsidRPr="00CC6F7E">
        <w:rPr>
          <w:rFonts w:eastAsia="Times New Roman" w:cs="Times New Roman"/>
          <w:lang w:eastAsia="de-DE"/>
        </w:rPr>
        <w:t>-Berechnung: Berechnung mit Käufer + vom Verkaufsjahr bis Jobel + Kaufpreis entsprechend Jahreszahl + Tagelöhner-Bewertung.</w:t>
      </w:r>
    </w:p>
    <w:p w14:paraId="1FAB3B1A" w14:textId="61D1D7CC" w:rsid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die </w:t>
      </w:r>
      <w:r w:rsidRPr="00CC6F7E">
        <w:rPr>
          <w:rFonts w:eastAsia="Times New Roman" w:cs="Times New Roman"/>
          <w:b/>
          <w:bCs/>
          <w:rtl/>
          <w:lang w:eastAsia="de-DE"/>
        </w:rPr>
        <w:t>גאלה</w:t>
      </w:r>
      <w:r w:rsidRPr="00CC6F7E">
        <w:rPr>
          <w:rFonts w:eastAsia="Times New Roman" w:cs="Times New Roman"/>
          <w:lang w:eastAsia="de-DE"/>
        </w:rPr>
        <w:t>-Berechnung bei Fremdherren: proportional zu verbleibenden Jahren bis Jobel, bewertet wie Tagelöhnerarbeit.</w:t>
      </w:r>
    </w:p>
    <w:p w14:paraId="070717E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25,51</w:t>
      </w:r>
    </w:p>
    <w:p w14:paraId="362BFED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אִם־ע֥וֹד רַבּ֖וֹת בַּשָּׁנִ֑ים לְפִיהֶן֙ יָשִׁ֣יב גְּאֻלָּתוֹ֔ מִכֶּ֖סֶף מִקְנָתוֹ׃</w:t>
      </w:r>
    </w:p>
    <w:p w14:paraId="50DD1B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noch viele Jahre übrig sind, soll er nach ihrem Verhältnis seine Einlösung von seinem Kaufgeld zurückerstatten;</w:t>
      </w:r>
    </w:p>
    <w:p w14:paraId="4D837E6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BA87C1B">
          <v:rect id="_x0000_i1799" style="width:0;height:1.5pt" o:hralign="center" o:hrstd="t" o:hr="t" fillcolor="#a0a0a0" stroked="f"/>
        </w:pict>
      </w:r>
    </w:p>
    <w:p w14:paraId="4894EB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אם־עוד רבות בשנים לפיהן ישיב גאלתו מכסף מקנתו</w:t>
      </w:r>
      <w:r w:rsidRPr="00CC6F7E">
        <w:rPr>
          <w:rFonts w:eastAsia="Times New Roman" w:cs="Times New Roman"/>
          <w:rtl/>
          <w:lang w:eastAsia="de-DE"/>
        </w:rPr>
        <w:t xml:space="preserve"> </w:t>
      </w:r>
      <w:r w:rsidRPr="00CC6F7E">
        <w:rPr>
          <w:rFonts w:eastAsia="Times New Roman" w:cs="Times New Roman"/>
          <w:lang w:eastAsia="de-DE"/>
        </w:rPr>
        <w:t xml:space="preserve">zeigt die Berechnung bei vielen verbleibenden Jahren. </w:t>
      </w:r>
      <w:r w:rsidRPr="00CC6F7E">
        <w:rPr>
          <w:rFonts w:eastAsia="Times New Roman" w:cs="Times New Roman"/>
          <w:b/>
          <w:bCs/>
          <w:rtl/>
          <w:lang w:eastAsia="de-DE"/>
        </w:rPr>
        <w:t>אם־עוד רבות בשנים</w:t>
      </w:r>
      <w:r w:rsidRPr="00CC6F7E">
        <w:rPr>
          <w:rFonts w:eastAsia="Times New Roman" w:cs="Times New Roman"/>
          <w:rtl/>
          <w:lang w:eastAsia="de-DE"/>
        </w:rPr>
        <w:t xml:space="preserve"> </w:t>
      </w:r>
      <w:r w:rsidRPr="00CC6F7E">
        <w:rPr>
          <w:rFonts w:eastAsia="Times New Roman" w:cs="Times New Roman"/>
          <w:lang w:eastAsia="de-DE"/>
        </w:rPr>
        <w:t xml:space="preserve">(wenn noch viele Jahre übrig sind) - </w:t>
      </w:r>
      <w:r w:rsidRPr="00CC6F7E">
        <w:rPr>
          <w:rFonts w:eastAsia="Times New Roman" w:cs="Times New Roman"/>
          <w:b/>
          <w:bCs/>
          <w:rtl/>
          <w:lang w:eastAsia="de-DE"/>
        </w:rPr>
        <w:t>עוד רבות בשנים</w:t>
      </w:r>
      <w:r w:rsidRPr="00CC6F7E">
        <w:rPr>
          <w:rFonts w:eastAsia="Times New Roman" w:cs="Times New Roman"/>
          <w:rtl/>
          <w:lang w:eastAsia="de-DE"/>
        </w:rPr>
        <w:t xml:space="preserve"> </w:t>
      </w:r>
      <w:r w:rsidRPr="00CC6F7E">
        <w:rPr>
          <w:rFonts w:eastAsia="Times New Roman" w:cs="Times New Roman"/>
          <w:lang w:eastAsia="de-DE"/>
        </w:rPr>
        <w:t>(noch viele in den Jahren) zeigt viele Jahre bis zum Jobel.</w:t>
      </w:r>
    </w:p>
    <w:p w14:paraId="142D459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לפיהן ישיב גאלתו מכסף מקנתו</w:t>
      </w:r>
      <w:r w:rsidRPr="00CC6F7E">
        <w:rPr>
          <w:rFonts w:eastAsia="Times New Roman" w:cs="Times New Roman"/>
          <w:rtl/>
          <w:lang w:eastAsia="de-DE"/>
        </w:rPr>
        <w:t xml:space="preserve"> </w:t>
      </w:r>
      <w:r w:rsidRPr="00CC6F7E">
        <w:rPr>
          <w:rFonts w:eastAsia="Times New Roman" w:cs="Times New Roman"/>
          <w:lang w:eastAsia="de-DE"/>
        </w:rPr>
        <w:t xml:space="preserve">(soll er nach ihrem Verhältnis seine Einlösung von seinem Kaufgeld zurückerstatten) - </w:t>
      </w:r>
      <w:r w:rsidRPr="00CC6F7E">
        <w:rPr>
          <w:rFonts w:eastAsia="Times New Roman" w:cs="Times New Roman"/>
          <w:b/>
          <w:bCs/>
          <w:rtl/>
          <w:lang w:eastAsia="de-DE"/>
        </w:rPr>
        <w:t>לפיהן</w:t>
      </w:r>
      <w:r w:rsidRPr="00CC6F7E">
        <w:rPr>
          <w:rFonts w:eastAsia="Times New Roman" w:cs="Times New Roman"/>
          <w:rtl/>
          <w:lang w:eastAsia="de-DE"/>
        </w:rPr>
        <w:t xml:space="preserve"> </w:t>
      </w:r>
      <w:r w:rsidRPr="00CC6F7E">
        <w:rPr>
          <w:rFonts w:eastAsia="Times New Roman" w:cs="Times New Roman"/>
          <w:lang w:eastAsia="de-DE"/>
        </w:rPr>
        <w:t xml:space="preserve">(nach ihrem Verhältnis) entspricht V. 16 und zeigt Proportionalität. </w:t>
      </w:r>
      <w:r w:rsidRPr="00CC6F7E">
        <w:rPr>
          <w:rFonts w:eastAsia="Times New Roman" w:cs="Times New Roman"/>
          <w:b/>
          <w:bCs/>
          <w:rtl/>
          <w:lang w:eastAsia="de-DE"/>
        </w:rPr>
        <w:t>ישיב גאלתו</w:t>
      </w:r>
      <w:r w:rsidRPr="00CC6F7E">
        <w:rPr>
          <w:rFonts w:eastAsia="Times New Roman" w:cs="Times New Roman"/>
          <w:rtl/>
          <w:lang w:eastAsia="de-DE"/>
        </w:rPr>
        <w:t xml:space="preserve"> </w:t>
      </w:r>
      <w:r w:rsidRPr="00CC6F7E">
        <w:rPr>
          <w:rFonts w:eastAsia="Times New Roman" w:cs="Times New Roman"/>
          <w:lang w:eastAsia="de-DE"/>
        </w:rPr>
        <w:t xml:space="preserve">(soll er seine Einlösung zurückerstatten) - </w:t>
      </w:r>
      <w:r w:rsidRPr="00CC6F7E">
        <w:rPr>
          <w:rFonts w:eastAsia="Times New Roman" w:cs="Times New Roman"/>
          <w:b/>
          <w:bCs/>
          <w:rtl/>
          <w:lang w:eastAsia="de-DE"/>
        </w:rPr>
        <w:t>גאלתו</w:t>
      </w:r>
      <w:r w:rsidRPr="00CC6F7E">
        <w:rPr>
          <w:rFonts w:eastAsia="Times New Roman" w:cs="Times New Roman"/>
          <w:rtl/>
          <w:lang w:eastAsia="de-DE"/>
        </w:rPr>
        <w:t xml:space="preserve"> </w:t>
      </w:r>
      <w:r w:rsidRPr="00CC6F7E">
        <w:rPr>
          <w:rFonts w:eastAsia="Times New Roman" w:cs="Times New Roman"/>
          <w:lang w:eastAsia="de-DE"/>
        </w:rPr>
        <w:t xml:space="preserve">(seine Einlösung) zeigt den Einlösungsbetrag. </w:t>
      </w:r>
      <w:r w:rsidRPr="00CC6F7E">
        <w:rPr>
          <w:rFonts w:eastAsia="Times New Roman" w:cs="Times New Roman"/>
          <w:b/>
          <w:bCs/>
          <w:rtl/>
          <w:lang w:eastAsia="de-DE"/>
        </w:rPr>
        <w:t>מכסף מקנתו</w:t>
      </w:r>
      <w:r w:rsidRPr="00CC6F7E">
        <w:rPr>
          <w:rFonts w:eastAsia="Times New Roman" w:cs="Times New Roman"/>
          <w:rtl/>
          <w:lang w:eastAsia="de-DE"/>
        </w:rPr>
        <w:t xml:space="preserve"> </w:t>
      </w:r>
      <w:r w:rsidRPr="00CC6F7E">
        <w:rPr>
          <w:rFonts w:eastAsia="Times New Roman" w:cs="Times New Roman"/>
          <w:lang w:eastAsia="de-DE"/>
        </w:rPr>
        <w:t xml:space="preserve">(von seinem Kaufgeld) - </w:t>
      </w:r>
      <w:r w:rsidRPr="00CC6F7E">
        <w:rPr>
          <w:rFonts w:eastAsia="Times New Roman" w:cs="Times New Roman"/>
          <w:b/>
          <w:bCs/>
          <w:rtl/>
          <w:lang w:eastAsia="de-DE"/>
        </w:rPr>
        <w:t>כסף מקנתו</w:t>
      </w:r>
      <w:r w:rsidRPr="00CC6F7E">
        <w:rPr>
          <w:rFonts w:eastAsia="Times New Roman" w:cs="Times New Roman"/>
          <w:rtl/>
          <w:lang w:eastAsia="de-DE"/>
        </w:rPr>
        <w:t xml:space="preserve"> </w:t>
      </w:r>
      <w:r w:rsidRPr="00CC6F7E">
        <w:rPr>
          <w:rFonts w:eastAsia="Times New Roman" w:cs="Times New Roman"/>
          <w:lang w:eastAsia="de-DE"/>
        </w:rPr>
        <w:t>(Geld seines Erwerbs) zeigt den ursprünglichen Kaufpreis als Berechnungsgrundlage.</w:t>
      </w:r>
    </w:p>
    <w:p w14:paraId="27D26F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עוד רבות בשנים</w:t>
      </w:r>
      <w:r w:rsidRPr="00CC6F7E">
        <w:rPr>
          <w:rFonts w:eastAsia="Times New Roman" w:cs="Times New Roman"/>
          <w:rtl/>
          <w:lang w:eastAsia="de-DE"/>
        </w:rPr>
        <w:t xml:space="preserve"> </w:t>
      </w:r>
      <w:r w:rsidRPr="00CC6F7E">
        <w:rPr>
          <w:rFonts w:eastAsia="Times New Roman" w:cs="Times New Roman"/>
          <w:lang w:eastAsia="de-DE"/>
        </w:rPr>
        <w:t xml:space="preserve">zeigt viele verbleibende Jobel-Jahre. </w:t>
      </w:r>
      <w:r w:rsidRPr="00CC6F7E">
        <w:rPr>
          <w:rFonts w:eastAsia="Times New Roman" w:cs="Times New Roman"/>
          <w:b/>
          <w:bCs/>
          <w:rtl/>
          <w:lang w:eastAsia="de-DE"/>
        </w:rPr>
        <w:t>לפיהן</w:t>
      </w:r>
      <w:r w:rsidRPr="00CC6F7E">
        <w:rPr>
          <w:rFonts w:eastAsia="Times New Roman" w:cs="Times New Roman"/>
          <w:rtl/>
          <w:lang w:eastAsia="de-DE"/>
        </w:rPr>
        <w:t xml:space="preserve"> </w:t>
      </w:r>
      <w:r w:rsidRPr="00CC6F7E">
        <w:rPr>
          <w:rFonts w:eastAsia="Times New Roman" w:cs="Times New Roman"/>
          <w:lang w:eastAsia="de-DE"/>
        </w:rPr>
        <w:t xml:space="preserve">zeigt proportionale Berechnung. </w:t>
      </w:r>
      <w:r w:rsidRPr="00CC6F7E">
        <w:rPr>
          <w:rFonts w:eastAsia="Times New Roman" w:cs="Times New Roman"/>
          <w:b/>
          <w:bCs/>
          <w:rtl/>
          <w:lang w:eastAsia="de-DE"/>
        </w:rPr>
        <w:t>מכסף מקנתו</w:t>
      </w:r>
      <w:r w:rsidRPr="00CC6F7E">
        <w:rPr>
          <w:rFonts w:eastAsia="Times New Roman" w:cs="Times New Roman"/>
          <w:rtl/>
          <w:lang w:eastAsia="de-DE"/>
        </w:rPr>
        <w:t xml:space="preserve"> </w:t>
      </w:r>
      <w:r w:rsidRPr="00CC6F7E">
        <w:rPr>
          <w:rFonts w:eastAsia="Times New Roman" w:cs="Times New Roman"/>
          <w:lang w:eastAsia="de-DE"/>
        </w:rPr>
        <w:t>zeigt Kaufpreis als Ausgangsbasis.</w:t>
      </w:r>
    </w:p>
    <w:p w14:paraId="4F0088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עוד רבות בשנים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ἔτι</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λεῖστ</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(noch sehr viele Jahre), </w:t>
      </w:r>
      <w:r w:rsidRPr="00CC6F7E">
        <w:rPr>
          <w:rFonts w:eastAsia="Times New Roman" w:cs="Times New Roman"/>
          <w:b/>
          <w:bCs/>
          <w:rtl/>
          <w:lang w:eastAsia="de-DE"/>
        </w:rPr>
        <w:t>לפיהן</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τα</w:t>
      </w:r>
      <w:proofErr w:type="spellStart"/>
      <w:r w:rsidRPr="00CC6F7E">
        <w:rPr>
          <w:rFonts w:eastAsia="Times New Roman" w:cs="Times New Roman"/>
          <w:lang w:eastAsia="de-DE"/>
        </w:rPr>
        <w:t>ῦτ</w:t>
      </w:r>
      <w:proofErr w:type="spellEnd"/>
      <w:r w:rsidRPr="00CC6F7E">
        <w:rPr>
          <w:rFonts w:eastAsia="Times New Roman" w:cs="Times New Roman"/>
          <w:lang w:eastAsia="de-DE"/>
        </w:rPr>
        <w:t xml:space="preserve">α (entsprechend diesen), </w:t>
      </w:r>
      <w:r w:rsidRPr="00CC6F7E">
        <w:rPr>
          <w:rFonts w:eastAsia="Times New Roman" w:cs="Times New Roman"/>
          <w:b/>
          <w:bCs/>
          <w:rtl/>
          <w:lang w:eastAsia="de-DE"/>
        </w:rPr>
        <w:t>גאלתו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λύτρ</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(seine Lösungen) und </w:t>
      </w:r>
      <w:r w:rsidRPr="00CC6F7E">
        <w:rPr>
          <w:rFonts w:eastAsia="Times New Roman" w:cs="Times New Roman"/>
          <w:b/>
          <w:bCs/>
          <w:rtl/>
          <w:lang w:eastAsia="de-DE"/>
        </w:rPr>
        <w:t>מכסף מקנתו</w:t>
      </w:r>
      <w:r w:rsidRPr="00CC6F7E">
        <w:rPr>
          <w:rFonts w:eastAsia="Times New Roman" w:cs="Times New Roman"/>
          <w:rtl/>
          <w:lang w:eastAsia="de-DE"/>
        </w:rPr>
        <w:t xml:space="preserve"> </w:t>
      </w:r>
      <w:r w:rsidRPr="00CC6F7E">
        <w:rPr>
          <w:rFonts w:eastAsia="Times New Roman" w:cs="Times New Roman"/>
          <w:lang w:eastAsia="de-DE"/>
        </w:rPr>
        <w:t xml:space="preserve">mit ἀπὸ </w:t>
      </w:r>
      <w:proofErr w:type="spellStart"/>
      <w:r w:rsidRPr="00CC6F7E">
        <w:rPr>
          <w:rFonts w:eastAsia="Times New Roman" w:cs="Times New Roman"/>
          <w:lang w:eastAsia="de-DE"/>
        </w:rPr>
        <w:t>ἀργυρίου</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ράσεως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(vom Silber seines Verkaufs).</w:t>
      </w:r>
    </w:p>
    <w:p w14:paraId="627D12C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Viele-Jahre-</w:t>
      </w:r>
      <w:r w:rsidRPr="00CC6F7E">
        <w:rPr>
          <w:rFonts w:eastAsia="Times New Roman" w:cs="Times New Roman"/>
          <w:b/>
          <w:bCs/>
          <w:rtl/>
          <w:lang w:eastAsia="de-DE"/>
        </w:rPr>
        <w:t>גאלה</w:t>
      </w:r>
      <w:r w:rsidRPr="00CC6F7E">
        <w:rPr>
          <w:rFonts w:eastAsia="Times New Roman" w:cs="Times New Roman"/>
          <w:lang w:eastAsia="de-DE"/>
        </w:rPr>
        <w:t>: noch viele Jahre übrig + proportionale Einlösungs-Rückerstattung + vom ursprünglichen Kaufgeld.</w:t>
      </w:r>
    </w:p>
    <w:p w14:paraId="7346742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zeigt: Bei vielen verbleibenden Jahren ist ein hoher </w:t>
      </w:r>
      <w:r w:rsidRPr="00CC6F7E">
        <w:rPr>
          <w:rFonts w:eastAsia="Times New Roman" w:cs="Times New Roman"/>
          <w:b/>
          <w:bCs/>
          <w:rtl/>
          <w:lang w:eastAsia="de-DE"/>
        </w:rPr>
        <w:t>גאלה</w:t>
      </w:r>
      <w:r w:rsidRPr="00CC6F7E">
        <w:rPr>
          <w:rFonts w:eastAsia="Times New Roman" w:cs="Times New Roman"/>
          <w:lang w:eastAsia="de-DE"/>
        </w:rPr>
        <w:t>-Betrag proportional zum ursprünglichen Kaufpreis zu zahlen.</w:t>
      </w:r>
    </w:p>
    <w:p w14:paraId="70E39CF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25,52</w:t>
      </w:r>
    </w:p>
    <w:p w14:paraId="6708A53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וְאִם־מְעַ֞ט נִשְׁאַ֧ר בַּשָּׁנִ֛ים עַד־שְׁנַ֥ת הַיֹּבֵ֖ל וְחִשַּׁב־לוֹ֑ כְּפִ֣י שָׁנָ֔יו יָשִׁ֖יב אֶת־גְּאֻלָּתוֹ֔</w:t>
      </w:r>
    </w:p>
    <w:p w14:paraId="51B601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wenig Jahre übrig sind bis zum Jobeljahr, so soll er es ihm berechnen: Nach Verhältnis seiner Jahre soll er seine Einlösung zurückerstatten.</w:t>
      </w:r>
    </w:p>
    <w:p w14:paraId="4E7677A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9ADDDDE">
          <v:rect id="_x0000_i1800" style="width:0;height:1.5pt" o:hralign="center" o:hrstd="t" o:hr="t" fillcolor="#a0a0a0" stroked="f"/>
        </w:pict>
      </w:r>
    </w:p>
    <w:p w14:paraId="31D87B5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ואם־מעט נשאר בשנים עד־שנת היבל וחשב־לו כפי שניו ישיב את־גאלתו</w:t>
      </w:r>
      <w:r w:rsidRPr="00CC6F7E">
        <w:rPr>
          <w:rFonts w:eastAsia="Times New Roman" w:cs="Times New Roman"/>
          <w:rtl/>
          <w:lang w:eastAsia="de-DE"/>
        </w:rPr>
        <w:t xml:space="preserve"> </w:t>
      </w:r>
      <w:r w:rsidRPr="00CC6F7E">
        <w:rPr>
          <w:rFonts w:eastAsia="Times New Roman" w:cs="Times New Roman"/>
          <w:lang w:eastAsia="de-DE"/>
        </w:rPr>
        <w:t xml:space="preserve">zeigt die umgekehrte Berechnung bei wenigen verbleibenden Jahren. </w:t>
      </w:r>
      <w:r w:rsidRPr="00CC6F7E">
        <w:rPr>
          <w:rFonts w:eastAsia="Times New Roman" w:cs="Times New Roman"/>
          <w:b/>
          <w:bCs/>
          <w:rtl/>
          <w:lang w:eastAsia="de-DE"/>
        </w:rPr>
        <w:t>ואם־מעט נשאר בשנים עד־שנת היבל</w:t>
      </w:r>
      <w:r w:rsidRPr="00CC6F7E">
        <w:rPr>
          <w:rFonts w:eastAsia="Times New Roman" w:cs="Times New Roman"/>
          <w:rtl/>
          <w:lang w:eastAsia="de-DE"/>
        </w:rPr>
        <w:t xml:space="preserve"> </w:t>
      </w:r>
      <w:r w:rsidRPr="00CC6F7E">
        <w:rPr>
          <w:rFonts w:eastAsia="Times New Roman" w:cs="Times New Roman"/>
          <w:lang w:eastAsia="de-DE"/>
        </w:rPr>
        <w:lastRenderedPageBreak/>
        <w:t xml:space="preserve">(und wenn wenig Jahre übrig sind bis zum Jobeljahr) - </w:t>
      </w:r>
      <w:r w:rsidRPr="00CC6F7E">
        <w:rPr>
          <w:rFonts w:eastAsia="Times New Roman" w:cs="Times New Roman"/>
          <w:b/>
          <w:bCs/>
          <w:rtl/>
          <w:lang w:eastAsia="de-DE"/>
        </w:rPr>
        <w:t>מעט נשאר בשנים</w:t>
      </w:r>
      <w:r w:rsidRPr="00CC6F7E">
        <w:rPr>
          <w:rFonts w:eastAsia="Times New Roman" w:cs="Times New Roman"/>
          <w:rtl/>
          <w:lang w:eastAsia="de-DE"/>
        </w:rPr>
        <w:t xml:space="preserve"> </w:t>
      </w:r>
      <w:r w:rsidRPr="00CC6F7E">
        <w:rPr>
          <w:rFonts w:eastAsia="Times New Roman" w:cs="Times New Roman"/>
          <w:lang w:eastAsia="de-DE"/>
        </w:rPr>
        <w:t xml:space="preserve">(wenig bleibt übrig in den Jahren) zeigt wenige Jahre bis zum Jobel. </w:t>
      </w:r>
      <w:r w:rsidRPr="00CC6F7E">
        <w:rPr>
          <w:rFonts w:eastAsia="Times New Roman" w:cs="Times New Roman"/>
          <w:b/>
          <w:bCs/>
          <w:rtl/>
          <w:lang w:eastAsia="de-DE"/>
        </w:rPr>
        <w:t>עד־שנת היבל</w:t>
      </w:r>
      <w:r w:rsidRPr="00CC6F7E">
        <w:rPr>
          <w:rFonts w:eastAsia="Times New Roman" w:cs="Times New Roman"/>
          <w:rtl/>
          <w:lang w:eastAsia="de-DE"/>
        </w:rPr>
        <w:t xml:space="preserve"> </w:t>
      </w:r>
      <w:r w:rsidRPr="00CC6F7E">
        <w:rPr>
          <w:rFonts w:eastAsia="Times New Roman" w:cs="Times New Roman"/>
          <w:lang w:eastAsia="de-DE"/>
        </w:rPr>
        <w:t>bekräftigt den Jobel als Endpunkt.</w:t>
      </w:r>
    </w:p>
    <w:p w14:paraId="58FF70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וחשב־לו כפי שניו ישיב את־גאלתו</w:t>
      </w:r>
      <w:r w:rsidRPr="00CC6F7E">
        <w:rPr>
          <w:rFonts w:eastAsia="Times New Roman" w:cs="Times New Roman"/>
          <w:rtl/>
          <w:lang w:eastAsia="de-DE"/>
        </w:rPr>
        <w:t xml:space="preserve"> </w:t>
      </w:r>
      <w:r w:rsidRPr="00CC6F7E">
        <w:rPr>
          <w:rFonts w:eastAsia="Times New Roman" w:cs="Times New Roman"/>
          <w:lang w:eastAsia="de-DE"/>
        </w:rPr>
        <w:t xml:space="preserve">(so soll er es ihm berechnen: Nach Verhältnis seiner Jahre soll er seine Einlösung zurückerstatten) - </w:t>
      </w:r>
      <w:r w:rsidRPr="00CC6F7E">
        <w:rPr>
          <w:rFonts w:eastAsia="Times New Roman" w:cs="Times New Roman"/>
          <w:b/>
          <w:bCs/>
          <w:rtl/>
          <w:lang w:eastAsia="de-DE"/>
        </w:rPr>
        <w:t>וחשב־לו</w:t>
      </w:r>
      <w:r w:rsidRPr="00CC6F7E">
        <w:rPr>
          <w:rFonts w:eastAsia="Times New Roman" w:cs="Times New Roman"/>
          <w:rtl/>
          <w:lang w:eastAsia="de-DE"/>
        </w:rPr>
        <w:t xml:space="preserve"> </w:t>
      </w:r>
      <w:r w:rsidRPr="00CC6F7E">
        <w:rPr>
          <w:rFonts w:eastAsia="Times New Roman" w:cs="Times New Roman"/>
          <w:lang w:eastAsia="de-DE"/>
        </w:rPr>
        <w:t xml:space="preserve">(und er soll ihm berechnen) zeigt Berechnungsverpflichtung. </w:t>
      </w:r>
      <w:r w:rsidRPr="00CC6F7E">
        <w:rPr>
          <w:rFonts w:eastAsia="Times New Roman" w:cs="Times New Roman"/>
          <w:b/>
          <w:bCs/>
          <w:rtl/>
          <w:lang w:eastAsia="de-DE"/>
        </w:rPr>
        <w:t>כפי שניו</w:t>
      </w:r>
      <w:r w:rsidRPr="00CC6F7E">
        <w:rPr>
          <w:rFonts w:eastAsia="Times New Roman" w:cs="Times New Roman"/>
          <w:rtl/>
          <w:lang w:eastAsia="de-DE"/>
        </w:rPr>
        <w:t xml:space="preserve"> </w:t>
      </w:r>
      <w:r w:rsidRPr="00CC6F7E">
        <w:rPr>
          <w:rFonts w:eastAsia="Times New Roman" w:cs="Times New Roman"/>
          <w:lang w:eastAsia="de-DE"/>
        </w:rPr>
        <w:t xml:space="preserve">(entsprechend seinen Jahren) entspricht V. 16,51. </w:t>
      </w:r>
      <w:r w:rsidRPr="00CC6F7E">
        <w:rPr>
          <w:rFonts w:eastAsia="Times New Roman" w:cs="Times New Roman"/>
          <w:b/>
          <w:bCs/>
          <w:rtl/>
          <w:lang w:eastAsia="de-DE"/>
        </w:rPr>
        <w:t>ישיב את־גאלתו</w:t>
      </w:r>
      <w:r w:rsidRPr="00CC6F7E">
        <w:rPr>
          <w:rFonts w:eastAsia="Times New Roman" w:cs="Times New Roman"/>
          <w:rtl/>
          <w:lang w:eastAsia="de-DE"/>
        </w:rPr>
        <w:t xml:space="preserve"> </w:t>
      </w:r>
      <w:r w:rsidRPr="00CC6F7E">
        <w:rPr>
          <w:rFonts w:eastAsia="Times New Roman" w:cs="Times New Roman"/>
          <w:lang w:eastAsia="de-DE"/>
        </w:rPr>
        <w:t>entspricht V. 51.</w:t>
      </w:r>
    </w:p>
    <w:p w14:paraId="5A87C5B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מעט נשאר בשנים</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רבות בשנים</w:t>
      </w:r>
      <w:r w:rsidRPr="00CC6F7E">
        <w:rPr>
          <w:rFonts w:eastAsia="Times New Roman" w:cs="Times New Roman"/>
          <w:rtl/>
          <w:lang w:eastAsia="de-DE"/>
        </w:rPr>
        <w:t xml:space="preserve"> </w:t>
      </w:r>
      <w:r w:rsidRPr="00CC6F7E">
        <w:rPr>
          <w:rFonts w:eastAsia="Times New Roman" w:cs="Times New Roman"/>
          <w:lang w:eastAsia="de-DE"/>
        </w:rPr>
        <w:t xml:space="preserve">(V. 51) zeigt inverse Proportionalität. </w:t>
      </w:r>
      <w:r w:rsidRPr="00CC6F7E">
        <w:rPr>
          <w:rFonts w:eastAsia="Times New Roman" w:cs="Times New Roman"/>
          <w:b/>
          <w:bCs/>
          <w:rtl/>
          <w:lang w:eastAsia="de-DE"/>
        </w:rPr>
        <w:t>כפי שניו</w:t>
      </w:r>
      <w:r w:rsidRPr="00CC6F7E">
        <w:rPr>
          <w:rFonts w:eastAsia="Times New Roman" w:cs="Times New Roman"/>
          <w:rtl/>
          <w:lang w:eastAsia="de-DE"/>
        </w:rPr>
        <w:t xml:space="preserve"> </w:t>
      </w:r>
      <w:r w:rsidRPr="00CC6F7E">
        <w:rPr>
          <w:rFonts w:eastAsia="Times New Roman" w:cs="Times New Roman"/>
          <w:lang w:eastAsia="de-DE"/>
        </w:rPr>
        <w:t xml:space="preserve">zeigt Jahre-proportionale Berechnung. </w:t>
      </w:r>
      <w:r w:rsidRPr="00CC6F7E">
        <w:rPr>
          <w:rFonts w:eastAsia="Times New Roman" w:cs="Times New Roman"/>
          <w:b/>
          <w:bCs/>
          <w:rtl/>
          <w:lang w:eastAsia="de-DE"/>
        </w:rPr>
        <w:t>גאלתו</w:t>
      </w:r>
      <w:r w:rsidRPr="00CC6F7E">
        <w:rPr>
          <w:rFonts w:eastAsia="Times New Roman" w:cs="Times New Roman"/>
          <w:rtl/>
          <w:lang w:eastAsia="de-DE"/>
        </w:rPr>
        <w:t xml:space="preserve"> </w:t>
      </w:r>
      <w:r w:rsidRPr="00CC6F7E">
        <w:rPr>
          <w:rFonts w:eastAsia="Times New Roman" w:cs="Times New Roman"/>
          <w:lang w:eastAsia="de-DE"/>
        </w:rPr>
        <w:t>als reduzierten Einlösungsbetrag bei wenigen Jahren.</w:t>
      </w:r>
    </w:p>
    <w:p w14:paraId="25B883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מעט נשאר בשנים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ὀλίγ</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λεί</w:t>
      </w:r>
      <w:proofErr w:type="spellEnd"/>
      <w:r w:rsidRPr="00CC6F7E">
        <w:rPr>
          <w:rFonts w:eastAsia="Times New Roman" w:cs="Times New Roman"/>
          <w:lang w:eastAsia="de-DE"/>
        </w:rPr>
        <w:t xml:space="preserve">πεται (wenige Jahre bleiben zurück), </w:t>
      </w:r>
      <w:r w:rsidRPr="00CC6F7E">
        <w:rPr>
          <w:rFonts w:eastAsia="Times New Roman" w:cs="Times New Roman"/>
          <w:b/>
          <w:bCs/>
          <w:rtl/>
          <w:lang w:eastAsia="de-DE"/>
        </w:rPr>
        <w:t>וחשב־לו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συλλογιεῖτ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(wird ihm berechnen), </w:t>
      </w:r>
      <w:r w:rsidRPr="00CC6F7E">
        <w:rPr>
          <w:rFonts w:eastAsia="Times New Roman" w:cs="Times New Roman"/>
          <w:b/>
          <w:bCs/>
          <w:rtl/>
          <w:lang w:eastAsia="de-DE"/>
        </w:rPr>
        <w:t>כפי שניו</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(entsprechend seinen Jahren) und </w:t>
      </w:r>
      <w:r w:rsidRPr="00CC6F7E">
        <w:rPr>
          <w:rFonts w:eastAsia="Times New Roman" w:cs="Times New Roman"/>
          <w:b/>
          <w:bCs/>
          <w:rtl/>
          <w:lang w:eastAsia="de-DE"/>
        </w:rPr>
        <w:t>גאלתו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λύτρ</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(seine Lösungen).</w:t>
      </w:r>
    </w:p>
    <w:p w14:paraId="329E66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Wenige-Jahre-</w:t>
      </w:r>
      <w:r w:rsidRPr="00CC6F7E">
        <w:rPr>
          <w:rFonts w:eastAsia="Times New Roman" w:cs="Times New Roman"/>
          <w:b/>
          <w:bCs/>
          <w:rtl/>
          <w:lang w:eastAsia="de-DE"/>
        </w:rPr>
        <w:t>גאלה</w:t>
      </w:r>
      <w:r w:rsidRPr="00CC6F7E">
        <w:rPr>
          <w:rFonts w:eastAsia="Times New Roman" w:cs="Times New Roman"/>
          <w:lang w:eastAsia="de-DE"/>
        </w:rPr>
        <w:t>: wenig Jahre bis Jobel übrig + Berechnung für ihn + Jahre-proportionale Einlösungs-Rückerstattung.</w:t>
      </w:r>
    </w:p>
    <w:p w14:paraId="01DF1E6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zeigt die umgekehrte Proportionalität: Bei wenigen verbleibenden Jahren sinkt der </w:t>
      </w:r>
      <w:r w:rsidRPr="00CC6F7E">
        <w:rPr>
          <w:rFonts w:eastAsia="Times New Roman" w:cs="Times New Roman"/>
          <w:b/>
          <w:bCs/>
          <w:rtl/>
          <w:lang w:eastAsia="de-DE"/>
        </w:rPr>
        <w:t>גאלה</w:t>
      </w:r>
      <w:r w:rsidRPr="00CC6F7E">
        <w:rPr>
          <w:rFonts w:eastAsia="Times New Roman" w:cs="Times New Roman"/>
          <w:lang w:eastAsia="de-DE"/>
        </w:rPr>
        <w:t>-Betrag entsprechend.</w:t>
      </w:r>
    </w:p>
    <w:p w14:paraId="4F748A6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25,53</w:t>
      </w:r>
    </w:p>
    <w:p w14:paraId="44EF90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כִּשְׂכִ֥יר שָׁנָ֛ה בְּשָׁנָ֖ה יִהְיֶ֣ה עִמּוֹ֑ לֹֽא־יִרְדֶּ֥נּֽוּ בְּפֶ֖רֶךְ לְעֵינֶֽיךָ׃</w:t>
      </w:r>
    </w:p>
    <w:p w14:paraId="3596B9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Wie ein Tagelöhner von Jahr zu Jahr soll er bei ihm sein; er soll nicht mit Härte über ihn herrschen vor deinen Augen.</w:t>
      </w:r>
    </w:p>
    <w:p w14:paraId="7263873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B49F841">
          <v:rect id="_x0000_i1801" style="width:0;height:1.5pt" o:hralign="center" o:hrstd="t" o:hr="t" fillcolor="#a0a0a0" stroked="f"/>
        </w:pict>
      </w:r>
    </w:p>
    <w:p w14:paraId="6F46AE8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כשכיר שנה בשנה יהיה עמו לא־ירדנו בפרך לעיניך</w:t>
      </w:r>
      <w:r w:rsidRPr="00CC6F7E">
        <w:rPr>
          <w:rFonts w:eastAsia="Times New Roman" w:cs="Times New Roman"/>
          <w:rtl/>
          <w:lang w:eastAsia="de-DE"/>
        </w:rPr>
        <w:t xml:space="preserve"> </w:t>
      </w:r>
      <w:r w:rsidRPr="00CC6F7E">
        <w:rPr>
          <w:rFonts w:eastAsia="Times New Roman" w:cs="Times New Roman"/>
          <w:lang w:eastAsia="de-DE"/>
        </w:rPr>
        <w:t xml:space="preserve">zeigt die Behandlungsvorschrift für den an Fremde verkauften Israeliten. </w:t>
      </w:r>
      <w:r w:rsidRPr="00CC6F7E">
        <w:rPr>
          <w:rFonts w:eastAsia="Times New Roman" w:cs="Times New Roman"/>
          <w:b/>
          <w:bCs/>
          <w:rtl/>
          <w:lang w:eastAsia="de-DE"/>
        </w:rPr>
        <w:t>כשכיר שנה בשנה יהיה עמו</w:t>
      </w:r>
      <w:r w:rsidRPr="00CC6F7E">
        <w:rPr>
          <w:rFonts w:eastAsia="Times New Roman" w:cs="Times New Roman"/>
          <w:rtl/>
          <w:lang w:eastAsia="de-DE"/>
        </w:rPr>
        <w:t xml:space="preserve"> </w:t>
      </w:r>
      <w:r w:rsidRPr="00CC6F7E">
        <w:rPr>
          <w:rFonts w:eastAsia="Times New Roman" w:cs="Times New Roman"/>
          <w:lang w:eastAsia="de-DE"/>
        </w:rPr>
        <w:t xml:space="preserve">(wie ein Tagelöhner von Jahr zu Jahr soll er bei ihm sein) - </w:t>
      </w:r>
      <w:r w:rsidRPr="00CC6F7E">
        <w:rPr>
          <w:rFonts w:eastAsia="Times New Roman" w:cs="Times New Roman"/>
          <w:b/>
          <w:bCs/>
          <w:rtl/>
          <w:lang w:eastAsia="de-DE"/>
        </w:rPr>
        <w:t>כשכיר</w:t>
      </w:r>
      <w:r w:rsidRPr="00CC6F7E">
        <w:rPr>
          <w:rFonts w:eastAsia="Times New Roman" w:cs="Times New Roman"/>
          <w:rtl/>
          <w:lang w:eastAsia="de-DE"/>
        </w:rPr>
        <w:t xml:space="preserve"> </w:t>
      </w:r>
      <w:r w:rsidRPr="00CC6F7E">
        <w:rPr>
          <w:rFonts w:eastAsia="Times New Roman" w:cs="Times New Roman"/>
          <w:lang w:eastAsia="de-DE"/>
        </w:rPr>
        <w:t xml:space="preserve">entspricht V. 40,50 und zeigt </w:t>
      </w:r>
      <w:r w:rsidRPr="00CC6F7E">
        <w:rPr>
          <w:rFonts w:eastAsia="Times New Roman" w:cs="Times New Roman"/>
          <w:b/>
          <w:bCs/>
          <w:rtl/>
          <w:lang w:eastAsia="de-DE"/>
        </w:rPr>
        <w:t>שכיר</w:t>
      </w:r>
      <w:r w:rsidRPr="00CC6F7E">
        <w:rPr>
          <w:rFonts w:eastAsia="Times New Roman" w:cs="Times New Roman"/>
          <w:lang w:eastAsia="de-DE"/>
        </w:rPr>
        <w:t xml:space="preserve">-Status statt Sklavenstatus. </w:t>
      </w:r>
      <w:r w:rsidRPr="00CC6F7E">
        <w:rPr>
          <w:rFonts w:eastAsia="Times New Roman" w:cs="Times New Roman"/>
          <w:b/>
          <w:bCs/>
          <w:rtl/>
          <w:lang w:eastAsia="de-DE"/>
        </w:rPr>
        <w:t>שנה בשנה</w:t>
      </w:r>
      <w:r w:rsidRPr="00CC6F7E">
        <w:rPr>
          <w:rFonts w:eastAsia="Times New Roman" w:cs="Times New Roman"/>
          <w:rtl/>
          <w:lang w:eastAsia="de-DE"/>
        </w:rPr>
        <w:t xml:space="preserve"> </w:t>
      </w:r>
      <w:r w:rsidRPr="00CC6F7E">
        <w:rPr>
          <w:rFonts w:eastAsia="Times New Roman" w:cs="Times New Roman"/>
          <w:lang w:eastAsia="de-DE"/>
        </w:rPr>
        <w:t xml:space="preserve">(von Jahr zu Jahr) betont die jährliche Lohnarbeiter-Behandlung. </w:t>
      </w:r>
      <w:r w:rsidRPr="00CC6F7E">
        <w:rPr>
          <w:rFonts w:eastAsia="Times New Roman" w:cs="Times New Roman"/>
          <w:b/>
          <w:bCs/>
          <w:rtl/>
          <w:lang w:eastAsia="de-DE"/>
        </w:rPr>
        <w:t>יהיה עמו</w:t>
      </w:r>
      <w:r w:rsidRPr="00CC6F7E">
        <w:rPr>
          <w:rFonts w:eastAsia="Times New Roman" w:cs="Times New Roman"/>
          <w:rtl/>
          <w:lang w:eastAsia="de-DE"/>
        </w:rPr>
        <w:t xml:space="preserve"> </w:t>
      </w:r>
      <w:r w:rsidRPr="00CC6F7E">
        <w:rPr>
          <w:rFonts w:eastAsia="Times New Roman" w:cs="Times New Roman"/>
          <w:lang w:eastAsia="de-DE"/>
        </w:rPr>
        <w:t>entspricht V. 40.</w:t>
      </w:r>
    </w:p>
    <w:p w14:paraId="05A26C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לא־ירדנו בפרך לעיניך</w:t>
      </w:r>
      <w:r w:rsidRPr="00CC6F7E">
        <w:rPr>
          <w:rFonts w:eastAsia="Times New Roman" w:cs="Times New Roman"/>
          <w:rtl/>
          <w:lang w:eastAsia="de-DE"/>
        </w:rPr>
        <w:t xml:space="preserve"> </w:t>
      </w:r>
      <w:r w:rsidRPr="00CC6F7E">
        <w:rPr>
          <w:rFonts w:eastAsia="Times New Roman" w:cs="Times New Roman"/>
          <w:lang w:eastAsia="de-DE"/>
        </w:rPr>
        <w:t xml:space="preserve">(er soll nicht mit Härte über ihn herrschen vor deinen Augen) - </w:t>
      </w:r>
      <w:r w:rsidRPr="00CC6F7E">
        <w:rPr>
          <w:rFonts w:eastAsia="Times New Roman" w:cs="Times New Roman"/>
          <w:b/>
          <w:bCs/>
          <w:rtl/>
          <w:lang w:eastAsia="de-DE"/>
        </w:rPr>
        <w:t>לא־ירדנו בפרך</w:t>
      </w:r>
      <w:r w:rsidRPr="00CC6F7E">
        <w:rPr>
          <w:rFonts w:eastAsia="Times New Roman" w:cs="Times New Roman"/>
          <w:rtl/>
          <w:lang w:eastAsia="de-DE"/>
        </w:rPr>
        <w:t xml:space="preserve"> </w:t>
      </w:r>
      <w:r w:rsidRPr="00CC6F7E">
        <w:rPr>
          <w:rFonts w:eastAsia="Times New Roman" w:cs="Times New Roman"/>
          <w:lang w:eastAsia="de-DE"/>
        </w:rPr>
        <w:t xml:space="preserve">entspricht V. 43,46 und verbietet </w:t>
      </w:r>
      <w:r w:rsidRPr="00CC6F7E">
        <w:rPr>
          <w:rFonts w:eastAsia="Times New Roman" w:cs="Times New Roman"/>
          <w:b/>
          <w:bCs/>
          <w:rtl/>
          <w:lang w:eastAsia="de-DE"/>
        </w:rPr>
        <w:t>פרך</w:t>
      </w:r>
      <w:r w:rsidRPr="00CC6F7E">
        <w:rPr>
          <w:rFonts w:eastAsia="Times New Roman" w:cs="Times New Roman"/>
          <w:lang w:eastAsia="de-DE"/>
        </w:rPr>
        <w:t xml:space="preserve">-Behandlung. </w:t>
      </w:r>
      <w:r w:rsidRPr="00CC6F7E">
        <w:rPr>
          <w:rFonts w:eastAsia="Times New Roman" w:cs="Times New Roman"/>
          <w:b/>
          <w:bCs/>
          <w:rtl/>
          <w:lang w:eastAsia="de-DE"/>
        </w:rPr>
        <w:t>לעיניך</w:t>
      </w:r>
      <w:r w:rsidRPr="00CC6F7E">
        <w:rPr>
          <w:rFonts w:eastAsia="Times New Roman" w:cs="Times New Roman"/>
          <w:rtl/>
          <w:lang w:eastAsia="de-DE"/>
        </w:rPr>
        <w:t xml:space="preserve"> </w:t>
      </w:r>
      <w:r w:rsidRPr="00CC6F7E">
        <w:rPr>
          <w:rFonts w:eastAsia="Times New Roman" w:cs="Times New Roman"/>
          <w:lang w:eastAsia="de-DE"/>
        </w:rPr>
        <w:t>(vor deinen Augen) zeigt israelitische Verantwortung zur Überwachung der Behandlung auch bei Fremdherren.</w:t>
      </w:r>
    </w:p>
    <w:p w14:paraId="4332D7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כשכיר שנה בשנה</w:t>
      </w:r>
      <w:r w:rsidRPr="00CC6F7E">
        <w:rPr>
          <w:rFonts w:eastAsia="Times New Roman" w:cs="Times New Roman"/>
          <w:rtl/>
          <w:lang w:eastAsia="de-DE"/>
        </w:rPr>
        <w:t xml:space="preserve"> </w:t>
      </w:r>
      <w:r w:rsidRPr="00CC6F7E">
        <w:rPr>
          <w:rFonts w:eastAsia="Times New Roman" w:cs="Times New Roman"/>
          <w:lang w:eastAsia="de-DE"/>
        </w:rPr>
        <w:t xml:space="preserve">betont jährliche </w:t>
      </w:r>
      <w:r w:rsidRPr="00CC6F7E">
        <w:rPr>
          <w:rFonts w:eastAsia="Times New Roman" w:cs="Times New Roman"/>
          <w:b/>
          <w:bCs/>
          <w:rtl/>
          <w:lang w:eastAsia="de-DE"/>
        </w:rPr>
        <w:t>שכיר</w:t>
      </w:r>
      <w:r w:rsidRPr="00CC6F7E">
        <w:rPr>
          <w:rFonts w:eastAsia="Times New Roman" w:cs="Times New Roman"/>
          <w:lang w:eastAsia="de-DE"/>
        </w:rPr>
        <w:t xml:space="preserve">-Erneuerung vs. dauerhaften Sklavenstatus. </w:t>
      </w:r>
      <w:r w:rsidRPr="00CC6F7E">
        <w:rPr>
          <w:rFonts w:eastAsia="Times New Roman" w:cs="Times New Roman"/>
          <w:b/>
          <w:bCs/>
          <w:rtl/>
          <w:lang w:eastAsia="de-DE"/>
        </w:rPr>
        <w:t>לא־ירדנו בפרך</w:t>
      </w:r>
      <w:r w:rsidRPr="00CC6F7E">
        <w:rPr>
          <w:rFonts w:eastAsia="Times New Roman" w:cs="Times New Roman"/>
          <w:rtl/>
          <w:lang w:eastAsia="de-DE"/>
        </w:rPr>
        <w:t xml:space="preserve"> </w:t>
      </w:r>
      <w:r w:rsidRPr="00CC6F7E">
        <w:rPr>
          <w:rFonts w:eastAsia="Times New Roman" w:cs="Times New Roman"/>
          <w:lang w:eastAsia="de-DE"/>
        </w:rPr>
        <w:t xml:space="preserve">verbietet auch Fremdherren die </w:t>
      </w:r>
      <w:r w:rsidRPr="00CC6F7E">
        <w:rPr>
          <w:rFonts w:eastAsia="Times New Roman" w:cs="Times New Roman"/>
          <w:b/>
          <w:bCs/>
          <w:rtl/>
          <w:lang w:eastAsia="de-DE"/>
        </w:rPr>
        <w:t>פרך</w:t>
      </w:r>
      <w:r w:rsidRPr="00CC6F7E">
        <w:rPr>
          <w:rFonts w:eastAsia="Times New Roman" w:cs="Times New Roman"/>
          <w:lang w:eastAsia="de-DE"/>
        </w:rPr>
        <w:t xml:space="preserve">-Behandlung. </w:t>
      </w:r>
      <w:r w:rsidRPr="00CC6F7E">
        <w:rPr>
          <w:rFonts w:eastAsia="Times New Roman" w:cs="Times New Roman"/>
          <w:b/>
          <w:bCs/>
          <w:rtl/>
          <w:lang w:eastAsia="de-DE"/>
        </w:rPr>
        <w:t>לעיניך</w:t>
      </w:r>
      <w:r w:rsidRPr="00CC6F7E">
        <w:rPr>
          <w:rFonts w:eastAsia="Times New Roman" w:cs="Times New Roman"/>
          <w:rtl/>
          <w:lang w:eastAsia="de-DE"/>
        </w:rPr>
        <w:t xml:space="preserve"> </w:t>
      </w:r>
      <w:r w:rsidRPr="00CC6F7E">
        <w:rPr>
          <w:rFonts w:eastAsia="Times New Roman" w:cs="Times New Roman"/>
          <w:lang w:eastAsia="de-DE"/>
        </w:rPr>
        <w:t>zeigt israelitische Aufsichtspflicht.</w:t>
      </w:r>
    </w:p>
    <w:p w14:paraId="107E08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כשכיר שנה בשנה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ὡς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μισθωτὸς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αυτὸν </w:t>
      </w:r>
      <w:proofErr w:type="spellStart"/>
      <w:r w:rsidRPr="00CC6F7E">
        <w:rPr>
          <w:rFonts w:eastAsia="Times New Roman" w:cs="Times New Roman"/>
          <w:lang w:eastAsia="de-DE"/>
        </w:rPr>
        <w:t>ἐξ</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αυτοῦ (wie ein Lohnarbeiter Jahr für Jahr), </w:t>
      </w:r>
      <w:r w:rsidRPr="00CC6F7E">
        <w:rPr>
          <w:rFonts w:eastAsia="Times New Roman" w:cs="Times New Roman"/>
          <w:b/>
          <w:bCs/>
          <w:rtl/>
          <w:lang w:eastAsia="de-DE"/>
        </w:rPr>
        <w:t>לא־ירדנו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τενεῖ</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ὐτόν</w:t>
      </w:r>
      <w:proofErr w:type="spellEnd"/>
      <w:r w:rsidRPr="00CC6F7E">
        <w:rPr>
          <w:rFonts w:eastAsia="Times New Roman" w:cs="Times New Roman"/>
          <w:lang w:eastAsia="de-DE"/>
        </w:rPr>
        <w:t xml:space="preserve"> (wird ihn nicht niederdrücken), </w:t>
      </w:r>
      <w:r w:rsidRPr="00CC6F7E">
        <w:rPr>
          <w:rFonts w:eastAsia="Times New Roman" w:cs="Times New Roman"/>
          <w:b/>
          <w:bCs/>
          <w:rtl/>
          <w:lang w:eastAsia="de-DE"/>
        </w:rPr>
        <w:t>בפרך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μόχθῳ</w:t>
      </w:r>
      <w:proofErr w:type="spellEnd"/>
      <w:r w:rsidRPr="00CC6F7E">
        <w:rPr>
          <w:rFonts w:eastAsia="Times New Roman" w:cs="Times New Roman"/>
          <w:lang w:eastAsia="de-DE"/>
        </w:rPr>
        <w:t xml:space="preserve"> (mit Mühsal) und </w:t>
      </w:r>
      <w:r w:rsidRPr="00CC6F7E">
        <w:rPr>
          <w:rFonts w:eastAsia="Times New Roman" w:cs="Times New Roman"/>
          <w:b/>
          <w:bCs/>
          <w:rtl/>
          <w:lang w:eastAsia="de-DE"/>
        </w:rPr>
        <w:t>לעיניך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ἐνώ</w:t>
      </w:r>
      <w:proofErr w:type="spellEnd"/>
      <w:r w:rsidRPr="00CC6F7E">
        <w:rPr>
          <w:rFonts w:eastAsia="Times New Roman" w:cs="Times New Roman"/>
          <w:lang w:eastAsia="de-DE"/>
        </w:rPr>
        <w:t xml:space="preserve">πιόν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(vor dir).</w:t>
      </w:r>
    </w:p>
    <w:p w14:paraId="4E23478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Fremdherr-Behandlungsvorschrift: wie jährlicher Tagelöhner bei ihm + keine </w:t>
      </w:r>
      <w:r w:rsidRPr="00CC6F7E">
        <w:rPr>
          <w:rFonts w:eastAsia="Times New Roman" w:cs="Times New Roman"/>
          <w:b/>
          <w:bCs/>
          <w:rtl/>
          <w:lang w:eastAsia="de-DE"/>
        </w:rPr>
        <w:t>פרך</w:t>
      </w:r>
      <w:r w:rsidRPr="00CC6F7E">
        <w:rPr>
          <w:rFonts w:eastAsia="Times New Roman" w:cs="Times New Roman"/>
          <w:lang w:eastAsia="de-DE"/>
        </w:rPr>
        <w:t>-Herrschaft vor deinen Augen.</w:t>
      </w:r>
    </w:p>
    <w:p w14:paraId="3A7CF2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schützt den an Fremde verkauften Israeliten vor </w:t>
      </w:r>
      <w:r w:rsidRPr="00CC6F7E">
        <w:rPr>
          <w:rFonts w:eastAsia="Times New Roman" w:cs="Times New Roman"/>
          <w:b/>
          <w:bCs/>
          <w:rtl/>
          <w:lang w:eastAsia="de-DE"/>
        </w:rPr>
        <w:t>פרך</w:t>
      </w:r>
      <w:r w:rsidRPr="00CC6F7E">
        <w:rPr>
          <w:rFonts w:eastAsia="Times New Roman" w:cs="Times New Roman"/>
          <w:lang w:eastAsia="de-DE"/>
        </w:rPr>
        <w:t xml:space="preserve">-Behandlung und stellt ihn einem jährlich erneuerten </w:t>
      </w:r>
      <w:r w:rsidRPr="00CC6F7E">
        <w:rPr>
          <w:rFonts w:eastAsia="Times New Roman" w:cs="Times New Roman"/>
          <w:b/>
          <w:bCs/>
          <w:rtl/>
          <w:lang w:eastAsia="de-DE"/>
        </w:rPr>
        <w:t>שכיר</w:t>
      </w:r>
      <w:r w:rsidRPr="00CC6F7E">
        <w:rPr>
          <w:rFonts w:eastAsia="Times New Roman" w:cs="Times New Roman"/>
          <w:rtl/>
          <w:lang w:eastAsia="de-DE"/>
        </w:rPr>
        <w:t xml:space="preserve"> </w:t>
      </w:r>
      <w:r w:rsidRPr="00CC6F7E">
        <w:rPr>
          <w:rFonts w:eastAsia="Times New Roman" w:cs="Times New Roman"/>
          <w:lang w:eastAsia="de-DE"/>
        </w:rPr>
        <w:t>gleich.</w:t>
      </w:r>
    </w:p>
    <w:p w14:paraId="6664394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25,54</w:t>
      </w:r>
    </w:p>
    <w:p w14:paraId="2DF781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וְאִם־לֹ֥א יִגָּאֵ֖ל בְּאֵ֑לֶּה וְיָצָא֙ בִּשְׁנַ֣ת הַיֹּבֵ֔ל ה֖וּא וּבָנָ֥יו עִמּוֹֽ׃</w:t>
      </w:r>
    </w:p>
    <w:p w14:paraId="0B1E21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er nicht durch diese gelöst wird, so soll er im Jobeljahr ausgehen, er und seine Kinder mit ihm.</w:t>
      </w:r>
    </w:p>
    <w:p w14:paraId="1DF1F61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FC59E4C">
          <v:rect id="_x0000_i1802" style="width:0;height:1.5pt" o:hralign="center" o:hrstd="t" o:hr="t" fillcolor="#a0a0a0" stroked="f"/>
        </w:pict>
      </w:r>
    </w:p>
    <w:p w14:paraId="667B01B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ואם־לא יגאל באלה ויצא בשנת היבל הוא ובניו עמו</w:t>
      </w:r>
      <w:r w:rsidRPr="00CC6F7E">
        <w:rPr>
          <w:rFonts w:eastAsia="Times New Roman" w:cs="Times New Roman"/>
          <w:rtl/>
          <w:lang w:eastAsia="de-DE"/>
        </w:rPr>
        <w:t xml:space="preserve"> </w:t>
      </w:r>
      <w:r w:rsidRPr="00CC6F7E">
        <w:rPr>
          <w:rFonts w:eastAsia="Times New Roman" w:cs="Times New Roman"/>
          <w:lang w:eastAsia="de-DE"/>
        </w:rPr>
        <w:t xml:space="preserve">zeigt das Jobeljahr als ultimative Befreiung auch bei Fremdherren. </w:t>
      </w:r>
      <w:r w:rsidRPr="00CC6F7E">
        <w:rPr>
          <w:rFonts w:eastAsia="Times New Roman" w:cs="Times New Roman"/>
          <w:b/>
          <w:bCs/>
          <w:rtl/>
          <w:lang w:eastAsia="de-DE"/>
        </w:rPr>
        <w:t>ואם־לא יגאל באלה</w:t>
      </w:r>
      <w:r w:rsidRPr="00CC6F7E">
        <w:rPr>
          <w:rFonts w:eastAsia="Times New Roman" w:cs="Times New Roman"/>
          <w:rtl/>
          <w:lang w:eastAsia="de-DE"/>
        </w:rPr>
        <w:t xml:space="preserve"> </w:t>
      </w:r>
      <w:r w:rsidRPr="00CC6F7E">
        <w:rPr>
          <w:rFonts w:eastAsia="Times New Roman" w:cs="Times New Roman"/>
          <w:lang w:eastAsia="de-DE"/>
        </w:rPr>
        <w:t xml:space="preserve">(und wenn er nicht durch diese gelöst wird) - </w:t>
      </w:r>
      <w:r w:rsidRPr="00CC6F7E">
        <w:rPr>
          <w:rFonts w:eastAsia="Times New Roman" w:cs="Times New Roman"/>
          <w:b/>
          <w:bCs/>
          <w:rtl/>
          <w:lang w:eastAsia="de-DE"/>
        </w:rPr>
        <w:t>לא יגאל</w:t>
      </w:r>
      <w:r w:rsidRPr="00CC6F7E">
        <w:rPr>
          <w:rFonts w:eastAsia="Times New Roman" w:cs="Times New Roman"/>
          <w:rtl/>
          <w:lang w:eastAsia="de-DE"/>
        </w:rPr>
        <w:t xml:space="preserve"> </w:t>
      </w:r>
      <w:r w:rsidRPr="00CC6F7E">
        <w:rPr>
          <w:rFonts w:eastAsia="Times New Roman" w:cs="Times New Roman"/>
          <w:lang w:eastAsia="de-DE"/>
        </w:rPr>
        <w:t xml:space="preserve">(nicht gelöst wird) im Nifal-Imperfekt zeigt gescheiterte </w:t>
      </w:r>
      <w:r w:rsidRPr="00CC6F7E">
        <w:rPr>
          <w:rFonts w:eastAsia="Times New Roman" w:cs="Times New Roman"/>
          <w:b/>
          <w:bCs/>
          <w:rtl/>
          <w:lang w:eastAsia="de-DE"/>
        </w:rPr>
        <w:t>גאלה</w:t>
      </w:r>
      <w:r w:rsidRPr="00CC6F7E">
        <w:rPr>
          <w:rFonts w:eastAsia="Times New Roman" w:cs="Times New Roman"/>
          <w:lang w:eastAsia="de-DE"/>
        </w:rPr>
        <w:t xml:space="preserve">. </w:t>
      </w:r>
      <w:r w:rsidRPr="00CC6F7E">
        <w:rPr>
          <w:rFonts w:eastAsia="Times New Roman" w:cs="Times New Roman"/>
          <w:b/>
          <w:bCs/>
          <w:rtl/>
          <w:lang w:eastAsia="de-DE"/>
        </w:rPr>
        <w:t>באלה</w:t>
      </w:r>
      <w:r w:rsidRPr="00CC6F7E">
        <w:rPr>
          <w:rFonts w:eastAsia="Times New Roman" w:cs="Times New Roman"/>
          <w:rtl/>
          <w:lang w:eastAsia="de-DE"/>
        </w:rPr>
        <w:t xml:space="preserve"> </w:t>
      </w:r>
      <w:r w:rsidRPr="00CC6F7E">
        <w:rPr>
          <w:rFonts w:eastAsia="Times New Roman" w:cs="Times New Roman"/>
          <w:lang w:eastAsia="de-DE"/>
        </w:rPr>
        <w:t xml:space="preserve">(durch diese) bezieht sich auf alle genannten </w:t>
      </w:r>
      <w:r w:rsidRPr="00CC6F7E">
        <w:rPr>
          <w:rFonts w:eastAsia="Times New Roman" w:cs="Times New Roman"/>
          <w:b/>
          <w:bCs/>
          <w:rtl/>
          <w:lang w:eastAsia="de-DE"/>
        </w:rPr>
        <w:t>גאל</w:t>
      </w:r>
      <w:r w:rsidRPr="00CC6F7E">
        <w:rPr>
          <w:rFonts w:eastAsia="Times New Roman" w:cs="Times New Roman"/>
          <w:lang w:eastAsia="de-DE"/>
        </w:rPr>
        <w:t>-Möglichkeiten aus V. 48-49.</w:t>
      </w:r>
    </w:p>
    <w:p w14:paraId="17FD7A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ויצא בשנת היבל הוא ובניו עמו</w:t>
      </w:r>
      <w:r w:rsidRPr="00CC6F7E">
        <w:rPr>
          <w:rFonts w:eastAsia="Times New Roman" w:cs="Times New Roman"/>
          <w:rtl/>
          <w:lang w:eastAsia="de-DE"/>
        </w:rPr>
        <w:t xml:space="preserve"> </w:t>
      </w:r>
      <w:r w:rsidRPr="00CC6F7E">
        <w:rPr>
          <w:rFonts w:eastAsia="Times New Roman" w:cs="Times New Roman"/>
          <w:lang w:eastAsia="de-DE"/>
        </w:rPr>
        <w:t xml:space="preserve">(so soll er im Jobeljahr ausgehen, er und seine Kinder mit ihm) entspricht V. 41 und zeigt automatische Jobel-Befreiung. </w:t>
      </w:r>
      <w:r w:rsidRPr="00CC6F7E">
        <w:rPr>
          <w:rFonts w:eastAsia="Times New Roman" w:cs="Times New Roman"/>
          <w:b/>
          <w:bCs/>
          <w:rtl/>
          <w:lang w:eastAsia="de-DE"/>
        </w:rPr>
        <w:t>יצא בשנת היבל</w:t>
      </w:r>
      <w:r w:rsidRPr="00CC6F7E">
        <w:rPr>
          <w:rFonts w:eastAsia="Times New Roman" w:cs="Times New Roman"/>
          <w:rtl/>
          <w:lang w:eastAsia="de-DE"/>
        </w:rPr>
        <w:t xml:space="preserve"> </w:t>
      </w:r>
      <w:r w:rsidRPr="00CC6F7E">
        <w:rPr>
          <w:rFonts w:eastAsia="Times New Roman" w:cs="Times New Roman"/>
          <w:lang w:eastAsia="de-DE"/>
        </w:rPr>
        <w:t xml:space="preserve">entspricht V. 28. </w:t>
      </w:r>
      <w:r w:rsidRPr="00CC6F7E">
        <w:rPr>
          <w:rFonts w:eastAsia="Times New Roman" w:cs="Times New Roman"/>
          <w:b/>
          <w:bCs/>
          <w:rtl/>
          <w:lang w:eastAsia="de-DE"/>
        </w:rPr>
        <w:t>הוא ובניו עמו</w:t>
      </w:r>
      <w:r w:rsidRPr="00CC6F7E">
        <w:rPr>
          <w:rFonts w:eastAsia="Times New Roman" w:cs="Times New Roman"/>
          <w:rtl/>
          <w:lang w:eastAsia="de-DE"/>
        </w:rPr>
        <w:t xml:space="preserve"> </w:t>
      </w:r>
      <w:r w:rsidRPr="00CC6F7E">
        <w:rPr>
          <w:rFonts w:eastAsia="Times New Roman" w:cs="Times New Roman"/>
          <w:lang w:eastAsia="de-DE"/>
        </w:rPr>
        <w:t>zeigt Familienbefreiung.</w:t>
      </w:r>
    </w:p>
    <w:p w14:paraId="725C386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יגאל באלה</w:t>
      </w:r>
      <w:r w:rsidRPr="00CC6F7E">
        <w:rPr>
          <w:rFonts w:eastAsia="Times New Roman" w:cs="Times New Roman"/>
          <w:rtl/>
          <w:lang w:eastAsia="de-DE"/>
        </w:rPr>
        <w:t xml:space="preserve"> </w:t>
      </w:r>
      <w:r w:rsidRPr="00CC6F7E">
        <w:rPr>
          <w:rFonts w:eastAsia="Times New Roman" w:cs="Times New Roman"/>
          <w:lang w:eastAsia="de-DE"/>
        </w:rPr>
        <w:t xml:space="preserve">zeigt alle </w:t>
      </w:r>
      <w:r w:rsidRPr="00CC6F7E">
        <w:rPr>
          <w:rFonts w:eastAsia="Times New Roman" w:cs="Times New Roman"/>
          <w:b/>
          <w:bCs/>
          <w:rtl/>
          <w:lang w:eastAsia="de-DE"/>
        </w:rPr>
        <w:t>גאלה</w:t>
      </w:r>
      <w:r w:rsidRPr="00CC6F7E">
        <w:rPr>
          <w:rFonts w:eastAsia="Times New Roman" w:cs="Times New Roman"/>
          <w:lang w:eastAsia="de-DE"/>
        </w:rPr>
        <w:t xml:space="preserve">-Optionen erschöpft. </w:t>
      </w:r>
      <w:r w:rsidRPr="00CC6F7E">
        <w:rPr>
          <w:rFonts w:eastAsia="Times New Roman" w:cs="Times New Roman"/>
          <w:b/>
          <w:bCs/>
          <w:rtl/>
          <w:lang w:eastAsia="de-DE"/>
        </w:rPr>
        <w:t>ויצא בשנת היבל</w:t>
      </w:r>
      <w:r w:rsidRPr="00CC6F7E">
        <w:rPr>
          <w:rFonts w:eastAsia="Times New Roman" w:cs="Times New Roman"/>
          <w:rtl/>
          <w:lang w:eastAsia="de-DE"/>
        </w:rPr>
        <w:t xml:space="preserve"> </w:t>
      </w:r>
      <w:r w:rsidRPr="00CC6F7E">
        <w:rPr>
          <w:rFonts w:eastAsia="Times New Roman" w:cs="Times New Roman"/>
          <w:lang w:eastAsia="de-DE"/>
        </w:rPr>
        <w:t xml:space="preserve">zeigt Jobel als ultimative Sicherung auch bei Fremdherren. </w:t>
      </w:r>
      <w:r w:rsidRPr="00CC6F7E">
        <w:rPr>
          <w:rFonts w:eastAsia="Times New Roman" w:cs="Times New Roman"/>
          <w:b/>
          <w:bCs/>
          <w:rtl/>
          <w:lang w:eastAsia="de-DE"/>
        </w:rPr>
        <w:t>הוא ובניו עמו</w:t>
      </w:r>
      <w:r w:rsidRPr="00CC6F7E">
        <w:rPr>
          <w:rFonts w:eastAsia="Times New Roman" w:cs="Times New Roman"/>
          <w:rtl/>
          <w:lang w:eastAsia="de-DE"/>
        </w:rPr>
        <w:t xml:space="preserve"> </w:t>
      </w:r>
      <w:r w:rsidRPr="00CC6F7E">
        <w:rPr>
          <w:rFonts w:eastAsia="Times New Roman" w:cs="Times New Roman"/>
          <w:lang w:eastAsia="de-DE"/>
        </w:rPr>
        <w:t>zeigt generationenübergreifende Befreiung.</w:t>
      </w:r>
    </w:p>
    <w:p w14:paraId="56ED8B6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לא יגאל באלה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λυτρωθῇ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τούτοις</w:t>
      </w:r>
      <w:proofErr w:type="spellEnd"/>
      <w:r w:rsidRPr="00CC6F7E">
        <w:rPr>
          <w:rFonts w:eastAsia="Times New Roman" w:cs="Times New Roman"/>
          <w:lang w:eastAsia="de-DE"/>
        </w:rPr>
        <w:t xml:space="preserve"> (nicht gelöst wird durch diese), </w:t>
      </w:r>
      <w:r w:rsidRPr="00CC6F7E">
        <w:rPr>
          <w:rFonts w:eastAsia="Times New Roman" w:cs="Times New Roman"/>
          <w:b/>
          <w:bCs/>
          <w:rtl/>
          <w:lang w:eastAsia="de-DE"/>
        </w:rPr>
        <w:t>ויצא בשנת היבל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ἐξελεύσετ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ἔτει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(wird ausgehen im Jahr des Erlasses) und </w:t>
      </w:r>
      <w:r w:rsidRPr="00CC6F7E">
        <w:rPr>
          <w:rFonts w:eastAsia="Times New Roman" w:cs="Times New Roman"/>
          <w:b/>
          <w:bCs/>
          <w:rtl/>
          <w:lang w:eastAsia="de-DE"/>
        </w:rPr>
        <w:t>ובניו עמו</w:t>
      </w:r>
      <w:r w:rsidRPr="00CC6F7E">
        <w:rPr>
          <w:rFonts w:eastAsia="Times New Roman" w:cs="Times New Roman"/>
          <w:rtl/>
          <w:lang w:eastAsia="de-DE"/>
        </w:rPr>
        <w:t xml:space="preserve"> </w:t>
      </w:r>
      <w:r w:rsidRPr="00CC6F7E">
        <w:rPr>
          <w:rFonts w:eastAsia="Times New Roman" w:cs="Times New Roman"/>
          <w:lang w:eastAsia="de-DE"/>
        </w:rPr>
        <w:t xml:space="preserve">mit καὶ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πα</w:t>
      </w:r>
      <w:proofErr w:type="spellStart"/>
      <w:r w:rsidRPr="00CC6F7E">
        <w:rPr>
          <w:rFonts w:eastAsia="Times New Roman" w:cs="Times New Roman"/>
          <w:lang w:eastAsia="de-DE"/>
        </w:rPr>
        <w:t>ιδί</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μετ</w:t>
      </w:r>
      <w:proofErr w:type="spellEnd"/>
      <w:r w:rsidRPr="00CC6F7E">
        <w:rPr>
          <w:rFonts w:eastAsia="Times New Roman" w:cs="Times New Roman"/>
          <w:lang w:eastAsia="de-DE"/>
        </w:rPr>
        <w:t>᾽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(und seine Kinder mit ihm).</w:t>
      </w:r>
    </w:p>
    <w:p w14:paraId="7209FE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Jobel-Befreiung als Ultima Ratio: keine Lösung durch alle </w:t>
      </w:r>
      <w:r w:rsidRPr="00CC6F7E">
        <w:rPr>
          <w:rFonts w:eastAsia="Times New Roman" w:cs="Times New Roman"/>
          <w:b/>
          <w:bCs/>
          <w:rtl/>
          <w:lang w:eastAsia="de-DE"/>
        </w:rPr>
        <w:t>גאל</w:t>
      </w:r>
      <w:r w:rsidRPr="00CC6F7E">
        <w:rPr>
          <w:rFonts w:eastAsia="Times New Roman" w:cs="Times New Roman"/>
          <w:lang w:eastAsia="de-DE"/>
        </w:rPr>
        <w:t>-Optionen + Jobeljahr-Ausgang + er und Kinder.</w:t>
      </w:r>
    </w:p>
    <w:p w14:paraId="0475800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garantiert auch bei gescheiterter </w:t>
      </w:r>
      <w:r w:rsidRPr="00CC6F7E">
        <w:rPr>
          <w:rFonts w:eastAsia="Times New Roman" w:cs="Times New Roman"/>
          <w:b/>
          <w:bCs/>
          <w:rtl/>
          <w:lang w:eastAsia="de-DE"/>
        </w:rPr>
        <w:t>גאלה</w:t>
      </w:r>
      <w:r w:rsidRPr="00CC6F7E">
        <w:rPr>
          <w:rFonts w:eastAsia="Times New Roman" w:cs="Times New Roman"/>
          <w:rtl/>
          <w:lang w:eastAsia="de-DE"/>
        </w:rPr>
        <w:t xml:space="preserve"> </w:t>
      </w:r>
      <w:r w:rsidRPr="00CC6F7E">
        <w:rPr>
          <w:rFonts w:eastAsia="Times New Roman" w:cs="Times New Roman"/>
          <w:lang w:eastAsia="de-DE"/>
        </w:rPr>
        <w:t>die automatische Jobel-Befreiung für den an Fremde verkauften Israeliten und seine Familie.</w:t>
      </w:r>
    </w:p>
    <w:p w14:paraId="2ABCFBB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25,55</w:t>
      </w:r>
    </w:p>
    <w:p w14:paraId="2F10476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כִּֽי־לִ֤י בְנֵֽי־יִשְׂרָאֵל֙ עֲבָדִ֔ים עֲבָדַ֣י הֵ֔ם אֲשֶׁר־הוֹצֵ֥אתִי אוֹתָ֖ם מֵאֶ֣רֶץ מִצְרָ֑יִם אֲנִ֖י יְהוָ֥ה אֱלֹהֵיכֶֽם׃</w:t>
      </w:r>
    </w:p>
    <w:p w14:paraId="1E9145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Denn mir sind die Kinder Israels Knechte; meine Knechte sind sie, die ich aus dem Land Ägypten herausgeführt habe. Ich bin der Ewige, euer Gott.</w:t>
      </w:r>
    </w:p>
    <w:p w14:paraId="4624AAC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B56846D">
          <v:rect id="_x0000_i1803" style="width:0;height:1.5pt" o:hralign="center" o:hrstd="t" o:hr="t" fillcolor="#a0a0a0" stroked="f"/>
        </w:pict>
      </w:r>
    </w:p>
    <w:p w14:paraId="07B855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כי־לי בני־ישראל עבדים עבדי הם אשר־הוצאתי אותם מארץ מצרים 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schließt das Kapitel mit der theologischen Grundlage aller sozialen Gesetze. </w:t>
      </w:r>
      <w:r w:rsidRPr="00CC6F7E">
        <w:rPr>
          <w:rFonts w:eastAsia="Times New Roman" w:cs="Times New Roman"/>
          <w:b/>
          <w:bCs/>
          <w:rtl/>
          <w:lang w:eastAsia="de-DE"/>
        </w:rPr>
        <w:t xml:space="preserve">כי־לי בני־ישראל </w:t>
      </w:r>
      <w:r w:rsidRPr="00CC6F7E">
        <w:rPr>
          <w:rFonts w:eastAsia="Times New Roman" w:cs="Times New Roman"/>
          <w:b/>
          <w:bCs/>
          <w:rtl/>
          <w:lang w:eastAsia="de-DE"/>
        </w:rPr>
        <w:lastRenderedPageBreak/>
        <w:t>עבדים</w:t>
      </w:r>
      <w:r w:rsidRPr="00CC6F7E">
        <w:rPr>
          <w:rFonts w:eastAsia="Times New Roman" w:cs="Times New Roman"/>
          <w:rtl/>
          <w:lang w:eastAsia="de-DE"/>
        </w:rPr>
        <w:t xml:space="preserve"> </w:t>
      </w:r>
      <w:r w:rsidRPr="00CC6F7E">
        <w:rPr>
          <w:rFonts w:eastAsia="Times New Roman" w:cs="Times New Roman"/>
          <w:lang w:eastAsia="de-DE"/>
        </w:rPr>
        <w:t xml:space="preserve">(denn mir sind die Kinder Israels Knechte) entspricht V. 42 und zeigt exklusiven göttlichen </w:t>
      </w:r>
      <w:r w:rsidRPr="00CC6F7E">
        <w:rPr>
          <w:rFonts w:eastAsia="Times New Roman" w:cs="Times New Roman"/>
          <w:b/>
          <w:bCs/>
          <w:rtl/>
          <w:lang w:eastAsia="de-DE"/>
        </w:rPr>
        <w:t>עבד</w:t>
      </w:r>
      <w:r w:rsidRPr="00CC6F7E">
        <w:rPr>
          <w:rFonts w:eastAsia="Times New Roman" w:cs="Times New Roman"/>
          <w:lang w:eastAsia="de-DE"/>
        </w:rPr>
        <w:t xml:space="preserve">-Anspruch. </w:t>
      </w:r>
      <w:r w:rsidRPr="00CC6F7E">
        <w:rPr>
          <w:rFonts w:eastAsia="Times New Roman" w:cs="Times New Roman"/>
          <w:b/>
          <w:bCs/>
          <w:rtl/>
          <w:lang w:eastAsia="de-DE"/>
        </w:rPr>
        <w:t>עבדי הם</w:t>
      </w:r>
      <w:r w:rsidRPr="00CC6F7E">
        <w:rPr>
          <w:rFonts w:eastAsia="Times New Roman" w:cs="Times New Roman"/>
          <w:rtl/>
          <w:lang w:eastAsia="de-DE"/>
        </w:rPr>
        <w:t xml:space="preserve"> </w:t>
      </w:r>
      <w:r w:rsidRPr="00CC6F7E">
        <w:rPr>
          <w:rFonts w:eastAsia="Times New Roman" w:cs="Times New Roman"/>
          <w:lang w:eastAsia="de-DE"/>
        </w:rPr>
        <w:t>(meine Knechte sind sie) bekräftigt diese Zugehörigkeit.</w:t>
      </w:r>
    </w:p>
    <w:p w14:paraId="45AB8A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אשר־הוצאתי אותם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(die ich aus dem Land Ägypten herausgeführt habe) entspricht V. 38,42 und begründet den göttlichen Anspruch durch die Befreiungstat.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(ich bin der Ewige, euer Gott) als abschließende Bundesformel.</w:t>
      </w:r>
    </w:p>
    <w:p w14:paraId="60FECB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לי בני־ישראל עבדים</w:t>
      </w:r>
      <w:r w:rsidRPr="00CC6F7E">
        <w:rPr>
          <w:rFonts w:eastAsia="Times New Roman" w:cs="Times New Roman"/>
          <w:rtl/>
          <w:lang w:eastAsia="de-DE"/>
        </w:rPr>
        <w:t xml:space="preserve"> </w:t>
      </w:r>
      <w:r w:rsidRPr="00CC6F7E">
        <w:rPr>
          <w:rFonts w:eastAsia="Times New Roman" w:cs="Times New Roman"/>
          <w:lang w:eastAsia="de-DE"/>
        </w:rPr>
        <w:t xml:space="preserve">zeigt göttlichen Exklusivanspruch. </w:t>
      </w:r>
      <w:r w:rsidRPr="00CC6F7E">
        <w:rPr>
          <w:rFonts w:eastAsia="Times New Roman" w:cs="Times New Roman"/>
          <w:b/>
          <w:bCs/>
          <w:rtl/>
          <w:lang w:eastAsia="de-DE"/>
        </w:rPr>
        <w:t>עבדי הם</w:t>
      </w:r>
      <w:r w:rsidRPr="00CC6F7E">
        <w:rPr>
          <w:rFonts w:eastAsia="Times New Roman" w:cs="Times New Roman"/>
          <w:rtl/>
          <w:lang w:eastAsia="de-DE"/>
        </w:rPr>
        <w:t xml:space="preserve"> </w:t>
      </w:r>
      <w:r w:rsidRPr="00CC6F7E">
        <w:rPr>
          <w:rFonts w:eastAsia="Times New Roman" w:cs="Times New Roman"/>
          <w:lang w:eastAsia="de-DE"/>
        </w:rPr>
        <w:t xml:space="preserve">bekräftigt die </w:t>
      </w:r>
      <w:r w:rsidRPr="00CC6F7E">
        <w:rPr>
          <w:rFonts w:eastAsia="Times New Roman" w:cs="Times New Roman"/>
          <w:b/>
          <w:bCs/>
          <w:rtl/>
          <w:lang w:eastAsia="de-DE"/>
        </w:rPr>
        <w:t>עבד</w:t>
      </w:r>
      <w:r w:rsidRPr="00CC6F7E">
        <w:rPr>
          <w:rFonts w:eastAsia="Times New Roman" w:cs="Times New Roman"/>
          <w:lang w:eastAsia="de-DE"/>
        </w:rPr>
        <w:t xml:space="preserve">-Identität zu JHWH. </w:t>
      </w:r>
      <w:r w:rsidRPr="00CC6F7E">
        <w:rPr>
          <w:rFonts w:eastAsia="Times New Roman" w:cs="Times New Roman"/>
          <w:b/>
          <w:bCs/>
          <w:rtl/>
          <w:lang w:eastAsia="de-DE"/>
        </w:rPr>
        <w:t>הוצאתי אותם מארץ מצרים</w:t>
      </w:r>
      <w:r w:rsidRPr="00CC6F7E">
        <w:rPr>
          <w:rFonts w:eastAsia="Times New Roman" w:cs="Times New Roman"/>
          <w:rtl/>
          <w:lang w:eastAsia="de-DE"/>
        </w:rPr>
        <w:t xml:space="preserve"> </w:t>
      </w:r>
      <w:r w:rsidRPr="00CC6F7E">
        <w:rPr>
          <w:rFonts w:eastAsia="Times New Roman" w:cs="Times New Roman"/>
          <w:lang w:eastAsia="de-DE"/>
        </w:rPr>
        <w:t>begründet diesen Anspruch durch Exodus-Befreiung.</w:t>
      </w:r>
    </w:p>
    <w:p w14:paraId="29DFEE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לי בני־ישראל עבדים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ἐμοί</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εἰσιν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οἱ</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υἱοὶ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Ισρ</w:t>
      </w:r>
      <w:proofErr w:type="spellEnd"/>
      <w:r w:rsidRPr="00CC6F7E">
        <w:rPr>
          <w:rFonts w:eastAsia="Times New Roman" w:cs="Times New Roman"/>
          <w:lang w:eastAsia="de-DE"/>
        </w:rPr>
        <w:t xml:space="preserve">αηλ </w:t>
      </w:r>
      <w:proofErr w:type="spellStart"/>
      <w:r w:rsidRPr="00CC6F7E">
        <w:rPr>
          <w:rFonts w:eastAsia="Times New Roman" w:cs="Times New Roman"/>
          <w:lang w:eastAsia="de-DE"/>
        </w:rPr>
        <w:t>οἰκέτ</w:t>
      </w:r>
      <w:proofErr w:type="spellEnd"/>
      <w:r w:rsidRPr="00CC6F7E">
        <w:rPr>
          <w:rFonts w:eastAsia="Times New Roman" w:cs="Times New Roman"/>
          <w:lang w:eastAsia="de-DE"/>
        </w:rPr>
        <w:t xml:space="preserve">αι (mir sind die Söhne Israels Hausdiener), </w:t>
      </w:r>
      <w:r w:rsidRPr="00CC6F7E">
        <w:rPr>
          <w:rFonts w:eastAsia="Times New Roman" w:cs="Times New Roman"/>
          <w:b/>
          <w:bCs/>
          <w:rtl/>
          <w:lang w:eastAsia="de-DE"/>
        </w:rPr>
        <w:t>עבדי הם</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ῖδές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μού</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εἰσιν</w:t>
      </w:r>
      <w:proofErr w:type="spellEnd"/>
      <w:r w:rsidRPr="00CC6F7E">
        <w:rPr>
          <w:rFonts w:eastAsia="Times New Roman" w:cs="Times New Roman"/>
          <w:lang w:eastAsia="de-DE"/>
        </w:rPr>
        <w:t xml:space="preserve"> (meine Knaben sind sie), </w:t>
      </w:r>
      <w:r w:rsidRPr="00CC6F7E">
        <w:rPr>
          <w:rFonts w:eastAsia="Times New Roman" w:cs="Times New Roman"/>
          <w:b/>
          <w:bCs/>
          <w:rtl/>
          <w:lang w:eastAsia="de-DE"/>
        </w:rPr>
        <w:t>הוצאתי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ἐξήγ</w:t>
      </w:r>
      <w:proofErr w:type="spellEnd"/>
      <w:r w:rsidRPr="00CC6F7E">
        <w:rPr>
          <w:rFonts w:eastAsia="Times New Roman" w:cs="Times New Roman"/>
          <w:lang w:eastAsia="de-DE"/>
        </w:rPr>
        <w:t xml:space="preserve">αγον (führte ich heraus) und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ἐγώ</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εἰμι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κύριος</w:t>
      </w:r>
      <w:proofErr w:type="spellEnd"/>
      <w:r w:rsidRPr="00CC6F7E">
        <w:rPr>
          <w:rFonts w:eastAsia="Times New Roman" w:cs="Times New Roman"/>
          <w:lang w:eastAsia="de-DE"/>
        </w:rPr>
        <w:t xml:space="preserve"> ὁ </w:t>
      </w:r>
      <w:proofErr w:type="spellStart"/>
      <w:r w:rsidRPr="00CC6F7E">
        <w:rPr>
          <w:rFonts w:eastAsia="Times New Roman" w:cs="Times New Roman"/>
          <w:lang w:eastAsia="de-DE"/>
        </w:rPr>
        <w:t>θεὸς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(ich bin der Herr, euer Gott).</w:t>
      </w:r>
    </w:p>
    <w:p w14:paraId="0EDE97F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theologische Grundlegung: Israel als JHWH-Knechte + bekräftigte JHWH-Zugehörigkeit + Exodus-Begründung + Bundesgott-Identität.</w:t>
      </w:r>
    </w:p>
    <w:p w14:paraId="0C781D8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Schlussvers begründet alle sozialen Gesetze theologisch: Israel gehört exklusiv JHWH seit dem Exodus und kann daher nicht anderen als echte Sklaven gehören.</w:t>
      </w:r>
    </w:p>
    <w:p w14:paraId="354CB2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Kapitel 25 etabliert </w:t>
      </w:r>
      <w:r w:rsidRPr="00CC6F7E">
        <w:rPr>
          <w:rFonts w:eastAsia="Times New Roman" w:cs="Times New Roman"/>
          <w:b/>
          <w:bCs/>
          <w:lang w:eastAsia="de-DE"/>
        </w:rPr>
        <w:t>ein umfassendes System sozialer und wirtschaftlicher Gerechtigkeit</w:t>
      </w:r>
      <w:r w:rsidRPr="00CC6F7E">
        <w:rPr>
          <w:rFonts w:eastAsia="Times New Roman" w:cs="Times New Roman"/>
          <w:lang w:eastAsia="de-DE"/>
        </w:rPr>
        <w:t xml:space="preserve"> basierend auf dem </w:t>
      </w:r>
      <w:r w:rsidRPr="00CC6F7E">
        <w:rPr>
          <w:rFonts w:eastAsia="Times New Roman" w:cs="Times New Roman"/>
          <w:b/>
          <w:bCs/>
          <w:lang w:eastAsia="de-DE"/>
        </w:rPr>
        <w:t>Sabbatjahr</w:t>
      </w:r>
      <w:r w:rsidRPr="00CC6F7E">
        <w:rPr>
          <w:rFonts w:eastAsia="Times New Roman" w:cs="Times New Roman"/>
          <w:lang w:eastAsia="de-DE"/>
        </w:rPr>
        <w:t xml:space="preserve"> (V. 1-7), </w:t>
      </w:r>
      <w:r w:rsidRPr="00CC6F7E">
        <w:rPr>
          <w:rFonts w:eastAsia="Times New Roman" w:cs="Times New Roman"/>
          <w:b/>
          <w:bCs/>
          <w:lang w:eastAsia="de-DE"/>
        </w:rPr>
        <w:t>Jobeljahr</w:t>
      </w:r>
      <w:r w:rsidRPr="00CC6F7E">
        <w:rPr>
          <w:rFonts w:eastAsia="Times New Roman" w:cs="Times New Roman"/>
          <w:lang w:eastAsia="de-DE"/>
        </w:rPr>
        <w:t xml:space="preserve"> (V. 8-22) und daraus resultierenden </w:t>
      </w:r>
      <w:r w:rsidRPr="00CC6F7E">
        <w:rPr>
          <w:rFonts w:eastAsia="Times New Roman" w:cs="Times New Roman"/>
          <w:b/>
          <w:bCs/>
          <w:lang w:eastAsia="de-DE"/>
        </w:rPr>
        <w:t>Landeinlösungsgesetzen</w:t>
      </w:r>
      <w:r w:rsidRPr="00CC6F7E">
        <w:rPr>
          <w:rFonts w:eastAsia="Times New Roman" w:cs="Times New Roman"/>
          <w:lang w:eastAsia="de-DE"/>
        </w:rPr>
        <w:t xml:space="preserve"> (V. 23-34) sowie </w:t>
      </w:r>
      <w:r w:rsidRPr="00CC6F7E">
        <w:rPr>
          <w:rFonts w:eastAsia="Times New Roman" w:cs="Times New Roman"/>
          <w:b/>
          <w:bCs/>
          <w:lang w:eastAsia="de-DE"/>
        </w:rPr>
        <w:t>Sozialgesetzen</w:t>
      </w:r>
      <w:r w:rsidRPr="00CC6F7E">
        <w:rPr>
          <w:rFonts w:eastAsia="Times New Roman" w:cs="Times New Roman"/>
          <w:lang w:eastAsia="de-DE"/>
        </w:rPr>
        <w:t xml:space="preserve"> (V. 35-55).</w:t>
      </w:r>
    </w:p>
    <w:p w14:paraId="5A791D7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1) Sabbatjahr-System (V. 1-7):</w:t>
      </w:r>
      <w:r w:rsidRPr="00CC6F7E">
        <w:rPr>
          <w:rFonts w:eastAsia="Times New Roman" w:cs="Times New Roman"/>
          <w:lang w:eastAsia="de-DE"/>
        </w:rPr>
        <w:t xml:space="preserve"> Sinai-Offenbarung als besondere Autorität. </w:t>
      </w:r>
      <w:r w:rsidRPr="00CC6F7E">
        <w:rPr>
          <w:rFonts w:eastAsia="Times New Roman" w:cs="Times New Roman"/>
          <w:b/>
          <w:bCs/>
          <w:rtl/>
          <w:lang w:eastAsia="de-DE"/>
        </w:rPr>
        <w:t>שבת שבתון</w:t>
      </w:r>
      <w:r w:rsidRPr="00CC6F7E">
        <w:rPr>
          <w:rFonts w:eastAsia="Times New Roman" w:cs="Times New Roman"/>
          <w:rtl/>
          <w:lang w:eastAsia="de-DE"/>
        </w:rPr>
        <w:t xml:space="preserve"> </w:t>
      </w:r>
      <w:r w:rsidRPr="00CC6F7E">
        <w:rPr>
          <w:rFonts w:eastAsia="Times New Roman" w:cs="Times New Roman"/>
          <w:lang w:eastAsia="de-DE"/>
        </w:rPr>
        <w:t>für das Land im siebten Jahr mit Verbot von Saat (</w:t>
      </w:r>
      <w:r w:rsidRPr="00CC6F7E">
        <w:rPr>
          <w:rFonts w:eastAsia="Times New Roman" w:cs="Times New Roman"/>
          <w:b/>
          <w:bCs/>
          <w:rtl/>
          <w:lang w:eastAsia="de-DE"/>
        </w:rPr>
        <w:t>לא תזרע</w:t>
      </w:r>
      <w:r w:rsidRPr="00CC6F7E">
        <w:rPr>
          <w:rFonts w:eastAsia="Times New Roman" w:cs="Times New Roman"/>
          <w:lang w:eastAsia="de-DE"/>
        </w:rPr>
        <w:t>), Rebenschnitt (</w:t>
      </w:r>
      <w:r w:rsidRPr="00CC6F7E">
        <w:rPr>
          <w:rFonts w:eastAsia="Times New Roman" w:cs="Times New Roman"/>
          <w:b/>
          <w:bCs/>
          <w:rtl/>
          <w:lang w:eastAsia="de-DE"/>
        </w:rPr>
        <w:t>לא תזמר</w:t>
      </w:r>
      <w:r w:rsidRPr="00CC6F7E">
        <w:rPr>
          <w:rFonts w:eastAsia="Times New Roman" w:cs="Times New Roman"/>
          <w:lang w:eastAsia="de-DE"/>
        </w:rPr>
        <w:t>) und organisierter Ernte (</w:t>
      </w:r>
      <w:r w:rsidRPr="00CC6F7E">
        <w:rPr>
          <w:rFonts w:eastAsia="Times New Roman" w:cs="Times New Roman"/>
          <w:b/>
          <w:bCs/>
          <w:rtl/>
          <w:lang w:eastAsia="de-DE"/>
        </w:rPr>
        <w:t>לא תקצור את־ספיח</w:t>
      </w:r>
      <w:r w:rsidRPr="00CC6F7E">
        <w:rPr>
          <w:rFonts w:eastAsia="Times New Roman" w:cs="Times New Roman"/>
          <w:lang w:eastAsia="de-DE"/>
        </w:rPr>
        <w:t xml:space="preserve">, </w:t>
      </w:r>
      <w:r w:rsidRPr="00CC6F7E">
        <w:rPr>
          <w:rFonts w:eastAsia="Times New Roman" w:cs="Times New Roman"/>
          <w:b/>
          <w:bCs/>
          <w:rtl/>
          <w:lang w:eastAsia="de-DE"/>
        </w:rPr>
        <w:t>לא תבצר את־ענבי נזירך</w:t>
      </w:r>
      <w:r w:rsidRPr="00CC6F7E">
        <w:rPr>
          <w:rFonts w:eastAsia="Times New Roman" w:cs="Times New Roman"/>
          <w:lang w:eastAsia="de-DE"/>
        </w:rPr>
        <w:t xml:space="preserve">). Erlaubte </w:t>
      </w:r>
      <w:r w:rsidRPr="00CC6F7E">
        <w:rPr>
          <w:rFonts w:eastAsia="Times New Roman" w:cs="Times New Roman"/>
          <w:b/>
          <w:bCs/>
          <w:rtl/>
          <w:lang w:eastAsia="de-DE"/>
        </w:rPr>
        <w:t>שבת הארץ</w:t>
      </w:r>
      <w:r w:rsidRPr="00CC6F7E">
        <w:rPr>
          <w:rFonts w:eastAsia="Times New Roman" w:cs="Times New Roman"/>
          <w:lang w:eastAsia="de-DE"/>
        </w:rPr>
        <w:t xml:space="preserve">-Nutzung für alle Gesellschaftsschichten: Besitzer, Sklaven, </w:t>
      </w:r>
      <w:r w:rsidRPr="00CC6F7E">
        <w:rPr>
          <w:rFonts w:eastAsia="Times New Roman" w:cs="Times New Roman"/>
          <w:b/>
          <w:bCs/>
          <w:rtl/>
          <w:lang w:eastAsia="de-DE"/>
        </w:rPr>
        <w:t>שכירים</w:t>
      </w:r>
      <w:r w:rsidRPr="00CC6F7E">
        <w:rPr>
          <w:rFonts w:eastAsia="Times New Roman" w:cs="Times New Roman"/>
          <w:lang w:eastAsia="de-DE"/>
        </w:rPr>
        <w:t xml:space="preserve">, </w:t>
      </w:r>
      <w:r w:rsidRPr="00CC6F7E">
        <w:rPr>
          <w:rFonts w:eastAsia="Times New Roman" w:cs="Times New Roman"/>
          <w:b/>
          <w:bCs/>
          <w:rtl/>
          <w:lang w:eastAsia="de-DE"/>
        </w:rPr>
        <w:t>תושבים</w:t>
      </w:r>
      <w:r w:rsidRPr="00CC6F7E">
        <w:rPr>
          <w:rFonts w:eastAsia="Times New Roman" w:cs="Times New Roman"/>
          <w:lang w:eastAsia="de-DE"/>
        </w:rPr>
        <w:t xml:space="preserve">, </w:t>
      </w:r>
      <w:r w:rsidRPr="00CC6F7E">
        <w:rPr>
          <w:rFonts w:eastAsia="Times New Roman" w:cs="Times New Roman"/>
          <w:b/>
          <w:bCs/>
          <w:rtl/>
          <w:lang w:eastAsia="de-DE"/>
        </w:rPr>
        <w:t>גרים</w:t>
      </w:r>
      <w:r w:rsidRPr="00CC6F7E">
        <w:rPr>
          <w:rFonts w:eastAsia="Times New Roman" w:cs="Times New Roman"/>
          <w:lang w:eastAsia="de-DE"/>
        </w:rPr>
        <w:t xml:space="preserve">, Vieh und Wildtiere - </w:t>
      </w:r>
      <w:r w:rsidRPr="00CC6F7E">
        <w:rPr>
          <w:rFonts w:eastAsia="Times New Roman" w:cs="Times New Roman"/>
          <w:b/>
          <w:bCs/>
          <w:rtl/>
          <w:lang w:eastAsia="de-DE"/>
        </w:rPr>
        <w:t>לאכלה</w:t>
      </w:r>
      <w:r w:rsidRPr="00CC6F7E">
        <w:rPr>
          <w:rFonts w:eastAsia="Times New Roman" w:cs="Times New Roman"/>
          <w:rtl/>
          <w:lang w:eastAsia="de-DE"/>
        </w:rPr>
        <w:t xml:space="preserve"> </w:t>
      </w:r>
      <w:r w:rsidRPr="00CC6F7E">
        <w:rPr>
          <w:rFonts w:eastAsia="Times New Roman" w:cs="Times New Roman"/>
          <w:lang w:eastAsia="de-DE"/>
        </w:rPr>
        <w:t>für alle gleich.</w:t>
      </w:r>
    </w:p>
    <w:p w14:paraId="736B4E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2) Jobeljahr-System (V. 8-22):</w:t>
      </w:r>
      <w:r w:rsidRPr="00CC6F7E">
        <w:rPr>
          <w:rFonts w:eastAsia="Times New Roman" w:cs="Times New Roman"/>
          <w:lang w:eastAsia="de-DE"/>
        </w:rPr>
        <w:t xml:space="preserve"> 49-jährige Zählung (</w:t>
      </w:r>
      <w:r w:rsidRPr="00CC6F7E">
        <w:rPr>
          <w:rFonts w:eastAsia="Times New Roman" w:cs="Times New Roman"/>
          <w:b/>
          <w:bCs/>
          <w:rtl/>
          <w:lang w:eastAsia="de-DE"/>
        </w:rPr>
        <w:t>שבע שבתת שנים</w:t>
      </w:r>
      <w:r w:rsidRPr="00CC6F7E">
        <w:rPr>
          <w:rFonts w:eastAsia="Times New Roman" w:cs="Times New Roman"/>
          <w:lang w:eastAsia="de-DE"/>
        </w:rPr>
        <w:t xml:space="preserve">) führt zum 50. Jahr als </w:t>
      </w:r>
      <w:r w:rsidRPr="00CC6F7E">
        <w:rPr>
          <w:rFonts w:eastAsia="Times New Roman" w:cs="Times New Roman"/>
          <w:b/>
          <w:bCs/>
          <w:rtl/>
          <w:lang w:eastAsia="de-DE"/>
        </w:rPr>
        <w:t>יובל</w:t>
      </w:r>
      <w:r w:rsidRPr="00CC6F7E">
        <w:rPr>
          <w:rFonts w:eastAsia="Times New Roman" w:cs="Times New Roman"/>
          <w:lang w:eastAsia="de-DE"/>
        </w:rPr>
        <w:t xml:space="preserve">. </w:t>
      </w:r>
      <w:r w:rsidRPr="00CC6F7E">
        <w:rPr>
          <w:rFonts w:eastAsia="Times New Roman" w:cs="Times New Roman"/>
          <w:b/>
          <w:bCs/>
          <w:rtl/>
          <w:lang w:eastAsia="de-DE"/>
        </w:rPr>
        <w:t>שופר תרועה</w:t>
      </w:r>
      <w:r w:rsidRPr="00CC6F7E">
        <w:rPr>
          <w:rFonts w:eastAsia="Times New Roman" w:cs="Times New Roman"/>
          <w:lang w:eastAsia="de-DE"/>
        </w:rPr>
        <w:t xml:space="preserve">-Proklamation am Versöhnungstag (10. Tischri). </w:t>
      </w:r>
      <w:r w:rsidRPr="00CC6F7E">
        <w:rPr>
          <w:rFonts w:eastAsia="Times New Roman" w:cs="Times New Roman"/>
          <w:b/>
          <w:bCs/>
          <w:rtl/>
          <w:lang w:eastAsia="de-DE"/>
        </w:rPr>
        <w:t>וקדשתם את שנת החמשים</w:t>
      </w:r>
      <w:r w:rsidRPr="00CC6F7E">
        <w:rPr>
          <w:rFonts w:eastAsia="Times New Roman" w:cs="Times New Roman"/>
          <w:rtl/>
          <w:lang w:eastAsia="de-DE"/>
        </w:rPr>
        <w:t xml:space="preserve"> </w:t>
      </w:r>
      <w:r w:rsidRPr="00CC6F7E">
        <w:rPr>
          <w:rFonts w:eastAsia="Times New Roman" w:cs="Times New Roman"/>
          <w:lang w:eastAsia="de-DE"/>
        </w:rPr>
        <w:t xml:space="preserve">mit </w:t>
      </w:r>
      <w:r w:rsidRPr="00CC6F7E">
        <w:rPr>
          <w:rFonts w:eastAsia="Times New Roman" w:cs="Times New Roman"/>
          <w:b/>
          <w:bCs/>
          <w:rtl/>
          <w:lang w:eastAsia="de-DE"/>
        </w:rPr>
        <w:t>דרור בארץ לכל־ישביה</w:t>
      </w:r>
      <w:r w:rsidRPr="00CC6F7E">
        <w:rPr>
          <w:rFonts w:eastAsia="Times New Roman" w:cs="Times New Roman"/>
          <w:rtl/>
          <w:lang w:eastAsia="de-DE"/>
        </w:rPr>
        <w:t xml:space="preserve"> </w:t>
      </w:r>
      <w:r w:rsidRPr="00CC6F7E">
        <w:rPr>
          <w:rFonts w:eastAsia="Times New Roman" w:cs="Times New Roman"/>
          <w:lang w:eastAsia="de-DE"/>
        </w:rPr>
        <w:t xml:space="preserve">(universelle Freiheit). </w:t>
      </w:r>
      <w:r w:rsidRPr="00CC6F7E">
        <w:rPr>
          <w:rFonts w:eastAsia="Times New Roman" w:cs="Times New Roman"/>
          <w:b/>
          <w:bCs/>
          <w:rtl/>
          <w:lang w:eastAsia="de-DE"/>
        </w:rPr>
        <w:t>ושבתם איש אל־אחזתו ואיש אל־משפחתו</w:t>
      </w:r>
      <w:r w:rsidRPr="00CC6F7E">
        <w:rPr>
          <w:rFonts w:eastAsia="Times New Roman" w:cs="Times New Roman"/>
          <w:rtl/>
          <w:lang w:eastAsia="de-DE"/>
        </w:rPr>
        <w:t xml:space="preserve"> </w:t>
      </w:r>
      <w:r w:rsidRPr="00CC6F7E">
        <w:rPr>
          <w:rFonts w:eastAsia="Times New Roman" w:cs="Times New Roman"/>
          <w:lang w:eastAsia="de-DE"/>
        </w:rPr>
        <w:t>(Rückkehr zu Besitztum und Familie). Dieselben Sabbatjahr-Regeln wie im siebten Jahr. Göttliche Segens-Verheißung: sechsjähriger Ertrag für drei Jahre (</w:t>
      </w:r>
      <w:r w:rsidRPr="00CC6F7E">
        <w:rPr>
          <w:rFonts w:eastAsia="Times New Roman" w:cs="Times New Roman"/>
          <w:b/>
          <w:bCs/>
          <w:rtl/>
          <w:lang w:eastAsia="de-DE"/>
        </w:rPr>
        <w:t>וצויתי את־ברכתי לכם בשנה השישת</w:t>
      </w:r>
      <w:r w:rsidRPr="00CC6F7E">
        <w:rPr>
          <w:rFonts w:eastAsia="Times New Roman" w:cs="Times New Roman"/>
          <w:lang w:eastAsia="de-DE"/>
        </w:rPr>
        <w:t>) überbrückt Sabbat- und Jobeljahr-Einschränkungen.</w:t>
      </w:r>
    </w:p>
    <w:p w14:paraId="76B8AE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3) Theologische Landordnung (V. 23-24):</w:t>
      </w:r>
      <w:r w:rsidRPr="00CC6F7E">
        <w:rPr>
          <w:rFonts w:eastAsia="Times New Roman" w:cs="Times New Roman"/>
          <w:lang w:eastAsia="de-DE"/>
        </w:rPr>
        <w:t xml:space="preserve"> </w:t>
      </w:r>
      <w:r w:rsidRPr="00CC6F7E">
        <w:rPr>
          <w:rFonts w:eastAsia="Times New Roman" w:cs="Times New Roman"/>
          <w:b/>
          <w:bCs/>
          <w:rtl/>
          <w:lang w:eastAsia="de-DE"/>
        </w:rPr>
        <w:t>והארץ לא תמכר לצמיתת כי־לי הארץ</w:t>
      </w:r>
      <w:r w:rsidRPr="00CC6F7E">
        <w:rPr>
          <w:rFonts w:eastAsia="Times New Roman" w:cs="Times New Roman"/>
          <w:rtl/>
          <w:lang w:eastAsia="de-DE"/>
        </w:rPr>
        <w:t xml:space="preserve"> </w:t>
      </w:r>
      <w:r w:rsidRPr="00CC6F7E">
        <w:rPr>
          <w:rFonts w:eastAsia="Times New Roman" w:cs="Times New Roman"/>
          <w:lang w:eastAsia="de-DE"/>
        </w:rPr>
        <w:t xml:space="preserve">(Land unveräußerlich, da JHWH-Eigentum). </w:t>
      </w:r>
      <w:r w:rsidRPr="00CC6F7E">
        <w:rPr>
          <w:rFonts w:eastAsia="Times New Roman" w:cs="Times New Roman"/>
          <w:b/>
          <w:bCs/>
          <w:rtl/>
          <w:lang w:eastAsia="de-DE"/>
        </w:rPr>
        <w:t>כי־גרים ותושבים אתם עמדי</w:t>
      </w:r>
      <w:r w:rsidRPr="00CC6F7E">
        <w:rPr>
          <w:rFonts w:eastAsia="Times New Roman" w:cs="Times New Roman"/>
          <w:rtl/>
          <w:lang w:eastAsia="de-DE"/>
        </w:rPr>
        <w:t xml:space="preserve"> </w:t>
      </w:r>
      <w:r w:rsidRPr="00CC6F7E">
        <w:rPr>
          <w:rFonts w:eastAsia="Times New Roman" w:cs="Times New Roman"/>
          <w:lang w:eastAsia="de-DE"/>
        </w:rPr>
        <w:t xml:space="preserve">(Menschen nur Pächter bei Gott). Universelles </w:t>
      </w:r>
      <w:r w:rsidRPr="00CC6F7E">
        <w:rPr>
          <w:rFonts w:eastAsia="Times New Roman" w:cs="Times New Roman"/>
          <w:b/>
          <w:bCs/>
          <w:rtl/>
          <w:lang w:eastAsia="de-DE"/>
        </w:rPr>
        <w:t>גאלה תתנו לארץ</w:t>
      </w:r>
      <w:r w:rsidRPr="00CC6F7E">
        <w:rPr>
          <w:rFonts w:eastAsia="Times New Roman" w:cs="Times New Roman"/>
          <w:rtl/>
          <w:lang w:eastAsia="de-DE"/>
        </w:rPr>
        <w:t xml:space="preserve"> </w:t>
      </w:r>
      <w:r w:rsidRPr="00CC6F7E">
        <w:rPr>
          <w:rFonts w:eastAsia="Times New Roman" w:cs="Times New Roman"/>
          <w:lang w:eastAsia="de-DE"/>
        </w:rPr>
        <w:t>(Landeinlösungsrecht).</w:t>
      </w:r>
    </w:p>
    <w:p w14:paraId="261BCD7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4) Landeinlösungsgesetze (V. 25-34):</w:t>
      </w:r>
      <w:r w:rsidRPr="00CC6F7E">
        <w:rPr>
          <w:rFonts w:eastAsia="Times New Roman" w:cs="Times New Roman"/>
          <w:lang w:eastAsia="de-DE"/>
        </w:rPr>
        <w:t xml:space="preserve"> </w:t>
      </w:r>
      <w:r w:rsidRPr="00CC6F7E">
        <w:rPr>
          <w:rFonts w:eastAsia="Times New Roman" w:cs="Times New Roman"/>
          <w:b/>
          <w:bCs/>
          <w:rtl/>
          <w:lang w:eastAsia="de-DE"/>
        </w:rPr>
        <w:t>גאל</w:t>
      </w:r>
      <w:r w:rsidRPr="00CC6F7E">
        <w:rPr>
          <w:rFonts w:eastAsia="Times New Roman" w:cs="Times New Roman"/>
          <w:lang w:eastAsia="de-DE"/>
        </w:rPr>
        <w:t xml:space="preserve">-System bei Verarmung: </w:t>
      </w:r>
      <w:r w:rsidRPr="00CC6F7E">
        <w:rPr>
          <w:rFonts w:eastAsia="Times New Roman" w:cs="Times New Roman"/>
          <w:b/>
          <w:bCs/>
          <w:rtl/>
          <w:lang w:eastAsia="de-DE"/>
        </w:rPr>
        <w:t>גאלו הקרב אליו</w:t>
      </w:r>
      <w:r w:rsidRPr="00CC6F7E">
        <w:rPr>
          <w:rFonts w:eastAsia="Times New Roman" w:cs="Times New Roman"/>
          <w:rtl/>
          <w:lang w:eastAsia="de-DE"/>
        </w:rPr>
        <w:t xml:space="preserve"> </w:t>
      </w:r>
      <w:r w:rsidRPr="00CC6F7E">
        <w:rPr>
          <w:rFonts w:eastAsia="Times New Roman" w:cs="Times New Roman"/>
          <w:lang w:eastAsia="de-DE"/>
        </w:rPr>
        <w:t xml:space="preserve">(naher Verwandter), Selbsteinlösung bei wirtschaftlicher Erholung, ultimative Jobel-Restitution. Proportionale Preisberechnung nach verbleibenden Jahren bis Jobel. Städtische Sonderregeln: befestigte Städte mit einjähriger </w:t>
      </w:r>
      <w:r w:rsidRPr="00CC6F7E">
        <w:rPr>
          <w:rFonts w:eastAsia="Times New Roman" w:cs="Times New Roman"/>
          <w:b/>
          <w:bCs/>
          <w:rtl/>
          <w:lang w:eastAsia="de-DE"/>
        </w:rPr>
        <w:t>גאלה</w:t>
      </w:r>
      <w:r w:rsidRPr="00CC6F7E">
        <w:rPr>
          <w:rFonts w:eastAsia="Times New Roman" w:cs="Times New Roman"/>
          <w:lang w:eastAsia="de-DE"/>
        </w:rPr>
        <w:t xml:space="preserve">-Frist, danach </w:t>
      </w:r>
      <w:r w:rsidRPr="00CC6F7E">
        <w:rPr>
          <w:rFonts w:eastAsia="Times New Roman" w:cs="Times New Roman"/>
          <w:b/>
          <w:bCs/>
          <w:rtl/>
          <w:lang w:eastAsia="de-DE"/>
        </w:rPr>
        <w:t>לצמיתת</w:t>
      </w:r>
      <w:r w:rsidRPr="00CC6F7E">
        <w:rPr>
          <w:rFonts w:eastAsia="Times New Roman" w:cs="Times New Roman"/>
          <w:rtl/>
          <w:lang w:eastAsia="de-DE"/>
        </w:rPr>
        <w:t xml:space="preserve"> </w:t>
      </w:r>
      <w:r w:rsidRPr="00CC6F7E">
        <w:rPr>
          <w:rFonts w:eastAsia="Times New Roman" w:cs="Times New Roman"/>
          <w:lang w:eastAsia="de-DE"/>
        </w:rPr>
        <w:t xml:space="preserve">ohne Jobel-Befreiung; Dörfer wie Felder behandelt. Leviten-Sonderrechte: </w:t>
      </w:r>
      <w:r w:rsidRPr="00CC6F7E">
        <w:rPr>
          <w:rFonts w:eastAsia="Times New Roman" w:cs="Times New Roman"/>
          <w:b/>
          <w:bCs/>
          <w:rtl/>
          <w:lang w:eastAsia="de-DE"/>
        </w:rPr>
        <w:t>גאלת עולם</w:t>
      </w:r>
      <w:r w:rsidRPr="00CC6F7E">
        <w:rPr>
          <w:rFonts w:eastAsia="Times New Roman" w:cs="Times New Roman"/>
          <w:rtl/>
          <w:lang w:eastAsia="de-DE"/>
        </w:rPr>
        <w:t xml:space="preserve"> </w:t>
      </w:r>
      <w:r w:rsidRPr="00CC6F7E">
        <w:rPr>
          <w:rFonts w:eastAsia="Times New Roman" w:cs="Times New Roman"/>
          <w:lang w:eastAsia="de-DE"/>
        </w:rPr>
        <w:t xml:space="preserve">für Stadthäuser, </w:t>
      </w:r>
      <w:r w:rsidRPr="00CC6F7E">
        <w:rPr>
          <w:rFonts w:eastAsia="Times New Roman" w:cs="Times New Roman"/>
          <w:b/>
          <w:bCs/>
          <w:rtl/>
          <w:lang w:eastAsia="de-DE"/>
        </w:rPr>
        <w:t>אחזת עולם</w:t>
      </w:r>
      <w:r w:rsidRPr="00CC6F7E">
        <w:rPr>
          <w:rFonts w:eastAsia="Times New Roman" w:cs="Times New Roman"/>
          <w:rtl/>
          <w:lang w:eastAsia="de-DE"/>
        </w:rPr>
        <w:t xml:space="preserve"> </w:t>
      </w:r>
      <w:r w:rsidRPr="00CC6F7E">
        <w:rPr>
          <w:rFonts w:eastAsia="Times New Roman" w:cs="Times New Roman"/>
          <w:lang w:eastAsia="de-DE"/>
        </w:rPr>
        <w:t>für Weidegebiete (absolut unverkäuflich).</w:t>
      </w:r>
    </w:p>
    <w:p w14:paraId="13A6CC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5) Soziale Unterstützungsgesetze (V. 35-46):</w:t>
      </w:r>
      <w:r w:rsidRPr="00CC6F7E">
        <w:rPr>
          <w:rFonts w:eastAsia="Times New Roman" w:cs="Times New Roman"/>
          <w:lang w:eastAsia="de-DE"/>
        </w:rPr>
        <w:t xml:space="preserve"> Dreistufige Verarmung: 1) </w:t>
      </w:r>
      <w:r w:rsidRPr="00CC6F7E">
        <w:rPr>
          <w:rFonts w:eastAsia="Times New Roman" w:cs="Times New Roman"/>
          <w:b/>
          <w:bCs/>
          <w:rtl/>
          <w:lang w:eastAsia="de-DE"/>
        </w:rPr>
        <w:t>והחזקת בו גר ותושב</w:t>
      </w:r>
      <w:r w:rsidRPr="00CC6F7E">
        <w:rPr>
          <w:rFonts w:eastAsia="Times New Roman" w:cs="Times New Roman"/>
          <w:rtl/>
          <w:lang w:eastAsia="de-DE"/>
        </w:rPr>
        <w:t xml:space="preserve"> </w:t>
      </w:r>
      <w:r w:rsidRPr="00CC6F7E">
        <w:rPr>
          <w:rFonts w:eastAsia="Times New Roman" w:cs="Times New Roman"/>
          <w:lang w:eastAsia="de-DE"/>
        </w:rPr>
        <w:t>(Unterstützung als Fremder/Beisasse), 2) Zinsverbot (</w:t>
      </w:r>
      <w:r w:rsidRPr="00CC6F7E">
        <w:rPr>
          <w:rFonts w:eastAsia="Times New Roman" w:cs="Times New Roman"/>
          <w:b/>
          <w:bCs/>
          <w:rtl/>
          <w:lang w:eastAsia="de-DE"/>
        </w:rPr>
        <w:t>אל־תקח נשך ותרבית</w:t>
      </w:r>
      <w:r w:rsidRPr="00CC6F7E">
        <w:rPr>
          <w:rFonts w:eastAsia="Times New Roman" w:cs="Times New Roman"/>
          <w:lang w:eastAsia="de-DE"/>
        </w:rPr>
        <w:t xml:space="preserve">) mit Gottesfurcht-Motivation, 3) Selbstverkauf als </w:t>
      </w:r>
      <w:r w:rsidRPr="00CC6F7E">
        <w:rPr>
          <w:rFonts w:eastAsia="Times New Roman" w:cs="Times New Roman"/>
          <w:b/>
          <w:bCs/>
          <w:rtl/>
          <w:lang w:eastAsia="de-DE"/>
        </w:rPr>
        <w:t>שכיר כתושב</w:t>
      </w:r>
      <w:r w:rsidRPr="00CC6F7E">
        <w:rPr>
          <w:rFonts w:eastAsia="Times New Roman" w:cs="Times New Roman"/>
          <w:rtl/>
          <w:lang w:eastAsia="de-DE"/>
        </w:rPr>
        <w:t xml:space="preserve"> </w:t>
      </w:r>
      <w:r w:rsidRPr="00CC6F7E">
        <w:rPr>
          <w:rFonts w:eastAsia="Times New Roman" w:cs="Times New Roman"/>
          <w:lang w:eastAsia="de-DE"/>
        </w:rPr>
        <w:t xml:space="preserve">bis Jobel statt </w:t>
      </w:r>
      <w:r w:rsidRPr="00CC6F7E">
        <w:rPr>
          <w:rFonts w:eastAsia="Times New Roman" w:cs="Times New Roman"/>
          <w:b/>
          <w:bCs/>
          <w:rtl/>
          <w:lang w:eastAsia="de-DE"/>
        </w:rPr>
        <w:t>עבדת עבד</w:t>
      </w:r>
      <w:r w:rsidRPr="00CC6F7E">
        <w:rPr>
          <w:rFonts w:eastAsia="Times New Roman" w:cs="Times New Roman"/>
          <w:lang w:eastAsia="de-DE"/>
        </w:rPr>
        <w:t xml:space="preserve">. Exodus-Begründung aller Bruderpflichten. Fremdvölker-Sklaverei erlaubt: </w:t>
      </w:r>
      <w:r w:rsidRPr="00CC6F7E">
        <w:rPr>
          <w:rFonts w:eastAsia="Times New Roman" w:cs="Times New Roman"/>
          <w:b/>
          <w:bCs/>
          <w:rtl/>
          <w:lang w:eastAsia="de-DE"/>
        </w:rPr>
        <w:t>מאת הגוים אשר סביבתיכם</w:t>
      </w:r>
      <w:r w:rsidRPr="00CC6F7E">
        <w:rPr>
          <w:rFonts w:eastAsia="Times New Roman" w:cs="Times New Roman"/>
          <w:rtl/>
          <w:lang w:eastAsia="de-DE"/>
        </w:rPr>
        <w:t xml:space="preserve"> </w:t>
      </w:r>
      <w:r w:rsidRPr="00CC6F7E">
        <w:rPr>
          <w:rFonts w:eastAsia="Times New Roman" w:cs="Times New Roman"/>
          <w:lang w:eastAsia="de-DE"/>
        </w:rPr>
        <w:t xml:space="preserve">mit Vererbungsrecht </w:t>
      </w:r>
      <w:r w:rsidRPr="00CC6F7E">
        <w:rPr>
          <w:rFonts w:eastAsia="Times New Roman" w:cs="Times New Roman"/>
          <w:b/>
          <w:bCs/>
          <w:rtl/>
          <w:lang w:eastAsia="de-DE"/>
        </w:rPr>
        <w:t>לעלם</w:t>
      </w:r>
      <w:r w:rsidRPr="00CC6F7E">
        <w:rPr>
          <w:rFonts w:eastAsia="Times New Roman" w:cs="Times New Roman"/>
          <w:lang w:eastAsia="de-DE"/>
        </w:rPr>
        <w:t xml:space="preserve">, aber </w:t>
      </w:r>
      <w:r w:rsidRPr="00CC6F7E">
        <w:rPr>
          <w:rFonts w:eastAsia="Times New Roman" w:cs="Times New Roman"/>
          <w:b/>
          <w:bCs/>
          <w:rtl/>
          <w:lang w:eastAsia="de-DE"/>
        </w:rPr>
        <w:t>לא־תרדה בפרך</w:t>
      </w:r>
      <w:r w:rsidRPr="00CC6F7E">
        <w:rPr>
          <w:rFonts w:eastAsia="Times New Roman" w:cs="Times New Roman"/>
          <w:rtl/>
          <w:lang w:eastAsia="de-DE"/>
        </w:rPr>
        <w:t xml:space="preserve"> </w:t>
      </w:r>
      <w:r w:rsidRPr="00CC6F7E">
        <w:rPr>
          <w:rFonts w:eastAsia="Times New Roman" w:cs="Times New Roman"/>
          <w:lang w:eastAsia="de-DE"/>
        </w:rPr>
        <w:t>verboten bei Israeliten.</w:t>
      </w:r>
    </w:p>
    <w:p w14:paraId="0104703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6) Fremdherr-Verkaufsgesetze (V. 47-55):</w:t>
      </w:r>
      <w:r w:rsidRPr="00CC6F7E">
        <w:rPr>
          <w:rFonts w:eastAsia="Times New Roman" w:cs="Times New Roman"/>
          <w:lang w:eastAsia="de-DE"/>
        </w:rPr>
        <w:t xml:space="preserve"> </w:t>
      </w:r>
      <w:r w:rsidRPr="00CC6F7E">
        <w:rPr>
          <w:rFonts w:eastAsia="Times New Roman" w:cs="Times New Roman"/>
          <w:b/>
          <w:bCs/>
          <w:rtl/>
          <w:lang w:eastAsia="de-DE"/>
        </w:rPr>
        <w:t>גאלה</w:t>
      </w:r>
      <w:r w:rsidRPr="00CC6F7E">
        <w:rPr>
          <w:rFonts w:eastAsia="Times New Roman" w:cs="Times New Roman"/>
          <w:lang w:eastAsia="de-DE"/>
        </w:rPr>
        <w:t xml:space="preserve">-Recht auch bei Verkauf an wohlhabende Fremde. Erweiterte </w:t>
      </w:r>
      <w:r w:rsidRPr="00CC6F7E">
        <w:rPr>
          <w:rFonts w:eastAsia="Times New Roman" w:cs="Times New Roman"/>
          <w:b/>
          <w:bCs/>
          <w:rtl/>
          <w:lang w:eastAsia="de-DE"/>
        </w:rPr>
        <w:t>גאל</w:t>
      </w:r>
      <w:r w:rsidRPr="00CC6F7E">
        <w:rPr>
          <w:rFonts w:eastAsia="Times New Roman" w:cs="Times New Roman"/>
          <w:lang w:eastAsia="de-DE"/>
        </w:rPr>
        <w:t xml:space="preserve">-Hierarchie: Brüder, Onkel, Cousin, </w:t>
      </w:r>
      <w:r w:rsidRPr="00CC6F7E">
        <w:rPr>
          <w:rFonts w:eastAsia="Times New Roman" w:cs="Times New Roman"/>
          <w:b/>
          <w:bCs/>
          <w:rtl/>
          <w:lang w:eastAsia="de-DE"/>
        </w:rPr>
        <w:t>משאר בשרו</w:t>
      </w:r>
      <w:r w:rsidRPr="00CC6F7E">
        <w:rPr>
          <w:rFonts w:eastAsia="Times New Roman" w:cs="Times New Roman"/>
          <w:lang w:eastAsia="de-DE"/>
        </w:rPr>
        <w:t xml:space="preserve">, Selbsteinlösung. Proportionale </w:t>
      </w:r>
      <w:r w:rsidRPr="00CC6F7E">
        <w:rPr>
          <w:rFonts w:eastAsia="Times New Roman" w:cs="Times New Roman"/>
          <w:b/>
          <w:bCs/>
          <w:rtl/>
          <w:lang w:eastAsia="de-DE"/>
        </w:rPr>
        <w:t>גאלה</w:t>
      </w:r>
      <w:r w:rsidRPr="00CC6F7E">
        <w:rPr>
          <w:rFonts w:eastAsia="Times New Roman" w:cs="Times New Roman"/>
          <w:lang w:eastAsia="de-DE"/>
        </w:rPr>
        <w:t xml:space="preserve">-Berechnung wie </w:t>
      </w:r>
      <w:r w:rsidRPr="00CC6F7E">
        <w:rPr>
          <w:rFonts w:eastAsia="Times New Roman" w:cs="Times New Roman"/>
          <w:b/>
          <w:bCs/>
          <w:rtl/>
          <w:lang w:eastAsia="de-DE"/>
        </w:rPr>
        <w:t>כימי שכיר</w:t>
      </w:r>
      <w:r w:rsidRPr="00CC6F7E">
        <w:rPr>
          <w:rFonts w:eastAsia="Times New Roman" w:cs="Times New Roman"/>
          <w:lang w:eastAsia="de-DE"/>
        </w:rPr>
        <w:t xml:space="preserve">. </w:t>
      </w:r>
      <w:r w:rsidRPr="00CC6F7E">
        <w:rPr>
          <w:rFonts w:eastAsia="Times New Roman" w:cs="Times New Roman"/>
          <w:b/>
          <w:bCs/>
          <w:rtl/>
          <w:lang w:eastAsia="de-DE"/>
        </w:rPr>
        <w:t>לא־ירדנו בפרך לעיניך</w:t>
      </w:r>
      <w:r w:rsidRPr="00CC6F7E">
        <w:rPr>
          <w:rFonts w:eastAsia="Times New Roman" w:cs="Times New Roman"/>
          <w:rtl/>
          <w:lang w:eastAsia="de-DE"/>
        </w:rPr>
        <w:t xml:space="preserve"> </w:t>
      </w:r>
      <w:r w:rsidRPr="00CC6F7E">
        <w:rPr>
          <w:rFonts w:eastAsia="Times New Roman" w:cs="Times New Roman"/>
          <w:lang w:eastAsia="de-DE"/>
        </w:rPr>
        <w:t>(Überwachung der Behandlung). Jobel als ultimative Befreiung auch von Fremdherren.</w:t>
      </w:r>
    </w:p>
    <w:p w14:paraId="2251A4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Theologische Begründung:</w:t>
      </w:r>
      <w:r w:rsidRPr="00CC6F7E">
        <w:rPr>
          <w:rFonts w:eastAsia="Times New Roman" w:cs="Times New Roman"/>
          <w:lang w:eastAsia="de-DE"/>
        </w:rPr>
        <w:t xml:space="preserve"> </w:t>
      </w:r>
      <w:r w:rsidRPr="00CC6F7E">
        <w:rPr>
          <w:rFonts w:eastAsia="Times New Roman" w:cs="Times New Roman"/>
          <w:b/>
          <w:bCs/>
          <w:rtl/>
          <w:lang w:eastAsia="de-DE"/>
        </w:rPr>
        <w:t>כי־לי בני־ישראל עבדים עבדי הם אשר־הוצאתי אותם מארץ מצרים</w:t>
      </w:r>
      <w:r w:rsidRPr="00CC6F7E">
        <w:rPr>
          <w:rFonts w:eastAsia="Times New Roman" w:cs="Times New Roman"/>
          <w:rtl/>
          <w:lang w:eastAsia="de-DE"/>
        </w:rPr>
        <w:t xml:space="preserve"> </w:t>
      </w:r>
      <w:r w:rsidRPr="00CC6F7E">
        <w:rPr>
          <w:rFonts w:eastAsia="Times New Roman" w:cs="Times New Roman"/>
          <w:lang w:eastAsia="de-DE"/>
        </w:rPr>
        <w:t>- Israel gehört seit dem Exodus exklusiv JHWH und kann daher nicht anderen als echte Sklaven gehören.</w:t>
      </w:r>
    </w:p>
    <w:p w14:paraId="3130113B" w14:textId="6A6ACEDB" w:rsid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Besonderheiten:</w:t>
      </w:r>
      <w:r w:rsidRPr="00CC6F7E">
        <w:rPr>
          <w:rFonts w:eastAsia="Times New Roman" w:cs="Times New Roman"/>
          <w:lang w:eastAsia="de-DE"/>
        </w:rPr>
        <w:t xml:space="preserve"> </w:t>
      </w:r>
      <w:r w:rsidRPr="00CC6F7E">
        <w:rPr>
          <w:rFonts w:eastAsia="Times New Roman" w:cs="Times New Roman"/>
          <w:b/>
          <w:bCs/>
          <w:lang w:eastAsia="de-DE"/>
        </w:rPr>
        <w:t>Sinai-Offenbarung</w:t>
      </w:r>
      <w:r w:rsidRPr="00CC6F7E">
        <w:rPr>
          <w:rFonts w:eastAsia="Times New Roman" w:cs="Times New Roman"/>
          <w:lang w:eastAsia="de-DE"/>
        </w:rPr>
        <w:t xml:space="preserve"> als besondere Autorität. </w:t>
      </w:r>
      <w:r w:rsidRPr="00CC6F7E">
        <w:rPr>
          <w:rFonts w:eastAsia="Times New Roman" w:cs="Times New Roman"/>
          <w:b/>
          <w:bCs/>
          <w:lang w:eastAsia="de-DE"/>
        </w:rPr>
        <w:t>Doppelte Sabbatjahre</w:t>
      </w:r>
      <w:r w:rsidRPr="00CC6F7E">
        <w:rPr>
          <w:rFonts w:eastAsia="Times New Roman" w:cs="Times New Roman"/>
          <w:lang w:eastAsia="de-DE"/>
        </w:rPr>
        <w:t xml:space="preserve"> (7. und 50. Jahr). </w:t>
      </w:r>
      <w:r w:rsidRPr="00CC6F7E">
        <w:rPr>
          <w:rFonts w:eastAsia="Times New Roman" w:cs="Times New Roman"/>
          <w:b/>
          <w:bCs/>
          <w:lang w:eastAsia="de-DE"/>
        </w:rPr>
        <w:t>Göttliche Wunderversorgung</w:t>
      </w:r>
      <w:r w:rsidRPr="00CC6F7E">
        <w:rPr>
          <w:rFonts w:eastAsia="Times New Roman" w:cs="Times New Roman"/>
          <w:lang w:eastAsia="de-DE"/>
        </w:rPr>
        <w:t xml:space="preserve"> im sechsten Jahr. </w:t>
      </w:r>
      <w:r w:rsidRPr="00CC6F7E">
        <w:rPr>
          <w:rFonts w:eastAsia="Times New Roman" w:cs="Times New Roman"/>
          <w:b/>
          <w:bCs/>
          <w:lang w:eastAsia="de-DE"/>
        </w:rPr>
        <w:t>Soziale Gleichberechtigung</w:t>
      </w:r>
      <w:r w:rsidRPr="00CC6F7E">
        <w:rPr>
          <w:rFonts w:eastAsia="Times New Roman" w:cs="Times New Roman"/>
          <w:lang w:eastAsia="de-DE"/>
        </w:rPr>
        <w:t xml:space="preserve"> beim Sabbatjahr-Ertrag. </w:t>
      </w:r>
      <w:r w:rsidRPr="00CC6F7E">
        <w:rPr>
          <w:rFonts w:eastAsia="Times New Roman" w:cs="Times New Roman"/>
          <w:b/>
          <w:bCs/>
          <w:lang w:eastAsia="de-DE"/>
        </w:rPr>
        <w:t>Proportionale Wirtschaftsgesetze</w:t>
      </w:r>
      <w:r w:rsidRPr="00CC6F7E">
        <w:rPr>
          <w:rFonts w:eastAsia="Times New Roman" w:cs="Times New Roman"/>
          <w:lang w:eastAsia="de-DE"/>
        </w:rPr>
        <w:t xml:space="preserve"> basierend auf Jobel-Zyklen. </w:t>
      </w:r>
      <w:r w:rsidRPr="00CC6F7E">
        <w:rPr>
          <w:rFonts w:eastAsia="Times New Roman" w:cs="Times New Roman"/>
          <w:b/>
          <w:bCs/>
          <w:lang w:eastAsia="de-DE"/>
        </w:rPr>
        <w:t>Differenzierte Behandlung</w:t>
      </w:r>
      <w:r w:rsidRPr="00CC6F7E">
        <w:rPr>
          <w:rFonts w:eastAsia="Times New Roman" w:cs="Times New Roman"/>
          <w:lang w:eastAsia="de-DE"/>
        </w:rPr>
        <w:t xml:space="preserve"> von Israeliten (</w:t>
      </w:r>
      <w:r w:rsidRPr="00CC6F7E">
        <w:rPr>
          <w:rFonts w:eastAsia="Times New Roman" w:cs="Times New Roman"/>
          <w:b/>
          <w:bCs/>
          <w:rtl/>
          <w:lang w:eastAsia="de-DE"/>
        </w:rPr>
        <w:t>גר/תושב/שכיר</w:t>
      </w:r>
      <w:r w:rsidRPr="00CC6F7E">
        <w:rPr>
          <w:rFonts w:eastAsia="Times New Roman" w:cs="Times New Roman"/>
          <w:lang w:eastAsia="de-DE"/>
        </w:rPr>
        <w:t xml:space="preserve">-Status) vs. Fremden (echte Sklaverei möglich). </w:t>
      </w:r>
      <w:r w:rsidRPr="00CC6F7E">
        <w:rPr>
          <w:rFonts w:eastAsia="Times New Roman" w:cs="Times New Roman"/>
          <w:b/>
          <w:bCs/>
          <w:lang w:eastAsia="de-DE"/>
        </w:rPr>
        <w:t>Leviten-Sonderrechte</w:t>
      </w:r>
      <w:r w:rsidRPr="00CC6F7E">
        <w:rPr>
          <w:rFonts w:eastAsia="Times New Roman" w:cs="Times New Roman"/>
          <w:lang w:eastAsia="de-DE"/>
        </w:rPr>
        <w:t xml:space="preserve"> bei Stadtbesitz. </w:t>
      </w:r>
      <w:r w:rsidRPr="00CC6F7E">
        <w:rPr>
          <w:rFonts w:eastAsia="Times New Roman" w:cs="Times New Roman"/>
          <w:b/>
          <w:bCs/>
          <w:lang w:eastAsia="de-DE"/>
        </w:rPr>
        <w:t>Theologische Sozialkritik</w:t>
      </w:r>
      <w:r w:rsidRPr="00CC6F7E">
        <w:rPr>
          <w:rFonts w:eastAsia="Times New Roman" w:cs="Times New Roman"/>
          <w:lang w:eastAsia="de-DE"/>
        </w:rPr>
        <w:t>: Alle sozialen Gesetze basieren auf göttlichem Landbesitz und Exodus-Befreiung.</w:t>
      </w:r>
    </w:p>
    <w:p w14:paraId="1E8E8DB0" w14:textId="37764A08" w:rsidR="009104A2" w:rsidRPr="00CC6F7E" w:rsidRDefault="009104A2" w:rsidP="009104A2">
      <w:pPr>
        <w:spacing w:before="100" w:beforeAutospacing="1" w:after="100" w:afterAutospacing="1" w:line="240" w:lineRule="auto"/>
        <w:rPr>
          <w:rFonts w:eastAsia="Times New Roman" w:cs="Times New Roman"/>
          <w:lang w:eastAsia="de-DE"/>
        </w:rPr>
      </w:pPr>
      <w:r>
        <w:rPr>
          <w:rStyle w:val="Fett"/>
        </w:rPr>
        <w:t>Textkritische Beobachtung</w:t>
      </w:r>
      <w:r>
        <w:t>: Levitikus 25 zeigt in der LXX eine systematische juristische Präzisierung der Sabbat- und Jobeljahrgesetze. Die griechischen Übersetzer verwendeten etablierte hellenistische Rechts- und Sozialterminologie: "Proselyten" für Fremdlinge, spezifische Eigentumsrechtsbegriffe und differenzierte Arbeitsrechtsterminologie. Besonders bedeutsam ist die theologische Verstärkung der göttlichen Landherrschaft und die Betonung sozialer Gerechtigkeit. Die LXX macht die komplexen hebräischen Wirtschafts- und Sozialgesetze durch griechische Rechtsterminologie zugänglicher, während sie die ethischen und theologischen Grundprinzipien verstärkt. Dies deutet auf eine Anpassung an hellenistische Rechtssysteme bei Beibehaltung der biblischen Sozialethik hin.</w:t>
      </w:r>
    </w:p>
    <w:p w14:paraId="6893008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w:t>
      </w:r>
    </w:p>
    <w:p w14:paraId="6A8935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לֹֽא־תַעֲשׂ֨וּ לָכֶ֜ם אֱלִילִ֗ם וּפֶ֤סֶל וּמַצֵּבָה֙ לֹֽא־תָקִ֣ימוּ לָכֶ֔ם וְאֶ֣בֶן מַשְׂכִּ֗ית לֹ֤א תִתְּנוּ֙ בְּאַרְצְכֶ֔ם לְהִֽשְׁתַּחֲוֹ֖ת עָלֶ֑יהָ כִּ֛י אֲנִ֥י יְהוָ֖ה אֱלֹהֵיכֶֽם׃</w:t>
      </w:r>
    </w:p>
    <w:p w14:paraId="2CD681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Ihr sollt euch keine Götzen machen und kein Standbild und keine Säule aufrichten, und keinen Stein mit Bildwerk sollt ihr in eurem Land setzen, um euch davor niederzuwerfen; denn ich bin der Ewige, euer Gott.</w:t>
      </w:r>
    </w:p>
    <w:p w14:paraId="3C371F2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CCD477F">
          <v:rect id="_x0000_i1804" style="width:0;height:1.5pt" o:hralign="center" o:hrstd="t" o:hr="t" fillcolor="#a0a0a0" stroked="f"/>
        </w:pict>
      </w:r>
    </w:p>
    <w:p w14:paraId="29B3011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לא־תעשו לכם אלילם ופסל ומצבה לא־תקימו לכם ואבן משכית לא תתנו בארצכם להשתחות עליה כי 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eröffnet Kapitel 26 mit einem grundlegenden Bilderverbot. </w:t>
      </w:r>
      <w:r w:rsidRPr="00CC6F7E">
        <w:rPr>
          <w:rFonts w:eastAsia="Times New Roman" w:cs="Times New Roman"/>
          <w:b/>
          <w:bCs/>
          <w:rtl/>
          <w:lang w:eastAsia="de-DE"/>
        </w:rPr>
        <w:t>לא־תעשו לכם אלילם</w:t>
      </w:r>
      <w:r w:rsidRPr="00CC6F7E">
        <w:rPr>
          <w:rFonts w:eastAsia="Times New Roman" w:cs="Times New Roman"/>
          <w:rtl/>
          <w:lang w:eastAsia="de-DE"/>
        </w:rPr>
        <w:t xml:space="preserve"> </w:t>
      </w:r>
      <w:r w:rsidRPr="00CC6F7E">
        <w:rPr>
          <w:rFonts w:eastAsia="Times New Roman" w:cs="Times New Roman"/>
          <w:lang w:eastAsia="de-DE"/>
        </w:rPr>
        <w:t xml:space="preserve">(ihr sollt euch keine Götzen machen) - </w:t>
      </w:r>
      <w:r w:rsidRPr="00CC6F7E">
        <w:rPr>
          <w:rFonts w:eastAsia="Times New Roman" w:cs="Times New Roman"/>
          <w:b/>
          <w:bCs/>
          <w:rtl/>
          <w:lang w:eastAsia="de-DE"/>
        </w:rPr>
        <w:t>אלילם</w:t>
      </w:r>
      <w:r w:rsidRPr="00CC6F7E">
        <w:rPr>
          <w:rFonts w:eastAsia="Times New Roman" w:cs="Times New Roman"/>
          <w:rtl/>
          <w:lang w:eastAsia="de-DE"/>
        </w:rPr>
        <w:t xml:space="preserve"> </w:t>
      </w:r>
      <w:r w:rsidRPr="00CC6F7E">
        <w:rPr>
          <w:rFonts w:eastAsia="Times New Roman" w:cs="Times New Roman"/>
          <w:lang w:eastAsia="de-DE"/>
        </w:rPr>
        <w:t xml:space="preserve">(Götzen) von </w:t>
      </w:r>
      <w:r w:rsidRPr="00CC6F7E">
        <w:rPr>
          <w:rFonts w:eastAsia="Times New Roman" w:cs="Times New Roman"/>
          <w:b/>
          <w:bCs/>
          <w:rtl/>
          <w:lang w:eastAsia="de-DE"/>
        </w:rPr>
        <w:t>אליל</w:t>
      </w:r>
      <w:r w:rsidRPr="00CC6F7E">
        <w:rPr>
          <w:rFonts w:eastAsia="Times New Roman" w:cs="Times New Roman"/>
          <w:rtl/>
          <w:lang w:eastAsia="de-DE"/>
        </w:rPr>
        <w:t xml:space="preserve"> </w:t>
      </w:r>
      <w:r w:rsidRPr="00CC6F7E">
        <w:rPr>
          <w:rFonts w:eastAsia="Times New Roman" w:cs="Times New Roman"/>
          <w:lang w:eastAsia="de-DE"/>
        </w:rPr>
        <w:t xml:space="preserve">zeigt wertlose Götterbilder. </w:t>
      </w:r>
      <w:r w:rsidRPr="00CC6F7E">
        <w:rPr>
          <w:rFonts w:eastAsia="Times New Roman" w:cs="Times New Roman"/>
          <w:b/>
          <w:bCs/>
          <w:rtl/>
          <w:lang w:eastAsia="de-DE"/>
        </w:rPr>
        <w:t>ופסל ומצבה לא־תקימו לכם</w:t>
      </w:r>
      <w:r w:rsidRPr="00CC6F7E">
        <w:rPr>
          <w:rFonts w:eastAsia="Times New Roman" w:cs="Times New Roman"/>
          <w:rtl/>
          <w:lang w:eastAsia="de-DE"/>
        </w:rPr>
        <w:t xml:space="preserve"> </w:t>
      </w:r>
      <w:r w:rsidRPr="00CC6F7E">
        <w:rPr>
          <w:rFonts w:eastAsia="Times New Roman" w:cs="Times New Roman"/>
          <w:lang w:eastAsia="de-DE"/>
        </w:rPr>
        <w:t xml:space="preserve">(und kein Standbild und keine Säule aufrichten) - </w:t>
      </w:r>
      <w:r w:rsidRPr="00CC6F7E">
        <w:rPr>
          <w:rFonts w:eastAsia="Times New Roman" w:cs="Times New Roman"/>
          <w:b/>
          <w:bCs/>
          <w:rtl/>
          <w:lang w:eastAsia="de-DE"/>
        </w:rPr>
        <w:t>פסל</w:t>
      </w:r>
      <w:r w:rsidRPr="00CC6F7E">
        <w:rPr>
          <w:rFonts w:eastAsia="Times New Roman" w:cs="Times New Roman"/>
          <w:rtl/>
          <w:lang w:eastAsia="de-DE"/>
        </w:rPr>
        <w:t xml:space="preserve"> </w:t>
      </w:r>
      <w:r w:rsidRPr="00CC6F7E">
        <w:rPr>
          <w:rFonts w:eastAsia="Times New Roman" w:cs="Times New Roman"/>
          <w:lang w:eastAsia="de-DE"/>
        </w:rPr>
        <w:t xml:space="preserve">(geschnitztes Bild) und </w:t>
      </w:r>
      <w:r w:rsidRPr="00CC6F7E">
        <w:rPr>
          <w:rFonts w:eastAsia="Times New Roman" w:cs="Times New Roman"/>
          <w:b/>
          <w:bCs/>
          <w:rtl/>
          <w:lang w:eastAsia="de-DE"/>
        </w:rPr>
        <w:t>מצבה</w:t>
      </w:r>
      <w:r w:rsidRPr="00CC6F7E">
        <w:rPr>
          <w:rFonts w:eastAsia="Times New Roman" w:cs="Times New Roman"/>
          <w:rtl/>
          <w:lang w:eastAsia="de-DE"/>
        </w:rPr>
        <w:t xml:space="preserve"> </w:t>
      </w:r>
      <w:r w:rsidRPr="00CC6F7E">
        <w:rPr>
          <w:rFonts w:eastAsia="Times New Roman" w:cs="Times New Roman"/>
          <w:lang w:eastAsia="de-DE"/>
        </w:rPr>
        <w:t>(aufgerichtete Säule/Stele) zeigen verschiedene Arten kultischer Objekte.</w:t>
      </w:r>
    </w:p>
    <w:p w14:paraId="533CEA9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ואבן משכית לא תתנו בארצכם להשתחות עליה</w:t>
      </w:r>
      <w:r w:rsidRPr="00CC6F7E">
        <w:rPr>
          <w:rFonts w:eastAsia="Times New Roman" w:cs="Times New Roman"/>
          <w:rtl/>
          <w:lang w:eastAsia="de-DE"/>
        </w:rPr>
        <w:t xml:space="preserve"> </w:t>
      </w:r>
      <w:r w:rsidRPr="00CC6F7E">
        <w:rPr>
          <w:rFonts w:eastAsia="Times New Roman" w:cs="Times New Roman"/>
          <w:lang w:eastAsia="de-DE"/>
        </w:rPr>
        <w:t xml:space="preserve">(und keinen Stein mit Bildwerk sollt ihr in eurem Land setzen, um euch davor niederzuwerfen) - </w:t>
      </w:r>
      <w:r w:rsidRPr="00CC6F7E">
        <w:rPr>
          <w:rFonts w:eastAsia="Times New Roman" w:cs="Times New Roman"/>
          <w:b/>
          <w:bCs/>
          <w:rtl/>
          <w:lang w:eastAsia="de-DE"/>
        </w:rPr>
        <w:t>אבן משכית</w:t>
      </w:r>
      <w:r w:rsidRPr="00CC6F7E">
        <w:rPr>
          <w:rFonts w:eastAsia="Times New Roman" w:cs="Times New Roman"/>
          <w:rtl/>
          <w:lang w:eastAsia="de-DE"/>
        </w:rPr>
        <w:t xml:space="preserve"> </w:t>
      </w:r>
      <w:r w:rsidRPr="00CC6F7E">
        <w:rPr>
          <w:rFonts w:eastAsia="Times New Roman" w:cs="Times New Roman"/>
          <w:lang w:eastAsia="de-DE"/>
        </w:rPr>
        <w:t xml:space="preserve">(Stein mit Bildwerk) von </w:t>
      </w:r>
      <w:r w:rsidRPr="00CC6F7E">
        <w:rPr>
          <w:rFonts w:eastAsia="Times New Roman" w:cs="Times New Roman"/>
          <w:b/>
          <w:bCs/>
          <w:rtl/>
          <w:lang w:eastAsia="de-DE"/>
        </w:rPr>
        <w:t>שכה</w:t>
      </w:r>
      <w:r w:rsidRPr="00CC6F7E">
        <w:rPr>
          <w:rFonts w:eastAsia="Times New Roman" w:cs="Times New Roman"/>
          <w:rtl/>
          <w:lang w:eastAsia="de-DE"/>
        </w:rPr>
        <w:t xml:space="preserve"> </w:t>
      </w:r>
      <w:r w:rsidRPr="00CC6F7E">
        <w:rPr>
          <w:rFonts w:eastAsia="Times New Roman" w:cs="Times New Roman"/>
          <w:lang w:eastAsia="de-DE"/>
        </w:rPr>
        <w:t xml:space="preserve">(schauen/betrachten) zeigt bebilderte Kultsteine. </w:t>
      </w:r>
      <w:r w:rsidRPr="00CC6F7E">
        <w:rPr>
          <w:rFonts w:eastAsia="Times New Roman" w:cs="Times New Roman"/>
          <w:b/>
          <w:bCs/>
          <w:rtl/>
          <w:lang w:eastAsia="de-DE"/>
        </w:rPr>
        <w:t>בארצכם</w:t>
      </w:r>
      <w:r w:rsidRPr="00CC6F7E">
        <w:rPr>
          <w:rFonts w:eastAsia="Times New Roman" w:cs="Times New Roman"/>
          <w:rtl/>
          <w:lang w:eastAsia="de-DE"/>
        </w:rPr>
        <w:t xml:space="preserve"> </w:t>
      </w:r>
      <w:r w:rsidRPr="00CC6F7E">
        <w:rPr>
          <w:rFonts w:eastAsia="Times New Roman" w:cs="Times New Roman"/>
          <w:lang w:eastAsia="de-DE"/>
        </w:rPr>
        <w:t xml:space="preserve">(in eurem Land) zeigt territorialen Bezug. </w:t>
      </w:r>
      <w:r w:rsidRPr="00CC6F7E">
        <w:rPr>
          <w:rFonts w:eastAsia="Times New Roman" w:cs="Times New Roman"/>
          <w:b/>
          <w:bCs/>
          <w:rtl/>
          <w:lang w:eastAsia="de-DE"/>
        </w:rPr>
        <w:t>להשתחות עליה</w:t>
      </w:r>
      <w:r w:rsidRPr="00CC6F7E">
        <w:rPr>
          <w:rFonts w:eastAsia="Times New Roman" w:cs="Times New Roman"/>
          <w:rtl/>
          <w:lang w:eastAsia="de-DE"/>
        </w:rPr>
        <w:t xml:space="preserve"> </w:t>
      </w:r>
      <w:r w:rsidRPr="00CC6F7E">
        <w:rPr>
          <w:rFonts w:eastAsia="Times New Roman" w:cs="Times New Roman"/>
          <w:lang w:eastAsia="de-DE"/>
        </w:rPr>
        <w:t>(um euch darauf niederzuwerfen) zeigt den verbotenen Anbetungsakt.</w:t>
      </w:r>
    </w:p>
    <w:p w14:paraId="62FFFDD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 אני יהוה אלהיכם</w:t>
      </w:r>
      <w:r w:rsidRPr="00CC6F7E">
        <w:rPr>
          <w:rFonts w:eastAsia="Times New Roman" w:cs="Times New Roman"/>
          <w:rtl/>
          <w:lang w:eastAsia="de-DE"/>
        </w:rPr>
        <w:t xml:space="preserve"> </w:t>
      </w:r>
      <w:r w:rsidRPr="00CC6F7E">
        <w:rPr>
          <w:rFonts w:eastAsia="Times New Roman" w:cs="Times New Roman"/>
          <w:lang w:eastAsia="de-DE"/>
        </w:rPr>
        <w:t>(denn ich bin der Ewige, euer Gott) begründet das Bilderverbot durch JHWHs exklusiven Gottesanspruch.</w:t>
      </w:r>
    </w:p>
    <w:p w14:paraId="11BA05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אלילם ופסל ומצבה ואבן משכית</w:t>
      </w:r>
      <w:r w:rsidRPr="00CC6F7E">
        <w:rPr>
          <w:rFonts w:eastAsia="Times New Roman" w:cs="Times New Roman"/>
          <w:rtl/>
          <w:lang w:eastAsia="de-DE"/>
        </w:rPr>
        <w:t xml:space="preserve"> </w:t>
      </w:r>
      <w:r w:rsidRPr="00CC6F7E">
        <w:rPr>
          <w:rFonts w:eastAsia="Times New Roman" w:cs="Times New Roman"/>
          <w:lang w:eastAsia="de-DE"/>
        </w:rPr>
        <w:t xml:space="preserve">zeigen vier Arten kultischer Objekte. </w:t>
      </w:r>
      <w:r w:rsidRPr="00CC6F7E">
        <w:rPr>
          <w:rFonts w:eastAsia="Times New Roman" w:cs="Times New Roman"/>
          <w:b/>
          <w:bCs/>
          <w:rtl/>
          <w:lang w:eastAsia="de-DE"/>
        </w:rPr>
        <w:t>להשתחות עליה</w:t>
      </w:r>
      <w:r w:rsidRPr="00CC6F7E">
        <w:rPr>
          <w:rFonts w:eastAsia="Times New Roman" w:cs="Times New Roman"/>
          <w:rtl/>
          <w:lang w:eastAsia="de-DE"/>
        </w:rPr>
        <w:t xml:space="preserve"> </w:t>
      </w:r>
      <w:r w:rsidRPr="00CC6F7E">
        <w:rPr>
          <w:rFonts w:eastAsia="Times New Roman" w:cs="Times New Roman"/>
          <w:lang w:eastAsia="de-DE"/>
        </w:rPr>
        <w:t xml:space="preserve">zeigt das Problem: Anbetung. </w:t>
      </w:r>
      <w:r w:rsidRPr="00CC6F7E">
        <w:rPr>
          <w:rFonts w:eastAsia="Times New Roman" w:cs="Times New Roman"/>
          <w:b/>
          <w:bCs/>
          <w:rtl/>
          <w:lang w:eastAsia="de-DE"/>
        </w:rPr>
        <w:t>כי אני יהוה אלהיכם</w:t>
      </w:r>
      <w:r w:rsidRPr="00CC6F7E">
        <w:rPr>
          <w:rFonts w:eastAsia="Times New Roman" w:cs="Times New Roman"/>
          <w:rtl/>
          <w:lang w:eastAsia="de-DE"/>
        </w:rPr>
        <w:t xml:space="preserve"> </w:t>
      </w:r>
      <w:r w:rsidRPr="00CC6F7E">
        <w:rPr>
          <w:rFonts w:eastAsia="Times New Roman" w:cs="Times New Roman"/>
          <w:lang w:eastAsia="de-DE"/>
        </w:rPr>
        <w:t>als Exklusivitätsbegründung.</w:t>
      </w:r>
    </w:p>
    <w:p w14:paraId="286995BE" w14:textId="5036987B"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אלילים</w:t>
      </w:r>
      <w:r w:rsidR="00274C29">
        <w:t xml:space="preserve"> (</w:t>
      </w:r>
      <w:proofErr w:type="spellStart"/>
      <w:r w:rsidR="00274C29">
        <w:t>elilim</w:t>
      </w:r>
      <w:proofErr w:type="spellEnd"/>
      <w:r w:rsidR="00274C29">
        <w:t xml:space="preserve"> - "Götzen") als </w:t>
      </w:r>
      <w:proofErr w:type="spellStart"/>
      <w:r w:rsidR="00274C29">
        <w:t>εἴδωλ</w:t>
      </w:r>
      <w:proofErr w:type="spellEnd"/>
      <w:r w:rsidR="00274C29">
        <w:t xml:space="preserve">α, </w:t>
      </w:r>
      <w:r w:rsidR="00274C29">
        <w:rPr>
          <w:rtl/>
        </w:rPr>
        <w:t>פסל</w:t>
      </w:r>
      <w:r w:rsidR="00274C29">
        <w:t xml:space="preserve"> (pesel - "Götzenbild") als </w:t>
      </w:r>
      <w:proofErr w:type="spellStart"/>
      <w:r w:rsidR="00274C29">
        <w:t>γλυ</w:t>
      </w:r>
      <w:proofErr w:type="spellEnd"/>
      <w:r w:rsidR="00274C29">
        <w:t xml:space="preserve">πτόν, </w:t>
      </w:r>
      <w:r w:rsidR="00274C29">
        <w:rPr>
          <w:rtl/>
        </w:rPr>
        <w:t>מצבה</w:t>
      </w:r>
      <w:r w:rsidR="00274C29">
        <w:t xml:space="preserve"> (</w:t>
      </w:r>
      <w:proofErr w:type="spellStart"/>
      <w:r w:rsidR="00274C29">
        <w:t>matzeva</w:t>
      </w:r>
      <w:proofErr w:type="spellEnd"/>
      <w:r w:rsidR="00274C29">
        <w:t xml:space="preserve"> - "Gedenkstein") als </w:t>
      </w:r>
      <w:proofErr w:type="spellStart"/>
      <w:r w:rsidR="00274C29">
        <w:t>στήλην</w:t>
      </w:r>
      <w:proofErr w:type="spellEnd"/>
      <w:r w:rsidR="00274C29">
        <w:t xml:space="preserve">, und </w:t>
      </w:r>
      <w:r w:rsidR="00274C29">
        <w:rPr>
          <w:rtl/>
        </w:rPr>
        <w:t>אבן משכית</w:t>
      </w:r>
      <w:r w:rsidR="00274C29">
        <w:t xml:space="preserve"> (</w:t>
      </w:r>
      <w:proofErr w:type="spellStart"/>
      <w:r w:rsidR="00274C29">
        <w:t>even</w:t>
      </w:r>
      <w:proofErr w:type="spellEnd"/>
      <w:r w:rsidR="00274C29">
        <w:t xml:space="preserve"> </w:t>
      </w:r>
      <w:proofErr w:type="spellStart"/>
      <w:r w:rsidR="00274C29">
        <w:t>maskit</w:t>
      </w:r>
      <w:proofErr w:type="spellEnd"/>
      <w:r w:rsidR="00274C29">
        <w:t xml:space="preserve"> - "Bildstein") als </w:t>
      </w:r>
      <w:proofErr w:type="spellStart"/>
      <w:r w:rsidR="00274C29">
        <w:t>λίθον</w:t>
      </w:r>
      <w:proofErr w:type="spellEnd"/>
      <w:r w:rsidR="00274C29">
        <w:t xml:space="preserve"> </w:t>
      </w:r>
      <w:proofErr w:type="spellStart"/>
      <w:r w:rsidR="00274C29">
        <w:t>σκο</w:t>
      </w:r>
      <w:proofErr w:type="spellEnd"/>
      <w:r w:rsidR="00274C29">
        <w:t>πόν (Wachtstein). Diese Differenzierung zeigt eine systematische Kategorisierung verschiedener Götzenarten.</w:t>
      </w:r>
    </w:p>
    <w:p w14:paraId="75A253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umfassendes Bilderverbot: keine Götzen machen + kein Standbild und Säule aufrichten + kein Bildstein im Land setzen + zur Anbetung + JHWH-Exklusivitätsbegründung.</w:t>
      </w:r>
    </w:p>
    <w:p w14:paraId="6F756E4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einleitende Vers verbietet alle Arten kultischer Bilder und Objekte und begründet dies mit JHWHs Alleinherrschaft.</w:t>
      </w:r>
    </w:p>
    <w:p w14:paraId="0715A55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w:t>
      </w:r>
    </w:p>
    <w:p w14:paraId="6474CFF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אֶת־שַׁבְּתֹתַ֣י תִּשְׁמֹ֔רוּ וּמִקְדָּשִׁ֖י תִּירָ֑אוּ אֲנִ֖י יְהוָֽה׃</w:t>
      </w:r>
    </w:p>
    <w:p w14:paraId="705A72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Meine Schabbate sollt ihr beachten und mein Heiligtum fürchten. Ich bin der Ewige.</w:t>
      </w:r>
    </w:p>
    <w:p w14:paraId="58F4B2F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A3CC541">
          <v:rect id="_x0000_i1805" style="width:0;height:1.5pt" o:hralign="center" o:hrstd="t" o:hr="t" fillcolor="#a0a0a0" stroked="f"/>
        </w:pict>
      </w:r>
    </w:p>
    <w:p w14:paraId="3E81A5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את־שבתתי תשמרו ומקדשי תיראו אני יהוה</w:t>
      </w:r>
      <w:r w:rsidRPr="00CC6F7E">
        <w:rPr>
          <w:rFonts w:eastAsia="Times New Roman" w:cs="Times New Roman"/>
          <w:rtl/>
          <w:lang w:eastAsia="de-DE"/>
        </w:rPr>
        <w:t xml:space="preserve"> </w:t>
      </w:r>
      <w:r w:rsidRPr="00CC6F7E">
        <w:rPr>
          <w:rFonts w:eastAsia="Times New Roman" w:cs="Times New Roman"/>
          <w:lang w:eastAsia="de-DE"/>
        </w:rPr>
        <w:t xml:space="preserve">zeigt zwei positive Kultpflichten nach dem negativen Bilderverbot. </w:t>
      </w:r>
      <w:r w:rsidRPr="00CC6F7E">
        <w:rPr>
          <w:rFonts w:eastAsia="Times New Roman" w:cs="Times New Roman"/>
          <w:b/>
          <w:bCs/>
          <w:rtl/>
          <w:lang w:eastAsia="de-DE"/>
        </w:rPr>
        <w:t>את־שבתתי תשמרו</w:t>
      </w:r>
      <w:r w:rsidRPr="00CC6F7E">
        <w:rPr>
          <w:rFonts w:eastAsia="Times New Roman" w:cs="Times New Roman"/>
          <w:rtl/>
          <w:lang w:eastAsia="de-DE"/>
        </w:rPr>
        <w:t xml:space="preserve"> </w:t>
      </w:r>
      <w:r w:rsidRPr="00CC6F7E">
        <w:rPr>
          <w:rFonts w:eastAsia="Times New Roman" w:cs="Times New Roman"/>
          <w:lang w:eastAsia="de-DE"/>
        </w:rPr>
        <w:t xml:space="preserve">(meine Schabbate sollt ihr beachten) - </w:t>
      </w:r>
      <w:r w:rsidRPr="00CC6F7E">
        <w:rPr>
          <w:rFonts w:eastAsia="Times New Roman" w:cs="Times New Roman"/>
          <w:b/>
          <w:bCs/>
          <w:rtl/>
          <w:lang w:eastAsia="de-DE"/>
        </w:rPr>
        <w:t>שבתתי</w:t>
      </w:r>
      <w:r w:rsidRPr="00CC6F7E">
        <w:rPr>
          <w:rFonts w:eastAsia="Times New Roman" w:cs="Times New Roman"/>
          <w:rtl/>
          <w:lang w:eastAsia="de-DE"/>
        </w:rPr>
        <w:t xml:space="preserve"> </w:t>
      </w:r>
      <w:r w:rsidRPr="00CC6F7E">
        <w:rPr>
          <w:rFonts w:eastAsia="Times New Roman" w:cs="Times New Roman"/>
          <w:lang w:eastAsia="de-DE"/>
        </w:rPr>
        <w:t xml:space="preserve">(meine Schabbate) im Plural zeigt alle sabbatlichen Zeiten: wöchentliche Schabbate, Feste, Sabbat- und Jobeljahr. </w:t>
      </w:r>
      <w:r w:rsidRPr="00CC6F7E">
        <w:rPr>
          <w:rFonts w:eastAsia="Times New Roman" w:cs="Times New Roman"/>
          <w:b/>
          <w:bCs/>
          <w:rtl/>
          <w:lang w:eastAsia="de-DE"/>
        </w:rPr>
        <w:t>תשמרו</w:t>
      </w:r>
      <w:r w:rsidRPr="00CC6F7E">
        <w:rPr>
          <w:rFonts w:eastAsia="Times New Roman" w:cs="Times New Roman"/>
          <w:rtl/>
          <w:lang w:eastAsia="de-DE"/>
        </w:rPr>
        <w:t xml:space="preserve"> </w:t>
      </w:r>
      <w:r w:rsidRPr="00CC6F7E">
        <w:rPr>
          <w:rFonts w:eastAsia="Times New Roman" w:cs="Times New Roman"/>
          <w:lang w:eastAsia="de-DE"/>
        </w:rPr>
        <w:t>(sollt ihr beachten) entspricht dem vierten Gebot.</w:t>
      </w:r>
    </w:p>
    <w:p w14:paraId="0EC003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ומקדשי תיראו</w:t>
      </w:r>
      <w:r w:rsidRPr="00CC6F7E">
        <w:rPr>
          <w:rFonts w:eastAsia="Times New Roman" w:cs="Times New Roman"/>
          <w:rtl/>
          <w:lang w:eastAsia="de-DE"/>
        </w:rPr>
        <w:t xml:space="preserve"> </w:t>
      </w:r>
      <w:r w:rsidRPr="00CC6F7E">
        <w:rPr>
          <w:rFonts w:eastAsia="Times New Roman" w:cs="Times New Roman"/>
          <w:lang w:eastAsia="de-DE"/>
        </w:rPr>
        <w:t xml:space="preserve">(und mein Heiligtum fürchten) - </w:t>
      </w:r>
      <w:r w:rsidRPr="00CC6F7E">
        <w:rPr>
          <w:rFonts w:eastAsia="Times New Roman" w:cs="Times New Roman"/>
          <w:b/>
          <w:bCs/>
          <w:rtl/>
          <w:lang w:eastAsia="de-DE"/>
        </w:rPr>
        <w:t>מקדשי</w:t>
      </w:r>
      <w:r w:rsidRPr="00CC6F7E">
        <w:rPr>
          <w:rFonts w:eastAsia="Times New Roman" w:cs="Times New Roman"/>
          <w:rtl/>
          <w:lang w:eastAsia="de-DE"/>
        </w:rPr>
        <w:t xml:space="preserve"> </w:t>
      </w:r>
      <w:r w:rsidRPr="00CC6F7E">
        <w:rPr>
          <w:rFonts w:eastAsia="Times New Roman" w:cs="Times New Roman"/>
          <w:lang w:eastAsia="de-DE"/>
        </w:rPr>
        <w:t xml:space="preserve">(mein Heiligtum) zeigt das Stiftszelt. </w:t>
      </w:r>
      <w:r w:rsidRPr="00CC6F7E">
        <w:rPr>
          <w:rFonts w:eastAsia="Times New Roman" w:cs="Times New Roman"/>
          <w:b/>
          <w:bCs/>
          <w:rtl/>
          <w:lang w:eastAsia="de-DE"/>
        </w:rPr>
        <w:t>תיראו</w:t>
      </w:r>
      <w:r w:rsidRPr="00CC6F7E">
        <w:rPr>
          <w:rFonts w:eastAsia="Times New Roman" w:cs="Times New Roman"/>
          <w:rtl/>
          <w:lang w:eastAsia="de-DE"/>
        </w:rPr>
        <w:t xml:space="preserve"> </w:t>
      </w:r>
      <w:r w:rsidRPr="00CC6F7E">
        <w:rPr>
          <w:rFonts w:eastAsia="Times New Roman" w:cs="Times New Roman"/>
          <w:lang w:eastAsia="de-DE"/>
        </w:rPr>
        <w:t>(sollt ihr fürchten) zeigt ehrfürchtigen Respekt vor dem heiligen Ort.</w:t>
      </w:r>
    </w:p>
    <w:p w14:paraId="7753160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אני יהוה</w:t>
      </w:r>
      <w:r w:rsidRPr="00CC6F7E">
        <w:rPr>
          <w:rFonts w:eastAsia="Times New Roman" w:cs="Times New Roman"/>
          <w:rtl/>
          <w:lang w:eastAsia="de-DE"/>
        </w:rPr>
        <w:t xml:space="preserve"> </w:t>
      </w:r>
      <w:r w:rsidRPr="00CC6F7E">
        <w:rPr>
          <w:rFonts w:eastAsia="Times New Roman" w:cs="Times New Roman"/>
          <w:lang w:eastAsia="de-DE"/>
        </w:rPr>
        <w:t>(ich bin der Ewige) als kurze Autoritätsformel.</w:t>
      </w:r>
    </w:p>
    <w:p w14:paraId="4981AE5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שבתתי</w:t>
      </w:r>
      <w:r w:rsidRPr="00CC6F7E">
        <w:rPr>
          <w:rFonts w:eastAsia="Times New Roman" w:cs="Times New Roman"/>
          <w:rtl/>
          <w:lang w:eastAsia="de-DE"/>
        </w:rPr>
        <w:t xml:space="preserve"> </w:t>
      </w:r>
      <w:r w:rsidRPr="00CC6F7E">
        <w:rPr>
          <w:rFonts w:eastAsia="Times New Roman" w:cs="Times New Roman"/>
          <w:lang w:eastAsia="de-DE"/>
        </w:rPr>
        <w:t xml:space="preserve">im Plural erfasst alle sabbatlichen Institutionen. </w:t>
      </w:r>
      <w:r w:rsidRPr="00CC6F7E">
        <w:rPr>
          <w:rFonts w:eastAsia="Times New Roman" w:cs="Times New Roman"/>
          <w:b/>
          <w:bCs/>
          <w:rtl/>
          <w:lang w:eastAsia="de-DE"/>
        </w:rPr>
        <w:t>מקדשי תיראו</w:t>
      </w:r>
      <w:r w:rsidRPr="00CC6F7E">
        <w:rPr>
          <w:rFonts w:eastAsia="Times New Roman" w:cs="Times New Roman"/>
          <w:rtl/>
          <w:lang w:eastAsia="de-DE"/>
        </w:rPr>
        <w:t xml:space="preserve"> </w:t>
      </w:r>
      <w:r w:rsidRPr="00CC6F7E">
        <w:rPr>
          <w:rFonts w:eastAsia="Times New Roman" w:cs="Times New Roman"/>
          <w:lang w:eastAsia="de-DE"/>
        </w:rPr>
        <w:t xml:space="preserve">zeigt Heiligtumsfurcht als Gegensatz zu Götzenanbetung. </w:t>
      </w:r>
      <w:r w:rsidRPr="00CC6F7E">
        <w:rPr>
          <w:rFonts w:eastAsia="Times New Roman" w:cs="Times New Roman"/>
          <w:b/>
          <w:bCs/>
          <w:rtl/>
          <w:lang w:eastAsia="de-DE"/>
        </w:rPr>
        <w:t>אני יהוה</w:t>
      </w:r>
      <w:r w:rsidRPr="00CC6F7E">
        <w:rPr>
          <w:rFonts w:eastAsia="Times New Roman" w:cs="Times New Roman"/>
          <w:rtl/>
          <w:lang w:eastAsia="de-DE"/>
        </w:rPr>
        <w:t xml:space="preserve"> </w:t>
      </w:r>
      <w:r w:rsidRPr="00CC6F7E">
        <w:rPr>
          <w:rFonts w:eastAsia="Times New Roman" w:cs="Times New Roman"/>
          <w:lang w:eastAsia="de-DE"/>
        </w:rPr>
        <w:t>bekräftigt göttliche Autorität.</w:t>
      </w:r>
    </w:p>
    <w:p w14:paraId="0F0918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שבתתי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σά</w:t>
      </w:r>
      <w:proofErr w:type="spellEnd"/>
      <w:r w:rsidRPr="00CC6F7E">
        <w:rPr>
          <w:rFonts w:eastAsia="Times New Roman" w:cs="Times New Roman"/>
          <w:lang w:eastAsia="de-DE"/>
        </w:rPr>
        <w:t xml:space="preserve">ββατά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Schabbate), </w:t>
      </w:r>
      <w:r w:rsidRPr="00CC6F7E">
        <w:rPr>
          <w:rFonts w:eastAsia="Times New Roman" w:cs="Times New Roman"/>
          <w:b/>
          <w:bCs/>
          <w:rtl/>
          <w:lang w:eastAsia="de-DE"/>
        </w:rPr>
        <w:t>תשמרו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φυλάξεσθε</w:t>
      </w:r>
      <w:proofErr w:type="spellEnd"/>
      <w:r w:rsidRPr="00CC6F7E">
        <w:rPr>
          <w:rFonts w:eastAsia="Times New Roman" w:cs="Times New Roman"/>
          <w:lang w:eastAsia="de-DE"/>
        </w:rPr>
        <w:t xml:space="preserve"> (werdet ihr bewahren), </w:t>
      </w:r>
      <w:r w:rsidRPr="00CC6F7E">
        <w:rPr>
          <w:rFonts w:eastAsia="Times New Roman" w:cs="Times New Roman"/>
          <w:b/>
          <w:bCs/>
          <w:rtl/>
          <w:lang w:eastAsia="de-DE"/>
        </w:rPr>
        <w:t>מקדשי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ἁγίων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(meiner Heiligtümer) und </w:t>
      </w:r>
      <w:r w:rsidRPr="00CC6F7E">
        <w:rPr>
          <w:rFonts w:eastAsia="Times New Roman" w:cs="Times New Roman"/>
          <w:b/>
          <w:bCs/>
          <w:rtl/>
          <w:lang w:eastAsia="de-DE"/>
        </w:rPr>
        <w:t>תיראו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εὐλ</w:t>
      </w:r>
      <w:proofErr w:type="spellEnd"/>
      <w:r w:rsidRPr="00CC6F7E">
        <w:rPr>
          <w:rFonts w:eastAsia="Times New Roman" w:cs="Times New Roman"/>
          <w:lang w:eastAsia="de-DE"/>
        </w:rPr>
        <w:t>αβεῖσθε (werdet ihr verehren).</w:t>
      </w:r>
    </w:p>
    <w:p w14:paraId="6B0CB6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positive Kultpflichten: Schabbate beachten + Heiligtum fürchten + JHWH-Autoritätsformel.</w:t>
      </w:r>
    </w:p>
    <w:p w14:paraId="61D167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stellt den positiven JHWH-Kult (Schabbat und Heiligtum) dem verbotenen Bilderkult gegenüber.</w:t>
      </w:r>
    </w:p>
    <w:p w14:paraId="398614A1"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w:t>
      </w:r>
    </w:p>
    <w:p w14:paraId="67D243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אִם־בְּחֻקֹּתַ֖י תֵּלֵ֑כוּ וְאֶת־מִצְוֹתַ֣י תִּשְׁמְר֔וּ וַעֲשִׂיתֶ֖ם אֹתָֽם׃</w:t>
      </w:r>
    </w:p>
    <w:p w14:paraId="0868C5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ihr in meinen Satzungen wandelt und meine Gebote beachtet und sie tut,</w:t>
      </w:r>
    </w:p>
    <w:p w14:paraId="367863B9"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8681AAB">
          <v:rect id="_x0000_i1806" style="width:0;height:1.5pt" o:hralign="center" o:hrstd="t" o:hr="t" fillcolor="#a0a0a0" stroked="f"/>
        </w:pict>
      </w:r>
    </w:p>
    <w:p w14:paraId="4396706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אם־בחקתי תלכו ואת־מצותי תשמרו ועשיתם אתם</w:t>
      </w:r>
      <w:r w:rsidRPr="00CC6F7E">
        <w:rPr>
          <w:rFonts w:eastAsia="Times New Roman" w:cs="Times New Roman"/>
          <w:rtl/>
          <w:lang w:eastAsia="de-DE"/>
        </w:rPr>
        <w:t xml:space="preserve"> </w:t>
      </w:r>
      <w:r w:rsidRPr="00CC6F7E">
        <w:rPr>
          <w:rFonts w:eastAsia="Times New Roman" w:cs="Times New Roman"/>
          <w:lang w:eastAsia="de-DE"/>
        </w:rPr>
        <w:t xml:space="preserve">leitet die große Segens- und Fluchrede ein. </w:t>
      </w:r>
      <w:r w:rsidRPr="00CC6F7E">
        <w:rPr>
          <w:rFonts w:eastAsia="Times New Roman" w:cs="Times New Roman"/>
          <w:b/>
          <w:bCs/>
          <w:rtl/>
          <w:lang w:eastAsia="de-DE"/>
        </w:rPr>
        <w:t>אם־בחקתי תלכו</w:t>
      </w:r>
      <w:r w:rsidRPr="00CC6F7E">
        <w:rPr>
          <w:rFonts w:eastAsia="Times New Roman" w:cs="Times New Roman"/>
          <w:rtl/>
          <w:lang w:eastAsia="de-DE"/>
        </w:rPr>
        <w:t xml:space="preserve"> </w:t>
      </w:r>
      <w:r w:rsidRPr="00CC6F7E">
        <w:rPr>
          <w:rFonts w:eastAsia="Times New Roman" w:cs="Times New Roman"/>
          <w:lang w:eastAsia="de-DE"/>
        </w:rPr>
        <w:t xml:space="preserve">(wenn ihr in meinen Satzungen wandelt) - </w:t>
      </w:r>
      <w:r w:rsidRPr="00CC6F7E">
        <w:rPr>
          <w:rFonts w:eastAsia="Times New Roman" w:cs="Times New Roman"/>
          <w:b/>
          <w:bCs/>
          <w:rtl/>
          <w:lang w:eastAsia="de-DE"/>
        </w:rPr>
        <w:t>אם</w:t>
      </w:r>
      <w:r w:rsidRPr="00CC6F7E">
        <w:rPr>
          <w:rFonts w:eastAsia="Times New Roman" w:cs="Times New Roman"/>
          <w:rtl/>
          <w:lang w:eastAsia="de-DE"/>
        </w:rPr>
        <w:t xml:space="preserve"> </w:t>
      </w:r>
      <w:r w:rsidRPr="00CC6F7E">
        <w:rPr>
          <w:rFonts w:eastAsia="Times New Roman" w:cs="Times New Roman"/>
          <w:lang w:eastAsia="de-DE"/>
        </w:rPr>
        <w:t xml:space="preserve">(wenn) eröffnet die Bedingung für Segen. </w:t>
      </w:r>
      <w:r w:rsidRPr="00CC6F7E">
        <w:rPr>
          <w:rFonts w:eastAsia="Times New Roman" w:cs="Times New Roman"/>
          <w:b/>
          <w:bCs/>
          <w:rtl/>
          <w:lang w:eastAsia="de-DE"/>
        </w:rPr>
        <w:t>בחקתי תלכו</w:t>
      </w:r>
      <w:r w:rsidRPr="00CC6F7E">
        <w:rPr>
          <w:rFonts w:eastAsia="Times New Roman" w:cs="Times New Roman"/>
          <w:rtl/>
          <w:lang w:eastAsia="de-DE"/>
        </w:rPr>
        <w:t xml:space="preserve"> </w:t>
      </w:r>
      <w:r w:rsidRPr="00CC6F7E">
        <w:rPr>
          <w:rFonts w:eastAsia="Times New Roman" w:cs="Times New Roman"/>
          <w:lang w:eastAsia="de-DE"/>
        </w:rPr>
        <w:t xml:space="preserve">(in meinen Satzungen wandelt) - </w:t>
      </w:r>
      <w:r w:rsidRPr="00CC6F7E">
        <w:rPr>
          <w:rFonts w:eastAsia="Times New Roman" w:cs="Times New Roman"/>
          <w:b/>
          <w:bCs/>
          <w:rtl/>
          <w:lang w:eastAsia="de-DE"/>
        </w:rPr>
        <w:t>חקתי</w:t>
      </w:r>
      <w:r w:rsidRPr="00CC6F7E">
        <w:rPr>
          <w:rFonts w:eastAsia="Times New Roman" w:cs="Times New Roman"/>
          <w:rtl/>
          <w:lang w:eastAsia="de-DE"/>
        </w:rPr>
        <w:t xml:space="preserve"> </w:t>
      </w:r>
      <w:r w:rsidRPr="00CC6F7E">
        <w:rPr>
          <w:rFonts w:eastAsia="Times New Roman" w:cs="Times New Roman"/>
          <w:lang w:eastAsia="de-DE"/>
        </w:rPr>
        <w:t xml:space="preserve">(meine Satzungen) zeigt göttliche Ordnungen. </w:t>
      </w:r>
      <w:r w:rsidRPr="00CC6F7E">
        <w:rPr>
          <w:rFonts w:eastAsia="Times New Roman" w:cs="Times New Roman"/>
          <w:b/>
          <w:bCs/>
          <w:rtl/>
          <w:lang w:eastAsia="de-DE"/>
        </w:rPr>
        <w:t>תלכו</w:t>
      </w:r>
      <w:r w:rsidRPr="00CC6F7E">
        <w:rPr>
          <w:rFonts w:eastAsia="Times New Roman" w:cs="Times New Roman"/>
          <w:rtl/>
          <w:lang w:eastAsia="de-DE"/>
        </w:rPr>
        <w:t xml:space="preserve"> </w:t>
      </w:r>
      <w:r w:rsidRPr="00CC6F7E">
        <w:rPr>
          <w:rFonts w:eastAsia="Times New Roman" w:cs="Times New Roman"/>
          <w:lang w:eastAsia="de-DE"/>
        </w:rPr>
        <w:t>(wandelt) im Qal-Imperfekt zeigt kontinuierlichen Lebenswandel.</w:t>
      </w:r>
    </w:p>
    <w:p w14:paraId="7D63AC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ואת־מצותי תשמרו ועשיתם אתם</w:t>
      </w:r>
      <w:r w:rsidRPr="00CC6F7E">
        <w:rPr>
          <w:rFonts w:eastAsia="Times New Roman" w:cs="Times New Roman"/>
          <w:rtl/>
          <w:lang w:eastAsia="de-DE"/>
        </w:rPr>
        <w:t xml:space="preserve"> </w:t>
      </w:r>
      <w:r w:rsidRPr="00CC6F7E">
        <w:rPr>
          <w:rFonts w:eastAsia="Times New Roman" w:cs="Times New Roman"/>
          <w:lang w:eastAsia="de-DE"/>
        </w:rPr>
        <w:t xml:space="preserve">(und meine Gebote beachtet und sie tut) zeigt zwei Aspekte: </w:t>
      </w:r>
      <w:r w:rsidRPr="00CC6F7E">
        <w:rPr>
          <w:rFonts w:eastAsia="Times New Roman" w:cs="Times New Roman"/>
          <w:b/>
          <w:bCs/>
          <w:rtl/>
          <w:lang w:eastAsia="de-DE"/>
        </w:rPr>
        <w:t>תשמרו</w:t>
      </w:r>
      <w:r w:rsidRPr="00CC6F7E">
        <w:rPr>
          <w:rFonts w:eastAsia="Times New Roman" w:cs="Times New Roman"/>
          <w:rtl/>
          <w:lang w:eastAsia="de-DE"/>
        </w:rPr>
        <w:t xml:space="preserve"> </w:t>
      </w:r>
      <w:r w:rsidRPr="00CC6F7E">
        <w:rPr>
          <w:rFonts w:eastAsia="Times New Roman" w:cs="Times New Roman"/>
          <w:lang w:eastAsia="de-DE"/>
        </w:rPr>
        <w:t xml:space="preserve">(beachtet/bewahrt) im Qal-Imperfekt und </w:t>
      </w:r>
      <w:r w:rsidRPr="00CC6F7E">
        <w:rPr>
          <w:rFonts w:eastAsia="Times New Roman" w:cs="Times New Roman"/>
          <w:b/>
          <w:bCs/>
          <w:rtl/>
          <w:lang w:eastAsia="de-DE"/>
        </w:rPr>
        <w:t>ועשיתם אתם</w:t>
      </w:r>
      <w:r w:rsidRPr="00CC6F7E">
        <w:rPr>
          <w:rFonts w:eastAsia="Times New Roman" w:cs="Times New Roman"/>
          <w:rtl/>
          <w:lang w:eastAsia="de-DE"/>
        </w:rPr>
        <w:t xml:space="preserve"> </w:t>
      </w:r>
      <w:r w:rsidRPr="00CC6F7E">
        <w:rPr>
          <w:rFonts w:eastAsia="Times New Roman" w:cs="Times New Roman"/>
          <w:lang w:eastAsia="de-DE"/>
        </w:rPr>
        <w:t>(und tut sie) im Qal-Perfekt mit Waw-Konsekutiv - Beachtung und Ausführung.</w:t>
      </w:r>
    </w:p>
    <w:p w14:paraId="73D455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בחקתי תלכו</w:t>
      </w:r>
      <w:r w:rsidRPr="00CC6F7E">
        <w:rPr>
          <w:rFonts w:eastAsia="Times New Roman" w:cs="Times New Roman"/>
          <w:rtl/>
          <w:lang w:eastAsia="de-DE"/>
        </w:rPr>
        <w:t xml:space="preserve"> </w:t>
      </w:r>
      <w:r w:rsidRPr="00CC6F7E">
        <w:rPr>
          <w:rFonts w:eastAsia="Times New Roman" w:cs="Times New Roman"/>
          <w:lang w:eastAsia="de-DE"/>
        </w:rPr>
        <w:t xml:space="preserve">zeigt Lebenswandel entsprechend göttlichen Satzungen. </w:t>
      </w:r>
      <w:r w:rsidRPr="00CC6F7E">
        <w:rPr>
          <w:rFonts w:eastAsia="Times New Roman" w:cs="Times New Roman"/>
          <w:b/>
          <w:bCs/>
          <w:rtl/>
          <w:lang w:eastAsia="de-DE"/>
        </w:rPr>
        <w:t>מצותי תשמרו ועשיתם</w:t>
      </w:r>
      <w:r w:rsidRPr="00CC6F7E">
        <w:rPr>
          <w:rFonts w:eastAsia="Times New Roman" w:cs="Times New Roman"/>
          <w:rtl/>
          <w:lang w:eastAsia="de-DE"/>
        </w:rPr>
        <w:t xml:space="preserve"> </w:t>
      </w:r>
      <w:r w:rsidRPr="00CC6F7E">
        <w:rPr>
          <w:rFonts w:eastAsia="Times New Roman" w:cs="Times New Roman"/>
          <w:lang w:eastAsia="de-DE"/>
        </w:rPr>
        <w:t>zeigt Gebote-Beachtung und -Ausführung. Die Dreiteilung (wandeln, beachten, tun) zeigt umfassenden Gehorsam.</w:t>
      </w:r>
    </w:p>
    <w:p w14:paraId="33E8289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בחקתי תלכו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ροστάγμ</w:t>
      </w:r>
      <w:proofErr w:type="spellEnd"/>
      <w:r w:rsidRPr="00CC6F7E">
        <w:rPr>
          <w:rFonts w:eastAsia="Times New Roman" w:cs="Times New Roman"/>
          <w:lang w:eastAsia="de-DE"/>
        </w:rPr>
        <w:t xml:space="preserve">ασίν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ορεύησθε</w:t>
      </w:r>
      <w:proofErr w:type="spellEnd"/>
      <w:r w:rsidRPr="00CC6F7E">
        <w:rPr>
          <w:rFonts w:eastAsia="Times New Roman" w:cs="Times New Roman"/>
          <w:lang w:eastAsia="de-DE"/>
        </w:rPr>
        <w:t xml:space="preserve"> (in meinen Anordnungen werdet ihr wandeln), </w:t>
      </w:r>
      <w:r w:rsidRPr="00CC6F7E">
        <w:rPr>
          <w:rFonts w:eastAsia="Times New Roman" w:cs="Times New Roman"/>
          <w:b/>
          <w:bCs/>
          <w:rtl/>
          <w:lang w:eastAsia="de-DE"/>
        </w:rPr>
        <w:t>מצותי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ἐντολάς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Gebote) und </w:t>
      </w:r>
      <w:r w:rsidRPr="00CC6F7E">
        <w:rPr>
          <w:rFonts w:eastAsia="Times New Roman" w:cs="Times New Roman"/>
          <w:b/>
          <w:bCs/>
          <w:rtl/>
          <w:lang w:eastAsia="de-DE"/>
        </w:rPr>
        <w:t>ועשיתם אתם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οιήσητε</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ὐτάς</w:t>
      </w:r>
      <w:proofErr w:type="spellEnd"/>
      <w:r w:rsidRPr="00CC6F7E">
        <w:rPr>
          <w:rFonts w:eastAsia="Times New Roman" w:cs="Times New Roman"/>
          <w:lang w:eastAsia="de-DE"/>
        </w:rPr>
        <w:t xml:space="preserve"> (werdet ihr sie tun).</w:t>
      </w:r>
    </w:p>
    <w:p w14:paraId="6C68FE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Segens-Bedingung: in Satzungen wandeln + Gebote beachten + sie ausführen.</w:t>
      </w:r>
    </w:p>
    <w:p w14:paraId="12EE79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eröffnet die Segens-Verheißung mit der dreifachen Gehorsamsbedingung: Wandeln, Beachten, Tun.</w:t>
      </w:r>
    </w:p>
    <w:p w14:paraId="61C648D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w:t>
      </w:r>
    </w:p>
    <w:p w14:paraId="0EE518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וְנָתַתִּ֥י גִשְׁמֵיכֶ֖ם בְּעִתָּ֑ם וְנָתְנָ֤ה הָאָ֨רֶץ֙ יְבוּלָ֔הּ וְעֵ֥ץ הַשָּׂדֶ֖ה יִתֵּ֥ן פִּרְיֹֽו׃</w:t>
      </w:r>
    </w:p>
    <w:p w14:paraId="05D6A52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werde ich euch Regen geben zu seiner Zeit, und das Land wird seinen Ertrag geben, und die Bäume des Feldes werden ihre Frucht geben.</w:t>
      </w:r>
    </w:p>
    <w:p w14:paraId="168B556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CD3D39C">
          <v:rect id="_x0000_i1807" style="width:0;height:1.5pt" o:hralign="center" o:hrstd="t" o:hr="t" fillcolor="#a0a0a0" stroked="f"/>
        </w:pict>
      </w:r>
    </w:p>
    <w:p w14:paraId="7A5881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ונתתי גשמיכם בעתם ונתנה הארץ יבולה ועץ השדה יתן פריו</w:t>
      </w:r>
      <w:r w:rsidRPr="00CC6F7E">
        <w:rPr>
          <w:rFonts w:eastAsia="Times New Roman" w:cs="Times New Roman"/>
          <w:rtl/>
          <w:lang w:eastAsia="de-DE"/>
        </w:rPr>
        <w:t xml:space="preserve"> </w:t>
      </w:r>
      <w:r w:rsidRPr="00CC6F7E">
        <w:rPr>
          <w:rFonts w:eastAsia="Times New Roman" w:cs="Times New Roman"/>
          <w:lang w:eastAsia="de-DE"/>
        </w:rPr>
        <w:t xml:space="preserve">zeigt die erste Segensverheißung: landwirtschaftliche Prosperität. </w:t>
      </w:r>
      <w:r w:rsidRPr="00CC6F7E">
        <w:rPr>
          <w:rFonts w:eastAsia="Times New Roman" w:cs="Times New Roman"/>
          <w:b/>
          <w:bCs/>
          <w:rtl/>
          <w:lang w:eastAsia="de-DE"/>
        </w:rPr>
        <w:t>ונתתי גשמיכם בעתם</w:t>
      </w:r>
      <w:r w:rsidRPr="00CC6F7E">
        <w:rPr>
          <w:rFonts w:eastAsia="Times New Roman" w:cs="Times New Roman"/>
          <w:rtl/>
          <w:lang w:eastAsia="de-DE"/>
        </w:rPr>
        <w:t xml:space="preserve"> </w:t>
      </w:r>
      <w:r w:rsidRPr="00CC6F7E">
        <w:rPr>
          <w:rFonts w:eastAsia="Times New Roman" w:cs="Times New Roman"/>
          <w:lang w:eastAsia="de-DE"/>
        </w:rPr>
        <w:t xml:space="preserve">(so werde ich euch </w:t>
      </w:r>
      <w:r w:rsidRPr="00CC6F7E">
        <w:rPr>
          <w:rFonts w:eastAsia="Times New Roman" w:cs="Times New Roman"/>
          <w:lang w:eastAsia="de-DE"/>
        </w:rPr>
        <w:lastRenderedPageBreak/>
        <w:t xml:space="preserve">Regen geben zu seiner Zeit) - </w:t>
      </w:r>
      <w:r w:rsidRPr="00CC6F7E">
        <w:rPr>
          <w:rFonts w:eastAsia="Times New Roman" w:cs="Times New Roman"/>
          <w:b/>
          <w:bCs/>
          <w:rtl/>
          <w:lang w:eastAsia="de-DE"/>
        </w:rPr>
        <w:t>ונתתי</w:t>
      </w:r>
      <w:r w:rsidRPr="00CC6F7E">
        <w:rPr>
          <w:rFonts w:eastAsia="Times New Roman" w:cs="Times New Roman"/>
          <w:rtl/>
          <w:lang w:eastAsia="de-DE"/>
        </w:rPr>
        <w:t xml:space="preserve"> </w:t>
      </w:r>
      <w:r w:rsidRPr="00CC6F7E">
        <w:rPr>
          <w:rFonts w:eastAsia="Times New Roman" w:cs="Times New Roman"/>
          <w:lang w:eastAsia="de-DE"/>
        </w:rPr>
        <w:t xml:space="preserve">(und ich werde geben) im Qal-Perfekt mit Waw-Konsekutiv als göttliche Segenstat. </w:t>
      </w:r>
      <w:r w:rsidRPr="00CC6F7E">
        <w:rPr>
          <w:rFonts w:eastAsia="Times New Roman" w:cs="Times New Roman"/>
          <w:b/>
          <w:bCs/>
          <w:rtl/>
          <w:lang w:eastAsia="de-DE"/>
        </w:rPr>
        <w:t>גשמיכם</w:t>
      </w:r>
      <w:r w:rsidRPr="00CC6F7E">
        <w:rPr>
          <w:rFonts w:eastAsia="Times New Roman" w:cs="Times New Roman"/>
          <w:rtl/>
          <w:lang w:eastAsia="de-DE"/>
        </w:rPr>
        <w:t xml:space="preserve"> </w:t>
      </w:r>
      <w:r w:rsidRPr="00CC6F7E">
        <w:rPr>
          <w:rFonts w:eastAsia="Times New Roman" w:cs="Times New Roman"/>
          <w:lang w:eastAsia="de-DE"/>
        </w:rPr>
        <w:t xml:space="preserve">(euren Regen) zeigt lebenswichtigen Niederschlag. </w:t>
      </w:r>
      <w:r w:rsidRPr="00CC6F7E">
        <w:rPr>
          <w:rFonts w:eastAsia="Times New Roman" w:cs="Times New Roman"/>
          <w:b/>
          <w:bCs/>
          <w:rtl/>
          <w:lang w:eastAsia="de-DE"/>
        </w:rPr>
        <w:t>בעתם</w:t>
      </w:r>
      <w:r w:rsidRPr="00CC6F7E">
        <w:rPr>
          <w:rFonts w:eastAsia="Times New Roman" w:cs="Times New Roman"/>
          <w:rtl/>
          <w:lang w:eastAsia="de-DE"/>
        </w:rPr>
        <w:t xml:space="preserve"> </w:t>
      </w:r>
      <w:r w:rsidRPr="00CC6F7E">
        <w:rPr>
          <w:rFonts w:eastAsia="Times New Roman" w:cs="Times New Roman"/>
          <w:lang w:eastAsia="de-DE"/>
        </w:rPr>
        <w:t>(zu seiner Zeit) zeigt rechtzeitigen, angemessenen Regen.</w:t>
      </w:r>
    </w:p>
    <w:p w14:paraId="306BE11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ונתנה הארץ יבולה</w:t>
      </w:r>
      <w:r w:rsidRPr="00CC6F7E">
        <w:rPr>
          <w:rFonts w:eastAsia="Times New Roman" w:cs="Times New Roman"/>
          <w:rtl/>
          <w:lang w:eastAsia="de-DE"/>
        </w:rPr>
        <w:t xml:space="preserve"> </w:t>
      </w:r>
      <w:r w:rsidRPr="00CC6F7E">
        <w:rPr>
          <w:rFonts w:eastAsia="Times New Roman" w:cs="Times New Roman"/>
          <w:lang w:eastAsia="de-DE"/>
        </w:rPr>
        <w:t xml:space="preserve">(und das Land wird seinen Ertrag geben) - </w:t>
      </w:r>
      <w:r w:rsidRPr="00CC6F7E">
        <w:rPr>
          <w:rFonts w:eastAsia="Times New Roman" w:cs="Times New Roman"/>
          <w:b/>
          <w:bCs/>
          <w:rtl/>
          <w:lang w:eastAsia="de-DE"/>
        </w:rPr>
        <w:t>ונתנה הארץ</w:t>
      </w:r>
      <w:r w:rsidRPr="00CC6F7E">
        <w:rPr>
          <w:rFonts w:eastAsia="Times New Roman" w:cs="Times New Roman"/>
          <w:rtl/>
          <w:lang w:eastAsia="de-DE"/>
        </w:rPr>
        <w:t xml:space="preserve"> </w:t>
      </w:r>
      <w:r w:rsidRPr="00CC6F7E">
        <w:rPr>
          <w:rFonts w:eastAsia="Times New Roman" w:cs="Times New Roman"/>
          <w:lang w:eastAsia="de-DE"/>
        </w:rPr>
        <w:t xml:space="preserve">(und das Land wird geben) zeigt Landproduktivität. </w:t>
      </w:r>
      <w:r w:rsidRPr="00CC6F7E">
        <w:rPr>
          <w:rFonts w:eastAsia="Times New Roman" w:cs="Times New Roman"/>
          <w:b/>
          <w:bCs/>
          <w:rtl/>
          <w:lang w:eastAsia="de-DE"/>
        </w:rPr>
        <w:t>יבולה</w:t>
      </w:r>
      <w:r w:rsidRPr="00CC6F7E">
        <w:rPr>
          <w:rFonts w:eastAsia="Times New Roman" w:cs="Times New Roman"/>
          <w:rtl/>
          <w:lang w:eastAsia="de-DE"/>
        </w:rPr>
        <w:t xml:space="preserve"> </w:t>
      </w:r>
      <w:r w:rsidRPr="00CC6F7E">
        <w:rPr>
          <w:rFonts w:eastAsia="Times New Roman" w:cs="Times New Roman"/>
          <w:lang w:eastAsia="de-DE"/>
        </w:rPr>
        <w:t>(seinen Ertrag) zeigt landwirtschaftlichen Ertrag.</w:t>
      </w:r>
    </w:p>
    <w:p w14:paraId="35A7ED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ועץ השדה יתן פריו</w:t>
      </w:r>
      <w:r w:rsidRPr="00CC6F7E">
        <w:rPr>
          <w:rFonts w:eastAsia="Times New Roman" w:cs="Times New Roman"/>
          <w:rtl/>
          <w:lang w:eastAsia="de-DE"/>
        </w:rPr>
        <w:t xml:space="preserve"> </w:t>
      </w:r>
      <w:r w:rsidRPr="00CC6F7E">
        <w:rPr>
          <w:rFonts w:eastAsia="Times New Roman" w:cs="Times New Roman"/>
          <w:lang w:eastAsia="de-DE"/>
        </w:rPr>
        <w:t>(und die Bäume des Feldes werden ihre Frucht geben) zeigt Baumfrüchte als zusätzlichen Segen.</w:t>
      </w:r>
    </w:p>
    <w:p w14:paraId="06520AA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גשמיכם בעתם</w:t>
      </w:r>
      <w:r w:rsidRPr="00CC6F7E">
        <w:rPr>
          <w:rFonts w:eastAsia="Times New Roman" w:cs="Times New Roman"/>
          <w:rtl/>
          <w:lang w:eastAsia="de-DE"/>
        </w:rPr>
        <w:t xml:space="preserve"> </w:t>
      </w:r>
      <w:r w:rsidRPr="00CC6F7E">
        <w:rPr>
          <w:rFonts w:eastAsia="Times New Roman" w:cs="Times New Roman"/>
          <w:lang w:eastAsia="de-DE"/>
        </w:rPr>
        <w:t xml:space="preserve">zeigt göttliche Regenkontrolle zur rechten Zeit. </w:t>
      </w:r>
      <w:r w:rsidRPr="00CC6F7E">
        <w:rPr>
          <w:rFonts w:eastAsia="Times New Roman" w:cs="Times New Roman"/>
          <w:b/>
          <w:bCs/>
          <w:rtl/>
          <w:lang w:eastAsia="de-DE"/>
        </w:rPr>
        <w:t>הארץ יבולה</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עץ השדה פריו</w:t>
      </w:r>
      <w:r w:rsidRPr="00CC6F7E">
        <w:rPr>
          <w:rFonts w:eastAsia="Times New Roman" w:cs="Times New Roman"/>
          <w:rtl/>
          <w:lang w:eastAsia="de-DE"/>
        </w:rPr>
        <w:t xml:space="preserve"> </w:t>
      </w:r>
      <w:r w:rsidRPr="00CC6F7E">
        <w:rPr>
          <w:rFonts w:eastAsia="Times New Roman" w:cs="Times New Roman"/>
          <w:lang w:eastAsia="de-DE"/>
        </w:rPr>
        <w:t>zeigen umfassende landwirtschaftliche Produktivität. Die Formulierung entspricht 25,19.</w:t>
      </w:r>
    </w:p>
    <w:p w14:paraId="146F71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גשמיכם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ὑετὸν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ὑμῖν</w:t>
      </w:r>
      <w:proofErr w:type="spellEnd"/>
      <w:r w:rsidRPr="00CC6F7E">
        <w:rPr>
          <w:rFonts w:eastAsia="Times New Roman" w:cs="Times New Roman"/>
          <w:lang w:eastAsia="de-DE"/>
        </w:rPr>
        <w:t xml:space="preserve"> (Regen euch), </w:t>
      </w:r>
      <w:r w:rsidRPr="00CC6F7E">
        <w:rPr>
          <w:rFonts w:eastAsia="Times New Roman" w:cs="Times New Roman"/>
          <w:b/>
          <w:bCs/>
          <w:rtl/>
          <w:lang w:eastAsia="de-DE"/>
        </w:rPr>
        <w:t>בעתם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ιρῷ</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(zu seiner Zeit), </w:t>
      </w:r>
      <w:r w:rsidRPr="00CC6F7E">
        <w:rPr>
          <w:rFonts w:eastAsia="Times New Roman" w:cs="Times New Roman"/>
          <w:b/>
          <w:bCs/>
          <w:rtl/>
          <w:lang w:eastAsia="de-DE"/>
        </w:rPr>
        <w:t>יבולה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γένημ</w:t>
      </w:r>
      <w:proofErr w:type="spellEnd"/>
      <w:r w:rsidRPr="00CC6F7E">
        <w:rPr>
          <w:rFonts w:eastAsia="Times New Roman" w:cs="Times New Roman"/>
          <w:lang w:eastAsia="de-DE"/>
        </w:rPr>
        <w:t>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(ihr Erzeugnis) und </w:t>
      </w:r>
      <w:r w:rsidRPr="00CC6F7E">
        <w:rPr>
          <w:rFonts w:eastAsia="Times New Roman" w:cs="Times New Roman"/>
          <w:b/>
          <w:bCs/>
          <w:rtl/>
          <w:lang w:eastAsia="de-DE"/>
        </w:rPr>
        <w:t>פריו</w:t>
      </w:r>
      <w:r w:rsidRPr="00CC6F7E">
        <w:rPr>
          <w:rFonts w:eastAsia="Times New Roman" w:cs="Times New Roman"/>
          <w:rtl/>
          <w:lang w:eastAsia="de-DE"/>
        </w:rPr>
        <w:t xml:space="preserve"> </w:t>
      </w:r>
      <w:r w:rsidRPr="00CC6F7E">
        <w:rPr>
          <w:rFonts w:eastAsia="Times New Roman" w:cs="Times New Roman"/>
          <w:lang w:eastAsia="de-DE"/>
        </w:rPr>
        <w:t>mit καρπ</w:t>
      </w:r>
      <w:proofErr w:type="spellStart"/>
      <w:r w:rsidRPr="00CC6F7E">
        <w:rPr>
          <w:rFonts w:eastAsia="Times New Roman" w:cs="Times New Roman"/>
          <w:lang w:eastAsia="de-DE"/>
        </w:rPr>
        <w:t>ὸν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(seine Frucht).</w:t>
      </w:r>
    </w:p>
    <w:p w14:paraId="127063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landwirtschaftliche Segens-Verheißung: Regen zur rechten Zeit + Land gibt Ertrag + Bäume geben Frucht.</w:t>
      </w:r>
    </w:p>
    <w:p w14:paraId="7CAA2B3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bei Gehorsam göttlich gesteuerte landwirtschaftliche Prosperität durch rechtzeitigen Regen.</w:t>
      </w:r>
    </w:p>
    <w:p w14:paraId="2748CB2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26,5</w:t>
      </w:r>
    </w:p>
    <w:p w14:paraId="2EA5651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וְהִשִּׂ֨יג לָכֶ֥ם דַּ֨יִשׁ֙ אֶת־בָּצִ֔יר וּבָצִ֖יר יַשִּׂ֣יג אֶת־זָ֑רַע וַאֲכַלְתֶּ֤ם לַחְמְכֶם֙ לָשֹׂ֔בַע וִֽישַׁבְתֶּ֥ם לָבֶ֖טַח בְּאַרְצְכֶֽם׃</w:t>
      </w:r>
    </w:p>
    <w:p w14:paraId="1A22F9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die Dreschzeit wird bei euch reichen bis zur Weinlese, und die Weinlese wird reichen bis zur Saatzeit; und ihr werdet euer Brot essen bis zur Sättigung und sicher in eurem Land wohnen.</w:t>
      </w:r>
    </w:p>
    <w:p w14:paraId="4AD8986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569D812">
          <v:rect id="_x0000_i1808" style="width:0;height:1.5pt" o:hralign="center" o:hrstd="t" o:hr="t" fillcolor="#a0a0a0" stroked="f"/>
        </w:pict>
      </w:r>
    </w:p>
    <w:p w14:paraId="725CAB8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והשיג לכם דיש את־בציר ובציר ישיג את־זרע ואכלתם לחמכם לשבע וישבתם לבטח בארצכם</w:t>
      </w:r>
      <w:r w:rsidRPr="00CC6F7E">
        <w:rPr>
          <w:rFonts w:eastAsia="Times New Roman" w:cs="Times New Roman"/>
          <w:rtl/>
          <w:lang w:eastAsia="de-DE"/>
        </w:rPr>
        <w:t xml:space="preserve"> </w:t>
      </w:r>
      <w:r w:rsidRPr="00CC6F7E">
        <w:rPr>
          <w:rFonts w:eastAsia="Times New Roman" w:cs="Times New Roman"/>
          <w:lang w:eastAsia="de-DE"/>
        </w:rPr>
        <w:t xml:space="preserve">zeigt kontinuierliche landwirtschaftliche Aktivität als Segenssymbol. </w:t>
      </w:r>
      <w:r w:rsidRPr="00CC6F7E">
        <w:rPr>
          <w:rFonts w:eastAsia="Times New Roman" w:cs="Times New Roman"/>
          <w:b/>
          <w:bCs/>
          <w:rtl/>
          <w:lang w:eastAsia="de-DE"/>
        </w:rPr>
        <w:t>והשיג לכם דיש את־בציר</w:t>
      </w:r>
      <w:r w:rsidRPr="00CC6F7E">
        <w:rPr>
          <w:rFonts w:eastAsia="Times New Roman" w:cs="Times New Roman"/>
          <w:rtl/>
          <w:lang w:eastAsia="de-DE"/>
        </w:rPr>
        <w:t xml:space="preserve"> </w:t>
      </w:r>
      <w:r w:rsidRPr="00CC6F7E">
        <w:rPr>
          <w:rFonts w:eastAsia="Times New Roman" w:cs="Times New Roman"/>
          <w:lang w:eastAsia="de-DE"/>
        </w:rPr>
        <w:t xml:space="preserve">(und die Dreschzeit wird bei euch reichen bis zur Weinlese) - </w:t>
      </w:r>
      <w:r w:rsidRPr="00CC6F7E">
        <w:rPr>
          <w:rFonts w:eastAsia="Times New Roman" w:cs="Times New Roman"/>
          <w:b/>
          <w:bCs/>
          <w:rtl/>
          <w:lang w:eastAsia="de-DE"/>
        </w:rPr>
        <w:t>והשיג לכם</w:t>
      </w:r>
      <w:r w:rsidRPr="00CC6F7E">
        <w:rPr>
          <w:rFonts w:eastAsia="Times New Roman" w:cs="Times New Roman"/>
          <w:rtl/>
          <w:lang w:eastAsia="de-DE"/>
        </w:rPr>
        <w:t xml:space="preserve"> </w:t>
      </w:r>
      <w:r w:rsidRPr="00CC6F7E">
        <w:rPr>
          <w:rFonts w:eastAsia="Times New Roman" w:cs="Times New Roman"/>
          <w:lang w:eastAsia="de-DE"/>
        </w:rPr>
        <w:t xml:space="preserve">(und es wird euch erreichen) im Hifil-Perfekt mit Waw-Konsekutiv zeigt zeitliches Erreichen. </w:t>
      </w:r>
      <w:r w:rsidRPr="00CC6F7E">
        <w:rPr>
          <w:rFonts w:eastAsia="Times New Roman" w:cs="Times New Roman"/>
          <w:b/>
          <w:bCs/>
          <w:rtl/>
          <w:lang w:eastAsia="de-DE"/>
        </w:rPr>
        <w:t>דיש</w:t>
      </w:r>
      <w:r w:rsidRPr="00CC6F7E">
        <w:rPr>
          <w:rFonts w:eastAsia="Times New Roman" w:cs="Times New Roman"/>
          <w:rtl/>
          <w:lang w:eastAsia="de-DE"/>
        </w:rPr>
        <w:t xml:space="preserve"> </w:t>
      </w:r>
      <w:r w:rsidRPr="00CC6F7E">
        <w:rPr>
          <w:rFonts w:eastAsia="Times New Roman" w:cs="Times New Roman"/>
          <w:lang w:eastAsia="de-DE"/>
        </w:rPr>
        <w:t xml:space="preserve">(Dreschzeit) zeigt Getreideaufbereitung nach der Ernte. </w:t>
      </w:r>
      <w:r w:rsidRPr="00CC6F7E">
        <w:rPr>
          <w:rFonts w:eastAsia="Times New Roman" w:cs="Times New Roman"/>
          <w:b/>
          <w:bCs/>
          <w:rtl/>
          <w:lang w:eastAsia="de-DE"/>
        </w:rPr>
        <w:t>את־בציר</w:t>
      </w:r>
      <w:r w:rsidRPr="00CC6F7E">
        <w:rPr>
          <w:rFonts w:eastAsia="Times New Roman" w:cs="Times New Roman"/>
          <w:rtl/>
          <w:lang w:eastAsia="de-DE"/>
        </w:rPr>
        <w:t xml:space="preserve"> </w:t>
      </w:r>
      <w:r w:rsidRPr="00CC6F7E">
        <w:rPr>
          <w:rFonts w:eastAsia="Times New Roman" w:cs="Times New Roman"/>
          <w:lang w:eastAsia="de-DE"/>
        </w:rPr>
        <w:t>(bis zur Weinlese) zeigt Traubenernte im Herbst.</w:t>
      </w:r>
    </w:p>
    <w:p w14:paraId="682DEF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ובציר ישיג את־זרע</w:t>
      </w:r>
      <w:r w:rsidRPr="00CC6F7E">
        <w:rPr>
          <w:rFonts w:eastAsia="Times New Roman" w:cs="Times New Roman"/>
          <w:rtl/>
          <w:lang w:eastAsia="de-DE"/>
        </w:rPr>
        <w:t xml:space="preserve"> </w:t>
      </w:r>
      <w:r w:rsidRPr="00CC6F7E">
        <w:rPr>
          <w:rFonts w:eastAsia="Times New Roman" w:cs="Times New Roman"/>
          <w:lang w:eastAsia="de-DE"/>
        </w:rPr>
        <w:t xml:space="preserve">(und die Weinlese wird reichen bis zur Saatzeit) zeigt, dass die Weinlese bis zur nächsten Aussaat dauert - </w:t>
      </w:r>
      <w:r w:rsidRPr="00CC6F7E">
        <w:rPr>
          <w:rFonts w:eastAsia="Times New Roman" w:cs="Times New Roman"/>
          <w:b/>
          <w:bCs/>
          <w:rtl/>
          <w:lang w:eastAsia="de-DE"/>
        </w:rPr>
        <w:t>זרע</w:t>
      </w:r>
      <w:r w:rsidRPr="00CC6F7E">
        <w:rPr>
          <w:rFonts w:eastAsia="Times New Roman" w:cs="Times New Roman"/>
          <w:rtl/>
          <w:lang w:eastAsia="de-DE"/>
        </w:rPr>
        <w:t xml:space="preserve"> </w:t>
      </w:r>
      <w:r w:rsidRPr="00CC6F7E">
        <w:rPr>
          <w:rFonts w:eastAsia="Times New Roman" w:cs="Times New Roman"/>
          <w:lang w:eastAsia="de-DE"/>
        </w:rPr>
        <w:t>(Saatzeit) zeigt Frühjahrsaussaat.</w:t>
      </w:r>
    </w:p>
    <w:p w14:paraId="4555728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ואכלתם לחמכם לשבע</w:t>
      </w:r>
      <w:r w:rsidRPr="00CC6F7E">
        <w:rPr>
          <w:rFonts w:eastAsia="Times New Roman" w:cs="Times New Roman"/>
          <w:rtl/>
          <w:lang w:eastAsia="de-DE"/>
        </w:rPr>
        <w:t xml:space="preserve"> </w:t>
      </w:r>
      <w:r w:rsidRPr="00CC6F7E">
        <w:rPr>
          <w:rFonts w:eastAsia="Times New Roman" w:cs="Times New Roman"/>
          <w:lang w:eastAsia="de-DE"/>
        </w:rPr>
        <w:t xml:space="preserve">(und ihr werdet euer Brot essen bis zur Sättigung) entspricht 25,19 und zeigt Sättigungsgarantie. </w:t>
      </w:r>
      <w:r w:rsidRPr="00CC6F7E">
        <w:rPr>
          <w:rFonts w:eastAsia="Times New Roman" w:cs="Times New Roman"/>
          <w:b/>
          <w:bCs/>
          <w:rtl/>
          <w:lang w:eastAsia="de-DE"/>
        </w:rPr>
        <w:t>וישבתם לבטח בארצכם</w:t>
      </w:r>
      <w:r w:rsidRPr="00CC6F7E">
        <w:rPr>
          <w:rFonts w:eastAsia="Times New Roman" w:cs="Times New Roman"/>
          <w:rtl/>
          <w:lang w:eastAsia="de-DE"/>
        </w:rPr>
        <w:t xml:space="preserve"> </w:t>
      </w:r>
      <w:r w:rsidRPr="00CC6F7E">
        <w:rPr>
          <w:rFonts w:eastAsia="Times New Roman" w:cs="Times New Roman"/>
          <w:lang w:eastAsia="de-DE"/>
        </w:rPr>
        <w:t>(und sicher in eurem Land wohnen) entspricht 25,18-19.</w:t>
      </w:r>
    </w:p>
    <w:p w14:paraId="7A1668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דיש את־בציר</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בציר את־זרע</w:t>
      </w:r>
      <w:r w:rsidRPr="00CC6F7E">
        <w:rPr>
          <w:rFonts w:eastAsia="Times New Roman" w:cs="Times New Roman"/>
          <w:rtl/>
          <w:lang w:eastAsia="de-DE"/>
        </w:rPr>
        <w:t xml:space="preserve"> </w:t>
      </w:r>
      <w:r w:rsidRPr="00CC6F7E">
        <w:rPr>
          <w:rFonts w:eastAsia="Times New Roman" w:cs="Times New Roman"/>
          <w:lang w:eastAsia="de-DE"/>
        </w:rPr>
        <w:t xml:space="preserve">zeigen kontinuierliche, sich überlappende Erntezeiten. </w:t>
      </w:r>
      <w:r w:rsidRPr="00CC6F7E">
        <w:rPr>
          <w:rFonts w:eastAsia="Times New Roman" w:cs="Times New Roman"/>
          <w:b/>
          <w:bCs/>
          <w:rtl/>
          <w:lang w:eastAsia="de-DE"/>
        </w:rPr>
        <w:t>לחמכם לשבע</w:t>
      </w:r>
      <w:r w:rsidRPr="00CC6F7E">
        <w:rPr>
          <w:rFonts w:eastAsia="Times New Roman" w:cs="Times New Roman"/>
          <w:rtl/>
          <w:lang w:eastAsia="de-DE"/>
        </w:rPr>
        <w:t xml:space="preserve"> </w:t>
      </w:r>
      <w:r w:rsidRPr="00CC6F7E">
        <w:rPr>
          <w:rFonts w:eastAsia="Times New Roman" w:cs="Times New Roman"/>
          <w:lang w:eastAsia="de-DE"/>
        </w:rPr>
        <w:t xml:space="preserve">zeigt Sättigungsgarantie. </w:t>
      </w:r>
      <w:r w:rsidRPr="00CC6F7E">
        <w:rPr>
          <w:rFonts w:eastAsia="Times New Roman" w:cs="Times New Roman"/>
          <w:b/>
          <w:bCs/>
          <w:rtl/>
          <w:lang w:eastAsia="de-DE"/>
        </w:rPr>
        <w:t>לבטח בארצכם</w:t>
      </w:r>
      <w:r w:rsidRPr="00CC6F7E">
        <w:rPr>
          <w:rFonts w:eastAsia="Times New Roman" w:cs="Times New Roman"/>
          <w:rtl/>
          <w:lang w:eastAsia="de-DE"/>
        </w:rPr>
        <w:t xml:space="preserve"> </w:t>
      </w:r>
      <w:r w:rsidRPr="00CC6F7E">
        <w:rPr>
          <w:rFonts w:eastAsia="Times New Roman" w:cs="Times New Roman"/>
          <w:lang w:eastAsia="de-DE"/>
        </w:rPr>
        <w:t>zeigt sichere Landwohnung.</w:t>
      </w:r>
    </w:p>
    <w:p w14:paraId="48C5F57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דיש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ἅλωσις</w:t>
      </w:r>
      <w:proofErr w:type="spellEnd"/>
      <w:r w:rsidRPr="00CC6F7E">
        <w:rPr>
          <w:rFonts w:eastAsia="Times New Roman" w:cs="Times New Roman"/>
          <w:lang w:eastAsia="de-DE"/>
        </w:rPr>
        <w:t xml:space="preserve"> (Dreschen), </w:t>
      </w:r>
      <w:r w:rsidRPr="00CC6F7E">
        <w:rPr>
          <w:rFonts w:eastAsia="Times New Roman" w:cs="Times New Roman"/>
          <w:b/>
          <w:bCs/>
          <w:rtl/>
          <w:lang w:eastAsia="de-DE"/>
        </w:rPr>
        <w:t>בציר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τρυγητός</w:t>
      </w:r>
      <w:proofErr w:type="spellEnd"/>
      <w:r w:rsidRPr="00CC6F7E">
        <w:rPr>
          <w:rFonts w:eastAsia="Times New Roman" w:cs="Times New Roman"/>
          <w:lang w:eastAsia="de-DE"/>
        </w:rPr>
        <w:t xml:space="preserve"> (Weinlese), </w:t>
      </w:r>
      <w:r w:rsidRPr="00CC6F7E">
        <w:rPr>
          <w:rFonts w:eastAsia="Times New Roman" w:cs="Times New Roman"/>
          <w:b/>
          <w:bCs/>
          <w:rtl/>
          <w:lang w:eastAsia="de-DE"/>
        </w:rPr>
        <w:t>זרע</w:t>
      </w:r>
      <w:r w:rsidRPr="00CC6F7E">
        <w:rPr>
          <w:rFonts w:eastAsia="Times New Roman" w:cs="Times New Roman"/>
          <w:rtl/>
          <w:lang w:eastAsia="de-DE"/>
        </w:rPr>
        <w:t xml:space="preserve"> </w:t>
      </w:r>
      <w:r w:rsidRPr="00CC6F7E">
        <w:rPr>
          <w:rFonts w:eastAsia="Times New Roman" w:cs="Times New Roman"/>
          <w:lang w:eastAsia="de-DE"/>
        </w:rPr>
        <w:t>mit σπ</w:t>
      </w:r>
      <w:proofErr w:type="spellStart"/>
      <w:r w:rsidRPr="00CC6F7E">
        <w:rPr>
          <w:rFonts w:eastAsia="Times New Roman" w:cs="Times New Roman"/>
          <w:lang w:eastAsia="de-DE"/>
        </w:rPr>
        <w:t>όρος</w:t>
      </w:r>
      <w:proofErr w:type="spellEnd"/>
      <w:r w:rsidRPr="00CC6F7E">
        <w:rPr>
          <w:rFonts w:eastAsia="Times New Roman" w:cs="Times New Roman"/>
          <w:lang w:eastAsia="de-DE"/>
        </w:rPr>
        <w:t xml:space="preserve"> (Saat), </w:t>
      </w:r>
      <w:r w:rsidRPr="00CC6F7E">
        <w:rPr>
          <w:rFonts w:eastAsia="Times New Roman" w:cs="Times New Roman"/>
          <w:b/>
          <w:bCs/>
          <w:rtl/>
          <w:lang w:eastAsia="de-DE"/>
        </w:rPr>
        <w:t>לשבע</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λησμονήν</w:t>
      </w:r>
      <w:proofErr w:type="spellEnd"/>
      <w:r w:rsidRPr="00CC6F7E">
        <w:rPr>
          <w:rFonts w:eastAsia="Times New Roman" w:cs="Times New Roman"/>
          <w:lang w:eastAsia="de-DE"/>
        </w:rPr>
        <w:t xml:space="preserve"> (zur Sättigung) und </w:t>
      </w:r>
      <w:r w:rsidRPr="00CC6F7E">
        <w:rPr>
          <w:rFonts w:eastAsia="Times New Roman" w:cs="Times New Roman"/>
          <w:b/>
          <w:bCs/>
          <w:rtl/>
          <w:lang w:eastAsia="de-DE"/>
        </w:rPr>
        <w:t>לבטח</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ἀσφ</w:t>
      </w:r>
      <w:proofErr w:type="spellEnd"/>
      <w:r w:rsidRPr="00CC6F7E">
        <w:rPr>
          <w:rFonts w:eastAsia="Times New Roman" w:cs="Times New Roman"/>
          <w:lang w:eastAsia="de-DE"/>
        </w:rPr>
        <w:t>αλείας (mit Sicherheit).</w:t>
      </w:r>
    </w:p>
    <w:p w14:paraId="6D65D9E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kontinuierliche Ernte-Segens-Verheißung: Dreschzeit bis Weinlese + Weinlese bis Saatzeit + Brot-Sättigung + sichere Landwohnung.</w:t>
      </w:r>
    </w:p>
    <w:p w14:paraId="776625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so reiche Ernten, dass die Verarbeitung einer Ernte bis zur nächsten dauert - Symbol überfließenden Segens.</w:t>
      </w:r>
    </w:p>
    <w:p w14:paraId="0AFDD47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26,6</w:t>
      </w:r>
    </w:p>
    <w:p w14:paraId="46CCE89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וְנָתַתִּ֤י שָׁלוֹם֙ בָּאָ֔רֶץ וּשְׁכַבְתֶּ֖ם וְאֵ֣ין מַחֲרִ֑יד וְהִשְׁבַּתִּ֞י חַיָּ֤ה רָעָה֙ מִן־הָאָ֔רֶץ וְחֶ֖רֶב לֹא־תַעֲבֹ֥ר בְּאַרְצְכֶֽם׃</w:t>
      </w:r>
    </w:p>
    <w:p w14:paraId="3E02EE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Frieden geben im Land, und ihr werdet euch niederlegen, und niemand wird euch aufschrecken; und ich werde die bösen Tiere aus dem Land wegschaffen, und das Schwert wird nicht durch euer Land gehen.</w:t>
      </w:r>
    </w:p>
    <w:p w14:paraId="1192C5F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1D5D576">
          <v:rect id="_x0000_i1809" style="width:0;height:1.5pt" o:hralign="center" o:hrstd="t" o:hr="t" fillcolor="#a0a0a0" stroked="f"/>
        </w:pict>
      </w:r>
    </w:p>
    <w:p w14:paraId="46C07BB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ונתתי שלום בארץ ושכבתם ואין מחריד והשבתי חיה רעה מן־הארץ וחרב לא־תעבר בארצכם</w:t>
      </w:r>
      <w:r w:rsidRPr="00CC6F7E">
        <w:rPr>
          <w:rFonts w:eastAsia="Times New Roman" w:cs="Times New Roman"/>
          <w:rtl/>
          <w:lang w:eastAsia="de-DE"/>
        </w:rPr>
        <w:t xml:space="preserve"> </w:t>
      </w:r>
      <w:r w:rsidRPr="00CC6F7E">
        <w:rPr>
          <w:rFonts w:eastAsia="Times New Roman" w:cs="Times New Roman"/>
          <w:lang w:eastAsia="de-DE"/>
        </w:rPr>
        <w:t xml:space="preserve">erweitert den Segen auf Sicherheit und Frieden. </w:t>
      </w:r>
      <w:r w:rsidRPr="00CC6F7E">
        <w:rPr>
          <w:rFonts w:eastAsia="Times New Roman" w:cs="Times New Roman"/>
          <w:b/>
          <w:bCs/>
          <w:rtl/>
          <w:lang w:eastAsia="de-DE"/>
        </w:rPr>
        <w:t>ונתתי שלום בארץ</w:t>
      </w:r>
      <w:r w:rsidRPr="00CC6F7E">
        <w:rPr>
          <w:rFonts w:eastAsia="Times New Roman" w:cs="Times New Roman"/>
          <w:rtl/>
          <w:lang w:eastAsia="de-DE"/>
        </w:rPr>
        <w:t xml:space="preserve"> </w:t>
      </w:r>
      <w:r w:rsidRPr="00CC6F7E">
        <w:rPr>
          <w:rFonts w:eastAsia="Times New Roman" w:cs="Times New Roman"/>
          <w:lang w:eastAsia="de-DE"/>
        </w:rPr>
        <w:t xml:space="preserve">(und ich werde Frieden geben im Land) - </w:t>
      </w:r>
      <w:r w:rsidRPr="00CC6F7E">
        <w:rPr>
          <w:rFonts w:eastAsia="Times New Roman" w:cs="Times New Roman"/>
          <w:b/>
          <w:bCs/>
          <w:rtl/>
          <w:lang w:eastAsia="de-DE"/>
        </w:rPr>
        <w:t>ונתתי</w:t>
      </w:r>
      <w:r w:rsidRPr="00CC6F7E">
        <w:rPr>
          <w:rFonts w:eastAsia="Times New Roman" w:cs="Times New Roman"/>
          <w:rtl/>
          <w:lang w:eastAsia="de-DE"/>
        </w:rPr>
        <w:t xml:space="preserve"> </w:t>
      </w:r>
      <w:r w:rsidRPr="00CC6F7E">
        <w:rPr>
          <w:rFonts w:eastAsia="Times New Roman" w:cs="Times New Roman"/>
          <w:lang w:eastAsia="de-DE"/>
        </w:rPr>
        <w:t xml:space="preserve">entspricht V. 4 als göttliche Segenstat. </w:t>
      </w:r>
      <w:r w:rsidRPr="00CC6F7E">
        <w:rPr>
          <w:rFonts w:eastAsia="Times New Roman" w:cs="Times New Roman"/>
          <w:b/>
          <w:bCs/>
          <w:rtl/>
          <w:lang w:eastAsia="de-DE"/>
        </w:rPr>
        <w:t>שלום בארץ</w:t>
      </w:r>
      <w:r w:rsidRPr="00CC6F7E">
        <w:rPr>
          <w:rFonts w:eastAsia="Times New Roman" w:cs="Times New Roman"/>
          <w:rtl/>
          <w:lang w:eastAsia="de-DE"/>
        </w:rPr>
        <w:t xml:space="preserve"> </w:t>
      </w:r>
      <w:r w:rsidRPr="00CC6F7E">
        <w:rPr>
          <w:rFonts w:eastAsia="Times New Roman" w:cs="Times New Roman"/>
          <w:lang w:eastAsia="de-DE"/>
        </w:rPr>
        <w:t>(Frieden im Land) zeigt umfassende Friedensordnung.</w:t>
      </w:r>
    </w:p>
    <w:p w14:paraId="61576B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ושכבתם ואין מחריד</w:t>
      </w:r>
      <w:r w:rsidRPr="00CC6F7E">
        <w:rPr>
          <w:rFonts w:eastAsia="Times New Roman" w:cs="Times New Roman"/>
          <w:rtl/>
          <w:lang w:eastAsia="de-DE"/>
        </w:rPr>
        <w:t xml:space="preserve"> </w:t>
      </w:r>
      <w:r w:rsidRPr="00CC6F7E">
        <w:rPr>
          <w:rFonts w:eastAsia="Times New Roman" w:cs="Times New Roman"/>
          <w:lang w:eastAsia="de-DE"/>
        </w:rPr>
        <w:t xml:space="preserve">(und ihr werdet euch niederlegen, und niemand wird euch aufschrecken) - </w:t>
      </w:r>
      <w:r w:rsidRPr="00CC6F7E">
        <w:rPr>
          <w:rFonts w:eastAsia="Times New Roman" w:cs="Times New Roman"/>
          <w:b/>
          <w:bCs/>
          <w:rtl/>
          <w:lang w:eastAsia="de-DE"/>
        </w:rPr>
        <w:t>ושכבתם</w:t>
      </w:r>
      <w:r w:rsidRPr="00CC6F7E">
        <w:rPr>
          <w:rFonts w:eastAsia="Times New Roman" w:cs="Times New Roman"/>
          <w:rtl/>
          <w:lang w:eastAsia="de-DE"/>
        </w:rPr>
        <w:t xml:space="preserve"> </w:t>
      </w:r>
      <w:r w:rsidRPr="00CC6F7E">
        <w:rPr>
          <w:rFonts w:eastAsia="Times New Roman" w:cs="Times New Roman"/>
          <w:lang w:eastAsia="de-DE"/>
        </w:rPr>
        <w:t xml:space="preserve">(und ihr werdet euch niederlegen) zeigt friedlichen Schlaf. </w:t>
      </w:r>
      <w:r w:rsidRPr="00CC6F7E">
        <w:rPr>
          <w:rFonts w:eastAsia="Times New Roman" w:cs="Times New Roman"/>
          <w:b/>
          <w:bCs/>
          <w:rtl/>
          <w:lang w:eastAsia="de-DE"/>
        </w:rPr>
        <w:t>ואין מחריד</w:t>
      </w:r>
      <w:r w:rsidRPr="00CC6F7E">
        <w:rPr>
          <w:rFonts w:eastAsia="Times New Roman" w:cs="Times New Roman"/>
          <w:rtl/>
          <w:lang w:eastAsia="de-DE"/>
        </w:rPr>
        <w:t xml:space="preserve"> </w:t>
      </w:r>
      <w:r w:rsidRPr="00CC6F7E">
        <w:rPr>
          <w:rFonts w:eastAsia="Times New Roman" w:cs="Times New Roman"/>
          <w:lang w:eastAsia="de-DE"/>
        </w:rPr>
        <w:t xml:space="preserve">(und niemand wird aufschrecken) - </w:t>
      </w:r>
      <w:r w:rsidRPr="00CC6F7E">
        <w:rPr>
          <w:rFonts w:eastAsia="Times New Roman" w:cs="Times New Roman"/>
          <w:b/>
          <w:bCs/>
          <w:rtl/>
          <w:lang w:eastAsia="de-DE"/>
        </w:rPr>
        <w:t>מחריד</w:t>
      </w:r>
      <w:r w:rsidRPr="00CC6F7E">
        <w:rPr>
          <w:rFonts w:eastAsia="Times New Roman" w:cs="Times New Roman"/>
          <w:rtl/>
          <w:lang w:eastAsia="de-DE"/>
        </w:rPr>
        <w:t xml:space="preserve"> </w:t>
      </w:r>
      <w:r w:rsidRPr="00CC6F7E">
        <w:rPr>
          <w:rFonts w:eastAsia="Times New Roman" w:cs="Times New Roman"/>
          <w:lang w:eastAsia="de-DE"/>
        </w:rPr>
        <w:t xml:space="preserve">(Aufschreckender) von </w:t>
      </w:r>
      <w:r w:rsidRPr="00CC6F7E">
        <w:rPr>
          <w:rFonts w:eastAsia="Times New Roman" w:cs="Times New Roman"/>
          <w:b/>
          <w:bCs/>
          <w:rtl/>
          <w:lang w:eastAsia="de-DE"/>
        </w:rPr>
        <w:t>חרד</w:t>
      </w:r>
      <w:r w:rsidRPr="00CC6F7E">
        <w:rPr>
          <w:rFonts w:eastAsia="Times New Roman" w:cs="Times New Roman"/>
          <w:rtl/>
          <w:lang w:eastAsia="de-DE"/>
        </w:rPr>
        <w:t xml:space="preserve"> </w:t>
      </w:r>
      <w:r w:rsidRPr="00CC6F7E">
        <w:rPr>
          <w:rFonts w:eastAsia="Times New Roman" w:cs="Times New Roman"/>
          <w:lang w:eastAsia="de-DE"/>
        </w:rPr>
        <w:t>zeigt Abwesenheit von Bedrohung.</w:t>
      </w:r>
    </w:p>
    <w:p w14:paraId="71D18F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והשבתי חיה רעה מן־הארץ</w:t>
      </w:r>
      <w:r w:rsidRPr="00CC6F7E">
        <w:rPr>
          <w:rFonts w:eastAsia="Times New Roman" w:cs="Times New Roman"/>
          <w:rtl/>
          <w:lang w:eastAsia="de-DE"/>
        </w:rPr>
        <w:t xml:space="preserve"> </w:t>
      </w:r>
      <w:r w:rsidRPr="00CC6F7E">
        <w:rPr>
          <w:rFonts w:eastAsia="Times New Roman" w:cs="Times New Roman"/>
          <w:lang w:eastAsia="de-DE"/>
        </w:rPr>
        <w:t xml:space="preserve">(und ich werde die bösen Tiere aus dem Land wegschaffen) - </w:t>
      </w:r>
      <w:r w:rsidRPr="00CC6F7E">
        <w:rPr>
          <w:rFonts w:eastAsia="Times New Roman" w:cs="Times New Roman"/>
          <w:b/>
          <w:bCs/>
          <w:rtl/>
          <w:lang w:eastAsia="de-DE"/>
        </w:rPr>
        <w:t>והשבתי</w:t>
      </w:r>
      <w:r w:rsidRPr="00CC6F7E">
        <w:rPr>
          <w:rFonts w:eastAsia="Times New Roman" w:cs="Times New Roman"/>
          <w:rtl/>
          <w:lang w:eastAsia="de-DE"/>
        </w:rPr>
        <w:t xml:space="preserve"> </w:t>
      </w:r>
      <w:r w:rsidRPr="00CC6F7E">
        <w:rPr>
          <w:rFonts w:eastAsia="Times New Roman" w:cs="Times New Roman"/>
          <w:lang w:eastAsia="de-DE"/>
        </w:rPr>
        <w:t xml:space="preserve">(und ich werde wegschaffen) im Hifil-Perfekt mit Waw-Konsekutiv. </w:t>
      </w:r>
      <w:r w:rsidRPr="00CC6F7E">
        <w:rPr>
          <w:rFonts w:eastAsia="Times New Roman" w:cs="Times New Roman"/>
          <w:b/>
          <w:bCs/>
          <w:rtl/>
          <w:lang w:eastAsia="de-DE"/>
        </w:rPr>
        <w:t>חיה רעה</w:t>
      </w:r>
      <w:r w:rsidRPr="00CC6F7E">
        <w:rPr>
          <w:rFonts w:eastAsia="Times New Roman" w:cs="Times New Roman"/>
          <w:rtl/>
          <w:lang w:eastAsia="de-DE"/>
        </w:rPr>
        <w:t xml:space="preserve"> </w:t>
      </w:r>
      <w:r w:rsidRPr="00CC6F7E">
        <w:rPr>
          <w:rFonts w:eastAsia="Times New Roman" w:cs="Times New Roman"/>
          <w:lang w:eastAsia="de-DE"/>
        </w:rPr>
        <w:t>(böse Tiere) zeigt gefährliche Wildtiere.</w:t>
      </w:r>
    </w:p>
    <w:p w14:paraId="0F8913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וחרב לא־תעבר בארצכם</w:t>
      </w:r>
      <w:r w:rsidRPr="00CC6F7E">
        <w:rPr>
          <w:rFonts w:eastAsia="Times New Roman" w:cs="Times New Roman"/>
          <w:rtl/>
          <w:lang w:eastAsia="de-DE"/>
        </w:rPr>
        <w:t xml:space="preserve"> </w:t>
      </w:r>
      <w:r w:rsidRPr="00CC6F7E">
        <w:rPr>
          <w:rFonts w:eastAsia="Times New Roman" w:cs="Times New Roman"/>
          <w:lang w:eastAsia="de-DE"/>
        </w:rPr>
        <w:t xml:space="preserve">(und das Schwert wird nicht durch euer Land gehen) -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 xml:space="preserve">(Schwert) zeigt Krieg. </w:t>
      </w:r>
      <w:r w:rsidRPr="00CC6F7E">
        <w:rPr>
          <w:rFonts w:eastAsia="Times New Roman" w:cs="Times New Roman"/>
          <w:b/>
          <w:bCs/>
          <w:rtl/>
          <w:lang w:eastAsia="de-DE"/>
        </w:rPr>
        <w:t>לא־תעבר</w:t>
      </w:r>
      <w:r w:rsidRPr="00CC6F7E">
        <w:rPr>
          <w:rFonts w:eastAsia="Times New Roman" w:cs="Times New Roman"/>
          <w:rtl/>
          <w:lang w:eastAsia="de-DE"/>
        </w:rPr>
        <w:t xml:space="preserve"> </w:t>
      </w:r>
      <w:r w:rsidRPr="00CC6F7E">
        <w:rPr>
          <w:rFonts w:eastAsia="Times New Roman" w:cs="Times New Roman"/>
          <w:lang w:eastAsia="de-DE"/>
        </w:rPr>
        <w:t>zeigt Abwesenheit von Kriegsdurchzügen.</w:t>
      </w:r>
    </w:p>
    <w:p w14:paraId="18B5B70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שלום בארץ</w:t>
      </w:r>
      <w:r w:rsidRPr="00CC6F7E">
        <w:rPr>
          <w:rFonts w:eastAsia="Times New Roman" w:cs="Times New Roman"/>
          <w:rtl/>
          <w:lang w:eastAsia="de-DE"/>
        </w:rPr>
        <w:t xml:space="preserve"> </w:t>
      </w:r>
      <w:r w:rsidRPr="00CC6F7E">
        <w:rPr>
          <w:rFonts w:eastAsia="Times New Roman" w:cs="Times New Roman"/>
          <w:lang w:eastAsia="de-DE"/>
        </w:rPr>
        <w:t xml:space="preserve">als umfassende Friedensordnung. </w:t>
      </w:r>
      <w:r w:rsidRPr="00CC6F7E">
        <w:rPr>
          <w:rFonts w:eastAsia="Times New Roman" w:cs="Times New Roman"/>
          <w:b/>
          <w:bCs/>
          <w:rtl/>
          <w:lang w:eastAsia="de-DE"/>
        </w:rPr>
        <w:t>אין מחריד</w:t>
      </w:r>
      <w:r w:rsidRPr="00CC6F7E">
        <w:rPr>
          <w:rFonts w:eastAsia="Times New Roman" w:cs="Times New Roman"/>
          <w:rtl/>
          <w:lang w:eastAsia="de-DE"/>
        </w:rPr>
        <w:t xml:space="preserve"> </w:t>
      </w:r>
      <w:r w:rsidRPr="00CC6F7E">
        <w:rPr>
          <w:rFonts w:eastAsia="Times New Roman" w:cs="Times New Roman"/>
          <w:lang w:eastAsia="de-DE"/>
        </w:rPr>
        <w:t xml:space="preserve">zeigt nächtliche Sicherheit. </w:t>
      </w:r>
      <w:r w:rsidRPr="00CC6F7E">
        <w:rPr>
          <w:rFonts w:eastAsia="Times New Roman" w:cs="Times New Roman"/>
          <w:b/>
          <w:bCs/>
          <w:rtl/>
          <w:lang w:eastAsia="de-DE"/>
        </w:rPr>
        <w:t>חיה רעה</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als zwei Hauptbedrohungen - Wildtiere und Krieg.</w:t>
      </w:r>
    </w:p>
    <w:p w14:paraId="0E3C5E4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שלום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εἰρήνην</w:t>
      </w:r>
      <w:proofErr w:type="spellEnd"/>
      <w:r w:rsidRPr="00CC6F7E">
        <w:rPr>
          <w:rFonts w:eastAsia="Times New Roman" w:cs="Times New Roman"/>
          <w:lang w:eastAsia="de-DE"/>
        </w:rPr>
        <w:t xml:space="preserve"> (Frieden), </w:t>
      </w:r>
      <w:r w:rsidRPr="00CC6F7E">
        <w:rPr>
          <w:rFonts w:eastAsia="Times New Roman" w:cs="Times New Roman"/>
          <w:b/>
          <w:bCs/>
          <w:rtl/>
          <w:lang w:eastAsia="de-DE"/>
        </w:rPr>
        <w:t>מחריד</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ἐκφο</w:t>
      </w:r>
      <w:proofErr w:type="spellEnd"/>
      <w:r w:rsidRPr="00CC6F7E">
        <w:rPr>
          <w:rFonts w:eastAsia="Times New Roman" w:cs="Times New Roman"/>
          <w:lang w:eastAsia="de-DE"/>
        </w:rPr>
        <w:t xml:space="preserve">βοῦντα (Aufschreckenden), </w:t>
      </w:r>
      <w:r w:rsidRPr="00CC6F7E">
        <w:rPr>
          <w:rFonts w:eastAsia="Times New Roman" w:cs="Times New Roman"/>
          <w:b/>
          <w:bCs/>
          <w:rtl/>
          <w:lang w:eastAsia="de-DE"/>
        </w:rPr>
        <w:t>חיה רעה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θηρί</w:t>
      </w:r>
      <w:proofErr w:type="spellEnd"/>
      <w:r w:rsidRPr="00CC6F7E">
        <w:rPr>
          <w:rFonts w:eastAsia="Times New Roman" w:cs="Times New Roman"/>
          <w:lang w:eastAsia="de-DE"/>
        </w:rPr>
        <w:t>α π</w:t>
      </w:r>
      <w:proofErr w:type="spellStart"/>
      <w:r w:rsidRPr="00CC6F7E">
        <w:rPr>
          <w:rFonts w:eastAsia="Times New Roman" w:cs="Times New Roman"/>
          <w:lang w:eastAsia="de-DE"/>
        </w:rPr>
        <w:t>ονηρά</w:t>
      </w:r>
      <w:proofErr w:type="spellEnd"/>
      <w:r w:rsidRPr="00CC6F7E">
        <w:rPr>
          <w:rFonts w:eastAsia="Times New Roman" w:cs="Times New Roman"/>
          <w:lang w:eastAsia="de-DE"/>
        </w:rPr>
        <w:t xml:space="preserve"> (böse Tiere) und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ῥομφ</w:t>
      </w:r>
      <w:proofErr w:type="spellEnd"/>
      <w:r w:rsidRPr="00CC6F7E">
        <w:rPr>
          <w:rFonts w:eastAsia="Times New Roman" w:cs="Times New Roman"/>
          <w:lang w:eastAsia="de-DE"/>
        </w:rPr>
        <w:t>αία (Schwert).</w:t>
      </w:r>
    </w:p>
    <w:p w14:paraId="3CF929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Friedens-Segens-Verheißung: Frieden im Land + ungestörter Schlaf + böse Tiere weggeschafft + kein Schwert durchs Land.</w:t>
      </w:r>
    </w:p>
    <w:p w14:paraId="3DC561C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umfassende Sicherheit: Frieden, ungestörten Schlaf, Schutz vor Wildtieren und Kriegsfreiheit.</w:t>
      </w:r>
    </w:p>
    <w:p w14:paraId="58460ED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26,7</w:t>
      </w:r>
    </w:p>
    <w:p w14:paraId="12B4941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Hebräisch:</w:t>
      </w:r>
      <w:r w:rsidRPr="00CC6F7E">
        <w:rPr>
          <w:rFonts w:eastAsia="Times New Roman" w:cs="Times New Roman"/>
          <w:lang w:eastAsia="de-DE"/>
        </w:rPr>
        <w:t xml:space="preserve"> </w:t>
      </w:r>
      <w:r w:rsidRPr="00CC6F7E">
        <w:rPr>
          <w:rFonts w:eastAsia="Times New Roman" w:cs="Times New Roman"/>
          <w:rtl/>
          <w:lang w:eastAsia="de-DE"/>
        </w:rPr>
        <w:t>וּרְדַפְתֶּ֖ם אֶת־אֹיְבֵיכֶ֑ם וְנָפְל֥וּ לִפְנֵיכֶ֖ם לֶחָֽרֶב׃</w:t>
      </w:r>
    </w:p>
    <w:p w14:paraId="34A125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werdet eure Feinde jagen, und sie werden vor euch fallen durchs Schwert.</w:t>
      </w:r>
    </w:p>
    <w:p w14:paraId="253A741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36AFDDD">
          <v:rect id="_x0000_i1810" style="width:0;height:1.5pt" o:hralign="center" o:hrstd="t" o:hr="t" fillcolor="#a0a0a0" stroked="f"/>
        </w:pict>
      </w:r>
    </w:p>
    <w:p w14:paraId="4E8527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ורדפתם את־איביכם ונפלו לפניכם לחרב</w:t>
      </w:r>
      <w:r w:rsidRPr="00CC6F7E">
        <w:rPr>
          <w:rFonts w:eastAsia="Times New Roman" w:cs="Times New Roman"/>
          <w:rtl/>
          <w:lang w:eastAsia="de-DE"/>
        </w:rPr>
        <w:t xml:space="preserve"> </w:t>
      </w:r>
      <w:r w:rsidRPr="00CC6F7E">
        <w:rPr>
          <w:rFonts w:eastAsia="Times New Roman" w:cs="Times New Roman"/>
          <w:lang w:eastAsia="de-DE"/>
        </w:rPr>
        <w:t xml:space="preserve">zeigt aktive militärische Überlegenheit. </w:t>
      </w:r>
      <w:r w:rsidRPr="00CC6F7E">
        <w:rPr>
          <w:rFonts w:eastAsia="Times New Roman" w:cs="Times New Roman"/>
          <w:b/>
          <w:bCs/>
          <w:rtl/>
          <w:lang w:eastAsia="de-DE"/>
        </w:rPr>
        <w:t>ורדפתם את־איביכם</w:t>
      </w:r>
      <w:r w:rsidRPr="00CC6F7E">
        <w:rPr>
          <w:rFonts w:eastAsia="Times New Roman" w:cs="Times New Roman"/>
          <w:rtl/>
          <w:lang w:eastAsia="de-DE"/>
        </w:rPr>
        <w:t xml:space="preserve"> </w:t>
      </w:r>
      <w:r w:rsidRPr="00CC6F7E">
        <w:rPr>
          <w:rFonts w:eastAsia="Times New Roman" w:cs="Times New Roman"/>
          <w:lang w:eastAsia="de-DE"/>
        </w:rPr>
        <w:t xml:space="preserve">(und ihr werdet eure Feinde jagen) - </w:t>
      </w:r>
      <w:r w:rsidRPr="00CC6F7E">
        <w:rPr>
          <w:rFonts w:eastAsia="Times New Roman" w:cs="Times New Roman"/>
          <w:b/>
          <w:bCs/>
          <w:rtl/>
          <w:lang w:eastAsia="de-DE"/>
        </w:rPr>
        <w:t>ורדפתם</w:t>
      </w:r>
      <w:r w:rsidRPr="00CC6F7E">
        <w:rPr>
          <w:rFonts w:eastAsia="Times New Roman" w:cs="Times New Roman"/>
          <w:rtl/>
          <w:lang w:eastAsia="de-DE"/>
        </w:rPr>
        <w:t xml:space="preserve"> </w:t>
      </w:r>
      <w:r w:rsidRPr="00CC6F7E">
        <w:rPr>
          <w:rFonts w:eastAsia="Times New Roman" w:cs="Times New Roman"/>
          <w:lang w:eastAsia="de-DE"/>
        </w:rPr>
        <w:t xml:space="preserve">(und ihr werdet jagen) im Qal-Perfekt mit Waw-Konsekutiv von </w:t>
      </w:r>
      <w:r w:rsidRPr="00CC6F7E">
        <w:rPr>
          <w:rFonts w:eastAsia="Times New Roman" w:cs="Times New Roman"/>
          <w:b/>
          <w:bCs/>
          <w:rtl/>
          <w:lang w:eastAsia="de-DE"/>
        </w:rPr>
        <w:t>רדף</w:t>
      </w:r>
      <w:r w:rsidRPr="00CC6F7E">
        <w:rPr>
          <w:rFonts w:eastAsia="Times New Roman" w:cs="Times New Roman"/>
          <w:rtl/>
          <w:lang w:eastAsia="de-DE"/>
        </w:rPr>
        <w:t xml:space="preserve"> </w:t>
      </w:r>
      <w:r w:rsidRPr="00CC6F7E">
        <w:rPr>
          <w:rFonts w:eastAsia="Times New Roman" w:cs="Times New Roman"/>
          <w:lang w:eastAsia="de-DE"/>
        </w:rPr>
        <w:t xml:space="preserve">zeigt militärische Verfolgung. </w:t>
      </w:r>
      <w:r w:rsidRPr="00CC6F7E">
        <w:rPr>
          <w:rFonts w:eastAsia="Times New Roman" w:cs="Times New Roman"/>
          <w:b/>
          <w:bCs/>
          <w:rtl/>
          <w:lang w:eastAsia="de-DE"/>
        </w:rPr>
        <w:t>את־איביכם</w:t>
      </w:r>
      <w:r w:rsidRPr="00CC6F7E">
        <w:rPr>
          <w:rFonts w:eastAsia="Times New Roman" w:cs="Times New Roman"/>
          <w:rtl/>
          <w:lang w:eastAsia="de-DE"/>
        </w:rPr>
        <w:t xml:space="preserve"> </w:t>
      </w:r>
      <w:r w:rsidRPr="00CC6F7E">
        <w:rPr>
          <w:rFonts w:eastAsia="Times New Roman" w:cs="Times New Roman"/>
          <w:lang w:eastAsia="de-DE"/>
        </w:rPr>
        <w:t>(eure Feinde) zeigt Israel-feindliche Kräfte.</w:t>
      </w:r>
    </w:p>
    <w:p w14:paraId="655942B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ונפלו לפניכם לחרב</w:t>
      </w:r>
      <w:r w:rsidRPr="00CC6F7E">
        <w:rPr>
          <w:rFonts w:eastAsia="Times New Roman" w:cs="Times New Roman"/>
          <w:rtl/>
          <w:lang w:eastAsia="de-DE"/>
        </w:rPr>
        <w:t xml:space="preserve"> </w:t>
      </w:r>
      <w:r w:rsidRPr="00CC6F7E">
        <w:rPr>
          <w:rFonts w:eastAsia="Times New Roman" w:cs="Times New Roman"/>
          <w:lang w:eastAsia="de-DE"/>
        </w:rPr>
        <w:t xml:space="preserve">(und sie werden vor euch fallen durchs Schwert) - </w:t>
      </w:r>
      <w:r w:rsidRPr="00CC6F7E">
        <w:rPr>
          <w:rFonts w:eastAsia="Times New Roman" w:cs="Times New Roman"/>
          <w:b/>
          <w:bCs/>
          <w:rtl/>
          <w:lang w:eastAsia="de-DE"/>
        </w:rPr>
        <w:t>ונפלו</w:t>
      </w:r>
      <w:r w:rsidRPr="00CC6F7E">
        <w:rPr>
          <w:rFonts w:eastAsia="Times New Roman" w:cs="Times New Roman"/>
          <w:rtl/>
          <w:lang w:eastAsia="de-DE"/>
        </w:rPr>
        <w:t xml:space="preserve"> </w:t>
      </w:r>
      <w:r w:rsidRPr="00CC6F7E">
        <w:rPr>
          <w:rFonts w:eastAsia="Times New Roman" w:cs="Times New Roman"/>
          <w:lang w:eastAsia="de-DE"/>
        </w:rPr>
        <w:t xml:space="preserve">(und sie werden fallen) im Qal-Perfekt mit Waw-Konsekutiv von </w:t>
      </w:r>
      <w:r w:rsidRPr="00CC6F7E">
        <w:rPr>
          <w:rFonts w:eastAsia="Times New Roman" w:cs="Times New Roman"/>
          <w:b/>
          <w:bCs/>
          <w:rtl/>
          <w:lang w:eastAsia="de-DE"/>
        </w:rPr>
        <w:t>נפל</w:t>
      </w:r>
      <w:r w:rsidRPr="00CC6F7E">
        <w:rPr>
          <w:rFonts w:eastAsia="Times New Roman" w:cs="Times New Roman"/>
          <w:lang w:eastAsia="de-DE"/>
        </w:rPr>
        <w:t xml:space="preserve">. </w:t>
      </w:r>
      <w:r w:rsidRPr="00CC6F7E">
        <w:rPr>
          <w:rFonts w:eastAsia="Times New Roman" w:cs="Times New Roman"/>
          <w:b/>
          <w:bCs/>
          <w:rtl/>
          <w:lang w:eastAsia="de-DE"/>
        </w:rPr>
        <w:t>לפניכם</w:t>
      </w:r>
      <w:r w:rsidRPr="00CC6F7E">
        <w:rPr>
          <w:rFonts w:eastAsia="Times New Roman" w:cs="Times New Roman"/>
          <w:rtl/>
          <w:lang w:eastAsia="de-DE"/>
        </w:rPr>
        <w:t xml:space="preserve"> </w:t>
      </w:r>
      <w:r w:rsidRPr="00CC6F7E">
        <w:rPr>
          <w:rFonts w:eastAsia="Times New Roman" w:cs="Times New Roman"/>
          <w:lang w:eastAsia="de-DE"/>
        </w:rPr>
        <w:t xml:space="preserve">(vor euch) zeigt Israels Anwesenheit beim Feindes-Fall. </w:t>
      </w:r>
      <w:r w:rsidRPr="00CC6F7E">
        <w:rPr>
          <w:rFonts w:eastAsia="Times New Roman" w:cs="Times New Roman"/>
          <w:b/>
          <w:bCs/>
          <w:rtl/>
          <w:lang w:eastAsia="de-DE"/>
        </w:rPr>
        <w:t>לחרב</w:t>
      </w:r>
      <w:r w:rsidRPr="00CC6F7E">
        <w:rPr>
          <w:rFonts w:eastAsia="Times New Roman" w:cs="Times New Roman"/>
          <w:rtl/>
          <w:lang w:eastAsia="de-DE"/>
        </w:rPr>
        <w:t xml:space="preserve"> </w:t>
      </w:r>
      <w:r w:rsidRPr="00CC6F7E">
        <w:rPr>
          <w:rFonts w:eastAsia="Times New Roman" w:cs="Times New Roman"/>
          <w:lang w:eastAsia="de-DE"/>
        </w:rPr>
        <w:t>(durchs Schwert) zeigt Kriegstod.</w:t>
      </w:r>
    </w:p>
    <w:p w14:paraId="2C61CA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ורדפתם את־איביכם</w:t>
      </w:r>
      <w:r w:rsidRPr="00CC6F7E">
        <w:rPr>
          <w:rFonts w:eastAsia="Times New Roman" w:cs="Times New Roman"/>
          <w:rtl/>
          <w:lang w:eastAsia="de-DE"/>
        </w:rPr>
        <w:t xml:space="preserve"> </w:t>
      </w:r>
      <w:r w:rsidRPr="00CC6F7E">
        <w:rPr>
          <w:rFonts w:eastAsia="Times New Roman" w:cs="Times New Roman"/>
          <w:lang w:eastAsia="de-DE"/>
        </w:rPr>
        <w:t xml:space="preserve">zeigt aktive Offensive statt nur Defensive. </w:t>
      </w:r>
      <w:r w:rsidRPr="00CC6F7E">
        <w:rPr>
          <w:rFonts w:eastAsia="Times New Roman" w:cs="Times New Roman"/>
          <w:b/>
          <w:bCs/>
          <w:rtl/>
          <w:lang w:eastAsia="de-DE"/>
        </w:rPr>
        <w:t>ונפלו לפניכם לחרב</w:t>
      </w:r>
      <w:r w:rsidRPr="00CC6F7E">
        <w:rPr>
          <w:rFonts w:eastAsia="Times New Roman" w:cs="Times New Roman"/>
          <w:rtl/>
          <w:lang w:eastAsia="de-DE"/>
        </w:rPr>
        <w:t xml:space="preserve"> </w:t>
      </w:r>
      <w:r w:rsidRPr="00CC6F7E">
        <w:rPr>
          <w:rFonts w:eastAsia="Times New Roman" w:cs="Times New Roman"/>
          <w:lang w:eastAsia="de-DE"/>
        </w:rPr>
        <w:t>zeigt totalen Sieg über Feinde.</w:t>
      </w:r>
    </w:p>
    <w:p w14:paraId="3E90AD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ורדפתם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διώξεσθε</w:t>
      </w:r>
      <w:proofErr w:type="spellEnd"/>
      <w:r w:rsidRPr="00CC6F7E">
        <w:rPr>
          <w:rFonts w:eastAsia="Times New Roman" w:cs="Times New Roman"/>
          <w:lang w:eastAsia="de-DE"/>
        </w:rPr>
        <w:t xml:space="preserve"> (werdet ihr verfolgen), </w:t>
      </w:r>
      <w:r w:rsidRPr="00CC6F7E">
        <w:rPr>
          <w:rFonts w:eastAsia="Times New Roman" w:cs="Times New Roman"/>
          <w:b/>
          <w:bCs/>
          <w:rtl/>
          <w:lang w:eastAsia="de-DE"/>
        </w:rPr>
        <w:t>איביכם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ἐχθροὺς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(eure Feinde), </w:t>
      </w:r>
      <w:r w:rsidRPr="00CC6F7E">
        <w:rPr>
          <w:rFonts w:eastAsia="Times New Roman" w:cs="Times New Roman"/>
          <w:b/>
          <w:bCs/>
          <w:rtl/>
          <w:lang w:eastAsia="de-DE"/>
        </w:rPr>
        <w:t>ונפלו</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εσοῦντ</w:t>
      </w:r>
      <w:proofErr w:type="spellEnd"/>
      <w:r w:rsidRPr="00CC6F7E">
        <w:rPr>
          <w:rFonts w:eastAsia="Times New Roman" w:cs="Times New Roman"/>
          <w:lang w:eastAsia="de-DE"/>
        </w:rPr>
        <w:t xml:space="preserve">αι (werden fallen) und </w:t>
      </w:r>
      <w:r w:rsidRPr="00CC6F7E">
        <w:rPr>
          <w:rFonts w:eastAsia="Times New Roman" w:cs="Times New Roman"/>
          <w:b/>
          <w:bCs/>
          <w:rtl/>
          <w:lang w:eastAsia="de-DE"/>
        </w:rPr>
        <w:t>לחרב</w:t>
      </w:r>
      <w:r w:rsidRPr="00CC6F7E">
        <w:rPr>
          <w:rFonts w:eastAsia="Times New Roman" w:cs="Times New Roman"/>
          <w:rtl/>
          <w:lang w:eastAsia="de-DE"/>
        </w:rPr>
        <w:t xml:space="preserve"> </w:t>
      </w:r>
      <w:r w:rsidRPr="00CC6F7E">
        <w:rPr>
          <w:rFonts w:eastAsia="Times New Roman" w:cs="Times New Roman"/>
          <w:lang w:eastAsia="de-DE"/>
        </w:rPr>
        <w:t>mit μαχα</w:t>
      </w:r>
      <w:proofErr w:type="spellStart"/>
      <w:r w:rsidRPr="00CC6F7E">
        <w:rPr>
          <w:rFonts w:eastAsia="Times New Roman" w:cs="Times New Roman"/>
          <w:lang w:eastAsia="de-DE"/>
        </w:rPr>
        <w:t>ίρῃ</w:t>
      </w:r>
      <w:proofErr w:type="spellEnd"/>
      <w:r w:rsidRPr="00CC6F7E">
        <w:rPr>
          <w:rFonts w:eastAsia="Times New Roman" w:cs="Times New Roman"/>
          <w:lang w:eastAsia="de-DE"/>
        </w:rPr>
        <w:t xml:space="preserve"> (mit dem Schwert).</w:t>
      </w:r>
    </w:p>
    <w:p w14:paraId="4F66DA4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militärische Überlegenheits-Verheißung: Feinde jagen + sie fallen vor euch + durch das Schwert.</w:t>
      </w:r>
    </w:p>
    <w:p w14:paraId="37D161E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steigert von passiver Sicherheit (V. 6) zu aktiver militärischer Überlegenheit über alle Feinde.</w:t>
      </w:r>
    </w:p>
    <w:p w14:paraId="76A517D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26,8</w:t>
      </w:r>
    </w:p>
    <w:p w14:paraId="369116F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וְרָדְפוּ֙ מִכֶּ֤ם חֲמִשָּׁה֙ מֵאָ֔ה וּמֵאָ֥ה מִכֶּ֖ם רְבָבָ֣ה יִרְדֹּ֑פוּ וְנָפְל֧וּ אֹיְבֵיכֶ֛ם לִפְנֵיכֶ֖ם לֶחָֽרֶב׃</w:t>
      </w:r>
    </w:p>
    <w:p w14:paraId="772A8C2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fünf von euch werden 100 jagen, und 100 von euch werden 10.000 jagen, und eure Feinde werden vor euch fallen durchs Schwert.</w:t>
      </w:r>
    </w:p>
    <w:p w14:paraId="364F4AC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A99D3A4">
          <v:rect id="_x0000_i1811" style="width:0;height:1.5pt" o:hralign="center" o:hrstd="t" o:hr="t" fillcolor="#a0a0a0" stroked="f"/>
        </w:pict>
      </w:r>
    </w:p>
    <w:p w14:paraId="1AF5488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ורדפו מכם חמשה מאה ומאה מכם רבבה ירדפו ונפלו איביכם לפניכם לחרב</w:t>
      </w:r>
      <w:r w:rsidRPr="00CC6F7E">
        <w:rPr>
          <w:rFonts w:eastAsia="Times New Roman" w:cs="Times New Roman"/>
          <w:rtl/>
          <w:lang w:eastAsia="de-DE"/>
        </w:rPr>
        <w:t xml:space="preserve"> </w:t>
      </w:r>
      <w:r w:rsidRPr="00CC6F7E">
        <w:rPr>
          <w:rFonts w:eastAsia="Times New Roman" w:cs="Times New Roman"/>
          <w:lang w:eastAsia="de-DE"/>
        </w:rPr>
        <w:t xml:space="preserve">konkretisiert die militärische Überlegenheit mit Zahlenverhältnissen. </w:t>
      </w:r>
      <w:r w:rsidRPr="00CC6F7E">
        <w:rPr>
          <w:rFonts w:eastAsia="Times New Roman" w:cs="Times New Roman"/>
          <w:b/>
          <w:bCs/>
          <w:rtl/>
          <w:lang w:eastAsia="de-DE"/>
        </w:rPr>
        <w:t>ורדפו מכם חמשה מאה</w:t>
      </w:r>
      <w:r w:rsidRPr="00CC6F7E">
        <w:rPr>
          <w:rFonts w:eastAsia="Times New Roman" w:cs="Times New Roman"/>
          <w:rtl/>
          <w:lang w:eastAsia="de-DE"/>
        </w:rPr>
        <w:t xml:space="preserve"> </w:t>
      </w:r>
      <w:r w:rsidRPr="00CC6F7E">
        <w:rPr>
          <w:rFonts w:eastAsia="Times New Roman" w:cs="Times New Roman"/>
          <w:lang w:eastAsia="de-DE"/>
        </w:rPr>
        <w:t xml:space="preserve">(und fünf von euch werden 100 jagen) - </w:t>
      </w:r>
      <w:r w:rsidRPr="00CC6F7E">
        <w:rPr>
          <w:rFonts w:eastAsia="Times New Roman" w:cs="Times New Roman"/>
          <w:b/>
          <w:bCs/>
          <w:rtl/>
          <w:lang w:eastAsia="de-DE"/>
        </w:rPr>
        <w:t>רדפו</w:t>
      </w:r>
      <w:r w:rsidRPr="00CC6F7E">
        <w:rPr>
          <w:rFonts w:eastAsia="Times New Roman" w:cs="Times New Roman"/>
          <w:rtl/>
          <w:lang w:eastAsia="de-DE"/>
        </w:rPr>
        <w:t xml:space="preserve"> </w:t>
      </w:r>
      <w:r w:rsidRPr="00CC6F7E">
        <w:rPr>
          <w:rFonts w:eastAsia="Times New Roman" w:cs="Times New Roman"/>
          <w:lang w:eastAsia="de-DE"/>
        </w:rPr>
        <w:t xml:space="preserve">entspricht V. 7. </w:t>
      </w:r>
      <w:r w:rsidRPr="00CC6F7E">
        <w:rPr>
          <w:rFonts w:eastAsia="Times New Roman" w:cs="Times New Roman"/>
          <w:b/>
          <w:bCs/>
          <w:rtl/>
          <w:lang w:eastAsia="de-DE"/>
        </w:rPr>
        <w:t>חמשה מכם</w:t>
      </w:r>
      <w:r w:rsidRPr="00CC6F7E">
        <w:rPr>
          <w:rFonts w:eastAsia="Times New Roman" w:cs="Times New Roman"/>
          <w:rtl/>
          <w:lang w:eastAsia="de-DE"/>
        </w:rPr>
        <w:t xml:space="preserve"> </w:t>
      </w:r>
      <w:r w:rsidRPr="00CC6F7E">
        <w:rPr>
          <w:rFonts w:eastAsia="Times New Roman" w:cs="Times New Roman"/>
          <w:lang w:eastAsia="de-DE"/>
        </w:rPr>
        <w:t xml:space="preserve">(fünf von euch) vs. </w:t>
      </w:r>
      <w:r w:rsidRPr="00CC6F7E">
        <w:rPr>
          <w:rFonts w:eastAsia="Times New Roman" w:cs="Times New Roman"/>
          <w:b/>
          <w:bCs/>
          <w:rtl/>
          <w:lang w:eastAsia="de-DE"/>
        </w:rPr>
        <w:t>מאה</w:t>
      </w:r>
      <w:r w:rsidRPr="00CC6F7E">
        <w:rPr>
          <w:rFonts w:eastAsia="Times New Roman" w:cs="Times New Roman"/>
          <w:rtl/>
          <w:lang w:eastAsia="de-DE"/>
        </w:rPr>
        <w:t xml:space="preserve"> </w:t>
      </w:r>
      <w:r w:rsidRPr="00CC6F7E">
        <w:rPr>
          <w:rFonts w:eastAsia="Times New Roman" w:cs="Times New Roman"/>
          <w:lang w:eastAsia="de-DE"/>
        </w:rPr>
        <w:t>(100) zeigt das Verhältnis 1:20.</w:t>
      </w:r>
    </w:p>
    <w:p w14:paraId="4EED3E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ומאה מכם רבבה ירדפו</w:t>
      </w:r>
      <w:r w:rsidRPr="00CC6F7E">
        <w:rPr>
          <w:rFonts w:eastAsia="Times New Roman" w:cs="Times New Roman"/>
          <w:rtl/>
          <w:lang w:eastAsia="de-DE"/>
        </w:rPr>
        <w:t xml:space="preserve"> </w:t>
      </w:r>
      <w:r w:rsidRPr="00CC6F7E">
        <w:rPr>
          <w:rFonts w:eastAsia="Times New Roman" w:cs="Times New Roman"/>
          <w:lang w:eastAsia="de-DE"/>
        </w:rPr>
        <w:t xml:space="preserve">(und 100 von euch werden 10.000 jagen) - </w:t>
      </w:r>
      <w:r w:rsidRPr="00CC6F7E">
        <w:rPr>
          <w:rFonts w:eastAsia="Times New Roman" w:cs="Times New Roman"/>
          <w:b/>
          <w:bCs/>
          <w:rtl/>
          <w:lang w:eastAsia="de-DE"/>
        </w:rPr>
        <w:t>מאה מכם</w:t>
      </w:r>
      <w:r w:rsidRPr="00CC6F7E">
        <w:rPr>
          <w:rFonts w:eastAsia="Times New Roman" w:cs="Times New Roman"/>
          <w:rtl/>
          <w:lang w:eastAsia="de-DE"/>
        </w:rPr>
        <w:t xml:space="preserve"> </w:t>
      </w:r>
      <w:r w:rsidRPr="00CC6F7E">
        <w:rPr>
          <w:rFonts w:eastAsia="Times New Roman" w:cs="Times New Roman"/>
          <w:lang w:eastAsia="de-DE"/>
        </w:rPr>
        <w:t xml:space="preserve">(100 von euch) vs. </w:t>
      </w:r>
      <w:r w:rsidRPr="00CC6F7E">
        <w:rPr>
          <w:rFonts w:eastAsia="Times New Roman" w:cs="Times New Roman"/>
          <w:b/>
          <w:bCs/>
          <w:rtl/>
          <w:lang w:eastAsia="de-DE"/>
        </w:rPr>
        <w:t>רבבה</w:t>
      </w:r>
      <w:r w:rsidRPr="00CC6F7E">
        <w:rPr>
          <w:rFonts w:eastAsia="Times New Roman" w:cs="Times New Roman"/>
          <w:rtl/>
          <w:lang w:eastAsia="de-DE"/>
        </w:rPr>
        <w:t xml:space="preserve"> </w:t>
      </w:r>
      <w:r w:rsidRPr="00CC6F7E">
        <w:rPr>
          <w:rFonts w:eastAsia="Times New Roman" w:cs="Times New Roman"/>
          <w:lang w:eastAsia="de-DE"/>
        </w:rPr>
        <w:t>(10.000) zeigt das Verhältnis 1:100, was eine Steigerung gegenüber 1:20 darstellt.</w:t>
      </w:r>
    </w:p>
    <w:p w14:paraId="7E7A5F8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ונפלו איביכם לפניכם לחרב</w:t>
      </w:r>
      <w:r w:rsidRPr="00CC6F7E">
        <w:rPr>
          <w:rFonts w:eastAsia="Times New Roman" w:cs="Times New Roman"/>
          <w:rtl/>
          <w:lang w:eastAsia="de-DE"/>
        </w:rPr>
        <w:t xml:space="preserve"> </w:t>
      </w:r>
      <w:r w:rsidRPr="00CC6F7E">
        <w:rPr>
          <w:rFonts w:eastAsia="Times New Roman" w:cs="Times New Roman"/>
          <w:lang w:eastAsia="de-DE"/>
        </w:rPr>
        <w:t>entspricht V. 7 wörtlich.</w:t>
      </w:r>
    </w:p>
    <w:p w14:paraId="37B00AB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חמשה מאה</w:t>
      </w:r>
      <w:r w:rsidRPr="00CC6F7E">
        <w:rPr>
          <w:rFonts w:eastAsia="Times New Roman" w:cs="Times New Roman"/>
          <w:rtl/>
          <w:lang w:eastAsia="de-DE"/>
        </w:rPr>
        <w:t xml:space="preserve"> </w:t>
      </w:r>
      <w:r w:rsidRPr="00CC6F7E">
        <w:rPr>
          <w:rFonts w:eastAsia="Times New Roman" w:cs="Times New Roman"/>
          <w:lang w:eastAsia="de-DE"/>
        </w:rPr>
        <w:t xml:space="preserve">(1:20) vs. </w:t>
      </w:r>
      <w:r w:rsidRPr="00CC6F7E">
        <w:rPr>
          <w:rFonts w:eastAsia="Times New Roman" w:cs="Times New Roman"/>
          <w:b/>
          <w:bCs/>
          <w:rtl/>
          <w:lang w:eastAsia="de-DE"/>
        </w:rPr>
        <w:t>מאה רבבה</w:t>
      </w:r>
      <w:r w:rsidRPr="00CC6F7E">
        <w:rPr>
          <w:rFonts w:eastAsia="Times New Roman" w:cs="Times New Roman"/>
          <w:rtl/>
          <w:lang w:eastAsia="de-DE"/>
        </w:rPr>
        <w:t xml:space="preserve"> </w:t>
      </w:r>
      <w:r w:rsidRPr="00CC6F7E">
        <w:rPr>
          <w:rFonts w:eastAsia="Times New Roman" w:cs="Times New Roman"/>
          <w:lang w:eastAsia="de-DE"/>
        </w:rPr>
        <w:t>(1:100) zeigt überproportionale Steigerung der Kampfkraft. Die Zahlenverhältnisse illustrieren göttlichen Beistand im Kampf.</w:t>
      </w:r>
    </w:p>
    <w:p w14:paraId="779924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חמשה</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έντε</w:t>
      </w:r>
      <w:proofErr w:type="spellEnd"/>
      <w:r w:rsidRPr="00CC6F7E">
        <w:rPr>
          <w:rFonts w:eastAsia="Times New Roman" w:cs="Times New Roman"/>
          <w:lang w:eastAsia="de-DE"/>
        </w:rPr>
        <w:t xml:space="preserve"> (fünf), </w:t>
      </w:r>
      <w:r w:rsidRPr="00CC6F7E">
        <w:rPr>
          <w:rFonts w:eastAsia="Times New Roman" w:cs="Times New Roman"/>
          <w:b/>
          <w:bCs/>
          <w:rtl/>
          <w:lang w:eastAsia="de-DE"/>
        </w:rPr>
        <w:t>מאה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ἑκ</w:t>
      </w:r>
      <w:proofErr w:type="spellEnd"/>
      <w:r w:rsidRPr="00CC6F7E">
        <w:rPr>
          <w:rFonts w:eastAsia="Times New Roman" w:cs="Times New Roman"/>
          <w:lang w:eastAsia="de-DE"/>
        </w:rPr>
        <w:t xml:space="preserve">ατόν (hundert), </w:t>
      </w:r>
      <w:r w:rsidRPr="00CC6F7E">
        <w:rPr>
          <w:rFonts w:eastAsia="Times New Roman" w:cs="Times New Roman"/>
          <w:b/>
          <w:bCs/>
          <w:rtl/>
          <w:lang w:eastAsia="de-DE"/>
        </w:rPr>
        <w:t>רבבה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μυρίους</w:t>
      </w:r>
      <w:proofErr w:type="spellEnd"/>
      <w:r w:rsidRPr="00CC6F7E">
        <w:rPr>
          <w:rFonts w:eastAsia="Times New Roman" w:cs="Times New Roman"/>
          <w:lang w:eastAsia="de-DE"/>
        </w:rPr>
        <w:t xml:space="preserve"> (Myriaden) und </w:t>
      </w:r>
      <w:r w:rsidRPr="00CC6F7E">
        <w:rPr>
          <w:rFonts w:eastAsia="Times New Roman" w:cs="Times New Roman"/>
          <w:b/>
          <w:bCs/>
          <w:rtl/>
          <w:lang w:eastAsia="de-DE"/>
        </w:rPr>
        <w:t>ירדפו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διώξουσιν</w:t>
      </w:r>
      <w:proofErr w:type="spellEnd"/>
      <w:r w:rsidRPr="00CC6F7E">
        <w:rPr>
          <w:rFonts w:eastAsia="Times New Roman" w:cs="Times New Roman"/>
          <w:lang w:eastAsia="de-DE"/>
        </w:rPr>
        <w:t xml:space="preserve"> (werden verfolgen).</w:t>
      </w:r>
    </w:p>
    <w:p w14:paraId="491AC1B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gesteigerte militärische Überlegenheits-Verheißung: 5 jagen 100 + 100 jagen 10.000 + Feinde fallen vor euch durchs Schwert.</w:t>
      </w:r>
    </w:p>
    <w:p w14:paraId="22860A0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konkretisiert göttlichen Kampfbeistand durch unmögliche Zahlenverhältnisse - wenige Israeliten besiegen viele Feinde.</w:t>
      </w:r>
    </w:p>
    <w:p w14:paraId="0B3AAC9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26,9</w:t>
      </w:r>
    </w:p>
    <w:p w14:paraId="64FD049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וּפָנִ֣יתִי אֲלֵיכֶ֔ם וְהִפְרֵיתִ֣י אֶתְכֶ֔ם וְהִרְבֵּיתִ֖י אֶתְכֶ֑ם וַהֲקִימֹתִ֥י אֶת־בְּרִיתִ֖י אִתְּכֶֽם׃</w:t>
      </w:r>
    </w:p>
    <w:p w14:paraId="59A5CA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mich zu euch wenden und euch fruchtbar machen und euch mehren, und ich werde meinen Bund mit euch aufrechthalten.</w:t>
      </w:r>
    </w:p>
    <w:p w14:paraId="485692C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A58F193">
          <v:rect id="_x0000_i1812" style="width:0;height:1.5pt" o:hralign="center" o:hrstd="t" o:hr="t" fillcolor="#a0a0a0" stroked="f"/>
        </w:pict>
      </w:r>
    </w:p>
    <w:p w14:paraId="3C4A977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ופניתי אליכם והפריתי אתכם והרביתי אתכם והקימתי את־בריתי אתכם</w:t>
      </w:r>
      <w:r w:rsidRPr="00CC6F7E">
        <w:rPr>
          <w:rFonts w:eastAsia="Times New Roman" w:cs="Times New Roman"/>
          <w:rtl/>
          <w:lang w:eastAsia="de-DE"/>
        </w:rPr>
        <w:t xml:space="preserve"> </w:t>
      </w:r>
      <w:r w:rsidRPr="00CC6F7E">
        <w:rPr>
          <w:rFonts w:eastAsia="Times New Roman" w:cs="Times New Roman"/>
          <w:lang w:eastAsia="de-DE"/>
        </w:rPr>
        <w:t xml:space="preserve">zeigt göttliche Zuwendung und Bundesbewahrung. </w:t>
      </w:r>
      <w:r w:rsidRPr="00CC6F7E">
        <w:rPr>
          <w:rFonts w:eastAsia="Times New Roman" w:cs="Times New Roman"/>
          <w:b/>
          <w:bCs/>
          <w:rtl/>
          <w:lang w:eastAsia="de-DE"/>
        </w:rPr>
        <w:t>ופניתי אליכם</w:t>
      </w:r>
      <w:r w:rsidRPr="00CC6F7E">
        <w:rPr>
          <w:rFonts w:eastAsia="Times New Roman" w:cs="Times New Roman"/>
          <w:rtl/>
          <w:lang w:eastAsia="de-DE"/>
        </w:rPr>
        <w:t xml:space="preserve"> </w:t>
      </w:r>
      <w:r w:rsidRPr="00CC6F7E">
        <w:rPr>
          <w:rFonts w:eastAsia="Times New Roman" w:cs="Times New Roman"/>
          <w:lang w:eastAsia="de-DE"/>
        </w:rPr>
        <w:t xml:space="preserve">(und ich werde mich zu euch wenden) - </w:t>
      </w:r>
      <w:r w:rsidRPr="00CC6F7E">
        <w:rPr>
          <w:rFonts w:eastAsia="Times New Roman" w:cs="Times New Roman"/>
          <w:b/>
          <w:bCs/>
          <w:rtl/>
          <w:lang w:eastAsia="de-DE"/>
        </w:rPr>
        <w:t>ופניתי</w:t>
      </w:r>
      <w:r w:rsidRPr="00CC6F7E">
        <w:rPr>
          <w:rFonts w:eastAsia="Times New Roman" w:cs="Times New Roman"/>
          <w:rtl/>
          <w:lang w:eastAsia="de-DE"/>
        </w:rPr>
        <w:t xml:space="preserve"> </w:t>
      </w:r>
      <w:r w:rsidRPr="00CC6F7E">
        <w:rPr>
          <w:rFonts w:eastAsia="Times New Roman" w:cs="Times New Roman"/>
          <w:lang w:eastAsia="de-DE"/>
        </w:rPr>
        <w:t xml:space="preserve">(und ich werde mich wenden) im Qal-Perfekt mit Waw-Konsekutiv von </w:t>
      </w:r>
      <w:r w:rsidRPr="00CC6F7E">
        <w:rPr>
          <w:rFonts w:eastAsia="Times New Roman" w:cs="Times New Roman"/>
          <w:b/>
          <w:bCs/>
          <w:rtl/>
          <w:lang w:eastAsia="de-DE"/>
        </w:rPr>
        <w:t>פנה</w:t>
      </w:r>
      <w:r w:rsidRPr="00CC6F7E">
        <w:rPr>
          <w:rFonts w:eastAsia="Times New Roman" w:cs="Times New Roman"/>
          <w:rtl/>
          <w:lang w:eastAsia="de-DE"/>
        </w:rPr>
        <w:t xml:space="preserve"> </w:t>
      </w:r>
      <w:r w:rsidRPr="00CC6F7E">
        <w:rPr>
          <w:rFonts w:eastAsia="Times New Roman" w:cs="Times New Roman"/>
          <w:lang w:eastAsia="de-DE"/>
        </w:rPr>
        <w:t xml:space="preserve">zeigt göttliche Aufmerksamkeitszuwendung. </w:t>
      </w:r>
      <w:r w:rsidRPr="00CC6F7E">
        <w:rPr>
          <w:rFonts w:eastAsia="Times New Roman" w:cs="Times New Roman"/>
          <w:b/>
          <w:bCs/>
          <w:rtl/>
          <w:lang w:eastAsia="de-DE"/>
        </w:rPr>
        <w:t>אליכם</w:t>
      </w:r>
      <w:r w:rsidRPr="00CC6F7E">
        <w:rPr>
          <w:rFonts w:eastAsia="Times New Roman" w:cs="Times New Roman"/>
          <w:rtl/>
          <w:lang w:eastAsia="de-DE"/>
        </w:rPr>
        <w:t xml:space="preserve"> </w:t>
      </w:r>
      <w:r w:rsidRPr="00CC6F7E">
        <w:rPr>
          <w:rFonts w:eastAsia="Times New Roman" w:cs="Times New Roman"/>
          <w:lang w:eastAsia="de-DE"/>
        </w:rPr>
        <w:t>(zu euch) zeigt Israel als Ziel göttlicher Zuwendung.</w:t>
      </w:r>
    </w:p>
    <w:p w14:paraId="14A0A32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והפריתי אתכם והרביתי אתכם</w:t>
      </w:r>
      <w:r w:rsidRPr="00CC6F7E">
        <w:rPr>
          <w:rFonts w:eastAsia="Times New Roman" w:cs="Times New Roman"/>
          <w:rtl/>
          <w:lang w:eastAsia="de-DE"/>
        </w:rPr>
        <w:t xml:space="preserve"> </w:t>
      </w:r>
      <w:r w:rsidRPr="00CC6F7E">
        <w:rPr>
          <w:rFonts w:eastAsia="Times New Roman" w:cs="Times New Roman"/>
          <w:lang w:eastAsia="de-DE"/>
        </w:rPr>
        <w:t xml:space="preserve">(und euch fruchtbar machen und euch mehren) - </w:t>
      </w:r>
      <w:r w:rsidRPr="00CC6F7E">
        <w:rPr>
          <w:rFonts w:eastAsia="Times New Roman" w:cs="Times New Roman"/>
          <w:b/>
          <w:bCs/>
          <w:rtl/>
          <w:lang w:eastAsia="de-DE"/>
        </w:rPr>
        <w:t>והפריתי</w:t>
      </w:r>
      <w:r w:rsidRPr="00CC6F7E">
        <w:rPr>
          <w:rFonts w:eastAsia="Times New Roman" w:cs="Times New Roman"/>
          <w:rtl/>
          <w:lang w:eastAsia="de-DE"/>
        </w:rPr>
        <w:t xml:space="preserve"> </w:t>
      </w:r>
      <w:r w:rsidRPr="00CC6F7E">
        <w:rPr>
          <w:rFonts w:eastAsia="Times New Roman" w:cs="Times New Roman"/>
          <w:lang w:eastAsia="de-DE"/>
        </w:rPr>
        <w:t xml:space="preserve">(und ich werde fruchtbar machen) im Hifil-Perfekt mit Waw-Konsekutiv von </w:t>
      </w:r>
      <w:r w:rsidRPr="00CC6F7E">
        <w:rPr>
          <w:rFonts w:eastAsia="Times New Roman" w:cs="Times New Roman"/>
          <w:b/>
          <w:bCs/>
          <w:rtl/>
          <w:lang w:eastAsia="de-DE"/>
        </w:rPr>
        <w:t>פרה</w:t>
      </w:r>
      <w:r w:rsidRPr="00CC6F7E">
        <w:rPr>
          <w:rFonts w:eastAsia="Times New Roman" w:cs="Times New Roman"/>
          <w:lang w:eastAsia="de-DE"/>
        </w:rPr>
        <w:t xml:space="preserve">. </w:t>
      </w:r>
      <w:r w:rsidRPr="00CC6F7E">
        <w:rPr>
          <w:rFonts w:eastAsia="Times New Roman" w:cs="Times New Roman"/>
          <w:b/>
          <w:bCs/>
          <w:rtl/>
          <w:lang w:eastAsia="de-DE"/>
        </w:rPr>
        <w:t>והרביתי</w:t>
      </w:r>
      <w:r w:rsidRPr="00CC6F7E">
        <w:rPr>
          <w:rFonts w:eastAsia="Times New Roman" w:cs="Times New Roman"/>
          <w:rtl/>
          <w:lang w:eastAsia="de-DE"/>
        </w:rPr>
        <w:t xml:space="preserve"> </w:t>
      </w:r>
      <w:r w:rsidRPr="00CC6F7E">
        <w:rPr>
          <w:rFonts w:eastAsia="Times New Roman" w:cs="Times New Roman"/>
          <w:lang w:eastAsia="de-DE"/>
        </w:rPr>
        <w:t xml:space="preserve">(und ich werde mehren) im Hifil-Perfekt von </w:t>
      </w:r>
      <w:r w:rsidRPr="00CC6F7E">
        <w:rPr>
          <w:rFonts w:eastAsia="Times New Roman" w:cs="Times New Roman"/>
          <w:b/>
          <w:bCs/>
          <w:rtl/>
          <w:lang w:eastAsia="de-DE"/>
        </w:rPr>
        <w:t>רבה</w:t>
      </w:r>
      <w:r w:rsidRPr="00CC6F7E">
        <w:rPr>
          <w:rFonts w:eastAsia="Times New Roman" w:cs="Times New Roman"/>
          <w:lang w:eastAsia="de-DE"/>
        </w:rPr>
        <w:t>. Beide Verben zeigen Bevölkerungswachstum.</w:t>
      </w:r>
    </w:p>
    <w:p w14:paraId="719F74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והקימתי את־בריתי אתכם</w:t>
      </w:r>
      <w:r w:rsidRPr="00CC6F7E">
        <w:rPr>
          <w:rFonts w:eastAsia="Times New Roman" w:cs="Times New Roman"/>
          <w:rtl/>
          <w:lang w:eastAsia="de-DE"/>
        </w:rPr>
        <w:t xml:space="preserve"> </w:t>
      </w:r>
      <w:r w:rsidRPr="00CC6F7E">
        <w:rPr>
          <w:rFonts w:eastAsia="Times New Roman" w:cs="Times New Roman"/>
          <w:lang w:eastAsia="de-DE"/>
        </w:rPr>
        <w:t xml:space="preserve">(und ich werde meinen Bund mit euch aufrechthalten) - </w:t>
      </w:r>
      <w:r w:rsidRPr="00CC6F7E">
        <w:rPr>
          <w:rFonts w:eastAsia="Times New Roman" w:cs="Times New Roman"/>
          <w:b/>
          <w:bCs/>
          <w:rtl/>
          <w:lang w:eastAsia="de-DE"/>
        </w:rPr>
        <w:t>והקימתי</w:t>
      </w:r>
      <w:r w:rsidRPr="00CC6F7E">
        <w:rPr>
          <w:rFonts w:eastAsia="Times New Roman" w:cs="Times New Roman"/>
          <w:rtl/>
          <w:lang w:eastAsia="de-DE"/>
        </w:rPr>
        <w:t xml:space="preserve"> </w:t>
      </w:r>
      <w:r w:rsidRPr="00CC6F7E">
        <w:rPr>
          <w:rFonts w:eastAsia="Times New Roman" w:cs="Times New Roman"/>
          <w:lang w:eastAsia="de-DE"/>
        </w:rPr>
        <w:t xml:space="preserve">(und ich werde aufrichten/aufrechterhalten) im Hifil-Perfekt von </w:t>
      </w:r>
      <w:r w:rsidRPr="00CC6F7E">
        <w:rPr>
          <w:rFonts w:eastAsia="Times New Roman" w:cs="Times New Roman"/>
          <w:b/>
          <w:bCs/>
          <w:rtl/>
          <w:lang w:eastAsia="de-DE"/>
        </w:rPr>
        <w:t>קום</w:t>
      </w:r>
      <w:r w:rsidRPr="00CC6F7E">
        <w:rPr>
          <w:rFonts w:eastAsia="Times New Roman" w:cs="Times New Roman"/>
          <w:lang w:eastAsia="de-DE"/>
        </w:rPr>
        <w:t xml:space="preserve">. </w:t>
      </w:r>
      <w:r w:rsidRPr="00CC6F7E">
        <w:rPr>
          <w:rFonts w:eastAsia="Times New Roman" w:cs="Times New Roman"/>
          <w:b/>
          <w:bCs/>
          <w:rtl/>
          <w:lang w:eastAsia="de-DE"/>
        </w:rPr>
        <w:t>את־בריתי</w:t>
      </w:r>
      <w:r w:rsidRPr="00CC6F7E">
        <w:rPr>
          <w:rFonts w:eastAsia="Times New Roman" w:cs="Times New Roman"/>
          <w:rtl/>
          <w:lang w:eastAsia="de-DE"/>
        </w:rPr>
        <w:t xml:space="preserve"> </w:t>
      </w:r>
      <w:r w:rsidRPr="00CC6F7E">
        <w:rPr>
          <w:rFonts w:eastAsia="Times New Roman" w:cs="Times New Roman"/>
          <w:lang w:eastAsia="de-DE"/>
        </w:rPr>
        <w:t>(meinen Bund) zeigt den Sinaibund.</w:t>
      </w:r>
    </w:p>
    <w:p w14:paraId="0D506B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ופניתי אליכם</w:t>
      </w:r>
      <w:r w:rsidRPr="00CC6F7E">
        <w:rPr>
          <w:rFonts w:eastAsia="Times New Roman" w:cs="Times New Roman"/>
          <w:rtl/>
          <w:lang w:eastAsia="de-DE"/>
        </w:rPr>
        <w:t xml:space="preserve"> </w:t>
      </w:r>
      <w:r w:rsidRPr="00CC6F7E">
        <w:rPr>
          <w:rFonts w:eastAsia="Times New Roman" w:cs="Times New Roman"/>
          <w:lang w:eastAsia="de-DE"/>
        </w:rPr>
        <w:t xml:space="preserve">zeigt göttliche Aufmerksamkeit. </w:t>
      </w:r>
      <w:r w:rsidRPr="00CC6F7E">
        <w:rPr>
          <w:rFonts w:eastAsia="Times New Roman" w:cs="Times New Roman"/>
          <w:b/>
          <w:bCs/>
          <w:rtl/>
          <w:lang w:eastAsia="de-DE"/>
        </w:rPr>
        <w:t>הפריתי והרביתי</w:t>
      </w:r>
      <w:r w:rsidRPr="00CC6F7E">
        <w:rPr>
          <w:rFonts w:eastAsia="Times New Roman" w:cs="Times New Roman"/>
          <w:rtl/>
          <w:lang w:eastAsia="de-DE"/>
        </w:rPr>
        <w:t xml:space="preserve"> </w:t>
      </w:r>
      <w:r w:rsidRPr="00CC6F7E">
        <w:rPr>
          <w:rFonts w:eastAsia="Times New Roman" w:cs="Times New Roman"/>
          <w:lang w:eastAsia="de-DE"/>
        </w:rPr>
        <w:t xml:space="preserve">entsprechen der Schöpfungs- und Väterverheißung. </w:t>
      </w:r>
      <w:r w:rsidRPr="00CC6F7E">
        <w:rPr>
          <w:rFonts w:eastAsia="Times New Roman" w:cs="Times New Roman"/>
          <w:b/>
          <w:bCs/>
          <w:rtl/>
          <w:lang w:eastAsia="de-DE"/>
        </w:rPr>
        <w:t>והקימתי את־בריתי</w:t>
      </w:r>
      <w:r w:rsidRPr="00CC6F7E">
        <w:rPr>
          <w:rFonts w:eastAsia="Times New Roman" w:cs="Times New Roman"/>
          <w:rtl/>
          <w:lang w:eastAsia="de-DE"/>
        </w:rPr>
        <w:t xml:space="preserve"> </w:t>
      </w:r>
      <w:r w:rsidRPr="00CC6F7E">
        <w:rPr>
          <w:rFonts w:eastAsia="Times New Roman" w:cs="Times New Roman"/>
          <w:lang w:eastAsia="de-DE"/>
        </w:rPr>
        <w:t>zeigt Bundesbewahrung.</w:t>
      </w:r>
    </w:p>
    <w:p w14:paraId="614B6D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ופניתי אליכם</w:t>
      </w:r>
      <w:r w:rsidRPr="00CC6F7E">
        <w:rPr>
          <w:rFonts w:eastAsia="Times New Roman" w:cs="Times New Roman"/>
          <w:rtl/>
          <w:lang w:eastAsia="de-DE"/>
        </w:rPr>
        <w:t xml:space="preserve"> </w:t>
      </w:r>
      <w:r w:rsidRPr="00CC6F7E">
        <w:rPr>
          <w:rFonts w:eastAsia="Times New Roman" w:cs="Times New Roman"/>
          <w:lang w:eastAsia="de-DE"/>
        </w:rPr>
        <w:t>mit ἐπιβ</w:t>
      </w:r>
      <w:proofErr w:type="spellStart"/>
      <w:r w:rsidRPr="00CC6F7E">
        <w:rPr>
          <w:rFonts w:eastAsia="Times New Roman" w:cs="Times New Roman"/>
          <w:lang w:eastAsia="de-DE"/>
        </w:rPr>
        <w:t>λέψω</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ἐφ</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ὑμᾶς</w:t>
      </w:r>
      <w:proofErr w:type="spellEnd"/>
      <w:r w:rsidRPr="00CC6F7E">
        <w:rPr>
          <w:rFonts w:eastAsia="Times New Roman" w:cs="Times New Roman"/>
          <w:lang w:eastAsia="de-DE"/>
        </w:rPr>
        <w:t xml:space="preserve"> (werde ich auf euch blicken), </w:t>
      </w:r>
      <w:r w:rsidRPr="00CC6F7E">
        <w:rPr>
          <w:rFonts w:eastAsia="Times New Roman" w:cs="Times New Roman"/>
          <w:b/>
          <w:bCs/>
          <w:rtl/>
          <w:lang w:eastAsia="de-DE"/>
        </w:rPr>
        <w:t>והפריתי</w:t>
      </w:r>
      <w:r w:rsidRPr="00CC6F7E">
        <w:rPr>
          <w:rFonts w:eastAsia="Times New Roman" w:cs="Times New Roman"/>
          <w:rtl/>
          <w:lang w:eastAsia="de-DE"/>
        </w:rPr>
        <w:t xml:space="preserve"> </w:t>
      </w:r>
      <w:r w:rsidRPr="00CC6F7E">
        <w:rPr>
          <w:rFonts w:eastAsia="Times New Roman" w:cs="Times New Roman"/>
          <w:lang w:eastAsia="de-DE"/>
        </w:rPr>
        <w:t>mit α</w:t>
      </w:r>
      <w:proofErr w:type="spellStart"/>
      <w:r w:rsidRPr="00CC6F7E">
        <w:rPr>
          <w:rFonts w:eastAsia="Times New Roman" w:cs="Times New Roman"/>
          <w:lang w:eastAsia="de-DE"/>
        </w:rPr>
        <w:t>ὐξ</w:t>
      </w:r>
      <w:proofErr w:type="spellEnd"/>
      <w:r w:rsidRPr="00CC6F7E">
        <w:rPr>
          <w:rFonts w:eastAsia="Times New Roman" w:cs="Times New Roman"/>
          <w:lang w:eastAsia="de-DE"/>
        </w:rPr>
        <w:t xml:space="preserve">ανῶ (werde ich mehren), </w:t>
      </w:r>
      <w:r w:rsidRPr="00CC6F7E">
        <w:rPr>
          <w:rFonts w:eastAsia="Times New Roman" w:cs="Times New Roman"/>
          <w:b/>
          <w:bCs/>
          <w:rtl/>
          <w:lang w:eastAsia="de-DE"/>
        </w:rPr>
        <w:t>והרביתי</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ληθυνῶ</w:t>
      </w:r>
      <w:proofErr w:type="spellEnd"/>
      <w:r w:rsidRPr="00CC6F7E">
        <w:rPr>
          <w:rFonts w:eastAsia="Times New Roman" w:cs="Times New Roman"/>
          <w:lang w:eastAsia="de-DE"/>
        </w:rPr>
        <w:t xml:space="preserve"> (werde ich vervielfältigen) und </w:t>
      </w:r>
      <w:r w:rsidRPr="00CC6F7E">
        <w:rPr>
          <w:rFonts w:eastAsia="Times New Roman" w:cs="Times New Roman"/>
          <w:b/>
          <w:bCs/>
          <w:rtl/>
          <w:lang w:eastAsia="de-DE"/>
        </w:rPr>
        <w:t>והקימתי את־בריתי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στήσω</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αθήκην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(werde ich meinen Bund aufrichten).</w:t>
      </w:r>
    </w:p>
    <w:p w14:paraId="25A54E0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 Zuwendungs-Verheißung: sich zu euch wenden + fruchtbar machen + mehren + Bund aufrechterhalten.</w:t>
      </w:r>
    </w:p>
    <w:p w14:paraId="51AEEBE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göttliche persönliche Zuwendung, Bevölkerungswachstum und treue Bundesbewahrung.</w:t>
      </w:r>
    </w:p>
    <w:p w14:paraId="3E9D182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26,10</w:t>
      </w:r>
    </w:p>
    <w:p w14:paraId="2BB5114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וַאֲכַלְתֶּ֥ם יָשָׁ֖ן נוֹשָׁ֑ן וְיָשָׁ֕ן מִפְּנֵ֥י חָדָ֖שׁ תּוֹצִֽיאוּ׃</w:t>
      </w:r>
    </w:p>
    <w:p w14:paraId="5C637F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ihr werdet altes Getreide vom vorigen Jahr essen, und das alte werdet ihr wegräumen vor dem neuen.</w:t>
      </w:r>
    </w:p>
    <w:p w14:paraId="70287E6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1387AAD">
          <v:rect id="_x0000_i1813" style="width:0;height:1.5pt" o:hralign="center" o:hrstd="t" o:hr="t" fillcolor="#a0a0a0" stroked="f"/>
        </w:pict>
      </w:r>
    </w:p>
    <w:p w14:paraId="5C8622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ואכלתם ישן נושן וישן מפני חדש תוציאו</w:t>
      </w:r>
      <w:r w:rsidRPr="00CC6F7E">
        <w:rPr>
          <w:rFonts w:eastAsia="Times New Roman" w:cs="Times New Roman"/>
          <w:rtl/>
          <w:lang w:eastAsia="de-DE"/>
        </w:rPr>
        <w:t xml:space="preserve"> </w:t>
      </w:r>
      <w:r w:rsidRPr="00CC6F7E">
        <w:rPr>
          <w:rFonts w:eastAsia="Times New Roman" w:cs="Times New Roman"/>
          <w:lang w:eastAsia="de-DE"/>
        </w:rPr>
        <w:t xml:space="preserve">zeigt überfließenden Vorrat als Segenszeichen. </w:t>
      </w:r>
      <w:r w:rsidRPr="00CC6F7E">
        <w:rPr>
          <w:rFonts w:eastAsia="Times New Roman" w:cs="Times New Roman"/>
          <w:b/>
          <w:bCs/>
          <w:rtl/>
          <w:lang w:eastAsia="de-DE"/>
        </w:rPr>
        <w:t>ואכלתם ישן נושן</w:t>
      </w:r>
      <w:r w:rsidRPr="00CC6F7E">
        <w:rPr>
          <w:rFonts w:eastAsia="Times New Roman" w:cs="Times New Roman"/>
          <w:rtl/>
          <w:lang w:eastAsia="de-DE"/>
        </w:rPr>
        <w:t xml:space="preserve"> </w:t>
      </w:r>
      <w:r w:rsidRPr="00CC6F7E">
        <w:rPr>
          <w:rFonts w:eastAsia="Times New Roman" w:cs="Times New Roman"/>
          <w:lang w:eastAsia="de-DE"/>
        </w:rPr>
        <w:t xml:space="preserve">(und ihr werdet altes Getreide vom vorigen Jahr essen) - </w:t>
      </w:r>
      <w:r w:rsidRPr="00CC6F7E">
        <w:rPr>
          <w:rFonts w:eastAsia="Times New Roman" w:cs="Times New Roman"/>
          <w:b/>
          <w:bCs/>
          <w:rtl/>
          <w:lang w:eastAsia="de-DE"/>
        </w:rPr>
        <w:t>ואכלתם</w:t>
      </w:r>
      <w:r w:rsidRPr="00CC6F7E">
        <w:rPr>
          <w:rFonts w:eastAsia="Times New Roman" w:cs="Times New Roman"/>
          <w:rtl/>
          <w:lang w:eastAsia="de-DE"/>
        </w:rPr>
        <w:t xml:space="preserve"> </w:t>
      </w:r>
      <w:r w:rsidRPr="00CC6F7E">
        <w:rPr>
          <w:rFonts w:eastAsia="Times New Roman" w:cs="Times New Roman"/>
          <w:lang w:eastAsia="de-DE"/>
        </w:rPr>
        <w:t xml:space="preserve">(und ihr werdet essen) entspricht V. 5. </w:t>
      </w:r>
      <w:r w:rsidRPr="00CC6F7E">
        <w:rPr>
          <w:rFonts w:eastAsia="Times New Roman" w:cs="Times New Roman"/>
          <w:b/>
          <w:bCs/>
          <w:rtl/>
          <w:lang w:eastAsia="de-DE"/>
        </w:rPr>
        <w:t>ישן נושן</w:t>
      </w:r>
      <w:r w:rsidRPr="00CC6F7E">
        <w:rPr>
          <w:rFonts w:eastAsia="Times New Roman" w:cs="Times New Roman"/>
          <w:rtl/>
          <w:lang w:eastAsia="de-DE"/>
        </w:rPr>
        <w:t xml:space="preserve"> </w:t>
      </w:r>
      <w:r w:rsidRPr="00CC6F7E">
        <w:rPr>
          <w:rFonts w:eastAsia="Times New Roman" w:cs="Times New Roman"/>
          <w:lang w:eastAsia="de-DE"/>
        </w:rPr>
        <w:t xml:space="preserve">(altes Getreide vom vorigen Jahr) - </w:t>
      </w:r>
      <w:r w:rsidRPr="00CC6F7E">
        <w:rPr>
          <w:rFonts w:eastAsia="Times New Roman" w:cs="Times New Roman"/>
          <w:b/>
          <w:bCs/>
          <w:rtl/>
          <w:lang w:eastAsia="de-DE"/>
        </w:rPr>
        <w:t>ישן</w:t>
      </w:r>
      <w:r w:rsidRPr="00CC6F7E">
        <w:rPr>
          <w:rFonts w:eastAsia="Times New Roman" w:cs="Times New Roman"/>
          <w:rtl/>
          <w:lang w:eastAsia="de-DE"/>
        </w:rPr>
        <w:t xml:space="preserve"> </w:t>
      </w:r>
      <w:r w:rsidRPr="00CC6F7E">
        <w:rPr>
          <w:rFonts w:eastAsia="Times New Roman" w:cs="Times New Roman"/>
          <w:lang w:eastAsia="de-DE"/>
        </w:rPr>
        <w:t xml:space="preserve">(alt) und </w:t>
      </w:r>
      <w:r w:rsidRPr="00CC6F7E">
        <w:rPr>
          <w:rFonts w:eastAsia="Times New Roman" w:cs="Times New Roman"/>
          <w:b/>
          <w:bCs/>
          <w:rtl/>
          <w:lang w:eastAsia="de-DE"/>
        </w:rPr>
        <w:t>נושן</w:t>
      </w:r>
      <w:r w:rsidRPr="00CC6F7E">
        <w:rPr>
          <w:rFonts w:eastAsia="Times New Roman" w:cs="Times New Roman"/>
          <w:rtl/>
          <w:lang w:eastAsia="de-DE"/>
        </w:rPr>
        <w:t xml:space="preserve"> </w:t>
      </w:r>
      <w:r w:rsidRPr="00CC6F7E">
        <w:rPr>
          <w:rFonts w:eastAsia="Times New Roman" w:cs="Times New Roman"/>
          <w:lang w:eastAsia="de-DE"/>
        </w:rPr>
        <w:t>(sehr alt/vom vorigen Jahr) zeigen lange gelagerte Vorräte.</w:t>
      </w:r>
    </w:p>
    <w:p w14:paraId="20DB67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וישן מפני חדש תוציאו</w:t>
      </w:r>
      <w:r w:rsidRPr="00CC6F7E">
        <w:rPr>
          <w:rFonts w:eastAsia="Times New Roman" w:cs="Times New Roman"/>
          <w:rtl/>
          <w:lang w:eastAsia="de-DE"/>
        </w:rPr>
        <w:t xml:space="preserve"> </w:t>
      </w:r>
      <w:r w:rsidRPr="00CC6F7E">
        <w:rPr>
          <w:rFonts w:eastAsia="Times New Roman" w:cs="Times New Roman"/>
          <w:lang w:eastAsia="de-DE"/>
        </w:rPr>
        <w:t xml:space="preserve">(und das alte werdet ihr wegräumen vor dem neuen) - </w:t>
      </w:r>
      <w:r w:rsidRPr="00CC6F7E">
        <w:rPr>
          <w:rFonts w:eastAsia="Times New Roman" w:cs="Times New Roman"/>
          <w:b/>
          <w:bCs/>
          <w:rtl/>
          <w:lang w:eastAsia="de-DE"/>
        </w:rPr>
        <w:t>וישן מפני חדש</w:t>
      </w:r>
      <w:r w:rsidRPr="00CC6F7E">
        <w:rPr>
          <w:rFonts w:eastAsia="Times New Roman" w:cs="Times New Roman"/>
          <w:rtl/>
          <w:lang w:eastAsia="de-DE"/>
        </w:rPr>
        <w:t xml:space="preserve"> </w:t>
      </w:r>
      <w:r w:rsidRPr="00CC6F7E">
        <w:rPr>
          <w:rFonts w:eastAsia="Times New Roman" w:cs="Times New Roman"/>
          <w:lang w:eastAsia="de-DE"/>
        </w:rPr>
        <w:t xml:space="preserve">(und das Alte vor dem Neuen) zeigt, dass alte Vorräte Platz für neue Ernte machen müssen. </w:t>
      </w:r>
      <w:r w:rsidRPr="00CC6F7E">
        <w:rPr>
          <w:rFonts w:eastAsia="Times New Roman" w:cs="Times New Roman"/>
          <w:b/>
          <w:bCs/>
          <w:rtl/>
          <w:lang w:eastAsia="de-DE"/>
        </w:rPr>
        <w:t>תוציאו</w:t>
      </w:r>
      <w:r w:rsidRPr="00CC6F7E">
        <w:rPr>
          <w:rFonts w:eastAsia="Times New Roman" w:cs="Times New Roman"/>
          <w:rtl/>
          <w:lang w:eastAsia="de-DE"/>
        </w:rPr>
        <w:t xml:space="preserve"> </w:t>
      </w:r>
      <w:r w:rsidRPr="00CC6F7E">
        <w:rPr>
          <w:rFonts w:eastAsia="Times New Roman" w:cs="Times New Roman"/>
          <w:lang w:eastAsia="de-DE"/>
        </w:rPr>
        <w:t>(werdet ihr hinausschaffen) im Hifil-Imperfekt zeigt Platzschaffung.</w:t>
      </w:r>
    </w:p>
    <w:p w14:paraId="1C2EE80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ישן נושן</w:t>
      </w:r>
      <w:r w:rsidRPr="00CC6F7E">
        <w:rPr>
          <w:rFonts w:eastAsia="Times New Roman" w:cs="Times New Roman"/>
          <w:rtl/>
          <w:lang w:eastAsia="de-DE"/>
        </w:rPr>
        <w:t xml:space="preserve"> </w:t>
      </w:r>
      <w:r w:rsidRPr="00CC6F7E">
        <w:rPr>
          <w:rFonts w:eastAsia="Times New Roman" w:cs="Times New Roman"/>
          <w:lang w:eastAsia="de-DE"/>
        </w:rPr>
        <w:t xml:space="preserve">zeigt so reiche Ernten, dass alte Vorräte übrig bleiben. </w:t>
      </w:r>
      <w:r w:rsidRPr="00CC6F7E">
        <w:rPr>
          <w:rFonts w:eastAsia="Times New Roman" w:cs="Times New Roman"/>
          <w:b/>
          <w:bCs/>
          <w:rtl/>
          <w:lang w:eastAsia="de-DE"/>
        </w:rPr>
        <w:t>מפני חדש תוציאו</w:t>
      </w:r>
      <w:r w:rsidRPr="00CC6F7E">
        <w:rPr>
          <w:rFonts w:eastAsia="Times New Roman" w:cs="Times New Roman"/>
          <w:rtl/>
          <w:lang w:eastAsia="de-DE"/>
        </w:rPr>
        <w:t xml:space="preserve"> </w:t>
      </w:r>
      <w:r w:rsidRPr="00CC6F7E">
        <w:rPr>
          <w:rFonts w:eastAsia="Times New Roman" w:cs="Times New Roman"/>
          <w:lang w:eastAsia="de-DE"/>
        </w:rPr>
        <w:t>zeigt das "Problem" des Überflusses: Lagerraummangel wegen zu reicher neuer Ernten.</w:t>
      </w:r>
    </w:p>
    <w:p w14:paraId="4E885B30" w14:textId="6259588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ישן נושן</w:t>
      </w:r>
      <w:r w:rsidR="00274C29">
        <w:t xml:space="preserve"> (</w:t>
      </w:r>
      <w:proofErr w:type="spellStart"/>
      <w:r w:rsidR="00274C29">
        <w:t>yashan</w:t>
      </w:r>
      <w:proofErr w:type="spellEnd"/>
      <w:r w:rsidR="00274C29">
        <w:t xml:space="preserve"> </w:t>
      </w:r>
      <w:proofErr w:type="spellStart"/>
      <w:r w:rsidR="00274C29">
        <w:t>noshan</w:t>
      </w:r>
      <w:proofErr w:type="spellEnd"/>
      <w:r w:rsidR="00274C29">
        <w:t xml:space="preserve"> - "Altes, das alt geworden ist") als παλα</w:t>
      </w:r>
      <w:proofErr w:type="spellStart"/>
      <w:r w:rsidR="00274C29">
        <w:t>ιὰ</w:t>
      </w:r>
      <w:proofErr w:type="spellEnd"/>
      <w:r w:rsidR="00274C29">
        <w:t xml:space="preserve"> παλα</w:t>
      </w:r>
      <w:proofErr w:type="spellStart"/>
      <w:r w:rsidR="00274C29">
        <w:t>ιῶν</w:t>
      </w:r>
      <w:proofErr w:type="spellEnd"/>
      <w:r w:rsidR="00274C29">
        <w:t xml:space="preserve"> (Altes der Alten), was die Intensität der Fülle betont.</w:t>
      </w:r>
    </w:p>
    <w:p w14:paraId="601F29E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Überfluss-Segens-Verheißung: altes Getreide vom vorigen Jahr essen + Altes vor Neuem wegräumen.</w:t>
      </w:r>
    </w:p>
    <w:p w14:paraId="2698AC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den Überfluss-Segen: So reiche Ernten, dass alte Vorräte für neue Ernte Platz machen müssen.</w:t>
      </w:r>
    </w:p>
    <w:p w14:paraId="4A1C0CC5"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26,11</w:t>
      </w:r>
    </w:p>
    <w:p w14:paraId="3122B15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וְנָתַתִּ֥י מִשְׁכָּנִ֖י בְּתוֹכְכֶ֑ם וְלֹֽא־תִגְעַ֥ל נַפְשִׁ֖י אֶתְכֶֽם׃</w:t>
      </w:r>
    </w:p>
    <w:p w14:paraId="1AFB27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meine Wohnung in eure Mitte stellen, und meine Seele wird euch nicht verabscheuen.</w:t>
      </w:r>
    </w:p>
    <w:p w14:paraId="30320C2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EC73CBB">
          <v:rect id="_x0000_i1814" style="width:0;height:1.5pt" o:hralign="center" o:hrstd="t" o:hr="t" fillcolor="#a0a0a0" stroked="f"/>
        </w:pict>
      </w:r>
    </w:p>
    <w:p w14:paraId="0B0A29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ונתתי משכני בתוככם ולא־תגעל נפשי אתכם</w:t>
      </w:r>
      <w:r w:rsidRPr="00CC6F7E">
        <w:rPr>
          <w:rFonts w:eastAsia="Times New Roman" w:cs="Times New Roman"/>
          <w:rtl/>
          <w:lang w:eastAsia="de-DE"/>
        </w:rPr>
        <w:t xml:space="preserve"> </w:t>
      </w:r>
      <w:r w:rsidRPr="00CC6F7E">
        <w:rPr>
          <w:rFonts w:eastAsia="Times New Roman" w:cs="Times New Roman"/>
          <w:lang w:eastAsia="de-DE"/>
        </w:rPr>
        <w:t xml:space="preserve">zeigt den höchsten Segen: göttliche Gegenwart. </w:t>
      </w:r>
      <w:r w:rsidRPr="00CC6F7E">
        <w:rPr>
          <w:rFonts w:eastAsia="Times New Roman" w:cs="Times New Roman"/>
          <w:b/>
          <w:bCs/>
          <w:rtl/>
          <w:lang w:eastAsia="de-DE"/>
        </w:rPr>
        <w:t>ונתתי משכני בתוככם</w:t>
      </w:r>
      <w:r w:rsidRPr="00CC6F7E">
        <w:rPr>
          <w:rFonts w:eastAsia="Times New Roman" w:cs="Times New Roman"/>
          <w:rtl/>
          <w:lang w:eastAsia="de-DE"/>
        </w:rPr>
        <w:t xml:space="preserve"> </w:t>
      </w:r>
      <w:r w:rsidRPr="00CC6F7E">
        <w:rPr>
          <w:rFonts w:eastAsia="Times New Roman" w:cs="Times New Roman"/>
          <w:lang w:eastAsia="de-DE"/>
        </w:rPr>
        <w:t xml:space="preserve">(und ich werde meine Wohnung in eure Mitte stellen) - </w:t>
      </w:r>
      <w:r w:rsidRPr="00CC6F7E">
        <w:rPr>
          <w:rFonts w:eastAsia="Times New Roman" w:cs="Times New Roman"/>
          <w:b/>
          <w:bCs/>
          <w:rtl/>
          <w:lang w:eastAsia="de-DE"/>
        </w:rPr>
        <w:t>ונתתי</w:t>
      </w:r>
      <w:r w:rsidRPr="00CC6F7E">
        <w:rPr>
          <w:rFonts w:eastAsia="Times New Roman" w:cs="Times New Roman"/>
          <w:rtl/>
          <w:lang w:eastAsia="de-DE"/>
        </w:rPr>
        <w:t xml:space="preserve"> </w:t>
      </w:r>
      <w:r w:rsidRPr="00CC6F7E">
        <w:rPr>
          <w:rFonts w:eastAsia="Times New Roman" w:cs="Times New Roman"/>
          <w:lang w:eastAsia="de-DE"/>
        </w:rPr>
        <w:t xml:space="preserve">entspricht V. 4,6 als göttliche Segenstat. </w:t>
      </w:r>
      <w:r w:rsidRPr="00CC6F7E">
        <w:rPr>
          <w:rFonts w:eastAsia="Times New Roman" w:cs="Times New Roman"/>
          <w:b/>
          <w:bCs/>
          <w:rtl/>
          <w:lang w:eastAsia="de-DE"/>
        </w:rPr>
        <w:t>משכני</w:t>
      </w:r>
      <w:r w:rsidRPr="00CC6F7E">
        <w:rPr>
          <w:rFonts w:eastAsia="Times New Roman" w:cs="Times New Roman"/>
          <w:rtl/>
          <w:lang w:eastAsia="de-DE"/>
        </w:rPr>
        <w:t xml:space="preserve"> </w:t>
      </w:r>
      <w:r w:rsidRPr="00CC6F7E">
        <w:rPr>
          <w:rFonts w:eastAsia="Times New Roman" w:cs="Times New Roman"/>
          <w:lang w:eastAsia="de-DE"/>
        </w:rPr>
        <w:t xml:space="preserve">(meine Wohnung) zeigt das Stiftszelt als göttliche Wohnstätte. </w:t>
      </w:r>
      <w:r w:rsidRPr="00CC6F7E">
        <w:rPr>
          <w:rFonts w:eastAsia="Times New Roman" w:cs="Times New Roman"/>
          <w:b/>
          <w:bCs/>
          <w:rtl/>
          <w:lang w:eastAsia="de-DE"/>
        </w:rPr>
        <w:t>בתוככם</w:t>
      </w:r>
      <w:r w:rsidRPr="00CC6F7E">
        <w:rPr>
          <w:rFonts w:eastAsia="Times New Roman" w:cs="Times New Roman"/>
          <w:rtl/>
          <w:lang w:eastAsia="de-DE"/>
        </w:rPr>
        <w:t xml:space="preserve"> </w:t>
      </w:r>
      <w:r w:rsidRPr="00CC6F7E">
        <w:rPr>
          <w:rFonts w:eastAsia="Times New Roman" w:cs="Times New Roman"/>
          <w:lang w:eastAsia="de-DE"/>
        </w:rPr>
        <w:t>(in eure Mitte) zeigt zentrale Präsenz inmitten Israels.</w:t>
      </w:r>
    </w:p>
    <w:p w14:paraId="1FE56B2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ולא־תגעל נפשי אתכם</w:t>
      </w:r>
      <w:r w:rsidRPr="00CC6F7E">
        <w:rPr>
          <w:rFonts w:eastAsia="Times New Roman" w:cs="Times New Roman"/>
          <w:rtl/>
          <w:lang w:eastAsia="de-DE"/>
        </w:rPr>
        <w:t xml:space="preserve"> </w:t>
      </w:r>
      <w:r w:rsidRPr="00CC6F7E">
        <w:rPr>
          <w:rFonts w:eastAsia="Times New Roman" w:cs="Times New Roman"/>
          <w:lang w:eastAsia="de-DE"/>
        </w:rPr>
        <w:t xml:space="preserve">(und meine Seele wird euch nicht verabscheuen) - </w:t>
      </w:r>
      <w:r w:rsidRPr="00CC6F7E">
        <w:rPr>
          <w:rFonts w:eastAsia="Times New Roman" w:cs="Times New Roman"/>
          <w:b/>
          <w:bCs/>
          <w:rtl/>
          <w:lang w:eastAsia="de-DE"/>
        </w:rPr>
        <w:t>לא־תגעל</w:t>
      </w:r>
      <w:r w:rsidRPr="00CC6F7E">
        <w:rPr>
          <w:rFonts w:eastAsia="Times New Roman" w:cs="Times New Roman"/>
          <w:rtl/>
          <w:lang w:eastAsia="de-DE"/>
        </w:rPr>
        <w:t xml:space="preserve"> </w:t>
      </w:r>
      <w:r w:rsidRPr="00CC6F7E">
        <w:rPr>
          <w:rFonts w:eastAsia="Times New Roman" w:cs="Times New Roman"/>
          <w:lang w:eastAsia="de-DE"/>
        </w:rPr>
        <w:t xml:space="preserve">(wird nicht verabscheuen) im Qal-Imperfekt von </w:t>
      </w:r>
      <w:r w:rsidRPr="00CC6F7E">
        <w:rPr>
          <w:rFonts w:eastAsia="Times New Roman" w:cs="Times New Roman"/>
          <w:b/>
          <w:bCs/>
          <w:rtl/>
          <w:lang w:eastAsia="de-DE"/>
        </w:rPr>
        <w:t>געל</w:t>
      </w:r>
      <w:r w:rsidRPr="00CC6F7E">
        <w:rPr>
          <w:rFonts w:eastAsia="Times New Roman" w:cs="Times New Roman"/>
          <w:rtl/>
          <w:lang w:eastAsia="de-DE"/>
        </w:rPr>
        <w:t xml:space="preserve"> </w:t>
      </w:r>
      <w:r w:rsidRPr="00CC6F7E">
        <w:rPr>
          <w:rFonts w:eastAsia="Times New Roman" w:cs="Times New Roman"/>
          <w:lang w:eastAsia="de-DE"/>
        </w:rPr>
        <w:t xml:space="preserve">(sich ekeln/verabscheuen) als Negation göttlichen Abscheus. </w:t>
      </w:r>
      <w:r w:rsidRPr="00CC6F7E">
        <w:rPr>
          <w:rFonts w:eastAsia="Times New Roman" w:cs="Times New Roman"/>
          <w:b/>
          <w:bCs/>
          <w:rtl/>
          <w:lang w:eastAsia="de-DE"/>
        </w:rPr>
        <w:t>נפשי</w:t>
      </w:r>
      <w:r w:rsidRPr="00CC6F7E">
        <w:rPr>
          <w:rFonts w:eastAsia="Times New Roman" w:cs="Times New Roman"/>
          <w:rtl/>
          <w:lang w:eastAsia="de-DE"/>
        </w:rPr>
        <w:t xml:space="preserve"> </w:t>
      </w:r>
      <w:r w:rsidRPr="00CC6F7E">
        <w:rPr>
          <w:rFonts w:eastAsia="Times New Roman" w:cs="Times New Roman"/>
          <w:lang w:eastAsia="de-DE"/>
        </w:rPr>
        <w:t xml:space="preserve">(meine Seele) zeigt göttliche Wesenstiefe. </w:t>
      </w:r>
      <w:r w:rsidRPr="00CC6F7E">
        <w:rPr>
          <w:rFonts w:eastAsia="Times New Roman" w:cs="Times New Roman"/>
          <w:b/>
          <w:bCs/>
          <w:rtl/>
          <w:lang w:eastAsia="de-DE"/>
        </w:rPr>
        <w:t>אתכם</w:t>
      </w:r>
      <w:r w:rsidRPr="00CC6F7E">
        <w:rPr>
          <w:rFonts w:eastAsia="Times New Roman" w:cs="Times New Roman"/>
          <w:rtl/>
          <w:lang w:eastAsia="de-DE"/>
        </w:rPr>
        <w:t xml:space="preserve"> </w:t>
      </w:r>
      <w:r w:rsidRPr="00CC6F7E">
        <w:rPr>
          <w:rFonts w:eastAsia="Times New Roman" w:cs="Times New Roman"/>
          <w:lang w:eastAsia="de-DE"/>
        </w:rPr>
        <w:t>(euch) zeigt Israel.</w:t>
      </w:r>
    </w:p>
    <w:p w14:paraId="3F4CCE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משכני בתוככם</w:t>
      </w:r>
      <w:r w:rsidRPr="00CC6F7E">
        <w:rPr>
          <w:rFonts w:eastAsia="Times New Roman" w:cs="Times New Roman"/>
          <w:rtl/>
          <w:lang w:eastAsia="de-DE"/>
        </w:rPr>
        <w:t xml:space="preserve"> </w:t>
      </w:r>
      <w:r w:rsidRPr="00CC6F7E">
        <w:rPr>
          <w:rFonts w:eastAsia="Times New Roman" w:cs="Times New Roman"/>
          <w:lang w:eastAsia="de-DE"/>
        </w:rPr>
        <w:t xml:space="preserve">zeigt dauerhafte göttliche Gegenwart. </w:t>
      </w:r>
      <w:r w:rsidRPr="00CC6F7E">
        <w:rPr>
          <w:rFonts w:eastAsia="Times New Roman" w:cs="Times New Roman"/>
          <w:b/>
          <w:bCs/>
          <w:rtl/>
          <w:lang w:eastAsia="de-DE"/>
        </w:rPr>
        <w:t>לא־תגעל נפשי אתכם</w:t>
      </w:r>
      <w:r w:rsidRPr="00CC6F7E">
        <w:rPr>
          <w:rFonts w:eastAsia="Times New Roman" w:cs="Times New Roman"/>
          <w:rtl/>
          <w:lang w:eastAsia="de-DE"/>
        </w:rPr>
        <w:t xml:space="preserve"> </w:t>
      </w:r>
      <w:r w:rsidRPr="00CC6F7E">
        <w:rPr>
          <w:rFonts w:eastAsia="Times New Roman" w:cs="Times New Roman"/>
          <w:lang w:eastAsia="de-DE"/>
        </w:rPr>
        <w:t>zeigt göttliches Wohlgefallen statt Abscheu.</w:t>
      </w:r>
    </w:p>
    <w:p w14:paraId="00A740B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משכני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αθήκην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(meinen Bund), </w:t>
      </w:r>
      <w:r w:rsidRPr="00CC6F7E">
        <w:rPr>
          <w:rFonts w:eastAsia="Times New Roman" w:cs="Times New Roman"/>
          <w:b/>
          <w:bCs/>
          <w:rtl/>
          <w:lang w:eastAsia="de-DE"/>
        </w:rPr>
        <w:t>בתוככם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ὑμῖν</w:t>
      </w:r>
      <w:proofErr w:type="spellEnd"/>
      <w:r w:rsidRPr="00CC6F7E">
        <w:rPr>
          <w:rFonts w:eastAsia="Times New Roman" w:cs="Times New Roman"/>
          <w:lang w:eastAsia="de-DE"/>
        </w:rPr>
        <w:t xml:space="preserve"> (in euch), </w:t>
      </w:r>
      <w:r w:rsidRPr="00CC6F7E">
        <w:rPr>
          <w:rFonts w:eastAsia="Times New Roman" w:cs="Times New Roman"/>
          <w:b/>
          <w:bCs/>
          <w:rtl/>
          <w:lang w:eastAsia="de-DE"/>
        </w:rPr>
        <w:t>תגעל</w:t>
      </w:r>
      <w:r w:rsidRPr="00CC6F7E">
        <w:rPr>
          <w:rFonts w:eastAsia="Times New Roman" w:cs="Times New Roman"/>
          <w:rtl/>
          <w:lang w:eastAsia="de-DE"/>
        </w:rPr>
        <w:t xml:space="preserve"> </w:t>
      </w:r>
      <w:r w:rsidRPr="00CC6F7E">
        <w:rPr>
          <w:rFonts w:eastAsia="Times New Roman" w:cs="Times New Roman"/>
          <w:lang w:eastAsia="de-DE"/>
        </w:rPr>
        <w:t>mit β</w:t>
      </w:r>
      <w:proofErr w:type="spellStart"/>
      <w:r w:rsidRPr="00CC6F7E">
        <w:rPr>
          <w:rFonts w:eastAsia="Times New Roman" w:cs="Times New Roman"/>
          <w:lang w:eastAsia="de-DE"/>
        </w:rPr>
        <w:t>δελύξετ</w:t>
      </w:r>
      <w:proofErr w:type="spellEnd"/>
      <w:r w:rsidRPr="00CC6F7E">
        <w:rPr>
          <w:rFonts w:eastAsia="Times New Roman" w:cs="Times New Roman"/>
          <w:lang w:eastAsia="de-DE"/>
        </w:rPr>
        <w:t xml:space="preserve">αι (wird verabscheuen) und </w:t>
      </w:r>
      <w:r w:rsidRPr="00CC6F7E">
        <w:rPr>
          <w:rFonts w:eastAsia="Times New Roman" w:cs="Times New Roman"/>
          <w:b/>
          <w:bCs/>
          <w:rtl/>
          <w:lang w:eastAsia="de-DE"/>
        </w:rPr>
        <w:t>נפשי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ψυχή</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Seele).</w:t>
      </w:r>
    </w:p>
    <w:p w14:paraId="2B6A21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höchste Segens-Verheißung: Wohnung in eurer Mitte + göttliche Seele verabscheut euch nicht.</w:t>
      </w:r>
    </w:p>
    <w:p w14:paraId="218A17E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verheißt den höchsten Segen: JHWHs Wohnung inmitten Israels und göttliches Wohlgefallen.</w:t>
      </w:r>
    </w:p>
    <w:p w14:paraId="49C49A41"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26,12</w:t>
      </w:r>
    </w:p>
    <w:p w14:paraId="165E85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וְהִתְהַלַּכְתִּי֙ בְּת֣וֹכְכֶ֔ם וְהָיִ֥יתִי לָכֶ֖ם לֵֽאלֹהִ֑ים וְאַתֶּ֖ם תִּהְיוּ־לִ֥י לְעָֽם׃</w:t>
      </w:r>
    </w:p>
    <w:p w14:paraId="43408F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in eurer Mitte wandeln und werde euer Gott sein, und ihr werdet mein Volk sein.</w:t>
      </w:r>
    </w:p>
    <w:p w14:paraId="1EBF7D3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C718B67">
          <v:rect id="_x0000_i1815" style="width:0;height:1.5pt" o:hralign="center" o:hrstd="t" o:hr="t" fillcolor="#a0a0a0" stroked="f"/>
        </w:pict>
      </w:r>
    </w:p>
    <w:p w14:paraId="33328DF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והתהלכתי בתוככם והייתי לכם לאלהים ואתם תהיו־לי לעם</w:t>
      </w:r>
      <w:r w:rsidRPr="00CC6F7E">
        <w:rPr>
          <w:rFonts w:eastAsia="Times New Roman" w:cs="Times New Roman"/>
          <w:rtl/>
          <w:lang w:eastAsia="de-DE"/>
        </w:rPr>
        <w:t xml:space="preserve"> </w:t>
      </w:r>
      <w:r w:rsidRPr="00CC6F7E">
        <w:rPr>
          <w:rFonts w:eastAsia="Times New Roman" w:cs="Times New Roman"/>
          <w:lang w:eastAsia="de-DE"/>
        </w:rPr>
        <w:t xml:space="preserve">zeigt die vollendete Bundesgemeinschaft. </w:t>
      </w:r>
      <w:r w:rsidRPr="00CC6F7E">
        <w:rPr>
          <w:rFonts w:eastAsia="Times New Roman" w:cs="Times New Roman"/>
          <w:b/>
          <w:bCs/>
          <w:rtl/>
          <w:lang w:eastAsia="de-DE"/>
        </w:rPr>
        <w:t>והתהלכתי בתוככם</w:t>
      </w:r>
      <w:r w:rsidRPr="00CC6F7E">
        <w:rPr>
          <w:rFonts w:eastAsia="Times New Roman" w:cs="Times New Roman"/>
          <w:rtl/>
          <w:lang w:eastAsia="de-DE"/>
        </w:rPr>
        <w:t xml:space="preserve"> </w:t>
      </w:r>
      <w:r w:rsidRPr="00CC6F7E">
        <w:rPr>
          <w:rFonts w:eastAsia="Times New Roman" w:cs="Times New Roman"/>
          <w:lang w:eastAsia="de-DE"/>
        </w:rPr>
        <w:t xml:space="preserve">(und ich werde in eurer Mitte wandeln) - </w:t>
      </w:r>
      <w:r w:rsidRPr="00CC6F7E">
        <w:rPr>
          <w:rFonts w:eastAsia="Times New Roman" w:cs="Times New Roman"/>
          <w:b/>
          <w:bCs/>
          <w:rtl/>
          <w:lang w:eastAsia="de-DE"/>
        </w:rPr>
        <w:t>והתהלכתי</w:t>
      </w:r>
      <w:r w:rsidRPr="00CC6F7E">
        <w:rPr>
          <w:rFonts w:eastAsia="Times New Roman" w:cs="Times New Roman"/>
          <w:rtl/>
          <w:lang w:eastAsia="de-DE"/>
        </w:rPr>
        <w:t xml:space="preserve"> </w:t>
      </w:r>
      <w:r w:rsidRPr="00CC6F7E">
        <w:rPr>
          <w:rFonts w:eastAsia="Times New Roman" w:cs="Times New Roman"/>
          <w:lang w:eastAsia="de-DE"/>
        </w:rPr>
        <w:t xml:space="preserve">(und ich werde wandeln) im Hitpael-Perfekt mit Waw-Konsekutiv von </w:t>
      </w:r>
      <w:r w:rsidRPr="00CC6F7E">
        <w:rPr>
          <w:rFonts w:eastAsia="Times New Roman" w:cs="Times New Roman"/>
          <w:b/>
          <w:bCs/>
          <w:rtl/>
          <w:lang w:eastAsia="de-DE"/>
        </w:rPr>
        <w:t>הלך</w:t>
      </w:r>
      <w:r w:rsidRPr="00CC6F7E">
        <w:rPr>
          <w:rFonts w:eastAsia="Times New Roman" w:cs="Times New Roman"/>
          <w:lang w:eastAsia="de-DE"/>
        </w:rPr>
        <w:t xml:space="preserve">, das Hitpael zeigt kontinuierliches Sich-Bewegen. </w:t>
      </w:r>
      <w:r w:rsidRPr="00CC6F7E">
        <w:rPr>
          <w:rFonts w:eastAsia="Times New Roman" w:cs="Times New Roman"/>
          <w:b/>
          <w:bCs/>
          <w:rtl/>
          <w:lang w:eastAsia="de-DE"/>
        </w:rPr>
        <w:t>בתוככם</w:t>
      </w:r>
      <w:r w:rsidRPr="00CC6F7E">
        <w:rPr>
          <w:rFonts w:eastAsia="Times New Roman" w:cs="Times New Roman"/>
          <w:rtl/>
          <w:lang w:eastAsia="de-DE"/>
        </w:rPr>
        <w:t xml:space="preserve"> </w:t>
      </w:r>
      <w:r w:rsidRPr="00CC6F7E">
        <w:rPr>
          <w:rFonts w:eastAsia="Times New Roman" w:cs="Times New Roman"/>
          <w:lang w:eastAsia="de-DE"/>
        </w:rPr>
        <w:t>entspricht V. 11 und zeigt göttliche Präsenz inmitten des Volkes.</w:t>
      </w:r>
    </w:p>
    <w:p w14:paraId="357D8D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והייתי לכם לאלהים ואתם תהיו־לי לעם</w:t>
      </w:r>
      <w:r w:rsidRPr="00CC6F7E">
        <w:rPr>
          <w:rFonts w:eastAsia="Times New Roman" w:cs="Times New Roman"/>
          <w:rtl/>
          <w:lang w:eastAsia="de-DE"/>
        </w:rPr>
        <w:t xml:space="preserve"> </w:t>
      </w:r>
      <w:r w:rsidRPr="00CC6F7E">
        <w:rPr>
          <w:rFonts w:eastAsia="Times New Roman" w:cs="Times New Roman"/>
          <w:lang w:eastAsia="de-DE"/>
        </w:rPr>
        <w:t xml:space="preserve">(und werde euer Gott sein, und ihr werdet mein Volk sein) zeigt die klassische Bundesformel - </w:t>
      </w:r>
      <w:r w:rsidRPr="00CC6F7E">
        <w:rPr>
          <w:rFonts w:eastAsia="Times New Roman" w:cs="Times New Roman"/>
          <w:b/>
          <w:bCs/>
          <w:rtl/>
          <w:lang w:eastAsia="de-DE"/>
        </w:rPr>
        <w:t>והייתי לכם לאלהים</w:t>
      </w:r>
      <w:r w:rsidRPr="00CC6F7E">
        <w:rPr>
          <w:rFonts w:eastAsia="Times New Roman" w:cs="Times New Roman"/>
          <w:rtl/>
          <w:lang w:eastAsia="de-DE"/>
        </w:rPr>
        <w:t xml:space="preserve"> </w:t>
      </w:r>
      <w:r w:rsidRPr="00CC6F7E">
        <w:rPr>
          <w:rFonts w:eastAsia="Times New Roman" w:cs="Times New Roman"/>
          <w:lang w:eastAsia="de-DE"/>
        </w:rPr>
        <w:t xml:space="preserve">(und ich werde euch zum Gott sein) und </w:t>
      </w:r>
      <w:r w:rsidRPr="00CC6F7E">
        <w:rPr>
          <w:rFonts w:eastAsia="Times New Roman" w:cs="Times New Roman"/>
          <w:b/>
          <w:bCs/>
          <w:rtl/>
          <w:lang w:eastAsia="de-DE"/>
        </w:rPr>
        <w:t>ואתם תהיו־לי לעם</w:t>
      </w:r>
      <w:r w:rsidRPr="00CC6F7E">
        <w:rPr>
          <w:rFonts w:eastAsia="Times New Roman" w:cs="Times New Roman"/>
          <w:rtl/>
          <w:lang w:eastAsia="de-DE"/>
        </w:rPr>
        <w:t xml:space="preserve"> </w:t>
      </w:r>
      <w:r w:rsidRPr="00CC6F7E">
        <w:rPr>
          <w:rFonts w:eastAsia="Times New Roman" w:cs="Times New Roman"/>
          <w:lang w:eastAsia="de-DE"/>
        </w:rPr>
        <w:t>(und ihr werdet mir zum Volk sein) als gegenseitige Bundesbeziehung.</w:t>
      </w:r>
    </w:p>
    <w:p w14:paraId="2C9B241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והתהלכתי בתוככם</w:t>
      </w:r>
      <w:r w:rsidRPr="00CC6F7E">
        <w:rPr>
          <w:rFonts w:eastAsia="Times New Roman" w:cs="Times New Roman"/>
          <w:rtl/>
          <w:lang w:eastAsia="de-DE"/>
        </w:rPr>
        <w:t xml:space="preserve"> </w:t>
      </w:r>
      <w:r w:rsidRPr="00CC6F7E">
        <w:rPr>
          <w:rFonts w:eastAsia="Times New Roman" w:cs="Times New Roman"/>
          <w:lang w:eastAsia="de-DE"/>
        </w:rPr>
        <w:t xml:space="preserve">zeigt dynamische göttliche Gegenwart. </w:t>
      </w:r>
      <w:r w:rsidRPr="00CC6F7E">
        <w:rPr>
          <w:rFonts w:eastAsia="Times New Roman" w:cs="Times New Roman"/>
          <w:b/>
          <w:bCs/>
          <w:rtl/>
          <w:lang w:eastAsia="de-DE"/>
        </w:rPr>
        <w:t>לאלהים...לעם</w:t>
      </w:r>
      <w:r w:rsidRPr="00CC6F7E">
        <w:rPr>
          <w:rFonts w:eastAsia="Times New Roman" w:cs="Times New Roman"/>
          <w:rtl/>
          <w:lang w:eastAsia="de-DE"/>
        </w:rPr>
        <w:t xml:space="preserve"> </w:t>
      </w:r>
      <w:r w:rsidRPr="00CC6F7E">
        <w:rPr>
          <w:rFonts w:eastAsia="Times New Roman" w:cs="Times New Roman"/>
          <w:lang w:eastAsia="de-DE"/>
        </w:rPr>
        <w:t>als Bundesformel zeigt exklusive Zugehörigkeitsbeziehung.</w:t>
      </w:r>
    </w:p>
    <w:p w14:paraId="56C56E8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והתהלכתי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ἐμ</w:t>
      </w:r>
      <w:proofErr w:type="spellEnd"/>
      <w:r w:rsidRPr="00CC6F7E">
        <w:rPr>
          <w:rFonts w:eastAsia="Times New Roman" w:cs="Times New Roman"/>
          <w:lang w:eastAsia="de-DE"/>
        </w:rPr>
        <w:t xml:space="preserve">περιπατήσω (werde ich umherwandeln), </w:t>
      </w:r>
      <w:r w:rsidRPr="00CC6F7E">
        <w:rPr>
          <w:rFonts w:eastAsia="Times New Roman" w:cs="Times New Roman"/>
          <w:b/>
          <w:bCs/>
          <w:rtl/>
          <w:lang w:eastAsia="de-DE"/>
        </w:rPr>
        <w:t>בתוככם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ὑμῖν</w:t>
      </w:r>
      <w:proofErr w:type="spellEnd"/>
      <w:r w:rsidRPr="00CC6F7E">
        <w:rPr>
          <w:rFonts w:eastAsia="Times New Roman" w:cs="Times New Roman"/>
          <w:lang w:eastAsia="de-DE"/>
        </w:rPr>
        <w:t xml:space="preserve"> (in euch), </w:t>
      </w:r>
      <w:r w:rsidRPr="00CC6F7E">
        <w:rPr>
          <w:rFonts w:eastAsia="Times New Roman" w:cs="Times New Roman"/>
          <w:b/>
          <w:bCs/>
          <w:rtl/>
          <w:lang w:eastAsia="de-DE"/>
        </w:rPr>
        <w:t>לאלהים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θεός</w:t>
      </w:r>
      <w:proofErr w:type="spellEnd"/>
      <w:r w:rsidRPr="00CC6F7E">
        <w:rPr>
          <w:rFonts w:eastAsia="Times New Roman" w:cs="Times New Roman"/>
          <w:lang w:eastAsia="de-DE"/>
        </w:rPr>
        <w:t xml:space="preserve"> (Gott) und </w:t>
      </w:r>
      <w:r w:rsidRPr="00CC6F7E">
        <w:rPr>
          <w:rFonts w:eastAsia="Times New Roman" w:cs="Times New Roman"/>
          <w:b/>
          <w:bCs/>
          <w:rtl/>
          <w:lang w:eastAsia="de-DE"/>
        </w:rPr>
        <w:t>לעם</w:t>
      </w:r>
      <w:r w:rsidRPr="00CC6F7E">
        <w:rPr>
          <w:rFonts w:eastAsia="Times New Roman" w:cs="Times New Roman"/>
          <w:rtl/>
          <w:lang w:eastAsia="de-DE"/>
        </w:rPr>
        <w:t xml:space="preserve"> </w:t>
      </w:r>
      <w:r w:rsidRPr="00CC6F7E">
        <w:rPr>
          <w:rFonts w:eastAsia="Times New Roman" w:cs="Times New Roman"/>
          <w:lang w:eastAsia="de-DE"/>
        </w:rPr>
        <w:t>mit λα</w:t>
      </w:r>
      <w:proofErr w:type="spellStart"/>
      <w:r w:rsidRPr="00CC6F7E">
        <w:rPr>
          <w:rFonts w:eastAsia="Times New Roman" w:cs="Times New Roman"/>
          <w:lang w:eastAsia="de-DE"/>
        </w:rPr>
        <w:t>ός</w:t>
      </w:r>
      <w:proofErr w:type="spellEnd"/>
      <w:r w:rsidRPr="00CC6F7E">
        <w:rPr>
          <w:rFonts w:eastAsia="Times New Roman" w:cs="Times New Roman"/>
          <w:lang w:eastAsia="de-DE"/>
        </w:rPr>
        <w:t xml:space="preserve"> (Volk).</w:t>
      </w:r>
    </w:p>
    <w:p w14:paraId="6F2E5D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vollendete Bundesgemeinschafts-Verheißung: in eurer Mitte wandeln + euer Gott sein + ihr mein Volk sein.</w:t>
      </w:r>
    </w:p>
    <w:p w14:paraId="60BB63A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Vollendung des Segens: JHWH wandelt persönlich inmitten seines Volkes in vollkommener Bundesbeziehung.</w:t>
      </w:r>
    </w:p>
    <w:p w14:paraId="7805CC3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26,13</w:t>
      </w:r>
    </w:p>
    <w:p w14:paraId="117732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אֲנִ֞י יְהוָ֣ה אֱלֹֽהֵיכֶ֗ם אֲשֶׁ֨ר הוֹצֵ֤אתִי אֶתְכֶם֙ מֵאֶ֣רֶץ מִצְרַ֔יִם מִֽהְיֹ֥ת לָהֶ֖ם עֲבָדִ֑ים וָאֶשְׁבֹּר֙ מֹטֹ֣ת עֻלְּכֶ֔ם וָאוֹלֵ֥ךְ אֶתְכֶ֖ם קֽוֹמְמִיּֽוּת׃</w:t>
      </w:r>
    </w:p>
    <w:p w14:paraId="24D6ED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Ich bin der Ewige, euer Gott, der ich euch aus dem Land Mizrajim herausgeführt habe, damit ihr nicht ihre Knechte sein solltet; und ich habe die Stangen eures Jochs zerbrochen und euch aufrecht gehen lassen.</w:t>
      </w:r>
    </w:p>
    <w:p w14:paraId="6456705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A6A61D2">
          <v:rect id="_x0000_i1816" style="width:0;height:1.5pt" o:hralign="center" o:hrstd="t" o:hr="t" fillcolor="#a0a0a0" stroked="f"/>
        </w:pict>
      </w:r>
    </w:p>
    <w:p w14:paraId="632026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אני יהוה אלהיכם אשר הוצאתי אתכם מארץ מצרים מהיות להם עבדים ואשבר מטת עלכם ואולך אתכם קוממיות</w:t>
      </w:r>
      <w:r w:rsidRPr="00CC6F7E">
        <w:rPr>
          <w:rFonts w:eastAsia="Times New Roman" w:cs="Times New Roman"/>
          <w:rtl/>
          <w:lang w:eastAsia="de-DE"/>
        </w:rPr>
        <w:t xml:space="preserve"> </w:t>
      </w:r>
      <w:r w:rsidRPr="00CC6F7E">
        <w:rPr>
          <w:rFonts w:eastAsia="Times New Roman" w:cs="Times New Roman"/>
          <w:lang w:eastAsia="de-DE"/>
        </w:rPr>
        <w:t xml:space="preserve">begründet die Segens-Verheißungen durch den Exodus. </w:t>
      </w:r>
      <w:r w:rsidRPr="00CC6F7E">
        <w:rPr>
          <w:rFonts w:eastAsia="Times New Roman" w:cs="Times New Roman"/>
          <w:b/>
          <w:bCs/>
          <w:rtl/>
          <w:lang w:eastAsia="de-DE"/>
        </w:rPr>
        <w:t>אני יהוה אלהיכם</w:t>
      </w:r>
      <w:r w:rsidRPr="00CC6F7E">
        <w:rPr>
          <w:rFonts w:eastAsia="Times New Roman" w:cs="Times New Roman"/>
          <w:rtl/>
          <w:lang w:eastAsia="de-DE"/>
        </w:rPr>
        <w:t xml:space="preserve"> </w:t>
      </w:r>
      <w:r w:rsidRPr="00CC6F7E">
        <w:rPr>
          <w:rFonts w:eastAsia="Times New Roman" w:cs="Times New Roman"/>
          <w:lang w:eastAsia="de-DE"/>
        </w:rPr>
        <w:t xml:space="preserve">(ich bin der Ewige, euer Gott) als Bundesidentitätsformel. </w:t>
      </w:r>
      <w:r w:rsidRPr="00CC6F7E">
        <w:rPr>
          <w:rFonts w:eastAsia="Times New Roman" w:cs="Times New Roman"/>
          <w:b/>
          <w:bCs/>
          <w:rtl/>
          <w:lang w:eastAsia="de-DE"/>
        </w:rPr>
        <w:t>אשר הוצאתי אתכם מארץ מצרים</w:t>
      </w:r>
      <w:r w:rsidRPr="00CC6F7E">
        <w:rPr>
          <w:rFonts w:eastAsia="Times New Roman" w:cs="Times New Roman"/>
          <w:rtl/>
          <w:lang w:eastAsia="de-DE"/>
        </w:rPr>
        <w:t xml:space="preserve"> </w:t>
      </w:r>
      <w:r w:rsidRPr="00CC6F7E">
        <w:rPr>
          <w:rFonts w:eastAsia="Times New Roman" w:cs="Times New Roman"/>
          <w:lang w:eastAsia="de-DE"/>
        </w:rPr>
        <w:t>(der ich euch aus dem Land Mizrajim herausgeführt habe) entspricht der klassischen Exodus-Formel.</w:t>
      </w:r>
    </w:p>
    <w:p w14:paraId="63664AA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מהיות להם עבדים</w:t>
      </w:r>
      <w:r w:rsidRPr="00CC6F7E">
        <w:rPr>
          <w:rFonts w:eastAsia="Times New Roman" w:cs="Times New Roman"/>
          <w:rtl/>
          <w:lang w:eastAsia="de-DE"/>
        </w:rPr>
        <w:t xml:space="preserve"> </w:t>
      </w:r>
      <w:r w:rsidRPr="00CC6F7E">
        <w:rPr>
          <w:rFonts w:eastAsia="Times New Roman" w:cs="Times New Roman"/>
          <w:lang w:eastAsia="de-DE"/>
        </w:rPr>
        <w:t xml:space="preserve">(damit ihr nicht ihre Knechte sein solltet) - </w:t>
      </w:r>
      <w:r w:rsidRPr="00CC6F7E">
        <w:rPr>
          <w:rFonts w:eastAsia="Times New Roman" w:cs="Times New Roman"/>
          <w:b/>
          <w:bCs/>
          <w:rtl/>
          <w:lang w:eastAsia="de-DE"/>
        </w:rPr>
        <w:t>מהיות</w:t>
      </w:r>
      <w:r w:rsidRPr="00CC6F7E">
        <w:rPr>
          <w:rFonts w:eastAsia="Times New Roman" w:cs="Times New Roman"/>
          <w:rtl/>
          <w:lang w:eastAsia="de-DE"/>
        </w:rPr>
        <w:t xml:space="preserve"> </w:t>
      </w:r>
      <w:r w:rsidRPr="00CC6F7E">
        <w:rPr>
          <w:rFonts w:eastAsia="Times New Roman" w:cs="Times New Roman"/>
          <w:lang w:eastAsia="de-DE"/>
        </w:rPr>
        <w:t xml:space="preserve">(vom Sein) zeigt den Zweck der Befreiung aus der </w:t>
      </w:r>
      <w:r w:rsidRPr="00CC6F7E">
        <w:rPr>
          <w:rFonts w:eastAsia="Times New Roman" w:cs="Times New Roman"/>
          <w:b/>
          <w:bCs/>
          <w:rtl/>
          <w:lang w:eastAsia="de-DE"/>
        </w:rPr>
        <w:t>עבדים</w:t>
      </w:r>
      <w:r w:rsidRPr="00CC6F7E">
        <w:rPr>
          <w:rFonts w:eastAsia="Times New Roman" w:cs="Times New Roman"/>
          <w:lang w:eastAsia="de-DE"/>
        </w:rPr>
        <w:t>-Stellung (Knechtschaft).</w:t>
      </w:r>
    </w:p>
    <w:p w14:paraId="664A66C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ואשבר מטת עלכם</w:t>
      </w:r>
      <w:r w:rsidRPr="00CC6F7E">
        <w:rPr>
          <w:rFonts w:eastAsia="Times New Roman" w:cs="Times New Roman"/>
          <w:rtl/>
          <w:lang w:eastAsia="de-DE"/>
        </w:rPr>
        <w:t xml:space="preserve"> </w:t>
      </w:r>
      <w:r w:rsidRPr="00CC6F7E">
        <w:rPr>
          <w:rFonts w:eastAsia="Times New Roman" w:cs="Times New Roman"/>
          <w:lang w:eastAsia="de-DE"/>
        </w:rPr>
        <w:t xml:space="preserve">(und ich habe die Stangen eures Jochs zerbrochen) - </w:t>
      </w:r>
      <w:r w:rsidRPr="00CC6F7E">
        <w:rPr>
          <w:rFonts w:eastAsia="Times New Roman" w:cs="Times New Roman"/>
          <w:b/>
          <w:bCs/>
          <w:rtl/>
          <w:lang w:eastAsia="de-DE"/>
        </w:rPr>
        <w:t>ואשבר</w:t>
      </w:r>
      <w:r w:rsidRPr="00CC6F7E">
        <w:rPr>
          <w:rFonts w:eastAsia="Times New Roman" w:cs="Times New Roman"/>
          <w:rtl/>
          <w:lang w:eastAsia="de-DE"/>
        </w:rPr>
        <w:t xml:space="preserve"> </w:t>
      </w:r>
      <w:r w:rsidRPr="00CC6F7E">
        <w:rPr>
          <w:rFonts w:eastAsia="Times New Roman" w:cs="Times New Roman"/>
          <w:lang w:eastAsia="de-DE"/>
        </w:rPr>
        <w:t xml:space="preserve">(und ich habe zerbrochen) im Qal-Imperfekt mit Waw-Konsekutiv von </w:t>
      </w:r>
      <w:r w:rsidRPr="00CC6F7E">
        <w:rPr>
          <w:rFonts w:eastAsia="Times New Roman" w:cs="Times New Roman"/>
          <w:b/>
          <w:bCs/>
          <w:rtl/>
          <w:lang w:eastAsia="de-DE"/>
        </w:rPr>
        <w:t>שבר</w:t>
      </w:r>
      <w:r w:rsidRPr="00CC6F7E">
        <w:rPr>
          <w:rFonts w:eastAsia="Times New Roman" w:cs="Times New Roman"/>
          <w:lang w:eastAsia="de-DE"/>
        </w:rPr>
        <w:t xml:space="preserve">. </w:t>
      </w:r>
      <w:r w:rsidRPr="00CC6F7E">
        <w:rPr>
          <w:rFonts w:eastAsia="Times New Roman" w:cs="Times New Roman"/>
          <w:b/>
          <w:bCs/>
          <w:rtl/>
          <w:lang w:eastAsia="de-DE"/>
        </w:rPr>
        <w:t>מטת עלכם</w:t>
      </w:r>
      <w:r w:rsidRPr="00CC6F7E">
        <w:rPr>
          <w:rFonts w:eastAsia="Times New Roman" w:cs="Times New Roman"/>
          <w:rtl/>
          <w:lang w:eastAsia="de-DE"/>
        </w:rPr>
        <w:t xml:space="preserve"> </w:t>
      </w:r>
      <w:r w:rsidRPr="00CC6F7E">
        <w:rPr>
          <w:rFonts w:eastAsia="Times New Roman" w:cs="Times New Roman"/>
          <w:lang w:eastAsia="de-DE"/>
        </w:rPr>
        <w:t xml:space="preserve">(Stangen eures Jochs) - </w:t>
      </w:r>
      <w:r w:rsidRPr="00CC6F7E">
        <w:rPr>
          <w:rFonts w:eastAsia="Times New Roman" w:cs="Times New Roman"/>
          <w:b/>
          <w:bCs/>
          <w:rtl/>
          <w:lang w:eastAsia="de-DE"/>
        </w:rPr>
        <w:t>מטה</w:t>
      </w:r>
      <w:r w:rsidRPr="00CC6F7E">
        <w:rPr>
          <w:rFonts w:eastAsia="Times New Roman" w:cs="Times New Roman"/>
          <w:rtl/>
          <w:lang w:eastAsia="de-DE"/>
        </w:rPr>
        <w:t xml:space="preserve"> </w:t>
      </w:r>
      <w:r w:rsidRPr="00CC6F7E">
        <w:rPr>
          <w:rFonts w:eastAsia="Times New Roman" w:cs="Times New Roman"/>
          <w:lang w:eastAsia="de-DE"/>
        </w:rPr>
        <w:t xml:space="preserve">(Stab/Stange) und </w:t>
      </w:r>
      <w:r w:rsidRPr="00CC6F7E">
        <w:rPr>
          <w:rFonts w:eastAsia="Times New Roman" w:cs="Times New Roman"/>
          <w:b/>
          <w:bCs/>
          <w:rtl/>
          <w:lang w:eastAsia="de-DE"/>
        </w:rPr>
        <w:t>על</w:t>
      </w:r>
      <w:r w:rsidRPr="00CC6F7E">
        <w:rPr>
          <w:rFonts w:eastAsia="Times New Roman" w:cs="Times New Roman"/>
          <w:rtl/>
          <w:lang w:eastAsia="de-DE"/>
        </w:rPr>
        <w:t xml:space="preserve"> </w:t>
      </w:r>
      <w:r w:rsidRPr="00CC6F7E">
        <w:rPr>
          <w:rFonts w:eastAsia="Times New Roman" w:cs="Times New Roman"/>
          <w:lang w:eastAsia="de-DE"/>
        </w:rPr>
        <w:t>(Joch) zeigen das Unterjochungs-Symbol.</w:t>
      </w:r>
    </w:p>
    <w:p w14:paraId="4F56653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ואולך אתכם קוממיות</w:t>
      </w:r>
      <w:r w:rsidRPr="00CC6F7E">
        <w:rPr>
          <w:rFonts w:eastAsia="Times New Roman" w:cs="Times New Roman"/>
          <w:rtl/>
          <w:lang w:eastAsia="de-DE"/>
        </w:rPr>
        <w:t xml:space="preserve"> </w:t>
      </w:r>
      <w:r w:rsidRPr="00CC6F7E">
        <w:rPr>
          <w:rFonts w:eastAsia="Times New Roman" w:cs="Times New Roman"/>
          <w:lang w:eastAsia="de-DE"/>
        </w:rPr>
        <w:t xml:space="preserve">(und euch aufrecht gehen lassen) - </w:t>
      </w:r>
      <w:r w:rsidRPr="00CC6F7E">
        <w:rPr>
          <w:rFonts w:eastAsia="Times New Roman" w:cs="Times New Roman"/>
          <w:b/>
          <w:bCs/>
          <w:rtl/>
          <w:lang w:eastAsia="de-DE"/>
        </w:rPr>
        <w:t>ואולך</w:t>
      </w:r>
      <w:r w:rsidRPr="00CC6F7E">
        <w:rPr>
          <w:rFonts w:eastAsia="Times New Roman" w:cs="Times New Roman"/>
          <w:rtl/>
          <w:lang w:eastAsia="de-DE"/>
        </w:rPr>
        <w:t xml:space="preserve"> </w:t>
      </w:r>
      <w:r w:rsidRPr="00CC6F7E">
        <w:rPr>
          <w:rFonts w:eastAsia="Times New Roman" w:cs="Times New Roman"/>
          <w:lang w:eastAsia="de-DE"/>
        </w:rPr>
        <w:t xml:space="preserve">(und ich ließ gehen) im Hifil-Imperfekt von </w:t>
      </w:r>
      <w:r w:rsidRPr="00CC6F7E">
        <w:rPr>
          <w:rFonts w:eastAsia="Times New Roman" w:cs="Times New Roman"/>
          <w:b/>
          <w:bCs/>
          <w:rtl/>
          <w:lang w:eastAsia="de-DE"/>
        </w:rPr>
        <w:t>הלך</w:t>
      </w:r>
      <w:r w:rsidRPr="00CC6F7E">
        <w:rPr>
          <w:rFonts w:eastAsia="Times New Roman" w:cs="Times New Roman"/>
          <w:lang w:eastAsia="de-DE"/>
        </w:rPr>
        <w:t xml:space="preserve">. </w:t>
      </w:r>
      <w:r w:rsidRPr="00CC6F7E">
        <w:rPr>
          <w:rFonts w:eastAsia="Times New Roman" w:cs="Times New Roman"/>
          <w:b/>
          <w:bCs/>
          <w:rtl/>
          <w:lang w:eastAsia="de-DE"/>
        </w:rPr>
        <w:t>קוממיות</w:t>
      </w:r>
      <w:r w:rsidRPr="00CC6F7E">
        <w:rPr>
          <w:rFonts w:eastAsia="Times New Roman" w:cs="Times New Roman"/>
          <w:rtl/>
          <w:lang w:eastAsia="de-DE"/>
        </w:rPr>
        <w:t xml:space="preserve"> </w:t>
      </w:r>
      <w:r w:rsidRPr="00CC6F7E">
        <w:rPr>
          <w:rFonts w:eastAsia="Times New Roman" w:cs="Times New Roman"/>
          <w:lang w:eastAsia="de-DE"/>
        </w:rPr>
        <w:t xml:space="preserve">(aufrecht) von </w:t>
      </w:r>
      <w:r w:rsidRPr="00CC6F7E">
        <w:rPr>
          <w:rFonts w:eastAsia="Times New Roman" w:cs="Times New Roman"/>
          <w:b/>
          <w:bCs/>
          <w:rtl/>
          <w:lang w:eastAsia="de-DE"/>
        </w:rPr>
        <w:t>קום</w:t>
      </w:r>
      <w:r w:rsidRPr="00CC6F7E">
        <w:rPr>
          <w:rFonts w:eastAsia="Times New Roman" w:cs="Times New Roman"/>
          <w:rtl/>
          <w:lang w:eastAsia="de-DE"/>
        </w:rPr>
        <w:t xml:space="preserve"> </w:t>
      </w:r>
      <w:r w:rsidRPr="00CC6F7E">
        <w:rPr>
          <w:rFonts w:eastAsia="Times New Roman" w:cs="Times New Roman"/>
          <w:lang w:eastAsia="de-DE"/>
        </w:rPr>
        <w:t>zeigt aufrechte Haltung vs. gebeugter Sklavenhaltung.</w:t>
      </w:r>
    </w:p>
    <w:p w14:paraId="4074F4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הוצאתי אתכם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als Exodus-Begründung. </w:t>
      </w:r>
      <w:r w:rsidRPr="00CC6F7E">
        <w:rPr>
          <w:rFonts w:eastAsia="Times New Roman" w:cs="Times New Roman"/>
          <w:b/>
          <w:bCs/>
          <w:rtl/>
          <w:lang w:eastAsia="de-DE"/>
        </w:rPr>
        <w:t>מטת עלכם</w:t>
      </w:r>
      <w:r w:rsidRPr="00CC6F7E">
        <w:rPr>
          <w:rFonts w:eastAsia="Times New Roman" w:cs="Times New Roman"/>
          <w:rtl/>
          <w:lang w:eastAsia="de-DE"/>
        </w:rPr>
        <w:t xml:space="preserve"> </w:t>
      </w:r>
      <w:r w:rsidRPr="00CC6F7E">
        <w:rPr>
          <w:rFonts w:eastAsia="Times New Roman" w:cs="Times New Roman"/>
          <w:lang w:eastAsia="de-DE"/>
        </w:rPr>
        <w:t xml:space="preserve">zeigt Sklavenjoch-Zerbrechung. </w:t>
      </w:r>
      <w:r w:rsidRPr="00CC6F7E">
        <w:rPr>
          <w:rFonts w:eastAsia="Times New Roman" w:cs="Times New Roman"/>
          <w:b/>
          <w:bCs/>
          <w:rtl/>
          <w:lang w:eastAsia="de-DE"/>
        </w:rPr>
        <w:t>קוממיות</w:t>
      </w:r>
      <w:r w:rsidRPr="00CC6F7E">
        <w:rPr>
          <w:rFonts w:eastAsia="Times New Roman" w:cs="Times New Roman"/>
          <w:rtl/>
          <w:lang w:eastAsia="de-DE"/>
        </w:rPr>
        <w:t xml:space="preserve"> </w:t>
      </w:r>
      <w:r w:rsidRPr="00CC6F7E">
        <w:rPr>
          <w:rFonts w:eastAsia="Times New Roman" w:cs="Times New Roman"/>
          <w:lang w:eastAsia="de-DE"/>
        </w:rPr>
        <w:t>zeigt Befreiung zur Würde.</w:t>
      </w:r>
    </w:p>
    <w:p w14:paraId="61DF1FF4" w14:textId="69D0D85A"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מטת עלכם</w:t>
      </w:r>
      <w:r w:rsidR="00274C29">
        <w:t xml:space="preserve"> (</w:t>
      </w:r>
      <w:proofErr w:type="spellStart"/>
      <w:r w:rsidR="00274C29">
        <w:t>motot</w:t>
      </w:r>
      <w:proofErr w:type="spellEnd"/>
      <w:r w:rsidR="00274C29">
        <w:t xml:space="preserve"> </w:t>
      </w:r>
      <w:proofErr w:type="spellStart"/>
      <w:r w:rsidR="00274C29">
        <w:t>ullchem</w:t>
      </w:r>
      <w:proofErr w:type="spellEnd"/>
      <w:r w:rsidR="00274C29">
        <w:t xml:space="preserve"> - "Stäbe eures Jochs") als </w:t>
      </w:r>
      <w:proofErr w:type="spellStart"/>
      <w:r w:rsidR="00274C29">
        <w:t>ζυγὸν</w:t>
      </w:r>
      <w:proofErr w:type="spellEnd"/>
      <w:r w:rsidR="00274C29">
        <w:t xml:space="preserve"> </w:t>
      </w:r>
      <w:proofErr w:type="spellStart"/>
      <w:r w:rsidR="00274C29">
        <w:t>τοῦ</w:t>
      </w:r>
      <w:proofErr w:type="spellEnd"/>
      <w:r w:rsidR="00274C29">
        <w:t xml:space="preserve"> α</w:t>
      </w:r>
      <w:proofErr w:type="spellStart"/>
      <w:r w:rsidR="00274C29">
        <w:t>ὐχένος</w:t>
      </w:r>
      <w:proofErr w:type="spellEnd"/>
      <w:r w:rsidR="00274C29">
        <w:t xml:space="preserve"> </w:t>
      </w:r>
      <w:proofErr w:type="spellStart"/>
      <w:r w:rsidR="00274C29">
        <w:t>ὑμῶν</w:t>
      </w:r>
      <w:proofErr w:type="spellEnd"/>
      <w:r w:rsidR="00274C29">
        <w:t xml:space="preserve"> (Joch eures Nackens) und </w:t>
      </w:r>
      <w:r w:rsidR="00274C29">
        <w:rPr>
          <w:rtl/>
        </w:rPr>
        <w:t>קוממיות</w:t>
      </w:r>
      <w:r w:rsidR="00274C29">
        <w:t xml:space="preserve"> (</w:t>
      </w:r>
      <w:proofErr w:type="spellStart"/>
      <w:r w:rsidR="00274C29">
        <w:t>qomemiut</w:t>
      </w:r>
      <w:proofErr w:type="spellEnd"/>
      <w:r w:rsidR="00274C29">
        <w:t xml:space="preserve"> - "aufrecht") als </w:t>
      </w:r>
      <w:proofErr w:type="spellStart"/>
      <w:r w:rsidR="00274C29">
        <w:t>ὀρθίους</w:t>
      </w:r>
      <w:proofErr w:type="spellEnd"/>
      <w:r w:rsidR="00274C29">
        <w:t xml:space="preserve"> (aufrecht stehend).</w:t>
      </w:r>
    </w:p>
    <w:p w14:paraId="47D9AD2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Exodus-Begründung der Segens-Verheißungen: JHWH euer Gott + Exodus-Herausführung + von Knechtschaft befreit + Joch zerbrochen + aufrecht gehen lassen.</w:t>
      </w:r>
    </w:p>
    <w:p w14:paraId="04D599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begründet alle Segens-Verheißungen durch den Exodus: Wer Israel aus Ägypten befreite, wird auch alle verheißenen Segnungen gewähren.</w:t>
      </w:r>
    </w:p>
    <w:p w14:paraId="117CE9E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26,14</w:t>
      </w:r>
    </w:p>
    <w:p w14:paraId="002576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וְאִם־לֹ֥א תִשְׁמְע֖וּ לִ֑י וְלֹ֣א תַעֲשׂ֔וּ אֵ֥ת כָּל־הַמִּצְוֹ֖ת הָאֵֽלֶּה׃</w:t>
      </w:r>
    </w:p>
    <w:p w14:paraId="38340FA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ihr mir aber nicht gehorcht und nicht alle diese Gebote tut,</w:t>
      </w:r>
    </w:p>
    <w:p w14:paraId="4048D840"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E379EA4">
          <v:rect id="_x0000_i1817" style="width:0;height:1.5pt" o:hralign="center" o:hrstd="t" o:hr="t" fillcolor="#a0a0a0" stroked="f"/>
        </w:pict>
      </w:r>
    </w:p>
    <w:p w14:paraId="459CF7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ואם־לא תשמעו לי ולא תעשו את כל־המצות האלה</w:t>
      </w:r>
      <w:r w:rsidRPr="00CC6F7E">
        <w:rPr>
          <w:rFonts w:eastAsia="Times New Roman" w:cs="Times New Roman"/>
          <w:rtl/>
          <w:lang w:eastAsia="de-DE"/>
        </w:rPr>
        <w:t xml:space="preserve"> </w:t>
      </w:r>
      <w:r w:rsidRPr="00CC6F7E">
        <w:rPr>
          <w:rFonts w:eastAsia="Times New Roman" w:cs="Times New Roman"/>
          <w:lang w:eastAsia="de-DE"/>
        </w:rPr>
        <w:t xml:space="preserve">leitet die Fluch-Sektion ein als Gegensatz zu V. 3. </w:t>
      </w:r>
      <w:r w:rsidRPr="00CC6F7E">
        <w:rPr>
          <w:rFonts w:eastAsia="Times New Roman" w:cs="Times New Roman"/>
          <w:b/>
          <w:bCs/>
          <w:rtl/>
          <w:lang w:eastAsia="de-DE"/>
        </w:rPr>
        <w:t>ואם־לא תשמעו לי</w:t>
      </w:r>
      <w:r w:rsidRPr="00CC6F7E">
        <w:rPr>
          <w:rFonts w:eastAsia="Times New Roman" w:cs="Times New Roman"/>
          <w:rtl/>
          <w:lang w:eastAsia="de-DE"/>
        </w:rPr>
        <w:t xml:space="preserve"> </w:t>
      </w:r>
      <w:r w:rsidRPr="00CC6F7E">
        <w:rPr>
          <w:rFonts w:eastAsia="Times New Roman" w:cs="Times New Roman"/>
          <w:lang w:eastAsia="de-DE"/>
        </w:rPr>
        <w:t xml:space="preserve">(wenn ihr mir aber nicht gehorcht) - </w:t>
      </w:r>
      <w:r w:rsidRPr="00CC6F7E">
        <w:rPr>
          <w:rFonts w:eastAsia="Times New Roman" w:cs="Times New Roman"/>
          <w:b/>
          <w:bCs/>
          <w:rtl/>
          <w:lang w:eastAsia="de-DE"/>
        </w:rPr>
        <w:t>ואם־לא</w:t>
      </w:r>
      <w:r w:rsidRPr="00CC6F7E">
        <w:rPr>
          <w:rFonts w:eastAsia="Times New Roman" w:cs="Times New Roman"/>
          <w:rtl/>
          <w:lang w:eastAsia="de-DE"/>
        </w:rPr>
        <w:t xml:space="preserve"> </w:t>
      </w:r>
      <w:r w:rsidRPr="00CC6F7E">
        <w:rPr>
          <w:rFonts w:eastAsia="Times New Roman" w:cs="Times New Roman"/>
          <w:lang w:eastAsia="de-DE"/>
        </w:rPr>
        <w:t xml:space="preserve">zeigt die negative Bedingung im Gegensatz zu </w:t>
      </w:r>
      <w:r w:rsidRPr="00CC6F7E">
        <w:rPr>
          <w:rFonts w:eastAsia="Times New Roman" w:cs="Times New Roman"/>
          <w:b/>
          <w:bCs/>
          <w:rtl/>
          <w:lang w:eastAsia="de-DE"/>
        </w:rPr>
        <w:t>אם</w:t>
      </w:r>
      <w:r w:rsidRPr="00CC6F7E">
        <w:rPr>
          <w:rFonts w:eastAsia="Times New Roman" w:cs="Times New Roman"/>
          <w:rtl/>
          <w:lang w:eastAsia="de-DE"/>
        </w:rPr>
        <w:t xml:space="preserve"> </w:t>
      </w:r>
      <w:r w:rsidRPr="00CC6F7E">
        <w:rPr>
          <w:rFonts w:eastAsia="Times New Roman" w:cs="Times New Roman"/>
          <w:lang w:eastAsia="de-DE"/>
        </w:rPr>
        <w:t xml:space="preserve">(V. 3). </w:t>
      </w:r>
      <w:r w:rsidRPr="00CC6F7E">
        <w:rPr>
          <w:rFonts w:eastAsia="Times New Roman" w:cs="Times New Roman"/>
          <w:b/>
          <w:bCs/>
          <w:rtl/>
          <w:lang w:eastAsia="de-DE"/>
        </w:rPr>
        <w:t>תשמעו לי</w:t>
      </w:r>
      <w:r w:rsidRPr="00CC6F7E">
        <w:rPr>
          <w:rFonts w:eastAsia="Times New Roman" w:cs="Times New Roman"/>
          <w:rtl/>
          <w:lang w:eastAsia="de-DE"/>
        </w:rPr>
        <w:t xml:space="preserve"> </w:t>
      </w:r>
      <w:r w:rsidRPr="00CC6F7E">
        <w:rPr>
          <w:rFonts w:eastAsia="Times New Roman" w:cs="Times New Roman"/>
          <w:lang w:eastAsia="de-DE"/>
        </w:rPr>
        <w:t>(ihr gehorcht mir) zeigt direkte persönliche Gehorsamsverweigerung gegenüber JHWH.</w:t>
      </w:r>
    </w:p>
    <w:p w14:paraId="31BD90F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 תעשו את כל־המצות האלה</w:t>
      </w:r>
      <w:r w:rsidRPr="00CC6F7E">
        <w:rPr>
          <w:rFonts w:eastAsia="Times New Roman" w:cs="Times New Roman"/>
          <w:rtl/>
          <w:lang w:eastAsia="de-DE"/>
        </w:rPr>
        <w:t xml:space="preserve"> </w:t>
      </w:r>
      <w:r w:rsidRPr="00CC6F7E">
        <w:rPr>
          <w:rFonts w:eastAsia="Times New Roman" w:cs="Times New Roman"/>
          <w:lang w:eastAsia="de-DE"/>
        </w:rPr>
        <w:t xml:space="preserve">(und nicht alle diese Gebote tut) entspricht der Negation von V. 3 - </w:t>
      </w:r>
      <w:r w:rsidRPr="00CC6F7E">
        <w:rPr>
          <w:rFonts w:eastAsia="Times New Roman" w:cs="Times New Roman"/>
          <w:b/>
          <w:bCs/>
          <w:rtl/>
          <w:lang w:eastAsia="de-DE"/>
        </w:rPr>
        <w:t>לא תעשו</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ועשיתם אתם</w:t>
      </w:r>
      <w:r w:rsidRPr="00CC6F7E">
        <w:rPr>
          <w:rFonts w:eastAsia="Times New Roman" w:cs="Times New Roman"/>
          <w:lang w:eastAsia="de-DE"/>
        </w:rPr>
        <w:t xml:space="preserve">. </w:t>
      </w:r>
      <w:r w:rsidRPr="00CC6F7E">
        <w:rPr>
          <w:rFonts w:eastAsia="Times New Roman" w:cs="Times New Roman"/>
          <w:b/>
          <w:bCs/>
          <w:rtl/>
          <w:lang w:eastAsia="de-DE"/>
        </w:rPr>
        <w:t>את כל־המצות האלה</w:t>
      </w:r>
      <w:r w:rsidRPr="00CC6F7E">
        <w:rPr>
          <w:rFonts w:eastAsia="Times New Roman" w:cs="Times New Roman"/>
          <w:rtl/>
          <w:lang w:eastAsia="de-DE"/>
        </w:rPr>
        <w:t xml:space="preserve"> </w:t>
      </w:r>
      <w:r w:rsidRPr="00CC6F7E">
        <w:rPr>
          <w:rFonts w:eastAsia="Times New Roman" w:cs="Times New Roman"/>
          <w:lang w:eastAsia="de-DE"/>
        </w:rPr>
        <w:t>(alle diese Gebote) zeigt die Gesamtheit der Sinai-Gesetzgebung.</w:t>
      </w:r>
    </w:p>
    <w:p w14:paraId="506F7A9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תשמעו לי</w:t>
      </w:r>
      <w:r w:rsidRPr="00CC6F7E">
        <w:rPr>
          <w:rFonts w:eastAsia="Times New Roman" w:cs="Times New Roman"/>
          <w:rtl/>
          <w:lang w:eastAsia="de-DE"/>
        </w:rPr>
        <w:t xml:space="preserve"> </w:t>
      </w:r>
      <w:r w:rsidRPr="00CC6F7E">
        <w:rPr>
          <w:rFonts w:eastAsia="Times New Roman" w:cs="Times New Roman"/>
          <w:lang w:eastAsia="de-DE"/>
        </w:rPr>
        <w:t xml:space="preserve">zeigt persönliche Gehorsamsverweigerung. </w:t>
      </w:r>
      <w:r w:rsidRPr="00CC6F7E">
        <w:rPr>
          <w:rFonts w:eastAsia="Times New Roman" w:cs="Times New Roman"/>
          <w:b/>
          <w:bCs/>
          <w:rtl/>
          <w:lang w:eastAsia="de-DE"/>
        </w:rPr>
        <w:t>לא תעשו את כל־המצות</w:t>
      </w:r>
      <w:r w:rsidRPr="00CC6F7E">
        <w:rPr>
          <w:rFonts w:eastAsia="Times New Roman" w:cs="Times New Roman"/>
          <w:rtl/>
          <w:lang w:eastAsia="de-DE"/>
        </w:rPr>
        <w:t xml:space="preserve"> </w:t>
      </w:r>
      <w:r w:rsidRPr="00CC6F7E">
        <w:rPr>
          <w:rFonts w:eastAsia="Times New Roman" w:cs="Times New Roman"/>
          <w:lang w:eastAsia="de-DE"/>
        </w:rPr>
        <w:t>zeigt praktische Gebots-Nichtbefolgung. Die Formulierung entspricht genau der Umkehrung von V. 3.</w:t>
      </w:r>
    </w:p>
    <w:p w14:paraId="5FBF06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תשמעו לי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εἰσ</w:t>
      </w:r>
      <w:proofErr w:type="spellEnd"/>
      <w:r w:rsidRPr="00CC6F7E">
        <w:rPr>
          <w:rFonts w:eastAsia="Times New Roman" w:cs="Times New Roman"/>
          <w:lang w:eastAsia="de-DE"/>
        </w:rPr>
        <w:t xml:space="preserve">ακούσητέ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(ihr hört auf mich), </w:t>
      </w:r>
      <w:r w:rsidRPr="00CC6F7E">
        <w:rPr>
          <w:rFonts w:eastAsia="Times New Roman" w:cs="Times New Roman"/>
          <w:b/>
          <w:bCs/>
          <w:rtl/>
          <w:lang w:eastAsia="de-DE"/>
        </w:rPr>
        <w:t>לא תעשו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οιήσητε</w:t>
      </w:r>
      <w:proofErr w:type="spellEnd"/>
      <w:r w:rsidRPr="00CC6F7E">
        <w:rPr>
          <w:rFonts w:eastAsia="Times New Roman" w:cs="Times New Roman"/>
          <w:lang w:eastAsia="de-DE"/>
        </w:rPr>
        <w:t xml:space="preserve"> (nicht tut) und </w:t>
      </w:r>
      <w:r w:rsidRPr="00CC6F7E">
        <w:rPr>
          <w:rFonts w:eastAsia="Times New Roman" w:cs="Times New Roman"/>
          <w:b/>
          <w:bCs/>
          <w:rtl/>
          <w:lang w:eastAsia="de-DE"/>
        </w:rPr>
        <w:t>המצות האלה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ἐντολὰς</w:t>
      </w:r>
      <w:proofErr w:type="spellEnd"/>
      <w:r w:rsidRPr="00CC6F7E">
        <w:rPr>
          <w:rFonts w:eastAsia="Times New Roman" w:cs="Times New Roman"/>
          <w:lang w:eastAsia="de-DE"/>
        </w:rPr>
        <w:t xml:space="preserve"> τα</w:t>
      </w:r>
      <w:proofErr w:type="spellStart"/>
      <w:r w:rsidRPr="00CC6F7E">
        <w:rPr>
          <w:rFonts w:eastAsia="Times New Roman" w:cs="Times New Roman"/>
          <w:lang w:eastAsia="de-DE"/>
        </w:rPr>
        <w:t>ύτ</w:t>
      </w:r>
      <w:proofErr w:type="spellEnd"/>
      <w:r w:rsidRPr="00CC6F7E">
        <w:rPr>
          <w:rFonts w:eastAsia="Times New Roman" w:cs="Times New Roman"/>
          <w:lang w:eastAsia="de-DE"/>
        </w:rPr>
        <w:t>ας (diese Gebote).</w:t>
      </w:r>
    </w:p>
    <w:p w14:paraId="3E7356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Fluch-Bedingung: nicht gehorchen + nicht alle diese Gebote tun.</w:t>
      </w:r>
    </w:p>
    <w:p w14:paraId="69BB3F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eröffnet die Fluch-Sektion mit der umgekehrten Bedingung zu V. 3: Ungehorsam statt Gehorsam.</w:t>
      </w:r>
    </w:p>
    <w:p w14:paraId="4F8F183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26,15</w:t>
      </w:r>
    </w:p>
    <w:p w14:paraId="3FA108F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וְאִם־בְּחֻקֹּתַ֣י תִּמְאָ֔סוּ וְאִ֥ם אֶת־מִשְׁפָּטַ֖י תִּגְעַ֣ל נַפְשְׁכֶ֑ם לְבִלְתִּ֤י עֲשׂוֹת֙ אֶת־כָּל־מִצְוֹתַ֔י לְהַפְרְכֶ֖ם אֶת־בְּרִיתִֽי׃</w:t>
      </w:r>
    </w:p>
    <w:p w14:paraId="1FE2BA4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meine Satzungen verachtet und eure Seele meine Rechtsvorschriften verwirft, sodass ihr nicht alle meine Gebote tut und meinen Bund brecht,</w:t>
      </w:r>
    </w:p>
    <w:p w14:paraId="58115D5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6CDBBE3">
          <v:rect id="_x0000_i1818" style="width:0;height:1.5pt" o:hralign="center" o:hrstd="t" o:hr="t" fillcolor="#a0a0a0" stroked="f"/>
        </w:pict>
      </w:r>
    </w:p>
    <w:p w14:paraId="2D36656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ואם־בחקתי תמאסו ואם את־משפטי תגעל נפשכם לבלתי עשות את־כל־מצותי להפרכם את־בריתי</w:t>
      </w:r>
      <w:r w:rsidRPr="00CC6F7E">
        <w:rPr>
          <w:rFonts w:eastAsia="Times New Roman" w:cs="Times New Roman"/>
          <w:rtl/>
          <w:lang w:eastAsia="de-DE"/>
        </w:rPr>
        <w:t xml:space="preserve"> </w:t>
      </w:r>
      <w:r w:rsidRPr="00CC6F7E">
        <w:rPr>
          <w:rFonts w:eastAsia="Times New Roman" w:cs="Times New Roman"/>
          <w:lang w:eastAsia="de-DE"/>
        </w:rPr>
        <w:t xml:space="preserve">steigert den Ungehorsam zur aktiven Gesetzesverachtung. </w:t>
      </w:r>
      <w:r w:rsidRPr="00CC6F7E">
        <w:rPr>
          <w:rFonts w:eastAsia="Times New Roman" w:cs="Times New Roman"/>
          <w:b/>
          <w:bCs/>
          <w:rtl/>
          <w:lang w:eastAsia="de-DE"/>
        </w:rPr>
        <w:t>ואם־בחקתי תמאסו</w:t>
      </w:r>
      <w:r w:rsidRPr="00CC6F7E">
        <w:rPr>
          <w:rFonts w:eastAsia="Times New Roman" w:cs="Times New Roman"/>
          <w:rtl/>
          <w:lang w:eastAsia="de-DE"/>
        </w:rPr>
        <w:t xml:space="preserve"> </w:t>
      </w:r>
      <w:r w:rsidRPr="00CC6F7E">
        <w:rPr>
          <w:rFonts w:eastAsia="Times New Roman" w:cs="Times New Roman"/>
          <w:lang w:eastAsia="de-DE"/>
        </w:rPr>
        <w:t xml:space="preserve">(und wenn ihr meine Satzungen verachtet) - </w:t>
      </w:r>
      <w:r w:rsidRPr="00CC6F7E">
        <w:rPr>
          <w:rFonts w:eastAsia="Times New Roman" w:cs="Times New Roman"/>
          <w:b/>
          <w:bCs/>
          <w:rtl/>
          <w:lang w:eastAsia="de-DE"/>
        </w:rPr>
        <w:t>בחקתי</w:t>
      </w:r>
      <w:r w:rsidRPr="00CC6F7E">
        <w:rPr>
          <w:rFonts w:eastAsia="Times New Roman" w:cs="Times New Roman"/>
          <w:rtl/>
          <w:lang w:eastAsia="de-DE"/>
        </w:rPr>
        <w:t xml:space="preserve"> </w:t>
      </w:r>
      <w:r w:rsidRPr="00CC6F7E">
        <w:rPr>
          <w:rFonts w:eastAsia="Times New Roman" w:cs="Times New Roman"/>
          <w:lang w:eastAsia="de-DE"/>
        </w:rPr>
        <w:t xml:space="preserve">entspricht V. 3, aber </w:t>
      </w:r>
      <w:r w:rsidRPr="00CC6F7E">
        <w:rPr>
          <w:rFonts w:eastAsia="Times New Roman" w:cs="Times New Roman"/>
          <w:b/>
          <w:bCs/>
          <w:rtl/>
          <w:lang w:eastAsia="de-DE"/>
        </w:rPr>
        <w:t>תמאסו</w:t>
      </w:r>
      <w:r w:rsidRPr="00CC6F7E">
        <w:rPr>
          <w:rFonts w:eastAsia="Times New Roman" w:cs="Times New Roman"/>
          <w:rtl/>
          <w:lang w:eastAsia="de-DE"/>
        </w:rPr>
        <w:t xml:space="preserve"> </w:t>
      </w:r>
      <w:r w:rsidRPr="00CC6F7E">
        <w:rPr>
          <w:rFonts w:eastAsia="Times New Roman" w:cs="Times New Roman"/>
          <w:lang w:eastAsia="de-DE"/>
        </w:rPr>
        <w:t xml:space="preserve">(ihr verachtet) im Qal-Imperfekt von </w:t>
      </w:r>
      <w:r w:rsidRPr="00CC6F7E">
        <w:rPr>
          <w:rFonts w:eastAsia="Times New Roman" w:cs="Times New Roman"/>
          <w:b/>
          <w:bCs/>
          <w:rtl/>
          <w:lang w:eastAsia="de-DE"/>
        </w:rPr>
        <w:t>מאס</w:t>
      </w:r>
      <w:r w:rsidRPr="00CC6F7E">
        <w:rPr>
          <w:rFonts w:eastAsia="Times New Roman" w:cs="Times New Roman"/>
          <w:rtl/>
          <w:lang w:eastAsia="de-DE"/>
        </w:rPr>
        <w:t xml:space="preserve"> </w:t>
      </w:r>
      <w:r w:rsidRPr="00CC6F7E">
        <w:rPr>
          <w:rFonts w:eastAsia="Times New Roman" w:cs="Times New Roman"/>
          <w:lang w:eastAsia="de-DE"/>
        </w:rPr>
        <w:t>zeigt aktive Verwerfung statt nur Nichtbefolgung.</w:t>
      </w:r>
    </w:p>
    <w:p w14:paraId="1ADD5D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ואם את־משפטי תגעל נפשכם</w:t>
      </w:r>
      <w:r w:rsidRPr="00CC6F7E">
        <w:rPr>
          <w:rFonts w:eastAsia="Times New Roman" w:cs="Times New Roman"/>
          <w:rtl/>
          <w:lang w:eastAsia="de-DE"/>
        </w:rPr>
        <w:t xml:space="preserve"> </w:t>
      </w:r>
      <w:r w:rsidRPr="00CC6F7E">
        <w:rPr>
          <w:rFonts w:eastAsia="Times New Roman" w:cs="Times New Roman"/>
          <w:lang w:eastAsia="de-DE"/>
        </w:rPr>
        <w:t xml:space="preserve">(und eure Seele meine Rechtsvorschriften verwirft) - </w:t>
      </w:r>
      <w:r w:rsidRPr="00CC6F7E">
        <w:rPr>
          <w:rFonts w:eastAsia="Times New Roman" w:cs="Times New Roman"/>
          <w:b/>
          <w:bCs/>
          <w:rtl/>
          <w:lang w:eastAsia="de-DE"/>
        </w:rPr>
        <w:t>משפטי</w:t>
      </w:r>
      <w:r w:rsidRPr="00CC6F7E">
        <w:rPr>
          <w:rFonts w:eastAsia="Times New Roman" w:cs="Times New Roman"/>
          <w:rtl/>
          <w:lang w:eastAsia="de-DE"/>
        </w:rPr>
        <w:t xml:space="preserve"> </w:t>
      </w:r>
      <w:r w:rsidRPr="00CC6F7E">
        <w:rPr>
          <w:rFonts w:eastAsia="Times New Roman" w:cs="Times New Roman"/>
          <w:lang w:eastAsia="de-DE"/>
        </w:rPr>
        <w:t xml:space="preserve">(meine Rechtsvorschriften) zeigt eine andere Gesetzeskategorie. </w:t>
      </w:r>
      <w:r w:rsidRPr="00CC6F7E">
        <w:rPr>
          <w:rFonts w:eastAsia="Times New Roman" w:cs="Times New Roman"/>
          <w:b/>
          <w:bCs/>
          <w:rtl/>
          <w:lang w:eastAsia="de-DE"/>
        </w:rPr>
        <w:t>תגעל נפשכם</w:t>
      </w:r>
      <w:r w:rsidRPr="00CC6F7E">
        <w:rPr>
          <w:rFonts w:eastAsia="Times New Roman" w:cs="Times New Roman"/>
          <w:rtl/>
          <w:lang w:eastAsia="de-DE"/>
        </w:rPr>
        <w:t xml:space="preserve"> </w:t>
      </w:r>
      <w:r w:rsidRPr="00CC6F7E">
        <w:rPr>
          <w:rFonts w:eastAsia="Times New Roman" w:cs="Times New Roman"/>
          <w:lang w:eastAsia="de-DE"/>
        </w:rPr>
        <w:t xml:space="preserve">(eure Seele verwirft) - </w:t>
      </w:r>
      <w:r w:rsidRPr="00CC6F7E">
        <w:rPr>
          <w:rFonts w:eastAsia="Times New Roman" w:cs="Times New Roman"/>
          <w:b/>
          <w:bCs/>
          <w:rtl/>
          <w:lang w:eastAsia="de-DE"/>
        </w:rPr>
        <w:t>תגעל</w:t>
      </w:r>
      <w:r w:rsidRPr="00CC6F7E">
        <w:rPr>
          <w:rFonts w:eastAsia="Times New Roman" w:cs="Times New Roman"/>
          <w:rtl/>
          <w:lang w:eastAsia="de-DE"/>
        </w:rPr>
        <w:t xml:space="preserve"> </w:t>
      </w:r>
      <w:r w:rsidRPr="00CC6F7E">
        <w:rPr>
          <w:rFonts w:eastAsia="Times New Roman" w:cs="Times New Roman"/>
          <w:lang w:eastAsia="de-DE"/>
        </w:rPr>
        <w:t xml:space="preserve">von </w:t>
      </w:r>
      <w:r w:rsidRPr="00CC6F7E">
        <w:rPr>
          <w:rFonts w:eastAsia="Times New Roman" w:cs="Times New Roman"/>
          <w:b/>
          <w:bCs/>
          <w:rtl/>
          <w:lang w:eastAsia="de-DE"/>
        </w:rPr>
        <w:t>געל</w:t>
      </w:r>
      <w:r w:rsidRPr="00CC6F7E">
        <w:rPr>
          <w:rFonts w:eastAsia="Times New Roman" w:cs="Times New Roman"/>
          <w:rtl/>
          <w:lang w:eastAsia="de-DE"/>
        </w:rPr>
        <w:t xml:space="preserve"> </w:t>
      </w:r>
      <w:r w:rsidRPr="00CC6F7E">
        <w:rPr>
          <w:rFonts w:eastAsia="Times New Roman" w:cs="Times New Roman"/>
          <w:lang w:eastAsia="de-DE"/>
        </w:rPr>
        <w:t xml:space="preserve">entspricht V. 11 und zeigt emotionale Ablehnung. </w:t>
      </w:r>
      <w:r w:rsidRPr="00CC6F7E">
        <w:rPr>
          <w:rFonts w:eastAsia="Times New Roman" w:cs="Times New Roman"/>
          <w:b/>
          <w:bCs/>
          <w:rtl/>
          <w:lang w:eastAsia="de-DE"/>
        </w:rPr>
        <w:t>נפשכם</w:t>
      </w:r>
      <w:r w:rsidRPr="00CC6F7E">
        <w:rPr>
          <w:rFonts w:eastAsia="Times New Roman" w:cs="Times New Roman"/>
          <w:rtl/>
          <w:lang w:eastAsia="de-DE"/>
        </w:rPr>
        <w:t xml:space="preserve"> </w:t>
      </w:r>
      <w:r w:rsidRPr="00CC6F7E">
        <w:rPr>
          <w:rFonts w:eastAsia="Times New Roman" w:cs="Times New Roman"/>
          <w:lang w:eastAsia="de-DE"/>
        </w:rPr>
        <w:t>(eure Seele) zeigt innerliche Verwerfung.</w:t>
      </w:r>
    </w:p>
    <w:p w14:paraId="395FFC0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לבלתי עשות את־כל־מצותי להפרכם את־בריתי</w:t>
      </w:r>
      <w:r w:rsidRPr="00CC6F7E">
        <w:rPr>
          <w:rFonts w:eastAsia="Times New Roman" w:cs="Times New Roman"/>
          <w:rtl/>
          <w:lang w:eastAsia="de-DE"/>
        </w:rPr>
        <w:t xml:space="preserve"> </w:t>
      </w:r>
      <w:r w:rsidRPr="00CC6F7E">
        <w:rPr>
          <w:rFonts w:eastAsia="Times New Roman" w:cs="Times New Roman"/>
          <w:lang w:eastAsia="de-DE"/>
        </w:rPr>
        <w:t xml:space="preserve">(sodass ihr nicht alle meine Gebote tut und meinen Bund brecht) zeigt die Konsequenzen - </w:t>
      </w:r>
      <w:r w:rsidRPr="00CC6F7E">
        <w:rPr>
          <w:rFonts w:eastAsia="Times New Roman" w:cs="Times New Roman"/>
          <w:b/>
          <w:bCs/>
          <w:rtl/>
          <w:lang w:eastAsia="de-DE"/>
        </w:rPr>
        <w:t>לבלתי עשות</w:t>
      </w:r>
      <w:r w:rsidRPr="00CC6F7E">
        <w:rPr>
          <w:rFonts w:eastAsia="Times New Roman" w:cs="Times New Roman"/>
          <w:rtl/>
          <w:lang w:eastAsia="de-DE"/>
        </w:rPr>
        <w:t xml:space="preserve"> </w:t>
      </w:r>
      <w:r w:rsidRPr="00CC6F7E">
        <w:rPr>
          <w:rFonts w:eastAsia="Times New Roman" w:cs="Times New Roman"/>
          <w:lang w:eastAsia="de-DE"/>
        </w:rPr>
        <w:t xml:space="preserve">(um nicht zu tun) als Zweck. </w:t>
      </w:r>
      <w:r w:rsidRPr="00CC6F7E">
        <w:rPr>
          <w:rFonts w:eastAsia="Times New Roman" w:cs="Times New Roman"/>
          <w:b/>
          <w:bCs/>
          <w:rtl/>
          <w:lang w:eastAsia="de-DE"/>
        </w:rPr>
        <w:t>להפרכם את־בריתי</w:t>
      </w:r>
      <w:r w:rsidRPr="00CC6F7E">
        <w:rPr>
          <w:rFonts w:eastAsia="Times New Roman" w:cs="Times New Roman"/>
          <w:rtl/>
          <w:lang w:eastAsia="de-DE"/>
        </w:rPr>
        <w:t xml:space="preserve"> </w:t>
      </w:r>
      <w:r w:rsidRPr="00CC6F7E">
        <w:rPr>
          <w:rFonts w:eastAsia="Times New Roman" w:cs="Times New Roman"/>
          <w:lang w:eastAsia="de-DE"/>
        </w:rPr>
        <w:t xml:space="preserve">(um meinen Bund zu brechen) - </w:t>
      </w:r>
      <w:r w:rsidRPr="00CC6F7E">
        <w:rPr>
          <w:rFonts w:eastAsia="Times New Roman" w:cs="Times New Roman"/>
          <w:b/>
          <w:bCs/>
          <w:rtl/>
          <w:lang w:eastAsia="de-DE"/>
        </w:rPr>
        <w:t>הפר</w:t>
      </w:r>
      <w:r w:rsidRPr="00CC6F7E">
        <w:rPr>
          <w:rFonts w:eastAsia="Times New Roman" w:cs="Times New Roman"/>
          <w:rtl/>
          <w:lang w:eastAsia="de-DE"/>
        </w:rPr>
        <w:t xml:space="preserve"> </w:t>
      </w:r>
      <w:r w:rsidRPr="00CC6F7E">
        <w:rPr>
          <w:rFonts w:eastAsia="Times New Roman" w:cs="Times New Roman"/>
          <w:lang w:eastAsia="de-DE"/>
        </w:rPr>
        <w:t>(brechen) zeigt Bundesbruch als schlimmste Folge.</w:t>
      </w:r>
    </w:p>
    <w:p w14:paraId="3254A99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תמאסו</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תגעל נפשכם</w:t>
      </w:r>
      <w:r w:rsidRPr="00CC6F7E">
        <w:rPr>
          <w:rFonts w:eastAsia="Times New Roman" w:cs="Times New Roman"/>
          <w:rtl/>
          <w:lang w:eastAsia="de-DE"/>
        </w:rPr>
        <w:t xml:space="preserve"> </w:t>
      </w:r>
      <w:r w:rsidRPr="00CC6F7E">
        <w:rPr>
          <w:rFonts w:eastAsia="Times New Roman" w:cs="Times New Roman"/>
          <w:lang w:eastAsia="de-DE"/>
        </w:rPr>
        <w:t xml:space="preserve">zeigen gesteigerte Ablehnung vs. V. 14. </w:t>
      </w:r>
      <w:r w:rsidRPr="00CC6F7E">
        <w:rPr>
          <w:rFonts w:eastAsia="Times New Roman" w:cs="Times New Roman"/>
          <w:b/>
          <w:bCs/>
          <w:rtl/>
          <w:lang w:eastAsia="de-DE"/>
        </w:rPr>
        <w:t>חקתי</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משפטי</w:t>
      </w:r>
      <w:r w:rsidRPr="00CC6F7E">
        <w:rPr>
          <w:rFonts w:eastAsia="Times New Roman" w:cs="Times New Roman"/>
          <w:rtl/>
          <w:lang w:eastAsia="de-DE"/>
        </w:rPr>
        <w:t xml:space="preserve"> </w:t>
      </w:r>
      <w:r w:rsidRPr="00CC6F7E">
        <w:rPr>
          <w:rFonts w:eastAsia="Times New Roman" w:cs="Times New Roman"/>
          <w:lang w:eastAsia="de-DE"/>
        </w:rPr>
        <w:t xml:space="preserve">als verschiedene Gesetzeskategorien. </w:t>
      </w:r>
      <w:r w:rsidRPr="00CC6F7E">
        <w:rPr>
          <w:rFonts w:eastAsia="Times New Roman" w:cs="Times New Roman"/>
          <w:b/>
          <w:bCs/>
          <w:rtl/>
          <w:lang w:eastAsia="de-DE"/>
        </w:rPr>
        <w:t>להפרכם את־בריתי</w:t>
      </w:r>
      <w:r w:rsidRPr="00CC6F7E">
        <w:rPr>
          <w:rFonts w:eastAsia="Times New Roman" w:cs="Times New Roman"/>
          <w:rtl/>
          <w:lang w:eastAsia="de-DE"/>
        </w:rPr>
        <w:t xml:space="preserve"> </w:t>
      </w:r>
      <w:r w:rsidRPr="00CC6F7E">
        <w:rPr>
          <w:rFonts w:eastAsia="Times New Roman" w:cs="Times New Roman"/>
          <w:lang w:eastAsia="de-DE"/>
        </w:rPr>
        <w:t>als Bundesbruch-Höhepunkt.</w:t>
      </w:r>
    </w:p>
    <w:p w14:paraId="74FB6BF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תמאסו</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οστρ</w:t>
      </w:r>
      <w:proofErr w:type="spellEnd"/>
      <w:r w:rsidRPr="00CC6F7E">
        <w:rPr>
          <w:rFonts w:eastAsia="Times New Roman" w:cs="Times New Roman"/>
          <w:lang w:eastAsia="de-DE"/>
        </w:rPr>
        <w:t xml:space="preserve">αφῆτε (ihr wendet euch ab), </w:t>
      </w:r>
      <w:r w:rsidRPr="00CC6F7E">
        <w:rPr>
          <w:rFonts w:eastAsia="Times New Roman" w:cs="Times New Roman"/>
          <w:b/>
          <w:bCs/>
          <w:rtl/>
          <w:lang w:eastAsia="de-DE"/>
        </w:rPr>
        <w:t>תגעל נפשכם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ροσοχθίσῃ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ψυχὴ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(eure Seele wird belästigt), </w:t>
      </w:r>
      <w:r w:rsidRPr="00CC6F7E">
        <w:rPr>
          <w:rFonts w:eastAsia="Times New Roman" w:cs="Times New Roman"/>
          <w:b/>
          <w:bCs/>
          <w:rtl/>
          <w:lang w:eastAsia="de-DE"/>
        </w:rPr>
        <w:t>משפטי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κρίμ</w:t>
      </w:r>
      <w:proofErr w:type="spellEnd"/>
      <w:r w:rsidRPr="00CC6F7E">
        <w:rPr>
          <w:rFonts w:eastAsia="Times New Roman" w:cs="Times New Roman"/>
          <w:lang w:eastAsia="de-DE"/>
        </w:rPr>
        <w:t xml:space="preserve">ατά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 Urteile) und </w:t>
      </w:r>
      <w:r w:rsidRPr="00CC6F7E">
        <w:rPr>
          <w:rFonts w:eastAsia="Times New Roman" w:cs="Times New Roman"/>
          <w:b/>
          <w:bCs/>
          <w:rtl/>
          <w:lang w:eastAsia="de-DE"/>
        </w:rPr>
        <w:t>להפרכם את־בריתי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ασκεδάσαι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αθήκην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(meinen Bund zu zerstreuen).</w:t>
      </w:r>
    </w:p>
    <w:p w14:paraId="6C698F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gesteigerte Ungehorsams-Beschreibung: Satzungen verachten + Seele verwirft Rechtsvorschriften + nicht alle Gebote tun + Bund brechen.</w:t>
      </w:r>
    </w:p>
    <w:p w14:paraId="28A8ED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steigert von passivem Ungehorsam (V. 14) zu aktiver Gesetzesverachtung und Bundesbruch.</w:t>
      </w:r>
    </w:p>
    <w:p w14:paraId="739CE57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26,16</w:t>
      </w:r>
    </w:p>
    <w:p w14:paraId="651C236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אַף־אֲנִ֞י אֶֽעֱשֶׂה־זֹּ֣את לָכֶ֗ם וְהִפְקַדְתִּ֨י עֲלֵיכֶ֤ם בֶּֽהָלָה֙ אֶת־הַשַּׁחֶ֣פֶת וְאֶת־הַקַּדַּ֔חַת מְכַלּ֥וֹת עֵינַ֖יִם וּמְדִיבֹ֣ת נָ֑פֶשׁ וּזְרַעְתֶּ֤ם לָרִיק֙ זַרְעֲכֶ֔ם וַאֲכָלֻ֖הוּ אֹיְבֵיכֶֽם׃</w:t>
      </w:r>
    </w:p>
    <w:p w14:paraId="0388101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so werde auch ich euch Folgendes tun: Ich werde Schrecken über euch bestellen, Schwindsucht und Fieber, die die Augen verzehren und die Seele verschmachten lassen; und ihr werdet vergeblich euren Samen säen, denn eure Feinde werden ihn verzehren.</w:t>
      </w:r>
    </w:p>
    <w:p w14:paraId="15DE607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DADEA27">
          <v:rect id="_x0000_i1819" style="width:0;height:1.5pt" o:hralign="center" o:hrstd="t" o:hr="t" fillcolor="#a0a0a0" stroked="f"/>
        </w:pict>
      </w:r>
    </w:p>
    <w:p w14:paraId="0F27260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אף־אני אעשה־זאת לכם והפקדתי עליכם בהלה את־השחפת ואת־הקדחת מכלות עינים ומדיבת נפש וזרעתם לריק זרעכם ואכלהו איביכם</w:t>
      </w:r>
      <w:r w:rsidRPr="00CC6F7E">
        <w:rPr>
          <w:rFonts w:eastAsia="Times New Roman" w:cs="Times New Roman"/>
          <w:rtl/>
          <w:lang w:eastAsia="de-DE"/>
        </w:rPr>
        <w:t xml:space="preserve"> </w:t>
      </w:r>
      <w:r w:rsidRPr="00CC6F7E">
        <w:rPr>
          <w:rFonts w:eastAsia="Times New Roman" w:cs="Times New Roman"/>
          <w:lang w:eastAsia="de-DE"/>
        </w:rPr>
        <w:t xml:space="preserve">zeigt göttliche Vergeltung durch Krankheit und landwirtschaftlichen Misserfolg. </w:t>
      </w:r>
      <w:r w:rsidRPr="00CC6F7E">
        <w:rPr>
          <w:rFonts w:eastAsia="Times New Roman" w:cs="Times New Roman"/>
          <w:b/>
          <w:bCs/>
          <w:rtl/>
          <w:lang w:eastAsia="de-DE"/>
        </w:rPr>
        <w:t>אף־אני אעשה־זאת לכם</w:t>
      </w:r>
      <w:r w:rsidRPr="00CC6F7E">
        <w:rPr>
          <w:rFonts w:eastAsia="Times New Roman" w:cs="Times New Roman"/>
          <w:rtl/>
          <w:lang w:eastAsia="de-DE"/>
        </w:rPr>
        <w:t xml:space="preserve"> </w:t>
      </w:r>
      <w:r w:rsidRPr="00CC6F7E">
        <w:rPr>
          <w:rFonts w:eastAsia="Times New Roman" w:cs="Times New Roman"/>
          <w:lang w:eastAsia="de-DE"/>
        </w:rPr>
        <w:t xml:space="preserve">(so werde auch ich euch Folgendes tun) - </w:t>
      </w: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(auch ich) zeigt göttliche Vergeltung entsprechend menschlichem Verhalten. </w:t>
      </w:r>
      <w:r w:rsidRPr="00CC6F7E">
        <w:rPr>
          <w:rFonts w:eastAsia="Times New Roman" w:cs="Times New Roman"/>
          <w:b/>
          <w:bCs/>
          <w:rtl/>
          <w:lang w:eastAsia="de-DE"/>
        </w:rPr>
        <w:t>אעשה־זאת לכם</w:t>
      </w:r>
      <w:r w:rsidRPr="00CC6F7E">
        <w:rPr>
          <w:rFonts w:eastAsia="Times New Roman" w:cs="Times New Roman"/>
          <w:rtl/>
          <w:lang w:eastAsia="de-DE"/>
        </w:rPr>
        <w:t xml:space="preserve"> </w:t>
      </w:r>
      <w:r w:rsidRPr="00CC6F7E">
        <w:rPr>
          <w:rFonts w:eastAsia="Times New Roman" w:cs="Times New Roman"/>
          <w:lang w:eastAsia="de-DE"/>
        </w:rPr>
        <w:t>zeigt göttliche Fluch-Aktivität.</w:t>
      </w:r>
    </w:p>
    <w:p w14:paraId="6BEA6C8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והפקדתי עליכם בהלה את־השחפת ואת־הקדחת</w:t>
      </w:r>
      <w:r w:rsidRPr="00CC6F7E">
        <w:rPr>
          <w:rFonts w:eastAsia="Times New Roman" w:cs="Times New Roman"/>
          <w:rtl/>
          <w:lang w:eastAsia="de-DE"/>
        </w:rPr>
        <w:t xml:space="preserve"> </w:t>
      </w:r>
      <w:r w:rsidRPr="00CC6F7E">
        <w:rPr>
          <w:rFonts w:eastAsia="Times New Roman" w:cs="Times New Roman"/>
          <w:lang w:eastAsia="de-DE"/>
        </w:rPr>
        <w:t xml:space="preserve">(ich werde Schrecken über euch bestellen, Schwindsucht und Fieber) - </w:t>
      </w:r>
      <w:r w:rsidRPr="00CC6F7E">
        <w:rPr>
          <w:rFonts w:eastAsia="Times New Roman" w:cs="Times New Roman"/>
          <w:b/>
          <w:bCs/>
          <w:rtl/>
          <w:lang w:eastAsia="de-DE"/>
        </w:rPr>
        <w:t>והפקדתי עליכם</w:t>
      </w:r>
      <w:r w:rsidRPr="00CC6F7E">
        <w:rPr>
          <w:rFonts w:eastAsia="Times New Roman" w:cs="Times New Roman"/>
          <w:rtl/>
          <w:lang w:eastAsia="de-DE"/>
        </w:rPr>
        <w:t xml:space="preserve"> </w:t>
      </w:r>
      <w:r w:rsidRPr="00CC6F7E">
        <w:rPr>
          <w:rFonts w:eastAsia="Times New Roman" w:cs="Times New Roman"/>
          <w:lang w:eastAsia="de-DE"/>
        </w:rPr>
        <w:t xml:space="preserve">(und ich werde über euch bestellen) im Hifil-Perfekt von </w:t>
      </w:r>
      <w:r w:rsidRPr="00CC6F7E">
        <w:rPr>
          <w:rFonts w:eastAsia="Times New Roman" w:cs="Times New Roman"/>
          <w:b/>
          <w:bCs/>
          <w:rtl/>
          <w:lang w:eastAsia="de-DE"/>
        </w:rPr>
        <w:t>פקד</w:t>
      </w:r>
      <w:r w:rsidRPr="00CC6F7E">
        <w:rPr>
          <w:rFonts w:eastAsia="Times New Roman" w:cs="Times New Roman"/>
          <w:rtl/>
          <w:lang w:eastAsia="de-DE"/>
        </w:rPr>
        <w:t xml:space="preserve"> </w:t>
      </w:r>
      <w:r w:rsidRPr="00CC6F7E">
        <w:rPr>
          <w:rFonts w:eastAsia="Times New Roman" w:cs="Times New Roman"/>
          <w:lang w:eastAsia="de-DE"/>
        </w:rPr>
        <w:t xml:space="preserve">zeigt göttliche Amtseinsetzung. </w:t>
      </w:r>
      <w:r w:rsidRPr="00CC6F7E">
        <w:rPr>
          <w:rFonts w:eastAsia="Times New Roman" w:cs="Times New Roman"/>
          <w:b/>
          <w:bCs/>
          <w:rtl/>
          <w:lang w:eastAsia="de-DE"/>
        </w:rPr>
        <w:t>בהלה</w:t>
      </w:r>
      <w:r w:rsidRPr="00CC6F7E">
        <w:rPr>
          <w:rFonts w:eastAsia="Times New Roman" w:cs="Times New Roman"/>
          <w:rtl/>
          <w:lang w:eastAsia="de-DE"/>
        </w:rPr>
        <w:t xml:space="preserve"> </w:t>
      </w:r>
      <w:r w:rsidRPr="00CC6F7E">
        <w:rPr>
          <w:rFonts w:eastAsia="Times New Roman" w:cs="Times New Roman"/>
          <w:lang w:eastAsia="de-DE"/>
        </w:rPr>
        <w:t xml:space="preserve">(Schrecken) zeigt Panik. </w:t>
      </w:r>
      <w:r w:rsidRPr="00CC6F7E">
        <w:rPr>
          <w:rFonts w:eastAsia="Times New Roman" w:cs="Times New Roman"/>
          <w:b/>
          <w:bCs/>
          <w:rtl/>
          <w:lang w:eastAsia="de-DE"/>
        </w:rPr>
        <w:t>השחפת</w:t>
      </w:r>
      <w:r w:rsidRPr="00CC6F7E">
        <w:rPr>
          <w:rFonts w:eastAsia="Times New Roman" w:cs="Times New Roman"/>
          <w:rtl/>
          <w:lang w:eastAsia="de-DE"/>
        </w:rPr>
        <w:t xml:space="preserve"> </w:t>
      </w:r>
      <w:r w:rsidRPr="00CC6F7E">
        <w:rPr>
          <w:rFonts w:eastAsia="Times New Roman" w:cs="Times New Roman"/>
          <w:lang w:eastAsia="de-DE"/>
        </w:rPr>
        <w:t xml:space="preserve">(Schwindsucht) und </w:t>
      </w:r>
      <w:r w:rsidRPr="00CC6F7E">
        <w:rPr>
          <w:rFonts w:eastAsia="Times New Roman" w:cs="Times New Roman"/>
          <w:b/>
          <w:bCs/>
          <w:rtl/>
          <w:lang w:eastAsia="de-DE"/>
        </w:rPr>
        <w:t>הקדחת</w:t>
      </w:r>
      <w:r w:rsidRPr="00CC6F7E">
        <w:rPr>
          <w:rFonts w:eastAsia="Times New Roman" w:cs="Times New Roman"/>
          <w:rtl/>
          <w:lang w:eastAsia="de-DE"/>
        </w:rPr>
        <w:t xml:space="preserve"> </w:t>
      </w:r>
      <w:r w:rsidRPr="00CC6F7E">
        <w:rPr>
          <w:rFonts w:eastAsia="Times New Roman" w:cs="Times New Roman"/>
          <w:lang w:eastAsia="de-DE"/>
        </w:rPr>
        <w:t>(Fieber) zeigen spezifische Krankheiten.</w:t>
      </w:r>
    </w:p>
    <w:p w14:paraId="1B52414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מכלות עינים ומדיבת נפש</w:t>
      </w:r>
      <w:r w:rsidRPr="00CC6F7E">
        <w:rPr>
          <w:rFonts w:eastAsia="Times New Roman" w:cs="Times New Roman"/>
          <w:rtl/>
          <w:lang w:eastAsia="de-DE"/>
        </w:rPr>
        <w:t xml:space="preserve"> </w:t>
      </w:r>
      <w:r w:rsidRPr="00CC6F7E">
        <w:rPr>
          <w:rFonts w:eastAsia="Times New Roman" w:cs="Times New Roman"/>
          <w:lang w:eastAsia="de-DE"/>
        </w:rPr>
        <w:t xml:space="preserve">(die die Augen verzehren und die Seele verschmachten lassen) - </w:t>
      </w:r>
      <w:r w:rsidRPr="00CC6F7E">
        <w:rPr>
          <w:rFonts w:eastAsia="Times New Roman" w:cs="Times New Roman"/>
          <w:b/>
          <w:bCs/>
          <w:rtl/>
          <w:lang w:eastAsia="de-DE"/>
        </w:rPr>
        <w:t>מכלות עינים</w:t>
      </w:r>
      <w:r w:rsidRPr="00CC6F7E">
        <w:rPr>
          <w:rFonts w:eastAsia="Times New Roman" w:cs="Times New Roman"/>
          <w:rtl/>
          <w:lang w:eastAsia="de-DE"/>
        </w:rPr>
        <w:t xml:space="preserve"> </w:t>
      </w:r>
      <w:r w:rsidRPr="00CC6F7E">
        <w:rPr>
          <w:rFonts w:eastAsia="Times New Roman" w:cs="Times New Roman"/>
          <w:lang w:eastAsia="de-DE"/>
        </w:rPr>
        <w:t xml:space="preserve">(die Augen verzehrend) von </w:t>
      </w:r>
      <w:r w:rsidRPr="00CC6F7E">
        <w:rPr>
          <w:rFonts w:eastAsia="Times New Roman" w:cs="Times New Roman"/>
          <w:b/>
          <w:bCs/>
          <w:rtl/>
          <w:lang w:eastAsia="de-DE"/>
        </w:rPr>
        <w:t>כלה</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מדיבת נפש</w:t>
      </w:r>
      <w:r w:rsidRPr="00CC6F7E">
        <w:rPr>
          <w:rFonts w:eastAsia="Times New Roman" w:cs="Times New Roman"/>
          <w:rtl/>
          <w:lang w:eastAsia="de-DE"/>
        </w:rPr>
        <w:t xml:space="preserve"> </w:t>
      </w:r>
      <w:r w:rsidRPr="00CC6F7E">
        <w:rPr>
          <w:rFonts w:eastAsia="Times New Roman" w:cs="Times New Roman"/>
          <w:lang w:eastAsia="de-DE"/>
        </w:rPr>
        <w:t xml:space="preserve">(die Seele verschmachten lassend) von </w:t>
      </w:r>
      <w:r w:rsidRPr="00CC6F7E">
        <w:rPr>
          <w:rFonts w:eastAsia="Times New Roman" w:cs="Times New Roman"/>
          <w:b/>
          <w:bCs/>
          <w:rtl/>
          <w:lang w:eastAsia="de-DE"/>
        </w:rPr>
        <w:t>דאב</w:t>
      </w:r>
      <w:r w:rsidRPr="00CC6F7E">
        <w:rPr>
          <w:rFonts w:eastAsia="Times New Roman" w:cs="Times New Roman"/>
          <w:rtl/>
          <w:lang w:eastAsia="de-DE"/>
        </w:rPr>
        <w:t xml:space="preserve"> </w:t>
      </w:r>
      <w:r w:rsidRPr="00CC6F7E">
        <w:rPr>
          <w:rFonts w:eastAsia="Times New Roman" w:cs="Times New Roman"/>
          <w:lang w:eastAsia="de-DE"/>
        </w:rPr>
        <w:t>zeigen die Krankheitssymptome.</w:t>
      </w:r>
    </w:p>
    <w:p w14:paraId="3D9FDA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וזרעתם לריק זרעכם ואכלהו איביכם</w:t>
      </w:r>
      <w:r w:rsidRPr="00CC6F7E">
        <w:rPr>
          <w:rFonts w:eastAsia="Times New Roman" w:cs="Times New Roman"/>
          <w:rtl/>
          <w:lang w:eastAsia="de-DE"/>
        </w:rPr>
        <w:t xml:space="preserve"> </w:t>
      </w:r>
      <w:r w:rsidRPr="00CC6F7E">
        <w:rPr>
          <w:rFonts w:eastAsia="Times New Roman" w:cs="Times New Roman"/>
          <w:lang w:eastAsia="de-DE"/>
        </w:rPr>
        <w:t xml:space="preserve">(und ihr werdet vergeblich euren Samen säen, denn eure Feinde werden ihn verzehren) zeigt landwirtschaftlichen Fluch - </w:t>
      </w:r>
      <w:r w:rsidRPr="00CC6F7E">
        <w:rPr>
          <w:rFonts w:eastAsia="Times New Roman" w:cs="Times New Roman"/>
          <w:b/>
          <w:bCs/>
          <w:rtl/>
          <w:lang w:eastAsia="de-DE"/>
        </w:rPr>
        <w:t>לריק</w:t>
      </w:r>
      <w:r w:rsidRPr="00CC6F7E">
        <w:rPr>
          <w:rFonts w:eastAsia="Times New Roman" w:cs="Times New Roman"/>
          <w:rtl/>
          <w:lang w:eastAsia="de-DE"/>
        </w:rPr>
        <w:t xml:space="preserve"> </w:t>
      </w:r>
      <w:r w:rsidRPr="00CC6F7E">
        <w:rPr>
          <w:rFonts w:eastAsia="Times New Roman" w:cs="Times New Roman"/>
          <w:lang w:eastAsia="de-DE"/>
        </w:rPr>
        <w:t xml:space="preserve">(vergeblich) vs. Segensernte. </w:t>
      </w:r>
      <w:r w:rsidRPr="00CC6F7E">
        <w:rPr>
          <w:rFonts w:eastAsia="Times New Roman" w:cs="Times New Roman"/>
          <w:b/>
          <w:bCs/>
          <w:rtl/>
          <w:lang w:eastAsia="de-DE"/>
        </w:rPr>
        <w:t>ואכלהו איביכם</w:t>
      </w:r>
      <w:r w:rsidRPr="00CC6F7E">
        <w:rPr>
          <w:rFonts w:eastAsia="Times New Roman" w:cs="Times New Roman"/>
          <w:rtl/>
          <w:lang w:eastAsia="de-DE"/>
        </w:rPr>
        <w:t xml:space="preserve"> </w:t>
      </w:r>
      <w:r w:rsidRPr="00CC6F7E">
        <w:rPr>
          <w:rFonts w:eastAsia="Times New Roman" w:cs="Times New Roman"/>
          <w:lang w:eastAsia="de-DE"/>
        </w:rPr>
        <w:t>zeigt Feindes-Raub der Ernte.</w:t>
      </w:r>
    </w:p>
    <w:p w14:paraId="3897BEE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zeigt Talionsprinzip. </w:t>
      </w:r>
      <w:r w:rsidRPr="00CC6F7E">
        <w:rPr>
          <w:rFonts w:eastAsia="Times New Roman" w:cs="Times New Roman"/>
          <w:b/>
          <w:bCs/>
          <w:rtl/>
          <w:lang w:eastAsia="de-DE"/>
        </w:rPr>
        <w:t>בהלה השחפת הקדחת</w:t>
      </w:r>
      <w:r w:rsidRPr="00CC6F7E">
        <w:rPr>
          <w:rFonts w:eastAsia="Times New Roman" w:cs="Times New Roman"/>
          <w:rtl/>
          <w:lang w:eastAsia="de-DE"/>
        </w:rPr>
        <w:t xml:space="preserve"> </w:t>
      </w:r>
      <w:r w:rsidRPr="00CC6F7E">
        <w:rPr>
          <w:rFonts w:eastAsia="Times New Roman" w:cs="Times New Roman"/>
          <w:lang w:eastAsia="de-DE"/>
        </w:rPr>
        <w:t xml:space="preserve">zeigen drei Plagen. </w:t>
      </w:r>
      <w:r w:rsidRPr="00CC6F7E">
        <w:rPr>
          <w:rFonts w:eastAsia="Times New Roman" w:cs="Times New Roman"/>
          <w:b/>
          <w:bCs/>
          <w:rtl/>
          <w:lang w:eastAsia="de-DE"/>
        </w:rPr>
        <w:t>מכלות עינים ומדיבת נפש</w:t>
      </w:r>
      <w:r w:rsidRPr="00CC6F7E">
        <w:rPr>
          <w:rFonts w:eastAsia="Times New Roman" w:cs="Times New Roman"/>
          <w:rtl/>
          <w:lang w:eastAsia="de-DE"/>
        </w:rPr>
        <w:t xml:space="preserve"> </w:t>
      </w:r>
      <w:r w:rsidRPr="00CC6F7E">
        <w:rPr>
          <w:rFonts w:eastAsia="Times New Roman" w:cs="Times New Roman"/>
          <w:lang w:eastAsia="de-DE"/>
        </w:rPr>
        <w:t xml:space="preserve">beschreiben die Auswirkungen. </w:t>
      </w:r>
      <w:r w:rsidRPr="00CC6F7E">
        <w:rPr>
          <w:rFonts w:eastAsia="Times New Roman" w:cs="Times New Roman"/>
          <w:b/>
          <w:bCs/>
          <w:rtl/>
          <w:lang w:eastAsia="de-DE"/>
        </w:rPr>
        <w:t>לריק</w:t>
      </w:r>
      <w:r w:rsidRPr="00CC6F7E">
        <w:rPr>
          <w:rFonts w:eastAsia="Times New Roman" w:cs="Times New Roman"/>
          <w:rtl/>
          <w:lang w:eastAsia="de-DE"/>
        </w:rPr>
        <w:t xml:space="preserve"> </w:t>
      </w:r>
      <w:r w:rsidRPr="00CC6F7E">
        <w:rPr>
          <w:rFonts w:eastAsia="Times New Roman" w:cs="Times New Roman"/>
          <w:lang w:eastAsia="de-DE"/>
        </w:rPr>
        <w:t>vs. Segens-Ernte zeigt Umkehrung.</w:t>
      </w:r>
    </w:p>
    <w:p w14:paraId="30849FBB" w14:textId="064C2E4A"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spezifiziert die Krankheiten: </w:t>
      </w:r>
      <w:r w:rsidR="00274C29">
        <w:rPr>
          <w:rtl/>
        </w:rPr>
        <w:t>שחפת</w:t>
      </w:r>
      <w:r w:rsidR="00274C29">
        <w:t xml:space="preserve"> (</w:t>
      </w:r>
      <w:proofErr w:type="spellStart"/>
      <w:r w:rsidR="00274C29">
        <w:t>shachefet</w:t>
      </w:r>
      <w:proofErr w:type="spellEnd"/>
      <w:r w:rsidR="00274C29">
        <w:t xml:space="preserve"> - "Schwindsucht") als σπ</w:t>
      </w:r>
      <w:proofErr w:type="spellStart"/>
      <w:r w:rsidR="00274C29">
        <w:t>άνιν</w:t>
      </w:r>
      <w:proofErr w:type="spellEnd"/>
      <w:r w:rsidR="00274C29">
        <w:t xml:space="preserve"> (Mangel), </w:t>
      </w:r>
      <w:r w:rsidR="00274C29">
        <w:rPr>
          <w:rtl/>
        </w:rPr>
        <w:t>קדחת</w:t>
      </w:r>
      <w:r w:rsidR="00274C29">
        <w:t xml:space="preserve"> (</w:t>
      </w:r>
      <w:proofErr w:type="spellStart"/>
      <w:r w:rsidR="00274C29">
        <w:t>qaddachat</w:t>
      </w:r>
      <w:proofErr w:type="spellEnd"/>
      <w:r w:rsidR="00274C29">
        <w:t xml:space="preserve"> - "Fieber") als </w:t>
      </w:r>
      <w:proofErr w:type="spellStart"/>
      <w:r w:rsidR="00274C29">
        <w:t>ἴκτερον</w:t>
      </w:r>
      <w:proofErr w:type="spellEnd"/>
      <w:r w:rsidR="00274C29">
        <w:t xml:space="preserve"> (Gelbsucht), </w:t>
      </w:r>
      <w:r w:rsidR="00274C29">
        <w:rPr>
          <w:rtl/>
        </w:rPr>
        <w:t>מכלות עינים</w:t>
      </w:r>
      <w:r w:rsidR="00274C29">
        <w:t xml:space="preserve"> (</w:t>
      </w:r>
      <w:proofErr w:type="spellStart"/>
      <w:r w:rsidR="00274C29">
        <w:t>mechalot</w:t>
      </w:r>
      <w:proofErr w:type="spellEnd"/>
      <w:r w:rsidR="00274C29">
        <w:t xml:space="preserve"> </w:t>
      </w:r>
      <w:proofErr w:type="spellStart"/>
      <w:r w:rsidR="00274C29">
        <w:t>einayim</w:t>
      </w:r>
      <w:proofErr w:type="spellEnd"/>
      <w:r w:rsidR="00274C29">
        <w:t xml:space="preserve"> - "Augenschwund") als </w:t>
      </w:r>
      <w:proofErr w:type="spellStart"/>
      <w:r w:rsidR="00274C29">
        <w:t>τοὺς</w:t>
      </w:r>
      <w:proofErr w:type="spellEnd"/>
      <w:r w:rsidR="00274C29">
        <w:t xml:space="preserve"> </w:t>
      </w:r>
      <w:proofErr w:type="spellStart"/>
      <w:r w:rsidR="00274C29">
        <w:t>ὀφθ</w:t>
      </w:r>
      <w:proofErr w:type="spellEnd"/>
      <w:r w:rsidR="00274C29">
        <w:t xml:space="preserve">αλμοὺς </w:t>
      </w:r>
      <w:proofErr w:type="spellStart"/>
      <w:r w:rsidR="00274C29">
        <w:t>ὑμῶν</w:t>
      </w:r>
      <w:proofErr w:type="spellEnd"/>
      <w:r w:rsidR="00274C29">
        <w:t xml:space="preserve"> </w:t>
      </w:r>
      <w:proofErr w:type="spellStart"/>
      <w:r w:rsidR="00274C29">
        <w:t>ἐκτήκοντ</w:t>
      </w:r>
      <w:proofErr w:type="spellEnd"/>
      <w:r w:rsidR="00274C29">
        <w:t xml:space="preserve">ας (eure Augen schmelzend), und </w:t>
      </w:r>
      <w:r w:rsidR="00274C29">
        <w:rPr>
          <w:rtl/>
        </w:rPr>
        <w:t>מדיבת נפש</w:t>
      </w:r>
      <w:r w:rsidR="00274C29">
        <w:t xml:space="preserve"> (</w:t>
      </w:r>
      <w:proofErr w:type="spellStart"/>
      <w:r w:rsidR="00274C29">
        <w:t>medivot</w:t>
      </w:r>
      <w:proofErr w:type="spellEnd"/>
      <w:r w:rsidR="00274C29">
        <w:t xml:space="preserve"> </w:t>
      </w:r>
      <w:proofErr w:type="spellStart"/>
      <w:r w:rsidR="00274C29">
        <w:t>nafesh</w:t>
      </w:r>
      <w:proofErr w:type="spellEnd"/>
      <w:r w:rsidR="00274C29">
        <w:t xml:space="preserve"> - "Seelenschwund") als </w:t>
      </w:r>
      <w:proofErr w:type="spellStart"/>
      <w:r w:rsidR="00274C29">
        <w:t>τὴν</w:t>
      </w:r>
      <w:proofErr w:type="spellEnd"/>
      <w:r w:rsidR="00274C29">
        <w:t xml:space="preserve"> </w:t>
      </w:r>
      <w:proofErr w:type="spellStart"/>
      <w:r w:rsidR="00274C29">
        <w:t>ψυχὴν</w:t>
      </w:r>
      <w:proofErr w:type="spellEnd"/>
      <w:r w:rsidR="00274C29">
        <w:t xml:space="preserve"> </w:t>
      </w:r>
      <w:proofErr w:type="spellStart"/>
      <w:r w:rsidR="00274C29">
        <w:t>ὑμῶν</w:t>
      </w:r>
      <w:proofErr w:type="spellEnd"/>
      <w:r w:rsidR="00274C29">
        <w:t xml:space="preserve"> κατα</w:t>
      </w:r>
      <w:proofErr w:type="spellStart"/>
      <w:r w:rsidR="00274C29">
        <w:t>φθείροντ</w:t>
      </w:r>
      <w:proofErr w:type="spellEnd"/>
      <w:r w:rsidR="00274C29">
        <w:t>ας (eure Seele zerstörend).</w:t>
      </w:r>
    </w:p>
    <w:p w14:paraId="6AF098A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erste Fluch-Stufe: auch ich werde euch folgendes tun + Schrecken, Schwindsucht, Fieber bestellen + Augen verzehrend, Seele verschmachten lassend + vergeblich säen + Feinde verzehren Saat.</w:t>
      </w:r>
    </w:p>
    <w:p w14:paraId="2B1D491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beginnt die Fluch-Serie mit Krankheiten und landwirtschaftlichem Misserfolg als Umkehrung der Segens-Verheißungen.</w:t>
      </w:r>
    </w:p>
    <w:p w14:paraId="1D88B12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26,17</w:t>
      </w:r>
    </w:p>
    <w:p w14:paraId="2001AD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וְנָתַתִּ֤י פָנַי֙ בָּכֶ֔ם וְנִגַּפְתֶּ֖ם לִפְנֵ֣י אֹיְבֵיכֶ֑ם וְרָד֤וּ בָכֶם֙ שֹֽׂנְאֵיכֶ֔ם וְנַסְתֶּ֖ם וְאֵין־רֹדֵ֥ף אֶתְכֶֽם׃</w:t>
      </w:r>
    </w:p>
    <w:p w14:paraId="7B7BB36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mein Angesicht gegen euch richten, dass ihr vor euren Feinden geschlagen werdet; und eure Hasser werden über euch herrschen, und ihr werdet fliehen, obwohl niemand euch jagt.</w:t>
      </w:r>
    </w:p>
    <w:p w14:paraId="539F162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lastRenderedPageBreak/>
        <w:pict w14:anchorId="23FCA938">
          <v:rect id="_x0000_i1820" style="width:0;height:1.5pt" o:hralign="center" o:hrstd="t" o:hr="t" fillcolor="#a0a0a0" stroked="f"/>
        </w:pict>
      </w:r>
    </w:p>
    <w:p w14:paraId="1921501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ונתתי פני בכם ונגפתם לפני איביכם ורדו בכם שנאיכם ונסתם ואין־רדף אתכם</w:t>
      </w:r>
      <w:r w:rsidRPr="00CC6F7E">
        <w:rPr>
          <w:rFonts w:eastAsia="Times New Roman" w:cs="Times New Roman"/>
          <w:rtl/>
          <w:lang w:eastAsia="de-DE"/>
        </w:rPr>
        <w:t xml:space="preserve"> </w:t>
      </w:r>
      <w:r w:rsidRPr="00CC6F7E">
        <w:rPr>
          <w:rFonts w:eastAsia="Times New Roman" w:cs="Times New Roman"/>
          <w:lang w:eastAsia="de-DE"/>
        </w:rPr>
        <w:t xml:space="preserve">zeigt militärische Niederlage als göttliche Strafe. </w:t>
      </w:r>
      <w:r w:rsidRPr="00CC6F7E">
        <w:rPr>
          <w:rFonts w:eastAsia="Times New Roman" w:cs="Times New Roman"/>
          <w:b/>
          <w:bCs/>
          <w:rtl/>
          <w:lang w:eastAsia="de-DE"/>
        </w:rPr>
        <w:t>ונתתי פני בכם</w:t>
      </w:r>
      <w:r w:rsidRPr="00CC6F7E">
        <w:rPr>
          <w:rFonts w:eastAsia="Times New Roman" w:cs="Times New Roman"/>
          <w:rtl/>
          <w:lang w:eastAsia="de-DE"/>
        </w:rPr>
        <w:t xml:space="preserve"> </w:t>
      </w:r>
      <w:r w:rsidRPr="00CC6F7E">
        <w:rPr>
          <w:rFonts w:eastAsia="Times New Roman" w:cs="Times New Roman"/>
          <w:lang w:eastAsia="de-DE"/>
        </w:rPr>
        <w:t xml:space="preserve">(und ich werde mein Angesicht gegen euch richten) - </w:t>
      </w:r>
      <w:r w:rsidRPr="00CC6F7E">
        <w:rPr>
          <w:rFonts w:eastAsia="Times New Roman" w:cs="Times New Roman"/>
          <w:b/>
          <w:bCs/>
          <w:rtl/>
          <w:lang w:eastAsia="de-DE"/>
        </w:rPr>
        <w:t>ונתתי פני</w:t>
      </w:r>
      <w:r w:rsidRPr="00CC6F7E">
        <w:rPr>
          <w:rFonts w:eastAsia="Times New Roman" w:cs="Times New Roman"/>
          <w:rtl/>
          <w:lang w:eastAsia="de-DE"/>
        </w:rPr>
        <w:t xml:space="preserve"> </w:t>
      </w:r>
      <w:r w:rsidRPr="00CC6F7E">
        <w:rPr>
          <w:rFonts w:eastAsia="Times New Roman" w:cs="Times New Roman"/>
          <w:lang w:eastAsia="de-DE"/>
        </w:rPr>
        <w:t xml:space="preserve">(und ich werde mein Angesicht setzen/richten) im Gegensatz zu V. 9 </w:t>
      </w:r>
      <w:r w:rsidRPr="00CC6F7E">
        <w:rPr>
          <w:rFonts w:eastAsia="Times New Roman" w:cs="Times New Roman"/>
          <w:b/>
          <w:bCs/>
          <w:rtl/>
          <w:lang w:eastAsia="de-DE"/>
        </w:rPr>
        <w:t>ופניתי אליכם</w:t>
      </w:r>
      <w:r w:rsidRPr="00CC6F7E">
        <w:rPr>
          <w:rFonts w:eastAsia="Times New Roman" w:cs="Times New Roman"/>
          <w:rtl/>
          <w:lang w:eastAsia="de-DE"/>
        </w:rPr>
        <w:t xml:space="preserve"> </w:t>
      </w:r>
      <w:r w:rsidRPr="00CC6F7E">
        <w:rPr>
          <w:rFonts w:eastAsia="Times New Roman" w:cs="Times New Roman"/>
          <w:lang w:eastAsia="de-DE"/>
        </w:rPr>
        <w:t xml:space="preserve">(ich werde mich zu euch wenden). </w:t>
      </w:r>
      <w:r w:rsidRPr="00CC6F7E">
        <w:rPr>
          <w:rFonts w:eastAsia="Times New Roman" w:cs="Times New Roman"/>
          <w:b/>
          <w:bCs/>
          <w:rtl/>
          <w:lang w:eastAsia="de-DE"/>
        </w:rPr>
        <w:t>בכם</w:t>
      </w:r>
      <w:r w:rsidRPr="00CC6F7E">
        <w:rPr>
          <w:rFonts w:eastAsia="Times New Roman" w:cs="Times New Roman"/>
          <w:rtl/>
          <w:lang w:eastAsia="de-DE"/>
        </w:rPr>
        <w:t xml:space="preserve"> </w:t>
      </w:r>
      <w:r w:rsidRPr="00CC6F7E">
        <w:rPr>
          <w:rFonts w:eastAsia="Times New Roman" w:cs="Times New Roman"/>
          <w:lang w:eastAsia="de-DE"/>
        </w:rPr>
        <w:t>(gegen euch) zeigt feindliche göttliche Zuwendung.</w:t>
      </w:r>
    </w:p>
    <w:p w14:paraId="2E0AB3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ונגפתם לפני איביכם</w:t>
      </w:r>
      <w:r w:rsidRPr="00CC6F7E">
        <w:rPr>
          <w:rFonts w:eastAsia="Times New Roman" w:cs="Times New Roman"/>
          <w:rtl/>
          <w:lang w:eastAsia="de-DE"/>
        </w:rPr>
        <w:t xml:space="preserve"> </w:t>
      </w:r>
      <w:r w:rsidRPr="00CC6F7E">
        <w:rPr>
          <w:rFonts w:eastAsia="Times New Roman" w:cs="Times New Roman"/>
          <w:lang w:eastAsia="de-DE"/>
        </w:rPr>
        <w:t xml:space="preserve">(dass ihr vor euren Feinden geschlagen werdet) - </w:t>
      </w:r>
      <w:r w:rsidRPr="00CC6F7E">
        <w:rPr>
          <w:rFonts w:eastAsia="Times New Roman" w:cs="Times New Roman"/>
          <w:b/>
          <w:bCs/>
          <w:rtl/>
          <w:lang w:eastAsia="de-DE"/>
        </w:rPr>
        <w:t>ונגפתם</w:t>
      </w:r>
      <w:r w:rsidRPr="00CC6F7E">
        <w:rPr>
          <w:rFonts w:eastAsia="Times New Roman" w:cs="Times New Roman"/>
          <w:rtl/>
          <w:lang w:eastAsia="de-DE"/>
        </w:rPr>
        <w:t xml:space="preserve"> </w:t>
      </w:r>
      <w:r w:rsidRPr="00CC6F7E">
        <w:rPr>
          <w:rFonts w:eastAsia="Times New Roman" w:cs="Times New Roman"/>
          <w:lang w:eastAsia="de-DE"/>
        </w:rPr>
        <w:t xml:space="preserve">(und ihr werdet geschlagen) im Nifal-Perfekt von </w:t>
      </w:r>
      <w:r w:rsidRPr="00CC6F7E">
        <w:rPr>
          <w:rFonts w:eastAsia="Times New Roman" w:cs="Times New Roman"/>
          <w:b/>
          <w:bCs/>
          <w:rtl/>
          <w:lang w:eastAsia="de-DE"/>
        </w:rPr>
        <w:t>נגף</w:t>
      </w:r>
      <w:r w:rsidRPr="00CC6F7E">
        <w:rPr>
          <w:rFonts w:eastAsia="Times New Roman" w:cs="Times New Roman"/>
          <w:rtl/>
          <w:lang w:eastAsia="de-DE"/>
        </w:rPr>
        <w:t xml:space="preserve"> </w:t>
      </w:r>
      <w:r w:rsidRPr="00CC6F7E">
        <w:rPr>
          <w:rFonts w:eastAsia="Times New Roman" w:cs="Times New Roman"/>
          <w:lang w:eastAsia="de-DE"/>
        </w:rPr>
        <w:t xml:space="preserve">zeigt militärische Niederlage. </w:t>
      </w:r>
      <w:r w:rsidRPr="00CC6F7E">
        <w:rPr>
          <w:rFonts w:eastAsia="Times New Roman" w:cs="Times New Roman"/>
          <w:b/>
          <w:bCs/>
          <w:rtl/>
          <w:lang w:eastAsia="de-DE"/>
        </w:rPr>
        <w:t>לפני איביכם</w:t>
      </w:r>
      <w:r w:rsidRPr="00CC6F7E">
        <w:rPr>
          <w:rFonts w:eastAsia="Times New Roman" w:cs="Times New Roman"/>
          <w:rtl/>
          <w:lang w:eastAsia="de-DE"/>
        </w:rPr>
        <w:t xml:space="preserve"> </w:t>
      </w:r>
      <w:r w:rsidRPr="00CC6F7E">
        <w:rPr>
          <w:rFonts w:eastAsia="Times New Roman" w:cs="Times New Roman"/>
          <w:lang w:eastAsia="de-DE"/>
        </w:rPr>
        <w:t>entspricht V. 7-8, aber hier als Niederlage.</w:t>
      </w:r>
    </w:p>
    <w:p w14:paraId="6BA5C4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ורדו בכם שנאיכם</w:t>
      </w:r>
      <w:r w:rsidRPr="00CC6F7E">
        <w:rPr>
          <w:rFonts w:eastAsia="Times New Roman" w:cs="Times New Roman"/>
          <w:rtl/>
          <w:lang w:eastAsia="de-DE"/>
        </w:rPr>
        <w:t xml:space="preserve"> </w:t>
      </w:r>
      <w:r w:rsidRPr="00CC6F7E">
        <w:rPr>
          <w:rFonts w:eastAsia="Times New Roman" w:cs="Times New Roman"/>
          <w:lang w:eastAsia="de-DE"/>
        </w:rPr>
        <w:t xml:space="preserve">(und eure Hasser werden über euch herrschen) - </w:t>
      </w:r>
      <w:r w:rsidRPr="00CC6F7E">
        <w:rPr>
          <w:rFonts w:eastAsia="Times New Roman" w:cs="Times New Roman"/>
          <w:b/>
          <w:bCs/>
          <w:rtl/>
          <w:lang w:eastAsia="de-DE"/>
        </w:rPr>
        <w:t>ורדו בכם</w:t>
      </w:r>
      <w:r w:rsidRPr="00CC6F7E">
        <w:rPr>
          <w:rFonts w:eastAsia="Times New Roman" w:cs="Times New Roman"/>
          <w:rtl/>
          <w:lang w:eastAsia="de-DE"/>
        </w:rPr>
        <w:t xml:space="preserve"> </w:t>
      </w:r>
      <w:r w:rsidRPr="00CC6F7E">
        <w:rPr>
          <w:rFonts w:eastAsia="Times New Roman" w:cs="Times New Roman"/>
          <w:lang w:eastAsia="de-DE"/>
        </w:rPr>
        <w:t xml:space="preserve">(und sie werden über euch herrschen) von </w:t>
      </w:r>
      <w:r w:rsidRPr="00CC6F7E">
        <w:rPr>
          <w:rFonts w:eastAsia="Times New Roman" w:cs="Times New Roman"/>
          <w:b/>
          <w:bCs/>
          <w:rtl/>
          <w:lang w:eastAsia="de-DE"/>
        </w:rPr>
        <w:t>רדה</w:t>
      </w:r>
      <w:r w:rsidRPr="00CC6F7E">
        <w:rPr>
          <w:rFonts w:eastAsia="Times New Roman" w:cs="Times New Roman"/>
          <w:rtl/>
          <w:lang w:eastAsia="de-DE"/>
        </w:rPr>
        <w:t xml:space="preserve"> </w:t>
      </w:r>
      <w:r w:rsidRPr="00CC6F7E">
        <w:rPr>
          <w:rFonts w:eastAsia="Times New Roman" w:cs="Times New Roman"/>
          <w:lang w:eastAsia="de-DE"/>
        </w:rPr>
        <w:t xml:space="preserve">entspricht 25,43,46. </w:t>
      </w:r>
      <w:r w:rsidRPr="00CC6F7E">
        <w:rPr>
          <w:rFonts w:eastAsia="Times New Roman" w:cs="Times New Roman"/>
          <w:b/>
          <w:bCs/>
          <w:rtl/>
          <w:lang w:eastAsia="de-DE"/>
        </w:rPr>
        <w:t>שנאיכם</w:t>
      </w:r>
      <w:r w:rsidRPr="00CC6F7E">
        <w:rPr>
          <w:rFonts w:eastAsia="Times New Roman" w:cs="Times New Roman"/>
          <w:rtl/>
          <w:lang w:eastAsia="de-DE"/>
        </w:rPr>
        <w:t xml:space="preserve"> </w:t>
      </w:r>
      <w:r w:rsidRPr="00CC6F7E">
        <w:rPr>
          <w:rFonts w:eastAsia="Times New Roman" w:cs="Times New Roman"/>
          <w:lang w:eastAsia="de-DE"/>
        </w:rPr>
        <w:t xml:space="preserve">(eure Hasser) steigert </w:t>
      </w:r>
      <w:r w:rsidRPr="00CC6F7E">
        <w:rPr>
          <w:rFonts w:eastAsia="Times New Roman" w:cs="Times New Roman"/>
          <w:b/>
          <w:bCs/>
          <w:rtl/>
          <w:lang w:eastAsia="de-DE"/>
        </w:rPr>
        <w:t>איביכם</w:t>
      </w:r>
      <w:r w:rsidRPr="00CC6F7E">
        <w:rPr>
          <w:rFonts w:eastAsia="Times New Roman" w:cs="Times New Roman"/>
          <w:rtl/>
          <w:lang w:eastAsia="de-DE"/>
        </w:rPr>
        <w:t xml:space="preserve"> </w:t>
      </w:r>
      <w:r w:rsidRPr="00CC6F7E">
        <w:rPr>
          <w:rFonts w:eastAsia="Times New Roman" w:cs="Times New Roman"/>
          <w:lang w:eastAsia="de-DE"/>
        </w:rPr>
        <w:t>zu persönlichem Hass.</w:t>
      </w:r>
    </w:p>
    <w:p w14:paraId="516C38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ונסתם ואין־רדף אתכם</w:t>
      </w:r>
      <w:r w:rsidRPr="00CC6F7E">
        <w:rPr>
          <w:rFonts w:eastAsia="Times New Roman" w:cs="Times New Roman"/>
          <w:rtl/>
          <w:lang w:eastAsia="de-DE"/>
        </w:rPr>
        <w:t xml:space="preserve"> </w:t>
      </w:r>
      <w:r w:rsidRPr="00CC6F7E">
        <w:rPr>
          <w:rFonts w:eastAsia="Times New Roman" w:cs="Times New Roman"/>
          <w:lang w:eastAsia="de-DE"/>
        </w:rPr>
        <w:t xml:space="preserve">(und ihr werdet fliehen, obwohl niemand euch jagt) - </w:t>
      </w:r>
      <w:r w:rsidRPr="00CC6F7E">
        <w:rPr>
          <w:rFonts w:eastAsia="Times New Roman" w:cs="Times New Roman"/>
          <w:b/>
          <w:bCs/>
          <w:rtl/>
          <w:lang w:eastAsia="de-DE"/>
        </w:rPr>
        <w:t>ונסתם</w:t>
      </w:r>
      <w:r w:rsidRPr="00CC6F7E">
        <w:rPr>
          <w:rFonts w:eastAsia="Times New Roman" w:cs="Times New Roman"/>
          <w:rtl/>
          <w:lang w:eastAsia="de-DE"/>
        </w:rPr>
        <w:t xml:space="preserve"> </w:t>
      </w:r>
      <w:r w:rsidRPr="00CC6F7E">
        <w:rPr>
          <w:rFonts w:eastAsia="Times New Roman" w:cs="Times New Roman"/>
          <w:lang w:eastAsia="de-DE"/>
        </w:rPr>
        <w:t xml:space="preserve">(und ihr werdet fliehen) zeigt panische Flucht. </w:t>
      </w:r>
      <w:r w:rsidRPr="00CC6F7E">
        <w:rPr>
          <w:rFonts w:eastAsia="Times New Roman" w:cs="Times New Roman"/>
          <w:b/>
          <w:bCs/>
          <w:rtl/>
          <w:lang w:eastAsia="de-DE"/>
        </w:rPr>
        <w:t>ואין־רדף אתכם</w:t>
      </w:r>
      <w:r w:rsidRPr="00CC6F7E">
        <w:rPr>
          <w:rFonts w:eastAsia="Times New Roman" w:cs="Times New Roman"/>
          <w:rtl/>
          <w:lang w:eastAsia="de-DE"/>
        </w:rPr>
        <w:t xml:space="preserve"> </w:t>
      </w:r>
      <w:r w:rsidRPr="00CC6F7E">
        <w:rPr>
          <w:rFonts w:eastAsia="Times New Roman" w:cs="Times New Roman"/>
          <w:lang w:eastAsia="de-DE"/>
        </w:rPr>
        <w:t>(und niemand jagt euch) zeigt grundlose Panik.</w:t>
      </w:r>
    </w:p>
    <w:p w14:paraId="3FB0F6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פני בכם</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פני אליכם</w:t>
      </w:r>
      <w:r w:rsidRPr="00CC6F7E">
        <w:rPr>
          <w:rFonts w:eastAsia="Times New Roman" w:cs="Times New Roman"/>
          <w:rtl/>
          <w:lang w:eastAsia="de-DE"/>
        </w:rPr>
        <w:t xml:space="preserve"> </w:t>
      </w:r>
      <w:r w:rsidRPr="00CC6F7E">
        <w:rPr>
          <w:rFonts w:eastAsia="Times New Roman" w:cs="Times New Roman"/>
          <w:lang w:eastAsia="de-DE"/>
        </w:rPr>
        <w:t xml:space="preserve">zeigt Zuwendungsumkehr. </w:t>
      </w:r>
      <w:r w:rsidRPr="00CC6F7E">
        <w:rPr>
          <w:rFonts w:eastAsia="Times New Roman" w:cs="Times New Roman"/>
          <w:b/>
          <w:bCs/>
          <w:rtl/>
          <w:lang w:eastAsia="de-DE"/>
        </w:rPr>
        <w:t>נגפתם לפני איביכם</w:t>
      </w:r>
      <w:r w:rsidRPr="00CC6F7E">
        <w:rPr>
          <w:rFonts w:eastAsia="Times New Roman" w:cs="Times New Roman"/>
          <w:rtl/>
          <w:lang w:eastAsia="de-DE"/>
        </w:rPr>
        <w:t xml:space="preserve"> </w:t>
      </w:r>
      <w:r w:rsidRPr="00CC6F7E">
        <w:rPr>
          <w:rFonts w:eastAsia="Times New Roman" w:cs="Times New Roman"/>
          <w:lang w:eastAsia="de-DE"/>
        </w:rPr>
        <w:t xml:space="preserve">vs. V. 7-8 zeigt militärische Umkehrung. </w:t>
      </w:r>
      <w:r w:rsidRPr="00CC6F7E">
        <w:rPr>
          <w:rFonts w:eastAsia="Times New Roman" w:cs="Times New Roman"/>
          <w:b/>
          <w:bCs/>
          <w:rtl/>
          <w:lang w:eastAsia="de-DE"/>
        </w:rPr>
        <w:t>ונסתם ואין־רדף</w:t>
      </w:r>
      <w:r w:rsidRPr="00CC6F7E">
        <w:rPr>
          <w:rFonts w:eastAsia="Times New Roman" w:cs="Times New Roman"/>
          <w:rtl/>
          <w:lang w:eastAsia="de-DE"/>
        </w:rPr>
        <w:t xml:space="preserve"> </w:t>
      </w:r>
      <w:r w:rsidRPr="00CC6F7E">
        <w:rPr>
          <w:rFonts w:eastAsia="Times New Roman" w:cs="Times New Roman"/>
          <w:lang w:eastAsia="de-DE"/>
        </w:rPr>
        <w:t>zeigt psychologischen Zusammenbruch.</w:t>
      </w:r>
    </w:p>
    <w:p w14:paraId="02DAD69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ונתתי פני בכם</w:t>
      </w:r>
      <w:r w:rsidRPr="00CC6F7E">
        <w:rPr>
          <w:rFonts w:eastAsia="Times New Roman" w:cs="Times New Roman"/>
          <w:rtl/>
          <w:lang w:eastAsia="de-DE"/>
        </w:rPr>
        <w:t xml:space="preserve"> </w:t>
      </w:r>
      <w:r w:rsidRPr="00CC6F7E">
        <w:rPr>
          <w:rFonts w:eastAsia="Times New Roman" w:cs="Times New Roman"/>
          <w:lang w:eastAsia="de-DE"/>
        </w:rPr>
        <w:t>mit ἐπ</w:t>
      </w:r>
      <w:proofErr w:type="spellStart"/>
      <w:r w:rsidRPr="00CC6F7E">
        <w:rPr>
          <w:rFonts w:eastAsia="Times New Roman" w:cs="Times New Roman"/>
          <w:lang w:eastAsia="de-DE"/>
        </w:rPr>
        <w:t>ιστήσω</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ρόσω</w:t>
      </w:r>
      <w:proofErr w:type="spellEnd"/>
      <w:r w:rsidRPr="00CC6F7E">
        <w:rPr>
          <w:rFonts w:eastAsia="Times New Roman" w:cs="Times New Roman"/>
          <w:lang w:eastAsia="de-DE"/>
        </w:rPr>
        <w:t xml:space="preserve">πόν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ἐφ</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ὑμᾶς</w:t>
      </w:r>
      <w:proofErr w:type="spellEnd"/>
      <w:r w:rsidRPr="00CC6F7E">
        <w:rPr>
          <w:rFonts w:eastAsia="Times New Roman" w:cs="Times New Roman"/>
          <w:lang w:eastAsia="de-DE"/>
        </w:rPr>
        <w:t xml:space="preserve"> (werde ich mein Angesicht gegen euch richten), </w:t>
      </w:r>
      <w:r w:rsidRPr="00CC6F7E">
        <w:rPr>
          <w:rFonts w:eastAsia="Times New Roman" w:cs="Times New Roman"/>
          <w:b/>
          <w:bCs/>
          <w:rtl/>
          <w:lang w:eastAsia="de-DE"/>
        </w:rPr>
        <w:t>ונגפתם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συντρι</w:t>
      </w:r>
      <w:proofErr w:type="spellEnd"/>
      <w:r w:rsidRPr="00CC6F7E">
        <w:rPr>
          <w:rFonts w:eastAsia="Times New Roman" w:cs="Times New Roman"/>
          <w:lang w:eastAsia="de-DE"/>
        </w:rPr>
        <w:t xml:space="preserve">βήσεσθε (werdet ihr zerbrochen werden), </w:t>
      </w:r>
      <w:r w:rsidRPr="00CC6F7E">
        <w:rPr>
          <w:rFonts w:eastAsia="Times New Roman" w:cs="Times New Roman"/>
          <w:b/>
          <w:bCs/>
          <w:rtl/>
          <w:lang w:eastAsia="de-DE"/>
        </w:rPr>
        <w:t>ורדו בכם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τάρξουσιν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(werden über euch herrschen) und </w:t>
      </w:r>
      <w:r w:rsidRPr="00CC6F7E">
        <w:rPr>
          <w:rFonts w:eastAsia="Times New Roman" w:cs="Times New Roman"/>
          <w:b/>
          <w:bCs/>
          <w:rtl/>
          <w:lang w:eastAsia="de-DE"/>
        </w:rPr>
        <w:t>ואין־רדף</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μηδενὸς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διώκοντος</w:t>
      </w:r>
      <w:proofErr w:type="spellEnd"/>
      <w:r w:rsidRPr="00CC6F7E">
        <w:rPr>
          <w:rFonts w:eastAsia="Times New Roman" w:cs="Times New Roman"/>
          <w:lang w:eastAsia="de-DE"/>
        </w:rPr>
        <w:t xml:space="preserve"> (niemand verfolgend).</w:t>
      </w:r>
    </w:p>
    <w:p w14:paraId="206812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militärische Fluch-Stufe: Angesicht gegen euch richten + vor Feinden geschlagen werden + Hasser herrschen über euch + fliehen ohne Verfolger.</w:t>
      </w:r>
    </w:p>
    <w:p w14:paraId="53A39E0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militärische Niederlage und psychologischen Zusammenbruch als Umkehrung der Sieges-Verheißungen von V. 7-8.</w:t>
      </w:r>
    </w:p>
    <w:p w14:paraId="46F13F7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26,18</w:t>
      </w:r>
    </w:p>
    <w:p w14:paraId="301C8D6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וְאִ֨ם־עַד־אֵ֔לֶּה לֹ֥א תִשְׁמְע֖וּ לִ֑י וְיָסַפְתִּי֙ לְיַסְּרָ֣ה אֶתְכֶ֔ם שֶׁ֖בַע עַל־חַטֹּאתֵיכֶֽם׃</w:t>
      </w:r>
    </w:p>
    <w:p w14:paraId="526A56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mir trotz alledem nicht gehorcht, so werde ich euch noch siebenmal mehr züchtigen wegen eurer Sünden.</w:t>
      </w:r>
    </w:p>
    <w:p w14:paraId="547AE1C9"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EF49506">
          <v:rect id="_x0000_i1821" style="width:0;height:1.5pt" o:hralign="center" o:hrstd="t" o:hr="t" fillcolor="#a0a0a0" stroked="f"/>
        </w:pict>
      </w:r>
    </w:p>
    <w:p w14:paraId="0934B9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ואם־עד־אלה לא תשמעו לי ויספתי ליסרה אתכם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leitet die zweite Fluch-Stufe ein. </w:t>
      </w:r>
      <w:r w:rsidRPr="00CC6F7E">
        <w:rPr>
          <w:rFonts w:eastAsia="Times New Roman" w:cs="Times New Roman"/>
          <w:b/>
          <w:bCs/>
          <w:rtl/>
          <w:lang w:eastAsia="de-DE"/>
        </w:rPr>
        <w:t>ואם־עד־אלה לא תשמעו לי</w:t>
      </w:r>
      <w:r w:rsidRPr="00CC6F7E">
        <w:rPr>
          <w:rFonts w:eastAsia="Times New Roman" w:cs="Times New Roman"/>
          <w:rtl/>
          <w:lang w:eastAsia="de-DE"/>
        </w:rPr>
        <w:t xml:space="preserve"> </w:t>
      </w:r>
      <w:r w:rsidRPr="00CC6F7E">
        <w:rPr>
          <w:rFonts w:eastAsia="Times New Roman" w:cs="Times New Roman"/>
          <w:lang w:eastAsia="de-DE"/>
        </w:rPr>
        <w:t xml:space="preserve">(und wenn ihr mir trotz alledem nicht gehorcht) - </w:t>
      </w:r>
      <w:r w:rsidRPr="00CC6F7E">
        <w:rPr>
          <w:rFonts w:eastAsia="Times New Roman" w:cs="Times New Roman"/>
          <w:b/>
          <w:bCs/>
          <w:rtl/>
          <w:lang w:eastAsia="de-DE"/>
        </w:rPr>
        <w:t>עד־אלה</w:t>
      </w:r>
      <w:r w:rsidRPr="00CC6F7E">
        <w:rPr>
          <w:rFonts w:eastAsia="Times New Roman" w:cs="Times New Roman"/>
          <w:rtl/>
          <w:lang w:eastAsia="de-DE"/>
        </w:rPr>
        <w:t xml:space="preserve"> </w:t>
      </w:r>
      <w:r w:rsidRPr="00CC6F7E">
        <w:rPr>
          <w:rFonts w:eastAsia="Times New Roman" w:cs="Times New Roman"/>
          <w:lang w:eastAsia="de-DE"/>
        </w:rPr>
        <w:t xml:space="preserve">(bis zu diesen/trotz diesen) zeigt, dass die erste Fluch-Stufe (V. 16-17) nicht zur Umkehr führte. </w:t>
      </w:r>
      <w:r w:rsidRPr="00CC6F7E">
        <w:rPr>
          <w:rFonts w:eastAsia="Times New Roman" w:cs="Times New Roman"/>
          <w:b/>
          <w:bCs/>
          <w:rtl/>
          <w:lang w:eastAsia="de-DE"/>
        </w:rPr>
        <w:t>לא תשמעו לי</w:t>
      </w:r>
      <w:r w:rsidRPr="00CC6F7E">
        <w:rPr>
          <w:rFonts w:eastAsia="Times New Roman" w:cs="Times New Roman"/>
          <w:rtl/>
          <w:lang w:eastAsia="de-DE"/>
        </w:rPr>
        <w:t xml:space="preserve"> </w:t>
      </w:r>
      <w:r w:rsidRPr="00CC6F7E">
        <w:rPr>
          <w:rFonts w:eastAsia="Times New Roman" w:cs="Times New Roman"/>
          <w:lang w:eastAsia="de-DE"/>
        </w:rPr>
        <w:t>entspricht V. 14.</w:t>
      </w:r>
    </w:p>
    <w:p w14:paraId="46B8A4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ויספתי ליסרה אתכם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(so werde ich euch noch siebenmal mehr züchtigen wegen eurer Sünden) - </w:t>
      </w:r>
      <w:r w:rsidRPr="00CC6F7E">
        <w:rPr>
          <w:rFonts w:eastAsia="Times New Roman" w:cs="Times New Roman"/>
          <w:b/>
          <w:bCs/>
          <w:rtl/>
          <w:lang w:eastAsia="de-DE"/>
        </w:rPr>
        <w:t>ויספתי</w:t>
      </w:r>
      <w:r w:rsidRPr="00CC6F7E">
        <w:rPr>
          <w:rFonts w:eastAsia="Times New Roman" w:cs="Times New Roman"/>
          <w:rtl/>
          <w:lang w:eastAsia="de-DE"/>
        </w:rPr>
        <w:t xml:space="preserve"> </w:t>
      </w:r>
      <w:r w:rsidRPr="00CC6F7E">
        <w:rPr>
          <w:rFonts w:eastAsia="Times New Roman" w:cs="Times New Roman"/>
          <w:lang w:eastAsia="de-DE"/>
        </w:rPr>
        <w:t xml:space="preserve">(und ich werde hinzufügen) im Qal-Perfekt mit Waw-Konsekutiv von </w:t>
      </w:r>
      <w:r w:rsidRPr="00CC6F7E">
        <w:rPr>
          <w:rFonts w:eastAsia="Times New Roman" w:cs="Times New Roman"/>
          <w:b/>
          <w:bCs/>
          <w:rtl/>
          <w:lang w:eastAsia="de-DE"/>
        </w:rPr>
        <w:t>יסף</w:t>
      </w:r>
      <w:r w:rsidRPr="00CC6F7E">
        <w:rPr>
          <w:rFonts w:eastAsia="Times New Roman" w:cs="Times New Roman"/>
          <w:rtl/>
          <w:lang w:eastAsia="de-DE"/>
        </w:rPr>
        <w:t xml:space="preserve"> </w:t>
      </w:r>
      <w:r w:rsidRPr="00CC6F7E">
        <w:rPr>
          <w:rFonts w:eastAsia="Times New Roman" w:cs="Times New Roman"/>
          <w:lang w:eastAsia="de-DE"/>
        </w:rPr>
        <w:t xml:space="preserve">zeigt Steigerung der Strafe. </w:t>
      </w:r>
      <w:r w:rsidRPr="00CC6F7E">
        <w:rPr>
          <w:rFonts w:eastAsia="Times New Roman" w:cs="Times New Roman"/>
          <w:b/>
          <w:bCs/>
          <w:rtl/>
          <w:lang w:eastAsia="de-DE"/>
        </w:rPr>
        <w:t>ליסרה אתכם</w:t>
      </w:r>
      <w:r w:rsidRPr="00CC6F7E">
        <w:rPr>
          <w:rFonts w:eastAsia="Times New Roman" w:cs="Times New Roman"/>
          <w:rtl/>
          <w:lang w:eastAsia="de-DE"/>
        </w:rPr>
        <w:t xml:space="preserve"> </w:t>
      </w:r>
      <w:r w:rsidRPr="00CC6F7E">
        <w:rPr>
          <w:rFonts w:eastAsia="Times New Roman" w:cs="Times New Roman"/>
          <w:lang w:eastAsia="de-DE"/>
        </w:rPr>
        <w:t xml:space="preserve">(euch zu züchtigen) - </w:t>
      </w:r>
      <w:r w:rsidRPr="00CC6F7E">
        <w:rPr>
          <w:rFonts w:eastAsia="Times New Roman" w:cs="Times New Roman"/>
          <w:b/>
          <w:bCs/>
          <w:rtl/>
          <w:lang w:eastAsia="de-DE"/>
        </w:rPr>
        <w:t>יסר</w:t>
      </w:r>
      <w:r w:rsidRPr="00CC6F7E">
        <w:rPr>
          <w:rFonts w:eastAsia="Times New Roman" w:cs="Times New Roman"/>
          <w:rtl/>
          <w:lang w:eastAsia="de-DE"/>
        </w:rPr>
        <w:t xml:space="preserve"> </w:t>
      </w:r>
      <w:r w:rsidRPr="00CC6F7E">
        <w:rPr>
          <w:rFonts w:eastAsia="Times New Roman" w:cs="Times New Roman"/>
          <w:lang w:eastAsia="de-DE"/>
        </w:rPr>
        <w:t xml:space="preserve">(züchtigen/erziehen) zeigt pädagogischen Strafzweck. </w:t>
      </w:r>
      <w:r w:rsidRPr="00CC6F7E">
        <w:rPr>
          <w:rFonts w:eastAsia="Times New Roman" w:cs="Times New Roman"/>
          <w:b/>
          <w:bCs/>
          <w:rtl/>
          <w:lang w:eastAsia="de-DE"/>
        </w:rPr>
        <w:t>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(siebenfach wegen eurer Sünden) - </w:t>
      </w:r>
      <w:r w:rsidRPr="00CC6F7E">
        <w:rPr>
          <w:rFonts w:eastAsia="Times New Roman" w:cs="Times New Roman"/>
          <w:b/>
          <w:bCs/>
          <w:rtl/>
          <w:lang w:eastAsia="de-DE"/>
        </w:rPr>
        <w:t>שבע</w:t>
      </w:r>
      <w:r w:rsidRPr="00CC6F7E">
        <w:rPr>
          <w:rFonts w:eastAsia="Times New Roman" w:cs="Times New Roman"/>
          <w:rtl/>
          <w:lang w:eastAsia="de-DE"/>
        </w:rPr>
        <w:t xml:space="preserve"> </w:t>
      </w:r>
      <w:r w:rsidRPr="00CC6F7E">
        <w:rPr>
          <w:rFonts w:eastAsia="Times New Roman" w:cs="Times New Roman"/>
          <w:lang w:eastAsia="de-DE"/>
        </w:rPr>
        <w:t xml:space="preserve">(siebenfach) zeigt vollkommene Strafsteigerung. </w:t>
      </w:r>
      <w:r w:rsidRPr="00CC6F7E">
        <w:rPr>
          <w:rFonts w:eastAsia="Times New Roman" w:cs="Times New Roman"/>
          <w:b/>
          <w:bCs/>
          <w:rtl/>
          <w:lang w:eastAsia="de-DE"/>
        </w:rPr>
        <w:t>על־חטאתיכם</w:t>
      </w:r>
      <w:r w:rsidRPr="00CC6F7E">
        <w:rPr>
          <w:rFonts w:eastAsia="Times New Roman" w:cs="Times New Roman"/>
          <w:rtl/>
          <w:lang w:eastAsia="de-DE"/>
        </w:rPr>
        <w:t xml:space="preserve"> </w:t>
      </w:r>
      <w:r w:rsidRPr="00CC6F7E">
        <w:rPr>
          <w:rFonts w:eastAsia="Times New Roman" w:cs="Times New Roman"/>
          <w:lang w:eastAsia="de-DE"/>
        </w:rPr>
        <w:t>zeigt die Sünden als Strafgrund.</w:t>
      </w:r>
    </w:p>
    <w:p w14:paraId="348C3378" w14:textId="52624EF1"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עד־אלה</w:t>
      </w:r>
      <w:r w:rsidRPr="00CC6F7E">
        <w:rPr>
          <w:rFonts w:eastAsia="Times New Roman" w:cs="Times New Roman"/>
          <w:rtl/>
          <w:lang w:eastAsia="de-DE"/>
        </w:rPr>
        <w:t xml:space="preserve"> </w:t>
      </w:r>
      <w:r w:rsidRPr="00CC6F7E">
        <w:rPr>
          <w:rFonts w:eastAsia="Times New Roman" w:cs="Times New Roman"/>
          <w:lang w:eastAsia="de-DE"/>
        </w:rPr>
        <w:t xml:space="preserve">zeigt </w:t>
      </w:r>
      <w:r w:rsidR="000024AA" w:rsidRPr="00CC6F7E">
        <w:rPr>
          <w:rFonts w:eastAsia="Times New Roman" w:cs="Times New Roman"/>
          <w:lang w:eastAsia="de-DE"/>
        </w:rPr>
        <w:t>das</w:t>
      </w:r>
      <w:r w:rsidRPr="00CC6F7E">
        <w:rPr>
          <w:rFonts w:eastAsia="Times New Roman" w:cs="Times New Roman"/>
          <w:lang w:eastAsia="de-DE"/>
        </w:rPr>
        <w:t xml:space="preserve"> erste Strafen nicht zur Umkehr führten. </w:t>
      </w:r>
      <w:r w:rsidRPr="00CC6F7E">
        <w:rPr>
          <w:rFonts w:eastAsia="Times New Roman" w:cs="Times New Roman"/>
          <w:b/>
          <w:bCs/>
          <w:rtl/>
          <w:lang w:eastAsia="de-DE"/>
        </w:rPr>
        <w:t>ויספתי ליסרה</w:t>
      </w:r>
      <w:r w:rsidRPr="00CC6F7E">
        <w:rPr>
          <w:rFonts w:eastAsia="Times New Roman" w:cs="Times New Roman"/>
          <w:rtl/>
          <w:lang w:eastAsia="de-DE"/>
        </w:rPr>
        <w:t xml:space="preserve"> </w:t>
      </w:r>
      <w:r w:rsidRPr="00CC6F7E">
        <w:rPr>
          <w:rFonts w:eastAsia="Times New Roman" w:cs="Times New Roman"/>
          <w:lang w:eastAsia="de-DE"/>
        </w:rPr>
        <w:t xml:space="preserve">zeigt Strafsteigerung. </w:t>
      </w:r>
      <w:r w:rsidRPr="00CC6F7E">
        <w:rPr>
          <w:rFonts w:eastAsia="Times New Roman" w:cs="Times New Roman"/>
          <w:b/>
          <w:bCs/>
          <w:rtl/>
          <w:lang w:eastAsia="de-DE"/>
        </w:rPr>
        <w:t>שבע</w:t>
      </w:r>
      <w:r w:rsidRPr="00CC6F7E">
        <w:rPr>
          <w:rFonts w:eastAsia="Times New Roman" w:cs="Times New Roman"/>
          <w:rtl/>
          <w:lang w:eastAsia="de-DE"/>
        </w:rPr>
        <w:t xml:space="preserve"> </w:t>
      </w:r>
      <w:r w:rsidRPr="00CC6F7E">
        <w:rPr>
          <w:rFonts w:eastAsia="Times New Roman" w:cs="Times New Roman"/>
          <w:lang w:eastAsia="de-DE"/>
        </w:rPr>
        <w:t>zeigt vollkommene Intensivierung.</w:t>
      </w:r>
    </w:p>
    <w:p w14:paraId="019F626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עד־אלה</w:t>
      </w:r>
      <w:r w:rsidRPr="00CC6F7E">
        <w:rPr>
          <w:rFonts w:eastAsia="Times New Roman" w:cs="Times New Roman"/>
          <w:rtl/>
          <w:lang w:eastAsia="de-DE"/>
        </w:rPr>
        <w:t xml:space="preserve"> </w:t>
      </w:r>
      <w:r w:rsidRPr="00CC6F7E">
        <w:rPr>
          <w:rFonts w:eastAsia="Times New Roman" w:cs="Times New Roman"/>
          <w:lang w:eastAsia="de-DE"/>
        </w:rPr>
        <w:t xml:space="preserve">mit ἐπὶ </w:t>
      </w:r>
      <w:proofErr w:type="spellStart"/>
      <w:r w:rsidRPr="00CC6F7E">
        <w:rPr>
          <w:rFonts w:eastAsia="Times New Roman" w:cs="Times New Roman"/>
          <w:lang w:eastAsia="de-DE"/>
        </w:rPr>
        <w:t>τούτοις</w:t>
      </w:r>
      <w:proofErr w:type="spellEnd"/>
      <w:r w:rsidRPr="00CC6F7E">
        <w:rPr>
          <w:rFonts w:eastAsia="Times New Roman" w:cs="Times New Roman"/>
          <w:lang w:eastAsia="de-DE"/>
        </w:rPr>
        <w:t xml:space="preserve"> (bei diesen), </w:t>
      </w:r>
      <w:r w:rsidRPr="00CC6F7E">
        <w:rPr>
          <w:rFonts w:eastAsia="Times New Roman" w:cs="Times New Roman"/>
          <w:b/>
          <w:bCs/>
          <w:rtl/>
          <w:lang w:eastAsia="de-DE"/>
        </w:rPr>
        <w:t>ויספת</w:t>
      </w:r>
      <w:r w:rsidRPr="00CC6F7E">
        <w:rPr>
          <w:rFonts w:eastAsia="Times New Roman" w:cs="Times New Roman"/>
          <w:b/>
          <w:bCs/>
          <w:lang w:eastAsia="de-DE"/>
        </w:rPr>
        <w:t>ι</w:t>
      </w:r>
      <w:r w:rsidRPr="00CC6F7E">
        <w:rPr>
          <w:rFonts w:eastAsia="Times New Roman" w:cs="Times New Roman"/>
          <w:lang w:eastAsia="de-DE"/>
        </w:rPr>
        <w:t xml:space="preserve"> mit π</w:t>
      </w:r>
      <w:proofErr w:type="spellStart"/>
      <w:r w:rsidRPr="00CC6F7E">
        <w:rPr>
          <w:rFonts w:eastAsia="Times New Roman" w:cs="Times New Roman"/>
          <w:lang w:eastAsia="de-DE"/>
        </w:rPr>
        <w:t>ροσθήσω</w:t>
      </w:r>
      <w:proofErr w:type="spellEnd"/>
      <w:r w:rsidRPr="00CC6F7E">
        <w:rPr>
          <w:rFonts w:eastAsia="Times New Roman" w:cs="Times New Roman"/>
          <w:lang w:eastAsia="de-DE"/>
        </w:rPr>
        <w:t xml:space="preserve"> (werde ich hinzufügen), </w:t>
      </w:r>
      <w:r w:rsidRPr="00CC6F7E">
        <w:rPr>
          <w:rFonts w:eastAsia="Times New Roman" w:cs="Times New Roman"/>
          <w:b/>
          <w:bCs/>
          <w:rtl/>
          <w:lang w:eastAsia="de-DE"/>
        </w:rPr>
        <w:t>ליסרה</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ιδεῦσ</w:t>
      </w:r>
      <w:proofErr w:type="spellEnd"/>
      <w:r w:rsidRPr="00CC6F7E">
        <w:rPr>
          <w:rFonts w:eastAsia="Times New Roman" w:cs="Times New Roman"/>
          <w:lang w:eastAsia="de-DE"/>
        </w:rPr>
        <w:t xml:space="preserve">αι (zu erziehen) und </w:t>
      </w:r>
      <w:r w:rsidRPr="00CC6F7E">
        <w:rPr>
          <w:rFonts w:eastAsia="Times New Roman" w:cs="Times New Roman"/>
          <w:b/>
          <w:bCs/>
          <w:rtl/>
          <w:lang w:eastAsia="de-DE"/>
        </w:rPr>
        <w:t>שבע</w:t>
      </w:r>
      <w:r w:rsidRPr="00CC6F7E">
        <w:rPr>
          <w:rFonts w:eastAsia="Times New Roman" w:cs="Times New Roman"/>
          <w:rtl/>
          <w:lang w:eastAsia="de-DE"/>
        </w:rPr>
        <w:t xml:space="preserve"> </w:t>
      </w:r>
      <w:r w:rsidRPr="00CC6F7E">
        <w:rPr>
          <w:rFonts w:eastAsia="Times New Roman" w:cs="Times New Roman"/>
          <w:lang w:eastAsia="de-DE"/>
        </w:rPr>
        <w:t>mit ἑπ</w:t>
      </w:r>
      <w:proofErr w:type="spellStart"/>
      <w:r w:rsidRPr="00CC6F7E">
        <w:rPr>
          <w:rFonts w:eastAsia="Times New Roman" w:cs="Times New Roman"/>
          <w:lang w:eastAsia="de-DE"/>
        </w:rPr>
        <w:t>τάκις</w:t>
      </w:r>
      <w:proofErr w:type="spellEnd"/>
      <w:r w:rsidRPr="00CC6F7E">
        <w:rPr>
          <w:rFonts w:eastAsia="Times New Roman" w:cs="Times New Roman"/>
          <w:lang w:eastAsia="de-DE"/>
        </w:rPr>
        <w:t xml:space="preserve"> (siebenfach).</w:t>
      </w:r>
    </w:p>
    <w:p w14:paraId="5A8FD5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zweite Fluch-Stufen-Einleitung: trotz alledem nicht gehorchen + hinzufügen euch zu züchtigen + siebenfach wegen eurer Sünden.</w:t>
      </w:r>
    </w:p>
    <w:p w14:paraId="5B042A4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leitet die Strafsteigerung ein: Wenn erste Strafen nicht zur Umkehr führen, erfolgt siebenfache Intensivierung.</w:t>
      </w:r>
    </w:p>
    <w:p w14:paraId="4222007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26,19</w:t>
      </w:r>
    </w:p>
    <w:p w14:paraId="2D7994C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וְשָׁבַרְתִּ֖י אֶת־גְּא֣וֹן עֻזְּכֶ֑ם וְנָתַתִּ֤י אֶת־שְׁמֵיכֶם֙ כַּבַּרְזֶ֔ל וְאֶֽת־אַרְצְכֶ֖ם כַּנְּחֻשָֽׁה׃</w:t>
      </w:r>
    </w:p>
    <w:p w14:paraId="2C4E4A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euren starken Hochmut brechen und werde euren Himmel wie Eisen machen und eure Erde wie Erz.</w:t>
      </w:r>
    </w:p>
    <w:p w14:paraId="529480C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A7BEDB9">
          <v:rect id="_x0000_i1822" style="width:0;height:1.5pt" o:hralign="center" o:hrstd="t" o:hr="t" fillcolor="#a0a0a0" stroked="f"/>
        </w:pict>
      </w:r>
    </w:p>
    <w:p w14:paraId="261D44A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ושברתי את־גאון עזכם ונתתי את־שמיכם כברזל ואת־ארצכם כנחשה</w:t>
      </w:r>
      <w:r w:rsidRPr="00CC6F7E">
        <w:rPr>
          <w:rFonts w:eastAsia="Times New Roman" w:cs="Times New Roman"/>
          <w:rtl/>
          <w:lang w:eastAsia="de-DE"/>
        </w:rPr>
        <w:t xml:space="preserve"> </w:t>
      </w:r>
      <w:r w:rsidRPr="00CC6F7E">
        <w:rPr>
          <w:rFonts w:eastAsia="Times New Roman" w:cs="Times New Roman"/>
          <w:lang w:eastAsia="de-DE"/>
        </w:rPr>
        <w:t xml:space="preserve">zeigt die zweite Fluch-Stufe: Naturkatastrophen. </w:t>
      </w:r>
      <w:r w:rsidRPr="00CC6F7E">
        <w:rPr>
          <w:rFonts w:eastAsia="Times New Roman" w:cs="Times New Roman"/>
          <w:b/>
          <w:bCs/>
          <w:rtl/>
          <w:lang w:eastAsia="de-DE"/>
        </w:rPr>
        <w:t>ושברתי את־גאון עזכם</w:t>
      </w:r>
      <w:r w:rsidRPr="00CC6F7E">
        <w:rPr>
          <w:rFonts w:eastAsia="Times New Roman" w:cs="Times New Roman"/>
          <w:rtl/>
          <w:lang w:eastAsia="de-DE"/>
        </w:rPr>
        <w:t xml:space="preserve"> </w:t>
      </w:r>
      <w:r w:rsidRPr="00CC6F7E">
        <w:rPr>
          <w:rFonts w:eastAsia="Times New Roman" w:cs="Times New Roman"/>
          <w:lang w:eastAsia="de-DE"/>
        </w:rPr>
        <w:t xml:space="preserve">(und ich werde euren starken Hochmut brechen) - </w:t>
      </w:r>
      <w:r w:rsidRPr="00CC6F7E">
        <w:rPr>
          <w:rFonts w:eastAsia="Times New Roman" w:cs="Times New Roman"/>
          <w:b/>
          <w:bCs/>
          <w:rtl/>
          <w:lang w:eastAsia="de-DE"/>
        </w:rPr>
        <w:t>ושברתי</w:t>
      </w:r>
      <w:r w:rsidRPr="00CC6F7E">
        <w:rPr>
          <w:rFonts w:eastAsia="Times New Roman" w:cs="Times New Roman"/>
          <w:rtl/>
          <w:lang w:eastAsia="de-DE"/>
        </w:rPr>
        <w:t xml:space="preserve"> </w:t>
      </w:r>
      <w:r w:rsidRPr="00CC6F7E">
        <w:rPr>
          <w:rFonts w:eastAsia="Times New Roman" w:cs="Times New Roman"/>
          <w:lang w:eastAsia="de-DE"/>
        </w:rPr>
        <w:t xml:space="preserve">(und ich werde brechen) im Qal-Perfekt mit Waw-Konsekutiv von </w:t>
      </w:r>
      <w:r w:rsidRPr="00CC6F7E">
        <w:rPr>
          <w:rFonts w:eastAsia="Times New Roman" w:cs="Times New Roman"/>
          <w:b/>
          <w:bCs/>
          <w:rtl/>
          <w:lang w:eastAsia="de-DE"/>
        </w:rPr>
        <w:t>שבר</w:t>
      </w:r>
      <w:r w:rsidRPr="00CC6F7E">
        <w:rPr>
          <w:rFonts w:eastAsia="Times New Roman" w:cs="Times New Roman"/>
          <w:rtl/>
          <w:lang w:eastAsia="de-DE"/>
        </w:rPr>
        <w:t xml:space="preserve"> </w:t>
      </w:r>
      <w:r w:rsidRPr="00CC6F7E">
        <w:rPr>
          <w:rFonts w:eastAsia="Times New Roman" w:cs="Times New Roman"/>
          <w:lang w:eastAsia="de-DE"/>
        </w:rPr>
        <w:t xml:space="preserve">entspricht V. 13 </w:t>
      </w:r>
      <w:r w:rsidRPr="00CC6F7E">
        <w:rPr>
          <w:rFonts w:eastAsia="Times New Roman" w:cs="Times New Roman"/>
          <w:b/>
          <w:bCs/>
          <w:rtl/>
          <w:lang w:eastAsia="de-DE"/>
        </w:rPr>
        <w:t>ואשבר מטת עלכם</w:t>
      </w:r>
      <w:r w:rsidRPr="00CC6F7E">
        <w:rPr>
          <w:rFonts w:eastAsia="Times New Roman" w:cs="Times New Roman"/>
          <w:lang w:eastAsia="de-DE"/>
        </w:rPr>
        <w:t xml:space="preserve">. </w:t>
      </w:r>
      <w:r w:rsidRPr="00CC6F7E">
        <w:rPr>
          <w:rFonts w:eastAsia="Times New Roman" w:cs="Times New Roman"/>
          <w:b/>
          <w:bCs/>
          <w:rtl/>
          <w:lang w:eastAsia="de-DE"/>
        </w:rPr>
        <w:t>את־גאון עזכם</w:t>
      </w:r>
      <w:r w:rsidRPr="00CC6F7E">
        <w:rPr>
          <w:rFonts w:eastAsia="Times New Roman" w:cs="Times New Roman"/>
          <w:rtl/>
          <w:lang w:eastAsia="de-DE"/>
        </w:rPr>
        <w:t xml:space="preserve"> </w:t>
      </w:r>
      <w:r w:rsidRPr="00CC6F7E">
        <w:rPr>
          <w:rFonts w:eastAsia="Times New Roman" w:cs="Times New Roman"/>
          <w:lang w:eastAsia="de-DE"/>
        </w:rPr>
        <w:t xml:space="preserve">(euren starken Hochmut) - </w:t>
      </w:r>
      <w:r w:rsidRPr="00CC6F7E">
        <w:rPr>
          <w:rFonts w:eastAsia="Times New Roman" w:cs="Times New Roman"/>
          <w:b/>
          <w:bCs/>
          <w:rtl/>
          <w:lang w:eastAsia="de-DE"/>
        </w:rPr>
        <w:t>גאון עז</w:t>
      </w:r>
      <w:r w:rsidRPr="00CC6F7E">
        <w:rPr>
          <w:rFonts w:eastAsia="Times New Roman" w:cs="Times New Roman"/>
          <w:rtl/>
          <w:lang w:eastAsia="de-DE"/>
        </w:rPr>
        <w:t xml:space="preserve"> </w:t>
      </w:r>
      <w:r w:rsidRPr="00CC6F7E">
        <w:rPr>
          <w:rFonts w:eastAsia="Times New Roman" w:cs="Times New Roman"/>
          <w:lang w:eastAsia="de-DE"/>
        </w:rPr>
        <w:t xml:space="preserve">(Stolz der Stärke) zeigt nationales Selbstvertrauen/Hochmut. </w:t>
      </w:r>
      <w:r w:rsidRPr="00CC6F7E">
        <w:rPr>
          <w:rFonts w:eastAsia="Times New Roman" w:cs="Times New Roman"/>
          <w:b/>
          <w:bCs/>
          <w:rtl/>
          <w:lang w:eastAsia="de-DE"/>
        </w:rPr>
        <w:t>עזכם</w:t>
      </w:r>
      <w:r w:rsidRPr="00CC6F7E">
        <w:rPr>
          <w:rFonts w:eastAsia="Times New Roman" w:cs="Times New Roman"/>
          <w:rtl/>
          <w:lang w:eastAsia="de-DE"/>
        </w:rPr>
        <w:t xml:space="preserve"> </w:t>
      </w:r>
      <w:r w:rsidRPr="00CC6F7E">
        <w:rPr>
          <w:rFonts w:eastAsia="Times New Roman" w:cs="Times New Roman"/>
          <w:lang w:eastAsia="de-DE"/>
        </w:rPr>
        <w:t>(eure Stärke) zeigt militärische oder politische Macht.</w:t>
      </w:r>
    </w:p>
    <w:p w14:paraId="4BDEDB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ונתתי את־שמיכם כברזל ואת־ארצכם כנחשה</w:t>
      </w:r>
      <w:r w:rsidRPr="00CC6F7E">
        <w:rPr>
          <w:rFonts w:eastAsia="Times New Roman" w:cs="Times New Roman"/>
          <w:rtl/>
          <w:lang w:eastAsia="de-DE"/>
        </w:rPr>
        <w:t xml:space="preserve"> </w:t>
      </w:r>
      <w:r w:rsidRPr="00CC6F7E">
        <w:rPr>
          <w:rFonts w:eastAsia="Times New Roman" w:cs="Times New Roman"/>
          <w:lang w:eastAsia="de-DE"/>
        </w:rPr>
        <w:t xml:space="preserve">(und werde euren Himmel wie Eisen machen und eure Erde wie Erz) - </w:t>
      </w:r>
      <w:r w:rsidRPr="00CC6F7E">
        <w:rPr>
          <w:rFonts w:eastAsia="Times New Roman" w:cs="Times New Roman"/>
          <w:b/>
          <w:bCs/>
          <w:rtl/>
          <w:lang w:eastAsia="de-DE"/>
        </w:rPr>
        <w:t>ונתתי</w:t>
      </w:r>
      <w:r w:rsidRPr="00CC6F7E">
        <w:rPr>
          <w:rFonts w:eastAsia="Times New Roman" w:cs="Times New Roman"/>
          <w:rtl/>
          <w:lang w:eastAsia="de-DE"/>
        </w:rPr>
        <w:t xml:space="preserve"> </w:t>
      </w:r>
      <w:r w:rsidRPr="00CC6F7E">
        <w:rPr>
          <w:rFonts w:eastAsia="Times New Roman" w:cs="Times New Roman"/>
          <w:lang w:eastAsia="de-DE"/>
        </w:rPr>
        <w:t xml:space="preserve">entspricht den Segens-Verheißungen, aber hier als Fluch. </w:t>
      </w:r>
      <w:r w:rsidRPr="00CC6F7E">
        <w:rPr>
          <w:rFonts w:eastAsia="Times New Roman" w:cs="Times New Roman"/>
          <w:b/>
          <w:bCs/>
          <w:rtl/>
          <w:lang w:eastAsia="de-DE"/>
        </w:rPr>
        <w:t>שמיכם כברזל</w:t>
      </w:r>
      <w:r w:rsidRPr="00CC6F7E">
        <w:rPr>
          <w:rFonts w:eastAsia="Times New Roman" w:cs="Times New Roman"/>
          <w:rtl/>
          <w:lang w:eastAsia="de-DE"/>
        </w:rPr>
        <w:t xml:space="preserve"> </w:t>
      </w:r>
      <w:r w:rsidRPr="00CC6F7E">
        <w:rPr>
          <w:rFonts w:eastAsia="Times New Roman" w:cs="Times New Roman"/>
          <w:lang w:eastAsia="de-DE"/>
        </w:rPr>
        <w:t xml:space="preserve">(euren Himmel wie Eisen) zeigt verschlossenen Himmel ohne Regen. </w:t>
      </w:r>
      <w:r w:rsidRPr="00CC6F7E">
        <w:rPr>
          <w:rFonts w:eastAsia="Times New Roman" w:cs="Times New Roman"/>
          <w:b/>
          <w:bCs/>
          <w:rtl/>
          <w:lang w:eastAsia="de-DE"/>
        </w:rPr>
        <w:t>ארצכם כנחשה</w:t>
      </w:r>
      <w:r w:rsidRPr="00CC6F7E">
        <w:rPr>
          <w:rFonts w:eastAsia="Times New Roman" w:cs="Times New Roman"/>
          <w:rtl/>
          <w:lang w:eastAsia="de-DE"/>
        </w:rPr>
        <w:t xml:space="preserve"> </w:t>
      </w:r>
      <w:r w:rsidRPr="00CC6F7E">
        <w:rPr>
          <w:rFonts w:eastAsia="Times New Roman" w:cs="Times New Roman"/>
          <w:lang w:eastAsia="de-DE"/>
        </w:rPr>
        <w:t xml:space="preserve">(eure Erde wie Erz) zeigt verhärteten, unfruchtbaren Boden. </w:t>
      </w:r>
      <w:r w:rsidRPr="00CC6F7E">
        <w:rPr>
          <w:rFonts w:eastAsia="Times New Roman" w:cs="Times New Roman"/>
          <w:b/>
          <w:bCs/>
          <w:rtl/>
          <w:lang w:eastAsia="de-DE"/>
        </w:rPr>
        <w:t>ברזל</w:t>
      </w:r>
      <w:r w:rsidRPr="00CC6F7E">
        <w:rPr>
          <w:rFonts w:eastAsia="Times New Roman" w:cs="Times New Roman"/>
          <w:rtl/>
          <w:lang w:eastAsia="de-DE"/>
        </w:rPr>
        <w:t xml:space="preserve"> </w:t>
      </w:r>
      <w:r w:rsidRPr="00CC6F7E">
        <w:rPr>
          <w:rFonts w:eastAsia="Times New Roman" w:cs="Times New Roman"/>
          <w:lang w:eastAsia="de-DE"/>
        </w:rPr>
        <w:t xml:space="preserve">(Eisen) und </w:t>
      </w:r>
      <w:r w:rsidRPr="00CC6F7E">
        <w:rPr>
          <w:rFonts w:eastAsia="Times New Roman" w:cs="Times New Roman"/>
          <w:b/>
          <w:bCs/>
          <w:rtl/>
          <w:lang w:eastAsia="de-DE"/>
        </w:rPr>
        <w:t>נחשה</w:t>
      </w:r>
      <w:r w:rsidRPr="00CC6F7E">
        <w:rPr>
          <w:rFonts w:eastAsia="Times New Roman" w:cs="Times New Roman"/>
          <w:rtl/>
          <w:lang w:eastAsia="de-DE"/>
        </w:rPr>
        <w:t xml:space="preserve"> </w:t>
      </w:r>
      <w:r w:rsidRPr="00CC6F7E">
        <w:rPr>
          <w:rFonts w:eastAsia="Times New Roman" w:cs="Times New Roman"/>
          <w:lang w:eastAsia="de-DE"/>
        </w:rPr>
        <w:t>(Kupfer/Erz) zeigen harte, undurchdringliche Metalle.</w:t>
      </w:r>
    </w:p>
    <w:p w14:paraId="3FA08F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גאון עזכם</w:t>
      </w:r>
      <w:r w:rsidRPr="00CC6F7E">
        <w:rPr>
          <w:rFonts w:eastAsia="Times New Roman" w:cs="Times New Roman"/>
          <w:rtl/>
          <w:lang w:eastAsia="de-DE"/>
        </w:rPr>
        <w:t xml:space="preserve"> </w:t>
      </w:r>
      <w:r w:rsidRPr="00CC6F7E">
        <w:rPr>
          <w:rFonts w:eastAsia="Times New Roman" w:cs="Times New Roman"/>
          <w:lang w:eastAsia="de-DE"/>
        </w:rPr>
        <w:t xml:space="preserve">zeigt den zu brechenden nationalen Stolz. </w:t>
      </w:r>
      <w:r w:rsidRPr="00CC6F7E">
        <w:rPr>
          <w:rFonts w:eastAsia="Times New Roman" w:cs="Times New Roman"/>
          <w:b/>
          <w:bCs/>
          <w:rtl/>
          <w:lang w:eastAsia="de-DE"/>
        </w:rPr>
        <w:t>שמיכם כברזל</w:t>
      </w:r>
      <w:r w:rsidRPr="00CC6F7E">
        <w:rPr>
          <w:rFonts w:eastAsia="Times New Roman" w:cs="Times New Roman"/>
          <w:rtl/>
          <w:lang w:eastAsia="de-DE"/>
        </w:rPr>
        <w:t xml:space="preserve"> </w:t>
      </w:r>
      <w:r w:rsidRPr="00CC6F7E">
        <w:rPr>
          <w:rFonts w:eastAsia="Times New Roman" w:cs="Times New Roman"/>
          <w:lang w:eastAsia="de-DE"/>
        </w:rPr>
        <w:t xml:space="preserve">zeigt Regenverweigerung vs. V. 4. </w:t>
      </w:r>
      <w:r w:rsidRPr="00CC6F7E">
        <w:rPr>
          <w:rFonts w:eastAsia="Times New Roman" w:cs="Times New Roman"/>
          <w:b/>
          <w:bCs/>
          <w:rtl/>
          <w:lang w:eastAsia="de-DE"/>
        </w:rPr>
        <w:t>ארצכם כנחשה</w:t>
      </w:r>
      <w:r w:rsidRPr="00CC6F7E">
        <w:rPr>
          <w:rFonts w:eastAsia="Times New Roman" w:cs="Times New Roman"/>
          <w:rtl/>
          <w:lang w:eastAsia="de-DE"/>
        </w:rPr>
        <w:t xml:space="preserve"> </w:t>
      </w:r>
      <w:r w:rsidRPr="00CC6F7E">
        <w:rPr>
          <w:rFonts w:eastAsia="Times New Roman" w:cs="Times New Roman"/>
          <w:lang w:eastAsia="de-DE"/>
        </w:rPr>
        <w:t>zeigt Bodenverhärtung vs. fruchtbares Land.</w:t>
      </w:r>
    </w:p>
    <w:p w14:paraId="0DBA1A92" w14:textId="56580FB2"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גאון עזכם</w:t>
      </w:r>
      <w:r w:rsidR="00274C29">
        <w:t xml:space="preserve"> (</w:t>
      </w:r>
      <w:proofErr w:type="spellStart"/>
      <w:r w:rsidR="00274C29">
        <w:t>ge'on</w:t>
      </w:r>
      <w:proofErr w:type="spellEnd"/>
      <w:r w:rsidR="00274C29">
        <w:t xml:space="preserve"> </w:t>
      </w:r>
      <w:proofErr w:type="spellStart"/>
      <w:r w:rsidR="00274C29">
        <w:t>uzzchem</w:t>
      </w:r>
      <w:proofErr w:type="spellEnd"/>
      <w:r w:rsidR="00274C29">
        <w:t xml:space="preserve"> - "Stolz eurer Macht") als </w:t>
      </w:r>
      <w:proofErr w:type="spellStart"/>
      <w:r w:rsidR="00274C29">
        <w:t>τὴν</w:t>
      </w:r>
      <w:proofErr w:type="spellEnd"/>
      <w:r w:rsidR="00274C29">
        <w:t xml:space="preserve"> ὕβ</w:t>
      </w:r>
      <w:proofErr w:type="spellStart"/>
      <w:r w:rsidR="00274C29">
        <w:t>ριν</w:t>
      </w:r>
      <w:proofErr w:type="spellEnd"/>
      <w:r w:rsidR="00274C29">
        <w:t xml:space="preserve"> </w:t>
      </w:r>
      <w:proofErr w:type="spellStart"/>
      <w:r w:rsidR="00274C29">
        <w:t>τῆς</w:t>
      </w:r>
      <w:proofErr w:type="spellEnd"/>
      <w:r w:rsidR="00274C29">
        <w:t xml:space="preserve"> </w:t>
      </w:r>
      <w:proofErr w:type="spellStart"/>
      <w:r w:rsidR="00274C29">
        <w:t>ἰσχύος</w:t>
      </w:r>
      <w:proofErr w:type="spellEnd"/>
      <w:r w:rsidR="00274C29">
        <w:t xml:space="preserve"> </w:t>
      </w:r>
      <w:proofErr w:type="spellStart"/>
      <w:r w:rsidR="00274C29">
        <w:t>ὑμῶν</w:t>
      </w:r>
      <w:proofErr w:type="spellEnd"/>
      <w:r w:rsidR="00274C29">
        <w:t xml:space="preserve"> (den Übermut eurer Stärke).</w:t>
      </w:r>
    </w:p>
    <w:p w14:paraId="379A1E1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zweite Fluch-Stufe: starken Hochmut brechen + Himmel wie Eisen machen + Erde wie Erz.</w:t>
      </w:r>
    </w:p>
    <w:p w14:paraId="2E823EE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Dieser Vers zeigt die zweite Fluch-Stufe: Zerbrechung des nationalen Stolzes durch Dürre-Katastrophe mit verschlossenem Himmel und verhärtetem Boden.</w:t>
      </w:r>
    </w:p>
    <w:p w14:paraId="55B36A1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26,20</w:t>
      </w:r>
    </w:p>
    <w:p w14:paraId="5EF92C0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וְתַ֥ם לָרִ֖יק כֹּחֲכֶ֑ם וְלֹֽא־תִתֵּ֤ן אַרְצְכֶם֙ אֶת־יְבוּלָ֔הּ וְעֵ֣ץ הָאָ֔רֶץ לֹ֥א יִתֵּ֖ן פִּרְיֹֽו׃</w:t>
      </w:r>
    </w:p>
    <w:p w14:paraId="181BBD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eure Kraft wird sich umsonst verbrauchen, und euer Land wird seinen Ertrag nicht geben, und die Bäume des Landes werden ihre Frucht nicht geben.</w:t>
      </w:r>
    </w:p>
    <w:p w14:paraId="7B4940B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F5BABC0">
          <v:rect id="_x0000_i1823" style="width:0;height:1.5pt" o:hralign="center" o:hrstd="t" o:hr="t" fillcolor="#a0a0a0" stroked="f"/>
        </w:pict>
      </w:r>
    </w:p>
    <w:p w14:paraId="44455B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ותם לריק כחכם ולא־תתן ארצכם את־יבולה ועץ הארץ לא יתן פריו</w:t>
      </w:r>
      <w:r w:rsidRPr="00CC6F7E">
        <w:rPr>
          <w:rFonts w:eastAsia="Times New Roman" w:cs="Times New Roman"/>
          <w:rtl/>
          <w:lang w:eastAsia="de-DE"/>
        </w:rPr>
        <w:t xml:space="preserve"> </w:t>
      </w:r>
      <w:r w:rsidRPr="00CC6F7E">
        <w:rPr>
          <w:rFonts w:eastAsia="Times New Roman" w:cs="Times New Roman"/>
          <w:lang w:eastAsia="de-DE"/>
        </w:rPr>
        <w:t xml:space="preserve">zeigt die Konsequenzen der Dürre-Katastrophe. </w:t>
      </w:r>
      <w:r w:rsidRPr="00CC6F7E">
        <w:rPr>
          <w:rFonts w:eastAsia="Times New Roman" w:cs="Times New Roman"/>
          <w:b/>
          <w:bCs/>
          <w:rtl/>
          <w:lang w:eastAsia="de-DE"/>
        </w:rPr>
        <w:t>ותם לריק כחכם</w:t>
      </w:r>
      <w:r w:rsidRPr="00CC6F7E">
        <w:rPr>
          <w:rFonts w:eastAsia="Times New Roman" w:cs="Times New Roman"/>
          <w:rtl/>
          <w:lang w:eastAsia="de-DE"/>
        </w:rPr>
        <w:t xml:space="preserve"> </w:t>
      </w:r>
      <w:r w:rsidRPr="00CC6F7E">
        <w:rPr>
          <w:rFonts w:eastAsia="Times New Roman" w:cs="Times New Roman"/>
          <w:lang w:eastAsia="de-DE"/>
        </w:rPr>
        <w:t xml:space="preserve">(und eure Kraft wird sich umsonst verbrauchen) - </w:t>
      </w:r>
      <w:r w:rsidRPr="00CC6F7E">
        <w:rPr>
          <w:rFonts w:eastAsia="Times New Roman" w:cs="Times New Roman"/>
          <w:b/>
          <w:bCs/>
          <w:rtl/>
          <w:lang w:eastAsia="de-DE"/>
        </w:rPr>
        <w:t>ותם</w:t>
      </w:r>
      <w:r w:rsidRPr="00CC6F7E">
        <w:rPr>
          <w:rFonts w:eastAsia="Times New Roman" w:cs="Times New Roman"/>
          <w:rtl/>
          <w:lang w:eastAsia="de-DE"/>
        </w:rPr>
        <w:t xml:space="preserve"> </w:t>
      </w:r>
      <w:r w:rsidRPr="00CC6F7E">
        <w:rPr>
          <w:rFonts w:eastAsia="Times New Roman" w:cs="Times New Roman"/>
          <w:lang w:eastAsia="de-DE"/>
        </w:rPr>
        <w:t xml:space="preserve">(und es wird zu Ende gehen) im Qal-Perfekt mit Waw-Konsekutiv von </w:t>
      </w:r>
      <w:r w:rsidRPr="00CC6F7E">
        <w:rPr>
          <w:rFonts w:eastAsia="Times New Roman" w:cs="Times New Roman"/>
          <w:b/>
          <w:bCs/>
          <w:rtl/>
          <w:lang w:eastAsia="de-DE"/>
        </w:rPr>
        <w:t>תמם</w:t>
      </w:r>
      <w:r w:rsidRPr="00CC6F7E">
        <w:rPr>
          <w:rFonts w:eastAsia="Times New Roman" w:cs="Times New Roman"/>
          <w:lang w:eastAsia="de-DE"/>
        </w:rPr>
        <w:t xml:space="preserve">. </w:t>
      </w:r>
      <w:r w:rsidRPr="00CC6F7E">
        <w:rPr>
          <w:rFonts w:eastAsia="Times New Roman" w:cs="Times New Roman"/>
          <w:b/>
          <w:bCs/>
          <w:rtl/>
          <w:lang w:eastAsia="de-DE"/>
        </w:rPr>
        <w:t>לריק</w:t>
      </w:r>
      <w:r w:rsidRPr="00CC6F7E">
        <w:rPr>
          <w:rFonts w:eastAsia="Times New Roman" w:cs="Times New Roman"/>
          <w:rtl/>
          <w:lang w:eastAsia="de-DE"/>
        </w:rPr>
        <w:t xml:space="preserve"> </w:t>
      </w:r>
      <w:r w:rsidRPr="00CC6F7E">
        <w:rPr>
          <w:rFonts w:eastAsia="Times New Roman" w:cs="Times New Roman"/>
          <w:lang w:eastAsia="de-DE"/>
        </w:rPr>
        <w:t xml:space="preserve">(vergeblich) entspricht V. 16. </w:t>
      </w:r>
      <w:r w:rsidRPr="00CC6F7E">
        <w:rPr>
          <w:rFonts w:eastAsia="Times New Roman" w:cs="Times New Roman"/>
          <w:b/>
          <w:bCs/>
          <w:rtl/>
          <w:lang w:eastAsia="de-DE"/>
        </w:rPr>
        <w:t>כחכם</w:t>
      </w:r>
      <w:r w:rsidRPr="00CC6F7E">
        <w:rPr>
          <w:rFonts w:eastAsia="Times New Roman" w:cs="Times New Roman"/>
          <w:rtl/>
          <w:lang w:eastAsia="de-DE"/>
        </w:rPr>
        <w:t xml:space="preserve"> </w:t>
      </w:r>
      <w:r w:rsidRPr="00CC6F7E">
        <w:rPr>
          <w:rFonts w:eastAsia="Times New Roman" w:cs="Times New Roman"/>
          <w:lang w:eastAsia="de-DE"/>
        </w:rPr>
        <w:t>(eure Kraft) zeigt menschliche Anstrengung.</w:t>
      </w:r>
    </w:p>
    <w:p w14:paraId="33DF390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ולא־תתן ארצכם את־יבולה</w:t>
      </w:r>
      <w:r w:rsidRPr="00CC6F7E">
        <w:rPr>
          <w:rFonts w:eastAsia="Times New Roman" w:cs="Times New Roman"/>
          <w:rtl/>
          <w:lang w:eastAsia="de-DE"/>
        </w:rPr>
        <w:t xml:space="preserve"> </w:t>
      </w:r>
      <w:r w:rsidRPr="00CC6F7E">
        <w:rPr>
          <w:rFonts w:eastAsia="Times New Roman" w:cs="Times New Roman"/>
          <w:lang w:eastAsia="de-DE"/>
        </w:rPr>
        <w:t xml:space="preserve">(und euer Land wird seinen Ertrag nicht geben) ist die exakte Umkehrung von V. 4 </w:t>
      </w:r>
      <w:r w:rsidRPr="00CC6F7E">
        <w:rPr>
          <w:rFonts w:eastAsia="Times New Roman" w:cs="Times New Roman"/>
          <w:b/>
          <w:bCs/>
          <w:rtl/>
          <w:lang w:eastAsia="de-DE"/>
        </w:rPr>
        <w:t>ונתנה הארץ יבולה</w:t>
      </w:r>
      <w:r w:rsidRPr="00CC6F7E">
        <w:rPr>
          <w:rFonts w:eastAsia="Times New Roman" w:cs="Times New Roman"/>
          <w:rtl/>
          <w:lang w:eastAsia="de-DE"/>
        </w:rPr>
        <w:t xml:space="preserve"> </w:t>
      </w:r>
      <w:r w:rsidRPr="00CC6F7E">
        <w:rPr>
          <w:rFonts w:eastAsia="Times New Roman" w:cs="Times New Roman"/>
          <w:lang w:eastAsia="de-DE"/>
        </w:rPr>
        <w:t xml:space="preserve">- </w:t>
      </w:r>
      <w:r w:rsidRPr="00CC6F7E">
        <w:rPr>
          <w:rFonts w:eastAsia="Times New Roman" w:cs="Times New Roman"/>
          <w:b/>
          <w:bCs/>
          <w:rtl/>
          <w:lang w:eastAsia="de-DE"/>
        </w:rPr>
        <w:t>לא־תתן</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ונתנה</w:t>
      </w:r>
      <w:r w:rsidRPr="00CC6F7E">
        <w:rPr>
          <w:rFonts w:eastAsia="Times New Roman" w:cs="Times New Roman"/>
          <w:lang w:eastAsia="de-DE"/>
        </w:rPr>
        <w:t xml:space="preserve">. </w:t>
      </w:r>
      <w:r w:rsidRPr="00CC6F7E">
        <w:rPr>
          <w:rFonts w:eastAsia="Times New Roman" w:cs="Times New Roman"/>
          <w:b/>
          <w:bCs/>
          <w:rtl/>
          <w:lang w:eastAsia="de-DE"/>
        </w:rPr>
        <w:t>ארצכם את־יבולה</w:t>
      </w:r>
      <w:r w:rsidRPr="00CC6F7E">
        <w:rPr>
          <w:rFonts w:eastAsia="Times New Roman" w:cs="Times New Roman"/>
          <w:rtl/>
          <w:lang w:eastAsia="de-DE"/>
        </w:rPr>
        <w:t xml:space="preserve"> </w:t>
      </w:r>
      <w:r w:rsidRPr="00CC6F7E">
        <w:rPr>
          <w:rFonts w:eastAsia="Times New Roman" w:cs="Times New Roman"/>
          <w:lang w:eastAsia="de-DE"/>
        </w:rPr>
        <w:t>entspricht V. 4.</w:t>
      </w:r>
    </w:p>
    <w:p w14:paraId="159AFFC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ועץ הארץ לא יתן פריו</w:t>
      </w:r>
      <w:r w:rsidRPr="00CC6F7E">
        <w:rPr>
          <w:rFonts w:eastAsia="Times New Roman" w:cs="Times New Roman"/>
          <w:rtl/>
          <w:lang w:eastAsia="de-DE"/>
        </w:rPr>
        <w:t xml:space="preserve"> </w:t>
      </w:r>
      <w:r w:rsidRPr="00CC6F7E">
        <w:rPr>
          <w:rFonts w:eastAsia="Times New Roman" w:cs="Times New Roman"/>
          <w:lang w:eastAsia="de-DE"/>
        </w:rPr>
        <w:t xml:space="preserve">(und die Bäume des Landes werden ihre Frucht nicht geben) ist die exakte Umkehrung von V. 4 </w:t>
      </w:r>
      <w:r w:rsidRPr="00CC6F7E">
        <w:rPr>
          <w:rFonts w:eastAsia="Times New Roman" w:cs="Times New Roman"/>
          <w:b/>
          <w:bCs/>
          <w:rtl/>
          <w:lang w:eastAsia="de-DE"/>
        </w:rPr>
        <w:t>ועץ השדה יתן פריו</w:t>
      </w:r>
      <w:r w:rsidRPr="00CC6F7E">
        <w:rPr>
          <w:rFonts w:eastAsia="Times New Roman" w:cs="Times New Roman"/>
          <w:rtl/>
          <w:lang w:eastAsia="de-DE"/>
        </w:rPr>
        <w:t xml:space="preserve"> </w:t>
      </w:r>
      <w:r w:rsidRPr="00CC6F7E">
        <w:rPr>
          <w:rFonts w:eastAsia="Times New Roman" w:cs="Times New Roman"/>
          <w:lang w:eastAsia="de-DE"/>
        </w:rPr>
        <w:t xml:space="preserve">- </w:t>
      </w:r>
      <w:r w:rsidRPr="00CC6F7E">
        <w:rPr>
          <w:rFonts w:eastAsia="Times New Roman" w:cs="Times New Roman"/>
          <w:b/>
          <w:bCs/>
          <w:rtl/>
          <w:lang w:eastAsia="de-DE"/>
        </w:rPr>
        <w:t>לא יתן</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יתן</w:t>
      </w:r>
      <w:r w:rsidRPr="00CC6F7E">
        <w:rPr>
          <w:rFonts w:eastAsia="Times New Roman" w:cs="Times New Roman"/>
          <w:lang w:eastAsia="de-DE"/>
        </w:rPr>
        <w:t xml:space="preserve">. </w:t>
      </w:r>
      <w:r w:rsidRPr="00CC6F7E">
        <w:rPr>
          <w:rFonts w:eastAsia="Times New Roman" w:cs="Times New Roman"/>
          <w:b/>
          <w:bCs/>
          <w:rtl/>
          <w:lang w:eastAsia="de-DE"/>
        </w:rPr>
        <w:t>עץ הארץ</w:t>
      </w:r>
      <w:r w:rsidRPr="00CC6F7E">
        <w:rPr>
          <w:rFonts w:eastAsia="Times New Roman" w:cs="Times New Roman"/>
          <w:rtl/>
          <w:lang w:eastAsia="de-DE"/>
        </w:rPr>
        <w:t xml:space="preserve"> </w:t>
      </w:r>
      <w:r w:rsidRPr="00CC6F7E">
        <w:rPr>
          <w:rFonts w:eastAsia="Times New Roman" w:cs="Times New Roman"/>
          <w:lang w:eastAsia="de-DE"/>
        </w:rPr>
        <w:t xml:space="preserve">statt </w:t>
      </w:r>
      <w:r w:rsidRPr="00CC6F7E">
        <w:rPr>
          <w:rFonts w:eastAsia="Times New Roman" w:cs="Times New Roman"/>
          <w:b/>
          <w:bCs/>
          <w:rtl/>
          <w:lang w:eastAsia="de-DE"/>
        </w:rPr>
        <w:t>עץ השדה</w:t>
      </w:r>
      <w:r w:rsidRPr="00CC6F7E">
        <w:rPr>
          <w:rFonts w:eastAsia="Times New Roman" w:cs="Times New Roman"/>
          <w:rtl/>
          <w:lang w:eastAsia="de-DE"/>
        </w:rPr>
        <w:t xml:space="preserve"> </w:t>
      </w:r>
      <w:r w:rsidRPr="00CC6F7E">
        <w:rPr>
          <w:rFonts w:eastAsia="Times New Roman" w:cs="Times New Roman"/>
          <w:lang w:eastAsia="de-DE"/>
        </w:rPr>
        <w:t>zeigt möglicherweise Verödung auch der Wildnis.</w:t>
      </w:r>
    </w:p>
    <w:p w14:paraId="76527CE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ותם לריק כחכם</w:t>
      </w:r>
      <w:r w:rsidRPr="00CC6F7E">
        <w:rPr>
          <w:rFonts w:eastAsia="Times New Roman" w:cs="Times New Roman"/>
          <w:rtl/>
          <w:lang w:eastAsia="de-DE"/>
        </w:rPr>
        <w:t xml:space="preserve"> </w:t>
      </w:r>
      <w:r w:rsidRPr="00CC6F7E">
        <w:rPr>
          <w:rFonts w:eastAsia="Times New Roman" w:cs="Times New Roman"/>
          <w:lang w:eastAsia="de-DE"/>
        </w:rPr>
        <w:t xml:space="preserve">zeigt fruchtlose menschliche Anstrengung. </w:t>
      </w:r>
      <w:r w:rsidRPr="00CC6F7E">
        <w:rPr>
          <w:rFonts w:eastAsia="Times New Roman" w:cs="Times New Roman"/>
          <w:b/>
          <w:bCs/>
          <w:rtl/>
          <w:lang w:eastAsia="de-DE"/>
        </w:rPr>
        <w:t>לא־תתן ארצכם את־יבולה</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לא יתן פריו</w:t>
      </w:r>
      <w:r w:rsidRPr="00CC6F7E">
        <w:rPr>
          <w:rFonts w:eastAsia="Times New Roman" w:cs="Times New Roman"/>
          <w:rtl/>
          <w:lang w:eastAsia="de-DE"/>
        </w:rPr>
        <w:t xml:space="preserve"> </w:t>
      </w:r>
      <w:r w:rsidRPr="00CC6F7E">
        <w:rPr>
          <w:rFonts w:eastAsia="Times New Roman" w:cs="Times New Roman"/>
          <w:lang w:eastAsia="de-DE"/>
        </w:rPr>
        <w:t>sind exakte Umkehrungen der Segens-Verheißungen.</w:t>
      </w:r>
    </w:p>
    <w:p w14:paraId="558DC7E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ותם לריק</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συντελεσθήσετ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κενῶς</w:t>
      </w:r>
      <w:proofErr w:type="spellEnd"/>
      <w:r w:rsidRPr="00CC6F7E">
        <w:rPr>
          <w:rFonts w:eastAsia="Times New Roman" w:cs="Times New Roman"/>
          <w:lang w:eastAsia="de-DE"/>
        </w:rPr>
        <w:t xml:space="preserve"> (wird vergeblich vollendet werden), </w:t>
      </w:r>
      <w:r w:rsidRPr="00CC6F7E">
        <w:rPr>
          <w:rFonts w:eastAsia="Times New Roman" w:cs="Times New Roman"/>
          <w:b/>
          <w:bCs/>
          <w:rtl/>
          <w:lang w:eastAsia="de-DE"/>
        </w:rPr>
        <w:t>כחכם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ἰσχὺς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(eure Stärke), </w:t>
      </w:r>
      <w:r w:rsidRPr="00CC6F7E">
        <w:rPr>
          <w:rFonts w:eastAsia="Times New Roman" w:cs="Times New Roman"/>
          <w:b/>
          <w:bCs/>
          <w:rtl/>
          <w:lang w:eastAsia="de-DE"/>
        </w:rPr>
        <w:t>לא־תתן ארצכם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δώσει</w:t>
      </w:r>
      <w:proofErr w:type="spellEnd"/>
      <w:r w:rsidRPr="00CC6F7E">
        <w:rPr>
          <w:rFonts w:eastAsia="Times New Roman" w:cs="Times New Roman"/>
          <w:lang w:eastAsia="de-DE"/>
        </w:rPr>
        <w:t xml:space="preserve"> ἡ </w:t>
      </w:r>
      <w:proofErr w:type="spellStart"/>
      <w:r w:rsidRPr="00CC6F7E">
        <w:rPr>
          <w:rFonts w:eastAsia="Times New Roman" w:cs="Times New Roman"/>
          <w:lang w:eastAsia="de-DE"/>
        </w:rPr>
        <w:t>γῆ</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(wird euer Land nicht geben) und </w:t>
      </w:r>
      <w:r w:rsidRPr="00CC6F7E">
        <w:rPr>
          <w:rFonts w:eastAsia="Times New Roman" w:cs="Times New Roman"/>
          <w:b/>
          <w:bCs/>
          <w:rtl/>
          <w:lang w:eastAsia="de-DE"/>
        </w:rPr>
        <w:t>עץ הארץ</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ξύλ</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γῆς</w:t>
      </w:r>
      <w:proofErr w:type="spellEnd"/>
      <w:r w:rsidRPr="00CC6F7E">
        <w:rPr>
          <w:rFonts w:eastAsia="Times New Roman" w:cs="Times New Roman"/>
          <w:lang w:eastAsia="de-DE"/>
        </w:rPr>
        <w:t xml:space="preserve"> (Bäume der Erde).</w:t>
      </w:r>
    </w:p>
    <w:p w14:paraId="3B3B1F5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Dürre-Konsequenzen: Kraft umsonst verbraucht + Land gibt Ertrag nicht + Bäume der Erde geben Frucht nicht.</w:t>
      </w:r>
    </w:p>
    <w:p w14:paraId="662F3E4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totale Umkehrung der landwirtschaftlichen Segens-Verheißungen: Alle menschliche Anstrengung bleibt erfolglos.</w:t>
      </w:r>
    </w:p>
    <w:p w14:paraId="3D75F20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26,21</w:t>
      </w:r>
    </w:p>
    <w:p w14:paraId="70D3D4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וְאִם־תֵּֽלְכ֤וּ עִמִּי֙ קֶ֔רִי וְלֹ֥א תֹאב֖וּ לִשְׁמֹ֣עַֽ לִ֑י וְיָסַפְתִּ֤י עֲלֵיכֶם֙ מַכָּ֔ה שֶׁ֖בַע כְּחַטֹּאתֵיכֶֽם׃</w:t>
      </w:r>
    </w:p>
    <w:p w14:paraId="0979312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mir zuwider wandelt und nicht auf mich hören wollt, so werde ich euch noch siebenmal mehr schlagen, nach euren Sünden.</w:t>
      </w:r>
    </w:p>
    <w:p w14:paraId="095FC30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AD89A8C">
          <v:rect id="_x0000_i1824" style="width:0;height:1.5pt" o:hralign="center" o:hrstd="t" o:hr="t" fillcolor="#a0a0a0" stroked="f"/>
        </w:pict>
      </w:r>
    </w:p>
    <w:p w14:paraId="39CA4BF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ואם־תלכו עמי קרי ולא תאבו לשמע לי ויספתי עליכם מכה שבע כחטאתיכם</w:t>
      </w:r>
      <w:r w:rsidRPr="00CC6F7E">
        <w:rPr>
          <w:rFonts w:eastAsia="Times New Roman" w:cs="Times New Roman"/>
          <w:rtl/>
          <w:lang w:eastAsia="de-DE"/>
        </w:rPr>
        <w:t xml:space="preserve"> </w:t>
      </w:r>
      <w:r w:rsidRPr="00CC6F7E">
        <w:rPr>
          <w:rFonts w:eastAsia="Times New Roman" w:cs="Times New Roman"/>
          <w:lang w:eastAsia="de-DE"/>
        </w:rPr>
        <w:t xml:space="preserve">leitet die dritte Fluch-Stufe ein. </w:t>
      </w:r>
      <w:r w:rsidRPr="00CC6F7E">
        <w:rPr>
          <w:rFonts w:eastAsia="Times New Roman" w:cs="Times New Roman"/>
          <w:b/>
          <w:bCs/>
          <w:rtl/>
          <w:lang w:eastAsia="de-DE"/>
        </w:rPr>
        <w:t>ואם־תלכו עמי קרי</w:t>
      </w:r>
      <w:r w:rsidRPr="00CC6F7E">
        <w:rPr>
          <w:rFonts w:eastAsia="Times New Roman" w:cs="Times New Roman"/>
          <w:rtl/>
          <w:lang w:eastAsia="de-DE"/>
        </w:rPr>
        <w:t xml:space="preserve"> </w:t>
      </w:r>
      <w:r w:rsidRPr="00CC6F7E">
        <w:rPr>
          <w:rFonts w:eastAsia="Times New Roman" w:cs="Times New Roman"/>
          <w:lang w:eastAsia="de-DE"/>
        </w:rPr>
        <w:t xml:space="preserve">(und wenn ihr mir zuwider wandelt) - </w:t>
      </w:r>
      <w:r w:rsidRPr="00CC6F7E">
        <w:rPr>
          <w:rFonts w:eastAsia="Times New Roman" w:cs="Times New Roman"/>
          <w:b/>
          <w:bCs/>
          <w:rtl/>
          <w:lang w:eastAsia="de-DE"/>
        </w:rPr>
        <w:t>תלכו עמי קרי</w:t>
      </w:r>
      <w:r w:rsidRPr="00CC6F7E">
        <w:rPr>
          <w:rFonts w:eastAsia="Times New Roman" w:cs="Times New Roman"/>
          <w:rtl/>
          <w:lang w:eastAsia="de-DE"/>
        </w:rPr>
        <w:t xml:space="preserve"> </w:t>
      </w:r>
      <w:r w:rsidRPr="00CC6F7E">
        <w:rPr>
          <w:rFonts w:eastAsia="Times New Roman" w:cs="Times New Roman"/>
          <w:lang w:eastAsia="de-DE"/>
        </w:rPr>
        <w:t xml:space="preserve">zeigt feindseligen Wandel. </w:t>
      </w:r>
      <w:r w:rsidRPr="00CC6F7E">
        <w:rPr>
          <w:rFonts w:eastAsia="Times New Roman" w:cs="Times New Roman"/>
          <w:b/>
          <w:bCs/>
          <w:rtl/>
          <w:lang w:eastAsia="de-DE"/>
        </w:rPr>
        <w:t>קרי</w:t>
      </w:r>
      <w:r w:rsidRPr="00CC6F7E">
        <w:rPr>
          <w:rFonts w:eastAsia="Times New Roman" w:cs="Times New Roman"/>
          <w:rtl/>
          <w:lang w:eastAsia="de-DE"/>
        </w:rPr>
        <w:t xml:space="preserve"> </w:t>
      </w:r>
      <w:r w:rsidRPr="00CC6F7E">
        <w:rPr>
          <w:rFonts w:eastAsia="Times New Roman" w:cs="Times New Roman"/>
          <w:lang w:eastAsia="de-DE"/>
        </w:rPr>
        <w:t xml:space="preserve">(zuwider/entgegen) ist ein schwieriger Begriff, möglicherweise </w:t>
      </w:r>
      <w:r w:rsidRPr="00CC6F7E">
        <w:rPr>
          <w:rFonts w:eastAsia="Times New Roman" w:cs="Times New Roman"/>
          <w:lang w:eastAsia="de-DE"/>
        </w:rPr>
        <w:lastRenderedPageBreak/>
        <w:t xml:space="preserve">von </w:t>
      </w:r>
      <w:r w:rsidRPr="00CC6F7E">
        <w:rPr>
          <w:rFonts w:eastAsia="Times New Roman" w:cs="Times New Roman"/>
          <w:b/>
          <w:bCs/>
          <w:rtl/>
          <w:lang w:eastAsia="de-DE"/>
        </w:rPr>
        <w:t>קרה</w:t>
      </w:r>
      <w:r w:rsidRPr="00CC6F7E">
        <w:rPr>
          <w:rFonts w:eastAsia="Times New Roman" w:cs="Times New Roman"/>
          <w:rtl/>
          <w:lang w:eastAsia="de-DE"/>
        </w:rPr>
        <w:t xml:space="preserve"> </w:t>
      </w:r>
      <w:r w:rsidRPr="00CC6F7E">
        <w:rPr>
          <w:rFonts w:eastAsia="Times New Roman" w:cs="Times New Roman"/>
          <w:lang w:eastAsia="de-DE"/>
        </w:rPr>
        <w:t xml:space="preserve">(begegnen) - "entgegenstehend/widrig". </w:t>
      </w:r>
      <w:r w:rsidRPr="00CC6F7E">
        <w:rPr>
          <w:rFonts w:eastAsia="Times New Roman" w:cs="Times New Roman"/>
          <w:b/>
          <w:bCs/>
          <w:rtl/>
          <w:lang w:eastAsia="de-DE"/>
        </w:rPr>
        <w:t>עמי</w:t>
      </w:r>
      <w:r w:rsidRPr="00CC6F7E">
        <w:rPr>
          <w:rFonts w:eastAsia="Times New Roman" w:cs="Times New Roman"/>
          <w:rtl/>
          <w:lang w:eastAsia="de-DE"/>
        </w:rPr>
        <w:t xml:space="preserve"> </w:t>
      </w:r>
      <w:r w:rsidRPr="00CC6F7E">
        <w:rPr>
          <w:rFonts w:eastAsia="Times New Roman" w:cs="Times New Roman"/>
          <w:lang w:eastAsia="de-DE"/>
        </w:rPr>
        <w:t>(mit mir) zeigt direkte Konfrontation mit JHWH.</w:t>
      </w:r>
    </w:p>
    <w:p w14:paraId="20D1542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 תאבו לשמע לי</w:t>
      </w:r>
      <w:r w:rsidRPr="00CC6F7E">
        <w:rPr>
          <w:rFonts w:eastAsia="Times New Roman" w:cs="Times New Roman"/>
          <w:rtl/>
          <w:lang w:eastAsia="de-DE"/>
        </w:rPr>
        <w:t xml:space="preserve"> </w:t>
      </w:r>
      <w:r w:rsidRPr="00CC6F7E">
        <w:rPr>
          <w:rFonts w:eastAsia="Times New Roman" w:cs="Times New Roman"/>
          <w:lang w:eastAsia="de-DE"/>
        </w:rPr>
        <w:t xml:space="preserve">(und nicht auf mich hören wollt) - </w:t>
      </w:r>
      <w:r w:rsidRPr="00CC6F7E">
        <w:rPr>
          <w:rFonts w:eastAsia="Times New Roman" w:cs="Times New Roman"/>
          <w:b/>
          <w:bCs/>
          <w:rtl/>
          <w:lang w:eastAsia="de-DE"/>
        </w:rPr>
        <w:t>לא תאבו</w:t>
      </w:r>
      <w:r w:rsidRPr="00CC6F7E">
        <w:rPr>
          <w:rFonts w:eastAsia="Times New Roman" w:cs="Times New Roman"/>
          <w:rtl/>
          <w:lang w:eastAsia="de-DE"/>
        </w:rPr>
        <w:t xml:space="preserve"> </w:t>
      </w:r>
      <w:r w:rsidRPr="00CC6F7E">
        <w:rPr>
          <w:rFonts w:eastAsia="Times New Roman" w:cs="Times New Roman"/>
          <w:lang w:eastAsia="de-DE"/>
        </w:rPr>
        <w:t xml:space="preserve">(ihr wollt nicht) im Qal-Imperfekt von </w:t>
      </w:r>
      <w:r w:rsidRPr="00CC6F7E">
        <w:rPr>
          <w:rFonts w:eastAsia="Times New Roman" w:cs="Times New Roman"/>
          <w:b/>
          <w:bCs/>
          <w:rtl/>
          <w:lang w:eastAsia="de-DE"/>
        </w:rPr>
        <w:t>אבה</w:t>
      </w:r>
      <w:r w:rsidRPr="00CC6F7E">
        <w:rPr>
          <w:rFonts w:eastAsia="Times New Roman" w:cs="Times New Roman"/>
          <w:rtl/>
          <w:lang w:eastAsia="de-DE"/>
        </w:rPr>
        <w:t xml:space="preserve"> </w:t>
      </w:r>
      <w:r w:rsidRPr="00CC6F7E">
        <w:rPr>
          <w:rFonts w:eastAsia="Times New Roman" w:cs="Times New Roman"/>
          <w:lang w:eastAsia="de-DE"/>
        </w:rPr>
        <w:t xml:space="preserve">zeigt willentliche Verweigerung statt nur passiver Ungehorsam. </w:t>
      </w:r>
      <w:r w:rsidRPr="00CC6F7E">
        <w:rPr>
          <w:rFonts w:eastAsia="Times New Roman" w:cs="Times New Roman"/>
          <w:b/>
          <w:bCs/>
          <w:rtl/>
          <w:lang w:eastAsia="de-DE"/>
        </w:rPr>
        <w:t>לשמע לי</w:t>
      </w:r>
      <w:r w:rsidRPr="00CC6F7E">
        <w:rPr>
          <w:rFonts w:eastAsia="Times New Roman" w:cs="Times New Roman"/>
          <w:rtl/>
          <w:lang w:eastAsia="de-DE"/>
        </w:rPr>
        <w:t xml:space="preserve"> </w:t>
      </w:r>
      <w:r w:rsidRPr="00CC6F7E">
        <w:rPr>
          <w:rFonts w:eastAsia="Times New Roman" w:cs="Times New Roman"/>
          <w:lang w:eastAsia="de-DE"/>
        </w:rPr>
        <w:t>(auf mich zu hören) entspricht V. 14,18.</w:t>
      </w:r>
    </w:p>
    <w:p w14:paraId="1996BE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ויספתי עליכם מכה שבע כחטאתיכם</w:t>
      </w:r>
      <w:r w:rsidRPr="00CC6F7E">
        <w:rPr>
          <w:rFonts w:eastAsia="Times New Roman" w:cs="Times New Roman"/>
          <w:rtl/>
          <w:lang w:eastAsia="de-DE"/>
        </w:rPr>
        <w:t xml:space="preserve"> </w:t>
      </w:r>
      <w:r w:rsidRPr="00CC6F7E">
        <w:rPr>
          <w:rFonts w:eastAsia="Times New Roman" w:cs="Times New Roman"/>
          <w:lang w:eastAsia="de-DE"/>
        </w:rPr>
        <w:t xml:space="preserve">(so werde ich euch noch siebenmal mehr schlagen, nach euren Sünden) - </w:t>
      </w:r>
      <w:r w:rsidRPr="00CC6F7E">
        <w:rPr>
          <w:rFonts w:eastAsia="Times New Roman" w:cs="Times New Roman"/>
          <w:b/>
          <w:bCs/>
          <w:rtl/>
          <w:lang w:eastAsia="de-DE"/>
        </w:rPr>
        <w:t>ויספתי</w:t>
      </w:r>
      <w:r w:rsidRPr="00CC6F7E">
        <w:rPr>
          <w:rFonts w:eastAsia="Times New Roman" w:cs="Times New Roman"/>
          <w:rtl/>
          <w:lang w:eastAsia="de-DE"/>
        </w:rPr>
        <w:t xml:space="preserve"> </w:t>
      </w:r>
      <w:r w:rsidRPr="00CC6F7E">
        <w:rPr>
          <w:rFonts w:eastAsia="Times New Roman" w:cs="Times New Roman"/>
          <w:lang w:eastAsia="de-DE"/>
        </w:rPr>
        <w:t xml:space="preserve">entspricht V. 18. </w:t>
      </w:r>
      <w:r w:rsidRPr="00CC6F7E">
        <w:rPr>
          <w:rFonts w:eastAsia="Times New Roman" w:cs="Times New Roman"/>
          <w:b/>
          <w:bCs/>
          <w:rtl/>
          <w:lang w:eastAsia="de-DE"/>
        </w:rPr>
        <w:t>מכה</w:t>
      </w:r>
      <w:r w:rsidRPr="00CC6F7E">
        <w:rPr>
          <w:rFonts w:eastAsia="Times New Roman" w:cs="Times New Roman"/>
          <w:rtl/>
          <w:lang w:eastAsia="de-DE"/>
        </w:rPr>
        <w:t xml:space="preserve"> </w:t>
      </w:r>
      <w:r w:rsidRPr="00CC6F7E">
        <w:rPr>
          <w:rFonts w:eastAsia="Times New Roman" w:cs="Times New Roman"/>
          <w:lang w:eastAsia="de-DE"/>
        </w:rPr>
        <w:t xml:space="preserve">(Schlag/Plage) statt </w:t>
      </w:r>
      <w:r w:rsidRPr="00CC6F7E">
        <w:rPr>
          <w:rFonts w:eastAsia="Times New Roman" w:cs="Times New Roman"/>
          <w:b/>
          <w:bCs/>
          <w:rtl/>
          <w:lang w:eastAsia="de-DE"/>
        </w:rPr>
        <w:t>ליסרה</w:t>
      </w:r>
      <w:r w:rsidRPr="00CC6F7E">
        <w:rPr>
          <w:rFonts w:eastAsia="Times New Roman" w:cs="Times New Roman"/>
          <w:rtl/>
          <w:lang w:eastAsia="de-DE"/>
        </w:rPr>
        <w:t xml:space="preserve"> </w:t>
      </w:r>
      <w:r w:rsidRPr="00CC6F7E">
        <w:rPr>
          <w:rFonts w:eastAsia="Times New Roman" w:cs="Times New Roman"/>
          <w:lang w:eastAsia="de-DE"/>
        </w:rPr>
        <w:t xml:space="preserve">(züchtigen) zeigt härtere Bestrafung. </w:t>
      </w:r>
      <w:r w:rsidRPr="00CC6F7E">
        <w:rPr>
          <w:rFonts w:eastAsia="Times New Roman" w:cs="Times New Roman"/>
          <w:b/>
          <w:bCs/>
          <w:rtl/>
          <w:lang w:eastAsia="de-DE"/>
        </w:rPr>
        <w:t>שבע כחטאתיכם</w:t>
      </w:r>
      <w:r w:rsidRPr="00CC6F7E">
        <w:rPr>
          <w:rFonts w:eastAsia="Times New Roman" w:cs="Times New Roman"/>
          <w:rtl/>
          <w:lang w:eastAsia="de-DE"/>
        </w:rPr>
        <w:t xml:space="preserve"> </w:t>
      </w:r>
      <w:r w:rsidRPr="00CC6F7E">
        <w:rPr>
          <w:rFonts w:eastAsia="Times New Roman" w:cs="Times New Roman"/>
          <w:lang w:eastAsia="de-DE"/>
        </w:rPr>
        <w:t>(siebenfach entsprechend euren Sünden) zeigt proportionale Vergeltung.</w:t>
      </w:r>
    </w:p>
    <w:p w14:paraId="4720B06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קרי</w:t>
      </w:r>
      <w:r w:rsidRPr="00CC6F7E">
        <w:rPr>
          <w:rFonts w:eastAsia="Times New Roman" w:cs="Times New Roman"/>
          <w:rtl/>
          <w:lang w:eastAsia="de-DE"/>
        </w:rPr>
        <w:t xml:space="preserve"> </w:t>
      </w:r>
      <w:r w:rsidRPr="00CC6F7E">
        <w:rPr>
          <w:rFonts w:eastAsia="Times New Roman" w:cs="Times New Roman"/>
          <w:lang w:eastAsia="de-DE"/>
        </w:rPr>
        <w:t xml:space="preserve">zeigt aktive Feindseligkeit vs. passiven Ungehorsam. </w:t>
      </w:r>
      <w:r w:rsidRPr="00CC6F7E">
        <w:rPr>
          <w:rFonts w:eastAsia="Times New Roman" w:cs="Times New Roman"/>
          <w:b/>
          <w:bCs/>
          <w:rtl/>
          <w:lang w:eastAsia="de-DE"/>
        </w:rPr>
        <w:t>לא תאבו לשמע</w:t>
      </w:r>
      <w:r w:rsidRPr="00CC6F7E">
        <w:rPr>
          <w:rFonts w:eastAsia="Times New Roman" w:cs="Times New Roman"/>
          <w:rtl/>
          <w:lang w:eastAsia="de-DE"/>
        </w:rPr>
        <w:t xml:space="preserve"> </w:t>
      </w:r>
      <w:r w:rsidRPr="00CC6F7E">
        <w:rPr>
          <w:rFonts w:eastAsia="Times New Roman" w:cs="Times New Roman"/>
          <w:lang w:eastAsia="de-DE"/>
        </w:rPr>
        <w:t xml:space="preserve">zeigt willentliche Verweigerung. </w:t>
      </w:r>
      <w:r w:rsidRPr="00CC6F7E">
        <w:rPr>
          <w:rFonts w:eastAsia="Times New Roman" w:cs="Times New Roman"/>
          <w:b/>
          <w:bCs/>
          <w:rtl/>
          <w:lang w:eastAsia="de-DE"/>
        </w:rPr>
        <w:t>מכה</w:t>
      </w:r>
      <w:r w:rsidRPr="00CC6F7E">
        <w:rPr>
          <w:rFonts w:eastAsia="Times New Roman" w:cs="Times New Roman"/>
          <w:rtl/>
          <w:lang w:eastAsia="de-DE"/>
        </w:rPr>
        <w:t xml:space="preserve"> </w:t>
      </w:r>
      <w:r w:rsidRPr="00CC6F7E">
        <w:rPr>
          <w:rFonts w:eastAsia="Times New Roman" w:cs="Times New Roman"/>
          <w:lang w:eastAsia="de-DE"/>
        </w:rPr>
        <w:t xml:space="preserve">statt </w:t>
      </w:r>
      <w:r w:rsidRPr="00CC6F7E">
        <w:rPr>
          <w:rFonts w:eastAsia="Times New Roman" w:cs="Times New Roman"/>
          <w:b/>
          <w:bCs/>
          <w:rtl/>
          <w:lang w:eastAsia="de-DE"/>
        </w:rPr>
        <w:t>יסרה</w:t>
      </w:r>
      <w:r w:rsidRPr="00CC6F7E">
        <w:rPr>
          <w:rFonts w:eastAsia="Times New Roman" w:cs="Times New Roman"/>
          <w:rtl/>
          <w:lang w:eastAsia="de-DE"/>
        </w:rPr>
        <w:t xml:space="preserve"> </w:t>
      </w:r>
      <w:r w:rsidRPr="00CC6F7E">
        <w:rPr>
          <w:rFonts w:eastAsia="Times New Roman" w:cs="Times New Roman"/>
          <w:lang w:eastAsia="de-DE"/>
        </w:rPr>
        <w:t>zeigt härtere Strafe.</w:t>
      </w:r>
    </w:p>
    <w:p w14:paraId="4C1B50E7" w14:textId="57C4C1C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קרי</w:t>
      </w:r>
      <w:r w:rsidR="00274C29">
        <w:t xml:space="preserve"> (</w:t>
      </w:r>
      <w:proofErr w:type="spellStart"/>
      <w:r w:rsidR="00274C29">
        <w:t>qeri</w:t>
      </w:r>
      <w:proofErr w:type="spellEnd"/>
      <w:r w:rsidR="00274C29">
        <w:t xml:space="preserve"> - "widerspenstig/feindlich") als </w:t>
      </w:r>
      <w:proofErr w:type="spellStart"/>
      <w:r w:rsidR="00274C29">
        <w:t>σκληρῶς</w:t>
      </w:r>
      <w:proofErr w:type="spellEnd"/>
      <w:r w:rsidR="00274C29">
        <w:t xml:space="preserve"> (hart/störrisch), was eine klarere moralische Charakterisierung darstellt.</w:t>
      </w:r>
    </w:p>
    <w:p w14:paraId="4EFB9B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dritte Fluch-Stufen-Einleitung: mir zuwider wandeln + nicht hören wollen + siebenfache Schläge hinzufügen + entsprechend euren Sünden.</w:t>
      </w:r>
    </w:p>
    <w:p w14:paraId="25908C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leitet die dritte Straf-Stufe ein: Bei aktiver Feindseligkeit statt nur passivem Ungehorsam erfolgen härtere "Schläge" statt "Züchtigung".</w:t>
      </w:r>
    </w:p>
    <w:p w14:paraId="3574651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26,22</w:t>
      </w:r>
    </w:p>
    <w:p w14:paraId="4D57C8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וְהִשְׁלַחְתִּ֨י בָכֶ֜ם אֶת־חַיַּ֤ת הַשָּׂדֶה֙ וְשִׁכְּלָ֣ה אֶתְכֶ֔ם וְהִכְרִ֨יתָה֙ אֶת־בְּהֶמְתְּכֶ֔ם וְהִמְעִ֖יטָה אֶתְכֶ֑ם וְנָשַׁ֖מּוּ דַּרְכֵיכֶֽם׃</w:t>
      </w:r>
    </w:p>
    <w:p w14:paraId="3BACFA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die Tiere des Feldes unter euch senden, dass sie euch eurer Kinder berauben und euer Vieh ausrotten und euch vermindern; und eure Straßen sollen öde werden.</w:t>
      </w:r>
    </w:p>
    <w:p w14:paraId="7608A0B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2ADD6BB">
          <v:rect id="_x0000_i1825" style="width:0;height:1.5pt" o:hralign="center" o:hrstd="t" o:hr="t" fillcolor="#a0a0a0" stroked="f"/>
        </w:pict>
      </w:r>
    </w:p>
    <w:p w14:paraId="440A934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והשלחתי בכם את־חית השדה ושכלה אתכם והכריתה את־בהמתכם והמעיטה אתכם ונשמו דרכיכם</w:t>
      </w:r>
      <w:r w:rsidRPr="00CC6F7E">
        <w:rPr>
          <w:rFonts w:eastAsia="Times New Roman" w:cs="Times New Roman"/>
          <w:rtl/>
          <w:lang w:eastAsia="de-DE"/>
        </w:rPr>
        <w:t xml:space="preserve"> </w:t>
      </w:r>
      <w:r w:rsidRPr="00CC6F7E">
        <w:rPr>
          <w:rFonts w:eastAsia="Times New Roman" w:cs="Times New Roman"/>
          <w:lang w:eastAsia="de-DE"/>
        </w:rPr>
        <w:t xml:space="preserve">zeigt die dritte Fluch-Stufe: Wildtier-Plage. </w:t>
      </w:r>
      <w:r w:rsidRPr="00CC6F7E">
        <w:rPr>
          <w:rFonts w:eastAsia="Times New Roman" w:cs="Times New Roman"/>
          <w:b/>
          <w:bCs/>
          <w:rtl/>
          <w:lang w:eastAsia="de-DE"/>
        </w:rPr>
        <w:t>והשלחתי בכם את־חית השדה</w:t>
      </w:r>
      <w:r w:rsidRPr="00CC6F7E">
        <w:rPr>
          <w:rFonts w:eastAsia="Times New Roman" w:cs="Times New Roman"/>
          <w:rtl/>
          <w:lang w:eastAsia="de-DE"/>
        </w:rPr>
        <w:t xml:space="preserve"> </w:t>
      </w:r>
      <w:r w:rsidRPr="00CC6F7E">
        <w:rPr>
          <w:rFonts w:eastAsia="Times New Roman" w:cs="Times New Roman"/>
          <w:lang w:eastAsia="de-DE"/>
        </w:rPr>
        <w:t xml:space="preserve">(und ich werde die Tiere des Feldes unter euch senden) - </w:t>
      </w:r>
      <w:r w:rsidRPr="00CC6F7E">
        <w:rPr>
          <w:rFonts w:eastAsia="Times New Roman" w:cs="Times New Roman"/>
          <w:b/>
          <w:bCs/>
          <w:rtl/>
          <w:lang w:eastAsia="de-DE"/>
        </w:rPr>
        <w:t>והשלחתי</w:t>
      </w:r>
      <w:r w:rsidRPr="00CC6F7E">
        <w:rPr>
          <w:rFonts w:eastAsia="Times New Roman" w:cs="Times New Roman"/>
          <w:rtl/>
          <w:lang w:eastAsia="de-DE"/>
        </w:rPr>
        <w:t xml:space="preserve"> </w:t>
      </w:r>
      <w:r w:rsidRPr="00CC6F7E">
        <w:rPr>
          <w:rFonts w:eastAsia="Times New Roman" w:cs="Times New Roman"/>
          <w:lang w:eastAsia="de-DE"/>
        </w:rPr>
        <w:t xml:space="preserve">(und ich werde senden) im Piel-Perfekt mit Waw-Konsekutiv von </w:t>
      </w:r>
      <w:r w:rsidRPr="00CC6F7E">
        <w:rPr>
          <w:rFonts w:eastAsia="Times New Roman" w:cs="Times New Roman"/>
          <w:b/>
          <w:bCs/>
          <w:rtl/>
          <w:lang w:eastAsia="de-DE"/>
        </w:rPr>
        <w:t>שלח</w:t>
      </w:r>
      <w:r w:rsidRPr="00CC6F7E">
        <w:rPr>
          <w:rFonts w:eastAsia="Times New Roman" w:cs="Times New Roman"/>
          <w:rtl/>
          <w:lang w:eastAsia="de-DE"/>
        </w:rPr>
        <w:t xml:space="preserve"> </w:t>
      </w:r>
      <w:r w:rsidRPr="00CC6F7E">
        <w:rPr>
          <w:rFonts w:eastAsia="Times New Roman" w:cs="Times New Roman"/>
          <w:lang w:eastAsia="de-DE"/>
        </w:rPr>
        <w:t xml:space="preserve">zeigt aktive göttliche Sendung. </w:t>
      </w:r>
      <w:r w:rsidRPr="00CC6F7E">
        <w:rPr>
          <w:rFonts w:eastAsia="Times New Roman" w:cs="Times New Roman"/>
          <w:b/>
          <w:bCs/>
          <w:rtl/>
          <w:lang w:eastAsia="de-DE"/>
        </w:rPr>
        <w:t>בכם</w:t>
      </w:r>
      <w:r w:rsidRPr="00CC6F7E">
        <w:rPr>
          <w:rFonts w:eastAsia="Times New Roman" w:cs="Times New Roman"/>
          <w:rtl/>
          <w:lang w:eastAsia="de-DE"/>
        </w:rPr>
        <w:t xml:space="preserve"> </w:t>
      </w:r>
      <w:r w:rsidRPr="00CC6F7E">
        <w:rPr>
          <w:rFonts w:eastAsia="Times New Roman" w:cs="Times New Roman"/>
          <w:lang w:eastAsia="de-DE"/>
        </w:rPr>
        <w:t xml:space="preserve">(unter euch) zeigt Eindringen in bewohnte Gebiete. </w:t>
      </w:r>
      <w:r w:rsidRPr="00CC6F7E">
        <w:rPr>
          <w:rFonts w:eastAsia="Times New Roman" w:cs="Times New Roman"/>
          <w:b/>
          <w:bCs/>
          <w:rtl/>
          <w:lang w:eastAsia="de-DE"/>
        </w:rPr>
        <w:t>חית השדה</w:t>
      </w:r>
      <w:r w:rsidRPr="00CC6F7E">
        <w:rPr>
          <w:rFonts w:eastAsia="Times New Roman" w:cs="Times New Roman"/>
          <w:rtl/>
          <w:lang w:eastAsia="de-DE"/>
        </w:rPr>
        <w:t xml:space="preserve"> </w:t>
      </w:r>
      <w:r w:rsidRPr="00CC6F7E">
        <w:rPr>
          <w:rFonts w:eastAsia="Times New Roman" w:cs="Times New Roman"/>
          <w:lang w:eastAsia="de-DE"/>
        </w:rPr>
        <w:t xml:space="preserve">(Tiere des Feldes) entspricht V. 6 </w:t>
      </w:r>
      <w:r w:rsidRPr="00CC6F7E">
        <w:rPr>
          <w:rFonts w:eastAsia="Times New Roman" w:cs="Times New Roman"/>
          <w:b/>
          <w:bCs/>
          <w:rtl/>
          <w:lang w:eastAsia="de-DE"/>
        </w:rPr>
        <w:t>חיה רעה</w:t>
      </w:r>
      <w:r w:rsidRPr="00CC6F7E">
        <w:rPr>
          <w:rFonts w:eastAsia="Times New Roman" w:cs="Times New Roman"/>
          <w:lang w:eastAsia="de-DE"/>
        </w:rPr>
        <w:t>, aber hier als Strafe statt deren Entfernung.</w:t>
      </w:r>
    </w:p>
    <w:p w14:paraId="64C0DB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ושכלה אתכם</w:t>
      </w:r>
      <w:r w:rsidRPr="00CC6F7E">
        <w:rPr>
          <w:rFonts w:eastAsia="Times New Roman" w:cs="Times New Roman"/>
          <w:rtl/>
          <w:lang w:eastAsia="de-DE"/>
        </w:rPr>
        <w:t xml:space="preserve"> </w:t>
      </w:r>
      <w:r w:rsidRPr="00CC6F7E">
        <w:rPr>
          <w:rFonts w:eastAsia="Times New Roman" w:cs="Times New Roman"/>
          <w:lang w:eastAsia="de-DE"/>
        </w:rPr>
        <w:t xml:space="preserve">(dass sie euch eurer Kinder berauben) - </w:t>
      </w:r>
      <w:r w:rsidRPr="00CC6F7E">
        <w:rPr>
          <w:rFonts w:eastAsia="Times New Roman" w:cs="Times New Roman"/>
          <w:b/>
          <w:bCs/>
          <w:rtl/>
          <w:lang w:eastAsia="de-DE"/>
        </w:rPr>
        <w:t>ושכלה</w:t>
      </w:r>
      <w:r w:rsidRPr="00CC6F7E">
        <w:rPr>
          <w:rFonts w:eastAsia="Times New Roman" w:cs="Times New Roman"/>
          <w:rtl/>
          <w:lang w:eastAsia="de-DE"/>
        </w:rPr>
        <w:t xml:space="preserve"> </w:t>
      </w:r>
      <w:r w:rsidRPr="00CC6F7E">
        <w:rPr>
          <w:rFonts w:eastAsia="Times New Roman" w:cs="Times New Roman"/>
          <w:lang w:eastAsia="de-DE"/>
        </w:rPr>
        <w:t xml:space="preserve">(und sie wird berauben) im Piel-Perfekt mit Waw-Konsekutiv von </w:t>
      </w:r>
      <w:r w:rsidRPr="00CC6F7E">
        <w:rPr>
          <w:rFonts w:eastAsia="Times New Roman" w:cs="Times New Roman"/>
          <w:b/>
          <w:bCs/>
          <w:rtl/>
          <w:lang w:eastAsia="de-DE"/>
        </w:rPr>
        <w:t>שכל</w:t>
      </w:r>
      <w:r w:rsidRPr="00CC6F7E">
        <w:rPr>
          <w:rFonts w:eastAsia="Times New Roman" w:cs="Times New Roman"/>
          <w:rtl/>
          <w:lang w:eastAsia="de-DE"/>
        </w:rPr>
        <w:t xml:space="preserve"> </w:t>
      </w:r>
      <w:r w:rsidRPr="00CC6F7E">
        <w:rPr>
          <w:rFonts w:eastAsia="Times New Roman" w:cs="Times New Roman"/>
          <w:lang w:eastAsia="de-DE"/>
        </w:rPr>
        <w:t xml:space="preserve">zeigt Kindesverlust. </w:t>
      </w:r>
      <w:r w:rsidRPr="00CC6F7E">
        <w:rPr>
          <w:rFonts w:eastAsia="Times New Roman" w:cs="Times New Roman"/>
          <w:b/>
          <w:bCs/>
          <w:rtl/>
          <w:lang w:eastAsia="de-DE"/>
        </w:rPr>
        <w:t>והכריתה את־בהמתכם</w:t>
      </w:r>
      <w:r w:rsidRPr="00CC6F7E">
        <w:rPr>
          <w:rFonts w:eastAsia="Times New Roman" w:cs="Times New Roman"/>
          <w:rtl/>
          <w:lang w:eastAsia="de-DE"/>
        </w:rPr>
        <w:t xml:space="preserve"> </w:t>
      </w:r>
      <w:r w:rsidRPr="00CC6F7E">
        <w:rPr>
          <w:rFonts w:eastAsia="Times New Roman" w:cs="Times New Roman"/>
          <w:lang w:eastAsia="de-DE"/>
        </w:rPr>
        <w:t xml:space="preserve">(und euer Vieh ausrotten) - </w:t>
      </w:r>
      <w:r w:rsidRPr="00CC6F7E">
        <w:rPr>
          <w:rFonts w:eastAsia="Times New Roman" w:cs="Times New Roman"/>
          <w:b/>
          <w:bCs/>
          <w:rtl/>
          <w:lang w:eastAsia="de-DE"/>
        </w:rPr>
        <w:t>והכריתה</w:t>
      </w:r>
      <w:r w:rsidRPr="00CC6F7E">
        <w:rPr>
          <w:rFonts w:eastAsia="Times New Roman" w:cs="Times New Roman"/>
          <w:rtl/>
          <w:lang w:eastAsia="de-DE"/>
        </w:rPr>
        <w:t xml:space="preserve"> </w:t>
      </w:r>
      <w:r w:rsidRPr="00CC6F7E">
        <w:rPr>
          <w:rFonts w:eastAsia="Times New Roman" w:cs="Times New Roman"/>
          <w:lang w:eastAsia="de-DE"/>
        </w:rPr>
        <w:t xml:space="preserve">(und sie wird ausrotten) von </w:t>
      </w:r>
      <w:r w:rsidRPr="00CC6F7E">
        <w:rPr>
          <w:rFonts w:eastAsia="Times New Roman" w:cs="Times New Roman"/>
          <w:b/>
          <w:bCs/>
          <w:rtl/>
          <w:lang w:eastAsia="de-DE"/>
        </w:rPr>
        <w:t>כרת</w:t>
      </w:r>
      <w:r w:rsidRPr="00CC6F7E">
        <w:rPr>
          <w:rFonts w:eastAsia="Times New Roman" w:cs="Times New Roman"/>
          <w:rtl/>
          <w:lang w:eastAsia="de-DE"/>
        </w:rPr>
        <w:t xml:space="preserve"> </w:t>
      </w:r>
      <w:r w:rsidRPr="00CC6F7E">
        <w:rPr>
          <w:rFonts w:eastAsia="Times New Roman" w:cs="Times New Roman"/>
          <w:lang w:eastAsia="de-DE"/>
        </w:rPr>
        <w:t>zeigt Vieh-Vernichtung.</w:t>
      </w:r>
    </w:p>
    <w:p w14:paraId="55C27B8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והמעיטה אתכם</w:t>
      </w:r>
      <w:r w:rsidRPr="00CC6F7E">
        <w:rPr>
          <w:rFonts w:eastAsia="Times New Roman" w:cs="Times New Roman"/>
          <w:rtl/>
          <w:lang w:eastAsia="de-DE"/>
        </w:rPr>
        <w:t xml:space="preserve"> </w:t>
      </w:r>
      <w:r w:rsidRPr="00CC6F7E">
        <w:rPr>
          <w:rFonts w:eastAsia="Times New Roman" w:cs="Times New Roman"/>
          <w:lang w:eastAsia="de-DE"/>
        </w:rPr>
        <w:t xml:space="preserve">(und euch vermindern) - </w:t>
      </w:r>
      <w:r w:rsidRPr="00CC6F7E">
        <w:rPr>
          <w:rFonts w:eastAsia="Times New Roman" w:cs="Times New Roman"/>
          <w:b/>
          <w:bCs/>
          <w:rtl/>
          <w:lang w:eastAsia="de-DE"/>
        </w:rPr>
        <w:t>והמעיטה</w:t>
      </w:r>
      <w:r w:rsidRPr="00CC6F7E">
        <w:rPr>
          <w:rFonts w:eastAsia="Times New Roman" w:cs="Times New Roman"/>
          <w:rtl/>
          <w:lang w:eastAsia="de-DE"/>
        </w:rPr>
        <w:t xml:space="preserve"> </w:t>
      </w:r>
      <w:r w:rsidRPr="00CC6F7E">
        <w:rPr>
          <w:rFonts w:eastAsia="Times New Roman" w:cs="Times New Roman"/>
          <w:lang w:eastAsia="de-DE"/>
        </w:rPr>
        <w:t xml:space="preserve">(und sie wird vermindern) im Hifil-Perfekt von </w:t>
      </w:r>
      <w:r w:rsidRPr="00CC6F7E">
        <w:rPr>
          <w:rFonts w:eastAsia="Times New Roman" w:cs="Times New Roman"/>
          <w:b/>
          <w:bCs/>
          <w:rtl/>
          <w:lang w:eastAsia="de-DE"/>
        </w:rPr>
        <w:t>מעט</w:t>
      </w:r>
      <w:r w:rsidRPr="00CC6F7E">
        <w:rPr>
          <w:rFonts w:eastAsia="Times New Roman" w:cs="Times New Roman"/>
          <w:rtl/>
          <w:lang w:eastAsia="de-DE"/>
        </w:rPr>
        <w:t xml:space="preserve"> </w:t>
      </w:r>
      <w:r w:rsidRPr="00CC6F7E">
        <w:rPr>
          <w:rFonts w:eastAsia="Times New Roman" w:cs="Times New Roman"/>
          <w:lang w:eastAsia="de-DE"/>
        </w:rPr>
        <w:t xml:space="preserve">zeigt Bevölkerungsrückgang als Gegensatz zu V. 9. </w:t>
      </w:r>
      <w:r w:rsidRPr="00CC6F7E">
        <w:rPr>
          <w:rFonts w:eastAsia="Times New Roman" w:cs="Times New Roman"/>
          <w:b/>
          <w:bCs/>
          <w:rtl/>
          <w:lang w:eastAsia="de-DE"/>
        </w:rPr>
        <w:t>ונשמו דרכיכם</w:t>
      </w:r>
      <w:r w:rsidRPr="00CC6F7E">
        <w:rPr>
          <w:rFonts w:eastAsia="Times New Roman" w:cs="Times New Roman"/>
          <w:rtl/>
          <w:lang w:eastAsia="de-DE"/>
        </w:rPr>
        <w:t xml:space="preserve"> </w:t>
      </w:r>
      <w:r w:rsidRPr="00CC6F7E">
        <w:rPr>
          <w:rFonts w:eastAsia="Times New Roman" w:cs="Times New Roman"/>
          <w:lang w:eastAsia="de-DE"/>
        </w:rPr>
        <w:t xml:space="preserve">(und eure Straßen sollen öde werden) - </w:t>
      </w:r>
      <w:r w:rsidRPr="00CC6F7E">
        <w:rPr>
          <w:rFonts w:eastAsia="Times New Roman" w:cs="Times New Roman"/>
          <w:b/>
          <w:bCs/>
          <w:rtl/>
          <w:lang w:eastAsia="de-DE"/>
        </w:rPr>
        <w:t>ונשמו</w:t>
      </w:r>
      <w:r w:rsidRPr="00CC6F7E">
        <w:rPr>
          <w:rFonts w:eastAsia="Times New Roman" w:cs="Times New Roman"/>
          <w:rtl/>
          <w:lang w:eastAsia="de-DE"/>
        </w:rPr>
        <w:t xml:space="preserve"> </w:t>
      </w:r>
      <w:r w:rsidRPr="00CC6F7E">
        <w:rPr>
          <w:rFonts w:eastAsia="Times New Roman" w:cs="Times New Roman"/>
          <w:lang w:eastAsia="de-DE"/>
        </w:rPr>
        <w:t xml:space="preserve">(und sie werden öde) im Qal-Perfekt von </w:t>
      </w:r>
      <w:r w:rsidRPr="00CC6F7E">
        <w:rPr>
          <w:rFonts w:eastAsia="Times New Roman" w:cs="Times New Roman"/>
          <w:b/>
          <w:bCs/>
          <w:rtl/>
          <w:lang w:eastAsia="de-DE"/>
        </w:rPr>
        <w:t>שמם</w:t>
      </w:r>
      <w:r w:rsidRPr="00CC6F7E">
        <w:rPr>
          <w:rFonts w:eastAsia="Times New Roman" w:cs="Times New Roman"/>
          <w:rtl/>
          <w:lang w:eastAsia="de-DE"/>
        </w:rPr>
        <w:t xml:space="preserve"> </w:t>
      </w:r>
      <w:r w:rsidRPr="00CC6F7E">
        <w:rPr>
          <w:rFonts w:eastAsia="Times New Roman" w:cs="Times New Roman"/>
          <w:lang w:eastAsia="de-DE"/>
        </w:rPr>
        <w:t>zeigt Verkehrsverödung.</w:t>
      </w:r>
    </w:p>
    <w:p w14:paraId="2109AE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חית השדה</w:t>
      </w:r>
      <w:r w:rsidRPr="00CC6F7E">
        <w:rPr>
          <w:rFonts w:eastAsia="Times New Roman" w:cs="Times New Roman"/>
          <w:rtl/>
          <w:lang w:eastAsia="de-DE"/>
        </w:rPr>
        <w:t xml:space="preserve"> </w:t>
      </w:r>
      <w:r w:rsidRPr="00CC6F7E">
        <w:rPr>
          <w:rFonts w:eastAsia="Times New Roman" w:cs="Times New Roman"/>
          <w:lang w:eastAsia="de-DE"/>
        </w:rPr>
        <w:t xml:space="preserve">als Segens-Umkehrung von V. 6. </w:t>
      </w:r>
      <w:r w:rsidRPr="00CC6F7E">
        <w:rPr>
          <w:rFonts w:eastAsia="Times New Roman" w:cs="Times New Roman"/>
          <w:b/>
          <w:bCs/>
          <w:rtl/>
          <w:lang w:eastAsia="de-DE"/>
        </w:rPr>
        <w:t>שכלה...הכריתה...המעיטה</w:t>
      </w:r>
      <w:r w:rsidRPr="00CC6F7E">
        <w:rPr>
          <w:rFonts w:eastAsia="Times New Roman" w:cs="Times New Roman"/>
          <w:rtl/>
          <w:lang w:eastAsia="de-DE"/>
        </w:rPr>
        <w:t xml:space="preserve"> </w:t>
      </w:r>
      <w:r w:rsidRPr="00CC6F7E">
        <w:rPr>
          <w:rFonts w:eastAsia="Times New Roman" w:cs="Times New Roman"/>
          <w:lang w:eastAsia="de-DE"/>
        </w:rPr>
        <w:t xml:space="preserve">zeigen dreifache Vernichtung: Kinder, Vieh, Bevölkerung. </w:t>
      </w:r>
      <w:r w:rsidRPr="00CC6F7E">
        <w:rPr>
          <w:rFonts w:eastAsia="Times New Roman" w:cs="Times New Roman"/>
          <w:b/>
          <w:bCs/>
          <w:rtl/>
          <w:lang w:eastAsia="de-DE"/>
        </w:rPr>
        <w:t>ונשמו דרכיכם</w:t>
      </w:r>
      <w:r w:rsidRPr="00CC6F7E">
        <w:rPr>
          <w:rFonts w:eastAsia="Times New Roman" w:cs="Times New Roman"/>
          <w:rtl/>
          <w:lang w:eastAsia="de-DE"/>
        </w:rPr>
        <w:t xml:space="preserve"> </w:t>
      </w:r>
      <w:r w:rsidRPr="00CC6F7E">
        <w:rPr>
          <w:rFonts w:eastAsia="Times New Roman" w:cs="Times New Roman"/>
          <w:lang w:eastAsia="de-DE"/>
        </w:rPr>
        <w:t>zeigt gesellschaftlichen Kollaps.</w:t>
      </w:r>
    </w:p>
    <w:p w14:paraId="0B81EB3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חית השדה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θηρί</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ἄγρι</w:t>
      </w:r>
      <w:proofErr w:type="spellEnd"/>
      <w:r w:rsidRPr="00CC6F7E">
        <w:rPr>
          <w:rFonts w:eastAsia="Times New Roman" w:cs="Times New Roman"/>
          <w:lang w:eastAsia="de-DE"/>
        </w:rPr>
        <w:t xml:space="preserve">α (wilde Tiere), </w:t>
      </w:r>
      <w:r w:rsidRPr="00CC6F7E">
        <w:rPr>
          <w:rFonts w:eastAsia="Times New Roman" w:cs="Times New Roman"/>
          <w:b/>
          <w:bCs/>
          <w:rtl/>
          <w:lang w:eastAsia="de-DE"/>
        </w:rPr>
        <w:t>ושכלה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ἀτεκνώσει</w:t>
      </w:r>
      <w:proofErr w:type="spellEnd"/>
      <w:r w:rsidRPr="00CC6F7E">
        <w:rPr>
          <w:rFonts w:eastAsia="Times New Roman" w:cs="Times New Roman"/>
          <w:lang w:eastAsia="de-DE"/>
        </w:rPr>
        <w:t xml:space="preserve"> (wird kinderlos machen), </w:t>
      </w:r>
      <w:r w:rsidRPr="00CC6F7E">
        <w:rPr>
          <w:rFonts w:eastAsia="Times New Roman" w:cs="Times New Roman"/>
          <w:b/>
          <w:bCs/>
          <w:rtl/>
          <w:lang w:eastAsia="de-DE"/>
        </w:rPr>
        <w:t>והכריתה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ἀν</w:t>
      </w:r>
      <w:proofErr w:type="spellEnd"/>
      <w:r w:rsidRPr="00CC6F7E">
        <w:rPr>
          <w:rFonts w:eastAsia="Times New Roman" w:cs="Times New Roman"/>
          <w:lang w:eastAsia="de-DE"/>
        </w:rPr>
        <w:t xml:space="preserve">αλώσει (wird vernichten), </w:t>
      </w:r>
      <w:r w:rsidRPr="00CC6F7E">
        <w:rPr>
          <w:rFonts w:eastAsia="Times New Roman" w:cs="Times New Roman"/>
          <w:b/>
          <w:bCs/>
          <w:rtl/>
          <w:lang w:eastAsia="de-DE"/>
        </w:rPr>
        <w:t>והמעיטה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ὀλιγοστοὺς</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οιήσει</w:t>
      </w:r>
      <w:proofErr w:type="spellEnd"/>
      <w:r w:rsidRPr="00CC6F7E">
        <w:rPr>
          <w:rFonts w:eastAsia="Times New Roman" w:cs="Times New Roman"/>
          <w:lang w:eastAsia="de-DE"/>
        </w:rPr>
        <w:t xml:space="preserve"> (wenige machen wird) und </w:t>
      </w:r>
      <w:r w:rsidRPr="00CC6F7E">
        <w:rPr>
          <w:rFonts w:eastAsia="Times New Roman" w:cs="Times New Roman"/>
          <w:b/>
          <w:bCs/>
          <w:rtl/>
          <w:lang w:eastAsia="de-DE"/>
        </w:rPr>
        <w:t>ונשמו דרכיכם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ἐρημωθήσοντ</w:t>
      </w:r>
      <w:proofErr w:type="spellEnd"/>
      <w:r w:rsidRPr="00CC6F7E">
        <w:rPr>
          <w:rFonts w:eastAsia="Times New Roman" w:cs="Times New Roman"/>
          <w:lang w:eastAsia="de-DE"/>
        </w:rPr>
        <w:t xml:space="preserve">αι αἱ </w:t>
      </w:r>
      <w:proofErr w:type="spellStart"/>
      <w:r w:rsidRPr="00CC6F7E">
        <w:rPr>
          <w:rFonts w:eastAsia="Times New Roman" w:cs="Times New Roman"/>
          <w:lang w:eastAsia="de-DE"/>
        </w:rPr>
        <w:t>ὁδοὶ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(werden verödet eure Wege).</w:t>
      </w:r>
    </w:p>
    <w:p w14:paraId="122A8E2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dritte Fluch-Stufe: Wildtiere senden + euch berauben + Vieh ausrotten + euch vermindern + Straßen werden öde.</w:t>
      </w:r>
    </w:p>
    <w:p w14:paraId="059C45D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dritte Fluch-Stufe: Wildtier-Invasion führt zu Kindesverlust, Vieh-Vernichtung, Bevölkerungsrückgang und gesellschaftlichem Kollaps.</w:t>
      </w:r>
    </w:p>
    <w:p w14:paraId="572FEA2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26,23</w:t>
      </w:r>
    </w:p>
    <w:p w14:paraId="643691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וְאִ֨ם־בְּאֵ֔לֶּה לֹ֥א תִוָּסְר֖וּ לִ֑י וַהֲלַכְתֶּ֥ם עִמִּ֖י קֶֽרִי׃</w:t>
      </w:r>
    </w:p>
    <w:p w14:paraId="1C7D1D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euch durch dies nicht von mir zurechtweisen lasst und mir zuwider wandelt,</w:t>
      </w:r>
    </w:p>
    <w:p w14:paraId="06EB80A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213B707">
          <v:rect id="_x0000_i1826" style="width:0;height:1.5pt" o:hralign="center" o:hrstd="t" o:hr="t" fillcolor="#a0a0a0" stroked="f"/>
        </w:pict>
      </w:r>
    </w:p>
    <w:p w14:paraId="13B2829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ואם־באלה לא תוסרו לי והלכתם עמי קרי</w:t>
      </w:r>
      <w:r w:rsidRPr="00CC6F7E">
        <w:rPr>
          <w:rFonts w:eastAsia="Times New Roman" w:cs="Times New Roman"/>
          <w:rtl/>
          <w:lang w:eastAsia="de-DE"/>
        </w:rPr>
        <w:t xml:space="preserve"> </w:t>
      </w:r>
      <w:r w:rsidRPr="00CC6F7E">
        <w:rPr>
          <w:rFonts w:eastAsia="Times New Roman" w:cs="Times New Roman"/>
          <w:lang w:eastAsia="de-DE"/>
        </w:rPr>
        <w:t xml:space="preserve">leitet die vierte und schwerste Fluch-Stufe ein. </w:t>
      </w:r>
      <w:r w:rsidRPr="00CC6F7E">
        <w:rPr>
          <w:rFonts w:eastAsia="Times New Roman" w:cs="Times New Roman"/>
          <w:b/>
          <w:bCs/>
          <w:rtl/>
          <w:lang w:eastAsia="de-DE"/>
        </w:rPr>
        <w:t>ואם־באלה לא תוסרו לי</w:t>
      </w:r>
      <w:r w:rsidRPr="00CC6F7E">
        <w:rPr>
          <w:rFonts w:eastAsia="Times New Roman" w:cs="Times New Roman"/>
          <w:rtl/>
          <w:lang w:eastAsia="de-DE"/>
        </w:rPr>
        <w:t xml:space="preserve"> </w:t>
      </w:r>
      <w:r w:rsidRPr="00CC6F7E">
        <w:rPr>
          <w:rFonts w:eastAsia="Times New Roman" w:cs="Times New Roman"/>
          <w:lang w:eastAsia="de-DE"/>
        </w:rPr>
        <w:t xml:space="preserve">(und wenn ihr euch durch dies nicht von mir zurechtweisen lasst) - </w:t>
      </w:r>
      <w:r w:rsidRPr="00CC6F7E">
        <w:rPr>
          <w:rFonts w:eastAsia="Times New Roman" w:cs="Times New Roman"/>
          <w:b/>
          <w:bCs/>
          <w:rtl/>
          <w:lang w:eastAsia="de-DE"/>
        </w:rPr>
        <w:t>באלה</w:t>
      </w:r>
      <w:r w:rsidRPr="00CC6F7E">
        <w:rPr>
          <w:rFonts w:eastAsia="Times New Roman" w:cs="Times New Roman"/>
          <w:rtl/>
          <w:lang w:eastAsia="de-DE"/>
        </w:rPr>
        <w:t xml:space="preserve"> </w:t>
      </w:r>
      <w:r w:rsidRPr="00CC6F7E">
        <w:rPr>
          <w:rFonts w:eastAsia="Times New Roman" w:cs="Times New Roman"/>
          <w:lang w:eastAsia="de-DE"/>
        </w:rPr>
        <w:t xml:space="preserve">(durch diese) bezieht sich auf die dritten Stufe Plagen (V. 21-22). </w:t>
      </w:r>
      <w:r w:rsidRPr="00CC6F7E">
        <w:rPr>
          <w:rFonts w:eastAsia="Times New Roman" w:cs="Times New Roman"/>
          <w:b/>
          <w:bCs/>
          <w:rtl/>
          <w:lang w:eastAsia="de-DE"/>
        </w:rPr>
        <w:t>לא תוסרו לי</w:t>
      </w:r>
      <w:r w:rsidRPr="00CC6F7E">
        <w:rPr>
          <w:rFonts w:eastAsia="Times New Roman" w:cs="Times New Roman"/>
          <w:rtl/>
          <w:lang w:eastAsia="de-DE"/>
        </w:rPr>
        <w:t xml:space="preserve"> </w:t>
      </w:r>
      <w:r w:rsidRPr="00CC6F7E">
        <w:rPr>
          <w:rFonts w:eastAsia="Times New Roman" w:cs="Times New Roman"/>
          <w:lang w:eastAsia="de-DE"/>
        </w:rPr>
        <w:t xml:space="preserve">(ihr lasst euch nicht von mir zurechtweisen) - </w:t>
      </w:r>
      <w:r w:rsidRPr="00CC6F7E">
        <w:rPr>
          <w:rFonts w:eastAsia="Times New Roman" w:cs="Times New Roman"/>
          <w:b/>
          <w:bCs/>
          <w:rtl/>
          <w:lang w:eastAsia="de-DE"/>
        </w:rPr>
        <w:t>תוסרו</w:t>
      </w:r>
      <w:r w:rsidRPr="00CC6F7E">
        <w:rPr>
          <w:rFonts w:eastAsia="Times New Roman" w:cs="Times New Roman"/>
          <w:rtl/>
          <w:lang w:eastAsia="de-DE"/>
        </w:rPr>
        <w:t xml:space="preserve"> </w:t>
      </w:r>
      <w:r w:rsidRPr="00CC6F7E">
        <w:rPr>
          <w:rFonts w:eastAsia="Times New Roman" w:cs="Times New Roman"/>
          <w:lang w:eastAsia="de-DE"/>
        </w:rPr>
        <w:t xml:space="preserve">(ihr lasst euch zurechtweisen) im Nifal-Imperfekt von </w:t>
      </w:r>
      <w:r w:rsidRPr="00CC6F7E">
        <w:rPr>
          <w:rFonts w:eastAsia="Times New Roman" w:cs="Times New Roman"/>
          <w:b/>
          <w:bCs/>
          <w:rtl/>
          <w:lang w:eastAsia="de-DE"/>
        </w:rPr>
        <w:t>יסר</w:t>
      </w:r>
      <w:r w:rsidRPr="00CC6F7E">
        <w:rPr>
          <w:rFonts w:eastAsia="Times New Roman" w:cs="Times New Roman"/>
          <w:rtl/>
          <w:lang w:eastAsia="de-DE"/>
        </w:rPr>
        <w:t xml:space="preserve"> </w:t>
      </w:r>
      <w:r w:rsidRPr="00CC6F7E">
        <w:rPr>
          <w:rFonts w:eastAsia="Times New Roman" w:cs="Times New Roman"/>
          <w:lang w:eastAsia="de-DE"/>
        </w:rPr>
        <w:t xml:space="preserve">entspricht V. 18 </w:t>
      </w:r>
      <w:r w:rsidRPr="00CC6F7E">
        <w:rPr>
          <w:rFonts w:eastAsia="Times New Roman" w:cs="Times New Roman"/>
          <w:b/>
          <w:bCs/>
          <w:rtl/>
          <w:lang w:eastAsia="de-DE"/>
        </w:rPr>
        <w:t>ליסרה</w:t>
      </w:r>
      <w:r w:rsidRPr="00CC6F7E">
        <w:rPr>
          <w:rFonts w:eastAsia="Times New Roman" w:cs="Times New Roman"/>
          <w:lang w:eastAsia="de-DE"/>
        </w:rPr>
        <w:t>. Das Nifal zeigt reflexive Zurechtweisungsannahme.</w:t>
      </w:r>
    </w:p>
    <w:p w14:paraId="4247EB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והלכתם עמי קרי</w:t>
      </w:r>
      <w:r w:rsidRPr="00CC6F7E">
        <w:rPr>
          <w:rFonts w:eastAsia="Times New Roman" w:cs="Times New Roman"/>
          <w:rtl/>
          <w:lang w:eastAsia="de-DE"/>
        </w:rPr>
        <w:t xml:space="preserve"> </w:t>
      </w:r>
      <w:r w:rsidRPr="00CC6F7E">
        <w:rPr>
          <w:rFonts w:eastAsia="Times New Roman" w:cs="Times New Roman"/>
          <w:lang w:eastAsia="de-DE"/>
        </w:rPr>
        <w:t>(und mir zuwider wandelt) entspricht exakt V. 21 und zeigt anhaltende Feindseligkeit trotz aller bisherigen Strafen.</w:t>
      </w:r>
    </w:p>
    <w:p w14:paraId="5C341C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באלה לא תוסרו</w:t>
      </w:r>
      <w:r w:rsidRPr="00CC6F7E">
        <w:rPr>
          <w:rFonts w:eastAsia="Times New Roman" w:cs="Times New Roman"/>
          <w:rtl/>
          <w:lang w:eastAsia="de-DE"/>
        </w:rPr>
        <w:t xml:space="preserve"> </w:t>
      </w:r>
      <w:r w:rsidRPr="00CC6F7E">
        <w:rPr>
          <w:rFonts w:eastAsia="Times New Roman" w:cs="Times New Roman"/>
          <w:lang w:eastAsia="de-DE"/>
        </w:rPr>
        <w:t xml:space="preserve">zeigt, dass auch die dritte Straf-Stufe nicht zur Umkehr führte. </w:t>
      </w:r>
      <w:r w:rsidRPr="00CC6F7E">
        <w:rPr>
          <w:rFonts w:eastAsia="Times New Roman" w:cs="Times New Roman"/>
          <w:b/>
          <w:bCs/>
          <w:rtl/>
          <w:lang w:eastAsia="de-DE"/>
        </w:rPr>
        <w:t>והלכתם עמי קרי</w:t>
      </w:r>
      <w:r w:rsidRPr="00CC6F7E">
        <w:rPr>
          <w:rFonts w:eastAsia="Times New Roman" w:cs="Times New Roman"/>
          <w:rtl/>
          <w:lang w:eastAsia="de-DE"/>
        </w:rPr>
        <w:t xml:space="preserve"> </w:t>
      </w:r>
      <w:r w:rsidRPr="00CC6F7E">
        <w:rPr>
          <w:rFonts w:eastAsia="Times New Roman" w:cs="Times New Roman"/>
          <w:lang w:eastAsia="de-DE"/>
        </w:rPr>
        <w:t>zeigt verstockte Fortsetzung der Feindseligkeit.</w:t>
      </w:r>
    </w:p>
    <w:p w14:paraId="5641B58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באלה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τούτοις</w:t>
      </w:r>
      <w:proofErr w:type="spellEnd"/>
      <w:r w:rsidRPr="00CC6F7E">
        <w:rPr>
          <w:rFonts w:eastAsia="Times New Roman" w:cs="Times New Roman"/>
          <w:lang w:eastAsia="de-DE"/>
        </w:rPr>
        <w:t xml:space="preserve"> (in diesen), </w:t>
      </w:r>
      <w:r w:rsidRPr="00CC6F7E">
        <w:rPr>
          <w:rFonts w:eastAsia="Times New Roman" w:cs="Times New Roman"/>
          <w:b/>
          <w:bCs/>
          <w:rtl/>
          <w:lang w:eastAsia="de-DE"/>
        </w:rPr>
        <w:t>תוסרו</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ιδευθήσεσθε</w:t>
      </w:r>
      <w:proofErr w:type="spellEnd"/>
      <w:r w:rsidRPr="00CC6F7E">
        <w:rPr>
          <w:rFonts w:eastAsia="Times New Roman" w:cs="Times New Roman"/>
          <w:lang w:eastAsia="de-DE"/>
        </w:rPr>
        <w:t xml:space="preserve"> (werdet ihr erzogen werden) und </w:t>
      </w:r>
      <w:r w:rsidRPr="00CC6F7E">
        <w:rPr>
          <w:rFonts w:eastAsia="Times New Roman" w:cs="Times New Roman"/>
          <w:b/>
          <w:bCs/>
          <w:rtl/>
          <w:lang w:eastAsia="de-DE"/>
        </w:rPr>
        <w:t>קרי</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λάγι</w:t>
      </w:r>
      <w:proofErr w:type="spellEnd"/>
      <w:r w:rsidRPr="00CC6F7E">
        <w:rPr>
          <w:rFonts w:eastAsia="Times New Roman" w:cs="Times New Roman"/>
          <w:lang w:eastAsia="de-DE"/>
        </w:rPr>
        <w:t>α (schief/verkehrt).</w:t>
      </w:r>
    </w:p>
    <w:p w14:paraId="31DE83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vierte Fluch-Stufen-Einleitung: durch dies nicht zurechtweisen lassen + mir zuwider wandeln.</w:t>
      </w:r>
    </w:p>
    <w:p w14:paraId="4075A4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kurze Vers leitet die schwerste Straf-Stufe ein: Selbst die Wildtier-Plagen führten nicht zur Umkehr und Feindseligkeit gegen JHWH hält an.</w:t>
      </w:r>
    </w:p>
    <w:p w14:paraId="7C33CB7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26,24</w:t>
      </w:r>
    </w:p>
    <w:p w14:paraId="6A106F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וְהָלַכְתִּ֧י אַף־אֲנִ֛י עִמָּכֶ֖ם בְּקֶ֑רִי וְהִכֵּיתִ֤י אֶתְכֶם֙ גַּם־אָ֔נִי שֶׁ֖בַע עַל־חַטֹּאתֵיכֶֽם׃</w:t>
      </w:r>
    </w:p>
    <w:p w14:paraId="139F512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so werde auch ich euch zuwider wandeln, und auch ich werde euch siebenfach schlagen wegen eurer Sünden.</w:t>
      </w:r>
    </w:p>
    <w:p w14:paraId="61F98BB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9613B05">
          <v:rect id="_x0000_i1827" style="width:0;height:1.5pt" o:hralign="center" o:hrstd="t" o:hr="t" fillcolor="#a0a0a0" stroked="f"/>
        </w:pict>
      </w:r>
    </w:p>
    <w:p w14:paraId="3D7245B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והלכתי אף־אני עמכם בקרי והכיתי אתכם גם־אני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zeigt göttliche Vergeltung in derselben Weise. </w:t>
      </w:r>
      <w:r w:rsidRPr="00CC6F7E">
        <w:rPr>
          <w:rFonts w:eastAsia="Times New Roman" w:cs="Times New Roman"/>
          <w:b/>
          <w:bCs/>
          <w:rtl/>
          <w:lang w:eastAsia="de-DE"/>
        </w:rPr>
        <w:t>והלכתי אף־אני עמכם בקרי</w:t>
      </w:r>
      <w:r w:rsidRPr="00CC6F7E">
        <w:rPr>
          <w:rFonts w:eastAsia="Times New Roman" w:cs="Times New Roman"/>
          <w:rtl/>
          <w:lang w:eastAsia="de-DE"/>
        </w:rPr>
        <w:t xml:space="preserve"> </w:t>
      </w:r>
      <w:r w:rsidRPr="00CC6F7E">
        <w:rPr>
          <w:rFonts w:eastAsia="Times New Roman" w:cs="Times New Roman"/>
          <w:lang w:eastAsia="de-DE"/>
        </w:rPr>
        <w:t xml:space="preserve">(so werde auch ich euch zuwider wandeln) - </w:t>
      </w:r>
      <w:r w:rsidRPr="00CC6F7E">
        <w:rPr>
          <w:rFonts w:eastAsia="Times New Roman" w:cs="Times New Roman"/>
          <w:b/>
          <w:bCs/>
          <w:rtl/>
          <w:lang w:eastAsia="de-DE"/>
        </w:rPr>
        <w:t>והלכתי</w:t>
      </w:r>
      <w:r w:rsidRPr="00CC6F7E">
        <w:rPr>
          <w:rFonts w:eastAsia="Times New Roman" w:cs="Times New Roman"/>
          <w:rtl/>
          <w:lang w:eastAsia="de-DE"/>
        </w:rPr>
        <w:t xml:space="preserve"> </w:t>
      </w:r>
      <w:r w:rsidRPr="00CC6F7E">
        <w:rPr>
          <w:rFonts w:eastAsia="Times New Roman" w:cs="Times New Roman"/>
          <w:lang w:eastAsia="de-DE"/>
        </w:rPr>
        <w:t xml:space="preserve">(und ich werde wandeln) im Qal-Perfekt mit Waw-Konsekutiv. </w:t>
      </w: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(auch ich) entspricht V. 16 und zeigt das Talionsprinzip. </w:t>
      </w:r>
      <w:r w:rsidRPr="00CC6F7E">
        <w:rPr>
          <w:rFonts w:eastAsia="Times New Roman" w:cs="Times New Roman"/>
          <w:b/>
          <w:bCs/>
          <w:rtl/>
          <w:lang w:eastAsia="de-DE"/>
        </w:rPr>
        <w:t>עמכם בקרי</w:t>
      </w:r>
      <w:r w:rsidRPr="00CC6F7E">
        <w:rPr>
          <w:rFonts w:eastAsia="Times New Roman" w:cs="Times New Roman"/>
          <w:rtl/>
          <w:lang w:eastAsia="de-DE"/>
        </w:rPr>
        <w:t xml:space="preserve"> </w:t>
      </w:r>
      <w:r w:rsidRPr="00CC6F7E">
        <w:rPr>
          <w:rFonts w:eastAsia="Times New Roman" w:cs="Times New Roman"/>
          <w:lang w:eastAsia="de-DE"/>
        </w:rPr>
        <w:t>(mit euch zuwider) zeigt, dass JHWH dieselbe feindselige Haltung einnimmt wie Israel.</w:t>
      </w:r>
    </w:p>
    <w:p w14:paraId="63EA8EC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והכיתי אתכם גם־אני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(und auch ich werde euch siebenfach schlagen wegen eurer Sünden) - </w:t>
      </w:r>
      <w:r w:rsidRPr="00CC6F7E">
        <w:rPr>
          <w:rFonts w:eastAsia="Times New Roman" w:cs="Times New Roman"/>
          <w:b/>
          <w:bCs/>
          <w:rtl/>
          <w:lang w:eastAsia="de-DE"/>
        </w:rPr>
        <w:t>והכיתי אתכם</w:t>
      </w:r>
      <w:r w:rsidRPr="00CC6F7E">
        <w:rPr>
          <w:rFonts w:eastAsia="Times New Roman" w:cs="Times New Roman"/>
          <w:rtl/>
          <w:lang w:eastAsia="de-DE"/>
        </w:rPr>
        <w:t xml:space="preserve"> </w:t>
      </w:r>
      <w:r w:rsidRPr="00CC6F7E">
        <w:rPr>
          <w:rFonts w:eastAsia="Times New Roman" w:cs="Times New Roman"/>
          <w:lang w:eastAsia="de-DE"/>
        </w:rPr>
        <w:t xml:space="preserve">(und ich werde euch schlagen) im Hifil-Perfekt von </w:t>
      </w:r>
      <w:r w:rsidRPr="00CC6F7E">
        <w:rPr>
          <w:rFonts w:eastAsia="Times New Roman" w:cs="Times New Roman"/>
          <w:b/>
          <w:bCs/>
          <w:rtl/>
          <w:lang w:eastAsia="de-DE"/>
        </w:rPr>
        <w:t>נכה</w:t>
      </w:r>
      <w:r w:rsidRPr="00CC6F7E">
        <w:rPr>
          <w:rFonts w:eastAsia="Times New Roman" w:cs="Times New Roman"/>
          <w:lang w:eastAsia="de-DE"/>
        </w:rPr>
        <w:t xml:space="preserve">. </w:t>
      </w:r>
      <w:r w:rsidRPr="00CC6F7E">
        <w:rPr>
          <w:rFonts w:eastAsia="Times New Roman" w:cs="Times New Roman"/>
          <w:b/>
          <w:bCs/>
          <w:rtl/>
          <w:lang w:eastAsia="de-DE"/>
        </w:rPr>
        <w:t>גם־אני</w:t>
      </w:r>
      <w:r w:rsidRPr="00CC6F7E">
        <w:rPr>
          <w:rFonts w:eastAsia="Times New Roman" w:cs="Times New Roman"/>
          <w:rtl/>
          <w:lang w:eastAsia="de-DE"/>
        </w:rPr>
        <w:t xml:space="preserve"> </w:t>
      </w:r>
      <w:r w:rsidRPr="00CC6F7E">
        <w:rPr>
          <w:rFonts w:eastAsia="Times New Roman" w:cs="Times New Roman"/>
          <w:lang w:eastAsia="de-DE"/>
        </w:rPr>
        <w:t xml:space="preserve">bekräftigt die Vergeltung. </w:t>
      </w:r>
      <w:r w:rsidRPr="00CC6F7E">
        <w:rPr>
          <w:rFonts w:eastAsia="Times New Roman" w:cs="Times New Roman"/>
          <w:b/>
          <w:bCs/>
          <w:rtl/>
          <w:lang w:eastAsia="de-DE"/>
        </w:rPr>
        <w:t>שבע על־חטאתיכם</w:t>
      </w:r>
      <w:r w:rsidRPr="00CC6F7E">
        <w:rPr>
          <w:rFonts w:eastAsia="Times New Roman" w:cs="Times New Roman"/>
          <w:rtl/>
          <w:lang w:eastAsia="de-DE"/>
        </w:rPr>
        <w:t xml:space="preserve"> </w:t>
      </w:r>
      <w:r w:rsidRPr="00CC6F7E">
        <w:rPr>
          <w:rFonts w:eastAsia="Times New Roman" w:cs="Times New Roman"/>
          <w:lang w:eastAsia="de-DE"/>
        </w:rPr>
        <w:t>entspricht V. 18,21.</w:t>
      </w:r>
    </w:p>
    <w:p w14:paraId="3874FC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אף־אני...גם־אני</w:t>
      </w:r>
      <w:r w:rsidRPr="00CC6F7E">
        <w:rPr>
          <w:rFonts w:eastAsia="Times New Roman" w:cs="Times New Roman"/>
          <w:rtl/>
          <w:lang w:eastAsia="de-DE"/>
        </w:rPr>
        <w:t xml:space="preserve"> </w:t>
      </w:r>
      <w:r w:rsidRPr="00CC6F7E">
        <w:rPr>
          <w:rFonts w:eastAsia="Times New Roman" w:cs="Times New Roman"/>
          <w:lang w:eastAsia="de-DE"/>
        </w:rPr>
        <w:t xml:space="preserve">zeigt doppelte Betonung der göttlichen Vergeltung. </w:t>
      </w:r>
      <w:r w:rsidRPr="00CC6F7E">
        <w:rPr>
          <w:rFonts w:eastAsia="Times New Roman" w:cs="Times New Roman"/>
          <w:b/>
          <w:bCs/>
          <w:rtl/>
          <w:lang w:eastAsia="de-DE"/>
        </w:rPr>
        <w:t>עמכם בקרי</w:t>
      </w:r>
      <w:r w:rsidRPr="00CC6F7E">
        <w:rPr>
          <w:rFonts w:eastAsia="Times New Roman" w:cs="Times New Roman"/>
          <w:rtl/>
          <w:lang w:eastAsia="de-DE"/>
        </w:rPr>
        <w:t xml:space="preserve"> </w:t>
      </w:r>
      <w:r w:rsidRPr="00CC6F7E">
        <w:rPr>
          <w:rFonts w:eastAsia="Times New Roman" w:cs="Times New Roman"/>
          <w:lang w:eastAsia="de-DE"/>
        </w:rPr>
        <w:t xml:space="preserve">zeigt dass JHWH dieselbe feindliche Haltung annimmt. </w:t>
      </w:r>
      <w:r w:rsidRPr="00CC6F7E">
        <w:rPr>
          <w:rFonts w:eastAsia="Times New Roman" w:cs="Times New Roman"/>
          <w:b/>
          <w:bCs/>
          <w:rtl/>
          <w:lang w:eastAsia="de-DE"/>
        </w:rPr>
        <w:t>והכיתי...שבע</w:t>
      </w:r>
      <w:r w:rsidRPr="00CC6F7E">
        <w:rPr>
          <w:rFonts w:eastAsia="Times New Roman" w:cs="Times New Roman"/>
          <w:rtl/>
          <w:lang w:eastAsia="de-DE"/>
        </w:rPr>
        <w:t xml:space="preserve"> </w:t>
      </w:r>
      <w:r w:rsidRPr="00CC6F7E">
        <w:rPr>
          <w:rFonts w:eastAsia="Times New Roman" w:cs="Times New Roman"/>
          <w:lang w:eastAsia="de-DE"/>
        </w:rPr>
        <w:t>zeigt die siebenfache Straf-Intensivierung.</w:t>
      </w:r>
    </w:p>
    <w:p w14:paraId="7B1521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κἀγώ</w:t>
      </w:r>
      <w:proofErr w:type="spellEnd"/>
      <w:r w:rsidRPr="00CC6F7E">
        <w:rPr>
          <w:rFonts w:eastAsia="Times New Roman" w:cs="Times New Roman"/>
          <w:lang w:eastAsia="de-DE"/>
        </w:rPr>
        <w:t xml:space="preserve"> (und auch ich), </w:t>
      </w:r>
      <w:r w:rsidRPr="00CC6F7E">
        <w:rPr>
          <w:rFonts w:eastAsia="Times New Roman" w:cs="Times New Roman"/>
          <w:b/>
          <w:bCs/>
          <w:rtl/>
          <w:lang w:eastAsia="de-DE"/>
        </w:rPr>
        <w:t>עמכם בקרי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μεθ</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πλα</w:t>
      </w:r>
      <w:proofErr w:type="spellStart"/>
      <w:r w:rsidRPr="00CC6F7E">
        <w:rPr>
          <w:rFonts w:eastAsia="Times New Roman" w:cs="Times New Roman"/>
          <w:lang w:eastAsia="de-DE"/>
        </w:rPr>
        <w:t>γίως</w:t>
      </w:r>
      <w:proofErr w:type="spellEnd"/>
      <w:r w:rsidRPr="00CC6F7E">
        <w:rPr>
          <w:rFonts w:eastAsia="Times New Roman" w:cs="Times New Roman"/>
          <w:lang w:eastAsia="de-DE"/>
        </w:rPr>
        <w:t xml:space="preserve"> (mit euch schief), </w:t>
      </w:r>
      <w:r w:rsidRPr="00CC6F7E">
        <w:rPr>
          <w:rFonts w:eastAsia="Times New Roman" w:cs="Times New Roman"/>
          <w:b/>
          <w:bCs/>
          <w:rtl/>
          <w:lang w:eastAsia="de-DE"/>
        </w:rPr>
        <w:t>והכיתי</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τάξω</w:t>
      </w:r>
      <w:proofErr w:type="spellEnd"/>
      <w:r w:rsidRPr="00CC6F7E">
        <w:rPr>
          <w:rFonts w:eastAsia="Times New Roman" w:cs="Times New Roman"/>
          <w:lang w:eastAsia="de-DE"/>
        </w:rPr>
        <w:t xml:space="preserve"> (werde ich schlagen) und </w:t>
      </w:r>
      <w:r w:rsidRPr="00CC6F7E">
        <w:rPr>
          <w:rFonts w:eastAsia="Times New Roman" w:cs="Times New Roman"/>
          <w:b/>
          <w:bCs/>
          <w:rtl/>
          <w:lang w:eastAsia="de-DE"/>
        </w:rPr>
        <w:t>גם־אני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κἀγώ</w:t>
      </w:r>
      <w:proofErr w:type="spellEnd"/>
      <w:r w:rsidRPr="00CC6F7E">
        <w:rPr>
          <w:rFonts w:eastAsia="Times New Roman" w:cs="Times New Roman"/>
          <w:lang w:eastAsia="de-DE"/>
        </w:rPr>
        <w:t xml:space="preserve"> (und auch ich).</w:t>
      </w:r>
    </w:p>
    <w:p w14:paraId="74BC5B1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 Vergeltungs-Ankündigung: auch ich werde mit euch zuwider wandeln + auch ich werde euch siebenfach schlagen + wegen eurer Sünden.</w:t>
      </w:r>
    </w:p>
    <w:p w14:paraId="78FFCF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 Talionsprinzip: Wenn Israel JHWH feindlich gegenübertritt, wird JHWH ebenfalls feindselig - Beziehungsumkehr auf höchster Ebene.</w:t>
      </w:r>
    </w:p>
    <w:p w14:paraId="57DF689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26,25</w:t>
      </w:r>
    </w:p>
    <w:p w14:paraId="30BB8C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וְהֵבֵאתִ֨י עֲלֵיכֶ֜ם חֶ֗רֶב נֹקֶ֨מֶת֙ נְקַם־בְּרִ֔ית וְנֶאֱסַפְתֶּ֖ם אֶל־עָרֵיכֶ֑ם וְשִׁלַּ֤חְתִּי דֶ֨בֶר֙ בְּת֣וֹכְכֶ֔ם וְנִתַּתֶּ֖ם בְּיַד־אוֹיֵֽב׃</w:t>
      </w:r>
    </w:p>
    <w:p w14:paraId="2617123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das Schwert über euch bringen, das die Rache des Bundes vollzieht; und zieht ihr euch in eure Städte zurück, so werde ich die Pest in eure Mitte senden, und ihr werdet in die Hand des Feindes gegeben werden.</w:t>
      </w:r>
    </w:p>
    <w:p w14:paraId="5E226FF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D28C042">
          <v:rect id="_x0000_i1828" style="width:0;height:1.5pt" o:hralign="center" o:hrstd="t" o:hr="t" fillcolor="#a0a0a0" stroked="f"/>
        </w:pict>
      </w:r>
    </w:p>
    <w:p w14:paraId="6A2F3C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והבאתי עליכם חרב נקמת נקם־ברית ונאספתם אל־עריכם ושלחתי דבר בתוככם ונתתם ביד־אויב</w:t>
      </w:r>
      <w:r w:rsidRPr="00CC6F7E">
        <w:rPr>
          <w:rFonts w:eastAsia="Times New Roman" w:cs="Times New Roman"/>
          <w:rtl/>
          <w:lang w:eastAsia="de-DE"/>
        </w:rPr>
        <w:t xml:space="preserve"> </w:t>
      </w:r>
      <w:r w:rsidRPr="00CC6F7E">
        <w:rPr>
          <w:rFonts w:eastAsia="Times New Roman" w:cs="Times New Roman"/>
          <w:lang w:eastAsia="de-DE"/>
        </w:rPr>
        <w:t xml:space="preserve">zeigt die vierte Fluch-Stufe: Krieg und Pest. </w:t>
      </w:r>
      <w:r w:rsidRPr="00CC6F7E">
        <w:rPr>
          <w:rFonts w:eastAsia="Times New Roman" w:cs="Times New Roman"/>
          <w:b/>
          <w:bCs/>
          <w:rtl/>
          <w:lang w:eastAsia="de-DE"/>
        </w:rPr>
        <w:t>והבאתי עליכם חרב נקמת נקם־ברית</w:t>
      </w:r>
      <w:r w:rsidRPr="00CC6F7E">
        <w:rPr>
          <w:rFonts w:eastAsia="Times New Roman" w:cs="Times New Roman"/>
          <w:rtl/>
          <w:lang w:eastAsia="de-DE"/>
        </w:rPr>
        <w:t xml:space="preserve"> </w:t>
      </w:r>
      <w:r w:rsidRPr="00CC6F7E">
        <w:rPr>
          <w:rFonts w:eastAsia="Times New Roman" w:cs="Times New Roman"/>
          <w:lang w:eastAsia="de-DE"/>
        </w:rPr>
        <w:t xml:space="preserve">(und ich werde das Schwert über euch bringen, das die Rache des Bundes vollzieht) - </w:t>
      </w:r>
      <w:r w:rsidRPr="00CC6F7E">
        <w:rPr>
          <w:rFonts w:eastAsia="Times New Roman" w:cs="Times New Roman"/>
          <w:b/>
          <w:bCs/>
          <w:rtl/>
          <w:lang w:eastAsia="de-DE"/>
        </w:rPr>
        <w:t>והבאתי עליכם</w:t>
      </w:r>
      <w:r w:rsidRPr="00CC6F7E">
        <w:rPr>
          <w:rFonts w:eastAsia="Times New Roman" w:cs="Times New Roman"/>
          <w:rtl/>
          <w:lang w:eastAsia="de-DE"/>
        </w:rPr>
        <w:t xml:space="preserve"> </w:t>
      </w:r>
      <w:r w:rsidRPr="00CC6F7E">
        <w:rPr>
          <w:rFonts w:eastAsia="Times New Roman" w:cs="Times New Roman"/>
          <w:lang w:eastAsia="de-DE"/>
        </w:rPr>
        <w:t xml:space="preserve">(und ich werde über euch bringen) im Hifil-Perfekt mit Waw-Konsekutiv von </w:t>
      </w:r>
      <w:r w:rsidRPr="00CC6F7E">
        <w:rPr>
          <w:rFonts w:eastAsia="Times New Roman" w:cs="Times New Roman"/>
          <w:b/>
          <w:bCs/>
          <w:rtl/>
          <w:lang w:eastAsia="de-DE"/>
        </w:rPr>
        <w:t>בוא</w:t>
      </w:r>
      <w:r w:rsidRPr="00CC6F7E">
        <w:rPr>
          <w:rFonts w:eastAsia="Times New Roman" w:cs="Times New Roman"/>
          <w:lang w:eastAsia="de-DE"/>
        </w:rPr>
        <w:t xml:space="preserve">.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 xml:space="preserve">(Schwert) zeigt Krieg im Gegensatz zu V. 6 </w:t>
      </w:r>
      <w:r w:rsidRPr="00CC6F7E">
        <w:rPr>
          <w:rFonts w:eastAsia="Times New Roman" w:cs="Times New Roman"/>
          <w:b/>
          <w:bCs/>
          <w:rtl/>
          <w:lang w:eastAsia="de-DE"/>
        </w:rPr>
        <w:t>וחרב לא־תעבר בארצכם</w:t>
      </w:r>
      <w:r w:rsidRPr="00CC6F7E">
        <w:rPr>
          <w:rFonts w:eastAsia="Times New Roman" w:cs="Times New Roman"/>
          <w:lang w:eastAsia="de-DE"/>
        </w:rPr>
        <w:t xml:space="preserve">. </w:t>
      </w:r>
      <w:r w:rsidRPr="00CC6F7E">
        <w:rPr>
          <w:rFonts w:eastAsia="Times New Roman" w:cs="Times New Roman"/>
          <w:b/>
          <w:bCs/>
          <w:rtl/>
          <w:lang w:eastAsia="de-DE"/>
        </w:rPr>
        <w:t>נקמת נקם־ברית</w:t>
      </w:r>
      <w:r w:rsidRPr="00CC6F7E">
        <w:rPr>
          <w:rFonts w:eastAsia="Times New Roman" w:cs="Times New Roman"/>
          <w:rtl/>
          <w:lang w:eastAsia="de-DE"/>
        </w:rPr>
        <w:t xml:space="preserve"> </w:t>
      </w:r>
      <w:r w:rsidRPr="00CC6F7E">
        <w:rPr>
          <w:rFonts w:eastAsia="Times New Roman" w:cs="Times New Roman"/>
          <w:lang w:eastAsia="de-DE"/>
        </w:rPr>
        <w:t xml:space="preserve">(Rache der Bundesrache) - </w:t>
      </w:r>
      <w:r w:rsidRPr="00CC6F7E">
        <w:rPr>
          <w:rFonts w:eastAsia="Times New Roman" w:cs="Times New Roman"/>
          <w:b/>
          <w:bCs/>
          <w:rtl/>
          <w:lang w:eastAsia="de-DE"/>
        </w:rPr>
        <w:t>נקמת</w:t>
      </w:r>
      <w:r w:rsidRPr="00CC6F7E">
        <w:rPr>
          <w:rFonts w:eastAsia="Times New Roman" w:cs="Times New Roman"/>
          <w:rtl/>
          <w:lang w:eastAsia="de-DE"/>
        </w:rPr>
        <w:t xml:space="preserve"> </w:t>
      </w:r>
      <w:r w:rsidRPr="00CC6F7E">
        <w:rPr>
          <w:rFonts w:eastAsia="Times New Roman" w:cs="Times New Roman"/>
          <w:lang w:eastAsia="de-DE"/>
        </w:rPr>
        <w:t xml:space="preserve">(Rache) und </w:t>
      </w:r>
      <w:r w:rsidRPr="00CC6F7E">
        <w:rPr>
          <w:rFonts w:eastAsia="Times New Roman" w:cs="Times New Roman"/>
          <w:b/>
          <w:bCs/>
          <w:rtl/>
          <w:lang w:eastAsia="de-DE"/>
        </w:rPr>
        <w:t>נקם־ברית</w:t>
      </w:r>
      <w:r w:rsidRPr="00CC6F7E">
        <w:rPr>
          <w:rFonts w:eastAsia="Times New Roman" w:cs="Times New Roman"/>
          <w:rtl/>
          <w:lang w:eastAsia="de-DE"/>
        </w:rPr>
        <w:t xml:space="preserve"> </w:t>
      </w:r>
      <w:r w:rsidRPr="00CC6F7E">
        <w:rPr>
          <w:rFonts w:eastAsia="Times New Roman" w:cs="Times New Roman"/>
          <w:lang w:eastAsia="de-DE"/>
        </w:rPr>
        <w:t>(Rache des Bundes) zeigen Vergeltung für Bundesbruch.</w:t>
      </w:r>
    </w:p>
    <w:p w14:paraId="314293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ונאספתם אל־עריכם</w:t>
      </w:r>
      <w:r w:rsidRPr="00CC6F7E">
        <w:rPr>
          <w:rFonts w:eastAsia="Times New Roman" w:cs="Times New Roman"/>
          <w:rtl/>
          <w:lang w:eastAsia="de-DE"/>
        </w:rPr>
        <w:t xml:space="preserve"> </w:t>
      </w:r>
      <w:r w:rsidRPr="00CC6F7E">
        <w:rPr>
          <w:rFonts w:eastAsia="Times New Roman" w:cs="Times New Roman"/>
          <w:lang w:eastAsia="de-DE"/>
        </w:rPr>
        <w:t xml:space="preserve">(und zieht ihr euch in eure Städte zurück) - </w:t>
      </w:r>
      <w:r w:rsidRPr="00CC6F7E">
        <w:rPr>
          <w:rFonts w:eastAsia="Times New Roman" w:cs="Times New Roman"/>
          <w:b/>
          <w:bCs/>
          <w:rtl/>
          <w:lang w:eastAsia="de-DE"/>
        </w:rPr>
        <w:t>ונאספתם</w:t>
      </w:r>
      <w:r w:rsidRPr="00CC6F7E">
        <w:rPr>
          <w:rFonts w:eastAsia="Times New Roman" w:cs="Times New Roman"/>
          <w:rtl/>
          <w:lang w:eastAsia="de-DE"/>
        </w:rPr>
        <w:t xml:space="preserve"> </w:t>
      </w:r>
      <w:r w:rsidRPr="00CC6F7E">
        <w:rPr>
          <w:rFonts w:eastAsia="Times New Roman" w:cs="Times New Roman"/>
          <w:lang w:eastAsia="de-DE"/>
        </w:rPr>
        <w:t xml:space="preserve">(und ihr werdet euch sammeln) im Nifal-Perfekt mit Waw-Konsekutiv von </w:t>
      </w:r>
      <w:r w:rsidRPr="00CC6F7E">
        <w:rPr>
          <w:rFonts w:eastAsia="Times New Roman" w:cs="Times New Roman"/>
          <w:b/>
          <w:bCs/>
          <w:rtl/>
          <w:lang w:eastAsia="de-DE"/>
        </w:rPr>
        <w:t>אסף</w:t>
      </w:r>
      <w:r w:rsidRPr="00CC6F7E">
        <w:rPr>
          <w:rFonts w:eastAsia="Times New Roman" w:cs="Times New Roman"/>
          <w:rtl/>
          <w:lang w:eastAsia="de-DE"/>
        </w:rPr>
        <w:t xml:space="preserve"> </w:t>
      </w:r>
      <w:r w:rsidRPr="00CC6F7E">
        <w:rPr>
          <w:rFonts w:eastAsia="Times New Roman" w:cs="Times New Roman"/>
          <w:lang w:eastAsia="de-DE"/>
        </w:rPr>
        <w:t>zeigt Rückzug in befestigte Städte zur Verteidigung.</w:t>
      </w:r>
    </w:p>
    <w:p w14:paraId="62201DD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ושלחתי דבר בתוככם ונתתם ביד־אויב</w:t>
      </w:r>
      <w:r w:rsidRPr="00CC6F7E">
        <w:rPr>
          <w:rFonts w:eastAsia="Times New Roman" w:cs="Times New Roman"/>
          <w:rtl/>
          <w:lang w:eastAsia="de-DE"/>
        </w:rPr>
        <w:t xml:space="preserve"> </w:t>
      </w:r>
      <w:r w:rsidRPr="00CC6F7E">
        <w:rPr>
          <w:rFonts w:eastAsia="Times New Roman" w:cs="Times New Roman"/>
          <w:lang w:eastAsia="de-DE"/>
        </w:rPr>
        <w:t xml:space="preserve">(so werde ich die Pest in eure Mitte senden, und ihr werdet in die Hand des Feindes gegeben werden) - </w:t>
      </w:r>
      <w:r w:rsidRPr="00CC6F7E">
        <w:rPr>
          <w:rFonts w:eastAsia="Times New Roman" w:cs="Times New Roman"/>
          <w:b/>
          <w:bCs/>
          <w:rtl/>
          <w:lang w:eastAsia="de-DE"/>
        </w:rPr>
        <w:t>ושלחתי דבר</w:t>
      </w:r>
      <w:r w:rsidRPr="00CC6F7E">
        <w:rPr>
          <w:rFonts w:eastAsia="Times New Roman" w:cs="Times New Roman"/>
          <w:rtl/>
          <w:lang w:eastAsia="de-DE"/>
        </w:rPr>
        <w:t xml:space="preserve"> </w:t>
      </w:r>
      <w:r w:rsidRPr="00CC6F7E">
        <w:rPr>
          <w:rFonts w:eastAsia="Times New Roman" w:cs="Times New Roman"/>
          <w:lang w:eastAsia="de-DE"/>
        </w:rPr>
        <w:t xml:space="preserve">(und ich werde Pest senden) entspricht V. 22 </w:t>
      </w:r>
      <w:r w:rsidRPr="00CC6F7E">
        <w:rPr>
          <w:rFonts w:eastAsia="Times New Roman" w:cs="Times New Roman"/>
          <w:b/>
          <w:bCs/>
          <w:rtl/>
          <w:lang w:eastAsia="de-DE"/>
        </w:rPr>
        <w:t>והשלחתי</w:t>
      </w:r>
      <w:r w:rsidRPr="00CC6F7E">
        <w:rPr>
          <w:rFonts w:eastAsia="Times New Roman" w:cs="Times New Roman"/>
          <w:lang w:eastAsia="de-DE"/>
        </w:rPr>
        <w:t xml:space="preserve">. </w:t>
      </w:r>
      <w:r w:rsidRPr="00CC6F7E">
        <w:rPr>
          <w:rFonts w:eastAsia="Times New Roman" w:cs="Times New Roman"/>
          <w:b/>
          <w:bCs/>
          <w:rtl/>
          <w:lang w:eastAsia="de-DE"/>
        </w:rPr>
        <w:t>דבר</w:t>
      </w:r>
      <w:r w:rsidRPr="00CC6F7E">
        <w:rPr>
          <w:rFonts w:eastAsia="Times New Roman" w:cs="Times New Roman"/>
          <w:rtl/>
          <w:lang w:eastAsia="de-DE"/>
        </w:rPr>
        <w:t xml:space="preserve"> </w:t>
      </w:r>
      <w:r w:rsidRPr="00CC6F7E">
        <w:rPr>
          <w:rFonts w:eastAsia="Times New Roman" w:cs="Times New Roman"/>
          <w:lang w:eastAsia="de-DE"/>
        </w:rPr>
        <w:t xml:space="preserve">(Pest) zeigt Seuche. </w:t>
      </w:r>
      <w:r w:rsidRPr="00CC6F7E">
        <w:rPr>
          <w:rFonts w:eastAsia="Times New Roman" w:cs="Times New Roman"/>
          <w:b/>
          <w:bCs/>
          <w:rtl/>
          <w:lang w:eastAsia="de-DE"/>
        </w:rPr>
        <w:t>בתוככם</w:t>
      </w:r>
      <w:r w:rsidRPr="00CC6F7E">
        <w:rPr>
          <w:rFonts w:eastAsia="Times New Roman" w:cs="Times New Roman"/>
          <w:rtl/>
          <w:lang w:eastAsia="de-DE"/>
        </w:rPr>
        <w:t xml:space="preserve"> </w:t>
      </w:r>
      <w:r w:rsidRPr="00CC6F7E">
        <w:rPr>
          <w:rFonts w:eastAsia="Times New Roman" w:cs="Times New Roman"/>
          <w:lang w:eastAsia="de-DE"/>
        </w:rPr>
        <w:t xml:space="preserve">entspricht V. 11. </w:t>
      </w:r>
      <w:r w:rsidRPr="00CC6F7E">
        <w:rPr>
          <w:rFonts w:eastAsia="Times New Roman" w:cs="Times New Roman"/>
          <w:b/>
          <w:bCs/>
          <w:rtl/>
          <w:lang w:eastAsia="de-DE"/>
        </w:rPr>
        <w:t>ונתתם ביד־אויב</w:t>
      </w:r>
      <w:r w:rsidRPr="00CC6F7E">
        <w:rPr>
          <w:rFonts w:eastAsia="Times New Roman" w:cs="Times New Roman"/>
          <w:rtl/>
          <w:lang w:eastAsia="de-DE"/>
        </w:rPr>
        <w:t xml:space="preserve"> </w:t>
      </w:r>
      <w:r w:rsidRPr="00CC6F7E">
        <w:rPr>
          <w:rFonts w:eastAsia="Times New Roman" w:cs="Times New Roman"/>
          <w:lang w:eastAsia="de-DE"/>
        </w:rPr>
        <w:t>(und ihr werdet in die Hand des Feindes gegeben) zeigt totale Niederlage.</w:t>
      </w:r>
    </w:p>
    <w:p w14:paraId="052674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חרב נקמת נקם־ברית</w:t>
      </w:r>
      <w:r w:rsidRPr="00CC6F7E">
        <w:rPr>
          <w:rFonts w:eastAsia="Times New Roman" w:cs="Times New Roman"/>
          <w:rtl/>
          <w:lang w:eastAsia="de-DE"/>
        </w:rPr>
        <w:t xml:space="preserve"> </w:t>
      </w:r>
      <w:r w:rsidRPr="00CC6F7E">
        <w:rPr>
          <w:rFonts w:eastAsia="Times New Roman" w:cs="Times New Roman"/>
          <w:lang w:eastAsia="de-DE"/>
        </w:rPr>
        <w:t xml:space="preserve">zeigt Krieg als Bundesrache. </w:t>
      </w:r>
      <w:r w:rsidRPr="00CC6F7E">
        <w:rPr>
          <w:rFonts w:eastAsia="Times New Roman" w:cs="Times New Roman"/>
          <w:b/>
          <w:bCs/>
          <w:rtl/>
          <w:lang w:eastAsia="de-DE"/>
        </w:rPr>
        <w:t>ונאספתם אל־עריכם</w:t>
      </w:r>
      <w:r w:rsidRPr="00CC6F7E">
        <w:rPr>
          <w:rFonts w:eastAsia="Times New Roman" w:cs="Times New Roman"/>
          <w:rtl/>
          <w:lang w:eastAsia="de-DE"/>
        </w:rPr>
        <w:t xml:space="preserve"> </w:t>
      </w:r>
      <w:r w:rsidRPr="00CC6F7E">
        <w:rPr>
          <w:rFonts w:eastAsia="Times New Roman" w:cs="Times New Roman"/>
          <w:lang w:eastAsia="de-DE"/>
        </w:rPr>
        <w:t xml:space="preserve">zeigt verzweifelten Rückzug. </w:t>
      </w:r>
      <w:r w:rsidRPr="00CC6F7E">
        <w:rPr>
          <w:rFonts w:eastAsia="Times New Roman" w:cs="Times New Roman"/>
          <w:b/>
          <w:bCs/>
          <w:rtl/>
          <w:lang w:eastAsia="de-DE"/>
        </w:rPr>
        <w:t>דבר בתוככם</w:t>
      </w:r>
      <w:r w:rsidRPr="00CC6F7E">
        <w:rPr>
          <w:rFonts w:eastAsia="Times New Roman" w:cs="Times New Roman"/>
          <w:rtl/>
          <w:lang w:eastAsia="de-DE"/>
        </w:rPr>
        <w:t xml:space="preserve"> </w:t>
      </w:r>
      <w:r w:rsidRPr="00CC6F7E">
        <w:rPr>
          <w:rFonts w:eastAsia="Times New Roman" w:cs="Times New Roman"/>
          <w:lang w:eastAsia="de-DE"/>
        </w:rPr>
        <w:t xml:space="preserve">zeigt Pest selbst in den Schutzstädten. </w:t>
      </w:r>
      <w:r w:rsidRPr="00CC6F7E">
        <w:rPr>
          <w:rFonts w:eastAsia="Times New Roman" w:cs="Times New Roman"/>
          <w:b/>
          <w:bCs/>
          <w:rtl/>
          <w:lang w:eastAsia="de-DE"/>
        </w:rPr>
        <w:t>ביד־אויב</w:t>
      </w:r>
      <w:r w:rsidRPr="00CC6F7E">
        <w:rPr>
          <w:rFonts w:eastAsia="Times New Roman" w:cs="Times New Roman"/>
          <w:rtl/>
          <w:lang w:eastAsia="de-DE"/>
        </w:rPr>
        <w:t xml:space="preserve"> </w:t>
      </w:r>
      <w:r w:rsidRPr="00CC6F7E">
        <w:rPr>
          <w:rFonts w:eastAsia="Times New Roman" w:cs="Times New Roman"/>
          <w:lang w:eastAsia="de-DE"/>
        </w:rPr>
        <w:t>zeigt totale Auslieferung.</w:t>
      </w:r>
    </w:p>
    <w:p w14:paraId="2F5A2FA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חרב נקמת נקם־ברית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μάχ</w:t>
      </w:r>
      <w:proofErr w:type="spellEnd"/>
      <w:r w:rsidRPr="00CC6F7E">
        <w:rPr>
          <w:rFonts w:eastAsia="Times New Roman" w:cs="Times New Roman"/>
          <w:lang w:eastAsia="de-DE"/>
        </w:rPr>
        <w:t xml:space="preserve">αιραν </w:t>
      </w:r>
      <w:proofErr w:type="spellStart"/>
      <w:r w:rsidRPr="00CC6F7E">
        <w:rPr>
          <w:rFonts w:eastAsia="Times New Roman" w:cs="Times New Roman"/>
          <w:lang w:eastAsia="de-DE"/>
        </w:rPr>
        <w:t>ἐκδικοῦσ</w:t>
      </w:r>
      <w:proofErr w:type="spellEnd"/>
      <w:r w:rsidRPr="00CC6F7E">
        <w:rPr>
          <w:rFonts w:eastAsia="Times New Roman" w:cs="Times New Roman"/>
          <w:lang w:eastAsia="de-DE"/>
        </w:rPr>
        <w:t xml:space="preserve">αν </w:t>
      </w:r>
      <w:proofErr w:type="spellStart"/>
      <w:r w:rsidRPr="00CC6F7E">
        <w:rPr>
          <w:rFonts w:eastAsia="Times New Roman" w:cs="Times New Roman"/>
          <w:lang w:eastAsia="de-DE"/>
        </w:rPr>
        <w:t>δίκην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δι</w:t>
      </w:r>
      <w:proofErr w:type="spellEnd"/>
      <w:r w:rsidRPr="00CC6F7E">
        <w:rPr>
          <w:rFonts w:eastAsia="Times New Roman" w:cs="Times New Roman"/>
          <w:lang w:eastAsia="de-DE"/>
        </w:rPr>
        <w:t xml:space="preserve">αθήκης (Schwert, das Recht des Bundes rächt), </w:t>
      </w:r>
      <w:r w:rsidRPr="00CC6F7E">
        <w:rPr>
          <w:rFonts w:eastAsia="Times New Roman" w:cs="Times New Roman"/>
          <w:b/>
          <w:bCs/>
          <w:rtl/>
          <w:lang w:eastAsia="de-DE"/>
        </w:rPr>
        <w:t>ונאספתם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συν</w:t>
      </w:r>
      <w:proofErr w:type="spellEnd"/>
      <w:r w:rsidRPr="00CC6F7E">
        <w:rPr>
          <w:rFonts w:eastAsia="Times New Roman" w:cs="Times New Roman"/>
          <w:lang w:eastAsia="de-DE"/>
        </w:rPr>
        <w:t xml:space="preserve">αχθήσεσθε (werdet ihr versammelt werden), </w:t>
      </w:r>
      <w:r w:rsidRPr="00CC6F7E">
        <w:rPr>
          <w:rFonts w:eastAsia="Times New Roman" w:cs="Times New Roman"/>
          <w:b/>
          <w:bCs/>
          <w:rtl/>
          <w:lang w:eastAsia="de-DE"/>
        </w:rPr>
        <w:t>דבר</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θάν</w:t>
      </w:r>
      <w:proofErr w:type="spellEnd"/>
      <w:r w:rsidRPr="00CC6F7E">
        <w:rPr>
          <w:rFonts w:eastAsia="Times New Roman" w:cs="Times New Roman"/>
          <w:lang w:eastAsia="de-DE"/>
        </w:rPr>
        <w:t xml:space="preserve">ατον (Tod) und </w:t>
      </w:r>
      <w:r w:rsidRPr="00CC6F7E">
        <w:rPr>
          <w:rFonts w:eastAsia="Times New Roman" w:cs="Times New Roman"/>
          <w:b/>
          <w:bCs/>
          <w:rtl/>
          <w:lang w:eastAsia="de-DE"/>
        </w:rPr>
        <w:t>ביד־אויב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χεῖρ</w:t>
      </w:r>
      <w:proofErr w:type="spellEnd"/>
      <w:r w:rsidRPr="00CC6F7E">
        <w:rPr>
          <w:rFonts w:eastAsia="Times New Roman" w:cs="Times New Roman"/>
          <w:lang w:eastAsia="de-DE"/>
        </w:rPr>
        <w:t xml:space="preserve">ας </w:t>
      </w:r>
      <w:proofErr w:type="spellStart"/>
      <w:r w:rsidRPr="00CC6F7E">
        <w:rPr>
          <w:rFonts w:eastAsia="Times New Roman" w:cs="Times New Roman"/>
          <w:lang w:eastAsia="de-DE"/>
        </w:rPr>
        <w:t>ἐχθρῶν</w:t>
      </w:r>
      <w:proofErr w:type="spellEnd"/>
      <w:r w:rsidRPr="00CC6F7E">
        <w:rPr>
          <w:rFonts w:eastAsia="Times New Roman" w:cs="Times New Roman"/>
          <w:lang w:eastAsia="de-DE"/>
        </w:rPr>
        <w:t xml:space="preserve"> (in Hände der Feinde).</w:t>
      </w:r>
    </w:p>
    <w:p w14:paraId="31E24F0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vierte Fluch-Stufe: Bundesrache-Schwert bringen + in Städte zurückziehen + Pest in eure Mitte senden + in Feindeshand gegeben werden.</w:t>
      </w:r>
    </w:p>
    <w:p w14:paraId="51FF0FC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vierte Fluch-Stufe: Krieg als "Bundesrache", und selbst der Rückzug in Städte bietet keinen Schutz vor göttlicher Pest.</w:t>
      </w:r>
    </w:p>
    <w:p w14:paraId="410CC9F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26,26</w:t>
      </w:r>
    </w:p>
    <w:p w14:paraId="22ABE01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בְּשִׁבְרִ֣י לָכֶם֮ מַטֵּה־לֶחֶם֒ וְ֠אָפוּ עֶ֣שֶׂר נָשִׁ֤ים לַחְמְכֶם֙ בְּתַנּ֣וּר אֶחָ֔ד וְהֵשִׁ֥יבוּ לַחְמְכֶ֖ם בַּמִּשְׁקָ֑ל וַאֲכַלְתֶּ֖ם וְלֹ֥א תִשְׂבָּֽעוּ׃</w:t>
      </w:r>
    </w:p>
    <w:p w14:paraId="36BFCAE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Indem ich euch die Stütze des Brotes zerbreche, werden zehn Frauen euer Brot in einem Ofen backen, und sie werden euch das Brot zurückgeben nach dem Gewicht; und ihr werdet essen und nicht satt werden.</w:t>
      </w:r>
    </w:p>
    <w:p w14:paraId="76D730B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F644CCF">
          <v:rect id="_x0000_i1829" style="width:0;height:1.5pt" o:hralign="center" o:hrstd="t" o:hr="t" fillcolor="#a0a0a0" stroked="f"/>
        </w:pict>
      </w:r>
    </w:p>
    <w:p w14:paraId="3874DCE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בשברי לכם מטה־לחם ואפו עשר נשים לחמכם בתנור אחד והשיבו לחמכם במשקל ואכלתם ולא תשבעו</w:t>
      </w:r>
      <w:r w:rsidRPr="00CC6F7E">
        <w:rPr>
          <w:rFonts w:eastAsia="Times New Roman" w:cs="Times New Roman"/>
          <w:rtl/>
          <w:lang w:eastAsia="de-DE"/>
        </w:rPr>
        <w:t xml:space="preserve"> </w:t>
      </w:r>
      <w:r w:rsidRPr="00CC6F7E">
        <w:rPr>
          <w:rFonts w:eastAsia="Times New Roman" w:cs="Times New Roman"/>
          <w:lang w:eastAsia="de-DE"/>
        </w:rPr>
        <w:t xml:space="preserve">zeigt extreme Hungersnot. </w:t>
      </w:r>
      <w:r w:rsidRPr="00CC6F7E">
        <w:rPr>
          <w:rFonts w:eastAsia="Times New Roman" w:cs="Times New Roman"/>
          <w:b/>
          <w:bCs/>
          <w:rtl/>
          <w:lang w:eastAsia="de-DE"/>
        </w:rPr>
        <w:t>בשברי לכם מטה־לחם</w:t>
      </w:r>
      <w:r w:rsidRPr="00CC6F7E">
        <w:rPr>
          <w:rFonts w:eastAsia="Times New Roman" w:cs="Times New Roman"/>
          <w:rtl/>
          <w:lang w:eastAsia="de-DE"/>
        </w:rPr>
        <w:t xml:space="preserve"> </w:t>
      </w:r>
      <w:r w:rsidRPr="00CC6F7E">
        <w:rPr>
          <w:rFonts w:eastAsia="Times New Roman" w:cs="Times New Roman"/>
          <w:lang w:eastAsia="de-DE"/>
        </w:rPr>
        <w:t xml:space="preserve">(indem ich euch die Stütze des Brotes zerbreche) - </w:t>
      </w:r>
      <w:r w:rsidRPr="00CC6F7E">
        <w:rPr>
          <w:rFonts w:eastAsia="Times New Roman" w:cs="Times New Roman"/>
          <w:b/>
          <w:bCs/>
          <w:rtl/>
          <w:lang w:eastAsia="de-DE"/>
        </w:rPr>
        <w:t>בשברי</w:t>
      </w:r>
      <w:r w:rsidRPr="00CC6F7E">
        <w:rPr>
          <w:rFonts w:eastAsia="Times New Roman" w:cs="Times New Roman"/>
          <w:rtl/>
          <w:lang w:eastAsia="de-DE"/>
        </w:rPr>
        <w:t xml:space="preserve"> </w:t>
      </w:r>
      <w:r w:rsidRPr="00CC6F7E">
        <w:rPr>
          <w:rFonts w:eastAsia="Times New Roman" w:cs="Times New Roman"/>
          <w:lang w:eastAsia="de-DE"/>
        </w:rPr>
        <w:t xml:space="preserve">(bei meinem Zerbrechen) im Qal-Infinitiv von </w:t>
      </w:r>
      <w:r w:rsidRPr="00CC6F7E">
        <w:rPr>
          <w:rFonts w:eastAsia="Times New Roman" w:cs="Times New Roman"/>
          <w:b/>
          <w:bCs/>
          <w:rtl/>
          <w:lang w:eastAsia="de-DE"/>
        </w:rPr>
        <w:t>שבר</w:t>
      </w:r>
      <w:r w:rsidRPr="00CC6F7E">
        <w:rPr>
          <w:rFonts w:eastAsia="Times New Roman" w:cs="Times New Roman"/>
          <w:lang w:eastAsia="de-DE"/>
        </w:rPr>
        <w:t xml:space="preserve">. </w:t>
      </w:r>
      <w:r w:rsidRPr="00CC6F7E">
        <w:rPr>
          <w:rFonts w:eastAsia="Times New Roman" w:cs="Times New Roman"/>
          <w:b/>
          <w:bCs/>
          <w:rtl/>
          <w:lang w:eastAsia="de-DE"/>
        </w:rPr>
        <w:t>מטה־לחם</w:t>
      </w:r>
      <w:r w:rsidRPr="00CC6F7E">
        <w:rPr>
          <w:rFonts w:eastAsia="Times New Roman" w:cs="Times New Roman"/>
          <w:rtl/>
          <w:lang w:eastAsia="de-DE"/>
        </w:rPr>
        <w:t xml:space="preserve"> </w:t>
      </w:r>
      <w:r w:rsidRPr="00CC6F7E">
        <w:rPr>
          <w:rFonts w:eastAsia="Times New Roman" w:cs="Times New Roman"/>
          <w:lang w:eastAsia="de-DE"/>
        </w:rPr>
        <w:t xml:space="preserve">(Stütze des Brotes) - </w:t>
      </w:r>
      <w:r w:rsidRPr="00CC6F7E">
        <w:rPr>
          <w:rFonts w:eastAsia="Times New Roman" w:cs="Times New Roman"/>
          <w:b/>
          <w:bCs/>
          <w:rtl/>
          <w:lang w:eastAsia="de-DE"/>
        </w:rPr>
        <w:t>מטה</w:t>
      </w:r>
      <w:r w:rsidRPr="00CC6F7E">
        <w:rPr>
          <w:rFonts w:eastAsia="Times New Roman" w:cs="Times New Roman"/>
          <w:rtl/>
          <w:lang w:eastAsia="de-DE"/>
        </w:rPr>
        <w:t xml:space="preserve"> </w:t>
      </w:r>
      <w:r w:rsidRPr="00CC6F7E">
        <w:rPr>
          <w:rFonts w:eastAsia="Times New Roman" w:cs="Times New Roman"/>
          <w:lang w:eastAsia="de-DE"/>
        </w:rPr>
        <w:t>(Stab/Stütze) zeigt Brot als Lebensgrundlage. Die Metapher zeigt totale Nahrungsmittelknappheit.</w:t>
      </w:r>
    </w:p>
    <w:p w14:paraId="764B97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ואפו עשר נשים לחמכם בתנור אחד</w:t>
      </w:r>
      <w:r w:rsidRPr="00CC6F7E">
        <w:rPr>
          <w:rFonts w:eastAsia="Times New Roman" w:cs="Times New Roman"/>
          <w:rtl/>
          <w:lang w:eastAsia="de-DE"/>
        </w:rPr>
        <w:t xml:space="preserve"> </w:t>
      </w:r>
      <w:r w:rsidRPr="00CC6F7E">
        <w:rPr>
          <w:rFonts w:eastAsia="Times New Roman" w:cs="Times New Roman"/>
          <w:lang w:eastAsia="de-DE"/>
        </w:rPr>
        <w:t xml:space="preserve">(werden zehn Frauen euer Brot in einem Ofen backen) - normalerweise braucht jede Frau einen eigenen Ofen, aber bei Getreideknappheit reicht ein Ofen für zehn Frauen. </w:t>
      </w:r>
      <w:r w:rsidRPr="00CC6F7E">
        <w:rPr>
          <w:rFonts w:eastAsia="Times New Roman" w:cs="Times New Roman"/>
          <w:b/>
          <w:bCs/>
          <w:rtl/>
          <w:lang w:eastAsia="de-DE"/>
        </w:rPr>
        <w:t>עשר נשים</w:t>
      </w:r>
      <w:r w:rsidRPr="00CC6F7E">
        <w:rPr>
          <w:rFonts w:eastAsia="Times New Roman" w:cs="Times New Roman"/>
          <w:rtl/>
          <w:lang w:eastAsia="de-DE"/>
        </w:rPr>
        <w:t xml:space="preserve"> </w:t>
      </w:r>
      <w:r w:rsidRPr="00CC6F7E">
        <w:rPr>
          <w:rFonts w:eastAsia="Times New Roman" w:cs="Times New Roman"/>
          <w:lang w:eastAsia="de-DE"/>
        </w:rPr>
        <w:t xml:space="preserve">(zehn Frauen) und </w:t>
      </w:r>
      <w:r w:rsidRPr="00CC6F7E">
        <w:rPr>
          <w:rFonts w:eastAsia="Times New Roman" w:cs="Times New Roman"/>
          <w:b/>
          <w:bCs/>
          <w:rtl/>
          <w:lang w:eastAsia="de-DE"/>
        </w:rPr>
        <w:t>תנור אחד</w:t>
      </w:r>
      <w:r w:rsidRPr="00CC6F7E">
        <w:rPr>
          <w:rFonts w:eastAsia="Times New Roman" w:cs="Times New Roman"/>
          <w:rtl/>
          <w:lang w:eastAsia="de-DE"/>
        </w:rPr>
        <w:t xml:space="preserve"> </w:t>
      </w:r>
      <w:r w:rsidRPr="00CC6F7E">
        <w:rPr>
          <w:rFonts w:eastAsia="Times New Roman" w:cs="Times New Roman"/>
          <w:lang w:eastAsia="de-DE"/>
        </w:rPr>
        <w:t>(ein Ofen) zeigen das extreme Missverhältnis.</w:t>
      </w:r>
    </w:p>
    <w:p w14:paraId="4CED02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והשיבו לחמכם במשקל</w:t>
      </w:r>
      <w:r w:rsidRPr="00CC6F7E">
        <w:rPr>
          <w:rFonts w:eastAsia="Times New Roman" w:cs="Times New Roman"/>
          <w:rtl/>
          <w:lang w:eastAsia="de-DE"/>
        </w:rPr>
        <w:t xml:space="preserve"> </w:t>
      </w:r>
      <w:r w:rsidRPr="00CC6F7E">
        <w:rPr>
          <w:rFonts w:eastAsia="Times New Roman" w:cs="Times New Roman"/>
          <w:lang w:eastAsia="de-DE"/>
        </w:rPr>
        <w:t xml:space="preserve">(und sie werden euch das Brot zurückgeben nach dem Gewicht) - </w:t>
      </w:r>
      <w:r w:rsidRPr="00CC6F7E">
        <w:rPr>
          <w:rFonts w:eastAsia="Times New Roman" w:cs="Times New Roman"/>
          <w:b/>
          <w:bCs/>
          <w:rtl/>
          <w:lang w:eastAsia="de-DE"/>
        </w:rPr>
        <w:t>במשקל</w:t>
      </w:r>
      <w:r w:rsidRPr="00CC6F7E">
        <w:rPr>
          <w:rFonts w:eastAsia="Times New Roman" w:cs="Times New Roman"/>
          <w:rtl/>
          <w:lang w:eastAsia="de-DE"/>
        </w:rPr>
        <w:t xml:space="preserve"> </w:t>
      </w:r>
      <w:r w:rsidRPr="00CC6F7E">
        <w:rPr>
          <w:rFonts w:eastAsia="Times New Roman" w:cs="Times New Roman"/>
          <w:lang w:eastAsia="de-DE"/>
        </w:rPr>
        <w:t xml:space="preserve">(nach Gewicht) zeigt strenge Rationierung statt freigebiger Verteilung. </w:t>
      </w:r>
      <w:r w:rsidRPr="00CC6F7E">
        <w:rPr>
          <w:rFonts w:eastAsia="Times New Roman" w:cs="Times New Roman"/>
          <w:b/>
          <w:bCs/>
          <w:rtl/>
          <w:lang w:eastAsia="de-DE"/>
        </w:rPr>
        <w:t>ואכלתם ולא תשבעו</w:t>
      </w:r>
      <w:r w:rsidRPr="00CC6F7E">
        <w:rPr>
          <w:rFonts w:eastAsia="Times New Roman" w:cs="Times New Roman"/>
          <w:rtl/>
          <w:lang w:eastAsia="de-DE"/>
        </w:rPr>
        <w:t xml:space="preserve"> </w:t>
      </w:r>
      <w:r w:rsidRPr="00CC6F7E">
        <w:rPr>
          <w:rFonts w:eastAsia="Times New Roman" w:cs="Times New Roman"/>
          <w:lang w:eastAsia="de-DE"/>
        </w:rPr>
        <w:t xml:space="preserve">(und ihr werdet essen und nicht satt werden) ist die Umkehrung von V. 5,10 </w:t>
      </w:r>
      <w:r w:rsidRPr="00CC6F7E">
        <w:rPr>
          <w:rFonts w:eastAsia="Times New Roman" w:cs="Times New Roman"/>
          <w:b/>
          <w:bCs/>
          <w:rtl/>
          <w:lang w:eastAsia="de-DE"/>
        </w:rPr>
        <w:t>ואכלתם לחמכם לשבע</w:t>
      </w:r>
      <w:r w:rsidRPr="00CC6F7E">
        <w:rPr>
          <w:rFonts w:eastAsia="Times New Roman" w:cs="Times New Roman"/>
          <w:lang w:eastAsia="de-DE"/>
        </w:rPr>
        <w:t>.</w:t>
      </w:r>
    </w:p>
    <w:p w14:paraId="3B8D07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מטה־לחם</w:t>
      </w:r>
      <w:r w:rsidRPr="00CC6F7E">
        <w:rPr>
          <w:rFonts w:eastAsia="Times New Roman" w:cs="Times New Roman"/>
          <w:rtl/>
          <w:lang w:eastAsia="de-DE"/>
        </w:rPr>
        <w:t xml:space="preserve"> </w:t>
      </w:r>
      <w:r w:rsidRPr="00CC6F7E">
        <w:rPr>
          <w:rFonts w:eastAsia="Times New Roman" w:cs="Times New Roman"/>
          <w:lang w:eastAsia="de-DE"/>
        </w:rPr>
        <w:t xml:space="preserve">zeigt Brot als Lebensstütze. </w:t>
      </w:r>
      <w:r w:rsidRPr="00CC6F7E">
        <w:rPr>
          <w:rFonts w:eastAsia="Times New Roman" w:cs="Times New Roman"/>
          <w:b/>
          <w:bCs/>
          <w:rtl/>
          <w:lang w:eastAsia="de-DE"/>
        </w:rPr>
        <w:t>עשר נשים...תנור אחד</w:t>
      </w:r>
      <w:r w:rsidRPr="00CC6F7E">
        <w:rPr>
          <w:rFonts w:eastAsia="Times New Roman" w:cs="Times New Roman"/>
          <w:rtl/>
          <w:lang w:eastAsia="de-DE"/>
        </w:rPr>
        <w:t xml:space="preserve"> </w:t>
      </w:r>
      <w:r w:rsidRPr="00CC6F7E">
        <w:rPr>
          <w:rFonts w:eastAsia="Times New Roman" w:cs="Times New Roman"/>
          <w:lang w:eastAsia="de-DE"/>
        </w:rPr>
        <w:t xml:space="preserve">illustriert extreme Knappheit. </w:t>
      </w:r>
      <w:r w:rsidRPr="00CC6F7E">
        <w:rPr>
          <w:rFonts w:eastAsia="Times New Roman" w:cs="Times New Roman"/>
          <w:b/>
          <w:bCs/>
          <w:rtl/>
          <w:lang w:eastAsia="de-DE"/>
        </w:rPr>
        <w:t>במשקל</w:t>
      </w:r>
      <w:r w:rsidRPr="00CC6F7E">
        <w:rPr>
          <w:rFonts w:eastAsia="Times New Roman" w:cs="Times New Roman"/>
          <w:rtl/>
          <w:lang w:eastAsia="de-DE"/>
        </w:rPr>
        <w:t xml:space="preserve"> </w:t>
      </w:r>
      <w:r w:rsidRPr="00CC6F7E">
        <w:rPr>
          <w:rFonts w:eastAsia="Times New Roman" w:cs="Times New Roman"/>
          <w:lang w:eastAsia="de-DE"/>
        </w:rPr>
        <w:t xml:space="preserve">zeigt Rationierung. </w:t>
      </w:r>
      <w:r w:rsidRPr="00CC6F7E">
        <w:rPr>
          <w:rFonts w:eastAsia="Times New Roman" w:cs="Times New Roman"/>
          <w:b/>
          <w:bCs/>
          <w:rtl/>
          <w:lang w:eastAsia="de-DE"/>
        </w:rPr>
        <w:t>ואכלתם ולא תשבעו</w:t>
      </w:r>
      <w:r w:rsidRPr="00CC6F7E">
        <w:rPr>
          <w:rFonts w:eastAsia="Times New Roman" w:cs="Times New Roman"/>
          <w:rtl/>
          <w:lang w:eastAsia="de-DE"/>
        </w:rPr>
        <w:t xml:space="preserve"> </w:t>
      </w:r>
      <w:r w:rsidRPr="00CC6F7E">
        <w:rPr>
          <w:rFonts w:eastAsia="Times New Roman" w:cs="Times New Roman"/>
          <w:lang w:eastAsia="de-DE"/>
        </w:rPr>
        <w:t>ist direkte Segens-Umkehrung.</w:t>
      </w:r>
    </w:p>
    <w:p w14:paraId="2C67C8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מטה־לחם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στήριγμ</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ἄρτων</w:t>
      </w:r>
      <w:proofErr w:type="spellEnd"/>
      <w:r w:rsidRPr="00CC6F7E">
        <w:rPr>
          <w:rFonts w:eastAsia="Times New Roman" w:cs="Times New Roman"/>
          <w:lang w:eastAsia="de-DE"/>
        </w:rPr>
        <w:t xml:space="preserve"> (Stütze der Brote), </w:t>
      </w:r>
      <w:r w:rsidRPr="00CC6F7E">
        <w:rPr>
          <w:rFonts w:eastAsia="Times New Roman" w:cs="Times New Roman"/>
          <w:b/>
          <w:bCs/>
          <w:rtl/>
          <w:lang w:eastAsia="de-DE"/>
        </w:rPr>
        <w:t>עשר נשים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δέκ</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γυν</w:t>
      </w:r>
      <w:proofErr w:type="spellEnd"/>
      <w:r w:rsidRPr="00CC6F7E">
        <w:rPr>
          <w:rFonts w:eastAsia="Times New Roman" w:cs="Times New Roman"/>
          <w:lang w:eastAsia="de-DE"/>
        </w:rPr>
        <w:t xml:space="preserve">αῖκες (zehn Frauen), </w:t>
      </w:r>
      <w:r w:rsidRPr="00CC6F7E">
        <w:rPr>
          <w:rFonts w:eastAsia="Times New Roman" w:cs="Times New Roman"/>
          <w:b/>
          <w:bCs/>
          <w:rtl/>
          <w:lang w:eastAsia="de-DE"/>
        </w:rPr>
        <w:t>במשקל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στ</w:t>
      </w:r>
      <w:proofErr w:type="spellEnd"/>
      <w:r w:rsidRPr="00CC6F7E">
        <w:rPr>
          <w:rFonts w:eastAsia="Times New Roman" w:cs="Times New Roman"/>
          <w:lang w:eastAsia="de-DE"/>
        </w:rPr>
        <w:t xml:space="preserve">αθμῷ (mit Gewicht) und </w:t>
      </w:r>
      <w:r w:rsidRPr="00CC6F7E">
        <w:rPr>
          <w:rFonts w:eastAsia="Times New Roman" w:cs="Times New Roman"/>
          <w:b/>
          <w:bCs/>
          <w:rtl/>
          <w:lang w:eastAsia="de-DE"/>
        </w:rPr>
        <w:t>לא תשבעו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ἐμ</w:t>
      </w:r>
      <w:proofErr w:type="spellEnd"/>
      <w:r w:rsidRPr="00CC6F7E">
        <w:rPr>
          <w:rFonts w:eastAsia="Times New Roman" w:cs="Times New Roman"/>
          <w:lang w:eastAsia="de-DE"/>
        </w:rPr>
        <w:t>πλησθῆτε (werdet ihr nicht gesättigt werden).</w:t>
      </w:r>
    </w:p>
    <w:p w14:paraId="249012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Hungersnot-Fluch: Brotstütze zerbrechen + zehn Frauen backen in einem Ofen + Brot nach Gewicht zurückgeben + essen aber nicht satt werden.</w:t>
      </w:r>
    </w:p>
    <w:p w14:paraId="46192C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Hungersnot als Teil der vierten Fluch-Stufe: Selbst vorhandenes Brot reicht nicht zur Sättigung - direkte Umkehrung der Segens-Verheißungen.</w:t>
      </w:r>
    </w:p>
    <w:p w14:paraId="4EBA7E9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26,27</w:t>
      </w:r>
    </w:p>
    <w:p w14:paraId="6396C78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וְאִ֨ם־בְּזֹ֔את לֹ֥א תִשְׁמְע֖וּ לִ֑י וַהֲלַכְתֶּ֥ם עִמִּ֖י בְּקֶֽרִי׃</w:t>
      </w:r>
    </w:p>
    <w:p w14:paraId="2A71AF7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ihr mir bei alledem nicht gehorcht und mir zuwider wandelt,</w:t>
      </w:r>
    </w:p>
    <w:p w14:paraId="6664E96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5E3A12C">
          <v:rect id="_x0000_i1830" style="width:0;height:1.5pt" o:hralign="center" o:hrstd="t" o:hr="t" fillcolor="#a0a0a0" stroked="f"/>
        </w:pict>
      </w:r>
    </w:p>
    <w:p w14:paraId="485BF73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ואם־בזאת לא תשמעו לי והלכתם עמי בקרי</w:t>
      </w:r>
      <w:r w:rsidRPr="00CC6F7E">
        <w:rPr>
          <w:rFonts w:eastAsia="Times New Roman" w:cs="Times New Roman"/>
          <w:rtl/>
          <w:lang w:eastAsia="de-DE"/>
        </w:rPr>
        <w:t xml:space="preserve"> </w:t>
      </w:r>
      <w:r w:rsidRPr="00CC6F7E">
        <w:rPr>
          <w:rFonts w:eastAsia="Times New Roman" w:cs="Times New Roman"/>
          <w:lang w:eastAsia="de-DE"/>
        </w:rPr>
        <w:t xml:space="preserve">leitet die fünfte und extremste Fluch-Stufe ein. </w:t>
      </w:r>
      <w:r w:rsidRPr="00CC6F7E">
        <w:rPr>
          <w:rFonts w:eastAsia="Times New Roman" w:cs="Times New Roman"/>
          <w:b/>
          <w:bCs/>
          <w:rtl/>
          <w:lang w:eastAsia="de-DE"/>
        </w:rPr>
        <w:t>ואם־בזאת לא תשמעו לי</w:t>
      </w:r>
      <w:r w:rsidRPr="00CC6F7E">
        <w:rPr>
          <w:rFonts w:eastAsia="Times New Roman" w:cs="Times New Roman"/>
          <w:rtl/>
          <w:lang w:eastAsia="de-DE"/>
        </w:rPr>
        <w:t xml:space="preserve"> </w:t>
      </w:r>
      <w:r w:rsidRPr="00CC6F7E">
        <w:rPr>
          <w:rFonts w:eastAsia="Times New Roman" w:cs="Times New Roman"/>
          <w:lang w:eastAsia="de-DE"/>
        </w:rPr>
        <w:t xml:space="preserve">(und wenn ihr mir bei alledem nicht gehorcht) - </w:t>
      </w:r>
      <w:r w:rsidRPr="00CC6F7E">
        <w:rPr>
          <w:rFonts w:eastAsia="Times New Roman" w:cs="Times New Roman"/>
          <w:b/>
          <w:bCs/>
          <w:rtl/>
          <w:lang w:eastAsia="de-DE"/>
        </w:rPr>
        <w:t>בזאת</w:t>
      </w:r>
      <w:r w:rsidRPr="00CC6F7E">
        <w:rPr>
          <w:rFonts w:eastAsia="Times New Roman" w:cs="Times New Roman"/>
          <w:rtl/>
          <w:lang w:eastAsia="de-DE"/>
        </w:rPr>
        <w:t xml:space="preserve"> </w:t>
      </w:r>
      <w:r w:rsidRPr="00CC6F7E">
        <w:rPr>
          <w:rFonts w:eastAsia="Times New Roman" w:cs="Times New Roman"/>
          <w:lang w:eastAsia="de-DE"/>
        </w:rPr>
        <w:t xml:space="preserve">(bei diesem) bezieht sich auf alle bisherigen vier Fluch-Stufen (V. 16-26). </w:t>
      </w:r>
      <w:r w:rsidRPr="00CC6F7E">
        <w:rPr>
          <w:rFonts w:eastAsia="Times New Roman" w:cs="Times New Roman"/>
          <w:b/>
          <w:bCs/>
          <w:rtl/>
          <w:lang w:eastAsia="de-DE"/>
        </w:rPr>
        <w:t>לא תשמעו לי</w:t>
      </w:r>
      <w:r w:rsidRPr="00CC6F7E">
        <w:rPr>
          <w:rFonts w:eastAsia="Times New Roman" w:cs="Times New Roman"/>
          <w:rtl/>
          <w:lang w:eastAsia="de-DE"/>
        </w:rPr>
        <w:t xml:space="preserve"> </w:t>
      </w:r>
      <w:r w:rsidRPr="00CC6F7E">
        <w:rPr>
          <w:rFonts w:eastAsia="Times New Roman" w:cs="Times New Roman"/>
          <w:lang w:eastAsia="de-DE"/>
        </w:rPr>
        <w:t>entspricht den vorherigen Stufen-Übergängen.</w:t>
      </w:r>
    </w:p>
    <w:p w14:paraId="0B2762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והלכתם עמי בקרי</w:t>
      </w:r>
      <w:r w:rsidRPr="00CC6F7E">
        <w:rPr>
          <w:rFonts w:eastAsia="Times New Roman" w:cs="Times New Roman"/>
          <w:rtl/>
          <w:lang w:eastAsia="de-DE"/>
        </w:rPr>
        <w:t xml:space="preserve"> </w:t>
      </w:r>
      <w:r w:rsidRPr="00CC6F7E">
        <w:rPr>
          <w:rFonts w:eastAsia="Times New Roman" w:cs="Times New Roman"/>
          <w:lang w:eastAsia="de-DE"/>
        </w:rPr>
        <w:t>(und mir zuwider wandelt) entspricht exakt V. 21,23 und zeigt anhaltende Feindseligkeit selbst nach den schwersten Strafen.</w:t>
      </w:r>
    </w:p>
    <w:p w14:paraId="00F4F6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בזאת</w:t>
      </w:r>
      <w:r w:rsidRPr="00CC6F7E">
        <w:rPr>
          <w:rFonts w:eastAsia="Times New Roman" w:cs="Times New Roman"/>
          <w:rtl/>
          <w:lang w:eastAsia="de-DE"/>
        </w:rPr>
        <w:t xml:space="preserve"> </w:t>
      </w:r>
      <w:r w:rsidRPr="00CC6F7E">
        <w:rPr>
          <w:rFonts w:eastAsia="Times New Roman" w:cs="Times New Roman"/>
          <w:lang w:eastAsia="de-DE"/>
        </w:rPr>
        <w:t xml:space="preserve">zeigt, dass selbst Krieg, Pest und Hungersnot nicht zur Umkehr führten. </w:t>
      </w:r>
      <w:r w:rsidRPr="00CC6F7E">
        <w:rPr>
          <w:rFonts w:eastAsia="Times New Roman" w:cs="Times New Roman"/>
          <w:b/>
          <w:bCs/>
          <w:rtl/>
          <w:lang w:eastAsia="de-DE"/>
        </w:rPr>
        <w:t>והלכתם עמי בקרי</w:t>
      </w:r>
      <w:r w:rsidRPr="00CC6F7E">
        <w:rPr>
          <w:rFonts w:eastAsia="Times New Roman" w:cs="Times New Roman"/>
          <w:rtl/>
          <w:lang w:eastAsia="de-DE"/>
        </w:rPr>
        <w:t xml:space="preserve"> </w:t>
      </w:r>
      <w:r w:rsidRPr="00CC6F7E">
        <w:rPr>
          <w:rFonts w:eastAsia="Times New Roman" w:cs="Times New Roman"/>
          <w:lang w:eastAsia="de-DE"/>
        </w:rPr>
        <w:t>zeigt verstockte Fortsetzung der Feindschaft gegen JHWH.</w:t>
      </w:r>
    </w:p>
    <w:p w14:paraId="50913F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בזאת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τούτοις</w:t>
      </w:r>
      <w:proofErr w:type="spellEnd"/>
      <w:r w:rsidRPr="00CC6F7E">
        <w:rPr>
          <w:rFonts w:eastAsia="Times New Roman" w:cs="Times New Roman"/>
          <w:lang w:eastAsia="de-DE"/>
        </w:rPr>
        <w:t xml:space="preserve"> (in diesen), </w:t>
      </w:r>
      <w:r w:rsidRPr="00CC6F7E">
        <w:rPr>
          <w:rFonts w:eastAsia="Times New Roman" w:cs="Times New Roman"/>
          <w:b/>
          <w:bCs/>
          <w:rtl/>
          <w:lang w:eastAsia="de-DE"/>
        </w:rPr>
        <w:t>לא תשמעו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εἰσ</w:t>
      </w:r>
      <w:proofErr w:type="spellEnd"/>
      <w:r w:rsidRPr="00CC6F7E">
        <w:rPr>
          <w:rFonts w:eastAsia="Times New Roman" w:cs="Times New Roman"/>
          <w:lang w:eastAsia="de-DE"/>
        </w:rPr>
        <w:t xml:space="preserve">ακούσητε (ihr hört nicht) und </w:t>
      </w:r>
      <w:r w:rsidRPr="00CC6F7E">
        <w:rPr>
          <w:rFonts w:eastAsia="Times New Roman" w:cs="Times New Roman"/>
          <w:b/>
          <w:bCs/>
          <w:rtl/>
          <w:lang w:eastAsia="de-DE"/>
        </w:rPr>
        <w:t>בקרי</w:t>
      </w:r>
      <w:r w:rsidRPr="00CC6F7E">
        <w:rPr>
          <w:rFonts w:eastAsia="Times New Roman" w:cs="Times New Roman"/>
          <w:rtl/>
          <w:lang w:eastAsia="de-DE"/>
        </w:rPr>
        <w:t xml:space="preserve"> </w:t>
      </w:r>
      <w:r w:rsidRPr="00CC6F7E">
        <w:rPr>
          <w:rFonts w:eastAsia="Times New Roman" w:cs="Times New Roman"/>
          <w:lang w:eastAsia="de-DE"/>
        </w:rPr>
        <w:t>mit πλα</w:t>
      </w:r>
      <w:proofErr w:type="spellStart"/>
      <w:r w:rsidRPr="00CC6F7E">
        <w:rPr>
          <w:rFonts w:eastAsia="Times New Roman" w:cs="Times New Roman"/>
          <w:lang w:eastAsia="de-DE"/>
        </w:rPr>
        <w:t>γίως</w:t>
      </w:r>
      <w:proofErr w:type="spellEnd"/>
      <w:r w:rsidRPr="00CC6F7E">
        <w:rPr>
          <w:rFonts w:eastAsia="Times New Roman" w:cs="Times New Roman"/>
          <w:lang w:eastAsia="de-DE"/>
        </w:rPr>
        <w:t xml:space="preserve"> (schief/verkehrt).</w:t>
      </w:r>
    </w:p>
    <w:p w14:paraId="6F4C295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fünfte Fluch-Stufen-Einleitung: bei alledem nicht gehorchen + mir zuwider wandeln.</w:t>
      </w:r>
    </w:p>
    <w:p w14:paraId="57DB30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kurze Übergangsvers zeigt die erschreckende Verstockung: Selbst die extremsten Strafen führen nicht zur Umkehr, sondern Israel bleibt feindselig.</w:t>
      </w:r>
    </w:p>
    <w:p w14:paraId="0EE9DB2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26,28</w:t>
      </w:r>
    </w:p>
    <w:p w14:paraId="3C88C00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וְהָלַכְתִּ֥י עִמָּכֶ֖ם בַּחֲמַת־קֶ֑רִי וְיִסַּרְתִּ֤י אֶתְכֶם֙ אַף־אָ֔נִי שֶׁ֖בַע עַל־חַטֹּאתֵיכֶֽם׃</w:t>
      </w:r>
    </w:p>
    <w:p w14:paraId="653CB9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werde ich auch mit euch wandeln in grimmigem Gegensatz und werde euch züchtigen, auch ich, siebenfach wegen eurer Sünden.</w:t>
      </w:r>
    </w:p>
    <w:p w14:paraId="65B7339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8AB1E7B">
          <v:rect id="_x0000_i1831" style="width:0;height:1.5pt" o:hralign="center" o:hrstd="t" o:hr="t" fillcolor="#a0a0a0" stroked="f"/>
        </w:pict>
      </w:r>
    </w:p>
    <w:p w14:paraId="4043E3A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והלכתי עמכם בחמת־קרי ויסרתי אתכם אף־אני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zeigt die gesteigerte göttliche Vergeltung. </w:t>
      </w:r>
      <w:r w:rsidRPr="00CC6F7E">
        <w:rPr>
          <w:rFonts w:eastAsia="Times New Roman" w:cs="Times New Roman"/>
          <w:b/>
          <w:bCs/>
          <w:rtl/>
          <w:lang w:eastAsia="de-DE"/>
        </w:rPr>
        <w:t>והלכתי עמכם בחמת־קרי</w:t>
      </w:r>
      <w:r w:rsidRPr="00CC6F7E">
        <w:rPr>
          <w:rFonts w:eastAsia="Times New Roman" w:cs="Times New Roman"/>
          <w:rtl/>
          <w:lang w:eastAsia="de-DE"/>
        </w:rPr>
        <w:t xml:space="preserve"> </w:t>
      </w:r>
      <w:r w:rsidRPr="00CC6F7E">
        <w:rPr>
          <w:rFonts w:eastAsia="Times New Roman" w:cs="Times New Roman"/>
          <w:lang w:eastAsia="de-DE"/>
        </w:rPr>
        <w:t xml:space="preserve">(so werde ich auch mit euch wandeln in </w:t>
      </w:r>
      <w:r w:rsidRPr="00CC6F7E">
        <w:rPr>
          <w:rFonts w:eastAsia="Times New Roman" w:cs="Times New Roman"/>
          <w:lang w:eastAsia="de-DE"/>
        </w:rPr>
        <w:lastRenderedPageBreak/>
        <w:t xml:space="preserve">grimmigem Gegensatz) - </w:t>
      </w:r>
      <w:r w:rsidRPr="00CC6F7E">
        <w:rPr>
          <w:rFonts w:eastAsia="Times New Roman" w:cs="Times New Roman"/>
          <w:b/>
          <w:bCs/>
          <w:rtl/>
          <w:lang w:eastAsia="de-DE"/>
        </w:rPr>
        <w:t>והלכתי עמכם</w:t>
      </w:r>
      <w:r w:rsidRPr="00CC6F7E">
        <w:rPr>
          <w:rFonts w:eastAsia="Times New Roman" w:cs="Times New Roman"/>
          <w:rtl/>
          <w:lang w:eastAsia="de-DE"/>
        </w:rPr>
        <w:t xml:space="preserve"> </w:t>
      </w:r>
      <w:r w:rsidRPr="00CC6F7E">
        <w:rPr>
          <w:rFonts w:eastAsia="Times New Roman" w:cs="Times New Roman"/>
          <w:lang w:eastAsia="de-DE"/>
        </w:rPr>
        <w:t xml:space="preserve">entspricht V. 24, aber </w:t>
      </w:r>
      <w:r w:rsidRPr="00CC6F7E">
        <w:rPr>
          <w:rFonts w:eastAsia="Times New Roman" w:cs="Times New Roman"/>
          <w:b/>
          <w:bCs/>
          <w:rtl/>
          <w:lang w:eastAsia="de-DE"/>
        </w:rPr>
        <w:t>בחמת־קרי</w:t>
      </w:r>
      <w:r w:rsidRPr="00CC6F7E">
        <w:rPr>
          <w:rFonts w:eastAsia="Times New Roman" w:cs="Times New Roman"/>
          <w:rtl/>
          <w:lang w:eastAsia="de-DE"/>
        </w:rPr>
        <w:t xml:space="preserve"> </w:t>
      </w:r>
      <w:r w:rsidRPr="00CC6F7E">
        <w:rPr>
          <w:rFonts w:eastAsia="Times New Roman" w:cs="Times New Roman"/>
          <w:lang w:eastAsia="de-DE"/>
        </w:rPr>
        <w:t xml:space="preserve">(in grimmigem Gegensatz) steigert </w:t>
      </w:r>
      <w:r w:rsidRPr="00CC6F7E">
        <w:rPr>
          <w:rFonts w:eastAsia="Times New Roman" w:cs="Times New Roman"/>
          <w:b/>
          <w:bCs/>
          <w:rtl/>
          <w:lang w:eastAsia="de-DE"/>
        </w:rPr>
        <w:t>בקרי</w:t>
      </w:r>
      <w:r w:rsidRPr="00CC6F7E">
        <w:rPr>
          <w:rFonts w:eastAsia="Times New Roman" w:cs="Times New Roman"/>
          <w:rtl/>
          <w:lang w:eastAsia="de-DE"/>
        </w:rPr>
        <w:t xml:space="preserve"> </w:t>
      </w:r>
      <w:r w:rsidRPr="00CC6F7E">
        <w:rPr>
          <w:rFonts w:eastAsia="Times New Roman" w:cs="Times New Roman"/>
          <w:lang w:eastAsia="de-DE"/>
        </w:rPr>
        <w:t xml:space="preserve">durch </w:t>
      </w:r>
      <w:r w:rsidRPr="00CC6F7E">
        <w:rPr>
          <w:rFonts w:eastAsia="Times New Roman" w:cs="Times New Roman"/>
          <w:b/>
          <w:bCs/>
          <w:rtl/>
          <w:lang w:eastAsia="de-DE"/>
        </w:rPr>
        <w:t>חמה</w:t>
      </w:r>
      <w:r w:rsidRPr="00CC6F7E">
        <w:rPr>
          <w:rFonts w:eastAsia="Times New Roman" w:cs="Times New Roman"/>
          <w:rtl/>
          <w:lang w:eastAsia="de-DE"/>
        </w:rPr>
        <w:t xml:space="preserve"> </w:t>
      </w:r>
      <w:r w:rsidRPr="00CC6F7E">
        <w:rPr>
          <w:rFonts w:eastAsia="Times New Roman" w:cs="Times New Roman"/>
          <w:lang w:eastAsia="de-DE"/>
        </w:rPr>
        <w:t>(Grimm/Zorn). Die fünfte Stufe zeigt göttlichen Zorn zusätzlich zur Feindseligkeit.</w:t>
      </w:r>
    </w:p>
    <w:p w14:paraId="0782554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ויסרתי אתכם אף־אני שבע על־חטאתיכם</w:t>
      </w:r>
      <w:r w:rsidRPr="00CC6F7E">
        <w:rPr>
          <w:rFonts w:eastAsia="Times New Roman" w:cs="Times New Roman"/>
          <w:rtl/>
          <w:lang w:eastAsia="de-DE"/>
        </w:rPr>
        <w:t xml:space="preserve"> </w:t>
      </w:r>
      <w:r w:rsidRPr="00CC6F7E">
        <w:rPr>
          <w:rFonts w:eastAsia="Times New Roman" w:cs="Times New Roman"/>
          <w:lang w:eastAsia="de-DE"/>
        </w:rPr>
        <w:t xml:space="preserve">(und werde euch züchtigen, auch ich, siebenfach wegen eurer Sünden) - </w:t>
      </w:r>
      <w:r w:rsidRPr="00CC6F7E">
        <w:rPr>
          <w:rFonts w:eastAsia="Times New Roman" w:cs="Times New Roman"/>
          <w:b/>
          <w:bCs/>
          <w:rtl/>
          <w:lang w:eastAsia="de-DE"/>
        </w:rPr>
        <w:t>ויסרתי</w:t>
      </w:r>
      <w:r w:rsidRPr="00CC6F7E">
        <w:rPr>
          <w:rFonts w:eastAsia="Times New Roman" w:cs="Times New Roman"/>
          <w:rtl/>
          <w:lang w:eastAsia="de-DE"/>
        </w:rPr>
        <w:t xml:space="preserve"> </w:t>
      </w:r>
      <w:r w:rsidRPr="00CC6F7E">
        <w:rPr>
          <w:rFonts w:eastAsia="Times New Roman" w:cs="Times New Roman"/>
          <w:lang w:eastAsia="de-DE"/>
        </w:rPr>
        <w:t xml:space="preserve">(und ich werde züchtigen) kehrt zu </w:t>
      </w:r>
      <w:r w:rsidRPr="00CC6F7E">
        <w:rPr>
          <w:rFonts w:eastAsia="Times New Roman" w:cs="Times New Roman"/>
          <w:b/>
          <w:bCs/>
          <w:rtl/>
          <w:lang w:eastAsia="de-DE"/>
        </w:rPr>
        <w:t>יסר</w:t>
      </w:r>
      <w:r w:rsidRPr="00CC6F7E">
        <w:rPr>
          <w:rFonts w:eastAsia="Times New Roman" w:cs="Times New Roman"/>
          <w:rtl/>
          <w:lang w:eastAsia="de-DE"/>
        </w:rPr>
        <w:t xml:space="preserve"> </w:t>
      </w:r>
      <w:r w:rsidRPr="00CC6F7E">
        <w:rPr>
          <w:rFonts w:eastAsia="Times New Roman" w:cs="Times New Roman"/>
          <w:lang w:eastAsia="de-DE"/>
        </w:rPr>
        <w:t xml:space="preserve">(züchtigen) zurück statt </w:t>
      </w:r>
      <w:r w:rsidRPr="00CC6F7E">
        <w:rPr>
          <w:rFonts w:eastAsia="Times New Roman" w:cs="Times New Roman"/>
          <w:b/>
          <w:bCs/>
          <w:rtl/>
          <w:lang w:eastAsia="de-DE"/>
        </w:rPr>
        <w:t>נכה</w:t>
      </w:r>
      <w:r w:rsidRPr="00CC6F7E">
        <w:rPr>
          <w:rFonts w:eastAsia="Times New Roman" w:cs="Times New Roman"/>
          <w:rtl/>
          <w:lang w:eastAsia="de-DE"/>
        </w:rPr>
        <w:t xml:space="preserve"> </w:t>
      </w:r>
      <w:r w:rsidRPr="00CC6F7E">
        <w:rPr>
          <w:rFonts w:eastAsia="Times New Roman" w:cs="Times New Roman"/>
          <w:lang w:eastAsia="de-DE"/>
        </w:rPr>
        <w:t xml:space="preserve">(schlagen) von V. 24. </w:t>
      </w: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entspricht V. 16,24. </w:t>
      </w:r>
      <w:r w:rsidRPr="00CC6F7E">
        <w:rPr>
          <w:rFonts w:eastAsia="Times New Roman" w:cs="Times New Roman"/>
          <w:b/>
          <w:bCs/>
          <w:rtl/>
          <w:lang w:eastAsia="de-DE"/>
        </w:rPr>
        <w:t>שבע על־חטאתיכם</w:t>
      </w:r>
      <w:r w:rsidRPr="00CC6F7E">
        <w:rPr>
          <w:rFonts w:eastAsia="Times New Roman" w:cs="Times New Roman"/>
          <w:rtl/>
          <w:lang w:eastAsia="de-DE"/>
        </w:rPr>
        <w:t xml:space="preserve"> </w:t>
      </w:r>
      <w:r w:rsidRPr="00CC6F7E">
        <w:rPr>
          <w:rFonts w:eastAsia="Times New Roman" w:cs="Times New Roman"/>
          <w:lang w:eastAsia="de-DE"/>
        </w:rPr>
        <w:t>entspricht den vorherigen Stufen.</w:t>
      </w:r>
    </w:p>
    <w:p w14:paraId="2E0ED1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בחמת־קרי</w:t>
      </w:r>
      <w:r w:rsidRPr="00CC6F7E">
        <w:rPr>
          <w:rFonts w:eastAsia="Times New Roman" w:cs="Times New Roman"/>
          <w:rtl/>
          <w:lang w:eastAsia="de-DE"/>
        </w:rPr>
        <w:t xml:space="preserve"> </w:t>
      </w:r>
      <w:r w:rsidRPr="00CC6F7E">
        <w:rPr>
          <w:rFonts w:eastAsia="Times New Roman" w:cs="Times New Roman"/>
          <w:lang w:eastAsia="de-DE"/>
        </w:rPr>
        <w:t xml:space="preserve">zeigt die höchste Stufe göttlicher Feindseligkeit: Zorn + Widerwille. </w:t>
      </w:r>
      <w:r w:rsidRPr="00CC6F7E">
        <w:rPr>
          <w:rFonts w:eastAsia="Times New Roman" w:cs="Times New Roman"/>
          <w:b/>
          <w:bCs/>
          <w:rtl/>
          <w:lang w:eastAsia="de-DE"/>
        </w:rPr>
        <w:t>ויסרתי...אף־אני</w:t>
      </w:r>
      <w:r w:rsidRPr="00CC6F7E">
        <w:rPr>
          <w:rFonts w:eastAsia="Times New Roman" w:cs="Times New Roman"/>
          <w:rtl/>
          <w:lang w:eastAsia="de-DE"/>
        </w:rPr>
        <w:t xml:space="preserve"> </w:t>
      </w:r>
      <w:r w:rsidRPr="00CC6F7E">
        <w:rPr>
          <w:rFonts w:eastAsia="Times New Roman" w:cs="Times New Roman"/>
          <w:lang w:eastAsia="de-DE"/>
        </w:rPr>
        <w:t>zeigt, dass selbst die extremste Stufe noch "Züchtigung" ist, nicht endgültige Vernichtung.</w:t>
      </w:r>
    </w:p>
    <w:p w14:paraId="099637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בחמת־קרי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θυμῷ</w:t>
      </w:r>
      <w:proofErr w:type="spellEnd"/>
      <w:r w:rsidRPr="00CC6F7E">
        <w:rPr>
          <w:rFonts w:eastAsia="Times New Roman" w:cs="Times New Roman"/>
          <w:lang w:eastAsia="de-DE"/>
        </w:rPr>
        <w:t xml:space="preserve"> πλα</w:t>
      </w:r>
      <w:proofErr w:type="spellStart"/>
      <w:r w:rsidRPr="00CC6F7E">
        <w:rPr>
          <w:rFonts w:eastAsia="Times New Roman" w:cs="Times New Roman"/>
          <w:lang w:eastAsia="de-DE"/>
        </w:rPr>
        <w:t>γίῳ</w:t>
      </w:r>
      <w:proofErr w:type="spellEnd"/>
      <w:r w:rsidRPr="00CC6F7E">
        <w:rPr>
          <w:rFonts w:eastAsia="Times New Roman" w:cs="Times New Roman"/>
          <w:lang w:eastAsia="de-DE"/>
        </w:rPr>
        <w:t xml:space="preserve"> (in schiefem Zorn), </w:t>
      </w:r>
      <w:r w:rsidRPr="00CC6F7E">
        <w:rPr>
          <w:rFonts w:eastAsia="Times New Roman" w:cs="Times New Roman"/>
          <w:b/>
          <w:bCs/>
          <w:rtl/>
          <w:lang w:eastAsia="de-DE"/>
        </w:rPr>
        <w:t>ויסרתי</w:t>
      </w:r>
      <w:r w:rsidRPr="00CC6F7E">
        <w:rPr>
          <w:rFonts w:eastAsia="Times New Roman" w:cs="Times New Roman"/>
          <w:rtl/>
          <w:lang w:eastAsia="de-DE"/>
        </w:rPr>
        <w:t xml:space="preserve"> </w:t>
      </w:r>
      <w:r w:rsidRPr="00CC6F7E">
        <w:rPr>
          <w:rFonts w:eastAsia="Times New Roman" w:cs="Times New Roman"/>
          <w:lang w:eastAsia="de-DE"/>
        </w:rPr>
        <w:t>mit πα</w:t>
      </w:r>
      <w:proofErr w:type="spellStart"/>
      <w:r w:rsidRPr="00CC6F7E">
        <w:rPr>
          <w:rFonts w:eastAsia="Times New Roman" w:cs="Times New Roman"/>
          <w:lang w:eastAsia="de-DE"/>
        </w:rPr>
        <w:t>ιδεύσω</w:t>
      </w:r>
      <w:proofErr w:type="spellEnd"/>
      <w:r w:rsidRPr="00CC6F7E">
        <w:rPr>
          <w:rFonts w:eastAsia="Times New Roman" w:cs="Times New Roman"/>
          <w:lang w:eastAsia="de-DE"/>
        </w:rPr>
        <w:t xml:space="preserve"> (werde ich erziehen) und </w:t>
      </w:r>
      <w:r w:rsidRPr="00CC6F7E">
        <w:rPr>
          <w:rFonts w:eastAsia="Times New Roman" w:cs="Times New Roman"/>
          <w:b/>
          <w:bCs/>
          <w:rtl/>
          <w:lang w:eastAsia="de-DE"/>
        </w:rPr>
        <w:t>אף־אני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κἀγώ</w:t>
      </w:r>
      <w:proofErr w:type="spellEnd"/>
      <w:r w:rsidRPr="00CC6F7E">
        <w:rPr>
          <w:rFonts w:eastAsia="Times New Roman" w:cs="Times New Roman"/>
          <w:lang w:eastAsia="de-DE"/>
        </w:rPr>
        <w:t xml:space="preserve"> (und auch ich).</w:t>
      </w:r>
    </w:p>
    <w:p w14:paraId="62E09F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höchste göttliche Vergeltungs-Intensität: mit euch in grimmigem Gegensatz wandeln + auch ich züchtige euch + siebenfach wegen eurer Sünden.</w:t>
      </w:r>
    </w:p>
    <w:p w14:paraId="5E637C9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fünfte Fluch-Stufe: Göttlicher Grimm-Zorn zusätzlich zur Feindseligkeit, aber noch immer als "Züchtigung" bezeichnet.</w:t>
      </w:r>
    </w:p>
    <w:p w14:paraId="29B0A47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26,29</w:t>
      </w:r>
    </w:p>
    <w:p w14:paraId="78A27F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וַאֲכַלְתֶּ֖ם בְּשַׂ֣ר בְּנֵיכֶ֑ם וּבְשַׂ֥ר בְּנֹתֵיכֶ֖ם תֹּאכֵֽלוּ׃</w:t>
      </w:r>
    </w:p>
    <w:p w14:paraId="0CF253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werdet das Fleisch eurer Söhne essen, und das Fleisch eurer Töchter werdet ihr essen.</w:t>
      </w:r>
    </w:p>
    <w:p w14:paraId="477ED28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7BD1427">
          <v:rect id="_x0000_i1832" style="width:0;height:1.5pt" o:hralign="center" o:hrstd="t" o:hr="t" fillcolor="#a0a0a0" stroked="f"/>
        </w:pict>
      </w:r>
    </w:p>
    <w:p w14:paraId="675E6D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ואכלתם בשר בניכם ובשר בנתיכם תאכלו</w:t>
      </w:r>
      <w:r w:rsidRPr="00CC6F7E">
        <w:rPr>
          <w:rFonts w:eastAsia="Times New Roman" w:cs="Times New Roman"/>
          <w:rtl/>
          <w:lang w:eastAsia="de-DE"/>
        </w:rPr>
        <w:t xml:space="preserve"> </w:t>
      </w:r>
      <w:r w:rsidRPr="00CC6F7E">
        <w:rPr>
          <w:rFonts w:eastAsia="Times New Roman" w:cs="Times New Roman"/>
          <w:lang w:eastAsia="de-DE"/>
        </w:rPr>
        <w:t xml:space="preserve">zeigt die extremste Hungersnot-Stufe: Kannibalismus. </w:t>
      </w:r>
      <w:r w:rsidRPr="00CC6F7E">
        <w:rPr>
          <w:rFonts w:eastAsia="Times New Roman" w:cs="Times New Roman"/>
          <w:b/>
          <w:bCs/>
          <w:rtl/>
          <w:lang w:eastAsia="de-DE"/>
        </w:rPr>
        <w:t>ואכלתם בשר בניכם</w:t>
      </w:r>
      <w:r w:rsidRPr="00CC6F7E">
        <w:rPr>
          <w:rFonts w:eastAsia="Times New Roman" w:cs="Times New Roman"/>
          <w:rtl/>
          <w:lang w:eastAsia="de-DE"/>
        </w:rPr>
        <w:t xml:space="preserve"> </w:t>
      </w:r>
      <w:r w:rsidRPr="00CC6F7E">
        <w:rPr>
          <w:rFonts w:eastAsia="Times New Roman" w:cs="Times New Roman"/>
          <w:lang w:eastAsia="de-DE"/>
        </w:rPr>
        <w:t xml:space="preserve">(und ihr werdet das Fleisch eurer Söhne essen) - </w:t>
      </w:r>
      <w:r w:rsidRPr="00CC6F7E">
        <w:rPr>
          <w:rFonts w:eastAsia="Times New Roman" w:cs="Times New Roman"/>
          <w:b/>
          <w:bCs/>
          <w:rtl/>
          <w:lang w:eastAsia="de-DE"/>
        </w:rPr>
        <w:t>ואכלתם</w:t>
      </w:r>
      <w:r w:rsidRPr="00CC6F7E">
        <w:rPr>
          <w:rFonts w:eastAsia="Times New Roman" w:cs="Times New Roman"/>
          <w:rtl/>
          <w:lang w:eastAsia="de-DE"/>
        </w:rPr>
        <w:t xml:space="preserve"> </w:t>
      </w:r>
      <w:r w:rsidRPr="00CC6F7E">
        <w:rPr>
          <w:rFonts w:eastAsia="Times New Roman" w:cs="Times New Roman"/>
          <w:lang w:eastAsia="de-DE"/>
        </w:rPr>
        <w:t xml:space="preserve">ironisiert die Segens-Verheißungen des Essens. </w:t>
      </w:r>
      <w:r w:rsidRPr="00CC6F7E">
        <w:rPr>
          <w:rFonts w:eastAsia="Times New Roman" w:cs="Times New Roman"/>
          <w:b/>
          <w:bCs/>
          <w:rtl/>
          <w:lang w:eastAsia="de-DE"/>
        </w:rPr>
        <w:t>בשר בניכם</w:t>
      </w:r>
      <w:r w:rsidRPr="00CC6F7E">
        <w:rPr>
          <w:rFonts w:eastAsia="Times New Roman" w:cs="Times New Roman"/>
          <w:rtl/>
          <w:lang w:eastAsia="de-DE"/>
        </w:rPr>
        <w:t xml:space="preserve"> </w:t>
      </w:r>
      <w:r w:rsidRPr="00CC6F7E">
        <w:rPr>
          <w:rFonts w:eastAsia="Times New Roman" w:cs="Times New Roman"/>
          <w:lang w:eastAsia="de-DE"/>
        </w:rPr>
        <w:t>(Fleisch eurer Söhne) zeigt die Umkehrung natürlicher Eltern-Kind-Beziehungen.</w:t>
      </w:r>
    </w:p>
    <w:p w14:paraId="2C9196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ובשר בנתיכם תאכלו</w:t>
      </w:r>
      <w:r w:rsidRPr="00CC6F7E">
        <w:rPr>
          <w:rFonts w:eastAsia="Times New Roman" w:cs="Times New Roman"/>
          <w:rtl/>
          <w:lang w:eastAsia="de-DE"/>
        </w:rPr>
        <w:t xml:space="preserve"> </w:t>
      </w:r>
      <w:r w:rsidRPr="00CC6F7E">
        <w:rPr>
          <w:rFonts w:eastAsia="Times New Roman" w:cs="Times New Roman"/>
          <w:lang w:eastAsia="de-DE"/>
        </w:rPr>
        <w:t xml:space="preserve">(und das Fleisch eurer Töchter werdet ihr essen) wiederholt die Aussage mit </w:t>
      </w:r>
      <w:r w:rsidRPr="00CC6F7E">
        <w:rPr>
          <w:rFonts w:eastAsia="Times New Roman" w:cs="Times New Roman"/>
          <w:b/>
          <w:bCs/>
          <w:rtl/>
          <w:lang w:eastAsia="de-DE"/>
        </w:rPr>
        <w:t>בנתיכם</w:t>
      </w:r>
      <w:r w:rsidRPr="00CC6F7E">
        <w:rPr>
          <w:rFonts w:eastAsia="Times New Roman" w:cs="Times New Roman"/>
          <w:rtl/>
          <w:lang w:eastAsia="de-DE"/>
        </w:rPr>
        <w:t xml:space="preserve"> </w:t>
      </w:r>
      <w:r w:rsidRPr="00CC6F7E">
        <w:rPr>
          <w:rFonts w:eastAsia="Times New Roman" w:cs="Times New Roman"/>
          <w:lang w:eastAsia="de-DE"/>
        </w:rPr>
        <w:t xml:space="preserve">(eurer Töchter) und bekräftigt durch </w:t>
      </w:r>
      <w:r w:rsidRPr="00CC6F7E">
        <w:rPr>
          <w:rFonts w:eastAsia="Times New Roman" w:cs="Times New Roman"/>
          <w:b/>
          <w:bCs/>
          <w:rtl/>
          <w:lang w:eastAsia="de-DE"/>
        </w:rPr>
        <w:t>תאכלו</w:t>
      </w:r>
      <w:r w:rsidRPr="00CC6F7E">
        <w:rPr>
          <w:rFonts w:eastAsia="Times New Roman" w:cs="Times New Roman"/>
          <w:rtl/>
          <w:lang w:eastAsia="de-DE"/>
        </w:rPr>
        <w:t xml:space="preserve"> </w:t>
      </w:r>
      <w:r w:rsidRPr="00CC6F7E">
        <w:rPr>
          <w:rFonts w:eastAsia="Times New Roman" w:cs="Times New Roman"/>
          <w:lang w:eastAsia="de-DE"/>
        </w:rPr>
        <w:t>(werdet ihr essen) im Qal-Imperfekt.</w:t>
      </w:r>
    </w:p>
    <w:p w14:paraId="6854EC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Wiederholung mit </w:t>
      </w:r>
      <w:r w:rsidRPr="00CC6F7E">
        <w:rPr>
          <w:rFonts w:eastAsia="Times New Roman" w:cs="Times New Roman"/>
          <w:b/>
          <w:bCs/>
          <w:rtl/>
          <w:lang w:eastAsia="de-DE"/>
        </w:rPr>
        <w:t>בניכם</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בנתיכם</w:t>
      </w:r>
      <w:r w:rsidRPr="00CC6F7E">
        <w:rPr>
          <w:rFonts w:eastAsia="Times New Roman" w:cs="Times New Roman"/>
          <w:rtl/>
          <w:lang w:eastAsia="de-DE"/>
        </w:rPr>
        <w:t xml:space="preserve"> </w:t>
      </w:r>
      <w:r w:rsidRPr="00CC6F7E">
        <w:rPr>
          <w:rFonts w:eastAsia="Times New Roman" w:cs="Times New Roman"/>
          <w:lang w:eastAsia="de-DE"/>
        </w:rPr>
        <w:t xml:space="preserve">betont die Vollständigkeit: beide Geschlechter. </w:t>
      </w:r>
      <w:r w:rsidRPr="00CC6F7E">
        <w:rPr>
          <w:rFonts w:eastAsia="Times New Roman" w:cs="Times New Roman"/>
          <w:b/>
          <w:bCs/>
          <w:rtl/>
          <w:lang w:eastAsia="de-DE"/>
        </w:rPr>
        <w:t>ואכלתם...תאכלו</w:t>
      </w:r>
      <w:r w:rsidRPr="00CC6F7E">
        <w:rPr>
          <w:rFonts w:eastAsia="Times New Roman" w:cs="Times New Roman"/>
          <w:rtl/>
          <w:lang w:eastAsia="de-DE"/>
        </w:rPr>
        <w:t xml:space="preserve"> </w:t>
      </w:r>
      <w:r w:rsidRPr="00CC6F7E">
        <w:rPr>
          <w:rFonts w:eastAsia="Times New Roman" w:cs="Times New Roman"/>
          <w:lang w:eastAsia="de-DE"/>
        </w:rPr>
        <w:t>durch zwei verschiedene Verbformen betont die Grausamkeit.</w:t>
      </w:r>
    </w:p>
    <w:p w14:paraId="1D12481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בשר בניכם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κρέ</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υἱῶν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(Fleisch eurer Söhne), </w:t>
      </w:r>
      <w:r w:rsidRPr="00CC6F7E">
        <w:rPr>
          <w:rFonts w:eastAsia="Times New Roman" w:cs="Times New Roman"/>
          <w:b/>
          <w:bCs/>
          <w:rtl/>
          <w:lang w:eastAsia="de-DE"/>
        </w:rPr>
        <w:t>בשר בנתיכם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κρέ</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θυγ</w:t>
      </w:r>
      <w:proofErr w:type="spellEnd"/>
      <w:r w:rsidRPr="00CC6F7E">
        <w:rPr>
          <w:rFonts w:eastAsia="Times New Roman" w:cs="Times New Roman"/>
          <w:lang w:eastAsia="de-DE"/>
        </w:rPr>
        <w:t xml:space="preserve">ατέρων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(Fleisch eurer Töchter) und </w:t>
      </w:r>
      <w:r w:rsidRPr="00CC6F7E">
        <w:rPr>
          <w:rFonts w:eastAsia="Times New Roman" w:cs="Times New Roman"/>
          <w:b/>
          <w:bCs/>
          <w:rtl/>
          <w:lang w:eastAsia="de-DE"/>
        </w:rPr>
        <w:t>תאכלו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φάγεσθε</w:t>
      </w:r>
      <w:proofErr w:type="spellEnd"/>
      <w:r w:rsidRPr="00CC6F7E">
        <w:rPr>
          <w:rFonts w:eastAsia="Times New Roman" w:cs="Times New Roman"/>
          <w:lang w:eastAsia="de-DE"/>
        </w:rPr>
        <w:t xml:space="preserve"> (werdet ihr essen).</w:t>
      </w:r>
    </w:p>
    <w:p w14:paraId="61648E3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extremste Hungersnot: Fleisch eurer Söhne essen + Fleisch eurer Töchter werdet ihr essen.</w:t>
      </w:r>
    </w:p>
    <w:p w14:paraId="69AFE6F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grausamste Konsequenz der fünften Fluch-Stufe: Kannibalismus an den eigenen Kindern als ultimative Perversion natürlicher Ordnung.</w:t>
      </w:r>
    </w:p>
    <w:p w14:paraId="1C3C3A3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26,30</w:t>
      </w:r>
    </w:p>
    <w:p w14:paraId="4D9146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וְהִשְׁמַדְתִּ֞י אֶת־בָּמֹֽתֵיכֶ֗ם וְהִכְרַתִּי֙ אֶת־חַמָּ֣נֵיכֶ֔ם וְנָֽתַתִּי֙ אֶת־פִּגְרֵיכֶ֔ם עַל־פִּגְרֵ֖י גִּלּוּלֵיכֶ֑ם וְגָעֲלָ֥ה נַפְשִׁ֖י אֶתְכֶֽם׃</w:t>
      </w:r>
    </w:p>
    <w:p w14:paraId="595B36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eure Höhen zerstören und eure Sonnensäulen ausrotten und werde eure Leichname auf die Leichname eurer Götzen werfen, und meine Seele wird euch verabscheuen.</w:t>
      </w:r>
    </w:p>
    <w:p w14:paraId="1B48EFD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BBAC9E0">
          <v:rect id="_x0000_i1833" style="width:0;height:1.5pt" o:hralign="center" o:hrstd="t" o:hr="t" fillcolor="#a0a0a0" stroked="f"/>
        </w:pict>
      </w:r>
    </w:p>
    <w:p w14:paraId="582576B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והשמדתי את־במתיכם והכרתי את־חמניכם ונתתי את־פגריכם על־פגרי גלוליכם וגעלה נפשי אתכם</w:t>
      </w:r>
      <w:r w:rsidRPr="00CC6F7E">
        <w:rPr>
          <w:rFonts w:eastAsia="Times New Roman" w:cs="Times New Roman"/>
          <w:rtl/>
          <w:lang w:eastAsia="de-DE"/>
        </w:rPr>
        <w:t xml:space="preserve"> </w:t>
      </w:r>
      <w:r w:rsidRPr="00CC6F7E">
        <w:rPr>
          <w:rFonts w:eastAsia="Times New Roman" w:cs="Times New Roman"/>
          <w:lang w:eastAsia="de-DE"/>
        </w:rPr>
        <w:t xml:space="preserve">zeigt kultische Vernichtung und göttlichen Abscheu. </w:t>
      </w:r>
      <w:r w:rsidRPr="00CC6F7E">
        <w:rPr>
          <w:rFonts w:eastAsia="Times New Roman" w:cs="Times New Roman"/>
          <w:b/>
          <w:bCs/>
          <w:rtl/>
          <w:lang w:eastAsia="de-DE"/>
        </w:rPr>
        <w:t>והשמדתי את־במתיכם</w:t>
      </w:r>
      <w:r w:rsidRPr="00CC6F7E">
        <w:rPr>
          <w:rFonts w:eastAsia="Times New Roman" w:cs="Times New Roman"/>
          <w:rtl/>
          <w:lang w:eastAsia="de-DE"/>
        </w:rPr>
        <w:t xml:space="preserve"> </w:t>
      </w:r>
      <w:r w:rsidRPr="00CC6F7E">
        <w:rPr>
          <w:rFonts w:eastAsia="Times New Roman" w:cs="Times New Roman"/>
          <w:lang w:eastAsia="de-DE"/>
        </w:rPr>
        <w:t xml:space="preserve">(und ich werde eure Höhen zerstören) - </w:t>
      </w:r>
      <w:r w:rsidRPr="00CC6F7E">
        <w:rPr>
          <w:rFonts w:eastAsia="Times New Roman" w:cs="Times New Roman"/>
          <w:b/>
          <w:bCs/>
          <w:rtl/>
          <w:lang w:eastAsia="de-DE"/>
        </w:rPr>
        <w:t>והשמדתי</w:t>
      </w:r>
      <w:r w:rsidRPr="00CC6F7E">
        <w:rPr>
          <w:rFonts w:eastAsia="Times New Roman" w:cs="Times New Roman"/>
          <w:rtl/>
          <w:lang w:eastAsia="de-DE"/>
        </w:rPr>
        <w:t xml:space="preserve"> </w:t>
      </w:r>
      <w:r w:rsidRPr="00CC6F7E">
        <w:rPr>
          <w:rFonts w:eastAsia="Times New Roman" w:cs="Times New Roman"/>
          <w:lang w:eastAsia="de-DE"/>
        </w:rPr>
        <w:t xml:space="preserve">(und ich werde vernichten) im Hifil-Perfekt von </w:t>
      </w:r>
      <w:r w:rsidRPr="00CC6F7E">
        <w:rPr>
          <w:rFonts w:eastAsia="Times New Roman" w:cs="Times New Roman"/>
          <w:b/>
          <w:bCs/>
          <w:rtl/>
          <w:lang w:eastAsia="de-DE"/>
        </w:rPr>
        <w:t>שמד</w:t>
      </w:r>
      <w:r w:rsidRPr="00CC6F7E">
        <w:rPr>
          <w:rFonts w:eastAsia="Times New Roman" w:cs="Times New Roman"/>
          <w:lang w:eastAsia="de-DE"/>
        </w:rPr>
        <w:t xml:space="preserve">. </w:t>
      </w:r>
      <w:r w:rsidRPr="00CC6F7E">
        <w:rPr>
          <w:rFonts w:eastAsia="Times New Roman" w:cs="Times New Roman"/>
          <w:b/>
          <w:bCs/>
          <w:rtl/>
          <w:lang w:eastAsia="de-DE"/>
        </w:rPr>
        <w:t>במתיכם</w:t>
      </w:r>
      <w:r w:rsidRPr="00CC6F7E">
        <w:rPr>
          <w:rFonts w:eastAsia="Times New Roman" w:cs="Times New Roman"/>
          <w:rtl/>
          <w:lang w:eastAsia="de-DE"/>
        </w:rPr>
        <w:t xml:space="preserve"> </w:t>
      </w:r>
      <w:r w:rsidRPr="00CC6F7E">
        <w:rPr>
          <w:rFonts w:eastAsia="Times New Roman" w:cs="Times New Roman"/>
          <w:lang w:eastAsia="de-DE"/>
        </w:rPr>
        <w:t>(eure Höhen) zeigt Höhenheiligtümer für illegitime Kulte.</w:t>
      </w:r>
    </w:p>
    <w:p w14:paraId="304887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והכרתי את־חמניכם</w:t>
      </w:r>
      <w:r w:rsidRPr="00CC6F7E">
        <w:rPr>
          <w:rFonts w:eastAsia="Times New Roman" w:cs="Times New Roman"/>
          <w:rtl/>
          <w:lang w:eastAsia="de-DE"/>
        </w:rPr>
        <w:t xml:space="preserve"> </w:t>
      </w:r>
      <w:r w:rsidRPr="00CC6F7E">
        <w:rPr>
          <w:rFonts w:eastAsia="Times New Roman" w:cs="Times New Roman"/>
          <w:lang w:eastAsia="de-DE"/>
        </w:rPr>
        <w:t xml:space="preserve">(und eure Sonnensäulen ausrotten) - </w:t>
      </w:r>
      <w:r w:rsidRPr="00CC6F7E">
        <w:rPr>
          <w:rFonts w:eastAsia="Times New Roman" w:cs="Times New Roman"/>
          <w:b/>
          <w:bCs/>
          <w:rtl/>
          <w:lang w:eastAsia="de-DE"/>
        </w:rPr>
        <w:t>והכרתי</w:t>
      </w:r>
      <w:r w:rsidRPr="00CC6F7E">
        <w:rPr>
          <w:rFonts w:eastAsia="Times New Roman" w:cs="Times New Roman"/>
          <w:rtl/>
          <w:lang w:eastAsia="de-DE"/>
        </w:rPr>
        <w:t xml:space="preserve"> </w:t>
      </w:r>
      <w:r w:rsidRPr="00CC6F7E">
        <w:rPr>
          <w:rFonts w:eastAsia="Times New Roman" w:cs="Times New Roman"/>
          <w:lang w:eastAsia="de-DE"/>
        </w:rPr>
        <w:t xml:space="preserve">(und ich werde ausrotten) im Hifil-Perfekt von </w:t>
      </w:r>
      <w:r w:rsidRPr="00CC6F7E">
        <w:rPr>
          <w:rFonts w:eastAsia="Times New Roman" w:cs="Times New Roman"/>
          <w:b/>
          <w:bCs/>
          <w:rtl/>
          <w:lang w:eastAsia="de-DE"/>
        </w:rPr>
        <w:t>כרת</w:t>
      </w:r>
      <w:r w:rsidRPr="00CC6F7E">
        <w:rPr>
          <w:rFonts w:eastAsia="Times New Roman" w:cs="Times New Roman"/>
          <w:lang w:eastAsia="de-DE"/>
        </w:rPr>
        <w:t xml:space="preserve">. </w:t>
      </w:r>
      <w:r w:rsidRPr="00CC6F7E">
        <w:rPr>
          <w:rFonts w:eastAsia="Times New Roman" w:cs="Times New Roman"/>
          <w:b/>
          <w:bCs/>
          <w:rtl/>
          <w:lang w:eastAsia="de-DE"/>
        </w:rPr>
        <w:t>חמניכם</w:t>
      </w:r>
      <w:r w:rsidRPr="00CC6F7E">
        <w:rPr>
          <w:rFonts w:eastAsia="Times New Roman" w:cs="Times New Roman"/>
          <w:rtl/>
          <w:lang w:eastAsia="de-DE"/>
        </w:rPr>
        <w:t xml:space="preserve"> </w:t>
      </w:r>
      <w:r w:rsidRPr="00CC6F7E">
        <w:rPr>
          <w:rFonts w:eastAsia="Times New Roman" w:cs="Times New Roman"/>
          <w:lang w:eastAsia="de-DE"/>
        </w:rPr>
        <w:t>(eure Sonnensäulen) zeigt Sonnen-Kultgegenstände.</w:t>
      </w:r>
    </w:p>
    <w:p w14:paraId="698F83B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ונתתי את־פגריכם על־פגרי גלו</w:t>
      </w:r>
      <w:r w:rsidRPr="00CC6F7E">
        <w:rPr>
          <w:rFonts w:eastAsia="Times New Roman" w:cs="Times New Roman"/>
          <w:b/>
          <w:bCs/>
          <w:rtl/>
          <w:lang w:eastAsia="de-DE" w:bidi="ar-SA"/>
        </w:rPr>
        <w:t>لي</w:t>
      </w:r>
      <w:r w:rsidRPr="00CC6F7E">
        <w:rPr>
          <w:rFonts w:eastAsia="Times New Roman" w:cs="Times New Roman"/>
          <w:b/>
          <w:bCs/>
          <w:rtl/>
          <w:lang w:eastAsia="de-DE"/>
        </w:rPr>
        <w:t>כם</w:t>
      </w:r>
      <w:r w:rsidRPr="00CC6F7E">
        <w:rPr>
          <w:rFonts w:eastAsia="Times New Roman" w:cs="Times New Roman"/>
          <w:rtl/>
          <w:lang w:eastAsia="de-DE"/>
        </w:rPr>
        <w:t xml:space="preserve"> </w:t>
      </w:r>
      <w:r w:rsidRPr="00CC6F7E">
        <w:rPr>
          <w:rFonts w:eastAsia="Times New Roman" w:cs="Times New Roman"/>
          <w:lang w:eastAsia="de-DE"/>
        </w:rPr>
        <w:t xml:space="preserve">(und werde eure Leichname auf die Leichname eurer Götzen werfen) - </w:t>
      </w:r>
      <w:r w:rsidRPr="00CC6F7E">
        <w:rPr>
          <w:rFonts w:eastAsia="Times New Roman" w:cs="Times New Roman"/>
          <w:b/>
          <w:bCs/>
          <w:rtl/>
          <w:lang w:eastAsia="de-DE"/>
        </w:rPr>
        <w:t>פגריכם</w:t>
      </w:r>
      <w:r w:rsidRPr="00CC6F7E">
        <w:rPr>
          <w:rFonts w:eastAsia="Times New Roman" w:cs="Times New Roman"/>
          <w:rtl/>
          <w:lang w:eastAsia="de-DE"/>
        </w:rPr>
        <w:t xml:space="preserve"> </w:t>
      </w:r>
      <w:r w:rsidRPr="00CC6F7E">
        <w:rPr>
          <w:rFonts w:eastAsia="Times New Roman" w:cs="Times New Roman"/>
          <w:lang w:eastAsia="de-DE"/>
        </w:rPr>
        <w:t xml:space="preserve">(eure Leichname) zeigt tote Körper. </w:t>
      </w:r>
      <w:r w:rsidRPr="00CC6F7E">
        <w:rPr>
          <w:rFonts w:eastAsia="Times New Roman" w:cs="Times New Roman"/>
          <w:b/>
          <w:bCs/>
          <w:rtl/>
          <w:lang w:eastAsia="de-DE"/>
        </w:rPr>
        <w:t>על־פגרי גלוליכם</w:t>
      </w:r>
      <w:r w:rsidRPr="00CC6F7E">
        <w:rPr>
          <w:rFonts w:eastAsia="Times New Roman" w:cs="Times New Roman"/>
          <w:rtl/>
          <w:lang w:eastAsia="de-DE"/>
        </w:rPr>
        <w:t xml:space="preserve"> </w:t>
      </w:r>
      <w:r w:rsidRPr="00CC6F7E">
        <w:rPr>
          <w:rFonts w:eastAsia="Times New Roman" w:cs="Times New Roman"/>
          <w:lang w:eastAsia="de-DE"/>
        </w:rPr>
        <w:t xml:space="preserve">(auf die Leichname eurer Götzen) - </w:t>
      </w:r>
      <w:r w:rsidRPr="00CC6F7E">
        <w:rPr>
          <w:rFonts w:eastAsia="Times New Roman" w:cs="Times New Roman"/>
          <w:b/>
          <w:bCs/>
          <w:rtl/>
          <w:lang w:eastAsia="de-DE"/>
        </w:rPr>
        <w:t>פגרי גלוליכם</w:t>
      </w:r>
      <w:r w:rsidRPr="00CC6F7E">
        <w:rPr>
          <w:rFonts w:eastAsia="Times New Roman" w:cs="Times New Roman"/>
          <w:rtl/>
          <w:lang w:eastAsia="de-DE"/>
        </w:rPr>
        <w:t xml:space="preserve"> </w:t>
      </w:r>
      <w:r w:rsidRPr="00CC6F7E">
        <w:rPr>
          <w:rFonts w:eastAsia="Times New Roman" w:cs="Times New Roman"/>
          <w:lang w:eastAsia="de-DE"/>
        </w:rPr>
        <w:t xml:space="preserve">ironisiert: Götzen haben "Leichname" wie Menschen. </w:t>
      </w:r>
      <w:r w:rsidRPr="00CC6F7E">
        <w:rPr>
          <w:rFonts w:eastAsia="Times New Roman" w:cs="Times New Roman"/>
          <w:b/>
          <w:bCs/>
          <w:rtl/>
          <w:lang w:eastAsia="de-DE"/>
        </w:rPr>
        <w:t>גלוליכם</w:t>
      </w:r>
      <w:r w:rsidRPr="00CC6F7E">
        <w:rPr>
          <w:rFonts w:eastAsia="Times New Roman" w:cs="Times New Roman"/>
          <w:rtl/>
          <w:lang w:eastAsia="de-DE"/>
        </w:rPr>
        <w:t xml:space="preserve"> </w:t>
      </w:r>
      <w:r w:rsidRPr="00CC6F7E">
        <w:rPr>
          <w:rFonts w:eastAsia="Times New Roman" w:cs="Times New Roman"/>
          <w:lang w:eastAsia="de-DE"/>
        </w:rPr>
        <w:t>(eure Götzen) ist ein verächtlicher Begriff.</w:t>
      </w:r>
    </w:p>
    <w:p w14:paraId="41BCEA0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וגעלה נפשי אתכם</w:t>
      </w:r>
      <w:r w:rsidRPr="00CC6F7E">
        <w:rPr>
          <w:rFonts w:eastAsia="Times New Roman" w:cs="Times New Roman"/>
          <w:rtl/>
          <w:lang w:eastAsia="de-DE"/>
        </w:rPr>
        <w:t xml:space="preserve"> </w:t>
      </w:r>
      <w:r w:rsidRPr="00CC6F7E">
        <w:rPr>
          <w:rFonts w:eastAsia="Times New Roman" w:cs="Times New Roman"/>
          <w:lang w:eastAsia="de-DE"/>
        </w:rPr>
        <w:t xml:space="preserve">(und meine Seele wird euch verabscheuen) ist die direkte Umkehrung von V. 11 </w:t>
      </w:r>
      <w:r w:rsidRPr="00CC6F7E">
        <w:rPr>
          <w:rFonts w:eastAsia="Times New Roman" w:cs="Times New Roman"/>
          <w:b/>
          <w:bCs/>
          <w:rtl/>
          <w:lang w:eastAsia="de-DE"/>
        </w:rPr>
        <w:t>ולא־תגעל נפשי אתכם</w:t>
      </w:r>
      <w:r w:rsidRPr="00CC6F7E">
        <w:rPr>
          <w:rFonts w:eastAsia="Times New Roman" w:cs="Times New Roman"/>
          <w:rtl/>
          <w:lang w:eastAsia="de-DE"/>
        </w:rPr>
        <w:t xml:space="preserve"> </w:t>
      </w:r>
      <w:r w:rsidRPr="00CC6F7E">
        <w:rPr>
          <w:rFonts w:eastAsia="Times New Roman" w:cs="Times New Roman"/>
          <w:lang w:eastAsia="de-DE"/>
        </w:rPr>
        <w:t xml:space="preserve">- </w:t>
      </w:r>
      <w:r w:rsidRPr="00CC6F7E">
        <w:rPr>
          <w:rFonts w:eastAsia="Times New Roman" w:cs="Times New Roman"/>
          <w:b/>
          <w:bCs/>
          <w:rtl/>
          <w:lang w:eastAsia="de-DE"/>
        </w:rPr>
        <w:t>געלה</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לא־תגעל</w:t>
      </w:r>
      <w:r w:rsidRPr="00CC6F7E">
        <w:rPr>
          <w:rFonts w:eastAsia="Times New Roman" w:cs="Times New Roman"/>
          <w:lang w:eastAsia="de-DE"/>
        </w:rPr>
        <w:t>.</w:t>
      </w:r>
    </w:p>
    <w:p w14:paraId="076C0E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במתיכם וחמניכם</w:t>
      </w:r>
      <w:r w:rsidRPr="00CC6F7E">
        <w:rPr>
          <w:rFonts w:eastAsia="Times New Roman" w:cs="Times New Roman"/>
          <w:rtl/>
          <w:lang w:eastAsia="de-DE"/>
        </w:rPr>
        <w:t xml:space="preserve"> </w:t>
      </w:r>
      <w:r w:rsidRPr="00CC6F7E">
        <w:rPr>
          <w:rFonts w:eastAsia="Times New Roman" w:cs="Times New Roman"/>
          <w:lang w:eastAsia="de-DE"/>
        </w:rPr>
        <w:t xml:space="preserve">zeigen illegitime Kultstätten. </w:t>
      </w:r>
      <w:r w:rsidRPr="00CC6F7E">
        <w:rPr>
          <w:rFonts w:eastAsia="Times New Roman" w:cs="Times New Roman"/>
          <w:b/>
          <w:bCs/>
          <w:rtl/>
          <w:lang w:eastAsia="de-DE"/>
        </w:rPr>
        <w:t>פגריכם על־פגרי גלוליכם</w:t>
      </w:r>
      <w:r w:rsidRPr="00CC6F7E">
        <w:rPr>
          <w:rFonts w:eastAsia="Times New Roman" w:cs="Times New Roman"/>
          <w:rtl/>
          <w:lang w:eastAsia="de-DE"/>
        </w:rPr>
        <w:t xml:space="preserve"> </w:t>
      </w:r>
      <w:r w:rsidRPr="00CC6F7E">
        <w:rPr>
          <w:rFonts w:eastAsia="Times New Roman" w:cs="Times New Roman"/>
          <w:lang w:eastAsia="de-DE"/>
        </w:rPr>
        <w:t xml:space="preserve">zeigt ironische Götzen-"Leichname". </w:t>
      </w:r>
      <w:r w:rsidRPr="00CC6F7E">
        <w:rPr>
          <w:rFonts w:eastAsia="Times New Roman" w:cs="Times New Roman"/>
          <w:b/>
          <w:bCs/>
          <w:rtl/>
          <w:lang w:eastAsia="de-DE"/>
        </w:rPr>
        <w:t>געלה נפשי אתכם</w:t>
      </w:r>
      <w:r w:rsidRPr="00CC6F7E">
        <w:rPr>
          <w:rFonts w:eastAsia="Times New Roman" w:cs="Times New Roman"/>
          <w:rtl/>
          <w:lang w:eastAsia="de-DE"/>
        </w:rPr>
        <w:t xml:space="preserve"> </w:t>
      </w:r>
      <w:r w:rsidRPr="00CC6F7E">
        <w:rPr>
          <w:rFonts w:eastAsia="Times New Roman" w:cs="Times New Roman"/>
          <w:lang w:eastAsia="de-DE"/>
        </w:rPr>
        <w:t>als direkte Segens-Umkehrung.</w:t>
      </w:r>
    </w:p>
    <w:p w14:paraId="57742DAB" w14:textId="2AAFCEA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במות</w:t>
      </w:r>
      <w:r w:rsidR="00274C29">
        <w:t xml:space="preserve"> (</w:t>
      </w:r>
      <w:proofErr w:type="spellStart"/>
      <w:r w:rsidR="00274C29">
        <w:t>bamot</w:t>
      </w:r>
      <w:proofErr w:type="spellEnd"/>
      <w:r w:rsidR="00274C29">
        <w:t xml:space="preserve"> - "Höhen") als </w:t>
      </w:r>
      <w:proofErr w:type="spellStart"/>
      <w:r w:rsidR="00274C29">
        <w:t>τὰ</w:t>
      </w:r>
      <w:proofErr w:type="spellEnd"/>
      <w:r w:rsidR="00274C29">
        <w:t xml:space="preserve"> </w:t>
      </w:r>
      <w:proofErr w:type="spellStart"/>
      <w:r w:rsidR="00274C29">
        <w:t>ξύλιν</w:t>
      </w:r>
      <w:proofErr w:type="spellEnd"/>
      <w:r w:rsidR="00274C29">
        <w:t xml:space="preserve">α </w:t>
      </w:r>
      <w:proofErr w:type="spellStart"/>
      <w:r w:rsidR="00274C29">
        <w:t>χειρο</w:t>
      </w:r>
      <w:proofErr w:type="spellEnd"/>
      <w:r w:rsidR="00274C29">
        <w:t xml:space="preserve">ποίητα </w:t>
      </w:r>
      <w:proofErr w:type="spellStart"/>
      <w:r w:rsidR="00274C29">
        <w:t>ὑμῶν</w:t>
      </w:r>
      <w:proofErr w:type="spellEnd"/>
      <w:r w:rsidR="00274C29">
        <w:t xml:space="preserve"> (eure hölzernen Machwerke), </w:t>
      </w:r>
      <w:r w:rsidR="00274C29">
        <w:rPr>
          <w:rtl/>
        </w:rPr>
        <w:t>חמנים</w:t>
      </w:r>
      <w:r w:rsidR="00274C29">
        <w:t xml:space="preserve"> (</w:t>
      </w:r>
      <w:proofErr w:type="spellStart"/>
      <w:r w:rsidR="00274C29">
        <w:t>chamanim</w:t>
      </w:r>
      <w:proofErr w:type="spellEnd"/>
      <w:r w:rsidR="00274C29">
        <w:t xml:space="preserve"> - "Räucheraltäre") als </w:t>
      </w:r>
      <w:proofErr w:type="spellStart"/>
      <w:r w:rsidR="00274C29">
        <w:t>τὰ</w:t>
      </w:r>
      <w:proofErr w:type="spellEnd"/>
      <w:r w:rsidR="00274C29">
        <w:t xml:space="preserve"> </w:t>
      </w:r>
      <w:proofErr w:type="spellStart"/>
      <w:r w:rsidR="00274C29">
        <w:t>λίθιν</w:t>
      </w:r>
      <w:proofErr w:type="spellEnd"/>
      <w:r w:rsidR="00274C29">
        <w:t xml:space="preserve">α </w:t>
      </w:r>
      <w:proofErr w:type="spellStart"/>
      <w:r w:rsidR="00274C29">
        <w:t>χειρο</w:t>
      </w:r>
      <w:proofErr w:type="spellEnd"/>
      <w:r w:rsidR="00274C29">
        <w:t xml:space="preserve">ποίητα </w:t>
      </w:r>
      <w:proofErr w:type="spellStart"/>
      <w:r w:rsidR="00274C29">
        <w:t>ὑμῶν</w:t>
      </w:r>
      <w:proofErr w:type="spellEnd"/>
      <w:r w:rsidR="00274C29">
        <w:t xml:space="preserve"> (eure steinernen Machwerke), und </w:t>
      </w:r>
      <w:r w:rsidR="00274C29">
        <w:rPr>
          <w:rtl/>
        </w:rPr>
        <w:t>גלולים</w:t>
      </w:r>
      <w:r w:rsidR="00274C29">
        <w:t xml:space="preserve"> (</w:t>
      </w:r>
      <w:proofErr w:type="spellStart"/>
      <w:r w:rsidR="00274C29">
        <w:t>gillulim</w:t>
      </w:r>
      <w:proofErr w:type="spellEnd"/>
      <w:r w:rsidR="00274C29">
        <w:t xml:space="preserve"> - "Götzen") als </w:t>
      </w:r>
      <w:proofErr w:type="spellStart"/>
      <w:r w:rsidR="00274C29">
        <w:t>τὰ</w:t>
      </w:r>
      <w:proofErr w:type="spellEnd"/>
      <w:r w:rsidR="00274C29">
        <w:t xml:space="preserve"> </w:t>
      </w:r>
      <w:proofErr w:type="spellStart"/>
      <w:r w:rsidR="00274C29">
        <w:t>εἴδωλ</w:t>
      </w:r>
      <w:proofErr w:type="spellEnd"/>
      <w:r w:rsidR="00274C29">
        <w:t xml:space="preserve">α </w:t>
      </w:r>
      <w:proofErr w:type="spellStart"/>
      <w:r w:rsidR="00274C29">
        <w:t>ὑμῶν</w:t>
      </w:r>
      <w:proofErr w:type="spellEnd"/>
      <w:r w:rsidR="00274C29">
        <w:t xml:space="preserve"> (eure Götzenbilder).</w:t>
      </w:r>
    </w:p>
    <w:p w14:paraId="1F08E0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kultische Vernichtung: Höhen zerstören + Sonnensäulen ausrotten + eure Leichname auf Götzen-Leichname werfen + meine Seele verabscheut euch.</w:t>
      </w:r>
    </w:p>
    <w:p w14:paraId="32A001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kultische Vernichtung mit ironischer Götzen-"Leichnamen" und die Umkehrung göttlichen Wohlgefallens zu Abscheu.</w:t>
      </w:r>
    </w:p>
    <w:p w14:paraId="661A492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26,31</w:t>
      </w:r>
    </w:p>
    <w:p w14:paraId="1974AB6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וְנָתַתִּ֤י אֶת־עָֽרֵיכֶם֙ חָרְבָּ֔ה וַהֲשִׁמּוֹתִ֖י אֶת־מִקְדְּשֵׁיכֶ֑ם וְלֹ֣א אָרִ֔יחַ בְּרֵ֖יחַ נִיחֹֽחֲכֶֽם׃</w:t>
      </w:r>
    </w:p>
    <w:p w14:paraId="2BE0EA5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eure Städte zur Ruine machen und eure Heiligtümer verwüsten, und ich werde nicht riechen an dem Duft eurer Besänftigungen.</w:t>
      </w:r>
    </w:p>
    <w:p w14:paraId="6E8A9D2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857152B">
          <v:rect id="_x0000_i1834" style="width:0;height:1.5pt" o:hralign="center" o:hrstd="t" o:hr="t" fillcolor="#a0a0a0" stroked="f"/>
        </w:pict>
      </w:r>
    </w:p>
    <w:p w14:paraId="56BB34E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ונתתי את־עריכם חרבה והשמותי את־מקדשיכם ולא אריח בריח ניחחכם</w:t>
      </w:r>
      <w:r w:rsidRPr="00CC6F7E">
        <w:rPr>
          <w:rFonts w:eastAsia="Times New Roman" w:cs="Times New Roman"/>
          <w:rtl/>
          <w:lang w:eastAsia="de-DE"/>
        </w:rPr>
        <w:t xml:space="preserve"> </w:t>
      </w:r>
      <w:r w:rsidRPr="00CC6F7E">
        <w:rPr>
          <w:rFonts w:eastAsia="Times New Roman" w:cs="Times New Roman"/>
          <w:lang w:eastAsia="de-DE"/>
        </w:rPr>
        <w:t xml:space="preserve">zeigt totale städtische und kultische Verwüstung. </w:t>
      </w:r>
      <w:r w:rsidRPr="00CC6F7E">
        <w:rPr>
          <w:rFonts w:eastAsia="Times New Roman" w:cs="Times New Roman"/>
          <w:b/>
          <w:bCs/>
          <w:rtl/>
          <w:lang w:eastAsia="de-DE"/>
        </w:rPr>
        <w:t>ונתתי את־עריכם חרבה</w:t>
      </w:r>
      <w:r w:rsidRPr="00CC6F7E">
        <w:rPr>
          <w:rFonts w:eastAsia="Times New Roman" w:cs="Times New Roman"/>
          <w:rtl/>
          <w:lang w:eastAsia="de-DE"/>
        </w:rPr>
        <w:t xml:space="preserve"> </w:t>
      </w:r>
      <w:r w:rsidRPr="00CC6F7E">
        <w:rPr>
          <w:rFonts w:eastAsia="Times New Roman" w:cs="Times New Roman"/>
          <w:lang w:eastAsia="de-DE"/>
        </w:rPr>
        <w:t xml:space="preserve">(und ich werde eure Städte zur Ruine machen) - </w:t>
      </w:r>
      <w:r w:rsidRPr="00CC6F7E">
        <w:rPr>
          <w:rFonts w:eastAsia="Times New Roman" w:cs="Times New Roman"/>
          <w:b/>
          <w:bCs/>
          <w:rtl/>
          <w:lang w:eastAsia="de-DE"/>
        </w:rPr>
        <w:t>ונתתי</w:t>
      </w:r>
      <w:r w:rsidRPr="00CC6F7E">
        <w:rPr>
          <w:rFonts w:eastAsia="Times New Roman" w:cs="Times New Roman"/>
          <w:rtl/>
          <w:lang w:eastAsia="de-DE"/>
        </w:rPr>
        <w:t xml:space="preserve"> </w:t>
      </w:r>
      <w:r w:rsidRPr="00CC6F7E">
        <w:rPr>
          <w:rFonts w:eastAsia="Times New Roman" w:cs="Times New Roman"/>
          <w:lang w:eastAsia="de-DE"/>
        </w:rPr>
        <w:t xml:space="preserve">entspricht den Segens-Verheißungen, hier aber als Fluch. </w:t>
      </w:r>
      <w:r w:rsidRPr="00CC6F7E">
        <w:rPr>
          <w:rFonts w:eastAsia="Times New Roman" w:cs="Times New Roman"/>
          <w:b/>
          <w:bCs/>
          <w:rtl/>
          <w:lang w:eastAsia="de-DE"/>
        </w:rPr>
        <w:t>עריכם</w:t>
      </w:r>
      <w:r w:rsidRPr="00CC6F7E">
        <w:rPr>
          <w:rFonts w:eastAsia="Times New Roman" w:cs="Times New Roman"/>
          <w:rtl/>
          <w:lang w:eastAsia="de-DE"/>
        </w:rPr>
        <w:t xml:space="preserve"> </w:t>
      </w:r>
      <w:r w:rsidRPr="00CC6F7E">
        <w:rPr>
          <w:rFonts w:eastAsia="Times New Roman" w:cs="Times New Roman"/>
          <w:lang w:eastAsia="de-DE"/>
        </w:rPr>
        <w:t xml:space="preserve">(eure Städte) zeigt urbane Zentren. </w:t>
      </w:r>
      <w:r w:rsidRPr="00CC6F7E">
        <w:rPr>
          <w:rFonts w:eastAsia="Times New Roman" w:cs="Times New Roman"/>
          <w:b/>
          <w:bCs/>
          <w:rtl/>
          <w:lang w:eastAsia="de-DE"/>
        </w:rPr>
        <w:t>חרבה</w:t>
      </w:r>
      <w:r w:rsidRPr="00CC6F7E">
        <w:rPr>
          <w:rFonts w:eastAsia="Times New Roman" w:cs="Times New Roman"/>
          <w:rtl/>
          <w:lang w:eastAsia="de-DE"/>
        </w:rPr>
        <w:t xml:space="preserve"> </w:t>
      </w:r>
      <w:r w:rsidRPr="00CC6F7E">
        <w:rPr>
          <w:rFonts w:eastAsia="Times New Roman" w:cs="Times New Roman"/>
          <w:lang w:eastAsia="de-DE"/>
        </w:rPr>
        <w:t xml:space="preserve">(zur Ruine) von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zeigt Zerstörung und Verödung.</w:t>
      </w:r>
    </w:p>
    <w:p w14:paraId="66E8B4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והשמותי את־מקדשיכם</w:t>
      </w:r>
      <w:r w:rsidRPr="00CC6F7E">
        <w:rPr>
          <w:rFonts w:eastAsia="Times New Roman" w:cs="Times New Roman"/>
          <w:rtl/>
          <w:lang w:eastAsia="de-DE"/>
        </w:rPr>
        <w:t xml:space="preserve"> </w:t>
      </w:r>
      <w:r w:rsidRPr="00CC6F7E">
        <w:rPr>
          <w:rFonts w:eastAsia="Times New Roman" w:cs="Times New Roman"/>
          <w:lang w:eastAsia="de-DE"/>
        </w:rPr>
        <w:t xml:space="preserve">(und eure Heiligtümer verwüsten) - </w:t>
      </w:r>
      <w:r w:rsidRPr="00CC6F7E">
        <w:rPr>
          <w:rFonts w:eastAsia="Times New Roman" w:cs="Times New Roman"/>
          <w:b/>
          <w:bCs/>
          <w:rtl/>
          <w:lang w:eastAsia="de-DE"/>
        </w:rPr>
        <w:t>והשמותי</w:t>
      </w:r>
      <w:r w:rsidRPr="00CC6F7E">
        <w:rPr>
          <w:rFonts w:eastAsia="Times New Roman" w:cs="Times New Roman"/>
          <w:rtl/>
          <w:lang w:eastAsia="de-DE"/>
        </w:rPr>
        <w:t xml:space="preserve"> </w:t>
      </w:r>
      <w:r w:rsidRPr="00CC6F7E">
        <w:rPr>
          <w:rFonts w:eastAsia="Times New Roman" w:cs="Times New Roman"/>
          <w:lang w:eastAsia="de-DE"/>
        </w:rPr>
        <w:t xml:space="preserve">(und ich werde verwüsten) im Hifil-Perfekt von </w:t>
      </w:r>
      <w:r w:rsidRPr="00CC6F7E">
        <w:rPr>
          <w:rFonts w:eastAsia="Times New Roman" w:cs="Times New Roman"/>
          <w:b/>
          <w:bCs/>
          <w:rtl/>
          <w:lang w:eastAsia="de-DE"/>
        </w:rPr>
        <w:t>שמם</w:t>
      </w:r>
      <w:r w:rsidRPr="00CC6F7E">
        <w:rPr>
          <w:rFonts w:eastAsia="Times New Roman" w:cs="Times New Roman"/>
          <w:lang w:eastAsia="de-DE"/>
        </w:rPr>
        <w:t xml:space="preserve">. </w:t>
      </w:r>
      <w:r w:rsidRPr="00CC6F7E">
        <w:rPr>
          <w:rFonts w:eastAsia="Times New Roman" w:cs="Times New Roman"/>
          <w:b/>
          <w:bCs/>
          <w:rtl/>
          <w:lang w:eastAsia="de-DE"/>
        </w:rPr>
        <w:t>מקדשיכם</w:t>
      </w:r>
      <w:r w:rsidRPr="00CC6F7E">
        <w:rPr>
          <w:rFonts w:eastAsia="Times New Roman" w:cs="Times New Roman"/>
          <w:rtl/>
          <w:lang w:eastAsia="de-DE"/>
        </w:rPr>
        <w:t xml:space="preserve"> </w:t>
      </w:r>
      <w:r w:rsidRPr="00CC6F7E">
        <w:rPr>
          <w:rFonts w:eastAsia="Times New Roman" w:cs="Times New Roman"/>
          <w:lang w:eastAsia="de-DE"/>
        </w:rPr>
        <w:t>(eure Heiligtümer) zeigt sowohl legitime (Stiftszelt/Tempel) als auch illegitime Heiligtümer. Die Verwüstung erfasst alle kultischen Stätten.</w:t>
      </w:r>
    </w:p>
    <w:p w14:paraId="0873530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 אריח בריח ניחחכם</w:t>
      </w:r>
      <w:r w:rsidRPr="00CC6F7E">
        <w:rPr>
          <w:rFonts w:eastAsia="Times New Roman" w:cs="Times New Roman"/>
          <w:rtl/>
          <w:lang w:eastAsia="de-DE"/>
        </w:rPr>
        <w:t xml:space="preserve"> </w:t>
      </w:r>
      <w:r w:rsidRPr="00CC6F7E">
        <w:rPr>
          <w:rFonts w:eastAsia="Times New Roman" w:cs="Times New Roman"/>
          <w:lang w:eastAsia="de-DE"/>
        </w:rPr>
        <w:t xml:space="preserve">(und ich werde nicht riechen an dem Duft eurer Besänftigungen) - </w:t>
      </w:r>
      <w:r w:rsidRPr="00CC6F7E">
        <w:rPr>
          <w:rFonts w:eastAsia="Times New Roman" w:cs="Times New Roman"/>
          <w:b/>
          <w:bCs/>
          <w:rtl/>
          <w:lang w:eastAsia="de-DE"/>
        </w:rPr>
        <w:t>לא אריח</w:t>
      </w:r>
      <w:r w:rsidRPr="00CC6F7E">
        <w:rPr>
          <w:rFonts w:eastAsia="Times New Roman" w:cs="Times New Roman"/>
          <w:rtl/>
          <w:lang w:eastAsia="de-DE"/>
        </w:rPr>
        <w:t xml:space="preserve"> </w:t>
      </w:r>
      <w:r w:rsidRPr="00CC6F7E">
        <w:rPr>
          <w:rFonts w:eastAsia="Times New Roman" w:cs="Times New Roman"/>
          <w:lang w:eastAsia="de-DE"/>
        </w:rPr>
        <w:t xml:space="preserve">(ich werde nicht riechen) im Hifil-Imperfekt von </w:t>
      </w:r>
      <w:r w:rsidRPr="00CC6F7E">
        <w:rPr>
          <w:rFonts w:eastAsia="Times New Roman" w:cs="Times New Roman"/>
          <w:b/>
          <w:bCs/>
          <w:rtl/>
          <w:lang w:eastAsia="de-DE"/>
        </w:rPr>
        <w:t>רוח</w:t>
      </w:r>
      <w:r w:rsidRPr="00CC6F7E">
        <w:rPr>
          <w:rFonts w:eastAsia="Times New Roman" w:cs="Times New Roman"/>
          <w:rtl/>
          <w:lang w:eastAsia="de-DE"/>
        </w:rPr>
        <w:t xml:space="preserve"> </w:t>
      </w:r>
      <w:r w:rsidRPr="00CC6F7E">
        <w:rPr>
          <w:rFonts w:eastAsia="Times New Roman" w:cs="Times New Roman"/>
          <w:lang w:eastAsia="de-DE"/>
        </w:rPr>
        <w:t xml:space="preserve">zeigt Verweigerung göttlicher Annahme. </w:t>
      </w:r>
      <w:r w:rsidRPr="00CC6F7E">
        <w:rPr>
          <w:rFonts w:eastAsia="Times New Roman" w:cs="Times New Roman"/>
          <w:b/>
          <w:bCs/>
          <w:rtl/>
          <w:lang w:eastAsia="de-DE"/>
        </w:rPr>
        <w:t>בריח ניחחכם</w:t>
      </w:r>
      <w:r w:rsidRPr="00CC6F7E">
        <w:rPr>
          <w:rFonts w:eastAsia="Times New Roman" w:cs="Times New Roman"/>
          <w:rtl/>
          <w:lang w:eastAsia="de-DE"/>
        </w:rPr>
        <w:t xml:space="preserve"> </w:t>
      </w:r>
      <w:r w:rsidRPr="00CC6F7E">
        <w:rPr>
          <w:rFonts w:eastAsia="Times New Roman" w:cs="Times New Roman"/>
          <w:lang w:eastAsia="de-DE"/>
        </w:rPr>
        <w:t xml:space="preserve">(am Duft eurer Besänftigungen) - </w:t>
      </w:r>
      <w:r w:rsidRPr="00CC6F7E">
        <w:rPr>
          <w:rFonts w:eastAsia="Times New Roman" w:cs="Times New Roman"/>
          <w:b/>
          <w:bCs/>
          <w:rtl/>
          <w:lang w:eastAsia="de-DE"/>
        </w:rPr>
        <w:t>ריח ניחח</w:t>
      </w:r>
      <w:r w:rsidRPr="00CC6F7E">
        <w:rPr>
          <w:rFonts w:eastAsia="Times New Roman" w:cs="Times New Roman"/>
          <w:rtl/>
          <w:lang w:eastAsia="de-DE"/>
        </w:rPr>
        <w:t xml:space="preserve"> </w:t>
      </w:r>
      <w:r w:rsidRPr="00CC6F7E">
        <w:rPr>
          <w:rFonts w:eastAsia="Times New Roman" w:cs="Times New Roman"/>
          <w:lang w:eastAsia="de-DE"/>
        </w:rPr>
        <w:t>(lieblicher Duft) ist die klassische Opfer-Annahme-Formel, hier verweigert.</w:t>
      </w:r>
    </w:p>
    <w:p w14:paraId="4B4511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עריכם חרבה</w:t>
      </w:r>
      <w:r w:rsidRPr="00CC6F7E">
        <w:rPr>
          <w:rFonts w:eastAsia="Times New Roman" w:cs="Times New Roman"/>
          <w:rtl/>
          <w:lang w:eastAsia="de-DE"/>
        </w:rPr>
        <w:t xml:space="preserve"> </w:t>
      </w:r>
      <w:r w:rsidRPr="00CC6F7E">
        <w:rPr>
          <w:rFonts w:eastAsia="Times New Roman" w:cs="Times New Roman"/>
          <w:lang w:eastAsia="de-DE"/>
        </w:rPr>
        <w:t xml:space="preserve">zeigt städtische Totalzerstörung. </w:t>
      </w:r>
      <w:r w:rsidRPr="00CC6F7E">
        <w:rPr>
          <w:rFonts w:eastAsia="Times New Roman" w:cs="Times New Roman"/>
          <w:b/>
          <w:bCs/>
          <w:rtl/>
          <w:lang w:eastAsia="de-DE"/>
        </w:rPr>
        <w:t>מקדשיכם</w:t>
      </w:r>
      <w:r w:rsidRPr="00CC6F7E">
        <w:rPr>
          <w:rFonts w:eastAsia="Times New Roman" w:cs="Times New Roman"/>
          <w:rtl/>
          <w:lang w:eastAsia="de-DE"/>
        </w:rPr>
        <w:t xml:space="preserve"> </w:t>
      </w:r>
      <w:r w:rsidRPr="00CC6F7E">
        <w:rPr>
          <w:rFonts w:eastAsia="Times New Roman" w:cs="Times New Roman"/>
          <w:lang w:eastAsia="de-DE"/>
        </w:rPr>
        <w:t xml:space="preserve">zeigt kultische Verwüstung. </w:t>
      </w:r>
      <w:r w:rsidRPr="00CC6F7E">
        <w:rPr>
          <w:rFonts w:eastAsia="Times New Roman" w:cs="Times New Roman"/>
          <w:b/>
          <w:bCs/>
          <w:rtl/>
          <w:lang w:eastAsia="de-DE"/>
        </w:rPr>
        <w:t>לא אריח בריח ניחחכם</w:t>
      </w:r>
      <w:r w:rsidRPr="00CC6F7E">
        <w:rPr>
          <w:rFonts w:eastAsia="Times New Roman" w:cs="Times New Roman"/>
          <w:rtl/>
          <w:lang w:eastAsia="de-DE"/>
        </w:rPr>
        <w:t xml:space="preserve"> </w:t>
      </w:r>
      <w:r w:rsidRPr="00CC6F7E">
        <w:rPr>
          <w:rFonts w:eastAsia="Times New Roman" w:cs="Times New Roman"/>
          <w:lang w:eastAsia="de-DE"/>
        </w:rPr>
        <w:t>zeigt Opfer-Verweigerung als schwerste kultische Strafe.</w:t>
      </w:r>
    </w:p>
    <w:p w14:paraId="33C03308" w14:textId="587CC56E"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interpretiert </w:t>
      </w:r>
      <w:r w:rsidR="00274C29">
        <w:rPr>
          <w:rtl/>
        </w:rPr>
        <w:t>ריח ניחח</w:t>
      </w:r>
      <w:r w:rsidR="00274C29">
        <w:t xml:space="preserve"> (</w:t>
      </w:r>
      <w:proofErr w:type="spellStart"/>
      <w:r w:rsidR="00274C29">
        <w:t>reiach</w:t>
      </w:r>
      <w:proofErr w:type="spellEnd"/>
      <w:r w:rsidR="00274C29">
        <w:t xml:space="preserve"> </w:t>
      </w:r>
      <w:proofErr w:type="spellStart"/>
      <w:r w:rsidR="00274C29">
        <w:t>nichoach</w:t>
      </w:r>
      <w:proofErr w:type="spellEnd"/>
      <w:r w:rsidR="00274C29">
        <w:t xml:space="preserve"> - "lieblicher Duft") als </w:t>
      </w:r>
      <w:proofErr w:type="spellStart"/>
      <w:r w:rsidR="00274C29">
        <w:t>ὀσμὴν</w:t>
      </w:r>
      <w:proofErr w:type="spellEnd"/>
      <w:r w:rsidR="00274C29">
        <w:t xml:space="preserve"> </w:t>
      </w:r>
      <w:proofErr w:type="spellStart"/>
      <w:r w:rsidR="00274C29">
        <w:t>εὐωδί</w:t>
      </w:r>
      <w:proofErr w:type="spellEnd"/>
      <w:r w:rsidR="00274C29">
        <w:t>ας (Duft des Wohlgeruchs).</w:t>
      </w:r>
    </w:p>
    <w:p w14:paraId="6F7292B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totale Verwüstung: Städte zur Ruine machen + Heiligtümer verwüsten + nicht riechen an Duft eurer Besänftigungen.</w:t>
      </w:r>
    </w:p>
    <w:p w14:paraId="197299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Zerstörung aller menschlichen Zivilisation (Städte) und die Verweigerung göttlicher Kultannahme.</w:t>
      </w:r>
    </w:p>
    <w:p w14:paraId="5C85C65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26,32</w:t>
      </w:r>
    </w:p>
    <w:p w14:paraId="1317F37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וַהֲשִׁמֹּתִ֥י אֲנִ֖י אֶת־הָאָ֑רֶץ וְשָֽׁמְמ֤וּ עָלֶ֨יהָ֙ אֹֽיְבֵיכֶ֔ם הַיֹּשְׁבִ֖ים בָּֽהּ׃</w:t>
      </w:r>
    </w:p>
    <w:p w14:paraId="18E4FF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das Land verwüsten, dass eure Feinde, die darin wohnen, sich darüber entsetzen sollen.</w:t>
      </w:r>
    </w:p>
    <w:p w14:paraId="2429582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FD3FA8B">
          <v:rect id="_x0000_i1835" style="width:0;height:1.5pt" o:hralign="center" o:hrstd="t" o:hr="t" fillcolor="#a0a0a0" stroked="f"/>
        </w:pict>
      </w:r>
    </w:p>
    <w:p w14:paraId="612723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והשמתי אני את־הארץ ושממו עליה איביכם הישבים בה</w:t>
      </w:r>
      <w:r w:rsidRPr="00CC6F7E">
        <w:rPr>
          <w:rFonts w:eastAsia="Times New Roman" w:cs="Times New Roman"/>
          <w:rtl/>
          <w:lang w:eastAsia="de-DE"/>
        </w:rPr>
        <w:t xml:space="preserve"> </w:t>
      </w:r>
      <w:r w:rsidRPr="00CC6F7E">
        <w:rPr>
          <w:rFonts w:eastAsia="Times New Roman" w:cs="Times New Roman"/>
          <w:lang w:eastAsia="de-DE"/>
        </w:rPr>
        <w:t xml:space="preserve">zeigt die totale Landverwüstung. </w:t>
      </w:r>
      <w:r w:rsidRPr="00CC6F7E">
        <w:rPr>
          <w:rFonts w:eastAsia="Times New Roman" w:cs="Times New Roman"/>
          <w:b/>
          <w:bCs/>
          <w:rtl/>
          <w:lang w:eastAsia="de-DE"/>
        </w:rPr>
        <w:t>והשמתי אני את־הארץ</w:t>
      </w:r>
      <w:r w:rsidRPr="00CC6F7E">
        <w:rPr>
          <w:rFonts w:eastAsia="Times New Roman" w:cs="Times New Roman"/>
          <w:rtl/>
          <w:lang w:eastAsia="de-DE"/>
        </w:rPr>
        <w:t xml:space="preserve"> </w:t>
      </w:r>
      <w:r w:rsidRPr="00CC6F7E">
        <w:rPr>
          <w:rFonts w:eastAsia="Times New Roman" w:cs="Times New Roman"/>
          <w:lang w:eastAsia="de-DE"/>
        </w:rPr>
        <w:t xml:space="preserve">(und ich werde das Land verwüsten) - </w:t>
      </w:r>
      <w:r w:rsidRPr="00CC6F7E">
        <w:rPr>
          <w:rFonts w:eastAsia="Times New Roman" w:cs="Times New Roman"/>
          <w:b/>
          <w:bCs/>
          <w:rtl/>
          <w:lang w:eastAsia="de-DE"/>
        </w:rPr>
        <w:t>והשמתי אני</w:t>
      </w:r>
      <w:r w:rsidRPr="00CC6F7E">
        <w:rPr>
          <w:rFonts w:eastAsia="Times New Roman" w:cs="Times New Roman"/>
          <w:rtl/>
          <w:lang w:eastAsia="de-DE"/>
        </w:rPr>
        <w:t xml:space="preserve"> </w:t>
      </w:r>
      <w:r w:rsidRPr="00CC6F7E">
        <w:rPr>
          <w:rFonts w:eastAsia="Times New Roman" w:cs="Times New Roman"/>
          <w:lang w:eastAsia="de-DE"/>
        </w:rPr>
        <w:t xml:space="preserve">(und ich werde verwüsten) mit betontem </w:t>
      </w:r>
      <w:r w:rsidRPr="00CC6F7E">
        <w:rPr>
          <w:rFonts w:eastAsia="Times New Roman" w:cs="Times New Roman"/>
          <w:b/>
          <w:bCs/>
          <w:rtl/>
          <w:lang w:eastAsia="de-DE"/>
        </w:rPr>
        <w:t>אני</w:t>
      </w:r>
      <w:r w:rsidRPr="00CC6F7E">
        <w:rPr>
          <w:rFonts w:eastAsia="Times New Roman" w:cs="Times New Roman"/>
          <w:rtl/>
          <w:lang w:eastAsia="de-DE"/>
        </w:rPr>
        <w:t xml:space="preserve"> </w:t>
      </w:r>
      <w:r w:rsidRPr="00CC6F7E">
        <w:rPr>
          <w:rFonts w:eastAsia="Times New Roman" w:cs="Times New Roman"/>
          <w:lang w:eastAsia="de-DE"/>
        </w:rPr>
        <w:t xml:space="preserve">(ich) zeigt göttliche Eigenaktivität. </w:t>
      </w:r>
      <w:r w:rsidRPr="00CC6F7E">
        <w:rPr>
          <w:rFonts w:eastAsia="Times New Roman" w:cs="Times New Roman"/>
          <w:b/>
          <w:bCs/>
          <w:rtl/>
          <w:lang w:eastAsia="de-DE"/>
        </w:rPr>
        <w:t>את־הארץ</w:t>
      </w:r>
      <w:r w:rsidRPr="00CC6F7E">
        <w:rPr>
          <w:rFonts w:eastAsia="Times New Roman" w:cs="Times New Roman"/>
          <w:rtl/>
          <w:lang w:eastAsia="de-DE"/>
        </w:rPr>
        <w:t xml:space="preserve"> </w:t>
      </w:r>
      <w:r w:rsidRPr="00CC6F7E">
        <w:rPr>
          <w:rFonts w:eastAsia="Times New Roman" w:cs="Times New Roman"/>
          <w:lang w:eastAsia="de-DE"/>
        </w:rPr>
        <w:t>(das Land) zeigt das verheißene Land als Verwüstungsobjekt.</w:t>
      </w:r>
    </w:p>
    <w:p w14:paraId="3592C827" w14:textId="4BAFF0CD"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ושממו עליה איביכם הישבים בה</w:t>
      </w:r>
      <w:r w:rsidRPr="00CC6F7E">
        <w:rPr>
          <w:rFonts w:eastAsia="Times New Roman" w:cs="Times New Roman"/>
          <w:rtl/>
          <w:lang w:eastAsia="de-DE"/>
        </w:rPr>
        <w:t xml:space="preserve"> </w:t>
      </w:r>
      <w:r w:rsidRPr="00CC6F7E">
        <w:rPr>
          <w:rFonts w:eastAsia="Times New Roman" w:cs="Times New Roman"/>
          <w:lang w:eastAsia="de-DE"/>
        </w:rPr>
        <w:t>(</w:t>
      </w:r>
      <w:r w:rsidR="000024AA" w:rsidRPr="00CC6F7E">
        <w:rPr>
          <w:rFonts w:eastAsia="Times New Roman" w:cs="Times New Roman"/>
          <w:lang w:eastAsia="de-DE"/>
        </w:rPr>
        <w:t>das</w:t>
      </w:r>
      <w:r w:rsidRPr="00CC6F7E">
        <w:rPr>
          <w:rFonts w:eastAsia="Times New Roman" w:cs="Times New Roman"/>
          <w:lang w:eastAsia="de-DE"/>
        </w:rPr>
        <w:t xml:space="preserve"> eure Feinde, die darin wohnen, sich darüber entsetzen sollen) - </w:t>
      </w:r>
      <w:r w:rsidRPr="00CC6F7E">
        <w:rPr>
          <w:rFonts w:eastAsia="Times New Roman" w:cs="Times New Roman"/>
          <w:b/>
          <w:bCs/>
          <w:rtl/>
          <w:lang w:eastAsia="de-DE"/>
        </w:rPr>
        <w:t>ושממו עליה</w:t>
      </w:r>
      <w:r w:rsidRPr="00CC6F7E">
        <w:rPr>
          <w:rFonts w:eastAsia="Times New Roman" w:cs="Times New Roman"/>
          <w:rtl/>
          <w:lang w:eastAsia="de-DE"/>
        </w:rPr>
        <w:t xml:space="preserve"> </w:t>
      </w:r>
      <w:r w:rsidRPr="00CC6F7E">
        <w:rPr>
          <w:rFonts w:eastAsia="Times New Roman" w:cs="Times New Roman"/>
          <w:lang w:eastAsia="de-DE"/>
        </w:rPr>
        <w:t xml:space="preserve">(und sie werden sich entsetzen über sie) im Qal-Perfekt von </w:t>
      </w:r>
      <w:r w:rsidRPr="00CC6F7E">
        <w:rPr>
          <w:rFonts w:eastAsia="Times New Roman" w:cs="Times New Roman"/>
          <w:b/>
          <w:bCs/>
          <w:rtl/>
          <w:lang w:eastAsia="de-DE"/>
        </w:rPr>
        <w:t>שמם</w:t>
      </w:r>
      <w:r w:rsidRPr="00CC6F7E">
        <w:rPr>
          <w:rFonts w:eastAsia="Times New Roman" w:cs="Times New Roman"/>
          <w:rtl/>
          <w:lang w:eastAsia="de-DE"/>
        </w:rPr>
        <w:t xml:space="preserve"> </w:t>
      </w:r>
      <w:r w:rsidRPr="00CC6F7E">
        <w:rPr>
          <w:rFonts w:eastAsia="Times New Roman" w:cs="Times New Roman"/>
          <w:lang w:eastAsia="de-DE"/>
        </w:rPr>
        <w:t xml:space="preserve">zeigt Entsetzen als Reaktion. </w:t>
      </w:r>
      <w:r w:rsidRPr="00CC6F7E">
        <w:rPr>
          <w:rFonts w:eastAsia="Times New Roman" w:cs="Times New Roman"/>
          <w:b/>
          <w:bCs/>
          <w:rtl/>
          <w:lang w:eastAsia="de-DE"/>
        </w:rPr>
        <w:t>איביכם הישבים בה</w:t>
      </w:r>
      <w:r w:rsidRPr="00CC6F7E">
        <w:rPr>
          <w:rFonts w:eastAsia="Times New Roman" w:cs="Times New Roman"/>
          <w:rtl/>
          <w:lang w:eastAsia="de-DE"/>
        </w:rPr>
        <w:t xml:space="preserve"> </w:t>
      </w:r>
      <w:r w:rsidRPr="00CC6F7E">
        <w:rPr>
          <w:rFonts w:eastAsia="Times New Roman" w:cs="Times New Roman"/>
          <w:lang w:eastAsia="de-DE"/>
        </w:rPr>
        <w:t>(eure Feinde, die darin wohnen) zeigt dass Feinde das Land besetzt haben, aber selbst diese sind entsetzt über das Ausmaß der Verwüstung.</w:t>
      </w:r>
    </w:p>
    <w:p w14:paraId="5B1546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והשמתי אני את־הארץ</w:t>
      </w:r>
      <w:r w:rsidRPr="00CC6F7E">
        <w:rPr>
          <w:rFonts w:eastAsia="Times New Roman" w:cs="Times New Roman"/>
          <w:rtl/>
          <w:lang w:eastAsia="de-DE"/>
        </w:rPr>
        <w:t xml:space="preserve"> </w:t>
      </w:r>
      <w:r w:rsidRPr="00CC6F7E">
        <w:rPr>
          <w:rFonts w:eastAsia="Times New Roman" w:cs="Times New Roman"/>
          <w:lang w:eastAsia="de-DE"/>
        </w:rPr>
        <w:t xml:space="preserve">zeigt persönliche göttliche Verwüstung des Verheißungslandes. </w:t>
      </w:r>
      <w:r w:rsidRPr="00CC6F7E">
        <w:rPr>
          <w:rFonts w:eastAsia="Times New Roman" w:cs="Times New Roman"/>
          <w:b/>
          <w:bCs/>
          <w:rtl/>
          <w:lang w:eastAsia="de-DE"/>
        </w:rPr>
        <w:t>ושממו עליה איביכם</w:t>
      </w:r>
      <w:r w:rsidRPr="00CC6F7E">
        <w:rPr>
          <w:rFonts w:eastAsia="Times New Roman" w:cs="Times New Roman"/>
          <w:rtl/>
          <w:lang w:eastAsia="de-DE"/>
        </w:rPr>
        <w:t xml:space="preserve"> </w:t>
      </w:r>
      <w:r w:rsidRPr="00CC6F7E">
        <w:rPr>
          <w:rFonts w:eastAsia="Times New Roman" w:cs="Times New Roman"/>
          <w:lang w:eastAsia="de-DE"/>
        </w:rPr>
        <w:t>zeigt dass selbst die siegreichen Feinde entsetzt sind über das Verwüstungsausmaß.</w:t>
      </w:r>
    </w:p>
    <w:p w14:paraId="5A39B2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והשמתי אני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ἐρημώσω</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ἐγώ</w:t>
      </w:r>
      <w:proofErr w:type="spellEnd"/>
      <w:r w:rsidRPr="00CC6F7E">
        <w:rPr>
          <w:rFonts w:eastAsia="Times New Roman" w:cs="Times New Roman"/>
          <w:lang w:eastAsia="de-DE"/>
        </w:rPr>
        <w:t xml:space="preserve"> (werde ich veröden), </w:t>
      </w:r>
      <w:r w:rsidRPr="00CC6F7E">
        <w:rPr>
          <w:rFonts w:eastAsia="Times New Roman" w:cs="Times New Roman"/>
          <w:b/>
          <w:bCs/>
          <w:rtl/>
          <w:lang w:eastAsia="de-DE"/>
        </w:rPr>
        <w:t>ושממו עליה</w:t>
      </w:r>
      <w:r w:rsidRPr="00CC6F7E">
        <w:rPr>
          <w:rFonts w:eastAsia="Times New Roman" w:cs="Times New Roman"/>
          <w:rtl/>
          <w:lang w:eastAsia="de-DE"/>
        </w:rPr>
        <w:t xml:space="preserve"> </w:t>
      </w:r>
      <w:r w:rsidRPr="00CC6F7E">
        <w:rPr>
          <w:rFonts w:eastAsia="Times New Roman" w:cs="Times New Roman"/>
          <w:lang w:eastAsia="de-DE"/>
        </w:rPr>
        <w:t>mit θα</w:t>
      </w:r>
      <w:proofErr w:type="spellStart"/>
      <w:r w:rsidRPr="00CC6F7E">
        <w:rPr>
          <w:rFonts w:eastAsia="Times New Roman" w:cs="Times New Roman"/>
          <w:lang w:eastAsia="de-DE"/>
        </w:rPr>
        <w:t>υμάσοντ</w:t>
      </w:r>
      <w:proofErr w:type="spellEnd"/>
      <w:r w:rsidRPr="00CC6F7E">
        <w:rPr>
          <w:rFonts w:eastAsia="Times New Roman" w:cs="Times New Roman"/>
          <w:lang w:eastAsia="de-DE"/>
        </w:rPr>
        <w:t>αι ἐπ᾽ α</w:t>
      </w:r>
      <w:proofErr w:type="spellStart"/>
      <w:r w:rsidRPr="00CC6F7E">
        <w:rPr>
          <w:rFonts w:eastAsia="Times New Roman" w:cs="Times New Roman"/>
          <w:lang w:eastAsia="de-DE"/>
        </w:rPr>
        <w:t>ὐτῇ</w:t>
      </w:r>
      <w:proofErr w:type="spellEnd"/>
      <w:r w:rsidRPr="00CC6F7E">
        <w:rPr>
          <w:rFonts w:eastAsia="Times New Roman" w:cs="Times New Roman"/>
          <w:lang w:eastAsia="de-DE"/>
        </w:rPr>
        <w:t xml:space="preserve"> (werden sich wundern über sie) und </w:t>
      </w:r>
      <w:r w:rsidRPr="00CC6F7E">
        <w:rPr>
          <w:rFonts w:eastAsia="Times New Roman" w:cs="Times New Roman"/>
          <w:b/>
          <w:bCs/>
          <w:rtl/>
          <w:lang w:eastAsia="de-DE"/>
        </w:rPr>
        <w:t>איביכם הישבים בה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οἱ</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ἐχθροὶ</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οἱ</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ἐνοικοῦντες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ὐτῇ</w:t>
      </w:r>
      <w:proofErr w:type="spellEnd"/>
      <w:r w:rsidRPr="00CC6F7E">
        <w:rPr>
          <w:rFonts w:eastAsia="Times New Roman" w:cs="Times New Roman"/>
          <w:lang w:eastAsia="de-DE"/>
        </w:rPr>
        <w:t xml:space="preserve"> (eure Feinde, die in ihr wohnen).</w:t>
      </w:r>
    </w:p>
    <w:p w14:paraId="7279531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Land-Totalverwüstung: ich werde das Land verwüsten + eure Feinde werden darüber entsetzt sein + die darin wohnen.</w:t>
      </w:r>
    </w:p>
    <w:p w14:paraId="337578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paradoxe Situation: Selbst die siegreichen Feinde sind entsetzt über das Ausmaß der göttlichen Landverwüstung.</w:t>
      </w:r>
    </w:p>
    <w:p w14:paraId="3C9D2DC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26,33</w:t>
      </w:r>
    </w:p>
    <w:p w14:paraId="74F307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וְאֶתְכֶם֙ אֱזָרֶ֣ה בַגּוֹיִ֔ם וַהֲרִיקֹתִ֥י אַחֲרֵיכֶ֖ם חָ֑רֶב וְהָיְתָ֤ה אַרְצְכֶם֙ שְׁמָמָ֔ה וְעָרֵיכֶ֖ם יִהְי֥וּ חָרְבָּֽה׃</w:t>
      </w:r>
    </w:p>
    <w:p w14:paraId="2A649DC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Euch aber werde ich unter die Nationen zerstreuen, und ich werde das Schwert hinter euch her ziehen; und euer Land wird eine Wüste sein und eure Städte eine Öde.</w:t>
      </w:r>
    </w:p>
    <w:p w14:paraId="7104D43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23FA43A">
          <v:rect id="_x0000_i1836" style="width:0;height:1.5pt" o:hralign="center" o:hrstd="t" o:hr="t" fillcolor="#a0a0a0" stroked="f"/>
        </w:pict>
      </w:r>
    </w:p>
    <w:p w14:paraId="614D6F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ואתכם אזרה בגוים והריקתי אחריכם חרב והיתה ארצכם שממה ועריכם יהיו חרבה</w:t>
      </w:r>
      <w:r w:rsidRPr="00CC6F7E">
        <w:rPr>
          <w:rFonts w:eastAsia="Times New Roman" w:cs="Times New Roman"/>
          <w:rtl/>
          <w:lang w:eastAsia="de-DE"/>
        </w:rPr>
        <w:t xml:space="preserve"> </w:t>
      </w:r>
      <w:r w:rsidRPr="00CC6F7E">
        <w:rPr>
          <w:rFonts w:eastAsia="Times New Roman" w:cs="Times New Roman"/>
          <w:lang w:eastAsia="de-DE"/>
        </w:rPr>
        <w:t xml:space="preserve">zeigt Zerstreuung und anhaltende Verfolgung. </w:t>
      </w:r>
      <w:r w:rsidRPr="00CC6F7E">
        <w:rPr>
          <w:rFonts w:eastAsia="Times New Roman" w:cs="Times New Roman"/>
          <w:b/>
          <w:bCs/>
          <w:rtl/>
          <w:lang w:eastAsia="de-DE"/>
        </w:rPr>
        <w:t>ואתכם אזרה בגוים</w:t>
      </w:r>
      <w:r w:rsidRPr="00CC6F7E">
        <w:rPr>
          <w:rFonts w:eastAsia="Times New Roman" w:cs="Times New Roman"/>
          <w:rtl/>
          <w:lang w:eastAsia="de-DE"/>
        </w:rPr>
        <w:t xml:space="preserve"> </w:t>
      </w:r>
      <w:r w:rsidRPr="00CC6F7E">
        <w:rPr>
          <w:rFonts w:eastAsia="Times New Roman" w:cs="Times New Roman"/>
          <w:lang w:eastAsia="de-DE"/>
        </w:rPr>
        <w:t xml:space="preserve">(euch aber werde ich unter die Nationen zerstreuen) - </w:t>
      </w:r>
      <w:r w:rsidRPr="00CC6F7E">
        <w:rPr>
          <w:rFonts w:eastAsia="Times New Roman" w:cs="Times New Roman"/>
          <w:b/>
          <w:bCs/>
          <w:rtl/>
          <w:lang w:eastAsia="de-DE"/>
        </w:rPr>
        <w:t>ואתכם</w:t>
      </w:r>
      <w:r w:rsidRPr="00CC6F7E">
        <w:rPr>
          <w:rFonts w:eastAsia="Times New Roman" w:cs="Times New Roman"/>
          <w:rtl/>
          <w:lang w:eastAsia="de-DE"/>
        </w:rPr>
        <w:t xml:space="preserve"> </w:t>
      </w:r>
      <w:r w:rsidRPr="00CC6F7E">
        <w:rPr>
          <w:rFonts w:eastAsia="Times New Roman" w:cs="Times New Roman"/>
          <w:lang w:eastAsia="de-DE"/>
        </w:rPr>
        <w:t xml:space="preserve">(und euch) betont das Volk im Gegensatz zum Land. </w:t>
      </w:r>
      <w:r w:rsidRPr="00CC6F7E">
        <w:rPr>
          <w:rFonts w:eastAsia="Times New Roman" w:cs="Times New Roman"/>
          <w:b/>
          <w:bCs/>
          <w:rtl/>
          <w:lang w:eastAsia="de-DE"/>
        </w:rPr>
        <w:t>אזרה</w:t>
      </w:r>
      <w:r w:rsidRPr="00CC6F7E">
        <w:rPr>
          <w:rFonts w:eastAsia="Times New Roman" w:cs="Times New Roman"/>
          <w:rtl/>
          <w:lang w:eastAsia="de-DE"/>
        </w:rPr>
        <w:t xml:space="preserve"> </w:t>
      </w:r>
      <w:r w:rsidRPr="00CC6F7E">
        <w:rPr>
          <w:rFonts w:eastAsia="Times New Roman" w:cs="Times New Roman"/>
          <w:lang w:eastAsia="de-DE"/>
        </w:rPr>
        <w:t xml:space="preserve">(ich werde zerstreuen) im Piel-Perfekt mit Waw-Konsekutiv von </w:t>
      </w:r>
      <w:r w:rsidRPr="00CC6F7E">
        <w:rPr>
          <w:rFonts w:eastAsia="Times New Roman" w:cs="Times New Roman"/>
          <w:b/>
          <w:bCs/>
          <w:rtl/>
          <w:lang w:eastAsia="de-DE"/>
        </w:rPr>
        <w:t>זרה</w:t>
      </w:r>
      <w:r w:rsidRPr="00CC6F7E">
        <w:rPr>
          <w:rFonts w:eastAsia="Times New Roman" w:cs="Times New Roman"/>
          <w:rtl/>
          <w:lang w:eastAsia="de-DE"/>
        </w:rPr>
        <w:t xml:space="preserve"> </w:t>
      </w:r>
      <w:r w:rsidRPr="00CC6F7E">
        <w:rPr>
          <w:rFonts w:eastAsia="Times New Roman" w:cs="Times New Roman"/>
          <w:lang w:eastAsia="de-DE"/>
        </w:rPr>
        <w:t xml:space="preserve">zeigt Diaspora. </w:t>
      </w:r>
      <w:r w:rsidRPr="00CC6F7E">
        <w:rPr>
          <w:rFonts w:eastAsia="Times New Roman" w:cs="Times New Roman"/>
          <w:b/>
          <w:bCs/>
          <w:rtl/>
          <w:lang w:eastAsia="de-DE"/>
        </w:rPr>
        <w:t>בגוים</w:t>
      </w:r>
      <w:r w:rsidRPr="00CC6F7E">
        <w:rPr>
          <w:rFonts w:eastAsia="Times New Roman" w:cs="Times New Roman"/>
          <w:rtl/>
          <w:lang w:eastAsia="de-DE"/>
        </w:rPr>
        <w:t xml:space="preserve"> </w:t>
      </w:r>
      <w:r w:rsidRPr="00CC6F7E">
        <w:rPr>
          <w:rFonts w:eastAsia="Times New Roman" w:cs="Times New Roman"/>
          <w:lang w:eastAsia="de-DE"/>
        </w:rPr>
        <w:t>(unter die Nationen) zeigt weltweite Verstreuung.</w:t>
      </w:r>
    </w:p>
    <w:p w14:paraId="72B222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והריקתי אחריכם חרב</w:t>
      </w:r>
      <w:r w:rsidRPr="00CC6F7E">
        <w:rPr>
          <w:rFonts w:eastAsia="Times New Roman" w:cs="Times New Roman"/>
          <w:rtl/>
          <w:lang w:eastAsia="de-DE"/>
        </w:rPr>
        <w:t xml:space="preserve"> </w:t>
      </w:r>
      <w:r w:rsidRPr="00CC6F7E">
        <w:rPr>
          <w:rFonts w:eastAsia="Times New Roman" w:cs="Times New Roman"/>
          <w:lang w:eastAsia="de-DE"/>
        </w:rPr>
        <w:t xml:space="preserve">(und ich werde das Schwert hinter euch her ziehen) - </w:t>
      </w:r>
      <w:r w:rsidRPr="00CC6F7E">
        <w:rPr>
          <w:rFonts w:eastAsia="Times New Roman" w:cs="Times New Roman"/>
          <w:b/>
          <w:bCs/>
          <w:rtl/>
          <w:lang w:eastAsia="de-DE"/>
        </w:rPr>
        <w:t>והריקתי</w:t>
      </w:r>
      <w:r w:rsidRPr="00CC6F7E">
        <w:rPr>
          <w:rFonts w:eastAsia="Times New Roman" w:cs="Times New Roman"/>
          <w:rtl/>
          <w:lang w:eastAsia="de-DE"/>
        </w:rPr>
        <w:t xml:space="preserve"> </w:t>
      </w:r>
      <w:r w:rsidRPr="00CC6F7E">
        <w:rPr>
          <w:rFonts w:eastAsia="Times New Roman" w:cs="Times New Roman"/>
          <w:lang w:eastAsia="de-DE"/>
        </w:rPr>
        <w:t xml:space="preserve">(und ich werde entblößen/ziehen) im Hifil-Perfekt von </w:t>
      </w:r>
      <w:r w:rsidRPr="00CC6F7E">
        <w:rPr>
          <w:rFonts w:eastAsia="Times New Roman" w:cs="Times New Roman"/>
          <w:b/>
          <w:bCs/>
          <w:rtl/>
          <w:lang w:eastAsia="de-DE"/>
        </w:rPr>
        <w:t>רוק</w:t>
      </w:r>
      <w:r w:rsidRPr="00CC6F7E">
        <w:rPr>
          <w:rFonts w:eastAsia="Times New Roman" w:cs="Times New Roman"/>
          <w:lang w:eastAsia="de-DE"/>
        </w:rPr>
        <w:t xml:space="preserve">. </w:t>
      </w:r>
      <w:r w:rsidRPr="00CC6F7E">
        <w:rPr>
          <w:rFonts w:eastAsia="Times New Roman" w:cs="Times New Roman"/>
          <w:b/>
          <w:bCs/>
          <w:rtl/>
          <w:lang w:eastAsia="de-DE"/>
        </w:rPr>
        <w:t>אחריכם</w:t>
      </w:r>
      <w:r w:rsidRPr="00CC6F7E">
        <w:rPr>
          <w:rFonts w:eastAsia="Times New Roman" w:cs="Times New Roman"/>
          <w:rtl/>
          <w:lang w:eastAsia="de-DE"/>
        </w:rPr>
        <w:t xml:space="preserve"> </w:t>
      </w:r>
      <w:r w:rsidRPr="00CC6F7E">
        <w:rPr>
          <w:rFonts w:eastAsia="Times New Roman" w:cs="Times New Roman"/>
          <w:lang w:eastAsia="de-DE"/>
        </w:rPr>
        <w:t xml:space="preserve">(hinter euch her) zeigt Verfolgung. </w:t>
      </w:r>
      <w:r w:rsidRPr="00CC6F7E">
        <w:rPr>
          <w:rFonts w:eastAsia="Times New Roman" w:cs="Times New Roman"/>
          <w:b/>
          <w:bCs/>
          <w:rtl/>
          <w:lang w:eastAsia="de-DE"/>
        </w:rPr>
        <w:t>חרב</w:t>
      </w:r>
      <w:r w:rsidRPr="00CC6F7E">
        <w:rPr>
          <w:rFonts w:eastAsia="Times New Roman" w:cs="Times New Roman"/>
          <w:rtl/>
          <w:lang w:eastAsia="de-DE"/>
        </w:rPr>
        <w:t xml:space="preserve"> </w:t>
      </w:r>
      <w:r w:rsidRPr="00CC6F7E">
        <w:rPr>
          <w:rFonts w:eastAsia="Times New Roman" w:cs="Times New Roman"/>
          <w:lang w:eastAsia="de-DE"/>
        </w:rPr>
        <w:t>(Schwert) zeigt anhaltende Kriegsbedrohung selbst in der Zerstreuung.</w:t>
      </w:r>
    </w:p>
    <w:p w14:paraId="36EDD4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והיתה ארצכם שממה ועריכם יהיו חרבה</w:t>
      </w:r>
      <w:r w:rsidRPr="00CC6F7E">
        <w:rPr>
          <w:rFonts w:eastAsia="Times New Roman" w:cs="Times New Roman"/>
          <w:rtl/>
          <w:lang w:eastAsia="de-DE"/>
        </w:rPr>
        <w:t xml:space="preserve"> </w:t>
      </w:r>
      <w:r w:rsidRPr="00CC6F7E">
        <w:rPr>
          <w:rFonts w:eastAsia="Times New Roman" w:cs="Times New Roman"/>
          <w:lang w:eastAsia="de-DE"/>
        </w:rPr>
        <w:t xml:space="preserve">(und euer Land wird eine Wüste sein und eure Städte eine Öde) - </w:t>
      </w:r>
      <w:r w:rsidRPr="00CC6F7E">
        <w:rPr>
          <w:rFonts w:eastAsia="Times New Roman" w:cs="Times New Roman"/>
          <w:b/>
          <w:bCs/>
          <w:rtl/>
          <w:lang w:eastAsia="de-DE"/>
        </w:rPr>
        <w:t>ארצכם שממה</w:t>
      </w:r>
      <w:r w:rsidRPr="00CC6F7E">
        <w:rPr>
          <w:rFonts w:eastAsia="Times New Roman" w:cs="Times New Roman"/>
          <w:rtl/>
          <w:lang w:eastAsia="de-DE"/>
        </w:rPr>
        <w:t xml:space="preserve"> </w:t>
      </w:r>
      <w:r w:rsidRPr="00CC6F7E">
        <w:rPr>
          <w:rFonts w:eastAsia="Times New Roman" w:cs="Times New Roman"/>
          <w:lang w:eastAsia="de-DE"/>
        </w:rPr>
        <w:t xml:space="preserve">entspricht V. 32. </w:t>
      </w:r>
      <w:r w:rsidRPr="00CC6F7E">
        <w:rPr>
          <w:rFonts w:eastAsia="Times New Roman" w:cs="Times New Roman"/>
          <w:b/>
          <w:bCs/>
          <w:rtl/>
          <w:lang w:eastAsia="de-DE"/>
        </w:rPr>
        <w:t>ועריכם יהיו חרבה</w:t>
      </w:r>
      <w:r w:rsidRPr="00CC6F7E">
        <w:rPr>
          <w:rFonts w:eastAsia="Times New Roman" w:cs="Times New Roman"/>
          <w:rtl/>
          <w:lang w:eastAsia="de-DE"/>
        </w:rPr>
        <w:t xml:space="preserve"> </w:t>
      </w:r>
      <w:r w:rsidRPr="00CC6F7E">
        <w:rPr>
          <w:rFonts w:eastAsia="Times New Roman" w:cs="Times New Roman"/>
          <w:lang w:eastAsia="de-DE"/>
        </w:rPr>
        <w:t>entspricht V. 31. Die Zustandsbeschreibung zeigt dauerhafte Verwüstung.</w:t>
      </w:r>
    </w:p>
    <w:p w14:paraId="5D0053E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אזרה בגוים</w:t>
      </w:r>
      <w:r w:rsidRPr="00CC6F7E">
        <w:rPr>
          <w:rFonts w:eastAsia="Times New Roman" w:cs="Times New Roman"/>
          <w:rtl/>
          <w:lang w:eastAsia="de-DE"/>
        </w:rPr>
        <w:t xml:space="preserve"> </w:t>
      </w:r>
      <w:r w:rsidRPr="00CC6F7E">
        <w:rPr>
          <w:rFonts w:eastAsia="Times New Roman" w:cs="Times New Roman"/>
          <w:lang w:eastAsia="de-DE"/>
        </w:rPr>
        <w:t xml:space="preserve">zeigt Diaspora als Strafe. </w:t>
      </w:r>
      <w:r w:rsidRPr="00CC6F7E">
        <w:rPr>
          <w:rFonts w:eastAsia="Times New Roman" w:cs="Times New Roman"/>
          <w:b/>
          <w:bCs/>
          <w:rtl/>
          <w:lang w:eastAsia="de-DE"/>
        </w:rPr>
        <w:t>והריקתי אחריכם חרב</w:t>
      </w:r>
      <w:r w:rsidRPr="00CC6F7E">
        <w:rPr>
          <w:rFonts w:eastAsia="Times New Roman" w:cs="Times New Roman"/>
          <w:rtl/>
          <w:lang w:eastAsia="de-DE"/>
        </w:rPr>
        <w:t xml:space="preserve"> </w:t>
      </w:r>
      <w:r w:rsidRPr="00CC6F7E">
        <w:rPr>
          <w:rFonts w:eastAsia="Times New Roman" w:cs="Times New Roman"/>
          <w:lang w:eastAsia="de-DE"/>
        </w:rPr>
        <w:t xml:space="preserve">zeigt Verfolgung auch im Exil. </w:t>
      </w:r>
      <w:r w:rsidRPr="00CC6F7E">
        <w:rPr>
          <w:rFonts w:eastAsia="Times New Roman" w:cs="Times New Roman"/>
          <w:b/>
          <w:bCs/>
          <w:rtl/>
          <w:lang w:eastAsia="de-DE"/>
        </w:rPr>
        <w:t>ארצכם שממה ועריכם חרבה</w:t>
      </w:r>
      <w:r w:rsidRPr="00CC6F7E">
        <w:rPr>
          <w:rFonts w:eastAsia="Times New Roman" w:cs="Times New Roman"/>
          <w:rtl/>
          <w:lang w:eastAsia="de-DE"/>
        </w:rPr>
        <w:t xml:space="preserve"> </w:t>
      </w:r>
      <w:r w:rsidRPr="00CC6F7E">
        <w:rPr>
          <w:rFonts w:eastAsia="Times New Roman" w:cs="Times New Roman"/>
          <w:lang w:eastAsia="de-DE"/>
        </w:rPr>
        <w:t>zeigt zurückgelassene Verwüstung.</w:t>
      </w:r>
    </w:p>
    <w:p w14:paraId="709EC816" w14:textId="6C4D0FE8"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אזרה</w:t>
      </w:r>
      <w:r w:rsidR="00274C29">
        <w:t xml:space="preserve"> (</w:t>
      </w:r>
      <w:proofErr w:type="spellStart"/>
      <w:r w:rsidR="00274C29">
        <w:t>ezareh</w:t>
      </w:r>
      <w:proofErr w:type="spellEnd"/>
      <w:r w:rsidR="00274C29">
        <w:t xml:space="preserve"> - "ich werde zerstreuen") als </w:t>
      </w:r>
      <w:proofErr w:type="spellStart"/>
      <w:r w:rsidR="00274C29">
        <w:t>δι</w:t>
      </w:r>
      <w:proofErr w:type="spellEnd"/>
      <w:r w:rsidR="00274C29">
        <w:t xml:space="preserve">ασπερῶ (ich werde zerstreuen) und </w:t>
      </w:r>
      <w:r w:rsidR="00274C29">
        <w:rPr>
          <w:rtl/>
        </w:rPr>
        <w:t>והריקתי</w:t>
      </w:r>
      <w:r w:rsidR="00274C29">
        <w:t xml:space="preserve"> (</w:t>
      </w:r>
      <w:proofErr w:type="spellStart"/>
      <w:r w:rsidR="00274C29">
        <w:t>wehariqoti</w:t>
      </w:r>
      <w:proofErr w:type="spellEnd"/>
      <w:r w:rsidR="00274C29">
        <w:t xml:space="preserve"> - "ich werde entblößen") als καὶ </w:t>
      </w:r>
      <w:proofErr w:type="spellStart"/>
      <w:r w:rsidR="00274C29">
        <w:t>ἐξ</w:t>
      </w:r>
      <w:proofErr w:type="spellEnd"/>
      <w:r w:rsidR="00274C29">
        <w:t>αναλώσω (und ich werde völlig vernichten).</w:t>
      </w:r>
    </w:p>
    <w:p w14:paraId="166EDCA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Volk-Zerstreuung und Land-Verwüstung: euch unter Nationen zerstreuen + Schwert hinter euch herziehen + euer Land wird Wüste + eure Städte werden Öde.</w:t>
      </w:r>
    </w:p>
    <w:p w14:paraId="36145C8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Trennung von Volk und Land: Das Volk wird verfolgt zerstreut, das Land bleibt verwüstet zurück.</w:t>
      </w:r>
    </w:p>
    <w:p w14:paraId="462E305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26,34</w:t>
      </w:r>
    </w:p>
    <w:p w14:paraId="75011A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Hebräisch:</w:t>
      </w:r>
      <w:r w:rsidRPr="00CC6F7E">
        <w:rPr>
          <w:rFonts w:eastAsia="Times New Roman" w:cs="Times New Roman"/>
          <w:lang w:eastAsia="de-DE"/>
        </w:rPr>
        <w:t xml:space="preserve"> </w:t>
      </w:r>
      <w:r w:rsidRPr="00CC6F7E">
        <w:rPr>
          <w:rFonts w:eastAsia="Times New Roman" w:cs="Times New Roman"/>
          <w:rtl/>
          <w:lang w:eastAsia="de-DE"/>
        </w:rPr>
        <w:t>אָז֩ תִּרְצֶ֨ה הָאָ֜רֶץ אֶת־שַׁבְּתֹתֶ֗יהָ כֹּ֚ל יְמֵ֣י הֳשַּׁמָּ֔ה וְאַתֶּ֖ם בְּאֶ֣רֶץ אֹיְבֵיכֶ֑ם אָ֚ז תִּשְׁבַּ֣ת הָאָ֔רֶץ וְהִרְצָ֖ת אֶת־שַׁבְּתֹתֶֽיהָ׃</w:t>
      </w:r>
    </w:p>
    <w:p w14:paraId="466DEF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Dann wird das Land seine Schabbate genießen, alle Tage der Verwüstung, während ihr im Land eurer Feinde seid; dann wird das Land ruhen und seine Schabbate genießen.</w:t>
      </w:r>
    </w:p>
    <w:p w14:paraId="0297863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E8C171E">
          <v:rect id="_x0000_i1837" style="width:0;height:1.5pt" o:hralign="center" o:hrstd="t" o:hr="t" fillcolor="#a0a0a0" stroked="f"/>
        </w:pict>
      </w:r>
    </w:p>
    <w:p w14:paraId="0A03D3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אז תרצה הארץ את־שבתתיה כל ימי השמה ואתם בארץ איביכם אז תשבת הארץ והרצת את־שבתתיה</w:t>
      </w:r>
      <w:r w:rsidRPr="00CC6F7E">
        <w:rPr>
          <w:rFonts w:eastAsia="Times New Roman" w:cs="Times New Roman"/>
          <w:rtl/>
          <w:lang w:eastAsia="de-DE"/>
        </w:rPr>
        <w:t xml:space="preserve"> </w:t>
      </w:r>
      <w:r w:rsidRPr="00CC6F7E">
        <w:rPr>
          <w:rFonts w:eastAsia="Times New Roman" w:cs="Times New Roman"/>
          <w:lang w:eastAsia="de-DE"/>
        </w:rPr>
        <w:t xml:space="preserve">zeigt die ironische Sabbat-Erfüllung durch Verwüstung. </w:t>
      </w:r>
      <w:r w:rsidRPr="00CC6F7E">
        <w:rPr>
          <w:rFonts w:eastAsia="Times New Roman" w:cs="Times New Roman"/>
          <w:b/>
          <w:bCs/>
          <w:rtl/>
          <w:lang w:eastAsia="de-DE"/>
        </w:rPr>
        <w:t>אז תרצה הארץ את־שבתתיה</w:t>
      </w:r>
      <w:r w:rsidRPr="00CC6F7E">
        <w:rPr>
          <w:rFonts w:eastAsia="Times New Roman" w:cs="Times New Roman"/>
          <w:rtl/>
          <w:lang w:eastAsia="de-DE"/>
        </w:rPr>
        <w:t xml:space="preserve"> </w:t>
      </w:r>
      <w:r w:rsidRPr="00CC6F7E">
        <w:rPr>
          <w:rFonts w:eastAsia="Times New Roman" w:cs="Times New Roman"/>
          <w:lang w:eastAsia="de-DE"/>
        </w:rPr>
        <w:t xml:space="preserve">(dann wird das Land seine Schabbate genießen) - </w:t>
      </w:r>
      <w:r w:rsidRPr="00CC6F7E">
        <w:rPr>
          <w:rFonts w:eastAsia="Times New Roman" w:cs="Times New Roman"/>
          <w:b/>
          <w:bCs/>
          <w:rtl/>
          <w:lang w:eastAsia="de-DE"/>
        </w:rPr>
        <w:t>אז</w:t>
      </w:r>
      <w:r w:rsidRPr="00CC6F7E">
        <w:rPr>
          <w:rFonts w:eastAsia="Times New Roman" w:cs="Times New Roman"/>
          <w:rtl/>
          <w:lang w:eastAsia="de-DE"/>
        </w:rPr>
        <w:t xml:space="preserve"> </w:t>
      </w:r>
      <w:r w:rsidRPr="00CC6F7E">
        <w:rPr>
          <w:rFonts w:eastAsia="Times New Roman" w:cs="Times New Roman"/>
          <w:lang w:eastAsia="de-DE"/>
        </w:rPr>
        <w:t xml:space="preserve">(dann) zeigt zeitlichen Bezug zur Zerstreuung. </w:t>
      </w:r>
      <w:r w:rsidRPr="00CC6F7E">
        <w:rPr>
          <w:rFonts w:eastAsia="Times New Roman" w:cs="Times New Roman"/>
          <w:b/>
          <w:bCs/>
          <w:rtl/>
          <w:lang w:eastAsia="de-DE"/>
        </w:rPr>
        <w:t>תרצה הארץ</w:t>
      </w:r>
      <w:r w:rsidRPr="00CC6F7E">
        <w:rPr>
          <w:rFonts w:eastAsia="Times New Roman" w:cs="Times New Roman"/>
          <w:rtl/>
          <w:lang w:eastAsia="de-DE"/>
        </w:rPr>
        <w:t xml:space="preserve"> </w:t>
      </w:r>
      <w:r w:rsidRPr="00CC6F7E">
        <w:rPr>
          <w:rFonts w:eastAsia="Times New Roman" w:cs="Times New Roman"/>
          <w:lang w:eastAsia="de-DE"/>
        </w:rPr>
        <w:t xml:space="preserve">(das Land wird Wohlgefallen haben) im Qal-Imperfekt von </w:t>
      </w:r>
      <w:r w:rsidRPr="00CC6F7E">
        <w:rPr>
          <w:rFonts w:eastAsia="Times New Roman" w:cs="Times New Roman"/>
          <w:b/>
          <w:bCs/>
          <w:rtl/>
          <w:lang w:eastAsia="de-DE"/>
        </w:rPr>
        <w:t>רצה</w:t>
      </w:r>
      <w:r w:rsidRPr="00CC6F7E">
        <w:rPr>
          <w:rFonts w:eastAsia="Times New Roman" w:cs="Times New Roman"/>
          <w:rtl/>
          <w:lang w:eastAsia="de-DE"/>
        </w:rPr>
        <w:t xml:space="preserve"> </w:t>
      </w:r>
      <w:r w:rsidRPr="00CC6F7E">
        <w:rPr>
          <w:rFonts w:eastAsia="Times New Roman" w:cs="Times New Roman"/>
          <w:lang w:eastAsia="de-DE"/>
        </w:rPr>
        <w:t xml:space="preserve">zeigt Landbefriedigung. </w:t>
      </w:r>
      <w:r w:rsidRPr="00CC6F7E">
        <w:rPr>
          <w:rFonts w:eastAsia="Times New Roman" w:cs="Times New Roman"/>
          <w:b/>
          <w:bCs/>
          <w:rtl/>
          <w:lang w:eastAsia="de-DE"/>
        </w:rPr>
        <w:t>את־שבתתיה</w:t>
      </w:r>
      <w:r w:rsidRPr="00CC6F7E">
        <w:rPr>
          <w:rFonts w:eastAsia="Times New Roman" w:cs="Times New Roman"/>
          <w:rtl/>
          <w:lang w:eastAsia="de-DE"/>
        </w:rPr>
        <w:t xml:space="preserve"> </w:t>
      </w:r>
      <w:r w:rsidRPr="00CC6F7E">
        <w:rPr>
          <w:rFonts w:eastAsia="Times New Roman" w:cs="Times New Roman"/>
          <w:lang w:eastAsia="de-DE"/>
        </w:rPr>
        <w:t>(an seinen Schabbaten) bezieht sich auf die vernachlässigten Sabbat- und Jobeljahre.</w:t>
      </w:r>
    </w:p>
    <w:p w14:paraId="4FCD1D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 ימי השמה ואתם בארץ איביכם</w:t>
      </w:r>
      <w:r w:rsidRPr="00CC6F7E">
        <w:rPr>
          <w:rFonts w:eastAsia="Times New Roman" w:cs="Times New Roman"/>
          <w:rtl/>
          <w:lang w:eastAsia="de-DE"/>
        </w:rPr>
        <w:t xml:space="preserve"> </w:t>
      </w:r>
      <w:r w:rsidRPr="00CC6F7E">
        <w:rPr>
          <w:rFonts w:eastAsia="Times New Roman" w:cs="Times New Roman"/>
          <w:lang w:eastAsia="de-DE"/>
        </w:rPr>
        <w:t xml:space="preserve">(alle Tage der Verwüstung, während ihr im Land eurer Feinde seid) - </w:t>
      </w:r>
      <w:r w:rsidRPr="00CC6F7E">
        <w:rPr>
          <w:rFonts w:eastAsia="Times New Roman" w:cs="Times New Roman"/>
          <w:b/>
          <w:bCs/>
          <w:rtl/>
          <w:lang w:eastAsia="de-DE"/>
        </w:rPr>
        <w:t>כל ימי השמה</w:t>
      </w:r>
      <w:r w:rsidRPr="00CC6F7E">
        <w:rPr>
          <w:rFonts w:eastAsia="Times New Roman" w:cs="Times New Roman"/>
          <w:rtl/>
          <w:lang w:eastAsia="de-DE"/>
        </w:rPr>
        <w:t xml:space="preserve"> </w:t>
      </w:r>
      <w:r w:rsidRPr="00CC6F7E">
        <w:rPr>
          <w:rFonts w:eastAsia="Times New Roman" w:cs="Times New Roman"/>
          <w:lang w:eastAsia="de-DE"/>
        </w:rPr>
        <w:t xml:space="preserve">(alle Tage der Verwüstung) zeigt die Dauer. </w:t>
      </w:r>
      <w:r w:rsidRPr="00CC6F7E">
        <w:rPr>
          <w:rFonts w:eastAsia="Times New Roman" w:cs="Times New Roman"/>
          <w:b/>
          <w:bCs/>
          <w:rtl/>
          <w:lang w:eastAsia="de-DE"/>
        </w:rPr>
        <w:t>ואתם בארץ איביכם</w:t>
      </w:r>
      <w:r w:rsidRPr="00CC6F7E">
        <w:rPr>
          <w:rFonts w:eastAsia="Times New Roman" w:cs="Times New Roman"/>
          <w:rtl/>
          <w:lang w:eastAsia="de-DE"/>
        </w:rPr>
        <w:t xml:space="preserve"> </w:t>
      </w:r>
      <w:r w:rsidRPr="00CC6F7E">
        <w:rPr>
          <w:rFonts w:eastAsia="Times New Roman" w:cs="Times New Roman"/>
          <w:lang w:eastAsia="de-DE"/>
        </w:rPr>
        <w:t>(und ihr im Land eurer Feinde) kontrastiert das verwüstete Heimatland mit dem Exilland.</w:t>
      </w:r>
    </w:p>
    <w:p w14:paraId="0AF50F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אז תשבת הארץ והרצת את־שבתתיה</w:t>
      </w:r>
      <w:r w:rsidRPr="00CC6F7E">
        <w:rPr>
          <w:rFonts w:eastAsia="Times New Roman" w:cs="Times New Roman"/>
          <w:rtl/>
          <w:lang w:eastAsia="de-DE"/>
        </w:rPr>
        <w:t xml:space="preserve"> </w:t>
      </w:r>
      <w:r w:rsidRPr="00CC6F7E">
        <w:rPr>
          <w:rFonts w:eastAsia="Times New Roman" w:cs="Times New Roman"/>
          <w:lang w:eastAsia="de-DE"/>
        </w:rPr>
        <w:t xml:space="preserve">(dann wird das Land ruhen und seine Schabbate genießen) - </w:t>
      </w:r>
      <w:r w:rsidRPr="00CC6F7E">
        <w:rPr>
          <w:rFonts w:eastAsia="Times New Roman" w:cs="Times New Roman"/>
          <w:b/>
          <w:bCs/>
          <w:rtl/>
          <w:lang w:eastAsia="de-DE"/>
        </w:rPr>
        <w:t>תשבת הארץ</w:t>
      </w:r>
      <w:r w:rsidRPr="00CC6F7E">
        <w:rPr>
          <w:rFonts w:eastAsia="Times New Roman" w:cs="Times New Roman"/>
          <w:rtl/>
          <w:lang w:eastAsia="de-DE"/>
        </w:rPr>
        <w:t xml:space="preserve"> </w:t>
      </w:r>
      <w:r w:rsidRPr="00CC6F7E">
        <w:rPr>
          <w:rFonts w:eastAsia="Times New Roman" w:cs="Times New Roman"/>
          <w:lang w:eastAsia="de-DE"/>
        </w:rPr>
        <w:t xml:space="preserve">(das Land wird ruhen) entspricht </w:t>
      </w:r>
      <w:r w:rsidRPr="00CC6F7E">
        <w:rPr>
          <w:rFonts w:eastAsia="Times New Roman" w:cs="Times New Roman"/>
          <w:b/>
          <w:bCs/>
          <w:rtl/>
          <w:lang w:eastAsia="de-DE"/>
        </w:rPr>
        <w:t>שבת</w:t>
      </w:r>
      <w:r w:rsidRPr="00CC6F7E">
        <w:rPr>
          <w:rFonts w:eastAsia="Times New Roman" w:cs="Times New Roman"/>
          <w:rtl/>
          <w:lang w:eastAsia="de-DE"/>
        </w:rPr>
        <w:t xml:space="preserve"> </w:t>
      </w:r>
      <w:r w:rsidRPr="00CC6F7E">
        <w:rPr>
          <w:rFonts w:eastAsia="Times New Roman" w:cs="Times New Roman"/>
          <w:lang w:eastAsia="de-DE"/>
        </w:rPr>
        <w:t xml:space="preserve">(ruhen) der Sabbatjahre. </w:t>
      </w:r>
      <w:r w:rsidRPr="00CC6F7E">
        <w:rPr>
          <w:rFonts w:eastAsia="Times New Roman" w:cs="Times New Roman"/>
          <w:b/>
          <w:bCs/>
          <w:rtl/>
          <w:lang w:eastAsia="de-DE"/>
        </w:rPr>
        <w:t>והרצת את־שבתתיה</w:t>
      </w:r>
      <w:r w:rsidRPr="00CC6F7E">
        <w:rPr>
          <w:rFonts w:eastAsia="Times New Roman" w:cs="Times New Roman"/>
          <w:rtl/>
          <w:lang w:eastAsia="de-DE"/>
        </w:rPr>
        <w:t xml:space="preserve"> </w:t>
      </w:r>
      <w:r w:rsidRPr="00CC6F7E">
        <w:rPr>
          <w:rFonts w:eastAsia="Times New Roman" w:cs="Times New Roman"/>
          <w:lang w:eastAsia="de-DE"/>
        </w:rPr>
        <w:t xml:space="preserve">wiederholt </w:t>
      </w:r>
      <w:r w:rsidRPr="00CC6F7E">
        <w:rPr>
          <w:rFonts w:eastAsia="Times New Roman" w:cs="Times New Roman"/>
          <w:b/>
          <w:bCs/>
          <w:rtl/>
          <w:lang w:eastAsia="de-DE"/>
        </w:rPr>
        <w:t>תרצה</w:t>
      </w:r>
      <w:r w:rsidRPr="00CC6F7E">
        <w:rPr>
          <w:rFonts w:eastAsia="Times New Roman" w:cs="Times New Roman"/>
          <w:rtl/>
          <w:lang w:eastAsia="de-DE"/>
        </w:rPr>
        <w:t xml:space="preserve"> </w:t>
      </w:r>
      <w:r w:rsidRPr="00CC6F7E">
        <w:rPr>
          <w:rFonts w:eastAsia="Times New Roman" w:cs="Times New Roman"/>
          <w:lang w:eastAsia="de-DE"/>
        </w:rPr>
        <w:t>zur Betonung.</w:t>
      </w:r>
    </w:p>
    <w:p w14:paraId="766724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תרצה הארץ את־שבתתיה</w:t>
      </w:r>
      <w:r w:rsidRPr="00CC6F7E">
        <w:rPr>
          <w:rFonts w:eastAsia="Times New Roman" w:cs="Times New Roman"/>
          <w:rtl/>
          <w:lang w:eastAsia="de-DE"/>
        </w:rPr>
        <w:t xml:space="preserve"> </w:t>
      </w:r>
      <w:r w:rsidRPr="00CC6F7E">
        <w:rPr>
          <w:rFonts w:eastAsia="Times New Roman" w:cs="Times New Roman"/>
          <w:lang w:eastAsia="de-DE"/>
        </w:rPr>
        <w:t xml:space="preserve">zeigt Landpersonifikation. </w:t>
      </w:r>
      <w:r w:rsidRPr="00CC6F7E">
        <w:rPr>
          <w:rFonts w:eastAsia="Times New Roman" w:cs="Times New Roman"/>
          <w:b/>
          <w:bCs/>
          <w:rtl/>
          <w:lang w:eastAsia="de-DE"/>
        </w:rPr>
        <w:t>כל ימי השמה</w:t>
      </w:r>
      <w:r w:rsidRPr="00CC6F7E">
        <w:rPr>
          <w:rFonts w:eastAsia="Times New Roman" w:cs="Times New Roman"/>
          <w:rtl/>
          <w:lang w:eastAsia="de-DE"/>
        </w:rPr>
        <w:t xml:space="preserve"> </w:t>
      </w:r>
      <w:r w:rsidRPr="00CC6F7E">
        <w:rPr>
          <w:rFonts w:eastAsia="Times New Roman" w:cs="Times New Roman"/>
          <w:lang w:eastAsia="de-DE"/>
        </w:rPr>
        <w:t xml:space="preserve">zeigt Verwüstung als Sabbat-Zeit. </w:t>
      </w:r>
      <w:r w:rsidRPr="00CC6F7E">
        <w:rPr>
          <w:rFonts w:eastAsia="Times New Roman" w:cs="Times New Roman"/>
          <w:b/>
          <w:bCs/>
          <w:rtl/>
          <w:lang w:eastAsia="de-DE"/>
        </w:rPr>
        <w:t>ואתם בארץ איביכם</w:t>
      </w:r>
      <w:r w:rsidRPr="00CC6F7E">
        <w:rPr>
          <w:rFonts w:eastAsia="Times New Roman" w:cs="Times New Roman"/>
          <w:rtl/>
          <w:lang w:eastAsia="de-DE"/>
        </w:rPr>
        <w:t xml:space="preserve"> </w:t>
      </w:r>
      <w:r w:rsidRPr="00CC6F7E">
        <w:rPr>
          <w:rFonts w:eastAsia="Times New Roman" w:cs="Times New Roman"/>
          <w:lang w:eastAsia="de-DE"/>
        </w:rPr>
        <w:t>zeigt die Ironie: Exil ermöglicht Landruhe.</w:t>
      </w:r>
    </w:p>
    <w:p w14:paraId="6DF52AF3" w14:textId="5AEC0FC4"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in </w:t>
      </w:r>
      <w:r w:rsidR="00274C29" w:rsidRPr="00274C29">
        <w:rPr>
          <w:b/>
          <w:bCs/>
        </w:rPr>
        <w:t>Vers 34-35</w:t>
      </w:r>
      <w:r w:rsidR="00274C29">
        <w:t xml:space="preserve"> </w:t>
      </w:r>
      <w:r w:rsidR="00274C29">
        <w:rPr>
          <w:rtl/>
        </w:rPr>
        <w:t>תרצה</w:t>
      </w:r>
      <w:r w:rsidR="00274C29">
        <w:t xml:space="preserve"> (</w:t>
      </w:r>
      <w:proofErr w:type="spellStart"/>
      <w:r w:rsidR="00274C29">
        <w:t>tirtzeh</w:t>
      </w:r>
      <w:proofErr w:type="spellEnd"/>
      <w:r w:rsidR="00274C29">
        <w:t xml:space="preserve"> - "wird Wohlgefallen haben") als π</w:t>
      </w:r>
      <w:proofErr w:type="spellStart"/>
      <w:r w:rsidR="00274C29">
        <w:t>ροσδέξετ</w:t>
      </w:r>
      <w:proofErr w:type="spellEnd"/>
      <w:r w:rsidR="00274C29">
        <w:t xml:space="preserve">αι (wird annehmen) und </w:t>
      </w:r>
      <w:r w:rsidR="00274C29">
        <w:rPr>
          <w:rtl/>
        </w:rPr>
        <w:t>תשבת</w:t>
      </w:r>
      <w:r w:rsidR="00274C29">
        <w:t xml:space="preserve"> (</w:t>
      </w:r>
      <w:proofErr w:type="spellStart"/>
      <w:r w:rsidR="00274C29">
        <w:t>tishbot</w:t>
      </w:r>
      <w:proofErr w:type="spellEnd"/>
      <w:r w:rsidR="00274C29">
        <w:t xml:space="preserve"> - "wird ruhen") als σαββατιεῖ (wird </w:t>
      </w:r>
      <w:proofErr w:type="spellStart"/>
      <w:r w:rsidR="00274C29">
        <w:t>sabbaten</w:t>
      </w:r>
      <w:proofErr w:type="spellEnd"/>
      <w:r w:rsidR="00274C29">
        <w:t>), was die Sabbatruhe der Erde betont.</w:t>
      </w:r>
    </w:p>
    <w:p w14:paraId="717D8C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ironische Sabbat-Erfüllung: Land wird seine Schabbate genießen + alle Verwüstungstage + ihr in Feindesland + dann wird Land ruhen + seine Schabbate genießen.</w:t>
      </w:r>
    </w:p>
    <w:p w14:paraId="7891B3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bittere Ironie: Das Land erhält seine vernachlässigten Sabbate durch Verwüstung, während das Volk im Exil leidet.</w:t>
      </w:r>
    </w:p>
    <w:p w14:paraId="088D1A8A"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26,35</w:t>
      </w:r>
    </w:p>
    <w:p w14:paraId="283FC64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כָּל־יְמֵ֥י הָשַּׁמָּ֖ה תִּשְׁבֹּ֑ת אֵ֣ת אֲשֶׁ֧ר לֹֽא־שָׁבְתָ֛ה בְּשַׁבְּתֹתֵיכֶ֖ם בְּשִׁבְתְּכֶ֥ם עָלֶֽיהָ׃</w:t>
      </w:r>
    </w:p>
    <w:p w14:paraId="31A6305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Alle Tage der Verwüstung wird es ruhen, was es nicht geruht hat an euren Schabbaten, als ihr darin wohntet.</w:t>
      </w:r>
    </w:p>
    <w:p w14:paraId="4F9A3DD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F5FAFC4">
          <v:rect id="_x0000_i1838" style="width:0;height:1.5pt" o:hralign="center" o:hrstd="t" o:hr="t" fillcolor="#a0a0a0" stroked="f"/>
        </w:pict>
      </w:r>
    </w:p>
    <w:p w14:paraId="6B42798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כל־ימי השמה תשבת את אשר לא־שבתה בשבתתיכם בשבתכם עליה</w:t>
      </w:r>
      <w:r w:rsidRPr="00CC6F7E">
        <w:rPr>
          <w:rFonts w:eastAsia="Times New Roman" w:cs="Times New Roman"/>
          <w:rtl/>
          <w:lang w:eastAsia="de-DE"/>
        </w:rPr>
        <w:t xml:space="preserve"> </w:t>
      </w:r>
      <w:r w:rsidRPr="00CC6F7E">
        <w:rPr>
          <w:rFonts w:eastAsia="Times New Roman" w:cs="Times New Roman"/>
          <w:lang w:eastAsia="de-DE"/>
        </w:rPr>
        <w:t xml:space="preserve">erklärt die Sabbat-Nachholung durch Verwüstung. </w:t>
      </w:r>
      <w:r w:rsidRPr="00CC6F7E">
        <w:rPr>
          <w:rFonts w:eastAsia="Times New Roman" w:cs="Times New Roman"/>
          <w:b/>
          <w:bCs/>
          <w:rtl/>
          <w:lang w:eastAsia="de-DE"/>
        </w:rPr>
        <w:t>כל־ימי השמה תשבת</w:t>
      </w:r>
      <w:r w:rsidRPr="00CC6F7E">
        <w:rPr>
          <w:rFonts w:eastAsia="Times New Roman" w:cs="Times New Roman"/>
          <w:rtl/>
          <w:lang w:eastAsia="de-DE"/>
        </w:rPr>
        <w:t xml:space="preserve"> </w:t>
      </w:r>
      <w:r w:rsidRPr="00CC6F7E">
        <w:rPr>
          <w:rFonts w:eastAsia="Times New Roman" w:cs="Times New Roman"/>
          <w:lang w:eastAsia="de-DE"/>
        </w:rPr>
        <w:t xml:space="preserve">(alle Tage der Verwüstung wird es ruhen) </w:t>
      </w:r>
      <w:r w:rsidRPr="00CC6F7E">
        <w:rPr>
          <w:rFonts w:eastAsia="Times New Roman" w:cs="Times New Roman"/>
          <w:lang w:eastAsia="de-DE"/>
        </w:rPr>
        <w:lastRenderedPageBreak/>
        <w:t xml:space="preserve">- </w:t>
      </w:r>
      <w:r w:rsidRPr="00CC6F7E">
        <w:rPr>
          <w:rFonts w:eastAsia="Times New Roman" w:cs="Times New Roman"/>
          <w:b/>
          <w:bCs/>
          <w:rtl/>
          <w:lang w:eastAsia="de-DE"/>
        </w:rPr>
        <w:t>כל־ימי השמה</w:t>
      </w:r>
      <w:r w:rsidRPr="00CC6F7E">
        <w:rPr>
          <w:rFonts w:eastAsia="Times New Roman" w:cs="Times New Roman"/>
          <w:rtl/>
          <w:lang w:eastAsia="de-DE"/>
        </w:rPr>
        <w:t xml:space="preserve"> </w:t>
      </w:r>
      <w:r w:rsidRPr="00CC6F7E">
        <w:rPr>
          <w:rFonts w:eastAsia="Times New Roman" w:cs="Times New Roman"/>
          <w:lang w:eastAsia="de-DE"/>
        </w:rPr>
        <w:t xml:space="preserve">entspricht V. 34. </w:t>
      </w:r>
      <w:r w:rsidRPr="00CC6F7E">
        <w:rPr>
          <w:rFonts w:eastAsia="Times New Roman" w:cs="Times New Roman"/>
          <w:b/>
          <w:bCs/>
          <w:rtl/>
          <w:lang w:eastAsia="de-DE"/>
        </w:rPr>
        <w:t>תשבת</w:t>
      </w:r>
      <w:r w:rsidRPr="00CC6F7E">
        <w:rPr>
          <w:rFonts w:eastAsia="Times New Roman" w:cs="Times New Roman"/>
          <w:rtl/>
          <w:lang w:eastAsia="de-DE"/>
        </w:rPr>
        <w:t xml:space="preserve"> </w:t>
      </w:r>
      <w:r w:rsidRPr="00CC6F7E">
        <w:rPr>
          <w:rFonts w:eastAsia="Times New Roman" w:cs="Times New Roman"/>
          <w:lang w:eastAsia="de-DE"/>
        </w:rPr>
        <w:t>(wird es ruhen) zeigt kontinuierliche Sabbat-Ruhe während der Verwüstung.</w:t>
      </w:r>
    </w:p>
    <w:p w14:paraId="703E15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את אשר לא־שבתה בשבתתיכם בשבתכם עליה</w:t>
      </w:r>
      <w:r w:rsidRPr="00CC6F7E">
        <w:rPr>
          <w:rFonts w:eastAsia="Times New Roman" w:cs="Times New Roman"/>
          <w:rtl/>
          <w:lang w:eastAsia="de-DE"/>
        </w:rPr>
        <w:t xml:space="preserve"> </w:t>
      </w:r>
      <w:r w:rsidRPr="00CC6F7E">
        <w:rPr>
          <w:rFonts w:eastAsia="Times New Roman" w:cs="Times New Roman"/>
          <w:lang w:eastAsia="de-DE"/>
        </w:rPr>
        <w:t xml:space="preserve">(was es nicht geruht hat an euren Schabbaten, als ihr darin wohntet) - </w:t>
      </w:r>
      <w:r w:rsidRPr="00CC6F7E">
        <w:rPr>
          <w:rFonts w:eastAsia="Times New Roman" w:cs="Times New Roman"/>
          <w:b/>
          <w:bCs/>
          <w:rtl/>
          <w:lang w:eastAsia="de-DE"/>
        </w:rPr>
        <w:t>את אשר לא־שבתה</w:t>
      </w:r>
      <w:r w:rsidRPr="00CC6F7E">
        <w:rPr>
          <w:rFonts w:eastAsia="Times New Roman" w:cs="Times New Roman"/>
          <w:rtl/>
          <w:lang w:eastAsia="de-DE"/>
        </w:rPr>
        <w:t xml:space="preserve"> </w:t>
      </w:r>
      <w:r w:rsidRPr="00CC6F7E">
        <w:rPr>
          <w:rFonts w:eastAsia="Times New Roman" w:cs="Times New Roman"/>
          <w:lang w:eastAsia="de-DE"/>
        </w:rPr>
        <w:t xml:space="preserve">(was es nicht geruht hat) zeigt die versäumten Sabbatjahre. </w:t>
      </w:r>
      <w:r w:rsidRPr="00CC6F7E">
        <w:rPr>
          <w:rFonts w:eastAsia="Times New Roman" w:cs="Times New Roman"/>
          <w:b/>
          <w:bCs/>
          <w:rtl/>
          <w:lang w:eastAsia="de-DE"/>
        </w:rPr>
        <w:t>בשבתתיכם</w:t>
      </w:r>
      <w:r w:rsidRPr="00CC6F7E">
        <w:rPr>
          <w:rFonts w:eastAsia="Times New Roman" w:cs="Times New Roman"/>
          <w:rtl/>
          <w:lang w:eastAsia="de-DE"/>
        </w:rPr>
        <w:t xml:space="preserve"> </w:t>
      </w:r>
      <w:r w:rsidRPr="00CC6F7E">
        <w:rPr>
          <w:rFonts w:eastAsia="Times New Roman" w:cs="Times New Roman"/>
          <w:lang w:eastAsia="de-DE"/>
        </w:rPr>
        <w:t xml:space="preserve">(an euren Schabbaten) zeigt die gebotenen, aber nicht eingehaltenen Sabbat- und Jobeljahre. </w:t>
      </w:r>
      <w:r w:rsidRPr="00CC6F7E">
        <w:rPr>
          <w:rFonts w:eastAsia="Times New Roman" w:cs="Times New Roman"/>
          <w:b/>
          <w:bCs/>
          <w:rtl/>
          <w:lang w:eastAsia="de-DE"/>
        </w:rPr>
        <w:t>בשבתכם עליה</w:t>
      </w:r>
      <w:r w:rsidRPr="00CC6F7E">
        <w:rPr>
          <w:rFonts w:eastAsia="Times New Roman" w:cs="Times New Roman"/>
          <w:rtl/>
          <w:lang w:eastAsia="de-DE"/>
        </w:rPr>
        <w:t xml:space="preserve"> </w:t>
      </w:r>
      <w:r w:rsidRPr="00CC6F7E">
        <w:rPr>
          <w:rFonts w:eastAsia="Times New Roman" w:cs="Times New Roman"/>
          <w:lang w:eastAsia="de-DE"/>
        </w:rPr>
        <w:t xml:space="preserve">(als ihr darin wohntet) - </w:t>
      </w:r>
      <w:r w:rsidRPr="00CC6F7E">
        <w:rPr>
          <w:rFonts w:eastAsia="Times New Roman" w:cs="Times New Roman"/>
          <w:b/>
          <w:bCs/>
          <w:rtl/>
          <w:lang w:eastAsia="de-DE"/>
        </w:rPr>
        <w:t>בשבתכם</w:t>
      </w:r>
      <w:r w:rsidRPr="00CC6F7E">
        <w:rPr>
          <w:rFonts w:eastAsia="Times New Roman" w:cs="Times New Roman"/>
          <w:rtl/>
          <w:lang w:eastAsia="de-DE"/>
        </w:rPr>
        <w:t xml:space="preserve"> </w:t>
      </w:r>
      <w:r w:rsidRPr="00CC6F7E">
        <w:rPr>
          <w:rFonts w:eastAsia="Times New Roman" w:cs="Times New Roman"/>
          <w:lang w:eastAsia="de-DE"/>
        </w:rPr>
        <w:t>(bei eurem Wohnen) zeigt die Zeit vor dem Exil.</w:t>
      </w:r>
    </w:p>
    <w:p w14:paraId="18C6E72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כל־ימי השמה</w:t>
      </w:r>
      <w:r w:rsidRPr="00CC6F7E">
        <w:rPr>
          <w:rFonts w:eastAsia="Times New Roman" w:cs="Times New Roman"/>
          <w:rtl/>
          <w:lang w:eastAsia="de-DE"/>
        </w:rPr>
        <w:t xml:space="preserve"> </w:t>
      </w:r>
      <w:r w:rsidRPr="00CC6F7E">
        <w:rPr>
          <w:rFonts w:eastAsia="Times New Roman" w:cs="Times New Roman"/>
          <w:lang w:eastAsia="de-DE"/>
        </w:rPr>
        <w:t xml:space="preserve">zeigt die Verwüstungszeit als Sabbat-Nachholzeit. </w:t>
      </w:r>
      <w:r w:rsidRPr="00CC6F7E">
        <w:rPr>
          <w:rFonts w:eastAsia="Times New Roman" w:cs="Times New Roman"/>
          <w:b/>
          <w:bCs/>
          <w:rtl/>
          <w:lang w:eastAsia="de-DE"/>
        </w:rPr>
        <w:t>את אשר לא־שבתה</w:t>
      </w:r>
      <w:r w:rsidRPr="00CC6F7E">
        <w:rPr>
          <w:rFonts w:eastAsia="Times New Roman" w:cs="Times New Roman"/>
          <w:rtl/>
          <w:lang w:eastAsia="de-DE"/>
        </w:rPr>
        <w:t xml:space="preserve"> </w:t>
      </w:r>
      <w:r w:rsidRPr="00CC6F7E">
        <w:rPr>
          <w:rFonts w:eastAsia="Times New Roman" w:cs="Times New Roman"/>
          <w:lang w:eastAsia="de-DE"/>
        </w:rPr>
        <w:t xml:space="preserve">zeigt die Sabbat-"Schulden". </w:t>
      </w:r>
      <w:r w:rsidRPr="00CC6F7E">
        <w:rPr>
          <w:rFonts w:eastAsia="Times New Roman" w:cs="Times New Roman"/>
          <w:b/>
          <w:bCs/>
          <w:rtl/>
          <w:lang w:eastAsia="de-DE"/>
        </w:rPr>
        <w:t>בשבתתיכם</w:t>
      </w:r>
      <w:r w:rsidRPr="00CC6F7E">
        <w:rPr>
          <w:rFonts w:eastAsia="Times New Roman" w:cs="Times New Roman"/>
          <w:rtl/>
          <w:lang w:eastAsia="de-DE"/>
        </w:rPr>
        <w:t xml:space="preserve"> </w:t>
      </w:r>
      <w:r w:rsidRPr="00CC6F7E">
        <w:rPr>
          <w:rFonts w:eastAsia="Times New Roman" w:cs="Times New Roman"/>
          <w:lang w:eastAsia="de-DE"/>
        </w:rPr>
        <w:t xml:space="preserve">bezieht sich auf Kap. 25. </w:t>
      </w:r>
      <w:r w:rsidRPr="00CC6F7E">
        <w:rPr>
          <w:rFonts w:eastAsia="Times New Roman" w:cs="Times New Roman"/>
          <w:b/>
          <w:bCs/>
          <w:rtl/>
          <w:lang w:eastAsia="de-DE"/>
        </w:rPr>
        <w:t>בשבתכם עליה</w:t>
      </w:r>
      <w:r w:rsidRPr="00CC6F7E">
        <w:rPr>
          <w:rFonts w:eastAsia="Times New Roman" w:cs="Times New Roman"/>
          <w:rtl/>
          <w:lang w:eastAsia="de-DE"/>
        </w:rPr>
        <w:t xml:space="preserve"> </w:t>
      </w:r>
      <w:r w:rsidRPr="00CC6F7E">
        <w:rPr>
          <w:rFonts w:eastAsia="Times New Roman" w:cs="Times New Roman"/>
          <w:lang w:eastAsia="de-DE"/>
        </w:rPr>
        <w:t>zeigt die verlorene Wohnzeit.</w:t>
      </w:r>
    </w:p>
    <w:p w14:paraId="219EB6E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השמה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ἐρημώσεως</w:t>
      </w:r>
      <w:proofErr w:type="spellEnd"/>
      <w:r w:rsidRPr="00CC6F7E">
        <w:rPr>
          <w:rFonts w:eastAsia="Times New Roman" w:cs="Times New Roman"/>
          <w:lang w:eastAsia="de-DE"/>
        </w:rPr>
        <w:t xml:space="preserve"> (der Verödung), </w:t>
      </w:r>
      <w:r w:rsidRPr="00CC6F7E">
        <w:rPr>
          <w:rFonts w:eastAsia="Times New Roman" w:cs="Times New Roman"/>
          <w:b/>
          <w:bCs/>
          <w:rtl/>
          <w:lang w:eastAsia="de-DE"/>
        </w:rPr>
        <w:t>את אשר לא־שבתה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ὅσ</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οὐκ</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ἐσ</w:t>
      </w:r>
      <w:proofErr w:type="spellEnd"/>
      <w:r w:rsidRPr="00CC6F7E">
        <w:rPr>
          <w:rFonts w:eastAsia="Times New Roman" w:cs="Times New Roman"/>
          <w:lang w:eastAsia="de-DE"/>
        </w:rPr>
        <w:t xml:space="preserve">αββάτισεν (wieviel es nicht </w:t>
      </w:r>
      <w:proofErr w:type="spellStart"/>
      <w:r w:rsidRPr="00CC6F7E">
        <w:rPr>
          <w:rFonts w:eastAsia="Times New Roman" w:cs="Times New Roman"/>
          <w:lang w:eastAsia="de-DE"/>
        </w:rPr>
        <w:t>sabbatierte</w:t>
      </w:r>
      <w:proofErr w:type="spellEnd"/>
      <w:r w:rsidRPr="00CC6F7E">
        <w:rPr>
          <w:rFonts w:eastAsia="Times New Roman" w:cs="Times New Roman"/>
          <w:lang w:eastAsia="de-DE"/>
        </w:rPr>
        <w:t xml:space="preserve">), </w:t>
      </w:r>
      <w:r w:rsidRPr="00CC6F7E">
        <w:rPr>
          <w:rFonts w:eastAsia="Times New Roman" w:cs="Times New Roman"/>
          <w:b/>
          <w:bCs/>
          <w:rtl/>
          <w:lang w:eastAsia="de-DE"/>
        </w:rPr>
        <w:t>בשבתתיכם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σαββ</w:t>
      </w:r>
      <w:proofErr w:type="spellStart"/>
      <w:r w:rsidRPr="00CC6F7E">
        <w:rPr>
          <w:rFonts w:eastAsia="Times New Roman" w:cs="Times New Roman"/>
          <w:lang w:eastAsia="de-DE"/>
        </w:rPr>
        <w:t>άτοις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(in euren Schabbaten) und </w:t>
      </w:r>
      <w:r w:rsidRPr="00CC6F7E">
        <w:rPr>
          <w:rFonts w:eastAsia="Times New Roman" w:cs="Times New Roman"/>
          <w:b/>
          <w:bCs/>
          <w:rtl/>
          <w:lang w:eastAsia="de-DE"/>
        </w:rPr>
        <w:t>בשבתכם עליה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κα</w:t>
      </w:r>
      <w:proofErr w:type="spellStart"/>
      <w:r w:rsidRPr="00CC6F7E">
        <w:rPr>
          <w:rFonts w:eastAsia="Times New Roman" w:cs="Times New Roman"/>
          <w:lang w:eastAsia="de-DE"/>
        </w:rPr>
        <w:t>τοικεῖν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ὑμᾶς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ὐτῇ</w:t>
      </w:r>
      <w:proofErr w:type="spellEnd"/>
      <w:r w:rsidRPr="00CC6F7E">
        <w:rPr>
          <w:rFonts w:eastAsia="Times New Roman" w:cs="Times New Roman"/>
          <w:lang w:eastAsia="de-DE"/>
        </w:rPr>
        <w:t xml:space="preserve"> (beim Wohnen von euch in ihr).</w:t>
      </w:r>
    </w:p>
    <w:p w14:paraId="60DCBA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Sabbat-Nachholung: alle Verwüstungstage wird es ruhen + was es nicht geruht hat + an euren Schabbaten + als ihr darin wohntet.</w:t>
      </w:r>
    </w:p>
    <w:p w14:paraId="0EF16B9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erklärt die theologische Logik: Die Verwüstungszeit dient als Nachholung aller versäumten Sabbat- und Jobeljahre.</w:t>
      </w:r>
    </w:p>
    <w:p w14:paraId="5EBA42C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26,36</w:t>
      </w:r>
    </w:p>
    <w:p w14:paraId="2AA161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וְהַנִּשְׁאָרִ֣ים בָּכֶ֔ם וְהֵבֵ֤אתִי מֹ֨רֶךְ֙ בִּלְבָבָ֔ם בְּאַרְצֹ֖ת אֹיְבֵיהֶ֑ם וְרָדַ֣ף אֹתָ֗ם ק֚וֹל עָלֶ֣ה נִדָּ֔ף וְנָס֧וּ מְנֻֽסַת־חֶ֛רֶב וְנָפְל֖וּ וְאֵ֥ין רֹדֵֽף׃</w:t>
      </w:r>
    </w:p>
    <w:p w14:paraId="0C13357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die von euch Übriggebliebenen - in ihr Herz werde ich Verzagtheit in den Ländern ihrer Feinde bringen, dass das Rauschen eines verwehten Blattes sie jagen wird, und sie werden fliehen, wie man vor dem Schwert flieht, und fallen, obwohl niemand sie jagt.</w:t>
      </w:r>
    </w:p>
    <w:p w14:paraId="57F7B2E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4E6D230">
          <v:rect id="_x0000_i1839" style="width:0;height:1.5pt" o:hralign="center" o:hrstd="t" o:hr="t" fillcolor="#a0a0a0" stroked="f"/>
        </w:pict>
      </w:r>
    </w:p>
    <w:p w14:paraId="549663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והנשארים בכם והבאתי מרך בלבבם בארצת איביהם ורדף אתם קול עלה נדף ונסו מנסת־חרב ונפלו ואין רדף</w:t>
      </w:r>
      <w:r w:rsidRPr="00CC6F7E">
        <w:rPr>
          <w:rFonts w:eastAsia="Times New Roman" w:cs="Times New Roman"/>
          <w:rtl/>
          <w:lang w:eastAsia="de-DE"/>
        </w:rPr>
        <w:t xml:space="preserve"> </w:t>
      </w:r>
      <w:r w:rsidRPr="00CC6F7E">
        <w:rPr>
          <w:rFonts w:eastAsia="Times New Roman" w:cs="Times New Roman"/>
          <w:lang w:eastAsia="de-DE"/>
        </w:rPr>
        <w:t xml:space="preserve">zeigt die psychologische Zerstörung der Exilierten. </w:t>
      </w:r>
      <w:r w:rsidRPr="00CC6F7E">
        <w:rPr>
          <w:rFonts w:eastAsia="Times New Roman" w:cs="Times New Roman"/>
          <w:b/>
          <w:bCs/>
          <w:rtl/>
          <w:lang w:eastAsia="de-DE"/>
        </w:rPr>
        <w:t>והנשארים בכם</w:t>
      </w:r>
      <w:r w:rsidRPr="00CC6F7E">
        <w:rPr>
          <w:rFonts w:eastAsia="Times New Roman" w:cs="Times New Roman"/>
          <w:rtl/>
          <w:lang w:eastAsia="de-DE"/>
        </w:rPr>
        <w:t xml:space="preserve"> </w:t>
      </w:r>
      <w:r w:rsidRPr="00CC6F7E">
        <w:rPr>
          <w:rFonts w:eastAsia="Times New Roman" w:cs="Times New Roman"/>
          <w:lang w:eastAsia="de-DE"/>
        </w:rPr>
        <w:t xml:space="preserve">(und die von euch Übriggebliebenen) zeigt die Überlebenden der Katastrophen. </w:t>
      </w:r>
      <w:r w:rsidRPr="00CC6F7E">
        <w:rPr>
          <w:rFonts w:eastAsia="Times New Roman" w:cs="Times New Roman"/>
          <w:b/>
          <w:bCs/>
          <w:rtl/>
          <w:lang w:eastAsia="de-DE"/>
        </w:rPr>
        <w:t>והבאתי מרך בלבבם</w:t>
      </w:r>
      <w:r w:rsidRPr="00CC6F7E">
        <w:rPr>
          <w:rFonts w:eastAsia="Times New Roman" w:cs="Times New Roman"/>
          <w:rtl/>
          <w:lang w:eastAsia="de-DE"/>
        </w:rPr>
        <w:t xml:space="preserve"> </w:t>
      </w:r>
      <w:r w:rsidRPr="00CC6F7E">
        <w:rPr>
          <w:rFonts w:eastAsia="Times New Roman" w:cs="Times New Roman"/>
          <w:lang w:eastAsia="de-DE"/>
        </w:rPr>
        <w:t xml:space="preserve">(werde ich Verzagtheit in ihr Herz bringen) - </w:t>
      </w:r>
      <w:r w:rsidRPr="00CC6F7E">
        <w:rPr>
          <w:rFonts w:eastAsia="Times New Roman" w:cs="Times New Roman"/>
          <w:b/>
          <w:bCs/>
          <w:rtl/>
          <w:lang w:eastAsia="de-DE"/>
        </w:rPr>
        <w:t>מרך</w:t>
      </w:r>
      <w:r w:rsidRPr="00CC6F7E">
        <w:rPr>
          <w:rFonts w:eastAsia="Times New Roman" w:cs="Times New Roman"/>
          <w:rtl/>
          <w:lang w:eastAsia="de-DE"/>
        </w:rPr>
        <w:t xml:space="preserve"> </w:t>
      </w:r>
      <w:r w:rsidRPr="00CC6F7E">
        <w:rPr>
          <w:rFonts w:eastAsia="Times New Roman" w:cs="Times New Roman"/>
          <w:lang w:eastAsia="de-DE"/>
        </w:rPr>
        <w:t xml:space="preserve">(Weichheit/Verzagtheit) zeigt psychologische Schwächung. </w:t>
      </w:r>
      <w:r w:rsidRPr="00CC6F7E">
        <w:rPr>
          <w:rFonts w:eastAsia="Times New Roman" w:cs="Times New Roman"/>
          <w:b/>
          <w:bCs/>
          <w:rtl/>
          <w:lang w:eastAsia="de-DE"/>
        </w:rPr>
        <w:t>בלבבם</w:t>
      </w:r>
      <w:r w:rsidRPr="00CC6F7E">
        <w:rPr>
          <w:rFonts w:eastAsia="Times New Roman" w:cs="Times New Roman"/>
          <w:rtl/>
          <w:lang w:eastAsia="de-DE"/>
        </w:rPr>
        <w:t xml:space="preserve"> </w:t>
      </w:r>
      <w:r w:rsidRPr="00CC6F7E">
        <w:rPr>
          <w:rFonts w:eastAsia="Times New Roman" w:cs="Times New Roman"/>
          <w:lang w:eastAsia="de-DE"/>
        </w:rPr>
        <w:t>(in ihr Herz) zeigt innerliche Zerstörung.</w:t>
      </w:r>
    </w:p>
    <w:p w14:paraId="2885C8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בארצת איביהם</w:t>
      </w:r>
      <w:r w:rsidRPr="00CC6F7E">
        <w:rPr>
          <w:rFonts w:eastAsia="Times New Roman" w:cs="Times New Roman"/>
          <w:rtl/>
          <w:lang w:eastAsia="de-DE"/>
        </w:rPr>
        <w:t xml:space="preserve"> </w:t>
      </w:r>
      <w:r w:rsidRPr="00CC6F7E">
        <w:rPr>
          <w:rFonts w:eastAsia="Times New Roman" w:cs="Times New Roman"/>
          <w:lang w:eastAsia="de-DE"/>
        </w:rPr>
        <w:t xml:space="preserve">(in den Ländern ihrer Feinde) zeigt das Exil. </w:t>
      </w:r>
      <w:r w:rsidRPr="00CC6F7E">
        <w:rPr>
          <w:rFonts w:eastAsia="Times New Roman" w:cs="Times New Roman"/>
          <w:b/>
          <w:bCs/>
          <w:rtl/>
          <w:lang w:eastAsia="de-DE"/>
        </w:rPr>
        <w:t>ורדף אתם קול עלה נדף</w:t>
      </w:r>
      <w:r w:rsidRPr="00CC6F7E">
        <w:rPr>
          <w:rFonts w:eastAsia="Times New Roman" w:cs="Times New Roman"/>
          <w:rtl/>
          <w:lang w:eastAsia="de-DE"/>
        </w:rPr>
        <w:t xml:space="preserve"> </w:t>
      </w:r>
      <w:r w:rsidRPr="00CC6F7E">
        <w:rPr>
          <w:rFonts w:eastAsia="Times New Roman" w:cs="Times New Roman"/>
          <w:lang w:eastAsia="de-DE"/>
        </w:rPr>
        <w:t xml:space="preserve">(dass das Rauschen eines verwehten Blattes sie jagen wird) - </w:t>
      </w:r>
      <w:r w:rsidRPr="00CC6F7E">
        <w:rPr>
          <w:rFonts w:eastAsia="Times New Roman" w:cs="Times New Roman"/>
          <w:b/>
          <w:bCs/>
          <w:rtl/>
          <w:lang w:eastAsia="de-DE"/>
        </w:rPr>
        <w:t>קול עלה נדף</w:t>
      </w:r>
      <w:r w:rsidRPr="00CC6F7E">
        <w:rPr>
          <w:rFonts w:eastAsia="Times New Roman" w:cs="Times New Roman"/>
          <w:rtl/>
          <w:lang w:eastAsia="de-DE"/>
        </w:rPr>
        <w:t xml:space="preserve"> </w:t>
      </w:r>
      <w:r w:rsidRPr="00CC6F7E">
        <w:rPr>
          <w:rFonts w:eastAsia="Times New Roman" w:cs="Times New Roman"/>
          <w:lang w:eastAsia="de-DE"/>
        </w:rPr>
        <w:t>(Geräusch eines verwehten Blattes) zeigt harmloseste Geräusche als Verfolgungsauslöser.</w:t>
      </w:r>
    </w:p>
    <w:p w14:paraId="2F728B2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ונסו מנסת־חרב ונפלו ואין רדף</w:t>
      </w:r>
      <w:r w:rsidRPr="00CC6F7E">
        <w:rPr>
          <w:rFonts w:eastAsia="Times New Roman" w:cs="Times New Roman"/>
          <w:rtl/>
          <w:lang w:eastAsia="de-DE"/>
        </w:rPr>
        <w:t xml:space="preserve"> </w:t>
      </w:r>
      <w:r w:rsidRPr="00CC6F7E">
        <w:rPr>
          <w:rFonts w:eastAsia="Times New Roman" w:cs="Times New Roman"/>
          <w:lang w:eastAsia="de-DE"/>
        </w:rPr>
        <w:t xml:space="preserve">(und sie werden fliehen, wie man vor dem Schwert flieht, und fallen, obwohl niemand sie jagt) - </w:t>
      </w:r>
      <w:r w:rsidRPr="00CC6F7E">
        <w:rPr>
          <w:rFonts w:eastAsia="Times New Roman" w:cs="Times New Roman"/>
          <w:b/>
          <w:bCs/>
          <w:rtl/>
          <w:lang w:eastAsia="de-DE"/>
        </w:rPr>
        <w:t>מנסת־חרב</w:t>
      </w:r>
      <w:r w:rsidRPr="00CC6F7E">
        <w:rPr>
          <w:rFonts w:eastAsia="Times New Roman" w:cs="Times New Roman"/>
          <w:rtl/>
          <w:lang w:eastAsia="de-DE"/>
        </w:rPr>
        <w:t xml:space="preserve"> </w:t>
      </w:r>
      <w:r w:rsidRPr="00CC6F7E">
        <w:rPr>
          <w:rFonts w:eastAsia="Times New Roman" w:cs="Times New Roman"/>
          <w:lang w:eastAsia="de-DE"/>
        </w:rPr>
        <w:t xml:space="preserve">(Schwert-Flucht) zeigt panische Flucht. </w:t>
      </w:r>
      <w:r w:rsidRPr="00CC6F7E">
        <w:rPr>
          <w:rFonts w:eastAsia="Times New Roman" w:cs="Times New Roman"/>
          <w:b/>
          <w:bCs/>
          <w:rtl/>
          <w:lang w:eastAsia="de-DE"/>
        </w:rPr>
        <w:t>ונפלו ואין רדף</w:t>
      </w:r>
      <w:r w:rsidRPr="00CC6F7E">
        <w:rPr>
          <w:rFonts w:eastAsia="Times New Roman" w:cs="Times New Roman"/>
          <w:rtl/>
          <w:lang w:eastAsia="de-DE"/>
        </w:rPr>
        <w:t xml:space="preserve"> </w:t>
      </w:r>
      <w:r w:rsidRPr="00CC6F7E">
        <w:rPr>
          <w:rFonts w:eastAsia="Times New Roman" w:cs="Times New Roman"/>
          <w:lang w:eastAsia="de-DE"/>
        </w:rPr>
        <w:t>entspricht V. 17 und zeigt grundlose Panik.</w:t>
      </w:r>
    </w:p>
    <w:p w14:paraId="5850E2C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מרך בלבבם</w:t>
      </w:r>
      <w:r w:rsidRPr="00CC6F7E">
        <w:rPr>
          <w:rFonts w:eastAsia="Times New Roman" w:cs="Times New Roman"/>
          <w:rtl/>
          <w:lang w:eastAsia="de-DE"/>
        </w:rPr>
        <w:t xml:space="preserve"> </w:t>
      </w:r>
      <w:r w:rsidRPr="00CC6F7E">
        <w:rPr>
          <w:rFonts w:eastAsia="Times New Roman" w:cs="Times New Roman"/>
          <w:lang w:eastAsia="de-DE"/>
        </w:rPr>
        <w:t xml:space="preserve">zeigt innere Herzenschwächung. </w:t>
      </w:r>
      <w:r w:rsidRPr="00CC6F7E">
        <w:rPr>
          <w:rFonts w:eastAsia="Times New Roman" w:cs="Times New Roman"/>
          <w:b/>
          <w:bCs/>
          <w:rtl/>
          <w:lang w:eastAsia="de-DE"/>
        </w:rPr>
        <w:t>קול עלה נדף</w:t>
      </w:r>
      <w:r w:rsidRPr="00CC6F7E">
        <w:rPr>
          <w:rFonts w:eastAsia="Times New Roman" w:cs="Times New Roman"/>
          <w:rtl/>
          <w:lang w:eastAsia="de-DE"/>
        </w:rPr>
        <w:t xml:space="preserve"> </w:t>
      </w:r>
      <w:r w:rsidRPr="00CC6F7E">
        <w:rPr>
          <w:rFonts w:eastAsia="Times New Roman" w:cs="Times New Roman"/>
          <w:lang w:eastAsia="de-DE"/>
        </w:rPr>
        <w:t xml:space="preserve">zeigt extreme Schreckhaftigkeit. </w:t>
      </w:r>
      <w:r w:rsidRPr="00CC6F7E">
        <w:rPr>
          <w:rFonts w:eastAsia="Times New Roman" w:cs="Times New Roman"/>
          <w:b/>
          <w:bCs/>
          <w:rtl/>
          <w:lang w:eastAsia="de-DE"/>
        </w:rPr>
        <w:t>ואין רדף</w:t>
      </w:r>
      <w:r w:rsidRPr="00CC6F7E">
        <w:rPr>
          <w:rFonts w:eastAsia="Times New Roman" w:cs="Times New Roman"/>
          <w:rtl/>
          <w:lang w:eastAsia="de-DE"/>
        </w:rPr>
        <w:t xml:space="preserve"> </w:t>
      </w:r>
      <w:r w:rsidRPr="00CC6F7E">
        <w:rPr>
          <w:rFonts w:eastAsia="Times New Roman" w:cs="Times New Roman"/>
          <w:lang w:eastAsia="de-DE"/>
        </w:rPr>
        <w:t>zeigt die Grundlosigkeit der Panik.</w:t>
      </w:r>
    </w:p>
    <w:p w14:paraId="3218F26A" w14:textId="523671C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מרך</w:t>
      </w:r>
      <w:r w:rsidR="00274C29">
        <w:t xml:space="preserve"> (</w:t>
      </w:r>
      <w:proofErr w:type="spellStart"/>
      <w:r w:rsidR="00274C29">
        <w:t>morech</w:t>
      </w:r>
      <w:proofErr w:type="spellEnd"/>
      <w:r w:rsidR="00274C29">
        <w:t xml:space="preserve"> - "Verzagtheit") als </w:t>
      </w:r>
      <w:proofErr w:type="spellStart"/>
      <w:r w:rsidR="00274C29">
        <w:t>δειλί</w:t>
      </w:r>
      <w:proofErr w:type="spellEnd"/>
      <w:r w:rsidR="00274C29">
        <w:t xml:space="preserve">αν (Feigheit) und </w:t>
      </w:r>
      <w:r w:rsidR="00274C29">
        <w:rPr>
          <w:rtl/>
        </w:rPr>
        <w:t>קול עלה נדף</w:t>
      </w:r>
      <w:r w:rsidR="00274C29">
        <w:t xml:space="preserve"> (qol </w:t>
      </w:r>
      <w:proofErr w:type="spellStart"/>
      <w:r w:rsidR="00274C29">
        <w:t>aleh</w:t>
      </w:r>
      <w:proofErr w:type="spellEnd"/>
      <w:r w:rsidR="00274C29">
        <w:t xml:space="preserve"> </w:t>
      </w:r>
      <w:proofErr w:type="spellStart"/>
      <w:r w:rsidR="00274C29">
        <w:t>niddaf</w:t>
      </w:r>
      <w:proofErr w:type="spellEnd"/>
      <w:r w:rsidR="00274C29">
        <w:t xml:space="preserve"> - "Geräusch eines verwehten Blattes") als </w:t>
      </w:r>
      <w:proofErr w:type="spellStart"/>
      <w:r w:rsidR="00274C29">
        <w:t>φωνὴ</w:t>
      </w:r>
      <w:proofErr w:type="spellEnd"/>
      <w:r w:rsidR="00274C29">
        <w:t xml:space="preserve"> </w:t>
      </w:r>
      <w:proofErr w:type="spellStart"/>
      <w:r w:rsidR="00274C29">
        <w:t>φύλλου</w:t>
      </w:r>
      <w:proofErr w:type="spellEnd"/>
      <w:r w:rsidR="00274C29">
        <w:t xml:space="preserve"> </w:t>
      </w:r>
      <w:proofErr w:type="spellStart"/>
      <w:r w:rsidR="00274C29">
        <w:t>φερομένου</w:t>
      </w:r>
      <w:proofErr w:type="spellEnd"/>
      <w:r w:rsidR="00274C29">
        <w:t xml:space="preserve"> (Stimme eines getragenen Blattes).</w:t>
      </w:r>
    </w:p>
    <w:p w14:paraId="0218AB9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Exil-Psychose: Übriggebliebene + Verzagtheit ins Herz bringen + in Feindländern + Blätterrauschen jagt sie + Schwertflucht + fallen ohne Verfolger.</w:t>
      </w:r>
    </w:p>
    <w:p w14:paraId="077BACF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psychologische Zerstörung der Überlebenden im Exil: Selbst harmlose Geräusche lösen panische Flucht aus.</w:t>
      </w:r>
    </w:p>
    <w:p w14:paraId="7DAB1A85"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26,37</w:t>
      </w:r>
    </w:p>
    <w:p w14:paraId="282567A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וְכָשְׁל֧וּ אִישׁ־בְּאָחִ֛יו כְּמִפְּנֵי־חֶ֖רֶב וְרֹדֵ֣ף אָ֑יִן וְלֹא־תִֽהְיֶ֤ה לָכֶם֙ תְּקוּמָ֔ה לִפְנֵ֖י אֹֽיְבֵיכֶֽם׃</w:t>
      </w:r>
    </w:p>
    <w:p w14:paraId="3E05B3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sie werden einer über den anderen fallen, wie vor dem Schwert, obwohl niemand sie jagt; und ihr werdet nicht bestehen können vor euren Feinden.</w:t>
      </w:r>
    </w:p>
    <w:p w14:paraId="7BD191A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87FBA79">
          <v:rect id="_x0000_i1840" style="width:0;height:1.5pt" o:hralign="center" o:hrstd="t" o:hr="t" fillcolor="#a0a0a0" stroked="f"/>
        </w:pict>
      </w:r>
    </w:p>
    <w:p w14:paraId="31CD9D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וכשלו איש־באחיו כמפני־חרב ורדף אין ולא־תהיה לכם תקומה לפני איביכם</w:t>
      </w:r>
      <w:r w:rsidRPr="00CC6F7E">
        <w:rPr>
          <w:rFonts w:eastAsia="Times New Roman" w:cs="Times New Roman"/>
          <w:rtl/>
          <w:lang w:eastAsia="de-DE"/>
        </w:rPr>
        <w:t xml:space="preserve"> </w:t>
      </w:r>
      <w:r w:rsidRPr="00CC6F7E">
        <w:rPr>
          <w:rFonts w:eastAsia="Times New Roman" w:cs="Times New Roman"/>
          <w:lang w:eastAsia="de-DE"/>
        </w:rPr>
        <w:t xml:space="preserve">zeigt kollektiven Zusammenbruch und militärische Hilflosigkeit. </w:t>
      </w:r>
      <w:r w:rsidRPr="00CC6F7E">
        <w:rPr>
          <w:rFonts w:eastAsia="Times New Roman" w:cs="Times New Roman"/>
          <w:b/>
          <w:bCs/>
          <w:rtl/>
          <w:lang w:eastAsia="de-DE"/>
        </w:rPr>
        <w:t>וכשלו איש־באחיו</w:t>
      </w:r>
      <w:r w:rsidRPr="00CC6F7E">
        <w:rPr>
          <w:rFonts w:eastAsia="Times New Roman" w:cs="Times New Roman"/>
          <w:rtl/>
          <w:lang w:eastAsia="de-DE"/>
        </w:rPr>
        <w:t xml:space="preserve"> </w:t>
      </w:r>
      <w:r w:rsidRPr="00CC6F7E">
        <w:rPr>
          <w:rFonts w:eastAsia="Times New Roman" w:cs="Times New Roman"/>
          <w:lang w:eastAsia="de-DE"/>
        </w:rPr>
        <w:t xml:space="preserve">(und sie werden einer über den anderen fallen) - </w:t>
      </w:r>
      <w:r w:rsidRPr="00CC6F7E">
        <w:rPr>
          <w:rFonts w:eastAsia="Times New Roman" w:cs="Times New Roman"/>
          <w:b/>
          <w:bCs/>
          <w:rtl/>
          <w:lang w:eastAsia="de-DE"/>
        </w:rPr>
        <w:t>וכשלו</w:t>
      </w:r>
      <w:r w:rsidRPr="00CC6F7E">
        <w:rPr>
          <w:rFonts w:eastAsia="Times New Roman" w:cs="Times New Roman"/>
          <w:rtl/>
          <w:lang w:eastAsia="de-DE"/>
        </w:rPr>
        <w:t xml:space="preserve"> </w:t>
      </w:r>
      <w:r w:rsidRPr="00CC6F7E">
        <w:rPr>
          <w:rFonts w:eastAsia="Times New Roman" w:cs="Times New Roman"/>
          <w:lang w:eastAsia="de-DE"/>
        </w:rPr>
        <w:t xml:space="preserve">(und sie werden stolpern/fallen) im Qal-Perfekt mit Waw-Konsekutiv von </w:t>
      </w:r>
      <w:r w:rsidRPr="00CC6F7E">
        <w:rPr>
          <w:rFonts w:eastAsia="Times New Roman" w:cs="Times New Roman"/>
          <w:b/>
          <w:bCs/>
          <w:rtl/>
          <w:lang w:eastAsia="de-DE"/>
        </w:rPr>
        <w:t>כשל</w:t>
      </w:r>
      <w:r w:rsidRPr="00CC6F7E">
        <w:rPr>
          <w:rFonts w:eastAsia="Times New Roman" w:cs="Times New Roman"/>
          <w:lang w:eastAsia="de-DE"/>
        </w:rPr>
        <w:t xml:space="preserve">. </w:t>
      </w:r>
      <w:r w:rsidRPr="00CC6F7E">
        <w:rPr>
          <w:rFonts w:eastAsia="Times New Roman" w:cs="Times New Roman"/>
          <w:b/>
          <w:bCs/>
          <w:rtl/>
          <w:lang w:eastAsia="de-DE"/>
        </w:rPr>
        <w:t>איש־באחיו</w:t>
      </w:r>
      <w:r w:rsidRPr="00CC6F7E">
        <w:rPr>
          <w:rFonts w:eastAsia="Times New Roman" w:cs="Times New Roman"/>
          <w:rtl/>
          <w:lang w:eastAsia="de-DE"/>
        </w:rPr>
        <w:t xml:space="preserve"> </w:t>
      </w:r>
      <w:r w:rsidRPr="00CC6F7E">
        <w:rPr>
          <w:rFonts w:eastAsia="Times New Roman" w:cs="Times New Roman"/>
          <w:lang w:eastAsia="de-DE"/>
        </w:rPr>
        <w:t>(einer über seinen Bruder) zeigt dass sie sich gegenseitig behindern und zu Fall bringen.</w:t>
      </w:r>
    </w:p>
    <w:p w14:paraId="38162A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כמפני־חרב ורדף אין</w:t>
      </w:r>
      <w:r w:rsidRPr="00CC6F7E">
        <w:rPr>
          <w:rFonts w:eastAsia="Times New Roman" w:cs="Times New Roman"/>
          <w:rtl/>
          <w:lang w:eastAsia="de-DE"/>
        </w:rPr>
        <w:t xml:space="preserve"> </w:t>
      </w:r>
      <w:r w:rsidRPr="00CC6F7E">
        <w:rPr>
          <w:rFonts w:eastAsia="Times New Roman" w:cs="Times New Roman"/>
          <w:lang w:eastAsia="de-DE"/>
        </w:rPr>
        <w:t xml:space="preserve">(wie vor dem Schwert, obwohl niemand sie jagt) - </w:t>
      </w:r>
      <w:r w:rsidRPr="00CC6F7E">
        <w:rPr>
          <w:rFonts w:eastAsia="Times New Roman" w:cs="Times New Roman"/>
          <w:b/>
          <w:bCs/>
          <w:rtl/>
          <w:lang w:eastAsia="de-DE"/>
        </w:rPr>
        <w:t>כמפני־חרב</w:t>
      </w:r>
      <w:r w:rsidRPr="00CC6F7E">
        <w:rPr>
          <w:rFonts w:eastAsia="Times New Roman" w:cs="Times New Roman"/>
          <w:rtl/>
          <w:lang w:eastAsia="de-DE"/>
        </w:rPr>
        <w:t xml:space="preserve"> </w:t>
      </w:r>
      <w:r w:rsidRPr="00CC6F7E">
        <w:rPr>
          <w:rFonts w:eastAsia="Times New Roman" w:cs="Times New Roman"/>
          <w:lang w:eastAsia="de-DE"/>
        </w:rPr>
        <w:t xml:space="preserve">(wie vor dem Schwert) zeigt die Panik entspricht einer echten Schwertbedrohung. </w:t>
      </w:r>
      <w:r w:rsidRPr="00CC6F7E">
        <w:rPr>
          <w:rFonts w:eastAsia="Times New Roman" w:cs="Times New Roman"/>
          <w:b/>
          <w:bCs/>
          <w:rtl/>
          <w:lang w:eastAsia="de-DE"/>
        </w:rPr>
        <w:t>ורדף אין</w:t>
      </w:r>
      <w:r w:rsidRPr="00CC6F7E">
        <w:rPr>
          <w:rFonts w:eastAsia="Times New Roman" w:cs="Times New Roman"/>
          <w:rtl/>
          <w:lang w:eastAsia="de-DE"/>
        </w:rPr>
        <w:t xml:space="preserve"> </w:t>
      </w:r>
      <w:r w:rsidRPr="00CC6F7E">
        <w:rPr>
          <w:rFonts w:eastAsia="Times New Roman" w:cs="Times New Roman"/>
          <w:lang w:eastAsia="de-DE"/>
        </w:rPr>
        <w:t xml:space="preserve">entspricht V. 36 </w:t>
      </w:r>
      <w:r w:rsidRPr="00CC6F7E">
        <w:rPr>
          <w:rFonts w:eastAsia="Times New Roman" w:cs="Times New Roman"/>
          <w:b/>
          <w:bCs/>
          <w:rtl/>
          <w:lang w:eastAsia="de-DE"/>
        </w:rPr>
        <w:t>ואין רדף</w:t>
      </w:r>
      <w:r w:rsidRPr="00CC6F7E">
        <w:rPr>
          <w:rFonts w:eastAsia="Times New Roman" w:cs="Times New Roman"/>
          <w:rtl/>
          <w:lang w:eastAsia="de-DE"/>
        </w:rPr>
        <w:t xml:space="preserve"> </w:t>
      </w:r>
      <w:r w:rsidRPr="00CC6F7E">
        <w:rPr>
          <w:rFonts w:eastAsia="Times New Roman" w:cs="Times New Roman"/>
          <w:lang w:eastAsia="de-DE"/>
        </w:rPr>
        <w:t>und zeigt die Grundlosigkeit der Panik.</w:t>
      </w:r>
    </w:p>
    <w:p w14:paraId="45755E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ולא־תהיה לכם תקומה לפני איביכם</w:t>
      </w:r>
      <w:r w:rsidRPr="00CC6F7E">
        <w:rPr>
          <w:rFonts w:eastAsia="Times New Roman" w:cs="Times New Roman"/>
          <w:rtl/>
          <w:lang w:eastAsia="de-DE"/>
        </w:rPr>
        <w:t xml:space="preserve"> </w:t>
      </w:r>
      <w:r w:rsidRPr="00CC6F7E">
        <w:rPr>
          <w:rFonts w:eastAsia="Times New Roman" w:cs="Times New Roman"/>
          <w:lang w:eastAsia="de-DE"/>
        </w:rPr>
        <w:t xml:space="preserve">(und ihr werdet nicht bestehen können vor euren Feinden) - </w:t>
      </w:r>
      <w:r w:rsidRPr="00CC6F7E">
        <w:rPr>
          <w:rFonts w:eastAsia="Times New Roman" w:cs="Times New Roman"/>
          <w:b/>
          <w:bCs/>
          <w:rtl/>
          <w:lang w:eastAsia="de-DE"/>
        </w:rPr>
        <w:t>לא־תהיה לכם תקומה</w:t>
      </w:r>
      <w:r w:rsidRPr="00CC6F7E">
        <w:rPr>
          <w:rFonts w:eastAsia="Times New Roman" w:cs="Times New Roman"/>
          <w:rtl/>
          <w:lang w:eastAsia="de-DE"/>
        </w:rPr>
        <w:t xml:space="preserve"> </w:t>
      </w:r>
      <w:r w:rsidRPr="00CC6F7E">
        <w:rPr>
          <w:rFonts w:eastAsia="Times New Roman" w:cs="Times New Roman"/>
          <w:lang w:eastAsia="de-DE"/>
        </w:rPr>
        <w:t xml:space="preserve">(es wird euch kein Bestehen sein) zeigt völlige militärische Unfähigkeit. </w:t>
      </w:r>
      <w:r w:rsidRPr="00CC6F7E">
        <w:rPr>
          <w:rFonts w:eastAsia="Times New Roman" w:cs="Times New Roman"/>
          <w:b/>
          <w:bCs/>
          <w:rtl/>
          <w:lang w:eastAsia="de-DE"/>
        </w:rPr>
        <w:t>תקומה</w:t>
      </w:r>
      <w:r w:rsidRPr="00CC6F7E">
        <w:rPr>
          <w:rFonts w:eastAsia="Times New Roman" w:cs="Times New Roman"/>
          <w:rtl/>
          <w:lang w:eastAsia="de-DE"/>
        </w:rPr>
        <w:t xml:space="preserve"> </w:t>
      </w:r>
      <w:r w:rsidRPr="00CC6F7E">
        <w:rPr>
          <w:rFonts w:eastAsia="Times New Roman" w:cs="Times New Roman"/>
          <w:lang w:eastAsia="de-DE"/>
        </w:rPr>
        <w:t xml:space="preserve">(Bestehen/Widerstand) von </w:t>
      </w:r>
      <w:r w:rsidRPr="00CC6F7E">
        <w:rPr>
          <w:rFonts w:eastAsia="Times New Roman" w:cs="Times New Roman"/>
          <w:b/>
          <w:bCs/>
          <w:rtl/>
          <w:lang w:eastAsia="de-DE"/>
        </w:rPr>
        <w:t>קום</w:t>
      </w:r>
      <w:r w:rsidRPr="00CC6F7E">
        <w:rPr>
          <w:rFonts w:eastAsia="Times New Roman" w:cs="Times New Roman"/>
          <w:rtl/>
          <w:lang w:eastAsia="de-DE"/>
        </w:rPr>
        <w:t xml:space="preserve"> </w:t>
      </w:r>
      <w:r w:rsidRPr="00CC6F7E">
        <w:rPr>
          <w:rFonts w:eastAsia="Times New Roman" w:cs="Times New Roman"/>
          <w:lang w:eastAsia="de-DE"/>
        </w:rPr>
        <w:t xml:space="preserve">zeigt Kampffähigkeit. </w:t>
      </w:r>
      <w:r w:rsidRPr="00CC6F7E">
        <w:rPr>
          <w:rFonts w:eastAsia="Times New Roman" w:cs="Times New Roman"/>
          <w:b/>
          <w:bCs/>
          <w:rtl/>
          <w:lang w:eastAsia="de-DE"/>
        </w:rPr>
        <w:t>לפני איביכם</w:t>
      </w:r>
      <w:r w:rsidRPr="00CC6F7E">
        <w:rPr>
          <w:rFonts w:eastAsia="Times New Roman" w:cs="Times New Roman"/>
          <w:rtl/>
          <w:lang w:eastAsia="de-DE"/>
        </w:rPr>
        <w:t xml:space="preserve"> </w:t>
      </w:r>
      <w:r w:rsidRPr="00CC6F7E">
        <w:rPr>
          <w:rFonts w:eastAsia="Times New Roman" w:cs="Times New Roman"/>
          <w:lang w:eastAsia="de-DE"/>
        </w:rPr>
        <w:t>(vor euren Feinden) zeigt reale Feindbedrohung im Gegensatz zur grundlosen Panik.</w:t>
      </w:r>
    </w:p>
    <w:p w14:paraId="42C4C39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איש־באחיו</w:t>
      </w:r>
      <w:r w:rsidRPr="00CC6F7E">
        <w:rPr>
          <w:rFonts w:eastAsia="Times New Roman" w:cs="Times New Roman"/>
          <w:rtl/>
          <w:lang w:eastAsia="de-DE"/>
        </w:rPr>
        <w:t xml:space="preserve"> </w:t>
      </w:r>
      <w:r w:rsidRPr="00CC6F7E">
        <w:rPr>
          <w:rFonts w:eastAsia="Times New Roman" w:cs="Times New Roman"/>
          <w:lang w:eastAsia="de-DE"/>
        </w:rPr>
        <w:t xml:space="preserve">zeigt Bruder-gegen-Bruder Chaos. </w:t>
      </w:r>
      <w:r w:rsidRPr="00CC6F7E">
        <w:rPr>
          <w:rFonts w:eastAsia="Times New Roman" w:cs="Times New Roman"/>
          <w:b/>
          <w:bCs/>
          <w:rtl/>
          <w:lang w:eastAsia="de-DE"/>
        </w:rPr>
        <w:t>כמפני־חרב ורדף אין</w:t>
      </w:r>
      <w:r w:rsidRPr="00CC6F7E">
        <w:rPr>
          <w:rFonts w:eastAsia="Times New Roman" w:cs="Times New Roman"/>
          <w:rtl/>
          <w:lang w:eastAsia="de-DE"/>
        </w:rPr>
        <w:t xml:space="preserve"> </w:t>
      </w:r>
      <w:r w:rsidRPr="00CC6F7E">
        <w:rPr>
          <w:rFonts w:eastAsia="Times New Roman" w:cs="Times New Roman"/>
          <w:lang w:eastAsia="de-DE"/>
        </w:rPr>
        <w:t xml:space="preserve">zeigt Schwert-Panik ohne Schwert. </w:t>
      </w:r>
      <w:r w:rsidRPr="00CC6F7E">
        <w:rPr>
          <w:rFonts w:eastAsia="Times New Roman" w:cs="Times New Roman"/>
          <w:b/>
          <w:bCs/>
          <w:rtl/>
          <w:lang w:eastAsia="de-DE"/>
        </w:rPr>
        <w:t>לא־תהיה תקומה</w:t>
      </w:r>
      <w:r w:rsidRPr="00CC6F7E">
        <w:rPr>
          <w:rFonts w:eastAsia="Times New Roman" w:cs="Times New Roman"/>
          <w:rtl/>
          <w:lang w:eastAsia="de-DE"/>
        </w:rPr>
        <w:t xml:space="preserve"> </w:t>
      </w:r>
      <w:r w:rsidRPr="00CC6F7E">
        <w:rPr>
          <w:rFonts w:eastAsia="Times New Roman" w:cs="Times New Roman"/>
          <w:lang w:eastAsia="de-DE"/>
        </w:rPr>
        <w:t>zeigt totale militärische Impotenz.</w:t>
      </w:r>
    </w:p>
    <w:p w14:paraId="11911F8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וכשלו איש־באחיו</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ροσκόψουσιν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ἕκ</w:t>
      </w:r>
      <w:proofErr w:type="spellEnd"/>
      <w:r w:rsidRPr="00CC6F7E">
        <w:rPr>
          <w:rFonts w:eastAsia="Times New Roman" w:cs="Times New Roman"/>
          <w:lang w:eastAsia="de-DE"/>
        </w:rPr>
        <w:t xml:space="preserve">αστος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ἀδελφῷ</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(werden anstoßen jeder an seinem Bruder), </w:t>
      </w:r>
      <w:r w:rsidRPr="00CC6F7E">
        <w:rPr>
          <w:rFonts w:eastAsia="Times New Roman" w:cs="Times New Roman"/>
          <w:b/>
          <w:bCs/>
          <w:rtl/>
          <w:lang w:eastAsia="de-DE"/>
        </w:rPr>
        <w:t>כמפני־חרב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ὡσεὶ</w:t>
      </w:r>
      <w:proofErr w:type="spellEnd"/>
      <w:r w:rsidRPr="00CC6F7E">
        <w:rPr>
          <w:rFonts w:eastAsia="Times New Roman" w:cs="Times New Roman"/>
          <w:lang w:eastAsia="de-DE"/>
        </w:rPr>
        <w:t xml:space="preserve"> ἀπὸ π</w:t>
      </w:r>
      <w:proofErr w:type="spellStart"/>
      <w:r w:rsidRPr="00CC6F7E">
        <w:rPr>
          <w:rFonts w:eastAsia="Times New Roman" w:cs="Times New Roman"/>
          <w:lang w:eastAsia="de-DE"/>
        </w:rPr>
        <w:t>ροσώ</w:t>
      </w:r>
      <w:proofErr w:type="spellEnd"/>
      <w:r w:rsidRPr="00CC6F7E">
        <w:rPr>
          <w:rFonts w:eastAsia="Times New Roman" w:cs="Times New Roman"/>
          <w:lang w:eastAsia="de-DE"/>
        </w:rPr>
        <w:t>που μαχα</w:t>
      </w:r>
      <w:proofErr w:type="spellStart"/>
      <w:r w:rsidRPr="00CC6F7E">
        <w:rPr>
          <w:rFonts w:eastAsia="Times New Roman" w:cs="Times New Roman"/>
          <w:lang w:eastAsia="de-DE"/>
        </w:rPr>
        <w:t>ίρ</w:t>
      </w:r>
      <w:proofErr w:type="spellEnd"/>
      <w:r w:rsidRPr="00CC6F7E">
        <w:rPr>
          <w:rFonts w:eastAsia="Times New Roman" w:cs="Times New Roman"/>
          <w:lang w:eastAsia="de-DE"/>
        </w:rPr>
        <w:t xml:space="preserve">ας (wie vor dem Angesicht eines Schwertes), </w:t>
      </w:r>
      <w:r w:rsidRPr="00CC6F7E">
        <w:rPr>
          <w:rFonts w:eastAsia="Times New Roman" w:cs="Times New Roman"/>
          <w:b/>
          <w:bCs/>
          <w:rtl/>
          <w:lang w:eastAsia="de-DE"/>
        </w:rPr>
        <w:t>תקומה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στάσις</w:t>
      </w:r>
      <w:proofErr w:type="spellEnd"/>
      <w:r w:rsidRPr="00CC6F7E">
        <w:rPr>
          <w:rFonts w:eastAsia="Times New Roman" w:cs="Times New Roman"/>
          <w:lang w:eastAsia="de-DE"/>
        </w:rPr>
        <w:t xml:space="preserve"> (Stand) und </w:t>
      </w:r>
      <w:r w:rsidRPr="00CC6F7E">
        <w:rPr>
          <w:rFonts w:eastAsia="Times New Roman" w:cs="Times New Roman"/>
          <w:b/>
          <w:bCs/>
          <w:rtl/>
          <w:lang w:eastAsia="de-DE"/>
        </w:rPr>
        <w:t>לפני איביכם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ρόσω</w:t>
      </w:r>
      <w:proofErr w:type="spellEnd"/>
      <w:r w:rsidRPr="00CC6F7E">
        <w:rPr>
          <w:rFonts w:eastAsia="Times New Roman" w:cs="Times New Roman"/>
          <w:lang w:eastAsia="de-DE"/>
        </w:rPr>
        <w:t xml:space="preserve">πον </w:t>
      </w:r>
      <w:proofErr w:type="spellStart"/>
      <w:r w:rsidRPr="00CC6F7E">
        <w:rPr>
          <w:rFonts w:eastAsia="Times New Roman" w:cs="Times New Roman"/>
          <w:lang w:eastAsia="de-DE"/>
        </w:rPr>
        <w:t>ἐχθρῶν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(gegenüber euren Feinden).</w:t>
      </w:r>
    </w:p>
    <w:p w14:paraId="077328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kollektiven Zusammenbruch: einer über anderen fallen + wie vor Schwert + niemand jagt + kein Bestehen vor Feinden.</w:t>
      </w:r>
    </w:p>
    <w:p w14:paraId="67D55D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Dieser Vers zeigt den totalen Zusammenbruch: In grundloser Panik behindern sich die Überlebenden gegenseitig und werden militärisch völlig hilflos.</w:t>
      </w:r>
    </w:p>
    <w:p w14:paraId="7F68811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26,38</w:t>
      </w:r>
    </w:p>
    <w:p w14:paraId="672CA1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וַאֲבַדְתֶּ֖ם בַּגּוֹיִ֑ם וְאָכְלָ֣ה אֶתְכֶ֔ם אֶ֖רֶץ אֹיְבֵיכֶֽם׃</w:t>
      </w:r>
    </w:p>
    <w:p w14:paraId="36423E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ihr werdet umkommen unter den Nationen, und das Land eurer Feinde wird euch fressen.</w:t>
      </w:r>
    </w:p>
    <w:p w14:paraId="26754AA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72196CA">
          <v:rect id="_x0000_i1841" style="width:0;height:1.5pt" o:hralign="center" o:hrstd="t" o:hr="t" fillcolor="#a0a0a0" stroked="f"/>
        </w:pict>
      </w:r>
    </w:p>
    <w:p w14:paraId="7CBE2E8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ואבדתם בגוים ואכלה אתכם ארץ איביכם</w:t>
      </w:r>
      <w:r w:rsidRPr="00CC6F7E">
        <w:rPr>
          <w:rFonts w:eastAsia="Times New Roman" w:cs="Times New Roman"/>
          <w:rtl/>
          <w:lang w:eastAsia="de-DE"/>
        </w:rPr>
        <w:t xml:space="preserve"> </w:t>
      </w:r>
      <w:r w:rsidRPr="00CC6F7E">
        <w:rPr>
          <w:rFonts w:eastAsia="Times New Roman" w:cs="Times New Roman"/>
          <w:lang w:eastAsia="de-DE"/>
        </w:rPr>
        <w:t xml:space="preserve">zeigt das scheinbare Ende Israels in der Diaspora. </w:t>
      </w:r>
      <w:r w:rsidRPr="00CC6F7E">
        <w:rPr>
          <w:rFonts w:eastAsia="Times New Roman" w:cs="Times New Roman"/>
          <w:b/>
          <w:bCs/>
          <w:rtl/>
          <w:lang w:eastAsia="de-DE"/>
        </w:rPr>
        <w:t>ואבדתם בגוים</w:t>
      </w:r>
      <w:r w:rsidRPr="00CC6F7E">
        <w:rPr>
          <w:rFonts w:eastAsia="Times New Roman" w:cs="Times New Roman"/>
          <w:rtl/>
          <w:lang w:eastAsia="de-DE"/>
        </w:rPr>
        <w:t xml:space="preserve"> </w:t>
      </w:r>
      <w:r w:rsidRPr="00CC6F7E">
        <w:rPr>
          <w:rFonts w:eastAsia="Times New Roman" w:cs="Times New Roman"/>
          <w:lang w:eastAsia="de-DE"/>
        </w:rPr>
        <w:t xml:space="preserve">(und ihr werdet umkommen unter den Nationen) - </w:t>
      </w:r>
      <w:r w:rsidRPr="00CC6F7E">
        <w:rPr>
          <w:rFonts w:eastAsia="Times New Roman" w:cs="Times New Roman"/>
          <w:b/>
          <w:bCs/>
          <w:rtl/>
          <w:lang w:eastAsia="de-DE"/>
        </w:rPr>
        <w:t>ואבדתם</w:t>
      </w:r>
      <w:r w:rsidRPr="00CC6F7E">
        <w:rPr>
          <w:rFonts w:eastAsia="Times New Roman" w:cs="Times New Roman"/>
          <w:rtl/>
          <w:lang w:eastAsia="de-DE"/>
        </w:rPr>
        <w:t xml:space="preserve"> </w:t>
      </w:r>
      <w:r w:rsidRPr="00CC6F7E">
        <w:rPr>
          <w:rFonts w:eastAsia="Times New Roman" w:cs="Times New Roman"/>
          <w:lang w:eastAsia="de-DE"/>
        </w:rPr>
        <w:t xml:space="preserve">(und ihr werdet umkommen) im Qal-Perfekt mit Waw-Konsekutiv von </w:t>
      </w:r>
      <w:r w:rsidRPr="00CC6F7E">
        <w:rPr>
          <w:rFonts w:eastAsia="Times New Roman" w:cs="Times New Roman"/>
          <w:b/>
          <w:bCs/>
          <w:rtl/>
          <w:lang w:eastAsia="de-DE"/>
        </w:rPr>
        <w:t>אבד</w:t>
      </w:r>
      <w:r w:rsidRPr="00CC6F7E">
        <w:rPr>
          <w:rFonts w:eastAsia="Times New Roman" w:cs="Times New Roman"/>
          <w:rtl/>
          <w:lang w:eastAsia="de-DE"/>
        </w:rPr>
        <w:t xml:space="preserve"> </w:t>
      </w:r>
      <w:r w:rsidRPr="00CC6F7E">
        <w:rPr>
          <w:rFonts w:eastAsia="Times New Roman" w:cs="Times New Roman"/>
          <w:lang w:eastAsia="de-DE"/>
        </w:rPr>
        <w:t xml:space="preserve">zeigt totale Vernichtung. </w:t>
      </w:r>
      <w:r w:rsidRPr="00CC6F7E">
        <w:rPr>
          <w:rFonts w:eastAsia="Times New Roman" w:cs="Times New Roman"/>
          <w:b/>
          <w:bCs/>
          <w:rtl/>
          <w:lang w:eastAsia="de-DE"/>
        </w:rPr>
        <w:t>בגוים</w:t>
      </w:r>
      <w:r w:rsidRPr="00CC6F7E">
        <w:rPr>
          <w:rFonts w:eastAsia="Times New Roman" w:cs="Times New Roman"/>
          <w:rtl/>
          <w:lang w:eastAsia="de-DE"/>
        </w:rPr>
        <w:t xml:space="preserve"> </w:t>
      </w:r>
      <w:r w:rsidRPr="00CC6F7E">
        <w:rPr>
          <w:rFonts w:eastAsia="Times New Roman" w:cs="Times New Roman"/>
          <w:lang w:eastAsia="de-DE"/>
        </w:rPr>
        <w:t>(unter den Nationen) entspricht V. 33 und zeigt den Diaspora-Kontext der Vernichtung.</w:t>
      </w:r>
    </w:p>
    <w:p w14:paraId="270CCC6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ואכלה אתכם ארץ איביכם</w:t>
      </w:r>
      <w:r w:rsidRPr="00CC6F7E">
        <w:rPr>
          <w:rFonts w:eastAsia="Times New Roman" w:cs="Times New Roman"/>
          <w:rtl/>
          <w:lang w:eastAsia="de-DE"/>
        </w:rPr>
        <w:t xml:space="preserve"> </w:t>
      </w:r>
      <w:r w:rsidRPr="00CC6F7E">
        <w:rPr>
          <w:rFonts w:eastAsia="Times New Roman" w:cs="Times New Roman"/>
          <w:lang w:eastAsia="de-DE"/>
        </w:rPr>
        <w:t xml:space="preserve">(und das Land eurer Feinde wird euch fressen) - </w:t>
      </w:r>
      <w:r w:rsidRPr="00CC6F7E">
        <w:rPr>
          <w:rFonts w:eastAsia="Times New Roman" w:cs="Times New Roman"/>
          <w:b/>
          <w:bCs/>
          <w:rtl/>
          <w:lang w:eastAsia="de-DE"/>
        </w:rPr>
        <w:t>ואכלה אתכם</w:t>
      </w:r>
      <w:r w:rsidRPr="00CC6F7E">
        <w:rPr>
          <w:rFonts w:eastAsia="Times New Roman" w:cs="Times New Roman"/>
          <w:rtl/>
          <w:lang w:eastAsia="de-DE"/>
        </w:rPr>
        <w:t xml:space="preserve"> </w:t>
      </w:r>
      <w:r w:rsidRPr="00CC6F7E">
        <w:rPr>
          <w:rFonts w:eastAsia="Times New Roman" w:cs="Times New Roman"/>
          <w:lang w:eastAsia="de-DE"/>
        </w:rPr>
        <w:t xml:space="preserve">(und es wird euch fressen) zeigt metaphorisches Verschlungen-Werden. </w:t>
      </w:r>
      <w:r w:rsidRPr="00CC6F7E">
        <w:rPr>
          <w:rFonts w:eastAsia="Times New Roman" w:cs="Times New Roman"/>
          <w:b/>
          <w:bCs/>
          <w:rtl/>
          <w:lang w:eastAsia="de-DE"/>
        </w:rPr>
        <w:t>ארץ איביכם</w:t>
      </w:r>
      <w:r w:rsidRPr="00CC6F7E">
        <w:rPr>
          <w:rFonts w:eastAsia="Times New Roman" w:cs="Times New Roman"/>
          <w:rtl/>
          <w:lang w:eastAsia="de-DE"/>
        </w:rPr>
        <w:t xml:space="preserve"> </w:t>
      </w:r>
      <w:r w:rsidRPr="00CC6F7E">
        <w:rPr>
          <w:rFonts w:eastAsia="Times New Roman" w:cs="Times New Roman"/>
          <w:lang w:eastAsia="de-DE"/>
        </w:rPr>
        <w:t>(das Land eurer Feinde) zeigt das Exilland als "fressende" Macht, die Israel assimiliert und verschwinden lässt.</w:t>
      </w:r>
    </w:p>
    <w:p w14:paraId="310AB5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ואבדתם בגוים</w:t>
      </w:r>
      <w:r w:rsidRPr="00CC6F7E">
        <w:rPr>
          <w:rFonts w:eastAsia="Times New Roman" w:cs="Times New Roman"/>
          <w:rtl/>
          <w:lang w:eastAsia="de-DE"/>
        </w:rPr>
        <w:t xml:space="preserve"> </w:t>
      </w:r>
      <w:r w:rsidRPr="00CC6F7E">
        <w:rPr>
          <w:rFonts w:eastAsia="Times New Roman" w:cs="Times New Roman"/>
          <w:lang w:eastAsia="de-DE"/>
        </w:rPr>
        <w:t xml:space="preserve">zeigt scheinbare Totalvernichtung in der Diaspora. </w:t>
      </w:r>
      <w:r w:rsidRPr="00CC6F7E">
        <w:rPr>
          <w:rFonts w:eastAsia="Times New Roman" w:cs="Times New Roman"/>
          <w:b/>
          <w:bCs/>
          <w:rtl/>
          <w:lang w:eastAsia="de-DE"/>
        </w:rPr>
        <w:t>ואכלה אתכם ארץ איביכם</w:t>
      </w:r>
      <w:r w:rsidRPr="00CC6F7E">
        <w:rPr>
          <w:rFonts w:eastAsia="Times New Roman" w:cs="Times New Roman"/>
          <w:rtl/>
          <w:lang w:eastAsia="de-DE"/>
        </w:rPr>
        <w:t xml:space="preserve"> </w:t>
      </w:r>
      <w:r w:rsidRPr="00CC6F7E">
        <w:rPr>
          <w:rFonts w:eastAsia="Times New Roman" w:cs="Times New Roman"/>
          <w:lang w:eastAsia="de-DE"/>
        </w:rPr>
        <w:t>zeigt das Exilland als verschlingende Macht.</w:t>
      </w:r>
    </w:p>
    <w:p w14:paraId="02D95C8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ואבדתם בגוים</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ολεῖσθε</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ἔθνεσιν</w:t>
      </w:r>
      <w:proofErr w:type="spellEnd"/>
      <w:r w:rsidRPr="00CC6F7E">
        <w:rPr>
          <w:rFonts w:eastAsia="Times New Roman" w:cs="Times New Roman"/>
          <w:lang w:eastAsia="de-DE"/>
        </w:rPr>
        <w:t xml:space="preserve"> (werdet ihr umkommen in den Völkern) und </w:t>
      </w:r>
      <w:r w:rsidRPr="00CC6F7E">
        <w:rPr>
          <w:rFonts w:eastAsia="Times New Roman" w:cs="Times New Roman"/>
          <w:b/>
          <w:bCs/>
          <w:rtl/>
          <w:lang w:eastAsia="de-DE"/>
        </w:rPr>
        <w:t>ואכלה אתכם ארץ איביכם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τέδετ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ὑμᾶς</w:t>
      </w:r>
      <w:proofErr w:type="spellEnd"/>
      <w:r w:rsidRPr="00CC6F7E">
        <w:rPr>
          <w:rFonts w:eastAsia="Times New Roman" w:cs="Times New Roman"/>
          <w:lang w:eastAsia="de-DE"/>
        </w:rPr>
        <w:t xml:space="preserve"> ἡ </w:t>
      </w:r>
      <w:proofErr w:type="spellStart"/>
      <w:r w:rsidRPr="00CC6F7E">
        <w:rPr>
          <w:rFonts w:eastAsia="Times New Roman" w:cs="Times New Roman"/>
          <w:lang w:eastAsia="de-DE"/>
        </w:rPr>
        <w:t>γῆ</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ἐχθρῶν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ὑμῶν</w:t>
      </w:r>
      <w:proofErr w:type="spellEnd"/>
      <w:r w:rsidRPr="00CC6F7E">
        <w:rPr>
          <w:rFonts w:eastAsia="Times New Roman" w:cs="Times New Roman"/>
          <w:lang w:eastAsia="de-DE"/>
        </w:rPr>
        <w:t xml:space="preserve"> (wird euch fressen das Land eurer Feinde).</w:t>
      </w:r>
    </w:p>
    <w:p w14:paraId="67BF8AE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scheinbares Israel-Ende: umkommen unter Nationen + Feindesland frisst euch.</w:t>
      </w:r>
    </w:p>
    <w:p w14:paraId="3A415E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kurze, aber dramatische Vers zeigt den scheinbaren Endpunkt: Israels vollständiges Verschwinden in der Diaspora.</w:t>
      </w:r>
    </w:p>
    <w:p w14:paraId="78D11CA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26,39</w:t>
      </w:r>
    </w:p>
    <w:p w14:paraId="0945C37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וְהַנִּשְׁאָרִ֣ים בָּכֶ֗ם יִמַּ֨קּוּ֙ בַּֽעֲוֹנָ֔ם בְּאַרְצֹ֖ת אֹיְבֵיכֶ֑ם וְאַ֛ף בַּעֲוֹנֹ֥ת אֲבֹתָ֖ם אִתָּ֥ם יִמָּֽקּוּ׃</w:t>
      </w:r>
    </w:p>
    <w:p w14:paraId="54692D2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die von euch Übriggebliebenen werden in den Ländern eurer Feinde dahinschwinden in ihrer Schuld; und auch in den Verschuldungen ihrer Väter mit ihnen werden sie dahinschwinden.</w:t>
      </w:r>
    </w:p>
    <w:p w14:paraId="61F651D0"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EA28D44">
          <v:rect id="_x0000_i1842" style="width:0;height:1.5pt" o:hralign="center" o:hrstd="t" o:hr="t" fillcolor="#a0a0a0" stroked="f"/>
        </w:pict>
      </w:r>
    </w:p>
    <w:p w14:paraId="41AD833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והנשארים בכם ימקו בעונם בארצת איביכם ואף בעונת אבתם אתם ימקו</w:t>
      </w:r>
      <w:r w:rsidRPr="00CC6F7E">
        <w:rPr>
          <w:rFonts w:eastAsia="Times New Roman" w:cs="Times New Roman"/>
          <w:rtl/>
          <w:lang w:eastAsia="de-DE"/>
        </w:rPr>
        <w:t xml:space="preserve"> </w:t>
      </w:r>
      <w:r w:rsidRPr="00CC6F7E">
        <w:rPr>
          <w:rFonts w:eastAsia="Times New Roman" w:cs="Times New Roman"/>
          <w:lang w:eastAsia="de-DE"/>
        </w:rPr>
        <w:t xml:space="preserve">zeigt die graduelle Vernichtung der Überlebenden durch Schuld. </w:t>
      </w:r>
      <w:r w:rsidRPr="00CC6F7E">
        <w:rPr>
          <w:rFonts w:eastAsia="Times New Roman" w:cs="Times New Roman"/>
          <w:b/>
          <w:bCs/>
          <w:rtl/>
          <w:lang w:eastAsia="de-DE"/>
        </w:rPr>
        <w:t>והנשארים בכם</w:t>
      </w:r>
      <w:r w:rsidRPr="00CC6F7E">
        <w:rPr>
          <w:rFonts w:eastAsia="Times New Roman" w:cs="Times New Roman"/>
          <w:rtl/>
          <w:lang w:eastAsia="de-DE"/>
        </w:rPr>
        <w:t xml:space="preserve"> </w:t>
      </w:r>
      <w:r w:rsidRPr="00CC6F7E">
        <w:rPr>
          <w:rFonts w:eastAsia="Times New Roman" w:cs="Times New Roman"/>
          <w:lang w:eastAsia="de-DE"/>
        </w:rPr>
        <w:t xml:space="preserve">(und die von euch Übriggebliebenen) entspricht V. 36 und zeigt die wenigen Überlebenden nach V. 38. </w:t>
      </w:r>
      <w:r w:rsidRPr="00CC6F7E">
        <w:rPr>
          <w:rFonts w:eastAsia="Times New Roman" w:cs="Times New Roman"/>
          <w:b/>
          <w:bCs/>
          <w:rtl/>
          <w:lang w:eastAsia="de-DE"/>
        </w:rPr>
        <w:t>ימקו בעונם</w:t>
      </w:r>
      <w:r w:rsidRPr="00CC6F7E">
        <w:rPr>
          <w:rFonts w:eastAsia="Times New Roman" w:cs="Times New Roman"/>
          <w:rtl/>
          <w:lang w:eastAsia="de-DE"/>
        </w:rPr>
        <w:t xml:space="preserve"> </w:t>
      </w:r>
      <w:r w:rsidRPr="00CC6F7E">
        <w:rPr>
          <w:rFonts w:eastAsia="Times New Roman" w:cs="Times New Roman"/>
          <w:lang w:eastAsia="de-DE"/>
        </w:rPr>
        <w:t xml:space="preserve">(werden dahinschwinden in ihrer Schuld) - </w:t>
      </w:r>
      <w:r w:rsidRPr="00CC6F7E">
        <w:rPr>
          <w:rFonts w:eastAsia="Times New Roman" w:cs="Times New Roman"/>
          <w:b/>
          <w:bCs/>
          <w:rtl/>
          <w:lang w:eastAsia="de-DE"/>
        </w:rPr>
        <w:t>ימקו</w:t>
      </w:r>
      <w:r w:rsidRPr="00CC6F7E">
        <w:rPr>
          <w:rFonts w:eastAsia="Times New Roman" w:cs="Times New Roman"/>
          <w:rtl/>
          <w:lang w:eastAsia="de-DE"/>
        </w:rPr>
        <w:t xml:space="preserve"> </w:t>
      </w:r>
      <w:r w:rsidRPr="00CC6F7E">
        <w:rPr>
          <w:rFonts w:eastAsia="Times New Roman" w:cs="Times New Roman"/>
          <w:lang w:eastAsia="de-DE"/>
        </w:rPr>
        <w:t>(sie werden dahinschwinden) im Qal-</w:t>
      </w:r>
      <w:r w:rsidRPr="00CC6F7E">
        <w:rPr>
          <w:rFonts w:eastAsia="Times New Roman" w:cs="Times New Roman"/>
          <w:lang w:eastAsia="de-DE"/>
        </w:rPr>
        <w:lastRenderedPageBreak/>
        <w:t xml:space="preserve">Imperfekt von </w:t>
      </w:r>
      <w:r w:rsidRPr="00CC6F7E">
        <w:rPr>
          <w:rFonts w:eastAsia="Times New Roman" w:cs="Times New Roman"/>
          <w:b/>
          <w:bCs/>
          <w:rtl/>
          <w:lang w:eastAsia="de-DE"/>
        </w:rPr>
        <w:t>מקק</w:t>
      </w:r>
      <w:r w:rsidRPr="00CC6F7E">
        <w:rPr>
          <w:rFonts w:eastAsia="Times New Roman" w:cs="Times New Roman"/>
          <w:rtl/>
          <w:lang w:eastAsia="de-DE"/>
        </w:rPr>
        <w:t xml:space="preserve"> </w:t>
      </w:r>
      <w:r w:rsidRPr="00CC6F7E">
        <w:rPr>
          <w:rFonts w:eastAsia="Times New Roman" w:cs="Times New Roman"/>
          <w:lang w:eastAsia="de-DE"/>
        </w:rPr>
        <w:t xml:space="preserve">zeigt langsames Vergehen/Verfaulen. </w:t>
      </w:r>
      <w:r w:rsidRPr="00CC6F7E">
        <w:rPr>
          <w:rFonts w:eastAsia="Times New Roman" w:cs="Times New Roman"/>
          <w:b/>
          <w:bCs/>
          <w:rtl/>
          <w:lang w:eastAsia="de-DE"/>
        </w:rPr>
        <w:t>בעונם</w:t>
      </w:r>
      <w:r w:rsidRPr="00CC6F7E">
        <w:rPr>
          <w:rFonts w:eastAsia="Times New Roman" w:cs="Times New Roman"/>
          <w:rtl/>
          <w:lang w:eastAsia="de-DE"/>
        </w:rPr>
        <w:t xml:space="preserve"> </w:t>
      </w:r>
      <w:r w:rsidRPr="00CC6F7E">
        <w:rPr>
          <w:rFonts w:eastAsia="Times New Roman" w:cs="Times New Roman"/>
          <w:lang w:eastAsia="de-DE"/>
        </w:rPr>
        <w:t>(in ihrer Schuld) zeigt eigene Sünden als Ursache.</w:t>
      </w:r>
    </w:p>
    <w:p w14:paraId="388E8E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בארצת איביכם</w:t>
      </w:r>
      <w:r w:rsidRPr="00CC6F7E">
        <w:rPr>
          <w:rFonts w:eastAsia="Times New Roman" w:cs="Times New Roman"/>
          <w:rtl/>
          <w:lang w:eastAsia="de-DE"/>
        </w:rPr>
        <w:t xml:space="preserve"> </w:t>
      </w:r>
      <w:r w:rsidRPr="00CC6F7E">
        <w:rPr>
          <w:rFonts w:eastAsia="Times New Roman" w:cs="Times New Roman"/>
          <w:lang w:eastAsia="de-DE"/>
        </w:rPr>
        <w:t xml:space="preserve">(in den Ländern eurer Feinde) entspricht V. 38 und zeigt den Exil-Kontext. </w:t>
      </w:r>
      <w:r w:rsidRPr="00CC6F7E">
        <w:rPr>
          <w:rFonts w:eastAsia="Times New Roman" w:cs="Times New Roman"/>
          <w:b/>
          <w:bCs/>
          <w:rtl/>
          <w:lang w:eastAsia="de-DE"/>
        </w:rPr>
        <w:t>ואף בעונת אבתם אתם ימקו</w:t>
      </w:r>
      <w:r w:rsidRPr="00CC6F7E">
        <w:rPr>
          <w:rFonts w:eastAsia="Times New Roman" w:cs="Times New Roman"/>
          <w:rtl/>
          <w:lang w:eastAsia="de-DE"/>
        </w:rPr>
        <w:t xml:space="preserve"> </w:t>
      </w:r>
      <w:r w:rsidRPr="00CC6F7E">
        <w:rPr>
          <w:rFonts w:eastAsia="Times New Roman" w:cs="Times New Roman"/>
          <w:lang w:eastAsia="de-DE"/>
        </w:rPr>
        <w:t xml:space="preserve">(und auch in den Verschuldungen ihrer Väter mit ihnen werden sie dahinschwinden) - </w:t>
      </w:r>
      <w:r w:rsidRPr="00CC6F7E">
        <w:rPr>
          <w:rFonts w:eastAsia="Times New Roman" w:cs="Times New Roman"/>
          <w:b/>
          <w:bCs/>
          <w:rtl/>
          <w:lang w:eastAsia="de-DE"/>
        </w:rPr>
        <w:t>ואף</w:t>
      </w:r>
      <w:r w:rsidRPr="00CC6F7E">
        <w:rPr>
          <w:rFonts w:eastAsia="Times New Roman" w:cs="Times New Roman"/>
          <w:rtl/>
          <w:lang w:eastAsia="de-DE"/>
        </w:rPr>
        <w:t xml:space="preserve"> </w:t>
      </w:r>
      <w:r w:rsidRPr="00CC6F7E">
        <w:rPr>
          <w:rFonts w:eastAsia="Times New Roman" w:cs="Times New Roman"/>
          <w:lang w:eastAsia="de-DE"/>
        </w:rPr>
        <w:t xml:space="preserve">(und auch) zeigt zusätzlichen Grund. </w:t>
      </w:r>
      <w:r w:rsidRPr="00CC6F7E">
        <w:rPr>
          <w:rFonts w:eastAsia="Times New Roman" w:cs="Times New Roman"/>
          <w:b/>
          <w:bCs/>
          <w:rtl/>
          <w:lang w:eastAsia="de-DE"/>
        </w:rPr>
        <w:t>בעונת אבתם</w:t>
      </w:r>
      <w:r w:rsidRPr="00CC6F7E">
        <w:rPr>
          <w:rFonts w:eastAsia="Times New Roman" w:cs="Times New Roman"/>
          <w:rtl/>
          <w:lang w:eastAsia="de-DE"/>
        </w:rPr>
        <w:t xml:space="preserve"> </w:t>
      </w:r>
      <w:r w:rsidRPr="00CC6F7E">
        <w:rPr>
          <w:rFonts w:eastAsia="Times New Roman" w:cs="Times New Roman"/>
          <w:lang w:eastAsia="de-DE"/>
        </w:rPr>
        <w:t xml:space="preserve">(in den Verschuldungen ihrer Väter) zeigt generationenübergreifende Schuld. </w:t>
      </w:r>
      <w:r w:rsidRPr="00CC6F7E">
        <w:rPr>
          <w:rFonts w:eastAsia="Times New Roman" w:cs="Times New Roman"/>
          <w:b/>
          <w:bCs/>
          <w:rtl/>
          <w:lang w:eastAsia="de-DE"/>
        </w:rPr>
        <w:t>אתם ימקו</w:t>
      </w:r>
      <w:r w:rsidRPr="00CC6F7E">
        <w:rPr>
          <w:rFonts w:eastAsia="Times New Roman" w:cs="Times New Roman"/>
          <w:rtl/>
          <w:lang w:eastAsia="de-DE"/>
        </w:rPr>
        <w:t xml:space="preserve"> </w:t>
      </w:r>
      <w:r w:rsidRPr="00CC6F7E">
        <w:rPr>
          <w:rFonts w:eastAsia="Times New Roman" w:cs="Times New Roman"/>
          <w:lang w:eastAsia="de-DE"/>
        </w:rPr>
        <w:t>(mit ihnen werden sie dahinschwinden) zeigt dass Väter-Sünden mitschwinden lassen.</w:t>
      </w:r>
    </w:p>
    <w:p w14:paraId="4FEF124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הנשארים בכם</w:t>
      </w:r>
      <w:r w:rsidRPr="00CC6F7E">
        <w:rPr>
          <w:rFonts w:eastAsia="Times New Roman" w:cs="Times New Roman"/>
          <w:rtl/>
          <w:lang w:eastAsia="de-DE"/>
        </w:rPr>
        <w:t xml:space="preserve"> </w:t>
      </w:r>
      <w:r w:rsidRPr="00CC6F7E">
        <w:rPr>
          <w:rFonts w:eastAsia="Times New Roman" w:cs="Times New Roman"/>
          <w:lang w:eastAsia="de-DE"/>
        </w:rPr>
        <w:t xml:space="preserve">zeigt die wenigen nach der Katastrophe. </w:t>
      </w:r>
      <w:r w:rsidRPr="00CC6F7E">
        <w:rPr>
          <w:rFonts w:eastAsia="Times New Roman" w:cs="Times New Roman"/>
          <w:b/>
          <w:bCs/>
          <w:rtl/>
          <w:lang w:eastAsia="de-DE"/>
        </w:rPr>
        <w:t>ימקו בעונם</w:t>
      </w:r>
      <w:r w:rsidRPr="00CC6F7E">
        <w:rPr>
          <w:rFonts w:eastAsia="Times New Roman" w:cs="Times New Roman"/>
          <w:rtl/>
          <w:lang w:eastAsia="de-DE"/>
        </w:rPr>
        <w:t xml:space="preserve"> </w:t>
      </w:r>
      <w:r w:rsidRPr="00CC6F7E">
        <w:rPr>
          <w:rFonts w:eastAsia="Times New Roman" w:cs="Times New Roman"/>
          <w:lang w:eastAsia="de-DE"/>
        </w:rPr>
        <w:t xml:space="preserve">zeigt langsame Vernichtung durch Schuld. </w:t>
      </w:r>
      <w:r w:rsidRPr="00CC6F7E">
        <w:rPr>
          <w:rFonts w:eastAsia="Times New Roman" w:cs="Times New Roman"/>
          <w:b/>
          <w:bCs/>
          <w:rtl/>
          <w:lang w:eastAsia="de-DE"/>
        </w:rPr>
        <w:t>בעונת אבתם אתם</w:t>
      </w:r>
      <w:r w:rsidRPr="00CC6F7E">
        <w:rPr>
          <w:rFonts w:eastAsia="Times New Roman" w:cs="Times New Roman"/>
          <w:rtl/>
          <w:lang w:eastAsia="de-DE"/>
        </w:rPr>
        <w:t xml:space="preserve"> </w:t>
      </w:r>
      <w:r w:rsidRPr="00CC6F7E">
        <w:rPr>
          <w:rFonts w:eastAsia="Times New Roman" w:cs="Times New Roman"/>
          <w:lang w:eastAsia="de-DE"/>
        </w:rPr>
        <w:t>zeigt Generationen-Solidarität in Schuld und Strafe.</w:t>
      </w:r>
    </w:p>
    <w:p w14:paraId="219C1D09" w14:textId="3E39E1B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ימקו</w:t>
      </w:r>
      <w:r w:rsidR="00274C29">
        <w:t xml:space="preserve"> (</w:t>
      </w:r>
      <w:proofErr w:type="spellStart"/>
      <w:r w:rsidR="00274C29">
        <w:t>yimmaqu</w:t>
      </w:r>
      <w:proofErr w:type="spellEnd"/>
      <w:r w:rsidR="00274C29">
        <w:t xml:space="preserve"> - "sie werden dahinschwinden") als τα</w:t>
      </w:r>
      <w:proofErr w:type="spellStart"/>
      <w:r w:rsidR="00274C29">
        <w:t>κήσοντ</w:t>
      </w:r>
      <w:proofErr w:type="spellEnd"/>
      <w:r w:rsidR="00274C29">
        <w:t>αι (sie werden schmelzen/vergehen).</w:t>
      </w:r>
    </w:p>
    <w:p w14:paraId="7D1298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graduelle Vernichtung: Übriggebliebene schwinden dahin + in ihrer Schuld + in Feindländern + auch in Väter-Verschuldungen + mit ihnen schwinden sie dahin.</w:t>
      </w:r>
    </w:p>
    <w:p w14:paraId="4D6F0D6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 langsame Dahinschwinden der letzten Überlebenden durch eigene und ererbte Schuld im Exil.</w:t>
      </w:r>
    </w:p>
    <w:p w14:paraId="3862070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26,40</w:t>
      </w:r>
    </w:p>
    <w:p w14:paraId="23B567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וְהִתְוַדּ֤וּ אֶת־עֲוֹנָם֙ וְאֶת־עֲוֹ֣ן אֲבֹתָ֔ם בְּמַעֲלָ֖ם אֲשֶׁ֣ר מָֽעֲלוּ־בִ֑י וְאַ֕ף אֲשֶׁר־הָֽלְכ֥וּ עִמִּ֖י בְּקֶֽרִי׃</w:t>
      </w:r>
    </w:p>
    <w:p w14:paraId="014B85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sie werden ihre Schuld bekennen und die Schuld ihrer Väter wegen ihrer Untreue, die sie gegen mich begangen haben, und auch dass sie mir zuwider gewandelt sind.</w:t>
      </w:r>
    </w:p>
    <w:p w14:paraId="4954E3D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D1220ED">
          <v:rect id="_x0000_i1843" style="width:0;height:1.5pt" o:hralign="center" o:hrstd="t" o:hr="t" fillcolor="#a0a0a0" stroked="f"/>
        </w:pict>
      </w:r>
    </w:p>
    <w:p w14:paraId="58B68C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והתודו את־עונם ואת־עון אבתם במעלם אשר מעלו־בי ואף אשר־הלכו עמי בקרי</w:t>
      </w:r>
      <w:r w:rsidRPr="00CC6F7E">
        <w:rPr>
          <w:rFonts w:eastAsia="Times New Roman" w:cs="Times New Roman"/>
          <w:rtl/>
          <w:lang w:eastAsia="de-DE"/>
        </w:rPr>
        <w:t xml:space="preserve"> </w:t>
      </w:r>
      <w:r w:rsidRPr="00CC6F7E">
        <w:rPr>
          <w:rFonts w:eastAsia="Times New Roman" w:cs="Times New Roman"/>
          <w:lang w:eastAsia="de-DE"/>
        </w:rPr>
        <w:t xml:space="preserve">zeigt den Wendepunkt: Schuldbekenntnis als Umkehr-Beginn. </w:t>
      </w:r>
      <w:r w:rsidRPr="00CC6F7E">
        <w:rPr>
          <w:rFonts w:eastAsia="Times New Roman" w:cs="Times New Roman"/>
          <w:b/>
          <w:bCs/>
          <w:rtl/>
          <w:lang w:eastAsia="de-DE"/>
        </w:rPr>
        <w:t>והתודו את־עונם ואת־עון אבתם</w:t>
      </w:r>
      <w:r w:rsidRPr="00CC6F7E">
        <w:rPr>
          <w:rFonts w:eastAsia="Times New Roman" w:cs="Times New Roman"/>
          <w:rtl/>
          <w:lang w:eastAsia="de-DE"/>
        </w:rPr>
        <w:t xml:space="preserve"> </w:t>
      </w:r>
      <w:r w:rsidRPr="00CC6F7E">
        <w:rPr>
          <w:rFonts w:eastAsia="Times New Roman" w:cs="Times New Roman"/>
          <w:lang w:eastAsia="de-DE"/>
        </w:rPr>
        <w:t xml:space="preserve">(und sie werden ihre Schuld bekennen und die Schuld ihrer Väter) - </w:t>
      </w:r>
      <w:r w:rsidRPr="00CC6F7E">
        <w:rPr>
          <w:rFonts w:eastAsia="Times New Roman" w:cs="Times New Roman"/>
          <w:b/>
          <w:bCs/>
          <w:rtl/>
          <w:lang w:eastAsia="de-DE"/>
        </w:rPr>
        <w:t>והתודו</w:t>
      </w:r>
      <w:r w:rsidRPr="00CC6F7E">
        <w:rPr>
          <w:rFonts w:eastAsia="Times New Roman" w:cs="Times New Roman"/>
          <w:rtl/>
          <w:lang w:eastAsia="de-DE"/>
        </w:rPr>
        <w:t xml:space="preserve"> </w:t>
      </w:r>
      <w:r w:rsidRPr="00CC6F7E">
        <w:rPr>
          <w:rFonts w:eastAsia="Times New Roman" w:cs="Times New Roman"/>
          <w:lang w:eastAsia="de-DE"/>
        </w:rPr>
        <w:t xml:space="preserve">(und sie werden bekennen) im Hitpael-Perfekt mit Waw-Konsekutiv von </w:t>
      </w:r>
      <w:r w:rsidRPr="00CC6F7E">
        <w:rPr>
          <w:rFonts w:eastAsia="Times New Roman" w:cs="Times New Roman"/>
          <w:b/>
          <w:bCs/>
          <w:rtl/>
          <w:lang w:eastAsia="de-DE"/>
        </w:rPr>
        <w:t>ידה</w:t>
      </w:r>
      <w:r w:rsidRPr="00CC6F7E">
        <w:rPr>
          <w:rFonts w:eastAsia="Times New Roman" w:cs="Times New Roman"/>
          <w:lang w:eastAsia="de-DE"/>
        </w:rPr>
        <w:t xml:space="preserve">, das Hitpael zeigt reflexive Schuldeingeständnis. </w:t>
      </w:r>
      <w:r w:rsidRPr="00CC6F7E">
        <w:rPr>
          <w:rFonts w:eastAsia="Times New Roman" w:cs="Times New Roman"/>
          <w:b/>
          <w:bCs/>
          <w:rtl/>
          <w:lang w:eastAsia="de-DE"/>
        </w:rPr>
        <w:t>את־עונם</w:t>
      </w:r>
      <w:r w:rsidRPr="00CC6F7E">
        <w:rPr>
          <w:rFonts w:eastAsia="Times New Roman" w:cs="Times New Roman"/>
          <w:rtl/>
          <w:lang w:eastAsia="de-DE"/>
        </w:rPr>
        <w:t xml:space="preserve"> </w:t>
      </w:r>
      <w:r w:rsidRPr="00CC6F7E">
        <w:rPr>
          <w:rFonts w:eastAsia="Times New Roman" w:cs="Times New Roman"/>
          <w:lang w:eastAsia="de-DE"/>
        </w:rPr>
        <w:t xml:space="preserve">(ihre Schuld) und </w:t>
      </w:r>
      <w:r w:rsidRPr="00CC6F7E">
        <w:rPr>
          <w:rFonts w:eastAsia="Times New Roman" w:cs="Times New Roman"/>
          <w:b/>
          <w:bCs/>
          <w:rtl/>
          <w:lang w:eastAsia="de-DE"/>
        </w:rPr>
        <w:t>את־עון אבתם</w:t>
      </w:r>
      <w:r w:rsidRPr="00CC6F7E">
        <w:rPr>
          <w:rFonts w:eastAsia="Times New Roman" w:cs="Times New Roman"/>
          <w:rtl/>
          <w:lang w:eastAsia="de-DE"/>
        </w:rPr>
        <w:t xml:space="preserve"> </w:t>
      </w:r>
      <w:r w:rsidRPr="00CC6F7E">
        <w:rPr>
          <w:rFonts w:eastAsia="Times New Roman" w:cs="Times New Roman"/>
          <w:lang w:eastAsia="de-DE"/>
        </w:rPr>
        <w:t>(die Schuld ihrer Väter) entsprechen V. 39.</w:t>
      </w:r>
    </w:p>
    <w:p w14:paraId="6E2D49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במעלם אשר מעלו־בי</w:t>
      </w:r>
      <w:r w:rsidRPr="00CC6F7E">
        <w:rPr>
          <w:rFonts w:eastAsia="Times New Roman" w:cs="Times New Roman"/>
          <w:rtl/>
          <w:lang w:eastAsia="de-DE"/>
        </w:rPr>
        <w:t xml:space="preserve"> </w:t>
      </w:r>
      <w:r w:rsidRPr="00CC6F7E">
        <w:rPr>
          <w:rFonts w:eastAsia="Times New Roman" w:cs="Times New Roman"/>
          <w:lang w:eastAsia="de-DE"/>
        </w:rPr>
        <w:t xml:space="preserve">(wegen ihrer Untreue, die sie gegen mich begangen haben) - </w:t>
      </w:r>
      <w:r w:rsidRPr="00CC6F7E">
        <w:rPr>
          <w:rFonts w:eastAsia="Times New Roman" w:cs="Times New Roman"/>
          <w:b/>
          <w:bCs/>
          <w:rtl/>
          <w:lang w:eastAsia="de-DE"/>
        </w:rPr>
        <w:t>במעלם</w:t>
      </w:r>
      <w:r w:rsidRPr="00CC6F7E">
        <w:rPr>
          <w:rFonts w:eastAsia="Times New Roman" w:cs="Times New Roman"/>
          <w:rtl/>
          <w:lang w:eastAsia="de-DE"/>
        </w:rPr>
        <w:t xml:space="preserve"> </w:t>
      </w:r>
      <w:r w:rsidRPr="00CC6F7E">
        <w:rPr>
          <w:rFonts w:eastAsia="Times New Roman" w:cs="Times New Roman"/>
          <w:lang w:eastAsia="de-DE"/>
        </w:rPr>
        <w:t xml:space="preserve">(in ihrer Untreue) zeigt </w:t>
      </w:r>
      <w:r w:rsidRPr="00CC6F7E">
        <w:rPr>
          <w:rFonts w:eastAsia="Times New Roman" w:cs="Times New Roman"/>
          <w:b/>
          <w:bCs/>
          <w:rtl/>
          <w:lang w:eastAsia="de-DE"/>
        </w:rPr>
        <w:t>מעל</w:t>
      </w:r>
      <w:r w:rsidRPr="00CC6F7E">
        <w:rPr>
          <w:rFonts w:eastAsia="Times New Roman" w:cs="Times New Roman"/>
          <w:rtl/>
          <w:lang w:eastAsia="de-DE"/>
        </w:rPr>
        <w:t xml:space="preserve"> </w:t>
      </w:r>
      <w:r w:rsidRPr="00CC6F7E">
        <w:rPr>
          <w:rFonts w:eastAsia="Times New Roman" w:cs="Times New Roman"/>
          <w:lang w:eastAsia="de-DE"/>
        </w:rPr>
        <w:t xml:space="preserve">(Untreue/Bundesbruch). </w:t>
      </w:r>
      <w:r w:rsidRPr="00CC6F7E">
        <w:rPr>
          <w:rFonts w:eastAsia="Times New Roman" w:cs="Times New Roman"/>
          <w:b/>
          <w:bCs/>
          <w:rtl/>
          <w:lang w:eastAsia="de-DE"/>
        </w:rPr>
        <w:t>אשר מעלו־בי</w:t>
      </w:r>
      <w:r w:rsidRPr="00CC6F7E">
        <w:rPr>
          <w:rFonts w:eastAsia="Times New Roman" w:cs="Times New Roman"/>
          <w:rtl/>
          <w:lang w:eastAsia="de-DE"/>
        </w:rPr>
        <w:t xml:space="preserve"> </w:t>
      </w:r>
      <w:r w:rsidRPr="00CC6F7E">
        <w:rPr>
          <w:rFonts w:eastAsia="Times New Roman" w:cs="Times New Roman"/>
          <w:lang w:eastAsia="de-DE"/>
        </w:rPr>
        <w:t>(die sie gegen mich begangen haben) zeigt persönliche Untreue gegen JHWH.</w:t>
      </w:r>
    </w:p>
    <w:p w14:paraId="5A6CB6C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ואף אשר־הלכו עמי בקרי</w:t>
      </w:r>
      <w:r w:rsidRPr="00CC6F7E">
        <w:rPr>
          <w:rFonts w:eastAsia="Times New Roman" w:cs="Times New Roman"/>
          <w:rtl/>
          <w:lang w:eastAsia="de-DE"/>
        </w:rPr>
        <w:t xml:space="preserve"> </w:t>
      </w:r>
      <w:r w:rsidRPr="00CC6F7E">
        <w:rPr>
          <w:rFonts w:eastAsia="Times New Roman" w:cs="Times New Roman"/>
          <w:lang w:eastAsia="de-DE"/>
        </w:rPr>
        <w:t xml:space="preserve">(und auch dass sie mir zuwider gewandelt sind) - </w:t>
      </w:r>
      <w:r w:rsidRPr="00CC6F7E">
        <w:rPr>
          <w:rFonts w:eastAsia="Times New Roman" w:cs="Times New Roman"/>
          <w:b/>
          <w:bCs/>
          <w:rtl/>
          <w:lang w:eastAsia="de-DE"/>
        </w:rPr>
        <w:t>ואף</w:t>
      </w:r>
      <w:r w:rsidRPr="00CC6F7E">
        <w:rPr>
          <w:rFonts w:eastAsia="Times New Roman" w:cs="Times New Roman"/>
          <w:rtl/>
          <w:lang w:eastAsia="de-DE"/>
        </w:rPr>
        <w:t xml:space="preserve"> </w:t>
      </w:r>
      <w:r w:rsidRPr="00CC6F7E">
        <w:rPr>
          <w:rFonts w:eastAsia="Times New Roman" w:cs="Times New Roman"/>
          <w:lang w:eastAsia="de-DE"/>
        </w:rPr>
        <w:t xml:space="preserve">(und auch) zeigt zweiten Bekenntnisinhalt. </w:t>
      </w:r>
      <w:r w:rsidRPr="00CC6F7E">
        <w:rPr>
          <w:rFonts w:eastAsia="Times New Roman" w:cs="Times New Roman"/>
          <w:b/>
          <w:bCs/>
          <w:rtl/>
          <w:lang w:eastAsia="de-DE"/>
        </w:rPr>
        <w:t>הלכו עמי בקרי</w:t>
      </w:r>
      <w:r w:rsidRPr="00CC6F7E">
        <w:rPr>
          <w:rFonts w:eastAsia="Times New Roman" w:cs="Times New Roman"/>
          <w:rtl/>
          <w:lang w:eastAsia="de-DE"/>
        </w:rPr>
        <w:t xml:space="preserve"> </w:t>
      </w:r>
      <w:r w:rsidRPr="00CC6F7E">
        <w:rPr>
          <w:rFonts w:eastAsia="Times New Roman" w:cs="Times New Roman"/>
          <w:lang w:eastAsia="de-DE"/>
        </w:rPr>
        <w:t>entspricht V. 21,23,24,27,28 und zeigt die feindselige Haltung.</w:t>
      </w:r>
    </w:p>
    <w:p w14:paraId="17AD3F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והתודו</w:t>
      </w:r>
      <w:r w:rsidRPr="00CC6F7E">
        <w:rPr>
          <w:rFonts w:eastAsia="Times New Roman" w:cs="Times New Roman"/>
          <w:rtl/>
          <w:lang w:eastAsia="de-DE"/>
        </w:rPr>
        <w:t xml:space="preserve"> </w:t>
      </w:r>
      <w:r w:rsidRPr="00CC6F7E">
        <w:rPr>
          <w:rFonts w:eastAsia="Times New Roman" w:cs="Times New Roman"/>
          <w:lang w:eastAsia="de-DE"/>
        </w:rPr>
        <w:t xml:space="preserve">zeigt Schuldbekenntnis als Umkehr-Anfang. </w:t>
      </w:r>
      <w:r w:rsidRPr="00CC6F7E">
        <w:rPr>
          <w:rFonts w:eastAsia="Times New Roman" w:cs="Times New Roman"/>
          <w:b/>
          <w:bCs/>
          <w:rtl/>
          <w:lang w:eastAsia="de-DE"/>
        </w:rPr>
        <w:t>במעלם...מעלו־בי</w:t>
      </w:r>
      <w:r w:rsidRPr="00CC6F7E">
        <w:rPr>
          <w:rFonts w:eastAsia="Times New Roman" w:cs="Times New Roman"/>
          <w:rtl/>
          <w:lang w:eastAsia="de-DE"/>
        </w:rPr>
        <w:t xml:space="preserve"> </w:t>
      </w:r>
      <w:r w:rsidRPr="00CC6F7E">
        <w:rPr>
          <w:rFonts w:eastAsia="Times New Roman" w:cs="Times New Roman"/>
          <w:lang w:eastAsia="de-DE"/>
        </w:rPr>
        <w:t xml:space="preserve">zeigt </w:t>
      </w:r>
      <w:r w:rsidRPr="00CC6F7E">
        <w:rPr>
          <w:rFonts w:eastAsia="Times New Roman" w:cs="Times New Roman"/>
          <w:b/>
          <w:bCs/>
          <w:rtl/>
          <w:lang w:eastAsia="de-DE"/>
        </w:rPr>
        <w:t>מעל</w:t>
      </w:r>
      <w:r w:rsidRPr="00CC6F7E">
        <w:rPr>
          <w:rFonts w:eastAsia="Times New Roman" w:cs="Times New Roman"/>
          <w:rtl/>
          <w:lang w:eastAsia="de-DE"/>
        </w:rPr>
        <w:t xml:space="preserve"> </w:t>
      </w:r>
      <w:r w:rsidRPr="00CC6F7E">
        <w:rPr>
          <w:rFonts w:eastAsia="Times New Roman" w:cs="Times New Roman"/>
          <w:lang w:eastAsia="de-DE"/>
        </w:rPr>
        <w:t xml:space="preserve">(Untreue) als zentrale Sünde. </w:t>
      </w:r>
      <w:r w:rsidRPr="00CC6F7E">
        <w:rPr>
          <w:rFonts w:eastAsia="Times New Roman" w:cs="Times New Roman"/>
          <w:b/>
          <w:bCs/>
          <w:rtl/>
          <w:lang w:eastAsia="de-DE"/>
        </w:rPr>
        <w:t>הלכו עמי בקרי</w:t>
      </w:r>
      <w:r w:rsidRPr="00CC6F7E">
        <w:rPr>
          <w:rFonts w:eastAsia="Times New Roman" w:cs="Times New Roman"/>
          <w:rtl/>
          <w:lang w:eastAsia="de-DE"/>
        </w:rPr>
        <w:t xml:space="preserve"> </w:t>
      </w:r>
      <w:r w:rsidRPr="00CC6F7E">
        <w:rPr>
          <w:rFonts w:eastAsia="Times New Roman" w:cs="Times New Roman"/>
          <w:lang w:eastAsia="de-DE"/>
        </w:rPr>
        <w:t>zeigt Feindseligkeit als zu bekennende Haltung.</w:t>
      </w:r>
    </w:p>
    <w:p w14:paraId="6C6301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והתודו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ἐξ</w:t>
      </w:r>
      <w:proofErr w:type="spellEnd"/>
      <w:r w:rsidRPr="00CC6F7E">
        <w:rPr>
          <w:rFonts w:eastAsia="Times New Roman" w:cs="Times New Roman"/>
          <w:lang w:eastAsia="de-DE"/>
        </w:rPr>
        <w:t xml:space="preserve">αγορεύσουσιν (werden sie bekennen), </w:t>
      </w:r>
      <w:r w:rsidRPr="00CC6F7E">
        <w:rPr>
          <w:rFonts w:eastAsia="Times New Roman" w:cs="Times New Roman"/>
          <w:b/>
          <w:bCs/>
          <w:rtl/>
          <w:lang w:eastAsia="de-DE"/>
        </w:rPr>
        <w:t>במעלם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λημμέλει</w:t>
      </w:r>
      <w:proofErr w:type="spellEnd"/>
      <w:r w:rsidRPr="00CC6F7E">
        <w:rPr>
          <w:rFonts w:eastAsia="Times New Roman" w:cs="Times New Roman"/>
          <w:lang w:eastAsia="de-DE"/>
        </w:rPr>
        <w:t>αν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(ihre Übertretung), </w:t>
      </w:r>
      <w:r w:rsidRPr="00CC6F7E">
        <w:rPr>
          <w:rFonts w:eastAsia="Times New Roman" w:cs="Times New Roman"/>
          <w:b/>
          <w:bCs/>
          <w:rtl/>
          <w:lang w:eastAsia="de-DE"/>
        </w:rPr>
        <w:t>מעלו־בי</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ἠσέ</w:t>
      </w:r>
      <w:proofErr w:type="spellEnd"/>
      <w:r w:rsidRPr="00CC6F7E">
        <w:rPr>
          <w:rFonts w:eastAsia="Times New Roman" w:cs="Times New Roman"/>
          <w:lang w:eastAsia="de-DE"/>
        </w:rPr>
        <w:t xml:space="preserve">βησαν </w:t>
      </w:r>
      <w:proofErr w:type="spellStart"/>
      <w:r w:rsidRPr="00CC6F7E">
        <w:rPr>
          <w:rFonts w:eastAsia="Times New Roman" w:cs="Times New Roman"/>
          <w:lang w:eastAsia="de-DE"/>
        </w:rPr>
        <w:t>εἰς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ἐμέ</w:t>
      </w:r>
      <w:proofErr w:type="spellEnd"/>
      <w:r w:rsidRPr="00CC6F7E">
        <w:rPr>
          <w:rFonts w:eastAsia="Times New Roman" w:cs="Times New Roman"/>
          <w:lang w:eastAsia="de-DE"/>
        </w:rPr>
        <w:t xml:space="preserve"> (sie frevelten gegen mich) und </w:t>
      </w:r>
      <w:r w:rsidRPr="00CC6F7E">
        <w:rPr>
          <w:rFonts w:eastAsia="Times New Roman" w:cs="Times New Roman"/>
          <w:b/>
          <w:bCs/>
          <w:rtl/>
          <w:lang w:eastAsia="de-DE"/>
        </w:rPr>
        <w:t>הלכו עמי בקרי</w:t>
      </w:r>
      <w:r w:rsidRPr="00CC6F7E">
        <w:rPr>
          <w:rFonts w:eastAsia="Times New Roman" w:cs="Times New Roman"/>
          <w:rtl/>
          <w:lang w:eastAsia="de-DE"/>
        </w:rPr>
        <w:t xml:space="preserve"> </w:t>
      </w:r>
      <w:r w:rsidRPr="00CC6F7E">
        <w:rPr>
          <w:rFonts w:eastAsia="Times New Roman" w:cs="Times New Roman"/>
          <w:lang w:eastAsia="de-DE"/>
        </w:rPr>
        <w:t>mit ἐπ</w:t>
      </w:r>
      <w:proofErr w:type="spellStart"/>
      <w:r w:rsidRPr="00CC6F7E">
        <w:rPr>
          <w:rFonts w:eastAsia="Times New Roman" w:cs="Times New Roman"/>
          <w:lang w:eastAsia="de-DE"/>
        </w:rPr>
        <w:t>ορεύθησ</w:t>
      </w:r>
      <w:proofErr w:type="spellEnd"/>
      <w:r w:rsidRPr="00CC6F7E">
        <w:rPr>
          <w:rFonts w:eastAsia="Times New Roman" w:cs="Times New Roman"/>
          <w:lang w:eastAsia="de-DE"/>
        </w:rPr>
        <w:t xml:space="preserve">αν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αντίον </w:t>
      </w:r>
      <w:proofErr w:type="spellStart"/>
      <w:r w:rsidRPr="00CC6F7E">
        <w:rPr>
          <w:rFonts w:eastAsia="Times New Roman" w:cs="Times New Roman"/>
          <w:lang w:eastAsia="de-DE"/>
        </w:rPr>
        <w:t>μου</w:t>
      </w:r>
      <w:proofErr w:type="spellEnd"/>
      <w:r w:rsidRPr="00CC6F7E">
        <w:rPr>
          <w:rFonts w:eastAsia="Times New Roman" w:cs="Times New Roman"/>
          <w:lang w:eastAsia="de-DE"/>
        </w:rPr>
        <w:t xml:space="preserve"> πλα</w:t>
      </w:r>
      <w:proofErr w:type="spellStart"/>
      <w:r w:rsidRPr="00CC6F7E">
        <w:rPr>
          <w:rFonts w:eastAsia="Times New Roman" w:cs="Times New Roman"/>
          <w:lang w:eastAsia="de-DE"/>
        </w:rPr>
        <w:t>γίως</w:t>
      </w:r>
      <w:proofErr w:type="spellEnd"/>
      <w:r w:rsidRPr="00CC6F7E">
        <w:rPr>
          <w:rFonts w:eastAsia="Times New Roman" w:cs="Times New Roman"/>
          <w:lang w:eastAsia="de-DE"/>
        </w:rPr>
        <w:t xml:space="preserve"> (wandelten mir gegenüber schief).</w:t>
      </w:r>
    </w:p>
    <w:p w14:paraId="2D47489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Umkehr-Schuldbekenntnis: ihre Schuld und Väter-Schuld bekennen + wegen Untreue gegen mich + auch dass sie mir zuwider wandelten.</w:t>
      </w:r>
    </w:p>
    <w:p w14:paraId="22B7BB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den entscheidenden Wendepunkt: Das Schuldbekenntnis sowohl eigener als auch ererbter Sünden, besonders der Untreue und Feindseligkeit gegen JHWH.</w:t>
      </w:r>
    </w:p>
    <w:p w14:paraId="7D9FA76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26,41</w:t>
      </w:r>
    </w:p>
    <w:p w14:paraId="70E73A0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אַף־אֲנִ֗י אֵלֵ֤ךְ עִמָּם֙ בְּקֶ֔רִי וְהֵבֵאתִ֣י אֹתָ֔ם בְּאֶ֖רֶץ אֹיְבֵיהֶ֑ם אוֹ־אָ֣ז יִכָּנַ֗ע לְבָבָם֙ הֶֽעָרֵ֔ל וְאָ֖ז יִרְצ֥וּ אֶת־עֲוֹנָֽם׃</w:t>
      </w:r>
    </w:p>
    <w:p w14:paraId="71AAA76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Auch ich werde ihnen zuwider wandeln und sie in das Land ihrer Feinde bringen. Wenn dann ihr unbeschnittenes Herz sich demütigt und sie dann ihre Schuld büßen,</w:t>
      </w:r>
    </w:p>
    <w:p w14:paraId="3AE56B3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B85F8EB">
          <v:rect id="_x0000_i1844" style="width:0;height:1.5pt" o:hralign="center" o:hrstd="t" o:hr="t" fillcolor="#a0a0a0" stroked="f"/>
        </w:pict>
      </w:r>
    </w:p>
    <w:p w14:paraId="0E500C5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אף־אני אלך עמם בקרי והבאתי אתם בארץ איביהם או־אז יכנע לבבם הערל ואז ירצו את־עונם</w:t>
      </w:r>
      <w:r w:rsidRPr="00CC6F7E">
        <w:rPr>
          <w:rFonts w:eastAsia="Times New Roman" w:cs="Times New Roman"/>
          <w:rtl/>
          <w:lang w:eastAsia="de-DE"/>
        </w:rPr>
        <w:t xml:space="preserve"> </w:t>
      </w:r>
      <w:r w:rsidRPr="00CC6F7E">
        <w:rPr>
          <w:rFonts w:eastAsia="Times New Roman" w:cs="Times New Roman"/>
          <w:lang w:eastAsia="de-DE"/>
        </w:rPr>
        <w:t xml:space="preserve">zeigt göttliche Vergeltung und mögliche Herzensdemütigung. </w:t>
      </w:r>
      <w:r w:rsidRPr="00CC6F7E">
        <w:rPr>
          <w:rFonts w:eastAsia="Times New Roman" w:cs="Times New Roman"/>
          <w:b/>
          <w:bCs/>
          <w:rtl/>
          <w:lang w:eastAsia="de-DE"/>
        </w:rPr>
        <w:t>אף־אני אלך עמם בקרי</w:t>
      </w:r>
      <w:r w:rsidRPr="00CC6F7E">
        <w:rPr>
          <w:rFonts w:eastAsia="Times New Roman" w:cs="Times New Roman"/>
          <w:rtl/>
          <w:lang w:eastAsia="de-DE"/>
        </w:rPr>
        <w:t xml:space="preserve"> </w:t>
      </w:r>
      <w:r w:rsidRPr="00CC6F7E">
        <w:rPr>
          <w:rFonts w:eastAsia="Times New Roman" w:cs="Times New Roman"/>
          <w:lang w:eastAsia="de-DE"/>
        </w:rPr>
        <w:t>(auch ich werde ihnen zuwider wandeln) entspricht V. 24,28 und zeigt göttliche Vergeltungs-Feindseligkeit als Antwort auf menschliche Feindseligkeit.</w:t>
      </w:r>
    </w:p>
    <w:p w14:paraId="2FF6C8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והבאתי אתם בארץ איביהם</w:t>
      </w:r>
      <w:r w:rsidRPr="00CC6F7E">
        <w:rPr>
          <w:rFonts w:eastAsia="Times New Roman" w:cs="Times New Roman"/>
          <w:rtl/>
          <w:lang w:eastAsia="de-DE"/>
        </w:rPr>
        <w:t xml:space="preserve"> </w:t>
      </w:r>
      <w:r w:rsidRPr="00CC6F7E">
        <w:rPr>
          <w:rFonts w:eastAsia="Times New Roman" w:cs="Times New Roman"/>
          <w:lang w:eastAsia="de-DE"/>
        </w:rPr>
        <w:t>(und sie in das Land ihrer Feinde bringen) zeigt dass das Exil göttliche Straftat ist, entspricht V. 33.</w:t>
      </w:r>
    </w:p>
    <w:p w14:paraId="29877CC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או־אז יכנע לבבם הערל</w:t>
      </w:r>
      <w:r w:rsidRPr="00CC6F7E">
        <w:rPr>
          <w:rFonts w:eastAsia="Times New Roman" w:cs="Times New Roman"/>
          <w:rtl/>
          <w:lang w:eastAsia="de-DE"/>
        </w:rPr>
        <w:t xml:space="preserve"> </w:t>
      </w:r>
      <w:r w:rsidRPr="00CC6F7E">
        <w:rPr>
          <w:rFonts w:eastAsia="Times New Roman" w:cs="Times New Roman"/>
          <w:lang w:eastAsia="de-DE"/>
        </w:rPr>
        <w:t xml:space="preserve">(wenn dann ihr unbeschnittenes Herz sich demütigt) - </w:t>
      </w:r>
      <w:r w:rsidRPr="00CC6F7E">
        <w:rPr>
          <w:rFonts w:eastAsia="Times New Roman" w:cs="Times New Roman"/>
          <w:b/>
          <w:bCs/>
          <w:rtl/>
          <w:lang w:eastAsia="de-DE"/>
        </w:rPr>
        <w:t>או־אז</w:t>
      </w:r>
      <w:r w:rsidRPr="00CC6F7E">
        <w:rPr>
          <w:rFonts w:eastAsia="Times New Roman" w:cs="Times New Roman"/>
          <w:rtl/>
          <w:lang w:eastAsia="de-DE"/>
        </w:rPr>
        <w:t xml:space="preserve"> </w:t>
      </w:r>
      <w:r w:rsidRPr="00CC6F7E">
        <w:rPr>
          <w:rFonts w:eastAsia="Times New Roman" w:cs="Times New Roman"/>
          <w:lang w:eastAsia="de-DE"/>
        </w:rPr>
        <w:t xml:space="preserve">(oder dann) zeigt alternative/zeitliche Möglichkeit. </w:t>
      </w:r>
      <w:r w:rsidRPr="00CC6F7E">
        <w:rPr>
          <w:rFonts w:eastAsia="Times New Roman" w:cs="Times New Roman"/>
          <w:b/>
          <w:bCs/>
          <w:rtl/>
          <w:lang w:eastAsia="de-DE"/>
        </w:rPr>
        <w:t>יכנע</w:t>
      </w:r>
      <w:r w:rsidRPr="00CC6F7E">
        <w:rPr>
          <w:rFonts w:eastAsia="Times New Roman" w:cs="Times New Roman"/>
          <w:rtl/>
          <w:lang w:eastAsia="de-DE"/>
        </w:rPr>
        <w:t xml:space="preserve"> </w:t>
      </w:r>
      <w:r w:rsidRPr="00CC6F7E">
        <w:rPr>
          <w:rFonts w:eastAsia="Times New Roman" w:cs="Times New Roman"/>
          <w:lang w:eastAsia="de-DE"/>
        </w:rPr>
        <w:t xml:space="preserve">(sich demütigt) im Nifal-Imperfekt von </w:t>
      </w:r>
      <w:r w:rsidRPr="00CC6F7E">
        <w:rPr>
          <w:rFonts w:eastAsia="Times New Roman" w:cs="Times New Roman"/>
          <w:b/>
          <w:bCs/>
          <w:rtl/>
          <w:lang w:eastAsia="de-DE"/>
        </w:rPr>
        <w:t>כנע</w:t>
      </w:r>
      <w:r w:rsidRPr="00CC6F7E">
        <w:rPr>
          <w:rFonts w:eastAsia="Times New Roman" w:cs="Times New Roman"/>
          <w:rtl/>
          <w:lang w:eastAsia="de-DE"/>
        </w:rPr>
        <w:t xml:space="preserve"> </w:t>
      </w:r>
      <w:r w:rsidRPr="00CC6F7E">
        <w:rPr>
          <w:rFonts w:eastAsia="Times New Roman" w:cs="Times New Roman"/>
          <w:lang w:eastAsia="de-DE"/>
        </w:rPr>
        <w:t xml:space="preserve">zeigt Herzensdemütigung. </w:t>
      </w:r>
      <w:r w:rsidRPr="00CC6F7E">
        <w:rPr>
          <w:rFonts w:eastAsia="Times New Roman" w:cs="Times New Roman"/>
          <w:b/>
          <w:bCs/>
          <w:rtl/>
          <w:lang w:eastAsia="de-DE"/>
        </w:rPr>
        <w:t>לבבם הערל</w:t>
      </w:r>
      <w:r w:rsidRPr="00CC6F7E">
        <w:rPr>
          <w:rFonts w:eastAsia="Times New Roman" w:cs="Times New Roman"/>
          <w:rtl/>
          <w:lang w:eastAsia="de-DE"/>
        </w:rPr>
        <w:t xml:space="preserve"> </w:t>
      </w:r>
      <w:r w:rsidRPr="00CC6F7E">
        <w:rPr>
          <w:rFonts w:eastAsia="Times New Roman" w:cs="Times New Roman"/>
          <w:lang w:eastAsia="de-DE"/>
        </w:rPr>
        <w:t xml:space="preserve">(ihr unbeschnittenes Herz) - </w:t>
      </w:r>
      <w:r w:rsidRPr="00CC6F7E">
        <w:rPr>
          <w:rFonts w:eastAsia="Times New Roman" w:cs="Times New Roman"/>
          <w:b/>
          <w:bCs/>
          <w:rtl/>
          <w:lang w:eastAsia="de-DE"/>
        </w:rPr>
        <w:t>הערל</w:t>
      </w:r>
      <w:r w:rsidRPr="00CC6F7E">
        <w:rPr>
          <w:rFonts w:eastAsia="Times New Roman" w:cs="Times New Roman"/>
          <w:rtl/>
          <w:lang w:eastAsia="de-DE"/>
        </w:rPr>
        <w:t xml:space="preserve"> </w:t>
      </w:r>
      <w:r w:rsidRPr="00CC6F7E">
        <w:rPr>
          <w:rFonts w:eastAsia="Times New Roman" w:cs="Times New Roman"/>
          <w:lang w:eastAsia="de-DE"/>
        </w:rPr>
        <w:t>(das unbeschnittene) zeigt verhärtetes, unreines Herz.</w:t>
      </w:r>
    </w:p>
    <w:p w14:paraId="4DCA8CB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ואז ירצו את־עונם</w:t>
      </w:r>
      <w:r w:rsidRPr="00CC6F7E">
        <w:rPr>
          <w:rFonts w:eastAsia="Times New Roman" w:cs="Times New Roman"/>
          <w:rtl/>
          <w:lang w:eastAsia="de-DE"/>
        </w:rPr>
        <w:t xml:space="preserve"> </w:t>
      </w:r>
      <w:r w:rsidRPr="00CC6F7E">
        <w:rPr>
          <w:rFonts w:eastAsia="Times New Roman" w:cs="Times New Roman"/>
          <w:lang w:eastAsia="de-DE"/>
        </w:rPr>
        <w:t xml:space="preserve">(und sie dann ihre Schuld büßen) - </w:t>
      </w:r>
      <w:r w:rsidRPr="00CC6F7E">
        <w:rPr>
          <w:rFonts w:eastAsia="Times New Roman" w:cs="Times New Roman"/>
          <w:b/>
          <w:bCs/>
          <w:rtl/>
          <w:lang w:eastAsia="de-DE"/>
        </w:rPr>
        <w:t>ירצו</w:t>
      </w:r>
      <w:r w:rsidRPr="00CC6F7E">
        <w:rPr>
          <w:rFonts w:eastAsia="Times New Roman" w:cs="Times New Roman"/>
          <w:rtl/>
          <w:lang w:eastAsia="de-DE"/>
        </w:rPr>
        <w:t xml:space="preserve"> </w:t>
      </w:r>
      <w:r w:rsidRPr="00CC6F7E">
        <w:rPr>
          <w:rFonts w:eastAsia="Times New Roman" w:cs="Times New Roman"/>
          <w:lang w:eastAsia="de-DE"/>
        </w:rPr>
        <w:t xml:space="preserve">(sie werden büßen/Wohlgefallen finden) im Qal-Imperfekt von </w:t>
      </w:r>
      <w:r w:rsidRPr="00CC6F7E">
        <w:rPr>
          <w:rFonts w:eastAsia="Times New Roman" w:cs="Times New Roman"/>
          <w:b/>
          <w:bCs/>
          <w:rtl/>
          <w:lang w:eastAsia="de-DE"/>
        </w:rPr>
        <w:t>רצה</w:t>
      </w:r>
      <w:r w:rsidRPr="00CC6F7E">
        <w:rPr>
          <w:rFonts w:eastAsia="Times New Roman" w:cs="Times New Roman"/>
          <w:rtl/>
          <w:lang w:eastAsia="de-DE"/>
        </w:rPr>
        <w:t xml:space="preserve"> </w:t>
      </w:r>
      <w:r w:rsidRPr="00CC6F7E">
        <w:rPr>
          <w:rFonts w:eastAsia="Times New Roman" w:cs="Times New Roman"/>
          <w:lang w:eastAsia="de-DE"/>
        </w:rPr>
        <w:t xml:space="preserve">entspricht V. 34 </w:t>
      </w:r>
      <w:r w:rsidRPr="00CC6F7E">
        <w:rPr>
          <w:rFonts w:eastAsia="Times New Roman" w:cs="Times New Roman"/>
          <w:b/>
          <w:bCs/>
          <w:rtl/>
          <w:lang w:eastAsia="de-DE"/>
        </w:rPr>
        <w:t>תרצה הארץ</w:t>
      </w:r>
      <w:r w:rsidRPr="00CC6F7E">
        <w:rPr>
          <w:rFonts w:eastAsia="Times New Roman" w:cs="Times New Roman"/>
          <w:lang w:eastAsia="de-DE"/>
        </w:rPr>
        <w:t xml:space="preserve">. </w:t>
      </w:r>
      <w:r w:rsidRPr="00CC6F7E">
        <w:rPr>
          <w:rFonts w:eastAsia="Times New Roman" w:cs="Times New Roman"/>
          <w:b/>
          <w:bCs/>
          <w:rtl/>
          <w:lang w:eastAsia="de-DE"/>
        </w:rPr>
        <w:t>את־עונם</w:t>
      </w:r>
      <w:r w:rsidRPr="00CC6F7E">
        <w:rPr>
          <w:rFonts w:eastAsia="Times New Roman" w:cs="Times New Roman"/>
          <w:rtl/>
          <w:lang w:eastAsia="de-DE"/>
        </w:rPr>
        <w:t xml:space="preserve"> </w:t>
      </w:r>
      <w:r w:rsidRPr="00CC6F7E">
        <w:rPr>
          <w:rFonts w:eastAsia="Times New Roman" w:cs="Times New Roman"/>
          <w:lang w:eastAsia="de-DE"/>
        </w:rPr>
        <w:t>(ihre Schuld) zeigt Schuldabtragung.</w:t>
      </w:r>
    </w:p>
    <w:p w14:paraId="6E866C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אף־אני אלך עמם בקרי</w:t>
      </w:r>
      <w:r w:rsidRPr="00CC6F7E">
        <w:rPr>
          <w:rFonts w:eastAsia="Times New Roman" w:cs="Times New Roman"/>
          <w:rtl/>
          <w:lang w:eastAsia="de-DE"/>
        </w:rPr>
        <w:t xml:space="preserve"> </w:t>
      </w:r>
      <w:r w:rsidRPr="00CC6F7E">
        <w:rPr>
          <w:rFonts w:eastAsia="Times New Roman" w:cs="Times New Roman"/>
          <w:lang w:eastAsia="de-DE"/>
        </w:rPr>
        <w:t xml:space="preserve">zeigt Talions-Feindseligkeit. </w:t>
      </w:r>
      <w:r w:rsidRPr="00CC6F7E">
        <w:rPr>
          <w:rFonts w:eastAsia="Times New Roman" w:cs="Times New Roman"/>
          <w:b/>
          <w:bCs/>
          <w:rtl/>
          <w:lang w:eastAsia="de-DE"/>
        </w:rPr>
        <w:t>לבבם הערל</w:t>
      </w:r>
      <w:r w:rsidRPr="00CC6F7E">
        <w:rPr>
          <w:rFonts w:eastAsia="Times New Roman" w:cs="Times New Roman"/>
          <w:rtl/>
          <w:lang w:eastAsia="de-DE"/>
        </w:rPr>
        <w:t xml:space="preserve"> </w:t>
      </w:r>
      <w:r w:rsidRPr="00CC6F7E">
        <w:rPr>
          <w:rFonts w:eastAsia="Times New Roman" w:cs="Times New Roman"/>
          <w:lang w:eastAsia="de-DE"/>
        </w:rPr>
        <w:t xml:space="preserve">zeigt das Problem: verhärtetes Herz. </w:t>
      </w:r>
      <w:r w:rsidRPr="00CC6F7E">
        <w:rPr>
          <w:rFonts w:eastAsia="Times New Roman" w:cs="Times New Roman"/>
          <w:b/>
          <w:bCs/>
          <w:rtl/>
          <w:lang w:eastAsia="de-DE"/>
        </w:rPr>
        <w:t>יכנע...ירצו</w:t>
      </w:r>
      <w:r w:rsidRPr="00CC6F7E">
        <w:rPr>
          <w:rFonts w:eastAsia="Times New Roman" w:cs="Times New Roman"/>
          <w:rtl/>
          <w:lang w:eastAsia="de-DE"/>
        </w:rPr>
        <w:t xml:space="preserve"> </w:t>
      </w:r>
      <w:r w:rsidRPr="00CC6F7E">
        <w:rPr>
          <w:rFonts w:eastAsia="Times New Roman" w:cs="Times New Roman"/>
          <w:lang w:eastAsia="de-DE"/>
        </w:rPr>
        <w:t>zeigen Demütigung und Schuldabtragung als Wende.</w:t>
      </w:r>
    </w:p>
    <w:p w14:paraId="360CBAE0" w14:textId="5689FBC3"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לבבם הערל</w:t>
      </w:r>
      <w:r w:rsidR="00274C29">
        <w:t xml:space="preserve"> (</w:t>
      </w:r>
      <w:proofErr w:type="spellStart"/>
      <w:r w:rsidR="00274C29">
        <w:t>levavam</w:t>
      </w:r>
      <w:proofErr w:type="spellEnd"/>
      <w:r w:rsidR="00274C29">
        <w:t xml:space="preserve"> </w:t>
      </w:r>
      <w:proofErr w:type="spellStart"/>
      <w:r w:rsidR="00274C29">
        <w:t>he'arel</w:t>
      </w:r>
      <w:proofErr w:type="spellEnd"/>
      <w:r w:rsidR="00274C29">
        <w:t xml:space="preserve"> - "ihr unbeschnittenes Herz") als ἡ κα</w:t>
      </w:r>
      <w:proofErr w:type="spellStart"/>
      <w:r w:rsidR="00274C29">
        <w:t>ρδί</w:t>
      </w:r>
      <w:proofErr w:type="spellEnd"/>
      <w:r w:rsidR="00274C29">
        <w:t>α α</w:t>
      </w:r>
      <w:proofErr w:type="spellStart"/>
      <w:r w:rsidR="00274C29">
        <w:t>ὐτῶν</w:t>
      </w:r>
      <w:proofErr w:type="spellEnd"/>
      <w:r w:rsidR="00274C29">
        <w:t xml:space="preserve"> ἡ ἀπ</w:t>
      </w:r>
      <w:proofErr w:type="spellStart"/>
      <w:r w:rsidR="00274C29">
        <w:t>ερίτμητος</w:t>
      </w:r>
      <w:proofErr w:type="spellEnd"/>
      <w:r w:rsidR="00274C29">
        <w:t xml:space="preserve"> (ihr unbeschnittenes Herz).</w:t>
      </w:r>
    </w:p>
    <w:p w14:paraId="2169FF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 Vergeltung und Umkehr-Möglichkeit: auch ich werde ihnen zuwider wandeln + sie ins Feindesland bringen + oder dann demütigt sich ihr unbeschnittenes Herz + dann büßen sie ihre Schuld.</w:t>
      </w:r>
    </w:p>
    <w:p w14:paraId="7A68F58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den entscheidenden Punkt: Wenn das "unbeschnittene Herz" sich demütigt, kann Schuldabtragung und Wende beginnen.</w:t>
      </w:r>
    </w:p>
    <w:p w14:paraId="663C4A9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26,42</w:t>
      </w:r>
    </w:p>
    <w:p w14:paraId="3205CB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וְזָכַרְתִּ֖י אֶת־בְּרִיתִ֣י יַעֲק֑וֹב וְאַף֩ אֶת־בְּרִיתִ֨י יִצְחָ֜ק וְאַ֨ף אֶת־בְּרִיתִ֧י אַבְרָהָ֛ם אֶזְכֹּ֖ר וְהָאָ֥רֶץ אֶזְכֹּֽר׃</w:t>
      </w:r>
    </w:p>
    <w:p w14:paraId="235F04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werde ich meines Bundes mit Ja'akov gedenken; und auch meines Bundes mit Jitzchak und auch meines Bundes mit 'Avraham werde ich gedenken, und des Landes werde ich gedenken.</w:t>
      </w:r>
    </w:p>
    <w:p w14:paraId="0F49886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2A9553D">
          <v:rect id="_x0000_i1845" style="width:0;height:1.5pt" o:hralign="center" o:hrstd="t" o:hr="t" fillcolor="#a0a0a0" stroked="f"/>
        </w:pict>
      </w:r>
    </w:p>
    <w:p w14:paraId="130342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וזכרתי את־בריתי יעקב ואף את־בריתי יצחק ואף את־בריתי אברהם אזכר והארץ אזכר</w:t>
      </w:r>
      <w:r w:rsidRPr="00CC6F7E">
        <w:rPr>
          <w:rFonts w:eastAsia="Times New Roman" w:cs="Times New Roman"/>
          <w:rtl/>
          <w:lang w:eastAsia="de-DE"/>
        </w:rPr>
        <w:t xml:space="preserve"> </w:t>
      </w:r>
      <w:r w:rsidRPr="00CC6F7E">
        <w:rPr>
          <w:rFonts w:eastAsia="Times New Roman" w:cs="Times New Roman"/>
          <w:lang w:eastAsia="de-DE"/>
        </w:rPr>
        <w:t xml:space="preserve">zeigt göttliches Bundesgedenken als Antwort auf menschliche Umkehr. </w:t>
      </w:r>
      <w:r w:rsidRPr="00CC6F7E">
        <w:rPr>
          <w:rFonts w:eastAsia="Times New Roman" w:cs="Times New Roman"/>
          <w:b/>
          <w:bCs/>
          <w:rtl/>
          <w:lang w:eastAsia="de-DE"/>
        </w:rPr>
        <w:t>וזכרתי את־בריתי יעקב</w:t>
      </w:r>
      <w:r w:rsidRPr="00CC6F7E">
        <w:rPr>
          <w:rFonts w:eastAsia="Times New Roman" w:cs="Times New Roman"/>
          <w:rtl/>
          <w:lang w:eastAsia="de-DE"/>
        </w:rPr>
        <w:t xml:space="preserve"> </w:t>
      </w:r>
      <w:r w:rsidRPr="00CC6F7E">
        <w:rPr>
          <w:rFonts w:eastAsia="Times New Roman" w:cs="Times New Roman"/>
          <w:lang w:eastAsia="de-DE"/>
        </w:rPr>
        <w:t xml:space="preserve">(so werde ich meines Bundes mit Ja'akov gedenken) - </w:t>
      </w:r>
      <w:r w:rsidRPr="00CC6F7E">
        <w:rPr>
          <w:rFonts w:eastAsia="Times New Roman" w:cs="Times New Roman"/>
          <w:b/>
          <w:bCs/>
          <w:rtl/>
          <w:lang w:eastAsia="de-DE"/>
        </w:rPr>
        <w:t>וזכרתי</w:t>
      </w:r>
      <w:r w:rsidRPr="00CC6F7E">
        <w:rPr>
          <w:rFonts w:eastAsia="Times New Roman" w:cs="Times New Roman"/>
          <w:rtl/>
          <w:lang w:eastAsia="de-DE"/>
        </w:rPr>
        <w:t xml:space="preserve"> </w:t>
      </w:r>
      <w:r w:rsidRPr="00CC6F7E">
        <w:rPr>
          <w:rFonts w:eastAsia="Times New Roman" w:cs="Times New Roman"/>
          <w:lang w:eastAsia="de-DE"/>
        </w:rPr>
        <w:t xml:space="preserve">(und ich werde gedenken) im Qal-Perfekt mit Waw-Konsekutiv von </w:t>
      </w:r>
      <w:r w:rsidRPr="00CC6F7E">
        <w:rPr>
          <w:rFonts w:eastAsia="Times New Roman" w:cs="Times New Roman"/>
          <w:b/>
          <w:bCs/>
          <w:rtl/>
          <w:lang w:eastAsia="de-DE"/>
        </w:rPr>
        <w:t>זכר</w:t>
      </w:r>
      <w:r w:rsidRPr="00CC6F7E">
        <w:rPr>
          <w:rFonts w:eastAsia="Times New Roman" w:cs="Times New Roman"/>
          <w:rtl/>
          <w:lang w:eastAsia="de-DE"/>
        </w:rPr>
        <w:t xml:space="preserve"> </w:t>
      </w:r>
      <w:r w:rsidRPr="00CC6F7E">
        <w:rPr>
          <w:rFonts w:eastAsia="Times New Roman" w:cs="Times New Roman"/>
          <w:lang w:eastAsia="de-DE"/>
        </w:rPr>
        <w:t xml:space="preserve">zeigt aktives göttliches Erinnern. </w:t>
      </w:r>
      <w:r w:rsidRPr="00CC6F7E">
        <w:rPr>
          <w:rFonts w:eastAsia="Times New Roman" w:cs="Times New Roman"/>
          <w:b/>
          <w:bCs/>
          <w:rtl/>
          <w:lang w:eastAsia="de-DE"/>
        </w:rPr>
        <w:t>בריתי יעקב</w:t>
      </w:r>
      <w:r w:rsidRPr="00CC6F7E">
        <w:rPr>
          <w:rFonts w:eastAsia="Times New Roman" w:cs="Times New Roman"/>
          <w:rtl/>
          <w:lang w:eastAsia="de-DE"/>
        </w:rPr>
        <w:t xml:space="preserve"> </w:t>
      </w:r>
      <w:r w:rsidRPr="00CC6F7E">
        <w:rPr>
          <w:rFonts w:eastAsia="Times New Roman" w:cs="Times New Roman"/>
          <w:lang w:eastAsia="de-DE"/>
        </w:rPr>
        <w:t>(meines Bundes mit Ja'akov) zeigt den Bund mit dem jüngsten Patriarchen.</w:t>
      </w:r>
    </w:p>
    <w:p w14:paraId="7F14084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ואף את־בריתי יצחק ואף את־בריתי אברהם אזכר</w:t>
      </w:r>
      <w:r w:rsidRPr="00CC6F7E">
        <w:rPr>
          <w:rFonts w:eastAsia="Times New Roman" w:cs="Times New Roman"/>
          <w:rtl/>
          <w:lang w:eastAsia="de-DE"/>
        </w:rPr>
        <w:t xml:space="preserve"> </w:t>
      </w:r>
      <w:r w:rsidRPr="00CC6F7E">
        <w:rPr>
          <w:rFonts w:eastAsia="Times New Roman" w:cs="Times New Roman"/>
          <w:lang w:eastAsia="de-DE"/>
        </w:rPr>
        <w:t xml:space="preserve">(und auch meines Bundes mit Jitzchak und auch meines Bundes mit 'Avraham werde ich gedenken) - die Aufzählung erfolgt in umgekehrter chronologischer Reihenfolge: Jakob → Isaak → Abraham. </w:t>
      </w:r>
      <w:r w:rsidRPr="00CC6F7E">
        <w:rPr>
          <w:rFonts w:eastAsia="Times New Roman" w:cs="Times New Roman"/>
          <w:b/>
          <w:bCs/>
          <w:rtl/>
          <w:lang w:eastAsia="de-DE"/>
        </w:rPr>
        <w:t>ואף...ואף</w:t>
      </w:r>
      <w:r w:rsidRPr="00CC6F7E">
        <w:rPr>
          <w:rFonts w:eastAsia="Times New Roman" w:cs="Times New Roman"/>
          <w:rtl/>
          <w:lang w:eastAsia="de-DE"/>
        </w:rPr>
        <w:t xml:space="preserve"> </w:t>
      </w:r>
      <w:r w:rsidRPr="00CC6F7E">
        <w:rPr>
          <w:rFonts w:eastAsia="Times New Roman" w:cs="Times New Roman"/>
          <w:lang w:eastAsia="de-DE"/>
        </w:rPr>
        <w:t xml:space="preserve">(und auch...und auch) betont alle drei Bundesschlüsse. </w:t>
      </w:r>
      <w:r w:rsidRPr="00CC6F7E">
        <w:rPr>
          <w:rFonts w:eastAsia="Times New Roman" w:cs="Times New Roman"/>
          <w:b/>
          <w:bCs/>
          <w:rtl/>
          <w:lang w:eastAsia="de-DE"/>
        </w:rPr>
        <w:t>אזכר</w:t>
      </w:r>
      <w:r w:rsidRPr="00CC6F7E">
        <w:rPr>
          <w:rFonts w:eastAsia="Times New Roman" w:cs="Times New Roman"/>
          <w:rtl/>
          <w:lang w:eastAsia="de-DE"/>
        </w:rPr>
        <w:t xml:space="preserve"> </w:t>
      </w:r>
      <w:r w:rsidRPr="00CC6F7E">
        <w:rPr>
          <w:rFonts w:eastAsia="Times New Roman" w:cs="Times New Roman"/>
          <w:lang w:eastAsia="de-DE"/>
        </w:rPr>
        <w:t>(werde ich gedenken) im Qal-Imperfekt bekräftigt das Gedenken.</w:t>
      </w:r>
    </w:p>
    <w:p w14:paraId="3E8E400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והארץ אזכר</w:t>
      </w:r>
      <w:r w:rsidRPr="00CC6F7E">
        <w:rPr>
          <w:rFonts w:eastAsia="Times New Roman" w:cs="Times New Roman"/>
          <w:rtl/>
          <w:lang w:eastAsia="de-DE"/>
        </w:rPr>
        <w:t xml:space="preserve"> </w:t>
      </w:r>
      <w:r w:rsidRPr="00CC6F7E">
        <w:rPr>
          <w:rFonts w:eastAsia="Times New Roman" w:cs="Times New Roman"/>
          <w:lang w:eastAsia="de-DE"/>
        </w:rPr>
        <w:t xml:space="preserve">(und des Landes werde ich gedenken) - </w:t>
      </w:r>
      <w:r w:rsidRPr="00CC6F7E">
        <w:rPr>
          <w:rFonts w:eastAsia="Times New Roman" w:cs="Times New Roman"/>
          <w:b/>
          <w:bCs/>
          <w:rtl/>
          <w:lang w:eastAsia="de-DE"/>
        </w:rPr>
        <w:t>והארץ</w:t>
      </w:r>
      <w:r w:rsidRPr="00CC6F7E">
        <w:rPr>
          <w:rFonts w:eastAsia="Times New Roman" w:cs="Times New Roman"/>
          <w:rtl/>
          <w:lang w:eastAsia="de-DE"/>
        </w:rPr>
        <w:t xml:space="preserve"> </w:t>
      </w:r>
      <w:r w:rsidRPr="00CC6F7E">
        <w:rPr>
          <w:rFonts w:eastAsia="Times New Roman" w:cs="Times New Roman"/>
          <w:lang w:eastAsia="de-DE"/>
        </w:rPr>
        <w:t>(und das Land) zeigt dass auch das verwüstete Land Gegenstand göttlichen Gedenkens wird entsprechend V. 34-35.</w:t>
      </w:r>
    </w:p>
    <w:p w14:paraId="723ACA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umgekehrte Reihenfolge Jakob → Isaak → Abraham zeigt möglicherweise Bewegung vom Jüngsten zum Ältesten als Steigerung. </w:t>
      </w:r>
      <w:r w:rsidRPr="00CC6F7E">
        <w:rPr>
          <w:rFonts w:eastAsia="Times New Roman" w:cs="Times New Roman"/>
          <w:b/>
          <w:bCs/>
          <w:rtl/>
          <w:lang w:eastAsia="de-DE"/>
        </w:rPr>
        <w:t>ואף...ואף</w:t>
      </w:r>
      <w:r w:rsidRPr="00CC6F7E">
        <w:rPr>
          <w:rFonts w:eastAsia="Times New Roman" w:cs="Times New Roman"/>
          <w:rtl/>
          <w:lang w:eastAsia="de-DE"/>
        </w:rPr>
        <w:t xml:space="preserve"> </w:t>
      </w:r>
      <w:r w:rsidRPr="00CC6F7E">
        <w:rPr>
          <w:rFonts w:eastAsia="Times New Roman" w:cs="Times New Roman"/>
          <w:lang w:eastAsia="de-DE"/>
        </w:rPr>
        <w:t xml:space="preserve">betont die Kumulation aller Bundesschlüsse. </w:t>
      </w:r>
      <w:r w:rsidRPr="00CC6F7E">
        <w:rPr>
          <w:rFonts w:eastAsia="Times New Roman" w:cs="Times New Roman"/>
          <w:b/>
          <w:bCs/>
          <w:rtl/>
          <w:lang w:eastAsia="de-DE"/>
        </w:rPr>
        <w:t>והארץ אזכר</w:t>
      </w:r>
      <w:r w:rsidRPr="00CC6F7E">
        <w:rPr>
          <w:rFonts w:eastAsia="Times New Roman" w:cs="Times New Roman"/>
          <w:rtl/>
          <w:lang w:eastAsia="de-DE"/>
        </w:rPr>
        <w:t xml:space="preserve"> </w:t>
      </w:r>
      <w:r w:rsidRPr="00CC6F7E">
        <w:rPr>
          <w:rFonts w:eastAsia="Times New Roman" w:cs="Times New Roman"/>
          <w:lang w:eastAsia="de-DE"/>
        </w:rPr>
        <w:t>verbindet Bundesgedenken mit Landgedenken.</w:t>
      </w:r>
    </w:p>
    <w:p w14:paraId="54782DD3" w14:textId="2889928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stellt die Patriarchenreihenfolge anders dar: Jakob, Isaak, Abraham statt der hebräischen Reihenfolge Jakob, Isaak, Abraham, und fügt </w:t>
      </w:r>
      <w:proofErr w:type="spellStart"/>
      <w:r w:rsidR="00274C29">
        <w:t>τῆς</w:t>
      </w:r>
      <w:proofErr w:type="spellEnd"/>
      <w:r w:rsidR="00274C29">
        <w:t xml:space="preserve"> </w:t>
      </w:r>
      <w:proofErr w:type="spellStart"/>
      <w:r w:rsidR="00274C29">
        <w:t>γῆς</w:t>
      </w:r>
      <w:proofErr w:type="spellEnd"/>
      <w:r w:rsidR="00274C29">
        <w:t xml:space="preserve"> </w:t>
      </w:r>
      <w:proofErr w:type="spellStart"/>
      <w:r w:rsidR="00274C29">
        <w:t>μνησθήσομ</w:t>
      </w:r>
      <w:proofErr w:type="spellEnd"/>
      <w:r w:rsidR="00274C29">
        <w:t>αι (des Landes werde ich gedenken) hinzu.</w:t>
      </w:r>
    </w:p>
    <w:p w14:paraId="2182EB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göttliches Bundesgedenken: Bund mit Ja'akov gedenken + auch Bund mit Jitzchak + auch Bund mit 'Avraham werde ich gedenken + und des Landes werde ich gedenken.</w:t>
      </w:r>
    </w:p>
    <w:p w14:paraId="369F72E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den Wendepunkt: Göttliches Gedenken aller Patriarchenbünde in umgekehrter Reihenfolge und des Landes als Antwort auf Herzensdemütigung.</w:t>
      </w:r>
    </w:p>
    <w:p w14:paraId="1E08A85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26,43</w:t>
      </w:r>
    </w:p>
    <w:p w14:paraId="4D2E0A6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וְהָאָרֶץ֩ תֵּעָזֵ֨ב מֵהֶ֜ם וְתִ֣רֶץ אֶת־שַׁבְּתֹתֶ֗יהָ בָּהְשַׁמָּה֙ מֵהֶ֔ם וְהֵ֖ם יִרְצ֣וּ אֶת־עֲוֹנָ֑ם יַ֣עַן וּבְיַ֔עַן בְּמִשְׁפָּטַ֣י מָאָ֔סוּ וְאֶת־חֻקֹּתַ֖י גָּעֲלָ֥ה נַפְשָֽׁם׃</w:t>
      </w:r>
    </w:p>
    <w:p w14:paraId="7A532A7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Denn das Land wird von ihnen verlassen sein und seine Schabbate genießen, während es von ihnen verödet ist; und sie selbst werden ihre Schuld büßen, darum, ja darum, weil sie meine Rechtsvorschriften verworfen und ihre Seele meine Satzungen verabscheut hat.</w:t>
      </w:r>
    </w:p>
    <w:p w14:paraId="63906DB8"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lastRenderedPageBreak/>
        <w:pict w14:anchorId="4537E0F3">
          <v:rect id="_x0000_i1846" style="width:0;height:1.5pt" o:hralign="center" o:hrstd="t" o:hr="t" fillcolor="#a0a0a0" stroked="f"/>
        </w:pict>
      </w:r>
    </w:p>
    <w:p w14:paraId="36CE141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והארץ תעזב מהם ותרץ את־שבתתיה בהשמה מהם והם ירצו את־עונם יען ובען במשפטי מאסו ואת־חקתי געלה נפשם</w:t>
      </w:r>
      <w:r w:rsidRPr="00CC6F7E">
        <w:rPr>
          <w:rFonts w:eastAsia="Times New Roman" w:cs="Times New Roman"/>
          <w:rtl/>
          <w:lang w:eastAsia="de-DE"/>
        </w:rPr>
        <w:t xml:space="preserve"> </w:t>
      </w:r>
      <w:r w:rsidRPr="00CC6F7E">
        <w:rPr>
          <w:rFonts w:eastAsia="Times New Roman" w:cs="Times New Roman"/>
          <w:lang w:eastAsia="de-DE"/>
        </w:rPr>
        <w:t xml:space="preserve">erklärt die Notwendigkeit von Land-Sabbat und Schuld-Büßung. </w:t>
      </w:r>
      <w:r w:rsidRPr="00CC6F7E">
        <w:rPr>
          <w:rFonts w:eastAsia="Times New Roman" w:cs="Times New Roman"/>
          <w:b/>
          <w:bCs/>
          <w:rtl/>
          <w:lang w:eastAsia="de-DE"/>
        </w:rPr>
        <w:t>והארץ תעזב מהם ותרץ את־שבתתיה בהשמה מהם</w:t>
      </w:r>
      <w:r w:rsidRPr="00CC6F7E">
        <w:rPr>
          <w:rFonts w:eastAsia="Times New Roman" w:cs="Times New Roman"/>
          <w:rtl/>
          <w:lang w:eastAsia="de-DE"/>
        </w:rPr>
        <w:t xml:space="preserve"> </w:t>
      </w:r>
      <w:r w:rsidRPr="00CC6F7E">
        <w:rPr>
          <w:rFonts w:eastAsia="Times New Roman" w:cs="Times New Roman"/>
          <w:lang w:eastAsia="de-DE"/>
        </w:rPr>
        <w:t xml:space="preserve">(denn das Land wird von ihnen verlassen sein und seine Schabbate genießen, während es von ihnen verödet ist) - </w:t>
      </w:r>
      <w:r w:rsidRPr="00CC6F7E">
        <w:rPr>
          <w:rFonts w:eastAsia="Times New Roman" w:cs="Times New Roman"/>
          <w:b/>
          <w:bCs/>
          <w:rtl/>
          <w:lang w:eastAsia="de-DE"/>
        </w:rPr>
        <w:t>תעזב מהם</w:t>
      </w:r>
      <w:r w:rsidRPr="00CC6F7E">
        <w:rPr>
          <w:rFonts w:eastAsia="Times New Roman" w:cs="Times New Roman"/>
          <w:rtl/>
          <w:lang w:eastAsia="de-DE"/>
        </w:rPr>
        <w:t xml:space="preserve"> </w:t>
      </w:r>
      <w:r w:rsidRPr="00CC6F7E">
        <w:rPr>
          <w:rFonts w:eastAsia="Times New Roman" w:cs="Times New Roman"/>
          <w:lang w:eastAsia="de-DE"/>
        </w:rPr>
        <w:t xml:space="preserve">(wird von ihnen verlassen) im Nifal-Imperfekt von </w:t>
      </w:r>
      <w:r w:rsidRPr="00CC6F7E">
        <w:rPr>
          <w:rFonts w:eastAsia="Times New Roman" w:cs="Times New Roman"/>
          <w:b/>
          <w:bCs/>
          <w:rtl/>
          <w:lang w:eastAsia="de-DE"/>
        </w:rPr>
        <w:t>עזב</w:t>
      </w:r>
      <w:r w:rsidRPr="00CC6F7E">
        <w:rPr>
          <w:rFonts w:eastAsia="Times New Roman" w:cs="Times New Roman"/>
          <w:rtl/>
          <w:lang w:eastAsia="de-DE"/>
        </w:rPr>
        <w:t xml:space="preserve"> </w:t>
      </w:r>
      <w:r w:rsidRPr="00CC6F7E">
        <w:rPr>
          <w:rFonts w:eastAsia="Times New Roman" w:cs="Times New Roman"/>
          <w:lang w:eastAsia="de-DE"/>
        </w:rPr>
        <w:t xml:space="preserve">zeigt Land-Verlassenheit. </w:t>
      </w:r>
      <w:r w:rsidRPr="00CC6F7E">
        <w:rPr>
          <w:rFonts w:eastAsia="Times New Roman" w:cs="Times New Roman"/>
          <w:b/>
          <w:bCs/>
          <w:rtl/>
          <w:lang w:eastAsia="de-DE"/>
        </w:rPr>
        <w:t>ותרץ את־שבתתיה</w:t>
      </w:r>
      <w:r w:rsidRPr="00CC6F7E">
        <w:rPr>
          <w:rFonts w:eastAsia="Times New Roman" w:cs="Times New Roman"/>
          <w:rtl/>
          <w:lang w:eastAsia="de-DE"/>
        </w:rPr>
        <w:t xml:space="preserve"> </w:t>
      </w:r>
      <w:r w:rsidRPr="00CC6F7E">
        <w:rPr>
          <w:rFonts w:eastAsia="Times New Roman" w:cs="Times New Roman"/>
          <w:lang w:eastAsia="de-DE"/>
        </w:rPr>
        <w:t xml:space="preserve">entspricht V. 34 </w:t>
      </w:r>
      <w:r w:rsidRPr="00CC6F7E">
        <w:rPr>
          <w:rFonts w:eastAsia="Times New Roman" w:cs="Times New Roman"/>
          <w:b/>
          <w:bCs/>
          <w:rtl/>
          <w:lang w:eastAsia="de-DE"/>
        </w:rPr>
        <w:t>תרצה הארץ את־שבתתיה</w:t>
      </w:r>
      <w:r w:rsidRPr="00CC6F7E">
        <w:rPr>
          <w:rFonts w:eastAsia="Times New Roman" w:cs="Times New Roman"/>
          <w:lang w:eastAsia="de-DE"/>
        </w:rPr>
        <w:t xml:space="preserve">. </w:t>
      </w:r>
      <w:r w:rsidRPr="00CC6F7E">
        <w:rPr>
          <w:rFonts w:eastAsia="Times New Roman" w:cs="Times New Roman"/>
          <w:b/>
          <w:bCs/>
          <w:rtl/>
          <w:lang w:eastAsia="de-DE"/>
        </w:rPr>
        <w:t>בהשמה מהם</w:t>
      </w:r>
      <w:r w:rsidRPr="00CC6F7E">
        <w:rPr>
          <w:rFonts w:eastAsia="Times New Roman" w:cs="Times New Roman"/>
          <w:rtl/>
          <w:lang w:eastAsia="de-DE"/>
        </w:rPr>
        <w:t xml:space="preserve"> </w:t>
      </w:r>
      <w:r w:rsidRPr="00CC6F7E">
        <w:rPr>
          <w:rFonts w:eastAsia="Times New Roman" w:cs="Times New Roman"/>
          <w:lang w:eastAsia="de-DE"/>
        </w:rPr>
        <w:t>(während es von ihnen verödet ist) zeigt Verwüstung als Sabbat-Zeit.</w:t>
      </w:r>
    </w:p>
    <w:p w14:paraId="1AE4C36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והם ירצו את־עונם</w:t>
      </w:r>
      <w:r w:rsidRPr="00CC6F7E">
        <w:rPr>
          <w:rFonts w:eastAsia="Times New Roman" w:cs="Times New Roman"/>
          <w:rtl/>
          <w:lang w:eastAsia="de-DE"/>
        </w:rPr>
        <w:t xml:space="preserve"> </w:t>
      </w:r>
      <w:r w:rsidRPr="00CC6F7E">
        <w:rPr>
          <w:rFonts w:eastAsia="Times New Roman" w:cs="Times New Roman"/>
          <w:lang w:eastAsia="de-DE"/>
        </w:rPr>
        <w:t>(und sie selbst werden ihre Schuld büßen) entspricht V. 41 und zeigt parallele Schuldabtragung von Land und Menschen.</w:t>
      </w:r>
    </w:p>
    <w:p w14:paraId="5529A1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יען ובען במשפטי מאסו ואת־חקתי געלה נפשם</w:t>
      </w:r>
      <w:r w:rsidRPr="00CC6F7E">
        <w:rPr>
          <w:rFonts w:eastAsia="Times New Roman" w:cs="Times New Roman"/>
          <w:rtl/>
          <w:lang w:eastAsia="de-DE"/>
        </w:rPr>
        <w:t xml:space="preserve"> </w:t>
      </w:r>
      <w:r w:rsidRPr="00CC6F7E">
        <w:rPr>
          <w:rFonts w:eastAsia="Times New Roman" w:cs="Times New Roman"/>
          <w:lang w:eastAsia="de-DE"/>
        </w:rPr>
        <w:t xml:space="preserve">(darum, ja darum, weil sie meine Rechtsvorschriften verworfen und ihre Seele meine Satzungen verabscheut hat) - </w:t>
      </w:r>
      <w:r w:rsidRPr="00CC6F7E">
        <w:rPr>
          <w:rFonts w:eastAsia="Times New Roman" w:cs="Times New Roman"/>
          <w:b/>
          <w:bCs/>
          <w:rtl/>
          <w:lang w:eastAsia="de-DE"/>
        </w:rPr>
        <w:t>יען ובען</w:t>
      </w:r>
      <w:r w:rsidRPr="00CC6F7E">
        <w:rPr>
          <w:rFonts w:eastAsia="Times New Roman" w:cs="Times New Roman"/>
          <w:rtl/>
          <w:lang w:eastAsia="de-DE"/>
        </w:rPr>
        <w:t xml:space="preserve"> </w:t>
      </w:r>
      <w:r w:rsidRPr="00CC6F7E">
        <w:rPr>
          <w:rFonts w:eastAsia="Times New Roman" w:cs="Times New Roman"/>
          <w:lang w:eastAsia="de-DE"/>
        </w:rPr>
        <w:t xml:space="preserve">(darum und darum) zeigt doppelte Kausalbetonung. </w:t>
      </w:r>
      <w:r w:rsidRPr="00CC6F7E">
        <w:rPr>
          <w:rFonts w:eastAsia="Times New Roman" w:cs="Times New Roman"/>
          <w:b/>
          <w:bCs/>
          <w:rtl/>
          <w:lang w:eastAsia="de-DE"/>
        </w:rPr>
        <w:t>במשפטי מאסו</w:t>
      </w:r>
      <w:r w:rsidRPr="00CC6F7E">
        <w:rPr>
          <w:rFonts w:eastAsia="Times New Roman" w:cs="Times New Roman"/>
          <w:rtl/>
          <w:lang w:eastAsia="de-DE"/>
        </w:rPr>
        <w:t xml:space="preserve"> </w:t>
      </w:r>
      <w:r w:rsidRPr="00CC6F7E">
        <w:rPr>
          <w:rFonts w:eastAsia="Times New Roman" w:cs="Times New Roman"/>
          <w:lang w:eastAsia="de-DE"/>
        </w:rPr>
        <w:t xml:space="preserve">(meine Rechtsvorschriften verworfen) entspricht V. 15 </w:t>
      </w:r>
      <w:r w:rsidRPr="00CC6F7E">
        <w:rPr>
          <w:rFonts w:eastAsia="Times New Roman" w:cs="Times New Roman"/>
          <w:b/>
          <w:bCs/>
          <w:rtl/>
          <w:lang w:eastAsia="de-DE"/>
        </w:rPr>
        <w:t>במשפטי תמאסו</w:t>
      </w:r>
      <w:r w:rsidRPr="00CC6F7E">
        <w:rPr>
          <w:rFonts w:eastAsia="Times New Roman" w:cs="Times New Roman"/>
          <w:lang w:eastAsia="de-DE"/>
        </w:rPr>
        <w:t xml:space="preserve">. </w:t>
      </w:r>
      <w:r w:rsidRPr="00CC6F7E">
        <w:rPr>
          <w:rFonts w:eastAsia="Times New Roman" w:cs="Times New Roman"/>
          <w:b/>
          <w:bCs/>
          <w:rtl/>
          <w:lang w:eastAsia="de-DE"/>
        </w:rPr>
        <w:t>ואת־חקתי געלה נפשם</w:t>
      </w:r>
      <w:r w:rsidRPr="00CC6F7E">
        <w:rPr>
          <w:rFonts w:eastAsia="Times New Roman" w:cs="Times New Roman"/>
          <w:rtl/>
          <w:lang w:eastAsia="de-DE"/>
        </w:rPr>
        <w:t xml:space="preserve"> </w:t>
      </w:r>
      <w:r w:rsidRPr="00CC6F7E">
        <w:rPr>
          <w:rFonts w:eastAsia="Times New Roman" w:cs="Times New Roman"/>
          <w:lang w:eastAsia="de-DE"/>
        </w:rPr>
        <w:t xml:space="preserve">(und meine Satzungen verabscheut hat ihre Seele) entspricht V. 15 </w:t>
      </w:r>
      <w:r w:rsidRPr="00CC6F7E">
        <w:rPr>
          <w:rFonts w:eastAsia="Times New Roman" w:cs="Times New Roman"/>
          <w:b/>
          <w:bCs/>
          <w:rtl/>
          <w:lang w:eastAsia="de-DE"/>
        </w:rPr>
        <w:t>ואם את־משפטי תגעל נפשכם</w:t>
      </w:r>
      <w:r w:rsidRPr="00CC6F7E">
        <w:rPr>
          <w:rFonts w:eastAsia="Times New Roman" w:cs="Times New Roman"/>
          <w:lang w:eastAsia="de-DE"/>
        </w:rPr>
        <w:t>.</w:t>
      </w:r>
    </w:p>
    <w:p w14:paraId="391D36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תעזב מהם ותרץ את־שבתתיה</w:t>
      </w:r>
      <w:r w:rsidRPr="00CC6F7E">
        <w:rPr>
          <w:rFonts w:eastAsia="Times New Roman" w:cs="Times New Roman"/>
          <w:rtl/>
          <w:lang w:eastAsia="de-DE"/>
        </w:rPr>
        <w:t xml:space="preserve"> </w:t>
      </w:r>
      <w:r w:rsidRPr="00CC6F7E">
        <w:rPr>
          <w:rFonts w:eastAsia="Times New Roman" w:cs="Times New Roman"/>
          <w:lang w:eastAsia="de-DE"/>
        </w:rPr>
        <w:t xml:space="preserve">zeigt Land-Sabbat durch Menschenverlassenheit. </w:t>
      </w:r>
      <w:r w:rsidRPr="00CC6F7E">
        <w:rPr>
          <w:rFonts w:eastAsia="Times New Roman" w:cs="Times New Roman"/>
          <w:b/>
          <w:bCs/>
          <w:rtl/>
          <w:lang w:eastAsia="de-DE"/>
        </w:rPr>
        <w:t>יען ובען</w:t>
      </w:r>
      <w:r w:rsidRPr="00CC6F7E">
        <w:rPr>
          <w:rFonts w:eastAsia="Times New Roman" w:cs="Times New Roman"/>
          <w:rtl/>
          <w:lang w:eastAsia="de-DE"/>
        </w:rPr>
        <w:t xml:space="preserve"> </w:t>
      </w:r>
      <w:r w:rsidRPr="00CC6F7E">
        <w:rPr>
          <w:rFonts w:eastAsia="Times New Roman" w:cs="Times New Roman"/>
          <w:lang w:eastAsia="de-DE"/>
        </w:rPr>
        <w:t xml:space="preserve">betont doppelt die Kausalität. </w:t>
      </w:r>
      <w:r w:rsidRPr="00CC6F7E">
        <w:rPr>
          <w:rFonts w:eastAsia="Times New Roman" w:cs="Times New Roman"/>
          <w:b/>
          <w:bCs/>
          <w:rtl/>
          <w:lang w:eastAsia="de-DE"/>
        </w:rPr>
        <w:t>מאסו...געלה נפשם</w:t>
      </w:r>
      <w:r w:rsidRPr="00CC6F7E">
        <w:rPr>
          <w:rFonts w:eastAsia="Times New Roman" w:cs="Times New Roman"/>
          <w:rtl/>
          <w:lang w:eastAsia="de-DE"/>
        </w:rPr>
        <w:t xml:space="preserve"> </w:t>
      </w:r>
      <w:r w:rsidRPr="00CC6F7E">
        <w:rPr>
          <w:rFonts w:eastAsia="Times New Roman" w:cs="Times New Roman"/>
          <w:lang w:eastAsia="de-DE"/>
        </w:rPr>
        <w:t>zeigt aktive Gesetzesverachtung als Strafgrund.</w:t>
      </w:r>
    </w:p>
    <w:p w14:paraId="30D1E26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תעזב</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ἐγκ</w:t>
      </w:r>
      <w:proofErr w:type="spellEnd"/>
      <w:r w:rsidRPr="00CC6F7E">
        <w:rPr>
          <w:rFonts w:eastAsia="Times New Roman" w:cs="Times New Roman"/>
          <w:lang w:eastAsia="de-DE"/>
        </w:rPr>
        <w:t xml:space="preserve">αταλειφθήσεται (wird verlassen werden), </w:t>
      </w:r>
      <w:r w:rsidRPr="00CC6F7E">
        <w:rPr>
          <w:rFonts w:eastAsia="Times New Roman" w:cs="Times New Roman"/>
          <w:b/>
          <w:bCs/>
          <w:rtl/>
          <w:lang w:eastAsia="de-DE"/>
        </w:rPr>
        <w:t>ותרץ את־שבתתיה</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ροσδέξετ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σά</w:t>
      </w:r>
      <w:proofErr w:type="spellEnd"/>
      <w:r w:rsidRPr="00CC6F7E">
        <w:rPr>
          <w:rFonts w:eastAsia="Times New Roman" w:cs="Times New Roman"/>
          <w:lang w:eastAsia="de-DE"/>
        </w:rPr>
        <w:t>ββατα α</w:t>
      </w:r>
      <w:proofErr w:type="spellStart"/>
      <w:r w:rsidRPr="00CC6F7E">
        <w:rPr>
          <w:rFonts w:eastAsia="Times New Roman" w:cs="Times New Roman"/>
          <w:lang w:eastAsia="de-DE"/>
        </w:rPr>
        <w:t>ὐτῆς</w:t>
      </w:r>
      <w:proofErr w:type="spellEnd"/>
      <w:r w:rsidRPr="00CC6F7E">
        <w:rPr>
          <w:rFonts w:eastAsia="Times New Roman" w:cs="Times New Roman"/>
          <w:lang w:eastAsia="de-DE"/>
        </w:rPr>
        <w:t xml:space="preserve"> (wird ihre Schabbate annehmen), </w:t>
      </w:r>
      <w:r w:rsidRPr="00CC6F7E">
        <w:rPr>
          <w:rFonts w:eastAsia="Times New Roman" w:cs="Times New Roman"/>
          <w:b/>
          <w:bCs/>
          <w:rtl/>
          <w:lang w:eastAsia="de-DE"/>
        </w:rPr>
        <w:t>יען ובען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ἀνθ</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ὧν</w:t>
      </w:r>
      <w:proofErr w:type="spellEnd"/>
      <w:r w:rsidRPr="00CC6F7E">
        <w:rPr>
          <w:rFonts w:eastAsia="Times New Roman" w:cs="Times New Roman"/>
          <w:lang w:eastAsia="de-DE"/>
        </w:rPr>
        <w:t xml:space="preserve"> καὶ </w:t>
      </w:r>
      <w:proofErr w:type="spellStart"/>
      <w:r w:rsidRPr="00CC6F7E">
        <w:rPr>
          <w:rFonts w:eastAsia="Times New Roman" w:cs="Times New Roman"/>
          <w:lang w:eastAsia="de-DE"/>
        </w:rPr>
        <w:t>διότι</w:t>
      </w:r>
      <w:proofErr w:type="spellEnd"/>
      <w:r w:rsidRPr="00CC6F7E">
        <w:rPr>
          <w:rFonts w:eastAsia="Times New Roman" w:cs="Times New Roman"/>
          <w:lang w:eastAsia="de-DE"/>
        </w:rPr>
        <w:t xml:space="preserve"> (deswegen und weil), </w:t>
      </w:r>
      <w:r w:rsidRPr="00CC6F7E">
        <w:rPr>
          <w:rFonts w:eastAsia="Times New Roman" w:cs="Times New Roman"/>
          <w:b/>
          <w:bCs/>
          <w:rtl/>
          <w:lang w:eastAsia="de-DE"/>
        </w:rPr>
        <w:t>מאסו</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ώσ</w:t>
      </w:r>
      <w:proofErr w:type="spellEnd"/>
      <w:r w:rsidRPr="00CC6F7E">
        <w:rPr>
          <w:rFonts w:eastAsia="Times New Roman" w:cs="Times New Roman"/>
          <w:lang w:eastAsia="de-DE"/>
        </w:rPr>
        <w:t xml:space="preserve">αντο (sie verstießen) und </w:t>
      </w:r>
      <w:r w:rsidRPr="00CC6F7E">
        <w:rPr>
          <w:rFonts w:eastAsia="Times New Roman" w:cs="Times New Roman"/>
          <w:b/>
          <w:bCs/>
          <w:rtl/>
          <w:lang w:eastAsia="de-DE"/>
        </w:rPr>
        <w:t>געלה נפשם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ροσώχθισεν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ψυχὴ</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(war belästigt ihre Seele).</w:t>
      </w:r>
    </w:p>
    <w:p w14:paraId="7EE7EA0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parallele Land-Menschen-Sühnebedürftigkeit: Land verlassen und Schabbate genießen + sie büßen ihre Schuld + darum ja darum + Rechtsvorschriften verworfen + Satzungen verabscheut.</w:t>
      </w:r>
    </w:p>
    <w:p w14:paraId="220AE3F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erklärt die Parallelität: Das Land muss seine Sabbate nachholen, die Menschen ihre Schuld büßen - beides wegen der Gesetzesverachtung.</w:t>
      </w:r>
    </w:p>
    <w:p w14:paraId="16D9571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26,44</w:t>
      </w:r>
    </w:p>
    <w:p w14:paraId="2AEE388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וְאַף־גַּם־זֹ֠את בִּֽהְיוֹתָ֞ם בְּאֶ֣רֶץ אֹֽיְבֵיהֶ֗ם לֹֽא־מְאַסְתִּ֤ים וְלֹֽא־גְעַלְתִּים֙ לְכַלֹּתָ֔ם לְהָפֵ֥ר בְּרִיתִ֖י אִתָּ֑ם כִּ֛י אֲנִ֥י יְהוָ֖ה אֱלֹהֵיהֶֽם׃</w:t>
      </w:r>
    </w:p>
    <w:p w14:paraId="0FFBC84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Aber selbst auch dann, wenn sie im Land ihrer Feinde sind, werde ich sie nicht verwerfen und sie nicht verabscheuen, sie zu vernichten, meinen Bund mit ihnen zu brechen; denn ich bin der Ewige, ihr Gott.</w:t>
      </w:r>
    </w:p>
    <w:p w14:paraId="493FCDF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BBD9150">
          <v:rect id="_x0000_i1847" style="width:0;height:1.5pt" o:hralign="center" o:hrstd="t" o:hr="t" fillcolor="#a0a0a0" stroked="f"/>
        </w:pict>
      </w:r>
    </w:p>
    <w:p w14:paraId="2FCE86E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ואף־גם־זאת בהיותם בארץ איביהם לא־מאסתים ולא־געלתים לכלתם להפר בריתי אתם כי אני יהוה אלהיהם</w:t>
      </w:r>
      <w:r w:rsidRPr="00CC6F7E">
        <w:rPr>
          <w:rFonts w:eastAsia="Times New Roman" w:cs="Times New Roman"/>
          <w:rtl/>
          <w:lang w:eastAsia="de-DE"/>
        </w:rPr>
        <w:t xml:space="preserve"> </w:t>
      </w:r>
      <w:r w:rsidRPr="00CC6F7E">
        <w:rPr>
          <w:rFonts w:eastAsia="Times New Roman" w:cs="Times New Roman"/>
          <w:lang w:eastAsia="de-DE"/>
        </w:rPr>
        <w:t xml:space="preserve">zeigt göttliche Bundestreue trotz extremer Strafe. </w:t>
      </w:r>
      <w:r w:rsidRPr="00CC6F7E">
        <w:rPr>
          <w:rFonts w:eastAsia="Times New Roman" w:cs="Times New Roman"/>
          <w:b/>
          <w:bCs/>
          <w:rtl/>
          <w:lang w:eastAsia="de-DE"/>
        </w:rPr>
        <w:t>ואף־גם־זאת</w:t>
      </w:r>
      <w:r w:rsidRPr="00CC6F7E">
        <w:rPr>
          <w:rFonts w:eastAsia="Times New Roman" w:cs="Times New Roman"/>
          <w:rtl/>
          <w:lang w:eastAsia="de-DE"/>
        </w:rPr>
        <w:t xml:space="preserve"> </w:t>
      </w:r>
      <w:r w:rsidRPr="00CC6F7E">
        <w:rPr>
          <w:rFonts w:eastAsia="Times New Roman" w:cs="Times New Roman"/>
          <w:lang w:eastAsia="de-DE"/>
        </w:rPr>
        <w:t xml:space="preserve">(aber selbst auch dann) - </w:t>
      </w:r>
      <w:r w:rsidRPr="00CC6F7E">
        <w:rPr>
          <w:rFonts w:eastAsia="Times New Roman" w:cs="Times New Roman"/>
          <w:b/>
          <w:bCs/>
          <w:rtl/>
          <w:lang w:eastAsia="de-DE"/>
        </w:rPr>
        <w:t>ואף־גם</w:t>
      </w:r>
      <w:r w:rsidRPr="00CC6F7E">
        <w:rPr>
          <w:rFonts w:eastAsia="Times New Roman" w:cs="Times New Roman"/>
          <w:rtl/>
          <w:lang w:eastAsia="de-DE"/>
        </w:rPr>
        <w:t xml:space="preserve"> </w:t>
      </w:r>
      <w:r w:rsidRPr="00CC6F7E">
        <w:rPr>
          <w:rFonts w:eastAsia="Times New Roman" w:cs="Times New Roman"/>
          <w:lang w:eastAsia="de-DE"/>
        </w:rPr>
        <w:t xml:space="preserve">zeigt mehrfache Betonung: selbst unter extremsten Umständen. </w:t>
      </w:r>
      <w:r w:rsidRPr="00CC6F7E">
        <w:rPr>
          <w:rFonts w:eastAsia="Times New Roman" w:cs="Times New Roman"/>
          <w:b/>
          <w:bCs/>
          <w:rtl/>
          <w:lang w:eastAsia="de-DE"/>
        </w:rPr>
        <w:t>זאת</w:t>
      </w:r>
      <w:r w:rsidRPr="00CC6F7E">
        <w:rPr>
          <w:rFonts w:eastAsia="Times New Roman" w:cs="Times New Roman"/>
          <w:rtl/>
          <w:lang w:eastAsia="de-DE"/>
        </w:rPr>
        <w:t xml:space="preserve"> </w:t>
      </w:r>
      <w:r w:rsidRPr="00CC6F7E">
        <w:rPr>
          <w:rFonts w:eastAsia="Times New Roman" w:cs="Times New Roman"/>
          <w:lang w:eastAsia="de-DE"/>
        </w:rPr>
        <w:t>(dies) bezieht sich auf alle vorherigen Strafen.</w:t>
      </w:r>
    </w:p>
    <w:p w14:paraId="211B236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בהיותם בארץ איביהם</w:t>
      </w:r>
      <w:r w:rsidRPr="00CC6F7E">
        <w:rPr>
          <w:rFonts w:eastAsia="Times New Roman" w:cs="Times New Roman"/>
          <w:rtl/>
          <w:lang w:eastAsia="de-DE"/>
        </w:rPr>
        <w:t xml:space="preserve"> </w:t>
      </w:r>
      <w:r w:rsidRPr="00CC6F7E">
        <w:rPr>
          <w:rFonts w:eastAsia="Times New Roman" w:cs="Times New Roman"/>
          <w:lang w:eastAsia="de-DE"/>
        </w:rPr>
        <w:t xml:space="preserve">(wenn sie im Land ihrer Feinde sind) zeigt den schlimmsten Zustand: Exil. </w:t>
      </w:r>
      <w:r w:rsidRPr="00CC6F7E">
        <w:rPr>
          <w:rFonts w:eastAsia="Times New Roman" w:cs="Times New Roman"/>
          <w:b/>
          <w:bCs/>
          <w:rtl/>
          <w:lang w:eastAsia="de-DE"/>
        </w:rPr>
        <w:t>לא־מאסתים ולא־געלתים</w:t>
      </w:r>
      <w:r w:rsidRPr="00CC6F7E">
        <w:rPr>
          <w:rFonts w:eastAsia="Times New Roman" w:cs="Times New Roman"/>
          <w:rtl/>
          <w:lang w:eastAsia="de-DE"/>
        </w:rPr>
        <w:t xml:space="preserve"> </w:t>
      </w:r>
      <w:r w:rsidRPr="00CC6F7E">
        <w:rPr>
          <w:rFonts w:eastAsia="Times New Roman" w:cs="Times New Roman"/>
          <w:lang w:eastAsia="de-DE"/>
        </w:rPr>
        <w:t xml:space="preserve">(werde ich sie nicht verwerfen und sie nicht verabscheuen) - </w:t>
      </w:r>
      <w:r w:rsidRPr="00CC6F7E">
        <w:rPr>
          <w:rFonts w:eastAsia="Times New Roman" w:cs="Times New Roman"/>
          <w:b/>
          <w:bCs/>
          <w:rtl/>
          <w:lang w:eastAsia="de-DE"/>
        </w:rPr>
        <w:t>לא־מאסתים</w:t>
      </w:r>
      <w:r w:rsidRPr="00CC6F7E">
        <w:rPr>
          <w:rFonts w:eastAsia="Times New Roman" w:cs="Times New Roman"/>
          <w:rtl/>
          <w:lang w:eastAsia="de-DE"/>
        </w:rPr>
        <w:t xml:space="preserve"> </w:t>
      </w:r>
      <w:r w:rsidRPr="00CC6F7E">
        <w:rPr>
          <w:rFonts w:eastAsia="Times New Roman" w:cs="Times New Roman"/>
          <w:lang w:eastAsia="de-DE"/>
        </w:rPr>
        <w:t xml:space="preserve">(nicht verwerfen) von </w:t>
      </w:r>
      <w:r w:rsidRPr="00CC6F7E">
        <w:rPr>
          <w:rFonts w:eastAsia="Times New Roman" w:cs="Times New Roman"/>
          <w:b/>
          <w:bCs/>
          <w:rtl/>
          <w:lang w:eastAsia="de-DE"/>
        </w:rPr>
        <w:t>מאס</w:t>
      </w:r>
      <w:r w:rsidRPr="00CC6F7E">
        <w:rPr>
          <w:rFonts w:eastAsia="Times New Roman" w:cs="Times New Roman"/>
          <w:rtl/>
          <w:lang w:eastAsia="de-DE"/>
        </w:rPr>
        <w:t xml:space="preserve"> </w:t>
      </w:r>
      <w:r w:rsidRPr="00CC6F7E">
        <w:rPr>
          <w:rFonts w:eastAsia="Times New Roman" w:cs="Times New Roman"/>
          <w:lang w:eastAsia="de-DE"/>
        </w:rPr>
        <w:t xml:space="preserve">entspricht V. 15,43. </w:t>
      </w:r>
      <w:r w:rsidRPr="00CC6F7E">
        <w:rPr>
          <w:rFonts w:eastAsia="Times New Roman" w:cs="Times New Roman"/>
          <w:b/>
          <w:bCs/>
          <w:rtl/>
          <w:lang w:eastAsia="de-DE"/>
        </w:rPr>
        <w:t>לא־געלתים</w:t>
      </w:r>
      <w:r w:rsidRPr="00CC6F7E">
        <w:rPr>
          <w:rFonts w:eastAsia="Times New Roman" w:cs="Times New Roman"/>
          <w:rtl/>
          <w:lang w:eastAsia="de-DE"/>
        </w:rPr>
        <w:t xml:space="preserve"> </w:t>
      </w:r>
      <w:r w:rsidRPr="00CC6F7E">
        <w:rPr>
          <w:rFonts w:eastAsia="Times New Roman" w:cs="Times New Roman"/>
          <w:lang w:eastAsia="de-DE"/>
        </w:rPr>
        <w:t xml:space="preserve">(nicht verabscheuen) von </w:t>
      </w:r>
      <w:r w:rsidRPr="00CC6F7E">
        <w:rPr>
          <w:rFonts w:eastAsia="Times New Roman" w:cs="Times New Roman"/>
          <w:b/>
          <w:bCs/>
          <w:rtl/>
          <w:lang w:eastAsia="de-DE"/>
        </w:rPr>
        <w:t>געל</w:t>
      </w:r>
      <w:r w:rsidRPr="00CC6F7E">
        <w:rPr>
          <w:rFonts w:eastAsia="Times New Roman" w:cs="Times New Roman"/>
          <w:rtl/>
          <w:lang w:eastAsia="de-DE"/>
        </w:rPr>
        <w:t xml:space="preserve"> </w:t>
      </w:r>
      <w:r w:rsidRPr="00CC6F7E">
        <w:rPr>
          <w:rFonts w:eastAsia="Times New Roman" w:cs="Times New Roman"/>
          <w:lang w:eastAsia="de-DE"/>
        </w:rPr>
        <w:t xml:space="preserve">ist die Umkehrung von V. 30 </w:t>
      </w:r>
      <w:r w:rsidRPr="00CC6F7E">
        <w:rPr>
          <w:rFonts w:eastAsia="Times New Roman" w:cs="Times New Roman"/>
          <w:b/>
          <w:bCs/>
          <w:rtl/>
          <w:lang w:eastAsia="de-DE"/>
        </w:rPr>
        <w:t>געלה נפשי אתכם</w:t>
      </w:r>
      <w:r w:rsidRPr="00CC6F7E">
        <w:rPr>
          <w:rFonts w:eastAsia="Times New Roman" w:cs="Times New Roman"/>
          <w:lang w:eastAsia="de-DE"/>
        </w:rPr>
        <w:t>.</w:t>
      </w:r>
    </w:p>
    <w:p w14:paraId="29297F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לכלתם להפר בריתי אתם</w:t>
      </w:r>
      <w:r w:rsidRPr="00CC6F7E">
        <w:rPr>
          <w:rFonts w:eastAsia="Times New Roman" w:cs="Times New Roman"/>
          <w:rtl/>
          <w:lang w:eastAsia="de-DE"/>
        </w:rPr>
        <w:t xml:space="preserve"> </w:t>
      </w:r>
      <w:r w:rsidRPr="00CC6F7E">
        <w:rPr>
          <w:rFonts w:eastAsia="Times New Roman" w:cs="Times New Roman"/>
          <w:lang w:eastAsia="de-DE"/>
        </w:rPr>
        <w:t xml:space="preserve">(sie zu vernichten, meinen Bund mit ihnen zu brechen) - </w:t>
      </w:r>
      <w:r w:rsidRPr="00CC6F7E">
        <w:rPr>
          <w:rFonts w:eastAsia="Times New Roman" w:cs="Times New Roman"/>
          <w:b/>
          <w:bCs/>
          <w:rtl/>
          <w:lang w:eastAsia="de-DE"/>
        </w:rPr>
        <w:t>לכלתם</w:t>
      </w:r>
      <w:r w:rsidRPr="00CC6F7E">
        <w:rPr>
          <w:rFonts w:eastAsia="Times New Roman" w:cs="Times New Roman"/>
          <w:rtl/>
          <w:lang w:eastAsia="de-DE"/>
        </w:rPr>
        <w:t xml:space="preserve"> </w:t>
      </w:r>
      <w:r w:rsidRPr="00CC6F7E">
        <w:rPr>
          <w:rFonts w:eastAsia="Times New Roman" w:cs="Times New Roman"/>
          <w:lang w:eastAsia="de-DE"/>
        </w:rPr>
        <w:t xml:space="preserve">(sie zu vernichten) von </w:t>
      </w:r>
      <w:r w:rsidRPr="00CC6F7E">
        <w:rPr>
          <w:rFonts w:eastAsia="Times New Roman" w:cs="Times New Roman"/>
          <w:b/>
          <w:bCs/>
          <w:rtl/>
          <w:lang w:eastAsia="de-DE"/>
        </w:rPr>
        <w:t>כלה</w:t>
      </w:r>
      <w:r w:rsidRPr="00CC6F7E">
        <w:rPr>
          <w:rFonts w:eastAsia="Times New Roman" w:cs="Times New Roman"/>
          <w:rtl/>
          <w:lang w:eastAsia="de-DE"/>
        </w:rPr>
        <w:t xml:space="preserve"> </w:t>
      </w:r>
      <w:r w:rsidRPr="00CC6F7E">
        <w:rPr>
          <w:rFonts w:eastAsia="Times New Roman" w:cs="Times New Roman"/>
          <w:lang w:eastAsia="de-DE"/>
        </w:rPr>
        <w:t xml:space="preserve">zeigt totale Vernichtung. </w:t>
      </w:r>
      <w:r w:rsidRPr="00CC6F7E">
        <w:rPr>
          <w:rFonts w:eastAsia="Times New Roman" w:cs="Times New Roman"/>
          <w:b/>
          <w:bCs/>
          <w:rtl/>
          <w:lang w:eastAsia="de-DE"/>
        </w:rPr>
        <w:t>להפר בריתי אתם</w:t>
      </w:r>
      <w:r w:rsidRPr="00CC6F7E">
        <w:rPr>
          <w:rFonts w:eastAsia="Times New Roman" w:cs="Times New Roman"/>
          <w:rtl/>
          <w:lang w:eastAsia="de-DE"/>
        </w:rPr>
        <w:t xml:space="preserve"> </w:t>
      </w:r>
      <w:r w:rsidRPr="00CC6F7E">
        <w:rPr>
          <w:rFonts w:eastAsia="Times New Roman" w:cs="Times New Roman"/>
          <w:lang w:eastAsia="de-DE"/>
        </w:rPr>
        <w:t xml:space="preserve">(meinen Bund mit ihnen zu brechen) - </w:t>
      </w:r>
      <w:r w:rsidRPr="00CC6F7E">
        <w:rPr>
          <w:rFonts w:eastAsia="Times New Roman" w:cs="Times New Roman"/>
          <w:b/>
          <w:bCs/>
          <w:rtl/>
          <w:lang w:eastAsia="de-DE"/>
        </w:rPr>
        <w:t>הפר</w:t>
      </w:r>
      <w:r w:rsidRPr="00CC6F7E">
        <w:rPr>
          <w:rFonts w:eastAsia="Times New Roman" w:cs="Times New Roman"/>
          <w:rtl/>
          <w:lang w:eastAsia="de-DE"/>
        </w:rPr>
        <w:t xml:space="preserve"> </w:t>
      </w:r>
      <w:r w:rsidRPr="00CC6F7E">
        <w:rPr>
          <w:rFonts w:eastAsia="Times New Roman" w:cs="Times New Roman"/>
          <w:lang w:eastAsia="de-DE"/>
        </w:rPr>
        <w:t xml:space="preserve">entspricht V. 15 </w:t>
      </w:r>
      <w:r w:rsidRPr="00CC6F7E">
        <w:rPr>
          <w:rFonts w:eastAsia="Times New Roman" w:cs="Times New Roman"/>
          <w:b/>
          <w:bCs/>
          <w:rtl/>
          <w:lang w:eastAsia="de-DE"/>
        </w:rPr>
        <w:t>להפרכם את־בריתי</w:t>
      </w:r>
      <w:r w:rsidRPr="00CC6F7E">
        <w:rPr>
          <w:rFonts w:eastAsia="Times New Roman" w:cs="Times New Roman"/>
          <w:rtl/>
          <w:lang w:eastAsia="de-DE"/>
        </w:rPr>
        <w:t xml:space="preserve"> </w:t>
      </w:r>
      <w:r w:rsidRPr="00CC6F7E">
        <w:rPr>
          <w:rFonts w:eastAsia="Times New Roman" w:cs="Times New Roman"/>
          <w:lang w:eastAsia="de-DE"/>
        </w:rPr>
        <w:t>als göttliche Weigerung zum Bundesbruch.</w:t>
      </w:r>
    </w:p>
    <w:p w14:paraId="3808941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כי אני יהוה אלהיהם</w:t>
      </w:r>
      <w:r w:rsidRPr="00CC6F7E">
        <w:rPr>
          <w:rFonts w:eastAsia="Times New Roman" w:cs="Times New Roman"/>
          <w:rtl/>
          <w:lang w:eastAsia="de-DE"/>
        </w:rPr>
        <w:t xml:space="preserve"> </w:t>
      </w:r>
      <w:r w:rsidRPr="00CC6F7E">
        <w:rPr>
          <w:rFonts w:eastAsia="Times New Roman" w:cs="Times New Roman"/>
          <w:lang w:eastAsia="de-DE"/>
        </w:rPr>
        <w:t>(denn ich bin der Ewige, ihr Gott) als Bundestreue-Begründung.</w:t>
      </w:r>
    </w:p>
    <w:p w14:paraId="3C2606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ואף־גם־זאת</w:t>
      </w:r>
      <w:r w:rsidRPr="00CC6F7E">
        <w:rPr>
          <w:rFonts w:eastAsia="Times New Roman" w:cs="Times New Roman"/>
          <w:rtl/>
          <w:lang w:eastAsia="de-DE"/>
        </w:rPr>
        <w:t xml:space="preserve"> </w:t>
      </w:r>
      <w:r w:rsidRPr="00CC6F7E">
        <w:rPr>
          <w:rFonts w:eastAsia="Times New Roman" w:cs="Times New Roman"/>
          <w:lang w:eastAsia="de-DE"/>
        </w:rPr>
        <w:t xml:space="preserve">zeigt extreme Betonung göttlicher Treue. </w:t>
      </w:r>
      <w:r w:rsidRPr="00CC6F7E">
        <w:rPr>
          <w:rFonts w:eastAsia="Times New Roman" w:cs="Times New Roman"/>
          <w:b/>
          <w:bCs/>
          <w:rtl/>
          <w:lang w:eastAsia="de-DE"/>
        </w:rPr>
        <w:t>לא־מאסתים ולא־געלתים</w:t>
      </w:r>
      <w:r w:rsidRPr="00CC6F7E">
        <w:rPr>
          <w:rFonts w:eastAsia="Times New Roman" w:cs="Times New Roman"/>
          <w:rtl/>
          <w:lang w:eastAsia="de-DE"/>
        </w:rPr>
        <w:t xml:space="preserve"> </w:t>
      </w:r>
      <w:r w:rsidRPr="00CC6F7E">
        <w:rPr>
          <w:rFonts w:eastAsia="Times New Roman" w:cs="Times New Roman"/>
          <w:lang w:eastAsia="de-DE"/>
        </w:rPr>
        <w:t xml:space="preserve">zeigt Weigerung zur totalen Verwerfung. </w:t>
      </w:r>
      <w:r w:rsidRPr="00CC6F7E">
        <w:rPr>
          <w:rFonts w:eastAsia="Times New Roman" w:cs="Times New Roman"/>
          <w:b/>
          <w:bCs/>
          <w:rtl/>
          <w:lang w:eastAsia="de-DE"/>
        </w:rPr>
        <w:t>להפר בריתי</w:t>
      </w:r>
      <w:r w:rsidRPr="00CC6F7E">
        <w:rPr>
          <w:rFonts w:eastAsia="Times New Roman" w:cs="Times New Roman"/>
          <w:rtl/>
          <w:lang w:eastAsia="de-DE"/>
        </w:rPr>
        <w:t xml:space="preserve"> </w:t>
      </w:r>
      <w:r w:rsidRPr="00CC6F7E">
        <w:rPr>
          <w:rFonts w:eastAsia="Times New Roman" w:cs="Times New Roman"/>
          <w:lang w:eastAsia="de-DE"/>
        </w:rPr>
        <w:t xml:space="preserve">zeigt Bundesunverbrüchlichkeit. </w:t>
      </w:r>
      <w:r w:rsidRPr="00CC6F7E">
        <w:rPr>
          <w:rFonts w:eastAsia="Times New Roman" w:cs="Times New Roman"/>
          <w:b/>
          <w:bCs/>
          <w:rtl/>
          <w:lang w:eastAsia="de-DE"/>
        </w:rPr>
        <w:t>אני יהוה אלהיהם</w:t>
      </w:r>
      <w:r w:rsidRPr="00CC6F7E">
        <w:rPr>
          <w:rFonts w:eastAsia="Times New Roman" w:cs="Times New Roman"/>
          <w:rtl/>
          <w:lang w:eastAsia="de-DE"/>
        </w:rPr>
        <w:t xml:space="preserve"> </w:t>
      </w:r>
      <w:r w:rsidRPr="00CC6F7E">
        <w:rPr>
          <w:rFonts w:eastAsia="Times New Roman" w:cs="Times New Roman"/>
          <w:lang w:eastAsia="de-DE"/>
        </w:rPr>
        <w:t>begründet Bundestreue.</w:t>
      </w:r>
    </w:p>
    <w:p w14:paraId="19DDF022" w14:textId="05BFB3D5"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לכלתם</w:t>
      </w:r>
      <w:r w:rsidR="00274C29">
        <w:t xml:space="preserve"> (</w:t>
      </w:r>
      <w:proofErr w:type="spellStart"/>
      <w:r w:rsidR="00274C29">
        <w:t>lechalotam</w:t>
      </w:r>
      <w:proofErr w:type="spellEnd"/>
      <w:r w:rsidR="00274C29">
        <w:t xml:space="preserve"> - "sie zu vernichten") als </w:t>
      </w:r>
      <w:proofErr w:type="spellStart"/>
      <w:r w:rsidR="00274C29">
        <w:t>τοῦ</w:t>
      </w:r>
      <w:proofErr w:type="spellEnd"/>
      <w:r w:rsidR="00274C29">
        <w:t xml:space="preserve"> </w:t>
      </w:r>
      <w:proofErr w:type="spellStart"/>
      <w:r w:rsidR="00274C29">
        <w:t>ἐξ</w:t>
      </w:r>
      <w:proofErr w:type="spellEnd"/>
      <w:r w:rsidR="00274C29">
        <w:t>αναλῶσαι α</w:t>
      </w:r>
      <w:proofErr w:type="spellStart"/>
      <w:r w:rsidR="00274C29">
        <w:t>ὐτούς</w:t>
      </w:r>
      <w:proofErr w:type="spellEnd"/>
      <w:r w:rsidR="00274C29">
        <w:t xml:space="preserve"> (sie völlig zu vernichten).</w:t>
      </w:r>
    </w:p>
    <w:p w14:paraId="72520F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göttliche Bundestreue-Versicherung: selbst auch dann + im Feindesland + nicht verwerfen und nicht verabscheuen + sie zu vernichten + Bund zu brechen + denn ich bin JHWH ihr Gott.</w:t>
      </w:r>
    </w:p>
    <w:p w14:paraId="513923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zentrale Vers zeigt JHWHs Bundestreue: Selbst bei extremster Strafe erfolgt keine totale Verwerfung oder Bundesbrechung.</w:t>
      </w:r>
    </w:p>
    <w:p w14:paraId="1801A52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26,45</w:t>
      </w:r>
    </w:p>
    <w:p w14:paraId="122A7CD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וְזָכַרְתִּ֥י לָהֶ֖ם בְּרִ֣ית רִאשֹׁנִ֑ים אֲשֶׁ֣ר הוֹצֵֽאתִי־אֹתָם֩ מֵאֶ֨רֶץ מִצְרַ֜יִם לְעֵינֵ֣י הַגּוֹיִ֗ם לִהְיֹ֥ת לָהֶ֛ם לֵאלֹהִ֖ים אֲנִ֥י יְהוָֽה׃</w:t>
      </w:r>
    </w:p>
    <w:p w14:paraId="03037D7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ich werde ihnen gedenken meines Bundes mit den Vorfahren, die ich aus dem Land Mizrajim herausgeführt habe vor den Augen der Nationen, um ihr Gott zu sein. Ich bin der Ewige.</w:t>
      </w:r>
    </w:p>
    <w:p w14:paraId="37F0739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27C6509">
          <v:rect id="_x0000_i1848" style="width:0;height:1.5pt" o:hralign="center" o:hrstd="t" o:hr="t" fillcolor="#a0a0a0" stroked="f"/>
        </w:pict>
      </w:r>
    </w:p>
    <w:p w14:paraId="1E8FB81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וזכרתי להם ברית ראשנים אשר הוצאתי־אתם מארץ מצרים לעיני הגוים להיות להם לאלהים אני יהוה</w:t>
      </w:r>
      <w:r w:rsidRPr="00CC6F7E">
        <w:rPr>
          <w:rFonts w:eastAsia="Times New Roman" w:cs="Times New Roman"/>
          <w:rtl/>
          <w:lang w:eastAsia="de-DE"/>
        </w:rPr>
        <w:t xml:space="preserve"> </w:t>
      </w:r>
      <w:r w:rsidRPr="00CC6F7E">
        <w:rPr>
          <w:rFonts w:eastAsia="Times New Roman" w:cs="Times New Roman"/>
          <w:lang w:eastAsia="de-DE"/>
        </w:rPr>
        <w:t xml:space="preserve">zeigt das Exodus-Bundesgedenken als Wiederherstellungsgrund. </w:t>
      </w:r>
      <w:r w:rsidRPr="00CC6F7E">
        <w:rPr>
          <w:rFonts w:eastAsia="Times New Roman" w:cs="Times New Roman"/>
          <w:b/>
          <w:bCs/>
          <w:rtl/>
          <w:lang w:eastAsia="de-DE"/>
        </w:rPr>
        <w:t>וזכרתי להם ברית ראשנים</w:t>
      </w:r>
      <w:r w:rsidRPr="00CC6F7E">
        <w:rPr>
          <w:rFonts w:eastAsia="Times New Roman" w:cs="Times New Roman"/>
          <w:rtl/>
          <w:lang w:eastAsia="de-DE"/>
        </w:rPr>
        <w:t xml:space="preserve"> </w:t>
      </w:r>
      <w:r w:rsidRPr="00CC6F7E">
        <w:rPr>
          <w:rFonts w:eastAsia="Times New Roman" w:cs="Times New Roman"/>
          <w:lang w:eastAsia="de-DE"/>
        </w:rPr>
        <w:t xml:space="preserve">(und ich werde ihnen gedenken meines Bundes mit den Vorfahren) - </w:t>
      </w:r>
      <w:r w:rsidRPr="00CC6F7E">
        <w:rPr>
          <w:rFonts w:eastAsia="Times New Roman" w:cs="Times New Roman"/>
          <w:b/>
          <w:bCs/>
          <w:rtl/>
          <w:lang w:eastAsia="de-DE"/>
        </w:rPr>
        <w:t>וזכרתי להם</w:t>
      </w:r>
      <w:r w:rsidRPr="00CC6F7E">
        <w:rPr>
          <w:rFonts w:eastAsia="Times New Roman" w:cs="Times New Roman"/>
          <w:rtl/>
          <w:lang w:eastAsia="de-DE"/>
        </w:rPr>
        <w:t xml:space="preserve"> </w:t>
      </w:r>
      <w:r w:rsidRPr="00CC6F7E">
        <w:rPr>
          <w:rFonts w:eastAsia="Times New Roman" w:cs="Times New Roman"/>
          <w:lang w:eastAsia="de-DE"/>
        </w:rPr>
        <w:t xml:space="preserve">(und ich werde ihnen gedenken) entspricht V. 42, aber </w:t>
      </w:r>
      <w:r w:rsidRPr="00CC6F7E">
        <w:rPr>
          <w:rFonts w:eastAsia="Times New Roman" w:cs="Times New Roman"/>
          <w:b/>
          <w:bCs/>
          <w:rtl/>
          <w:lang w:eastAsia="de-DE"/>
        </w:rPr>
        <w:t>להם</w:t>
      </w:r>
      <w:r w:rsidRPr="00CC6F7E">
        <w:rPr>
          <w:rFonts w:eastAsia="Times New Roman" w:cs="Times New Roman"/>
          <w:rtl/>
          <w:lang w:eastAsia="de-DE"/>
        </w:rPr>
        <w:t xml:space="preserve"> </w:t>
      </w:r>
      <w:r w:rsidRPr="00CC6F7E">
        <w:rPr>
          <w:rFonts w:eastAsia="Times New Roman" w:cs="Times New Roman"/>
          <w:lang w:eastAsia="de-DE"/>
        </w:rPr>
        <w:t xml:space="preserve">(ihnen/für sie) zeigt das Gedenken zugunsten der Exilierten. </w:t>
      </w:r>
      <w:r w:rsidRPr="00CC6F7E">
        <w:rPr>
          <w:rFonts w:eastAsia="Times New Roman" w:cs="Times New Roman"/>
          <w:b/>
          <w:bCs/>
          <w:rtl/>
          <w:lang w:eastAsia="de-DE"/>
        </w:rPr>
        <w:t>ברית ראשנים</w:t>
      </w:r>
      <w:r w:rsidRPr="00CC6F7E">
        <w:rPr>
          <w:rFonts w:eastAsia="Times New Roman" w:cs="Times New Roman"/>
          <w:rtl/>
          <w:lang w:eastAsia="de-DE"/>
        </w:rPr>
        <w:t xml:space="preserve"> </w:t>
      </w:r>
      <w:r w:rsidRPr="00CC6F7E">
        <w:rPr>
          <w:rFonts w:eastAsia="Times New Roman" w:cs="Times New Roman"/>
          <w:lang w:eastAsia="de-DE"/>
        </w:rPr>
        <w:t xml:space="preserve">(Bund mit den Vorfahren) - </w:t>
      </w:r>
      <w:r w:rsidRPr="00CC6F7E">
        <w:rPr>
          <w:rFonts w:eastAsia="Times New Roman" w:cs="Times New Roman"/>
          <w:b/>
          <w:bCs/>
          <w:rtl/>
          <w:lang w:eastAsia="de-DE"/>
        </w:rPr>
        <w:t>ראשנים</w:t>
      </w:r>
      <w:r w:rsidRPr="00CC6F7E">
        <w:rPr>
          <w:rFonts w:eastAsia="Times New Roman" w:cs="Times New Roman"/>
          <w:rtl/>
          <w:lang w:eastAsia="de-DE"/>
        </w:rPr>
        <w:t xml:space="preserve"> </w:t>
      </w:r>
      <w:r w:rsidRPr="00CC6F7E">
        <w:rPr>
          <w:rFonts w:eastAsia="Times New Roman" w:cs="Times New Roman"/>
          <w:lang w:eastAsia="de-DE"/>
        </w:rPr>
        <w:t>(die Ersten/Vorfahren) zeigt die Exodus-Generation.</w:t>
      </w:r>
    </w:p>
    <w:p w14:paraId="0A95E60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 הוצאתי־אתם מארץ מצרים</w:t>
      </w:r>
      <w:r w:rsidRPr="00CC6F7E">
        <w:rPr>
          <w:rFonts w:eastAsia="Times New Roman" w:cs="Times New Roman"/>
          <w:rtl/>
          <w:lang w:eastAsia="de-DE"/>
        </w:rPr>
        <w:t xml:space="preserve"> </w:t>
      </w:r>
      <w:r w:rsidRPr="00CC6F7E">
        <w:rPr>
          <w:rFonts w:eastAsia="Times New Roman" w:cs="Times New Roman"/>
          <w:lang w:eastAsia="de-DE"/>
        </w:rPr>
        <w:t xml:space="preserve">(die ich aus dem Land Mizrajim herausgeführt habe) entspricht der klassischen Exodus-Formel. </w:t>
      </w:r>
      <w:r w:rsidRPr="00CC6F7E">
        <w:rPr>
          <w:rFonts w:eastAsia="Times New Roman" w:cs="Times New Roman"/>
          <w:b/>
          <w:bCs/>
          <w:rtl/>
          <w:lang w:eastAsia="de-DE"/>
        </w:rPr>
        <w:t>לעיני הגוים</w:t>
      </w:r>
      <w:r w:rsidRPr="00CC6F7E">
        <w:rPr>
          <w:rFonts w:eastAsia="Times New Roman" w:cs="Times New Roman"/>
          <w:rtl/>
          <w:lang w:eastAsia="de-DE"/>
        </w:rPr>
        <w:t xml:space="preserve"> </w:t>
      </w:r>
      <w:r w:rsidRPr="00CC6F7E">
        <w:rPr>
          <w:rFonts w:eastAsia="Times New Roman" w:cs="Times New Roman"/>
          <w:lang w:eastAsia="de-DE"/>
        </w:rPr>
        <w:t>(vor den Augen der Nationen) zeigt den öffentlichen, weltgeschichtlichen Charakter des Exodus.</w:t>
      </w:r>
    </w:p>
    <w:p w14:paraId="33A58F2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להיות להם לאלהים אני יהוה</w:t>
      </w:r>
      <w:r w:rsidRPr="00CC6F7E">
        <w:rPr>
          <w:rFonts w:eastAsia="Times New Roman" w:cs="Times New Roman"/>
          <w:rtl/>
          <w:lang w:eastAsia="de-DE"/>
        </w:rPr>
        <w:t xml:space="preserve"> </w:t>
      </w:r>
      <w:r w:rsidRPr="00CC6F7E">
        <w:rPr>
          <w:rFonts w:eastAsia="Times New Roman" w:cs="Times New Roman"/>
          <w:lang w:eastAsia="de-DE"/>
        </w:rPr>
        <w:t xml:space="preserve">(um ihr Gott zu sein. Ich bin der Ewige) zeigt den Exodus-Zweck: Gottesbeziehung. </w:t>
      </w:r>
      <w:r w:rsidRPr="00CC6F7E">
        <w:rPr>
          <w:rFonts w:eastAsia="Times New Roman" w:cs="Times New Roman"/>
          <w:b/>
          <w:bCs/>
          <w:rtl/>
          <w:lang w:eastAsia="de-DE"/>
        </w:rPr>
        <w:t>להיות להם לאלהים</w:t>
      </w:r>
      <w:r w:rsidRPr="00CC6F7E">
        <w:rPr>
          <w:rFonts w:eastAsia="Times New Roman" w:cs="Times New Roman"/>
          <w:rtl/>
          <w:lang w:eastAsia="de-DE"/>
        </w:rPr>
        <w:t xml:space="preserve"> </w:t>
      </w:r>
      <w:r w:rsidRPr="00CC6F7E">
        <w:rPr>
          <w:rFonts w:eastAsia="Times New Roman" w:cs="Times New Roman"/>
          <w:lang w:eastAsia="de-DE"/>
        </w:rPr>
        <w:t xml:space="preserve">entspricht V. 12 </w:t>
      </w:r>
      <w:r w:rsidRPr="00CC6F7E">
        <w:rPr>
          <w:rFonts w:eastAsia="Times New Roman" w:cs="Times New Roman"/>
          <w:b/>
          <w:bCs/>
          <w:rtl/>
          <w:lang w:eastAsia="de-DE"/>
        </w:rPr>
        <w:t>והייתי לכם לאלהים</w:t>
      </w:r>
      <w:r w:rsidRPr="00CC6F7E">
        <w:rPr>
          <w:rFonts w:eastAsia="Times New Roman" w:cs="Times New Roman"/>
          <w:lang w:eastAsia="de-DE"/>
        </w:rPr>
        <w:t xml:space="preserve">. </w:t>
      </w:r>
      <w:r w:rsidRPr="00CC6F7E">
        <w:rPr>
          <w:rFonts w:eastAsia="Times New Roman" w:cs="Times New Roman"/>
          <w:b/>
          <w:bCs/>
          <w:rtl/>
          <w:lang w:eastAsia="de-DE"/>
        </w:rPr>
        <w:t>אני יהוה</w:t>
      </w:r>
      <w:r w:rsidRPr="00CC6F7E">
        <w:rPr>
          <w:rFonts w:eastAsia="Times New Roman" w:cs="Times New Roman"/>
          <w:rtl/>
          <w:lang w:eastAsia="de-DE"/>
        </w:rPr>
        <w:t xml:space="preserve"> </w:t>
      </w:r>
      <w:r w:rsidRPr="00CC6F7E">
        <w:rPr>
          <w:rFonts w:eastAsia="Times New Roman" w:cs="Times New Roman"/>
          <w:lang w:eastAsia="de-DE"/>
        </w:rPr>
        <w:t>als abschließende Autoritätsformel.</w:t>
      </w:r>
    </w:p>
    <w:p w14:paraId="717290E1" w14:textId="077ED771"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ברית ראשנים</w:t>
      </w:r>
      <w:r w:rsidRPr="00CC6F7E">
        <w:rPr>
          <w:rFonts w:eastAsia="Times New Roman" w:cs="Times New Roman"/>
          <w:rtl/>
          <w:lang w:eastAsia="de-DE"/>
        </w:rPr>
        <w:t xml:space="preserve"> </w:t>
      </w:r>
      <w:r w:rsidRPr="00CC6F7E">
        <w:rPr>
          <w:rFonts w:eastAsia="Times New Roman" w:cs="Times New Roman"/>
          <w:lang w:eastAsia="de-DE"/>
        </w:rPr>
        <w:t xml:space="preserve">zeigt Exodus-Generation als Bundesgrundlage. </w:t>
      </w:r>
      <w:r w:rsidRPr="00CC6F7E">
        <w:rPr>
          <w:rFonts w:eastAsia="Times New Roman" w:cs="Times New Roman"/>
          <w:b/>
          <w:bCs/>
          <w:rtl/>
          <w:lang w:eastAsia="de-DE"/>
        </w:rPr>
        <w:t>לעיני הגוים</w:t>
      </w:r>
      <w:r w:rsidRPr="00CC6F7E">
        <w:rPr>
          <w:rFonts w:eastAsia="Times New Roman" w:cs="Times New Roman"/>
          <w:rtl/>
          <w:lang w:eastAsia="de-DE"/>
        </w:rPr>
        <w:t xml:space="preserve"> </w:t>
      </w:r>
      <w:r w:rsidRPr="00CC6F7E">
        <w:rPr>
          <w:rFonts w:eastAsia="Times New Roman" w:cs="Times New Roman"/>
          <w:lang w:eastAsia="de-DE"/>
        </w:rPr>
        <w:t xml:space="preserve">betont öffentlichen Exodus-Charakter. </w:t>
      </w:r>
      <w:r w:rsidRPr="00CC6F7E">
        <w:rPr>
          <w:rFonts w:eastAsia="Times New Roman" w:cs="Times New Roman"/>
          <w:b/>
          <w:bCs/>
          <w:rtl/>
          <w:lang w:eastAsia="de-DE"/>
        </w:rPr>
        <w:t>להיות להם לאלהים</w:t>
      </w:r>
      <w:r w:rsidRPr="00CC6F7E">
        <w:rPr>
          <w:rFonts w:eastAsia="Times New Roman" w:cs="Times New Roman"/>
          <w:rtl/>
          <w:lang w:eastAsia="de-DE"/>
        </w:rPr>
        <w:t xml:space="preserve"> </w:t>
      </w:r>
      <w:r w:rsidRPr="00CC6F7E">
        <w:rPr>
          <w:rFonts w:eastAsia="Times New Roman" w:cs="Times New Roman"/>
          <w:lang w:eastAsia="de-DE"/>
        </w:rPr>
        <w:t xml:space="preserve">zeigt Bundesziel. </w:t>
      </w:r>
      <w:r w:rsidRPr="00CC6F7E">
        <w:rPr>
          <w:rFonts w:eastAsia="Times New Roman" w:cs="Times New Roman"/>
          <w:b/>
          <w:bCs/>
          <w:rtl/>
          <w:lang w:eastAsia="de-DE"/>
        </w:rPr>
        <w:t>אני יהוה</w:t>
      </w:r>
      <w:r w:rsidRPr="00CC6F7E">
        <w:rPr>
          <w:rFonts w:eastAsia="Times New Roman" w:cs="Times New Roman"/>
          <w:rtl/>
          <w:lang w:eastAsia="de-DE"/>
        </w:rPr>
        <w:t xml:space="preserve"> </w:t>
      </w:r>
      <w:r w:rsidRPr="00CC6F7E">
        <w:rPr>
          <w:rFonts w:eastAsia="Times New Roman" w:cs="Times New Roman"/>
          <w:lang w:eastAsia="de-DE"/>
        </w:rPr>
        <w:t>bekräftigt göttliche Identität.</w:t>
      </w:r>
    </w:p>
    <w:p w14:paraId="532CF8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ברית</w:t>
      </w:r>
      <w:r w:rsidRPr="00CC6F7E">
        <w:rPr>
          <w:rFonts w:eastAsia="Times New Roman" w:cs="Times New Roman"/>
          <w:b/>
          <w:bCs/>
          <w:lang w:eastAsia="de-DE"/>
        </w:rPr>
        <w:t xml:space="preserve"> ρα</w:t>
      </w:r>
      <w:r w:rsidRPr="00CC6F7E">
        <w:rPr>
          <w:rFonts w:eastAsia="Times New Roman" w:cs="Times New Roman"/>
          <w:b/>
          <w:bCs/>
          <w:rtl/>
          <w:lang w:eastAsia="de-DE"/>
        </w:rPr>
        <w:t>שנים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δι</w:t>
      </w:r>
      <w:proofErr w:type="spellEnd"/>
      <w:r w:rsidRPr="00CC6F7E">
        <w:rPr>
          <w:rFonts w:eastAsia="Times New Roman" w:cs="Times New Roman"/>
          <w:lang w:eastAsia="de-DE"/>
        </w:rPr>
        <w:t>αθήκην π</w:t>
      </w:r>
      <w:proofErr w:type="spellStart"/>
      <w:r w:rsidRPr="00CC6F7E">
        <w:rPr>
          <w:rFonts w:eastAsia="Times New Roman" w:cs="Times New Roman"/>
          <w:lang w:eastAsia="de-DE"/>
        </w:rPr>
        <w:t>ροτέρων</w:t>
      </w:r>
      <w:proofErr w:type="spellEnd"/>
      <w:r w:rsidRPr="00CC6F7E">
        <w:rPr>
          <w:rFonts w:eastAsia="Times New Roman" w:cs="Times New Roman"/>
          <w:lang w:eastAsia="de-DE"/>
        </w:rPr>
        <w:t xml:space="preserve"> (Bund der Früheren), </w:t>
      </w:r>
      <w:r w:rsidRPr="00CC6F7E">
        <w:rPr>
          <w:rFonts w:eastAsia="Times New Roman" w:cs="Times New Roman"/>
          <w:b/>
          <w:bCs/>
          <w:rtl/>
          <w:lang w:eastAsia="de-DE"/>
        </w:rPr>
        <w:t>לעיני הגוים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αντίον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ἐθνῶν</w:t>
      </w:r>
      <w:proofErr w:type="spellEnd"/>
      <w:r w:rsidRPr="00CC6F7E">
        <w:rPr>
          <w:rFonts w:eastAsia="Times New Roman" w:cs="Times New Roman"/>
          <w:lang w:eastAsia="de-DE"/>
        </w:rPr>
        <w:t xml:space="preserve"> (vor den Völkern), </w:t>
      </w:r>
      <w:r w:rsidRPr="00CC6F7E">
        <w:rPr>
          <w:rFonts w:eastAsia="Times New Roman" w:cs="Times New Roman"/>
          <w:b/>
          <w:bCs/>
          <w:rtl/>
          <w:lang w:eastAsia="de-DE"/>
        </w:rPr>
        <w:t>להיות להם לאלהים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εἶν</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θεός</w:t>
      </w:r>
      <w:proofErr w:type="spellEnd"/>
      <w:r w:rsidRPr="00CC6F7E">
        <w:rPr>
          <w:rFonts w:eastAsia="Times New Roman" w:cs="Times New Roman"/>
          <w:lang w:eastAsia="de-DE"/>
        </w:rPr>
        <w:t xml:space="preserve"> (ihr Gott zu sein) und </w:t>
      </w:r>
      <w:r w:rsidRPr="00CC6F7E">
        <w:rPr>
          <w:rFonts w:eastAsia="Times New Roman" w:cs="Times New Roman"/>
          <w:b/>
          <w:bCs/>
          <w:rtl/>
          <w:lang w:eastAsia="de-DE"/>
        </w:rPr>
        <w:t>אני 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ἐγώ</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εἰμι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κύριος</w:t>
      </w:r>
      <w:proofErr w:type="spellEnd"/>
      <w:r w:rsidRPr="00CC6F7E">
        <w:rPr>
          <w:rFonts w:eastAsia="Times New Roman" w:cs="Times New Roman"/>
          <w:lang w:eastAsia="de-DE"/>
        </w:rPr>
        <w:t xml:space="preserve"> (ich bin der Herr).</w:t>
      </w:r>
    </w:p>
    <w:p w14:paraId="7F3DB56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Exodus-Bundesgedenken: ihnen gedenken Bund mit Vorfahren + die ich aus Mizrajim herausführte + vor Augen der Nationen + ihr Gott zu sein + ich bin JHWH.</w:t>
      </w:r>
    </w:p>
    <w:p w14:paraId="7D6502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das Exodus-Bundesgedenken als Grund für Wiederherstellung: Der öffentliche Exodus verpflichtet JHWH zur Bundestreue.</w:t>
      </w:r>
    </w:p>
    <w:p w14:paraId="272504D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26,46</w:t>
      </w:r>
    </w:p>
    <w:p w14:paraId="52384D8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אֵ֠לֶּה הַֽחֻקִּ֣ים וְהַמִּשְׁפָּטִים֮ וְהַתּוֹרֹת֒ אֲשֶׁר֙ נָתַ֣ן יְהוָ֔ה בֵּינֹ֕ו וּבֵ֖ין בְּנֵ֣י יִשְׂרָאֵ֑ל בְּהַ֥ר סִינַ֖י בְּיַד־מֹשֶֽׁה׃</w:t>
      </w:r>
    </w:p>
    <w:p w14:paraId="55040E1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Das sind die Satzungen und die Rechtsvorschriften und die Toroth, die der Ewige zwischen sich und den Kindern Jisra'els auf dem Berg Sinai durch Mosche gegeben hat.</w:t>
      </w:r>
    </w:p>
    <w:p w14:paraId="179C4E9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93CBBDE">
          <v:rect id="_x0000_i1849" style="width:0;height:1.5pt" o:hralign="center" o:hrstd="t" o:hr="t" fillcolor="#a0a0a0" stroked="f"/>
        </w:pict>
      </w:r>
    </w:p>
    <w:p w14:paraId="6280857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אלה החקים והמשפטים והתורת אשר נתן יהוה בינו ובין בני ישראל בהר סיני ביד־משה</w:t>
      </w:r>
      <w:r w:rsidRPr="00CC6F7E">
        <w:rPr>
          <w:rFonts w:eastAsia="Times New Roman" w:cs="Times New Roman"/>
          <w:rtl/>
          <w:lang w:eastAsia="de-DE"/>
        </w:rPr>
        <w:t xml:space="preserve"> </w:t>
      </w:r>
      <w:r w:rsidRPr="00CC6F7E">
        <w:rPr>
          <w:rFonts w:eastAsia="Times New Roman" w:cs="Times New Roman"/>
          <w:lang w:eastAsia="de-DE"/>
        </w:rPr>
        <w:t xml:space="preserve">schließt Kapitel 26 und das gesamte Heiligkeitsgesetz ab. </w:t>
      </w:r>
      <w:r w:rsidRPr="00CC6F7E">
        <w:rPr>
          <w:rFonts w:eastAsia="Times New Roman" w:cs="Times New Roman"/>
          <w:b/>
          <w:bCs/>
          <w:rtl/>
          <w:lang w:eastAsia="de-DE"/>
        </w:rPr>
        <w:t>אלה החקים והמשפטים והתורת</w:t>
      </w:r>
      <w:r w:rsidRPr="00CC6F7E">
        <w:rPr>
          <w:rFonts w:eastAsia="Times New Roman" w:cs="Times New Roman"/>
          <w:rtl/>
          <w:lang w:eastAsia="de-DE"/>
        </w:rPr>
        <w:t xml:space="preserve"> </w:t>
      </w:r>
      <w:r w:rsidRPr="00CC6F7E">
        <w:rPr>
          <w:rFonts w:eastAsia="Times New Roman" w:cs="Times New Roman"/>
          <w:lang w:eastAsia="de-DE"/>
        </w:rPr>
        <w:t xml:space="preserve">(das sind die Satzungen und die Rechtsvorschriften und die Toroth) zeigt drei Kategorien göttlicher Anweisungen - </w:t>
      </w:r>
      <w:r w:rsidRPr="00CC6F7E">
        <w:rPr>
          <w:rFonts w:eastAsia="Times New Roman" w:cs="Times New Roman"/>
          <w:b/>
          <w:bCs/>
          <w:rtl/>
          <w:lang w:eastAsia="de-DE"/>
        </w:rPr>
        <w:t>חקים</w:t>
      </w:r>
      <w:r w:rsidRPr="00CC6F7E">
        <w:rPr>
          <w:rFonts w:eastAsia="Times New Roman" w:cs="Times New Roman"/>
          <w:rtl/>
          <w:lang w:eastAsia="de-DE"/>
        </w:rPr>
        <w:t xml:space="preserve"> </w:t>
      </w:r>
      <w:r w:rsidRPr="00CC6F7E">
        <w:rPr>
          <w:rFonts w:eastAsia="Times New Roman" w:cs="Times New Roman"/>
          <w:lang w:eastAsia="de-DE"/>
        </w:rPr>
        <w:t xml:space="preserve">(Satzungen), </w:t>
      </w:r>
      <w:r w:rsidRPr="00CC6F7E">
        <w:rPr>
          <w:rFonts w:eastAsia="Times New Roman" w:cs="Times New Roman"/>
          <w:b/>
          <w:bCs/>
          <w:rtl/>
          <w:lang w:eastAsia="de-DE"/>
        </w:rPr>
        <w:t>משפטים</w:t>
      </w:r>
      <w:r w:rsidRPr="00CC6F7E">
        <w:rPr>
          <w:rFonts w:eastAsia="Times New Roman" w:cs="Times New Roman"/>
          <w:rtl/>
          <w:lang w:eastAsia="de-DE"/>
        </w:rPr>
        <w:t xml:space="preserve"> </w:t>
      </w:r>
      <w:r w:rsidRPr="00CC6F7E">
        <w:rPr>
          <w:rFonts w:eastAsia="Times New Roman" w:cs="Times New Roman"/>
          <w:lang w:eastAsia="de-DE"/>
        </w:rPr>
        <w:t xml:space="preserve">(Rechtsvorschriften) und </w:t>
      </w:r>
      <w:r w:rsidRPr="00CC6F7E">
        <w:rPr>
          <w:rFonts w:eastAsia="Times New Roman" w:cs="Times New Roman"/>
          <w:b/>
          <w:bCs/>
          <w:rtl/>
          <w:lang w:eastAsia="de-DE"/>
        </w:rPr>
        <w:t>תורת</w:t>
      </w:r>
      <w:r w:rsidRPr="00CC6F7E">
        <w:rPr>
          <w:rFonts w:eastAsia="Times New Roman" w:cs="Times New Roman"/>
          <w:rtl/>
          <w:lang w:eastAsia="de-DE"/>
        </w:rPr>
        <w:t xml:space="preserve"> </w:t>
      </w:r>
      <w:r w:rsidRPr="00CC6F7E">
        <w:rPr>
          <w:rFonts w:eastAsia="Times New Roman" w:cs="Times New Roman"/>
          <w:lang w:eastAsia="de-DE"/>
        </w:rPr>
        <w:t xml:space="preserve">(Toroth/Weisungen). </w:t>
      </w:r>
      <w:r w:rsidRPr="00CC6F7E">
        <w:rPr>
          <w:rFonts w:eastAsia="Times New Roman" w:cs="Times New Roman"/>
          <w:b/>
          <w:bCs/>
          <w:rtl/>
          <w:lang w:eastAsia="de-DE"/>
        </w:rPr>
        <w:t>תורת</w:t>
      </w:r>
      <w:r w:rsidRPr="00CC6F7E">
        <w:rPr>
          <w:rFonts w:eastAsia="Times New Roman" w:cs="Times New Roman"/>
          <w:rtl/>
          <w:lang w:eastAsia="de-DE"/>
        </w:rPr>
        <w:t xml:space="preserve"> </w:t>
      </w:r>
      <w:r w:rsidRPr="00CC6F7E">
        <w:rPr>
          <w:rFonts w:eastAsia="Times New Roman" w:cs="Times New Roman"/>
          <w:lang w:eastAsia="de-DE"/>
        </w:rPr>
        <w:t>im Plural zeigt multiple Toroth/Lehrweisungen.</w:t>
      </w:r>
    </w:p>
    <w:p w14:paraId="778E364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 נתן יהוה בינו ובין בני ישראל</w:t>
      </w:r>
      <w:r w:rsidRPr="00CC6F7E">
        <w:rPr>
          <w:rFonts w:eastAsia="Times New Roman" w:cs="Times New Roman"/>
          <w:rtl/>
          <w:lang w:eastAsia="de-DE"/>
        </w:rPr>
        <w:t xml:space="preserve"> </w:t>
      </w:r>
      <w:r w:rsidRPr="00CC6F7E">
        <w:rPr>
          <w:rFonts w:eastAsia="Times New Roman" w:cs="Times New Roman"/>
          <w:lang w:eastAsia="de-DE"/>
        </w:rPr>
        <w:t xml:space="preserve">(die der Ewige zwischen sich und den Kindern Jisra'els gegeben hat) - </w:t>
      </w:r>
      <w:r w:rsidRPr="00CC6F7E">
        <w:rPr>
          <w:rFonts w:eastAsia="Times New Roman" w:cs="Times New Roman"/>
          <w:b/>
          <w:bCs/>
          <w:rtl/>
          <w:lang w:eastAsia="de-DE"/>
        </w:rPr>
        <w:t>נתן יהוה</w:t>
      </w:r>
      <w:r w:rsidRPr="00CC6F7E">
        <w:rPr>
          <w:rFonts w:eastAsia="Times New Roman" w:cs="Times New Roman"/>
          <w:rtl/>
          <w:lang w:eastAsia="de-DE"/>
        </w:rPr>
        <w:t xml:space="preserve"> </w:t>
      </w:r>
      <w:r w:rsidRPr="00CC6F7E">
        <w:rPr>
          <w:rFonts w:eastAsia="Times New Roman" w:cs="Times New Roman"/>
          <w:lang w:eastAsia="de-DE"/>
        </w:rPr>
        <w:t xml:space="preserve">zeigt göttliche Gesetzgebung. </w:t>
      </w:r>
      <w:r w:rsidRPr="00CC6F7E">
        <w:rPr>
          <w:rFonts w:eastAsia="Times New Roman" w:cs="Times New Roman"/>
          <w:b/>
          <w:bCs/>
          <w:rtl/>
          <w:lang w:eastAsia="de-DE"/>
        </w:rPr>
        <w:t>בינו ובין בני ישראל</w:t>
      </w:r>
      <w:r w:rsidRPr="00CC6F7E">
        <w:rPr>
          <w:rFonts w:eastAsia="Times New Roman" w:cs="Times New Roman"/>
          <w:rtl/>
          <w:lang w:eastAsia="de-DE"/>
        </w:rPr>
        <w:t xml:space="preserve"> </w:t>
      </w:r>
      <w:r w:rsidRPr="00CC6F7E">
        <w:rPr>
          <w:rFonts w:eastAsia="Times New Roman" w:cs="Times New Roman"/>
          <w:lang w:eastAsia="de-DE"/>
        </w:rPr>
        <w:t>(zwischen ihm und den Kindern Israels) zeigt die Gesetze als Bundesvertrag zwischen JHWH und Israel.</w:t>
      </w:r>
    </w:p>
    <w:p w14:paraId="25C4EC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בהר סיני ביד־משה</w:t>
      </w:r>
      <w:r w:rsidRPr="00CC6F7E">
        <w:rPr>
          <w:rFonts w:eastAsia="Times New Roman" w:cs="Times New Roman"/>
          <w:rtl/>
          <w:lang w:eastAsia="de-DE"/>
        </w:rPr>
        <w:t xml:space="preserve"> </w:t>
      </w:r>
      <w:r w:rsidRPr="00CC6F7E">
        <w:rPr>
          <w:rFonts w:eastAsia="Times New Roman" w:cs="Times New Roman"/>
          <w:lang w:eastAsia="de-DE"/>
        </w:rPr>
        <w:t xml:space="preserve">(auf dem Berg Sinai durch Mosche) - </w:t>
      </w:r>
      <w:r w:rsidRPr="00CC6F7E">
        <w:rPr>
          <w:rFonts w:eastAsia="Times New Roman" w:cs="Times New Roman"/>
          <w:b/>
          <w:bCs/>
          <w:rtl/>
          <w:lang w:eastAsia="de-DE"/>
        </w:rPr>
        <w:t>בהר סיני</w:t>
      </w:r>
      <w:r w:rsidRPr="00CC6F7E">
        <w:rPr>
          <w:rFonts w:eastAsia="Times New Roman" w:cs="Times New Roman"/>
          <w:rtl/>
          <w:lang w:eastAsia="de-DE"/>
        </w:rPr>
        <w:t xml:space="preserve"> </w:t>
      </w:r>
      <w:r w:rsidRPr="00CC6F7E">
        <w:rPr>
          <w:rFonts w:eastAsia="Times New Roman" w:cs="Times New Roman"/>
          <w:lang w:eastAsia="de-DE"/>
        </w:rPr>
        <w:t xml:space="preserve">zeigt den Sinai als Offenbarungsort. </w:t>
      </w:r>
      <w:r w:rsidRPr="00CC6F7E">
        <w:rPr>
          <w:rFonts w:eastAsia="Times New Roman" w:cs="Times New Roman"/>
          <w:b/>
          <w:bCs/>
          <w:rtl/>
          <w:lang w:eastAsia="de-DE"/>
        </w:rPr>
        <w:t>ביד־משה</w:t>
      </w:r>
      <w:r w:rsidRPr="00CC6F7E">
        <w:rPr>
          <w:rFonts w:eastAsia="Times New Roman" w:cs="Times New Roman"/>
          <w:rtl/>
          <w:lang w:eastAsia="de-DE"/>
        </w:rPr>
        <w:t xml:space="preserve"> </w:t>
      </w:r>
      <w:r w:rsidRPr="00CC6F7E">
        <w:rPr>
          <w:rFonts w:eastAsia="Times New Roman" w:cs="Times New Roman"/>
          <w:lang w:eastAsia="de-DE"/>
        </w:rPr>
        <w:t>(durch die Hand Moses) zeigt Mose als Mittler der göttlichen Offenbarung.</w:t>
      </w:r>
    </w:p>
    <w:p w14:paraId="0EBD58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חקים ומשפטים ותורת</w:t>
      </w:r>
      <w:r w:rsidRPr="00CC6F7E">
        <w:rPr>
          <w:rFonts w:eastAsia="Times New Roman" w:cs="Times New Roman"/>
          <w:rtl/>
          <w:lang w:eastAsia="de-DE"/>
        </w:rPr>
        <w:t xml:space="preserve"> </w:t>
      </w:r>
      <w:r w:rsidRPr="00CC6F7E">
        <w:rPr>
          <w:rFonts w:eastAsia="Times New Roman" w:cs="Times New Roman"/>
          <w:lang w:eastAsia="de-DE"/>
        </w:rPr>
        <w:t xml:space="preserve">zeigen umfassende Gesetzeskategorien. </w:t>
      </w:r>
      <w:r w:rsidRPr="00CC6F7E">
        <w:rPr>
          <w:rFonts w:eastAsia="Times New Roman" w:cs="Times New Roman"/>
          <w:b/>
          <w:bCs/>
          <w:rtl/>
          <w:lang w:eastAsia="de-DE"/>
        </w:rPr>
        <w:t>בינו ובין בני ישראל</w:t>
      </w:r>
      <w:r w:rsidRPr="00CC6F7E">
        <w:rPr>
          <w:rFonts w:eastAsia="Times New Roman" w:cs="Times New Roman"/>
          <w:rtl/>
          <w:lang w:eastAsia="de-DE"/>
        </w:rPr>
        <w:t xml:space="preserve"> </w:t>
      </w:r>
      <w:r w:rsidRPr="00CC6F7E">
        <w:rPr>
          <w:rFonts w:eastAsia="Times New Roman" w:cs="Times New Roman"/>
          <w:lang w:eastAsia="de-DE"/>
        </w:rPr>
        <w:t xml:space="preserve">zeigt Bundescharakter der Gesetze. </w:t>
      </w:r>
      <w:r w:rsidRPr="00CC6F7E">
        <w:rPr>
          <w:rFonts w:eastAsia="Times New Roman" w:cs="Times New Roman"/>
          <w:b/>
          <w:bCs/>
          <w:rtl/>
          <w:lang w:eastAsia="de-DE"/>
        </w:rPr>
        <w:t>בהר סיני ביד־משה</w:t>
      </w:r>
      <w:r w:rsidRPr="00CC6F7E">
        <w:rPr>
          <w:rFonts w:eastAsia="Times New Roman" w:cs="Times New Roman"/>
          <w:rtl/>
          <w:lang w:eastAsia="de-DE"/>
        </w:rPr>
        <w:t xml:space="preserve"> </w:t>
      </w:r>
      <w:r w:rsidRPr="00CC6F7E">
        <w:rPr>
          <w:rFonts w:eastAsia="Times New Roman" w:cs="Times New Roman"/>
          <w:lang w:eastAsia="de-DE"/>
        </w:rPr>
        <w:t>zeigt Sinai-Offenbarung durch mosaische Mittlerschaft.</w:t>
      </w:r>
    </w:p>
    <w:p w14:paraId="10F91326" w14:textId="7093AA9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התורת</w:t>
      </w:r>
      <w:r w:rsidR="00274C29">
        <w:t xml:space="preserve"> (</w:t>
      </w:r>
      <w:proofErr w:type="spellStart"/>
      <w:r w:rsidR="00274C29">
        <w:t>hattorot</w:t>
      </w:r>
      <w:proofErr w:type="spellEnd"/>
      <w:r w:rsidR="00274C29">
        <w:t xml:space="preserve"> - "die Lehren") als </w:t>
      </w:r>
      <w:proofErr w:type="spellStart"/>
      <w:r w:rsidR="00274C29">
        <w:t>οἱ</w:t>
      </w:r>
      <w:proofErr w:type="spellEnd"/>
      <w:r w:rsidR="00274C29">
        <w:t xml:space="preserve"> </w:t>
      </w:r>
      <w:proofErr w:type="spellStart"/>
      <w:r w:rsidR="00274C29">
        <w:t>νόμοι</w:t>
      </w:r>
      <w:proofErr w:type="spellEnd"/>
      <w:r w:rsidR="00274C29">
        <w:t xml:space="preserve"> (die Gesetze) und fügt </w:t>
      </w:r>
      <w:proofErr w:type="spellStart"/>
      <w:r w:rsidR="00274C29">
        <w:t>διὰ</w:t>
      </w:r>
      <w:proofErr w:type="spellEnd"/>
      <w:r w:rsidR="00274C29">
        <w:t xml:space="preserve"> </w:t>
      </w:r>
      <w:proofErr w:type="spellStart"/>
      <w:r w:rsidR="00274C29">
        <w:t>χειρὸς</w:t>
      </w:r>
      <w:proofErr w:type="spellEnd"/>
      <w:r w:rsidR="00274C29">
        <w:t xml:space="preserve"> </w:t>
      </w:r>
      <w:proofErr w:type="spellStart"/>
      <w:r w:rsidR="00274C29">
        <w:t>Μωυσῇ</w:t>
      </w:r>
      <w:proofErr w:type="spellEnd"/>
      <w:r w:rsidR="00274C29">
        <w:t xml:space="preserve"> (durch die Hand des Mose) hinzu.</w:t>
      </w:r>
    </w:p>
    <w:p w14:paraId="3E605A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Satzstruktur</w:t>
      </w:r>
      <w:r w:rsidRPr="00CC6F7E">
        <w:rPr>
          <w:rFonts w:eastAsia="Times New Roman" w:cs="Times New Roman"/>
          <w:lang w:eastAsia="de-DE"/>
        </w:rPr>
        <w:t xml:space="preserve"> zeigt Gesetzesabschluss-Formel: diese Satzungen, Rechtsvorschriften und Toroth + die JHWH gab + zwischen ihm und Kindern Israels + auf Berg Sinai + durch Mosche.</w:t>
      </w:r>
    </w:p>
    <w:p w14:paraId="3675324F" w14:textId="77777777" w:rsid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Schlussvers kennzeichnet die gesamte Sinai-Gesetzgebung als Bundesvertrag zwischen JHWH und Israel, vermittelt durch Mose.</w:t>
      </w:r>
    </w:p>
    <w:p w14:paraId="3E86C311" w14:textId="365A04C1"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Kapitel 26 bildet den Abschluss des Heiligkeitsgesetzes mit einer großen </w:t>
      </w:r>
      <w:r w:rsidRPr="00CC6F7E">
        <w:rPr>
          <w:rFonts w:eastAsia="Times New Roman" w:cs="Times New Roman"/>
          <w:b/>
          <w:bCs/>
          <w:lang w:eastAsia="de-DE"/>
        </w:rPr>
        <w:t>Segens- und Fluchrede</w:t>
      </w:r>
      <w:r w:rsidRPr="00CC6F7E">
        <w:rPr>
          <w:rFonts w:eastAsia="Times New Roman" w:cs="Times New Roman"/>
          <w:lang w:eastAsia="de-DE"/>
        </w:rPr>
        <w:t xml:space="preserve">, die an deuteronomische Bundesformulierungen erinnert. Das Kapitel gliedert sich in </w:t>
      </w:r>
      <w:r w:rsidRPr="00CC6F7E">
        <w:rPr>
          <w:rFonts w:eastAsia="Times New Roman" w:cs="Times New Roman"/>
          <w:b/>
          <w:bCs/>
          <w:lang w:eastAsia="de-DE"/>
        </w:rPr>
        <w:t>Einleitung</w:t>
      </w:r>
      <w:r w:rsidRPr="00CC6F7E">
        <w:rPr>
          <w:rFonts w:eastAsia="Times New Roman" w:cs="Times New Roman"/>
          <w:lang w:eastAsia="de-DE"/>
        </w:rPr>
        <w:t xml:space="preserve"> (V. 1-2), </w:t>
      </w:r>
      <w:r w:rsidRPr="00CC6F7E">
        <w:rPr>
          <w:rFonts w:eastAsia="Times New Roman" w:cs="Times New Roman"/>
          <w:b/>
          <w:bCs/>
          <w:lang w:eastAsia="de-DE"/>
        </w:rPr>
        <w:t>Segens-Verheißungen</w:t>
      </w:r>
      <w:r w:rsidRPr="00CC6F7E">
        <w:rPr>
          <w:rFonts w:eastAsia="Times New Roman" w:cs="Times New Roman"/>
          <w:lang w:eastAsia="de-DE"/>
        </w:rPr>
        <w:t xml:space="preserve"> (V. 3-13), </w:t>
      </w:r>
      <w:r w:rsidRPr="00CC6F7E">
        <w:rPr>
          <w:rFonts w:eastAsia="Times New Roman" w:cs="Times New Roman"/>
          <w:b/>
          <w:bCs/>
          <w:lang w:eastAsia="de-DE"/>
        </w:rPr>
        <w:t>Fluch-Androhungen</w:t>
      </w:r>
      <w:r w:rsidRPr="00CC6F7E">
        <w:rPr>
          <w:rFonts w:eastAsia="Times New Roman" w:cs="Times New Roman"/>
          <w:lang w:eastAsia="de-DE"/>
        </w:rPr>
        <w:t xml:space="preserve"> in fünf Stufen (V. 14-33), </w:t>
      </w:r>
      <w:r w:rsidRPr="00CC6F7E">
        <w:rPr>
          <w:rFonts w:eastAsia="Times New Roman" w:cs="Times New Roman"/>
          <w:b/>
          <w:bCs/>
          <w:lang w:eastAsia="de-DE"/>
        </w:rPr>
        <w:t>Diaspora-Beschreibung</w:t>
      </w:r>
      <w:r w:rsidRPr="00CC6F7E">
        <w:rPr>
          <w:rFonts w:eastAsia="Times New Roman" w:cs="Times New Roman"/>
          <w:lang w:eastAsia="de-DE"/>
        </w:rPr>
        <w:t xml:space="preserve"> (V. 34-39) und </w:t>
      </w:r>
      <w:r w:rsidRPr="00CC6F7E">
        <w:rPr>
          <w:rFonts w:eastAsia="Times New Roman" w:cs="Times New Roman"/>
          <w:b/>
          <w:bCs/>
          <w:lang w:eastAsia="de-DE"/>
        </w:rPr>
        <w:t>Umkehr-Verheißung</w:t>
      </w:r>
      <w:r w:rsidRPr="00CC6F7E">
        <w:rPr>
          <w:rFonts w:eastAsia="Times New Roman" w:cs="Times New Roman"/>
          <w:lang w:eastAsia="de-DE"/>
        </w:rPr>
        <w:t xml:space="preserve"> (V. 40-45) mit </w:t>
      </w:r>
      <w:r w:rsidRPr="00CC6F7E">
        <w:rPr>
          <w:rFonts w:eastAsia="Times New Roman" w:cs="Times New Roman"/>
          <w:b/>
          <w:bCs/>
          <w:lang w:eastAsia="de-DE"/>
        </w:rPr>
        <w:t>Abschlussformel</w:t>
      </w:r>
      <w:r w:rsidRPr="00CC6F7E">
        <w:rPr>
          <w:rFonts w:eastAsia="Times New Roman" w:cs="Times New Roman"/>
          <w:lang w:eastAsia="de-DE"/>
        </w:rPr>
        <w:t xml:space="preserve"> (V. 46).</w:t>
      </w:r>
    </w:p>
    <w:p w14:paraId="52F6278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1) Einleitung (V. 1-2):</w:t>
      </w:r>
      <w:r w:rsidRPr="00CC6F7E">
        <w:rPr>
          <w:rFonts w:eastAsia="Times New Roman" w:cs="Times New Roman"/>
          <w:lang w:eastAsia="de-DE"/>
        </w:rPr>
        <w:t xml:space="preserve"> Umfassendes </w:t>
      </w:r>
      <w:r w:rsidRPr="00CC6F7E">
        <w:rPr>
          <w:rFonts w:eastAsia="Times New Roman" w:cs="Times New Roman"/>
          <w:b/>
          <w:bCs/>
          <w:lang w:eastAsia="de-DE"/>
        </w:rPr>
        <w:t>Bilderverbot</w:t>
      </w:r>
      <w:r w:rsidRPr="00CC6F7E">
        <w:rPr>
          <w:rFonts w:eastAsia="Times New Roman" w:cs="Times New Roman"/>
          <w:lang w:eastAsia="de-DE"/>
        </w:rPr>
        <w:t xml:space="preserve"> (</w:t>
      </w:r>
      <w:r w:rsidRPr="00CC6F7E">
        <w:rPr>
          <w:rFonts w:eastAsia="Times New Roman" w:cs="Times New Roman"/>
          <w:b/>
          <w:bCs/>
          <w:rtl/>
          <w:lang w:eastAsia="de-DE"/>
        </w:rPr>
        <w:t>אלילם ופסל ומצבה ואבן משכית</w:t>
      </w:r>
      <w:r w:rsidRPr="00CC6F7E">
        <w:rPr>
          <w:rFonts w:eastAsia="Times New Roman" w:cs="Times New Roman"/>
          <w:lang w:eastAsia="de-DE"/>
        </w:rPr>
        <w:t xml:space="preserve">) und positive </w:t>
      </w:r>
      <w:r w:rsidRPr="00CC6F7E">
        <w:rPr>
          <w:rFonts w:eastAsia="Times New Roman" w:cs="Times New Roman"/>
          <w:b/>
          <w:bCs/>
          <w:lang w:eastAsia="de-DE"/>
        </w:rPr>
        <w:t>Kultpflichten</w:t>
      </w:r>
      <w:r w:rsidRPr="00CC6F7E">
        <w:rPr>
          <w:rFonts w:eastAsia="Times New Roman" w:cs="Times New Roman"/>
          <w:lang w:eastAsia="de-DE"/>
        </w:rPr>
        <w:t xml:space="preserve"> (</w:t>
      </w:r>
      <w:r w:rsidRPr="00CC6F7E">
        <w:rPr>
          <w:rFonts w:eastAsia="Times New Roman" w:cs="Times New Roman"/>
          <w:b/>
          <w:bCs/>
          <w:rtl/>
          <w:lang w:eastAsia="de-DE"/>
        </w:rPr>
        <w:t>שבתתי תשמרו ומקדשי תיראו</w:t>
      </w:r>
      <w:r w:rsidRPr="00CC6F7E">
        <w:rPr>
          <w:rFonts w:eastAsia="Times New Roman" w:cs="Times New Roman"/>
          <w:lang w:eastAsia="de-DE"/>
        </w:rPr>
        <w:t>) als Grundlage für Segen oder Fluch.</w:t>
      </w:r>
    </w:p>
    <w:p w14:paraId="4856993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2) Segens-Verheißungen (V. 3-13):</w:t>
      </w:r>
      <w:r w:rsidRPr="00CC6F7E">
        <w:rPr>
          <w:rFonts w:eastAsia="Times New Roman" w:cs="Times New Roman"/>
          <w:lang w:eastAsia="de-DE"/>
        </w:rPr>
        <w:t xml:space="preserve"> Bei Gehorsam (</w:t>
      </w:r>
      <w:r w:rsidRPr="00CC6F7E">
        <w:rPr>
          <w:rFonts w:eastAsia="Times New Roman" w:cs="Times New Roman"/>
          <w:b/>
          <w:bCs/>
          <w:rtl/>
          <w:lang w:eastAsia="de-DE"/>
        </w:rPr>
        <w:t>אם־בחקתי תלכו ואת־מצותי תשמרו ועשיתם אתם</w:t>
      </w:r>
      <w:r w:rsidRPr="00CC6F7E">
        <w:rPr>
          <w:rFonts w:eastAsia="Times New Roman" w:cs="Times New Roman"/>
          <w:lang w:eastAsia="de-DE"/>
        </w:rPr>
        <w:t>) erfolgen landwirtschaftliche Prosperität (</w:t>
      </w:r>
      <w:r w:rsidRPr="00CC6F7E">
        <w:rPr>
          <w:rFonts w:eastAsia="Times New Roman" w:cs="Times New Roman"/>
          <w:b/>
          <w:bCs/>
          <w:rtl/>
          <w:lang w:eastAsia="de-DE"/>
        </w:rPr>
        <w:t>גשמיכם בעתם</w:t>
      </w:r>
      <w:r w:rsidRPr="00CC6F7E">
        <w:rPr>
          <w:rFonts w:eastAsia="Times New Roman" w:cs="Times New Roman"/>
          <w:lang w:eastAsia="de-DE"/>
        </w:rPr>
        <w:t xml:space="preserve">, kontinuierliche Ernten bis </w:t>
      </w:r>
      <w:r w:rsidRPr="00CC6F7E">
        <w:rPr>
          <w:rFonts w:eastAsia="Times New Roman" w:cs="Times New Roman"/>
          <w:b/>
          <w:bCs/>
          <w:rtl/>
          <w:lang w:eastAsia="de-DE"/>
        </w:rPr>
        <w:t>דיש את־בציר ובציר את־זרע</w:t>
      </w:r>
      <w:r w:rsidRPr="00CC6F7E">
        <w:rPr>
          <w:rFonts w:eastAsia="Times New Roman" w:cs="Times New Roman"/>
          <w:lang w:eastAsia="de-DE"/>
        </w:rPr>
        <w:t>), umfassende Sicherheit (</w:t>
      </w:r>
      <w:r w:rsidRPr="00CC6F7E">
        <w:rPr>
          <w:rFonts w:eastAsia="Times New Roman" w:cs="Times New Roman"/>
          <w:b/>
          <w:bCs/>
          <w:rtl/>
          <w:lang w:eastAsia="de-DE"/>
        </w:rPr>
        <w:t>שלום בארץ</w:t>
      </w:r>
      <w:r w:rsidRPr="00CC6F7E">
        <w:rPr>
          <w:rFonts w:eastAsia="Times New Roman" w:cs="Times New Roman"/>
          <w:lang w:eastAsia="de-DE"/>
        </w:rPr>
        <w:t xml:space="preserve">, keine </w:t>
      </w:r>
      <w:r w:rsidRPr="00CC6F7E">
        <w:rPr>
          <w:rFonts w:eastAsia="Times New Roman" w:cs="Times New Roman"/>
          <w:b/>
          <w:bCs/>
          <w:rtl/>
          <w:lang w:eastAsia="de-DE"/>
        </w:rPr>
        <w:t>חיה רעה</w:t>
      </w:r>
      <w:r w:rsidRPr="00CC6F7E">
        <w:rPr>
          <w:rFonts w:eastAsia="Times New Roman" w:cs="Times New Roman"/>
          <w:lang w:eastAsia="de-DE"/>
        </w:rPr>
        <w:t xml:space="preserve">, kein </w:t>
      </w:r>
      <w:r w:rsidRPr="00CC6F7E">
        <w:rPr>
          <w:rFonts w:eastAsia="Times New Roman" w:cs="Times New Roman"/>
          <w:b/>
          <w:bCs/>
          <w:rtl/>
          <w:lang w:eastAsia="de-DE"/>
        </w:rPr>
        <w:t>חרב</w:t>
      </w:r>
      <w:r w:rsidRPr="00CC6F7E">
        <w:rPr>
          <w:rFonts w:eastAsia="Times New Roman" w:cs="Times New Roman"/>
          <w:lang w:eastAsia="de-DE"/>
        </w:rPr>
        <w:t xml:space="preserve">), militärische Überlegenheit (wenige jagen viele: </w:t>
      </w:r>
      <w:r w:rsidRPr="00CC6F7E">
        <w:rPr>
          <w:rFonts w:eastAsia="Times New Roman" w:cs="Times New Roman"/>
          <w:b/>
          <w:bCs/>
          <w:rtl/>
          <w:lang w:eastAsia="de-DE"/>
        </w:rPr>
        <w:t>חמשה מכם מאה ירדפו ומאה מכם רבבה ירדפו</w:t>
      </w:r>
      <w:r w:rsidRPr="00CC6F7E">
        <w:rPr>
          <w:rFonts w:eastAsia="Times New Roman" w:cs="Times New Roman"/>
          <w:lang w:eastAsia="de-DE"/>
        </w:rPr>
        <w:t>), Bevölkerungswachstum (</w:t>
      </w:r>
      <w:r w:rsidRPr="00CC6F7E">
        <w:rPr>
          <w:rFonts w:eastAsia="Times New Roman" w:cs="Times New Roman"/>
          <w:b/>
          <w:bCs/>
          <w:rtl/>
          <w:lang w:eastAsia="de-DE"/>
        </w:rPr>
        <w:t>הפריתי אתכם והרביתי אתכם</w:t>
      </w:r>
      <w:r w:rsidRPr="00CC6F7E">
        <w:rPr>
          <w:rFonts w:eastAsia="Times New Roman" w:cs="Times New Roman"/>
          <w:lang w:eastAsia="de-DE"/>
        </w:rPr>
        <w:t>), Überfluss (</w:t>
      </w:r>
      <w:r w:rsidRPr="00CC6F7E">
        <w:rPr>
          <w:rFonts w:eastAsia="Times New Roman" w:cs="Times New Roman"/>
          <w:b/>
          <w:bCs/>
          <w:rtl/>
          <w:lang w:eastAsia="de-DE"/>
        </w:rPr>
        <w:t>ישן נושן מפני חדש תוציאו</w:t>
      </w:r>
      <w:r w:rsidRPr="00CC6F7E">
        <w:rPr>
          <w:rFonts w:eastAsia="Times New Roman" w:cs="Times New Roman"/>
          <w:lang w:eastAsia="de-DE"/>
        </w:rPr>
        <w:t>) und höchsten Segen: göttliche Wohnung (</w:t>
      </w:r>
      <w:r w:rsidRPr="00CC6F7E">
        <w:rPr>
          <w:rFonts w:eastAsia="Times New Roman" w:cs="Times New Roman"/>
          <w:b/>
          <w:bCs/>
          <w:rtl/>
          <w:lang w:eastAsia="de-DE"/>
        </w:rPr>
        <w:t>ונתתי משכני בתוככם</w:t>
      </w:r>
      <w:r w:rsidRPr="00CC6F7E">
        <w:rPr>
          <w:rFonts w:eastAsia="Times New Roman" w:cs="Times New Roman"/>
          <w:lang w:eastAsia="de-DE"/>
        </w:rPr>
        <w:t>), persönliches Wandeln (</w:t>
      </w:r>
      <w:r w:rsidRPr="00CC6F7E">
        <w:rPr>
          <w:rFonts w:eastAsia="Times New Roman" w:cs="Times New Roman"/>
          <w:b/>
          <w:bCs/>
          <w:rtl/>
          <w:lang w:eastAsia="de-DE"/>
        </w:rPr>
        <w:t>והתהלכתי בתוככם</w:t>
      </w:r>
      <w:r w:rsidRPr="00CC6F7E">
        <w:rPr>
          <w:rFonts w:eastAsia="Times New Roman" w:cs="Times New Roman"/>
          <w:lang w:eastAsia="de-DE"/>
        </w:rPr>
        <w:t>) und vollkommene Bundesbeziehung (</w:t>
      </w:r>
      <w:r w:rsidRPr="00CC6F7E">
        <w:rPr>
          <w:rFonts w:eastAsia="Times New Roman" w:cs="Times New Roman"/>
          <w:b/>
          <w:bCs/>
          <w:rtl/>
          <w:lang w:eastAsia="de-DE"/>
        </w:rPr>
        <w:t>והייתי לכם לאלהים ואתם תהיו־לי לעם</w:t>
      </w:r>
      <w:r w:rsidRPr="00CC6F7E">
        <w:rPr>
          <w:rFonts w:eastAsia="Times New Roman" w:cs="Times New Roman"/>
          <w:lang w:eastAsia="de-DE"/>
        </w:rPr>
        <w:t>). Exodus-Begründung (</w:t>
      </w:r>
      <w:r w:rsidRPr="00CC6F7E">
        <w:rPr>
          <w:rFonts w:eastAsia="Times New Roman" w:cs="Times New Roman"/>
          <w:b/>
          <w:bCs/>
          <w:rtl/>
          <w:lang w:eastAsia="de-DE"/>
        </w:rPr>
        <w:t>הוצאתי אתכם מארץ מצרים מהיות להם עבדים</w:t>
      </w:r>
      <w:r w:rsidRPr="00CC6F7E">
        <w:rPr>
          <w:rFonts w:eastAsia="Times New Roman" w:cs="Times New Roman"/>
          <w:lang w:eastAsia="de-DE"/>
        </w:rPr>
        <w:t>) zeigt JHWH als Befreier aus der Knechtschaft.</w:t>
      </w:r>
    </w:p>
    <w:p w14:paraId="3D41B2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3) Fluch-Androhungen (V. 14-33):</w:t>
      </w:r>
      <w:r w:rsidRPr="00CC6F7E">
        <w:rPr>
          <w:rFonts w:eastAsia="Times New Roman" w:cs="Times New Roman"/>
          <w:lang w:eastAsia="de-DE"/>
        </w:rPr>
        <w:t xml:space="preserve"> Bei Ungehorsam erfolgen fünf </w:t>
      </w:r>
      <w:proofErr w:type="spellStart"/>
      <w:r w:rsidRPr="00CC6F7E">
        <w:rPr>
          <w:rFonts w:eastAsia="Times New Roman" w:cs="Times New Roman"/>
          <w:lang w:eastAsia="de-DE"/>
        </w:rPr>
        <w:t>eskalieerende</w:t>
      </w:r>
      <w:proofErr w:type="spellEnd"/>
      <w:r w:rsidRPr="00CC6F7E">
        <w:rPr>
          <w:rFonts w:eastAsia="Times New Roman" w:cs="Times New Roman"/>
          <w:lang w:eastAsia="de-DE"/>
        </w:rPr>
        <w:t xml:space="preserve"> Straf-Stufen mit jeweils </w:t>
      </w:r>
      <w:r w:rsidRPr="00CC6F7E">
        <w:rPr>
          <w:rFonts w:eastAsia="Times New Roman" w:cs="Times New Roman"/>
          <w:b/>
          <w:bCs/>
          <w:rtl/>
          <w:lang w:eastAsia="de-DE"/>
        </w:rPr>
        <w:t>שבע</w:t>
      </w:r>
      <w:r w:rsidRPr="00CC6F7E">
        <w:rPr>
          <w:rFonts w:eastAsia="Times New Roman" w:cs="Times New Roman"/>
          <w:lang w:eastAsia="de-DE"/>
        </w:rPr>
        <w:t>-</w:t>
      </w:r>
      <w:proofErr w:type="spellStart"/>
      <w:r w:rsidRPr="00CC6F7E">
        <w:rPr>
          <w:rFonts w:eastAsia="Times New Roman" w:cs="Times New Roman"/>
          <w:lang w:eastAsia="de-DE"/>
        </w:rPr>
        <w:t>facher</w:t>
      </w:r>
      <w:proofErr w:type="spellEnd"/>
      <w:r w:rsidRPr="00CC6F7E">
        <w:rPr>
          <w:rFonts w:eastAsia="Times New Roman" w:cs="Times New Roman"/>
          <w:lang w:eastAsia="de-DE"/>
        </w:rPr>
        <w:t xml:space="preserve"> Intensivierung:</w:t>
      </w:r>
    </w:p>
    <w:p w14:paraId="1C65A27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Erste Stufe (V. 14-17):</w:t>
      </w:r>
      <w:r w:rsidRPr="00CC6F7E">
        <w:rPr>
          <w:rFonts w:eastAsia="Times New Roman" w:cs="Times New Roman"/>
          <w:lang w:eastAsia="de-DE"/>
        </w:rPr>
        <w:t xml:space="preserve"> Krankheiten (</w:t>
      </w:r>
      <w:r w:rsidRPr="00CC6F7E">
        <w:rPr>
          <w:rFonts w:eastAsia="Times New Roman" w:cs="Times New Roman"/>
          <w:b/>
          <w:bCs/>
          <w:rtl/>
          <w:lang w:eastAsia="de-DE"/>
        </w:rPr>
        <w:t>בהלה השחפת הקדחת</w:t>
      </w:r>
      <w:r w:rsidRPr="00CC6F7E">
        <w:rPr>
          <w:rFonts w:eastAsia="Times New Roman" w:cs="Times New Roman"/>
          <w:lang w:eastAsia="de-DE"/>
        </w:rPr>
        <w:t>), landwirtschaftlicher Misserfolg (</w:t>
      </w:r>
      <w:r w:rsidRPr="00CC6F7E">
        <w:rPr>
          <w:rFonts w:eastAsia="Times New Roman" w:cs="Times New Roman"/>
          <w:b/>
          <w:bCs/>
          <w:rtl/>
          <w:lang w:eastAsia="de-DE"/>
        </w:rPr>
        <w:t>זרעתם לריק זרעכם</w:t>
      </w:r>
      <w:r w:rsidRPr="00CC6F7E">
        <w:rPr>
          <w:rFonts w:eastAsia="Times New Roman" w:cs="Times New Roman"/>
          <w:lang w:eastAsia="de-DE"/>
        </w:rPr>
        <w:t>), militärische Niederlagen (</w:t>
      </w:r>
      <w:r w:rsidRPr="00CC6F7E">
        <w:rPr>
          <w:rFonts w:eastAsia="Times New Roman" w:cs="Times New Roman"/>
          <w:b/>
          <w:bCs/>
          <w:rtl/>
          <w:lang w:eastAsia="de-DE"/>
        </w:rPr>
        <w:t>ונגפתם לפני איביכם</w:t>
      </w:r>
      <w:r w:rsidRPr="00CC6F7E">
        <w:rPr>
          <w:rFonts w:eastAsia="Times New Roman" w:cs="Times New Roman"/>
          <w:lang w:eastAsia="de-DE"/>
        </w:rPr>
        <w:t>), psychologischer Zusammenbruch (</w:t>
      </w:r>
      <w:r w:rsidRPr="00CC6F7E">
        <w:rPr>
          <w:rFonts w:eastAsia="Times New Roman" w:cs="Times New Roman"/>
          <w:b/>
          <w:bCs/>
          <w:rtl/>
          <w:lang w:eastAsia="de-DE"/>
        </w:rPr>
        <w:t>ונסתם ואין־רדף אתכם</w:t>
      </w:r>
      <w:r w:rsidRPr="00CC6F7E">
        <w:rPr>
          <w:rFonts w:eastAsia="Times New Roman" w:cs="Times New Roman"/>
          <w:lang w:eastAsia="de-DE"/>
        </w:rPr>
        <w:t>).</w:t>
      </w:r>
    </w:p>
    <w:p w14:paraId="0217481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Zweite Stufe (V. 18-20):</w:t>
      </w:r>
      <w:r w:rsidRPr="00CC6F7E">
        <w:rPr>
          <w:rFonts w:eastAsia="Times New Roman" w:cs="Times New Roman"/>
          <w:lang w:eastAsia="de-DE"/>
        </w:rPr>
        <w:t xml:space="preserve"> </w:t>
      </w:r>
      <w:r w:rsidRPr="00CC6F7E">
        <w:rPr>
          <w:rFonts w:eastAsia="Times New Roman" w:cs="Times New Roman"/>
          <w:b/>
          <w:bCs/>
          <w:rtl/>
          <w:lang w:eastAsia="de-DE"/>
        </w:rPr>
        <w:t>שבע על־חטאתיכם</w:t>
      </w:r>
      <w:r w:rsidRPr="00CC6F7E">
        <w:rPr>
          <w:rFonts w:eastAsia="Times New Roman" w:cs="Times New Roman"/>
          <w:lang w:eastAsia="de-DE"/>
        </w:rPr>
        <w:t>, Hochmut-Brechung (</w:t>
      </w:r>
      <w:r w:rsidRPr="00CC6F7E">
        <w:rPr>
          <w:rFonts w:eastAsia="Times New Roman" w:cs="Times New Roman"/>
          <w:b/>
          <w:bCs/>
          <w:rtl/>
          <w:lang w:eastAsia="de-DE"/>
        </w:rPr>
        <w:t>ושברתי את־גאון עזכם</w:t>
      </w:r>
      <w:r w:rsidRPr="00CC6F7E">
        <w:rPr>
          <w:rFonts w:eastAsia="Times New Roman" w:cs="Times New Roman"/>
          <w:lang w:eastAsia="de-DE"/>
        </w:rPr>
        <w:t>), Dürre-Katastrophe (</w:t>
      </w:r>
      <w:r w:rsidRPr="00CC6F7E">
        <w:rPr>
          <w:rFonts w:eastAsia="Times New Roman" w:cs="Times New Roman"/>
          <w:b/>
          <w:bCs/>
          <w:rtl/>
          <w:lang w:eastAsia="de-DE"/>
        </w:rPr>
        <w:t>שמיכם כברזל וארצכם כנחשה</w:t>
      </w:r>
      <w:r w:rsidRPr="00CC6F7E">
        <w:rPr>
          <w:rFonts w:eastAsia="Times New Roman" w:cs="Times New Roman"/>
          <w:lang w:eastAsia="de-DE"/>
        </w:rPr>
        <w:t>), totale landwirtschaftliche Unfruchtbarkeit.</w:t>
      </w:r>
    </w:p>
    <w:p w14:paraId="52345F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Dritte Stufe (V. 21-22):</w:t>
      </w:r>
      <w:r w:rsidRPr="00CC6F7E">
        <w:rPr>
          <w:rFonts w:eastAsia="Times New Roman" w:cs="Times New Roman"/>
          <w:lang w:eastAsia="de-DE"/>
        </w:rPr>
        <w:t xml:space="preserve"> </w:t>
      </w:r>
      <w:r w:rsidRPr="00CC6F7E">
        <w:rPr>
          <w:rFonts w:eastAsia="Times New Roman" w:cs="Times New Roman"/>
          <w:b/>
          <w:bCs/>
          <w:rtl/>
          <w:lang w:eastAsia="de-DE"/>
        </w:rPr>
        <w:t>קרי</w:t>
      </w:r>
      <w:r w:rsidRPr="00CC6F7E">
        <w:rPr>
          <w:rFonts w:eastAsia="Times New Roman" w:cs="Times New Roman"/>
          <w:lang w:eastAsia="de-DE"/>
        </w:rPr>
        <w:t>-Wandel führt zu Wildtier-Plagen (</w:t>
      </w:r>
      <w:r w:rsidRPr="00CC6F7E">
        <w:rPr>
          <w:rFonts w:eastAsia="Times New Roman" w:cs="Times New Roman"/>
          <w:b/>
          <w:bCs/>
          <w:rtl/>
          <w:lang w:eastAsia="de-DE"/>
        </w:rPr>
        <w:t>והשלחתי בכם את־חית השדה</w:t>
      </w:r>
      <w:r w:rsidRPr="00CC6F7E">
        <w:rPr>
          <w:rFonts w:eastAsia="Times New Roman" w:cs="Times New Roman"/>
          <w:lang w:eastAsia="de-DE"/>
        </w:rPr>
        <w:t>), Kindesverlust (</w:t>
      </w:r>
      <w:r w:rsidRPr="00CC6F7E">
        <w:rPr>
          <w:rFonts w:eastAsia="Times New Roman" w:cs="Times New Roman"/>
          <w:b/>
          <w:bCs/>
          <w:rtl/>
          <w:lang w:eastAsia="de-DE"/>
        </w:rPr>
        <w:t>ושכלה אתכם</w:t>
      </w:r>
      <w:r w:rsidRPr="00CC6F7E">
        <w:rPr>
          <w:rFonts w:eastAsia="Times New Roman" w:cs="Times New Roman"/>
          <w:lang w:eastAsia="de-DE"/>
        </w:rPr>
        <w:t>), Vieh-Vernichtung (</w:t>
      </w:r>
      <w:r w:rsidRPr="00CC6F7E">
        <w:rPr>
          <w:rFonts w:eastAsia="Times New Roman" w:cs="Times New Roman"/>
          <w:b/>
          <w:bCs/>
          <w:rtl/>
          <w:lang w:eastAsia="de-DE"/>
        </w:rPr>
        <w:t>והכריתה את־בהמתכם</w:t>
      </w:r>
      <w:r w:rsidRPr="00CC6F7E">
        <w:rPr>
          <w:rFonts w:eastAsia="Times New Roman" w:cs="Times New Roman"/>
          <w:lang w:eastAsia="de-DE"/>
        </w:rPr>
        <w:t>), Bevölkerungsrückgang (</w:t>
      </w:r>
      <w:r w:rsidRPr="00CC6F7E">
        <w:rPr>
          <w:rFonts w:eastAsia="Times New Roman" w:cs="Times New Roman"/>
          <w:b/>
          <w:bCs/>
          <w:rtl/>
          <w:lang w:eastAsia="de-DE"/>
        </w:rPr>
        <w:t>והמעיטה אתכם</w:t>
      </w:r>
      <w:r w:rsidRPr="00CC6F7E">
        <w:rPr>
          <w:rFonts w:eastAsia="Times New Roman" w:cs="Times New Roman"/>
          <w:lang w:eastAsia="de-DE"/>
        </w:rPr>
        <w:t>), Verkehrsverödung (</w:t>
      </w:r>
      <w:r w:rsidRPr="00CC6F7E">
        <w:rPr>
          <w:rFonts w:eastAsia="Times New Roman" w:cs="Times New Roman"/>
          <w:b/>
          <w:bCs/>
          <w:rtl/>
          <w:lang w:eastAsia="de-DE"/>
        </w:rPr>
        <w:t>ונשמו דרכיכם</w:t>
      </w:r>
      <w:r w:rsidRPr="00CC6F7E">
        <w:rPr>
          <w:rFonts w:eastAsia="Times New Roman" w:cs="Times New Roman"/>
          <w:lang w:eastAsia="de-DE"/>
        </w:rPr>
        <w:t>).</w:t>
      </w:r>
    </w:p>
    <w:p w14:paraId="3E42D1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Vierte Stufe (V. 23-26):</w:t>
      </w:r>
      <w:r w:rsidRPr="00CC6F7E">
        <w:rPr>
          <w:rFonts w:eastAsia="Times New Roman" w:cs="Times New Roman"/>
          <w:lang w:eastAsia="de-DE"/>
        </w:rPr>
        <w:t xml:space="preserve"> </w:t>
      </w:r>
      <w:r w:rsidRPr="00CC6F7E">
        <w:rPr>
          <w:rFonts w:eastAsia="Times New Roman" w:cs="Times New Roman"/>
          <w:b/>
          <w:bCs/>
          <w:rtl/>
          <w:lang w:eastAsia="de-DE"/>
        </w:rPr>
        <w:t>בקרי</w:t>
      </w:r>
      <w:r w:rsidRPr="00CC6F7E">
        <w:rPr>
          <w:rFonts w:eastAsia="Times New Roman" w:cs="Times New Roman"/>
          <w:lang w:eastAsia="de-DE"/>
        </w:rPr>
        <w:t xml:space="preserve">-Verstockung führt zu Krieg als </w:t>
      </w:r>
      <w:r w:rsidRPr="00CC6F7E">
        <w:rPr>
          <w:rFonts w:eastAsia="Times New Roman" w:cs="Times New Roman"/>
          <w:b/>
          <w:bCs/>
          <w:rtl/>
          <w:lang w:eastAsia="de-DE"/>
        </w:rPr>
        <w:t>נקם־ברית</w:t>
      </w:r>
      <w:r w:rsidRPr="00CC6F7E">
        <w:rPr>
          <w:rFonts w:eastAsia="Times New Roman" w:cs="Times New Roman"/>
          <w:lang w:eastAsia="de-DE"/>
        </w:rPr>
        <w:t>, Pest (</w:t>
      </w:r>
      <w:r w:rsidRPr="00CC6F7E">
        <w:rPr>
          <w:rFonts w:eastAsia="Times New Roman" w:cs="Times New Roman"/>
          <w:b/>
          <w:bCs/>
          <w:rtl/>
          <w:lang w:eastAsia="de-DE"/>
        </w:rPr>
        <w:t>דבר בתוככם</w:t>
      </w:r>
      <w:r w:rsidRPr="00CC6F7E">
        <w:rPr>
          <w:rFonts w:eastAsia="Times New Roman" w:cs="Times New Roman"/>
          <w:lang w:eastAsia="de-DE"/>
        </w:rPr>
        <w:t>), Hungersnot (</w:t>
      </w:r>
      <w:r w:rsidRPr="00CC6F7E">
        <w:rPr>
          <w:rFonts w:eastAsia="Times New Roman" w:cs="Times New Roman"/>
          <w:b/>
          <w:bCs/>
          <w:rtl/>
          <w:lang w:eastAsia="de-DE"/>
        </w:rPr>
        <w:t>בשברי לכם מטה־לחם</w:t>
      </w:r>
      <w:r w:rsidRPr="00CC6F7E">
        <w:rPr>
          <w:rFonts w:eastAsia="Times New Roman" w:cs="Times New Roman"/>
          <w:lang w:eastAsia="de-DE"/>
        </w:rPr>
        <w:t>), Rationierung (</w:t>
      </w:r>
      <w:r w:rsidRPr="00CC6F7E">
        <w:rPr>
          <w:rFonts w:eastAsia="Times New Roman" w:cs="Times New Roman"/>
          <w:b/>
          <w:bCs/>
          <w:rtl/>
          <w:lang w:eastAsia="de-DE"/>
        </w:rPr>
        <w:t>עשר נשים...בתנור אחד...במשקל</w:t>
      </w:r>
      <w:r w:rsidRPr="00CC6F7E">
        <w:rPr>
          <w:rFonts w:eastAsia="Times New Roman" w:cs="Times New Roman"/>
          <w:lang w:eastAsia="de-DE"/>
        </w:rPr>
        <w:t>), Unersättlichkeit (</w:t>
      </w:r>
      <w:r w:rsidRPr="00CC6F7E">
        <w:rPr>
          <w:rFonts w:eastAsia="Times New Roman" w:cs="Times New Roman"/>
          <w:b/>
          <w:bCs/>
          <w:rtl/>
          <w:lang w:eastAsia="de-DE"/>
        </w:rPr>
        <w:t>ואכלתם ולא תשבעו</w:t>
      </w:r>
      <w:r w:rsidRPr="00CC6F7E">
        <w:rPr>
          <w:rFonts w:eastAsia="Times New Roman" w:cs="Times New Roman"/>
          <w:lang w:eastAsia="de-DE"/>
        </w:rPr>
        <w:t>).</w:t>
      </w:r>
    </w:p>
    <w:p w14:paraId="2464A4CF" w14:textId="725F065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Fünfte Stufe (V. 27-33):</w:t>
      </w:r>
      <w:r w:rsidRPr="00CC6F7E">
        <w:rPr>
          <w:rFonts w:eastAsia="Times New Roman" w:cs="Times New Roman"/>
          <w:lang w:eastAsia="de-DE"/>
        </w:rPr>
        <w:t xml:space="preserve"> </w:t>
      </w:r>
      <w:r w:rsidRPr="00CC6F7E">
        <w:rPr>
          <w:rFonts w:eastAsia="Times New Roman" w:cs="Times New Roman"/>
          <w:b/>
          <w:bCs/>
          <w:rtl/>
          <w:lang w:eastAsia="de-DE"/>
        </w:rPr>
        <w:t>בחמת־קרי</w:t>
      </w:r>
      <w:r w:rsidRPr="00CC6F7E">
        <w:rPr>
          <w:rFonts w:eastAsia="Times New Roman" w:cs="Times New Roman"/>
          <w:rtl/>
          <w:lang w:eastAsia="de-DE"/>
        </w:rPr>
        <w:t xml:space="preserve"> </w:t>
      </w:r>
      <w:r w:rsidRPr="00CC6F7E">
        <w:rPr>
          <w:rFonts w:eastAsia="Times New Roman" w:cs="Times New Roman"/>
          <w:lang w:eastAsia="de-DE"/>
        </w:rPr>
        <w:t>führt zu Kannibalismus (</w:t>
      </w:r>
      <w:r w:rsidRPr="00CC6F7E">
        <w:rPr>
          <w:rFonts w:eastAsia="Times New Roman" w:cs="Times New Roman"/>
          <w:b/>
          <w:bCs/>
          <w:rtl/>
          <w:lang w:eastAsia="de-DE"/>
        </w:rPr>
        <w:t>ואכלתם בשר בניכם ובשר בנתיכם תאכלו</w:t>
      </w:r>
      <w:r w:rsidRPr="00CC6F7E">
        <w:rPr>
          <w:rFonts w:eastAsia="Times New Roman" w:cs="Times New Roman"/>
          <w:lang w:eastAsia="de-DE"/>
        </w:rPr>
        <w:t>), kultischer Vernichtung (</w:t>
      </w:r>
      <w:r w:rsidRPr="00CC6F7E">
        <w:rPr>
          <w:rFonts w:eastAsia="Times New Roman" w:cs="Times New Roman"/>
          <w:b/>
          <w:bCs/>
          <w:rtl/>
          <w:lang w:eastAsia="de-DE"/>
        </w:rPr>
        <w:t>והשמדתי את־במתיכם</w:t>
      </w:r>
      <w:r w:rsidRPr="00CC6F7E">
        <w:rPr>
          <w:rFonts w:eastAsia="Times New Roman" w:cs="Times New Roman"/>
          <w:lang w:eastAsia="de-DE"/>
        </w:rPr>
        <w:t>), göttliche</w:t>
      </w:r>
      <w:r w:rsidR="00E05781">
        <w:rPr>
          <w:rFonts w:eastAsia="Times New Roman" w:cs="Times New Roman"/>
          <w:lang w:eastAsia="de-DE"/>
        </w:rPr>
        <w:t>r</w:t>
      </w:r>
      <w:r w:rsidRPr="00CC6F7E">
        <w:rPr>
          <w:rFonts w:eastAsia="Times New Roman" w:cs="Times New Roman"/>
          <w:lang w:eastAsia="de-DE"/>
        </w:rPr>
        <w:t xml:space="preserve"> Abscheu (</w:t>
      </w:r>
      <w:r w:rsidRPr="00CC6F7E">
        <w:rPr>
          <w:rFonts w:eastAsia="Times New Roman" w:cs="Times New Roman"/>
          <w:b/>
          <w:bCs/>
          <w:rtl/>
          <w:lang w:eastAsia="de-DE"/>
        </w:rPr>
        <w:t>וגעלה נפשי אתכם</w:t>
      </w:r>
      <w:r w:rsidRPr="00CC6F7E">
        <w:rPr>
          <w:rFonts w:eastAsia="Times New Roman" w:cs="Times New Roman"/>
          <w:rtl/>
          <w:lang w:eastAsia="de-DE"/>
        </w:rPr>
        <w:t xml:space="preserve"> </w:t>
      </w:r>
      <w:r w:rsidRPr="00CC6F7E">
        <w:rPr>
          <w:rFonts w:eastAsia="Times New Roman" w:cs="Times New Roman"/>
          <w:lang w:eastAsia="de-DE"/>
        </w:rPr>
        <w:t>als Umkehrung von V. 11), städtischer Verwüstung (</w:t>
      </w:r>
      <w:r w:rsidRPr="00CC6F7E">
        <w:rPr>
          <w:rFonts w:eastAsia="Times New Roman" w:cs="Times New Roman"/>
          <w:b/>
          <w:bCs/>
          <w:rtl/>
          <w:lang w:eastAsia="de-DE"/>
        </w:rPr>
        <w:t>עריכם חרבה ומקדשיכם</w:t>
      </w:r>
      <w:r w:rsidRPr="00CC6F7E">
        <w:rPr>
          <w:rFonts w:eastAsia="Times New Roman" w:cs="Times New Roman"/>
          <w:lang w:eastAsia="de-DE"/>
        </w:rPr>
        <w:t>), Opfer-Verweigerung (</w:t>
      </w:r>
      <w:r w:rsidRPr="00CC6F7E">
        <w:rPr>
          <w:rFonts w:eastAsia="Times New Roman" w:cs="Times New Roman"/>
          <w:b/>
          <w:bCs/>
          <w:rtl/>
          <w:lang w:eastAsia="de-DE"/>
        </w:rPr>
        <w:t>ולא אריח בריח ניחחכם</w:t>
      </w:r>
      <w:r w:rsidRPr="00CC6F7E">
        <w:rPr>
          <w:rFonts w:eastAsia="Times New Roman" w:cs="Times New Roman"/>
          <w:lang w:eastAsia="de-DE"/>
        </w:rPr>
        <w:t>), Land-Totalverwüstung (</w:t>
      </w:r>
      <w:r w:rsidRPr="00CC6F7E">
        <w:rPr>
          <w:rFonts w:eastAsia="Times New Roman" w:cs="Times New Roman"/>
          <w:b/>
          <w:bCs/>
          <w:rtl/>
          <w:lang w:eastAsia="de-DE"/>
        </w:rPr>
        <w:t>והשמתי אני את־הארץ</w:t>
      </w:r>
      <w:r w:rsidRPr="00CC6F7E">
        <w:rPr>
          <w:rFonts w:eastAsia="Times New Roman" w:cs="Times New Roman"/>
          <w:lang w:eastAsia="de-DE"/>
        </w:rPr>
        <w:t>), Diaspora (</w:t>
      </w:r>
      <w:r w:rsidRPr="00CC6F7E">
        <w:rPr>
          <w:rFonts w:eastAsia="Times New Roman" w:cs="Times New Roman"/>
          <w:b/>
          <w:bCs/>
          <w:rtl/>
          <w:lang w:eastAsia="de-DE"/>
        </w:rPr>
        <w:t>ואתכם אזרה בגוים</w:t>
      </w:r>
      <w:r w:rsidRPr="00CC6F7E">
        <w:rPr>
          <w:rFonts w:eastAsia="Times New Roman" w:cs="Times New Roman"/>
          <w:lang w:eastAsia="de-DE"/>
        </w:rPr>
        <w:t>), anhaltender Verfolgung (</w:t>
      </w:r>
      <w:r w:rsidRPr="00CC6F7E">
        <w:rPr>
          <w:rFonts w:eastAsia="Times New Roman" w:cs="Times New Roman"/>
          <w:b/>
          <w:bCs/>
          <w:rtl/>
          <w:lang w:eastAsia="de-DE"/>
        </w:rPr>
        <w:t>והריקתי אחריכם חרב</w:t>
      </w:r>
      <w:r w:rsidRPr="00CC6F7E">
        <w:rPr>
          <w:rFonts w:eastAsia="Times New Roman" w:cs="Times New Roman"/>
          <w:lang w:eastAsia="de-DE"/>
        </w:rPr>
        <w:t>).</w:t>
      </w:r>
    </w:p>
    <w:p w14:paraId="44135C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4) Diaspora und Land-Sabbat (V. 34-39):</w:t>
      </w:r>
      <w:r w:rsidRPr="00CC6F7E">
        <w:rPr>
          <w:rFonts w:eastAsia="Times New Roman" w:cs="Times New Roman"/>
          <w:lang w:eastAsia="de-DE"/>
        </w:rPr>
        <w:t xml:space="preserve"> Ironische </w:t>
      </w:r>
      <w:r w:rsidRPr="00CC6F7E">
        <w:rPr>
          <w:rFonts w:eastAsia="Times New Roman" w:cs="Times New Roman"/>
          <w:b/>
          <w:bCs/>
          <w:lang w:eastAsia="de-DE"/>
        </w:rPr>
        <w:t>Sabbat-Erfüllung</w:t>
      </w:r>
      <w:r w:rsidRPr="00CC6F7E">
        <w:rPr>
          <w:rFonts w:eastAsia="Times New Roman" w:cs="Times New Roman"/>
          <w:lang w:eastAsia="de-DE"/>
        </w:rPr>
        <w:t xml:space="preserve"> durch Verwüstung: </w:t>
      </w:r>
      <w:r w:rsidRPr="00CC6F7E">
        <w:rPr>
          <w:rFonts w:eastAsia="Times New Roman" w:cs="Times New Roman"/>
          <w:b/>
          <w:bCs/>
          <w:rtl/>
          <w:lang w:eastAsia="de-DE"/>
        </w:rPr>
        <w:t>אז תרצה הארץ את־שבתתיה כל ימי השמה</w:t>
      </w:r>
      <w:r w:rsidRPr="00CC6F7E">
        <w:rPr>
          <w:rFonts w:eastAsia="Times New Roman" w:cs="Times New Roman"/>
          <w:rtl/>
          <w:lang w:eastAsia="de-DE"/>
        </w:rPr>
        <w:t xml:space="preserve"> </w:t>
      </w:r>
      <w:r w:rsidRPr="00CC6F7E">
        <w:rPr>
          <w:rFonts w:eastAsia="Times New Roman" w:cs="Times New Roman"/>
          <w:lang w:eastAsia="de-DE"/>
        </w:rPr>
        <w:t>- das Land holt versäumte Sabbat- und Jobeljahre nach. Psychologische Zerstörung der Überlebenden (</w:t>
      </w:r>
      <w:r w:rsidRPr="00CC6F7E">
        <w:rPr>
          <w:rFonts w:eastAsia="Times New Roman" w:cs="Times New Roman"/>
          <w:b/>
          <w:bCs/>
          <w:rtl/>
          <w:lang w:eastAsia="de-DE"/>
        </w:rPr>
        <w:t>והבאתי מרך בלבבם</w:t>
      </w:r>
      <w:r w:rsidRPr="00CC6F7E">
        <w:rPr>
          <w:rFonts w:eastAsia="Times New Roman" w:cs="Times New Roman"/>
          <w:lang w:eastAsia="de-DE"/>
        </w:rPr>
        <w:t xml:space="preserve">, </w:t>
      </w:r>
      <w:r w:rsidRPr="00CC6F7E">
        <w:rPr>
          <w:rFonts w:eastAsia="Times New Roman" w:cs="Times New Roman"/>
          <w:b/>
          <w:bCs/>
          <w:rtl/>
          <w:lang w:eastAsia="de-DE"/>
        </w:rPr>
        <w:t>קול עלה נדף ורדף אתם</w:t>
      </w:r>
      <w:r w:rsidRPr="00CC6F7E">
        <w:rPr>
          <w:rFonts w:eastAsia="Times New Roman" w:cs="Times New Roman"/>
          <w:lang w:eastAsia="de-DE"/>
        </w:rPr>
        <w:t>), totaler gesellschaftlicher Zusammenbruch (</w:t>
      </w:r>
      <w:r w:rsidRPr="00CC6F7E">
        <w:rPr>
          <w:rFonts w:eastAsia="Times New Roman" w:cs="Times New Roman"/>
          <w:b/>
          <w:bCs/>
          <w:rtl/>
          <w:lang w:eastAsia="de-DE"/>
        </w:rPr>
        <w:t>וכשלו איש־באחיו</w:t>
      </w:r>
      <w:r w:rsidRPr="00CC6F7E">
        <w:rPr>
          <w:rFonts w:eastAsia="Times New Roman" w:cs="Times New Roman"/>
          <w:lang w:eastAsia="de-DE"/>
        </w:rPr>
        <w:t>), scheinbares Israel-Ende (</w:t>
      </w:r>
      <w:r w:rsidRPr="00CC6F7E">
        <w:rPr>
          <w:rFonts w:eastAsia="Times New Roman" w:cs="Times New Roman"/>
          <w:b/>
          <w:bCs/>
          <w:rtl/>
          <w:lang w:eastAsia="de-DE"/>
        </w:rPr>
        <w:t>ואבדתם בגוים</w:t>
      </w:r>
      <w:r w:rsidRPr="00CC6F7E">
        <w:rPr>
          <w:rFonts w:eastAsia="Times New Roman" w:cs="Times New Roman"/>
          <w:lang w:eastAsia="de-DE"/>
        </w:rPr>
        <w:t>), Dahinschwinden in eigener und ererbter Schuld (</w:t>
      </w:r>
      <w:r w:rsidRPr="00CC6F7E">
        <w:rPr>
          <w:rFonts w:eastAsia="Times New Roman" w:cs="Times New Roman"/>
          <w:b/>
          <w:bCs/>
          <w:rtl/>
          <w:lang w:eastAsia="de-DE"/>
        </w:rPr>
        <w:t>ימקו בעונם ואף בעונת אבתם</w:t>
      </w:r>
      <w:r w:rsidRPr="00CC6F7E">
        <w:rPr>
          <w:rFonts w:eastAsia="Times New Roman" w:cs="Times New Roman"/>
          <w:lang w:eastAsia="de-DE"/>
        </w:rPr>
        <w:t>).</w:t>
      </w:r>
    </w:p>
    <w:p w14:paraId="35C73F9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5) Umkehr-Verheißung (V. 40-45):</w:t>
      </w:r>
      <w:r w:rsidRPr="00CC6F7E">
        <w:rPr>
          <w:rFonts w:eastAsia="Times New Roman" w:cs="Times New Roman"/>
          <w:lang w:eastAsia="de-DE"/>
        </w:rPr>
        <w:t xml:space="preserve"> </w:t>
      </w:r>
      <w:r w:rsidRPr="00CC6F7E">
        <w:rPr>
          <w:rFonts w:eastAsia="Times New Roman" w:cs="Times New Roman"/>
          <w:b/>
          <w:bCs/>
          <w:lang w:eastAsia="de-DE"/>
        </w:rPr>
        <w:t>Schuldbekenntnis</w:t>
      </w:r>
      <w:r w:rsidRPr="00CC6F7E">
        <w:rPr>
          <w:rFonts w:eastAsia="Times New Roman" w:cs="Times New Roman"/>
          <w:lang w:eastAsia="de-DE"/>
        </w:rPr>
        <w:t xml:space="preserve"> (</w:t>
      </w:r>
      <w:r w:rsidRPr="00CC6F7E">
        <w:rPr>
          <w:rFonts w:eastAsia="Times New Roman" w:cs="Times New Roman"/>
          <w:b/>
          <w:bCs/>
          <w:rtl/>
          <w:lang w:eastAsia="de-DE"/>
        </w:rPr>
        <w:t>והתודו את־עונם ואת־עון אבתם</w:t>
      </w:r>
      <w:r w:rsidRPr="00CC6F7E">
        <w:rPr>
          <w:rFonts w:eastAsia="Times New Roman" w:cs="Times New Roman"/>
          <w:lang w:eastAsia="de-DE"/>
        </w:rPr>
        <w:t xml:space="preserve">) besonders der </w:t>
      </w:r>
      <w:r w:rsidRPr="00CC6F7E">
        <w:rPr>
          <w:rFonts w:eastAsia="Times New Roman" w:cs="Times New Roman"/>
          <w:b/>
          <w:bCs/>
          <w:rtl/>
          <w:lang w:eastAsia="de-DE"/>
        </w:rPr>
        <w:t>מעל</w:t>
      </w:r>
      <w:r w:rsidRPr="00CC6F7E">
        <w:rPr>
          <w:rFonts w:eastAsia="Times New Roman" w:cs="Times New Roman"/>
          <w:rtl/>
          <w:lang w:eastAsia="de-DE"/>
        </w:rPr>
        <w:t xml:space="preserve"> </w:t>
      </w:r>
      <w:r w:rsidRPr="00CC6F7E">
        <w:rPr>
          <w:rFonts w:eastAsia="Times New Roman" w:cs="Times New Roman"/>
          <w:lang w:eastAsia="de-DE"/>
        </w:rPr>
        <w:t xml:space="preserve">(Untreue) und </w:t>
      </w:r>
      <w:r w:rsidRPr="00CC6F7E">
        <w:rPr>
          <w:rFonts w:eastAsia="Times New Roman" w:cs="Times New Roman"/>
          <w:b/>
          <w:bCs/>
          <w:rtl/>
          <w:lang w:eastAsia="de-DE"/>
        </w:rPr>
        <w:t>קרי</w:t>
      </w:r>
      <w:r w:rsidRPr="00CC6F7E">
        <w:rPr>
          <w:rFonts w:eastAsia="Times New Roman" w:cs="Times New Roman"/>
          <w:lang w:eastAsia="de-DE"/>
        </w:rPr>
        <w:t xml:space="preserve">-Haltung führt zur </w:t>
      </w:r>
      <w:r w:rsidRPr="00CC6F7E">
        <w:rPr>
          <w:rFonts w:eastAsia="Times New Roman" w:cs="Times New Roman"/>
          <w:b/>
          <w:bCs/>
          <w:lang w:eastAsia="de-DE"/>
        </w:rPr>
        <w:t>Herzensdemütigung</w:t>
      </w:r>
      <w:r w:rsidRPr="00CC6F7E">
        <w:rPr>
          <w:rFonts w:eastAsia="Times New Roman" w:cs="Times New Roman"/>
          <w:lang w:eastAsia="de-DE"/>
        </w:rPr>
        <w:t xml:space="preserve"> (</w:t>
      </w:r>
      <w:r w:rsidRPr="00CC6F7E">
        <w:rPr>
          <w:rFonts w:eastAsia="Times New Roman" w:cs="Times New Roman"/>
          <w:b/>
          <w:bCs/>
          <w:rtl/>
          <w:lang w:eastAsia="de-DE"/>
        </w:rPr>
        <w:t>יכנע לבבם הערל</w:t>
      </w:r>
      <w:r w:rsidRPr="00CC6F7E">
        <w:rPr>
          <w:rFonts w:eastAsia="Times New Roman" w:cs="Times New Roman"/>
          <w:lang w:eastAsia="de-DE"/>
        </w:rPr>
        <w:t xml:space="preserve">) und </w:t>
      </w:r>
      <w:r w:rsidRPr="00CC6F7E">
        <w:rPr>
          <w:rFonts w:eastAsia="Times New Roman" w:cs="Times New Roman"/>
          <w:b/>
          <w:bCs/>
          <w:lang w:eastAsia="de-DE"/>
        </w:rPr>
        <w:t>Schuldabtragung</w:t>
      </w:r>
      <w:r w:rsidRPr="00CC6F7E">
        <w:rPr>
          <w:rFonts w:eastAsia="Times New Roman" w:cs="Times New Roman"/>
          <w:lang w:eastAsia="de-DE"/>
        </w:rPr>
        <w:t xml:space="preserve"> (</w:t>
      </w:r>
      <w:r w:rsidRPr="00CC6F7E">
        <w:rPr>
          <w:rFonts w:eastAsia="Times New Roman" w:cs="Times New Roman"/>
          <w:b/>
          <w:bCs/>
          <w:rtl/>
          <w:lang w:eastAsia="de-DE"/>
        </w:rPr>
        <w:t>ירצו את־עונם</w:t>
      </w:r>
      <w:r w:rsidRPr="00CC6F7E">
        <w:rPr>
          <w:rFonts w:eastAsia="Times New Roman" w:cs="Times New Roman"/>
          <w:lang w:eastAsia="de-DE"/>
        </w:rPr>
        <w:t xml:space="preserve">). Daraufhin </w:t>
      </w:r>
      <w:r w:rsidRPr="00CC6F7E">
        <w:rPr>
          <w:rFonts w:eastAsia="Times New Roman" w:cs="Times New Roman"/>
          <w:b/>
          <w:bCs/>
          <w:lang w:eastAsia="de-DE"/>
        </w:rPr>
        <w:t>göttliches Bundesgedenken</w:t>
      </w:r>
      <w:r w:rsidRPr="00CC6F7E">
        <w:rPr>
          <w:rFonts w:eastAsia="Times New Roman" w:cs="Times New Roman"/>
          <w:lang w:eastAsia="de-DE"/>
        </w:rPr>
        <w:t xml:space="preserve"> in umgekehrter Reihenfolge: </w:t>
      </w:r>
      <w:r w:rsidRPr="00CC6F7E">
        <w:rPr>
          <w:rFonts w:eastAsia="Times New Roman" w:cs="Times New Roman"/>
          <w:b/>
          <w:bCs/>
          <w:rtl/>
          <w:lang w:eastAsia="de-DE"/>
        </w:rPr>
        <w:t>בריתי יעקב</w:t>
      </w:r>
      <w:r w:rsidRPr="00CC6F7E">
        <w:rPr>
          <w:rFonts w:eastAsia="Times New Roman" w:cs="Times New Roman"/>
          <w:lang w:eastAsia="de-DE"/>
        </w:rPr>
        <w:t xml:space="preserve">, </w:t>
      </w:r>
      <w:r w:rsidRPr="00CC6F7E">
        <w:rPr>
          <w:rFonts w:eastAsia="Times New Roman" w:cs="Times New Roman"/>
          <w:b/>
          <w:bCs/>
          <w:rtl/>
          <w:lang w:eastAsia="de-DE"/>
        </w:rPr>
        <w:t>בריתי יצחק</w:t>
      </w:r>
      <w:r w:rsidRPr="00CC6F7E">
        <w:rPr>
          <w:rFonts w:eastAsia="Times New Roman" w:cs="Times New Roman"/>
          <w:lang w:eastAsia="de-DE"/>
        </w:rPr>
        <w:t xml:space="preserve">, </w:t>
      </w:r>
      <w:r w:rsidRPr="00CC6F7E">
        <w:rPr>
          <w:rFonts w:eastAsia="Times New Roman" w:cs="Times New Roman"/>
          <w:b/>
          <w:bCs/>
          <w:rtl/>
          <w:lang w:eastAsia="de-DE"/>
        </w:rPr>
        <w:t>בריתי אברהם</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והארץ אזכר</w:t>
      </w:r>
      <w:r w:rsidRPr="00CC6F7E">
        <w:rPr>
          <w:rFonts w:eastAsia="Times New Roman" w:cs="Times New Roman"/>
          <w:lang w:eastAsia="de-DE"/>
        </w:rPr>
        <w:t xml:space="preserve">. Zentrale Bundestreue-Versicherung: </w:t>
      </w:r>
      <w:r w:rsidRPr="00CC6F7E">
        <w:rPr>
          <w:rFonts w:eastAsia="Times New Roman" w:cs="Times New Roman"/>
          <w:b/>
          <w:bCs/>
          <w:rtl/>
          <w:lang w:eastAsia="de-DE"/>
        </w:rPr>
        <w:t>לא־מאסתים ולא־געלתים לכלתם להפר בריתי אתם</w:t>
      </w:r>
      <w:r w:rsidRPr="00CC6F7E">
        <w:rPr>
          <w:rFonts w:eastAsia="Times New Roman" w:cs="Times New Roman"/>
          <w:rtl/>
          <w:lang w:eastAsia="de-DE"/>
        </w:rPr>
        <w:t xml:space="preserve"> </w:t>
      </w:r>
      <w:r w:rsidRPr="00CC6F7E">
        <w:rPr>
          <w:rFonts w:eastAsia="Times New Roman" w:cs="Times New Roman"/>
          <w:lang w:eastAsia="de-DE"/>
        </w:rPr>
        <w:t xml:space="preserve">- selbst im Exil keine totale Verwerfung. </w:t>
      </w:r>
      <w:r w:rsidRPr="00CC6F7E">
        <w:rPr>
          <w:rFonts w:eastAsia="Times New Roman" w:cs="Times New Roman"/>
          <w:b/>
          <w:bCs/>
          <w:lang w:eastAsia="de-DE"/>
        </w:rPr>
        <w:t>Exodus-Bundesgedenken</w:t>
      </w:r>
      <w:r w:rsidRPr="00CC6F7E">
        <w:rPr>
          <w:rFonts w:eastAsia="Times New Roman" w:cs="Times New Roman"/>
          <w:lang w:eastAsia="de-DE"/>
        </w:rPr>
        <w:t xml:space="preserve"> (</w:t>
      </w:r>
      <w:r w:rsidRPr="00CC6F7E">
        <w:rPr>
          <w:rFonts w:eastAsia="Times New Roman" w:cs="Times New Roman"/>
          <w:b/>
          <w:bCs/>
          <w:rtl/>
          <w:lang w:eastAsia="de-DE"/>
        </w:rPr>
        <w:t>ברית ראשנים אשר הוצאתי־אתם מארץ מצרים לעיני הגוים</w:t>
      </w:r>
      <w:r w:rsidRPr="00CC6F7E">
        <w:rPr>
          <w:rFonts w:eastAsia="Times New Roman" w:cs="Times New Roman"/>
          <w:lang w:eastAsia="de-DE"/>
        </w:rPr>
        <w:t>) als Wiederherstellungsgrund.</w:t>
      </w:r>
    </w:p>
    <w:p w14:paraId="37E082F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6) Abschlussformel (V. 46):</w:t>
      </w:r>
      <w:r w:rsidRPr="00CC6F7E">
        <w:rPr>
          <w:rFonts w:eastAsia="Times New Roman" w:cs="Times New Roman"/>
          <w:lang w:eastAsia="de-DE"/>
        </w:rPr>
        <w:t xml:space="preserve"> </w:t>
      </w:r>
      <w:r w:rsidRPr="00CC6F7E">
        <w:rPr>
          <w:rFonts w:eastAsia="Times New Roman" w:cs="Times New Roman"/>
          <w:b/>
          <w:bCs/>
          <w:rtl/>
          <w:lang w:eastAsia="de-DE"/>
        </w:rPr>
        <w:t>החקים והמשפטים והתורת אשר נתן יהוה בינו ובין בני ישראל בהר סיני ביד־משה</w:t>
      </w:r>
      <w:r w:rsidRPr="00CC6F7E">
        <w:rPr>
          <w:rFonts w:eastAsia="Times New Roman" w:cs="Times New Roman"/>
          <w:rtl/>
          <w:lang w:eastAsia="de-DE"/>
        </w:rPr>
        <w:t xml:space="preserve"> </w:t>
      </w:r>
      <w:r w:rsidRPr="00CC6F7E">
        <w:rPr>
          <w:rFonts w:eastAsia="Times New Roman" w:cs="Times New Roman"/>
          <w:lang w:eastAsia="de-DE"/>
        </w:rPr>
        <w:t>kennzeichnet die Sinai-Gesetzgebung als Bundesvertrag.</w:t>
      </w:r>
    </w:p>
    <w:p w14:paraId="3B0D0D2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Theologische Struktur:</w:t>
      </w:r>
      <w:r w:rsidRPr="00CC6F7E">
        <w:rPr>
          <w:rFonts w:eastAsia="Times New Roman" w:cs="Times New Roman"/>
          <w:lang w:eastAsia="de-DE"/>
        </w:rPr>
        <w:t xml:space="preserve"> Das Kapitel zeigt </w:t>
      </w:r>
      <w:r w:rsidRPr="00CC6F7E">
        <w:rPr>
          <w:rFonts w:eastAsia="Times New Roman" w:cs="Times New Roman"/>
          <w:b/>
          <w:bCs/>
          <w:lang w:eastAsia="de-DE"/>
        </w:rPr>
        <w:t>Talions-Vergeltung</w:t>
      </w:r>
      <w:r w:rsidRPr="00CC6F7E">
        <w:rPr>
          <w:rFonts w:eastAsia="Times New Roman" w:cs="Times New Roman"/>
          <w:lang w:eastAsia="de-DE"/>
        </w:rPr>
        <w:t xml:space="preserve"> (</w:t>
      </w:r>
      <w:r w:rsidRPr="00CC6F7E">
        <w:rPr>
          <w:rFonts w:eastAsia="Times New Roman" w:cs="Times New Roman"/>
          <w:b/>
          <w:bCs/>
          <w:rtl/>
          <w:lang w:eastAsia="de-DE"/>
        </w:rPr>
        <w:t>אף־אני</w:t>
      </w:r>
      <w:r w:rsidRPr="00CC6F7E">
        <w:rPr>
          <w:rFonts w:eastAsia="Times New Roman" w:cs="Times New Roman"/>
          <w:lang w:eastAsia="de-DE"/>
        </w:rPr>
        <w:t xml:space="preserve">-Formel), </w:t>
      </w:r>
      <w:r w:rsidRPr="00CC6F7E">
        <w:rPr>
          <w:rFonts w:eastAsia="Times New Roman" w:cs="Times New Roman"/>
          <w:b/>
          <w:bCs/>
          <w:lang w:eastAsia="de-DE"/>
        </w:rPr>
        <w:t>progressive Straf-Intensivierung</w:t>
      </w:r>
      <w:r w:rsidRPr="00CC6F7E">
        <w:rPr>
          <w:rFonts w:eastAsia="Times New Roman" w:cs="Times New Roman"/>
          <w:lang w:eastAsia="de-DE"/>
        </w:rPr>
        <w:t xml:space="preserve"> (</w:t>
      </w:r>
      <w:r w:rsidRPr="00CC6F7E">
        <w:rPr>
          <w:rFonts w:eastAsia="Times New Roman" w:cs="Times New Roman"/>
          <w:b/>
          <w:bCs/>
          <w:rtl/>
          <w:lang w:eastAsia="de-DE"/>
        </w:rPr>
        <w:t>שבע על־חטאתיכם</w:t>
      </w:r>
      <w:r w:rsidRPr="00CC6F7E">
        <w:rPr>
          <w:rFonts w:eastAsia="Times New Roman" w:cs="Times New Roman"/>
          <w:lang w:eastAsia="de-DE"/>
        </w:rPr>
        <w:t xml:space="preserve">), </w:t>
      </w:r>
      <w:r w:rsidRPr="00CC6F7E">
        <w:rPr>
          <w:rFonts w:eastAsia="Times New Roman" w:cs="Times New Roman"/>
          <w:b/>
          <w:bCs/>
          <w:lang w:eastAsia="de-DE"/>
        </w:rPr>
        <w:t>Bilderkult vs. JHWH-Kult</w:t>
      </w:r>
      <w:r w:rsidRPr="00CC6F7E">
        <w:rPr>
          <w:rFonts w:eastAsia="Times New Roman" w:cs="Times New Roman"/>
          <w:lang w:eastAsia="de-DE"/>
        </w:rPr>
        <w:t xml:space="preserve"> als Grundalternative, </w:t>
      </w:r>
      <w:r w:rsidRPr="00CC6F7E">
        <w:rPr>
          <w:rFonts w:eastAsia="Times New Roman" w:cs="Times New Roman"/>
          <w:b/>
          <w:bCs/>
          <w:lang w:eastAsia="de-DE"/>
        </w:rPr>
        <w:t>Land-Personifikation</w:t>
      </w:r>
      <w:r w:rsidRPr="00CC6F7E">
        <w:rPr>
          <w:rFonts w:eastAsia="Times New Roman" w:cs="Times New Roman"/>
          <w:lang w:eastAsia="de-DE"/>
        </w:rPr>
        <w:t xml:space="preserve"> (Land "genießt" seine Sabbate), </w:t>
      </w:r>
      <w:r w:rsidRPr="00CC6F7E">
        <w:rPr>
          <w:rFonts w:eastAsia="Times New Roman" w:cs="Times New Roman"/>
          <w:b/>
          <w:bCs/>
          <w:lang w:eastAsia="de-DE"/>
        </w:rPr>
        <w:t>Herz-Theologie</w:t>
      </w:r>
      <w:r w:rsidRPr="00CC6F7E">
        <w:rPr>
          <w:rFonts w:eastAsia="Times New Roman" w:cs="Times New Roman"/>
          <w:lang w:eastAsia="de-DE"/>
        </w:rPr>
        <w:t xml:space="preserve"> (</w:t>
      </w:r>
      <w:r w:rsidRPr="00CC6F7E">
        <w:rPr>
          <w:rFonts w:eastAsia="Times New Roman" w:cs="Times New Roman"/>
          <w:b/>
          <w:bCs/>
          <w:rtl/>
          <w:lang w:eastAsia="de-DE"/>
        </w:rPr>
        <w:t>לבבם הערל</w:t>
      </w:r>
      <w:r w:rsidRPr="00CC6F7E">
        <w:rPr>
          <w:rFonts w:eastAsia="Times New Roman" w:cs="Times New Roman"/>
          <w:rtl/>
          <w:lang w:eastAsia="de-DE"/>
        </w:rPr>
        <w:t xml:space="preserve"> </w:t>
      </w:r>
      <w:r w:rsidRPr="00CC6F7E">
        <w:rPr>
          <w:rFonts w:eastAsia="Times New Roman" w:cs="Times New Roman"/>
          <w:lang w:eastAsia="de-DE"/>
        </w:rPr>
        <w:t xml:space="preserve">muss </w:t>
      </w:r>
      <w:r w:rsidRPr="00CC6F7E">
        <w:rPr>
          <w:rFonts w:eastAsia="Times New Roman" w:cs="Times New Roman"/>
          <w:b/>
          <w:bCs/>
          <w:rtl/>
          <w:lang w:eastAsia="de-DE"/>
        </w:rPr>
        <w:t>יכנע</w:t>
      </w:r>
      <w:r w:rsidRPr="00CC6F7E">
        <w:rPr>
          <w:rFonts w:eastAsia="Times New Roman" w:cs="Times New Roman"/>
          <w:lang w:eastAsia="de-DE"/>
        </w:rPr>
        <w:t xml:space="preserve">), </w:t>
      </w:r>
      <w:r w:rsidRPr="00CC6F7E">
        <w:rPr>
          <w:rFonts w:eastAsia="Times New Roman" w:cs="Times New Roman"/>
          <w:b/>
          <w:bCs/>
          <w:lang w:eastAsia="de-DE"/>
        </w:rPr>
        <w:t>Bundesunverbrüchlichkeit</w:t>
      </w:r>
      <w:r w:rsidRPr="00CC6F7E">
        <w:rPr>
          <w:rFonts w:eastAsia="Times New Roman" w:cs="Times New Roman"/>
          <w:lang w:eastAsia="de-DE"/>
        </w:rPr>
        <w:t xml:space="preserve"> trotz extremer Strafen und </w:t>
      </w:r>
      <w:r w:rsidRPr="00CC6F7E">
        <w:rPr>
          <w:rFonts w:eastAsia="Times New Roman" w:cs="Times New Roman"/>
          <w:b/>
          <w:bCs/>
          <w:lang w:eastAsia="de-DE"/>
        </w:rPr>
        <w:t>Umkehr-Eschatologie</w:t>
      </w:r>
      <w:r w:rsidRPr="00CC6F7E">
        <w:rPr>
          <w:rFonts w:eastAsia="Times New Roman" w:cs="Times New Roman"/>
          <w:lang w:eastAsia="de-DE"/>
        </w:rPr>
        <w:t xml:space="preserve"> durch Schuldbekenntnis und Herzensdemütigung.</w:t>
      </w:r>
    </w:p>
    <w:p w14:paraId="7EBE7FAF" w14:textId="361D2245" w:rsid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Besonderheiten:</w:t>
      </w:r>
      <w:r w:rsidRPr="00CC6F7E">
        <w:rPr>
          <w:rFonts w:eastAsia="Times New Roman" w:cs="Times New Roman"/>
          <w:lang w:eastAsia="de-DE"/>
        </w:rPr>
        <w:t xml:space="preserve"> </w:t>
      </w:r>
      <w:r w:rsidRPr="00CC6F7E">
        <w:rPr>
          <w:rFonts w:eastAsia="Times New Roman" w:cs="Times New Roman"/>
          <w:b/>
          <w:bCs/>
          <w:lang w:eastAsia="de-DE"/>
        </w:rPr>
        <w:t>Fünfstufiges Fluch-System</w:t>
      </w:r>
      <w:r w:rsidRPr="00CC6F7E">
        <w:rPr>
          <w:rFonts w:eastAsia="Times New Roman" w:cs="Times New Roman"/>
          <w:lang w:eastAsia="de-DE"/>
        </w:rPr>
        <w:t xml:space="preserve"> mit eskalierender </w:t>
      </w:r>
      <w:r w:rsidRPr="00CC6F7E">
        <w:rPr>
          <w:rFonts w:eastAsia="Times New Roman" w:cs="Times New Roman"/>
          <w:b/>
          <w:bCs/>
          <w:rtl/>
          <w:lang w:eastAsia="de-DE"/>
        </w:rPr>
        <w:t>קרי</w:t>
      </w:r>
      <w:r w:rsidRPr="00CC6F7E">
        <w:rPr>
          <w:rFonts w:eastAsia="Times New Roman" w:cs="Times New Roman"/>
          <w:lang w:eastAsia="de-DE"/>
        </w:rPr>
        <w:t xml:space="preserve">-Terminologie, </w:t>
      </w:r>
      <w:r w:rsidRPr="00CC6F7E">
        <w:rPr>
          <w:rFonts w:eastAsia="Times New Roman" w:cs="Times New Roman"/>
          <w:b/>
          <w:bCs/>
          <w:lang w:eastAsia="de-DE"/>
        </w:rPr>
        <w:t>Sabbatjahr-Theologie</w:t>
      </w:r>
      <w:r w:rsidRPr="00CC6F7E">
        <w:rPr>
          <w:rFonts w:eastAsia="Times New Roman" w:cs="Times New Roman"/>
          <w:lang w:eastAsia="de-DE"/>
        </w:rPr>
        <w:t xml:space="preserve"> als Strafverschärfung und Wiederherstellungsgrund, </w:t>
      </w:r>
      <w:r w:rsidRPr="00CC6F7E">
        <w:rPr>
          <w:rFonts w:eastAsia="Times New Roman" w:cs="Times New Roman"/>
          <w:b/>
          <w:bCs/>
          <w:lang w:eastAsia="de-DE"/>
        </w:rPr>
        <w:t>Patriarchen-Bundesgedenken</w:t>
      </w:r>
      <w:r w:rsidRPr="00CC6F7E">
        <w:rPr>
          <w:rFonts w:eastAsia="Times New Roman" w:cs="Times New Roman"/>
          <w:lang w:eastAsia="de-DE"/>
        </w:rPr>
        <w:t xml:space="preserve"> in umgekehrter Reihenfolge, </w:t>
      </w:r>
      <w:r w:rsidRPr="00CC6F7E">
        <w:rPr>
          <w:rFonts w:eastAsia="Times New Roman" w:cs="Times New Roman"/>
          <w:b/>
          <w:bCs/>
          <w:lang w:eastAsia="de-DE"/>
        </w:rPr>
        <w:t>Exodus als Bundestreue-Verpflichtung</w:t>
      </w:r>
      <w:r w:rsidRPr="00CC6F7E">
        <w:rPr>
          <w:rFonts w:eastAsia="Times New Roman" w:cs="Times New Roman"/>
          <w:lang w:eastAsia="de-DE"/>
        </w:rPr>
        <w:t xml:space="preserve">, </w:t>
      </w:r>
      <w:r w:rsidRPr="00CC6F7E">
        <w:rPr>
          <w:rFonts w:eastAsia="Times New Roman" w:cs="Times New Roman"/>
          <w:b/>
          <w:bCs/>
          <w:lang w:eastAsia="de-DE"/>
        </w:rPr>
        <w:t>Psychologische Kriegsführung</w:t>
      </w:r>
      <w:r w:rsidRPr="00CC6F7E">
        <w:rPr>
          <w:rFonts w:eastAsia="Times New Roman" w:cs="Times New Roman"/>
          <w:lang w:eastAsia="de-DE"/>
        </w:rPr>
        <w:t xml:space="preserve"> in den Flüchen, </w:t>
      </w:r>
      <w:r w:rsidRPr="00CC6F7E">
        <w:rPr>
          <w:rFonts w:eastAsia="Times New Roman" w:cs="Times New Roman"/>
          <w:b/>
          <w:bCs/>
          <w:lang w:eastAsia="de-DE"/>
        </w:rPr>
        <w:t>Land-Theologie</w:t>
      </w:r>
      <w:r w:rsidRPr="00CC6F7E">
        <w:rPr>
          <w:rFonts w:eastAsia="Times New Roman" w:cs="Times New Roman"/>
          <w:lang w:eastAsia="de-DE"/>
        </w:rPr>
        <w:t xml:space="preserve"> (Land als mitbetroffener Bundespartner), </w:t>
      </w:r>
      <w:r w:rsidRPr="00CC6F7E">
        <w:rPr>
          <w:rFonts w:eastAsia="Times New Roman" w:cs="Times New Roman"/>
          <w:b/>
          <w:bCs/>
          <w:lang w:eastAsia="de-DE"/>
        </w:rPr>
        <w:t>Diaspora-Theologie</w:t>
      </w:r>
      <w:r w:rsidRPr="00CC6F7E">
        <w:rPr>
          <w:rFonts w:eastAsia="Times New Roman" w:cs="Times New Roman"/>
          <w:lang w:eastAsia="de-DE"/>
        </w:rPr>
        <w:t xml:space="preserve"> mit Umkehr-Eschatologie und </w:t>
      </w:r>
      <w:r w:rsidRPr="00CC6F7E">
        <w:rPr>
          <w:rFonts w:eastAsia="Times New Roman" w:cs="Times New Roman"/>
          <w:b/>
          <w:bCs/>
          <w:lang w:eastAsia="de-DE"/>
        </w:rPr>
        <w:t>Bundestreue-Paradox</w:t>
      </w:r>
      <w:r w:rsidRPr="00CC6F7E">
        <w:rPr>
          <w:rFonts w:eastAsia="Times New Roman" w:cs="Times New Roman"/>
          <w:lang w:eastAsia="de-DE"/>
        </w:rPr>
        <w:t>: Extremste Strafe ohne Bundesbruch.</w:t>
      </w:r>
    </w:p>
    <w:p w14:paraId="16B8800B" w14:textId="609321A6" w:rsidR="00274C29" w:rsidRPr="00CC6F7E" w:rsidRDefault="00274C29" w:rsidP="00CC6F7E">
      <w:pPr>
        <w:spacing w:before="100" w:beforeAutospacing="1" w:after="100" w:afterAutospacing="1" w:line="240" w:lineRule="auto"/>
        <w:rPr>
          <w:rFonts w:eastAsia="Times New Roman" w:cs="Times New Roman"/>
          <w:lang w:eastAsia="de-DE"/>
        </w:rPr>
      </w:pPr>
      <w:r>
        <w:rPr>
          <w:rStyle w:val="Fett"/>
        </w:rPr>
        <w:t>Textkritische Beobachtung</w:t>
      </w:r>
      <w:r>
        <w:t>: Levitikus 26 zeigt in der LXX eine systematische Verstärkung der theologischen und ethischen Dimensionen der Bundesbeziehung. Die griechischen Übersetzer verwendeten präzise medizinische Terminologie für Krankheiten, moralische Begriffe für Fehlverhalten ("Übermut" statt "Stolz"), und verstärkten die kultischen Abgrenzungen durch spezifische Götzenbezeichnungen. Besonders bedeutsam ist die Betonung der Sabbatruhe der Erde als "</w:t>
      </w:r>
      <w:r w:rsidR="000024AA">
        <w:t>S</w:t>
      </w:r>
      <w:r>
        <w:t>abbaten" (σαββατιεῖ), was eine theologische Interpretation der ökologischen Konsequenzen darstellt. Die LXX macht die komplexen hebräischen Fluch- und Segensformeln durch griechische Rhetorik und Philosophie zugänglicher, während sie die prophetischen und bundestheologischen Kernaussagen verstärkt.</w:t>
      </w:r>
    </w:p>
    <w:p w14:paraId="2DEB12B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w:t>
      </w:r>
    </w:p>
    <w:p w14:paraId="2E3AFC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וַיְדַבֵּ֥ר יְהוָ֖ה אֶל־מֹשֶׁ֥ה לֵּאמֹֽר׃</w:t>
      </w:r>
    </w:p>
    <w:p w14:paraId="27E6860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der Ewige redete zu Mosche, sagend:</w:t>
      </w:r>
    </w:p>
    <w:p w14:paraId="51B09BC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DCDB282">
          <v:rect id="_x0000_i1850" style="width:0;height:1.5pt" o:hralign="center" o:hrstd="t" o:hr="t" fillcolor="#a0a0a0" stroked="f"/>
        </w:pict>
      </w:r>
    </w:p>
    <w:p w14:paraId="7F55D87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וידבר יהוה אל־משה לאמר</w:t>
      </w:r>
      <w:r w:rsidRPr="00CC6F7E">
        <w:rPr>
          <w:rFonts w:eastAsia="Times New Roman" w:cs="Times New Roman"/>
          <w:rtl/>
          <w:lang w:eastAsia="de-DE"/>
        </w:rPr>
        <w:t xml:space="preserve"> </w:t>
      </w:r>
      <w:r w:rsidRPr="00CC6F7E">
        <w:rPr>
          <w:rFonts w:eastAsia="Times New Roman" w:cs="Times New Roman"/>
          <w:lang w:eastAsia="de-DE"/>
        </w:rPr>
        <w:t>eröffnet das letzte Kapitel von Leviticus mit der standardisierten Offenbarungsformel. Diese Formel ist über das gesamte Buch hinweg konsistent und zeigt direkte göttliche Kommunikation an Mose als Mittler. Kapitel 27 bildet einen Anhang zu den Hauptgesetzen des Buches und behandelt Gelübde und Schätzungen für JHWH-Weihungen.</w:t>
      </w:r>
    </w:p>
    <w:p w14:paraId="1B5E5AF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w:t>
      </w:r>
    </w:p>
    <w:p w14:paraId="0DD5B5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דַּבֵּ֞ר אֶל־בְּנֵ֤י יִשְׂרָאֵל֙ וְאָמַרְתָּ֣ אֲלֵהֶ֔ם אִ֕ישׁ כִּ֥י יַפְלִ֖א נֶ֑דֶר בְּעֶרְכְּךָ֥ נְפָשֹׁ֖ת לַֽיהוָֽה׃</w:t>
      </w:r>
    </w:p>
    <w:p w14:paraId="5AA42A3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Rede zu den Kindern Jisra'els und sage ihnen: Wenn jemand ein besonderes Gelübde ablegt, sollen die Personen dem Ewigen nach deiner Schätzung gehören.</w:t>
      </w:r>
    </w:p>
    <w:p w14:paraId="66F52B7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745D69A">
          <v:rect id="_x0000_i1851" style="width:0;height:1.5pt" o:hralign="center" o:hrstd="t" o:hr="t" fillcolor="#a0a0a0" stroked="f"/>
        </w:pict>
      </w:r>
    </w:p>
    <w:p w14:paraId="669175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דבר אל־בני ישראל ואמרת אלהם איש כי יפליא נדר בערכך נפשת ליהוה</w:t>
      </w:r>
      <w:r w:rsidRPr="00CC6F7E">
        <w:rPr>
          <w:rFonts w:eastAsia="Times New Roman" w:cs="Times New Roman"/>
          <w:rtl/>
          <w:lang w:eastAsia="de-DE"/>
        </w:rPr>
        <w:t xml:space="preserve"> </w:t>
      </w:r>
      <w:r w:rsidRPr="00CC6F7E">
        <w:rPr>
          <w:rFonts w:eastAsia="Times New Roman" w:cs="Times New Roman"/>
          <w:lang w:eastAsia="de-DE"/>
        </w:rPr>
        <w:t xml:space="preserve">führt das Thema der Personen-Gelübde ein. </w:t>
      </w:r>
      <w:r w:rsidRPr="00CC6F7E">
        <w:rPr>
          <w:rFonts w:eastAsia="Times New Roman" w:cs="Times New Roman"/>
          <w:b/>
          <w:bCs/>
          <w:rtl/>
          <w:lang w:eastAsia="de-DE"/>
        </w:rPr>
        <w:t>איש כי יפליא נדר</w:t>
      </w:r>
      <w:r w:rsidRPr="00CC6F7E">
        <w:rPr>
          <w:rFonts w:eastAsia="Times New Roman" w:cs="Times New Roman"/>
          <w:rtl/>
          <w:lang w:eastAsia="de-DE"/>
        </w:rPr>
        <w:t xml:space="preserve"> </w:t>
      </w:r>
      <w:r w:rsidRPr="00CC6F7E">
        <w:rPr>
          <w:rFonts w:eastAsia="Times New Roman" w:cs="Times New Roman"/>
          <w:lang w:eastAsia="de-DE"/>
        </w:rPr>
        <w:t xml:space="preserve">(wenn jemand ein besonderes Gelübde ablegt) - </w:t>
      </w:r>
      <w:r w:rsidRPr="00CC6F7E">
        <w:rPr>
          <w:rFonts w:eastAsia="Times New Roman" w:cs="Times New Roman"/>
          <w:b/>
          <w:bCs/>
          <w:rtl/>
          <w:lang w:eastAsia="de-DE"/>
        </w:rPr>
        <w:t>יפליא</w:t>
      </w:r>
      <w:r w:rsidRPr="00CC6F7E">
        <w:rPr>
          <w:rFonts w:eastAsia="Times New Roman" w:cs="Times New Roman"/>
          <w:rtl/>
          <w:lang w:eastAsia="de-DE"/>
        </w:rPr>
        <w:t xml:space="preserve"> </w:t>
      </w:r>
      <w:r w:rsidRPr="00CC6F7E">
        <w:rPr>
          <w:rFonts w:eastAsia="Times New Roman" w:cs="Times New Roman"/>
          <w:lang w:eastAsia="de-DE"/>
        </w:rPr>
        <w:t xml:space="preserve">(macht wunderbar/besonders) im Hifil-Imperfekt von </w:t>
      </w:r>
      <w:r w:rsidRPr="00CC6F7E">
        <w:rPr>
          <w:rFonts w:eastAsia="Times New Roman" w:cs="Times New Roman"/>
          <w:b/>
          <w:bCs/>
          <w:rtl/>
          <w:lang w:eastAsia="de-DE"/>
        </w:rPr>
        <w:t>פלא</w:t>
      </w:r>
      <w:r w:rsidRPr="00CC6F7E">
        <w:rPr>
          <w:rFonts w:eastAsia="Times New Roman" w:cs="Times New Roman"/>
          <w:rtl/>
          <w:lang w:eastAsia="de-DE"/>
        </w:rPr>
        <w:t xml:space="preserve"> </w:t>
      </w:r>
      <w:r w:rsidRPr="00CC6F7E">
        <w:rPr>
          <w:rFonts w:eastAsia="Times New Roman" w:cs="Times New Roman"/>
          <w:lang w:eastAsia="de-DE"/>
        </w:rPr>
        <w:t xml:space="preserve">zeigt ein außergewöhnliches Gelübde. </w:t>
      </w:r>
      <w:r w:rsidRPr="00CC6F7E">
        <w:rPr>
          <w:rFonts w:eastAsia="Times New Roman" w:cs="Times New Roman"/>
          <w:b/>
          <w:bCs/>
          <w:rtl/>
          <w:lang w:eastAsia="de-DE"/>
        </w:rPr>
        <w:t>נדר</w:t>
      </w:r>
      <w:r w:rsidRPr="00CC6F7E">
        <w:rPr>
          <w:rFonts w:eastAsia="Times New Roman" w:cs="Times New Roman"/>
          <w:rtl/>
          <w:lang w:eastAsia="de-DE"/>
        </w:rPr>
        <w:t xml:space="preserve"> </w:t>
      </w:r>
      <w:r w:rsidRPr="00CC6F7E">
        <w:rPr>
          <w:rFonts w:eastAsia="Times New Roman" w:cs="Times New Roman"/>
          <w:lang w:eastAsia="de-DE"/>
        </w:rPr>
        <w:t>(Gelübde) zeigt freiwillige religiöse Verpflichtung.</w:t>
      </w:r>
    </w:p>
    <w:p w14:paraId="754676D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בערכך נפשת ליהוה</w:t>
      </w:r>
      <w:r w:rsidRPr="00CC6F7E">
        <w:rPr>
          <w:rFonts w:eastAsia="Times New Roman" w:cs="Times New Roman"/>
          <w:rtl/>
          <w:lang w:eastAsia="de-DE"/>
        </w:rPr>
        <w:t xml:space="preserve"> </w:t>
      </w:r>
      <w:r w:rsidRPr="00CC6F7E">
        <w:rPr>
          <w:rFonts w:eastAsia="Times New Roman" w:cs="Times New Roman"/>
          <w:lang w:eastAsia="de-DE"/>
        </w:rPr>
        <w:t xml:space="preserve">(sollen die Personen dem Ewigen nach deiner Schätzung gehören) - </w:t>
      </w:r>
      <w:r w:rsidRPr="00CC6F7E">
        <w:rPr>
          <w:rFonts w:eastAsia="Times New Roman" w:cs="Times New Roman"/>
          <w:b/>
          <w:bCs/>
          <w:rtl/>
          <w:lang w:eastAsia="de-DE"/>
        </w:rPr>
        <w:t>בערכך</w:t>
      </w:r>
      <w:r w:rsidRPr="00CC6F7E">
        <w:rPr>
          <w:rFonts w:eastAsia="Times New Roman" w:cs="Times New Roman"/>
          <w:rtl/>
          <w:lang w:eastAsia="de-DE"/>
        </w:rPr>
        <w:t xml:space="preserve"> </w:t>
      </w:r>
      <w:r w:rsidRPr="00CC6F7E">
        <w:rPr>
          <w:rFonts w:eastAsia="Times New Roman" w:cs="Times New Roman"/>
          <w:lang w:eastAsia="de-DE"/>
        </w:rPr>
        <w:t xml:space="preserve">(nach deiner Schätzung) zeigt Bewertungssystem. </w:t>
      </w:r>
      <w:r w:rsidRPr="00CC6F7E">
        <w:rPr>
          <w:rFonts w:eastAsia="Times New Roman" w:cs="Times New Roman"/>
          <w:b/>
          <w:bCs/>
          <w:rtl/>
          <w:lang w:eastAsia="de-DE"/>
        </w:rPr>
        <w:t>נפשת</w:t>
      </w:r>
      <w:r w:rsidRPr="00CC6F7E">
        <w:rPr>
          <w:rFonts w:eastAsia="Times New Roman" w:cs="Times New Roman"/>
          <w:rtl/>
          <w:lang w:eastAsia="de-DE"/>
        </w:rPr>
        <w:t xml:space="preserve"> </w:t>
      </w:r>
      <w:r w:rsidRPr="00CC6F7E">
        <w:rPr>
          <w:rFonts w:eastAsia="Times New Roman" w:cs="Times New Roman"/>
          <w:lang w:eastAsia="de-DE"/>
        </w:rPr>
        <w:t xml:space="preserve">(Personen/Seelen) Plural von </w:t>
      </w:r>
      <w:r w:rsidRPr="00CC6F7E">
        <w:rPr>
          <w:rFonts w:eastAsia="Times New Roman" w:cs="Times New Roman"/>
          <w:b/>
          <w:bCs/>
          <w:rtl/>
          <w:lang w:eastAsia="de-DE"/>
        </w:rPr>
        <w:t>נפש</w:t>
      </w:r>
      <w:r w:rsidRPr="00CC6F7E">
        <w:rPr>
          <w:rFonts w:eastAsia="Times New Roman" w:cs="Times New Roman"/>
          <w:rtl/>
          <w:lang w:eastAsia="de-DE"/>
        </w:rPr>
        <w:t xml:space="preserve"> </w:t>
      </w:r>
      <w:r w:rsidRPr="00CC6F7E">
        <w:rPr>
          <w:rFonts w:eastAsia="Times New Roman" w:cs="Times New Roman"/>
          <w:lang w:eastAsia="de-DE"/>
        </w:rPr>
        <w:t xml:space="preserve">zeigt menschliche Weihe. </w:t>
      </w:r>
      <w:r w:rsidRPr="00CC6F7E">
        <w:rPr>
          <w:rFonts w:eastAsia="Times New Roman" w:cs="Times New Roman"/>
          <w:b/>
          <w:bCs/>
          <w:rtl/>
          <w:lang w:eastAsia="de-DE"/>
        </w:rPr>
        <w:t>ליהוה</w:t>
      </w:r>
      <w:r w:rsidRPr="00CC6F7E">
        <w:rPr>
          <w:rFonts w:eastAsia="Times New Roman" w:cs="Times New Roman"/>
          <w:rtl/>
          <w:lang w:eastAsia="de-DE"/>
        </w:rPr>
        <w:t xml:space="preserve"> </w:t>
      </w:r>
      <w:r w:rsidRPr="00CC6F7E">
        <w:rPr>
          <w:rFonts w:eastAsia="Times New Roman" w:cs="Times New Roman"/>
          <w:lang w:eastAsia="de-DE"/>
        </w:rPr>
        <w:t>zeigt JHWH als Empfänger der Weihe.</w:t>
      </w:r>
    </w:p>
    <w:p w14:paraId="2B49A40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יפליא נדר</w:t>
      </w:r>
      <w:r w:rsidRPr="00CC6F7E">
        <w:rPr>
          <w:rFonts w:eastAsia="Times New Roman" w:cs="Times New Roman"/>
          <w:rtl/>
          <w:lang w:eastAsia="de-DE"/>
        </w:rPr>
        <w:t xml:space="preserve"> </w:t>
      </w:r>
      <w:r w:rsidRPr="00CC6F7E">
        <w:rPr>
          <w:rFonts w:eastAsia="Times New Roman" w:cs="Times New Roman"/>
          <w:lang w:eastAsia="de-DE"/>
        </w:rPr>
        <w:t xml:space="preserve">zeigt besondere Gelübde-Kategorie. </w:t>
      </w:r>
      <w:r w:rsidRPr="00CC6F7E">
        <w:rPr>
          <w:rFonts w:eastAsia="Times New Roman" w:cs="Times New Roman"/>
          <w:b/>
          <w:bCs/>
          <w:rtl/>
          <w:lang w:eastAsia="de-DE"/>
        </w:rPr>
        <w:t>בערכך</w:t>
      </w:r>
      <w:r w:rsidRPr="00CC6F7E">
        <w:rPr>
          <w:rFonts w:eastAsia="Times New Roman" w:cs="Times New Roman"/>
          <w:rtl/>
          <w:lang w:eastAsia="de-DE"/>
        </w:rPr>
        <w:t xml:space="preserve"> </w:t>
      </w:r>
      <w:r w:rsidRPr="00CC6F7E">
        <w:rPr>
          <w:rFonts w:eastAsia="Times New Roman" w:cs="Times New Roman"/>
          <w:lang w:eastAsia="de-DE"/>
        </w:rPr>
        <w:t xml:space="preserve">etabliert Schätzungssystem. </w:t>
      </w:r>
      <w:r w:rsidRPr="00CC6F7E">
        <w:rPr>
          <w:rFonts w:eastAsia="Times New Roman" w:cs="Times New Roman"/>
          <w:b/>
          <w:bCs/>
          <w:rtl/>
          <w:lang w:eastAsia="de-DE"/>
        </w:rPr>
        <w:t>נפשת ליהוה</w:t>
      </w:r>
      <w:r w:rsidRPr="00CC6F7E">
        <w:rPr>
          <w:rFonts w:eastAsia="Times New Roman" w:cs="Times New Roman"/>
          <w:rtl/>
          <w:lang w:eastAsia="de-DE"/>
        </w:rPr>
        <w:t xml:space="preserve"> </w:t>
      </w:r>
      <w:r w:rsidRPr="00CC6F7E">
        <w:rPr>
          <w:rFonts w:eastAsia="Times New Roman" w:cs="Times New Roman"/>
          <w:lang w:eastAsia="de-DE"/>
        </w:rPr>
        <w:t>zeigt Personen-Weihe an JHWH.</w:t>
      </w:r>
    </w:p>
    <w:p w14:paraId="43270BBE" w14:textId="35F9138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יפליא נדר</w:t>
      </w:r>
      <w:r w:rsidR="00274C29">
        <w:t xml:space="preserve"> (</w:t>
      </w:r>
      <w:proofErr w:type="spellStart"/>
      <w:r w:rsidR="00274C29">
        <w:t>yafli</w:t>
      </w:r>
      <w:proofErr w:type="spellEnd"/>
      <w:r w:rsidR="00274C29">
        <w:t xml:space="preserve"> </w:t>
      </w:r>
      <w:proofErr w:type="spellStart"/>
      <w:r w:rsidR="00274C29">
        <w:t>neder</w:t>
      </w:r>
      <w:proofErr w:type="spellEnd"/>
      <w:r w:rsidR="00274C29">
        <w:t xml:space="preserve"> - "ein besonderes Gelübde ablegt") als </w:t>
      </w:r>
      <w:proofErr w:type="spellStart"/>
      <w:r w:rsidR="00274C29">
        <w:t>εὔξητ</w:t>
      </w:r>
      <w:proofErr w:type="spellEnd"/>
      <w:r w:rsidR="00274C29">
        <w:t xml:space="preserve">αι </w:t>
      </w:r>
      <w:proofErr w:type="spellStart"/>
      <w:r w:rsidR="00274C29">
        <w:t>εὐχήν</w:t>
      </w:r>
      <w:proofErr w:type="spellEnd"/>
      <w:r w:rsidR="00274C29">
        <w:t xml:space="preserve"> (ein Gelübde ablegt) und </w:t>
      </w:r>
      <w:r w:rsidR="00274C29">
        <w:rPr>
          <w:rtl/>
        </w:rPr>
        <w:t>בערכך נפשות</w:t>
      </w:r>
      <w:r w:rsidR="00274C29">
        <w:t xml:space="preserve"> (</w:t>
      </w:r>
      <w:proofErr w:type="spellStart"/>
      <w:r w:rsidR="00274C29">
        <w:t>be'erkecha</w:t>
      </w:r>
      <w:proofErr w:type="spellEnd"/>
      <w:r w:rsidR="00274C29">
        <w:t xml:space="preserve"> </w:t>
      </w:r>
      <w:proofErr w:type="spellStart"/>
      <w:r w:rsidR="00274C29">
        <w:t>nefashot</w:t>
      </w:r>
      <w:proofErr w:type="spellEnd"/>
      <w:r w:rsidR="00274C29">
        <w:t xml:space="preserve"> - "nach deiner Schätzung von Seelen") als </w:t>
      </w:r>
      <w:proofErr w:type="spellStart"/>
      <w:r w:rsidR="00274C29">
        <w:t>ὥστε</w:t>
      </w:r>
      <w:proofErr w:type="spellEnd"/>
      <w:r w:rsidR="00274C29">
        <w:t xml:space="preserve"> </w:t>
      </w:r>
      <w:proofErr w:type="spellStart"/>
      <w:r w:rsidR="00274C29">
        <w:t>τιμὴν</w:t>
      </w:r>
      <w:proofErr w:type="spellEnd"/>
      <w:r w:rsidR="00274C29">
        <w:t xml:space="preserve"> </w:t>
      </w:r>
      <w:proofErr w:type="spellStart"/>
      <w:r w:rsidR="00274C29">
        <w:t>τῆς</w:t>
      </w:r>
      <w:proofErr w:type="spellEnd"/>
      <w:r w:rsidR="00274C29">
        <w:t xml:space="preserve"> </w:t>
      </w:r>
      <w:proofErr w:type="spellStart"/>
      <w:r w:rsidR="00274C29">
        <w:t>ψυχῆς</w:t>
      </w:r>
      <w:proofErr w:type="spellEnd"/>
      <w:r w:rsidR="00274C29">
        <w:t xml:space="preserve"> (sodass der Wert der Seele).</w:t>
      </w:r>
    </w:p>
    <w:p w14:paraId="4BFA586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Gelübde-Einleitung: zu Israel reden + besonderes Gelübde + Personen nach deiner Schätzung + für JHWH.</w:t>
      </w:r>
    </w:p>
    <w:p w14:paraId="5E1D71B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führt das System der Personen-Weihe-Gelübde mit Schätzungswerten ein.</w:t>
      </w:r>
    </w:p>
    <w:p w14:paraId="2A9FF8E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w:t>
      </w:r>
    </w:p>
    <w:p w14:paraId="561BBE8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וְהָיָ֤ה עֶרְכְּךָ֙ הַזָּכָ֔ר מִבֶּן֙ עֶשְׂרִ֣ים שָׁנָ֔ה וְעַ֖ד בֶּן־שִׁשִּׁ֣ים שָׁנָ֑ה וְהָיָ֣ה עֶרְכְּךָ֗ חֲמִשִּׁ֛ים שֶׁ֥קֶל כֶּ֖סֶף בְּשֶׁ֥קֶל הַקֹּֽדֶשׁ׃</w:t>
      </w:r>
    </w:p>
    <w:p w14:paraId="016A403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deine Schätzung sei: für einen Mann von 20 bis 60 Jahren, deine Schätzung sei 50 Schekel Silber nach dem Schekel des Heiligtums.</w:t>
      </w:r>
    </w:p>
    <w:p w14:paraId="642EC77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D46C6AF">
          <v:rect id="_x0000_i1852" style="width:0;height:1.5pt" o:hralign="center" o:hrstd="t" o:hr="t" fillcolor="#a0a0a0" stroked="f"/>
        </w:pict>
      </w:r>
    </w:p>
    <w:p w14:paraId="71A6E44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והיה ערכך הזכר מבן עשרים שנה ועד בן־שישים שנה והיה ערכך חמשים שקל כסף בשקל הקדש</w:t>
      </w:r>
      <w:r w:rsidRPr="00CC6F7E">
        <w:rPr>
          <w:rFonts w:eastAsia="Times New Roman" w:cs="Times New Roman"/>
          <w:rtl/>
          <w:lang w:eastAsia="de-DE"/>
        </w:rPr>
        <w:t xml:space="preserve"> </w:t>
      </w:r>
      <w:r w:rsidRPr="00CC6F7E">
        <w:rPr>
          <w:rFonts w:eastAsia="Times New Roman" w:cs="Times New Roman"/>
          <w:lang w:eastAsia="de-DE"/>
        </w:rPr>
        <w:t xml:space="preserve">etabliert die höchste Schätzungskategorie. </w:t>
      </w:r>
      <w:r w:rsidRPr="00CC6F7E">
        <w:rPr>
          <w:rFonts w:eastAsia="Times New Roman" w:cs="Times New Roman"/>
          <w:b/>
          <w:bCs/>
          <w:rtl/>
          <w:lang w:eastAsia="de-DE"/>
        </w:rPr>
        <w:t>והיה ערכך הזכר</w:t>
      </w:r>
      <w:r w:rsidRPr="00CC6F7E">
        <w:rPr>
          <w:rFonts w:eastAsia="Times New Roman" w:cs="Times New Roman"/>
          <w:rtl/>
          <w:lang w:eastAsia="de-DE"/>
        </w:rPr>
        <w:t xml:space="preserve"> </w:t>
      </w:r>
      <w:r w:rsidRPr="00CC6F7E">
        <w:rPr>
          <w:rFonts w:eastAsia="Times New Roman" w:cs="Times New Roman"/>
          <w:lang w:eastAsia="de-DE"/>
        </w:rPr>
        <w:t xml:space="preserve">(und deine Schätzung sei für einen Mann) - </w:t>
      </w:r>
      <w:r w:rsidRPr="00CC6F7E">
        <w:rPr>
          <w:rFonts w:eastAsia="Times New Roman" w:cs="Times New Roman"/>
          <w:b/>
          <w:bCs/>
          <w:rtl/>
          <w:lang w:eastAsia="de-DE"/>
        </w:rPr>
        <w:t>ערכך</w:t>
      </w:r>
      <w:r w:rsidRPr="00CC6F7E">
        <w:rPr>
          <w:rFonts w:eastAsia="Times New Roman" w:cs="Times New Roman"/>
          <w:rtl/>
          <w:lang w:eastAsia="de-DE"/>
        </w:rPr>
        <w:t xml:space="preserve"> </w:t>
      </w:r>
      <w:r w:rsidRPr="00CC6F7E">
        <w:rPr>
          <w:rFonts w:eastAsia="Times New Roman" w:cs="Times New Roman"/>
          <w:lang w:eastAsia="de-DE"/>
        </w:rPr>
        <w:t xml:space="preserve">(deine Schätzung) zeigt das Bewertungssystem. </w:t>
      </w:r>
      <w:r w:rsidRPr="00CC6F7E">
        <w:rPr>
          <w:rFonts w:eastAsia="Times New Roman" w:cs="Times New Roman"/>
          <w:b/>
          <w:bCs/>
          <w:rtl/>
          <w:lang w:eastAsia="de-DE"/>
        </w:rPr>
        <w:t>הזכר</w:t>
      </w:r>
      <w:r w:rsidRPr="00CC6F7E">
        <w:rPr>
          <w:rFonts w:eastAsia="Times New Roman" w:cs="Times New Roman"/>
          <w:rtl/>
          <w:lang w:eastAsia="de-DE"/>
        </w:rPr>
        <w:t xml:space="preserve"> </w:t>
      </w:r>
      <w:r w:rsidRPr="00CC6F7E">
        <w:rPr>
          <w:rFonts w:eastAsia="Times New Roman" w:cs="Times New Roman"/>
          <w:lang w:eastAsia="de-DE"/>
        </w:rPr>
        <w:t>(der Mann) zeigt männliches Geschlecht.</w:t>
      </w:r>
    </w:p>
    <w:p w14:paraId="2A8FE7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מבן עשרים שנה ועד בן־שישים שנה</w:t>
      </w:r>
      <w:r w:rsidRPr="00CC6F7E">
        <w:rPr>
          <w:rFonts w:eastAsia="Times New Roman" w:cs="Times New Roman"/>
          <w:rtl/>
          <w:lang w:eastAsia="de-DE"/>
        </w:rPr>
        <w:t xml:space="preserve"> </w:t>
      </w:r>
      <w:r w:rsidRPr="00CC6F7E">
        <w:rPr>
          <w:rFonts w:eastAsia="Times New Roman" w:cs="Times New Roman"/>
          <w:lang w:eastAsia="de-DE"/>
        </w:rPr>
        <w:t xml:space="preserve">(von 20 bis 60 Jahren) zeigt die produktive Lebensphase - </w:t>
      </w:r>
      <w:r w:rsidRPr="00CC6F7E">
        <w:rPr>
          <w:rFonts w:eastAsia="Times New Roman" w:cs="Times New Roman"/>
          <w:b/>
          <w:bCs/>
          <w:rtl/>
          <w:lang w:eastAsia="de-DE"/>
        </w:rPr>
        <w:t>בן עשרים</w:t>
      </w:r>
      <w:r w:rsidRPr="00CC6F7E">
        <w:rPr>
          <w:rFonts w:eastAsia="Times New Roman" w:cs="Times New Roman"/>
          <w:rtl/>
          <w:lang w:eastAsia="de-DE"/>
        </w:rPr>
        <w:t xml:space="preserve"> </w:t>
      </w:r>
      <w:r w:rsidRPr="00CC6F7E">
        <w:rPr>
          <w:rFonts w:eastAsia="Times New Roman" w:cs="Times New Roman"/>
          <w:lang w:eastAsia="de-DE"/>
        </w:rPr>
        <w:t xml:space="preserve">(20 Jahre alt) bis </w:t>
      </w:r>
      <w:r w:rsidRPr="00CC6F7E">
        <w:rPr>
          <w:rFonts w:eastAsia="Times New Roman" w:cs="Times New Roman"/>
          <w:b/>
          <w:bCs/>
          <w:rtl/>
          <w:lang w:eastAsia="de-DE"/>
        </w:rPr>
        <w:t>בן־שישים</w:t>
      </w:r>
      <w:r w:rsidRPr="00CC6F7E">
        <w:rPr>
          <w:rFonts w:eastAsia="Times New Roman" w:cs="Times New Roman"/>
          <w:rtl/>
          <w:lang w:eastAsia="de-DE"/>
        </w:rPr>
        <w:t xml:space="preserve"> </w:t>
      </w:r>
      <w:r w:rsidRPr="00CC6F7E">
        <w:rPr>
          <w:rFonts w:eastAsia="Times New Roman" w:cs="Times New Roman"/>
          <w:lang w:eastAsia="de-DE"/>
        </w:rPr>
        <w:t>(60 Jahre alt) als höchste Leistungsfähigkeit.</w:t>
      </w:r>
    </w:p>
    <w:p w14:paraId="6DA99D0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ערכך חמשים שקל כסף בשקל הקדש</w:t>
      </w:r>
      <w:r w:rsidRPr="00CC6F7E">
        <w:rPr>
          <w:rFonts w:eastAsia="Times New Roman" w:cs="Times New Roman"/>
          <w:rtl/>
          <w:lang w:eastAsia="de-DE"/>
        </w:rPr>
        <w:t xml:space="preserve"> </w:t>
      </w:r>
      <w:r w:rsidRPr="00CC6F7E">
        <w:rPr>
          <w:rFonts w:eastAsia="Times New Roman" w:cs="Times New Roman"/>
          <w:lang w:eastAsia="de-DE"/>
        </w:rPr>
        <w:t xml:space="preserve">(deine Schätzung sei 50 Schekel Silber nach dem Schekel des Heiligtums) - </w:t>
      </w:r>
      <w:r w:rsidRPr="00CC6F7E">
        <w:rPr>
          <w:rFonts w:eastAsia="Times New Roman" w:cs="Times New Roman"/>
          <w:b/>
          <w:bCs/>
          <w:rtl/>
          <w:lang w:eastAsia="de-DE"/>
        </w:rPr>
        <w:t>חמשים שקל כסף</w:t>
      </w:r>
      <w:r w:rsidRPr="00CC6F7E">
        <w:rPr>
          <w:rFonts w:eastAsia="Times New Roman" w:cs="Times New Roman"/>
          <w:rtl/>
          <w:lang w:eastAsia="de-DE"/>
        </w:rPr>
        <w:t xml:space="preserve"> </w:t>
      </w:r>
      <w:r w:rsidRPr="00CC6F7E">
        <w:rPr>
          <w:rFonts w:eastAsia="Times New Roman" w:cs="Times New Roman"/>
          <w:lang w:eastAsia="de-DE"/>
        </w:rPr>
        <w:t xml:space="preserve">(50 Schekel Silber) als höchster Wert. </w:t>
      </w:r>
      <w:r w:rsidRPr="00CC6F7E">
        <w:rPr>
          <w:rFonts w:eastAsia="Times New Roman" w:cs="Times New Roman"/>
          <w:b/>
          <w:bCs/>
          <w:rtl/>
          <w:lang w:eastAsia="de-DE"/>
        </w:rPr>
        <w:t>בשקל הקדש</w:t>
      </w:r>
      <w:r w:rsidRPr="00CC6F7E">
        <w:rPr>
          <w:rFonts w:eastAsia="Times New Roman" w:cs="Times New Roman"/>
          <w:rtl/>
          <w:lang w:eastAsia="de-DE"/>
        </w:rPr>
        <w:t xml:space="preserve"> </w:t>
      </w:r>
      <w:r w:rsidRPr="00CC6F7E">
        <w:rPr>
          <w:rFonts w:eastAsia="Times New Roman" w:cs="Times New Roman"/>
          <w:lang w:eastAsia="de-DE"/>
        </w:rPr>
        <w:t>(nach dem Schekel des Heiligtums) zeigt sakrale Währungsstandard.</w:t>
      </w:r>
    </w:p>
    <w:p w14:paraId="1EFA4C3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הזכר מבן עשרים...עד בן־שישים</w:t>
      </w:r>
      <w:r w:rsidRPr="00CC6F7E">
        <w:rPr>
          <w:rFonts w:eastAsia="Times New Roman" w:cs="Times New Roman"/>
          <w:rtl/>
          <w:lang w:eastAsia="de-DE"/>
        </w:rPr>
        <w:t xml:space="preserve"> </w:t>
      </w:r>
      <w:r w:rsidRPr="00CC6F7E">
        <w:rPr>
          <w:rFonts w:eastAsia="Times New Roman" w:cs="Times New Roman"/>
          <w:lang w:eastAsia="de-DE"/>
        </w:rPr>
        <w:t xml:space="preserve">zeigt männliche Hauptarbeitsphase. </w:t>
      </w:r>
      <w:r w:rsidRPr="00CC6F7E">
        <w:rPr>
          <w:rFonts w:eastAsia="Times New Roman" w:cs="Times New Roman"/>
          <w:b/>
          <w:bCs/>
          <w:rtl/>
          <w:lang w:eastAsia="de-DE"/>
        </w:rPr>
        <w:t>חמשים שקל כסף</w:t>
      </w:r>
      <w:r w:rsidRPr="00CC6F7E">
        <w:rPr>
          <w:rFonts w:eastAsia="Times New Roman" w:cs="Times New Roman"/>
          <w:rtl/>
          <w:lang w:eastAsia="de-DE"/>
        </w:rPr>
        <w:t xml:space="preserve"> </w:t>
      </w:r>
      <w:r w:rsidRPr="00CC6F7E">
        <w:rPr>
          <w:rFonts w:eastAsia="Times New Roman" w:cs="Times New Roman"/>
          <w:lang w:eastAsia="de-DE"/>
        </w:rPr>
        <w:t xml:space="preserve">als höchster Schätzwert. </w:t>
      </w:r>
      <w:r w:rsidRPr="00CC6F7E">
        <w:rPr>
          <w:rFonts w:eastAsia="Times New Roman" w:cs="Times New Roman"/>
          <w:b/>
          <w:bCs/>
          <w:rtl/>
          <w:lang w:eastAsia="de-DE"/>
        </w:rPr>
        <w:t>בשקל הקדש</w:t>
      </w:r>
      <w:r w:rsidRPr="00CC6F7E">
        <w:rPr>
          <w:rFonts w:eastAsia="Times New Roman" w:cs="Times New Roman"/>
          <w:rtl/>
          <w:lang w:eastAsia="de-DE"/>
        </w:rPr>
        <w:t xml:space="preserve"> </w:t>
      </w:r>
      <w:r w:rsidRPr="00CC6F7E">
        <w:rPr>
          <w:rFonts w:eastAsia="Times New Roman" w:cs="Times New Roman"/>
          <w:lang w:eastAsia="de-DE"/>
        </w:rPr>
        <w:t>als heiliger Währungsstandard.</w:t>
      </w:r>
    </w:p>
    <w:p w14:paraId="034AD431" w14:textId="5138816A"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שקל</w:t>
      </w:r>
      <w:r w:rsidR="00274C29">
        <w:t xml:space="preserve"> (sheqel) systematisch als </w:t>
      </w:r>
      <w:proofErr w:type="spellStart"/>
      <w:r w:rsidR="00274C29">
        <w:t>δίδρ</w:t>
      </w:r>
      <w:proofErr w:type="spellEnd"/>
      <w:r w:rsidR="00274C29">
        <w:t xml:space="preserve">αχμον (Doppeldrachme) und </w:t>
      </w:r>
      <w:r w:rsidR="00274C29">
        <w:rPr>
          <w:rtl/>
        </w:rPr>
        <w:t>בשקל הקדש</w:t>
      </w:r>
      <w:r w:rsidR="00274C29">
        <w:t xml:space="preserve"> (</w:t>
      </w:r>
      <w:proofErr w:type="spellStart"/>
      <w:r w:rsidR="00274C29">
        <w:t>besheqel</w:t>
      </w:r>
      <w:proofErr w:type="spellEnd"/>
      <w:r w:rsidR="00274C29">
        <w:t xml:space="preserve"> </w:t>
      </w:r>
      <w:proofErr w:type="spellStart"/>
      <w:r w:rsidR="00274C29">
        <w:t>haqodesh</w:t>
      </w:r>
      <w:proofErr w:type="spellEnd"/>
      <w:r w:rsidR="00274C29">
        <w:t xml:space="preserve"> - "nach dem heiligen Schekel") als </w:t>
      </w:r>
      <w:proofErr w:type="spellStart"/>
      <w:r w:rsidR="00274C29">
        <w:t>τῷ</w:t>
      </w:r>
      <w:proofErr w:type="spellEnd"/>
      <w:r w:rsidR="00274C29">
        <w:t xml:space="preserve"> </w:t>
      </w:r>
      <w:proofErr w:type="spellStart"/>
      <w:r w:rsidR="00274C29">
        <w:t>στ</w:t>
      </w:r>
      <w:proofErr w:type="spellEnd"/>
      <w:r w:rsidR="00274C29">
        <w:t xml:space="preserve">αθμῷ </w:t>
      </w:r>
      <w:proofErr w:type="spellStart"/>
      <w:r w:rsidR="00274C29">
        <w:t>τῷ</w:t>
      </w:r>
      <w:proofErr w:type="spellEnd"/>
      <w:r w:rsidR="00274C29">
        <w:t xml:space="preserve"> </w:t>
      </w:r>
      <w:proofErr w:type="spellStart"/>
      <w:r w:rsidR="00274C29">
        <w:t>ἁγίῳ</w:t>
      </w:r>
      <w:proofErr w:type="spellEnd"/>
      <w:r w:rsidR="00274C29">
        <w:t xml:space="preserve"> (nach dem heiligen Gewicht).</w:t>
      </w:r>
    </w:p>
    <w:p w14:paraId="68BB191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höchste Schätzungs-Kategorie: deine Schätzung für Mann + 20 bis 60 Jahre + 50 Schekel Silber + nach Heiligtums-Schekel.</w:t>
      </w:r>
    </w:p>
    <w:p w14:paraId="6CBE778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die höchste Schätzung: Männer im Hauptarbeitsalter (20-60) mit 50 Schekel Silber.</w:t>
      </w:r>
    </w:p>
    <w:p w14:paraId="61FC3D4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27,4</w:t>
      </w:r>
    </w:p>
    <w:p w14:paraId="24C882E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וְאִם־נְקֵבָ֖ה הִ֑וא וְהָיָ֥ה עֶרְכְּךָ֖ שְׁלֹשִׁ֥ים שָֽׁקֶל׃</w:t>
      </w:r>
    </w:p>
    <w:p w14:paraId="3B536A4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eine Frau ist, so sei deine Schätzung 30 Schekel.</w:t>
      </w:r>
    </w:p>
    <w:p w14:paraId="0A22129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F41016A">
          <v:rect id="_x0000_i1853" style="width:0;height:1.5pt" o:hralign="center" o:hrstd="t" o:hr="t" fillcolor="#a0a0a0" stroked="f"/>
        </w:pict>
      </w:r>
    </w:p>
    <w:p w14:paraId="583120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ואם־נקבה הוא והיה ערכך שלשים שקל</w:t>
      </w:r>
      <w:r w:rsidRPr="00CC6F7E">
        <w:rPr>
          <w:rFonts w:eastAsia="Times New Roman" w:cs="Times New Roman"/>
          <w:rtl/>
          <w:lang w:eastAsia="de-DE"/>
        </w:rPr>
        <w:t xml:space="preserve"> </w:t>
      </w:r>
      <w:r w:rsidRPr="00CC6F7E">
        <w:rPr>
          <w:rFonts w:eastAsia="Times New Roman" w:cs="Times New Roman"/>
          <w:lang w:eastAsia="de-DE"/>
        </w:rPr>
        <w:t xml:space="preserve">zeigt die entsprechende weibliche Schätzung. </w:t>
      </w:r>
      <w:r w:rsidRPr="00CC6F7E">
        <w:rPr>
          <w:rFonts w:eastAsia="Times New Roman" w:cs="Times New Roman"/>
          <w:b/>
          <w:bCs/>
          <w:rtl/>
          <w:lang w:eastAsia="de-DE"/>
        </w:rPr>
        <w:t>ואם־נקבה הוא</w:t>
      </w:r>
      <w:r w:rsidRPr="00CC6F7E">
        <w:rPr>
          <w:rFonts w:eastAsia="Times New Roman" w:cs="Times New Roman"/>
          <w:rtl/>
          <w:lang w:eastAsia="de-DE"/>
        </w:rPr>
        <w:t xml:space="preserve"> </w:t>
      </w:r>
      <w:r w:rsidRPr="00CC6F7E">
        <w:rPr>
          <w:rFonts w:eastAsia="Times New Roman" w:cs="Times New Roman"/>
          <w:lang w:eastAsia="de-DE"/>
        </w:rPr>
        <w:t xml:space="preserve">(und wenn es eine Frau ist) - </w:t>
      </w:r>
      <w:r w:rsidRPr="00CC6F7E">
        <w:rPr>
          <w:rFonts w:eastAsia="Times New Roman" w:cs="Times New Roman"/>
          <w:b/>
          <w:bCs/>
          <w:rtl/>
          <w:lang w:eastAsia="de-DE"/>
        </w:rPr>
        <w:t>נקבה</w:t>
      </w:r>
      <w:r w:rsidRPr="00CC6F7E">
        <w:rPr>
          <w:rFonts w:eastAsia="Times New Roman" w:cs="Times New Roman"/>
          <w:rtl/>
          <w:lang w:eastAsia="de-DE"/>
        </w:rPr>
        <w:t xml:space="preserve"> </w:t>
      </w:r>
      <w:r w:rsidRPr="00CC6F7E">
        <w:rPr>
          <w:rFonts w:eastAsia="Times New Roman" w:cs="Times New Roman"/>
          <w:lang w:eastAsia="de-DE"/>
        </w:rPr>
        <w:t xml:space="preserve">(Frau) zeigt weibliches Geschlecht. </w:t>
      </w:r>
      <w:r w:rsidRPr="00CC6F7E">
        <w:rPr>
          <w:rFonts w:eastAsia="Times New Roman" w:cs="Times New Roman"/>
          <w:b/>
          <w:bCs/>
          <w:rtl/>
          <w:lang w:eastAsia="de-DE"/>
        </w:rPr>
        <w:t>והיה ערכך שלשים שקל</w:t>
      </w:r>
      <w:r w:rsidRPr="00CC6F7E">
        <w:rPr>
          <w:rFonts w:eastAsia="Times New Roman" w:cs="Times New Roman"/>
          <w:rtl/>
          <w:lang w:eastAsia="de-DE"/>
        </w:rPr>
        <w:t xml:space="preserve"> </w:t>
      </w:r>
      <w:r w:rsidRPr="00CC6F7E">
        <w:rPr>
          <w:rFonts w:eastAsia="Times New Roman" w:cs="Times New Roman"/>
          <w:lang w:eastAsia="de-DE"/>
        </w:rPr>
        <w:t>(so sei deine Schätzung 30 Schekel) zeigt den reduzierten Wert für Frauen derselben Altersgruppe.</w:t>
      </w:r>
    </w:p>
    <w:p w14:paraId="6FC7E7CD" w14:textId="35C4EE59"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Das Verhältnis 50:30 (</w:t>
      </w:r>
      <w:r w:rsidR="00092ACA" w:rsidRPr="00CC6F7E">
        <w:rPr>
          <w:rFonts w:eastAsia="Times New Roman" w:cs="Times New Roman"/>
          <w:lang w:eastAsia="de-DE"/>
        </w:rPr>
        <w:t>Männer:Frauen</w:t>
      </w:r>
      <w:r w:rsidRPr="00CC6F7E">
        <w:rPr>
          <w:rFonts w:eastAsia="Times New Roman" w:cs="Times New Roman"/>
          <w:lang w:eastAsia="de-DE"/>
        </w:rPr>
        <w:t>) zeigt einen Faktor von 5:3, was möglicherweise gesellschaftliche Arbeitsrollen oder wirtschaftliche Produktivität widerspiegelt.</w:t>
      </w:r>
    </w:p>
    <w:p w14:paraId="631491E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נקבה</w:t>
      </w:r>
      <w:r w:rsidRPr="00CC6F7E">
        <w:rPr>
          <w:rFonts w:eastAsia="Times New Roman" w:cs="Times New Roman"/>
          <w:rtl/>
          <w:lang w:eastAsia="de-DE"/>
        </w:rPr>
        <w:t xml:space="preserve"> </w:t>
      </w:r>
      <w:r w:rsidRPr="00CC6F7E">
        <w:rPr>
          <w:rFonts w:eastAsia="Times New Roman" w:cs="Times New Roman"/>
          <w:lang w:eastAsia="de-DE"/>
        </w:rPr>
        <w:t xml:space="preserve">zeigt Geschlechts-Differenzierung. </w:t>
      </w:r>
      <w:r w:rsidRPr="00CC6F7E">
        <w:rPr>
          <w:rFonts w:eastAsia="Times New Roman" w:cs="Times New Roman"/>
          <w:b/>
          <w:bCs/>
          <w:rtl/>
          <w:lang w:eastAsia="de-DE"/>
        </w:rPr>
        <w:t>שלשים שקל</w:t>
      </w:r>
      <w:r w:rsidRPr="00CC6F7E">
        <w:rPr>
          <w:rFonts w:eastAsia="Times New Roman" w:cs="Times New Roman"/>
          <w:rtl/>
          <w:lang w:eastAsia="de-DE"/>
        </w:rPr>
        <w:t xml:space="preserve"> </w:t>
      </w:r>
      <w:r w:rsidRPr="00CC6F7E">
        <w:rPr>
          <w:rFonts w:eastAsia="Times New Roman" w:cs="Times New Roman"/>
          <w:lang w:eastAsia="de-DE"/>
        </w:rPr>
        <w:t>als 60% des männlichen Wertes zeigt geschlechtsspezifische Bewertung.</w:t>
      </w:r>
    </w:p>
    <w:p w14:paraId="272EB4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נקבה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θήλει</w:t>
      </w:r>
      <w:proofErr w:type="spellEnd"/>
      <w:r w:rsidRPr="00CC6F7E">
        <w:rPr>
          <w:rFonts w:eastAsia="Times New Roman" w:cs="Times New Roman"/>
          <w:lang w:eastAsia="de-DE"/>
        </w:rPr>
        <w:t xml:space="preserve">α (weiblich) und </w:t>
      </w:r>
      <w:r w:rsidRPr="00CC6F7E">
        <w:rPr>
          <w:rFonts w:eastAsia="Times New Roman" w:cs="Times New Roman"/>
          <w:b/>
          <w:bCs/>
          <w:rtl/>
          <w:lang w:eastAsia="de-DE"/>
        </w:rPr>
        <w:t>שלשים שקל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τριάκοντ</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(30 Siklos).</w:t>
      </w:r>
    </w:p>
    <w:p w14:paraId="45C8805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geschlechtsspezifische Schätzung: wenn Frau + deine Schätzung 30 Schekel.</w:t>
      </w:r>
    </w:p>
    <w:p w14:paraId="37F129B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geschlechtsspezifische Differenzierung: Frauen werden mit 30 Schekel (60% des Männerwertes) geschätzt.</w:t>
      </w:r>
    </w:p>
    <w:p w14:paraId="39D9C7E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27,5</w:t>
      </w:r>
    </w:p>
    <w:p w14:paraId="72D6461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Hebräisch:</w:t>
      </w:r>
      <w:r w:rsidRPr="00CC6F7E">
        <w:rPr>
          <w:rFonts w:eastAsia="Times New Roman" w:cs="Times New Roman"/>
          <w:lang w:eastAsia="de-DE"/>
        </w:rPr>
        <w:t xml:space="preserve"> </w:t>
      </w:r>
      <w:r w:rsidRPr="00CC6F7E">
        <w:rPr>
          <w:rFonts w:eastAsia="Times New Roman" w:cs="Times New Roman"/>
          <w:rtl/>
          <w:lang w:eastAsia="de-DE"/>
        </w:rPr>
        <w:t>וְאִ֨ם מִבֶּן־חָמֵ֜שׁ שָׁנִ֗ים וְעַד֙ בֶּן־עֶשְׂרִ֣ים שָׁנָ֔ה וְהָיָ֧ה עֶרְכְּךָ֛ הַזָּכָ֖ר עֶשְׂרִ֣ים שְׁקָלִ֑ים וְלַנְּקֵבָ֖ה עֲשֶׂ֥רֶת שְׁקָלִֽים׃</w:t>
      </w:r>
    </w:p>
    <w:p w14:paraId="214B355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von fünf Jahren bis zu 20 Jahren ist, so sei deine Schätzung für einen Mann 20 Schekel und für eine Frau zehn Schekel.</w:t>
      </w:r>
    </w:p>
    <w:p w14:paraId="5D4A674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BE0112D">
          <v:rect id="_x0000_i1854" style="width:0;height:1.5pt" o:hralign="center" o:hrstd="t" o:hr="t" fillcolor="#a0a0a0" stroked="f"/>
        </w:pict>
      </w:r>
    </w:p>
    <w:p w14:paraId="0A6907B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מבן־חמש שנים ועד בן־עשרים שנה והיה ערכך הזכר עשרים שקלים ולנקבה עשרת שקלים</w:t>
      </w:r>
      <w:r w:rsidRPr="00CC6F7E">
        <w:rPr>
          <w:rFonts w:eastAsia="Times New Roman" w:cs="Times New Roman"/>
          <w:rtl/>
          <w:lang w:eastAsia="de-DE"/>
        </w:rPr>
        <w:t xml:space="preserve"> </w:t>
      </w:r>
      <w:r w:rsidRPr="00CC6F7E">
        <w:rPr>
          <w:rFonts w:eastAsia="Times New Roman" w:cs="Times New Roman"/>
          <w:lang w:eastAsia="de-DE"/>
        </w:rPr>
        <w:t xml:space="preserve">zeigt die Jugend-Altersklasse. </w:t>
      </w:r>
      <w:r w:rsidRPr="00CC6F7E">
        <w:rPr>
          <w:rFonts w:eastAsia="Times New Roman" w:cs="Times New Roman"/>
          <w:b/>
          <w:bCs/>
          <w:rtl/>
          <w:lang w:eastAsia="de-DE"/>
        </w:rPr>
        <w:t>מבן־חמש שנים ועד בן־עשרים שנה</w:t>
      </w:r>
      <w:r w:rsidRPr="00CC6F7E">
        <w:rPr>
          <w:rFonts w:eastAsia="Times New Roman" w:cs="Times New Roman"/>
          <w:rtl/>
          <w:lang w:eastAsia="de-DE"/>
        </w:rPr>
        <w:t xml:space="preserve"> </w:t>
      </w:r>
      <w:r w:rsidRPr="00CC6F7E">
        <w:rPr>
          <w:rFonts w:eastAsia="Times New Roman" w:cs="Times New Roman"/>
          <w:lang w:eastAsia="de-DE"/>
        </w:rPr>
        <w:t>(von fünf Jahren bis zu 20 Jahren) zeigt Kindheit und Jugend bis zum Erwachsenenalter.</w:t>
      </w:r>
    </w:p>
    <w:p w14:paraId="7A5A4A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ערכך הזכר עשרים שקלים</w:t>
      </w:r>
      <w:r w:rsidRPr="00CC6F7E">
        <w:rPr>
          <w:rFonts w:eastAsia="Times New Roman" w:cs="Times New Roman"/>
          <w:rtl/>
          <w:lang w:eastAsia="de-DE"/>
        </w:rPr>
        <w:t xml:space="preserve"> </w:t>
      </w:r>
      <w:r w:rsidRPr="00CC6F7E">
        <w:rPr>
          <w:rFonts w:eastAsia="Times New Roman" w:cs="Times New Roman"/>
          <w:lang w:eastAsia="de-DE"/>
        </w:rPr>
        <w:t xml:space="preserve">(so sei deine Schätzung für einen Mann 20 Schekel) - </w:t>
      </w:r>
      <w:r w:rsidRPr="00CC6F7E">
        <w:rPr>
          <w:rFonts w:eastAsia="Times New Roman" w:cs="Times New Roman"/>
          <w:b/>
          <w:bCs/>
          <w:rtl/>
          <w:lang w:eastAsia="de-DE"/>
        </w:rPr>
        <w:t>עשרים שקלים</w:t>
      </w:r>
      <w:r w:rsidRPr="00CC6F7E">
        <w:rPr>
          <w:rFonts w:eastAsia="Times New Roman" w:cs="Times New Roman"/>
          <w:rtl/>
          <w:lang w:eastAsia="de-DE"/>
        </w:rPr>
        <w:t xml:space="preserve"> </w:t>
      </w:r>
      <w:r w:rsidRPr="00CC6F7E">
        <w:rPr>
          <w:rFonts w:eastAsia="Times New Roman" w:cs="Times New Roman"/>
          <w:lang w:eastAsia="de-DE"/>
        </w:rPr>
        <w:t xml:space="preserve">(20 Schekel) ist 40% des Vollwertes. </w:t>
      </w:r>
      <w:r w:rsidRPr="00CC6F7E">
        <w:rPr>
          <w:rFonts w:eastAsia="Times New Roman" w:cs="Times New Roman"/>
          <w:b/>
          <w:bCs/>
          <w:rtl/>
          <w:lang w:eastAsia="de-DE"/>
        </w:rPr>
        <w:t>ולנקבה עשרת שקלים</w:t>
      </w:r>
      <w:r w:rsidRPr="00CC6F7E">
        <w:rPr>
          <w:rFonts w:eastAsia="Times New Roman" w:cs="Times New Roman"/>
          <w:rtl/>
          <w:lang w:eastAsia="de-DE"/>
        </w:rPr>
        <w:t xml:space="preserve"> </w:t>
      </w:r>
      <w:r w:rsidRPr="00CC6F7E">
        <w:rPr>
          <w:rFonts w:eastAsia="Times New Roman" w:cs="Times New Roman"/>
          <w:lang w:eastAsia="de-DE"/>
        </w:rPr>
        <w:t xml:space="preserve">(und für eine Frau zehn Schekel) - </w:t>
      </w:r>
      <w:r w:rsidRPr="00CC6F7E">
        <w:rPr>
          <w:rFonts w:eastAsia="Times New Roman" w:cs="Times New Roman"/>
          <w:b/>
          <w:bCs/>
          <w:rtl/>
          <w:lang w:eastAsia="de-DE"/>
        </w:rPr>
        <w:t>עשרת שקלים</w:t>
      </w:r>
      <w:r w:rsidRPr="00CC6F7E">
        <w:rPr>
          <w:rFonts w:eastAsia="Times New Roman" w:cs="Times New Roman"/>
          <w:rtl/>
          <w:lang w:eastAsia="de-DE"/>
        </w:rPr>
        <w:t xml:space="preserve"> </w:t>
      </w:r>
      <w:r w:rsidRPr="00CC6F7E">
        <w:rPr>
          <w:rFonts w:eastAsia="Times New Roman" w:cs="Times New Roman"/>
          <w:lang w:eastAsia="de-DE"/>
        </w:rPr>
        <w:t>(10 Schekel) behält das 1:2 Verhältnis bei.</w:t>
      </w:r>
    </w:p>
    <w:p w14:paraId="74F676B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Das Verhältnis zur Erwachsenenschätzung: Männliche Jugendliche 20/50 = 40%, weibliche Jugendliche 10/30 = 33%.</w:t>
      </w:r>
    </w:p>
    <w:p w14:paraId="2E345AE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מבן־חמש...ועד בן־עשרים</w:t>
      </w:r>
      <w:r w:rsidRPr="00CC6F7E">
        <w:rPr>
          <w:rFonts w:eastAsia="Times New Roman" w:cs="Times New Roman"/>
          <w:rtl/>
          <w:lang w:eastAsia="de-DE"/>
        </w:rPr>
        <w:t xml:space="preserve"> </w:t>
      </w:r>
      <w:r w:rsidRPr="00CC6F7E">
        <w:rPr>
          <w:rFonts w:eastAsia="Times New Roman" w:cs="Times New Roman"/>
          <w:lang w:eastAsia="de-DE"/>
        </w:rPr>
        <w:t xml:space="preserve">zeigt Jugend-Altersklasse. </w:t>
      </w:r>
      <w:r w:rsidRPr="00CC6F7E">
        <w:rPr>
          <w:rFonts w:eastAsia="Times New Roman" w:cs="Times New Roman"/>
          <w:b/>
          <w:bCs/>
          <w:rtl/>
          <w:lang w:eastAsia="de-DE"/>
        </w:rPr>
        <w:t>עשרים שקלים...עשרת שקלים</w:t>
      </w:r>
      <w:r w:rsidRPr="00CC6F7E">
        <w:rPr>
          <w:rFonts w:eastAsia="Times New Roman" w:cs="Times New Roman"/>
          <w:rtl/>
          <w:lang w:eastAsia="de-DE"/>
        </w:rPr>
        <w:t xml:space="preserve"> </w:t>
      </w:r>
      <w:r w:rsidRPr="00CC6F7E">
        <w:rPr>
          <w:rFonts w:eastAsia="Times New Roman" w:cs="Times New Roman"/>
          <w:lang w:eastAsia="de-DE"/>
        </w:rPr>
        <w:t>behält 2:1 Geschlechts-Verhältnis bei. Die Werte sind etwa 40% der Erwachsenenwerte.</w:t>
      </w:r>
    </w:p>
    <w:p w14:paraId="29908B2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מבן־חמש שנים</w:t>
      </w:r>
      <w:r w:rsidRPr="00CC6F7E">
        <w:rPr>
          <w:rFonts w:eastAsia="Times New Roman" w:cs="Times New Roman"/>
          <w:rtl/>
          <w:lang w:eastAsia="de-DE"/>
        </w:rPr>
        <w:t xml:space="preserve"> </w:t>
      </w:r>
      <w:r w:rsidRPr="00CC6F7E">
        <w:rPr>
          <w:rFonts w:eastAsia="Times New Roman" w:cs="Times New Roman"/>
          <w:lang w:eastAsia="de-DE"/>
        </w:rPr>
        <w:t>mit ἀπὸ π</w:t>
      </w:r>
      <w:proofErr w:type="spellStart"/>
      <w:r w:rsidRPr="00CC6F7E">
        <w:rPr>
          <w:rFonts w:eastAsia="Times New Roman" w:cs="Times New Roman"/>
          <w:lang w:eastAsia="de-DE"/>
        </w:rPr>
        <w:t>εντ</w:t>
      </w:r>
      <w:proofErr w:type="spellEnd"/>
      <w:r w:rsidRPr="00CC6F7E">
        <w:rPr>
          <w:rFonts w:eastAsia="Times New Roman" w:cs="Times New Roman"/>
          <w:lang w:eastAsia="de-DE"/>
        </w:rPr>
        <w:t xml:space="preserve">αετοῦς (von fünfjährig), </w:t>
      </w:r>
      <w:r w:rsidRPr="00CC6F7E">
        <w:rPr>
          <w:rFonts w:eastAsia="Times New Roman" w:cs="Times New Roman"/>
          <w:b/>
          <w:bCs/>
          <w:rtl/>
          <w:lang w:eastAsia="de-DE"/>
        </w:rPr>
        <w:t>עד בן־עשרים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ἕως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εἰκοσ</w:t>
      </w:r>
      <w:proofErr w:type="spellEnd"/>
      <w:r w:rsidRPr="00CC6F7E">
        <w:rPr>
          <w:rFonts w:eastAsia="Times New Roman" w:cs="Times New Roman"/>
          <w:lang w:eastAsia="de-DE"/>
        </w:rPr>
        <w:t xml:space="preserve">αετοῦς (bis zwanzigjährig), </w:t>
      </w:r>
      <w:r w:rsidRPr="00CC6F7E">
        <w:rPr>
          <w:rFonts w:eastAsia="Times New Roman" w:cs="Times New Roman"/>
          <w:b/>
          <w:bCs/>
          <w:rtl/>
          <w:lang w:eastAsia="de-DE"/>
        </w:rPr>
        <w:t>עשרים שקלים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εἴκοσι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(20 Siklos) und </w:t>
      </w:r>
      <w:r w:rsidRPr="00CC6F7E">
        <w:rPr>
          <w:rFonts w:eastAsia="Times New Roman" w:cs="Times New Roman"/>
          <w:b/>
          <w:bCs/>
          <w:rtl/>
          <w:lang w:eastAsia="de-DE"/>
        </w:rPr>
        <w:t>עשרת שקלים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δέκ</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(10 Siklos).</w:t>
      </w:r>
    </w:p>
    <w:p w14:paraId="2937A1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Jugend-Schätzungs-Kategorie: 5 bis 20 Jahre + Mann 20 Schekel + Frau 10 Schekel.</w:t>
      </w:r>
    </w:p>
    <w:p w14:paraId="56294A0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Jugendschätzungen: Männer 20 Schekel, Frauen 10 Schekel (etwa 40% bzw. 33% der Erwachsenenwerte).</w:t>
      </w:r>
    </w:p>
    <w:p w14:paraId="090AE3F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27,6</w:t>
      </w:r>
    </w:p>
    <w:p w14:paraId="01D91FC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מִבֶּן־חֹ֗דֶשׁ וְעַד֙ בֶּן־חָמֵ֣שׁ שָׁנִ֔ים וְהָיָ֤ה עֶרְכְּךָ֙ הַזָּכָ֔ר חֲמִשָּׁ֥ה שְׁקָלִ֖ים כָּ֑סֶף וְלַנְּקֵבָ֣ה עֶרְכְּךָ֔ שְׁלֹ֥שֶׁת שְׁקָלִ֖ים כָּֽסֶף׃</w:t>
      </w:r>
    </w:p>
    <w:p w14:paraId="01A4D7F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von einem Monat bis zu fünf Jahren ist, so sei deine Schätzung für einen Mann fünf Schekel Silber und für eine Frau drei Schekel Silber.</w:t>
      </w:r>
    </w:p>
    <w:p w14:paraId="2BFE84F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DFFEB1B">
          <v:rect id="_x0000_i1855" style="width:0;height:1.5pt" o:hralign="center" o:hrstd="t" o:hr="t" fillcolor="#a0a0a0" stroked="f"/>
        </w:pict>
      </w:r>
    </w:p>
    <w:p w14:paraId="5E40AF5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מבן־חדש ועד בן־חמש שנים והיה ערכך הזכר חמשה שקלים כסף ולנקבה ערכך שלשת שקלים כסף</w:t>
      </w:r>
      <w:r w:rsidRPr="00CC6F7E">
        <w:rPr>
          <w:rFonts w:eastAsia="Times New Roman" w:cs="Times New Roman"/>
          <w:rtl/>
          <w:lang w:eastAsia="de-DE"/>
        </w:rPr>
        <w:t xml:space="preserve"> </w:t>
      </w:r>
      <w:r w:rsidRPr="00CC6F7E">
        <w:rPr>
          <w:rFonts w:eastAsia="Times New Roman" w:cs="Times New Roman"/>
          <w:lang w:eastAsia="de-DE"/>
        </w:rPr>
        <w:t xml:space="preserve">zeigt die Kleinkind-Schätzung. </w:t>
      </w:r>
      <w:r w:rsidRPr="00CC6F7E">
        <w:rPr>
          <w:rFonts w:eastAsia="Times New Roman" w:cs="Times New Roman"/>
          <w:b/>
          <w:bCs/>
          <w:rtl/>
          <w:lang w:eastAsia="de-DE"/>
        </w:rPr>
        <w:t>מבן־חדש ועד בן־חמש שנים</w:t>
      </w:r>
      <w:r w:rsidRPr="00CC6F7E">
        <w:rPr>
          <w:rFonts w:eastAsia="Times New Roman" w:cs="Times New Roman"/>
          <w:rtl/>
          <w:lang w:eastAsia="de-DE"/>
        </w:rPr>
        <w:t xml:space="preserve"> </w:t>
      </w:r>
      <w:r w:rsidRPr="00CC6F7E">
        <w:rPr>
          <w:rFonts w:eastAsia="Times New Roman" w:cs="Times New Roman"/>
          <w:lang w:eastAsia="de-DE"/>
        </w:rPr>
        <w:t>(von einem Monat bis zu fünf Jahren) zeigt Säuglingsalter ab einem Monat bis Kindergartenalter.</w:t>
      </w:r>
    </w:p>
    <w:p w14:paraId="7293E76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ערכך הזכר חמשה שקלים כסף</w:t>
      </w:r>
      <w:r w:rsidRPr="00CC6F7E">
        <w:rPr>
          <w:rFonts w:eastAsia="Times New Roman" w:cs="Times New Roman"/>
          <w:rtl/>
          <w:lang w:eastAsia="de-DE"/>
        </w:rPr>
        <w:t xml:space="preserve"> </w:t>
      </w:r>
      <w:r w:rsidRPr="00CC6F7E">
        <w:rPr>
          <w:rFonts w:eastAsia="Times New Roman" w:cs="Times New Roman"/>
          <w:lang w:eastAsia="de-DE"/>
        </w:rPr>
        <w:t xml:space="preserve">(so sei deine Schätzung für einen Mann fünf Schekel Silber) - </w:t>
      </w:r>
      <w:r w:rsidRPr="00CC6F7E">
        <w:rPr>
          <w:rFonts w:eastAsia="Times New Roman" w:cs="Times New Roman"/>
          <w:b/>
          <w:bCs/>
          <w:rtl/>
          <w:lang w:eastAsia="de-DE"/>
        </w:rPr>
        <w:t>חמשה שקלים</w:t>
      </w:r>
      <w:r w:rsidRPr="00CC6F7E">
        <w:rPr>
          <w:rFonts w:eastAsia="Times New Roman" w:cs="Times New Roman"/>
          <w:rtl/>
          <w:lang w:eastAsia="de-DE"/>
        </w:rPr>
        <w:t xml:space="preserve"> </w:t>
      </w:r>
      <w:r w:rsidRPr="00CC6F7E">
        <w:rPr>
          <w:rFonts w:eastAsia="Times New Roman" w:cs="Times New Roman"/>
          <w:lang w:eastAsia="de-DE"/>
        </w:rPr>
        <w:t xml:space="preserve">(5 Schekel) ist 10% des Vollwertes. </w:t>
      </w:r>
      <w:r w:rsidRPr="00CC6F7E">
        <w:rPr>
          <w:rFonts w:eastAsia="Times New Roman" w:cs="Times New Roman"/>
          <w:b/>
          <w:bCs/>
          <w:rtl/>
          <w:lang w:eastAsia="de-DE"/>
        </w:rPr>
        <w:t>ולנקבה ערכך שלשת שקלים כסף</w:t>
      </w:r>
      <w:r w:rsidRPr="00CC6F7E">
        <w:rPr>
          <w:rFonts w:eastAsia="Times New Roman" w:cs="Times New Roman"/>
          <w:rtl/>
          <w:lang w:eastAsia="de-DE"/>
        </w:rPr>
        <w:t xml:space="preserve"> </w:t>
      </w:r>
      <w:r w:rsidRPr="00CC6F7E">
        <w:rPr>
          <w:rFonts w:eastAsia="Times New Roman" w:cs="Times New Roman"/>
          <w:lang w:eastAsia="de-DE"/>
        </w:rPr>
        <w:t xml:space="preserve">(und für eine Frau drei Schekel Silber) - </w:t>
      </w:r>
      <w:r w:rsidRPr="00CC6F7E">
        <w:rPr>
          <w:rFonts w:eastAsia="Times New Roman" w:cs="Times New Roman"/>
          <w:b/>
          <w:bCs/>
          <w:rtl/>
          <w:lang w:eastAsia="de-DE"/>
        </w:rPr>
        <w:t>שלשת שקלים</w:t>
      </w:r>
      <w:r w:rsidRPr="00CC6F7E">
        <w:rPr>
          <w:rFonts w:eastAsia="Times New Roman" w:cs="Times New Roman"/>
          <w:rtl/>
          <w:lang w:eastAsia="de-DE"/>
        </w:rPr>
        <w:t xml:space="preserve"> </w:t>
      </w:r>
      <w:r w:rsidRPr="00CC6F7E">
        <w:rPr>
          <w:rFonts w:eastAsia="Times New Roman" w:cs="Times New Roman"/>
          <w:lang w:eastAsia="de-DE"/>
        </w:rPr>
        <w:t>(3 Schekel) behält etwa das 3:5 Verhältnis bei.</w:t>
      </w:r>
    </w:p>
    <w:p w14:paraId="2F21122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 xml:space="preserve">Die explizite Erwähnung von </w:t>
      </w:r>
      <w:r w:rsidRPr="00CC6F7E">
        <w:rPr>
          <w:rFonts w:eastAsia="Times New Roman" w:cs="Times New Roman"/>
          <w:b/>
          <w:bCs/>
          <w:rtl/>
          <w:lang w:eastAsia="de-DE"/>
        </w:rPr>
        <w:t>כסף</w:t>
      </w:r>
      <w:r w:rsidRPr="00CC6F7E">
        <w:rPr>
          <w:rFonts w:eastAsia="Times New Roman" w:cs="Times New Roman"/>
          <w:rtl/>
          <w:lang w:eastAsia="de-DE"/>
        </w:rPr>
        <w:t xml:space="preserve"> </w:t>
      </w:r>
      <w:r w:rsidRPr="00CC6F7E">
        <w:rPr>
          <w:rFonts w:eastAsia="Times New Roman" w:cs="Times New Roman"/>
          <w:lang w:eastAsia="de-DE"/>
        </w:rPr>
        <w:t>(Silber) in beiden Fällen betont die Währung.</w:t>
      </w:r>
    </w:p>
    <w:p w14:paraId="22C2B47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מבן־חדש</w:t>
      </w:r>
      <w:r w:rsidRPr="00CC6F7E">
        <w:rPr>
          <w:rFonts w:eastAsia="Times New Roman" w:cs="Times New Roman"/>
          <w:rtl/>
          <w:lang w:eastAsia="de-DE"/>
        </w:rPr>
        <w:t xml:space="preserve"> </w:t>
      </w:r>
      <w:r w:rsidRPr="00CC6F7E">
        <w:rPr>
          <w:rFonts w:eastAsia="Times New Roman" w:cs="Times New Roman"/>
          <w:lang w:eastAsia="de-DE"/>
        </w:rPr>
        <w:t xml:space="preserve">zeigt frühestmögliches Weihalter. </w:t>
      </w:r>
      <w:r w:rsidRPr="00CC6F7E">
        <w:rPr>
          <w:rFonts w:eastAsia="Times New Roman" w:cs="Times New Roman"/>
          <w:b/>
          <w:bCs/>
          <w:rtl/>
          <w:lang w:eastAsia="de-DE"/>
        </w:rPr>
        <w:t>ועד בן־חמש שנים</w:t>
      </w:r>
      <w:r w:rsidRPr="00CC6F7E">
        <w:rPr>
          <w:rFonts w:eastAsia="Times New Roman" w:cs="Times New Roman"/>
          <w:rtl/>
          <w:lang w:eastAsia="de-DE"/>
        </w:rPr>
        <w:t xml:space="preserve"> </w:t>
      </w:r>
      <w:r w:rsidRPr="00CC6F7E">
        <w:rPr>
          <w:rFonts w:eastAsia="Times New Roman" w:cs="Times New Roman"/>
          <w:lang w:eastAsia="de-DE"/>
        </w:rPr>
        <w:t xml:space="preserve">als Kleinkindphase. </w:t>
      </w:r>
      <w:r w:rsidRPr="00CC6F7E">
        <w:rPr>
          <w:rFonts w:eastAsia="Times New Roman" w:cs="Times New Roman"/>
          <w:b/>
          <w:bCs/>
          <w:rtl/>
          <w:lang w:eastAsia="de-DE"/>
        </w:rPr>
        <w:t>חמשה שקלים...שלשת שקלים</w:t>
      </w:r>
      <w:r w:rsidRPr="00CC6F7E">
        <w:rPr>
          <w:rFonts w:eastAsia="Times New Roman" w:cs="Times New Roman"/>
          <w:rtl/>
          <w:lang w:eastAsia="de-DE"/>
        </w:rPr>
        <w:t xml:space="preserve"> </w:t>
      </w:r>
      <w:r w:rsidRPr="00CC6F7E">
        <w:rPr>
          <w:rFonts w:eastAsia="Times New Roman" w:cs="Times New Roman"/>
          <w:lang w:eastAsia="de-DE"/>
        </w:rPr>
        <w:t>zeigt niedrigste Werte mit etwa 5:3 Verhältnis.</w:t>
      </w:r>
    </w:p>
    <w:p w14:paraId="22931A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מבן־חדש</w:t>
      </w:r>
      <w:r w:rsidRPr="00CC6F7E">
        <w:rPr>
          <w:rFonts w:eastAsia="Times New Roman" w:cs="Times New Roman"/>
          <w:rtl/>
          <w:lang w:eastAsia="de-DE"/>
        </w:rPr>
        <w:t xml:space="preserve"> </w:t>
      </w:r>
      <w:r w:rsidRPr="00CC6F7E">
        <w:rPr>
          <w:rFonts w:eastAsia="Times New Roman" w:cs="Times New Roman"/>
          <w:lang w:eastAsia="de-DE"/>
        </w:rPr>
        <w:t xml:space="preserve">mit ἀπὸ </w:t>
      </w:r>
      <w:proofErr w:type="spellStart"/>
      <w:r w:rsidRPr="00CC6F7E">
        <w:rPr>
          <w:rFonts w:eastAsia="Times New Roman" w:cs="Times New Roman"/>
          <w:lang w:eastAsia="de-DE"/>
        </w:rPr>
        <w:t>μηνι</w:t>
      </w:r>
      <w:proofErr w:type="spellEnd"/>
      <w:r w:rsidRPr="00CC6F7E">
        <w:rPr>
          <w:rFonts w:eastAsia="Times New Roman" w:cs="Times New Roman"/>
          <w:lang w:eastAsia="de-DE"/>
        </w:rPr>
        <w:t xml:space="preserve">αίου (von monatlich), </w:t>
      </w:r>
      <w:r w:rsidRPr="00CC6F7E">
        <w:rPr>
          <w:rFonts w:eastAsia="Times New Roman" w:cs="Times New Roman"/>
          <w:b/>
          <w:bCs/>
          <w:rtl/>
          <w:lang w:eastAsia="de-DE"/>
        </w:rPr>
        <w:t>בן־חמש שנים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εντ</w:t>
      </w:r>
      <w:proofErr w:type="spellEnd"/>
      <w:r w:rsidRPr="00CC6F7E">
        <w:rPr>
          <w:rFonts w:eastAsia="Times New Roman" w:cs="Times New Roman"/>
          <w:lang w:eastAsia="de-DE"/>
        </w:rPr>
        <w:t xml:space="preserve">αετοῦς (fünfjährig), </w:t>
      </w:r>
      <w:r w:rsidRPr="00CC6F7E">
        <w:rPr>
          <w:rFonts w:eastAsia="Times New Roman" w:cs="Times New Roman"/>
          <w:b/>
          <w:bCs/>
          <w:rtl/>
          <w:lang w:eastAsia="de-DE"/>
        </w:rPr>
        <w:t>חמשה שקלים</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έντε</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(5 Siklos) und </w:t>
      </w:r>
      <w:r w:rsidRPr="00CC6F7E">
        <w:rPr>
          <w:rFonts w:eastAsia="Times New Roman" w:cs="Times New Roman"/>
          <w:b/>
          <w:bCs/>
          <w:rtl/>
          <w:lang w:eastAsia="de-DE"/>
        </w:rPr>
        <w:t>שלשת שקלים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τρεῖς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(3 Siklos).</w:t>
      </w:r>
    </w:p>
    <w:p w14:paraId="006A44A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Kleinkind-Schätzungs-Kategorie: 1 Monat bis 5 Jahre + Mann 5 Schekel Silber + Frau 3 Schekel Silber.</w:t>
      </w:r>
    </w:p>
    <w:p w14:paraId="07D7BDB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die niedrigsten Schätzwerte für Kleinkinder: Männer 5 Schekel, Frauen 3 Schekel.</w:t>
      </w:r>
    </w:p>
    <w:p w14:paraId="1B519C7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27,7</w:t>
      </w:r>
    </w:p>
    <w:p w14:paraId="24EC1E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מִבֶּן־שִׁשִּׁ֨ים שָׁנָ֤ה וָמַ֨עְלָה֙ אִם־זָכָ֔ר וְהָיָ֣ה עֶרְכְּךָ֔ חֲמִשָּׁ֥ה עָשָׂ֖ר שָׁ֑קֶל וְלַנְּקֵבָ֖ה עֲשָׂרָ֥ה שְׁקָלִֽים׃</w:t>
      </w:r>
    </w:p>
    <w:p w14:paraId="1147DC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von 60 Jahren und darüber ist, so sei deine Schätzung für einen Mann 15 Schekel und für eine Frau zehn Schekel.</w:t>
      </w:r>
    </w:p>
    <w:p w14:paraId="0CE73B1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C53E278">
          <v:rect id="_x0000_i1856" style="width:0;height:1.5pt" o:hralign="center" o:hrstd="t" o:hr="t" fillcolor="#a0a0a0" stroked="f"/>
        </w:pict>
      </w:r>
    </w:p>
    <w:p w14:paraId="1DD3BD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מבן־שישים שנה ומעלה אם־זכר והיה ערכך חמשה עשר שקל ולנקבה עשרה שקלים</w:t>
      </w:r>
      <w:r w:rsidRPr="00CC6F7E">
        <w:rPr>
          <w:rFonts w:eastAsia="Times New Roman" w:cs="Times New Roman"/>
          <w:rtl/>
          <w:lang w:eastAsia="de-DE"/>
        </w:rPr>
        <w:t xml:space="preserve"> </w:t>
      </w:r>
      <w:r w:rsidRPr="00CC6F7E">
        <w:rPr>
          <w:rFonts w:eastAsia="Times New Roman" w:cs="Times New Roman"/>
          <w:lang w:eastAsia="de-DE"/>
        </w:rPr>
        <w:t xml:space="preserve">zeigt die Alters-Schätzung. </w:t>
      </w:r>
      <w:r w:rsidRPr="00CC6F7E">
        <w:rPr>
          <w:rFonts w:eastAsia="Times New Roman" w:cs="Times New Roman"/>
          <w:b/>
          <w:bCs/>
          <w:rtl/>
          <w:lang w:eastAsia="de-DE"/>
        </w:rPr>
        <w:t>מבן־שישים שנה ומעלה</w:t>
      </w:r>
      <w:r w:rsidRPr="00CC6F7E">
        <w:rPr>
          <w:rFonts w:eastAsia="Times New Roman" w:cs="Times New Roman"/>
          <w:rtl/>
          <w:lang w:eastAsia="de-DE"/>
        </w:rPr>
        <w:t xml:space="preserve"> </w:t>
      </w:r>
      <w:r w:rsidRPr="00CC6F7E">
        <w:rPr>
          <w:rFonts w:eastAsia="Times New Roman" w:cs="Times New Roman"/>
          <w:lang w:eastAsia="de-DE"/>
        </w:rPr>
        <w:t xml:space="preserve">(von 60 Jahren und darüber) - </w:t>
      </w:r>
      <w:r w:rsidRPr="00CC6F7E">
        <w:rPr>
          <w:rFonts w:eastAsia="Times New Roman" w:cs="Times New Roman"/>
          <w:b/>
          <w:bCs/>
          <w:rtl/>
          <w:lang w:eastAsia="de-DE"/>
        </w:rPr>
        <w:t>ומעלה</w:t>
      </w:r>
      <w:r w:rsidRPr="00CC6F7E">
        <w:rPr>
          <w:rFonts w:eastAsia="Times New Roman" w:cs="Times New Roman"/>
          <w:rtl/>
          <w:lang w:eastAsia="de-DE"/>
        </w:rPr>
        <w:t xml:space="preserve"> </w:t>
      </w:r>
      <w:r w:rsidRPr="00CC6F7E">
        <w:rPr>
          <w:rFonts w:eastAsia="Times New Roman" w:cs="Times New Roman"/>
          <w:lang w:eastAsia="de-DE"/>
        </w:rPr>
        <w:t>(und darüber) zeigt offene Obergrenze für Senioren. Diese Altersklasse gilt als weniger arbeitsproduktiv.</w:t>
      </w:r>
    </w:p>
    <w:p w14:paraId="5F2140A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אם־זכר והיה ערכך חמשה עשר שקל</w:t>
      </w:r>
      <w:r w:rsidRPr="00CC6F7E">
        <w:rPr>
          <w:rFonts w:eastAsia="Times New Roman" w:cs="Times New Roman"/>
          <w:rtl/>
          <w:lang w:eastAsia="de-DE"/>
        </w:rPr>
        <w:t xml:space="preserve"> </w:t>
      </w:r>
      <w:r w:rsidRPr="00CC6F7E">
        <w:rPr>
          <w:rFonts w:eastAsia="Times New Roman" w:cs="Times New Roman"/>
          <w:lang w:eastAsia="de-DE"/>
        </w:rPr>
        <w:t xml:space="preserve">(so sei deine Schätzung für einen Mann 15 Schekel) - </w:t>
      </w:r>
      <w:r w:rsidRPr="00CC6F7E">
        <w:rPr>
          <w:rFonts w:eastAsia="Times New Roman" w:cs="Times New Roman"/>
          <w:b/>
          <w:bCs/>
          <w:rtl/>
          <w:lang w:eastAsia="de-DE"/>
        </w:rPr>
        <w:t>חמשה עשר שקל</w:t>
      </w:r>
      <w:r w:rsidRPr="00CC6F7E">
        <w:rPr>
          <w:rFonts w:eastAsia="Times New Roman" w:cs="Times New Roman"/>
          <w:rtl/>
          <w:lang w:eastAsia="de-DE"/>
        </w:rPr>
        <w:t xml:space="preserve"> </w:t>
      </w:r>
      <w:r w:rsidRPr="00CC6F7E">
        <w:rPr>
          <w:rFonts w:eastAsia="Times New Roman" w:cs="Times New Roman"/>
          <w:lang w:eastAsia="de-DE"/>
        </w:rPr>
        <w:t xml:space="preserve">(15 Schekel) ist 30% des Vollwertes (50 Schekel). </w:t>
      </w:r>
      <w:r w:rsidRPr="00CC6F7E">
        <w:rPr>
          <w:rFonts w:eastAsia="Times New Roman" w:cs="Times New Roman"/>
          <w:b/>
          <w:bCs/>
          <w:rtl/>
          <w:lang w:eastAsia="de-DE"/>
        </w:rPr>
        <w:t>ולנקבה עשרה שקלים</w:t>
      </w:r>
      <w:r w:rsidRPr="00CC6F7E">
        <w:rPr>
          <w:rFonts w:eastAsia="Times New Roman" w:cs="Times New Roman"/>
          <w:rtl/>
          <w:lang w:eastAsia="de-DE"/>
        </w:rPr>
        <w:t xml:space="preserve"> </w:t>
      </w:r>
      <w:r w:rsidRPr="00CC6F7E">
        <w:rPr>
          <w:rFonts w:eastAsia="Times New Roman" w:cs="Times New Roman"/>
          <w:lang w:eastAsia="de-DE"/>
        </w:rPr>
        <w:t xml:space="preserve">(und für eine Frau zehn Schekel) - </w:t>
      </w:r>
      <w:r w:rsidRPr="00CC6F7E">
        <w:rPr>
          <w:rFonts w:eastAsia="Times New Roman" w:cs="Times New Roman"/>
          <w:b/>
          <w:bCs/>
          <w:rtl/>
          <w:lang w:eastAsia="de-DE"/>
        </w:rPr>
        <w:t>עשרה שקלים</w:t>
      </w:r>
      <w:r w:rsidRPr="00CC6F7E">
        <w:rPr>
          <w:rFonts w:eastAsia="Times New Roman" w:cs="Times New Roman"/>
          <w:rtl/>
          <w:lang w:eastAsia="de-DE"/>
        </w:rPr>
        <w:t xml:space="preserve"> </w:t>
      </w:r>
      <w:r w:rsidRPr="00CC6F7E">
        <w:rPr>
          <w:rFonts w:eastAsia="Times New Roman" w:cs="Times New Roman"/>
          <w:lang w:eastAsia="de-DE"/>
        </w:rPr>
        <w:t>(10 Schekel) ist 33% des weiblichen Vollwertes (30 Schekel).</w:t>
      </w:r>
    </w:p>
    <w:p w14:paraId="19BA7BE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Das Verhältnis 15:10 (3:2) unterscheidet sich vom üblichen 2:1 Verhältnis und zeigt möglicherweise geringere Geschlechtsunterschiede im Alter.</w:t>
      </w:r>
    </w:p>
    <w:p w14:paraId="2230CF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מבן־שישים שנה ומעלה</w:t>
      </w:r>
      <w:r w:rsidRPr="00CC6F7E">
        <w:rPr>
          <w:rFonts w:eastAsia="Times New Roman" w:cs="Times New Roman"/>
          <w:rtl/>
          <w:lang w:eastAsia="de-DE"/>
        </w:rPr>
        <w:t xml:space="preserve"> </w:t>
      </w:r>
      <w:r w:rsidRPr="00CC6F7E">
        <w:rPr>
          <w:rFonts w:eastAsia="Times New Roman" w:cs="Times New Roman"/>
          <w:lang w:eastAsia="de-DE"/>
        </w:rPr>
        <w:t xml:space="preserve">zeigt Senioren-Altersklasse. </w:t>
      </w:r>
      <w:r w:rsidRPr="00CC6F7E">
        <w:rPr>
          <w:rFonts w:eastAsia="Times New Roman" w:cs="Times New Roman"/>
          <w:b/>
          <w:bCs/>
          <w:rtl/>
          <w:lang w:eastAsia="de-DE"/>
        </w:rPr>
        <w:t>חמשה עשר...עשרה</w:t>
      </w:r>
      <w:r w:rsidRPr="00CC6F7E">
        <w:rPr>
          <w:rFonts w:eastAsia="Times New Roman" w:cs="Times New Roman"/>
          <w:rtl/>
          <w:lang w:eastAsia="de-DE"/>
        </w:rPr>
        <w:t xml:space="preserve"> </w:t>
      </w:r>
      <w:r w:rsidRPr="00CC6F7E">
        <w:rPr>
          <w:rFonts w:eastAsia="Times New Roman" w:cs="Times New Roman"/>
          <w:lang w:eastAsia="de-DE"/>
        </w:rPr>
        <w:t>zeigt etwa 30-33% der jeweiligen Vollwerte. Das 3:2 Verhältnis weicht vom üblichen 2:1 ab.</w:t>
      </w:r>
    </w:p>
    <w:p w14:paraId="4586AF8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מבן־שישים</w:t>
      </w:r>
      <w:r w:rsidRPr="00CC6F7E">
        <w:rPr>
          <w:rFonts w:eastAsia="Times New Roman" w:cs="Times New Roman"/>
          <w:rtl/>
          <w:lang w:eastAsia="de-DE"/>
        </w:rPr>
        <w:t xml:space="preserve"> </w:t>
      </w:r>
      <w:r w:rsidRPr="00CC6F7E">
        <w:rPr>
          <w:rFonts w:eastAsia="Times New Roman" w:cs="Times New Roman"/>
          <w:lang w:eastAsia="de-DE"/>
        </w:rPr>
        <w:t xml:space="preserve">mit ἀπὸ </w:t>
      </w:r>
      <w:proofErr w:type="spellStart"/>
      <w:r w:rsidRPr="00CC6F7E">
        <w:rPr>
          <w:rFonts w:eastAsia="Times New Roman" w:cs="Times New Roman"/>
          <w:lang w:eastAsia="de-DE"/>
        </w:rPr>
        <w:t>ἑξηκοντ</w:t>
      </w:r>
      <w:proofErr w:type="spellEnd"/>
      <w:r w:rsidRPr="00CC6F7E">
        <w:rPr>
          <w:rFonts w:eastAsia="Times New Roman" w:cs="Times New Roman"/>
          <w:lang w:eastAsia="de-DE"/>
        </w:rPr>
        <w:t xml:space="preserve">αετοῦς (von sechzigjährig), </w:t>
      </w:r>
      <w:r w:rsidRPr="00CC6F7E">
        <w:rPr>
          <w:rFonts w:eastAsia="Times New Roman" w:cs="Times New Roman"/>
          <w:b/>
          <w:bCs/>
          <w:rtl/>
          <w:lang w:eastAsia="de-DE"/>
        </w:rPr>
        <w:t>ומעלה</w:t>
      </w:r>
      <w:r w:rsidRPr="00CC6F7E">
        <w:rPr>
          <w:rFonts w:eastAsia="Times New Roman" w:cs="Times New Roman"/>
          <w:rtl/>
          <w:lang w:eastAsia="de-DE"/>
        </w:rPr>
        <w:t xml:space="preserve"> </w:t>
      </w:r>
      <w:r w:rsidRPr="00CC6F7E">
        <w:rPr>
          <w:rFonts w:eastAsia="Times New Roman" w:cs="Times New Roman"/>
          <w:lang w:eastAsia="de-DE"/>
        </w:rPr>
        <w:t>mit καὶ ἐπ</w:t>
      </w:r>
      <w:proofErr w:type="spellStart"/>
      <w:r w:rsidRPr="00CC6F7E">
        <w:rPr>
          <w:rFonts w:eastAsia="Times New Roman" w:cs="Times New Roman"/>
          <w:lang w:eastAsia="de-DE"/>
        </w:rPr>
        <w:t>άνω</w:t>
      </w:r>
      <w:proofErr w:type="spellEnd"/>
      <w:r w:rsidRPr="00CC6F7E">
        <w:rPr>
          <w:rFonts w:eastAsia="Times New Roman" w:cs="Times New Roman"/>
          <w:lang w:eastAsia="de-DE"/>
        </w:rPr>
        <w:t xml:space="preserve"> (und darüber), </w:t>
      </w:r>
      <w:r w:rsidRPr="00CC6F7E">
        <w:rPr>
          <w:rFonts w:eastAsia="Times New Roman" w:cs="Times New Roman"/>
          <w:b/>
          <w:bCs/>
          <w:rtl/>
          <w:lang w:eastAsia="de-DE"/>
        </w:rPr>
        <w:t>חמשה עשר שקל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δεκ</w:t>
      </w:r>
      <w:proofErr w:type="spellEnd"/>
      <w:r w:rsidRPr="00CC6F7E">
        <w:rPr>
          <w:rFonts w:eastAsia="Times New Roman" w:cs="Times New Roman"/>
          <w:lang w:eastAsia="de-DE"/>
        </w:rPr>
        <w:t xml:space="preserve">απέντε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(15 Siklos) und </w:t>
      </w:r>
      <w:r w:rsidRPr="00CC6F7E">
        <w:rPr>
          <w:rFonts w:eastAsia="Times New Roman" w:cs="Times New Roman"/>
          <w:b/>
          <w:bCs/>
          <w:rtl/>
          <w:lang w:eastAsia="de-DE"/>
        </w:rPr>
        <w:t>עשרה שקלים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δέκ</w:t>
      </w:r>
      <w:proofErr w:type="spellEnd"/>
      <w:r w:rsidRPr="00CC6F7E">
        <w:rPr>
          <w:rFonts w:eastAsia="Times New Roman" w:cs="Times New Roman"/>
          <w:lang w:eastAsia="de-DE"/>
        </w:rPr>
        <w:t xml:space="preserve">α </w:t>
      </w:r>
      <w:proofErr w:type="spellStart"/>
      <w:r w:rsidRPr="00CC6F7E">
        <w:rPr>
          <w:rFonts w:eastAsia="Times New Roman" w:cs="Times New Roman"/>
          <w:lang w:eastAsia="de-DE"/>
        </w:rPr>
        <w:t>σίκλους</w:t>
      </w:r>
      <w:proofErr w:type="spellEnd"/>
      <w:r w:rsidRPr="00CC6F7E">
        <w:rPr>
          <w:rFonts w:eastAsia="Times New Roman" w:cs="Times New Roman"/>
          <w:lang w:eastAsia="de-DE"/>
        </w:rPr>
        <w:t xml:space="preserve"> (10 Siklos).</w:t>
      </w:r>
    </w:p>
    <w:p w14:paraId="5B09A58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Senioren-Schätzungs-Kategorie: 60 Jahre und darüber + Mann 15 Schekel + Frau 10 Schekel.</w:t>
      </w:r>
    </w:p>
    <w:p w14:paraId="1C1F850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Seniorenschätzungen mit reduzierten Werten: Männer 15 Schekel (30% des Vollwertes), Frauen 10 Schekel (33% des Vollwertes).</w:t>
      </w:r>
    </w:p>
    <w:p w14:paraId="003E5F3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27,8</w:t>
      </w:r>
    </w:p>
    <w:p w14:paraId="73D7916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וְאִם־מָ֥ךְ הוּא֙ מֵֽעֶרְכֶּ֔ךָ וְהֶֽעֱמִידוֹ֙ לִפְנֵ֣י הַכֹּהֵ֔ן וְהֶעֱרִ֥יךְ אֹתוֹ֖ הַכֹּהֵ֑ן עַל־פִּ֗י אֲשֶׁ֤ר תַּשִּׂיג֙ יַ֣ד הַנֹּדֵ֔ר יַעֲרִיכֶ֖נּוּ הַכֹּהֵֽן׃</w:t>
      </w:r>
    </w:p>
    <w:p w14:paraId="2FF10C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er aber zu arm ist für deine Schätzung, so soll er vor den Priester treten, und der Priester soll ihn schätzen; nach dem, was die Hand des Gelobenden aufbringen kann, soll der Priester ihn schätzen.</w:t>
      </w:r>
    </w:p>
    <w:p w14:paraId="4D7015E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923D19C">
          <v:rect id="_x0000_i1857" style="width:0;height:1.5pt" o:hralign="center" o:hrstd="t" o:hr="t" fillcolor="#a0a0a0" stroked="f"/>
        </w:pict>
      </w:r>
    </w:p>
    <w:p w14:paraId="6005BF5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ואם־מך הוא מערכך והעמידו לפני הכהן והעריך אתו הכהן על־פי אשר תשיג יד הנדר יעריכנו הכהן</w:t>
      </w:r>
      <w:r w:rsidRPr="00CC6F7E">
        <w:rPr>
          <w:rFonts w:eastAsia="Times New Roman" w:cs="Times New Roman"/>
          <w:rtl/>
          <w:lang w:eastAsia="de-DE"/>
        </w:rPr>
        <w:t xml:space="preserve"> </w:t>
      </w:r>
      <w:r w:rsidRPr="00CC6F7E">
        <w:rPr>
          <w:rFonts w:eastAsia="Times New Roman" w:cs="Times New Roman"/>
          <w:lang w:eastAsia="de-DE"/>
        </w:rPr>
        <w:t xml:space="preserve">zeigt die Armuts-Sonderregelung. </w:t>
      </w:r>
      <w:r w:rsidRPr="00CC6F7E">
        <w:rPr>
          <w:rFonts w:eastAsia="Times New Roman" w:cs="Times New Roman"/>
          <w:b/>
          <w:bCs/>
          <w:rtl/>
          <w:lang w:eastAsia="de-DE"/>
        </w:rPr>
        <w:t>ואם־מך הוא מערכך</w:t>
      </w:r>
      <w:r w:rsidRPr="00CC6F7E">
        <w:rPr>
          <w:rFonts w:eastAsia="Times New Roman" w:cs="Times New Roman"/>
          <w:rtl/>
          <w:lang w:eastAsia="de-DE"/>
        </w:rPr>
        <w:t xml:space="preserve"> </w:t>
      </w:r>
      <w:r w:rsidRPr="00CC6F7E">
        <w:rPr>
          <w:rFonts w:eastAsia="Times New Roman" w:cs="Times New Roman"/>
          <w:lang w:eastAsia="de-DE"/>
        </w:rPr>
        <w:t xml:space="preserve">(wenn er aber zu arm ist für deine Schätzung) - </w:t>
      </w:r>
      <w:r w:rsidRPr="00CC6F7E">
        <w:rPr>
          <w:rFonts w:eastAsia="Times New Roman" w:cs="Times New Roman"/>
          <w:b/>
          <w:bCs/>
          <w:rtl/>
          <w:lang w:eastAsia="de-DE"/>
        </w:rPr>
        <w:t>מך</w:t>
      </w:r>
      <w:r w:rsidRPr="00CC6F7E">
        <w:rPr>
          <w:rFonts w:eastAsia="Times New Roman" w:cs="Times New Roman"/>
          <w:rtl/>
          <w:lang w:eastAsia="de-DE"/>
        </w:rPr>
        <w:t xml:space="preserve"> </w:t>
      </w:r>
      <w:r w:rsidRPr="00CC6F7E">
        <w:rPr>
          <w:rFonts w:eastAsia="Times New Roman" w:cs="Times New Roman"/>
          <w:lang w:eastAsia="de-DE"/>
        </w:rPr>
        <w:t xml:space="preserve">(arm) von </w:t>
      </w:r>
      <w:r w:rsidRPr="00CC6F7E">
        <w:rPr>
          <w:rFonts w:eastAsia="Times New Roman" w:cs="Times New Roman"/>
          <w:b/>
          <w:bCs/>
          <w:rtl/>
          <w:lang w:eastAsia="de-DE"/>
        </w:rPr>
        <w:t>מוך</w:t>
      </w:r>
      <w:r w:rsidRPr="00CC6F7E">
        <w:rPr>
          <w:rFonts w:eastAsia="Times New Roman" w:cs="Times New Roman"/>
          <w:rtl/>
          <w:lang w:eastAsia="de-DE"/>
        </w:rPr>
        <w:t xml:space="preserve"> </w:t>
      </w:r>
      <w:r w:rsidRPr="00CC6F7E">
        <w:rPr>
          <w:rFonts w:eastAsia="Times New Roman" w:cs="Times New Roman"/>
          <w:lang w:eastAsia="de-DE"/>
        </w:rPr>
        <w:t xml:space="preserve">zeigt Armut entsprechend 25,25,35,39. </w:t>
      </w:r>
      <w:r w:rsidRPr="00CC6F7E">
        <w:rPr>
          <w:rFonts w:eastAsia="Times New Roman" w:cs="Times New Roman"/>
          <w:b/>
          <w:bCs/>
          <w:rtl/>
          <w:lang w:eastAsia="de-DE"/>
        </w:rPr>
        <w:t>מערכך</w:t>
      </w:r>
      <w:r w:rsidRPr="00CC6F7E">
        <w:rPr>
          <w:rFonts w:eastAsia="Times New Roman" w:cs="Times New Roman"/>
          <w:rtl/>
          <w:lang w:eastAsia="de-DE"/>
        </w:rPr>
        <w:t xml:space="preserve"> </w:t>
      </w:r>
      <w:r w:rsidRPr="00CC6F7E">
        <w:rPr>
          <w:rFonts w:eastAsia="Times New Roman" w:cs="Times New Roman"/>
          <w:lang w:eastAsia="de-DE"/>
        </w:rPr>
        <w:t>(von deiner Schätzung) zeigt Unfähigkeit zur Standard-Zahlung.</w:t>
      </w:r>
    </w:p>
    <w:p w14:paraId="57899CA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והעמידו לפני הכהן</w:t>
      </w:r>
      <w:r w:rsidRPr="00CC6F7E">
        <w:rPr>
          <w:rFonts w:eastAsia="Times New Roman" w:cs="Times New Roman"/>
          <w:rtl/>
          <w:lang w:eastAsia="de-DE"/>
        </w:rPr>
        <w:t xml:space="preserve"> </w:t>
      </w:r>
      <w:r w:rsidRPr="00CC6F7E">
        <w:rPr>
          <w:rFonts w:eastAsia="Times New Roman" w:cs="Times New Roman"/>
          <w:lang w:eastAsia="de-DE"/>
        </w:rPr>
        <w:t xml:space="preserve">(so soll er vor den Priester treten) zeigt priesterliche Begutachtung. </w:t>
      </w:r>
      <w:r w:rsidRPr="00CC6F7E">
        <w:rPr>
          <w:rFonts w:eastAsia="Times New Roman" w:cs="Times New Roman"/>
          <w:b/>
          <w:bCs/>
          <w:rtl/>
          <w:lang w:eastAsia="de-DE"/>
        </w:rPr>
        <w:t>והעריך אתו הכהן</w:t>
      </w:r>
      <w:r w:rsidRPr="00CC6F7E">
        <w:rPr>
          <w:rFonts w:eastAsia="Times New Roman" w:cs="Times New Roman"/>
          <w:rtl/>
          <w:lang w:eastAsia="de-DE"/>
        </w:rPr>
        <w:t xml:space="preserve"> </w:t>
      </w:r>
      <w:r w:rsidRPr="00CC6F7E">
        <w:rPr>
          <w:rFonts w:eastAsia="Times New Roman" w:cs="Times New Roman"/>
          <w:lang w:eastAsia="de-DE"/>
        </w:rPr>
        <w:t>(und der Priester soll ihn schätzen) zeigt individuelle Neubewertung durch den Priester.</w:t>
      </w:r>
    </w:p>
    <w:p w14:paraId="554BBA2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על־פי אשר תשיג יד הנדר יעריכנו הכהן</w:t>
      </w:r>
      <w:r w:rsidRPr="00CC6F7E">
        <w:rPr>
          <w:rFonts w:eastAsia="Times New Roman" w:cs="Times New Roman"/>
          <w:rtl/>
          <w:lang w:eastAsia="de-DE"/>
        </w:rPr>
        <w:t xml:space="preserve"> </w:t>
      </w:r>
      <w:r w:rsidRPr="00CC6F7E">
        <w:rPr>
          <w:rFonts w:eastAsia="Times New Roman" w:cs="Times New Roman"/>
          <w:lang w:eastAsia="de-DE"/>
        </w:rPr>
        <w:t xml:space="preserve">(nach dem, was die Hand des Gelobenden aufbringen kann, soll der Priester ihn schätzen) - </w:t>
      </w:r>
      <w:r w:rsidRPr="00CC6F7E">
        <w:rPr>
          <w:rFonts w:eastAsia="Times New Roman" w:cs="Times New Roman"/>
          <w:b/>
          <w:bCs/>
          <w:rtl/>
          <w:lang w:eastAsia="de-DE"/>
        </w:rPr>
        <w:t>על־פי אשר תשיג יד</w:t>
      </w:r>
      <w:r w:rsidRPr="00CC6F7E">
        <w:rPr>
          <w:rFonts w:eastAsia="Times New Roman" w:cs="Times New Roman"/>
          <w:rtl/>
          <w:lang w:eastAsia="de-DE"/>
        </w:rPr>
        <w:t xml:space="preserve"> </w:t>
      </w:r>
      <w:r w:rsidRPr="00CC6F7E">
        <w:rPr>
          <w:rFonts w:eastAsia="Times New Roman" w:cs="Times New Roman"/>
          <w:lang w:eastAsia="de-DE"/>
        </w:rPr>
        <w:t xml:space="preserve">entspricht 25,26 und zeigt wirtschaftliche Leistungsfähigkeit. </w:t>
      </w:r>
      <w:r w:rsidRPr="00CC6F7E">
        <w:rPr>
          <w:rFonts w:eastAsia="Times New Roman" w:cs="Times New Roman"/>
          <w:b/>
          <w:bCs/>
          <w:rtl/>
          <w:lang w:eastAsia="de-DE"/>
        </w:rPr>
        <w:t>הנדר</w:t>
      </w:r>
      <w:r w:rsidRPr="00CC6F7E">
        <w:rPr>
          <w:rFonts w:eastAsia="Times New Roman" w:cs="Times New Roman"/>
          <w:rtl/>
          <w:lang w:eastAsia="de-DE"/>
        </w:rPr>
        <w:t xml:space="preserve"> </w:t>
      </w:r>
      <w:r w:rsidRPr="00CC6F7E">
        <w:rPr>
          <w:rFonts w:eastAsia="Times New Roman" w:cs="Times New Roman"/>
          <w:lang w:eastAsia="de-DE"/>
        </w:rPr>
        <w:t xml:space="preserve">(der Gelobende) zeigt den Gelübde-Leistenden. </w:t>
      </w:r>
      <w:r w:rsidRPr="00CC6F7E">
        <w:rPr>
          <w:rFonts w:eastAsia="Times New Roman" w:cs="Times New Roman"/>
          <w:b/>
          <w:bCs/>
          <w:rtl/>
          <w:lang w:eastAsia="de-DE"/>
        </w:rPr>
        <w:t>יעריכנו הכהן</w:t>
      </w:r>
      <w:r w:rsidRPr="00CC6F7E">
        <w:rPr>
          <w:rFonts w:eastAsia="Times New Roman" w:cs="Times New Roman"/>
          <w:rtl/>
          <w:lang w:eastAsia="de-DE"/>
        </w:rPr>
        <w:t xml:space="preserve"> </w:t>
      </w:r>
      <w:r w:rsidRPr="00CC6F7E">
        <w:rPr>
          <w:rFonts w:eastAsia="Times New Roman" w:cs="Times New Roman"/>
          <w:lang w:eastAsia="de-DE"/>
        </w:rPr>
        <w:t>bekräftigt priesterliche Schätzungsautorität.</w:t>
      </w:r>
    </w:p>
    <w:p w14:paraId="5530BA2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מך...מערכך</w:t>
      </w:r>
      <w:r w:rsidRPr="00CC6F7E">
        <w:rPr>
          <w:rFonts w:eastAsia="Times New Roman" w:cs="Times New Roman"/>
          <w:rtl/>
          <w:lang w:eastAsia="de-DE"/>
        </w:rPr>
        <w:t xml:space="preserve"> </w:t>
      </w:r>
      <w:r w:rsidRPr="00CC6F7E">
        <w:rPr>
          <w:rFonts w:eastAsia="Times New Roman" w:cs="Times New Roman"/>
          <w:lang w:eastAsia="de-DE"/>
        </w:rPr>
        <w:t xml:space="preserve">zeigt Armutsproblem bei Standard-Schätzungen. </w:t>
      </w:r>
      <w:r w:rsidRPr="00CC6F7E">
        <w:rPr>
          <w:rFonts w:eastAsia="Times New Roman" w:cs="Times New Roman"/>
          <w:b/>
          <w:bCs/>
          <w:rtl/>
          <w:lang w:eastAsia="de-DE"/>
        </w:rPr>
        <w:t>לפני הכהן</w:t>
      </w:r>
      <w:r w:rsidRPr="00CC6F7E">
        <w:rPr>
          <w:rFonts w:eastAsia="Times New Roman" w:cs="Times New Roman"/>
          <w:rtl/>
          <w:lang w:eastAsia="de-DE"/>
        </w:rPr>
        <w:t xml:space="preserve"> </w:t>
      </w:r>
      <w:r w:rsidRPr="00CC6F7E">
        <w:rPr>
          <w:rFonts w:eastAsia="Times New Roman" w:cs="Times New Roman"/>
          <w:lang w:eastAsia="de-DE"/>
        </w:rPr>
        <w:t xml:space="preserve">zeigt priesterliche Zuständigkeit. </w:t>
      </w:r>
      <w:r w:rsidRPr="00CC6F7E">
        <w:rPr>
          <w:rFonts w:eastAsia="Times New Roman" w:cs="Times New Roman"/>
          <w:b/>
          <w:bCs/>
          <w:rtl/>
          <w:lang w:eastAsia="de-DE"/>
        </w:rPr>
        <w:t>תשיג יד הנדר</w:t>
      </w:r>
      <w:r w:rsidRPr="00CC6F7E">
        <w:rPr>
          <w:rFonts w:eastAsia="Times New Roman" w:cs="Times New Roman"/>
          <w:rtl/>
          <w:lang w:eastAsia="de-DE"/>
        </w:rPr>
        <w:t xml:space="preserve"> </w:t>
      </w:r>
      <w:r w:rsidRPr="00CC6F7E">
        <w:rPr>
          <w:rFonts w:eastAsia="Times New Roman" w:cs="Times New Roman"/>
          <w:lang w:eastAsia="de-DE"/>
        </w:rPr>
        <w:t>zeigt individuelle Leistungsfähigkeits-Bewertung.</w:t>
      </w:r>
    </w:p>
    <w:p w14:paraId="4961C05C" w14:textId="6007A36B"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מך הוא מערכך</w:t>
      </w:r>
      <w:r w:rsidR="00274C29">
        <w:t xml:space="preserve"> (mach hu </w:t>
      </w:r>
      <w:proofErr w:type="spellStart"/>
      <w:r w:rsidR="00274C29">
        <w:t>me'erkecha</w:t>
      </w:r>
      <w:proofErr w:type="spellEnd"/>
      <w:r w:rsidR="00274C29">
        <w:t xml:space="preserve"> - "er ist zu arm für deine Schätzung") als ταπ</w:t>
      </w:r>
      <w:proofErr w:type="spellStart"/>
      <w:r w:rsidR="00274C29">
        <w:t>εινὸς</w:t>
      </w:r>
      <w:proofErr w:type="spellEnd"/>
      <w:r w:rsidR="00274C29">
        <w:t xml:space="preserve"> ᾖ </w:t>
      </w:r>
      <w:proofErr w:type="spellStart"/>
      <w:r w:rsidR="00274C29">
        <w:t>τῇ</w:t>
      </w:r>
      <w:proofErr w:type="spellEnd"/>
      <w:r w:rsidR="00274C29">
        <w:t xml:space="preserve"> </w:t>
      </w:r>
      <w:proofErr w:type="spellStart"/>
      <w:r w:rsidR="00274C29">
        <w:t>τιμῇ</w:t>
      </w:r>
      <w:proofErr w:type="spellEnd"/>
      <w:r w:rsidR="00274C29">
        <w:t xml:space="preserve"> (er ist niedrig in der Bewertung) und </w:t>
      </w:r>
      <w:r w:rsidR="00274C29">
        <w:rPr>
          <w:rtl/>
        </w:rPr>
        <w:t>על־פי אשר תשיג יד הנדר</w:t>
      </w:r>
      <w:r w:rsidR="00274C29">
        <w:t xml:space="preserve"> (al-</w:t>
      </w:r>
      <w:proofErr w:type="spellStart"/>
      <w:r w:rsidR="00274C29">
        <w:t>pi</w:t>
      </w:r>
      <w:proofErr w:type="spellEnd"/>
      <w:r w:rsidR="00274C29">
        <w:t xml:space="preserve"> asher </w:t>
      </w:r>
      <w:proofErr w:type="spellStart"/>
      <w:r w:rsidR="00274C29">
        <w:t>tassig</w:t>
      </w:r>
      <w:proofErr w:type="spellEnd"/>
      <w:r w:rsidR="00274C29">
        <w:t xml:space="preserve"> yad </w:t>
      </w:r>
      <w:proofErr w:type="spellStart"/>
      <w:r w:rsidR="00274C29">
        <w:t>hannoder</w:t>
      </w:r>
      <w:proofErr w:type="spellEnd"/>
      <w:r w:rsidR="00274C29">
        <w:t xml:space="preserve"> - "entsprechend dem, was die Hand des Gelobenden erreicht") als κα</w:t>
      </w:r>
      <w:proofErr w:type="spellStart"/>
      <w:r w:rsidR="00274C29">
        <w:t>θά</w:t>
      </w:r>
      <w:proofErr w:type="spellEnd"/>
      <w:r w:rsidR="00274C29">
        <w:t xml:space="preserve">περ </w:t>
      </w:r>
      <w:proofErr w:type="spellStart"/>
      <w:r w:rsidR="00274C29">
        <w:t>ἰσχύει</w:t>
      </w:r>
      <w:proofErr w:type="spellEnd"/>
      <w:r w:rsidR="00274C29">
        <w:t xml:space="preserve"> ἡ </w:t>
      </w:r>
      <w:proofErr w:type="spellStart"/>
      <w:r w:rsidR="00274C29">
        <w:t>χεὶρ</w:t>
      </w:r>
      <w:proofErr w:type="spellEnd"/>
      <w:r w:rsidR="00274C29">
        <w:t xml:space="preserve"> </w:t>
      </w:r>
      <w:proofErr w:type="spellStart"/>
      <w:r w:rsidR="00274C29">
        <w:t>τοῦ</w:t>
      </w:r>
      <w:proofErr w:type="spellEnd"/>
      <w:r w:rsidR="00274C29">
        <w:t xml:space="preserve"> </w:t>
      </w:r>
      <w:proofErr w:type="spellStart"/>
      <w:r w:rsidR="00274C29">
        <w:t>εὐξ</w:t>
      </w:r>
      <w:proofErr w:type="spellEnd"/>
      <w:r w:rsidR="00274C29">
        <w:t>αμένου (entsprechend dem, was die Hand des Gelobenden vermag).</w:t>
      </w:r>
    </w:p>
    <w:p w14:paraId="461D55A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Armuts-Sonderregelung: zu arm für deine Schätzung + vor Priester treten + Priester schätzt ihn + nach Leistungsfähigkeit des Gelobenden + Priester schätzt ihn.</w:t>
      </w:r>
    </w:p>
    <w:p w14:paraId="6E6AAA8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soziale Gerechtigkeit: Bei Armut erfolgt individuelle priesterliche Neubewertung nach persönlicher Leistungsfähigkeit.</w:t>
      </w:r>
    </w:p>
    <w:p w14:paraId="0D1DAB6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27,9</w:t>
      </w:r>
    </w:p>
    <w:p w14:paraId="46447F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וְאִם־בְּהֵמָ֔ה אֲשֶׁ֨ר יַקְרִ֧יבוּ מִמֶּ֛נָּה קָרְבָּ֖ן לַֽיהוָ֑ה כֹּל֩ אֲשֶׁ֨ר יִתֵּ֥ן מִמֶּ֛נּוּ לַיהוָ֖ה יִֽהְיֶה־קֹּֽדֶשׁ׃</w:t>
      </w:r>
    </w:p>
    <w:p w14:paraId="4CCC10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ein Vieh ist, von dem man dem Ewigen Opfer darbringt, so soll alles, was man von ihm dem Ewigen gibt, heilig sein.</w:t>
      </w:r>
    </w:p>
    <w:p w14:paraId="4B92E6F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E2D3A78">
          <v:rect id="_x0000_i1858" style="width:0;height:1.5pt" o:hralign="center" o:hrstd="t" o:hr="t" fillcolor="#a0a0a0" stroked="f"/>
        </w:pict>
      </w:r>
    </w:p>
    <w:p w14:paraId="5DB2DDE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ואם־בהמה אשר יקריבו ממנה קרבן ליהוה כל אשר יתן ממנו ליהוה יהיה־קדש</w:t>
      </w:r>
      <w:r w:rsidRPr="00CC6F7E">
        <w:rPr>
          <w:rFonts w:eastAsia="Times New Roman" w:cs="Times New Roman"/>
          <w:rtl/>
          <w:lang w:eastAsia="de-DE"/>
        </w:rPr>
        <w:t xml:space="preserve"> </w:t>
      </w:r>
      <w:r w:rsidRPr="00CC6F7E">
        <w:rPr>
          <w:rFonts w:eastAsia="Times New Roman" w:cs="Times New Roman"/>
          <w:lang w:eastAsia="de-DE"/>
        </w:rPr>
        <w:t xml:space="preserve">führt Vieh-Gelübde ein. </w:t>
      </w:r>
      <w:r w:rsidRPr="00CC6F7E">
        <w:rPr>
          <w:rFonts w:eastAsia="Times New Roman" w:cs="Times New Roman"/>
          <w:b/>
          <w:bCs/>
          <w:rtl/>
          <w:lang w:eastAsia="de-DE"/>
        </w:rPr>
        <w:t>ואם־בהמה אשר יקריבו ממנה קרבן ליהוה</w:t>
      </w:r>
      <w:r w:rsidRPr="00CC6F7E">
        <w:rPr>
          <w:rFonts w:eastAsia="Times New Roman" w:cs="Times New Roman"/>
          <w:rtl/>
          <w:lang w:eastAsia="de-DE"/>
        </w:rPr>
        <w:t xml:space="preserve"> </w:t>
      </w:r>
      <w:r w:rsidRPr="00CC6F7E">
        <w:rPr>
          <w:rFonts w:eastAsia="Times New Roman" w:cs="Times New Roman"/>
          <w:lang w:eastAsia="de-DE"/>
        </w:rPr>
        <w:t xml:space="preserve">(und wenn es ein Vieh ist, von dem man dem Ewigen Opfer darbringt) - </w:t>
      </w:r>
      <w:r w:rsidRPr="00CC6F7E">
        <w:rPr>
          <w:rFonts w:eastAsia="Times New Roman" w:cs="Times New Roman"/>
          <w:b/>
          <w:bCs/>
          <w:rtl/>
          <w:lang w:eastAsia="de-DE"/>
        </w:rPr>
        <w:t>בהמה</w:t>
      </w:r>
      <w:r w:rsidRPr="00CC6F7E">
        <w:rPr>
          <w:rFonts w:eastAsia="Times New Roman" w:cs="Times New Roman"/>
          <w:rtl/>
          <w:lang w:eastAsia="de-DE"/>
        </w:rPr>
        <w:t xml:space="preserve"> </w:t>
      </w:r>
      <w:r w:rsidRPr="00CC6F7E">
        <w:rPr>
          <w:rFonts w:eastAsia="Times New Roman" w:cs="Times New Roman"/>
          <w:lang w:eastAsia="de-DE"/>
        </w:rPr>
        <w:t xml:space="preserve">(Vieh) zeigt opferfähige Tiere. </w:t>
      </w:r>
      <w:r w:rsidRPr="00CC6F7E">
        <w:rPr>
          <w:rFonts w:eastAsia="Times New Roman" w:cs="Times New Roman"/>
          <w:b/>
          <w:bCs/>
          <w:rtl/>
          <w:lang w:eastAsia="de-DE"/>
        </w:rPr>
        <w:t>אשר יקריבו ממנה קרבן</w:t>
      </w:r>
      <w:r w:rsidRPr="00CC6F7E">
        <w:rPr>
          <w:rFonts w:eastAsia="Times New Roman" w:cs="Times New Roman"/>
          <w:rtl/>
          <w:lang w:eastAsia="de-DE"/>
        </w:rPr>
        <w:t xml:space="preserve"> </w:t>
      </w:r>
      <w:r w:rsidRPr="00CC6F7E">
        <w:rPr>
          <w:rFonts w:eastAsia="Times New Roman" w:cs="Times New Roman"/>
          <w:lang w:eastAsia="de-DE"/>
        </w:rPr>
        <w:t xml:space="preserve">(von dem man Opfer darbringt) - </w:t>
      </w:r>
      <w:r w:rsidRPr="00CC6F7E">
        <w:rPr>
          <w:rFonts w:eastAsia="Times New Roman" w:cs="Times New Roman"/>
          <w:b/>
          <w:bCs/>
          <w:rtl/>
          <w:lang w:eastAsia="de-DE"/>
        </w:rPr>
        <w:t>ממנה</w:t>
      </w:r>
      <w:r w:rsidRPr="00CC6F7E">
        <w:rPr>
          <w:rFonts w:eastAsia="Times New Roman" w:cs="Times New Roman"/>
          <w:rtl/>
          <w:lang w:eastAsia="de-DE"/>
        </w:rPr>
        <w:t xml:space="preserve"> </w:t>
      </w:r>
      <w:r w:rsidRPr="00CC6F7E">
        <w:rPr>
          <w:rFonts w:eastAsia="Times New Roman" w:cs="Times New Roman"/>
          <w:lang w:eastAsia="de-DE"/>
        </w:rPr>
        <w:t xml:space="preserve">(von ihr) zeigt dass die Viehkategorie opferfähig ist. </w:t>
      </w:r>
      <w:r w:rsidRPr="00CC6F7E">
        <w:rPr>
          <w:rFonts w:eastAsia="Times New Roman" w:cs="Times New Roman"/>
          <w:b/>
          <w:bCs/>
          <w:rtl/>
          <w:lang w:eastAsia="de-DE"/>
        </w:rPr>
        <w:t>קרבן ליהוה</w:t>
      </w:r>
      <w:r w:rsidRPr="00CC6F7E">
        <w:rPr>
          <w:rFonts w:eastAsia="Times New Roman" w:cs="Times New Roman"/>
          <w:rtl/>
          <w:lang w:eastAsia="de-DE"/>
        </w:rPr>
        <w:t xml:space="preserve"> </w:t>
      </w:r>
      <w:r w:rsidRPr="00CC6F7E">
        <w:rPr>
          <w:rFonts w:eastAsia="Times New Roman" w:cs="Times New Roman"/>
          <w:lang w:eastAsia="de-DE"/>
        </w:rPr>
        <w:t>zeigt kultische Verwendung.</w:t>
      </w:r>
    </w:p>
    <w:p w14:paraId="31F6E64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 אשר יתן ממנו ליהוה יהיה־קדש</w:t>
      </w:r>
      <w:r w:rsidRPr="00CC6F7E">
        <w:rPr>
          <w:rFonts w:eastAsia="Times New Roman" w:cs="Times New Roman"/>
          <w:rtl/>
          <w:lang w:eastAsia="de-DE"/>
        </w:rPr>
        <w:t xml:space="preserve"> </w:t>
      </w:r>
      <w:r w:rsidRPr="00CC6F7E">
        <w:rPr>
          <w:rFonts w:eastAsia="Times New Roman" w:cs="Times New Roman"/>
          <w:lang w:eastAsia="de-DE"/>
        </w:rPr>
        <w:t xml:space="preserve">(so soll alles, was man von ihm dem Ewigen gibt, heilig sein) - </w:t>
      </w:r>
      <w:r w:rsidRPr="00CC6F7E">
        <w:rPr>
          <w:rFonts w:eastAsia="Times New Roman" w:cs="Times New Roman"/>
          <w:b/>
          <w:bCs/>
          <w:rtl/>
          <w:lang w:eastAsia="de-DE"/>
        </w:rPr>
        <w:t>כל אשר יתן</w:t>
      </w:r>
      <w:r w:rsidRPr="00CC6F7E">
        <w:rPr>
          <w:rFonts w:eastAsia="Times New Roman" w:cs="Times New Roman"/>
          <w:rtl/>
          <w:lang w:eastAsia="de-DE"/>
        </w:rPr>
        <w:t xml:space="preserve"> </w:t>
      </w:r>
      <w:r w:rsidRPr="00CC6F7E">
        <w:rPr>
          <w:rFonts w:eastAsia="Times New Roman" w:cs="Times New Roman"/>
          <w:lang w:eastAsia="de-DE"/>
        </w:rPr>
        <w:t xml:space="preserve">(alles was man gibt) zeigt Totalweihe. </w:t>
      </w:r>
      <w:r w:rsidRPr="00CC6F7E">
        <w:rPr>
          <w:rFonts w:eastAsia="Times New Roman" w:cs="Times New Roman"/>
          <w:b/>
          <w:bCs/>
          <w:rtl/>
          <w:lang w:eastAsia="de-DE"/>
        </w:rPr>
        <w:t>ממנו ליהוה</w:t>
      </w:r>
      <w:r w:rsidRPr="00CC6F7E">
        <w:rPr>
          <w:rFonts w:eastAsia="Times New Roman" w:cs="Times New Roman"/>
          <w:rtl/>
          <w:lang w:eastAsia="de-DE"/>
        </w:rPr>
        <w:t xml:space="preserve"> </w:t>
      </w:r>
      <w:r w:rsidRPr="00CC6F7E">
        <w:rPr>
          <w:rFonts w:eastAsia="Times New Roman" w:cs="Times New Roman"/>
          <w:lang w:eastAsia="de-DE"/>
        </w:rPr>
        <w:t xml:space="preserve">(von ihm für JHWH) zeigt die Weihrichtung. </w:t>
      </w:r>
      <w:r w:rsidRPr="00CC6F7E">
        <w:rPr>
          <w:rFonts w:eastAsia="Times New Roman" w:cs="Times New Roman"/>
          <w:b/>
          <w:bCs/>
          <w:rtl/>
          <w:lang w:eastAsia="de-DE"/>
        </w:rPr>
        <w:t>יהיה־קדש</w:t>
      </w:r>
      <w:r w:rsidRPr="00CC6F7E">
        <w:rPr>
          <w:rFonts w:eastAsia="Times New Roman" w:cs="Times New Roman"/>
          <w:rtl/>
          <w:lang w:eastAsia="de-DE"/>
        </w:rPr>
        <w:t xml:space="preserve"> </w:t>
      </w:r>
      <w:r w:rsidRPr="00CC6F7E">
        <w:rPr>
          <w:rFonts w:eastAsia="Times New Roman" w:cs="Times New Roman"/>
          <w:lang w:eastAsia="de-DE"/>
        </w:rPr>
        <w:t>(soll heilig sein) zeigt automatische Heiligkeit.</w:t>
      </w:r>
    </w:p>
    <w:p w14:paraId="67EC9D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בהמה אשר יקריבו ממנה קרבן</w:t>
      </w:r>
      <w:r w:rsidRPr="00CC6F7E">
        <w:rPr>
          <w:rFonts w:eastAsia="Times New Roman" w:cs="Times New Roman"/>
          <w:rtl/>
          <w:lang w:eastAsia="de-DE"/>
        </w:rPr>
        <w:t xml:space="preserve"> </w:t>
      </w:r>
      <w:r w:rsidRPr="00CC6F7E">
        <w:rPr>
          <w:rFonts w:eastAsia="Times New Roman" w:cs="Times New Roman"/>
          <w:lang w:eastAsia="de-DE"/>
        </w:rPr>
        <w:t xml:space="preserve">zeigt opferfähige Viehkategorie. </w:t>
      </w:r>
      <w:r w:rsidRPr="00CC6F7E">
        <w:rPr>
          <w:rFonts w:eastAsia="Times New Roman" w:cs="Times New Roman"/>
          <w:b/>
          <w:bCs/>
          <w:rtl/>
          <w:lang w:eastAsia="de-DE"/>
        </w:rPr>
        <w:t>כל אשר יתן...יהיה־קדש</w:t>
      </w:r>
      <w:r w:rsidRPr="00CC6F7E">
        <w:rPr>
          <w:rFonts w:eastAsia="Times New Roman" w:cs="Times New Roman"/>
          <w:rtl/>
          <w:lang w:eastAsia="de-DE"/>
        </w:rPr>
        <w:t xml:space="preserve"> </w:t>
      </w:r>
      <w:r w:rsidRPr="00CC6F7E">
        <w:rPr>
          <w:rFonts w:eastAsia="Times New Roman" w:cs="Times New Roman"/>
          <w:lang w:eastAsia="de-DE"/>
        </w:rPr>
        <w:t>zeigt Totalweihe ohne Rückkaufoption bei opferfähigem Vieh.</w:t>
      </w:r>
    </w:p>
    <w:p w14:paraId="7B59F6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בהמה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κτῆνος</w:t>
      </w:r>
      <w:proofErr w:type="spellEnd"/>
      <w:r w:rsidRPr="00CC6F7E">
        <w:rPr>
          <w:rFonts w:eastAsia="Times New Roman" w:cs="Times New Roman"/>
          <w:lang w:eastAsia="de-DE"/>
        </w:rPr>
        <w:t xml:space="preserve"> (Besitztum), </w:t>
      </w:r>
      <w:r w:rsidRPr="00CC6F7E">
        <w:rPr>
          <w:rFonts w:eastAsia="Times New Roman" w:cs="Times New Roman"/>
          <w:b/>
          <w:bCs/>
          <w:rtl/>
          <w:lang w:eastAsia="de-DE"/>
        </w:rPr>
        <w:t>יקריבו ממנה קרבן</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ροσάγουσιν</w:t>
      </w:r>
      <w:proofErr w:type="spellEnd"/>
      <w:r w:rsidRPr="00CC6F7E">
        <w:rPr>
          <w:rFonts w:eastAsia="Times New Roman" w:cs="Times New Roman"/>
          <w:lang w:eastAsia="de-DE"/>
        </w:rPr>
        <w:t xml:space="preserve"> ἀπ᾽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δῶρ</w:t>
      </w:r>
      <w:proofErr w:type="spellEnd"/>
      <w:r w:rsidRPr="00CC6F7E">
        <w:rPr>
          <w:rFonts w:eastAsia="Times New Roman" w:cs="Times New Roman"/>
          <w:lang w:eastAsia="de-DE"/>
        </w:rPr>
        <w:t xml:space="preserve">α (bringen dar von ihnen Gaben), </w:t>
      </w:r>
      <w:r w:rsidRPr="00CC6F7E">
        <w:rPr>
          <w:rFonts w:eastAsia="Times New Roman" w:cs="Times New Roman"/>
          <w:b/>
          <w:bCs/>
          <w:rtl/>
          <w:lang w:eastAsia="de-DE"/>
        </w:rPr>
        <w:t>יתן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δῷ</w:t>
      </w:r>
      <w:proofErr w:type="spellEnd"/>
      <w:r w:rsidRPr="00CC6F7E">
        <w:rPr>
          <w:rFonts w:eastAsia="Times New Roman" w:cs="Times New Roman"/>
          <w:lang w:eastAsia="de-DE"/>
        </w:rPr>
        <w:t xml:space="preserve"> (gibt) und </w:t>
      </w:r>
      <w:r w:rsidRPr="00CC6F7E">
        <w:rPr>
          <w:rFonts w:eastAsia="Times New Roman" w:cs="Times New Roman"/>
          <w:b/>
          <w:bCs/>
          <w:rtl/>
          <w:lang w:eastAsia="de-DE"/>
        </w:rPr>
        <w:t>יהיה־קדש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ἔστ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ἅγιον</w:t>
      </w:r>
      <w:proofErr w:type="spellEnd"/>
      <w:r w:rsidRPr="00CC6F7E">
        <w:rPr>
          <w:rFonts w:eastAsia="Times New Roman" w:cs="Times New Roman"/>
          <w:lang w:eastAsia="de-DE"/>
        </w:rPr>
        <w:t xml:space="preserve"> (wird heilig sein).</w:t>
      </w:r>
    </w:p>
    <w:p w14:paraId="454000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opferfähiges Vieh-Gelübde: wenn opferfähiges Vieh + alles was man davon JHWH gibt + wird heilig sein.</w:t>
      </w:r>
    </w:p>
    <w:p w14:paraId="43518B1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Opferfähige Tiere werden bei Gelübde-Weihe automatisch und unwiderruflich heilig.</w:t>
      </w:r>
    </w:p>
    <w:p w14:paraId="2A51C56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27,10</w:t>
      </w:r>
    </w:p>
    <w:p w14:paraId="1E0FB8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לֹ֣א יַחֲלִיפֶ֗נּוּ וְלֹֽא־יָמִ֥יר אֹתוֹ֛ ט֥וֹב בְּרָ֖ע אוֹ־רַ֣ע בְּט֑וֹב וְאִם־הָמֵ֨ר יָמִ֤יר בְּהֵמָה֙ בִּבְהֵמָ֔ה וְהָֽיָה־ה֥וּא וּתְמוּרָתוֹ֖ יִֽהְיֶה־קֹּֽדֶשׁ׃</w:t>
      </w:r>
    </w:p>
    <w:p w14:paraId="5C31278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Man soll es nicht vertauschen noch ersetzen, ein gutes für ein schlechtes oder ein schlechtes für ein gutes; und wenn man dennoch ein Vieh für ein anderes vertauscht, so wird es und sein Ersatz heilig sein.</w:t>
      </w:r>
    </w:p>
    <w:p w14:paraId="64C723F6"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828DD8B">
          <v:rect id="_x0000_i1859" style="width:0;height:1.5pt" o:hralign="center" o:hrstd="t" o:hr="t" fillcolor="#a0a0a0" stroked="f"/>
        </w:pict>
      </w:r>
    </w:p>
    <w:p w14:paraId="46BB891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לא יחליפנו ולא־ימיר אתו טוב ברע או־רע בטוב ואם־המר ימיר בהמה בבהמה והיה־הוא ותמורתו יהיה־קדש</w:t>
      </w:r>
      <w:r w:rsidRPr="00CC6F7E">
        <w:rPr>
          <w:rFonts w:eastAsia="Times New Roman" w:cs="Times New Roman"/>
          <w:rtl/>
          <w:lang w:eastAsia="de-DE"/>
        </w:rPr>
        <w:t xml:space="preserve"> </w:t>
      </w:r>
      <w:r w:rsidRPr="00CC6F7E">
        <w:rPr>
          <w:rFonts w:eastAsia="Times New Roman" w:cs="Times New Roman"/>
          <w:lang w:eastAsia="de-DE"/>
        </w:rPr>
        <w:t xml:space="preserve">verbietet Tiertausch bei Gelübden. </w:t>
      </w:r>
      <w:r w:rsidRPr="00CC6F7E">
        <w:rPr>
          <w:rFonts w:eastAsia="Times New Roman" w:cs="Times New Roman"/>
          <w:b/>
          <w:bCs/>
          <w:rtl/>
          <w:lang w:eastAsia="de-DE"/>
        </w:rPr>
        <w:t>לא יחליפנו ולא־ימיר אתו</w:t>
      </w:r>
      <w:r w:rsidRPr="00CC6F7E">
        <w:rPr>
          <w:rFonts w:eastAsia="Times New Roman" w:cs="Times New Roman"/>
          <w:rtl/>
          <w:lang w:eastAsia="de-DE"/>
        </w:rPr>
        <w:t xml:space="preserve"> </w:t>
      </w:r>
      <w:r w:rsidRPr="00CC6F7E">
        <w:rPr>
          <w:rFonts w:eastAsia="Times New Roman" w:cs="Times New Roman"/>
          <w:lang w:eastAsia="de-DE"/>
        </w:rPr>
        <w:t xml:space="preserve">(man soll es nicht vertauschen noch ersetzen) - </w:t>
      </w:r>
      <w:r w:rsidRPr="00CC6F7E">
        <w:rPr>
          <w:rFonts w:eastAsia="Times New Roman" w:cs="Times New Roman"/>
          <w:b/>
          <w:bCs/>
          <w:rtl/>
          <w:lang w:eastAsia="de-DE"/>
        </w:rPr>
        <w:t>לא יחליפנו</w:t>
      </w:r>
      <w:r w:rsidRPr="00CC6F7E">
        <w:rPr>
          <w:rFonts w:eastAsia="Times New Roman" w:cs="Times New Roman"/>
          <w:rtl/>
          <w:lang w:eastAsia="de-DE"/>
        </w:rPr>
        <w:t xml:space="preserve"> </w:t>
      </w:r>
      <w:r w:rsidRPr="00CC6F7E">
        <w:rPr>
          <w:rFonts w:eastAsia="Times New Roman" w:cs="Times New Roman"/>
          <w:lang w:eastAsia="de-DE"/>
        </w:rPr>
        <w:t xml:space="preserve">(soll es nicht vertauschen) von </w:t>
      </w:r>
      <w:r w:rsidRPr="00CC6F7E">
        <w:rPr>
          <w:rFonts w:eastAsia="Times New Roman" w:cs="Times New Roman"/>
          <w:b/>
          <w:bCs/>
          <w:rtl/>
          <w:lang w:eastAsia="de-DE"/>
        </w:rPr>
        <w:t>חלף</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לא־ימיר אתו</w:t>
      </w:r>
      <w:r w:rsidRPr="00CC6F7E">
        <w:rPr>
          <w:rFonts w:eastAsia="Times New Roman" w:cs="Times New Roman"/>
          <w:rtl/>
          <w:lang w:eastAsia="de-DE"/>
        </w:rPr>
        <w:t xml:space="preserve"> </w:t>
      </w:r>
      <w:r w:rsidRPr="00CC6F7E">
        <w:rPr>
          <w:rFonts w:eastAsia="Times New Roman" w:cs="Times New Roman"/>
          <w:lang w:eastAsia="de-DE"/>
        </w:rPr>
        <w:t xml:space="preserve">(soll es nicht ersetzen) von </w:t>
      </w:r>
      <w:r w:rsidRPr="00CC6F7E">
        <w:rPr>
          <w:rFonts w:eastAsia="Times New Roman" w:cs="Times New Roman"/>
          <w:b/>
          <w:bCs/>
          <w:rtl/>
          <w:lang w:eastAsia="de-DE"/>
        </w:rPr>
        <w:t>מור</w:t>
      </w:r>
      <w:r w:rsidRPr="00CC6F7E">
        <w:rPr>
          <w:rFonts w:eastAsia="Times New Roman" w:cs="Times New Roman"/>
          <w:rtl/>
          <w:lang w:eastAsia="de-DE"/>
        </w:rPr>
        <w:t xml:space="preserve"> </w:t>
      </w:r>
      <w:r w:rsidRPr="00CC6F7E">
        <w:rPr>
          <w:rFonts w:eastAsia="Times New Roman" w:cs="Times New Roman"/>
          <w:lang w:eastAsia="de-DE"/>
        </w:rPr>
        <w:t>zeigen zwei Arten des Austausches.</w:t>
      </w:r>
    </w:p>
    <w:p w14:paraId="2387AA8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טוב ברע או־רע בטוב</w:t>
      </w:r>
      <w:r w:rsidRPr="00CC6F7E">
        <w:rPr>
          <w:rFonts w:eastAsia="Times New Roman" w:cs="Times New Roman"/>
          <w:rtl/>
          <w:lang w:eastAsia="de-DE"/>
        </w:rPr>
        <w:t xml:space="preserve"> </w:t>
      </w:r>
      <w:r w:rsidRPr="00CC6F7E">
        <w:rPr>
          <w:rFonts w:eastAsia="Times New Roman" w:cs="Times New Roman"/>
          <w:lang w:eastAsia="de-DE"/>
        </w:rPr>
        <w:t>(ein gutes für ein schlechtes oder ein schlechtes für ein gutes) zeigt beide Tauschrichtungen sind verboten - sowohl Verbesserung als auch Verschlechterung.</w:t>
      </w:r>
    </w:p>
    <w:p w14:paraId="26A4B43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ואם־המר ימיר בהמה בבהמה</w:t>
      </w:r>
      <w:r w:rsidRPr="00CC6F7E">
        <w:rPr>
          <w:rFonts w:eastAsia="Times New Roman" w:cs="Times New Roman"/>
          <w:rtl/>
          <w:lang w:eastAsia="de-DE"/>
        </w:rPr>
        <w:t xml:space="preserve"> </w:t>
      </w:r>
      <w:r w:rsidRPr="00CC6F7E">
        <w:rPr>
          <w:rFonts w:eastAsia="Times New Roman" w:cs="Times New Roman"/>
          <w:lang w:eastAsia="de-DE"/>
        </w:rPr>
        <w:t xml:space="preserve">(und wenn man dennoch ein Vieh für ein anderes vertauscht) - </w:t>
      </w:r>
      <w:r w:rsidRPr="00CC6F7E">
        <w:rPr>
          <w:rFonts w:eastAsia="Times New Roman" w:cs="Times New Roman"/>
          <w:b/>
          <w:bCs/>
          <w:rtl/>
          <w:lang w:eastAsia="de-DE"/>
        </w:rPr>
        <w:t>המר ימיר</w:t>
      </w:r>
      <w:r w:rsidRPr="00CC6F7E">
        <w:rPr>
          <w:rFonts w:eastAsia="Times New Roman" w:cs="Times New Roman"/>
          <w:rtl/>
          <w:lang w:eastAsia="de-DE"/>
        </w:rPr>
        <w:t xml:space="preserve"> </w:t>
      </w:r>
      <w:r w:rsidRPr="00CC6F7E">
        <w:rPr>
          <w:rFonts w:eastAsia="Times New Roman" w:cs="Times New Roman"/>
          <w:lang w:eastAsia="de-DE"/>
        </w:rPr>
        <w:t xml:space="preserve">(tauschen tauscht) zeigt emphatische Wiederholung: "falls er dennoch tauscht". </w:t>
      </w:r>
      <w:r w:rsidRPr="00CC6F7E">
        <w:rPr>
          <w:rFonts w:eastAsia="Times New Roman" w:cs="Times New Roman"/>
          <w:b/>
          <w:bCs/>
          <w:rtl/>
          <w:lang w:eastAsia="de-DE"/>
        </w:rPr>
        <w:t>והיה־הוא ותמורתו יהיה־קדש</w:t>
      </w:r>
      <w:r w:rsidRPr="00CC6F7E">
        <w:rPr>
          <w:rFonts w:eastAsia="Times New Roman" w:cs="Times New Roman"/>
          <w:rtl/>
          <w:lang w:eastAsia="de-DE"/>
        </w:rPr>
        <w:t xml:space="preserve"> </w:t>
      </w:r>
      <w:r w:rsidRPr="00CC6F7E">
        <w:rPr>
          <w:rFonts w:eastAsia="Times New Roman" w:cs="Times New Roman"/>
          <w:lang w:eastAsia="de-DE"/>
        </w:rPr>
        <w:t xml:space="preserve">(so wird es und sein Ersatz heilig sein) - </w:t>
      </w:r>
      <w:r w:rsidRPr="00CC6F7E">
        <w:rPr>
          <w:rFonts w:eastAsia="Times New Roman" w:cs="Times New Roman"/>
          <w:b/>
          <w:bCs/>
          <w:rtl/>
          <w:lang w:eastAsia="de-DE"/>
        </w:rPr>
        <w:t>הוא ותמורתו</w:t>
      </w:r>
      <w:r w:rsidRPr="00CC6F7E">
        <w:rPr>
          <w:rFonts w:eastAsia="Times New Roman" w:cs="Times New Roman"/>
          <w:rtl/>
          <w:lang w:eastAsia="de-DE"/>
        </w:rPr>
        <w:t xml:space="preserve"> </w:t>
      </w:r>
      <w:r w:rsidRPr="00CC6F7E">
        <w:rPr>
          <w:rFonts w:eastAsia="Times New Roman" w:cs="Times New Roman"/>
          <w:lang w:eastAsia="de-DE"/>
        </w:rPr>
        <w:t xml:space="preserve">(es und sein Ersatz) zeigt dass beide Tiere heilig werden. </w:t>
      </w:r>
      <w:r w:rsidRPr="00CC6F7E">
        <w:rPr>
          <w:rFonts w:eastAsia="Times New Roman" w:cs="Times New Roman"/>
          <w:b/>
          <w:bCs/>
          <w:rtl/>
          <w:lang w:eastAsia="de-DE"/>
        </w:rPr>
        <w:t>תמורתו</w:t>
      </w:r>
      <w:r w:rsidRPr="00CC6F7E">
        <w:rPr>
          <w:rFonts w:eastAsia="Times New Roman" w:cs="Times New Roman"/>
          <w:rtl/>
          <w:lang w:eastAsia="de-DE"/>
        </w:rPr>
        <w:t xml:space="preserve"> </w:t>
      </w:r>
      <w:r w:rsidRPr="00CC6F7E">
        <w:rPr>
          <w:rFonts w:eastAsia="Times New Roman" w:cs="Times New Roman"/>
          <w:lang w:eastAsia="de-DE"/>
        </w:rPr>
        <w:t>(sein Ersatz) zeigt das Tauschtier.</w:t>
      </w:r>
    </w:p>
    <w:p w14:paraId="17A3436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יחליפנו ולא־ימיר</w:t>
      </w:r>
      <w:r w:rsidRPr="00CC6F7E">
        <w:rPr>
          <w:rFonts w:eastAsia="Times New Roman" w:cs="Times New Roman"/>
          <w:rtl/>
          <w:lang w:eastAsia="de-DE"/>
        </w:rPr>
        <w:t xml:space="preserve"> </w:t>
      </w:r>
      <w:r w:rsidRPr="00CC6F7E">
        <w:rPr>
          <w:rFonts w:eastAsia="Times New Roman" w:cs="Times New Roman"/>
          <w:lang w:eastAsia="de-DE"/>
        </w:rPr>
        <w:t xml:space="preserve">zeigt doppeltes Tauschverbot. </w:t>
      </w:r>
      <w:r w:rsidRPr="00CC6F7E">
        <w:rPr>
          <w:rFonts w:eastAsia="Times New Roman" w:cs="Times New Roman"/>
          <w:b/>
          <w:bCs/>
          <w:rtl/>
          <w:lang w:eastAsia="de-DE"/>
        </w:rPr>
        <w:t>טוב ברע או־רע בטוב</w:t>
      </w:r>
      <w:r w:rsidRPr="00CC6F7E">
        <w:rPr>
          <w:rFonts w:eastAsia="Times New Roman" w:cs="Times New Roman"/>
          <w:rtl/>
          <w:lang w:eastAsia="de-DE"/>
        </w:rPr>
        <w:t xml:space="preserve"> </w:t>
      </w:r>
      <w:r w:rsidRPr="00CC6F7E">
        <w:rPr>
          <w:rFonts w:eastAsia="Times New Roman" w:cs="Times New Roman"/>
          <w:lang w:eastAsia="de-DE"/>
        </w:rPr>
        <w:t xml:space="preserve">zeigt alle Tauschrichtungen verboten. </w:t>
      </w:r>
      <w:r w:rsidRPr="00CC6F7E">
        <w:rPr>
          <w:rFonts w:eastAsia="Times New Roman" w:cs="Times New Roman"/>
          <w:b/>
          <w:bCs/>
          <w:rtl/>
          <w:lang w:eastAsia="de-DE"/>
        </w:rPr>
        <w:t>הוא ותמורתו יהיה־קדש</w:t>
      </w:r>
      <w:r w:rsidRPr="00CC6F7E">
        <w:rPr>
          <w:rFonts w:eastAsia="Times New Roman" w:cs="Times New Roman"/>
          <w:rtl/>
          <w:lang w:eastAsia="de-DE"/>
        </w:rPr>
        <w:t xml:space="preserve"> </w:t>
      </w:r>
      <w:r w:rsidRPr="00CC6F7E">
        <w:rPr>
          <w:rFonts w:eastAsia="Times New Roman" w:cs="Times New Roman"/>
          <w:lang w:eastAsia="de-DE"/>
        </w:rPr>
        <w:t>zeigt Doppel-Heiligung als Strafe.</w:t>
      </w:r>
    </w:p>
    <w:p w14:paraId="6D5EA06F" w14:textId="2719AFEF"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w:t>
      </w:r>
      <w:r w:rsidR="00274C29">
        <w:t xml:space="preserve">übersetzt </w:t>
      </w:r>
      <w:r w:rsidR="00274C29">
        <w:rPr>
          <w:rtl/>
        </w:rPr>
        <w:t>לא יחליפנו</w:t>
      </w:r>
      <w:r w:rsidR="00274C29">
        <w:t xml:space="preserve"> (lo </w:t>
      </w:r>
      <w:proofErr w:type="spellStart"/>
      <w:r w:rsidR="00274C29">
        <w:t>yachlifennu</w:t>
      </w:r>
      <w:proofErr w:type="spellEnd"/>
      <w:r w:rsidR="00274C29">
        <w:t xml:space="preserve"> - "er soll es nicht vertauschen") als </w:t>
      </w:r>
      <w:proofErr w:type="spellStart"/>
      <w:r w:rsidR="00274C29">
        <w:t>οὐκ</w:t>
      </w:r>
      <w:proofErr w:type="spellEnd"/>
      <w:r w:rsidR="00274C29">
        <w:t xml:space="preserve"> </w:t>
      </w:r>
      <w:proofErr w:type="spellStart"/>
      <w:r w:rsidR="00274C29">
        <w:t>ἀλλάξει</w:t>
      </w:r>
      <w:proofErr w:type="spellEnd"/>
      <w:r w:rsidR="00274C29">
        <w:t xml:space="preserve"> α</w:t>
      </w:r>
      <w:proofErr w:type="spellStart"/>
      <w:r w:rsidR="00274C29">
        <w:t>ὐτό</w:t>
      </w:r>
      <w:proofErr w:type="spellEnd"/>
      <w:r w:rsidR="00274C29">
        <w:t xml:space="preserve"> (er soll es nicht ändern) und </w:t>
      </w:r>
      <w:r w:rsidR="00274C29">
        <w:rPr>
          <w:rtl/>
        </w:rPr>
        <w:t>תמורתו</w:t>
      </w:r>
      <w:r w:rsidR="00274C29">
        <w:t xml:space="preserve"> (</w:t>
      </w:r>
      <w:proofErr w:type="spellStart"/>
      <w:r w:rsidR="00274C29">
        <w:t>temurato</w:t>
      </w:r>
      <w:proofErr w:type="spellEnd"/>
      <w:r w:rsidR="00274C29">
        <w:t xml:space="preserve"> - "sein Tausch") als </w:t>
      </w:r>
      <w:proofErr w:type="spellStart"/>
      <w:r w:rsidR="00274C29">
        <w:t>τὸ</w:t>
      </w:r>
      <w:proofErr w:type="spellEnd"/>
      <w:r w:rsidR="00274C29">
        <w:t xml:space="preserve"> </w:t>
      </w:r>
      <w:proofErr w:type="spellStart"/>
      <w:r w:rsidR="00274C29">
        <w:t>ἄλλ</w:t>
      </w:r>
      <w:proofErr w:type="spellEnd"/>
      <w:r w:rsidR="00274C29">
        <w:t>αγμα (das Getauschte).</w:t>
      </w:r>
    </w:p>
    <w:p w14:paraId="623DBB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Tauschverbot mit Straffolge: nicht vertauschen noch ersetzen + gut für schlecht oder schlecht für gut + falls dennoch Vieh für Vieh getauscht + es und sein Ersatz werden heilig.</w:t>
      </w:r>
    </w:p>
    <w:p w14:paraId="754E52F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verbietet jeglichen Tiertausch bei Gelübden und bestraft Übertretung mit Doppel-Heiligung beider Tiere.</w:t>
      </w:r>
    </w:p>
    <w:p w14:paraId="58D0F20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27,11</w:t>
      </w:r>
    </w:p>
    <w:p w14:paraId="62E1771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כָּל־בְּהֵמָ֣ה טְמֵאָ֔ה אֲ֠שֶׁר לֹא־יַקְרִ֧יבוּ מִמֶּ֛נָּה קָרְבָּ֖ן לַֽיהוָ֑ה וְהֶֽעֱמִ֥יד אֶת־הַבְּהֵמָ֖ה לִפְנֵ֥י הַכֹּהֵֽן׃</w:t>
      </w:r>
    </w:p>
    <w:p w14:paraId="7EA1AB6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es irgendein unreines Vieh ist, von dem man dem Ewigen kein Opfer darbringt, so soll man das Vieh vor den Priester stellen.</w:t>
      </w:r>
    </w:p>
    <w:p w14:paraId="1B3A762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2C7F012">
          <v:rect id="_x0000_i1860" style="width:0;height:1.5pt" o:hralign="center" o:hrstd="t" o:hr="t" fillcolor="#a0a0a0" stroked="f"/>
        </w:pict>
      </w:r>
    </w:p>
    <w:p w14:paraId="2CD36B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כל־בהמה טמאה אשר לא־יקריבו ממנה קרבן ליהוה והעמיד את־הבהמה לפני הכהן</w:t>
      </w:r>
      <w:r w:rsidRPr="00CC6F7E">
        <w:rPr>
          <w:rFonts w:eastAsia="Times New Roman" w:cs="Times New Roman"/>
          <w:rtl/>
          <w:lang w:eastAsia="de-DE"/>
        </w:rPr>
        <w:t xml:space="preserve"> </w:t>
      </w:r>
      <w:r w:rsidRPr="00CC6F7E">
        <w:rPr>
          <w:rFonts w:eastAsia="Times New Roman" w:cs="Times New Roman"/>
          <w:lang w:eastAsia="de-DE"/>
        </w:rPr>
        <w:t xml:space="preserve">behandelt unreine Tiere bei Gelübden. </w:t>
      </w:r>
      <w:r w:rsidRPr="00CC6F7E">
        <w:rPr>
          <w:rFonts w:eastAsia="Times New Roman" w:cs="Times New Roman"/>
          <w:b/>
          <w:bCs/>
          <w:rtl/>
          <w:lang w:eastAsia="de-DE"/>
        </w:rPr>
        <w:t>ואם כל־בהמה טמאה</w:t>
      </w:r>
      <w:r w:rsidRPr="00CC6F7E">
        <w:rPr>
          <w:rFonts w:eastAsia="Times New Roman" w:cs="Times New Roman"/>
          <w:rtl/>
          <w:lang w:eastAsia="de-DE"/>
        </w:rPr>
        <w:t xml:space="preserve"> </w:t>
      </w:r>
      <w:r w:rsidRPr="00CC6F7E">
        <w:rPr>
          <w:rFonts w:eastAsia="Times New Roman" w:cs="Times New Roman"/>
          <w:lang w:eastAsia="de-DE"/>
        </w:rPr>
        <w:t xml:space="preserve">(und wenn irgendein unreines Vieh) - </w:t>
      </w:r>
      <w:r w:rsidRPr="00CC6F7E">
        <w:rPr>
          <w:rFonts w:eastAsia="Times New Roman" w:cs="Times New Roman"/>
          <w:b/>
          <w:bCs/>
          <w:rtl/>
          <w:lang w:eastAsia="de-DE"/>
        </w:rPr>
        <w:t>כל־בהמה טמאה</w:t>
      </w:r>
      <w:r w:rsidRPr="00CC6F7E">
        <w:rPr>
          <w:rFonts w:eastAsia="Times New Roman" w:cs="Times New Roman"/>
          <w:rtl/>
          <w:lang w:eastAsia="de-DE"/>
        </w:rPr>
        <w:t xml:space="preserve"> </w:t>
      </w:r>
      <w:r w:rsidRPr="00CC6F7E">
        <w:rPr>
          <w:rFonts w:eastAsia="Times New Roman" w:cs="Times New Roman"/>
          <w:lang w:eastAsia="de-DE"/>
        </w:rPr>
        <w:t xml:space="preserve">zeigt alle unreinen Tierarten. </w:t>
      </w:r>
      <w:r w:rsidRPr="00CC6F7E">
        <w:rPr>
          <w:rFonts w:eastAsia="Times New Roman" w:cs="Times New Roman"/>
          <w:b/>
          <w:bCs/>
          <w:rtl/>
          <w:lang w:eastAsia="de-DE"/>
        </w:rPr>
        <w:t>טמאה</w:t>
      </w:r>
      <w:r w:rsidRPr="00CC6F7E">
        <w:rPr>
          <w:rFonts w:eastAsia="Times New Roman" w:cs="Times New Roman"/>
          <w:rtl/>
          <w:lang w:eastAsia="de-DE"/>
        </w:rPr>
        <w:t xml:space="preserve"> </w:t>
      </w:r>
      <w:r w:rsidRPr="00CC6F7E">
        <w:rPr>
          <w:rFonts w:eastAsia="Times New Roman" w:cs="Times New Roman"/>
          <w:lang w:eastAsia="de-DE"/>
        </w:rPr>
        <w:t>(unrein) im Gegensatz zu den opferfähigen Tieren von V. 9.</w:t>
      </w:r>
    </w:p>
    <w:p w14:paraId="45DEEC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 לא־יקריבו ממנה קרבן ליהוה</w:t>
      </w:r>
      <w:r w:rsidRPr="00CC6F7E">
        <w:rPr>
          <w:rFonts w:eastAsia="Times New Roman" w:cs="Times New Roman"/>
          <w:rtl/>
          <w:lang w:eastAsia="de-DE"/>
        </w:rPr>
        <w:t xml:space="preserve"> </w:t>
      </w:r>
      <w:r w:rsidRPr="00CC6F7E">
        <w:rPr>
          <w:rFonts w:eastAsia="Times New Roman" w:cs="Times New Roman"/>
          <w:lang w:eastAsia="de-DE"/>
        </w:rPr>
        <w:t xml:space="preserve">(von dem man dem Ewigen kein Opfer darbringt) definiert "unrein" als nicht-opferfähig - </w:t>
      </w:r>
      <w:r w:rsidRPr="00CC6F7E">
        <w:rPr>
          <w:rFonts w:eastAsia="Times New Roman" w:cs="Times New Roman"/>
          <w:b/>
          <w:bCs/>
          <w:rtl/>
          <w:lang w:eastAsia="de-DE"/>
        </w:rPr>
        <w:t>לא־יקריבו ממנה קרבן</w:t>
      </w:r>
      <w:r w:rsidRPr="00CC6F7E">
        <w:rPr>
          <w:rFonts w:eastAsia="Times New Roman" w:cs="Times New Roman"/>
          <w:rtl/>
          <w:lang w:eastAsia="de-DE"/>
        </w:rPr>
        <w:t xml:space="preserve"> </w:t>
      </w:r>
      <w:r w:rsidRPr="00CC6F7E">
        <w:rPr>
          <w:rFonts w:eastAsia="Times New Roman" w:cs="Times New Roman"/>
          <w:lang w:eastAsia="de-DE"/>
        </w:rPr>
        <w:t>(bringt man nicht von ihr Opfer dar) zeigt kultische Unbrauchbarkeit.</w:t>
      </w:r>
    </w:p>
    <w:p w14:paraId="142CB9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והעמיד את־הבהמה לפני הכהן</w:t>
      </w:r>
      <w:r w:rsidRPr="00CC6F7E">
        <w:rPr>
          <w:rFonts w:eastAsia="Times New Roman" w:cs="Times New Roman"/>
          <w:rtl/>
          <w:lang w:eastAsia="de-DE"/>
        </w:rPr>
        <w:t xml:space="preserve"> </w:t>
      </w:r>
      <w:r w:rsidRPr="00CC6F7E">
        <w:rPr>
          <w:rFonts w:eastAsia="Times New Roman" w:cs="Times New Roman"/>
          <w:lang w:eastAsia="de-DE"/>
        </w:rPr>
        <w:t>(so soll man das Vieh vor den Priester stellen) entspricht V. 8 und zeigt priesterliche Begutachtung zur Wertschätzung.</w:t>
      </w:r>
    </w:p>
    <w:p w14:paraId="12C799E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כל־בהמה טמאה</w:t>
      </w:r>
      <w:r w:rsidRPr="00CC6F7E">
        <w:rPr>
          <w:rFonts w:eastAsia="Times New Roman" w:cs="Times New Roman"/>
          <w:rtl/>
          <w:lang w:eastAsia="de-DE"/>
        </w:rPr>
        <w:t xml:space="preserve"> </w:t>
      </w:r>
      <w:r w:rsidRPr="00CC6F7E">
        <w:rPr>
          <w:rFonts w:eastAsia="Times New Roman" w:cs="Times New Roman"/>
          <w:lang w:eastAsia="de-DE"/>
        </w:rPr>
        <w:t xml:space="preserve">zeigt nicht-opferfähige Tiere. </w:t>
      </w:r>
      <w:r w:rsidRPr="00CC6F7E">
        <w:rPr>
          <w:rFonts w:eastAsia="Times New Roman" w:cs="Times New Roman"/>
          <w:b/>
          <w:bCs/>
          <w:rtl/>
          <w:lang w:eastAsia="de-DE"/>
        </w:rPr>
        <w:t>לא־יקריבו ממנה קרבן</w:t>
      </w:r>
      <w:r w:rsidRPr="00CC6F7E">
        <w:rPr>
          <w:rFonts w:eastAsia="Times New Roman" w:cs="Times New Roman"/>
          <w:rtl/>
          <w:lang w:eastAsia="de-DE"/>
        </w:rPr>
        <w:t xml:space="preserve"> </w:t>
      </w:r>
      <w:r w:rsidRPr="00CC6F7E">
        <w:rPr>
          <w:rFonts w:eastAsia="Times New Roman" w:cs="Times New Roman"/>
          <w:lang w:eastAsia="de-DE"/>
        </w:rPr>
        <w:t xml:space="preserve">definiert kultische Unbrauchbarkeit. </w:t>
      </w:r>
      <w:r w:rsidRPr="00CC6F7E">
        <w:rPr>
          <w:rFonts w:eastAsia="Times New Roman" w:cs="Times New Roman"/>
          <w:b/>
          <w:bCs/>
          <w:rtl/>
          <w:lang w:eastAsia="de-DE"/>
        </w:rPr>
        <w:t>לפני הכהן</w:t>
      </w:r>
      <w:r w:rsidRPr="00CC6F7E">
        <w:rPr>
          <w:rFonts w:eastAsia="Times New Roman" w:cs="Times New Roman"/>
          <w:rtl/>
          <w:lang w:eastAsia="de-DE"/>
        </w:rPr>
        <w:t xml:space="preserve"> </w:t>
      </w:r>
      <w:r w:rsidRPr="00CC6F7E">
        <w:rPr>
          <w:rFonts w:eastAsia="Times New Roman" w:cs="Times New Roman"/>
          <w:lang w:eastAsia="de-DE"/>
        </w:rPr>
        <w:t>zeigt priesterliche Schätzungs-Zuständigkeit.</w:t>
      </w:r>
    </w:p>
    <w:p w14:paraId="0E682E7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כל־בהמה טמאה</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κτῆνος</w:t>
      </w:r>
      <w:proofErr w:type="spellEnd"/>
      <w:r w:rsidRPr="00CC6F7E">
        <w:rPr>
          <w:rFonts w:eastAsia="Times New Roman" w:cs="Times New Roman"/>
          <w:lang w:eastAsia="de-DE"/>
        </w:rPr>
        <w:t xml:space="preserve"> ἀκάθαρτον (jedes unreine Vieh), </w:t>
      </w:r>
      <w:r w:rsidRPr="00CC6F7E">
        <w:rPr>
          <w:rFonts w:eastAsia="Times New Roman" w:cs="Times New Roman"/>
          <w:b/>
          <w:bCs/>
          <w:rtl/>
          <w:lang w:eastAsia="de-DE"/>
        </w:rPr>
        <w:t>לא־יקריבו ממנה קרבן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ροσάγουσιν</w:t>
      </w:r>
      <w:proofErr w:type="spellEnd"/>
      <w:r w:rsidRPr="00CC6F7E">
        <w:rPr>
          <w:rFonts w:eastAsia="Times New Roman" w:cs="Times New Roman"/>
          <w:lang w:eastAsia="de-DE"/>
        </w:rPr>
        <w:t xml:space="preserve"> ἀπ᾽ α</w:t>
      </w:r>
      <w:proofErr w:type="spellStart"/>
      <w:r w:rsidRPr="00CC6F7E">
        <w:rPr>
          <w:rFonts w:eastAsia="Times New Roman" w:cs="Times New Roman"/>
          <w:lang w:eastAsia="de-DE"/>
        </w:rPr>
        <w:t>ὐτῶν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δῶρ</w:t>
      </w:r>
      <w:proofErr w:type="spellEnd"/>
      <w:r w:rsidRPr="00CC6F7E">
        <w:rPr>
          <w:rFonts w:eastAsia="Times New Roman" w:cs="Times New Roman"/>
          <w:lang w:eastAsia="de-DE"/>
        </w:rPr>
        <w:t xml:space="preserve">α (bringen nicht von ihnen Gaben dar) und </w:t>
      </w:r>
      <w:r w:rsidRPr="00CC6F7E">
        <w:rPr>
          <w:rFonts w:eastAsia="Times New Roman" w:cs="Times New Roman"/>
          <w:b/>
          <w:bCs/>
          <w:rtl/>
          <w:lang w:eastAsia="de-DE"/>
        </w:rPr>
        <w:t>לפני הכהן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ἔν</w:t>
      </w:r>
      <w:proofErr w:type="spellEnd"/>
      <w:r w:rsidRPr="00CC6F7E">
        <w:rPr>
          <w:rFonts w:eastAsia="Times New Roman" w:cs="Times New Roman"/>
          <w:lang w:eastAsia="de-DE"/>
        </w:rPr>
        <w:t xml:space="preserve">αντι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ἱερέως</w:t>
      </w:r>
      <w:proofErr w:type="spellEnd"/>
      <w:r w:rsidRPr="00CC6F7E">
        <w:rPr>
          <w:rFonts w:eastAsia="Times New Roman" w:cs="Times New Roman"/>
          <w:lang w:eastAsia="de-DE"/>
        </w:rPr>
        <w:t xml:space="preserve"> (vor den Priester).</w:t>
      </w:r>
    </w:p>
    <w:p w14:paraId="4DCBC5F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unreines Vieh-Gelübde: wenn unreines nicht-opferfähiges Vieh + Vieh vor Priester stellen.</w:t>
      </w:r>
    </w:p>
    <w:p w14:paraId="1D75EDF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behandelt unreine Tiere: Sie können geweiht werden, müssen aber priesterlich geschätzt werden, da sie nicht opferfähig sind.</w:t>
      </w:r>
    </w:p>
    <w:p w14:paraId="2A12106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27,12</w:t>
      </w:r>
    </w:p>
    <w:p w14:paraId="120CB6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וְהֶעֱרִ֤יךְ הַכֹּהֵן֙ אֹתָ֔הּ בֵּ֥ין ט֖וֹב וּבֵ֣ין רָ֑ע כְּעֶרְכְּךָ֥ הַכֹּהֵ֖ן כֵּ֥ן יִהְיֶֽה׃</w:t>
      </w:r>
    </w:p>
    <w:p w14:paraId="0CCEDAA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der Priester soll es schätzen, ob es gut oder schlecht sei; nach deiner Schätzung, Priester, so soll es sein.</w:t>
      </w:r>
    </w:p>
    <w:p w14:paraId="76A7FBC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40C0C40">
          <v:rect id="_x0000_i1861" style="width:0;height:1.5pt" o:hralign="center" o:hrstd="t" o:hr="t" fillcolor="#a0a0a0" stroked="f"/>
        </w:pict>
      </w:r>
    </w:p>
    <w:p w14:paraId="257224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והעריך הכהן אתה בין טוב ובין רע כערכך הכהן כן יהיה</w:t>
      </w:r>
      <w:r w:rsidRPr="00CC6F7E">
        <w:rPr>
          <w:rFonts w:eastAsia="Times New Roman" w:cs="Times New Roman"/>
          <w:rtl/>
          <w:lang w:eastAsia="de-DE"/>
        </w:rPr>
        <w:t xml:space="preserve"> </w:t>
      </w:r>
      <w:r w:rsidRPr="00CC6F7E">
        <w:rPr>
          <w:rFonts w:eastAsia="Times New Roman" w:cs="Times New Roman"/>
          <w:lang w:eastAsia="de-DE"/>
        </w:rPr>
        <w:t xml:space="preserve">zeigt priesterliche Schätzungsautorität bei unreinen Tieren. </w:t>
      </w:r>
      <w:r w:rsidRPr="00CC6F7E">
        <w:rPr>
          <w:rFonts w:eastAsia="Times New Roman" w:cs="Times New Roman"/>
          <w:b/>
          <w:bCs/>
          <w:rtl/>
          <w:lang w:eastAsia="de-DE"/>
        </w:rPr>
        <w:t>והעריך הכהן אתה</w:t>
      </w:r>
      <w:r w:rsidRPr="00CC6F7E">
        <w:rPr>
          <w:rFonts w:eastAsia="Times New Roman" w:cs="Times New Roman"/>
          <w:rtl/>
          <w:lang w:eastAsia="de-DE"/>
        </w:rPr>
        <w:t xml:space="preserve"> </w:t>
      </w:r>
      <w:r w:rsidRPr="00CC6F7E">
        <w:rPr>
          <w:rFonts w:eastAsia="Times New Roman" w:cs="Times New Roman"/>
          <w:lang w:eastAsia="de-DE"/>
        </w:rPr>
        <w:t xml:space="preserve">(und der Priester soll es schätzen) zeigt priesterliche Bewertung. </w:t>
      </w:r>
      <w:r w:rsidRPr="00CC6F7E">
        <w:rPr>
          <w:rFonts w:eastAsia="Times New Roman" w:cs="Times New Roman"/>
          <w:b/>
          <w:bCs/>
          <w:rtl/>
          <w:lang w:eastAsia="de-DE"/>
        </w:rPr>
        <w:t>בין טוב ובין רע</w:t>
      </w:r>
      <w:r w:rsidRPr="00CC6F7E">
        <w:rPr>
          <w:rFonts w:eastAsia="Times New Roman" w:cs="Times New Roman"/>
          <w:rtl/>
          <w:lang w:eastAsia="de-DE"/>
        </w:rPr>
        <w:t xml:space="preserve"> </w:t>
      </w:r>
      <w:r w:rsidRPr="00CC6F7E">
        <w:rPr>
          <w:rFonts w:eastAsia="Times New Roman" w:cs="Times New Roman"/>
          <w:lang w:eastAsia="de-DE"/>
        </w:rPr>
        <w:t>(ob es gut oder schlecht sei) zeigt Qualitätsbewertung des Tieres.</w:t>
      </w:r>
    </w:p>
    <w:p w14:paraId="26E7B4A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כערכך הכהן כן יהיה</w:t>
      </w:r>
      <w:r w:rsidRPr="00CC6F7E">
        <w:rPr>
          <w:rFonts w:eastAsia="Times New Roman" w:cs="Times New Roman"/>
          <w:rtl/>
          <w:lang w:eastAsia="de-DE"/>
        </w:rPr>
        <w:t xml:space="preserve"> </w:t>
      </w:r>
      <w:r w:rsidRPr="00CC6F7E">
        <w:rPr>
          <w:rFonts w:eastAsia="Times New Roman" w:cs="Times New Roman"/>
          <w:lang w:eastAsia="de-DE"/>
        </w:rPr>
        <w:t xml:space="preserve">(nach deiner Schätzung, Priester, so soll es sein) - </w:t>
      </w:r>
      <w:r w:rsidRPr="00CC6F7E">
        <w:rPr>
          <w:rFonts w:eastAsia="Times New Roman" w:cs="Times New Roman"/>
          <w:b/>
          <w:bCs/>
          <w:rtl/>
          <w:lang w:eastAsia="de-DE"/>
        </w:rPr>
        <w:t>כערכך הכהן</w:t>
      </w:r>
      <w:r w:rsidRPr="00CC6F7E">
        <w:rPr>
          <w:rFonts w:eastAsia="Times New Roman" w:cs="Times New Roman"/>
          <w:rtl/>
          <w:lang w:eastAsia="de-DE"/>
        </w:rPr>
        <w:t xml:space="preserve"> </w:t>
      </w:r>
      <w:r w:rsidRPr="00CC6F7E">
        <w:rPr>
          <w:rFonts w:eastAsia="Times New Roman" w:cs="Times New Roman"/>
          <w:lang w:eastAsia="de-DE"/>
        </w:rPr>
        <w:t xml:space="preserve">(nach deiner Schätzung, Priester) betont priesterliche Autorität. </w:t>
      </w:r>
      <w:r w:rsidRPr="00CC6F7E">
        <w:rPr>
          <w:rFonts w:eastAsia="Times New Roman" w:cs="Times New Roman"/>
          <w:b/>
          <w:bCs/>
          <w:rtl/>
          <w:lang w:eastAsia="de-DE"/>
        </w:rPr>
        <w:t>כן יהיה</w:t>
      </w:r>
      <w:r w:rsidRPr="00CC6F7E">
        <w:rPr>
          <w:rFonts w:eastAsia="Times New Roman" w:cs="Times New Roman"/>
          <w:rtl/>
          <w:lang w:eastAsia="de-DE"/>
        </w:rPr>
        <w:t xml:space="preserve"> </w:t>
      </w:r>
      <w:r w:rsidRPr="00CC6F7E">
        <w:rPr>
          <w:rFonts w:eastAsia="Times New Roman" w:cs="Times New Roman"/>
          <w:lang w:eastAsia="de-DE"/>
        </w:rPr>
        <w:t>(so soll es sein) zeigt Endgültigkeit der priesterlichen Entscheidung.</w:t>
      </w:r>
    </w:p>
    <w:p w14:paraId="220A4F3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בין טוב ובין רע</w:t>
      </w:r>
      <w:r w:rsidRPr="00CC6F7E">
        <w:rPr>
          <w:rFonts w:eastAsia="Times New Roman" w:cs="Times New Roman"/>
          <w:rtl/>
          <w:lang w:eastAsia="de-DE"/>
        </w:rPr>
        <w:t xml:space="preserve"> </w:t>
      </w:r>
      <w:r w:rsidRPr="00CC6F7E">
        <w:rPr>
          <w:rFonts w:eastAsia="Times New Roman" w:cs="Times New Roman"/>
          <w:lang w:eastAsia="de-DE"/>
        </w:rPr>
        <w:t xml:space="preserve">zeigt Qualitätsspektrum der Bewertung. </w:t>
      </w:r>
      <w:r w:rsidRPr="00CC6F7E">
        <w:rPr>
          <w:rFonts w:eastAsia="Times New Roman" w:cs="Times New Roman"/>
          <w:b/>
          <w:bCs/>
          <w:rtl/>
          <w:lang w:eastAsia="de-DE"/>
        </w:rPr>
        <w:t>כערכך הכהן</w:t>
      </w:r>
      <w:r w:rsidRPr="00CC6F7E">
        <w:rPr>
          <w:rFonts w:eastAsia="Times New Roman" w:cs="Times New Roman"/>
          <w:rtl/>
          <w:lang w:eastAsia="de-DE"/>
        </w:rPr>
        <w:t xml:space="preserve"> </w:t>
      </w:r>
      <w:r w:rsidRPr="00CC6F7E">
        <w:rPr>
          <w:rFonts w:eastAsia="Times New Roman" w:cs="Times New Roman"/>
          <w:lang w:eastAsia="de-DE"/>
        </w:rPr>
        <w:t xml:space="preserve">betont priesterliche Schätzungshoheit. </w:t>
      </w:r>
      <w:r w:rsidRPr="00CC6F7E">
        <w:rPr>
          <w:rFonts w:eastAsia="Times New Roman" w:cs="Times New Roman"/>
          <w:b/>
          <w:bCs/>
          <w:rtl/>
          <w:lang w:eastAsia="de-DE"/>
        </w:rPr>
        <w:t>כן יהיה</w:t>
      </w:r>
      <w:r w:rsidRPr="00CC6F7E">
        <w:rPr>
          <w:rFonts w:eastAsia="Times New Roman" w:cs="Times New Roman"/>
          <w:rtl/>
          <w:lang w:eastAsia="de-DE"/>
        </w:rPr>
        <w:t xml:space="preserve"> </w:t>
      </w:r>
      <w:r w:rsidRPr="00CC6F7E">
        <w:rPr>
          <w:rFonts w:eastAsia="Times New Roman" w:cs="Times New Roman"/>
          <w:lang w:eastAsia="de-DE"/>
        </w:rPr>
        <w:t>zeigt Verbindlichkeit der priesterlichen Bewertung.</w:t>
      </w:r>
    </w:p>
    <w:p w14:paraId="008E0E6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והעריך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τιμήσετ</w:t>
      </w:r>
      <w:proofErr w:type="spellEnd"/>
      <w:r w:rsidRPr="00CC6F7E">
        <w:rPr>
          <w:rFonts w:eastAsia="Times New Roman" w:cs="Times New Roman"/>
          <w:lang w:eastAsia="de-DE"/>
        </w:rPr>
        <w:t xml:space="preserve">αι (wird geschätzt werden), </w:t>
      </w:r>
      <w:r w:rsidRPr="00CC6F7E">
        <w:rPr>
          <w:rFonts w:eastAsia="Times New Roman" w:cs="Times New Roman"/>
          <w:b/>
          <w:bCs/>
          <w:rtl/>
          <w:lang w:eastAsia="de-DE"/>
        </w:rPr>
        <w:t>בין טוב ובין רע</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ἀνὰ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μέσον</w:t>
      </w:r>
      <w:proofErr w:type="spellEnd"/>
      <w:r w:rsidRPr="00CC6F7E">
        <w:rPr>
          <w:rFonts w:eastAsia="Times New Roman" w:cs="Times New Roman"/>
          <w:lang w:eastAsia="de-DE"/>
        </w:rPr>
        <w:t xml:space="preserve"> κα</w:t>
      </w:r>
      <w:proofErr w:type="spellStart"/>
      <w:r w:rsidRPr="00CC6F7E">
        <w:rPr>
          <w:rFonts w:eastAsia="Times New Roman" w:cs="Times New Roman"/>
          <w:lang w:eastAsia="de-DE"/>
        </w:rPr>
        <w:t>λοῦ</w:t>
      </w:r>
      <w:proofErr w:type="spellEnd"/>
      <w:r w:rsidRPr="00CC6F7E">
        <w:rPr>
          <w:rFonts w:eastAsia="Times New Roman" w:cs="Times New Roman"/>
          <w:lang w:eastAsia="de-DE"/>
        </w:rPr>
        <w:t xml:space="preserve"> καὶ </w:t>
      </w:r>
      <w:proofErr w:type="spellStart"/>
      <w:r w:rsidRPr="00CC6F7E">
        <w:rPr>
          <w:rFonts w:eastAsia="Times New Roman" w:cs="Times New Roman"/>
          <w:lang w:eastAsia="de-DE"/>
        </w:rPr>
        <w:t>ἀνὰ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μέσον</w:t>
      </w:r>
      <w:proofErr w:type="spellEnd"/>
      <w:r w:rsidRPr="00CC6F7E">
        <w:rPr>
          <w:rFonts w:eastAsia="Times New Roman" w:cs="Times New Roman"/>
          <w:lang w:eastAsia="de-DE"/>
        </w:rPr>
        <w:t xml:space="preserve"> π</w:t>
      </w:r>
      <w:proofErr w:type="spellStart"/>
      <w:r w:rsidRPr="00CC6F7E">
        <w:rPr>
          <w:rFonts w:eastAsia="Times New Roman" w:cs="Times New Roman"/>
          <w:lang w:eastAsia="de-DE"/>
        </w:rPr>
        <w:t>ονηροῦ</w:t>
      </w:r>
      <w:proofErr w:type="spellEnd"/>
      <w:r w:rsidRPr="00CC6F7E">
        <w:rPr>
          <w:rFonts w:eastAsia="Times New Roman" w:cs="Times New Roman"/>
          <w:lang w:eastAsia="de-DE"/>
        </w:rPr>
        <w:t xml:space="preserve"> (zwischen gut und zwischen schlecht), </w:t>
      </w:r>
      <w:r w:rsidRPr="00CC6F7E">
        <w:rPr>
          <w:rFonts w:eastAsia="Times New Roman" w:cs="Times New Roman"/>
          <w:b/>
          <w:bCs/>
          <w:rtl/>
          <w:lang w:eastAsia="de-DE"/>
        </w:rPr>
        <w:t>כערכך</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τιμήν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(nach deinem Wert) und </w:t>
      </w:r>
      <w:r w:rsidRPr="00CC6F7E">
        <w:rPr>
          <w:rFonts w:eastAsia="Times New Roman" w:cs="Times New Roman"/>
          <w:b/>
          <w:bCs/>
          <w:rtl/>
          <w:lang w:eastAsia="de-DE"/>
        </w:rPr>
        <w:t>כן יהיה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οὕτως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ἔστ</w:t>
      </w:r>
      <w:proofErr w:type="spellEnd"/>
      <w:r w:rsidRPr="00CC6F7E">
        <w:rPr>
          <w:rFonts w:eastAsia="Times New Roman" w:cs="Times New Roman"/>
          <w:lang w:eastAsia="de-DE"/>
        </w:rPr>
        <w:t>αι (so wird es sein).</w:t>
      </w:r>
    </w:p>
    <w:p w14:paraId="64CB77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priesterliche Schätzungsautorität: Priester schätzt es + zwischen gut und schlecht + nach deiner Schätzung Priester + so soll es sein.</w:t>
      </w:r>
    </w:p>
    <w:p w14:paraId="6CACEF2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die absolute priesterliche Autorität bei der Bewertung unreiner Tiere für Gelübde-Zwecke.</w:t>
      </w:r>
    </w:p>
    <w:p w14:paraId="415EE41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27,13</w:t>
      </w:r>
    </w:p>
    <w:p w14:paraId="706005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וְאִם־גָּאֹ֖ל יִגְאָלֶ֑נָּה וְיָסַ֥ף חֲמִישִׁתוֹ֖ עַל־עֶרְכֶּֽךָ׃</w:t>
      </w:r>
    </w:p>
    <w:p w14:paraId="2EB6D82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man es aber lösen will, so soll man ein Fünftel über deine Schätzung hinzufügen.</w:t>
      </w:r>
    </w:p>
    <w:p w14:paraId="378FDB23"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D3EDA47">
          <v:rect id="_x0000_i1862" style="width:0;height:1.5pt" o:hralign="center" o:hrstd="t" o:hr="t" fillcolor="#a0a0a0" stroked="f"/>
        </w:pict>
      </w:r>
    </w:p>
    <w:p w14:paraId="24D6AE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ואם־גאל יגאלנה ויסף חמישתו על־ערכך</w:t>
      </w:r>
      <w:r w:rsidRPr="00CC6F7E">
        <w:rPr>
          <w:rFonts w:eastAsia="Times New Roman" w:cs="Times New Roman"/>
          <w:rtl/>
          <w:lang w:eastAsia="de-DE"/>
        </w:rPr>
        <w:t xml:space="preserve"> </w:t>
      </w:r>
      <w:r w:rsidRPr="00CC6F7E">
        <w:rPr>
          <w:rFonts w:eastAsia="Times New Roman" w:cs="Times New Roman"/>
          <w:lang w:eastAsia="de-DE"/>
        </w:rPr>
        <w:t xml:space="preserve">zeigt Rückkaufoption für unreine Tiere. </w:t>
      </w:r>
      <w:r w:rsidRPr="00CC6F7E">
        <w:rPr>
          <w:rFonts w:eastAsia="Times New Roman" w:cs="Times New Roman"/>
          <w:b/>
          <w:bCs/>
          <w:rtl/>
          <w:lang w:eastAsia="de-DE"/>
        </w:rPr>
        <w:t>ואם־גאל יגאלנה</w:t>
      </w:r>
      <w:r w:rsidRPr="00CC6F7E">
        <w:rPr>
          <w:rFonts w:eastAsia="Times New Roman" w:cs="Times New Roman"/>
          <w:rtl/>
          <w:lang w:eastAsia="de-DE"/>
        </w:rPr>
        <w:t xml:space="preserve"> </w:t>
      </w:r>
      <w:r w:rsidRPr="00CC6F7E">
        <w:rPr>
          <w:rFonts w:eastAsia="Times New Roman" w:cs="Times New Roman"/>
          <w:lang w:eastAsia="de-DE"/>
        </w:rPr>
        <w:t xml:space="preserve">(wenn man es aber lösen will) - </w:t>
      </w:r>
      <w:r w:rsidRPr="00CC6F7E">
        <w:rPr>
          <w:rFonts w:eastAsia="Times New Roman" w:cs="Times New Roman"/>
          <w:b/>
          <w:bCs/>
          <w:rtl/>
          <w:lang w:eastAsia="de-DE"/>
        </w:rPr>
        <w:t>גאל יגאלנה</w:t>
      </w:r>
      <w:r w:rsidRPr="00CC6F7E">
        <w:rPr>
          <w:rFonts w:eastAsia="Times New Roman" w:cs="Times New Roman"/>
          <w:rtl/>
          <w:lang w:eastAsia="de-DE"/>
        </w:rPr>
        <w:t xml:space="preserve"> </w:t>
      </w:r>
      <w:r w:rsidRPr="00CC6F7E">
        <w:rPr>
          <w:rFonts w:eastAsia="Times New Roman" w:cs="Times New Roman"/>
          <w:lang w:eastAsia="de-DE"/>
        </w:rPr>
        <w:t xml:space="preserve">(lösen löst es) mit emphatischer Wiederholung zeigt gewollte Rücknahme. </w:t>
      </w:r>
      <w:r w:rsidRPr="00CC6F7E">
        <w:rPr>
          <w:rFonts w:eastAsia="Times New Roman" w:cs="Times New Roman"/>
          <w:b/>
          <w:bCs/>
          <w:rtl/>
          <w:lang w:eastAsia="de-DE"/>
        </w:rPr>
        <w:t>יגאלנה</w:t>
      </w:r>
      <w:r w:rsidRPr="00CC6F7E">
        <w:rPr>
          <w:rFonts w:eastAsia="Times New Roman" w:cs="Times New Roman"/>
          <w:rtl/>
          <w:lang w:eastAsia="de-DE"/>
        </w:rPr>
        <w:t xml:space="preserve"> </w:t>
      </w:r>
      <w:r w:rsidRPr="00CC6F7E">
        <w:rPr>
          <w:rFonts w:eastAsia="Times New Roman" w:cs="Times New Roman"/>
          <w:lang w:eastAsia="de-DE"/>
        </w:rPr>
        <w:t>(löst es) auf ein weibliches Tier bezogen (</w:t>
      </w:r>
      <w:r w:rsidRPr="00CC6F7E">
        <w:rPr>
          <w:rFonts w:eastAsia="Times New Roman" w:cs="Times New Roman"/>
          <w:b/>
          <w:bCs/>
          <w:rtl/>
          <w:lang w:eastAsia="de-DE"/>
        </w:rPr>
        <w:t>בהמה</w:t>
      </w:r>
      <w:r w:rsidRPr="00CC6F7E">
        <w:rPr>
          <w:rFonts w:eastAsia="Times New Roman" w:cs="Times New Roman"/>
          <w:lang w:eastAsia="de-DE"/>
        </w:rPr>
        <w:t>).</w:t>
      </w:r>
    </w:p>
    <w:p w14:paraId="5AF7D7F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ויסף חמישתו על־ערכך</w:t>
      </w:r>
      <w:r w:rsidRPr="00CC6F7E">
        <w:rPr>
          <w:rFonts w:eastAsia="Times New Roman" w:cs="Times New Roman"/>
          <w:rtl/>
          <w:lang w:eastAsia="de-DE"/>
        </w:rPr>
        <w:t xml:space="preserve"> </w:t>
      </w:r>
      <w:r w:rsidRPr="00CC6F7E">
        <w:rPr>
          <w:rFonts w:eastAsia="Times New Roman" w:cs="Times New Roman"/>
          <w:lang w:eastAsia="de-DE"/>
        </w:rPr>
        <w:t xml:space="preserve">(so soll man ein Fünftel über deine Schätzung hinzufügen) - </w:t>
      </w:r>
      <w:r w:rsidRPr="00CC6F7E">
        <w:rPr>
          <w:rFonts w:eastAsia="Times New Roman" w:cs="Times New Roman"/>
          <w:b/>
          <w:bCs/>
          <w:rtl/>
          <w:lang w:eastAsia="de-DE"/>
        </w:rPr>
        <w:t>ויסף חמישתו</w:t>
      </w:r>
      <w:r w:rsidRPr="00CC6F7E">
        <w:rPr>
          <w:rFonts w:eastAsia="Times New Roman" w:cs="Times New Roman"/>
          <w:rtl/>
          <w:lang w:eastAsia="de-DE"/>
        </w:rPr>
        <w:t xml:space="preserve"> </w:t>
      </w:r>
      <w:r w:rsidRPr="00CC6F7E">
        <w:rPr>
          <w:rFonts w:eastAsia="Times New Roman" w:cs="Times New Roman"/>
          <w:lang w:eastAsia="de-DE"/>
        </w:rPr>
        <w:t xml:space="preserve">(und er soll sein Fünftel hinzufügen) zeigt 20%-Aufschlag. </w:t>
      </w:r>
      <w:r w:rsidRPr="00CC6F7E">
        <w:rPr>
          <w:rFonts w:eastAsia="Times New Roman" w:cs="Times New Roman"/>
          <w:b/>
          <w:bCs/>
          <w:rtl/>
          <w:lang w:eastAsia="de-DE"/>
        </w:rPr>
        <w:t>על־ערכך</w:t>
      </w:r>
      <w:r w:rsidRPr="00CC6F7E">
        <w:rPr>
          <w:rFonts w:eastAsia="Times New Roman" w:cs="Times New Roman"/>
          <w:rtl/>
          <w:lang w:eastAsia="de-DE"/>
        </w:rPr>
        <w:t xml:space="preserve"> </w:t>
      </w:r>
      <w:r w:rsidRPr="00CC6F7E">
        <w:rPr>
          <w:rFonts w:eastAsia="Times New Roman" w:cs="Times New Roman"/>
          <w:lang w:eastAsia="de-DE"/>
        </w:rPr>
        <w:t>(über deine Schätzung) bezieht sich auf die priesterliche Schätzung aus V. 12.</w:t>
      </w:r>
    </w:p>
    <w:p w14:paraId="71253CF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Das Ein-Fünftel-System (20% Aufschlag) erscheint mehrfach in diesem Kapitel als Standardaufschlag für Rückkäufe.</w:t>
      </w:r>
    </w:p>
    <w:p w14:paraId="3CA134A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גאל יגאלנה</w:t>
      </w:r>
      <w:r w:rsidRPr="00CC6F7E">
        <w:rPr>
          <w:rFonts w:eastAsia="Times New Roman" w:cs="Times New Roman"/>
          <w:rtl/>
          <w:lang w:eastAsia="de-DE"/>
        </w:rPr>
        <w:t xml:space="preserve"> </w:t>
      </w:r>
      <w:r w:rsidRPr="00CC6F7E">
        <w:rPr>
          <w:rFonts w:eastAsia="Times New Roman" w:cs="Times New Roman"/>
          <w:lang w:eastAsia="de-DE"/>
        </w:rPr>
        <w:t xml:space="preserve">zeigt </w:t>
      </w:r>
      <w:r w:rsidRPr="00CC6F7E">
        <w:rPr>
          <w:rFonts w:eastAsia="Times New Roman" w:cs="Times New Roman"/>
          <w:b/>
          <w:bCs/>
          <w:rtl/>
          <w:lang w:eastAsia="de-DE"/>
        </w:rPr>
        <w:t>גאל</w:t>
      </w:r>
      <w:r w:rsidRPr="00CC6F7E">
        <w:rPr>
          <w:rFonts w:eastAsia="Times New Roman" w:cs="Times New Roman"/>
          <w:lang w:eastAsia="de-DE"/>
        </w:rPr>
        <w:t xml:space="preserve">-Terminologie für Rückkauf. </w:t>
      </w:r>
      <w:r w:rsidRPr="00CC6F7E">
        <w:rPr>
          <w:rFonts w:eastAsia="Times New Roman" w:cs="Times New Roman"/>
          <w:b/>
          <w:bCs/>
          <w:rtl/>
          <w:lang w:eastAsia="de-DE"/>
        </w:rPr>
        <w:t>חמישתו</w:t>
      </w:r>
      <w:r w:rsidRPr="00CC6F7E">
        <w:rPr>
          <w:rFonts w:eastAsia="Times New Roman" w:cs="Times New Roman"/>
          <w:rtl/>
          <w:lang w:eastAsia="de-DE"/>
        </w:rPr>
        <w:t xml:space="preserve"> </w:t>
      </w:r>
      <w:r w:rsidRPr="00CC6F7E">
        <w:rPr>
          <w:rFonts w:eastAsia="Times New Roman" w:cs="Times New Roman"/>
          <w:lang w:eastAsia="de-DE"/>
        </w:rPr>
        <w:t xml:space="preserve">zeigt Standard-20%-Aufschlag. </w:t>
      </w:r>
      <w:r w:rsidRPr="00CC6F7E">
        <w:rPr>
          <w:rFonts w:eastAsia="Times New Roman" w:cs="Times New Roman"/>
          <w:b/>
          <w:bCs/>
          <w:rtl/>
          <w:lang w:eastAsia="de-DE"/>
        </w:rPr>
        <w:t>על־ערכך</w:t>
      </w:r>
      <w:r w:rsidRPr="00CC6F7E">
        <w:rPr>
          <w:rFonts w:eastAsia="Times New Roman" w:cs="Times New Roman"/>
          <w:rtl/>
          <w:lang w:eastAsia="de-DE"/>
        </w:rPr>
        <w:t xml:space="preserve"> </w:t>
      </w:r>
      <w:r w:rsidRPr="00CC6F7E">
        <w:rPr>
          <w:rFonts w:eastAsia="Times New Roman" w:cs="Times New Roman"/>
          <w:lang w:eastAsia="de-DE"/>
        </w:rPr>
        <w:t>bezieht sich auf priesterliche Schätzung.</w:t>
      </w:r>
    </w:p>
    <w:p w14:paraId="0F6D27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גאל יגאלנה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λυτρούμενος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ὐτό</w:t>
      </w:r>
      <w:proofErr w:type="spellEnd"/>
      <w:r w:rsidRPr="00CC6F7E">
        <w:rPr>
          <w:rFonts w:eastAsia="Times New Roman" w:cs="Times New Roman"/>
          <w:lang w:eastAsia="de-DE"/>
        </w:rPr>
        <w:t xml:space="preserve"> (lösend wird er es lösen), </w:t>
      </w:r>
      <w:r w:rsidRPr="00CC6F7E">
        <w:rPr>
          <w:rFonts w:eastAsia="Times New Roman" w:cs="Times New Roman"/>
          <w:b/>
          <w:bCs/>
          <w:rtl/>
          <w:lang w:eastAsia="de-DE"/>
        </w:rPr>
        <w:t>ויסף</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ροσθήσει</w:t>
      </w:r>
      <w:proofErr w:type="spellEnd"/>
      <w:r w:rsidRPr="00CC6F7E">
        <w:rPr>
          <w:rFonts w:eastAsia="Times New Roman" w:cs="Times New Roman"/>
          <w:lang w:eastAsia="de-DE"/>
        </w:rPr>
        <w:t xml:space="preserve"> (wird hinzufügen) und </w:t>
      </w:r>
      <w:r w:rsidRPr="00CC6F7E">
        <w:rPr>
          <w:rFonts w:eastAsia="Times New Roman" w:cs="Times New Roman"/>
          <w:b/>
          <w:bCs/>
          <w:rtl/>
          <w:lang w:eastAsia="de-DE"/>
        </w:rPr>
        <w:t>חמישתו</w:t>
      </w:r>
      <w:r w:rsidRPr="00CC6F7E">
        <w:rPr>
          <w:rFonts w:eastAsia="Times New Roman" w:cs="Times New Roman"/>
          <w:rtl/>
          <w:lang w:eastAsia="de-DE"/>
        </w:rPr>
        <w:t xml:space="preserve"> </w:t>
      </w:r>
      <w:r w:rsidRPr="00CC6F7E">
        <w:rPr>
          <w:rFonts w:eastAsia="Times New Roman" w:cs="Times New Roman"/>
          <w:lang w:eastAsia="de-DE"/>
        </w:rPr>
        <w:t>mit ἐπίπ</w:t>
      </w:r>
      <w:proofErr w:type="spellStart"/>
      <w:r w:rsidRPr="00CC6F7E">
        <w:rPr>
          <w:rFonts w:eastAsia="Times New Roman" w:cs="Times New Roman"/>
          <w:lang w:eastAsia="de-DE"/>
        </w:rPr>
        <w:t>εμ</w:t>
      </w:r>
      <w:proofErr w:type="spellEnd"/>
      <w:r w:rsidRPr="00CC6F7E">
        <w:rPr>
          <w:rFonts w:eastAsia="Times New Roman" w:cs="Times New Roman"/>
          <w:lang w:eastAsia="de-DE"/>
        </w:rPr>
        <w:t>πτον (ein Fünftel).</w:t>
      </w:r>
    </w:p>
    <w:p w14:paraId="699B0F7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Rückkauf-Option: wenn lösen will + Fünftel hinzufügen + über deine Schätzung.</w:t>
      </w:r>
    </w:p>
    <w:p w14:paraId="7CAC7DA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ermöglicht Rückkauf unreiner Tiere mit 20%-Aufschlag auf die priesterliche Schätzung.</w:t>
      </w:r>
    </w:p>
    <w:p w14:paraId="005E39F5"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27,14</w:t>
      </w:r>
    </w:p>
    <w:p w14:paraId="39E212E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וְאִ֗ישׁ כִּֽי־יַקְדִּ֨שׁ אֶת־בֵּיתֹ֥ו קֹ֨דֶשׁ֙ לַֽיהוָ֔ה וְהֶעֱרִיכוֹ֙ הַכֹּהֵ֔ן בֵּ֥ין ט֖וֹב וּבֵ֣ין רָ֑ע כַּאֲשֶׁ֨ר יַעֲרִ֥יךְ אֹתוֹ֛ הַכֹּהֵ֖ן כֵּ֥ן יָקֽוּם׃</w:t>
      </w:r>
    </w:p>
    <w:p w14:paraId="30FB991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jemand sein Haus dem Ewigen heiligt, so soll der Priester es schätzen, ob es gut oder schlecht sei; wie der Priester es schätzt, so soll es bestehen.</w:t>
      </w:r>
    </w:p>
    <w:p w14:paraId="3F2CA43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F48A645">
          <v:rect id="_x0000_i1863" style="width:0;height:1.5pt" o:hralign="center" o:hrstd="t" o:hr="t" fillcolor="#a0a0a0" stroked="f"/>
        </w:pict>
      </w:r>
    </w:p>
    <w:p w14:paraId="2EA436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ואיש כי־יקדיש את־ביתו קדש ליהוה והעריכו הכהן בין טוב ובין רע כאשר יעריך אתו הכהן כן יקום</w:t>
      </w:r>
      <w:r w:rsidRPr="00CC6F7E">
        <w:rPr>
          <w:rFonts w:eastAsia="Times New Roman" w:cs="Times New Roman"/>
          <w:rtl/>
          <w:lang w:eastAsia="de-DE"/>
        </w:rPr>
        <w:t xml:space="preserve"> </w:t>
      </w:r>
      <w:r w:rsidRPr="00CC6F7E">
        <w:rPr>
          <w:rFonts w:eastAsia="Times New Roman" w:cs="Times New Roman"/>
          <w:lang w:eastAsia="de-DE"/>
        </w:rPr>
        <w:t xml:space="preserve">führt Haus-Gelübde ein. </w:t>
      </w:r>
      <w:r w:rsidRPr="00CC6F7E">
        <w:rPr>
          <w:rFonts w:eastAsia="Times New Roman" w:cs="Times New Roman"/>
          <w:b/>
          <w:bCs/>
          <w:rtl/>
          <w:lang w:eastAsia="de-DE"/>
        </w:rPr>
        <w:t>ואיש כי־יקדיש את־ביתו קדש ליהוה</w:t>
      </w:r>
      <w:r w:rsidRPr="00CC6F7E">
        <w:rPr>
          <w:rFonts w:eastAsia="Times New Roman" w:cs="Times New Roman"/>
          <w:rtl/>
          <w:lang w:eastAsia="de-DE"/>
        </w:rPr>
        <w:t xml:space="preserve"> </w:t>
      </w:r>
      <w:r w:rsidRPr="00CC6F7E">
        <w:rPr>
          <w:rFonts w:eastAsia="Times New Roman" w:cs="Times New Roman"/>
          <w:lang w:eastAsia="de-DE"/>
        </w:rPr>
        <w:t xml:space="preserve">(und wenn jemand sein Haus dem Ewigen heiligt) - </w:t>
      </w:r>
      <w:r w:rsidRPr="00CC6F7E">
        <w:rPr>
          <w:rFonts w:eastAsia="Times New Roman" w:cs="Times New Roman"/>
          <w:b/>
          <w:bCs/>
          <w:rtl/>
          <w:lang w:eastAsia="de-DE"/>
        </w:rPr>
        <w:t>יקדיש את־ביתו קדש</w:t>
      </w:r>
      <w:r w:rsidRPr="00CC6F7E">
        <w:rPr>
          <w:rFonts w:eastAsia="Times New Roman" w:cs="Times New Roman"/>
          <w:rtl/>
          <w:lang w:eastAsia="de-DE"/>
        </w:rPr>
        <w:t xml:space="preserve"> </w:t>
      </w:r>
      <w:r w:rsidRPr="00CC6F7E">
        <w:rPr>
          <w:rFonts w:eastAsia="Times New Roman" w:cs="Times New Roman"/>
          <w:lang w:eastAsia="de-DE"/>
        </w:rPr>
        <w:t xml:space="preserve">(heiligt sein Haus als Heiliges) zeigt Haus-Weihe. </w:t>
      </w:r>
      <w:r w:rsidRPr="00CC6F7E">
        <w:rPr>
          <w:rFonts w:eastAsia="Times New Roman" w:cs="Times New Roman"/>
          <w:b/>
          <w:bCs/>
          <w:rtl/>
          <w:lang w:eastAsia="de-DE"/>
        </w:rPr>
        <w:t>ביתו</w:t>
      </w:r>
      <w:r w:rsidRPr="00CC6F7E">
        <w:rPr>
          <w:rFonts w:eastAsia="Times New Roman" w:cs="Times New Roman"/>
          <w:rtl/>
          <w:lang w:eastAsia="de-DE"/>
        </w:rPr>
        <w:t xml:space="preserve"> </w:t>
      </w:r>
      <w:r w:rsidRPr="00CC6F7E">
        <w:rPr>
          <w:rFonts w:eastAsia="Times New Roman" w:cs="Times New Roman"/>
          <w:lang w:eastAsia="de-DE"/>
        </w:rPr>
        <w:t>(sein Haus) zeigt Immobilien-Gelübde.</w:t>
      </w:r>
    </w:p>
    <w:p w14:paraId="6CBC942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והעריכו הכהן בין טוב ובין רע</w:t>
      </w:r>
      <w:r w:rsidRPr="00CC6F7E">
        <w:rPr>
          <w:rFonts w:eastAsia="Times New Roman" w:cs="Times New Roman"/>
          <w:rtl/>
          <w:lang w:eastAsia="de-DE"/>
        </w:rPr>
        <w:t xml:space="preserve"> </w:t>
      </w:r>
      <w:r w:rsidRPr="00CC6F7E">
        <w:rPr>
          <w:rFonts w:eastAsia="Times New Roman" w:cs="Times New Roman"/>
          <w:lang w:eastAsia="de-DE"/>
        </w:rPr>
        <w:t>(so soll der Priester es schätzen, ob es gut oder schlecht sei) entspricht V. 12 und zeigt priesterliche Qualitätsbewertung.</w:t>
      </w:r>
    </w:p>
    <w:p w14:paraId="198BAC8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כאשר יעריך אתו הכהן כן יקום</w:t>
      </w:r>
      <w:r w:rsidRPr="00CC6F7E">
        <w:rPr>
          <w:rFonts w:eastAsia="Times New Roman" w:cs="Times New Roman"/>
          <w:rtl/>
          <w:lang w:eastAsia="de-DE"/>
        </w:rPr>
        <w:t xml:space="preserve"> </w:t>
      </w:r>
      <w:r w:rsidRPr="00CC6F7E">
        <w:rPr>
          <w:rFonts w:eastAsia="Times New Roman" w:cs="Times New Roman"/>
          <w:lang w:eastAsia="de-DE"/>
        </w:rPr>
        <w:t xml:space="preserve">(wie der Priester es schätzt, so soll es bestehen) - </w:t>
      </w:r>
      <w:r w:rsidRPr="00CC6F7E">
        <w:rPr>
          <w:rFonts w:eastAsia="Times New Roman" w:cs="Times New Roman"/>
          <w:b/>
          <w:bCs/>
          <w:rtl/>
          <w:lang w:eastAsia="de-DE"/>
        </w:rPr>
        <w:t>כאשר יעריך אתו הכהן</w:t>
      </w:r>
      <w:r w:rsidRPr="00CC6F7E">
        <w:rPr>
          <w:rFonts w:eastAsia="Times New Roman" w:cs="Times New Roman"/>
          <w:rtl/>
          <w:lang w:eastAsia="de-DE"/>
        </w:rPr>
        <w:t xml:space="preserve"> </w:t>
      </w:r>
      <w:r w:rsidRPr="00CC6F7E">
        <w:rPr>
          <w:rFonts w:eastAsia="Times New Roman" w:cs="Times New Roman"/>
          <w:lang w:eastAsia="de-DE"/>
        </w:rPr>
        <w:t xml:space="preserve">(wie der Priester es schätzt) bekräftigt priesterliche Autorität. </w:t>
      </w:r>
      <w:r w:rsidRPr="00CC6F7E">
        <w:rPr>
          <w:rFonts w:eastAsia="Times New Roman" w:cs="Times New Roman"/>
          <w:b/>
          <w:bCs/>
          <w:rtl/>
          <w:lang w:eastAsia="de-DE"/>
        </w:rPr>
        <w:t>כן יקום</w:t>
      </w:r>
      <w:r w:rsidRPr="00CC6F7E">
        <w:rPr>
          <w:rFonts w:eastAsia="Times New Roman" w:cs="Times New Roman"/>
          <w:rtl/>
          <w:lang w:eastAsia="de-DE"/>
        </w:rPr>
        <w:t xml:space="preserve"> </w:t>
      </w:r>
      <w:r w:rsidRPr="00CC6F7E">
        <w:rPr>
          <w:rFonts w:eastAsia="Times New Roman" w:cs="Times New Roman"/>
          <w:lang w:eastAsia="de-DE"/>
        </w:rPr>
        <w:t xml:space="preserve">(so soll es bestehen) zeigt Verbindlichkeit entsprechend V. 12 </w:t>
      </w:r>
      <w:r w:rsidRPr="00CC6F7E">
        <w:rPr>
          <w:rFonts w:eastAsia="Times New Roman" w:cs="Times New Roman"/>
          <w:b/>
          <w:bCs/>
          <w:rtl/>
          <w:lang w:eastAsia="de-DE"/>
        </w:rPr>
        <w:t>כן יהיה</w:t>
      </w:r>
      <w:r w:rsidRPr="00CC6F7E">
        <w:rPr>
          <w:rFonts w:eastAsia="Times New Roman" w:cs="Times New Roman"/>
          <w:lang w:eastAsia="de-DE"/>
        </w:rPr>
        <w:t>.</w:t>
      </w:r>
    </w:p>
    <w:p w14:paraId="1E66784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יקדיש את־ביתו קדש</w:t>
      </w:r>
      <w:r w:rsidRPr="00CC6F7E">
        <w:rPr>
          <w:rFonts w:eastAsia="Times New Roman" w:cs="Times New Roman"/>
          <w:rtl/>
          <w:lang w:eastAsia="de-DE"/>
        </w:rPr>
        <w:t xml:space="preserve"> </w:t>
      </w:r>
      <w:r w:rsidRPr="00CC6F7E">
        <w:rPr>
          <w:rFonts w:eastAsia="Times New Roman" w:cs="Times New Roman"/>
          <w:lang w:eastAsia="de-DE"/>
        </w:rPr>
        <w:t xml:space="preserve">zeigt Haus-Heiligung. </w:t>
      </w:r>
      <w:r w:rsidRPr="00CC6F7E">
        <w:rPr>
          <w:rFonts w:eastAsia="Times New Roman" w:cs="Times New Roman"/>
          <w:b/>
          <w:bCs/>
          <w:rtl/>
          <w:lang w:eastAsia="de-DE"/>
        </w:rPr>
        <w:t>בין טוב ובין רע</w:t>
      </w:r>
      <w:r w:rsidRPr="00CC6F7E">
        <w:rPr>
          <w:rFonts w:eastAsia="Times New Roman" w:cs="Times New Roman"/>
          <w:rtl/>
          <w:lang w:eastAsia="de-DE"/>
        </w:rPr>
        <w:t xml:space="preserve"> </w:t>
      </w:r>
      <w:r w:rsidRPr="00CC6F7E">
        <w:rPr>
          <w:rFonts w:eastAsia="Times New Roman" w:cs="Times New Roman"/>
          <w:lang w:eastAsia="de-DE"/>
        </w:rPr>
        <w:t xml:space="preserve">zeigt Qualitätsspektrum wie bei Tieren. </w:t>
      </w:r>
      <w:r w:rsidRPr="00CC6F7E">
        <w:rPr>
          <w:rFonts w:eastAsia="Times New Roman" w:cs="Times New Roman"/>
          <w:b/>
          <w:bCs/>
          <w:rtl/>
          <w:lang w:eastAsia="de-DE"/>
        </w:rPr>
        <w:t>כאשר יעריך...כן יקום</w:t>
      </w:r>
      <w:r w:rsidRPr="00CC6F7E">
        <w:rPr>
          <w:rFonts w:eastAsia="Times New Roman" w:cs="Times New Roman"/>
          <w:rtl/>
          <w:lang w:eastAsia="de-DE"/>
        </w:rPr>
        <w:t xml:space="preserve"> </w:t>
      </w:r>
      <w:r w:rsidRPr="00CC6F7E">
        <w:rPr>
          <w:rFonts w:eastAsia="Times New Roman" w:cs="Times New Roman"/>
          <w:lang w:eastAsia="de-DE"/>
        </w:rPr>
        <w:t>zeigt priesterliche Schätzungshoheit auch bei Immobilien.</w:t>
      </w:r>
    </w:p>
    <w:p w14:paraId="5C222A3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יקדיש את־ביתו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ἁγιάσῃ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οἰκί</w:t>
      </w:r>
      <w:proofErr w:type="spellEnd"/>
      <w:r w:rsidRPr="00CC6F7E">
        <w:rPr>
          <w:rFonts w:eastAsia="Times New Roman" w:cs="Times New Roman"/>
          <w:lang w:eastAsia="de-DE"/>
        </w:rPr>
        <w:t>αν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(heiligt sein Haus), </w:t>
      </w:r>
      <w:r w:rsidRPr="00CC6F7E">
        <w:rPr>
          <w:rFonts w:eastAsia="Times New Roman" w:cs="Times New Roman"/>
          <w:b/>
          <w:bCs/>
          <w:rtl/>
          <w:lang w:eastAsia="de-DE"/>
        </w:rPr>
        <w:t>קדש ליהוה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ἁγί</w:t>
      </w:r>
      <w:proofErr w:type="spellEnd"/>
      <w:r w:rsidRPr="00CC6F7E">
        <w:rPr>
          <w:rFonts w:eastAsia="Times New Roman" w:cs="Times New Roman"/>
          <w:lang w:eastAsia="de-DE"/>
        </w:rPr>
        <w:t xml:space="preserve">αν </w:t>
      </w:r>
      <w:proofErr w:type="spellStart"/>
      <w:r w:rsidRPr="00CC6F7E">
        <w:rPr>
          <w:rFonts w:eastAsia="Times New Roman" w:cs="Times New Roman"/>
          <w:lang w:eastAsia="de-DE"/>
        </w:rPr>
        <w:t>κυρίῳ</w:t>
      </w:r>
      <w:proofErr w:type="spellEnd"/>
      <w:r w:rsidRPr="00CC6F7E">
        <w:rPr>
          <w:rFonts w:eastAsia="Times New Roman" w:cs="Times New Roman"/>
          <w:lang w:eastAsia="de-DE"/>
        </w:rPr>
        <w:t xml:space="preserve"> (heilig dem Herrn), </w:t>
      </w:r>
      <w:r w:rsidRPr="00CC6F7E">
        <w:rPr>
          <w:rFonts w:eastAsia="Times New Roman" w:cs="Times New Roman"/>
          <w:b/>
          <w:bCs/>
          <w:rtl/>
          <w:lang w:eastAsia="de-DE"/>
        </w:rPr>
        <w:t>והעריכו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τιμήσετ</w:t>
      </w:r>
      <w:proofErr w:type="spellEnd"/>
      <w:r w:rsidRPr="00CC6F7E">
        <w:rPr>
          <w:rFonts w:eastAsia="Times New Roman" w:cs="Times New Roman"/>
          <w:lang w:eastAsia="de-DE"/>
        </w:rPr>
        <w:t xml:space="preserve">αι (wird geschätzt werden) und </w:t>
      </w:r>
      <w:r w:rsidRPr="00CC6F7E">
        <w:rPr>
          <w:rFonts w:eastAsia="Times New Roman" w:cs="Times New Roman"/>
          <w:b/>
          <w:bCs/>
          <w:rtl/>
          <w:lang w:eastAsia="de-DE"/>
        </w:rPr>
        <w:t>כן יקום</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οὕτως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στ</w:t>
      </w:r>
      <w:proofErr w:type="spellEnd"/>
      <w:r w:rsidRPr="00CC6F7E">
        <w:rPr>
          <w:rFonts w:eastAsia="Times New Roman" w:cs="Times New Roman"/>
          <w:lang w:eastAsia="de-DE"/>
        </w:rPr>
        <w:t>αθήσεται (so wird es stehen).</w:t>
      </w:r>
    </w:p>
    <w:p w14:paraId="25B97C2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Haus-Gelübde: Mann heiligt sein Haus JHWH + Priester schätzt zwischen gut und schlecht + wie Priester schätzt so bestehe es.</w:t>
      </w:r>
    </w:p>
    <w:p w14:paraId="57DDDD8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erweitert Gelübde auf Immobilien mit derselben priesterlichen Schätzungsautorität wie bei Tieren.</w:t>
      </w:r>
    </w:p>
    <w:p w14:paraId="7587942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27,15</w:t>
      </w:r>
    </w:p>
    <w:p w14:paraId="6D4C54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וְאִ֨ם־הַמַּקְדִּ֔ישׁ יִגְאַ֖ל אֶת־בֵּיתֹ֑ו וְ֠יָסַף חֲמִישִׁ֧ית כֶּֽסֶף־עֶרְכְּךָ֛ עָלָ֖יו וְהָ֥יָה לוֹ׃</w:t>
      </w:r>
    </w:p>
    <w:p w14:paraId="24629BC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wenn der Heiligende sein Haus lösen will, so soll er ein Fünftel des Geldes deiner Schätzung darüber hinzufügen, und es soll ihm gehören.</w:t>
      </w:r>
    </w:p>
    <w:p w14:paraId="75FFFEF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11F5BB0">
          <v:rect id="_x0000_i1864" style="width:0;height:1.5pt" o:hralign="center" o:hrstd="t" o:hr="t" fillcolor="#a0a0a0" stroked="f"/>
        </w:pict>
      </w:r>
    </w:p>
    <w:p w14:paraId="78E5D88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ואם־המקדיש יגאל את־ביתו ויסף חמישית כסף־ערכך עליו והיה לו</w:t>
      </w:r>
      <w:r w:rsidRPr="00CC6F7E">
        <w:rPr>
          <w:rFonts w:eastAsia="Times New Roman" w:cs="Times New Roman"/>
          <w:rtl/>
          <w:lang w:eastAsia="de-DE"/>
        </w:rPr>
        <w:t xml:space="preserve"> </w:t>
      </w:r>
      <w:r w:rsidRPr="00CC6F7E">
        <w:rPr>
          <w:rFonts w:eastAsia="Times New Roman" w:cs="Times New Roman"/>
          <w:lang w:eastAsia="de-DE"/>
        </w:rPr>
        <w:t xml:space="preserve">zeigt Haus-Rückkaufoption. </w:t>
      </w:r>
      <w:r w:rsidRPr="00CC6F7E">
        <w:rPr>
          <w:rFonts w:eastAsia="Times New Roman" w:cs="Times New Roman"/>
          <w:b/>
          <w:bCs/>
          <w:rtl/>
          <w:lang w:eastAsia="de-DE"/>
        </w:rPr>
        <w:t>ואם־המקדיש יגאל את־ביתו</w:t>
      </w:r>
      <w:r w:rsidRPr="00CC6F7E">
        <w:rPr>
          <w:rFonts w:eastAsia="Times New Roman" w:cs="Times New Roman"/>
          <w:rtl/>
          <w:lang w:eastAsia="de-DE"/>
        </w:rPr>
        <w:t xml:space="preserve"> </w:t>
      </w:r>
      <w:r w:rsidRPr="00CC6F7E">
        <w:rPr>
          <w:rFonts w:eastAsia="Times New Roman" w:cs="Times New Roman"/>
          <w:lang w:eastAsia="de-DE"/>
        </w:rPr>
        <w:t xml:space="preserve">(und wenn der Heiligende sein Haus lösen will) - </w:t>
      </w:r>
      <w:r w:rsidRPr="00CC6F7E">
        <w:rPr>
          <w:rFonts w:eastAsia="Times New Roman" w:cs="Times New Roman"/>
          <w:b/>
          <w:bCs/>
          <w:rtl/>
          <w:lang w:eastAsia="de-DE"/>
        </w:rPr>
        <w:t>המקדיש</w:t>
      </w:r>
      <w:r w:rsidRPr="00CC6F7E">
        <w:rPr>
          <w:rFonts w:eastAsia="Times New Roman" w:cs="Times New Roman"/>
          <w:rtl/>
          <w:lang w:eastAsia="de-DE"/>
        </w:rPr>
        <w:t xml:space="preserve"> </w:t>
      </w:r>
      <w:r w:rsidRPr="00CC6F7E">
        <w:rPr>
          <w:rFonts w:eastAsia="Times New Roman" w:cs="Times New Roman"/>
          <w:lang w:eastAsia="de-DE"/>
        </w:rPr>
        <w:t xml:space="preserve">(der Heiligende) zeigt den ursprünglichen Weihenden. </w:t>
      </w:r>
      <w:r w:rsidRPr="00CC6F7E">
        <w:rPr>
          <w:rFonts w:eastAsia="Times New Roman" w:cs="Times New Roman"/>
          <w:b/>
          <w:bCs/>
          <w:rtl/>
          <w:lang w:eastAsia="de-DE"/>
        </w:rPr>
        <w:t>יגאל את־ביתו</w:t>
      </w:r>
      <w:r w:rsidRPr="00CC6F7E">
        <w:rPr>
          <w:rFonts w:eastAsia="Times New Roman" w:cs="Times New Roman"/>
          <w:rtl/>
          <w:lang w:eastAsia="de-DE"/>
        </w:rPr>
        <w:t xml:space="preserve"> </w:t>
      </w:r>
      <w:r w:rsidRPr="00CC6F7E">
        <w:rPr>
          <w:rFonts w:eastAsia="Times New Roman" w:cs="Times New Roman"/>
          <w:lang w:eastAsia="de-DE"/>
        </w:rPr>
        <w:t xml:space="preserve">(löst sein Haus) zeigt </w:t>
      </w:r>
      <w:r w:rsidRPr="00CC6F7E">
        <w:rPr>
          <w:rFonts w:eastAsia="Times New Roman" w:cs="Times New Roman"/>
          <w:b/>
          <w:bCs/>
          <w:rtl/>
          <w:lang w:eastAsia="de-DE"/>
        </w:rPr>
        <w:t>גאל</w:t>
      </w:r>
      <w:r w:rsidRPr="00CC6F7E">
        <w:rPr>
          <w:rFonts w:eastAsia="Times New Roman" w:cs="Times New Roman"/>
          <w:lang w:eastAsia="de-DE"/>
        </w:rPr>
        <w:t>-Terminologie für Immobilien.</w:t>
      </w:r>
    </w:p>
    <w:p w14:paraId="24B0518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ויסף חמישית כסף־ערכך עליו</w:t>
      </w:r>
      <w:r w:rsidRPr="00CC6F7E">
        <w:rPr>
          <w:rFonts w:eastAsia="Times New Roman" w:cs="Times New Roman"/>
          <w:rtl/>
          <w:lang w:eastAsia="de-DE"/>
        </w:rPr>
        <w:t xml:space="preserve"> </w:t>
      </w:r>
      <w:r w:rsidRPr="00CC6F7E">
        <w:rPr>
          <w:rFonts w:eastAsia="Times New Roman" w:cs="Times New Roman"/>
          <w:lang w:eastAsia="de-DE"/>
        </w:rPr>
        <w:t xml:space="preserve">(so soll er ein Fünftel des Geldes deiner Schätzung darüber hinzufügen) - </w:t>
      </w:r>
      <w:r w:rsidRPr="00CC6F7E">
        <w:rPr>
          <w:rFonts w:eastAsia="Times New Roman" w:cs="Times New Roman"/>
          <w:b/>
          <w:bCs/>
          <w:rtl/>
          <w:lang w:eastAsia="de-DE"/>
        </w:rPr>
        <w:t>חמישית כסף־ערכך</w:t>
      </w:r>
      <w:r w:rsidRPr="00CC6F7E">
        <w:rPr>
          <w:rFonts w:eastAsia="Times New Roman" w:cs="Times New Roman"/>
          <w:rtl/>
          <w:lang w:eastAsia="de-DE"/>
        </w:rPr>
        <w:t xml:space="preserve"> </w:t>
      </w:r>
      <w:r w:rsidRPr="00CC6F7E">
        <w:rPr>
          <w:rFonts w:eastAsia="Times New Roman" w:cs="Times New Roman"/>
          <w:lang w:eastAsia="de-DE"/>
        </w:rPr>
        <w:t xml:space="preserve">(ein Fünftel des Geldes deiner Schätzung) spezifiziert </w:t>
      </w:r>
      <w:r w:rsidRPr="00CC6F7E">
        <w:rPr>
          <w:rFonts w:eastAsia="Times New Roman" w:cs="Times New Roman"/>
          <w:b/>
          <w:bCs/>
          <w:rtl/>
          <w:lang w:eastAsia="de-DE"/>
        </w:rPr>
        <w:t>כסף</w:t>
      </w:r>
      <w:r w:rsidRPr="00CC6F7E">
        <w:rPr>
          <w:rFonts w:eastAsia="Times New Roman" w:cs="Times New Roman"/>
          <w:rtl/>
          <w:lang w:eastAsia="de-DE"/>
        </w:rPr>
        <w:t xml:space="preserve"> </w:t>
      </w:r>
      <w:r w:rsidRPr="00CC6F7E">
        <w:rPr>
          <w:rFonts w:eastAsia="Times New Roman" w:cs="Times New Roman"/>
          <w:lang w:eastAsia="de-DE"/>
        </w:rPr>
        <w:t xml:space="preserve">(Geld) und bezieht sich auf die priesterliche Schätzung. </w:t>
      </w:r>
      <w:r w:rsidRPr="00CC6F7E">
        <w:rPr>
          <w:rFonts w:eastAsia="Times New Roman" w:cs="Times New Roman"/>
          <w:b/>
          <w:bCs/>
          <w:rtl/>
          <w:lang w:eastAsia="de-DE"/>
        </w:rPr>
        <w:t>עליו</w:t>
      </w:r>
      <w:r w:rsidRPr="00CC6F7E">
        <w:rPr>
          <w:rFonts w:eastAsia="Times New Roman" w:cs="Times New Roman"/>
          <w:rtl/>
          <w:lang w:eastAsia="de-DE"/>
        </w:rPr>
        <w:t xml:space="preserve"> </w:t>
      </w:r>
      <w:r w:rsidRPr="00CC6F7E">
        <w:rPr>
          <w:rFonts w:eastAsia="Times New Roman" w:cs="Times New Roman"/>
          <w:lang w:eastAsia="de-DE"/>
        </w:rPr>
        <w:t>(darüber) zeigt Aufschlag.</w:t>
      </w:r>
    </w:p>
    <w:p w14:paraId="1B34F24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לו</w:t>
      </w:r>
      <w:r w:rsidRPr="00CC6F7E">
        <w:rPr>
          <w:rFonts w:eastAsia="Times New Roman" w:cs="Times New Roman"/>
          <w:rtl/>
          <w:lang w:eastAsia="de-DE"/>
        </w:rPr>
        <w:t xml:space="preserve"> </w:t>
      </w:r>
      <w:r w:rsidRPr="00CC6F7E">
        <w:rPr>
          <w:rFonts w:eastAsia="Times New Roman" w:cs="Times New Roman"/>
          <w:lang w:eastAsia="de-DE"/>
        </w:rPr>
        <w:t>(und es soll ihm gehören) zeigt erfolgreiche Rückübertragung des Eigentumsrechts.</w:t>
      </w:r>
    </w:p>
    <w:p w14:paraId="593F4A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המקדיש</w:t>
      </w:r>
      <w:r w:rsidRPr="00CC6F7E">
        <w:rPr>
          <w:rFonts w:eastAsia="Times New Roman" w:cs="Times New Roman"/>
          <w:rtl/>
          <w:lang w:eastAsia="de-DE"/>
        </w:rPr>
        <w:t xml:space="preserve"> </w:t>
      </w:r>
      <w:r w:rsidRPr="00CC6F7E">
        <w:rPr>
          <w:rFonts w:eastAsia="Times New Roman" w:cs="Times New Roman"/>
          <w:lang w:eastAsia="de-DE"/>
        </w:rPr>
        <w:t xml:space="preserve">zeigt ursprünglichen Weihenden als Rückkaufberechtigen. </w:t>
      </w:r>
      <w:r w:rsidRPr="00CC6F7E">
        <w:rPr>
          <w:rFonts w:eastAsia="Times New Roman" w:cs="Times New Roman"/>
          <w:b/>
          <w:bCs/>
          <w:rtl/>
          <w:lang w:eastAsia="de-DE"/>
        </w:rPr>
        <w:t>חמישית כסף־ערכך</w:t>
      </w:r>
      <w:r w:rsidRPr="00CC6F7E">
        <w:rPr>
          <w:rFonts w:eastAsia="Times New Roman" w:cs="Times New Roman"/>
          <w:rtl/>
          <w:lang w:eastAsia="de-DE"/>
        </w:rPr>
        <w:t xml:space="preserve"> </w:t>
      </w:r>
      <w:r w:rsidRPr="00CC6F7E">
        <w:rPr>
          <w:rFonts w:eastAsia="Times New Roman" w:cs="Times New Roman"/>
          <w:lang w:eastAsia="de-DE"/>
        </w:rPr>
        <w:t xml:space="preserve">spezifiziert Geld-Aufschlag. </w:t>
      </w:r>
      <w:r w:rsidRPr="00CC6F7E">
        <w:rPr>
          <w:rFonts w:eastAsia="Times New Roman" w:cs="Times New Roman"/>
          <w:b/>
          <w:bCs/>
          <w:rtl/>
          <w:lang w:eastAsia="de-DE"/>
        </w:rPr>
        <w:t>והיה לו</w:t>
      </w:r>
      <w:r w:rsidRPr="00CC6F7E">
        <w:rPr>
          <w:rFonts w:eastAsia="Times New Roman" w:cs="Times New Roman"/>
          <w:rtl/>
          <w:lang w:eastAsia="de-DE"/>
        </w:rPr>
        <w:t xml:space="preserve"> </w:t>
      </w:r>
      <w:r w:rsidRPr="00CC6F7E">
        <w:rPr>
          <w:rFonts w:eastAsia="Times New Roman" w:cs="Times New Roman"/>
          <w:lang w:eastAsia="de-DE"/>
        </w:rPr>
        <w:t>zeigt Eigentumsrückübertragung.</w:t>
      </w:r>
    </w:p>
    <w:p w14:paraId="6C24D55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המקדיש</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ἁγιάσ</w:t>
      </w:r>
      <w:proofErr w:type="spellEnd"/>
      <w:r w:rsidRPr="00CC6F7E">
        <w:rPr>
          <w:rFonts w:eastAsia="Times New Roman" w:cs="Times New Roman"/>
          <w:lang w:eastAsia="de-DE"/>
        </w:rPr>
        <w:t xml:space="preserve">ας (der Geheiligte), </w:t>
      </w:r>
      <w:r w:rsidRPr="00CC6F7E">
        <w:rPr>
          <w:rFonts w:eastAsia="Times New Roman" w:cs="Times New Roman"/>
          <w:b/>
          <w:bCs/>
          <w:rtl/>
          <w:lang w:eastAsia="de-DE"/>
        </w:rPr>
        <w:t>יגאל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 xml:space="preserve">αι (wird lösen), </w:t>
      </w:r>
      <w:r w:rsidRPr="00CC6F7E">
        <w:rPr>
          <w:rFonts w:eastAsia="Times New Roman" w:cs="Times New Roman"/>
          <w:b/>
          <w:bCs/>
          <w:rtl/>
          <w:lang w:eastAsia="de-DE"/>
        </w:rPr>
        <w:t>חמישית כסף־ערכך</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έμ</w:t>
      </w:r>
      <w:proofErr w:type="spellEnd"/>
      <w:r w:rsidRPr="00CC6F7E">
        <w:rPr>
          <w:rFonts w:eastAsia="Times New Roman" w:cs="Times New Roman"/>
          <w:lang w:eastAsia="de-DE"/>
        </w:rPr>
        <w:t xml:space="preserve">πτον </w:t>
      </w:r>
      <w:proofErr w:type="spellStart"/>
      <w:r w:rsidRPr="00CC6F7E">
        <w:rPr>
          <w:rFonts w:eastAsia="Times New Roman" w:cs="Times New Roman"/>
          <w:lang w:eastAsia="de-DE"/>
        </w:rPr>
        <w:t>ἀργυρίου</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τιμῆς</w:t>
      </w:r>
      <w:proofErr w:type="spellEnd"/>
      <w:r w:rsidRPr="00CC6F7E">
        <w:rPr>
          <w:rFonts w:eastAsia="Times New Roman" w:cs="Times New Roman"/>
          <w:lang w:eastAsia="de-DE"/>
        </w:rPr>
        <w:t xml:space="preserve"> (Fünftel Silber des Wertes) und </w:t>
      </w:r>
      <w:r w:rsidRPr="00CC6F7E">
        <w:rPr>
          <w:rFonts w:eastAsia="Times New Roman" w:cs="Times New Roman"/>
          <w:b/>
          <w:bCs/>
          <w:rtl/>
          <w:lang w:eastAsia="de-DE"/>
        </w:rPr>
        <w:t>והיה לו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ἔστ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(wird ihm sein).</w:t>
      </w:r>
    </w:p>
    <w:p w14:paraId="5C18452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Haus-Rückkauf: wenn der Heiligende sein Haus lösen will + Fünftel des Schätzungs-Geldes hinzufügen + soll ihm gehören.</w:t>
      </w:r>
    </w:p>
    <w:p w14:paraId="2A2233B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ermöglicht dem ursprünglichen Weihenden das Haus mit 20%-Aufschlag zurückzukaufen.</w:t>
      </w:r>
    </w:p>
    <w:p w14:paraId="7D2632E4"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27,16</w:t>
      </w:r>
    </w:p>
    <w:p w14:paraId="3D7B3F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מִשְּׂדֵ֣ה אֲחֻזָּתוֹ֗ יַקְדִּ֥ישׁ אִישׁ֙ לַֽיהוָ֔ה וְהָיָ֥ה עֶרְכְּךָ֖ לְפִ֣י זַרְעֹ֑ו זֶ֚רַע חֹ֣מֶר שְׂעֹרִ֔ים בַּחֲמִשִּׁ֖ים שֶׁ֥קֶל כָּֽסֶף׃</w:t>
      </w:r>
    </w:p>
    <w:p w14:paraId="3C2CCBA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jemand von dem Feld seines Eigentums dem Ewigen heiligt, so soll deine Schätzung nach Maßgabe seiner Aussaat sein: ein Homer Gerste Aussaat zu 50 Schekel Silber.</w:t>
      </w:r>
    </w:p>
    <w:p w14:paraId="1D8E7C2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B0D58BC">
          <v:rect id="_x0000_i1865" style="width:0;height:1.5pt" o:hralign="center" o:hrstd="t" o:hr="t" fillcolor="#a0a0a0" stroked="f"/>
        </w:pict>
      </w:r>
    </w:p>
    <w:p w14:paraId="7E3E730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משדה אחזתו יקדיש איש ליהוה והיה ערכך לפי זרעו זרע חמר שערים בחמשים שקל כסף</w:t>
      </w:r>
      <w:r w:rsidRPr="00CC6F7E">
        <w:rPr>
          <w:rFonts w:eastAsia="Times New Roman" w:cs="Times New Roman"/>
          <w:rtl/>
          <w:lang w:eastAsia="de-DE"/>
        </w:rPr>
        <w:t xml:space="preserve"> </w:t>
      </w:r>
      <w:r w:rsidRPr="00CC6F7E">
        <w:rPr>
          <w:rFonts w:eastAsia="Times New Roman" w:cs="Times New Roman"/>
          <w:lang w:eastAsia="de-DE"/>
        </w:rPr>
        <w:t xml:space="preserve">führt Feld-Gelübde ein. </w:t>
      </w:r>
      <w:r w:rsidRPr="00CC6F7E">
        <w:rPr>
          <w:rFonts w:eastAsia="Times New Roman" w:cs="Times New Roman"/>
          <w:b/>
          <w:bCs/>
          <w:rtl/>
          <w:lang w:eastAsia="de-DE"/>
        </w:rPr>
        <w:t>ואם משדה אחזתו יקדיש איש ליהוה</w:t>
      </w:r>
      <w:r w:rsidRPr="00CC6F7E">
        <w:rPr>
          <w:rFonts w:eastAsia="Times New Roman" w:cs="Times New Roman"/>
          <w:rtl/>
          <w:lang w:eastAsia="de-DE"/>
        </w:rPr>
        <w:t xml:space="preserve"> </w:t>
      </w:r>
      <w:r w:rsidRPr="00CC6F7E">
        <w:rPr>
          <w:rFonts w:eastAsia="Times New Roman" w:cs="Times New Roman"/>
          <w:lang w:eastAsia="de-DE"/>
        </w:rPr>
        <w:t xml:space="preserve">(und wenn jemand von dem Feld seines Eigentums dem Ewigen heiligt) - </w:t>
      </w:r>
      <w:r w:rsidRPr="00CC6F7E">
        <w:rPr>
          <w:rFonts w:eastAsia="Times New Roman" w:cs="Times New Roman"/>
          <w:b/>
          <w:bCs/>
          <w:rtl/>
          <w:lang w:eastAsia="de-DE"/>
        </w:rPr>
        <w:t>משדה אחזתו</w:t>
      </w:r>
      <w:r w:rsidRPr="00CC6F7E">
        <w:rPr>
          <w:rFonts w:eastAsia="Times New Roman" w:cs="Times New Roman"/>
          <w:rtl/>
          <w:lang w:eastAsia="de-DE"/>
        </w:rPr>
        <w:t xml:space="preserve"> </w:t>
      </w:r>
      <w:r w:rsidRPr="00CC6F7E">
        <w:rPr>
          <w:rFonts w:eastAsia="Times New Roman" w:cs="Times New Roman"/>
          <w:lang w:eastAsia="de-DE"/>
        </w:rPr>
        <w:t xml:space="preserve">(von dem Feld seines Eigentums) zeigt Erbland-Teilweihe. </w:t>
      </w:r>
      <w:r w:rsidRPr="00CC6F7E">
        <w:rPr>
          <w:rFonts w:eastAsia="Times New Roman" w:cs="Times New Roman"/>
          <w:b/>
          <w:bCs/>
          <w:rtl/>
          <w:lang w:eastAsia="de-DE"/>
        </w:rPr>
        <w:t>אחזתו</w:t>
      </w:r>
      <w:r w:rsidRPr="00CC6F7E">
        <w:rPr>
          <w:rFonts w:eastAsia="Times New Roman" w:cs="Times New Roman"/>
          <w:rtl/>
          <w:lang w:eastAsia="de-DE"/>
        </w:rPr>
        <w:t xml:space="preserve"> </w:t>
      </w:r>
      <w:r w:rsidRPr="00CC6F7E">
        <w:rPr>
          <w:rFonts w:eastAsia="Times New Roman" w:cs="Times New Roman"/>
          <w:lang w:eastAsia="de-DE"/>
        </w:rPr>
        <w:t>(seines Eigentums) entspricht 25,25ff und zeigt Familienerbbesitz.</w:t>
      </w:r>
    </w:p>
    <w:p w14:paraId="3CCFEB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והיה ערכך לפי זרעו</w:t>
      </w:r>
      <w:r w:rsidRPr="00CC6F7E">
        <w:rPr>
          <w:rFonts w:eastAsia="Times New Roman" w:cs="Times New Roman"/>
          <w:rtl/>
          <w:lang w:eastAsia="de-DE"/>
        </w:rPr>
        <w:t xml:space="preserve"> </w:t>
      </w:r>
      <w:r w:rsidRPr="00CC6F7E">
        <w:rPr>
          <w:rFonts w:eastAsia="Times New Roman" w:cs="Times New Roman"/>
          <w:lang w:eastAsia="de-DE"/>
        </w:rPr>
        <w:t xml:space="preserve">(so soll deine Schätzung nach Maßgabe seiner Aussaat sein) - </w:t>
      </w:r>
      <w:r w:rsidRPr="00CC6F7E">
        <w:rPr>
          <w:rFonts w:eastAsia="Times New Roman" w:cs="Times New Roman"/>
          <w:b/>
          <w:bCs/>
          <w:rtl/>
          <w:lang w:eastAsia="de-DE"/>
        </w:rPr>
        <w:t>לפי זרעו</w:t>
      </w:r>
      <w:r w:rsidRPr="00CC6F7E">
        <w:rPr>
          <w:rFonts w:eastAsia="Times New Roman" w:cs="Times New Roman"/>
          <w:rtl/>
          <w:lang w:eastAsia="de-DE"/>
        </w:rPr>
        <w:t xml:space="preserve"> </w:t>
      </w:r>
      <w:r w:rsidRPr="00CC6F7E">
        <w:rPr>
          <w:rFonts w:eastAsia="Times New Roman" w:cs="Times New Roman"/>
          <w:lang w:eastAsia="de-DE"/>
        </w:rPr>
        <w:t>(nach seinem Samen/seiner Aussaat) zeigt Bewertung nach Saatmenge als Produktivitätsmaß.</w:t>
      </w:r>
    </w:p>
    <w:p w14:paraId="0F9B8E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זרע חמר שערים בחמשים שקל כסף</w:t>
      </w:r>
      <w:r w:rsidRPr="00CC6F7E">
        <w:rPr>
          <w:rFonts w:eastAsia="Times New Roman" w:cs="Times New Roman"/>
          <w:rtl/>
          <w:lang w:eastAsia="de-DE"/>
        </w:rPr>
        <w:t xml:space="preserve"> </w:t>
      </w:r>
      <w:r w:rsidRPr="00CC6F7E">
        <w:rPr>
          <w:rFonts w:eastAsia="Times New Roman" w:cs="Times New Roman"/>
          <w:lang w:eastAsia="de-DE"/>
        </w:rPr>
        <w:t xml:space="preserve">(ein Homer Gerste Aussaat zu 50 Schekel Silber) - </w:t>
      </w:r>
      <w:r w:rsidRPr="00CC6F7E">
        <w:rPr>
          <w:rFonts w:eastAsia="Times New Roman" w:cs="Times New Roman"/>
          <w:b/>
          <w:bCs/>
          <w:rtl/>
          <w:lang w:eastAsia="de-DE"/>
        </w:rPr>
        <w:t>זרע חמר שערים</w:t>
      </w:r>
      <w:r w:rsidRPr="00CC6F7E">
        <w:rPr>
          <w:rFonts w:eastAsia="Times New Roman" w:cs="Times New Roman"/>
          <w:rtl/>
          <w:lang w:eastAsia="de-DE"/>
        </w:rPr>
        <w:t xml:space="preserve"> </w:t>
      </w:r>
      <w:r w:rsidRPr="00CC6F7E">
        <w:rPr>
          <w:rFonts w:eastAsia="Times New Roman" w:cs="Times New Roman"/>
          <w:lang w:eastAsia="de-DE"/>
        </w:rPr>
        <w:t xml:space="preserve">(Aussaat eines Homer Gerste) - </w:t>
      </w:r>
      <w:r w:rsidRPr="00CC6F7E">
        <w:rPr>
          <w:rFonts w:eastAsia="Times New Roman" w:cs="Times New Roman"/>
          <w:b/>
          <w:bCs/>
          <w:rtl/>
          <w:lang w:eastAsia="de-DE"/>
        </w:rPr>
        <w:t>חמר</w:t>
      </w:r>
      <w:r w:rsidRPr="00CC6F7E">
        <w:rPr>
          <w:rFonts w:eastAsia="Times New Roman" w:cs="Times New Roman"/>
          <w:rtl/>
          <w:lang w:eastAsia="de-DE"/>
        </w:rPr>
        <w:t xml:space="preserve"> </w:t>
      </w:r>
      <w:r w:rsidRPr="00CC6F7E">
        <w:rPr>
          <w:rFonts w:eastAsia="Times New Roman" w:cs="Times New Roman"/>
          <w:lang w:eastAsia="de-DE"/>
        </w:rPr>
        <w:t xml:space="preserve">(Homer) als große Maßeinheit (~220 Liter), </w:t>
      </w:r>
      <w:r w:rsidRPr="00CC6F7E">
        <w:rPr>
          <w:rFonts w:eastAsia="Times New Roman" w:cs="Times New Roman"/>
          <w:b/>
          <w:bCs/>
          <w:rtl/>
          <w:lang w:eastAsia="de-DE"/>
        </w:rPr>
        <w:lastRenderedPageBreak/>
        <w:t>שערים</w:t>
      </w:r>
      <w:r w:rsidRPr="00CC6F7E">
        <w:rPr>
          <w:rFonts w:eastAsia="Times New Roman" w:cs="Times New Roman"/>
          <w:rtl/>
          <w:lang w:eastAsia="de-DE"/>
        </w:rPr>
        <w:t xml:space="preserve"> </w:t>
      </w:r>
      <w:r w:rsidRPr="00CC6F7E">
        <w:rPr>
          <w:rFonts w:eastAsia="Times New Roman" w:cs="Times New Roman"/>
          <w:lang w:eastAsia="de-DE"/>
        </w:rPr>
        <w:t xml:space="preserve">(Gerste) als Standardgetreide. </w:t>
      </w:r>
      <w:r w:rsidRPr="00CC6F7E">
        <w:rPr>
          <w:rFonts w:eastAsia="Times New Roman" w:cs="Times New Roman"/>
          <w:b/>
          <w:bCs/>
          <w:rtl/>
          <w:lang w:eastAsia="de-DE"/>
        </w:rPr>
        <w:t>בחמשים שקל כסף</w:t>
      </w:r>
      <w:r w:rsidRPr="00CC6F7E">
        <w:rPr>
          <w:rFonts w:eastAsia="Times New Roman" w:cs="Times New Roman"/>
          <w:rtl/>
          <w:lang w:eastAsia="de-DE"/>
        </w:rPr>
        <w:t xml:space="preserve"> </w:t>
      </w:r>
      <w:r w:rsidRPr="00CC6F7E">
        <w:rPr>
          <w:rFonts w:eastAsia="Times New Roman" w:cs="Times New Roman"/>
          <w:lang w:eastAsia="de-DE"/>
        </w:rPr>
        <w:t>(zu 50 Schekel Silber) zeigt Standardwert.</w:t>
      </w:r>
    </w:p>
    <w:p w14:paraId="5DB42B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משדה אחזתו</w:t>
      </w:r>
      <w:r w:rsidRPr="00CC6F7E">
        <w:rPr>
          <w:rFonts w:eastAsia="Times New Roman" w:cs="Times New Roman"/>
          <w:rtl/>
          <w:lang w:eastAsia="de-DE"/>
        </w:rPr>
        <w:t xml:space="preserve"> </w:t>
      </w:r>
      <w:r w:rsidRPr="00CC6F7E">
        <w:rPr>
          <w:rFonts w:eastAsia="Times New Roman" w:cs="Times New Roman"/>
          <w:lang w:eastAsia="de-DE"/>
        </w:rPr>
        <w:t xml:space="preserve">zeigt Erbland-Weihe vs. anderes Land. </w:t>
      </w:r>
      <w:r w:rsidRPr="00CC6F7E">
        <w:rPr>
          <w:rFonts w:eastAsia="Times New Roman" w:cs="Times New Roman"/>
          <w:b/>
          <w:bCs/>
          <w:rtl/>
          <w:lang w:eastAsia="de-DE"/>
        </w:rPr>
        <w:t>לפי זרעו</w:t>
      </w:r>
      <w:r w:rsidRPr="00CC6F7E">
        <w:rPr>
          <w:rFonts w:eastAsia="Times New Roman" w:cs="Times New Roman"/>
          <w:rtl/>
          <w:lang w:eastAsia="de-DE"/>
        </w:rPr>
        <w:t xml:space="preserve"> </w:t>
      </w:r>
      <w:r w:rsidRPr="00CC6F7E">
        <w:rPr>
          <w:rFonts w:eastAsia="Times New Roman" w:cs="Times New Roman"/>
          <w:lang w:eastAsia="de-DE"/>
        </w:rPr>
        <w:t xml:space="preserve">zeigt Saatmengen-Bewertung. </w:t>
      </w:r>
      <w:r w:rsidRPr="00CC6F7E">
        <w:rPr>
          <w:rFonts w:eastAsia="Times New Roman" w:cs="Times New Roman"/>
          <w:b/>
          <w:bCs/>
          <w:rtl/>
          <w:lang w:eastAsia="de-DE"/>
        </w:rPr>
        <w:t>חמר שערים בחמשים שקל</w:t>
      </w:r>
      <w:r w:rsidRPr="00CC6F7E">
        <w:rPr>
          <w:rFonts w:eastAsia="Times New Roman" w:cs="Times New Roman"/>
          <w:rtl/>
          <w:lang w:eastAsia="de-DE"/>
        </w:rPr>
        <w:t xml:space="preserve"> </w:t>
      </w:r>
      <w:r w:rsidRPr="00CC6F7E">
        <w:rPr>
          <w:rFonts w:eastAsia="Times New Roman" w:cs="Times New Roman"/>
          <w:lang w:eastAsia="de-DE"/>
        </w:rPr>
        <w:t>etabliert Standard-Umrechnungssatz.</w:t>
      </w:r>
    </w:p>
    <w:p w14:paraId="63EC9B9B" w14:textId="2985CDD5"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זרע חמר שערים</w:t>
      </w:r>
      <w:r w:rsidR="00274C29">
        <w:t xml:space="preserve"> (</w:t>
      </w:r>
      <w:proofErr w:type="spellStart"/>
      <w:r w:rsidR="00274C29">
        <w:t>zera</w:t>
      </w:r>
      <w:proofErr w:type="spellEnd"/>
      <w:r w:rsidR="00274C29">
        <w:t xml:space="preserve"> </w:t>
      </w:r>
      <w:proofErr w:type="spellStart"/>
      <w:r w:rsidR="00274C29">
        <w:t>chomer</w:t>
      </w:r>
      <w:proofErr w:type="spellEnd"/>
      <w:r w:rsidR="00274C29">
        <w:t xml:space="preserve"> </w:t>
      </w:r>
      <w:proofErr w:type="spellStart"/>
      <w:r w:rsidR="00274C29">
        <w:t>se'orim</w:t>
      </w:r>
      <w:proofErr w:type="spellEnd"/>
      <w:r w:rsidR="00274C29">
        <w:t xml:space="preserve"> - "Saat eines </w:t>
      </w:r>
      <w:proofErr w:type="spellStart"/>
      <w:r w:rsidR="00274C29">
        <w:t>Chomer</w:t>
      </w:r>
      <w:proofErr w:type="spellEnd"/>
      <w:r w:rsidR="00274C29">
        <w:t xml:space="preserve"> Gerste") als </w:t>
      </w:r>
      <w:proofErr w:type="spellStart"/>
      <w:r w:rsidR="00274C29">
        <w:t>κόρου</w:t>
      </w:r>
      <w:proofErr w:type="spellEnd"/>
      <w:r w:rsidR="00274C29">
        <w:t xml:space="preserve"> </w:t>
      </w:r>
      <w:proofErr w:type="spellStart"/>
      <w:r w:rsidR="00274C29">
        <w:t>κριθῶν</w:t>
      </w:r>
      <w:proofErr w:type="spellEnd"/>
      <w:r w:rsidR="00274C29">
        <w:t xml:space="preserve"> (eines Kor Gerste), was eine griechische Hohlmaßeinheit verwendet.</w:t>
      </w:r>
    </w:p>
    <w:p w14:paraId="071A633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Feld-Gelübde: vom Erbfeld heiligt Mann JHWH + deine Schätzung nach seiner Aussaat + Homer Gerste-Saat zu 50 Schekel Silber.</w:t>
      </w:r>
    </w:p>
    <w:p w14:paraId="1A5D5A5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Feld-Gelübde mit Bewertung nach Saatmenge: 1 Homer Gerste-Saat = 50 Schekel als Standard.</w:t>
      </w:r>
    </w:p>
    <w:p w14:paraId="193979A2"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27,17</w:t>
      </w:r>
    </w:p>
    <w:p w14:paraId="4CFBFEB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אִם־מִשְּׁנַ֥ת הַיֹּבֵ֖ל יַקְדִּ֣ישׁ שָׂדֵ֑הוּ כְּעֶרְכְּךָ֖ יָקֽוּם׃</w:t>
      </w:r>
    </w:p>
    <w:p w14:paraId="7A6680A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er vom Joveljahr an sein Feld heiligt, so soll es nach deiner Schätzung bestehen.</w:t>
      </w:r>
    </w:p>
    <w:p w14:paraId="4963456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1537804">
          <v:rect id="_x0000_i1866" style="width:0;height:1.5pt" o:hralign="center" o:hrstd="t" o:hr="t" fillcolor="#a0a0a0" stroked="f"/>
        </w:pict>
      </w:r>
    </w:p>
    <w:p w14:paraId="006AC1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אם־משנת היובל יקדיש שדהו כערכך יקום</w:t>
      </w:r>
      <w:r w:rsidRPr="00CC6F7E">
        <w:rPr>
          <w:rFonts w:eastAsia="Times New Roman" w:cs="Times New Roman"/>
          <w:rtl/>
          <w:lang w:eastAsia="de-DE"/>
        </w:rPr>
        <w:t xml:space="preserve"> </w:t>
      </w:r>
      <w:r w:rsidRPr="00CC6F7E">
        <w:rPr>
          <w:rFonts w:eastAsia="Times New Roman" w:cs="Times New Roman"/>
          <w:lang w:eastAsia="de-DE"/>
        </w:rPr>
        <w:t xml:space="preserve">zeigt die optimale Timing-Situation für Feld-Gelübde. </w:t>
      </w:r>
      <w:r w:rsidRPr="00CC6F7E">
        <w:rPr>
          <w:rFonts w:eastAsia="Times New Roman" w:cs="Times New Roman"/>
          <w:b/>
          <w:bCs/>
          <w:rtl/>
          <w:lang w:eastAsia="de-DE"/>
        </w:rPr>
        <w:t>אם־משנת היובל יקדיש שדהו</w:t>
      </w:r>
      <w:r w:rsidRPr="00CC6F7E">
        <w:rPr>
          <w:rFonts w:eastAsia="Times New Roman" w:cs="Times New Roman"/>
          <w:rtl/>
          <w:lang w:eastAsia="de-DE"/>
        </w:rPr>
        <w:t xml:space="preserve"> </w:t>
      </w:r>
      <w:r w:rsidRPr="00CC6F7E">
        <w:rPr>
          <w:rFonts w:eastAsia="Times New Roman" w:cs="Times New Roman"/>
          <w:lang w:eastAsia="de-DE"/>
        </w:rPr>
        <w:t xml:space="preserve">(wenn er vom Jobeljahr an sein Feld heiligt) - </w:t>
      </w:r>
      <w:r w:rsidRPr="00CC6F7E">
        <w:rPr>
          <w:rFonts w:eastAsia="Times New Roman" w:cs="Times New Roman"/>
          <w:b/>
          <w:bCs/>
          <w:rtl/>
          <w:lang w:eastAsia="de-DE"/>
        </w:rPr>
        <w:t>משנת היובל</w:t>
      </w:r>
      <w:r w:rsidRPr="00CC6F7E">
        <w:rPr>
          <w:rFonts w:eastAsia="Times New Roman" w:cs="Times New Roman"/>
          <w:rtl/>
          <w:lang w:eastAsia="de-DE"/>
        </w:rPr>
        <w:t xml:space="preserve"> </w:t>
      </w:r>
      <w:r w:rsidRPr="00CC6F7E">
        <w:rPr>
          <w:rFonts w:eastAsia="Times New Roman" w:cs="Times New Roman"/>
          <w:lang w:eastAsia="de-DE"/>
        </w:rPr>
        <w:t xml:space="preserve">(vom Jobeljahr an) zeigt den Beginn eines neuen 50-Jahres-Zyklus als idealen Zeitpunkt. </w:t>
      </w:r>
      <w:r w:rsidRPr="00CC6F7E">
        <w:rPr>
          <w:rFonts w:eastAsia="Times New Roman" w:cs="Times New Roman"/>
          <w:b/>
          <w:bCs/>
          <w:rtl/>
          <w:lang w:eastAsia="de-DE"/>
        </w:rPr>
        <w:t>יקדיש שדהו</w:t>
      </w:r>
      <w:r w:rsidRPr="00CC6F7E">
        <w:rPr>
          <w:rFonts w:eastAsia="Times New Roman" w:cs="Times New Roman"/>
          <w:rtl/>
          <w:lang w:eastAsia="de-DE"/>
        </w:rPr>
        <w:t xml:space="preserve"> </w:t>
      </w:r>
      <w:r w:rsidRPr="00CC6F7E">
        <w:rPr>
          <w:rFonts w:eastAsia="Times New Roman" w:cs="Times New Roman"/>
          <w:lang w:eastAsia="de-DE"/>
        </w:rPr>
        <w:t>(heiligt er sein Feld) entspricht V. 16.</w:t>
      </w:r>
    </w:p>
    <w:p w14:paraId="1A9FB4A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כערכך יקום</w:t>
      </w:r>
      <w:r w:rsidRPr="00CC6F7E">
        <w:rPr>
          <w:rFonts w:eastAsia="Times New Roman" w:cs="Times New Roman"/>
          <w:rtl/>
          <w:lang w:eastAsia="de-DE"/>
        </w:rPr>
        <w:t xml:space="preserve"> </w:t>
      </w:r>
      <w:r w:rsidRPr="00CC6F7E">
        <w:rPr>
          <w:rFonts w:eastAsia="Times New Roman" w:cs="Times New Roman"/>
          <w:lang w:eastAsia="de-DE"/>
        </w:rPr>
        <w:t xml:space="preserve">(so soll es nach deiner Schätzung bestehen) - </w:t>
      </w:r>
      <w:r w:rsidRPr="00CC6F7E">
        <w:rPr>
          <w:rFonts w:eastAsia="Times New Roman" w:cs="Times New Roman"/>
          <w:b/>
          <w:bCs/>
          <w:rtl/>
          <w:lang w:eastAsia="de-DE"/>
        </w:rPr>
        <w:t>כערכך</w:t>
      </w:r>
      <w:r w:rsidRPr="00CC6F7E">
        <w:rPr>
          <w:rFonts w:eastAsia="Times New Roman" w:cs="Times New Roman"/>
          <w:rtl/>
          <w:lang w:eastAsia="de-DE"/>
        </w:rPr>
        <w:t xml:space="preserve"> </w:t>
      </w:r>
      <w:r w:rsidRPr="00CC6F7E">
        <w:rPr>
          <w:rFonts w:eastAsia="Times New Roman" w:cs="Times New Roman"/>
          <w:lang w:eastAsia="de-DE"/>
        </w:rPr>
        <w:t xml:space="preserve">(nach deiner Schätzung) bezieht sich auf den Standardsatz von V. 16 (1 Homer Gerste-Saat = 50 Schekel). </w:t>
      </w:r>
      <w:r w:rsidRPr="00CC6F7E">
        <w:rPr>
          <w:rFonts w:eastAsia="Times New Roman" w:cs="Times New Roman"/>
          <w:b/>
          <w:bCs/>
          <w:rtl/>
          <w:lang w:eastAsia="de-DE"/>
        </w:rPr>
        <w:t>יקום</w:t>
      </w:r>
      <w:r w:rsidRPr="00CC6F7E">
        <w:rPr>
          <w:rFonts w:eastAsia="Times New Roman" w:cs="Times New Roman"/>
          <w:rtl/>
          <w:lang w:eastAsia="de-DE"/>
        </w:rPr>
        <w:t xml:space="preserve"> </w:t>
      </w:r>
      <w:r w:rsidRPr="00CC6F7E">
        <w:rPr>
          <w:rFonts w:eastAsia="Times New Roman" w:cs="Times New Roman"/>
          <w:lang w:eastAsia="de-DE"/>
        </w:rPr>
        <w:t>(soll es bestehen) zeigt dass der Vollwert gilt.</w:t>
      </w:r>
    </w:p>
    <w:p w14:paraId="7BE29D5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 Logik: Bei Weihe direkt nach dem Jobel stehen die vollen 50 Jahre Nutzung bis zum nächsten Jobel bevor, daher gilt der Vollwert.</w:t>
      </w:r>
    </w:p>
    <w:p w14:paraId="3FBC330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משנת היובל</w:t>
      </w:r>
      <w:r w:rsidRPr="00CC6F7E">
        <w:rPr>
          <w:rFonts w:eastAsia="Times New Roman" w:cs="Times New Roman"/>
          <w:rtl/>
          <w:lang w:eastAsia="de-DE"/>
        </w:rPr>
        <w:t xml:space="preserve"> </w:t>
      </w:r>
      <w:r w:rsidRPr="00CC6F7E">
        <w:rPr>
          <w:rFonts w:eastAsia="Times New Roman" w:cs="Times New Roman"/>
          <w:lang w:eastAsia="de-DE"/>
        </w:rPr>
        <w:t xml:space="preserve">zeigt optimales Timing direkt nach Jobel-Restitution. </w:t>
      </w:r>
      <w:r w:rsidRPr="00CC6F7E">
        <w:rPr>
          <w:rFonts w:eastAsia="Times New Roman" w:cs="Times New Roman"/>
          <w:b/>
          <w:bCs/>
          <w:rtl/>
          <w:lang w:eastAsia="de-DE"/>
        </w:rPr>
        <w:t>כערכך יקום</w:t>
      </w:r>
      <w:r w:rsidRPr="00CC6F7E">
        <w:rPr>
          <w:rFonts w:eastAsia="Times New Roman" w:cs="Times New Roman"/>
          <w:rtl/>
          <w:lang w:eastAsia="de-DE"/>
        </w:rPr>
        <w:t xml:space="preserve"> </w:t>
      </w:r>
      <w:r w:rsidRPr="00CC6F7E">
        <w:rPr>
          <w:rFonts w:eastAsia="Times New Roman" w:cs="Times New Roman"/>
          <w:lang w:eastAsia="de-DE"/>
        </w:rPr>
        <w:t>zeigt Vollwert-Anwendung bei maximaler Restlaufzeit.</w:t>
      </w:r>
    </w:p>
    <w:p w14:paraId="31FE1F7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משנת היובל</w:t>
      </w:r>
      <w:r w:rsidRPr="00CC6F7E">
        <w:rPr>
          <w:rFonts w:eastAsia="Times New Roman" w:cs="Times New Roman"/>
          <w:rtl/>
          <w:lang w:eastAsia="de-DE"/>
        </w:rPr>
        <w:t xml:space="preserve"> </w:t>
      </w:r>
      <w:r w:rsidRPr="00CC6F7E">
        <w:rPr>
          <w:rFonts w:eastAsia="Times New Roman" w:cs="Times New Roman"/>
          <w:lang w:eastAsia="de-DE"/>
        </w:rPr>
        <w:t xml:space="preserve">mit ἀπὸ </w:t>
      </w:r>
      <w:proofErr w:type="spellStart"/>
      <w:r w:rsidRPr="00CC6F7E">
        <w:rPr>
          <w:rFonts w:eastAsia="Times New Roman" w:cs="Times New Roman"/>
          <w:lang w:eastAsia="de-DE"/>
        </w:rPr>
        <w:t>ἔτους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(vom Jahr des Erlasses), </w:t>
      </w:r>
      <w:r w:rsidRPr="00CC6F7E">
        <w:rPr>
          <w:rFonts w:eastAsia="Times New Roman" w:cs="Times New Roman"/>
          <w:b/>
          <w:bCs/>
          <w:rtl/>
          <w:lang w:eastAsia="de-DE"/>
        </w:rPr>
        <w:t>יקדיש שדהו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ἁγιάσῃ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ἀγρὸν</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(heiligt sein Feld) und </w:t>
      </w:r>
      <w:r w:rsidRPr="00CC6F7E">
        <w:rPr>
          <w:rFonts w:eastAsia="Times New Roman" w:cs="Times New Roman"/>
          <w:b/>
          <w:bCs/>
          <w:rtl/>
          <w:lang w:eastAsia="de-DE"/>
        </w:rPr>
        <w:t>כערכך יקום</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τιμήν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στήσετ</w:t>
      </w:r>
      <w:proofErr w:type="spellEnd"/>
      <w:r w:rsidRPr="00CC6F7E">
        <w:rPr>
          <w:rFonts w:eastAsia="Times New Roman" w:cs="Times New Roman"/>
          <w:lang w:eastAsia="de-DE"/>
        </w:rPr>
        <w:t>αι (nach deinem Wert wird es stehen).</w:t>
      </w:r>
    </w:p>
    <w:p w14:paraId="7D09A0C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optimales Feld-Gelübde-Timing: wenn vom Jobeljahr an Feld heiligt + nach deiner Schätzung bestehe es.</w:t>
      </w:r>
    </w:p>
    <w:p w14:paraId="75699A8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Bei Feld-Weihe direkt nach dem Jobeljahr gilt der Vollwert, da die maximale Nutzungszeit (50 Jahre) bevorsteht.</w:t>
      </w:r>
    </w:p>
    <w:p w14:paraId="6F5A1BB6"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27,18</w:t>
      </w:r>
    </w:p>
    <w:p w14:paraId="6EE5F9E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וְאִם־אַחַ֣ר הַיֹּבֵל֮ יַקְדִּ֣ישׁ שָׂדֵהוּ֒ וְחִשַּׁב־לוֹ֨ הַכֹּהֵ֜ן אֶת־הַכֶּ֗סֶף עַל־פִּ֤י הַשָּׁנִים֙ הַנּ֣וֹתָרֹ֔ת עַ֖ד שְׁנַ֣ת הַיֹּבֵ֑ל וְנִגְרַ֖ע מֵֽעֶרְכֶּֽךָ׃</w:t>
      </w:r>
    </w:p>
    <w:p w14:paraId="07B0ABD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er aber nach dem Jovel sein Feld heiligt, so soll ihm der Priester das Geld berechnen nach den Jahren, die noch übrig sind bis zum Joveljahr, und es soll von deiner Schätzung abgezogen werden.</w:t>
      </w:r>
    </w:p>
    <w:p w14:paraId="1FBE5039"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A3010D2">
          <v:rect id="_x0000_i1867" style="width:0;height:1.5pt" o:hralign="center" o:hrstd="t" o:hr="t" fillcolor="#a0a0a0" stroked="f"/>
        </w:pict>
      </w:r>
    </w:p>
    <w:p w14:paraId="631855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ואם־אחר היובל יקדיש שדהו וחשב־לו הכהן את־הכסף על־פי השנים הנותרת עד שנת היובל ונגרע מערכך</w:t>
      </w:r>
      <w:r w:rsidRPr="00CC6F7E">
        <w:rPr>
          <w:rFonts w:eastAsia="Times New Roman" w:cs="Times New Roman"/>
          <w:rtl/>
          <w:lang w:eastAsia="de-DE"/>
        </w:rPr>
        <w:t xml:space="preserve"> </w:t>
      </w:r>
      <w:r w:rsidRPr="00CC6F7E">
        <w:rPr>
          <w:rFonts w:eastAsia="Times New Roman" w:cs="Times New Roman"/>
          <w:lang w:eastAsia="de-DE"/>
        </w:rPr>
        <w:t xml:space="preserve">zeigt proportionale Wertminderung bei späterem Zeitpunkt. </w:t>
      </w:r>
      <w:r w:rsidRPr="00CC6F7E">
        <w:rPr>
          <w:rFonts w:eastAsia="Times New Roman" w:cs="Times New Roman"/>
          <w:b/>
          <w:bCs/>
          <w:rtl/>
          <w:lang w:eastAsia="de-DE"/>
        </w:rPr>
        <w:t>ואם־אחר היובל יקדיש שדהו</w:t>
      </w:r>
      <w:r w:rsidRPr="00CC6F7E">
        <w:rPr>
          <w:rFonts w:eastAsia="Times New Roman" w:cs="Times New Roman"/>
          <w:rtl/>
          <w:lang w:eastAsia="de-DE"/>
        </w:rPr>
        <w:t xml:space="preserve"> </w:t>
      </w:r>
      <w:r w:rsidRPr="00CC6F7E">
        <w:rPr>
          <w:rFonts w:eastAsia="Times New Roman" w:cs="Times New Roman"/>
          <w:lang w:eastAsia="de-DE"/>
        </w:rPr>
        <w:t xml:space="preserve">(wenn er aber nach dem Jobel sein Feld heiligt) - </w:t>
      </w:r>
      <w:r w:rsidRPr="00CC6F7E">
        <w:rPr>
          <w:rFonts w:eastAsia="Times New Roman" w:cs="Times New Roman"/>
          <w:b/>
          <w:bCs/>
          <w:rtl/>
          <w:lang w:eastAsia="de-DE"/>
        </w:rPr>
        <w:t>אחר היובל</w:t>
      </w:r>
      <w:r w:rsidRPr="00CC6F7E">
        <w:rPr>
          <w:rFonts w:eastAsia="Times New Roman" w:cs="Times New Roman"/>
          <w:rtl/>
          <w:lang w:eastAsia="de-DE"/>
        </w:rPr>
        <w:t xml:space="preserve"> </w:t>
      </w:r>
      <w:r w:rsidRPr="00CC6F7E">
        <w:rPr>
          <w:rFonts w:eastAsia="Times New Roman" w:cs="Times New Roman"/>
          <w:lang w:eastAsia="de-DE"/>
        </w:rPr>
        <w:t>(nach dem Jobel) zeigt Weihe im laufenden Jobel-Zyklus statt direkt nach dem Jobel.</w:t>
      </w:r>
    </w:p>
    <w:p w14:paraId="379E85A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וחשב־לו הכהן את־הכסף על־פי השנים הנותרת 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(so soll ihm der Priester das Geld berechnen nach den Jahren, die noch übrig sind bis zum Jobeljahr) - </w:t>
      </w:r>
      <w:r w:rsidRPr="00CC6F7E">
        <w:rPr>
          <w:rFonts w:eastAsia="Times New Roman" w:cs="Times New Roman"/>
          <w:b/>
          <w:bCs/>
          <w:rtl/>
          <w:lang w:eastAsia="de-DE"/>
        </w:rPr>
        <w:t>חשב־לו הכהן</w:t>
      </w:r>
      <w:r w:rsidRPr="00CC6F7E">
        <w:rPr>
          <w:rFonts w:eastAsia="Times New Roman" w:cs="Times New Roman"/>
          <w:rtl/>
          <w:lang w:eastAsia="de-DE"/>
        </w:rPr>
        <w:t xml:space="preserve"> </w:t>
      </w:r>
      <w:r w:rsidRPr="00CC6F7E">
        <w:rPr>
          <w:rFonts w:eastAsia="Times New Roman" w:cs="Times New Roman"/>
          <w:lang w:eastAsia="de-DE"/>
        </w:rPr>
        <w:t xml:space="preserve">(der Priester soll ihm berechnen) zeigt priesterliche Berechnungsverantwortung. </w:t>
      </w:r>
      <w:r w:rsidRPr="00CC6F7E">
        <w:rPr>
          <w:rFonts w:eastAsia="Times New Roman" w:cs="Times New Roman"/>
          <w:b/>
          <w:bCs/>
          <w:rtl/>
          <w:lang w:eastAsia="de-DE"/>
        </w:rPr>
        <w:t>את־הכסף</w:t>
      </w:r>
      <w:r w:rsidRPr="00CC6F7E">
        <w:rPr>
          <w:rFonts w:eastAsia="Times New Roman" w:cs="Times New Roman"/>
          <w:rtl/>
          <w:lang w:eastAsia="de-DE"/>
        </w:rPr>
        <w:t xml:space="preserve"> </w:t>
      </w:r>
      <w:r w:rsidRPr="00CC6F7E">
        <w:rPr>
          <w:rFonts w:eastAsia="Times New Roman" w:cs="Times New Roman"/>
          <w:lang w:eastAsia="de-DE"/>
        </w:rPr>
        <w:t xml:space="preserve">(das Geld) zeigt den zu zahlenden Betrag. </w:t>
      </w:r>
      <w:r w:rsidRPr="00CC6F7E">
        <w:rPr>
          <w:rFonts w:eastAsia="Times New Roman" w:cs="Times New Roman"/>
          <w:b/>
          <w:bCs/>
          <w:rtl/>
          <w:lang w:eastAsia="de-DE"/>
        </w:rPr>
        <w:t>על־פי השנים הנותרת</w:t>
      </w:r>
      <w:r w:rsidRPr="00CC6F7E">
        <w:rPr>
          <w:rFonts w:eastAsia="Times New Roman" w:cs="Times New Roman"/>
          <w:rtl/>
          <w:lang w:eastAsia="de-DE"/>
        </w:rPr>
        <w:t xml:space="preserve"> </w:t>
      </w:r>
      <w:r w:rsidRPr="00CC6F7E">
        <w:rPr>
          <w:rFonts w:eastAsia="Times New Roman" w:cs="Times New Roman"/>
          <w:lang w:eastAsia="de-DE"/>
        </w:rPr>
        <w:t>(nach den noch übrigen Jahren) entspricht 25,15-16,50-52 und zeigt Jobel-proportionale Berechnung.</w:t>
      </w:r>
    </w:p>
    <w:p w14:paraId="577B69B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ונגרע מערכך</w:t>
      </w:r>
      <w:r w:rsidRPr="00CC6F7E">
        <w:rPr>
          <w:rFonts w:eastAsia="Times New Roman" w:cs="Times New Roman"/>
          <w:rtl/>
          <w:lang w:eastAsia="de-DE"/>
        </w:rPr>
        <w:t xml:space="preserve"> </w:t>
      </w:r>
      <w:r w:rsidRPr="00CC6F7E">
        <w:rPr>
          <w:rFonts w:eastAsia="Times New Roman" w:cs="Times New Roman"/>
          <w:lang w:eastAsia="de-DE"/>
        </w:rPr>
        <w:t xml:space="preserve">(und es soll von deiner Schätzung abgezogen werden) - </w:t>
      </w:r>
      <w:r w:rsidRPr="00CC6F7E">
        <w:rPr>
          <w:rFonts w:eastAsia="Times New Roman" w:cs="Times New Roman"/>
          <w:b/>
          <w:bCs/>
          <w:rtl/>
          <w:lang w:eastAsia="de-DE"/>
        </w:rPr>
        <w:t>נגרע</w:t>
      </w:r>
      <w:r w:rsidRPr="00CC6F7E">
        <w:rPr>
          <w:rFonts w:eastAsia="Times New Roman" w:cs="Times New Roman"/>
          <w:rtl/>
          <w:lang w:eastAsia="de-DE"/>
        </w:rPr>
        <w:t xml:space="preserve"> </w:t>
      </w:r>
      <w:r w:rsidRPr="00CC6F7E">
        <w:rPr>
          <w:rFonts w:eastAsia="Times New Roman" w:cs="Times New Roman"/>
          <w:lang w:eastAsia="de-DE"/>
        </w:rPr>
        <w:t xml:space="preserve">(soll abgezogen werden) im Nifal-Perfekt mit Waw-Konsekutiv von </w:t>
      </w:r>
      <w:r w:rsidRPr="00CC6F7E">
        <w:rPr>
          <w:rFonts w:eastAsia="Times New Roman" w:cs="Times New Roman"/>
          <w:b/>
          <w:bCs/>
          <w:rtl/>
          <w:lang w:eastAsia="de-DE"/>
        </w:rPr>
        <w:t>גרע</w:t>
      </w:r>
      <w:r w:rsidRPr="00CC6F7E">
        <w:rPr>
          <w:rFonts w:eastAsia="Times New Roman" w:cs="Times New Roman"/>
          <w:rtl/>
          <w:lang w:eastAsia="de-DE"/>
        </w:rPr>
        <w:t xml:space="preserve"> </w:t>
      </w:r>
      <w:r w:rsidRPr="00CC6F7E">
        <w:rPr>
          <w:rFonts w:eastAsia="Times New Roman" w:cs="Times New Roman"/>
          <w:lang w:eastAsia="de-DE"/>
        </w:rPr>
        <w:t xml:space="preserve">zeigt Wertminderung. </w:t>
      </w:r>
      <w:r w:rsidRPr="00CC6F7E">
        <w:rPr>
          <w:rFonts w:eastAsia="Times New Roman" w:cs="Times New Roman"/>
          <w:b/>
          <w:bCs/>
          <w:rtl/>
          <w:lang w:eastAsia="de-DE"/>
        </w:rPr>
        <w:t>מערכך</w:t>
      </w:r>
      <w:r w:rsidRPr="00CC6F7E">
        <w:rPr>
          <w:rFonts w:eastAsia="Times New Roman" w:cs="Times New Roman"/>
          <w:rtl/>
          <w:lang w:eastAsia="de-DE"/>
        </w:rPr>
        <w:t xml:space="preserve"> </w:t>
      </w:r>
      <w:r w:rsidRPr="00CC6F7E">
        <w:rPr>
          <w:rFonts w:eastAsia="Times New Roman" w:cs="Times New Roman"/>
          <w:lang w:eastAsia="de-DE"/>
        </w:rPr>
        <w:t>(von deiner Schätzung) bezieht sich auf den Standardwert von V. 16.</w:t>
      </w:r>
    </w:p>
    <w:p w14:paraId="34941F0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אחר היובל</w:t>
      </w:r>
      <w:r w:rsidRPr="00CC6F7E">
        <w:rPr>
          <w:rFonts w:eastAsia="Times New Roman" w:cs="Times New Roman"/>
          <w:rtl/>
          <w:lang w:eastAsia="de-DE"/>
        </w:rPr>
        <w:t xml:space="preserve"> </w:t>
      </w:r>
      <w:r w:rsidRPr="00CC6F7E">
        <w:rPr>
          <w:rFonts w:eastAsia="Times New Roman" w:cs="Times New Roman"/>
          <w:lang w:eastAsia="de-DE"/>
        </w:rPr>
        <w:t xml:space="preserve">zeigt ungünstiges Timing vs. V. 17. </w:t>
      </w:r>
      <w:r w:rsidRPr="00CC6F7E">
        <w:rPr>
          <w:rFonts w:eastAsia="Times New Roman" w:cs="Times New Roman"/>
          <w:b/>
          <w:bCs/>
          <w:rtl/>
          <w:lang w:eastAsia="de-DE"/>
        </w:rPr>
        <w:t>על־פי השנים הנותרת</w:t>
      </w:r>
      <w:r w:rsidRPr="00CC6F7E">
        <w:rPr>
          <w:rFonts w:eastAsia="Times New Roman" w:cs="Times New Roman"/>
          <w:rtl/>
          <w:lang w:eastAsia="de-DE"/>
        </w:rPr>
        <w:t xml:space="preserve"> </w:t>
      </w:r>
      <w:r w:rsidRPr="00CC6F7E">
        <w:rPr>
          <w:rFonts w:eastAsia="Times New Roman" w:cs="Times New Roman"/>
          <w:lang w:eastAsia="de-DE"/>
        </w:rPr>
        <w:t xml:space="preserve">zeigt Jobel-Proportionalität wie in Kap. 25. </w:t>
      </w:r>
      <w:r w:rsidRPr="00CC6F7E">
        <w:rPr>
          <w:rFonts w:eastAsia="Times New Roman" w:cs="Times New Roman"/>
          <w:b/>
          <w:bCs/>
          <w:rtl/>
          <w:lang w:eastAsia="de-DE"/>
        </w:rPr>
        <w:t>ונגרע מערכך</w:t>
      </w:r>
      <w:r w:rsidRPr="00CC6F7E">
        <w:rPr>
          <w:rFonts w:eastAsia="Times New Roman" w:cs="Times New Roman"/>
          <w:rtl/>
          <w:lang w:eastAsia="de-DE"/>
        </w:rPr>
        <w:t xml:space="preserve"> </w:t>
      </w:r>
      <w:r w:rsidRPr="00CC6F7E">
        <w:rPr>
          <w:rFonts w:eastAsia="Times New Roman" w:cs="Times New Roman"/>
          <w:lang w:eastAsia="de-DE"/>
        </w:rPr>
        <w:t>zeigt Abschlag vom Standardwert.</w:t>
      </w:r>
    </w:p>
    <w:p w14:paraId="317604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אחר היובל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μετὰ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ἄφεσιν</w:t>
      </w:r>
      <w:proofErr w:type="spellEnd"/>
      <w:r w:rsidRPr="00CC6F7E">
        <w:rPr>
          <w:rFonts w:eastAsia="Times New Roman" w:cs="Times New Roman"/>
          <w:lang w:eastAsia="de-DE"/>
        </w:rPr>
        <w:t xml:space="preserve"> (nach dem Erlass), </w:t>
      </w:r>
      <w:r w:rsidRPr="00CC6F7E">
        <w:rPr>
          <w:rFonts w:eastAsia="Times New Roman" w:cs="Times New Roman"/>
          <w:b/>
          <w:bCs/>
          <w:rtl/>
          <w:lang w:eastAsia="de-DE"/>
        </w:rPr>
        <w:t>וחשב־לו הכהן</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λογιεῖτ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ὁ </w:t>
      </w:r>
      <w:proofErr w:type="spellStart"/>
      <w:r w:rsidRPr="00CC6F7E">
        <w:rPr>
          <w:rFonts w:eastAsia="Times New Roman" w:cs="Times New Roman"/>
          <w:lang w:eastAsia="de-DE"/>
        </w:rPr>
        <w:t>ἱερεύς</w:t>
      </w:r>
      <w:proofErr w:type="spellEnd"/>
      <w:r w:rsidRPr="00CC6F7E">
        <w:rPr>
          <w:rFonts w:eastAsia="Times New Roman" w:cs="Times New Roman"/>
          <w:lang w:eastAsia="de-DE"/>
        </w:rPr>
        <w:t xml:space="preserve"> (wird ihm der Priester berechnen), </w:t>
      </w:r>
      <w:r w:rsidRPr="00CC6F7E">
        <w:rPr>
          <w:rFonts w:eastAsia="Times New Roman" w:cs="Times New Roman"/>
          <w:b/>
          <w:bCs/>
          <w:rtl/>
          <w:lang w:eastAsia="de-DE"/>
        </w:rPr>
        <w:t>השנים הנותרת</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ἔτη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ἐπ</w:t>
      </w:r>
      <w:proofErr w:type="spellStart"/>
      <w:r w:rsidRPr="00CC6F7E">
        <w:rPr>
          <w:rFonts w:eastAsia="Times New Roman" w:cs="Times New Roman"/>
          <w:lang w:eastAsia="de-DE"/>
        </w:rPr>
        <w:t>ίλοι</w:t>
      </w:r>
      <w:proofErr w:type="spellEnd"/>
      <w:r w:rsidRPr="00CC6F7E">
        <w:rPr>
          <w:rFonts w:eastAsia="Times New Roman" w:cs="Times New Roman"/>
          <w:lang w:eastAsia="de-DE"/>
        </w:rPr>
        <w:t xml:space="preserve">πα (Jahre die übrig sind) und </w:t>
      </w:r>
      <w:r w:rsidRPr="00CC6F7E">
        <w:rPr>
          <w:rFonts w:eastAsia="Times New Roman" w:cs="Times New Roman"/>
          <w:b/>
          <w:bCs/>
          <w:rtl/>
          <w:lang w:eastAsia="de-DE"/>
        </w:rPr>
        <w:t>ונגרע מערכך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ἀφ</w:t>
      </w:r>
      <w:proofErr w:type="spellEnd"/>
      <w:r w:rsidRPr="00CC6F7E">
        <w:rPr>
          <w:rFonts w:eastAsia="Times New Roman" w:cs="Times New Roman"/>
          <w:lang w:eastAsia="de-DE"/>
        </w:rPr>
        <w:t xml:space="preserve">αιρεθήσεται ἀπὸ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τιμῆς</w:t>
      </w:r>
      <w:proofErr w:type="spellEnd"/>
      <w:r w:rsidRPr="00CC6F7E">
        <w:rPr>
          <w:rFonts w:eastAsia="Times New Roman" w:cs="Times New Roman"/>
          <w:lang w:eastAsia="de-DE"/>
        </w:rPr>
        <w:t xml:space="preserve"> (wird abgenommen von dem Wert).</w:t>
      </w:r>
    </w:p>
    <w:p w14:paraId="1791401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proportionale Feld-Bewertung: wenn nach Jobel Feld heiligt + Priester berechnet Geld + nach übrigen Jahren bis Jobeljahr + wird von deiner Schätzung abgezogen.</w:t>
      </w:r>
    </w:p>
    <w:p w14:paraId="3A53AA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Jobel-proportionale Bewertung: Je weniger Jahre bis zum nächsten Jobel, desto geringer der Feldwert.</w:t>
      </w:r>
    </w:p>
    <w:p w14:paraId="36BE517F"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27,19</w:t>
      </w:r>
    </w:p>
    <w:p w14:paraId="3E49419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וְאִם־גָּאֹ֤ל יִגְאַל֙ אֶת־הַשָּׂדֶ֔ה הַמַּקְדִּ֖ישׁ אֹתוֹ֑ וְ֠יָסַף חֲמִשִׁ֧ית כֶּֽסֶף־עֶרְכְּךָ֛ עָלָ֖יו וְקָ֥ם לוֹ׃</w:t>
      </w:r>
    </w:p>
    <w:p w14:paraId="1B6515A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aber der Heiligende das Feld lösen will, so soll er ein Fünftel des Geldes deiner Schätzung darüber hinzufügen, und es soll ihm verbleiben.</w:t>
      </w:r>
    </w:p>
    <w:p w14:paraId="0FFC16B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1020C66">
          <v:rect id="_x0000_i1868" style="width:0;height:1.5pt" o:hralign="center" o:hrstd="t" o:hr="t" fillcolor="#a0a0a0" stroked="f"/>
        </w:pict>
      </w:r>
    </w:p>
    <w:p w14:paraId="5501023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ואם־גאל יגאל את־השדה המקדיש אתו ויסף חמישית כסף־ערכך עליו וקם לו</w:t>
      </w:r>
      <w:r w:rsidRPr="00CC6F7E">
        <w:rPr>
          <w:rFonts w:eastAsia="Times New Roman" w:cs="Times New Roman"/>
          <w:rtl/>
          <w:lang w:eastAsia="de-DE"/>
        </w:rPr>
        <w:t xml:space="preserve"> </w:t>
      </w:r>
      <w:r w:rsidRPr="00CC6F7E">
        <w:rPr>
          <w:rFonts w:eastAsia="Times New Roman" w:cs="Times New Roman"/>
          <w:lang w:eastAsia="de-DE"/>
        </w:rPr>
        <w:t xml:space="preserve">zeigt Feld-Rückkaufoption. </w:t>
      </w:r>
      <w:r w:rsidRPr="00CC6F7E">
        <w:rPr>
          <w:rFonts w:eastAsia="Times New Roman" w:cs="Times New Roman"/>
          <w:b/>
          <w:bCs/>
          <w:rtl/>
          <w:lang w:eastAsia="de-DE"/>
        </w:rPr>
        <w:t>ואם־גאל יגאל את־השדה המקדיש אתו</w:t>
      </w:r>
      <w:r w:rsidRPr="00CC6F7E">
        <w:rPr>
          <w:rFonts w:eastAsia="Times New Roman" w:cs="Times New Roman"/>
          <w:rtl/>
          <w:lang w:eastAsia="de-DE"/>
        </w:rPr>
        <w:t xml:space="preserve"> </w:t>
      </w:r>
      <w:r w:rsidRPr="00CC6F7E">
        <w:rPr>
          <w:rFonts w:eastAsia="Times New Roman" w:cs="Times New Roman"/>
          <w:lang w:eastAsia="de-DE"/>
        </w:rPr>
        <w:t xml:space="preserve">(wenn aber der Heiligende das Feld lösen will) - </w:t>
      </w:r>
      <w:r w:rsidRPr="00CC6F7E">
        <w:rPr>
          <w:rFonts w:eastAsia="Times New Roman" w:cs="Times New Roman"/>
          <w:b/>
          <w:bCs/>
          <w:rtl/>
          <w:lang w:eastAsia="de-DE"/>
        </w:rPr>
        <w:t>גאל יגאל</w:t>
      </w:r>
      <w:r w:rsidRPr="00CC6F7E">
        <w:rPr>
          <w:rFonts w:eastAsia="Times New Roman" w:cs="Times New Roman"/>
          <w:rtl/>
          <w:lang w:eastAsia="de-DE"/>
        </w:rPr>
        <w:t xml:space="preserve"> </w:t>
      </w:r>
      <w:r w:rsidRPr="00CC6F7E">
        <w:rPr>
          <w:rFonts w:eastAsia="Times New Roman" w:cs="Times New Roman"/>
          <w:lang w:eastAsia="de-DE"/>
        </w:rPr>
        <w:t xml:space="preserve">(lösen löst) mit emphatischer Wiederholung entspricht V. 13. </w:t>
      </w:r>
      <w:r w:rsidRPr="00CC6F7E">
        <w:rPr>
          <w:rFonts w:eastAsia="Times New Roman" w:cs="Times New Roman"/>
          <w:b/>
          <w:bCs/>
          <w:rtl/>
          <w:lang w:eastAsia="de-DE"/>
        </w:rPr>
        <w:t>המקדיש אתו</w:t>
      </w:r>
      <w:r w:rsidRPr="00CC6F7E">
        <w:rPr>
          <w:rFonts w:eastAsia="Times New Roman" w:cs="Times New Roman"/>
          <w:rtl/>
          <w:lang w:eastAsia="de-DE"/>
        </w:rPr>
        <w:t xml:space="preserve"> </w:t>
      </w:r>
      <w:r w:rsidRPr="00CC6F7E">
        <w:rPr>
          <w:rFonts w:eastAsia="Times New Roman" w:cs="Times New Roman"/>
          <w:lang w:eastAsia="de-DE"/>
        </w:rPr>
        <w:t>(der es heiligende) zeigt den ursprünglichen Weihenden als Rückkaufberechtigen.</w:t>
      </w:r>
    </w:p>
    <w:p w14:paraId="22BDC7C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ויסף חמישית כסף־ערכך עליו</w:t>
      </w:r>
      <w:r w:rsidRPr="00CC6F7E">
        <w:rPr>
          <w:rFonts w:eastAsia="Times New Roman" w:cs="Times New Roman"/>
          <w:rtl/>
          <w:lang w:eastAsia="de-DE"/>
        </w:rPr>
        <w:t xml:space="preserve"> </w:t>
      </w:r>
      <w:r w:rsidRPr="00CC6F7E">
        <w:rPr>
          <w:rFonts w:eastAsia="Times New Roman" w:cs="Times New Roman"/>
          <w:lang w:eastAsia="de-DE"/>
        </w:rPr>
        <w:t xml:space="preserve">(so soll er ein Fünftel des Geldes deiner Schätzung darüber hinzufügen) entspricht V. 13,15 und zeigt den Standard-20%-Aufschlag. </w:t>
      </w:r>
      <w:r w:rsidRPr="00CC6F7E">
        <w:rPr>
          <w:rFonts w:eastAsia="Times New Roman" w:cs="Times New Roman"/>
          <w:b/>
          <w:bCs/>
          <w:rtl/>
          <w:lang w:eastAsia="de-DE"/>
        </w:rPr>
        <w:t>כסף־ערכך</w:t>
      </w:r>
      <w:r w:rsidRPr="00CC6F7E">
        <w:rPr>
          <w:rFonts w:eastAsia="Times New Roman" w:cs="Times New Roman"/>
          <w:rtl/>
          <w:lang w:eastAsia="de-DE"/>
        </w:rPr>
        <w:t xml:space="preserve"> </w:t>
      </w:r>
      <w:r w:rsidRPr="00CC6F7E">
        <w:rPr>
          <w:rFonts w:eastAsia="Times New Roman" w:cs="Times New Roman"/>
          <w:lang w:eastAsia="de-DE"/>
        </w:rPr>
        <w:t>(Geld deiner Schätzung) bezieht sich auf den berechneten Wert aus V. 16-18.</w:t>
      </w:r>
    </w:p>
    <w:p w14:paraId="65A4E2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וקם לו</w:t>
      </w:r>
      <w:r w:rsidRPr="00CC6F7E">
        <w:rPr>
          <w:rFonts w:eastAsia="Times New Roman" w:cs="Times New Roman"/>
          <w:rtl/>
          <w:lang w:eastAsia="de-DE"/>
        </w:rPr>
        <w:t xml:space="preserve"> </w:t>
      </w:r>
      <w:r w:rsidRPr="00CC6F7E">
        <w:rPr>
          <w:rFonts w:eastAsia="Times New Roman" w:cs="Times New Roman"/>
          <w:lang w:eastAsia="de-DE"/>
        </w:rPr>
        <w:t xml:space="preserve">(und es soll ihm verbleiben) entspricht </w:t>
      </w:r>
      <w:r w:rsidRPr="00CC6F7E">
        <w:rPr>
          <w:rFonts w:eastAsia="Times New Roman" w:cs="Times New Roman"/>
          <w:b/>
          <w:bCs/>
          <w:rtl/>
          <w:lang w:eastAsia="de-DE"/>
        </w:rPr>
        <w:t>והיה לו</w:t>
      </w:r>
      <w:r w:rsidRPr="00CC6F7E">
        <w:rPr>
          <w:rFonts w:eastAsia="Times New Roman" w:cs="Times New Roman"/>
          <w:rtl/>
          <w:lang w:eastAsia="de-DE"/>
        </w:rPr>
        <w:t xml:space="preserve"> </w:t>
      </w:r>
      <w:r w:rsidRPr="00CC6F7E">
        <w:rPr>
          <w:rFonts w:eastAsia="Times New Roman" w:cs="Times New Roman"/>
          <w:lang w:eastAsia="de-DE"/>
        </w:rPr>
        <w:t>(V. 15) und zeigt erfolgreiche Eigentumsrückübertragung.</w:t>
      </w:r>
    </w:p>
    <w:p w14:paraId="018683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גאל יגאל</w:t>
      </w:r>
      <w:r w:rsidRPr="00CC6F7E">
        <w:rPr>
          <w:rFonts w:eastAsia="Times New Roman" w:cs="Times New Roman"/>
          <w:rtl/>
          <w:lang w:eastAsia="de-DE"/>
        </w:rPr>
        <w:t xml:space="preserve"> </w:t>
      </w:r>
      <w:r w:rsidRPr="00CC6F7E">
        <w:rPr>
          <w:rFonts w:eastAsia="Times New Roman" w:cs="Times New Roman"/>
          <w:lang w:eastAsia="de-DE"/>
        </w:rPr>
        <w:t xml:space="preserve">zeigt </w:t>
      </w:r>
      <w:r w:rsidRPr="00CC6F7E">
        <w:rPr>
          <w:rFonts w:eastAsia="Times New Roman" w:cs="Times New Roman"/>
          <w:b/>
          <w:bCs/>
          <w:rtl/>
          <w:lang w:eastAsia="de-DE"/>
        </w:rPr>
        <w:t>גאל</w:t>
      </w:r>
      <w:r w:rsidRPr="00CC6F7E">
        <w:rPr>
          <w:rFonts w:eastAsia="Times New Roman" w:cs="Times New Roman"/>
          <w:lang w:eastAsia="de-DE"/>
        </w:rPr>
        <w:t xml:space="preserve">-Terminologie für Feld-Rückkauf. </w:t>
      </w:r>
      <w:r w:rsidRPr="00CC6F7E">
        <w:rPr>
          <w:rFonts w:eastAsia="Times New Roman" w:cs="Times New Roman"/>
          <w:b/>
          <w:bCs/>
          <w:rtl/>
          <w:lang w:eastAsia="de-DE"/>
        </w:rPr>
        <w:t>המקדיש אתו</w:t>
      </w:r>
      <w:r w:rsidRPr="00CC6F7E">
        <w:rPr>
          <w:rFonts w:eastAsia="Times New Roman" w:cs="Times New Roman"/>
          <w:rtl/>
          <w:lang w:eastAsia="de-DE"/>
        </w:rPr>
        <w:t xml:space="preserve"> </w:t>
      </w:r>
      <w:r w:rsidRPr="00CC6F7E">
        <w:rPr>
          <w:rFonts w:eastAsia="Times New Roman" w:cs="Times New Roman"/>
          <w:lang w:eastAsia="de-DE"/>
        </w:rPr>
        <w:t xml:space="preserve">zeigt ursprünglichen Weihenden als Rückkaufberechtigen. </w:t>
      </w:r>
      <w:r w:rsidRPr="00CC6F7E">
        <w:rPr>
          <w:rFonts w:eastAsia="Times New Roman" w:cs="Times New Roman"/>
          <w:b/>
          <w:bCs/>
          <w:rtl/>
          <w:lang w:eastAsia="de-DE"/>
        </w:rPr>
        <w:t>חמישית כסף־ערכך</w:t>
      </w:r>
      <w:r w:rsidRPr="00CC6F7E">
        <w:rPr>
          <w:rFonts w:eastAsia="Times New Roman" w:cs="Times New Roman"/>
          <w:rtl/>
          <w:lang w:eastAsia="de-DE"/>
        </w:rPr>
        <w:t xml:space="preserve"> </w:t>
      </w:r>
      <w:r w:rsidRPr="00CC6F7E">
        <w:rPr>
          <w:rFonts w:eastAsia="Times New Roman" w:cs="Times New Roman"/>
          <w:lang w:eastAsia="de-DE"/>
        </w:rPr>
        <w:t xml:space="preserve">zeigt Standard-Aufschlag. </w:t>
      </w:r>
      <w:r w:rsidRPr="00CC6F7E">
        <w:rPr>
          <w:rFonts w:eastAsia="Times New Roman" w:cs="Times New Roman"/>
          <w:b/>
          <w:bCs/>
          <w:rtl/>
          <w:lang w:eastAsia="de-DE"/>
        </w:rPr>
        <w:t>וקם לו</w:t>
      </w:r>
      <w:r w:rsidRPr="00CC6F7E">
        <w:rPr>
          <w:rFonts w:eastAsia="Times New Roman" w:cs="Times New Roman"/>
          <w:rtl/>
          <w:lang w:eastAsia="de-DE"/>
        </w:rPr>
        <w:t xml:space="preserve"> </w:t>
      </w:r>
      <w:r w:rsidRPr="00CC6F7E">
        <w:rPr>
          <w:rFonts w:eastAsia="Times New Roman" w:cs="Times New Roman"/>
          <w:lang w:eastAsia="de-DE"/>
        </w:rPr>
        <w:t>zeigt Eigentumsrückübertragung.</w:t>
      </w:r>
    </w:p>
    <w:p w14:paraId="205CE4A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גאל יגאל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λυτρούμενος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 xml:space="preserve">αι (lösend wird lösen), </w:t>
      </w:r>
      <w:r w:rsidRPr="00CC6F7E">
        <w:rPr>
          <w:rFonts w:eastAsia="Times New Roman" w:cs="Times New Roman"/>
          <w:b/>
          <w:bCs/>
          <w:rtl/>
          <w:lang w:eastAsia="de-DE"/>
        </w:rPr>
        <w:t>המקדיש אתו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ἁγιάσ</w:t>
      </w:r>
      <w:proofErr w:type="spellEnd"/>
      <w:r w:rsidRPr="00CC6F7E">
        <w:rPr>
          <w:rFonts w:eastAsia="Times New Roman" w:cs="Times New Roman"/>
          <w:lang w:eastAsia="de-DE"/>
        </w:rPr>
        <w:t>ας α</w:t>
      </w:r>
      <w:proofErr w:type="spellStart"/>
      <w:r w:rsidRPr="00CC6F7E">
        <w:rPr>
          <w:rFonts w:eastAsia="Times New Roman" w:cs="Times New Roman"/>
          <w:lang w:eastAsia="de-DE"/>
        </w:rPr>
        <w:t>ὐτόν</w:t>
      </w:r>
      <w:proofErr w:type="spellEnd"/>
      <w:r w:rsidRPr="00CC6F7E">
        <w:rPr>
          <w:rFonts w:eastAsia="Times New Roman" w:cs="Times New Roman"/>
          <w:lang w:eastAsia="de-DE"/>
        </w:rPr>
        <w:t xml:space="preserve"> (der es heiligte), </w:t>
      </w:r>
      <w:r w:rsidRPr="00CC6F7E">
        <w:rPr>
          <w:rFonts w:eastAsia="Times New Roman" w:cs="Times New Roman"/>
          <w:b/>
          <w:bCs/>
          <w:rtl/>
          <w:lang w:eastAsia="de-DE"/>
        </w:rPr>
        <w:t>חמישית כסף־ערכך</w:t>
      </w:r>
      <w:r w:rsidRPr="00CC6F7E">
        <w:rPr>
          <w:rFonts w:eastAsia="Times New Roman" w:cs="Times New Roman"/>
          <w:rtl/>
          <w:lang w:eastAsia="de-DE"/>
        </w:rPr>
        <w:t xml:space="preserve"> </w:t>
      </w:r>
      <w:r w:rsidRPr="00CC6F7E">
        <w:rPr>
          <w:rFonts w:eastAsia="Times New Roman" w:cs="Times New Roman"/>
          <w:lang w:eastAsia="de-DE"/>
        </w:rPr>
        <w:t>mit π</w:t>
      </w:r>
      <w:proofErr w:type="spellStart"/>
      <w:r w:rsidRPr="00CC6F7E">
        <w:rPr>
          <w:rFonts w:eastAsia="Times New Roman" w:cs="Times New Roman"/>
          <w:lang w:eastAsia="de-DE"/>
        </w:rPr>
        <w:t>έμ</w:t>
      </w:r>
      <w:proofErr w:type="spellEnd"/>
      <w:r w:rsidRPr="00CC6F7E">
        <w:rPr>
          <w:rFonts w:eastAsia="Times New Roman" w:cs="Times New Roman"/>
          <w:lang w:eastAsia="de-DE"/>
        </w:rPr>
        <w:t xml:space="preserve">πτον </w:t>
      </w:r>
      <w:proofErr w:type="spellStart"/>
      <w:r w:rsidRPr="00CC6F7E">
        <w:rPr>
          <w:rFonts w:eastAsia="Times New Roman" w:cs="Times New Roman"/>
          <w:lang w:eastAsia="de-DE"/>
        </w:rPr>
        <w:t>ἀργυρίου</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τιμῆς</w:t>
      </w:r>
      <w:proofErr w:type="spellEnd"/>
      <w:r w:rsidRPr="00CC6F7E">
        <w:rPr>
          <w:rFonts w:eastAsia="Times New Roman" w:cs="Times New Roman"/>
          <w:lang w:eastAsia="de-DE"/>
        </w:rPr>
        <w:t xml:space="preserve"> (Fünftel Silber des Wertes) und </w:t>
      </w:r>
      <w:r w:rsidRPr="00CC6F7E">
        <w:rPr>
          <w:rFonts w:eastAsia="Times New Roman" w:cs="Times New Roman"/>
          <w:b/>
          <w:bCs/>
          <w:rtl/>
          <w:lang w:eastAsia="de-DE"/>
        </w:rPr>
        <w:t>וקם לו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στήσετ</w:t>
      </w:r>
      <w:proofErr w:type="spellEnd"/>
      <w:r w:rsidRPr="00CC6F7E">
        <w:rPr>
          <w:rFonts w:eastAsia="Times New Roman" w:cs="Times New Roman"/>
          <w:lang w:eastAsia="de-DE"/>
        </w:rPr>
        <w:t>αι α</w:t>
      </w:r>
      <w:proofErr w:type="spellStart"/>
      <w:r w:rsidRPr="00CC6F7E">
        <w:rPr>
          <w:rFonts w:eastAsia="Times New Roman" w:cs="Times New Roman"/>
          <w:lang w:eastAsia="de-DE"/>
        </w:rPr>
        <w:t>ὐτῷ</w:t>
      </w:r>
      <w:proofErr w:type="spellEnd"/>
      <w:r w:rsidRPr="00CC6F7E">
        <w:rPr>
          <w:rFonts w:eastAsia="Times New Roman" w:cs="Times New Roman"/>
          <w:lang w:eastAsia="de-DE"/>
        </w:rPr>
        <w:t xml:space="preserve"> (wird ihm stehen).</w:t>
      </w:r>
    </w:p>
    <w:p w14:paraId="26BDB1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Feld-Rückkauf: wenn der Heiligende das Feld lösen will + Fünftel des Schätzungs-Geldes hinzufügen + soll ihm verbleiben.</w:t>
      </w:r>
    </w:p>
    <w:p w14:paraId="565C67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ermöglicht dem ursprünglichen Weihenden das Feld mit 20%-Aufschlag zurückzukaufen.</w:t>
      </w:r>
    </w:p>
    <w:p w14:paraId="31EDFD6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27,20</w:t>
      </w:r>
    </w:p>
    <w:p w14:paraId="12200DE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וְאִם־לֹ֤א יִגְאַל֙ אֶת־הַשָּׂדֶ֔ה וְאִם־מָכַ֥ר אֶת־הַשָּׂדֶ֖ה לְאִ֣ישׁ אַחֵ֑ר לֹ֥א יִגָּאֵ֖ל עֽוֹד׃</w:t>
      </w:r>
    </w:p>
    <w:p w14:paraId="72C104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er das Feld nicht löst, oder wenn er das Feld einem anderen Mann verkauft, so kann es nicht mehr gelöst werden;</w:t>
      </w:r>
    </w:p>
    <w:p w14:paraId="71DA1A3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6A2832B">
          <v:rect id="_x0000_i1869" style="width:0;height:1.5pt" o:hralign="center" o:hrstd="t" o:hr="t" fillcolor="#a0a0a0" stroked="f"/>
        </w:pict>
      </w:r>
    </w:p>
    <w:p w14:paraId="572D09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ואם־לא יגאל את־השדה ואם־מכר את־השדה לאיש אחר לא יגאל עוד</w:t>
      </w:r>
      <w:r w:rsidRPr="00CC6F7E">
        <w:rPr>
          <w:rFonts w:eastAsia="Times New Roman" w:cs="Times New Roman"/>
          <w:rtl/>
          <w:lang w:eastAsia="de-DE"/>
        </w:rPr>
        <w:t xml:space="preserve"> </w:t>
      </w:r>
      <w:r w:rsidRPr="00CC6F7E">
        <w:rPr>
          <w:rFonts w:eastAsia="Times New Roman" w:cs="Times New Roman"/>
          <w:lang w:eastAsia="de-DE"/>
        </w:rPr>
        <w:t xml:space="preserve">zeigt zwei Situationen, die Rückkauf ausschließen. </w:t>
      </w:r>
      <w:r w:rsidRPr="00CC6F7E">
        <w:rPr>
          <w:rFonts w:eastAsia="Times New Roman" w:cs="Times New Roman"/>
          <w:b/>
          <w:bCs/>
          <w:rtl/>
          <w:lang w:eastAsia="de-DE"/>
        </w:rPr>
        <w:t>ואם־לא יגאל את־השדה</w:t>
      </w:r>
      <w:r w:rsidRPr="00CC6F7E">
        <w:rPr>
          <w:rFonts w:eastAsia="Times New Roman" w:cs="Times New Roman"/>
          <w:rtl/>
          <w:lang w:eastAsia="de-DE"/>
        </w:rPr>
        <w:t xml:space="preserve"> </w:t>
      </w:r>
      <w:r w:rsidRPr="00CC6F7E">
        <w:rPr>
          <w:rFonts w:eastAsia="Times New Roman" w:cs="Times New Roman"/>
          <w:lang w:eastAsia="de-DE"/>
        </w:rPr>
        <w:t xml:space="preserve">(und wenn er das Feld nicht löst) zeigt versäumten Rückkauf durch den ursprünglichen Weihenden. </w:t>
      </w:r>
      <w:r w:rsidRPr="00CC6F7E">
        <w:rPr>
          <w:rFonts w:eastAsia="Times New Roman" w:cs="Times New Roman"/>
          <w:b/>
          <w:bCs/>
          <w:rtl/>
          <w:lang w:eastAsia="de-DE"/>
        </w:rPr>
        <w:t>ואם־מכר את־השדה לאיש אחר</w:t>
      </w:r>
      <w:r w:rsidRPr="00CC6F7E">
        <w:rPr>
          <w:rFonts w:eastAsia="Times New Roman" w:cs="Times New Roman"/>
          <w:rtl/>
          <w:lang w:eastAsia="de-DE"/>
        </w:rPr>
        <w:t xml:space="preserve"> </w:t>
      </w:r>
      <w:r w:rsidRPr="00CC6F7E">
        <w:rPr>
          <w:rFonts w:eastAsia="Times New Roman" w:cs="Times New Roman"/>
          <w:lang w:eastAsia="de-DE"/>
        </w:rPr>
        <w:t>(oder wenn er das Feld einem anderen Mann verkauft) zeigt dass das Heiligtum das geweihte Feld weiterverkaufen kann.</w:t>
      </w:r>
    </w:p>
    <w:p w14:paraId="75C6B32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יגאל עוד</w:t>
      </w:r>
      <w:r w:rsidRPr="00CC6F7E">
        <w:rPr>
          <w:rFonts w:eastAsia="Times New Roman" w:cs="Times New Roman"/>
          <w:rtl/>
          <w:lang w:eastAsia="de-DE"/>
        </w:rPr>
        <w:t xml:space="preserve"> </w:t>
      </w:r>
      <w:r w:rsidRPr="00CC6F7E">
        <w:rPr>
          <w:rFonts w:eastAsia="Times New Roman" w:cs="Times New Roman"/>
          <w:lang w:eastAsia="de-DE"/>
        </w:rPr>
        <w:t xml:space="preserve">(so kann es nicht mehr gelöst werden) - </w:t>
      </w:r>
      <w:r w:rsidRPr="00CC6F7E">
        <w:rPr>
          <w:rFonts w:eastAsia="Times New Roman" w:cs="Times New Roman"/>
          <w:b/>
          <w:bCs/>
          <w:rtl/>
          <w:lang w:eastAsia="de-DE"/>
        </w:rPr>
        <w:t>לא יגאל</w:t>
      </w:r>
      <w:r w:rsidRPr="00CC6F7E">
        <w:rPr>
          <w:rFonts w:eastAsia="Times New Roman" w:cs="Times New Roman"/>
          <w:rtl/>
          <w:lang w:eastAsia="de-DE"/>
        </w:rPr>
        <w:t xml:space="preserve"> </w:t>
      </w:r>
      <w:r w:rsidRPr="00CC6F7E">
        <w:rPr>
          <w:rFonts w:eastAsia="Times New Roman" w:cs="Times New Roman"/>
          <w:lang w:eastAsia="de-DE"/>
        </w:rPr>
        <w:t xml:space="preserve">(kann nicht gelöst werden) zeigt unwiderruflichen Verlust des Rückkaufrechts. </w:t>
      </w:r>
      <w:r w:rsidRPr="00CC6F7E">
        <w:rPr>
          <w:rFonts w:eastAsia="Times New Roman" w:cs="Times New Roman"/>
          <w:b/>
          <w:bCs/>
          <w:rtl/>
          <w:lang w:eastAsia="de-DE"/>
        </w:rPr>
        <w:t>עוד</w:t>
      </w:r>
      <w:r w:rsidRPr="00CC6F7E">
        <w:rPr>
          <w:rFonts w:eastAsia="Times New Roman" w:cs="Times New Roman"/>
          <w:rtl/>
          <w:lang w:eastAsia="de-DE"/>
        </w:rPr>
        <w:t xml:space="preserve"> </w:t>
      </w:r>
      <w:r w:rsidRPr="00CC6F7E">
        <w:rPr>
          <w:rFonts w:eastAsia="Times New Roman" w:cs="Times New Roman"/>
          <w:lang w:eastAsia="de-DE"/>
        </w:rPr>
        <w:t>(mehr/noch) betont die Endgültigkeit.</w:t>
      </w:r>
    </w:p>
    <w:p w14:paraId="62D4DAC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beiden Fälle: 1) Ursprünglicher Weihender kauft nicht zurück, 2) Heiligtum verkauft an Dritten. In beiden Fällen erlischt das </w:t>
      </w:r>
      <w:r w:rsidRPr="00CC6F7E">
        <w:rPr>
          <w:rFonts w:eastAsia="Times New Roman" w:cs="Times New Roman"/>
          <w:b/>
          <w:bCs/>
          <w:rtl/>
          <w:lang w:eastAsia="de-DE"/>
        </w:rPr>
        <w:t>גאל</w:t>
      </w:r>
      <w:r w:rsidRPr="00CC6F7E">
        <w:rPr>
          <w:rFonts w:eastAsia="Times New Roman" w:cs="Times New Roman"/>
          <w:lang w:eastAsia="de-DE"/>
        </w:rPr>
        <w:t>-Recht.</w:t>
      </w:r>
    </w:p>
    <w:p w14:paraId="1AD8FF7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יגאל את־השדה</w:t>
      </w:r>
      <w:r w:rsidRPr="00CC6F7E">
        <w:rPr>
          <w:rFonts w:eastAsia="Times New Roman" w:cs="Times New Roman"/>
          <w:rtl/>
          <w:lang w:eastAsia="de-DE"/>
        </w:rPr>
        <w:t xml:space="preserve"> </w:t>
      </w:r>
      <w:r w:rsidRPr="00CC6F7E">
        <w:rPr>
          <w:rFonts w:eastAsia="Times New Roman" w:cs="Times New Roman"/>
          <w:lang w:eastAsia="de-DE"/>
        </w:rPr>
        <w:t xml:space="preserve">zeigt versäumten Rückkauf. </w:t>
      </w:r>
      <w:r w:rsidRPr="00CC6F7E">
        <w:rPr>
          <w:rFonts w:eastAsia="Times New Roman" w:cs="Times New Roman"/>
          <w:b/>
          <w:bCs/>
          <w:rtl/>
          <w:lang w:eastAsia="de-DE"/>
        </w:rPr>
        <w:t>מכר את־השדה לאיש אחר</w:t>
      </w:r>
      <w:r w:rsidRPr="00CC6F7E">
        <w:rPr>
          <w:rFonts w:eastAsia="Times New Roman" w:cs="Times New Roman"/>
          <w:rtl/>
          <w:lang w:eastAsia="de-DE"/>
        </w:rPr>
        <w:t xml:space="preserve"> </w:t>
      </w:r>
      <w:r w:rsidRPr="00CC6F7E">
        <w:rPr>
          <w:rFonts w:eastAsia="Times New Roman" w:cs="Times New Roman"/>
          <w:lang w:eastAsia="de-DE"/>
        </w:rPr>
        <w:t xml:space="preserve">zeigt Heiligtums-Weiterverkauf. </w:t>
      </w:r>
      <w:r w:rsidRPr="00CC6F7E">
        <w:rPr>
          <w:rFonts w:eastAsia="Times New Roman" w:cs="Times New Roman"/>
          <w:b/>
          <w:bCs/>
          <w:rtl/>
          <w:lang w:eastAsia="de-DE"/>
        </w:rPr>
        <w:t>לא יגאל עוד</w:t>
      </w:r>
      <w:r w:rsidRPr="00CC6F7E">
        <w:rPr>
          <w:rFonts w:eastAsia="Times New Roman" w:cs="Times New Roman"/>
          <w:rtl/>
          <w:lang w:eastAsia="de-DE"/>
        </w:rPr>
        <w:t xml:space="preserve"> </w:t>
      </w:r>
      <w:r w:rsidRPr="00CC6F7E">
        <w:rPr>
          <w:rFonts w:eastAsia="Times New Roman" w:cs="Times New Roman"/>
          <w:lang w:eastAsia="de-DE"/>
        </w:rPr>
        <w:t xml:space="preserve">zeigt endgültigen </w:t>
      </w:r>
      <w:r w:rsidRPr="00CC6F7E">
        <w:rPr>
          <w:rFonts w:eastAsia="Times New Roman" w:cs="Times New Roman"/>
          <w:b/>
          <w:bCs/>
          <w:rtl/>
          <w:lang w:eastAsia="de-DE"/>
        </w:rPr>
        <w:t>גאל</w:t>
      </w:r>
      <w:r w:rsidRPr="00CC6F7E">
        <w:rPr>
          <w:rFonts w:eastAsia="Times New Roman" w:cs="Times New Roman"/>
          <w:lang w:eastAsia="de-DE"/>
        </w:rPr>
        <w:t>-Rechtsverlust.</w:t>
      </w:r>
    </w:p>
    <w:p w14:paraId="11CC906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לא יגאל את־השדה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 xml:space="preserve">αι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ἀγρόν</w:t>
      </w:r>
      <w:proofErr w:type="spellEnd"/>
      <w:r w:rsidRPr="00CC6F7E">
        <w:rPr>
          <w:rFonts w:eastAsia="Times New Roman" w:cs="Times New Roman"/>
          <w:lang w:eastAsia="de-DE"/>
        </w:rPr>
        <w:t xml:space="preserve"> (nicht löst das Feld), </w:t>
      </w:r>
      <w:r w:rsidRPr="00CC6F7E">
        <w:rPr>
          <w:rFonts w:eastAsia="Times New Roman" w:cs="Times New Roman"/>
          <w:b/>
          <w:bCs/>
          <w:rtl/>
          <w:lang w:eastAsia="de-DE"/>
        </w:rPr>
        <w:t>מכר את־השדה לאיש אחר</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έδοτο</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ἀγρὸν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ἀνθρώ</w:t>
      </w:r>
      <w:proofErr w:type="spellEnd"/>
      <w:r w:rsidRPr="00CC6F7E">
        <w:rPr>
          <w:rFonts w:eastAsia="Times New Roman" w:cs="Times New Roman"/>
          <w:lang w:eastAsia="de-DE"/>
        </w:rPr>
        <w:t xml:space="preserve">πῳ </w:t>
      </w:r>
      <w:proofErr w:type="spellStart"/>
      <w:r w:rsidRPr="00CC6F7E">
        <w:rPr>
          <w:rFonts w:eastAsia="Times New Roman" w:cs="Times New Roman"/>
          <w:lang w:eastAsia="de-DE"/>
        </w:rPr>
        <w:t>ἑτέρῳ</w:t>
      </w:r>
      <w:proofErr w:type="spellEnd"/>
      <w:r w:rsidRPr="00CC6F7E">
        <w:rPr>
          <w:rFonts w:eastAsia="Times New Roman" w:cs="Times New Roman"/>
          <w:lang w:eastAsia="de-DE"/>
        </w:rPr>
        <w:t xml:space="preserve"> (verkaufte das Feld einem anderen Menschen) und </w:t>
      </w:r>
      <w:r w:rsidRPr="00CC6F7E">
        <w:rPr>
          <w:rFonts w:eastAsia="Times New Roman" w:cs="Times New Roman"/>
          <w:b/>
          <w:bCs/>
          <w:rtl/>
          <w:lang w:eastAsia="de-DE"/>
        </w:rPr>
        <w:t>לא יגאל עוד</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οὐ</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μὴ</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λυτρωθῇ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ἔτι</w:t>
      </w:r>
      <w:proofErr w:type="spellEnd"/>
      <w:r w:rsidRPr="00CC6F7E">
        <w:rPr>
          <w:rFonts w:eastAsia="Times New Roman" w:cs="Times New Roman"/>
          <w:lang w:eastAsia="de-DE"/>
        </w:rPr>
        <w:t xml:space="preserve"> (wird nicht mehr gelöst werden).</w:t>
      </w:r>
    </w:p>
    <w:p w14:paraId="6FCBBC8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w:t>
      </w:r>
      <w:r w:rsidRPr="00CC6F7E">
        <w:rPr>
          <w:rFonts w:eastAsia="Times New Roman" w:cs="Times New Roman"/>
          <w:b/>
          <w:bCs/>
          <w:rtl/>
          <w:lang w:eastAsia="de-DE"/>
        </w:rPr>
        <w:t>גאל</w:t>
      </w:r>
      <w:r w:rsidRPr="00CC6F7E">
        <w:rPr>
          <w:rFonts w:eastAsia="Times New Roman" w:cs="Times New Roman"/>
          <w:lang w:eastAsia="de-DE"/>
        </w:rPr>
        <w:t>-Rechtsverlust: wenn Feld nicht löst + oder wenn Feld an anderen Mann verkauft + kann nicht mehr gelöst werden.</w:t>
      </w:r>
    </w:p>
    <w:p w14:paraId="760C07A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zwei Wege zum unwiderruflichen Verlust des Rückkaufrechts: versäumter Rückkauf oder Weiterverkauf durch das Heiligtum.</w:t>
      </w:r>
    </w:p>
    <w:p w14:paraId="468E09CD"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27,21</w:t>
      </w:r>
    </w:p>
    <w:p w14:paraId="521AD49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וְהָיָ֨ה הַשָּׂדֶ֜ה בְּצֵאתוֹ֣ בַיֹּבֵ֗ל קֹ֛דֶשׁ לַֽיהוָ֖ה כִּשְׂדֵ֣ה הַחֵ֑רֶם לַכֹּהֵ֖ן תִּהְיֶ֥ה אֲחֻזָּתוֹ׃</w:t>
      </w:r>
    </w:p>
    <w:p w14:paraId="6A5B6E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das Feld soll, wenn es im Jovel frei ausgeht, dem Ewigen heilig sein, wie ein gebanntes Feld; es soll dem Priester als Eigentum gehören.</w:t>
      </w:r>
    </w:p>
    <w:p w14:paraId="50A6C69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38EC17E">
          <v:rect id="_x0000_i1870" style="width:0;height:1.5pt" o:hralign="center" o:hrstd="t" o:hr="t" fillcolor="#a0a0a0" stroked="f"/>
        </w:pict>
      </w:r>
    </w:p>
    <w:p w14:paraId="291EA8D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והיה השדה בצאתו ביובל קדש ליהוה כשדה החרם לכהן תהיה אחזתו</w:t>
      </w:r>
      <w:r w:rsidRPr="00CC6F7E">
        <w:rPr>
          <w:rFonts w:eastAsia="Times New Roman" w:cs="Times New Roman"/>
          <w:rtl/>
          <w:lang w:eastAsia="de-DE"/>
        </w:rPr>
        <w:t xml:space="preserve"> </w:t>
      </w:r>
      <w:r w:rsidRPr="00CC6F7E">
        <w:rPr>
          <w:rFonts w:eastAsia="Times New Roman" w:cs="Times New Roman"/>
          <w:lang w:eastAsia="de-DE"/>
        </w:rPr>
        <w:t xml:space="preserve">zeigt das Schicksal nicht-rückgekaufter geweihter Felder im Jobel. </w:t>
      </w:r>
      <w:r w:rsidRPr="00CC6F7E">
        <w:rPr>
          <w:rFonts w:eastAsia="Times New Roman" w:cs="Times New Roman"/>
          <w:b/>
          <w:bCs/>
          <w:rtl/>
          <w:lang w:eastAsia="de-DE"/>
        </w:rPr>
        <w:t>והיה השדה בצאתו ביובל קדש ליהוה</w:t>
      </w:r>
      <w:r w:rsidRPr="00CC6F7E">
        <w:rPr>
          <w:rFonts w:eastAsia="Times New Roman" w:cs="Times New Roman"/>
          <w:rtl/>
          <w:lang w:eastAsia="de-DE"/>
        </w:rPr>
        <w:t xml:space="preserve"> </w:t>
      </w:r>
      <w:r w:rsidRPr="00CC6F7E">
        <w:rPr>
          <w:rFonts w:eastAsia="Times New Roman" w:cs="Times New Roman"/>
          <w:lang w:eastAsia="de-DE"/>
        </w:rPr>
        <w:t xml:space="preserve">(und das Feld soll, wenn es im Jobel frei ausgeht, dem Ewigen heilig sein) - </w:t>
      </w:r>
      <w:r w:rsidRPr="00CC6F7E">
        <w:rPr>
          <w:rFonts w:eastAsia="Times New Roman" w:cs="Times New Roman"/>
          <w:b/>
          <w:bCs/>
          <w:rtl/>
          <w:lang w:eastAsia="de-DE"/>
        </w:rPr>
        <w:t>בצאתו ביובל</w:t>
      </w:r>
      <w:r w:rsidRPr="00CC6F7E">
        <w:rPr>
          <w:rFonts w:eastAsia="Times New Roman" w:cs="Times New Roman"/>
          <w:rtl/>
          <w:lang w:eastAsia="de-DE"/>
        </w:rPr>
        <w:t xml:space="preserve"> </w:t>
      </w:r>
      <w:r w:rsidRPr="00CC6F7E">
        <w:rPr>
          <w:rFonts w:eastAsia="Times New Roman" w:cs="Times New Roman"/>
          <w:lang w:eastAsia="de-DE"/>
        </w:rPr>
        <w:t xml:space="preserve">(bei seinem Ausgehen im Jobel) entspricht 25,28,31 und zeigt Jobel-"Befreiung". </w:t>
      </w:r>
      <w:r w:rsidRPr="00CC6F7E">
        <w:rPr>
          <w:rFonts w:eastAsia="Times New Roman" w:cs="Times New Roman"/>
          <w:b/>
          <w:bCs/>
          <w:rtl/>
          <w:lang w:eastAsia="de-DE"/>
        </w:rPr>
        <w:t>קדש ליהוה</w:t>
      </w:r>
      <w:r w:rsidRPr="00CC6F7E">
        <w:rPr>
          <w:rFonts w:eastAsia="Times New Roman" w:cs="Times New Roman"/>
          <w:rtl/>
          <w:lang w:eastAsia="de-DE"/>
        </w:rPr>
        <w:t xml:space="preserve"> </w:t>
      </w:r>
      <w:r w:rsidRPr="00CC6F7E">
        <w:rPr>
          <w:rFonts w:eastAsia="Times New Roman" w:cs="Times New Roman"/>
          <w:lang w:eastAsia="de-DE"/>
        </w:rPr>
        <w:t>(heilig für JHWH) zeigt dass das Feld nicht zum ursprünglichen Besitzer zurückkehrt, sondern JHWH gehört.</w:t>
      </w:r>
    </w:p>
    <w:p w14:paraId="1840FDB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כשדה החרם</w:t>
      </w:r>
      <w:r w:rsidRPr="00CC6F7E">
        <w:rPr>
          <w:rFonts w:eastAsia="Times New Roman" w:cs="Times New Roman"/>
          <w:rtl/>
          <w:lang w:eastAsia="de-DE"/>
        </w:rPr>
        <w:t xml:space="preserve"> </w:t>
      </w:r>
      <w:r w:rsidRPr="00CC6F7E">
        <w:rPr>
          <w:rFonts w:eastAsia="Times New Roman" w:cs="Times New Roman"/>
          <w:lang w:eastAsia="de-DE"/>
        </w:rPr>
        <w:t xml:space="preserve">(wie ein gebanntes Feld) vergleicht mit </w:t>
      </w:r>
      <w:r w:rsidRPr="00CC6F7E">
        <w:rPr>
          <w:rFonts w:eastAsia="Times New Roman" w:cs="Times New Roman"/>
          <w:b/>
          <w:bCs/>
          <w:rtl/>
          <w:lang w:eastAsia="de-DE"/>
        </w:rPr>
        <w:t>חרם</w:t>
      </w:r>
      <w:r w:rsidRPr="00CC6F7E">
        <w:rPr>
          <w:rFonts w:eastAsia="Times New Roman" w:cs="Times New Roman"/>
          <w:lang w:eastAsia="de-DE"/>
        </w:rPr>
        <w:t xml:space="preserve">-Feldern (V. 28-29), die ebenfalls unwiderruflich JHWH gehören. </w:t>
      </w:r>
      <w:r w:rsidRPr="00CC6F7E">
        <w:rPr>
          <w:rFonts w:eastAsia="Times New Roman" w:cs="Times New Roman"/>
          <w:b/>
          <w:bCs/>
          <w:rtl/>
          <w:lang w:eastAsia="de-DE"/>
        </w:rPr>
        <w:t>לכהן תהיה אחזתו</w:t>
      </w:r>
      <w:r w:rsidRPr="00CC6F7E">
        <w:rPr>
          <w:rFonts w:eastAsia="Times New Roman" w:cs="Times New Roman"/>
          <w:rtl/>
          <w:lang w:eastAsia="de-DE"/>
        </w:rPr>
        <w:t xml:space="preserve"> </w:t>
      </w:r>
      <w:r w:rsidRPr="00CC6F7E">
        <w:rPr>
          <w:rFonts w:eastAsia="Times New Roman" w:cs="Times New Roman"/>
          <w:lang w:eastAsia="de-DE"/>
        </w:rPr>
        <w:t xml:space="preserve">(es soll dem Priester als Eigentum gehören) - </w:t>
      </w:r>
      <w:r w:rsidRPr="00CC6F7E">
        <w:rPr>
          <w:rFonts w:eastAsia="Times New Roman" w:cs="Times New Roman"/>
          <w:b/>
          <w:bCs/>
          <w:rtl/>
          <w:lang w:eastAsia="de-DE"/>
        </w:rPr>
        <w:t>תהיה אחזתו</w:t>
      </w:r>
      <w:r w:rsidRPr="00CC6F7E">
        <w:rPr>
          <w:rFonts w:eastAsia="Times New Roman" w:cs="Times New Roman"/>
          <w:rtl/>
          <w:lang w:eastAsia="de-DE"/>
        </w:rPr>
        <w:t xml:space="preserve"> </w:t>
      </w:r>
      <w:r w:rsidRPr="00CC6F7E">
        <w:rPr>
          <w:rFonts w:eastAsia="Times New Roman" w:cs="Times New Roman"/>
          <w:lang w:eastAsia="de-DE"/>
        </w:rPr>
        <w:t xml:space="preserve">zeigt dass Priester das praktische Nutzungsrecht erhalten. </w:t>
      </w:r>
      <w:r w:rsidRPr="00CC6F7E">
        <w:rPr>
          <w:rFonts w:eastAsia="Times New Roman" w:cs="Times New Roman"/>
          <w:b/>
          <w:bCs/>
          <w:rtl/>
          <w:lang w:eastAsia="de-DE"/>
        </w:rPr>
        <w:t>אחזתו</w:t>
      </w:r>
      <w:r w:rsidRPr="00CC6F7E">
        <w:rPr>
          <w:rFonts w:eastAsia="Times New Roman" w:cs="Times New Roman"/>
          <w:rtl/>
          <w:lang w:eastAsia="de-DE"/>
        </w:rPr>
        <w:t xml:space="preserve"> </w:t>
      </w:r>
      <w:r w:rsidRPr="00CC6F7E">
        <w:rPr>
          <w:rFonts w:eastAsia="Times New Roman" w:cs="Times New Roman"/>
          <w:lang w:eastAsia="de-DE"/>
        </w:rPr>
        <w:t>(sein Eigentum) zeigt Erbbesitz-Status.</w:t>
      </w:r>
    </w:p>
    <w:p w14:paraId="1052A1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בצאתו ביובל קדש ליהוה</w:t>
      </w:r>
      <w:r w:rsidRPr="00CC6F7E">
        <w:rPr>
          <w:rFonts w:eastAsia="Times New Roman" w:cs="Times New Roman"/>
          <w:rtl/>
          <w:lang w:eastAsia="de-DE"/>
        </w:rPr>
        <w:t xml:space="preserve"> </w:t>
      </w:r>
      <w:r w:rsidRPr="00CC6F7E">
        <w:rPr>
          <w:rFonts w:eastAsia="Times New Roman" w:cs="Times New Roman"/>
          <w:lang w:eastAsia="de-DE"/>
        </w:rPr>
        <w:t xml:space="preserve">zeigt Jobel-Übergang zu JHWH statt ursprünglichem Besitzer. </w:t>
      </w:r>
      <w:r w:rsidRPr="00CC6F7E">
        <w:rPr>
          <w:rFonts w:eastAsia="Times New Roman" w:cs="Times New Roman"/>
          <w:b/>
          <w:bCs/>
          <w:rtl/>
          <w:lang w:eastAsia="de-DE"/>
        </w:rPr>
        <w:t>כשדה החרם</w:t>
      </w:r>
      <w:r w:rsidRPr="00CC6F7E">
        <w:rPr>
          <w:rFonts w:eastAsia="Times New Roman" w:cs="Times New Roman"/>
          <w:rtl/>
          <w:lang w:eastAsia="de-DE"/>
        </w:rPr>
        <w:t xml:space="preserve"> </w:t>
      </w:r>
      <w:r w:rsidRPr="00CC6F7E">
        <w:rPr>
          <w:rFonts w:eastAsia="Times New Roman" w:cs="Times New Roman"/>
          <w:lang w:eastAsia="de-DE"/>
        </w:rPr>
        <w:t xml:space="preserve">verweist auf </w:t>
      </w:r>
      <w:r w:rsidRPr="00CC6F7E">
        <w:rPr>
          <w:rFonts w:eastAsia="Times New Roman" w:cs="Times New Roman"/>
          <w:b/>
          <w:bCs/>
          <w:rtl/>
          <w:lang w:eastAsia="de-DE"/>
        </w:rPr>
        <w:t>חרם</w:t>
      </w:r>
      <w:r w:rsidRPr="00CC6F7E">
        <w:rPr>
          <w:rFonts w:eastAsia="Times New Roman" w:cs="Times New Roman"/>
          <w:lang w:eastAsia="de-DE"/>
        </w:rPr>
        <w:t xml:space="preserve">-Parallelität. </w:t>
      </w:r>
      <w:r w:rsidRPr="00CC6F7E">
        <w:rPr>
          <w:rFonts w:eastAsia="Times New Roman" w:cs="Times New Roman"/>
          <w:b/>
          <w:bCs/>
          <w:rtl/>
          <w:lang w:eastAsia="de-DE"/>
        </w:rPr>
        <w:t>לכהן תהיה אחזתו</w:t>
      </w:r>
      <w:r w:rsidRPr="00CC6F7E">
        <w:rPr>
          <w:rFonts w:eastAsia="Times New Roman" w:cs="Times New Roman"/>
          <w:rtl/>
          <w:lang w:eastAsia="de-DE"/>
        </w:rPr>
        <w:t xml:space="preserve"> </w:t>
      </w:r>
      <w:r w:rsidRPr="00CC6F7E">
        <w:rPr>
          <w:rFonts w:eastAsia="Times New Roman" w:cs="Times New Roman"/>
          <w:lang w:eastAsia="de-DE"/>
        </w:rPr>
        <w:t>zeigt priesterliche Nutzungsberechtigung.</w:t>
      </w:r>
    </w:p>
    <w:p w14:paraId="4D08097F" w14:textId="461AFBE1"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כשדה החרם</w:t>
      </w:r>
      <w:r w:rsidR="00274C29">
        <w:t xml:space="preserve"> (</w:t>
      </w:r>
      <w:proofErr w:type="spellStart"/>
      <w:r w:rsidR="00274C29">
        <w:t>kisde</w:t>
      </w:r>
      <w:proofErr w:type="spellEnd"/>
      <w:r w:rsidR="00274C29">
        <w:t xml:space="preserve"> </w:t>
      </w:r>
      <w:proofErr w:type="spellStart"/>
      <w:r w:rsidR="00274C29">
        <w:t>hacherem</w:t>
      </w:r>
      <w:proofErr w:type="spellEnd"/>
      <w:r w:rsidR="00274C29">
        <w:t xml:space="preserve"> - "wie ein dem Bann geweihtes Feld") als </w:t>
      </w:r>
      <w:proofErr w:type="spellStart"/>
      <w:r w:rsidR="00274C29">
        <w:t>ὥσ</w:t>
      </w:r>
      <w:proofErr w:type="spellEnd"/>
      <w:r w:rsidR="00274C29">
        <w:t xml:space="preserve">περ ἡ </w:t>
      </w:r>
      <w:proofErr w:type="spellStart"/>
      <w:r w:rsidR="00274C29">
        <w:t>γῆ</w:t>
      </w:r>
      <w:proofErr w:type="spellEnd"/>
      <w:r w:rsidR="00274C29">
        <w:t xml:space="preserve"> ἡ </w:t>
      </w:r>
      <w:proofErr w:type="spellStart"/>
      <w:r w:rsidR="00274C29">
        <w:t>ἀφωρισμένη</w:t>
      </w:r>
      <w:proofErr w:type="spellEnd"/>
      <w:r w:rsidR="00274C29">
        <w:t xml:space="preserve"> (wie das abgesonderte Land).</w:t>
      </w:r>
    </w:p>
    <w:p w14:paraId="486135B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nicht-rückgekauftes Feld-Schicksal: Feld bei Jobel-Ausgang + heilig JHWH + wie gebanntes Feld + dem Priester sei sein Eigentum.</w:t>
      </w:r>
    </w:p>
    <w:p w14:paraId="54575D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Nicht-rückgekaufte geweihte Felder gehen im Jobel nicht zum ursprünglichen Besitzer zurück, sondern werden priesterliches Erbeigentum.</w:t>
      </w:r>
    </w:p>
    <w:p w14:paraId="369835A0"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27,22</w:t>
      </w:r>
    </w:p>
    <w:p w14:paraId="084E066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אֶת־שְׂדֵ֣ה מִקְנָתוֹ֔ אֲשֶׁ֕ר לֹ֖א מִשְּׂדֵ֣ה אֲחֻזָּתוֹ֑ יַקְדִּ֖ישׁ לַֽיהוָֽה׃</w:t>
      </w:r>
    </w:p>
    <w:p w14:paraId="3459727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wenn er ein von ihm erkauftes Feld, das nicht zum Feld seines Eigentums gehört, dem Ewigen heiligt,</w:t>
      </w:r>
    </w:p>
    <w:p w14:paraId="668A1F0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lastRenderedPageBreak/>
        <w:pict w14:anchorId="56A1D371">
          <v:rect id="_x0000_i1871" style="width:0;height:1.5pt" o:hralign="center" o:hrstd="t" o:hr="t" fillcolor="#a0a0a0" stroked="f"/>
        </w:pict>
      </w:r>
    </w:p>
    <w:p w14:paraId="5BD4D51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את־שדה מקנתו אשר לא משדה אחזתו יקדיש ליהוה</w:t>
      </w:r>
      <w:r w:rsidRPr="00CC6F7E">
        <w:rPr>
          <w:rFonts w:eastAsia="Times New Roman" w:cs="Times New Roman"/>
          <w:rtl/>
          <w:lang w:eastAsia="de-DE"/>
        </w:rPr>
        <w:t xml:space="preserve"> </w:t>
      </w:r>
      <w:r w:rsidRPr="00CC6F7E">
        <w:rPr>
          <w:rFonts w:eastAsia="Times New Roman" w:cs="Times New Roman"/>
          <w:lang w:eastAsia="de-DE"/>
        </w:rPr>
        <w:t xml:space="preserve">führt eine andere Feldkategorie ein: gekauftes statt Erbland. </w:t>
      </w:r>
      <w:r w:rsidRPr="00CC6F7E">
        <w:rPr>
          <w:rFonts w:eastAsia="Times New Roman" w:cs="Times New Roman"/>
          <w:b/>
          <w:bCs/>
          <w:rtl/>
          <w:lang w:eastAsia="de-DE"/>
        </w:rPr>
        <w:t>את־שדה מקנתו</w:t>
      </w:r>
      <w:r w:rsidRPr="00CC6F7E">
        <w:rPr>
          <w:rFonts w:eastAsia="Times New Roman" w:cs="Times New Roman"/>
          <w:rtl/>
          <w:lang w:eastAsia="de-DE"/>
        </w:rPr>
        <w:t xml:space="preserve"> </w:t>
      </w:r>
      <w:r w:rsidRPr="00CC6F7E">
        <w:rPr>
          <w:rFonts w:eastAsia="Times New Roman" w:cs="Times New Roman"/>
          <w:lang w:eastAsia="de-DE"/>
        </w:rPr>
        <w:t xml:space="preserve">(ein von ihm erkauftes Feld) - </w:t>
      </w:r>
      <w:r w:rsidRPr="00CC6F7E">
        <w:rPr>
          <w:rFonts w:eastAsia="Times New Roman" w:cs="Times New Roman"/>
          <w:b/>
          <w:bCs/>
          <w:rtl/>
          <w:lang w:eastAsia="de-DE"/>
        </w:rPr>
        <w:t>שדה מקנתו</w:t>
      </w:r>
      <w:r w:rsidRPr="00CC6F7E">
        <w:rPr>
          <w:rFonts w:eastAsia="Times New Roman" w:cs="Times New Roman"/>
          <w:rtl/>
          <w:lang w:eastAsia="de-DE"/>
        </w:rPr>
        <w:t xml:space="preserve"> </w:t>
      </w:r>
      <w:r w:rsidRPr="00CC6F7E">
        <w:rPr>
          <w:rFonts w:eastAsia="Times New Roman" w:cs="Times New Roman"/>
          <w:lang w:eastAsia="de-DE"/>
        </w:rPr>
        <w:t xml:space="preserve">(Feld seines Kaufs) zeigt erworbenes vs. ererbtes Land. </w:t>
      </w:r>
      <w:r w:rsidRPr="00CC6F7E">
        <w:rPr>
          <w:rFonts w:eastAsia="Times New Roman" w:cs="Times New Roman"/>
          <w:b/>
          <w:bCs/>
          <w:rtl/>
          <w:lang w:eastAsia="de-DE"/>
        </w:rPr>
        <w:t>מקנתו</w:t>
      </w:r>
      <w:r w:rsidRPr="00CC6F7E">
        <w:rPr>
          <w:rFonts w:eastAsia="Times New Roman" w:cs="Times New Roman"/>
          <w:rtl/>
          <w:lang w:eastAsia="de-DE"/>
        </w:rPr>
        <w:t xml:space="preserve"> </w:t>
      </w:r>
      <w:r w:rsidRPr="00CC6F7E">
        <w:rPr>
          <w:rFonts w:eastAsia="Times New Roman" w:cs="Times New Roman"/>
          <w:lang w:eastAsia="de-DE"/>
        </w:rPr>
        <w:t xml:space="preserve">von </w:t>
      </w:r>
      <w:r w:rsidRPr="00CC6F7E">
        <w:rPr>
          <w:rFonts w:eastAsia="Times New Roman" w:cs="Times New Roman"/>
          <w:b/>
          <w:bCs/>
          <w:rtl/>
          <w:lang w:eastAsia="de-DE"/>
        </w:rPr>
        <w:t>קנה</w:t>
      </w:r>
      <w:r w:rsidRPr="00CC6F7E">
        <w:rPr>
          <w:rFonts w:eastAsia="Times New Roman" w:cs="Times New Roman"/>
          <w:rtl/>
          <w:lang w:eastAsia="de-DE"/>
        </w:rPr>
        <w:t xml:space="preserve"> </w:t>
      </w:r>
      <w:r w:rsidRPr="00CC6F7E">
        <w:rPr>
          <w:rFonts w:eastAsia="Times New Roman" w:cs="Times New Roman"/>
          <w:lang w:eastAsia="de-DE"/>
        </w:rPr>
        <w:t>(kaufen/erwerben) entspricht 25,14-15.</w:t>
      </w:r>
    </w:p>
    <w:p w14:paraId="0EFF97C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 לא משדה אחזתו</w:t>
      </w:r>
      <w:r w:rsidRPr="00CC6F7E">
        <w:rPr>
          <w:rFonts w:eastAsia="Times New Roman" w:cs="Times New Roman"/>
          <w:rtl/>
          <w:lang w:eastAsia="de-DE"/>
        </w:rPr>
        <w:t xml:space="preserve"> </w:t>
      </w:r>
      <w:r w:rsidRPr="00CC6F7E">
        <w:rPr>
          <w:rFonts w:eastAsia="Times New Roman" w:cs="Times New Roman"/>
          <w:lang w:eastAsia="de-DE"/>
        </w:rPr>
        <w:t xml:space="preserve">(das nicht zum Feld seines Eigentums gehört) - </w:t>
      </w:r>
      <w:r w:rsidRPr="00CC6F7E">
        <w:rPr>
          <w:rFonts w:eastAsia="Times New Roman" w:cs="Times New Roman"/>
          <w:b/>
          <w:bCs/>
          <w:rtl/>
          <w:lang w:eastAsia="de-DE"/>
        </w:rPr>
        <w:t>לא משדה אחזתו</w:t>
      </w:r>
      <w:r w:rsidRPr="00CC6F7E">
        <w:rPr>
          <w:rFonts w:eastAsia="Times New Roman" w:cs="Times New Roman"/>
          <w:rtl/>
          <w:lang w:eastAsia="de-DE"/>
        </w:rPr>
        <w:t xml:space="preserve"> </w:t>
      </w:r>
      <w:r w:rsidRPr="00CC6F7E">
        <w:rPr>
          <w:rFonts w:eastAsia="Times New Roman" w:cs="Times New Roman"/>
          <w:lang w:eastAsia="de-DE"/>
        </w:rPr>
        <w:t xml:space="preserve">(nicht vom Feld seines Eigentums) grenzt explizit von </w:t>
      </w:r>
      <w:r w:rsidRPr="00CC6F7E">
        <w:rPr>
          <w:rFonts w:eastAsia="Times New Roman" w:cs="Times New Roman"/>
          <w:b/>
          <w:bCs/>
          <w:rtl/>
          <w:lang w:eastAsia="de-DE"/>
        </w:rPr>
        <w:t>אחזה</w:t>
      </w:r>
      <w:r w:rsidRPr="00CC6F7E">
        <w:rPr>
          <w:rFonts w:eastAsia="Times New Roman" w:cs="Times New Roman"/>
          <w:rtl/>
          <w:lang w:eastAsia="de-DE"/>
        </w:rPr>
        <w:t xml:space="preserve"> </w:t>
      </w:r>
      <w:r w:rsidRPr="00CC6F7E">
        <w:rPr>
          <w:rFonts w:eastAsia="Times New Roman" w:cs="Times New Roman"/>
          <w:lang w:eastAsia="de-DE"/>
        </w:rPr>
        <w:t xml:space="preserve">(Erbbesitz) ab. Diese Abgrenzung zu V. 16 </w:t>
      </w:r>
      <w:r w:rsidRPr="00CC6F7E">
        <w:rPr>
          <w:rFonts w:eastAsia="Times New Roman" w:cs="Times New Roman"/>
          <w:b/>
          <w:bCs/>
          <w:rtl/>
          <w:lang w:eastAsia="de-DE"/>
        </w:rPr>
        <w:t>משדה אחזתו</w:t>
      </w:r>
      <w:r w:rsidRPr="00CC6F7E">
        <w:rPr>
          <w:rFonts w:eastAsia="Times New Roman" w:cs="Times New Roman"/>
          <w:rtl/>
          <w:lang w:eastAsia="de-DE"/>
        </w:rPr>
        <w:t xml:space="preserve"> </w:t>
      </w:r>
      <w:r w:rsidRPr="00CC6F7E">
        <w:rPr>
          <w:rFonts w:eastAsia="Times New Roman" w:cs="Times New Roman"/>
          <w:lang w:eastAsia="de-DE"/>
        </w:rPr>
        <w:t>ist entscheidend.</w:t>
      </w:r>
    </w:p>
    <w:p w14:paraId="7E6E0DD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יקדיש ליהוה</w:t>
      </w:r>
      <w:r w:rsidRPr="00CC6F7E">
        <w:rPr>
          <w:rFonts w:eastAsia="Times New Roman" w:cs="Times New Roman"/>
          <w:rtl/>
          <w:lang w:eastAsia="de-DE"/>
        </w:rPr>
        <w:t xml:space="preserve"> </w:t>
      </w:r>
      <w:r w:rsidRPr="00CC6F7E">
        <w:rPr>
          <w:rFonts w:eastAsia="Times New Roman" w:cs="Times New Roman"/>
          <w:lang w:eastAsia="de-DE"/>
        </w:rPr>
        <w:t>entspricht den vorherigen Versen und zeigt Weiheakt.</w:t>
      </w:r>
    </w:p>
    <w:p w14:paraId="5F15266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שדה מקנתו</w:t>
      </w:r>
      <w:r w:rsidRPr="00CC6F7E">
        <w:rPr>
          <w:rFonts w:eastAsia="Times New Roman" w:cs="Times New Roman"/>
          <w:rtl/>
          <w:lang w:eastAsia="de-DE"/>
        </w:rPr>
        <w:t xml:space="preserve"> </w:t>
      </w:r>
      <w:r w:rsidRPr="00CC6F7E">
        <w:rPr>
          <w:rFonts w:eastAsia="Times New Roman" w:cs="Times New Roman"/>
          <w:lang w:eastAsia="de-DE"/>
        </w:rPr>
        <w:t xml:space="preserve">vs. </w:t>
      </w:r>
      <w:r w:rsidRPr="00CC6F7E">
        <w:rPr>
          <w:rFonts w:eastAsia="Times New Roman" w:cs="Times New Roman"/>
          <w:b/>
          <w:bCs/>
          <w:rtl/>
          <w:lang w:eastAsia="de-DE"/>
        </w:rPr>
        <w:t>שדה אחזתו</w:t>
      </w:r>
      <w:r w:rsidRPr="00CC6F7E">
        <w:rPr>
          <w:rFonts w:eastAsia="Times New Roman" w:cs="Times New Roman"/>
          <w:rtl/>
          <w:lang w:eastAsia="de-DE"/>
        </w:rPr>
        <w:t xml:space="preserve"> </w:t>
      </w:r>
      <w:r w:rsidRPr="00CC6F7E">
        <w:rPr>
          <w:rFonts w:eastAsia="Times New Roman" w:cs="Times New Roman"/>
          <w:lang w:eastAsia="de-DE"/>
        </w:rPr>
        <w:t xml:space="preserve">zeigt grundlegende Unterscheidung zwischen Kaufland und Erbland. </w:t>
      </w:r>
      <w:r w:rsidRPr="00CC6F7E">
        <w:rPr>
          <w:rFonts w:eastAsia="Times New Roman" w:cs="Times New Roman"/>
          <w:b/>
          <w:bCs/>
          <w:rtl/>
          <w:lang w:eastAsia="de-DE"/>
        </w:rPr>
        <w:t>לא משדה אחזתו</w:t>
      </w:r>
      <w:r w:rsidRPr="00CC6F7E">
        <w:rPr>
          <w:rFonts w:eastAsia="Times New Roman" w:cs="Times New Roman"/>
          <w:rtl/>
          <w:lang w:eastAsia="de-DE"/>
        </w:rPr>
        <w:t xml:space="preserve"> </w:t>
      </w:r>
      <w:r w:rsidRPr="00CC6F7E">
        <w:rPr>
          <w:rFonts w:eastAsia="Times New Roman" w:cs="Times New Roman"/>
          <w:lang w:eastAsia="de-DE"/>
        </w:rPr>
        <w:t>betont explizit Nicht-Erbland-Status.</w:t>
      </w:r>
    </w:p>
    <w:p w14:paraId="496F13A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שדה מקנתו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ἀγρὸν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κτητόν</w:t>
      </w:r>
      <w:proofErr w:type="spellEnd"/>
      <w:r w:rsidRPr="00CC6F7E">
        <w:rPr>
          <w:rFonts w:eastAsia="Times New Roman" w:cs="Times New Roman"/>
          <w:lang w:eastAsia="de-DE"/>
        </w:rPr>
        <w:t xml:space="preserve"> (erworbenes Feld), </w:t>
      </w:r>
      <w:r w:rsidRPr="00CC6F7E">
        <w:rPr>
          <w:rFonts w:eastAsia="Times New Roman" w:cs="Times New Roman"/>
          <w:b/>
          <w:bCs/>
          <w:rtl/>
          <w:lang w:eastAsia="de-DE"/>
        </w:rPr>
        <w:t>אשר לא משדה אחזתו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ὃς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οὐκ</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ἔστιν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ἐκ</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ἀγροῦ</w:t>
      </w:r>
      <w:proofErr w:type="spellEnd"/>
      <w:r w:rsidRPr="00CC6F7E">
        <w:rPr>
          <w:rFonts w:eastAsia="Times New Roman" w:cs="Times New Roman"/>
          <w:lang w:eastAsia="de-DE"/>
        </w:rPr>
        <w:t xml:space="preserve"> κατα</w:t>
      </w:r>
      <w:proofErr w:type="spellStart"/>
      <w:r w:rsidRPr="00CC6F7E">
        <w:rPr>
          <w:rFonts w:eastAsia="Times New Roman" w:cs="Times New Roman"/>
          <w:lang w:eastAsia="de-DE"/>
        </w:rPr>
        <w:t>σχέσεως</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(der nicht ist vom Feld seines Besitzes) und </w:t>
      </w:r>
      <w:r w:rsidRPr="00CC6F7E">
        <w:rPr>
          <w:rFonts w:eastAsia="Times New Roman" w:cs="Times New Roman"/>
          <w:b/>
          <w:bCs/>
          <w:rtl/>
          <w:lang w:eastAsia="de-DE"/>
        </w:rPr>
        <w:t>יקדיש ליהוה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ἁγιάσῃ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κυρίῳ</w:t>
      </w:r>
      <w:proofErr w:type="spellEnd"/>
      <w:r w:rsidRPr="00CC6F7E">
        <w:rPr>
          <w:rFonts w:eastAsia="Times New Roman" w:cs="Times New Roman"/>
          <w:lang w:eastAsia="de-DE"/>
        </w:rPr>
        <w:t xml:space="preserve"> (heiligt dem Herrn).</w:t>
      </w:r>
    </w:p>
    <w:p w14:paraId="455216D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Kaufland-Gelübde-Einleitung: wenn gekauftes Feld + das nicht von seinem Erbfeld ist + JHWH heiligt.</w:t>
      </w:r>
    </w:p>
    <w:p w14:paraId="7943AE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führt Kaufland-Gelübde ein als Alternative zu Erbland-Gelübden, mit vermutlich anderen rechtlichen Konsequenzen.</w:t>
      </w:r>
    </w:p>
    <w:p w14:paraId="17EDD63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27,23</w:t>
      </w:r>
    </w:p>
    <w:p w14:paraId="1A3FF9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וְחִשַּׁב־לוֹ֣ הַכֹּהֵ֗ן אֵ֚ת מִכְסַ֣ת הָֽעֶרְכְּךָ֔ עַ֖ד שְׁנַ֣ת הַיֹּבֵ֑ל וְנָתַ֤ן אֶת־הָעֶרְכְּךָ֙ בַּיּ֣וֹם הַה֔וּא קֹ֖דֶשׁ לַיהוָֽה׃</w:t>
      </w:r>
    </w:p>
    <w:p w14:paraId="23642CA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so soll ihm der Priester den Betrag deiner Schätzung bis zum Joveljahr berechnen; und er soll deine Schätzung am selben Tag als ein dem Ewigen Geheiligtes geben.</w:t>
      </w:r>
    </w:p>
    <w:p w14:paraId="5510D80E"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4D4DFFC">
          <v:rect id="_x0000_i1872" style="width:0;height:1.5pt" o:hralign="center" o:hrstd="t" o:hr="t" fillcolor="#a0a0a0" stroked="f"/>
        </w:pict>
      </w:r>
    </w:p>
    <w:p w14:paraId="023D7A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וחשב־לו הכהן את מכסת הערכך עד שנת היובל ונתן את־הערכך ביום ההוא קדש ליהוה</w:t>
      </w:r>
      <w:r w:rsidRPr="00CC6F7E">
        <w:rPr>
          <w:rFonts w:eastAsia="Times New Roman" w:cs="Times New Roman"/>
          <w:rtl/>
          <w:lang w:eastAsia="de-DE"/>
        </w:rPr>
        <w:t xml:space="preserve"> </w:t>
      </w:r>
      <w:r w:rsidRPr="00CC6F7E">
        <w:rPr>
          <w:rFonts w:eastAsia="Times New Roman" w:cs="Times New Roman"/>
          <w:lang w:eastAsia="de-DE"/>
        </w:rPr>
        <w:t xml:space="preserve">zeigt die Sonderbehandlung für Kaufland-Gelübde. </w:t>
      </w:r>
      <w:r w:rsidRPr="00CC6F7E">
        <w:rPr>
          <w:rFonts w:eastAsia="Times New Roman" w:cs="Times New Roman"/>
          <w:b/>
          <w:bCs/>
          <w:rtl/>
          <w:lang w:eastAsia="de-DE"/>
        </w:rPr>
        <w:t>וחשב־לו הכהן את מכסת הערכך 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(so soll ihm der Priester den Betrag deiner Schätzung bis zum Jobeljahr berechnen) - </w:t>
      </w:r>
      <w:r w:rsidRPr="00CC6F7E">
        <w:rPr>
          <w:rFonts w:eastAsia="Times New Roman" w:cs="Times New Roman"/>
          <w:b/>
          <w:bCs/>
          <w:rtl/>
          <w:lang w:eastAsia="de-DE"/>
        </w:rPr>
        <w:t>חשב־לו הכהן</w:t>
      </w:r>
      <w:r w:rsidRPr="00CC6F7E">
        <w:rPr>
          <w:rFonts w:eastAsia="Times New Roman" w:cs="Times New Roman"/>
          <w:rtl/>
          <w:lang w:eastAsia="de-DE"/>
        </w:rPr>
        <w:t xml:space="preserve"> </w:t>
      </w:r>
      <w:r w:rsidRPr="00CC6F7E">
        <w:rPr>
          <w:rFonts w:eastAsia="Times New Roman" w:cs="Times New Roman"/>
          <w:lang w:eastAsia="de-DE"/>
        </w:rPr>
        <w:t xml:space="preserve">entspricht V. 18 und zeigt priesterliche Berechnungsverantwortung. </w:t>
      </w:r>
      <w:r w:rsidRPr="00CC6F7E">
        <w:rPr>
          <w:rFonts w:eastAsia="Times New Roman" w:cs="Times New Roman"/>
          <w:b/>
          <w:bCs/>
          <w:rtl/>
          <w:lang w:eastAsia="de-DE"/>
        </w:rPr>
        <w:t>את מכסת הערכך</w:t>
      </w:r>
      <w:r w:rsidRPr="00CC6F7E">
        <w:rPr>
          <w:rFonts w:eastAsia="Times New Roman" w:cs="Times New Roman"/>
          <w:rtl/>
          <w:lang w:eastAsia="de-DE"/>
        </w:rPr>
        <w:t xml:space="preserve"> </w:t>
      </w:r>
      <w:r w:rsidRPr="00CC6F7E">
        <w:rPr>
          <w:rFonts w:eastAsia="Times New Roman" w:cs="Times New Roman"/>
          <w:lang w:eastAsia="de-DE"/>
        </w:rPr>
        <w:t xml:space="preserve">(den Betrag deiner Schätzung) - </w:t>
      </w:r>
      <w:r w:rsidRPr="00CC6F7E">
        <w:rPr>
          <w:rFonts w:eastAsia="Times New Roman" w:cs="Times New Roman"/>
          <w:b/>
          <w:bCs/>
          <w:rtl/>
          <w:lang w:eastAsia="de-DE"/>
        </w:rPr>
        <w:t>מכסת</w:t>
      </w:r>
      <w:r w:rsidRPr="00CC6F7E">
        <w:rPr>
          <w:rFonts w:eastAsia="Times New Roman" w:cs="Times New Roman"/>
          <w:rtl/>
          <w:lang w:eastAsia="de-DE"/>
        </w:rPr>
        <w:t xml:space="preserve"> </w:t>
      </w:r>
      <w:r w:rsidRPr="00CC6F7E">
        <w:rPr>
          <w:rFonts w:eastAsia="Times New Roman" w:cs="Times New Roman"/>
          <w:lang w:eastAsia="de-DE"/>
        </w:rPr>
        <w:t xml:space="preserve">(Betrag/Anteil) von </w:t>
      </w:r>
      <w:r w:rsidRPr="00CC6F7E">
        <w:rPr>
          <w:rFonts w:eastAsia="Times New Roman" w:cs="Times New Roman"/>
          <w:b/>
          <w:bCs/>
          <w:rtl/>
          <w:lang w:eastAsia="de-DE"/>
        </w:rPr>
        <w:t>כסס</w:t>
      </w:r>
      <w:r w:rsidRPr="00CC6F7E">
        <w:rPr>
          <w:rFonts w:eastAsia="Times New Roman" w:cs="Times New Roman"/>
          <w:rtl/>
          <w:lang w:eastAsia="de-DE"/>
        </w:rPr>
        <w:t xml:space="preserve"> </w:t>
      </w:r>
      <w:r w:rsidRPr="00CC6F7E">
        <w:rPr>
          <w:rFonts w:eastAsia="Times New Roman" w:cs="Times New Roman"/>
          <w:lang w:eastAsia="de-DE"/>
        </w:rPr>
        <w:t xml:space="preserve">zeigt proportionale Berechnung. </w:t>
      </w:r>
      <w:r w:rsidRPr="00CC6F7E">
        <w:rPr>
          <w:rFonts w:eastAsia="Times New Roman" w:cs="Times New Roman"/>
          <w:b/>
          <w:bCs/>
          <w:rtl/>
          <w:lang w:eastAsia="de-DE"/>
        </w:rPr>
        <w:t>עד שנת היובל</w:t>
      </w:r>
      <w:r w:rsidRPr="00CC6F7E">
        <w:rPr>
          <w:rFonts w:eastAsia="Times New Roman" w:cs="Times New Roman"/>
          <w:rtl/>
          <w:lang w:eastAsia="de-DE"/>
        </w:rPr>
        <w:t xml:space="preserve"> </w:t>
      </w:r>
      <w:r w:rsidRPr="00CC6F7E">
        <w:rPr>
          <w:rFonts w:eastAsia="Times New Roman" w:cs="Times New Roman"/>
          <w:lang w:eastAsia="de-DE"/>
        </w:rPr>
        <w:t>zeigt Jobel als Endpunkt.</w:t>
      </w:r>
    </w:p>
    <w:p w14:paraId="0B8EDD0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ונתן את־הערכך ביום ההוא קדש ליהוה</w:t>
      </w:r>
      <w:r w:rsidRPr="00CC6F7E">
        <w:rPr>
          <w:rFonts w:eastAsia="Times New Roman" w:cs="Times New Roman"/>
          <w:rtl/>
          <w:lang w:eastAsia="de-DE"/>
        </w:rPr>
        <w:t xml:space="preserve"> </w:t>
      </w:r>
      <w:r w:rsidRPr="00CC6F7E">
        <w:rPr>
          <w:rFonts w:eastAsia="Times New Roman" w:cs="Times New Roman"/>
          <w:lang w:eastAsia="de-DE"/>
        </w:rPr>
        <w:t xml:space="preserve">(und er soll deine Schätzung am selben Tag als ein dem Ewigen Geheiligtes geben) - </w:t>
      </w:r>
      <w:r w:rsidRPr="00CC6F7E">
        <w:rPr>
          <w:rFonts w:eastAsia="Times New Roman" w:cs="Times New Roman"/>
          <w:b/>
          <w:bCs/>
          <w:rtl/>
          <w:lang w:eastAsia="de-DE"/>
        </w:rPr>
        <w:t>ונתן את־הערכך ביום ההוא</w:t>
      </w:r>
      <w:r w:rsidRPr="00CC6F7E">
        <w:rPr>
          <w:rFonts w:eastAsia="Times New Roman" w:cs="Times New Roman"/>
          <w:rtl/>
          <w:lang w:eastAsia="de-DE"/>
        </w:rPr>
        <w:t xml:space="preserve"> </w:t>
      </w:r>
      <w:r w:rsidRPr="00CC6F7E">
        <w:rPr>
          <w:rFonts w:eastAsia="Times New Roman" w:cs="Times New Roman"/>
          <w:lang w:eastAsia="de-DE"/>
        </w:rPr>
        <w:t xml:space="preserve">(und er soll deine Schätzung am selben Tag geben) zeigt sofortige Zahlung. </w:t>
      </w:r>
      <w:r w:rsidRPr="00CC6F7E">
        <w:rPr>
          <w:rFonts w:eastAsia="Times New Roman" w:cs="Times New Roman"/>
          <w:b/>
          <w:bCs/>
          <w:rtl/>
          <w:lang w:eastAsia="de-DE"/>
        </w:rPr>
        <w:t>ביום ההוא</w:t>
      </w:r>
      <w:r w:rsidRPr="00CC6F7E">
        <w:rPr>
          <w:rFonts w:eastAsia="Times New Roman" w:cs="Times New Roman"/>
          <w:rtl/>
          <w:lang w:eastAsia="de-DE"/>
        </w:rPr>
        <w:t xml:space="preserve"> </w:t>
      </w:r>
      <w:r w:rsidRPr="00CC6F7E">
        <w:rPr>
          <w:rFonts w:eastAsia="Times New Roman" w:cs="Times New Roman"/>
          <w:lang w:eastAsia="de-DE"/>
        </w:rPr>
        <w:t xml:space="preserve">(am selben Tag) betont Unmittelbarkeit. </w:t>
      </w:r>
      <w:r w:rsidRPr="00CC6F7E">
        <w:rPr>
          <w:rFonts w:eastAsia="Times New Roman" w:cs="Times New Roman"/>
          <w:b/>
          <w:bCs/>
          <w:rtl/>
          <w:lang w:eastAsia="de-DE"/>
        </w:rPr>
        <w:t>קדש ליהוה</w:t>
      </w:r>
      <w:r w:rsidRPr="00CC6F7E">
        <w:rPr>
          <w:rFonts w:eastAsia="Times New Roman" w:cs="Times New Roman"/>
          <w:rtl/>
          <w:lang w:eastAsia="de-DE"/>
        </w:rPr>
        <w:t xml:space="preserve"> </w:t>
      </w:r>
      <w:r w:rsidRPr="00CC6F7E">
        <w:rPr>
          <w:rFonts w:eastAsia="Times New Roman" w:cs="Times New Roman"/>
          <w:lang w:eastAsia="de-DE"/>
        </w:rPr>
        <w:t>(heilig für JHWH) zeigt den Weihezweck.</w:t>
      </w:r>
    </w:p>
    <w:p w14:paraId="02C1195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מכסת הערכך 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zeigt proportionale Berechnung bis Jobel. </w:t>
      </w:r>
      <w:r w:rsidRPr="00CC6F7E">
        <w:rPr>
          <w:rFonts w:eastAsia="Times New Roman" w:cs="Times New Roman"/>
          <w:b/>
          <w:bCs/>
          <w:rtl/>
          <w:lang w:eastAsia="de-DE"/>
        </w:rPr>
        <w:t>ביום ההוא</w:t>
      </w:r>
      <w:r w:rsidRPr="00CC6F7E">
        <w:rPr>
          <w:rFonts w:eastAsia="Times New Roman" w:cs="Times New Roman"/>
          <w:rtl/>
          <w:lang w:eastAsia="de-DE"/>
        </w:rPr>
        <w:t xml:space="preserve"> </w:t>
      </w:r>
      <w:r w:rsidRPr="00CC6F7E">
        <w:rPr>
          <w:rFonts w:eastAsia="Times New Roman" w:cs="Times New Roman"/>
          <w:lang w:eastAsia="de-DE"/>
        </w:rPr>
        <w:t>zeigt sofortige Zahlungspflicht vs. spätere Rückkaufoption bei Erbland.</w:t>
      </w:r>
    </w:p>
    <w:p w14:paraId="44F56B3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Die LXX</w:t>
      </w:r>
      <w:r w:rsidRPr="00CC6F7E">
        <w:rPr>
          <w:rFonts w:eastAsia="Times New Roman" w:cs="Times New Roman"/>
          <w:lang w:eastAsia="de-DE"/>
        </w:rPr>
        <w:t xml:space="preserve"> übersetzt </w:t>
      </w:r>
      <w:r w:rsidRPr="00CC6F7E">
        <w:rPr>
          <w:rFonts w:eastAsia="Times New Roman" w:cs="Times New Roman"/>
          <w:b/>
          <w:bCs/>
          <w:rtl/>
          <w:lang w:eastAsia="de-DE"/>
        </w:rPr>
        <w:t>מכסת הערכך</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τὸ</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τέλος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σου</w:t>
      </w:r>
      <w:proofErr w:type="spellEnd"/>
      <w:r w:rsidRPr="00CC6F7E">
        <w:rPr>
          <w:rFonts w:eastAsia="Times New Roman" w:cs="Times New Roman"/>
          <w:lang w:eastAsia="de-DE"/>
        </w:rPr>
        <w:t xml:space="preserve"> (das Ende deines Wertes), </w:t>
      </w:r>
      <w:r w:rsidRPr="00CC6F7E">
        <w:rPr>
          <w:rFonts w:eastAsia="Times New Roman" w:cs="Times New Roman"/>
          <w:b/>
          <w:bCs/>
          <w:rtl/>
          <w:lang w:eastAsia="de-DE"/>
        </w:rPr>
        <w:t>עד שנת היובל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ἕως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τοῦ</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αυτοῦ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(bis zum Jahr des Erlasses), </w:t>
      </w:r>
      <w:r w:rsidRPr="00CC6F7E">
        <w:rPr>
          <w:rFonts w:eastAsia="Times New Roman" w:cs="Times New Roman"/>
          <w:b/>
          <w:bCs/>
          <w:rtl/>
          <w:lang w:eastAsia="de-DE"/>
        </w:rPr>
        <w:t>ביום ההוא</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ἐκείνῃ</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τῇ</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ἡμέρᾳ</w:t>
      </w:r>
      <w:proofErr w:type="spellEnd"/>
      <w:r w:rsidRPr="00CC6F7E">
        <w:rPr>
          <w:rFonts w:eastAsia="Times New Roman" w:cs="Times New Roman"/>
          <w:lang w:eastAsia="de-DE"/>
        </w:rPr>
        <w:t xml:space="preserve"> (an jenem Tag) und </w:t>
      </w:r>
      <w:r w:rsidRPr="00CC6F7E">
        <w:rPr>
          <w:rFonts w:eastAsia="Times New Roman" w:cs="Times New Roman"/>
          <w:b/>
          <w:bCs/>
          <w:rtl/>
          <w:lang w:eastAsia="de-DE"/>
        </w:rPr>
        <w:t>קדש ליהוה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ἅγιον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κυρίῳ</w:t>
      </w:r>
      <w:proofErr w:type="spellEnd"/>
      <w:r w:rsidRPr="00CC6F7E">
        <w:rPr>
          <w:rFonts w:eastAsia="Times New Roman" w:cs="Times New Roman"/>
          <w:lang w:eastAsia="de-DE"/>
        </w:rPr>
        <w:t xml:space="preserve"> (heilig dem Herrn).</w:t>
      </w:r>
    </w:p>
    <w:p w14:paraId="161E36E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Kaufland-Gelübde-Verfahren: Priester berechnet Schätzungsbetrag + bis Jobeljahr + gibt deine Schätzung am selben Tag + heilig JHWH.</w:t>
      </w:r>
    </w:p>
    <w:p w14:paraId="202C5E4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bei Kaufland-Gelübden sofortige Vollzahlung statt Rückkaufoption wie bei Erbland.</w:t>
      </w:r>
    </w:p>
    <w:p w14:paraId="6128E1DE"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27,24</w:t>
      </w:r>
    </w:p>
    <w:p w14:paraId="786DDDF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בִּשְׁנַ֤ת הַיּוֹבֵל֙ יָשׁ֣וּב הַשָּׂדֶ֔ה לַאֲשֶׁ֥ר קָנָ֖הוּ מֵאִתּוֹ֑ לַאֲשֶׁר־לוֹ֖ אֲחֻזַּ֥ת הָאָֽרֶץ׃</w:t>
      </w:r>
    </w:p>
    <w:p w14:paraId="29E8F7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Im Joveljahr soll das Feld an den zurückkommen, von dem er es gekauft hat, an den, welchem das Land als Eigentum gehört.</w:t>
      </w:r>
    </w:p>
    <w:p w14:paraId="6977D17C"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5A18689">
          <v:rect id="_x0000_i1873" style="width:0;height:1.5pt" o:hralign="center" o:hrstd="t" o:hr="t" fillcolor="#a0a0a0" stroked="f"/>
        </w:pict>
      </w:r>
    </w:p>
    <w:p w14:paraId="34AC639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בשנת היובל ישוב השדה לאשר קנהו מאתו לאשר־לו אחזת הארץ</w:t>
      </w:r>
      <w:r w:rsidRPr="00CC6F7E">
        <w:rPr>
          <w:rFonts w:eastAsia="Times New Roman" w:cs="Times New Roman"/>
          <w:rtl/>
          <w:lang w:eastAsia="de-DE"/>
        </w:rPr>
        <w:t xml:space="preserve"> </w:t>
      </w:r>
      <w:r w:rsidRPr="00CC6F7E">
        <w:rPr>
          <w:rFonts w:eastAsia="Times New Roman" w:cs="Times New Roman"/>
          <w:lang w:eastAsia="de-DE"/>
        </w:rPr>
        <w:t xml:space="preserve">erklärt warum Kaufland anders behandelt wird. </w:t>
      </w:r>
      <w:r w:rsidRPr="00CC6F7E">
        <w:rPr>
          <w:rFonts w:eastAsia="Times New Roman" w:cs="Times New Roman"/>
          <w:b/>
          <w:bCs/>
          <w:rtl/>
          <w:lang w:eastAsia="de-DE"/>
        </w:rPr>
        <w:t>בשנת היובל ישוב השדה</w:t>
      </w:r>
      <w:r w:rsidRPr="00CC6F7E">
        <w:rPr>
          <w:rFonts w:eastAsia="Times New Roman" w:cs="Times New Roman"/>
          <w:rtl/>
          <w:lang w:eastAsia="de-DE"/>
        </w:rPr>
        <w:t xml:space="preserve"> </w:t>
      </w:r>
      <w:r w:rsidRPr="00CC6F7E">
        <w:rPr>
          <w:rFonts w:eastAsia="Times New Roman" w:cs="Times New Roman"/>
          <w:lang w:eastAsia="de-DE"/>
        </w:rPr>
        <w:t xml:space="preserve">(im Jobeljahr soll das Feld zurückkommen) entspricht der Jobel-Restitution von Kap. 25. </w:t>
      </w:r>
      <w:r w:rsidRPr="00CC6F7E">
        <w:rPr>
          <w:rFonts w:eastAsia="Times New Roman" w:cs="Times New Roman"/>
          <w:b/>
          <w:bCs/>
          <w:rtl/>
          <w:lang w:eastAsia="de-DE"/>
        </w:rPr>
        <w:t>ישוב</w:t>
      </w:r>
      <w:r w:rsidRPr="00CC6F7E">
        <w:rPr>
          <w:rFonts w:eastAsia="Times New Roman" w:cs="Times New Roman"/>
          <w:rtl/>
          <w:lang w:eastAsia="de-DE"/>
        </w:rPr>
        <w:t xml:space="preserve"> </w:t>
      </w:r>
      <w:r w:rsidRPr="00CC6F7E">
        <w:rPr>
          <w:rFonts w:eastAsia="Times New Roman" w:cs="Times New Roman"/>
          <w:lang w:eastAsia="de-DE"/>
        </w:rPr>
        <w:t>(soll zurückkommen) im Qal-Imperfekt zeigt automatische Rückkehr.</w:t>
      </w:r>
    </w:p>
    <w:p w14:paraId="5475F7D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לאשר קנהו מאתו</w:t>
      </w:r>
      <w:r w:rsidRPr="00CC6F7E">
        <w:rPr>
          <w:rFonts w:eastAsia="Times New Roman" w:cs="Times New Roman"/>
          <w:rtl/>
          <w:lang w:eastAsia="de-DE"/>
        </w:rPr>
        <w:t xml:space="preserve"> </w:t>
      </w:r>
      <w:r w:rsidRPr="00CC6F7E">
        <w:rPr>
          <w:rFonts w:eastAsia="Times New Roman" w:cs="Times New Roman"/>
          <w:lang w:eastAsia="de-DE"/>
        </w:rPr>
        <w:t xml:space="preserve">(an den, von dem er es gekauft hat) - </w:t>
      </w:r>
      <w:r w:rsidRPr="00CC6F7E">
        <w:rPr>
          <w:rFonts w:eastAsia="Times New Roman" w:cs="Times New Roman"/>
          <w:b/>
          <w:bCs/>
          <w:rtl/>
          <w:lang w:eastAsia="de-DE"/>
        </w:rPr>
        <w:t>אשר קנהו מאתו</w:t>
      </w:r>
      <w:r w:rsidRPr="00CC6F7E">
        <w:rPr>
          <w:rFonts w:eastAsia="Times New Roman" w:cs="Times New Roman"/>
          <w:rtl/>
          <w:lang w:eastAsia="de-DE"/>
        </w:rPr>
        <w:t xml:space="preserve"> </w:t>
      </w:r>
      <w:r w:rsidRPr="00CC6F7E">
        <w:rPr>
          <w:rFonts w:eastAsia="Times New Roman" w:cs="Times New Roman"/>
          <w:lang w:eastAsia="de-DE"/>
        </w:rPr>
        <w:t xml:space="preserve">zeigt den ursprünglichen Verkäufer des Feldes an den jetzigen Weihenden. </w:t>
      </w:r>
      <w:r w:rsidRPr="00CC6F7E">
        <w:rPr>
          <w:rFonts w:eastAsia="Times New Roman" w:cs="Times New Roman"/>
          <w:b/>
          <w:bCs/>
          <w:rtl/>
          <w:lang w:eastAsia="de-DE"/>
        </w:rPr>
        <w:t>לאשר־לו אחזת הארץ</w:t>
      </w:r>
      <w:r w:rsidRPr="00CC6F7E">
        <w:rPr>
          <w:rFonts w:eastAsia="Times New Roman" w:cs="Times New Roman"/>
          <w:rtl/>
          <w:lang w:eastAsia="de-DE"/>
        </w:rPr>
        <w:t xml:space="preserve"> </w:t>
      </w:r>
      <w:r w:rsidRPr="00CC6F7E">
        <w:rPr>
          <w:rFonts w:eastAsia="Times New Roman" w:cs="Times New Roman"/>
          <w:lang w:eastAsia="de-DE"/>
        </w:rPr>
        <w:t xml:space="preserve">(an den, welchem das Land als Eigentum gehört) - </w:t>
      </w:r>
      <w:r w:rsidRPr="00CC6F7E">
        <w:rPr>
          <w:rFonts w:eastAsia="Times New Roman" w:cs="Times New Roman"/>
          <w:b/>
          <w:bCs/>
          <w:rtl/>
          <w:lang w:eastAsia="de-DE"/>
        </w:rPr>
        <w:t>אשר־לו אחזת הארץ</w:t>
      </w:r>
      <w:r w:rsidRPr="00CC6F7E">
        <w:rPr>
          <w:rFonts w:eastAsia="Times New Roman" w:cs="Times New Roman"/>
          <w:rtl/>
          <w:lang w:eastAsia="de-DE"/>
        </w:rPr>
        <w:t xml:space="preserve"> </w:t>
      </w:r>
      <w:r w:rsidRPr="00CC6F7E">
        <w:rPr>
          <w:rFonts w:eastAsia="Times New Roman" w:cs="Times New Roman"/>
          <w:lang w:eastAsia="de-DE"/>
        </w:rPr>
        <w:t xml:space="preserve">(dem das Erbeigentum des Landes gehört) zeigt den ursprünglichen </w:t>
      </w:r>
      <w:r w:rsidRPr="00CC6F7E">
        <w:rPr>
          <w:rFonts w:eastAsia="Times New Roman" w:cs="Times New Roman"/>
          <w:b/>
          <w:bCs/>
          <w:rtl/>
          <w:lang w:eastAsia="de-DE"/>
        </w:rPr>
        <w:t>אחזה</w:t>
      </w:r>
      <w:r w:rsidRPr="00CC6F7E">
        <w:rPr>
          <w:rFonts w:eastAsia="Times New Roman" w:cs="Times New Roman"/>
          <w:lang w:eastAsia="de-DE"/>
        </w:rPr>
        <w:t>-Besitzer.</w:t>
      </w:r>
    </w:p>
    <w:p w14:paraId="4CB0E3D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Logik: Der Weihende kann nur sein </w:t>
      </w:r>
      <w:r w:rsidRPr="00CC6F7E">
        <w:rPr>
          <w:rFonts w:eastAsia="Times New Roman" w:cs="Times New Roman"/>
          <w:b/>
          <w:bCs/>
          <w:rtl/>
          <w:lang w:eastAsia="de-DE"/>
        </w:rPr>
        <w:t>מקנה</w:t>
      </w:r>
      <w:r w:rsidRPr="00CC6F7E">
        <w:rPr>
          <w:rFonts w:eastAsia="Times New Roman" w:cs="Times New Roman"/>
          <w:lang w:eastAsia="de-DE"/>
        </w:rPr>
        <w:t xml:space="preserve">-Recht weihen, nicht das darunterliegende </w:t>
      </w:r>
      <w:r w:rsidRPr="00CC6F7E">
        <w:rPr>
          <w:rFonts w:eastAsia="Times New Roman" w:cs="Times New Roman"/>
          <w:b/>
          <w:bCs/>
          <w:rtl/>
          <w:lang w:eastAsia="de-DE"/>
        </w:rPr>
        <w:t>אחזה</w:t>
      </w:r>
      <w:r w:rsidRPr="00CC6F7E">
        <w:rPr>
          <w:rFonts w:eastAsia="Times New Roman" w:cs="Times New Roman"/>
          <w:lang w:eastAsia="de-DE"/>
        </w:rPr>
        <w:t>-Recht, das im Jobel automatisch zum Ursprungsbesitzer zurückkehrt.</w:t>
      </w:r>
    </w:p>
    <w:p w14:paraId="3921A3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ישוב השדה</w:t>
      </w:r>
      <w:r w:rsidRPr="00CC6F7E">
        <w:rPr>
          <w:rFonts w:eastAsia="Times New Roman" w:cs="Times New Roman"/>
          <w:rtl/>
          <w:lang w:eastAsia="de-DE"/>
        </w:rPr>
        <w:t xml:space="preserve"> </w:t>
      </w:r>
      <w:r w:rsidRPr="00CC6F7E">
        <w:rPr>
          <w:rFonts w:eastAsia="Times New Roman" w:cs="Times New Roman"/>
          <w:lang w:eastAsia="de-DE"/>
        </w:rPr>
        <w:t xml:space="preserve">zeigt automatische Jobel-Rückkehr. </w:t>
      </w:r>
      <w:r w:rsidRPr="00CC6F7E">
        <w:rPr>
          <w:rFonts w:eastAsia="Times New Roman" w:cs="Times New Roman"/>
          <w:b/>
          <w:bCs/>
          <w:rtl/>
          <w:lang w:eastAsia="de-DE"/>
        </w:rPr>
        <w:t>לאשר קנהו מאתו</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rtl/>
          <w:lang w:eastAsia="de-DE"/>
        </w:rPr>
        <w:t>לאשר־לו אחזת הארץ</w:t>
      </w:r>
      <w:r w:rsidRPr="00CC6F7E">
        <w:rPr>
          <w:rFonts w:eastAsia="Times New Roman" w:cs="Times New Roman"/>
          <w:rtl/>
          <w:lang w:eastAsia="de-DE"/>
        </w:rPr>
        <w:t xml:space="preserve"> </w:t>
      </w:r>
      <w:r w:rsidRPr="00CC6F7E">
        <w:rPr>
          <w:rFonts w:eastAsia="Times New Roman" w:cs="Times New Roman"/>
          <w:lang w:eastAsia="de-DE"/>
        </w:rPr>
        <w:t xml:space="preserve">identifizieren denselben ursprünglichen </w:t>
      </w:r>
      <w:r w:rsidRPr="00CC6F7E">
        <w:rPr>
          <w:rFonts w:eastAsia="Times New Roman" w:cs="Times New Roman"/>
          <w:b/>
          <w:bCs/>
          <w:rtl/>
          <w:lang w:eastAsia="de-DE"/>
        </w:rPr>
        <w:t>אחזה</w:t>
      </w:r>
      <w:r w:rsidRPr="00CC6F7E">
        <w:rPr>
          <w:rFonts w:eastAsia="Times New Roman" w:cs="Times New Roman"/>
          <w:lang w:eastAsia="de-DE"/>
        </w:rPr>
        <w:t>-Besitzer.</w:t>
      </w:r>
    </w:p>
    <w:p w14:paraId="5A9A4F0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בשנת היובל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ἐνι</w:t>
      </w:r>
      <w:proofErr w:type="spellEnd"/>
      <w:r w:rsidRPr="00CC6F7E">
        <w:rPr>
          <w:rFonts w:eastAsia="Times New Roman" w:cs="Times New Roman"/>
          <w:lang w:eastAsia="de-DE"/>
        </w:rPr>
        <w:t xml:space="preserve">αυτῷ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ἀφέσεως</w:t>
      </w:r>
      <w:proofErr w:type="spellEnd"/>
      <w:r w:rsidRPr="00CC6F7E">
        <w:rPr>
          <w:rFonts w:eastAsia="Times New Roman" w:cs="Times New Roman"/>
          <w:lang w:eastAsia="de-DE"/>
        </w:rPr>
        <w:t xml:space="preserve"> (im Jahr des Erlasses), </w:t>
      </w:r>
      <w:r w:rsidRPr="00CC6F7E">
        <w:rPr>
          <w:rFonts w:eastAsia="Times New Roman" w:cs="Times New Roman"/>
          <w:b/>
          <w:bCs/>
          <w:rtl/>
          <w:lang w:eastAsia="de-DE"/>
        </w:rPr>
        <w:t>ישוב השדה</w:t>
      </w:r>
      <w:r w:rsidRPr="00CC6F7E">
        <w:rPr>
          <w:rFonts w:eastAsia="Times New Roman" w:cs="Times New Roman"/>
          <w:rtl/>
          <w:lang w:eastAsia="de-DE"/>
        </w:rPr>
        <w:t xml:space="preserve"> </w:t>
      </w:r>
      <w:r w:rsidRPr="00CC6F7E">
        <w:rPr>
          <w:rFonts w:eastAsia="Times New Roman" w:cs="Times New Roman"/>
          <w:lang w:eastAsia="de-DE"/>
        </w:rPr>
        <w:t>mit ἀπ</w:t>
      </w:r>
      <w:proofErr w:type="spellStart"/>
      <w:r w:rsidRPr="00CC6F7E">
        <w:rPr>
          <w:rFonts w:eastAsia="Times New Roman" w:cs="Times New Roman"/>
          <w:lang w:eastAsia="de-DE"/>
        </w:rPr>
        <w:t>οδοθήσετ</w:t>
      </w:r>
      <w:proofErr w:type="spellEnd"/>
      <w:r w:rsidRPr="00CC6F7E">
        <w:rPr>
          <w:rFonts w:eastAsia="Times New Roman" w:cs="Times New Roman"/>
          <w:lang w:eastAsia="de-DE"/>
        </w:rPr>
        <w:t xml:space="preserve">αι ὁ </w:t>
      </w:r>
      <w:proofErr w:type="spellStart"/>
      <w:r w:rsidRPr="00CC6F7E">
        <w:rPr>
          <w:rFonts w:eastAsia="Times New Roman" w:cs="Times New Roman"/>
          <w:lang w:eastAsia="de-DE"/>
        </w:rPr>
        <w:t>ἀγρός</w:t>
      </w:r>
      <w:proofErr w:type="spellEnd"/>
      <w:r w:rsidRPr="00CC6F7E">
        <w:rPr>
          <w:rFonts w:eastAsia="Times New Roman" w:cs="Times New Roman"/>
          <w:lang w:eastAsia="de-DE"/>
        </w:rPr>
        <w:t xml:space="preserve"> (wird das Feld zurückgegeben werden), </w:t>
      </w:r>
      <w:r w:rsidRPr="00CC6F7E">
        <w:rPr>
          <w:rFonts w:eastAsia="Times New Roman" w:cs="Times New Roman"/>
          <w:b/>
          <w:bCs/>
          <w:rtl/>
          <w:lang w:eastAsia="de-DE"/>
        </w:rPr>
        <w:t>לאשר קנהו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τῷ</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κεκτημένῳ</w:t>
      </w:r>
      <w:proofErr w:type="spellEnd"/>
      <w:r w:rsidRPr="00CC6F7E">
        <w:rPr>
          <w:rFonts w:eastAsia="Times New Roman" w:cs="Times New Roman"/>
          <w:lang w:eastAsia="de-DE"/>
        </w:rPr>
        <w:t xml:space="preserve"> α</w:t>
      </w:r>
      <w:proofErr w:type="spellStart"/>
      <w:r w:rsidRPr="00CC6F7E">
        <w:rPr>
          <w:rFonts w:eastAsia="Times New Roman" w:cs="Times New Roman"/>
          <w:lang w:eastAsia="de-DE"/>
        </w:rPr>
        <w:t>ὐτόν</w:t>
      </w:r>
      <w:proofErr w:type="spellEnd"/>
      <w:r w:rsidRPr="00CC6F7E">
        <w:rPr>
          <w:rFonts w:eastAsia="Times New Roman" w:cs="Times New Roman"/>
          <w:lang w:eastAsia="de-DE"/>
        </w:rPr>
        <w:t xml:space="preserve"> (dem es Besitzenden) und </w:t>
      </w:r>
      <w:r w:rsidRPr="00CC6F7E">
        <w:rPr>
          <w:rFonts w:eastAsia="Times New Roman" w:cs="Times New Roman"/>
          <w:b/>
          <w:bCs/>
          <w:rtl/>
          <w:lang w:eastAsia="de-DE"/>
        </w:rPr>
        <w:t>אחזת הארץ</w:t>
      </w:r>
      <w:r w:rsidRPr="00CC6F7E">
        <w:rPr>
          <w:rFonts w:eastAsia="Times New Roman" w:cs="Times New Roman"/>
          <w:rtl/>
          <w:lang w:eastAsia="de-DE"/>
        </w:rPr>
        <w:t xml:space="preserve"> </w:t>
      </w:r>
      <w:r w:rsidRPr="00CC6F7E">
        <w:rPr>
          <w:rFonts w:eastAsia="Times New Roman" w:cs="Times New Roman"/>
          <w:lang w:eastAsia="de-DE"/>
        </w:rPr>
        <w:t>mit κα</w:t>
      </w:r>
      <w:proofErr w:type="spellStart"/>
      <w:r w:rsidRPr="00CC6F7E">
        <w:rPr>
          <w:rFonts w:eastAsia="Times New Roman" w:cs="Times New Roman"/>
          <w:lang w:eastAsia="de-DE"/>
        </w:rPr>
        <w:t>τάσχεσις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τῆς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γῆς</w:t>
      </w:r>
      <w:proofErr w:type="spellEnd"/>
      <w:r w:rsidRPr="00CC6F7E">
        <w:rPr>
          <w:rFonts w:eastAsia="Times New Roman" w:cs="Times New Roman"/>
          <w:lang w:eastAsia="de-DE"/>
        </w:rPr>
        <w:t xml:space="preserve"> (Besitz der Erde).</w:t>
      </w:r>
    </w:p>
    <w:p w14:paraId="6CD6A58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Kaufland-Jobel-Rückkehr: im Jobeljahr kehrt Feld zurück + zu dem von dem er es kaufte + dem das Erbeigentum des Landes gehört.</w:t>
      </w:r>
    </w:p>
    <w:p w14:paraId="0198C15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erklärt: Kaufland kehrt im Jobel automatisch zum ursprünglichen </w:t>
      </w:r>
      <w:r w:rsidRPr="00CC6F7E">
        <w:rPr>
          <w:rFonts w:eastAsia="Times New Roman" w:cs="Times New Roman"/>
          <w:b/>
          <w:bCs/>
          <w:rtl/>
          <w:lang w:eastAsia="de-DE"/>
        </w:rPr>
        <w:t>אחזה</w:t>
      </w:r>
      <w:r w:rsidRPr="00CC6F7E">
        <w:rPr>
          <w:rFonts w:eastAsia="Times New Roman" w:cs="Times New Roman"/>
          <w:lang w:eastAsia="de-DE"/>
        </w:rPr>
        <w:t xml:space="preserve">-Besitzer zurück, weshalb nur temporäres </w:t>
      </w:r>
      <w:r w:rsidRPr="00CC6F7E">
        <w:rPr>
          <w:rFonts w:eastAsia="Times New Roman" w:cs="Times New Roman"/>
          <w:b/>
          <w:bCs/>
          <w:rtl/>
          <w:lang w:eastAsia="de-DE"/>
        </w:rPr>
        <w:t>מקנה</w:t>
      </w:r>
      <w:r w:rsidRPr="00CC6F7E">
        <w:rPr>
          <w:rFonts w:eastAsia="Times New Roman" w:cs="Times New Roman"/>
          <w:lang w:eastAsia="de-DE"/>
        </w:rPr>
        <w:t>-Recht geweiht werden kann.</w:t>
      </w:r>
    </w:p>
    <w:p w14:paraId="5C3D571B"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27,25</w:t>
      </w:r>
    </w:p>
    <w:p w14:paraId="38438B5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וְכָל־עֶרְכְּךָ֔ יִהְיֶ֖ה בְּשֶׁ֣קֶל הַקֹּ֑דֶשׁ עֶשְׂרִ֥ים גֵּרָ֖ה יִהְיֶ֥ה הַשָּֽׁקֶל׃</w:t>
      </w:r>
    </w:p>
    <w:p w14:paraId="12464AF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all deine Schätzung soll nach dem Schekel des Heiligtums geschehen; 20 Gera soll der Schekel sein.</w:t>
      </w:r>
    </w:p>
    <w:p w14:paraId="2DB60FCA"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60B31441">
          <v:rect id="_x0000_i1874" style="width:0;height:1.5pt" o:hralign="center" o:hrstd="t" o:hr="t" fillcolor="#a0a0a0" stroked="f"/>
        </w:pict>
      </w:r>
    </w:p>
    <w:p w14:paraId="3C88851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וכל־ערכך יהיה בשקל הקדש עשרים גרה יהיה השקל</w:t>
      </w:r>
      <w:r w:rsidRPr="00CC6F7E">
        <w:rPr>
          <w:rFonts w:eastAsia="Times New Roman" w:cs="Times New Roman"/>
          <w:rtl/>
          <w:lang w:eastAsia="de-DE"/>
        </w:rPr>
        <w:t xml:space="preserve"> </w:t>
      </w:r>
      <w:r w:rsidRPr="00CC6F7E">
        <w:rPr>
          <w:rFonts w:eastAsia="Times New Roman" w:cs="Times New Roman"/>
          <w:lang w:eastAsia="de-DE"/>
        </w:rPr>
        <w:t xml:space="preserve">definiert den Währungsstandard für alle Schätzungen. </w:t>
      </w:r>
      <w:r w:rsidRPr="00CC6F7E">
        <w:rPr>
          <w:rFonts w:eastAsia="Times New Roman" w:cs="Times New Roman"/>
          <w:b/>
          <w:bCs/>
          <w:rtl/>
          <w:lang w:eastAsia="de-DE"/>
        </w:rPr>
        <w:t>וכל־ערכך יהיה בשקל הקדש</w:t>
      </w:r>
      <w:r w:rsidRPr="00CC6F7E">
        <w:rPr>
          <w:rFonts w:eastAsia="Times New Roman" w:cs="Times New Roman"/>
          <w:rtl/>
          <w:lang w:eastAsia="de-DE"/>
        </w:rPr>
        <w:t xml:space="preserve"> </w:t>
      </w:r>
      <w:r w:rsidRPr="00CC6F7E">
        <w:rPr>
          <w:rFonts w:eastAsia="Times New Roman" w:cs="Times New Roman"/>
          <w:lang w:eastAsia="de-DE"/>
        </w:rPr>
        <w:t xml:space="preserve">(und all deine Schätzung soll nach dem Schekel des Heiligtums geschehen) - </w:t>
      </w:r>
      <w:r w:rsidRPr="00CC6F7E">
        <w:rPr>
          <w:rFonts w:eastAsia="Times New Roman" w:cs="Times New Roman"/>
          <w:b/>
          <w:bCs/>
          <w:rtl/>
          <w:lang w:eastAsia="de-DE"/>
        </w:rPr>
        <w:t>כל־ערכך</w:t>
      </w:r>
      <w:r w:rsidRPr="00CC6F7E">
        <w:rPr>
          <w:rFonts w:eastAsia="Times New Roman" w:cs="Times New Roman"/>
          <w:rtl/>
          <w:lang w:eastAsia="de-DE"/>
        </w:rPr>
        <w:t xml:space="preserve"> </w:t>
      </w:r>
      <w:r w:rsidRPr="00CC6F7E">
        <w:rPr>
          <w:rFonts w:eastAsia="Times New Roman" w:cs="Times New Roman"/>
          <w:lang w:eastAsia="de-DE"/>
        </w:rPr>
        <w:t xml:space="preserve">(all deine Schätzung) zeigt universelle Anwendung auf alle vorherigen Bewertungen. </w:t>
      </w:r>
      <w:r w:rsidRPr="00CC6F7E">
        <w:rPr>
          <w:rFonts w:eastAsia="Times New Roman" w:cs="Times New Roman"/>
          <w:b/>
          <w:bCs/>
          <w:rtl/>
          <w:lang w:eastAsia="de-DE"/>
        </w:rPr>
        <w:t>בשקל הקדש</w:t>
      </w:r>
      <w:r w:rsidRPr="00CC6F7E">
        <w:rPr>
          <w:rFonts w:eastAsia="Times New Roman" w:cs="Times New Roman"/>
          <w:rtl/>
          <w:lang w:eastAsia="de-DE"/>
        </w:rPr>
        <w:t xml:space="preserve"> </w:t>
      </w:r>
      <w:r w:rsidRPr="00CC6F7E">
        <w:rPr>
          <w:rFonts w:eastAsia="Times New Roman" w:cs="Times New Roman"/>
          <w:lang w:eastAsia="de-DE"/>
        </w:rPr>
        <w:t>entspricht V. 3 und etabliert den sakralen Währungsstandard.</w:t>
      </w:r>
    </w:p>
    <w:p w14:paraId="5C675D0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עשרים גרה יהיה השקל</w:t>
      </w:r>
      <w:r w:rsidRPr="00CC6F7E">
        <w:rPr>
          <w:rFonts w:eastAsia="Times New Roman" w:cs="Times New Roman"/>
          <w:rtl/>
          <w:lang w:eastAsia="de-DE"/>
        </w:rPr>
        <w:t xml:space="preserve"> </w:t>
      </w:r>
      <w:r w:rsidRPr="00CC6F7E">
        <w:rPr>
          <w:rFonts w:eastAsia="Times New Roman" w:cs="Times New Roman"/>
          <w:lang w:eastAsia="de-DE"/>
        </w:rPr>
        <w:t xml:space="preserve">(20 Gera soll der Schekel sein) - </w:t>
      </w:r>
      <w:r w:rsidRPr="00CC6F7E">
        <w:rPr>
          <w:rFonts w:eastAsia="Times New Roman" w:cs="Times New Roman"/>
          <w:b/>
          <w:bCs/>
          <w:rtl/>
          <w:lang w:eastAsia="de-DE"/>
        </w:rPr>
        <w:t>עשרים גרה</w:t>
      </w:r>
      <w:r w:rsidRPr="00CC6F7E">
        <w:rPr>
          <w:rFonts w:eastAsia="Times New Roman" w:cs="Times New Roman"/>
          <w:rtl/>
          <w:lang w:eastAsia="de-DE"/>
        </w:rPr>
        <w:t xml:space="preserve"> </w:t>
      </w:r>
      <w:r w:rsidRPr="00CC6F7E">
        <w:rPr>
          <w:rFonts w:eastAsia="Times New Roman" w:cs="Times New Roman"/>
          <w:lang w:eastAsia="de-DE"/>
        </w:rPr>
        <w:t xml:space="preserve">(20 Gera) definiert den Schekel-Standard. </w:t>
      </w:r>
      <w:r w:rsidRPr="00CC6F7E">
        <w:rPr>
          <w:rFonts w:eastAsia="Times New Roman" w:cs="Times New Roman"/>
          <w:b/>
          <w:bCs/>
          <w:rtl/>
          <w:lang w:eastAsia="de-DE"/>
        </w:rPr>
        <w:t>גרה</w:t>
      </w:r>
      <w:r w:rsidRPr="00CC6F7E">
        <w:rPr>
          <w:rFonts w:eastAsia="Times New Roman" w:cs="Times New Roman"/>
          <w:rtl/>
          <w:lang w:eastAsia="de-DE"/>
        </w:rPr>
        <w:t xml:space="preserve"> </w:t>
      </w:r>
      <w:r w:rsidRPr="00CC6F7E">
        <w:rPr>
          <w:rFonts w:eastAsia="Times New Roman" w:cs="Times New Roman"/>
          <w:lang w:eastAsia="de-DE"/>
        </w:rPr>
        <w:t>(Gera) als kleinste Gewichtseinheit entsprechend Ex 30,13; Num 3,47. Diese Definition gewährleistet einheitliche Standards.</w:t>
      </w:r>
    </w:p>
    <w:p w14:paraId="04680DC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כל־ערכך</w:t>
      </w:r>
      <w:r w:rsidRPr="00CC6F7E">
        <w:rPr>
          <w:rFonts w:eastAsia="Times New Roman" w:cs="Times New Roman"/>
          <w:rtl/>
          <w:lang w:eastAsia="de-DE"/>
        </w:rPr>
        <w:t xml:space="preserve"> </w:t>
      </w:r>
      <w:r w:rsidRPr="00CC6F7E">
        <w:rPr>
          <w:rFonts w:eastAsia="Times New Roman" w:cs="Times New Roman"/>
          <w:lang w:eastAsia="de-DE"/>
        </w:rPr>
        <w:t xml:space="preserve">zeigt universelle Anwendung auf alle Gelübde-Schätzungen. </w:t>
      </w:r>
      <w:r w:rsidRPr="00CC6F7E">
        <w:rPr>
          <w:rFonts w:eastAsia="Times New Roman" w:cs="Times New Roman"/>
          <w:b/>
          <w:bCs/>
          <w:rtl/>
          <w:lang w:eastAsia="de-DE"/>
        </w:rPr>
        <w:t>בשקל הקדש</w:t>
      </w:r>
      <w:r w:rsidRPr="00CC6F7E">
        <w:rPr>
          <w:rFonts w:eastAsia="Times New Roman" w:cs="Times New Roman"/>
          <w:rtl/>
          <w:lang w:eastAsia="de-DE"/>
        </w:rPr>
        <w:t xml:space="preserve"> </w:t>
      </w:r>
      <w:r w:rsidRPr="00CC6F7E">
        <w:rPr>
          <w:rFonts w:eastAsia="Times New Roman" w:cs="Times New Roman"/>
          <w:lang w:eastAsia="de-DE"/>
        </w:rPr>
        <w:t xml:space="preserve">etabliert sakralen vs. säkularen Währungsstandard. </w:t>
      </w:r>
      <w:r w:rsidRPr="00CC6F7E">
        <w:rPr>
          <w:rFonts w:eastAsia="Times New Roman" w:cs="Times New Roman"/>
          <w:b/>
          <w:bCs/>
          <w:rtl/>
          <w:lang w:eastAsia="de-DE"/>
        </w:rPr>
        <w:t>עשרים גרה יהיה השקל</w:t>
      </w:r>
      <w:r w:rsidRPr="00CC6F7E">
        <w:rPr>
          <w:rFonts w:eastAsia="Times New Roman" w:cs="Times New Roman"/>
          <w:rtl/>
          <w:lang w:eastAsia="de-DE"/>
        </w:rPr>
        <w:t xml:space="preserve"> </w:t>
      </w:r>
      <w:r w:rsidRPr="00CC6F7E">
        <w:rPr>
          <w:rFonts w:eastAsia="Times New Roman" w:cs="Times New Roman"/>
          <w:lang w:eastAsia="de-DE"/>
        </w:rPr>
        <w:t>definiert präzise Gewichtseinheit.</w:t>
      </w:r>
    </w:p>
    <w:p w14:paraId="26E4CB3B" w14:textId="53BB5956"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עשרים גרה יהיה השקל</w:t>
      </w:r>
      <w:r w:rsidR="00274C29">
        <w:t xml:space="preserve"> (</w:t>
      </w:r>
      <w:proofErr w:type="spellStart"/>
      <w:r w:rsidR="00274C29">
        <w:t>esrim</w:t>
      </w:r>
      <w:proofErr w:type="spellEnd"/>
      <w:r w:rsidR="00274C29">
        <w:t xml:space="preserve"> </w:t>
      </w:r>
      <w:proofErr w:type="spellStart"/>
      <w:r w:rsidR="00274C29">
        <w:t>gera</w:t>
      </w:r>
      <w:proofErr w:type="spellEnd"/>
      <w:r w:rsidR="00274C29">
        <w:t xml:space="preserve"> yihyeh </w:t>
      </w:r>
      <w:proofErr w:type="spellStart"/>
      <w:r w:rsidR="00274C29">
        <w:t>hasheqel</w:t>
      </w:r>
      <w:proofErr w:type="spellEnd"/>
      <w:r w:rsidR="00274C29">
        <w:t xml:space="preserve"> - "zwanzig Gera soll der Schekel sein") als </w:t>
      </w:r>
      <w:proofErr w:type="spellStart"/>
      <w:r w:rsidR="00274C29">
        <w:t>εἴκοσι</w:t>
      </w:r>
      <w:proofErr w:type="spellEnd"/>
      <w:r w:rsidR="00274C29">
        <w:t xml:space="preserve"> ὀβ</w:t>
      </w:r>
      <w:proofErr w:type="spellStart"/>
      <w:r w:rsidR="00274C29">
        <w:t>ολοὶ</w:t>
      </w:r>
      <w:proofErr w:type="spellEnd"/>
      <w:r w:rsidR="00274C29">
        <w:t xml:space="preserve"> </w:t>
      </w:r>
      <w:proofErr w:type="spellStart"/>
      <w:r w:rsidR="00274C29">
        <w:t>ἔστ</w:t>
      </w:r>
      <w:proofErr w:type="spellEnd"/>
      <w:r w:rsidR="00274C29">
        <w:t xml:space="preserve">αι </w:t>
      </w:r>
      <w:proofErr w:type="spellStart"/>
      <w:r w:rsidR="00274C29">
        <w:t>τὸ</w:t>
      </w:r>
      <w:proofErr w:type="spellEnd"/>
      <w:r w:rsidR="00274C29">
        <w:t xml:space="preserve"> </w:t>
      </w:r>
      <w:proofErr w:type="spellStart"/>
      <w:r w:rsidR="00274C29">
        <w:t>δίδρ</w:t>
      </w:r>
      <w:proofErr w:type="spellEnd"/>
      <w:r w:rsidR="00274C29">
        <w:t>αχμον (zwanzig Obolen soll die Doppeldrachme sein), was griechische Währungseinheiten verwendet.</w:t>
      </w:r>
    </w:p>
    <w:p w14:paraId="325564A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Währungsstandard-Definition: all deine Schätzung + sei im Heiligtums-Schekel + 20 Gera sei der Schekel.</w:t>
      </w:r>
    </w:p>
    <w:p w14:paraId="1103732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den einheitlichen sakralen Währungsstandard für alle Gelübde-Bewertungen mit präziser Gewichtsdefinition.</w:t>
      </w:r>
    </w:p>
    <w:p w14:paraId="4C6544C8"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27,26</w:t>
      </w:r>
    </w:p>
    <w:p w14:paraId="640C8D8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אַךְ־בְּכ֞וֹר אֲשֶׁר־יְבֻכַּ֤ר לַֽיהוָה֙ בִּבְהֵמָ֔ה לֹֽא־יַקְדִּ֥ישׁ אִ֖ישׁ אֹתוֹ֑ אִם־שׁ֣וֹר אִם־שֶׂ֔ה לַֽיהוָ֖ה הֽוּא׃</w:t>
      </w:r>
    </w:p>
    <w:p w14:paraId="509EBBA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Nur das Erstgeborene unter dem Vieh, das als Erstgeburt dem Ewigen gehört, soll kein Mann heiligen; sei es ein Rind oder ein Schaf, es gehört dem Ewigen.</w:t>
      </w:r>
    </w:p>
    <w:p w14:paraId="7491CB4F"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11CDD53">
          <v:rect id="_x0000_i1875" style="width:0;height:1.5pt" o:hralign="center" o:hrstd="t" o:hr="t" fillcolor="#a0a0a0" stroked="f"/>
        </w:pict>
      </w:r>
    </w:p>
    <w:p w14:paraId="1831872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אך־בכור אשר־יבכר ליהוה בבהמה לא־יקדיש איש אתו אם־שור אם־שה ליהוה הוא</w:t>
      </w:r>
      <w:r w:rsidRPr="00CC6F7E">
        <w:rPr>
          <w:rFonts w:eastAsia="Times New Roman" w:cs="Times New Roman"/>
          <w:rtl/>
          <w:lang w:eastAsia="de-DE"/>
        </w:rPr>
        <w:t xml:space="preserve"> </w:t>
      </w:r>
      <w:r w:rsidRPr="00CC6F7E">
        <w:rPr>
          <w:rFonts w:eastAsia="Times New Roman" w:cs="Times New Roman"/>
          <w:lang w:eastAsia="de-DE"/>
        </w:rPr>
        <w:t xml:space="preserve">zeigt Einschränkung bei Erstgeburten. </w:t>
      </w:r>
      <w:r w:rsidRPr="00CC6F7E">
        <w:rPr>
          <w:rFonts w:eastAsia="Times New Roman" w:cs="Times New Roman"/>
          <w:b/>
          <w:bCs/>
          <w:rtl/>
          <w:lang w:eastAsia="de-DE"/>
        </w:rPr>
        <w:t>אך־בכור אשר־יבכר ליהוה בבהמה</w:t>
      </w:r>
      <w:r w:rsidRPr="00CC6F7E">
        <w:rPr>
          <w:rFonts w:eastAsia="Times New Roman" w:cs="Times New Roman"/>
          <w:rtl/>
          <w:lang w:eastAsia="de-DE"/>
        </w:rPr>
        <w:t xml:space="preserve"> </w:t>
      </w:r>
      <w:r w:rsidRPr="00CC6F7E">
        <w:rPr>
          <w:rFonts w:eastAsia="Times New Roman" w:cs="Times New Roman"/>
          <w:lang w:eastAsia="de-DE"/>
        </w:rPr>
        <w:t xml:space="preserve">(nur das Erstgeborene unter dem Vieh, das als Erstgeburt dem Ewigen gehört) - </w:t>
      </w:r>
      <w:r w:rsidRPr="00CC6F7E">
        <w:rPr>
          <w:rFonts w:eastAsia="Times New Roman" w:cs="Times New Roman"/>
          <w:b/>
          <w:bCs/>
          <w:rtl/>
          <w:lang w:eastAsia="de-DE"/>
        </w:rPr>
        <w:t>אך</w:t>
      </w:r>
      <w:r w:rsidRPr="00CC6F7E">
        <w:rPr>
          <w:rFonts w:eastAsia="Times New Roman" w:cs="Times New Roman"/>
          <w:rtl/>
          <w:lang w:eastAsia="de-DE"/>
        </w:rPr>
        <w:t xml:space="preserve"> </w:t>
      </w:r>
      <w:r w:rsidRPr="00CC6F7E">
        <w:rPr>
          <w:rFonts w:eastAsia="Times New Roman" w:cs="Times New Roman"/>
          <w:lang w:eastAsia="de-DE"/>
        </w:rPr>
        <w:t xml:space="preserve">(nur/jedoch) zeigt Ausnahme. </w:t>
      </w:r>
      <w:r w:rsidRPr="00CC6F7E">
        <w:rPr>
          <w:rFonts w:eastAsia="Times New Roman" w:cs="Times New Roman"/>
          <w:b/>
          <w:bCs/>
          <w:rtl/>
          <w:lang w:eastAsia="de-DE"/>
        </w:rPr>
        <w:t>בכור אשר־יבכר ליהוה</w:t>
      </w:r>
      <w:r w:rsidRPr="00CC6F7E">
        <w:rPr>
          <w:rFonts w:eastAsia="Times New Roman" w:cs="Times New Roman"/>
          <w:rtl/>
          <w:lang w:eastAsia="de-DE"/>
        </w:rPr>
        <w:t xml:space="preserve"> </w:t>
      </w:r>
      <w:r w:rsidRPr="00CC6F7E">
        <w:rPr>
          <w:rFonts w:eastAsia="Times New Roman" w:cs="Times New Roman"/>
          <w:lang w:eastAsia="de-DE"/>
        </w:rPr>
        <w:t xml:space="preserve">(Erstgeborenes, das als Erstgeburt JHWH gehört) zeigt bereits bestehende göttliche Ansprüche. </w:t>
      </w:r>
      <w:r w:rsidRPr="00CC6F7E">
        <w:rPr>
          <w:rFonts w:eastAsia="Times New Roman" w:cs="Times New Roman"/>
          <w:b/>
          <w:bCs/>
          <w:rtl/>
          <w:lang w:eastAsia="de-DE"/>
        </w:rPr>
        <w:t>יבכר</w:t>
      </w:r>
      <w:r w:rsidRPr="00CC6F7E">
        <w:rPr>
          <w:rFonts w:eastAsia="Times New Roman" w:cs="Times New Roman"/>
          <w:rtl/>
          <w:lang w:eastAsia="de-DE"/>
        </w:rPr>
        <w:t xml:space="preserve"> </w:t>
      </w:r>
      <w:r w:rsidRPr="00CC6F7E">
        <w:rPr>
          <w:rFonts w:eastAsia="Times New Roman" w:cs="Times New Roman"/>
          <w:lang w:eastAsia="de-DE"/>
        </w:rPr>
        <w:t>(wird als Erstgeburt behandelt) im Pual zeigt passive Erstgeburts-Zuordnung.</w:t>
      </w:r>
    </w:p>
    <w:p w14:paraId="3F1A4A3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לא־יקדיש איש אתו</w:t>
      </w:r>
      <w:r w:rsidRPr="00CC6F7E">
        <w:rPr>
          <w:rFonts w:eastAsia="Times New Roman" w:cs="Times New Roman"/>
          <w:rtl/>
          <w:lang w:eastAsia="de-DE"/>
        </w:rPr>
        <w:t xml:space="preserve"> </w:t>
      </w:r>
      <w:r w:rsidRPr="00CC6F7E">
        <w:rPr>
          <w:rFonts w:eastAsia="Times New Roman" w:cs="Times New Roman"/>
          <w:lang w:eastAsia="de-DE"/>
        </w:rPr>
        <w:t xml:space="preserve">(soll kein Mann heiligen) verbietet zusätzliche Weihe bereits JHWH gehörender Erstgeburten. </w:t>
      </w:r>
      <w:r w:rsidRPr="00CC6F7E">
        <w:rPr>
          <w:rFonts w:eastAsia="Times New Roman" w:cs="Times New Roman"/>
          <w:b/>
          <w:bCs/>
          <w:rtl/>
          <w:lang w:eastAsia="de-DE"/>
        </w:rPr>
        <w:t>אם־שור אם־שה ליהוה הוא</w:t>
      </w:r>
      <w:r w:rsidRPr="00CC6F7E">
        <w:rPr>
          <w:rFonts w:eastAsia="Times New Roman" w:cs="Times New Roman"/>
          <w:rtl/>
          <w:lang w:eastAsia="de-DE"/>
        </w:rPr>
        <w:t xml:space="preserve"> </w:t>
      </w:r>
      <w:r w:rsidRPr="00CC6F7E">
        <w:rPr>
          <w:rFonts w:eastAsia="Times New Roman" w:cs="Times New Roman"/>
          <w:lang w:eastAsia="de-DE"/>
        </w:rPr>
        <w:t xml:space="preserve">(sei es ein Rind oder ein Schaf, es gehört dem Ewigen) - </w:t>
      </w:r>
      <w:r w:rsidRPr="00CC6F7E">
        <w:rPr>
          <w:rFonts w:eastAsia="Times New Roman" w:cs="Times New Roman"/>
          <w:b/>
          <w:bCs/>
          <w:rtl/>
          <w:lang w:eastAsia="de-DE"/>
        </w:rPr>
        <w:t>אם־שור אם־שה</w:t>
      </w:r>
      <w:r w:rsidRPr="00CC6F7E">
        <w:rPr>
          <w:rFonts w:eastAsia="Times New Roman" w:cs="Times New Roman"/>
          <w:rtl/>
          <w:lang w:eastAsia="de-DE"/>
        </w:rPr>
        <w:t xml:space="preserve"> </w:t>
      </w:r>
      <w:r w:rsidRPr="00CC6F7E">
        <w:rPr>
          <w:rFonts w:eastAsia="Times New Roman" w:cs="Times New Roman"/>
          <w:lang w:eastAsia="de-DE"/>
        </w:rPr>
        <w:t xml:space="preserve">zeigt die hauptsächlichen Opfertiere. </w:t>
      </w:r>
      <w:r w:rsidRPr="00CC6F7E">
        <w:rPr>
          <w:rFonts w:eastAsia="Times New Roman" w:cs="Times New Roman"/>
          <w:b/>
          <w:bCs/>
          <w:rtl/>
          <w:lang w:eastAsia="de-DE"/>
        </w:rPr>
        <w:t>ליהוה הוא</w:t>
      </w:r>
      <w:r w:rsidRPr="00CC6F7E">
        <w:rPr>
          <w:rFonts w:eastAsia="Times New Roman" w:cs="Times New Roman"/>
          <w:rtl/>
          <w:lang w:eastAsia="de-DE"/>
        </w:rPr>
        <w:t xml:space="preserve"> </w:t>
      </w:r>
      <w:r w:rsidRPr="00CC6F7E">
        <w:rPr>
          <w:rFonts w:eastAsia="Times New Roman" w:cs="Times New Roman"/>
          <w:lang w:eastAsia="de-DE"/>
        </w:rPr>
        <w:t>bekräftigt göttliches Eigentum.</w:t>
      </w:r>
    </w:p>
    <w:p w14:paraId="6E9E0D8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בכור אשר־יבכר ליהוה</w:t>
      </w:r>
      <w:r w:rsidRPr="00CC6F7E">
        <w:rPr>
          <w:rFonts w:eastAsia="Times New Roman" w:cs="Times New Roman"/>
          <w:rtl/>
          <w:lang w:eastAsia="de-DE"/>
        </w:rPr>
        <w:t xml:space="preserve"> </w:t>
      </w:r>
      <w:r w:rsidRPr="00CC6F7E">
        <w:rPr>
          <w:rFonts w:eastAsia="Times New Roman" w:cs="Times New Roman"/>
          <w:lang w:eastAsia="de-DE"/>
        </w:rPr>
        <w:t xml:space="preserve">zeigt bereits bestehende Erstgeburts-Verpflichtung. </w:t>
      </w:r>
      <w:r w:rsidRPr="00CC6F7E">
        <w:rPr>
          <w:rFonts w:eastAsia="Times New Roman" w:cs="Times New Roman"/>
          <w:b/>
          <w:bCs/>
          <w:rtl/>
          <w:lang w:eastAsia="de-DE"/>
        </w:rPr>
        <w:t>לא־יקדיש איש</w:t>
      </w:r>
      <w:r w:rsidRPr="00CC6F7E">
        <w:rPr>
          <w:rFonts w:eastAsia="Times New Roman" w:cs="Times New Roman"/>
          <w:rtl/>
          <w:lang w:eastAsia="de-DE"/>
        </w:rPr>
        <w:t xml:space="preserve"> </w:t>
      </w:r>
      <w:r w:rsidRPr="00CC6F7E">
        <w:rPr>
          <w:rFonts w:eastAsia="Times New Roman" w:cs="Times New Roman"/>
          <w:lang w:eastAsia="de-DE"/>
        </w:rPr>
        <w:t xml:space="preserve">verbietet Doppel-Weihe. </w:t>
      </w:r>
      <w:r w:rsidRPr="00CC6F7E">
        <w:rPr>
          <w:rFonts w:eastAsia="Times New Roman" w:cs="Times New Roman"/>
          <w:b/>
          <w:bCs/>
          <w:rtl/>
          <w:lang w:eastAsia="de-DE"/>
        </w:rPr>
        <w:t>ליהוה הוא</w:t>
      </w:r>
      <w:r w:rsidRPr="00CC6F7E">
        <w:rPr>
          <w:rFonts w:eastAsia="Times New Roman" w:cs="Times New Roman"/>
          <w:rtl/>
          <w:lang w:eastAsia="de-DE"/>
        </w:rPr>
        <w:t xml:space="preserve"> </w:t>
      </w:r>
      <w:r w:rsidRPr="00CC6F7E">
        <w:rPr>
          <w:rFonts w:eastAsia="Times New Roman" w:cs="Times New Roman"/>
          <w:lang w:eastAsia="de-DE"/>
        </w:rPr>
        <w:t>begründet das Verbot durch bereits bestehendes göttliches Eigentum.</w:t>
      </w:r>
    </w:p>
    <w:p w14:paraId="4079BCF3" w14:textId="3D2E2EEE"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274C29">
        <w:t xml:space="preserve">übersetzt </w:t>
      </w:r>
      <w:r w:rsidR="00274C29">
        <w:rPr>
          <w:rtl/>
        </w:rPr>
        <w:t>בכור אשר־יבכר</w:t>
      </w:r>
      <w:r w:rsidR="00274C29">
        <w:t xml:space="preserve"> (</w:t>
      </w:r>
      <w:proofErr w:type="spellStart"/>
      <w:r w:rsidR="00274C29">
        <w:t>bechor</w:t>
      </w:r>
      <w:proofErr w:type="spellEnd"/>
      <w:r w:rsidR="00274C29">
        <w:t xml:space="preserve"> asher-</w:t>
      </w:r>
      <w:proofErr w:type="spellStart"/>
      <w:r w:rsidR="00274C29">
        <w:t>yebuchar</w:t>
      </w:r>
      <w:proofErr w:type="spellEnd"/>
      <w:r w:rsidR="00274C29">
        <w:t xml:space="preserve"> - "Erstgeburt, die als Erstgeburt geboren wird") als π</w:t>
      </w:r>
      <w:proofErr w:type="spellStart"/>
      <w:r w:rsidR="00274C29">
        <w:t>ᾶν</w:t>
      </w:r>
      <w:proofErr w:type="spellEnd"/>
      <w:r w:rsidR="00274C29">
        <w:t xml:space="preserve"> π</w:t>
      </w:r>
      <w:proofErr w:type="spellStart"/>
      <w:r w:rsidR="00274C29">
        <w:t>ρωτότοκον</w:t>
      </w:r>
      <w:proofErr w:type="spellEnd"/>
      <w:r w:rsidR="00274C29">
        <w:t xml:space="preserve">, ὃ </w:t>
      </w:r>
      <w:proofErr w:type="spellStart"/>
      <w:r w:rsidR="00274C29">
        <w:t>ἂν</w:t>
      </w:r>
      <w:proofErr w:type="spellEnd"/>
      <w:r w:rsidR="00274C29">
        <w:t xml:space="preserve"> </w:t>
      </w:r>
      <w:proofErr w:type="spellStart"/>
      <w:r w:rsidR="00274C29">
        <w:t>γένητ</w:t>
      </w:r>
      <w:proofErr w:type="spellEnd"/>
      <w:r w:rsidR="00274C29">
        <w:t>αι (jede Erstgeburt, die geboren wird).</w:t>
      </w:r>
    </w:p>
    <w:p w14:paraId="19528614" w14:textId="1F38AA3D"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Erstgeburts-Ausnahme: nur Erstgeborenes das JHWH als Erstgeburt gehört + soll </w:t>
      </w:r>
      <w:r w:rsidR="000024AA">
        <w:rPr>
          <w:rFonts w:eastAsia="Times New Roman" w:cs="Times New Roman"/>
          <w:lang w:eastAsia="de-DE"/>
        </w:rPr>
        <w:t xml:space="preserve">ein </w:t>
      </w:r>
      <w:r w:rsidRPr="00CC6F7E">
        <w:rPr>
          <w:rFonts w:eastAsia="Times New Roman" w:cs="Times New Roman"/>
          <w:lang w:eastAsia="de-DE"/>
        </w:rPr>
        <w:t>Mann nicht heiligen + ob Rind ob Schaf + JHWH gehört es.</w:t>
      </w:r>
    </w:p>
    <w:p w14:paraId="0DEE71E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verbietet Gelübde-Weihe von Erstgeburten, da diese bereits automatisch JHWH gehören.</w:t>
      </w:r>
    </w:p>
    <w:p w14:paraId="0F946D15"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27,27</w:t>
      </w:r>
    </w:p>
    <w:p w14:paraId="4C29810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 בַּבְּהֵמָ֤ה הַטְּמֵאָה֙ וּפָדָ֣ה בְעֶרְכֶּ֔ךָ וְיָסַ֥ף חֲמִשִׁתוֹ֖ עָלָ֑יו וְאִם־לֹ֥א יִגָּאֵ֖ל וְנִמְכַּ֥ר בְּעֶרְכֶּֽךָ׃</w:t>
      </w:r>
    </w:p>
    <w:p w14:paraId="6F474D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es aber vom unreinen Vieh ist, so soll man es nach deiner Schätzung lösen und ein Fünftel darüber hinzufügen; und wenn es nicht gelöst wird, so werde es nach deiner Schätzung verkauft.</w:t>
      </w:r>
    </w:p>
    <w:p w14:paraId="1D7E6351"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5B639F94">
          <v:rect id="_x0000_i1876" style="width:0;height:1.5pt" o:hralign="center" o:hrstd="t" o:hr="t" fillcolor="#a0a0a0" stroked="f"/>
        </w:pict>
      </w:r>
    </w:p>
    <w:p w14:paraId="14B4E67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 בבהמה הטמאה ופדה בערכך ויסף חמישתו עליו ואם־לא יגאל ונמכר בערכך</w:t>
      </w:r>
      <w:r w:rsidRPr="00CC6F7E">
        <w:rPr>
          <w:rFonts w:eastAsia="Times New Roman" w:cs="Times New Roman"/>
          <w:rtl/>
          <w:lang w:eastAsia="de-DE"/>
        </w:rPr>
        <w:t xml:space="preserve"> </w:t>
      </w:r>
      <w:r w:rsidRPr="00CC6F7E">
        <w:rPr>
          <w:rFonts w:eastAsia="Times New Roman" w:cs="Times New Roman"/>
          <w:lang w:eastAsia="de-DE"/>
        </w:rPr>
        <w:t xml:space="preserve">behandelt unreine Erstgeburten. </w:t>
      </w:r>
      <w:r w:rsidRPr="00CC6F7E">
        <w:rPr>
          <w:rFonts w:eastAsia="Times New Roman" w:cs="Times New Roman"/>
          <w:b/>
          <w:bCs/>
          <w:rtl/>
          <w:lang w:eastAsia="de-DE"/>
        </w:rPr>
        <w:t>ואם בבהמה הטמאה</w:t>
      </w:r>
      <w:r w:rsidRPr="00CC6F7E">
        <w:rPr>
          <w:rFonts w:eastAsia="Times New Roman" w:cs="Times New Roman"/>
          <w:rtl/>
          <w:lang w:eastAsia="de-DE"/>
        </w:rPr>
        <w:t xml:space="preserve"> </w:t>
      </w:r>
      <w:r w:rsidRPr="00CC6F7E">
        <w:rPr>
          <w:rFonts w:eastAsia="Times New Roman" w:cs="Times New Roman"/>
          <w:lang w:eastAsia="de-DE"/>
        </w:rPr>
        <w:t>(wenn es aber vom unreinen Vieh ist) zeigt unreine Erstgeburten wie Esel (vgl. Ex 13,13; 34,20). Diese können nicht geopfert werden, gehören aber trotzdem JHWH.</w:t>
      </w:r>
    </w:p>
    <w:p w14:paraId="7AFABE2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ופדה בערכך ויסף חמישתו עליו</w:t>
      </w:r>
      <w:r w:rsidRPr="00CC6F7E">
        <w:rPr>
          <w:rFonts w:eastAsia="Times New Roman" w:cs="Times New Roman"/>
          <w:rtl/>
          <w:lang w:eastAsia="de-DE"/>
        </w:rPr>
        <w:t xml:space="preserve"> </w:t>
      </w:r>
      <w:r w:rsidRPr="00CC6F7E">
        <w:rPr>
          <w:rFonts w:eastAsia="Times New Roman" w:cs="Times New Roman"/>
          <w:lang w:eastAsia="de-DE"/>
        </w:rPr>
        <w:t xml:space="preserve">(so soll man es nach deiner Schätzung lösen und ein Fünftel darüber hinzufügen) - </w:t>
      </w:r>
      <w:r w:rsidRPr="00CC6F7E">
        <w:rPr>
          <w:rFonts w:eastAsia="Times New Roman" w:cs="Times New Roman"/>
          <w:b/>
          <w:bCs/>
          <w:rtl/>
          <w:lang w:eastAsia="de-DE"/>
        </w:rPr>
        <w:t>ופדה</w:t>
      </w:r>
      <w:r w:rsidRPr="00CC6F7E">
        <w:rPr>
          <w:rFonts w:eastAsia="Times New Roman" w:cs="Times New Roman"/>
          <w:rtl/>
          <w:lang w:eastAsia="de-DE"/>
        </w:rPr>
        <w:t xml:space="preserve"> </w:t>
      </w:r>
      <w:r w:rsidRPr="00CC6F7E">
        <w:rPr>
          <w:rFonts w:eastAsia="Times New Roman" w:cs="Times New Roman"/>
          <w:lang w:eastAsia="de-DE"/>
        </w:rPr>
        <w:t xml:space="preserve">(und er soll lösen) im Qal-Perfekt mit Waw-Konsekutiv von </w:t>
      </w:r>
      <w:r w:rsidRPr="00CC6F7E">
        <w:rPr>
          <w:rFonts w:eastAsia="Times New Roman" w:cs="Times New Roman"/>
          <w:b/>
          <w:bCs/>
          <w:rtl/>
          <w:lang w:eastAsia="de-DE"/>
        </w:rPr>
        <w:t>פדה</w:t>
      </w:r>
      <w:r w:rsidRPr="00CC6F7E">
        <w:rPr>
          <w:rFonts w:eastAsia="Times New Roman" w:cs="Times New Roman"/>
          <w:rtl/>
          <w:lang w:eastAsia="de-DE"/>
        </w:rPr>
        <w:t xml:space="preserve"> </w:t>
      </w:r>
      <w:r w:rsidRPr="00CC6F7E">
        <w:rPr>
          <w:rFonts w:eastAsia="Times New Roman" w:cs="Times New Roman"/>
          <w:lang w:eastAsia="de-DE"/>
        </w:rPr>
        <w:t xml:space="preserve">zeigt Loskauf unreiner Erstgeburten. </w:t>
      </w:r>
      <w:r w:rsidRPr="00CC6F7E">
        <w:rPr>
          <w:rFonts w:eastAsia="Times New Roman" w:cs="Times New Roman"/>
          <w:b/>
          <w:bCs/>
          <w:rtl/>
          <w:lang w:eastAsia="de-DE"/>
        </w:rPr>
        <w:t>בערכך</w:t>
      </w:r>
      <w:r w:rsidRPr="00CC6F7E">
        <w:rPr>
          <w:rFonts w:eastAsia="Times New Roman" w:cs="Times New Roman"/>
          <w:rtl/>
          <w:lang w:eastAsia="de-DE"/>
        </w:rPr>
        <w:t xml:space="preserve"> </w:t>
      </w:r>
      <w:r w:rsidRPr="00CC6F7E">
        <w:rPr>
          <w:rFonts w:eastAsia="Times New Roman" w:cs="Times New Roman"/>
          <w:lang w:eastAsia="de-DE"/>
        </w:rPr>
        <w:t xml:space="preserve">(nach deiner Schätzung) entspricht der priesterlichen Bewertung. </w:t>
      </w:r>
      <w:r w:rsidRPr="00CC6F7E">
        <w:rPr>
          <w:rFonts w:eastAsia="Times New Roman" w:cs="Times New Roman"/>
          <w:b/>
          <w:bCs/>
          <w:rtl/>
          <w:lang w:eastAsia="de-DE"/>
        </w:rPr>
        <w:t>ויסף חמישתו עליו</w:t>
      </w:r>
      <w:r w:rsidRPr="00CC6F7E">
        <w:rPr>
          <w:rFonts w:eastAsia="Times New Roman" w:cs="Times New Roman"/>
          <w:rtl/>
          <w:lang w:eastAsia="de-DE"/>
        </w:rPr>
        <w:t xml:space="preserve"> </w:t>
      </w:r>
      <w:r w:rsidRPr="00CC6F7E">
        <w:rPr>
          <w:rFonts w:eastAsia="Times New Roman" w:cs="Times New Roman"/>
          <w:lang w:eastAsia="de-DE"/>
        </w:rPr>
        <w:t>entspricht dem Standard-20%-Aufschlag.</w:t>
      </w:r>
    </w:p>
    <w:p w14:paraId="005E6E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ואם־לא יגאל ונמכר בערכך</w:t>
      </w:r>
      <w:r w:rsidRPr="00CC6F7E">
        <w:rPr>
          <w:rFonts w:eastAsia="Times New Roman" w:cs="Times New Roman"/>
          <w:rtl/>
          <w:lang w:eastAsia="de-DE"/>
        </w:rPr>
        <w:t xml:space="preserve"> </w:t>
      </w:r>
      <w:r w:rsidRPr="00CC6F7E">
        <w:rPr>
          <w:rFonts w:eastAsia="Times New Roman" w:cs="Times New Roman"/>
          <w:lang w:eastAsia="de-DE"/>
        </w:rPr>
        <w:t>(und wenn es nicht gelöst wird, so werde es nach deiner Schätzung verkauft) zeigt Alternative: Verkauf durch das Heiligtum zum Schätzwert ohne Aufschlag.</w:t>
      </w:r>
    </w:p>
    <w:p w14:paraId="41BD7BB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בבהמה הטמאה</w:t>
      </w:r>
      <w:r w:rsidRPr="00CC6F7E">
        <w:rPr>
          <w:rFonts w:eastAsia="Times New Roman" w:cs="Times New Roman"/>
          <w:rtl/>
          <w:lang w:eastAsia="de-DE"/>
        </w:rPr>
        <w:t xml:space="preserve"> </w:t>
      </w:r>
      <w:r w:rsidRPr="00CC6F7E">
        <w:rPr>
          <w:rFonts w:eastAsia="Times New Roman" w:cs="Times New Roman"/>
          <w:lang w:eastAsia="de-DE"/>
        </w:rPr>
        <w:t xml:space="preserve">zeigt unreine Erstgeburten. </w:t>
      </w:r>
      <w:r w:rsidRPr="00CC6F7E">
        <w:rPr>
          <w:rFonts w:eastAsia="Times New Roman" w:cs="Times New Roman"/>
          <w:b/>
          <w:bCs/>
          <w:rtl/>
          <w:lang w:eastAsia="de-DE"/>
        </w:rPr>
        <w:t>ופדה...ויסף חמישתו</w:t>
      </w:r>
      <w:r w:rsidRPr="00CC6F7E">
        <w:rPr>
          <w:rFonts w:eastAsia="Times New Roman" w:cs="Times New Roman"/>
          <w:rtl/>
          <w:lang w:eastAsia="de-DE"/>
        </w:rPr>
        <w:t xml:space="preserve"> </w:t>
      </w:r>
      <w:r w:rsidRPr="00CC6F7E">
        <w:rPr>
          <w:rFonts w:eastAsia="Times New Roman" w:cs="Times New Roman"/>
          <w:lang w:eastAsia="de-DE"/>
        </w:rPr>
        <w:t xml:space="preserve">zeigt Loskauf mit Standard-Aufschlag. </w:t>
      </w:r>
      <w:r w:rsidRPr="00CC6F7E">
        <w:rPr>
          <w:rFonts w:eastAsia="Times New Roman" w:cs="Times New Roman"/>
          <w:b/>
          <w:bCs/>
          <w:rtl/>
          <w:lang w:eastAsia="de-DE"/>
        </w:rPr>
        <w:t>לא יגאל ונמכר</w:t>
      </w:r>
      <w:r w:rsidRPr="00CC6F7E">
        <w:rPr>
          <w:rFonts w:eastAsia="Times New Roman" w:cs="Times New Roman"/>
          <w:rtl/>
          <w:lang w:eastAsia="de-DE"/>
        </w:rPr>
        <w:t xml:space="preserve"> </w:t>
      </w:r>
      <w:r w:rsidRPr="00CC6F7E">
        <w:rPr>
          <w:rFonts w:eastAsia="Times New Roman" w:cs="Times New Roman"/>
          <w:lang w:eastAsia="de-DE"/>
        </w:rPr>
        <w:t>zeigt Heiligtums-Verkaufsoption.</w:t>
      </w:r>
    </w:p>
    <w:p w14:paraId="1D3F2A3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בבהמה הטמאה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ἐν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κτήνεσι</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τοῖς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ἀκ</w:t>
      </w:r>
      <w:proofErr w:type="spellEnd"/>
      <w:r w:rsidRPr="00CC6F7E">
        <w:rPr>
          <w:rFonts w:eastAsia="Times New Roman" w:cs="Times New Roman"/>
          <w:lang w:eastAsia="de-DE"/>
        </w:rPr>
        <w:t xml:space="preserve">αθάρτοις (unter den unreinen Vieh), </w:t>
      </w:r>
      <w:r w:rsidRPr="00CC6F7E">
        <w:rPr>
          <w:rFonts w:eastAsia="Times New Roman" w:cs="Times New Roman"/>
          <w:b/>
          <w:bCs/>
          <w:rtl/>
          <w:lang w:eastAsia="de-DE"/>
        </w:rPr>
        <w:t>ופדה</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λυτρώσετ</w:t>
      </w:r>
      <w:proofErr w:type="spellEnd"/>
      <w:r w:rsidRPr="00CC6F7E">
        <w:rPr>
          <w:rFonts w:eastAsia="Times New Roman" w:cs="Times New Roman"/>
          <w:lang w:eastAsia="de-DE"/>
        </w:rPr>
        <w:t xml:space="preserve">αι (wird lösen), </w:t>
      </w:r>
      <w:r w:rsidRPr="00CC6F7E">
        <w:rPr>
          <w:rFonts w:eastAsia="Times New Roman" w:cs="Times New Roman"/>
          <w:b/>
          <w:bCs/>
          <w:rtl/>
          <w:lang w:eastAsia="de-DE"/>
        </w:rPr>
        <w:t>חמישתו</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τὸ</w:t>
      </w:r>
      <w:proofErr w:type="spellEnd"/>
      <w:r w:rsidRPr="00CC6F7E">
        <w:rPr>
          <w:rFonts w:eastAsia="Times New Roman" w:cs="Times New Roman"/>
          <w:lang w:eastAsia="de-DE"/>
        </w:rPr>
        <w:t xml:space="preserve"> ἐπίπ</w:t>
      </w:r>
      <w:proofErr w:type="spellStart"/>
      <w:r w:rsidRPr="00CC6F7E">
        <w:rPr>
          <w:rFonts w:eastAsia="Times New Roman" w:cs="Times New Roman"/>
          <w:lang w:eastAsia="de-DE"/>
        </w:rPr>
        <w:t>εμ</w:t>
      </w:r>
      <w:proofErr w:type="spellEnd"/>
      <w:r w:rsidRPr="00CC6F7E">
        <w:rPr>
          <w:rFonts w:eastAsia="Times New Roman" w:cs="Times New Roman"/>
          <w:lang w:eastAsia="de-DE"/>
        </w:rPr>
        <w:t xml:space="preserve">πτον (das Fünftel) und </w:t>
      </w:r>
      <w:r w:rsidRPr="00CC6F7E">
        <w:rPr>
          <w:rFonts w:eastAsia="Times New Roman" w:cs="Times New Roman"/>
          <w:b/>
          <w:bCs/>
          <w:rtl/>
          <w:lang w:eastAsia="de-DE"/>
        </w:rPr>
        <w:t>ונמכר בערכך</w:t>
      </w:r>
      <w:r w:rsidRPr="00CC6F7E">
        <w:rPr>
          <w:rFonts w:eastAsia="Times New Roman" w:cs="Times New Roman"/>
          <w:rtl/>
          <w:lang w:eastAsia="de-DE"/>
        </w:rPr>
        <w:t xml:space="preserve"> </w:t>
      </w:r>
      <w:r w:rsidRPr="00CC6F7E">
        <w:rPr>
          <w:rFonts w:eastAsia="Times New Roman" w:cs="Times New Roman"/>
          <w:lang w:eastAsia="de-DE"/>
        </w:rPr>
        <w:t>mit πρα</w:t>
      </w:r>
      <w:proofErr w:type="spellStart"/>
      <w:r w:rsidRPr="00CC6F7E">
        <w:rPr>
          <w:rFonts w:eastAsia="Times New Roman" w:cs="Times New Roman"/>
          <w:lang w:eastAsia="de-DE"/>
        </w:rPr>
        <w:t>θήσετ</w:t>
      </w:r>
      <w:proofErr w:type="spellEnd"/>
      <w:r w:rsidRPr="00CC6F7E">
        <w:rPr>
          <w:rFonts w:eastAsia="Times New Roman" w:cs="Times New Roman"/>
          <w:lang w:eastAsia="de-DE"/>
        </w:rPr>
        <w:t>αι κα</w:t>
      </w:r>
      <w:proofErr w:type="spellStart"/>
      <w:r w:rsidRPr="00CC6F7E">
        <w:rPr>
          <w:rFonts w:eastAsia="Times New Roman" w:cs="Times New Roman"/>
          <w:lang w:eastAsia="de-DE"/>
        </w:rPr>
        <w:t>τὰ</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τὴν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τιμήν</w:t>
      </w:r>
      <w:proofErr w:type="spellEnd"/>
      <w:r w:rsidRPr="00CC6F7E">
        <w:rPr>
          <w:rFonts w:eastAsia="Times New Roman" w:cs="Times New Roman"/>
          <w:lang w:eastAsia="de-DE"/>
        </w:rPr>
        <w:t xml:space="preserve"> (wird verkauft nach dem Wert).</w:t>
      </w:r>
    </w:p>
    <w:p w14:paraId="1B42697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unreine Erstgeburts-Behandlung: wenn unreines Vieh + löse nach deiner Schätzung + füge sein Fünftel hinzu + wenn nicht gelöst wird + werde nach deiner Schätzung verkauft.</w:t>
      </w:r>
    </w:p>
    <w:p w14:paraId="5DD43DD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regelt unreine Erstgeburten: Loskauf mit 20%-Aufschlag oder Heiligtums-Verkauf zum Schätzwert.</w:t>
      </w:r>
    </w:p>
    <w:p w14:paraId="02CF5AE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lastRenderedPageBreak/>
        <w:t>Leviticus 27,28</w:t>
      </w:r>
    </w:p>
    <w:p w14:paraId="67DF14E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אַךְ־כָּל־חֵ֡רֶם אֲשֶׁ֣ר יַחֲרִם֩ אִ֨ישׁ לַֽיהוָ֜ה מִכָּל־אֲשֶׁר־לוֹ֗ מֵאָדָ֤ם וּבְהֵמָה֙ וּמִשְּׂדֵ֣ה אֲחֻזָּתוֹ֔ לֹ֥א יִמָּכֵ֖ר וְלֹ֣א יִגָּאֵ֑ל כָּל־חֵ֕רֶם קֹֽדֶשׁ־קָֽדָשִׁ֥ים ה֖וּא לַיהוָֽה׃</w:t>
      </w:r>
    </w:p>
    <w:p w14:paraId="7432AD1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Doch alles Gebannte, </w:t>
      </w:r>
      <w:proofErr w:type="spellStart"/>
      <w:r w:rsidRPr="00CC6F7E">
        <w:rPr>
          <w:rFonts w:eastAsia="Times New Roman" w:cs="Times New Roman"/>
          <w:lang w:eastAsia="de-DE"/>
        </w:rPr>
        <w:t>das</w:t>
      </w:r>
      <w:proofErr w:type="spellEnd"/>
      <w:r w:rsidRPr="00CC6F7E">
        <w:rPr>
          <w:rFonts w:eastAsia="Times New Roman" w:cs="Times New Roman"/>
          <w:lang w:eastAsia="de-DE"/>
        </w:rPr>
        <w:t xml:space="preserve"> jemand dem Ewigen bannt von allem, was sein ist, es sei Mensch oder Vieh oder Feld seines Eigentums, soll nicht verkauft und nicht gelöst werden; alles Gebannte ist dem Ewigen hochheilig.</w:t>
      </w:r>
    </w:p>
    <w:p w14:paraId="5727A99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B8B78E1">
          <v:rect id="_x0000_i1877" style="width:0;height:1.5pt" o:hralign="center" o:hrstd="t" o:hr="t" fillcolor="#a0a0a0" stroked="f"/>
        </w:pict>
      </w:r>
    </w:p>
    <w:p w14:paraId="27A1FC7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אך־כל־חרם אשר יחרים איש ליהוה מכל־אשר־לו מאדם ובהמה ומשדה אחזתו לא ימכר ולא יגאל כל־חרם קדש־קדשים הוא ליהוה</w:t>
      </w:r>
      <w:r w:rsidRPr="00CC6F7E">
        <w:rPr>
          <w:rFonts w:eastAsia="Times New Roman" w:cs="Times New Roman"/>
          <w:rtl/>
          <w:lang w:eastAsia="de-DE"/>
        </w:rPr>
        <w:t xml:space="preserve"> </w:t>
      </w:r>
      <w:r w:rsidRPr="00CC6F7E">
        <w:rPr>
          <w:rFonts w:eastAsia="Times New Roman" w:cs="Times New Roman"/>
          <w:lang w:eastAsia="de-DE"/>
        </w:rPr>
        <w:t xml:space="preserve">führt das </w:t>
      </w:r>
      <w:r w:rsidRPr="00CC6F7E">
        <w:rPr>
          <w:rFonts w:eastAsia="Times New Roman" w:cs="Times New Roman"/>
          <w:b/>
          <w:bCs/>
          <w:rtl/>
          <w:lang w:eastAsia="de-DE"/>
        </w:rPr>
        <w:t>חרם</w:t>
      </w:r>
      <w:r w:rsidRPr="00CC6F7E">
        <w:rPr>
          <w:rFonts w:eastAsia="Times New Roman" w:cs="Times New Roman"/>
          <w:lang w:eastAsia="de-DE"/>
        </w:rPr>
        <w:t xml:space="preserve">-System ein als höchste Weihstufe. </w:t>
      </w:r>
      <w:r w:rsidRPr="00CC6F7E">
        <w:rPr>
          <w:rFonts w:eastAsia="Times New Roman" w:cs="Times New Roman"/>
          <w:b/>
          <w:bCs/>
          <w:rtl/>
          <w:lang w:eastAsia="de-DE"/>
        </w:rPr>
        <w:t>אך־כל־חרם אשר יחרים איש ליהוה</w:t>
      </w:r>
      <w:r w:rsidRPr="00CC6F7E">
        <w:rPr>
          <w:rFonts w:eastAsia="Times New Roman" w:cs="Times New Roman"/>
          <w:rtl/>
          <w:lang w:eastAsia="de-DE"/>
        </w:rPr>
        <w:t xml:space="preserve"> </w:t>
      </w:r>
      <w:r w:rsidRPr="00CC6F7E">
        <w:rPr>
          <w:rFonts w:eastAsia="Times New Roman" w:cs="Times New Roman"/>
          <w:lang w:eastAsia="de-DE"/>
        </w:rPr>
        <w:t xml:space="preserve">(doch alles Gebannte, </w:t>
      </w:r>
      <w:proofErr w:type="spellStart"/>
      <w:r w:rsidRPr="00CC6F7E">
        <w:rPr>
          <w:rFonts w:eastAsia="Times New Roman" w:cs="Times New Roman"/>
          <w:lang w:eastAsia="de-DE"/>
        </w:rPr>
        <w:t>das</w:t>
      </w:r>
      <w:proofErr w:type="spellEnd"/>
      <w:r w:rsidRPr="00CC6F7E">
        <w:rPr>
          <w:rFonts w:eastAsia="Times New Roman" w:cs="Times New Roman"/>
          <w:lang w:eastAsia="de-DE"/>
        </w:rPr>
        <w:t xml:space="preserve"> jemand dem Ewigen bannt) - </w:t>
      </w:r>
      <w:r w:rsidRPr="00CC6F7E">
        <w:rPr>
          <w:rFonts w:eastAsia="Times New Roman" w:cs="Times New Roman"/>
          <w:b/>
          <w:bCs/>
          <w:rtl/>
          <w:lang w:eastAsia="de-DE"/>
        </w:rPr>
        <w:t>אך</w:t>
      </w:r>
      <w:r w:rsidRPr="00CC6F7E">
        <w:rPr>
          <w:rFonts w:eastAsia="Times New Roman" w:cs="Times New Roman"/>
          <w:rtl/>
          <w:lang w:eastAsia="de-DE"/>
        </w:rPr>
        <w:t xml:space="preserve"> </w:t>
      </w:r>
      <w:r w:rsidRPr="00CC6F7E">
        <w:rPr>
          <w:rFonts w:eastAsia="Times New Roman" w:cs="Times New Roman"/>
          <w:lang w:eastAsia="de-DE"/>
        </w:rPr>
        <w:t xml:space="preserve">(doch/jedoch) zeigt neue Kategorie. </w:t>
      </w:r>
      <w:r w:rsidRPr="00CC6F7E">
        <w:rPr>
          <w:rFonts w:eastAsia="Times New Roman" w:cs="Times New Roman"/>
          <w:b/>
          <w:bCs/>
          <w:rtl/>
          <w:lang w:eastAsia="de-DE"/>
        </w:rPr>
        <w:t>כל־חרם</w:t>
      </w:r>
      <w:r w:rsidRPr="00CC6F7E">
        <w:rPr>
          <w:rFonts w:eastAsia="Times New Roman" w:cs="Times New Roman"/>
          <w:rtl/>
          <w:lang w:eastAsia="de-DE"/>
        </w:rPr>
        <w:t xml:space="preserve"> </w:t>
      </w:r>
      <w:r w:rsidRPr="00CC6F7E">
        <w:rPr>
          <w:rFonts w:eastAsia="Times New Roman" w:cs="Times New Roman"/>
          <w:lang w:eastAsia="de-DE"/>
        </w:rPr>
        <w:t xml:space="preserve">(alles Gebannte) von </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 xml:space="preserve">(Bann) zeigt totale Weihe. </w:t>
      </w:r>
      <w:r w:rsidRPr="00CC6F7E">
        <w:rPr>
          <w:rFonts w:eastAsia="Times New Roman" w:cs="Times New Roman"/>
          <w:b/>
          <w:bCs/>
          <w:rtl/>
          <w:lang w:eastAsia="de-DE"/>
        </w:rPr>
        <w:t>יחרים</w:t>
      </w:r>
      <w:r w:rsidRPr="00CC6F7E">
        <w:rPr>
          <w:rFonts w:eastAsia="Times New Roman" w:cs="Times New Roman"/>
          <w:rtl/>
          <w:lang w:eastAsia="de-DE"/>
        </w:rPr>
        <w:t xml:space="preserve"> </w:t>
      </w:r>
      <w:r w:rsidRPr="00CC6F7E">
        <w:rPr>
          <w:rFonts w:eastAsia="Times New Roman" w:cs="Times New Roman"/>
          <w:lang w:eastAsia="de-DE"/>
        </w:rPr>
        <w:t xml:space="preserve">(bannt) im Hifil-Imperfekt zeigt aktive </w:t>
      </w:r>
      <w:r w:rsidRPr="00CC6F7E">
        <w:rPr>
          <w:rFonts w:eastAsia="Times New Roman" w:cs="Times New Roman"/>
          <w:b/>
          <w:bCs/>
          <w:rtl/>
          <w:lang w:eastAsia="de-DE"/>
        </w:rPr>
        <w:t>חרם</w:t>
      </w:r>
      <w:r w:rsidRPr="00CC6F7E">
        <w:rPr>
          <w:rFonts w:eastAsia="Times New Roman" w:cs="Times New Roman"/>
          <w:lang w:eastAsia="de-DE"/>
        </w:rPr>
        <w:t>-Handlung.</w:t>
      </w:r>
    </w:p>
    <w:p w14:paraId="0C5F4FA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מכל־אשר־לו מאדם ובהמה ומשדה אחזתו</w:t>
      </w:r>
      <w:r w:rsidRPr="00CC6F7E">
        <w:rPr>
          <w:rFonts w:eastAsia="Times New Roman" w:cs="Times New Roman"/>
          <w:rtl/>
          <w:lang w:eastAsia="de-DE"/>
        </w:rPr>
        <w:t xml:space="preserve"> </w:t>
      </w:r>
      <w:r w:rsidRPr="00CC6F7E">
        <w:rPr>
          <w:rFonts w:eastAsia="Times New Roman" w:cs="Times New Roman"/>
          <w:lang w:eastAsia="de-DE"/>
        </w:rPr>
        <w:t xml:space="preserve">(von allem, was sein ist, es sei Mensch oder Vieh oder Feld seines Eigentums) zeigt drei </w:t>
      </w:r>
      <w:r w:rsidRPr="00CC6F7E">
        <w:rPr>
          <w:rFonts w:eastAsia="Times New Roman" w:cs="Times New Roman"/>
          <w:b/>
          <w:bCs/>
          <w:rtl/>
          <w:lang w:eastAsia="de-DE"/>
        </w:rPr>
        <w:t>חרם</w:t>
      </w:r>
      <w:r w:rsidRPr="00CC6F7E">
        <w:rPr>
          <w:rFonts w:eastAsia="Times New Roman" w:cs="Times New Roman"/>
          <w:lang w:eastAsia="de-DE"/>
        </w:rPr>
        <w:t xml:space="preserve">-Objekte: </w:t>
      </w:r>
      <w:r w:rsidRPr="00CC6F7E">
        <w:rPr>
          <w:rFonts w:eastAsia="Times New Roman" w:cs="Times New Roman"/>
          <w:b/>
          <w:bCs/>
          <w:rtl/>
          <w:lang w:eastAsia="de-DE"/>
        </w:rPr>
        <w:t>מאדם</w:t>
      </w:r>
      <w:r w:rsidRPr="00CC6F7E">
        <w:rPr>
          <w:rFonts w:eastAsia="Times New Roman" w:cs="Times New Roman"/>
          <w:rtl/>
          <w:lang w:eastAsia="de-DE"/>
        </w:rPr>
        <w:t xml:space="preserve"> </w:t>
      </w:r>
      <w:r w:rsidRPr="00CC6F7E">
        <w:rPr>
          <w:rFonts w:eastAsia="Times New Roman" w:cs="Times New Roman"/>
          <w:lang w:eastAsia="de-DE"/>
        </w:rPr>
        <w:t xml:space="preserve">(Menschen), </w:t>
      </w:r>
      <w:r w:rsidRPr="00CC6F7E">
        <w:rPr>
          <w:rFonts w:eastAsia="Times New Roman" w:cs="Times New Roman"/>
          <w:b/>
          <w:bCs/>
          <w:rtl/>
          <w:lang w:eastAsia="de-DE"/>
        </w:rPr>
        <w:t>ובהמה</w:t>
      </w:r>
      <w:r w:rsidRPr="00CC6F7E">
        <w:rPr>
          <w:rFonts w:eastAsia="Times New Roman" w:cs="Times New Roman"/>
          <w:rtl/>
          <w:lang w:eastAsia="de-DE"/>
        </w:rPr>
        <w:t xml:space="preserve"> </w:t>
      </w:r>
      <w:r w:rsidRPr="00CC6F7E">
        <w:rPr>
          <w:rFonts w:eastAsia="Times New Roman" w:cs="Times New Roman"/>
          <w:lang w:eastAsia="de-DE"/>
        </w:rPr>
        <w:t xml:space="preserve">(Vieh), </w:t>
      </w:r>
      <w:r w:rsidRPr="00CC6F7E">
        <w:rPr>
          <w:rFonts w:eastAsia="Times New Roman" w:cs="Times New Roman"/>
          <w:b/>
          <w:bCs/>
          <w:rtl/>
          <w:lang w:eastAsia="de-DE"/>
        </w:rPr>
        <w:t>ומשדה אחזתו</w:t>
      </w:r>
      <w:r w:rsidRPr="00CC6F7E">
        <w:rPr>
          <w:rFonts w:eastAsia="Times New Roman" w:cs="Times New Roman"/>
          <w:rtl/>
          <w:lang w:eastAsia="de-DE"/>
        </w:rPr>
        <w:t xml:space="preserve"> </w:t>
      </w:r>
      <w:r w:rsidRPr="00CC6F7E">
        <w:rPr>
          <w:rFonts w:eastAsia="Times New Roman" w:cs="Times New Roman"/>
          <w:lang w:eastAsia="de-DE"/>
        </w:rPr>
        <w:t xml:space="preserve">(Feld seines Eigentums). </w:t>
      </w:r>
      <w:r w:rsidRPr="00CC6F7E">
        <w:rPr>
          <w:rFonts w:eastAsia="Times New Roman" w:cs="Times New Roman"/>
          <w:b/>
          <w:bCs/>
          <w:rtl/>
          <w:lang w:eastAsia="de-DE"/>
        </w:rPr>
        <w:t>מאדם</w:t>
      </w:r>
      <w:r w:rsidRPr="00CC6F7E">
        <w:rPr>
          <w:rFonts w:eastAsia="Times New Roman" w:cs="Times New Roman"/>
          <w:rtl/>
          <w:lang w:eastAsia="de-DE"/>
        </w:rPr>
        <w:t xml:space="preserve"> </w:t>
      </w:r>
      <w:r w:rsidRPr="00CC6F7E">
        <w:rPr>
          <w:rFonts w:eastAsia="Times New Roman" w:cs="Times New Roman"/>
          <w:lang w:eastAsia="de-DE"/>
        </w:rPr>
        <w:t>ist besonders problematisch.</w:t>
      </w:r>
    </w:p>
    <w:p w14:paraId="3F806F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ימכר ולא יגאל</w:t>
      </w:r>
      <w:r w:rsidRPr="00CC6F7E">
        <w:rPr>
          <w:rFonts w:eastAsia="Times New Roman" w:cs="Times New Roman"/>
          <w:rtl/>
          <w:lang w:eastAsia="de-DE"/>
        </w:rPr>
        <w:t xml:space="preserve"> </w:t>
      </w:r>
      <w:r w:rsidRPr="00CC6F7E">
        <w:rPr>
          <w:rFonts w:eastAsia="Times New Roman" w:cs="Times New Roman"/>
          <w:lang w:eastAsia="de-DE"/>
        </w:rPr>
        <w:t xml:space="preserve">(soll nicht verkauft und nicht gelöst werden) zeigt absolute Unveräußerlichkeit - </w:t>
      </w:r>
      <w:r w:rsidRPr="00CC6F7E">
        <w:rPr>
          <w:rFonts w:eastAsia="Times New Roman" w:cs="Times New Roman"/>
          <w:b/>
          <w:bCs/>
          <w:rtl/>
          <w:lang w:eastAsia="de-DE"/>
        </w:rPr>
        <w:t>לא ימכר</w:t>
      </w:r>
      <w:r w:rsidRPr="00CC6F7E">
        <w:rPr>
          <w:rFonts w:eastAsia="Times New Roman" w:cs="Times New Roman"/>
          <w:rtl/>
          <w:lang w:eastAsia="de-DE"/>
        </w:rPr>
        <w:t xml:space="preserve"> </w:t>
      </w:r>
      <w:r w:rsidRPr="00CC6F7E">
        <w:rPr>
          <w:rFonts w:eastAsia="Times New Roman" w:cs="Times New Roman"/>
          <w:lang w:eastAsia="de-DE"/>
        </w:rPr>
        <w:t xml:space="preserve">(nicht verkauft) und </w:t>
      </w:r>
      <w:r w:rsidRPr="00CC6F7E">
        <w:rPr>
          <w:rFonts w:eastAsia="Times New Roman" w:cs="Times New Roman"/>
          <w:b/>
          <w:bCs/>
          <w:rtl/>
          <w:lang w:eastAsia="de-DE"/>
        </w:rPr>
        <w:t>לא יגאל</w:t>
      </w:r>
      <w:r w:rsidRPr="00CC6F7E">
        <w:rPr>
          <w:rFonts w:eastAsia="Times New Roman" w:cs="Times New Roman"/>
          <w:rtl/>
          <w:lang w:eastAsia="de-DE"/>
        </w:rPr>
        <w:t xml:space="preserve"> </w:t>
      </w:r>
      <w:r w:rsidRPr="00CC6F7E">
        <w:rPr>
          <w:rFonts w:eastAsia="Times New Roman" w:cs="Times New Roman"/>
          <w:lang w:eastAsia="de-DE"/>
        </w:rPr>
        <w:t xml:space="preserve">(nicht gelöst) schließen beide Optionen aus. </w:t>
      </w:r>
      <w:r w:rsidRPr="00CC6F7E">
        <w:rPr>
          <w:rFonts w:eastAsia="Times New Roman" w:cs="Times New Roman"/>
          <w:b/>
          <w:bCs/>
          <w:rtl/>
          <w:lang w:eastAsia="de-DE"/>
        </w:rPr>
        <w:t>כל־חרם קדש־קדשים הוא ליהוה</w:t>
      </w:r>
      <w:r w:rsidRPr="00CC6F7E">
        <w:rPr>
          <w:rFonts w:eastAsia="Times New Roman" w:cs="Times New Roman"/>
          <w:rtl/>
          <w:lang w:eastAsia="de-DE"/>
        </w:rPr>
        <w:t xml:space="preserve"> </w:t>
      </w:r>
      <w:r w:rsidRPr="00CC6F7E">
        <w:rPr>
          <w:rFonts w:eastAsia="Times New Roman" w:cs="Times New Roman"/>
          <w:lang w:eastAsia="de-DE"/>
        </w:rPr>
        <w:t xml:space="preserve">(alles Gebannte ist dem Ewigen hochheilig) - </w:t>
      </w:r>
      <w:r w:rsidRPr="00CC6F7E">
        <w:rPr>
          <w:rFonts w:eastAsia="Times New Roman" w:cs="Times New Roman"/>
          <w:b/>
          <w:bCs/>
          <w:rtl/>
          <w:lang w:eastAsia="de-DE"/>
        </w:rPr>
        <w:t>קדש־קדשים</w:t>
      </w:r>
      <w:r w:rsidRPr="00CC6F7E">
        <w:rPr>
          <w:rFonts w:eastAsia="Times New Roman" w:cs="Times New Roman"/>
          <w:rtl/>
          <w:lang w:eastAsia="de-DE"/>
        </w:rPr>
        <w:t xml:space="preserve"> </w:t>
      </w:r>
      <w:r w:rsidRPr="00CC6F7E">
        <w:rPr>
          <w:rFonts w:eastAsia="Times New Roman" w:cs="Times New Roman"/>
          <w:lang w:eastAsia="de-DE"/>
        </w:rPr>
        <w:t>zeigt höchste Heiligkeitsstufe.</w:t>
      </w:r>
    </w:p>
    <w:p w14:paraId="3D47F7F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 xml:space="preserve">zeigt höchste, unwiderrufliche Weihstufe. </w:t>
      </w:r>
      <w:r w:rsidRPr="00CC6F7E">
        <w:rPr>
          <w:rFonts w:eastAsia="Times New Roman" w:cs="Times New Roman"/>
          <w:b/>
          <w:bCs/>
          <w:rtl/>
          <w:lang w:eastAsia="de-DE"/>
        </w:rPr>
        <w:t>מאדם ובהמה ומשדה אחזתו</w:t>
      </w:r>
      <w:r w:rsidRPr="00CC6F7E">
        <w:rPr>
          <w:rFonts w:eastAsia="Times New Roman" w:cs="Times New Roman"/>
          <w:rtl/>
          <w:lang w:eastAsia="de-DE"/>
        </w:rPr>
        <w:t xml:space="preserve"> </w:t>
      </w:r>
      <w:r w:rsidRPr="00CC6F7E">
        <w:rPr>
          <w:rFonts w:eastAsia="Times New Roman" w:cs="Times New Roman"/>
          <w:lang w:eastAsia="de-DE"/>
        </w:rPr>
        <w:t xml:space="preserve">zeigt umfassende </w:t>
      </w:r>
      <w:r w:rsidRPr="00CC6F7E">
        <w:rPr>
          <w:rFonts w:eastAsia="Times New Roman" w:cs="Times New Roman"/>
          <w:b/>
          <w:bCs/>
          <w:rtl/>
          <w:lang w:eastAsia="de-DE"/>
        </w:rPr>
        <w:t>חרם</w:t>
      </w:r>
      <w:r w:rsidRPr="00CC6F7E">
        <w:rPr>
          <w:rFonts w:eastAsia="Times New Roman" w:cs="Times New Roman"/>
          <w:lang w:eastAsia="de-DE"/>
        </w:rPr>
        <w:t xml:space="preserve">-Objekte. </w:t>
      </w:r>
      <w:r w:rsidRPr="00CC6F7E">
        <w:rPr>
          <w:rFonts w:eastAsia="Times New Roman" w:cs="Times New Roman"/>
          <w:b/>
          <w:bCs/>
          <w:rtl/>
          <w:lang w:eastAsia="de-DE"/>
        </w:rPr>
        <w:t>לא ימכר ולא יגאל</w:t>
      </w:r>
      <w:r w:rsidRPr="00CC6F7E">
        <w:rPr>
          <w:rFonts w:eastAsia="Times New Roman" w:cs="Times New Roman"/>
          <w:rtl/>
          <w:lang w:eastAsia="de-DE"/>
        </w:rPr>
        <w:t xml:space="preserve"> </w:t>
      </w:r>
      <w:r w:rsidRPr="00CC6F7E">
        <w:rPr>
          <w:rFonts w:eastAsia="Times New Roman" w:cs="Times New Roman"/>
          <w:lang w:eastAsia="de-DE"/>
        </w:rPr>
        <w:t xml:space="preserve">zeigt absolute Unveräußerlichkeit. </w:t>
      </w:r>
      <w:r w:rsidRPr="00CC6F7E">
        <w:rPr>
          <w:rFonts w:eastAsia="Times New Roman" w:cs="Times New Roman"/>
          <w:b/>
          <w:bCs/>
          <w:rtl/>
          <w:lang w:eastAsia="de-DE"/>
        </w:rPr>
        <w:t>קדש־קדשים</w:t>
      </w:r>
      <w:r w:rsidRPr="00CC6F7E">
        <w:rPr>
          <w:rFonts w:eastAsia="Times New Roman" w:cs="Times New Roman"/>
          <w:rtl/>
          <w:lang w:eastAsia="de-DE"/>
        </w:rPr>
        <w:t xml:space="preserve"> </w:t>
      </w:r>
      <w:r w:rsidRPr="00CC6F7E">
        <w:rPr>
          <w:rFonts w:eastAsia="Times New Roman" w:cs="Times New Roman"/>
          <w:lang w:eastAsia="de-DE"/>
        </w:rPr>
        <w:t>zeigt höchste Heiligkeit.</w:t>
      </w:r>
    </w:p>
    <w:p w14:paraId="0CFF9AB7" w14:textId="1C5DEE60"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übersetzt </w:t>
      </w:r>
      <w:r w:rsidR="00CC4574">
        <w:rPr>
          <w:rtl/>
        </w:rPr>
        <w:t>חרם</w:t>
      </w:r>
      <w:r w:rsidR="00CC4574">
        <w:t xml:space="preserve"> (</w:t>
      </w:r>
      <w:proofErr w:type="spellStart"/>
      <w:r w:rsidR="00CC4574">
        <w:t>cherem</w:t>
      </w:r>
      <w:proofErr w:type="spellEnd"/>
      <w:r w:rsidR="00CC4574">
        <w:t xml:space="preserve"> - "Bann") als ἀνάθεμα (Weihgabe/Verfluchung) und </w:t>
      </w:r>
      <w:r w:rsidR="00CC4574">
        <w:rPr>
          <w:rtl/>
        </w:rPr>
        <w:t>קדש־קדשים</w:t>
      </w:r>
      <w:r w:rsidR="00CC4574">
        <w:t xml:space="preserve"> (</w:t>
      </w:r>
      <w:proofErr w:type="spellStart"/>
      <w:r w:rsidR="00CC4574">
        <w:t>qodesh-qodashim</w:t>
      </w:r>
      <w:proofErr w:type="spellEnd"/>
      <w:r w:rsidR="00CC4574">
        <w:t xml:space="preserve"> - "Allerheiligstes") als </w:t>
      </w:r>
      <w:proofErr w:type="spellStart"/>
      <w:r w:rsidR="00CC4574">
        <w:t>ἅγιον</w:t>
      </w:r>
      <w:proofErr w:type="spellEnd"/>
      <w:r w:rsidR="00CC4574">
        <w:t xml:space="preserve"> </w:t>
      </w:r>
      <w:proofErr w:type="spellStart"/>
      <w:r w:rsidR="00CC4574">
        <w:t>ἁγίων</w:t>
      </w:r>
      <w:proofErr w:type="spellEnd"/>
      <w:r w:rsidR="00CC4574">
        <w:t xml:space="preserve"> (Heiligstes der Heiligen).</w:t>
      </w:r>
    </w:p>
    <w:p w14:paraId="44DF20D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w:t>
      </w:r>
      <w:r w:rsidRPr="00CC6F7E">
        <w:rPr>
          <w:rFonts w:eastAsia="Times New Roman" w:cs="Times New Roman"/>
          <w:b/>
          <w:bCs/>
          <w:rtl/>
          <w:lang w:eastAsia="de-DE"/>
        </w:rPr>
        <w:t>חרם</w:t>
      </w:r>
      <w:r w:rsidRPr="00CC6F7E">
        <w:rPr>
          <w:rFonts w:eastAsia="Times New Roman" w:cs="Times New Roman"/>
          <w:lang w:eastAsia="de-DE"/>
        </w:rPr>
        <w:t>-System: alles Gebannte das Mann JHWH bannt + von allem was sein ist + Mensch, Vieh, Erbfeld + nicht verkauft nicht gelöst + alles Gebannte hochheilig JHWH.</w:t>
      </w:r>
    </w:p>
    <w:p w14:paraId="3EFCBBF1"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Dieser Vers etabliert </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als höchste, unwiderrufliche Weihstufe für Menschen, Tiere und Erbfelder.</w:t>
      </w:r>
    </w:p>
    <w:p w14:paraId="00C2D77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27,29</w:t>
      </w:r>
    </w:p>
    <w:p w14:paraId="4DD155B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כָּל־חֵ֗רֶם אֲשֶׁ֧ר יָחֳרַ֛ם מִן־הָאָדָ֖ם לֹ֣א יִפָּדֶ֑ה מ֖וֹת יוּמָֽת׃</w:t>
      </w:r>
    </w:p>
    <w:p w14:paraId="72D2F52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Alles Gebannte, das vom Menschen gebannt wird, soll nicht gelöst werden: es soll gewiss getötet werden.</w:t>
      </w:r>
    </w:p>
    <w:p w14:paraId="22138EAB"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40A92130">
          <v:rect id="_x0000_i1878" style="width:0;height:1.5pt" o:hralign="center" o:hrstd="t" o:hr="t" fillcolor="#a0a0a0" stroked="f"/>
        </w:pict>
      </w:r>
    </w:p>
    <w:p w14:paraId="6355044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Kommentar:</w:t>
      </w:r>
      <w:r w:rsidRPr="00CC6F7E">
        <w:rPr>
          <w:rFonts w:eastAsia="Times New Roman" w:cs="Times New Roman"/>
          <w:lang w:eastAsia="de-DE"/>
        </w:rPr>
        <w:t xml:space="preserve"> </w:t>
      </w:r>
      <w:r w:rsidRPr="00CC6F7E">
        <w:rPr>
          <w:rFonts w:eastAsia="Times New Roman" w:cs="Times New Roman"/>
          <w:b/>
          <w:bCs/>
          <w:rtl/>
          <w:lang w:eastAsia="de-DE"/>
        </w:rPr>
        <w:t>כל־חרם אשר יחרם מן־האדם לא יפדה מות יומת</w:t>
      </w:r>
      <w:r w:rsidRPr="00CC6F7E">
        <w:rPr>
          <w:rFonts w:eastAsia="Times New Roman" w:cs="Times New Roman"/>
          <w:rtl/>
          <w:lang w:eastAsia="de-DE"/>
        </w:rPr>
        <w:t xml:space="preserve"> </w:t>
      </w:r>
      <w:r w:rsidRPr="00CC6F7E">
        <w:rPr>
          <w:rFonts w:eastAsia="Times New Roman" w:cs="Times New Roman"/>
          <w:lang w:eastAsia="de-DE"/>
        </w:rPr>
        <w:t xml:space="preserve">zeigt die drastischste Konsequenz des </w:t>
      </w:r>
      <w:r w:rsidRPr="00CC6F7E">
        <w:rPr>
          <w:rFonts w:eastAsia="Times New Roman" w:cs="Times New Roman"/>
          <w:b/>
          <w:bCs/>
          <w:rtl/>
          <w:lang w:eastAsia="de-DE"/>
        </w:rPr>
        <w:t>חרם</w:t>
      </w:r>
      <w:r w:rsidRPr="00CC6F7E">
        <w:rPr>
          <w:rFonts w:eastAsia="Times New Roman" w:cs="Times New Roman"/>
          <w:lang w:eastAsia="de-DE"/>
        </w:rPr>
        <w:t xml:space="preserve">-Systems. </w:t>
      </w:r>
      <w:r w:rsidRPr="00CC6F7E">
        <w:rPr>
          <w:rFonts w:eastAsia="Times New Roman" w:cs="Times New Roman"/>
          <w:b/>
          <w:bCs/>
          <w:rtl/>
          <w:lang w:eastAsia="de-DE"/>
        </w:rPr>
        <w:t>כל־חרם אשר יחרם מן־האדם</w:t>
      </w:r>
      <w:r w:rsidRPr="00CC6F7E">
        <w:rPr>
          <w:rFonts w:eastAsia="Times New Roman" w:cs="Times New Roman"/>
          <w:rtl/>
          <w:lang w:eastAsia="de-DE"/>
        </w:rPr>
        <w:t xml:space="preserve"> </w:t>
      </w:r>
      <w:r w:rsidRPr="00CC6F7E">
        <w:rPr>
          <w:rFonts w:eastAsia="Times New Roman" w:cs="Times New Roman"/>
          <w:lang w:eastAsia="de-DE"/>
        </w:rPr>
        <w:t xml:space="preserve">(alles Gebannte, das vom Menschen gebannt wird) - </w:t>
      </w:r>
      <w:r w:rsidRPr="00CC6F7E">
        <w:rPr>
          <w:rFonts w:eastAsia="Times New Roman" w:cs="Times New Roman"/>
          <w:b/>
          <w:bCs/>
          <w:rtl/>
          <w:lang w:eastAsia="de-DE"/>
        </w:rPr>
        <w:t>מן־האדם</w:t>
      </w:r>
      <w:r w:rsidRPr="00CC6F7E">
        <w:rPr>
          <w:rFonts w:eastAsia="Times New Roman" w:cs="Times New Roman"/>
          <w:rtl/>
          <w:lang w:eastAsia="de-DE"/>
        </w:rPr>
        <w:t xml:space="preserve"> </w:t>
      </w:r>
      <w:r w:rsidRPr="00CC6F7E">
        <w:rPr>
          <w:rFonts w:eastAsia="Times New Roman" w:cs="Times New Roman"/>
          <w:lang w:eastAsia="de-DE"/>
        </w:rPr>
        <w:t xml:space="preserve">(vom Menschen) kann zwei Bedeutungen haben: 1) Menschen, die dem </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 xml:space="preserve">geweiht werden, oder 2) </w:t>
      </w:r>
      <w:r w:rsidRPr="00CC6F7E">
        <w:rPr>
          <w:rFonts w:eastAsia="Times New Roman" w:cs="Times New Roman"/>
          <w:b/>
          <w:bCs/>
          <w:rtl/>
          <w:lang w:eastAsia="de-DE"/>
        </w:rPr>
        <w:t>חרם</w:t>
      </w:r>
      <w:r w:rsidRPr="00CC6F7E">
        <w:rPr>
          <w:rFonts w:eastAsia="Times New Roman" w:cs="Times New Roman"/>
          <w:lang w:eastAsia="de-DE"/>
        </w:rPr>
        <w:t xml:space="preserve">, das von Menschen ausgesprochen wird (im Gegensatz zu göttlichem </w:t>
      </w:r>
      <w:r w:rsidRPr="00CC6F7E">
        <w:rPr>
          <w:rFonts w:eastAsia="Times New Roman" w:cs="Times New Roman"/>
          <w:b/>
          <w:bCs/>
          <w:rtl/>
          <w:lang w:eastAsia="de-DE"/>
        </w:rPr>
        <w:t>חרם</w:t>
      </w:r>
      <w:r w:rsidRPr="00CC6F7E">
        <w:rPr>
          <w:rFonts w:eastAsia="Times New Roman" w:cs="Times New Roman"/>
          <w:lang w:eastAsia="de-DE"/>
        </w:rPr>
        <w:t>).</w:t>
      </w:r>
    </w:p>
    <w:p w14:paraId="4F91B63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יפדה</w:t>
      </w:r>
      <w:r w:rsidRPr="00CC6F7E">
        <w:rPr>
          <w:rFonts w:eastAsia="Times New Roman" w:cs="Times New Roman"/>
          <w:rtl/>
          <w:lang w:eastAsia="de-DE"/>
        </w:rPr>
        <w:t xml:space="preserve"> </w:t>
      </w:r>
      <w:r w:rsidRPr="00CC6F7E">
        <w:rPr>
          <w:rFonts w:eastAsia="Times New Roman" w:cs="Times New Roman"/>
          <w:lang w:eastAsia="de-DE"/>
        </w:rPr>
        <w:t xml:space="preserve">(soll nicht gelöst werden) im Nifal-Imperfekt von </w:t>
      </w:r>
      <w:r w:rsidRPr="00CC6F7E">
        <w:rPr>
          <w:rFonts w:eastAsia="Times New Roman" w:cs="Times New Roman"/>
          <w:b/>
          <w:bCs/>
          <w:rtl/>
          <w:lang w:eastAsia="de-DE"/>
        </w:rPr>
        <w:t>פדה</w:t>
      </w:r>
      <w:r w:rsidRPr="00CC6F7E">
        <w:rPr>
          <w:rFonts w:eastAsia="Times New Roman" w:cs="Times New Roman"/>
          <w:rtl/>
          <w:lang w:eastAsia="de-DE"/>
        </w:rPr>
        <w:t xml:space="preserve"> </w:t>
      </w:r>
      <w:r w:rsidRPr="00CC6F7E">
        <w:rPr>
          <w:rFonts w:eastAsia="Times New Roman" w:cs="Times New Roman"/>
          <w:lang w:eastAsia="de-DE"/>
        </w:rPr>
        <w:t xml:space="preserve">zeigt absolute Unlösbarkeit.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(es soll gewiss getötet werden) -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(töten getötet werden) zeigt emphatische Wiederholung mit Hophal-Imperfekt </w:t>
      </w:r>
      <w:r w:rsidRPr="00CC6F7E">
        <w:rPr>
          <w:rFonts w:eastAsia="Times New Roman" w:cs="Times New Roman"/>
          <w:b/>
          <w:bCs/>
          <w:rtl/>
          <w:lang w:eastAsia="de-DE"/>
        </w:rPr>
        <w:t>יומת</w:t>
      </w:r>
      <w:r w:rsidRPr="00CC6F7E">
        <w:rPr>
          <w:rFonts w:eastAsia="Times New Roman" w:cs="Times New Roman"/>
          <w:rtl/>
          <w:lang w:eastAsia="de-DE"/>
        </w:rPr>
        <w:t xml:space="preserve"> </w:t>
      </w:r>
      <w:r w:rsidRPr="00CC6F7E">
        <w:rPr>
          <w:rFonts w:eastAsia="Times New Roman" w:cs="Times New Roman"/>
          <w:lang w:eastAsia="de-DE"/>
        </w:rPr>
        <w:t xml:space="preserve">(soll getötet werden) - zeigt Todesstrafe als einzige </w:t>
      </w:r>
      <w:r w:rsidRPr="00CC6F7E">
        <w:rPr>
          <w:rFonts w:eastAsia="Times New Roman" w:cs="Times New Roman"/>
          <w:b/>
          <w:bCs/>
          <w:rtl/>
          <w:lang w:eastAsia="de-DE"/>
        </w:rPr>
        <w:t>חרם</w:t>
      </w:r>
      <w:r w:rsidRPr="00CC6F7E">
        <w:rPr>
          <w:rFonts w:eastAsia="Times New Roman" w:cs="Times New Roman"/>
          <w:lang w:eastAsia="de-DE"/>
        </w:rPr>
        <w:t>-Erfüllung.</w:t>
      </w:r>
    </w:p>
    <w:p w14:paraId="24082C1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Die Interpretation ist umstritten: Bezieht sich dies auf Menschen als </w:t>
      </w:r>
      <w:r w:rsidRPr="00CC6F7E">
        <w:rPr>
          <w:rFonts w:eastAsia="Times New Roman" w:cs="Times New Roman"/>
          <w:b/>
          <w:bCs/>
          <w:rtl/>
          <w:lang w:eastAsia="de-DE"/>
        </w:rPr>
        <w:t>חרם</w:t>
      </w:r>
      <w:r w:rsidRPr="00CC6F7E">
        <w:rPr>
          <w:rFonts w:eastAsia="Times New Roman" w:cs="Times New Roman"/>
          <w:lang w:eastAsia="de-DE"/>
        </w:rPr>
        <w:t xml:space="preserve">-Objekte oder auf Menschen als </w:t>
      </w:r>
      <w:r w:rsidRPr="00CC6F7E">
        <w:rPr>
          <w:rFonts w:eastAsia="Times New Roman" w:cs="Times New Roman"/>
          <w:b/>
          <w:bCs/>
          <w:rtl/>
          <w:lang w:eastAsia="de-DE"/>
        </w:rPr>
        <w:t>חרם</w:t>
      </w:r>
      <w:r w:rsidRPr="00CC6F7E">
        <w:rPr>
          <w:rFonts w:eastAsia="Times New Roman" w:cs="Times New Roman"/>
          <w:lang w:eastAsia="de-DE"/>
        </w:rPr>
        <w:t xml:space="preserve">-Urheber? Der Kontext von V. 28 </w:t>
      </w:r>
      <w:r w:rsidRPr="00CC6F7E">
        <w:rPr>
          <w:rFonts w:eastAsia="Times New Roman" w:cs="Times New Roman"/>
          <w:b/>
          <w:bCs/>
          <w:rtl/>
          <w:lang w:eastAsia="de-DE"/>
        </w:rPr>
        <w:t>מאדם</w:t>
      </w:r>
      <w:r w:rsidRPr="00CC6F7E">
        <w:rPr>
          <w:rFonts w:eastAsia="Times New Roman" w:cs="Times New Roman"/>
          <w:rtl/>
          <w:lang w:eastAsia="de-DE"/>
        </w:rPr>
        <w:t xml:space="preserve"> </w:t>
      </w:r>
      <w:r w:rsidRPr="00CC6F7E">
        <w:rPr>
          <w:rFonts w:eastAsia="Times New Roman" w:cs="Times New Roman"/>
          <w:lang w:eastAsia="de-DE"/>
        </w:rPr>
        <w:t xml:space="preserve">legt nahe: Menschen, die dem </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geweiht werden.</w:t>
      </w:r>
    </w:p>
    <w:p w14:paraId="688FDBC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כל־חרם...מן־האדם</w:t>
      </w:r>
      <w:r w:rsidRPr="00CC6F7E">
        <w:rPr>
          <w:rFonts w:eastAsia="Times New Roman" w:cs="Times New Roman"/>
          <w:rtl/>
          <w:lang w:eastAsia="de-DE"/>
        </w:rPr>
        <w:t xml:space="preserve"> </w:t>
      </w:r>
      <w:r w:rsidRPr="00CC6F7E">
        <w:rPr>
          <w:rFonts w:eastAsia="Times New Roman" w:cs="Times New Roman"/>
          <w:lang w:eastAsia="de-DE"/>
        </w:rPr>
        <w:t>zeigt Menschen-</w:t>
      </w:r>
      <w:r w:rsidRPr="00CC6F7E">
        <w:rPr>
          <w:rFonts w:eastAsia="Times New Roman" w:cs="Times New Roman"/>
          <w:b/>
          <w:bCs/>
          <w:rtl/>
          <w:lang w:eastAsia="de-DE"/>
        </w:rPr>
        <w:t>חרם</w:t>
      </w:r>
      <w:r w:rsidRPr="00CC6F7E">
        <w:rPr>
          <w:rFonts w:eastAsia="Times New Roman" w:cs="Times New Roman"/>
          <w:lang w:eastAsia="de-DE"/>
        </w:rPr>
        <w:t xml:space="preserve">. </w:t>
      </w:r>
      <w:r w:rsidRPr="00CC6F7E">
        <w:rPr>
          <w:rFonts w:eastAsia="Times New Roman" w:cs="Times New Roman"/>
          <w:b/>
          <w:bCs/>
          <w:rtl/>
          <w:lang w:eastAsia="de-DE"/>
        </w:rPr>
        <w:t>לא יפדה</w:t>
      </w:r>
      <w:r w:rsidRPr="00CC6F7E">
        <w:rPr>
          <w:rFonts w:eastAsia="Times New Roman" w:cs="Times New Roman"/>
          <w:rtl/>
          <w:lang w:eastAsia="de-DE"/>
        </w:rPr>
        <w:t xml:space="preserve"> </w:t>
      </w:r>
      <w:r w:rsidRPr="00CC6F7E">
        <w:rPr>
          <w:rFonts w:eastAsia="Times New Roman" w:cs="Times New Roman"/>
          <w:lang w:eastAsia="de-DE"/>
        </w:rPr>
        <w:t xml:space="preserve">zeigt absolute Unlösbarkeit. </w:t>
      </w:r>
      <w:r w:rsidRPr="00CC6F7E">
        <w:rPr>
          <w:rFonts w:eastAsia="Times New Roman" w:cs="Times New Roman"/>
          <w:b/>
          <w:bCs/>
          <w:rtl/>
          <w:lang w:eastAsia="de-DE"/>
        </w:rPr>
        <w:t>מות יומת</w:t>
      </w:r>
      <w:r w:rsidRPr="00CC6F7E">
        <w:rPr>
          <w:rFonts w:eastAsia="Times New Roman" w:cs="Times New Roman"/>
          <w:rtl/>
          <w:lang w:eastAsia="de-DE"/>
        </w:rPr>
        <w:t xml:space="preserve"> </w:t>
      </w:r>
      <w:r w:rsidRPr="00CC6F7E">
        <w:rPr>
          <w:rFonts w:eastAsia="Times New Roman" w:cs="Times New Roman"/>
          <w:lang w:eastAsia="de-DE"/>
        </w:rPr>
        <w:t xml:space="preserve">zeigt Todesstrafe als </w:t>
      </w:r>
      <w:r w:rsidRPr="00CC6F7E">
        <w:rPr>
          <w:rFonts w:eastAsia="Times New Roman" w:cs="Times New Roman"/>
          <w:b/>
          <w:bCs/>
          <w:rtl/>
          <w:lang w:eastAsia="de-DE"/>
        </w:rPr>
        <w:t>חרם</w:t>
      </w:r>
      <w:r w:rsidRPr="00CC6F7E">
        <w:rPr>
          <w:rFonts w:eastAsia="Times New Roman" w:cs="Times New Roman"/>
          <w:lang w:eastAsia="de-DE"/>
        </w:rPr>
        <w:t>-Vollzug.</w:t>
      </w:r>
    </w:p>
    <w:p w14:paraId="71EF12F8" w14:textId="51DA130D"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spezifiziert </w:t>
      </w:r>
      <w:r w:rsidR="00CC4574">
        <w:rPr>
          <w:rtl/>
        </w:rPr>
        <w:t>חרם אשר יחרם מן־האדם</w:t>
      </w:r>
      <w:r w:rsidR="00CC4574">
        <w:t xml:space="preserve"> (</w:t>
      </w:r>
      <w:proofErr w:type="spellStart"/>
      <w:r w:rsidR="00CC4574">
        <w:t>cherem</w:t>
      </w:r>
      <w:proofErr w:type="spellEnd"/>
      <w:r w:rsidR="00CC4574">
        <w:t xml:space="preserve"> asher </w:t>
      </w:r>
      <w:proofErr w:type="spellStart"/>
      <w:r w:rsidR="00CC4574">
        <w:t>yochoram</w:t>
      </w:r>
      <w:proofErr w:type="spellEnd"/>
      <w:r w:rsidR="00CC4574">
        <w:t xml:space="preserve"> min-</w:t>
      </w:r>
      <w:proofErr w:type="spellStart"/>
      <w:r w:rsidR="00CC4574">
        <w:t>ha'adam</w:t>
      </w:r>
      <w:proofErr w:type="spellEnd"/>
      <w:r w:rsidR="00CC4574">
        <w:t xml:space="preserve"> - "Bann, der vom Menschen gebannt wird") als π</w:t>
      </w:r>
      <w:proofErr w:type="spellStart"/>
      <w:r w:rsidR="00CC4574">
        <w:t>ᾶν</w:t>
      </w:r>
      <w:proofErr w:type="spellEnd"/>
      <w:r w:rsidR="00CC4574">
        <w:t xml:space="preserve">, ὃ </w:t>
      </w:r>
      <w:proofErr w:type="spellStart"/>
      <w:r w:rsidR="00CC4574">
        <w:t>ἂν</w:t>
      </w:r>
      <w:proofErr w:type="spellEnd"/>
      <w:r w:rsidR="00CC4574">
        <w:t xml:space="preserve"> </w:t>
      </w:r>
      <w:proofErr w:type="spellStart"/>
      <w:r w:rsidR="00CC4574">
        <w:t>ἀν</w:t>
      </w:r>
      <w:proofErr w:type="spellEnd"/>
      <w:r w:rsidR="00CC4574">
        <w:t xml:space="preserve">ατεθῇ ἀπὸ </w:t>
      </w:r>
      <w:proofErr w:type="spellStart"/>
      <w:r w:rsidR="00CC4574">
        <w:t>τῶν</w:t>
      </w:r>
      <w:proofErr w:type="spellEnd"/>
      <w:r w:rsidR="00CC4574">
        <w:t xml:space="preserve"> </w:t>
      </w:r>
      <w:proofErr w:type="spellStart"/>
      <w:r w:rsidR="00CC4574">
        <w:t>ἀνθρώ</w:t>
      </w:r>
      <w:proofErr w:type="spellEnd"/>
      <w:r w:rsidR="00CC4574">
        <w:t>πων (alles, was von den Menschen geweiht wird).</w:t>
      </w:r>
    </w:p>
    <w:p w14:paraId="7BB79E5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Menschen-</w:t>
      </w:r>
      <w:r w:rsidRPr="00CC6F7E">
        <w:rPr>
          <w:rFonts w:eastAsia="Times New Roman" w:cs="Times New Roman"/>
          <w:b/>
          <w:bCs/>
          <w:rtl/>
          <w:lang w:eastAsia="de-DE"/>
        </w:rPr>
        <w:t>חרם</w:t>
      </w:r>
      <w:r w:rsidRPr="00CC6F7E">
        <w:rPr>
          <w:rFonts w:eastAsia="Times New Roman" w:cs="Times New Roman"/>
          <w:lang w:eastAsia="de-DE"/>
        </w:rPr>
        <w:t>-Konsequenz: alles Gebannte das vom Menschen gebannt wird + soll nicht gelöst werden + töten getötet werden.</w:t>
      </w:r>
    </w:p>
    <w:p w14:paraId="4E425F5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die extreme Konsequenz: Menschen-</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führt unweigerlich zum Tod ohne Lösungsmöglichkeit.</w:t>
      </w:r>
    </w:p>
    <w:p w14:paraId="634FC665"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27,30</w:t>
      </w:r>
    </w:p>
    <w:p w14:paraId="067B095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וְכָל־מַעְשַׂ֨ר הָאָ֜רֶץ מִזֶּ֤רַע הָאָ֨רֶץ֙ מִפְּרִ֣י הָעֵ֔ץ לַיהוָ֖ה ה֑וּא קֹ֖דֶשׁ לַֽיהוָֽה׃</w:t>
      </w:r>
    </w:p>
    <w:p w14:paraId="39219FE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Und jeder Zehnte des Landes, vom Samen des Landes, von der Frucht der Bäume, gehört dem Ewigen; er ist dem Ewigen heilig.</w:t>
      </w:r>
    </w:p>
    <w:p w14:paraId="5A011AB7"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336AF2EC">
          <v:rect id="_x0000_i1879" style="width:0;height:1.5pt" o:hralign="center" o:hrstd="t" o:hr="t" fillcolor="#a0a0a0" stroked="f"/>
        </w:pict>
      </w:r>
    </w:p>
    <w:p w14:paraId="776AD397"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וכל־מעשר הארץ מזרע הארץ מפרי העץ ליהוה הוא קדש ליהוה</w:t>
      </w:r>
      <w:r w:rsidRPr="00CC6F7E">
        <w:rPr>
          <w:rFonts w:eastAsia="Times New Roman" w:cs="Times New Roman"/>
          <w:rtl/>
          <w:lang w:eastAsia="de-DE"/>
        </w:rPr>
        <w:t xml:space="preserve"> </w:t>
      </w:r>
      <w:r w:rsidRPr="00CC6F7E">
        <w:rPr>
          <w:rFonts w:eastAsia="Times New Roman" w:cs="Times New Roman"/>
          <w:lang w:eastAsia="de-DE"/>
        </w:rPr>
        <w:t xml:space="preserve">führt das Zehnten-System ein. </w:t>
      </w:r>
      <w:r w:rsidRPr="00CC6F7E">
        <w:rPr>
          <w:rFonts w:eastAsia="Times New Roman" w:cs="Times New Roman"/>
          <w:b/>
          <w:bCs/>
          <w:rtl/>
          <w:lang w:eastAsia="de-DE"/>
        </w:rPr>
        <w:t>וכל־מעשר הארץ</w:t>
      </w:r>
      <w:r w:rsidRPr="00CC6F7E">
        <w:rPr>
          <w:rFonts w:eastAsia="Times New Roman" w:cs="Times New Roman"/>
          <w:rtl/>
          <w:lang w:eastAsia="de-DE"/>
        </w:rPr>
        <w:t xml:space="preserve"> </w:t>
      </w:r>
      <w:r w:rsidRPr="00CC6F7E">
        <w:rPr>
          <w:rFonts w:eastAsia="Times New Roman" w:cs="Times New Roman"/>
          <w:lang w:eastAsia="de-DE"/>
        </w:rPr>
        <w:t xml:space="preserve">(und jeder Zehnte des Landes) - </w:t>
      </w:r>
      <w:r w:rsidRPr="00CC6F7E">
        <w:rPr>
          <w:rFonts w:eastAsia="Times New Roman" w:cs="Times New Roman"/>
          <w:b/>
          <w:bCs/>
          <w:rtl/>
          <w:lang w:eastAsia="de-DE"/>
        </w:rPr>
        <w:t>כל־מעשר</w:t>
      </w:r>
      <w:r w:rsidRPr="00CC6F7E">
        <w:rPr>
          <w:rFonts w:eastAsia="Times New Roman" w:cs="Times New Roman"/>
          <w:rtl/>
          <w:lang w:eastAsia="de-DE"/>
        </w:rPr>
        <w:t xml:space="preserve"> </w:t>
      </w:r>
      <w:r w:rsidRPr="00CC6F7E">
        <w:rPr>
          <w:rFonts w:eastAsia="Times New Roman" w:cs="Times New Roman"/>
          <w:lang w:eastAsia="de-DE"/>
        </w:rPr>
        <w:t xml:space="preserve">(jeder Zehnte) zeigt universelle 10%-Abgabe. </w:t>
      </w:r>
      <w:r w:rsidRPr="00CC6F7E">
        <w:rPr>
          <w:rFonts w:eastAsia="Times New Roman" w:cs="Times New Roman"/>
          <w:b/>
          <w:bCs/>
          <w:rtl/>
          <w:lang w:eastAsia="de-DE"/>
        </w:rPr>
        <w:t>הארץ</w:t>
      </w:r>
      <w:r w:rsidRPr="00CC6F7E">
        <w:rPr>
          <w:rFonts w:eastAsia="Times New Roman" w:cs="Times New Roman"/>
          <w:rtl/>
          <w:lang w:eastAsia="de-DE"/>
        </w:rPr>
        <w:t xml:space="preserve"> </w:t>
      </w:r>
      <w:r w:rsidRPr="00CC6F7E">
        <w:rPr>
          <w:rFonts w:eastAsia="Times New Roman" w:cs="Times New Roman"/>
          <w:lang w:eastAsia="de-DE"/>
        </w:rPr>
        <w:t>(des Landes) zeigt landwirtschaftliche Produktion.</w:t>
      </w:r>
    </w:p>
    <w:p w14:paraId="5844446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מזרע הארץ מפרי העץ</w:t>
      </w:r>
      <w:r w:rsidRPr="00CC6F7E">
        <w:rPr>
          <w:rFonts w:eastAsia="Times New Roman" w:cs="Times New Roman"/>
          <w:rtl/>
          <w:lang w:eastAsia="de-DE"/>
        </w:rPr>
        <w:t xml:space="preserve"> </w:t>
      </w:r>
      <w:r w:rsidRPr="00CC6F7E">
        <w:rPr>
          <w:rFonts w:eastAsia="Times New Roman" w:cs="Times New Roman"/>
          <w:lang w:eastAsia="de-DE"/>
        </w:rPr>
        <w:t xml:space="preserve">(vom Samen des Landes, von der Frucht der Bäume) spezifiziert zwei Kategorien: </w:t>
      </w:r>
      <w:r w:rsidRPr="00CC6F7E">
        <w:rPr>
          <w:rFonts w:eastAsia="Times New Roman" w:cs="Times New Roman"/>
          <w:b/>
          <w:bCs/>
          <w:rtl/>
          <w:lang w:eastAsia="de-DE"/>
        </w:rPr>
        <w:t>מזרע הארץ</w:t>
      </w:r>
      <w:r w:rsidRPr="00CC6F7E">
        <w:rPr>
          <w:rFonts w:eastAsia="Times New Roman" w:cs="Times New Roman"/>
          <w:rtl/>
          <w:lang w:eastAsia="de-DE"/>
        </w:rPr>
        <w:t xml:space="preserve"> </w:t>
      </w:r>
      <w:r w:rsidRPr="00CC6F7E">
        <w:rPr>
          <w:rFonts w:eastAsia="Times New Roman" w:cs="Times New Roman"/>
          <w:lang w:eastAsia="de-DE"/>
        </w:rPr>
        <w:t xml:space="preserve">(vom Samen des Landes) zeigt Getreide und Feldfrüchte, </w:t>
      </w:r>
      <w:r w:rsidRPr="00CC6F7E">
        <w:rPr>
          <w:rFonts w:eastAsia="Times New Roman" w:cs="Times New Roman"/>
          <w:b/>
          <w:bCs/>
          <w:rtl/>
          <w:lang w:eastAsia="de-DE"/>
        </w:rPr>
        <w:t>מפרי העץ</w:t>
      </w:r>
      <w:r w:rsidRPr="00CC6F7E">
        <w:rPr>
          <w:rFonts w:eastAsia="Times New Roman" w:cs="Times New Roman"/>
          <w:rtl/>
          <w:lang w:eastAsia="de-DE"/>
        </w:rPr>
        <w:t xml:space="preserve"> </w:t>
      </w:r>
      <w:r w:rsidRPr="00CC6F7E">
        <w:rPr>
          <w:rFonts w:eastAsia="Times New Roman" w:cs="Times New Roman"/>
          <w:lang w:eastAsia="de-DE"/>
        </w:rPr>
        <w:t>(von der Frucht der Bäume) zeigt Baumfrüchte.</w:t>
      </w:r>
    </w:p>
    <w:p w14:paraId="4E005F9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ליהוה הוא קדש ליהוה</w:t>
      </w:r>
      <w:r w:rsidRPr="00CC6F7E">
        <w:rPr>
          <w:rFonts w:eastAsia="Times New Roman" w:cs="Times New Roman"/>
          <w:rtl/>
          <w:lang w:eastAsia="de-DE"/>
        </w:rPr>
        <w:t xml:space="preserve"> </w:t>
      </w:r>
      <w:r w:rsidRPr="00CC6F7E">
        <w:rPr>
          <w:rFonts w:eastAsia="Times New Roman" w:cs="Times New Roman"/>
          <w:lang w:eastAsia="de-DE"/>
        </w:rPr>
        <w:t xml:space="preserve">(gehört dem Ewigen; er ist dem Ewigen heilig) - </w:t>
      </w:r>
      <w:r w:rsidRPr="00CC6F7E">
        <w:rPr>
          <w:rFonts w:eastAsia="Times New Roman" w:cs="Times New Roman"/>
          <w:b/>
          <w:bCs/>
          <w:rtl/>
          <w:lang w:eastAsia="de-DE"/>
        </w:rPr>
        <w:t>ליהוה הוא</w:t>
      </w:r>
      <w:r w:rsidRPr="00CC6F7E">
        <w:rPr>
          <w:rFonts w:eastAsia="Times New Roman" w:cs="Times New Roman"/>
          <w:rtl/>
          <w:lang w:eastAsia="de-DE"/>
        </w:rPr>
        <w:t xml:space="preserve"> </w:t>
      </w:r>
      <w:r w:rsidRPr="00CC6F7E">
        <w:rPr>
          <w:rFonts w:eastAsia="Times New Roman" w:cs="Times New Roman"/>
          <w:lang w:eastAsia="de-DE"/>
        </w:rPr>
        <w:t xml:space="preserve">zeigt göttliches Eigentum. </w:t>
      </w:r>
      <w:r w:rsidRPr="00CC6F7E">
        <w:rPr>
          <w:rFonts w:eastAsia="Times New Roman" w:cs="Times New Roman"/>
          <w:b/>
          <w:bCs/>
          <w:rtl/>
          <w:lang w:eastAsia="de-DE"/>
        </w:rPr>
        <w:t>קדש ליהוה</w:t>
      </w:r>
      <w:r w:rsidRPr="00CC6F7E">
        <w:rPr>
          <w:rFonts w:eastAsia="Times New Roman" w:cs="Times New Roman"/>
          <w:rtl/>
          <w:lang w:eastAsia="de-DE"/>
        </w:rPr>
        <w:t xml:space="preserve"> </w:t>
      </w:r>
      <w:r w:rsidRPr="00CC6F7E">
        <w:rPr>
          <w:rFonts w:eastAsia="Times New Roman" w:cs="Times New Roman"/>
          <w:lang w:eastAsia="de-DE"/>
        </w:rPr>
        <w:t>bekräftigt die Heiligkeit des Zehnten.</w:t>
      </w:r>
    </w:p>
    <w:p w14:paraId="7F60AEB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lastRenderedPageBreak/>
        <w:t>כל־מעשר הארץ</w:t>
      </w:r>
      <w:r w:rsidRPr="00CC6F7E">
        <w:rPr>
          <w:rFonts w:eastAsia="Times New Roman" w:cs="Times New Roman"/>
          <w:rtl/>
          <w:lang w:eastAsia="de-DE"/>
        </w:rPr>
        <w:t xml:space="preserve"> </w:t>
      </w:r>
      <w:r w:rsidRPr="00CC6F7E">
        <w:rPr>
          <w:rFonts w:eastAsia="Times New Roman" w:cs="Times New Roman"/>
          <w:lang w:eastAsia="de-DE"/>
        </w:rPr>
        <w:t xml:space="preserve">etabliert universelle 10%-Abgabe. </w:t>
      </w:r>
      <w:r w:rsidRPr="00CC6F7E">
        <w:rPr>
          <w:rFonts w:eastAsia="Times New Roman" w:cs="Times New Roman"/>
          <w:b/>
          <w:bCs/>
          <w:rtl/>
          <w:lang w:eastAsia="de-DE"/>
        </w:rPr>
        <w:t>מזרע הארץ מפרי העץ</w:t>
      </w:r>
      <w:r w:rsidRPr="00CC6F7E">
        <w:rPr>
          <w:rFonts w:eastAsia="Times New Roman" w:cs="Times New Roman"/>
          <w:rtl/>
          <w:lang w:eastAsia="de-DE"/>
        </w:rPr>
        <w:t xml:space="preserve"> </w:t>
      </w:r>
      <w:r w:rsidRPr="00CC6F7E">
        <w:rPr>
          <w:rFonts w:eastAsia="Times New Roman" w:cs="Times New Roman"/>
          <w:lang w:eastAsia="de-DE"/>
        </w:rPr>
        <w:t xml:space="preserve">erfasst Feld- und Baumfrüchte. </w:t>
      </w:r>
      <w:r w:rsidRPr="00CC6F7E">
        <w:rPr>
          <w:rFonts w:eastAsia="Times New Roman" w:cs="Times New Roman"/>
          <w:b/>
          <w:bCs/>
          <w:rtl/>
          <w:lang w:eastAsia="de-DE"/>
        </w:rPr>
        <w:t>ליהוה הוא קדש ליהוה</w:t>
      </w:r>
      <w:r w:rsidRPr="00CC6F7E">
        <w:rPr>
          <w:rFonts w:eastAsia="Times New Roman" w:cs="Times New Roman"/>
          <w:rtl/>
          <w:lang w:eastAsia="de-DE"/>
        </w:rPr>
        <w:t xml:space="preserve"> </w:t>
      </w:r>
      <w:r w:rsidRPr="00CC6F7E">
        <w:rPr>
          <w:rFonts w:eastAsia="Times New Roman" w:cs="Times New Roman"/>
          <w:lang w:eastAsia="de-DE"/>
        </w:rPr>
        <w:t>zeigt göttliches Eigentum und Heiligkeit.</w:t>
      </w:r>
    </w:p>
    <w:p w14:paraId="3B1CD5BD" w14:textId="0913D778"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übersetzt </w:t>
      </w:r>
      <w:r w:rsidR="00CC4574">
        <w:rPr>
          <w:rtl/>
        </w:rPr>
        <w:t>מפרי העץ</w:t>
      </w:r>
      <w:r w:rsidR="00CC4574">
        <w:t xml:space="preserve"> (</w:t>
      </w:r>
      <w:proofErr w:type="spellStart"/>
      <w:r w:rsidR="00CC4574">
        <w:t>mipri</w:t>
      </w:r>
      <w:proofErr w:type="spellEnd"/>
      <w:r w:rsidR="00CC4574">
        <w:t xml:space="preserve"> </w:t>
      </w:r>
      <w:proofErr w:type="spellStart"/>
      <w:r w:rsidR="00CC4574">
        <w:t>ha'etz</w:t>
      </w:r>
      <w:proofErr w:type="spellEnd"/>
      <w:r w:rsidR="00CC4574">
        <w:t xml:space="preserve"> - "von der Frucht des Baumes") als </w:t>
      </w:r>
      <w:proofErr w:type="spellStart"/>
      <w:r w:rsidR="00CC4574">
        <w:t>τοῦ</w:t>
      </w:r>
      <w:proofErr w:type="spellEnd"/>
      <w:r w:rsidR="00CC4574">
        <w:t xml:space="preserve"> καρπ</w:t>
      </w:r>
      <w:proofErr w:type="spellStart"/>
      <w:r w:rsidR="00CC4574">
        <w:t>οῦ</w:t>
      </w:r>
      <w:proofErr w:type="spellEnd"/>
      <w:r w:rsidR="00CC4574">
        <w:t xml:space="preserve"> </w:t>
      </w:r>
      <w:proofErr w:type="spellStart"/>
      <w:r w:rsidR="00CC4574">
        <w:t>τοῦ</w:t>
      </w:r>
      <w:proofErr w:type="spellEnd"/>
      <w:r w:rsidR="00CC4574">
        <w:t xml:space="preserve"> </w:t>
      </w:r>
      <w:proofErr w:type="spellStart"/>
      <w:r w:rsidR="00CC4574">
        <w:t>ξυλίνου</w:t>
      </w:r>
      <w:proofErr w:type="spellEnd"/>
      <w:r w:rsidR="00CC4574">
        <w:t xml:space="preserve"> (der Frucht des Hölzernen).</w:t>
      </w:r>
    </w:p>
    <w:p w14:paraId="5C40935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Land-Zehnten-System: jeder Zehnte des Landes + vom Samen des Landes von Frucht der Bäume + JHWH gehört er + heilig JHWH.</w:t>
      </w:r>
    </w:p>
    <w:p w14:paraId="34616F1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die universelle 10%-Abgabe aller landwirtschaftlichen Produkte als JHWH gehörend und heilig.</w:t>
      </w:r>
    </w:p>
    <w:p w14:paraId="18EF69D9"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27,31</w:t>
      </w:r>
    </w:p>
    <w:p w14:paraId="33BC6E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וְאִם־גָּאֹ֥ל יִגְאַ֛ל אִ֖ישׁ מִמַּֽעַשְׂרֹ֑ו חֲמִשִׁיתוֹ֖ יֹסֵ֥ף עָלָֽיו׃</w:t>
      </w:r>
    </w:p>
    <w:p w14:paraId="5EF7F2F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Wenn aber jemand von seinem Zehnten lösen will, so soll er ein Fünftel darüber hinzufügen.</w:t>
      </w:r>
    </w:p>
    <w:p w14:paraId="69315734"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28F62253">
          <v:rect id="_x0000_i1880" style="width:0;height:1.5pt" o:hralign="center" o:hrstd="t" o:hr="t" fillcolor="#a0a0a0" stroked="f"/>
        </w:pict>
      </w:r>
    </w:p>
    <w:p w14:paraId="24EB65C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ואם־גאל יגאל איש ממעשרו חמישיתו יסף עליו</w:t>
      </w:r>
      <w:r w:rsidRPr="00CC6F7E">
        <w:rPr>
          <w:rFonts w:eastAsia="Times New Roman" w:cs="Times New Roman"/>
          <w:rtl/>
          <w:lang w:eastAsia="de-DE"/>
        </w:rPr>
        <w:t xml:space="preserve"> </w:t>
      </w:r>
      <w:r w:rsidRPr="00CC6F7E">
        <w:rPr>
          <w:rFonts w:eastAsia="Times New Roman" w:cs="Times New Roman"/>
          <w:lang w:eastAsia="de-DE"/>
        </w:rPr>
        <w:t xml:space="preserve">zeigt Rückkaufoption für den Zehnten. </w:t>
      </w:r>
      <w:r w:rsidRPr="00CC6F7E">
        <w:rPr>
          <w:rFonts w:eastAsia="Times New Roman" w:cs="Times New Roman"/>
          <w:b/>
          <w:bCs/>
          <w:rtl/>
          <w:lang w:eastAsia="de-DE"/>
        </w:rPr>
        <w:t>ואם־גאל יגאל איש ממעשרו</w:t>
      </w:r>
      <w:r w:rsidRPr="00CC6F7E">
        <w:rPr>
          <w:rFonts w:eastAsia="Times New Roman" w:cs="Times New Roman"/>
          <w:rtl/>
          <w:lang w:eastAsia="de-DE"/>
        </w:rPr>
        <w:t xml:space="preserve"> </w:t>
      </w:r>
      <w:r w:rsidRPr="00CC6F7E">
        <w:rPr>
          <w:rFonts w:eastAsia="Times New Roman" w:cs="Times New Roman"/>
          <w:lang w:eastAsia="de-DE"/>
        </w:rPr>
        <w:t xml:space="preserve">(wenn aber jemand von seinem Zehnten lösen will) - </w:t>
      </w:r>
      <w:r w:rsidRPr="00CC6F7E">
        <w:rPr>
          <w:rFonts w:eastAsia="Times New Roman" w:cs="Times New Roman"/>
          <w:b/>
          <w:bCs/>
          <w:rtl/>
          <w:lang w:eastAsia="de-DE"/>
        </w:rPr>
        <w:t>גאל יגאל</w:t>
      </w:r>
      <w:r w:rsidRPr="00CC6F7E">
        <w:rPr>
          <w:rFonts w:eastAsia="Times New Roman" w:cs="Times New Roman"/>
          <w:rtl/>
          <w:lang w:eastAsia="de-DE"/>
        </w:rPr>
        <w:t xml:space="preserve"> </w:t>
      </w:r>
      <w:r w:rsidRPr="00CC6F7E">
        <w:rPr>
          <w:rFonts w:eastAsia="Times New Roman" w:cs="Times New Roman"/>
          <w:lang w:eastAsia="de-DE"/>
        </w:rPr>
        <w:t xml:space="preserve">(lösen löst) mit emphatischer Wiederholung entspricht den vorherigen Versen. </w:t>
      </w:r>
      <w:r w:rsidRPr="00CC6F7E">
        <w:rPr>
          <w:rFonts w:eastAsia="Times New Roman" w:cs="Times New Roman"/>
          <w:b/>
          <w:bCs/>
          <w:rtl/>
          <w:lang w:eastAsia="de-DE"/>
        </w:rPr>
        <w:t>איש ממעשרו</w:t>
      </w:r>
      <w:r w:rsidRPr="00CC6F7E">
        <w:rPr>
          <w:rFonts w:eastAsia="Times New Roman" w:cs="Times New Roman"/>
          <w:rtl/>
          <w:lang w:eastAsia="de-DE"/>
        </w:rPr>
        <w:t xml:space="preserve"> </w:t>
      </w:r>
      <w:r w:rsidRPr="00CC6F7E">
        <w:rPr>
          <w:rFonts w:eastAsia="Times New Roman" w:cs="Times New Roman"/>
          <w:lang w:eastAsia="de-DE"/>
        </w:rPr>
        <w:t>(ein Mann von seinem Zehnten) zeigt individuellen Zehnten-Rückkauf.</w:t>
      </w:r>
    </w:p>
    <w:p w14:paraId="75ACF8E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חמישיתו יסף עליו</w:t>
      </w:r>
      <w:r w:rsidRPr="00CC6F7E">
        <w:rPr>
          <w:rFonts w:eastAsia="Times New Roman" w:cs="Times New Roman"/>
          <w:rtl/>
          <w:lang w:eastAsia="de-DE"/>
        </w:rPr>
        <w:t xml:space="preserve"> </w:t>
      </w:r>
      <w:r w:rsidRPr="00CC6F7E">
        <w:rPr>
          <w:rFonts w:eastAsia="Times New Roman" w:cs="Times New Roman"/>
          <w:lang w:eastAsia="de-DE"/>
        </w:rPr>
        <w:t xml:space="preserve">(so soll er ein Fünftel darüber hinzufügen) entspricht dem Standard-20%-Aufschlag der vorherigen Verse. </w:t>
      </w:r>
      <w:r w:rsidRPr="00CC6F7E">
        <w:rPr>
          <w:rFonts w:eastAsia="Times New Roman" w:cs="Times New Roman"/>
          <w:b/>
          <w:bCs/>
          <w:rtl/>
          <w:lang w:eastAsia="de-DE"/>
        </w:rPr>
        <w:t>חמישיתו</w:t>
      </w:r>
      <w:r w:rsidRPr="00CC6F7E">
        <w:rPr>
          <w:rFonts w:eastAsia="Times New Roman" w:cs="Times New Roman"/>
          <w:rtl/>
          <w:lang w:eastAsia="de-DE"/>
        </w:rPr>
        <w:t xml:space="preserve"> </w:t>
      </w:r>
      <w:r w:rsidRPr="00CC6F7E">
        <w:rPr>
          <w:rFonts w:eastAsia="Times New Roman" w:cs="Times New Roman"/>
          <w:lang w:eastAsia="de-DE"/>
        </w:rPr>
        <w:t xml:space="preserve">(sein Fünftel) und </w:t>
      </w:r>
      <w:r w:rsidRPr="00CC6F7E">
        <w:rPr>
          <w:rFonts w:eastAsia="Times New Roman" w:cs="Times New Roman"/>
          <w:b/>
          <w:bCs/>
          <w:rtl/>
          <w:lang w:eastAsia="de-DE"/>
        </w:rPr>
        <w:t>יסף עליו</w:t>
      </w:r>
      <w:r w:rsidRPr="00CC6F7E">
        <w:rPr>
          <w:rFonts w:eastAsia="Times New Roman" w:cs="Times New Roman"/>
          <w:rtl/>
          <w:lang w:eastAsia="de-DE"/>
        </w:rPr>
        <w:t xml:space="preserve"> </w:t>
      </w:r>
      <w:r w:rsidRPr="00CC6F7E">
        <w:rPr>
          <w:rFonts w:eastAsia="Times New Roman" w:cs="Times New Roman"/>
          <w:lang w:eastAsia="de-DE"/>
        </w:rPr>
        <w:t>(soll hinzufügen darauf) zeigt die gewohnte Aufschlagsregelung.</w:t>
      </w:r>
    </w:p>
    <w:p w14:paraId="07D5C62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 Möglichkeit des Zehnten-Rückkaufs zeigt praktische Flexibilität: Statt Naturalien kann Geld (+ 20%) gegeben werden.</w:t>
      </w:r>
    </w:p>
    <w:p w14:paraId="2F1FB95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גאל יגאל איש ממעשרו</w:t>
      </w:r>
      <w:r w:rsidRPr="00CC6F7E">
        <w:rPr>
          <w:rFonts w:eastAsia="Times New Roman" w:cs="Times New Roman"/>
          <w:rtl/>
          <w:lang w:eastAsia="de-DE"/>
        </w:rPr>
        <w:t xml:space="preserve"> </w:t>
      </w:r>
      <w:r w:rsidRPr="00CC6F7E">
        <w:rPr>
          <w:rFonts w:eastAsia="Times New Roman" w:cs="Times New Roman"/>
          <w:lang w:eastAsia="de-DE"/>
        </w:rPr>
        <w:t xml:space="preserve">zeigt individuelle Zehnten-Rückkaufoption. </w:t>
      </w:r>
      <w:r w:rsidRPr="00CC6F7E">
        <w:rPr>
          <w:rFonts w:eastAsia="Times New Roman" w:cs="Times New Roman"/>
          <w:b/>
          <w:bCs/>
          <w:rtl/>
          <w:lang w:eastAsia="de-DE"/>
        </w:rPr>
        <w:t>חמישיתו יסף עליו</w:t>
      </w:r>
      <w:r w:rsidRPr="00CC6F7E">
        <w:rPr>
          <w:rFonts w:eastAsia="Times New Roman" w:cs="Times New Roman"/>
          <w:rtl/>
          <w:lang w:eastAsia="de-DE"/>
        </w:rPr>
        <w:t xml:space="preserve"> </w:t>
      </w:r>
      <w:r w:rsidRPr="00CC6F7E">
        <w:rPr>
          <w:rFonts w:eastAsia="Times New Roman" w:cs="Times New Roman"/>
          <w:lang w:eastAsia="de-DE"/>
        </w:rPr>
        <w:t>zeigt Standard-20%-Aufschlag wie bei anderen Gelübden.</w:t>
      </w:r>
    </w:p>
    <w:p w14:paraId="6F15D2A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übersetzt </w:t>
      </w:r>
      <w:r w:rsidRPr="00CC6F7E">
        <w:rPr>
          <w:rFonts w:eastAsia="Times New Roman" w:cs="Times New Roman"/>
          <w:b/>
          <w:bCs/>
          <w:rtl/>
          <w:lang w:eastAsia="de-DE"/>
        </w:rPr>
        <w:t>גאל יגאל</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λυτρούμενος</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λυτρώσητ</w:t>
      </w:r>
      <w:proofErr w:type="spellEnd"/>
      <w:r w:rsidRPr="00CC6F7E">
        <w:rPr>
          <w:rFonts w:eastAsia="Times New Roman" w:cs="Times New Roman"/>
          <w:lang w:eastAsia="de-DE"/>
        </w:rPr>
        <w:t xml:space="preserve">αι (lösend wird lösen), </w:t>
      </w:r>
      <w:r w:rsidRPr="00CC6F7E">
        <w:rPr>
          <w:rFonts w:eastAsia="Times New Roman" w:cs="Times New Roman"/>
          <w:b/>
          <w:bCs/>
          <w:rtl/>
          <w:lang w:eastAsia="de-DE"/>
        </w:rPr>
        <w:t>ממעשרו</w:t>
      </w:r>
      <w:r w:rsidRPr="00CC6F7E">
        <w:rPr>
          <w:rFonts w:eastAsia="Times New Roman" w:cs="Times New Roman"/>
          <w:rtl/>
          <w:lang w:eastAsia="de-DE"/>
        </w:rPr>
        <w:t xml:space="preserve"> </w:t>
      </w:r>
      <w:r w:rsidRPr="00CC6F7E">
        <w:rPr>
          <w:rFonts w:eastAsia="Times New Roman" w:cs="Times New Roman"/>
          <w:lang w:eastAsia="de-DE"/>
        </w:rPr>
        <w:t xml:space="preserve">mit ἀπὸ </w:t>
      </w:r>
      <w:proofErr w:type="spellStart"/>
      <w:r w:rsidRPr="00CC6F7E">
        <w:rPr>
          <w:rFonts w:eastAsia="Times New Roman" w:cs="Times New Roman"/>
          <w:lang w:eastAsia="de-DE"/>
        </w:rPr>
        <w:t>τῶν</w:t>
      </w:r>
      <w:proofErr w:type="spellEnd"/>
      <w:r w:rsidRPr="00CC6F7E">
        <w:rPr>
          <w:rFonts w:eastAsia="Times New Roman" w:cs="Times New Roman"/>
          <w:lang w:eastAsia="de-DE"/>
        </w:rPr>
        <w:t xml:space="preserve"> </w:t>
      </w:r>
      <w:proofErr w:type="spellStart"/>
      <w:r w:rsidRPr="00CC6F7E">
        <w:rPr>
          <w:rFonts w:eastAsia="Times New Roman" w:cs="Times New Roman"/>
          <w:lang w:eastAsia="de-DE"/>
        </w:rPr>
        <w:t>δεκ</w:t>
      </w:r>
      <w:proofErr w:type="spellEnd"/>
      <w:r w:rsidRPr="00CC6F7E">
        <w:rPr>
          <w:rFonts w:eastAsia="Times New Roman" w:cs="Times New Roman"/>
          <w:lang w:eastAsia="de-DE"/>
        </w:rPr>
        <w:t>ατῶν α</w:t>
      </w:r>
      <w:proofErr w:type="spellStart"/>
      <w:r w:rsidRPr="00CC6F7E">
        <w:rPr>
          <w:rFonts w:eastAsia="Times New Roman" w:cs="Times New Roman"/>
          <w:lang w:eastAsia="de-DE"/>
        </w:rPr>
        <w:t>ὐτοῦ</w:t>
      </w:r>
      <w:proofErr w:type="spellEnd"/>
      <w:r w:rsidRPr="00CC6F7E">
        <w:rPr>
          <w:rFonts w:eastAsia="Times New Roman" w:cs="Times New Roman"/>
          <w:lang w:eastAsia="de-DE"/>
        </w:rPr>
        <w:t xml:space="preserve"> (von seinen Zehnten) und </w:t>
      </w:r>
      <w:r w:rsidRPr="00CC6F7E">
        <w:rPr>
          <w:rFonts w:eastAsia="Times New Roman" w:cs="Times New Roman"/>
          <w:b/>
          <w:bCs/>
          <w:rtl/>
          <w:lang w:eastAsia="de-DE"/>
        </w:rPr>
        <w:t>חמישיתו יסף</w:t>
      </w:r>
      <w:r w:rsidRPr="00CC6F7E">
        <w:rPr>
          <w:rFonts w:eastAsia="Times New Roman" w:cs="Times New Roman"/>
          <w:rtl/>
          <w:lang w:eastAsia="de-DE"/>
        </w:rPr>
        <w:t xml:space="preserve"> </w:t>
      </w:r>
      <w:r w:rsidRPr="00CC6F7E">
        <w:rPr>
          <w:rFonts w:eastAsia="Times New Roman" w:cs="Times New Roman"/>
          <w:lang w:eastAsia="de-DE"/>
        </w:rPr>
        <w:t xml:space="preserve">mit </w:t>
      </w:r>
      <w:proofErr w:type="spellStart"/>
      <w:r w:rsidRPr="00CC6F7E">
        <w:rPr>
          <w:rFonts w:eastAsia="Times New Roman" w:cs="Times New Roman"/>
          <w:lang w:eastAsia="de-DE"/>
        </w:rPr>
        <w:t>τὸ</w:t>
      </w:r>
      <w:proofErr w:type="spellEnd"/>
      <w:r w:rsidRPr="00CC6F7E">
        <w:rPr>
          <w:rFonts w:eastAsia="Times New Roman" w:cs="Times New Roman"/>
          <w:lang w:eastAsia="de-DE"/>
        </w:rPr>
        <w:t xml:space="preserve"> ἐπίπ</w:t>
      </w:r>
      <w:proofErr w:type="spellStart"/>
      <w:r w:rsidRPr="00CC6F7E">
        <w:rPr>
          <w:rFonts w:eastAsia="Times New Roman" w:cs="Times New Roman"/>
          <w:lang w:eastAsia="de-DE"/>
        </w:rPr>
        <w:t>εμ</w:t>
      </w:r>
      <w:proofErr w:type="spellEnd"/>
      <w:r w:rsidRPr="00CC6F7E">
        <w:rPr>
          <w:rFonts w:eastAsia="Times New Roman" w:cs="Times New Roman"/>
          <w:lang w:eastAsia="de-DE"/>
        </w:rPr>
        <w:t>πτον π</w:t>
      </w:r>
      <w:proofErr w:type="spellStart"/>
      <w:r w:rsidRPr="00CC6F7E">
        <w:rPr>
          <w:rFonts w:eastAsia="Times New Roman" w:cs="Times New Roman"/>
          <w:lang w:eastAsia="de-DE"/>
        </w:rPr>
        <w:t>ροσθήσει</w:t>
      </w:r>
      <w:proofErr w:type="spellEnd"/>
      <w:r w:rsidRPr="00CC6F7E">
        <w:rPr>
          <w:rFonts w:eastAsia="Times New Roman" w:cs="Times New Roman"/>
          <w:lang w:eastAsia="de-DE"/>
        </w:rPr>
        <w:t xml:space="preserve"> (das Fünftel wird er hinzufügen).</w:t>
      </w:r>
    </w:p>
    <w:p w14:paraId="3340777D" w14:textId="51EBFAEB"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Zehnten-Rückkauf: wenn </w:t>
      </w:r>
      <w:r w:rsidR="000024AA">
        <w:rPr>
          <w:rFonts w:eastAsia="Times New Roman" w:cs="Times New Roman"/>
          <w:lang w:eastAsia="de-DE"/>
        </w:rPr>
        <w:t xml:space="preserve">ein </w:t>
      </w:r>
      <w:r w:rsidRPr="00CC6F7E">
        <w:rPr>
          <w:rFonts w:eastAsia="Times New Roman" w:cs="Times New Roman"/>
          <w:lang w:eastAsia="de-DE"/>
        </w:rPr>
        <w:t>Mann von seinem Zehnten lösen will + sein Fünftel füge hinzu darauf.</w:t>
      </w:r>
    </w:p>
    <w:p w14:paraId="4B34D04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ermöglicht Zehnten-Rückkauf gegen Geldzahlung mit 20%-Aufschlag - praktische Alternative zur Naturalabgabe.</w:t>
      </w:r>
    </w:p>
    <w:p w14:paraId="4425F8EC"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27,32</w:t>
      </w:r>
    </w:p>
    <w:p w14:paraId="7FCB4F1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וְכָל־מַעְשַׂ֤ר בָּקָר֙ וָצֹ֔אן כֹּ֥ל אֲשֶׁר־יַעֲבֹ֖ר תַּ֣חַת הַשָּׁ֑בֶט הָֽעֲשִׂירִ֕י יִֽהְיֶה־קֹּ֖דֶשׁ לַֽיהוָֽה׃</w:t>
      </w:r>
    </w:p>
    <w:p w14:paraId="35A74CD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lastRenderedPageBreak/>
        <w:t>Deutsch:</w:t>
      </w:r>
      <w:r w:rsidRPr="00CC6F7E">
        <w:rPr>
          <w:rFonts w:eastAsia="Times New Roman" w:cs="Times New Roman"/>
          <w:lang w:eastAsia="de-DE"/>
        </w:rPr>
        <w:t xml:space="preserve"> Und aller Zehnt von Rindern und Schafen, alles, was unter dem Stab vorüberzieht, das Zehnte soll dem Ewigen heilig sein.</w:t>
      </w:r>
    </w:p>
    <w:p w14:paraId="6E3C12F2"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058F94C9">
          <v:rect id="_x0000_i1881" style="width:0;height:1.5pt" o:hralign="center" o:hrstd="t" o:hr="t" fillcolor="#a0a0a0" stroked="f"/>
        </w:pict>
      </w:r>
    </w:p>
    <w:p w14:paraId="11AFC04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וכל־מעשר בקר וצאן כל אשר־יעבר תחת השבט העשירי יהיה־קדש ליהוה</w:t>
      </w:r>
      <w:r w:rsidRPr="00CC6F7E">
        <w:rPr>
          <w:rFonts w:eastAsia="Times New Roman" w:cs="Times New Roman"/>
          <w:rtl/>
          <w:lang w:eastAsia="de-DE"/>
        </w:rPr>
        <w:t xml:space="preserve"> </w:t>
      </w:r>
      <w:r w:rsidRPr="00CC6F7E">
        <w:rPr>
          <w:rFonts w:eastAsia="Times New Roman" w:cs="Times New Roman"/>
          <w:lang w:eastAsia="de-DE"/>
        </w:rPr>
        <w:t xml:space="preserve">führt Vieh-Zehnten ein. </w:t>
      </w:r>
      <w:r w:rsidRPr="00CC6F7E">
        <w:rPr>
          <w:rFonts w:eastAsia="Times New Roman" w:cs="Times New Roman"/>
          <w:b/>
          <w:bCs/>
          <w:rtl/>
          <w:lang w:eastAsia="de-DE"/>
        </w:rPr>
        <w:t>וכל־מעשר בקר וצאן</w:t>
      </w:r>
      <w:r w:rsidRPr="00CC6F7E">
        <w:rPr>
          <w:rFonts w:eastAsia="Times New Roman" w:cs="Times New Roman"/>
          <w:rtl/>
          <w:lang w:eastAsia="de-DE"/>
        </w:rPr>
        <w:t xml:space="preserve"> </w:t>
      </w:r>
      <w:r w:rsidRPr="00CC6F7E">
        <w:rPr>
          <w:rFonts w:eastAsia="Times New Roman" w:cs="Times New Roman"/>
          <w:lang w:eastAsia="de-DE"/>
        </w:rPr>
        <w:t xml:space="preserve">(und aller Zehnt von Rindern und Schafen) erweitert das Zehnten-System von Pflanzen (V. 30) auf Vieh. </w:t>
      </w:r>
      <w:r w:rsidRPr="00CC6F7E">
        <w:rPr>
          <w:rFonts w:eastAsia="Times New Roman" w:cs="Times New Roman"/>
          <w:b/>
          <w:bCs/>
          <w:rtl/>
          <w:lang w:eastAsia="de-DE"/>
        </w:rPr>
        <w:t>בקר וצאן</w:t>
      </w:r>
      <w:r w:rsidRPr="00CC6F7E">
        <w:rPr>
          <w:rFonts w:eastAsia="Times New Roman" w:cs="Times New Roman"/>
          <w:rtl/>
          <w:lang w:eastAsia="de-DE"/>
        </w:rPr>
        <w:t xml:space="preserve"> </w:t>
      </w:r>
      <w:r w:rsidRPr="00CC6F7E">
        <w:rPr>
          <w:rFonts w:eastAsia="Times New Roman" w:cs="Times New Roman"/>
          <w:lang w:eastAsia="de-DE"/>
        </w:rPr>
        <w:t>(Rinder und Schafe) zeigen die Hauptvieharten.</w:t>
      </w:r>
    </w:p>
    <w:p w14:paraId="1E6F5EA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כל אשר־יעבר תחת השבט</w:t>
      </w:r>
      <w:r w:rsidRPr="00CC6F7E">
        <w:rPr>
          <w:rFonts w:eastAsia="Times New Roman" w:cs="Times New Roman"/>
          <w:rtl/>
          <w:lang w:eastAsia="de-DE"/>
        </w:rPr>
        <w:t xml:space="preserve"> </w:t>
      </w:r>
      <w:r w:rsidRPr="00CC6F7E">
        <w:rPr>
          <w:rFonts w:eastAsia="Times New Roman" w:cs="Times New Roman"/>
          <w:lang w:eastAsia="de-DE"/>
        </w:rPr>
        <w:t xml:space="preserve">(alles, was unter dem Stab vorüberzieht) zeigt das Zählverfahren - </w:t>
      </w:r>
      <w:r w:rsidRPr="00CC6F7E">
        <w:rPr>
          <w:rFonts w:eastAsia="Times New Roman" w:cs="Times New Roman"/>
          <w:b/>
          <w:bCs/>
          <w:rtl/>
          <w:lang w:eastAsia="de-DE"/>
        </w:rPr>
        <w:t>יעבר תחת השבט</w:t>
      </w:r>
      <w:r w:rsidRPr="00CC6F7E">
        <w:rPr>
          <w:rFonts w:eastAsia="Times New Roman" w:cs="Times New Roman"/>
          <w:rtl/>
          <w:lang w:eastAsia="de-DE"/>
        </w:rPr>
        <w:t xml:space="preserve"> </w:t>
      </w:r>
      <w:r w:rsidRPr="00CC6F7E">
        <w:rPr>
          <w:rFonts w:eastAsia="Times New Roman" w:cs="Times New Roman"/>
          <w:lang w:eastAsia="de-DE"/>
        </w:rPr>
        <w:t>(vorüberzieht unter dem Stab) beschreibt die traditionelle Viehzählung: Tiere gehen einzeln unter einem Hirtenstab hindurch zur Zählung.</w:t>
      </w:r>
    </w:p>
    <w:p w14:paraId="318EC26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העשירי יהיה־קדש ליהוה</w:t>
      </w:r>
      <w:r w:rsidRPr="00CC6F7E">
        <w:rPr>
          <w:rFonts w:eastAsia="Times New Roman" w:cs="Times New Roman"/>
          <w:rtl/>
          <w:lang w:eastAsia="de-DE"/>
        </w:rPr>
        <w:t xml:space="preserve"> </w:t>
      </w:r>
      <w:r w:rsidRPr="00CC6F7E">
        <w:rPr>
          <w:rFonts w:eastAsia="Times New Roman" w:cs="Times New Roman"/>
          <w:lang w:eastAsia="de-DE"/>
        </w:rPr>
        <w:t xml:space="preserve">(das Zehnte soll dem Ewigen heilig sein) - </w:t>
      </w:r>
      <w:r w:rsidRPr="00CC6F7E">
        <w:rPr>
          <w:rFonts w:eastAsia="Times New Roman" w:cs="Times New Roman"/>
          <w:b/>
          <w:bCs/>
          <w:rtl/>
          <w:lang w:eastAsia="de-DE"/>
        </w:rPr>
        <w:t>העשירי</w:t>
      </w:r>
      <w:r w:rsidRPr="00CC6F7E">
        <w:rPr>
          <w:rFonts w:eastAsia="Times New Roman" w:cs="Times New Roman"/>
          <w:rtl/>
          <w:lang w:eastAsia="de-DE"/>
        </w:rPr>
        <w:t xml:space="preserve"> </w:t>
      </w:r>
      <w:r w:rsidRPr="00CC6F7E">
        <w:rPr>
          <w:rFonts w:eastAsia="Times New Roman" w:cs="Times New Roman"/>
          <w:lang w:eastAsia="de-DE"/>
        </w:rPr>
        <w:t xml:space="preserve">(das zehnte) zeigt: jedes zehnte Tier beim Zählen wird JHWH heilig. </w:t>
      </w:r>
      <w:r w:rsidRPr="00CC6F7E">
        <w:rPr>
          <w:rFonts w:eastAsia="Times New Roman" w:cs="Times New Roman"/>
          <w:b/>
          <w:bCs/>
          <w:rtl/>
          <w:lang w:eastAsia="de-DE"/>
        </w:rPr>
        <w:t>יהיה־קדש ליהוה</w:t>
      </w:r>
      <w:r w:rsidRPr="00CC6F7E">
        <w:rPr>
          <w:rFonts w:eastAsia="Times New Roman" w:cs="Times New Roman"/>
          <w:rtl/>
          <w:lang w:eastAsia="de-DE"/>
        </w:rPr>
        <w:t xml:space="preserve"> </w:t>
      </w:r>
      <w:r w:rsidRPr="00CC6F7E">
        <w:rPr>
          <w:rFonts w:eastAsia="Times New Roman" w:cs="Times New Roman"/>
          <w:lang w:eastAsia="de-DE"/>
        </w:rPr>
        <w:t>entspricht V. 30.</w:t>
      </w:r>
    </w:p>
    <w:p w14:paraId="4CC4907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מעשר בקר וצאן</w:t>
      </w:r>
      <w:r w:rsidRPr="00CC6F7E">
        <w:rPr>
          <w:rFonts w:eastAsia="Times New Roman" w:cs="Times New Roman"/>
          <w:rtl/>
          <w:lang w:eastAsia="de-DE"/>
        </w:rPr>
        <w:t xml:space="preserve"> </w:t>
      </w:r>
      <w:r w:rsidRPr="00CC6F7E">
        <w:rPr>
          <w:rFonts w:eastAsia="Times New Roman" w:cs="Times New Roman"/>
          <w:lang w:eastAsia="de-DE"/>
        </w:rPr>
        <w:t xml:space="preserve">erweitert Zehnten auf Vieh. </w:t>
      </w:r>
      <w:r w:rsidRPr="00CC6F7E">
        <w:rPr>
          <w:rFonts w:eastAsia="Times New Roman" w:cs="Times New Roman"/>
          <w:b/>
          <w:bCs/>
          <w:rtl/>
          <w:lang w:eastAsia="de-DE"/>
        </w:rPr>
        <w:t>יעבר תחת השבט</w:t>
      </w:r>
      <w:r w:rsidRPr="00CC6F7E">
        <w:rPr>
          <w:rFonts w:eastAsia="Times New Roman" w:cs="Times New Roman"/>
          <w:rtl/>
          <w:lang w:eastAsia="de-DE"/>
        </w:rPr>
        <w:t xml:space="preserve"> </w:t>
      </w:r>
      <w:r w:rsidRPr="00CC6F7E">
        <w:rPr>
          <w:rFonts w:eastAsia="Times New Roman" w:cs="Times New Roman"/>
          <w:lang w:eastAsia="de-DE"/>
        </w:rPr>
        <w:t xml:space="preserve">beschreibt traditionelles Zählverfahren. </w:t>
      </w:r>
      <w:r w:rsidRPr="00CC6F7E">
        <w:rPr>
          <w:rFonts w:eastAsia="Times New Roman" w:cs="Times New Roman"/>
          <w:b/>
          <w:bCs/>
          <w:rtl/>
          <w:lang w:eastAsia="de-DE"/>
        </w:rPr>
        <w:t>העשירי יהיה־קדש</w:t>
      </w:r>
      <w:r w:rsidRPr="00CC6F7E">
        <w:rPr>
          <w:rFonts w:eastAsia="Times New Roman" w:cs="Times New Roman"/>
          <w:rtl/>
          <w:lang w:eastAsia="de-DE"/>
        </w:rPr>
        <w:t xml:space="preserve"> </w:t>
      </w:r>
      <w:r w:rsidRPr="00CC6F7E">
        <w:rPr>
          <w:rFonts w:eastAsia="Times New Roman" w:cs="Times New Roman"/>
          <w:lang w:eastAsia="de-DE"/>
        </w:rPr>
        <w:t>zeigt mechanische Zehntenwahl: jedes zehnte Tier.</w:t>
      </w:r>
    </w:p>
    <w:p w14:paraId="2BE6A455" w14:textId="0288CEA4"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erweitert </w:t>
      </w:r>
      <w:r w:rsidR="00CC4574">
        <w:rPr>
          <w:rtl/>
        </w:rPr>
        <w:t>כל אשר־יעבר תחת השבט</w:t>
      </w:r>
      <w:r w:rsidR="00CC4574">
        <w:t xml:space="preserve"> (</w:t>
      </w:r>
      <w:proofErr w:type="spellStart"/>
      <w:r w:rsidR="00CC4574">
        <w:t>kol</w:t>
      </w:r>
      <w:proofErr w:type="spellEnd"/>
      <w:r w:rsidR="00CC4574">
        <w:t xml:space="preserve"> asher-</w:t>
      </w:r>
      <w:proofErr w:type="spellStart"/>
      <w:r w:rsidR="00CC4574">
        <w:t>ya'avor</w:t>
      </w:r>
      <w:proofErr w:type="spellEnd"/>
      <w:r w:rsidR="00CC4574">
        <w:t xml:space="preserve"> </w:t>
      </w:r>
      <w:proofErr w:type="spellStart"/>
      <w:r w:rsidR="00CC4574">
        <w:t>tachat</w:t>
      </w:r>
      <w:proofErr w:type="spellEnd"/>
      <w:r w:rsidR="00CC4574">
        <w:t xml:space="preserve"> </w:t>
      </w:r>
      <w:proofErr w:type="spellStart"/>
      <w:r w:rsidR="00CC4574">
        <w:t>hashevet</w:t>
      </w:r>
      <w:proofErr w:type="spellEnd"/>
      <w:r w:rsidR="00CC4574">
        <w:t xml:space="preserve"> - "alles, was unter dem Stab hindurchgeht") zu καὶ π</w:t>
      </w:r>
      <w:proofErr w:type="spellStart"/>
      <w:r w:rsidR="00CC4574">
        <w:t>ᾶν</w:t>
      </w:r>
      <w:proofErr w:type="spellEnd"/>
      <w:r w:rsidR="00CC4574">
        <w:t xml:space="preserve">, ὃ </w:t>
      </w:r>
      <w:proofErr w:type="spellStart"/>
      <w:r w:rsidR="00CC4574">
        <w:t>ἂν</w:t>
      </w:r>
      <w:proofErr w:type="spellEnd"/>
      <w:r w:rsidR="00CC4574">
        <w:t xml:space="preserve"> </w:t>
      </w:r>
      <w:proofErr w:type="spellStart"/>
      <w:r w:rsidR="00CC4574">
        <w:t>ἔλθῃ</w:t>
      </w:r>
      <w:proofErr w:type="spellEnd"/>
      <w:r w:rsidR="00CC4574">
        <w:t xml:space="preserve"> </w:t>
      </w:r>
      <w:proofErr w:type="spellStart"/>
      <w:r w:rsidR="00CC4574">
        <w:t>ἐν</w:t>
      </w:r>
      <w:proofErr w:type="spellEnd"/>
      <w:r w:rsidR="00CC4574">
        <w:t xml:space="preserve"> </w:t>
      </w:r>
      <w:proofErr w:type="spellStart"/>
      <w:r w:rsidR="00CC4574">
        <w:t>τῷ</w:t>
      </w:r>
      <w:proofErr w:type="spellEnd"/>
      <w:r w:rsidR="00CC4574">
        <w:t xml:space="preserve"> </w:t>
      </w:r>
      <w:proofErr w:type="spellStart"/>
      <w:r w:rsidR="00CC4574">
        <w:t>ἀριθμῷ</w:t>
      </w:r>
      <w:proofErr w:type="spellEnd"/>
      <w:r w:rsidR="00CC4574">
        <w:t xml:space="preserve"> ὑπὸ </w:t>
      </w:r>
      <w:proofErr w:type="spellStart"/>
      <w:r w:rsidR="00CC4574">
        <w:t>τὴν</w:t>
      </w:r>
      <w:proofErr w:type="spellEnd"/>
      <w:r w:rsidR="00CC4574">
        <w:t xml:space="preserve"> </w:t>
      </w:r>
      <w:proofErr w:type="spellStart"/>
      <w:r w:rsidR="00CC4574">
        <w:t>ῥά</w:t>
      </w:r>
      <w:proofErr w:type="spellEnd"/>
      <w:r w:rsidR="00CC4574">
        <w:t>βδον (und alles, was in der Zählung unter den Stab kommt).</w:t>
      </w:r>
    </w:p>
    <w:p w14:paraId="4A3B23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Vieh-Zehnten: aller Zehnt von Rindern und Schafen + alles was unter Stab vorüberzieht + das Zehnte sei heilig JHWH.</w:t>
      </w:r>
    </w:p>
    <w:p w14:paraId="59DA326A"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etabliert Vieh-Zehnten durch mechanische Auszählung: Jedes zehnte Tier bei der Stabzählung wird JHWH heilig.</w:t>
      </w:r>
    </w:p>
    <w:p w14:paraId="22CCE167"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27,33</w:t>
      </w:r>
    </w:p>
    <w:p w14:paraId="28EFFE8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לֹ֧א יְבַקֵּ֛ר בֵּֽין־ט֥וֹב לָרַ֖ע וְלֹ֣א יְמִירֶ֑נּוּ וְאִם־הָמֵ֣ר יְמִירֶ֔נּוּ וְהָֽיָה־ה֧וּא וּתְמוּרָתוֹ֛ יִֽהְיֶה־קֹ֖דֶשׁ לֹ֥א יִגָּאֵֽל׃</w:t>
      </w:r>
    </w:p>
    <w:p w14:paraId="1A04D0F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Man soll nicht untersuchen, ob es gut oder schlecht sei, und soll es nicht vertauschen; und wenn man es dennoch vertauscht, so wird es samt seinem Eingetauschten heilig sein; es soll nicht gelöst werden.</w:t>
      </w:r>
    </w:p>
    <w:p w14:paraId="45D195F5"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704B9332">
          <v:rect id="_x0000_i1882" style="width:0;height:1.5pt" o:hralign="center" o:hrstd="t" o:hr="t" fillcolor="#a0a0a0" stroked="f"/>
        </w:pict>
      </w:r>
    </w:p>
    <w:p w14:paraId="1472A602"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לא יבקר בין־טוב לרע ולא ימירנו ואם־המר ימירנו והיה־הוא ותמורתו יהיה־קדש לא יגאל</w:t>
      </w:r>
      <w:r w:rsidRPr="00CC6F7E">
        <w:rPr>
          <w:rFonts w:eastAsia="Times New Roman" w:cs="Times New Roman"/>
          <w:rtl/>
          <w:lang w:eastAsia="de-DE"/>
        </w:rPr>
        <w:t xml:space="preserve"> </w:t>
      </w:r>
      <w:r w:rsidRPr="00CC6F7E">
        <w:rPr>
          <w:rFonts w:eastAsia="Times New Roman" w:cs="Times New Roman"/>
          <w:lang w:eastAsia="de-DE"/>
        </w:rPr>
        <w:t xml:space="preserve">zeigt strenge Regeln für Vieh-Zehnten. </w:t>
      </w:r>
      <w:r w:rsidRPr="00CC6F7E">
        <w:rPr>
          <w:rFonts w:eastAsia="Times New Roman" w:cs="Times New Roman"/>
          <w:b/>
          <w:bCs/>
          <w:rtl/>
          <w:lang w:eastAsia="de-DE"/>
        </w:rPr>
        <w:t>לא יבקר בין־טוב לרע</w:t>
      </w:r>
      <w:r w:rsidRPr="00CC6F7E">
        <w:rPr>
          <w:rFonts w:eastAsia="Times New Roman" w:cs="Times New Roman"/>
          <w:rtl/>
          <w:lang w:eastAsia="de-DE"/>
        </w:rPr>
        <w:t xml:space="preserve"> </w:t>
      </w:r>
      <w:r w:rsidRPr="00CC6F7E">
        <w:rPr>
          <w:rFonts w:eastAsia="Times New Roman" w:cs="Times New Roman"/>
          <w:lang w:eastAsia="de-DE"/>
        </w:rPr>
        <w:t xml:space="preserve">(man soll nicht untersuchen, ob es gut oder schlecht sei) - </w:t>
      </w:r>
      <w:r w:rsidRPr="00CC6F7E">
        <w:rPr>
          <w:rFonts w:eastAsia="Times New Roman" w:cs="Times New Roman"/>
          <w:b/>
          <w:bCs/>
          <w:rtl/>
          <w:lang w:eastAsia="de-DE"/>
        </w:rPr>
        <w:t>לא יבקר</w:t>
      </w:r>
      <w:r w:rsidRPr="00CC6F7E">
        <w:rPr>
          <w:rFonts w:eastAsia="Times New Roman" w:cs="Times New Roman"/>
          <w:rtl/>
          <w:lang w:eastAsia="de-DE"/>
        </w:rPr>
        <w:t xml:space="preserve"> </w:t>
      </w:r>
      <w:r w:rsidRPr="00CC6F7E">
        <w:rPr>
          <w:rFonts w:eastAsia="Times New Roman" w:cs="Times New Roman"/>
          <w:lang w:eastAsia="de-DE"/>
        </w:rPr>
        <w:t xml:space="preserve">(soll nicht untersuchen) im Piel-Imperfekt von </w:t>
      </w:r>
      <w:r w:rsidRPr="00CC6F7E">
        <w:rPr>
          <w:rFonts w:eastAsia="Times New Roman" w:cs="Times New Roman"/>
          <w:b/>
          <w:bCs/>
          <w:rtl/>
          <w:lang w:eastAsia="de-DE"/>
        </w:rPr>
        <w:t>בקר</w:t>
      </w:r>
      <w:r w:rsidRPr="00CC6F7E">
        <w:rPr>
          <w:rFonts w:eastAsia="Times New Roman" w:cs="Times New Roman"/>
          <w:rtl/>
          <w:lang w:eastAsia="de-DE"/>
        </w:rPr>
        <w:t xml:space="preserve"> </w:t>
      </w:r>
      <w:r w:rsidRPr="00CC6F7E">
        <w:rPr>
          <w:rFonts w:eastAsia="Times New Roman" w:cs="Times New Roman"/>
          <w:lang w:eastAsia="de-DE"/>
        </w:rPr>
        <w:t xml:space="preserve">verbietet Qualitätsprüfung. </w:t>
      </w:r>
      <w:r w:rsidRPr="00CC6F7E">
        <w:rPr>
          <w:rFonts w:eastAsia="Times New Roman" w:cs="Times New Roman"/>
          <w:b/>
          <w:bCs/>
          <w:rtl/>
          <w:lang w:eastAsia="de-DE"/>
        </w:rPr>
        <w:t>בין־טוב לרע</w:t>
      </w:r>
      <w:r w:rsidRPr="00CC6F7E">
        <w:rPr>
          <w:rFonts w:eastAsia="Times New Roman" w:cs="Times New Roman"/>
          <w:rtl/>
          <w:lang w:eastAsia="de-DE"/>
        </w:rPr>
        <w:t xml:space="preserve"> </w:t>
      </w:r>
      <w:r w:rsidRPr="00CC6F7E">
        <w:rPr>
          <w:rFonts w:eastAsia="Times New Roman" w:cs="Times New Roman"/>
          <w:lang w:eastAsia="de-DE"/>
        </w:rPr>
        <w:t>(zwischen gut und schlecht) entspricht V. 12,14 zeigt: keine Qualitätsbewertung erlaubt.</w:t>
      </w:r>
    </w:p>
    <w:p w14:paraId="0D575194"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ולא ימירנו</w:t>
      </w:r>
      <w:r w:rsidRPr="00CC6F7E">
        <w:rPr>
          <w:rFonts w:eastAsia="Times New Roman" w:cs="Times New Roman"/>
          <w:rtl/>
          <w:lang w:eastAsia="de-DE"/>
        </w:rPr>
        <w:t xml:space="preserve"> </w:t>
      </w:r>
      <w:r w:rsidRPr="00CC6F7E">
        <w:rPr>
          <w:rFonts w:eastAsia="Times New Roman" w:cs="Times New Roman"/>
          <w:lang w:eastAsia="de-DE"/>
        </w:rPr>
        <w:t xml:space="preserve">(und soll es nicht vertauschen) entspricht V. 10 und verbietet Tiertausch. </w:t>
      </w:r>
      <w:r w:rsidRPr="00CC6F7E">
        <w:rPr>
          <w:rFonts w:eastAsia="Times New Roman" w:cs="Times New Roman"/>
          <w:b/>
          <w:bCs/>
          <w:rtl/>
          <w:lang w:eastAsia="de-DE"/>
        </w:rPr>
        <w:t>ואם־המר ימירנו והיה־הוא ותמורתו יהיה־קדש</w:t>
      </w:r>
      <w:r w:rsidRPr="00CC6F7E">
        <w:rPr>
          <w:rFonts w:eastAsia="Times New Roman" w:cs="Times New Roman"/>
          <w:rtl/>
          <w:lang w:eastAsia="de-DE"/>
        </w:rPr>
        <w:t xml:space="preserve"> </w:t>
      </w:r>
      <w:r w:rsidRPr="00CC6F7E">
        <w:rPr>
          <w:rFonts w:eastAsia="Times New Roman" w:cs="Times New Roman"/>
          <w:lang w:eastAsia="de-DE"/>
        </w:rPr>
        <w:t xml:space="preserve">(und wenn man es dennoch vertauscht, so wird es samt </w:t>
      </w:r>
      <w:r w:rsidRPr="00CC6F7E">
        <w:rPr>
          <w:rFonts w:eastAsia="Times New Roman" w:cs="Times New Roman"/>
          <w:lang w:eastAsia="de-DE"/>
        </w:rPr>
        <w:lastRenderedPageBreak/>
        <w:t>seinem Eingetauschten heilig sein) entspricht V. 10 genau und zeigt Doppel-Heiligung als Strafe.</w:t>
      </w:r>
    </w:p>
    <w:p w14:paraId="69E14CBE"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יגאל</w:t>
      </w:r>
      <w:r w:rsidRPr="00CC6F7E">
        <w:rPr>
          <w:rFonts w:eastAsia="Times New Roman" w:cs="Times New Roman"/>
          <w:rtl/>
          <w:lang w:eastAsia="de-DE"/>
        </w:rPr>
        <w:t xml:space="preserve"> </w:t>
      </w:r>
      <w:r w:rsidRPr="00CC6F7E">
        <w:rPr>
          <w:rFonts w:eastAsia="Times New Roman" w:cs="Times New Roman"/>
          <w:lang w:eastAsia="de-DE"/>
        </w:rPr>
        <w:t>(es soll nicht gelöst werden) unterscheidet sich von V. 31: Vieh-Zehnten können nicht zurückgekauft werden, im Gegensatz zu Pflanzen-Zehnten.</w:t>
      </w:r>
    </w:p>
    <w:p w14:paraId="0349F4C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לא יבקר בין־טוב לרע</w:t>
      </w:r>
      <w:r w:rsidRPr="00CC6F7E">
        <w:rPr>
          <w:rFonts w:eastAsia="Times New Roman" w:cs="Times New Roman"/>
          <w:rtl/>
          <w:lang w:eastAsia="de-DE"/>
        </w:rPr>
        <w:t xml:space="preserve"> </w:t>
      </w:r>
      <w:r w:rsidRPr="00CC6F7E">
        <w:rPr>
          <w:rFonts w:eastAsia="Times New Roman" w:cs="Times New Roman"/>
          <w:lang w:eastAsia="de-DE"/>
        </w:rPr>
        <w:t xml:space="preserve">verbietet Qualitätsselektion. </w:t>
      </w:r>
      <w:r w:rsidRPr="00CC6F7E">
        <w:rPr>
          <w:rFonts w:eastAsia="Times New Roman" w:cs="Times New Roman"/>
          <w:b/>
          <w:bCs/>
          <w:rtl/>
          <w:lang w:eastAsia="de-DE"/>
        </w:rPr>
        <w:t>לא ימירנו</w:t>
      </w:r>
      <w:r w:rsidRPr="00CC6F7E">
        <w:rPr>
          <w:rFonts w:eastAsia="Times New Roman" w:cs="Times New Roman"/>
          <w:rtl/>
          <w:lang w:eastAsia="de-DE"/>
        </w:rPr>
        <w:t xml:space="preserve"> </w:t>
      </w:r>
      <w:r w:rsidRPr="00CC6F7E">
        <w:rPr>
          <w:rFonts w:eastAsia="Times New Roman" w:cs="Times New Roman"/>
          <w:lang w:eastAsia="de-DE"/>
        </w:rPr>
        <w:t xml:space="preserve">verbietet Tausch. </w:t>
      </w:r>
      <w:r w:rsidRPr="00CC6F7E">
        <w:rPr>
          <w:rFonts w:eastAsia="Times New Roman" w:cs="Times New Roman"/>
          <w:b/>
          <w:bCs/>
          <w:rtl/>
          <w:lang w:eastAsia="de-DE"/>
        </w:rPr>
        <w:t>והיה־הוא ותמורתו יהיה־קדש</w:t>
      </w:r>
      <w:r w:rsidRPr="00CC6F7E">
        <w:rPr>
          <w:rFonts w:eastAsia="Times New Roman" w:cs="Times New Roman"/>
          <w:rtl/>
          <w:lang w:eastAsia="de-DE"/>
        </w:rPr>
        <w:t xml:space="preserve"> </w:t>
      </w:r>
      <w:r w:rsidRPr="00CC6F7E">
        <w:rPr>
          <w:rFonts w:eastAsia="Times New Roman" w:cs="Times New Roman"/>
          <w:lang w:eastAsia="de-DE"/>
        </w:rPr>
        <w:t xml:space="preserve">zeigt Doppel-Heiligung bei Tausch. </w:t>
      </w:r>
      <w:r w:rsidRPr="00CC6F7E">
        <w:rPr>
          <w:rFonts w:eastAsia="Times New Roman" w:cs="Times New Roman"/>
          <w:b/>
          <w:bCs/>
          <w:rtl/>
          <w:lang w:eastAsia="de-DE"/>
        </w:rPr>
        <w:t>לא יגאל</w:t>
      </w:r>
      <w:r w:rsidRPr="00CC6F7E">
        <w:rPr>
          <w:rFonts w:eastAsia="Times New Roman" w:cs="Times New Roman"/>
          <w:rtl/>
          <w:lang w:eastAsia="de-DE"/>
        </w:rPr>
        <w:t xml:space="preserve"> </w:t>
      </w:r>
      <w:r w:rsidRPr="00CC6F7E">
        <w:rPr>
          <w:rFonts w:eastAsia="Times New Roman" w:cs="Times New Roman"/>
          <w:lang w:eastAsia="de-DE"/>
        </w:rPr>
        <w:t>verbietet Rückkauf im Gegensatz zu Pflanzen-Zehnten.</w:t>
      </w:r>
    </w:p>
    <w:p w14:paraId="47407BBD" w14:textId="5340A15F"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übersetzt </w:t>
      </w:r>
      <w:r w:rsidR="00CC4574">
        <w:rPr>
          <w:rtl/>
        </w:rPr>
        <w:t>לא יבקר</w:t>
      </w:r>
      <w:r w:rsidR="00CC4574">
        <w:t xml:space="preserve"> (lo </w:t>
      </w:r>
      <w:proofErr w:type="spellStart"/>
      <w:r w:rsidR="00CC4574">
        <w:t>yevaqer</w:t>
      </w:r>
      <w:proofErr w:type="spellEnd"/>
      <w:r w:rsidR="00CC4574">
        <w:t xml:space="preserve"> - "er soll nicht untersuchen") als </w:t>
      </w:r>
      <w:proofErr w:type="spellStart"/>
      <w:r w:rsidR="00CC4574">
        <w:t>οὐκ</w:t>
      </w:r>
      <w:proofErr w:type="spellEnd"/>
      <w:r w:rsidR="00CC4574">
        <w:t xml:space="preserve"> </w:t>
      </w:r>
      <w:proofErr w:type="spellStart"/>
      <w:r w:rsidR="00CC4574">
        <w:t>ἀλλάξεις</w:t>
      </w:r>
      <w:proofErr w:type="spellEnd"/>
      <w:r w:rsidR="00CC4574">
        <w:t xml:space="preserve"> (du sollst nicht vertauschen), was eine andere Interpretation der Handlung darstellt.</w:t>
      </w:r>
    </w:p>
    <w:p w14:paraId="0FD7EEC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Vieh-Zehnten-Regeln: nicht untersuchen zwischen gut und schlecht + nicht vertauschen + wenn dennoch vertauscht + es und sein Ersatz heilig + nicht gelöst werden.</w:t>
      </w:r>
    </w:p>
    <w:p w14:paraId="69EF64F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Dieser Vers zeigt strenge Vieh-Zehnten-Regeln: keine Qualitätsselektion, kein Tausch, kein Rückkauf - mechanische Durchführung ohne menschliche Manipulation.</w:t>
      </w:r>
    </w:p>
    <w:p w14:paraId="20002A93" w14:textId="77777777" w:rsidR="00CC6F7E" w:rsidRPr="00CC6F7E" w:rsidRDefault="00CC6F7E" w:rsidP="00CC6F7E">
      <w:pPr>
        <w:spacing w:before="100" w:beforeAutospacing="1" w:after="100" w:afterAutospacing="1" w:line="240" w:lineRule="auto"/>
        <w:outlineLvl w:val="1"/>
        <w:rPr>
          <w:rFonts w:eastAsia="Times New Roman" w:cs="Times New Roman"/>
          <w:b/>
          <w:bCs/>
          <w:sz w:val="36"/>
          <w:szCs w:val="36"/>
          <w:lang w:eastAsia="de-DE"/>
        </w:rPr>
      </w:pPr>
      <w:r w:rsidRPr="00CC6F7E">
        <w:rPr>
          <w:rFonts w:eastAsia="Times New Roman" w:cs="Times New Roman"/>
          <w:b/>
          <w:bCs/>
          <w:sz w:val="36"/>
          <w:szCs w:val="36"/>
          <w:lang w:eastAsia="de-DE"/>
        </w:rPr>
        <w:t>Leviticus 27,34</w:t>
      </w:r>
    </w:p>
    <w:p w14:paraId="416E05A5"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Hebräisch:</w:t>
      </w:r>
      <w:r w:rsidRPr="00CC6F7E">
        <w:rPr>
          <w:rFonts w:eastAsia="Times New Roman" w:cs="Times New Roman"/>
          <w:lang w:eastAsia="de-DE"/>
        </w:rPr>
        <w:t xml:space="preserve"> </w:t>
      </w:r>
      <w:r w:rsidRPr="00CC6F7E">
        <w:rPr>
          <w:rFonts w:eastAsia="Times New Roman" w:cs="Times New Roman"/>
          <w:rtl/>
          <w:lang w:eastAsia="de-DE"/>
        </w:rPr>
        <w:t>אֵ֣לֶּה הַמִּצְוֹ֗ת אֲשֶׁ֨ר צִוָּ֧ה יְהוָ֛ה אֶת־מֹשֶׁ֖ה אֶל־בְּנֵ֣י יִשְׂרָאֵ֑ל בְּהַ֖ר סִינָֽי׃</w:t>
      </w:r>
    </w:p>
    <w:p w14:paraId="34DB6648"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Deutsch:</w:t>
      </w:r>
      <w:r w:rsidRPr="00CC6F7E">
        <w:rPr>
          <w:rFonts w:eastAsia="Times New Roman" w:cs="Times New Roman"/>
          <w:lang w:eastAsia="de-DE"/>
        </w:rPr>
        <w:t xml:space="preserve"> Das sind die Gebote, die der Ewige dem Mosche für die Kinder Jisra'els auf dem Berg Sinai geboten hat.</w:t>
      </w:r>
    </w:p>
    <w:p w14:paraId="5FEF9BBD" w14:textId="77777777" w:rsidR="00CC6F7E" w:rsidRPr="00CC6F7E" w:rsidRDefault="00A57720" w:rsidP="00CC6F7E">
      <w:pPr>
        <w:spacing w:after="0" w:line="240" w:lineRule="auto"/>
        <w:rPr>
          <w:rFonts w:eastAsia="Times New Roman" w:cs="Times New Roman"/>
          <w:lang w:eastAsia="de-DE"/>
        </w:rPr>
      </w:pPr>
      <w:r>
        <w:rPr>
          <w:rFonts w:eastAsia="Times New Roman" w:cs="Times New Roman"/>
          <w:noProof/>
          <w:lang w:eastAsia="de-DE"/>
        </w:rPr>
        <w:pict w14:anchorId="1E5ADD80">
          <v:rect id="_x0000_i1883" style="width:0;height:1.5pt" o:hralign="center" o:hrstd="t" o:hr="t" fillcolor="#a0a0a0" stroked="f"/>
        </w:pict>
      </w:r>
    </w:p>
    <w:p w14:paraId="06369BB9"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Kommentar:</w:t>
      </w:r>
      <w:r w:rsidRPr="00CC6F7E">
        <w:rPr>
          <w:rFonts w:eastAsia="Times New Roman" w:cs="Times New Roman"/>
          <w:lang w:eastAsia="de-DE"/>
        </w:rPr>
        <w:t xml:space="preserve"> </w:t>
      </w:r>
      <w:r w:rsidRPr="00CC6F7E">
        <w:rPr>
          <w:rFonts w:eastAsia="Times New Roman" w:cs="Times New Roman"/>
          <w:b/>
          <w:bCs/>
          <w:rtl/>
          <w:lang w:eastAsia="de-DE"/>
        </w:rPr>
        <w:t>אלה המצות אשר צוה יהוה את־משה אל־בני ישראל בהר סיני</w:t>
      </w:r>
      <w:r w:rsidRPr="00CC6F7E">
        <w:rPr>
          <w:rFonts w:eastAsia="Times New Roman" w:cs="Times New Roman"/>
          <w:rtl/>
          <w:lang w:eastAsia="de-DE"/>
        </w:rPr>
        <w:t xml:space="preserve"> </w:t>
      </w:r>
      <w:r w:rsidRPr="00CC6F7E">
        <w:rPr>
          <w:rFonts w:eastAsia="Times New Roman" w:cs="Times New Roman"/>
          <w:lang w:eastAsia="de-DE"/>
        </w:rPr>
        <w:t xml:space="preserve">schließt nicht nur Kapitel 27, sondern das gesamte Buch Leviticus ab. </w:t>
      </w:r>
      <w:r w:rsidRPr="00CC6F7E">
        <w:rPr>
          <w:rFonts w:eastAsia="Times New Roman" w:cs="Times New Roman"/>
          <w:b/>
          <w:bCs/>
          <w:rtl/>
          <w:lang w:eastAsia="de-DE"/>
        </w:rPr>
        <w:t>אלה המצות</w:t>
      </w:r>
      <w:r w:rsidRPr="00CC6F7E">
        <w:rPr>
          <w:rFonts w:eastAsia="Times New Roman" w:cs="Times New Roman"/>
          <w:rtl/>
          <w:lang w:eastAsia="de-DE"/>
        </w:rPr>
        <w:t xml:space="preserve"> </w:t>
      </w:r>
      <w:r w:rsidRPr="00CC6F7E">
        <w:rPr>
          <w:rFonts w:eastAsia="Times New Roman" w:cs="Times New Roman"/>
          <w:lang w:eastAsia="de-DE"/>
        </w:rPr>
        <w:t xml:space="preserve">(das sind die Gebote) - </w:t>
      </w:r>
      <w:r w:rsidRPr="00CC6F7E">
        <w:rPr>
          <w:rFonts w:eastAsia="Times New Roman" w:cs="Times New Roman"/>
          <w:b/>
          <w:bCs/>
          <w:rtl/>
          <w:lang w:eastAsia="de-DE"/>
        </w:rPr>
        <w:t>המצות</w:t>
      </w:r>
      <w:r w:rsidRPr="00CC6F7E">
        <w:rPr>
          <w:rFonts w:eastAsia="Times New Roman" w:cs="Times New Roman"/>
          <w:rtl/>
          <w:lang w:eastAsia="de-DE"/>
        </w:rPr>
        <w:t xml:space="preserve"> </w:t>
      </w:r>
      <w:r w:rsidRPr="00CC6F7E">
        <w:rPr>
          <w:rFonts w:eastAsia="Times New Roman" w:cs="Times New Roman"/>
          <w:lang w:eastAsia="de-DE"/>
        </w:rPr>
        <w:t xml:space="preserve">(die Gebote) Plural von </w:t>
      </w:r>
      <w:r w:rsidRPr="00CC6F7E">
        <w:rPr>
          <w:rFonts w:eastAsia="Times New Roman" w:cs="Times New Roman"/>
          <w:b/>
          <w:bCs/>
          <w:rtl/>
          <w:lang w:eastAsia="de-DE"/>
        </w:rPr>
        <w:t>מצוה</w:t>
      </w:r>
      <w:r w:rsidRPr="00CC6F7E">
        <w:rPr>
          <w:rFonts w:eastAsia="Times New Roman" w:cs="Times New Roman"/>
          <w:rtl/>
          <w:lang w:eastAsia="de-DE"/>
        </w:rPr>
        <w:t xml:space="preserve"> </w:t>
      </w:r>
      <w:r w:rsidRPr="00CC6F7E">
        <w:rPr>
          <w:rFonts w:eastAsia="Times New Roman" w:cs="Times New Roman"/>
          <w:lang w:eastAsia="de-DE"/>
        </w:rPr>
        <w:t xml:space="preserve">zeigt die Gesamtheit der levitischen Anweisungen. </w:t>
      </w:r>
      <w:r w:rsidRPr="00CC6F7E">
        <w:rPr>
          <w:rFonts w:eastAsia="Times New Roman" w:cs="Times New Roman"/>
          <w:b/>
          <w:bCs/>
          <w:rtl/>
          <w:lang w:eastAsia="de-DE"/>
        </w:rPr>
        <w:t>אלה</w:t>
      </w:r>
      <w:r w:rsidRPr="00CC6F7E">
        <w:rPr>
          <w:rFonts w:eastAsia="Times New Roman" w:cs="Times New Roman"/>
          <w:rtl/>
          <w:lang w:eastAsia="de-DE"/>
        </w:rPr>
        <w:t xml:space="preserve"> </w:t>
      </w:r>
      <w:r w:rsidRPr="00CC6F7E">
        <w:rPr>
          <w:rFonts w:eastAsia="Times New Roman" w:cs="Times New Roman"/>
          <w:lang w:eastAsia="de-DE"/>
        </w:rPr>
        <w:t>(diese) bezieht sich auf alle Gesetze des Buches, nicht nur Kapitel 27.</w:t>
      </w:r>
    </w:p>
    <w:p w14:paraId="7800B78F"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אשר צוה יהוה את־משה אל־בני ישראל</w:t>
      </w:r>
      <w:r w:rsidRPr="00CC6F7E">
        <w:rPr>
          <w:rFonts w:eastAsia="Times New Roman" w:cs="Times New Roman"/>
          <w:rtl/>
          <w:lang w:eastAsia="de-DE"/>
        </w:rPr>
        <w:t xml:space="preserve"> </w:t>
      </w:r>
      <w:r w:rsidRPr="00CC6F7E">
        <w:rPr>
          <w:rFonts w:eastAsia="Times New Roman" w:cs="Times New Roman"/>
          <w:lang w:eastAsia="de-DE"/>
        </w:rPr>
        <w:t xml:space="preserve">(die der Ewige dem Mosche für die Kinder Israels geboten hat) entspricht 26,46 und zeigt die Mittlerrolle Moses zwischen JHWH und Israel. </w:t>
      </w:r>
      <w:r w:rsidRPr="00CC6F7E">
        <w:rPr>
          <w:rFonts w:eastAsia="Times New Roman" w:cs="Times New Roman"/>
          <w:b/>
          <w:bCs/>
          <w:rtl/>
          <w:lang w:eastAsia="de-DE"/>
        </w:rPr>
        <w:t>צוה</w:t>
      </w:r>
      <w:r w:rsidRPr="00CC6F7E">
        <w:rPr>
          <w:rFonts w:eastAsia="Times New Roman" w:cs="Times New Roman"/>
          <w:rtl/>
          <w:lang w:eastAsia="de-DE"/>
        </w:rPr>
        <w:t xml:space="preserve"> </w:t>
      </w:r>
      <w:r w:rsidRPr="00CC6F7E">
        <w:rPr>
          <w:rFonts w:eastAsia="Times New Roman" w:cs="Times New Roman"/>
          <w:lang w:eastAsia="de-DE"/>
        </w:rPr>
        <w:t>(geboten hat) im Piel-Perfekt zeigt göttlichen Befehlscharakter.</w:t>
      </w:r>
    </w:p>
    <w:p w14:paraId="4E8EE15C"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בהר סיני</w:t>
      </w:r>
      <w:r w:rsidRPr="00CC6F7E">
        <w:rPr>
          <w:rFonts w:eastAsia="Times New Roman" w:cs="Times New Roman"/>
          <w:rtl/>
          <w:lang w:eastAsia="de-DE"/>
        </w:rPr>
        <w:t xml:space="preserve"> </w:t>
      </w:r>
      <w:r w:rsidRPr="00CC6F7E">
        <w:rPr>
          <w:rFonts w:eastAsia="Times New Roman" w:cs="Times New Roman"/>
          <w:lang w:eastAsia="de-DE"/>
        </w:rPr>
        <w:t>(auf dem Berg Sinai) entspricht 26,46 und verortet die gesamte levitische Gesetzgebung am Sinai als Offenbarungsort.</w:t>
      </w:r>
    </w:p>
    <w:p w14:paraId="5A685C5D"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rtl/>
          <w:lang w:eastAsia="de-DE"/>
        </w:rPr>
        <w:t>אלה המצות</w:t>
      </w:r>
      <w:r w:rsidRPr="00CC6F7E">
        <w:rPr>
          <w:rFonts w:eastAsia="Times New Roman" w:cs="Times New Roman"/>
          <w:rtl/>
          <w:lang w:eastAsia="de-DE"/>
        </w:rPr>
        <w:t xml:space="preserve"> </w:t>
      </w:r>
      <w:r w:rsidRPr="00CC6F7E">
        <w:rPr>
          <w:rFonts w:eastAsia="Times New Roman" w:cs="Times New Roman"/>
          <w:lang w:eastAsia="de-DE"/>
        </w:rPr>
        <w:t xml:space="preserve">zeigt Gesamtabschluss des Buches Leviticus. </w:t>
      </w:r>
      <w:r w:rsidRPr="00CC6F7E">
        <w:rPr>
          <w:rFonts w:eastAsia="Times New Roman" w:cs="Times New Roman"/>
          <w:b/>
          <w:bCs/>
          <w:rtl/>
          <w:lang w:eastAsia="de-DE"/>
        </w:rPr>
        <w:t>צוה יהוה את־משה אל־בני ישראל</w:t>
      </w:r>
      <w:r w:rsidRPr="00CC6F7E">
        <w:rPr>
          <w:rFonts w:eastAsia="Times New Roman" w:cs="Times New Roman"/>
          <w:rtl/>
          <w:lang w:eastAsia="de-DE"/>
        </w:rPr>
        <w:t xml:space="preserve"> </w:t>
      </w:r>
      <w:r w:rsidRPr="00CC6F7E">
        <w:rPr>
          <w:rFonts w:eastAsia="Times New Roman" w:cs="Times New Roman"/>
          <w:lang w:eastAsia="de-DE"/>
        </w:rPr>
        <w:t xml:space="preserve">zeigt mosaische Mittlerschaft. </w:t>
      </w:r>
      <w:r w:rsidRPr="00CC6F7E">
        <w:rPr>
          <w:rFonts w:eastAsia="Times New Roman" w:cs="Times New Roman"/>
          <w:b/>
          <w:bCs/>
          <w:rtl/>
          <w:lang w:eastAsia="de-DE"/>
        </w:rPr>
        <w:t>בהר סיני</w:t>
      </w:r>
      <w:r w:rsidRPr="00CC6F7E">
        <w:rPr>
          <w:rFonts w:eastAsia="Times New Roman" w:cs="Times New Roman"/>
          <w:rtl/>
          <w:lang w:eastAsia="de-DE"/>
        </w:rPr>
        <w:t xml:space="preserve"> </w:t>
      </w:r>
      <w:r w:rsidRPr="00CC6F7E">
        <w:rPr>
          <w:rFonts w:eastAsia="Times New Roman" w:cs="Times New Roman"/>
          <w:lang w:eastAsia="de-DE"/>
        </w:rPr>
        <w:t>verortet am Sinai als Offenbarungsort.</w:t>
      </w:r>
    </w:p>
    <w:p w14:paraId="70AC42BC" w14:textId="67D08AC4"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LXX</w:t>
      </w:r>
      <w:r w:rsidRPr="00CC6F7E">
        <w:rPr>
          <w:rFonts w:eastAsia="Times New Roman" w:cs="Times New Roman"/>
          <w:lang w:eastAsia="de-DE"/>
        </w:rPr>
        <w:t xml:space="preserve"> </w:t>
      </w:r>
      <w:r w:rsidR="00CC4574">
        <w:t xml:space="preserve">schließt mit der Ortsangabe </w:t>
      </w:r>
      <w:proofErr w:type="spellStart"/>
      <w:r w:rsidR="00CC4574">
        <w:t>ἐν</w:t>
      </w:r>
      <w:proofErr w:type="spellEnd"/>
      <w:r w:rsidR="00CC4574">
        <w:t xml:space="preserve"> </w:t>
      </w:r>
      <w:proofErr w:type="spellStart"/>
      <w:r w:rsidR="00CC4574">
        <w:t>τῷ</w:t>
      </w:r>
      <w:proofErr w:type="spellEnd"/>
      <w:r w:rsidR="00CC4574">
        <w:t xml:space="preserve"> </w:t>
      </w:r>
      <w:proofErr w:type="spellStart"/>
      <w:r w:rsidR="00CC4574">
        <w:t>ὄρει</w:t>
      </w:r>
      <w:proofErr w:type="spellEnd"/>
      <w:r w:rsidR="00CC4574">
        <w:t xml:space="preserve"> </w:t>
      </w:r>
      <w:proofErr w:type="spellStart"/>
      <w:r w:rsidR="00CC4574">
        <w:t>Σινά</w:t>
      </w:r>
      <w:proofErr w:type="spellEnd"/>
      <w:r w:rsidR="00CC4574">
        <w:t xml:space="preserve"> (auf dem Berg Sinai), was die Autorität der Gesetze betont.</w:t>
      </w:r>
    </w:p>
    <w:p w14:paraId="1B89162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Die Satzstruktur</w:t>
      </w:r>
      <w:r w:rsidRPr="00CC6F7E">
        <w:rPr>
          <w:rFonts w:eastAsia="Times New Roman" w:cs="Times New Roman"/>
          <w:lang w:eastAsia="de-DE"/>
        </w:rPr>
        <w:t xml:space="preserve"> zeigt Buch-Abschlussformel: diese die Gebote + die JHWH Mosche befahl + für Kinder Israels + am Berg Sinai.</w:t>
      </w:r>
    </w:p>
    <w:p w14:paraId="75242A70"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lastRenderedPageBreak/>
        <w:t xml:space="preserve">Dieser Schlussvers kennzeichnet alle levitischen Gesetze als göttliche </w:t>
      </w:r>
      <w:r w:rsidRPr="00CC6F7E">
        <w:rPr>
          <w:rFonts w:eastAsia="Times New Roman" w:cs="Times New Roman"/>
          <w:b/>
          <w:bCs/>
          <w:rtl/>
          <w:lang w:eastAsia="de-DE"/>
        </w:rPr>
        <w:t>מצות</w:t>
      </w:r>
      <w:r w:rsidRPr="00CC6F7E">
        <w:rPr>
          <w:rFonts w:eastAsia="Times New Roman" w:cs="Times New Roman"/>
          <w:lang w:eastAsia="de-DE"/>
        </w:rPr>
        <w:t>, durch Mose vermittelt, für Israel, am Sinai offenbart.</w:t>
      </w:r>
    </w:p>
    <w:p w14:paraId="381F26F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lang w:eastAsia="de-DE"/>
        </w:rPr>
        <w:t xml:space="preserve">Kapitel 27 bildet einen Anhang zum Heiligkeitsgesetz und behandelt </w:t>
      </w:r>
      <w:r w:rsidRPr="00CC6F7E">
        <w:rPr>
          <w:rFonts w:eastAsia="Times New Roman" w:cs="Times New Roman"/>
          <w:b/>
          <w:bCs/>
          <w:lang w:eastAsia="de-DE"/>
        </w:rPr>
        <w:t>Gelübde-Schätzungen</w:t>
      </w:r>
      <w:r w:rsidRPr="00CC6F7E">
        <w:rPr>
          <w:rFonts w:eastAsia="Times New Roman" w:cs="Times New Roman"/>
          <w:lang w:eastAsia="de-DE"/>
        </w:rPr>
        <w:t xml:space="preserve"> und </w:t>
      </w:r>
      <w:r w:rsidRPr="00CC6F7E">
        <w:rPr>
          <w:rFonts w:eastAsia="Times New Roman" w:cs="Times New Roman"/>
          <w:b/>
          <w:bCs/>
          <w:lang w:eastAsia="de-DE"/>
        </w:rPr>
        <w:t>Heiligungen</w:t>
      </w:r>
      <w:r w:rsidRPr="00CC6F7E">
        <w:rPr>
          <w:rFonts w:eastAsia="Times New Roman" w:cs="Times New Roman"/>
          <w:lang w:eastAsia="de-DE"/>
        </w:rPr>
        <w:t xml:space="preserve"> mit detaillierten Bewertungs- und Rückkaufsregeln. Das Kapitel gliedert sich in </w:t>
      </w:r>
      <w:r w:rsidRPr="00CC6F7E">
        <w:rPr>
          <w:rFonts w:eastAsia="Times New Roman" w:cs="Times New Roman"/>
          <w:b/>
          <w:bCs/>
          <w:lang w:eastAsia="de-DE"/>
        </w:rPr>
        <w:t>Personen-Gelübde</w:t>
      </w:r>
      <w:r w:rsidRPr="00CC6F7E">
        <w:rPr>
          <w:rFonts w:eastAsia="Times New Roman" w:cs="Times New Roman"/>
          <w:lang w:eastAsia="de-DE"/>
        </w:rPr>
        <w:t xml:space="preserve"> (V. 1-8), </w:t>
      </w:r>
      <w:r w:rsidRPr="00CC6F7E">
        <w:rPr>
          <w:rFonts w:eastAsia="Times New Roman" w:cs="Times New Roman"/>
          <w:b/>
          <w:bCs/>
          <w:lang w:eastAsia="de-DE"/>
        </w:rPr>
        <w:t>Vieh-Gelübde</w:t>
      </w:r>
      <w:r w:rsidRPr="00CC6F7E">
        <w:rPr>
          <w:rFonts w:eastAsia="Times New Roman" w:cs="Times New Roman"/>
          <w:lang w:eastAsia="de-DE"/>
        </w:rPr>
        <w:t xml:space="preserve"> (V. 9-13), </w:t>
      </w:r>
      <w:r w:rsidRPr="00CC6F7E">
        <w:rPr>
          <w:rFonts w:eastAsia="Times New Roman" w:cs="Times New Roman"/>
          <w:b/>
          <w:bCs/>
          <w:lang w:eastAsia="de-DE"/>
        </w:rPr>
        <w:t>Immobilien-Gelübde</w:t>
      </w:r>
      <w:r w:rsidRPr="00CC6F7E">
        <w:rPr>
          <w:rFonts w:eastAsia="Times New Roman" w:cs="Times New Roman"/>
          <w:lang w:eastAsia="de-DE"/>
        </w:rPr>
        <w:t xml:space="preserve"> (V. 14-25), </w:t>
      </w:r>
      <w:r w:rsidRPr="00CC6F7E">
        <w:rPr>
          <w:rFonts w:eastAsia="Times New Roman" w:cs="Times New Roman"/>
          <w:b/>
          <w:bCs/>
          <w:lang w:eastAsia="de-DE"/>
        </w:rPr>
        <w:t>Sonderbestimmungen</w:t>
      </w:r>
      <w:r w:rsidRPr="00CC6F7E">
        <w:rPr>
          <w:rFonts w:eastAsia="Times New Roman" w:cs="Times New Roman"/>
          <w:lang w:eastAsia="de-DE"/>
        </w:rPr>
        <w:t xml:space="preserve"> (V. 26-29) und </w:t>
      </w:r>
      <w:r w:rsidRPr="00CC6F7E">
        <w:rPr>
          <w:rFonts w:eastAsia="Times New Roman" w:cs="Times New Roman"/>
          <w:b/>
          <w:bCs/>
          <w:lang w:eastAsia="de-DE"/>
        </w:rPr>
        <w:t>Zehnten-Gesetze</w:t>
      </w:r>
      <w:r w:rsidRPr="00CC6F7E">
        <w:rPr>
          <w:rFonts w:eastAsia="Times New Roman" w:cs="Times New Roman"/>
          <w:lang w:eastAsia="de-DE"/>
        </w:rPr>
        <w:t xml:space="preserve"> (V. 30-33) mit </w:t>
      </w:r>
      <w:r w:rsidRPr="00CC6F7E">
        <w:rPr>
          <w:rFonts w:eastAsia="Times New Roman" w:cs="Times New Roman"/>
          <w:b/>
          <w:bCs/>
          <w:lang w:eastAsia="de-DE"/>
        </w:rPr>
        <w:t>Abschlussformel</w:t>
      </w:r>
      <w:r w:rsidRPr="00CC6F7E">
        <w:rPr>
          <w:rFonts w:eastAsia="Times New Roman" w:cs="Times New Roman"/>
          <w:lang w:eastAsia="de-DE"/>
        </w:rPr>
        <w:t xml:space="preserve"> (V. 34).</w:t>
      </w:r>
    </w:p>
    <w:p w14:paraId="1E26774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1) Personen-Gelübde (V. 1-8):</w:t>
      </w:r>
      <w:r w:rsidRPr="00CC6F7E">
        <w:rPr>
          <w:rFonts w:eastAsia="Times New Roman" w:cs="Times New Roman"/>
          <w:lang w:eastAsia="de-DE"/>
        </w:rPr>
        <w:t xml:space="preserve"> </w:t>
      </w:r>
      <w:r w:rsidRPr="00CC6F7E">
        <w:rPr>
          <w:rFonts w:eastAsia="Times New Roman" w:cs="Times New Roman"/>
          <w:b/>
          <w:bCs/>
          <w:rtl/>
          <w:lang w:eastAsia="de-DE"/>
        </w:rPr>
        <w:t>נדר פלא</w:t>
      </w:r>
      <w:r w:rsidRPr="00CC6F7E">
        <w:rPr>
          <w:rFonts w:eastAsia="Times New Roman" w:cs="Times New Roman"/>
          <w:rtl/>
          <w:lang w:eastAsia="de-DE"/>
        </w:rPr>
        <w:t xml:space="preserve"> </w:t>
      </w:r>
      <w:r w:rsidRPr="00CC6F7E">
        <w:rPr>
          <w:rFonts w:eastAsia="Times New Roman" w:cs="Times New Roman"/>
          <w:lang w:eastAsia="de-DE"/>
        </w:rPr>
        <w:t xml:space="preserve">(besondere Gelübde) für </w:t>
      </w:r>
      <w:r w:rsidRPr="00CC6F7E">
        <w:rPr>
          <w:rFonts w:eastAsia="Times New Roman" w:cs="Times New Roman"/>
          <w:b/>
          <w:bCs/>
          <w:rtl/>
          <w:lang w:eastAsia="de-DE"/>
        </w:rPr>
        <w:t>נפשת</w:t>
      </w:r>
      <w:r w:rsidRPr="00CC6F7E">
        <w:rPr>
          <w:rFonts w:eastAsia="Times New Roman" w:cs="Times New Roman"/>
          <w:rtl/>
          <w:lang w:eastAsia="de-DE"/>
        </w:rPr>
        <w:t xml:space="preserve"> </w:t>
      </w:r>
      <w:r w:rsidRPr="00CC6F7E">
        <w:rPr>
          <w:rFonts w:eastAsia="Times New Roman" w:cs="Times New Roman"/>
          <w:lang w:eastAsia="de-DE"/>
        </w:rPr>
        <w:t xml:space="preserve">(Personen) nach </w:t>
      </w:r>
      <w:r w:rsidRPr="00CC6F7E">
        <w:rPr>
          <w:rFonts w:eastAsia="Times New Roman" w:cs="Times New Roman"/>
          <w:b/>
          <w:bCs/>
          <w:rtl/>
          <w:lang w:eastAsia="de-DE"/>
        </w:rPr>
        <w:t>ערך</w:t>
      </w:r>
      <w:r w:rsidRPr="00CC6F7E">
        <w:rPr>
          <w:rFonts w:eastAsia="Times New Roman" w:cs="Times New Roman"/>
          <w:rtl/>
          <w:lang w:eastAsia="de-DE"/>
        </w:rPr>
        <w:t xml:space="preserve"> </w:t>
      </w:r>
      <w:r w:rsidRPr="00CC6F7E">
        <w:rPr>
          <w:rFonts w:eastAsia="Times New Roman" w:cs="Times New Roman"/>
          <w:lang w:eastAsia="de-DE"/>
        </w:rPr>
        <w:t xml:space="preserve">(Schätzung). </w:t>
      </w:r>
      <w:r w:rsidRPr="00CC6F7E">
        <w:rPr>
          <w:rFonts w:eastAsia="Times New Roman" w:cs="Times New Roman"/>
          <w:b/>
          <w:bCs/>
          <w:lang w:eastAsia="de-DE"/>
        </w:rPr>
        <w:t>Alters- und geschlechtsspezifische Schätzungen:</w:t>
      </w:r>
      <w:r w:rsidRPr="00CC6F7E">
        <w:rPr>
          <w:rFonts w:eastAsia="Times New Roman" w:cs="Times New Roman"/>
          <w:lang w:eastAsia="de-DE"/>
        </w:rPr>
        <w:t xml:space="preserve"> Männer 20-60 Jahre: </w:t>
      </w:r>
      <w:r w:rsidRPr="00CC6F7E">
        <w:rPr>
          <w:rFonts w:eastAsia="Times New Roman" w:cs="Times New Roman"/>
          <w:b/>
          <w:bCs/>
          <w:lang w:eastAsia="de-DE"/>
        </w:rPr>
        <w:t>50 Schekel</w:t>
      </w:r>
      <w:r w:rsidRPr="00CC6F7E">
        <w:rPr>
          <w:rFonts w:eastAsia="Times New Roman" w:cs="Times New Roman"/>
          <w:lang w:eastAsia="de-DE"/>
        </w:rPr>
        <w:t xml:space="preserve">, Frauen: </w:t>
      </w:r>
      <w:r w:rsidRPr="00CC6F7E">
        <w:rPr>
          <w:rFonts w:eastAsia="Times New Roman" w:cs="Times New Roman"/>
          <w:b/>
          <w:bCs/>
          <w:lang w:eastAsia="de-DE"/>
        </w:rPr>
        <w:t>30 Schekel</w:t>
      </w:r>
      <w:r w:rsidRPr="00CC6F7E">
        <w:rPr>
          <w:rFonts w:eastAsia="Times New Roman" w:cs="Times New Roman"/>
          <w:lang w:eastAsia="de-DE"/>
        </w:rPr>
        <w:t xml:space="preserve">; Jugendliche 5-20 Jahre: Männer </w:t>
      </w:r>
      <w:r w:rsidRPr="00CC6F7E">
        <w:rPr>
          <w:rFonts w:eastAsia="Times New Roman" w:cs="Times New Roman"/>
          <w:b/>
          <w:bCs/>
          <w:lang w:eastAsia="de-DE"/>
        </w:rPr>
        <w:t>20 Schekel</w:t>
      </w:r>
      <w:r w:rsidRPr="00CC6F7E">
        <w:rPr>
          <w:rFonts w:eastAsia="Times New Roman" w:cs="Times New Roman"/>
          <w:lang w:eastAsia="de-DE"/>
        </w:rPr>
        <w:t xml:space="preserve">, Frauen </w:t>
      </w:r>
      <w:r w:rsidRPr="00CC6F7E">
        <w:rPr>
          <w:rFonts w:eastAsia="Times New Roman" w:cs="Times New Roman"/>
          <w:b/>
          <w:bCs/>
          <w:lang w:eastAsia="de-DE"/>
        </w:rPr>
        <w:t>10 Schekel</w:t>
      </w:r>
      <w:r w:rsidRPr="00CC6F7E">
        <w:rPr>
          <w:rFonts w:eastAsia="Times New Roman" w:cs="Times New Roman"/>
          <w:lang w:eastAsia="de-DE"/>
        </w:rPr>
        <w:t xml:space="preserve">; Kleinkinder 1 Monat-5 Jahre: Männer </w:t>
      </w:r>
      <w:r w:rsidRPr="00CC6F7E">
        <w:rPr>
          <w:rFonts w:eastAsia="Times New Roman" w:cs="Times New Roman"/>
          <w:b/>
          <w:bCs/>
          <w:lang w:eastAsia="de-DE"/>
        </w:rPr>
        <w:t>5 Schekel</w:t>
      </w:r>
      <w:r w:rsidRPr="00CC6F7E">
        <w:rPr>
          <w:rFonts w:eastAsia="Times New Roman" w:cs="Times New Roman"/>
          <w:lang w:eastAsia="de-DE"/>
        </w:rPr>
        <w:t xml:space="preserve">, Frauen </w:t>
      </w:r>
      <w:r w:rsidRPr="00CC6F7E">
        <w:rPr>
          <w:rFonts w:eastAsia="Times New Roman" w:cs="Times New Roman"/>
          <w:b/>
          <w:bCs/>
          <w:lang w:eastAsia="de-DE"/>
        </w:rPr>
        <w:t>3 Schekel</w:t>
      </w:r>
      <w:r w:rsidRPr="00CC6F7E">
        <w:rPr>
          <w:rFonts w:eastAsia="Times New Roman" w:cs="Times New Roman"/>
          <w:lang w:eastAsia="de-DE"/>
        </w:rPr>
        <w:t xml:space="preserve">; Senioren 60+ Jahre: Männer </w:t>
      </w:r>
      <w:r w:rsidRPr="00CC6F7E">
        <w:rPr>
          <w:rFonts w:eastAsia="Times New Roman" w:cs="Times New Roman"/>
          <w:b/>
          <w:bCs/>
          <w:lang w:eastAsia="de-DE"/>
        </w:rPr>
        <w:t>15 Schekel</w:t>
      </w:r>
      <w:r w:rsidRPr="00CC6F7E">
        <w:rPr>
          <w:rFonts w:eastAsia="Times New Roman" w:cs="Times New Roman"/>
          <w:lang w:eastAsia="de-DE"/>
        </w:rPr>
        <w:t xml:space="preserve">, Frauen </w:t>
      </w:r>
      <w:r w:rsidRPr="00CC6F7E">
        <w:rPr>
          <w:rFonts w:eastAsia="Times New Roman" w:cs="Times New Roman"/>
          <w:b/>
          <w:bCs/>
          <w:lang w:eastAsia="de-DE"/>
        </w:rPr>
        <w:t>10 Schekel</w:t>
      </w:r>
      <w:r w:rsidRPr="00CC6F7E">
        <w:rPr>
          <w:rFonts w:eastAsia="Times New Roman" w:cs="Times New Roman"/>
          <w:lang w:eastAsia="de-DE"/>
        </w:rPr>
        <w:t xml:space="preserve">. </w:t>
      </w:r>
      <w:r w:rsidRPr="00CC6F7E">
        <w:rPr>
          <w:rFonts w:eastAsia="Times New Roman" w:cs="Times New Roman"/>
          <w:b/>
          <w:bCs/>
          <w:lang w:eastAsia="de-DE"/>
        </w:rPr>
        <w:t>Armuts-Sonderregelung:</w:t>
      </w:r>
      <w:r w:rsidRPr="00CC6F7E">
        <w:rPr>
          <w:rFonts w:eastAsia="Times New Roman" w:cs="Times New Roman"/>
          <w:lang w:eastAsia="de-DE"/>
        </w:rPr>
        <w:t xml:space="preserve"> Bei Zahlungsunfähigkeit priesterliche Individualschätzung nach </w:t>
      </w:r>
      <w:r w:rsidRPr="00CC6F7E">
        <w:rPr>
          <w:rFonts w:eastAsia="Times New Roman" w:cs="Times New Roman"/>
          <w:b/>
          <w:bCs/>
          <w:rtl/>
          <w:lang w:eastAsia="de-DE"/>
        </w:rPr>
        <w:t>תשיג יד הנדר</w:t>
      </w:r>
      <w:r w:rsidRPr="00CC6F7E">
        <w:rPr>
          <w:rFonts w:eastAsia="Times New Roman" w:cs="Times New Roman"/>
          <w:rtl/>
          <w:lang w:eastAsia="de-DE"/>
        </w:rPr>
        <w:t xml:space="preserve"> </w:t>
      </w:r>
      <w:r w:rsidRPr="00CC6F7E">
        <w:rPr>
          <w:rFonts w:eastAsia="Times New Roman" w:cs="Times New Roman"/>
          <w:lang w:eastAsia="de-DE"/>
        </w:rPr>
        <w:t xml:space="preserve">(Leistungsfähigkeit des Gelobenden). Alle Werte in </w:t>
      </w:r>
      <w:r w:rsidRPr="00CC6F7E">
        <w:rPr>
          <w:rFonts w:eastAsia="Times New Roman" w:cs="Times New Roman"/>
          <w:b/>
          <w:bCs/>
          <w:rtl/>
          <w:lang w:eastAsia="de-DE"/>
        </w:rPr>
        <w:t>שקל הקדש</w:t>
      </w:r>
      <w:r w:rsidRPr="00CC6F7E">
        <w:rPr>
          <w:rFonts w:eastAsia="Times New Roman" w:cs="Times New Roman"/>
          <w:rtl/>
          <w:lang w:eastAsia="de-DE"/>
        </w:rPr>
        <w:t xml:space="preserve"> </w:t>
      </w:r>
      <w:r w:rsidRPr="00CC6F7E">
        <w:rPr>
          <w:rFonts w:eastAsia="Times New Roman" w:cs="Times New Roman"/>
          <w:lang w:eastAsia="de-DE"/>
        </w:rPr>
        <w:t>(Heiligtums-Schekel).</w:t>
      </w:r>
    </w:p>
    <w:p w14:paraId="44BA6BF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2) Vieh-Gelübde (V. 9-13):</w:t>
      </w:r>
      <w:r w:rsidRPr="00CC6F7E">
        <w:rPr>
          <w:rFonts w:eastAsia="Times New Roman" w:cs="Times New Roman"/>
          <w:lang w:eastAsia="de-DE"/>
        </w:rPr>
        <w:t xml:space="preserve"> </w:t>
      </w:r>
      <w:r w:rsidRPr="00CC6F7E">
        <w:rPr>
          <w:rFonts w:eastAsia="Times New Roman" w:cs="Times New Roman"/>
          <w:b/>
          <w:bCs/>
          <w:lang w:eastAsia="de-DE"/>
        </w:rPr>
        <w:t>Opferfähige Tiere</w:t>
      </w:r>
      <w:r w:rsidRPr="00CC6F7E">
        <w:rPr>
          <w:rFonts w:eastAsia="Times New Roman" w:cs="Times New Roman"/>
          <w:lang w:eastAsia="de-DE"/>
        </w:rPr>
        <w:t xml:space="preserve"> (</w:t>
      </w:r>
      <w:r w:rsidRPr="00CC6F7E">
        <w:rPr>
          <w:rFonts w:eastAsia="Times New Roman" w:cs="Times New Roman"/>
          <w:b/>
          <w:bCs/>
          <w:rtl/>
          <w:lang w:eastAsia="de-DE"/>
        </w:rPr>
        <w:t>בהמה אשר יקריבו ממנה קרבן</w:t>
      </w:r>
      <w:r w:rsidRPr="00CC6F7E">
        <w:rPr>
          <w:rFonts w:eastAsia="Times New Roman" w:cs="Times New Roman"/>
          <w:lang w:eastAsia="de-DE"/>
        </w:rPr>
        <w:t xml:space="preserve">) werden automatisch </w:t>
      </w:r>
      <w:r w:rsidRPr="00CC6F7E">
        <w:rPr>
          <w:rFonts w:eastAsia="Times New Roman" w:cs="Times New Roman"/>
          <w:b/>
          <w:bCs/>
          <w:rtl/>
          <w:lang w:eastAsia="de-DE"/>
        </w:rPr>
        <w:t>קדש</w:t>
      </w:r>
      <w:r w:rsidRPr="00CC6F7E">
        <w:rPr>
          <w:rFonts w:eastAsia="Times New Roman" w:cs="Times New Roman"/>
          <w:rtl/>
          <w:lang w:eastAsia="de-DE"/>
        </w:rPr>
        <w:t xml:space="preserve"> </w:t>
      </w:r>
      <w:r w:rsidRPr="00CC6F7E">
        <w:rPr>
          <w:rFonts w:eastAsia="Times New Roman" w:cs="Times New Roman"/>
          <w:lang w:eastAsia="de-DE"/>
        </w:rPr>
        <w:t xml:space="preserve">ohne Rückkaufoption. Absolutes </w:t>
      </w:r>
      <w:r w:rsidRPr="00CC6F7E">
        <w:rPr>
          <w:rFonts w:eastAsia="Times New Roman" w:cs="Times New Roman"/>
          <w:b/>
          <w:bCs/>
          <w:lang w:eastAsia="de-DE"/>
        </w:rPr>
        <w:t>Tauschverbot</w:t>
      </w:r>
      <w:r w:rsidRPr="00CC6F7E">
        <w:rPr>
          <w:rFonts w:eastAsia="Times New Roman" w:cs="Times New Roman"/>
          <w:lang w:eastAsia="de-DE"/>
        </w:rPr>
        <w:t xml:space="preserve"> (</w:t>
      </w:r>
      <w:r w:rsidRPr="00CC6F7E">
        <w:rPr>
          <w:rFonts w:eastAsia="Times New Roman" w:cs="Times New Roman"/>
          <w:b/>
          <w:bCs/>
          <w:rtl/>
          <w:lang w:eastAsia="de-DE"/>
        </w:rPr>
        <w:t>לא יחליפנו ולא־ימיר</w:t>
      </w:r>
      <w:r w:rsidRPr="00CC6F7E">
        <w:rPr>
          <w:rFonts w:eastAsia="Times New Roman" w:cs="Times New Roman"/>
          <w:lang w:eastAsia="de-DE"/>
        </w:rPr>
        <w:t xml:space="preserve">) mit </w:t>
      </w:r>
      <w:r w:rsidRPr="00CC6F7E">
        <w:rPr>
          <w:rFonts w:eastAsia="Times New Roman" w:cs="Times New Roman"/>
          <w:b/>
          <w:bCs/>
          <w:lang w:eastAsia="de-DE"/>
        </w:rPr>
        <w:t>Doppel-Heiligung</w:t>
      </w:r>
      <w:r w:rsidRPr="00CC6F7E">
        <w:rPr>
          <w:rFonts w:eastAsia="Times New Roman" w:cs="Times New Roman"/>
          <w:lang w:eastAsia="de-DE"/>
        </w:rPr>
        <w:t xml:space="preserve"> bei Übertretung (</w:t>
      </w:r>
      <w:r w:rsidRPr="00CC6F7E">
        <w:rPr>
          <w:rFonts w:eastAsia="Times New Roman" w:cs="Times New Roman"/>
          <w:b/>
          <w:bCs/>
          <w:rtl/>
          <w:lang w:eastAsia="de-DE"/>
        </w:rPr>
        <w:t>והיה־הוא ותמורתו יהיה־קדש</w:t>
      </w:r>
      <w:r w:rsidRPr="00CC6F7E">
        <w:rPr>
          <w:rFonts w:eastAsia="Times New Roman" w:cs="Times New Roman"/>
          <w:lang w:eastAsia="de-DE"/>
        </w:rPr>
        <w:t xml:space="preserve">). </w:t>
      </w:r>
      <w:r w:rsidRPr="00CC6F7E">
        <w:rPr>
          <w:rFonts w:eastAsia="Times New Roman" w:cs="Times New Roman"/>
          <w:b/>
          <w:bCs/>
          <w:lang w:eastAsia="de-DE"/>
        </w:rPr>
        <w:t>Unreine Tiere</w:t>
      </w:r>
      <w:r w:rsidRPr="00CC6F7E">
        <w:rPr>
          <w:rFonts w:eastAsia="Times New Roman" w:cs="Times New Roman"/>
          <w:lang w:eastAsia="de-DE"/>
        </w:rPr>
        <w:t xml:space="preserve"> erhalten priesterliche Schätzung (</w:t>
      </w:r>
      <w:r w:rsidRPr="00CC6F7E">
        <w:rPr>
          <w:rFonts w:eastAsia="Times New Roman" w:cs="Times New Roman"/>
          <w:b/>
          <w:bCs/>
          <w:rtl/>
          <w:lang w:eastAsia="de-DE"/>
        </w:rPr>
        <w:t>בין טוב ובין רע</w:t>
      </w:r>
      <w:r w:rsidRPr="00CC6F7E">
        <w:rPr>
          <w:rFonts w:eastAsia="Times New Roman" w:cs="Times New Roman"/>
          <w:lang w:eastAsia="de-DE"/>
        </w:rPr>
        <w:t xml:space="preserve">) mit </w:t>
      </w:r>
      <w:r w:rsidRPr="00CC6F7E">
        <w:rPr>
          <w:rFonts w:eastAsia="Times New Roman" w:cs="Times New Roman"/>
          <w:b/>
          <w:bCs/>
          <w:lang w:eastAsia="de-DE"/>
        </w:rPr>
        <w:t>Rückkaufoption</w:t>
      </w:r>
      <w:r w:rsidRPr="00CC6F7E">
        <w:rPr>
          <w:rFonts w:eastAsia="Times New Roman" w:cs="Times New Roman"/>
          <w:lang w:eastAsia="de-DE"/>
        </w:rPr>
        <w:t xml:space="preserve"> plus </w:t>
      </w:r>
      <w:r w:rsidRPr="00CC6F7E">
        <w:rPr>
          <w:rFonts w:eastAsia="Times New Roman" w:cs="Times New Roman"/>
          <w:b/>
          <w:bCs/>
          <w:lang w:eastAsia="de-DE"/>
        </w:rPr>
        <w:t>20%-Aufschlag</w:t>
      </w:r>
      <w:r w:rsidRPr="00CC6F7E">
        <w:rPr>
          <w:rFonts w:eastAsia="Times New Roman" w:cs="Times New Roman"/>
          <w:lang w:eastAsia="de-DE"/>
        </w:rPr>
        <w:t xml:space="preserve"> (</w:t>
      </w:r>
      <w:r w:rsidRPr="00CC6F7E">
        <w:rPr>
          <w:rFonts w:eastAsia="Times New Roman" w:cs="Times New Roman"/>
          <w:b/>
          <w:bCs/>
          <w:rtl/>
          <w:lang w:eastAsia="de-DE"/>
        </w:rPr>
        <w:t>חמישתו יסף על־ערכך</w:t>
      </w:r>
      <w:r w:rsidRPr="00CC6F7E">
        <w:rPr>
          <w:rFonts w:eastAsia="Times New Roman" w:cs="Times New Roman"/>
          <w:lang w:eastAsia="de-DE"/>
        </w:rPr>
        <w:t>).</w:t>
      </w:r>
    </w:p>
    <w:p w14:paraId="3ECD54D3"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3) Immobilien-Gelübde (V. 14-25):</w:t>
      </w:r>
      <w:r w:rsidRPr="00CC6F7E">
        <w:rPr>
          <w:rFonts w:eastAsia="Times New Roman" w:cs="Times New Roman"/>
          <w:lang w:eastAsia="de-DE"/>
        </w:rPr>
        <w:t xml:space="preserve"> </w:t>
      </w:r>
      <w:r w:rsidRPr="00CC6F7E">
        <w:rPr>
          <w:rFonts w:eastAsia="Times New Roman" w:cs="Times New Roman"/>
          <w:b/>
          <w:bCs/>
          <w:lang w:eastAsia="de-DE"/>
        </w:rPr>
        <w:t>Häuser</w:t>
      </w:r>
      <w:r w:rsidRPr="00CC6F7E">
        <w:rPr>
          <w:rFonts w:eastAsia="Times New Roman" w:cs="Times New Roman"/>
          <w:lang w:eastAsia="de-DE"/>
        </w:rPr>
        <w:t xml:space="preserve"> erhalten priesterliche Schätzung mit Rückkaufoption für ursprünglichen Weihenden plus </w:t>
      </w:r>
      <w:r w:rsidRPr="00CC6F7E">
        <w:rPr>
          <w:rFonts w:eastAsia="Times New Roman" w:cs="Times New Roman"/>
          <w:b/>
          <w:bCs/>
          <w:lang w:eastAsia="de-DE"/>
        </w:rPr>
        <w:t>20%-Aufschlag</w:t>
      </w:r>
      <w:r w:rsidRPr="00CC6F7E">
        <w:rPr>
          <w:rFonts w:eastAsia="Times New Roman" w:cs="Times New Roman"/>
          <w:lang w:eastAsia="de-DE"/>
        </w:rPr>
        <w:t xml:space="preserve">. </w:t>
      </w:r>
      <w:r w:rsidRPr="00CC6F7E">
        <w:rPr>
          <w:rFonts w:eastAsia="Times New Roman" w:cs="Times New Roman"/>
          <w:b/>
          <w:bCs/>
          <w:lang w:eastAsia="de-DE"/>
        </w:rPr>
        <w:t>Erbfelder</w:t>
      </w:r>
      <w:r w:rsidRPr="00CC6F7E">
        <w:rPr>
          <w:rFonts w:eastAsia="Times New Roman" w:cs="Times New Roman"/>
          <w:lang w:eastAsia="de-DE"/>
        </w:rPr>
        <w:t xml:space="preserve"> (</w:t>
      </w:r>
      <w:r w:rsidRPr="00CC6F7E">
        <w:rPr>
          <w:rFonts w:eastAsia="Times New Roman" w:cs="Times New Roman"/>
          <w:b/>
          <w:bCs/>
          <w:rtl/>
          <w:lang w:eastAsia="de-DE"/>
        </w:rPr>
        <w:t>משדה אחזתו</w:t>
      </w:r>
      <w:r w:rsidRPr="00CC6F7E">
        <w:rPr>
          <w:rFonts w:eastAsia="Times New Roman" w:cs="Times New Roman"/>
          <w:lang w:eastAsia="de-DE"/>
        </w:rPr>
        <w:t xml:space="preserve">) werden nach </w:t>
      </w:r>
      <w:r w:rsidRPr="00CC6F7E">
        <w:rPr>
          <w:rFonts w:eastAsia="Times New Roman" w:cs="Times New Roman"/>
          <w:b/>
          <w:bCs/>
          <w:lang w:eastAsia="de-DE"/>
        </w:rPr>
        <w:t>Saatmenge</w:t>
      </w:r>
      <w:r w:rsidRPr="00CC6F7E">
        <w:rPr>
          <w:rFonts w:eastAsia="Times New Roman" w:cs="Times New Roman"/>
          <w:lang w:eastAsia="de-DE"/>
        </w:rPr>
        <w:t xml:space="preserve"> bewertet: </w:t>
      </w:r>
      <w:r w:rsidRPr="00CC6F7E">
        <w:rPr>
          <w:rFonts w:eastAsia="Times New Roman" w:cs="Times New Roman"/>
          <w:b/>
          <w:bCs/>
          <w:lang w:eastAsia="de-DE"/>
        </w:rPr>
        <w:t>1 Homer Gerste = 50 Schekel</w:t>
      </w:r>
      <w:r w:rsidRPr="00CC6F7E">
        <w:rPr>
          <w:rFonts w:eastAsia="Times New Roman" w:cs="Times New Roman"/>
          <w:lang w:eastAsia="de-DE"/>
        </w:rPr>
        <w:t xml:space="preserve"> als Standard. </w:t>
      </w:r>
      <w:r w:rsidRPr="00CC6F7E">
        <w:rPr>
          <w:rFonts w:eastAsia="Times New Roman" w:cs="Times New Roman"/>
          <w:b/>
          <w:bCs/>
          <w:lang w:eastAsia="de-DE"/>
        </w:rPr>
        <w:t>Jobel-proportionale Bewertung:</w:t>
      </w:r>
      <w:r w:rsidRPr="00CC6F7E">
        <w:rPr>
          <w:rFonts w:eastAsia="Times New Roman" w:cs="Times New Roman"/>
          <w:lang w:eastAsia="de-DE"/>
        </w:rPr>
        <w:t xml:space="preserve"> Vollwert bei Weihe </w:t>
      </w:r>
      <w:r w:rsidRPr="00CC6F7E">
        <w:rPr>
          <w:rFonts w:eastAsia="Times New Roman" w:cs="Times New Roman"/>
          <w:b/>
          <w:bCs/>
          <w:rtl/>
          <w:lang w:eastAsia="de-DE"/>
        </w:rPr>
        <w:t>משנת היובל</w:t>
      </w:r>
      <w:r w:rsidRPr="00CC6F7E">
        <w:rPr>
          <w:rFonts w:eastAsia="Times New Roman" w:cs="Times New Roman"/>
          <w:rtl/>
          <w:lang w:eastAsia="de-DE"/>
        </w:rPr>
        <w:t xml:space="preserve"> </w:t>
      </w:r>
      <w:r w:rsidRPr="00CC6F7E">
        <w:rPr>
          <w:rFonts w:eastAsia="Times New Roman" w:cs="Times New Roman"/>
          <w:lang w:eastAsia="de-DE"/>
        </w:rPr>
        <w:t xml:space="preserve">(direkt nach Jobel), Abschlag </w:t>
      </w:r>
      <w:r w:rsidRPr="00CC6F7E">
        <w:rPr>
          <w:rFonts w:eastAsia="Times New Roman" w:cs="Times New Roman"/>
          <w:b/>
          <w:bCs/>
          <w:rtl/>
          <w:lang w:eastAsia="de-DE"/>
        </w:rPr>
        <w:t>על־פי השנים הנותרת</w:t>
      </w:r>
      <w:r w:rsidRPr="00CC6F7E">
        <w:rPr>
          <w:rFonts w:eastAsia="Times New Roman" w:cs="Times New Roman"/>
          <w:rtl/>
          <w:lang w:eastAsia="de-DE"/>
        </w:rPr>
        <w:t xml:space="preserve"> </w:t>
      </w:r>
      <w:r w:rsidRPr="00CC6F7E">
        <w:rPr>
          <w:rFonts w:eastAsia="Times New Roman" w:cs="Times New Roman"/>
          <w:lang w:eastAsia="de-DE"/>
        </w:rPr>
        <w:t xml:space="preserve">(nach verbleibenden Jahren) bei späterer Weihe. Rückkauf mit </w:t>
      </w:r>
      <w:r w:rsidRPr="00CC6F7E">
        <w:rPr>
          <w:rFonts w:eastAsia="Times New Roman" w:cs="Times New Roman"/>
          <w:b/>
          <w:bCs/>
          <w:lang w:eastAsia="de-DE"/>
        </w:rPr>
        <w:t>20%-Aufschlag</w:t>
      </w:r>
      <w:r w:rsidRPr="00CC6F7E">
        <w:rPr>
          <w:rFonts w:eastAsia="Times New Roman" w:cs="Times New Roman"/>
          <w:lang w:eastAsia="de-DE"/>
        </w:rPr>
        <w:t xml:space="preserve"> möglich. </w:t>
      </w:r>
      <w:r w:rsidRPr="00CC6F7E">
        <w:rPr>
          <w:rFonts w:eastAsia="Times New Roman" w:cs="Times New Roman"/>
          <w:b/>
          <w:bCs/>
          <w:lang w:eastAsia="de-DE"/>
        </w:rPr>
        <w:t>Nicht-rückgekaufte Erbfelder</w:t>
      </w:r>
      <w:r w:rsidRPr="00CC6F7E">
        <w:rPr>
          <w:rFonts w:eastAsia="Times New Roman" w:cs="Times New Roman"/>
          <w:lang w:eastAsia="de-DE"/>
        </w:rPr>
        <w:t xml:space="preserve"> werden im Jobel </w:t>
      </w:r>
      <w:r w:rsidRPr="00CC6F7E">
        <w:rPr>
          <w:rFonts w:eastAsia="Times New Roman" w:cs="Times New Roman"/>
          <w:b/>
          <w:bCs/>
          <w:lang w:eastAsia="de-DE"/>
        </w:rPr>
        <w:t>priesterliches Erbeigentum</w:t>
      </w:r>
      <w:r w:rsidRPr="00CC6F7E">
        <w:rPr>
          <w:rFonts w:eastAsia="Times New Roman" w:cs="Times New Roman"/>
          <w:lang w:eastAsia="de-DE"/>
        </w:rPr>
        <w:t xml:space="preserve"> (</w:t>
      </w:r>
      <w:r w:rsidRPr="00CC6F7E">
        <w:rPr>
          <w:rFonts w:eastAsia="Times New Roman" w:cs="Times New Roman"/>
          <w:b/>
          <w:bCs/>
          <w:rtl/>
          <w:lang w:eastAsia="de-DE"/>
        </w:rPr>
        <w:t>לכהן תהיה אחזתו</w:t>
      </w:r>
      <w:r w:rsidRPr="00CC6F7E">
        <w:rPr>
          <w:rFonts w:eastAsia="Times New Roman" w:cs="Times New Roman"/>
          <w:lang w:eastAsia="de-DE"/>
        </w:rPr>
        <w:t xml:space="preserve">) statt Rückkehr zum ursprünglichen Besitzer. </w:t>
      </w:r>
      <w:r w:rsidRPr="00CC6F7E">
        <w:rPr>
          <w:rFonts w:eastAsia="Times New Roman" w:cs="Times New Roman"/>
          <w:b/>
          <w:bCs/>
          <w:lang w:eastAsia="de-DE"/>
        </w:rPr>
        <w:t>Kauffelder</w:t>
      </w:r>
      <w:r w:rsidRPr="00CC6F7E">
        <w:rPr>
          <w:rFonts w:eastAsia="Times New Roman" w:cs="Times New Roman"/>
          <w:lang w:eastAsia="de-DE"/>
        </w:rPr>
        <w:t xml:space="preserve"> (</w:t>
      </w:r>
      <w:r w:rsidRPr="00CC6F7E">
        <w:rPr>
          <w:rFonts w:eastAsia="Times New Roman" w:cs="Times New Roman"/>
          <w:b/>
          <w:bCs/>
          <w:rtl/>
          <w:lang w:eastAsia="de-DE"/>
        </w:rPr>
        <w:t>שדה מקנתו</w:t>
      </w:r>
      <w:r w:rsidRPr="00CC6F7E">
        <w:rPr>
          <w:rFonts w:eastAsia="Times New Roman" w:cs="Times New Roman"/>
          <w:lang w:eastAsia="de-DE"/>
        </w:rPr>
        <w:t xml:space="preserve">) erfordern </w:t>
      </w:r>
      <w:r w:rsidRPr="00CC6F7E">
        <w:rPr>
          <w:rFonts w:eastAsia="Times New Roman" w:cs="Times New Roman"/>
          <w:b/>
          <w:bCs/>
          <w:lang w:eastAsia="de-DE"/>
        </w:rPr>
        <w:t>sofortige Vollzahlung</w:t>
      </w:r>
      <w:r w:rsidRPr="00CC6F7E">
        <w:rPr>
          <w:rFonts w:eastAsia="Times New Roman" w:cs="Times New Roman"/>
          <w:lang w:eastAsia="de-DE"/>
        </w:rPr>
        <w:t xml:space="preserve"> ohne Rückkaufoption, da sie im Jobel automatisch zum </w:t>
      </w:r>
      <w:r w:rsidRPr="00CC6F7E">
        <w:rPr>
          <w:rFonts w:eastAsia="Times New Roman" w:cs="Times New Roman"/>
          <w:b/>
          <w:bCs/>
          <w:rtl/>
          <w:lang w:eastAsia="de-DE"/>
        </w:rPr>
        <w:t>אחזה</w:t>
      </w:r>
      <w:r w:rsidRPr="00CC6F7E">
        <w:rPr>
          <w:rFonts w:eastAsia="Times New Roman" w:cs="Times New Roman"/>
          <w:lang w:eastAsia="de-DE"/>
        </w:rPr>
        <w:t xml:space="preserve">-Besitzer zurückkehren. </w:t>
      </w:r>
      <w:r w:rsidRPr="00CC6F7E">
        <w:rPr>
          <w:rFonts w:eastAsia="Times New Roman" w:cs="Times New Roman"/>
          <w:b/>
          <w:bCs/>
          <w:lang w:eastAsia="de-DE"/>
        </w:rPr>
        <w:t>Währungsstandard:</w:t>
      </w:r>
      <w:r w:rsidRPr="00CC6F7E">
        <w:rPr>
          <w:rFonts w:eastAsia="Times New Roman" w:cs="Times New Roman"/>
          <w:lang w:eastAsia="de-DE"/>
        </w:rPr>
        <w:t xml:space="preserve"> Alle Schätzungen </w:t>
      </w:r>
      <w:r w:rsidRPr="00CC6F7E">
        <w:rPr>
          <w:rFonts w:eastAsia="Times New Roman" w:cs="Times New Roman"/>
          <w:b/>
          <w:bCs/>
          <w:rtl/>
          <w:lang w:eastAsia="de-DE"/>
        </w:rPr>
        <w:t>בשקל הקדש</w:t>
      </w:r>
      <w:r w:rsidRPr="00CC6F7E">
        <w:rPr>
          <w:rFonts w:eastAsia="Times New Roman" w:cs="Times New Roman"/>
          <w:rtl/>
          <w:lang w:eastAsia="de-DE"/>
        </w:rPr>
        <w:t xml:space="preserve"> </w:t>
      </w:r>
      <w:r w:rsidRPr="00CC6F7E">
        <w:rPr>
          <w:rFonts w:eastAsia="Times New Roman" w:cs="Times New Roman"/>
          <w:lang w:eastAsia="de-DE"/>
        </w:rPr>
        <w:t>(20 Gera = 1 Schekel).</w:t>
      </w:r>
    </w:p>
    <w:p w14:paraId="663BF7EB"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4) Sonderbestimmungen (V. 26-29):</w:t>
      </w:r>
      <w:r w:rsidRPr="00CC6F7E">
        <w:rPr>
          <w:rFonts w:eastAsia="Times New Roman" w:cs="Times New Roman"/>
          <w:lang w:eastAsia="de-DE"/>
        </w:rPr>
        <w:t xml:space="preserve"> </w:t>
      </w:r>
      <w:r w:rsidRPr="00CC6F7E">
        <w:rPr>
          <w:rFonts w:eastAsia="Times New Roman" w:cs="Times New Roman"/>
          <w:b/>
          <w:bCs/>
          <w:lang w:eastAsia="de-DE"/>
        </w:rPr>
        <w:t>Erstgeburten</w:t>
      </w:r>
      <w:r w:rsidRPr="00CC6F7E">
        <w:rPr>
          <w:rFonts w:eastAsia="Times New Roman" w:cs="Times New Roman"/>
          <w:lang w:eastAsia="de-DE"/>
        </w:rPr>
        <w:t xml:space="preserve"> (</w:t>
      </w:r>
      <w:r w:rsidRPr="00CC6F7E">
        <w:rPr>
          <w:rFonts w:eastAsia="Times New Roman" w:cs="Times New Roman"/>
          <w:b/>
          <w:bCs/>
          <w:rtl/>
          <w:lang w:eastAsia="de-DE"/>
        </w:rPr>
        <w:t>בכור</w:t>
      </w:r>
      <w:r w:rsidRPr="00CC6F7E">
        <w:rPr>
          <w:rFonts w:eastAsia="Times New Roman" w:cs="Times New Roman"/>
          <w:lang w:eastAsia="de-DE"/>
        </w:rPr>
        <w:t xml:space="preserve">) können nicht zusätzlich geweiht werden, da sie bereits </w:t>
      </w:r>
      <w:r w:rsidRPr="00CC6F7E">
        <w:rPr>
          <w:rFonts w:eastAsia="Times New Roman" w:cs="Times New Roman"/>
          <w:b/>
          <w:bCs/>
          <w:rtl/>
          <w:lang w:eastAsia="de-DE"/>
        </w:rPr>
        <w:t>ליהוה</w:t>
      </w:r>
      <w:r w:rsidRPr="00CC6F7E">
        <w:rPr>
          <w:rFonts w:eastAsia="Times New Roman" w:cs="Times New Roman"/>
          <w:rtl/>
          <w:lang w:eastAsia="de-DE"/>
        </w:rPr>
        <w:t xml:space="preserve"> </w:t>
      </w:r>
      <w:r w:rsidRPr="00CC6F7E">
        <w:rPr>
          <w:rFonts w:eastAsia="Times New Roman" w:cs="Times New Roman"/>
          <w:lang w:eastAsia="de-DE"/>
        </w:rPr>
        <w:t xml:space="preserve">gehören. </w:t>
      </w:r>
      <w:r w:rsidRPr="00CC6F7E">
        <w:rPr>
          <w:rFonts w:eastAsia="Times New Roman" w:cs="Times New Roman"/>
          <w:b/>
          <w:bCs/>
          <w:lang w:eastAsia="de-DE"/>
        </w:rPr>
        <w:t>Unreine Erstgeburten</w:t>
      </w:r>
      <w:r w:rsidRPr="00CC6F7E">
        <w:rPr>
          <w:rFonts w:eastAsia="Times New Roman" w:cs="Times New Roman"/>
          <w:lang w:eastAsia="de-DE"/>
        </w:rPr>
        <w:t xml:space="preserve"> (z.B. Esel) können mit </w:t>
      </w:r>
      <w:r w:rsidRPr="00CC6F7E">
        <w:rPr>
          <w:rFonts w:eastAsia="Times New Roman" w:cs="Times New Roman"/>
          <w:b/>
          <w:bCs/>
          <w:lang w:eastAsia="de-DE"/>
        </w:rPr>
        <w:t>20%-Aufschlag</w:t>
      </w:r>
      <w:r w:rsidRPr="00CC6F7E">
        <w:rPr>
          <w:rFonts w:eastAsia="Times New Roman" w:cs="Times New Roman"/>
          <w:lang w:eastAsia="de-DE"/>
        </w:rPr>
        <w:t xml:space="preserve"> gelöst oder vom Heiligtum verkauft werden. </w:t>
      </w:r>
      <w:r w:rsidRPr="00CC6F7E">
        <w:rPr>
          <w:rFonts w:eastAsia="Times New Roman" w:cs="Times New Roman"/>
          <w:b/>
          <w:bCs/>
          <w:rtl/>
          <w:lang w:eastAsia="de-DE"/>
        </w:rPr>
        <w:t>חרם</w:t>
      </w:r>
      <w:r w:rsidRPr="00CC6F7E">
        <w:rPr>
          <w:rFonts w:eastAsia="Times New Roman" w:cs="Times New Roman"/>
          <w:b/>
          <w:bCs/>
          <w:lang w:eastAsia="de-DE"/>
        </w:rPr>
        <w:t>-System</w:t>
      </w:r>
      <w:r w:rsidRPr="00CC6F7E">
        <w:rPr>
          <w:rFonts w:eastAsia="Times New Roman" w:cs="Times New Roman"/>
          <w:lang w:eastAsia="de-DE"/>
        </w:rPr>
        <w:t xml:space="preserve"> als </w:t>
      </w:r>
      <w:r w:rsidRPr="00CC6F7E">
        <w:rPr>
          <w:rFonts w:eastAsia="Times New Roman" w:cs="Times New Roman"/>
          <w:b/>
          <w:bCs/>
          <w:lang w:eastAsia="de-DE"/>
        </w:rPr>
        <w:t>höchste Weihstufe:</w:t>
      </w:r>
      <w:r w:rsidRPr="00CC6F7E">
        <w:rPr>
          <w:rFonts w:eastAsia="Times New Roman" w:cs="Times New Roman"/>
          <w:lang w:eastAsia="de-DE"/>
        </w:rPr>
        <w:t xml:space="preserve"> Alles </w:t>
      </w:r>
      <w:r w:rsidRPr="00CC6F7E">
        <w:rPr>
          <w:rFonts w:eastAsia="Times New Roman" w:cs="Times New Roman"/>
          <w:b/>
          <w:bCs/>
          <w:lang w:eastAsia="de-DE"/>
        </w:rPr>
        <w:t>Gebannte</w:t>
      </w:r>
      <w:r w:rsidRPr="00CC6F7E">
        <w:rPr>
          <w:rFonts w:eastAsia="Times New Roman" w:cs="Times New Roman"/>
          <w:lang w:eastAsia="de-DE"/>
        </w:rPr>
        <w:t xml:space="preserve"> (</w:t>
      </w:r>
      <w:r w:rsidRPr="00CC6F7E">
        <w:rPr>
          <w:rFonts w:eastAsia="Times New Roman" w:cs="Times New Roman"/>
          <w:b/>
          <w:bCs/>
          <w:rtl/>
          <w:lang w:eastAsia="de-DE"/>
        </w:rPr>
        <w:t>מאדם ובהמה ומשדה אחזתו</w:t>
      </w:r>
      <w:r w:rsidRPr="00CC6F7E">
        <w:rPr>
          <w:rFonts w:eastAsia="Times New Roman" w:cs="Times New Roman"/>
          <w:lang w:eastAsia="de-DE"/>
        </w:rPr>
        <w:t xml:space="preserve">) ist </w:t>
      </w:r>
      <w:r w:rsidRPr="00CC6F7E">
        <w:rPr>
          <w:rFonts w:eastAsia="Times New Roman" w:cs="Times New Roman"/>
          <w:b/>
          <w:bCs/>
          <w:rtl/>
          <w:lang w:eastAsia="de-DE"/>
        </w:rPr>
        <w:t>קדש־קדשים</w:t>
      </w:r>
      <w:r w:rsidRPr="00CC6F7E">
        <w:rPr>
          <w:rFonts w:eastAsia="Times New Roman" w:cs="Times New Roman"/>
          <w:rtl/>
          <w:lang w:eastAsia="de-DE"/>
        </w:rPr>
        <w:t xml:space="preserve"> </w:t>
      </w:r>
      <w:r w:rsidRPr="00CC6F7E">
        <w:rPr>
          <w:rFonts w:eastAsia="Times New Roman" w:cs="Times New Roman"/>
          <w:lang w:eastAsia="de-DE"/>
        </w:rPr>
        <w:t xml:space="preserve">und </w:t>
      </w:r>
      <w:r w:rsidRPr="00CC6F7E">
        <w:rPr>
          <w:rFonts w:eastAsia="Times New Roman" w:cs="Times New Roman"/>
          <w:b/>
          <w:bCs/>
          <w:lang w:eastAsia="de-DE"/>
        </w:rPr>
        <w:t>unwiderruflich</w:t>
      </w:r>
      <w:r w:rsidRPr="00CC6F7E">
        <w:rPr>
          <w:rFonts w:eastAsia="Times New Roman" w:cs="Times New Roman"/>
          <w:lang w:eastAsia="de-DE"/>
        </w:rPr>
        <w:t xml:space="preserve"> (</w:t>
      </w:r>
      <w:r w:rsidRPr="00CC6F7E">
        <w:rPr>
          <w:rFonts w:eastAsia="Times New Roman" w:cs="Times New Roman"/>
          <w:b/>
          <w:bCs/>
          <w:rtl/>
          <w:lang w:eastAsia="de-DE"/>
        </w:rPr>
        <w:t>לא ימכר ולא יגאל</w:t>
      </w:r>
      <w:r w:rsidRPr="00CC6F7E">
        <w:rPr>
          <w:rFonts w:eastAsia="Times New Roman" w:cs="Times New Roman"/>
          <w:lang w:eastAsia="de-DE"/>
        </w:rPr>
        <w:t xml:space="preserve">). </w:t>
      </w:r>
      <w:r w:rsidRPr="00CC6F7E">
        <w:rPr>
          <w:rFonts w:eastAsia="Times New Roman" w:cs="Times New Roman"/>
          <w:b/>
          <w:bCs/>
          <w:lang w:eastAsia="de-DE"/>
        </w:rPr>
        <w:t>Menschen-</w:t>
      </w:r>
      <w:r w:rsidRPr="00CC6F7E">
        <w:rPr>
          <w:rFonts w:eastAsia="Times New Roman" w:cs="Times New Roman"/>
          <w:b/>
          <w:bCs/>
          <w:rtl/>
          <w:lang w:eastAsia="de-DE"/>
        </w:rPr>
        <w:t>חרם</w:t>
      </w:r>
      <w:r w:rsidRPr="00CC6F7E">
        <w:rPr>
          <w:rFonts w:eastAsia="Times New Roman" w:cs="Times New Roman"/>
          <w:rtl/>
          <w:lang w:eastAsia="de-DE"/>
        </w:rPr>
        <w:t xml:space="preserve"> </w:t>
      </w:r>
      <w:r w:rsidRPr="00CC6F7E">
        <w:rPr>
          <w:rFonts w:eastAsia="Times New Roman" w:cs="Times New Roman"/>
          <w:lang w:eastAsia="de-DE"/>
        </w:rPr>
        <w:t xml:space="preserve">führt zur </w:t>
      </w:r>
      <w:r w:rsidRPr="00CC6F7E">
        <w:rPr>
          <w:rFonts w:eastAsia="Times New Roman" w:cs="Times New Roman"/>
          <w:b/>
          <w:bCs/>
          <w:lang w:eastAsia="de-DE"/>
        </w:rPr>
        <w:t>Todesstrafe</w:t>
      </w:r>
      <w:r w:rsidRPr="00CC6F7E">
        <w:rPr>
          <w:rFonts w:eastAsia="Times New Roman" w:cs="Times New Roman"/>
          <w:lang w:eastAsia="de-DE"/>
        </w:rPr>
        <w:t xml:space="preserve"> (</w:t>
      </w:r>
      <w:r w:rsidRPr="00CC6F7E">
        <w:rPr>
          <w:rFonts w:eastAsia="Times New Roman" w:cs="Times New Roman"/>
          <w:b/>
          <w:bCs/>
          <w:rtl/>
          <w:lang w:eastAsia="de-DE"/>
        </w:rPr>
        <w:t>מות יומת</w:t>
      </w:r>
      <w:r w:rsidRPr="00CC6F7E">
        <w:rPr>
          <w:rFonts w:eastAsia="Times New Roman" w:cs="Times New Roman"/>
          <w:lang w:eastAsia="de-DE"/>
        </w:rPr>
        <w:t>) ohne Lösungsmöglichkeit.</w:t>
      </w:r>
    </w:p>
    <w:p w14:paraId="25A2E756" w14:textId="77777777" w:rsidR="00CC6F7E" w:rsidRPr="00CC6F7E" w:rsidRDefault="00CC6F7E" w:rsidP="00CC6F7E">
      <w:pPr>
        <w:spacing w:before="100" w:beforeAutospacing="1" w:after="100" w:afterAutospacing="1" w:line="240" w:lineRule="auto"/>
        <w:rPr>
          <w:rFonts w:eastAsia="Times New Roman" w:cs="Times New Roman"/>
          <w:lang w:eastAsia="de-DE"/>
        </w:rPr>
      </w:pPr>
      <w:r w:rsidRPr="00CC6F7E">
        <w:rPr>
          <w:rFonts w:eastAsia="Times New Roman" w:cs="Times New Roman"/>
          <w:b/>
          <w:bCs/>
          <w:lang w:eastAsia="de-DE"/>
        </w:rPr>
        <w:t>5) Zehnten-Gesetze (V. 30-33):</w:t>
      </w:r>
      <w:r w:rsidRPr="00CC6F7E">
        <w:rPr>
          <w:rFonts w:eastAsia="Times New Roman" w:cs="Times New Roman"/>
          <w:lang w:eastAsia="de-DE"/>
        </w:rPr>
        <w:t xml:space="preserve"> </w:t>
      </w:r>
      <w:r w:rsidRPr="00CC6F7E">
        <w:rPr>
          <w:rFonts w:eastAsia="Times New Roman" w:cs="Times New Roman"/>
          <w:b/>
          <w:bCs/>
          <w:lang w:eastAsia="de-DE"/>
        </w:rPr>
        <w:t>Universelle 10%-Abgabe</w:t>
      </w:r>
      <w:r w:rsidRPr="00CC6F7E">
        <w:rPr>
          <w:rFonts w:eastAsia="Times New Roman" w:cs="Times New Roman"/>
          <w:lang w:eastAsia="de-DE"/>
        </w:rPr>
        <w:t xml:space="preserve"> aller landwirtschaftlichen Produkte (</w:t>
      </w:r>
      <w:r w:rsidRPr="00CC6F7E">
        <w:rPr>
          <w:rFonts w:eastAsia="Times New Roman" w:cs="Times New Roman"/>
          <w:b/>
          <w:bCs/>
          <w:rtl/>
          <w:lang w:eastAsia="de-DE"/>
        </w:rPr>
        <w:t>מזרע הארץ מפרי העץ</w:t>
      </w:r>
      <w:r w:rsidRPr="00CC6F7E">
        <w:rPr>
          <w:rFonts w:eastAsia="Times New Roman" w:cs="Times New Roman"/>
          <w:lang w:eastAsia="de-DE"/>
        </w:rPr>
        <w:t xml:space="preserve">) als </w:t>
      </w:r>
      <w:r w:rsidRPr="00CC6F7E">
        <w:rPr>
          <w:rFonts w:eastAsia="Times New Roman" w:cs="Times New Roman"/>
          <w:b/>
          <w:bCs/>
          <w:rtl/>
          <w:lang w:eastAsia="de-DE"/>
        </w:rPr>
        <w:t>קדש ליהוה</w:t>
      </w:r>
      <w:r w:rsidRPr="00CC6F7E">
        <w:rPr>
          <w:rFonts w:eastAsia="Times New Roman" w:cs="Times New Roman"/>
          <w:lang w:eastAsia="de-DE"/>
        </w:rPr>
        <w:t xml:space="preserve">. </w:t>
      </w:r>
      <w:r w:rsidRPr="00CC6F7E">
        <w:rPr>
          <w:rFonts w:eastAsia="Times New Roman" w:cs="Times New Roman"/>
          <w:b/>
          <w:bCs/>
          <w:lang w:eastAsia="de-DE"/>
        </w:rPr>
        <w:t>Pflanzen-Zehnten</w:t>
      </w:r>
      <w:r w:rsidRPr="00CC6F7E">
        <w:rPr>
          <w:rFonts w:eastAsia="Times New Roman" w:cs="Times New Roman"/>
          <w:lang w:eastAsia="de-DE"/>
        </w:rPr>
        <w:t xml:space="preserve"> können mit </w:t>
      </w:r>
      <w:r w:rsidRPr="00CC6F7E">
        <w:rPr>
          <w:rFonts w:eastAsia="Times New Roman" w:cs="Times New Roman"/>
          <w:b/>
          <w:bCs/>
          <w:lang w:eastAsia="de-DE"/>
        </w:rPr>
        <w:t>20%-Aufschlag</w:t>
      </w:r>
      <w:r w:rsidRPr="00CC6F7E">
        <w:rPr>
          <w:rFonts w:eastAsia="Times New Roman" w:cs="Times New Roman"/>
          <w:lang w:eastAsia="de-DE"/>
        </w:rPr>
        <w:t xml:space="preserve"> rückgekauft werden. </w:t>
      </w:r>
      <w:r w:rsidRPr="00CC6F7E">
        <w:rPr>
          <w:rFonts w:eastAsia="Times New Roman" w:cs="Times New Roman"/>
          <w:b/>
          <w:bCs/>
          <w:lang w:eastAsia="de-DE"/>
        </w:rPr>
        <w:t>Vieh-Zehnten</w:t>
      </w:r>
      <w:r w:rsidRPr="00CC6F7E">
        <w:rPr>
          <w:rFonts w:eastAsia="Times New Roman" w:cs="Times New Roman"/>
          <w:lang w:eastAsia="de-DE"/>
        </w:rPr>
        <w:t xml:space="preserve"> (</w:t>
      </w:r>
      <w:r w:rsidRPr="00CC6F7E">
        <w:rPr>
          <w:rFonts w:eastAsia="Times New Roman" w:cs="Times New Roman"/>
          <w:b/>
          <w:bCs/>
          <w:rtl/>
          <w:lang w:eastAsia="de-DE"/>
        </w:rPr>
        <w:t>בקר וצאן</w:t>
      </w:r>
      <w:r w:rsidRPr="00CC6F7E">
        <w:rPr>
          <w:rFonts w:eastAsia="Times New Roman" w:cs="Times New Roman"/>
          <w:lang w:eastAsia="de-DE"/>
        </w:rPr>
        <w:t xml:space="preserve">) durch </w:t>
      </w:r>
      <w:r w:rsidRPr="00CC6F7E">
        <w:rPr>
          <w:rFonts w:eastAsia="Times New Roman" w:cs="Times New Roman"/>
          <w:b/>
          <w:bCs/>
          <w:lang w:eastAsia="de-DE"/>
        </w:rPr>
        <w:t>mechanische Stabzählung</w:t>
      </w:r>
      <w:r w:rsidRPr="00CC6F7E">
        <w:rPr>
          <w:rFonts w:eastAsia="Times New Roman" w:cs="Times New Roman"/>
          <w:lang w:eastAsia="de-DE"/>
        </w:rPr>
        <w:t xml:space="preserve"> (</w:t>
      </w:r>
      <w:r w:rsidRPr="00CC6F7E">
        <w:rPr>
          <w:rFonts w:eastAsia="Times New Roman" w:cs="Times New Roman"/>
          <w:b/>
          <w:bCs/>
          <w:rtl/>
          <w:lang w:eastAsia="de-DE"/>
        </w:rPr>
        <w:t>יעבר תחת השבט</w:t>
      </w:r>
      <w:r w:rsidRPr="00CC6F7E">
        <w:rPr>
          <w:rFonts w:eastAsia="Times New Roman" w:cs="Times New Roman"/>
          <w:lang w:eastAsia="de-DE"/>
        </w:rPr>
        <w:t xml:space="preserve">): Jedes </w:t>
      </w:r>
      <w:r w:rsidRPr="00CC6F7E">
        <w:rPr>
          <w:rFonts w:eastAsia="Times New Roman" w:cs="Times New Roman"/>
          <w:b/>
          <w:bCs/>
          <w:lang w:eastAsia="de-DE"/>
        </w:rPr>
        <w:t>zehnte Tier</w:t>
      </w:r>
      <w:r w:rsidRPr="00CC6F7E">
        <w:rPr>
          <w:rFonts w:eastAsia="Times New Roman" w:cs="Times New Roman"/>
          <w:lang w:eastAsia="de-DE"/>
        </w:rPr>
        <w:t xml:space="preserve"> wird heilig. </w:t>
      </w:r>
      <w:r w:rsidRPr="00CC6F7E">
        <w:rPr>
          <w:rFonts w:eastAsia="Times New Roman" w:cs="Times New Roman"/>
          <w:b/>
          <w:bCs/>
          <w:lang w:eastAsia="de-DE"/>
        </w:rPr>
        <w:t>Strenge Durchführung:</w:t>
      </w:r>
      <w:r w:rsidRPr="00CC6F7E">
        <w:rPr>
          <w:rFonts w:eastAsia="Times New Roman" w:cs="Times New Roman"/>
          <w:lang w:eastAsia="de-DE"/>
        </w:rPr>
        <w:t xml:space="preserve"> Keine Qualitätsprüfung (</w:t>
      </w:r>
      <w:r w:rsidRPr="00CC6F7E">
        <w:rPr>
          <w:rFonts w:eastAsia="Times New Roman" w:cs="Times New Roman"/>
          <w:b/>
          <w:bCs/>
          <w:rtl/>
          <w:lang w:eastAsia="de-DE"/>
        </w:rPr>
        <w:t>לא יבקר בין־טוב לרע</w:t>
      </w:r>
      <w:r w:rsidRPr="00CC6F7E">
        <w:rPr>
          <w:rFonts w:eastAsia="Times New Roman" w:cs="Times New Roman"/>
          <w:lang w:eastAsia="de-DE"/>
        </w:rPr>
        <w:t>), kein Tausch (</w:t>
      </w:r>
      <w:r w:rsidRPr="00CC6F7E">
        <w:rPr>
          <w:rFonts w:eastAsia="Times New Roman" w:cs="Times New Roman"/>
          <w:b/>
          <w:bCs/>
          <w:rtl/>
          <w:lang w:eastAsia="de-DE"/>
        </w:rPr>
        <w:t>לא ימירנו</w:t>
      </w:r>
      <w:r w:rsidRPr="00CC6F7E">
        <w:rPr>
          <w:rFonts w:eastAsia="Times New Roman" w:cs="Times New Roman"/>
          <w:lang w:eastAsia="de-DE"/>
        </w:rPr>
        <w:t>), kein Rückkauf (</w:t>
      </w:r>
      <w:r w:rsidRPr="00CC6F7E">
        <w:rPr>
          <w:rFonts w:eastAsia="Times New Roman" w:cs="Times New Roman"/>
          <w:b/>
          <w:bCs/>
          <w:rtl/>
          <w:lang w:eastAsia="de-DE"/>
        </w:rPr>
        <w:t>לא יגאל</w:t>
      </w:r>
      <w:r w:rsidRPr="00CC6F7E">
        <w:rPr>
          <w:rFonts w:eastAsia="Times New Roman" w:cs="Times New Roman"/>
          <w:lang w:eastAsia="de-DE"/>
        </w:rPr>
        <w:t xml:space="preserve">). Bei illegalem Tausch </w:t>
      </w:r>
      <w:r w:rsidRPr="00CC6F7E">
        <w:rPr>
          <w:rFonts w:eastAsia="Times New Roman" w:cs="Times New Roman"/>
          <w:b/>
          <w:bCs/>
          <w:lang w:eastAsia="de-DE"/>
        </w:rPr>
        <w:t>Doppel-Heiligung</w:t>
      </w:r>
      <w:r w:rsidRPr="00CC6F7E">
        <w:rPr>
          <w:rFonts w:eastAsia="Times New Roman" w:cs="Times New Roman"/>
          <w:lang w:eastAsia="de-DE"/>
        </w:rPr>
        <w:t>.</w:t>
      </w:r>
    </w:p>
    <w:p w14:paraId="080A63EE" w14:textId="77777777" w:rsidR="006C1D71" w:rsidRDefault="00CC6F7E" w:rsidP="006C1D71">
      <w:pPr>
        <w:pStyle w:val="whitespace-normal"/>
      </w:pPr>
      <w:r w:rsidRPr="00CC6F7E">
        <w:rPr>
          <w:b/>
          <w:bCs/>
        </w:rPr>
        <w:t>Theologische Prinzipien:</w:t>
      </w:r>
      <w:r w:rsidRPr="00CC6F7E">
        <w:t xml:space="preserve"> </w:t>
      </w:r>
      <w:r w:rsidRPr="00CC6F7E">
        <w:rPr>
          <w:b/>
          <w:bCs/>
        </w:rPr>
        <w:t>Abgestufte Heiligkeit:</w:t>
      </w:r>
      <w:r w:rsidRPr="00CC6F7E">
        <w:t xml:space="preserve"> Von normalen </w:t>
      </w:r>
      <w:r w:rsidRPr="00CC6F7E">
        <w:rPr>
          <w:b/>
          <w:bCs/>
          <w:rtl/>
        </w:rPr>
        <w:t>נדר</w:t>
      </w:r>
      <w:r w:rsidRPr="00CC6F7E">
        <w:rPr>
          <w:rtl/>
        </w:rPr>
        <w:t xml:space="preserve"> </w:t>
      </w:r>
      <w:r w:rsidRPr="00CC6F7E">
        <w:t xml:space="preserve">über </w:t>
      </w:r>
      <w:r w:rsidRPr="00CC6F7E">
        <w:rPr>
          <w:b/>
          <w:bCs/>
          <w:rtl/>
        </w:rPr>
        <w:t>קדש</w:t>
      </w:r>
      <w:r w:rsidRPr="00CC6F7E">
        <w:rPr>
          <w:rtl/>
        </w:rPr>
        <w:t xml:space="preserve"> </w:t>
      </w:r>
      <w:r w:rsidRPr="00CC6F7E">
        <w:t xml:space="preserve">bis </w:t>
      </w:r>
      <w:r w:rsidRPr="00CC6F7E">
        <w:rPr>
          <w:b/>
          <w:bCs/>
          <w:rtl/>
        </w:rPr>
        <w:t>חרם</w:t>
      </w:r>
      <w:r w:rsidRPr="00CC6F7E">
        <w:rPr>
          <w:rtl/>
        </w:rPr>
        <w:t xml:space="preserve"> </w:t>
      </w:r>
      <w:r w:rsidRPr="00CC6F7E">
        <w:t xml:space="preserve">als </w:t>
      </w:r>
      <w:r w:rsidRPr="00CC6F7E">
        <w:rPr>
          <w:b/>
          <w:bCs/>
          <w:rtl/>
        </w:rPr>
        <w:t>קדש־קדשים</w:t>
      </w:r>
      <w:r w:rsidRPr="00CC6F7E">
        <w:t xml:space="preserve">. </w:t>
      </w:r>
      <w:r w:rsidRPr="00CC6F7E">
        <w:rPr>
          <w:b/>
          <w:bCs/>
        </w:rPr>
        <w:t>Soziale Gerechtigkeit:</w:t>
      </w:r>
      <w:r w:rsidRPr="00CC6F7E">
        <w:t xml:space="preserve"> Armuts-Sonderregelungen bei Personen-Gelübden. </w:t>
      </w:r>
      <w:r w:rsidRPr="00CC6F7E">
        <w:rPr>
          <w:b/>
          <w:bCs/>
        </w:rPr>
        <w:t>Priesterliche Autorität:</w:t>
      </w:r>
      <w:r w:rsidRPr="00CC6F7E">
        <w:t xml:space="preserve"> Schätzungshoheit bei allen Bewertungen. </w:t>
      </w:r>
      <w:r w:rsidRPr="00CC6F7E">
        <w:rPr>
          <w:b/>
          <w:bCs/>
        </w:rPr>
        <w:t>Rückkaufsregeln:</w:t>
      </w:r>
      <w:r w:rsidRPr="00CC6F7E">
        <w:t xml:space="preserve"> </w:t>
      </w:r>
      <w:r w:rsidRPr="00CC6F7E">
        <w:lastRenderedPageBreak/>
        <w:t>Standard-</w:t>
      </w:r>
      <w:r w:rsidRPr="00CC6F7E">
        <w:rPr>
          <w:b/>
          <w:bCs/>
        </w:rPr>
        <w:t>20%-Aufschlag</w:t>
      </w:r>
      <w:r w:rsidRPr="00CC6F7E">
        <w:t xml:space="preserve"> (</w:t>
      </w:r>
      <w:r w:rsidRPr="00CC6F7E">
        <w:rPr>
          <w:b/>
          <w:bCs/>
          <w:rtl/>
        </w:rPr>
        <w:t>חמישית</w:t>
      </w:r>
      <w:r w:rsidRPr="00CC6F7E">
        <w:t xml:space="preserve">) als Präventivmaßnahme gegen leichtfertige Gelübde. </w:t>
      </w:r>
      <w:r w:rsidR="006C1D71">
        <w:rPr>
          <w:rStyle w:val="Fett"/>
        </w:rPr>
        <w:t>Jobel-Integration:</w:t>
      </w:r>
      <w:r w:rsidR="006C1D71">
        <w:t xml:space="preserve"> Feld-Bewertungen berücksichtigen Jobel-Zyklen mit proportionaler Wertminderung bei fortgeschrittener Zeit. </w:t>
      </w:r>
      <w:r w:rsidR="006C1D71">
        <w:rPr>
          <w:rStyle w:val="Fett"/>
        </w:rPr>
        <w:t>Mechanische vs. Selektive Durchführung:</w:t>
      </w:r>
      <w:r w:rsidR="006C1D71">
        <w:t xml:space="preserve"> Vieh-Zehnten erfolgen mechanisch ohne menschliche Qualitätsbeeinflussung, während andere Gelübde Bewertung und Rückkauf erlauben. </w:t>
      </w:r>
      <w:r w:rsidR="006C1D71">
        <w:rPr>
          <w:rStyle w:val="Fett"/>
        </w:rPr>
        <w:t>Unwiderruflichkeit:</w:t>
      </w:r>
      <w:r w:rsidR="006C1D71">
        <w:t xml:space="preserve"> </w:t>
      </w:r>
      <w:r w:rsidR="006C1D71">
        <w:rPr>
          <w:rStyle w:val="Fett"/>
          <w:rtl/>
        </w:rPr>
        <w:t>חרם</w:t>
      </w:r>
      <w:r w:rsidR="006C1D71">
        <w:rPr>
          <w:rtl/>
        </w:rPr>
        <w:t xml:space="preserve"> </w:t>
      </w:r>
      <w:r w:rsidR="006C1D71">
        <w:t>als höchste Weihstufe schließt jeden Rückkauf aus und führt bei Menschen zum Tod.</w:t>
      </w:r>
    </w:p>
    <w:p w14:paraId="11A86905" w14:textId="77777777" w:rsidR="006C1D71" w:rsidRDefault="006C1D71" w:rsidP="006C1D71">
      <w:pPr>
        <w:pStyle w:val="whitespace-normal"/>
      </w:pPr>
      <w:r>
        <w:rPr>
          <w:rStyle w:val="Fett"/>
        </w:rPr>
        <w:t>Wirtschaftliche Aspekte:</w:t>
      </w:r>
      <w:r>
        <w:t xml:space="preserve"> </w:t>
      </w:r>
      <w:r>
        <w:rPr>
          <w:rStyle w:val="Fett"/>
        </w:rPr>
        <w:t>Standardisierte Währung:</w:t>
      </w:r>
      <w:r>
        <w:t xml:space="preserve"> Alle Transaktionen in </w:t>
      </w:r>
      <w:r>
        <w:rPr>
          <w:rStyle w:val="Fett"/>
          <w:rtl/>
        </w:rPr>
        <w:t>שקל הקדש</w:t>
      </w:r>
      <w:r>
        <w:rPr>
          <w:rtl/>
        </w:rPr>
        <w:t xml:space="preserve"> </w:t>
      </w:r>
      <w:r>
        <w:t xml:space="preserve">(20 Gera) gewährleisten einheitliche Standards. </w:t>
      </w:r>
      <w:r>
        <w:rPr>
          <w:rStyle w:val="Fett"/>
        </w:rPr>
        <w:t>Aufschlagssystem:</w:t>
      </w:r>
      <w:r>
        <w:t xml:space="preserve"> 20%-Aufschlag bei Rückkäufen verhindert leichtfertige Gelübde und sichert Heiligtums-Einkommen. </w:t>
      </w:r>
      <w:r>
        <w:rPr>
          <w:rStyle w:val="Fett"/>
        </w:rPr>
        <w:t>Produktivitätsbewertung:</w:t>
      </w:r>
      <w:r>
        <w:t xml:space="preserve"> Personen-Schätzungen spiegeln gesellschaftliche Arbeitsleistung wider (Männer 20-60 Jahre höchster Wert). </w:t>
      </w:r>
      <w:r>
        <w:rPr>
          <w:rStyle w:val="Fett"/>
        </w:rPr>
        <w:t>Landwertberechnung:</w:t>
      </w:r>
      <w:r>
        <w:t xml:space="preserve"> Saatmengen-basierte Bewertung berücksichtigt landwirtschaftliche Produktivität. </w:t>
      </w:r>
      <w:r>
        <w:rPr>
          <w:rStyle w:val="Fett"/>
        </w:rPr>
        <w:t>Jobel-Proportionalität:</w:t>
      </w:r>
      <w:r>
        <w:t xml:space="preserve"> Zeit-sensitive Bewertungen maximieren gerechte Preisgestaltung.</w:t>
      </w:r>
    </w:p>
    <w:p w14:paraId="04D1AA34" w14:textId="262CC44D" w:rsidR="006C1D71" w:rsidRDefault="006C1D71" w:rsidP="006C1D71">
      <w:pPr>
        <w:pStyle w:val="whitespace-normal"/>
      </w:pPr>
      <w:r>
        <w:rPr>
          <w:rStyle w:val="Fett"/>
        </w:rPr>
        <w:t>Rechtliche Struktur:</w:t>
      </w:r>
      <w:r>
        <w:t xml:space="preserve"> </w:t>
      </w:r>
      <w:r>
        <w:rPr>
          <w:rStyle w:val="Fett"/>
        </w:rPr>
        <w:t>Priesterliche Autorität:</w:t>
      </w:r>
      <w:r>
        <w:t xml:space="preserve"> Priester haben Schätzungshoheit und Entscheidungsgewalt bei allen Bewertungsfragen. </w:t>
      </w:r>
      <w:r>
        <w:rPr>
          <w:rStyle w:val="Fett"/>
        </w:rPr>
        <w:t>Rückkaufshierarchie:</w:t>
      </w:r>
      <w:r>
        <w:t xml:space="preserve"> Nur ursprüngliche Weihende können zurückkaufen (außer bei Vieh-Zehnten). </w:t>
      </w:r>
      <w:r>
        <w:rPr>
          <w:rStyle w:val="Fett"/>
        </w:rPr>
        <w:t>Unveräußerlichkeitsregeln:</w:t>
      </w:r>
      <w:r>
        <w:t xml:space="preserve"> </w:t>
      </w:r>
      <w:r>
        <w:rPr>
          <w:rStyle w:val="Fett"/>
          <w:rtl/>
        </w:rPr>
        <w:t>חרם</w:t>
      </w:r>
      <w:r>
        <w:rPr>
          <w:rtl/>
        </w:rPr>
        <w:t xml:space="preserve"> </w:t>
      </w:r>
      <w:r>
        <w:t xml:space="preserve">und nicht-rückgekaufte Erbfelder werden unwiderruflich priesterliches Eigentum. </w:t>
      </w:r>
      <w:r>
        <w:rPr>
          <w:rStyle w:val="Fett"/>
        </w:rPr>
        <w:t>Ausnahmebestimmungen:</w:t>
      </w:r>
      <w:r>
        <w:t xml:space="preserve"> Erstgeburten bereits JHWH gehörend, Kauffelder automatisch </w:t>
      </w:r>
      <w:r w:rsidR="00FA32C6">
        <w:t>Jobel</w:t>
      </w:r>
      <w:r>
        <w:t>-rückkehrend.</w:t>
      </w:r>
    </w:p>
    <w:p w14:paraId="7A7B4801" w14:textId="77777777" w:rsidR="006C1D71" w:rsidRDefault="006C1D71" w:rsidP="006C1D71">
      <w:pPr>
        <w:pStyle w:val="whitespace-normal"/>
      </w:pPr>
      <w:r>
        <w:rPr>
          <w:rStyle w:val="Fett"/>
        </w:rPr>
        <w:t>Soziale Gerechtigkeit:</w:t>
      </w:r>
      <w:r>
        <w:t xml:space="preserve"> </w:t>
      </w:r>
      <w:r>
        <w:rPr>
          <w:rStyle w:val="Fett"/>
        </w:rPr>
        <w:t>Armuts-Schutz:</w:t>
      </w:r>
      <w:r>
        <w:t xml:space="preserve"> Individuelle Schätzung bei Zahlungsunfähigkeit verhindert soziale Ausgrenzung. </w:t>
      </w:r>
      <w:r>
        <w:rPr>
          <w:rStyle w:val="Fett"/>
        </w:rPr>
        <w:t>Flexibilität:</w:t>
      </w:r>
      <w:r>
        <w:t xml:space="preserve"> Rückkaufoptionen ermöglichen Korrektur unbedachter Gelübde. </w:t>
      </w:r>
      <w:r>
        <w:rPr>
          <w:rStyle w:val="Fett"/>
        </w:rPr>
        <w:t>Zehnten-Rückkauf:</w:t>
      </w:r>
      <w:r>
        <w:t xml:space="preserve"> Geld-Alternative zu Naturalabgaben bei Pflanzen-Zehnten.</w:t>
      </w:r>
    </w:p>
    <w:p w14:paraId="66865AA1" w14:textId="77777777" w:rsidR="006C1D71" w:rsidRDefault="006C1D71" w:rsidP="006C1D71">
      <w:pPr>
        <w:pStyle w:val="whitespace-normal"/>
      </w:pPr>
      <w:r>
        <w:rPr>
          <w:rStyle w:val="Fett"/>
        </w:rPr>
        <w:t>Besonderheiten von Kapitel 27:</w:t>
      </w:r>
      <w:r>
        <w:t xml:space="preserve"> </w:t>
      </w:r>
      <w:r>
        <w:rPr>
          <w:rStyle w:val="Fett"/>
        </w:rPr>
        <w:t>Anhang-Charakter:</w:t>
      </w:r>
      <w:r>
        <w:t xml:space="preserve"> Ergänzt Hauptgesetzgebung mit praktischen Durchführungsbestimmungen. </w:t>
      </w:r>
      <w:r>
        <w:rPr>
          <w:rStyle w:val="Fett"/>
        </w:rPr>
        <w:t>Umfassende Regelung:</w:t>
      </w:r>
      <w:r>
        <w:t xml:space="preserve"> Erfasst alle denkbaren Gelübde-Objekte (Personen, Tiere, Immobilien). </w:t>
      </w:r>
      <w:r>
        <w:rPr>
          <w:rStyle w:val="Fett"/>
        </w:rPr>
        <w:t>Integration mit Jobel-System:</w:t>
      </w:r>
      <w:r>
        <w:t xml:space="preserve"> Berücksichtigt Kap. 25-Landgesetze. </w:t>
      </w:r>
      <w:r>
        <w:rPr>
          <w:rStyle w:val="Fett"/>
        </w:rPr>
        <w:t>Schärfste Bestimmungen:</w:t>
      </w:r>
      <w:r>
        <w:t xml:space="preserve"> </w:t>
      </w:r>
      <w:r>
        <w:rPr>
          <w:rStyle w:val="Fett"/>
          <w:rtl/>
        </w:rPr>
        <w:t>חרם</w:t>
      </w:r>
      <w:r>
        <w:rPr>
          <w:rtl/>
        </w:rPr>
        <w:t xml:space="preserve"> </w:t>
      </w:r>
      <w:r>
        <w:t xml:space="preserve">mit Todesfolge als extremste Weih-Option. </w:t>
      </w:r>
      <w:r>
        <w:rPr>
          <w:rStyle w:val="Fett"/>
        </w:rPr>
        <w:t>Mechanistische Elemente:</w:t>
      </w:r>
      <w:r>
        <w:t xml:space="preserve"> Vieh-Zehnten ohne menschliche Manipulation. </w:t>
      </w:r>
      <w:r>
        <w:rPr>
          <w:rStyle w:val="Fett"/>
        </w:rPr>
        <w:t>Wirtschafts-Orientation:</w:t>
      </w:r>
      <w:r>
        <w:t xml:space="preserve"> Detaillierte Wert- und Währungsbestimmungen.</w:t>
      </w:r>
    </w:p>
    <w:p w14:paraId="4B4FAD87" w14:textId="6D566417" w:rsidR="006C1D71" w:rsidRDefault="006C1D71" w:rsidP="006C1D71">
      <w:pPr>
        <w:pStyle w:val="whitespace-normal"/>
      </w:pPr>
      <w:r>
        <w:rPr>
          <w:rStyle w:val="Fett"/>
        </w:rPr>
        <w:t>Abschluss-Bedeutung:</w:t>
      </w:r>
      <w:r>
        <w:t xml:space="preserve"> V. 34 </w:t>
      </w:r>
      <w:r>
        <w:rPr>
          <w:rStyle w:val="Fett"/>
          <w:rtl/>
        </w:rPr>
        <w:t>אלה המצות אשר צוה יהוה את־משה אל־בני ישראל בהר סיני</w:t>
      </w:r>
      <w:r>
        <w:rPr>
          <w:rtl/>
        </w:rPr>
        <w:t xml:space="preserve"> </w:t>
      </w:r>
      <w:r>
        <w:t xml:space="preserve">kennzeichnet </w:t>
      </w:r>
      <w:r>
        <w:rPr>
          <w:rStyle w:val="Fett"/>
        </w:rPr>
        <w:t>alle levitischen Gesetze</w:t>
      </w:r>
      <w:r>
        <w:t xml:space="preserve"> als </w:t>
      </w:r>
      <w:r>
        <w:rPr>
          <w:rStyle w:val="Fett"/>
        </w:rPr>
        <w:t>Sinai-Offenbarung</w:t>
      </w:r>
      <w:r>
        <w:t xml:space="preserve"> durch </w:t>
      </w:r>
      <w:r>
        <w:rPr>
          <w:rStyle w:val="Fett"/>
        </w:rPr>
        <w:t>mosaische Mittlerschaft</w:t>
      </w:r>
      <w:r>
        <w:t xml:space="preserve"> für </w:t>
      </w:r>
      <w:r>
        <w:rPr>
          <w:rStyle w:val="Fett"/>
        </w:rPr>
        <w:t>ganz Israel</w:t>
      </w:r>
      <w:r>
        <w:t xml:space="preserve">. Das gesamte Buch Leviticus wird damit als geschlossene </w:t>
      </w:r>
      <w:r>
        <w:rPr>
          <w:rStyle w:val="Fett"/>
          <w:rtl/>
        </w:rPr>
        <w:t>התורה</w:t>
      </w:r>
      <w:r>
        <w:rPr>
          <w:rtl/>
        </w:rPr>
        <w:t xml:space="preserve"> </w:t>
      </w:r>
      <w:r>
        <w:t>(</w:t>
      </w:r>
      <w:r w:rsidR="00C4283A">
        <w:t>Torah</w:t>
      </w:r>
      <w:r>
        <w:t>) göttlichen Ursprungs bestätigt.</w:t>
      </w:r>
    </w:p>
    <w:p w14:paraId="46856978" w14:textId="76A4EC22" w:rsidR="00CC4574" w:rsidRDefault="00CC4574" w:rsidP="006C1D71">
      <w:pPr>
        <w:pStyle w:val="whitespace-normal"/>
      </w:pPr>
      <w:r>
        <w:rPr>
          <w:rStyle w:val="Fett"/>
        </w:rPr>
        <w:t>Textkritische Beobachtung</w:t>
      </w:r>
      <w:r>
        <w:t>: Levitikus 27 zeigt in der LXX eine systematische Anpassung an hellenistische Wirtschafts- und Rechtssysteme. Die griechischen Übersetzer ersetzten hebräische Maße und Gewichte durch entsprechende griechische Einheiten (Doppeldrachme, Kor, Obolen) und verwendeten etablierte griechische Rechtsterminologie für Gelübde, Schätzungen und Eigentumsübertragungen. Besonders bemerkenswert ist die Behandlung des Bannbegriffs (</w:t>
      </w:r>
      <w:r>
        <w:rPr>
          <w:rtl/>
        </w:rPr>
        <w:t>חרם</w:t>
      </w:r>
      <w:r>
        <w:t>) als ἀνάθεμα, was sowohl Weihgabe als auch Verfluchung bedeuten kann. Die LXX macht die komplexen hebräischen Bewertungs- und Lösungsgesetze durch griechische Handels- und Rechtspraxis zugänglicher, während sie die religiösen und ethischen Grundprinzipien der Heiligkeit und göttlichen Eigentumsrechte beibehält. Das Schlusskapitel des Levitikus wird so zu einem praktischen Handbuch für hellenistische Juden, die diese Gesetze in griechischsprachigen Kontexten anwenden mussten.</w:t>
      </w:r>
    </w:p>
    <w:p w14:paraId="3A341B26" w14:textId="070A9102" w:rsidR="00DE3D5D" w:rsidRDefault="00DE3D5D" w:rsidP="00DE3D5D">
      <w:pPr>
        <w:spacing w:before="100" w:beforeAutospacing="1" w:after="100" w:afterAutospacing="1" w:line="240" w:lineRule="auto"/>
        <w:rPr>
          <w:rFonts w:eastAsia="Times New Roman" w:cs="Times New Roman"/>
          <w:lang w:eastAsia="de-DE"/>
        </w:rPr>
      </w:pPr>
      <w:r>
        <w:rPr>
          <w:rFonts w:eastAsia="Times New Roman" w:cs="Times New Roman"/>
          <w:lang w:eastAsia="de-DE"/>
        </w:rPr>
        <w:lastRenderedPageBreak/>
        <w:t>Peter Streitenberger</w:t>
      </w:r>
      <w:r w:rsidR="009B2AE8">
        <w:rPr>
          <w:rFonts w:eastAsia="Times New Roman" w:cs="Times New Roman"/>
          <w:lang w:eastAsia="de-DE"/>
        </w:rPr>
        <w:t xml:space="preserve"> / Ingolstadt &amp;</w:t>
      </w:r>
      <w:r>
        <w:rPr>
          <w:rFonts w:eastAsia="Times New Roman" w:cs="Times New Roman"/>
          <w:lang w:eastAsia="de-DE"/>
        </w:rPr>
        <w:t xml:space="preserve"> Thomas Schneider</w:t>
      </w:r>
      <w:r w:rsidR="009B2AE8">
        <w:rPr>
          <w:rFonts w:eastAsia="Times New Roman" w:cs="Times New Roman"/>
          <w:lang w:eastAsia="de-DE"/>
        </w:rPr>
        <w:t xml:space="preserve"> / Rennerod</w:t>
      </w:r>
      <w:r>
        <w:rPr>
          <w:rFonts w:eastAsia="Times New Roman" w:cs="Times New Roman"/>
          <w:lang w:eastAsia="de-DE"/>
        </w:rPr>
        <w:t xml:space="preserve"> im Dezember 2025</w:t>
      </w:r>
    </w:p>
    <w:p w14:paraId="75919678" w14:textId="4AC0E21E" w:rsidR="00CC6F7E" w:rsidRPr="00CC6F7E" w:rsidRDefault="00CC6F7E" w:rsidP="00CC6F7E">
      <w:pPr>
        <w:spacing w:before="100" w:beforeAutospacing="1" w:after="100" w:afterAutospacing="1" w:line="240" w:lineRule="auto"/>
        <w:rPr>
          <w:rFonts w:eastAsia="Times New Roman" w:cs="Times New Roman"/>
          <w:lang w:eastAsia="de-DE"/>
        </w:rPr>
      </w:pPr>
    </w:p>
    <w:p w14:paraId="3B243ED4" w14:textId="0D63D6B3" w:rsidR="009A13B9" w:rsidRPr="009A13B9" w:rsidRDefault="009A13B9" w:rsidP="009A13B9">
      <w:pPr>
        <w:spacing w:before="100" w:beforeAutospacing="1" w:after="100" w:afterAutospacing="1" w:line="240" w:lineRule="auto"/>
        <w:rPr>
          <w:rFonts w:eastAsia="Times New Roman" w:cs="Times New Roman"/>
          <w:lang w:eastAsia="de-DE"/>
        </w:rPr>
      </w:pPr>
    </w:p>
    <w:p w14:paraId="165F6535" w14:textId="77777777" w:rsidR="00205A8C" w:rsidRPr="0098037E" w:rsidRDefault="00205A8C" w:rsidP="00205A8C">
      <w:pPr>
        <w:pStyle w:val="KeinLeerraum"/>
        <w:rPr>
          <w:rFonts w:eastAsia="Times New Roman" w:cs="Times New Roman"/>
          <w:lang w:eastAsia="de-DE"/>
        </w:rPr>
      </w:pPr>
    </w:p>
    <w:p w14:paraId="5650752D" w14:textId="05A9FD55" w:rsidR="0098037E" w:rsidRPr="0098037E" w:rsidRDefault="0098037E" w:rsidP="0098037E">
      <w:pPr>
        <w:spacing w:before="100" w:beforeAutospacing="1" w:after="100" w:afterAutospacing="1" w:line="240" w:lineRule="auto"/>
        <w:rPr>
          <w:rFonts w:eastAsia="Times New Roman" w:cs="Times New Roman"/>
          <w:lang w:eastAsia="de-DE"/>
        </w:rPr>
      </w:pPr>
    </w:p>
    <w:p w14:paraId="71780B0D" w14:textId="77777777" w:rsidR="0098037E" w:rsidRPr="0098037E" w:rsidRDefault="0098037E" w:rsidP="0098037E">
      <w:pPr>
        <w:rPr>
          <w:b/>
          <w:bCs/>
        </w:rPr>
      </w:pPr>
    </w:p>
    <w:p w14:paraId="6666595C" w14:textId="77777777" w:rsidR="0098037E" w:rsidRDefault="0098037E" w:rsidP="0098037E"/>
    <w:sectPr w:rsidR="0098037E">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2FB1D" w14:textId="77777777" w:rsidR="00A57720" w:rsidRDefault="00A57720" w:rsidP="003F2847">
      <w:pPr>
        <w:spacing w:after="0" w:line="240" w:lineRule="auto"/>
      </w:pPr>
      <w:r>
        <w:separator/>
      </w:r>
    </w:p>
  </w:endnote>
  <w:endnote w:type="continuationSeparator" w:id="0">
    <w:p w14:paraId="07F226E4" w14:textId="77777777" w:rsidR="00A57720" w:rsidRDefault="00A57720" w:rsidP="003F2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BL Hebrew">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529563"/>
      <w:docPartObj>
        <w:docPartGallery w:val="Page Numbers (Bottom of Page)"/>
        <w:docPartUnique/>
      </w:docPartObj>
    </w:sdtPr>
    <w:sdtEndPr/>
    <w:sdtContent>
      <w:p w14:paraId="51D0A320" w14:textId="61E93112" w:rsidR="003F2847" w:rsidRDefault="003F2847">
        <w:pPr>
          <w:pStyle w:val="Fuzeile"/>
          <w:jc w:val="center"/>
        </w:pPr>
        <w:r>
          <w:rPr>
            <w:noProof/>
          </w:rPr>
          <mc:AlternateContent>
            <mc:Choice Requires="wps">
              <w:drawing>
                <wp:inline distT="0" distB="0" distL="0" distR="0" wp14:anchorId="69706195" wp14:editId="48507A27">
                  <wp:extent cx="5467350" cy="45085"/>
                  <wp:effectExtent l="9525" t="9525" r="0" b="2540"/>
                  <wp:docPr id="1" name="Flussdiagramm: Verzweigung 1" descr="Light horizon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6C6DBEE"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aaOf82gAA&#10;AAMBAAAPAAAAZHJzL2Rvd25yZXYueG1sTI9BS8NAEIXvgv9hGcGb3aSFWNNsihRELwpW8bzNTjfB&#10;7GzY3TZpf72jF3t58HjDe99U68n14oghdp4U5LMMBFLjTUdWwefH090SREyajO49oYITRljX11eV&#10;Lo0f6R2P22QFl1AstYI2paGUMjYtOh1nfkDibO+D04ltsNIEPXK56+U8ywrpdEe80OoBNy0239uD&#10;U2A3xektW9jRh5d8MX9+OL+mr7NStzfT4wpEwin9H8MvPqNDzUw7fyATRa+AH0l/ytmyyNnuFNzn&#10;IOtKXrLXPwAAAP//AwBQSwECLQAUAAYACAAAACEAtoM4kv4AAADhAQAAEwAAAAAAAAAAAAAAAAAA&#10;AAAAW0NvbnRlbnRfVHlwZXNdLnhtbFBLAQItABQABgAIAAAAIQA4/SH/1gAAAJQBAAALAAAAAAAA&#10;AAAAAAAAAC8BAABfcmVscy8ucmVsc1BLAQItABQABgAIAAAAIQDDlWdOPgIAAGYEAAAOAAAAAAAA&#10;AAAAAAAAAC4CAABkcnMvZTJvRG9jLnhtbFBLAQItABQABgAIAAAAIQAaaOf82gAAAAMBAAAPAAAA&#10;AAAAAAAAAAAAAJgEAABkcnMvZG93bnJldi54bWxQSwUGAAAAAAQABADzAAAAnwUAAAAA&#10;" fillcolor="black" stroked="f">
                  <v:fill r:id="rId1" o:title="" type="pattern"/>
                  <w10:anchorlock/>
                </v:shape>
              </w:pict>
            </mc:Fallback>
          </mc:AlternateContent>
        </w:r>
      </w:p>
      <w:p w14:paraId="4C0ED712" w14:textId="6FB084F2" w:rsidR="003F2847" w:rsidRDefault="003F2847">
        <w:pPr>
          <w:pStyle w:val="Fuzeile"/>
          <w:jc w:val="center"/>
        </w:pPr>
        <w:r>
          <w:fldChar w:fldCharType="begin"/>
        </w:r>
        <w:r>
          <w:instrText>PAGE    \* MERGEFORMAT</w:instrText>
        </w:r>
        <w:r>
          <w:fldChar w:fldCharType="separate"/>
        </w:r>
        <w:r>
          <w:t>2</w:t>
        </w:r>
        <w:r>
          <w:fldChar w:fldCharType="end"/>
        </w:r>
      </w:p>
    </w:sdtContent>
  </w:sdt>
  <w:p w14:paraId="27DBB896" w14:textId="77777777" w:rsidR="003F2847" w:rsidRDefault="003F28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68A93" w14:textId="77777777" w:rsidR="00A57720" w:rsidRDefault="00A57720" w:rsidP="003F2847">
      <w:pPr>
        <w:spacing w:after="0" w:line="240" w:lineRule="auto"/>
      </w:pPr>
      <w:r>
        <w:separator/>
      </w:r>
    </w:p>
  </w:footnote>
  <w:footnote w:type="continuationSeparator" w:id="0">
    <w:p w14:paraId="7716DF47" w14:textId="77777777" w:rsidR="00A57720" w:rsidRDefault="00A57720" w:rsidP="003F2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4FE"/>
    <w:multiLevelType w:val="multilevel"/>
    <w:tmpl w:val="5D26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B7A5C"/>
    <w:multiLevelType w:val="multilevel"/>
    <w:tmpl w:val="02D2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46600"/>
    <w:multiLevelType w:val="multilevel"/>
    <w:tmpl w:val="9E48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507F"/>
    <w:multiLevelType w:val="multilevel"/>
    <w:tmpl w:val="B9964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466E5"/>
    <w:multiLevelType w:val="multilevel"/>
    <w:tmpl w:val="33F6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F473A"/>
    <w:multiLevelType w:val="multilevel"/>
    <w:tmpl w:val="9A1E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D49D2"/>
    <w:multiLevelType w:val="hybridMultilevel"/>
    <w:tmpl w:val="857093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C7048"/>
    <w:multiLevelType w:val="multilevel"/>
    <w:tmpl w:val="0DF853D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0085A"/>
    <w:multiLevelType w:val="multilevel"/>
    <w:tmpl w:val="4DEC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850AA"/>
    <w:multiLevelType w:val="multilevel"/>
    <w:tmpl w:val="C1A0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B5B99"/>
    <w:multiLevelType w:val="multilevel"/>
    <w:tmpl w:val="9578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B0279"/>
    <w:multiLevelType w:val="multilevel"/>
    <w:tmpl w:val="0074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41EEF"/>
    <w:multiLevelType w:val="multilevel"/>
    <w:tmpl w:val="D610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F3576"/>
    <w:multiLevelType w:val="multilevel"/>
    <w:tmpl w:val="54A2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CA59C9"/>
    <w:multiLevelType w:val="multilevel"/>
    <w:tmpl w:val="6432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FA3CD9"/>
    <w:multiLevelType w:val="multilevel"/>
    <w:tmpl w:val="40D4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BB72F6"/>
    <w:multiLevelType w:val="multilevel"/>
    <w:tmpl w:val="40DA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A4476"/>
    <w:multiLevelType w:val="multilevel"/>
    <w:tmpl w:val="669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C116F"/>
    <w:multiLevelType w:val="multilevel"/>
    <w:tmpl w:val="16DC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2595F"/>
    <w:multiLevelType w:val="multilevel"/>
    <w:tmpl w:val="A8AC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659A5"/>
    <w:multiLevelType w:val="multilevel"/>
    <w:tmpl w:val="8CFA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FD649B"/>
    <w:multiLevelType w:val="multilevel"/>
    <w:tmpl w:val="9456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74B2B"/>
    <w:multiLevelType w:val="multilevel"/>
    <w:tmpl w:val="CEBC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573C22"/>
    <w:multiLevelType w:val="multilevel"/>
    <w:tmpl w:val="31F8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36EA2"/>
    <w:multiLevelType w:val="multilevel"/>
    <w:tmpl w:val="1024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A94998"/>
    <w:multiLevelType w:val="multilevel"/>
    <w:tmpl w:val="1666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E3202"/>
    <w:multiLevelType w:val="multilevel"/>
    <w:tmpl w:val="63D0B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D7CBA"/>
    <w:multiLevelType w:val="multilevel"/>
    <w:tmpl w:val="838E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647DC8"/>
    <w:multiLevelType w:val="multilevel"/>
    <w:tmpl w:val="6758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E6684F"/>
    <w:multiLevelType w:val="multilevel"/>
    <w:tmpl w:val="F88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2F5A81"/>
    <w:multiLevelType w:val="multilevel"/>
    <w:tmpl w:val="A700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3E039B"/>
    <w:multiLevelType w:val="multilevel"/>
    <w:tmpl w:val="F612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572196"/>
    <w:multiLevelType w:val="multilevel"/>
    <w:tmpl w:val="587E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A7286"/>
    <w:multiLevelType w:val="multilevel"/>
    <w:tmpl w:val="B50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307D8"/>
    <w:multiLevelType w:val="multilevel"/>
    <w:tmpl w:val="197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C85562"/>
    <w:multiLevelType w:val="multilevel"/>
    <w:tmpl w:val="95C2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17DB8"/>
    <w:multiLevelType w:val="multilevel"/>
    <w:tmpl w:val="BA4A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21"/>
  </w:num>
  <w:num w:numId="4">
    <w:abstractNumId w:val="28"/>
  </w:num>
  <w:num w:numId="5">
    <w:abstractNumId w:val="1"/>
  </w:num>
  <w:num w:numId="6">
    <w:abstractNumId w:val="30"/>
  </w:num>
  <w:num w:numId="7">
    <w:abstractNumId w:val="29"/>
  </w:num>
  <w:num w:numId="8">
    <w:abstractNumId w:val="10"/>
  </w:num>
  <w:num w:numId="9">
    <w:abstractNumId w:val="19"/>
  </w:num>
  <w:num w:numId="10">
    <w:abstractNumId w:val="11"/>
  </w:num>
  <w:num w:numId="11">
    <w:abstractNumId w:val="18"/>
  </w:num>
  <w:num w:numId="12">
    <w:abstractNumId w:val="32"/>
  </w:num>
  <w:num w:numId="13">
    <w:abstractNumId w:val="34"/>
  </w:num>
  <w:num w:numId="14">
    <w:abstractNumId w:val="15"/>
  </w:num>
  <w:num w:numId="15">
    <w:abstractNumId w:val="9"/>
  </w:num>
  <w:num w:numId="16">
    <w:abstractNumId w:val="0"/>
  </w:num>
  <w:num w:numId="17">
    <w:abstractNumId w:val="3"/>
  </w:num>
  <w:num w:numId="18">
    <w:abstractNumId w:val="5"/>
  </w:num>
  <w:num w:numId="19">
    <w:abstractNumId w:val="2"/>
  </w:num>
  <w:num w:numId="20">
    <w:abstractNumId w:val="20"/>
  </w:num>
  <w:num w:numId="21">
    <w:abstractNumId w:val="23"/>
  </w:num>
  <w:num w:numId="22">
    <w:abstractNumId w:val="4"/>
  </w:num>
  <w:num w:numId="23">
    <w:abstractNumId w:val="8"/>
  </w:num>
  <w:num w:numId="24">
    <w:abstractNumId w:val="12"/>
  </w:num>
  <w:num w:numId="25">
    <w:abstractNumId w:val="25"/>
  </w:num>
  <w:num w:numId="26">
    <w:abstractNumId w:val="16"/>
  </w:num>
  <w:num w:numId="27">
    <w:abstractNumId w:val="36"/>
  </w:num>
  <w:num w:numId="28">
    <w:abstractNumId w:val="17"/>
  </w:num>
  <w:num w:numId="29">
    <w:abstractNumId w:val="31"/>
  </w:num>
  <w:num w:numId="30">
    <w:abstractNumId w:val="33"/>
  </w:num>
  <w:num w:numId="31">
    <w:abstractNumId w:val="13"/>
  </w:num>
  <w:num w:numId="32">
    <w:abstractNumId w:val="27"/>
  </w:num>
  <w:num w:numId="33">
    <w:abstractNumId w:val="26"/>
  </w:num>
  <w:num w:numId="34">
    <w:abstractNumId w:val="7"/>
  </w:num>
  <w:num w:numId="35">
    <w:abstractNumId w:val="35"/>
  </w:num>
  <w:num w:numId="36">
    <w:abstractNumId w:val="2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37E"/>
    <w:rsid w:val="000024AA"/>
    <w:rsid w:val="00071294"/>
    <w:rsid w:val="0007678B"/>
    <w:rsid w:val="00087EFE"/>
    <w:rsid w:val="00092ACA"/>
    <w:rsid w:val="000A1182"/>
    <w:rsid w:val="000A1689"/>
    <w:rsid w:val="000D757C"/>
    <w:rsid w:val="000E6357"/>
    <w:rsid w:val="000F5B67"/>
    <w:rsid w:val="00102B3D"/>
    <w:rsid w:val="00125C26"/>
    <w:rsid w:val="00145F96"/>
    <w:rsid w:val="00154006"/>
    <w:rsid w:val="00195E02"/>
    <w:rsid w:val="001A4E16"/>
    <w:rsid w:val="001E05CF"/>
    <w:rsid w:val="00205A8C"/>
    <w:rsid w:val="00216AB6"/>
    <w:rsid w:val="00264340"/>
    <w:rsid w:val="00274C29"/>
    <w:rsid w:val="00282BD6"/>
    <w:rsid w:val="002916C4"/>
    <w:rsid w:val="002A2E03"/>
    <w:rsid w:val="002B194C"/>
    <w:rsid w:val="002F2494"/>
    <w:rsid w:val="002F2900"/>
    <w:rsid w:val="0035702C"/>
    <w:rsid w:val="00380B7A"/>
    <w:rsid w:val="003F2847"/>
    <w:rsid w:val="004343B1"/>
    <w:rsid w:val="00434555"/>
    <w:rsid w:val="004603C6"/>
    <w:rsid w:val="004637CC"/>
    <w:rsid w:val="0047575E"/>
    <w:rsid w:val="004B5066"/>
    <w:rsid w:val="004D6EA3"/>
    <w:rsid w:val="004F25E8"/>
    <w:rsid w:val="0050276D"/>
    <w:rsid w:val="005033D2"/>
    <w:rsid w:val="005070BF"/>
    <w:rsid w:val="00507F60"/>
    <w:rsid w:val="00523826"/>
    <w:rsid w:val="005248F3"/>
    <w:rsid w:val="005407E2"/>
    <w:rsid w:val="00543431"/>
    <w:rsid w:val="00555529"/>
    <w:rsid w:val="00570BCE"/>
    <w:rsid w:val="00571E11"/>
    <w:rsid w:val="00577688"/>
    <w:rsid w:val="00577FFB"/>
    <w:rsid w:val="00587151"/>
    <w:rsid w:val="005A7045"/>
    <w:rsid w:val="005B7FBB"/>
    <w:rsid w:val="00613E14"/>
    <w:rsid w:val="0066048C"/>
    <w:rsid w:val="006A7B00"/>
    <w:rsid w:val="006C1D71"/>
    <w:rsid w:val="006C2578"/>
    <w:rsid w:val="006E386D"/>
    <w:rsid w:val="007660B2"/>
    <w:rsid w:val="00775F21"/>
    <w:rsid w:val="0078353B"/>
    <w:rsid w:val="007A7977"/>
    <w:rsid w:val="007F74FF"/>
    <w:rsid w:val="00801BA8"/>
    <w:rsid w:val="0080613F"/>
    <w:rsid w:val="00865A3D"/>
    <w:rsid w:val="008B1D78"/>
    <w:rsid w:val="008E2E29"/>
    <w:rsid w:val="009104A2"/>
    <w:rsid w:val="009140F9"/>
    <w:rsid w:val="00971D84"/>
    <w:rsid w:val="0098037E"/>
    <w:rsid w:val="00987E5E"/>
    <w:rsid w:val="00992CEC"/>
    <w:rsid w:val="009A13B9"/>
    <w:rsid w:val="009A271E"/>
    <w:rsid w:val="009B2AE8"/>
    <w:rsid w:val="009F200D"/>
    <w:rsid w:val="00A45F99"/>
    <w:rsid w:val="00A520A8"/>
    <w:rsid w:val="00A5252E"/>
    <w:rsid w:val="00A57720"/>
    <w:rsid w:val="00A7113C"/>
    <w:rsid w:val="00AB1706"/>
    <w:rsid w:val="00B2490C"/>
    <w:rsid w:val="00B30557"/>
    <w:rsid w:val="00B3655B"/>
    <w:rsid w:val="00B74EAF"/>
    <w:rsid w:val="00B8728C"/>
    <w:rsid w:val="00BA68AC"/>
    <w:rsid w:val="00BB26EE"/>
    <w:rsid w:val="00BB61E9"/>
    <w:rsid w:val="00C05AB4"/>
    <w:rsid w:val="00C4283A"/>
    <w:rsid w:val="00C70FD3"/>
    <w:rsid w:val="00CA22AE"/>
    <w:rsid w:val="00CC42AE"/>
    <w:rsid w:val="00CC4574"/>
    <w:rsid w:val="00CC6F7E"/>
    <w:rsid w:val="00CF10E7"/>
    <w:rsid w:val="00D47FD5"/>
    <w:rsid w:val="00D61FEC"/>
    <w:rsid w:val="00D86F49"/>
    <w:rsid w:val="00D932EB"/>
    <w:rsid w:val="00DA44BE"/>
    <w:rsid w:val="00DC54C1"/>
    <w:rsid w:val="00DE39DD"/>
    <w:rsid w:val="00DE3D5D"/>
    <w:rsid w:val="00E0257E"/>
    <w:rsid w:val="00E05781"/>
    <w:rsid w:val="00E35559"/>
    <w:rsid w:val="00E35C31"/>
    <w:rsid w:val="00E705C5"/>
    <w:rsid w:val="00E83BD7"/>
    <w:rsid w:val="00ED37B8"/>
    <w:rsid w:val="00F163D7"/>
    <w:rsid w:val="00F34C38"/>
    <w:rsid w:val="00F6539E"/>
    <w:rsid w:val="00F75E3B"/>
    <w:rsid w:val="00FA32C6"/>
    <w:rsid w:val="00FD4959"/>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457BF"/>
  <w15:chartTrackingRefBased/>
  <w15:docId w15:val="{C78B6A11-1C13-4BA7-B587-2C8EC53E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037E"/>
    <w:pPr>
      <w:spacing w:line="256" w:lineRule="auto"/>
    </w:pPr>
  </w:style>
  <w:style w:type="paragraph" w:styleId="berschrift2">
    <w:name w:val="heading 2"/>
    <w:basedOn w:val="Standard"/>
    <w:link w:val="berschrift2Zchn"/>
    <w:uiPriority w:val="9"/>
    <w:qFormat/>
    <w:rsid w:val="0098037E"/>
    <w:pPr>
      <w:spacing w:before="100" w:beforeAutospacing="1" w:after="100" w:afterAutospacing="1" w:line="240" w:lineRule="auto"/>
      <w:outlineLvl w:val="1"/>
    </w:pPr>
    <w:rPr>
      <w:rFonts w:eastAsia="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8037E"/>
    <w:rPr>
      <w:rFonts w:eastAsia="Times New Roman" w:cs="Times New Roman"/>
      <w:b/>
      <w:bCs/>
      <w:sz w:val="36"/>
      <w:szCs w:val="36"/>
      <w:lang w:eastAsia="de-DE"/>
    </w:rPr>
  </w:style>
  <w:style w:type="character" w:styleId="Fett">
    <w:name w:val="Strong"/>
    <w:basedOn w:val="Absatz-Standardschriftart"/>
    <w:uiPriority w:val="22"/>
    <w:qFormat/>
    <w:rsid w:val="0098037E"/>
    <w:rPr>
      <w:b/>
      <w:bCs/>
    </w:rPr>
  </w:style>
  <w:style w:type="paragraph" w:customStyle="1" w:styleId="whitespace-normal">
    <w:name w:val="whitespace-normal"/>
    <w:basedOn w:val="Standard"/>
    <w:rsid w:val="0098037E"/>
    <w:pPr>
      <w:spacing w:before="100" w:beforeAutospacing="1" w:after="100" w:afterAutospacing="1" w:line="240" w:lineRule="auto"/>
    </w:pPr>
    <w:rPr>
      <w:rFonts w:eastAsia="Times New Roman" w:cs="Times New Roman"/>
      <w:lang w:eastAsia="de-DE"/>
    </w:rPr>
  </w:style>
  <w:style w:type="paragraph" w:customStyle="1" w:styleId="whitespace-pre-wrap">
    <w:name w:val="whitespace-pre-wrap"/>
    <w:basedOn w:val="Standard"/>
    <w:rsid w:val="0098037E"/>
    <w:pPr>
      <w:spacing w:before="100" w:beforeAutospacing="1" w:after="100" w:afterAutospacing="1" w:line="240" w:lineRule="auto"/>
    </w:pPr>
    <w:rPr>
      <w:rFonts w:eastAsia="Times New Roman" w:cs="Times New Roman"/>
      <w:lang w:eastAsia="de-DE"/>
    </w:rPr>
  </w:style>
  <w:style w:type="paragraph" w:styleId="KeinLeerraum">
    <w:name w:val="No Spacing"/>
    <w:uiPriority w:val="1"/>
    <w:qFormat/>
    <w:rsid w:val="00577688"/>
    <w:pPr>
      <w:spacing w:after="0" w:line="240" w:lineRule="auto"/>
    </w:pPr>
  </w:style>
  <w:style w:type="character" w:customStyle="1" w:styleId="hovertext-text-300">
    <w:name w:val="hover:text-text-300"/>
    <w:basedOn w:val="Absatz-Standardschriftart"/>
    <w:rsid w:val="000A1689"/>
  </w:style>
  <w:style w:type="paragraph" w:styleId="Kopfzeile">
    <w:name w:val="header"/>
    <w:basedOn w:val="Standard"/>
    <w:link w:val="KopfzeileZchn"/>
    <w:uiPriority w:val="99"/>
    <w:unhideWhenUsed/>
    <w:rsid w:val="003F28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2847"/>
  </w:style>
  <w:style w:type="paragraph" w:styleId="Fuzeile">
    <w:name w:val="footer"/>
    <w:basedOn w:val="Standard"/>
    <w:link w:val="FuzeileZchn"/>
    <w:uiPriority w:val="99"/>
    <w:unhideWhenUsed/>
    <w:rsid w:val="003F28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2847"/>
  </w:style>
  <w:style w:type="character" w:styleId="Kommentarzeichen">
    <w:name w:val="annotation reference"/>
    <w:basedOn w:val="Absatz-Standardschriftart"/>
    <w:uiPriority w:val="99"/>
    <w:semiHidden/>
    <w:unhideWhenUsed/>
    <w:rsid w:val="00071294"/>
    <w:rPr>
      <w:sz w:val="16"/>
      <w:szCs w:val="16"/>
    </w:rPr>
  </w:style>
  <w:style w:type="paragraph" w:styleId="Kommentartext">
    <w:name w:val="annotation text"/>
    <w:basedOn w:val="Standard"/>
    <w:link w:val="KommentartextZchn"/>
    <w:uiPriority w:val="99"/>
    <w:semiHidden/>
    <w:unhideWhenUsed/>
    <w:rsid w:val="0007129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1294"/>
    <w:rPr>
      <w:sz w:val="20"/>
      <w:szCs w:val="20"/>
    </w:rPr>
  </w:style>
  <w:style w:type="paragraph" w:styleId="Kommentarthema">
    <w:name w:val="annotation subject"/>
    <w:basedOn w:val="Kommentartext"/>
    <w:next w:val="Kommentartext"/>
    <w:link w:val="KommentarthemaZchn"/>
    <w:uiPriority w:val="99"/>
    <w:semiHidden/>
    <w:unhideWhenUsed/>
    <w:rsid w:val="00071294"/>
    <w:rPr>
      <w:b/>
      <w:bCs/>
    </w:rPr>
  </w:style>
  <w:style w:type="character" w:customStyle="1" w:styleId="KommentarthemaZchn">
    <w:name w:val="Kommentarthema Zchn"/>
    <w:basedOn w:val="KommentartextZchn"/>
    <w:link w:val="Kommentarthema"/>
    <w:uiPriority w:val="99"/>
    <w:semiHidden/>
    <w:rsid w:val="00071294"/>
    <w:rPr>
      <w:b/>
      <w:bCs/>
      <w:sz w:val="20"/>
      <w:szCs w:val="20"/>
    </w:rPr>
  </w:style>
  <w:style w:type="character" w:styleId="Hervorhebung">
    <w:name w:val="Emphasis"/>
    <w:basedOn w:val="Absatz-Standardschriftart"/>
    <w:uiPriority w:val="20"/>
    <w:qFormat/>
    <w:rsid w:val="00D932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67">
      <w:bodyDiv w:val="1"/>
      <w:marLeft w:val="0"/>
      <w:marRight w:val="0"/>
      <w:marTop w:val="0"/>
      <w:marBottom w:val="0"/>
      <w:divBdr>
        <w:top w:val="none" w:sz="0" w:space="0" w:color="auto"/>
        <w:left w:val="none" w:sz="0" w:space="0" w:color="auto"/>
        <w:bottom w:val="none" w:sz="0" w:space="0" w:color="auto"/>
        <w:right w:val="none" w:sz="0" w:space="0" w:color="auto"/>
      </w:divBdr>
    </w:div>
    <w:div w:id="15811470">
      <w:bodyDiv w:val="1"/>
      <w:marLeft w:val="0"/>
      <w:marRight w:val="0"/>
      <w:marTop w:val="0"/>
      <w:marBottom w:val="0"/>
      <w:divBdr>
        <w:top w:val="none" w:sz="0" w:space="0" w:color="auto"/>
        <w:left w:val="none" w:sz="0" w:space="0" w:color="auto"/>
        <w:bottom w:val="none" w:sz="0" w:space="0" w:color="auto"/>
        <w:right w:val="none" w:sz="0" w:space="0" w:color="auto"/>
      </w:divBdr>
    </w:div>
    <w:div w:id="23676461">
      <w:bodyDiv w:val="1"/>
      <w:marLeft w:val="0"/>
      <w:marRight w:val="0"/>
      <w:marTop w:val="0"/>
      <w:marBottom w:val="0"/>
      <w:divBdr>
        <w:top w:val="none" w:sz="0" w:space="0" w:color="auto"/>
        <w:left w:val="none" w:sz="0" w:space="0" w:color="auto"/>
        <w:bottom w:val="none" w:sz="0" w:space="0" w:color="auto"/>
        <w:right w:val="none" w:sz="0" w:space="0" w:color="auto"/>
      </w:divBdr>
    </w:div>
    <w:div w:id="43453863">
      <w:bodyDiv w:val="1"/>
      <w:marLeft w:val="0"/>
      <w:marRight w:val="0"/>
      <w:marTop w:val="0"/>
      <w:marBottom w:val="0"/>
      <w:divBdr>
        <w:top w:val="none" w:sz="0" w:space="0" w:color="auto"/>
        <w:left w:val="none" w:sz="0" w:space="0" w:color="auto"/>
        <w:bottom w:val="none" w:sz="0" w:space="0" w:color="auto"/>
        <w:right w:val="none" w:sz="0" w:space="0" w:color="auto"/>
      </w:divBdr>
    </w:div>
    <w:div w:id="47996043">
      <w:bodyDiv w:val="1"/>
      <w:marLeft w:val="0"/>
      <w:marRight w:val="0"/>
      <w:marTop w:val="0"/>
      <w:marBottom w:val="0"/>
      <w:divBdr>
        <w:top w:val="none" w:sz="0" w:space="0" w:color="auto"/>
        <w:left w:val="none" w:sz="0" w:space="0" w:color="auto"/>
        <w:bottom w:val="none" w:sz="0" w:space="0" w:color="auto"/>
        <w:right w:val="none" w:sz="0" w:space="0" w:color="auto"/>
      </w:divBdr>
    </w:div>
    <w:div w:id="54941019">
      <w:bodyDiv w:val="1"/>
      <w:marLeft w:val="0"/>
      <w:marRight w:val="0"/>
      <w:marTop w:val="0"/>
      <w:marBottom w:val="0"/>
      <w:divBdr>
        <w:top w:val="none" w:sz="0" w:space="0" w:color="auto"/>
        <w:left w:val="none" w:sz="0" w:space="0" w:color="auto"/>
        <w:bottom w:val="none" w:sz="0" w:space="0" w:color="auto"/>
        <w:right w:val="none" w:sz="0" w:space="0" w:color="auto"/>
      </w:divBdr>
    </w:div>
    <w:div w:id="134181531">
      <w:bodyDiv w:val="1"/>
      <w:marLeft w:val="0"/>
      <w:marRight w:val="0"/>
      <w:marTop w:val="0"/>
      <w:marBottom w:val="0"/>
      <w:divBdr>
        <w:top w:val="none" w:sz="0" w:space="0" w:color="auto"/>
        <w:left w:val="none" w:sz="0" w:space="0" w:color="auto"/>
        <w:bottom w:val="none" w:sz="0" w:space="0" w:color="auto"/>
        <w:right w:val="none" w:sz="0" w:space="0" w:color="auto"/>
      </w:divBdr>
    </w:div>
    <w:div w:id="138768642">
      <w:bodyDiv w:val="1"/>
      <w:marLeft w:val="0"/>
      <w:marRight w:val="0"/>
      <w:marTop w:val="0"/>
      <w:marBottom w:val="0"/>
      <w:divBdr>
        <w:top w:val="none" w:sz="0" w:space="0" w:color="auto"/>
        <w:left w:val="none" w:sz="0" w:space="0" w:color="auto"/>
        <w:bottom w:val="none" w:sz="0" w:space="0" w:color="auto"/>
        <w:right w:val="none" w:sz="0" w:space="0" w:color="auto"/>
      </w:divBdr>
    </w:div>
    <w:div w:id="149256277">
      <w:bodyDiv w:val="1"/>
      <w:marLeft w:val="0"/>
      <w:marRight w:val="0"/>
      <w:marTop w:val="0"/>
      <w:marBottom w:val="0"/>
      <w:divBdr>
        <w:top w:val="none" w:sz="0" w:space="0" w:color="auto"/>
        <w:left w:val="none" w:sz="0" w:space="0" w:color="auto"/>
        <w:bottom w:val="none" w:sz="0" w:space="0" w:color="auto"/>
        <w:right w:val="none" w:sz="0" w:space="0" w:color="auto"/>
      </w:divBdr>
    </w:div>
    <w:div w:id="150341885">
      <w:bodyDiv w:val="1"/>
      <w:marLeft w:val="0"/>
      <w:marRight w:val="0"/>
      <w:marTop w:val="0"/>
      <w:marBottom w:val="0"/>
      <w:divBdr>
        <w:top w:val="none" w:sz="0" w:space="0" w:color="auto"/>
        <w:left w:val="none" w:sz="0" w:space="0" w:color="auto"/>
        <w:bottom w:val="none" w:sz="0" w:space="0" w:color="auto"/>
        <w:right w:val="none" w:sz="0" w:space="0" w:color="auto"/>
      </w:divBdr>
    </w:div>
    <w:div w:id="151413829">
      <w:bodyDiv w:val="1"/>
      <w:marLeft w:val="0"/>
      <w:marRight w:val="0"/>
      <w:marTop w:val="0"/>
      <w:marBottom w:val="0"/>
      <w:divBdr>
        <w:top w:val="none" w:sz="0" w:space="0" w:color="auto"/>
        <w:left w:val="none" w:sz="0" w:space="0" w:color="auto"/>
        <w:bottom w:val="none" w:sz="0" w:space="0" w:color="auto"/>
        <w:right w:val="none" w:sz="0" w:space="0" w:color="auto"/>
      </w:divBdr>
    </w:div>
    <w:div w:id="182137781">
      <w:bodyDiv w:val="1"/>
      <w:marLeft w:val="0"/>
      <w:marRight w:val="0"/>
      <w:marTop w:val="0"/>
      <w:marBottom w:val="0"/>
      <w:divBdr>
        <w:top w:val="none" w:sz="0" w:space="0" w:color="auto"/>
        <w:left w:val="none" w:sz="0" w:space="0" w:color="auto"/>
        <w:bottom w:val="none" w:sz="0" w:space="0" w:color="auto"/>
        <w:right w:val="none" w:sz="0" w:space="0" w:color="auto"/>
      </w:divBdr>
    </w:div>
    <w:div w:id="189492550">
      <w:bodyDiv w:val="1"/>
      <w:marLeft w:val="0"/>
      <w:marRight w:val="0"/>
      <w:marTop w:val="0"/>
      <w:marBottom w:val="0"/>
      <w:divBdr>
        <w:top w:val="none" w:sz="0" w:space="0" w:color="auto"/>
        <w:left w:val="none" w:sz="0" w:space="0" w:color="auto"/>
        <w:bottom w:val="none" w:sz="0" w:space="0" w:color="auto"/>
        <w:right w:val="none" w:sz="0" w:space="0" w:color="auto"/>
      </w:divBdr>
    </w:div>
    <w:div w:id="197284499">
      <w:bodyDiv w:val="1"/>
      <w:marLeft w:val="0"/>
      <w:marRight w:val="0"/>
      <w:marTop w:val="0"/>
      <w:marBottom w:val="0"/>
      <w:divBdr>
        <w:top w:val="none" w:sz="0" w:space="0" w:color="auto"/>
        <w:left w:val="none" w:sz="0" w:space="0" w:color="auto"/>
        <w:bottom w:val="none" w:sz="0" w:space="0" w:color="auto"/>
        <w:right w:val="none" w:sz="0" w:space="0" w:color="auto"/>
      </w:divBdr>
      <w:divsChild>
        <w:div w:id="719674595">
          <w:marLeft w:val="0"/>
          <w:marRight w:val="0"/>
          <w:marTop w:val="0"/>
          <w:marBottom w:val="0"/>
          <w:divBdr>
            <w:top w:val="none" w:sz="0" w:space="0" w:color="auto"/>
            <w:left w:val="none" w:sz="0" w:space="0" w:color="auto"/>
            <w:bottom w:val="none" w:sz="0" w:space="0" w:color="auto"/>
            <w:right w:val="none" w:sz="0" w:space="0" w:color="auto"/>
          </w:divBdr>
          <w:divsChild>
            <w:div w:id="2045474215">
              <w:marLeft w:val="0"/>
              <w:marRight w:val="0"/>
              <w:marTop w:val="0"/>
              <w:marBottom w:val="0"/>
              <w:divBdr>
                <w:top w:val="none" w:sz="0" w:space="0" w:color="auto"/>
                <w:left w:val="none" w:sz="0" w:space="0" w:color="auto"/>
                <w:bottom w:val="none" w:sz="0" w:space="0" w:color="auto"/>
                <w:right w:val="none" w:sz="0" w:space="0" w:color="auto"/>
              </w:divBdr>
              <w:divsChild>
                <w:div w:id="1906060998">
                  <w:marLeft w:val="0"/>
                  <w:marRight w:val="0"/>
                  <w:marTop w:val="0"/>
                  <w:marBottom w:val="0"/>
                  <w:divBdr>
                    <w:top w:val="none" w:sz="0" w:space="0" w:color="auto"/>
                    <w:left w:val="none" w:sz="0" w:space="0" w:color="auto"/>
                    <w:bottom w:val="none" w:sz="0" w:space="0" w:color="auto"/>
                    <w:right w:val="none" w:sz="0" w:space="0" w:color="auto"/>
                  </w:divBdr>
                  <w:divsChild>
                    <w:div w:id="1238636095">
                      <w:marLeft w:val="0"/>
                      <w:marRight w:val="0"/>
                      <w:marTop w:val="0"/>
                      <w:marBottom w:val="0"/>
                      <w:divBdr>
                        <w:top w:val="none" w:sz="0" w:space="0" w:color="auto"/>
                        <w:left w:val="none" w:sz="0" w:space="0" w:color="auto"/>
                        <w:bottom w:val="none" w:sz="0" w:space="0" w:color="auto"/>
                        <w:right w:val="none" w:sz="0" w:space="0" w:color="auto"/>
                      </w:divBdr>
                      <w:divsChild>
                        <w:div w:id="1586568866">
                          <w:marLeft w:val="0"/>
                          <w:marRight w:val="0"/>
                          <w:marTop w:val="0"/>
                          <w:marBottom w:val="0"/>
                          <w:divBdr>
                            <w:top w:val="none" w:sz="0" w:space="0" w:color="auto"/>
                            <w:left w:val="none" w:sz="0" w:space="0" w:color="auto"/>
                            <w:bottom w:val="none" w:sz="0" w:space="0" w:color="auto"/>
                            <w:right w:val="none" w:sz="0" w:space="0" w:color="auto"/>
                          </w:divBdr>
                          <w:divsChild>
                            <w:div w:id="9543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0949">
                      <w:marLeft w:val="0"/>
                      <w:marRight w:val="0"/>
                      <w:marTop w:val="0"/>
                      <w:marBottom w:val="0"/>
                      <w:divBdr>
                        <w:top w:val="none" w:sz="0" w:space="0" w:color="auto"/>
                        <w:left w:val="none" w:sz="0" w:space="0" w:color="auto"/>
                        <w:bottom w:val="none" w:sz="0" w:space="0" w:color="auto"/>
                        <w:right w:val="none" w:sz="0" w:space="0" w:color="auto"/>
                      </w:divBdr>
                      <w:divsChild>
                        <w:div w:id="1943145043">
                          <w:marLeft w:val="0"/>
                          <w:marRight w:val="0"/>
                          <w:marTop w:val="0"/>
                          <w:marBottom w:val="0"/>
                          <w:divBdr>
                            <w:top w:val="none" w:sz="0" w:space="0" w:color="auto"/>
                            <w:left w:val="none" w:sz="0" w:space="0" w:color="auto"/>
                            <w:bottom w:val="none" w:sz="0" w:space="0" w:color="auto"/>
                            <w:right w:val="none" w:sz="0" w:space="0" w:color="auto"/>
                          </w:divBdr>
                          <w:divsChild>
                            <w:div w:id="1020858242">
                              <w:marLeft w:val="0"/>
                              <w:marRight w:val="0"/>
                              <w:marTop w:val="0"/>
                              <w:marBottom w:val="0"/>
                              <w:divBdr>
                                <w:top w:val="none" w:sz="0" w:space="0" w:color="auto"/>
                                <w:left w:val="none" w:sz="0" w:space="0" w:color="auto"/>
                                <w:bottom w:val="none" w:sz="0" w:space="0" w:color="auto"/>
                                <w:right w:val="none" w:sz="0" w:space="0" w:color="auto"/>
                              </w:divBdr>
                              <w:divsChild>
                                <w:div w:id="19020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81845">
      <w:bodyDiv w:val="1"/>
      <w:marLeft w:val="0"/>
      <w:marRight w:val="0"/>
      <w:marTop w:val="0"/>
      <w:marBottom w:val="0"/>
      <w:divBdr>
        <w:top w:val="none" w:sz="0" w:space="0" w:color="auto"/>
        <w:left w:val="none" w:sz="0" w:space="0" w:color="auto"/>
        <w:bottom w:val="none" w:sz="0" w:space="0" w:color="auto"/>
        <w:right w:val="none" w:sz="0" w:space="0" w:color="auto"/>
      </w:divBdr>
    </w:div>
    <w:div w:id="206264512">
      <w:bodyDiv w:val="1"/>
      <w:marLeft w:val="0"/>
      <w:marRight w:val="0"/>
      <w:marTop w:val="0"/>
      <w:marBottom w:val="0"/>
      <w:divBdr>
        <w:top w:val="none" w:sz="0" w:space="0" w:color="auto"/>
        <w:left w:val="none" w:sz="0" w:space="0" w:color="auto"/>
        <w:bottom w:val="none" w:sz="0" w:space="0" w:color="auto"/>
        <w:right w:val="none" w:sz="0" w:space="0" w:color="auto"/>
      </w:divBdr>
    </w:div>
    <w:div w:id="213548059">
      <w:bodyDiv w:val="1"/>
      <w:marLeft w:val="0"/>
      <w:marRight w:val="0"/>
      <w:marTop w:val="0"/>
      <w:marBottom w:val="0"/>
      <w:divBdr>
        <w:top w:val="none" w:sz="0" w:space="0" w:color="auto"/>
        <w:left w:val="none" w:sz="0" w:space="0" w:color="auto"/>
        <w:bottom w:val="none" w:sz="0" w:space="0" w:color="auto"/>
        <w:right w:val="none" w:sz="0" w:space="0" w:color="auto"/>
      </w:divBdr>
    </w:div>
    <w:div w:id="222567174">
      <w:bodyDiv w:val="1"/>
      <w:marLeft w:val="0"/>
      <w:marRight w:val="0"/>
      <w:marTop w:val="0"/>
      <w:marBottom w:val="0"/>
      <w:divBdr>
        <w:top w:val="none" w:sz="0" w:space="0" w:color="auto"/>
        <w:left w:val="none" w:sz="0" w:space="0" w:color="auto"/>
        <w:bottom w:val="none" w:sz="0" w:space="0" w:color="auto"/>
        <w:right w:val="none" w:sz="0" w:space="0" w:color="auto"/>
      </w:divBdr>
    </w:div>
    <w:div w:id="235945596">
      <w:bodyDiv w:val="1"/>
      <w:marLeft w:val="0"/>
      <w:marRight w:val="0"/>
      <w:marTop w:val="0"/>
      <w:marBottom w:val="0"/>
      <w:divBdr>
        <w:top w:val="none" w:sz="0" w:space="0" w:color="auto"/>
        <w:left w:val="none" w:sz="0" w:space="0" w:color="auto"/>
        <w:bottom w:val="none" w:sz="0" w:space="0" w:color="auto"/>
        <w:right w:val="none" w:sz="0" w:space="0" w:color="auto"/>
      </w:divBdr>
    </w:div>
    <w:div w:id="245191681">
      <w:bodyDiv w:val="1"/>
      <w:marLeft w:val="0"/>
      <w:marRight w:val="0"/>
      <w:marTop w:val="0"/>
      <w:marBottom w:val="0"/>
      <w:divBdr>
        <w:top w:val="none" w:sz="0" w:space="0" w:color="auto"/>
        <w:left w:val="none" w:sz="0" w:space="0" w:color="auto"/>
        <w:bottom w:val="none" w:sz="0" w:space="0" w:color="auto"/>
        <w:right w:val="none" w:sz="0" w:space="0" w:color="auto"/>
      </w:divBdr>
    </w:div>
    <w:div w:id="280456519">
      <w:bodyDiv w:val="1"/>
      <w:marLeft w:val="0"/>
      <w:marRight w:val="0"/>
      <w:marTop w:val="0"/>
      <w:marBottom w:val="0"/>
      <w:divBdr>
        <w:top w:val="none" w:sz="0" w:space="0" w:color="auto"/>
        <w:left w:val="none" w:sz="0" w:space="0" w:color="auto"/>
        <w:bottom w:val="none" w:sz="0" w:space="0" w:color="auto"/>
        <w:right w:val="none" w:sz="0" w:space="0" w:color="auto"/>
      </w:divBdr>
    </w:div>
    <w:div w:id="287979918">
      <w:bodyDiv w:val="1"/>
      <w:marLeft w:val="0"/>
      <w:marRight w:val="0"/>
      <w:marTop w:val="0"/>
      <w:marBottom w:val="0"/>
      <w:divBdr>
        <w:top w:val="none" w:sz="0" w:space="0" w:color="auto"/>
        <w:left w:val="none" w:sz="0" w:space="0" w:color="auto"/>
        <w:bottom w:val="none" w:sz="0" w:space="0" w:color="auto"/>
        <w:right w:val="none" w:sz="0" w:space="0" w:color="auto"/>
      </w:divBdr>
    </w:div>
    <w:div w:id="298151774">
      <w:bodyDiv w:val="1"/>
      <w:marLeft w:val="0"/>
      <w:marRight w:val="0"/>
      <w:marTop w:val="0"/>
      <w:marBottom w:val="0"/>
      <w:divBdr>
        <w:top w:val="none" w:sz="0" w:space="0" w:color="auto"/>
        <w:left w:val="none" w:sz="0" w:space="0" w:color="auto"/>
        <w:bottom w:val="none" w:sz="0" w:space="0" w:color="auto"/>
        <w:right w:val="none" w:sz="0" w:space="0" w:color="auto"/>
      </w:divBdr>
    </w:div>
    <w:div w:id="319774468">
      <w:bodyDiv w:val="1"/>
      <w:marLeft w:val="0"/>
      <w:marRight w:val="0"/>
      <w:marTop w:val="0"/>
      <w:marBottom w:val="0"/>
      <w:divBdr>
        <w:top w:val="none" w:sz="0" w:space="0" w:color="auto"/>
        <w:left w:val="none" w:sz="0" w:space="0" w:color="auto"/>
        <w:bottom w:val="none" w:sz="0" w:space="0" w:color="auto"/>
        <w:right w:val="none" w:sz="0" w:space="0" w:color="auto"/>
      </w:divBdr>
    </w:div>
    <w:div w:id="331876291">
      <w:bodyDiv w:val="1"/>
      <w:marLeft w:val="0"/>
      <w:marRight w:val="0"/>
      <w:marTop w:val="0"/>
      <w:marBottom w:val="0"/>
      <w:divBdr>
        <w:top w:val="none" w:sz="0" w:space="0" w:color="auto"/>
        <w:left w:val="none" w:sz="0" w:space="0" w:color="auto"/>
        <w:bottom w:val="none" w:sz="0" w:space="0" w:color="auto"/>
        <w:right w:val="none" w:sz="0" w:space="0" w:color="auto"/>
      </w:divBdr>
    </w:div>
    <w:div w:id="335427524">
      <w:bodyDiv w:val="1"/>
      <w:marLeft w:val="0"/>
      <w:marRight w:val="0"/>
      <w:marTop w:val="0"/>
      <w:marBottom w:val="0"/>
      <w:divBdr>
        <w:top w:val="none" w:sz="0" w:space="0" w:color="auto"/>
        <w:left w:val="none" w:sz="0" w:space="0" w:color="auto"/>
        <w:bottom w:val="none" w:sz="0" w:space="0" w:color="auto"/>
        <w:right w:val="none" w:sz="0" w:space="0" w:color="auto"/>
      </w:divBdr>
    </w:div>
    <w:div w:id="359429101">
      <w:bodyDiv w:val="1"/>
      <w:marLeft w:val="0"/>
      <w:marRight w:val="0"/>
      <w:marTop w:val="0"/>
      <w:marBottom w:val="0"/>
      <w:divBdr>
        <w:top w:val="none" w:sz="0" w:space="0" w:color="auto"/>
        <w:left w:val="none" w:sz="0" w:space="0" w:color="auto"/>
        <w:bottom w:val="none" w:sz="0" w:space="0" w:color="auto"/>
        <w:right w:val="none" w:sz="0" w:space="0" w:color="auto"/>
      </w:divBdr>
    </w:div>
    <w:div w:id="362167721">
      <w:bodyDiv w:val="1"/>
      <w:marLeft w:val="0"/>
      <w:marRight w:val="0"/>
      <w:marTop w:val="0"/>
      <w:marBottom w:val="0"/>
      <w:divBdr>
        <w:top w:val="none" w:sz="0" w:space="0" w:color="auto"/>
        <w:left w:val="none" w:sz="0" w:space="0" w:color="auto"/>
        <w:bottom w:val="none" w:sz="0" w:space="0" w:color="auto"/>
        <w:right w:val="none" w:sz="0" w:space="0" w:color="auto"/>
      </w:divBdr>
      <w:divsChild>
        <w:div w:id="1484353714">
          <w:marLeft w:val="0"/>
          <w:marRight w:val="0"/>
          <w:marTop w:val="0"/>
          <w:marBottom w:val="0"/>
          <w:divBdr>
            <w:top w:val="none" w:sz="0" w:space="0" w:color="auto"/>
            <w:left w:val="none" w:sz="0" w:space="0" w:color="auto"/>
            <w:bottom w:val="none" w:sz="0" w:space="0" w:color="auto"/>
            <w:right w:val="none" w:sz="0" w:space="0" w:color="auto"/>
          </w:divBdr>
          <w:divsChild>
            <w:div w:id="1087380414">
              <w:marLeft w:val="0"/>
              <w:marRight w:val="0"/>
              <w:marTop w:val="0"/>
              <w:marBottom w:val="0"/>
              <w:divBdr>
                <w:top w:val="none" w:sz="0" w:space="0" w:color="auto"/>
                <w:left w:val="none" w:sz="0" w:space="0" w:color="auto"/>
                <w:bottom w:val="none" w:sz="0" w:space="0" w:color="auto"/>
                <w:right w:val="none" w:sz="0" w:space="0" w:color="auto"/>
              </w:divBdr>
              <w:divsChild>
                <w:div w:id="805973010">
                  <w:marLeft w:val="0"/>
                  <w:marRight w:val="0"/>
                  <w:marTop w:val="0"/>
                  <w:marBottom w:val="0"/>
                  <w:divBdr>
                    <w:top w:val="none" w:sz="0" w:space="0" w:color="auto"/>
                    <w:left w:val="none" w:sz="0" w:space="0" w:color="auto"/>
                    <w:bottom w:val="none" w:sz="0" w:space="0" w:color="auto"/>
                    <w:right w:val="none" w:sz="0" w:space="0" w:color="auto"/>
                  </w:divBdr>
                  <w:divsChild>
                    <w:div w:id="1875727429">
                      <w:marLeft w:val="0"/>
                      <w:marRight w:val="0"/>
                      <w:marTop w:val="0"/>
                      <w:marBottom w:val="0"/>
                      <w:divBdr>
                        <w:top w:val="none" w:sz="0" w:space="0" w:color="auto"/>
                        <w:left w:val="none" w:sz="0" w:space="0" w:color="auto"/>
                        <w:bottom w:val="none" w:sz="0" w:space="0" w:color="auto"/>
                        <w:right w:val="none" w:sz="0" w:space="0" w:color="auto"/>
                      </w:divBdr>
                      <w:divsChild>
                        <w:div w:id="2039119300">
                          <w:marLeft w:val="0"/>
                          <w:marRight w:val="0"/>
                          <w:marTop w:val="0"/>
                          <w:marBottom w:val="0"/>
                          <w:divBdr>
                            <w:top w:val="none" w:sz="0" w:space="0" w:color="auto"/>
                            <w:left w:val="none" w:sz="0" w:space="0" w:color="auto"/>
                            <w:bottom w:val="none" w:sz="0" w:space="0" w:color="auto"/>
                            <w:right w:val="none" w:sz="0" w:space="0" w:color="auto"/>
                          </w:divBdr>
                          <w:divsChild>
                            <w:div w:id="16498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4573">
                      <w:marLeft w:val="0"/>
                      <w:marRight w:val="0"/>
                      <w:marTop w:val="0"/>
                      <w:marBottom w:val="0"/>
                      <w:divBdr>
                        <w:top w:val="none" w:sz="0" w:space="0" w:color="auto"/>
                        <w:left w:val="none" w:sz="0" w:space="0" w:color="auto"/>
                        <w:bottom w:val="none" w:sz="0" w:space="0" w:color="auto"/>
                        <w:right w:val="none" w:sz="0" w:space="0" w:color="auto"/>
                      </w:divBdr>
                      <w:divsChild>
                        <w:div w:id="992758599">
                          <w:marLeft w:val="0"/>
                          <w:marRight w:val="0"/>
                          <w:marTop w:val="0"/>
                          <w:marBottom w:val="0"/>
                          <w:divBdr>
                            <w:top w:val="none" w:sz="0" w:space="0" w:color="auto"/>
                            <w:left w:val="none" w:sz="0" w:space="0" w:color="auto"/>
                            <w:bottom w:val="none" w:sz="0" w:space="0" w:color="auto"/>
                            <w:right w:val="none" w:sz="0" w:space="0" w:color="auto"/>
                          </w:divBdr>
                          <w:divsChild>
                            <w:div w:id="1222250775">
                              <w:marLeft w:val="0"/>
                              <w:marRight w:val="0"/>
                              <w:marTop w:val="0"/>
                              <w:marBottom w:val="0"/>
                              <w:divBdr>
                                <w:top w:val="none" w:sz="0" w:space="0" w:color="auto"/>
                                <w:left w:val="none" w:sz="0" w:space="0" w:color="auto"/>
                                <w:bottom w:val="none" w:sz="0" w:space="0" w:color="auto"/>
                                <w:right w:val="none" w:sz="0" w:space="0" w:color="auto"/>
                              </w:divBdr>
                              <w:divsChild>
                                <w:div w:id="2576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136950">
      <w:bodyDiv w:val="1"/>
      <w:marLeft w:val="0"/>
      <w:marRight w:val="0"/>
      <w:marTop w:val="0"/>
      <w:marBottom w:val="0"/>
      <w:divBdr>
        <w:top w:val="none" w:sz="0" w:space="0" w:color="auto"/>
        <w:left w:val="none" w:sz="0" w:space="0" w:color="auto"/>
        <w:bottom w:val="none" w:sz="0" w:space="0" w:color="auto"/>
        <w:right w:val="none" w:sz="0" w:space="0" w:color="auto"/>
      </w:divBdr>
    </w:div>
    <w:div w:id="372197978">
      <w:bodyDiv w:val="1"/>
      <w:marLeft w:val="0"/>
      <w:marRight w:val="0"/>
      <w:marTop w:val="0"/>
      <w:marBottom w:val="0"/>
      <w:divBdr>
        <w:top w:val="none" w:sz="0" w:space="0" w:color="auto"/>
        <w:left w:val="none" w:sz="0" w:space="0" w:color="auto"/>
        <w:bottom w:val="none" w:sz="0" w:space="0" w:color="auto"/>
        <w:right w:val="none" w:sz="0" w:space="0" w:color="auto"/>
      </w:divBdr>
    </w:div>
    <w:div w:id="379592355">
      <w:bodyDiv w:val="1"/>
      <w:marLeft w:val="0"/>
      <w:marRight w:val="0"/>
      <w:marTop w:val="0"/>
      <w:marBottom w:val="0"/>
      <w:divBdr>
        <w:top w:val="none" w:sz="0" w:space="0" w:color="auto"/>
        <w:left w:val="none" w:sz="0" w:space="0" w:color="auto"/>
        <w:bottom w:val="none" w:sz="0" w:space="0" w:color="auto"/>
        <w:right w:val="none" w:sz="0" w:space="0" w:color="auto"/>
      </w:divBdr>
    </w:div>
    <w:div w:id="384451577">
      <w:bodyDiv w:val="1"/>
      <w:marLeft w:val="0"/>
      <w:marRight w:val="0"/>
      <w:marTop w:val="0"/>
      <w:marBottom w:val="0"/>
      <w:divBdr>
        <w:top w:val="none" w:sz="0" w:space="0" w:color="auto"/>
        <w:left w:val="none" w:sz="0" w:space="0" w:color="auto"/>
        <w:bottom w:val="none" w:sz="0" w:space="0" w:color="auto"/>
        <w:right w:val="none" w:sz="0" w:space="0" w:color="auto"/>
      </w:divBdr>
    </w:div>
    <w:div w:id="407459268">
      <w:bodyDiv w:val="1"/>
      <w:marLeft w:val="0"/>
      <w:marRight w:val="0"/>
      <w:marTop w:val="0"/>
      <w:marBottom w:val="0"/>
      <w:divBdr>
        <w:top w:val="none" w:sz="0" w:space="0" w:color="auto"/>
        <w:left w:val="none" w:sz="0" w:space="0" w:color="auto"/>
        <w:bottom w:val="none" w:sz="0" w:space="0" w:color="auto"/>
        <w:right w:val="none" w:sz="0" w:space="0" w:color="auto"/>
      </w:divBdr>
    </w:div>
    <w:div w:id="411588753">
      <w:bodyDiv w:val="1"/>
      <w:marLeft w:val="0"/>
      <w:marRight w:val="0"/>
      <w:marTop w:val="0"/>
      <w:marBottom w:val="0"/>
      <w:divBdr>
        <w:top w:val="none" w:sz="0" w:space="0" w:color="auto"/>
        <w:left w:val="none" w:sz="0" w:space="0" w:color="auto"/>
        <w:bottom w:val="none" w:sz="0" w:space="0" w:color="auto"/>
        <w:right w:val="none" w:sz="0" w:space="0" w:color="auto"/>
      </w:divBdr>
    </w:div>
    <w:div w:id="422653616">
      <w:bodyDiv w:val="1"/>
      <w:marLeft w:val="0"/>
      <w:marRight w:val="0"/>
      <w:marTop w:val="0"/>
      <w:marBottom w:val="0"/>
      <w:divBdr>
        <w:top w:val="none" w:sz="0" w:space="0" w:color="auto"/>
        <w:left w:val="none" w:sz="0" w:space="0" w:color="auto"/>
        <w:bottom w:val="none" w:sz="0" w:space="0" w:color="auto"/>
        <w:right w:val="none" w:sz="0" w:space="0" w:color="auto"/>
      </w:divBdr>
    </w:div>
    <w:div w:id="423722354">
      <w:bodyDiv w:val="1"/>
      <w:marLeft w:val="0"/>
      <w:marRight w:val="0"/>
      <w:marTop w:val="0"/>
      <w:marBottom w:val="0"/>
      <w:divBdr>
        <w:top w:val="none" w:sz="0" w:space="0" w:color="auto"/>
        <w:left w:val="none" w:sz="0" w:space="0" w:color="auto"/>
        <w:bottom w:val="none" w:sz="0" w:space="0" w:color="auto"/>
        <w:right w:val="none" w:sz="0" w:space="0" w:color="auto"/>
      </w:divBdr>
      <w:divsChild>
        <w:div w:id="348416475">
          <w:marLeft w:val="0"/>
          <w:marRight w:val="0"/>
          <w:marTop w:val="0"/>
          <w:marBottom w:val="0"/>
          <w:divBdr>
            <w:top w:val="none" w:sz="0" w:space="0" w:color="auto"/>
            <w:left w:val="none" w:sz="0" w:space="0" w:color="auto"/>
            <w:bottom w:val="none" w:sz="0" w:space="0" w:color="auto"/>
            <w:right w:val="none" w:sz="0" w:space="0" w:color="auto"/>
          </w:divBdr>
          <w:divsChild>
            <w:div w:id="385033332">
              <w:marLeft w:val="0"/>
              <w:marRight w:val="0"/>
              <w:marTop w:val="0"/>
              <w:marBottom w:val="0"/>
              <w:divBdr>
                <w:top w:val="none" w:sz="0" w:space="0" w:color="auto"/>
                <w:left w:val="none" w:sz="0" w:space="0" w:color="auto"/>
                <w:bottom w:val="none" w:sz="0" w:space="0" w:color="auto"/>
                <w:right w:val="none" w:sz="0" w:space="0" w:color="auto"/>
              </w:divBdr>
              <w:divsChild>
                <w:div w:id="2107380034">
                  <w:marLeft w:val="0"/>
                  <w:marRight w:val="0"/>
                  <w:marTop w:val="0"/>
                  <w:marBottom w:val="0"/>
                  <w:divBdr>
                    <w:top w:val="none" w:sz="0" w:space="0" w:color="auto"/>
                    <w:left w:val="none" w:sz="0" w:space="0" w:color="auto"/>
                    <w:bottom w:val="none" w:sz="0" w:space="0" w:color="auto"/>
                    <w:right w:val="none" w:sz="0" w:space="0" w:color="auto"/>
                  </w:divBdr>
                  <w:divsChild>
                    <w:div w:id="1744133894">
                      <w:marLeft w:val="0"/>
                      <w:marRight w:val="0"/>
                      <w:marTop w:val="0"/>
                      <w:marBottom w:val="0"/>
                      <w:divBdr>
                        <w:top w:val="none" w:sz="0" w:space="0" w:color="auto"/>
                        <w:left w:val="none" w:sz="0" w:space="0" w:color="auto"/>
                        <w:bottom w:val="none" w:sz="0" w:space="0" w:color="auto"/>
                        <w:right w:val="none" w:sz="0" w:space="0" w:color="auto"/>
                      </w:divBdr>
                      <w:divsChild>
                        <w:div w:id="757288257">
                          <w:marLeft w:val="0"/>
                          <w:marRight w:val="0"/>
                          <w:marTop w:val="0"/>
                          <w:marBottom w:val="0"/>
                          <w:divBdr>
                            <w:top w:val="none" w:sz="0" w:space="0" w:color="auto"/>
                            <w:left w:val="none" w:sz="0" w:space="0" w:color="auto"/>
                            <w:bottom w:val="none" w:sz="0" w:space="0" w:color="auto"/>
                            <w:right w:val="none" w:sz="0" w:space="0" w:color="auto"/>
                          </w:divBdr>
                          <w:divsChild>
                            <w:div w:id="15791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736">
                      <w:marLeft w:val="0"/>
                      <w:marRight w:val="0"/>
                      <w:marTop w:val="0"/>
                      <w:marBottom w:val="0"/>
                      <w:divBdr>
                        <w:top w:val="none" w:sz="0" w:space="0" w:color="auto"/>
                        <w:left w:val="none" w:sz="0" w:space="0" w:color="auto"/>
                        <w:bottom w:val="none" w:sz="0" w:space="0" w:color="auto"/>
                        <w:right w:val="none" w:sz="0" w:space="0" w:color="auto"/>
                      </w:divBdr>
                      <w:divsChild>
                        <w:div w:id="914321996">
                          <w:marLeft w:val="0"/>
                          <w:marRight w:val="0"/>
                          <w:marTop w:val="0"/>
                          <w:marBottom w:val="0"/>
                          <w:divBdr>
                            <w:top w:val="none" w:sz="0" w:space="0" w:color="auto"/>
                            <w:left w:val="none" w:sz="0" w:space="0" w:color="auto"/>
                            <w:bottom w:val="none" w:sz="0" w:space="0" w:color="auto"/>
                            <w:right w:val="none" w:sz="0" w:space="0" w:color="auto"/>
                          </w:divBdr>
                          <w:divsChild>
                            <w:div w:id="465051088">
                              <w:marLeft w:val="0"/>
                              <w:marRight w:val="0"/>
                              <w:marTop w:val="0"/>
                              <w:marBottom w:val="0"/>
                              <w:divBdr>
                                <w:top w:val="none" w:sz="0" w:space="0" w:color="auto"/>
                                <w:left w:val="none" w:sz="0" w:space="0" w:color="auto"/>
                                <w:bottom w:val="none" w:sz="0" w:space="0" w:color="auto"/>
                                <w:right w:val="none" w:sz="0" w:space="0" w:color="auto"/>
                              </w:divBdr>
                              <w:divsChild>
                                <w:div w:id="5241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188212">
          <w:marLeft w:val="0"/>
          <w:marRight w:val="0"/>
          <w:marTop w:val="0"/>
          <w:marBottom w:val="0"/>
          <w:divBdr>
            <w:top w:val="none" w:sz="0" w:space="0" w:color="auto"/>
            <w:left w:val="none" w:sz="0" w:space="0" w:color="auto"/>
            <w:bottom w:val="none" w:sz="0" w:space="0" w:color="auto"/>
            <w:right w:val="none" w:sz="0" w:space="0" w:color="auto"/>
          </w:divBdr>
          <w:divsChild>
            <w:div w:id="353768702">
              <w:marLeft w:val="0"/>
              <w:marRight w:val="0"/>
              <w:marTop w:val="0"/>
              <w:marBottom w:val="0"/>
              <w:divBdr>
                <w:top w:val="none" w:sz="0" w:space="0" w:color="auto"/>
                <w:left w:val="none" w:sz="0" w:space="0" w:color="auto"/>
                <w:bottom w:val="none" w:sz="0" w:space="0" w:color="auto"/>
                <w:right w:val="none" w:sz="0" w:space="0" w:color="auto"/>
              </w:divBdr>
              <w:divsChild>
                <w:div w:id="316038915">
                  <w:marLeft w:val="0"/>
                  <w:marRight w:val="0"/>
                  <w:marTop w:val="0"/>
                  <w:marBottom w:val="0"/>
                  <w:divBdr>
                    <w:top w:val="none" w:sz="0" w:space="0" w:color="auto"/>
                    <w:left w:val="none" w:sz="0" w:space="0" w:color="auto"/>
                    <w:bottom w:val="none" w:sz="0" w:space="0" w:color="auto"/>
                    <w:right w:val="none" w:sz="0" w:space="0" w:color="auto"/>
                  </w:divBdr>
                  <w:divsChild>
                    <w:div w:id="1751612783">
                      <w:marLeft w:val="0"/>
                      <w:marRight w:val="0"/>
                      <w:marTop w:val="0"/>
                      <w:marBottom w:val="0"/>
                      <w:divBdr>
                        <w:top w:val="none" w:sz="0" w:space="0" w:color="auto"/>
                        <w:left w:val="none" w:sz="0" w:space="0" w:color="auto"/>
                        <w:bottom w:val="none" w:sz="0" w:space="0" w:color="auto"/>
                        <w:right w:val="none" w:sz="0" w:space="0" w:color="auto"/>
                      </w:divBdr>
                      <w:divsChild>
                        <w:div w:id="1491822593">
                          <w:marLeft w:val="0"/>
                          <w:marRight w:val="0"/>
                          <w:marTop w:val="0"/>
                          <w:marBottom w:val="0"/>
                          <w:divBdr>
                            <w:top w:val="none" w:sz="0" w:space="0" w:color="auto"/>
                            <w:left w:val="none" w:sz="0" w:space="0" w:color="auto"/>
                            <w:bottom w:val="none" w:sz="0" w:space="0" w:color="auto"/>
                            <w:right w:val="none" w:sz="0" w:space="0" w:color="auto"/>
                          </w:divBdr>
                          <w:divsChild>
                            <w:div w:id="691494721">
                              <w:marLeft w:val="0"/>
                              <w:marRight w:val="0"/>
                              <w:marTop w:val="0"/>
                              <w:marBottom w:val="0"/>
                              <w:divBdr>
                                <w:top w:val="none" w:sz="0" w:space="0" w:color="auto"/>
                                <w:left w:val="none" w:sz="0" w:space="0" w:color="auto"/>
                                <w:bottom w:val="none" w:sz="0" w:space="0" w:color="auto"/>
                                <w:right w:val="none" w:sz="0" w:space="0" w:color="auto"/>
                              </w:divBdr>
                            </w:div>
                          </w:divsChild>
                        </w:div>
                        <w:div w:id="419639182">
                          <w:marLeft w:val="0"/>
                          <w:marRight w:val="0"/>
                          <w:marTop w:val="0"/>
                          <w:marBottom w:val="0"/>
                          <w:divBdr>
                            <w:top w:val="none" w:sz="0" w:space="0" w:color="auto"/>
                            <w:left w:val="none" w:sz="0" w:space="0" w:color="auto"/>
                            <w:bottom w:val="none" w:sz="0" w:space="0" w:color="auto"/>
                            <w:right w:val="none" w:sz="0" w:space="0" w:color="auto"/>
                          </w:divBdr>
                        </w:div>
                      </w:divsChild>
                    </w:div>
                    <w:div w:id="1745911467">
                      <w:marLeft w:val="0"/>
                      <w:marRight w:val="0"/>
                      <w:marTop w:val="0"/>
                      <w:marBottom w:val="0"/>
                      <w:divBdr>
                        <w:top w:val="none" w:sz="0" w:space="0" w:color="auto"/>
                        <w:left w:val="none" w:sz="0" w:space="0" w:color="auto"/>
                        <w:bottom w:val="none" w:sz="0" w:space="0" w:color="auto"/>
                        <w:right w:val="none" w:sz="0" w:space="0" w:color="auto"/>
                      </w:divBdr>
                      <w:divsChild>
                        <w:div w:id="1665663716">
                          <w:marLeft w:val="0"/>
                          <w:marRight w:val="0"/>
                          <w:marTop w:val="0"/>
                          <w:marBottom w:val="0"/>
                          <w:divBdr>
                            <w:top w:val="none" w:sz="0" w:space="0" w:color="auto"/>
                            <w:left w:val="none" w:sz="0" w:space="0" w:color="auto"/>
                            <w:bottom w:val="none" w:sz="0" w:space="0" w:color="auto"/>
                            <w:right w:val="none" w:sz="0" w:space="0" w:color="auto"/>
                          </w:divBdr>
                          <w:divsChild>
                            <w:div w:id="10311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128838">
          <w:marLeft w:val="0"/>
          <w:marRight w:val="0"/>
          <w:marTop w:val="0"/>
          <w:marBottom w:val="0"/>
          <w:divBdr>
            <w:top w:val="none" w:sz="0" w:space="0" w:color="auto"/>
            <w:left w:val="none" w:sz="0" w:space="0" w:color="auto"/>
            <w:bottom w:val="none" w:sz="0" w:space="0" w:color="auto"/>
            <w:right w:val="none" w:sz="0" w:space="0" w:color="auto"/>
          </w:divBdr>
          <w:divsChild>
            <w:div w:id="934095039">
              <w:marLeft w:val="0"/>
              <w:marRight w:val="0"/>
              <w:marTop w:val="0"/>
              <w:marBottom w:val="0"/>
              <w:divBdr>
                <w:top w:val="none" w:sz="0" w:space="0" w:color="auto"/>
                <w:left w:val="none" w:sz="0" w:space="0" w:color="auto"/>
                <w:bottom w:val="none" w:sz="0" w:space="0" w:color="auto"/>
                <w:right w:val="none" w:sz="0" w:space="0" w:color="auto"/>
              </w:divBdr>
              <w:divsChild>
                <w:div w:id="1804807403">
                  <w:marLeft w:val="0"/>
                  <w:marRight w:val="0"/>
                  <w:marTop w:val="0"/>
                  <w:marBottom w:val="0"/>
                  <w:divBdr>
                    <w:top w:val="none" w:sz="0" w:space="0" w:color="auto"/>
                    <w:left w:val="none" w:sz="0" w:space="0" w:color="auto"/>
                    <w:bottom w:val="none" w:sz="0" w:space="0" w:color="auto"/>
                    <w:right w:val="none" w:sz="0" w:space="0" w:color="auto"/>
                  </w:divBdr>
                  <w:divsChild>
                    <w:div w:id="1328244989">
                      <w:marLeft w:val="0"/>
                      <w:marRight w:val="0"/>
                      <w:marTop w:val="0"/>
                      <w:marBottom w:val="0"/>
                      <w:divBdr>
                        <w:top w:val="none" w:sz="0" w:space="0" w:color="auto"/>
                        <w:left w:val="none" w:sz="0" w:space="0" w:color="auto"/>
                        <w:bottom w:val="none" w:sz="0" w:space="0" w:color="auto"/>
                        <w:right w:val="none" w:sz="0" w:space="0" w:color="auto"/>
                      </w:divBdr>
                      <w:divsChild>
                        <w:div w:id="1257981755">
                          <w:marLeft w:val="0"/>
                          <w:marRight w:val="0"/>
                          <w:marTop w:val="0"/>
                          <w:marBottom w:val="0"/>
                          <w:divBdr>
                            <w:top w:val="none" w:sz="0" w:space="0" w:color="auto"/>
                            <w:left w:val="none" w:sz="0" w:space="0" w:color="auto"/>
                            <w:bottom w:val="none" w:sz="0" w:space="0" w:color="auto"/>
                            <w:right w:val="none" w:sz="0" w:space="0" w:color="auto"/>
                          </w:divBdr>
                          <w:divsChild>
                            <w:div w:id="10965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360653">
      <w:bodyDiv w:val="1"/>
      <w:marLeft w:val="0"/>
      <w:marRight w:val="0"/>
      <w:marTop w:val="0"/>
      <w:marBottom w:val="0"/>
      <w:divBdr>
        <w:top w:val="none" w:sz="0" w:space="0" w:color="auto"/>
        <w:left w:val="none" w:sz="0" w:space="0" w:color="auto"/>
        <w:bottom w:val="none" w:sz="0" w:space="0" w:color="auto"/>
        <w:right w:val="none" w:sz="0" w:space="0" w:color="auto"/>
      </w:divBdr>
      <w:divsChild>
        <w:div w:id="1167985569">
          <w:marLeft w:val="0"/>
          <w:marRight w:val="0"/>
          <w:marTop w:val="0"/>
          <w:marBottom w:val="0"/>
          <w:divBdr>
            <w:top w:val="none" w:sz="0" w:space="0" w:color="auto"/>
            <w:left w:val="none" w:sz="0" w:space="0" w:color="auto"/>
            <w:bottom w:val="none" w:sz="0" w:space="0" w:color="auto"/>
            <w:right w:val="none" w:sz="0" w:space="0" w:color="auto"/>
          </w:divBdr>
          <w:divsChild>
            <w:div w:id="1045522149">
              <w:marLeft w:val="0"/>
              <w:marRight w:val="0"/>
              <w:marTop w:val="0"/>
              <w:marBottom w:val="0"/>
              <w:divBdr>
                <w:top w:val="none" w:sz="0" w:space="0" w:color="auto"/>
                <w:left w:val="none" w:sz="0" w:space="0" w:color="auto"/>
                <w:bottom w:val="none" w:sz="0" w:space="0" w:color="auto"/>
                <w:right w:val="none" w:sz="0" w:space="0" w:color="auto"/>
              </w:divBdr>
              <w:divsChild>
                <w:div w:id="488057157">
                  <w:marLeft w:val="0"/>
                  <w:marRight w:val="0"/>
                  <w:marTop w:val="0"/>
                  <w:marBottom w:val="0"/>
                  <w:divBdr>
                    <w:top w:val="none" w:sz="0" w:space="0" w:color="auto"/>
                    <w:left w:val="none" w:sz="0" w:space="0" w:color="auto"/>
                    <w:bottom w:val="none" w:sz="0" w:space="0" w:color="auto"/>
                    <w:right w:val="none" w:sz="0" w:space="0" w:color="auto"/>
                  </w:divBdr>
                  <w:divsChild>
                    <w:div w:id="1395162708">
                      <w:marLeft w:val="0"/>
                      <w:marRight w:val="0"/>
                      <w:marTop w:val="0"/>
                      <w:marBottom w:val="0"/>
                      <w:divBdr>
                        <w:top w:val="none" w:sz="0" w:space="0" w:color="auto"/>
                        <w:left w:val="none" w:sz="0" w:space="0" w:color="auto"/>
                        <w:bottom w:val="none" w:sz="0" w:space="0" w:color="auto"/>
                        <w:right w:val="none" w:sz="0" w:space="0" w:color="auto"/>
                      </w:divBdr>
                      <w:divsChild>
                        <w:div w:id="825047221">
                          <w:marLeft w:val="0"/>
                          <w:marRight w:val="0"/>
                          <w:marTop w:val="0"/>
                          <w:marBottom w:val="0"/>
                          <w:divBdr>
                            <w:top w:val="none" w:sz="0" w:space="0" w:color="auto"/>
                            <w:left w:val="none" w:sz="0" w:space="0" w:color="auto"/>
                            <w:bottom w:val="none" w:sz="0" w:space="0" w:color="auto"/>
                            <w:right w:val="none" w:sz="0" w:space="0" w:color="auto"/>
                          </w:divBdr>
                          <w:divsChild>
                            <w:div w:id="578830702">
                              <w:marLeft w:val="0"/>
                              <w:marRight w:val="0"/>
                              <w:marTop w:val="0"/>
                              <w:marBottom w:val="0"/>
                              <w:divBdr>
                                <w:top w:val="none" w:sz="0" w:space="0" w:color="auto"/>
                                <w:left w:val="none" w:sz="0" w:space="0" w:color="auto"/>
                                <w:bottom w:val="none" w:sz="0" w:space="0" w:color="auto"/>
                                <w:right w:val="none" w:sz="0" w:space="0" w:color="auto"/>
                              </w:divBdr>
                              <w:divsChild>
                                <w:div w:id="5160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996">
                          <w:marLeft w:val="0"/>
                          <w:marRight w:val="0"/>
                          <w:marTop w:val="0"/>
                          <w:marBottom w:val="0"/>
                          <w:divBdr>
                            <w:top w:val="none" w:sz="0" w:space="0" w:color="auto"/>
                            <w:left w:val="none" w:sz="0" w:space="0" w:color="auto"/>
                            <w:bottom w:val="none" w:sz="0" w:space="0" w:color="auto"/>
                            <w:right w:val="none" w:sz="0" w:space="0" w:color="auto"/>
                          </w:divBdr>
                          <w:divsChild>
                            <w:div w:id="1696930057">
                              <w:marLeft w:val="0"/>
                              <w:marRight w:val="0"/>
                              <w:marTop w:val="0"/>
                              <w:marBottom w:val="0"/>
                              <w:divBdr>
                                <w:top w:val="none" w:sz="0" w:space="0" w:color="auto"/>
                                <w:left w:val="none" w:sz="0" w:space="0" w:color="auto"/>
                                <w:bottom w:val="none" w:sz="0" w:space="0" w:color="auto"/>
                                <w:right w:val="none" w:sz="0" w:space="0" w:color="auto"/>
                              </w:divBdr>
                              <w:divsChild>
                                <w:div w:id="960914568">
                                  <w:marLeft w:val="0"/>
                                  <w:marRight w:val="0"/>
                                  <w:marTop w:val="0"/>
                                  <w:marBottom w:val="0"/>
                                  <w:divBdr>
                                    <w:top w:val="none" w:sz="0" w:space="0" w:color="auto"/>
                                    <w:left w:val="none" w:sz="0" w:space="0" w:color="auto"/>
                                    <w:bottom w:val="none" w:sz="0" w:space="0" w:color="auto"/>
                                    <w:right w:val="none" w:sz="0" w:space="0" w:color="auto"/>
                                  </w:divBdr>
                                  <w:divsChild>
                                    <w:div w:id="2265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085052">
              <w:marLeft w:val="0"/>
              <w:marRight w:val="0"/>
              <w:marTop w:val="0"/>
              <w:marBottom w:val="0"/>
              <w:divBdr>
                <w:top w:val="none" w:sz="0" w:space="0" w:color="auto"/>
                <w:left w:val="none" w:sz="0" w:space="0" w:color="auto"/>
                <w:bottom w:val="none" w:sz="0" w:space="0" w:color="auto"/>
                <w:right w:val="none" w:sz="0" w:space="0" w:color="auto"/>
              </w:divBdr>
              <w:divsChild>
                <w:div w:id="160852203">
                  <w:marLeft w:val="0"/>
                  <w:marRight w:val="0"/>
                  <w:marTop w:val="0"/>
                  <w:marBottom w:val="0"/>
                  <w:divBdr>
                    <w:top w:val="none" w:sz="0" w:space="0" w:color="auto"/>
                    <w:left w:val="none" w:sz="0" w:space="0" w:color="auto"/>
                    <w:bottom w:val="none" w:sz="0" w:space="0" w:color="auto"/>
                    <w:right w:val="none" w:sz="0" w:space="0" w:color="auto"/>
                  </w:divBdr>
                  <w:divsChild>
                    <w:div w:id="20724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8066">
      <w:bodyDiv w:val="1"/>
      <w:marLeft w:val="0"/>
      <w:marRight w:val="0"/>
      <w:marTop w:val="0"/>
      <w:marBottom w:val="0"/>
      <w:divBdr>
        <w:top w:val="none" w:sz="0" w:space="0" w:color="auto"/>
        <w:left w:val="none" w:sz="0" w:space="0" w:color="auto"/>
        <w:bottom w:val="none" w:sz="0" w:space="0" w:color="auto"/>
        <w:right w:val="none" w:sz="0" w:space="0" w:color="auto"/>
      </w:divBdr>
    </w:div>
    <w:div w:id="467168031">
      <w:bodyDiv w:val="1"/>
      <w:marLeft w:val="0"/>
      <w:marRight w:val="0"/>
      <w:marTop w:val="0"/>
      <w:marBottom w:val="0"/>
      <w:divBdr>
        <w:top w:val="none" w:sz="0" w:space="0" w:color="auto"/>
        <w:left w:val="none" w:sz="0" w:space="0" w:color="auto"/>
        <w:bottom w:val="none" w:sz="0" w:space="0" w:color="auto"/>
        <w:right w:val="none" w:sz="0" w:space="0" w:color="auto"/>
      </w:divBdr>
    </w:div>
    <w:div w:id="478234633">
      <w:bodyDiv w:val="1"/>
      <w:marLeft w:val="0"/>
      <w:marRight w:val="0"/>
      <w:marTop w:val="0"/>
      <w:marBottom w:val="0"/>
      <w:divBdr>
        <w:top w:val="none" w:sz="0" w:space="0" w:color="auto"/>
        <w:left w:val="none" w:sz="0" w:space="0" w:color="auto"/>
        <w:bottom w:val="none" w:sz="0" w:space="0" w:color="auto"/>
        <w:right w:val="none" w:sz="0" w:space="0" w:color="auto"/>
      </w:divBdr>
    </w:div>
    <w:div w:id="492330294">
      <w:bodyDiv w:val="1"/>
      <w:marLeft w:val="0"/>
      <w:marRight w:val="0"/>
      <w:marTop w:val="0"/>
      <w:marBottom w:val="0"/>
      <w:divBdr>
        <w:top w:val="none" w:sz="0" w:space="0" w:color="auto"/>
        <w:left w:val="none" w:sz="0" w:space="0" w:color="auto"/>
        <w:bottom w:val="none" w:sz="0" w:space="0" w:color="auto"/>
        <w:right w:val="none" w:sz="0" w:space="0" w:color="auto"/>
      </w:divBdr>
      <w:divsChild>
        <w:div w:id="1677225558">
          <w:marLeft w:val="0"/>
          <w:marRight w:val="0"/>
          <w:marTop w:val="0"/>
          <w:marBottom w:val="0"/>
          <w:divBdr>
            <w:top w:val="none" w:sz="0" w:space="0" w:color="auto"/>
            <w:left w:val="none" w:sz="0" w:space="0" w:color="auto"/>
            <w:bottom w:val="none" w:sz="0" w:space="0" w:color="auto"/>
            <w:right w:val="none" w:sz="0" w:space="0" w:color="auto"/>
          </w:divBdr>
          <w:divsChild>
            <w:div w:id="152991431">
              <w:marLeft w:val="0"/>
              <w:marRight w:val="0"/>
              <w:marTop w:val="0"/>
              <w:marBottom w:val="0"/>
              <w:divBdr>
                <w:top w:val="none" w:sz="0" w:space="0" w:color="auto"/>
                <w:left w:val="none" w:sz="0" w:space="0" w:color="auto"/>
                <w:bottom w:val="none" w:sz="0" w:space="0" w:color="auto"/>
                <w:right w:val="none" w:sz="0" w:space="0" w:color="auto"/>
              </w:divBdr>
              <w:divsChild>
                <w:div w:id="300765774">
                  <w:marLeft w:val="0"/>
                  <w:marRight w:val="0"/>
                  <w:marTop w:val="0"/>
                  <w:marBottom w:val="0"/>
                  <w:divBdr>
                    <w:top w:val="none" w:sz="0" w:space="0" w:color="auto"/>
                    <w:left w:val="none" w:sz="0" w:space="0" w:color="auto"/>
                    <w:bottom w:val="none" w:sz="0" w:space="0" w:color="auto"/>
                    <w:right w:val="none" w:sz="0" w:space="0" w:color="auto"/>
                  </w:divBdr>
                  <w:divsChild>
                    <w:div w:id="1968389262">
                      <w:marLeft w:val="0"/>
                      <w:marRight w:val="0"/>
                      <w:marTop w:val="0"/>
                      <w:marBottom w:val="0"/>
                      <w:divBdr>
                        <w:top w:val="none" w:sz="0" w:space="0" w:color="auto"/>
                        <w:left w:val="none" w:sz="0" w:space="0" w:color="auto"/>
                        <w:bottom w:val="none" w:sz="0" w:space="0" w:color="auto"/>
                        <w:right w:val="none" w:sz="0" w:space="0" w:color="auto"/>
                      </w:divBdr>
                      <w:divsChild>
                        <w:div w:id="816847243">
                          <w:marLeft w:val="0"/>
                          <w:marRight w:val="0"/>
                          <w:marTop w:val="0"/>
                          <w:marBottom w:val="0"/>
                          <w:divBdr>
                            <w:top w:val="none" w:sz="0" w:space="0" w:color="auto"/>
                            <w:left w:val="none" w:sz="0" w:space="0" w:color="auto"/>
                            <w:bottom w:val="none" w:sz="0" w:space="0" w:color="auto"/>
                            <w:right w:val="none" w:sz="0" w:space="0" w:color="auto"/>
                          </w:divBdr>
                          <w:divsChild>
                            <w:div w:id="4588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199">
                      <w:marLeft w:val="0"/>
                      <w:marRight w:val="0"/>
                      <w:marTop w:val="0"/>
                      <w:marBottom w:val="0"/>
                      <w:divBdr>
                        <w:top w:val="none" w:sz="0" w:space="0" w:color="auto"/>
                        <w:left w:val="none" w:sz="0" w:space="0" w:color="auto"/>
                        <w:bottom w:val="none" w:sz="0" w:space="0" w:color="auto"/>
                        <w:right w:val="none" w:sz="0" w:space="0" w:color="auto"/>
                      </w:divBdr>
                      <w:divsChild>
                        <w:div w:id="762192444">
                          <w:marLeft w:val="0"/>
                          <w:marRight w:val="0"/>
                          <w:marTop w:val="0"/>
                          <w:marBottom w:val="0"/>
                          <w:divBdr>
                            <w:top w:val="none" w:sz="0" w:space="0" w:color="auto"/>
                            <w:left w:val="none" w:sz="0" w:space="0" w:color="auto"/>
                            <w:bottom w:val="none" w:sz="0" w:space="0" w:color="auto"/>
                            <w:right w:val="none" w:sz="0" w:space="0" w:color="auto"/>
                          </w:divBdr>
                          <w:divsChild>
                            <w:div w:id="258104961">
                              <w:marLeft w:val="0"/>
                              <w:marRight w:val="0"/>
                              <w:marTop w:val="0"/>
                              <w:marBottom w:val="0"/>
                              <w:divBdr>
                                <w:top w:val="none" w:sz="0" w:space="0" w:color="auto"/>
                                <w:left w:val="none" w:sz="0" w:space="0" w:color="auto"/>
                                <w:bottom w:val="none" w:sz="0" w:space="0" w:color="auto"/>
                                <w:right w:val="none" w:sz="0" w:space="0" w:color="auto"/>
                              </w:divBdr>
                              <w:divsChild>
                                <w:div w:id="8732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83481">
          <w:marLeft w:val="0"/>
          <w:marRight w:val="0"/>
          <w:marTop w:val="0"/>
          <w:marBottom w:val="0"/>
          <w:divBdr>
            <w:top w:val="none" w:sz="0" w:space="0" w:color="auto"/>
            <w:left w:val="none" w:sz="0" w:space="0" w:color="auto"/>
            <w:bottom w:val="none" w:sz="0" w:space="0" w:color="auto"/>
            <w:right w:val="none" w:sz="0" w:space="0" w:color="auto"/>
          </w:divBdr>
          <w:divsChild>
            <w:div w:id="1206214953">
              <w:marLeft w:val="0"/>
              <w:marRight w:val="0"/>
              <w:marTop w:val="0"/>
              <w:marBottom w:val="0"/>
              <w:divBdr>
                <w:top w:val="none" w:sz="0" w:space="0" w:color="auto"/>
                <w:left w:val="none" w:sz="0" w:space="0" w:color="auto"/>
                <w:bottom w:val="none" w:sz="0" w:space="0" w:color="auto"/>
                <w:right w:val="none" w:sz="0" w:space="0" w:color="auto"/>
              </w:divBdr>
              <w:divsChild>
                <w:div w:id="21907152">
                  <w:marLeft w:val="0"/>
                  <w:marRight w:val="0"/>
                  <w:marTop w:val="0"/>
                  <w:marBottom w:val="0"/>
                  <w:divBdr>
                    <w:top w:val="none" w:sz="0" w:space="0" w:color="auto"/>
                    <w:left w:val="none" w:sz="0" w:space="0" w:color="auto"/>
                    <w:bottom w:val="none" w:sz="0" w:space="0" w:color="auto"/>
                    <w:right w:val="none" w:sz="0" w:space="0" w:color="auto"/>
                  </w:divBdr>
                  <w:divsChild>
                    <w:div w:id="1557810940">
                      <w:marLeft w:val="0"/>
                      <w:marRight w:val="0"/>
                      <w:marTop w:val="0"/>
                      <w:marBottom w:val="0"/>
                      <w:divBdr>
                        <w:top w:val="none" w:sz="0" w:space="0" w:color="auto"/>
                        <w:left w:val="none" w:sz="0" w:space="0" w:color="auto"/>
                        <w:bottom w:val="none" w:sz="0" w:space="0" w:color="auto"/>
                        <w:right w:val="none" w:sz="0" w:space="0" w:color="auto"/>
                      </w:divBdr>
                      <w:divsChild>
                        <w:div w:id="130171806">
                          <w:marLeft w:val="0"/>
                          <w:marRight w:val="0"/>
                          <w:marTop w:val="0"/>
                          <w:marBottom w:val="0"/>
                          <w:divBdr>
                            <w:top w:val="none" w:sz="0" w:space="0" w:color="auto"/>
                            <w:left w:val="none" w:sz="0" w:space="0" w:color="auto"/>
                            <w:bottom w:val="none" w:sz="0" w:space="0" w:color="auto"/>
                            <w:right w:val="none" w:sz="0" w:space="0" w:color="auto"/>
                          </w:divBdr>
                          <w:divsChild>
                            <w:div w:id="2067213802">
                              <w:marLeft w:val="0"/>
                              <w:marRight w:val="0"/>
                              <w:marTop w:val="0"/>
                              <w:marBottom w:val="0"/>
                              <w:divBdr>
                                <w:top w:val="none" w:sz="0" w:space="0" w:color="auto"/>
                                <w:left w:val="none" w:sz="0" w:space="0" w:color="auto"/>
                                <w:bottom w:val="none" w:sz="0" w:space="0" w:color="auto"/>
                                <w:right w:val="none" w:sz="0" w:space="0" w:color="auto"/>
                              </w:divBdr>
                            </w:div>
                          </w:divsChild>
                        </w:div>
                        <w:div w:id="817890540">
                          <w:marLeft w:val="0"/>
                          <w:marRight w:val="0"/>
                          <w:marTop w:val="0"/>
                          <w:marBottom w:val="0"/>
                          <w:divBdr>
                            <w:top w:val="none" w:sz="0" w:space="0" w:color="auto"/>
                            <w:left w:val="none" w:sz="0" w:space="0" w:color="auto"/>
                            <w:bottom w:val="none" w:sz="0" w:space="0" w:color="auto"/>
                            <w:right w:val="none" w:sz="0" w:space="0" w:color="auto"/>
                          </w:divBdr>
                        </w:div>
                      </w:divsChild>
                    </w:div>
                    <w:div w:id="2106415847">
                      <w:marLeft w:val="0"/>
                      <w:marRight w:val="0"/>
                      <w:marTop w:val="0"/>
                      <w:marBottom w:val="0"/>
                      <w:divBdr>
                        <w:top w:val="none" w:sz="0" w:space="0" w:color="auto"/>
                        <w:left w:val="none" w:sz="0" w:space="0" w:color="auto"/>
                        <w:bottom w:val="none" w:sz="0" w:space="0" w:color="auto"/>
                        <w:right w:val="none" w:sz="0" w:space="0" w:color="auto"/>
                      </w:divBdr>
                      <w:divsChild>
                        <w:div w:id="342631143">
                          <w:marLeft w:val="0"/>
                          <w:marRight w:val="0"/>
                          <w:marTop w:val="0"/>
                          <w:marBottom w:val="0"/>
                          <w:divBdr>
                            <w:top w:val="none" w:sz="0" w:space="0" w:color="auto"/>
                            <w:left w:val="none" w:sz="0" w:space="0" w:color="auto"/>
                            <w:bottom w:val="none" w:sz="0" w:space="0" w:color="auto"/>
                            <w:right w:val="none" w:sz="0" w:space="0" w:color="auto"/>
                          </w:divBdr>
                          <w:divsChild>
                            <w:div w:id="9820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463270">
          <w:marLeft w:val="0"/>
          <w:marRight w:val="0"/>
          <w:marTop w:val="0"/>
          <w:marBottom w:val="0"/>
          <w:divBdr>
            <w:top w:val="none" w:sz="0" w:space="0" w:color="auto"/>
            <w:left w:val="none" w:sz="0" w:space="0" w:color="auto"/>
            <w:bottom w:val="none" w:sz="0" w:space="0" w:color="auto"/>
            <w:right w:val="none" w:sz="0" w:space="0" w:color="auto"/>
          </w:divBdr>
          <w:divsChild>
            <w:div w:id="1418745561">
              <w:marLeft w:val="0"/>
              <w:marRight w:val="0"/>
              <w:marTop w:val="0"/>
              <w:marBottom w:val="0"/>
              <w:divBdr>
                <w:top w:val="none" w:sz="0" w:space="0" w:color="auto"/>
                <w:left w:val="none" w:sz="0" w:space="0" w:color="auto"/>
                <w:bottom w:val="none" w:sz="0" w:space="0" w:color="auto"/>
                <w:right w:val="none" w:sz="0" w:space="0" w:color="auto"/>
              </w:divBdr>
              <w:divsChild>
                <w:div w:id="1927227046">
                  <w:marLeft w:val="0"/>
                  <w:marRight w:val="0"/>
                  <w:marTop w:val="0"/>
                  <w:marBottom w:val="0"/>
                  <w:divBdr>
                    <w:top w:val="none" w:sz="0" w:space="0" w:color="auto"/>
                    <w:left w:val="none" w:sz="0" w:space="0" w:color="auto"/>
                    <w:bottom w:val="none" w:sz="0" w:space="0" w:color="auto"/>
                    <w:right w:val="none" w:sz="0" w:space="0" w:color="auto"/>
                  </w:divBdr>
                  <w:divsChild>
                    <w:div w:id="1260718307">
                      <w:marLeft w:val="0"/>
                      <w:marRight w:val="0"/>
                      <w:marTop w:val="0"/>
                      <w:marBottom w:val="0"/>
                      <w:divBdr>
                        <w:top w:val="none" w:sz="0" w:space="0" w:color="auto"/>
                        <w:left w:val="none" w:sz="0" w:space="0" w:color="auto"/>
                        <w:bottom w:val="none" w:sz="0" w:space="0" w:color="auto"/>
                        <w:right w:val="none" w:sz="0" w:space="0" w:color="auto"/>
                      </w:divBdr>
                      <w:divsChild>
                        <w:div w:id="492381392">
                          <w:marLeft w:val="0"/>
                          <w:marRight w:val="0"/>
                          <w:marTop w:val="0"/>
                          <w:marBottom w:val="0"/>
                          <w:divBdr>
                            <w:top w:val="none" w:sz="0" w:space="0" w:color="auto"/>
                            <w:left w:val="none" w:sz="0" w:space="0" w:color="auto"/>
                            <w:bottom w:val="none" w:sz="0" w:space="0" w:color="auto"/>
                            <w:right w:val="none" w:sz="0" w:space="0" w:color="auto"/>
                          </w:divBdr>
                          <w:divsChild>
                            <w:div w:id="1970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98387">
      <w:bodyDiv w:val="1"/>
      <w:marLeft w:val="0"/>
      <w:marRight w:val="0"/>
      <w:marTop w:val="0"/>
      <w:marBottom w:val="0"/>
      <w:divBdr>
        <w:top w:val="none" w:sz="0" w:space="0" w:color="auto"/>
        <w:left w:val="none" w:sz="0" w:space="0" w:color="auto"/>
        <w:bottom w:val="none" w:sz="0" w:space="0" w:color="auto"/>
        <w:right w:val="none" w:sz="0" w:space="0" w:color="auto"/>
      </w:divBdr>
    </w:div>
    <w:div w:id="497118573">
      <w:bodyDiv w:val="1"/>
      <w:marLeft w:val="0"/>
      <w:marRight w:val="0"/>
      <w:marTop w:val="0"/>
      <w:marBottom w:val="0"/>
      <w:divBdr>
        <w:top w:val="none" w:sz="0" w:space="0" w:color="auto"/>
        <w:left w:val="none" w:sz="0" w:space="0" w:color="auto"/>
        <w:bottom w:val="none" w:sz="0" w:space="0" w:color="auto"/>
        <w:right w:val="none" w:sz="0" w:space="0" w:color="auto"/>
      </w:divBdr>
    </w:div>
    <w:div w:id="505751528">
      <w:bodyDiv w:val="1"/>
      <w:marLeft w:val="0"/>
      <w:marRight w:val="0"/>
      <w:marTop w:val="0"/>
      <w:marBottom w:val="0"/>
      <w:divBdr>
        <w:top w:val="none" w:sz="0" w:space="0" w:color="auto"/>
        <w:left w:val="none" w:sz="0" w:space="0" w:color="auto"/>
        <w:bottom w:val="none" w:sz="0" w:space="0" w:color="auto"/>
        <w:right w:val="none" w:sz="0" w:space="0" w:color="auto"/>
      </w:divBdr>
    </w:div>
    <w:div w:id="524943712">
      <w:bodyDiv w:val="1"/>
      <w:marLeft w:val="0"/>
      <w:marRight w:val="0"/>
      <w:marTop w:val="0"/>
      <w:marBottom w:val="0"/>
      <w:divBdr>
        <w:top w:val="none" w:sz="0" w:space="0" w:color="auto"/>
        <w:left w:val="none" w:sz="0" w:space="0" w:color="auto"/>
        <w:bottom w:val="none" w:sz="0" w:space="0" w:color="auto"/>
        <w:right w:val="none" w:sz="0" w:space="0" w:color="auto"/>
      </w:divBdr>
    </w:div>
    <w:div w:id="528179736">
      <w:bodyDiv w:val="1"/>
      <w:marLeft w:val="0"/>
      <w:marRight w:val="0"/>
      <w:marTop w:val="0"/>
      <w:marBottom w:val="0"/>
      <w:divBdr>
        <w:top w:val="none" w:sz="0" w:space="0" w:color="auto"/>
        <w:left w:val="none" w:sz="0" w:space="0" w:color="auto"/>
        <w:bottom w:val="none" w:sz="0" w:space="0" w:color="auto"/>
        <w:right w:val="none" w:sz="0" w:space="0" w:color="auto"/>
      </w:divBdr>
    </w:div>
    <w:div w:id="530217908">
      <w:bodyDiv w:val="1"/>
      <w:marLeft w:val="0"/>
      <w:marRight w:val="0"/>
      <w:marTop w:val="0"/>
      <w:marBottom w:val="0"/>
      <w:divBdr>
        <w:top w:val="none" w:sz="0" w:space="0" w:color="auto"/>
        <w:left w:val="none" w:sz="0" w:space="0" w:color="auto"/>
        <w:bottom w:val="none" w:sz="0" w:space="0" w:color="auto"/>
        <w:right w:val="none" w:sz="0" w:space="0" w:color="auto"/>
      </w:divBdr>
    </w:div>
    <w:div w:id="557017535">
      <w:bodyDiv w:val="1"/>
      <w:marLeft w:val="0"/>
      <w:marRight w:val="0"/>
      <w:marTop w:val="0"/>
      <w:marBottom w:val="0"/>
      <w:divBdr>
        <w:top w:val="none" w:sz="0" w:space="0" w:color="auto"/>
        <w:left w:val="none" w:sz="0" w:space="0" w:color="auto"/>
        <w:bottom w:val="none" w:sz="0" w:space="0" w:color="auto"/>
        <w:right w:val="none" w:sz="0" w:space="0" w:color="auto"/>
      </w:divBdr>
    </w:div>
    <w:div w:id="560403324">
      <w:bodyDiv w:val="1"/>
      <w:marLeft w:val="0"/>
      <w:marRight w:val="0"/>
      <w:marTop w:val="0"/>
      <w:marBottom w:val="0"/>
      <w:divBdr>
        <w:top w:val="none" w:sz="0" w:space="0" w:color="auto"/>
        <w:left w:val="none" w:sz="0" w:space="0" w:color="auto"/>
        <w:bottom w:val="none" w:sz="0" w:space="0" w:color="auto"/>
        <w:right w:val="none" w:sz="0" w:space="0" w:color="auto"/>
      </w:divBdr>
    </w:div>
    <w:div w:id="564335905">
      <w:bodyDiv w:val="1"/>
      <w:marLeft w:val="0"/>
      <w:marRight w:val="0"/>
      <w:marTop w:val="0"/>
      <w:marBottom w:val="0"/>
      <w:divBdr>
        <w:top w:val="none" w:sz="0" w:space="0" w:color="auto"/>
        <w:left w:val="none" w:sz="0" w:space="0" w:color="auto"/>
        <w:bottom w:val="none" w:sz="0" w:space="0" w:color="auto"/>
        <w:right w:val="none" w:sz="0" w:space="0" w:color="auto"/>
      </w:divBdr>
    </w:div>
    <w:div w:id="576014517">
      <w:bodyDiv w:val="1"/>
      <w:marLeft w:val="0"/>
      <w:marRight w:val="0"/>
      <w:marTop w:val="0"/>
      <w:marBottom w:val="0"/>
      <w:divBdr>
        <w:top w:val="none" w:sz="0" w:space="0" w:color="auto"/>
        <w:left w:val="none" w:sz="0" w:space="0" w:color="auto"/>
        <w:bottom w:val="none" w:sz="0" w:space="0" w:color="auto"/>
        <w:right w:val="none" w:sz="0" w:space="0" w:color="auto"/>
      </w:divBdr>
    </w:div>
    <w:div w:id="582227978">
      <w:bodyDiv w:val="1"/>
      <w:marLeft w:val="0"/>
      <w:marRight w:val="0"/>
      <w:marTop w:val="0"/>
      <w:marBottom w:val="0"/>
      <w:divBdr>
        <w:top w:val="none" w:sz="0" w:space="0" w:color="auto"/>
        <w:left w:val="none" w:sz="0" w:space="0" w:color="auto"/>
        <w:bottom w:val="none" w:sz="0" w:space="0" w:color="auto"/>
        <w:right w:val="none" w:sz="0" w:space="0" w:color="auto"/>
      </w:divBdr>
    </w:div>
    <w:div w:id="632563751">
      <w:bodyDiv w:val="1"/>
      <w:marLeft w:val="0"/>
      <w:marRight w:val="0"/>
      <w:marTop w:val="0"/>
      <w:marBottom w:val="0"/>
      <w:divBdr>
        <w:top w:val="none" w:sz="0" w:space="0" w:color="auto"/>
        <w:left w:val="none" w:sz="0" w:space="0" w:color="auto"/>
        <w:bottom w:val="none" w:sz="0" w:space="0" w:color="auto"/>
        <w:right w:val="none" w:sz="0" w:space="0" w:color="auto"/>
      </w:divBdr>
    </w:div>
    <w:div w:id="634338795">
      <w:bodyDiv w:val="1"/>
      <w:marLeft w:val="0"/>
      <w:marRight w:val="0"/>
      <w:marTop w:val="0"/>
      <w:marBottom w:val="0"/>
      <w:divBdr>
        <w:top w:val="none" w:sz="0" w:space="0" w:color="auto"/>
        <w:left w:val="none" w:sz="0" w:space="0" w:color="auto"/>
        <w:bottom w:val="none" w:sz="0" w:space="0" w:color="auto"/>
        <w:right w:val="none" w:sz="0" w:space="0" w:color="auto"/>
      </w:divBdr>
    </w:div>
    <w:div w:id="659384695">
      <w:bodyDiv w:val="1"/>
      <w:marLeft w:val="0"/>
      <w:marRight w:val="0"/>
      <w:marTop w:val="0"/>
      <w:marBottom w:val="0"/>
      <w:divBdr>
        <w:top w:val="none" w:sz="0" w:space="0" w:color="auto"/>
        <w:left w:val="none" w:sz="0" w:space="0" w:color="auto"/>
        <w:bottom w:val="none" w:sz="0" w:space="0" w:color="auto"/>
        <w:right w:val="none" w:sz="0" w:space="0" w:color="auto"/>
      </w:divBdr>
    </w:div>
    <w:div w:id="684406071">
      <w:bodyDiv w:val="1"/>
      <w:marLeft w:val="0"/>
      <w:marRight w:val="0"/>
      <w:marTop w:val="0"/>
      <w:marBottom w:val="0"/>
      <w:divBdr>
        <w:top w:val="none" w:sz="0" w:space="0" w:color="auto"/>
        <w:left w:val="none" w:sz="0" w:space="0" w:color="auto"/>
        <w:bottom w:val="none" w:sz="0" w:space="0" w:color="auto"/>
        <w:right w:val="none" w:sz="0" w:space="0" w:color="auto"/>
      </w:divBdr>
      <w:divsChild>
        <w:div w:id="89933304">
          <w:marLeft w:val="0"/>
          <w:marRight w:val="0"/>
          <w:marTop w:val="0"/>
          <w:marBottom w:val="0"/>
          <w:divBdr>
            <w:top w:val="none" w:sz="0" w:space="0" w:color="auto"/>
            <w:left w:val="none" w:sz="0" w:space="0" w:color="auto"/>
            <w:bottom w:val="none" w:sz="0" w:space="0" w:color="auto"/>
            <w:right w:val="none" w:sz="0" w:space="0" w:color="auto"/>
          </w:divBdr>
          <w:divsChild>
            <w:div w:id="1098981615">
              <w:marLeft w:val="0"/>
              <w:marRight w:val="0"/>
              <w:marTop w:val="0"/>
              <w:marBottom w:val="0"/>
              <w:divBdr>
                <w:top w:val="none" w:sz="0" w:space="0" w:color="auto"/>
                <w:left w:val="none" w:sz="0" w:space="0" w:color="auto"/>
                <w:bottom w:val="none" w:sz="0" w:space="0" w:color="auto"/>
                <w:right w:val="none" w:sz="0" w:space="0" w:color="auto"/>
              </w:divBdr>
              <w:divsChild>
                <w:div w:id="1607034845">
                  <w:marLeft w:val="0"/>
                  <w:marRight w:val="0"/>
                  <w:marTop w:val="0"/>
                  <w:marBottom w:val="0"/>
                  <w:divBdr>
                    <w:top w:val="none" w:sz="0" w:space="0" w:color="auto"/>
                    <w:left w:val="none" w:sz="0" w:space="0" w:color="auto"/>
                    <w:bottom w:val="none" w:sz="0" w:space="0" w:color="auto"/>
                    <w:right w:val="none" w:sz="0" w:space="0" w:color="auto"/>
                  </w:divBdr>
                  <w:divsChild>
                    <w:div w:id="406221316">
                      <w:marLeft w:val="0"/>
                      <w:marRight w:val="0"/>
                      <w:marTop w:val="0"/>
                      <w:marBottom w:val="0"/>
                      <w:divBdr>
                        <w:top w:val="none" w:sz="0" w:space="0" w:color="auto"/>
                        <w:left w:val="none" w:sz="0" w:space="0" w:color="auto"/>
                        <w:bottom w:val="none" w:sz="0" w:space="0" w:color="auto"/>
                        <w:right w:val="none" w:sz="0" w:space="0" w:color="auto"/>
                      </w:divBdr>
                      <w:divsChild>
                        <w:div w:id="651762707">
                          <w:marLeft w:val="0"/>
                          <w:marRight w:val="0"/>
                          <w:marTop w:val="0"/>
                          <w:marBottom w:val="0"/>
                          <w:divBdr>
                            <w:top w:val="none" w:sz="0" w:space="0" w:color="auto"/>
                            <w:left w:val="none" w:sz="0" w:space="0" w:color="auto"/>
                            <w:bottom w:val="none" w:sz="0" w:space="0" w:color="auto"/>
                            <w:right w:val="none" w:sz="0" w:space="0" w:color="auto"/>
                          </w:divBdr>
                          <w:divsChild>
                            <w:div w:id="1391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4405">
                      <w:marLeft w:val="0"/>
                      <w:marRight w:val="0"/>
                      <w:marTop w:val="0"/>
                      <w:marBottom w:val="0"/>
                      <w:divBdr>
                        <w:top w:val="none" w:sz="0" w:space="0" w:color="auto"/>
                        <w:left w:val="none" w:sz="0" w:space="0" w:color="auto"/>
                        <w:bottom w:val="none" w:sz="0" w:space="0" w:color="auto"/>
                        <w:right w:val="none" w:sz="0" w:space="0" w:color="auto"/>
                      </w:divBdr>
                      <w:divsChild>
                        <w:div w:id="1104419933">
                          <w:marLeft w:val="0"/>
                          <w:marRight w:val="0"/>
                          <w:marTop w:val="0"/>
                          <w:marBottom w:val="0"/>
                          <w:divBdr>
                            <w:top w:val="none" w:sz="0" w:space="0" w:color="auto"/>
                            <w:left w:val="none" w:sz="0" w:space="0" w:color="auto"/>
                            <w:bottom w:val="none" w:sz="0" w:space="0" w:color="auto"/>
                            <w:right w:val="none" w:sz="0" w:space="0" w:color="auto"/>
                          </w:divBdr>
                          <w:divsChild>
                            <w:div w:id="425731877">
                              <w:marLeft w:val="0"/>
                              <w:marRight w:val="0"/>
                              <w:marTop w:val="0"/>
                              <w:marBottom w:val="0"/>
                              <w:divBdr>
                                <w:top w:val="none" w:sz="0" w:space="0" w:color="auto"/>
                                <w:left w:val="none" w:sz="0" w:space="0" w:color="auto"/>
                                <w:bottom w:val="none" w:sz="0" w:space="0" w:color="auto"/>
                                <w:right w:val="none" w:sz="0" w:space="0" w:color="auto"/>
                              </w:divBdr>
                              <w:divsChild>
                                <w:div w:id="8045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87004">
          <w:marLeft w:val="0"/>
          <w:marRight w:val="0"/>
          <w:marTop w:val="0"/>
          <w:marBottom w:val="0"/>
          <w:divBdr>
            <w:top w:val="none" w:sz="0" w:space="0" w:color="auto"/>
            <w:left w:val="none" w:sz="0" w:space="0" w:color="auto"/>
            <w:bottom w:val="none" w:sz="0" w:space="0" w:color="auto"/>
            <w:right w:val="none" w:sz="0" w:space="0" w:color="auto"/>
          </w:divBdr>
          <w:divsChild>
            <w:div w:id="1071276072">
              <w:marLeft w:val="0"/>
              <w:marRight w:val="0"/>
              <w:marTop w:val="0"/>
              <w:marBottom w:val="0"/>
              <w:divBdr>
                <w:top w:val="none" w:sz="0" w:space="0" w:color="auto"/>
                <w:left w:val="none" w:sz="0" w:space="0" w:color="auto"/>
                <w:bottom w:val="none" w:sz="0" w:space="0" w:color="auto"/>
                <w:right w:val="none" w:sz="0" w:space="0" w:color="auto"/>
              </w:divBdr>
              <w:divsChild>
                <w:div w:id="230964957">
                  <w:marLeft w:val="0"/>
                  <w:marRight w:val="0"/>
                  <w:marTop w:val="0"/>
                  <w:marBottom w:val="0"/>
                  <w:divBdr>
                    <w:top w:val="none" w:sz="0" w:space="0" w:color="auto"/>
                    <w:left w:val="none" w:sz="0" w:space="0" w:color="auto"/>
                    <w:bottom w:val="none" w:sz="0" w:space="0" w:color="auto"/>
                    <w:right w:val="none" w:sz="0" w:space="0" w:color="auto"/>
                  </w:divBdr>
                  <w:divsChild>
                    <w:div w:id="991906634">
                      <w:marLeft w:val="0"/>
                      <w:marRight w:val="0"/>
                      <w:marTop w:val="0"/>
                      <w:marBottom w:val="0"/>
                      <w:divBdr>
                        <w:top w:val="none" w:sz="0" w:space="0" w:color="auto"/>
                        <w:left w:val="none" w:sz="0" w:space="0" w:color="auto"/>
                        <w:bottom w:val="none" w:sz="0" w:space="0" w:color="auto"/>
                        <w:right w:val="none" w:sz="0" w:space="0" w:color="auto"/>
                      </w:divBdr>
                      <w:divsChild>
                        <w:div w:id="1008947120">
                          <w:marLeft w:val="0"/>
                          <w:marRight w:val="0"/>
                          <w:marTop w:val="0"/>
                          <w:marBottom w:val="0"/>
                          <w:divBdr>
                            <w:top w:val="none" w:sz="0" w:space="0" w:color="auto"/>
                            <w:left w:val="none" w:sz="0" w:space="0" w:color="auto"/>
                            <w:bottom w:val="none" w:sz="0" w:space="0" w:color="auto"/>
                            <w:right w:val="none" w:sz="0" w:space="0" w:color="auto"/>
                          </w:divBdr>
                          <w:divsChild>
                            <w:div w:id="1255941281">
                              <w:marLeft w:val="0"/>
                              <w:marRight w:val="0"/>
                              <w:marTop w:val="0"/>
                              <w:marBottom w:val="0"/>
                              <w:divBdr>
                                <w:top w:val="none" w:sz="0" w:space="0" w:color="auto"/>
                                <w:left w:val="none" w:sz="0" w:space="0" w:color="auto"/>
                                <w:bottom w:val="none" w:sz="0" w:space="0" w:color="auto"/>
                                <w:right w:val="none" w:sz="0" w:space="0" w:color="auto"/>
                              </w:divBdr>
                            </w:div>
                          </w:divsChild>
                        </w:div>
                        <w:div w:id="849099211">
                          <w:marLeft w:val="0"/>
                          <w:marRight w:val="0"/>
                          <w:marTop w:val="0"/>
                          <w:marBottom w:val="0"/>
                          <w:divBdr>
                            <w:top w:val="none" w:sz="0" w:space="0" w:color="auto"/>
                            <w:left w:val="none" w:sz="0" w:space="0" w:color="auto"/>
                            <w:bottom w:val="none" w:sz="0" w:space="0" w:color="auto"/>
                            <w:right w:val="none" w:sz="0" w:space="0" w:color="auto"/>
                          </w:divBdr>
                        </w:div>
                      </w:divsChild>
                    </w:div>
                    <w:div w:id="874540650">
                      <w:marLeft w:val="0"/>
                      <w:marRight w:val="0"/>
                      <w:marTop w:val="0"/>
                      <w:marBottom w:val="0"/>
                      <w:divBdr>
                        <w:top w:val="none" w:sz="0" w:space="0" w:color="auto"/>
                        <w:left w:val="none" w:sz="0" w:space="0" w:color="auto"/>
                        <w:bottom w:val="none" w:sz="0" w:space="0" w:color="auto"/>
                        <w:right w:val="none" w:sz="0" w:space="0" w:color="auto"/>
                      </w:divBdr>
                      <w:divsChild>
                        <w:div w:id="366444104">
                          <w:marLeft w:val="0"/>
                          <w:marRight w:val="0"/>
                          <w:marTop w:val="0"/>
                          <w:marBottom w:val="0"/>
                          <w:divBdr>
                            <w:top w:val="none" w:sz="0" w:space="0" w:color="auto"/>
                            <w:left w:val="none" w:sz="0" w:space="0" w:color="auto"/>
                            <w:bottom w:val="none" w:sz="0" w:space="0" w:color="auto"/>
                            <w:right w:val="none" w:sz="0" w:space="0" w:color="auto"/>
                          </w:divBdr>
                          <w:divsChild>
                            <w:div w:id="1782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179869">
          <w:marLeft w:val="0"/>
          <w:marRight w:val="0"/>
          <w:marTop w:val="0"/>
          <w:marBottom w:val="0"/>
          <w:divBdr>
            <w:top w:val="none" w:sz="0" w:space="0" w:color="auto"/>
            <w:left w:val="none" w:sz="0" w:space="0" w:color="auto"/>
            <w:bottom w:val="none" w:sz="0" w:space="0" w:color="auto"/>
            <w:right w:val="none" w:sz="0" w:space="0" w:color="auto"/>
          </w:divBdr>
          <w:divsChild>
            <w:div w:id="2115049286">
              <w:marLeft w:val="0"/>
              <w:marRight w:val="0"/>
              <w:marTop w:val="0"/>
              <w:marBottom w:val="0"/>
              <w:divBdr>
                <w:top w:val="none" w:sz="0" w:space="0" w:color="auto"/>
                <w:left w:val="none" w:sz="0" w:space="0" w:color="auto"/>
                <w:bottom w:val="none" w:sz="0" w:space="0" w:color="auto"/>
                <w:right w:val="none" w:sz="0" w:space="0" w:color="auto"/>
              </w:divBdr>
              <w:divsChild>
                <w:div w:id="1248072739">
                  <w:marLeft w:val="0"/>
                  <w:marRight w:val="0"/>
                  <w:marTop w:val="0"/>
                  <w:marBottom w:val="0"/>
                  <w:divBdr>
                    <w:top w:val="none" w:sz="0" w:space="0" w:color="auto"/>
                    <w:left w:val="none" w:sz="0" w:space="0" w:color="auto"/>
                    <w:bottom w:val="none" w:sz="0" w:space="0" w:color="auto"/>
                    <w:right w:val="none" w:sz="0" w:space="0" w:color="auto"/>
                  </w:divBdr>
                  <w:divsChild>
                    <w:div w:id="2108429662">
                      <w:marLeft w:val="0"/>
                      <w:marRight w:val="0"/>
                      <w:marTop w:val="0"/>
                      <w:marBottom w:val="0"/>
                      <w:divBdr>
                        <w:top w:val="none" w:sz="0" w:space="0" w:color="auto"/>
                        <w:left w:val="none" w:sz="0" w:space="0" w:color="auto"/>
                        <w:bottom w:val="none" w:sz="0" w:space="0" w:color="auto"/>
                        <w:right w:val="none" w:sz="0" w:space="0" w:color="auto"/>
                      </w:divBdr>
                      <w:divsChild>
                        <w:div w:id="1000037275">
                          <w:marLeft w:val="0"/>
                          <w:marRight w:val="0"/>
                          <w:marTop w:val="0"/>
                          <w:marBottom w:val="0"/>
                          <w:divBdr>
                            <w:top w:val="none" w:sz="0" w:space="0" w:color="auto"/>
                            <w:left w:val="none" w:sz="0" w:space="0" w:color="auto"/>
                            <w:bottom w:val="none" w:sz="0" w:space="0" w:color="auto"/>
                            <w:right w:val="none" w:sz="0" w:space="0" w:color="auto"/>
                          </w:divBdr>
                          <w:divsChild>
                            <w:div w:id="18896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06246">
      <w:bodyDiv w:val="1"/>
      <w:marLeft w:val="0"/>
      <w:marRight w:val="0"/>
      <w:marTop w:val="0"/>
      <w:marBottom w:val="0"/>
      <w:divBdr>
        <w:top w:val="none" w:sz="0" w:space="0" w:color="auto"/>
        <w:left w:val="none" w:sz="0" w:space="0" w:color="auto"/>
        <w:bottom w:val="none" w:sz="0" w:space="0" w:color="auto"/>
        <w:right w:val="none" w:sz="0" w:space="0" w:color="auto"/>
      </w:divBdr>
    </w:div>
    <w:div w:id="696470335">
      <w:bodyDiv w:val="1"/>
      <w:marLeft w:val="0"/>
      <w:marRight w:val="0"/>
      <w:marTop w:val="0"/>
      <w:marBottom w:val="0"/>
      <w:divBdr>
        <w:top w:val="none" w:sz="0" w:space="0" w:color="auto"/>
        <w:left w:val="none" w:sz="0" w:space="0" w:color="auto"/>
        <w:bottom w:val="none" w:sz="0" w:space="0" w:color="auto"/>
        <w:right w:val="none" w:sz="0" w:space="0" w:color="auto"/>
      </w:divBdr>
    </w:div>
    <w:div w:id="698894278">
      <w:bodyDiv w:val="1"/>
      <w:marLeft w:val="0"/>
      <w:marRight w:val="0"/>
      <w:marTop w:val="0"/>
      <w:marBottom w:val="0"/>
      <w:divBdr>
        <w:top w:val="none" w:sz="0" w:space="0" w:color="auto"/>
        <w:left w:val="none" w:sz="0" w:space="0" w:color="auto"/>
        <w:bottom w:val="none" w:sz="0" w:space="0" w:color="auto"/>
        <w:right w:val="none" w:sz="0" w:space="0" w:color="auto"/>
      </w:divBdr>
    </w:div>
    <w:div w:id="712274197">
      <w:bodyDiv w:val="1"/>
      <w:marLeft w:val="0"/>
      <w:marRight w:val="0"/>
      <w:marTop w:val="0"/>
      <w:marBottom w:val="0"/>
      <w:divBdr>
        <w:top w:val="none" w:sz="0" w:space="0" w:color="auto"/>
        <w:left w:val="none" w:sz="0" w:space="0" w:color="auto"/>
        <w:bottom w:val="none" w:sz="0" w:space="0" w:color="auto"/>
        <w:right w:val="none" w:sz="0" w:space="0" w:color="auto"/>
      </w:divBdr>
    </w:div>
    <w:div w:id="742681144">
      <w:bodyDiv w:val="1"/>
      <w:marLeft w:val="0"/>
      <w:marRight w:val="0"/>
      <w:marTop w:val="0"/>
      <w:marBottom w:val="0"/>
      <w:divBdr>
        <w:top w:val="none" w:sz="0" w:space="0" w:color="auto"/>
        <w:left w:val="none" w:sz="0" w:space="0" w:color="auto"/>
        <w:bottom w:val="none" w:sz="0" w:space="0" w:color="auto"/>
        <w:right w:val="none" w:sz="0" w:space="0" w:color="auto"/>
      </w:divBdr>
    </w:div>
    <w:div w:id="748694817">
      <w:bodyDiv w:val="1"/>
      <w:marLeft w:val="0"/>
      <w:marRight w:val="0"/>
      <w:marTop w:val="0"/>
      <w:marBottom w:val="0"/>
      <w:divBdr>
        <w:top w:val="none" w:sz="0" w:space="0" w:color="auto"/>
        <w:left w:val="none" w:sz="0" w:space="0" w:color="auto"/>
        <w:bottom w:val="none" w:sz="0" w:space="0" w:color="auto"/>
        <w:right w:val="none" w:sz="0" w:space="0" w:color="auto"/>
      </w:divBdr>
    </w:div>
    <w:div w:id="773018327">
      <w:bodyDiv w:val="1"/>
      <w:marLeft w:val="0"/>
      <w:marRight w:val="0"/>
      <w:marTop w:val="0"/>
      <w:marBottom w:val="0"/>
      <w:divBdr>
        <w:top w:val="none" w:sz="0" w:space="0" w:color="auto"/>
        <w:left w:val="none" w:sz="0" w:space="0" w:color="auto"/>
        <w:bottom w:val="none" w:sz="0" w:space="0" w:color="auto"/>
        <w:right w:val="none" w:sz="0" w:space="0" w:color="auto"/>
      </w:divBdr>
    </w:div>
    <w:div w:id="774135800">
      <w:bodyDiv w:val="1"/>
      <w:marLeft w:val="0"/>
      <w:marRight w:val="0"/>
      <w:marTop w:val="0"/>
      <w:marBottom w:val="0"/>
      <w:divBdr>
        <w:top w:val="none" w:sz="0" w:space="0" w:color="auto"/>
        <w:left w:val="none" w:sz="0" w:space="0" w:color="auto"/>
        <w:bottom w:val="none" w:sz="0" w:space="0" w:color="auto"/>
        <w:right w:val="none" w:sz="0" w:space="0" w:color="auto"/>
      </w:divBdr>
    </w:div>
    <w:div w:id="783354155">
      <w:bodyDiv w:val="1"/>
      <w:marLeft w:val="0"/>
      <w:marRight w:val="0"/>
      <w:marTop w:val="0"/>
      <w:marBottom w:val="0"/>
      <w:divBdr>
        <w:top w:val="none" w:sz="0" w:space="0" w:color="auto"/>
        <w:left w:val="none" w:sz="0" w:space="0" w:color="auto"/>
        <w:bottom w:val="none" w:sz="0" w:space="0" w:color="auto"/>
        <w:right w:val="none" w:sz="0" w:space="0" w:color="auto"/>
      </w:divBdr>
    </w:div>
    <w:div w:id="786922866">
      <w:bodyDiv w:val="1"/>
      <w:marLeft w:val="0"/>
      <w:marRight w:val="0"/>
      <w:marTop w:val="0"/>
      <w:marBottom w:val="0"/>
      <w:divBdr>
        <w:top w:val="none" w:sz="0" w:space="0" w:color="auto"/>
        <w:left w:val="none" w:sz="0" w:space="0" w:color="auto"/>
        <w:bottom w:val="none" w:sz="0" w:space="0" w:color="auto"/>
        <w:right w:val="none" w:sz="0" w:space="0" w:color="auto"/>
      </w:divBdr>
    </w:div>
    <w:div w:id="793406432">
      <w:bodyDiv w:val="1"/>
      <w:marLeft w:val="0"/>
      <w:marRight w:val="0"/>
      <w:marTop w:val="0"/>
      <w:marBottom w:val="0"/>
      <w:divBdr>
        <w:top w:val="none" w:sz="0" w:space="0" w:color="auto"/>
        <w:left w:val="none" w:sz="0" w:space="0" w:color="auto"/>
        <w:bottom w:val="none" w:sz="0" w:space="0" w:color="auto"/>
        <w:right w:val="none" w:sz="0" w:space="0" w:color="auto"/>
      </w:divBdr>
    </w:div>
    <w:div w:id="800610711">
      <w:bodyDiv w:val="1"/>
      <w:marLeft w:val="0"/>
      <w:marRight w:val="0"/>
      <w:marTop w:val="0"/>
      <w:marBottom w:val="0"/>
      <w:divBdr>
        <w:top w:val="none" w:sz="0" w:space="0" w:color="auto"/>
        <w:left w:val="none" w:sz="0" w:space="0" w:color="auto"/>
        <w:bottom w:val="none" w:sz="0" w:space="0" w:color="auto"/>
        <w:right w:val="none" w:sz="0" w:space="0" w:color="auto"/>
      </w:divBdr>
    </w:div>
    <w:div w:id="807673507">
      <w:bodyDiv w:val="1"/>
      <w:marLeft w:val="0"/>
      <w:marRight w:val="0"/>
      <w:marTop w:val="0"/>
      <w:marBottom w:val="0"/>
      <w:divBdr>
        <w:top w:val="none" w:sz="0" w:space="0" w:color="auto"/>
        <w:left w:val="none" w:sz="0" w:space="0" w:color="auto"/>
        <w:bottom w:val="none" w:sz="0" w:space="0" w:color="auto"/>
        <w:right w:val="none" w:sz="0" w:space="0" w:color="auto"/>
      </w:divBdr>
    </w:div>
    <w:div w:id="809202874">
      <w:bodyDiv w:val="1"/>
      <w:marLeft w:val="0"/>
      <w:marRight w:val="0"/>
      <w:marTop w:val="0"/>
      <w:marBottom w:val="0"/>
      <w:divBdr>
        <w:top w:val="none" w:sz="0" w:space="0" w:color="auto"/>
        <w:left w:val="none" w:sz="0" w:space="0" w:color="auto"/>
        <w:bottom w:val="none" w:sz="0" w:space="0" w:color="auto"/>
        <w:right w:val="none" w:sz="0" w:space="0" w:color="auto"/>
      </w:divBdr>
    </w:div>
    <w:div w:id="836385464">
      <w:bodyDiv w:val="1"/>
      <w:marLeft w:val="0"/>
      <w:marRight w:val="0"/>
      <w:marTop w:val="0"/>
      <w:marBottom w:val="0"/>
      <w:divBdr>
        <w:top w:val="none" w:sz="0" w:space="0" w:color="auto"/>
        <w:left w:val="none" w:sz="0" w:space="0" w:color="auto"/>
        <w:bottom w:val="none" w:sz="0" w:space="0" w:color="auto"/>
        <w:right w:val="none" w:sz="0" w:space="0" w:color="auto"/>
      </w:divBdr>
    </w:div>
    <w:div w:id="843932792">
      <w:bodyDiv w:val="1"/>
      <w:marLeft w:val="0"/>
      <w:marRight w:val="0"/>
      <w:marTop w:val="0"/>
      <w:marBottom w:val="0"/>
      <w:divBdr>
        <w:top w:val="none" w:sz="0" w:space="0" w:color="auto"/>
        <w:left w:val="none" w:sz="0" w:space="0" w:color="auto"/>
        <w:bottom w:val="none" w:sz="0" w:space="0" w:color="auto"/>
        <w:right w:val="none" w:sz="0" w:space="0" w:color="auto"/>
      </w:divBdr>
    </w:div>
    <w:div w:id="867913071">
      <w:bodyDiv w:val="1"/>
      <w:marLeft w:val="0"/>
      <w:marRight w:val="0"/>
      <w:marTop w:val="0"/>
      <w:marBottom w:val="0"/>
      <w:divBdr>
        <w:top w:val="none" w:sz="0" w:space="0" w:color="auto"/>
        <w:left w:val="none" w:sz="0" w:space="0" w:color="auto"/>
        <w:bottom w:val="none" w:sz="0" w:space="0" w:color="auto"/>
        <w:right w:val="none" w:sz="0" w:space="0" w:color="auto"/>
      </w:divBdr>
    </w:div>
    <w:div w:id="879971775">
      <w:bodyDiv w:val="1"/>
      <w:marLeft w:val="0"/>
      <w:marRight w:val="0"/>
      <w:marTop w:val="0"/>
      <w:marBottom w:val="0"/>
      <w:divBdr>
        <w:top w:val="none" w:sz="0" w:space="0" w:color="auto"/>
        <w:left w:val="none" w:sz="0" w:space="0" w:color="auto"/>
        <w:bottom w:val="none" w:sz="0" w:space="0" w:color="auto"/>
        <w:right w:val="none" w:sz="0" w:space="0" w:color="auto"/>
      </w:divBdr>
    </w:div>
    <w:div w:id="889800960">
      <w:bodyDiv w:val="1"/>
      <w:marLeft w:val="0"/>
      <w:marRight w:val="0"/>
      <w:marTop w:val="0"/>
      <w:marBottom w:val="0"/>
      <w:divBdr>
        <w:top w:val="none" w:sz="0" w:space="0" w:color="auto"/>
        <w:left w:val="none" w:sz="0" w:space="0" w:color="auto"/>
        <w:bottom w:val="none" w:sz="0" w:space="0" w:color="auto"/>
        <w:right w:val="none" w:sz="0" w:space="0" w:color="auto"/>
      </w:divBdr>
    </w:div>
    <w:div w:id="902906350">
      <w:bodyDiv w:val="1"/>
      <w:marLeft w:val="0"/>
      <w:marRight w:val="0"/>
      <w:marTop w:val="0"/>
      <w:marBottom w:val="0"/>
      <w:divBdr>
        <w:top w:val="none" w:sz="0" w:space="0" w:color="auto"/>
        <w:left w:val="none" w:sz="0" w:space="0" w:color="auto"/>
        <w:bottom w:val="none" w:sz="0" w:space="0" w:color="auto"/>
        <w:right w:val="none" w:sz="0" w:space="0" w:color="auto"/>
      </w:divBdr>
    </w:div>
    <w:div w:id="904069832">
      <w:bodyDiv w:val="1"/>
      <w:marLeft w:val="0"/>
      <w:marRight w:val="0"/>
      <w:marTop w:val="0"/>
      <w:marBottom w:val="0"/>
      <w:divBdr>
        <w:top w:val="none" w:sz="0" w:space="0" w:color="auto"/>
        <w:left w:val="none" w:sz="0" w:space="0" w:color="auto"/>
        <w:bottom w:val="none" w:sz="0" w:space="0" w:color="auto"/>
        <w:right w:val="none" w:sz="0" w:space="0" w:color="auto"/>
      </w:divBdr>
    </w:div>
    <w:div w:id="913010149">
      <w:bodyDiv w:val="1"/>
      <w:marLeft w:val="0"/>
      <w:marRight w:val="0"/>
      <w:marTop w:val="0"/>
      <w:marBottom w:val="0"/>
      <w:divBdr>
        <w:top w:val="none" w:sz="0" w:space="0" w:color="auto"/>
        <w:left w:val="none" w:sz="0" w:space="0" w:color="auto"/>
        <w:bottom w:val="none" w:sz="0" w:space="0" w:color="auto"/>
        <w:right w:val="none" w:sz="0" w:space="0" w:color="auto"/>
      </w:divBdr>
    </w:div>
    <w:div w:id="928585458">
      <w:bodyDiv w:val="1"/>
      <w:marLeft w:val="0"/>
      <w:marRight w:val="0"/>
      <w:marTop w:val="0"/>
      <w:marBottom w:val="0"/>
      <w:divBdr>
        <w:top w:val="none" w:sz="0" w:space="0" w:color="auto"/>
        <w:left w:val="none" w:sz="0" w:space="0" w:color="auto"/>
        <w:bottom w:val="none" w:sz="0" w:space="0" w:color="auto"/>
        <w:right w:val="none" w:sz="0" w:space="0" w:color="auto"/>
      </w:divBdr>
    </w:div>
    <w:div w:id="936982149">
      <w:bodyDiv w:val="1"/>
      <w:marLeft w:val="0"/>
      <w:marRight w:val="0"/>
      <w:marTop w:val="0"/>
      <w:marBottom w:val="0"/>
      <w:divBdr>
        <w:top w:val="none" w:sz="0" w:space="0" w:color="auto"/>
        <w:left w:val="none" w:sz="0" w:space="0" w:color="auto"/>
        <w:bottom w:val="none" w:sz="0" w:space="0" w:color="auto"/>
        <w:right w:val="none" w:sz="0" w:space="0" w:color="auto"/>
      </w:divBdr>
    </w:div>
    <w:div w:id="937523962">
      <w:bodyDiv w:val="1"/>
      <w:marLeft w:val="0"/>
      <w:marRight w:val="0"/>
      <w:marTop w:val="0"/>
      <w:marBottom w:val="0"/>
      <w:divBdr>
        <w:top w:val="none" w:sz="0" w:space="0" w:color="auto"/>
        <w:left w:val="none" w:sz="0" w:space="0" w:color="auto"/>
        <w:bottom w:val="none" w:sz="0" w:space="0" w:color="auto"/>
        <w:right w:val="none" w:sz="0" w:space="0" w:color="auto"/>
      </w:divBdr>
    </w:div>
    <w:div w:id="948660941">
      <w:bodyDiv w:val="1"/>
      <w:marLeft w:val="0"/>
      <w:marRight w:val="0"/>
      <w:marTop w:val="0"/>
      <w:marBottom w:val="0"/>
      <w:divBdr>
        <w:top w:val="none" w:sz="0" w:space="0" w:color="auto"/>
        <w:left w:val="none" w:sz="0" w:space="0" w:color="auto"/>
        <w:bottom w:val="none" w:sz="0" w:space="0" w:color="auto"/>
        <w:right w:val="none" w:sz="0" w:space="0" w:color="auto"/>
      </w:divBdr>
    </w:div>
    <w:div w:id="954753882">
      <w:bodyDiv w:val="1"/>
      <w:marLeft w:val="0"/>
      <w:marRight w:val="0"/>
      <w:marTop w:val="0"/>
      <w:marBottom w:val="0"/>
      <w:divBdr>
        <w:top w:val="none" w:sz="0" w:space="0" w:color="auto"/>
        <w:left w:val="none" w:sz="0" w:space="0" w:color="auto"/>
        <w:bottom w:val="none" w:sz="0" w:space="0" w:color="auto"/>
        <w:right w:val="none" w:sz="0" w:space="0" w:color="auto"/>
      </w:divBdr>
    </w:div>
    <w:div w:id="963852834">
      <w:bodyDiv w:val="1"/>
      <w:marLeft w:val="0"/>
      <w:marRight w:val="0"/>
      <w:marTop w:val="0"/>
      <w:marBottom w:val="0"/>
      <w:divBdr>
        <w:top w:val="none" w:sz="0" w:space="0" w:color="auto"/>
        <w:left w:val="none" w:sz="0" w:space="0" w:color="auto"/>
        <w:bottom w:val="none" w:sz="0" w:space="0" w:color="auto"/>
        <w:right w:val="none" w:sz="0" w:space="0" w:color="auto"/>
      </w:divBdr>
    </w:div>
    <w:div w:id="964576710">
      <w:bodyDiv w:val="1"/>
      <w:marLeft w:val="0"/>
      <w:marRight w:val="0"/>
      <w:marTop w:val="0"/>
      <w:marBottom w:val="0"/>
      <w:divBdr>
        <w:top w:val="none" w:sz="0" w:space="0" w:color="auto"/>
        <w:left w:val="none" w:sz="0" w:space="0" w:color="auto"/>
        <w:bottom w:val="none" w:sz="0" w:space="0" w:color="auto"/>
        <w:right w:val="none" w:sz="0" w:space="0" w:color="auto"/>
      </w:divBdr>
    </w:div>
    <w:div w:id="968782153">
      <w:bodyDiv w:val="1"/>
      <w:marLeft w:val="0"/>
      <w:marRight w:val="0"/>
      <w:marTop w:val="0"/>
      <w:marBottom w:val="0"/>
      <w:divBdr>
        <w:top w:val="none" w:sz="0" w:space="0" w:color="auto"/>
        <w:left w:val="none" w:sz="0" w:space="0" w:color="auto"/>
        <w:bottom w:val="none" w:sz="0" w:space="0" w:color="auto"/>
        <w:right w:val="none" w:sz="0" w:space="0" w:color="auto"/>
      </w:divBdr>
    </w:div>
    <w:div w:id="982738818">
      <w:bodyDiv w:val="1"/>
      <w:marLeft w:val="0"/>
      <w:marRight w:val="0"/>
      <w:marTop w:val="0"/>
      <w:marBottom w:val="0"/>
      <w:divBdr>
        <w:top w:val="none" w:sz="0" w:space="0" w:color="auto"/>
        <w:left w:val="none" w:sz="0" w:space="0" w:color="auto"/>
        <w:bottom w:val="none" w:sz="0" w:space="0" w:color="auto"/>
        <w:right w:val="none" w:sz="0" w:space="0" w:color="auto"/>
      </w:divBdr>
    </w:div>
    <w:div w:id="997613600">
      <w:bodyDiv w:val="1"/>
      <w:marLeft w:val="0"/>
      <w:marRight w:val="0"/>
      <w:marTop w:val="0"/>
      <w:marBottom w:val="0"/>
      <w:divBdr>
        <w:top w:val="none" w:sz="0" w:space="0" w:color="auto"/>
        <w:left w:val="none" w:sz="0" w:space="0" w:color="auto"/>
        <w:bottom w:val="none" w:sz="0" w:space="0" w:color="auto"/>
        <w:right w:val="none" w:sz="0" w:space="0" w:color="auto"/>
      </w:divBdr>
    </w:div>
    <w:div w:id="1002128530">
      <w:bodyDiv w:val="1"/>
      <w:marLeft w:val="0"/>
      <w:marRight w:val="0"/>
      <w:marTop w:val="0"/>
      <w:marBottom w:val="0"/>
      <w:divBdr>
        <w:top w:val="none" w:sz="0" w:space="0" w:color="auto"/>
        <w:left w:val="none" w:sz="0" w:space="0" w:color="auto"/>
        <w:bottom w:val="none" w:sz="0" w:space="0" w:color="auto"/>
        <w:right w:val="none" w:sz="0" w:space="0" w:color="auto"/>
      </w:divBdr>
    </w:div>
    <w:div w:id="1039743354">
      <w:bodyDiv w:val="1"/>
      <w:marLeft w:val="0"/>
      <w:marRight w:val="0"/>
      <w:marTop w:val="0"/>
      <w:marBottom w:val="0"/>
      <w:divBdr>
        <w:top w:val="none" w:sz="0" w:space="0" w:color="auto"/>
        <w:left w:val="none" w:sz="0" w:space="0" w:color="auto"/>
        <w:bottom w:val="none" w:sz="0" w:space="0" w:color="auto"/>
        <w:right w:val="none" w:sz="0" w:space="0" w:color="auto"/>
      </w:divBdr>
    </w:div>
    <w:div w:id="1047142004">
      <w:bodyDiv w:val="1"/>
      <w:marLeft w:val="0"/>
      <w:marRight w:val="0"/>
      <w:marTop w:val="0"/>
      <w:marBottom w:val="0"/>
      <w:divBdr>
        <w:top w:val="none" w:sz="0" w:space="0" w:color="auto"/>
        <w:left w:val="none" w:sz="0" w:space="0" w:color="auto"/>
        <w:bottom w:val="none" w:sz="0" w:space="0" w:color="auto"/>
        <w:right w:val="none" w:sz="0" w:space="0" w:color="auto"/>
      </w:divBdr>
    </w:div>
    <w:div w:id="1051223532">
      <w:bodyDiv w:val="1"/>
      <w:marLeft w:val="0"/>
      <w:marRight w:val="0"/>
      <w:marTop w:val="0"/>
      <w:marBottom w:val="0"/>
      <w:divBdr>
        <w:top w:val="none" w:sz="0" w:space="0" w:color="auto"/>
        <w:left w:val="none" w:sz="0" w:space="0" w:color="auto"/>
        <w:bottom w:val="none" w:sz="0" w:space="0" w:color="auto"/>
        <w:right w:val="none" w:sz="0" w:space="0" w:color="auto"/>
      </w:divBdr>
    </w:div>
    <w:div w:id="1055353622">
      <w:bodyDiv w:val="1"/>
      <w:marLeft w:val="0"/>
      <w:marRight w:val="0"/>
      <w:marTop w:val="0"/>
      <w:marBottom w:val="0"/>
      <w:divBdr>
        <w:top w:val="none" w:sz="0" w:space="0" w:color="auto"/>
        <w:left w:val="none" w:sz="0" w:space="0" w:color="auto"/>
        <w:bottom w:val="none" w:sz="0" w:space="0" w:color="auto"/>
        <w:right w:val="none" w:sz="0" w:space="0" w:color="auto"/>
      </w:divBdr>
    </w:div>
    <w:div w:id="1080981984">
      <w:bodyDiv w:val="1"/>
      <w:marLeft w:val="0"/>
      <w:marRight w:val="0"/>
      <w:marTop w:val="0"/>
      <w:marBottom w:val="0"/>
      <w:divBdr>
        <w:top w:val="none" w:sz="0" w:space="0" w:color="auto"/>
        <w:left w:val="none" w:sz="0" w:space="0" w:color="auto"/>
        <w:bottom w:val="none" w:sz="0" w:space="0" w:color="auto"/>
        <w:right w:val="none" w:sz="0" w:space="0" w:color="auto"/>
      </w:divBdr>
    </w:div>
    <w:div w:id="1104228642">
      <w:bodyDiv w:val="1"/>
      <w:marLeft w:val="0"/>
      <w:marRight w:val="0"/>
      <w:marTop w:val="0"/>
      <w:marBottom w:val="0"/>
      <w:divBdr>
        <w:top w:val="none" w:sz="0" w:space="0" w:color="auto"/>
        <w:left w:val="none" w:sz="0" w:space="0" w:color="auto"/>
        <w:bottom w:val="none" w:sz="0" w:space="0" w:color="auto"/>
        <w:right w:val="none" w:sz="0" w:space="0" w:color="auto"/>
      </w:divBdr>
    </w:div>
    <w:div w:id="1111558840">
      <w:bodyDiv w:val="1"/>
      <w:marLeft w:val="0"/>
      <w:marRight w:val="0"/>
      <w:marTop w:val="0"/>
      <w:marBottom w:val="0"/>
      <w:divBdr>
        <w:top w:val="none" w:sz="0" w:space="0" w:color="auto"/>
        <w:left w:val="none" w:sz="0" w:space="0" w:color="auto"/>
        <w:bottom w:val="none" w:sz="0" w:space="0" w:color="auto"/>
        <w:right w:val="none" w:sz="0" w:space="0" w:color="auto"/>
      </w:divBdr>
    </w:div>
    <w:div w:id="1132748421">
      <w:bodyDiv w:val="1"/>
      <w:marLeft w:val="0"/>
      <w:marRight w:val="0"/>
      <w:marTop w:val="0"/>
      <w:marBottom w:val="0"/>
      <w:divBdr>
        <w:top w:val="none" w:sz="0" w:space="0" w:color="auto"/>
        <w:left w:val="none" w:sz="0" w:space="0" w:color="auto"/>
        <w:bottom w:val="none" w:sz="0" w:space="0" w:color="auto"/>
        <w:right w:val="none" w:sz="0" w:space="0" w:color="auto"/>
      </w:divBdr>
    </w:div>
    <w:div w:id="1139423214">
      <w:bodyDiv w:val="1"/>
      <w:marLeft w:val="0"/>
      <w:marRight w:val="0"/>
      <w:marTop w:val="0"/>
      <w:marBottom w:val="0"/>
      <w:divBdr>
        <w:top w:val="none" w:sz="0" w:space="0" w:color="auto"/>
        <w:left w:val="none" w:sz="0" w:space="0" w:color="auto"/>
        <w:bottom w:val="none" w:sz="0" w:space="0" w:color="auto"/>
        <w:right w:val="none" w:sz="0" w:space="0" w:color="auto"/>
      </w:divBdr>
    </w:div>
    <w:div w:id="1153449068">
      <w:bodyDiv w:val="1"/>
      <w:marLeft w:val="0"/>
      <w:marRight w:val="0"/>
      <w:marTop w:val="0"/>
      <w:marBottom w:val="0"/>
      <w:divBdr>
        <w:top w:val="none" w:sz="0" w:space="0" w:color="auto"/>
        <w:left w:val="none" w:sz="0" w:space="0" w:color="auto"/>
        <w:bottom w:val="none" w:sz="0" w:space="0" w:color="auto"/>
        <w:right w:val="none" w:sz="0" w:space="0" w:color="auto"/>
      </w:divBdr>
    </w:div>
    <w:div w:id="1155805484">
      <w:bodyDiv w:val="1"/>
      <w:marLeft w:val="0"/>
      <w:marRight w:val="0"/>
      <w:marTop w:val="0"/>
      <w:marBottom w:val="0"/>
      <w:divBdr>
        <w:top w:val="none" w:sz="0" w:space="0" w:color="auto"/>
        <w:left w:val="none" w:sz="0" w:space="0" w:color="auto"/>
        <w:bottom w:val="none" w:sz="0" w:space="0" w:color="auto"/>
        <w:right w:val="none" w:sz="0" w:space="0" w:color="auto"/>
      </w:divBdr>
    </w:div>
    <w:div w:id="1167403786">
      <w:bodyDiv w:val="1"/>
      <w:marLeft w:val="0"/>
      <w:marRight w:val="0"/>
      <w:marTop w:val="0"/>
      <w:marBottom w:val="0"/>
      <w:divBdr>
        <w:top w:val="none" w:sz="0" w:space="0" w:color="auto"/>
        <w:left w:val="none" w:sz="0" w:space="0" w:color="auto"/>
        <w:bottom w:val="none" w:sz="0" w:space="0" w:color="auto"/>
        <w:right w:val="none" w:sz="0" w:space="0" w:color="auto"/>
      </w:divBdr>
    </w:div>
    <w:div w:id="1167674121">
      <w:bodyDiv w:val="1"/>
      <w:marLeft w:val="0"/>
      <w:marRight w:val="0"/>
      <w:marTop w:val="0"/>
      <w:marBottom w:val="0"/>
      <w:divBdr>
        <w:top w:val="none" w:sz="0" w:space="0" w:color="auto"/>
        <w:left w:val="none" w:sz="0" w:space="0" w:color="auto"/>
        <w:bottom w:val="none" w:sz="0" w:space="0" w:color="auto"/>
        <w:right w:val="none" w:sz="0" w:space="0" w:color="auto"/>
      </w:divBdr>
      <w:divsChild>
        <w:div w:id="1101876161">
          <w:marLeft w:val="0"/>
          <w:marRight w:val="0"/>
          <w:marTop w:val="0"/>
          <w:marBottom w:val="0"/>
          <w:divBdr>
            <w:top w:val="none" w:sz="0" w:space="0" w:color="auto"/>
            <w:left w:val="none" w:sz="0" w:space="0" w:color="auto"/>
            <w:bottom w:val="none" w:sz="0" w:space="0" w:color="auto"/>
            <w:right w:val="none" w:sz="0" w:space="0" w:color="auto"/>
          </w:divBdr>
          <w:divsChild>
            <w:div w:id="1837575432">
              <w:marLeft w:val="0"/>
              <w:marRight w:val="0"/>
              <w:marTop w:val="0"/>
              <w:marBottom w:val="0"/>
              <w:divBdr>
                <w:top w:val="none" w:sz="0" w:space="0" w:color="auto"/>
                <w:left w:val="none" w:sz="0" w:space="0" w:color="auto"/>
                <w:bottom w:val="none" w:sz="0" w:space="0" w:color="auto"/>
                <w:right w:val="none" w:sz="0" w:space="0" w:color="auto"/>
              </w:divBdr>
              <w:divsChild>
                <w:div w:id="293104160">
                  <w:marLeft w:val="0"/>
                  <w:marRight w:val="0"/>
                  <w:marTop w:val="0"/>
                  <w:marBottom w:val="0"/>
                  <w:divBdr>
                    <w:top w:val="none" w:sz="0" w:space="0" w:color="auto"/>
                    <w:left w:val="none" w:sz="0" w:space="0" w:color="auto"/>
                    <w:bottom w:val="none" w:sz="0" w:space="0" w:color="auto"/>
                    <w:right w:val="none" w:sz="0" w:space="0" w:color="auto"/>
                  </w:divBdr>
                  <w:divsChild>
                    <w:div w:id="1104765742">
                      <w:marLeft w:val="0"/>
                      <w:marRight w:val="0"/>
                      <w:marTop w:val="0"/>
                      <w:marBottom w:val="0"/>
                      <w:divBdr>
                        <w:top w:val="none" w:sz="0" w:space="0" w:color="auto"/>
                        <w:left w:val="none" w:sz="0" w:space="0" w:color="auto"/>
                        <w:bottom w:val="none" w:sz="0" w:space="0" w:color="auto"/>
                        <w:right w:val="none" w:sz="0" w:space="0" w:color="auto"/>
                      </w:divBdr>
                      <w:divsChild>
                        <w:div w:id="152062646">
                          <w:marLeft w:val="0"/>
                          <w:marRight w:val="0"/>
                          <w:marTop w:val="0"/>
                          <w:marBottom w:val="0"/>
                          <w:divBdr>
                            <w:top w:val="none" w:sz="0" w:space="0" w:color="auto"/>
                            <w:left w:val="none" w:sz="0" w:space="0" w:color="auto"/>
                            <w:bottom w:val="none" w:sz="0" w:space="0" w:color="auto"/>
                            <w:right w:val="none" w:sz="0" w:space="0" w:color="auto"/>
                          </w:divBdr>
                          <w:divsChild>
                            <w:div w:id="2112044350">
                              <w:marLeft w:val="0"/>
                              <w:marRight w:val="0"/>
                              <w:marTop w:val="0"/>
                              <w:marBottom w:val="0"/>
                              <w:divBdr>
                                <w:top w:val="none" w:sz="0" w:space="0" w:color="auto"/>
                                <w:left w:val="none" w:sz="0" w:space="0" w:color="auto"/>
                                <w:bottom w:val="none" w:sz="0" w:space="0" w:color="auto"/>
                                <w:right w:val="none" w:sz="0" w:space="0" w:color="auto"/>
                              </w:divBdr>
                              <w:divsChild>
                                <w:div w:id="266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4424">
                          <w:marLeft w:val="0"/>
                          <w:marRight w:val="0"/>
                          <w:marTop w:val="0"/>
                          <w:marBottom w:val="0"/>
                          <w:divBdr>
                            <w:top w:val="none" w:sz="0" w:space="0" w:color="auto"/>
                            <w:left w:val="none" w:sz="0" w:space="0" w:color="auto"/>
                            <w:bottom w:val="none" w:sz="0" w:space="0" w:color="auto"/>
                            <w:right w:val="none" w:sz="0" w:space="0" w:color="auto"/>
                          </w:divBdr>
                          <w:divsChild>
                            <w:div w:id="511408971">
                              <w:marLeft w:val="0"/>
                              <w:marRight w:val="0"/>
                              <w:marTop w:val="0"/>
                              <w:marBottom w:val="0"/>
                              <w:divBdr>
                                <w:top w:val="none" w:sz="0" w:space="0" w:color="auto"/>
                                <w:left w:val="none" w:sz="0" w:space="0" w:color="auto"/>
                                <w:bottom w:val="none" w:sz="0" w:space="0" w:color="auto"/>
                                <w:right w:val="none" w:sz="0" w:space="0" w:color="auto"/>
                              </w:divBdr>
                              <w:divsChild>
                                <w:div w:id="1150168068">
                                  <w:marLeft w:val="0"/>
                                  <w:marRight w:val="0"/>
                                  <w:marTop w:val="0"/>
                                  <w:marBottom w:val="0"/>
                                  <w:divBdr>
                                    <w:top w:val="none" w:sz="0" w:space="0" w:color="auto"/>
                                    <w:left w:val="none" w:sz="0" w:space="0" w:color="auto"/>
                                    <w:bottom w:val="none" w:sz="0" w:space="0" w:color="auto"/>
                                    <w:right w:val="none" w:sz="0" w:space="0" w:color="auto"/>
                                  </w:divBdr>
                                  <w:divsChild>
                                    <w:div w:id="11423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108130">
              <w:marLeft w:val="0"/>
              <w:marRight w:val="0"/>
              <w:marTop w:val="0"/>
              <w:marBottom w:val="0"/>
              <w:divBdr>
                <w:top w:val="none" w:sz="0" w:space="0" w:color="auto"/>
                <w:left w:val="none" w:sz="0" w:space="0" w:color="auto"/>
                <w:bottom w:val="none" w:sz="0" w:space="0" w:color="auto"/>
                <w:right w:val="none" w:sz="0" w:space="0" w:color="auto"/>
              </w:divBdr>
              <w:divsChild>
                <w:div w:id="1517190025">
                  <w:marLeft w:val="0"/>
                  <w:marRight w:val="0"/>
                  <w:marTop w:val="0"/>
                  <w:marBottom w:val="0"/>
                  <w:divBdr>
                    <w:top w:val="none" w:sz="0" w:space="0" w:color="auto"/>
                    <w:left w:val="none" w:sz="0" w:space="0" w:color="auto"/>
                    <w:bottom w:val="none" w:sz="0" w:space="0" w:color="auto"/>
                    <w:right w:val="none" w:sz="0" w:space="0" w:color="auto"/>
                  </w:divBdr>
                  <w:divsChild>
                    <w:div w:id="5024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4305">
      <w:bodyDiv w:val="1"/>
      <w:marLeft w:val="0"/>
      <w:marRight w:val="0"/>
      <w:marTop w:val="0"/>
      <w:marBottom w:val="0"/>
      <w:divBdr>
        <w:top w:val="none" w:sz="0" w:space="0" w:color="auto"/>
        <w:left w:val="none" w:sz="0" w:space="0" w:color="auto"/>
        <w:bottom w:val="none" w:sz="0" w:space="0" w:color="auto"/>
        <w:right w:val="none" w:sz="0" w:space="0" w:color="auto"/>
      </w:divBdr>
    </w:div>
    <w:div w:id="1212766994">
      <w:bodyDiv w:val="1"/>
      <w:marLeft w:val="0"/>
      <w:marRight w:val="0"/>
      <w:marTop w:val="0"/>
      <w:marBottom w:val="0"/>
      <w:divBdr>
        <w:top w:val="none" w:sz="0" w:space="0" w:color="auto"/>
        <w:left w:val="none" w:sz="0" w:space="0" w:color="auto"/>
        <w:bottom w:val="none" w:sz="0" w:space="0" w:color="auto"/>
        <w:right w:val="none" w:sz="0" w:space="0" w:color="auto"/>
      </w:divBdr>
    </w:div>
    <w:div w:id="1228951353">
      <w:bodyDiv w:val="1"/>
      <w:marLeft w:val="0"/>
      <w:marRight w:val="0"/>
      <w:marTop w:val="0"/>
      <w:marBottom w:val="0"/>
      <w:divBdr>
        <w:top w:val="none" w:sz="0" w:space="0" w:color="auto"/>
        <w:left w:val="none" w:sz="0" w:space="0" w:color="auto"/>
        <w:bottom w:val="none" w:sz="0" w:space="0" w:color="auto"/>
        <w:right w:val="none" w:sz="0" w:space="0" w:color="auto"/>
      </w:divBdr>
    </w:div>
    <w:div w:id="1232274910">
      <w:bodyDiv w:val="1"/>
      <w:marLeft w:val="0"/>
      <w:marRight w:val="0"/>
      <w:marTop w:val="0"/>
      <w:marBottom w:val="0"/>
      <w:divBdr>
        <w:top w:val="none" w:sz="0" w:space="0" w:color="auto"/>
        <w:left w:val="none" w:sz="0" w:space="0" w:color="auto"/>
        <w:bottom w:val="none" w:sz="0" w:space="0" w:color="auto"/>
        <w:right w:val="none" w:sz="0" w:space="0" w:color="auto"/>
      </w:divBdr>
    </w:div>
    <w:div w:id="1232691032">
      <w:bodyDiv w:val="1"/>
      <w:marLeft w:val="0"/>
      <w:marRight w:val="0"/>
      <w:marTop w:val="0"/>
      <w:marBottom w:val="0"/>
      <w:divBdr>
        <w:top w:val="none" w:sz="0" w:space="0" w:color="auto"/>
        <w:left w:val="none" w:sz="0" w:space="0" w:color="auto"/>
        <w:bottom w:val="none" w:sz="0" w:space="0" w:color="auto"/>
        <w:right w:val="none" w:sz="0" w:space="0" w:color="auto"/>
      </w:divBdr>
    </w:div>
    <w:div w:id="1242643152">
      <w:bodyDiv w:val="1"/>
      <w:marLeft w:val="0"/>
      <w:marRight w:val="0"/>
      <w:marTop w:val="0"/>
      <w:marBottom w:val="0"/>
      <w:divBdr>
        <w:top w:val="none" w:sz="0" w:space="0" w:color="auto"/>
        <w:left w:val="none" w:sz="0" w:space="0" w:color="auto"/>
        <w:bottom w:val="none" w:sz="0" w:space="0" w:color="auto"/>
        <w:right w:val="none" w:sz="0" w:space="0" w:color="auto"/>
      </w:divBdr>
    </w:div>
    <w:div w:id="1265113384">
      <w:bodyDiv w:val="1"/>
      <w:marLeft w:val="0"/>
      <w:marRight w:val="0"/>
      <w:marTop w:val="0"/>
      <w:marBottom w:val="0"/>
      <w:divBdr>
        <w:top w:val="none" w:sz="0" w:space="0" w:color="auto"/>
        <w:left w:val="none" w:sz="0" w:space="0" w:color="auto"/>
        <w:bottom w:val="none" w:sz="0" w:space="0" w:color="auto"/>
        <w:right w:val="none" w:sz="0" w:space="0" w:color="auto"/>
      </w:divBdr>
    </w:div>
    <w:div w:id="1265648197">
      <w:bodyDiv w:val="1"/>
      <w:marLeft w:val="0"/>
      <w:marRight w:val="0"/>
      <w:marTop w:val="0"/>
      <w:marBottom w:val="0"/>
      <w:divBdr>
        <w:top w:val="none" w:sz="0" w:space="0" w:color="auto"/>
        <w:left w:val="none" w:sz="0" w:space="0" w:color="auto"/>
        <w:bottom w:val="none" w:sz="0" w:space="0" w:color="auto"/>
        <w:right w:val="none" w:sz="0" w:space="0" w:color="auto"/>
      </w:divBdr>
    </w:div>
    <w:div w:id="1283003779">
      <w:bodyDiv w:val="1"/>
      <w:marLeft w:val="0"/>
      <w:marRight w:val="0"/>
      <w:marTop w:val="0"/>
      <w:marBottom w:val="0"/>
      <w:divBdr>
        <w:top w:val="none" w:sz="0" w:space="0" w:color="auto"/>
        <w:left w:val="none" w:sz="0" w:space="0" w:color="auto"/>
        <w:bottom w:val="none" w:sz="0" w:space="0" w:color="auto"/>
        <w:right w:val="none" w:sz="0" w:space="0" w:color="auto"/>
      </w:divBdr>
    </w:div>
    <w:div w:id="1289629885">
      <w:bodyDiv w:val="1"/>
      <w:marLeft w:val="0"/>
      <w:marRight w:val="0"/>
      <w:marTop w:val="0"/>
      <w:marBottom w:val="0"/>
      <w:divBdr>
        <w:top w:val="none" w:sz="0" w:space="0" w:color="auto"/>
        <w:left w:val="none" w:sz="0" w:space="0" w:color="auto"/>
        <w:bottom w:val="none" w:sz="0" w:space="0" w:color="auto"/>
        <w:right w:val="none" w:sz="0" w:space="0" w:color="auto"/>
      </w:divBdr>
    </w:div>
    <w:div w:id="1323508044">
      <w:bodyDiv w:val="1"/>
      <w:marLeft w:val="0"/>
      <w:marRight w:val="0"/>
      <w:marTop w:val="0"/>
      <w:marBottom w:val="0"/>
      <w:divBdr>
        <w:top w:val="none" w:sz="0" w:space="0" w:color="auto"/>
        <w:left w:val="none" w:sz="0" w:space="0" w:color="auto"/>
        <w:bottom w:val="none" w:sz="0" w:space="0" w:color="auto"/>
        <w:right w:val="none" w:sz="0" w:space="0" w:color="auto"/>
      </w:divBdr>
    </w:div>
    <w:div w:id="1348362805">
      <w:bodyDiv w:val="1"/>
      <w:marLeft w:val="0"/>
      <w:marRight w:val="0"/>
      <w:marTop w:val="0"/>
      <w:marBottom w:val="0"/>
      <w:divBdr>
        <w:top w:val="none" w:sz="0" w:space="0" w:color="auto"/>
        <w:left w:val="none" w:sz="0" w:space="0" w:color="auto"/>
        <w:bottom w:val="none" w:sz="0" w:space="0" w:color="auto"/>
        <w:right w:val="none" w:sz="0" w:space="0" w:color="auto"/>
      </w:divBdr>
    </w:div>
    <w:div w:id="1368486947">
      <w:bodyDiv w:val="1"/>
      <w:marLeft w:val="0"/>
      <w:marRight w:val="0"/>
      <w:marTop w:val="0"/>
      <w:marBottom w:val="0"/>
      <w:divBdr>
        <w:top w:val="none" w:sz="0" w:space="0" w:color="auto"/>
        <w:left w:val="none" w:sz="0" w:space="0" w:color="auto"/>
        <w:bottom w:val="none" w:sz="0" w:space="0" w:color="auto"/>
        <w:right w:val="none" w:sz="0" w:space="0" w:color="auto"/>
      </w:divBdr>
    </w:div>
    <w:div w:id="1379354352">
      <w:bodyDiv w:val="1"/>
      <w:marLeft w:val="0"/>
      <w:marRight w:val="0"/>
      <w:marTop w:val="0"/>
      <w:marBottom w:val="0"/>
      <w:divBdr>
        <w:top w:val="none" w:sz="0" w:space="0" w:color="auto"/>
        <w:left w:val="none" w:sz="0" w:space="0" w:color="auto"/>
        <w:bottom w:val="none" w:sz="0" w:space="0" w:color="auto"/>
        <w:right w:val="none" w:sz="0" w:space="0" w:color="auto"/>
      </w:divBdr>
    </w:div>
    <w:div w:id="1387215492">
      <w:bodyDiv w:val="1"/>
      <w:marLeft w:val="0"/>
      <w:marRight w:val="0"/>
      <w:marTop w:val="0"/>
      <w:marBottom w:val="0"/>
      <w:divBdr>
        <w:top w:val="none" w:sz="0" w:space="0" w:color="auto"/>
        <w:left w:val="none" w:sz="0" w:space="0" w:color="auto"/>
        <w:bottom w:val="none" w:sz="0" w:space="0" w:color="auto"/>
        <w:right w:val="none" w:sz="0" w:space="0" w:color="auto"/>
      </w:divBdr>
    </w:div>
    <w:div w:id="1443182547">
      <w:bodyDiv w:val="1"/>
      <w:marLeft w:val="0"/>
      <w:marRight w:val="0"/>
      <w:marTop w:val="0"/>
      <w:marBottom w:val="0"/>
      <w:divBdr>
        <w:top w:val="none" w:sz="0" w:space="0" w:color="auto"/>
        <w:left w:val="none" w:sz="0" w:space="0" w:color="auto"/>
        <w:bottom w:val="none" w:sz="0" w:space="0" w:color="auto"/>
        <w:right w:val="none" w:sz="0" w:space="0" w:color="auto"/>
      </w:divBdr>
    </w:div>
    <w:div w:id="1443839939">
      <w:bodyDiv w:val="1"/>
      <w:marLeft w:val="0"/>
      <w:marRight w:val="0"/>
      <w:marTop w:val="0"/>
      <w:marBottom w:val="0"/>
      <w:divBdr>
        <w:top w:val="none" w:sz="0" w:space="0" w:color="auto"/>
        <w:left w:val="none" w:sz="0" w:space="0" w:color="auto"/>
        <w:bottom w:val="none" w:sz="0" w:space="0" w:color="auto"/>
        <w:right w:val="none" w:sz="0" w:space="0" w:color="auto"/>
      </w:divBdr>
    </w:div>
    <w:div w:id="1446193463">
      <w:bodyDiv w:val="1"/>
      <w:marLeft w:val="0"/>
      <w:marRight w:val="0"/>
      <w:marTop w:val="0"/>
      <w:marBottom w:val="0"/>
      <w:divBdr>
        <w:top w:val="none" w:sz="0" w:space="0" w:color="auto"/>
        <w:left w:val="none" w:sz="0" w:space="0" w:color="auto"/>
        <w:bottom w:val="none" w:sz="0" w:space="0" w:color="auto"/>
        <w:right w:val="none" w:sz="0" w:space="0" w:color="auto"/>
      </w:divBdr>
      <w:divsChild>
        <w:div w:id="1783525418">
          <w:marLeft w:val="0"/>
          <w:marRight w:val="0"/>
          <w:marTop w:val="0"/>
          <w:marBottom w:val="0"/>
          <w:divBdr>
            <w:top w:val="none" w:sz="0" w:space="0" w:color="auto"/>
            <w:left w:val="none" w:sz="0" w:space="0" w:color="auto"/>
            <w:bottom w:val="none" w:sz="0" w:space="0" w:color="auto"/>
            <w:right w:val="none" w:sz="0" w:space="0" w:color="auto"/>
          </w:divBdr>
          <w:divsChild>
            <w:div w:id="302078284">
              <w:marLeft w:val="0"/>
              <w:marRight w:val="0"/>
              <w:marTop w:val="0"/>
              <w:marBottom w:val="0"/>
              <w:divBdr>
                <w:top w:val="none" w:sz="0" w:space="0" w:color="auto"/>
                <w:left w:val="none" w:sz="0" w:space="0" w:color="auto"/>
                <w:bottom w:val="none" w:sz="0" w:space="0" w:color="auto"/>
                <w:right w:val="none" w:sz="0" w:space="0" w:color="auto"/>
              </w:divBdr>
              <w:divsChild>
                <w:div w:id="455375517">
                  <w:marLeft w:val="0"/>
                  <w:marRight w:val="0"/>
                  <w:marTop w:val="0"/>
                  <w:marBottom w:val="0"/>
                  <w:divBdr>
                    <w:top w:val="none" w:sz="0" w:space="0" w:color="auto"/>
                    <w:left w:val="none" w:sz="0" w:space="0" w:color="auto"/>
                    <w:bottom w:val="none" w:sz="0" w:space="0" w:color="auto"/>
                    <w:right w:val="none" w:sz="0" w:space="0" w:color="auto"/>
                  </w:divBdr>
                  <w:divsChild>
                    <w:div w:id="1624192128">
                      <w:marLeft w:val="0"/>
                      <w:marRight w:val="0"/>
                      <w:marTop w:val="0"/>
                      <w:marBottom w:val="0"/>
                      <w:divBdr>
                        <w:top w:val="none" w:sz="0" w:space="0" w:color="auto"/>
                        <w:left w:val="none" w:sz="0" w:space="0" w:color="auto"/>
                        <w:bottom w:val="none" w:sz="0" w:space="0" w:color="auto"/>
                        <w:right w:val="none" w:sz="0" w:space="0" w:color="auto"/>
                      </w:divBdr>
                      <w:divsChild>
                        <w:div w:id="1564679025">
                          <w:marLeft w:val="0"/>
                          <w:marRight w:val="0"/>
                          <w:marTop w:val="0"/>
                          <w:marBottom w:val="0"/>
                          <w:divBdr>
                            <w:top w:val="none" w:sz="0" w:space="0" w:color="auto"/>
                            <w:left w:val="none" w:sz="0" w:space="0" w:color="auto"/>
                            <w:bottom w:val="none" w:sz="0" w:space="0" w:color="auto"/>
                            <w:right w:val="none" w:sz="0" w:space="0" w:color="auto"/>
                          </w:divBdr>
                          <w:divsChild>
                            <w:div w:id="7588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480">
                      <w:marLeft w:val="0"/>
                      <w:marRight w:val="0"/>
                      <w:marTop w:val="0"/>
                      <w:marBottom w:val="0"/>
                      <w:divBdr>
                        <w:top w:val="none" w:sz="0" w:space="0" w:color="auto"/>
                        <w:left w:val="none" w:sz="0" w:space="0" w:color="auto"/>
                        <w:bottom w:val="none" w:sz="0" w:space="0" w:color="auto"/>
                        <w:right w:val="none" w:sz="0" w:space="0" w:color="auto"/>
                      </w:divBdr>
                      <w:divsChild>
                        <w:div w:id="1446269898">
                          <w:marLeft w:val="0"/>
                          <w:marRight w:val="0"/>
                          <w:marTop w:val="0"/>
                          <w:marBottom w:val="0"/>
                          <w:divBdr>
                            <w:top w:val="none" w:sz="0" w:space="0" w:color="auto"/>
                            <w:left w:val="none" w:sz="0" w:space="0" w:color="auto"/>
                            <w:bottom w:val="none" w:sz="0" w:space="0" w:color="auto"/>
                            <w:right w:val="none" w:sz="0" w:space="0" w:color="auto"/>
                          </w:divBdr>
                          <w:divsChild>
                            <w:div w:id="1088576968">
                              <w:marLeft w:val="0"/>
                              <w:marRight w:val="0"/>
                              <w:marTop w:val="0"/>
                              <w:marBottom w:val="0"/>
                              <w:divBdr>
                                <w:top w:val="none" w:sz="0" w:space="0" w:color="auto"/>
                                <w:left w:val="none" w:sz="0" w:space="0" w:color="auto"/>
                                <w:bottom w:val="none" w:sz="0" w:space="0" w:color="auto"/>
                                <w:right w:val="none" w:sz="0" w:space="0" w:color="auto"/>
                              </w:divBdr>
                              <w:divsChild>
                                <w:div w:id="4414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131152">
          <w:marLeft w:val="0"/>
          <w:marRight w:val="0"/>
          <w:marTop w:val="0"/>
          <w:marBottom w:val="0"/>
          <w:divBdr>
            <w:top w:val="none" w:sz="0" w:space="0" w:color="auto"/>
            <w:left w:val="none" w:sz="0" w:space="0" w:color="auto"/>
            <w:bottom w:val="none" w:sz="0" w:space="0" w:color="auto"/>
            <w:right w:val="none" w:sz="0" w:space="0" w:color="auto"/>
          </w:divBdr>
          <w:divsChild>
            <w:div w:id="80689631">
              <w:marLeft w:val="0"/>
              <w:marRight w:val="0"/>
              <w:marTop w:val="0"/>
              <w:marBottom w:val="0"/>
              <w:divBdr>
                <w:top w:val="none" w:sz="0" w:space="0" w:color="auto"/>
                <w:left w:val="none" w:sz="0" w:space="0" w:color="auto"/>
                <w:bottom w:val="none" w:sz="0" w:space="0" w:color="auto"/>
                <w:right w:val="none" w:sz="0" w:space="0" w:color="auto"/>
              </w:divBdr>
              <w:divsChild>
                <w:div w:id="346443118">
                  <w:marLeft w:val="0"/>
                  <w:marRight w:val="0"/>
                  <w:marTop w:val="0"/>
                  <w:marBottom w:val="0"/>
                  <w:divBdr>
                    <w:top w:val="none" w:sz="0" w:space="0" w:color="auto"/>
                    <w:left w:val="none" w:sz="0" w:space="0" w:color="auto"/>
                    <w:bottom w:val="none" w:sz="0" w:space="0" w:color="auto"/>
                    <w:right w:val="none" w:sz="0" w:space="0" w:color="auto"/>
                  </w:divBdr>
                  <w:divsChild>
                    <w:div w:id="906578052">
                      <w:marLeft w:val="0"/>
                      <w:marRight w:val="0"/>
                      <w:marTop w:val="0"/>
                      <w:marBottom w:val="0"/>
                      <w:divBdr>
                        <w:top w:val="none" w:sz="0" w:space="0" w:color="auto"/>
                        <w:left w:val="none" w:sz="0" w:space="0" w:color="auto"/>
                        <w:bottom w:val="none" w:sz="0" w:space="0" w:color="auto"/>
                        <w:right w:val="none" w:sz="0" w:space="0" w:color="auto"/>
                      </w:divBdr>
                      <w:divsChild>
                        <w:div w:id="1097209526">
                          <w:marLeft w:val="0"/>
                          <w:marRight w:val="0"/>
                          <w:marTop w:val="0"/>
                          <w:marBottom w:val="0"/>
                          <w:divBdr>
                            <w:top w:val="none" w:sz="0" w:space="0" w:color="auto"/>
                            <w:left w:val="none" w:sz="0" w:space="0" w:color="auto"/>
                            <w:bottom w:val="none" w:sz="0" w:space="0" w:color="auto"/>
                            <w:right w:val="none" w:sz="0" w:space="0" w:color="auto"/>
                          </w:divBdr>
                          <w:divsChild>
                            <w:div w:id="746390893">
                              <w:marLeft w:val="0"/>
                              <w:marRight w:val="0"/>
                              <w:marTop w:val="0"/>
                              <w:marBottom w:val="0"/>
                              <w:divBdr>
                                <w:top w:val="none" w:sz="0" w:space="0" w:color="auto"/>
                                <w:left w:val="none" w:sz="0" w:space="0" w:color="auto"/>
                                <w:bottom w:val="none" w:sz="0" w:space="0" w:color="auto"/>
                                <w:right w:val="none" w:sz="0" w:space="0" w:color="auto"/>
                              </w:divBdr>
                            </w:div>
                          </w:divsChild>
                        </w:div>
                        <w:div w:id="1422530613">
                          <w:marLeft w:val="0"/>
                          <w:marRight w:val="0"/>
                          <w:marTop w:val="0"/>
                          <w:marBottom w:val="0"/>
                          <w:divBdr>
                            <w:top w:val="none" w:sz="0" w:space="0" w:color="auto"/>
                            <w:left w:val="none" w:sz="0" w:space="0" w:color="auto"/>
                            <w:bottom w:val="none" w:sz="0" w:space="0" w:color="auto"/>
                            <w:right w:val="none" w:sz="0" w:space="0" w:color="auto"/>
                          </w:divBdr>
                        </w:div>
                      </w:divsChild>
                    </w:div>
                    <w:div w:id="848181659">
                      <w:marLeft w:val="0"/>
                      <w:marRight w:val="0"/>
                      <w:marTop w:val="0"/>
                      <w:marBottom w:val="0"/>
                      <w:divBdr>
                        <w:top w:val="none" w:sz="0" w:space="0" w:color="auto"/>
                        <w:left w:val="none" w:sz="0" w:space="0" w:color="auto"/>
                        <w:bottom w:val="none" w:sz="0" w:space="0" w:color="auto"/>
                        <w:right w:val="none" w:sz="0" w:space="0" w:color="auto"/>
                      </w:divBdr>
                      <w:divsChild>
                        <w:div w:id="1919291171">
                          <w:marLeft w:val="0"/>
                          <w:marRight w:val="0"/>
                          <w:marTop w:val="0"/>
                          <w:marBottom w:val="0"/>
                          <w:divBdr>
                            <w:top w:val="none" w:sz="0" w:space="0" w:color="auto"/>
                            <w:left w:val="none" w:sz="0" w:space="0" w:color="auto"/>
                            <w:bottom w:val="none" w:sz="0" w:space="0" w:color="auto"/>
                            <w:right w:val="none" w:sz="0" w:space="0" w:color="auto"/>
                          </w:divBdr>
                          <w:divsChild>
                            <w:div w:id="4165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3497">
          <w:marLeft w:val="0"/>
          <w:marRight w:val="0"/>
          <w:marTop w:val="0"/>
          <w:marBottom w:val="0"/>
          <w:divBdr>
            <w:top w:val="none" w:sz="0" w:space="0" w:color="auto"/>
            <w:left w:val="none" w:sz="0" w:space="0" w:color="auto"/>
            <w:bottom w:val="none" w:sz="0" w:space="0" w:color="auto"/>
            <w:right w:val="none" w:sz="0" w:space="0" w:color="auto"/>
          </w:divBdr>
          <w:divsChild>
            <w:div w:id="1028023403">
              <w:marLeft w:val="0"/>
              <w:marRight w:val="0"/>
              <w:marTop w:val="0"/>
              <w:marBottom w:val="0"/>
              <w:divBdr>
                <w:top w:val="none" w:sz="0" w:space="0" w:color="auto"/>
                <w:left w:val="none" w:sz="0" w:space="0" w:color="auto"/>
                <w:bottom w:val="none" w:sz="0" w:space="0" w:color="auto"/>
                <w:right w:val="none" w:sz="0" w:space="0" w:color="auto"/>
              </w:divBdr>
              <w:divsChild>
                <w:div w:id="1623459398">
                  <w:marLeft w:val="0"/>
                  <w:marRight w:val="0"/>
                  <w:marTop w:val="0"/>
                  <w:marBottom w:val="0"/>
                  <w:divBdr>
                    <w:top w:val="none" w:sz="0" w:space="0" w:color="auto"/>
                    <w:left w:val="none" w:sz="0" w:space="0" w:color="auto"/>
                    <w:bottom w:val="none" w:sz="0" w:space="0" w:color="auto"/>
                    <w:right w:val="none" w:sz="0" w:space="0" w:color="auto"/>
                  </w:divBdr>
                  <w:divsChild>
                    <w:div w:id="920260865">
                      <w:marLeft w:val="0"/>
                      <w:marRight w:val="0"/>
                      <w:marTop w:val="0"/>
                      <w:marBottom w:val="0"/>
                      <w:divBdr>
                        <w:top w:val="none" w:sz="0" w:space="0" w:color="auto"/>
                        <w:left w:val="none" w:sz="0" w:space="0" w:color="auto"/>
                        <w:bottom w:val="none" w:sz="0" w:space="0" w:color="auto"/>
                        <w:right w:val="none" w:sz="0" w:space="0" w:color="auto"/>
                      </w:divBdr>
                      <w:divsChild>
                        <w:div w:id="1310280734">
                          <w:marLeft w:val="0"/>
                          <w:marRight w:val="0"/>
                          <w:marTop w:val="0"/>
                          <w:marBottom w:val="0"/>
                          <w:divBdr>
                            <w:top w:val="none" w:sz="0" w:space="0" w:color="auto"/>
                            <w:left w:val="none" w:sz="0" w:space="0" w:color="auto"/>
                            <w:bottom w:val="none" w:sz="0" w:space="0" w:color="auto"/>
                            <w:right w:val="none" w:sz="0" w:space="0" w:color="auto"/>
                          </w:divBdr>
                          <w:divsChild>
                            <w:div w:id="13770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04125">
      <w:bodyDiv w:val="1"/>
      <w:marLeft w:val="0"/>
      <w:marRight w:val="0"/>
      <w:marTop w:val="0"/>
      <w:marBottom w:val="0"/>
      <w:divBdr>
        <w:top w:val="none" w:sz="0" w:space="0" w:color="auto"/>
        <w:left w:val="none" w:sz="0" w:space="0" w:color="auto"/>
        <w:bottom w:val="none" w:sz="0" w:space="0" w:color="auto"/>
        <w:right w:val="none" w:sz="0" w:space="0" w:color="auto"/>
      </w:divBdr>
    </w:div>
    <w:div w:id="1485439046">
      <w:bodyDiv w:val="1"/>
      <w:marLeft w:val="0"/>
      <w:marRight w:val="0"/>
      <w:marTop w:val="0"/>
      <w:marBottom w:val="0"/>
      <w:divBdr>
        <w:top w:val="none" w:sz="0" w:space="0" w:color="auto"/>
        <w:left w:val="none" w:sz="0" w:space="0" w:color="auto"/>
        <w:bottom w:val="none" w:sz="0" w:space="0" w:color="auto"/>
        <w:right w:val="none" w:sz="0" w:space="0" w:color="auto"/>
      </w:divBdr>
    </w:div>
    <w:div w:id="1510364243">
      <w:bodyDiv w:val="1"/>
      <w:marLeft w:val="0"/>
      <w:marRight w:val="0"/>
      <w:marTop w:val="0"/>
      <w:marBottom w:val="0"/>
      <w:divBdr>
        <w:top w:val="none" w:sz="0" w:space="0" w:color="auto"/>
        <w:left w:val="none" w:sz="0" w:space="0" w:color="auto"/>
        <w:bottom w:val="none" w:sz="0" w:space="0" w:color="auto"/>
        <w:right w:val="none" w:sz="0" w:space="0" w:color="auto"/>
      </w:divBdr>
    </w:div>
    <w:div w:id="1512181372">
      <w:bodyDiv w:val="1"/>
      <w:marLeft w:val="0"/>
      <w:marRight w:val="0"/>
      <w:marTop w:val="0"/>
      <w:marBottom w:val="0"/>
      <w:divBdr>
        <w:top w:val="none" w:sz="0" w:space="0" w:color="auto"/>
        <w:left w:val="none" w:sz="0" w:space="0" w:color="auto"/>
        <w:bottom w:val="none" w:sz="0" w:space="0" w:color="auto"/>
        <w:right w:val="none" w:sz="0" w:space="0" w:color="auto"/>
      </w:divBdr>
    </w:div>
    <w:div w:id="1543783009">
      <w:bodyDiv w:val="1"/>
      <w:marLeft w:val="0"/>
      <w:marRight w:val="0"/>
      <w:marTop w:val="0"/>
      <w:marBottom w:val="0"/>
      <w:divBdr>
        <w:top w:val="none" w:sz="0" w:space="0" w:color="auto"/>
        <w:left w:val="none" w:sz="0" w:space="0" w:color="auto"/>
        <w:bottom w:val="none" w:sz="0" w:space="0" w:color="auto"/>
        <w:right w:val="none" w:sz="0" w:space="0" w:color="auto"/>
      </w:divBdr>
    </w:div>
    <w:div w:id="1549101816">
      <w:bodyDiv w:val="1"/>
      <w:marLeft w:val="0"/>
      <w:marRight w:val="0"/>
      <w:marTop w:val="0"/>
      <w:marBottom w:val="0"/>
      <w:divBdr>
        <w:top w:val="none" w:sz="0" w:space="0" w:color="auto"/>
        <w:left w:val="none" w:sz="0" w:space="0" w:color="auto"/>
        <w:bottom w:val="none" w:sz="0" w:space="0" w:color="auto"/>
        <w:right w:val="none" w:sz="0" w:space="0" w:color="auto"/>
      </w:divBdr>
    </w:div>
    <w:div w:id="1585455838">
      <w:bodyDiv w:val="1"/>
      <w:marLeft w:val="0"/>
      <w:marRight w:val="0"/>
      <w:marTop w:val="0"/>
      <w:marBottom w:val="0"/>
      <w:divBdr>
        <w:top w:val="none" w:sz="0" w:space="0" w:color="auto"/>
        <w:left w:val="none" w:sz="0" w:space="0" w:color="auto"/>
        <w:bottom w:val="none" w:sz="0" w:space="0" w:color="auto"/>
        <w:right w:val="none" w:sz="0" w:space="0" w:color="auto"/>
      </w:divBdr>
    </w:div>
    <w:div w:id="1591623204">
      <w:bodyDiv w:val="1"/>
      <w:marLeft w:val="0"/>
      <w:marRight w:val="0"/>
      <w:marTop w:val="0"/>
      <w:marBottom w:val="0"/>
      <w:divBdr>
        <w:top w:val="none" w:sz="0" w:space="0" w:color="auto"/>
        <w:left w:val="none" w:sz="0" w:space="0" w:color="auto"/>
        <w:bottom w:val="none" w:sz="0" w:space="0" w:color="auto"/>
        <w:right w:val="none" w:sz="0" w:space="0" w:color="auto"/>
      </w:divBdr>
    </w:div>
    <w:div w:id="1601254596">
      <w:bodyDiv w:val="1"/>
      <w:marLeft w:val="0"/>
      <w:marRight w:val="0"/>
      <w:marTop w:val="0"/>
      <w:marBottom w:val="0"/>
      <w:divBdr>
        <w:top w:val="none" w:sz="0" w:space="0" w:color="auto"/>
        <w:left w:val="none" w:sz="0" w:space="0" w:color="auto"/>
        <w:bottom w:val="none" w:sz="0" w:space="0" w:color="auto"/>
        <w:right w:val="none" w:sz="0" w:space="0" w:color="auto"/>
      </w:divBdr>
    </w:div>
    <w:div w:id="1603805622">
      <w:bodyDiv w:val="1"/>
      <w:marLeft w:val="0"/>
      <w:marRight w:val="0"/>
      <w:marTop w:val="0"/>
      <w:marBottom w:val="0"/>
      <w:divBdr>
        <w:top w:val="none" w:sz="0" w:space="0" w:color="auto"/>
        <w:left w:val="none" w:sz="0" w:space="0" w:color="auto"/>
        <w:bottom w:val="none" w:sz="0" w:space="0" w:color="auto"/>
        <w:right w:val="none" w:sz="0" w:space="0" w:color="auto"/>
      </w:divBdr>
    </w:div>
    <w:div w:id="1616791379">
      <w:bodyDiv w:val="1"/>
      <w:marLeft w:val="0"/>
      <w:marRight w:val="0"/>
      <w:marTop w:val="0"/>
      <w:marBottom w:val="0"/>
      <w:divBdr>
        <w:top w:val="none" w:sz="0" w:space="0" w:color="auto"/>
        <w:left w:val="none" w:sz="0" w:space="0" w:color="auto"/>
        <w:bottom w:val="none" w:sz="0" w:space="0" w:color="auto"/>
        <w:right w:val="none" w:sz="0" w:space="0" w:color="auto"/>
      </w:divBdr>
    </w:div>
    <w:div w:id="1623658529">
      <w:bodyDiv w:val="1"/>
      <w:marLeft w:val="0"/>
      <w:marRight w:val="0"/>
      <w:marTop w:val="0"/>
      <w:marBottom w:val="0"/>
      <w:divBdr>
        <w:top w:val="none" w:sz="0" w:space="0" w:color="auto"/>
        <w:left w:val="none" w:sz="0" w:space="0" w:color="auto"/>
        <w:bottom w:val="none" w:sz="0" w:space="0" w:color="auto"/>
        <w:right w:val="none" w:sz="0" w:space="0" w:color="auto"/>
      </w:divBdr>
    </w:div>
    <w:div w:id="1629168969">
      <w:bodyDiv w:val="1"/>
      <w:marLeft w:val="0"/>
      <w:marRight w:val="0"/>
      <w:marTop w:val="0"/>
      <w:marBottom w:val="0"/>
      <w:divBdr>
        <w:top w:val="none" w:sz="0" w:space="0" w:color="auto"/>
        <w:left w:val="none" w:sz="0" w:space="0" w:color="auto"/>
        <w:bottom w:val="none" w:sz="0" w:space="0" w:color="auto"/>
        <w:right w:val="none" w:sz="0" w:space="0" w:color="auto"/>
      </w:divBdr>
    </w:div>
    <w:div w:id="1634017142">
      <w:bodyDiv w:val="1"/>
      <w:marLeft w:val="0"/>
      <w:marRight w:val="0"/>
      <w:marTop w:val="0"/>
      <w:marBottom w:val="0"/>
      <w:divBdr>
        <w:top w:val="none" w:sz="0" w:space="0" w:color="auto"/>
        <w:left w:val="none" w:sz="0" w:space="0" w:color="auto"/>
        <w:bottom w:val="none" w:sz="0" w:space="0" w:color="auto"/>
        <w:right w:val="none" w:sz="0" w:space="0" w:color="auto"/>
      </w:divBdr>
    </w:div>
    <w:div w:id="1634405390">
      <w:bodyDiv w:val="1"/>
      <w:marLeft w:val="0"/>
      <w:marRight w:val="0"/>
      <w:marTop w:val="0"/>
      <w:marBottom w:val="0"/>
      <w:divBdr>
        <w:top w:val="none" w:sz="0" w:space="0" w:color="auto"/>
        <w:left w:val="none" w:sz="0" w:space="0" w:color="auto"/>
        <w:bottom w:val="none" w:sz="0" w:space="0" w:color="auto"/>
        <w:right w:val="none" w:sz="0" w:space="0" w:color="auto"/>
      </w:divBdr>
    </w:div>
    <w:div w:id="1647930175">
      <w:bodyDiv w:val="1"/>
      <w:marLeft w:val="0"/>
      <w:marRight w:val="0"/>
      <w:marTop w:val="0"/>
      <w:marBottom w:val="0"/>
      <w:divBdr>
        <w:top w:val="none" w:sz="0" w:space="0" w:color="auto"/>
        <w:left w:val="none" w:sz="0" w:space="0" w:color="auto"/>
        <w:bottom w:val="none" w:sz="0" w:space="0" w:color="auto"/>
        <w:right w:val="none" w:sz="0" w:space="0" w:color="auto"/>
      </w:divBdr>
    </w:div>
    <w:div w:id="1651207951">
      <w:bodyDiv w:val="1"/>
      <w:marLeft w:val="0"/>
      <w:marRight w:val="0"/>
      <w:marTop w:val="0"/>
      <w:marBottom w:val="0"/>
      <w:divBdr>
        <w:top w:val="none" w:sz="0" w:space="0" w:color="auto"/>
        <w:left w:val="none" w:sz="0" w:space="0" w:color="auto"/>
        <w:bottom w:val="none" w:sz="0" w:space="0" w:color="auto"/>
        <w:right w:val="none" w:sz="0" w:space="0" w:color="auto"/>
      </w:divBdr>
    </w:div>
    <w:div w:id="1656647387">
      <w:bodyDiv w:val="1"/>
      <w:marLeft w:val="0"/>
      <w:marRight w:val="0"/>
      <w:marTop w:val="0"/>
      <w:marBottom w:val="0"/>
      <w:divBdr>
        <w:top w:val="none" w:sz="0" w:space="0" w:color="auto"/>
        <w:left w:val="none" w:sz="0" w:space="0" w:color="auto"/>
        <w:bottom w:val="none" w:sz="0" w:space="0" w:color="auto"/>
        <w:right w:val="none" w:sz="0" w:space="0" w:color="auto"/>
      </w:divBdr>
    </w:div>
    <w:div w:id="1715546845">
      <w:bodyDiv w:val="1"/>
      <w:marLeft w:val="0"/>
      <w:marRight w:val="0"/>
      <w:marTop w:val="0"/>
      <w:marBottom w:val="0"/>
      <w:divBdr>
        <w:top w:val="none" w:sz="0" w:space="0" w:color="auto"/>
        <w:left w:val="none" w:sz="0" w:space="0" w:color="auto"/>
        <w:bottom w:val="none" w:sz="0" w:space="0" w:color="auto"/>
        <w:right w:val="none" w:sz="0" w:space="0" w:color="auto"/>
      </w:divBdr>
    </w:div>
    <w:div w:id="1718311840">
      <w:bodyDiv w:val="1"/>
      <w:marLeft w:val="0"/>
      <w:marRight w:val="0"/>
      <w:marTop w:val="0"/>
      <w:marBottom w:val="0"/>
      <w:divBdr>
        <w:top w:val="none" w:sz="0" w:space="0" w:color="auto"/>
        <w:left w:val="none" w:sz="0" w:space="0" w:color="auto"/>
        <w:bottom w:val="none" w:sz="0" w:space="0" w:color="auto"/>
        <w:right w:val="none" w:sz="0" w:space="0" w:color="auto"/>
      </w:divBdr>
    </w:div>
    <w:div w:id="1756124544">
      <w:bodyDiv w:val="1"/>
      <w:marLeft w:val="0"/>
      <w:marRight w:val="0"/>
      <w:marTop w:val="0"/>
      <w:marBottom w:val="0"/>
      <w:divBdr>
        <w:top w:val="none" w:sz="0" w:space="0" w:color="auto"/>
        <w:left w:val="none" w:sz="0" w:space="0" w:color="auto"/>
        <w:bottom w:val="none" w:sz="0" w:space="0" w:color="auto"/>
        <w:right w:val="none" w:sz="0" w:space="0" w:color="auto"/>
      </w:divBdr>
    </w:div>
    <w:div w:id="1773088719">
      <w:bodyDiv w:val="1"/>
      <w:marLeft w:val="0"/>
      <w:marRight w:val="0"/>
      <w:marTop w:val="0"/>
      <w:marBottom w:val="0"/>
      <w:divBdr>
        <w:top w:val="none" w:sz="0" w:space="0" w:color="auto"/>
        <w:left w:val="none" w:sz="0" w:space="0" w:color="auto"/>
        <w:bottom w:val="none" w:sz="0" w:space="0" w:color="auto"/>
        <w:right w:val="none" w:sz="0" w:space="0" w:color="auto"/>
      </w:divBdr>
    </w:div>
    <w:div w:id="1777095712">
      <w:bodyDiv w:val="1"/>
      <w:marLeft w:val="0"/>
      <w:marRight w:val="0"/>
      <w:marTop w:val="0"/>
      <w:marBottom w:val="0"/>
      <w:divBdr>
        <w:top w:val="none" w:sz="0" w:space="0" w:color="auto"/>
        <w:left w:val="none" w:sz="0" w:space="0" w:color="auto"/>
        <w:bottom w:val="none" w:sz="0" w:space="0" w:color="auto"/>
        <w:right w:val="none" w:sz="0" w:space="0" w:color="auto"/>
      </w:divBdr>
    </w:div>
    <w:div w:id="1786389367">
      <w:bodyDiv w:val="1"/>
      <w:marLeft w:val="0"/>
      <w:marRight w:val="0"/>
      <w:marTop w:val="0"/>
      <w:marBottom w:val="0"/>
      <w:divBdr>
        <w:top w:val="none" w:sz="0" w:space="0" w:color="auto"/>
        <w:left w:val="none" w:sz="0" w:space="0" w:color="auto"/>
        <w:bottom w:val="none" w:sz="0" w:space="0" w:color="auto"/>
        <w:right w:val="none" w:sz="0" w:space="0" w:color="auto"/>
      </w:divBdr>
    </w:div>
    <w:div w:id="1791364133">
      <w:bodyDiv w:val="1"/>
      <w:marLeft w:val="0"/>
      <w:marRight w:val="0"/>
      <w:marTop w:val="0"/>
      <w:marBottom w:val="0"/>
      <w:divBdr>
        <w:top w:val="none" w:sz="0" w:space="0" w:color="auto"/>
        <w:left w:val="none" w:sz="0" w:space="0" w:color="auto"/>
        <w:bottom w:val="none" w:sz="0" w:space="0" w:color="auto"/>
        <w:right w:val="none" w:sz="0" w:space="0" w:color="auto"/>
      </w:divBdr>
    </w:div>
    <w:div w:id="1809277732">
      <w:bodyDiv w:val="1"/>
      <w:marLeft w:val="0"/>
      <w:marRight w:val="0"/>
      <w:marTop w:val="0"/>
      <w:marBottom w:val="0"/>
      <w:divBdr>
        <w:top w:val="none" w:sz="0" w:space="0" w:color="auto"/>
        <w:left w:val="none" w:sz="0" w:space="0" w:color="auto"/>
        <w:bottom w:val="none" w:sz="0" w:space="0" w:color="auto"/>
        <w:right w:val="none" w:sz="0" w:space="0" w:color="auto"/>
      </w:divBdr>
    </w:div>
    <w:div w:id="1813211089">
      <w:bodyDiv w:val="1"/>
      <w:marLeft w:val="0"/>
      <w:marRight w:val="0"/>
      <w:marTop w:val="0"/>
      <w:marBottom w:val="0"/>
      <w:divBdr>
        <w:top w:val="none" w:sz="0" w:space="0" w:color="auto"/>
        <w:left w:val="none" w:sz="0" w:space="0" w:color="auto"/>
        <w:bottom w:val="none" w:sz="0" w:space="0" w:color="auto"/>
        <w:right w:val="none" w:sz="0" w:space="0" w:color="auto"/>
      </w:divBdr>
    </w:div>
    <w:div w:id="1850488695">
      <w:bodyDiv w:val="1"/>
      <w:marLeft w:val="0"/>
      <w:marRight w:val="0"/>
      <w:marTop w:val="0"/>
      <w:marBottom w:val="0"/>
      <w:divBdr>
        <w:top w:val="none" w:sz="0" w:space="0" w:color="auto"/>
        <w:left w:val="none" w:sz="0" w:space="0" w:color="auto"/>
        <w:bottom w:val="none" w:sz="0" w:space="0" w:color="auto"/>
        <w:right w:val="none" w:sz="0" w:space="0" w:color="auto"/>
      </w:divBdr>
      <w:divsChild>
        <w:div w:id="1444418777">
          <w:marLeft w:val="0"/>
          <w:marRight w:val="0"/>
          <w:marTop w:val="0"/>
          <w:marBottom w:val="0"/>
          <w:divBdr>
            <w:top w:val="none" w:sz="0" w:space="0" w:color="auto"/>
            <w:left w:val="none" w:sz="0" w:space="0" w:color="auto"/>
            <w:bottom w:val="none" w:sz="0" w:space="0" w:color="auto"/>
            <w:right w:val="none" w:sz="0" w:space="0" w:color="auto"/>
          </w:divBdr>
          <w:divsChild>
            <w:div w:id="272907711">
              <w:marLeft w:val="0"/>
              <w:marRight w:val="0"/>
              <w:marTop w:val="0"/>
              <w:marBottom w:val="0"/>
              <w:divBdr>
                <w:top w:val="none" w:sz="0" w:space="0" w:color="auto"/>
                <w:left w:val="none" w:sz="0" w:space="0" w:color="auto"/>
                <w:bottom w:val="none" w:sz="0" w:space="0" w:color="auto"/>
                <w:right w:val="none" w:sz="0" w:space="0" w:color="auto"/>
              </w:divBdr>
              <w:divsChild>
                <w:div w:id="15932515">
                  <w:marLeft w:val="0"/>
                  <w:marRight w:val="0"/>
                  <w:marTop w:val="0"/>
                  <w:marBottom w:val="0"/>
                  <w:divBdr>
                    <w:top w:val="none" w:sz="0" w:space="0" w:color="auto"/>
                    <w:left w:val="none" w:sz="0" w:space="0" w:color="auto"/>
                    <w:bottom w:val="none" w:sz="0" w:space="0" w:color="auto"/>
                    <w:right w:val="none" w:sz="0" w:space="0" w:color="auto"/>
                  </w:divBdr>
                  <w:divsChild>
                    <w:div w:id="295063213">
                      <w:marLeft w:val="0"/>
                      <w:marRight w:val="0"/>
                      <w:marTop w:val="0"/>
                      <w:marBottom w:val="0"/>
                      <w:divBdr>
                        <w:top w:val="none" w:sz="0" w:space="0" w:color="auto"/>
                        <w:left w:val="none" w:sz="0" w:space="0" w:color="auto"/>
                        <w:bottom w:val="none" w:sz="0" w:space="0" w:color="auto"/>
                        <w:right w:val="none" w:sz="0" w:space="0" w:color="auto"/>
                      </w:divBdr>
                      <w:divsChild>
                        <w:div w:id="42411461">
                          <w:marLeft w:val="0"/>
                          <w:marRight w:val="0"/>
                          <w:marTop w:val="0"/>
                          <w:marBottom w:val="0"/>
                          <w:divBdr>
                            <w:top w:val="none" w:sz="0" w:space="0" w:color="auto"/>
                            <w:left w:val="none" w:sz="0" w:space="0" w:color="auto"/>
                            <w:bottom w:val="none" w:sz="0" w:space="0" w:color="auto"/>
                            <w:right w:val="none" w:sz="0" w:space="0" w:color="auto"/>
                          </w:divBdr>
                          <w:divsChild>
                            <w:div w:id="3155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6199">
                      <w:marLeft w:val="0"/>
                      <w:marRight w:val="0"/>
                      <w:marTop w:val="0"/>
                      <w:marBottom w:val="0"/>
                      <w:divBdr>
                        <w:top w:val="none" w:sz="0" w:space="0" w:color="auto"/>
                        <w:left w:val="none" w:sz="0" w:space="0" w:color="auto"/>
                        <w:bottom w:val="none" w:sz="0" w:space="0" w:color="auto"/>
                        <w:right w:val="none" w:sz="0" w:space="0" w:color="auto"/>
                      </w:divBdr>
                      <w:divsChild>
                        <w:div w:id="485124401">
                          <w:marLeft w:val="0"/>
                          <w:marRight w:val="0"/>
                          <w:marTop w:val="0"/>
                          <w:marBottom w:val="0"/>
                          <w:divBdr>
                            <w:top w:val="none" w:sz="0" w:space="0" w:color="auto"/>
                            <w:left w:val="none" w:sz="0" w:space="0" w:color="auto"/>
                            <w:bottom w:val="none" w:sz="0" w:space="0" w:color="auto"/>
                            <w:right w:val="none" w:sz="0" w:space="0" w:color="auto"/>
                          </w:divBdr>
                          <w:divsChild>
                            <w:div w:id="1069764411">
                              <w:marLeft w:val="0"/>
                              <w:marRight w:val="0"/>
                              <w:marTop w:val="0"/>
                              <w:marBottom w:val="0"/>
                              <w:divBdr>
                                <w:top w:val="none" w:sz="0" w:space="0" w:color="auto"/>
                                <w:left w:val="none" w:sz="0" w:space="0" w:color="auto"/>
                                <w:bottom w:val="none" w:sz="0" w:space="0" w:color="auto"/>
                                <w:right w:val="none" w:sz="0" w:space="0" w:color="auto"/>
                              </w:divBdr>
                              <w:divsChild>
                                <w:div w:id="14722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136975">
          <w:marLeft w:val="0"/>
          <w:marRight w:val="0"/>
          <w:marTop w:val="0"/>
          <w:marBottom w:val="0"/>
          <w:divBdr>
            <w:top w:val="none" w:sz="0" w:space="0" w:color="auto"/>
            <w:left w:val="none" w:sz="0" w:space="0" w:color="auto"/>
            <w:bottom w:val="none" w:sz="0" w:space="0" w:color="auto"/>
            <w:right w:val="none" w:sz="0" w:space="0" w:color="auto"/>
          </w:divBdr>
          <w:divsChild>
            <w:div w:id="574514145">
              <w:marLeft w:val="0"/>
              <w:marRight w:val="0"/>
              <w:marTop w:val="0"/>
              <w:marBottom w:val="0"/>
              <w:divBdr>
                <w:top w:val="none" w:sz="0" w:space="0" w:color="auto"/>
                <w:left w:val="none" w:sz="0" w:space="0" w:color="auto"/>
                <w:bottom w:val="none" w:sz="0" w:space="0" w:color="auto"/>
                <w:right w:val="none" w:sz="0" w:space="0" w:color="auto"/>
              </w:divBdr>
              <w:divsChild>
                <w:div w:id="420688940">
                  <w:marLeft w:val="0"/>
                  <w:marRight w:val="0"/>
                  <w:marTop w:val="0"/>
                  <w:marBottom w:val="0"/>
                  <w:divBdr>
                    <w:top w:val="none" w:sz="0" w:space="0" w:color="auto"/>
                    <w:left w:val="none" w:sz="0" w:space="0" w:color="auto"/>
                    <w:bottom w:val="none" w:sz="0" w:space="0" w:color="auto"/>
                    <w:right w:val="none" w:sz="0" w:space="0" w:color="auto"/>
                  </w:divBdr>
                  <w:divsChild>
                    <w:div w:id="1613200763">
                      <w:marLeft w:val="0"/>
                      <w:marRight w:val="0"/>
                      <w:marTop w:val="0"/>
                      <w:marBottom w:val="0"/>
                      <w:divBdr>
                        <w:top w:val="none" w:sz="0" w:space="0" w:color="auto"/>
                        <w:left w:val="none" w:sz="0" w:space="0" w:color="auto"/>
                        <w:bottom w:val="none" w:sz="0" w:space="0" w:color="auto"/>
                        <w:right w:val="none" w:sz="0" w:space="0" w:color="auto"/>
                      </w:divBdr>
                      <w:divsChild>
                        <w:div w:id="563874119">
                          <w:marLeft w:val="0"/>
                          <w:marRight w:val="0"/>
                          <w:marTop w:val="0"/>
                          <w:marBottom w:val="0"/>
                          <w:divBdr>
                            <w:top w:val="none" w:sz="0" w:space="0" w:color="auto"/>
                            <w:left w:val="none" w:sz="0" w:space="0" w:color="auto"/>
                            <w:bottom w:val="none" w:sz="0" w:space="0" w:color="auto"/>
                            <w:right w:val="none" w:sz="0" w:space="0" w:color="auto"/>
                          </w:divBdr>
                          <w:divsChild>
                            <w:div w:id="1496871501">
                              <w:marLeft w:val="0"/>
                              <w:marRight w:val="0"/>
                              <w:marTop w:val="0"/>
                              <w:marBottom w:val="0"/>
                              <w:divBdr>
                                <w:top w:val="none" w:sz="0" w:space="0" w:color="auto"/>
                                <w:left w:val="none" w:sz="0" w:space="0" w:color="auto"/>
                                <w:bottom w:val="none" w:sz="0" w:space="0" w:color="auto"/>
                                <w:right w:val="none" w:sz="0" w:space="0" w:color="auto"/>
                              </w:divBdr>
                            </w:div>
                          </w:divsChild>
                        </w:div>
                        <w:div w:id="1943369288">
                          <w:marLeft w:val="0"/>
                          <w:marRight w:val="0"/>
                          <w:marTop w:val="0"/>
                          <w:marBottom w:val="0"/>
                          <w:divBdr>
                            <w:top w:val="none" w:sz="0" w:space="0" w:color="auto"/>
                            <w:left w:val="none" w:sz="0" w:space="0" w:color="auto"/>
                            <w:bottom w:val="none" w:sz="0" w:space="0" w:color="auto"/>
                            <w:right w:val="none" w:sz="0" w:space="0" w:color="auto"/>
                          </w:divBdr>
                        </w:div>
                      </w:divsChild>
                    </w:div>
                    <w:div w:id="542861723">
                      <w:marLeft w:val="0"/>
                      <w:marRight w:val="0"/>
                      <w:marTop w:val="0"/>
                      <w:marBottom w:val="0"/>
                      <w:divBdr>
                        <w:top w:val="none" w:sz="0" w:space="0" w:color="auto"/>
                        <w:left w:val="none" w:sz="0" w:space="0" w:color="auto"/>
                        <w:bottom w:val="none" w:sz="0" w:space="0" w:color="auto"/>
                        <w:right w:val="none" w:sz="0" w:space="0" w:color="auto"/>
                      </w:divBdr>
                      <w:divsChild>
                        <w:div w:id="899486235">
                          <w:marLeft w:val="0"/>
                          <w:marRight w:val="0"/>
                          <w:marTop w:val="0"/>
                          <w:marBottom w:val="0"/>
                          <w:divBdr>
                            <w:top w:val="none" w:sz="0" w:space="0" w:color="auto"/>
                            <w:left w:val="none" w:sz="0" w:space="0" w:color="auto"/>
                            <w:bottom w:val="none" w:sz="0" w:space="0" w:color="auto"/>
                            <w:right w:val="none" w:sz="0" w:space="0" w:color="auto"/>
                          </w:divBdr>
                          <w:divsChild>
                            <w:div w:id="3156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269325">
          <w:marLeft w:val="0"/>
          <w:marRight w:val="0"/>
          <w:marTop w:val="0"/>
          <w:marBottom w:val="0"/>
          <w:divBdr>
            <w:top w:val="none" w:sz="0" w:space="0" w:color="auto"/>
            <w:left w:val="none" w:sz="0" w:space="0" w:color="auto"/>
            <w:bottom w:val="none" w:sz="0" w:space="0" w:color="auto"/>
            <w:right w:val="none" w:sz="0" w:space="0" w:color="auto"/>
          </w:divBdr>
          <w:divsChild>
            <w:div w:id="788163402">
              <w:marLeft w:val="0"/>
              <w:marRight w:val="0"/>
              <w:marTop w:val="0"/>
              <w:marBottom w:val="0"/>
              <w:divBdr>
                <w:top w:val="none" w:sz="0" w:space="0" w:color="auto"/>
                <w:left w:val="none" w:sz="0" w:space="0" w:color="auto"/>
                <w:bottom w:val="none" w:sz="0" w:space="0" w:color="auto"/>
                <w:right w:val="none" w:sz="0" w:space="0" w:color="auto"/>
              </w:divBdr>
              <w:divsChild>
                <w:div w:id="1593049293">
                  <w:marLeft w:val="0"/>
                  <w:marRight w:val="0"/>
                  <w:marTop w:val="0"/>
                  <w:marBottom w:val="0"/>
                  <w:divBdr>
                    <w:top w:val="none" w:sz="0" w:space="0" w:color="auto"/>
                    <w:left w:val="none" w:sz="0" w:space="0" w:color="auto"/>
                    <w:bottom w:val="none" w:sz="0" w:space="0" w:color="auto"/>
                    <w:right w:val="none" w:sz="0" w:space="0" w:color="auto"/>
                  </w:divBdr>
                  <w:divsChild>
                    <w:div w:id="831258803">
                      <w:marLeft w:val="0"/>
                      <w:marRight w:val="0"/>
                      <w:marTop w:val="0"/>
                      <w:marBottom w:val="0"/>
                      <w:divBdr>
                        <w:top w:val="none" w:sz="0" w:space="0" w:color="auto"/>
                        <w:left w:val="none" w:sz="0" w:space="0" w:color="auto"/>
                        <w:bottom w:val="none" w:sz="0" w:space="0" w:color="auto"/>
                        <w:right w:val="none" w:sz="0" w:space="0" w:color="auto"/>
                      </w:divBdr>
                      <w:divsChild>
                        <w:div w:id="591284454">
                          <w:marLeft w:val="0"/>
                          <w:marRight w:val="0"/>
                          <w:marTop w:val="0"/>
                          <w:marBottom w:val="0"/>
                          <w:divBdr>
                            <w:top w:val="none" w:sz="0" w:space="0" w:color="auto"/>
                            <w:left w:val="none" w:sz="0" w:space="0" w:color="auto"/>
                            <w:bottom w:val="none" w:sz="0" w:space="0" w:color="auto"/>
                            <w:right w:val="none" w:sz="0" w:space="0" w:color="auto"/>
                          </w:divBdr>
                          <w:divsChild>
                            <w:div w:id="1849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00069">
      <w:bodyDiv w:val="1"/>
      <w:marLeft w:val="0"/>
      <w:marRight w:val="0"/>
      <w:marTop w:val="0"/>
      <w:marBottom w:val="0"/>
      <w:divBdr>
        <w:top w:val="none" w:sz="0" w:space="0" w:color="auto"/>
        <w:left w:val="none" w:sz="0" w:space="0" w:color="auto"/>
        <w:bottom w:val="none" w:sz="0" w:space="0" w:color="auto"/>
        <w:right w:val="none" w:sz="0" w:space="0" w:color="auto"/>
      </w:divBdr>
    </w:div>
    <w:div w:id="1881045664">
      <w:bodyDiv w:val="1"/>
      <w:marLeft w:val="0"/>
      <w:marRight w:val="0"/>
      <w:marTop w:val="0"/>
      <w:marBottom w:val="0"/>
      <w:divBdr>
        <w:top w:val="none" w:sz="0" w:space="0" w:color="auto"/>
        <w:left w:val="none" w:sz="0" w:space="0" w:color="auto"/>
        <w:bottom w:val="none" w:sz="0" w:space="0" w:color="auto"/>
        <w:right w:val="none" w:sz="0" w:space="0" w:color="auto"/>
      </w:divBdr>
    </w:div>
    <w:div w:id="1903441615">
      <w:bodyDiv w:val="1"/>
      <w:marLeft w:val="0"/>
      <w:marRight w:val="0"/>
      <w:marTop w:val="0"/>
      <w:marBottom w:val="0"/>
      <w:divBdr>
        <w:top w:val="none" w:sz="0" w:space="0" w:color="auto"/>
        <w:left w:val="none" w:sz="0" w:space="0" w:color="auto"/>
        <w:bottom w:val="none" w:sz="0" w:space="0" w:color="auto"/>
        <w:right w:val="none" w:sz="0" w:space="0" w:color="auto"/>
      </w:divBdr>
    </w:div>
    <w:div w:id="1940719043">
      <w:bodyDiv w:val="1"/>
      <w:marLeft w:val="0"/>
      <w:marRight w:val="0"/>
      <w:marTop w:val="0"/>
      <w:marBottom w:val="0"/>
      <w:divBdr>
        <w:top w:val="none" w:sz="0" w:space="0" w:color="auto"/>
        <w:left w:val="none" w:sz="0" w:space="0" w:color="auto"/>
        <w:bottom w:val="none" w:sz="0" w:space="0" w:color="auto"/>
        <w:right w:val="none" w:sz="0" w:space="0" w:color="auto"/>
      </w:divBdr>
    </w:div>
    <w:div w:id="1954434907">
      <w:bodyDiv w:val="1"/>
      <w:marLeft w:val="0"/>
      <w:marRight w:val="0"/>
      <w:marTop w:val="0"/>
      <w:marBottom w:val="0"/>
      <w:divBdr>
        <w:top w:val="none" w:sz="0" w:space="0" w:color="auto"/>
        <w:left w:val="none" w:sz="0" w:space="0" w:color="auto"/>
        <w:bottom w:val="none" w:sz="0" w:space="0" w:color="auto"/>
        <w:right w:val="none" w:sz="0" w:space="0" w:color="auto"/>
      </w:divBdr>
    </w:div>
    <w:div w:id="1955166856">
      <w:bodyDiv w:val="1"/>
      <w:marLeft w:val="0"/>
      <w:marRight w:val="0"/>
      <w:marTop w:val="0"/>
      <w:marBottom w:val="0"/>
      <w:divBdr>
        <w:top w:val="none" w:sz="0" w:space="0" w:color="auto"/>
        <w:left w:val="none" w:sz="0" w:space="0" w:color="auto"/>
        <w:bottom w:val="none" w:sz="0" w:space="0" w:color="auto"/>
        <w:right w:val="none" w:sz="0" w:space="0" w:color="auto"/>
      </w:divBdr>
    </w:div>
    <w:div w:id="1970892875">
      <w:bodyDiv w:val="1"/>
      <w:marLeft w:val="0"/>
      <w:marRight w:val="0"/>
      <w:marTop w:val="0"/>
      <w:marBottom w:val="0"/>
      <w:divBdr>
        <w:top w:val="none" w:sz="0" w:space="0" w:color="auto"/>
        <w:left w:val="none" w:sz="0" w:space="0" w:color="auto"/>
        <w:bottom w:val="none" w:sz="0" w:space="0" w:color="auto"/>
        <w:right w:val="none" w:sz="0" w:space="0" w:color="auto"/>
      </w:divBdr>
    </w:div>
    <w:div w:id="1978144235">
      <w:bodyDiv w:val="1"/>
      <w:marLeft w:val="0"/>
      <w:marRight w:val="0"/>
      <w:marTop w:val="0"/>
      <w:marBottom w:val="0"/>
      <w:divBdr>
        <w:top w:val="none" w:sz="0" w:space="0" w:color="auto"/>
        <w:left w:val="none" w:sz="0" w:space="0" w:color="auto"/>
        <w:bottom w:val="none" w:sz="0" w:space="0" w:color="auto"/>
        <w:right w:val="none" w:sz="0" w:space="0" w:color="auto"/>
      </w:divBdr>
    </w:div>
    <w:div w:id="1989091897">
      <w:bodyDiv w:val="1"/>
      <w:marLeft w:val="0"/>
      <w:marRight w:val="0"/>
      <w:marTop w:val="0"/>
      <w:marBottom w:val="0"/>
      <w:divBdr>
        <w:top w:val="none" w:sz="0" w:space="0" w:color="auto"/>
        <w:left w:val="none" w:sz="0" w:space="0" w:color="auto"/>
        <w:bottom w:val="none" w:sz="0" w:space="0" w:color="auto"/>
        <w:right w:val="none" w:sz="0" w:space="0" w:color="auto"/>
      </w:divBdr>
    </w:div>
    <w:div w:id="2009554517">
      <w:bodyDiv w:val="1"/>
      <w:marLeft w:val="0"/>
      <w:marRight w:val="0"/>
      <w:marTop w:val="0"/>
      <w:marBottom w:val="0"/>
      <w:divBdr>
        <w:top w:val="none" w:sz="0" w:space="0" w:color="auto"/>
        <w:left w:val="none" w:sz="0" w:space="0" w:color="auto"/>
        <w:bottom w:val="none" w:sz="0" w:space="0" w:color="auto"/>
        <w:right w:val="none" w:sz="0" w:space="0" w:color="auto"/>
      </w:divBdr>
      <w:divsChild>
        <w:div w:id="1203058481">
          <w:marLeft w:val="0"/>
          <w:marRight w:val="0"/>
          <w:marTop w:val="0"/>
          <w:marBottom w:val="0"/>
          <w:divBdr>
            <w:top w:val="none" w:sz="0" w:space="0" w:color="auto"/>
            <w:left w:val="none" w:sz="0" w:space="0" w:color="auto"/>
            <w:bottom w:val="none" w:sz="0" w:space="0" w:color="auto"/>
            <w:right w:val="none" w:sz="0" w:space="0" w:color="auto"/>
          </w:divBdr>
          <w:divsChild>
            <w:div w:id="1001350990">
              <w:marLeft w:val="0"/>
              <w:marRight w:val="0"/>
              <w:marTop w:val="0"/>
              <w:marBottom w:val="0"/>
              <w:divBdr>
                <w:top w:val="none" w:sz="0" w:space="0" w:color="auto"/>
                <w:left w:val="none" w:sz="0" w:space="0" w:color="auto"/>
                <w:bottom w:val="none" w:sz="0" w:space="0" w:color="auto"/>
                <w:right w:val="none" w:sz="0" w:space="0" w:color="auto"/>
              </w:divBdr>
              <w:divsChild>
                <w:div w:id="693967245">
                  <w:marLeft w:val="0"/>
                  <w:marRight w:val="0"/>
                  <w:marTop w:val="0"/>
                  <w:marBottom w:val="0"/>
                  <w:divBdr>
                    <w:top w:val="none" w:sz="0" w:space="0" w:color="auto"/>
                    <w:left w:val="none" w:sz="0" w:space="0" w:color="auto"/>
                    <w:bottom w:val="none" w:sz="0" w:space="0" w:color="auto"/>
                    <w:right w:val="none" w:sz="0" w:space="0" w:color="auto"/>
                  </w:divBdr>
                  <w:divsChild>
                    <w:div w:id="901528561">
                      <w:marLeft w:val="0"/>
                      <w:marRight w:val="0"/>
                      <w:marTop w:val="0"/>
                      <w:marBottom w:val="0"/>
                      <w:divBdr>
                        <w:top w:val="none" w:sz="0" w:space="0" w:color="auto"/>
                        <w:left w:val="none" w:sz="0" w:space="0" w:color="auto"/>
                        <w:bottom w:val="none" w:sz="0" w:space="0" w:color="auto"/>
                        <w:right w:val="none" w:sz="0" w:space="0" w:color="auto"/>
                      </w:divBdr>
                      <w:divsChild>
                        <w:div w:id="449789729">
                          <w:marLeft w:val="0"/>
                          <w:marRight w:val="0"/>
                          <w:marTop w:val="0"/>
                          <w:marBottom w:val="0"/>
                          <w:divBdr>
                            <w:top w:val="none" w:sz="0" w:space="0" w:color="auto"/>
                            <w:left w:val="none" w:sz="0" w:space="0" w:color="auto"/>
                            <w:bottom w:val="none" w:sz="0" w:space="0" w:color="auto"/>
                            <w:right w:val="none" w:sz="0" w:space="0" w:color="auto"/>
                          </w:divBdr>
                          <w:divsChild>
                            <w:div w:id="111629999">
                              <w:marLeft w:val="0"/>
                              <w:marRight w:val="0"/>
                              <w:marTop w:val="0"/>
                              <w:marBottom w:val="0"/>
                              <w:divBdr>
                                <w:top w:val="none" w:sz="0" w:space="0" w:color="auto"/>
                                <w:left w:val="none" w:sz="0" w:space="0" w:color="auto"/>
                                <w:bottom w:val="none" w:sz="0" w:space="0" w:color="auto"/>
                                <w:right w:val="none" w:sz="0" w:space="0" w:color="auto"/>
                              </w:divBdr>
                              <w:divsChild>
                                <w:div w:id="11881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8174">
                          <w:marLeft w:val="0"/>
                          <w:marRight w:val="0"/>
                          <w:marTop w:val="0"/>
                          <w:marBottom w:val="0"/>
                          <w:divBdr>
                            <w:top w:val="none" w:sz="0" w:space="0" w:color="auto"/>
                            <w:left w:val="none" w:sz="0" w:space="0" w:color="auto"/>
                            <w:bottom w:val="none" w:sz="0" w:space="0" w:color="auto"/>
                            <w:right w:val="none" w:sz="0" w:space="0" w:color="auto"/>
                          </w:divBdr>
                          <w:divsChild>
                            <w:div w:id="1286739778">
                              <w:marLeft w:val="0"/>
                              <w:marRight w:val="0"/>
                              <w:marTop w:val="0"/>
                              <w:marBottom w:val="0"/>
                              <w:divBdr>
                                <w:top w:val="none" w:sz="0" w:space="0" w:color="auto"/>
                                <w:left w:val="none" w:sz="0" w:space="0" w:color="auto"/>
                                <w:bottom w:val="none" w:sz="0" w:space="0" w:color="auto"/>
                                <w:right w:val="none" w:sz="0" w:space="0" w:color="auto"/>
                              </w:divBdr>
                              <w:divsChild>
                                <w:div w:id="2022469899">
                                  <w:marLeft w:val="0"/>
                                  <w:marRight w:val="0"/>
                                  <w:marTop w:val="0"/>
                                  <w:marBottom w:val="0"/>
                                  <w:divBdr>
                                    <w:top w:val="none" w:sz="0" w:space="0" w:color="auto"/>
                                    <w:left w:val="none" w:sz="0" w:space="0" w:color="auto"/>
                                    <w:bottom w:val="none" w:sz="0" w:space="0" w:color="auto"/>
                                    <w:right w:val="none" w:sz="0" w:space="0" w:color="auto"/>
                                  </w:divBdr>
                                  <w:divsChild>
                                    <w:div w:id="19655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0065">
              <w:marLeft w:val="0"/>
              <w:marRight w:val="0"/>
              <w:marTop w:val="0"/>
              <w:marBottom w:val="0"/>
              <w:divBdr>
                <w:top w:val="none" w:sz="0" w:space="0" w:color="auto"/>
                <w:left w:val="none" w:sz="0" w:space="0" w:color="auto"/>
                <w:bottom w:val="none" w:sz="0" w:space="0" w:color="auto"/>
                <w:right w:val="none" w:sz="0" w:space="0" w:color="auto"/>
              </w:divBdr>
              <w:divsChild>
                <w:div w:id="1386954254">
                  <w:marLeft w:val="0"/>
                  <w:marRight w:val="0"/>
                  <w:marTop w:val="0"/>
                  <w:marBottom w:val="0"/>
                  <w:divBdr>
                    <w:top w:val="none" w:sz="0" w:space="0" w:color="auto"/>
                    <w:left w:val="none" w:sz="0" w:space="0" w:color="auto"/>
                    <w:bottom w:val="none" w:sz="0" w:space="0" w:color="auto"/>
                    <w:right w:val="none" w:sz="0" w:space="0" w:color="auto"/>
                  </w:divBdr>
                  <w:divsChild>
                    <w:div w:id="12076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46373">
      <w:bodyDiv w:val="1"/>
      <w:marLeft w:val="0"/>
      <w:marRight w:val="0"/>
      <w:marTop w:val="0"/>
      <w:marBottom w:val="0"/>
      <w:divBdr>
        <w:top w:val="none" w:sz="0" w:space="0" w:color="auto"/>
        <w:left w:val="none" w:sz="0" w:space="0" w:color="auto"/>
        <w:bottom w:val="none" w:sz="0" w:space="0" w:color="auto"/>
        <w:right w:val="none" w:sz="0" w:space="0" w:color="auto"/>
      </w:divBdr>
    </w:div>
    <w:div w:id="2027124505">
      <w:bodyDiv w:val="1"/>
      <w:marLeft w:val="0"/>
      <w:marRight w:val="0"/>
      <w:marTop w:val="0"/>
      <w:marBottom w:val="0"/>
      <w:divBdr>
        <w:top w:val="none" w:sz="0" w:space="0" w:color="auto"/>
        <w:left w:val="none" w:sz="0" w:space="0" w:color="auto"/>
        <w:bottom w:val="none" w:sz="0" w:space="0" w:color="auto"/>
        <w:right w:val="none" w:sz="0" w:space="0" w:color="auto"/>
      </w:divBdr>
    </w:div>
    <w:div w:id="2048022340">
      <w:bodyDiv w:val="1"/>
      <w:marLeft w:val="0"/>
      <w:marRight w:val="0"/>
      <w:marTop w:val="0"/>
      <w:marBottom w:val="0"/>
      <w:divBdr>
        <w:top w:val="none" w:sz="0" w:space="0" w:color="auto"/>
        <w:left w:val="none" w:sz="0" w:space="0" w:color="auto"/>
        <w:bottom w:val="none" w:sz="0" w:space="0" w:color="auto"/>
        <w:right w:val="none" w:sz="0" w:space="0" w:color="auto"/>
      </w:divBdr>
    </w:div>
    <w:div w:id="2048027062">
      <w:bodyDiv w:val="1"/>
      <w:marLeft w:val="0"/>
      <w:marRight w:val="0"/>
      <w:marTop w:val="0"/>
      <w:marBottom w:val="0"/>
      <w:divBdr>
        <w:top w:val="none" w:sz="0" w:space="0" w:color="auto"/>
        <w:left w:val="none" w:sz="0" w:space="0" w:color="auto"/>
        <w:bottom w:val="none" w:sz="0" w:space="0" w:color="auto"/>
        <w:right w:val="none" w:sz="0" w:space="0" w:color="auto"/>
      </w:divBdr>
    </w:div>
    <w:div w:id="2075739999">
      <w:bodyDiv w:val="1"/>
      <w:marLeft w:val="0"/>
      <w:marRight w:val="0"/>
      <w:marTop w:val="0"/>
      <w:marBottom w:val="0"/>
      <w:divBdr>
        <w:top w:val="none" w:sz="0" w:space="0" w:color="auto"/>
        <w:left w:val="none" w:sz="0" w:space="0" w:color="auto"/>
        <w:bottom w:val="none" w:sz="0" w:space="0" w:color="auto"/>
        <w:right w:val="none" w:sz="0" w:space="0" w:color="auto"/>
      </w:divBdr>
    </w:div>
    <w:div w:id="2081632089">
      <w:bodyDiv w:val="1"/>
      <w:marLeft w:val="0"/>
      <w:marRight w:val="0"/>
      <w:marTop w:val="0"/>
      <w:marBottom w:val="0"/>
      <w:divBdr>
        <w:top w:val="none" w:sz="0" w:space="0" w:color="auto"/>
        <w:left w:val="none" w:sz="0" w:space="0" w:color="auto"/>
        <w:bottom w:val="none" w:sz="0" w:space="0" w:color="auto"/>
        <w:right w:val="none" w:sz="0" w:space="0" w:color="auto"/>
      </w:divBdr>
    </w:div>
    <w:div w:id="208609991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0299402">
      <w:bodyDiv w:val="1"/>
      <w:marLeft w:val="0"/>
      <w:marRight w:val="0"/>
      <w:marTop w:val="0"/>
      <w:marBottom w:val="0"/>
      <w:divBdr>
        <w:top w:val="none" w:sz="0" w:space="0" w:color="auto"/>
        <w:left w:val="none" w:sz="0" w:space="0" w:color="auto"/>
        <w:bottom w:val="none" w:sz="0" w:space="0" w:color="auto"/>
        <w:right w:val="none" w:sz="0" w:space="0" w:color="auto"/>
      </w:divBdr>
    </w:div>
    <w:div w:id="2092509176">
      <w:bodyDiv w:val="1"/>
      <w:marLeft w:val="0"/>
      <w:marRight w:val="0"/>
      <w:marTop w:val="0"/>
      <w:marBottom w:val="0"/>
      <w:divBdr>
        <w:top w:val="none" w:sz="0" w:space="0" w:color="auto"/>
        <w:left w:val="none" w:sz="0" w:space="0" w:color="auto"/>
        <w:bottom w:val="none" w:sz="0" w:space="0" w:color="auto"/>
        <w:right w:val="none" w:sz="0" w:space="0" w:color="auto"/>
      </w:divBdr>
    </w:div>
    <w:div w:id="2131320297">
      <w:bodyDiv w:val="1"/>
      <w:marLeft w:val="0"/>
      <w:marRight w:val="0"/>
      <w:marTop w:val="0"/>
      <w:marBottom w:val="0"/>
      <w:divBdr>
        <w:top w:val="none" w:sz="0" w:space="0" w:color="auto"/>
        <w:left w:val="none" w:sz="0" w:space="0" w:color="auto"/>
        <w:bottom w:val="none" w:sz="0" w:space="0" w:color="auto"/>
        <w:right w:val="none" w:sz="0" w:space="0" w:color="auto"/>
      </w:divBdr>
    </w:div>
    <w:div w:id="2133088541">
      <w:bodyDiv w:val="1"/>
      <w:marLeft w:val="0"/>
      <w:marRight w:val="0"/>
      <w:marTop w:val="0"/>
      <w:marBottom w:val="0"/>
      <w:divBdr>
        <w:top w:val="none" w:sz="0" w:space="0" w:color="auto"/>
        <w:left w:val="none" w:sz="0" w:space="0" w:color="auto"/>
        <w:bottom w:val="none" w:sz="0" w:space="0" w:color="auto"/>
        <w:right w:val="none" w:sz="0" w:space="0" w:color="auto"/>
      </w:divBdr>
    </w:div>
    <w:div w:id="21386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B7AA8-8EE1-461A-A1F7-9D211395F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635</Pages>
  <Words>210009</Words>
  <Characters>1323057</Characters>
  <Application>Microsoft Office Word</Application>
  <DocSecurity>0</DocSecurity>
  <Lines>11025</Lines>
  <Paragraphs>3060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Schneider</dc:creator>
  <cp:keywords/>
  <dc:description/>
  <cp:lastModifiedBy>Thomas Schneider</cp:lastModifiedBy>
  <cp:revision>39</cp:revision>
  <dcterms:created xsi:type="dcterms:W3CDTF">2025-09-07T10:07:00Z</dcterms:created>
  <dcterms:modified xsi:type="dcterms:W3CDTF">2025-12-21T04:11:00Z</dcterms:modified>
</cp:coreProperties>
</file>